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2D9B30" w14:textId="2E2CA132" w:rsidR="00EF1DD8" w:rsidRPr="008F24B1" w:rsidRDefault="002C7136" w:rsidP="00C47F2F">
      <w:pPr>
        <w:jc w:val="right"/>
        <w:rPr>
          <w:rFonts w:ascii="Times Roman" w:hAnsi="Times Roman"/>
          <w:noProof/>
          <w:szCs w:val="24"/>
          <w:lang w:eastAsia="ko-KR"/>
        </w:rPr>
      </w:pPr>
      <w:r w:rsidRPr="008F24B1">
        <w:rPr>
          <w:rFonts w:ascii="Times Roman" w:hAnsi="Times Roman"/>
          <w:noProof/>
          <w:szCs w:val="24"/>
          <w:lang w:eastAsia="ko-KR"/>
        </w:rPr>
        <w:t xml:space="preserve">ICRP ref: </w:t>
      </w:r>
      <w:r w:rsidR="008F24B1" w:rsidRPr="008F24B1">
        <w:rPr>
          <w:rFonts w:ascii="Times Roman" w:hAnsi="Times Roman"/>
          <w:noProof/>
          <w:szCs w:val="24"/>
          <w:lang w:eastAsia="ko-KR"/>
        </w:rPr>
        <w:t>4868-6288-2987</w:t>
      </w:r>
    </w:p>
    <w:p w14:paraId="61A7522F" w14:textId="77777777" w:rsidR="00EF1DD8" w:rsidRPr="00972C81" w:rsidRDefault="00EF1DD8" w:rsidP="00EF1DD8">
      <w:pPr>
        <w:jc w:val="center"/>
        <w:rPr>
          <w:rFonts w:ascii="Times Roman" w:hAnsi="Times Roman"/>
          <w:noProof/>
          <w:sz w:val="28"/>
          <w:u w:val="single"/>
        </w:rPr>
      </w:pPr>
    </w:p>
    <w:p w14:paraId="6766D376" w14:textId="77777777" w:rsidR="00576A29" w:rsidRPr="00C47F2F" w:rsidRDefault="00576A29" w:rsidP="00576A29">
      <w:pPr>
        <w:jc w:val="center"/>
        <w:rPr>
          <w:rFonts w:ascii="Arial" w:hAnsi="Arial" w:cs="Arial"/>
          <w:noProof/>
          <w:sz w:val="100"/>
          <w:szCs w:val="100"/>
        </w:rPr>
      </w:pPr>
      <w:r w:rsidRPr="00C47F2F">
        <w:rPr>
          <w:rFonts w:ascii="Arial" w:hAnsi="Arial" w:cs="Arial"/>
          <w:noProof/>
          <w:sz w:val="100"/>
          <w:szCs w:val="100"/>
        </w:rPr>
        <w:t>Annals of the ICRP</w:t>
      </w:r>
    </w:p>
    <w:p w14:paraId="48252D6E" w14:textId="77777777" w:rsidR="00EF1DD8" w:rsidRPr="00972C81" w:rsidRDefault="00EF1DD8" w:rsidP="00EF1DD8">
      <w:pPr>
        <w:jc w:val="center"/>
        <w:rPr>
          <w:rFonts w:ascii="Times Roman" w:hAnsi="Times Roman"/>
          <w:noProof/>
          <w:u w:val="single"/>
        </w:rPr>
      </w:pPr>
    </w:p>
    <w:p w14:paraId="554CA129" w14:textId="77777777" w:rsidR="00EF1DD8" w:rsidRPr="00972C81" w:rsidRDefault="00EF1DD8" w:rsidP="00EF1DD8">
      <w:pPr>
        <w:jc w:val="center"/>
        <w:rPr>
          <w:rFonts w:ascii="Times Roman" w:hAnsi="Times Roman"/>
          <w:noProof/>
          <w:u w:val="single"/>
        </w:rPr>
      </w:pPr>
    </w:p>
    <w:p w14:paraId="77CF97AE" w14:textId="6DFAAC50" w:rsidR="00EF1DD8" w:rsidRPr="00972C81" w:rsidRDefault="00855C6F" w:rsidP="00613E76">
      <w:pPr>
        <w:jc w:val="center"/>
        <w:rPr>
          <w:rFonts w:ascii="Times Roman" w:hAnsi="Times Roman"/>
          <w:noProof/>
        </w:rPr>
      </w:pPr>
      <w:r w:rsidRPr="00972C81">
        <w:rPr>
          <w:rFonts w:ascii="Times Roman" w:hAnsi="Times Roman"/>
          <w:noProof/>
        </w:rPr>
        <w:tab/>
      </w:r>
    </w:p>
    <w:p w14:paraId="71FADCBA" w14:textId="77777777" w:rsidR="00EF1DD8" w:rsidRPr="00972C81" w:rsidRDefault="00EF1DD8" w:rsidP="00B36990">
      <w:pPr>
        <w:jc w:val="center"/>
        <w:rPr>
          <w:noProof/>
          <w:sz w:val="28"/>
        </w:rPr>
      </w:pPr>
      <w:r w:rsidRPr="00972C81">
        <w:rPr>
          <w:noProof/>
          <w:sz w:val="28"/>
        </w:rPr>
        <w:t xml:space="preserve">ICRP PUBLICATION </w:t>
      </w:r>
      <w:r w:rsidR="00A707BB" w:rsidRPr="00972C81">
        <w:rPr>
          <w:noProof/>
          <w:sz w:val="28"/>
          <w:highlight w:val="yellow"/>
        </w:rPr>
        <w:t>1XX</w:t>
      </w:r>
    </w:p>
    <w:p w14:paraId="3FF2C8C7" w14:textId="77777777" w:rsidR="00EF1DD8" w:rsidRPr="00972C81" w:rsidRDefault="00EF1DD8" w:rsidP="00EF1DD8">
      <w:pPr>
        <w:jc w:val="center"/>
        <w:rPr>
          <w:rFonts w:ascii="Times Roman" w:hAnsi="Times Roman"/>
          <w:noProof/>
          <w:sz w:val="28"/>
        </w:rPr>
      </w:pPr>
    </w:p>
    <w:p w14:paraId="600D41D9" w14:textId="77777777" w:rsidR="00EF1DD8" w:rsidRPr="00972C81" w:rsidRDefault="00EF1DD8" w:rsidP="00EF1DD8">
      <w:pPr>
        <w:jc w:val="center"/>
        <w:rPr>
          <w:rFonts w:ascii="Times Roman" w:hAnsi="Times Roman"/>
          <w:noProof/>
          <w:sz w:val="28"/>
        </w:rPr>
      </w:pPr>
    </w:p>
    <w:p w14:paraId="02F7C2E5" w14:textId="77777777" w:rsidR="002C7136" w:rsidRDefault="00E27CBE" w:rsidP="00B36990">
      <w:pPr>
        <w:jc w:val="center"/>
        <w:rPr>
          <w:noProof/>
          <w:sz w:val="48"/>
          <w:szCs w:val="48"/>
        </w:rPr>
      </w:pPr>
      <w:r w:rsidRPr="00C47F2F">
        <w:rPr>
          <w:noProof/>
          <w:sz w:val="48"/>
          <w:szCs w:val="48"/>
        </w:rPr>
        <w:t>Dose coefficients for intakes of radionuclides</w:t>
      </w:r>
    </w:p>
    <w:p w14:paraId="77A40D93" w14:textId="4252692E" w:rsidR="00EF1DD8" w:rsidRPr="00C47F2F" w:rsidRDefault="00E27CBE" w:rsidP="00B36990">
      <w:pPr>
        <w:jc w:val="center"/>
        <w:rPr>
          <w:noProof/>
          <w:sz w:val="48"/>
          <w:szCs w:val="48"/>
        </w:rPr>
      </w:pPr>
      <w:r w:rsidRPr="00C47F2F">
        <w:rPr>
          <w:noProof/>
          <w:sz w:val="48"/>
          <w:szCs w:val="48"/>
        </w:rPr>
        <w:t>by members of the public</w:t>
      </w:r>
      <w:r w:rsidR="00947166" w:rsidRPr="00C47F2F">
        <w:rPr>
          <w:noProof/>
          <w:sz w:val="48"/>
          <w:szCs w:val="48"/>
        </w:rPr>
        <w:t>:</w:t>
      </w:r>
      <w:r w:rsidR="00EF1DD8" w:rsidRPr="00C47F2F">
        <w:rPr>
          <w:noProof/>
          <w:sz w:val="48"/>
          <w:szCs w:val="48"/>
        </w:rPr>
        <w:t xml:space="preserve"> Part </w:t>
      </w:r>
      <w:r w:rsidR="005A7B39" w:rsidRPr="00C47F2F">
        <w:rPr>
          <w:noProof/>
          <w:sz w:val="48"/>
          <w:szCs w:val="48"/>
        </w:rPr>
        <w:t>2</w:t>
      </w:r>
    </w:p>
    <w:p w14:paraId="6BA9C83F" w14:textId="77777777" w:rsidR="00EF1DD8" w:rsidRPr="00C47F2F" w:rsidRDefault="00EF1DD8" w:rsidP="00EF1DD8">
      <w:pPr>
        <w:jc w:val="center"/>
        <w:rPr>
          <w:rFonts w:ascii="Times Roman" w:hAnsi="Times Roman"/>
          <w:noProof/>
          <w:sz w:val="28"/>
          <w:szCs w:val="28"/>
        </w:rPr>
      </w:pPr>
    </w:p>
    <w:p w14:paraId="6B73FEDD" w14:textId="77777777" w:rsidR="00EF1DD8" w:rsidRPr="00C47F2F" w:rsidRDefault="00EF1DD8" w:rsidP="00EF1DD8">
      <w:pPr>
        <w:jc w:val="center"/>
        <w:rPr>
          <w:rFonts w:ascii="Times Roman" w:hAnsi="Times Roman"/>
          <w:noProof/>
          <w:sz w:val="28"/>
          <w:szCs w:val="28"/>
        </w:rPr>
      </w:pPr>
    </w:p>
    <w:p w14:paraId="5C05465D" w14:textId="77777777" w:rsidR="00EF1DD8" w:rsidRPr="00C47F2F" w:rsidRDefault="00EF1DD8" w:rsidP="00B36990">
      <w:pPr>
        <w:jc w:val="center"/>
        <w:rPr>
          <w:noProof/>
          <w:sz w:val="28"/>
          <w:szCs w:val="28"/>
        </w:rPr>
      </w:pPr>
    </w:p>
    <w:p w14:paraId="6DAB0D44" w14:textId="77777777" w:rsidR="00031C76" w:rsidRPr="00C47F2F" w:rsidRDefault="00031C76" w:rsidP="00031C76">
      <w:pPr>
        <w:jc w:val="center"/>
        <w:rPr>
          <w:noProof/>
          <w:sz w:val="28"/>
          <w:szCs w:val="28"/>
        </w:rPr>
      </w:pPr>
      <w:r w:rsidRPr="00C47F2F">
        <w:rPr>
          <w:noProof/>
          <w:sz w:val="28"/>
          <w:szCs w:val="28"/>
        </w:rPr>
        <w:t>Editor-in-Chief</w:t>
      </w:r>
    </w:p>
    <w:p w14:paraId="5628DEBE" w14:textId="77777777" w:rsidR="00031C76" w:rsidRPr="002C7136" w:rsidRDefault="00031C76" w:rsidP="00031C76">
      <w:pPr>
        <w:jc w:val="center"/>
        <w:rPr>
          <w:noProof/>
          <w:sz w:val="28"/>
          <w:szCs w:val="28"/>
        </w:rPr>
      </w:pPr>
      <w:r w:rsidRPr="002C7136">
        <w:rPr>
          <w:noProof/>
          <w:sz w:val="28"/>
          <w:szCs w:val="28"/>
        </w:rPr>
        <w:t>C.H. CLEMENT</w:t>
      </w:r>
    </w:p>
    <w:p w14:paraId="78F6054C" w14:textId="77777777" w:rsidR="00031C76" w:rsidRPr="00C47F2F" w:rsidRDefault="00031C76" w:rsidP="00031C76">
      <w:pPr>
        <w:jc w:val="center"/>
        <w:rPr>
          <w:noProof/>
          <w:sz w:val="28"/>
          <w:szCs w:val="28"/>
        </w:rPr>
      </w:pPr>
    </w:p>
    <w:p w14:paraId="1136327E" w14:textId="77777777" w:rsidR="00031C76" w:rsidRPr="00C47F2F" w:rsidRDefault="00031C76" w:rsidP="00031C76">
      <w:pPr>
        <w:jc w:val="center"/>
        <w:rPr>
          <w:noProof/>
          <w:sz w:val="28"/>
          <w:szCs w:val="28"/>
        </w:rPr>
      </w:pPr>
      <w:r w:rsidRPr="00C47F2F">
        <w:rPr>
          <w:noProof/>
          <w:sz w:val="28"/>
          <w:szCs w:val="28"/>
        </w:rPr>
        <w:t>Associate Editor</w:t>
      </w:r>
    </w:p>
    <w:p w14:paraId="673BC53E" w14:textId="6E99E08D" w:rsidR="00031C76" w:rsidRPr="00C47F2F" w:rsidRDefault="00031C76" w:rsidP="00031C76">
      <w:pPr>
        <w:jc w:val="center"/>
        <w:rPr>
          <w:noProof/>
          <w:sz w:val="28"/>
          <w:szCs w:val="28"/>
          <w:lang w:eastAsia="ko-KR"/>
        </w:rPr>
      </w:pPr>
      <w:r w:rsidRPr="002C7136">
        <w:rPr>
          <w:noProof/>
          <w:sz w:val="28"/>
          <w:szCs w:val="28"/>
        </w:rPr>
        <w:t xml:space="preserve">H. </w:t>
      </w:r>
      <w:r w:rsidR="002C7136" w:rsidRPr="002C7136">
        <w:rPr>
          <w:rFonts w:hint="eastAsia"/>
          <w:noProof/>
          <w:sz w:val="28"/>
          <w:szCs w:val="28"/>
          <w:lang w:eastAsia="ko-KR"/>
        </w:rPr>
        <w:t>YU</w:t>
      </w:r>
    </w:p>
    <w:p w14:paraId="5CC0ED44" w14:textId="77777777" w:rsidR="00EF1DD8" w:rsidRPr="00C47F2F" w:rsidRDefault="00EF1DD8" w:rsidP="00C47F2F">
      <w:pPr>
        <w:pStyle w:val="ICRPtitlepage"/>
        <w:widowControl w:val="0"/>
        <w:rPr>
          <w:rFonts w:ascii="Times Roman" w:hAnsi="Times Roman"/>
          <w:noProof/>
        </w:rPr>
      </w:pPr>
    </w:p>
    <w:p w14:paraId="705B33B9" w14:textId="77777777" w:rsidR="00EF1DD8" w:rsidRPr="002C7136" w:rsidRDefault="00EF1DD8" w:rsidP="00EF1DD8">
      <w:pPr>
        <w:jc w:val="center"/>
        <w:rPr>
          <w:rFonts w:ascii="Times Roman" w:hAnsi="Times Roman"/>
          <w:noProof/>
          <w:sz w:val="28"/>
          <w:szCs w:val="28"/>
        </w:rPr>
      </w:pPr>
    </w:p>
    <w:p w14:paraId="75DC413B" w14:textId="77777777" w:rsidR="00EF1DD8" w:rsidRPr="00654846" w:rsidRDefault="00EF1DD8" w:rsidP="00C47F2F">
      <w:pPr>
        <w:pStyle w:val="ICRPtitlepage"/>
        <w:widowControl w:val="0"/>
        <w:rPr>
          <w:noProof/>
        </w:rPr>
      </w:pPr>
      <w:r w:rsidRPr="00C47F2F">
        <w:rPr>
          <w:rFonts w:eastAsiaTheme="minorEastAsia"/>
          <w:noProof/>
        </w:rPr>
        <w:t>Authors on behalf of ICRP</w:t>
      </w:r>
    </w:p>
    <w:p w14:paraId="55A24E18" w14:textId="77777777" w:rsidR="002C7136" w:rsidRPr="002C7136" w:rsidRDefault="00CB1ABE" w:rsidP="00CB1ABE">
      <w:pPr>
        <w:pStyle w:val="ICRPtitlepage"/>
        <w:rPr>
          <w:rFonts w:eastAsiaTheme="minorEastAsia"/>
          <w:noProof/>
          <w:lang w:eastAsia="ko-KR"/>
        </w:rPr>
      </w:pPr>
      <w:r w:rsidRPr="002C7136">
        <w:rPr>
          <w:noProof/>
        </w:rPr>
        <w:t xml:space="preserve">F. Paquet, </w:t>
      </w:r>
      <w:r w:rsidR="002E2C82" w:rsidRPr="002C7136">
        <w:rPr>
          <w:noProof/>
        </w:rPr>
        <w:t xml:space="preserve">M.R. Bailey, V. Berkovskyy, E. Blanchardon, E. Davesne, </w:t>
      </w:r>
    </w:p>
    <w:p w14:paraId="168A9946" w14:textId="73B72F66" w:rsidR="00CB1ABE" w:rsidRPr="002C7136" w:rsidRDefault="002E2C82" w:rsidP="00CB1ABE">
      <w:pPr>
        <w:pStyle w:val="ICRPtitlepage"/>
        <w:rPr>
          <w:noProof/>
        </w:rPr>
      </w:pPr>
      <w:r w:rsidRPr="002C7136">
        <w:rPr>
          <w:noProof/>
        </w:rPr>
        <w:t xml:space="preserve">D. Gregoratto, R.W. Leggett, G. Ratia, </w:t>
      </w:r>
      <w:r w:rsidR="00CB1ABE" w:rsidRPr="002C7136">
        <w:rPr>
          <w:noProof/>
        </w:rPr>
        <w:t xml:space="preserve">C. Samuels, </w:t>
      </w:r>
      <w:r w:rsidRPr="002C7136">
        <w:rPr>
          <w:noProof/>
        </w:rPr>
        <w:t>T. Smith</w:t>
      </w:r>
      <w:r w:rsidR="00CB1ABE" w:rsidRPr="002C7136">
        <w:rPr>
          <w:noProof/>
        </w:rPr>
        <w:t xml:space="preserve"> </w:t>
      </w:r>
    </w:p>
    <w:p w14:paraId="53B3F0EE" w14:textId="77777777" w:rsidR="00EF1DD8" w:rsidRPr="002C7136" w:rsidRDefault="00EF1DD8" w:rsidP="00EF1DD8">
      <w:pPr>
        <w:jc w:val="center"/>
        <w:rPr>
          <w:rFonts w:ascii="Times Roman" w:hAnsi="Times Roman"/>
          <w:noProof/>
          <w:sz w:val="28"/>
          <w:szCs w:val="28"/>
        </w:rPr>
      </w:pPr>
    </w:p>
    <w:p w14:paraId="392EAB89" w14:textId="77777777" w:rsidR="00EF1DD8" w:rsidRPr="002C7136" w:rsidRDefault="00EF1DD8" w:rsidP="00EF1DD8">
      <w:pPr>
        <w:jc w:val="center"/>
        <w:rPr>
          <w:rFonts w:ascii="Times Roman" w:hAnsi="Times Roman"/>
          <w:noProof/>
          <w:sz w:val="28"/>
          <w:szCs w:val="28"/>
        </w:rPr>
      </w:pPr>
    </w:p>
    <w:p w14:paraId="5725A41F" w14:textId="77777777" w:rsidR="00031C76" w:rsidRPr="00C47F2F" w:rsidRDefault="00031C76" w:rsidP="00031C76">
      <w:pPr>
        <w:spacing w:line="360" w:lineRule="auto"/>
        <w:jc w:val="center"/>
        <w:rPr>
          <w:noProof/>
          <w:sz w:val="28"/>
          <w:szCs w:val="28"/>
        </w:rPr>
      </w:pPr>
      <w:r w:rsidRPr="00C47F2F">
        <w:rPr>
          <w:noProof/>
          <w:sz w:val="28"/>
          <w:szCs w:val="28"/>
        </w:rPr>
        <w:t>PUBLISHED FOR</w:t>
      </w:r>
    </w:p>
    <w:p w14:paraId="5A160F5A" w14:textId="77777777" w:rsidR="00031C76" w:rsidRPr="00C47F2F" w:rsidRDefault="00031C76" w:rsidP="00031C76">
      <w:pPr>
        <w:spacing w:line="360" w:lineRule="auto"/>
        <w:jc w:val="center"/>
        <w:rPr>
          <w:noProof/>
          <w:sz w:val="28"/>
          <w:szCs w:val="28"/>
        </w:rPr>
      </w:pPr>
      <w:r w:rsidRPr="00C47F2F">
        <w:rPr>
          <w:noProof/>
          <w:sz w:val="28"/>
          <w:szCs w:val="28"/>
        </w:rPr>
        <w:t>The International Commission on Radiological Protection</w:t>
      </w:r>
    </w:p>
    <w:p w14:paraId="1B57E496" w14:textId="77777777" w:rsidR="00031C76" w:rsidRPr="00C47F2F" w:rsidRDefault="00031C76" w:rsidP="00031C76">
      <w:pPr>
        <w:jc w:val="center"/>
        <w:rPr>
          <w:noProof/>
          <w:sz w:val="28"/>
          <w:szCs w:val="28"/>
        </w:rPr>
      </w:pPr>
      <w:r w:rsidRPr="00C47F2F">
        <w:rPr>
          <w:noProof/>
          <w:sz w:val="28"/>
          <w:szCs w:val="28"/>
        </w:rPr>
        <w:t>by</w:t>
      </w:r>
    </w:p>
    <w:p w14:paraId="7A9E0E63" w14:textId="77777777" w:rsidR="00EF1DD8" w:rsidRPr="00972C81" w:rsidRDefault="00EF1DD8" w:rsidP="00EF1DD8">
      <w:pPr>
        <w:jc w:val="center"/>
        <w:rPr>
          <w:rFonts w:ascii="Times Roman" w:hAnsi="Times Roman"/>
          <w:noProof/>
          <w:sz w:val="26"/>
        </w:rPr>
      </w:pPr>
    </w:p>
    <w:p w14:paraId="1C9AD83D" w14:textId="20486F12" w:rsidR="00A470AE" w:rsidRPr="00972C81" w:rsidRDefault="00CD7C78" w:rsidP="00A470AE">
      <w:pPr>
        <w:jc w:val="center"/>
        <w:rPr>
          <w:rFonts w:ascii="Times Roman" w:hAnsi="Times Roman"/>
          <w:noProof/>
          <w:sz w:val="26"/>
        </w:rPr>
      </w:pPr>
      <w:r>
        <w:object w:dxaOrig="11529" w:dyaOrig="2882" w14:anchorId="53D62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34.45pt" o:ole="">
            <v:imagedata r:id="rId8" o:title=""/>
          </v:shape>
          <o:OLEObject Type="Embed" ProgID="Unknown" ShapeID="_x0000_i1025" DrawAspect="Content" ObjectID="_1776080288" r:id="rId9"/>
        </w:object>
      </w:r>
    </w:p>
    <w:p w14:paraId="2597234D" w14:textId="77777777" w:rsidR="002C7136" w:rsidRDefault="002C7136" w:rsidP="001C4A92">
      <w:pPr>
        <w:pStyle w:val="MainTextPreference"/>
        <w:rPr>
          <w:noProof/>
        </w:rPr>
      </w:pPr>
    </w:p>
    <w:p w14:paraId="21C19298" w14:textId="62B3C4F0" w:rsidR="00493CAE" w:rsidRPr="00972C81" w:rsidRDefault="00EF1DD8" w:rsidP="001C4A92">
      <w:pPr>
        <w:pStyle w:val="MainTextPreference"/>
        <w:rPr>
          <w:noProof/>
        </w:rPr>
        <w:sectPr w:rsidR="00493CAE" w:rsidRPr="00972C81" w:rsidSect="00ED3DED">
          <w:headerReference w:type="default" r:id="rId10"/>
          <w:type w:val="continuous"/>
          <w:pgSz w:w="12240" w:h="15840" w:code="1"/>
          <w:pgMar w:top="1440" w:right="1440" w:bottom="1440" w:left="1440" w:header="720" w:footer="720" w:gutter="0"/>
          <w:lnNumType w:countBy="1" w:restart="continuous"/>
          <w:pgNumType w:start="1"/>
          <w:cols w:space="720"/>
          <w:noEndnote/>
          <w:docGrid w:linePitch="326"/>
        </w:sectPr>
      </w:pPr>
      <w:r w:rsidRPr="00972C81">
        <w:rPr>
          <w:noProof/>
        </w:rPr>
        <w:t xml:space="preserve">Please cite this issue as ‘ICRP, </w:t>
      </w:r>
      <w:r w:rsidR="006E5B52" w:rsidRPr="00972C81">
        <w:rPr>
          <w:noProof/>
        </w:rPr>
        <w:t>202</w:t>
      </w:r>
      <w:r w:rsidR="006E5B52" w:rsidRPr="00972C81">
        <w:rPr>
          <w:noProof/>
          <w:highlight w:val="yellow"/>
        </w:rPr>
        <w:t>X</w:t>
      </w:r>
      <w:r w:rsidRPr="00972C81">
        <w:rPr>
          <w:noProof/>
        </w:rPr>
        <w:t xml:space="preserve">. </w:t>
      </w:r>
      <w:r w:rsidR="006E5B52" w:rsidRPr="00972C81">
        <w:rPr>
          <w:noProof/>
        </w:rPr>
        <w:t>Dose coefficients for intakes of radionuclides by members of the public: Part 2</w:t>
      </w:r>
      <w:r w:rsidRPr="00972C81">
        <w:rPr>
          <w:noProof/>
        </w:rPr>
        <w:t xml:space="preserve">. ICRP Publication </w:t>
      </w:r>
      <w:r w:rsidR="006D7E30" w:rsidRPr="00972C81">
        <w:rPr>
          <w:noProof/>
        </w:rPr>
        <w:t>1XX</w:t>
      </w:r>
      <w:r w:rsidRPr="00972C81">
        <w:rPr>
          <w:noProof/>
        </w:rPr>
        <w:t xml:space="preserve">, Ann. ICRP </w:t>
      </w:r>
      <w:r w:rsidR="006D7E30" w:rsidRPr="00972C81">
        <w:rPr>
          <w:noProof/>
          <w:highlight w:val="yellow"/>
        </w:rPr>
        <w:t>XX</w:t>
      </w:r>
      <w:r w:rsidRPr="00972C81">
        <w:rPr>
          <w:noProof/>
          <w:highlight w:val="yellow"/>
        </w:rPr>
        <w:t>(</w:t>
      </w:r>
      <w:r w:rsidR="006D7E30" w:rsidRPr="00972C81">
        <w:rPr>
          <w:noProof/>
          <w:highlight w:val="yellow"/>
        </w:rPr>
        <w:t>X</w:t>
      </w:r>
      <w:r w:rsidRPr="00972C81">
        <w:rPr>
          <w:noProof/>
        </w:rPr>
        <w:t>)’</w:t>
      </w:r>
    </w:p>
    <w:p w14:paraId="1A218466" w14:textId="77777777" w:rsidR="00E02F2A" w:rsidRPr="00C47F2F" w:rsidRDefault="00FE068E" w:rsidP="00C47F2F">
      <w:pPr>
        <w:tabs>
          <w:tab w:val="left" w:pos="482"/>
        </w:tabs>
        <w:spacing w:before="480" w:after="480"/>
        <w:jc w:val="center"/>
        <w:rPr>
          <w:b/>
          <w:noProof/>
          <w:sz w:val="32"/>
          <w:szCs w:val="32"/>
        </w:rPr>
      </w:pPr>
      <w:r w:rsidRPr="00C47F2F">
        <w:rPr>
          <w:b/>
          <w:noProof/>
          <w:sz w:val="32"/>
          <w:szCs w:val="32"/>
        </w:rPr>
        <w:lastRenderedPageBreak/>
        <w:t>CONTENTS</w:t>
      </w:r>
    </w:p>
    <w:sdt>
      <w:sdtPr>
        <w:rPr>
          <w:rFonts w:ascii="Tahoma" w:eastAsiaTheme="minorEastAsia" w:hAnsi="Tahoma"/>
          <w:b w:val="0"/>
          <w:bCs w:val="0"/>
          <w:caps w:val="0"/>
          <w:sz w:val="24"/>
          <w:szCs w:val="20"/>
          <w:lang w:eastAsia="en-US"/>
        </w:rPr>
        <w:id w:val="314685189"/>
        <w:docPartObj>
          <w:docPartGallery w:val="Table of Contents"/>
          <w:docPartUnique/>
        </w:docPartObj>
      </w:sdtPr>
      <w:sdtEndPr>
        <w:rPr>
          <w:noProof/>
          <w:sz w:val="22"/>
          <w:szCs w:val="16"/>
        </w:rPr>
      </w:sdtEndPr>
      <w:sdtContent>
        <w:p w14:paraId="237C723D" w14:textId="021A8AD7" w:rsidR="00FF4A7C" w:rsidRPr="003163D0" w:rsidRDefault="00955B58">
          <w:pPr>
            <w:pStyle w:val="11"/>
            <w:rPr>
              <w:rFonts w:ascii="Times New Roman" w:eastAsiaTheme="minorEastAsia" w:hAnsi="Times New Roman"/>
              <w:b w:val="0"/>
              <w:bCs w:val="0"/>
              <w:caps w:val="0"/>
              <w:noProof/>
              <w:kern w:val="2"/>
              <w:lang w:val="fr-FR" w:eastAsia="fr-FR"/>
              <w14:ligatures w14:val="standardContextual"/>
            </w:rPr>
          </w:pPr>
          <w:r w:rsidRPr="003163D0">
            <w:rPr>
              <w:rFonts w:ascii="Times New Roman" w:hAnsi="Times New Roman"/>
            </w:rPr>
            <w:fldChar w:fldCharType="begin"/>
          </w:r>
          <w:r w:rsidR="0005396C" w:rsidRPr="003163D0">
            <w:rPr>
              <w:rFonts w:ascii="Times New Roman" w:hAnsi="Times New Roman"/>
            </w:rPr>
            <w:instrText>TOC \o "1-3" \h \z \u</w:instrText>
          </w:r>
          <w:r w:rsidRPr="003163D0">
            <w:rPr>
              <w:rFonts w:ascii="Times New Roman" w:hAnsi="Times New Roman"/>
            </w:rPr>
            <w:fldChar w:fldCharType="separate"/>
          </w:r>
          <w:hyperlink w:anchor="_Toc162629979" w:history="1">
            <w:r w:rsidR="00FF4A7C" w:rsidRPr="003163D0">
              <w:rPr>
                <w:rStyle w:val="af0"/>
                <w:rFonts w:ascii="Times New Roman" w:hAnsi="Times New Roman"/>
                <w:noProof/>
              </w:rPr>
              <w:t>MAIN POINTS</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_Toc162629979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10</w:t>
            </w:r>
            <w:r w:rsidR="00FF4A7C" w:rsidRPr="003163D0">
              <w:rPr>
                <w:rFonts w:ascii="Times New Roman" w:hAnsi="Times New Roman"/>
                <w:noProof/>
                <w:webHidden/>
              </w:rPr>
              <w:fldChar w:fldCharType="end"/>
            </w:r>
          </w:hyperlink>
        </w:p>
        <w:p w14:paraId="78374228" w14:textId="2219B4EA"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29980" w:history="1">
            <w:r w:rsidR="00FF4A7C" w:rsidRPr="003163D0">
              <w:rPr>
                <w:rStyle w:val="af0"/>
                <w:rFonts w:ascii="Times New Roman" w:hAnsi="Times New Roman"/>
                <w:noProof/>
              </w:rPr>
              <w:t>1.</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INTRODUCTION</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_Toc162629980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11</w:t>
            </w:r>
            <w:r w:rsidR="00FF4A7C" w:rsidRPr="003163D0">
              <w:rPr>
                <w:rFonts w:ascii="Times New Roman" w:hAnsi="Times New Roman"/>
                <w:noProof/>
                <w:webHidden/>
              </w:rPr>
              <w:fldChar w:fldCharType="end"/>
            </w:r>
          </w:hyperlink>
        </w:p>
        <w:p w14:paraId="7AF1FAFA" w14:textId="44CA1ED5" w:rsidR="00FF4A7C" w:rsidRPr="003163D0" w:rsidRDefault="00000000">
          <w:pPr>
            <w:pStyle w:val="22"/>
            <w:rPr>
              <w:rFonts w:ascii="Times New Roman" w:hAnsi="Times New Roman"/>
              <w:smallCaps w:val="0"/>
              <w:noProof/>
              <w:kern w:val="2"/>
              <w:lang w:val="fr-FR" w:eastAsia="fr-FR"/>
              <w14:ligatures w14:val="standardContextual"/>
            </w:rPr>
          </w:pPr>
          <w:hyperlink w:anchor="_Toc162629981" w:history="1">
            <w:r w:rsidR="00FF4A7C" w:rsidRPr="003163D0">
              <w:rPr>
                <w:rStyle w:val="af0"/>
                <w:rFonts w:ascii="Times New Roman" w:hAnsi="Times New Roman"/>
                <w:noProof/>
              </w:rPr>
              <w:t>1.1.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Methodology used in this report series</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_Toc162629981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11</w:t>
            </w:r>
            <w:r w:rsidR="00FF4A7C" w:rsidRPr="003163D0">
              <w:rPr>
                <w:rFonts w:ascii="Times New Roman" w:hAnsi="Times New Roman"/>
                <w:noProof/>
                <w:webHidden/>
              </w:rPr>
              <w:fldChar w:fldCharType="end"/>
            </w:r>
          </w:hyperlink>
        </w:p>
        <w:p w14:paraId="3036522A" w14:textId="0F599FE6" w:rsidR="00FF4A7C" w:rsidRPr="003163D0" w:rsidRDefault="00000000">
          <w:pPr>
            <w:pStyle w:val="22"/>
            <w:rPr>
              <w:rFonts w:ascii="Times New Roman" w:hAnsi="Times New Roman"/>
              <w:smallCaps w:val="0"/>
              <w:noProof/>
              <w:kern w:val="2"/>
              <w:lang w:val="fr-FR" w:eastAsia="fr-FR"/>
              <w14:ligatures w14:val="standardContextual"/>
            </w:rPr>
          </w:pPr>
          <w:hyperlink w:anchor="_Toc162629982" w:history="1">
            <w:r w:rsidR="00FF4A7C" w:rsidRPr="003163D0">
              <w:rPr>
                <w:rStyle w:val="af0"/>
                <w:rFonts w:ascii="Times New Roman" w:hAnsi="Times New Roman"/>
                <w:noProof/>
              </w:rPr>
              <w:t>1.2.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Data presented in this report series</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_Toc162629982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12</w:t>
            </w:r>
            <w:r w:rsidR="00FF4A7C" w:rsidRPr="003163D0">
              <w:rPr>
                <w:rFonts w:ascii="Times New Roman" w:hAnsi="Times New Roman"/>
                <w:noProof/>
                <w:webHidden/>
              </w:rPr>
              <w:fldChar w:fldCharType="end"/>
            </w:r>
          </w:hyperlink>
        </w:p>
        <w:p w14:paraId="2EFAED26" w14:textId="1F3EC23D"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29983" w:history="1">
            <w:r w:rsidR="00FF4A7C" w:rsidRPr="003163D0">
              <w:rPr>
                <w:rStyle w:val="af0"/>
                <w:rFonts w:ascii="Times New Roman" w:hAnsi="Times New Roman"/>
                <w:noProof/>
              </w:rPr>
              <w:t>2.</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Lanthanum (Z = 57)</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_Toc162629983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13</w:t>
            </w:r>
            <w:r w:rsidR="00FF4A7C" w:rsidRPr="003163D0">
              <w:rPr>
                <w:rFonts w:ascii="Times New Roman" w:hAnsi="Times New Roman"/>
                <w:noProof/>
                <w:webHidden/>
              </w:rPr>
              <w:fldChar w:fldCharType="end"/>
            </w:r>
          </w:hyperlink>
        </w:p>
        <w:p w14:paraId="6B68A71D" w14:textId="3913F99C" w:rsidR="00FF4A7C" w:rsidRPr="003163D0" w:rsidRDefault="00000000">
          <w:pPr>
            <w:pStyle w:val="22"/>
            <w:rPr>
              <w:rFonts w:ascii="Times New Roman" w:hAnsi="Times New Roman"/>
              <w:smallCaps w:val="0"/>
              <w:noProof/>
              <w:kern w:val="2"/>
              <w:lang w:val="fr-FR" w:eastAsia="fr-FR"/>
              <w14:ligatures w14:val="standardContextual"/>
            </w:rPr>
          </w:pPr>
          <w:hyperlink w:anchor="_Toc162629984" w:history="1">
            <w:r w:rsidR="00FF4A7C" w:rsidRPr="003163D0">
              <w:rPr>
                <w:rStyle w:val="af0"/>
                <w:rFonts w:ascii="Times New Roman" w:hAnsi="Times New Roman"/>
                <w:noProof/>
              </w:rPr>
              <w:t>2.1.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_Toc162629984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13</w:t>
            </w:r>
            <w:r w:rsidR="00FF4A7C" w:rsidRPr="003163D0">
              <w:rPr>
                <w:rFonts w:ascii="Times New Roman" w:hAnsi="Times New Roman"/>
                <w:noProof/>
                <w:webHidden/>
              </w:rPr>
              <w:fldChar w:fldCharType="end"/>
            </w:r>
          </w:hyperlink>
        </w:p>
        <w:p w14:paraId="28DFFB59" w14:textId="0CC4D567" w:rsidR="00FF4A7C" w:rsidRPr="003163D0" w:rsidRDefault="00000000">
          <w:pPr>
            <w:pStyle w:val="32"/>
            <w:rPr>
              <w:rFonts w:ascii="Times New Roman" w:hAnsi="Times New Roman"/>
              <w:i w:val="0"/>
              <w:noProof/>
              <w:kern w:val="2"/>
              <w:lang w:val="fr-FR" w:eastAsia="fr-FR"/>
              <w14:ligatures w14:val="standardContextual"/>
            </w:rPr>
          </w:pPr>
          <w:hyperlink w:anchor="_Toc162629985" w:history="1">
            <w:r w:rsidR="00FF4A7C" w:rsidRPr="003163D0">
              <w:rPr>
                <w:rStyle w:val="af0"/>
                <w:rFonts w:ascii="Times New Roman" w:hAnsi="Times New Roman"/>
                <w:i w:val="0"/>
                <w:noProof/>
              </w:rPr>
              <w:t>2.1.1.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_Toc162629985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13</w:t>
            </w:r>
            <w:r w:rsidR="00FF4A7C" w:rsidRPr="003163D0">
              <w:rPr>
                <w:rFonts w:ascii="Times New Roman" w:hAnsi="Times New Roman"/>
                <w:i w:val="0"/>
                <w:noProof/>
                <w:webHidden/>
              </w:rPr>
              <w:fldChar w:fldCharType="end"/>
            </w:r>
          </w:hyperlink>
        </w:p>
        <w:p w14:paraId="33BA49E4" w14:textId="4D91D29D" w:rsidR="00FF4A7C" w:rsidRPr="003163D0" w:rsidRDefault="00000000">
          <w:pPr>
            <w:pStyle w:val="32"/>
            <w:rPr>
              <w:rFonts w:ascii="Times New Roman" w:hAnsi="Times New Roman"/>
              <w:i w:val="0"/>
              <w:noProof/>
              <w:kern w:val="2"/>
              <w:lang w:val="fr-FR" w:eastAsia="fr-FR"/>
              <w14:ligatures w14:val="standardContextual"/>
            </w:rPr>
          </w:pPr>
          <w:hyperlink w:anchor="_Toc162629986" w:history="1">
            <w:r w:rsidR="00FF4A7C" w:rsidRPr="003163D0">
              <w:rPr>
                <w:rStyle w:val="af0"/>
                <w:rFonts w:ascii="Times New Roman" w:hAnsi="Times New Roman"/>
                <w:i w:val="0"/>
                <w:noProof/>
              </w:rPr>
              <w:t>2.1.2.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_Toc162629986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15</w:t>
            </w:r>
            <w:r w:rsidR="00FF4A7C" w:rsidRPr="003163D0">
              <w:rPr>
                <w:rFonts w:ascii="Times New Roman" w:hAnsi="Times New Roman"/>
                <w:i w:val="0"/>
                <w:noProof/>
                <w:webHidden/>
              </w:rPr>
              <w:fldChar w:fldCharType="end"/>
            </w:r>
          </w:hyperlink>
        </w:p>
        <w:p w14:paraId="0CB19163" w14:textId="5520AA30" w:rsidR="00FF4A7C" w:rsidRPr="003163D0" w:rsidRDefault="00000000">
          <w:pPr>
            <w:pStyle w:val="32"/>
            <w:rPr>
              <w:rFonts w:ascii="Times New Roman" w:hAnsi="Times New Roman"/>
              <w:i w:val="0"/>
              <w:noProof/>
              <w:kern w:val="2"/>
              <w:lang w:val="fr-FR" w:eastAsia="fr-FR"/>
              <w14:ligatures w14:val="standardContextual"/>
            </w:rPr>
          </w:pPr>
          <w:hyperlink w:anchor="_Toc162629987" w:history="1">
            <w:r w:rsidR="00FF4A7C" w:rsidRPr="003163D0">
              <w:rPr>
                <w:rStyle w:val="af0"/>
                <w:rFonts w:ascii="Times New Roman" w:hAnsi="Times New Roman"/>
                <w:i w:val="0"/>
                <w:noProof/>
              </w:rPr>
              <w:t>2.1.3.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_Toc162629987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15</w:t>
            </w:r>
            <w:r w:rsidR="00FF4A7C" w:rsidRPr="003163D0">
              <w:rPr>
                <w:rFonts w:ascii="Times New Roman" w:hAnsi="Times New Roman"/>
                <w:i w:val="0"/>
                <w:noProof/>
                <w:webHidden/>
              </w:rPr>
              <w:fldChar w:fldCharType="end"/>
            </w:r>
          </w:hyperlink>
        </w:p>
        <w:p w14:paraId="1323497A" w14:textId="2318C7CC" w:rsidR="00FF4A7C" w:rsidRPr="003163D0" w:rsidRDefault="00000000">
          <w:pPr>
            <w:pStyle w:val="22"/>
            <w:rPr>
              <w:rFonts w:ascii="Times New Roman" w:hAnsi="Times New Roman"/>
              <w:smallCaps w:val="0"/>
              <w:noProof/>
              <w:kern w:val="2"/>
              <w:lang w:val="fr-FR" w:eastAsia="fr-FR"/>
              <w14:ligatures w14:val="standardContextual"/>
            </w:rPr>
          </w:pPr>
          <w:hyperlink w:anchor="_Toc162629988" w:history="1">
            <w:r w:rsidR="00FF4A7C" w:rsidRPr="003163D0">
              <w:rPr>
                <w:rStyle w:val="af0"/>
                <w:rFonts w:ascii="Times New Roman" w:hAnsi="Times New Roman"/>
                <w:noProof/>
              </w:rPr>
              <w:t>2.2.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lanthanum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_Toc162629988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16</w:t>
            </w:r>
            <w:r w:rsidR="00FF4A7C" w:rsidRPr="003163D0">
              <w:rPr>
                <w:rFonts w:ascii="Times New Roman" w:hAnsi="Times New Roman"/>
                <w:noProof/>
                <w:webHidden/>
              </w:rPr>
              <w:fldChar w:fldCharType="end"/>
            </w:r>
          </w:hyperlink>
        </w:p>
        <w:p w14:paraId="4BC67DE0" w14:textId="7141A49C"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29989" w:history="1">
            <w:r w:rsidR="00FF4A7C" w:rsidRPr="003163D0">
              <w:rPr>
                <w:rStyle w:val="af0"/>
                <w:rFonts w:ascii="Times New Roman" w:hAnsi="Times New Roman"/>
                <w:noProof/>
              </w:rPr>
              <w:t>3.</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Cerium (Z = 58)</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_Toc162629989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17</w:t>
            </w:r>
            <w:r w:rsidR="00FF4A7C" w:rsidRPr="003163D0">
              <w:rPr>
                <w:rFonts w:ascii="Times New Roman" w:hAnsi="Times New Roman"/>
                <w:noProof/>
                <w:webHidden/>
              </w:rPr>
              <w:fldChar w:fldCharType="end"/>
            </w:r>
          </w:hyperlink>
        </w:p>
        <w:p w14:paraId="18D7C8D4" w14:textId="2A2B8192" w:rsidR="00FF4A7C" w:rsidRPr="003163D0" w:rsidRDefault="00000000">
          <w:pPr>
            <w:pStyle w:val="22"/>
            <w:rPr>
              <w:rFonts w:ascii="Times New Roman" w:hAnsi="Times New Roman"/>
              <w:smallCaps w:val="0"/>
              <w:noProof/>
              <w:kern w:val="2"/>
              <w:lang w:val="fr-FR" w:eastAsia="fr-FR"/>
              <w14:ligatures w14:val="standardContextual"/>
            </w:rPr>
          </w:pPr>
          <w:hyperlink w:anchor="_Toc162629990" w:history="1">
            <w:r w:rsidR="00FF4A7C" w:rsidRPr="003163D0">
              <w:rPr>
                <w:rStyle w:val="af0"/>
                <w:rFonts w:ascii="Times New Roman" w:hAnsi="Times New Roman"/>
                <w:noProof/>
              </w:rPr>
              <w:t>3.1.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_Toc162629990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17</w:t>
            </w:r>
            <w:r w:rsidR="00FF4A7C" w:rsidRPr="003163D0">
              <w:rPr>
                <w:rFonts w:ascii="Times New Roman" w:hAnsi="Times New Roman"/>
                <w:noProof/>
                <w:webHidden/>
              </w:rPr>
              <w:fldChar w:fldCharType="end"/>
            </w:r>
          </w:hyperlink>
        </w:p>
        <w:p w14:paraId="29402750" w14:textId="70E07FDC" w:rsidR="00FF4A7C" w:rsidRPr="003163D0" w:rsidRDefault="00000000">
          <w:pPr>
            <w:pStyle w:val="32"/>
            <w:rPr>
              <w:rFonts w:ascii="Times New Roman" w:hAnsi="Times New Roman"/>
              <w:i w:val="0"/>
              <w:noProof/>
              <w:kern w:val="2"/>
              <w:lang w:val="fr-FR" w:eastAsia="fr-FR"/>
              <w14:ligatures w14:val="standardContextual"/>
            </w:rPr>
          </w:pPr>
          <w:hyperlink w:anchor="_Toc162629991" w:history="1">
            <w:r w:rsidR="00FF4A7C" w:rsidRPr="003163D0">
              <w:rPr>
                <w:rStyle w:val="af0"/>
                <w:rFonts w:ascii="Times New Roman" w:hAnsi="Times New Roman"/>
                <w:i w:val="0"/>
                <w:noProof/>
              </w:rPr>
              <w:t>3.1.1.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_Toc162629991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17</w:t>
            </w:r>
            <w:r w:rsidR="00FF4A7C" w:rsidRPr="003163D0">
              <w:rPr>
                <w:rFonts w:ascii="Times New Roman" w:hAnsi="Times New Roman"/>
                <w:i w:val="0"/>
                <w:noProof/>
                <w:webHidden/>
              </w:rPr>
              <w:fldChar w:fldCharType="end"/>
            </w:r>
          </w:hyperlink>
        </w:p>
        <w:p w14:paraId="1D30E7AE" w14:textId="4FEA91C7" w:rsidR="00FF4A7C" w:rsidRPr="003163D0" w:rsidRDefault="00000000">
          <w:pPr>
            <w:pStyle w:val="32"/>
            <w:rPr>
              <w:rFonts w:ascii="Times New Roman" w:hAnsi="Times New Roman"/>
              <w:i w:val="0"/>
              <w:noProof/>
              <w:kern w:val="2"/>
              <w:lang w:val="fr-FR" w:eastAsia="fr-FR"/>
              <w14:ligatures w14:val="standardContextual"/>
            </w:rPr>
          </w:pPr>
          <w:hyperlink w:anchor="_Toc162629992" w:history="1">
            <w:r w:rsidR="00FF4A7C" w:rsidRPr="003163D0">
              <w:rPr>
                <w:rStyle w:val="af0"/>
                <w:rFonts w:ascii="Times New Roman" w:hAnsi="Times New Roman"/>
                <w:i w:val="0"/>
                <w:noProof/>
              </w:rPr>
              <w:t>3.1.2.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_Toc162629992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17</w:t>
            </w:r>
            <w:r w:rsidR="00FF4A7C" w:rsidRPr="003163D0">
              <w:rPr>
                <w:rFonts w:ascii="Times New Roman" w:hAnsi="Times New Roman"/>
                <w:i w:val="0"/>
                <w:noProof/>
                <w:webHidden/>
              </w:rPr>
              <w:fldChar w:fldCharType="end"/>
            </w:r>
          </w:hyperlink>
        </w:p>
        <w:p w14:paraId="7834B9DA" w14:textId="29390C9F" w:rsidR="00FF4A7C" w:rsidRPr="003163D0" w:rsidRDefault="00000000">
          <w:pPr>
            <w:pStyle w:val="32"/>
            <w:rPr>
              <w:rFonts w:ascii="Times New Roman" w:hAnsi="Times New Roman"/>
              <w:i w:val="0"/>
              <w:noProof/>
              <w:kern w:val="2"/>
              <w:lang w:val="fr-FR" w:eastAsia="fr-FR"/>
              <w14:ligatures w14:val="standardContextual"/>
            </w:rPr>
          </w:pPr>
          <w:hyperlink w:anchor="_Toc162629993" w:history="1">
            <w:r w:rsidR="00FF4A7C" w:rsidRPr="003163D0">
              <w:rPr>
                <w:rStyle w:val="af0"/>
                <w:rFonts w:ascii="Times New Roman" w:hAnsi="Times New Roman"/>
                <w:i w:val="0"/>
                <w:noProof/>
              </w:rPr>
              <w:t>3.1.3.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_Toc162629993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17</w:t>
            </w:r>
            <w:r w:rsidR="00FF4A7C" w:rsidRPr="003163D0">
              <w:rPr>
                <w:rFonts w:ascii="Times New Roman" w:hAnsi="Times New Roman"/>
                <w:i w:val="0"/>
                <w:noProof/>
                <w:webHidden/>
              </w:rPr>
              <w:fldChar w:fldCharType="end"/>
            </w:r>
          </w:hyperlink>
        </w:p>
        <w:p w14:paraId="19CAD084" w14:textId="63B45B2F" w:rsidR="00FF4A7C" w:rsidRPr="003163D0" w:rsidRDefault="00000000">
          <w:pPr>
            <w:pStyle w:val="22"/>
            <w:rPr>
              <w:rFonts w:ascii="Times New Roman" w:hAnsi="Times New Roman"/>
              <w:smallCaps w:val="0"/>
              <w:noProof/>
              <w:kern w:val="2"/>
              <w:lang w:val="fr-FR" w:eastAsia="fr-FR"/>
              <w14:ligatures w14:val="standardContextual"/>
            </w:rPr>
          </w:pPr>
          <w:hyperlink w:anchor="_Toc162629994" w:history="1">
            <w:r w:rsidR="00FF4A7C" w:rsidRPr="003163D0">
              <w:rPr>
                <w:rStyle w:val="af0"/>
                <w:rFonts w:ascii="Times New Roman" w:hAnsi="Times New Roman"/>
                <w:noProof/>
              </w:rPr>
              <w:t>3.2.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cerium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_Toc162629994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25</w:t>
            </w:r>
            <w:r w:rsidR="00FF4A7C" w:rsidRPr="003163D0">
              <w:rPr>
                <w:rFonts w:ascii="Times New Roman" w:hAnsi="Times New Roman"/>
                <w:noProof/>
                <w:webHidden/>
              </w:rPr>
              <w:fldChar w:fldCharType="end"/>
            </w:r>
          </w:hyperlink>
        </w:p>
        <w:p w14:paraId="14AE1639" w14:textId="578FC644"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29995" w:history="1">
            <w:r w:rsidR="00FF4A7C" w:rsidRPr="003163D0">
              <w:rPr>
                <w:rStyle w:val="af0"/>
                <w:rFonts w:ascii="Times New Roman" w:hAnsi="Times New Roman"/>
                <w:noProof/>
              </w:rPr>
              <w:t>4.</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Praseodymium (Z = 59)</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_Toc162629995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27</w:t>
            </w:r>
            <w:r w:rsidR="00FF4A7C" w:rsidRPr="003163D0">
              <w:rPr>
                <w:rFonts w:ascii="Times New Roman" w:hAnsi="Times New Roman"/>
                <w:noProof/>
                <w:webHidden/>
              </w:rPr>
              <w:fldChar w:fldCharType="end"/>
            </w:r>
          </w:hyperlink>
        </w:p>
        <w:p w14:paraId="75973A02" w14:textId="6C9009E8" w:rsidR="00FF4A7C" w:rsidRPr="003163D0" w:rsidRDefault="00000000">
          <w:pPr>
            <w:pStyle w:val="22"/>
            <w:rPr>
              <w:rFonts w:ascii="Times New Roman" w:hAnsi="Times New Roman"/>
              <w:smallCaps w:val="0"/>
              <w:noProof/>
              <w:kern w:val="2"/>
              <w:lang w:val="fr-FR" w:eastAsia="fr-FR"/>
              <w14:ligatures w14:val="standardContextual"/>
            </w:rPr>
          </w:pPr>
          <w:hyperlink w:anchor="_Toc162629996" w:history="1">
            <w:r w:rsidR="00FF4A7C" w:rsidRPr="003163D0">
              <w:rPr>
                <w:rStyle w:val="af0"/>
                <w:rFonts w:ascii="Times New Roman" w:hAnsi="Times New Roman"/>
                <w:noProof/>
              </w:rPr>
              <w:t>4.1.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_Toc162629996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27</w:t>
            </w:r>
            <w:r w:rsidR="00FF4A7C" w:rsidRPr="003163D0">
              <w:rPr>
                <w:rFonts w:ascii="Times New Roman" w:hAnsi="Times New Roman"/>
                <w:noProof/>
                <w:webHidden/>
              </w:rPr>
              <w:fldChar w:fldCharType="end"/>
            </w:r>
          </w:hyperlink>
        </w:p>
        <w:p w14:paraId="45994C7F" w14:textId="54CA63ED" w:rsidR="00FF4A7C" w:rsidRPr="003163D0" w:rsidRDefault="00000000">
          <w:pPr>
            <w:pStyle w:val="32"/>
            <w:rPr>
              <w:rFonts w:ascii="Times New Roman" w:hAnsi="Times New Roman"/>
              <w:i w:val="0"/>
              <w:noProof/>
              <w:kern w:val="2"/>
              <w:lang w:val="fr-FR" w:eastAsia="fr-FR"/>
              <w14:ligatures w14:val="standardContextual"/>
            </w:rPr>
          </w:pPr>
          <w:hyperlink w:anchor="_Toc162629997" w:history="1">
            <w:r w:rsidR="00FF4A7C" w:rsidRPr="003163D0">
              <w:rPr>
                <w:rStyle w:val="af0"/>
                <w:rFonts w:ascii="Times New Roman" w:hAnsi="Times New Roman"/>
                <w:i w:val="0"/>
                <w:noProof/>
              </w:rPr>
              <w:t>4.1.1.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_Toc162629997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27</w:t>
            </w:r>
            <w:r w:rsidR="00FF4A7C" w:rsidRPr="003163D0">
              <w:rPr>
                <w:rFonts w:ascii="Times New Roman" w:hAnsi="Times New Roman"/>
                <w:i w:val="0"/>
                <w:noProof/>
                <w:webHidden/>
              </w:rPr>
              <w:fldChar w:fldCharType="end"/>
            </w:r>
          </w:hyperlink>
        </w:p>
        <w:p w14:paraId="25188206" w14:textId="0FFC2EDF" w:rsidR="00FF4A7C" w:rsidRPr="003163D0" w:rsidRDefault="00000000">
          <w:pPr>
            <w:pStyle w:val="32"/>
            <w:rPr>
              <w:rFonts w:ascii="Times New Roman" w:hAnsi="Times New Roman"/>
              <w:i w:val="0"/>
              <w:noProof/>
              <w:kern w:val="2"/>
              <w:lang w:val="fr-FR" w:eastAsia="fr-FR"/>
              <w14:ligatures w14:val="standardContextual"/>
            </w:rPr>
          </w:pPr>
          <w:hyperlink w:anchor="_Toc162629998" w:history="1">
            <w:r w:rsidR="00FF4A7C" w:rsidRPr="003163D0">
              <w:rPr>
                <w:rStyle w:val="af0"/>
                <w:rFonts w:ascii="Times New Roman" w:hAnsi="Times New Roman"/>
                <w:i w:val="0"/>
                <w:noProof/>
              </w:rPr>
              <w:t>4.1.2.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_Toc162629998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27</w:t>
            </w:r>
            <w:r w:rsidR="00FF4A7C" w:rsidRPr="003163D0">
              <w:rPr>
                <w:rFonts w:ascii="Times New Roman" w:hAnsi="Times New Roman"/>
                <w:i w:val="0"/>
                <w:noProof/>
                <w:webHidden/>
              </w:rPr>
              <w:fldChar w:fldCharType="end"/>
            </w:r>
          </w:hyperlink>
        </w:p>
        <w:p w14:paraId="3840EA82" w14:textId="0529AF5B" w:rsidR="00FF4A7C" w:rsidRPr="003163D0" w:rsidRDefault="00000000">
          <w:pPr>
            <w:pStyle w:val="32"/>
            <w:rPr>
              <w:rFonts w:ascii="Times New Roman" w:hAnsi="Times New Roman"/>
              <w:i w:val="0"/>
              <w:noProof/>
              <w:kern w:val="2"/>
              <w:lang w:val="fr-FR" w:eastAsia="fr-FR"/>
              <w14:ligatures w14:val="standardContextual"/>
            </w:rPr>
          </w:pPr>
          <w:hyperlink w:anchor="_Toc162629999" w:history="1">
            <w:r w:rsidR="00FF4A7C" w:rsidRPr="003163D0">
              <w:rPr>
                <w:rStyle w:val="af0"/>
                <w:rFonts w:ascii="Times New Roman" w:hAnsi="Times New Roman"/>
                <w:i w:val="0"/>
                <w:noProof/>
              </w:rPr>
              <w:t>4.1.3.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_Toc162629999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27</w:t>
            </w:r>
            <w:r w:rsidR="00FF4A7C" w:rsidRPr="003163D0">
              <w:rPr>
                <w:rFonts w:ascii="Times New Roman" w:hAnsi="Times New Roman"/>
                <w:i w:val="0"/>
                <w:noProof/>
                <w:webHidden/>
              </w:rPr>
              <w:fldChar w:fldCharType="end"/>
            </w:r>
          </w:hyperlink>
        </w:p>
        <w:p w14:paraId="2D715E43" w14:textId="594E7882" w:rsidR="00FF4A7C" w:rsidRPr="003163D0" w:rsidRDefault="00000000">
          <w:pPr>
            <w:pStyle w:val="22"/>
            <w:rPr>
              <w:rFonts w:ascii="Times New Roman" w:hAnsi="Times New Roman"/>
              <w:smallCaps w:val="0"/>
              <w:noProof/>
              <w:kern w:val="2"/>
              <w:lang w:val="fr-FR" w:eastAsia="fr-FR"/>
              <w14:ligatures w14:val="standardContextual"/>
            </w:rPr>
          </w:pPr>
          <w:hyperlink w:anchor="_Toc162630000" w:history="1">
            <w:r w:rsidR="00FF4A7C" w:rsidRPr="003163D0">
              <w:rPr>
                <w:rStyle w:val="af0"/>
                <w:rFonts w:ascii="Times New Roman" w:hAnsi="Times New Roman"/>
                <w:noProof/>
              </w:rPr>
              <w:t>4.2.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praseodymium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_Toc162630000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28</w:t>
            </w:r>
            <w:r w:rsidR="00FF4A7C" w:rsidRPr="003163D0">
              <w:rPr>
                <w:rFonts w:ascii="Times New Roman" w:hAnsi="Times New Roman"/>
                <w:noProof/>
                <w:webHidden/>
              </w:rPr>
              <w:fldChar w:fldCharType="end"/>
            </w:r>
          </w:hyperlink>
        </w:p>
        <w:p w14:paraId="7139EC6E" w14:textId="771772CB"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01" w:history="1">
            <w:r w:rsidR="00FF4A7C" w:rsidRPr="003163D0">
              <w:rPr>
                <w:rStyle w:val="af0"/>
                <w:rFonts w:ascii="Times New Roman" w:hAnsi="Times New Roman"/>
                <w:noProof/>
              </w:rPr>
              <w:t>5.</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Neodymium (Z = 60)</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_Toc162630001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29</w:t>
            </w:r>
            <w:r w:rsidR="00FF4A7C" w:rsidRPr="003163D0">
              <w:rPr>
                <w:rFonts w:ascii="Times New Roman" w:hAnsi="Times New Roman"/>
                <w:noProof/>
                <w:webHidden/>
              </w:rPr>
              <w:fldChar w:fldCharType="end"/>
            </w:r>
          </w:hyperlink>
        </w:p>
        <w:p w14:paraId="56302BB9" w14:textId="6CBAAB29" w:rsidR="00FF4A7C" w:rsidRPr="003163D0" w:rsidRDefault="00000000">
          <w:pPr>
            <w:pStyle w:val="22"/>
            <w:rPr>
              <w:rFonts w:ascii="Times New Roman" w:hAnsi="Times New Roman"/>
              <w:smallCaps w:val="0"/>
              <w:noProof/>
              <w:kern w:val="2"/>
              <w:lang w:val="fr-FR" w:eastAsia="fr-FR"/>
              <w14:ligatures w14:val="standardContextual"/>
            </w:rPr>
          </w:pPr>
          <w:hyperlink w:anchor="_Toc162630002" w:history="1">
            <w:r w:rsidR="00FF4A7C" w:rsidRPr="003163D0">
              <w:rPr>
                <w:rStyle w:val="af0"/>
                <w:rFonts w:ascii="Times New Roman" w:hAnsi="Times New Roman"/>
                <w:noProof/>
              </w:rPr>
              <w:t>5.1.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_Toc162630002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29</w:t>
            </w:r>
            <w:r w:rsidR="00FF4A7C" w:rsidRPr="003163D0">
              <w:rPr>
                <w:rFonts w:ascii="Times New Roman" w:hAnsi="Times New Roman"/>
                <w:noProof/>
                <w:webHidden/>
              </w:rPr>
              <w:fldChar w:fldCharType="end"/>
            </w:r>
          </w:hyperlink>
        </w:p>
        <w:p w14:paraId="110A4A7A" w14:textId="748CBDE2" w:rsidR="00FF4A7C" w:rsidRPr="003163D0" w:rsidRDefault="00000000">
          <w:pPr>
            <w:pStyle w:val="32"/>
            <w:rPr>
              <w:rFonts w:ascii="Times New Roman" w:hAnsi="Times New Roman"/>
              <w:i w:val="0"/>
              <w:noProof/>
              <w:kern w:val="2"/>
              <w:lang w:val="fr-FR" w:eastAsia="fr-FR"/>
              <w14:ligatures w14:val="standardContextual"/>
            </w:rPr>
          </w:pPr>
          <w:hyperlink w:anchor="_Toc162630003" w:history="1">
            <w:r w:rsidR="00FF4A7C" w:rsidRPr="003163D0">
              <w:rPr>
                <w:rStyle w:val="af0"/>
                <w:rFonts w:ascii="Times New Roman" w:hAnsi="Times New Roman"/>
                <w:i w:val="0"/>
                <w:noProof/>
              </w:rPr>
              <w:t>5.1.1.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_Toc162630003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29</w:t>
            </w:r>
            <w:r w:rsidR="00FF4A7C" w:rsidRPr="003163D0">
              <w:rPr>
                <w:rFonts w:ascii="Times New Roman" w:hAnsi="Times New Roman"/>
                <w:i w:val="0"/>
                <w:noProof/>
                <w:webHidden/>
              </w:rPr>
              <w:fldChar w:fldCharType="end"/>
            </w:r>
          </w:hyperlink>
        </w:p>
        <w:p w14:paraId="52D7DDDF" w14:textId="03DDD216" w:rsidR="00FF4A7C" w:rsidRPr="003163D0" w:rsidRDefault="00000000">
          <w:pPr>
            <w:pStyle w:val="32"/>
            <w:rPr>
              <w:rFonts w:ascii="Times New Roman" w:hAnsi="Times New Roman"/>
              <w:i w:val="0"/>
              <w:noProof/>
              <w:kern w:val="2"/>
              <w:lang w:val="fr-FR" w:eastAsia="fr-FR"/>
              <w14:ligatures w14:val="standardContextual"/>
            </w:rPr>
          </w:pPr>
          <w:hyperlink w:anchor="_Toc162630004" w:history="1">
            <w:r w:rsidR="00FF4A7C" w:rsidRPr="003163D0">
              <w:rPr>
                <w:rStyle w:val="af0"/>
                <w:rFonts w:ascii="Times New Roman" w:hAnsi="Times New Roman"/>
                <w:i w:val="0"/>
                <w:noProof/>
              </w:rPr>
              <w:t>5.1.2.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_Toc162630004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29</w:t>
            </w:r>
            <w:r w:rsidR="00FF4A7C" w:rsidRPr="003163D0">
              <w:rPr>
                <w:rFonts w:ascii="Times New Roman" w:hAnsi="Times New Roman"/>
                <w:i w:val="0"/>
                <w:noProof/>
                <w:webHidden/>
              </w:rPr>
              <w:fldChar w:fldCharType="end"/>
            </w:r>
          </w:hyperlink>
        </w:p>
        <w:p w14:paraId="3E678CA7" w14:textId="43FCA4AD" w:rsidR="00FF4A7C" w:rsidRPr="003163D0" w:rsidRDefault="00000000">
          <w:pPr>
            <w:pStyle w:val="32"/>
            <w:rPr>
              <w:rFonts w:ascii="Times New Roman" w:hAnsi="Times New Roman"/>
              <w:i w:val="0"/>
              <w:noProof/>
              <w:kern w:val="2"/>
              <w:lang w:val="fr-FR" w:eastAsia="fr-FR"/>
              <w14:ligatures w14:val="standardContextual"/>
            </w:rPr>
          </w:pPr>
          <w:hyperlink w:anchor="_Toc162630005" w:history="1">
            <w:r w:rsidR="00FF4A7C" w:rsidRPr="003163D0">
              <w:rPr>
                <w:rStyle w:val="af0"/>
                <w:rFonts w:ascii="Times New Roman" w:hAnsi="Times New Roman"/>
                <w:i w:val="0"/>
                <w:noProof/>
              </w:rPr>
              <w:t>5.1.3.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_Toc162630005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29</w:t>
            </w:r>
            <w:r w:rsidR="00FF4A7C" w:rsidRPr="003163D0">
              <w:rPr>
                <w:rFonts w:ascii="Times New Roman" w:hAnsi="Times New Roman"/>
                <w:i w:val="0"/>
                <w:noProof/>
                <w:webHidden/>
              </w:rPr>
              <w:fldChar w:fldCharType="end"/>
            </w:r>
          </w:hyperlink>
        </w:p>
        <w:p w14:paraId="258BB7F0" w14:textId="0ED424C4" w:rsidR="00FF4A7C" w:rsidRPr="003163D0" w:rsidRDefault="00000000">
          <w:pPr>
            <w:pStyle w:val="22"/>
            <w:rPr>
              <w:rFonts w:ascii="Times New Roman" w:hAnsi="Times New Roman"/>
              <w:smallCaps w:val="0"/>
              <w:noProof/>
              <w:kern w:val="2"/>
              <w:lang w:val="fr-FR" w:eastAsia="fr-FR"/>
              <w14:ligatures w14:val="standardContextual"/>
            </w:rPr>
          </w:pPr>
          <w:hyperlink w:anchor="_Toc162630006" w:history="1">
            <w:r w:rsidR="00FF4A7C" w:rsidRPr="003163D0">
              <w:rPr>
                <w:rStyle w:val="af0"/>
                <w:rFonts w:ascii="Times New Roman" w:hAnsi="Times New Roman"/>
                <w:noProof/>
              </w:rPr>
              <w:t>5.2.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neodymium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_Toc162630006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30</w:t>
            </w:r>
            <w:r w:rsidR="00FF4A7C" w:rsidRPr="003163D0">
              <w:rPr>
                <w:rFonts w:ascii="Times New Roman" w:hAnsi="Times New Roman"/>
                <w:noProof/>
                <w:webHidden/>
              </w:rPr>
              <w:fldChar w:fldCharType="end"/>
            </w:r>
          </w:hyperlink>
        </w:p>
        <w:p w14:paraId="7C1C40C9" w14:textId="516FCDB3"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07" w:history="1">
            <w:r w:rsidR="00FF4A7C" w:rsidRPr="003163D0">
              <w:rPr>
                <w:rStyle w:val="af0"/>
                <w:rFonts w:ascii="Times New Roman" w:hAnsi="Times New Roman"/>
                <w:noProof/>
              </w:rPr>
              <w:t>6.</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Promethium (Z = 61)</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_Toc162630007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31</w:t>
            </w:r>
            <w:r w:rsidR="00FF4A7C" w:rsidRPr="003163D0">
              <w:rPr>
                <w:rFonts w:ascii="Times New Roman" w:hAnsi="Times New Roman"/>
                <w:noProof/>
                <w:webHidden/>
              </w:rPr>
              <w:fldChar w:fldCharType="end"/>
            </w:r>
          </w:hyperlink>
        </w:p>
        <w:p w14:paraId="62EE4D9D" w14:textId="77DE5BA2" w:rsidR="00FF4A7C" w:rsidRPr="003163D0" w:rsidRDefault="00000000">
          <w:pPr>
            <w:pStyle w:val="22"/>
            <w:rPr>
              <w:rFonts w:ascii="Times New Roman" w:hAnsi="Times New Roman"/>
              <w:smallCaps w:val="0"/>
              <w:noProof/>
              <w:kern w:val="2"/>
              <w:lang w:val="fr-FR" w:eastAsia="fr-FR"/>
              <w14:ligatures w14:val="standardContextual"/>
            </w:rPr>
          </w:pPr>
          <w:hyperlink w:anchor="_Toc162630008" w:history="1">
            <w:r w:rsidR="00FF4A7C" w:rsidRPr="003163D0">
              <w:rPr>
                <w:rStyle w:val="af0"/>
                <w:rFonts w:ascii="Times New Roman" w:hAnsi="Times New Roman"/>
                <w:noProof/>
              </w:rPr>
              <w:t>6.1.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_Toc162630008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31</w:t>
            </w:r>
            <w:r w:rsidR="00FF4A7C" w:rsidRPr="003163D0">
              <w:rPr>
                <w:rFonts w:ascii="Times New Roman" w:hAnsi="Times New Roman"/>
                <w:noProof/>
                <w:webHidden/>
              </w:rPr>
              <w:fldChar w:fldCharType="end"/>
            </w:r>
          </w:hyperlink>
        </w:p>
        <w:p w14:paraId="6B245DC5" w14:textId="195687D2" w:rsidR="00FF4A7C" w:rsidRPr="003163D0" w:rsidRDefault="00000000">
          <w:pPr>
            <w:pStyle w:val="32"/>
            <w:rPr>
              <w:rFonts w:ascii="Times New Roman" w:hAnsi="Times New Roman"/>
              <w:i w:val="0"/>
              <w:noProof/>
              <w:kern w:val="2"/>
              <w:lang w:val="fr-FR" w:eastAsia="fr-FR"/>
              <w14:ligatures w14:val="standardContextual"/>
            </w:rPr>
          </w:pPr>
          <w:hyperlink w:anchor="_Toc162630009" w:history="1">
            <w:r w:rsidR="00FF4A7C" w:rsidRPr="003163D0">
              <w:rPr>
                <w:rStyle w:val="af0"/>
                <w:rFonts w:ascii="Times New Roman" w:hAnsi="Times New Roman"/>
                <w:i w:val="0"/>
                <w:noProof/>
              </w:rPr>
              <w:t>6.1.1.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_Toc162630009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31</w:t>
            </w:r>
            <w:r w:rsidR="00FF4A7C" w:rsidRPr="003163D0">
              <w:rPr>
                <w:rFonts w:ascii="Times New Roman" w:hAnsi="Times New Roman"/>
                <w:i w:val="0"/>
                <w:noProof/>
                <w:webHidden/>
              </w:rPr>
              <w:fldChar w:fldCharType="end"/>
            </w:r>
          </w:hyperlink>
        </w:p>
        <w:p w14:paraId="6D2E3152" w14:textId="54D9D12B" w:rsidR="00FF4A7C" w:rsidRPr="003163D0" w:rsidRDefault="00000000">
          <w:pPr>
            <w:pStyle w:val="32"/>
            <w:rPr>
              <w:rFonts w:ascii="Times New Roman" w:hAnsi="Times New Roman"/>
              <w:i w:val="0"/>
              <w:noProof/>
              <w:kern w:val="2"/>
              <w:lang w:val="fr-FR" w:eastAsia="fr-FR"/>
              <w14:ligatures w14:val="standardContextual"/>
            </w:rPr>
          </w:pPr>
          <w:hyperlink w:anchor="_Toc162630010" w:history="1">
            <w:r w:rsidR="00FF4A7C" w:rsidRPr="003163D0">
              <w:rPr>
                <w:rStyle w:val="af0"/>
                <w:rFonts w:ascii="Times New Roman" w:hAnsi="Times New Roman"/>
                <w:i w:val="0"/>
                <w:noProof/>
              </w:rPr>
              <w:t>6.1.2.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_Toc162630010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31</w:t>
            </w:r>
            <w:r w:rsidR="00FF4A7C" w:rsidRPr="003163D0">
              <w:rPr>
                <w:rFonts w:ascii="Times New Roman" w:hAnsi="Times New Roman"/>
                <w:i w:val="0"/>
                <w:noProof/>
                <w:webHidden/>
              </w:rPr>
              <w:fldChar w:fldCharType="end"/>
            </w:r>
          </w:hyperlink>
        </w:p>
        <w:p w14:paraId="20270037" w14:textId="74AE20B9" w:rsidR="00FF4A7C" w:rsidRPr="003163D0" w:rsidRDefault="00000000">
          <w:pPr>
            <w:pStyle w:val="32"/>
            <w:rPr>
              <w:rFonts w:ascii="Times New Roman" w:hAnsi="Times New Roman"/>
              <w:i w:val="0"/>
              <w:noProof/>
              <w:kern w:val="2"/>
              <w:lang w:val="fr-FR" w:eastAsia="fr-FR"/>
              <w14:ligatures w14:val="standardContextual"/>
            </w:rPr>
          </w:pPr>
          <w:hyperlink w:anchor="_Toc162630011" w:history="1">
            <w:r w:rsidR="00FF4A7C" w:rsidRPr="003163D0">
              <w:rPr>
                <w:rStyle w:val="af0"/>
                <w:rFonts w:ascii="Times New Roman" w:hAnsi="Times New Roman"/>
                <w:i w:val="0"/>
                <w:noProof/>
              </w:rPr>
              <w:t>6.1.3.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_Toc162630011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31</w:t>
            </w:r>
            <w:r w:rsidR="00FF4A7C" w:rsidRPr="003163D0">
              <w:rPr>
                <w:rFonts w:ascii="Times New Roman" w:hAnsi="Times New Roman"/>
                <w:i w:val="0"/>
                <w:noProof/>
                <w:webHidden/>
              </w:rPr>
              <w:fldChar w:fldCharType="end"/>
            </w:r>
          </w:hyperlink>
        </w:p>
        <w:p w14:paraId="13400757" w14:textId="194E33CF" w:rsidR="00FF4A7C" w:rsidRPr="003163D0" w:rsidRDefault="00000000">
          <w:pPr>
            <w:pStyle w:val="22"/>
            <w:rPr>
              <w:rFonts w:ascii="Times New Roman" w:hAnsi="Times New Roman"/>
              <w:smallCaps w:val="0"/>
              <w:noProof/>
              <w:kern w:val="2"/>
              <w:lang w:val="fr-FR" w:eastAsia="fr-FR"/>
              <w14:ligatures w14:val="standardContextual"/>
            </w:rPr>
          </w:pPr>
          <w:hyperlink w:anchor="_Toc162630012" w:history="1">
            <w:r w:rsidR="00FF4A7C" w:rsidRPr="003163D0">
              <w:rPr>
                <w:rStyle w:val="af0"/>
                <w:rFonts w:ascii="Times New Roman" w:hAnsi="Times New Roman"/>
                <w:noProof/>
              </w:rPr>
              <w:t>6.2.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promethium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_Toc162630012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35</w:t>
            </w:r>
            <w:r w:rsidR="00FF4A7C" w:rsidRPr="003163D0">
              <w:rPr>
                <w:rFonts w:ascii="Times New Roman" w:hAnsi="Times New Roman"/>
                <w:noProof/>
                <w:webHidden/>
              </w:rPr>
              <w:fldChar w:fldCharType="end"/>
            </w:r>
          </w:hyperlink>
        </w:p>
        <w:p w14:paraId="1A66416A" w14:textId="4D1D418E"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13" w:history="1">
            <w:r w:rsidR="00FF4A7C" w:rsidRPr="003163D0">
              <w:rPr>
                <w:rStyle w:val="af0"/>
                <w:rFonts w:ascii="Times New Roman" w:hAnsi="Times New Roman"/>
                <w:noProof/>
              </w:rPr>
              <w:t>7.</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Samarium (Z=62)</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_Toc162630013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36</w:t>
            </w:r>
            <w:r w:rsidR="00FF4A7C" w:rsidRPr="003163D0">
              <w:rPr>
                <w:rFonts w:ascii="Times New Roman" w:hAnsi="Times New Roman"/>
                <w:noProof/>
                <w:webHidden/>
              </w:rPr>
              <w:fldChar w:fldCharType="end"/>
            </w:r>
          </w:hyperlink>
        </w:p>
        <w:p w14:paraId="5FE84ACF" w14:textId="7E46F2B1" w:rsidR="00FF4A7C" w:rsidRPr="003163D0" w:rsidRDefault="00000000">
          <w:pPr>
            <w:pStyle w:val="22"/>
            <w:rPr>
              <w:rFonts w:ascii="Times New Roman" w:hAnsi="Times New Roman"/>
              <w:smallCaps w:val="0"/>
              <w:noProof/>
              <w:kern w:val="2"/>
              <w:lang w:val="fr-FR" w:eastAsia="fr-FR"/>
              <w14:ligatures w14:val="standardContextual"/>
            </w:rPr>
          </w:pPr>
          <w:hyperlink w:anchor="_Toc162630014" w:history="1">
            <w:r w:rsidR="00FF4A7C" w:rsidRPr="003163D0">
              <w:rPr>
                <w:rStyle w:val="af0"/>
                <w:rFonts w:ascii="Times New Roman" w:hAnsi="Times New Roman"/>
                <w:noProof/>
              </w:rPr>
              <w:t>7.1.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_Toc162630014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36</w:t>
            </w:r>
            <w:r w:rsidR="00FF4A7C" w:rsidRPr="003163D0">
              <w:rPr>
                <w:rFonts w:ascii="Times New Roman" w:hAnsi="Times New Roman"/>
                <w:noProof/>
                <w:webHidden/>
              </w:rPr>
              <w:fldChar w:fldCharType="end"/>
            </w:r>
          </w:hyperlink>
        </w:p>
        <w:p w14:paraId="6D8AD617" w14:textId="089CD789" w:rsidR="00FF4A7C" w:rsidRPr="003163D0" w:rsidRDefault="00000000">
          <w:pPr>
            <w:pStyle w:val="32"/>
            <w:rPr>
              <w:rFonts w:ascii="Times New Roman" w:hAnsi="Times New Roman"/>
              <w:i w:val="0"/>
              <w:noProof/>
              <w:kern w:val="2"/>
              <w:lang w:val="fr-FR" w:eastAsia="fr-FR"/>
              <w14:ligatures w14:val="standardContextual"/>
            </w:rPr>
          </w:pPr>
          <w:hyperlink w:anchor="_Toc162630015" w:history="1">
            <w:r w:rsidR="00FF4A7C" w:rsidRPr="003163D0">
              <w:rPr>
                <w:rStyle w:val="af0"/>
                <w:rFonts w:ascii="Times New Roman" w:hAnsi="Times New Roman"/>
                <w:i w:val="0"/>
                <w:noProof/>
              </w:rPr>
              <w:t>7.1.1.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_Toc162630015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36</w:t>
            </w:r>
            <w:r w:rsidR="00FF4A7C" w:rsidRPr="003163D0">
              <w:rPr>
                <w:rFonts w:ascii="Times New Roman" w:hAnsi="Times New Roman"/>
                <w:i w:val="0"/>
                <w:noProof/>
                <w:webHidden/>
              </w:rPr>
              <w:fldChar w:fldCharType="end"/>
            </w:r>
          </w:hyperlink>
        </w:p>
        <w:p w14:paraId="024429F8" w14:textId="7AAE78B0" w:rsidR="00FF4A7C" w:rsidRPr="003163D0" w:rsidRDefault="00000000">
          <w:pPr>
            <w:pStyle w:val="32"/>
            <w:rPr>
              <w:rFonts w:ascii="Times New Roman" w:hAnsi="Times New Roman"/>
              <w:i w:val="0"/>
              <w:noProof/>
              <w:kern w:val="2"/>
              <w:lang w:val="fr-FR" w:eastAsia="fr-FR"/>
              <w14:ligatures w14:val="standardContextual"/>
            </w:rPr>
          </w:pPr>
          <w:hyperlink w:anchor="_Toc162630016" w:history="1">
            <w:r w:rsidR="00FF4A7C" w:rsidRPr="003163D0">
              <w:rPr>
                <w:rStyle w:val="af0"/>
                <w:rFonts w:ascii="Times New Roman" w:hAnsi="Times New Roman"/>
                <w:i w:val="0"/>
                <w:noProof/>
              </w:rPr>
              <w:t>7.1.2.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_Toc162630016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36</w:t>
            </w:r>
            <w:r w:rsidR="00FF4A7C" w:rsidRPr="003163D0">
              <w:rPr>
                <w:rFonts w:ascii="Times New Roman" w:hAnsi="Times New Roman"/>
                <w:i w:val="0"/>
                <w:noProof/>
                <w:webHidden/>
              </w:rPr>
              <w:fldChar w:fldCharType="end"/>
            </w:r>
          </w:hyperlink>
        </w:p>
        <w:p w14:paraId="0C0ABB15" w14:textId="564CF5DD" w:rsidR="00FF4A7C" w:rsidRPr="003163D0" w:rsidRDefault="00000000">
          <w:pPr>
            <w:pStyle w:val="32"/>
            <w:rPr>
              <w:rFonts w:ascii="Times New Roman" w:hAnsi="Times New Roman"/>
              <w:i w:val="0"/>
              <w:noProof/>
              <w:kern w:val="2"/>
              <w:lang w:val="fr-FR" w:eastAsia="fr-FR"/>
              <w14:ligatures w14:val="standardContextual"/>
            </w:rPr>
          </w:pPr>
          <w:hyperlink w:anchor="_Toc162630017" w:history="1">
            <w:r w:rsidR="00FF4A7C" w:rsidRPr="003163D0">
              <w:rPr>
                <w:rStyle w:val="af0"/>
                <w:rFonts w:ascii="Times New Roman" w:hAnsi="Times New Roman"/>
                <w:i w:val="0"/>
                <w:noProof/>
              </w:rPr>
              <w:t>7.1.3.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_Toc162630017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36</w:t>
            </w:r>
            <w:r w:rsidR="00FF4A7C" w:rsidRPr="003163D0">
              <w:rPr>
                <w:rFonts w:ascii="Times New Roman" w:hAnsi="Times New Roman"/>
                <w:i w:val="0"/>
                <w:noProof/>
                <w:webHidden/>
              </w:rPr>
              <w:fldChar w:fldCharType="end"/>
            </w:r>
          </w:hyperlink>
        </w:p>
        <w:p w14:paraId="12B7B9A6" w14:textId="31406E55" w:rsidR="00FF4A7C" w:rsidRPr="003163D0" w:rsidRDefault="00000000">
          <w:pPr>
            <w:pStyle w:val="22"/>
            <w:rPr>
              <w:rFonts w:ascii="Times New Roman" w:hAnsi="Times New Roman"/>
              <w:smallCaps w:val="0"/>
              <w:noProof/>
              <w:kern w:val="2"/>
              <w:lang w:val="fr-FR" w:eastAsia="fr-FR"/>
              <w14:ligatures w14:val="standardContextual"/>
            </w:rPr>
          </w:pPr>
          <w:hyperlink w:anchor="_Toc162630018" w:history="1">
            <w:r w:rsidR="00FF4A7C" w:rsidRPr="003163D0">
              <w:rPr>
                <w:rStyle w:val="af0"/>
                <w:rFonts w:ascii="Times New Roman" w:hAnsi="Times New Roman"/>
                <w:noProof/>
              </w:rPr>
              <w:t>7.2.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samarium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_Toc162630018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37</w:t>
            </w:r>
            <w:r w:rsidR="00FF4A7C" w:rsidRPr="003163D0">
              <w:rPr>
                <w:rFonts w:ascii="Times New Roman" w:hAnsi="Times New Roman"/>
                <w:noProof/>
                <w:webHidden/>
              </w:rPr>
              <w:fldChar w:fldCharType="end"/>
            </w:r>
          </w:hyperlink>
        </w:p>
        <w:p w14:paraId="2D59D56F" w14:textId="01E66A2A"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19" w:history="1">
            <w:r w:rsidR="00FF4A7C" w:rsidRPr="003163D0">
              <w:rPr>
                <w:rStyle w:val="af0"/>
                <w:rFonts w:ascii="Times New Roman" w:hAnsi="Times New Roman"/>
                <w:noProof/>
              </w:rPr>
              <w:t>8.</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Europium (Z = 63)</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_Toc162630019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38</w:t>
            </w:r>
            <w:r w:rsidR="00FF4A7C" w:rsidRPr="003163D0">
              <w:rPr>
                <w:rFonts w:ascii="Times New Roman" w:hAnsi="Times New Roman"/>
                <w:noProof/>
                <w:webHidden/>
              </w:rPr>
              <w:fldChar w:fldCharType="end"/>
            </w:r>
          </w:hyperlink>
        </w:p>
        <w:p w14:paraId="6A5DE07F" w14:textId="43321B34" w:rsidR="00FF4A7C" w:rsidRPr="003163D0" w:rsidRDefault="00000000">
          <w:pPr>
            <w:pStyle w:val="22"/>
            <w:rPr>
              <w:rFonts w:ascii="Times New Roman" w:hAnsi="Times New Roman"/>
              <w:smallCaps w:val="0"/>
              <w:noProof/>
              <w:kern w:val="2"/>
              <w:lang w:val="fr-FR" w:eastAsia="fr-FR"/>
              <w14:ligatures w14:val="standardContextual"/>
            </w:rPr>
          </w:pPr>
          <w:hyperlink w:anchor="_Toc162630020" w:history="1">
            <w:r w:rsidR="00FF4A7C" w:rsidRPr="003163D0">
              <w:rPr>
                <w:rStyle w:val="af0"/>
                <w:rFonts w:ascii="Times New Roman" w:hAnsi="Times New Roman"/>
                <w:noProof/>
              </w:rPr>
              <w:t>8.1.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_Toc162630020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38</w:t>
            </w:r>
            <w:r w:rsidR="00FF4A7C" w:rsidRPr="003163D0">
              <w:rPr>
                <w:rFonts w:ascii="Times New Roman" w:hAnsi="Times New Roman"/>
                <w:noProof/>
                <w:webHidden/>
              </w:rPr>
              <w:fldChar w:fldCharType="end"/>
            </w:r>
          </w:hyperlink>
        </w:p>
        <w:p w14:paraId="2E7A502D" w14:textId="1AE6D9B8" w:rsidR="00FF4A7C" w:rsidRPr="003163D0" w:rsidRDefault="00000000">
          <w:pPr>
            <w:pStyle w:val="32"/>
            <w:rPr>
              <w:rFonts w:ascii="Times New Roman" w:hAnsi="Times New Roman"/>
              <w:i w:val="0"/>
              <w:noProof/>
              <w:kern w:val="2"/>
              <w:lang w:val="fr-FR" w:eastAsia="fr-FR"/>
              <w14:ligatures w14:val="standardContextual"/>
            </w:rPr>
          </w:pPr>
          <w:hyperlink w:anchor="_Toc162630021" w:history="1">
            <w:r w:rsidR="00FF4A7C" w:rsidRPr="003163D0">
              <w:rPr>
                <w:rStyle w:val="af0"/>
                <w:rFonts w:ascii="Times New Roman" w:hAnsi="Times New Roman"/>
                <w:i w:val="0"/>
                <w:noProof/>
              </w:rPr>
              <w:t>8.1.1.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_Toc162630021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38</w:t>
            </w:r>
            <w:r w:rsidR="00FF4A7C" w:rsidRPr="003163D0">
              <w:rPr>
                <w:rFonts w:ascii="Times New Roman" w:hAnsi="Times New Roman"/>
                <w:i w:val="0"/>
                <w:noProof/>
                <w:webHidden/>
              </w:rPr>
              <w:fldChar w:fldCharType="end"/>
            </w:r>
          </w:hyperlink>
        </w:p>
        <w:p w14:paraId="25629D06" w14:textId="403FB591" w:rsidR="00FF4A7C" w:rsidRPr="003163D0" w:rsidRDefault="00000000">
          <w:pPr>
            <w:pStyle w:val="32"/>
            <w:rPr>
              <w:rFonts w:ascii="Times New Roman" w:hAnsi="Times New Roman"/>
              <w:i w:val="0"/>
              <w:noProof/>
              <w:kern w:val="2"/>
              <w:lang w:val="fr-FR" w:eastAsia="fr-FR"/>
              <w14:ligatures w14:val="standardContextual"/>
            </w:rPr>
          </w:pPr>
          <w:hyperlink w:anchor="_Toc162630022" w:history="1">
            <w:r w:rsidR="00FF4A7C" w:rsidRPr="003163D0">
              <w:rPr>
                <w:rStyle w:val="af0"/>
                <w:rFonts w:ascii="Times New Roman" w:hAnsi="Times New Roman"/>
                <w:i w:val="0"/>
                <w:noProof/>
              </w:rPr>
              <w:t>8.1.2.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_Toc162630022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38</w:t>
            </w:r>
            <w:r w:rsidR="00FF4A7C" w:rsidRPr="003163D0">
              <w:rPr>
                <w:rFonts w:ascii="Times New Roman" w:hAnsi="Times New Roman"/>
                <w:i w:val="0"/>
                <w:noProof/>
                <w:webHidden/>
              </w:rPr>
              <w:fldChar w:fldCharType="end"/>
            </w:r>
          </w:hyperlink>
        </w:p>
        <w:p w14:paraId="532EBE61" w14:textId="609011BD" w:rsidR="00FF4A7C" w:rsidRPr="003163D0" w:rsidRDefault="00000000">
          <w:pPr>
            <w:pStyle w:val="32"/>
            <w:rPr>
              <w:rFonts w:ascii="Times New Roman" w:hAnsi="Times New Roman"/>
              <w:i w:val="0"/>
              <w:noProof/>
              <w:kern w:val="2"/>
              <w:lang w:val="fr-FR" w:eastAsia="fr-FR"/>
              <w14:ligatures w14:val="standardContextual"/>
            </w:rPr>
          </w:pPr>
          <w:hyperlink w:anchor="_Toc162630023" w:history="1">
            <w:r w:rsidR="00FF4A7C" w:rsidRPr="003163D0">
              <w:rPr>
                <w:rStyle w:val="af0"/>
                <w:rFonts w:ascii="Times New Roman" w:hAnsi="Times New Roman"/>
                <w:i w:val="0"/>
                <w:noProof/>
              </w:rPr>
              <w:t>8.1.3.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_Toc162630023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38</w:t>
            </w:r>
            <w:r w:rsidR="00FF4A7C" w:rsidRPr="003163D0">
              <w:rPr>
                <w:rFonts w:ascii="Times New Roman" w:hAnsi="Times New Roman"/>
                <w:i w:val="0"/>
                <w:noProof/>
                <w:webHidden/>
              </w:rPr>
              <w:fldChar w:fldCharType="end"/>
            </w:r>
          </w:hyperlink>
        </w:p>
        <w:p w14:paraId="434A68DA" w14:textId="24696A2A" w:rsidR="00FF4A7C" w:rsidRPr="003163D0" w:rsidRDefault="00000000">
          <w:pPr>
            <w:pStyle w:val="22"/>
            <w:rPr>
              <w:rFonts w:ascii="Times New Roman" w:hAnsi="Times New Roman"/>
              <w:smallCaps w:val="0"/>
              <w:noProof/>
              <w:kern w:val="2"/>
              <w:lang w:val="fr-FR" w:eastAsia="fr-FR"/>
              <w14:ligatures w14:val="standardContextual"/>
            </w:rPr>
          </w:pPr>
          <w:hyperlink w:anchor="_Toc162630024" w:history="1">
            <w:r w:rsidR="00FF4A7C" w:rsidRPr="003163D0">
              <w:rPr>
                <w:rStyle w:val="af0"/>
                <w:rFonts w:ascii="Times New Roman" w:hAnsi="Times New Roman"/>
                <w:noProof/>
              </w:rPr>
              <w:t>8.2.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europium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_Toc162630024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42</w:t>
            </w:r>
            <w:r w:rsidR="00FF4A7C" w:rsidRPr="003163D0">
              <w:rPr>
                <w:rFonts w:ascii="Times New Roman" w:hAnsi="Times New Roman"/>
                <w:noProof/>
                <w:webHidden/>
              </w:rPr>
              <w:fldChar w:fldCharType="end"/>
            </w:r>
          </w:hyperlink>
        </w:p>
        <w:p w14:paraId="18A55654" w14:textId="6B0CF7DC"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25" w:history="1">
            <w:r w:rsidR="00FF4A7C" w:rsidRPr="003163D0">
              <w:rPr>
                <w:rStyle w:val="af0"/>
                <w:rFonts w:ascii="Times New Roman" w:hAnsi="Times New Roman"/>
                <w:noProof/>
              </w:rPr>
              <w:t>9.</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Gadolinium (Z = 64)</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_Toc162630025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44</w:t>
            </w:r>
            <w:r w:rsidR="00FF4A7C" w:rsidRPr="003163D0">
              <w:rPr>
                <w:rFonts w:ascii="Times New Roman" w:hAnsi="Times New Roman"/>
                <w:noProof/>
                <w:webHidden/>
              </w:rPr>
              <w:fldChar w:fldCharType="end"/>
            </w:r>
          </w:hyperlink>
        </w:p>
        <w:p w14:paraId="19ED93E8" w14:textId="6D285930" w:rsidR="00FF4A7C" w:rsidRPr="003163D0" w:rsidRDefault="00000000">
          <w:pPr>
            <w:pStyle w:val="22"/>
            <w:rPr>
              <w:rFonts w:ascii="Times New Roman" w:hAnsi="Times New Roman"/>
              <w:smallCaps w:val="0"/>
              <w:noProof/>
              <w:kern w:val="2"/>
              <w:lang w:val="fr-FR" w:eastAsia="fr-FR"/>
              <w14:ligatures w14:val="standardContextual"/>
            </w:rPr>
          </w:pPr>
          <w:hyperlink w:anchor="_Toc162630026" w:history="1">
            <w:r w:rsidR="00FF4A7C" w:rsidRPr="003163D0">
              <w:rPr>
                <w:rStyle w:val="af0"/>
                <w:rFonts w:ascii="Times New Roman" w:hAnsi="Times New Roman"/>
                <w:noProof/>
              </w:rPr>
              <w:t>9.1.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_Toc162630026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44</w:t>
            </w:r>
            <w:r w:rsidR="00FF4A7C" w:rsidRPr="003163D0">
              <w:rPr>
                <w:rFonts w:ascii="Times New Roman" w:hAnsi="Times New Roman"/>
                <w:noProof/>
                <w:webHidden/>
              </w:rPr>
              <w:fldChar w:fldCharType="end"/>
            </w:r>
          </w:hyperlink>
        </w:p>
        <w:p w14:paraId="4A4FF862" w14:textId="735E4497" w:rsidR="00FF4A7C" w:rsidRPr="003163D0" w:rsidRDefault="00000000">
          <w:pPr>
            <w:pStyle w:val="32"/>
            <w:rPr>
              <w:rFonts w:ascii="Times New Roman" w:hAnsi="Times New Roman"/>
              <w:i w:val="0"/>
              <w:noProof/>
              <w:kern w:val="2"/>
              <w:lang w:val="fr-FR" w:eastAsia="fr-FR"/>
              <w14:ligatures w14:val="standardContextual"/>
            </w:rPr>
          </w:pPr>
          <w:hyperlink w:anchor="_Toc162630027" w:history="1">
            <w:r w:rsidR="00FF4A7C" w:rsidRPr="003163D0">
              <w:rPr>
                <w:rStyle w:val="af0"/>
                <w:rFonts w:ascii="Times New Roman" w:hAnsi="Times New Roman"/>
                <w:i w:val="0"/>
                <w:noProof/>
              </w:rPr>
              <w:t>9.1.1.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_Toc162630027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44</w:t>
            </w:r>
            <w:r w:rsidR="00FF4A7C" w:rsidRPr="003163D0">
              <w:rPr>
                <w:rFonts w:ascii="Times New Roman" w:hAnsi="Times New Roman"/>
                <w:i w:val="0"/>
                <w:noProof/>
                <w:webHidden/>
              </w:rPr>
              <w:fldChar w:fldCharType="end"/>
            </w:r>
          </w:hyperlink>
        </w:p>
        <w:p w14:paraId="78F89DEA" w14:textId="480D4ADE" w:rsidR="00FF4A7C" w:rsidRPr="003163D0" w:rsidRDefault="00000000">
          <w:pPr>
            <w:pStyle w:val="32"/>
            <w:rPr>
              <w:rFonts w:ascii="Times New Roman" w:hAnsi="Times New Roman"/>
              <w:i w:val="0"/>
              <w:noProof/>
              <w:kern w:val="2"/>
              <w:lang w:val="fr-FR" w:eastAsia="fr-FR"/>
              <w14:ligatures w14:val="standardContextual"/>
            </w:rPr>
          </w:pPr>
          <w:hyperlink w:anchor="_Toc162630028" w:history="1">
            <w:r w:rsidR="00FF4A7C" w:rsidRPr="003163D0">
              <w:rPr>
                <w:rStyle w:val="af0"/>
                <w:rFonts w:ascii="Times New Roman" w:hAnsi="Times New Roman"/>
                <w:i w:val="0"/>
                <w:noProof/>
              </w:rPr>
              <w:t>9.1.2.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_Toc162630028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44</w:t>
            </w:r>
            <w:r w:rsidR="00FF4A7C" w:rsidRPr="003163D0">
              <w:rPr>
                <w:rFonts w:ascii="Times New Roman" w:hAnsi="Times New Roman"/>
                <w:i w:val="0"/>
                <w:noProof/>
                <w:webHidden/>
              </w:rPr>
              <w:fldChar w:fldCharType="end"/>
            </w:r>
          </w:hyperlink>
        </w:p>
        <w:p w14:paraId="74CF23CC" w14:textId="593C4738" w:rsidR="00FF4A7C" w:rsidRPr="003163D0" w:rsidRDefault="00000000">
          <w:pPr>
            <w:pStyle w:val="32"/>
            <w:rPr>
              <w:rFonts w:ascii="Times New Roman" w:hAnsi="Times New Roman"/>
              <w:i w:val="0"/>
              <w:noProof/>
              <w:kern w:val="2"/>
              <w:lang w:val="fr-FR" w:eastAsia="fr-FR"/>
              <w14:ligatures w14:val="standardContextual"/>
            </w:rPr>
          </w:pPr>
          <w:hyperlink w:anchor="_Toc162630029" w:history="1">
            <w:r w:rsidR="00FF4A7C" w:rsidRPr="003163D0">
              <w:rPr>
                <w:rStyle w:val="af0"/>
                <w:rFonts w:ascii="Times New Roman" w:hAnsi="Times New Roman"/>
                <w:i w:val="0"/>
                <w:noProof/>
              </w:rPr>
              <w:t>9.1.3.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_Toc162630029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44</w:t>
            </w:r>
            <w:r w:rsidR="00FF4A7C" w:rsidRPr="003163D0">
              <w:rPr>
                <w:rFonts w:ascii="Times New Roman" w:hAnsi="Times New Roman"/>
                <w:i w:val="0"/>
                <w:noProof/>
                <w:webHidden/>
              </w:rPr>
              <w:fldChar w:fldCharType="end"/>
            </w:r>
          </w:hyperlink>
        </w:p>
        <w:p w14:paraId="499D4ACF" w14:textId="4323DE17" w:rsidR="00FF4A7C" w:rsidRPr="003163D0" w:rsidRDefault="00000000">
          <w:pPr>
            <w:pStyle w:val="22"/>
            <w:rPr>
              <w:rFonts w:ascii="Times New Roman" w:hAnsi="Times New Roman"/>
              <w:smallCaps w:val="0"/>
              <w:noProof/>
              <w:kern w:val="2"/>
              <w:lang w:val="fr-FR" w:eastAsia="fr-FR"/>
              <w14:ligatures w14:val="standardContextual"/>
            </w:rPr>
          </w:pPr>
          <w:hyperlink w:anchor="_Toc162630030" w:history="1">
            <w:r w:rsidR="00FF4A7C" w:rsidRPr="003163D0">
              <w:rPr>
                <w:rStyle w:val="af0"/>
                <w:rFonts w:ascii="Times New Roman" w:hAnsi="Times New Roman"/>
                <w:noProof/>
              </w:rPr>
              <w:t>9.2.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gadolinium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_Toc162630030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48</w:t>
            </w:r>
            <w:r w:rsidR="00FF4A7C" w:rsidRPr="003163D0">
              <w:rPr>
                <w:rFonts w:ascii="Times New Roman" w:hAnsi="Times New Roman"/>
                <w:noProof/>
                <w:webHidden/>
              </w:rPr>
              <w:fldChar w:fldCharType="end"/>
            </w:r>
          </w:hyperlink>
        </w:p>
        <w:p w14:paraId="324BD139" w14:textId="705A9A01"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31" w:history="1">
            <w:r w:rsidR="00FF4A7C" w:rsidRPr="003163D0">
              <w:rPr>
                <w:rStyle w:val="af0"/>
                <w:rFonts w:ascii="Times New Roman" w:hAnsi="Times New Roman"/>
                <w:noProof/>
              </w:rPr>
              <w:t>10.</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Terbium (Z = 65)</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_Toc162630031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49</w:t>
            </w:r>
            <w:r w:rsidR="00FF4A7C" w:rsidRPr="003163D0">
              <w:rPr>
                <w:rFonts w:ascii="Times New Roman" w:hAnsi="Times New Roman"/>
                <w:noProof/>
                <w:webHidden/>
              </w:rPr>
              <w:fldChar w:fldCharType="end"/>
            </w:r>
          </w:hyperlink>
        </w:p>
        <w:p w14:paraId="21A6525F" w14:textId="2023022B" w:rsidR="00FF4A7C" w:rsidRPr="003163D0" w:rsidRDefault="00000000">
          <w:pPr>
            <w:pStyle w:val="22"/>
            <w:rPr>
              <w:rFonts w:ascii="Times New Roman" w:hAnsi="Times New Roman"/>
              <w:smallCaps w:val="0"/>
              <w:noProof/>
              <w:kern w:val="2"/>
              <w:lang w:val="fr-FR" w:eastAsia="fr-FR"/>
              <w14:ligatures w14:val="standardContextual"/>
            </w:rPr>
          </w:pPr>
          <w:hyperlink w:anchor="_Toc162630032" w:history="1">
            <w:r w:rsidR="00FF4A7C" w:rsidRPr="003163D0">
              <w:rPr>
                <w:rStyle w:val="af0"/>
                <w:rFonts w:ascii="Times New Roman" w:hAnsi="Times New Roman"/>
                <w:noProof/>
              </w:rPr>
              <w:t>10.1.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_Toc162630032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49</w:t>
            </w:r>
            <w:r w:rsidR="00FF4A7C" w:rsidRPr="003163D0">
              <w:rPr>
                <w:rFonts w:ascii="Times New Roman" w:hAnsi="Times New Roman"/>
                <w:noProof/>
                <w:webHidden/>
              </w:rPr>
              <w:fldChar w:fldCharType="end"/>
            </w:r>
          </w:hyperlink>
        </w:p>
        <w:p w14:paraId="04B2D81D" w14:textId="4F3DD8EE" w:rsidR="00FF4A7C" w:rsidRPr="003163D0" w:rsidRDefault="00000000">
          <w:pPr>
            <w:pStyle w:val="32"/>
            <w:rPr>
              <w:rFonts w:ascii="Times New Roman" w:hAnsi="Times New Roman"/>
              <w:i w:val="0"/>
              <w:noProof/>
              <w:kern w:val="2"/>
              <w:lang w:val="fr-FR" w:eastAsia="fr-FR"/>
              <w14:ligatures w14:val="standardContextual"/>
            </w:rPr>
          </w:pPr>
          <w:hyperlink w:anchor="_Toc162630033" w:history="1">
            <w:r w:rsidR="00FF4A7C" w:rsidRPr="003163D0">
              <w:rPr>
                <w:rStyle w:val="af0"/>
                <w:rFonts w:ascii="Times New Roman" w:hAnsi="Times New Roman"/>
                <w:i w:val="0"/>
                <w:noProof/>
              </w:rPr>
              <w:t>10.1.1.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_Toc162630033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49</w:t>
            </w:r>
            <w:r w:rsidR="00FF4A7C" w:rsidRPr="003163D0">
              <w:rPr>
                <w:rFonts w:ascii="Times New Roman" w:hAnsi="Times New Roman"/>
                <w:i w:val="0"/>
                <w:noProof/>
                <w:webHidden/>
              </w:rPr>
              <w:fldChar w:fldCharType="end"/>
            </w:r>
          </w:hyperlink>
        </w:p>
        <w:p w14:paraId="5C197C97" w14:textId="743C4771" w:rsidR="00FF4A7C" w:rsidRPr="003163D0" w:rsidRDefault="00000000">
          <w:pPr>
            <w:pStyle w:val="32"/>
            <w:rPr>
              <w:rFonts w:ascii="Times New Roman" w:hAnsi="Times New Roman"/>
              <w:i w:val="0"/>
              <w:noProof/>
              <w:kern w:val="2"/>
              <w:lang w:val="fr-FR" w:eastAsia="fr-FR"/>
              <w14:ligatures w14:val="standardContextual"/>
            </w:rPr>
          </w:pPr>
          <w:hyperlink w:anchor="_Toc162630034" w:history="1">
            <w:r w:rsidR="00FF4A7C" w:rsidRPr="003163D0">
              <w:rPr>
                <w:rStyle w:val="af0"/>
                <w:rFonts w:ascii="Times New Roman" w:hAnsi="Times New Roman"/>
                <w:i w:val="0"/>
                <w:noProof/>
              </w:rPr>
              <w:t>10.1.2.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_Toc162630034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49</w:t>
            </w:r>
            <w:r w:rsidR="00FF4A7C" w:rsidRPr="003163D0">
              <w:rPr>
                <w:rFonts w:ascii="Times New Roman" w:hAnsi="Times New Roman"/>
                <w:i w:val="0"/>
                <w:noProof/>
                <w:webHidden/>
              </w:rPr>
              <w:fldChar w:fldCharType="end"/>
            </w:r>
          </w:hyperlink>
        </w:p>
        <w:p w14:paraId="58CDA590" w14:textId="28131402" w:rsidR="00FF4A7C" w:rsidRPr="003163D0" w:rsidRDefault="00000000">
          <w:pPr>
            <w:pStyle w:val="32"/>
            <w:rPr>
              <w:rFonts w:ascii="Times New Roman" w:hAnsi="Times New Roman"/>
              <w:i w:val="0"/>
              <w:noProof/>
              <w:kern w:val="2"/>
              <w:lang w:val="fr-FR" w:eastAsia="fr-FR"/>
              <w14:ligatures w14:val="standardContextual"/>
            </w:rPr>
          </w:pPr>
          <w:hyperlink w:anchor="_Toc162630035" w:history="1">
            <w:r w:rsidR="00FF4A7C" w:rsidRPr="003163D0">
              <w:rPr>
                <w:rStyle w:val="af0"/>
                <w:rFonts w:ascii="Times New Roman" w:hAnsi="Times New Roman"/>
                <w:i w:val="0"/>
                <w:noProof/>
              </w:rPr>
              <w:t>10.1.3.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_Toc162630035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49</w:t>
            </w:r>
            <w:r w:rsidR="00FF4A7C" w:rsidRPr="003163D0">
              <w:rPr>
                <w:rFonts w:ascii="Times New Roman" w:hAnsi="Times New Roman"/>
                <w:i w:val="0"/>
                <w:noProof/>
                <w:webHidden/>
              </w:rPr>
              <w:fldChar w:fldCharType="end"/>
            </w:r>
          </w:hyperlink>
        </w:p>
        <w:p w14:paraId="6455770D" w14:textId="2A9CF289" w:rsidR="00FF4A7C" w:rsidRPr="003163D0" w:rsidRDefault="00000000">
          <w:pPr>
            <w:pStyle w:val="22"/>
            <w:rPr>
              <w:rFonts w:ascii="Times New Roman" w:hAnsi="Times New Roman"/>
              <w:smallCaps w:val="0"/>
              <w:noProof/>
              <w:kern w:val="2"/>
              <w:lang w:val="fr-FR" w:eastAsia="fr-FR"/>
              <w14:ligatures w14:val="standardContextual"/>
            </w:rPr>
          </w:pPr>
          <w:hyperlink w:anchor="_Toc162630036" w:history="1">
            <w:r w:rsidR="00FF4A7C" w:rsidRPr="003163D0">
              <w:rPr>
                <w:rStyle w:val="af0"/>
                <w:rFonts w:ascii="Times New Roman" w:hAnsi="Times New Roman"/>
                <w:noProof/>
              </w:rPr>
              <w:t>10.2.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terbium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_Toc162630036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50</w:t>
            </w:r>
            <w:r w:rsidR="00FF4A7C" w:rsidRPr="003163D0">
              <w:rPr>
                <w:rFonts w:ascii="Times New Roman" w:hAnsi="Times New Roman"/>
                <w:noProof/>
                <w:webHidden/>
              </w:rPr>
              <w:fldChar w:fldCharType="end"/>
            </w:r>
          </w:hyperlink>
        </w:p>
        <w:p w14:paraId="3DC52396" w14:textId="24CA32BC"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37" w:history="1">
            <w:r w:rsidR="00FF4A7C" w:rsidRPr="003163D0">
              <w:rPr>
                <w:rStyle w:val="af0"/>
                <w:rFonts w:ascii="Times New Roman" w:hAnsi="Times New Roman"/>
                <w:noProof/>
              </w:rPr>
              <w:t>11.</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Dysprosium (Z = 66)</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_Toc162630037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51</w:t>
            </w:r>
            <w:r w:rsidR="00FF4A7C" w:rsidRPr="003163D0">
              <w:rPr>
                <w:rFonts w:ascii="Times New Roman" w:hAnsi="Times New Roman"/>
                <w:noProof/>
                <w:webHidden/>
              </w:rPr>
              <w:fldChar w:fldCharType="end"/>
            </w:r>
          </w:hyperlink>
        </w:p>
        <w:p w14:paraId="4EF3009E" w14:textId="437B9C94" w:rsidR="00FF4A7C" w:rsidRPr="003163D0" w:rsidRDefault="00000000">
          <w:pPr>
            <w:pStyle w:val="22"/>
            <w:rPr>
              <w:rFonts w:ascii="Times New Roman" w:hAnsi="Times New Roman"/>
              <w:smallCaps w:val="0"/>
              <w:noProof/>
              <w:kern w:val="2"/>
              <w:lang w:val="fr-FR" w:eastAsia="fr-FR"/>
              <w14:ligatures w14:val="standardContextual"/>
            </w:rPr>
          </w:pPr>
          <w:hyperlink w:anchor="_Toc162630038" w:history="1">
            <w:r w:rsidR="00FF4A7C" w:rsidRPr="003163D0">
              <w:rPr>
                <w:rStyle w:val="af0"/>
                <w:rFonts w:ascii="Times New Roman" w:hAnsi="Times New Roman"/>
                <w:noProof/>
              </w:rPr>
              <w:t>11.1.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_Toc162630038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51</w:t>
            </w:r>
            <w:r w:rsidR="00FF4A7C" w:rsidRPr="003163D0">
              <w:rPr>
                <w:rFonts w:ascii="Times New Roman" w:hAnsi="Times New Roman"/>
                <w:noProof/>
                <w:webHidden/>
              </w:rPr>
              <w:fldChar w:fldCharType="end"/>
            </w:r>
          </w:hyperlink>
        </w:p>
        <w:p w14:paraId="5B6B800B" w14:textId="64B84232" w:rsidR="00FF4A7C" w:rsidRPr="003163D0" w:rsidRDefault="00000000">
          <w:pPr>
            <w:pStyle w:val="32"/>
            <w:rPr>
              <w:rFonts w:ascii="Times New Roman" w:hAnsi="Times New Roman"/>
              <w:i w:val="0"/>
              <w:noProof/>
              <w:kern w:val="2"/>
              <w:lang w:val="fr-FR" w:eastAsia="fr-FR"/>
              <w14:ligatures w14:val="standardContextual"/>
            </w:rPr>
          </w:pPr>
          <w:hyperlink w:anchor="_Toc162630039" w:history="1">
            <w:r w:rsidR="00FF4A7C" w:rsidRPr="003163D0">
              <w:rPr>
                <w:rStyle w:val="af0"/>
                <w:rFonts w:ascii="Times New Roman" w:hAnsi="Times New Roman"/>
                <w:i w:val="0"/>
                <w:noProof/>
              </w:rPr>
              <w:t>11.1.1.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_Toc162630039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51</w:t>
            </w:r>
            <w:r w:rsidR="00FF4A7C" w:rsidRPr="003163D0">
              <w:rPr>
                <w:rFonts w:ascii="Times New Roman" w:hAnsi="Times New Roman"/>
                <w:i w:val="0"/>
                <w:noProof/>
                <w:webHidden/>
              </w:rPr>
              <w:fldChar w:fldCharType="end"/>
            </w:r>
          </w:hyperlink>
        </w:p>
        <w:p w14:paraId="461C0D3F" w14:textId="29D19F5B" w:rsidR="00FF4A7C" w:rsidRPr="003163D0" w:rsidRDefault="00000000">
          <w:pPr>
            <w:pStyle w:val="32"/>
            <w:rPr>
              <w:rFonts w:ascii="Times New Roman" w:hAnsi="Times New Roman"/>
              <w:i w:val="0"/>
              <w:noProof/>
              <w:kern w:val="2"/>
              <w:lang w:val="fr-FR" w:eastAsia="fr-FR"/>
              <w14:ligatures w14:val="standardContextual"/>
            </w:rPr>
          </w:pPr>
          <w:hyperlink w:anchor="_Toc162630040" w:history="1">
            <w:r w:rsidR="00FF4A7C" w:rsidRPr="003163D0">
              <w:rPr>
                <w:rStyle w:val="af0"/>
                <w:rFonts w:ascii="Times New Roman" w:hAnsi="Times New Roman"/>
                <w:i w:val="0"/>
                <w:noProof/>
              </w:rPr>
              <w:t>11.1.2.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_Toc162630040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51</w:t>
            </w:r>
            <w:r w:rsidR="00FF4A7C" w:rsidRPr="003163D0">
              <w:rPr>
                <w:rFonts w:ascii="Times New Roman" w:hAnsi="Times New Roman"/>
                <w:i w:val="0"/>
                <w:noProof/>
                <w:webHidden/>
              </w:rPr>
              <w:fldChar w:fldCharType="end"/>
            </w:r>
          </w:hyperlink>
        </w:p>
        <w:p w14:paraId="3D350F44" w14:textId="1858CB6D" w:rsidR="00FF4A7C" w:rsidRPr="003163D0" w:rsidRDefault="00000000">
          <w:pPr>
            <w:pStyle w:val="32"/>
            <w:rPr>
              <w:rFonts w:ascii="Times New Roman" w:hAnsi="Times New Roman"/>
              <w:i w:val="0"/>
              <w:noProof/>
              <w:kern w:val="2"/>
              <w:lang w:val="fr-FR" w:eastAsia="fr-FR"/>
              <w14:ligatures w14:val="standardContextual"/>
            </w:rPr>
          </w:pPr>
          <w:hyperlink w:anchor="_Toc162630041" w:history="1">
            <w:r w:rsidR="00FF4A7C" w:rsidRPr="003163D0">
              <w:rPr>
                <w:rStyle w:val="af0"/>
                <w:rFonts w:ascii="Times New Roman" w:hAnsi="Times New Roman"/>
                <w:i w:val="0"/>
                <w:noProof/>
              </w:rPr>
              <w:t>11.1.3.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_Toc162630041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51</w:t>
            </w:r>
            <w:r w:rsidR="00FF4A7C" w:rsidRPr="003163D0">
              <w:rPr>
                <w:rFonts w:ascii="Times New Roman" w:hAnsi="Times New Roman"/>
                <w:i w:val="0"/>
                <w:noProof/>
                <w:webHidden/>
              </w:rPr>
              <w:fldChar w:fldCharType="end"/>
            </w:r>
          </w:hyperlink>
        </w:p>
        <w:p w14:paraId="37977454" w14:textId="696A4B6B" w:rsidR="00FF4A7C" w:rsidRPr="003163D0" w:rsidRDefault="00000000">
          <w:pPr>
            <w:pStyle w:val="22"/>
            <w:rPr>
              <w:rFonts w:ascii="Times New Roman" w:hAnsi="Times New Roman"/>
              <w:smallCaps w:val="0"/>
              <w:noProof/>
              <w:kern w:val="2"/>
              <w:lang w:val="fr-FR" w:eastAsia="fr-FR"/>
              <w14:ligatures w14:val="standardContextual"/>
            </w:rPr>
          </w:pPr>
          <w:hyperlink w:anchor="_Toc162630042" w:history="1">
            <w:r w:rsidR="00FF4A7C" w:rsidRPr="003163D0">
              <w:rPr>
                <w:rStyle w:val="af0"/>
                <w:rFonts w:ascii="Times New Roman" w:hAnsi="Times New Roman"/>
                <w:noProof/>
              </w:rPr>
              <w:t>11.2.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dysprosium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_Toc162630042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52</w:t>
            </w:r>
            <w:r w:rsidR="00FF4A7C" w:rsidRPr="003163D0">
              <w:rPr>
                <w:rFonts w:ascii="Times New Roman" w:hAnsi="Times New Roman"/>
                <w:noProof/>
                <w:webHidden/>
              </w:rPr>
              <w:fldChar w:fldCharType="end"/>
            </w:r>
          </w:hyperlink>
        </w:p>
        <w:p w14:paraId="48567F13" w14:textId="0812840D"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43" w:history="1">
            <w:r w:rsidR="00FF4A7C" w:rsidRPr="003163D0">
              <w:rPr>
                <w:rStyle w:val="af0"/>
                <w:rFonts w:ascii="Times New Roman" w:hAnsi="Times New Roman"/>
                <w:noProof/>
              </w:rPr>
              <w:t>12.</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Holmium (Z = 67)</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_Toc162630043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53</w:t>
            </w:r>
            <w:r w:rsidR="00FF4A7C" w:rsidRPr="003163D0">
              <w:rPr>
                <w:rFonts w:ascii="Times New Roman" w:hAnsi="Times New Roman"/>
                <w:noProof/>
                <w:webHidden/>
              </w:rPr>
              <w:fldChar w:fldCharType="end"/>
            </w:r>
          </w:hyperlink>
        </w:p>
        <w:p w14:paraId="3955DD76" w14:textId="71CDA2B4" w:rsidR="00FF4A7C" w:rsidRPr="003163D0" w:rsidRDefault="00000000">
          <w:pPr>
            <w:pStyle w:val="22"/>
            <w:rPr>
              <w:rFonts w:ascii="Times New Roman" w:hAnsi="Times New Roman"/>
              <w:smallCaps w:val="0"/>
              <w:noProof/>
              <w:kern w:val="2"/>
              <w:lang w:val="fr-FR" w:eastAsia="fr-FR"/>
              <w14:ligatures w14:val="standardContextual"/>
            </w:rPr>
          </w:pPr>
          <w:hyperlink w:anchor="_Toc162630044" w:history="1">
            <w:r w:rsidR="00FF4A7C" w:rsidRPr="003163D0">
              <w:rPr>
                <w:rStyle w:val="af0"/>
                <w:rFonts w:ascii="Times New Roman" w:hAnsi="Times New Roman"/>
                <w:noProof/>
              </w:rPr>
              <w:t>12.1.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_Toc162630044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53</w:t>
            </w:r>
            <w:r w:rsidR="00FF4A7C" w:rsidRPr="003163D0">
              <w:rPr>
                <w:rFonts w:ascii="Times New Roman" w:hAnsi="Times New Roman"/>
                <w:noProof/>
                <w:webHidden/>
              </w:rPr>
              <w:fldChar w:fldCharType="end"/>
            </w:r>
          </w:hyperlink>
        </w:p>
        <w:p w14:paraId="2E1DBE60" w14:textId="69ABB4ED" w:rsidR="00FF4A7C" w:rsidRPr="003163D0" w:rsidRDefault="00000000">
          <w:pPr>
            <w:pStyle w:val="32"/>
            <w:rPr>
              <w:rFonts w:ascii="Times New Roman" w:hAnsi="Times New Roman"/>
              <w:i w:val="0"/>
              <w:noProof/>
              <w:kern w:val="2"/>
              <w:lang w:val="fr-FR" w:eastAsia="fr-FR"/>
              <w14:ligatures w14:val="standardContextual"/>
            </w:rPr>
          </w:pPr>
          <w:hyperlink w:anchor="_Toc162630045" w:history="1">
            <w:r w:rsidR="00FF4A7C" w:rsidRPr="003163D0">
              <w:rPr>
                <w:rStyle w:val="af0"/>
                <w:rFonts w:ascii="Times New Roman" w:hAnsi="Times New Roman"/>
                <w:i w:val="0"/>
                <w:noProof/>
              </w:rPr>
              <w:t>12.1.1.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_Toc162630045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53</w:t>
            </w:r>
            <w:r w:rsidR="00FF4A7C" w:rsidRPr="003163D0">
              <w:rPr>
                <w:rFonts w:ascii="Times New Roman" w:hAnsi="Times New Roman"/>
                <w:i w:val="0"/>
                <w:noProof/>
                <w:webHidden/>
              </w:rPr>
              <w:fldChar w:fldCharType="end"/>
            </w:r>
          </w:hyperlink>
        </w:p>
        <w:p w14:paraId="461D3FCB" w14:textId="5906E718" w:rsidR="00FF4A7C" w:rsidRPr="003163D0" w:rsidRDefault="00000000">
          <w:pPr>
            <w:pStyle w:val="32"/>
            <w:rPr>
              <w:rFonts w:ascii="Times New Roman" w:hAnsi="Times New Roman"/>
              <w:i w:val="0"/>
              <w:noProof/>
              <w:kern w:val="2"/>
              <w:lang w:val="fr-FR" w:eastAsia="fr-FR"/>
              <w14:ligatures w14:val="standardContextual"/>
            </w:rPr>
          </w:pPr>
          <w:hyperlink w:anchor="_Toc162630046" w:history="1">
            <w:r w:rsidR="00FF4A7C" w:rsidRPr="003163D0">
              <w:rPr>
                <w:rStyle w:val="af0"/>
                <w:rFonts w:ascii="Times New Roman" w:hAnsi="Times New Roman"/>
                <w:i w:val="0"/>
                <w:noProof/>
              </w:rPr>
              <w:t>12.1.2.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_Toc162630046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53</w:t>
            </w:r>
            <w:r w:rsidR="00FF4A7C" w:rsidRPr="003163D0">
              <w:rPr>
                <w:rFonts w:ascii="Times New Roman" w:hAnsi="Times New Roman"/>
                <w:i w:val="0"/>
                <w:noProof/>
                <w:webHidden/>
              </w:rPr>
              <w:fldChar w:fldCharType="end"/>
            </w:r>
          </w:hyperlink>
        </w:p>
        <w:p w14:paraId="6B251D32" w14:textId="25D726FD" w:rsidR="00FF4A7C" w:rsidRPr="003163D0" w:rsidRDefault="00000000">
          <w:pPr>
            <w:pStyle w:val="32"/>
            <w:rPr>
              <w:rFonts w:ascii="Times New Roman" w:hAnsi="Times New Roman"/>
              <w:i w:val="0"/>
              <w:noProof/>
              <w:kern w:val="2"/>
              <w:lang w:val="fr-FR" w:eastAsia="fr-FR"/>
              <w14:ligatures w14:val="standardContextual"/>
            </w:rPr>
          </w:pPr>
          <w:hyperlink w:anchor="_Toc162630047" w:history="1">
            <w:r w:rsidR="00FF4A7C" w:rsidRPr="003163D0">
              <w:rPr>
                <w:rStyle w:val="af0"/>
                <w:rFonts w:ascii="Times New Roman" w:hAnsi="Times New Roman"/>
                <w:i w:val="0"/>
                <w:noProof/>
              </w:rPr>
              <w:t>12.1.3.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_Toc162630047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53</w:t>
            </w:r>
            <w:r w:rsidR="00FF4A7C" w:rsidRPr="003163D0">
              <w:rPr>
                <w:rFonts w:ascii="Times New Roman" w:hAnsi="Times New Roman"/>
                <w:i w:val="0"/>
                <w:noProof/>
                <w:webHidden/>
              </w:rPr>
              <w:fldChar w:fldCharType="end"/>
            </w:r>
          </w:hyperlink>
        </w:p>
        <w:p w14:paraId="09DDE7D3" w14:textId="5D43A15D" w:rsidR="00FF4A7C" w:rsidRPr="003163D0" w:rsidRDefault="00000000">
          <w:pPr>
            <w:pStyle w:val="22"/>
            <w:rPr>
              <w:rFonts w:ascii="Times New Roman" w:hAnsi="Times New Roman"/>
              <w:smallCaps w:val="0"/>
              <w:noProof/>
              <w:kern w:val="2"/>
              <w:lang w:val="fr-FR" w:eastAsia="fr-FR"/>
              <w14:ligatures w14:val="standardContextual"/>
            </w:rPr>
          </w:pPr>
          <w:hyperlink w:anchor="_Toc162630048" w:history="1">
            <w:r w:rsidR="00FF4A7C" w:rsidRPr="003163D0">
              <w:rPr>
                <w:rStyle w:val="af0"/>
                <w:rFonts w:ascii="Times New Roman" w:hAnsi="Times New Roman"/>
                <w:noProof/>
              </w:rPr>
              <w:t>12.2.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holmium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_Toc162630048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57</w:t>
            </w:r>
            <w:r w:rsidR="00FF4A7C" w:rsidRPr="003163D0">
              <w:rPr>
                <w:rFonts w:ascii="Times New Roman" w:hAnsi="Times New Roman"/>
                <w:noProof/>
                <w:webHidden/>
              </w:rPr>
              <w:fldChar w:fldCharType="end"/>
            </w:r>
          </w:hyperlink>
        </w:p>
        <w:p w14:paraId="2113496B" w14:textId="60C0BAC0"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49" w:history="1">
            <w:r w:rsidR="00FF4A7C" w:rsidRPr="003163D0">
              <w:rPr>
                <w:rStyle w:val="af0"/>
                <w:rFonts w:ascii="Times New Roman" w:hAnsi="Times New Roman"/>
                <w:noProof/>
              </w:rPr>
              <w:t>13.</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Erbium (Z = 68)</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_Toc162630049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58</w:t>
            </w:r>
            <w:r w:rsidR="00FF4A7C" w:rsidRPr="003163D0">
              <w:rPr>
                <w:rFonts w:ascii="Times New Roman" w:hAnsi="Times New Roman"/>
                <w:noProof/>
                <w:webHidden/>
              </w:rPr>
              <w:fldChar w:fldCharType="end"/>
            </w:r>
          </w:hyperlink>
        </w:p>
        <w:p w14:paraId="7BF45773" w14:textId="06A1AE14" w:rsidR="00FF4A7C" w:rsidRPr="003163D0" w:rsidRDefault="00000000">
          <w:pPr>
            <w:pStyle w:val="22"/>
            <w:rPr>
              <w:rFonts w:ascii="Times New Roman" w:hAnsi="Times New Roman"/>
              <w:smallCaps w:val="0"/>
              <w:noProof/>
              <w:kern w:val="2"/>
              <w:lang w:val="fr-FR" w:eastAsia="fr-FR"/>
              <w14:ligatures w14:val="standardContextual"/>
            </w:rPr>
          </w:pPr>
          <w:hyperlink w:anchor="_Toc162630050" w:history="1">
            <w:r w:rsidR="00FF4A7C" w:rsidRPr="003163D0">
              <w:rPr>
                <w:rStyle w:val="af0"/>
                <w:rFonts w:ascii="Times New Roman" w:hAnsi="Times New Roman"/>
                <w:noProof/>
              </w:rPr>
              <w:t>13.1.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_Toc162630050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58</w:t>
            </w:r>
            <w:r w:rsidR="00FF4A7C" w:rsidRPr="003163D0">
              <w:rPr>
                <w:rFonts w:ascii="Times New Roman" w:hAnsi="Times New Roman"/>
                <w:noProof/>
                <w:webHidden/>
              </w:rPr>
              <w:fldChar w:fldCharType="end"/>
            </w:r>
          </w:hyperlink>
        </w:p>
        <w:p w14:paraId="67CBBEDA" w14:textId="607713B2" w:rsidR="00FF4A7C" w:rsidRPr="003163D0" w:rsidRDefault="00000000">
          <w:pPr>
            <w:pStyle w:val="32"/>
            <w:rPr>
              <w:rFonts w:ascii="Times New Roman" w:hAnsi="Times New Roman"/>
              <w:i w:val="0"/>
              <w:noProof/>
              <w:kern w:val="2"/>
              <w:lang w:val="fr-FR" w:eastAsia="fr-FR"/>
              <w14:ligatures w14:val="standardContextual"/>
            </w:rPr>
          </w:pPr>
          <w:hyperlink w:anchor="_Toc162630051" w:history="1">
            <w:r w:rsidR="00FF4A7C" w:rsidRPr="003163D0">
              <w:rPr>
                <w:rStyle w:val="af0"/>
                <w:rFonts w:ascii="Times New Roman" w:hAnsi="Times New Roman"/>
                <w:i w:val="0"/>
                <w:noProof/>
              </w:rPr>
              <w:t>13.1.1.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_Toc162630051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58</w:t>
            </w:r>
            <w:r w:rsidR="00FF4A7C" w:rsidRPr="003163D0">
              <w:rPr>
                <w:rFonts w:ascii="Times New Roman" w:hAnsi="Times New Roman"/>
                <w:i w:val="0"/>
                <w:noProof/>
                <w:webHidden/>
              </w:rPr>
              <w:fldChar w:fldCharType="end"/>
            </w:r>
          </w:hyperlink>
        </w:p>
        <w:p w14:paraId="0E659694" w14:textId="5873783A" w:rsidR="00FF4A7C" w:rsidRPr="003163D0" w:rsidRDefault="00000000">
          <w:pPr>
            <w:pStyle w:val="32"/>
            <w:rPr>
              <w:rFonts w:ascii="Times New Roman" w:hAnsi="Times New Roman"/>
              <w:i w:val="0"/>
              <w:noProof/>
              <w:kern w:val="2"/>
              <w:lang w:val="fr-FR" w:eastAsia="fr-FR"/>
              <w14:ligatures w14:val="standardContextual"/>
            </w:rPr>
          </w:pPr>
          <w:hyperlink w:anchor="_Toc162630052" w:history="1">
            <w:r w:rsidR="00FF4A7C" w:rsidRPr="003163D0">
              <w:rPr>
                <w:rStyle w:val="af0"/>
                <w:rFonts w:ascii="Times New Roman" w:hAnsi="Times New Roman"/>
                <w:i w:val="0"/>
                <w:noProof/>
              </w:rPr>
              <w:t>13.1.2.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_Toc162630052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58</w:t>
            </w:r>
            <w:r w:rsidR="00FF4A7C" w:rsidRPr="003163D0">
              <w:rPr>
                <w:rFonts w:ascii="Times New Roman" w:hAnsi="Times New Roman"/>
                <w:i w:val="0"/>
                <w:noProof/>
                <w:webHidden/>
              </w:rPr>
              <w:fldChar w:fldCharType="end"/>
            </w:r>
          </w:hyperlink>
        </w:p>
        <w:p w14:paraId="6A4E5606" w14:textId="3699293B" w:rsidR="00FF4A7C" w:rsidRPr="003163D0" w:rsidRDefault="00000000">
          <w:pPr>
            <w:pStyle w:val="32"/>
            <w:rPr>
              <w:rFonts w:ascii="Times New Roman" w:hAnsi="Times New Roman"/>
              <w:i w:val="0"/>
              <w:noProof/>
              <w:kern w:val="2"/>
              <w:lang w:val="fr-FR" w:eastAsia="fr-FR"/>
              <w14:ligatures w14:val="standardContextual"/>
            </w:rPr>
          </w:pPr>
          <w:hyperlink w:anchor="_Toc162630053" w:history="1">
            <w:r w:rsidR="00FF4A7C" w:rsidRPr="003163D0">
              <w:rPr>
                <w:rStyle w:val="af0"/>
                <w:rFonts w:ascii="Times New Roman" w:hAnsi="Times New Roman"/>
                <w:i w:val="0"/>
                <w:noProof/>
              </w:rPr>
              <w:t>13.1.3.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_Toc162630053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58</w:t>
            </w:r>
            <w:r w:rsidR="00FF4A7C" w:rsidRPr="003163D0">
              <w:rPr>
                <w:rFonts w:ascii="Times New Roman" w:hAnsi="Times New Roman"/>
                <w:i w:val="0"/>
                <w:noProof/>
                <w:webHidden/>
              </w:rPr>
              <w:fldChar w:fldCharType="end"/>
            </w:r>
          </w:hyperlink>
        </w:p>
        <w:p w14:paraId="5A470F1A" w14:textId="5D3F38E7" w:rsidR="00FF4A7C" w:rsidRPr="003163D0" w:rsidRDefault="00000000">
          <w:pPr>
            <w:pStyle w:val="22"/>
            <w:rPr>
              <w:rFonts w:ascii="Times New Roman" w:hAnsi="Times New Roman"/>
              <w:smallCaps w:val="0"/>
              <w:noProof/>
              <w:kern w:val="2"/>
              <w:lang w:val="fr-FR" w:eastAsia="fr-FR"/>
              <w14:ligatures w14:val="standardContextual"/>
            </w:rPr>
          </w:pPr>
          <w:hyperlink w:anchor="_Toc162630054" w:history="1">
            <w:r w:rsidR="00FF4A7C" w:rsidRPr="003163D0">
              <w:rPr>
                <w:rStyle w:val="af0"/>
                <w:rFonts w:ascii="Times New Roman" w:hAnsi="Times New Roman"/>
                <w:noProof/>
              </w:rPr>
              <w:t>13.2.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erbium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_Toc162630054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59</w:t>
            </w:r>
            <w:r w:rsidR="00FF4A7C" w:rsidRPr="003163D0">
              <w:rPr>
                <w:rFonts w:ascii="Times New Roman" w:hAnsi="Times New Roman"/>
                <w:noProof/>
                <w:webHidden/>
              </w:rPr>
              <w:fldChar w:fldCharType="end"/>
            </w:r>
          </w:hyperlink>
        </w:p>
        <w:p w14:paraId="731B3A00" w14:textId="2D0DA011"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55" w:history="1">
            <w:r w:rsidR="00FF4A7C" w:rsidRPr="003163D0">
              <w:rPr>
                <w:rStyle w:val="af0"/>
                <w:rFonts w:ascii="Times New Roman" w:hAnsi="Times New Roman"/>
                <w:noProof/>
              </w:rPr>
              <w:t>14.</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Thulium (Z = 69)</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_Toc162630055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60</w:t>
            </w:r>
            <w:r w:rsidR="00FF4A7C" w:rsidRPr="003163D0">
              <w:rPr>
                <w:rFonts w:ascii="Times New Roman" w:hAnsi="Times New Roman"/>
                <w:noProof/>
                <w:webHidden/>
              </w:rPr>
              <w:fldChar w:fldCharType="end"/>
            </w:r>
          </w:hyperlink>
        </w:p>
        <w:p w14:paraId="768CFEDE" w14:textId="5788BFE8" w:rsidR="00FF4A7C" w:rsidRPr="003163D0" w:rsidRDefault="00000000">
          <w:pPr>
            <w:pStyle w:val="22"/>
            <w:rPr>
              <w:rFonts w:ascii="Times New Roman" w:hAnsi="Times New Roman"/>
              <w:smallCaps w:val="0"/>
              <w:noProof/>
              <w:kern w:val="2"/>
              <w:lang w:val="fr-FR" w:eastAsia="fr-FR"/>
              <w14:ligatures w14:val="standardContextual"/>
            </w:rPr>
          </w:pPr>
          <w:hyperlink w:anchor="_Toc162630056" w:history="1">
            <w:r w:rsidR="00FF4A7C" w:rsidRPr="003163D0">
              <w:rPr>
                <w:rStyle w:val="af0"/>
                <w:rFonts w:ascii="Times New Roman" w:hAnsi="Times New Roman"/>
                <w:noProof/>
              </w:rPr>
              <w:t>14.1.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_Toc162630056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60</w:t>
            </w:r>
            <w:r w:rsidR="00FF4A7C" w:rsidRPr="003163D0">
              <w:rPr>
                <w:rFonts w:ascii="Times New Roman" w:hAnsi="Times New Roman"/>
                <w:noProof/>
                <w:webHidden/>
              </w:rPr>
              <w:fldChar w:fldCharType="end"/>
            </w:r>
          </w:hyperlink>
        </w:p>
        <w:p w14:paraId="1A1A8802" w14:textId="60028B16" w:rsidR="00FF4A7C" w:rsidRPr="003163D0" w:rsidRDefault="00000000">
          <w:pPr>
            <w:pStyle w:val="32"/>
            <w:rPr>
              <w:rFonts w:ascii="Times New Roman" w:hAnsi="Times New Roman"/>
              <w:i w:val="0"/>
              <w:noProof/>
              <w:kern w:val="2"/>
              <w:lang w:val="fr-FR" w:eastAsia="fr-FR"/>
              <w14:ligatures w14:val="standardContextual"/>
            </w:rPr>
          </w:pPr>
          <w:hyperlink w:anchor="_Toc162630057" w:history="1">
            <w:r w:rsidR="00FF4A7C" w:rsidRPr="003163D0">
              <w:rPr>
                <w:rStyle w:val="af0"/>
                <w:rFonts w:ascii="Times New Roman" w:hAnsi="Times New Roman"/>
                <w:i w:val="0"/>
                <w:noProof/>
              </w:rPr>
              <w:t>14.1.1.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_Toc162630057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60</w:t>
            </w:r>
            <w:r w:rsidR="00FF4A7C" w:rsidRPr="003163D0">
              <w:rPr>
                <w:rFonts w:ascii="Times New Roman" w:hAnsi="Times New Roman"/>
                <w:i w:val="0"/>
                <w:noProof/>
                <w:webHidden/>
              </w:rPr>
              <w:fldChar w:fldCharType="end"/>
            </w:r>
          </w:hyperlink>
        </w:p>
        <w:p w14:paraId="06E063DC" w14:textId="435C0108" w:rsidR="00FF4A7C" w:rsidRPr="003163D0" w:rsidRDefault="00000000">
          <w:pPr>
            <w:pStyle w:val="32"/>
            <w:rPr>
              <w:rFonts w:ascii="Times New Roman" w:hAnsi="Times New Roman"/>
              <w:i w:val="0"/>
              <w:noProof/>
              <w:kern w:val="2"/>
              <w:lang w:val="fr-FR" w:eastAsia="fr-FR"/>
              <w14:ligatures w14:val="standardContextual"/>
            </w:rPr>
          </w:pPr>
          <w:hyperlink w:anchor="_Toc162630058" w:history="1">
            <w:r w:rsidR="00FF4A7C" w:rsidRPr="003163D0">
              <w:rPr>
                <w:rStyle w:val="af0"/>
                <w:rFonts w:ascii="Times New Roman" w:hAnsi="Times New Roman"/>
                <w:i w:val="0"/>
                <w:noProof/>
              </w:rPr>
              <w:t>14.1.2.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_Toc162630058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60</w:t>
            </w:r>
            <w:r w:rsidR="00FF4A7C" w:rsidRPr="003163D0">
              <w:rPr>
                <w:rFonts w:ascii="Times New Roman" w:hAnsi="Times New Roman"/>
                <w:i w:val="0"/>
                <w:noProof/>
                <w:webHidden/>
              </w:rPr>
              <w:fldChar w:fldCharType="end"/>
            </w:r>
          </w:hyperlink>
        </w:p>
        <w:p w14:paraId="6963AC10" w14:textId="0EE8FDE2" w:rsidR="00FF4A7C" w:rsidRPr="003163D0" w:rsidRDefault="00000000">
          <w:pPr>
            <w:pStyle w:val="32"/>
            <w:rPr>
              <w:rFonts w:ascii="Times New Roman" w:hAnsi="Times New Roman"/>
              <w:i w:val="0"/>
              <w:noProof/>
              <w:kern w:val="2"/>
              <w:lang w:val="fr-FR" w:eastAsia="fr-FR"/>
              <w14:ligatures w14:val="standardContextual"/>
            </w:rPr>
          </w:pPr>
          <w:hyperlink w:anchor="_Toc162630059" w:history="1">
            <w:r w:rsidR="00FF4A7C" w:rsidRPr="003163D0">
              <w:rPr>
                <w:rStyle w:val="af0"/>
                <w:rFonts w:ascii="Times New Roman" w:hAnsi="Times New Roman"/>
                <w:i w:val="0"/>
                <w:noProof/>
              </w:rPr>
              <w:t>14.1.3.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_Toc162630059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60</w:t>
            </w:r>
            <w:r w:rsidR="00FF4A7C" w:rsidRPr="003163D0">
              <w:rPr>
                <w:rFonts w:ascii="Times New Roman" w:hAnsi="Times New Roman"/>
                <w:i w:val="0"/>
                <w:noProof/>
                <w:webHidden/>
              </w:rPr>
              <w:fldChar w:fldCharType="end"/>
            </w:r>
          </w:hyperlink>
        </w:p>
        <w:p w14:paraId="2FCCC40B" w14:textId="2D8A87CB" w:rsidR="00FF4A7C" w:rsidRPr="003163D0" w:rsidRDefault="00000000">
          <w:pPr>
            <w:pStyle w:val="22"/>
            <w:rPr>
              <w:rFonts w:ascii="Times New Roman" w:hAnsi="Times New Roman"/>
              <w:smallCaps w:val="0"/>
              <w:noProof/>
              <w:kern w:val="2"/>
              <w:lang w:val="fr-FR" w:eastAsia="fr-FR"/>
              <w14:ligatures w14:val="standardContextual"/>
            </w:rPr>
          </w:pPr>
          <w:hyperlink w:anchor="_Toc162630060" w:history="1">
            <w:r w:rsidR="00FF4A7C" w:rsidRPr="003163D0">
              <w:rPr>
                <w:rStyle w:val="af0"/>
                <w:rFonts w:ascii="Times New Roman" w:hAnsi="Times New Roman"/>
                <w:noProof/>
              </w:rPr>
              <w:t>14.2.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thulium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_Toc162630060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61</w:t>
            </w:r>
            <w:r w:rsidR="00FF4A7C" w:rsidRPr="003163D0">
              <w:rPr>
                <w:rFonts w:ascii="Times New Roman" w:hAnsi="Times New Roman"/>
                <w:noProof/>
                <w:webHidden/>
              </w:rPr>
              <w:fldChar w:fldCharType="end"/>
            </w:r>
          </w:hyperlink>
        </w:p>
        <w:p w14:paraId="5D89B8DB" w14:textId="6AE238C7"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61" w:history="1">
            <w:r w:rsidR="00FF4A7C" w:rsidRPr="003163D0">
              <w:rPr>
                <w:rStyle w:val="af0"/>
                <w:rFonts w:ascii="Times New Roman" w:hAnsi="Times New Roman"/>
                <w:noProof/>
              </w:rPr>
              <w:t>15.</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Ytterbium (Z = 70)</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_Toc162630061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62</w:t>
            </w:r>
            <w:r w:rsidR="00FF4A7C" w:rsidRPr="003163D0">
              <w:rPr>
                <w:rFonts w:ascii="Times New Roman" w:hAnsi="Times New Roman"/>
                <w:noProof/>
                <w:webHidden/>
              </w:rPr>
              <w:fldChar w:fldCharType="end"/>
            </w:r>
          </w:hyperlink>
        </w:p>
        <w:p w14:paraId="078581C1" w14:textId="4633200E" w:rsidR="00FF4A7C" w:rsidRPr="003163D0" w:rsidRDefault="00000000">
          <w:pPr>
            <w:pStyle w:val="22"/>
            <w:rPr>
              <w:rFonts w:ascii="Times New Roman" w:hAnsi="Times New Roman"/>
              <w:smallCaps w:val="0"/>
              <w:noProof/>
              <w:kern w:val="2"/>
              <w:lang w:val="fr-FR" w:eastAsia="fr-FR"/>
              <w14:ligatures w14:val="standardContextual"/>
            </w:rPr>
          </w:pPr>
          <w:hyperlink w:anchor="_Toc162630062" w:history="1">
            <w:r w:rsidR="00FF4A7C" w:rsidRPr="003163D0">
              <w:rPr>
                <w:rStyle w:val="af0"/>
                <w:rFonts w:ascii="Times New Roman" w:hAnsi="Times New Roman"/>
                <w:noProof/>
              </w:rPr>
              <w:t>15.1.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_Toc162630062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62</w:t>
            </w:r>
            <w:r w:rsidR="00FF4A7C" w:rsidRPr="003163D0">
              <w:rPr>
                <w:rFonts w:ascii="Times New Roman" w:hAnsi="Times New Roman"/>
                <w:noProof/>
                <w:webHidden/>
              </w:rPr>
              <w:fldChar w:fldCharType="end"/>
            </w:r>
          </w:hyperlink>
        </w:p>
        <w:p w14:paraId="27CF7493" w14:textId="77C5B60B" w:rsidR="00FF4A7C" w:rsidRPr="003163D0" w:rsidRDefault="00000000">
          <w:pPr>
            <w:pStyle w:val="32"/>
            <w:rPr>
              <w:rFonts w:ascii="Times New Roman" w:hAnsi="Times New Roman"/>
              <w:i w:val="0"/>
              <w:noProof/>
              <w:kern w:val="2"/>
              <w:lang w:val="fr-FR" w:eastAsia="fr-FR"/>
              <w14:ligatures w14:val="standardContextual"/>
            </w:rPr>
          </w:pPr>
          <w:hyperlink w:anchor="_Toc162630063" w:history="1">
            <w:r w:rsidR="00FF4A7C" w:rsidRPr="003163D0">
              <w:rPr>
                <w:rStyle w:val="af0"/>
                <w:rFonts w:ascii="Times New Roman" w:hAnsi="Times New Roman"/>
                <w:i w:val="0"/>
                <w:noProof/>
              </w:rPr>
              <w:t>15.1.1.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_Toc162630063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62</w:t>
            </w:r>
            <w:r w:rsidR="00FF4A7C" w:rsidRPr="003163D0">
              <w:rPr>
                <w:rFonts w:ascii="Times New Roman" w:hAnsi="Times New Roman"/>
                <w:i w:val="0"/>
                <w:noProof/>
                <w:webHidden/>
              </w:rPr>
              <w:fldChar w:fldCharType="end"/>
            </w:r>
          </w:hyperlink>
        </w:p>
        <w:p w14:paraId="5CB7EC5D" w14:textId="42485968" w:rsidR="00FF4A7C" w:rsidRPr="003163D0" w:rsidRDefault="00000000">
          <w:pPr>
            <w:pStyle w:val="32"/>
            <w:rPr>
              <w:rFonts w:ascii="Times New Roman" w:hAnsi="Times New Roman"/>
              <w:i w:val="0"/>
              <w:noProof/>
              <w:kern w:val="2"/>
              <w:lang w:val="fr-FR" w:eastAsia="fr-FR"/>
              <w14:ligatures w14:val="standardContextual"/>
            </w:rPr>
          </w:pPr>
          <w:hyperlink w:anchor="_Toc162630064" w:history="1">
            <w:r w:rsidR="00FF4A7C" w:rsidRPr="003163D0">
              <w:rPr>
                <w:rStyle w:val="af0"/>
                <w:rFonts w:ascii="Times New Roman" w:hAnsi="Times New Roman"/>
                <w:i w:val="0"/>
                <w:noProof/>
              </w:rPr>
              <w:t>15.1.2.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_Toc162630064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62</w:t>
            </w:r>
            <w:r w:rsidR="00FF4A7C" w:rsidRPr="003163D0">
              <w:rPr>
                <w:rFonts w:ascii="Times New Roman" w:hAnsi="Times New Roman"/>
                <w:i w:val="0"/>
                <w:noProof/>
                <w:webHidden/>
              </w:rPr>
              <w:fldChar w:fldCharType="end"/>
            </w:r>
          </w:hyperlink>
        </w:p>
        <w:p w14:paraId="16F39822" w14:textId="5F303269" w:rsidR="00FF4A7C" w:rsidRPr="003163D0" w:rsidRDefault="00000000">
          <w:pPr>
            <w:pStyle w:val="32"/>
            <w:rPr>
              <w:rFonts w:ascii="Times New Roman" w:hAnsi="Times New Roman"/>
              <w:i w:val="0"/>
              <w:noProof/>
              <w:kern w:val="2"/>
              <w:lang w:val="fr-FR" w:eastAsia="fr-FR"/>
              <w14:ligatures w14:val="standardContextual"/>
            </w:rPr>
          </w:pPr>
          <w:hyperlink w:anchor="_Toc162630065" w:history="1">
            <w:r w:rsidR="00FF4A7C" w:rsidRPr="003163D0">
              <w:rPr>
                <w:rStyle w:val="af0"/>
                <w:rFonts w:ascii="Times New Roman" w:hAnsi="Times New Roman"/>
                <w:i w:val="0"/>
                <w:noProof/>
              </w:rPr>
              <w:t>15.1.3.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_Toc162630065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62</w:t>
            </w:r>
            <w:r w:rsidR="00FF4A7C" w:rsidRPr="003163D0">
              <w:rPr>
                <w:rFonts w:ascii="Times New Roman" w:hAnsi="Times New Roman"/>
                <w:i w:val="0"/>
                <w:noProof/>
                <w:webHidden/>
              </w:rPr>
              <w:fldChar w:fldCharType="end"/>
            </w:r>
          </w:hyperlink>
        </w:p>
        <w:p w14:paraId="1A201CDB" w14:textId="70230A86" w:rsidR="00FF4A7C" w:rsidRPr="003163D0" w:rsidRDefault="00000000">
          <w:pPr>
            <w:pStyle w:val="22"/>
            <w:rPr>
              <w:rFonts w:ascii="Times New Roman" w:hAnsi="Times New Roman"/>
              <w:smallCaps w:val="0"/>
              <w:noProof/>
              <w:kern w:val="2"/>
              <w:lang w:val="fr-FR" w:eastAsia="fr-FR"/>
              <w14:ligatures w14:val="standardContextual"/>
            </w:rPr>
          </w:pPr>
          <w:hyperlink w:anchor="_Toc162630066" w:history="1">
            <w:r w:rsidR="00FF4A7C" w:rsidRPr="003163D0">
              <w:rPr>
                <w:rStyle w:val="af0"/>
                <w:rFonts w:ascii="Times New Roman" w:hAnsi="Times New Roman"/>
                <w:noProof/>
              </w:rPr>
              <w:t>15.2.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ytterbium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_Toc162630066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63</w:t>
            </w:r>
            <w:r w:rsidR="00FF4A7C" w:rsidRPr="003163D0">
              <w:rPr>
                <w:rFonts w:ascii="Times New Roman" w:hAnsi="Times New Roman"/>
                <w:noProof/>
                <w:webHidden/>
              </w:rPr>
              <w:fldChar w:fldCharType="end"/>
            </w:r>
          </w:hyperlink>
        </w:p>
        <w:p w14:paraId="5CFFC27E" w14:textId="49DF1747"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67" w:history="1">
            <w:r w:rsidR="00FF4A7C" w:rsidRPr="003163D0">
              <w:rPr>
                <w:rStyle w:val="af0"/>
                <w:rFonts w:ascii="Times New Roman" w:hAnsi="Times New Roman"/>
                <w:noProof/>
              </w:rPr>
              <w:t>16.</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Lutetium (Z = 71)</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_Toc162630067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64</w:t>
            </w:r>
            <w:r w:rsidR="00FF4A7C" w:rsidRPr="003163D0">
              <w:rPr>
                <w:rFonts w:ascii="Times New Roman" w:hAnsi="Times New Roman"/>
                <w:noProof/>
                <w:webHidden/>
              </w:rPr>
              <w:fldChar w:fldCharType="end"/>
            </w:r>
          </w:hyperlink>
        </w:p>
        <w:p w14:paraId="5AD539CF" w14:textId="6CA14867" w:rsidR="00FF4A7C" w:rsidRPr="003163D0" w:rsidRDefault="00000000">
          <w:pPr>
            <w:pStyle w:val="22"/>
            <w:rPr>
              <w:rFonts w:ascii="Times New Roman" w:hAnsi="Times New Roman"/>
              <w:smallCaps w:val="0"/>
              <w:noProof/>
              <w:kern w:val="2"/>
              <w:lang w:val="fr-FR" w:eastAsia="fr-FR"/>
              <w14:ligatures w14:val="standardContextual"/>
            </w:rPr>
          </w:pPr>
          <w:hyperlink w:anchor="_Toc162630068" w:history="1">
            <w:r w:rsidR="00FF4A7C" w:rsidRPr="003163D0">
              <w:rPr>
                <w:rStyle w:val="af0"/>
                <w:rFonts w:ascii="Times New Roman" w:hAnsi="Times New Roman"/>
                <w:noProof/>
              </w:rPr>
              <w:t>16.1.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_Toc162630068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64</w:t>
            </w:r>
            <w:r w:rsidR="00FF4A7C" w:rsidRPr="003163D0">
              <w:rPr>
                <w:rFonts w:ascii="Times New Roman" w:hAnsi="Times New Roman"/>
                <w:noProof/>
                <w:webHidden/>
              </w:rPr>
              <w:fldChar w:fldCharType="end"/>
            </w:r>
          </w:hyperlink>
        </w:p>
        <w:p w14:paraId="41179277" w14:textId="74633254" w:rsidR="00FF4A7C" w:rsidRPr="003163D0" w:rsidRDefault="00000000">
          <w:pPr>
            <w:pStyle w:val="32"/>
            <w:rPr>
              <w:rFonts w:ascii="Times New Roman" w:hAnsi="Times New Roman"/>
              <w:i w:val="0"/>
              <w:noProof/>
              <w:kern w:val="2"/>
              <w:lang w:val="fr-FR" w:eastAsia="fr-FR"/>
              <w14:ligatures w14:val="standardContextual"/>
            </w:rPr>
          </w:pPr>
          <w:hyperlink w:anchor="_Toc162630069" w:history="1">
            <w:r w:rsidR="00FF4A7C" w:rsidRPr="003163D0">
              <w:rPr>
                <w:rStyle w:val="af0"/>
                <w:rFonts w:ascii="Times New Roman" w:hAnsi="Times New Roman"/>
                <w:i w:val="0"/>
                <w:noProof/>
              </w:rPr>
              <w:t>16.1.1.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_Toc162630069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64</w:t>
            </w:r>
            <w:r w:rsidR="00FF4A7C" w:rsidRPr="003163D0">
              <w:rPr>
                <w:rFonts w:ascii="Times New Roman" w:hAnsi="Times New Roman"/>
                <w:i w:val="0"/>
                <w:noProof/>
                <w:webHidden/>
              </w:rPr>
              <w:fldChar w:fldCharType="end"/>
            </w:r>
          </w:hyperlink>
        </w:p>
        <w:p w14:paraId="405AB805" w14:textId="429ADDA8" w:rsidR="00FF4A7C" w:rsidRPr="003163D0" w:rsidRDefault="00000000">
          <w:pPr>
            <w:pStyle w:val="32"/>
            <w:rPr>
              <w:rFonts w:ascii="Times New Roman" w:hAnsi="Times New Roman"/>
              <w:i w:val="0"/>
              <w:noProof/>
              <w:kern w:val="2"/>
              <w:lang w:val="fr-FR" w:eastAsia="fr-FR"/>
              <w14:ligatures w14:val="standardContextual"/>
            </w:rPr>
          </w:pPr>
          <w:hyperlink w:anchor="_Toc162630070" w:history="1">
            <w:r w:rsidR="00FF4A7C" w:rsidRPr="003163D0">
              <w:rPr>
                <w:rStyle w:val="af0"/>
                <w:rFonts w:ascii="Times New Roman" w:hAnsi="Times New Roman"/>
                <w:i w:val="0"/>
                <w:noProof/>
              </w:rPr>
              <w:t>16.1.2.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_Toc162630070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64</w:t>
            </w:r>
            <w:r w:rsidR="00FF4A7C" w:rsidRPr="003163D0">
              <w:rPr>
                <w:rFonts w:ascii="Times New Roman" w:hAnsi="Times New Roman"/>
                <w:i w:val="0"/>
                <w:noProof/>
                <w:webHidden/>
              </w:rPr>
              <w:fldChar w:fldCharType="end"/>
            </w:r>
          </w:hyperlink>
        </w:p>
        <w:p w14:paraId="73527B05" w14:textId="1B9DF527" w:rsidR="00FF4A7C" w:rsidRPr="003163D0" w:rsidRDefault="00000000">
          <w:pPr>
            <w:pStyle w:val="32"/>
            <w:rPr>
              <w:rFonts w:ascii="Times New Roman" w:hAnsi="Times New Roman"/>
              <w:i w:val="0"/>
              <w:noProof/>
              <w:kern w:val="2"/>
              <w:lang w:val="fr-FR" w:eastAsia="fr-FR"/>
              <w14:ligatures w14:val="standardContextual"/>
            </w:rPr>
          </w:pPr>
          <w:hyperlink w:anchor="_Toc162630071" w:history="1">
            <w:r w:rsidR="00FF4A7C" w:rsidRPr="003163D0">
              <w:rPr>
                <w:rStyle w:val="af0"/>
                <w:rFonts w:ascii="Times New Roman" w:hAnsi="Times New Roman"/>
                <w:i w:val="0"/>
                <w:noProof/>
              </w:rPr>
              <w:t>16.1.3.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_Toc162630071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64</w:t>
            </w:r>
            <w:r w:rsidR="00FF4A7C" w:rsidRPr="003163D0">
              <w:rPr>
                <w:rFonts w:ascii="Times New Roman" w:hAnsi="Times New Roman"/>
                <w:i w:val="0"/>
                <w:noProof/>
                <w:webHidden/>
              </w:rPr>
              <w:fldChar w:fldCharType="end"/>
            </w:r>
          </w:hyperlink>
        </w:p>
        <w:p w14:paraId="3E465B8A" w14:textId="3F8A4001" w:rsidR="00FF4A7C" w:rsidRPr="003163D0" w:rsidRDefault="00000000">
          <w:pPr>
            <w:pStyle w:val="22"/>
            <w:rPr>
              <w:rFonts w:ascii="Times New Roman" w:hAnsi="Times New Roman"/>
              <w:smallCaps w:val="0"/>
              <w:noProof/>
              <w:kern w:val="2"/>
              <w:lang w:val="fr-FR" w:eastAsia="fr-FR"/>
              <w14:ligatures w14:val="standardContextual"/>
            </w:rPr>
          </w:pPr>
          <w:hyperlink w:anchor="_Toc162630072" w:history="1">
            <w:r w:rsidR="00FF4A7C" w:rsidRPr="003163D0">
              <w:rPr>
                <w:rStyle w:val="af0"/>
                <w:rFonts w:ascii="Times New Roman" w:hAnsi="Times New Roman"/>
                <w:noProof/>
              </w:rPr>
              <w:t>16.2.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lutetium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_Toc162630072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65</w:t>
            </w:r>
            <w:r w:rsidR="00FF4A7C" w:rsidRPr="003163D0">
              <w:rPr>
                <w:rFonts w:ascii="Times New Roman" w:hAnsi="Times New Roman"/>
                <w:noProof/>
                <w:webHidden/>
              </w:rPr>
              <w:fldChar w:fldCharType="end"/>
            </w:r>
          </w:hyperlink>
        </w:p>
        <w:p w14:paraId="2C328630" w14:textId="6C1789F1"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73" w:history="1">
            <w:r w:rsidR="00FF4A7C" w:rsidRPr="003163D0">
              <w:rPr>
                <w:rStyle w:val="af0"/>
                <w:rFonts w:ascii="Times New Roman" w:hAnsi="Times New Roman"/>
                <w:noProof/>
              </w:rPr>
              <w:t>17.</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Actinium (Z=89)</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_Toc162630073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66</w:t>
            </w:r>
            <w:r w:rsidR="00FF4A7C" w:rsidRPr="003163D0">
              <w:rPr>
                <w:rFonts w:ascii="Times New Roman" w:hAnsi="Times New Roman"/>
                <w:noProof/>
                <w:webHidden/>
              </w:rPr>
              <w:fldChar w:fldCharType="end"/>
            </w:r>
          </w:hyperlink>
        </w:p>
        <w:p w14:paraId="2952BD19" w14:textId="3B8AFBD2" w:rsidR="00FF4A7C" w:rsidRPr="003163D0" w:rsidRDefault="00000000">
          <w:pPr>
            <w:pStyle w:val="22"/>
            <w:rPr>
              <w:rFonts w:ascii="Times New Roman" w:hAnsi="Times New Roman"/>
              <w:smallCaps w:val="0"/>
              <w:noProof/>
              <w:kern w:val="2"/>
              <w:lang w:val="fr-FR" w:eastAsia="fr-FR"/>
              <w14:ligatures w14:val="standardContextual"/>
            </w:rPr>
          </w:pPr>
          <w:hyperlink w:anchor="_Toc162630074" w:history="1">
            <w:r w:rsidR="00FF4A7C" w:rsidRPr="003163D0">
              <w:rPr>
                <w:rStyle w:val="af0"/>
                <w:rFonts w:ascii="Times New Roman" w:hAnsi="Times New Roman"/>
                <w:noProof/>
              </w:rPr>
              <w:t>17.1.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_Toc162630074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66</w:t>
            </w:r>
            <w:r w:rsidR="00FF4A7C" w:rsidRPr="003163D0">
              <w:rPr>
                <w:rFonts w:ascii="Times New Roman" w:hAnsi="Times New Roman"/>
                <w:noProof/>
                <w:webHidden/>
              </w:rPr>
              <w:fldChar w:fldCharType="end"/>
            </w:r>
          </w:hyperlink>
        </w:p>
        <w:p w14:paraId="662D43DE" w14:textId="6C0AA59C" w:rsidR="00FF4A7C" w:rsidRPr="003163D0" w:rsidRDefault="00000000">
          <w:pPr>
            <w:pStyle w:val="32"/>
            <w:rPr>
              <w:rFonts w:ascii="Times New Roman" w:hAnsi="Times New Roman"/>
              <w:i w:val="0"/>
              <w:noProof/>
              <w:kern w:val="2"/>
              <w:lang w:val="fr-FR" w:eastAsia="fr-FR"/>
              <w14:ligatures w14:val="standardContextual"/>
            </w:rPr>
          </w:pPr>
          <w:hyperlink w:anchor="_Toc162630075" w:history="1">
            <w:r w:rsidR="00FF4A7C" w:rsidRPr="003163D0">
              <w:rPr>
                <w:rStyle w:val="af0"/>
                <w:rFonts w:ascii="Times New Roman" w:hAnsi="Times New Roman"/>
                <w:i w:val="0"/>
                <w:noProof/>
              </w:rPr>
              <w:t>17.1.1.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_Toc162630075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66</w:t>
            </w:r>
            <w:r w:rsidR="00FF4A7C" w:rsidRPr="003163D0">
              <w:rPr>
                <w:rFonts w:ascii="Times New Roman" w:hAnsi="Times New Roman"/>
                <w:i w:val="0"/>
                <w:noProof/>
                <w:webHidden/>
              </w:rPr>
              <w:fldChar w:fldCharType="end"/>
            </w:r>
          </w:hyperlink>
        </w:p>
        <w:p w14:paraId="7191890B" w14:textId="775A084A" w:rsidR="00FF4A7C" w:rsidRPr="003163D0" w:rsidRDefault="00000000">
          <w:pPr>
            <w:pStyle w:val="32"/>
            <w:rPr>
              <w:rFonts w:ascii="Times New Roman" w:hAnsi="Times New Roman"/>
              <w:i w:val="0"/>
              <w:noProof/>
              <w:kern w:val="2"/>
              <w:lang w:val="fr-FR" w:eastAsia="fr-FR"/>
              <w14:ligatures w14:val="standardContextual"/>
            </w:rPr>
          </w:pPr>
          <w:hyperlink w:anchor="_Toc162630076" w:history="1">
            <w:r w:rsidR="00FF4A7C" w:rsidRPr="003163D0">
              <w:rPr>
                <w:rStyle w:val="af0"/>
                <w:rFonts w:ascii="Times New Roman" w:hAnsi="Times New Roman"/>
                <w:i w:val="0"/>
                <w:noProof/>
              </w:rPr>
              <w:t>17.1.2.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_Toc162630076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67</w:t>
            </w:r>
            <w:r w:rsidR="00FF4A7C" w:rsidRPr="003163D0">
              <w:rPr>
                <w:rFonts w:ascii="Times New Roman" w:hAnsi="Times New Roman"/>
                <w:i w:val="0"/>
                <w:noProof/>
                <w:webHidden/>
              </w:rPr>
              <w:fldChar w:fldCharType="end"/>
            </w:r>
          </w:hyperlink>
        </w:p>
        <w:p w14:paraId="77434C53" w14:textId="1B722D46" w:rsidR="00FF4A7C" w:rsidRPr="003163D0" w:rsidRDefault="00000000">
          <w:pPr>
            <w:pStyle w:val="32"/>
            <w:rPr>
              <w:rFonts w:ascii="Times New Roman" w:hAnsi="Times New Roman"/>
              <w:i w:val="0"/>
              <w:noProof/>
              <w:kern w:val="2"/>
              <w:lang w:val="fr-FR" w:eastAsia="fr-FR"/>
              <w14:ligatures w14:val="standardContextual"/>
            </w:rPr>
          </w:pPr>
          <w:hyperlink w:anchor="_Toc162630077" w:history="1">
            <w:r w:rsidR="00FF4A7C" w:rsidRPr="003163D0">
              <w:rPr>
                <w:rStyle w:val="af0"/>
                <w:rFonts w:ascii="Times New Roman" w:hAnsi="Times New Roman"/>
                <w:i w:val="0"/>
                <w:noProof/>
              </w:rPr>
              <w:t>17.1.3.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_Toc162630077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67</w:t>
            </w:r>
            <w:r w:rsidR="00FF4A7C" w:rsidRPr="003163D0">
              <w:rPr>
                <w:rFonts w:ascii="Times New Roman" w:hAnsi="Times New Roman"/>
                <w:i w:val="0"/>
                <w:noProof/>
                <w:webHidden/>
              </w:rPr>
              <w:fldChar w:fldCharType="end"/>
            </w:r>
          </w:hyperlink>
        </w:p>
        <w:p w14:paraId="6BD40A8E" w14:textId="15637BC1" w:rsidR="00FF4A7C" w:rsidRPr="003163D0" w:rsidRDefault="00000000">
          <w:pPr>
            <w:pStyle w:val="22"/>
            <w:rPr>
              <w:rFonts w:ascii="Times New Roman" w:hAnsi="Times New Roman"/>
              <w:smallCaps w:val="0"/>
              <w:noProof/>
              <w:kern w:val="2"/>
              <w:lang w:val="fr-FR" w:eastAsia="fr-FR"/>
              <w14:ligatures w14:val="standardContextual"/>
            </w:rPr>
          </w:pPr>
          <w:hyperlink w:anchor="_Toc162630078" w:history="1">
            <w:r w:rsidR="00FF4A7C" w:rsidRPr="003163D0">
              <w:rPr>
                <w:rStyle w:val="af0"/>
                <w:rFonts w:ascii="Times New Roman" w:hAnsi="Times New Roman"/>
                <w:noProof/>
              </w:rPr>
              <w:t>17.2.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actinium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_Toc162630078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70</w:t>
            </w:r>
            <w:r w:rsidR="00FF4A7C" w:rsidRPr="003163D0">
              <w:rPr>
                <w:rFonts w:ascii="Times New Roman" w:hAnsi="Times New Roman"/>
                <w:noProof/>
                <w:webHidden/>
              </w:rPr>
              <w:fldChar w:fldCharType="end"/>
            </w:r>
          </w:hyperlink>
        </w:p>
        <w:p w14:paraId="40A5D3E9" w14:textId="5AF414D3"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79" w:history="1">
            <w:r w:rsidR="00FF4A7C" w:rsidRPr="003163D0">
              <w:rPr>
                <w:rStyle w:val="af0"/>
                <w:rFonts w:ascii="Times New Roman" w:hAnsi="Times New Roman"/>
                <w:noProof/>
              </w:rPr>
              <w:t>18.</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Thorium (Z = 90)</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_Toc162630079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71</w:t>
            </w:r>
            <w:r w:rsidR="00FF4A7C" w:rsidRPr="003163D0">
              <w:rPr>
                <w:rFonts w:ascii="Times New Roman" w:hAnsi="Times New Roman"/>
                <w:noProof/>
                <w:webHidden/>
              </w:rPr>
              <w:fldChar w:fldCharType="end"/>
            </w:r>
          </w:hyperlink>
        </w:p>
        <w:p w14:paraId="34BF61E5" w14:textId="3F4830CA" w:rsidR="00FF4A7C" w:rsidRPr="003163D0" w:rsidRDefault="00000000">
          <w:pPr>
            <w:pStyle w:val="22"/>
            <w:rPr>
              <w:rFonts w:ascii="Times New Roman" w:hAnsi="Times New Roman"/>
              <w:smallCaps w:val="0"/>
              <w:noProof/>
              <w:kern w:val="2"/>
              <w:lang w:val="fr-FR" w:eastAsia="fr-FR"/>
              <w14:ligatures w14:val="standardContextual"/>
            </w:rPr>
          </w:pPr>
          <w:hyperlink w:anchor="_Toc162630080" w:history="1">
            <w:r w:rsidR="00FF4A7C" w:rsidRPr="003163D0">
              <w:rPr>
                <w:rStyle w:val="af0"/>
                <w:rFonts w:ascii="Times New Roman" w:hAnsi="Times New Roman"/>
                <w:noProof/>
              </w:rPr>
              <w:t>18.1.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_Toc162630080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71</w:t>
            </w:r>
            <w:r w:rsidR="00FF4A7C" w:rsidRPr="003163D0">
              <w:rPr>
                <w:rFonts w:ascii="Times New Roman" w:hAnsi="Times New Roman"/>
                <w:noProof/>
                <w:webHidden/>
              </w:rPr>
              <w:fldChar w:fldCharType="end"/>
            </w:r>
          </w:hyperlink>
        </w:p>
        <w:p w14:paraId="2D1B5646" w14:textId="53D78A0E" w:rsidR="00FF4A7C" w:rsidRPr="003163D0" w:rsidRDefault="00000000">
          <w:pPr>
            <w:pStyle w:val="32"/>
            <w:rPr>
              <w:rFonts w:ascii="Times New Roman" w:hAnsi="Times New Roman"/>
              <w:i w:val="0"/>
              <w:noProof/>
              <w:kern w:val="2"/>
              <w:lang w:val="fr-FR" w:eastAsia="fr-FR"/>
              <w14:ligatures w14:val="standardContextual"/>
            </w:rPr>
          </w:pPr>
          <w:hyperlink w:anchor="_Toc162630081" w:history="1">
            <w:r w:rsidR="00FF4A7C" w:rsidRPr="003163D0">
              <w:rPr>
                <w:rStyle w:val="af0"/>
                <w:rFonts w:ascii="Times New Roman" w:hAnsi="Times New Roman"/>
                <w:i w:val="0"/>
                <w:noProof/>
              </w:rPr>
              <w:t>18.1.1.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_Toc162630081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71</w:t>
            </w:r>
            <w:r w:rsidR="00FF4A7C" w:rsidRPr="003163D0">
              <w:rPr>
                <w:rFonts w:ascii="Times New Roman" w:hAnsi="Times New Roman"/>
                <w:i w:val="0"/>
                <w:noProof/>
                <w:webHidden/>
              </w:rPr>
              <w:fldChar w:fldCharType="end"/>
            </w:r>
          </w:hyperlink>
        </w:p>
        <w:p w14:paraId="0CC98B3B" w14:textId="79A1F728" w:rsidR="00FF4A7C" w:rsidRPr="003163D0" w:rsidRDefault="00000000">
          <w:pPr>
            <w:pStyle w:val="32"/>
            <w:rPr>
              <w:rFonts w:ascii="Times New Roman" w:hAnsi="Times New Roman"/>
              <w:i w:val="0"/>
              <w:noProof/>
              <w:kern w:val="2"/>
              <w:lang w:val="fr-FR" w:eastAsia="fr-FR"/>
              <w14:ligatures w14:val="standardContextual"/>
            </w:rPr>
          </w:pPr>
          <w:hyperlink w:anchor="_Toc162630082" w:history="1">
            <w:r w:rsidR="00FF4A7C" w:rsidRPr="003163D0">
              <w:rPr>
                <w:rStyle w:val="af0"/>
                <w:rFonts w:ascii="Times New Roman" w:hAnsi="Times New Roman"/>
                <w:i w:val="0"/>
                <w:noProof/>
              </w:rPr>
              <w:t>18.1.2.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_Toc162630082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72</w:t>
            </w:r>
            <w:r w:rsidR="00FF4A7C" w:rsidRPr="003163D0">
              <w:rPr>
                <w:rFonts w:ascii="Times New Roman" w:hAnsi="Times New Roman"/>
                <w:i w:val="0"/>
                <w:noProof/>
                <w:webHidden/>
              </w:rPr>
              <w:fldChar w:fldCharType="end"/>
            </w:r>
          </w:hyperlink>
        </w:p>
        <w:p w14:paraId="2AEF1B12" w14:textId="48A9DEDD" w:rsidR="00FF4A7C" w:rsidRPr="003163D0" w:rsidRDefault="00000000">
          <w:pPr>
            <w:pStyle w:val="32"/>
            <w:rPr>
              <w:rFonts w:ascii="Times New Roman" w:hAnsi="Times New Roman"/>
              <w:i w:val="0"/>
              <w:noProof/>
              <w:kern w:val="2"/>
              <w:lang w:val="fr-FR" w:eastAsia="fr-FR"/>
              <w14:ligatures w14:val="standardContextual"/>
            </w:rPr>
          </w:pPr>
          <w:hyperlink w:anchor="_Toc162630083" w:history="1">
            <w:r w:rsidR="00FF4A7C" w:rsidRPr="003163D0">
              <w:rPr>
                <w:rStyle w:val="af0"/>
                <w:rFonts w:ascii="Times New Roman" w:hAnsi="Times New Roman"/>
                <w:i w:val="0"/>
                <w:noProof/>
              </w:rPr>
              <w:t>18.1.3.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_Toc162630083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72</w:t>
            </w:r>
            <w:r w:rsidR="00FF4A7C" w:rsidRPr="003163D0">
              <w:rPr>
                <w:rFonts w:ascii="Times New Roman" w:hAnsi="Times New Roman"/>
                <w:i w:val="0"/>
                <w:noProof/>
                <w:webHidden/>
              </w:rPr>
              <w:fldChar w:fldCharType="end"/>
            </w:r>
          </w:hyperlink>
        </w:p>
        <w:p w14:paraId="31EE43B4" w14:textId="5C3FDCC0" w:rsidR="00FF4A7C" w:rsidRPr="003163D0" w:rsidRDefault="00000000">
          <w:pPr>
            <w:pStyle w:val="22"/>
            <w:rPr>
              <w:rFonts w:ascii="Times New Roman" w:hAnsi="Times New Roman"/>
              <w:smallCaps w:val="0"/>
              <w:noProof/>
              <w:kern w:val="2"/>
              <w:lang w:val="fr-FR" w:eastAsia="fr-FR"/>
              <w14:ligatures w14:val="standardContextual"/>
            </w:rPr>
          </w:pPr>
          <w:hyperlink w:anchor="_Toc162630084" w:history="1">
            <w:r w:rsidR="00FF4A7C" w:rsidRPr="003163D0">
              <w:rPr>
                <w:rStyle w:val="af0"/>
                <w:rFonts w:ascii="Times New Roman" w:hAnsi="Times New Roman"/>
                <w:noProof/>
              </w:rPr>
              <w:t>18.2.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thorium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_Toc162630084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76</w:t>
            </w:r>
            <w:r w:rsidR="00FF4A7C" w:rsidRPr="003163D0">
              <w:rPr>
                <w:rFonts w:ascii="Times New Roman" w:hAnsi="Times New Roman"/>
                <w:noProof/>
                <w:webHidden/>
              </w:rPr>
              <w:fldChar w:fldCharType="end"/>
            </w:r>
          </w:hyperlink>
        </w:p>
        <w:p w14:paraId="1CA812C8" w14:textId="3DC4C91C"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85" w:history="1">
            <w:r w:rsidR="00FF4A7C" w:rsidRPr="003163D0">
              <w:rPr>
                <w:rStyle w:val="af0"/>
                <w:rFonts w:ascii="Times New Roman" w:hAnsi="Times New Roman"/>
                <w:noProof/>
              </w:rPr>
              <w:t>19.</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Protactinium (Z=91)</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_Toc162630085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78</w:t>
            </w:r>
            <w:r w:rsidR="00FF4A7C" w:rsidRPr="003163D0">
              <w:rPr>
                <w:rFonts w:ascii="Times New Roman" w:hAnsi="Times New Roman"/>
                <w:noProof/>
                <w:webHidden/>
              </w:rPr>
              <w:fldChar w:fldCharType="end"/>
            </w:r>
          </w:hyperlink>
        </w:p>
        <w:p w14:paraId="76E53395" w14:textId="02AD0A9E" w:rsidR="00FF4A7C" w:rsidRPr="003163D0" w:rsidRDefault="00000000">
          <w:pPr>
            <w:pStyle w:val="22"/>
            <w:rPr>
              <w:rFonts w:ascii="Times New Roman" w:hAnsi="Times New Roman"/>
              <w:smallCaps w:val="0"/>
              <w:noProof/>
              <w:kern w:val="2"/>
              <w:lang w:val="fr-FR" w:eastAsia="fr-FR"/>
              <w14:ligatures w14:val="standardContextual"/>
            </w:rPr>
          </w:pPr>
          <w:hyperlink w:anchor="_Toc162630086" w:history="1">
            <w:r w:rsidR="00FF4A7C" w:rsidRPr="003163D0">
              <w:rPr>
                <w:rStyle w:val="af0"/>
                <w:rFonts w:ascii="Times New Roman" w:hAnsi="Times New Roman"/>
                <w:noProof/>
              </w:rPr>
              <w:t>19.1.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_Toc162630086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78</w:t>
            </w:r>
            <w:r w:rsidR="00FF4A7C" w:rsidRPr="003163D0">
              <w:rPr>
                <w:rFonts w:ascii="Times New Roman" w:hAnsi="Times New Roman"/>
                <w:noProof/>
                <w:webHidden/>
              </w:rPr>
              <w:fldChar w:fldCharType="end"/>
            </w:r>
          </w:hyperlink>
        </w:p>
        <w:p w14:paraId="51F8CC6B" w14:textId="6633E5E2" w:rsidR="00FF4A7C" w:rsidRPr="003163D0" w:rsidRDefault="00000000">
          <w:pPr>
            <w:pStyle w:val="32"/>
            <w:rPr>
              <w:rFonts w:ascii="Times New Roman" w:hAnsi="Times New Roman"/>
              <w:i w:val="0"/>
              <w:noProof/>
              <w:kern w:val="2"/>
              <w:lang w:val="fr-FR" w:eastAsia="fr-FR"/>
              <w14:ligatures w14:val="standardContextual"/>
            </w:rPr>
          </w:pPr>
          <w:hyperlink w:anchor="_Toc162630087" w:history="1">
            <w:r w:rsidR="00FF4A7C" w:rsidRPr="003163D0">
              <w:rPr>
                <w:rStyle w:val="af0"/>
                <w:rFonts w:ascii="Times New Roman" w:hAnsi="Times New Roman"/>
                <w:i w:val="0"/>
                <w:noProof/>
              </w:rPr>
              <w:t>19.1.1.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_Toc162630087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78</w:t>
            </w:r>
            <w:r w:rsidR="00FF4A7C" w:rsidRPr="003163D0">
              <w:rPr>
                <w:rFonts w:ascii="Times New Roman" w:hAnsi="Times New Roman"/>
                <w:i w:val="0"/>
                <w:noProof/>
                <w:webHidden/>
              </w:rPr>
              <w:fldChar w:fldCharType="end"/>
            </w:r>
          </w:hyperlink>
        </w:p>
        <w:p w14:paraId="50C71749" w14:textId="0D2714B3" w:rsidR="00FF4A7C" w:rsidRPr="003163D0" w:rsidRDefault="00000000">
          <w:pPr>
            <w:pStyle w:val="32"/>
            <w:rPr>
              <w:rFonts w:ascii="Times New Roman" w:hAnsi="Times New Roman"/>
              <w:i w:val="0"/>
              <w:noProof/>
              <w:kern w:val="2"/>
              <w:lang w:val="fr-FR" w:eastAsia="fr-FR"/>
              <w14:ligatures w14:val="standardContextual"/>
            </w:rPr>
          </w:pPr>
          <w:hyperlink w:anchor="_Toc162630088" w:history="1">
            <w:r w:rsidR="00FF4A7C" w:rsidRPr="003163D0">
              <w:rPr>
                <w:rStyle w:val="af0"/>
                <w:rFonts w:ascii="Times New Roman" w:hAnsi="Times New Roman"/>
                <w:i w:val="0"/>
                <w:noProof/>
              </w:rPr>
              <w:t>19.1.2.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_Toc162630088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79</w:t>
            </w:r>
            <w:r w:rsidR="00FF4A7C" w:rsidRPr="003163D0">
              <w:rPr>
                <w:rFonts w:ascii="Times New Roman" w:hAnsi="Times New Roman"/>
                <w:i w:val="0"/>
                <w:noProof/>
                <w:webHidden/>
              </w:rPr>
              <w:fldChar w:fldCharType="end"/>
            </w:r>
          </w:hyperlink>
        </w:p>
        <w:p w14:paraId="00D53360" w14:textId="7725DE3D" w:rsidR="00FF4A7C" w:rsidRPr="003163D0" w:rsidRDefault="00000000">
          <w:pPr>
            <w:pStyle w:val="32"/>
            <w:rPr>
              <w:rFonts w:ascii="Times New Roman" w:hAnsi="Times New Roman"/>
              <w:i w:val="0"/>
              <w:noProof/>
              <w:kern w:val="2"/>
              <w:lang w:val="fr-FR" w:eastAsia="fr-FR"/>
              <w14:ligatures w14:val="standardContextual"/>
            </w:rPr>
          </w:pPr>
          <w:hyperlink w:anchor="_Toc162630089" w:history="1">
            <w:r w:rsidR="00FF4A7C" w:rsidRPr="003163D0">
              <w:rPr>
                <w:rStyle w:val="af0"/>
                <w:rFonts w:ascii="Times New Roman" w:hAnsi="Times New Roman"/>
                <w:i w:val="0"/>
                <w:noProof/>
              </w:rPr>
              <w:t>19.1.3.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_Toc162630089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79</w:t>
            </w:r>
            <w:r w:rsidR="00FF4A7C" w:rsidRPr="003163D0">
              <w:rPr>
                <w:rFonts w:ascii="Times New Roman" w:hAnsi="Times New Roman"/>
                <w:i w:val="0"/>
                <w:noProof/>
                <w:webHidden/>
              </w:rPr>
              <w:fldChar w:fldCharType="end"/>
            </w:r>
          </w:hyperlink>
        </w:p>
        <w:p w14:paraId="0E2093EA" w14:textId="616E1133" w:rsidR="00FF4A7C" w:rsidRPr="003163D0" w:rsidRDefault="00000000">
          <w:pPr>
            <w:pStyle w:val="22"/>
            <w:rPr>
              <w:rFonts w:ascii="Times New Roman" w:hAnsi="Times New Roman"/>
              <w:smallCaps w:val="0"/>
              <w:noProof/>
              <w:kern w:val="2"/>
              <w:lang w:val="fr-FR" w:eastAsia="fr-FR"/>
              <w14:ligatures w14:val="standardContextual"/>
            </w:rPr>
          </w:pPr>
          <w:hyperlink w:anchor="_Toc162630090" w:history="1">
            <w:r w:rsidR="00FF4A7C" w:rsidRPr="003163D0">
              <w:rPr>
                <w:rStyle w:val="af0"/>
                <w:rFonts w:ascii="Times New Roman" w:hAnsi="Times New Roman"/>
                <w:noProof/>
              </w:rPr>
              <w:t>19.2.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protactinium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_Toc162630090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82</w:t>
            </w:r>
            <w:r w:rsidR="00FF4A7C" w:rsidRPr="003163D0">
              <w:rPr>
                <w:rFonts w:ascii="Times New Roman" w:hAnsi="Times New Roman"/>
                <w:noProof/>
                <w:webHidden/>
              </w:rPr>
              <w:fldChar w:fldCharType="end"/>
            </w:r>
          </w:hyperlink>
        </w:p>
        <w:p w14:paraId="12D727AB" w14:textId="1BD51E8B"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91" w:history="1">
            <w:r w:rsidR="00FF4A7C" w:rsidRPr="003163D0">
              <w:rPr>
                <w:rStyle w:val="af0"/>
                <w:rFonts w:ascii="Times New Roman" w:hAnsi="Times New Roman"/>
                <w:noProof/>
              </w:rPr>
              <w:t>20.</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Uranium (Z = 92)</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_Toc162630091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84</w:t>
            </w:r>
            <w:r w:rsidR="00FF4A7C" w:rsidRPr="003163D0">
              <w:rPr>
                <w:rFonts w:ascii="Times New Roman" w:hAnsi="Times New Roman"/>
                <w:noProof/>
                <w:webHidden/>
              </w:rPr>
              <w:fldChar w:fldCharType="end"/>
            </w:r>
          </w:hyperlink>
        </w:p>
        <w:p w14:paraId="631977D0" w14:textId="246FFBC7" w:rsidR="00FF4A7C" w:rsidRPr="003163D0" w:rsidRDefault="00000000">
          <w:pPr>
            <w:pStyle w:val="22"/>
            <w:rPr>
              <w:rFonts w:ascii="Times New Roman" w:hAnsi="Times New Roman"/>
              <w:smallCaps w:val="0"/>
              <w:noProof/>
              <w:kern w:val="2"/>
              <w:lang w:val="fr-FR" w:eastAsia="fr-FR"/>
              <w14:ligatures w14:val="standardContextual"/>
            </w:rPr>
          </w:pPr>
          <w:hyperlink w:anchor="_Toc162630092" w:history="1">
            <w:r w:rsidR="00FF4A7C" w:rsidRPr="003163D0">
              <w:rPr>
                <w:rStyle w:val="af0"/>
                <w:rFonts w:ascii="Times New Roman" w:hAnsi="Times New Roman"/>
                <w:noProof/>
              </w:rPr>
              <w:t>20.1.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_Toc162630092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84</w:t>
            </w:r>
            <w:r w:rsidR="00FF4A7C" w:rsidRPr="003163D0">
              <w:rPr>
                <w:rFonts w:ascii="Times New Roman" w:hAnsi="Times New Roman"/>
                <w:noProof/>
                <w:webHidden/>
              </w:rPr>
              <w:fldChar w:fldCharType="end"/>
            </w:r>
          </w:hyperlink>
        </w:p>
        <w:p w14:paraId="631660F5" w14:textId="252CCFC3" w:rsidR="00FF4A7C" w:rsidRPr="003163D0" w:rsidRDefault="00000000">
          <w:pPr>
            <w:pStyle w:val="32"/>
            <w:rPr>
              <w:rFonts w:ascii="Times New Roman" w:hAnsi="Times New Roman"/>
              <w:i w:val="0"/>
              <w:noProof/>
              <w:kern w:val="2"/>
              <w:lang w:val="fr-FR" w:eastAsia="fr-FR"/>
              <w14:ligatures w14:val="standardContextual"/>
            </w:rPr>
          </w:pPr>
          <w:hyperlink w:anchor="_Toc162630093" w:history="1">
            <w:r w:rsidR="00FF4A7C" w:rsidRPr="003163D0">
              <w:rPr>
                <w:rStyle w:val="af0"/>
                <w:rFonts w:ascii="Times New Roman" w:hAnsi="Times New Roman"/>
                <w:i w:val="0"/>
                <w:noProof/>
              </w:rPr>
              <w:t>20.1.1.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_Toc162630093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84</w:t>
            </w:r>
            <w:r w:rsidR="00FF4A7C" w:rsidRPr="003163D0">
              <w:rPr>
                <w:rFonts w:ascii="Times New Roman" w:hAnsi="Times New Roman"/>
                <w:i w:val="0"/>
                <w:noProof/>
                <w:webHidden/>
              </w:rPr>
              <w:fldChar w:fldCharType="end"/>
            </w:r>
          </w:hyperlink>
        </w:p>
        <w:p w14:paraId="6C9278DC" w14:textId="522DFCB8" w:rsidR="00FF4A7C" w:rsidRPr="003163D0" w:rsidRDefault="00000000">
          <w:pPr>
            <w:pStyle w:val="32"/>
            <w:rPr>
              <w:rFonts w:ascii="Times New Roman" w:hAnsi="Times New Roman"/>
              <w:i w:val="0"/>
              <w:noProof/>
              <w:kern w:val="2"/>
              <w:lang w:val="fr-FR" w:eastAsia="fr-FR"/>
              <w14:ligatures w14:val="standardContextual"/>
            </w:rPr>
          </w:pPr>
          <w:hyperlink w:anchor="_Toc162630094" w:history="1">
            <w:r w:rsidR="00FF4A7C" w:rsidRPr="003163D0">
              <w:rPr>
                <w:rStyle w:val="af0"/>
                <w:rFonts w:ascii="Times New Roman" w:hAnsi="Times New Roman"/>
                <w:i w:val="0"/>
                <w:noProof/>
              </w:rPr>
              <w:t>20.1.2.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_Toc162630094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85</w:t>
            </w:r>
            <w:r w:rsidR="00FF4A7C" w:rsidRPr="003163D0">
              <w:rPr>
                <w:rFonts w:ascii="Times New Roman" w:hAnsi="Times New Roman"/>
                <w:i w:val="0"/>
                <w:noProof/>
                <w:webHidden/>
              </w:rPr>
              <w:fldChar w:fldCharType="end"/>
            </w:r>
          </w:hyperlink>
        </w:p>
        <w:p w14:paraId="4A33724D" w14:textId="07309A82" w:rsidR="00FF4A7C" w:rsidRPr="003163D0" w:rsidRDefault="00000000">
          <w:pPr>
            <w:pStyle w:val="32"/>
            <w:rPr>
              <w:rFonts w:ascii="Times New Roman" w:hAnsi="Times New Roman"/>
              <w:i w:val="0"/>
              <w:noProof/>
              <w:kern w:val="2"/>
              <w:lang w:val="fr-FR" w:eastAsia="fr-FR"/>
              <w14:ligatures w14:val="standardContextual"/>
            </w:rPr>
          </w:pPr>
          <w:hyperlink w:anchor="_Toc162630095" w:history="1">
            <w:r w:rsidR="00FF4A7C" w:rsidRPr="003163D0">
              <w:rPr>
                <w:rStyle w:val="af0"/>
                <w:rFonts w:ascii="Times New Roman" w:hAnsi="Times New Roman"/>
                <w:i w:val="0"/>
                <w:noProof/>
              </w:rPr>
              <w:t>20.1.3.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_Toc162630095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87</w:t>
            </w:r>
            <w:r w:rsidR="00FF4A7C" w:rsidRPr="003163D0">
              <w:rPr>
                <w:rFonts w:ascii="Times New Roman" w:hAnsi="Times New Roman"/>
                <w:i w:val="0"/>
                <w:noProof/>
                <w:webHidden/>
              </w:rPr>
              <w:fldChar w:fldCharType="end"/>
            </w:r>
          </w:hyperlink>
        </w:p>
        <w:p w14:paraId="32B4E0D8" w14:textId="52B29A23" w:rsidR="00FF4A7C" w:rsidRPr="003163D0" w:rsidRDefault="00000000">
          <w:pPr>
            <w:pStyle w:val="22"/>
            <w:rPr>
              <w:rFonts w:ascii="Times New Roman" w:hAnsi="Times New Roman"/>
              <w:smallCaps w:val="0"/>
              <w:noProof/>
              <w:kern w:val="2"/>
              <w:lang w:val="fr-FR" w:eastAsia="fr-FR"/>
              <w14:ligatures w14:val="standardContextual"/>
            </w:rPr>
          </w:pPr>
          <w:hyperlink w:anchor="_Toc162630096" w:history="1">
            <w:r w:rsidR="00FF4A7C" w:rsidRPr="003163D0">
              <w:rPr>
                <w:rStyle w:val="af0"/>
                <w:rFonts w:ascii="Times New Roman" w:hAnsi="Times New Roman"/>
                <w:noProof/>
              </w:rPr>
              <w:t>20.2.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uranium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_Toc162630096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91</w:t>
            </w:r>
            <w:r w:rsidR="00FF4A7C" w:rsidRPr="003163D0">
              <w:rPr>
                <w:rFonts w:ascii="Times New Roman" w:hAnsi="Times New Roman"/>
                <w:noProof/>
                <w:webHidden/>
              </w:rPr>
              <w:fldChar w:fldCharType="end"/>
            </w:r>
          </w:hyperlink>
        </w:p>
        <w:p w14:paraId="60229562" w14:textId="2A42D1DA"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097" w:history="1">
            <w:r w:rsidR="00FF4A7C" w:rsidRPr="003163D0">
              <w:rPr>
                <w:rStyle w:val="af0"/>
                <w:rFonts w:ascii="Times New Roman" w:hAnsi="Times New Roman"/>
                <w:noProof/>
              </w:rPr>
              <w:t>21.</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Neptunium (Z=93)</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_Toc162630097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93</w:t>
            </w:r>
            <w:r w:rsidR="00FF4A7C" w:rsidRPr="003163D0">
              <w:rPr>
                <w:rFonts w:ascii="Times New Roman" w:hAnsi="Times New Roman"/>
                <w:noProof/>
                <w:webHidden/>
              </w:rPr>
              <w:fldChar w:fldCharType="end"/>
            </w:r>
          </w:hyperlink>
        </w:p>
        <w:p w14:paraId="29C9C56B" w14:textId="7633AE4A" w:rsidR="00FF4A7C" w:rsidRPr="003163D0" w:rsidRDefault="00000000">
          <w:pPr>
            <w:pStyle w:val="22"/>
            <w:rPr>
              <w:rFonts w:ascii="Times New Roman" w:hAnsi="Times New Roman"/>
              <w:smallCaps w:val="0"/>
              <w:noProof/>
              <w:kern w:val="2"/>
              <w:lang w:val="fr-FR" w:eastAsia="fr-FR"/>
              <w14:ligatures w14:val="standardContextual"/>
            </w:rPr>
          </w:pPr>
          <w:hyperlink w:anchor="_Toc162630098" w:history="1">
            <w:r w:rsidR="00FF4A7C" w:rsidRPr="003163D0">
              <w:rPr>
                <w:rStyle w:val="af0"/>
                <w:rFonts w:ascii="Times New Roman" w:hAnsi="Times New Roman"/>
                <w:noProof/>
              </w:rPr>
              <w:t>21.1.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_Toc162630098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93</w:t>
            </w:r>
            <w:r w:rsidR="00FF4A7C" w:rsidRPr="003163D0">
              <w:rPr>
                <w:rFonts w:ascii="Times New Roman" w:hAnsi="Times New Roman"/>
                <w:noProof/>
                <w:webHidden/>
              </w:rPr>
              <w:fldChar w:fldCharType="end"/>
            </w:r>
          </w:hyperlink>
        </w:p>
        <w:p w14:paraId="3CA7542A" w14:textId="31DCEF2E" w:rsidR="00FF4A7C" w:rsidRPr="003163D0" w:rsidRDefault="00000000">
          <w:pPr>
            <w:pStyle w:val="32"/>
            <w:rPr>
              <w:rFonts w:ascii="Times New Roman" w:hAnsi="Times New Roman"/>
              <w:i w:val="0"/>
              <w:noProof/>
              <w:kern w:val="2"/>
              <w:lang w:val="fr-FR" w:eastAsia="fr-FR"/>
              <w14:ligatures w14:val="standardContextual"/>
            </w:rPr>
          </w:pPr>
          <w:hyperlink w:anchor="_Toc162630099" w:history="1">
            <w:r w:rsidR="00FF4A7C" w:rsidRPr="003163D0">
              <w:rPr>
                <w:rStyle w:val="af0"/>
                <w:rFonts w:ascii="Times New Roman" w:hAnsi="Times New Roman"/>
                <w:i w:val="0"/>
                <w:noProof/>
              </w:rPr>
              <w:t>21.1.1.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_Toc162630099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93</w:t>
            </w:r>
            <w:r w:rsidR="00FF4A7C" w:rsidRPr="003163D0">
              <w:rPr>
                <w:rFonts w:ascii="Times New Roman" w:hAnsi="Times New Roman"/>
                <w:i w:val="0"/>
                <w:noProof/>
                <w:webHidden/>
              </w:rPr>
              <w:fldChar w:fldCharType="end"/>
            </w:r>
          </w:hyperlink>
        </w:p>
        <w:p w14:paraId="7A54B53B" w14:textId="056EA597" w:rsidR="00FF4A7C" w:rsidRPr="003163D0" w:rsidRDefault="00000000">
          <w:pPr>
            <w:pStyle w:val="32"/>
            <w:rPr>
              <w:rFonts w:ascii="Times New Roman" w:hAnsi="Times New Roman"/>
              <w:i w:val="0"/>
              <w:noProof/>
              <w:kern w:val="2"/>
              <w:lang w:val="fr-FR" w:eastAsia="fr-FR"/>
              <w14:ligatures w14:val="standardContextual"/>
            </w:rPr>
          </w:pPr>
          <w:hyperlink w:anchor="_Toc162630100" w:history="1">
            <w:r w:rsidR="00FF4A7C" w:rsidRPr="003163D0">
              <w:rPr>
                <w:rStyle w:val="af0"/>
                <w:rFonts w:ascii="Times New Roman" w:hAnsi="Times New Roman"/>
                <w:i w:val="0"/>
                <w:noProof/>
              </w:rPr>
              <w:t>21.1.2.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_Toc162630100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94</w:t>
            </w:r>
            <w:r w:rsidR="00FF4A7C" w:rsidRPr="003163D0">
              <w:rPr>
                <w:rFonts w:ascii="Times New Roman" w:hAnsi="Times New Roman"/>
                <w:i w:val="0"/>
                <w:noProof/>
                <w:webHidden/>
              </w:rPr>
              <w:fldChar w:fldCharType="end"/>
            </w:r>
          </w:hyperlink>
        </w:p>
        <w:p w14:paraId="1EB9A0CE" w14:textId="1B450A8E" w:rsidR="00FF4A7C" w:rsidRPr="003163D0" w:rsidRDefault="00000000">
          <w:pPr>
            <w:pStyle w:val="32"/>
            <w:rPr>
              <w:rFonts w:ascii="Times New Roman" w:hAnsi="Times New Roman"/>
              <w:i w:val="0"/>
              <w:noProof/>
              <w:kern w:val="2"/>
              <w:lang w:val="fr-FR" w:eastAsia="fr-FR"/>
              <w14:ligatures w14:val="standardContextual"/>
            </w:rPr>
          </w:pPr>
          <w:hyperlink w:anchor="_Toc162630101" w:history="1">
            <w:r w:rsidR="00FF4A7C" w:rsidRPr="003163D0">
              <w:rPr>
                <w:rStyle w:val="af0"/>
                <w:rFonts w:ascii="Times New Roman" w:hAnsi="Times New Roman"/>
                <w:i w:val="0"/>
                <w:noProof/>
              </w:rPr>
              <w:t>21.1.3.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_Toc162630101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94</w:t>
            </w:r>
            <w:r w:rsidR="00FF4A7C" w:rsidRPr="003163D0">
              <w:rPr>
                <w:rFonts w:ascii="Times New Roman" w:hAnsi="Times New Roman"/>
                <w:i w:val="0"/>
                <w:noProof/>
                <w:webHidden/>
              </w:rPr>
              <w:fldChar w:fldCharType="end"/>
            </w:r>
          </w:hyperlink>
        </w:p>
        <w:p w14:paraId="525AC8CA" w14:textId="315FE074" w:rsidR="00FF4A7C" w:rsidRPr="003163D0" w:rsidRDefault="00000000">
          <w:pPr>
            <w:pStyle w:val="22"/>
            <w:rPr>
              <w:rFonts w:ascii="Times New Roman" w:hAnsi="Times New Roman"/>
              <w:smallCaps w:val="0"/>
              <w:noProof/>
              <w:kern w:val="2"/>
              <w:lang w:val="fr-FR" w:eastAsia="fr-FR"/>
              <w14:ligatures w14:val="standardContextual"/>
            </w:rPr>
          </w:pPr>
          <w:hyperlink w:anchor="_Toc162630102" w:history="1">
            <w:r w:rsidR="00FF4A7C" w:rsidRPr="003163D0">
              <w:rPr>
                <w:rStyle w:val="af0"/>
                <w:rFonts w:ascii="Times New Roman" w:hAnsi="Times New Roman"/>
                <w:noProof/>
              </w:rPr>
              <w:t>21.2.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neptunium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_Toc162630102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97</w:t>
            </w:r>
            <w:r w:rsidR="00FF4A7C" w:rsidRPr="003163D0">
              <w:rPr>
                <w:rFonts w:ascii="Times New Roman" w:hAnsi="Times New Roman"/>
                <w:noProof/>
                <w:webHidden/>
              </w:rPr>
              <w:fldChar w:fldCharType="end"/>
            </w:r>
          </w:hyperlink>
        </w:p>
        <w:p w14:paraId="7FD5D1EF" w14:textId="56494C09"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103" w:history="1">
            <w:r w:rsidR="00FF4A7C" w:rsidRPr="003163D0">
              <w:rPr>
                <w:rStyle w:val="af0"/>
                <w:rFonts w:ascii="Times New Roman" w:hAnsi="Times New Roman"/>
                <w:noProof/>
              </w:rPr>
              <w:t>22.</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Plutonium (Z=94)</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_Toc162630103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98</w:t>
            </w:r>
            <w:r w:rsidR="00FF4A7C" w:rsidRPr="003163D0">
              <w:rPr>
                <w:rFonts w:ascii="Times New Roman" w:hAnsi="Times New Roman"/>
                <w:noProof/>
                <w:webHidden/>
              </w:rPr>
              <w:fldChar w:fldCharType="end"/>
            </w:r>
          </w:hyperlink>
        </w:p>
        <w:p w14:paraId="48E3B4E3" w14:textId="44D89561" w:rsidR="00FF4A7C" w:rsidRPr="003163D0" w:rsidRDefault="00000000">
          <w:pPr>
            <w:pStyle w:val="22"/>
            <w:rPr>
              <w:rFonts w:ascii="Times New Roman" w:hAnsi="Times New Roman"/>
              <w:smallCaps w:val="0"/>
              <w:noProof/>
              <w:kern w:val="2"/>
              <w:lang w:val="fr-FR" w:eastAsia="fr-FR"/>
              <w14:ligatures w14:val="standardContextual"/>
            </w:rPr>
          </w:pPr>
          <w:hyperlink w:anchor="_Toc162630104" w:history="1">
            <w:r w:rsidR="00FF4A7C" w:rsidRPr="003163D0">
              <w:rPr>
                <w:rStyle w:val="af0"/>
                <w:rFonts w:ascii="Times New Roman" w:hAnsi="Times New Roman"/>
                <w:noProof/>
              </w:rPr>
              <w:t>22.1.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_Toc162630104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98</w:t>
            </w:r>
            <w:r w:rsidR="00FF4A7C" w:rsidRPr="003163D0">
              <w:rPr>
                <w:rFonts w:ascii="Times New Roman" w:hAnsi="Times New Roman"/>
                <w:noProof/>
                <w:webHidden/>
              </w:rPr>
              <w:fldChar w:fldCharType="end"/>
            </w:r>
          </w:hyperlink>
        </w:p>
        <w:p w14:paraId="629F3411" w14:textId="600ED12B" w:rsidR="00FF4A7C" w:rsidRPr="003163D0" w:rsidRDefault="00000000">
          <w:pPr>
            <w:pStyle w:val="32"/>
            <w:rPr>
              <w:rFonts w:ascii="Times New Roman" w:hAnsi="Times New Roman"/>
              <w:i w:val="0"/>
              <w:noProof/>
              <w:kern w:val="2"/>
              <w:lang w:val="fr-FR" w:eastAsia="fr-FR"/>
              <w14:ligatures w14:val="standardContextual"/>
            </w:rPr>
          </w:pPr>
          <w:hyperlink w:anchor="_Toc162630105" w:history="1">
            <w:r w:rsidR="00FF4A7C" w:rsidRPr="003163D0">
              <w:rPr>
                <w:rStyle w:val="af0"/>
                <w:rFonts w:ascii="Times New Roman" w:hAnsi="Times New Roman"/>
                <w:i w:val="0"/>
                <w:noProof/>
              </w:rPr>
              <w:t>22.1.1.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_Toc162630105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98</w:t>
            </w:r>
            <w:r w:rsidR="00FF4A7C" w:rsidRPr="003163D0">
              <w:rPr>
                <w:rFonts w:ascii="Times New Roman" w:hAnsi="Times New Roman"/>
                <w:i w:val="0"/>
                <w:noProof/>
                <w:webHidden/>
              </w:rPr>
              <w:fldChar w:fldCharType="end"/>
            </w:r>
          </w:hyperlink>
        </w:p>
        <w:p w14:paraId="109D5495" w14:textId="0A6182BD" w:rsidR="00FF4A7C" w:rsidRPr="003163D0" w:rsidRDefault="00000000">
          <w:pPr>
            <w:pStyle w:val="32"/>
            <w:rPr>
              <w:rFonts w:ascii="Times New Roman" w:hAnsi="Times New Roman"/>
              <w:i w:val="0"/>
              <w:noProof/>
              <w:kern w:val="2"/>
              <w:lang w:val="fr-FR" w:eastAsia="fr-FR"/>
              <w14:ligatures w14:val="standardContextual"/>
            </w:rPr>
          </w:pPr>
          <w:hyperlink w:anchor="_Toc162630106" w:history="1">
            <w:r w:rsidR="00FF4A7C" w:rsidRPr="003163D0">
              <w:rPr>
                <w:rStyle w:val="af0"/>
                <w:rFonts w:ascii="Times New Roman" w:hAnsi="Times New Roman"/>
                <w:i w:val="0"/>
                <w:noProof/>
              </w:rPr>
              <w:t>22.1.2.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_Toc162630106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99</w:t>
            </w:r>
            <w:r w:rsidR="00FF4A7C" w:rsidRPr="003163D0">
              <w:rPr>
                <w:rFonts w:ascii="Times New Roman" w:hAnsi="Times New Roman"/>
                <w:i w:val="0"/>
                <w:noProof/>
                <w:webHidden/>
              </w:rPr>
              <w:fldChar w:fldCharType="end"/>
            </w:r>
          </w:hyperlink>
        </w:p>
        <w:p w14:paraId="7EC29AE3" w14:textId="30D6DE05" w:rsidR="00FF4A7C" w:rsidRPr="003163D0" w:rsidRDefault="00000000">
          <w:pPr>
            <w:pStyle w:val="32"/>
            <w:rPr>
              <w:rFonts w:ascii="Times New Roman" w:hAnsi="Times New Roman"/>
              <w:i w:val="0"/>
              <w:noProof/>
              <w:kern w:val="2"/>
              <w:lang w:val="fr-FR" w:eastAsia="fr-FR"/>
              <w14:ligatures w14:val="standardContextual"/>
            </w:rPr>
          </w:pPr>
          <w:hyperlink w:anchor="_Toc162630107" w:history="1">
            <w:r w:rsidR="00FF4A7C" w:rsidRPr="003163D0">
              <w:rPr>
                <w:rStyle w:val="af0"/>
                <w:rFonts w:ascii="Times New Roman" w:hAnsi="Times New Roman"/>
                <w:i w:val="0"/>
                <w:noProof/>
              </w:rPr>
              <w:t>22.1.3.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_Toc162630107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100</w:t>
            </w:r>
            <w:r w:rsidR="00FF4A7C" w:rsidRPr="003163D0">
              <w:rPr>
                <w:rFonts w:ascii="Times New Roman" w:hAnsi="Times New Roman"/>
                <w:i w:val="0"/>
                <w:noProof/>
                <w:webHidden/>
              </w:rPr>
              <w:fldChar w:fldCharType="end"/>
            </w:r>
          </w:hyperlink>
        </w:p>
        <w:p w14:paraId="0ABCF09A" w14:textId="7BA5A995" w:rsidR="00FF4A7C" w:rsidRPr="003163D0" w:rsidRDefault="00000000">
          <w:pPr>
            <w:pStyle w:val="22"/>
            <w:rPr>
              <w:rFonts w:ascii="Times New Roman" w:hAnsi="Times New Roman"/>
              <w:smallCaps w:val="0"/>
              <w:noProof/>
              <w:kern w:val="2"/>
              <w:lang w:val="fr-FR" w:eastAsia="fr-FR"/>
              <w14:ligatures w14:val="standardContextual"/>
            </w:rPr>
          </w:pPr>
          <w:hyperlink w:anchor="_Toc162630108" w:history="1">
            <w:r w:rsidR="00FF4A7C" w:rsidRPr="003163D0">
              <w:rPr>
                <w:rStyle w:val="af0"/>
                <w:rFonts w:ascii="Times New Roman" w:hAnsi="Times New Roman"/>
                <w:noProof/>
              </w:rPr>
              <w:t>22.2.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plutonium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_Toc162630108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107</w:t>
            </w:r>
            <w:r w:rsidR="00FF4A7C" w:rsidRPr="003163D0">
              <w:rPr>
                <w:rFonts w:ascii="Times New Roman" w:hAnsi="Times New Roman"/>
                <w:noProof/>
                <w:webHidden/>
              </w:rPr>
              <w:fldChar w:fldCharType="end"/>
            </w:r>
          </w:hyperlink>
        </w:p>
        <w:p w14:paraId="0D66FA6C" w14:textId="02F12A88"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109" w:history="1">
            <w:r w:rsidR="00FF4A7C" w:rsidRPr="003163D0">
              <w:rPr>
                <w:rStyle w:val="af0"/>
                <w:rFonts w:ascii="Times New Roman" w:hAnsi="Times New Roman"/>
                <w:noProof/>
              </w:rPr>
              <w:t>23.</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Americium (Z=95)</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_Toc162630109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110</w:t>
            </w:r>
            <w:r w:rsidR="00FF4A7C" w:rsidRPr="003163D0">
              <w:rPr>
                <w:rFonts w:ascii="Times New Roman" w:hAnsi="Times New Roman"/>
                <w:noProof/>
                <w:webHidden/>
              </w:rPr>
              <w:fldChar w:fldCharType="end"/>
            </w:r>
          </w:hyperlink>
        </w:p>
        <w:p w14:paraId="42A1B6BC" w14:textId="367C9D85" w:rsidR="00FF4A7C" w:rsidRPr="003163D0" w:rsidRDefault="00000000">
          <w:pPr>
            <w:pStyle w:val="22"/>
            <w:rPr>
              <w:rFonts w:ascii="Times New Roman" w:hAnsi="Times New Roman"/>
              <w:smallCaps w:val="0"/>
              <w:noProof/>
              <w:kern w:val="2"/>
              <w:lang w:val="fr-FR" w:eastAsia="fr-FR"/>
              <w14:ligatures w14:val="standardContextual"/>
            </w:rPr>
          </w:pPr>
          <w:hyperlink w:anchor="_Toc162630110" w:history="1">
            <w:r w:rsidR="00FF4A7C" w:rsidRPr="003163D0">
              <w:rPr>
                <w:rStyle w:val="af0"/>
                <w:rFonts w:ascii="Times New Roman" w:hAnsi="Times New Roman"/>
                <w:noProof/>
              </w:rPr>
              <w:t>23.1.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_Toc162630110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110</w:t>
            </w:r>
            <w:r w:rsidR="00FF4A7C" w:rsidRPr="003163D0">
              <w:rPr>
                <w:rFonts w:ascii="Times New Roman" w:hAnsi="Times New Roman"/>
                <w:noProof/>
                <w:webHidden/>
              </w:rPr>
              <w:fldChar w:fldCharType="end"/>
            </w:r>
          </w:hyperlink>
        </w:p>
        <w:p w14:paraId="50EC184C" w14:textId="581D9636" w:rsidR="00FF4A7C" w:rsidRPr="003163D0" w:rsidRDefault="00000000">
          <w:pPr>
            <w:pStyle w:val="32"/>
            <w:rPr>
              <w:rFonts w:ascii="Times New Roman" w:hAnsi="Times New Roman"/>
              <w:i w:val="0"/>
              <w:noProof/>
              <w:kern w:val="2"/>
              <w:lang w:val="fr-FR" w:eastAsia="fr-FR"/>
              <w14:ligatures w14:val="standardContextual"/>
            </w:rPr>
          </w:pPr>
          <w:hyperlink w:anchor="_Toc162630111" w:history="1">
            <w:r w:rsidR="00FF4A7C" w:rsidRPr="003163D0">
              <w:rPr>
                <w:rStyle w:val="af0"/>
                <w:rFonts w:ascii="Times New Roman" w:hAnsi="Times New Roman"/>
                <w:i w:val="0"/>
                <w:noProof/>
              </w:rPr>
              <w:t>23.1.1.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_Toc162630111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110</w:t>
            </w:r>
            <w:r w:rsidR="00FF4A7C" w:rsidRPr="003163D0">
              <w:rPr>
                <w:rFonts w:ascii="Times New Roman" w:hAnsi="Times New Roman"/>
                <w:i w:val="0"/>
                <w:noProof/>
                <w:webHidden/>
              </w:rPr>
              <w:fldChar w:fldCharType="end"/>
            </w:r>
          </w:hyperlink>
        </w:p>
        <w:p w14:paraId="0C6CF8D3" w14:textId="610740FE" w:rsidR="00FF4A7C" w:rsidRPr="003163D0" w:rsidRDefault="00000000">
          <w:pPr>
            <w:pStyle w:val="32"/>
            <w:rPr>
              <w:rFonts w:ascii="Times New Roman" w:hAnsi="Times New Roman"/>
              <w:i w:val="0"/>
              <w:noProof/>
              <w:kern w:val="2"/>
              <w:lang w:val="fr-FR" w:eastAsia="fr-FR"/>
              <w14:ligatures w14:val="standardContextual"/>
            </w:rPr>
          </w:pPr>
          <w:hyperlink w:anchor="_Toc162630112" w:history="1">
            <w:r w:rsidR="00FF4A7C" w:rsidRPr="003163D0">
              <w:rPr>
                <w:rStyle w:val="af0"/>
                <w:rFonts w:ascii="Times New Roman" w:hAnsi="Times New Roman"/>
                <w:i w:val="0"/>
                <w:noProof/>
              </w:rPr>
              <w:t>23.1.2.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_Toc162630112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111</w:t>
            </w:r>
            <w:r w:rsidR="00FF4A7C" w:rsidRPr="003163D0">
              <w:rPr>
                <w:rFonts w:ascii="Times New Roman" w:hAnsi="Times New Roman"/>
                <w:i w:val="0"/>
                <w:noProof/>
                <w:webHidden/>
              </w:rPr>
              <w:fldChar w:fldCharType="end"/>
            </w:r>
          </w:hyperlink>
        </w:p>
        <w:p w14:paraId="4B9268A1" w14:textId="02A69BC6" w:rsidR="00FF4A7C" w:rsidRPr="003163D0" w:rsidRDefault="00000000">
          <w:pPr>
            <w:pStyle w:val="32"/>
            <w:rPr>
              <w:rFonts w:ascii="Times New Roman" w:hAnsi="Times New Roman"/>
              <w:i w:val="0"/>
              <w:noProof/>
              <w:kern w:val="2"/>
              <w:lang w:val="fr-FR" w:eastAsia="fr-FR"/>
              <w14:ligatures w14:val="standardContextual"/>
            </w:rPr>
          </w:pPr>
          <w:hyperlink w:anchor="_Toc162630113" w:history="1">
            <w:r w:rsidR="00FF4A7C" w:rsidRPr="003163D0">
              <w:rPr>
                <w:rStyle w:val="af0"/>
                <w:rFonts w:ascii="Times New Roman" w:hAnsi="Times New Roman"/>
                <w:i w:val="0"/>
                <w:noProof/>
              </w:rPr>
              <w:t>23.1.3.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_Toc162630113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111</w:t>
            </w:r>
            <w:r w:rsidR="00FF4A7C" w:rsidRPr="003163D0">
              <w:rPr>
                <w:rFonts w:ascii="Times New Roman" w:hAnsi="Times New Roman"/>
                <w:i w:val="0"/>
                <w:noProof/>
                <w:webHidden/>
              </w:rPr>
              <w:fldChar w:fldCharType="end"/>
            </w:r>
          </w:hyperlink>
        </w:p>
        <w:p w14:paraId="4AC4C83F" w14:textId="6816F104" w:rsidR="00FF4A7C" w:rsidRPr="003163D0" w:rsidRDefault="00000000">
          <w:pPr>
            <w:pStyle w:val="22"/>
            <w:rPr>
              <w:rFonts w:ascii="Times New Roman" w:hAnsi="Times New Roman"/>
              <w:smallCaps w:val="0"/>
              <w:noProof/>
              <w:kern w:val="2"/>
              <w:lang w:val="fr-FR" w:eastAsia="fr-FR"/>
              <w14:ligatures w14:val="standardContextual"/>
            </w:rPr>
          </w:pPr>
          <w:hyperlink w:anchor="_Toc162630114" w:history="1">
            <w:r w:rsidR="00FF4A7C" w:rsidRPr="003163D0">
              <w:rPr>
                <w:rStyle w:val="af0"/>
                <w:rFonts w:ascii="Times New Roman" w:hAnsi="Times New Roman"/>
                <w:noProof/>
              </w:rPr>
              <w:t>23.2.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americium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_Toc162630114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117</w:t>
            </w:r>
            <w:r w:rsidR="00FF4A7C" w:rsidRPr="003163D0">
              <w:rPr>
                <w:rFonts w:ascii="Times New Roman" w:hAnsi="Times New Roman"/>
                <w:noProof/>
                <w:webHidden/>
              </w:rPr>
              <w:fldChar w:fldCharType="end"/>
            </w:r>
          </w:hyperlink>
        </w:p>
        <w:p w14:paraId="7A42F7F8" w14:textId="78B7606B"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115" w:history="1">
            <w:r w:rsidR="00FF4A7C" w:rsidRPr="003163D0">
              <w:rPr>
                <w:rStyle w:val="af0"/>
                <w:rFonts w:ascii="Times New Roman" w:hAnsi="Times New Roman"/>
                <w:noProof/>
              </w:rPr>
              <w:t>24.</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Curium (Z=96)</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_Toc162630115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118</w:t>
            </w:r>
            <w:r w:rsidR="00FF4A7C" w:rsidRPr="003163D0">
              <w:rPr>
                <w:rFonts w:ascii="Times New Roman" w:hAnsi="Times New Roman"/>
                <w:noProof/>
                <w:webHidden/>
              </w:rPr>
              <w:fldChar w:fldCharType="end"/>
            </w:r>
          </w:hyperlink>
        </w:p>
        <w:p w14:paraId="762FD230" w14:textId="55989624" w:rsidR="00FF4A7C" w:rsidRPr="003163D0" w:rsidRDefault="00000000">
          <w:pPr>
            <w:pStyle w:val="22"/>
            <w:rPr>
              <w:rFonts w:ascii="Times New Roman" w:hAnsi="Times New Roman"/>
              <w:smallCaps w:val="0"/>
              <w:noProof/>
              <w:kern w:val="2"/>
              <w:lang w:val="fr-FR" w:eastAsia="fr-FR"/>
              <w14:ligatures w14:val="standardContextual"/>
            </w:rPr>
          </w:pPr>
          <w:hyperlink w:anchor="_Toc162630116" w:history="1">
            <w:r w:rsidR="00FF4A7C" w:rsidRPr="003163D0">
              <w:rPr>
                <w:rStyle w:val="af0"/>
                <w:rFonts w:ascii="Times New Roman" w:hAnsi="Times New Roman"/>
                <w:noProof/>
              </w:rPr>
              <w:t>24.1.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_Toc162630116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118</w:t>
            </w:r>
            <w:r w:rsidR="00FF4A7C" w:rsidRPr="003163D0">
              <w:rPr>
                <w:rFonts w:ascii="Times New Roman" w:hAnsi="Times New Roman"/>
                <w:noProof/>
                <w:webHidden/>
              </w:rPr>
              <w:fldChar w:fldCharType="end"/>
            </w:r>
          </w:hyperlink>
        </w:p>
        <w:p w14:paraId="239F6743" w14:textId="64679963" w:rsidR="00FF4A7C" w:rsidRPr="003163D0" w:rsidRDefault="00000000">
          <w:pPr>
            <w:pStyle w:val="32"/>
            <w:rPr>
              <w:rFonts w:ascii="Times New Roman" w:hAnsi="Times New Roman"/>
              <w:i w:val="0"/>
              <w:noProof/>
              <w:kern w:val="2"/>
              <w:lang w:val="fr-FR" w:eastAsia="fr-FR"/>
              <w14:ligatures w14:val="standardContextual"/>
            </w:rPr>
          </w:pPr>
          <w:hyperlink w:anchor="_Toc162630117" w:history="1">
            <w:r w:rsidR="00FF4A7C" w:rsidRPr="003163D0">
              <w:rPr>
                <w:rStyle w:val="af0"/>
                <w:rFonts w:ascii="Times New Roman" w:hAnsi="Times New Roman"/>
                <w:i w:val="0"/>
                <w:noProof/>
              </w:rPr>
              <w:t>24.1.1.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_Toc162630117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118</w:t>
            </w:r>
            <w:r w:rsidR="00FF4A7C" w:rsidRPr="003163D0">
              <w:rPr>
                <w:rFonts w:ascii="Times New Roman" w:hAnsi="Times New Roman"/>
                <w:i w:val="0"/>
                <w:noProof/>
                <w:webHidden/>
              </w:rPr>
              <w:fldChar w:fldCharType="end"/>
            </w:r>
          </w:hyperlink>
        </w:p>
        <w:p w14:paraId="35493781" w14:textId="61DE12D9" w:rsidR="00FF4A7C" w:rsidRPr="003163D0" w:rsidRDefault="00000000">
          <w:pPr>
            <w:pStyle w:val="32"/>
            <w:rPr>
              <w:rFonts w:ascii="Times New Roman" w:hAnsi="Times New Roman"/>
              <w:i w:val="0"/>
              <w:noProof/>
              <w:kern w:val="2"/>
              <w:lang w:val="fr-FR" w:eastAsia="fr-FR"/>
              <w14:ligatures w14:val="standardContextual"/>
            </w:rPr>
          </w:pPr>
          <w:hyperlink w:anchor="_Toc162630118" w:history="1">
            <w:r w:rsidR="00FF4A7C" w:rsidRPr="003163D0">
              <w:rPr>
                <w:rStyle w:val="af0"/>
                <w:rFonts w:ascii="Times New Roman" w:hAnsi="Times New Roman"/>
                <w:i w:val="0"/>
                <w:noProof/>
              </w:rPr>
              <w:t>24.1.2.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_Toc162630118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119</w:t>
            </w:r>
            <w:r w:rsidR="00FF4A7C" w:rsidRPr="003163D0">
              <w:rPr>
                <w:rFonts w:ascii="Times New Roman" w:hAnsi="Times New Roman"/>
                <w:i w:val="0"/>
                <w:noProof/>
                <w:webHidden/>
              </w:rPr>
              <w:fldChar w:fldCharType="end"/>
            </w:r>
          </w:hyperlink>
        </w:p>
        <w:p w14:paraId="54E31240" w14:textId="4382B40C" w:rsidR="00FF4A7C" w:rsidRPr="003163D0" w:rsidRDefault="00000000">
          <w:pPr>
            <w:pStyle w:val="32"/>
            <w:rPr>
              <w:rFonts w:ascii="Times New Roman" w:hAnsi="Times New Roman"/>
              <w:i w:val="0"/>
              <w:noProof/>
              <w:kern w:val="2"/>
              <w:lang w:val="fr-FR" w:eastAsia="fr-FR"/>
              <w14:ligatures w14:val="standardContextual"/>
            </w:rPr>
          </w:pPr>
          <w:hyperlink w:anchor="_Toc162630119" w:history="1">
            <w:r w:rsidR="00FF4A7C" w:rsidRPr="003163D0">
              <w:rPr>
                <w:rStyle w:val="af0"/>
                <w:rFonts w:ascii="Times New Roman" w:hAnsi="Times New Roman"/>
                <w:i w:val="0"/>
                <w:noProof/>
              </w:rPr>
              <w:t>24.1.3.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_Toc162630119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119</w:t>
            </w:r>
            <w:r w:rsidR="00FF4A7C" w:rsidRPr="003163D0">
              <w:rPr>
                <w:rFonts w:ascii="Times New Roman" w:hAnsi="Times New Roman"/>
                <w:i w:val="0"/>
                <w:noProof/>
                <w:webHidden/>
              </w:rPr>
              <w:fldChar w:fldCharType="end"/>
            </w:r>
          </w:hyperlink>
        </w:p>
        <w:p w14:paraId="263FF88B" w14:textId="42F223D0" w:rsidR="00FF4A7C" w:rsidRPr="003163D0" w:rsidRDefault="00000000">
          <w:pPr>
            <w:pStyle w:val="22"/>
            <w:rPr>
              <w:rFonts w:ascii="Times New Roman" w:hAnsi="Times New Roman"/>
              <w:smallCaps w:val="0"/>
              <w:noProof/>
              <w:kern w:val="2"/>
              <w:lang w:val="fr-FR" w:eastAsia="fr-FR"/>
              <w14:ligatures w14:val="standardContextual"/>
            </w:rPr>
          </w:pPr>
          <w:hyperlink w:anchor="_Toc162630120" w:history="1">
            <w:r w:rsidR="00FF4A7C" w:rsidRPr="003163D0">
              <w:rPr>
                <w:rStyle w:val="af0"/>
                <w:rFonts w:ascii="Times New Roman" w:hAnsi="Times New Roman"/>
                <w:noProof/>
              </w:rPr>
              <w:t>24.2.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curium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_Toc162630120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122</w:t>
            </w:r>
            <w:r w:rsidR="00FF4A7C" w:rsidRPr="003163D0">
              <w:rPr>
                <w:rFonts w:ascii="Times New Roman" w:hAnsi="Times New Roman"/>
                <w:noProof/>
                <w:webHidden/>
              </w:rPr>
              <w:fldChar w:fldCharType="end"/>
            </w:r>
          </w:hyperlink>
        </w:p>
        <w:p w14:paraId="7F2EB76C" w14:textId="0FA86272"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121" w:history="1">
            <w:r w:rsidR="00FF4A7C" w:rsidRPr="003163D0">
              <w:rPr>
                <w:rStyle w:val="af0"/>
                <w:rFonts w:ascii="Times New Roman" w:hAnsi="Times New Roman"/>
                <w:noProof/>
              </w:rPr>
              <w:t>25.</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Berkelium (Z=97)</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_Toc162630121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124</w:t>
            </w:r>
            <w:r w:rsidR="00FF4A7C" w:rsidRPr="003163D0">
              <w:rPr>
                <w:rFonts w:ascii="Times New Roman" w:hAnsi="Times New Roman"/>
                <w:noProof/>
                <w:webHidden/>
              </w:rPr>
              <w:fldChar w:fldCharType="end"/>
            </w:r>
          </w:hyperlink>
        </w:p>
        <w:p w14:paraId="3E3F9CA6" w14:textId="459C7B79" w:rsidR="00FF4A7C" w:rsidRPr="003163D0" w:rsidRDefault="00000000">
          <w:pPr>
            <w:pStyle w:val="22"/>
            <w:rPr>
              <w:rFonts w:ascii="Times New Roman" w:hAnsi="Times New Roman"/>
              <w:smallCaps w:val="0"/>
              <w:noProof/>
              <w:kern w:val="2"/>
              <w:lang w:val="fr-FR" w:eastAsia="fr-FR"/>
              <w14:ligatures w14:val="standardContextual"/>
            </w:rPr>
          </w:pPr>
          <w:hyperlink w:anchor="_Toc162630122" w:history="1">
            <w:r w:rsidR="00FF4A7C" w:rsidRPr="003163D0">
              <w:rPr>
                <w:rStyle w:val="af0"/>
                <w:rFonts w:ascii="Times New Roman" w:hAnsi="Times New Roman"/>
                <w:noProof/>
              </w:rPr>
              <w:t>25.1.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_Toc162630122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124</w:t>
            </w:r>
            <w:r w:rsidR="00FF4A7C" w:rsidRPr="003163D0">
              <w:rPr>
                <w:rFonts w:ascii="Times New Roman" w:hAnsi="Times New Roman"/>
                <w:noProof/>
                <w:webHidden/>
              </w:rPr>
              <w:fldChar w:fldCharType="end"/>
            </w:r>
          </w:hyperlink>
        </w:p>
        <w:p w14:paraId="2969743B" w14:textId="45636093" w:rsidR="00FF4A7C" w:rsidRPr="003163D0" w:rsidRDefault="00000000">
          <w:pPr>
            <w:pStyle w:val="32"/>
            <w:rPr>
              <w:rFonts w:ascii="Times New Roman" w:hAnsi="Times New Roman"/>
              <w:i w:val="0"/>
              <w:noProof/>
              <w:kern w:val="2"/>
              <w:lang w:val="fr-FR" w:eastAsia="fr-FR"/>
              <w14:ligatures w14:val="standardContextual"/>
            </w:rPr>
          </w:pPr>
          <w:hyperlink w:anchor="_Toc162630123" w:history="1">
            <w:r w:rsidR="00FF4A7C" w:rsidRPr="003163D0">
              <w:rPr>
                <w:rStyle w:val="af0"/>
                <w:rFonts w:ascii="Times New Roman" w:hAnsi="Times New Roman"/>
                <w:i w:val="0"/>
                <w:noProof/>
              </w:rPr>
              <w:t>25.1.1.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_Toc162630123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124</w:t>
            </w:r>
            <w:r w:rsidR="00FF4A7C" w:rsidRPr="003163D0">
              <w:rPr>
                <w:rFonts w:ascii="Times New Roman" w:hAnsi="Times New Roman"/>
                <w:i w:val="0"/>
                <w:noProof/>
                <w:webHidden/>
              </w:rPr>
              <w:fldChar w:fldCharType="end"/>
            </w:r>
          </w:hyperlink>
        </w:p>
        <w:p w14:paraId="4D9CD2CD" w14:textId="4495F1C6" w:rsidR="00FF4A7C" w:rsidRPr="003163D0" w:rsidRDefault="00000000">
          <w:pPr>
            <w:pStyle w:val="32"/>
            <w:rPr>
              <w:rFonts w:ascii="Times New Roman" w:hAnsi="Times New Roman"/>
              <w:i w:val="0"/>
              <w:noProof/>
              <w:kern w:val="2"/>
              <w:lang w:val="fr-FR" w:eastAsia="fr-FR"/>
              <w14:ligatures w14:val="standardContextual"/>
            </w:rPr>
          </w:pPr>
          <w:hyperlink w:anchor="_Toc162630124" w:history="1">
            <w:r w:rsidR="00FF4A7C" w:rsidRPr="003163D0">
              <w:rPr>
                <w:rStyle w:val="af0"/>
                <w:rFonts w:ascii="Times New Roman" w:hAnsi="Times New Roman"/>
                <w:i w:val="0"/>
                <w:noProof/>
              </w:rPr>
              <w:t>25.1.2.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_Toc162630124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125</w:t>
            </w:r>
            <w:r w:rsidR="00FF4A7C" w:rsidRPr="003163D0">
              <w:rPr>
                <w:rFonts w:ascii="Times New Roman" w:hAnsi="Times New Roman"/>
                <w:i w:val="0"/>
                <w:noProof/>
                <w:webHidden/>
              </w:rPr>
              <w:fldChar w:fldCharType="end"/>
            </w:r>
          </w:hyperlink>
        </w:p>
        <w:p w14:paraId="144FD45F" w14:textId="6D216FA4" w:rsidR="00FF4A7C" w:rsidRPr="003163D0" w:rsidRDefault="00000000">
          <w:pPr>
            <w:pStyle w:val="32"/>
            <w:rPr>
              <w:rFonts w:ascii="Times New Roman" w:hAnsi="Times New Roman"/>
              <w:i w:val="0"/>
              <w:noProof/>
              <w:kern w:val="2"/>
              <w:lang w:val="fr-FR" w:eastAsia="fr-FR"/>
              <w14:ligatures w14:val="standardContextual"/>
            </w:rPr>
          </w:pPr>
          <w:hyperlink w:anchor="_Toc162630125" w:history="1">
            <w:r w:rsidR="00FF4A7C" w:rsidRPr="003163D0">
              <w:rPr>
                <w:rStyle w:val="af0"/>
                <w:rFonts w:ascii="Times New Roman" w:hAnsi="Times New Roman"/>
                <w:i w:val="0"/>
                <w:noProof/>
              </w:rPr>
              <w:t>25.1.3.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_Toc162630125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125</w:t>
            </w:r>
            <w:r w:rsidR="00FF4A7C" w:rsidRPr="003163D0">
              <w:rPr>
                <w:rFonts w:ascii="Times New Roman" w:hAnsi="Times New Roman"/>
                <w:i w:val="0"/>
                <w:noProof/>
                <w:webHidden/>
              </w:rPr>
              <w:fldChar w:fldCharType="end"/>
            </w:r>
          </w:hyperlink>
        </w:p>
        <w:p w14:paraId="55930871" w14:textId="0D01D57C" w:rsidR="00FF4A7C" w:rsidRPr="003163D0" w:rsidRDefault="00000000">
          <w:pPr>
            <w:pStyle w:val="22"/>
            <w:rPr>
              <w:rFonts w:ascii="Times New Roman" w:hAnsi="Times New Roman"/>
              <w:smallCaps w:val="0"/>
              <w:noProof/>
              <w:kern w:val="2"/>
              <w:lang w:val="fr-FR" w:eastAsia="fr-FR"/>
              <w14:ligatures w14:val="standardContextual"/>
            </w:rPr>
          </w:pPr>
          <w:hyperlink w:anchor="_Toc162630126" w:history="1">
            <w:r w:rsidR="00FF4A7C" w:rsidRPr="003163D0">
              <w:rPr>
                <w:rStyle w:val="af0"/>
                <w:rFonts w:ascii="Times New Roman" w:hAnsi="Times New Roman"/>
                <w:noProof/>
              </w:rPr>
              <w:t>25.2.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berkelium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_Toc162630126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128</w:t>
            </w:r>
            <w:r w:rsidR="00FF4A7C" w:rsidRPr="003163D0">
              <w:rPr>
                <w:rFonts w:ascii="Times New Roman" w:hAnsi="Times New Roman"/>
                <w:noProof/>
                <w:webHidden/>
              </w:rPr>
              <w:fldChar w:fldCharType="end"/>
            </w:r>
          </w:hyperlink>
        </w:p>
        <w:p w14:paraId="04B7BF48" w14:textId="0DA6AF09"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127" w:history="1">
            <w:r w:rsidR="00FF4A7C" w:rsidRPr="003163D0">
              <w:rPr>
                <w:rStyle w:val="af0"/>
                <w:rFonts w:ascii="Times New Roman" w:hAnsi="Times New Roman"/>
                <w:noProof/>
              </w:rPr>
              <w:t>26.</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Californium (Z=98)</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_Toc162630127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129</w:t>
            </w:r>
            <w:r w:rsidR="00FF4A7C" w:rsidRPr="003163D0">
              <w:rPr>
                <w:rFonts w:ascii="Times New Roman" w:hAnsi="Times New Roman"/>
                <w:noProof/>
                <w:webHidden/>
              </w:rPr>
              <w:fldChar w:fldCharType="end"/>
            </w:r>
          </w:hyperlink>
        </w:p>
        <w:p w14:paraId="1831D3AC" w14:textId="793E8B15" w:rsidR="00FF4A7C" w:rsidRPr="003163D0" w:rsidRDefault="00000000">
          <w:pPr>
            <w:pStyle w:val="22"/>
            <w:rPr>
              <w:rFonts w:ascii="Times New Roman" w:hAnsi="Times New Roman"/>
              <w:smallCaps w:val="0"/>
              <w:noProof/>
              <w:kern w:val="2"/>
              <w:lang w:val="fr-FR" w:eastAsia="fr-FR"/>
              <w14:ligatures w14:val="standardContextual"/>
            </w:rPr>
          </w:pPr>
          <w:hyperlink w:anchor="_Toc162630128" w:history="1">
            <w:r w:rsidR="00FF4A7C" w:rsidRPr="003163D0">
              <w:rPr>
                <w:rStyle w:val="af0"/>
                <w:rFonts w:ascii="Times New Roman" w:hAnsi="Times New Roman"/>
                <w:noProof/>
              </w:rPr>
              <w:t>26.1.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_Toc162630128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129</w:t>
            </w:r>
            <w:r w:rsidR="00FF4A7C" w:rsidRPr="003163D0">
              <w:rPr>
                <w:rFonts w:ascii="Times New Roman" w:hAnsi="Times New Roman"/>
                <w:noProof/>
                <w:webHidden/>
              </w:rPr>
              <w:fldChar w:fldCharType="end"/>
            </w:r>
          </w:hyperlink>
        </w:p>
        <w:p w14:paraId="4A922EE5" w14:textId="20EFFA5F" w:rsidR="00FF4A7C" w:rsidRPr="003163D0" w:rsidRDefault="00000000">
          <w:pPr>
            <w:pStyle w:val="32"/>
            <w:rPr>
              <w:rFonts w:ascii="Times New Roman" w:hAnsi="Times New Roman"/>
              <w:i w:val="0"/>
              <w:noProof/>
              <w:kern w:val="2"/>
              <w:lang w:val="fr-FR" w:eastAsia="fr-FR"/>
              <w14:ligatures w14:val="standardContextual"/>
            </w:rPr>
          </w:pPr>
          <w:hyperlink w:anchor="_Toc162630129" w:history="1">
            <w:r w:rsidR="00FF4A7C" w:rsidRPr="003163D0">
              <w:rPr>
                <w:rStyle w:val="af0"/>
                <w:rFonts w:ascii="Times New Roman" w:hAnsi="Times New Roman"/>
                <w:i w:val="0"/>
                <w:noProof/>
              </w:rPr>
              <w:t>26.1.1.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_Toc162630129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129</w:t>
            </w:r>
            <w:r w:rsidR="00FF4A7C" w:rsidRPr="003163D0">
              <w:rPr>
                <w:rFonts w:ascii="Times New Roman" w:hAnsi="Times New Roman"/>
                <w:i w:val="0"/>
                <w:noProof/>
                <w:webHidden/>
              </w:rPr>
              <w:fldChar w:fldCharType="end"/>
            </w:r>
          </w:hyperlink>
        </w:p>
        <w:p w14:paraId="651DF6FC" w14:textId="720F9F0D" w:rsidR="00FF4A7C" w:rsidRPr="003163D0" w:rsidRDefault="00000000">
          <w:pPr>
            <w:pStyle w:val="32"/>
            <w:rPr>
              <w:rFonts w:ascii="Times New Roman" w:hAnsi="Times New Roman"/>
              <w:i w:val="0"/>
              <w:noProof/>
              <w:kern w:val="2"/>
              <w:lang w:val="fr-FR" w:eastAsia="fr-FR"/>
              <w14:ligatures w14:val="standardContextual"/>
            </w:rPr>
          </w:pPr>
          <w:hyperlink w:anchor="_Toc162630130" w:history="1">
            <w:r w:rsidR="00FF4A7C" w:rsidRPr="003163D0">
              <w:rPr>
                <w:rStyle w:val="af0"/>
                <w:rFonts w:ascii="Times New Roman" w:hAnsi="Times New Roman"/>
                <w:i w:val="0"/>
                <w:noProof/>
              </w:rPr>
              <w:t>26.1.2.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_Toc162630130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130</w:t>
            </w:r>
            <w:r w:rsidR="00FF4A7C" w:rsidRPr="003163D0">
              <w:rPr>
                <w:rFonts w:ascii="Times New Roman" w:hAnsi="Times New Roman"/>
                <w:i w:val="0"/>
                <w:noProof/>
                <w:webHidden/>
              </w:rPr>
              <w:fldChar w:fldCharType="end"/>
            </w:r>
          </w:hyperlink>
        </w:p>
        <w:p w14:paraId="4998FBAF" w14:textId="4F751F23" w:rsidR="00FF4A7C" w:rsidRPr="003163D0" w:rsidRDefault="00000000">
          <w:pPr>
            <w:pStyle w:val="32"/>
            <w:rPr>
              <w:rFonts w:ascii="Times New Roman" w:hAnsi="Times New Roman"/>
              <w:i w:val="0"/>
              <w:noProof/>
              <w:kern w:val="2"/>
              <w:lang w:val="fr-FR" w:eastAsia="fr-FR"/>
              <w14:ligatures w14:val="standardContextual"/>
            </w:rPr>
          </w:pPr>
          <w:hyperlink w:anchor="_Toc162630131" w:history="1">
            <w:r w:rsidR="00FF4A7C" w:rsidRPr="003163D0">
              <w:rPr>
                <w:rStyle w:val="af0"/>
                <w:rFonts w:ascii="Times New Roman" w:hAnsi="Times New Roman"/>
                <w:i w:val="0"/>
                <w:noProof/>
              </w:rPr>
              <w:t>26.1.3.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_Toc162630131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130</w:t>
            </w:r>
            <w:r w:rsidR="00FF4A7C" w:rsidRPr="003163D0">
              <w:rPr>
                <w:rFonts w:ascii="Times New Roman" w:hAnsi="Times New Roman"/>
                <w:i w:val="0"/>
                <w:noProof/>
                <w:webHidden/>
              </w:rPr>
              <w:fldChar w:fldCharType="end"/>
            </w:r>
          </w:hyperlink>
        </w:p>
        <w:p w14:paraId="0CFC561F" w14:textId="503DC59D" w:rsidR="00FF4A7C" w:rsidRPr="003163D0" w:rsidRDefault="00000000">
          <w:pPr>
            <w:pStyle w:val="22"/>
            <w:rPr>
              <w:rFonts w:ascii="Times New Roman" w:hAnsi="Times New Roman"/>
              <w:smallCaps w:val="0"/>
              <w:noProof/>
              <w:kern w:val="2"/>
              <w:lang w:val="fr-FR" w:eastAsia="fr-FR"/>
              <w14:ligatures w14:val="standardContextual"/>
            </w:rPr>
          </w:pPr>
          <w:hyperlink w:anchor="_Toc162630132" w:history="1">
            <w:r w:rsidR="00FF4A7C" w:rsidRPr="003163D0">
              <w:rPr>
                <w:rStyle w:val="af0"/>
                <w:rFonts w:ascii="Times New Roman" w:hAnsi="Times New Roman"/>
                <w:noProof/>
              </w:rPr>
              <w:t>26.2.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californium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_Toc162630132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133</w:t>
            </w:r>
            <w:r w:rsidR="00FF4A7C" w:rsidRPr="003163D0">
              <w:rPr>
                <w:rFonts w:ascii="Times New Roman" w:hAnsi="Times New Roman"/>
                <w:noProof/>
                <w:webHidden/>
              </w:rPr>
              <w:fldChar w:fldCharType="end"/>
            </w:r>
          </w:hyperlink>
        </w:p>
        <w:p w14:paraId="4780AC2B" w14:textId="5D8FC8C6"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133" w:history="1">
            <w:r w:rsidR="00FF4A7C" w:rsidRPr="003163D0">
              <w:rPr>
                <w:rStyle w:val="af0"/>
                <w:rFonts w:ascii="Times New Roman" w:hAnsi="Times New Roman"/>
                <w:noProof/>
              </w:rPr>
              <w:t>27.</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Einsteinium (Z=99)</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_Toc162630133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134</w:t>
            </w:r>
            <w:r w:rsidR="00FF4A7C" w:rsidRPr="003163D0">
              <w:rPr>
                <w:rFonts w:ascii="Times New Roman" w:hAnsi="Times New Roman"/>
                <w:noProof/>
                <w:webHidden/>
              </w:rPr>
              <w:fldChar w:fldCharType="end"/>
            </w:r>
          </w:hyperlink>
        </w:p>
        <w:p w14:paraId="2E59BD59" w14:textId="1115F478" w:rsidR="00FF4A7C" w:rsidRPr="003163D0" w:rsidRDefault="00000000">
          <w:pPr>
            <w:pStyle w:val="22"/>
            <w:rPr>
              <w:rFonts w:ascii="Times New Roman" w:hAnsi="Times New Roman"/>
              <w:smallCaps w:val="0"/>
              <w:noProof/>
              <w:kern w:val="2"/>
              <w:lang w:val="fr-FR" w:eastAsia="fr-FR"/>
              <w14:ligatures w14:val="standardContextual"/>
            </w:rPr>
          </w:pPr>
          <w:hyperlink w:anchor="_Toc162630134" w:history="1">
            <w:r w:rsidR="00FF4A7C" w:rsidRPr="003163D0">
              <w:rPr>
                <w:rStyle w:val="af0"/>
                <w:rFonts w:ascii="Times New Roman" w:hAnsi="Times New Roman"/>
                <w:noProof/>
              </w:rPr>
              <w:t>27.1.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_Toc162630134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134</w:t>
            </w:r>
            <w:r w:rsidR="00FF4A7C" w:rsidRPr="003163D0">
              <w:rPr>
                <w:rFonts w:ascii="Times New Roman" w:hAnsi="Times New Roman"/>
                <w:noProof/>
                <w:webHidden/>
              </w:rPr>
              <w:fldChar w:fldCharType="end"/>
            </w:r>
          </w:hyperlink>
        </w:p>
        <w:p w14:paraId="43C1BD00" w14:textId="099E26F0" w:rsidR="00FF4A7C" w:rsidRPr="003163D0" w:rsidRDefault="00000000">
          <w:pPr>
            <w:pStyle w:val="32"/>
            <w:rPr>
              <w:rFonts w:ascii="Times New Roman" w:hAnsi="Times New Roman"/>
              <w:i w:val="0"/>
              <w:noProof/>
              <w:kern w:val="2"/>
              <w:lang w:val="fr-FR" w:eastAsia="fr-FR"/>
              <w14:ligatures w14:val="standardContextual"/>
            </w:rPr>
          </w:pPr>
          <w:hyperlink w:anchor="_Toc162630135" w:history="1">
            <w:r w:rsidR="00FF4A7C" w:rsidRPr="003163D0">
              <w:rPr>
                <w:rStyle w:val="af0"/>
                <w:rFonts w:ascii="Times New Roman" w:hAnsi="Times New Roman"/>
                <w:i w:val="0"/>
                <w:noProof/>
              </w:rPr>
              <w:t>27.1.1.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_Toc162630135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134</w:t>
            </w:r>
            <w:r w:rsidR="00FF4A7C" w:rsidRPr="003163D0">
              <w:rPr>
                <w:rFonts w:ascii="Times New Roman" w:hAnsi="Times New Roman"/>
                <w:i w:val="0"/>
                <w:noProof/>
                <w:webHidden/>
              </w:rPr>
              <w:fldChar w:fldCharType="end"/>
            </w:r>
          </w:hyperlink>
        </w:p>
        <w:p w14:paraId="7A7C6F48" w14:textId="059CC346" w:rsidR="00FF4A7C" w:rsidRPr="003163D0" w:rsidRDefault="00000000">
          <w:pPr>
            <w:pStyle w:val="32"/>
            <w:rPr>
              <w:rFonts w:ascii="Times New Roman" w:hAnsi="Times New Roman"/>
              <w:i w:val="0"/>
              <w:noProof/>
              <w:kern w:val="2"/>
              <w:lang w:val="fr-FR" w:eastAsia="fr-FR"/>
              <w14:ligatures w14:val="standardContextual"/>
            </w:rPr>
          </w:pPr>
          <w:hyperlink w:anchor="_Toc162630136" w:history="1">
            <w:r w:rsidR="00FF4A7C" w:rsidRPr="003163D0">
              <w:rPr>
                <w:rStyle w:val="af0"/>
                <w:rFonts w:ascii="Times New Roman" w:hAnsi="Times New Roman"/>
                <w:i w:val="0"/>
                <w:noProof/>
              </w:rPr>
              <w:t>27.1.2.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_Toc162630136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134</w:t>
            </w:r>
            <w:r w:rsidR="00FF4A7C" w:rsidRPr="003163D0">
              <w:rPr>
                <w:rFonts w:ascii="Times New Roman" w:hAnsi="Times New Roman"/>
                <w:i w:val="0"/>
                <w:noProof/>
                <w:webHidden/>
              </w:rPr>
              <w:fldChar w:fldCharType="end"/>
            </w:r>
          </w:hyperlink>
        </w:p>
        <w:p w14:paraId="12C60589" w14:textId="140460BD" w:rsidR="00FF4A7C" w:rsidRPr="003163D0" w:rsidRDefault="00000000">
          <w:pPr>
            <w:pStyle w:val="32"/>
            <w:rPr>
              <w:rFonts w:ascii="Times New Roman" w:hAnsi="Times New Roman"/>
              <w:i w:val="0"/>
              <w:noProof/>
              <w:kern w:val="2"/>
              <w:lang w:val="fr-FR" w:eastAsia="fr-FR"/>
              <w14:ligatures w14:val="standardContextual"/>
            </w:rPr>
          </w:pPr>
          <w:hyperlink w:anchor="_Toc162630137" w:history="1">
            <w:r w:rsidR="00FF4A7C" w:rsidRPr="003163D0">
              <w:rPr>
                <w:rStyle w:val="af0"/>
                <w:rFonts w:ascii="Times New Roman" w:hAnsi="Times New Roman"/>
                <w:i w:val="0"/>
                <w:noProof/>
              </w:rPr>
              <w:t>27.1.3.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_Toc162630137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135</w:t>
            </w:r>
            <w:r w:rsidR="00FF4A7C" w:rsidRPr="003163D0">
              <w:rPr>
                <w:rFonts w:ascii="Times New Roman" w:hAnsi="Times New Roman"/>
                <w:i w:val="0"/>
                <w:noProof/>
                <w:webHidden/>
              </w:rPr>
              <w:fldChar w:fldCharType="end"/>
            </w:r>
          </w:hyperlink>
        </w:p>
        <w:p w14:paraId="51CF0D4B" w14:textId="4396AA9E" w:rsidR="00FF4A7C" w:rsidRPr="003163D0" w:rsidRDefault="00000000">
          <w:pPr>
            <w:pStyle w:val="22"/>
            <w:rPr>
              <w:rFonts w:ascii="Times New Roman" w:hAnsi="Times New Roman"/>
              <w:smallCaps w:val="0"/>
              <w:noProof/>
              <w:kern w:val="2"/>
              <w:lang w:val="fr-FR" w:eastAsia="fr-FR"/>
              <w14:ligatures w14:val="standardContextual"/>
            </w:rPr>
          </w:pPr>
          <w:hyperlink w:anchor="_Toc162630138" w:history="1">
            <w:r w:rsidR="00FF4A7C" w:rsidRPr="003163D0">
              <w:rPr>
                <w:rStyle w:val="af0"/>
                <w:rFonts w:ascii="Times New Roman" w:hAnsi="Times New Roman"/>
                <w:noProof/>
              </w:rPr>
              <w:t>27.2.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einsteinium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_Toc162630138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137</w:t>
            </w:r>
            <w:r w:rsidR="00FF4A7C" w:rsidRPr="003163D0">
              <w:rPr>
                <w:rFonts w:ascii="Times New Roman" w:hAnsi="Times New Roman"/>
                <w:noProof/>
                <w:webHidden/>
              </w:rPr>
              <w:fldChar w:fldCharType="end"/>
            </w:r>
          </w:hyperlink>
        </w:p>
        <w:p w14:paraId="0F3DDCC0" w14:textId="40CBEA0D"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139" w:history="1">
            <w:r w:rsidR="00FF4A7C" w:rsidRPr="003163D0">
              <w:rPr>
                <w:rStyle w:val="af0"/>
                <w:rFonts w:ascii="Times New Roman" w:hAnsi="Times New Roman"/>
                <w:noProof/>
              </w:rPr>
              <w:t>28.</w:t>
            </w:r>
            <w:r w:rsidR="00FF4A7C" w:rsidRPr="003163D0">
              <w:rPr>
                <w:rFonts w:ascii="Times New Roman" w:eastAsiaTheme="minorEastAsia" w:hAnsi="Times New Roman"/>
                <w:b w:val="0"/>
                <w:bCs w:val="0"/>
                <w:caps w:val="0"/>
                <w:noProof/>
                <w:kern w:val="2"/>
                <w:lang w:val="fr-FR" w:eastAsia="fr-FR"/>
                <w14:ligatures w14:val="standardContextual"/>
              </w:rPr>
              <w:tab/>
            </w:r>
            <w:r w:rsidR="00FF4A7C" w:rsidRPr="003163D0">
              <w:rPr>
                <w:rStyle w:val="af0"/>
                <w:rFonts w:ascii="Times New Roman" w:hAnsi="Times New Roman"/>
                <w:noProof/>
              </w:rPr>
              <w:t>Fermium (Z=100)</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_Toc162630139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138</w:t>
            </w:r>
            <w:r w:rsidR="00FF4A7C" w:rsidRPr="003163D0">
              <w:rPr>
                <w:rFonts w:ascii="Times New Roman" w:hAnsi="Times New Roman"/>
                <w:noProof/>
                <w:webHidden/>
              </w:rPr>
              <w:fldChar w:fldCharType="end"/>
            </w:r>
          </w:hyperlink>
        </w:p>
        <w:p w14:paraId="534A77CF" w14:textId="005B9D7C" w:rsidR="00FF4A7C" w:rsidRPr="003163D0" w:rsidRDefault="00000000">
          <w:pPr>
            <w:pStyle w:val="22"/>
            <w:rPr>
              <w:rFonts w:ascii="Times New Roman" w:hAnsi="Times New Roman"/>
              <w:smallCaps w:val="0"/>
              <w:noProof/>
              <w:kern w:val="2"/>
              <w:lang w:val="fr-FR" w:eastAsia="fr-FR"/>
              <w14:ligatures w14:val="standardContextual"/>
            </w:rPr>
          </w:pPr>
          <w:hyperlink w:anchor="_Toc162630140" w:history="1">
            <w:r w:rsidR="00FF4A7C" w:rsidRPr="003163D0">
              <w:rPr>
                <w:rStyle w:val="af0"/>
                <w:rFonts w:ascii="Times New Roman" w:hAnsi="Times New Roman"/>
                <w:noProof/>
              </w:rPr>
              <w:t>28.1.</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Routes of Intake</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_Toc162630140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138</w:t>
            </w:r>
            <w:r w:rsidR="00FF4A7C" w:rsidRPr="003163D0">
              <w:rPr>
                <w:rFonts w:ascii="Times New Roman" w:hAnsi="Times New Roman"/>
                <w:noProof/>
                <w:webHidden/>
              </w:rPr>
              <w:fldChar w:fldCharType="end"/>
            </w:r>
          </w:hyperlink>
        </w:p>
        <w:p w14:paraId="6AE313AB" w14:textId="595BC527" w:rsidR="00FF4A7C" w:rsidRPr="003163D0" w:rsidRDefault="00000000">
          <w:pPr>
            <w:pStyle w:val="32"/>
            <w:rPr>
              <w:rFonts w:ascii="Times New Roman" w:hAnsi="Times New Roman"/>
              <w:i w:val="0"/>
              <w:noProof/>
              <w:kern w:val="2"/>
              <w:lang w:val="fr-FR" w:eastAsia="fr-FR"/>
              <w14:ligatures w14:val="standardContextual"/>
            </w:rPr>
          </w:pPr>
          <w:hyperlink w:anchor="_Toc162630141" w:history="1">
            <w:r w:rsidR="00FF4A7C" w:rsidRPr="003163D0">
              <w:rPr>
                <w:rStyle w:val="af0"/>
                <w:rFonts w:ascii="Times New Roman" w:hAnsi="Times New Roman"/>
                <w:i w:val="0"/>
                <w:noProof/>
              </w:rPr>
              <w:t>28.1.1.</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Inhalation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_Toc162630141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138</w:t>
            </w:r>
            <w:r w:rsidR="00FF4A7C" w:rsidRPr="003163D0">
              <w:rPr>
                <w:rFonts w:ascii="Times New Roman" w:hAnsi="Times New Roman"/>
                <w:i w:val="0"/>
                <w:noProof/>
                <w:webHidden/>
              </w:rPr>
              <w:fldChar w:fldCharType="end"/>
            </w:r>
          </w:hyperlink>
        </w:p>
        <w:p w14:paraId="24766E4D" w14:textId="0FBF8F4A" w:rsidR="00FF4A7C" w:rsidRPr="003163D0" w:rsidRDefault="00000000">
          <w:pPr>
            <w:pStyle w:val="32"/>
            <w:rPr>
              <w:rFonts w:ascii="Times New Roman" w:hAnsi="Times New Roman"/>
              <w:i w:val="0"/>
              <w:noProof/>
              <w:kern w:val="2"/>
              <w:lang w:val="fr-FR" w:eastAsia="fr-FR"/>
              <w14:ligatures w14:val="standardContextual"/>
            </w:rPr>
          </w:pPr>
          <w:hyperlink w:anchor="_Toc162630142" w:history="1">
            <w:r w:rsidR="00FF4A7C" w:rsidRPr="003163D0">
              <w:rPr>
                <w:rStyle w:val="af0"/>
                <w:rFonts w:ascii="Times New Roman" w:hAnsi="Times New Roman"/>
                <w:i w:val="0"/>
                <w:noProof/>
              </w:rPr>
              <w:t>28.1.2.</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Ingestion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_Toc162630142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138</w:t>
            </w:r>
            <w:r w:rsidR="00FF4A7C" w:rsidRPr="003163D0">
              <w:rPr>
                <w:rFonts w:ascii="Times New Roman" w:hAnsi="Times New Roman"/>
                <w:i w:val="0"/>
                <w:noProof/>
                <w:webHidden/>
              </w:rPr>
              <w:fldChar w:fldCharType="end"/>
            </w:r>
          </w:hyperlink>
        </w:p>
        <w:p w14:paraId="6E723817" w14:textId="5CE876F3" w:rsidR="00FF4A7C" w:rsidRPr="003163D0" w:rsidRDefault="00000000">
          <w:pPr>
            <w:pStyle w:val="32"/>
            <w:rPr>
              <w:rFonts w:ascii="Times New Roman" w:hAnsi="Times New Roman"/>
              <w:i w:val="0"/>
              <w:noProof/>
              <w:kern w:val="2"/>
              <w:lang w:val="fr-FR" w:eastAsia="fr-FR"/>
              <w14:ligatures w14:val="standardContextual"/>
            </w:rPr>
          </w:pPr>
          <w:hyperlink w:anchor="_Toc162630143" w:history="1">
            <w:r w:rsidR="00FF4A7C" w:rsidRPr="003163D0">
              <w:rPr>
                <w:rStyle w:val="af0"/>
                <w:rFonts w:ascii="Times New Roman" w:hAnsi="Times New Roman"/>
                <w:i w:val="0"/>
                <w:noProof/>
              </w:rPr>
              <w:t>28.1.3.</w:t>
            </w:r>
            <w:r w:rsidR="00FF4A7C" w:rsidRPr="003163D0">
              <w:rPr>
                <w:rFonts w:ascii="Times New Roman" w:hAnsi="Times New Roman"/>
                <w:i w:val="0"/>
                <w:noProof/>
                <w:kern w:val="2"/>
                <w:lang w:val="fr-FR" w:eastAsia="fr-FR"/>
                <w14:ligatures w14:val="standardContextual"/>
              </w:rPr>
              <w:tab/>
            </w:r>
            <w:r w:rsidR="00FF4A7C" w:rsidRPr="003163D0">
              <w:rPr>
                <w:rStyle w:val="af0"/>
                <w:rFonts w:ascii="Times New Roman" w:hAnsi="Times New Roman"/>
                <w:i w:val="0"/>
                <w:noProof/>
              </w:rPr>
              <w:t>Systemic Distribution, Retention and Excretion</w:t>
            </w:r>
            <w:r w:rsidR="00FF4A7C" w:rsidRPr="003163D0">
              <w:rPr>
                <w:rFonts w:ascii="Times New Roman" w:hAnsi="Times New Roman"/>
                <w:i w:val="0"/>
                <w:noProof/>
                <w:webHidden/>
              </w:rPr>
              <w:tab/>
            </w:r>
            <w:r w:rsidR="00FF4A7C" w:rsidRPr="003163D0">
              <w:rPr>
                <w:rFonts w:ascii="Times New Roman" w:hAnsi="Times New Roman"/>
                <w:i w:val="0"/>
                <w:noProof/>
                <w:webHidden/>
              </w:rPr>
              <w:fldChar w:fldCharType="begin"/>
            </w:r>
            <w:r w:rsidR="00FF4A7C" w:rsidRPr="003163D0">
              <w:rPr>
                <w:rFonts w:ascii="Times New Roman" w:hAnsi="Times New Roman"/>
                <w:i w:val="0"/>
                <w:noProof/>
                <w:webHidden/>
              </w:rPr>
              <w:instrText xml:space="preserve"> PAGEREF _Toc162630143 \h </w:instrText>
            </w:r>
            <w:r w:rsidR="00FF4A7C" w:rsidRPr="003163D0">
              <w:rPr>
                <w:rFonts w:ascii="Times New Roman" w:hAnsi="Times New Roman"/>
                <w:i w:val="0"/>
                <w:noProof/>
                <w:webHidden/>
              </w:rPr>
            </w:r>
            <w:r w:rsidR="00FF4A7C" w:rsidRPr="003163D0">
              <w:rPr>
                <w:rFonts w:ascii="Times New Roman" w:hAnsi="Times New Roman"/>
                <w:i w:val="0"/>
                <w:noProof/>
                <w:webHidden/>
              </w:rPr>
              <w:fldChar w:fldCharType="separate"/>
            </w:r>
            <w:r w:rsidR="00F230E5">
              <w:rPr>
                <w:rFonts w:ascii="Times New Roman" w:hAnsi="Times New Roman"/>
                <w:i w:val="0"/>
                <w:noProof/>
                <w:webHidden/>
              </w:rPr>
              <w:t>139</w:t>
            </w:r>
            <w:r w:rsidR="00FF4A7C" w:rsidRPr="003163D0">
              <w:rPr>
                <w:rFonts w:ascii="Times New Roman" w:hAnsi="Times New Roman"/>
                <w:i w:val="0"/>
                <w:noProof/>
                <w:webHidden/>
              </w:rPr>
              <w:fldChar w:fldCharType="end"/>
            </w:r>
          </w:hyperlink>
        </w:p>
        <w:p w14:paraId="2EDECC6F" w14:textId="16FD963F" w:rsidR="00FF4A7C" w:rsidRPr="003163D0" w:rsidRDefault="00000000">
          <w:pPr>
            <w:pStyle w:val="22"/>
            <w:rPr>
              <w:rFonts w:ascii="Times New Roman" w:hAnsi="Times New Roman"/>
              <w:smallCaps w:val="0"/>
              <w:noProof/>
              <w:kern w:val="2"/>
              <w:lang w:val="fr-FR" w:eastAsia="fr-FR"/>
              <w14:ligatures w14:val="standardContextual"/>
            </w:rPr>
          </w:pPr>
          <w:hyperlink w:anchor="_Toc162630144" w:history="1">
            <w:r w:rsidR="00FF4A7C" w:rsidRPr="003163D0">
              <w:rPr>
                <w:rStyle w:val="af0"/>
                <w:rFonts w:ascii="Times New Roman" w:hAnsi="Times New Roman"/>
                <w:noProof/>
              </w:rPr>
              <w:t>28.2.</w:t>
            </w:r>
            <w:r w:rsidR="00FF4A7C" w:rsidRPr="003163D0">
              <w:rPr>
                <w:rFonts w:ascii="Times New Roman" w:hAnsi="Times New Roman"/>
                <w:smallCaps w:val="0"/>
                <w:noProof/>
                <w:kern w:val="2"/>
                <w:lang w:val="fr-FR" w:eastAsia="fr-FR"/>
                <w14:ligatures w14:val="standardContextual"/>
              </w:rPr>
              <w:tab/>
            </w:r>
            <w:r w:rsidR="00FF4A7C" w:rsidRPr="003163D0">
              <w:rPr>
                <w:rStyle w:val="af0"/>
                <w:rFonts w:ascii="Times New Roman" w:hAnsi="Times New Roman"/>
                <w:noProof/>
              </w:rPr>
              <w:t>Dosimetric data for fermium</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_Toc162630144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141</w:t>
            </w:r>
            <w:r w:rsidR="00FF4A7C" w:rsidRPr="003163D0">
              <w:rPr>
                <w:rFonts w:ascii="Times New Roman" w:hAnsi="Times New Roman"/>
                <w:noProof/>
                <w:webHidden/>
              </w:rPr>
              <w:fldChar w:fldCharType="end"/>
            </w:r>
          </w:hyperlink>
        </w:p>
        <w:p w14:paraId="34557E64" w14:textId="3B4552A5" w:rsidR="00FF4A7C" w:rsidRPr="003163D0" w:rsidRDefault="00000000">
          <w:pPr>
            <w:pStyle w:val="11"/>
            <w:rPr>
              <w:rFonts w:ascii="Times New Roman" w:eastAsiaTheme="minorEastAsia" w:hAnsi="Times New Roman"/>
              <w:b w:val="0"/>
              <w:bCs w:val="0"/>
              <w:caps w:val="0"/>
              <w:noProof/>
              <w:kern w:val="2"/>
              <w:lang w:val="fr-FR" w:eastAsia="fr-FR"/>
              <w14:ligatures w14:val="standardContextual"/>
            </w:rPr>
          </w:pPr>
          <w:hyperlink w:anchor="_Toc162630145" w:history="1">
            <w:r w:rsidR="00FF4A7C" w:rsidRPr="003163D0">
              <w:rPr>
                <w:rStyle w:val="af0"/>
                <w:rFonts w:ascii="Times New Roman" w:hAnsi="Times New Roman"/>
                <w:noProof/>
                <w:snapToGrid w:val="0"/>
              </w:rPr>
              <w:t>ACKNOWLEDGEMENTS</w:t>
            </w:r>
            <w:r w:rsidR="00FF4A7C" w:rsidRPr="003163D0">
              <w:rPr>
                <w:rFonts w:ascii="Times New Roman" w:hAnsi="Times New Roman"/>
                <w:noProof/>
                <w:webHidden/>
              </w:rPr>
              <w:tab/>
            </w:r>
            <w:r w:rsidR="00FF4A7C" w:rsidRPr="003163D0">
              <w:rPr>
                <w:rFonts w:ascii="Times New Roman" w:hAnsi="Times New Roman"/>
                <w:noProof/>
                <w:webHidden/>
              </w:rPr>
              <w:fldChar w:fldCharType="begin"/>
            </w:r>
            <w:r w:rsidR="00FF4A7C" w:rsidRPr="003163D0">
              <w:rPr>
                <w:rFonts w:ascii="Times New Roman" w:hAnsi="Times New Roman"/>
                <w:noProof/>
                <w:webHidden/>
              </w:rPr>
              <w:instrText xml:space="preserve"> PAGEREF _Toc162630145 \h </w:instrText>
            </w:r>
            <w:r w:rsidR="00FF4A7C" w:rsidRPr="003163D0">
              <w:rPr>
                <w:rFonts w:ascii="Times New Roman" w:hAnsi="Times New Roman"/>
                <w:noProof/>
                <w:webHidden/>
              </w:rPr>
            </w:r>
            <w:r w:rsidR="00FF4A7C" w:rsidRPr="003163D0">
              <w:rPr>
                <w:rFonts w:ascii="Times New Roman" w:hAnsi="Times New Roman"/>
                <w:noProof/>
                <w:webHidden/>
              </w:rPr>
              <w:fldChar w:fldCharType="separate"/>
            </w:r>
            <w:r w:rsidR="00F230E5">
              <w:rPr>
                <w:rFonts w:ascii="Times New Roman" w:hAnsi="Times New Roman"/>
                <w:noProof/>
                <w:webHidden/>
              </w:rPr>
              <w:t>157</w:t>
            </w:r>
            <w:r w:rsidR="00FF4A7C" w:rsidRPr="003163D0">
              <w:rPr>
                <w:rFonts w:ascii="Times New Roman" w:hAnsi="Times New Roman"/>
                <w:noProof/>
                <w:webHidden/>
              </w:rPr>
              <w:fldChar w:fldCharType="end"/>
            </w:r>
          </w:hyperlink>
        </w:p>
        <w:p w14:paraId="540C736C" w14:textId="4EDE816B" w:rsidR="0005396C" w:rsidRPr="00C47F2F" w:rsidRDefault="00955B58" w:rsidP="006243FB">
          <w:pPr>
            <w:pStyle w:val="af1"/>
            <w:rPr>
              <w:noProof/>
            </w:rPr>
          </w:pPr>
          <w:r w:rsidRPr="003163D0">
            <w:rPr>
              <w:rFonts w:ascii="Times New Roman" w:hAnsi="Times New Roman"/>
              <w:noProof/>
            </w:rPr>
            <w:fldChar w:fldCharType="end"/>
          </w:r>
        </w:p>
      </w:sdtContent>
    </w:sdt>
    <w:p w14:paraId="7CB4DBFC" w14:textId="77777777" w:rsidR="0090441D" w:rsidRPr="00C47F2F" w:rsidRDefault="0090441D" w:rsidP="007D7BA2">
      <w:pPr>
        <w:pStyle w:val="5"/>
        <w:rPr>
          <w:i w:val="0"/>
          <w:noProof/>
        </w:rPr>
        <w:sectPr w:rsidR="0090441D" w:rsidRPr="00C47F2F" w:rsidSect="00ED3DED">
          <w:headerReference w:type="even" r:id="rId11"/>
          <w:headerReference w:type="default" r:id="rId12"/>
          <w:footerReference w:type="default" r:id="rId13"/>
          <w:headerReference w:type="first" r:id="rId14"/>
          <w:pgSz w:w="12240" w:h="15840" w:code="1"/>
          <w:pgMar w:top="1440" w:right="1440" w:bottom="1440" w:left="1440" w:header="720" w:footer="720" w:gutter="0"/>
          <w:lnNumType w:countBy="1" w:restart="continuous"/>
          <w:cols w:space="720"/>
          <w:noEndnote/>
          <w:docGrid w:linePitch="326"/>
        </w:sectPr>
      </w:pPr>
    </w:p>
    <w:tbl>
      <w:tblPr>
        <w:tblW w:w="0" w:type="auto"/>
        <w:tblCellMar>
          <w:left w:w="0" w:type="dxa"/>
          <w:right w:w="0" w:type="dxa"/>
        </w:tblCellMar>
        <w:tblLook w:val="04A0" w:firstRow="1" w:lastRow="0" w:firstColumn="1" w:lastColumn="0" w:noHBand="0" w:noVBand="1"/>
      </w:tblPr>
      <w:tblGrid>
        <w:gridCol w:w="3036"/>
        <w:gridCol w:w="2973"/>
        <w:gridCol w:w="3018"/>
      </w:tblGrid>
      <w:tr w:rsidR="00F37E3E" w:rsidRPr="00FE17F7" w14:paraId="2FE09BBE" w14:textId="77777777" w:rsidTr="00E34499">
        <w:trPr>
          <w:trHeight w:val="20"/>
        </w:trPr>
        <w:tc>
          <w:tcPr>
            <w:tcW w:w="3080" w:type="dxa"/>
            <w:shd w:val="clear" w:color="auto" w:fill="auto"/>
            <w:vAlign w:val="bottom"/>
          </w:tcPr>
          <w:bookmarkStart w:id="1" w:name="_Toc444334824"/>
          <w:bookmarkStart w:id="2" w:name="_Toc333229626"/>
          <w:bookmarkStart w:id="3" w:name="_Toc351050185"/>
          <w:bookmarkStart w:id="4" w:name="_Toc355272332"/>
          <w:bookmarkStart w:id="5" w:name="_Toc355272428"/>
          <w:bookmarkStart w:id="6" w:name="_Toc355273716"/>
          <w:bookmarkStart w:id="7" w:name="_Toc393373309"/>
          <w:p w14:paraId="4EFCB099" w14:textId="77777777" w:rsidR="00F37E3E" w:rsidRPr="00FE17F7" w:rsidRDefault="00F37E3E" w:rsidP="00E34499">
            <w:pPr>
              <w:pStyle w:val="ICRPbasic"/>
              <w:jc w:val="left"/>
            </w:pPr>
            <w:r w:rsidRPr="00FE17F7">
              <w:lastRenderedPageBreak/>
              <w:fldChar w:fldCharType="begin"/>
            </w:r>
            <w:r w:rsidRPr="00FE17F7">
              <w:instrText xml:space="preserve"> INCLUDEPICTURE "https://home.heinonline.org/wp-content/uploads/2020/09/SAGE_Logo.png" \* MERGEFORMATINET </w:instrText>
            </w:r>
            <w:r w:rsidRPr="00FE17F7">
              <w:fldChar w:fldCharType="separate"/>
            </w:r>
            <w:r>
              <w:fldChar w:fldCharType="begin"/>
            </w:r>
            <w:r>
              <w:instrText xml:space="preserve"> INCLUDEPICTURE  "https://home.heinonline.org/wp-content/uploads/2020/09/SAGE_Logo.png" \* MERGEFORMATINET </w:instrText>
            </w:r>
            <w:r>
              <w:fldChar w:fldCharType="separate"/>
            </w:r>
            <w:r>
              <w:fldChar w:fldCharType="begin"/>
            </w:r>
            <w:r>
              <w:instrText xml:space="preserve"> INCLUDEPICTURE  "https://home.heinonline.org/wp-content/uploads/2020/09/SAGE_Logo.png" \* MERGEFORMATINET </w:instrText>
            </w:r>
            <w:r>
              <w:fldChar w:fldCharType="separate"/>
            </w:r>
            <w:r>
              <w:fldChar w:fldCharType="begin"/>
            </w:r>
            <w:r>
              <w:instrText xml:space="preserve"> INCLUDEPICTURE  "https://home.heinonline.org/wp-content/uploads/2020/09/SAGE_Logo.png" \* MERGEFORMATINET </w:instrText>
            </w:r>
            <w:r>
              <w:fldChar w:fldCharType="separate"/>
            </w:r>
            <w:r>
              <w:fldChar w:fldCharType="begin"/>
            </w:r>
            <w:r>
              <w:instrText xml:space="preserve"> INCLUDEPICTURE  "https://home.heinonline.org/wp-content/uploads/2020/09/SAGE_Logo.png" \* MERGEFORMATINET </w:instrText>
            </w:r>
            <w:r>
              <w:fldChar w:fldCharType="separate"/>
            </w:r>
            <w:r>
              <w:fldChar w:fldCharType="begin"/>
            </w:r>
            <w:r>
              <w:instrText xml:space="preserve"> INCLUDEPICTURE  "https://home.heinonline.org/wp-content/uploads/2020/09/SAGE_Logo.png" \* MERGEFORMATINET </w:instrText>
            </w:r>
            <w:r>
              <w:fldChar w:fldCharType="separate"/>
            </w:r>
            <w:r>
              <w:fldChar w:fldCharType="begin"/>
            </w:r>
            <w:r>
              <w:instrText xml:space="preserve"> INCLUDEPICTURE  "https://home.heinonline.org/wp-content/uploads/2020/09/SAGE_Logo.png" \* MERGEFORMATINET </w:instrText>
            </w:r>
            <w:r>
              <w:fldChar w:fldCharType="separate"/>
            </w:r>
            <w:r>
              <w:fldChar w:fldCharType="begin"/>
            </w:r>
            <w:r>
              <w:instrText xml:space="preserve"> INCLUDEPICTURE  "https://home.heinonline.org/wp-content/uploads/2020/09/SAGE_Logo.png" \* MERGEFORMATINET </w:instrText>
            </w:r>
            <w:r>
              <w:fldChar w:fldCharType="separate"/>
            </w:r>
            <w:r>
              <w:fldChar w:fldCharType="begin"/>
            </w:r>
            <w:r>
              <w:instrText xml:space="preserve"> INCLUDEPICTURE  "https://home.heinonline.org/wp-content/uploads/2020/09/SAGE_Logo.png" \* MERGEFORMATINET </w:instrText>
            </w:r>
            <w:r>
              <w:fldChar w:fldCharType="separate"/>
            </w:r>
            <w:r>
              <w:fldChar w:fldCharType="begin"/>
            </w:r>
            <w:r>
              <w:instrText xml:space="preserve"> INCLUDEPICTURE  "https://home.heinonline.org/wp-content/uploads/2020/09/SAGE_Logo.png" \* MERGEFORMATINET </w:instrText>
            </w:r>
            <w:r>
              <w:fldChar w:fldCharType="separate"/>
            </w:r>
            <w:r>
              <w:fldChar w:fldCharType="begin"/>
            </w:r>
            <w:r>
              <w:instrText xml:space="preserve"> INCLUDEPICTURE  "https://home.heinonline.org/wp-content/uploads/2020/09/SAGE_Logo.png" \* MERGEFORMATINET </w:instrText>
            </w:r>
            <w:r>
              <w:fldChar w:fldCharType="separate"/>
            </w:r>
            <w:r>
              <w:fldChar w:fldCharType="begin"/>
            </w:r>
            <w:r>
              <w:instrText xml:space="preserve"> INCLUDEPICTURE  "https://home.heinonline.org/wp-content/uploads/2020/09/SAGE_Logo.png" \* MERGEFORMATINET </w:instrText>
            </w:r>
            <w:r>
              <w:fldChar w:fldCharType="separate"/>
            </w:r>
            <w:r>
              <w:fldChar w:fldCharType="begin"/>
            </w:r>
            <w:r>
              <w:instrText xml:space="preserve"> INCLUDEPICTURE  "https://home.heinonline.org/wp-content/uploads/2020/09/SAGE_Logo.png" \* MERGEFORMATINET </w:instrText>
            </w:r>
            <w:r>
              <w:fldChar w:fldCharType="separate"/>
            </w:r>
            <w:r>
              <w:fldChar w:fldCharType="begin"/>
            </w:r>
            <w:r>
              <w:instrText xml:space="preserve"> INCLUDEPICTURE  "https://home.heinonline.org/wp-content/uploads/2020/09/SAGE_Logo.png" \* MERGEFORMATINET </w:instrText>
            </w:r>
            <w:r>
              <w:fldChar w:fldCharType="separate"/>
            </w:r>
            <w:r>
              <w:fldChar w:fldCharType="begin"/>
            </w:r>
            <w:r>
              <w:instrText xml:space="preserve"> INCLUDEPICTURE  "https://home.heinonline.org/wp-content/uploads/2020/09/SAGE_Logo.png" \* MERGEFORMATINET </w:instrText>
            </w:r>
            <w:r>
              <w:fldChar w:fldCharType="separate"/>
            </w:r>
            <w:r w:rsidR="00477D4E">
              <w:fldChar w:fldCharType="begin"/>
            </w:r>
            <w:r w:rsidR="00477D4E">
              <w:instrText xml:space="preserve"> INCLUDEPICTURE  "https://home.heinonline.org/wp-content/uploads/2020/09/SAGE_Logo.png" \* MERGEFORMATINET </w:instrText>
            </w:r>
            <w:r w:rsidR="00477D4E">
              <w:fldChar w:fldCharType="separate"/>
            </w:r>
            <w:r w:rsidR="00FF4A7C">
              <w:fldChar w:fldCharType="begin"/>
            </w:r>
            <w:r w:rsidR="00FF4A7C">
              <w:instrText xml:space="preserve"> INCLUDEPICTURE  "https://home.heinonline.org/wp-content/uploads/2020/09/SAGE_Logo.png" \* MERGEFORMATINET </w:instrText>
            </w:r>
            <w:r w:rsidR="00FF4A7C">
              <w:fldChar w:fldCharType="separate"/>
            </w:r>
            <w:r>
              <w:fldChar w:fldCharType="begin"/>
            </w:r>
            <w:r>
              <w:instrText xml:space="preserve"> INCLUDEPICTURE  "https://home.heinonline.org/wp-content/uploads/2020/09/SAGE_Logo.png" \* MERGEFORMATINET </w:instrText>
            </w:r>
            <w:r>
              <w:fldChar w:fldCharType="separate"/>
            </w:r>
            <w:r w:rsidR="00E34499">
              <w:fldChar w:fldCharType="begin"/>
            </w:r>
            <w:r w:rsidR="00E34499">
              <w:instrText xml:space="preserve"> INCLUDEPICTURE  "https://home.heinonline.org/wp-content/uploads/2020/09/SAGE_Logo.png" \* MERGEFORMATINET </w:instrText>
            </w:r>
            <w:r w:rsidR="00E34499">
              <w:fldChar w:fldCharType="separate"/>
            </w:r>
            <w:r>
              <w:fldChar w:fldCharType="begin"/>
            </w:r>
            <w:r>
              <w:instrText xml:space="preserve"> INCLUDEPICTURE  "https://home.heinonline.org/wp-content/uploads/2020/09/SAGE_Logo.png" \* MERGEFORMATINET </w:instrText>
            </w:r>
            <w:r>
              <w:fldChar w:fldCharType="separate"/>
            </w:r>
            <w:r w:rsidR="00000000">
              <w:fldChar w:fldCharType="begin"/>
            </w:r>
            <w:r w:rsidR="00000000">
              <w:instrText xml:space="preserve"> INCLUDEPICTURE  "https://home.heinonline.org/wp-content/uploads/2020/09/SAGE_Logo.png" \* MERGEFORMATINET </w:instrText>
            </w:r>
            <w:r w:rsidR="00000000">
              <w:fldChar w:fldCharType="separate"/>
            </w:r>
            <w:r w:rsidR="006A409D">
              <w:pict w14:anchorId="31A21256">
                <v:shape id="_x0000_i1026" type="#_x0000_t75" alt="SAGE Journals - HeinOnline" style="width:113.25pt;height:33.5pt">
                  <v:imagedata r:id="rId15" r:href="rId16" croptop="8667f" cropbottom="9134f" cropleft="3966f" cropright="2256f" grayscale="t" bilevel="t"/>
                </v:shape>
              </w:pict>
            </w:r>
            <w:r w:rsidR="00000000">
              <w:fldChar w:fldCharType="end"/>
            </w:r>
            <w:r>
              <w:fldChar w:fldCharType="end"/>
            </w:r>
            <w:r w:rsidR="00E34499">
              <w:fldChar w:fldCharType="end"/>
            </w:r>
            <w:r>
              <w:fldChar w:fldCharType="end"/>
            </w:r>
            <w:r w:rsidR="00FF4A7C">
              <w:fldChar w:fldCharType="end"/>
            </w:r>
            <w:r w:rsidR="00477D4E">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FE17F7">
              <w:fldChar w:fldCharType="end"/>
            </w:r>
          </w:p>
        </w:tc>
        <w:tc>
          <w:tcPr>
            <w:tcW w:w="3081" w:type="dxa"/>
            <w:shd w:val="clear" w:color="auto" w:fill="auto"/>
            <w:vAlign w:val="bottom"/>
          </w:tcPr>
          <w:p w14:paraId="4F0FC881" w14:textId="77777777" w:rsidR="00F37E3E" w:rsidRPr="00FE17F7" w:rsidRDefault="00F37E3E" w:rsidP="00E34499">
            <w:pPr>
              <w:pStyle w:val="ICRPbasic"/>
              <w:jc w:val="center"/>
            </w:pPr>
            <w:r w:rsidRPr="00FE17F7">
              <w:t>ICRP Publication XXX</w:t>
            </w:r>
          </w:p>
        </w:tc>
        <w:tc>
          <w:tcPr>
            <w:tcW w:w="3081" w:type="dxa"/>
            <w:shd w:val="clear" w:color="auto" w:fill="auto"/>
            <w:vAlign w:val="bottom"/>
          </w:tcPr>
          <w:p w14:paraId="2B8BDE6C" w14:textId="12554735" w:rsidR="00F37E3E" w:rsidRPr="00FE17F7" w:rsidRDefault="00F37E3E" w:rsidP="00E34499">
            <w:pPr>
              <w:pStyle w:val="ICRPbasic"/>
              <w:jc w:val="right"/>
            </w:pPr>
            <w:r>
              <w:rPr>
                <w:noProof/>
              </w:rPr>
              <w:drawing>
                <wp:inline distT="0" distB="0" distL="0" distR="0" wp14:anchorId="31A62C42" wp14:editId="6E962D50">
                  <wp:extent cx="1209675" cy="466725"/>
                  <wp:effectExtent l="0" t="0" r="9525" b="9525"/>
                  <wp:docPr id="6308139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grayscl/>
                            <a:biLevel thresh="50000"/>
                            <a:extLst>
                              <a:ext uri="{28A0092B-C50C-407E-A947-70E740481C1C}">
                                <a14:useLocalDpi xmlns:a14="http://schemas.microsoft.com/office/drawing/2010/main" val="0"/>
                              </a:ext>
                            </a:extLst>
                          </a:blip>
                          <a:srcRect/>
                          <a:stretch>
                            <a:fillRect/>
                          </a:stretch>
                        </pic:blipFill>
                        <pic:spPr bwMode="auto">
                          <a:xfrm>
                            <a:off x="0" y="0"/>
                            <a:ext cx="1209675" cy="466725"/>
                          </a:xfrm>
                          <a:prstGeom prst="rect">
                            <a:avLst/>
                          </a:prstGeom>
                          <a:noFill/>
                          <a:ln>
                            <a:noFill/>
                          </a:ln>
                        </pic:spPr>
                      </pic:pic>
                    </a:graphicData>
                  </a:graphic>
                </wp:inline>
              </w:drawing>
            </w:r>
          </w:p>
        </w:tc>
      </w:tr>
    </w:tbl>
    <w:p w14:paraId="5B424ECC" w14:textId="77777777" w:rsidR="00F37E3E" w:rsidRPr="00972C81" w:rsidRDefault="00F37E3E" w:rsidP="001C4A92">
      <w:pPr>
        <w:pStyle w:val="MainTextPreference"/>
        <w:rPr>
          <w:noProof/>
        </w:rPr>
      </w:pPr>
    </w:p>
    <w:p w14:paraId="5B2F28D5" w14:textId="77777777" w:rsidR="00F37E3E" w:rsidRDefault="00F37E3E" w:rsidP="00C47F2F">
      <w:pPr>
        <w:ind w:left="360" w:hanging="360"/>
        <w:rPr>
          <w:b/>
          <w:bCs/>
          <w:noProof/>
          <w:sz w:val="32"/>
          <w:szCs w:val="32"/>
        </w:rPr>
      </w:pPr>
    </w:p>
    <w:p w14:paraId="5409A32F" w14:textId="77777777" w:rsidR="00904BD2" w:rsidRDefault="006E5B52" w:rsidP="00061B99">
      <w:pPr>
        <w:jc w:val="center"/>
        <w:rPr>
          <w:b/>
          <w:bCs/>
          <w:noProof/>
          <w:sz w:val="32"/>
          <w:szCs w:val="32"/>
        </w:rPr>
      </w:pPr>
      <w:r w:rsidRPr="00C47F2F">
        <w:rPr>
          <w:b/>
          <w:bCs/>
          <w:noProof/>
          <w:sz w:val="32"/>
          <w:szCs w:val="32"/>
        </w:rPr>
        <w:t xml:space="preserve">Dose coefficients for intakes of radionuclides </w:t>
      </w:r>
    </w:p>
    <w:p w14:paraId="66465921" w14:textId="2C8CD85F" w:rsidR="00061B99" w:rsidRPr="00C47F2F" w:rsidRDefault="006E5B52" w:rsidP="00061B99">
      <w:pPr>
        <w:jc w:val="center"/>
        <w:rPr>
          <w:b/>
          <w:bCs/>
          <w:caps/>
          <w:noProof/>
          <w:sz w:val="32"/>
          <w:szCs w:val="32"/>
        </w:rPr>
      </w:pPr>
      <w:r w:rsidRPr="00C47F2F">
        <w:rPr>
          <w:b/>
          <w:bCs/>
          <w:noProof/>
          <w:sz w:val="32"/>
          <w:szCs w:val="32"/>
        </w:rPr>
        <w:t xml:space="preserve">by members of the public: Part </w:t>
      </w:r>
      <w:r w:rsidR="00A73C12" w:rsidRPr="00C47F2F">
        <w:rPr>
          <w:b/>
          <w:bCs/>
          <w:caps/>
          <w:noProof/>
          <w:sz w:val="32"/>
          <w:szCs w:val="32"/>
        </w:rPr>
        <w:t>2</w:t>
      </w:r>
    </w:p>
    <w:p w14:paraId="140F55E9" w14:textId="77777777" w:rsidR="00031C76" w:rsidRPr="00972C81" w:rsidRDefault="00031C76" w:rsidP="00031C76">
      <w:pPr>
        <w:rPr>
          <w:noProof/>
          <w:sz w:val="32"/>
          <w:szCs w:val="32"/>
        </w:rPr>
      </w:pPr>
    </w:p>
    <w:bookmarkEnd w:id="1"/>
    <w:p w14:paraId="445FF05F" w14:textId="77777777" w:rsidR="00061B99" w:rsidRPr="00972C81" w:rsidRDefault="00061B99" w:rsidP="00061B99">
      <w:pPr>
        <w:jc w:val="center"/>
        <w:rPr>
          <w:noProof/>
          <w:szCs w:val="24"/>
        </w:rPr>
      </w:pPr>
      <w:r w:rsidRPr="00972C81">
        <w:rPr>
          <w:noProof/>
          <w:szCs w:val="24"/>
        </w:rPr>
        <w:t xml:space="preserve">ICRP PUBLICATION </w:t>
      </w:r>
      <w:r w:rsidRPr="00972C81">
        <w:rPr>
          <w:noProof/>
          <w:szCs w:val="24"/>
          <w:highlight w:val="yellow"/>
        </w:rPr>
        <w:t>XXX</w:t>
      </w:r>
    </w:p>
    <w:p w14:paraId="2F9555B6" w14:textId="77777777" w:rsidR="00061B99" w:rsidRPr="00972C81" w:rsidRDefault="00061B99" w:rsidP="00061B99">
      <w:pPr>
        <w:jc w:val="center"/>
        <w:rPr>
          <w:noProof/>
          <w:szCs w:val="24"/>
        </w:rPr>
      </w:pPr>
      <w:bookmarkStart w:id="8" w:name="_Toc444334825"/>
    </w:p>
    <w:p w14:paraId="0F0601DC" w14:textId="2009E9EC" w:rsidR="00061B99" w:rsidRPr="00972C81" w:rsidRDefault="00061B99" w:rsidP="00061B99">
      <w:pPr>
        <w:spacing w:line="480" w:lineRule="auto"/>
        <w:jc w:val="center"/>
        <w:rPr>
          <w:noProof/>
          <w:szCs w:val="24"/>
        </w:rPr>
      </w:pPr>
      <w:bookmarkStart w:id="9" w:name="_Toc444334826"/>
      <w:bookmarkEnd w:id="8"/>
      <w:r w:rsidRPr="00972C81">
        <w:rPr>
          <w:noProof/>
          <w:szCs w:val="24"/>
        </w:rPr>
        <w:t xml:space="preserve">Approved by the Commission in </w:t>
      </w:r>
      <w:r w:rsidRPr="00972C81">
        <w:rPr>
          <w:noProof/>
          <w:szCs w:val="24"/>
          <w:highlight w:val="yellow"/>
        </w:rPr>
        <w:t>20</w:t>
      </w:r>
      <w:r w:rsidR="00203AF6" w:rsidRPr="00972C81">
        <w:rPr>
          <w:noProof/>
          <w:szCs w:val="24"/>
          <w:highlight w:val="yellow"/>
        </w:rPr>
        <w:t>2</w:t>
      </w:r>
      <w:r w:rsidRPr="00972C81">
        <w:rPr>
          <w:noProof/>
          <w:szCs w:val="24"/>
          <w:highlight w:val="yellow"/>
        </w:rPr>
        <w:t>Y</w:t>
      </w:r>
    </w:p>
    <w:bookmarkEnd w:id="9"/>
    <w:p w14:paraId="6C848633" w14:textId="77777777" w:rsidR="00EF1DD8" w:rsidRPr="00972C81" w:rsidRDefault="00EF1DD8" w:rsidP="001C4A92">
      <w:pPr>
        <w:pStyle w:val="Annalstext"/>
        <w:numPr>
          <w:ilvl w:val="0"/>
          <w:numId w:val="0"/>
        </w:numPr>
        <w:rPr>
          <w:noProof/>
        </w:rPr>
      </w:pPr>
    </w:p>
    <w:p w14:paraId="331D3D60" w14:textId="551617BE" w:rsidR="00883312" w:rsidRPr="00972C81" w:rsidRDefault="00EF1DD8" w:rsidP="001C4A92">
      <w:pPr>
        <w:pStyle w:val="Style1"/>
        <w:numPr>
          <w:ilvl w:val="0"/>
          <w:numId w:val="0"/>
        </w:numPr>
        <w:rPr>
          <w:noProof/>
          <w:lang w:val="en-GB"/>
        </w:rPr>
      </w:pPr>
      <w:r w:rsidRPr="00972C81">
        <w:rPr>
          <w:b/>
          <w:noProof/>
          <w:lang w:val="en-GB"/>
        </w:rPr>
        <w:t>Abstract</w:t>
      </w:r>
      <w:r w:rsidR="005E2E53" w:rsidRPr="00972C81">
        <w:rPr>
          <w:noProof/>
          <w:lang w:val="en-GB"/>
        </w:rPr>
        <w:t>–</w:t>
      </w:r>
      <w:r w:rsidRPr="00972C81">
        <w:rPr>
          <w:noProof/>
          <w:lang w:val="en-GB"/>
        </w:rPr>
        <w:t xml:space="preserve"> This report is the </w:t>
      </w:r>
      <w:r w:rsidR="0094595E" w:rsidRPr="00972C81">
        <w:rPr>
          <w:noProof/>
          <w:lang w:val="en-GB"/>
        </w:rPr>
        <w:t>second</w:t>
      </w:r>
      <w:r w:rsidRPr="00972C81">
        <w:rPr>
          <w:noProof/>
          <w:lang w:val="en-GB"/>
        </w:rPr>
        <w:t xml:space="preserve"> in a series of documents </w:t>
      </w:r>
      <w:r w:rsidR="00135684" w:rsidRPr="00972C81">
        <w:rPr>
          <w:noProof/>
          <w:lang w:val="en-GB"/>
        </w:rPr>
        <w:t>giving age-dependent dose coefficients for members of the public for environmental intakes of radionuclides (EIR) by inhalation and ingestion</w:t>
      </w:r>
      <w:r w:rsidR="002126B7" w:rsidRPr="00972C81">
        <w:rPr>
          <w:noProof/>
          <w:lang w:val="en-GB"/>
        </w:rPr>
        <w:t>. This series</w:t>
      </w:r>
      <w:r w:rsidR="00135684" w:rsidRPr="00972C81">
        <w:rPr>
          <w:noProof/>
          <w:lang w:val="en-GB"/>
        </w:rPr>
        <w:t xml:space="preserve"> </w:t>
      </w:r>
      <w:r w:rsidR="002126B7" w:rsidRPr="00972C81">
        <w:rPr>
          <w:noProof/>
          <w:lang w:val="en-GB"/>
        </w:rPr>
        <w:t xml:space="preserve">replaces </w:t>
      </w:r>
      <w:r w:rsidRPr="00972C81">
        <w:rPr>
          <w:noProof/>
          <w:lang w:val="en-GB"/>
        </w:rPr>
        <w:t xml:space="preserve">the </w:t>
      </w:r>
      <w:r w:rsidRPr="00972C81">
        <w:rPr>
          <w:i/>
          <w:noProof/>
          <w:lang w:val="en-GB"/>
        </w:rPr>
        <w:t xml:space="preserve">Publication </w:t>
      </w:r>
      <w:r w:rsidR="00C2059A" w:rsidRPr="00972C81">
        <w:rPr>
          <w:i/>
          <w:noProof/>
          <w:lang w:val="en-GB"/>
        </w:rPr>
        <w:t>56</w:t>
      </w:r>
      <w:r w:rsidR="006D7E30" w:rsidRPr="00972C81">
        <w:rPr>
          <w:noProof/>
          <w:lang w:val="en-GB"/>
        </w:rPr>
        <w:t xml:space="preserve"> </w:t>
      </w:r>
      <w:r w:rsidRPr="00972C81">
        <w:rPr>
          <w:noProof/>
          <w:lang w:val="en-GB"/>
        </w:rPr>
        <w:t>series</w:t>
      </w:r>
      <w:r w:rsidR="00135684" w:rsidRPr="00972C81">
        <w:rPr>
          <w:noProof/>
          <w:lang w:val="en-GB"/>
        </w:rPr>
        <w:t xml:space="preserve"> of documents.</w:t>
      </w:r>
      <w:r w:rsidRPr="00972C81">
        <w:rPr>
          <w:noProof/>
          <w:lang w:val="en-GB"/>
        </w:rPr>
        <w:t xml:space="preserve"> The revised dose coefficients have been calculated using the </w:t>
      </w:r>
      <w:r w:rsidRPr="00972C81">
        <w:rPr>
          <w:i/>
          <w:noProof/>
          <w:lang w:val="en-GB"/>
        </w:rPr>
        <w:t>Publication 100</w:t>
      </w:r>
      <w:r w:rsidR="00444290" w:rsidRPr="00972C81">
        <w:rPr>
          <w:noProof/>
          <w:lang w:val="en-GB"/>
        </w:rPr>
        <w:t xml:space="preserve"> human alimentary tract m</w:t>
      </w:r>
      <w:r w:rsidRPr="00972C81">
        <w:rPr>
          <w:noProof/>
          <w:lang w:val="en-GB"/>
        </w:rPr>
        <w:t xml:space="preserve">odel (HATM) and </w:t>
      </w:r>
      <w:r w:rsidR="00135684" w:rsidRPr="00972C81">
        <w:rPr>
          <w:noProof/>
          <w:lang w:val="en-GB"/>
        </w:rPr>
        <w:t xml:space="preserve">the </w:t>
      </w:r>
      <w:r w:rsidR="00D63DBB" w:rsidRPr="00972C81">
        <w:rPr>
          <w:i/>
          <w:noProof/>
          <w:lang w:val="en-GB"/>
        </w:rPr>
        <w:t>Publication 130</w:t>
      </w:r>
      <w:r w:rsidR="00D63DBB" w:rsidRPr="00972C81">
        <w:rPr>
          <w:noProof/>
          <w:lang w:val="en-GB"/>
        </w:rPr>
        <w:t xml:space="preserve"> </w:t>
      </w:r>
      <w:r w:rsidRPr="00972C81">
        <w:rPr>
          <w:noProof/>
          <w:lang w:val="en-GB"/>
        </w:rPr>
        <w:t xml:space="preserve">revision of the </w:t>
      </w:r>
      <w:r w:rsidR="00444290" w:rsidRPr="00972C81">
        <w:rPr>
          <w:noProof/>
          <w:lang w:val="en-GB"/>
        </w:rPr>
        <w:t>h</w:t>
      </w:r>
      <w:r w:rsidRPr="00972C81">
        <w:rPr>
          <w:noProof/>
          <w:lang w:val="en-GB"/>
        </w:rPr>
        <w:t xml:space="preserve">uman </w:t>
      </w:r>
      <w:r w:rsidR="00444290" w:rsidRPr="00972C81">
        <w:rPr>
          <w:noProof/>
          <w:lang w:val="en-GB"/>
        </w:rPr>
        <w:t>r</w:t>
      </w:r>
      <w:r w:rsidRPr="00972C81">
        <w:rPr>
          <w:noProof/>
          <w:lang w:val="en-GB"/>
        </w:rPr>
        <w:t xml:space="preserve">espiratory </w:t>
      </w:r>
      <w:r w:rsidR="00444290" w:rsidRPr="00972C81">
        <w:rPr>
          <w:noProof/>
          <w:lang w:val="en-GB"/>
        </w:rPr>
        <w:t>t</w:t>
      </w:r>
      <w:r w:rsidRPr="00972C81">
        <w:rPr>
          <w:noProof/>
          <w:lang w:val="en-GB"/>
        </w:rPr>
        <w:t xml:space="preserve">ract </w:t>
      </w:r>
      <w:r w:rsidR="00444290" w:rsidRPr="00972C81">
        <w:rPr>
          <w:noProof/>
          <w:lang w:val="en-GB"/>
        </w:rPr>
        <w:t>m</w:t>
      </w:r>
      <w:r w:rsidRPr="00972C81">
        <w:rPr>
          <w:noProof/>
          <w:lang w:val="en-GB"/>
        </w:rPr>
        <w:t xml:space="preserve">odel (HRTM). Revisions have </w:t>
      </w:r>
      <w:r w:rsidR="00135684" w:rsidRPr="00972C81">
        <w:rPr>
          <w:noProof/>
          <w:lang w:val="en-GB"/>
        </w:rPr>
        <w:t xml:space="preserve">also </w:t>
      </w:r>
      <w:r w:rsidRPr="00972C81">
        <w:rPr>
          <w:noProof/>
          <w:lang w:val="en-GB"/>
        </w:rPr>
        <w:t>been made to many of the models that describe the systemic biokinetics of radionuclides absorbed to blood, making them more physiologically realistic representations of uptake and retention in organs and tissues and of excretion.</w:t>
      </w:r>
      <w:r w:rsidR="002126B7" w:rsidRPr="00972C81">
        <w:rPr>
          <w:noProof/>
          <w:lang w:val="en-GB"/>
        </w:rPr>
        <w:t xml:space="preserve"> Changes have been implemented that were introduced in </w:t>
      </w:r>
      <w:r w:rsidR="002126B7" w:rsidRPr="00972C81">
        <w:rPr>
          <w:i/>
          <w:noProof/>
          <w:lang w:val="en-GB"/>
        </w:rPr>
        <w:t>Publication 103</w:t>
      </w:r>
      <w:r w:rsidR="002126B7" w:rsidRPr="00972C81">
        <w:rPr>
          <w:noProof/>
          <w:lang w:val="en-GB"/>
        </w:rPr>
        <w:t xml:space="preserve"> to: the radiation weighting factors used in the calculation of equivalent doses to tissues; the tissue weighting factors used in the calculation of effective dose; and the separate calculation of equivalent doses to males and females with sex-averaging in the calculation of effective dose. Reference </w:t>
      </w:r>
      <w:r w:rsidR="00B957AF" w:rsidRPr="00972C81">
        <w:rPr>
          <w:noProof/>
          <w:lang w:val="en-GB"/>
        </w:rPr>
        <w:t xml:space="preserve">voxel </w:t>
      </w:r>
      <w:r w:rsidR="002126B7" w:rsidRPr="00972C81">
        <w:rPr>
          <w:noProof/>
          <w:lang w:val="en-GB"/>
        </w:rPr>
        <w:t xml:space="preserve">anatomical computational phantoms (i.e. models of the human body based on medical imaging data), have replaced the composite mathematical models used for previous calculations of organ doses. </w:t>
      </w:r>
      <w:r w:rsidR="006B0CA6" w:rsidRPr="00972C81">
        <w:rPr>
          <w:noProof/>
          <w:lang w:val="en-GB"/>
        </w:rPr>
        <w:t xml:space="preserve">Dose calculations were also </w:t>
      </w:r>
      <w:r w:rsidR="002126B7" w:rsidRPr="00972C81">
        <w:rPr>
          <w:noProof/>
          <w:lang w:val="en-GB"/>
        </w:rPr>
        <w:t>improve</w:t>
      </w:r>
      <w:r w:rsidR="006B0CA6" w:rsidRPr="00972C81">
        <w:rPr>
          <w:noProof/>
          <w:lang w:val="en-GB"/>
        </w:rPr>
        <w:t>d</w:t>
      </w:r>
      <w:r w:rsidR="002126B7" w:rsidRPr="00972C81">
        <w:rPr>
          <w:noProof/>
          <w:lang w:val="en-GB"/>
        </w:rPr>
        <w:t xml:space="preserve"> by </w:t>
      </w:r>
      <w:r w:rsidR="006B0CA6" w:rsidRPr="00972C81">
        <w:rPr>
          <w:noProof/>
          <w:lang w:val="en-GB"/>
        </w:rPr>
        <w:t xml:space="preserve">using </w:t>
      </w:r>
      <w:r w:rsidR="006B0CA6" w:rsidRPr="00972C81">
        <w:rPr>
          <w:i/>
          <w:noProof/>
          <w:lang w:val="en-GB"/>
        </w:rPr>
        <w:t>Publication 107</w:t>
      </w:r>
      <w:r w:rsidR="006B0CA6" w:rsidRPr="00972C81">
        <w:rPr>
          <w:noProof/>
          <w:lang w:val="en-GB"/>
        </w:rPr>
        <w:t xml:space="preserve"> </w:t>
      </w:r>
      <w:r w:rsidR="002126B7" w:rsidRPr="00972C81">
        <w:rPr>
          <w:noProof/>
          <w:lang w:val="en-GB"/>
        </w:rPr>
        <w:t>updat</w:t>
      </w:r>
      <w:r w:rsidR="006B0CA6" w:rsidRPr="00972C81">
        <w:rPr>
          <w:noProof/>
          <w:lang w:val="en-GB"/>
        </w:rPr>
        <w:t>ed</w:t>
      </w:r>
      <w:r w:rsidR="002126B7" w:rsidRPr="00972C81">
        <w:rPr>
          <w:noProof/>
          <w:lang w:val="en-GB"/>
        </w:rPr>
        <w:t xml:space="preserve"> radionuclide decay data and implementing</w:t>
      </w:r>
      <w:r w:rsidR="006B0CA6" w:rsidRPr="00972C81">
        <w:rPr>
          <w:noProof/>
          <w:lang w:val="en-GB"/>
        </w:rPr>
        <w:t xml:space="preserve"> the</w:t>
      </w:r>
      <w:r w:rsidR="002126B7" w:rsidRPr="00972C81">
        <w:rPr>
          <w:noProof/>
          <w:lang w:val="en-GB"/>
        </w:rPr>
        <w:t xml:space="preserve"> </w:t>
      </w:r>
      <w:r w:rsidR="006B0CA6" w:rsidRPr="00972C81">
        <w:rPr>
          <w:i/>
          <w:noProof/>
          <w:lang w:val="en-GB"/>
        </w:rPr>
        <w:t>Publication 116</w:t>
      </w:r>
      <w:r w:rsidR="006B0CA6" w:rsidRPr="00972C81">
        <w:rPr>
          <w:noProof/>
          <w:lang w:val="en-GB"/>
        </w:rPr>
        <w:t xml:space="preserve"> </w:t>
      </w:r>
      <w:r w:rsidR="002126B7" w:rsidRPr="00972C81">
        <w:rPr>
          <w:noProof/>
          <w:lang w:val="en-GB"/>
        </w:rPr>
        <w:t>treatment of radiation transport</w:t>
      </w:r>
      <w:r w:rsidR="006B0CA6" w:rsidRPr="00972C81">
        <w:rPr>
          <w:noProof/>
          <w:lang w:val="en-GB"/>
        </w:rPr>
        <w:t>,</w:t>
      </w:r>
      <w:r w:rsidR="002126B7" w:rsidRPr="00972C81">
        <w:rPr>
          <w:noProof/>
          <w:lang w:val="en-GB"/>
        </w:rPr>
        <w:t xml:space="preserve"> using the </w:t>
      </w:r>
      <w:r w:rsidR="006B0CA6" w:rsidRPr="00972C81">
        <w:rPr>
          <w:i/>
          <w:noProof/>
          <w:lang w:val="en-GB"/>
        </w:rPr>
        <w:t>Publication 110</w:t>
      </w:r>
      <w:r w:rsidR="006B0CA6" w:rsidRPr="00972C81">
        <w:rPr>
          <w:noProof/>
          <w:lang w:val="en-GB"/>
        </w:rPr>
        <w:t xml:space="preserve"> </w:t>
      </w:r>
      <w:r w:rsidR="002126B7" w:rsidRPr="00972C81">
        <w:rPr>
          <w:noProof/>
          <w:lang w:val="en-GB"/>
        </w:rPr>
        <w:t>reference anatomical phantoms of the human body</w:t>
      </w:r>
      <w:r w:rsidR="002D4571" w:rsidRPr="00972C81">
        <w:rPr>
          <w:noProof/>
          <w:lang w:val="en-GB"/>
        </w:rPr>
        <w:t xml:space="preserve"> and the </w:t>
      </w:r>
      <w:r w:rsidR="002D4571" w:rsidRPr="00972C81">
        <w:rPr>
          <w:i/>
          <w:noProof/>
          <w:lang w:val="en-GB"/>
        </w:rPr>
        <w:t xml:space="preserve">Publication </w:t>
      </w:r>
      <w:r w:rsidR="00855E1A" w:rsidRPr="00972C81">
        <w:rPr>
          <w:i/>
          <w:noProof/>
          <w:lang w:val="en-GB"/>
        </w:rPr>
        <w:t>143</w:t>
      </w:r>
      <w:r w:rsidR="002D4571" w:rsidRPr="00972C81">
        <w:rPr>
          <w:noProof/>
          <w:lang w:val="en-GB"/>
        </w:rPr>
        <w:t xml:space="preserve"> paediatric reference computational phantoms</w:t>
      </w:r>
      <w:r w:rsidR="002126B7" w:rsidRPr="00972C81">
        <w:rPr>
          <w:noProof/>
          <w:lang w:val="en-GB"/>
        </w:rPr>
        <w:t xml:space="preserve">. </w:t>
      </w:r>
    </w:p>
    <w:p w14:paraId="1E56638F" w14:textId="77777777" w:rsidR="00444C84" w:rsidRPr="00FE17F7" w:rsidRDefault="00444C84" w:rsidP="00444C84">
      <w:pPr>
        <w:pStyle w:val="ICRPbasic"/>
      </w:pPr>
      <w:r w:rsidRPr="00FE17F7">
        <w:t xml:space="preserve">© 20YY ICRP. Published by SAGE. </w:t>
      </w:r>
    </w:p>
    <w:p w14:paraId="04F4AF82" w14:textId="77777777" w:rsidR="00061B99" w:rsidRPr="00972C81" w:rsidRDefault="00061B99" w:rsidP="001C4A92">
      <w:pPr>
        <w:pStyle w:val="Annalstext"/>
        <w:numPr>
          <w:ilvl w:val="0"/>
          <w:numId w:val="0"/>
        </w:numPr>
        <w:rPr>
          <w:noProof/>
        </w:rPr>
      </w:pPr>
      <w:r w:rsidRPr="00972C81">
        <w:rPr>
          <w:i/>
          <w:iCs/>
          <w:noProof/>
        </w:rPr>
        <w:t>Keywords:</w:t>
      </w:r>
      <w:r w:rsidRPr="00972C81">
        <w:rPr>
          <w:iCs/>
          <w:noProof/>
        </w:rPr>
        <w:t xml:space="preserve"> </w:t>
      </w:r>
      <w:r w:rsidRPr="00972C81">
        <w:rPr>
          <w:noProof/>
        </w:rPr>
        <w:t>Environmental exposure;</w:t>
      </w:r>
      <w:r w:rsidRPr="00972C81">
        <w:rPr>
          <w:iCs/>
          <w:noProof/>
        </w:rPr>
        <w:t xml:space="preserve"> </w:t>
      </w:r>
      <w:r w:rsidRPr="00972C81">
        <w:rPr>
          <w:noProof/>
        </w:rPr>
        <w:t xml:space="preserve">Internal dose assessment; Biokinetic and dosimetric models; </w:t>
      </w:r>
    </w:p>
    <w:p w14:paraId="1A0C0433" w14:textId="18004F40" w:rsidR="00061B99" w:rsidRPr="00972C81" w:rsidRDefault="00EF1DD8" w:rsidP="00C47F2F">
      <w:pPr>
        <w:pStyle w:val="a5"/>
        <w:rPr>
          <w:noProof/>
        </w:rPr>
      </w:pPr>
      <w:r w:rsidRPr="00972C81">
        <w:rPr>
          <w:noProof/>
        </w:rPr>
        <w:br w:type="page"/>
      </w:r>
    </w:p>
    <w:p w14:paraId="3BDA69C3" w14:textId="77777777" w:rsidR="00061B99" w:rsidRPr="00972C81" w:rsidRDefault="00061B99" w:rsidP="00C47F2F">
      <w:pPr>
        <w:pStyle w:val="1"/>
        <w:numPr>
          <w:ilvl w:val="0"/>
          <w:numId w:val="0"/>
        </w:numPr>
        <w:spacing w:before="480" w:after="480"/>
        <w:ind w:left="357"/>
        <w:rPr>
          <w:noProof/>
        </w:rPr>
      </w:pPr>
      <w:bookmarkStart w:id="10" w:name="_Toc534721098"/>
      <w:bookmarkStart w:id="11" w:name="_Toc534721275"/>
      <w:bookmarkStart w:id="12" w:name="_Toc534721427"/>
      <w:bookmarkStart w:id="13" w:name="_Toc534721711"/>
      <w:bookmarkStart w:id="14" w:name="_Toc162629979"/>
      <w:bookmarkStart w:id="15" w:name="_Toc333229627"/>
      <w:bookmarkStart w:id="16" w:name="_Toc351050187"/>
      <w:bookmarkStart w:id="17" w:name="_Toc355272334"/>
      <w:bookmarkStart w:id="18" w:name="_Toc355272430"/>
      <w:bookmarkStart w:id="19" w:name="_Toc355273718"/>
      <w:bookmarkStart w:id="20" w:name="_Toc393373311"/>
      <w:bookmarkEnd w:id="2"/>
      <w:bookmarkEnd w:id="3"/>
      <w:bookmarkEnd w:id="4"/>
      <w:bookmarkEnd w:id="5"/>
      <w:bookmarkEnd w:id="6"/>
      <w:bookmarkEnd w:id="7"/>
      <w:r w:rsidRPr="00972C81">
        <w:rPr>
          <w:noProof/>
        </w:rPr>
        <w:lastRenderedPageBreak/>
        <w:t>MAIN POINTS</w:t>
      </w:r>
      <w:bookmarkEnd w:id="10"/>
      <w:bookmarkEnd w:id="11"/>
      <w:bookmarkEnd w:id="12"/>
      <w:bookmarkEnd w:id="13"/>
      <w:bookmarkEnd w:id="14"/>
    </w:p>
    <w:p w14:paraId="360F4E92" w14:textId="56F8DB44" w:rsidR="00D14708" w:rsidRPr="00972C81" w:rsidRDefault="00D14708" w:rsidP="00C47F2F">
      <w:pPr>
        <w:pStyle w:val="ICRPmainpoints"/>
        <w:numPr>
          <w:ilvl w:val="0"/>
          <w:numId w:val="29"/>
        </w:numPr>
        <w:tabs>
          <w:tab w:val="clear" w:pos="644"/>
        </w:tabs>
        <w:ind w:left="624" w:hanging="340"/>
      </w:pPr>
      <w:r w:rsidRPr="00972C81">
        <w:t>This report is the second in a series of documents giving age-dependent dose coefficients for members of the public for environmental intakes of radionuclides by inhalation and ingestion. This series replaces the Publication 56 series of documents.</w:t>
      </w:r>
    </w:p>
    <w:p w14:paraId="1C187E2D" w14:textId="77777777" w:rsidR="00D14708" w:rsidRPr="00972C81" w:rsidRDefault="00D14708" w:rsidP="00C47F2F">
      <w:pPr>
        <w:pStyle w:val="ICRPmainpoints"/>
        <w:numPr>
          <w:ilvl w:val="0"/>
          <w:numId w:val="29"/>
        </w:numPr>
        <w:tabs>
          <w:tab w:val="clear" w:pos="644"/>
        </w:tabs>
        <w:ind w:left="624" w:hanging="340"/>
      </w:pPr>
      <w:r w:rsidRPr="00972C81">
        <w:t xml:space="preserve">The data provided are age-dependent dose coefficients for members of the public for environmental intakes of radionuclides by inhalation and ingestion. As in the Publication 56 series, dose coefficients are presented in this series of reports for intakes by 3-mo-old infants, 1-, 5-, 10-, and 15-y-old children, and adults.  </w:t>
      </w:r>
    </w:p>
    <w:p w14:paraId="69CC3FC5" w14:textId="4E83737C" w:rsidR="00D14708" w:rsidRPr="00972C81" w:rsidRDefault="00D14708" w:rsidP="00C47F2F">
      <w:pPr>
        <w:pStyle w:val="ICRPmainpoints"/>
        <w:numPr>
          <w:ilvl w:val="0"/>
          <w:numId w:val="29"/>
        </w:numPr>
        <w:tabs>
          <w:tab w:val="clear" w:pos="644"/>
        </w:tabs>
        <w:ind w:left="624" w:hanging="340"/>
      </w:pPr>
      <w:r w:rsidRPr="00972C81">
        <w:t>The data provided in the printed reports are restricted to tables of committed effective dose per intake (</w:t>
      </w:r>
      <w:proofErr w:type="spellStart"/>
      <w:r w:rsidRPr="00972C81">
        <w:t>Sv</w:t>
      </w:r>
      <w:proofErr w:type="spellEnd"/>
      <w:r w:rsidRPr="00972C81">
        <w:t xml:space="preserve"> </w:t>
      </w:r>
      <w:proofErr w:type="spellStart"/>
      <w:r w:rsidRPr="00972C81">
        <w:t>Bq</w:t>
      </w:r>
      <w:proofErr w:type="spellEnd"/>
      <w:r w:rsidRPr="00C47F2F">
        <w:rPr>
          <w:vertAlign w:val="superscript"/>
        </w:rPr>
        <w:t>–1</w:t>
      </w:r>
      <w:r w:rsidRPr="00972C81">
        <w:t xml:space="preserve">) for inhalation and ingestion. Data are provided for all absorption </w:t>
      </w:r>
      <w:r w:rsidR="00C02E4B">
        <w:t>T</w:t>
      </w:r>
      <w:r w:rsidRPr="00972C81">
        <w:t xml:space="preserve">ypes and for the most common isotope(s) of each element. The electronic annex that accompanies this series of reports contains a comprehensive set of committed effective and equivalent dose coefficients per intake. </w:t>
      </w:r>
    </w:p>
    <w:p w14:paraId="109610AA" w14:textId="0F5D4CC6" w:rsidR="00D14708" w:rsidRPr="00972C81" w:rsidRDefault="00D14708" w:rsidP="00C47F2F">
      <w:pPr>
        <w:pStyle w:val="ICRPmainpoints"/>
        <w:numPr>
          <w:ilvl w:val="0"/>
          <w:numId w:val="29"/>
        </w:numPr>
        <w:tabs>
          <w:tab w:val="clear" w:pos="644"/>
        </w:tabs>
        <w:ind w:left="624" w:hanging="340"/>
      </w:pPr>
      <w:r w:rsidRPr="00972C81">
        <w:t>This current report provides the above data for the following elements : Lanthanum (La), Cerium (Ce), Praseodymium (</w:t>
      </w:r>
      <w:proofErr w:type="spellStart"/>
      <w:r w:rsidRPr="00972C81">
        <w:t>Pr</w:t>
      </w:r>
      <w:proofErr w:type="spellEnd"/>
      <w:r w:rsidRPr="00972C81">
        <w:t>), Neodymium (Nd), Promethium (Pm), Samarium (</w:t>
      </w:r>
      <w:proofErr w:type="spellStart"/>
      <w:r w:rsidRPr="00972C81">
        <w:t>Sm</w:t>
      </w:r>
      <w:proofErr w:type="spellEnd"/>
      <w:r w:rsidRPr="00972C81">
        <w:t xml:space="preserve">), Europium (Eu), Gadolinium (Gd), Terbium (Tb), Dysprosium (Dy), Holmium (Ho), Erbium (Er), Thulium (Tm), Ytterbium (Yb), Lutetium (Lu), Actinium (Ac), Thorium (Th), Protactinium (Pa), Uranium (U), Neptunium (Np), Plutonium (Pu), Americium (Am), Curium (Cm), Berkelium (Bk), Californium (Cf), Einsteinium (Es) and Fermium (Fm). </w:t>
      </w:r>
    </w:p>
    <w:p w14:paraId="7EC11702" w14:textId="713F6543" w:rsidR="00D14708" w:rsidRPr="00972C81" w:rsidRDefault="00D14708" w:rsidP="00D14708">
      <w:pPr>
        <w:pStyle w:val="aff0"/>
        <w:ind w:left="644"/>
        <w:jc w:val="both"/>
        <w:rPr>
          <w:b/>
          <w:noProof/>
        </w:rPr>
      </w:pPr>
    </w:p>
    <w:p w14:paraId="39AE8D0B" w14:textId="21A21651" w:rsidR="00061B99" w:rsidRPr="00972C81" w:rsidRDefault="00061B99">
      <w:pPr>
        <w:widowControl/>
        <w:jc w:val="left"/>
        <w:rPr>
          <w:b/>
          <w:noProof/>
        </w:rPr>
      </w:pPr>
      <w:r w:rsidRPr="00972C81">
        <w:rPr>
          <w:b/>
          <w:noProof/>
        </w:rPr>
        <w:br w:type="page"/>
      </w:r>
    </w:p>
    <w:p w14:paraId="48140367" w14:textId="470125E2" w:rsidR="00165CFD" w:rsidRPr="00972C81" w:rsidRDefault="00165CFD" w:rsidP="00E81109">
      <w:pPr>
        <w:pStyle w:val="1"/>
        <w:rPr>
          <w:noProof/>
        </w:rPr>
      </w:pPr>
      <w:bookmarkStart w:id="21" w:name="_Toc355272335"/>
      <w:bookmarkStart w:id="22" w:name="_Toc355272431"/>
      <w:bookmarkStart w:id="23" w:name="_Toc355273719"/>
      <w:bookmarkStart w:id="24" w:name="_Toc393373312"/>
      <w:bookmarkStart w:id="25" w:name="_Toc162629980"/>
      <w:bookmarkStart w:id="26" w:name="_Toc333229628"/>
      <w:bookmarkStart w:id="27" w:name="_Toc351050188"/>
      <w:bookmarkEnd w:id="15"/>
      <w:bookmarkEnd w:id="16"/>
      <w:bookmarkEnd w:id="17"/>
      <w:bookmarkEnd w:id="18"/>
      <w:bookmarkEnd w:id="19"/>
      <w:bookmarkEnd w:id="20"/>
      <w:r w:rsidRPr="00972C81">
        <w:rPr>
          <w:noProof/>
        </w:rPr>
        <w:lastRenderedPageBreak/>
        <w:t>INTRODUCTION</w:t>
      </w:r>
      <w:bookmarkEnd w:id="21"/>
      <w:bookmarkEnd w:id="22"/>
      <w:bookmarkEnd w:id="23"/>
      <w:bookmarkEnd w:id="24"/>
      <w:bookmarkEnd w:id="25"/>
    </w:p>
    <w:bookmarkEnd w:id="26"/>
    <w:bookmarkEnd w:id="27"/>
    <w:p w14:paraId="76522063" w14:textId="6883FB92" w:rsidR="005C1D70" w:rsidRPr="00972C81" w:rsidRDefault="00407360" w:rsidP="00444C84">
      <w:pPr>
        <w:pStyle w:val="Annalstext"/>
        <w:rPr>
          <w:noProof/>
        </w:rPr>
      </w:pPr>
      <w:r w:rsidRPr="00972C81">
        <w:rPr>
          <w:noProof/>
        </w:rPr>
        <w:t xml:space="preserve">The present report is Part 2 of a report series aimed at providing revised dose coefficients for intakes of radionuclides by </w:t>
      </w:r>
      <w:r w:rsidR="00AD50C2" w:rsidRPr="00972C81">
        <w:rPr>
          <w:noProof/>
        </w:rPr>
        <w:t>members of the public</w:t>
      </w:r>
      <w:r w:rsidRPr="00972C81">
        <w:rPr>
          <w:noProof/>
        </w:rPr>
        <w:t xml:space="preserve">. </w:t>
      </w:r>
      <w:r w:rsidR="00AD50C2" w:rsidRPr="00972C81">
        <w:rPr>
          <w:noProof/>
        </w:rPr>
        <w:t xml:space="preserve">This report series replaces the </w:t>
      </w:r>
      <w:r w:rsidR="00AD50C2" w:rsidRPr="00972C81">
        <w:rPr>
          <w:i/>
          <w:noProof/>
        </w:rPr>
        <w:t>Publication 56, 67, 69, 71</w:t>
      </w:r>
      <w:r w:rsidR="00AD50C2" w:rsidRPr="00972C81">
        <w:rPr>
          <w:noProof/>
        </w:rPr>
        <w:t xml:space="preserve">, </w:t>
      </w:r>
      <w:r w:rsidR="00AD50C2" w:rsidRPr="00972C81">
        <w:rPr>
          <w:i/>
          <w:noProof/>
        </w:rPr>
        <w:t>72</w:t>
      </w:r>
      <w:r w:rsidR="00AD50C2" w:rsidRPr="00972C81">
        <w:rPr>
          <w:noProof/>
        </w:rPr>
        <w:t xml:space="preserve">, </w:t>
      </w:r>
      <w:r w:rsidR="00AD50C2" w:rsidRPr="00972C81">
        <w:rPr>
          <w:i/>
          <w:noProof/>
        </w:rPr>
        <w:t>88</w:t>
      </w:r>
      <w:r w:rsidR="00AD50C2" w:rsidRPr="00972C81">
        <w:rPr>
          <w:noProof/>
        </w:rPr>
        <w:t xml:space="preserve"> and </w:t>
      </w:r>
      <w:r w:rsidR="00AD50C2" w:rsidRPr="00972C81">
        <w:rPr>
          <w:i/>
          <w:noProof/>
        </w:rPr>
        <w:t>95</w:t>
      </w:r>
      <w:r w:rsidR="00AD50C2" w:rsidRPr="00972C81">
        <w:rPr>
          <w:noProof/>
        </w:rPr>
        <w:t xml:space="preserve"> </w:t>
      </w:r>
      <w:r w:rsidR="00F06673" w:rsidRPr="00972C81">
        <w:rPr>
          <w:noProof/>
        </w:rPr>
        <w:fldChar w:fldCharType="begin"/>
      </w:r>
      <w:r w:rsidR="00F54C6E" w:rsidRPr="00972C81">
        <w:rPr>
          <w:noProof/>
        </w:rPr>
        <w:instrText xml:space="preserve"> ADDIN ZOTERO_ITEM CSL_CITATION {"citationID":"rsSKHKbu","properties":{"formattedCitation":"(ICRP, 1990, 1993, 1995a, 1995b, 1995c, 2001, 2004)","plainCitation":"(ICRP, 1990, 1993, 1995a, 1995b, 1995c, 2001, 2004)","noteIndex":0},"citationItems":[{"id":3465,"uris":["http://zotero.org/groups/2470620/items/P3QPMZIH",["http://zotero.org/groups/2470620/items/P3QPMZIH"]],"itemData":{"id":3465,"type":"article-journal","container-title":"Annals of the ICRP","issue":"2","title":"Age-dependent Doses to Members of the Public from Intake of Radionuclides - Part 1. ICRP Publication 56","volume":"20","author":[{"literal":"ICRP"}],"issued":{"date-parts":[["1990"]]}},"label":"page"},{"id":2558,"uris":["http://zotero.org/groups/2470620/items/NGGW5NK4",["http://zotero.org/groups/2470620/items/NGGW5NK4"]],"itemData":{"id":2558,"type":"article-journal","container-title":"Annals of the ICRP","issue":"3/4","journalAbbreviation":"Ann. ICRP","language":"en","title":"Age dependent doses to members of the public from intake of radionuclides: Part 2, Ingestion dose coefficients. ICRP Publication 67","volume":"23","author":[{"literal":"ICRP"}],"issued":{"date-parts":[["1993"]]}},"label":"page"},{"id":2560,"uris":["http://zotero.org/groups/2470620/items/2Z2UA63Y",["http://zotero.org/groups/2470620/items/2Z2UA63Y"]],"itemData":{"id":2560,"type":"article-journal","container-title":"Annals of the ICRP","issue":"1","language":"en","title":"Age-dependent Doses to Members of the Public from Intake of Radionuclides: Part 3. Ingestion Dose Coefficients, ICRP Publication 69.","volume":"25","author":[{"family":"ICRP","given":""}],"issued":{"date-parts":[["1995"]]}},"label":"page"},{"id":2561,"uris":["http://zotero.org/groups/2470620/items/VHZEZ7YC",["http://zotero.org/groups/2470620/items/VHZEZ7YC"]],"itemData":{"id":2561,"type":"article-journal","container-title":"Annals of the ICRP","issue":"3/4","language":"en","title":"Age-dependent Doses to Members of the Public from Intake of Radionuclides: Part 4. Inhalation Dose Coefficients, ICRP Publication 71","volume":"25","author":[{"literal":"ICRP"}],"issued":{"date-parts":[["1995"]]}},"label":"page"},{"id":3466,"uris":["http://zotero.org/groups/2470620/items/3S89VTY5",["http://zotero.org/groups/2470620/items/3S89VTY5"]],"itemData":{"id":3466,"type":"article-journal","container-title":"Annals of the ICRP","issue":"1","language":"en","title":"Age-dependent Doses to the Members of the Public from Intake of Radionuclides - Part 5 Compilation of Ingestion and Inhalation Coefficients. ICRP Publication 72","volume":"26","author":[{"literal":"ICRP"}],"issued":{"date-parts":[["1995"]]}},"label":"page"},{"id":3467,"uris":["http://zotero.org/groups/2470620/items/DR3A67AP",["http://zotero.org/groups/2470620/items/DR3A67AP"]],"itemData":{"id":3467,"type":"article-journal","container-title":"Annals of the ICRP","ISSN":"ICRP Publication 88","issue":"1-3","title":"Doses to the Embryo and Fetus from Intakes of Radionuclides by the Mother. ICRP Publication 88","volume":"31","author":[{"literal":"ICRP"}],"issued":{"date-parts":[["2001"]]}},"label":"page"},{"id":3468,"uris":["http://zotero.org/groups/2470620/items/3BQJYDZB",["http://zotero.org/groups/2470620/items/3BQJYDZB"]],"itemData":{"id":3468,"type":"article-journal","container-title":"Annals of the ICRP","issue":"3-4","journalAbbreviation":"Ann. ICRP","language":"en","title":"Doses to Infants from Ingestion of Radionuclides in Mothers' Milk. ICRP Publication 95","volume":"34","author":[{"family":"ICRP","given":""}],"issued":{"date-parts":[["2004"]]}},"label":"page"}],"schema":"https://github.com/citation-style-language/schema/raw/master/csl-citation.json"} </w:instrText>
      </w:r>
      <w:r w:rsidR="00F06673" w:rsidRPr="00972C81">
        <w:rPr>
          <w:noProof/>
        </w:rPr>
        <w:fldChar w:fldCharType="separate"/>
      </w:r>
      <w:r w:rsidR="00BC59C6" w:rsidRPr="00972C81">
        <w:rPr>
          <w:noProof/>
        </w:rPr>
        <w:t>(ICRP, 1990, 1993, 1995a, 1995b, 1995c, 2001, 2004)</w:t>
      </w:r>
      <w:r w:rsidR="00F06673" w:rsidRPr="00972C81">
        <w:rPr>
          <w:noProof/>
        </w:rPr>
        <w:fldChar w:fldCharType="end"/>
      </w:r>
      <w:r w:rsidR="00F06673" w:rsidRPr="00972C81">
        <w:rPr>
          <w:noProof/>
        </w:rPr>
        <w:t xml:space="preserve"> </w:t>
      </w:r>
      <w:r w:rsidR="00AD50C2" w:rsidRPr="00972C81">
        <w:rPr>
          <w:noProof/>
        </w:rPr>
        <w:t>that gave dose coefficients for members of the public, for intakes of radionuclid</w:t>
      </w:r>
      <w:r w:rsidR="005C1D70" w:rsidRPr="00972C81">
        <w:rPr>
          <w:noProof/>
        </w:rPr>
        <w:t xml:space="preserve">es by inhalation and ingestion. The revised dose coefficients provided in this new series have been calculated using the Publication 100 </w:t>
      </w:r>
      <w:r w:rsidR="00F06673" w:rsidRPr="00972C81">
        <w:rPr>
          <w:noProof/>
        </w:rPr>
        <w:fldChar w:fldCharType="begin"/>
      </w:r>
      <w:r w:rsidR="00F54C6E" w:rsidRPr="00972C81">
        <w:rPr>
          <w:noProof/>
        </w:rPr>
        <w:instrText xml:space="preserve"> ADDIN ZOTERO_ITEM CSL_CITATION {"citationID":"Z5gNSykd","properties":{"formattedCitation":"(ICRP, 2006)","plainCitation":"(ICRP, 2006)","noteIndex":0},"citationItems":[{"id":2564,"uris":["http://zotero.org/groups/2470620/items/9MYKCIRK",["http://zotero.org/groups/2470620/items/9MYKCIRK"]],"itemData":{"id":2564,"type":"article-journal","container-title":"Annals of the ICRP","issue":"1-2","journalAbbreviation":"Ann. ICRP","language":"en","note":"publisher-place: Oxford\npublisher: Pergamon Press","title":"Human alimentary tract model for radiological protection. ICRP Publication 100","volume":"36","author":[{"literal":"ICRP"}],"issued":{"date-parts":[["2006"]]}}}],"schema":"https://github.com/citation-style-language/schema/raw/master/csl-citation.json"} </w:instrText>
      </w:r>
      <w:r w:rsidR="00F06673" w:rsidRPr="00972C81">
        <w:rPr>
          <w:noProof/>
        </w:rPr>
        <w:fldChar w:fldCharType="separate"/>
      </w:r>
      <w:r w:rsidR="00BC59C6" w:rsidRPr="00972C81">
        <w:rPr>
          <w:noProof/>
        </w:rPr>
        <w:t>(ICRP, 2006)</w:t>
      </w:r>
      <w:r w:rsidR="00F06673" w:rsidRPr="00972C81">
        <w:rPr>
          <w:noProof/>
        </w:rPr>
        <w:fldChar w:fldCharType="end"/>
      </w:r>
      <w:r w:rsidR="005C1D70" w:rsidRPr="00972C81">
        <w:rPr>
          <w:noProof/>
        </w:rPr>
        <w:t xml:space="preserve"> Human Alimentary Tract Model (HATM) and a revision of the Human Respiratory Tract Model (HRTM) </w:t>
      </w:r>
      <w:r w:rsidR="00F06673" w:rsidRPr="00972C81">
        <w:rPr>
          <w:noProof/>
        </w:rPr>
        <w:fldChar w:fldCharType="begin"/>
      </w:r>
      <w:r w:rsidR="00F54C6E" w:rsidRPr="00972C81">
        <w:rPr>
          <w:noProof/>
        </w:rPr>
        <w:instrText xml:space="preserve"> ADDIN ZOTERO_ITEM CSL_CITATION {"citationID":"tsphJrer","properties":{"formattedCitation":"(ICRP, 2015)","plainCitation":"(ICRP, 2015)","noteIndex":0},"citationItems":[{"id":3066,"uris":["http://zotero.org/groups/2470620/items/FRMKS85F",["http://zotero.org/groups/2470620/items/FRMKS85F"]],"itemData":{"id":3066,"type":"article-journal","container-title":"Annals of the ICRP","issue":"2","title":"Occupational Intakes of Radionuclides: Part 1. ICRP Publication 130","volume":"44","author":[{"literal":"ICRP"}],"issued":{"date-parts":[["2015"]]}}}],"schema":"https://github.com/citation-style-language/schema/raw/master/csl-citation.json"} </w:instrText>
      </w:r>
      <w:r w:rsidR="00F06673" w:rsidRPr="00972C81">
        <w:rPr>
          <w:noProof/>
        </w:rPr>
        <w:fldChar w:fldCharType="separate"/>
      </w:r>
      <w:r w:rsidR="00BC59C6" w:rsidRPr="00972C81">
        <w:rPr>
          <w:noProof/>
        </w:rPr>
        <w:t>(ICRP, 2015)</w:t>
      </w:r>
      <w:r w:rsidR="00F06673" w:rsidRPr="00972C81">
        <w:rPr>
          <w:noProof/>
        </w:rPr>
        <w:fldChar w:fldCharType="end"/>
      </w:r>
      <w:r w:rsidR="00DE4A14" w:rsidRPr="00972C81">
        <w:rPr>
          <w:noProof/>
        </w:rPr>
        <w:t>,</w:t>
      </w:r>
      <w:r w:rsidR="00BF7B31" w:rsidRPr="00972C81">
        <w:rPr>
          <w:noProof/>
        </w:rPr>
        <w:t xml:space="preserve"> </w:t>
      </w:r>
      <w:r w:rsidR="005C1D70" w:rsidRPr="00972C81">
        <w:rPr>
          <w:noProof/>
        </w:rPr>
        <w:t xml:space="preserve">which takes account of more recent data. Revisions have also been made to many models for the systemic biokinetics of radionuclides, making them more physiologically realistic representations of uptake and retention in organs and tissues and of excretion. </w:t>
      </w:r>
    </w:p>
    <w:p w14:paraId="240EB9A8" w14:textId="6A7BC353" w:rsidR="002B4F65" w:rsidRPr="00972C81" w:rsidRDefault="002B4F65" w:rsidP="00444C84">
      <w:pPr>
        <w:pStyle w:val="Annalstext"/>
        <w:rPr>
          <w:noProof/>
        </w:rPr>
      </w:pPr>
      <w:r w:rsidRPr="00972C81">
        <w:rPr>
          <w:noProof/>
        </w:rPr>
        <w:t>Dose coefficients have been calculated for radioisotopes of the elements which are expected to be released into the environment as a result of human activities</w:t>
      </w:r>
      <w:r w:rsidR="00DE4A14" w:rsidRPr="00972C81">
        <w:rPr>
          <w:noProof/>
        </w:rPr>
        <w:t>,</w:t>
      </w:r>
      <w:r w:rsidRPr="00972C81">
        <w:rPr>
          <w:noProof/>
        </w:rPr>
        <w:t xml:space="preserve"> such as uranium mining and milling, conversion, enrichment and fabrication, power station operations, fuel reprocessing, waste storage and disposal, and considered to be of significance for environmental radiation protection purposes. In addition, naturally occurring radionuclides are present in the environment and their concentrations may be modified by human activities. Consequently, the range of radionuclides to be addressed includes those of natural origin, fission products, actinides, and activation products. </w:t>
      </w:r>
    </w:p>
    <w:p w14:paraId="41EAE469" w14:textId="77777777" w:rsidR="00BC2E2C" w:rsidRPr="00972C81" w:rsidRDefault="00BC2E2C" w:rsidP="00E81109">
      <w:pPr>
        <w:pStyle w:val="2"/>
        <w:rPr>
          <w:noProof/>
          <w:lang w:val="en-GB"/>
        </w:rPr>
      </w:pPr>
      <w:bookmarkStart w:id="28" w:name="_Toc461530539"/>
      <w:bookmarkStart w:id="29" w:name="_Toc162629981"/>
      <w:r w:rsidRPr="00972C81">
        <w:rPr>
          <w:noProof/>
          <w:lang w:val="en-GB"/>
        </w:rPr>
        <w:t>Methodology used in this report series</w:t>
      </w:r>
      <w:bookmarkEnd w:id="28"/>
      <w:bookmarkEnd w:id="29"/>
    </w:p>
    <w:p w14:paraId="5A528146" w14:textId="3B42C1FD" w:rsidR="00BC2E2C" w:rsidRPr="00972C81" w:rsidRDefault="00BC2E2C" w:rsidP="001C4A92">
      <w:pPr>
        <w:pStyle w:val="Annalstext"/>
        <w:rPr>
          <w:noProof/>
        </w:rPr>
      </w:pPr>
      <w:r w:rsidRPr="00972C81">
        <w:rPr>
          <w:noProof/>
        </w:rPr>
        <w:t xml:space="preserve">The general methodology for producing the biokinetic and dosimetric models is </w:t>
      </w:r>
      <w:r w:rsidR="00DC7FE4" w:rsidRPr="00972C81">
        <w:rPr>
          <w:noProof/>
        </w:rPr>
        <w:t>described</w:t>
      </w:r>
      <w:r w:rsidRPr="00972C81">
        <w:rPr>
          <w:noProof/>
        </w:rPr>
        <w:t xml:space="preserve"> in Part 1 of this report series (ICRP, </w:t>
      </w:r>
      <w:r w:rsidR="00820EF9" w:rsidRPr="00972C81">
        <w:rPr>
          <w:noProof/>
        </w:rPr>
        <w:t>2024</w:t>
      </w:r>
      <w:r w:rsidRPr="00972C81">
        <w:rPr>
          <w:noProof/>
        </w:rPr>
        <w:t>). For each element, detailed reviews of the literature were carried out to identify experimental studies and human contamination cases that provide information to quantify absorption to blood from the respiratory and alimentary tracts, and the biokinetics following systemic uptake. These reviews, and the analyses of the data obtained from them, are summarised in each element section.</w:t>
      </w:r>
      <w:r w:rsidR="00FF4A7C">
        <w:rPr>
          <w:noProof/>
        </w:rPr>
        <w:t xml:space="preserve"> Uncertainties are treated as described previously in </w:t>
      </w:r>
      <w:r w:rsidR="00FF4A7C" w:rsidRPr="00FF4A7C">
        <w:rPr>
          <w:i/>
          <w:iCs/>
          <w:noProof/>
        </w:rPr>
        <w:t>ICRP Publication</w:t>
      </w:r>
      <w:r w:rsidR="00FF4A7C">
        <w:rPr>
          <w:noProof/>
        </w:rPr>
        <w:t xml:space="preserve"> 130 (ICRP, 2015). </w:t>
      </w:r>
    </w:p>
    <w:p w14:paraId="24E6E776" w14:textId="3FBF243B" w:rsidR="00FC4EFC" w:rsidRPr="00972C81" w:rsidRDefault="00FC4EFC" w:rsidP="001C4A92">
      <w:pPr>
        <w:pStyle w:val="Annalstext"/>
        <w:rPr>
          <w:noProof/>
        </w:rPr>
      </w:pPr>
      <w:r w:rsidRPr="00972C81">
        <w:rPr>
          <w:noProof/>
        </w:rPr>
        <w:t xml:space="preserve">The chemical forms considered in this report series are those found in workplaces and already described in the OIR series </w:t>
      </w:r>
      <w:r w:rsidR="00F54C6E" w:rsidRPr="00972C81">
        <w:rPr>
          <w:noProof/>
        </w:rPr>
        <w:fldChar w:fldCharType="begin"/>
      </w:r>
      <w:r w:rsidR="00F54C6E" w:rsidRPr="00972C81">
        <w:rPr>
          <w:noProof/>
        </w:rPr>
        <w:instrText xml:space="preserve"> ADDIN ZOTERO_ITEM CSL_CITATION {"citationID":"4Ox0iGpm","properties":{"formattedCitation":"(ICRP, 2015, 2016, 2017, 2019, 2022)","plainCitation":"(ICRP, 2015, 2016, 2017, 2019, 2022)","noteIndex":0},"citationItems":[{"id":3066,"uris":["http://zotero.org/groups/2470620/items/FRMKS85F",["http://zotero.org/groups/2470620/items/FRMKS85F"]],"itemData":{"id":3066,"type":"article-journal","container-title":"Annals of the ICRP","issue":"2","title":"Occupational Intakes of Radionuclides: Part 1. ICRP Publication 130","volume":"44","author":[{"literal":"ICRP"}],"issued":{"date-parts":[["2015"]]}},"label":"page"},{"id":2565,"uris":["http://zotero.org/groups/2470620/items/BLGAFISB"],"itemData":{"id":2565,"type":"article-journal","container-title":"Annals of the ICRP","issue":"3/4","journalAbbreviation":"Ann. ICRP","language":"en","title":"Occupational intakes of radionuclides: Part 2. ICRP Publication 134","volume":"45","author":[{"literal":"ICRP"}],"issued":{"date-parts":[["2016",6,30]]}},"label":"page"},{"id":2566,"uris":["http://zotero.org/groups/2470620/items/BYB77JGB"],"itemData":{"id":2566,"type":"article-journal","container-title":"Annals of the ICRP","issue":"3/4","journalAbbreviation":"Ann. ICRP","language":"en","title":"Occupational intakes of radionuclides: Part 3. ICRP Publication 137","volume":"46","author":[{"literal":"ICRP"}],"issued":{"date-parts":[["2017"]]}},"label":"page"},{"id":3121,"uris":["http://zotero.org/groups/2470620/items/TRF7HY8X"],"itemData":{"id":3121,"type":"article-journal","container-title":"Annals of the ICRP","issue":"2/3","title":"Occupational Intakes of Radionuclides: Part 4. ICRP Publication 141","volume":"48","author":[{"literal":"ICRP"}],"issued":{"date-parts":[["2019"]]}},"label":"page"},{"id":3959,"uris":["http://zotero.org/groups/2470620/items/AQVNT9V2"],"itemData":{"id":3959,"type":"article-journal","container-title":"Annals of the ICRP","issue":"1-2","title":"Occupational Intakes of Radionuclides: Part 5. ICRP Publication 151","volume":"51","author":[{"literal":"ICRP"}],"issued":{"date-parts":[["2022"]]}},"label":"page"}],"schema":"https://github.com/citation-style-language/schema/raw/master/csl-citation.json"} </w:instrText>
      </w:r>
      <w:r w:rsidR="00F54C6E" w:rsidRPr="00972C81">
        <w:rPr>
          <w:noProof/>
        </w:rPr>
        <w:fldChar w:fldCharType="separate"/>
      </w:r>
      <w:r w:rsidR="00BC59C6" w:rsidRPr="00972C81">
        <w:rPr>
          <w:noProof/>
        </w:rPr>
        <w:t>(ICRP, 2015, 2016, 2017, 2019, 2022)</w:t>
      </w:r>
      <w:r w:rsidR="00F54C6E" w:rsidRPr="00972C81">
        <w:rPr>
          <w:noProof/>
        </w:rPr>
        <w:fldChar w:fldCharType="end"/>
      </w:r>
      <w:r w:rsidRPr="00972C81">
        <w:rPr>
          <w:noProof/>
        </w:rPr>
        <w:t xml:space="preserve">. Since most of the radionuclides released in the environment may be gradually internalised in the food chain, an additional organic chemical form is taken into consideration for ingestion by humans. </w:t>
      </w:r>
    </w:p>
    <w:p w14:paraId="63CB4333" w14:textId="603292C9" w:rsidR="00A7193F" w:rsidRPr="00972C81" w:rsidRDefault="00DC7FE4" w:rsidP="001C4A92">
      <w:pPr>
        <w:pStyle w:val="Annalstext"/>
        <w:rPr>
          <w:noProof/>
        </w:rPr>
      </w:pPr>
      <w:r w:rsidRPr="00972C81">
        <w:rPr>
          <w:noProof/>
        </w:rPr>
        <w:t xml:space="preserve">To provide dose coefficients for members of the public, it is necessary to take into account the effect of age on the biokinetics of radionuclides and on anatomical and physiological data. The biokinetic data used for the adults in this series of report are taken from the OIR series </w:t>
      </w:r>
      <w:r w:rsidR="00F54C6E" w:rsidRPr="00972C81">
        <w:rPr>
          <w:noProof/>
        </w:rPr>
        <w:fldChar w:fldCharType="begin"/>
      </w:r>
      <w:r w:rsidR="00F54C6E" w:rsidRPr="00972C81">
        <w:rPr>
          <w:noProof/>
        </w:rPr>
        <w:instrText xml:space="preserve"> ADDIN ZOTERO_ITEM CSL_CITATION {"citationID":"q6XfBmRc","properties":{"formattedCitation":"(ICRP, 2015, 2016, 2017, 2019, 2022)","plainCitation":"(ICRP, 2015, 2016, 2017, 2019, 2022)","noteIndex":0},"citationItems":[{"id":3066,"uris":["http://zotero.org/groups/2470620/items/FRMKS85F",["http://zotero.org/groups/2470620/items/FRMKS85F"]],"itemData":{"id":3066,"type":"article-journal","container-title":"Annals of the ICRP","issue":"2","title":"Occupational Intakes of Radionuclides: Part 1. ICRP Publication 130","volume":"44","author":[{"literal":"ICRP"}],"issued":{"date-parts":[["2015"]]}},"label":"page"},{"id":2565,"uris":["http://zotero.org/groups/2470620/items/BLGAFISB"],"itemData":{"id":2565,"type":"article-journal","container-title":"Annals of the ICRP","issue":"3/4","journalAbbreviation":"Ann. ICRP","language":"en","title":"Occupational intakes of radionuclides: Part 2. ICRP Publication 134","volume":"45","author":[{"literal":"ICRP"}],"issued":{"date-parts":[["2016",6,30]]}},"label":"page"},{"id":2566,"uris":["http://zotero.org/groups/2470620/items/BYB77JGB"],"itemData":{"id":2566,"type":"article-journal","container-title":"Annals of the ICRP","issue":"3/4","journalAbbreviation":"Ann. ICRP","language":"en","title":"Occupational intakes of radionuclides: Part 3. ICRP Publication 137","volume":"46","author":[{"literal":"ICRP"}],"issued":{"date-parts":[["2017"]]}},"label":"page"},{"id":3121,"uris":["http://zotero.org/groups/2470620/items/TRF7HY8X"],"itemData":{"id":3121,"type":"article-journal","container-title":"Annals of the ICRP","issue":"2/3","title":"Occupational Intakes of Radionuclides: Part 4. ICRP Publication 141","volume":"48","author":[{"literal":"ICRP"}],"issued":{"date-parts":[["2019"]]}},"label":"page"},{"id":3959,"uris":["http://zotero.org/groups/2470620/items/AQVNT9V2"],"itemData":{"id":3959,"type":"article-journal","container-title":"Annals of the ICRP","issue":"1-2","title":"Occupational Intakes of Radionuclides: Part 5. ICRP Publication 151","volume":"51","author":[{"literal":"ICRP"}],"issued":{"date-parts":[["2022"]]}},"label":"page"}],"schema":"https://github.com/citation-style-language/schema/raw/master/csl-citation.json"} </w:instrText>
      </w:r>
      <w:r w:rsidR="00F54C6E" w:rsidRPr="00972C81">
        <w:rPr>
          <w:noProof/>
        </w:rPr>
        <w:fldChar w:fldCharType="separate"/>
      </w:r>
      <w:r w:rsidR="00BC59C6" w:rsidRPr="00972C81">
        <w:rPr>
          <w:noProof/>
        </w:rPr>
        <w:t>(ICRP, 2015, 2016, 2017, 2019, 2022)</w:t>
      </w:r>
      <w:r w:rsidR="00F54C6E" w:rsidRPr="00972C81">
        <w:rPr>
          <w:noProof/>
        </w:rPr>
        <w:fldChar w:fldCharType="end"/>
      </w:r>
      <w:r w:rsidRPr="00972C81">
        <w:rPr>
          <w:noProof/>
        </w:rPr>
        <w:t xml:space="preserve">. </w:t>
      </w:r>
      <w:r w:rsidR="00A7193F" w:rsidRPr="00972C81">
        <w:rPr>
          <w:noProof/>
        </w:rPr>
        <w:t xml:space="preserve">Age-specific biokinetic data are given in this series of reports for intakes by 3-mo-old infants, 1-, 5, 10-, and 15-y-old children, in addition to the adults. Contamination of </w:t>
      </w:r>
      <w:r w:rsidR="00F43A9F" w:rsidRPr="00972C81">
        <w:rPr>
          <w:noProof/>
        </w:rPr>
        <w:t>embryo and f</w:t>
      </w:r>
      <w:r w:rsidR="007034B5" w:rsidRPr="00972C81">
        <w:rPr>
          <w:noProof/>
        </w:rPr>
        <w:t>o</w:t>
      </w:r>
      <w:r w:rsidR="00F43A9F" w:rsidRPr="00972C81">
        <w:rPr>
          <w:noProof/>
        </w:rPr>
        <w:t xml:space="preserve">etus from intakes of radionuclides by mothers and </w:t>
      </w:r>
      <w:r w:rsidR="008F5B57" w:rsidRPr="00972C81">
        <w:rPr>
          <w:noProof/>
        </w:rPr>
        <w:t xml:space="preserve">from ingestion of </w:t>
      </w:r>
      <w:r w:rsidR="008F725D" w:rsidRPr="00972C81">
        <w:rPr>
          <w:noProof/>
        </w:rPr>
        <w:t>radionuclides</w:t>
      </w:r>
      <w:r w:rsidR="008F5B57" w:rsidRPr="00972C81">
        <w:rPr>
          <w:noProof/>
        </w:rPr>
        <w:t xml:space="preserve"> in mothers’</w:t>
      </w:r>
      <w:r w:rsidR="007034B5" w:rsidRPr="00972C81">
        <w:rPr>
          <w:noProof/>
        </w:rPr>
        <w:t xml:space="preserve"> </w:t>
      </w:r>
      <w:r w:rsidR="008F5B57" w:rsidRPr="00972C81">
        <w:rPr>
          <w:noProof/>
        </w:rPr>
        <w:t xml:space="preserve">milk will be treated in separate reports. </w:t>
      </w:r>
    </w:p>
    <w:p w14:paraId="5D9E5C69" w14:textId="5CB05C61" w:rsidR="00E3147A" w:rsidRPr="00972C81" w:rsidRDefault="00A7193F" w:rsidP="001C4A92">
      <w:pPr>
        <w:pStyle w:val="Annalstext"/>
        <w:rPr>
          <w:noProof/>
        </w:rPr>
      </w:pPr>
      <w:r w:rsidRPr="00972C81">
        <w:rPr>
          <w:noProof/>
        </w:rPr>
        <w:t>D</w:t>
      </w:r>
      <w:r w:rsidR="00E3147A" w:rsidRPr="00972C81">
        <w:rPr>
          <w:noProof/>
        </w:rPr>
        <w:t xml:space="preserve">ose coefficients are presented in this series of reports for intakes by 3-mo-old infants, 1-, 5-, 10-, and 15-y-old children, </w:t>
      </w:r>
      <w:r w:rsidR="007632F2" w:rsidRPr="00972C81">
        <w:rPr>
          <w:noProof/>
        </w:rPr>
        <w:t>in addition to the</w:t>
      </w:r>
      <w:r w:rsidR="00E3147A" w:rsidRPr="00972C81">
        <w:rPr>
          <w:noProof/>
        </w:rPr>
        <w:t xml:space="preserve"> adults. In most cases the adult is taken to be aged 20 y. Exceptions are made for the alkaline earth elements, lead, thorium, uranium, neptunium, plutonium, americium and curium </w:t>
      </w:r>
      <w:r w:rsidR="00F54C6E" w:rsidRPr="00972C81">
        <w:rPr>
          <w:noProof/>
        </w:rPr>
        <w:fldChar w:fldCharType="begin"/>
      </w:r>
      <w:r w:rsidR="00F54C6E" w:rsidRPr="00972C81">
        <w:rPr>
          <w:noProof/>
        </w:rPr>
        <w:instrText xml:space="preserve"> ADDIN ZOTERO_ITEM CSL_CITATION {"citationID":"d0HuQgo6","properties":{"formattedCitation":"(ICRP, 1993, 1995b)","plainCitation":"(ICRP, 1993, 1995b)","noteIndex":0},"citationItems":[{"id":2558,"uris":["http://zotero.org/groups/2470620/items/NGGW5NK4",["http://zotero.org/groups/2470620/items/NGGW5NK4"]],"itemData":{"id":2558,"type":"article-journal","container-title":"Annals of the ICRP","issue":"3/4","journalAbbreviation":"Ann. ICRP","language":"en","title":"Age dependent doses to members of the public from intake of radionuclides: Part 2, Ingestion dose coefficients. ICRP Publication 67","volume":"23","author":[{"literal":"ICRP"}],"issued":{"date-parts":[["1993"]]}},"label":"page"},{"id":2561,"uris":["http://zotero.org/groups/2470620/items/VHZEZ7YC",["http://zotero.org/groups/2470620/items/VHZEZ7YC"]],"itemData":{"id":2561,"type":"article-journal","container-title":"Annals of the ICRP","issue":"3/4","language":"en","title":"Age-dependent Doses to Members of the Public from Intake of Radionuclides: Part 4. Inhalation Dose Coefficients, ICRP Publication 71","volume":"25","author":[{"literal":"ICRP"}],"issued":{"date-parts":[["1995"]]}},"label":"page"}],"schema":"https://github.com/citation-style-language/schema/raw/master/csl-citation.json"} </w:instrText>
      </w:r>
      <w:r w:rsidR="00F54C6E" w:rsidRPr="00972C81">
        <w:rPr>
          <w:noProof/>
        </w:rPr>
        <w:fldChar w:fldCharType="separate"/>
      </w:r>
      <w:r w:rsidR="00BC59C6" w:rsidRPr="00972C81">
        <w:rPr>
          <w:noProof/>
        </w:rPr>
        <w:t>(ICRP, 1993, 1995b)</w:t>
      </w:r>
      <w:r w:rsidR="00F54C6E" w:rsidRPr="00972C81">
        <w:rPr>
          <w:noProof/>
        </w:rPr>
        <w:fldChar w:fldCharType="end"/>
      </w:r>
      <w:r w:rsidR="00E3147A" w:rsidRPr="00972C81">
        <w:rPr>
          <w:noProof/>
        </w:rPr>
        <w:t xml:space="preserve">. For these elements, the transfer rates for the adult apply to ages 25 y, because some of the transfer rates in the biokinetic models are equated with bone formation rates, which are expected to remain elevated up to about age 25 y. In the calculations of the activity in source regions of the body, following intakes at these ages, continuous changes with age in the transfer rates governing its distribution </w:t>
      </w:r>
      <w:r w:rsidR="00E3147A" w:rsidRPr="00972C81">
        <w:rPr>
          <w:noProof/>
        </w:rPr>
        <w:lastRenderedPageBreak/>
        <w:t xml:space="preserve">and retention are obtained by linear interpolation according to age. This also applies to the transfer of activity from the small intestine to body fluids. For application to other ages and protracted intakes, it is considered here, as in the </w:t>
      </w:r>
      <w:r w:rsidR="00E3147A" w:rsidRPr="00972C81">
        <w:rPr>
          <w:i/>
          <w:noProof/>
        </w:rPr>
        <w:t>Publication 56</w:t>
      </w:r>
      <w:r w:rsidR="00E3147A" w:rsidRPr="00972C81">
        <w:rPr>
          <w:noProof/>
        </w:rPr>
        <w:t xml:space="preserve"> series </w:t>
      </w:r>
      <w:r w:rsidR="00F54C6E" w:rsidRPr="00972C81">
        <w:rPr>
          <w:noProof/>
        </w:rPr>
        <w:fldChar w:fldCharType="begin"/>
      </w:r>
      <w:r w:rsidR="00F54C6E" w:rsidRPr="00972C81">
        <w:rPr>
          <w:noProof/>
        </w:rPr>
        <w:instrText xml:space="preserve"> ADDIN ZOTERO_ITEM CSL_CITATION {"citationID":"L7QWIb1O","properties":{"formattedCitation":"(e.g. ICRP, 1989)","plainCitation":"(e.g. ICRP, 1989)","noteIndex":0},"citationItems":[{"id":3119,"uris":["http://zotero.org/groups/2470620/items/6CR5845U",["http://zotero.org/groups/2470620/items/6CR5845U"]],"itemData":{"id":3119,"type":"article-journal","container-title":"Annals of the ICRP","issue":"1-3","title":"Individual Monitoring for Intakes of Radionuclides by Workers. ICRP Publication 54.","volume":"19","author":[{"literal":"ICRP"}],"issued":{"date-parts":[["1989"]]}},"prefix":"e.g."}],"schema":"https://github.com/citation-style-language/schema/raw/master/csl-citation.json"} </w:instrText>
      </w:r>
      <w:r w:rsidR="00F54C6E" w:rsidRPr="00972C81">
        <w:rPr>
          <w:noProof/>
        </w:rPr>
        <w:fldChar w:fldCharType="separate"/>
      </w:r>
      <w:r w:rsidR="00BC59C6" w:rsidRPr="00972C81">
        <w:rPr>
          <w:noProof/>
        </w:rPr>
        <w:t>(e.g. ICRP, 1989)</w:t>
      </w:r>
      <w:r w:rsidR="00F54C6E" w:rsidRPr="00972C81">
        <w:rPr>
          <w:noProof/>
        </w:rPr>
        <w:fldChar w:fldCharType="end"/>
      </w:r>
      <w:r w:rsidR="00F54C6E" w:rsidRPr="00972C81">
        <w:rPr>
          <w:noProof/>
        </w:rPr>
        <w:t xml:space="preserve"> </w:t>
      </w:r>
      <w:r w:rsidR="00E3147A" w:rsidRPr="00972C81">
        <w:rPr>
          <w:noProof/>
        </w:rPr>
        <w:t>that tissue doses can be estimated by applying the age-specific dose coefficients to the age ranges given below:</w:t>
      </w:r>
    </w:p>
    <w:p w14:paraId="1F4C14B8" w14:textId="61857DEB" w:rsidR="00E3147A" w:rsidRPr="00972C81" w:rsidRDefault="00E3147A" w:rsidP="001C4A92">
      <w:pPr>
        <w:pStyle w:val="Style1"/>
        <w:numPr>
          <w:ilvl w:val="0"/>
          <w:numId w:val="0"/>
        </w:numPr>
        <w:ind w:left="340"/>
        <w:rPr>
          <w:noProof/>
          <w:lang w:val="en-GB"/>
        </w:rPr>
      </w:pPr>
      <w:r w:rsidRPr="00972C81">
        <w:rPr>
          <w:noProof/>
          <w:lang w:val="en-GB"/>
        </w:rPr>
        <w:t>3 mo:</w:t>
      </w:r>
      <w:r w:rsidRPr="00972C81">
        <w:rPr>
          <w:noProof/>
          <w:lang w:val="en-GB"/>
        </w:rPr>
        <w:tab/>
        <w:t>from 0 to 12 mo of age</w:t>
      </w:r>
    </w:p>
    <w:p w14:paraId="44C391E3" w14:textId="351BD7A3" w:rsidR="00E3147A" w:rsidRPr="00972C81" w:rsidRDefault="00E3147A" w:rsidP="001C4A92">
      <w:pPr>
        <w:pStyle w:val="Style1"/>
        <w:numPr>
          <w:ilvl w:val="0"/>
          <w:numId w:val="0"/>
        </w:numPr>
        <w:ind w:left="340"/>
        <w:rPr>
          <w:noProof/>
          <w:lang w:val="en-GB"/>
        </w:rPr>
      </w:pPr>
      <w:r w:rsidRPr="00972C81">
        <w:rPr>
          <w:noProof/>
          <w:lang w:val="en-GB"/>
        </w:rPr>
        <w:t>1 y:</w:t>
      </w:r>
      <w:r w:rsidRPr="00972C81">
        <w:rPr>
          <w:noProof/>
          <w:lang w:val="en-GB"/>
        </w:rPr>
        <w:tab/>
      </w:r>
      <w:r w:rsidRPr="00972C81">
        <w:rPr>
          <w:noProof/>
          <w:lang w:val="en-GB"/>
        </w:rPr>
        <w:tab/>
        <w:t>from 1 y to 2 y</w:t>
      </w:r>
    </w:p>
    <w:p w14:paraId="1DC09067" w14:textId="6F55DB79" w:rsidR="00E3147A" w:rsidRPr="00972C81" w:rsidRDefault="00E3147A" w:rsidP="001C4A92">
      <w:pPr>
        <w:pStyle w:val="Style1"/>
        <w:numPr>
          <w:ilvl w:val="0"/>
          <w:numId w:val="0"/>
        </w:numPr>
        <w:ind w:left="340"/>
        <w:rPr>
          <w:noProof/>
          <w:lang w:val="en-GB"/>
        </w:rPr>
      </w:pPr>
      <w:r w:rsidRPr="00972C81">
        <w:rPr>
          <w:noProof/>
          <w:lang w:val="en-GB"/>
        </w:rPr>
        <w:t>5 y:</w:t>
      </w:r>
      <w:r w:rsidRPr="00972C81">
        <w:rPr>
          <w:noProof/>
          <w:lang w:val="en-GB"/>
        </w:rPr>
        <w:tab/>
      </w:r>
      <w:r w:rsidRPr="00972C81">
        <w:rPr>
          <w:noProof/>
          <w:lang w:val="en-GB"/>
        </w:rPr>
        <w:tab/>
        <w:t>more than 2 y to 7 y</w:t>
      </w:r>
    </w:p>
    <w:p w14:paraId="7F707836" w14:textId="797A6A97" w:rsidR="00E3147A" w:rsidRPr="00972C81" w:rsidRDefault="00E3147A" w:rsidP="001C4A92">
      <w:pPr>
        <w:pStyle w:val="Style1"/>
        <w:numPr>
          <w:ilvl w:val="0"/>
          <w:numId w:val="0"/>
        </w:numPr>
        <w:ind w:left="340"/>
        <w:rPr>
          <w:noProof/>
          <w:lang w:val="en-GB"/>
        </w:rPr>
      </w:pPr>
      <w:r w:rsidRPr="00972C81">
        <w:rPr>
          <w:noProof/>
          <w:lang w:val="en-GB"/>
        </w:rPr>
        <w:t>10 y:</w:t>
      </w:r>
      <w:r w:rsidRPr="00972C81">
        <w:rPr>
          <w:noProof/>
          <w:lang w:val="en-GB"/>
        </w:rPr>
        <w:tab/>
      </w:r>
      <w:r w:rsidRPr="00972C81">
        <w:rPr>
          <w:noProof/>
          <w:lang w:val="en-GB"/>
        </w:rPr>
        <w:tab/>
        <w:t>more than 7 y to 12 y</w:t>
      </w:r>
    </w:p>
    <w:p w14:paraId="18C0A3AF" w14:textId="76986E27" w:rsidR="00E3147A" w:rsidRPr="00972C81" w:rsidRDefault="00E3147A" w:rsidP="001C4A92">
      <w:pPr>
        <w:pStyle w:val="Style1"/>
        <w:numPr>
          <w:ilvl w:val="0"/>
          <w:numId w:val="0"/>
        </w:numPr>
        <w:ind w:left="340"/>
        <w:rPr>
          <w:noProof/>
          <w:lang w:val="en-GB"/>
        </w:rPr>
      </w:pPr>
      <w:r w:rsidRPr="00972C81">
        <w:rPr>
          <w:noProof/>
          <w:lang w:val="en-GB"/>
        </w:rPr>
        <w:t>15 y:</w:t>
      </w:r>
      <w:r w:rsidRPr="00972C81">
        <w:rPr>
          <w:noProof/>
          <w:lang w:val="en-GB"/>
        </w:rPr>
        <w:tab/>
      </w:r>
      <w:r w:rsidRPr="00972C81">
        <w:rPr>
          <w:noProof/>
          <w:lang w:val="en-GB"/>
        </w:rPr>
        <w:tab/>
        <w:t>more than 12 y to 17 y</w:t>
      </w:r>
    </w:p>
    <w:p w14:paraId="315431FD" w14:textId="24BAB1DB" w:rsidR="00E3147A" w:rsidRPr="00972C81" w:rsidRDefault="00E3147A" w:rsidP="001C4A92">
      <w:pPr>
        <w:pStyle w:val="Style1"/>
        <w:numPr>
          <w:ilvl w:val="0"/>
          <w:numId w:val="0"/>
        </w:numPr>
        <w:ind w:left="340"/>
        <w:rPr>
          <w:noProof/>
          <w:lang w:val="en-GB"/>
        </w:rPr>
      </w:pPr>
      <w:r w:rsidRPr="00972C81">
        <w:rPr>
          <w:noProof/>
          <w:lang w:val="en-GB"/>
        </w:rPr>
        <w:t>adult:</w:t>
      </w:r>
      <w:r w:rsidRPr="00972C81">
        <w:rPr>
          <w:noProof/>
          <w:lang w:val="en-GB"/>
        </w:rPr>
        <w:tab/>
        <w:t>more than 17 y.</w:t>
      </w:r>
    </w:p>
    <w:p w14:paraId="060E8058" w14:textId="77777777" w:rsidR="00E3147A" w:rsidRPr="00972C81" w:rsidRDefault="00E3147A" w:rsidP="001C4A92">
      <w:pPr>
        <w:pStyle w:val="Style1"/>
        <w:numPr>
          <w:ilvl w:val="0"/>
          <w:numId w:val="0"/>
        </w:numPr>
        <w:ind w:left="340"/>
        <w:rPr>
          <w:noProof/>
          <w:lang w:val="en-GB"/>
        </w:rPr>
      </w:pPr>
      <w:r w:rsidRPr="00972C81">
        <w:rPr>
          <w:noProof/>
          <w:lang w:val="en-GB"/>
        </w:rPr>
        <w:t xml:space="preserve"> </w:t>
      </w:r>
    </w:p>
    <w:p w14:paraId="755E63BE" w14:textId="7BD6D46F" w:rsidR="00E3147A" w:rsidRPr="00972C81" w:rsidRDefault="00E3147A" w:rsidP="001C4A92">
      <w:pPr>
        <w:pStyle w:val="Annalstext"/>
        <w:rPr>
          <w:noProof/>
        </w:rPr>
      </w:pPr>
      <w:r w:rsidRPr="00972C81">
        <w:rPr>
          <w:noProof/>
        </w:rPr>
        <w:t xml:space="preserve">As in the </w:t>
      </w:r>
      <w:r w:rsidRPr="00972C81">
        <w:rPr>
          <w:i/>
          <w:noProof/>
        </w:rPr>
        <w:t>Publication 56</w:t>
      </w:r>
      <w:r w:rsidRPr="00972C81">
        <w:rPr>
          <w:noProof/>
        </w:rPr>
        <w:t xml:space="preserve"> series, a single Reference Person is used to represent each age-group. Generally, parameter values for males have been adopted because of the availability of biokinetic data. Where there are known differences between sexes in the biokinetics of an element, this is noted in the relevant</w:t>
      </w:r>
      <w:r w:rsidR="007632F2" w:rsidRPr="00972C81">
        <w:rPr>
          <w:noProof/>
        </w:rPr>
        <w:t xml:space="preserve"> section of the biokinetic data. </w:t>
      </w:r>
    </w:p>
    <w:p w14:paraId="0AC120E9" w14:textId="77777777" w:rsidR="00BC2E2C" w:rsidRPr="00972C81" w:rsidRDefault="00BC2E2C" w:rsidP="00E81109">
      <w:pPr>
        <w:pStyle w:val="2"/>
        <w:rPr>
          <w:noProof/>
          <w:lang w:val="en-GB"/>
        </w:rPr>
      </w:pPr>
      <w:bookmarkStart w:id="30" w:name="_Toc461530540"/>
      <w:bookmarkStart w:id="31" w:name="_Toc162629982"/>
      <w:r w:rsidRPr="00972C81">
        <w:rPr>
          <w:noProof/>
          <w:lang w:val="en-GB"/>
        </w:rPr>
        <w:t>Data presented in this report series</w:t>
      </w:r>
      <w:bookmarkEnd w:id="30"/>
      <w:bookmarkEnd w:id="31"/>
    </w:p>
    <w:p w14:paraId="3F2D2964" w14:textId="1B7AE5F6" w:rsidR="00201ECC" w:rsidRPr="00972C81" w:rsidRDefault="00EC0F91" w:rsidP="001C4A92">
      <w:pPr>
        <w:pStyle w:val="Annalstext"/>
        <w:rPr>
          <w:noProof/>
        </w:rPr>
      </w:pPr>
      <w:r w:rsidRPr="00972C81">
        <w:rPr>
          <w:noProof/>
        </w:rPr>
        <w:t xml:space="preserve">Each element section of this reports series includes reviews of data on inhalation, ingestion and systemic biokinetics and the structure and parameter values of the reference systemic biokinetic model. </w:t>
      </w:r>
    </w:p>
    <w:p w14:paraId="3358FD50" w14:textId="020A0C1F" w:rsidR="007432C1" w:rsidRPr="00972C81" w:rsidRDefault="00373D8A" w:rsidP="001C4A92">
      <w:pPr>
        <w:pStyle w:val="Annalstext"/>
        <w:rPr>
          <w:noProof/>
        </w:rPr>
      </w:pPr>
      <w:r w:rsidRPr="00972C81">
        <w:rPr>
          <w:noProof/>
        </w:rPr>
        <w:t>The data provided are</w:t>
      </w:r>
      <w:r w:rsidR="001926AF" w:rsidRPr="00972C81">
        <w:rPr>
          <w:noProof/>
        </w:rPr>
        <w:t xml:space="preserve"> age-dependent dose coefficients for members of the public for environmental intakes of radionuclides </w:t>
      </w:r>
      <w:r w:rsidRPr="00972C81">
        <w:rPr>
          <w:noProof/>
        </w:rPr>
        <w:t xml:space="preserve">by inhalation and ingestion. </w:t>
      </w:r>
      <w:r w:rsidR="001926AF" w:rsidRPr="00972C81">
        <w:rPr>
          <w:noProof/>
        </w:rPr>
        <w:t xml:space="preserve">As in the </w:t>
      </w:r>
      <w:r w:rsidR="00043E3A" w:rsidRPr="00972C81">
        <w:rPr>
          <w:i/>
          <w:noProof/>
        </w:rPr>
        <w:t>Publication 56</w:t>
      </w:r>
      <w:r w:rsidR="001926AF" w:rsidRPr="00972C81">
        <w:rPr>
          <w:noProof/>
        </w:rPr>
        <w:t xml:space="preserve"> series, </w:t>
      </w:r>
      <w:r w:rsidR="008336F6" w:rsidRPr="00972C81">
        <w:rPr>
          <w:noProof/>
        </w:rPr>
        <w:t xml:space="preserve">dose coefficients </w:t>
      </w:r>
      <w:r w:rsidR="00625E47" w:rsidRPr="00972C81">
        <w:rPr>
          <w:noProof/>
        </w:rPr>
        <w:t xml:space="preserve">are </w:t>
      </w:r>
      <w:r w:rsidR="002C5CFD" w:rsidRPr="00972C81">
        <w:rPr>
          <w:noProof/>
        </w:rPr>
        <w:t>presented</w:t>
      </w:r>
      <w:r w:rsidR="000E2E38" w:rsidRPr="00972C81">
        <w:rPr>
          <w:noProof/>
        </w:rPr>
        <w:t xml:space="preserve"> </w:t>
      </w:r>
      <w:r w:rsidR="00DE7449" w:rsidRPr="00972C81">
        <w:rPr>
          <w:noProof/>
        </w:rPr>
        <w:t xml:space="preserve">in this series of reports </w:t>
      </w:r>
      <w:r w:rsidR="008336F6" w:rsidRPr="00972C81">
        <w:rPr>
          <w:noProof/>
        </w:rPr>
        <w:t xml:space="preserve">for </w:t>
      </w:r>
      <w:r w:rsidR="007432C1" w:rsidRPr="00972C81">
        <w:rPr>
          <w:noProof/>
        </w:rPr>
        <w:t xml:space="preserve">intakes by 3-mo-old infants, 1-, 5-, 10-, and 15-y-old children, and adults.  </w:t>
      </w:r>
    </w:p>
    <w:p w14:paraId="6BDFA359" w14:textId="3C6F0410" w:rsidR="00373D8A" w:rsidRPr="00972C81" w:rsidRDefault="00373D8A" w:rsidP="001C4A92">
      <w:pPr>
        <w:pStyle w:val="Annalstext"/>
        <w:rPr>
          <w:noProof/>
        </w:rPr>
      </w:pPr>
      <w:r w:rsidRPr="00972C81">
        <w:rPr>
          <w:noProof/>
        </w:rPr>
        <w:t>The data provided in the printed reports are restricted to tables of committed effective dose per intake (Sv Bq</w:t>
      </w:r>
      <w:r w:rsidRPr="00972C81">
        <w:rPr>
          <w:noProof/>
          <w:vertAlign w:val="superscript"/>
        </w:rPr>
        <w:t>–1</w:t>
      </w:r>
      <w:r w:rsidRPr="00972C81">
        <w:rPr>
          <w:noProof/>
        </w:rPr>
        <w:t xml:space="preserve">) for inhalation and ingestion. Data are provided for all absorption types </w:t>
      </w:r>
      <w:r w:rsidR="00C02E4B">
        <w:rPr>
          <w:noProof/>
        </w:rPr>
        <w:t xml:space="preserve">F, M and S </w:t>
      </w:r>
      <w:r w:rsidRPr="00972C81">
        <w:rPr>
          <w:noProof/>
        </w:rPr>
        <w:t>and for the most common isotope(s) of each element. In cases for which sufficient information is available (principally for actinide elements), lung absorption is specified for certain chemical forms, and dose coefficients are calculated accordingly. The sizes of particles inhaled by the Reference Individuals are assumed to be log-normally distributed with an AMAD of 1 μm and geometric standard deviation σ</w:t>
      </w:r>
      <w:r w:rsidRPr="00972C81">
        <w:rPr>
          <w:noProof/>
          <w:vertAlign w:val="subscript"/>
        </w:rPr>
        <w:t>g</w:t>
      </w:r>
      <w:r w:rsidRPr="00972C81">
        <w:rPr>
          <w:noProof/>
        </w:rPr>
        <w:t xml:space="preserve"> of approximately 2.5 (ICRP, </w:t>
      </w:r>
      <w:r w:rsidR="00CB1ABE" w:rsidRPr="00972C81">
        <w:rPr>
          <w:noProof/>
        </w:rPr>
        <w:t>2024</w:t>
      </w:r>
      <w:r w:rsidRPr="00972C81">
        <w:rPr>
          <w:i/>
          <w:noProof/>
        </w:rPr>
        <w:t>,</w:t>
      </w:r>
      <w:r w:rsidRPr="00972C81">
        <w:rPr>
          <w:noProof/>
        </w:rPr>
        <w:t>). They are assumed to have a density of 3.00 g cm</w:t>
      </w:r>
      <w:r w:rsidRPr="00972C81">
        <w:rPr>
          <w:noProof/>
          <w:vertAlign w:val="superscript"/>
        </w:rPr>
        <w:t>–3</w:t>
      </w:r>
      <w:r w:rsidRPr="00972C81">
        <w:rPr>
          <w:noProof/>
        </w:rPr>
        <w:t xml:space="preserve">, and a shape factor of 1.5. An exception is made for the short-lived progeny of radon, described in </w:t>
      </w:r>
      <w:r w:rsidR="008F5B57" w:rsidRPr="00972C81">
        <w:rPr>
          <w:noProof/>
        </w:rPr>
        <w:t>the previous</w:t>
      </w:r>
      <w:r w:rsidR="000E2863" w:rsidRPr="00972C81">
        <w:rPr>
          <w:noProof/>
        </w:rPr>
        <w:t xml:space="preserve"> report</w:t>
      </w:r>
      <w:r w:rsidR="008F5B57" w:rsidRPr="00972C81">
        <w:rPr>
          <w:noProof/>
        </w:rPr>
        <w:t xml:space="preserve"> of this series (ICRP, </w:t>
      </w:r>
      <w:r w:rsidR="00CB1ABE" w:rsidRPr="00972C81">
        <w:rPr>
          <w:noProof/>
        </w:rPr>
        <w:t>2024</w:t>
      </w:r>
      <w:r w:rsidR="008F5B57" w:rsidRPr="00972C81">
        <w:rPr>
          <w:noProof/>
        </w:rPr>
        <w:t>)</w:t>
      </w:r>
      <w:r w:rsidR="000E2863" w:rsidRPr="00972C81">
        <w:rPr>
          <w:noProof/>
        </w:rPr>
        <w:t>.</w:t>
      </w:r>
    </w:p>
    <w:p w14:paraId="7D8A85E3" w14:textId="77777777" w:rsidR="00373D8A" w:rsidRPr="00972C81" w:rsidRDefault="00373D8A" w:rsidP="001C4A92">
      <w:pPr>
        <w:pStyle w:val="Annalstext"/>
        <w:rPr>
          <w:noProof/>
        </w:rPr>
      </w:pPr>
      <w:r w:rsidRPr="00972C81">
        <w:rPr>
          <w:noProof/>
        </w:rPr>
        <w:t xml:space="preserve">The electronic annex that accompanies this series of reports contains a comprehensive set of committed effective and equivalent dose coefficients per intake. Data are presented for almost all radionuclides included in </w:t>
      </w:r>
      <w:r w:rsidRPr="00972C81">
        <w:rPr>
          <w:i/>
          <w:noProof/>
        </w:rPr>
        <w:t>Publication 107</w:t>
      </w:r>
      <w:r w:rsidRPr="00972C81">
        <w:rPr>
          <w:noProof/>
        </w:rPr>
        <w:t xml:space="preserve"> that have half-lives equal to or greater than 10 min, and for other selected radionuclides. Data are provided for a range of physico-chemical forms and for aerosols with median sizes ranging from an AMTD of 0.001 µm to an AMAD of 20 µm. Data for intake by ingestion (for specified values of </w:t>
      </w:r>
      <w:r w:rsidRPr="00972C81">
        <w:rPr>
          <w:i/>
          <w:noProof/>
        </w:rPr>
        <w:t>f</w:t>
      </w:r>
      <w:r w:rsidRPr="00972C81">
        <w:rPr>
          <w:noProof/>
          <w:vertAlign w:val="subscript"/>
        </w:rPr>
        <w:t>A</w:t>
      </w:r>
      <w:r w:rsidRPr="00972C81">
        <w:rPr>
          <w:noProof/>
        </w:rPr>
        <w:t>) are also provided.</w:t>
      </w:r>
    </w:p>
    <w:p w14:paraId="675AA882" w14:textId="47CA6A52" w:rsidR="00E66DED" w:rsidRPr="00972C81" w:rsidRDefault="00E66DED" w:rsidP="001C4A92">
      <w:pPr>
        <w:pStyle w:val="Annalstext"/>
        <w:rPr>
          <w:noProof/>
          <w:snapToGrid w:val="0"/>
        </w:rPr>
      </w:pPr>
      <w:r w:rsidRPr="00972C81">
        <w:rPr>
          <w:noProof/>
        </w:rPr>
        <w:t>This current report provides the above data for the following elements : Lanthanum (La), Cerium</w:t>
      </w:r>
      <w:r w:rsidRPr="00972C81">
        <w:rPr>
          <w:noProof/>
          <w:snapToGrid w:val="0"/>
        </w:rPr>
        <w:t xml:space="preserve"> (Ce), Praseodymium (Pr), Neodymium (Nd), Promethium (Pm), Samarium (Sm), Europium (Eu), Gadolinium (Gd), Terbium (Tb), Dysprosium (Dy), Holmium (Ho), Erbium (Er), Thulium (Tm), Ytterbium (Yb), Lutetium (Lu)</w:t>
      </w:r>
      <w:r w:rsidRPr="00972C81">
        <w:rPr>
          <w:noProof/>
        </w:rPr>
        <w:t xml:space="preserve">, </w:t>
      </w:r>
      <w:r w:rsidRPr="00972C81">
        <w:rPr>
          <w:noProof/>
          <w:snapToGrid w:val="0"/>
        </w:rPr>
        <w:t xml:space="preserve">Actinium (Ac), </w:t>
      </w:r>
      <w:r w:rsidRPr="00972C81">
        <w:rPr>
          <w:noProof/>
        </w:rPr>
        <w:t xml:space="preserve">Thorium (Th), </w:t>
      </w:r>
      <w:r w:rsidRPr="00972C81">
        <w:rPr>
          <w:noProof/>
          <w:snapToGrid w:val="0"/>
        </w:rPr>
        <w:t xml:space="preserve">Protactinium (Pa), </w:t>
      </w:r>
      <w:r w:rsidRPr="00972C81">
        <w:rPr>
          <w:noProof/>
        </w:rPr>
        <w:t xml:space="preserve">Uranium (U), </w:t>
      </w:r>
      <w:r w:rsidRPr="00972C81">
        <w:rPr>
          <w:noProof/>
          <w:snapToGrid w:val="0"/>
        </w:rPr>
        <w:t xml:space="preserve">Neptunium (Np), Plutonium (Pu), Americium (Am), Curium (Cm), Berkelium (Bk), Californium (Cf), Einsteinium (Es) and Fermium (Fm). </w:t>
      </w:r>
    </w:p>
    <w:p w14:paraId="22DC6C72" w14:textId="40D1AF10" w:rsidR="00F959F5" w:rsidRPr="00C47F2F" w:rsidRDefault="00F959F5" w:rsidP="00C47F2F">
      <w:pPr>
        <w:pStyle w:val="GlossaryHeadChar"/>
        <w:overflowPunct/>
        <w:autoSpaceDE/>
        <w:autoSpaceDN/>
        <w:adjustRightInd/>
        <w:spacing w:before="0" w:after="0"/>
        <w:textAlignment w:val="auto"/>
        <w:rPr>
          <w:rFonts w:ascii="Times Roman" w:hAnsi="Times Roman"/>
          <w:noProof/>
        </w:rPr>
      </w:pPr>
    </w:p>
    <w:p w14:paraId="1D394BDE" w14:textId="38A4232E" w:rsidR="00235F06" w:rsidRPr="00972C81" w:rsidRDefault="00886BB7" w:rsidP="00E81109">
      <w:pPr>
        <w:pStyle w:val="1"/>
        <w:rPr>
          <w:noProof/>
        </w:rPr>
      </w:pPr>
      <w:bookmarkStart w:id="32" w:name="_Toc455492570"/>
      <w:bookmarkStart w:id="33" w:name="_Toc455492999"/>
      <w:bookmarkStart w:id="34" w:name="_Toc162629983"/>
      <w:bookmarkStart w:id="35" w:name="_Toc430177995"/>
      <w:r w:rsidRPr="00972C81">
        <w:rPr>
          <w:noProof/>
        </w:rPr>
        <w:lastRenderedPageBreak/>
        <w:t>L</w:t>
      </w:r>
      <w:r w:rsidR="007034E2" w:rsidRPr="00972C81">
        <w:rPr>
          <w:noProof/>
        </w:rPr>
        <w:t>anthanum (Z = 57)</w:t>
      </w:r>
      <w:bookmarkEnd w:id="32"/>
      <w:bookmarkEnd w:id="33"/>
      <w:bookmarkEnd w:id="34"/>
    </w:p>
    <w:p w14:paraId="3F1D7043" w14:textId="5F30A522" w:rsidR="00235F06" w:rsidRPr="00972C81" w:rsidRDefault="00235F06" w:rsidP="001C4A92">
      <w:pPr>
        <w:pStyle w:val="Annalstext"/>
        <w:rPr>
          <w:noProof/>
        </w:rPr>
      </w:pPr>
      <w:r w:rsidRPr="00972C81">
        <w:rPr>
          <w:noProof/>
        </w:rPr>
        <w:t xml:space="preserve">The fifteen elements from lanthanum (Z=57) to lutetium (Z=71) form the lanthanide series. The term 'rare earths' has also been used </w:t>
      </w:r>
      <w:r w:rsidR="0053739A" w:rsidRPr="00972C81">
        <w:rPr>
          <w:noProof/>
        </w:rPr>
        <w:t>for</w:t>
      </w:r>
      <w:r w:rsidRPr="00972C81">
        <w:rPr>
          <w:noProof/>
        </w:rPr>
        <w:t xml:space="preserve"> this group of elements, and at times to a larger group, including yttrium (Z=39) and scandium (Z=21). The International Union of Pure and Applied Chemistry (IUPAC) prefers the term lanthanoid to lanthanide </w:t>
      </w:r>
      <w:r w:rsidR="00E60A23" w:rsidRPr="00972C81">
        <w:rPr>
          <w:noProof/>
        </w:rPr>
        <w:fldChar w:fldCharType="begin"/>
      </w:r>
      <w:r w:rsidR="00E60A23" w:rsidRPr="00972C81">
        <w:rPr>
          <w:noProof/>
        </w:rPr>
        <w:instrText xml:space="preserve"> ADDIN ZOTERO_ITEM CSL_CITATION {"citationID":"PBjVIQGs","properties":{"formattedCitation":"(IUPAC, 2005)","plainCitation":"(IUPAC, 2005)","noteIndex":0},"citationItems":[{"id":4745,"uris":["http://zotero.org/groups/2470620/items/U8YU9UYP"],"itemData":{"id":4745,"type":"book","ISBN":"0","language":"en","number-of-pages":"85404 438 8","publisher":"RSC Publishing","title":"IUPAC Recommendations 2005, IUPAC Red Book,","author":[{"literal":"IUPAC"}],"editor":[{"family":"Connelly","given":"Neil G."},{"family":"Damhus","given":"Ture"},{"family":"Hartshorn","given":"Richard M."},{"family":"Hutton","given":"Alan T."}],"issued":{"date-parts":[["2005"]]}}}],"schema":"https://github.com/citation-style-language/schema/raw/master/csl-citation.json"} </w:instrText>
      </w:r>
      <w:r w:rsidR="00E60A23" w:rsidRPr="00972C81">
        <w:rPr>
          <w:noProof/>
        </w:rPr>
        <w:fldChar w:fldCharType="separate"/>
      </w:r>
      <w:r w:rsidR="00BC59C6" w:rsidRPr="00972C81">
        <w:rPr>
          <w:noProof/>
        </w:rPr>
        <w:t>(IUPAC, 2005)</w:t>
      </w:r>
      <w:r w:rsidR="00E60A23" w:rsidRPr="00972C81">
        <w:rPr>
          <w:noProof/>
        </w:rPr>
        <w:fldChar w:fldCharType="end"/>
      </w:r>
      <w:r w:rsidRPr="00972C81">
        <w:rPr>
          <w:noProof/>
        </w:rPr>
        <w:t xml:space="preserve"> but th</w:t>
      </w:r>
      <w:r w:rsidR="0053739A" w:rsidRPr="00972C81">
        <w:rPr>
          <w:noProof/>
        </w:rPr>
        <w:t>at</w:t>
      </w:r>
      <w:r w:rsidRPr="00972C81">
        <w:rPr>
          <w:noProof/>
        </w:rPr>
        <w:t xml:space="preserve"> terminology is not adopted in this </w:t>
      </w:r>
      <w:r w:rsidR="0053739A" w:rsidRPr="00972C81">
        <w:rPr>
          <w:noProof/>
        </w:rPr>
        <w:t xml:space="preserve">series of </w:t>
      </w:r>
      <w:r w:rsidRPr="00972C81">
        <w:rPr>
          <w:noProof/>
        </w:rPr>
        <w:t>document</w:t>
      </w:r>
      <w:r w:rsidR="0053739A" w:rsidRPr="00972C81">
        <w:rPr>
          <w:noProof/>
        </w:rPr>
        <w:t>s</w:t>
      </w:r>
      <w:r w:rsidRPr="00972C81">
        <w:rPr>
          <w:noProof/>
        </w:rPr>
        <w:t xml:space="preserve">. </w:t>
      </w:r>
    </w:p>
    <w:p w14:paraId="31E9DBCE" w14:textId="2B67051A" w:rsidR="00797E99" w:rsidRPr="00972C81" w:rsidRDefault="00797E99" w:rsidP="00E81109">
      <w:pPr>
        <w:pStyle w:val="2"/>
        <w:rPr>
          <w:noProof/>
          <w:lang w:val="en-GB"/>
        </w:rPr>
      </w:pPr>
      <w:bookmarkStart w:id="36" w:name="_Toc17467787"/>
      <w:bookmarkStart w:id="37" w:name="_Toc455492572"/>
      <w:bookmarkStart w:id="38" w:name="_Toc455493001"/>
      <w:bookmarkStart w:id="39" w:name="_Toc162629984"/>
      <w:bookmarkEnd w:id="36"/>
      <w:r w:rsidRPr="00972C81">
        <w:rPr>
          <w:noProof/>
          <w:lang w:val="en-GB"/>
        </w:rPr>
        <w:t>Routes of Intake</w:t>
      </w:r>
      <w:bookmarkEnd w:id="37"/>
      <w:bookmarkEnd w:id="38"/>
      <w:bookmarkEnd w:id="39"/>
    </w:p>
    <w:p w14:paraId="73A24E31" w14:textId="559BA494" w:rsidR="00512902" w:rsidRPr="00972C81" w:rsidRDefault="00BE6D4C" w:rsidP="001C4A92">
      <w:pPr>
        <w:pStyle w:val="Annalstext"/>
        <w:rPr>
          <w:noProof/>
        </w:rPr>
      </w:pPr>
      <w:r w:rsidRPr="00972C81">
        <w:rPr>
          <w:noProof/>
        </w:rPr>
        <w:t xml:space="preserve">In </w:t>
      </w:r>
      <w:r w:rsidRPr="00972C81">
        <w:rPr>
          <w:i/>
          <w:noProof/>
        </w:rPr>
        <w:t>Publication 141</w:t>
      </w:r>
      <w:r w:rsidRPr="00972C81">
        <w:rPr>
          <w:noProof/>
        </w:rPr>
        <w:t xml:space="preserve">, </w:t>
      </w:r>
      <w:r w:rsidR="00512902" w:rsidRPr="00972C81">
        <w:rPr>
          <w:noProof/>
        </w:rPr>
        <w:t xml:space="preserve">ICRP </w:t>
      </w:r>
      <w:r w:rsidRPr="00972C81">
        <w:rPr>
          <w:noProof/>
        </w:rPr>
        <w:fldChar w:fldCharType="begin"/>
      </w:r>
      <w:r w:rsidRPr="00972C81">
        <w:rPr>
          <w:noProof/>
        </w:rPr>
        <w:instrText xml:space="preserve"> ADDIN ZOTERO_ITEM CSL_CITATION {"citationID":"7o8hAYun","properties":{"formattedCitation":"(2019)","plainCitation":"(2019)","noteIndex":0},"citationItems":[{"id":3121,"uris":["http://zotero.org/groups/2470620/items/TRF7HY8X"],"itemData":{"id":3121,"type":"article-journal","container-title":"Annals of the ICRP","issue":"2/3","title":"Occupational Intakes of Radionuclides: Part 4. ICRP Publication 141","volume":"48","author":[{"literal":"ICRP"}],"issued":{"date-parts":[["2019"]]}},"suppress-author":true}],"schema":"https://github.com/citation-style-language/schema/raw/master/csl-citation.json"} </w:instrText>
      </w:r>
      <w:r w:rsidRPr="00972C81">
        <w:rPr>
          <w:noProof/>
        </w:rPr>
        <w:fldChar w:fldCharType="separate"/>
      </w:r>
      <w:r w:rsidR="00BC59C6" w:rsidRPr="00972C81">
        <w:rPr>
          <w:noProof/>
        </w:rPr>
        <w:t>(2019)</w:t>
      </w:r>
      <w:r w:rsidRPr="00972C81">
        <w:rPr>
          <w:noProof/>
        </w:rPr>
        <w:fldChar w:fldCharType="end"/>
      </w:r>
      <w:r w:rsidR="00512902" w:rsidRPr="00972C81">
        <w:rPr>
          <w:noProof/>
        </w:rPr>
        <w:t xml:space="preserve"> recognised that information on the biokinetics of several lanthanide </w:t>
      </w:r>
      <w:r w:rsidR="0053739A" w:rsidRPr="00972C81">
        <w:rPr>
          <w:noProof/>
        </w:rPr>
        <w:t>elements</w:t>
      </w:r>
      <w:r w:rsidR="00512902" w:rsidRPr="00972C81">
        <w:rPr>
          <w:noProof/>
        </w:rPr>
        <w:t xml:space="preserve"> is too limited to develop well-supported biokinetic models based on element-specific data. However, the lanthanides show a regular gradation in chemical properties across the series, and animal studies indicate that this is reflected in reasonably predictable changes across the lanthanide family in their deposition in the liver and skeleton as well as in their excretion patterns. These regular differences in chemical and biological behaviour have been used to construct a generic lanthanide biokinetic model and, where specific information is not available, to assign element-specific parameter values for each of the lanthanides. </w:t>
      </w:r>
    </w:p>
    <w:p w14:paraId="349E9E45" w14:textId="31D4721A" w:rsidR="00797E99" w:rsidRPr="00972C81" w:rsidRDefault="00512902" w:rsidP="001C4A92">
      <w:pPr>
        <w:pStyle w:val="Annalstext"/>
        <w:rPr>
          <w:noProof/>
        </w:rPr>
      </w:pPr>
      <w:r w:rsidRPr="00972C81">
        <w:rPr>
          <w:noProof/>
        </w:rPr>
        <w:t xml:space="preserve">Section 2 of </w:t>
      </w:r>
      <w:r w:rsidR="00BE6D4C" w:rsidRPr="00972C81">
        <w:rPr>
          <w:i/>
          <w:noProof/>
        </w:rPr>
        <w:t xml:space="preserve">Publication 141 </w:t>
      </w:r>
      <w:r w:rsidRPr="00972C81">
        <w:rPr>
          <w:noProof/>
        </w:rPr>
        <w:t xml:space="preserve">describes the basis for the generic modeling scheme, the common model structure applied, and the generic and element-specific parameter values assigned to each element in the series. Subsequent element sections </w:t>
      </w:r>
      <w:r w:rsidR="0053739A" w:rsidRPr="00972C81">
        <w:rPr>
          <w:noProof/>
        </w:rPr>
        <w:t xml:space="preserve">in </w:t>
      </w:r>
      <w:r w:rsidR="00BE6D4C" w:rsidRPr="00972C81">
        <w:rPr>
          <w:i/>
          <w:noProof/>
        </w:rPr>
        <w:t>Publication 141</w:t>
      </w:r>
      <w:r w:rsidR="0053739A" w:rsidRPr="00972C81">
        <w:rPr>
          <w:noProof/>
        </w:rPr>
        <w:t xml:space="preserve"> expand </w:t>
      </w:r>
      <w:r w:rsidRPr="00972C81">
        <w:rPr>
          <w:noProof/>
        </w:rPr>
        <w:t>on specific data or assumptions for each of the lanthanides.</w:t>
      </w:r>
    </w:p>
    <w:p w14:paraId="2EE0EB7E" w14:textId="77777777" w:rsidR="00797E99" w:rsidRPr="00972C81" w:rsidRDefault="00797E99" w:rsidP="00E81109">
      <w:pPr>
        <w:pStyle w:val="3"/>
        <w:rPr>
          <w:noProof/>
        </w:rPr>
      </w:pPr>
      <w:bookmarkStart w:id="40" w:name="_Toc162629985"/>
      <w:r w:rsidRPr="00972C81">
        <w:rPr>
          <w:noProof/>
        </w:rPr>
        <w:t>Inhalation</w:t>
      </w:r>
      <w:bookmarkEnd w:id="40"/>
    </w:p>
    <w:p w14:paraId="59DE693A" w14:textId="0B487D2A" w:rsidR="00235F06" w:rsidRPr="00972C81" w:rsidRDefault="00235F06" w:rsidP="001C4A92">
      <w:pPr>
        <w:pStyle w:val="Annalstext"/>
        <w:rPr>
          <w:noProof/>
        </w:rPr>
      </w:pPr>
      <w:r w:rsidRPr="00972C81">
        <w:rPr>
          <w:noProof/>
        </w:rPr>
        <w:t xml:space="preserve">In </w:t>
      </w:r>
      <w:r w:rsidR="00512902" w:rsidRPr="00972C81">
        <w:rPr>
          <w:noProof/>
        </w:rPr>
        <w:t xml:space="preserve">Section 2 of </w:t>
      </w:r>
      <w:r w:rsidR="00BE6D4C" w:rsidRPr="00972C81">
        <w:rPr>
          <w:i/>
          <w:noProof/>
        </w:rPr>
        <w:t>Publication 141</w:t>
      </w:r>
      <w:r w:rsidR="00BE6D4C" w:rsidRPr="00972C81">
        <w:rPr>
          <w:noProof/>
        </w:rPr>
        <w:t xml:space="preserve"> </w:t>
      </w:r>
      <w:r w:rsidR="00BE6D4C" w:rsidRPr="00972C81">
        <w:rPr>
          <w:noProof/>
        </w:rPr>
        <w:fldChar w:fldCharType="begin"/>
      </w:r>
      <w:r w:rsidR="00BE6D4C" w:rsidRPr="00972C81">
        <w:rPr>
          <w:noProof/>
        </w:rPr>
        <w:instrText xml:space="preserve"> ADDIN ZOTERO_ITEM CSL_CITATION {"citationID":"L4axTa3Y","properties":{"formattedCitation":"(ICRP,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BE6D4C" w:rsidRPr="00972C81">
        <w:rPr>
          <w:noProof/>
        </w:rPr>
        <w:fldChar w:fldCharType="separate"/>
      </w:r>
      <w:r w:rsidR="00BC59C6" w:rsidRPr="00972C81">
        <w:rPr>
          <w:noProof/>
        </w:rPr>
        <w:t>(ICRP, 2019)</w:t>
      </w:r>
      <w:r w:rsidR="00BE6D4C" w:rsidRPr="00972C81">
        <w:rPr>
          <w:noProof/>
        </w:rPr>
        <w:fldChar w:fldCharType="end"/>
      </w:r>
      <w:r w:rsidRPr="00972C81">
        <w:rPr>
          <w:noProof/>
        </w:rPr>
        <w:t xml:space="preserve"> </w:t>
      </w:r>
      <w:r w:rsidR="0053739A" w:rsidRPr="00972C81">
        <w:rPr>
          <w:noProof/>
        </w:rPr>
        <w:t xml:space="preserve">(A Generic Biokinetic Modelling Scheme for the Lanthanides) </w:t>
      </w:r>
      <w:r w:rsidRPr="00972C81">
        <w:rPr>
          <w:noProof/>
        </w:rPr>
        <w:t>information relating to the biokinetics following deposition in the</w:t>
      </w:r>
      <w:r w:rsidR="00512902" w:rsidRPr="00972C81">
        <w:rPr>
          <w:noProof/>
        </w:rPr>
        <w:t xml:space="preserve"> respiratory tract of </w:t>
      </w:r>
      <w:r w:rsidR="0053739A" w:rsidRPr="00972C81">
        <w:rPr>
          <w:noProof/>
        </w:rPr>
        <w:t>different</w:t>
      </w:r>
      <w:r w:rsidR="00512902" w:rsidRPr="00972C81">
        <w:rPr>
          <w:noProof/>
        </w:rPr>
        <w:t xml:space="preserve"> lanthanide elements was compared. </w:t>
      </w:r>
      <w:r w:rsidRPr="00972C81">
        <w:rPr>
          <w:noProof/>
        </w:rPr>
        <w:t xml:space="preserve"> There is extensive information on the behaviour of cerium, but relatively little for other lanthanides, and for several of them there are no experimental studies at all. Because of the lack of information on the lung clearance characteristics of most lanthanides other than cerium, and the similarities in the chemical behaviour </w:t>
      </w:r>
      <w:r w:rsidR="00512902" w:rsidRPr="00972C81">
        <w:rPr>
          <w:noProof/>
        </w:rPr>
        <w:t xml:space="preserve">and biokinetics </w:t>
      </w:r>
      <w:r w:rsidRPr="00972C81">
        <w:rPr>
          <w:noProof/>
        </w:rPr>
        <w:t xml:space="preserve">of the lanthanides, the behaviour of cerium </w:t>
      </w:r>
      <w:r w:rsidR="00512902" w:rsidRPr="00972C81">
        <w:rPr>
          <w:noProof/>
        </w:rPr>
        <w:t>was</w:t>
      </w:r>
      <w:r w:rsidRPr="00972C81">
        <w:rPr>
          <w:noProof/>
        </w:rPr>
        <w:t xml:space="preserve"> used in </w:t>
      </w:r>
      <w:r w:rsidR="00BE6D4C" w:rsidRPr="00972C81">
        <w:rPr>
          <w:i/>
          <w:noProof/>
        </w:rPr>
        <w:t>Publication 141</w:t>
      </w:r>
      <w:r w:rsidR="00BE6D4C" w:rsidRPr="00972C81">
        <w:rPr>
          <w:noProof/>
        </w:rPr>
        <w:t xml:space="preserve"> </w:t>
      </w:r>
      <w:r w:rsidR="00512902" w:rsidRPr="00972C81">
        <w:rPr>
          <w:noProof/>
        </w:rPr>
        <w:t xml:space="preserve">and </w:t>
      </w:r>
      <w:r w:rsidRPr="00972C81">
        <w:rPr>
          <w:noProof/>
        </w:rPr>
        <w:t xml:space="preserve">this document as a model for other lanthanide elements. </w:t>
      </w:r>
    </w:p>
    <w:p w14:paraId="4477BCF2" w14:textId="76216ADF" w:rsidR="00797E99" w:rsidRPr="00972C81" w:rsidRDefault="00797E99" w:rsidP="001C4A92">
      <w:pPr>
        <w:pStyle w:val="Annalstext"/>
        <w:rPr>
          <w:noProof/>
        </w:rPr>
      </w:pPr>
      <w:r w:rsidRPr="00972C81">
        <w:rPr>
          <w:noProof/>
        </w:rPr>
        <w:t xml:space="preserve">Absorption parameter values and Types, and associated </w:t>
      </w:r>
      <w:r w:rsidRPr="00972C81">
        <w:rPr>
          <w:i/>
          <w:noProof/>
        </w:rPr>
        <w:t>f</w:t>
      </w:r>
      <w:r w:rsidRPr="00972C81">
        <w:rPr>
          <w:noProof/>
          <w:vertAlign w:val="subscript"/>
        </w:rPr>
        <w:t>A</w:t>
      </w:r>
      <w:r w:rsidRPr="00972C81">
        <w:rPr>
          <w:noProof/>
        </w:rPr>
        <w:t xml:space="preserve"> values for particulate forms of lanthanides, including lanthanum, are given in </w:t>
      </w:r>
      <w:r w:rsidR="006F56F9" w:rsidRPr="00972C81">
        <w:rPr>
          <w:noProof/>
        </w:rPr>
        <w:fldChar w:fldCharType="begin"/>
      </w:r>
      <w:r w:rsidR="006F56F9" w:rsidRPr="00972C81">
        <w:rPr>
          <w:noProof/>
        </w:rPr>
        <w:instrText xml:space="preserve"> REF _Ref417994983 </w:instrText>
      </w:r>
      <w:r w:rsidR="006F56F9"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1</w:t>
      </w:r>
      <w:r w:rsidR="006F56F9" w:rsidRPr="00972C81">
        <w:rPr>
          <w:noProof/>
        </w:rPr>
        <w:fldChar w:fldCharType="end"/>
      </w:r>
      <w:r w:rsidR="00A8380A" w:rsidRPr="00972C81">
        <w:rPr>
          <w:noProof/>
        </w:rPr>
        <w:t xml:space="preserve"> </w:t>
      </w:r>
      <w:r w:rsidR="0053739A" w:rsidRPr="00972C81">
        <w:rPr>
          <w:noProof/>
        </w:rPr>
        <w:t xml:space="preserve">and </w:t>
      </w:r>
      <w:r w:rsidR="006F56F9" w:rsidRPr="00972C81">
        <w:rPr>
          <w:noProof/>
        </w:rPr>
        <w:fldChar w:fldCharType="begin"/>
      </w:r>
      <w:r w:rsidR="006F56F9" w:rsidRPr="00972C81">
        <w:rPr>
          <w:noProof/>
        </w:rPr>
        <w:instrText xml:space="preserve"> REF _Ref141784472 </w:instrText>
      </w:r>
      <w:r w:rsidR="006F56F9"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6F56F9" w:rsidRPr="00972C81">
        <w:rPr>
          <w:noProof/>
        </w:rPr>
        <w:fldChar w:fldCharType="end"/>
      </w:r>
      <w:r w:rsidR="00A8380A" w:rsidRPr="00972C81">
        <w:rPr>
          <w:noProof/>
        </w:rPr>
        <w:t xml:space="preserve"> </w:t>
      </w:r>
      <w:r w:rsidR="0053739A" w:rsidRPr="00972C81">
        <w:rPr>
          <w:noProof/>
        </w:rPr>
        <w:t xml:space="preserve">(taken from Section 2 of </w:t>
      </w:r>
      <w:r w:rsidR="00BE6D4C" w:rsidRPr="00972C81">
        <w:rPr>
          <w:i/>
          <w:noProof/>
        </w:rPr>
        <w:t>Publication 141</w:t>
      </w:r>
      <w:r w:rsidR="0053739A" w:rsidRPr="00972C81">
        <w:rPr>
          <w:noProof/>
        </w:rPr>
        <w:t>)</w:t>
      </w:r>
      <w:r w:rsidRPr="00972C81">
        <w:rPr>
          <w:noProof/>
        </w:rPr>
        <w:t xml:space="preserve">. </w:t>
      </w:r>
    </w:p>
    <w:p w14:paraId="409878D0" w14:textId="7B0DF035" w:rsidR="00512902" w:rsidRPr="00972C81" w:rsidRDefault="00235F06" w:rsidP="001C4A92">
      <w:pPr>
        <w:pStyle w:val="Annalstext"/>
        <w:rPr>
          <w:noProof/>
        </w:rPr>
      </w:pPr>
      <w:r w:rsidRPr="00972C81">
        <w:rPr>
          <w:noProof/>
        </w:rPr>
        <w:t>For most elements, under the heading 'Default parameter values', the corresponding table includes a list of materials for which there is in</w:t>
      </w:r>
      <w:r w:rsidR="0053739A" w:rsidRPr="00972C81">
        <w:rPr>
          <w:noProof/>
        </w:rPr>
        <w:t>-</w:t>
      </w:r>
      <w:r w:rsidRPr="00972C81">
        <w:rPr>
          <w:noProof/>
        </w:rPr>
        <w:t xml:space="preserve">vivo information which is sufficient to assign the chemical form to a default absorption Type, but specific parameter values for that form are not adopted. This could be because there is insufficient information to derive parameter values, or for another reason, for example, exposure to it is unlikely. For the lanthanides, these materials are instead listed in </w:t>
      </w:r>
      <w:r w:rsidR="006F56F9" w:rsidRPr="00972C81">
        <w:rPr>
          <w:noProof/>
        </w:rPr>
        <w:fldChar w:fldCharType="begin"/>
      </w:r>
      <w:r w:rsidR="006F56F9" w:rsidRPr="00972C81">
        <w:rPr>
          <w:noProof/>
        </w:rPr>
        <w:instrText xml:space="preserve"> REF _Ref141784472 </w:instrText>
      </w:r>
      <w:r w:rsidR="006F56F9"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6F56F9" w:rsidRPr="00972C81">
        <w:rPr>
          <w:noProof/>
        </w:rPr>
        <w:fldChar w:fldCharType="end"/>
      </w:r>
      <w:r w:rsidRPr="00972C81">
        <w:rPr>
          <w:noProof/>
        </w:rPr>
        <w:t>.</w:t>
      </w:r>
      <w:r w:rsidR="003A587D" w:rsidRPr="00972C81">
        <w:rPr>
          <w:noProof/>
        </w:rPr>
        <w:t xml:space="preserve"> However, the behaviour of ionic (soluble) lanthanides following deposition in the respiratory tract is difficult to determine because ionic solutions (e.g. chloride) are unstable at neutral pH and </w:t>
      </w:r>
      <w:r w:rsidR="00BB503E">
        <w:rPr>
          <w:noProof/>
        </w:rPr>
        <w:t>in humans</w:t>
      </w:r>
      <w:r w:rsidR="003A587D" w:rsidRPr="00972C81">
        <w:rPr>
          <w:noProof/>
        </w:rPr>
        <w:t>y biological media, resulting in colloid formation.</w:t>
      </w:r>
    </w:p>
    <w:p w14:paraId="345FA8CB" w14:textId="21E0DB49" w:rsidR="00235F06" w:rsidRPr="00972C81" w:rsidRDefault="00512902" w:rsidP="001C4A92">
      <w:pPr>
        <w:pStyle w:val="Annalstext"/>
        <w:rPr>
          <w:noProof/>
        </w:rPr>
      </w:pPr>
      <w:r w:rsidRPr="00972C81">
        <w:rPr>
          <w:noProof/>
        </w:rPr>
        <w:t xml:space="preserve">In the case of lanthanum, information on absorption from the respiratory tract is available from experimental studies, mainly as chloride. The radiotracer studies reported were </w:t>
      </w:r>
      <w:r w:rsidRPr="00972C81">
        <w:rPr>
          <w:noProof/>
        </w:rPr>
        <w:lastRenderedPageBreak/>
        <w:t xml:space="preserve">of short duration because they used </w:t>
      </w:r>
      <w:r w:rsidRPr="00972C81">
        <w:rPr>
          <w:noProof/>
          <w:vertAlign w:val="superscript"/>
        </w:rPr>
        <w:t>140</w:t>
      </w:r>
      <w:r w:rsidRPr="00972C81">
        <w:rPr>
          <w:noProof/>
        </w:rPr>
        <w:t xml:space="preserve">La, which has a half-life of only 1.7 d. </w:t>
      </w:r>
      <w:r w:rsidR="0053739A" w:rsidRPr="00972C81">
        <w:rPr>
          <w:noProof/>
        </w:rPr>
        <w:t xml:space="preserve">For details see Section 3 of </w:t>
      </w:r>
      <w:r w:rsidR="006F56F9" w:rsidRPr="00972C81">
        <w:rPr>
          <w:i/>
          <w:noProof/>
        </w:rPr>
        <w:t>Publication 141</w:t>
      </w:r>
      <w:r w:rsidRPr="00972C81">
        <w:rPr>
          <w:noProof/>
        </w:rPr>
        <w:t>.</w:t>
      </w:r>
    </w:p>
    <w:p w14:paraId="78C40D1F" w14:textId="77777777" w:rsidR="003A587D" w:rsidRPr="00972C81" w:rsidRDefault="003A587D" w:rsidP="00E81109">
      <w:pPr>
        <w:rPr>
          <w:rFonts w:ascii="Times Roman" w:hAnsi="Times Roman"/>
          <w:noProof/>
          <w:color w:val="000000" w:themeColor="text1"/>
        </w:rPr>
      </w:pPr>
      <w:bookmarkStart w:id="41" w:name="_Ref367868686"/>
    </w:p>
    <w:p w14:paraId="1438656F" w14:textId="1A6AF188" w:rsidR="003A587D" w:rsidRPr="00972C81" w:rsidRDefault="006F56F9" w:rsidP="00E81109">
      <w:pPr>
        <w:pStyle w:val="ab"/>
        <w:rPr>
          <w:b/>
          <w:noProof/>
        </w:rPr>
      </w:pPr>
      <w:bookmarkStart w:id="42" w:name="_Ref417994983"/>
      <w:bookmarkStart w:id="43" w:name="_Ref425169426"/>
      <w:bookmarkEnd w:id="41"/>
      <w:r w:rsidRPr="00972C81">
        <w:rPr>
          <w:noProof/>
        </w:rPr>
        <w:t xml:space="preserve">Table </w:t>
      </w:r>
      <w:r w:rsidR="00EA3750" w:rsidRPr="00972C81">
        <w:rPr>
          <w:noProof/>
        </w:rPr>
        <w:fldChar w:fldCharType="begin"/>
      </w:r>
      <w:r w:rsidR="00EA3750" w:rsidRPr="00972C81">
        <w:rPr>
          <w:noProof/>
        </w:rPr>
        <w:instrText xml:space="preserve"> STYLEREF 1 \s </w:instrText>
      </w:r>
      <w:r w:rsidR="00EA3750" w:rsidRPr="00972C81">
        <w:rPr>
          <w:noProof/>
        </w:rPr>
        <w:fldChar w:fldCharType="separate"/>
      </w:r>
      <w:r w:rsidR="00A41AD1">
        <w:rPr>
          <w:noProof/>
        </w:rPr>
        <w:t>2</w:t>
      </w:r>
      <w:r w:rsidR="00EA3750" w:rsidRPr="00972C81">
        <w:rPr>
          <w:noProof/>
        </w:rPr>
        <w:fldChar w:fldCharType="end"/>
      </w:r>
      <w:r w:rsidR="00EA3750" w:rsidRPr="00972C81">
        <w:rPr>
          <w:noProof/>
        </w:rPr>
        <w:t>.</w:t>
      </w:r>
      <w:r w:rsidR="00EA3750" w:rsidRPr="00972C81">
        <w:rPr>
          <w:noProof/>
        </w:rPr>
        <w:fldChar w:fldCharType="begin"/>
      </w:r>
      <w:r w:rsidR="00EA3750" w:rsidRPr="00972C81">
        <w:rPr>
          <w:noProof/>
        </w:rPr>
        <w:instrText xml:space="preserve"> SEQ Table \* ARABIC \s 1 </w:instrText>
      </w:r>
      <w:r w:rsidR="00EA3750" w:rsidRPr="00972C81">
        <w:rPr>
          <w:noProof/>
        </w:rPr>
        <w:fldChar w:fldCharType="separate"/>
      </w:r>
      <w:r w:rsidR="00A41AD1">
        <w:rPr>
          <w:noProof/>
        </w:rPr>
        <w:t>1</w:t>
      </w:r>
      <w:r w:rsidR="00EA3750" w:rsidRPr="00972C81">
        <w:rPr>
          <w:noProof/>
        </w:rPr>
        <w:fldChar w:fldCharType="end"/>
      </w:r>
      <w:bookmarkEnd w:id="42"/>
      <w:r w:rsidR="003A587D" w:rsidRPr="00972C81">
        <w:rPr>
          <w:noProof/>
        </w:rPr>
        <w:t>. Absorption parameter values for inhaled and ingested lanthanides</w:t>
      </w:r>
      <w:bookmarkEnd w:id="43"/>
      <w:r w:rsidR="003A587D" w:rsidRPr="00972C81">
        <w:rPr>
          <w:noProof/>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1547"/>
        <w:gridCol w:w="444"/>
        <w:gridCol w:w="70"/>
        <w:gridCol w:w="1067"/>
        <w:gridCol w:w="995"/>
        <w:gridCol w:w="285"/>
        <w:gridCol w:w="569"/>
        <w:gridCol w:w="710"/>
        <w:gridCol w:w="285"/>
        <w:gridCol w:w="852"/>
        <w:gridCol w:w="217"/>
        <w:gridCol w:w="921"/>
        <w:gridCol w:w="1065"/>
      </w:tblGrid>
      <w:tr w:rsidR="003A587D" w:rsidRPr="00972C81" w14:paraId="6B298C2A" w14:textId="77777777" w:rsidTr="003163D0">
        <w:trPr>
          <w:cantSplit/>
          <w:trHeight w:val="397"/>
        </w:trPr>
        <w:tc>
          <w:tcPr>
            <w:tcW w:w="2284" w:type="pct"/>
            <w:gridSpan w:val="5"/>
            <w:vMerge w:val="restart"/>
            <w:tcBorders>
              <w:top w:val="single" w:sz="4" w:space="0" w:color="auto"/>
              <w:left w:val="nil"/>
              <w:bottom w:val="single" w:sz="4" w:space="0" w:color="auto"/>
              <w:right w:val="nil"/>
            </w:tcBorders>
            <w:vAlign w:val="bottom"/>
            <w:hideMark/>
          </w:tcPr>
          <w:p w14:paraId="529820E0" w14:textId="2E9AC485" w:rsidR="003A587D" w:rsidRPr="00972C81" w:rsidRDefault="003A587D" w:rsidP="009F028D">
            <w:pPr>
              <w:pStyle w:val="Table"/>
              <w:rPr>
                <w:noProof/>
              </w:rPr>
            </w:pPr>
            <w:r w:rsidRPr="00972C81">
              <w:rPr>
                <w:noProof/>
              </w:rPr>
              <w:t>Inhaled particulate materials</w:t>
            </w:r>
          </w:p>
        </w:tc>
        <w:tc>
          <w:tcPr>
            <w:tcW w:w="1616" w:type="pct"/>
            <w:gridSpan w:val="6"/>
            <w:tcBorders>
              <w:top w:val="single" w:sz="4" w:space="0" w:color="auto"/>
              <w:left w:val="nil"/>
              <w:bottom w:val="single" w:sz="4" w:space="0" w:color="auto"/>
              <w:right w:val="nil"/>
            </w:tcBorders>
            <w:vAlign w:val="center"/>
            <w:hideMark/>
          </w:tcPr>
          <w:p w14:paraId="31320B24" w14:textId="65D5AAE3" w:rsidR="003A587D" w:rsidRPr="00972C81" w:rsidRDefault="003A587D" w:rsidP="003163D0">
            <w:pPr>
              <w:pStyle w:val="Table"/>
              <w:jc w:val="center"/>
              <w:rPr>
                <w:noProof/>
                <w:vertAlign w:val="superscript"/>
              </w:rPr>
            </w:pPr>
            <w:r w:rsidRPr="00972C81">
              <w:rPr>
                <w:noProof/>
              </w:rPr>
              <w:t>Absorption parameter values</w:t>
            </w:r>
            <w:r w:rsidR="006F56F9" w:rsidRPr="00972C81">
              <w:rPr>
                <w:noProof/>
                <w:vertAlign w:val="superscript"/>
              </w:rPr>
              <w:t>*</w:t>
            </w:r>
          </w:p>
        </w:tc>
        <w:tc>
          <w:tcPr>
            <w:tcW w:w="1100" w:type="pct"/>
            <w:gridSpan w:val="2"/>
            <w:vMerge w:val="restart"/>
            <w:tcBorders>
              <w:top w:val="single" w:sz="4" w:space="0" w:color="auto"/>
              <w:left w:val="nil"/>
              <w:bottom w:val="single" w:sz="4" w:space="0" w:color="auto"/>
              <w:right w:val="nil"/>
            </w:tcBorders>
            <w:vAlign w:val="center"/>
            <w:hideMark/>
          </w:tcPr>
          <w:p w14:paraId="67E22EC8" w14:textId="7F7A0771" w:rsidR="003A587D" w:rsidRPr="00972C81" w:rsidRDefault="003A587D" w:rsidP="003163D0">
            <w:pPr>
              <w:pStyle w:val="Table"/>
              <w:rPr>
                <w:noProof/>
                <w:vertAlign w:val="superscript"/>
              </w:rPr>
            </w:pPr>
            <w:r w:rsidRPr="00972C81">
              <w:rPr>
                <w:noProof/>
              </w:rPr>
              <w:t xml:space="preserve">Absorption from the alimentary tract, </w:t>
            </w:r>
            <w:r w:rsidRPr="00972C81">
              <w:rPr>
                <w:i/>
                <w:noProof/>
              </w:rPr>
              <w:t>f</w:t>
            </w:r>
            <w:r w:rsidRPr="00972C81">
              <w:rPr>
                <w:noProof/>
                <w:vertAlign w:val="subscript"/>
              </w:rPr>
              <w:t>A</w:t>
            </w:r>
            <w:r w:rsidR="006F56F9" w:rsidRPr="00972C81">
              <w:rPr>
                <w:noProof/>
                <w:vertAlign w:val="superscript"/>
              </w:rPr>
              <w:t>†</w:t>
            </w:r>
          </w:p>
        </w:tc>
      </w:tr>
      <w:tr w:rsidR="003A587D" w:rsidRPr="00972C81" w14:paraId="15600B75" w14:textId="77777777" w:rsidTr="003163D0">
        <w:trPr>
          <w:cantSplit/>
          <w:trHeight w:val="397"/>
        </w:trPr>
        <w:tc>
          <w:tcPr>
            <w:tcW w:w="2284" w:type="pct"/>
            <w:gridSpan w:val="5"/>
            <w:vMerge/>
            <w:tcBorders>
              <w:top w:val="single" w:sz="4" w:space="0" w:color="auto"/>
              <w:left w:val="nil"/>
              <w:bottom w:val="single" w:sz="4" w:space="0" w:color="auto"/>
              <w:right w:val="nil"/>
            </w:tcBorders>
            <w:vAlign w:val="center"/>
            <w:hideMark/>
          </w:tcPr>
          <w:p w14:paraId="33F31B79" w14:textId="77777777" w:rsidR="003A587D" w:rsidRPr="00972C81" w:rsidRDefault="003A587D" w:rsidP="00E81109">
            <w:pPr>
              <w:pStyle w:val="Table"/>
              <w:rPr>
                <w:noProof/>
              </w:rPr>
            </w:pPr>
          </w:p>
        </w:tc>
        <w:tc>
          <w:tcPr>
            <w:tcW w:w="473" w:type="pct"/>
            <w:gridSpan w:val="2"/>
            <w:tcBorders>
              <w:top w:val="single" w:sz="4" w:space="0" w:color="auto"/>
              <w:left w:val="nil"/>
              <w:bottom w:val="single" w:sz="4" w:space="0" w:color="auto"/>
              <w:right w:val="nil"/>
            </w:tcBorders>
            <w:vAlign w:val="center"/>
            <w:hideMark/>
          </w:tcPr>
          <w:p w14:paraId="1071C04F" w14:textId="77777777" w:rsidR="003A587D" w:rsidRPr="00972C81" w:rsidRDefault="003A587D" w:rsidP="003163D0">
            <w:pPr>
              <w:pStyle w:val="Table"/>
              <w:rPr>
                <w:noProof/>
              </w:rPr>
            </w:pPr>
            <w:r w:rsidRPr="00972C81">
              <w:rPr>
                <w:i/>
                <w:noProof/>
              </w:rPr>
              <w:t>f</w:t>
            </w:r>
            <w:r w:rsidRPr="00972C81">
              <w:rPr>
                <w:noProof/>
                <w:vertAlign w:val="subscript"/>
              </w:rPr>
              <w:t>r</w:t>
            </w:r>
          </w:p>
        </w:tc>
        <w:tc>
          <w:tcPr>
            <w:tcW w:w="551" w:type="pct"/>
            <w:gridSpan w:val="2"/>
            <w:tcBorders>
              <w:top w:val="single" w:sz="4" w:space="0" w:color="auto"/>
              <w:left w:val="nil"/>
              <w:bottom w:val="single" w:sz="4" w:space="0" w:color="auto"/>
              <w:right w:val="nil"/>
            </w:tcBorders>
            <w:vAlign w:val="center"/>
            <w:hideMark/>
          </w:tcPr>
          <w:p w14:paraId="76EB57E2" w14:textId="77777777" w:rsidR="003A587D" w:rsidRPr="00972C81" w:rsidRDefault="003A587D" w:rsidP="003163D0">
            <w:pPr>
              <w:pStyle w:val="Table"/>
              <w:rPr>
                <w:noProof/>
              </w:rPr>
            </w:pPr>
            <w:r w:rsidRPr="00972C81">
              <w:rPr>
                <w:i/>
                <w:noProof/>
              </w:rPr>
              <w:t>s</w:t>
            </w:r>
            <w:r w:rsidRPr="00972C81">
              <w:rPr>
                <w:noProof/>
                <w:vertAlign w:val="subscript"/>
              </w:rPr>
              <w:t>r</w:t>
            </w:r>
            <w:r w:rsidRPr="00972C81">
              <w:rPr>
                <w:noProof/>
              </w:rPr>
              <w:t xml:space="preserve"> (d</w:t>
            </w:r>
            <w:r w:rsidRPr="00972C81">
              <w:rPr>
                <w:noProof/>
                <w:vertAlign w:val="superscript"/>
              </w:rPr>
              <w:t>–1</w:t>
            </w:r>
            <w:r w:rsidRPr="00972C81">
              <w:rPr>
                <w:noProof/>
              </w:rPr>
              <w:t>)</w:t>
            </w:r>
          </w:p>
        </w:tc>
        <w:tc>
          <w:tcPr>
            <w:tcW w:w="592" w:type="pct"/>
            <w:gridSpan w:val="2"/>
            <w:tcBorders>
              <w:top w:val="single" w:sz="4" w:space="0" w:color="auto"/>
              <w:left w:val="nil"/>
              <w:bottom w:val="single" w:sz="4" w:space="0" w:color="auto"/>
              <w:right w:val="nil"/>
            </w:tcBorders>
            <w:vAlign w:val="center"/>
            <w:hideMark/>
          </w:tcPr>
          <w:p w14:paraId="3D977A5A" w14:textId="77777777" w:rsidR="003A587D" w:rsidRPr="00972C81" w:rsidRDefault="003A587D" w:rsidP="003163D0">
            <w:pPr>
              <w:pStyle w:val="Table"/>
              <w:rPr>
                <w:noProof/>
              </w:rPr>
            </w:pPr>
            <w:r w:rsidRPr="00972C81">
              <w:rPr>
                <w:i/>
                <w:noProof/>
              </w:rPr>
              <w:t>s</w:t>
            </w:r>
            <w:r w:rsidRPr="00972C81">
              <w:rPr>
                <w:noProof/>
                <w:vertAlign w:val="subscript"/>
              </w:rPr>
              <w:t>s</w:t>
            </w:r>
            <w:r w:rsidRPr="00972C81">
              <w:rPr>
                <w:noProof/>
              </w:rPr>
              <w:t xml:space="preserve"> (d</w:t>
            </w:r>
            <w:r w:rsidRPr="00972C81">
              <w:rPr>
                <w:noProof/>
                <w:vertAlign w:val="superscript"/>
              </w:rPr>
              <w:t>–1</w:t>
            </w:r>
            <w:r w:rsidRPr="00972C81">
              <w:rPr>
                <w:noProof/>
              </w:rPr>
              <w:t>)</w:t>
            </w:r>
          </w:p>
        </w:tc>
        <w:tc>
          <w:tcPr>
            <w:tcW w:w="1100" w:type="pct"/>
            <w:gridSpan w:val="2"/>
            <w:vMerge/>
            <w:tcBorders>
              <w:top w:val="single" w:sz="4" w:space="0" w:color="auto"/>
              <w:left w:val="nil"/>
              <w:bottom w:val="single" w:sz="4" w:space="0" w:color="auto"/>
              <w:right w:val="nil"/>
            </w:tcBorders>
            <w:vAlign w:val="center"/>
            <w:hideMark/>
          </w:tcPr>
          <w:p w14:paraId="773DB545" w14:textId="77777777" w:rsidR="003A587D" w:rsidRPr="00972C81" w:rsidRDefault="003A587D" w:rsidP="00E81109">
            <w:pPr>
              <w:pStyle w:val="Table"/>
              <w:rPr>
                <w:noProof/>
                <w:vertAlign w:val="superscript"/>
              </w:rPr>
            </w:pPr>
          </w:p>
        </w:tc>
      </w:tr>
      <w:tr w:rsidR="003A587D" w:rsidRPr="00972C81" w14:paraId="36EA1CA6" w14:textId="77777777" w:rsidTr="003163D0">
        <w:trPr>
          <w:trHeight w:val="397"/>
        </w:trPr>
        <w:tc>
          <w:tcPr>
            <w:tcW w:w="2284" w:type="pct"/>
            <w:gridSpan w:val="5"/>
            <w:tcBorders>
              <w:top w:val="single" w:sz="4" w:space="0" w:color="auto"/>
              <w:left w:val="nil"/>
              <w:bottom w:val="nil"/>
              <w:right w:val="nil"/>
            </w:tcBorders>
            <w:hideMark/>
          </w:tcPr>
          <w:p w14:paraId="20A456DB" w14:textId="4AE13E96" w:rsidR="003A587D" w:rsidRPr="00972C81" w:rsidRDefault="003A587D" w:rsidP="003163D0">
            <w:pPr>
              <w:pStyle w:val="Table"/>
              <w:rPr>
                <w:noProof/>
              </w:rPr>
            </w:pPr>
            <w:r w:rsidRPr="00972C81">
              <w:rPr>
                <w:noProof/>
              </w:rPr>
              <w:t>Specific parameter values</w:t>
            </w:r>
            <w:r w:rsidR="006F56F9" w:rsidRPr="00972C81">
              <w:rPr>
                <w:noProof/>
                <w:vertAlign w:val="superscript"/>
              </w:rPr>
              <w:t>‡</w:t>
            </w:r>
          </w:p>
        </w:tc>
        <w:tc>
          <w:tcPr>
            <w:tcW w:w="473" w:type="pct"/>
            <w:gridSpan w:val="2"/>
            <w:tcBorders>
              <w:top w:val="single" w:sz="4" w:space="0" w:color="auto"/>
              <w:left w:val="nil"/>
              <w:bottom w:val="nil"/>
              <w:right w:val="nil"/>
            </w:tcBorders>
          </w:tcPr>
          <w:p w14:paraId="5BA4D0BF" w14:textId="77777777" w:rsidR="003A587D" w:rsidRPr="00972C81" w:rsidRDefault="003A587D" w:rsidP="003163D0">
            <w:pPr>
              <w:pStyle w:val="Table"/>
              <w:rPr>
                <w:noProof/>
              </w:rPr>
            </w:pPr>
          </w:p>
        </w:tc>
        <w:tc>
          <w:tcPr>
            <w:tcW w:w="551" w:type="pct"/>
            <w:gridSpan w:val="2"/>
            <w:tcBorders>
              <w:top w:val="single" w:sz="4" w:space="0" w:color="auto"/>
              <w:left w:val="nil"/>
              <w:bottom w:val="nil"/>
              <w:right w:val="nil"/>
            </w:tcBorders>
          </w:tcPr>
          <w:p w14:paraId="5CE90A46" w14:textId="77777777" w:rsidR="003A587D" w:rsidRPr="00972C81" w:rsidRDefault="003A587D" w:rsidP="003163D0">
            <w:pPr>
              <w:pStyle w:val="Table"/>
              <w:rPr>
                <w:noProof/>
              </w:rPr>
            </w:pPr>
          </w:p>
        </w:tc>
        <w:tc>
          <w:tcPr>
            <w:tcW w:w="592" w:type="pct"/>
            <w:gridSpan w:val="2"/>
            <w:tcBorders>
              <w:top w:val="single" w:sz="4" w:space="0" w:color="auto"/>
              <w:left w:val="nil"/>
              <w:bottom w:val="nil"/>
              <w:right w:val="nil"/>
            </w:tcBorders>
          </w:tcPr>
          <w:p w14:paraId="733C05EE" w14:textId="77777777" w:rsidR="003A587D" w:rsidRPr="00972C81" w:rsidRDefault="003A587D" w:rsidP="003163D0">
            <w:pPr>
              <w:pStyle w:val="Table"/>
              <w:rPr>
                <w:noProof/>
              </w:rPr>
            </w:pPr>
          </w:p>
        </w:tc>
        <w:tc>
          <w:tcPr>
            <w:tcW w:w="1100" w:type="pct"/>
            <w:gridSpan w:val="2"/>
            <w:tcBorders>
              <w:top w:val="single" w:sz="4" w:space="0" w:color="auto"/>
              <w:left w:val="nil"/>
              <w:bottom w:val="nil"/>
              <w:right w:val="nil"/>
            </w:tcBorders>
          </w:tcPr>
          <w:p w14:paraId="60BC67E1" w14:textId="77777777" w:rsidR="003A587D" w:rsidRPr="00972C81" w:rsidRDefault="003A587D" w:rsidP="003163D0">
            <w:pPr>
              <w:pStyle w:val="Table"/>
              <w:rPr>
                <w:i/>
                <w:noProof/>
              </w:rPr>
            </w:pPr>
          </w:p>
        </w:tc>
      </w:tr>
      <w:tr w:rsidR="003A587D" w:rsidRPr="00972C81" w14:paraId="157A34F6" w14:textId="77777777" w:rsidTr="003163D0">
        <w:trPr>
          <w:trHeight w:val="397"/>
        </w:trPr>
        <w:tc>
          <w:tcPr>
            <w:tcW w:w="2284" w:type="pct"/>
            <w:gridSpan w:val="5"/>
            <w:tcBorders>
              <w:top w:val="nil"/>
              <w:left w:val="nil"/>
              <w:bottom w:val="nil"/>
              <w:right w:val="nil"/>
            </w:tcBorders>
            <w:hideMark/>
          </w:tcPr>
          <w:p w14:paraId="4E59D416" w14:textId="0F9902F0" w:rsidR="003A587D" w:rsidRPr="00972C81" w:rsidRDefault="003A587D" w:rsidP="003163D0">
            <w:pPr>
              <w:pStyle w:val="Table"/>
              <w:rPr>
                <w:noProof/>
              </w:rPr>
            </w:pPr>
            <w:r w:rsidRPr="00972C81">
              <w:rPr>
                <w:noProof/>
              </w:rPr>
              <w:t>Water soluble forms, including chloride and citrate</w:t>
            </w:r>
            <w:r w:rsidR="006F56F9" w:rsidRPr="00972C81">
              <w:rPr>
                <w:noProof/>
                <w:vertAlign w:val="superscript"/>
              </w:rPr>
              <w:t>§</w:t>
            </w:r>
            <w:r w:rsidRPr="00972C81">
              <w:rPr>
                <w:noProof/>
              </w:rPr>
              <w:t xml:space="preserve"> </w:t>
            </w:r>
          </w:p>
        </w:tc>
        <w:tc>
          <w:tcPr>
            <w:tcW w:w="473" w:type="pct"/>
            <w:gridSpan w:val="2"/>
            <w:tcBorders>
              <w:top w:val="nil"/>
              <w:left w:val="nil"/>
              <w:bottom w:val="nil"/>
              <w:right w:val="nil"/>
            </w:tcBorders>
            <w:hideMark/>
          </w:tcPr>
          <w:p w14:paraId="672A2A47" w14:textId="77777777" w:rsidR="003A587D" w:rsidRPr="00972C81" w:rsidRDefault="003A587D" w:rsidP="003163D0">
            <w:pPr>
              <w:pStyle w:val="Table"/>
              <w:rPr>
                <w:noProof/>
              </w:rPr>
            </w:pPr>
            <w:r w:rsidRPr="00972C81">
              <w:rPr>
                <w:noProof/>
              </w:rPr>
              <w:t>0.5</w:t>
            </w:r>
          </w:p>
        </w:tc>
        <w:tc>
          <w:tcPr>
            <w:tcW w:w="551" w:type="pct"/>
            <w:gridSpan w:val="2"/>
            <w:tcBorders>
              <w:top w:val="nil"/>
              <w:left w:val="nil"/>
              <w:bottom w:val="nil"/>
              <w:right w:val="nil"/>
            </w:tcBorders>
            <w:hideMark/>
          </w:tcPr>
          <w:p w14:paraId="57A4E146" w14:textId="77777777" w:rsidR="003A587D" w:rsidRPr="00972C81" w:rsidRDefault="003A587D" w:rsidP="003163D0">
            <w:pPr>
              <w:pStyle w:val="Table"/>
              <w:rPr>
                <w:noProof/>
              </w:rPr>
            </w:pPr>
            <w:r w:rsidRPr="00972C81">
              <w:rPr>
                <w:noProof/>
              </w:rPr>
              <w:t>1</w:t>
            </w:r>
          </w:p>
        </w:tc>
        <w:tc>
          <w:tcPr>
            <w:tcW w:w="592" w:type="pct"/>
            <w:gridSpan w:val="2"/>
            <w:tcBorders>
              <w:top w:val="nil"/>
              <w:left w:val="nil"/>
              <w:bottom w:val="nil"/>
              <w:right w:val="nil"/>
            </w:tcBorders>
            <w:hideMark/>
          </w:tcPr>
          <w:p w14:paraId="6B632174" w14:textId="77777777" w:rsidR="003A587D" w:rsidRPr="00972C81" w:rsidRDefault="003A587D" w:rsidP="003163D0">
            <w:pPr>
              <w:pStyle w:val="Table"/>
              <w:rPr>
                <w:noProof/>
              </w:rPr>
            </w:pPr>
            <w:r w:rsidRPr="00972C81">
              <w:rPr>
                <w:noProof/>
              </w:rPr>
              <w:t>0.0015</w:t>
            </w:r>
          </w:p>
        </w:tc>
        <w:tc>
          <w:tcPr>
            <w:tcW w:w="1100" w:type="pct"/>
            <w:gridSpan w:val="2"/>
            <w:tcBorders>
              <w:top w:val="nil"/>
              <w:left w:val="nil"/>
              <w:bottom w:val="nil"/>
              <w:right w:val="nil"/>
            </w:tcBorders>
            <w:hideMark/>
          </w:tcPr>
          <w:p w14:paraId="550755FA" w14:textId="7C127392" w:rsidR="003A587D" w:rsidRPr="00972C81" w:rsidRDefault="003A587D" w:rsidP="003163D0">
            <w:pPr>
              <w:pStyle w:val="Table"/>
              <w:rPr>
                <w:noProof/>
              </w:rPr>
            </w:pPr>
            <w:r w:rsidRPr="00972C81">
              <w:rPr>
                <w:noProof/>
              </w:rPr>
              <w:t>3</w:t>
            </w:r>
            <w:r w:rsidR="00067025" w:rsidRPr="00972C81">
              <w:rPr>
                <w:noProof/>
              </w:rPr>
              <w:t xml:space="preserve"> × </w:t>
            </w:r>
            <w:r w:rsidRPr="00972C81">
              <w:rPr>
                <w:noProof/>
              </w:rPr>
              <w:t>10</w:t>
            </w:r>
            <w:r w:rsidRPr="00972C81">
              <w:rPr>
                <w:noProof/>
                <w:vertAlign w:val="superscript"/>
              </w:rPr>
              <w:t>–4</w:t>
            </w:r>
          </w:p>
        </w:tc>
      </w:tr>
      <w:tr w:rsidR="003A587D" w:rsidRPr="00972C81" w14:paraId="2D79388C" w14:textId="77777777" w:rsidTr="003163D0">
        <w:trPr>
          <w:trHeight w:val="397"/>
        </w:trPr>
        <w:tc>
          <w:tcPr>
            <w:tcW w:w="2284" w:type="pct"/>
            <w:gridSpan w:val="5"/>
            <w:tcBorders>
              <w:top w:val="nil"/>
              <w:left w:val="nil"/>
              <w:bottom w:val="nil"/>
              <w:right w:val="nil"/>
            </w:tcBorders>
            <w:hideMark/>
          </w:tcPr>
          <w:p w14:paraId="0C4E6C61" w14:textId="77777777" w:rsidR="003A587D" w:rsidRPr="00972C81" w:rsidRDefault="003A587D" w:rsidP="003163D0">
            <w:pPr>
              <w:pStyle w:val="Table"/>
              <w:rPr>
                <w:noProof/>
              </w:rPr>
            </w:pPr>
            <w:r w:rsidRPr="00972C81">
              <w:rPr>
                <w:noProof/>
              </w:rPr>
              <w:t>Dioxide</w:t>
            </w:r>
          </w:p>
        </w:tc>
        <w:tc>
          <w:tcPr>
            <w:tcW w:w="473" w:type="pct"/>
            <w:gridSpan w:val="2"/>
            <w:tcBorders>
              <w:top w:val="nil"/>
              <w:left w:val="nil"/>
              <w:bottom w:val="nil"/>
              <w:right w:val="nil"/>
            </w:tcBorders>
            <w:hideMark/>
          </w:tcPr>
          <w:p w14:paraId="37A082C1" w14:textId="77777777" w:rsidR="003A587D" w:rsidRPr="00972C81" w:rsidRDefault="003A587D" w:rsidP="003163D0">
            <w:pPr>
              <w:pStyle w:val="Table"/>
              <w:rPr>
                <w:noProof/>
              </w:rPr>
            </w:pPr>
            <w:r w:rsidRPr="00972C81">
              <w:rPr>
                <w:noProof/>
              </w:rPr>
              <w:t>0.001</w:t>
            </w:r>
          </w:p>
        </w:tc>
        <w:tc>
          <w:tcPr>
            <w:tcW w:w="551" w:type="pct"/>
            <w:gridSpan w:val="2"/>
            <w:tcBorders>
              <w:top w:val="nil"/>
              <w:left w:val="nil"/>
              <w:bottom w:val="nil"/>
              <w:right w:val="nil"/>
            </w:tcBorders>
            <w:hideMark/>
          </w:tcPr>
          <w:p w14:paraId="23C504D3" w14:textId="77777777" w:rsidR="003A587D" w:rsidRPr="00972C81" w:rsidRDefault="003A587D" w:rsidP="003163D0">
            <w:pPr>
              <w:pStyle w:val="Table"/>
              <w:rPr>
                <w:noProof/>
              </w:rPr>
            </w:pPr>
            <w:r w:rsidRPr="00972C81">
              <w:rPr>
                <w:noProof/>
              </w:rPr>
              <w:t>1</w:t>
            </w:r>
          </w:p>
        </w:tc>
        <w:tc>
          <w:tcPr>
            <w:tcW w:w="592" w:type="pct"/>
            <w:gridSpan w:val="2"/>
            <w:tcBorders>
              <w:top w:val="nil"/>
              <w:left w:val="nil"/>
              <w:bottom w:val="nil"/>
              <w:right w:val="nil"/>
            </w:tcBorders>
            <w:hideMark/>
          </w:tcPr>
          <w:p w14:paraId="5856DCE8" w14:textId="77777777" w:rsidR="003A587D" w:rsidRPr="00972C81" w:rsidRDefault="003A587D" w:rsidP="003163D0">
            <w:pPr>
              <w:pStyle w:val="Table"/>
              <w:rPr>
                <w:noProof/>
              </w:rPr>
            </w:pPr>
            <w:r w:rsidRPr="00972C81">
              <w:rPr>
                <w:noProof/>
              </w:rPr>
              <w:t>0.001</w:t>
            </w:r>
          </w:p>
        </w:tc>
        <w:tc>
          <w:tcPr>
            <w:tcW w:w="1100" w:type="pct"/>
            <w:gridSpan w:val="2"/>
            <w:tcBorders>
              <w:top w:val="nil"/>
              <w:left w:val="nil"/>
              <w:bottom w:val="nil"/>
              <w:right w:val="nil"/>
            </w:tcBorders>
            <w:hideMark/>
          </w:tcPr>
          <w:p w14:paraId="17658A59" w14:textId="6AE8A5B1" w:rsidR="003A587D" w:rsidRPr="00972C81" w:rsidRDefault="003A587D" w:rsidP="003163D0">
            <w:pPr>
              <w:pStyle w:val="Table"/>
              <w:rPr>
                <w:noProof/>
              </w:rPr>
            </w:pPr>
            <w:r w:rsidRPr="00972C81">
              <w:rPr>
                <w:noProof/>
              </w:rPr>
              <w:t>5</w:t>
            </w:r>
            <w:r w:rsidR="00067025" w:rsidRPr="00972C81">
              <w:rPr>
                <w:noProof/>
              </w:rPr>
              <w:t xml:space="preserve"> × </w:t>
            </w:r>
            <w:r w:rsidRPr="00972C81">
              <w:rPr>
                <w:noProof/>
              </w:rPr>
              <w:t>10</w:t>
            </w:r>
            <w:r w:rsidRPr="00972C81">
              <w:rPr>
                <w:noProof/>
                <w:vertAlign w:val="superscript"/>
              </w:rPr>
              <w:t>–7</w:t>
            </w:r>
          </w:p>
        </w:tc>
      </w:tr>
      <w:tr w:rsidR="003A587D" w:rsidRPr="00972C81" w14:paraId="5F1FED7F" w14:textId="77777777" w:rsidTr="003163D0">
        <w:trPr>
          <w:trHeight w:val="397"/>
        </w:trPr>
        <w:tc>
          <w:tcPr>
            <w:tcW w:w="2284" w:type="pct"/>
            <w:gridSpan w:val="5"/>
            <w:tcBorders>
              <w:top w:val="nil"/>
              <w:left w:val="nil"/>
              <w:bottom w:val="nil"/>
              <w:right w:val="nil"/>
            </w:tcBorders>
            <w:hideMark/>
          </w:tcPr>
          <w:p w14:paraId="1E7B1FE3" w14:textId="21A13B38" w:rsidR="003A587D" w:rsidRPr="00972C81" w:rsidRDefault="003A587D" w:rsidP="00A41AD1">
            <w:pPr>
              <w:pStyle w:val="Table"/>
              <w:rPr>
                <w:noProof/>
              </w:rPr>
            </w:pPr>
            <w:r w:rsidRPr="00972C81">
              <w:rPr>
                <w:noProof/>
              </w:rPr>
              <w:t>Default parameter values</w:t>
            </w:r>
            <w:r w:rsidR="006F56F9" w:rsidRPr="00972C81">
              <w:rPr>
                <w:noProof/>
                <w:vertAlign w:val="superscript"/>
              </w:rPr>
              <w:t>§</w:t>
            </w:r>
          </w:p>
        </w:tc>
        <w:tc>
          <w:tcPr>
            <w:tcW w:w="473" w:type="pct"/>
            <w:gridSpan w:val="2"/>
            <w:tcBorders>
              <w:top w:val="dashed" w:sz="4" w:space="0" w:color="auto"/>
              <w:left w:val="nil"/>
              <w:bottom w:val="nil"/>
              <w:right w:val="nil"/>
            </w:tcBorders>
          </w:tcPr>
          <w:p w14:paraId="748316D0" w14:textId="77777777" w:rsidR="003A587D" w:rsidRPr="00972C81" w:rsidRDefault="003A587D" w:rsidP="00A41AD1">
            <w:pPr>
              <w:pStyle w:val="Table"/>
              <w:rPr>
                <w:noProof/>
              </w:rPr>
            </w:pPr>
          </w:p>
        </w:tc>
        <w:tc>
          <w:tcPr>
            <w:tcW w:w="551" w:type="pct"/>
            <w:gridSpan w:val="2"/>
            <w:tcBorders>
              <w:top w:val="dashed" w:sz="4" w:space="0" w:color="auto"/>
              <w:left w:val="nil"/>
              <w:bottom w:val="nil"/>
              <w:right w:val="nil"/>
            </w:tcBorders>
          </w:tcPr>
          <w:p w14:paraId="640F111D" w14:textId="77777777" w:rsidR="003A587D" w:rsidRPr="00972C81" w:rsidRDefault="003A587D" w:rsidP="00A41AD1">
            <w:pPr>
              <w:pStyle w:val="Table"/>
              <w:rPr>
                <w:noProof/>
              </w:rPr>
            </w:pPr>
          </w:p>
        </w:tc>
        <w:tc>
          <w:tcPr>
            <w:tcW w:w="592" w:type="pct"/>
            <w:gridSpan w:val="2"/>
            <w:tcBorders>
              <w:top w:val="dashed" w:sz="4" w:space="0" w:color="auto"/>
              <w:left w:val="nil"/>
              <w:bottom w:val="nil"/>
              <w:right w:val="nil"/>
            </w:tcBorders>
          </w:tcPr>
          <w:p w14:paraId="31106093" w14:textId="77777777" w:rsidR="003A587D" w:rsidRPr="00972C81" w:rsidRDefault="003A587D" w:rsidP="00A41AD1">
            <w:pPr>
              <w:pStyle w:val="Table"/>
              <w:rPr>
                <w:noProof/>
              </w:rPr>
            </w:pPr>
          </w:p>
        </w:tc>
        <w:tc>
          <w:tcPr>
            <w:tcW w:w="1100" w:type="pct"/>
            <w:gridSpan w:val="2"/>
            <w:tcBorders>
              <w:top w:val="dashed" w:sz="4" w:space="0" w:color="auto"/>
              <w:left w:val="nil"/>
              <w:bottom w:val="nil"/>
              <w:right w:val="nil"/>
            </w:tcBorders>
          </w:tcPr>
          <w:p w14:paraId="5C55B57A" w14:textId="77777777" w:rsidR="003A587D" w:rsidRPr="00972C81" w:rsidRDefault="003A587D" w:rsidP="00A41AD1">
            <w:pPr>
              <w:pStyle w:val="Table"/>
              <w:rPr>
                <w:i/>
                <w:noProof/>
              </w:rPr>
            </w:pPr>
          </w:p>
        </w:tc>
      </w:tr>
      <w:tr w:rsidR="003A587D" w:rsidRPr="00972C81" w14:paraId="1A9AC52A" w14:textId="77777777" w:rsidTr="003163D0">
        <w:trPr>
          <w:trHeight w:val="397"/>
        </w:trPr>
        <w:tc>
          <w:tcPr>
            <w:tcW w:w="1142" w:type="pct"/>
            <w:gridSpan w:val="3"/>
            <w:tcBorders>
              <w:top w:val="nil"/>
              <w:left w:val="nil"/>
              <w:bottom w:val="nil"/>
              <w:right w:val="nil"/>
            </w:tcBorders>
            <w:hideMark/>
          </w:tcPr>
          <w:p w14:paraId="66E71BB8" w14:textId="77777777" w:rsidR="003A587D" w:rsidRPr="00972C81" w:rsidRDefault="003A587D" w:rsidP="003163D0">
            <w:pPr>
              <w:pStyle w:val="Table"/>
              <w:rPr>
                <w:noProof/>
              </w:rPr>
            </w:pPr>
            <w:r w:rsidRPr="00972C81">
              <w:rPr>
                <w:noProof/>
              </w:rPr>
              <w:t>Absorption Type</w:t>
            </w:r>
          </w:p>
        </w:tc>
        <w:tc>
          <w:tcPr>
            <w:tcW w:w="1142" w:type="pct"/>
            <w:gridSpan w:val="2"/>
            <w:tcBorders>
              <w:top w:val="nil"/>
              <w:left w:val="nil"/>
              <w:bottom w:val="nil"/>
              <w:right w:val="nil"/>
            </w:tcBorders>
            <w:hideMark/>
          </w:tcPr>
          <w:p w14:paraId="4B1F41FA" w14:textId="77777777" w:rsidR="003A587D" w:rsidRPr="00972C81" w:rsidRDefault="003A587D" w:rsidP="003163D0">
            <w:pPr>
              <w:pStyle w:val="Table"/>
              <w:rPr>
                <w:noProof/>
              </w:rPr>
            </w:pPr>
            <w:r w:rsidRPr="00972C81">
              <w:rPr>
                <w:noProof/>
              </w:rPr>
              <w:t>Assigned forms</w:t>
            </w:r>
          </w:p>
        </w:tc>
        <w:tc>
          <w:tcPr>
            <w:tcW w:w="473" w:type="pct"/>
            <w:gridSpan w:val="2"/>
            <w:tcBorders>
              <w:top w:val="nil"/>
              <w:left w:val="nil"/>
              <w:bottom w:val="nil"/>
              <w:right w:val="nil"/>
            </w:tcBorders>
          </w:tcPr>
          <w:p w14:paraId="0932EF63" w14:textId="77777777" w:rsidR="003A587D" w:rsidRPr="00972C81" w:rsidRDefault="003A587D" w:rsidP="003163D0">
            <w:pPr>
              <w:pStyle w:val="Table"/>
              <w:rPr>
                <w:noProof/>
              </w:rPr>
            </w:pPr>
          </w:p>
        </w:tc>
        <w:tc>
          <w:tcPr>
            <w:tcW w:w="551" w:type="pct"/>
            <w:gridSpan w:val="2"/>
            <w:tcBorders>
              <w:top w:val="nil"/>
              <w:left w:val="nil"/>
              <w:bottom w:val="nil"/>
              <w:right w:val="nil"/>
            </w:tcBorders>
          </w:tcPr>
          <w:p w14:paraId="02165B19" w14:textId="77777777" w:rsidR="003A587D" w:rsidRPr="00972C81" w:rsidRDefault="003A587D" w:rsidP="003163D0">
            <w:pPr>
              <w:pStyle w:val="Table"/>
              <w:rPr>
                <w:noProof/>
              </w:rPr>
            </w:pPr>
          </w:p>
        </w:tc>
        <w:tc>
          <w:tcPr>
            <w:tcW w:w="592" w:type="pct"/>
            <w:gridSpan w:val="2"/>
            <w:tcBorders>
              <w:top w:val="nil"/>
              <w:left w:val="nil"/>
              <w:bottom w:val="nil"/>
              <w:right w:val="nil"/>
            </w:tcBorders>
          </w:tcPr>
          <w:p w14:paraId="2EB16F0D" w14:textId="77777777" w:rsidR="003A587D" w:rsidRPr="00972C81" w:rsidRDefault="003A587D" w:rsidP="003163D0">
            <w:pPr>
              <w:pStyle w:val="Table"/>
              <w:rPr>
                <w:noProof/>
              </w:rPr>
            </w:pPr>
          </w:p>
        </w:tc>
        <w:tc>
          <w:tcPr>
            <w:tcW w:w="1100" w:type="pct"/>
            <w:gridSpan w:val="2"/>
            <w:tcBorders>
              <w:top w:val="nil"/>
              <w:left w:val="nil"/>
              <w:bottom w:val="nil"/>
              <w:right w:val="nil"/>
            </w:tcBorders>
          </w:tcPr>
          <w:p w14:paraId="67FE1C91" w14:textId="77777777" w:rsidR="003A587D" w:rsidRPr="00972C81" w:rsidRDefault="003A587D" w:rsidP="003163D0">
            <w:pPr>
              <w:pStyle w:val="Table"/>
              <w:rPr>
                <w:noProof/>
              </w:rPr>
            </w:pPr>
          </w:p>
        </w:tc>
      </w:tr>
      <w:tr w:rsidR="003A587D" w:rsidRPr="00972C81" w14:paraId="4C1CFF5B" w14:textId="77777777" w:rsidTr="003163D0">
        <w:trPr>
          <w:trHeight w:val="397"/>
        </w:trPr>
        <w:tc>
          <w:tcPr>
            <w:tcW w:w="1142" w:type="pct"/>
            <w:gridSpan w:val="3"/>
            <w:tcBorders>
              <w:top w:val="nil"/>
              <w:left w:val="nil"/>
              <w:bottom w:val="nil"/>
              <w:right w:val="nil"/>
            </w:tcBorders>
            <w:hideMark/>
          </w:tcPr>
          <w:p w14:paraId="3E8A919B" w14:textId="77777777" w:rsidR="003A587D" w:rsidRPr="00972C81" w:rsidRDefault="003A587D" w:rsidP="003163D0">
            <w:pPr>
              <w:pStyle w:val="Table"/>
              <w:rPr>
                <w:noProof/>
              </w:rPr>
            </w:pPr>
            <w:r w:rsidRPr="00972C81">
              <w:rPr>
                <w:noProof/>
              </w:rPr>
              <w:t>F</w:t>
            </w:r>
          </w:p>
        </w:tc>
        <w:tc>
          <w:tcPr>
            <w:tcW w:w="1142" w:type="pct"/>
            <w:gridSpan w:val="2"/>
            <w:tcBorders>
              <w:top w:val="nil"/>
              <w:left w:val="nil"/>
              <w:bottom w:val="nil"/>
              <w:right w:val="nil"/>
            </w:tcBorders>
            <w:hideMark/>
          </w:tcPr>
          <w:p w14:paraId="6500CDBC" w14:textId="416997C1" w:rsidR="003A587D" w:rsidRPr="00972C81" w:rsidRDefault="003A587D" w:rsidP="003163D0">
            <w:pPr>
              <w:pStyle w:val="Table"/>
              <w:rPr>
                <w:noProof/>
              </w:rPr>
            </w:pPr>
            <w:r w:rsidRPr="00972C81">
              <w:rPr>
                <w:noProof/>
              </w:rPr>
              <w:t>NB: Type F should not be assumed without evidence</w:t>
            </w:r>
          </w:p>
        </w:tc>
        <w:tc>
          <w:tcPr>
            <w:tcW w:w="473" w:type="pct"/>
            <w:gridSpan w:val="2"/>
            <w:tcBorders>
              <w:top w:val="nil"/>
              <w:left w:val="nil"/>
              <w:bottom w:val="nil"/>
              <w:right w:val="nil"/>
            </w:tcBorders>
            <w:hideMark/>
          </w:tcPr>
          <w:p w14:paraId="6AE18ABF" w14:textId="77777777" w:rsidR="003A587D" w:rsidRPr="00972C81" w:rsidRDefault="003A587D" w:rsidP="003163D0">
            <w:pPr>
              <w:pStyle w:val="Table"/>
              <w:rPr>
                <w:noProof/>
              </w:rPr>
            </w:pPr>
            <w:r w:rsidRPr="00972C81">
              <w:rPr>
                <w:noProof/>
              </w:rPr>
              <w:t>1</w:t>
            </w:r>
          </w:p>
        </w:tc>
        <w:tc>
          <w:tcPr>
            <w:tcW w:w="551" w:type="pct"/>
            <w:gridSpan w:val="2"/>
            <w:tcBorders>
              <w:top w:val="nil"/>
              <w:left w:val="nil"/>
              <w:bottom w:val="nil"/>
              <w:right w:val="nil"/>
            </w:tcBorders>
            <w:hideMark/>
          </w:tcPr>
          <w:p w14:paraId="6994BF57" w14:textId="77777777" w:rsidR="003A587D" w:rsidRPr="00972C81" w:rsidRDefault="003A587D" w:rsidP="003163D0">
            <w:pPr>
              <w:pStyle w:val="Table"/>
              <w:rPr>
                <w:noProof/>
              </w:rPr>
            </w:pPr>
            <w:r w:rsidRPr="00972C81">
              <w:rPr>
                <w:noProof/>
              </w:rPr>
              <w:t>1</w:t>
            </w:r>
          </w:p>
        </w:tc>
        <w:tc>
          <w:tcPr>
            <w:tcW w:w="592" w:type="pct"/>
            <w:gridSpan w:val="2"/>
            <w:tcBorders>
              <w:top w:val="nil"/>
              <w:left w:val="nil"/>
              <w:bottom w:val="nil"/>
              <w:right w:val="nil"/>
            </w:tcBorders>
            <w:hideMark/>
          </w:tcPr>
          <w:p w14:paraId="0A7D537C" w14:textId="77777777" w:rsidR="003A587D" w:rsidRPr="00972C81" w:rsidRDefault="003A587D" w:rsidP="003163D0">
            <w:pPr>
              <w:pStyle w:val="Table"/>
              <w:rPr>
                <w:noProof/>
              </w:rPr>
            </w:pPr>
            <w:r w:rsidRPr="00972C81">
              <w:rPr>
                <w:noProof/>
              </w:rPr>
              <w:t>–</w:t>
            </w:r>
          </w:p>
        </w:tc>
        <w:tc>
          <w:tcPr>
            <w:tcW w:w="1100" w:type="pct"/>
            <w:gridSpan w:val="2"/>
            <w:tcBorders>
              <w:top w:val="nil"/>
              <w:left w:val="nil"/>
              <w:bottom w:val="nil"/>
              <w:right w:val="nil"/>
            </w:tcBorders>
            <w:hideMark/>
          </w:tcPr>
          <w:p w14:paraId="04F87E96" w14:textId="0AEF9ABD" w:rsidR="003A587D" w:rsidRPr="00972C81" w:rsidRDefault="003A587D" w:rsidP="003163D0">
            <w:pPr>
              <w:pStyle w:val="Table"/>
              <w:rPr>
                <w:noProof/>
              </w:rPr>
            </w:pPr>
            <w:r w:rsidRPr="00972C81">
              <w:rPr>
                <w:noProof/>
              </w:rPr>
              <w:t>5</w:t>
            </w:r>
            <w:r w:rsidR="00067025" w:rsidRPr="00972C81">
              <w:rPr>
                <w:noProof/>
              </w:rPr>
              <w:t xml:space="preserve"> × </w:t>
            </w:r>
            <w:r w:rsidRPr="00972C81">
              <w:rPr>
                <w:noProof/>
              </w:rPr>
              <w:t>10</w:t>
            </w:r>
            <w:r w:rsidRPr="00972C81">
              <w:rPr>
                <w:noProof/>
                <w:vertAlign w:val="superscript"/>
              </w:rPr>
              <w:t>–4</w:t>
            </w:r>
          </w:p>
        </w:tc>
      </w:tr>
      <w:tr w:rsidR="003A587D" w:rsidRPr="00972C81" w14:paraId="4CE86510" w14:textId="77777777" w:rsidTr="003163D0">
        <w:trPr>
          <w:trHeight w:val="397"/>
        </w:trPr>
        <w:tc>
          <w:tcPr>
            <w:tcW w:w="1142" w:type="pct"/>
            <w:gridSpan w:val="3"/>
            <w:tcBorders>
              <w:top w:val="nil"/>
              <w:left w:val="nil"/>
              <w:bottom w:val="nil"/>
              <w:right w:val="nil"/>
            </w:tcBorders>
            <w:hideMark/>
          </w:tcPr>
          <w:p w14:paraId="0F7D2F1D" w14:textId="6F05BB86" w:rsidR="003A587D" w:rsidRPr="00972C81" w:rsidRDefault="003A587D" w:rsidP="003163D0">
            <w:pPr>
              <w:pStyle w:val="Table"/>
              <w:rPr>
                <w:noProof/>
              </w:rPr>
            </w:pPr>
            <w:r w:rsidRPr="00972C81">
              <w:rPr>
                <w:noProof/>
              </w:rPr>
              <w:t>M</w:t>
            </w:r>
            <w:r w:rsidR="006F56F9" w:rsidRPr="00972C81">
              <w:rPr>
                <w:noProof/>
                <w:vertAlign w:val="superscript"/>
              </w:rPr>
              <w:t>¶</w:t>
            </w:r>
          </w:p>
        </w:tc>
        <w:tc>
          <w:tcPr>
            <w:tcW w:w="1142" w:type="pct"/>
            <w:gridSpan w:val="2"/>
            <w:tcBorders>
              <w:top w:val="nil"/>
              <w:left w:val="nil"/>
              <w:bottom w:val="nil"/>
              <w:right w:val="nil"/>
            </w:tcBorders>
            <w:hideMark/>
          </w:tcPr>
          <w:p w14:paraId="508511F9" w14:textId="49F7FF89" w:rsidR="003A587D" w:rsidRPr="00972C81" w:rsidRDefault="003A587D" w:rsidP="003163D0">
            <w:pPr>
              <w:pStyle w:val="Table"/>
              <w:rPr>
                <w:noProof/>
                <w:vertAlign w:val="superscript"/>
              </w:rPr>
            </w:pPr>
          </w:p>
        </w:tc>
        <w:tc>
          <w:tcPr>
            <w:tcW w:w="473" w:type="pct"/>
            <w:gridSpan w:val="2"/>
            <w:tcBorders>
              <w:top w:val="nil"/>
              <w:left w:val="nil"/>
              <w:bottom w:val="nil"/>
              <w:right w:val="nil"/>
            </w:tcBorders>
            <w:hideMark/>
          </w:tcPr>
          <w:p w14:paraId="1C0F5E44" w14:textId="77777777" w:rsidR="003A587D" w:rsidRPr="00972C81" w:rsidRDefault="003A587D" w:rsidP="003163D0">
            <w:pPr>
              <w:pStyle w:val="Table"/>
              <w:rPr>
                <w:noProof/>
              </w:rPr>
            </w:pPr>
            <w:r w:rsidRPr="00972C81">
              <w:rPr>
                <w:noProof/>
              </w:rPr>
              <w:t>0.2</w:t>
            </w:r>
          </w:p>
        </w:tc>
        <w:tc>
          <w:tcPr>
            <w:tcW w:w="551" w:type="pct"/>
            <w:gridSpan w:val="2"/>
            <w:tcBorders>
              <w:top w:val="nil"/>
              <w:left w:val="nil"/>
              <w:bottom w:val="nil"/>
              <w:right w:val="nil"/>
            </w:tcBorders>
            <w:hideMark/>
          </w:tcPr>
          <w:p w14:paraId="14A02442" w14:textId="77777777" w:rsidR="003A587D" w:rsidRPr="00972C81" w:rsidRDefault="003A587D" w:rsidP="003163D0">
            <w:pPr>
              <w:pStyle w:val="Table"/>
              <w:rPr>
                <w:noProof/>
              </w:rPr>
            </w:pPr>
            <w:r w:rsidRPr="00972C81">
              <w:rPr>
                <w:noProof/>
              </w:rPr>
              <w:t>1</w:t>
            </w:r>
          </w:p>
        </w:tc>
        <w:tc>
          <w:tcPr>
            <w:tcW w:w="592" w:type="pct"/>
            <w:gridSpan w:val="2"/>
            <w:tcBorders>
              <w:top w:val="nil"/>
              <w:left w:val="nil"/>
              <w:bottom w:val="nil"/>
              <w:right w:val="nil"/>
            </w:tcBorders>
            <w:hideMark/>
          </w:tcPr>
          <w:p w14:paraId="5E9BAB60" w14:textId="77777777" w:rsidR="003A587D" w:rsidRPr="00972C81" w:rsidRDefault="003A587D" w:rsidP="003163D0">
            <w:pPr>
              <w:pStyle w:val="Table"/>
              <w:rPr>
                <w:noProof/>
              </w:rPr>
            </w:pPr>
            <w:r w:rsidRPr="00972C81">
              <w:rPr>
                <w:noProof/>
              </w:rPr>
              <w:t>0.005</w:t>
            </w:r>
          </w:p>
        </w:tc>
        <w:tc>
          <w:tcPr>
            <w:tcW w:w="1100" w:type="pct"/>
            <w:gridSpan w:val="2"/>
            <w:tcBorders>
              <w:top w:val="nil"/>
              <w:left w:val="nil"/>
              <w:bottom w:val="nil"/>
              <w:right w:val="nil"/>
            </w:tcBorders>
            <w:hideMark/>
          </w:tcPr>
          <w:p w14:paraId="150A72F2" w14:textId="4A130E59" w:rsidR="003A587D" w:rsidRPr="00972C81" w:rsidRDefault="003A587D" w:rsidP="003163D0">
            <w:pPr>
              <w:pStyle w:val="Table"/>
              <w:rPr>
                <w:noProof/>
              </w:rPr>
            </w:pPr>
            <w:r w:rsidRPr="00972C81">
              <w:rPr>
                <w:noProof/>
              </w:rPr>
              <w:t>1</w:t>
            </w:r>
            <w:r w:rsidR="00067025" w:rsidRPr="00972C81">
              <w:rPr>
                <w:noProof/>
              </w:rPr>
              <w:t xml:space="preserve"> × </w:t>
            </w:r>
            <w:r w:rsidRPr="00972C81">
              <w:rPr>
                <w:noProof/>
              </w:rPr>
              <w:t>10</w:t>
            </w:r>
            <w:r w:rsidRPr="00972C81">
              <w:rPr>
                <w:noProof/>
                <w:vertAlign w:val="superscript"/>
              </w:rPr>
              <w:t>–4</w:t>
            </w:r>
          </w:p>
        </w:tc>
      </w:tr>
      <w:tr w:rsidR="003A587D" w:rsidRPr="00972C81" w14:paraId="496CB2E0" w14:textId="77777777" w:rsidTr="003163D0">
        <w:trPr>
          <w:trHeight w:val="397"/>
        </w:trPr>
        <w:tc>
          <w:tcPr>
            <w:tcW w:w="1142" w:type="pct"/>
            <w:gridSpan w:val="3"/>
            <w:tcBorders>
              <w:top w:val="nil"/>
              <w:left w:val="nil"/>
              <w:bottom w:val="single" w:sz="4" w:space="0" w:color="auto"/>
              <w:right w:val="nil"/>
            </w:tcBorders>
            <w:hideMark/>
          </w:tcPr>
          <w:p w14:paraId="0A79E4AB" w14:textId="77777777" w:rsidR="003A587D" w:rsidRPr="00972C81" w:rsidRDefault="003A587D" w:rsidP="003163D0">
            <w:pPr>
              <w:pStyle w:val="Table"/>
              <w:rPr>
                <w:noProof/>
              </w:rPr>
            </w:pPr>
            <w:r w:rsidRPr="00972C81">
              <w:rPr>
                <w:noProof/>
              </w:rPr>
              <w:t>S</w:t>
            </w:r>
          </w:p>
        </w:tc>
        <w:tc>
          <w:tcPr>
            <w:tcW w:w="1142" w:type="pct"/>
            <w:gridSpan w:val="2"/>
            <w:tcBorders>
              <w:top w:val="nil"/>
              <w:left w:val="nil"/>
              <w:bottom w:val="single" w:sz="4" w:space="0" w:color="auto"/>
              <w:right w:val="nil"/>
            </w:tcBorders>
            <w:hideMark/>
          </w:tcPr>
          <w:p w14:paraId="01461D09" w14:textId="581A5588" w:rsidR="003A587D" w:rsidRPr="00972C81" w:rsidRDefault="003A587D" w:rsidP="003163D0">
            <w:pPr>
              <w:pStyle w:val="Table"/>
              <w:rPr>
                <w:noProof/>
              </w:rPr>
            </w:pPr>
          </w:p>
        </w:tc>
        <w:tc>
          <w:tcPr>
            <w:tcW w:w="473" w:type="pct"/>
            <w:gridSpan w:val="2"/>
            <w:tcBorders>
              <w:top w:val="nil"/>
              <w:left w:val="nil"/>
              <w:bottom w:val="single" w:sz="4" w:space="0" w:color="auto"/>
              <w:right w:val="nil"/>
            </w:tcBorders>
            <w:hideMark/>
          </w:tcPr>
          <w:p w14:paraId="79D49C7C" w14:textId="77777777" w:rsidR="003A587D" w:rsidRPr="00972C81" w:rsidRDefault="003A587D" w:rsidP="003163D0">
            <w:pPr>
              <w:pStyle w:val="Table"/>
              <w:rPr>
                <w:noProof/>
              </w:rPr>
            </w:pPr>
            <w:r w:rsidRPr="00972C81">
              <w:rPr>
                <w:noProof/>
              </w:rPr>
              <w:t>0.01</w:t>
            </w:r>
          </w:p>
        </w:tc>
        <w:tc>
          <w:tcPr>
            <w:tcW w:w="551" w:type="pct"/>
            <w:gridSpan w:val="2"/>
            <w:tcBorders>
              <w:top w:val="nil"/>
              <w:left w:val="nil"/>
              <w:bottom w:val="single" w:sz="4" w:space="0" w:color="auto"/>
              <w:right w:val="nil"/>
            </w:tcBorders>
            <w:hideMark/>
          </w:tcPr>
          <w:p w14:paraId="6C84466B" w14:textId="77777777" w:rsidR="003A587D" w:rsidRPr="00972C81" w:rsidRDefault="003A587D" w:rsidP="003163D0">
            <w:pPr>
              <w:pStyle w:val="Table"/>
              <w:rPr>
                <w:noProof/>
              </w:rPr>
            </w:pPr>
            <w:r w:rsidRPr="00972C81">
              <w:rPr>
                <w:noProof/>
              </w:rPr>
              <w:t>1</w:t>
            </w:r>
          </w:p>
        </w:tc>
        <w:tc>
          <w:tcPr>
            <w:tcW w:w="592" w:type="pct"/>
            <w:gridSpan w:val="2"/>
            <w:tcBorders>
              <w:top w:val="nil"/>
              <w:left w:val="nil"/>
              <w:bottom w:val="single" w:sz="4" w:space="0" w:color="auto"/>
              <w:right w:val="nil"/>
            </w:tcBorders>
            <w:hideMark/>
          </w:tcPr>
          <w:p w14:paraId="298E688A" w14:textId="05501D26" w:rsidR="003A587D" w:rsidRPr="00972C81" w:rsidRDefault="003A587D" w:rsidP="003163D0">
            <w:pPr>
              <w:pStyle w:val="Table"/>
              <w:rPr>
                <w:noProof/>
              </w:rPr>
            </w:pPr>
            <w:r w:rsidRPr="00972C81">
              <w:rPr>
                <w:noProof/>
              </w:rPr>
              <w:t>1</w:t>
            </w:r>
            <w:r w:rsidR="00067025" w:rsidRPr="00972C81">
              <w:rPr>
                <w:noProof/>
              </w:rPr>
              <w:t xml:space="preserve"> × </w:t>
            </w:r>
            <w:r w:rsidRPr="00972C81">
              <w:rPr>
                <w:noProof/>
              </w:rPr>
              <w:t>10</w:t>
            </w:r>
            <w:r w:rsidRPr="00972C81">
              <w:rPr>
                <w:noProof/>
                <w:vertAlign w:val="superscript"/>
              </w:rPr>
              <w:t>–4</w:t>
            </w:r>
          </w:p>
        </w:tc>
        <w:tc>
          <w:tcPr>
            <w:tcW w:w="1100" w:type="pct"/>
            <w:gridSpan w:val="2"/>
            <w:tcBorders>
              <w:top w:val="nil"/>
              <w:left w:val="nil"/>
              <w:bottom w:val="single" w:sz="4" w:space="0" w:color="auto"/>
              <w:right w:val="nil"/>
            </w:tcBorders>
            <w:hideMark/>
          </w:tcPr>
          <w:p w14:paraId="574D3EBD" w14:textId="6D7AED01" w:rsidR="003A587D" w:rsidRPr="00972C81" w:rsidRDefault="003A587D" w:rsidP="003163D0">
            <w:pPr>
              <w:pStyle w:val="Table"/>
              <w:rPr>
                <w:noProof/>
              </w:rPr>
            </w:pPr>
            <w:r w:rsidRPr="00972C81">
              <w:rPr>
                <w:noProof/>
              </w:rPr>
              <w:t>5</w:t>
            </w:r>
            <w:r w:rsidR="00067025" w:rsidRPr="00972C81">
              <w:rPr>
                <w:noProof/>
              </w:rPr>
              <w:t xml:space="preserve"> × </w:t>
            </w:r>
            <w:r w:rsidRPr="00972C81">
              <w:rPr>
                <w:noProof/>
              </w:rPr>
              <w:t>10</w:t>
            </w:r>
            <w:r w:rsidRPr="00972C81">
              <w:rPr>
                <w:noProof/>
                <w:vertAlign w:val="superscript"/>
              </w:rPr>
              <w:t>–6</w:t>
            </w:r>
          </w:p>
        </w:tc>
      </w:tr>
      <w:tr w:rsidR="00E62423" w:rsidRPr="00972C81" w14:paraId="00D8D6B3" w14:textId="77777777" w:rsidTr="003163D0">
        <w:trPr>
          <w:trHeight w:val="397"/>
        </w:trPr>
        <w:tc>
          <w:tcPr>
            <w:tcW w:w="857" w:type="pct"/>
            <w:tcBorders>
              <w:top w:val="single" w:sz="4" w:space="0" w:color="auto"/>
              <w:left w:val="nil"/>
              <w:bottom w:val="nil"/>
              <w:right w:val="nil"/>
            </w:tcBorders>
          </w:tcPr>
          <w:p w14:paraId="70CA58B3" w14:textId="77777777" w:rsidR="00E62423" w:rsidRPr="00972C81" w:rsidRDefault="00E62423" w:rsidP="00A41AD1">
            <w:pPr>
              <w:pStyle w:val="Table"/>
              <w:rPr>
                <w:noProof/>
              </w:rPr>
            </w:pPr>
          </w:p>
        </w:tc>
        <w:tc>
          <w:tcPr>
            <w:tcW w:w="1427" w:type="pct"/>
            <w:gridSpan w:val="4"/>
            <w:tcBorders>
              <w:top w:val="single" w:sz="4" w:space="0" w:color="auto"/>
              <w:left w:val="nil"/>
              <w:bottom w:val="nil"/>
              <w:right w:val="nil"/>
            </w:tcBorders>
          </w:tcPr>
          <w:p w14:paraId="1DB9CD68" w14:textId="77777777" w:rsidR="00E62423" w:rsidRPr="00972C81" w:rsidRDefault="00E62423" w:rsidP="00A41AD1">
            <w:pPr>
              <w:pStyle w:val="Table"/>
              <w:rPr>
                <w:noProof/>
              </w:rPr>
            </w:pPr>
          </w:p>
        </w:tc>
        <w:tc>
          <w:tcPr>
            <w:tcW w:w="473" w:type="pct"/>
            <w:gridSpan w:val="2"/>
            <w:tcBorders>
              <w:top w:val="single" w:sz="4" w:space="0" w:color="auto"/>
              <w:left w:val="nil"/>
              <w:bottom w:val="nil"/>
              <w:right w:val="nil"/>
            </w:tcBorders>
          </w:tcPr>
          <w:p w14:paraId="7C09C45A" w14:textId="77777777" w:rsidR="00E62423" w:rsidRPr="00972C81" w:rsidRDefault="00E62423" w:rsidP="00A41AD1">
            <w:pPr>
              <w:pStyle w:val="Table"/>
              <w:rPr>
                <w:noProof/>
              </w:rPr>
            </w:pPr>
          </w:p>
        </w:tc>
        <w:tc>
          <w:tcPr>
            <w:tcW w:w="551" w:type="pct"/>
            <w:gridSpan w:val="2"/>
            <w:tcBorders>
              <w:top w:val="single" w:sz="4" w:space="0" w:color="auto"/>
              <w:left w:val="nil"/>
              <w:bottom w:val="nil"/>
              <w:right w:val="nil"/>
            </w:tcBorders>
          </w:tcPr>
          <w:p w14:paraId="1DBEAC08" w14:textId="77777777" w:rsidR="00E62423" w:rsidRPr="00972C81" w:rsidRDefault="00E62423" w:rsidP="00A41AD1">
            <w:pPr>
              <w:pStyle w:val="Table"/>
              <w:rPr>
                <w:noProof/>
              </w:rPr>
            </w:pPr>
          </w:p>
        </w:tc>
        <w:tc>
          <w:tcPr>
            <w:tcW w:w="592" w:type="pct"/>
            <w:gridSpan w:val="2"/>
            <w:tcBorders>
              <w:top w:val="single" w:sz="4" w:space="0" w:color="auto"/>
              <w:left w:val="nil"/>
              <w:bottom w:val="nil"/>
              <w:right w:val="nil"/>
            </w:tcBorders>
          </w:tcPr>
          <w:p w14:paraId="36DA61C9" w14:textId="77777777" w:rsidR="00E62423" w:rsidRPr="00972C81" w:rsidRDefault="00E62423" w:rsidP="00A41AD1">
            <w:pPr>
              <w:pStyle w:val="Table"/>
              <w:rPr>
                <w:noProof/>
              </w:rPr>
            </w:pPr>
          </w:p>
        </w:tc>
        <w:tc>
          <w:tcPr>
            <w:tcW w:w="1100" w:type="pct"/>
            <w:gridSpan w:val="2"/>
            <w:tcBorders>
              <w:top w:val="single" w:sz="4" w:space="0" w:color="auto"/>
              <w:left w:val="nil"/>
              <w:bottom w:val="nil"/>
              <w:right w:val="nil"/>
            </w:tcBorders>
          </w:tcPr>
          <w:p w14:paraId="72E61C4E" w14:textId="77777777" w:rsidR="00E62423" w:rsidRPr="00972C81" w:rsidRDefault="00E62423" w:rsidP="00A41AD1">
            <w:pPr>
              <w:pStyle w:val="Table"/>
              <w:rPr>
                <w:noProof/>
              </w:rPr>
            </w:pPr>
          </w:p>
        </w:tc>
      </w:tr>
      <w:tr w:rsidR="003A587D" w:rsidRPr="00972C81" w14:paraId="4C603798" w14:textId="77777777" w:rsidTr="003163D0">
        <w:trPr>
          <w:trHeight w:val="397"/>
        </w:trPr>
        <w:tc>
          <w:tcPr>
            <w:tcW w:w="2284" w:type="pct"/>
            <w:gridSpan w:val="5"/>
            <w:tcBorders>
              <w:top w:val="nil"/>
              <w:left w:val="nil"/>
              <w:bottom w:val="single" w:sz="4" w:space="0" w:color="auto"/>
              <w:right w:val="nil"/>
            </w:tcBorders>
            <w:hideMark/>
          </w:tcPr>
          <w:p w14:paraId="6A170986" w14:textId="6A4FC356" w:rsidR="003A587D" w:rsidRPr="00972C81" w:rsidRDefault="003A587D" w:rsidP="00A41AD1">
            <w:pPr>
              <w:pStyle w:val="Table"/>
              <w:rPr>
                <w:noProof/>
              </w:rPr>
            </w:pPr>
            <w:r w:rsidRPr="00972C81">
              <w:rPr>
                <w:noProof/>
              </w:rPr>
              <w:t>Ingested material</w:t>
            </w:r>
            <w:r w:rsidR="006F56F9" w:rsidRPr="00972C81">
              <w:rPr>
                <w:noProof/>
                <w:vertAlign w:val="superscript"/>
              </w:rPr>
              <w:t>**</w:t>
            </w:r>
          </w:p>
        </w:tc>
        <w:tc>
          <w:tcPr>
            <w:tcW w:w="473" w:type="pct"/>
            <w:gridSpan w:val="2"/>
            <w:tcBorders>
              <w:top w:val="nil"/>
              <w:left w:val="nil"/>
              <w:bottom w:val="single" w:sz="4" w:space="0" w:color="auto"/>
              <w:right w:val="nil"/>
            </w:tcBorders>
          </w:tcPr>
          <w:p w14:paraId="10D544D5" w14:textId="77777777" w:rsidR="003A587D" w:rsidRPr="00972C81" w:rsidRDefault="003A587D" w:rsidP="00A41AD1">
            <w:pPr>
              <w:pStyle w:val="Table"/>
              <w:rPr>
                <w:b/>
                <w:noProof/>
              </w:rPr>
            </w:pPr>
          </w:p>
        </w:tc>
        <w:tc>
          <w:tcPr>
            <w:tcW w:w="551" w:type="pct"/>
            <w:gridSpan w:val="2"/>
            <w:tcBorders>
              <w:top w:val="nil"/>
              <w:left w:val="nil"/>
              <w:bottom w:val="single" w:sz="4" w:space="0" w:color="auto"/>
              <w:right w:val="nil"/>
            </w:tcBorders>
          </w:tcPr>
          <w:p w14:paraId="60BE491D" w14:textId="77777777" w:rsidR="003A587D" w:rsidRPr="00972C81" w:rsidRDefault="003A587D" w:rsidP="00A41AD1">
            <w:pPr>
              <w:pStyle w:val="Table"/>
              <w:rPr>
                <w:b/>
                <w:noProof/>
              </w:rPr>
            </w:pPr>
          </w:p>
        </w:tc>
        <w:tc>
          <w:tcPr>
            <w:tcW w:w="592" w:type="pct"/>
            <w:gridSpan w:val="2"/>
            <w:tcBorders>
              <w:top w:val="nil"/>
              <w:left w:val="nil"/>
              <w:bottom w:val="single" w:sz="4" w:space="0" w:color="auto"/>
              <w:right w:val="nil"/>
            </w:tcBorders>
          </w:tcPr>
          <w:p w14:paraId="7F07BE0A" w14:textId="77777777" w:rsidR="003A587D" w:rsidRPr="00972C81" w:rsidRDefault="003A587D" w:rsidP="00A41AD1">
            <w:pPr>
              <w:pStyle w:val="Table"/>
              <w:rPr>
                <w:b/>
                <w:noProof/>
              </w:rPr>
            </w:pPr>
          </w:p>
        </w:tc>
        <w:tc>
          <w:tcPr>
            <w:tcW w:w="1100" w:type="pct"/>
            <w:gridSpan w:val="2"/>
            <w:tcBorders>
              <w:top w:val="nil"/>
              <w:left w:val="nil"/>
              <w:bottom w:val="single" w:sz="4" w:space="0" w:color="auto"/>
              <w:right w:val="nil"/>
            </w:tcBorders>
          </w:tcPr>
          <w:p w14:paraId="67128409" w14:textId="77777777" w:rsidR="003A587D" w:rsidRPr="00972C81" w:rsidRDefault="003A587D" w:rsidP="00A41AD1">
            <w:pPr>
              <w:pStyle w:val="Table"/>
              <w:rPr>
                <w:b/>
                <w:noProof/>
              </w:rPr>
            </w:pPr>
          </w:p>
        </w:tc>
      </w:tr>
      <w:tr w:rsidR="003163D0" w:rsidRPr="00972C81" w14:paraId="5444CBC1" w14:textId="77777777" w:rsidTr="003B0D4E">
        <w:trPr>
          <w:trHeight w:val="397"/>
        </w:trPr>
        <w:tc>
          <w:tcPr>
            <w:tcW w:w="1103" w:type="pct"/>
            <w:gridSpan w:val="2"/>
            <w:vMerge w:val="restart"/>
            <w:tcBorders>
              <w:top w:val="nil"/>
              <w:left w:val="nil"/>
              <w:right w:val="nil"/>
            </w:tcBorders>
            <w:vAlign w:val="center"/>
          </w:tcPr>
          <w:p w14:paraId="22419265" w14:textId="77777777" w:rsidR="003163D0" w:rsidRPr="00972C81" w:rsidRDefault="003163D0" w:rsidP="003163D0">
            <w:pPr>
              <w:pStyle w:val="Table"/>
              <w:rPr>
                <w:noProof/>
              </w:rPr>
            </w:pPr>
            <w:r w:rsidRPr="00972C81">
              <w:rPr>
                <w:noProof/>
              </w:rPr>
              <w:t>Assigned forms</w:t>
            </w:r>
          </w:p>
        </w:tc>
        <w:tc>
          <w:tcPr>
            <w:tcW w:w="3897" w:type="pct"/>
            <w:gridSpan w:val="11"/>
            <w:tcBorders>
              <w:top w:val="nil"/>
              <w:left w:val="nil"/>
              <w:bottom w:val="single" w:sz="4" w:space="0" w:color="auto"/>
              <w:right w:val="nil"/>
            </w:tcBorders>
            <w:vAlign w:val="center"/>
          </w:tcPr>
          <w:p w14:paraId="4899EDCE" w14:textId="41CD5F8D" w:rsidR="003163D0" w:rsidRPr="00972C81" w:rsidRDefault="003163D0" w:rsidP="003163D0">
            <w:pPr>
              <w:pStyle w:val="Table"/>
              <w:jc w:val="center"/>
              <w:rPr>
                <w:noProof/>
              </w:rPr>
            </w:pPr>
            <w:r w:rsidRPr="00972C81">
              <w:rPr>
                <w:noProof/>
              </w:rPr>
              <w:t xml:space="preserve">Age-dependent absorption from the alimentary tract, </w:t>
            </w:r>
            <w:r w:rsidRPr="00972C81">
              <w:rPr>
                <w:i/>
                <w:noProof/>
              </w:rPr>
              <w:t>f</w:t>
            </w:r>
            <w:r w:rsidRPr="00972C81">
              <w:rPr>
                <w:noProof/>
                <w:vertAlign w:val="subscript"/>
              </w:rPr>
              <w:t>A</w:t>
            </w:r>
          </w:p>
        </w:tc>
      </w:tr>
      <w:tr w:rsidR="003163D0" w:rsidRPr="00972C81" w14:paraId="62833602" w14:textId="77777777" w:rsidTr="003B0D4E">
        <w:trPr>
          <w:trHeight w:val="397"/>
        </w:trPr>
        <w:tc>
          <w:tcPr>
            <w:tcW w:w="1103" w:type="pct"/>
            <w:gridSpan w:val="2"/>
            <w:vMerge/>
            <w:tcBorders>
              <w:left w:val="nil"/>
              <w:bottom w:val="single" w:sz="4" w:space="0" w:color="auto"/>
              <w:right w:val="nil"/>
            </w:tcBorders>
          </w:tcPr>
          <w:p w14:paraId="6E4995BC" w14:textId="77777777" w:rsidR="003163D0" w:rsidRPr="00972C81" w:rsidRDefault="003163D0" w:rsidP="00A41AD1">
            <w:pPr>
              <w:pStyle w:val="Table"/>
              <w:rPr>
                <w:noProof/>
              </w:rPr>
            </w:pPr>
          </w:p>
        </w:tc>
        <w:tc>
          <w:tcPr>
            <w:tcW w:w="630" w:type="pct"/>
            <w:gridSpan w:val="2"/>
            <w:tcBorders>
              <w:top w:val="single" w:sz="4" w:space="0" w:color="auto"/>
              <w:left w:val="nil"/>
              <w:bottom w:val="single" w:sz="4" w:space="0" w:color="auto"/>
              <w:right w:val="nil"/>
            </w:tcBorders>
            <w:vAlign w:val="center"/>
          </w:tcPr>
          <w:p w14:paraId="18023959" w14:textId="365024AF" w:rsidR="003163D0" w:rsidRPr="00972C81" w:rsidRDefault="003163D0" w:rsidP="003163D0">
            <w:pPr>
              <w:pStyle w:val="Table"/>
              <w:rPr>
                <w:noProof/>
              </w:rPr>
            </w:pPr>
            <w:r w:rsidRPr="00972C81">
              <w:rPr>
                <w:noProof/>
              </w:rPr>
              <w:t>3 mo</w:t>
            </w:r>
          </w:p>
        </w:tc>
        <w:tc>
          <w:tcPr>
            <w:tcW w:w="709" w:type="pct"/>
            <w:gridSpan w:val="2"/>
            <w:tcBorders>
              <w:top w:val="single" w:sz="4" w:space="0" w:color="auto"/>
              <w:left w:val="nil"/>
              <w:bottom w:val="single" w:sz="4" w:space="0" w:color="auto"/>
              <w:right w:val="nil"/>
            </w:tcBorders>
            <w:vAlign w:val="center"/>
          </w:tcPr>
          <w:p w14:paraId="285EBC1D" w14:textId="394BC93E" w:rsidR="003163D0" w:rsidRPr="00972C81" w:rsidRDefault="003163D0" w:rsidP="003163D0">
            <w:pPr>
              <w:pStyle w:val="Table"/>
              <w:rPr>
                <w:noProof/>
              </w:rPr>
            </w:pPr>
            <w:r w:rsidRPr="00972C81">
              <w:rPr>
                <w:noProof/>
              </w:rPr>
              <w:t>1 y</w:t>
            </w:r>
          </w:p>
        </w:tc>
        <w:tc>
          <w:tcPr>
            <w:tcW w:w="708" w:type="pct"/>
            <w:gridSpan w:val="2"/>
            <w:tcBorders>
              <w:top w:val="single" w:sz="4" w:space="0" w:color="auto"/>
              <w:left w:val="nil"/>
              <w:bottom w:val="single" w:sz="4" w:space="0" w:color="auto"/>
              <w:right w:val="nil"/>
            </w:tcBorders>
            <w:vAlign w:val="center"/>
          </w:tcPr>
          <w:p w14:paraId="55636187" w14:textId="032464A2" w:rsidR="003163D0" w:rsidRPr="00972C81" w:rsidRDefault="003163D0" w:rsidP="003163D0">
            <w:pPr>
              <w:pStyle w:val="Table"/>
              <w:rPr>
                <w:noProof/>
              </w:rPr>
            </w:pPr>
            <w:r w:rsidRPr="00972C81">
              <w:rPr>
                <w:noProof/>
              </w:rPr>
              <w:t>5 y</w:t>
            </w:r>
          </w:p>
        </w:tc>
        <w:tc>
          <w:tcPr>
            <w:tcW w:w="630" w:type="pct"/>
            <w:gridSpan w:val="2"/>
            <w:tcBorders>
              <w:top w:val="single" w:sz="4" w:space="0" w:color="auto"/>
              <w:left w:val="nil"/>
              <w:bottom w:val="single" w:sz="4" w:space="0" w:color="auto"/>
              <w:right w:val="nil"/>
            </w:tcBorders>
            <w:vAlign w:val="center"/>
          </w:tcPr>
          <w:p w14:paraId="60A14C56" w14:textId="6A03CE8F" w:rsidR="003163D0" w:rsidRPr="00972C81" w:rsidRDefault="003163D0" w:rsidP="003163D0">
            <w:pPr>
              <w:pStyle w:val="Table"/>
              <w:rPr>
                <w:noProof/>
              </w:rPr>
            </w:pPr>
            <w:r w:rsidRPr="00972C81">
              <w:rPr>
                <w:noProof/>
              </w:rPr>
              <w:t>10 y</w:t>
            </w:r>
          </w:p>
        </w:tc>
        <w:tc>
          <w:tcPr>
            <w:tcW w:w="630" w:type="pct"/>
            <w:gridSpan w:val="2"/>
            <w:tcBorders>
              <w:top w:val="single" w:sz="4" w:space="0" w:color="auto"/>
              <w:left w:val="nil"/>
              <w:bottom w:val="single" w:sz="4" w:space="0" w:color="auto"/>
              <w:right w:val="nil"/>
            </w:tcBorders>
            <w:vAlign w:val="center"/>
          </w:tcPr>
          <w:p w14:paraId="26FA6658" w14:textId="1C32877F" w:rsidR="003163D0" w:rsidRPr="00972C81" w:rsidRDefault="003163D0" w:rsidP="003163D0">
            <w:pPr>
              <w:pStyle w:val="Table"/>
              <w:rPr>
                <w:noProof/>
              </w:rPr>
            </w:pPr>
            <w:r w:rsidRPr="00972C81">
              <w:rPr>
                <w:noProof/>
              </w:rPr>
              <w:t>15 y</w:t>
            </w:r>
          </w:p>
        </w:tc>
        <w:tc>
          <w:tcPr>
            <w:tcW w:w="590" w:type="pct"/>
            <w:tcBorders>
              <w:top w:val="single" w:sz="4" w:space="0" w:color="auto"/>
              <w:left w:val="nil"/>
              <w:bottom w:val="single" w:sz="4" w:space="0" w:color="auto"/>
              <w:right w:val="nil"/>
            </w:tcBorders>
            <w:vAlign w:val="center"/>
          </w:tcPr>
          <w:p w14:paraId="6F351568" w14:textId="77777777" w:rsidR="003163D0" w:rsidRPr="00972C81" w:rsidRDefault="003163D0" w:rsidP="003163D0">
            <w:pPr>
              <w:pStyle w:val="Table"/>
              <w:rPr>
                <w:noProof/>
              </w:rPr>
            </w:pPr>
            <w:r w:rsidRPr="00972C81">
              <w:rPr>
                <w:noProof/>
              </w:rPr>
              <w:t>adult</w:t>
            </w:r>
          </w:p>
        </w:tc>
      </w:tr>
      <w:tr w:rsidR="00E06AA8" w:rsidRPr="00972C81" w14:paraId="13F8A763" w14:textId="77777777" w:rsidTr="003163D0">
        <w:trPr>
          <w:trHeight w:val="397"/>
        </w:trPr>
        <w:tc>
          <w:tcPr>
            <w:tcW w:w="1103" w:type="pct"/>
            <w:gridSpan w:val="2"/>
            <w:tcBorders>
              <w:top w:val="single" w:sz="4" w:space="0" w:color="auto"/>
              <w:left w:val="nil"/>
              <w:bottom w:val="single" w:sz="4" w:space="0" w:color="auto"/>
              <w:right w:val="nil"/>
            </w:tcBorders>
            <w:vAlign w:val="center"/>
            <w:hideMark/>
          </w:tcPr>
          <w:p w14:paraId="5EBBD50C" w14:textId="77777777" w:rsidR="00E06AA8" w:rsidRPr="00972C81" w:rsidRDefault="00E06AA8" w:rsidP="003163D0">
            <w:pPr>
              <w:pStyle w:val="Table"/>
              <w:rPr>
                <w:noProof/>
              </w:rPr>
            </w:pPr>
            <w:r w:rsidRPr="00972C81">
              <w:rPr>
                <w:noProof/>
              </w:rPr>
              <w:t>All compounds</w:t>
            </w:r>
          </w:p>
        </w:tc>
        <w:tc>
          <w:tcPr>
            <w:tcW w:w="630" w:type="pct"/>
            <w:gridSpan w:val="2"/>
            <w:tcBorders>
              <w:top w:val="single" w:sz="4" w:space="0" w:color="auto"/>
              <w:left w:val="nil"/>
              <w:bottom w:val="single" w:sz="4" w:space="0" w:color="auto"/>
              <w:right w:val="nil"/>
            </w:tcBorders>
            <w:vAlign w:val="center"/>
          </w:tcPr>
          <w:p w14:paraId="66E923E5" w14:textId="1105AF6F" w:rsidR="00E06AA8" w:rsidRPr="00972C81" w:rsidRDefault="00E06AA8" w:rsidP="003163D0">
            <w:pPr>
              <w:pStyle w:val="Table"/>
              <w:rPr>
                <w:noProof/>
              </w:rPr>
            </w:pPr>
            <w:r w:rsidRPr="00972C81">
              <w:rPr>
                <w:noProof/>
              </w:rPr>
              <w:t>5</w:t>
            </w:r>
            <w:r w:rsidR="00067025" w:rsidRPr="00972C81">
              <w:rPr>
                <w:noProof/>
              </w:rPr>
              <w:t xml:space="preserve"> × </w:t>
            </w:r>
            <w:r w:rsidRPr="00972C81">
              <w:rPr>
                <w:noProof/>
              </w:rPr>
              <w:t>10</w:t>
            </w:r>
            <w:r w:rsidRPr="00972C81">
              <w:rPr>
                <w:noProof/>
                <w:vertAlign w:val="superscript"/>
              </w:rPr>
              <w:t>–3</w:t>
            </w:r>
          </w:p>
        </w:tc>
        <w:tc>
          <w:tcPr>
            <w:tcW w:w="709" w:type="pct"/>
            <w:gridSpan w:val="2"/>
            <w:tcBorders>
              <w:top w:val="single" w:sz="4" w:space="0" w:color="auto"/>
              <w:left w:val="nil"/>
              <w:bottom w:val="single" w:sz="4" w:space="0" w:color="auto"/>
              <w:right w:val="nil"/>
            </w:tcBorders>
            <w:vAlign w:val="center"/>
          </w:tcPr>
          <w:p w14:paraId="1912EFAC" w14:textId="2227EC19" w:rsidR="00E06AA8" w:rsidRPr="00972C81" w:rsidRDefault="00E06AA8" w:rsidP="003163D0">
            <w:pPr>
              <w:pStyle w:val="Table"/>
              <w:rPr>
                <w:noProof/>
              </w:rPr>
            </w:pPr>
            <w:r w:rsidRPr="00972C81">
              <w:rPr>
                <w:noProof/>
              </w:rPr>
              <w:t>5</w:t>
            </w:r>
            <w:r w:rsidR="00067025" w:rsidRPr="00972C81">
              <w:rPr>
                <w:noProof/>
              </w:rPr>
              <w:t xml:space="preserve"> × </w:t>
            </w:r>
            <w:r w:rsidRPr="00972C81">
              <w:rPr>
                <w:noProof/>
              </w:rPr>
              <w:t>10</w:t>
            </w:r>
            <w:r w:rsidRPr="00972C81">
              <w:rPr>
                <w:noProof/>
                <w:vertAlign w:val="superscript"/>
              </w:rPr>
              <w:t>–4</w:t>
            </w:r>
          </w:p>
        </w:tc>
        <w:tc>
          <w:tcPr>
            <w:tcW w:w="708" w:type="pct"/>
            <w:gridSpan w:val="2"/>
            <w:tcBorders>
              <w:top w:val="single" w:sz="4" w:space="0" w:color="auto"/>
              <w:left w:val="nil"/>
              <w:bottom w:val="single" w:sz="4" w:space="0" w:color="auto"/>
              <w:right w:val="nil"/>
            </w:tcBorders>
            <w:vAlign w:val="center"/>
          </w:tcPr>
          <w:p w14:paraId="0681470B" w14:textId="70994C74" w:rsidR="00E06AA8" w:rsidRPr="00972C81" w:rsidRDefault="00E06AA8" w:rsidP="003163D0">
            <w:pPr>
              <w:pStyle w:val="Table"/>
              <w:rPr>
                <w:noProof/>
              </w:rPr>
            </w:pPr>
            <w:r w:rsidRPr="00972C81">
              <w:rPr>
                <w:noProof/>
              </w:rPr>
              <w:t>5</w:t>
            </w:r>
            <w:r w:rsidR="00067025" w:rsidRPr="00972C81">
              <w:rPr>
                <w:noProof/>
              </w:rPr>
              <w:t xml:space="preserve"> × </w:t>
            </w:r>
            <w:r w:rsidRPr="00972C81">
              <w:rPr>
                <w:noProof/>
              </w:rPr>
              <w:t>10</w:t>
            </w:r>
            <w:r w:rsidRPr="00972C81">
              <w:rPr>
                <w:noProof/>
                <w:vertAlign w:val="superscript"/>
              </w:rPr>
              <w:t>–4</w:t>
            </w:r>
          </w:p>
        </w:tc>
        <w:tc>
          <w:tcPr>
            <w:tcW w:w="630" w:type="pct"/>
            <w:gridSpan w:val="2"/>
            <w:tcBorders>
              <w:top w:val="single" w:sz="4" w:space="0" w:color="auto"/>
              <w:left w:val="nil"/>
              <w:bottom w:val="single" w:sz="4" w:space="0" w:color="auto"/>
              <w:right w:val="nil"/>
            </w:tcBorders>
            <w:vAlign w:val="center"/>
          </w:tcPr>
          <w:p w14:paraId="288F3542" w14:textId="4416E205" w:rsidR="00E06AA8" w:rsidRPr="00972C81" w:rsidRDefault="00E06AA8" w:rsidP="003163D0">
            <w:pPr>
              <w:pStyle w:val="Table"/>
              <w:rPr>
                <w:noProof/>
              </w:rPr>
            </w:pPr>
            <w:r w:rsidRPr="00972C81">
              <w:rPr>
                <w:noProof/>
              </w:rPr>
              <w:t>5</w:t>
            </w:r>
            <w:r w:rsidR="00067025" w:rsidRPr="00972C81">
              <w:rPr>
                <w:noProof/>
              </w:rPr>
              <w:t xml:space="preserve"> × </w:t>
            </w:r>
            <w:r w:rsidRPr="00972C81">
              <w:rPr>
                <w:noProof/>
              </w:rPr>
              <w:t>10</w:t>
            </w:r>
            <w:r w:rsidRPr="00972C81">
              <w:rPr>
                <w:noProof/>
                <w:vertAlign w:val="superscript"/>
              </w:rPr>
              <w:t>–4</w:t>
            </w:r>
          </w:p>
        </w:tc>
        <w:tc>
          <w:tcPr>
            <w:tcW w:w="630" w:type="pct"/>
            <w:gridSpan w:val="2"/>
            <w:tcBorders>
              <w:top w:val="single" w:sz="4" w:space="0" w:color="auto"/>
              <w:left w:val="nil"/>
              <w:bottom w:val="single" w:sz="4" w:space="0" w:color="auto"/>
              <w:right w:val="nil"/>
            </w:tcBorders>
            <w:vAlign w:val="center"/>
          </w:tcPr>
          <w:p w14:paraId="18FAEAAA" w14:textId="3CE9B89A" w:rsidR="00E06AA8" w:rsidRPr="00972C81" w:rsidRDefault="00E06AA8" w:rsidP="003163D0">
            <w:pPr>
              <w:pStyle w:val="Table"/>
              <w:rPr>
                <w:noProof/>
              </w:rPr>
            </w:pPr>
            <w:r w:rsidRPr="00972C81">
              <w:rPr>
                <w:noProof/>
              </w:rPr>
              <w:t>5</w:t>
            </w:r>
            <w:r w:rsidR="00067025" w:rsidRPr="00972C81">
              <w:rPr>
                <w:noProof/>
              </w:rPr>
              <w:t xml:space="preserve"> × </w:t>
            </w:r>
            <w:r w:rsidRPr="00972C81">
              <w:rPr>
                <w:noProof/>
              </w:rPr>
              <w:t>10</w:t>
            </w:r>
            <w:r w:rsidRPr="00972C81">
              <w:rPr>
                <w:noProof/>
                <w:vertAlign w:val="superscript"/>
              </w:rPr>
              <w:t>–4</w:t>
            </w:r>
          </w:p>
        </w:tc>
        <w:tc>
          <w:tcPr>
            <w:tcW w:w="590" w:type="pct"/>
            <w:tcBorders>
              <w:top w:val="single" w:sz="4" w:space="0" w:color="auto"/>
              <w:left w:val="nil"/>
              <w:bottom w:val="single" w:sz="4" w:space="0" w:color="auto"/>
              <w:right w:val="nil"/>
            </w:tcBorders>
            <w:vAlign w:val="center"/>
          </w:tcPr>
          <w:p w14:paraId="6D092C62" w14:textId="6D5BBD2A" w:rsidR="00E06AA8" w:rsidRPr="00972C81" w:rsidRDefault="00E06AA8" w:rsidP="003163D0">
            <w:pPr>
              <w:pStyle w:val="Table"/>
              <w:rPr>
                <w:noProof/>
              </w:rPr>
            </w:pPr>
            <w:r w:rsidRPr="00972C81">
              <w:rPr>
                <w:noProof/>
              </w:rPr>
              <w:t>5</w:t>
            </w:r>
            <w:r w:rsidR="00067025" w:rsidRPr="00972C81">
              <w:rPr>
                <w:noProof/>
              </w:rPr>
              <w:t xml:space="preserve"> × </w:t>
            </w:r>
            <w:r w:rsidRPr="00972C81">
              <w:rPr>
                <w:noProof/>
              </w:rPr>
              <w:t>10</w:t>
            </w:r>
            <w:r w:rsidRPr="00972C81">
              <w:rPr>
                <w:noProof/>
                <w:vertAlign w:val="superscript"/>
              </w:rPr>
              <w:t>–4</w:t>
            </w:r>
          </w:p>
        </w:tc>
      </w:tr>
    </w:tbl>
    <w:p w14:paraId="453A3723" w14:textId="7374F090" w:rsidR="003A587D" w:rsidRPr="00972C81" w:rsidRDefault="006F56F9" w:rsidP="00E81109">
      <w:pPr>
        <w:pStyle w:val="Note"/>
        <w:rPr>
          <w:noProof/>
        </w:rPr>
      </w:pPr>
      <w:r w:rsidRPr="00972C81">
        <w:rPr>
          <w:noProof/>
          <w:vertAlign w:val="superscript"/>
        </w:rPr>
        <w:t>*</w:t>
      </w:r>
      <w:r w:rsidRPr="00972C81">
        <w:rPr>
          <w:noProof/>
        </w:rPr>
        <w:t xml:space="preserve"> </w:t>
      </w:r>
      <w:r w:rsidR="003A587D" w:rsidRPr="00972C81">
        <w:rPr>
          <w:noProof/>
        </w:rPr>
        <w:t xml:space="preserve">It is assumed that for all lanthanides a bound fraction </w:t>
      </w:r>
      <w:r w:rsidR="003A587D" w:rsidRPr="00972C81">
        <w:rPr>
          <w:i/>
          <w:noProof/>
        </w:rPr>
        <w:t>f</w:t>
      </w:r>
      <w:r w:rsidR="003A587D" w:rsidRPr="00972C81">
        <w:rPr>
          <w:i/>
          <w:noProof/>
          <w:vertAlign w:val="subscript"/>
        </w:rPr>
        <w:t>b</w:t>
      </w:r>
      <w:r w:rsidR="003A587D" w:rsidRPr="00972C81">
        <w:rPr>
          <w:noProof/>
        </w:rPr>
        <w:t xml:space="preserve"> = 0.07 with an uptake rate </w:t>
      </w:r>
      <w:r w:rsidR="003A587D" w:rsidRPr="00972C81">
        <w:rPr>
          <w:i/>
          <w:noProof/>
        </w:rPr>
        <w:t>s</w:t>
      </w:r>
      <w:r w:rsidR="003A587D" w:rsidRPr="00972C81">
        <w:rPr>
          <w:i/>
          <w:noProof/>
          <w:vertAlign w:val="subscript"/>
        </w:rPr>
        <w:t>b</w:t>
      </w:r>
      <w:r w:rsidR="003A587D" w:rsidRPr="00972C81">
        <w:rPr>
          <w:noProof/>
        </w:rPr>
        <w:t xml:space="preserve"> = 0.02 d</w:t>
      </w:r>
      <w:r w:rsidR="003A587D" w:rsidRPr="00972C81">
        <w:rPr>
          <w:noProof/>
          <w:vertAlign w:val="superscript"/>
        </w:rPr>
        <w:t>–1</w:t>
      </w:r>
      <w:r w:rsidR="003A587D" w:rsidRPr="00972C81">
        <w:rPr>
          <w:noProof/>
        </w:rPr>
        <w:t xml:space="preserve"> is applied to material in the ET and AI regions, and associated lymph nodes LN</w:t>
      </w:r>
      <w:r w:rsidR="003A587D" w:rsidRPr="00972C81">
        <w:rPr>
          <w:noProof/>
          <w:vertAlign w:val="subscript"/>
        </w:rPr>
        <w:t>ET</w:t>
      </w:r>
      <w:r w:rsidR="003A587D" w:rsidRPr="00972C81">
        <w:rPr>
          <w:noProof/>
        </w:rPr>
        <w:t xml:space="preserve"> and LN</w:t>
      </w:r>
      <w:r w:rsidR="003A587D" w:rsidRPr="00972C81">
        <w:rPr>
          <w:noProof/>
          <w:vertAlign w:val="subscript"/>
        </w:rPr>
        <w:t>TH</w:t>
      </w:r>
      <w:r w:rsidR="003A587D" w:rsidRPr="00972C81">
        <w:rPr>
          <w:noProof/>
        </w:rPr>
        <w:t xml:space="preserve">. It is assumed that </w:t>
      </w:r>
      <w:r w:rsidR="003A587D" w:rsidRPr="00972C81">
        <w:rPr>
          <w:i/>
          <w:noProof/>
        </w:rPr>
        <w:t>f</w:t>
      </w:r>
      <w:r w:rsidR="003A587D" w:rsidRPr="00972C81">
        <w:rPr>
          <w:i/>
          <w:noProof/>
          <w:vertAlign w:val="subscript"/>
        </w:rPr>
        <w:t>b</w:t>
      </w:r>
      <w:r w:rsidR="003A587D" w:rsidRPr="00972C81">
        <w:rPr>
          <w:noProof/>
        </w:rPr>
        <w:t xml:space="preserve"> = 0.0 for material deposited in the BB and bb regions. The values of </w:t>
      </w:r>
      <w:r w:rsidR="003A587D" w:rsidRPr="00972C81">
        <w:rPr>
          <w:i/>
          <w:noProof/>
        </w:rPr>
        <w:t>s</w:t>
      </w:r>
      <w:r w:rsidR="003A587D" w:rsidRPr="00972C81">
        <w:rPr>
          <w:i/>
          <w:noProof/>
          <w:vertAlign w:val="subscript"/>
        </w:rPr>
        <w:t>r</w:t>
      </w:r>
      <w:r w:rsidR="003A587D" w:rsidRPr="00972C81">
        <w:rPr>
          <w:noProof/>
        </w:rPr>
        <w:t xml:space="preserve"> for Type F, M and S forms of all lanthanides (1 d</w:t>
      </w:r>
      <w:r w:rsidR="003A587D" w:rsidRPr="00972C81">
        <w:rPr>
          <w:noProof/>
          <w:vertAlign w:val="superscript"/>
        </w:rPr>
        <w:t>–1</w:t>
      </w:r>
      <w:r w:rsidR="003A587D" w:rsidRPr="00972C81">
        <w:rPr>
          <w:noProof/>
        </w:rPr>
        <w:t>) are element-specific.</w:t>
      </w:r>
    </w:p>
    <w:p w14:paraId="65622011" w14:textId="63D257F0" w:rsidR="003A587D" w:rsidRPr="00972C81" w:rsidRDefault="006F56F9" w:rsidP="00E81109">
      <w:pPr>
        <w:pStyle w:val="Note"/>
        <w:rPr>
          <w:noProof/>
        </w:rPr>
      </w:pPr>
      <w:r w:rsidRPr="00972C81">
        <w:rPr>
          <w:noProof/>
          <w:vertAlign w:val="superscript"/>
        </w:rPr>
        <w:t>†</w:t>
      </w:r>
      <w:r w:rsidRPr="00972C81">
        <w:rPr>
          <w:noProof/>
        </w:rPr>
        <w:t xml:space="preserve"> </w:t>
      </w:r>
      <w:r w:rsidR="003A587D" w:rsidRPr="00972C81">
        <w:rPr>
          <w:noProof/>
        </w:rPr>
        <w:t xml:space="preserve">For inhaled material deposited in the respiratory tract and subsequently cleared by particle transport to the alimentary tract, the default </w:t>
      </w:r>
      <w:r w:rsidR="003A587D" w:rsidRPr="00972C81">
        <w:rPr>
          <w:i/>
          <w:noProof/>
        </w:rPr>
        <w:t>f</w:t>
      </w:r>
      <w:r w:rsidR="003A587D" w:rsidRPr="00972C81">
        <w:rPr>
          <w:i/>
          <w:noProof/>
          <w:vertAlign w:val="subscript"/>
        </w:rPr>
        <w:t>A</w:t>
      </w:r>
      <w:r w:rsidR="003A587D" w:rsidRPr="00972C81">
        <w:rPr>
          <w:noProof/>
        </w:rPr>
        <w:t xml:space="preserve"> values for inhaled materials are applied: i.e., the (rounded) product of fr for the absorption Type (or specific value where given) and the </w:t>
      </w:r>
      <w:r w:rsidR="00E62423" w:rsidRPr="00972C81">
        <w:rPr>
          <w:i/>
          <w:noProof/>
        </w:rPr>
        <w:t>f</w:t>
      </w:r>
      <w:r w:rsidR="00E62423" w:rsidRPr="00972C81">
        <w:rPr>
          <w:i/>
          <w:noProof/>
          <w:vertAlign w:val="subscript"/>
        </w:rPr>
        <w:t>A</w:t>
      </w:r>
      <w:r w:rsidR="003A587D" w:rsidRPr="00972C81">
        <w:rPr>
          <w:noProof/>
        </w:rPr>
        <w:t xml:space="preserve"> value for ingested soluble forms </w:t>
      </w:r>
      <w:r w:rsidR="003122AC" w:rsidRPr="00972C81">
        <w:rPr>
          <w:noProof/>
        </w:rPr>
        <w:t xml:space="preserve">of </w:t>
      </w:r>
      <w:r w:rsidR="003A587D" w:rsidRPr="00972C81">
        <w:rPr>
          <w:noProof/>
        </w:rPr>
        <w:t xml:space="preserve">the lanthanide </w:t>
      </w:r>
      <w:r w:rsidR="003122AC" w:rsidRPr="00972C81">
        <w:rPr>
          <w:noProof/>
        </w:rPr>
        <w:t xml:space="preserve">applicable to the age-group of interest </w:t>
      </w:r>
      <w:r w:rsidR="003A587D" w:rsidRPr="00972C81">
        <w:rPr>
          <w:noProof/>
        </w:rPr>
        <w:t>(</w:t>
      </w:r>
      <w:r w:rsidR="003122AC" w:rsidRPr="00972C81">
        <w:rPr>
          <w:noProof/>
        </w:rPr>
        <w:t xml:space="preserve">e.g. </w:t>
      </w:r>
      <w:r w:rsidR="003A587D" w:rsidRPr="00972C81">
        <w:rPr>
          <w:noProof/>
        </w:rPr>
        <w:t>5</w:t>
      </w:r>
      <w:r w:rsidR="00067025" w:rsidRPr="00972C81">
        <w:rPr>
          <w:noProof/>
        </w:rPr>
        <w:t xml:space="preserve"> × </w:t>
      </w:r>
      <w:r w:rsidR="003A587D" w:rsidRPr="00972C81">
        <w:rPr>
          <w:noProof/>
        </w:rPr>
        <w:t>10</w:t>
      </w:r>
      <w:r w:rsidR="003A587D" w:rsidRPr="00C47F2F">
        <w:rPr>
          <w:noProof/>
          <w:vertAlign w:val="superscript"/>
        </w:rPr>
        <w:t>–4</w:t>
      </w:r>
      <w:r w:rsidR="003A587D" w:rsidRPr="00972C81">
        <w:rPr>
          <w:noProof/>
        </w:rPr>
        <w:t xml:space="preserve"> </w:t>
      </w:r>
      <w:r w:rsidR="003122AC" w:rsidRPr="00972C81">
        <w:rPr>
          <w:noProof/>
        </w:rPr>
        <w:t>for adults</w:t>
      </w:r>
      <w:r w:rsidR="003A587D" w:rsidRPr="00972C81">
        <w:rPr>
          <w:noProof/>
        </w:rPr>
        <w:t>).</w:t>
      </w:r>
    </w:p>
    <w:p w14:paraId="00750AAA" w14:textId="01822F31" w:rsidR="003A587D" w:rsidRPr="00972C81" w:rsidRDefault="006F56F9" w:rsidP="00E81109">
      <w:pPr>
        <w:pStyle w:val="Note"/>
        <w:rPr>
          <w:noProof/>
        </w:rPr>
      </w:pPr>
      <w:r w:rsidRPr="00972C81">
        <w:rPr>
          <w:noProof/>
          <w:vertAlign w:val="superscript"/>
        </w:rPr>
        <w:t>‡</w:t>
      </w:r>
      <w:r w:rsidRPr="00972C81">
        <w:rPr>
          <w:noProof/>
        </w:rPr>
        <w:t xml:space="preserve"> </w:t>
      </w:r>
      <w:r w:rsidR="003A587D" w:rsidRPr="00972C81">
        <w:rPr>
          <w:noProof/>
        </w:rPr>
        <w:t xml:space="preserve">See cerium section </w:t>
      </w:r>
      <w:r w:rsidR="00E62423" w:rsidRPr="00972C81">
        <w:rPr>
          <w:noProof/>
        </w:rPr>
        <w:fldChar w:fldCharType="begin"/>
      </w:r>
      <w:r w:rsidR="00E62423" w:rsidRPr="00972C81">
        <w:rPr>
          <w:noProof/>
        </w:rPr>
        <w:instrText xml:space="preserve"> ADDIN ZOTERO_ITEM CSL_CITATION {"citationID":"FaJSCunw","properties":{"formattedCitation":"(Section 4 of Publication 141, ICRP, 2019)","plainCitation":"(Section 4 of Publication 141, ICRP, 2019)","noteIndex":0},"citationItems":[{"id":3121,"uris":["http://zotero.org/groups/2470620/items/TRF7HY8X"],"itemData":{"id":3121,"type":"article-journal","container-title":"Annals of the ICRP","issue":"2/3","title":"Occupational Intakes of Radionuclides: Part 4. ICRP Publication 141","volume":"48","author":[{"literal":"ICRP"}],"issued":{"date-parts":[["2019"]]}},"prefix":"Section 4 of Publication 141, "}],"schema":"https://github.com/citation-style-language/schema/raw/master/csl-citation.json"} </w:instrText>
      </w:r>
      <w:r w:rsidR="00E62423" w:rsidRPr="00972C81">
        <w:rPr>
          <w:noProof/>
        </w:rPr>
        <w:fldChar w:fldCharType="separate"/>
      </w:r>
      <w:r w:rsidR="00BC59C6" w:rsidRPr="00972C81">
        <w:rPr>
          <w:noProof/>
        </w:rPr>
        <w:t>(Section 4 of Publication 141, ICRP, 2019)</w:t>
      </w:r>
      <w:r w:rsidR="00E62423" w:rsidRPr="00972C81">
        <w:rPr>
          <w:noProof/>
        </w:rPr>
        <w:fldChar w:fldCharType="end"/>
      </w:r>
      <w:r w:rsidR="00E62423" w:rsidRPr="00972C81">
        <w:rPr>
          <w:noProof/>
        </w:rPr>
        <w:t xml:space="preserve"> </w:t>
      </w:r>
      <w:r w:rsidR="003A587D" w:rsidRPr="00972C81">
        <w:rPr>
          <w:noProof/>
        </w:rPr>
        <w:t xml:space="preserve">for summary of information on which parameter values are based, and on ranges of parameter values observed in different studies. For both water soluble forms, and dioxide, specific parameter values are used for dissolution in the lungs, but a default value of </w:t>
      </w:r>
      <w:r w:rsidR="00E62423" w:rsidRPr="00972C81">
        <w:rPr>
          <w:i/>
          <w:noProof/>
        </w:rPr>
        <w:t>f</w:t>
      </w:r>
      <w:r w:rsidR="00E62423" w:rsidRPr="00972C81">
        <w:rPr>
          <w:i/>
          <w:noProof/>
          <w:vertAlign w:val="subscript"/>
        </w:rPr>
        <w:t>A</w:t>
      </w:r>
      <w:r w:rsidR="003A587D" w:rsidRPr="00972C81">
        <w:rPr>
          <w:noProof/>
        </w:rPr>
        <w:t xml:space="preserve"> (footnote </w:t>
      </w:r>
      <w:r w:rsidR="00E62423" w:rsidRPr="00972C81">
        <w:rPr>
          <w:noProof/>
          <w:vertAlign w:val="superscript"/>
        </w:rPr>
        <w:t>†</w:t>
      </w:r>
      <w:r w:rsidR="003A587D" w:rsidRPr="00972C81">
        <w:rPr>
          <w:noProof/>
        </w:rPr>
        <w:t>). Note that oxides forms of lanthanides other than cerium will probably not be dioxides, and so will be assigned to Type M.</w:t>
      </w:r>
    </w:p>
    <w:p w14:paraId="2526D11C" w14:textId="60C5238D" w:rsidR="003A587D" w:rsidRPr="00972C81" w:rsidRDefault="006F56F9" w:rsidP="00E81109">
      <w:pPr>
        <w:pStyle w:val="Note"/>
        <w:rPr>
          <w:noProof/>
        </w:rPr>
      </w:pPr>
      <w:r w:rsidRPr="00972C81">
        <w:rPr>
          <w:noProof/>
          <w:vertAlign w:val="superscript"/>
        </w:rPr>
        <w:t>§</w:t>
      </w:r>
      <w:r w:rsidRPr="00972C81">
        <w:rPr>
          <w:noProof/>
        </w:rPr>
        <w:t xml:space="preserve"> </w:t>
      </w:r>
      <w:r w:rsidR="003A587D" w:rsidRPr="00972C81">
        <w:rPr>
          <w:noProof/>
        </w:rPr>
        <w:t xml:space="preserve">Materials are listed in </w:t>
      </w:r>
      <w:r w:rsidR="00C02F08" w:rsidRPr="00972C81">
        <w:rPr>
          <w:noProof/>
        </w:rPr>
        <w:fldChar w:fldCharType="begin"/>
      </w:r>
      <w:r w:rsidR="00C02F08" w:rsidRPr="00972C81">
        <w:rPr>
          <w:noProof/>
        </w:rPr>
        <w:instrText xml:space="preserve"> REF _Ref141784472 </w:instrText>
      </w:r>
      <w:r w:rsidR="00C02F08"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C02F08" w:rsidRPr="00972C81">
        <w:rPr>
          <w:noProof/>
        </w:rPr>
        <w:fldChar w:fldCharType="end"/>
      </w:r>
      <w:r w:rsidR="00E62423" w:rsidRPr="00972C81">
        <w:rPr>
          <w:noProof/>
        </w:rPr>
        <w:t xml:space="preserve"> </w:t>
      </w:r>
      <w:r w:rsidR="003A587D" w:rsidRPr="00972C81">
        <w:rPr>
          <w:noProof/>
        </w:rPr>
        <w:t xml:space="preserve">where there is sufficient information in the individual element section to assign to a default absorption Type. If specific parameter values are derived, they are not adopted here. </w:t>
      </w:r>
    </w:p>
    <w:p w14:paraId="5D30DF3C" w14:textId="64FFAA6C" w:rsidR="003A587D" w:rsidRPr="00972C81" w:rsidRDefault="006F56F9" w:rsidP="00E81109">
      <w:pPr>
        <w:pStyle w:val="Note"/>
        <w:rPr>
          <w:noProof/>
        </w:rPr>
      </w:pPr>
      <w:r w:rsidRPr="00972C81">
        <w:rPr>
          <w:noProof/>
          <w:vertAlign w:val="superscript"/>
        </w:rPr>
        <w:t>¶</w:t>
      </w:r>
      <w:r w:rsidRPr="00972C81">
        <w:rPr>
          <w:noProof/>
        </w:rPr>
        <w:t xml:space="preserve"> </w:t>
      </w:r>
      <w:r w:rsidR="003A587D" w:rsidRPr="00972C81">
        <w:rPr>
          <w:noProof/>
        </w:rPr>
        <w:t>Default Type M is recommended for use in the absence of specific information on which the exposure material can be assigned to an Absorption Type, e.g. if the form is unknown, or if the form is known but there is no information available on the absorption of that form from the respiratory tract.</w:t>
      </w:r>
    </w:p>
    <w:p w14:paraId="36F0F1C1" w14:textId="46FBE97A" w:rsidR="003A587D" w:rsidRPr="00972C81" w:rsidRDefault="006F56F9" w:rsidP="00E81109">
      <w:pPr>
        <w:pStyle w:val="Note"/>
        <w:rPr>
          <w:noProof/>
        </w:rPr>
      </w:pPr>
      <w:r w:rsidRPr="00972C81">
        <w:rPr>
          <w:noProof/>
          <w:vertAlign w:val="superscript"/>
        </w:rPr>
        <w:t>**</w:t>
      </w:r>
      <w:r w:rsidR="003A587D" w:rsidRPr="00972C81">
        <w:rPr>
          <w:noProof/>
        </w:rPr>
        <w:t xml:space="preserve">Activity transferred from systemic compartments into segments of the alimentary tract is assumed to be subject to reabsorption to blood. The default absorption fraction </w:t>
      </w:r>
      <w:r w:rsidR="00E62423" w:rsidRPr="00972C81">
        <w:rPr>
          <w:i/>
          <w:noProof/>
        </w:rPr>
        <w:t>f</w:t>
      </w:r>
      <w:r w:rsidR="00E62423" w:rsidRPr="00972C81">
        <w:rPr>
          <w:i/>
          <w:noProof/>
          <w:vertAlign w:val="subscript"/>
        </w:rPr>
        <w:t>A</w:t>
      </w:r>
      <w:r w:rsidR="003A587D" w:rsidRPr="00972C81">
        <w:rPr>
          <w:noProof/>
        </w:rPr>
        <w:t xml:space="preserve"> for the secreted activity is the reference </w:t>
      </w:r>
      <w:r w:rsidR="003122AC" w:rsidRPr="00972C81">
        <w:rPr>
          <w:noProof/>
        </w:rPr>
        <w:t xml:space="preserve">value </w:t>
      </w:r>
      <w:r w:rsidR="003A587D" w:rsidRPr="00972C81">
        <w:rPr>
          <w:noProof/>
        </w:rPr>
        <w:t>for ingestion of the radionuclide</w:t>
      </w:r>
      <w:r w:rsidR="003122AC" w:rsidRPr="00972C81">
        <w:rPr>
          <w:noProof/>
        </w:rPr>
        <w:t xml:space="preserve"> applicable to the age-group of interest (e.g. 5 </w:t>
      </w:r>
      <w:r w:rsidR="00E62423" w:rsidRPr="00972C81">
        <w:rPr>
          <w:noProof/>
        </w:rPr>
        <w:t>×</w:t>
      </w:r>
      <w:r w:rsidR="003122AC" w:rsidRPr="00972C81">
        <w:rPr>
          <w:noProof/>
        </w:rPr>
        <w:t> 10</w:t>
      </w:r>
      <w:r w:rsidR="003122AC" w:rsidRPr="00972C81">
        <w:rPr>
          <w:noProof/>
          <w:vertAlign w:val="superscript"/>
        </w:rPr>
        <w:t>–4</w:t>
      </w:r>
      <w:r w:rsidR="003122AC" w:rsidRPr="00972C81">
        <w:rPr>
          <w:noProof/>
        </w:rPr>
        <w:t xml:space="preserve"> for adults)</w:t>
      </w:r>
      <w:r w:rsidR="003A587D" w:rsidRPr="00972C81">
        <w:rPr>
          <w:noProof/>
        </w:rPr>
        <w:t xml:space="preserve">. </w:t>
      </w:r>
    </w:p>
    <w:p w14:paraId="7CD0B92F" w14:textId="77777777" w:rsidR="00235F06" w:rsidRPr="00972C81" w:rsidRDefault="00235F06" w:rsidP="00E81109">
      <w:pPr>
        <w:pStyle w:val="Annalstext"/>
        <w:numPr>
          <w:ilvl w:val="0"/>
          <w:numId w:val="0"/>
        </w:numPr>
        <w:ind w:left="360"/>
        <w:rPr>
          <w:noProof/>
        </w:rPr>
      </w:pPr>
    </w:p>
    <w:p w14:paraId="5EAE0678" w14:textId="77777777" w:rsidR="00E34499" w:rsidRDefault="00E34499">
      <w:pPr>
        <w:widowControl/>
        <w:jc w:val="left"/>
        <w:rPr>
          <w:noProof/>
          <w:sz w:val="22"/>
          <w:szCs w:val="22"/>
        </w:rPr>
      </w:pPr>
      <w:bookmarkStart w:id="44" w:name="_Ref141784472"/>
      <w:bookmarkStart w:id="45" w:name="_Ref425168850"/>
      <w:r>
        <w:rPr>
          <w:noProof/>
        </w:rPr>
        <w:br w:type="page"/>
      </w:r>
    </w:p>
    <w:p w14:paraId="0BFBC429" w14:textId="14C1823C" w:rsidR="00235F06" w:rsidRPr="00972C81" w:rsidRDefault="006F56F9" w:rsidP="0017583B">
      <w:pPr>
        <w:pStyle w:val="ab"/>
        <w:rPr>
          <w:noProof/>
        </w:rPr>
      </w:pPr>
      <w:r w:rsidRPr="00972C81">
        <w:rPr>
          <w:noProof/>
        </w:rPr>
        <w:lastRenderedPageBreak/>
        <w:t xml:space="preserve">Table </w:t>
      </w:r>
      <w:r w:rsidR="00EA3750" w:rsidRPr="00972C81">
        <w:rPr>
          <w:noProof/>
        </w:rPr>
        <w:fldChar w:fldCharType="begin"/>
      </w:r>
      <w:r w:rsidR="00EA3750" w:rsidRPr="00972C81">
        <w:rPr>
          <w:noProof/>
        </w:rPr>
        <w:instrText xml:space="preserve"> STYLEREF 1 \s </w:instrText>
      </w:r>
      <w:r w:rsidR="00EA3750" w:rsidRPr="00972C81">
        <w:rPr>
          <w:noProof/>
        </w:rPr>
        <w:fldChar w:fldCharType="separate"/>
      </w:r>
      <w:r w:rsidR="00A41AD1">
        <w:rPr>
          <w:noProof/>
        </w:rPr>
        <w:t>2</w:t>
      </w:r>
      <w:r w:rsidR="00EA3750" w:rsidRPr="00972C81">
        <w:rPr>
          <w:noProof/>
        </w:rPr>
        <w:fldChar w:fldCharType="end"/>
      </w:r>
      <w:r w:rsidR="00EA3750" w:rsidRPr="00972C81">
        <w:rPr>
          <w:noProof/>
        </w:rPr>
        <w:t>.</w:t>
      </w:r>
      <w:r w:rsidR="00EA3750" w:rsidRPr="00972C81">
        <w:rPr>
          <w:noProof/>
        </w:rPr>
        <w:fldChar w:fldCharType="begin"/>
      </w:r>
      <w:r w:rsidR="00EA3750" w:rsidRPr="00972C81">
        <w:rPr>
          <w:noProof/>
        </w:rPr>
        <w:instrText xml:space="preserve"> SEQ Table \* ARABIC \s 1 </w:instrText>
      </w:r>
      <w:r w:rsidR="00EA3750" w:rsidRPr="00972C81">
        <w:rPr>
          <w:noProof/>
        </w:rPr>
        <w:fldChar w:fldCharType="separate"/>
      </w:r>
      <w:r w:rsidR="00A41AD1">
        <w:rPr>
          <w:noProof/>
        </w:rPr>
        <w:t>2</w:t>
      </w:r>
      <w:r w:rsidR="00EA3750" w:rsidRPr="00972C81">
        <w:rPr>
          <w:noProof/>
        </w:rPr>
        <w:fldChar w:fldCharType="end"/>
      </w:r>
      <w:bookmarkEnd w:id="44"/>
      <w:r w:rsidRPr="00972C81">
        <w:rPr>
          <w:noProof/>
        </w:rPr>
        <w:t>.</w:t>
      </w:r>
      <w:bookmarkEnd w:id="45"/>
      <w:r w:rsidRPr="00972C81">
        <w:rPr>
          <w:noProof/>
        </w:rPr>
        <w:t xml:space="preserve"> </w:t>
      </w:r>
      <w:r w:rsidR="00235F06" w:rsidRPr="00972C81">
        <w:rPr>
          <w:noProof/>
        </w:rPr>
        <w:t>Summary of information from in</w:t>
      </w:r>
      <w:r w:rsidR="008474C8" w:rsidRPr="00972C81">
        <w:rPr>
          <w:noProof/>
        </w:rPr>
        <w:t>-</w:t>
      </w:r>
      <w:r w:rsidR="00235F06" w:rsidRPr="00972C81">
        <w:rPr>
          <w:noProof/>
        </w:rPr>
        <w:t>vivo studies to enable assignment of chemical forms to default absorption Types</w:t>
      </w:r>
      <w:r w:rsidR="0017583B" w:rsidRPr="00972C81">
        <w:rPr>
          <w:i/>
          <w:noProof/>
        </w:rPr>
        <w:t xml:space="preserve"> f</w:t>
      </w:r>
      <w:r w:rsidR="0017583B" w:rsidRPr="00972C81">
        <w:rPr>
          <w:i/>
          <w:noProof/>
          <w:vertAlign w:val="subscript"/>
        </w:rPr>
        <w:t>A</w:t>
      </w:r>
      <w:r w:rsidR="00235F06" w:rsidRPr="00972C81">
        <w:rPr>
          <w:noProof/>
        </w:rPr>
        <w:t>.</w:t>
      </w:r>
    </w:p>
    <w:tbl>
      <w:tblPr>
        <w:tblW w:w="5000" w:type="pct"/>
        <w:jc w:val="center"/>
        <w:tblLook w:val="04A0" w:firstRow="1" w:lastRow="0" w:firstColumn="1" w:lastColumn="0" w:noHBand="0" w:noVBand="1"/>
      </w:tblPr>
      <w:tblGrid>
        <w:gridCol w:w="1110"/>
        <w:gridCol w:w="1743"/>
        <w:gridCol w:w="3641"/>
        <w:gridCol w:w="2533"/>
      </w:tblGrid>
      <w:tr w:rsidR="00235F06" w:rsidRPr="00972C81" w14:paraId="2F69B137" w14:textId="77777777" w:rsidTr="00C47F2F">
        <w:trPr>
          <w:trHeight w:val="340"/>
          <w:jc w:val="center"/>
        </w:trPr>
        <w:tc>
          <w:tcPr>
            <w:tcW w:w="614" w:type="pct"/>
            <w:tcBorders>
              <w:top w:val="single" w:sz="4" w:space="0" w:color="auto"/>
              <w:bottom w:val="single" w:sz="4" w:space="0" w:color="auto"/>
            </w:tcBorders>
            <w:hideMark/>
          </w:tcPr>
          <w:p w14:paraId="54A106AD" w14:textId="77777777" w:rsidR="00235F06" w:rsidRPr="00972C81" w:rsidRDefault="00235F06" w:rsidP="00E81109">
            <w:pPr>
              <w:pStyle w:val="Table"/>
              <w:rPr>
                <w:noProof/>
              </w:rPr>
            </w:pPr>
            <w:r w:rsidRPr="00972C81">
              <w:rPr>
                <w:noProof/>
              </w:rPr>
              <w:t>Element</w:t>
            </w:r>
          </w:p>
        </w:tc>
        <w:tc>
          <w:tcPr>
            <w:tcW w:w="965" w:type="pct"/>
            <w:tcBorders>
              <w:top w:val="single" w:sz="4" w:space="0" w:color="auto"/>
              <w:bottom w:val="single" w:sz="4" w:space="0" w:color="auto"/>
            </w:tcBorders>
            <w:hideMark/>
          </w:tcPr>
          <w:p w14:paraId="4089F403" w14:textId="77777777" w:rsidR="00235F06" w:rsidRPr="00972C81" w:rsidRDefault="00235F06" w:rsidP="00E81109">
            <w:pPr>
              <w:pStyle w:val="Table"/>
              <w:rPr>
                <w:noProof/>
              </w:rPr>
            </w:pPr>
            <w:r w:rsidRPr="00972C81">
              <w:rPr>
                <w:noProof/>
              </w:rPr>
              <w:t>Type F</w:t>
            </w:r>
          </w:p>
        </w:tc>
        <w:tc>
          <w:tcPr>
            <w:tcW w:w="2017" w:type="pct"/>
            <w:tcBorders>
              <w:top w:val="single" w:sz="4" w:space="0" w:color="auto"/>
              <w:bottom w:val="single" w:sz="4" w:space="0" w:color="auto"/>
            </w:tcBorders>
            <w:hideMark/>
          </w:tcPr>
          <w:p w14:paraId="0762F6C7" w14:textId="77777777" w:rsidR="00235F06" w:rsidRPr="00972C81" w:rsidRDefault="00235F06" w:rsidP="00E81109">
            <w:pPr>
              <w:pStyle w:val="Table"/>
              <w:rPr>
                <w:noProof/>
              </w:rPr>
            </w:pPr>
            <w:r w:rsidRPr="00972C81">
              <w:rPr>
                <w:noProof/>
              </w:rPr>
              <w:t>Type M</w:t>
            </w:r>
          </w:p>
        </w:tc>
        <w:tc>
          <w:tcPr>
            <w:tcW w:w="1403" w:type="pct"/>
            <w:tcBorders>
              <w:top w:val="single" w:sz="4" w:space="0" w:color="auto"/>
              <w:bottom w:val="single" w:sz="4" w:space="0" w:color="auto"/>
            </w:tcBorders>
            <w:hideMark/>
          </w:tcPr>
          <w:p w14:paraId="7AA1E20B" w14:textId="77777777" w:rsidR="00235F06" w:rsidRPr="00972C81" w:rsidRDefault="00235F06" w:rsidP="00E81109">
            <w:pPr>
              <w:pStyle w:val="Table"/>
              <w:rPr>
                <w:noProof/>
              </w:rPr>
            </w:pPr>
            <w:r w:rsidRPr="00972C81">
              <w:rPr>
                <w:noProof/>
              </w:rPr>
              <w:t>Type S</w:t>
            </w:r>
          </w:p>
        </w:tc>
      </w:tr>
      <w:tr w:rsidR="00235F06" w:rsidRPr="00972C81" w14:paraId="77CEEA4C" w14:textId="77777777" w:rsidTr="00C47F2F">
        <w:trPr>
          <w:trHeight w:val="340"/>
          <w:jc w:val="center"/>
        </w:trPr>
        <w:tc>
          <w:tcPr>
            <w:tcW w:w="614" w:type="pct"/>
            <w:tcBorders>
              <w:top w:val="single" w:sz="4" w:space="0" w:color="auto"/>
            </w:tcBorders>
            <w:hideMark/>
          </w:tcPr>
          <w:p w14:paraId="04C05025" w14:textId="77777777" w:rsidR="00235F06" w:rsidRPr="00972C81" w:rsidRDefault="00235F06" w:rsidP="00E81109">
            <w:pPr>
              <w:pStyle w:val="Table"/>
              <w:rPr>
                <w:noProof/>
              </w:rPr>
            </w:pPr>
            <w:r w:rsidRPr="00972C81">
              <w:rPr>
                <w:noProof/>
              </w:rPr>
              <w:t>La</w:t>
            </w:r>
          </w:p>
        </w:tc>
        <w:tc>
          <w:tcPr>
            <w:tcW w:w="965" w:type="pct"/>
            <w:tcBorders>
              <w:top w:val="single" w:sz="4" w:space="0" w:color="auto"/>
            </w:tcBorders>
            <w:hideMark/>
          </w:tcPr>
          <w:p w14:paraId="60CF41A7" w14:textId="77777777" w:rsidR="00235F06" w:rsidRPr="00972C81" w:rsidRDefault="00235F06" w:rsidP="00E81109">
            <w:pPr>
              <w:pStyle w:val="Table"/>
              <w:rPr>
                <w:noProof/>
              </w:rPr>
            </w:pPr>
            <w:r w:rsidRPr="00972C81">
              <w:rPr>
                <w:noProof/>
              </w:rPr>
              <w:t>La-DTPA</w:t>
            </w:r>
          </w:p>
        </w:tc>
        <w:tc>
          <w:tcPr>
            <w:tcW w:w="2017" w:type="pct"/>
            <w:tcBorders>
              <w:top w:val="single" w:sz="4" w:space="0" w:color="auto"/>
            </w:tcBorders>
            <w:hideMark/>
          </w:tcPr>
          <w:p w14:paraId="0A1695F0" w14:textId="77777777" w:rsidR="00235F06" w:rsidRPr="00972C81" w:rsidRDefault="00235F06" w:rsidP="00E81109">
            <w:pPr>
              <w:pStyle w:val="Table"/>
              <w:rPr>
                <w:noProof/>
              </w:rPr>
            </w:pPr>
            <w:r w:rsidRPr="00972C81">
              <w:rPr>
                <w:noProof/>
              </w:rPr>
              <w:t>Chloride</w:t>
            </w:r>
          </w:p>
        </w:tc>
        <w:tc>
          <w:tcPr>
            <w:tcW w:w="1403" w:type="pct"/>
            <w:tcBorders>
              <w:top w:val="single" w:sz="4" w:space="0" w:color="auto"/>
            </w:tcBorders>
          </w:tcPr>
          <w:p w14:paraId="1F82CBBE" w14:textId="77777777" w:rsidR="00235F06" w:rsidRPr="00972C81" w:rsidRDefault="00235F06" w:rsidP="00E81109">
            <w:pPr>
              <w:pStyle w:val="Table"/>
              <w:rPr>
                <w:noProof/>
              </w:rPr>
            </w:pPr>
          </w:p>
        </w:tc>
      </w:tr>
      <w:tr w:rsidR="00235F06" w:rsidRPr="00972C81" w14:paraId="4E182C26" w14:textId="77777777" w:rsidTr="00C47F2F">
        <w:trPr>
          <w:trHeight w:val="340"/>
          <w:jc w:val="center"/>
        </w:trPr>
        <w:tc>
          <w:tcPr>
            <w:tcW w:w="614" w:type="pct"/>
            <w:hideMark/>
          </w:tcPr>
          <w:p w14:paraId="57FF613D" w14:textId="77777777" w:rsidR="00235F06" w:rsidRPr="00972C81" w:rsidRDefault="00235F06" w:rsidP="00E81109">
            <w:pPr>
              <w:pStyle w:val="Table"/>
              <w:rPr>
                <w:noProof/>
              </w:rPr>
            </w:pPr>
            <w:r w:rsidRPr="00972C81">
              <w:rPr>
                <w:noProof/>
              </w:rPr>
              <w:t>Ce</w:t>
            </w:r>
          </w:p>
        </w:tc>
        <w:tc>
          <w:tcPr>
            <w:tcW w:w="965" w:type="pct"/>
          </w:tcPr>
          <w:p w14:paraId="7B425645" w14:textId="77777777" w:rsidR="00235F06" w:rsidRPr="00972C81" w:rsidRDefault="00235F06" w:rsidP="00E81109">
            <w:pPr>
              <w:pStyle w:val="Table"/>
              <w:rPr>
                <w:noProof/>
              </w:rPr>
            </w:pPr>
          </w:p>
        </w:tc>
        <w:tc>
          <w:tcPr>
            <w:tcW w:w="2017" w:type="pct"/>
            <w:hideMark/>
          </w:tcPr>
          <w:p w14:paraId="3AF49199" w14:textId="77777777" w:rsidR="00235F06" w:rsidRPr="00972C81" w:rsidRDefault="00235F06" w:rsidP="00E81109">
            <w:pPr>
              <w:pStyle w:val="Table"/>
              <w:rPr>
                <w:noProof/>
              </w:rPr>
            </w:pPr>
            <w:r w:rsidRPr="00972C81">
              <w:rPr>
                <w:noProof/>
              </w:rPr>
              <w:t>Chloride, citrate, fluoride, hydroxide</w:t>
            </w:r>
          </w:p>
        </w:tc>
        <w:tc>
          <w:tcPr>
            <w:tcW w:w="1403" w:type="pct"/>
            <w:hideMark/>
          </w:tcPr>
          <w:p w14:paraId="53827039" w14:textId="77777777" w:rsidR="00235F06" w:rsidRPr="00972C81" w:rsidRDefault="00235F06" w:rsidP="00E81109">
            <w:pPr>
              <w:pStyle w:val="Table"/>
              <w:rPr>
                <w:noProof/>
              </w:rPr>
            </w:pPr>
            <w:r w:rsidRPr="00972C81">
              <w:rPr>
                <w:noProof/>
              </w:rPr>
              <w:t>Irradiated fuel fragments</w:t>
            </w:r>
          </w:p>
        </w:tc>
      </w:tr>
      <w:tr w:rsidR="00235F06" w:rsidRPr="00972C81" w14:paraId="71BA1E24" w14:textId="77777777" w:rsidTr="00C47F2F">
        <w:trPr>
          <w:trHeight w:val="340"/>
          <w:jc w:val="center"/>
        </w:trPr>
        <w:tc>
          <w:tcPr>
            <w:tcW w:w="614" w:type="pct"/>
            <w:hideMark/>
          </w:tcPr>
          <w:p w14:paraId="106287CC" w14:textId="77777777" w:rsidR="00235F06" w:rsidRPr="00972C81" w:rsidRDefault="00235F06" w:rsidP="00E81109">
            <w:pPr>
              <w:pStyle w:val="Table"/>
              <w:rPr>
                <w:noProof/>
              </w:rPr>
            </w:pPr>
            <w:r w:rsidRPr="00972C81">
              <w:rPr>
                <w:noProof/>
              </w:rPr>
              <w:t>Pr</w:t>
            </w:r>
          </w:p>
        </w:tc>
        <w:tc>
          <w:tcPr>
            <w:tcW w:w="965" w:type="pct"/>
          </w:tcPr>
          <w:p w14:paraId="2F00565B" w14:textId="77777777" w:rsidR="00235F06" w:rsidRPr="00972C81" w:rsidRDefault="00235F06" w:rsidP="00E81109">
            <w:pPr>
              <w:pStyle w:val="Table"/>
              <w:rPr>
                <w:noProof/>
              </w:rPr>
            </w:pPr>
          </w:p>
        </w:tc>
        <w:tc>
          <w:tcPr>
            <w:tcW w:w="2017" w:type="pct"/>
            <w:hideMark/>
          </w:tcPr>
          <w:p w14:paraId="3AFDB235" w14:textId="77777777" w:rsidR="00235F06" w:rsidRPr="00972C81" w:rsidRDefault="00235F06" w:rsidP="00E81109">
            <w:pPr>
              <w:pStyle w:val="Table"/>
              <w:rPr>
                <w:noProof/>
              </w:rPr>
            </w:pPr>
            <w:r w:rsidRPr="00972C81">
              <w:rPr>
                <w:noProof/>
              </w:rPr>
              <w:t>Chloride</w:t>
            </w:r>
          </w:p>
        </w:tc>
        <w:tc>
          <w:tcPr>
            <w:tcW w:w="1403" w:type="pct"/>
          </w:tcPr>
          <w:p w14:paraId="31AA6A3B" w14:textId="77777777" w:rsidR="00235F06" w:rsidRPr="00972C81" w:rsidRDefault="00235F06" w:rsidP="00E81109">
            <w:pPr>
              <w:pStyle w:val="Table"/>
              <w:rPr>
                <w:noProof/>
              </w:rPr>
            </w:pPr>
          </w:p>
        </w:tc>
      </w:tr>
      <w:tr w:rsidR="00235F06" w:rsidRPr="00972C81" w14:paraId="43532145" w14:textId="77777777" w:rsidTr="00C47F2F">
        <w:trPr>
          <w:trHeight w:val="340"/>
          <w:jc w:val="center"/>
        </w:trPr>
        <w:tc>
          <w:tcPr>
            <w:tcW w:w="614" w:type="pct"/>
            <w:hideMark/>
          </w:tcPr>
          <w:p w14:paraId="0C233A93" w14:textId="77777777" w:rsidR="00235F06" w:rsidRPr="00972C81" w:rsidRDefault="00235F06" w:rsidP="00E81109">
            <w:pPr>
              <w:pStyle w:val="Table"/>
              <w:rPr>
                <w:noProof/>
              </w:rPr>
            </w:pPr>
            <w:r w:rsidRPr="00972C81">
              <w:rPr>
                <w:noProof/>
              </w:rPr>
              <w:t>Pm</w:t>
            </w:r>
          </w:p>
        </w:tc>
        <w:tc>
          <w:tcPr>
            <w:tcW w:w="965" w:type="pct"/>
          </w:tcPr>
          <w:p w14:paraId="3E8AD7AB" w14:textId="77777777" w:rsidR="00235F06" w:rsidRPr="00972C81" w:rsidRDefault="00235F06" w:rsidP="00E81109">
            <w:pPr>
              <w:pStyle w:val="Table"/>
              <w:rPr>
                <w:noProof/>
              </w:rPr>
            </w:pPr>
          </w:p>
        </w:tc>
        <w:tc>
          <w:tcPr>
            <w:tcW w:w="2017" w:type="pct"/>
            <w:hideMark/>
          </w:tcPr>
          <w:p w14:paraId="6F8092C9" w14:textId="77777777" w:rsidR="00235F06" w:rsidRPr="00972C81" w:rsidRDefault="00235F06" w:rsidP="00E81109">
            <w:pPr>
              <w:pStyle w:val="Table"/>
              <w:rPr>
                <w:noProof/>
              </w:rPr>
            </w:pPr>
            <w:r w:rsidRPr="00972C81">
              <w:rPr>
                <w:noProof/>
              </w:rPr>
              <w:t>Chloride, oxide (Pm</w:t>
            </w:r>
            <w:r w:rsidRPr="00972C81">
              <w:rPr>
                <w:noProof/>
                <w:vertAlign w:val="subscript"/>
              </w:rPr>
              <w:t>2</w:t>
            </w:r>
            <w:r w:rsidRPr="00972C81">
              <w:rPr>
                <w:noProof/>
              </w:rPr>
              <w:t>O</w:t>
            </w:r>
            <w:r w:rsidRPr="00972C81">
              <w:rPr>
                <w:noProof/>
                <w:vertAlign w:val="subscript"/>
              </w:rPr>
              <w:t>3</w:t>
            </w:r>
            <w:r w:rsidRPr="00972C81">
              <w:rPr>
                <w:noProof/>
              </w:rPr>
              <w:t>)</w:t>
            </w:r>
          </w:p>
        </w:tc>
        <w:tc>
          <w:tcPr>
            <w:tcW w:w="1403" w:type="pct"/>
          </w:tcPr>
          <w:p w14:paraId="328C16CA" w14:textId="77777777" w:rsidR="00235F06" w:rsidRPr="00972C81" w:rsidRDefault="00235F06" w:rsidP="00E81109">
            <w:pPr>
              <w:pStyle w:val="Table"/>
              <w:rPr>
                <w:noProof/>
              </w:rPr>
            </w:pPr>
          </w:p>
        </w:tc>
      </w:tr>
      <w:tr w:rsidR="00235F06" w:rsidRPr="00972C81" w14:paraId="5613FBB9" w14:textId="77777777" w:rsidTr="00C47F2F">
        <w:trPr>
          <w:trHeight w:val="340"/>
          <w:jc w:val="center"/>
        </w:trPr>
        <w:tc>
          <w:tcPr>
            <w:tcW w:w="614" w:type="pct"/>
            <w:hideMark/>
          </w:tcPr>
          <w:p w14:paraId="67301E65" w14:textId="77777777" w:rsidR="00235F06" w:rsidRPr="00972C81" w:rsidRDefault="00235F06" w:rsidP="00E81109">
            <w:pPr>
              <w:pStyle w:val="Table"/>
              <w:rPr>
                <w:noProof/>
              </w:rPr>
            </w:pPr>
            <w:r w:rsidRPr="00972C81">
              <w:rPr>
                <w:noProof/>
              </w:rPr>
              <w:t>Sm</w:t>
            </w:r>
          </w:p>
        </w:tc>
        <w:tc>
          <w:tcPr>
            <w:tcW w:w="965" w:type="pct"/>
          </w:tcPr>
          <w:p w14:paraId="3C0AE9B9" w14:textId="77777777" w:rsidR="00235F06" w:rsidRPr="00972C81" w:rsidRDefault="00235F06" w:rsidP="00E81109">
            <w:pPr>
              <w:pStyle w:val="Table"/>
              <w:rPr>
                <w:noProof/>
              </w:rPr>
            </w:pPr>
          </w:p>
        </w:tc>
        <w:tc>
          <w:tcPr>
            <w:tcW w:w="2017" w:type="pct"/>
            <w:hideMark/>
          </w:tcPr>
          <w:p w14:paraId="09B540AB" w14:textId="77777777" w:rsidR="00235F06" w:rsidRPr="00972C81" w:rsidRDefault="00235F06" w:rsidP="00E81109">
            <w:pPr>
              <w:pStyle w:val="Table"/>
              <w:rPr>
                <w:noProof/>
              </w:rPr>
            </w:pPr>
            <w:r w:rsidRPr="00972C81">
              <w:rPr>
                <w:noProof/>
              </w:rPr>
              <w:t>Chloride, oxide (Sm</w:t>
            </w:r>
            <w:r w:rsidRPr="00972C81">
              <w:rPr>
                <w:noProof/>
                <w:vertAlign w:val="subscript"/>
              </w:rPr>
              <w:t>2</w:t>
            </w:r>
            <w:r w:rsidRPr="00972C81">
              <w:rPr>
                <w:noProof/>
              </w:rPr>
              <w:t>O</w:t>
            </w:r>
            <w:r w:rsidRPr="00972C81">
              <w:rPr>
                <w:noProof/>
                <w:vertAlign w:val="subscript"/>
              </w:rPr>
              <w:t>3</w:t>
            </w:r>
            <w:r w:rsidRPr="00972C81">
              <w:rPr>
                <w:noProof/>
              </w:rPr>
              <w:t>)</w:t>
            </w:r>
          </w:p>
        </w:tc>
        <w:tc>
          <w:tcPr>
            <w:tcW w:w="1403" w:type="pct"/>
          </w:tcPr>
          <w:p w14:paraId="097E872A" w14:textId="77777777" w:rsidR="00235F06" w:rsidRPr="00972C81" w:rsidRDefault="00235F06" w:rsidP="00E81109">
            <w:pPr>
              <w:pStyle w:val="Table"/>
              <w:rPr>
                <w:noProof/>
              </w:rPr>
            </w:pPr>
          </w:p>
        </w:tc>
      </w:tr>
      <w:tr w:rsidR="00235F06" w:rsidRPr="00972C81" w14:paraId="3C24288C" w14:textId="77777777" w:rsidTr="00C47F2F">
        <w:trPr>
          <w:trHeight w:val="340"/>
          <w:jc w:val="center"/>
        </w:trPr>
        <w:tc>
          <w:tcPr>
            <w:tcW w:w="614" w:type="pct"/>
            <w:hideMark/>
          </w:tcPr>
          <w:p w14:paraId="57ACBB27" w14:textId="77777777" w:rsidR="00235F06" w:rsidRPr="00972C81" w:rsidRDefault="00235F06" w:rsidP="00E81109">
            <w:pPr>
              <w:pStyle w:val="Table"/>
              <w:rPr>
                <w:noProof/>
              </w:rPr>
            </w:pPr>
            <w:r w:rsidRPr="00972C81">
              <w:rPr>
                <w:noProof/>
              </w:rPr>
              <w:t>Eu</w:t>
            </w:r>
          </w:p>
        </w:tc>
        <w:tc>
          <w:tcPr>
            <w:tcW w:w="965" w:type="pct"/>
          </w:tcPr>
          <w:p w14:paraId="1894A3EF" w14:textId="77777777" w:rsidR="00235F06" w:rsidRPr="00972C81" w:rsidRDefault="00235F06" w:rsidP="00E81109">
            <w:pPr>
              <w:pStyle w:val="Table"/>
              <w:rPr>
                <w:noProof/>
              </w:rPr>
            </w:pPr>
          </w:p>
        </w:tc>
        <w:tc>
          <w:tcPr>
            <w:tcW w:w="2017" w:type="pct"/>
            <w:hideMark/>
          </w:tcPr>
          <w:p w14:paraId="1961B65B" w14:textId="77777777" w:rsidR="00235F06" w:rsidRPr="00972C81" w:rsidRDefault="00235F06" w:rsidP="00E81109">
            <w:pPr>
              <w:pStyle w:val="Table"/>
              <w:rPr>
                <w:noProof/>
              </w:rPr>
            </w:pPr>
            <w:r w:rsidRPr="00972C81">
              <w:rPr>
                <w:noProof/>
              </w:rPr>
              <w:t>Nitrate, oxide (Eu</w:t>
            </w:r>
            <w:r w:rsidRPr="00972C81">
              <w:rPr>
                <w:noProof/>
                <w:vertAlign w:val="subscript"/>
              </w:rPr>
              <w:t>2</w:t>
            </w:r>
            <w:r w:rsidRPr="00972C81">
              <w:rPr>
                <w:noProof/>
              </w:rPr>
              <w:t>O</w:t>
            </w:r>
            <w:r w:rsidRPr="00972C81">
              <w:rPr>
                <w:noProof/>
                <w:vertAlign w:val="subscript"/>
              </w:rPr>
              <w:t>3</w:t>
            </w:r>
            <w:r w:rsidRPr="00972C81">
              <w:rPr>
                <w:noProof/>
              </w:rPr>
              <w:t>)</w:t>
            </w:r>
          </w:p>
        </w:tc>
        <w:tc>
          <w:tcPr>
            <w:tcW w:w="1403" w:type="pct"/>
          </w:tcPr>
          <w:p w14:paraId="549D932E" w14:textId="77777777" w:rsidR="00235F06" w:rsidRPr="00972C81" w:rsidRDefault="00235F06" w:rsidP="00E81109">
            <w:pPr>
              <w:pStyle w:val="Table"/>
              <w:rPr>
                <w:noProof/>
              </w:rPr>
            </w:pPr>
          </w:p>
        </w:tc>
      </w:tr>
      <w:tr w:rsidR="00235F06" w:rsidRPr="00972C81" w14:paraId="3936B8CC" w14:textId="77777777" w:rsidTr="00C47F2F">
        <w:trPr>
          <w:trHeight w:val="340"/>
          <w:jc w:val="center"/>
        </w:trPr>
        <w:tc>
          <w:tcPr>
            <w:tcW w:w="614" w:type="pct"/>
            <w:hideMark/>
          </w:tcPr>
          <w:p w14:paraId="52345EB8" w14:textId="77777777" w:rsidR="00235F06" w:rsidRPr="00972C81" w:rsidRDefault="00235F06" w:rsidP="00E81109">
            <w:pPr>
              <w:pStyle w:val="Table"/>
              <w:rPr>
                <w:noProof/>
              </w:rPr>
            </w:pPr>
            <w:r w:rsidRPr="00972C81">
              <w:rPr>
                <w:noProof/>
              </w:rPr>
              <w:t>Gd</w:t>
            </w:r>
          </w:p>
        </w:tc>
        <w:tc>
          <w:tcPr>
            <w:tcW w:w="965" w:type="pct"/>
            <w:hideMark/>
          </w:tcPr>
          <w:p w14:paraId="3E22AD35" w14:textId="77777777" w:rsidR="00235F06" w:rsidRPr="00972C81" w:rsidRDefault="00235F06" w:rsidP="00E81109">
            <w:pPr>
              <w:pStyle w:val="Table"/>
              <w:rPr>
                <w:noProof/>
              </w:rPr>
            </w:pPr>
            <w:r w:rsidRPr="00972C81">
              <w:rPr>
                <w:noProof/>
              </w:rPr>
              <w:t>Chloride, citrate</w:t>
            </w:r>
          </w:p>
        </w:tc>
        <w:tc>
          <w:tcPr>
            <w:tcW w:w="2017" w:type="pct"/>
            <w:hideMark/>
          </w:tcPr>
          <w:p w14:paraId="535BA777" w14:textId="77777777" w:rsidR="00235F06" w:rsidRPr="00972C81" w:rsidRDefault="00235F06" w:rsidP="00E81109">
            <w:pPr>
              <w:pStyle w:val="Table"/>
              <w:rPr>
                <w:noProof/>
              </w:rPr>
            </w:pPr>
            <w:r w:rsidRPr="00972C81">
              <w:rPr>
                <w:noProof/>
              </w:rPr>
              <w:t>Oxide (Gd</w:t>
            </w:r>
            <w:r w:rsidRPr="00972C81">
              <w:rPr>
                <w:noProof/>
                <w:vertAlign w:val="subscript"/>
              </w:rPr>
              <w:t>2</w:t>
            </w:r>
            <w:r w:rsidRPr="00972C81">
              <w:rPr>
                <w:noProof/>
              </w:rPr>
              <w:t>O</w:t>
            </w:r>
            <w:r w:rsidRPr="00972C81">
              <w:rPr>
                <w:noProof/>
                <w:vertAlign w:val="subscript"/>
              </w:rPr>
              <w:t>3</w:t>
            </w:r>
            <w:r w:rsidRPr="00972C81">
              <w:rPr>
                <w:noProof/>
              </w:rPr>
              <w:t>)</w:t>
            </w:r>
          </w:p>
        </w:tc>
        <w:tc>
          <w:tcPr>
            <w:tcW w:w="1403" w:type="pct"/>
          </w:tcPr>
          <w:p w14:paraId="7E345891" w14:textId="77777777" w:rsidR="00235F06" w:rsidRPr="00972C81" w:rsidRDefault="00235F06" w:rsidP="00E81109">
            <w:pPr>
              <w:pStyle w:val="Table"/>
              <w:rPr>
                <w:noProof/>
              </w:rPr>
            </w:pPr>
          </w:p>
        </w:tc>
      </w:tr>
      <w:tr w:rsidR="00235F06" w:rsidRPr="00972C81" w14:paraId="1B1B1FA8" w14:textId="77777777" w:rsidTr="00C47F2F">
        <w:trPr>
          <w:trHeight w:val="340"/>
          <w:jc w:val="center"/>
        </w:trPr>
        <w:tc>
          <w:tcPr>
            <w:tcW w:w="614" w:type="pct"/>
            <w:hideMark/>
          </w:tcPr>
          <w:p w14:paraId="035C4959" w14:textId="77777777" w:rsidR="00235F06" w:rsidRPr="00972C81" w:rsidRDefault="00235F06" w:rsidP="00E81109">
            <w:pPr>
              <w:pStyle w:val="Table"/>
              <w:rPr>
                <w:noProof/>
              </w:rPr>
            </w:pPr>
            <w:r w:rsidRPr="00972C81">
              <w:rPr>
                <w:noProof/>
              </w:rPr>
              <w:t>Tb</w:t>
            </w:r>
          </w:p>
        </w:tc>
        <w:tc>
          <w:tcPr>
            <w:tcW w:w="965" w:type="pct"/>
          </w:tcPr>
          <w:p w14:paraId="067689A4" w14:textId="77777777" w:rsidR="00235F06" w:rsidRPr="00972C81" w:rsidRDefault="00235F06" w:rsidP="00E81109">
            <w:pPr>
              <w:pStyle w:val="Table"/>
              <w:rPr>
                <w:noProof/>
              </w:rPr>
            </w:pPr>
          </w:p>
        </w:tc>
        <w:tc>
          <w:tcPr>
            <w:tcW w:w="2017" w:type="pct"/>
            <w:hideMark/>
          </w:tcPr>
          <w:p w14:paraId="0C8B15CC" w14:textId="77777777" w:rsidR="00235F06" w:rsidRPr="00972C81" w:rsidRDefault="00235F06" w:rsidP="00E81109">
            <w:pPr>
              <w:pStyle w:val="Table"/>
              <w:rPr>
                <w:noProof/>
              </w:rPr>
            </w:pPr>
            <w:r w:rsidRPr="00972C81">
              <w:rPr>
                <w:noProof/>
              </w:rPr>
              <w:t>Oxide (Tb</w:t>
            </w:r>
            <w:r w:rsidRPr="00972C81">
              <w:rPr>
                <w:noProof/>
                <w:vertAlign w:val="subscript"/>
              </w:rPr>
              <w:t>4</w:t>
            </w:r>
            <w:r w:rsidRPr="00972C81">
              <w:rPr>
                <w:noProof/>
              </w:rPr>
              <w:t>O</w:t>
            </w:r>
            <w:r w:rsidRPr="00972C81">
              <w:rPr>
                <w:noProof/>
                <w:vertAlign w:val="subscript"/>
              </w:rPr>
              <w:t>7</w:t>
            </w:r>
            <w:r w:rsidRPr="00972C81">
              <w:rPr>
                <w:noProof/>
              </w:rPr>
              <w:t>)</w:t>
            </w:r>
          </w:p>
        </w:tc>
        <w:tc>
          <w:tcPr>
            <w:tcW w:w="1403" w:type="pct"/>
          </w:tcPr>
          <w:p w14:paraId="4ECFF5F2" w14:textId="77777777" w:rsidR="00235F06" w:rsidRPr="00972C81" w:rsidRDefault="00235F06" w:rsidP="00E81109">
            <w:pPr>
              <w:pStyle w:val="Table"/>
              <w:rPr>
                <w:noProof/>
              </w:rPr>
            </w:pPr>
          </w:p>
        </w:tc>
      </w:tr>
      <w:tr w:rsidR="00235F06" w:rsidRPr="00972C81" w14:paraId="1B4CB673" w14:textId="77777777" w:rsidTr="00C47F2F">
        <w:trPr>
          <w:trHeight w:val="340"/>
          <w:jc w:val="center"/>
        </w:trPr>
        <w:tc>
          <w:tcPr>
            <w:tcW w:w="614" w:type="pct"/>
            <w:tcBorders>
              <w:bottom w:val="single" w:sz="4" w:space="0" w:color="auto"/>
            </w:tcBorders>
            <w:hideMark/>
          </w:tcPr>
          <w:p w14:paraId="7A9A223B" w14:textId="77777777" w:rsidR="00235F06" w:rsidRPr="00972C81" w:rsidRDefault="00235F06" w:rsidP="00E81109">
            <w:pPr>
              <w:pStyle w:val="Table"/>
              <w:rPr>
                <w:noProof/>
              </w:rPr>
            </w:pPr>
            <w:r w:rsidRPr="00972C81">
              <w:rPr>
                <w:noProof/>
              </w:rPr>
              <w:t>Tm</w:t>
            </w:r>
          </w:p>
        </w:tc>
        <w:tc>
          <w:tcPr>
            <w:tcW w:w="965" w:type="pct"/>
            <w:tcBorders>
              <w:bottom w:val="single" w:sz="4" w:space="0" w:color="auto"/>
            </w:tcBorders>
          </w:tcPr>
          <w:p w14:paraId="0620261A" w14:textId="77777777" w:rsidR="00235F06" w:rsidRPr="00972C81" w:rsidRDefault="00235F06" w:rsidP="00E81109">
            <w:pPr>
              <w:pStyle w:val="Table"/>
              <w:rPr>
                <w:noProof/>
              </w:rPr>
            </w:pPr>
          </w:p>
        </w:tc>
        <w:tc>
          <w:tcPr>
            <w:tcW w:w="2017" w:type="pct"/>
            <w:tcBorders>
              <w:bottom w:val="single" w:sz="4" w:space="0" w:color="auto"/>
            </w:tcBorders>
            <w:hideMark/>
          </w:tcPr>
          <w:p w14:paraId="1A625FE1" w14:textId="77777777" w:rsidR="00235F06" w:rsidRPr="00972C81" w:rsidRDefault="00235F06" w:rsidP="00E81109">
            <w:pPr>
              <w:pStyle w:val="Table"/>
              <w:rPr>
                <w:noProof/>
              </w:rPr>
            </w:pPr>
            <w:r w:rsidRPr="00972C81">
              <w:rPr>
                <w:noProof/>
              </w:rPr>
              <w:t>Oxide (Tm</w:t>
            </w:r>
            <w:r w:rsidRPr="00972C81">
              <w:rPr>
                <w:noProof/>
                <w:vertAlign w:val="subscript"/>
              </w:rPr>
              <w:t>2</w:t>
            </w:r>
            <w:r w:rsidRPr="00972C81">
              <w:rPr>
                <w:noProof/>
              </w:rPr>
              <w:t>O</w:t>
            </w:r>
            <w:r w:rsidRPr="00972C81">
              <w:rPr>
                <w:noProof/>
                <w:vertAlign w:val="subscript"/>
              </w:rPr>
              <w:t>3</w:t>
            </w:r>
            <w:r w:rsidRPr="00972C81">
              <w:rPr>
                <w:noProof/>
              </w:rPr>
              <w:t>)</w:t>
            </w:r>
          </w:p>
        </w:tc>
        <w:tc>
          <w:tcPr>
            <w:tcW w:w="1403" w:type="pct"/>
            <w:tcBorders>
              <w:bottom w:val="single" w:sz="4" w:space="0" w:color="auto"/>
            </w:tcBorders>
          </w:tcPr>
          <w:p w14:paraId="4B050990" w14:textId="77777777" w:rsidR="00235F06" w:rsidRPr="00972C81" w:rsidRDefault="00235F06" w:rsidP="00E81109">
            <w:pPr>
              <w:pStyle w:val="Table"/>
              <w:rPr>
                <w:noProof/>
              </w:rPr>
            </w:pPr>
          </w:p>
        </w:tc>
      </w:tr>
    </w:tbl>
    <w:p w14:paraId="69002B26" w14:textId="60B03D3F" w:rsidR="00235F06" w:rsidRPr="00972C81" w:rsidRDefault="0017583B" w:rsidP="0017583B">
      <w:pPr>
        <w:pStyle w:val="Note"/>
        <w:rPr>
          <w:noProof/>
        </w:rPr>
      </w:pPr>
      <w:r w:rsidRPr="00972C81">
        <w:rPr>
          <w:noProof/>
          <w:vertAlign w:val="superscript"/>
        </w:rPr>
        <w:t>*</w:t>
      </w:r>
      <w:r w:rsidR="00235F06" w:rsidRPr="00972C81">
        <w:rPr>
          <w:noProof/>
        </w:rPr>
        <w:t>See text of individual element section</w:t>
      </w:r>
      <w:r w:rsidR="008474C8" w:rsidRPr="00972C81">
        <w:rPr>
          <w:noProof/>
        </w:rPr>
        <w:t xml:space="preserve"> in </w:t>
      </w:r>
      <w:r w:rsidRPr="00972C81">
        <w:rPr>
          <w:i/>
          <w:noProof/>
        </w:rPr>
        <w:t>Publication 141</w:t>
      </w:r>
      <w:r w:rsidRPr="00972C81">
        <w:rPr>
          <w:noProof/>
        </w:rPr>
        <w:t xml:space="preserve"> </w:t>
      </w:r>
      <w:r w:rsidRPr="00972C81">
        <w:rPr>
          <w:noProof/>
        </w:rPr>
        <w:fldChar w:fldCharType="begin"/>
      </w:r>
      <w:r w:rsidRPr="00972C81">
        <w:rPr>
          <w:noProof/>
        </w:rPr>
        <w:instrText xml:space="preserve"> ADDIN ZOTERO_ITEM CSL_CITATION {"citationID":"cxBgqpSa","properties":{"formattedCitation":"(ICRP,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Pr="00972C81">
        <w:rPr>
          <w:noProof/>
        </w:rPr>
        <w:fldChar w:fldCharType="separate"/>
      </w:r>
      <w:r w:rsidR="00BC59C6" w:rsidRPr="00972C81">
        <w:rPr>
          <w:noProof/>
        </w:rPr>
        <w:t>(ICRP, 2019)</w:t>
      </w:r>
      <w:r w:rsidRPr="00972C81">
        <w:rPr>
          <w:noProof/>
        </w:rPr>
        <w:fldChar w:fldCharType="end"/>
      </w:r>
      <w:r w:rsidR="00235F06" w:rsidRPr="00972C81">
        <w:rPr>
          <w:noProof/>
        </w:rPr>
        <w:t>.</w:t>
      </w:r>
    </w:p>
    <w:p w14:paraId="76B43DD9" w14:textId="77777777" w:rsidR="00AE7A83" w:rsidRPr="00972C81" w:rsidRDefault="00DC407D" w:rsidP="00E81109">
      <w:pPr>
        <w:pStyle w:val="3"/>
        <w:rPr>
          <w:noProof/>
        </w:rPr>
      </w:pPr>
      <w:bookmarkStart w:id="46" w:name="_Toc162629986"/>
      <w:r w:rsidRPr="00972C81">
        <w:rPr>
          <w:noProof/>
        </w:rPr>
        <w:t>Ingestion</w:t>
      </w:r>
      <w:bookmarkEnd w:id="46"/>
    </w:p>
    <w:p w14:paraId="7BB5A138" w14:textId="07A3C41F" w:rsidR="007D1F4D" w:rsidRPr="00972C81" w:rsidRDefault="00DC407D" w:rsidP="00BB503E">
      <w:pPr>
        <w:pStyle w:val="Annalstext"/>
        <w:rPr>
          <w:noProof/>
        </w:rPr>
      </w:pPr>
      <w:r w:rsidRPr="00972C81">
        <w:rPr>
          <w:i/>
          <w:noProof/>
        </w:rPr>
        <w:t>Adults</w:t>
      </w:r>
      <w:r w:rsidR="006F1BF7" w:rsidRPr="00972C81">
        <w:rPr>
          <w:i/>
          <w:noProof/>
        </w:rPr>
        <w:t>.</w:t>
      </w:r>
      <w:r w:rsidR="006F1BF7" w:rsidRPr="00972C81">
        <w:rPr>
          <w:noProof/>
        </w:rPr>
        <w:t xml:space="preserve"> </w:t>
      </w:r>
      <w:r w:rsidR="00A31600" w:rsidRPr="00972C81">
        <w:rPr>
          <w:noProof/>
        </w:rPr>
        <w:t xml:space="preserve">In Section 2 of </w:t>
      </w:r>
      <w:r w:rsidR="0017583B" w:rsidRPr="00BB503E">
        <w:rPr>
          <w:i/>
          <w:noProof/>
          <w:szCs w:val="24"/>
        </w:rPr>
        <w:t>Publication 141</w:t>
      </w:r>
      <w:r w:rsidR="0017583B" w:rsidRPr="00BB503E">
        <w:rPr>
          <w:noProof/>
          <w:szCs w:val="24"/>
        </w:rPr>
        <w:t xml:space="preserve"> </w:t>
      </w:r>
      <w:r w:rsidR="0017583B" w:rsidRPr="00BB503E">
        <w:rPr>
          <w:noProof/>
          <w:szCs w:val="24"/>
        </w:rPr>
        <w:fldChar w:fldCharType="begin"/>
      </w:r>
      <w:r w:rsidR="0017583B" w:rsidRPr="00BB503E">
        <w:rPr>
          <w:noProof/>
          <w:szCs w:val="24"/>
        </w:rPr>
        <w:instrText xml:space="preserve"> ADDIN ZOTERO_ITEM CSL_CITATION {"citationID":"AJUFXZxK","properties":{"formattedCitation":"(ICRP,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17583B" w:rsidRPr="00BB503E">
        <w:rPr>
          <w:noProof/>
          <w:szCs w:val="24"/>
        </w:rPr>
        <w:fldChar w:fldCharType="separate"/>
      </w:r>
      <w:r w:rsidR="00BC59C6" w:rsidRPr="00BB503E">
        <w:rPr>
          <w:noProof/>
          <w:szCs w:val="24"/>
        </w:rPr>
        <w:t>(ICRP, 2019)</w:t>
      </w:r>
      <w:r w:rsidR="0017583B" w:rsidRPr="00BB503E">
        <w:rPr>
          <w:noProof/>
          <w:szCs w:val="24"/>
        </w:rPr>
        <w:fldChar w:fldCharType="end"/>
      </w:r>
      <w:r w:rsidR="00A31600" w:rsidRPr="00BB503E">
        <w:rPr>
          <w:noProof/>
          <w:szCs w:val="24"/>
        </w:rPr>
        <w:t xml:space="preserve"> (A Generic</w:t>
      </w:r>
      <w:r w:rsidR="00A31600" w:rsidRPr="00972C81">
        <w:rPr>
          <w:noProof/>
        </w:rPr>
        <w:t xml:space="preserve"> Biokinetic Modelling Scheme for the Lanthanides) information relating to the gastrointestinal absorption of different lanthanide elements was compared.</w:t>
      </w:r>
      <w:r w:rsidR="003F3799" w:rsidRPr="00972C81">
        <w:rPr>
          <w:noProof/>
        </w:rPr>
        <w:t xml:space="preserve"> Their fractional ab</w:t>
      </w:r>
      <w:r w:rsidR="00EE25F8" w:rsidRPr="00972C81">
        <w:rPr>
          <w:noProof/>
        </w:rPr>
        <w:t xml:space="preserve">sorption was found to </w:t>
      </w:r>
      <w:r w:rsidR="00C10792" w:rsidRPr="00972C81">
        <w:rPr>
          <w:noProof/>
        </w:rPr>
        <w:t xml:space="preserve">be </w:t>
      </w:r>
      <w:r w:rsidR="00EE25F8" w:rsidRPr="00972C81">
        <w:rPr>
          <w:noProof/>
        </w:rPr>
        <w:t xml:space="preserve">below </w:t>
      </w:r>
      <w:r w:rsidR="003F3799" w:rsidRPr="00972C81">
        <w:rPr>
          <w:noProof/>
        </w:rPr>
        <w:t>10</w:t>
      </w:r>
      <w:r w:rsidRPr="00972C81">
        <w:rPr>
          <w:noProof/>
          <w:vertAlign w:val="superscript"/>
        </w:rPr>
        <w:t>-3</w:t>
      </w:r>
      <w:r w:rsidR="003F3799" w:rsidRPr="00972C81">
        <w:rPr>
          <w:noProof/>
        </w:rPr>
        <w:t xml:space="preserve"> in most cases and a </w:t>
      </w:r>
      <w:r w:rsidR="003F3799" w:rsidRPr="00972C81">
        <w:rPr>
          <w:i/>
          <w:noProof/>
        </w:rPr>
        <w:t>f</w:t>
      </w:r>
      <w:r w:rsidR="003F3799" w:rsidRPr="00972C81">
        <w:rPr>
          <w:noProof/>
          <w:vertAlign w:val="subscript"/>
        </w:rPr>
        <w:t>A</w:t>
      </w:r>
      <w:r w:rsidR="003F3799" w:rsidRPr="00972C81">
        <w:rPr>
          <w:noProof/>
        </w:rPr>
        <w:t xml:space="preserve"> value 5</w:t>
      </w:r>
      <w:r w:rsidR="00067025" w:rsidRPr="00972C81">
        <w:rPr>
          <w:noProof/>
        </w:rPr>
        <w:t xml:space="preserve"> × </w:t>
      </w:r>
      <w:r w:rsidR="003F3799" w:rsidRPr="00972C81">
        <w:rPr>
          <w:noProof/>
        </w:rPr>
        <w:t>10</w:t>
      </w:r>
      <w:r w:rsidR="003F3799" w:rsidRPr="00972C81">
        <w:rPr>
          <w:noProof/>
          <w:vertAlign w:val="superscript"/>
        </w:rPr>
        <w:t>–4</w:t>
      </w:r>
      <w:r w:rsidR="003F3799" w:rsidRPr="00972C81">
        <w:rPr>
          <w:noProof/>
        </w:rPr>
        <w:t xml:space="preserve"> was adopted for all lanthanides as a reasonably representative value based on experimental results.</w:t>
      </w:r>
      <w:r w:rsidR="00A31600" w:rsidRPr="00972C81">
        <w:rPr>
          <w:noProof/>
        </w:rPr>
        <w:t xml:space="preserve"> </w:t>
      </w:r>
      <w:r w:rsidR="006F1BF7" w:rsidRPr="00972C81">
        <w:rPr>
          <w:noProof/>
        </w:rPr>
        <w:t xml:space="preserve">For lanthanum, </w:t>
      </w:r>
      <w:r w:rsidR="005668FF" w:rsidRPr="00972C81">
        <w:rPr>
          <w:noProof/>
        </w:rPr>
        <w:t>S</w:t>
      </w:r>
      <w:r w:rsidR="006F1BF7" w:rsidRPr="00972C81">
        <w:rPr>
          <w:noProof/>
        </w:rPr>
        <w:t xml:space="preserve">ection 3 of </w:t>
      </w:r>
      <w:r w:rsidR="0017583B" w:rsidRPr="00972C81">
        <w:rPr>
          <w:i/>
          <w:noProof/>
        </w:rPr>
        <w:t>Publication 141</w:t>
      </w:r>
      <w:r w:rsidR="006F1BF7" w:rsidRPr="00972C81">
        <w:rPr>
          <w:noProof/>
        </w:rPr>
        <w:t xml:space="preserve"> </w:t>
      </w:r>
      <w:r w:rsidR="005668FF" w:rsidRPr="00972C81">
        <w:rPr>
          <w:noProof/>
        </w:rPr>
        <w:t>reported</w:t>
      </w:r>
      <w:r w:rsidR="006F1BF7" w:rsidRPr="00972C81">
        <w:rPr>
          <w:noProof/>
        </w:rPr>
        <w:t xml:space="preserve"> results of animal studies showing fractional absorption from less than</w:t>
      </w:r>
      <w:r w:rsidR="005668FF" w:rsidRPr="00972C81">
        <w:rPr>
          <w:noProof/>
        </w:rPr>
        <w:t xml:space="preserve"> </w:t>
      </w:r>
      <w:r w:rsidR="006F1BF7" w:rsidRPr="00972C81">
        <w:rPr>
          <w:noProof/>
        </w:rPr>
        <w:t>7</w:t>
      </w:r>
      <w:r w:rsidR="00067025" w:rsidRPr="00972C81">
        <w:rPr>
          <w:noProof/>
        </w:rPr>
        <w:t xml:space="preserve"> × </w:t>
      </w:r>
      <w:r w:rsidR="006F1BF7" w:rsidRPr="00972C81">
        <w:rPr>
          <w:noProof/>
        </w:rPr>
        <w:t>10</w:t>
      </w:r>
      <w:r w:rsidRPr="00972C81">
        <w:rPr>
          <w:noProof/>
          <w:vertAlign w:val="superscript"/>
        </w:rPr>
        <w:t>-6</w:t>
      </w:r>
      <w:r w:rsidR="006F1BF7" w:rsidRPr="00972C81">
        <w:rPr>
          <w:noProof/>
        </w:rPr>
        <w:t xml:space="preserve"> to about 2</w:t>
      </w:r>
      <w:r w:rsidR="00067025" w:rsidRPr="00972C81">
        <w:rPr>
          <w:noProof/>
        </w:rPr>
        <w:t xml:space="preserve"> × </w:t>
      </w:r>
      <w:r w:rsidR="006F1BF7" w:rsidRPr="00972C81">
        <w:rPr>
          <w:noProof/>
        </w:rPr>
        <w:t>10</w:t>
      </w:r>
      <w:r w:rsidRPr="00972C81">
        <w:rPr>
          <w:noProof/>
          <w:vertAlign w:val="superscript"/>
        </w:rPr>
        <w:t>-3</w:t>
      </w:r>
      <w:r w:rsidR="006F1BF7" w:rsidRPr="00972C81">
        <w:rPr>
          <w:noProof/>
        </w:rPr>
        <w:t>. In one human study, the fractional absorption was around 10</w:t>
      </w:r>
      <w:r w:rsidR="006F1BF7" w:rsidRPr="00972C81">
        <w:rPr>
          <w:noProof/>
          <w:vertAlign w:val="superscript"/>
        </w:rPr>
        <w:t>–5</w:t>
      </w:r>
      <w:r w:rsidR="006F1BF7" w:rsidRPr="00972C81">
        <w:rPr>
          <w:noProof/>
        </w:rPr>
        <w:t xml:space="preserve"> </w:t>
      </w:r>
      <w:r w:rsidR="0017583B" w:rsidRPr="00972C81">
        <w:rPr>
          <w:noProof/>
        </w:rPr>
        <w:fldChar w:fldCharType="begin"/>
      </w:r>
      <w:r w:rsidR="0017583B" w:rsidRPr="00972C81">
        <w:rPr>
          <w:noProof/>
        </w:rPr>
        <w:instrText xml:space="preserve"> ADDIN ZOTERO_ITEM CSL_CITATION {"citationID":"AVc052lh","properties":{"formattedCitation":"(Pennick et al., 2006)","plainCitation":"(Pennick et al., 2006)","noteIndex":0},"citationItems":[{"id":4746,"uris":["http://zotero.org/groups/2470620/items/BJ6UMYSH"],"itemData":{"id":4746,"type":"article-journal","archive":"Scopus","container-title":"Journal of Clinical Pharmacology","DOI":"10.1177/0091270006289846","ISSN":"15524604 (ISSN)","issue":"7","journalAbbreviation":"J. Clin. Pharmacol.","language":"English","page":"738-746","title":"Absolute bioavailability and disposition of lanthanum in healthy human subjects administered lanthanum carbonate","volume":"46","author":[{"family":"Pennick","given":"M."},{"family":"Dennis","given":"K."},{"family":"Damment","given":"S.J.P."}],"issued":{"date-parts":[["2006"]]}}}],"schema":"https://github.com/citation-style-language/schema/raw/master/csl-citation.json"} </w:instrText>
      </w:r>
      <w:r w:rsidR="0017583B" w:rsidRPr="00972C81">
        <w:rPr>
          <w:noProof/>
        </w:rPr>
        <w:fldChar w:fldCharType="separate"/>
      </w:r>
      <w:r w:rsidR="00BC59C6" w:rsidRPr="00972C81">
        <w:rPr>
          <w:noProof/>
        </w:rPr>
        <w:t>(Pennick et al., 2006)</w:t>
      </w:r>
      <w:r w:rsidR="0017583B" w:rsidRPr="00972C81">
        <w:rPr>
          <w:noProof/>
        </w:rPr>
        <w:fldChar w:fldCharType="end"/>
      </w:r>
      <w:r w:rsidR="006F1BF7" w:rsidRPr="00972C81">
        <w:rPr>
          <w:noProof/>
        </w:rPr>
        <w:t>.</w:t>
      </w:r>
      <w:r w:rsidR="005668FF" w:rsidRPr="00972C81">
        <w:rPr>
          <w:noProof/>
        </w:rPr>
        <w:t xml:space="preserve"> The value of </w:t>
      </w:r>
      <w:r w:rsidRPr="00BB503E">
        <w:rPr>
          <w:i/>
          <w:noProof/>
        </w:rPr>
        <w:t>f</w:t>
      </w:r>
      <w:r w:rsidRPr="00BB503E">
        <w:rPr>
          <w:noProof/>
          <w:vertAlign w:val="subscript"/>
        </w:rPr>
        <w:t>A</w:t>
      </w:r>
      <w:r w:rsidR="00972C81" w:rsidRPr="00972C81">
        <w:rPr>
          <w:noProof/>
        </w:rPr>
        <w:t> </w:t>
      </w:r>
      <w:r w:rsidR="005668FF" w:rsidRPr="00972C81">
        <w:rPr>
          <w:noProof/>
        </w:rPr>
        <w:t>=</w:t>
      </w:r>
      <w:r w:rsidR="00972C81" w:rsidRPr="00972C81">
        <w:rPr>
          <w:noProof/>
        </w:rPr>
        <w:t> </w:t>
      </w:r>
      <w:r w:rsidR="005668FF" w:rsidRPr="00972C81">
        <w:rPr>
          <w:noProof/>
        </w:rPr>
        <w:t>5</w:t>
      </w:r>
      <w:r w:rsidR="00972C81" w:rsidRPr="00972C81">
        <w:rPr>
          <w:noProof/>
        </w:rPr>
        <w:t> </w:t>
      </w:r>
      <w:r w:rsidR="00067025" w:rsidRPr="00972C81">
        <w:rPr>
          <w:noProof/>
        </w:rPr>
        <w:t>×</w:t>
      </w:r>
      <w:r w:rsidR="005668FF" w:rsidRPr="00972C81">
        <w:rPr>
          <w:noProof/>
        </w:rPr>
        <w:t>10</w:t>
      </w:r>
      <w:r w:rsidR="005668FF" w:rsidRPr="00BB503E">
        <w:rPr>
          <w:noProof/>
          <w:vertAlign w:val="superscript"/>
        </w:rPr>
        <w:t>–4</w:t>
      </w:r>
      <w:r w:rsidR="005668FF" w:rsidRPr="00972C81">
        <w:rPr>
          <w:noProof/>
        </w:rPr>
        <w:t xml:space="preserve"> </w:t>
      </w:r>
      <w:r w:rsidRPr="00972C81">
        <w:rPr>
          <w:noProof/>
        </w:rPr>
        <w:t>is</w:t>
      </w:r>
      <w:r w:rsidR="005668FF" w:rsidRPr="00972C81">
        <w:rPr>
          <w:noProof/>
        </w:rPr>
        <w:t xml:space="preserve"> adopted here for intakes of lanthanum by adult members of the public.</w:t>
      </w:r>
    </w:p>
    <w:p w14:paraId="75A51BB5" w14:textId="3D1526F9" w:rsidR="007D1F4D" w:rsidRPr="00972C81" w:rsidRDefault="005668FF" w:rsidP="001C4A92">
      <w:pPr>
        <w:pStyle w:val="Annalstext"/>
        <w:rPr>
          <w:noProof/>
        </w:rPr>
      </w:pPr>
      <w:r w:rsidRPr="00972C81">
        <w:rPr>
          <w:i/>
          <w:noProof/>
        </w:rPr>
        <w:t>Children</w:t>
      </w:r>
      <w:r w:rsidRPr="00972C81">
        <w:rPr>
          <w:noProof/>
        </w:rPr>
        <w:t xml:space="preserve">. The age-dependency of </w:t>
      </w:r>
      <w:r w:rsidRPr="00972C81">
        <w:rPr>
          <w:noProof/>
          <w:color w:val="000000" w:themeColor="text1"/>
        </w:rPr>
        <w:t>lanthanum</w:t>
      </w:r>
      <w:r w:rsidRPr="00972C81">
        <w:rPr>
          <w:noProof/>
        </w:rPr>
        <w:t xml:space="preserve"> absorption was not observed. On the basis of the chemical analogy with cerium, t</w:t>
      </w:r>
      <w:r w:rsidRPr="00972C81">
        <w:rPr>
          <w:noProof/>
          <w:lang w:eastAsia="fr-FR"/>
        </w:rPr>
        <w:t xml:space="preserve">he same values of </w:t>
      </w:r>
      <w:r w:rsidRPr="00972C81">
        <w:rPr>
          <w:i/>
          <w:noProof/>
          <w:lang w:eastAsia="fr-FR"/>
        </w:rPr>
        <w:t>f</w:t>
      </w:r>
      <w:r w:rsidRPr="00972C81">
        <w:rPr>
          <w:noProof/>
          <w:vertAlign w:val="subscript"/>
          <w:lang w:eastAsia="fr-FR"/>
        </w:rPr>
        <w:t>A</w:t>
      </w:r>
      <w:r w:rsidRPr="00972C81">
        <w:rPr>
          <w:noProof/>
          <w:lang w:eastAsia="fr-FR"/>
        </w:rPr>
        <w:t xml:space="preserve"> = 5</w:t>
      </w:r>
      <w:r w:rsidR="00067025" w:rsidRPr="00972C81">
        <w:rPr>
          <w:noProof/>
          <w:lang w:eastAsia="fr-FR"/>
        </w:rPr>
        <w:t xml:space="preserve"> × </w:t>
      </w:r>
      <w:r w:rsidRPr="00972C81">
        <w:rPr>
          <w:noProof/>
          <w:lang w:eastAsia="fr-FR"/>
        </w:rPr>
        <w:t>10</w:t>
      </w:r>
      <w:r w:rsidRPr="00972C81">
        <w:rPr>
          <w:noProof/>
          <w:vertAlign w:val="superscript"/>
          <w:lang w:eastAsia="fr-FR"/>
        </w:rPr>
        <w:t>-3</w:t>
      </w:r>
      <w:r w:rsidRPr="00972C81">
        <w:rPr>
          <w:noProof/>
          <w:lang w:eastAsia="fr-FR"/>
        </w:rPr>
        <w:t xml:space="preserve"> for 3-month-old infants and 5</w:t>
      </w:r>
      <w:r w:rsidR="00067025" w:rsidRPr="00972C81">
        <w:rPr>
          <w:noProof/>
          <w:lang w:eastAsia="fr-FR"/>
        </w:rPr>
        <w:t xml:space="preserve"> × </w:t>
      </w:r>
      <w:r w:rsidRPr="00972C81">
        <w:rPr>
          <w:noProof/>
          <w:lang w:eastAsia="fr-FR"/>
        </w:rPr>
        <w:t>10</w:t>
      </w:r>
      <w:r w:rsidRPr="00972C81">
        <w:rPr>
          <w:noProof/>
          <w:vertAlign w:val="superscript"/>
          <w:lang w:eastAsia="fr-FR"/>
        </w:rPr>
        <w:t>-4</w:t>
      </w:r>
      <w:r w:rsidRPr="00972C81">
        <w:rPr>
          <w:noProof/>
          <w:lang w:eastAsia="fr-FR"/>
        </w:rPr>
        <w:t xml:space="preserve"> for children of 1 year and older are adopted here for </w:t>
      </w:r>
      <w:r w:rsidR="00E06AA8" w:rsidRPr="00972C81">
        <w:rPr>
          <w:noProof/>
          <w:lang w:eastAsia="fr-FR"/>
        </w:rPr>
        <w:t>lanthanum</w:t>
      </w:r>
      <w:r w:rsidRPr="00972C81">
        <w:rPr>
          <w:noProof/>
          <w:lang w:eastAsia="fr-FR"/>
        </w:rPr>
        <w:t>.</w:t>
      </w:r>
    </w:p>
    <w:p w14:paraId="0DEDA6B6" w14:textId="77777777" w:rsidR="00AE7A83" w:rsidRPr="00972C81" w:rsidRDefault="00AE7A83" w:rsidP="00C47F2F">
      <w:pPr>
        <w:pStyle w:val="3"/>
        <w:tabs>
          <w:tab w:val="left" w:pos="851"/>
        </w:tabs>
        <w:rPr>
          <w:noProof/>
        </w:rPr>
      </w:pPr>
      <w:bookmarkStart w:id="47" w:name="_Toc162629987"/>
      <w:r w:rsidRPr="00972C81">
        <w:rPr>
          <w:noProof/>
        </w:rPr>
        <w:t>Systemic Distribution, Retention and Excretion</w:t>
      </w:r>
      <w:bookmarkEnd w:id="47"/>
    </w:p>
    <w:p w14:paraId="1B583C98" w14:textId="78D05AFB" w:rsidR="00FF7B1D" w:rsidRPr="00187747" w:rsidRDefault="00FF7B1D" w:rsidP="006703A2">
      <w:pPr>
        <w:pStyle w:val="OIRTitre4"/>
      </w:pPr>
      <w:r w:rsidRPr="00187747">
        <w:t>Summary of biokinetic data</w:t>
      </w:r>
    </w:p>
    <w:p w14:paraId="2319547C" w14:textId="08050601" w:rsidR="00FF7B1D" w:rsidRPr="00972C81" w:rsidRDefault="00FF7B1D" w:rsidP="001C4A92">
      <w:pPr>
        <w:pStyle w:val="Annalstext"/>
        <w:rPr>
          <w:noProof/>
        </w:rPr>
      </w:pPr>
      <w:r w:rsidRPr="00972C81">
        <w:rPr>
          <w:noProof/>
        </w:rPr>
        <w:t xml:space="preserve">Data for human subjects indicate slow removal of systemic lanthanium from the body. After intravenous administration of </w:t>
      </w:r>
      <w:r w:rsidRPr="00972C81">
        <w:rPr>
          <w:noProof/>
          <w:vertAlign w:val="superscript"/>
        </w:rPr>
        <w:t>140</w:t>
      </w:r>
      <w:r w:rsidRPr="00972C81">
        <w:rPr>
          <w:noProof/>
        </w:rPr>
        <w:t>LaCl</w:t>
      </w:r>
      <w:r w:rsidRPr="00972C81">
        <w:rPr>
          <w:noProof/>
          <w:vertAlign w:val="subscript"/>
        </w:rPr>
        <w:t>3</w:t>
      </w:r>
      <w:r w:rsidRPr="00972C81">
        <w:rPr>
          <w:noProof/>
        </w:rPr>
        <w:t xml:space="preserve"> to human subjects, urinary excretion ranged from 0.5% to 2% of the dose in 24 h </w:t>
      </w:r>
      <w:r w:rsidR="00CD4B6C" w:rsidRPr="00972C81">
        <w:rPr>
          <w:noProof/>
        </w:rPr>
        <w:fldChar w:fldCharType="begin"/>
      </w:r>
      <w:r w:rsidR="00CD4B6C" w:rsidRPr="00972C81">
        <w:rPr>
          <w:noProof/>
        </w:rPr>
        <w:instrText xml:space="preserve"> ADDIN ZOTERO_ITEM CSL_CITATION {"citationID":"po4WVHCj","properties":{"formattedCitation":"(Spencer, 1968)","plainCitation":"(Spencer, 1968)","noteIndex":0},"citationItems":[{"id":4748,"uris":["http://zotero.org/groups/2470620/items/VX6BFCAF"],"itemData":{"id":4748,"type":"paper-conference","container-title":"Diagnosis and treatment of deposited radionuclides","event-place":"Richland, WA, USA","page":"489–520","publisher":"Excerpta Medica Foundation","publisher-place":"Richland, WA, USA","title":"Metabolism and removal of some radioisotopes in man","author":[{"family":"Spencer","given":"H."}],"editor":[{"family":"Kornberg","given":"H. A."},{"family":"Norwood","given":"W.D."}],"issued":{"date-parts":[["1968"]]}}}],"schema":"https://github.com/citation-style-language/schema/raw/master/csl-citation.json"} </w:instrText>
      </w:r>
      <w:r w:rsidR="00CD4B6C" w:rsidRPr="00972C81">
        <w:rPr>
          <w:noProof/>
        </w:rPr>
        <w:fldChar w:fldCharType="separate"/>
      </w:r>
      <w:r w:rsidR="00BC59C6" w:rsidRPr="00972C81">
        <w:rPr>
          <w:noProof/>
        </w:rPr>
        <w:t>(Spencer, 1968)</w:t>
      </w:r>
      <w:r w:rsidR="00CD4B6C" w:rsidRPr="00972C81">
        <w:rPr>
          <w:noProof/>
        </w:rPr>
        <w:fldChar w:fldCharType="end"/>
      </w:r>
      <w:r w:rsidRPr="00972C81">
        <w:rPr>
          <w:noProof/>
        </w:rPr>
        <w:t xml:space="preserve">. Faecal excretion accounted for approximately 0.5% of the dose during the first four days </w:t>
      </w:r>
      <w:r w:rsidR="00CD4B6C" w:rsidRPr="00972C81">
        <w:rPr>
          <w:noProof/>
        </w:rPr>
        <w:fldChar w:fldCharType="begin"/>
      </w:r>
      <w:r w:rsidR="00CD4B6C" w:rsidRPr="00972C81">
        <w:rPr>
          <w:noProof/>
        </w:rPr>
        <w:instrText xml:space="preserve"> ADDIN ZOTERO_ITEM CSL_CITATION {"citationID":"8NJ4ogsc","properties":{"formattedCitation":"(Spencer, 1968)","plainCitation":"(Spencer, 1968)","noteIndex":0},"citationItems":[{"id":4748,"uris":["http://zotero.org/groups/2470620/items/VX6BFCAF"],"itemData":{"id":4748,"type":"paper-conference","container-title":"Diagnosis and treatment of deposited radionuclides","event-place":"Richland, WA, USA","page":"489–520","publisher":"Excerpta Medica Foundation","publisher-place":"Richland, WA, USA","title":"Metabolism and removal of some radioisotopes in man","author":[{"family":"Spencer","given":"H."}],"editor":[{"family":"Kornberg","given":"H. A."},{"family":"Norwood","given":"W.D."}],"issued":{"date-parts":[["1968"]]}}}],"schema":"https://github.com/citation-style-language/schema/raw/master/csl-citation.json"} </w:instrText>
      </w:r>
      <w:r w:rsidR="00CD4B6C" w:rsidRPr="00972C81">
        <w:rPr>
          <w:noProof/>
        </w:rPr>
        <w:fldChar w:fldCharType="separate"/>
      </w:r>
      <w:r w:rsidR="00BC59C6" w:rsidRPr="00972C81">
        <w:rPr>
          <w:noProof/>
        </w:rPr>
        <w:t>(Spencer, 1968)</w:t>
      </w:r>
      <w:r w:rsidR="00CD4B6C" w:rsidRPr="00972C81">
        <w:rPr>
          <w:noProof/>
        </w:rPr>
        <w:fldChar w:fldCharType="end"/>
      </w:r>
      <w:r w:rsidRPr="00972C81">
        <w:rPr>
          <w:noProof/>
        </w:rPr>
        <w:t xml:space="preserve">. In another human study, renal clearance amounted to 1.7% of total plasma clearance over the first 7 d </w:t>
      </w:r>
      <w:r w:rsidR="0017583B" w:rsidRPr="00972C81">
        <w:rPr>
          <w:noProof/>
        </w:rPr>
        <w:fldChar w:fldCharType="begin"/>
      </w:r>
      <w:r w:rsidR="0017583B" w:rsidRPr="00972C81">
        <w:rPr>
          <w:noProof/>
        </w:rPr>
        <w:instrText xml:space="preserve"> ADDIN ZOTERO_ITEM CSL_CITATION {"citationID":"VVjeNaFV","properties":{"formattedCitation":"(Pennick et al., 2006)","plainCitation":"(Pennick et al., 2006)","noteIndex":0},"citationItems":[{"id":4746,"uris":["http://zotero.org/groups/2470620/items/BJ6UMYSH"],"itemData":{"id":4746,"type":"article-journal","archive":"Scopus","container-title":"Journal of Clinical Pharmacology","DOI":"10.1177/0091270006289846","ISSN":"15524604 (ISSN)","issue":"7","journalAbbreviation":"J. Clin. Pharmacol.","language":"English","page":"738-746","title":"Absolute bioavailability and disposition of lanthanum in healthy human subjects administered lanthanum carbonate","volume":"46","author":[{"family":"Pennick","given":"M."},{"family":"Dennis","given":"K."},{"family":"Damment","given":"S.J.P."}],"issued":{"date-parts":[["2006"]]}}}],"schema":"https://github.com/citation-style-language/schema/raw/master/csl-citation.json"} </w:instrText>
      </w:r>
      <w:r w:rsidR="0017583B" w:rsidRPr="00972C81">
        <w:rPr>
          <w:noProof/>
        </w:rPr>
        <w:fldChar w:fldCharType="separate"/>
      </w:r>
      <w:r w:rsidR="00BC59C6" w:rsidRPr="00972C81">
        <w:rPr>
          <w:noProof/>
        </w:rPr>
        <w:t>(Pennick et al., 2006)</w:t>
      </w:r>
      <w:r w:rsidR="0017583B" w:rsidRPr="00972C81">
        <w:rPr>
          <w:noProof/>
        </w:rPr>
        <w:fldChar w:fldCharType="end"/>
      </w:r>
      <w:r w:rsidRPr="00972C81">
        <w:rPr>
          <w:noProof/>
        </w:rPr>
        <w:t>.</w:t>
      </w:r>
    </w:p>
    <w:p w14:paraId="09489484" w14:textId="5B3588A0" w:rsidR="00FF7B1D" w:rsidRPr="00972C81" w:rsidRDefault="00FF7B1D" w:rsidP="001C4A92">
      <w:pPr>
        <w:pStyle w:val="Annalstext"/>
        <w:rPr>
          <w:noProof/>
        </w:rPr>
      </w:pPr>
      <w:r w:rsidRPr="00972C81">
        <w:rPr>
          <w:noProof/>
        </w:rPr>
        <w:t xml:space="preserve">Cuddihy and Boecker </w:t>
      </w:r>
      <w:r w:rsidR="00CD4B6C" w:rsidRPr="00972C81">
        <w:rPr>
          <w:noProof/>
        </w:rPr>
        <w:fldChar w:fldCharType="begin"/>
      </w:r>
      <w:r w:rsidR="00CD4B6C" w:rsidRPr="00972C81">
        <w:rPr>
          <w:noProof/>
        </w:rPr>
        <w:instrText xml:space="preserve"> ADDIN ZOTERO_ITEM CSL_CITATION {"citationID":"S4K0e7zt","properties":{"formattedCitation":"(1970)","plainCitation":"(1970)","noteIndex":0},"citationItems":[{"id":4750,"uris":["http://zotero.org/groups/2470620/items/WD6IA39H"],"itemData":{"id":4750,"type":"article-journal","container-title":"Health Physics","DOI":"10.1097/00004032-197009000-00005","ISSN":"0017-9078","issue":"3","journalAbbreviation":"Health Phys","language":"eng","note":"PMID: 5512924","page":"419-426","source":"PubMed","title":"Kinetics of lanthanum retention and tissue distribution in the Beagle dog following administration of 140LaCl3 by inhalation, gavage and injection","volume":"19","author":[{"family":"Cuddihy","given":"R. G."},{"family":"Boecker","given":"B. B."}],"issued":{"date-parts":[["1970"]]}},"suppress-author":true}],"schema":"https://github.com/citation-style-language/schema/raw/master/csl-citation.json"} </w:instrText>
      </w:r>
      <w:r w:rsidR="00CD4B6C" w:rsidRPr="00972C81">
        <w:rPr>
          <w:noProof/>
        </w:rPr>
        <w:fldChar w:fldCharType="separate"/>
      </w:r>
      <w:r w:rsidR="00BC59C6" w:rsidRPr="00972C81">
        <w:rPr>
          <w:noProof/>
        </w:rPr>
        <w:t>(1970)</w:t>
      </w:r>
      <w:r w:rsidR="00CD4B6C" w:rsidRPr="00972C81">
        <w:rPr>
          <w:noProof/>
        </w:rPr>
        <w:fldChar w:fldCharType="end"/>
      </w:r>
      <w:r w:rsidRPr="00972C81">
        <w:rPr>
          <w:noProof/>
        </w:rPr>
        <w:t xml:space="preserve"> studied the biokinetics of </w:t>
      </w:r>
      <w:r w:rsidRPr="00972C81">
        <w:rPr>
          <w:noProof/>
          <w:vertAlign w:val="superscript"/>
        </w:rPr>
        <w:t>140</w:t>
      </w:r>
      <w:r w:rsidRPr="00972C81">
        <w:rPr>
          <w:noProof/>
        </w:rPr>
        <w:t xml:space="preserve">La in beagle dogs following administration of </w:t>
      </w:r>
      <w:r w:rsidRPr="00972C81">
        <w:rPr>
          <w:noProof/>
          <w:vertAlign w:val="superscript"/>
        </w:rPr>
        <w:t>140</w:t>
      </w:r>
      <w:r w:rsidRPr="00972C81">
        <w:rPr>
          <w:noProof/>
        </w:rPr>
        <w:t>LaCl</w:t>
      </w:r>
      <w:r w:rsidRPr="00972C81">
        <w:rPr>
          <w:noProof/>
          <w:vertAlign w:val="subscript"/>
        </w:rPr>
        <w:t>3</w:t>
      </w:r>
      <w:r w:rsidRPr="00972C81">
        <w:rPr>
          <w:noProof/>
        </w:rPr>
        <w:t xml:space="preserve"> by inhalation, gavage, and intravenous injection. The division of </w:t>
      </w:r>
      <w:r w:rsidRPr="00972C81">
        <w:rPr>
          <w:noProof/>
          <w:vertAlign w:val="superscript"/>
        </w:rPr>
        <w:t>140</w:t>
      </w:r>
      <w:r w:rsidRPr="00972C81">
        <w:rPr>
          <w:noProof/>
        </w:rPr>
        <w:t xml:space="preserve">La between liver and skeleton depended on the route of administration, with lower relative uptake by liver for inhaled lanthanum than for injected lanthanum. The tissue distribution patterns were greatly influenced by the chemical form administered. The investigators concluded that results of injection studies involving </w:t>
      </w:r>
      <w:r w:rsidRPr="00972C81">
        <w:rPr>
          <w:noProof/>
          <w:vertAlign w:val="superscript"/>
        </w:rPr>
        <w:t>140</w:t>
      </w:r>
      <w:r w:rsidRPr="00972C81">
        <w:rPr>
          <w:noProof/>
        </w:rPr>
        <w:t>La may not be representative of the systemic behavio</w:t>
      </w:r>
      <w:r w:rsidR="00972C81" w:rsidRPr="00972C81">
        <w:rPr>
          <w:noProof/>
        </w:rPr>
        <w:t>u</w:t>
      </w:r>
      <w:r w:rsidRPr="00972C81">
        <w:rPr>
          <w:noProof/>
        </w:rPr>
        <w:t xml:space="preserve">r of lanthanum absorbed to blood following inhalation. They developed a biokinetic model for lanthanum as a fit to the inhalation data for dogs. The model assigns 45% of outflow from blood to liver, 32% to skeleton, 3.8% to kidneys, 0.0048% to spleen, 9.6% to urine, and 9.6% to the intestinal contents. The model depicts slow return from tissues to blood. </w:t>
      </w:r>
    </w:p>
    <w:p w14:paraId="16436FEB" w14:textId="5785A7FE" w:rsidR="00FF7B1D" w:rsidRPr="00972C81" w:rsidRDefault="00FF7B1D" w:rsidP="001C4A92">
      <w:pPr>
        <w:pStyle w:val="Annalstext"/>
        <w:rPr>
          <w:noProof/>
        </w:rPr>
      </w:pPr>
      <w:r w:rsidRPr="00972C81">
        <w:rPr>
          <w:noProof/>
        </w:rPr>
        <w:lastRenderedPageBreak/>
        <w:t xml:space="preserve">In rats, bone and liver generally were the dominant systemic repositories for the lighter lanthanide elements </w:t>
      </w:r>
      <w:r w:rsidR="00CD4B6C" w:rsidRPr="00972C81">
        <w:rPr>
          <w:noProof/>
        </w:rPr>
        <w:fldChar w:fldCharType="begin"/>
      </w:r>
      <w:r w:rsidR="00612860" w:rsidRPr="00972C81">
        <w:rPr>
          <w:noProof/>
        </w:rPr>
        <w:instrText xml:space="preserve"> ADDIN ZOTERO_ITEM CSL_CITATION {"citationID":"TUaewgB5","properties":{"formattedCitation":"(Durbin, 1959, 1962; Moskalev et al., 1974)","plainCitation":"(Durbin, 1959, 1962; Moskalev et al., 1974)","noteIndex":0},"citationItems":[{"id":3923,"uris":["http://zotero.org/groups/2470620/items/WGHAW384"],"itemData":{"id":3923,"type":"article-journal","abstract":"The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family","volume":"2","author":[{"family":"Durbin","given":"P.W."}],"issued":{"date-parts":[["1959"]]}},"label":"page"},{"id":4754,"uris":["http://zotero.org/groups/2470620/items/D374YBDR"],"itemData":{"id":4754,"type":"article-journal","abstract":"The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mammals","volume":"8","author":[{"family":"Durbin","given":"P.W."}],"issued":{"date-parts":[["1962"]]}},"label":"page"},{"id":4757,"uris":["http://zotero.org/groups/2470620/items/GPRMH38F"],"itemData":{"id":4757,"type":"chapter","container-title":"Biological Effects of Radiation from External and Internal Sources. Translated in U.S. Atomic Energy Commission Document AEC-tr-7457","event-place":"Moscow, Russia","publisher":"Medistina","publisher-place":"Moscow, Russia","source":"Google Scholar","title":"Distinctions of distribution in the organism of radioactive isotopes of lanthanide elements","author":[{"family":"Moskalev","given":"Yu I."},{"family":"Zalikin","given":"G. A."},{"family":"Stepanov","given":"V. S."}],"issued":{"date-parts":[["1974"]]}},"label":"page"}],"schema":"https://github.com/citation-style-language/schema/raw/master/csl-citation.json"} </w:instrText>
      </w:r>
      <w:r w:rsidR="00CD4B6C" w:rsidRPr="00972C81">
        <w:rPr>
          <w:noProof/>
        </w:rPr>
        <w:fldChar w:fldCharType="separate"/>
      </w:r>
      <w:r w:rsidR="00BC59C6" w:rsidRPr="00972C81">
        <w:rPr>
          <w:noProof/>
        </w:rPr>
        <w:t>(Durbin, 1959, 1962; Moskalev et al., 1974)</w:t>
      </w:r>
      <w:r w:rsidR="00CD4B6C" w:rsidRPr="00972C81">
        <w:rPr>
          <w:noProof/>
        </w:rPr>
        <w:fldChar w:fldCharType="end"/>
      </w:r>
      <w:r w:rsidRPr="00972C81">
        <w:rPr>
          <w:noProof/>
        </w:rPr>
        <w:t>. The ratio of deposition in bone to that in liver increased with the ionic radius and atomic mass of the lanthanides, from much less than 1.0 for relatively light lanthanides such as La and Ce to 20 or more for the relatively heavy lanthanides such as Ho, Tm, and Lu. The lighter lanthanides were excreted primarily in faeces, and the heavier lanthanides were excreted primarily in urine.</w:t>
      </w:r>
    </w:p>
    <w:p w14:paraId="2C1FAC0D" w14:textId="77777777" w:rsidR="00FF7B1D" w:rsidRPr="00972C81" w:rsidRDefault="00FF7B1D" w:rsidP="00E81109">
      <w:pPr>
        <w:pStyle w:val="Annalstext"/>
        <w:rPr>
          <w:noProof/>
        </w:rPr>
      </w:pPr>
      <w:r w:rsidRPr="00972C81">
        <w:rPr>
          <w:noProof/>
        </w:rPr>
        <w:t xml:space="preserve">No information was found regarding age dependence in the biokinetics of systemic lanthanum. </w:t>
      </w:r>
    </w:p>
    <w:p w14:paraId="4A908111" w14:textId="77777777" w:rsidR="00FF7B1D" w:rsidRPr="00972C81" w:rsidRDefault="00FF7B1D" w:rsidP="006703A2">
      <w:pPr>
        <w:pStyle w:val="OIRTitre4"/>
      </w:pPr>
      <w:r w:rsidRPr="00972C81">
        <w:t>Systemic model</w:t>
      </w:r>
    </w:p>
    <w:p w14:paraId="30FA9375" w14:textId="05F1D3A2" w:rsidR="00FF7B1D" w:rsidRPr="00972C81" w:rsidRDefault="00FF7B1D" w:rsidP="001C4A92">
      <w:pPr>
        <w:pStyle w:val="Annalstext"/>
        <w:rPr>
          <w:noProof/>
        </w:rPr>
      </w:pPr>
      <w:r w:rsidRPr="00972C81">
        <w:rPr>
          <w:noProof/>
        </w:rPr>
        <w:t xml:space="preserve">The model structure shown in Fig </w:t>
      </w:r>
      <w:r w:rsidR="008F725D" w:rsidRPr="00972C81">
        <w:rPr>
          <w:noProof/>
        </w:rPr>
        <w:t>3</w:t>
      </w:r>
      <w:r w:rsidRPr="00972C81">
        <w:rPr>
          <w:noProof/>
        </w:rPr>
        <w:t>.1 of the section on cerium is applied in this report to all lanthanide elements.</w:t>
      </w:r>
    </w:p>
    <w:p w14:paraId="1467AF83" w14:textId="7EE03892" w:rsidR="00FF7B1D" w:rsidRPr="00972C81" w:rsidRDefault="00FF7B1D" w:rsidP="001C4A92">
      <w:pPr>
        <w:pStyle w:val="Annalstext"/>
        <w:rPr>
          <w:noProof/>
        </w:rPr>
      </w:pPr>
      <w:r w:rsidRPr="00972C81">
        <w:rPr>
          <w:noProof/>
        </w:rPr>
        <w:t xml:space="preserve">A common set of transfer coefficients is applied to the “cerium group”, which includes the lanthanide elements lanthanum, cerium, and praseodymium. The basis for the parameter values underlying those transfer coefficients is described is the section on cerium. Transfer coefficients for the cerium group are listed in Table </w:t>
      </w:r>
      <w:r w:rsidR="00587D38" w:rsidRPr="00972C81">
        <w:rPr>
          <w:noProof/>
        </w:rPr>
        <w:t>3</w:t>
      </w:r>
      <w:r w:rsidR="005A4D34" w:rsidRPr="00972C81">
        <w:rPr>
          <w:noProof/>
        </w:rPr>
        <w:t xml:space="preserve">.2 and </w:t>
      </w:r>
      <w:r w:rsidR="008F725D" w:rsidRPr="00972C81">
        <w:rPr>
          <w:noProof/>
        </w:rPr>
        <w:t>T</w:t>
      </w:r>
      <w:r w:rsidR="005A4D34" w:rsidRPr="00972C81">
        <w:rPr>
          <w:noProof/>
        </w:rPr>
        <w:t xml:space="preserve">able </w:t>
      </w:r>
      <w:r w:rsidR="00587D38" w:rsidRPr="00972C81">
        <w:rPr>
          <w:noProof/>
        </w:rPr>
        <w:t>3</w:t>
      </w:r>
      <w:r w:rsidR="005A4D34" w:rsidRPr="00972C81">
        <w:rPr>
          <w:noProof/>
        </w:rPr>
        <w:t>.3</w:t>
      </w:r>
      <w:r w:rsidRPr="00972C81">
        <w:rPr>
          <w:noProof/>
        </w:rPr>
        <w:t xml:space="preserve"> of that section. </w:t>
      </w:r>
    </w:p>
    <w:p w14:paraId="4C183EF0" w14:textId="77777777" w:rsidR="00FF7B1D" w:rsidRPr="00972C81" w:rsidRDefault="00FF7B1D" w:rsidP="006703A2">
      <w:pPr>
        <w:pStyle w:val="OIRTitre4"/>
      </w:pPr>
      <w:r w:rsidRPr="00972C81">
        <w:t>Treatment of radioactive progeny</w:t>
      </w:r>
    </w:p>
    <w:p w14:paraId="33499A78" w14:textId="12D73A61" w:rsidR="0003699A" w:rsidRPr="00972C81" w:rsidRDefault="0003699A" w:rsidP="001C4A92">
      <w:pPr>
        <w:pStyle w:val="Annalstext"/>
        <w:rPr>
          <w:noProof/>
        </w:rPr>
      </w:pPr>
      <w:r w:rsidRPr="00972C81">
        <w:rPr>
          <w:noProof/>
        </w:rPr>
        <w:t xml:space="preserve">The treatment of radioactive progeny produced in systemic compartments after intake of a radioisotope of lanthanum is described in Section 3.2.3.3. of </w:t>
      </w:r>
      <w:r w:rsidRPr="00972C81">
        <w:rPr>
          <w:i/>
          <w:noProof/>
        </w:rPr>
        <w:t>Publication 1</w:t>
      </w:r>
      <w:r w:rsidR="0050648E" w:rsidRPr="00972C81">
        <w:rPr>
          <w:i/>
          <w:noProof/>
        </w:rPr>
        <w:t>41</w:t>
      </w:r>
      <w:r w:rsidRPr="00972C81">
        <w:rPr>
          <w:noProof/>
        </w:rPr>
        <w:t xml:space="preserve"> </w:t>
      </w:r>
      <w:r w:rsidR="00B94D6D" w:rsidRPr="00972C81">
        <w:rPr>
          <w:noProof/>
        </w:rPr>
        <w:fldChar w:fldCharType="begin"/>
      </w:r>
      <w:r w:rsidR="00B94D6D" w:rsidRPr="00972C81">
        <w:rPr>
          <w:noProof/>
        </w:rPr>
        <w:instrText xml:space="preserve"> ADDIN ZOTERO_ITEM CSL_CITATION {"citationID":"17fKO1sS","properties":{"formattedCitation":"(ICRP,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B94D6D" w:rsidRPr="00972C81">
        <w:rPr>
          <w:noProof/>
        </w:rPr>
        <w:fldChar w:fldCharType="separate"/>
      </w:r>
      <w:r w:rsidR="00BC59C6" w:rsidRPr="00972C81">
        <w:rPr>
          <w:noProof/>
        </w:rPr>
        <w:t>(ICRP, 2019)</w:t>
      </w:r>
      <w:r w:rsidR="00B94D6D" w:rsidRPr="00972C81">
        <w:rPr>
          <w:noProof/>
        </w:rPr>
        <w:fldChar w:fldCharType="end"/>
      </w:r>
      <w:r w:rsidRPr="00972C81">
        <w:rPr>
          <w:noProof/>
        </w:rPr>
        <w:t>.</w:t>
      </w:r>
    </w:p>
    <w:p w14:paraId="22CA7AA7" w14:textId="3C798723" w:rsidR="00593D1F" w:rsidRPr="00972C81" w:rsidRDefault="00593D1F" w:rsidP="00E81109">
      <w:pPr>
        <w:pStyle w:val="2"/>
        <w:rPr>
          <w:noProof/>
          <w:lang w:val="en-GB"/>
        </w:rPr>
      </w:pPr>
      <w:bookmarkStart w:id="48" w:name="_Toc162629988"/>
      <w:r w:rsidRPr="00972C81">
        <w:rPr>
          <w:noProof/>
          <w:lang w:val="en-GB"/>
        </w:rPr>
        <w:t xml:space="preserve">Dosimetric data for </w:t>
      </w:r>
      <w:r w:rsidR="00A842C0" w:rsidRPr="00972C81">
        <w:rPr>
          <w:noProof/>
          <w:lang w:val="en-GB"/>
        </w:rPr>
        <w:t>lanthanum</w:t>
      </w:r>
      <w:bookmarkEnd w:id="48"/>
    </w:p>
    <w:p w14:paraId="542791BF" w14:textId="6C9B7493" w:rsidR="00050686" w:rsidRPr="00972C81" w:rsidRDefault="00050686" w:rsidP="00C47F2F">
      <w:pPr>
        <w:widowControl/>
        <w:jc w:val="left"/>
        <w:rPr>
          <w:noProof/>
          <w:szCs w:val="24"/>
        </w:rPr>
      </w:pPr>
      <w:r w:rsidRPr="00972C81">
        <w:rPr>
          <w:noProof/>
          <w:szCs w:val="24"/>
        </w:rPr>
        <w:t>Table 2.3. Committed effective dose coefficients (Sv Bq</w:t>
      </w:r>
      <w:r w:rsidRPr="00972C81">
        <w:rPr>
          <w:noProof/>
          <w:szCs w:val="24"/>
          <w:vertAlign w:val="superscript"/>
        </w:rPr>
        <w:t>-1</w:t>
      </w:r>
      <w:r w:rsidRPr="00972C81">
        <w:rPr>
          <w:noProof/>
          <w:szCs w:val="24"/>
        </w:rPr>
        <w:t xml:space="preserve">) for the inhalation or ingestion of </w:t>
      </w:r>
      <w:r w:rsidRPr="00972C81">
        <w:rPr>
          <w:noProof/>
          <w:szCs w:val="24"/>
          <w:vertAlign w:val="superscript"/>
        </w:rPr>
        <w:t>140</w:t>
      </w:r>
      <w:r w:rsidRPr="00972C81">
        <w:rPr>
          <w:noProof/>
          <w:szCs w:val="24"/>
        </w:rPr>
        <w:t>La compounds.</w:t>
      </w:r>
    </w:p>
    <w:tbl>
      <w:tblPr>
        <w:tblW w:w="5000" w:type="pct"/>
        <w:tblLayout w:type="fixed"/>
        <w:tblCellMar>
          <w:top w:w="57" w:type="dxa"/>
          <w:left w:w="57" w:type="dxa"/>
          <w:bottom w:w="57" w:type="dxa"/>
          <w:right w:w="57" w:type="dxa"/>
        </w:tblCellMar>
        <w:tblLook w:val="04A0" w:firstRow="1" w:lastRow="0" w:firstColumn="1" w:lastColumn="0" w:noHBand="0" w:noVBand="1"/>
      </w:tblPr>
      <w:tblGrid>
        <w:gridCol w:w="3719"/>
        <w:gridCol w:w="883"/>
        <w:gridCol w:w="884"/>
        <w:gridCol w:w="884"/>
        <w:gridCol w:w="884"/>
        <w:gridCol w:w="884"/>
        <w:gridCol w:w="889"/>
      </w:tblGrid>
      <w:tr w:rsidR="00050686" w:rsidRPr="00A3213E" w14:paraId="14D6AE15" w14:textId="77777777" w:rsidTr="0063782B">
        <w:trPr>
          <w:trHeight w:val="340"/>
        </w:trPr>
        <w:tc>
          <w:tcPr>
            <w:tcW w:w="3686" w:type="dxa"/>
            <w:vMerge w:val="restart"/>
            <w:tcBorders>
              <w:top w:val="single" w:sz="4" w:space="0" w:color="auto"/>
            </w:tcBorders>
            <w:vAlign w:val="bottom"/>
          </w:tcPr>
          <w:p w14:paraId="7E4589B4" w14:textId="77777777" w:rsidR="00E424DA" w:rsidRPr="00C47F2F" w:rsidRDefault="00050686" w:rsidP="00C47F2F">
            <w:pPr>
              <w:pStyle w:val="a8"/>
              <w:widowControl w:val="0"/>
              <w:jc w:val="left"/>
              <w:rPr>
                <w:rFonts w:ascii="Times New Roman" w:hAnsi="Times New Roman"/>
                <w:noProof/>
                <w:sz w:val="22"/>
                <w:szCs w:val="22"/>
              </w:rPr>
            </w:pPr>
            <w:bookmarkStart w:id="49" w:name="_Hlk153803714"/>
            <w:r w:rsidRPr="00C47F2F">
              <w:rPr>
                <w:rFonts w:ascii="Times New Roman" w:hAnsi="Times New Roman"/>
                <w:noProof/>
                <w:sz w:val="22"/>
                <w:szCs w:val="22"/>
              </w:rPr>
              <w:t>Inhaled particulate materials</w:t>
            </w:r>
          </w:p>
          <w:p w14:paraId="0D0F1CDD" w14:textId="16387A75" w:rsidR="00050686" w:rsidRPr="00C47F2F" w:rsidRDefault="00050686" w:rsidP="00C47F2F">
            <w:pPr>
              <w:pStyle w:val="a8"/>
              <w:widowControl w:val="0"/>
              <w:jc w:val="left"/>
              <w:rPr>
                <w:noProof/>
                <w:sz w:val="22"/>
                <w:szCs w:val="22"/>
              </w:rPr>
            </w:pPr>
            <w:r w:rsidRPr="00C47F2F">
              <w:rPr>
                <w:rFonts w:ascii="Times New Roman" w:hAnsi="Times New Roman"/>
                <w:noProof/>
                <w:sz w:val="22"/>
                <w:szCs w:val="22"/>
              </w:rPr>
              <w:t>(1 µm AMAD aerosols)</w:t>
            </w:r>
          </w:p>
        </w:tc>
        <w:tc>
          <w:tcPr>
            <w:tcW w:w="5260" w:type="dxa"/>
            <w:gridSpan w:val="6"/>
            <w:tcBorders>
              <w:top w:val="single" w:sz="4" w:space="0" w:color="auto"/>
              <w:bottom w:val="single" w:sz="4" w:space="0" w:color="auto"/>
            </w:tcBorders>
            <w:vAlign w:val="center"/>
          </w:tcPr>
          <w:p w14:paraId="17D300E9" w14:textId="77777777" w:rsidR="00050686" w:rsidRPr="00C47F2F" w:rsidRDefault="00050686" w:rsidP="00365B5B">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050686" w:rsidRPr="00972C81" w14:paraId="276DB86E" w14:textId="77777777" w:rsidTr="0063782B">
        <w:trPr>
          <w:trHeight w:val="340"/>
        </w:trPr>
        <w:tc>
          <w:tcPr>
            <w:tcW w:w="3686" w:type="dxa"/>
            <w:vMerge/>
            <w:tcBorders>
              <w:bottom w:val="single" w:sz="4" w:space="0" w:color="auto"/>
            </w:tcBorders>
          </w:tcPr>
          <w:p w14:paraId="0AE12164" w14:textId="77777777" w:rsidR="00050686" w:rsidRPr="00C47F2F" w:rsidRDefault="00050686" w:rsidP="00C47F2F">
            <w:pPr>
              <w:jc w:val="left"/>
              <w:rPr>
                <w:noProof/>
                <w:sz w:val="22"/>
                <w:szCs w:val="22"/>
                <w:lang w:val="fr-FR"/>
              </w:rPr>
            </w:pPr>
          </w:p>
        </w:tc>
        <w:tc>
          <w:tcPr>
            <w:tcW w:w="875" w:type="dxa"/>
            <w:tcBorders>
              <w:top w:val="single" w:sz="4" w:space="0" w:color="auto"/>
              <w:bottom w:val="single" w:sz="4" w:space="0" w:color="auto"/>
            </w:tcBorders>
            <w:vAlign w:val="center"/>
          </w:tcPr>
          <w:p w14:paraId="79CAB0EC" w14:textId="13BA63E7" w:rsidR="00050686" w:rsidRPr="00C47F2F" w:rsidRDefault="00050686" w:rsidP="0063782B">
            <w:pPr>
              <w:jc w:val="left"/>
              <w:rPr>
                <w:noProof/>
                <w:sz w:val="22"/>
                <w:szCs w:val="22"/>
              </w:rPr>
            </w:pPr>
            <w:r w:rsidRPr="00C47F2F">
              <w:rPr>
                <w:noProof/>
                <w:sz w:val="22"/>
                <w:szCs w:val="22"/>
              </w:rPr>
              <w:t>3</w:t>
            </w:r>
            <w:r w:rsidR="0057134B">
              <w:rPr>
                <w:rFonts w:hint="eastAsia"/>
                <w:noProof/>
                <w:sz w:val="22"/>
                <w:szCs w:val="22"/>
                <w:lang w:eastAsia="ko-KR"/>
              </w:rPr>
              <w:t xml:space="preserve"> </w:t>
            </w:r>
            <w:r w:rsidRPr="00C47F2F">
              <w:rPr>
                <w:noProof/>
                <w:sz w:val="22"/>
                <w:szCs w:val="22"/>
              </w:rPr>
              <w:t>m</w:t>
            </w:r>
            <w:r w:rsidR="001A483B">
              <w:rPr>
                <w:noProof/>
                <w:sz w:val="22"/>
                <w:szCs w:val="22"/>
              </w:rPr>
              <w:t>o</w:t>
            </w:r>
          </w:p>
        </w:tc>
        <w:tc>
          <w:tcPr>
            <w:tcW w:w="876" w:type="dxa"/>
            <w:tcBorders>
              <w:top w:val="single" w:sz="4" w:space="0" w:color="auto"/>
              <w:bottom w:val="single" w:sz="4" w:space="0" w:color="auto"/>
            </w:tcBorders>
            <w:vAlign w:val="center"/>
          </w:tcPr>
          <w:p w14:paraId="6FF24564" w14:textId="3C044AE7" w:rsidR="00050686" w:rsidRPr="00C47F2F" w:rsidRDefault="00050686" w:rsidP="0063782B">
            <w:pPr>
              <w:jc w:val="left"/>
              <w:rPr>
                <w:noProof/>
                <w:sz w:val="22"/>
                <w:szCs w:val="22"/>
              </w:rPr>
            </w:pPr>
            <w:r w:rsidRPr="00C47F2F">
              <w:rPr>
                <w:noProof/>
                <w:sz w:val="22"/>
                <w:szCs w:val="22"/>
              </w:rPr>
              <w:t>1</w:t>
            </w:r>
            <w:r w:rsidR="0057134B">
              <w:rPr>
                <w:rFonts w:hint="eastAsia"/>
                <w:noProof/>
                <w:sz w:val="22"/>
                <w:szCs w:val="22"/>
                <w:lang w:eastAsia="ko-KR"/>
              </w:rPr>
              <w:t xml:space="preserve"> </w:t>
            </w:r>
            <w:r w:rsidRPr="00C47F2F">
              <w:rPr>
                <w:noProof/>
                <w:sz w:val="22"/>
                <w:szCs w:val="22"/>
              </w:rPr>
              <w:t>y</w:t>
            </w:r>
          </w:p>
        </w:tc>
        <w:tc>
          <w:tcPr>
            <w:tcW w:w="876" w:type="dxa"/>
            <w:tcBorders>
              <w:top w:val="single" w:sz="4" w:space="0" w:color="auto"/>
              <w:bottom w:val="single" w:sz="4" w:space="0" w:color="auto"/>
            </w:tcBorders>
            <w:vAlign w:val="center"/>
          </w:tcPr>
          <w:p w14:paraId="3C5D10AE" w14:textId="703AB318" w:rsidR="00050686" w:rsidRPr="00C47F2F" w:rsidRDefault="00050686" w:rsidP="0063782B">
            <w:pPr>
              <w:jc w:val="left"/>
              <w:rPr>
                <w:noProof/>
                <w:sz w:val="22"/>
                <w:szCs w:val="22"/>
              </w:rPr>
            </w:pPr>
            <w:r w:rsidRPr="00C47F2F">
              <w:rPr>
                <w:noProof/>
                <w:sz w:val="22"/>
                <w:szCs w:val="22"/>
              </w:rPr>
              <w:t>5</w:t>
            </w:r>
            <w:r w:rsidR="0057134B">
              <w:rPr>
                <w:rFonts w:hint="eastAsia"/>
                <w:noProof/>
                <w:sz w:val="22"/>
                <w:szCs w:val="22"/>
                <w:lang w:eastAsia="ko-KR"/>
              </w:rPr>
              <w:t xml:space="preserve"> </w:t>
            </w:r>
            <w:r w:rsidRPr="00C47F2F">
              <w:rPr>
                <w:noProof/>
                <w:sz w:val="22"/>
                <w:szCs w:val="22"/>
              </w:rPr>
              <w:t>y</w:t>
            </w:r>
          </w:p>
        </w:tc>
        <w:tc>
          <w:tcPr>
            <w:tcW w:w="876" w:type="dxa"/>
            <w:tcBorders>
              <w:top w:val="single" w:sz="4" w:space="0" w:color="auto"/>
              <w:bottom w:val="single" w:sz="4" w:space="0" w:color="auto"/>
            </w:tcBorders>
            <w:vAlign w:val="center"/>
          </w:tcPr>
          <w:p w14:paraId="5955A6B8" w14:textId="140C486B" w:rsidR="00050686" w:rsidRPr="00C47F2F" w:rsidRDefault="00050686" w:rsidP="0063782B">
            <w:pPr>
              <w:jc w:val="left"/>
              <w:rPr>
                <w:noProof/>
                <w:sz w:val="22"/>
                <w:szCs w:val="22"/>
              </w:rPr>
            </w:pPr>
            <w:r w:rsidRPr="00C47F2F">
              <w:rPr>
                <w:noProof/>
                <w:sz w:val="22"/>
                <w:szCs w:val="22"/>
              </w:rPr>
              <w:t>10</w:t>
            </w:r>
            <w:r w:rsidR="0057134B">
              <w:rPr>
                <w:rFonts w:hint="eastAsia"/>
                <w:noProof/>
                <w:sz w:val="22"/>
                <w:szCs w:val="22"/>
                <w:lang w:eastAsia="ko-KR"/>
              </w:rPr>
              <w:t xml:space="preserve"> </w:t>
            </w:r>
            <w:r w:rsidRPr="00C47F2F">
              <w:rPr>
                <w:noProof/>
                <w:sz w:val="22"/>
                <w:szCs w:val="22"/>
              </w:rPr>
              <w:t>y</w:t>
            </w:r>
          </w:p>
        </w:tc>
        <w:tc>
          <w:tcPr>
            <w:tcW w:w="876" w:type="dxa"/>
            <w:tcBorders>
              <w:top w:val="single" w:sz="4" w:space="0" w:color="auto"/>
              <w:bottom w:val="single" w:sz="4" w:space="0" w:color="auto"/>
            </w:tcBorders>
            <w:vAlign w:val="center"/>
          </w:tcPr>
          <w:p w14:paraId="45E9D3EF" w14:textId="4AE6B339" w:rsidR="00050686" w:rsidRPr="00C47F2F" w:rsidRDefault="00050686" w:rsidP="0063782B">
            <w:pPr>
              <w:jc w:val="left"/>
              <w:rPr>
                <w:noProof/>
                <w:sz w:val="22"/>
                <w:szCs w:val="22"/>
              </w:rPr>
            </w:pPr>
            <w:r w:rsidRPr="00C47F2F">
              <w:rPr>
                <w:noProof/>
                <w:sz w:val="22"/>
                <w:szCs w:val="22"/>
              </w:rPr>
              <w:t>15</w:t>
            </w:r>
            <w:r w:rsidR="0057134B">
              <w:rPr>
                <w:rFonts w:hint="eastAsia"/>
                <w:noProof/>
                <w:sz w:val="22"/>
                <w:szCs w:val="22"/>
                <w:lang w:eastAsia="ko-KR"/>
              </w:rPr>
              <w:t xml:space="preserve"> </w:t>
            </w:r>
            <w:r w:rsidRPr="00C47F2F">
              <w:rPr>
                <w:noProof/>
                <w:sz w:val="22"/>
                <w:szCs w:val="22"/>
              </w:rPr>
              <w:t>y</w:t>
            </w:r>
          </w:p>
        </w:tc>
        <w:tc>
          <w:tcPr>
            <w:tcW w:w="881" w:type="dxa"/>
            <w:tcBorders>
              <w:top w:val="single" w:sz="4" w:space="0" w:color="auto"/>
              <w:bottom w:val="single" w:sz="4" w:space="0" w:color="auto"/>
            </w:tcBorders>
            <w:vAlign w:val="center"/>
          </w:tcPr>
          <w:p w14:paraId="367451AA" w14:textId="77777777" w:rsidR="00050686" w:rsidRPr="00C47F2F" w:rsidRDefault="00050686" w:rsidP="0063782B">
            <w:pPr>
              <w:jc w:val="left"/>
              <w:rPr>
                <w:noProof/>
                <w:sz w:val="22"/>
                <w:szCs w:val="22"/>
              </w:rPr>
            </w:pPr>
            <w:r w:rsidRPr="00C47F2F">
              <w:rPr>
                <w:noProof/>
                <w:sz w:val="22"/>
                <w:szCs w:val="22"/>
              </w:rPr>
              <w:t>Adult</w:t>
            </w:r>
          </w:p>
        </w:tc>
      </w:tr>
      <w:tr w:rsidR="00050686" w:rsidRPr="00972C81" w14:paraId="713524AE" w14:textId="77777777" w:rsidTr="0063782B">
        <w:trPr>
          <w:trHeight w:val="340"/>
        </w:trPr>
        <w:tc>
          <w:tcPr>
            <w:tcW w:w="3686" w:type="dxa"/>
            <w:tcBorders>
              <w:top w:val="single" w:sz="4" w:space="0" w:color="auto"/>
            </w:tcBorders>
          </w:tcPr>
          <w:p w14:paraId="37492D5A" w14:textId="77777777" w:rsidR="00050686" w:rsidRPr="00C47F2F" w:rsidRDefault="00050686" w:rsidP="0063782B">
            <w:pPr>
              <w:jc w:val="left"/>
              <w:rPr>
                <w:noProof/>
                <w:color w:val="000000"/>
                <w:sz w:val="22"/>
                <w:szCs w:val="22"/>
              </w:rPr>
            </w:pPr>
            <w:r w:rsidRPr="00C47F2F">
              <w:rPr>
                <w:rFonts w:eastAsia="Times New Roman"/>
                <w:noProof/>
                <w:color w:val="000000"/>
                <w:sz w:val="22"/>
                <w:szCs w:val="22"/>
              </w:rPr>
              <w:t>Water soluble forms, including chloride and citrate</w:t>
            </w:r>
          </w:p>
        </w:tc>
        <w:tc>
          <w:tcPr>
            <w:tcW w:w="875" w:type="dxa"/>
            <w:tcBorders>
              <w:top w:val="single" w:sz="4" w:space="0" w:color="auto"/>
            </w:tcBorders>
          </w:tcPr>
          <w:p w14:paraId="0D5DA3ED"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3.2E-09</w:t>
            </w:r>
          </w:p>
        </w:tc>
        <w:tc>
          <w:tcPr>
            <w:tcW w:w="876" w:type="dxa"/>
            <w:tcBorders>
              <w:top w:val="single" w:sz="4" w:space="0" w:color="auto"/>
            </w:tcBorders>
          </w:tcPr>
          <w:p w14:paraId="5C66607C"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2.5E-09</w:t>
            </w:r>
          </w:p>
        </w:tc>
        <w:tc>
          <w:tcPr>
            <w:tcW w:w="876" w:type="dxa"/>
            <w:tcBorders>
              <w:top w:val="single" w:sz="4" w:space="0" w:color="auto"/>
            </w:tcBorders>
          </w:tcPr>
          <w:p w14:paraId="5E906763"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1.3E-09</w:t>
            </w:r>
          </w:p>
        </w:tc>
        <w:tc>
          <w:tcPr>
            <w:tcW w:w="876" w:type="dxa"/>
            <w:tcBorders>
              <w:top w:val="single" w:sz="4" w:space="0" w:color="auto"/>
            </w:tcBorders>
          </w:tcPr>
          <w:p w14:paraId="64DB21D8"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8.8E-10</w:t>
            </w:r>
          </w:p>
        </w:tc>
        <w:tc>
          <w:tcPr>
            <w:tcW w:w="876" w:type="dxa"/>
            <w:tcBorders>
              <w:top w:val="single" w:sz="4" w:space="0" w:color="auto"/>
            </w:tcBorders>
          </w:tcPr>
          <w:p w14:paraId="45AE565A"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6.0E-10</w:t>
            </w:r>
          </w:p>
        </w:tc>
        <w:tc>
          <w:tcPr>
            <w:tcW w:w="881" w:type="dxa"/>
            <w:tcBorders>
              <w:top w:val="single" w:sz="4" w:space="0" w:color="auto"/>
            </w:tcBorders>
          </w:tcPr>
          <w:p w14:paraId="4C339057"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5.8E-10</w:t>
            </w:r>
          </w:p>
        </w:tc>
      </w:tr>
      <w:tr w:rsidR="00050686" w:rsidRPr="00972C81" w14:paraId="702518F8" w14:textId="77777777" w:rsidTr="0063782B">
        <w:trPr>
          <w:trHeight w:val="340"/>
        </w:trPr>
        <w:tc>
          <w:tcPr>
            <w:tcW w:w="3686" w:type="dxa"/>
          </w:tcPr>
          <w:p w14:paraId="1ECD2791" w14:textId="77777777" w:rsidR="00050686" w:rsidRPr="00C47F2F" w:rsidRDefault="00050686" w:rsidP="0063782B">
            <w:pPr>
              <w:jc w:val="left"/>
              <w:rPr>
                <w:noProof/>
                <w:sz w:val="22"/>
                <w:szCs w:val="22"/>
              </w:rPr>
            </w:pPr>
            <w:r w:rsidRPr="00C47F2F">
              <w:rPr>
                <w:rFonts w:eastAsia="Times New Roman"/>
                <w:noProof/>
                <w:color w:val="000000"/>
                <w:sz w:val="22"/>
                <w:szCs w:val="22"/>
              </w:rPr>
              <w:t>Dioxide</w:t>
            </w:r>
          </w:p>
        </w:tc>
        <w:tc>
          <w:tcPr>
            <w:tcW w:w="875" w:type="dxa"/>
          </w:tcPr>
          <w:p w14:paraId="3F739EFF"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3.6E-09</w:t>
            </w:r>
          </w:p>
        </w:tc>
        <w:tc>
          <w:tcPr>
            <w:tcW w:w="876" w:type="dxa"/>
          </w:tcPr>
          <w:p w14:paraId="51A774C0"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2.7E-09</w:t>
            </w:r>
          </w:p>
        </w:tc>
        <w:tc>
          <w:tcPr>
            <w:tcW w:w="876" w:type="dxa"/>
          </w:tcPr>
          <w:p w14:paraId="2036DAF8"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1.4E-09</w:t>
            </w:r>
          </w:p>
        </w:tc>
        <w:tc>
          <w:tcPr>
            <w:tcW w:w="876" w:type="dxa"/>
          </w:tcPr>
          <w:p w14:paraId="737B212D"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1.0E-09</w:t>
            </w:r>
          </w:p>
        </w:tc>
        <w:tc>
          <w:tcPr>
            <w:tcW w:w="876" w:type="dxa"/>
          </w:tcPr>
          <w:p w14:paraId="55B4A751"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6.9E-10</w:t>
            </w:r>
          </w:p>
        </w:tc>
        <w:tc>
          <w:tcPr>
            <w:tcW w:w="881" w:type="dxa"/>
          </w:tcPr>
          <w:p w14:paraId="0E83C4E4"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6.7E-10</w:t>
            </w:r>
          </w:p>
        </w:tc>
      </w:tr>
      <w:tr w:rsidR="00050686" w:rsidRPr="00972C81" w14:paraId="7F4BBBA3" w14:textId="77777777" w:rsidTr="0063782B">
        <w:trPr>
          <w:trHeight w:val="340"/>
        </w:trPr>
        <w:tc>
          <w:tcPr>
            <w:tcW w:w="3686" w:type="dxa"/>
          </w:tcPr>
          <w:p w14:paraId="5A3BE07F" w14:textId="77777777" w:rsidR="00050686" w:rsidRPr="00C47F2F" w:rsidRDefault="00050686" w:rsidP="0063782B">
            <w:pPr>
              <w:jc w:val="left"/>
              <w:rPr>
                <w:noProof/>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875" w:type="dxa"/>
          </w:tcPr>
          <w:p w14:paraId="46205276"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2.9E-09</w:t>
            </w:r>
          </w:p>
        </w:tc>
        <w:tc>
          <w:tcPr>
            <w:tcW w:w="876" w:type="dxa"/>
          </w:tcPr>
          <w:p w14:paraId="6108490A"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2.2E-09</w:t>
            </w:r>
          </w:p>
        </w:tc>
        <w:tc>
          <w:tcPr>
            <w:tcW w:w="876" w:type="dxa"/>
          </w:tcPr>
          <w:p w14:paraId="15E6EC1D"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1.1E-09</w:t>
            </w:r>
          </w:p>
        </w:tc>
        <w:tc>
          <w:tcPr>
            <w:tcW w:w="876" w:type="dxa"/>
          </w:tcPr>
          <w:p w14:paraId="56FCC217"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7.6E-10</w:t>
            </w:r>
          </w:p>
        </w:tc>
        <w:tc>
          <w:tcPr>
            <w:tcW w:w="876" w:type="dxa"/>
          </w:tcPr>
          <w:p w14:paraId="39AED6FB"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5.1E-10</w:t>
            </w:r>
          </w:p>
        </w:tc>
        <w:tc>
          <w:tcPr>
            <w:tcW w:w="881" w:type="dxa"/>
          </w:tcPr>
          <w:p w14:paraId="037A20DF"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4.8E-10</w:t>
            </w:r>
          </w:p>
        </w:tc>
      </w:tr>
      <w:tr w:rsidR="00050686" w:rsidRPr="00972C81" w14:paraId="2411ECDF" w14:textId="77777777" w:rsidTr="0063782B">
        <w:trPr>
          <w:trHeight w:val="340"/>
        </w:trPr>
        <w:tc>
          <w:tcPr>
            <w:tcW w:w="3686" w:type="dxa"/>
          </w:tcPr>
          <w:p w14:paraId="176A5800" w14:textId="77777777" w:rsidR="00050686" w:rsidRPr="00C47F2F" w:rsidRDefault="00050686" w:rsidP="0063782B">
            <w:pPr>
              <w:jc w:val="left"/>
              <w:rPr>
                <w:noProof/>
                <w:sz w:val="22"/>
                <w:szCs w:val="22"/>
              </w:rPr>
            </w:pPr>
            <w:r w:rsidRPr="00C47F2F">
              <w:rPr>
                <w:noProof/>
                <w:sz w:val="22"/>
                <w:szCs w:val="22"/>
              </w:rPr>
              <w:t>Type M</w:t>
            </w:r>
          </w:p>
        </w:tc>
        <w:tc>
          <w:tcPr>
            <w:tcW w:w="875" w:type="dxa"/>
          </w:tcPr>
          <w:p w14:paraId="65BEAE2C"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3.4E-09</w:t>
            </w:r>
          </w:p>
        </w:tc>
        <w:tc>
          <w:tcPr>
            <w:tcW w:w="876" w:type="dxa"/>
          </w:tcPr>
          <w:p w14:paraId="5F2CB456"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2.6E-09</w:t>
            </w:r>
          </w:p>
        </w:tc>
        <w:tc>
          <w:tcPr>
            <w:tcW w:w="876" w:type="dxa"/>
          </w:tcPr>
          <w:p w14:paraId="510F25BA"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1.3E-09</w:t>
            </w:r>
          </w:p>
        </w:tc>
        <w:tc>
          <w:tcPr>
            <w:tcW w:w="876" w:type="dxa"/>
          </w:tcPr>
          <w:p w14:paraId="4D272C48"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9.5E-10</w:t>
            </w:r>
          </w:p>
        </w:tc>
        <w:tc>
          <w:tcPr>
            <w:tcW w:w="876" w:type="dxa"/>
          </w:tcPr>
          <w:p w14:paraId="72DAAC95"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6.5E-10</w:t>
            </w:r>
          </w:p>
        </w:tc>
        <w:tc>
          <w:tcPr>
            <w:tcW w:w="881" w:type="dxa"/>
          </w:tcPr>
          <w:p w14:paraId="4A1BB595"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6.3E-10</w:t>
            </w:r>
          </w:p>
        </w:tc>
      </w:tr>
      <w:tr w:rsidR="00050686" w:rsidRPr="00972C81" w14:paraId="31022C0E" w14:textId="77777777" w:rsidTr="0063782B">
        <w:trPr>
          <w:trHeight w:val="340"/>
        </w:trPr>
        <w:tc>
          <w:tcPr>
            <w:tcW w:w="3686" w:type="dxa"/>
            <w:tcBorders>
              <w:bottom w:val="single" w:sz="4" w:space="0" w:color="auto"/>
            </w:tcBorders>
          </w:tcPr>
          <w:p w14:paraId="5EB8F563" w14:textId="77777777" w:rsidR="00050686" w:rsidRPr="00C47F2F" w:rsidRDefault="00050686" w:rsidP="0063782B">
            <w:pPr>
              <w:jc w:val="left"/>
              <w:rPr>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875" w:type="dxa"/>
            <w:tcBorders>
              <w:bottom w:val="single" w:sz="4" w:space="0" w:color="auto"/>
            </w:tcBorders>
          </w:tcPr>
          <w:p w14:paraId="78AAB0A7"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3.5E-09</w:t>
            </w:r>
          </w:p>
        </w:tc>
        <w:tc>
          <w:tcPr>
            <w:tcW w:w="876" w:type="dxa"/>
            <w:tcBorders>
              <w:bottom w:val="single" w:sz="4" w:space="0" w:color="auto"/>
            </w:tcBorders>
          </w:tcPr>
          <w:p w14:paraId="4747E0C4"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2.7E-09</w:t>
            </w:r>
          </w:p>
        </w:tc>
        <w:tc>
          <w:tcPr>
            <w:tcW w:w="876" w:type="dxa"/>
            <w:tcBorders>
              <w:bottom w:val="single" w:sz="4" w:space="0" w:color="auto"/>
            </w:tcBorders>
          </w:tcPr>
          <w:p w14:paraId="2B86A0D6"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1.4E-09</w:t>
            </w:r>
          </w:p>
        </w:tc>
        <w:tc>
          <w:tcPr>
            <w:tcW w:w="876" w:type="dxa"/>
            <w:tcBorders>
              <w:bottom w:val="single" w:sz="4" w:space="0" w:color="auto"/>
            </w:tcBorders>
          </w:tcPr>
          <w:p w14:paraId="66D4FF37"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1.0E-09</w:t>
            </w:r>
          </w:p>
        </w:tc>
        <w:tc>
          <w:tcPr>
            <w:tcW w:w="876" w:type="dxa"/>
            <w:tcBorders>
              <w:bottom w:val="single" w:sz="4" w:space="0" w:color="auto"/>
            </w:tcBorders>
          </w:tcPr>
          <w:p w14:paraId="144FDA24"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6.9E-10</w:t>
            </w:r>
          </w:p>
        </w:tc>
        <w:tc>
          <w:tcPr>
            <w:tcW w:w="881" w:type="dxa"/>
            <w:tcBorders>
              <w:bottom w:val="single" w:sz="4" w:space="0" w:color="auto"/>
            </w:tcBorders>
          </w:tcPr>
          <w:p w14:paraId="567065E7"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6.7E-10</w:t>
            </w:r>
          </w:p>
        </w:tc>
      </w:tr>
      <w:tr w:rsidR="00050686" w:rsidRPr="00972C81" w14:paraId="11FC9053" w14:textId="77777777" w:rsidTr="00C47F2F">
        <w:trPr>
          <w:trHeight w:val="340"/>
        </w:trPr>
        <w:tc>
          <w:tcPr>
            <w:tcW w:w="3686" w:type="dxa"/>
            <w:tcBorders>
              <w:top w:val="single" w:sz="4" w:space="0" w:color="auto"/>
              <w:bottom w:val="single" w:sz="4" w:space="0" w:color="auto"/>
            </w:tcBorders>
            <w:vAlign w:val="center"/>
          </w:tcPr>
          <w:p w14:paraId="3B60E675" w14:textId="77777777" w:rsidR="00050686" w:rsidRPr="00C47F2F" w:rsidRDefault="00050686" w:rsidP="006243FB">
            <w:pPr>
              <w:pStyle w:val="af1"/>
              <w:rPr>
                <w:noProof/>
              </w:rPr>
            </w:pPr>
          </w:p>
          <w:p w14:paraId="0F75FA63" w14:textId="77777777" w:rsidR="00050686" w:rsidRPr="00C47F2F" w:rsidRDefault="00050686" w:rsidP="00C47F2F">
            <w:pPr>
              <w:pStyle w:val="a8"/>
              <w:widowControl w:val="0"/>
              <w:rPr>
                <w:noProof/>
                <w:sz w:val="22"/>
                <w:szCs w:val="22"/>
              </w:rPr>
            </w:pPr>
            <w:r w:rsidRPr="00C47F2F">
              <w:rPr>
                <w:rFonts w:ascii="Times New Roman" w:hAnsi="Times New Roman"/>
                <w:noProof/>
                <w:sz w:val="22"/>
                <w:szCs w:val="22"/>
              </w:rPr>
              <w:t>Ingested materials</w:t>
            </w:r>
          </w:p>
        </w:tc>
        <w:tc>
          <w:tcPr>
            <w:tcW w:w="875" w:type="dxa"/>
            <w:tcBorders>
              <w:top w:val="single" w:sz="4" w:space="0" w:color="auto"/>
              <w:bottom w:val="single" w:sz="4" w:space="0" w:color="auto"/>
            </w:tcBorders>
            <w:vAlign w:val="center"/>
          </w:tcPr>
          <w:p w14:paraId="3C136050" w14:textId="77777777" w:rsidR="00050686" w:rsidRPr="00C47F2F" w:rsidRDefault="00050686" w:rsidP="00A43CE8">
            <w:pPr>
              <w:jc w:val="center"/>
              <w:rPr>
                <w:rFonts w:eastAsia="Times New Roman"/>
                <w:noProof/>
                <w:color w:val="000000"/>
                <w:sz w:val="22"/>
                <w:szCs w:val="22"/>
              </w:rPr>
            </w:pPr>
          </w:p>
        </w:tc>
        <w:tc>
          <w:tcPr>
            <w:tcW w:w="876" w:type="dxa"/>
            <w:tcBorders>
              <w:top w:val="single" w:sz="4" w:space="0" w:color="auto"/>
              <w:bottom w:val="single" w:sz="4" w:space="0" w:color="auto"/>
            </w:tcBorders>
            <w:vAlign w:val="center"/>
          </w:tcPr>
          <w:p w14:paraId="4E62A751" w14:textId="77777777" w:rsidR="00050686" w:rsidRPr="00C47F2F" w:rsidRDefault="00050686" w:rsidP="00A43CE8">
            <w:pPr>
              <w:jc w:val="center"/>
              <w:rPr>
                <w:rFonts w:eastAsia="Times New Roman"/>
                <w:noProof/>
                <w:color w:val="000000"/>
                <w:sz w:val="22"/>
                <w:szCs w:val="22"/>
              </w:rPr>
            </w:pPr>
          </w:p>
        </w:tc>
        <w:tc>
          <w:tcPr>
            <w:tcW w:w="876" w:type="dxa"/>
            <w:tcBorders>
              <w:top w:val="single" w:sz="4" w:space="0" w:color="auto"/>
              <w:bottom w:val="single" w:sz="4" w:space="0" w:color="auto"/>
            </w:tcBorders>
            <w:vAlign w:val="center"/>
          </w:tcPr>
          <w:p w14:paraId="39B9A87E" w14:textId="77777777" w:rsidR="00050686" w:rsidRPr="00C47F2F" w:rsidRDefault="00050686" w:rsidP="00A43CE8">
            <w:pPr>
              <w:jc w:val="center"/>
              <w:rPr>
                <w:rFonts w:eastAsia="Times New Roman"/>
                <w:noProof/>
                <w:color w:val="000000"/>
                <w:sz w:val="22"/>
                <w:szCs w:val="22"/>
              </w:rPr>
            </w:pPr>
          </w:p>
        </w:tc>
        <w:tc>
          <w:tcPr>
            <w:tcW w:w="876" w:type="dxa"/>
            <w:tcBorders>
              <w:top w:val="single" w:sz="4" w:space="0" w:color="auto"/>
              <w:bottom w:val="single" w:sz="4" w:space="0" w:color="auto"/>
            </w:tcBorders>
            <w:vAlign w:val="center"/>
          </w:tcPr>
          <w:p w14:paraId="2281A9FD" w14:textId="77777777" w:rsidR="00050686" w:rsidRPr="00C47F2F" w:rsidRDefault="00050686" w:rsidP="00A43CE8">
            <w:pPr>
              <w:jc w:val="center"/>
              <w:rPr>
                <w:rFonts w:eastAsia="Times New Roman"/>
                <w:noProof/>
                <w:color w:val="000000"/>
                <w:sz w:val="22"/>
                <w:szCs w:val="22"/>
              </w:rPr>
            </w:pPr>
          </w:p>
        </w:tc>
        <w:tc>
          <w:tcPr>
            <w:tcW w:w="876" w:type="dxa"/>
            <w:tcBorders>
              <w:top w:val="single" w:sz="4" w:space="0" w:color="auto"/>
              <w:bottom w:val="single" w:sz="4" w:space="0" w:color="auto"/>
            </w:tcBorders>
            <w:vAlign w:val="center"/>
          </w:tcPr>
          <w:p w14:paraId="63631BEF" w14:textId="77777777" w:rsidR="00050686" w:rsidRPr="00C47F2F" w:rsidRDefault="00050686" w:rsidP="00A43CE8">
            <w:pPr>
              <w:jc w:val="center"/>
              <w:rPr>
                <w:rFonts w:eastAsia="Times New Roman"/>
                <w:noProof/>
                <w:color w:val="000000"/>
                <w:sz w:val="22"/>
                <w:szCs w:val="22"/>
              </w:rPr>
            </w:pPr>
          </w:p>
        </w:tc>
        <w:tc>
          <w:tcPr>
            <w:tcW w:w="881" w:type="dxa"/>
            <w:tcBorders>
              <w:top w:val="single" w:sz="4" w:space="0" w:color="auto"/>
              <w:bottom w:val="single" w:sz="4" w:space="0" w:color="auto"/>
            </w:tcBorders>
            <w:vAlign w:val="center"/>
          </w:tcPr>
          <w:p w14:paraId="6C339589" w14:textId="77777777" w:rsidR="00050686" w:rsidRPr="00C47F2F" w:rsidRDefault="00050686" w:rsidP="00A43CE8">
            <w:pPr>
              <w:jc w:val="center"/>
              <w:rPr>
                <w:rFonts w:eastAsia="Times New Roman"/>
                <w:noProof/>
                <w:color w:val="000000"/>
                <w:sz w:val="22"/>
                <w:szCs w:val="22"/>
              </w:rPr>
            </w:pPr>
          </w:p>
        </w:tc>
      </w:tr>
      <w:tr w:rsidR="00050686" w:rsidRPr="00972C81" w14:paraId="07169147" w14:textId="77777777" w:rsidTr="0063782B">
        <w:trPr>
          <w:trHeight w:val="340"/>
        </w:trPr>
        <w:tc>
          <w:tcPr>
            <w:tcW w:w="3686" w:type="dxa"/>
            <w:tcBorders>
              <w:top w:val="single" w:sz="4" w:space="0" w:color="auto"/>
              <w:bottom w:val="single" w:sz="4" w:space="0" w:color="auto"/>
            </w:tcBorders>
            <w:vAlign w:val="center"/>
          </w:tcPr>
          <w:p w14:paraId="213974D4" w14:textId="77777777" w:rsidR="00050686" w:rsidRPr="00C47F2F" w:rsidRDefault="00050686" w:rsidP="0063782B">
            <w:pPr>
              <w:jc w:val="left"/>
              <w:rPr>
                <w:noProof/>
                <w:sz w:val="22"/>
                <w:szCs w:val="22"/>
              </w:rPr>
            </w:pPr>
            <w:r w:rsidRPr="00C47F2F">
              <w:rPr>
                <w:rFonts w:eastAsia="Times New Roman"/>
                <w:noProof/>
                <w:color w:val="000000"/>
                <w:sz w:val="22"/>
                <w:szCs w:val="22"/>
                <w:lang w:eastAsia="en-GB"/>
              </w:rPr>
              <w:t>All compounds</w:t>
            </w:r>
          </w:p>
        </w:tc>
        <w:tc>
          <w:tcPr>
            <w:tcW w:w="875" w:type="dxa"/>
            <w:tcBorders>
              <w:top w:val="single" w:sz="4" w:space="0" w:color="auto"/>
              <w:bottom w:val="single" w:sz="4" w:space="0" w:color="auto"/>
            </w:tcBorders>
            <w:vAlign w:val="center"/>
          </w:tcPr>
          <w:p w14:paraId="3443B718"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3.5E-09</w:t>
            </w:r>
          </w:p>
        </w:tc>
        <w:tc>
          <w:tcPr>
            <w:tcW w:w="876" w:type="dxa"/>
            <w:tcBorders>
              <w:top w:val="single" w:sz="4" w:space="0" w:color="auto"/>
              <w:bottom w:val="single" w:sz="4" w:space="0" w:color="auto"/>
            </w:tcBorders>
            <w:vAlign w:val="center"/>
          </w:tcPr>
          <w:p w14:paraId="24D3D189"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3.0E-09</w:t>
            </w:r>
          </w:p>
        </w:tc>
        <w:tc>
          <w:tcPr>
            <w:tcW w:w="876" w:type="dxa"/>
            <w:tcBorders>
              <w:top w:val="single" w:sz="4" w:space="0" w:color="auto"/>
              <w:bottom w:val="single" w:sz="4" w:space="0" w:color="auto"/>
            </w:tcBorders>
            <w:vAlign w:val="center"/>
          </w:tcPr>
          <w:p w14:paraId="6D1A48FD"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1.8E-09</w:t>
            </w:r>
          </w:p>
        </w:tc>
        <w:tc>
          <w:tcPr>
            <w:tcW w:w="876" w:type="dxa"/>
            <w:tcBorders>
              <w:top w:val="single" w:sz="4" w:space="0" w:color="auto"/>
              <w:bottom w:val="single" w:sz="4" w:space="0" w:color="auto"/>
            </w:tcBorders>
            <w:vAlign w:val="center"/>
          </w:tcPr>
          <w:p w14:paraId="246EF20C"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1.3E-09</w:t>
            </w:r>
          </w:p>
        </w:tc>
        <w:tc>
          <w:tcPr>
            <w:tcW w:w="876" w:type="dxa"/>
            <w:tcBorders>
              <w:top w:val="single" w:sz="4" w:space="0" w:color="auto"/>
              <w:bottom w:val="single" w:sz="4" w:space="0" w:color="auto"/>
            </w:tcBorders>
            <w:vAlign w:val="center"/>
          </w:tcPr>
          <w:p w14:paraId="4F486BA2"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8.5E-10</w:t>
            </w:r>
          </w:p>
        </w:tc>
        <w:tc>
          <w:tcPr>
            <w:tcW w:w="881" w:type="dxa"/>
            <w:tcBorders>
              <w:top w:val="single" w:sz="4" w:space="0" w:color="auto"/>
              <w:bottom w:val="single" w:sz="4" w:space="0" w:color="auto"/>
            </w:tcBorders>
            <w:vAlign w:val="center"/>
          </w:tcPr>
          <w:p w14:paraId="28560550" w14:textId="77777777" w:rsidR="00050686" w:rsidRPr="00C47F2F" w:rsidRDefault="00050686" w:rsidP="0063782B">
            <w:pPr>
              <w:jc w:val="left"/>
              <w:rPr>
                <w:rFonts w:eastAsia="Times New Roman"/>
                <w:noProof/>
                <w:color w:val="000000"/>
                <w:sz w:val="22"/>
                <w:szCs w:val="22"/>
              </w:rPr>
            </w:pPr>
            <w:r w:rsidRPr="00C47F2F">
              <w:rPr>
                <w:rFonts w:eastAsia="Times New Roman"/>
                <w:noProof/>
                <w:color w:val="000000"/>
                <w:sz w:val="22"/>
                <w:szCs w:val="22"/>
              </w:rPr>
              <w:t>7.9E-10</w:t>
            </w:r>
          </w:p>
        </w:tc>
      </w:tr>
      <w:bookmarkEnd w:id="49"/>
    </w:tbl>
    <w:p w14:paraId="2A848EEA" w14:textId="77777777" w:rsidR="006A7138" w:rsidRPr="00972C81" w:rsidRDefault="006A7138" w:rsidP="006A7138">
      <w:pPr>
        <w:widowControl/>
        <w:jc w:val="left"/>
        <w:rPr>
          <w:rFonts w:ascii="Times Roman" w:hAnsi="Times Roman"/>
          <w:noProof/>
          <w:color w:val="000000" w:themeColor="text1"/>
          <w:szCs w:val="24"/>
        </w:rPr>
      </w:pPr>
      <w:r w:rsidRPr="00972C81">
        <w:rPr>
          <w:rFonts w:ascii="Times Roman" w:hAnsi="Times Roman"/>
          <w:noProof/>
          <w:color w:val="000000" w:themeColor="text1"/>
          <w:szCs w:val="24"/>
        </w:rPr>
        <w:br w:type="page"/>
      </w:r>
    </w:p>
    <w:p w14:paraId="3A6B6711" w14:textId="2BFCEB96" w:rsidR="007D1F4D" w:rsidRPr="00972C81" w:rsidRDefault="00DC407D" w:rsidP="00E81109">
      <w:pPr>
        <w:pStyle w:val="1"/>
        <w:rPr>
          <w:noProof/>
        </w:rPr>
      </w:pPr>
      <w:bookmarkStart w:id="50" w:name="_Toc455492575"/>
      <w:bookmarkStart w:id="51" w:name="_Toc455493004"/>
      <w:bookmarkStart w:id="52" w:name="_Toc162629989"/>
      <w:r w:rsidRPr="00972C81">
        <w:rPr>
          <w:noProof/>
        </w:rPr>
        <w:lastRenderedPageBreak/>
        <w:t>Cerium (Z = 58)</w:t>
      </w:r>
      <w:bookmarkEnd w:id="50"/>
      <w:bookmarkEnd w:id="51"/>
      <w:bookmarkEnd w:id="52"/>
    </w:p>
    <w:p w14:paraId="3A077529" w14:textId="3F20C22E" w:rsidR="00F26A3C" w:rsidRPr="00972C81" w:rsidRDefault="00F26A3C" w:rsidP="00E81109">
      <w:pPr>
        <w:pStyle w:val="2"/>
        <w:rPr>
          <w:noProof/>
          <w:lang w:val="en-GB"/>
        </w:rPr>
      </w:pPr>
      <w:bookmarkStart w:id="53" w:name="_Toc17467794"/>
      <w:bookmarkStart w:id="54" w:name="_Toc455492577"/>
      <w:bookmarkStart w:id="55" w:name="_Toc455493006"/>
      <w:bookmarkStart w:id="56" w:name="_Toc162629990"/>
      <w:bookmarkEnd w:id="53"/>
      <w:r w:rsidRPr="00972C81">
        <w:rPr>
          <w:noProof/>
          <w:lang w:val="en-GB"/>
        </w:rPr>
        <w:t>Routes of Intake</w:t>
      </w:r>
      <w:bookmarkEnd w:id="54"/>
      <w:bookmarkEnd w:id="55"/>
      <w:bookmarkEnd w:id="56"/>
    </w:p>
    <w:p w14:paraId="1E47293F" w14:textId="77777777" w:rsidR="00F26A3C" w:rsidRPr="00972C81" w:rsidRDefault="00F26A3C" w:rsidP="00E81109">
      <w:pPr>
        <w:pStyle w:val="3"/>
        <w:rPr>
          <w:noProof/>
        </w:rPr>
      </w:pPr>
      <w:bookmarkStart w:id="57" w:name="_Toc162629991"/>
      <w:r w:rsidRPr="00972C81">
        <w:rPr>
          <w:noProof/>
        </w:rPr>
        <w:t>Inhalation</w:t>
      </w:r>
      <w:bookmarkEnd w:id="57"/>
    </w:p>
    <w:p w14:paraId="26988D4C" w14:textId="1CC40313" w:rsidR="00F26A3C" w:rsidRPr="00972C81" w:rsidRDefault="00F26A3C" w:rsidP="001C4A92">
      <w:pPr>
        <w:pStyle w:val="Annalstext"/>
        <w:rPr>
          <w:noProof/>
        </w:rPr>
      </w:pPr>
      <w:r w:rsidRPr="00972C81">
        <w:rPr>
          <w:noProof/>
        </w:rPr>
        <w:t xml:space="preserve">Studies have been reported of the behaviour of cerium (Ce) radioisotopes </w:t>
      </w:r>
      <w:r w:rsidR="00BB503E">
        <w:rPr>
          <w:noProof/>
        </w:rPr>
        <w:t>in humans</w:t>
      </w:r>
      <w:r w:rsidRPr="00972C81">
        <w:rPr>
          <w:noProof/>
        </w:rPr>
        <w:t xml:space="preserve"> following accidental inhalation</w:t>
      </w:r>
      <w:r w:rsidR="009F0BE4" w:rsidRPr="00972C81">
        <w:rPr>
          <w:noProof/>
        </w:rPr>
        <w:t>.</w:t>
      </w:r>
      <w:r w:rsidRPr="00972C81">
        <w:rPr>
          <w:noProof/>
        </w:rPr>
        <w:t xml:space="preserve"> Information on absorption from the respiratory tract is available from experimental studies of cerium in various chemical forms, including chloride, citrate, dioxide, irradiated fuel fragments, and in fused aluminosilicate particles (FAP). </w:t>
      </w:r>
      <w:r w:rsidR="00FB7FB2" w:rsidRPr="00972C81">
        <w:rPr>
          <w:noProof/>
        </w:rPr>
        <w:t xml:space="preserve">For details, see Section 4 of </w:t>
      </w:r>
      <w:r w:rsidR="00352617" w:rsidRPr="00972C81">
        <w:rPr>
          <w:i/>
          <w:noProof/>
        </w:rPr>
        <w:t xml:space="preserve">Publication </w:t>
      </w:r>
      <w:r w:rsidR="0050648E" w:rsidRPr="00972C81">
        <w:rPr>
          <w:i/>
          <w:noProof/>
        </w:rPr>
        <w:t>141</w:t>
      </w:r>
      <w:r w:rsidR="00352617" w:rsidRPr="00972C81">
        <w:rPr>
          <w:noProof/>
        </w:rPr>
        <w:t xml:space="preserve"> </w:t>
      </w:r>
      <w:r w:rsidR="00B94D6D" w:rsidRPr="00972C81">
        <w:rPr>
          <w:noProof/>
        </w:rPr>
        <w:fldChar w:fldCharType="begin"/>
      </w:r>
      <w:r w:rsidR="00B94D6D" w:rsidRPr="00972C81">
        <w:rPr>
          <w:noProof/>
        </w:rPr>
        <w:instrText xml:space="preserve"> ADDIN ZOTERO_ITEM CSL_CITATION {"citationID":"eNsyOX7S","properties":{"formattedCitation":"(ICRP,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B94D6D" w:rsidRPr="00972C81">
        <w:rPr>
          <w:noProof/>
        </w:rPr>
        <w:fldChar w:fldCharType="separate"/>
      </w:r>
      <w:r w:rsidR="00BC59C6" w:rsidRPr="00972C81">
        <w:rPr>
          <w:noProof/>
        </w:rPr>
        <w:t>(ICRP, 2019)</w:t>
      </w:r>
      <w:r w:rsidR="00B94D6D" w:rsidRPr="00972C81">
        <w:rPr>
          <w:noProof/>
        </w:rPr>
        <w:fldChar w:fldCharType="end"/>
      </w:r>
      <w:r w:rsidR="00FB7FB2" w:rsidRPr="00972C81">
        <w:rPr>
          <w:noProof/>
        </w:rPr>
        <w:t xml:space="preserve">. </w:t>
      </w:r>
      <w:r w:rsidRPr="00972C81">
        <w:rPr>
          <w:noProof/>
        </w:rPr>
        <w:t xml:space="preserve">The behaviour of ionic (soluble) cerium following deposition in the respiratory tract is complex and difficult to quantify because ionic solutions (e.g. chloride) are unstable at neutral pH and </w:t>
      </w:r>
      <w:r w:rsidR="00BB503E">
        <w:rPr>
          <w:noProof/>
        </w:rPr>
        <w:t>in humans</w:t>
      </w:r>
      <w:r w:rsidRPr="00972C81">
        <w:rPr>
          <w:noProof/>
        </w:rPr>
        <w:t xml:space="preserve">y biological media, resulting in colloid formation (see </w:t>
      </w:r>
      <w:r w:rsidR="009F0BE4" w:rsidRPr="00972C81">
        <w:rPr>
          <w:noProof/>
        </w:rPr>
        <w:t xml:space="preserve">Section 2 of </w:t>
      </w:r>
      <w:r w:rsidR="00352617" w:rsidRPr="00972C81">
        <w:rPr>
          <w:i/>
          <w:noProof/>
        </w:rPr>
        <w:t xml:space="preserve">Publication </w:t>
      </w:r>
      <w:r w:rsidR="0050648E" w:rsidRPr="00972C81">
        <w:rPr>
          <w:i/>
          <w:noProof/>
        </w:rPr>
        <w:t>141</w:t>
      </w:r>
      <w:r w:rsidR="00352617" w:rsidRPr="00972C81">
        <w:rPr>
          <w:noProof/>
        </w:rPr>
        <w:t xml:space="preserve">, ICRP </w:t>
      </w:r>
      <w:r w:rsidR="00F637A5" w:rsidRPr="00972C81">
        <w:rPr>
          <w:noProof/>
        </w:rPr>
        <w:t>20</w:t>
      </w:r>
      <w:r w:rsidR="0050648E" w:rsidRPr="00972C81">
        <w:rPr>
          <w:noProof/>
        </w:rPr>
        <w:t>19</w:t>
      </w:r>
      <w:r w:rsidR="009F0BE4" w:rsidRPr="00972C81">
        <w:rPr>
          <w:noProof/>
        </w:rPr>
        <w:t>)</w:t>
      </w:r>
      <w:r w:rsidR="00FB7FB2" w:rsidRPr="00972C81">
        <w:rPr>
          <w:noProof/>
        </w:rPr>
        <w:t xml:space="preserve">. </w:t>
      </w:r>
      <w:r w:rsidRPr="00972C81">
        <w:rPr>
          <w:noProof/>
        </w:rPr>
        <w:t xml:space="preserve">Absorption parameter values and Types, and associated </w:t>
      </w:r>
      <w:r w:rsidRPr="00972C81">
        <w:rPr>
          <w:i/>
          <w:noProof/>
        </w:rPr>
        <w:t>f</w:t>
      </w:r>
      <w:r w:rsidRPr="00972C81">
        <w:rPr>
          <w:noProof/>
          <w:vertAlign w:val="subscript"/>
        </w:rPr>
        <w:t>A</w:t>
      </w:r>
      <w:r w:rsidRPr="00972C81">
        <w:rPr>
          <w:noProof/>
        </w:rPr>
        <w:t xml:space="preserve"> values for particulate forms of cerium are given in </w:t>
      </w:r>
      <w:r w:rsidR="00B94D6D" w:rsidRPr="00972C81">
        <w:rPr>
          <w:noProof/>
        </w:rPr>
        <w:fldChar w:fldCharType="begin"/>
      </w:r>
      <w:r w:rsidR="00B94D6D" w:rsidRPr="00972C81">
        <w:rPr>
          <w:noProof/>
        </w:rPr>
        <w:instrText xml:space="preserve"> REF _Ref417994983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1</w:t>
      </w:r>
      <w:r w:rsidR="00B94D6D" w:rsidRPr="00972C81">
        <w:rPr>
          <w:noProof/>
        </w:rPr>
        <w:fldChar w:fldCharType="end"/>
      </w:r>
      <w:r w:rsidR="00DC407D" w:rsidRPr="00972C81">
        <w:rPr>
          <w:noProof/>
        </w:rPr>
        <w:t xml:space="preserve"> </w:t>
      </w:r>
      <w:r w:rsidR="00B94D6D" w:rsidRPr="00972C81">
        <w:rPr>
          <w:noProof/>
        </w:rPr>
        <w:t xml:space="preserve">and </w:t>
      </w:r>
      <w:r w:rsidR="00B94D6D" w:rsidRPr="00972C81">
        <w:rPr>
          <w:noProof/>
        </w:rPr>
        <w:fldChar w:fldCharType="begin"/>
      </w:r>
      <w:r w:rsidR="00B94D6D" w:rsidRPr="00972C81">
        <w:rPr>
          <w:noProof/>
        </w:rPr>
        <w:instrText xml:space="preserve"> REF _Ref141784472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B94D6D" w:rsidRPr="00972C81">
        <w:rPr>
          <w:noProof/>
        </w:rPr>
        <w:fldChar w:fldCharType="end"/>
      </w:r>
      <w:r w:rsidR="00B94D6D" w:rsidRPr="00972C81">
        <w:rPr>
          <w:noProof/>
        </w:rPr>
        <w:t xml:space="preserve"> </w:t>
      </w:r>
      <w:r w:rsidR="00DC407D" w:rsidRPr="00972C81">
        <w:rPr>
          <w:noProof/>
        </w:rPr>
        <w:t>of the lanthanum section.</w:t>
      </w:r>
    </w:p>
    <w:p w14:paraId="2A058C0A" w14:textId="77777777" w:rsidR="00AA0F0E" w:rsidRPr="00972C81" w:rsidRDefault="00DC407D" w:rsidP="006F56F9">
      <w:pPr>
        <w:pStyle w:val="3"/>
        <w:rPr>
          <w:noProof/>
        </w:rPr>
      </w:pPr>
      <w:bookmarkStart w:id="58" w:name="_Toc162629992"/>
      <w:r w:rsidRPr="00972C81">
        <w:rPr>
          <w:noProof/>
        </w:rPr>
        <w:t>Ingestion</w:t>
      </w:r>
      <w:bookmarkEnd w:id="58"/>
    </w:p>
    <w:p w14:paraId="31DA37B9" w14:textId="240995C0" w:rsidR="007D1F4D" w:rsidRPr="00972C81" w:rsidRDefault="00DC407D" w:rsidP="001C4A92">
      <w:pPr>
        <w:pStyle w:val="Annalstext"/>
        <w:rPr>
          <w:noProof/>
        </w:rPr>
      </w:pPr>
      <w:r w:rsidRPr="00972C81">
        <w:rPr>
          <w:i/>
          <w:noProof/>
        </w:rPr>
        <w:t>Adults</w:t>
      </w:r>
      <w:r w:rsidR="00BD201D" w:rsidRPr="00972C81">
        <w:rPr>
          <w:noProof/>
        </w:rPr>
        <w:t xml:space="preserve">. </w:t>
      </w:r>
      <w:r w:rsidRPr="00972C81">
        <w:rPr>
          <w:noProof/>
        </w:rPr>
        <w:t xml:space="preserve">The gastrointestinal absorption of </w:t>
      </w:r>
      <w:r w:rsidR="00667216" w:rsidRPr="00972C81">
        <w:rPr>
          <w:noProof/>
        </w:rPr>
        <w:t xml:space="preserve">cerium in humans is similar to that of </w:t>
      </w:r>
      <w:r w:rsidR="002B733B" w:rsidRPr="00972C81">
        <w:rPr>
          <w:noProof/>
        </w:rPr>
        <w:t>trivalent</w:t>
      </w:r>
      <w:r w:rsidR="00667216" w:rsidRPr="00972C81">
        <w:rPr>
          <w:noProof/>
        </w:rPr>
        <w:t xml:space="preserve"> actinides </w:t>
      </w:r>
      <w:r w:rsidRPr="00972C81">
        <w:rPr>
          <w:noProof/>
        </w:rPr>
        <w:t xml:space="preserve">(for more details, see section </w:t>
      </w:r>
      <w:r w:rsidR="00667216" w:rsidRPr="00972C81">
        <w:rPr>
          <w:noProof/>
        </w:rPr>
        <w:t>4</w:t>
      </w:r>
      <w:r w:rsidRPr="00972C81">
        <w:rPr>
          <w:noProof/>
        </w:rPr>
        <w:t xml:space="preserve"> of </w:t>
      </w:r>
      <w:r w:rsidRPr="00972C81">
        <w:rPr>
          <w:i/>
          <w:noProof/>
        </w:rPr>
        <w:t xml:space="preserve">Publication </w:t>
      </w:r>
      <w:r w:rsidR="00F637A5" w:rsidRPr="00972C81">
        <w:rPr>
          <w:i/>
          <w:noProof/>
        </w:rPr>
        <w:t>1</w:t>
      </w:r>
      <w:r w:rsidR="0050648E" w:rsidRPr="00972C81">
        <w:rPr>
          <w:i/>
          <w:noProof/>
        </w:rPr>
        <w:t>41</w:t>
      </w:r>
      <w:r w:rsidR="00F637A5" w:rsidRPr="00972C81">
        <w:rPr>
          <w:noProof/>
        </w:rPr>
        <w:t xml:space="preserve">, </w:t>
      </w:r>
      <w:r w:rsidRPr="00972C81">
        <w:rPr>
          <w:noProof/>
        </w:rPr>
        <w:t xml:space="preserve">ICRP, </w:t>
      </w:r>
      <w:r w:rsidR="00F637A5" w:rsidRPr="00972C81">
        <w:rPr>
          <w:noProof/>
        </w:rPr>
        <w:t>20</w:t>
      </w:r>
      <w:r w:rsidR="0050648E" w:rsidRPr="00972C81">
        <w:rPr>
          <w:noProof/>
        </w:rPr>
        <w:t>19</w:t>
      </w:r>
      <w:r w:rsidRPr="00972C81">
        <w:rPr>
          <w:noProof/>
        </w:rPr>
        <w:t xml:space="preserve">).  </w:t>
      </w:r>
      <w:r w:rsidR="00077B2A" w:rsidRPr="00972C81">
        <w:rPr>
          <w:noProof/>
        </w:rPr>
        <w:t>Huma</w:t>
      </w:r>
      <w:r w:rsidR="002B733B" w:rsidRPr="00972C81">
        <w:rPr>
          <w:noProof/>
        </w:rPr>
        <w:t>n biokinetics of cerium citrate</w:t>
      </w:r>
      <w:r w:rsidR="00077B2A" w:rsidRPr="00972C81">
        <w:rPr>
          <w:noProof/>
        </w:rPr>
        <w:t xml:space="preserve"> was investigated with stable isotopes </w:t>
      </w:r>
      <w:r w:rsidR="00B94D6D" w:rsidRPr="00972C81">
        <w:rPr>
          <w:noProof/>
        </w:rPr>
        <w:fldChar w:fldCharType="begin"/>
      </w:r>
      <w:r w:rsidR="00B94D6D" w:rsidRPr="00972C81">
        <w:rPr>
          <w:noProof/>
        </w:rPr>
        <w:instrText xml:space="preserve"> ADDIN ZOTERO_ITEM CSL_CITATION {"citationID":"9cg9ZpPg","properties":{"formattedCitation":"(H\\uc0\\u246{}llriegl et al., 2017)","plainCitation":"(Höllriegl et al., 2017)","noteIndex":0},"citationItems":[{"id":4759,"uris":["http://zotero.org/groups/2470620/items/J2ETXXN8"],"itemData":{"id":4759,"type":"article-journal","abstract":"Tracer kinetics in healthy human volunteers was studied applying stable isotopes of cerium citrate to obtain biokinetic human data for the urinary excretion of cerium. These data were then used to compare and validate the biokinetic model for lanthanides (cerium) proposed by Taylor and Leggett (Radiat Prot Dosim 105:193–198, 2003), which is substantially improved and more realistic than the biokinetic model currently recommended by the International Commission on Radiological Protection (ICRP Publication 67, 1993); both models are primarily based on animal data. In the present study, 16 adults were investigated and two cerium tracers were simultaneously administered, both intravenously and/or orally. The cerium concentrations in urine were determined by inductively coupled plasma mass spectrometry. Ingested cerium citrate was poorly absorbed, and its low excretion was similar to the prediction of the biokinetic model of Taylor and Leggett. In contrast, after injection of cerium citrate its urinary excretion was rapidly increased, and the model underestimated the experimental results. These results suggest that urinary excretion of cerium may be dependent on the administered chemical form of cerium (speciation). © 2016, Springer-Verlag Berlin Heidelberg.","archive":"Scopus","container-title":"Radiation and Environmental Biophysics","DOI":"10.1007/s00411-016-0671-4","ISSN":"0301-634X","issue":"1","language":"English","page":"1-8","source":"Scopus","title":"Biokinetic measurements and modelling of urinary excretion of cerium citrate in humans","volume":"56","author":[{"family":"Höllriegl","given":"V."},{"family":"Li","given":"W.B."},{"family":"Michalke","given":"B."}],"issued":{"date-parts":[["2017"]]}}}],"schema":"https://github.com/citation-style-language/schema/raw/master/csl-citation.json"} </w:instrText>
      </w:r>
      <w:r w:rsidR="00B94D6D" w:rsidRPr="00972C81">
        <w:rPr>
          <w:noProof/>
        </w:rPr>
        <w:fldChar w:fldCharType="separate"/>
      </w:r>
      <w:r w:rsidR="00BC59C6" w:rsidRPr="00972C81">
        <w:rPr>
          <w:noProof/>
          <w:szCs w:val="24"/>
        </w:rPr>
        <w:t>(Höllriegl et al., 2017)</w:t>
      </w:r>
      <w:r w:rsidR="00B94D6D" w:rsidRPr="00972C81">
        <w:rPr>
          <w:noProof/>
        </w:rPr>
        <w:fldChar w:fldCharType="end"/>
      </w:r>
      <w:r w:rsidR="008D05DE" w:rsidRPr="00972C81">
        <w:rPr>
          <w:noProof/>
        </w:rPr>
        <w:t>: c</w:t>
      </w:r>
      <w:r w:rsidR="00077B2A" w:rsidRPr="00972C81">
        <w:rPr>
          <w:noProof/>
        </w:rPr>
        <w:t xml:space="preserve">omparing urinary excretions of oral and intravenous tracers with corresponding model predictions based on the structure presented by Taylor and Leggett </w:t>
      </w:r>
      <w:r w:rsidR="00B94D6D" w:rsidRPr="00972C81">
        <w:rPr>
          <w:noProof/>
        </w:rPr>
        <w:fldChar w:fldCharType="begin"/>
      </w:r>
      <w:r w:rsidR="00B94D6D" w:rsidRPr="00972C81">
        <w:rPr>
          <w:noProof/>
        </w:rPr>
        <w:instrText xml:space="preserve"> ADDIN ZOTERO_ITEM CSL_CITATION {"citationID":"tUEY3Ycl","properties":{"formattedCitation":"(2003)","plainCitation":"(2003)","noteIndex":0},"citationItems":[{"id":4762,"uris":["http://zotero.org/groups/2470620/items/PDWVFMQH"],"itemData":{"id":4762,"type":"article-journal","abstract":"Information on the biokinetics of the 15 elements of the lanthanide series, 57La to 71Lu, is too sparse to permit individual development of meaningful biokinetic models to describe the behaviour of each of the elements in humans. The lanthanides show a regular gradation in chemical properties across the series, and animal studies indicate that this is reflected in regular differences in their deposition in tissues such as the liver and skeleton. These regular differences in chemical and biological behaviour have been utilised to construct a generic lanthanide biokinetic model and to define element-specific parameters for each element in the series. This report describes the use of the available biokinetic data for humans and animals to derive the parameters for each of the elements.","archive":"Scopus","container-title":"Radiation Protection Dosimetry","DOI":"10.1093/oxfordjournals.rpd.a006222","ISSN":"0144-8420","issue":"1-4","language":"English","page":"193-198","source":"Scopus","title":"A generic biokinetic model for predicting the behaviour of the lanthanide elements in the human body","volume":"105","author":[{"family":"Taylor","given":"D.M."},{"family":"Leggett","given":"R.W."}],"issued":{"date-parts":[["2003"]]}},"suppress-author":true}],"schema":"https://github.com/citation-style-language/schema/raw/master/csl-citation.json"} </w:instrText>
      </w:r>
      <w:r w:rsidR="00B94D6D" w:rsidRPr="00972C81">
        <w:rPr>
          <w:noProof/>
        </w:rPr>
        <w:fldChar w:fldCharType="separate"/>
      </w:r>
      <w:r w:rsidR="00BC59C6" w:rsidRPr="00972C81">
        <w:rPr>
          <w:noProof/>
        </w:rPr>
        <w:t>(2003)</w:t>
      </w:r>
      <w:r w:rsidR="00B94D6D" w:rsidRPr="00972C81">
        <w:rPr>
          <w:noProof/>
        </w:rPr>
        <w:fldChar w:fldCharType="end"/>
      </w:r>
      <w:r w:rsidR="00077B2A" w:rsidRPr="00972C81">
        <w:rPr>
          <w:noProof/>
        </w:rPr>
        <w:t xml:space="preserve"> indicate</w:t>
      </w:r>
      <w:r w:rsidR="002B733B" w:rsidRPr="00972C81">
        <w:rPr>
          <w:noProof/>
        </w:rPr>
        <w:t>d</w:t>
      </w:r>
      <w:r w:rsidR="00077B2A" w:rsidRPr="00972C81">
        <w:rPr>
          <w:noProof/>
        </w:rPr>
        <w:t xml:space="preserve"> that the intestinal absorption </w:t>
      </w:r>
      <w:r w:rsidR="002B733B" w:rsidRPr="00972C81">
        <w:rPr>
          <w:noProof/>
        </w:rPr>
        <w:t>was</w:t>
      </w:r>
      <w:r w:rsidR="00077B2A" w:rsidRPr="00972C81">
        <w:rPr>
          <w:noProof/>
        </w:rPr>
        <w:t xml:space="preserve"> about 5</w:t>
      </w:r>
      <w:r w:rsidR="00067025" w:rsidRPr="00972C81">
        <w:rPr>
          <w:noProof/>
        </w:rPr>
        <w:t xml:space="preserve"> × </w:t>
      </w:r>
      <w:r w:rsidR="00077B2A" w:rsidRPr="00972C81">
        <w:rPr>
          <w:noProof/>
        </w:rPr>
        <w:t>10</w:t>
      </w:r>
      <w:r w:rsidRPr="00972C81">
        <w:rPr>
          <w:noProof/>
          <w:vertAlign w:val="superscript"/>
        </w:rPr>
        <w:t>-3</w:t>
      </w:r>
      <w:r w:rsidR="00077B2A" w:rsidRPr="00972C81">
        <w:rPr>
          <w:noProof/>
        </w:rPr>
        <w:t xml:space="preserve"> or lower.</w:t>
      </w:r>
      <w:r w:rsidR="00EE25F8" w:rsidRPr="00972C81">
        <w:rPr>
          <w:noProof/>
        </w:rPr>
        <w:t xml:space="preserve"> In </w:t>
      </w:r>
      <w:r w:rsidR="00EE25F8" w:rsidRPr="00972C81">
        <w:rPr>
          <w:i/>
          <w:noProof/>
        </w:rPr>
        <w:t xml:space="preserve">Publication </w:t>
      </w:r>
      <w:r w:rsidR="0050648E" w:rsidRPr="00972C81">
        <w:rPr>
          <w:i/>
          <w:noProof/>
        </w:rPr>
        <w:t>141</w:t>
      </w:r>
      <w:r w:rsidR="00EE25F8" w:rsidRPr="00972C81">
        <w:rPr>
          <w:noProof/>
        </w:rPr>
        <w:t xml:space="preserve"> </w:t>
      </w:r>
      <w:r w:rsidR="00B94D6D" w:rsidRPr="00972C81">
        <w:rPr>
          <w:noProof/>
        </w:rPr>
        <w:fldChar w:fldCharType="begin"/>
      </w:r>
      <w:r w:rsidR="00B94D6D" w:rsidRPr="00972C81">
        <w:rPr>
          <w:noProof/>
        </w:rPr>
        <w:instrText xml:space="preserve"> ADDIN ZOTERO_ITEM CSL_CITATION {"citationID":"AdkM6jBS","properties":{"formattedCitation":"(ICRP,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B94D6D" w:rsidRPr="00972C81">
        <w:rPr>
          <w:noProof/>
        </w:rPr>
        <w:fldChar w:fldCharType="separate"/>
      </w:r>
      <w:r w:rsidR="00BC59C6" w:rsidRPr="00972C81">
        <w:rPr>
          <w:noProof/>
        </w:rPr>
        <w:t>(ICRP, 2019)</w:t>
      </w:r>
      <w:r w:rsidR="00B94D6D" w:rsidRPr="00972C81">
        <w:rPr>
          <w:noProof/>
        </w:rPr>
        <w:fldChar w:fldCharType="end"/>
      </w:r>
      <w:r w:rsidR="00EE25F8" w:rsidRPr="00972C81">
        <w:rPr>
          <w:noProof/>
        </w:rPr>
        <w:t xml:space="preserve"> an </w:t>
      </w:r>
      <w:r w:rsidR="00EE25F8" w:rsidRPr="00972C81">
        <w:rPr>
          <w:i/>
          <w:noProof/>
        </w:rPr>
        <w:t>f</w:t>
      </w:r>
      <w:r w:rsidR="00EE25F8" w:rsidRPr="00972C81">
        <w:rPr>
          <w:noProof/>
          <w:vertAlign w:val="subscript"/>
        </w:rPr>
        <w:t>A</w:t>
      </w:r>
      <w:r w:rsidR="00EE25F8" w:rsidRPr="00972C81">
        <w:rPr>
          <w:noProof/>
        </w:rPr>
        <w:t xml:space="preserve"> value 5</w:t>
      </w:r>
      <w:r w:rsidR="00067025" w:rsidRPr="00972C81">
        <w:rPr>
          <w:noProof/>
        </w:rPr>
        <w:t xml:space="preserve"> × </w:t>
      </w:r>
      <w:r w:rsidR="00EE25F8" w:rsidRPr="00972C81">
        <w:rPr>
          <w:noProof/>
        </w:rPr>
        <w:t>10</w:t>
      </w:r>
      <w:r w:rsidR="00EE25F8" w:rsidRPr="00972C81">
        <w:rPr>
          <w:noProof/>
          <w:vertAlign w:val="superscript"/>
        </w:rPr>
        <w:t>-4</w:t>
      </w:r>
      <w:r w:rsidR="00EE25F8" w:rsidRPr="00972C81">
        <w:rPr>
          <w:noProof/>
        </w:rPr>
        <w:t xml:space="preserve"> was adopted for workers.</w:t>
      </w:r>
      <w:r w:rsidR="00C10792" w:rsidRPr="00972C81">
        <w:rPr>
          <w:noProof/>
        </w:rPr>
        <w:t xml:space="preserve"> The same </w:t>
      </w:r>
      <w:r w:rsidRPr="00972C81">
        <w:rPr>
          <w:i/>
          <w:noProof/>
        </w:rPr>
        <w:t>f</w:t>
      </w:r>
      <w:r w:rsidRPr="00972C81">
        <w:rPr>
          <w:noProof/>
          <w:vertAlign w:val="subscript"/>
        </w:rPr>
        <w:t>A</w:t>
      </w:r>
      <w:r w:rsidR="00C10792" w:rsidRPr="00972C81">
        <w:rPr>
          <w:noProof/>
        </w:rPr>
        <w:t xml:space="preserve"> = 5</w:t>
      </w:r>
      <w:r w:rsidR="00067025" w:rsidRPr="00972C81">
        <w:rPr>
          <w:noProof/>
        </w:rPr>
        <w:t xml:space="preserve"> × </w:t>
      </w:r>
      <w:r w:rsidR="00C10792" w:rsidRPr="00972C81">
        <w:rPr>
          <w:noProof/>
        </w:rPr>
        <w:t>10</w:t>
      </w:r>
      <w:r w:rsidRPr="00972C81">
        <w:rPr>
          <w:noProof/>
          <w:vertAlign w:val="superscript"/>
        </w:rPr>
        <w:t>-4</w:t>
      </w:r>
      <w:r w:rsidR="00C10792" w:rsidRPr="00972C81">
        <w:rPr>
          <w:noProof/>
        </w:rPr>
        <w:t xml:space="preserve"> is adopted here for intakes of cerium by adult members of the public.</w:t>
      </w:r>
    </w:p>
    <w:p w14:paraId="422A4699" w14:textId="4FF2CE8E" w:rsidR="007D1F4D" w:rsidRPr="00972C81" w:rsidRDefault="00BD201D" w:rsidP="001C4A92">
      <w:pPr>
        <w:pStyle w:val="Annalstext"/>
        <w:rPr>
          <w:noProof/>
        </w:rPr>
      </w:pPr>
      <w:r w:rsidRPr="00972C81">
        <w:rPr>
          <w:i/>
          <w:noProof/>
        </w:rPr>
        <w:t>Children</w:t>
      </w:r>
      <w:r w:rsidR="00DC407D" w:rsidRPr="00972C81">
        <w:rPr>
          <w:noProof/>
        </w:rPr>
        <w:t>.</w:t>
      </w:r>
      <w:r w:rsidRPr="00972C81">
        <w:rPr>
          <w:noProof/>
        </w:rPr>
        <w:t xml:space="preserve"> </w:t>
      </w:r>
      <w:r w:rsidR="00EA678F" w:rsidRPr="00972C81">
        <w:rPr>
          <w:noProof/>
        </w:rPr>
        <w:t xml:space="preserve">The uptake of cerium is influenced by age and diet </w:t>
      </w:r>
      <w:r w:rsidR="00B94D6D" w:rsidRPr="00972C81">
        <w:rPr>
          <w:noProof/>
        </w:rPr>
        <w:fldChar w:fldCharType="begin"/>
      </w:r>
      <w:r w:rsidR="00B94D6D" w:rsidRPr="00972C81">
        <w:rPr>
          <w:noProof/>
        </w:rPr>
        <w:instrText xml:space="preserve"> ADDIN ZOTERO_ITEM CSL_CITATION {"citationID":"wHKMXR49","properties":{"formattedCitation":"(Inaba and Lengemann, 1972)","plainCitation":"(Inaba and Lengemann, 1972)","noteIndex":0},"citationItems":[{"id":4765,"uris":["http://zotero.org/groups/2470620/items/T2IF7PDG"],"itemData":{"id":4765,"type":"article-journal","abstract":"Ingested 141Cc was retained to a much greater extent by suckling than by 26-day old or 43-day old rats. This greater retention was the result of a hold-up of141Ce in the lower portions of the small intestine. Microautoradiographs showed141Ce in these intestinal cells possibly associated with mucin vacuoles. The data suggest that141Ce tends to remain in the epithelial cells until lost from the body by sloughing of the cells from the tips of the villi. The uptake and retention of cerium in rats is influenced by age and diet. Because of the concentration of 141Ce in the intestinal tissue of the suckling rat this radionuclide should be considered as more hazardous than previously regarded. © 1972 Health Physics Society.","archive":"Scopus","container-title":"Health Physics","DOI":"10.1097/00004032-197202000-00008","ISSN":"0017-9078","issue":"2","language":"English","page":"169-175","source":"Scopus","title":"Intestinal uptake and whole-body retention of141Ce by suckling rats","volume":"22","author":[{"family":"Inaba","given":"J."},{"family":"Lengemann","given":"F.W."}],"issued":{"date-parts":[["1972"]]}}}],"schema":"https://github.com/citation-style-language/schema/raw/master/csl-citation.json"} </w:instrText>
      </w:r>
      <w:r w:rsidR="00B94D6D" w:rsidRPr="00972C81">
        <w:rPr>
          <w:noProof/>
        </w:rPr>
        <w:fldChar w:fldCharType="separate"/>
      </w:r>
      <w:r w:rsidR="00BC59C6" w:rsidRPr="00972C81">
        <w:rPr>
          <w:noProof/>
        </w:rPr>
        <w:t>(Inaba and Lengemann, 1972)</w:t>
      </w:r>
      <w:r w:rsidR="00B94D6D" w:rsidRPr="00972C81">
        <w:rPr>
          <w:noProof/>
        </w:rPr>
        <w:fldChar w:fldCharType="end"/>
      </w:r>
      <w:r w:rsidR="00EA678F" w:rsidRPr="00972C81">
        <w:rPr>
          <w:noProof/>
        </w:rPr>
        <w:t xml:space="preserve">. The chemical form in which the cerium is administered appears to affect absorption only during the early period of life </w:t>
      </w:r>
      <w:r w:rsidR="00067025" w:rsidRPr="00972C81">
        <w:rPr>
          <w:noProof/>
        </w:rPr>
        <w:fldChar w:fldCharType="begin"/>
      </w:r>
      <w:r w:rsidR="00067025" w:rsidRPr="00972C81">
        <w:rPr>
          <w:noProof/>
        </w:rPr>
        <w:instrText xml:space="preserve"> ADDIN ZOTERO_ITEM CSL_CITATION {"citationID":"9uGusFwm","properties":{"formattedCitation":"(Eisele et al., 1980)","plainCitation":"(Eisele et al., 1980)","noteIndex":0},"citationItems":[{"id":4768,"uris":["http://zotero.org/groups/2470620/items/ITQJBARA"],"itemData":{"id":4768,"type":"article-journal","abstract":"The uptake of144Ce from the gastrointestinal tract of neonatal mice, rats and pigs was investigated. Although poorly absorbed by adults, cerium was absorbed to a considerable extent by neonates of all three species. The group of mice and rats dosed within 6 hr after birth had initially greater absorption and retention at the earlier necropsy times than the group of animals dosed between 6 and 24 hr. By 21 days, differences in retention between these two groups were minimal. We observed that mice absorbed and retained the most cerium, rats followed with less, and pigs with even less. © 1980 Health Physics Society.","archive":"Scopus","container-title":"Health Physics","DOI":"10.1097/00004032-198008000-00004","ISSN":"0017-9078","issue":"2","language":"English","page":"185-192","source":"Scopus","title":"Gastrointestinal uptake of 144Ce in the neonatal mouse, rat and pig","volume":"39","author":[{"family":"Eisele","given":"G.R."},{"family":"Mraz","given":"F.R."},{"family":"Woody","given":"M.C."}],"issued":{"date-parts":[["1980"]]}}}],"schema":"https://github.com/citation-style-language/schema/raw/master/csl-citation.json"} </w:instrText>
      </w:r>
      <w:r w:rsidR="00067025" w:rsidRPr="00972C81">
        <w:rPr>
          <w:noProof/>
        </w:rPr>
        <w:fldChar w:fldCharType="separate"/>
      </w:r>
      <w:r w:rsidR="00BC59C6" w:rsidRPr="00972C81">
        <w:rPr>
          <w:noProof/>
        </w:rPr>
        <w:t>(Eisele et al., 1980)</w:t>
      </w:r>
      <w:r w:rsidR="00067025" w:rsidRPr="00972C81">
        <w:rPr>
          <w:noProof/>
        </w:rPr>
        <w:fldChar w:fldCharType="end"/>
      </w:r>
      <w:r w:rsidR="00EA678F" w:rsidRPr="00972C81">
        <w:rPr>
          <w:noProof/>
        </w:rPr>
        <w:t xml:space="preserve">. Administration of </w:t>
      </w:r>
      <w:r w:rsidR="00DC407D" w:rsidRPr="00972C81">
        <w:rPr>
          <w:noProof/>
          <w:vertAlign w:val="superscript"/>
        </w:rPr>
        <w:t>141</w:t>
      </w:r>
      <w:r w:rsidR="00EA678F" w:rsidRPr="00972C81">
        <w:rPr>
          <w:noProof/>
        </w:rPr>
        <w:t>Ce as cerium chloride, cerium nitrate or cerium citrate to newborn or suckling animals (mice, rats) resulted in an absorbed fraction of up to 0.03, whereas the absorption of radioactive cerium salts from the GI tract of adult rats ranged from 5</w:t>
      </w:r>
      <w:r w:rsidR="00067025" w:rsidRPr="00972C81">
        <w:rPr>
          <w:noProof/>
        </w:rPr>
        <w:t xml:space="preserve"> × </w:t>
      </w:r>
      <w:r w:rsidR="00EA678F" w:rsidRPr="00972C81">
        <w:rPr>
          <w:noProof/>
        </w:rPr>
        <w:t>10</w:t>
      </w:r>
      <w:r w:rsidR="00DC407D" w:rsidRPr="00972C81">
        <w:rPr>
          <w:noProof/>
          <w:vertAlign w:val="superscript"/>
        </w:rPr>
        <w:t>-4</w:t>
      </w:r>
      <w:r w:rsidR="00EA678F" w:rsidRPr="00972C81">
        <w:rPr>
          <w:noProof/>
        </w:rPr>
        <w:t xml:space="preserve"> to less than 1</w:t>
      </w:r>
      <w:r w:rsidR="00067025" w:rsidRPr="00972C81">
        <w:rPr>
          <w:noProof/>
        </w:rPr>
        <w:t xml:space="preserve"> × </w:t>
      </w:r>
      <w:r w:rsidR="00EA678F" w:rsidRPr="00972C81">
        <w:rPr>
          <w:noProof/>
        </w:rPr>
        <w:t>10</w:t>
      </w:r>
      <w:r w:rsidR="00DC407D" w:rsidRPr="00972C81">
        <w:rPr>
          <w:noProof/>
          <w:vertAlign w:val="superscript"/>
        </w:rPr>
        <w:t>-3</w:t>
      </w:r>
      <w:r w:rsidR="00EA678F" w:rsidRPr="00972C81">
        <w:rPr>
          <w:noProof/>
        </w:rPr>
        <w:t xml:space="preserve"> of the administered dose </w:t>
      </w:r>
      <w:r w:rsidR="00067025" w:rsidRPr="00972C81">
        <w:rPr>
          <w:noProof/>
        </w:rPr>
        <w:fldChar w:fldCharType="begin"/>
      </w:r>
      <w:r w:rsidR="00067025" w:rsidRPr="00972C81">
        <w:rPr>
          <w:noProof/>
        </w:rPr>
        <w:instrText xml:space="preserve"> ADDIN ZOTERO_ITEM CSL_CITATION {"citationID":"x8wAslvK","properties":{"formattedCitation":"(Inaba and Lengemann, 1972; Kistner et al., 1987; Kostial et al., 1987; Kostial, Kargacin and Landeka, 1989; Kostial, Kargacin, Blanusa, et al., 1989; Naharin et al., 1974; Shiraishi and Ichikawa, 1972)","plainCitation":"(Inaba and Lengemann, 1972; Kistner et al., 1987; Kostial et al., 1987; Kostial, Kargacin and Landeka, 1989; Kostial, Kargacin, Blanusa, et al., 1989; Naharin et al., 1974; Shiraishi and Ichikawa, 1972)","noteIndex":0},"citationItems":[{"id":4765,"uris":["http://zotero.org/groups/2470620/items/T2IF7PDG"],"itemData":{"id":4765,"type":"article-journal","abstract":"Ingested 141Cc was retained to a much greater extent by suckling than by 26-day old or 43-day old rats. This greater retention was the result of a hold-up of141Ce in the lower portions of the small intestine. Microautoradiographs showed141Ce in these intestinal cells possibly associated with mucin vacuoles. The data suggest that141Ce tends to remain in the epithelial cells until lost from the body by sloughing of the cells from the tips of the villi. The uptake and retention of cerium in rats is influenced by age and diet. Because of the concentration of 141Ce in the intestinal tissue of the suckling rat this radionuclide should be considered as more hazardous than previously regarded. © 1972 Health Physics Society.","archive":"Scopus","container-title":"Health Physics","DOI":"10.1097/00004032-197202000-00008","ISSN":"0017-9078","issue":"2","language":"English","page":"169-175","source":"Scopus","title":"Intestinal uptake and whole-body retention of141Ce by suckling rats","volume":"22","author":[{"family":"Inaba","given":"J."},{"family":"Lengemann","given":"F.W."}],"issued":{"date-parts":[["1972"]]}},"label":"page"},{"id":4774,"uris":["http://zotero.org/groups/2470620/items/ISUIYXUP"],"itemData":{"id":4774,"type":"chapter","container-title":"Age-related Factors in Radionuclide Metabolism and Dosimetry","edition":"Martinus Niihoff Publishers","event-place":"Dordrecht","note":"publisher: Martinus Nijhoff Publishers Dordrecht","page":"221–228","publisher-place":"Dordrecht","source":"Google Scholar","title":"Age-related biokinetics of cerium-141 chloride in rats","author":[{"family":"Kistner","given":"G."},{"family":"Wiggenhauser","given":"A."},{"family":"Krestel","given":"R."},{"family":"Buheitel","given":"G."},{"family":"Erzberger","given":"A."},{"family":"Roedler","given":"H. D."}],"editor":[{"family":"Gerber","given":"G.B."},{"family":"Metivier","given":"H."},{"family":"Smith","given":"H."}],"issued":{"date-parts":[["1987"]]}},"label":"page"},{"id":4777,"uris":["http://zotero.org/groups/2470620/items/RIXR9BHL"],"itemData":{"id":4777,"type":"article-journal","abstract":"The influence of diet or its ingredients on 141Ce absorption and retention was investigated in six-day-old rats. Animals were fed over 8h with cow's milk, rat diet or a mixture of rat diet ingredients (fish meal, sunflower meal, alfalfa, cane molasses and premix) labelled with 141Ce. Whole-body radioactivity was determined in a double crystal scintillation counter every 24 h over a six-day period. Gut, liver, kidney and femur retention and cerium distribution in the gut was determined at the end of the experiment. Compared to milk diet, administration of rat diet or ingredients caused respectively 3 and 7.5 times lower whole body retention. Carcass retention was reduced by rat diet or ingredients 2-3 times and intestinal retention 3 and 8 times respectively. Irrespective of the dietary treatment the main site of cerium intestinal retention was the ileum. Our present results indicate that some compounds of rat diet might be considered as a means of reducing cerium absorption and intestinal retention in the very young.","container-title":"International Journal of Radiation Biology and Related Studies in Physics, Chemistry, and Medicine","DOI":"10.1080/09553008714550571","ISSN":"0020-7616","issue":"1","journalAbbreviation":"Int J Radiat Biol Relat Stud Phys Chem Med","language":"eng","note":"PMID: 3492461","page":"139-145","source":"PubMed","title":"Reduction of 141Ce absorption in suckling rats","volume":"51","author":[{"family":"Kostial","given":"K."},{"family":"Kargacin","given":"B."},{"family":"Landeka","given":"M."}],"issued":{"date-parts":[["1987"]]}},"label":"page"},{"id":4779,"uris":["http://zotero.org/groups/2470620/items/355PTWIN"],"itemData":{"id":4779,"type":"article-journal","abstract":"In sucklings, a high fraction of orally administered metals and radionuclides is retained in the gut. The location of elements in the gut is of interest because of their potential local health effect. The purpose of this work was to evaluate the influence of chelation therapy on gut retention and location of cadmium, mercury, and cerium in suckling rats. Radionuclides 115mCd, 203Hg, and 141Ce were administered orally to 6-d-old rats. Chelating agent Zn-DTPA (3.64 mmol/kg) was administered to animals that received 115mCd or 141Ce and Na-DMPS (375 mumols/kg) to those that received 203Hg, immediately and 24 h or 24 and 48 h after radionuclide administration. Radioactivity was determined in the whole body and gastrointestinal tract 6 d later. Both early and delayed chelation treatment very effectively reduced whole body retention, and this was mainly owing to reduced gut retention. Although chelation therapy reduced gut retention of administered radionuclides 3-30 times, the site of metal accumulation and retention in the intestine remained unchanged. For all 3 radionuclides, both after early and delayed therapy, the site of metal accumulation was always the lower part of small intestine-ileum.","container-title":"Biological Trace Element Research","DOI":"10.1007/BF02917255","ISSN":"0163-4984","journalAbbreviation":"Biol Trace Elem Res","language":"eng","note":"PMID: 2484589","page":"213-218","source":"PubMed","title":"Gut retention of metals in rats","volume":"21","author":[{"family":"Kostial","given":"K."},{"family":"Kargacin","given":"B."},{"family":"Landeka","given":"M."}],"issued":{"date-parts":[["1989"]]}},"label":"page"},{"id":4776,"uris":["http://zotero.org/groups/2470620/items/V3BMAZF9"],"itemData":{"id":4776,"type":"article-journal","container-title":"Period. Biol","page":"321–326","source":"Google Scholar","title":"Location of mercury, cerium and cadmium in the gut of suckling and werned rats","volume":"91","author":[{"family":"Kostial","given":"K."},{"family":"Kargacin","given":"B."},{"family":"Blanusa","given":"M."},{"family":"Landeka","given":"M."}],"issued":{"date-parts":[["1989"]]}},"label":"page"},{"id":4771,"uris":["http://zotero.org/groups/2470620/items/M9PNWUP2"],"itemData":{"id":4771,"type":"article-journal","abstract":"Post partum albino mice were injected intraperitoneally with 144Ce-citrate at different times during the lactation period. Twenty-four hours and 4 weeks later, the suckling neonates were sacrificed and the 144Ce content in their digestive tract, liver and carcass determined by gamma counting. The fraction of 144Ce absorbed from the gastrointestinal tract was calculated. It is one to two orders of magnitude above the currently accepted values for gastrointestinal absorption of lanthanides in adult mice. The discriminatory characteristics of the gastrointestinal tract in early life, as derived from our experiments, are discussed in the light of other relevant investigations. © 1974 Health Physics Society.","archive":"Scopus","container-title":"Health Physics","DOI":"10.1097/00004032-197408000-00005","ISSN":"0017-9078","issue":"2","language":"English","page":"207-211","source":"Scopus","title":"Internal deposition of ingested cerium in suckling mice","volume":"27","author":[{"family":"Naharin","given":"A."},{"family":"Feige","given":"Y."},{"family":"Lubin","given":"E."},{"family":"Sadeh","given":"T."}],"issued":{"date-parts":[["1974"]]}},"label":"page"},{"id":4013,"uris":["http://zotero.org/groups/2470620/items/BU2GCLAC"],"itemData":{"id":4013,"type":"article-journal","abstract":"The effect of age on the absorption and retention of 144Ce and 95Zr-95Nb in rats was investigated with special emphasis on sucklings. Although poorly absorbed by adult rats, these nuclides were absorbed to a considerable extent by suckling rats resulting in a ten to a thousand times higher retention than in adults. The initial rapid loss of the nuclides from suckling rats disappeared at around weaning age and was followed by a considerably slower exponential decrease. Though the adult rats showed a much steeper and larger initial loss, a similar rate of exponential decrease was observed thereafter. The whole-body retention curves of these nuclides for suckling rats previously treated with cortisone acetate showed much steeper initial loss and significantly lower retention than those for controls. The ratio of 95Zr-95Nb in bone of sucklings was found to be approximately 4-5, whereas that in most of their soft tissues was almost unity. The substantial absorption of these nuclides by suckling rats is mainly due to the pinocytosis which is more active in younger animals. © 1972 Health Physics Society.","archive":"Scopus","container-title":"Health Physics","DOI":"10.1097/00004032-197204000-00009","issue":"4","page":"373-378","source":"Scopus","title":"Absorption and retention of 144Ce and 95Zr-95Nb in newborn, juvenile and adult rats","volume":"22","author":[{"family":"Shiraishi","given":"Y."},{"family":"Ichikawa","given":"R."}],"issued":{"date-parts":[["1972"]]}},"label":"page"}],"schema":"https://github.com/citation-style-language/schema/raw/master/csl-citation.json"} </w:instrText>
      </w:r>
      <w:r w:rsidR="00067025" w:rsidRPr="00972C81">
        <w:rPr>
          <w:noProof/>
        </w:rPr>
        <w:fldChar w:fldCharType="separate"/>
      </w:r>
      <w:r w:rsidR="00BC59C6" w:rsidRPr="00972C81">
        <w:rPr>
          <w:noProof/>
        </w:rPr>
        <w:t>(Inaba and Lengemann, 1972; Kistner et al., 1987; Kostial et al., 1987; Kostial, Kargacin and Landeka, 1989; Kostial, Kargacin, Blanusa, et al., 1989; Naharin et al., 1974; Shiraishi and Ichikawa, 1972)</w:t>
      </w:r>
      <w:r w:rsidR="00067025" w:rsidRPr="00972C81">
        <w:rPr>
          <w:noProof/>
        </w:rPr>
        <w:fldChar w:fldCharType="end"/>
      </w:r>
      <w:r w:rsidR="00EA678F" w:rsidRPr="00972C81">
        <w:rPr>
          <w:noProof/>
        </w:rPr>
        <w:t xml:space="preserve">. Mraz and Eisele </w:t>
      </w:r>
      <w:r w:rsidR="00067025" w:rsidRPr="00972C81">
        <w:rPr>
          <w:noProof/>
        </w:rPr>
        <w:fldChar w:fldCharType="begin"/>
      </w:r>
      <w:r w:rsidR="00067025" w:rsidRPr="00972C81">
        <w:rPr>
          <w:noProof/>
        </w:rPr>
        <w:instrText xml:space="preserve"> ADDIN ZOTERO_ITEM CSL_CITATION {"citationID":"D6Q4ItVk","properties":{"formattedCitation":"(1977)","plainCitation":"(1977)","noteIndex":0},"citationItems":[{"id":4781,"uris":["http://zotero.org/groups/2470620/items/532FP2MI"],"itemData":{"id":4781,"type":"article-journal","container-title":"Health Physics","ISSN":"0017-9078","journalAbbreviation":"Health Phys","language":"eng","note":"PMID: 758014","page":"494-495","source":"PubMed","title":"Gastrointestinal absorption and distribution of 144Ce in the suckling pig","volume":"33","author":[{"family":"Mraz","given":"F. R."},{"family":"Eisele","given":"G. R."}],"issued":{"date-parts":[["1977",11]]}},"suppress-author":true}],"schema":"https://github.com/citation-style-language/schema/raw/master/csl-citation.json"} </w:instrText>
      </w:r>
      <w:r w:rsidR="00067025" w:rsidRPr="00972C81">
        <w:rPr>
          <w:noProof/>
        </w:rPr>
        <w:fldChar w:fldCharType="separate"/>
      </w:r>
      <w:r w:rsidR="00BC59C6" w:rsidRPr="00972C81">
        <w:rPr>
          <w:noProof/>
        </w:rPr>
        <w:t>(1977)</w:t>
      </w:r>
      <w:r w:rsidR="00067025" w:rsidRPr="00972C81">
        <w:rPr>
          <w:noProof/>
        </w:rPr>
        <w:fldChar w:fldCharType="end"/>
      </w:r>
      <w:r w:rsidR="00EA678F" w:rsidRPr="00972C81">
        <w:rPr>
          <w:noProof/>
        </w:rPr>
        <w:t xml:space="preserve"> observed that the absorption of cerium chloride was threefold greater in piglets treated at 1 day of age versus those treated at 4 days of age. All studies indicate that the retention of cerium in the gut is longer for the younger animals.</w:t>
      </w:r>
      <w:r w:rsidR="00C10792" w:rsidRPr="00972C81">
        <w:rPr>
          <w:noProof/>
        </w:rPr>
        <w:t xml:space="preserve"> </w:t>
      </w:r>
      <w:r w:rsidR="00EA678F" w:rsidRPr="00972C81">
        <w:rPr>
          <w:noProof/>
        </w:rPr>
        <w:t xml:space="preserve">In </w:t>
      </w:r>
      <w:r w:rsidR="00EA678F" w:rsidRPr="00972C81">
        <w:rPr>
          <w:i/>
          <w:noProof/>
        </w:rPr>
        <w:t xml:space="preserve">Publication </w:t>
      </w:r>
      <w:r w:rsidR="006452CC" w:rsidRPr="00972C81">
        <w:rPr>
          <w:i/>
          <w:noProof/>
        </w:rPr>
        <w:t>67</w:t>
      </w:r>
      <w:r w:rsidR="00EA678F" w:rsidRPr="00972C81">
        <w:rPr>
          <w:noProof/>
        </w:rPr>
        <w:t xml:space="preserve"> </w:t>
      </w:r>
      <w:r w:rsidR="00067025" w:rsidRPr="00972C81">
        <w:rPr>
          <w:noProof/>
        </w:rPr>
        <w:fldChar w:fldCharType="begin"/>
      </w:r>
      <w:r w:rsidR="00067025" w:rsidRPr="00972C81">
        <w:rPr>
          <w:noProof/>
        </w:rPr>
        <w:instrText xml:space="preserve"> ADDIN ZOTERO_ITEM CSL_CITATION {"citationID":"wwC6EfcN","properties":{"formattedCitation":"(ICRP, 1993)","plainCitation":"(ICRP, 1993)","noteIndex":0},"citationItems":[{"id":2558,"uris":["http://zotero.org/groups/2470620/items/NGGW5NK4",["http://zotero.org/groups/2470620/items/NGGW5NK4"]],"itemData":{"id":2558,"type":"article-journal","container-title":"Annals of the ICRP","issue":"3/4","journalAbbreviation":"Ann. ICRP","language":"en","title":"Age dependent doses to members of the public from intake of radionuclides: Part 2, Ingestion dose coefficients. ICRP Publication 67","volume":"23","author":[{"literal":"ICRP"}],"issued":{"date-parts":[["1993"]]}}}],"schema":"https://github.com/citation-style-language/schema/raw/master/csl-citation.json"} </w:instrText>
      </w:r>
      <w:r w:rsidR="00067025" w:rsidRPr="00972C81">
        <w:rPr>
          <w:noProof/>
        </w:rPr>
        <w:fldChar w:fldCharType="separate"/>
      </w:r>
      <w:r w:rsidR="00BC59C6" w:rsidRPr="00972C81">
        <w:rPr>
          <w:noProof/>
        </w:rPr>
        <w:t>(ICRP, 1993)</w:t>
      </w:r>
      <w:r w:rsidR="00067025" w:rsidRPr="00972C81">
        <w:rPr>
          <w:noProof/>
        </w:rPr>
        <w:fldChar w:fldCharType="end"/>
      </w:r>
      <w:r w:rsidR="00C10792" w:rsidRPr="00972C81">
        <w:rPr>
          <w:noProof/>
        </w:rPr>
        <w:t xml:space="preserve"> </w:t>
      </w:r>
      <w:r w:rsidR="006452CC" w:rsidRPr="00972C81">
        <w:rPr>
          <w:noProof/>
        </w:rPr>
        <w:t>a fractional absorption</w:t>
      </w:r>
      <w:r w:rsidR="00EA678F" w:rsidRPr="00972C81">
        <w:rPr>
          <w:noProof/>
        </w:rPr>
        <w:t xml:space="preserve"> of </w:t>
      </w:r>
      <w:r w:rsidR="006452CC" w:rsidRPr="00972C81">
        <w:rPr>
          <w:noProof/>
        </w:rPr>
        <w:t>5</w:t>
      </w:r>
      <w:r w:rsidR="00067025" w:rsidRPr="00972C81">
        <w:rPr>
          <w:noProof/>
        </w:rPr>
        <w:t>×</w:t>
      </w:r>
      <w:r w:rsidR="006452CC" w:rsidRPr="00972C81">
        <w:rPr>
          <w:noProof/>
        </w:rPr>
        <w:t>10</w:t>
      </w:r>
      <w:r w:rsidR="006452CC" w:rsidRPr="00972C81">
        <w:rPr>
          <w:noProof/>
          <w:vertAlign w:val="superscript"/>
        </w:rPr>
        <w:t>-4</w:t>
      </w:r>
      <w:r w:rsidR="00DC407D" w:rsidRPr="00972C81">
        <w:rPr>
          <w:noProof/>
        </w:rPr>
        <w:t xml:space="preserve"> </w:t>
      </w:r>
      <w:r w:rsidR="00EA678F" w:rsidRPr="00972C81">
        <w:rPr>
          <w:noProof/>
        </w:rPr>
        <w:t xml:space="preserve">was </w:t>
      </w:r>
      <w:r w:rsidR="006452CC" w:rsidRPr="00972C81">
        <w:rPr>
          <w:noProof/>
        </w:rPr>
        <w:t>considered</w:t>
      </w:r>
      <w:r w:rsidR="00EA678F" w:rsidRPr="00972C81">
        <w:rPr>
          <w:noProof/>
        </w:rPr>
        <w:t xml:space="preserve"> for intakes by adult members of the public and children of 1 year and older, and a value of </w:t>
      </w:r>
      <w:r w:rsidR="006452CC" w:rsidRPr="00972C81">
        <w:rPr>
          <w:noProof/>
        </w:rPr>
        <w:t>5</w:t>
      </w:r>
      <w:r w:rsidR="00067025" w:rsidRPr="00972C81">
        <w:rPr>
          <w:noProof/>
        </w:rPr>
        <w:t xml:space="preserve"> × </w:t>
      </w:r>
      <w:r w:rsidR="006452CC" w:rsidRPr="00972C81">
        <w:rPr>
          <w:noProof/>
        </w:rPr>
        <w:t>10</w:t>
      </w:r>
      <w:r w:rsidR="006452CC" w:rsidRPr="00972C81">
        <w:rPr>
          <w:noProof/>
          <w:vertAlign w:val="superscript"/>
        </w:rPr>
        <w:t xml:space="preserve">-3 </w:t>
      </w:r>
      <w:r w:rsidR="00DC407D" w:rsidRPr="00972C81">
        <w:rPr>
          <w:noProof/>
        </w:rPr>
        <w:t>was applied</w:t>
      </w:r>
      <w:r w:rsidR="006452CC" w:rsidRPr="00972C81">
        <w:rPr>
          <w:noProof/>
          <w:vertAlign w:val="superscript"/>
        </w:rPr>
        <w:t xml:space="preserve"> </w:t>
      </w:r>
      <w:r w:rsidR="00EA678F" w:rsidRPr="00972C81">
        <w:rPr>
          <w:noProof/>
        </w:rPr>
        <w:t>for 3-month-old-infants.</w:t>
      </w:r>
      <w:r w:rsidR="006452CC" w:rsidRPr="00972C81">
        <w:rPr>
          <w:noProof/>
        </w:rPr>
        <w:t xml:space="preserve"> </w:t>
      </w:r>
      <w:r w:rsidR="00EA678F" w:rsidRPr="00972C81">
        <w:rPr>
          <w:noProof/>
        </w:rPr>
        <w:t xml:space="preserve">In this report, </w:t>
      </w:r>
      <w:r w:rsidR="006452CC" w:rsidRPr="00972C81">
        <w:rPr>
          <w:noProof/>
        </w:rPr>
        <w:t>the same</w:t>
      </w:r>
      <w:r w:rsidR="00EA678F" w:rsidRPr="00972C81">
        <w:rPr>
          <w:noProof/>
        </w:rPr>
        <w:t xml:space="preserve"> </w:t>
      </w:r>
      <w:r w:rsidR="00EA678F" w:rsidRPr="00972C81">
        <w:rPr>
          <w:i/>
          <w:noProof/>
        </w:rPr>
        <w:t>f</w:t>
      </w:r>
      <w:r w:rsidR="00EA678F" w:rsidRPr="00972C81">
        <w:rPr>
          <w:noProof/>
          <w:vertAlign w:val="subscript"/>
        </w:rPr>
        <w:t>A</w:t>
      </w:r>
      <w:r w:rsidR="00EA678F" w:rsidRPr="00972C81">
        <w:rPr>
          <w:noProof/>
        </w:rPr>
        <w:t xml:space="preserve"> value</w:t>
      </w:r>
      <w:r w:rsidR="006452CC" w:rsidRPr="00972C81">
        <w:rPr>
          <w:noProof/>
        </w:rPr>
        <w:t>s</w:t>
      </w:r>
      <w:r w:rsidR="00EA678F" w:rsidRPr="00972C81">
        <w:rPr>
          <w:noProof/>
        </w:rPr>
        <w:t xml:space="preserve"> of 5</w:t>
      </w:r>
      <w:r w:rsidR="00067025" w:rsidRPr="00972C81">
        <w:rPr>
          <w:noProof/>
        </w:rPr>
        <w:t xml:space="preserve"> × </w:t>
      </w:r>
      <w:r w:rsidR="00EA678F" w:rsidRPr="00972C81">
        <w:rPr>
          <w:noProof/>
        </w:rPr>
        <w:t>10</w:t>
      </w:r>
      <w:r w:rsidR="00EA678F" w:rsidRPr="00972C81">
        <w:rPr>
          <w:noProof/>
          <w:vertAlign w:val="superscript"/>
        </w:rPr>
        <w:t>-4</w:t>
      </w:r>
      <w:r w:rsidR="00EA678F" w:rsidRPr="00972C81">
        <w:rPr>
          <w:noProof/>
        </w:rPr>
        <w:t xml:space="preserve"> for intakes by children of 1 year and older, and 5</w:t>
      </w:r>
      <w:r w:rsidR="00067025" w:rsidRPr="00972C81">
        <w:rPr>
          <w:noProof/>
        </w:rPr>
        <w:t xml:space="preserve"> × </w:t>
      </w:r>
      <w:r w:rsidR="00EA678F" w:rsidRPr="00972C81">
        <w:rPr>
          <w:noProof/>
        </w:rPr>
        <w:t>10</w:t>
      </w:r>
      <w:r w:rsidR="00EA678F" w:rsidRPr="00972C81">
        <w:rPr>
          <w:noProof/>
          <w:vertAlign w:val="superscript"/>
        </w:rPr>
        <w:t>-3</w:t>
      </w:r>
      <w:r w:rsidR="00EA678F" w:rsidRPr="00972C81">
        <w:rPr>
          <w:noProof/>
        </w:rPr>
        <w:t xml:space="preserve"> for 3-month-old-infants</w:t>
      </w:r>
      <w:r w:rsidR="006452CC" w:rsidRPr="00972C81">
        <w:rPr>
          <w:noProof/>
        </w:rPr>
        <w:t xml:space="preserve"> are adopted</w:t>
      </w:r>
      <w:r w:rsidR="00EA678F" w:rsidRPr="00972C81">
        <w:rPr>
          <w:noProof/>
        </w:rPr>
        <w:t>.</w:t>
      </w:r>
    </w:p>
    <w:p w14:paraId="2976E28E" w14:textId="77777777" w:rsidR="00AE7A83" w:rsidRPr="00972C81" w:rsidRDefault="00AE7A83" w:rsidP="00E81109">
      <w:pPr>
        <w:pStyle w:val="3"/>
        <w:rPr>
          <w:noProof/>
        </w:rPr>
      </w:pPr>
      <w:bookmarkStart w:id="59" w:name="_Toc162629993"/>
      <w:r w:rsidRPr="00972C81">
        <w:rPr>
          <w:noProof/>
        </w:rPr>
        <w:t>Systemic Distribution, Retention and Excretion</w:t>
      </w:r>
      <w:bookmarkEnd w:id="59"/>
    </w:p>
    <w:p w14:paraId="10647BE1" w14:textId="77777777" w:rsidR="00C66E18" w:rsidRPr="00972C81" w:rsidRDefault="00C66E18" w:rsidP="006703A2">
      <w:pPr>
        <w:pStyle w:val="OIRTitre4"/>
      </w:pPr>
      <w:r w:rsidRPr="00972C81">
        <w:t>Summary of biokinetic data</w:t>
      </w:r>
    </w:p>
    <w:p w14:paraId="79F10EAC" w14:textId="4F9B2352" w:rsidR="00C66E18" w:rsidRPr="00972C81" w:rsidRDefault="00C66E18" w:rsidP="001C4A92">
      <w:pPr>
        <w:pStyle w:val="Annalstext"/>
        <w:rPr>
          <w:noProof/>
        </w:rPr>
      </w:pPr>
      <w:r w:rsidRPr="00972C81">
        <w:rPr>
          <w:noProof/>
          <w:lang w:eastAsia="fr-FR"/>
        </w:rPr>
        <w:t xml:space="preserve">The systemic behaviour of cerium has been studied in a variety of laboratory animals including rodents </w:t>
      </w:r>
      <w:r w:rsidR="00067025" w:rsidRPr="00972C81">
        <w:rPr>
          <w:noProof/>
          <w:lang w:eastAsia="fr-FR"/>
        </w:rPr>
        <w:fldChar w:fldCharType="begin"/>
      </w:r>
      <w:r w:rsidR="00067025" w:rsidRPr="00972C81">
        <w:rPr>
          <w:noProof/>
          <w:lang w:eastAsia="fr-FR"/>
        </w:rPr>
        <w:instrText xml:space="preserve"> ADDIN ZOTERO_ITEM CSL_CITATION {"citationID":"wpkcy8bk","properties":{"formattedCitation":"(Durbin, 1959, 1962; Ewaldsson and Magnusson, 1964; Inaba and Lengemann, 1972)","plainCitation":"(Durbin, 1959, 1962; Ewaldsson and Magnusson, 1964; Inaba and Lengemann, 1972)","noteIndex":0},"citationItems":[{"id":3923,"uris":["http://zotero.org/groups/2470620/items/WGHAW384"],"itemData":{"id":3923,"type":"article-journal","abstract":"The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family","volume":"2","author":[{"family":"Durbin","given":"P.W."}],"issued":{"date-parts":[["1959"]]}},"label":"page"},{"id":4754,"uris":["http://zotero.org/groups/2470620/items/D374YBDR"],"itemData":{"id":4754,"type":"article-journal","abstract":"The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mammals","volume":"8","author":[{"family":"Durbin","given":"P.W."}],"issued":{"date-parts":[["1962"]]}},"label":"page"},{"id":4783,"uris":["http://zotero.org/groups/2470620/items/XVV8HZ4F"],"itemData":{"id":4783,"type":"article-journal","container-title":"Acta Radiologica: Therapy, Physics, Biology","DOI":"10.3109/02841866409134131","ISSN":"0567-8064","journalAbbreviation":"Acta Radiol Ther Phys Biol","language":"eng","note":"PMID: 14153763","page":"65-72","source":"PubMed","title":"Distribution of radiocerium and radiopromethium in mice. An autoradiograhic study","volume":"2","author":[{"family":"Ewaldsson","given":"B."},{"family":"Magnusson","given":"G."}],"issued":{"date-parts":[["1964",2]]}},"label":"page"},{"id":4765,"uris":["http://zotero.org/groups/2470620/items/T2IF7PDG"],"itemData":{"id":4765,"type":"article-journal","abstract":"Ingested 141Cc was retained to a much greater extent by suckling than by 26-day old or 43-day old rats. This greater retention was the result of a hold-up of141Ce in the lower portions of the small intestine. Microautoradiographs showed141Ce in these intestinal cells possibly associated with mucin vacuoles. The data suggest that141Ce tends to remain in the epithelial cells until lost from the body by sloughing of the cells from the tips of the villi. The uptake and retention of cerium in rats is influenced by age and diet. Because of the concentration of 141Ce in the intestinal tissue of the suckling rat this radionuclide should be considered as more hazardous than previously regarded. © 1972 Health Physics Society.","archive":"Scopus","container-title":"Health Physics","DOI":"10.1097/00004032-197202000-00008","ISSN":"0017-9078","issue":"2","language":"English","page":"169-175","source":"Scopus","title":"Intestinal uptake and whole-body retention of141Ce by suckling rats","volume":"22","author":[{"family":"Inaba","given":"J."},{"family":"Lengemann","given":"F.W."}],"issued":{"date-parts":[["1972"]]}},"label":"page"}],"schema":"https://github.com/citation-style-language/schema/raw/master/csl-citation.json"} </w:instrText>
      </w:r>
      <w:r w:rsidR="00067025" w:rsidRPr="00972C81">
        <w:rPr>
          <w:noProof/>
          <w:lang w:eastAsia="fr-FR"/>
        </w:rPr>
        <w:fldChar w:fldCharType="separate"/>
      </w:r>
      <w:r w:rsidR="00BC59C6" w:rsidRPr="00972C81">
        <w:rPr>
          <w:noProof/>
        </w:rPr>
        <w:t>(Durbin, 1959, 1962; Ewaldsson and Magnusson, 1964; Inaba and Lengemann, 1972)</w:t>
      </w:r>
      <w:r w:rsidR="00067025" w:rsidRPr="00972C81">
        <w:rPr>
          <w:noProof/>
          <w:lang w:eastAsia="fr-FR"/>
        </w:rPr>
        <w:fldChar w:fldCharType="end"/>
      </w:r>
      <w:bookmarkStart w:id="60" w:name="_Hlk494350202"/>
      <w:r w:rsidRPr="00972C81">
        <w:rPr>
          <w:noProof/>
          <w:lang w:eastAsia="fr-FR"/>
        </w:rPr>
        <w:t xml:space="preserve">, sheep </w:t>
      </w:r>
      <w:r w:rsidR="00B64A35" w:rsidRPr="00972C81">
        <w:rPr>
          <w:noProof/>
          <w:lang w:eastAsia="fr-FR"/>
        </w:rPr>
        <w:fldChar w:fldCharType="begin"/>
      </w:r>
      <w:r w:rsidR="00B64A35" w:rsidRPr="00972C81">
        <w:rPr>
          <w:noProof/>
          <w:lang w:eastAsia="fr-FR"/>
        </w:rPr>
        <w:instrText xml:space="preserve"> ADDIN ZOTERO_ITEM CSL_CITATION {"citationID":"rBE2y76S","properties":{"formattedCitation":"(Buldakov and Burov, 1967)","plainCitation":"(Buldakov and Burov, 1967)","noteIndex":0},"citationItems":[{"id":4786,"uris":["http://zotero.org/groups/2470620/items/BXVN3EXV"],"itemData":{"id":4786,"type":"article-journal","container-title":"UDC","issue":"577.391","language":"de","page":"127–141","title":"Behavior of 144Ce in sheep of different ages","volume":"578.088.91","author":[{"family":"Buldakov","given":"L.A."},{"family":"Burov","given":"N.I."}],"issued":{"date-parts":[["1967"]]}}}],"schema":"https://github.com/citation-style-language/schema/raw/master/csl-citation.json"} </w:instrText>
      </w:r>
      <w:r w:rsidR="00B64A35" w:rsidRPr="00972C81">
        <w:rPr>
          <w:noProof/>
          <w:lang w:eastAsia="fr-FR"/>
        </w:rPr>
        <w:fldChar w:fldCharType="separate"/>
      </w:r>
      <w:r w:rsidR="00BC59C6" w:rsidRPr="00972C81">
        <w:rPr>
          <w:noProof/>
        </w:rPr>
        <w:t>(Buldakov and Burov, 1967)</w:t>
      </w:r>
      <w:r w:rsidR="00B64A35" w:rsidRPr="00972C81">
        <w:rPr>
          <w:noProof/>
          <w:lang w:eastAsia="fr-FR"/>
        </w:rPr>
        <w:fldChar w:fldCharType="end"/>
      </w:r>
      <w:r w:rsidRPr="00972C81">
        <w:rPr>
          <w:noProof/>
          <w:lang w:eastAsia="fr-FR"/>
        </w:rPr>
        <w:t xml:space="preserve">, swine </w:t>
      </w:r>
      <w:r w:rsidR="00B64A35" w:rsidRPr="00972C81">
        <w:rPr>
          <w:noProof/>
          <w:lang w:eastAsia="fr-FR"/>
        </w:rPr>
        <w:fldChar w:fldCharType="begin"/>
      </w:r>
      <w:r w:rsidR="00612860" w:rsidRPr="00972C81">
        <w:rPr>
          <w:noProof/>
          <w:lang w:eastAsia="fr-FR"/>
        </w:rPr>
        <w:instrText xml:space="preserve"> ADDIN ZOTERO_ITEM CSL_CITATION {"citationID":"jsumQGet","properties":{"formattedCitation":"(McClellan et al., 1965; Mraz and Eisele, 1977)","plainCitation":"(McClellan et al., 1965; Mraz and Eisele, 1977)","noteIndex":0},"citationItems":[{"id":4787,"uris":["http://zotero.org/groups/2470620/items/NPS9BS49"],"itemData":{"id":4787,"type":"article-journal","container-title":"Aerospace Medicine","ISSN":"0001-9402","journalAbbreviation":"Aerosp Med","language":"eng","note":"PMID: 14243671","page":"16-20","source":"PubMed","title":"Metabolism of some snap radionuclides in miniature swine","volume":"36","author":[{"family":"McClellan","given":"R. O."},{"family":"Bustad","given":"L. K."},{"family":"Keough","given":"R. F."}],"issued":{"date-parts":[["1965",1]]}},"label":"page"},{"id":4781,"uris":["http://zotero.org/groups/2470620/items/532FP2MI"],"itemData":{"id":4781,"type":"article-journal","container-title":"Health Physics","ISSN":"0017-9078","journalAbbreviation":"Health Phys","language":"eng","note":"PMID: 758014","page":"494-495","source":"PubMed","title":"Gastrointestinal absorption and distribution of 144Ce in the suckling pig","volume":"33","author":[{"family":"Mraz","given":"F. R."},{"family":"Eisele","given":"G. R."}],"issued":{"date-parts":[["1977",11]]}},"label":"page"}],"schema":"https://github.com/citation-style-language/schema/raw/master/csl-citation.json"} </w:instrText>
      </w:r>
      <w:r w:rsidR="00B64A35" w:rsidRPr="00972C81">
        <w:rPr>
          <w:noProof/>
          <w:lang w:eastAsia="fr-FR"/>
        </w:rPr>
        <w:fldChar w:fldCharType="separate"/>
      </w:r>
      <w:r w:rsidR="00612860" w:rsidRPr="00972C81">
        <w:rPr>
          <w:noProof/>
        </w:rPr>
        <w:t xml:space="preserve">(McClellan et al., 1965; Mraz </w:t>
      </w:r>
      <w:r w:rsidR="00612860" w:rsidRPr="00972C81">
        <w:rPr>
          <w:noProof/>
        </w:rPr>
        <w:lastRenderedPageBreak/>
        <w:t>and Eisele, 1977)</w:t>
      </w:r>
      <w:r w:rsidR="00B64A35" w:rsidRPr="00972C81">
        <w:rPr>
          <w:noProof/>
          <w:lang w:eastAsia="fr-FR"/>
        </w:rPr>
        <w:fldChar w:fldCharType="end"/>
      </w:r>
      <w:r w:rsidR="00B64A35" w:rsidRPr="00972C81">
        <w:rPr>
          <w:noProof/>
          <w:lang w:eastAsia="fr-FR"/>
        </w:rPr>
        <w:t xml:space="preserve">, </w:t>
      </w:r>
      <w:r w:rsidRPr="00972C81">
        <w:rPr>
          <w:noProof/>
          <w:lang w:eastAsia="fr-FR"/>
        </w:rPr>
        <w:t xml:space="preserve">and dogs </w:t>
      </w:r>
      <w:r w:rsidR="00B64A35" w:rsidRPr="00972C81">
        <w:rPr>
          <w:noProof/>
          <w:lang w:eastAsia="fr-FR"/>
        </w:rPr>
        <w:fldChar w:fldCharType="begin"/>
      </w:r>
      <w:r w:rsidR="00497094" w:rsidRPr="00972C81">
        <w:rPr>
          <w:noProof/>
          <w:lang w:eastAsia="fr-FR"/>
        </w:rPr>
        <w:instrText xml:space="preserve"> ADDIN ZOTERO_ITEM CSL_CITATION {"citationID":"Qc99oEuA","properties":{"formattedCitation":"(Cuddihy et al., 1975, 1976; Cuddihy and Boecker, 1975; Guilmette et al., 1987; Hahn et al., 1997; Richmond and London, 1966; Stuart, 1967; Stuart et al., 1964)","plainCitation":"(Cuddihy et al., 1975, 1976; Cuddihy and Boecker, 1975; Guilmette et al., 1987; Hahn et al., 1997; Richmond and London, 1966; Stuart, 1967; Stuart et al., 1964)","noteIndex":0},"citationItems":[{"id":4796,"uris":["http://zotero.org/groups/2470620/items/LWWELS3X"],"itemData":{"id":4796,"type":"article-journal","container-title":"Health Physics","DOI":"10.1097/00004032-197508000-00003","ISSN":"0017-9078","issue":"2","journalAbbreviation":"Health Phys","language":"eng","note":"PMID: 1193837","page":"257-265","source":"PubMed","title":"Inhalation exposures of beagle dogs to cerium aerosols: physical, chemical and mathematical analysis","title-short":"Inhalation exposures of beagle dogs to cerium aerosols","volume":"29","author":[{"family":"Cuddihy","given":"R. G."},{"family":"Gomex","given":"S. R."},{"family":"Pfleger","given":"R. C."}],"issued":{"date-parts":[["1975",8]]}},"label":"page"},{"id":4798,"uris":["http://zotero.org/groups/2470620/items/7XWJ2PZK"],"itemData":{"id":4798,"type":"article-journal","container-title":"Health Physics","DOI":"10.1097/00004032-197601000-00005","ISSN":"0017-9078","issue":"1","journalAbbreviation":"Health Phys","language":"eng","note":"PMID: 1244338","page":"53-59","source":"PubMed","title":"144Ce in tissues of beagle dogs after inhalation of CeCl3 with special emphasis on endocrine glands and reproductive organs","volume":"30","author":[{"family":"Cuddihy","given":"R. G."},{"family":"Boecker","given":"B. B."},{"family":"McClellan","given":"R. O."},{"family":"Kanapilly","given":"G. M."}],"issued":{"date-parts":[["1976",1]]}},"label":"page"},{"id":4795,"uris":["http://zotero.org/groups/2470620/items/CI24K39T"],"itemData":{"id":4795,"type":"chapter","container-title":"Inhalation Toxicology Research Institute Annual Report 1974-1975","edition":"Lovelace Biomedical and Environmental Research Institute","event-place":"Albuquerque, NM","page":"96–100","publisher-place":"Albuquerque, NM","source":"Google Scholar","title":"Application of the GASP IV Simulation Language to Modeling of Biological Retention Patterns for Inhaled 144Ce","volume":"LF-52","author":[{"family":"Cuddihy","given":"R. G."},{"family":"Boecker","given":"B. B."}],"issued":{"date-parts":[["1975"]]}},"label":"page"},{"id":4800,"uris":["http://zotero.org/groups/2470620/items/IS5P8RUG"],"itemData":{"id":4800,"type":"chapter","container-title":"Age-related factors in radionuclide metabolism and dosimetry","edition":"Martinus Nijhoff Publishers","event-place":"Dordrecht","page":"109-120","publisher-place":"Dordrecht","source":"Google Scholar","title":"Age-related effects on the disposition and dosimetry of inhaled 239 Pu or 144 Ce in immature or aged beagle dogs","author":[{"family":"Guilmette","given":"R. A."},{"family":"Boecker","given":"B. B."},{"family":"Muggenburg","given":"B. A."},{"family":"Hahn","given":"F. F."},{"family":"McClellan","given":"R. O."}],"editor":[{"family":"Gerber","given":"G.B."},{"family":"Métivier","given":"H."},{"family":"Smith","given":"H."}],"issued":{"date-parts":[["1987"]]}},"label":"page"},{"id":4801,"uris":["http://zotero.org/groups/2470620/items/B9857MNQ"],"itemData":{"id":4801,"type":"article-journal","abstract":"The biological effects of 144Ce were studied in beagle dogs that were exposed to graded activity levels of 144CeCl3 via a single, brief inhalation exposure and observed for their life span. The long-term retained body burdens ranged from 0.06 to 13 MBq/kg with a median of 1.2 MBq/kg. After a short residence time in the lung, most of the 144Ce was translocated to liver and skeleton, where the 144Ce was retained with a half-time approaching the physical half-life of 144Ce, 284 days. Significant radiation doses were delivered to the lung, 28 Gy (median) and 2.5-370 Gy (range); liver, 68 Gy (median) and 6.1-250 Gy (range); and skeleton, 21 Gy (median) and 1.9-100 Gy (range). Lesions induced by the β-particle radiation were noted in the lung, liver, skeleton, bone marrow, and oral and nasal mucosae closely associated with bone. Early deaths (within 2.5 years) were generally related to hematological dyscrasia, radiation pneumonitis, or hepatocellular degeneration and atrophy. Neoplasms that occurred relatively early, from 2.2-6.8 years after exposure, were noted in the liver, bone, bone marrow and oral mucosa closely associated with bone. Neoplasms that occurred later, beyond 7 years after exposure, were noted in the liver, lung and nasal mucosa closely associated with bone. Increased numbers of neoplasms were not found in two other organs that had relatively high radiation doses, namely the thyroid and kidney. Only one primary bone tumor was noted, but 11 tumors of bone-associated tissues (oral and nasal mucosae and bone marrow) were found. Radiation doses and effects in tissues adjacent to bone, especially those of epithelial or marrow origin, should be considered when determining risks from internally deposited bone-seeking radionuclides, such as 144Ce. The property of 144Ce in depositing on and remaining associated with bone surfaces for long times may be an important factor in the radiation dose to bone marrow and epithelium adjacent to bone.","archive":"Scopus","container-title":"Radiation Research","DOI":"10.2307/3579448","ISSN":"0033-7587","issue":"1","language":"English","page":"92-108","source":"Scopus","title":"Biological effects of inhaled 144CeCl3 in beagle dogs","volume":"147","author":[{"family":"Hahn","given":"F.F."},{"family":"Boecker","given":"B.B."},{"family":"Griffith","given":"W.C."},{"family":"Muggenburg","given":"B.A."}],"issued":{"date-parts":[["1997"]]}},"label":"page"},{"id":4792,"uris":["http://zotero.org/groups/2470620/items/QHJ7W9ZJ"],"itemData":{"id":4792,"type":"article-journal","container-title":"Nature","DOI":"10.1038/2111179a0","ISSN":"0028-0836","issue":"5054","journalAbbreviation":"Nature","language":"eng","note":"PMID: 5970019","page":"1179","source":"PubMed","title":"Long-term in vivo retention of cerium-144 by beagles","volume":"211","author":[{"family":"Richmond","given":"C. R."},{"family":"London","given":"J. E."}],"issued":{"date-parts":[["1966",9,10]]}},"label":"page"},{"id":4789,"uris":["http://zotero.org/groups/2470620/items/CM2D7M8Q"],"itemData":{"id":4789,"type":"article-journal","container-title":"Health Physics","DOI":"10.1097/00004032-196412000-00041","ISSN":"0017-9078","journalAbbreviation":"Health Phys","language":"eng","note":"PMID: 14244766","page":"1203-1209","source":"PubMed","title":"ACUTE AND CHRONIC EFFECTS OF INHALED 144CEO2 IN DOGS","volume":"10","author":[{"family":"Stuart","given":"B. O."},{"family":"Casey","given":"H. W."},{"family":"Bair","given":"W. J."}],"issued":{"date-parts":[["1964",12]]}},"label":"page"},{"id":4791,"uris":["http://zotero.org/groups/2470620/items/6PXRBRHK"],"itemData":{"id":4791,"type":"report","number":"BNWL-714","publisher":"Pacific Northwest Annual Report for 1967","source":"Google Scholar","title":"Inhalation studies with promethium oxide in beagle dogs","author":[{"family":"Stuart","given":"B. O."}],"issued":{"date-parts":[["1967"]]}},"label":"page"}],"schema":"https://github.com/citation-style-language/schema/raw/master/csl-citation.json"} </w:instrText>
      </w:r>
      <w:r w:rsidR="00B64A35" w:rsidRPr="00972C81">
        <w:rPr>
          <w:noProof/>
          <w:lang w:eastAsia="fr-FR"/>
        </w:rPr>
        <w:fldChar w:fldCharType="separate"/>
      </w:r>
      <w:r w:rsidR="00BC59C6" w:rsidRPr="00972C81">
        <w:rPr>
          <w:noProof/>
        </w:rPr>
        <w:t>(Cuddihy et al., 1975, 1976; Cuddihy and Boecker, 1975; Guilmette et al., 1987; Hahn et al., 1997; Richmond and London, 1966; Stuart, 1967; Stuart et al., 1964)</w:t>
      </w:r>
      <w:r w:rsidR="00B64A35" w:rsidRPr="00972C81">
        <w:rPr>
          <w:noProof/>
          <w:lang w:eastAsia="fr-FR"/>
        </w:rPr>
        <w:fldChar w:fldCharType="end"/>
      </w:r>
      <w:bookmarkEnd w:id="60"/>
      <w:r w:rsidRPr="00972C81">
        <w:rPr>
          <w:noProof/>
          <w:lang w:eastAsia="fr-FR"/>
        </w:rPr>
        <w:t xml:space="preserve">. Results of these studies indicate that a sizable portion of the activity reaching blood is tenaciously retained in systemic tissues, with bone and liver being the dominant repositories. </w:t>
      </w:r>
      <w:r w:rsidRPr="00972C81">
        <w:rPr>
          <w:noProof/>
        </w:rPr>
        <w:t xml:space="preserve">Following intravenous administration of </w:t>
      </w:r>
      <w:r w:rsidRPr="00972C81">
        <w:rPr>
          <w:noProof/>
          <w:vertAlign w:val="superscript"/>
          <w:lang w:eastAsia="fr-FR"/>
        </w:rPr>
        <w:t>144</w:t>
      </w:r>
      <w:r w:rsidRPr="00972C81">
        <w:rPr>
          <w:noProof/>
          <w:lang w:eastAsia="fr-FR"/>
        </w:rPr>
        <w:t>CeCl</w:t>
      </w:r>
      <w:r w:rsidRPr="00972C81">
        <w:rPr>
          <w:noProof/>
          <w:vertAlign w:val="subscript"/>
          <w:lang w:eastAsia="fr-FR"/>
        </w:rPr>
        <w:t>3</w:t>
      </w:r>
      <w:r w:rsidRPr="00972C81">
        <w:rPr>
          <w:noProof/>
          <w:lang w:eastAsia="fr-FR"/>
        </w:rPr>
        <w:t xml:space="preserve"> </w:t>
      </w:r>
      <w:r w:rsidRPr="00972C81">
        <w:rPr>
          <w:noProof/>
        </w:rPr>
        <w:t xml:space="preserve">to dogs, activity was retained with a </w:t>
      </w:r>
      <w:r w:rsidRPr="00972C81">
        <w:rPr>
          <w:noProof/>
          <w:lang w:eastAsia="fr-FR"/>
        </w:rPr>
        <w:t xml:space="preserve">biological half-time of about 10 y </w:t>
      </w:r>
      <w:r w:rsidR="00B64A35" w:rsidRPr="00972C81">
        <w:rPr>
          <w:noProof/>
          <w:lang w:eastAsia="fr-FR"/>
        </w:rPr>
        <w:fldChar w:fldCharType="begin"/>
      </w:r>
      <w:r w:rsidR="00B64A35" w:rsidRPr="00972C81">
        <w:rPr>
          <w:noProof/>
          <w:lang w:eastAsia="fr-FR"/>
        </w:rPr>
        <w:instrText xml:space="preserve"> ADDIN ZOTERO_ITEM CSL_CITATION {"citationID":"sEbyJqEC","properties":{"formattedCitation":"(Richmond and London, 1966)","plainCitation":"(Richmond and London, 1966)","noteIndex":0},"citationItems":[{"id":4792,"uris":["http://zotero.org/groups/2470620/items/QHJ7W9ZJ"],"itemData":{"id":4792,"type":"article-journal","container-title":"Nature","DOI":"10.1038/2111179a0","ISSN":"0028-0836","issue":"5054","journalAbbreviation":"Nature","language":"eng","note":"PMID: 5970019","page":"1179","source":"PubMed","title":"Long-term in vivo retention of cerium-144 by beagles","volume":"211","author":[{"family":"Richmond","given":"C. R."},{"family":"London","given":"J. E."}],"issued":{"date-parts":[["1966",9,10]]}}}],"schema":"https://github.com/citation-style-language/schema/raw/master/csl-citation.json"} </w:instrText>
      </w:r>
      <w:r w:rsidR="00B64A35" w:rsidRPr="00972C81">
        <w:rPr>
          <w:noProof/>
          <w:lang w:eastAsia="fr-FR"/>
        </w:rPr>
        <w:fldChar w:fldCharType="separate"/>
      </w:r>
      <w:r w:rsidR="00BC59C6" w:rsidRPr="00972C81">
        <w:rPr>
          <w:noProof/>
        </w:rPr>
        <w:t>(Richmond and London, 1966)</w:t>
      </w:r>
      <w:r w:rsidR="00B64A35" w:rsidRPr="00972C81">
        <w:rPr>
          <w:noProof/>
          <w:lang w:eastAsia="fr-FR"/>
        </w:rPr>
        <w:fldChar w:fldCharType="end"/>
      </w:r>
      <w:r w:rsidRPr="00972C81">
        <w:rPr>
          <w:noProof/>
          <w:lang w:eastAsia="fr-FR"/>
        </w:rPr>
        <w:t xml:space="preserve">. At 10 d after intravenous administration of </w:t>
      </w:r>
      <w:r w:rsidRPr="00972C81">
        <w:rPr>
          <w:noProof/>
          <w:vertAlign w:val="superscript"/>
          <w:lang w:eastAsia="fr-FR"/>
        </w:rPr>
        <w:t>144</w:t>
      </w:r>
      <w:r w:rsidRPr="00972C81">
        <w:rPr>
          <w:noProof/>
          <w:lang w:eastAsia="fr-FR"/>
        </w:rPr>
        <w:t xml:space="preserve">Ce as chloride to miniature swine, the skeleton, liver, and kidneys contained about 40%, 35%, and 0.4%, respectively, of the administered amount. </w:t>
      </w:r>
      <w:r w:rsidRPr="00972C81">
        <w:rPr>
          <w:noProof/>
        </w:rPr>
        <w:t xml:space="preserve">In rats, cerium that deposited in bone accumulated in the periosteum and endosteum but not in the cortex </w:t>
      </w:r>
      <w:r w:rsidR="00B64A35" w:rsidRPr="00972C81">
        <w:rPr>
          <w:noProof/>
        </w:rPr>
        <w:fldChar w:fldCharType="begin"/>
      </w:r>
      <w:r w:rsidR="00B64A35" w:rsidRPr="00972C81">
        <w:rPr>
          <w:noProof/>
        </w:rPr>
        <w:instrText xml:space="preserve"> ADDIN ZOTERO_ITEM CSL_CITATION {"citationID":"XINn5FpD","properties":{"formattedCitation":"(Durbin, 1962)","plainCitation":"(Durbin, 1962)","noteIndex":0},"citationItems":[{"id":4754,"uris":["http://zotero.org/groups/2470620/items/D374YBDR"],"itemData":{"id":4754,"type":"article-journal","abstract":"The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B64A35" w:rsidRPr="00972C81">
        <w:rPr>
          <w:noProof/>
        </w:rPr>
        <w:fldChar w:fldCharType="separate"/>
      </w:r>
      <w:r w:rsidR="00BC59C6" w:rsidRPr="00972C81">
        <w:rPr>
          <w:noProof/>
        </w:rPr>
        <w:t>(Durbin, 1962)</w:t>
      </w:r>
      <w:r w:rsidR="00B64A35" w:rsidRPr="00972C81">
        <w:rPr>
          <w:noProof/>
        </w:rPr>
        <w:fldChar w:fldCharType="end"/>
      </w:r>
      <w:r w:rsidRPr="00972C81">
        <w:rPr>
          <w:noProof/>
        </w:rPr>
        <w:t>.</w:t>
      </w:r>
    </w:p>
    <w:p w14:paraId="602A09E5" w14:textId="26B6A3E8" w:rsidR="00C66E18" w:rsidRPr="00972C81" w:rsidRDefault="00C66E18" w:rsidP="001C4A92">
      <w:pPr>
        <w:pStyle w:val="Annalstext"/>
        <w:rPr>
          <w:noProof/>
        </w:rPr>
      </w:pPr>
      <w:r w:rsidRPr="00972C81">
        <w:rPr>
          <w:noProof/>
        </w:rPr>
        <w:t xml:space="preserve">Durbin </w:t>
      </w:r>
      <w:r w:rsidR="00B64A35" w:rsidRPr="00972C81">
        <w:rPr>
          <w:noProof/>
        </w:rPr>
        <w:fldChar w:fldCharType="begin"/>
      </w:r>
      <w:r w:rsidR="00B64A35" w:rsidRPr="00972C81">
        <w:rPr>
          <w:noProof/>
        </w:rPr>
        <w:instrText xml:space="preserve"> ADDIN ZOTERO_ITEM CSL_CITATION {"citationID":"XGRHbpUb","properties":{"formattedCitation":"(1959, 1962)","plainCitation":"(1959,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family","volume":"2","author":[{"family":"Durbin","given":"P.W."}],"issued":{"date-parts":[["1959"]]}},"label":"page","suppress-author":true},{"id":4754,"uris":["http://zotero.org/groups/2470620/items/D374YBDR"],"itemData":{"id":4754,"type":"article-journal","abstract":"The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mammals","volume":"8","author":[{"family":"Durbin","given":"P.W."}],"issued":{"date-parts":[["1962"]]}},"label":"page","suppress-author":true}],"schema":"https://github.com/citation-style-language/schema/raw/master/csl-citation.json"} </w:instrText>
      </w:r>
      <w:r w:rsidR="00B64A35" w:rsidRPr="00972C81">
        <w:rPr>
          <w:noProof/>
        </w:rPr>
        <w:fldChar w:fldCharType="separate"/>
      </w:r>
      <w:r w:rsidR="00BC59C6" w:rsidRPr="00972C81">
        <w:rPr>
          <w:noProof/>
        </w:rPr>
        <w:t>(1959, 1962)</w:t>
      </w:r>
      <w:r w:rsidR="00B64A35" w:rsidRPr="00972C81">
        <w:rPr>
          <w:noProof/>
        </w:rPr>
        <w:fldChar w:fldCharType="end"/>
      </w:r>
      <w:r w:rsidRPr="00972C81">
        <w:rPr>
          <w:noProof/>
        </w:rPr>
        <w:t xml:space="preserve"> compared the </w:t>
      </w:r>
      <w:r w:rsidR="00BB503E">
        <w:rPr>
          <w:noProof/>
        </w:rPr>
        <w:t>behaviour</w:t>
      </w:r>
      <w:r w:rsidRPr="00972C81">
        <w:rPr>
          <w:noProof/>
        </w:rPr>
        <w:t xml:space="preserve"> of lanthanide elements in rats following their intramuscular administration. The main sites of deposition of all lanthanides were the liver and skeleton. The initial division between liver and skeleton and the early excretion pattern appeared to be related to the ionic radius, which for the lanthanide family declines monotonically with increasing atomic number (</w:t>
      </w:r>
      <w:r w:rsidR="00C02F08" w:rsidRPr="00972C81">
        <w:rPr>
          <w:noProof/>
          <w:highlight w:val="yellow"/>
        </w:rPr>
        <w:fldChar w:fldCharType="begin"/>
      </w:r>
      <w:r w:rsidR="00C02F08" w:rsidRPr="00972C81">
        <w:rPr>
          <w:noProof/>
        </w:rPr>
        <w:instrText xml:space="preserve"> REF _Ref141857861 \h </w:instrText>
      </w:r>
      <w:r w:rsidR="00C02F08" w:rsidRPr="00972C81">
        <w:rPr>
          <w:noProof/>
          <w:highlight w:val="yellow"/>
        </w:rPr>
      </w:r>
      <w:r w:rsidR="00C02F08" w:rsidRPr="00972C81">
        <w:rPr>
          <w:noProof/>
          <w:highlight w:val="yellow"/>
        </w:rPr>
        <w:fldChar w:fldCharType="separate"/>
      </w:r>
      <w:r w:rsidR="00A41AD1" w:rsidRPr="00A41AD1">
        <w:rPr>
          <w:noProof/>
          <w:szCs w:val="24"/>
        </w:rPr>
        <w:t xml:space="preserve">Table </w:t>
      </w:r>
      <w:r w:rsidR="00A41AD1">
        <w:rPr>
          <w:noProof/>
          <w:szCs w:val="24"/>
        </w:rPr>
        <w:t>3</w:t>
      </w:r>
      <w:r w:rsidR="00A41AD1" w:rsidRPr="00A41AD1">
        <w:rPr>
          <w:noProof/>
          <w:szCs w:val="24"/>
        </w:rPr>
        <w:t>.</w:t>
      </w:r>
      <w:r w:rsidR="00A41AD1">
        <w:rPr>
          <w:noProof/>
          <w:szCs w:val="24"/>
        </w:rPr>
        <w:t>1</w:t>
      </w:r>
      <w:r w:rsidR="00C02F08" w:rsidRPr="00972C81">
        <w:rPr>
          <w:noProof/>
          <w:highlight w:val="yellow"/>
        </w:rPr>
        <w:fldChar w:fldCharType="end"/>
      </w:r>
      <w:r w:rsidR="00C02F08" w:rsidRPr="00972C81">
        <w:rPr>
          <w:noProof/>
        </w:rPr>
        <w:t>)</w:t>
      </w:r>
      <w:r w:rsidRPr="00972C81">
        <w:rPr>
          <w:noProof/>
        </w:rPr>
        <w:t xml:space="preserve">. For elements with ionic radii between 92 pm and 106 pm, a decrease in ionic radius was associated overall with a decrease in uptake by liver, an increase in uptake by bone, and an increase in the early urinary excretion rate. Little difference in the distribution or excretion through 4 d was seen for lanthanide elements with ionic radius of 92 pm or less (Tb, Dy, Ho, Er, Tm, Yb, and Lu): the content of bone and liver ranged from 58–68% and 1–7%, respectively, and cumulative urinary excretion was 16–27% of the injected amount. Elements that deposited primarily in the liver were eventually excreted largely in faeces. </w:t>
      </w:r>
    </w:p>
    <w:p w14:paraId="3D5547C6" w14:textId="68A3BCD6" w:rsidR="00C66E18" w:rsidRPr="00972C81" w:rsidRDefault="00C66E18" w:rsidP="001C4A92">
      <w:pPr>
        <w:pStyle w:val="Annalstext"/>
        <w:rPr>
          <w:noProof/>
        </w:rPr>
      </w:pPr>
      <w:r w:rsidRPr="00972C81">
        <w:rPr>
          <w:noProof/>
        </w:rPr>
        <w:t xml:space="preserve">Moskalev et al. </w:t>
      </w:r>
      <w:r w:rsidR="00B64A35" w:rsidRPr="00972C81">
        <w:rPr>
          <w:noProof/>
        </w:rPr>
        <w:fldChar w:fldCharType="begin"/>
      </w:r>
      <w:r w:rsidR="00612860" w:rsidRPr="00972C81">
        <w:rPr>
          <w:noProof/>
        </w:rPr>
        <w:instrText xml:space="preserve"> ADDIN ZOTERO_ITEM CSL_CITATION {"citationID":"S0vJiJ3e","properties":{"formattedCitation":"(1974)","plainCitation":"(1974)","noteIndex":0},"citationItems":[{"id":4757,"uris":["http://zotero.org/groups/2470620/items/GPRMH38F"],"itemData":{"id":4757,"type":"chapter","container-title":"Biological Effects of Radiation from External and Internal Sources. Translated in U.S. Atomic Energy Commission Document AEC-tr-7457","event-place":"Moscow, Russia","publisher":"Medistina","publisher-place":"Moscow, Russia","source":"Google Scholar","title":"Distinctions of distribution in the organism of radioactive isotopes of lanthanide elements","author":[{"family":"Moskalev","given":"Yu I."},{"family":"Zalikin","given":"G. A."},{"family":"Stepanov","given":"V. S."}],"issued":{"date-parts":[["1974"]]}},"suppress-author":true}],"schema":"https://github.com/citation-style-language/schema/raw/master/csl-citation.json"} </w:instrText>
      </w:r>
      <w:r w:rsidR="00B64A35" w:rsidRPr="00972C81">
        <w:rPr>
          <w:noProof/>
        </w:rPr>
        <w:fldChar w:fldCharType="separate"/>
      </w:r>
      <w:r w:rsidR="00BC59C6" w:rsidRPr="00972C81">
        <w:rPr>
          <w:noProof/>
        </w:rPr>
        <w:t>(1974)</w:t>
      </w:r>
      <w:r w:rsidR="00B64A35" w:rsidRPr="00972C81">
        <w:rPr>
          <w:noProof/>
        </w:rPr>
        <w:fldChar w:fldCharType="end"/>
      </w:r>
      <w:r w:rsidRPr="00972C81">
        <w:rPr>
          <w:noProof/>
        </w:rPr>
        <w:t xml:space="preserve"> reached conclusions similar to those of Durbin from their studies of the systemic </w:t>
      </w:r>
      <w:r w:rsidR="00BB503E">
        <w:rPr>
          <w:noProof/>
        </w:rPr>
        <w:t>behaviour</w:t>
      </w:r>
      <w:r w:rsidRPr="00972C81">
        <w:rPr>
          <w:noProof/>
        </w:rPr>
        <w:t xml:space="preserve"> of the lanthanide elements La, Ce, Pr, Pm, Eu, Gd, Tb, and Yb in rats following intravenous administration but described their results in terms of increasing atomic weight rather than decreasing ionic radius. They found that the lighter lanthanides La, Ce, Pr accumulated mainly in the liver (~70%) and to some extent in the skeleton (~20%); the relatively heavy lanthanides Tb and Yb accumulated mainly in the skeleton (~80%) and to some extent in the liver (&lt;20%); and the elements Pm, Eu, and Gd with intermediate atomic weight occupied intermediate places in this scheme. Elimination of the lanthanide elements in urine and faeces also was found to depend on atomic weight. The light elements La, Ce, Pr were excreted primarily in faeces, and only a few percent was excreted in urine over the observation period. With increasing atomic number the percentage eliminated in faeces decreased proportionally to the decline in accumulation in the liver. </w:t>
      </w:r>
    </w:p>
    <w:p w14:paraId="61C2AFD4" w14:textId="79558FC6" w:rsidR="00C66E18" w:rsidRPr="00972C81" w:rsidRDefault="00C66E18" w:rsidP="001C4A92">
      <w:pPr>
        <w:pStyle w:val="Annalstext"/>
        <w:rPr>
          <w:noProof/>
        </w:rPr>
      </w:pPr>
      <w:r w:rsidRPr="00972C81">
        <w:rPr>
          <w:noProof/>
        </w:rPr>
        <w:t xml:space="preserve">Findings of Ando et al. </w:t>
      </w:r>
      <w:r w:rsidR="00187593" w:rsidRPr="00972C81">
        <w:rPr>
          <w:noProof/>
        </w:rPr>
        <w:fldChar w:fldCharType="begin"/>
      </w:r>
      <w:r w:rsidR="00187593" w:rsidRPr="00972C81">
        <w:rPr>
          <w:noProof/>
        </w:rPr>
        <w:instrText xml:space="preserve"> ADDIN ZOTERO_ITEM CSL_CITATION {"citationID":"WI731urF","properties":{"formattedCitation":"(Durbin, 1959, 1962)","plainCitation":"(Durbin, 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187593" w:rsidRPr="00972C81">
        <w:rPr>
          <w:noProof/>
        </w:rPr>
        <w:fldChar w:fldCharType="separate"/>
      </w:r>
      <w:r w:rsidR="00BC59C6" w:rsidRPr="00972C81">
        <w:rPr>
          <w:noProof/>
        </w:rPr>
        <w:t>(Durbin, 1959, 1962)</w:t>
      </w:r>
      <w:r w:rsidR="00187593" w:rsidRPr="00972C81">
        <w:rPr>
          <w:noProof/>
        </w:rPr>
        <w:fldChar w:fldCharType="end"/>
      </w:r>
      <w:r w:rsidRPr="00972C81">
        <w:rPr>
          <w:noProof/>
        </w:rPr>
        <w:t xml:space="preserve"> regarding the early systemic </w:t>
      </w:r>
      <w:r w:rsidR="00BB503E">
        <w:rPr>
          <w:noProof/>
        </w:rPr>
        <w:t>behaviour</w:t>
      </w:r>
      <w:r w:rsidRPr="00972C81">
        <w:rPr>
          <w:noProof/>
        </w:rPr>
        <w:t xml:space="preserve"> of the lanthanide elements Ce, Sm, Gd, Tb, Tm, Yb, and Lu in rats support Durbin’s conclusions that bone and liver are the dominant deposition sites for the lanthanides and that the deposition in bone tends to increase and deposition in liver tends to decrease with decreasing ionic radius. Data on uptake of lanthanide elements in tissues other than liver and bone do not reveal any clear relation with ionic radius of the lanthanide elements. </w:t>
      </w:r>
    </w:p>
    <w:p w14:paraId="75E2F590" w14:textId="77777777" w:rsidR="00AE7A83" w:rsidRPr="00972C81" w:rsidRDefault="00AE7A83" w:rsidP="001C4A92">
      <w:pPr>
        <w:pStyle w:val="Annalstext"/>
        <w:numPr>
          <w:ilvl w:val="0"/>
          <w:numId w:val="0"/>
        </w:numPr>
        <w:ind w:left="360"/>
        <w:rPr>
          <w:noProof/>
        </w:rPr>
      </w:pPr>
    </w:p>
    <w:p w14:paraId="4A21F572" w14:textId="77777777" w:rsidR="0063782B" w:rsidRDefault="0063782B">
      <w:pPr>
        <w:widowControl/>
        <w:jc w:val="left"/>
        <w:rPr>
          <w:noProof/>
          <w:szCs w:val="24"/>
        </w:rPr>
      </w:pPr>
      <w:bookmarkStart w:id="61" w:name="_Ref141857861"/>
      <w:r>
        <w:rPr>
          <w:noProof/>
          <w:szCs w:val="24"/>
        </w:rPr>
        <w:br w:type="page"/>
      </w:r>
    </w:p>
    <w:p w14:paraId="17F93AC7" w14:textId="62AE0C7D" w:rsidR="00C66E18" w:rsidRPr="00C47F2F" w:rsidRDefault="00C02F08" w:rsidP="00C02F08">
      <w:pPr>
        <w:pStyle w:val="ab"/>
        <w:rPr>
          <w:noProof/>
          <w:sz w:val="24"/>
          <w:szCs w:val="24"/>
        </w:rPr>
      </w:pPr>
      <w:r w:rsidRPr="00C47F2F">
        <w:rPr>
          <w:noProof/>
          <w:sz w:val="24"/>
          <w:szCs w:val="24"/>
        </w:rPr>
        <w:lastRenderedPageBreak/>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Pr>
          <w:noProof/>
          <w:sz w:val="24"/>
          <w:szCs w:val="24"/>
        </w:rPr>
        <w:t>3</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Pr>
          <w:noProof/>
          <w:sz w:val="24"/>
          <w:szCs w:val="24"/>
        </w:rPr>
        <w:t>1</w:t>
      </w:r>
      <w:r w:rsidR="00EA3750" w:rsidRPr="00C47F2F">
        <w:rPr>
          <w:noProof/>
          <w:sz w:val="24"/>
          <w:szCs w:val="24"/>
        </w:rPr>
        <w:fldChar w:fldCharType="end"/>
      </w:r>
      <w:bookmarkEnd w:id="61"/>
      <w:r w:rsidRPr="00C47F2F">
        <w:rPr>
          <w:noProof/>
          <w:sz w:val="24"/>
          <w:szCs w:val="24"/>
        </w:rPr>
        <w:t xml:space="preserve">. </w:t>
      </w:r>
      <w:r w:rsidR="00C66E18" w:rsidRPr="00C47F2F">
        <w:rPr>
          <w:noProof/>
          <w:sz w:val="24"/>
          <w:szCs w:val="24"/>
        </w:rPr>
        <w:t>Distribution of trivalent lanthanide elements in rats 4 d post administration, as a function of ionic radius and atomic number</w:t>
      </w:r>
      <w:r w:rsidRPr="00C47F2F">
        <w:rPr>
          <w:noProof/>
          <w:sz w:val="24"/>
          <w:szCs w:val="24"/>
          <w:vertAlign w:val="superscript"/>
        </w:rPr>
        <w:t>*</w:t>
      </w:r>
      <w:r w:rsidR="00C66E18" w:rsidRPr="00C47F2F">
        <w:rPr>
          <w:noProof/>
          <w:sz w:val="24"/>
          <w:szCs w:val="24"/>
        </w:rPr>
        <w:t xml:space="preserve">. </w:t>
      </w:r>
    </w:p>
    <w:tbl>
      <w:tblPr>
        <w:tblW w:w="5000" w:type="pct"/>
        <w:tblLook w:val="04A0" w:firstRow="1" w:lastRow="0" w:firstColumn="1" w:lastColumn="0" w:noHBand="0" w:noVBand="1"/>
      </w:tblPr>
      <w:tblGrid>
        <w:gridCol w:w="1787"/>
        <w:gridCol w:w="994"/>
        <w:gridCol w:w="1119"/>
        <w:gridCol w:w="1025"/>
        <w:gridCol w:w="1025"/>
        <w:gridCol w:w="1025"/>
        <w:gridCol w:w="1025"/>
        <w:gridCol w:w="1027"/>
      </w:tblGrid>
      <w:tr w:rsidR="00C66E18" w:rsidRPr="00972C81" w14:paraId="7B83E0E9" w14:textId="77777777" w:rsidTr="0063782B">
        <w:trPr>
          <w:trHeight w:val="340"/>
        </w:trPr>
        <w:tc>
          <w:tcPr>
            <w:tcW w:w="989" w:type="pct"/>
            <w:vMerge w:val="restart"/>
            <w:tcBorders>
              <w:top w:val="single" w:sz="4" w:space="0" w:color="auto"/>
            </w:tcBorders>
            <w:shd w:val="clear" w:color="auto" w:fill="auto"/>
            <w:vAlign w:val="center"/>
          </w:tcPr>
          <w:p w14:paraId="5FE08F0B" w14:textId="77777777" w:rsidR="00C66E18" w:rsidRPr="00972C81" w:rsidRDefault="00C66E18" w:rsidP="00C47F2F">
            <w:pPr>
              <w:pStyle w:val="Table"/>
              <w:keepNext/>
              <w:rPr>
                <w:noProof/>
              </w:rPr>
            </w:pPr>
            <w:r w:rsidRPr="00972C81">
              <w:rPr>
                <w:noProof/>
              </w:rPr>
              <w:t>Element</w:t>
            </w:r>
          </w:p>
        </w:tc>
        <w:tc>
          <w:tcPr>
            <w:tcW w:w="550" w:type="pct"/>
            <w:vMerge w:val="restart"/>
            <w:tcBorders>
              <w:top w:val="single" w:sz="4" w:space="0" w:color="auto"/>
            </w:tcBorders>
            <w:shd w:val="clear" w:color="auto" w:fill="auto"/>
          </w:tcPr>
          <w:p w14:paraId="44DC8305" w14:textId="77777777" w:rsidR="00C66E18" w:rsidRPr="00972C81" w:rsidRDefault="00C66E18" w:rsidP="00C47F2F">
            <w:pPr>
              <w:pStyle w:val="Table"/>
              <w:keepNext/>
              <w:rPr>
                <w:noProof/>
              </w:rPr>
            </w:pPr>
            <w:r w:rsidRPr="00972C81">
              <w:rPr>
                <w:noProof/>
              </w:rPr>
              <w:t>Ionic radius</w:t>
            </w:r>
          </w:p>
          <w:p w14:paraId="5A9B317A" w14:textId="77777777" w:rsidR="00C66E18" w:rsidRPr="00972C81" w:rsidRDefault="00C66E18" w:rsidP="00C47F2F">
            <w:pPr>
              <w:pStyle w:val="Table"/>
              <w:keepNext/>
              <w:rPr>
                <w:noProof/>
              </w:rPr>
            </w:pPr>
            <w:r w:rsidRPr="00972C81">
              <w:rPr>
                <w:noProof/>
              </w:rPr>
              <w:t>(pm)</w:t>
            </w:r>
          </w:p>
        </w:tc>
        <w:tc>
          <w:tcPr>
            <w:tcW w:w="620" w:type="pct"/>
            <w:vMerge w:val="restart"/>
            <w:tcBorders>
              <w:top w:val="single" w:sz="4" w:space="0" w:color="auto"/>
            </w:tcBorders>
            <w:shd w:val="clear" w:color="auto" w:fill="auto"/>
          </w:tcPr>
          <w:p w14:paraId="0EC60D49" w14:textId="77777777" w:rsidR="00C66E18" w:rsidRPr="00972C81" w:rsidRDefault="00C66E18" w:rsidP="00C47F2F">
            <w:pPr>
              <w:pStyle w:val="Table"/>
              <w:keepNext/>
              <w:rPr>
                <w:noProof/>
              </w:rPr>
            </w:pPr>
          </w:p>
          <w:p w14:paraId="5EF85593" w14:textId="77777777" w:rsidR="00C66E18" w:rsidRPr="00972C81" w:rsidRDefault="00C66E18" w:rsidP="00C47F2F">
            <w:pPr>
              <w:pStyle w:val="Table"/>
              <w:keepNext/>
              <w:rPr>
                <w:noProof/>
              </w:rPr>
            </w:pPr>
            <w:r w:rsidRPr="00972C81">
              <w:rPr>
                <w:noProof/>
              </w:rPr>
              <w:t>Atomic number</w:t>
            </w:r>
          </w:p>
        </w:tc>
        <w:tc>
          <w:tcPr>
            <w:tcW w:w="2841" w:type="pct"/>
            <w:gridSpan w:val="5"/>
            <w:tcBorders>
              <w:top w:val="single" w:sz="4" w:space="0" w:color="auto"/>
            </w:tcBorders>
            <w:shd w:val="clear" w:color="auto" w:fill="auto"/>
          </w:tcPr>
          <w:p w14:paraId="77F7E11C" w14:textId="77777777" w:rsidR="00C66E18" w:rsidRPr="00972C81" w:rsidRDefault="00C66E18" w:rsidP="00C47F2F">
            <w:pPr>
              <w:pStyle w:val="Table"/>
              <w:keepNext/>
              <w:jc w:val="center"/>
              <w:rPr>
                <w:noProof/>
              </w:rPr>
            </w:pPr>
            <w:r w:rsidRPr="00972C81">
              <w:rPr>
                <w:noProof/>
              </w:rPr>
              <w:t>% injected activity</w:t>
            </w:r>
          </w:p>
        </w:tc>
      </w:tr>
      <w:tr w:rsidR="00100C52" w:rsidRPr="00972C81" w14:paraId="7826CE1F" w14:textId="77777777" w:rsidTr="0063782B">
        <w:trPr>
          <w:trHeight w:val="340"/>
        </w:trPr>
        <w:tc>
          <w:tcPr>
            <w:tcW w:w="989" w:type="pct"/>
            <w:vMerge/>
            <w:tcBorders>
              <w:bottom w:val="single" w:sz="4" w:space="0" w:color="auto"/>
            </w:tcBorders>
            <w:shd w:val="clear" w:color="auto" w:fill="auto"/>
          </w:tcPr>
          <w:p w14:paraId="0D584083" w14:textId="77777777" w:rsidR="00C66E18" w:rsidRPr="00972C81" w:rsidRDefault="00C66E18" w:rsidP="00C47F2F">
            <w:pPr>
              <w:pStyle w:val="Table"/>
              <w:keepNext/>
              <w:rPr>
                <w:noProof/>
              </w:rPr>
            </w:pPr>
          </w:p>
        </w:tc>
        <w:tc>
          <w:tcPr>
            <w:tcW w:w="550" w:type="pct"/>
            <w:vMerge/>
            <w:tcBorders>
              <w:bottom w:val="single" w:sz="4" w:space="0" w:color="auto"/>
            </w:tcBorders>
            <w:shd w:val="clear" w:color="auto" w:fill="auto"/>
          </w:tcPr>
          <w:p w14:paraId="0DAF8A6E" w14:textId="77777777" w:rsidR="00C66E18" w:rsidRPr="00972C81" w:rsidRDefault="00C66E18" w:rsidP="00C47F2F">
            <w:pPr>
              <w:pStyle w:val="Table"/>
              <w:keepNext/>
              <w:rPr>
                <w:noProof/>
              </w:rPr>
            </w:pPr>
          </w:p>
        </w:tc>
        <w:tc>
          <w:tcPr>
            <w:tcW w:w="620" w:type="pct"/>
            <w:vMerge/>
            <w:tcBorders>
              <w:bottom w:val="single" w:sz="4" w:space="0" w:color="auto"/>
            </w:tcBorders>
            <w:shd w:val="clear" w:color="auto" w:fill="auto"/>
          </w:tcPr>
          <w:p w14:paraId="225E5137" w14:textId="77777777" w:rsidR="00C66E18" w:rsidRPr="00972C81" w:rsidRDefault="00C66E18" w:rsidP="00C47F2F">
            <w:pPr>
              <w:pStyle w:val="Table"/>
              <w:keepNext/>
              <w:rPr>
                <w:noProof/>
              </w:rPr>
            </w:pPr>
          </w:p>
        </w:tc>
        <w:tc>
          <w:tcPr>
            <w:tcW w:w="568" w:type="pct"/>
            <w:tcBorders>
              <w:bottom w:val="single" w:sz="4" w:space="0" w:color="auto"/>
            </w:tcBorders>
            <w:shd w:val="clear" w:color="auto" w:fill="auto"/>
          </w:tcPr>
          <w:p w14:paraId="175E67C0" w14:textId="77777777" w:rsidR="00C66E18" w:rsidRPr="00972C81" w:rsidRDefault="00C66E18" w:rsidP="00C47F2F">
            <w:pPr>
              <w:pStyle w:val="Table"/>
              <w:keepNext/>
              <w:rPr>
                <w:noProof/>
              </w:rPr>
            </w:pPr>
          </w:p>
          <w:p w14:paraId="1BBEF024" w14:textId="77777777" w:rsidR="00C66E18" w:rsidRPr="00972C81" w:rsidRDefault="00C66E18" w:rsidP="00C47F2F">
            <w:pPr>
              <w:pStyle w:val="Table"/>
              <w:keepNext/>
              <w:rPr>
                <w:noProof/>
              </w:rPr>
            </w:pPr>
            <w:r w:rsidRPr="00972C81">
              <w:rPr>
                <w:noProof/>
              </w:rPr>
              <w:t>Bone</w:t>
            </w:r>
          </w:p>
        </w:tc>
        <w:tc>
          <w:tcPr>
            <w:tcW w:w="568" w:type="pct"/>
            <w:tcBorders>
              <w:bottom w:val="single" w:sz="4" w:space="0" w:color="auto"/>
            </w:tcBorders>
            <w:shd w:val="clear" w:color="auto" w:fill="auto"/>
          </w:tcPr>
          <w:p w14:paraId="070F622F" w14:textId="77777777" w:rsidR="00C66E18" w:rsidRPr="00972C81" w:rsidRDefault="00C66E18" w:rsidP="00C47F2F">
            <w:pPr>
              <w:pStyle w:val="Table"/>
              <w:keepNext/>
              <w:rPr>
                <w:noProof/>
              </w:rPr>
            </w:pPr>
          </w:p>
          <w:p w14:paraId="74365507" w14:textId="77777777" w:rsidR="00C66E18" w:rsidRPr="00972C81" w:rsidRDefault="00C66E18" w:rsidP="00C47F2F">
            <w:pPr>
              <w:pStyle w:val="Table"/>
              <w:keepNext/>
              <w:rPr>
                <w:noProof/>
              </w:rPr>
            </w:pPr>
            <w:r w:rsidRPr="00972C81">
              <w:rPr>
                <w:noProof/>
              </w:rPr>
              <w:t>Liver</w:t>
            </w:r>
          </w:p>
        </w:tc>
        <w:tc>
          <w:tcPr>
            <w:tcW w:w="568" w:type="pct"/>
            <w:tcBorders>
              <w:bottom w:val="single" w:sz="4" w:space="0" w:color="auto"/>
            </w:tcBorders>
            <w:shd w:val="clear" w:color="auto" w:fill="auto"/>
          </w:tcPr>
          <w:p w14:paraId="6368D0F9" w14:textId="77777777" w:rsidR="00C66E18" w:rsidRPr="00972C81" w:rsidRDefault="00C66E18" w:rsidP="00C47F2F">
            <w:pPr>
              <w:pStyle w:val="Table"/>
              <w:keepNext/>
              <w:rPr>
                <w:noProof/>
              </w:rPr>
            </w:pPr>
            <w:r w:rsidRPr="00972C81">
              <w:rPr>
                <w:noProof/>
              </w:rPr>
              <w:t>Other tissues</w:t>
            </w:r>
          </w:p>
        </w:tc>
        <w:tc>
          <w:tcPr>
            <w:tcW w:w="568" w:type="pct"/>
            <w:tcBorders>
              <w:bottom w:val="single" w:sz="4" w:space="0" w:color="auto"/>
            </w:tcBorders>
            <w:shd w:val="clear" w:color="auto" w:fill="auto"/>
          </w:tcPr>
          <w:p w14:paraId="4725BBCB" w14:textId="77777777" w:rsidR="00C66E18" w:rsidRPr="00972C81" w:rsidRDefault="00C66E18" w:rsidP="00C47F2F">
            <w:pPr>
              <w:pStyle w:val="Table"/>
              <w:keepNext/>
              <w:rPr>
                <w:noProof/>
              </w:rPr>
            </w:pPr>
          </w:p>
          <w:p w14:paraId="0DA244B3" w14:textId="77777777" w:rsidR="00C66E18" w:rsidRPr="00972C81" w:rsidRDefault="00C66E18" w:rsidP="00C47F2F">
            <w:pPr>
              <w:pStyle w:val="Table"/>
              <w:keepNext/>
              <w:rPr>
                <w:noProof/>
              </w:rPr>
            </w:pPr>
            <w:r w:rsidRPr="00972C81">
              <w:rPr>
                <w:noProof/>
              </w:rPr>
              <w:t>Faeces</w:t>
            </w:r>
          </w:p>
        </w:tc>
        <w:tc>
          <w:tcPr>
            <w:tcW w:w="568" w:type="pct"/>
            <w:tcBorders>
              <w:bottom w:val="single" w:sz="4" w:space="0" w:color="auto"/>
            </w:tcBorders>
            <w:shd w:val="clear" w:color="auto" w:fill="auto"/>
          </w:tcPr>
          <w:p w14:paraId="2532345C" w14:textId="77777777" w:rsidR="00C66E18" w:rsidRPr="00972C81" w:rsidRDefault="00C66E18" w:rsidP="00C47F2F">
            <w:pPr>
              <w:pStyle w:val="Table"/>
              <w:keepNext/>
              <w:rPr>
                <w:noProof/>
              </w:rPr>
            </w:pPr>
          </w:p>
          <w:p w14:paraId="120F8325" w14:textId="77777777" w:rsidR="00C66E18" w:rsidRPr="00972C81" w:rsidRDefault="00C66E18" w:rsidP="00C47F2F">
            <w:pPr>
              <w:pStyle w:val="Table"/>
              <w:keepNext/>
              <w:rPr>
                <w:noProof/>
              </w:rPr>
            </w:pPr>
            <w:r w:rsidRPr="00972C81">
              <w:rPr>
                <w:noProof/>
              </w:rPr>
              <w:t>Urine</w:t>
            </w:r>
          </w:p>
        </w:tc>
      </w:tr>
      <w:tr w:rsidR="00100C52" w:rsidRPr="00972C81" w14:paraId="4B263EFB" w14:textId="77777777" w:rsidTr="0063782B">
        <w:trPr>
          <w:trHeight w:val="340"/>
        </w:trPr>
        <w:tc>
          <w:tcPr>
            <w:tcW w:w="989" w:type="pct"/>
            <w:tcBorders>
              <w:top w:val="single" w:sz="4" w:space="0" w:color="auto"/>
            </w:tcBorders>
            <w:shd w:val="clear" w:color="auto" w:fill="auto"/>
            <w:vAlign w:val="center"/>
          </w:tcPr>
          <w:p w14:paraId="03BE777F" w14:textId="77777777" w:rsidR="00C66E18" w:rsidRPr="00972C81" w:rsidRDefault="00C66E18" w:rsidP="0063782B">
            <w:pPr>
              <w:pStyle w:val="Table"/>
              <w:rPr>
                <w:noProof/>
              </w:rPr>
            </w:pPr>
            <w:r w:rsidRPr="00972C81">
              <w:rPr>
                <w:noProof/>
              </w:rPr>
              <w:t>Lanthanum</w:t>
            </w:r>
          </w:p>
        </w:tc>
        <w:tc>
          <w:tcPr>
            <w:tcW w:w="550" w:type="pct"/>
            <w:tcBorders>
              <w:top w:val="single" w:sz="4" w:space="0" w:color="auto"/>
            </w:tcBorders>
            <w:shd w:val="clear" w:color="auto" w:fill="auto"/>
            <w:vAlign w:val="center"/>
          </w:tcPr>
          <w:p w14:paraId="3CFAFCC2" w14:textId="77777777" w:rsidR="00C66E18" w:rsidRPr="00972C81" w:rsidRDefault="00C66E18" w:rsidP="0063782B">
            <w:pPr>
              <w:pStyle w:val="Table"/>
              <w:rPr>
                <w:noProof/>
              </w:rPr>
            </w:pPr>
            <w:r w:rsidRPr="00972C81">
              <w:rPr>
                <w:noProof/>
              </w:rPr>
              <w:t>106</w:t>
            </w:r>
          </w:p>
        </w:tc>
        <w:tc>
          <w:tcPr>
            <w:tcW w:w="620" w:type="pct"/>
            <w:tcBorders>
              <w:top w:val="single" w:sz="4" w:space="0" w:color="auto"/>
            </w:tcBorders>
            <w:shd w:val="clear" w:color="auto" w:fill="auto"/>
            <w:vAlign w:val="center"/>
          </w:tcPr>
          <w:p w14:paraId="03BF6C1B" w14:textId="77777777" w:rsidR="00C66E18" w:rsidRPr="00972C81" w:rsidRDefault="00C66E18" w:rsidP="0063782B">
            <w:pPr>
              <w:pStyle w:val="Table"/>
              <w:rPr>
                <w:noProof/>
              </w:rPr>
            </w:pPr>
            <w:r w:rsidRPr="00972C81">
              <w:rPr>
                <w:noProof/>
              </w:rPr>
              <w:t>57</w:t>
            </w:r>
          </w:p>
        </w:tc>
        <w:tc>
          <w:tcPr>
            <w:tcW w:w="568" w:type="pct"/>
            <w:tcBorders>
              <w:top w:val="single" w:sz="4" w:space="0" w:color="auto"/>
            </w:tcBorders>
            <w:shd w:val="clear" w:color="auto" w:fill="auto"/>
            <w:vAlign w:val="center"/>
          </w:tcPr>
          <w:p w14:paraId="61A3022D" w14:textId="77777777" w:rsidR="00C66E18" w:rsidRPr="00972C81" w:rsidRDefault="00C66E18" w:rsidP="0063782B">
            <w:pPr>
              <w:pStyle w:val="Table"/>
              <w:rPr>
                <w:noProof/>
              </w:rPr>
            </w:pPr>
            <w:r w:rsidRPr="00972C81">
              <w:rPr>
                <w:noProof/>
              </w:rPr>
              <w:t>18</w:t>
            </w:r>
          </w:p>
        </w:tc>
        <w:tc>
          <w:tcPr>
            <w:tcW w:w="568" w:type="pct"/>
            <w:tcBorders>
              <w:top w:val="single" w:sz="4" w:space="0" w:color="auto"/>
            </w:tcBorders>
            <w:shd w:val="clear" w:color="auto" w:fill="auto"/>
            <w:vAlign w:val="center"/>
          </w:tcPr>
          <w:p w14:paraId="4597654B" w14:textId="77777777" w:rsidR="00C66E18" w:rsidRPr="00972C81" w:rsidRDefault="00C66E18" w:rsidP="0063782B">
            <w:pPr>
              <w:pStyle w:val="Table"/>
              <w:rPr>
                <w:noProof/>
              </w:rPr>
            </w:pPr>
            <w:r w:rsidRPr="00972C81">
              <w:rPr>
                <w:noProof/>
              </w:rPr>
              <w:t>65</w:t>
            </w:r>
          </w:p>
        </w:tc>
        <w:tc>
          <w:tcPr>
            <w:tcW w:w="568" w:type="pct"/>
            <w:tcBorders>
              <w:top w:val="single" w:sz="4" w:space="0" w:color="auto"/>
            </w:tcBorders>
            <w:shd w:val="clear" w:color="auto" w:fill="auto"/>
            <w:vAlign w:val="center"/>
          </w:tcPr>
          <w:p w14:paraId="5C15CC21" w14:textId="77777777" w:rsidR="00C66E18" w:rsidRPr="00972C81" w:rsidRDefault="00C66E18" w:rsidP="0063782B">
            <w:pPr>
              <w:pStyle w:val="Table"/>
              <w:rPr>
                <w:noProof/>
              </w:rPr>
            </w:pPr>
            <w:r w:rsidRPr="00972C81">
              <w:rPr>
                <w:noProof/>
              </w:rPr>
              <w:t>11</w:t>
            </w:r>
          </w:p>
        </w:tc>
        <w:tc>
          <w:tcPr>
            <w:tcW w:w="568" w:type="pct"/>
            <w:tcBorders>
              <w:top w:val="single" w:sz="4" w:space="0" w:color="auto"/>
            </w:tcBorders>
            <w:shd w:val="clear" w:color="auto" w:fill="auto"/>
            <w:vAlign w:val="center"/>
          </w:tcPr>
          <w:p w14:paraId="4B44FEAE" w14:textId="77777777" w:rsidR="00C66E18" w:rsidRPr="00972C81" w:rsidRDefault="00C66E18" w:rsidP="0063782B">
            <w:pPr>
              <w:pStyle w:val="Table"/>
              <w:rPr>
                <w:noProof/>
              </w:rPr>
            </w:pPr>
            <w:r w:rsidRPr="00972C81">
              <w:rPr>
                <w:noProof/>
              </w:rPr>
              <w:t>3</w:t>
            </w:r>
          </w:p>
        </w:tc>
        <w:tc>
          <w:tcPr>
            <w:tcW w:w="568" w:type="pct"/>
            <w:tcBorders>
              <w:top w:val="single" w:sz="4" w:space="0" w:color="auto"/>
            </w:tcBorders>
            <w:shd w:val="clear" w:color="auto" w:fill="auto"/>
            <w:vAlign w:val="center"/>
          </w:tcPr>
          <w:p w14:paraId="30EB3A3F" w14:textId="77777777" w:rsidR="00C66E18" w:rsidRPr="00972C81" w:rsidRDefault="00C66E18" w:rsidP="0063782B">
            <w:pPr>
              <w:pStyle w:val="Table"/>
              <w:rPr>
                <w:noProof/>
              </w:rPr>
            </w:pPr>
            <w:r w:rsidRPr="00972C81">
              <w:rPr>
                <w:noProof/>
              </w:rPr>
              <w:t>3</w:t>
            </w:r>
          </w:p>
        </w:tc>
      </w:tr>
      <w:tr w:rsidR="00100C52" w:rsidRPr="00972C81" w14:paraId="44F035AA" w14:textId="77777777" w:rsidTr="0063782B">
        <w:trPr>
          <w:trHeight w:val="340"/>
        </w:trPr>
        <w:tc>
          <w:tcPr>
            <w:tcW w:w="989" w:type="pct"/>
            <w:shd w:val="clear" w:color="auto" w:fill="auto"/>
            <w:vAlign w:val="center"/>
          </w:tcPr>
          <w:p w14:paraId="154AF096" w14:textId="77777777" w:rsidR="00C66E18" w:rsidRPr="00972C81" w:rsidRDefault="00C66E18" w:rsidP="0063782B">
            <w:pPr>
              <w:pStyle w:val="Table"/>
              <w:rPr>
                <w:noProof/>
              </w:rPr>
            </w:pPr>
            <w:r w:rsidRPr="00972C81">
              <w:rPr>
                <w:noProof/>
              </w:rPr>
              <w:t>Cerium</w:t>
            </w:r>
          </w:p>
        </w:tc>
        <w:tc>
          <w:tcPr>
            <w:tcW w:w="550" w:type="pct"/>
            <w:shd w:val="clear" w:color="auto" w:fill="auto"/>
            <w:vAlign w:val="center"/>
          </w:tcPr>
          <w:p w14:paraId="76FC7651" w14:textId="77777777" w:rsidR="00C66E18" w:rsidRPr="00972C81" w:rsidRDefault="00C66E18" w:rsidP="0063782B">
            <w:pPr>
              <w:pStyle w:val="Table"/>
              <w:rPr>
                <w:noProof/>
              </w:rPr>
            </w:pPr>
            <w:r w:rsidRPr="00972C81">
              <w:rPr>
                <w:noProof/>
              </w:rPr>
              <w:t>103</w:t>
            </w:r>
          </w:p>
        </w:tc>
        <w:tc>
          <w:tcPr>
            <w:tcW w:w="620" w:type="pct"/>
            <w:shd w:val="clear" w:color="auto" w:fill="auto"/>
            <w:vAlign w:val="center"/>
          </w:tcPr>
          <w:p w14:paraId="4E53FABC" w14:textId="77777777" w:rsidR="00C66E18" w:rsidRPr="00972C81" w:rsidRDefault="00C66E18" w:rsidP="0063782B">
            <w:pPr>
              <w:pStyle w:val="Table"/>
              <w:rPr>
                <w:noProof/>
              </w:rPr>
            </w:pPr>
            <w:r w:rsidRPr="00972C81">
              <w:rPr>
                <w:noProof/>
              </w:rPr>
              <w:t>58</w:t>
            </w:r>
          </w:p>
        </w:tc>
        <w:tc>
          <w:tcPr>
            <w:tcW w:w="568" w:type="pct"/>
            <w:shd w:val="clear" w:color="auto" w:fill="auto"/>
            <w:vAlign w:val="center"/>
          </w:tcPr>
          <w:p w14:paraId="06C6DB23" w14:textId="77777777" w:rsidR="00C66E18" w:rsidRPr="00972C81" w:rsidRDefault="00C66E18" w:rsidP="0063782B">
            <w:pPr>
              <w:pStyle w:val="Table"/>
              <w:rPr>
                <w:noProof/>
              </w:rPr>
            </w:pPr>
            <w:r w:rsidRPr="00972C81">
              <w:rPr>
                <w:noProof/>
              </w:rPr>
              <w:t>28</w:t>
            </w:r>
          </w:p>
        </w:tc>
        <w:tc>
          <w:tcPr>
            <w:tcW w:w="568" w:type="pct"/>
            <w:shd w:val="clear" w:color="auto" w:fill="auto"/>
            <w:vAlign w:val="center"/>
          </w:tcPr>
          <w:p w14:paraId="15D18337" w14:textId="77777777" w:rsidR="00C66E18" w:rsidRPr="00972C81" w:rsidRDefault="00C66E18" w:rsidP="0063782B">
            <w:pPr>
              <w:pStyle w:val="Table"/>
              <w:rPr>
                <w:noProof/>
              </w:rPr>
            </w:pPr>
            <w:r w:rsidRPr="00972C81">
              <w:rPr>
                <w:noProof/>
              </w:rPr>
              <w:t>51</w:t>
            </w:r>
          </w:p>
        </w:tc>
        <w:tc>
          <w:tcPr>
            <w:tcW w:w="568" w:type="pct"/>
            <w:shd w:val="clear" w:color="auto" w:fill="auto"/>
            <w:vAlign w:val="center"/>
          </w:tcPr>
          <w:p w14:paraId="21A3A2FC" w14:textId="77777777" w:rsidR="00C66E18" w:rsidRPr="00972C81" w:rsidRDefault="00C66E18" w:rsidP="0063782B">
            <w:pPr>
              <w:pStyle w:val="Table"/>
              <w:rPr>
                <w:noProof/>
              </w:rPr>
            </w:pPr>
            <w:r w:rsidRPr="00972C81">
              <w:rPr>
                <w:noProof/>
              </w:rPr>
              <w:t>6</w:t>
            </w:r>
          </w:p>
        </w:tc>
        <w:tc>
          <w:tcPr>
            <w:tcW w:w="568" w:type="pct"/>
            <w:shd w:val="clear" w:color="auto" w:fill="auto"/>
            <w:vAlign w:val="center"/>
          </w:tcPr>
          <w:p w14:paraId="1DB05466" w14:textId="77777777" w:rsidR="00C66E18" w:rsidRPr="00972C81" w:rsidRDefault="00C66E18" w:rsidP="0063782B">
            <w:pPr>
              <w:pStyle w:val="Table"/>
              <w:rPr>
                <w:noProof/>
              </w:rPr>
            </w:pPr>
            <w:r w:rsidRPr="00972C81">
              <w:rPr>
                <w:noProof/>
              </w:rPr>
              <w:t>9</w:t>
            </w:r>
          </w:p>
        </w:tc>
        <w:tc>
          <w:tcPr>
            <w:tcW w:w="568" w:type="pct"/>
            <w:shd w:val="clear" w:color="auto" w:fill="auto"/>
            <w:vAlign w:val="center"/>
          </w:tcPr>
          <w:p w14:paraId="10A27F09" w14:textId="77777777" w:rsidR="00C66E18" w:rsidRPr="00972C81" w:rsidRDefault="00C66E18" w:rsidP="0063782B">
            <w:pPr>
              <w:pStyle w:val="Table"/>
              <w:rPr>
                <w:noProof/>
              </w:rPr>
            </w:pPr>
            <w:r w:rsidRPr="00972C81">
              <w:rPr>
                <w:noProof/>
              </w:rPr>
              <w:t>6</w:t>
            </w:r>
          </w:p>
        </w:tc>
      </w:tr>
      <w:tr w:rsidR="00100C52" w:rsidRPr="00972C81" w14:paraId="6808267E" w14:textId="77777777" w:rsidTr="0063782B">
        <w:trPr>
          <w:trHeight w:val="340"/>
        </w:trPr>
        <w:tc>
          <w:tcPr>
            <w:tcW w:w="989" w:type="pct"/>
            <w:shd w:val="clear" w:color="auto" w:fill="auto"/>
            <w:vAlign w:val="center"/>
          </w:tcPr>
          <w:p w14:paraId="4E4799D7" w14:textId="77777777" w:rsidR="00C66E18" w:rsidRPr="00972C81" w:rsidRDefault="00C66E18" w:rsidP="0063782B">
            <w:pPr>
              <w:pStyle w:val="Table"/>
              <w:rPr>
                <w:noProof/>
              </w:rPr>
            </w:pPr>
            <w:r w:rsidRPr="00972C81">
              <w:rPr>
                <w:noProof/>
              </w:rPr>
              <w:t>Praesodymium</w:t>
            </w:r>
          </w:p>
        </w:tc>
        <w:tc>
          <w:tcPr>
            <w:tcW w:w="550" w:type="pct"/>
            <w:shd w:val="clear" w:color="auto" w:fill="auto"/>
            <w:vAlign w:val="center"/>
          </w:tcPr>
          <w:p w14:paraId="2BE5BA34" w14:textId="77777777" w:rsidR="00C66E18" w:rsidRPr="00972C81" w:rsidRDefault="00C66E18" w:rsidP="0063782B">
            <w:pPr>
              <w:pStyle w:val="Table"/>
              <w:rPr>
                <w:noProof/>
              </w:rPr>
            </w:pPr>
            <w:r w:rsidRPr="00972C81">
              <w:rPr>
                <w:noProof/>
              </w:rPr>
              <w:t>101</w:t>
            </w:r>
          </w:p>
        </w:tc>
        <w:tc>
          <w:tcPr>
            <w:tcW w:w="620" w:type="pct"/>
            <w:shd w:val="clear" w:color="auto" w:fill="auto"/>
            <w:vAlign w:val="center"/>
          </w:tcPr>
          <w:p w14:paraId="2725225A" w14:textId="77777777" w:rsidR="00C66E18" w:rsidRPr="00972C81" w:rsidRDefault="00C66E18" w:rsidP="0063782B">
            <w:pPr>
              <w:pStyle w:val="Table"/>
              <w:rPr>
                <w:noProof/>
              </w:rPr>
            </w:pPr>
            <w:r w:rsidRPr="00972C81">
              <w:rPr>
                <w:noProof/>
              </w:rPr>
              <w:t>59</w:t>
            </w:r>
          </w:p>
        </w:tc>
        <w:tc>
          <w:tcPr>
            <w:tcW w:w="568" w:type="pct"/>
            <w:shd w:val="clear" w:color="auto" w:fill="auto"/>
            <w:vAlign w:val="center"/>
          </w:tcPr>
          <w:p w14:paraId="56A398C8" w14:textId="77777777" w:rsidR="00C66E18" w:rsidRPr="00972C81" w:rsidRDefault="00C66E18" w:rsidP="0063782B">
            <w:pPr>
              <w:pStyle w:val="Table"/>
              <w:rPr>
                <w:noProof/>
              </w:rPr>
            </w:pPr>
            <w:r w:rsidRPr="00972C81">
              <w:rPr>
                <w:noProof/>
              </w:rPr>
              <w:t>27</w:t>
            </w:r>
          </w:p>
        </w:tc>
        <w:tc>
          <w:tcPr>
            <w:tcW w:w="568" w:type="pct"/>
            <w:shd w:val="clear" w:color="auto" w:fill="auto"/>
            <w:vAlign w:val="center"/>
          </w:tcPr>
          <w:p w14:paraId="5D291270" w14:textId="77777777" w:rsidR="00C66E18" w:rsidRPr="00972C81" w:rsidRDefault="00C66E18" w:rsidP="0063782B">
            <w:pPr>
              <w:pStyle w:val="Table"/>
              <w:rPr>
                <w:noProof/>
              </w:rPr>
            </w:pPr>
            <w:r w:rsidRPr="00972C81">
              <w:rPr>
                <w:noProof/>
              </w:rPr>
              <w:t>48</w:t>
            </w:r>
          </w:p>
        </w:tc>
        <w:tc>
          <w:tcPr>
            <w:tcW w:w="568" w:type="pct"/>
            <w:shd w:val="clear" w:color="auto" w:fill="auto"/>
            <w:vAlign w:val="center"/>
          </w:tcPr>
          <w:p w14:paraId="0BB52E1B" w14:textId="77777777" w:rsidR="00C66E18" w:rsidRPr="00972C81" w:rsidRDefault="00C66E18" w:rsidP="0063782B">
            <w:pPr>
              <w:pStyle w:val="Table"/>
              <w:rPr>
                <w:noProof/>
              </w:rPr>
            </w:pPr>
            <w:r w:rsidRPr="00972C81">
              <w:rPr>
                <w:noProof/>
              </w:rPr>
              <w:t>9</w:t>
            </w:r>
          </w:p>
        </w:tc>
        <w:tc>
          <w:tcPr>
            <w:tcW w:w="568" w:type="pct"/>
            <w:shd w:val="clear" w:color="auto" w:fill="auto"/>
            <w:vAlign w:val="center"/>
          </w:tcPr>
          <w:p w14:paraId="40B66600" w14:textId="77777777" w:rsidR="00C66E18" w:rsidRPr="00972C81" w:rsidRDefault="00C66E18" w:rsidP="0063782B">
            <w:pPr>
              <w:pStyle w:val="Table"/>
              <w:rPr>
                <w:noProof/>
              </w:rPr>
            </w:pPr>
            <w:r w:rsidRPr="00972C81">
              <w:rPr>
                <w:noProof/>
              </w:rPr>
              <w:t>9</w:t>
            </w:r>
          </w:p>
        </w:tc>
        <w:tc>
          <w:tcPr>
            <w:tcW w:w="568" w:type="pct"/>
            <w:shd w:val="clear" w:color="auto" w:fill="auto"/>
            <w:vAlign w:val="center"/>
          </w:tcPr>
          <w:p w14:paraId="3073DD93" w14:textId="77777777" w:rsidR="00C66E18" w:rsidRPr="00972C81" w:rsidRDefault="00C66E18" w:rsidP="0063782B">
            <w:pPr>
              <w:pStyle w:val="Table"/>
              <w:rPr>
                <w:noProof/>
              </w:rPr>
            </w:pPr>
            <w:r w:rsidRPr="00972C81">
              <w:rPr>
                <w:noProof/>
              </w:rPr>
              <w:t>7</w:t>
            </w:r>
          </w:p>
        </w:tc>
      </w:tr>
      <w:tr w:rsidR="00100C52" w:rsidRPr="00972C81" w14:paraId="0DB23F13" w14:textId="77777777" w:rsidTr="0063782B">
        <w:trPr>
          <w:trHeight w:val="340"/>
        </w:trPr>
        <w:tc>
          <w:tcPr>
            <w:tcW w:w="989" w:type="pct"/>
            <w:shd w:val="clear" w:color="auto" w:fill="auto"/>
            <w:vAlign w:val="center"/>
          </w:tcPr>
          <w:p w14:paraId="1BB9A4AA" w14:textId="77777777" w:rsidR="00C66E18" w:rsidRPr="00972C81" w:rsidRDefault="00C66E18" w:rsidP="0063782B">
            <w:pPr>
              <w:pStyle w:val="Table"/>
              <w:rPr>
                <w:noProof/>
              </w:rPr>
            </w:pPr>
            <w:r w:rsidRPr="00972C81">
              <w:rPr>
                <w:noProof/>
              </w:rPr>
              <w:t>Neodymium</w:t>
            </w:r>
          </w:p>
        </w:tc>
        <w:tc>
          <w:tcPr>
            <w:tcW w:w="550" w:type="pct"/>
            <w:shd w:val="clear" w:color="auto" w:fill="auto"/>
            <w:vAlign w:val="center"/>
          </w:tcPr>
          <w:p w14:paraId="3BEECF05" w14:textId="77777777" w:rsidR="00C66E18" w:rsidRPr="00972C81" w:rsidRDefault="00C66E18" w:rsidP="0063782B">
            <w:pPr>
              <w:pStyle w:val="Table"/>
              <w:rPr>
                <w:noProof/>
              </w:rPr>
            </w:pPr>
            <w:r w:rsidRPr="00972C81">
              <w:rPr>
                <w:noProof/>
              </w:rPr>
              <w:t>100</w:t>
            </w:r>
          </w:p>
        </w:tc>
        <w:tc>
          <w:tcPr>
            <w:tcW w:w="620" w:type="pct"/>
            <w:shd w:val="clear" w:color="auto" w:fill="auto"/>
            <w:vAlign w:val="center"/>
          </w:tcPr>
          <w:p w14:paraId="5388D4AC" w14:textId="77777777" w:rsidR="00C66E18" w:rsidRPr="00972C81" w:rsidRDefault="00C66E18" w:rsidP="0063782B">
            <w:pPr>
              <w:pStyle w:val="Table"/>
              <w:rPr>
                <w:noProof/>
              </w:rPr>
            </w:pPr>
            <w:r w:rsidRPr="00972C81">
              <w:rPr>
                <w:noProof/>
              </w:rPr>
              <w:t>60</w:t>
            </w:r>
          </w:p>
        </w:tc>
        <w:tc>
          <w:tcPr>
            <w:tcW w:w="568" w:type="pct"/>
            <w:shd w:val="clear" w:color="auto" w:fill="auto"/>
            <w:vAlign w:val="center"/>
          </w:tcPr>
          <w:p w14:paraId="4353ACDE" w14:textId="77777777" w:rsidR="00C66E18" w:rsidRPr="00972C81" w:rsidRDefault="00C66E18" w:rsidP="0063782B">
            <w:pPr>
              <w:pStyle w:val="Table"/>
              <w:rPr>
                <w:noProof/>
              </w:rPr>
            </w:pPr>
            <w:r w:rsidRPr="00972C81">
              <w:rPr>
                <w:noProof/>
              </w:rPr>
              <w:t>31</w:t>
            </w:r>
          </w:p>
        </w:tc>
        <w:tc>
          <w:tcPr>
            <w:tcW w:w="568" w:type="pct"/>
            <w:shd w:val="clear" w:color="auto" w:fill="auto"/>
            <w:vAlign w:val="center"/>
          </w:tcPr>
          <w:p w14:paraId="7C1B8714" w14:textId="77777777" w:rsidR="00C66E18" w:rsidRPr="00972C81" w:rsidRDefault="00C66E18" w:rsidP="0063782B">
            <w:pPr>
              <w:pStyle w:val="Table"/>
              <w:rPr>
                <w:noProof/>
              </w:rPr>
            </w:pPr>
            <w:r w:rsidRPr="00972C81">
              <w:rPr>
                <w:noProof/>
              </w:rPr>
              <w:t>27</w:t>
            </w:r>
          </w:p>
        </w:tc>
        <w:tc>
          <w:tcPr>
            <w:tcW w:w="568" w:type="pct"/>
            <w:shd w:val="clear" w:color="auto" w:fill="auto"/>
            <w:vAlign w:val="center"/>
          </w:tcPr>
          <w:p w14:paraId="471A0094" w14:textId="77777777" w:rsidR="00C66E18" w:rsidRPr="00972C81" w:rsidRDefault="00C66E18" w:rsidP="0063782B">
            <w:pPr>
              <w:pStyle w:val="Table"/>
              <w:rPr>
                <w:noProof/>
              </w:rPr>
            </w:pPr>
            <w:r w:rsidRPr="00972C81">
              <w:rPr>
                <w:noProof/>
              </w:rPr>
              <w:t>10</w:t>
            </w:r>
          </w:p>
        </w:tc>
        <w:tc>
          <w:tcPr>
            <w:tcW w:w="568" w:type="pct"/>
            <w:shd w:val="clear" w:color="auto" w:fill="auto"/>
            <w:vAlign w:val="center"/>
          </w:tcPr>
          <w:p w14:paraId="4B950069" w14:textId="77777777" w:rsidR="00C66E18" w:rsidRPr="00972C81" w:rsidRDefault="00C66E18" w:rsidP="0063782B">
            <w:pPr>
              <w:pStyle w:val="Table"/>
              <w:rPr>
                <w:noProof/>
              </w:rPr>
            </w:pPr>
            <w:r w:rsidRPr="00972C81">
              <w:rPr>
                <w:noProof/>
              </w:rPr>
              <w:t>10</w:t>
            </w:r>
          </w:p>
        </w:tc>
        <w:tc>
          <w:tcPr>
            <w:tcW w:w="568" w:type="pct"/>
            <w:shd w:val="clear" w:color="auto" w:fill="auto"/>
            <w:vAlign w:val="center"/>
          </w:tcPr>
          <w:p w14:paraId="2E3DA366" w14:textId="77777777" w:rsidR="00C66E18" w:rsidRPr="00972C81" w:rsidRDefault="00C66E18" w:rsidP="0063782B">
            <w:pPr>
              <w:pStyle w:val="Table"/>
              <w:rPr>
                <w:noProof/>
              </w:rPr>
            </w:pPr>
            <w:r w:rsidRPr="00972C81">
              <w:rPr>
                <w:noProof/>
              </w:rPr>
              <w:t>22</w:t>
            </w:r>
          </w:p>
        </w:tc>
      </w:tr>
      <w:tr w:rsidR="00100C52" w:rsidRPr="00972C81" w14:paraId="63CB3F4B" w14:textId="77777777" w:rsidTr="0063782B">
        <w:trPr>
          <w:trHeight w:val="340"/>
        </w:trPr>
        <w:tc>
          <w:tcPr>
            <w:tcW w:w="989" w:type="pct"/>
            <w:shd w:val="clear" w:color="auto" w:fill="auto"/>
            <w:vAlign w:val="center"/>
          </w:tcPr>
          <w:p w14:paraId="0A2A662A" w14:textId="77777777" w:rsidR="00C66E18" w:rsidRPr="00972C81" w:rsidRDefault="00C66E18" w:rsidP="0063782B">
            <w:pPr>
              <w:pStyle w:val="Table"/>
              <w:rPr>
                <w:noProof/>
              </w:rPr>
            </w:pPr>
            <w:r w:rsidRPr="00972C81">
              <w:rPr>
                <w:noProof/>
              </w:rPr>
              <w:t>Promethium</w:t>
            </w:r>
          </w:p>
        </w:tc>
        <w:tc>
          <w:tcPr>
            <w:tcW w:w="550" w:type="pct"/>
            <w:shd w:val="clear" w:color="auto" w:fill="auto"/>
            <w:vAlign w:val="center"/>
          </w:tcPr>
          <w:p w14:paraId="179E1DD2" w14:textId="77777777" w:rsidR="00C66E18" w:rsidRPr="00972C81" w:rsidRDefault="00C66E18" w:rsidP="0063782B">
            <w:pPr>
              <w:pStyle w:val="Table"/>
              <w:rPr>
                <w:noProof/>
              </w:rPr>
            </w:pPr>
            <w:r w:rsidRPr="00972C81">
              <w:rPr>
                <w:noProof/>
              </w:rPr>
              <w:t>98</w:t>
            </w:r>
          </w:p>
        </w:tc>
        <w:tc>
          <w:tcPr>
            <w:tcW w:w="620" w:type="pct"/>
            <w:shd w:val="clear" w:color="auto" w:fill="auto"/>
            <w:vAlign w:val="center"/>
          </w:tcPr>
          <w:p w14:paraId="27EABC7C" w14:textId="77777777" w:rsidR="00C66E18" w:rsidRPr="00972C81" w:rsidRDefault="00C66E18" w:rsidP="0063782B">
            <w:pPr>
              <w:pStyle w:val="Table"/>
              <w:rPr>
                <w:noProof/>
              </w:rPr>
            </w:pPr>
            <w:r w:rsidRPr="00972C81">
              <w:rPr>
                <w:noProof/>
              </w:rPr>
              <w:t>61</w:t>
            </w:r>
          </w:p>
        </w:tc>
        <w:tc>
          <w:tcPr>
            <w:tcW w:w="568" w:type="pct"/>
            <w:shd w:val="clear" w:color="auto" w:fill="auto"/>
            <w:vAlign w:val="center"/>
          </w:tcPr>
          <w:p w14:paraId="734DA78D" w14:textId="77777777" w:rsidR="00C66E18" w:rsidRPr="00972C81" w:rsidRDefault="00C66E18" w:rsidP="0063782B">
            <w:pPr>
              <w:pStyle w:val="Table"/>
              <w:rPr>
                <w:noProof/>
              </w:rPr>
            </w:pPr>
            <w:r w:rsidRPr="00972C81">
              <w:rPr>
                <w:noProof/>
              </w:rPr>
              <w:t>36</w:t>
            </w:r>
          </w:p>
        </w:tc>
        <w:tc>
          <w:tcPr>
            <w:tcW w:w="568" w:type="pct"/>
            <w:shd w:val="clear" w:color="auto" w:fill="auto"/>
            <w:vAlign w:val="center"/>
          </w:tcPr>
          <w:p w14:paraId="0521C982" w14:textId="77777777" w:rsidR="00C66E18" w:rsidRPr="00972C81" w:rsidRDefault="00C66E18" w:rsidP="0063782B">
            <w:pPr>
              <w:pStyle w:val="Table"/>
              <w:rPr>
                <w:noProof/>
              </w:rPr>
            </w:pPr>
            <w:r w:rsidRPr="00972C81">
              <w:rPr>
                <w:noProof/>
              </w:rPr>
              <w:t>41</w:t>
            </w:r>
          </w:p>
        </w:tc>
        <w:tc>
          <w:tcPr>
            <w:tcW w:w="568" w:type="pct"/>
            <w:shd w:val="clear" w:color="auto" w:fill="auto"/>
            <w:vAlign w:val="center"/>
          </w:tcPr>
          <w:p w14:paraId="7C3C284F" w14:textId="77777777" w:rsidR="00C66E18" w:rsidRPr="00972C81" w:rsidRDefault="00C66E18" w:rsidP="0063782B">
            <w:pPr>
              <w:pStyle w:val="Table"/>
              <w:rPr>
                <w:noProof/>
              </w:rPr>
            </w:pPr>
            <w:r w:rsidRPr="00972C81">
              <w:rPr>
                <w:noProof/>
              </w:rPr>
              <w:t>7</w:t>
            </w:r>
          </w:p>
        </w:tc>
        <w:tc>
          <w:tcPr>
            <w:tcW w:w="568" w:type="pct"/>
            <w:shd w:val="clear" w:color="auto" w:fill="auto"/>
            <w:vAlign w:val="center"/>
          </w:tcPr>
          <w:p w14:paraId="2AE365B9" w14:textId="77777777" w:rsidR="00C66E18" w:rsidRPr="00972C81" w:rsidRDefault="00C66E18" w:rsidP="0063782B">
            <w:pPr>
              <w:pStyle w:val="Table"/>
              <w:rPr>
                <w:noProof/>
              </w:rPr>
            </w:pPr>
            <w:r w:rsidRPr="00972C81">
              <w:rPr>
                <w:noProof/>
              </w:rPr>
              <w:t>6</w:t>
            </w:r>
          </w:p>
        </w:tc>
        <w:tc>
          <w:tcPr>
            <w:tcW w:w="568" w:type="pct"/>
            <w:shd w:val="clear" w:color="auto" w:fill="auto"/>
            <w:vAlign w:val="center"/>
          </w:tcPr>
          <w:p w14:paraId="70C229D2" w14:textId="77777777" w:rsidR="00C66E18" w:rsidRPr="00972C81" w:rsidRDefault="00C66E18" w:rsidP="0063782B">
            <w:pPr>
              <w:pStyle w:val="Table"/>
              <w:rPr>
                <w:noProof/>
              </w:rPr>
            </w:pPr>
            <w:r w:rsidRPr="00972C81">
              <w:rPr>
                <w:noProof/>
              </w:rPr>
              <w:t>10</w:t>
            </w:r>
          </w:p>
        </w:tc>
      </w:tr>
      <w:tr w:rsidR="00100C52" w:rsidRPr="00972C81" w14:paraId="34DC01E3" w14:textId="77777777" w:rsidTr="0063782B">
        <w:trPr>
          <w:trHeight w:val="340"/>
        </w:trPr>
        <w:tc>
          <w:tcPr>
            <w:tcW w:w="989" w:type="pct"/>
            <w:shd w:val="clear" w:color="auto" w:fill="auto"/>
            <w:vAlign w:val="center"/>
          </w:tcPr>
          <w:p w14:paraId="07481091" w14:textId="77777777" w:rsidR="00C66E18" w:rsidRPr="00972C81" w:rsidRDefault="00C66E18" w:rsidP="0063782B">
            <w:pPr>
              <w:pStyle w:val="Table"/>
              <w:rPr>
                <w:noProof/>
              </w:rPr>
            </w:pPr>
            <w:r w:rsidRPr="00972C81">
              <w:rPr>
                <w:noProof/>
              </w:rPr>
              <w:t>Samarium</w:t>
            </w:r>
          </w:p>
        </w:tc>
        <w:tc>
          <w:tcPr>
            <w:tcW w:w="550" w:type="pct"/>
            <w:shd w:val="clear" w:color="auto" w:fill="auto"/>
            <w:vAlign w:val="center"/>
          </w:tcPr>
          <w:p w14:paraId="72B048DD" w14:textId="77777777" w:rsidR="00C66E18" w:rsidRPr="00972C81" w:rsidRDefault="00C66E18" w:rsidP="0063782B">
            <w:pPr>
              <w:pStyle w:val="Table"/>
              <w:rPr>
                <w:noProof/>
              </w:rPr>
            </w:pPr>
            <w:r w:rsidRPr="00972C81">
              <w:rPr>
                <w:noProof/>
              </w:rPr>
              <w:t>96</w:t>
            </w:r>
          </w:p>
        </w:tc>
        <w:tc>
          <w:tcPr>
            <w:tcW w:w="620" w:type="pct"/>
            <w:shd w:val="clear" w:color="auto" w:fill="auto"/>
            <w:vAlign w:val="center"/>
          </w:tcPr>
          <w:p w14:paraId="6FE83D58" w14:textId="77777777" w:rsidR="00C66E18" w:rsidRPr="00972C81" w:rsidRDefault="00C66E18" w:rsidP="0063782B">
            <w:pPr>
              <w:pStyle w:val="Table"/>
              <w:rPr>
                <w:noProof/>
              </w:rPr>
            </w:pPr>
            <w:r w:rsidRPr="00972C81">
              <w:rPr>
                <w:noProof/>
              </w:rPr>
              <w:t>62</w:t>
            </w:r>
          </w:p>
        </w:tc>
        <w:tc>
          <w:tcPr>
            <w:tcW w:w="568" w:type="pct"/>
            <w:shd w:val="clear" w:color="auto" w:fill="auto"/>
            <w:vAlign w:val="center"/>
          </w:tcPr>
          <w:p w14:paraId="3B864AEF" w14:textId="77777777" w:rsidR="00C66E18" w:rsidRPr="00972C81" w:rsidRDefault="00C66E18" w:rsidP="0063782B">
            <w:pPr>
              <w:pStyle w:val="Table"/>
              <w:rPr>
                <w:noProof/>
              </w:rPr>
            </w:pPr>
            <w:r w:rsidRPr="00972C81">
              <w:rPr>
                <w:noProof/>
              </w:rPr>
              <w:t>33</w:t>
            </w:r>
          </w:p>
        </w:tc>
        <w:tc>
          <w:tcPr>
            <w:tcW w:w="568" w:type="pct"/>
            <w:shd w:val="clear" w:color="auto" w:fill="auto"/>
            <w:vAlign w:val="center"/>
          </w:tcPr>
          <w:p w14:paraId="29F5974E" w14:textId="77777777" w:rsidR="00C66E18" w:rsidRPr="00972C81" w:rsidRDefault="00C66E18" w:rsidP="0063782B">
            <w:pPr>
              <w:pStyle w:val="Table"/>
              <w:rPr>
                <w:noProof/>
              </w:rPr>
            </w:pPr>
            <w:r w:rsidRPr="00972C81">
              <w:rPr>
                <w:noProof/>
              </w:rPr>
              <w:t>35</w:t>
            </w:r>
          </w:p>
        </w:tc>
        <w:tc>
          <w:tcPr>
            <w:tcW w:w="568" w:type="pct"/>
            <w:shd w:val="clear" w:color="auto" w:fill="auto"/>
            <w:vAlign w:val="center"/>
          </w:tcPr>
          <w:p w14:paraId="4DBA5511" w14:textId="77777777" w:rsidR="00C66E18" w:rsidRPr="00972C81" w:rsidRDefault="00C66E18" w:rsidP="0063782B">
            <w:pPr>
              <w:pStyle w:val="Table"/>
              <w:rPr>
                <w:noProof/>
              </w:rPr>
            </w:pPr>
            <w:r w:rsidRPr="00972C81">
              <w:rPr>
                <w:noProof/>
              </w:rPr>
              <w:t>6</w:t>
            </w:r>
          </w:p>
        </w:tc>
        <w:tc>
          <w:tcPr>
            <w:tcW w:w="568" w:type="pct"/>
            <w:shd w:val="clear" w:color="auto" w:fill="auto"/>
            <w:vAlign w:val="center"/>
          </w:tcPr>
          <w:p w14:paraId="005E3CD4" w14:textId="77777777" w:rsidR="00C66E18" w:rsidRPr="00972C81" w:rsidRDefault="00C66E18" w:rsidP="0063782B">
            <w:pPr>
              <w:pStyle w:val="Table"/>
              <w:rPr>
                <w:noProof/>
              </w:rPr>
            </w:pPr>
            <w:r w:rsidRPr="00972C81">
              <w:rPr>
                <w:noProof/>
              </w:rPr>
              <w:t>13</w:t>
            </w:r>
          </w:p>
        </w:tc>
        <w:tc>
          <w:tcPr>
            <w:tcW w:w="568" w:type="pct"/>
            <w:shd w:val="clear" w:color="auto" w:fill="auto"/>
            <w:vAlign w:val="center"/>
          </w:tcPr>
          <w:p w14:paraId="3A5047B7" w14:textId="77777777" w:rsidR="00C66E18" w:rsidRPr="00972C81" w:rsidRDefault="00C66E18" w:rsidP="0063782B">
            <w:pPr>
              <w:pStyle w:val="Table"/>
              <w:rPr>
                <w:noProof/>
              </w:rPr>
            </w:pPr>
            <w:r w:rsidRPr="00972C81">
              <w:rPr>
                <w:noProof/>
              </w:rPr>
              <w:t>13</w:t>
            </w:r>
          </w:p>
        </w:tc>
      </w:tr>
      <w:tr w:rsidR="00100C52" w:rsidRPr="00972C81" w14:paraId="0F105953" w14:textId="77777777" w:rsidTr="0063782B">
        <w:trPr>
          <w:trHeight w:val="340"/>
        </w:trPr>
        <w:tc>
          <w:tcPr>
            <w:tcW w:w="989" w:type="pct"/>
            <w:shd w:val="clear" w:color="auto" w:fill="auto"/>
            <w:vAlign w:val="center"/>
          </w:tcPr>
          <w:p w14:paraId="7741317C" w14:textId="77777777" w:rsidR="00C66E18" w:rsidRPr="00972C81" w:rsidRDefault="00C66E18" w:rsidP="0063782B">
            <w:pPr>
              <w:pStyle w:val="Table"/>
              <w:rPr>
                <w:noProof/>
              </w:rPr>
            </w:pPr>
            <w:r w:rsidRPr="00972C81">
              <w:rPr>
                <w:noProof/>
              </w:rPr>
              <w:t>Europium</w:t>
            </w:r>
          </w:p>
        </w:tc>
        <w:tc>
          <w:tcPr>
            <w:tcW w:w="550" w:type="pct"/>
            <w:shd w:val="clear" w:color="auto" w:fill="auto"/>
            <w:vAlign w:val="center"/>
          </w:tcPr>
          <w:p w14:paraId="1B1461F4" w14:textId="77777777" w:rsidR="00C66E18" w:rsidRPr="00972C81" w:rsidRDefault="00C66E18" w:rsidP="0063782B">
            <w:pPr>
              <w:pStyle w:val="Table"/>
              <w:rPr>
                <w:noProof/>
              </w:rPr>
            </w:pPr>
            <w:r w:rsidRPr="00972C81">
              <w:rPr>
                <w:noProof/>
              </w:rPr>
              <w:t>95</w:t>
            </w:r>
          </w:p>
        </w:tc>
        <w:tc>
          <w:tcPr>
            <w:tcW w:w="620" w:type="pct"/>
            <w:shd w:val="clear" w:color="auto" w:fill="auto"/>
            <w:vAlign w:val="center"/>
          </w:tcPr>
          <w:p w14:paraId="77FE8383" w14:textId="77777777" w:rsidR="00C66E18" w:rsidRPr="00972C81" w:rsidRDefault="00C66E18" w:rsidP="0063782B">
            <w:pPr>
              <w:pStyle w:val="Table"/>
              <w:rPr>
                <w:noProof/>
              </w:rPr>
            </w:pPr>
            <w:r w:rsidRPr="00972C81">
              <w:rPr>
                <w:noProof/>
              </w:rPr>
              <w:t>63</w:t>
            </w:r>
          </w:p>
        </w:tc>
        <w:tc>
          <w:tcPr>
            <w:tcW w:w="568" w:type="pct"/>
            <w:shd w:val="clear" w:color="auto" w:fill="auto"/>
            <w:vAlign w:val="center"/>
          </w:tcPr>
          <w:p w14:paraId="7A08296E" w14:textId="77777777" w:rsidR="00C66E18" w:rsidRPr="00972C81" w:rsidRDefault="00C66E18" w:rsidP="0063782B">
            <w:pPr>
              <w:pStyle w:val="Table"/>
              <w:rPr>
                <w:noProof/>
              </w:rPr>
            </w:pPr>
            <w:r w:rsidRPr="00972C81">
              <w:rPr>
                <w:noProof/>
              </w:rPr>
              <w:t>36</w:t>
            </w:r>
          </w:p>
        </w:tc>
        <w:tc>
          <w:tcPr>
            <w:tcW w:w="568" w:type="pct"/>
            <w:shd w:val="clear" w:color="auto" w:fill="auto"/>
            <w:vAlign w:val="center"/>
          </w:tcPr>
          <w:p w14:paraId="262A4FEF" w14:textId="77777777" w:rsidR="00C66E18" w:rsidRPr="00972C81" w:rsidRDefault="00C66E18" w:rsidP="0063782B">
            <w:pPr>
              <w:pStyle w:val="Table"/>
              <w:rPr>
                <w:noProof/>
              </w:rPr>
            </w:pPr>
            <w:r w:rsidRPr="00972C81">
              <w:rPr>
                <w:noProof/>
              </w:rPr>
              <w:t>25</w:t>
            </w:r>
          </w:p>
        </w:tc>
        <w:tc>
          <w:tcPr>
            <w:tcW w:w="568" w:type="pct"/>
            <w:shd w:val="clear" w:color="auto" w:fill="auto"/>
            <w:vAlign w:val="center"/>
          </w:tcPr>
          <w:p w14:paraId="404937C0" w14:textId="77777777" w:rsidR="00C66E18" w:rsidRPr="00972C81" w:rsidRDefault="00C66E18" w:rsidP="0063782B">
            <w:pPr>
              <w:pStyle w:val="Table"/>
              <w:rPr>
                <w:noProof/>
              </w:rPr>
            </w:pPr>
            <w:r w:rsidRPr="00972C81">
              <w:rPr>
                <w:noProof/>
              </w:rPr>
              <w:t>11</w:t>
            </w:r>
          </w:p>
        </w:tc>
        <w:tc>
          <w:tcPr>
            <w:tcW w:w="568" w:type="pct"/>
            <w:shd w:val="clear" w:color="auto" w:fill="auto"/>
            <w:vAlign w:val="center"/>
          </w:tcPr>
          <w:p w14:paraId="53EC95DE" w14:textId="77777777" w:rsidR="00C66E18" w:rsidRPr="00972C81" w:rsidRDefault="00C66E18" w:rsidP="0063782B">
            <w:pPr>
              <w:pStyle w:val="Table"/>
              <w:rPr>
                <w:noProof/>
              </w:rPr>
            </w:pPr>
            <w:r w:rsidRPr="00972C81">
              <w:rPr>
                <w:noProof/>
              </w:rPr>
              <w:t>11</w:t>
            </w:r>
          </w:p>
        </w:tc>
        <w:tc>
          <w:tcPr>
            <w:tcW w:w="568" w:type="pct"/>
            <w:shd w:val="clear" w:color="auto" w:fill="auto"/>
            <w:vAlign w:val="center"/>
          </w:tcPr>
          <w:p w14:paraId="363E4CAD" w14:textId="77777777" w:rsidR="00C66E18" w:rsidRPr="00972C81" w:rsidRDefault="00C66E18" w:rsidP="0063782B">
            <w:pPr>
              <w:pStyle w:val="Table"/>
              <w:rPr>
                <w:noProof/>
              </w:rPr>
            </w:pPr>
            <w:r w:rsidRPr="00972C81">
              <w:rPr>
                <w:noProof/>
              </w:rPr>
              <w:t>17</w:t>
            </w:r>
          </w:p>
        </w:tc>
      </w:tr>
      <w:tr w:rsidR="00100C52" w:rsidRPr="00972C81" w14:paraId="781229F2" w14:textId="77777777" w:rsidTr="0063782B">
        <w:trPr>
          <w:trHeight w:val="340"/>
        </w:trPr>
        <w:tc>
          <w:tcPr>
            <w:tcW w:w="989" w:type="pct"/>
            <w:shd w:val="clear" w:color="auto" w:fill="auto"/>
            <w:vAlign w:val="center"/>
          </w:tcPr>
          <w:p w14:paraId="013F7BC7" w14:textId="77777777" w:rsidR="00C66E18" w:rsidRPr="00972C81" w:rsidRDefault="00C66E18" w:rsidP="0063782B">
            <w:pPr>
              <w:pStyle w:val="Table"/>
              <w:rPr>
                <w:noProof/>
              </w:rPr>
            </w:pPr>
            <w:r w:rsidRPr="00972C81">
              <w:rPr>
                <w:noProof/>
              </w:rPr>
              <w:t>Gadolinium</w:t>
            </w:r>
          </w:p>
        </w:tc>
        <w:tc>
          <w:tcPr>
            <w:tcW w:w="550" w:type="pct"/>
            <w:shd w:val="clear" w:color="auto" w:fill="auto"/>
            <w:vAlign w:val="center"/>
          </w:tcPr>
          <w:p w14:paraId="7B7C44BA" w14:textId="77777777" w:rsidR="00C66E18" w:rsidRPr="00972C81" w:rsidRDefault="00C66E18" w:rsidP="0063782B">
            <w:pPr>
              <w:pStyle w:val="Table"/>
              <w:rPr>
                <w:noProof/>
              </w:rPr>
            </w:pPr>
            <w:r w:rsidRPr="00972C81">
              <w:rPr>
                <w:noProof/>
              </w:rPr>
              <w:t>94</w:t>
            </w:r>
          </w:p>
        </w:tc>
        <w:tc>
          <w:tcPr>
            <w:tcW w:w="620" w:type="pct"/>
            <w:shd w:val="clear" w:color="auto" w:fill="auto"/>
            <w:vAlign w:val="center"/>
          </w:tcPr>
          <w:p w14:paraId="69657FB1" w14:textId="77777777" w:rsidR="00C66E18" w:rsidRPr="00972C81" w:rsidRDefault="00C66E18" w:rsidP="0063782B">
            <w:pPr>
              <w:pStyle w:val="Table"/>
              <w:rPr>
                <w:noProof/>
              </w:rPr>
            </w:pPr>
            <w:r w:rsidRPr="00972C81">
              <w:rPr>
                <w:noProof/>
              </w:rPr>
              <w:t>64</w:t>
            </w:r>
          </w:p>
        </w:tc>
        <w:tc>
          <w:tcPr>
            <w:tcW w:w="568" w:type="pct"/>
            <w:shd w:val="clear" w:color="auto" w:fill="auto"/>
            <w:vAlign w:val="center"/>
          </w:tcPr>
          <w:p w14:paraId="75E092B9" w14:textId="77777777" w:rsidR="00C66E18" w:rsidRPr="00972C81" w:rsidRDefault="00C66E18" w:rsidP="0063782B">
            <w:pPr>
              <w:pStyle w:val="Table"/>
              <w:rPr>
                <w:noProof/>
              </w:rPr>
            </w:pPr>
            <w:r w:rsidRPr="00972C81">
              <w:rPr>
                <w:noProof/>
              </w:rPr>
              <w:t>41</w:t>
            </w:r>
          </w:p>
        </w:tc>
        <w:tc>
          <w:tcPr>
            <w:tcW w:w="568" w:type="pct"/>
            <w:shd w:val="clear" w:color="auto" w:fill="auto"/>
            <w:vAlign w:val="center"/>
          </w:tcPr>
          <w:p w14:paraId="4369B2DA" w14:textId="77777777" w:rsidR="00C66E18" w:rsidRPr="00972C81" w:rsidRDefault="00C66E18" w:rsidP="0063782B">
            <w:pPr>
              <w:pStyle w:val="Table"/>
              <w:rPr>
                <w:noProof/>
              </w:rPr>
            </w:pPr>
            <w:r w:rsidRPr="00972C81">
              <w:rPr>
                <w:noProof/>
              </w:rPr>
              <w:t>12</w:t>
            </w:r>
          </w:p>
        </w:tc>
        <w:tc>
          <w:tcPr>
            <w:tcW w:w="568" w:type="pct"/>
            <w:shd w:val="clear" w:color="auto" w:fill="auto"/>
            <w:vAlign w:val="center"/>
          </w:tcPr>
          <w:p w14:paraId="48FF2166" w14:textId="77777777" w:rsidR="00C66E18" w:rsidRPr="00972C81" w:rsidRDefault="00C66E18" w:rsidP="0063782B">
            <w:pPr>
              <w:pStyle w:val="Table"/>
              <w:rPr>
                <w:noProof/>
              </w:rPr>
            </w:pPr>
            <w:r w:rsidRPr="00972C81">
              <w:rPr>
                <w:noProof/>
              </w:rPr>
              <w:t>10</w:t>
            </w:r>
          </w:p>
        </w:tc>
        <w:tc>
          <w:tcPr>
            <w:tcW w:w="568" w:type="pct"/>
            <w:shd w:val="clear" w:color="auto" w:fill="auto"/>
            <w:vAlign w:val="center"/>
          </w:tcPr>
          <w:p w14:paraId="7EB1157A" w14:textId="77777777" w:rsidR="00C66E18" w:rsidRPr="00972C81" w:rsidRDefault="00C66E18" w:rsidP="0063782B">
            <w:pPr>
              <w:pStyle w:val="Table"/>
              <w:rPr>
                <w:noProof/>
              </w:rPr>
            </w:pPr>
            <w:r w:rsidRPr="00972C81">
              <w:rPr>
                <w:noProof/>
              </w:rPr>
              <w:t>10</w:t>
            </w:r>
          </w:p>
        </w:tc>
        <w:tc>
          <w:tcPr>
            <w:tcW w:w="568" w:type="pct"/>
            <w:shd w:val="clear" w:color="auto" w:fill="auto"/>
            <w:vAlign w:val="center"/>
          </w:tcPr>
          <w:p w14:paraId="6A91D7D6" w14:textId="77777777" w:rsidR="00C66E18" w:rsidRPr="00972C81" w:rsidRDefault="00C66E18" w:rsidP="0063782B">
            <w:pPr>
              <w:pStyle w:val="Table"/>
              <w:rPr>
                <w:noProof/>
              </w:rPr>
            </w:pPr>
            <w:r w:rsidRPr="00972C81">
              <w:rPr>
                <w:noProof/>
              </w:rPr>
              <w:t>27</w:t>
            </w:r>
          </w:p>
        </w:tc>
      </w:tr>
      <w:tr w:rsidR="00100C52" w:rsidRPr="00972C81" w14:paraId="0050C3FB" w14:textId="77777777" w:rsidTr="0063782B">
        <w:trPr>
          <w:trHeight w:val="340"/>
        </w:trPr>
        <w:tc>
          <w:tcPr>
            <w:tcW w:w="989" w:type="pct"/>
            <w:shd w:val="clear" w:color="auto" w:fill="auto"/>
            <w:vAlign w:val="center"/>
          </w:tcPr>
          <w:p w14:paraId="6BE016C2" w14:textId="77777777" w:rsidR="00C66E18" w:rsidRPr="00972C81" w:rsidRDefault="00C66E18" w:rsidP="0063782B">
            <w:pPr>
              <w:pStyle w:val="Table"/>
              <w:rPr>
                <w:noProof/>
              </w:rPr>
            </w:pPr>
            <w:r w:rsidRPr="00972C81">
              <w:rPr>
                <w:noProof/>
              </w:rPr>
              <w:t>Terbium</w:t>
            </w:r>
          </w:p>
        </w:tc>
        <w:tc>
          <w:tcPr>
            <w:tcW w:w="550" w:type="pct"/>
            <w:shd w:val="clear" w:color="auto" w:fill="auto"/>
            <w:vAlign w:val="center"/>
          </w:tcPr>
          <w:p w14:paraId="0ED5F542" w14:textId="77777777" w:rsidR="00C66E18" w:rsidRPr="00972C81" w:rsidRDefault="00C66E18" w:rsidP="0063782B">
            <w:pPr>
              <w:pStyle w:val="Table"/>
              <w:rPr>
                <w:noProof/>
              </w:rPr>
            </w:pPr>
            <w:r w:rsidRPr="00972C81">
              <w:rPr>
                <w:noProof/>
              </w:rPr>
              <w:t>92</w:t>
            </w:r>
          </w:p>
        </w:tc>
        <w:tc>
          <w:tcPr>
            <w:tcW w:w="620" w:type="pct"/>
            <w:shd w:val="clear" w:color="auto" w:fill="auto"/>
            <w:vAlign w:val="center"/>
          </w:tcPr>
          <w:p w14:paraId="412EA44B" w14:textId="77777777" w:rsidR="00C66E18" w:rsidRPr="00972C81" w:rsidRDefault="00C66E18" w:rsidP="0063782B">
            <w:pPr>
              <w:pStyle w:val="Table"/>
              <w:rPr>
                <w:noProof/>
              </w:rPr>
            </w:pPr>
            <w:r w:rsidRPr="00972C81">
              <w:rPr>
                <w:noProof/>
              </w:rPr>
              <w:t>65</w:t>
            </w:r>
          </w:p>
        </w:tc>
        <w:tc>
          <w:tcPr>
            <w:tcW w:w="568" w:type="pct"/>
            <w:shd w:val="clear" w:color="auto" w:fill="auto"/>
            <w:vAlign w:val="center"/>
          </w:tcPr>
          <w:p w14:paraId="35619761" w14:textId="77777777" w:rsidR="00C66E18" w:rsidRPr="00972C81" w:rsidRDefault="00C66E18" w:rsidP="0063782B">
            <w:pPr>
              <w:pStyle w:val="Table"/>
              <w:rPr>
                <w:noProof/>
              </w:rPr>
            </w:pPr>
            <w:r w:rsidRPr="00972C81">
              <w:rPr>
                <w:noProof/>
              </w:rPr>
              <w:t>60</w:t>
            </w:r>
          </w:p>
        </w:tc>
        <w:tc>
          <w:tcPr>
            <w:tcW w:w="568" w:type="pct"/>
            <w:shd w:val="clear" w:color="auto" w:fill="auto"/>
            <w:vAlign w:val="center"/>
          </w:tcPr>
          <w:p w14:paraId="7BF93EAC" w14:textId="77777777" w:rsidR="00C66E18" w:rsidRPr="00972C81" w:rsidRDefault="00C66E18" w:rsidP="0063782B">
            <w:pPr>
              <w:pStyle w:val="Table"/>
              <w:rPr>
                <w:noProof/>
              </w:rPr>
            </w:pPr>
            <w:r w:rsidRPr="00972C81">
              <w:rPr>
                <w:noProof/>
              </w:rPr>
              <w:t>7</w:t>
            </w:r>
          </w:p>
        </w:tc>
        <w:tc>
          <w:tcPr>
            <w:tcW w:w="568" w:type="pct"/>
            <w:shd w:val="clear" w:color="auto" w:fill="auto"/>
            <w:vAlign w:val="center"/>
          </w:tcPr>
          <w:p w14:paraId="23E655E8" w14:textId="77777777" w:rsidR="00C66E18" w:rsidRPr="00972C81" w:rsidRDefault="00C66E18" w:rsidP="0063782B">
            <w:pPr>
              <w:pStyle w:val="Table"/>
              <w:rPr>
                <w:noProof/>
              </w:rPr>
            </w:pPr>
            <w:r w:rsidRPr="00972C81">
              <w:rPr>
                <w:noProof/>
              </w:rPr>
              <w:t>10</w:t>
            </w:r>
          </w:p>
        </w:tc>
        <w:tc>
          <w:tcPr>
            <w:tcW w:w="568" w:type="pct"/>
            <w:shd w:val="clear" w:color="auto" w:fill="auto"/>
            <w:vAlign w:val="center"/>
          </w:tcPr>
          <w:p w14:paraId="567A5DB4" w14:textId="77777777" w:rsidR="00C66E18" w:rsidRPr="00972C81" w:rsidRDefault="00C66E18" w:rsidP="0063782B">
            <w:pPr>
              <w:pStyle w:val="Table"/>
              <w:rPr>
                <w:noProof/>
              </w:rPr>
            </w:pPr>
            <w:r w:rsidRPr="00972C81">
              <w:rPr>
                <w:noProof/>
              </w:rPr>
              <w:t>7</w:t>
            </w:r>
          </w:p>
        </w:tc>
        <w:tc>
          <w:tcPr>
            <w:tcW w:w="568" w:type="pct"/>
            <w:shd w:val="clear" w:color="auto" w:fill="auto"/>
            <w:vAlign w:val="center"/>
          </w:tcPr>
          <w:p w14:paraId="2F69939D" w14:textId="77777777" w:rsidR="00C66E18" w:rsidRPr="00972C81" w:rsidRDefault="00C66E18" w:rsidP="0063782B">
            <w:pPr>
              <w:pStyle w:val="Table"/>
              <w:rPr>
                <w:noProof/>
              </w:rPr>
            </w:pPr>
            <w:r w:rsidRPr="00972C81">
              <w:rPr>
                <w:noProof/>
              </w:rPr>
              <w:t>16</w:t>
            </w:r>
          </w:p>
        </w:tc>
      </w:tr>
      <w:tr w:rsidR="00100C52" w:rsidRPr="00972C81" w14:paraId="31C781FD" w14:textId="77777777" w:rsidTr="0063782B">
        <w:trPr>
          <w:trHeight w:val="340"/>
        </w:trPr>
        <w:tc>
          <w:tcPr>
            <w:tcW w:w="989" w:type="pct"/>
            <w:shd w:val="clear" w:color="auto" w:fill="auto"/>
            <w:vAlign w:val="center"/>
          </w:tcPr>
          <w:p w14:paraId="357B34C6" w14:textId="77777777" w:rsidR="00C66E18" w:rsidRPr="00972C81" w:rsidRDefault="00C66E18" w:rsidP="0063782B">
            <w:pPr>
              <w:pStyle w:val="Table"/>
              <w:rPr>
                <w:noProof/>
              </w:rPr>
            </w:pPr>
            <w:r w:rsidRPr="00972C81">
              <w:rPr>
                <w:noProof/>
              </w:rPr>
              <w:t>Dysprosium</w:t>
            </w:r>
          </w:p>
        </w:tc>
        <w:tc>
          <w:tcPr>
            <w:tcW w:w="550" w:type="pct"/>
            <w:shd w:val="clear" w:color="auto" w:fill="auto"/>
            <w:vAlign w:val="center"/>
          </w:tcPr>
          <w:p w14:paraId="52A4596F" w14:textId="77777777" w:rsidR="00C66E18" w:rsidRPr="00972C81" w:rsidRDefault="00C66E18" w:rsidP="0063782B">
            <w:pPr>
              <w:pStyle w:val="Table"/>
              <w:rPr>
                <w:noProof/>
              </w:rPr>
            </w:pPr>
            <w:r w:rsidRPr="00972C81">
              <w:rPr>
                <w:noProof/>
              </w:rPr>
              <w:t>91</w:t>
            </w:r>
          </w:p>
        </w:tc>
        <w:tc>
          <w:tcPr>
            <w:tcW w:w="620" w:type="pct"/>
            <w:shd w:val="clear" w:color="auto" w:fill="auto"/>
            <w:vAlign w:val="center"/>
          </w:tcPr>
          <w:p w14:paraId="0607E6D2" w14:textId="77777777" w:rsidR="00C66E18" w:rsidRPr="00972C81" w:rsidRDefault="00C66E18" w:rsidP="0063782B">
            <w:pPr>
              <w:pStyle w:val="Table"/>
              <w:rPr>
                <w:noProof/>
              </w:rPr>
            </w:pPr>
            <w:r w:rsidRPr="00972C81">
              <w:rPr>
                <w:noProof/>
              </w:rPr>
              <w:t>66</w:t>
            </w:r>
          </w:p>
        </w:tc>
        <w:tc>
          <w:tcPr>
            <w:tcW w:w="568" w:type="pct"/>
            <w:shd w:val="clear" w:color="auto" w:fill="auto"/>
            <w:vAlign w:val="center"/>
          </w:tcPr>
          <w:p w14:paraId="782EC48D" w14:textId="77777777" w:rsidR="00C66E18" w:rsidRPr="00972C81" w:rsidRDefault="00C66E18" w:rsidP="0063782B">
            <w:pPr>
              <w:pStyle w:val="Table"/>
              <w:rPr>
                <w:noProof/>
              </w:rPr>
            </w:pPr>
            <w:r w:rsidRPr="00972C81">
              <w:rPr>
                <w:noProof/>
              </w:rPr>
              <w:t>60</w:t>
            </w:r>
          </w:p>
        </w:tc>
        <w:tc>
          <w:tcPr>
            <w:tcW w:w="568" w:type="pct"/>
            <w:shd w:val="clear" w:color="auto" w:fill="auto"/>
            <w:vAlign w:val="center"/>
          </w:tcPr>
          <w:p w14:paraId="35375341" w14:textId="77777777" w:rsidR="00C66E18" w:rsidRPr="00972C81" w:rsidRDefault="00C66E18" w:rsidP="0063782B">
            <w:pPr>
              <w:pStyle w:val="Table"/>
              <w:rPr>
                <w:noProof/>
              </w:rPr>
            </w:pPr>
            <w:r w:rsidRPr="00972C81">
              <w:rPr>
                <w:noProof/>
              </w:rPr>
              <w:t>3</w:t>
            </w:r>
          </w:p>
        </w:tc>
        <w:tc>
          <w:tcPr>
            <w:tcW w:w="568" w:type="pct"/>
            <w:shd w:val="clear" w:color="auto" w:fill="auto"/>
            <w:vAlign w:val="center"/>
          </w:tcPr>
          <w:p w14:paraId="2681AC06" w14:textId="77777777" w:rsidR="00C66E18" w:rsidRPr="00972C81" w:rsidRDefault="00C66E18" w:rsidP="0063782B">
            <w:pPr>
              <w:pStyle w:val="Table"/>
              <w:rPr>
                <w:noProof/>
              </w:rPr>
            </w:pPr>
            <w:r w:rsidRPr="00972C81">
              <w:rPr>
                <w:noProof/>
              </w:rPr>
              <w:t>7</w:t>
            </w:r>
          </w:p>
        </w:tc>
        <w:tc>
          <w:tcPr>
            <w:tcW w:w="568" w:type="pct"/>
            <w:shd w:val="clear" w:color="auto" w:fill="auto"/>
            <w:vAlign w:val="center"/>
          </w:tcPr>
          <w:p w14:paraId="57B119A0" w14:textId="77777777" w:rsidR="00C66E18" w:rsidRPr="00972C81" w:rsidRDefault="00C66E18" w:rsidP="0063782B">
            <w:pPr>
              <w:pStyle w:val="Table"/>
              <w:rPr>
                <w:noProof/>
              </w:rPr>
            </w:pPr>
            <w:r w:rsidRPr="00972C81">
              <w:rPr>
                <w:noProof/>
              </w:rPr>
              <w:t>6</w:t>
            </w:r>
          </w:p>
        </w:tc>
        <w:tc>
          <w:tcPr>
            <w:tcW w:w="568" w:type="pct"/>
            <w:shd w:val="clear" w:color="auto" w:fill="auto"/>
            <w:vAlign w:val="center"/>
          </w:tcPr>
          <w:p w14:paraId="4030F8D9" w14:textId="77777777" w:rsidR="00C66E18" w:rsidRPr="00972C81" w:rsidRDefault="00C66E18" w:rsidP="0063782B">
            <w:pPr>
              <w:pStyle w:val="Table"/>
              <w:rPr>
                <w:noProof/>
              </w:rPr>
            </w:pPr>
            <w:r w:rsidRPr="00972C81">
              <w:rPr>
                <w:noProof/>
              </w:rPr>
              <w:t>24</w:t>
            </w:r>
          </w:p>
        </w:tc>
      </w:tr>
      <w:tr w:rsidR="00100C52" w:rsidRPr="00972C81" w14:paraId="78030272" w14:textId="77777777" w:rsidTr="0063782B">
        <w:trPr>
          <w:trHeight w:val="340"/>
        </w:trPr>
        <w:tc>
          <w:tcPr>
            <w:tcW w:w="989" w:type="pct"/>
            <w:shd w:val="clear" w:color="auto" w:fill="auto"/>
            <w:vAlign w:val="center"/>
          </w:tcPr>
          <w:p w14:paraId="4DD282A1" w14:textId="77777777" w:rsidR="00C66E18" w:rsidRPr="00972C81" w:rsidRDefault="00C66E18" w:rsidP="0063782B">
            <w:pPr>
              <w:pStyle w:val="Table"/>
              <w:rPr>
                <w:noProof/>
              </w:rPr>
            </w:pPr>
            <w:r w:rsidRPr="00972C81">
              <w:rPr>
                <w:noProof/>
              </w:rPr>
              <w:t>Holmium</w:t>
            </w:r>
          </w:p>
        </w:tc>
        <w:tc>
          <w:tcPr>
            <w:tcW w:w="550" w:type="pct"/>
            <w:shd w:val="clear" w:color="auto" w:fill="auto"/>
            <w:vAlign w:val="center"/>
          </w:tcPr>
          <w:p w14:paraId="1FEA2B6A" w14:textId="77777777" w:rsidR="00C66E18" w:rsidRPr="00972C81" w:rsidRDefault="00C66E18" w:rsidP="0063782B">
            <w:pPr>
              <w:pStyle w:val="Table"/>
              <w:rPr>
                <w:noProof/>
              </w:rPr>
            </w:pPr>
            <w:r w:rsidRPr="00972C81">
              <w:rPr>
                <w:noProof/>
              </w:rPr>
              <w:t>89</w:t>
            </w:r>
          </w:p>
        </w:tc>
        <w:tc>
          <w:tcPr>
            <w:tcW w:w="620" w:type="pct"/>
            <w:shd w:val="clear" w:color="auto" w:fill="auto"/>
            <w:vAlign w:val="center"/>
          </w:tcPr>
          <w:p w14:paraId="75903B93" w14:textId="77777777" w:rsidR="00C66E18" w:rsidRPr="00972C81" w:rsidRDefault="00C66E18" w:rsidP="0063782B">
            <w:pPr>
              <w:pStyle w:val="Table"/>
              <w:rPr>
                <w:noProof/>
              </w:rPr>
            </w:pPr>
            <w:r w:rsidRPr="00972C81">
              <w:rPr>
                <w:noProof/>
              </w:rPr>
              <w:t>67</w:t>
            </w:r>
          </w:p>
        </w:tc>
        <w:tc>
          <w:tcPr>
            <w:tcW w:w="568" w:type="pct"/>
            <w:shd w:val="clear" w:color="auto" w:fill="auto"/>
            <w:vAlign w:val="center"/>
          </w:tcPr>
          <w:p w14:paraId="394A6DD7" w14:textId="77777777" w:rsidR="00C66E18" w:rsidRPr="00972C81" w:rsidRDefault="00C66E18" w:rsidP="0063782B">
            <w:pPr>
              <w:pStyle w:val="Table"/>
              <w:rPr>
                <w:noProof/>
              </w:rPr>
            </w:pPr>
            <w:r w:rsidRPr="00972C81">
              <w:rPr>
                <w:noProof/>
              </w:rPr>
              <w:t>56</w:t>
            </w:r>
          </w:p>
        </w:tc>
        <w:tc>
          <w:tcPr>
            <w:tcW w:w="568" w:type="pct"/>
            <w:shd w:val="clear" w:color="auto" w:fill="auto"/>
            <w:vAlign w:val="center"/>
          </w:tcPr>
          <w:p w14:paraId="7764991C" w14:textId="77777777" w:rsidR="00C66E18" w:rsidRPr="00972C81" w:rsidRDefault="00C66E18" w:rsidP="0063782B">
            <w:pPr>
              <w:pStyle w:val="Table"/>
              <w:rPr>
                <w:noProof/>
              </w:rPr>
            </w:pPr>
            <w:r w:rsidRPr="00972C81">
              <w:rPr>
                <w:noProof/>
              </w:rPr>
              <w:t>2</w:t>
            </w:r>
          </w:p>
        </w:tc>
        <w:tc>
          <w:tcPr>
            <w:tcW w:w="568" w:type="pct"/>
            <w:shd w:val="clear" w:color="auto" w:fill="auto"/>
            <w:vAlign w:val="center"/>
          </w:tcPr>
          <w:p w14:paraId="6952B65D" w14:textId="77777777" w:rsidR="00C66E18" w:rsidRPr="00972C81" w:rsidRDefault="00C66E18" w:rsidP="0063782B">
            <w:pPr>
              <w:pStyle w:val="Table"/>
              <w:rPr>
                <w:noProof/>
              </w:rPr>
            </w:pPr>
            <w:r w:rsidRPr="00972C81">
              <w:rPr>
                <w:noProof/>
              </w:rPr>
              <w:t>8</w:t>
            </w:r>
          </w:p>
        </w:tc>
        <w:tc>
          <w:tcPr>
            <w:tcW w:w="568" w:type="pct"/>
            <w:shd w:val="clear" w:color="auto" w:fill="auto"/>
            <w:vAlign w:val="center"/>
          </w:tcPr>
          <w:p w14:paraId="252AFCE8" w14:textId="77777777" w:rsidR="00C66E18" w:rsidRPr="00972C81" w:rsidRDefault="00C66E18" w:rsidP="0063782B">
            <w:pPr>
              <w:pStyle w:val="Table"/>
              <w:rPr>
                <w:noProof/>
              </w:rPr>
            </w:pPr>
            <w:r w:rsidRPr="00972C81">
              <w:rPr>
                <w:noProof/>
              </w:rPr>
              <w:t>13</w:t>
            </w:r>
          </w:p>
        </w:tc>
        <w:tc>
          <w:tcPr>
            <w:tcW w:w="568" w:type="pct"/>
            <w:shd w:val="clear" w:color="auto" w:fill="auto"/>
            <w:vAlign w:val="center"/>
          </w:tcPr>
          <w:p w14:paraId="7D351211" w14:textId="77777777" w:rsidR="00C66E18" w:rsidRPr="00972C81" w:rsidRDefault="00C66E18" w:rsidP="0063782B">
            <w:pPr>
              <w:pStyle w:val="Table"/>
              <w:rPr>
                <w:noProof/>
              </w:rPr>
            </w:pPr>
            <w:r w:rsidRPr="00972C81">
              <w:rPr>
                <w:noProof/>
              </w:rPr>
              <w:t>21</w:t>
            </w:r>
          </w:p>
        </w:tc>
      </w:tr>
      <w:tr w:rsidR="00100C52" w:rsidRPr="00972C81" w14:paraId="15DEF64E" w14:textId="77777777" w:rsidTr="0063782B">
        <w:trPr>
          <w:trHeight w:val="340"/>
        </w:trPr>
        <w:tc>
          <w:tcPr>
            <w:tcW w:w="989" w:type="pct"/>
            <w:shd w:val="clear" w:color="auto" w:fill="auto"/>
            <w:vAlign w:val="center"/>
          </w:tcPr>
          <w:p w14:paraId="2681BB63" w14:textId="77777777" w:rsidR="00C66E18" w:rsidRPr="00972C81" w:rsidRDefault="00C66E18" w:rsidP="0063782B">
            <w:pPr>
              <w:pStyle w:val="Table"/>
              <w:rPr>
                <w:noProof/>
              </w:rPr>
            </w:pPr>
            <w:r w:rsidRPr="00972C81">
              <w:rPr>
                <w:noProof/>
              </w:rPr>
              <w:t>Erbium</w:t>
            </w:r>
          </w:p>
        </w:tc>
        <w:tc>
          <w:tcPr>
            <w:tcW w:w="550" w:type="pct"/>
            <w:shd w:val="clear" w:color="auto" w:fill="auto"/>
            <w:vAlign w:val="center"/>
          </w:tcPr>
          <w:p w14:paraId="59FE9510" w14:textId="77777777" w:rsidR="00C66E18" w:rsidRPr="00972C81" w:rsidRDefault="00C66E18" w:rsidP="0063782B">
            <w:pPr>
              <w:pStyle w:val="Table"/>
              <w:rPr>
                <w:noProof/>
              </w:rPr>
            </w:pPr>
            <w:r w:rsidRPr="00972C81">
              <w:rPr>
                <w:noProof/>
              </w:rPr>
              <w:t>88</w:t>
            </w:r>
          </w:p>
        </w:tc>
        <w:tc>
          <w:tcPr>
            <w:tcW w:w="620" w:type="pct"/>
            <w:shd w:val="clear" w:color="auto" w:fill="auto"/>
            <w:vAlign w:val="center"/>
          </w:tcPr>
          <w:p w14:paraId="16A96753" w14:textId="77777777" w:rsidR="00C66E18" w:rsidRPr="00972C81" w:rsidRDefault="00C66E18" w:rsidP="0063782B">
            <w:pPr>
              <w:pStyle w:val="Table"/>
              <w:rPr>
                <w:noProof/>
              </w:rPr>
            </w:pPr>
            <w:r w:rsidRPr="00972C81">
              <w:rPr>
                <w:noProof/>
              </w:rPr>
              <w:t>68</w:t>
            </w:r>
          </w:p>
        </w:tc>
        <w:tc>
          <w:tcPr>
            <w:tcW w:w="568" w:type="pct"/>
            <w:shd w:val="clear" w:color="auto" w:fill="auto"/>
            <w:vAlign w:val="center"/>
          </w:tcPr>
          <w:p w14:paraId="7BED8CD4" w14:textId="77777777" w:rsidR="00C66E18" w:rsidRPr="00972C81" w:rsidRDefault="00C66E18" w:rsidP="0063782B">
            <w:pPr>
              <w:pStyle w:val="Table"/>
              <w:rPr>
                <w:noProof/>
              </w:rPr>
            </w:pPr>
            <w:r w:rsidRPr="00972C81">
              <w:rPr>
                <w:noProof/>
              </w:rPr>
              <w:t>56</w:t>
            </w:r>
          </w:p>
        </w:tc>
        <w:tc>
          <w:tcPr>
            <w:tcW w:w="568" w:type="pct"/>
            <w:shd w:val="clear" w:color="auto" w:fill="auto"/>
            <w:vAlign w:val="center"/>
          </w:tcPr>
          <w:p w14:paraId="63408B43" w14:textId="77777777" w:rsidR="00C66E18" w:rsidRPr="00972C81" w:rsidRDefault="00C66E18" w:rsidP="0063782B">
            <w:pPr>
              <w:pStyle w:val="Table"/>
              <w:rPr>
                <w:noProof/>
              </w:rPr>
            </w:pPr>
            <w:r w:rsidRPr="00972C81">
              <w:rPr>
                <w:noProof/>
              </w:rPr>
              <w:t>1</w:t>
            </w:r>
          </w:p>
        </w:tc>
        <w:tc>
          <w:tcPr>
            <w:tcW w:w="568" w:type="pct"/>
            <w:shd w:val="clear" w:color="auto" w:fill="auto"/>
            <w:vAlign w:val="center"/>
          </w:tcPr>
          <w:p w14:paraId="3E2B78E9" w14:textId="77777777" w:rsidR="00C66E18" w:rsidRPr="00972C81" w:rsidRDefault="00C66E18" w:rsidP="0063782B">
            <w:pPr>
              <w:pStyle w:val="Table"/>
              <w:rPr>
                <w:noProof/>
              </w:rPr>
            </w:pPr>
            <w:r w:rsidRPr="00972C81">
              <w:rPr>
                <w:noProof/>
              </w:rPr>
              <w:t>9</w:t>
            </w:r>
          </w:p>
        </w:tc>
        <w:tc>
          <w:tcPr>
            <w:tcW w:w="568" w:type="pct"/>
            <w:shd w:val="clear" w:color="auto" w:fill="auto"/>
            <w:vAlign w:val="center"/>
          </w:tcPr>
          <w:p w14:paraId="24CA47E1" w14:textId="77777777" w:rsidR="00C66E18" w:rsidRPr="00972C81" w:rsidRDefault="00C66E18" w:rsidP="0063782B">
            <w:pPr>
              <w:pStyle w:val="Table"/>
              <w:rPr>
                <w:noProof/>
              </w:rPr>
            </w:pPr>
            <w:r w:rsidRPr="00972C81">
              <w:rPr>
                <w:noProof/>
              </w:rPr>
              <w:t>7</w:t>
            </w:r>
          </w:p>
        </w:tc>
        <w:tc>
          <w:tcPr>
            <w:tcW w:w="568" w:type="pct"/>
            <w:shd w:val="clear" w:color="auto" w:fill="auto"/>
            <w:vAlign w:val="center"/>
          </w:tcPr>
          <w:p w14:paraId="7F345648" w14:textId="77777777" w:rsidR="00C66E18" w:rsidRPr="00972C81" w:rsidRDefault="00C66E18" w:rsidP="0063782B">
            <w:pPr>
              <w:pStyle w:val="Table"/>
              <w:rPr>
                <w:noProof/>
              </w:rPr>
            </w:pPr>
            <w:r w:rsidRPr="00972C81">
              <w:rPr>
                <w:noProof/>
              </w:rPr>
              <w:t>27</w:t>
            </w:r>
          </w:p>
        </w:tc>
      </w:tr>
      <w:tr w:rsidR="00100C52" w:rsidRPr="00972C81" w14:paraId="24048B07" w14:textId="77777777" w:rsidTr="0063782B">
        <w:trPr>
          <w:trHeight w:val="340"/>
        </w:trPr>
        <w:tc>
          <w:tcPr>
            <w:tcW w:w="989" w:type="pct"/>
            <w:shd w:val="clear" w:color="auto" w:fill="auto"/>
            <w:vAlign w:val="center"/>
          </w:tcPr>
          <w:p w14:paraId="259BC243" w14:textId="77777777" w:rsidR="00C66E18" w:rsidRPr="00972C81" w:rsidRDefault="00C66E18" w:rsidP="0063782B">
            <w:pPr>
              <w:pStyle w:val="Table"/>
              <w:rPr>
                <w:noProof/>
              </w:rPr>
            </w:pPr>
            <w:r w:rsidRPr="00972C81">
              <w:rPr>
                <w:noProof/>
              </w:rPr>
              <w:t>Thulium</w:t>
            </w:r>
          </w:p>
        </w:tc>
        <w:tc>
          <w:tcPr>
            <w:tcW w:w="550" w:type="pct"/>
            <w:shd w:val="clear" w:color="auto" w:fill="auto"/>
            <w:vAlign w:val="center"/>
          </w:tcPr>
          <w:p w14:paraId="63785975" w14:textId="77777777" w:rsidR="00C66E18" w:rsidRPr="00972C81" w:rsidRDefault="00C66E18" w:rsidP="0063782B">
            <w:pPr>
              <w:pStyle w:val="Table"/>
              <w:rPr>
                <w:noProof/>
              </w:rPr>
            </w:pPr>
            <w:r w:rsidRPr="00972C81">
              <w:rPr>
                <w:noProof/>
              </w:rPr>
              <w:t>87</w:t>
            </w:r>
          </w:p>
        </w:tc>
        <w:tc>
          <w:tcPr>
            <w:tcW w:w="620" w:type="pct"/>
            <w:shd w:val="clear" w:color="auto" w:fill="auto"/>
            <w:vAlign w:val="center"/>
          </w:tcPr>
          <w:p w14:paraId="1B0CC488" w14:textId="77777777" w:rsidR="00C66E18" w:rsidRPr="00972C81" w:rsidRDefault="00C66E18" w:rsidP="0063782B">
            <w:pPr>
              <w:pStyle w:val="Table"/>
              <w:rPr>
                <w:noProof/>
              </w:rPr>
            </w:pPr>
            <w:r w:rsidRPr="00972C81">
              <w:rPr>
                <w:noProof/>
              </w:rPr>
              <w:t>69</w:t>
            </w:r>
          </w:p>
        </w:tc>
        <w:tc>
          <w:tcPr>
            <w:tcW w:w="568" w:type="pct"/>
            <w:shd w:val="clear" w:color="auto" w:fill="auto"/>
            <w:vAlign w:val="center"/>
          </w:tcPr>
          <w:p w14:paraId="53DC65E1" w14:textId="77777777" w:rsidR="00C66E18" w:rsidRPr="00972C81" w:rsidRDefault="00C66E18" w:rsidP="0063782B">
            <w:pPr>
              <w:pStyle w:val="Table"/>
              <w:rPr>
                <w:noProof/>
              </w:rPr>
            </w:pPr>
            <w:r w:rsidRPr="00972C81">
              <w:rPr>
                <w:noProof/>
              </w:rPr>
              <w:t>64</w:t>
            </w:r>
          </w:p>
        </w:tc>
        <w:tc>
          <w:tcPr>
            <w:tcW w:w="568" w:type="pct"/>
            <w:shd w:val="clear" w:color="auto" w:fill="auto"/>
            <w:vAlign w:val="center"/>
          </w:tcPr>
          <w:p w14:paraId="493D45B9" w14:textId="77777777" w:rsidR="00C66E18" w:rsidRPr="00972C81" w:rsidRDefault="00C66E18" w:rsidP="0063782B">
            <w:pPr>
              <w:pStyle w:val="Table"/>
              <w:rPr>
                <w:noProof/>
              </w:rPr>
            </w:pPr>
            <w:r w:rsidRPr="00972C81">
              <w:rPr>
                <w:noProof/>
              </w:rPr>
              <w:t>2</w:t>
            </w:r>
          </w:p>
        </w:tc>
        <w:tc>
          <w:tcPr>
            <w:tcW w:w="568" w:type="pct"/>
            <w:shd w:val="clear" w:color="auto" w:fill="auto"/>
            <w:vAlign w:val="center"/>
          </w:tcPr>
          <w:p w14:paraId="4EA8B401" w14:textId="77777777" w:rsidR="00C66E18" w:rsidRPr="00972C81" w:rsidRDefault="00C66E18" w:rsidP="0063782B">
            <w:pPr>
              <w:pStyle w:val="Table"/>
              <w:rPr>
                <w:noProof/>
              </w:rPr>
            </w:pPr>
            <w:r w:rsidRPr="00972C81">
              <w:rPr>
                <w:noProof/>
              </w:rPr>
              <w:t>7</w:t>
            </w:r>
          </w:p>
        </w:tc>
        <w:tc>
          <w:tcPr>
            <w:tcW w:w="568" w:type="pct"/>
            <w:shd w:val="clear" w:color="auto" w:fill="auto"/>
            <w:vAlign w:val="center"/>
          </w:tcPr>
          <w:p w14:paraId="390E767C" w14:textId="77777777" w:rsidR="00C66E18" w:rsidRPr="00972C81" w:rsidRDefault="00C66E18" w:rsidP="0063782B">
            <w:pPr>
              <w:pStyle w:val="Table"/>
              <w:rPr>
                <w:noProof/>
              </w:rPr>
            </w:pPr>
            <w:r w:rsidRPr="00972C81">
              <w:rPr>
                <w:noProof/>
              </w:rPr>
              <w:t>5</w:t>
            </w:r>
          </w:p>
        </w:tc>
        <w:tc>
          <w:tcPr>
            <w:tcW w:w="568" w:type="pct"/>
            <w:shd w:val="clear" w:color="auto" w:fill="auto"/>
            <w:vAlign w:val="center"/>
          </w:tcPr>
          <w:p w14:paraId="7AE45101" w14:textId="77777777" w:rsidR="00C66E18" w:rsidRPr="00972C81" w:rsidRDefault="00C66E18" w:rsidP="0063782B">
            <w:pPr>
              <w:pStyle w:val="Table"/>
              <w:rPr>
                <w:noProof/>
              </w:rPr>
            </w:pPr>
            <w:r w:rsidRPr="00972C81">
              <w:rPr>
                <w:noProof/>
              </w:rPr>
              <w:t>22</w:t>
            </w:r>
          </w:p>
        </w:tc>
      </w:tr>
      <w:tr w:rsidR="00100C52" w:rsidRPr="00972C81" w14:paraId="62AB7902" w14:textId="77777777" w:rsidTr="0063782B">
        <w:trPr>
          <w:trHeight w:val="340"/>
        </w:trPr>
        <w:tc>
          <w:tcPr>
            <w:tcW w:w="989" w:type="pct"/>
            <w:shd w:val="clear" w:color="auto" w:fill="auto"/>
            <w:vAlign w:val="center"/>
          </w:tcPr>
          <w:p w14:paraId="5D56422A" w14:textId="77777777" w:rsidR="00C66E18" w:rsidRPr="00972C81" w:rsidRDefault="00C66E18" w:rsidP="0063782B">
            <w:pPr>
              <w:pStyle w:val="Table"/>
              <w:rPr>
                <w:noProof/>
              </w:rPr>
            </w:pPr>
            <w:r w:rsidRPr="00972C81">
              <w:rPr>
                <w:noProof/>
              </w:rPr>
              <w:t>Ytterbium</w:t>
            </w:r>
          </w:p>
        </w:tc>
        <w:tc>
          <w:tcPr>
            <w:tcW w:w="550" w:type="pct"/>
            <w:shd w:val="clear" w:color="auto" w:fill="auto"/>
            <w:vAlign w:val="center"/>
          </w:tcPr>
          <w:p w14:paraId="51352F0E" w14:textId="77777777" w:rsidR="00C66E18" w:rsidRPr="00972C81" w:rsidRDefault="00C66E18" w:rsidP="0063782B">
            <w:pPr>
              <w:pStyle w:val="Table"/>
              <w:rPr>
                <w:noProof/>
              </w:rPr>
            </w:pPr>
            <w:r w:rsidRPr="00972C81">
              <w:rPr>
                <w:noProof/>
              </w:rPr>
              <w:t>86</w:t>
            </w:r>
          </w:p>
        </w:tc>
        <w:tc>
          <w:tcPr>
            <w:tcW w:w="620" w:type="pct"/>
            <w:shd w:val="clear" w:color="auto" w:fill="auto"/>
            <w:vAlign w:val="center"/>
          </w:tcPr>
          <w:p w14:paraId="005B1836" w14:textId="77777777" w:rsidR="00C66E18" w:rsidRPr="00972C81" w:rsidRDefault="00C66E18" w:rsidP="0063782B">
            <w:pPr>
              <w:pStyle w:val="Table"/>
              <w:rPr>
                <w:noProof/>
              </w:rPr>
            </w:pPr>
            <w:r w:rsidRPr="00972C81">
              <w:rPr>
                <w:noProof/>
              </w:rPr>
              <w:t>70</w:t>
            </w:r>
          </w:p>
        </w:tc>
        <w:tc>
          <w:tcPr>
            <w:tcW w:w="568" w:type="pct"/>
            <w:shd w:val="clear" w:color="auto" w:fill="auto"/>
            <w:vAlign w:val="center"/>
          </w:tcPr>
          <w:p w14:paraId="41BC8737" w14:textId="77777777" w:rsidR="00C66E18" w:rsidRPr="00972C81" w:rsidRDefault="00C66E18" w:rsidP="0063782B">
            <w:pPr>
              <w:pStyle w:val="Table"/>
              <w:rPr>
                <w:noProof/>
              </w:rPr>
            </w:pPr>
            <w:r w:rsidRPr="00972C81">
              <w:rPr>
                <w:noProof/>
              </w:rPr>
              <w:t>58</w:t>
            </w:r>
          </w:p>
        </w:tc>
        <w:tc>
          <w:tcPr>
            <w:tcW w:w="568" w:type="pct"/>
            <w:shd w:val="clear" w:color="auto" w:fill="auto"/>
            <w:vAlign w:val="center"/>
          </w:tcPr>
          <w:p w14:paraId="789C1A47" w14:textId="77777777" w:rsidR="00C66E18" w:rsidRPr="00972C81" w:rsidRDefault="00C66E18" w:rsidP="0063782B">
            <w:pPr>
              <w:pStyle w:val="Table"/>
              <w:rPr>
                <w:noProof/>
              </w:rPr>
            </w:pPr>
            <w:r w:rsidRPr="00972C81">
              <w:rPr>
                <w:noProof/>
              </w:rPr>
              <w:t>3</w:t>
            </w:r>
          </w:p>
        </w:tc>
        <w:tc>
          <w:tcPr>
            <w:tcW w:w="568" w:type="pct"/>
            <w:shd w:val="clear" w:color="auto" w:fill="auto"/>
            <w:vAlign w:val="center"/>
          </w:tcPr>
          <w:p w14:paraId="17A90118" w14:textId="77777777" w:rsidR="00C66E18" w:rsidRPr="00972C81" w:rsidRDefault="00C66E18" w:rsidP="0063782B">
            <w:pPr>
              <w:pStyle w:val="Table"/>
              <w:rPr>
                <w:noProof/>
              </w:rPr>
            </w:pPr>
            <w:r w:rsidRPr="00972C81">
              <w:rPr>
                <w:noProof/>
              </w:rPr>
              <w:t>13</w:t>
            </w:r>
          </w:p>
        </w:tc>
        <w:tc>
          <w:tcPr>
            <w:tcW w:w="568" w:type="pct"/>
            <w:shd w:val="clear" w:color="auto" w:fill="auto"/>
            <w:vAlign w:val="center"/>
          </w:tcPr>
          <w:p w14:paraId="499BAD64" w14:textId="77777777" w:rsidR="00C66E18" w:rsidRPr="00972C81" w:rsidRDefault="00C66E18" w:rsidP="0063782B">
            <w:pPr>
              <w:pStyle w:val="Table"/>
              <w:rPr>
                <w:noProof/>
              </w:rPr>
            </w:pPr>
            <w:r w:rsidRPr="00972C81">
              <w:rPr>
                <w:noProof/>
              </w:rPr>
              <w:t>7</w:t>
            </w:r>
          </w:p>
        </w:tc>
        <w:tc>
          <w:tcPr>
            <w:tcW w:w="568" w:type="pct"/>
            <w:shd w:val="clear" w:color="auto" w:fill="auto"/>
            <w:vAlign w:val="center"/>
          </w:tcPr>
          <w:p w14:paraId="7457AD97" w14:textId="77777777" w:rsidR="00C66E18" w:rsidRPr="00972C81" w:rsidRDefault="00C66E18" w:rsidP="0063782B">
            <w:pPr>
              <w:pStyle w:val="Table"/>
              <w:rPr>
                <w:noProof/>
              </w:rPr>
            </w:pPr>
            <w:r w:rsidRPr="00972C81">
              <w:rPr>
                <w:noProof/>
              </w:rPr>
              <w:t>19</w:t>
            </w:r>
          </w:p>
        </w:tc>
      </w:tr>
      <w:tr w:rsidR="00100C52" w:rsidRPr="00972C81" w14:paraId="6F8E8D24" w14:textId="77777777" w:rsidTr="0063782B">
        <w:trPr>
          <w:trHeight w:val="340"/>
        </w:trPr>
        <w:tc>
          <w:tcPr>
            <w:tcW w:w="989" w:type="pct"/>
            <w:tcBorders>
              <w:bottom w:val="single" w:sz="4" w:space="0" w:color="auto"/>
            </w:tcBorders>
            <w:shd w:val="clear" w:color="auto" w:fill="auto"/>
            <w:vAlign w:val="center"/>
          </w:tcPr>
          <w:p w14:paraId="674E2501" w14:textId="77777777" w:rsidR="00C66E18" w:rsidRPr="00972C81" w:rsidRDefault="00C66E18" w:rsidP="0063782B">
            <w:pPr>
              <w:pStyle w:val="Table"/>
              <w:rPr>
                <w:noProof/>
              </w:rPr>
            </w:pPr>
            <w:r w:rsidRPr="00972C81">
              <w:rPr>
                <w:noProof/>
              </w:rPr>
              <w:t>Lutetium</w:t>
            </w:r>
          </w:p>
        </w:tc>
        <w:tc>
          <w:tcPr>
            <w:tcW w:w="550" w:type="pct"/>
            <w:tcBorders>
              <w:bottom w:val="single" w:sz="4" w:space="0" w:color="auto"/>
            </w:tcBorders>
            <w:shd w:val="clear" w:color="auto" w:fill="auto"/>
            <w:vAlign w:val="center"/>
          </w:tcPr>
          <w:p w14:paraId="3BEE8B0E" w14:textId="77777777" w:rsidR="00C66E18" w:rsidRPr="00972C81" w:rsidRDefault="00C66E18" w:rsidP="0063782B">
            <w:pPr>
              <w:pStyle w:val="Table"/>
              <w:rPr>
                <w:noProof/>
              </w:rPr>
            </w:pPr>
            <w:r w:rsidRPr="00972C81">
              <w:rPr>
                <w:noProof/>
              </w:rPr>
              <w:t>85</w:t>
            </w:r>
          </w:p>
        </w:tc>
        <w:tc>
          <w:tcPr>
            <w:tcW w:w="620" w:type="pct"/>
            <w:tcBorders>
              <w:bottom w:val="single" w:sz="4" w:space="0" w:color="auto"/>
            </w:tcBorders>
            <w:shd w:val="clear" w:color="auto" w:fill="auto"/>
            <w:vAlign w:val="center"/>
          </w:tcPr>
          <w:p w14:paraId="49595CF2" w14:textId="77777777" w:rsidR="00C66E18" w:rsidRPr="00972C81" w:rsidRDefault="00C66E18" w:rsidP="0063782B">
            <w:pPr>
              <w:pStyle w:val="Table"/>
              <w:rPr>
                <w:noProof/>
              </w:rPr>
            </w:pPr>
            <w:r w:rsidRPr="00972C81">
              <w:rPr>
                <w:noProof/>
              </w:rPr>
              <w:t>71</w:t>
            </w:r>
          </w:p>
        </w:tc>
        <w:tc>
          <w:tcPr>
            <w:tcW w:w="568" w:type="pct"/>
            <w:tcBorders>
              <w:bottom w:val="single" w:sz="4" w:space="0" w:color="auto"/>
            </w:tcBorders>
            <w:shd w:val="clear" w:color="auto" w:fill="auto"/>
            <w:vAlign w:val="center"/>
          </w:tcPr>
          <w:p w14:paraId="044F86FC" w14:textId="77777777" w:rsidR="00C66E18" w:rsidRPr="00972C81" w:rsidRDefault="00C66E18" w:rsidP="0063782B">
            <w:pPr>
              <w:pStyle w:val="Table"/>
              <w:rPr>
                <w:noProof/>
              </w:rPr>
            </w:pPr>
            <w:r w:rsidRPr="00972C81">
              <w:rPr>
                <w:noProof/>
              </w:rPr>
              <w:t>68</w:t>
            </w:r>
          </w:p>
        </w:tc>
        <w:tc>
          <w:tcPr>
            <w:tcW w:w="568" w:type="pct"/>
            <w:tcBorders>
              <w:bottom w:val="single" w:sz="4" w:space="0" w:color="auto"/>
            </w:tcBorders>
            <w:shd w:val="clear" w:color="auto" w:fill="auto"/>
            <w:vAlign w:val="center"/>
          </w:tcPr>
          <w:p w14:paraId="79FA2791" w14:textId="77777777" w:rsidR="00C66E18" w:rsidRPr="00972C81" w:rsidRDefault="00C66E18" w:rsidP="0063782B">
            <w:pPr>
              <w:pStyle w:val="Table"/>
              <w:rPr>
                <w:noProof/>
              </w:rPr>
            </w:pPr>
            <w:r w:rsidRPr="00972C81">
              <w:rPr>
                <w:noProof/>
              </w:rPr>
              <w:t>3</w:t>
            </w:r>
          </w:p>
        </w:tc>
        <w:tc>
          <w:tcPr>
            <w:tcW w:w="568" w:type="pct"/>
            <w:tcBorders>
              <w:bottom w:val="single" w:sz="4" w:space="0" w:color="auto"/>
            </w:tcBorders>
            <w:shd w:val="clear" w:color="auto" w:fill="auto"/>
            <w:vAlign w:val="center"/>
          </w:tcPr>
          <w:p w14:paraId="0CCCE475" w14:textId="77777777" w:rsidR="00C66E18" w:rsidRPr="00972C81" w:rsidRDefault="00C66E18" w:rsidP="0063782B">
            <w:pPr>
              <w:pStyle w:val="Table"/>
              <w:rPr>
                <w:noProof/>
              </w:rPr>
            </w:pPr>
            <w:r w:rsidRPr="00972C81">
              <w:rPr>
                <w:noProof/>
              </w:rPr>
              <w:t>4</w:t>
            </w:r>
          </w:p>
        </w:tc>
        <w:tc>
          <w:tcPr>
            <w:tcW w:w="568" w:type="pct"/>
            <w:tcBorders>
              <w:bottom w:val="single" w:sz="4" w:space="0" w:color="auto"/>
            </w:tcBorders>
            <w:shd w:val="clear" w:color="auto" w:fill="auto"/>
            <w:vAlign w:val="center"/>
          </w:tcPr>
          <w:p w14:paraId="2B651CDE" w14:textId="77777777" w:rsidR="00C66E18" w:rsidRPr="00972C81" w:rsidRDefault="00C66E18" w:rsidP="0063782B">
            <w:pPr>
              <w:pStyle w:val="Table"/>
              <w:rPr>
                <w:noProof/>
              </w:rPr>
            </w:pPr>
            <w:r w:rsidRPr="00972C81">
              <w:rPr>
                <w:noProof/>
              </w:rPr>
              <w:t>7</w:t>
            </w:r>
          </w:p>
        </w:tc>
        <w:tc>
          <w:tcPr>
            <w:tcW w:w="568" w:type="pct"/>
            <w:tcBorders>
              <w:bottom w:val="single" w:sz="4" w:space="0" w:color="auto"/>
            </w:tcBorders>
            <w:shd w:val="clear" w:color="auto" w:fill="auto"/>
            <w:vAlign w:val="center"/>
          </w:tcPr>
          <w:p w14:paraId="61114B9C" w14:textId="77777777" w:rsidR="00C66E18" w:rsidRPr="00972C81" w:rsidRDefault="00C66E18" w:rsidP="0063782B">
            <w:pPr>
              <w:pStyle w:val="Table"/>
              <w:rPr>
                <w:noProof/>
              </w:rPr>
            </w:pPr>
            <w:r w:rsidRPr="00972C81">
              <w:rPr>
                <w:noProof/>
              </w:rPr>
              <w:t>16</w:t>
            </w:r>
          </w:p>
        </w:tc>
      </w:tr>
    </w:tbl>
    <w:p w14:paraId="4AC98661" w14:textId="1199AD93" w:rsidR="00C66E18" w:rsidRPr="00972C81" w:rsidRDefault="00C02F08" w:rsidP="00C02F08">
      <w:pPr>
        <w:pStyle w:val="Note"/>
        <w:rPr>
          <w:noProof/>
          <w:szCs w:val="24"/>
        </w:rPr>
      </w:pPr>
      <w:r w:rsidRPr="00972C81">
        <w:rPr>
          <w:noProof/>
          <w:vertAlign w:val="superscript"/>
        </w:rPr>
        <w:t>*</w:t>
      </w:r>
      <w:r w:rsidR="00C66E18" w:rsidRPr="00972C81">
        <w:rPr>
          <w:noProof/>
        </w:rPr>
        <w:t>B</w:t>
      </w:r>
      <w:r w:rsidR="00187593" w:rsidRPr="00972C81">
        <w:rPr>
          <w:noProof/>
        </w:rPr>
        <w:t xml:space="preserve">ased on data reported by Durbin </w:t>
      </w:r>
      <w:r w:rsidR="00983726" w:rsidRPr="00972C81">
        <w:rPr>
          <w:noProof/>
        </w:rPr>
        <w:fldChar w:fldCharType="begin"/>
      </w:r>
      <w:r w:rsidR="00983726" w:rsidRPr="00972C81">
        <w:rPr>
          <w:noProof/>
        </w:rPr>
        <w:instrText xml:space="preserve"> ADDIN ZOTERO_ITEM CSL_CITATION {"citationID":"BE2BQ9lE","properties":{"formattedCitation":"(1959, 1962, 1973)","plainCitation":"(1959, 1962, 1973)","noteIndex":0},"citationItems":[{"id":3923,"uris":["http://zotero.org/groups/2470620/items/WGHAW384"],"itemData":{"id":3923,"type":"article-journal","abstract":"The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family","volume":"2","author":[{"family":"Durbin","given":"P.W."}],"issued":{"date-parts":[["1959"]]}},"label":"page","suppress-author":true},{"id":4754,"uris":["http://zotero.org/groups/2470620/items/D374YBDR"],"itemData":{"id":4754,"type":"article-journal","abstract":"The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label":"page","suppress-author":true},{"id":4804,"uris":["http://zotero.org/groups/2470620/items/8DP7GNID"],"itemData":{"id":4804,"type":"chapter","container-title":"Uranium· Plutonium Transplutonic Elements","event-place":"Berlin","page":"739–896","publisher":"Springer","publisher-place":"Berlin","source":"Google Scholar","title":"Metabolism and biological effects of the transplutonium elements","author":[{"family":"Durbin","given":"Patricia W."}],"editor":[{"family":"Hodge","given":"H.C."},{"family":"Stannard","given":"J.N.J."},{"family":"Hursh","given":"J.B."}],"issued":{"date-parts":[["1973"]]}},"label":"page","suppress-author":true}],"schema":"https://github.com/citation-style-language/schema/raw/master/csl-citation.json"} </w:instrText>
      </w:r>
      <w:r w:rsidR="00983726" w:rsidRPr="00972C81">
        <w:rPr>
          <w:noProof/>
        </w:rPr>
        <w:fldChar w:fldCharType="separate"/>
      </w:r>
      <w:r w:rsidR="00BC59C6" w:rsidRPr="00972C81">
        <w:rPr>
          <w:noProof/>
        </w:rPr>
        <w:t>(1959, 1962, 1973)</w:t>
      </w:r>
      <w:r w:rsidR="00983726" w:rsidRPr="00972C81">
        <w:rPr>
          <w:noProof/>
        </w:rPr>
        <w:fldChar w:fldCharType="end"/>
      </w:r>
      <w:r w:rsidR="00C66E18" w:rsidRPr="00972C81">
        <w:rPr>
          <w:noProof/>
        </w:rPr>
        <w:t>.</w:t>
      </w:r>
    </w:p>
    <w:p w14:paraId="62095699" w14:textId="77777777" w:rsidR="00C66E18" w:rsidRPr="00972C81" w:rsidRDefault="00C66E18" w:rsidP="00E81109">
      <w:pPr>
        <w:pStyle w:val="Annalstext"/>
        <w:numPr>
          <w:ilvl w:val="0"/>
          <w:numId w:val="0"/>
        </w:numPr>
        <w:ind w:left="360"/>
        <w:rPr>
          <w:noProof/>
        </w:rPr>
      </w:pPr>
    </w:p>
    <w:p w14:paraId="2EFDB699" w14:textId="6E67B245" w:rsidR="00C66E18" w:rsidRPr="00972C81" w:rsidRDefault="00C66E18" w:rsidP="001C4A92">
      <w:pPr>
        <w:pStyle w:val="Annalstext"/>
        <w:rPr>
          <w:noProof/>
          <w:lang w:eastAsia="fr-FR"/>
        </w:rPr>
      </w:pPr>
      <w:r w:rsidRPr="00972C81">
        <w:rPr>
          <w:noProof/>
          <w:lang w:eastAsia="fr-FR"/>
        </w:rPr>
        <w:t xml:space="preserve">Buldakov and Burov </w:t>
      </w:r>
      <w:r w:rsidR="00983726" w:rsidRPr="00972C81">
        <w:rPr>
          <w:noProof/>
          <w:lang w:eastAsia="fr-FR"/>
        </w:rPr>
        <w:fldChar w:fldCharType="begin"/>
      </w:r>
      <w:r w:rsidR="00983726" w:rsidRPr="00972C81">
        <w:rPr>
          <w:noProof/>
          <w:lang w:eastAsia="fr-FR"/>
        </w:rPr>
        <w:instrText xml:space="preserve"> ADDIN ZOTERO_ITEM CSL_CITATION {"citationID":"SQ3FOnZw","properties":{"formattedCitation":"(1967)","plainCitation":"(1967)","noteIndex":0},"citationItems":[{"id":4786,"uris":["http://zotero.org/groups/2470620/items/BXVN3EXV"],"itemData":{"id":4786,"type":"article-journal","container-title":"UDC","issue":"577.391","language":"de","page":"127–141","title":"Behavior of 144Ce in sheep of different ages","volume":"578.088.91","author":[{"family":"Buldakov","given":"L.A."},{"family":"Burov","given":"N.I."}],"issued":{"date-parts":[["1967"]]}},"suppress-author":true}],"schema":"https://github.com/citation-style-language/schema/raw/master/csl-citation.json"} </w:instrText>
      </w:r>
      <w:r w:rsidR="00983726" w:rsidRPr="00972C81">
        <w:rPr>
          <w:noProof/>
          <w:lang w:eastAsia="fr-FR"/>
        </w:rPr>
        <w:fldChar w:fldCharType="separate"/>
      </w:r>
      <w:r w:rsidR="00BC59C6" w:rsidRPr="00972C81">
        <w:rPr>
          <w:noProof/>
        </w:rPr>
        <w:t>(1967)</w:t>
      </w:r>
      <w:r w:rsidR="00983726" w:rsidRPr="00972C81">
        <w:rPr>
          <w:noProof/>
          <w:lang w:eastAsia="fr-FR"/>
        </w:rPr>
        <w:fldChar w:fldCharType="end"/>
      </w:r>
      <w:r w:rsidRPr="00972C81">
        <w:rPr>
          <w:noProof/>
          <w:lang w:eastAsia="fr-FR"/>
        </w:rPr>
        <w:t xml:space="preserve"> examined the </w:t>
      </w:r>
      <w:r w:rsidR="00BB503E">
        <w:rPr>
          <w:noProof/>
          <w:lang w:eastAsia="fr-FR"/>
        </w:rPr>
        <w:t>behaviour</w:t>
      </w:r>
      <w:r w:rsidRPr="00972C81">
        <w:rPr>
          <w:noProof/>
          <w:lang w:eastAsia="fr-FR"/>
        </w:rPr>
        <w:t xml:space="preserve"> of </w:t>
      </w:r>
      <w:r w:rsidRPr="00972C81">
        <w:rPr>
          <w:noProof/>
          <w:vertAlign w:val="superscript"/>
          <w:lang w:eastAsia="fr-FR"/>
        </w:rPr>
        <w:t>144</w:t>
      </w:r>
      <w:r w:rsidRPr="00972C81">
        <w:rPr>
          <w:noProof/>
          <w:lang w:eastAsia="fr-FR"/>
        </w:rPr>
        <w:t xml:space="preserve">Ce administered intravenously or orally as the chloride to sheep at different ages. Uptake by the skeleton decreased and uptake by the liver increased with increasing age at administration. Twenty-four hours after intravenous injection, lambs in the first month of life retained on average 59.4% of the injected amount in the skeleton and 14.4% in the liver. Sheep of age 6 months at injection retained 32.2% in the skeleton and 25.5% in the liver. Activity in the skeleton increased up to 16 d post administration in lambs and up to 31 days post administration in adult sheep, due to redistribution from soft tissues. </w:t>
      </w:r>
    </w:p>
    <w:p w14:paraId="40BD4582" w14:textId="136B65EB" w:rsidR="00C66E18" w:rsidRPr="00972C81" w:rsidRDefault="00C66E18" w:rsidP="001C4A92">
      <w:pPr>
        <w:pStyle w:val="Annalstext"/>
        <w:rPr>
          <w:noProof/>
          <w:lang w:eastAsia="fr-FR"/>
        </w:rPr>
      </w:pPr>
      <w:r w:rsidRPr="00972C81">
        <w:rPr>
          <w:noProof/>
          <w:lang w:eastAsia="fr-FR"/>
        </w:rPr>
        <w:t xml:space="preserve">Yorkshire piglets were orally administered </w:t>
      </w:r>
      <w:r w:rsidRPr="00A43CE8">
        <w:rPr>
          <w:noProof/>
          <w:vertAlign w:val="superscript"/>
          <w:lang w:eastAsia="fr-FR"/>
        </w:rPr>
        <w:t>144</w:t>
      </w:r>
      <w:r w:rsidRPr="00972C81">
        <w:rPr>
          <w:noProof/>
          <w:lang w:eastAsia="fr-FR"/>
        </w:rPr>
        <w:t xml:space="preserve">Ce during the first or fourth day after birth </w:t>
      </w:r>
      <w:r w:rsidR="00983726" w:rsidRPr="00972C81">
        <w:rPr>
          <w:noProof/>
          <w:lang w:eastAsia="fr-FR"/>
        </w:rPr>
        <w:fldChar w:fldCharType="begin"/>
      </w:r>
      <w:r w:rsidR="00983726" w:rsidRPr="00972C81">
        <w:rPr>
          <w:noProof/>
          <w:lang w:eastAsia="fr-FR"/>
        </w:rPr>
        <w:instrText xml:space="preserve"> ADDIN ZOTERO_ITEM CSL_CITATION {"citationID":"52Yr4Vsd","properties":{"formattedCitation":"(Mraz and Eisele, 1977)","plainCitation":"(Mraz and Eisele, 1977)","noteIndex":0},"citationItems":[{"id":4781,"uris":["http://zotero.org/groups/2470620/items/532FP2MI"],"itemData":{"id":4781,"type":"article-journal","container-title":"Health Physics","ISSN":"0017-9078","journalAbbreviation":"Health Phys","language":"eng","note":"PMID: 758014","page":"494-495","source":"PubMed","title":"Gastrointestinal absorption and distribution of 144Ce in the suckling pig","volume":"33","author":[{"family":"Mraz","given":"F. R."},{"family":"Eisele","given":"G. R."}],"issued":{"date-parts":[["1977",11]]}}}],"schema":"https://github.com/citation-style-language/schema/raw/master/csl-citation.json"} </w:instrText>
      </w:r>
      <w:r w:rsidR="00983726" w:rsidRPr="00972C81">
        <w:rPr>
          <w:noProof/>
          <w:lang w:eastAsia="fr-FR"/>
        </w:rPr>
        <w:fldChar w:fldCharType="separate"/>
      </w:r>
      <w:r w:rsidR="00BC59C6" w:rsidRPr="00972C81">
        <w:rPr>
          <w:noProof/>
        </w:rPr>
        <w:t>(Mraz and Eisele, 1977)</w:t>
      </w:r>
      <w:r w:rsidR="00983726" w:rsidRPr="00972C81">
        <w:rPr>
          <w:noProof/>
          <w:lang w:eastAsia="fr-FR"/>
        </w:rPr>
        <w:fldChar w:fldCharType="end"/>
      </w:r>
      <w:r w:rsidRPr="00972C81">
        <w:rPr>
          <w:noProof/>
          <w:lang w:eastAsia="fr-FR"/>
        </w:rPr>
        <w:t>. At 4</w:t>
      </w:r>
      <w:r w:rsidR="001C4B86" w:rsidRPr="00972C81">
        <w:rPr>
          <w:noProof/>
        </w:rPr>
        <w:t>–</w:t>
      </w:r>
      <w:r w:rsidRPr="00972C81">
        <w:rPr>
          <w:noProof/>
          <w:lang w:eastAsia="fr-FR"/>
        </w:rPr>
        <w:t>18 d post injection the skeleton of rats dosed on day 1 contained ~91% of the total-body content excluding the gastrointestinal tract and skin. At 3</w:t>
      </w:r>
      <w:r w:rsidR="001C4B86" w:rsidRPr="00972C81">
        <w:rPr>
          <w:noProof/>
        </w:rPr>
        <w:t>–</w:t>
      </w:r>
      <w:r w:rsidRPr="00972C81">
        <w:rPr>
          <w:noProof/>
          <w:lang w:eastAsia="fr-FR"/>
        </w:rPr>
        <w:t xml:space="preserve">21 d the skeleton of rats dosed on day 4 contained ~87% of the total-body content minus GI tract and skin.  </w:t>
      </w:r>
    </w:p>
    <w:p w14:paraId="4D1B15CE" w14:textId="1A319B7A" w:rsidR="00C66E18" w:rsidRPr="00972C81" w:rsidRDefault="00C66E18" w:rsidP="001C4A92">
      <w:pPr>
        <w:pStyle w:val="Annalstext"/>
        <w:rPr>
          <w:noProof/>
          <w:lang w:eastAsia="fr-FR"/>
        </w:rPr>
      </w:pPr>
      <w:r w:rsidRPr="00972C81">
        <w:rPr>
          <w:noProof/>
          <w:lang w:eastAsia="fr-FR"/>
        </w:rPr>
        <w:t xml:space="preserve">Guilmette et al. </w:t>
      </w:r>
      <w:r w:rsidR="00983726" w:rsidRPr="00972C81">
        <w:rPr>
          <w:noProof/>
          <w:lang w:eastAsia="fr-FR"/>
        </w:rPr>
        <w:fldChar w:fldCharType="begin"/>
      </w:r>
      <w:r w:rsidR="00983726" w:rsidRPr="00972C81">
        <w:rPr>
          <w:noProof/>
          <w:lang w:eastAsia="fr-FR"/>
        </w:rPr>
        <w:instrText xml:space="preserve"> ADDIN ZOTERO_ITEM CSL_CITATION {"citationID":"2gJOotPc","properties":{"formattedCitation":"(1987)","plainCitation":"(1987)","noteIndex":0},"citationItems":[{"id":4800,"uris":["http://zotero.org/groups/2470620/items/IS5P8RUG"],"itemData":{"id":4800,"type":"chapter","container-title":"Age-related factors in radionuclide metabolism and dosimetry","edition":"Martinus Nijhoff Publishers","event-place":"Dordrecht","page":"109-120","publisher-place":"Dordrecht","source":"Google Scholar","title":"Age-related effects on the disposition and dosimetry of inhaled 239 Pu or 144 Ce in immature or aged beagle dogs","author":[{"family":"Guilmette","given":"R. A."},{"family":"Boecker","given":"B. B."},{"family":"Muggenburg","given":"B. A."},{"family":"Hahn","given":"F. F."},{"family":"McClellan","given":"R. O."}],"editor":[{"family":"Gerber","given":"G.B."},{"family":"Métivier","given":"H."},{"family":"Smith","given":"H."}],"issued":{"date-parts":[["1987"]]}},"suppress-author":true}],"schema":"https://github.com/citation-style-language/schema/raw/master/csl-citation.json"} </w:instrText>
      </w:r>
      <w:r w:rsidR="00983726" w:rsidRPr="00972C81">
        <w:rPr>
          <w:noProof/>
          <w:lang w:eastAsia="fr-FR"/>
        </w:rPr>
        <w:fldChar w:fldCharType="separate"/>
      </w:r>
      <w:r w:rsidR="00BC59C6" w:rsidRPr="00972C81">
        <w:rPr>
          <w:noProof/>
        </w:rPr>
        <w:t>(1987)</w:t>
      </w:r>
      <w:r w:rsidR="00983726" w:rsidRPr="00972C81">
        <w:rPr>
          <w:noProof/>
          <w:lang w:eastAsia="fr-FR"/>
        </w:rPr>
        <w:fldChar w:fldCharType="end"/>
      </w:r>
      <w:r w:rsidRPr="00972C81">
        <w:rPr>
          <w:noProof/>
          <w:lang w:eastAsia="fr-FR"/>
        </w:rPr>
        <w:t xml:space="preserve"> investigated age-related biokinetics of </w:t>
      </w:r>
      <w:r w:rsidRPr="00972C81">
        <w:rPr>
          <w:noProof/>
          <w:vertAlign w:val="superscript"/>
          <w:lang w:eastAsia="fr-FR"/>
        </w:rPr>
        <w:t>144</w:t>
      </w:r>
      <w:r w:rsidRPr="00972C81">
        <w:rPr>
          <w:noProof/>
          <w:lang w:eastAsia="fr-FR"/>
        </w:rPr>
        <w:t xml:space="preserve">Ce and </w:t>
      </w:r>
      <w:r w:rsidRPr="00972C81">
        <w:rPr>
          <w:noProof/>
          <w:vertAlign w:val="superscript"/>
          <w:lang w:eastAsia="fr-FR"/>
        </w:rPr>
        <w:t>239</w:t>
      </w:r>
      <w:r w:rsidRPr="00972C81">
        <w:rPr>
          <w:noProof/>
          <w:lang w:eastAsia="fr-FR"/>
        </w:rPr>
        <w:t>Pu in immature (age 3 mo), young adult (18 mo), and old (8</w:t>
      </w:r>
      <w:r w:rsidR="001C4B86" w:rsidRPr="00972C81">
        <w:rPr>
          <w:noProof/>
        </w:rPr>
        <w:t>–</w:t>
      </w:r>
      <w:r w:rsidRPr="00972C81">
        <w:rPr>
          <w:noProof/>
          <w:lang w:eastAsia="fr-FR"/>
        </w:rPr>
        <w:t xml:space="preserve">10.5 y) beagle dogs following a single inhalation exposure to an aerosol of </w:t>
      </w:r>
      <w:r w:rsidRPr="00972C81">
        <w:rPr>
          <w:noProof/>
          <w:vertAlign w:val="superscript"/>
          <w:lang w:eastAsia="fr-FR"/>
        </w:rPr>
        <w:t>144</w:t>
      </w:r>
      <w:r w:rsidRPr="00972C81">
        <w:rPr>
          <w:noProof/>
          <w:lang w:eastAsia="fr-FR"/>
        </w:rPr>
        <w:t xml:space="preserve">Ce in a fused aluminosilicate matrix or </w:t>
      </w:r>
      <w:r w:rsidRPr="00972C81">
        <w:rPr>
          <w:noProof/>
          <w:vertAlign w:val="superscript"/>
          <w:lang w:eastAsia="fr-FR"/>
        </w:rPr>
        <w:t>239</w:t>
      </w:r>
      <w:r w:rsidRPr="00972C81">
        <w:rPr>
          <w:noProof/>
          <w:lang w:eastAsia="fr-FR"/>
        </w:rPr>
        <w:t>PuO</w:t>
      </w:r>
      <w:r w:rsidRPr="00972C81">
        <w:rPr>
          <w:noProof/>
          <w:vertAlign w:val="subscript"/>
          <w:lang w:eastAsia="fr-FR"/>
        </w:rPr>
        <w:t>2</w:t>
      </w:r>
      <w:r w:rsidRPr="00972C81">
        <w:rPr>
          <w:noProof/>
          <w:lang w:eastAsia="fr-FR"/>
        </w:rPr>
        <w:t>. The most consistent age-related patterns for both cerium and plutonium were observed in the skeleton. A fivefold greater amount of plutonium and a twofold greater amount of cerium were found in the skeleton of immature animals than old animals. Roughly a 30% higher skeletal deposition was seen in young adults than in old animals for both cerium and plutonium. This is consistent a pattern of change with age observed in a number of bone-seeking elements.</w:t>
      </w:r>
    </w:p>
    <w:p w14:paraId="2C9B6252" w14:textId="45568CEF" w:rsidR="00C66E18" w:rsidRPr="00972C81" w:rsidRDefault="00C66E18" w:rsidP="001C4A92">
      <w:pPr>
        <w:pStyle w:val="Annalstext"/>
        <w:rPr>
          <w:noProof/>
          <w:lang w:eastAsia="fr-FR"/>
        </w:rPr>
      </w:pPr>
      <w:r w:rsidRPr="00972C81">
        <w:rPr>
          <w:noProof/>
          <w:lang w:eastAsia="fr-FR"/>
        </w:rPr>
        <w:t xml:space="preserve">Matusaka et al. </w:t>
      </w:r>
      <w:r w:rsidR="00642501" w:rsidRPr="00972C81">
        <w:rPr>
          <w:noProof/>
          <w:lang w:eastAsia="fr-FR"/>
        </w:rPr>
        <w:fldChar w:fldCharType="begin"/>
      </w:r>
      <w:r w:rsidR="00642501" w:rsidRPr="00972C81">
        <w:rPr>
          <w:noProof/>
          <w:lang w:eastAsia="fr-FR"/>
        </w:rPr>
        <w:instrText xml:space="preserve"> ADDIN ZOTERO_ITEM CSL_CITATION {"citationID":"urwPKT6V","properties":{"formattedCitation":"(1970)","plainCitation":"(1970)","noteIndex":0},"citationItems":[{"id":4807,"uris":["http://zotero.org/groups/2470620/items/QXGU9RSI"],"itemData":{"id":4807,"type":"paper-conference","container-title":"Ninth Annual Biology Symposium","event-place":"Richland, Wash","event-title":"CONF-690501, OSTI 4160727","language":"ga","publisher-place":"Richland, Wash","author":[{"family":"Matsusaka","given":"N."},{"family":"Inaba","given":"J."},{"family":"Ichikawa","given":"R."},{"family":"Ikeda","given":"M."},{"family":"Ohkubo","given":"Y."},{"family":"Mraz","given":"F.R."},{"family":"Eisele","given":"G.R."}],"issued":{"date-parts":[["1970"]]}},"label":"page","suppress-author":true}],"schema":"https://github.com/citation-style-language/schema/raw/master/csl-citation.json"} </w:instrText>
      </w:r>
      <w:r w:rsidR="00642501" w:rsidRPr="00972C81">
        <w:rPr>
          <w:noProof/>
          <w:lang w:eastAsia="fr-FR"/>
        </w:rPr>
        <w:fldChar w:fldCharType="separate"/>
      </w:r>
      <w:r w:rsidR="00BC59C6" w:rsidRPr="00972C81">
        <w:rPr>
          <w:noProof/>
        </w:rPr>
        <w:t>(1970)</w:t>
      </w:r>
      <w:r w:rsidR="00642501" w:rsidRPr="00972C81">
        <w:rPr>
          <w:noProof/>
          <w:lang w:eastAsia="fr-FR"/>
        </w:rPr>
        <w:fldChar w:fldCharType="end"/>
      </w:r>
      <w:r w:rsidRPr="00972C81">
        <w:rPr>
          <w:noProof/>
          <w:lang w:eastAsia="fr-FR"/>
        </w:rPr>
        <w:t xml:space="preserve"> investigated the absorption and distribution of </w:t>
      </w:r>
      <w:r w:rsidRPr="00972C81">
        <w:rPr>
          <w:noProof/>
          <w:vertAlign w:val="superscript"/>
          <w:lang w:eastAsia="fr-FR"/>
        </w:rPr>
        <w:t>144</w:t>
      </w:r>
      <w:r w:rsidRPr="00972C81">
        <w:rPr>
          <w:noProof/>
          <w:lang w:eastAsia="fr-FR"/>
        </w:rPr>
        <w:t>Ce administered via stomach tube to mice of different ages. In newborn mice most of the absorbed activity deposited in the skeleton. The liver contained about 15% of the body burden 21 d after administration.</w:t>
      </w:r>
    </w:p>
    <w:p w14:paraId="081ACEF3" w14:textId="24697402" w:rsidR="00C66E18" w:rsidRPr="00972C81" w:rsidRDefault="00C66E18" w:rsidP="001C4A92">
      <w:pPr>
        <w:pStyle w:val="Annalstext"/>
        <w:rPr>
          <w:noProof/>
          <w:lang w:eastAsia="fr-FR"/>
        </w:rPr>
      </w:pPr>
      <w:r w:rsidRPr="00972C81">
        <w:rPr>
          <w:noProof/>
          <w:lang w:eastAsia="fr-FR"/>
        </w:rPr>
        <w:lastRenderedPageBreak/>
        <w:t xml:space="preserve">Mahlum and Sikov </w:t>
      </w:r>
      <w:r w:rsidR="00642501" w:rsidRPr="00972C81">
        <w:rPr>
          <w:noProof/>
          <w:lang w:eastAsia="fr-FR"/>
        </w:rPr>
        <w:fldChar w:fldCharType="begin"/>
      </w:r>
      <w:r w:rsidR="00642501" w:rsidRPr="00972C81">
        <w:rPr>
          <w:noProof/>
          <w:lang w:eastAsia="fr-FR"/>
        </w:rPr>
        <w:instrText xml:space="preserve"> ADDIN ZOTERO_ITEM CSL_CITATION {"citationID":"OiJdXdLO","properties":{"formattedCitation":"(1968)","plainCitation":"(1968)","noteIndex":0},"citationItems":[{"id":4809,"uris":["http://zotero.org/groups/2470620/items/H3T93BY3"],"itemData":{"id":4809,"type":"article-journal","archive":"Scopus","container-title":"Health Physics","DOI":"10.1097/00004032-196802000-00006","ISSN":"00179078 (ISSN)","issue":"2","journalAbbreviation":"Health Phys.","language":"English","page":"127-129","title":"Distribution of cerium-144 in the fetal and newborn rat","volume":"14","author":[{"family":"Mahlum","given":"D.D."},{"family":"Sikov","given":"M.R."}],"issued":{"date-parts":[["1968"]]}},"label":"page","suppress-author":true}],"schema":"https://github.com/citation-style-language/schema/raw/master/csl-citation.json"} </w:instrText>
      </w:r>
      <w:r w:rsidR="00642501" w:rsidRPr="00972C81">
        <w:rPr>
          <w:noProof/>
          <w:lang w:eastAsia="fr-FR"/>
        </w:rPr>
        <w:fldChar w:fldCharType="separate"/>
      </w:r>
      <w:r w:rsidR="00BC59C6" w:rsidRPr="00972C81">
        <w:rPr>
          <w:noProof/>
        </w:rPr>
        <w:t>(1968)</w:t>
      </w:r>
      <w:r w:rsidR="00642501" w:rsidRPr="00972C81">
        <w:rPr>
          <w:noProof/>
          <w:lang w:eastAsia="fr-FR"/>
        </w:rPr>
        <w:fldChar w:fldCharType="end"/>
      </w:r>
      <w:r w:rsidRPr="00972C81">
        <w:rPr>
          <w:noProof/>
          <w:lang w:eastAsia="fr-FR"/>
        </w:rPr>
        <w:t xml:space="preserve"> administered </w:t>
      </w:r>
      <w:r w:rsidRPr="00972C81">
        <w:rPr>
          <w:noProof/>
          <w:vertAlign w:val="superscript"/>
          <w:lang w:eastAsia="fr-FR"/>
        </w:rPr>
        <w:t>144</w:t>
      </w:r>
      <w:r w:rsidRPr="00972C81">
        <w:rPr>
          <w:noProof/>
          <w:lang w:eastAsia="fr-FR"/>
        </w:rPr>
        <w:t xml:space="preserve">Ce intravenously to pregnant rats and examined the retention and distribution of activity in the mother, fetus, and newborn. A substantially greater fraction of the body burden was present in the skeletons of the fetal and newborn rats than in the mother.   </w:t>
      </w:r>
    </w:p>
    <w:p w14:paraId="47812EAF" w14:textId="77777777" w:rsidR="00C66E18" w:rsidRPr="00972C81" w:rsidRDefault="00C66E18" w:rsidP="006703A2">
      <w:pPr>
        <w:pStyle w:val="OIRTitre4"/>
      </w:pPr>
      <w:r w:rsidRPr="00972C81">
        <w:t>Systemic model</w:t>
      </w:r>
    </w:p>
    <w:p w14:paraId="19758557" w14:textId="0AFFC829" w:rsidR="00C66E18" w:rsidRPr="00972C81" w:rsidRDefault="00C66E18" w:rsidP="001C4A92">
      <w:pPr>
        <w:pStyle w:val="Annalstext"/>
        <w:rPr>
          <w:noProof/>
        </w:rPr>
      </w:pPr>
      <w:r w:rsidRPr="00972C81">
        <w:rPr>
          <w:noProof/>
        </w:rPr>
        <w:t xml:space="preserve">A set of systemic biokinetic models for lanthanide elements in adult humans developed by Taylor and Leggett </w:t>
      </w:r>
      <w:r w:rsidR="00642501" w:rsidRPr="00972C81">
        <w:rPr>
          <w:noProof/>
        </w:rPr>
        <w:fldChar w:fldCharType="begin"/>
      </w:r>
      <w:r w:rsidR="00642501" w:rsidRPr="00972C81">
        <w:rPr>
          <w:noProof/>
        </w:rPr>
        <w:instrText xml:space="preserve"> ADDIN ZOTERO_ITEM CSL_CITATION {"citationID":"c7wDKtTK","properties":{"formattedCitation":"(2003)","plainCitation":"(2003)","noteIndex":0},"citationItems":[{"id":4762,"uris":["http://zotero.org/groups/2470620/items/PDWVFMQH"],"itemData":{"id":4762,"type":"article-journal","abstract":"Information on the biokinetics of the 15 elements of the lanthanide series, 57La to 71Lu, is too sparse to permit individual development of meaningful biokinetic models to describe the behaviour of each of the elements in humans. The lanthanides show a regular gradation in chemical properties across the series, and animal studies indicate that this is reflected in regular differences in their deposition in tissues such as the liver and skeleton. These regular differences in chemical and biological behaviour have been utilised to construct a generic lanthanide biokinetic model and to define element-specific parameters for each element in the series. This report describes the use of the available biokinetic data for humans and animals to derive the parameters for each of the elements.","archive":"Scopus","container-title":"Radiation Protection Dosimetry","DOI":"10.1093/oxfordjournals.rpd.a006222","ISSN":"0144-8420","issue":"1-4","language":"English","page":"193-198","source":"Scopus","title":"A generic biokinetic model for predicting the behaviour of the lanthanide elements in the human body","volume":"105","author":[{"family":"Taylor","given":"D.M."},{"family":"Leggett","given":"R.W."}],"issued":{"date-parts":[["2003"]]}},"label":"page","suppress-author":true}],"schema":"https://github.com/citation-style-language/schema/raw/master/csl-citation.json"} </w:instrText>
      </w:r>
      <w:r w:rsidR="00642501" w:rsidRPr="00972C81">
        <w:rPr>
          <w:noProof/>
        </w:rPr>
        <w:fldChar w:fldCharType="separate"/>
      </w:r>
      <w:r w:rsidR="00BC59C6" w:rsidRPr="00972C81">
        <w:rPr>
          <w:noProof/>
        </w:rPr>
        <w:t>(2003)</w:t>
      </w:r>
      <w:r w:rsidR="00642501" w:rsidRPr="00972C81">
        <w:rPr>
          <w:noProof/>
        </w:rPr>
        <w:fldChar w:fldCharType="end"/>
      </w:r>
      <w:r w:rsidRPr="00972C81">
        <w:rPr>
          <w:noProof/>
        </w:rPr>
        <w:t xml:space="preserve"> were adopted in </w:t>
      </w:r>
      <w:r w:rsidR="00C02F08" w:rsidRPr="00972C81">
        <w:rPr>
          <w:i/>
          <w:noProof/>
        </w:rPr>
        <w:t>Publication 141</w:t>
      </w:r>
      <w:r w:rsidRPr="00972C81">
        <w:rPr>
          <w:noProof/>
        </w:rPr>
        <w:t xml:space="preserve"> for application to workers. A common model structure</w:t>
      </w:r>
      <w:r w:rsidR="00BB7751">
        <w:rPr>
          <w:noProof/>
        </w:rPr>
        <w:t xml:space="preserve"> </w:t>
      </w:r>
      <w:r w:rsidRPr="00972C81">
        <w:rPr>
          <w:noProof/>
        </w:rPr>
        <w:t>was applied to all lanthanides. On the basis of the apparently gradual change in the distribution and excretion of the lanthanides with decreasing ionic radius and a recognition of the uncertainty in interspecies extrapolation of the available biokinetic data, Taylor and Leggett divided the lanthanide elements into five sets of neighboring or individual elements for the purpose of developing set-specific systemic biokinetic models:</w:t>
      </w:r>
    </w:p>
    <w:p w14:paraId="4C891161" w14:textId="77777777" w:rsidR="00C66E18" w:rsidRPr="00972C81" w:rsidRDefault="00C66E18" w:rsidP="001C4A92">
      <w:pPr>
        <w:pStyle w:val="af9"/>
        <w:numPr>
          <w:ilvl w:val="0"/>
          <w:numId w:val="27"/>
        </w:numPr>
        <w:rPr>
          <w:noProof/>
          <w:lang w:val="en-GB"/>
        </w:rPr>
      </w:pPr>
      <w:r w:rsidRPr="00972C81">
        <w:rPr>
          <w:noProof/>
          <w:lang w:val="en-GB"/>
        </w:rPr>
        <w:t>lanthanum, cerium, praseodymium (called the cerium group for expository purposes)</w:t>
      </w:r>
    </w:p>
    <w:p w14:paraId="416C879C" w14:textId="77777777" w:rsidR="00C66E18" w:rsidRPr="00972C81" w:rsidRDefault="00C66E18" w:rsidP="001C4A92">
      <w:pPr>
        <w:pStyle w:val="af9"/>
        <w:numPr>
          <w:ilvl w:val="0"/>
          <w:numId w:val="27"/>
        </w:numPr>
        <w:rPr>
          <w:noProof/>
          <w:lang w:val="en-GB"/>
        </w:rPr>
      </w:pPr>
      <w:r w:rsidRPr="00972C81">
        <w:rPr>
          <w:noProof/>
          <w:lang w:val="en-GB"/>
        </w:rPr>
        <w:t>neodymium, promethium, samarium (promethium group)</w:t>
      </w:r>
    </w:p>
    <w:p w14:paraId="7B9B4F8C" w14:textId="77777777" w:rsidR="00C66E18" w:rsidRPr="00972C81" w:rsidRDefault="00C66E18" w:rsidP="001C4A92">
      <w:pPr>
        <w:pStyle w:val="af9"/>
        <w:numPr>
          <w:ilvl w:val="0"/>
          <w:numId w:val="27"/>
        </w:numPr>
        <w:rPr>
          <w:noProof/>
          <w:lang w:val="en-GB"/>
        </w:rPr>
      </w:pPr>
      <w:r w:rsidRPr="00972C81">
        <w:rPr>
          <w:noProof/>
          <w:lang w:val="en-GB"/>
        </w:rPr>
        <w:t>europium</w:t>
      </w:r>
    </w:p>
    <w:p w14:paraId="1047B2EF" w14:textId="77777777" w:rsidR="00C66E18" w:rsidRPr="00972C81" w:rsidRDefault="00C66E18" w:rsidP="001C4A92">
      <w:pPr>
        <w:pStyle w:val="af9"/>
        <w:numPr>
          <w:ilvl w:val="0"/>
          <w:numId w:val="27"/>
        </w:numPr>
        <w:rPr>
          <w:noProof/>
          <w:lang w:val="en-GB"/>
        </w:rPr>
      </w:pPr>
      <w:r w:rsidRPr="00972C81">
        <w:rPr>
          <w:noProof/>
          <w:lang w:val="en-GB"/>
        </w:rPr>
        <w:t>gadolinium</w:t>
      </w:r>
    </w:p>
    <w:p w14:paraId="29A84514" w14:textId="5D73CB93" w:rsidR="00C66E18" w:rsidRPr="00972C81" w:rsidRDefault="00C66E18" w:rsidP="001C4A92">
      <w:pPr>
        <w:pStyle w:val="af9"/>
        <w:numPr>
          <w:ilvl w:val="0"/>
          <w:numId w:val="27"/>
        </w:numPr>
        <w:rPr>
          <w:noProof/>
          <w:lang w:val="en-GB"/>
        </w:rPr>
      </w:pPr>
      <w:r w:rsidRPr="00972C81">
        <w:rPr>
          <w:noProof/>
          <w:lang w:val="en-GB"/>
        </w:rPr>
        <w:t>terbium, dysprosium, holmium, erbium, thulium, lutetium (holmium group)</w:t>
      </w:r>
      <w:r w:rsidR="00C02F08" w:rsidRPr="00972C81">
        <w:rPr>
          <w:noProof/>
          <w:lang w:val="en-GB"/>
        </w:rPr>
        <w:t>.</w:t>
      </w:r>
    </w:p>
    <w:p w14:paraId="5F6A0556" w14:textId="77777777" w:rsidR="00187747" w:rsidRDefault="00187747" w:rsidP="00C47F2F">
      <w:pPr>
        <w:pStyle w:val="Annalstext"/>
        <w:numPr>
          <w:ilvl w:val="0"/>
          <w:numId w:val="0"/>
        </w:numPr>
        <w:ind w:left="284"/>
        <w:rPr>
          <w:noProof/>
        </w:rPr>
      </w:pPr>
    </w:p>
    <w:p w14:paraId="35207F18" w14:textId="416F21A1" w:rsidR="00C66E18" w:rsidRPr="00972C81" w:rsidRDefault="00C66E18" w:rsidP="001C4A92">
      <w:pPr>
        <w:pStyle w:val="Annalstext"/>
        <w:rPr>
          <w:noProof/>
        </w:rPr>
      </w:pPr>
      <w:r w:rsidRPr="00972C81">
        <w:rPr>
          <w:noProof/>
        </w:rPr>
        <w:t xml:space="preserve">In the development of parameter values, preference was given to data on human subjects, dogs, and swine when available. Because biokinetic data for human subjects or laboratory animals other than rodents were sparse or absent for some lanthanide elements, the development of some generic or set-specific parameter values also relied on the assumption that the general trends in the initial distribution and urinary excretion of the lanthanides observed in rats also hold for man. In contrast to data for rats, human studies of the biokinetics of Pm and Gd in human subjects indicated relatively slow removal loss from the liver. Based on these human data as well as analogy with actinide elements, it was assumed that the lanthanide elements are tenaciously retained in the liver. The model for update and removal by other soft tissues was based on collective data on the lanthanides in laboratory animals, and analogy with the actinide elements. The model for uptake and removal by the gonads was based on analogy with the actinide elements. </w:t>
      </w:r>
    </w:p>
    <w:p w14:paraId="5462D6BC" w14:textId="05A0CFAB" w:rsidR="00C66E18" w:rsidRPr="00972C81" w:rsidRDefault="00C66E18" w:rsidP="001C4A92">
      <w:pPr>
        <w:pStyle w:val="Annalstext"/>
        <w:rPr>
          <w:noProof/>
        </w:rPr>
      </w:pPr>
      <w:r w:rsidRPr="00972C81">
        <w:rPr>
          <w:noProof/>
        </w:rPr>
        <w:t xml:space="preserve">As in </w:t>
      </w:r>
      <w:r w:rsidR="00C02F08" w:rsidRPr="00972C81">
        <w:rPr>
          <w:i/>
          <w:noProof/>
        </w:rPr>
        <w:t>Publication 141</w:t>
      </w:r>
      <w:r w:rsidR="00630456" w:rsidRPr="00972C81">
        <w:rPr>
          <w:noProof/>
        </w:rPr>
        <w:t xml:space="preserve"> </w:t>
      </w:r>
      <w:r w:rsidR="00642501" w:rsidRPr="00972C81">
        <w:rPr>
          <w:noProof/>
        </w:rPr>
        <w:fldChar w:fldCharType="begin"/>
      </w:r>
      <w:r w:rsidR="00642501" w:rsidRPr="00972C81">
        <w:rPr>
          <w:noProof/>
        </w:rPr>
        <w:instrText xml:space="preserve"> ADDIN ZOTERO_ITEM CSL_CITATION {"citationID":"y1H8Kej3","properties":{"formattedCitation":"(ICRP,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642501" w:rsidRPr="00972C81">
        <w:rPr>
          <w:noProof/>
        </w:rPr>
        <w:fldChar w:fldCharType="separate"/>
      </w:r>
      <w:r w:rsidR="00BC59C6" w:rsidRPr="00972C81">
        <w:rPr>
          <w:noProof/>
        </w:rPr>
        <w:t>(ICRP, 2019)</w:t>
      </w:r>
      <w:r w:rsidR="00642501" w:rsidRPr="00972C81">
        <w:rPr>
          <w:noProof/>
        </w:rPr>
        <w:fldChar w:fldCharType="end"/>
      </w:r>
      <w:r w:rsidRPr="00972C81">
        <w:rPr>
          <w:noProof/>
        </w:rPr>
        <w:t>, a single model structure (</w:t>
      </w:r>
      <w:r w:rsidR="00C02F08" w:rsidRPr="00972C81">
        <w:rPr>
          <w:noProof/>
          <w:highlight w:val="yellow"/>
        </w:rPr>
        <w:fldChar w:fldCharType="begin"/>
      </w:r>
      <w:r w:rsidR="00C02F08" w:rsidRPr="00972C81">
        <w:rPr>
          <w:noProof/>
        </w:rPr>
        <w:instrText xml:space="preserve"> REF _Ref141858180 \h </w:instrText>
      </w:r>
      <w:r w:rsidR="00C02F08" w:rsidRPr="00972C81">
        <w:rPr>
          <w:noProof/>
          <w:highlight w:val="yellow"/>
        </w:rPr>
      </w:r>
      <w:r w:rsidR="00C02F08" w:rsidRPr="00972C81">
        <w:rPr>
          <w:noProof/>
          <w:highlight w:val="yellow"/>
        </w:rPr>
        <w:fldChar w:fldCharType="separate"/>
      </w:r>
      <w:r w:rsidR="00A41AD1" w:rsidRPr="00A41AD1">
        <w:rPr>
          <w:noProof/>
          <w:szCs w:val="24"/>
        </w:rPr>
        <w:t xml:space="preserve">Fig </w:t>
      </w:r>
      <w:r w:rsidR="00A41AD1">
        <w:rPr>
          <w:noProof/>
          <w:szCs w:val="24"/>
        </w:rPr>
        <w:t>3</w:t>
      </w:r>
      <w:r w:rsidR="00A41AD1" w:rsidRPr="00A41AD1">
        <w:rPr>
          <w:noProof/>
          <w:szCs w:val="24"/>
        </w:rPr>
        <w:t>.</w:t>
      </w:r>
      <w:r w:rsidR="00A41AD1">
        <w:rPr>
          <w:noProof/>
          <w:szCs w:val="24"/>
        </w:rPr>
        <w:t>1</w:t>
      </w:r>
      <w:r w:rsidR="00C02F08" w:rsidRPr="00972C81">
        <w:rPr>
          <w:noProof/>
          <w:highlight w:val="yellow"/>
        </w:rPr>
        <w:fldChar w:fldCharType="end"/>
      </w:r>
      <w:r w:rsidRPr="00972C81">
        <w:rPr>
          <w:noProof/>
        </w:rPr>
        <w:t>) is applied in this report to all lanthanide elements. Also, the groupings of lanthanide elements used in that report are used here to assign common biokinetic models to subsets of the lanthanide family. For example, all elements in the cerium group are assigned a common set of age-specific parameter values.</w:t>
      </w:r>
    </w:p>
    <w:p w14:paraId="61F99D55" w14:textId="77777777" w:rsidR="00C66E18" w:rsidRDefault="00C66E18" w:rsidP="00134489">
      <w:pPr>
        <w:rPr>
          <w:noProof/>
        </w:rPr>
      </w:pPr>
    </w:p>
    <w:p w14:paraId="4015C28F" w14:textId="7EFF56F4" w:rsidR="00C66E18" w:rsidRPr="00972C81" w:rsidRDefault="00311EBF" w:rsidP="00C66E18">
      <w:pPr>
        <w:jc w:val="center"/>
        <w:rPr>
          <w:rFonts w:ascii="Times Roman" w:hAnsi="Times Roman"/>
          <w:noProof/>
          <w:color w:val="000000" w:themeColor="text1"/>
          <w:szCs w:val="24"/>
        </w:rPr>
      </w:pPr>
      <w:r>
        <w:rPr>
          <w:noProof/>
        </w:rPr>
        <w:lastRenderedPageBreak/>
        <w:drawing>
          <wp:inline distT="0" distB="0" distL="0" distR="0" wp14:anchorId="24B7CC86" wp14:editId="4D232D8B">
            <wp:extent cx="4651513" cy="3581198"/>
            <wp:effectExtent l="0" t="0" r="0" b="63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8"/>
                    <a:stretch>
                      <a:fillRect/>
                    </a:stretch>
                  </pic:blipFill>
                  <pic:spPr>
                    <a:xfrm>
                      <a:off x="0" y="0"/>
                      <a:ext cx="4660719" cy="3588286"/>
                    </a:xfrm>
                    <a:prstGeom prst="rect">
                      <a:avLst/>
                    </a:prstGeom>
                  </pic:spPr>
                </pic:pic>
              </a:graphicData>
            </a:graphic>
          </wp:inline>
        </w:drawing>
      </w:r>
    </w:p>
    <w:p w14:paraId="62C3534B" w14:textId="77777777" w:rsidR="00311EBF" w:rsidRDefault="00C02F08" w:rsidP="00311EBF">
      <w:pPr>
        <w:pStyle w:val="ab"/>
        <w:rPr>
          <w:noProof/>
          <w:sz w:val="24"/>
          <w:szCs w:val="24"/>
        </w:rPr>
      </w:pPr>
      <w:bookmarkStart w:id="62" w:name="_Ref141858180"/>
      <w:r w:rsidRPr="00C47F2F">
        <w:rPr>
          <w:noProof/>
          <w:sz w:val="24"/>
          <w:szCs w:val="24"/>
        </w:rPr>
        <w:t xml:space="preserve">Fig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Pr>
          <w:noProof/>
          <w:sz w:val="24"/>
          <w:szCs w:val="24"/>
        </w:rPr>
        <w:t>3</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Figure \* ARABIC \s 1 </w:instrText>
      </w:r>
      <w:r w:rsidR="00EA3750" w:rsidRPr="00C47F2F">
        <w:rPr>
          <w:noProof/>
          <w:sz w:val="24"/>
          <w:szCs w:val="24"/>
        </w:rPr>
        <w:fldChar w:fldCharType="separate"/>
      </w:r>
      <w:r w:rsidR="00A41AD1">
        <w:rPr>
          <w:noProof/>
          <w:sz w:val="24"/>
          <w:szCs w:val="24"/>
        </w:rPr>
        <w:t>1</w:t>
      </w:r>
      <w:r w:rsidR="00EA3750" w:rsidRPr="00C47F2F">
        <w:rPr>
          <w:noProof/>
          <w:sz w:val="24"/>
          <w:szCs w:val="24"/>
        </w:rPr>
        <w:fldChar w:fldCharType="end"/>
      </w:r>
      <w:bookmarkEnd w:id="62"/>
      <w:r w:rsidRPr="00C47F2F">
        <w:rPr>
          <w:noProof/>
          <w:sz w:val="24"/>
          <w:szCs w:val="24"/>
        </w:rPr>
        <w:t xml:space="preserve">. </w:t>
      </w:r>
      <w:r w:rsidR="00C66E18" w:rsidRPr="00C47F2F">
        <w:rPr>
          <w:noProof/>
          <w:sz w:val="24"/>
          <w:szCs w:val="24"/>
        </w:rPr>
        <w:t>Structure of the systemic biokinetic models for the lanthanide elements.</w:t>
      </w:r>
      <w:r w:rsidR="00311EBF">
        <w:rPr>
          <w:noProof/>
          <w:sz w:val="24"/>
          <w:szCs w:val="24"/>
        </w:rPr>
        <w:t xml:space="preserve"> </w:t>
      </w:r>
    </w:p>
    <w:p w14:paraId="3082C544" w14:textId="56A6F4BD" w:rsidR="00311EBF" w:rsidRPr="00972C81" w:rsidRDefault="00311EBF" w:rsidP="00311EBF">
      <w:pPr>
        <w:pStyle w:val="ab"/>
        <w:rPr>
          <w:noProof/>
        </w:rPr>
      </w:pPr>
      <w:r>
        <w:rPr>
          <w:noProof/>
        </w:rPr>
        <w:t>The compartments ST0, ST1, and ST2 represent relatively fast, intermediate, and relatively slow turnover, respectively, of activity in Other soft tissue. SI =Small intestine, RC = Right colon, LC = Left colon, RS = Rectosigmoid colon.</w:t>
      </w:r>
    </w:p>
    <w:p w14:paraId="1DD5CB62" w14:textId="23D69C71" w:rsidR="00C66E18" w:rsidRPr="00C47F2F" w:rsidRDefault="00C66E18" w:rsidP="00C02F08">
      <w:pPr>
        <w:pStyle w:val="ab"/>
        <w:rPr>
          <w:noProof/>
          <w:sz w:val="24"/>
          <w:szCs w:val="24"/>
        </w:rPr>
      </w:pPr>
    </w:p>
    <w:p w14:paraId="09B79751" w14:textId="77777777" w:rsidR="00311EBF" w:rsidRPr="00972C81" w:rsidRDefault="00311EBF" w:rsidP="00311EBF">
      <w:pPr>
        <w:pStyle w:val="Annalstext"/>
        <w:rPr>
          <w:noProof/>
        </w:rPr>
      </w:pPr>
      <w:bookmarkStart w:id="63" w:name="_Hlk494888406"/>
      <w:r w:rsidRPr="00972C81">
        <w:rPr>
          <w:noProof/>
        </w:rPr>
        <w:t xml:space="preserve">The systemic models applied in </w:t>
      </w:r>
      <w:r w:rsidRPr="00972C81">
        <w:rPr>
          <w:i/>
          <w:noProof/>
        </w:rPr>
        <w:t>Publication 141</w:t>
      </w:r>
      <w:r w:rsidRPr="00972C81">
        <w:rPr>
          <w:noProof/>
        </w:rPr>
        <w:t xml:space="preserve"> to occupational intakes of lanthanides are applied here to a</w:t>
      </w:r>
      <w:r w:rsidRPr="00972C81">
        <w:rPr>
          <w:rStyle w:val="AnnalstextChar"/>
          <w:noProof/>
        </w:rPr>
        <w:t>d</w:t>
      </w:r>
      <w:r w:rsidRPr="00972C81">
        <w:rPr>
          <w:noProof/>
        </w:rPr>
        <w:t xml:space="preserve">ult members of the public. The lanthanide models for adults in </w:t>
      </w:r>
      <w:r w:rsidRPr="00972C81">
        <w:rPr>
          <w:i/>
          <w:noProof/>
        </w:rPr>
        <w:t>Publication 141</w:t>
      </w:r>
      <w:r w:rsidRPr="00972C81">
        <w:rPr>
          <w:noProof/>
        </w:rPr>
        <w:t xml:space="preserve"> all share the following generic parameter values, </w:t>
      </w:r>
      <w:bookmarkStart w:id="64" w:name="_Hlk494888725"/>
      <w:r w:rsidRPr="00972C81">
        <w:rPr>
          <w:noProof/>
        </w:rPr>
        <w:t xml:space="preserve">which are also applied in this report to preadult ages </w:t>
      </w:r>
      <w:r>
        <w:rPr>
          <w:noProof/>
        </w:rPr>
        <w:t>(except that assigned bone turnover rates are age-specific)</w:t>
      </w:r>
      <w:r w:rsidRPr="00972C81">
        <w:rPr>
          <w:noProof/>
        </w:rPr>
        <w:t xml:space="preserve">: </w:t>
      </w:r>
    </w:p>
    <w:bookmarkEnd w:id="63"/>
    <w:bookmarkEnd w:id="64"/>
    <w:p w14:paraId="5B7B79D8" w14:textId="77777777" w:rsidR="00C66E18" w:rsidRPr="00972C81" w:rsidRDefault="00C66E18" w:rsidP="00E81109">
      <w:pPr>
        <w:pStyle w:val="a"/>
        <w:rPr>
          <w:noProof/>
        </w:rPr>
      </w:pPr>
      <w:r w:rsidRPr="00972C81">
        <w:rPr>
          <w:noProof/>
        </w:rPr>
        <w:t xml:space="preserve">Percentage of outflow from blood going to rapid-turnover soft tissue (ST0): 30% </w:t>
      </w:r>
    </w:p>
    <w:p w14:paraId="2AFE290A" w14:textId="77777777" w:rsidR="00C66E18" w:rsidRPr="00972C81" w:rsidRDefault="00C66E18" w:rsidP="00E81109">
      <w:pPr>
        <w:pStyle w:val="a"/>
        <w:rPr>
          <w:noProof/>
        </w:rPr>
      </w:pPr>
      <w:r w:rsidRPr="00972C81">
        <w:rPr>
          <w:noProof/>
        </w:rPr>
        <w:t>Deposition fractions (applied to activity “leaving the circulation”, i.e., activity other than that deposited in the fast-turnover soft tissue compartment ST0):</w:t>
      </w:r>
    </w:p>
    <w:p w14:paraId="737928BD" w14:textId="77777777" w:rsidR="00C66E18" w:rsidRPr="00972C81" w:rsidRDefault="00C66E18" w:rsidP="00E81109">
      <w:pPr>
        <w:pStyle w:val="23"/>
        <w:rPr>
          <w:noProof/>
        </w:rPr>
      </w:pPr>
      <w:r w:rsidRPr="00972C81">
        <w:rPr>
          <w:noProof/>
        </w:rPr>
        <w:t>Kidneys 1: 1.5% (i.e., 0.015 × 70% of outflow from blood)</w:t>
      </w:r>
    </w:p>
    <w:p w14:paraId="0A1CDF23" w14:textId="77777777" w:rsidR="00C66E18" w:rsidRPr="00972C81" w:rsidRDefault="00C66E18" w:rsidP="00E81109">
      <w:pPr>
        <w:pStyle w:val="23"/>
        <w:rPr>
          <w:noProof/>
        </w:rPr>
      </w:pPr>
      <w:r w:rsidRPr="00972C81">
        <w:rPr>
          <w:noProof/>
        </w:rPr>
        <w:t>Kidneys 2: 0.5%</w:t>
      </w:r>
    </w:p>
    <w:p w14:paraId="10A8FA97" w14:textId="77777777" w:rsidR="00C66E18" w:rsidRPr="00972C81" w:rsidRDefault="00C66E18" w:rsidP="00E81109">
      <w:pPr>
        <w:pStyle w:val="23"/>
        <w:rPr>
          <w:noProof/>
        </w:rPr>
      </w:pPr>
      <w:r w:rsidRPr="00972C81">
        <w:rPr>
          <w:noProof/>
        </w:rPr>
        <w:t>ST2 (soft tissues with tenacious retention): 2%</w:t>
      </w:r>
    </w:p>
    <w:p w14:paraId="3DA22129" w14:textId="77777777" w:rsidR="00C66E18" w:rsidRPr="00972C81" w:rsidRDefault="00C66E18" w:rsidP="00E81109">
      <w:pPr>
        <w:pStyle w:val="23"/>
        <w:rPr>
          <w:noProof/>
        </w:rPr>
      </w:pPr>
      <w:r w:rsidRPr="00972C81">
        <w:rPr>
          <w:noProof/>
        </w:rPr>
        <w:t>Testes: 0.035%</w:t>
      </w:r>
    </w:p>
    <w:p w14:paraId="0FDF057A" w14:textId="77777777" w:rsidR="00C66E18" w:rsidRPr="00972C81" w:rsidRDefault="00C66E18" w:rsidP="00E81109">
      <w:pPr>
        <w:pStyle w:val="23"/>
        <w:rPr>
          <w:noProof/>
        </w:rPr>
      </w:pPr>
      <w:r w:rsidRPr="00972C81">
        <w:rPr>
          <w:noProof/>
        </w:rPr>
        <w:t>Ovaries: 0.011%</w:t>
      </w:r>
    </w:p>
    <w:p w14:paraId="79E1DC27" w14:textId="10769E56" w:rsidR="00C66E18" w:rsidRPr="00972C81" w:rsidRDefault="00C66E18" w:rsidP="00E81109">
      <w:pPr>
        <w:pStyle w:val="a"/>
        <w:rPr>
          <w:noProof/>
        </w:rPr>
      </w:pPr>
      <w:r w:rsidRPr="00972C81">
        <w:rPr>
          <w:noProof/>
        </w:rPr>
        <w:t>Removal half-time from:</w:t>
      </w:r>
    </w:p>
    <w:p w14:paraId="68C7C544" w14:textId="77777777" w:rsidR="00C66E18" w:rsidRPr="00972C81" w:rsidRDefault="00C66E18" w:rsidP="00E81109">
      <w:pPr>
        <w:pStyle w:val="23"/>
        <w:rPr>
          <w:noProof/>
        </w:rPr>
      </w:pPr>
      <w:r w:rsidRPr="00972C81">
        <w:rPr>
          <w:noProof/>
        </w:rPr>
        <w:t>Blood (to all destinations): 0.5 h</w:t>
      </w:r>
    </w:p>
    <w:p w14:paraId="52E7C0B5" w14:textId="77777777" w:rsidR="00C66E18" w:rsidRPr="00972C81" w:rsidRDefault="00C66E18" w:rsidP="00E81109">
      <w:pPr>
        <w:pStyle w:val="23"/>
        <w:rPr>
          <w:noProof/>
        </w:rPr>
      </w:pPr>
      <w:r w:rsidRPr="00972C81">
        <w:rPr>
          <w:noProof/>
        </w:rPr>
        <w:t>ST0 (to blood): 0.5 d</w:t>
      </w:r>
    </w:p>
    <w:p w14:paraId="1FD8B506" w14:textId="77777777" w:rsidR="00C66E18" w:rsidRPr="00972C81" w:rsidRDefault="00C66E18" w:rsidP="00E81109">
      <w:pPr>
        <w:pStyle w:val="23"/>
        <w:rPr>
          <w:noProof/>
        </w:rPr>
      </w:pPr>
      <w:r w:rsidRPr="00972C81">
        <w:rPr>
          <w:noProof/>
        </w:rPr>
        <w:t>ST2 (to blood): 15 y</w:t>
      </w:r>
    </w:p>
    <w:p w14:paraId="57A575C7" w14:textId="77777777" w:rsidR="00C66E18" w:rsidRPr="00972C81" w:rsidRDefault="00C66E18" w:rsidP="00E81109">
      <w:pPr>
        <w:pStyle w:val="23"/>
        <w:rPr>
          <w:noProof/>
        </w:rPr>
      </w:pPr>
      <w:r w:rsidRPr="00972C81">
        <w:rPr>
          <w:noProof/>
        </w:rPr>
        <w:t>Kidneys 1 (to urinary bladder contents): 7 d</w:t>
      </w:r>
    </w:p>
    <w:p w14:paraId="01A441E4" w14:textId="77777777" w:rsidR="00C66E18" w:rsidRPr="00972C81" w:rsidRDefault="00C66E18" w:rsidP="00E81109">
      <w:pPr>
        <w:pStyle w:val="23"/>
        <w:rPr>
          <w:noProof/>
        </w:rPr>
      </w:pPr>
      <w:r w:rsidRPr="00972C81">
        <w:rPr>
          <w:noProof/>
        </w:rPr>
        <w:t>Kidneys 2 (to blood): 500 d</w:t>
      </w:r>
    </w:p>
    <w:p w14:paraId="15807F34" w14:textId="77777777" w:rsidR="00C66E18" w:rsidRPr="00972C81" w:rsidRDefault="00C66E18" w:rsidP="00E81109">
      <w:pPr>
        <w:pStyle w:val="23"/>
        <w:rPr>
          <w:noProof/>
        </w:rPr>
      </w:pPr>
      <w:r w:rsidRPr="00972C81">
        <w:rPr>
          <w:noProof/>
        </w:rPr>
        <w:t>Liver 1 (to SI content + Liver 2): 30 d</w:t>
      </w:r>
    </w:p>
    <w:p w14:paraId="7D9CAA48" w14:textId="77777777" w:rsidR="00C66E18" w:rsidRPr="00972C81" w:rsidRDefault="00C66E18" w:rsidP="00E81109">
      <w:pPr>
        <w:pStyle w:val="23"/>
        <w:rPr>
          <w:noProof/>
        </w:rPr>
      </w:pPr>
      <w:r w:rsidRPr="00972C81">
        <w:rPr>
          <w:noProof/>
        </w:rPr>
        <w:t>Gonads to blood: 5 y</w:t>
      </w:r>
    </w:p>
    <w:p w14:paraId="7E3D80EE" w14:textId="77777777" w:rsidR="00C66E18" w:rsidRPr="00972C81" w:rsidRDefault="00C66E18" w:rsidP="00E81109">
      <w:pPr>
        <w:pStyle w:val="a"/>
        <w:rPr>
          <w:noProof/>
        </w:rPr>
      </w:pPr>
      <w:r w:rsidRPr="00972C81">
        <w:rPr>
          <w:noProof/>
        </w:rPr>
        <w:lastRenderedPageBreak/>
        <w:t>Rate of transfer from:</w:t>
      </w:r>
    </w:p>
    <w:p w14:paraId="18881AC8" w14:textId="77777777" w:rsidR="00C66E18" w:rsidRPr="00972C81" w:rsidRDefault="00C66E18" w:rsidP="00E81109">
      <w:pPr>
        <w:pStyle w:val="23"/>
        <w:rPr>
          <w:noProof/>
        </w:rPr>
      </w:pPr>
      <w:r w:rsidRPr="00972C81">
        <w:rPr>
          <w:noProof/>
        </w:rPr>
        <w:t>Liver 1 to SI content: 0.84 y</w:t>
      </w:r>
      <w:r w:rsidRPr="00972C81">
        <w:rPr>
          <w:noProof/>
          <w:vertAlign w:val="superscript"/>
        </w:rPr>
        <w:t>-1</w:t>
      </w:r>
      <w:r w:rsidRPr="00972C81">
        <w:rPr>
          <w:noProof/>
        </w:rPr>
        <w:t xml:space="preserve"> (10% of outflow from Liver 1)</w:t>
      </w:r>
    </w:p>
    <w:p w14:paraId="387828EC" w14:textId="77777777" w:rsidR="00C66E18" w:rsidRPr="00972C81" w:rsidRDefault="00C66E18" w:rsidP="00E81109">
      <w:pPr>
        <w:pStyle w:val="23"/>
        <w:rPr>
          <w:noProof/>
        </w:rPr>
      </w:pPr>
      <w:r w:rsidRPr="00972C81">
        <w:rPr>
          <w:noProof/>
        </w:rPr>
        <w:t>Liver 1 to Liver 2: 7.59 y</w:t>
      </w:r>
      <w:r w:rsidRPr="00972C81">
        <w:rPr>
          <w:noProof/>
          <w:vertAlign w:val="superscript"/>
        </w:rPr>
        <w:t>-1</w:t>
      </w:r>
      <w:r w:rsidRPr="00972C81">
        <w:rPr>
          <w:noProof/>
        </w:rPr>
        <w:t xml:space="preserve"> (90% of outflow from Liver 1)</w:t>
      </w:r>
    </w:p>
    <w:p w14:paraId="74C6BD66" w14:textId="77777777" w:rsidR="00C66E18" w:rsidRPr="00972C81" w:rsidRDefault="00C66E18" w:rsidP="00E81109">
      <w:pPr>
        <w:pStyle w:val="23"/>
        <w:rPr>
          <w:noProof/>
        </w:rPr>
      </w:pPr>
      <w:r w:rsidRPr="00972C81">
        <w:rPr>
          <w:noProof/>
        </w:rPr>
        <w:t>Trabecular or cortical marrow to blood, 2.77 y</w:t>
      </w:r>
      <w:r w:rsidRPr="00972C81">
        <w:rPr>
          <w:noProof/>
          <w:vertAlign w:val="superscript"/>
        </w:rPr>
        <w:t>-1</w:t>
      </w:r>
      <w:r w:rsidRPr="00972C81">
        <w:rPr>
          <w:noProof/>
        </w:rPr>
        <w:t xml:space="preserve"> (half-time of 0.25 y)</w:t>
      </w:r>
    </w:p>
    <w:p w14:paraId="075CDFD4" w14:textId="77777777" w:rsidR="00C66E18" w:rsidRPr="00972C81" w:rsidRDefault="00C66E18" w:rsidP="00E81109">
      <w:pPr>
        <w:pStyle w:val="23"/>
        <w:rPr>
          <w:noProof/>
        </w:rPr>
      </w:pPr>
      <w:r w:rsidRPr="00972C81">
        <w:rPr>
          <w:noProof/>
        </w:rPr>
        <w:t>Trabecular surface to trabecular volume (age-dependent in this report)</w:t>
      </w:r>
    </w:p>
    <w:p w14:paraId="11037F8A" w14:textId="77777777" w:rsidR="00C66E18" w:rsidRPr="00972C81" w:rsidRDefault="00C66E18" w:rsidP="00E81109">
      <w:pPr>
        <w:pStyle w:val="23"/>
        <w:rPr>
          <w:noProof/>
        </w:rPr>
      </w:pPr>
      <w:r w:rsidRPr="00972C81">
        <w:rPr>
          <w:noProof/>
        </w:rPr>
        <w:t xml:space="preserve">Cortical surface to cortical volume </w:t>
      </w:r>
      <w:bookmarkStart w:id="65" w:name="_Hlk494889847"/>
      <w:r w:rsidRPr="00972C81">
        <w:rPr>
          <w:noProof/>
        </w:rPr>
        <w:t>(age-dependent in this report)</w:t>
      </w:r>
      <w:bookmarkEnd w:id="65"/>
    </w:p>
    <w:p w14:paraId="4E409B76" w14:textId="77777777" w:rsidR="00C66E18" w:rsidRPr="00972C81" w:rsidRDefault="00C66E18" w:rsidP="00E81109">
      <w:pPr>
        <w:pStyle w:val="23"/>
        <w:rPr>
          <w:noProof/>
        </w:rPr>
      </w:pPr>
      <w:r w:rsidRPr="00972C81">
        <w:rPr>
          <w:noProof/>
        </w:rPr>
        <w:t>Trabecular surface or volume to trabecular marrow (age-dependent in this report)</w:t>
      </w:r>
    </w:p>
    <w:p w14:paraId="1F98DEE7" w14:textId="77777777" w:rsidR="00C66E18" w:rsidRPr="00972C81" w:rsidRDefault="00C66E18" w:rsidP="00E81109">
      <w:pPr>
        <w:pStyle w:val="23"/>
        <w:rPr>
          <w:noProof/>
        </w:rPr>
      </w:pPr>
      <w:r w:rsidRPr="00972C81">
        <w:rPr>
          <w:noProof/>
        </w:rPr>
        <w:t>Cortical surface or volume to cortical marrow (age-dependent in this report)</w:t>
      </w:r>
    </w:p>
    <w:p w14:paraId="0F2877EE" w14:textId="77777777" w:rsidR="00187747" w:rsidRDefault="00187747" w:rsidP="00C47F2F">
      <w:pPr>
        <w:pStyle w:val="Annalstext"/>
        <w:numPr>
          <w:ilvl w:val="0"/>
          <w:numId w:val="0"/>
        </w:numPr>
        <w:ind w:left="284"/>
        <w:rPr>
          <w:noProof/>
        </w:rPr>
      </w:pPr>
    </w:p>
    <w:p w14:paraId="4F89407D" w14:textId="2DD994A6" w:rsidR="00C66E18" w:rsidRPr="00972C81" w:rsidRDefault="00C66E18" w:rsidP="001C4A92">
      <w:pPr>
        <w:pStyle w:val="Annalstext"/>
        <w:rPr>
          <w:noProof/>
        </w:rPr>
      </w:pPr>
      <w:r w:rsidRPr="00972C81">
        <w:rPr>
          <w:noProof/>
        </w:rPr>
        <w:t>Age-dependence indicated above for transfer from bone compartment as estimated as follows:</w:t>
      </w:r>
    </w:p>
    <w:p w14:paraId="5F7BED99" w14:textId="7041DB01" w:rsidR="00C66E18" w:rsidRPr="00972C81" w:rsidRDefault="00C66E18" w:rsidP="00E81109">
      <w:pPr>
        <w:pStyle w:val="a"/>
        <w:rPr>
          <w:noProof/>
        </w:rPr>
      </w:pPr>
      <w:bookmarkStart w:id="66" w:name="_Hlk494889166"/>
      <w:bookmarkStart w:id="67" w:name="_Hlk494889219"/>
      <w:r w:rsidRPr="00972C81">
        <w:rPr>
          <w:noProof/>
          <w:color w:val="000000"/>
        </w:rPr>
        <w:t>The rate of transfer from t</w:t>
      </w:r>
      <w:r w:rsidRPr="00972C81">
        <w:rPr>
          <w:noProof/>
        </w:rPr>
        <w:t xml:space="preserve">rabecular bone surface to trabecular bone volume is assumed to be A times the reference age-specific rate of remodeling of trabecular bone </w:t>
      </w:r>
      <w:bookmarkStart w:id="68" w:name="_Hlk494890105"/>
      <w:r w:rsidR="00642501" w:rsidRPr="00972C81">
        <w:rPr>
          <w:noProof/>
        </w:rPr>
        <w:fldChar w:fldCharType="begin"/>
      </w:r>
      <w:r w:rsidR="00642501" w:rsidRPr="00972C81">
        <w:rPr>
          <w:noProof/>
        </w:rPr>
        <w:instrText xml:space="preserve"> ADDIN ZOTERO_ITEM CSL_CITATION {"citationID":"GTNcuDbU","properties":{"formattedCitation":"(ICRP,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642501" w:rsidRPr="00972C81">
        <w:rPr>
          <w:noProof/>
        </w:rPr>
        <w:fldChar w:fldCharType="separate"/>
      </w:r>
      <w:r w:rsidR="00BC59C6" w:rsidRPr="00972C81">
        <w:rPr>
          <w:noProof/>
        </w:rPr>
        <w:t>(ICRP, 2002)</w:t>
      </w:r>
      <w:r w:rsidR="00642501" w:rsidRPr="00972C81">
        <w:rPr>
          <w:noProof/>
        </w:rPr>
        <w:fldChar w:fldCharType="end"/>
      </w:r>
      <w:r w:rsidRPr="00972C81">
        <w:rPr>
          <w:noProof/>
        </w:rPr>
        <w:t>, where A = 0.5 for adults and A = 1 for preadult ages</w:t>
      </w:r>
      <w:bookmarkEnd w:id="68"/>
    </w:p>
    <w:bookmarkEnd w:id="66"/>
    <w:p w14:paraId="3056FFE4" w14:textId="09A3B0D8" w:rsidR="00C66E18" w:rsidRPr="00972C81" w:rsidRDefault="00C66E18" w:rsidP="00E81109">
      <w:pPr>
        <w:pStyle w:val="a"/>
        <w:rPr>
          <w:noProof/>
        </w:rPr>
      </w:pPr>
      <w:r w:rsidRPr="00972C81">
        <w:rPr>
          <w:noProof/>
          <w:color w:val="000000"/>
        </w:rPr>
        <w:t>The rate of transfer from cortical</w:t>
      </w:r>
      <w:r w:rsidRPr="00972C81">
        <w:rPr>
          <w:noProof/>
        </w:rPr>
        <w:t xml:space="preserve"> bone surface to cortical bone volume is assumed to be 0.5 times the reference age-specific rate of remodeling of cortical bone </w:t>
      </w:r>
      <w:r w:rsidR="00642501" w:rsidRPr="00972C81">
        <w:rPr>
          <w:noProof/>
        </w:rPr>
        <w:fldChar w:fldCharType="begin"/>
      </w:r>
      <w:r w:rsidR="00F91EB7" w:rsidRPr="00972C81">
        <w:rPr>
          <w:noProof/>
        </w:rPr>
        <w:instrText xml:space="preserve"> ADDIN ZOTERO_ITEM CSL_CITATION {"citationID":"RD9KDUGX","properties":{"formattedCitation":"(ICRP,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642501" w:rsidRPr="00972C81">
        <w:rPr>
          <w:noProof/>
        </w:rPr>
        <w:fldChar w:fldCharType="separate"/>
      </w:r>
      <w:r w:rsidR="00BC59C6" w:rsidRPr="00972C81">
        <w:rPr>
          <w:noProof/>
        </w:rPr>
        <w:t>(ICRP, 2002)</w:t>
      </w:r>
      <w:r w:rsidR="00642501" w:rsidRPr="00972C81">
        <w:rPr>
          <w:noProof/>
        </w:rPr>
        <w:fldChar w:fldCharType="end"/>
      </w:r>
      <w:r w:rsidRPr="00972C81">
        <w:rPr>
          <w:noProof/>
        </w:rPr>
        <w:t>, where A = 0.5 for adults and A = 1 for preadult ages</w:t>
      </w:r>
    </w:p>
    <w:bookmarkEnd w:id="67"/>
    <w:p w14:paraId="14A3AA98" w14:textId="67C3FDAC" w:rsidR="00C66E18" w:rsidRPr="00972C81" w:rsidRDefault="00C66E18" w:rsidP="00E81109">
      <w:pPr>
        <w:pStyle w:val="a"/>
        <w:rPr>
          <w:noProof/>
        </w:rPr>
      </w:pPr>
      <w:r w:rsidRPr="00972C81">
        <w:rPr>
          <w:noProof/>
          <w:color w:val="000000"/>
        </w:rPr>
        <w:t>The rate of transfer from t</w:t>
      </w:r>
      <w:r w:rsidRPr="00972C81">
        <w:rPr>
          <w:noProof/>
        </w:rPr>
        <w:t xml:space="preserve">rabecular bone surface or volume to trabecular marrow is assumed to be the reference age-specific rate of remodeling of trabecular bone </w:t>
      </w:r>
      <w:r w:rsidR="00642501" w:rsidRPr="00972C81">
        <w:rPr>
          <w:noProof/>
        </w:rPr>
        <w:fldChar w:fldCharType="begin"/>
      </w:r>
      <w:r w:rsidR="00F91EB7" w:rsidRPr="00972C81">
        <w:rPr>
          <w:noProof/>
        </w:rPr>
        <w:instrText xml:space="preserve"> ADDIN ZOTERO_ITEM CSL_CITATION {"citationID":"NBowMNP7","properties":{"formattedCitation":"(ICRP,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642501" w:rsidRPr="00972C81">
        <w:rPr>
          <w:noProof/>
        </w:rPr>
        <w:fldChar w:fldCharType="separate"/>
      </w:r>
      <w:r w:rsidR="00BC59C6" w:rsidRPr="00972C81">
        <w:rPr>
          <w:noProof/>
        </w:rPr>
        <w:t>(ICRP, 2002)</w:t>
      </w:r>
      <w:r w:rsidR="00642501" w:rsidRPr="00972C81">
        <w:rPr>
          <w:noProof/>
        </w:rPr>
        <w:fldChar w:fldCharType="end"/>
      </w:r>
    </w:p>
    <w:p w14:paraId="65D437BF" w14:textId="64E799F5" w:rsidR="00C66E18" w:rsidRPr="00972C81" w:rsidRDefault="00C66E18" w:rsidP="00E81109">
      <w:pPr>
        <w:pStyle w:val="a"/>
        <w:rPr>
          <w:noProof/>
        </w:rPr>
      </w:pPr>
      <w:r w:rsidRPr="00972C81">
        <w:rPr>
          <w:noProof/>
          <w:color w:val="000000"/>
        </w:rPr>
        <w:t>The rate of transfer from cortical</w:t>
      </w:r>
      <w:r w:rsidRPr="00972C81">
        <w:rPr>
          <w:noProof/>
        </w:rPr>
        <w:t xml:space="preserve"> bone surface or volume to cortical marrow is assumed to be the reference age-specific rate of remodeling of cortical bone </w:t>
      </w:r>
      <w:r w:rsidR="00642501" w:rsidRPr="00972C81">
        <w:rPr>
          <w:noProof/>
        </w:rPr>
        <w:fldChar w:fldCharType="begin"/>
      </w:r>
      <w:r w:rsidR="00F91EB7" w:rsidRPr="00972C81">
        <w:rPr>
          <w:noProof/>
        </w:rPr>
        <w:instrText xml:space="preserve"> ADDIN ZOTERO_ITEM CSL_CITATION {"citationID":"GCDYbHlf","properties":{"formattedCitation":"(ICRP,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642501" w:rsidRPr="00972C81">
        <w:rPr>
          <w:noProof/>
        </w:rPr>
        <w:fldChar w:fldCharType="separate"/>
      </w:r>
      <w:r w:rsidR="00BC59C6" w:rsidRPr="00972C81">
        <w:rPr>
          <w:noProof/>
        </w:rPr>
        <w:t>(ICRP, 2002)</w:t>
      </w:r>
      <w:r w:rsidR="00642501" w:rsidRPr="00972C81">
        <w:rPr>
          <w:noProof/>
        </w:rPr>
        <w:fldChar w:fldCharType="end"/>
      </w:r>
    </w:p>
    <w:p w14:paraId="73C6CD16" w14:textId="77777777" w:rsidR="00187747" w:rsidRDefault="00187747" w:rsidP="00C47F2F">
      <w:pPr>
        <w:pStyle w:val="Annalstext"/>
        <w:numPr>
          <w:ilvl w:val="0"/>
          <w:numId w:val="0"/>
        </w:numPr>
        <w:ind w:left="284"/>
        <w:rPr>
          <w:noProof/>
        </w:rPr>
      </w:pPr>
      <w:bookmarkStart w:id="69" w:name="_Hlk494888556"/>
    </w:p>
    <w:p w14:paraId="4EEE51D9" w14:textId="3FD1EEE6" w:rsidR="00C66E18" w:rsidRPr="00972C81" w:rsidRDefault="00C66E18" w:rsidP="001C4A92">
      <w:pPr>
        <w:pStyle w:val="Annalstext"/>
        <w:rPr>
          <w:noProof/>
        </w:rPr>
      </w:pPr>
      <w:r w:rsidRPr="00972C81">
        <w:rPr>
          <w:noProof/>
        </w:rPr>
        <w:t xml:space="preserve">As in </w:t>
      </w:r>
      <w:r w:rsidR="00C02F08" w:rsidRPr="00972C81">
        <w:rPr>
          <w:i/>
          <w:noProof/>
        </w:rPr>
        <w:t>Publication 141</w:t>
      </w:r>
      <w:r w:rsidRPr="00972C81">
        <w:rPr>
          <w:noProof/>
        </w:rPr>
        <w:t>, set-specific (non-generic) parameter values are assigned here to:</w:t>
      </w:r>
    </w:p>
    <w:p w14:paraId="27C6CDB2" w14:textId="60080E20" w:rsidR="00C66E18" w:rsidRPr="00972C81" w:rsidRDefault="00C66E18" w:rsidP="00C47F2F">
      <w:pPr>
        <w:pStyle w:val="a"/>
        <w:rPr>
          <w:noProof/>
        </w:rPr>
      </w:pPr>
      <w:r w:rsidRPr="00972C81">
        <w:rPr>
          <w:noProof/>
        </w:rPr>
        <w:t xml:space="preserve">the deposition fractions for liver, bone surface, urinary bladder content, right colon content, and intermediate-term soft tissue compartment (ST1 in </w:t>
      </w:r>
      <w:r w:rsidR="00F91EB7" w:rsidRPr="00972C81">
        <w:rPr>
          <w:noProof/>
        </w:rPr>
        <w:fldChar w:fldCharType="begin"/>
      </w:r>
      <w:r w:rsidR="00F91EB7" w:rsidRPr="00972C81">
        <w:rPr>
          <w:noProof/>
        </w:rPr>
        <w:instrText xml:space="preserve"> REF _Ref141858180 \h </w:instrText>
      </w:r>
      <w:r w:rsidR="00F91EB7" w:rsidRPr="00972C81">
        <w:rPr>
          <w:noProof/>
        </w:rPr>
      </w:r>
      <w:r w:rsidR="00F91EB7" w:rsidRPr="00972C81">
        <w:rPr>
          <w:noProof/>
        </w:rPr>
        <w:fldChar w:fldCharType="separate"/>
      </w:r>
      <w:r w:rsidR="00A41AD1" w:rsidRPr="00A41AD1">
        <w:rPr>
          <w:noProof/>
        </w:rPr>
        <w:t xml:space="preserve">Fig </w:t>
      </w:r>
      <w:r w:rsidR="00A41AD1">
        <w:rPr>
          <w:noProof/>
        </w:rPr>
        <w:t>3</w:t>
      </w:r>
      <w:r w:rsidR="00A41AD1" w:rsidRPr="00A41AD1">
        <w:rPr>
          <w:noProof/>
        </w:rPr>
        <w:t>.</w:t>
      </w:r>
      <w:r w:rsidR="00A41AD1">
        <w:rPr>
          <w:noProof/>
        </w:rPr>
        <w:t>1</w:t>
      </w:r>
      <w:r w:rsidR="00F91EB7" w:rsidRPr="00972C81">
        <w:rPr>
          <w:noProof/>
        </w:rPr>
        <w:fldChar w:fldCharType="end"/>
      </w:r>
      <w:r w:rsidRPr="00972C81">
        <w:rPr>
          <w:noProof/>
        </w:rPr>
        <w:t>)</w:t>
      </w:r>
    </w:p>
    <w:p w14:paraId="10CDF3AB" w14:textId="77777777" w:rsidR="00C66E18" w:rsidRPr="00972C81" w:rsidRDefault="00C66E18" w:rsidP="00C47F2F">
      <w:pPr>
        <w:pStyle w:val="a"/>
        <w:rPr>
          <w:noProof/>
        </w:rPr>
      </w:pPr>
      <w:r w:rsidRPr="00972C81">
        <w:rPr>
          <w:noProof/>
        </w:rPr>
        <w:t xml:space="preserve">removal half-times from ST1 to blood and from the long-term liver compartment Liver 2 to blood </w:t>
      </w:r>
    </w:p>
    <w:bookmarkEnd w:id="69"/>
    <w:p w14:paraId="5FF23391" w14:textId="77777777" w:rsidR="00187747" w:rsidRDefault="00187747" w:rsidP="00C47F2F">
      <w:pPr>
        <w:pStyle w:val="Annalstext"/>
        <w:numPr>
          <w:ilvl w:val="0"/>
          <w:numId w:val="0"/>
        </w:numPr>
        <w:ind w:left="284"/>
        <w:rPr>
          <w:noProof/>
        </w:rPr>
      </w:pPr>
    </w:p>
    <w:p w14:paraId="33FE0B6F" w14:textId="5BAEE774" w:rsidR="00C66E18" w:rsidRPr="00972C81" w:rsidRDefault="00C66E18" w:rsidP="001C4A92">
      <w:pPr>
        <w:pStyle w:val="Annalstext"/>
        <w:rPr>
          <w:noProof/>
        </w:rPr>
      </w:pPr>
      <w:r w:rsidRPr="00972C81">
        <w:rPr>
          <w:noProof/>
        </w:rPr>
        <w:t>Extension of the non-generic parameter values for adults to preadult ages is based on a general pattern of age related systemic biokinetics observed for a number of bone-seeking elements including cerium. That is, the deposition fraction in bone is higher in immature animals than in mature animals and tends to decrease with age from early life to adolescence to adulthood. Also, biokinetic studies of bone-seeking elements show that the rate of turnover of the skeletal deposit is higher in immature than mature animals, presumably due to a faster rate of bone restructuring at younger ages.</w:t>
      </w:r>
    </w:p>
    <w:p w14:paraId="6BA9E1B6" w14:textId="3012D52A" w:rsidR="00C66E18" w:rsidRPr="00972C81" w:rsidRDefault="00C66E18" w:rsidP="001C4A92">
      <w:pPr>
        <w:pStyle w:val="Annalstext"/>
        <w:rPr>
          <w:noProof/>
        </w:rPr>
      </w:pPr>
      <w:r w:rsidRPr="00972C81">
        <w:rPr>
          <w:noProof/>
        </w:rPr>
        <w:t xml:space="preserve">As indicated in the above summary of data for cerium, the age-specific </w:t>
      </w:r>
      <w:r w:rsidR="00BB503E">
        <w:rPr>
          <w:noProof/>
        </w:rPr>
        <w:t>behaviour</w:t>
      </w:r>
      <w:r w:rsidRPr="00972C81">
        <w:rPr>
          <w:noProof/>
        </w:rPr>
        <w:t xml:space="preserve"> of cerium in laboratory animals indicate that skeletal uptake amounts to two-thirds or more of cerium entering the systemic circulation during early life. A deposition fraction of 0.7 in bone is applied to cerium, lanthanum, and praseodymium during the first year of life. It is assumed that the amount deposited in bone is equally divided between cortical and trabecular bone surface. For ages 5</w:t>
      </w:r>
      <w:r w:rsidR="00F4508E" w:rsidRPr="00972C81">
        <w:rPr>
          <w:noProof/>
        </w:rPr>
        <w:t>–</w:t>
      </w:r>
      <w:r w:rsidRPr="00972C81">
        <w:rPr>
          <w:noProof/>
        </w:rPr>
        <w:t xml:space="preserve">15 y, a deposition fraction in bone of 0.5 is assigned, as an average of the value 0.3 for adults and 0.7 through age 1 y. In view of the relatively low deposition of cerium at sites other than liver and bone, it is assumed for simplicity that uptake by bone is in competition only with uptake by liver. This is implemented by requiring that the sum of </w:t>
      </w:r>
      <w:r w:rsidRPr="00972C81">
        <w:rPr>
          <w:noProof/>
        </w:rPr>
        <w:lastRenderedPageBreak/>
        <w:t xml:space="preserve">deposition fractions in bone and liver at all ages is equal to 0.8, the value in the model for adults. As indicated earlier, other deposition fractions in the model are assumed to be invariant with age. </w:t>
      </w:r>
    </w:p>
    <w:p w14:paraId="42C03370" w14:textId="5D88898B" w:rsidR="00C66E18" w:rsidRPr="00972C81" w:rsidRDefault="00C66E18" w:rsidP="001C4A92">
      <w:pPr>
        <w:pStyle w:val="Annalstext"/>
        <w:rPr>
          <w:noProof/>
        </w:rPr>
      </w:pPr>
      <w:r w:rsidRPr="00972C81">
        <w:rPr>
          <w:noProof/>
        </w:rPr>
        <w:t xml:space="preserve">The non-generic deposition fractions in the model for cerium, lanthanum, and praseodymium are listed in </w:t>
      </w:r>
      <w:r w:rsidR="00B14D65" w:rsidRPr="00972C81">
        <w:rPr>
          <w:noProof/>
        </w:rPr>
        <w:fldChar w:fldCharType="begin"/>
      </w:r>
      <w:r w:rsidR="00B14D65" w:rsidRPr="00972C81">
        <w:rPr>
          <w:noProof/>
        </w:rPr>
        <w:instrText xml:space="preserve"> REF _Ref141858921 \h </w:instrText>
      </w:r>
      <w:r w:rsidR="00B14D65" w:rsidRPr="00972C81">
        <w:rPr>
          <w:noProof/>
        </w:rPr>
      </w:r>
      <w:r w:rsidR="00B14D65" w:rsidRPr="00972C81">
        <w:rPr>
          <w:noProof/>
        </w:rPr>
        <w:fldChar w:fldCharType="separate"/>
      </w:r>
      <w:r w:rsidR="00A41AD1" w:rsidRPr="00A41AD1">
        <w:rPr>
          <w:noProof/>
          <w:szCs w:val="24"/>
        </w:rPr>
        <w:t xml:space="preserve">Table </w:t>
      </w:r>
      <w:r w:rsidR="00A41AD1">
        <w:rPr>
          <w:noProof/>
          <w:szCs w:val="24"/>
        </w:rPr>
        <w:t>3</w:t>
      </w:r>
      <w:r w:rsidR="00A41AD1" w:rsidRPr="00A41AD1">
        <w:rPr>
          <w:noProof/>
          <w:szCs w:val="24"/>
        </w:rPr>
        <w:t>.</w:t>
      </w:r>
      <w:r w:rsidR="00A41AD1">
        <w:rPr>
          <w:noProof/>
          <w:szCs w:val="24"/>
        </w:rPr>
        <w:t>2</w:t>
      </w:r>
      <w:r w:rsidR="00B14D65" w:rsidRPr="00972C81">
        <w:rPr>
          <w:noProof/>
        </w:rPr>
        <w:fldChar w:fldCharType="end"/>
      </w:r>
      <w:r w:rsidRPr="00972C81">
        <w:rPr>
          <w:noProof/>
        </w:rPr>
        <w:t>.</w:t>
      </w:r>
    </w:p>
    <w:p w14:paraId="27B74FA5" w14:textId="77777777" w:rsidR="00104322" w:rsidRPr="00972C81" w:rsidRDefault="00104322" w:rsidP="00C66E18">
      <w:pPr>
        <w:rPr>
          <w:noProof/>
        </w:rPr>
      </w:pPr>
    </w:p>
    <w:p w14:paraId="4D80DF3D" w14:textId="5A1178CE" w:rsidR="00104322" w:rsidRPr="00C47F2F" w:rsidRDefault="00C02F08" w:rsidP="00E81109">
      <w:pPr>
        <w:pStyle w:val="ab"/>
        <w:rPr>
          <w:noProof/>
          <w:sz w:val="24"/>
          <w:szCs w:val="24"/>
        </w:rPr>
      </w:pPr>
      <w:bookmarkStart w:id="70" w:name="_Ref141858921"/>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Pr>
          <w:noProof/>
          <w:sz w:val="24"/>
          <w:szCs w:val="24"/>
        </w:rPr>
        <w:t>3</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Pr>
          <w:noProof/>
          <w:sz w:val="24"/>
          <w:szCs w:val="24"/>
        </w:rPr>
        <w:t>2</w:t>
      </w:r>
      <w:r w:rsidR="00EA3750" w:rsidRPr="00C47F2F">
        <w:rPr>
          <w:noProof/>
          <w:sz w:val="24"/>
          <w:szCs w:val="24"/>
        </w:rPr>
        <w:fldChar w:fldCharType="end"/>
      </w:r>
      <w:bookmarkEnd w:id="70"/>
      <w:r w:rsidRPr="00C47F2F">
        <w:rPr>
          <w:noProof/>
          <w:sz w:val="24"/>
          <w:szCs w:val="24"/>
        </w:rPr>
        <w:t>.</w:t>
      </w:r>
      <w:r w:rsidR="00104322" w:rsidRPr="00C47F2F">
        <w:rPr>
          <w:noProof/>
          <w:sz w:val="24"/>
          <w:szCs w:val="24"/>
        </w:rPr>
        <w:t xml:space="preserve"> Non-generic (group-specific) parameter values for the cerium group (cerium</w:t>
      </w:r>
      <w:r w:rsidR="00EB7771" w:rsidRPr="00C47F2F">
        <w:rPr>
          <w:noProof/>
          <w:sz w:val="24"/>
          <w:szCs w:val="24"/>
        </w:rPr>
        <w:t>, lanthanum, and praseodymium).</w:t>
      </w:r>
    </w:p>
    <w:tbl>
      <w:tblPr>
        <w:tblStyle w:val="a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655"/>
        <w:gridCol w:w="446"/>
        <w:gridCol w:w="765"/>
        <w:gridCol w:w="338"/>
        <w:gridCol w:w="780"/>
        <w:gridCol w:w="323"/>
        <w:gridCol w:w="980"/>
        <w:gridCol w:w="123"/>
        <w:gridCol w:w="995"/>
        <w:gridCol w:w="108"/>
        <w:gridCol w:w="1103"/>
      </w:tblGrid>
      <w:tr w:rsidR="00104322" w:rsidRPr="00972C81" w14:paraId="074241D1" w14:textId="77777777" w:rsidTr="006A409D">
        <w:trPr>
          <w:trHeight w:val="397"/>
          <w:jc w:val="center"/>
        </w:trPr>
        <w:tc>
          <w:tcPr>
            <w:tcW w:w="1335" w:type="pct"/>
            <w:tcBorders>
              <w:top w:val="single" w:sz="4" w:space="0" w:color="auto"/>
            </w:tcBorders>
          </w:tcPr>
          <w:p w14:paraId="2C722467" w14:textId="77777777" w:rsidR="00104322" w:rsidRPr="00972C81" w:rsidRDefault="00104322" w:rsidP="00E81109">
            <w:pPr>
              <w:pStyle w:val="Table"/>
              <w:rPr>
                <w:noProof/>
              </w:rPr>
            </w:pPr>
          </w:p>
        </w:tc>
        <w:tc>
          <w:tcPr>
            <w:tcW w:w="610" w:type="pct"/>
            <w:gridSpan w:val="2"/>
            <w:tcBorders>
              <w:top w:val="single" w:sz="4" w:space="0" w:color="auto"/>
              <w:bottom w:val="single" w:sz="4" w:space="0" w:color="auto"/>
            </w:tcBorders>
            <w:vAlign w:val="center"/>
          </w:tcPr>
          <w:p w14:paraId="31EB3D44" w14:textId="77777777" w:rsidR="00104322" w:rsidRPr="00972C81" w:rsidRDefault="00104322" w:rsidP="00CF5D66">
            <w:pPr>
              <w:pStyle w:val="Table"/>
              <w:rPr>
                <w:noProof/>
              </w:rPr>
            </w:pPr>
            <w:r w:rsidRPr="00972C81">
              <w:rPr>
                <w:noProof/>
              </w:rPr>
              <w:t>100 d</w:t>
            </w:r>
          </w:p>
        </w:tc>
        <w:tc>
          <w:tcPr>
            <w:tcW w:w="611" w:type="pct"/>
            <w:gridSpan w:val="2"/>
            <w:tcBorders>
              <w:top w:val="single" w:sz="4" w:space="0" w:color="auto"/>
              <w:bottom w:val="single" w:sz="4" w:space="0" w:color="auto"/>
            </w:tcBorders>
            <w:vAlign w:val="center"/>
          </w:tcPr>
          <w:p w14:paraId="289A15DF" w14:textId="77777777" w:rsidR="00104322" w:rsidRPr="00972C81" w:rsidRDefault="00104322" w:rsidP="00CF5D66">
            <w:pPr>
              <w:pStyle w:val="Table"/>
              <w:rPr>
                <w:noProof/>
              </w:rPr>
            </w:pPr>
            <w:r w:rsidRPr="00972C81">
              <w:rPr>
                <w:noProof/>
              </w:rPr>
              <w:t>1 y</w:t>
            </w:r>
          </w:p>
        </w:tc>
        <w:tc>
          <w:tcPr>
            <w:tcW w:w="611" w:type="pct"/>
            <w:gridSpan w:val="2"/>
            <w:tcBorders>
              <w:top w:val="single" w:sz="4" w:space="0" w:color="auto"/>
              <w:bottom w:val="single" w:sz="4" w:space="0" w:color="auto"/>
            </w:tcBorders>
            <w:vAlign w:val="center"/>
          </w:tcPr>
          <w:p w14:paraId="3A45E062" w14:textId="77777777" w:rsidR="00104322" w:rsidRPr="00972C81" w:rsidRDefault="00104322" w:rsidP="00CF5D66">
            <w:pPr>
              <w:pStyle w:val="Table"/>
              <w:rPr>
                <w:noProof/>
              </w:rPr>
            </w:pPr>
            <w:r w:rsidRPr="00972C81">
              <w:rPr>
                <w:noProof/>
              </w:rPr>
              <w:t>5 y</w:t>
            </w:r>
          </w:p>
        </w:tc>
        <w:tc>
          <w:tcPr>
            <w:tcW w:w="610" w:type="pct"/>
            <w:gridSpan w:val="2"/>
            <w:tcBorders>
              <w:top w:val="single" w:sz="4" w:space="0" w:color="auto"/>
              <w:bottom w:val="single" w:sz="4" w:space="0" w:color="auto"/>
            </w:tcBorders>
            <w:vAlign w:val="center"/>
          </w:tcPr>
          <w:p w14:paraId="25BDD74F" w14:textId="77777777" w:rsidR="00104322" w:rsidRPr="00972C81" w:rsidRDefault="00104322" w:rsidP="00CF5D66">
            <w:pPr>
              <w:pStyle w:val="Table"/>
              <w:rPr>
                <w:noProof/>
              </w:rPr>
            </w:pPr>
            <w:r w:rsidRPr="00972C81">
              <w:rPr>
                <w:noProof/>
              </w:rPr>
              <w:t>10 y</w:t>
            </w:r>
          </w:p>
        </w:tc>
        <w:tc>
          <w:tcPr>
            <w:tcW w:w="611" w:type="pct"/>
            <w:gridSpan w:val="2"/>
            <w:tcBorders>
              <w:top w:val="single" w:sz="4" w:space="0" w:color="auto"/>
              <w:bottom w:val="single" w:sz="4" w:space="0" w:color="auto"/>
            </w:tcBorders>
            <w:vAlign w:val="center"/>
          </w:tcPr>
          <w:p w14:paraId="7EF9C504" w14:textId="77777777" w:rsidR="00104322" w:rsidRPr="00972C81" w:rsidRDefault="00104322" w:rsidP="00CF5D66">
            <w:pPr>
              <w:pStyle w:val="Table"/>
              <w:rPr>
                <w:noProof/>
              </w:rPr>
            </w:pPr>
            <w:r w:rsidRPr="00972C81">
              <w:rPr>
                <w:noProof/>
              </w:rPr>
              <w:t>15 y</w:t>
            </w:r>
          </w:p>
        </w:tc>
        <w:tc>
          <w:tcPr>
            <w:tcW w:w="612" w:type="pct"/>
            <w:tcBorders>
              <w:top w:val="single" w:sz="4" w:space="0" w:color="auto"/>
              <w:bottom w:val="single" w:sz="4" w:space="0" w:color="auto"/>
            </w:tcBorders>
            <w:vAlign w:val="center"/>
          </w:tcPr>
          <w:p w14:paraId="4F082A0E" w14:textId="77777777" w:rsidR="00104322" w:rsidRPr="00972C81" w:rsidRDefault="00104322" w:rsidP="00CF5D66">
            <w:pPr>
              <w:pStyle w:val="Table"/>
              <w:rPr>
                <w:noProof/>
              </w:rPr>
            </w:pPr>
            <w:r w:rsidRPr="00972C81">
              <w:rPr>
                <w:noProof/>
              </w:rPr>
              <w:t>Adult</w:t>
            </w:r>
          </w:p>
        </w:tc>
      </w:tr>
      <w:tr w:rsidR="00104322" w:rsidRPr="00972C81" w14:paraId="266E4F1B" w14:textId="77777777" w:rsidTr="006A409D">
        <w:trPr>
          <w:trHeight w:val="397"/>
          <w:jc w:val="center"/>
        </w:trPr>
        <w:tc>
          <w:tcPr>
            <w:tcW w:w="1335" w:type="pct"/>
            <w:tcBorders>
              <w:bottom w:val="single" w:sz="4" w:space="0" w:color="auto"/>
            </w:tcBorders>
          </w:tcPr>
          <w:p w14:paraId="13E3A387" w14:textId="77777777" w:rsidR="00104322" w:rsidRPr="00972C81" w:rsidRDefault="00104322" w:rsidP="00E81109">
            <w:pPr>
              <w:pStyle w:val="Table"/>
              <w:rPr>
                <w:noProof/>
              </w:rPr>
            </w:pPr>
          </w:p>
        </w:tc>
        <w:tc>
          <w:tcPr>
            <w:tcW w:w="3665" w:type="pct"/>
            <w:gridSpan w:val="11"/>
            <w:tcBorders>
              <w:top w:val="single" w:sz="4" w:space="0" w:color="auto"/>
              <w:bottom w:val="single" w:sz="4" w:space="0" w:color="auto"/>
            </w:tcBorders>
            <w:vAlign w:val="center"/>
          </w:tcPr>
          <w:p w14:paraId="1F053927" w14:textId="77777777" w:rsidR="00104322" w:rsidRPr="00972C81" w:rsidRDefault="00104322" w:rsidP="006A409D">
            <w:pPr>
              <w:pStyle w:val="Table"/>
              <w:jc w:val="center"/>
              <w:rPr>
                <w:noProof/>
              </w:rPr>
            </w:pPr>
            <w:r w:rsidRPr="00972C81">
              <w:rPr>
                <w:noProof/>
              </w:rPr>
              <w:t>Deposition (% of activity leaving the circulation)</w:t>
            </w:r>
          </w:p>
        </w:tc>
      </w:tr>
      <w:tr w:rsidR="00104322" w:rsidRPr="00972C81" w14:paraId="78F3BA8A" w14:textId="77777777" w:rsidTr="00CF5D66">
        <w:trPr>
          <w:trHeight w:val="340"/>
          <w:jc w:val="center"/>
        </w:trPr>
        <w:tc>
          <w:tcPr>
            <w:tcW w:w="1335" w:type="pct"/>
            <w:tcBorders>
              <w:top w:val="single" w:sz="4" w:space="0" w:color="auto"/>
            </w:tcBorders>
          </w:tcPr>
          <w:p w14:paraId="70DD92A7" w14:textId="77777777" w:rsidR="00104322" w:rsidRPr="00972C81" w:rsidRDefault="00104322" w:rsidP="00CF5D66">
            <w:pPr>
              <w:pStyle w:val="Table"/>
              <w:rPr>
                <w:noProof/>
              </w:rPr>
            </w:pPr>
            <w:r w:rsidRPr="00972C81">
              <w:rPr>
                <w:noProof/>
              </w:rPr>
              <w:t>Liver</w:t>
            </w:r>
          </w:p>
        </w:tc>
        <w:tc>
          <w:tcPr>
            <w:tcW w:w="610" w:type="pct"/>
            <w:gridSpan w:val="2"/>
            <w:tcBorders>
              <w:top w:val="single" w:sz="4" w:space="0" w:color="auto"/>
            </w:tcBorders>
          </w:tcPr>
          <w:p w14:paraId="7F4FF452" w14:textId="77777777" w:rsidR="00104322" w:rsidRPr="00972C81" w:rsidRDefault="00104322" w:rsidP="00CF5D66">
            <w:pPr>
              <w:pStyle w:val="Table"/>
              <w:rPr>
                <w:noProof/>
              </w:rPr>
            </w:pPr>
            <w:r w:rsidRPr="00972C81">
              <w:rPr>
                <w:noProof/>
              </w:rPr>
              <w:t>10</w:t>
            </w:r>
          </w:p>
        </w:tc>
        <w:tc>
          <w:tcPr>
            <w:tcW w:w="611" w:type="pct"/>
            <w:gridSpan w:val="2"/>
            <w:tcBorders>
              <w:top w:val="single" w:sz="4" w:space="0" w:color="auto"/>
            </w:tcBorders>
          </w:tcPr>
          <w:p w14:paraId="395CDDF5" w14:textId="77777777" w:rsidR="00104322" w:rsidRPr="00972C81" w:rsidRDefault="00104322" w:rsidP="00CF5D66">
            <w:pPr>
              <w:pStyle w:val="Table"/>
              <w:rPr>
                <w:noProof/>
              </w:rPr>
            </w:pPr>
            <w:r w:rsidRPr="00972C81">
              <w:rPr>
                <w:noProof/>
              </w:rPr>
              <w:t>10</w:t>
            </w:r>
          </w:p>
        </w:tc>
        <w:tc>
          <w:tcPr>
            <w:tcW w:w="611" w:type="pct"/>
            <w:gridSpan w:val="2"/>
            <w:tcBorders>
              <w:top w:val="single" w:sz="4" w:space="0" w:color="auto"/>
            </w:tcBorders>
          </w:tcPr>
          <w:p w14:paraId="3ABBD6B2" w14:textId="77777777" w:rsidR="00104322" w:rsidRPr="00972C81" w:rsidRDefault="00104322" w:rsidP="00CF5D66">
            <w:pPr>
              <w:pStyle w:val="Table"/>
              <w:rPr>
                <w:noProof/>
              </w:rPr>
            </w:pPr>
            <w:r w:rsidRPr="00972C81">
              <w:rPr>
                <w:noProof/>
              </w:rPr>
              <w:t>30</w:t>
            </w:r>
          </w:p>
        </w:tc>
        <w:tc>
          <w:tcPr>
            <w:tcW w:w="610" w:type="pct"/>
            <w:gridSpan w:val="2"/>
            <w:tcBorders>
              <w:top w:val="single" w:sz="4" w:space="0" w:color="auto"/>
            </w:tcBorders>
          </w:tcPr>
          <w:p w14:paraId="53284A92" w14:textId="77777777" w:rsidR="00104322" w:rsidRPr="00972C81" w:rsidRDefault="00104322" w:rsidP="00CF5D66">
            <w:pPr>
              <w:pStyle w:val="Table"/>
              <w:rPr>
                <w:noProof/>
              </w:rPr>
            </w:pPr>
            <w:r w:rsidRPr="00972C81">
              <w:rPr>
                <w:noProof/>
              </w:rPr>
              <w:t>30</w:t>
            </w:r>
          </w:p>
        </w:tc>
        <w:tc>
          <w:tcPr>
            <w:tcW w:w="611" w:type="pct"/>
            <w:gridSpan w:val="2"/>
            <w:tcBorders>
              <w:top w:val="single" w:sz="4" w:space="0" w:color="auto"/>
            </w:tcBorders>
          </w:tcPr>
          <w:p w14:paraId="4BC1B00F" w14:textId="77777777" w:rsidR="00104322" w:rsidRPr="00972C81" w:rsidRDefault="00104322" w:rsidP="00CF5D66">
            <w:pPr>
              <w:pStyle w:val="Table"/>
              <w:rPr>
                <w:noProof/>
              </w:rPr>
            </w:pPr>
            <w:r w:rsidRPr="00972C81">
              <w:rPr>
                <w:noProof/>
              </w:rPr>
              <w:t>30</w:t>
            </w:r>
          </w:p>
        </w:tc>
        <w:tc>
          <w:tcPr>
            <w:tcW w:w="612" w:type="pct"/>
            <w:tcBorders>
              <w:top w:val="single" w:sz="4" w:space="0" w:color="auto"/>
            </w:tcBorders>
          </w:tcPr>
          <w:p w14:paraId="608C144D" w14:textId="77777777" w:rsidR="00104322" w:rsidRPr="00972C81" w:rsidRDefault="00104322" w:rsidP="00CF5D66">
            <w:pPr>
              <w:pStyle w:val="Table"/>
              <w:rPr>
                <w:noProof/>
              </w:rPr>
            </w:pPr>
            <w:r w:rsidRPr="00972C81">
              <w:rPr>
                <w:noProof/>
              </w:rPr>
              <w:t>50</w:t>
            </w:r>
          </w:p>
        </w:tc>
      </w:tr>
      <w:tr w:rsidR="00104322" w:rsidRPr="00972C81" w14:paraId="66E737B1" w14:textId="77777777" w:rsidTr="00CF5D66">
        <w:trPr>
          <w:trHeight w:val="340"/>
          <w:jc w:val="center"/>
        </w:trPr>
        <w:tc>
          <w:tcPr>
            <w:tcW w:w="1335" w:type="pct"/>
          </w:tcPr>
          <w:p w14:paraId="394847E7" w14:textId="77777777" w:rsidR="00104322" w:rsidRPr="00972C81" w:rsidRDefault="00104322" w:rsidP="00CF5D66">
            <w:pPr>
              <w:pStyle w:val="Table"/>
              <w:rPr>
                <w:noProof/>
              </w:rPr>
            </w:pPr>
            <w:r w:rsidRPr="00972C81">
              <w:rPr>
                <w:noProof/>
              </w:rPr>
              <w:t>Bone</w:t>
            </w:r>
          </w:p>
        </w:tc>
        <w:tc>
          <w:tcPr>
            <w:tcW w:w="610" w:type="pct"/>
            <w:gridSpan w:val="2"/>
          </w:tcPr>
          <w:p w14:paraId="24FB47DB" w14:textId="77777777" w:rsidR="00104322" w:rsidRPr="00972C81" w:rsidRDefault="00104322" w:rsidP="00CF5D66">
            <w:pPr>
              <w:pStyle w:val="Table"/>
              <w:rPr>
                <w:noProof/>
              </w:rPr>
            </w:pPr>
            <w:r w:rsidRPr="00972C81">
              <w:rPr>
                <w:noProof/>
              </w:rPr>
              <w:t>70</w:t>
            </w:r>
          </w:p>
        </w:tc>
        <w:tc>
          <w:tcPr>
            <w:tcW w:w="611" w:type="pct"/>
            <w:gridSpan w:val="2"/>
          </w:tcPr>
          <w:p w14:paraId="5700555A" w14:textId="77777777" w:rsidR="00104322" w:rsidRPr="00972C81" w:rsidRDefault="00104322" w:rsidP="00CF5D66">
            <w:pPr>
              <w:pStyle w:val="Table"/>
              <w:rPr>
                <w:noProof/>
              </w:rPr>
            </w:pPr>
            <w:r w:rsidRPr="00972C81">
              <w:rPr>
                <w:noProof/>
              </w:rPr>
              <w:t>70</w:t>
            </w:r>
          </w:p>
        </w:tc>
        <w:tc>
          <w:tcPr>
            <w:tcW w:w="611" w:type="pct"/>
            <w:gridSpan w:val="2"/>
          </w:tcPr>
          <w:p w14:paraId="42D751C2" w14:textId="77777777" w:rsidR="00104322" w:rsidRPr="00972C81" w:rsidRDefault="00104322" w:rsidP="00CF5D66">
            <w:pPr>
              <w:pStyle w:val="Table"/>
              <w:rPr>
                <w:noProof/>
              </w:rPr>
            </w:pPr>
            <w:r w:rsidRPr="00972C81">
              <w:rPr>
                <w:noProof/>
              </w:rPr>
              <w:t>50</w:t>
            </w:r>
          </w:p>
        </w:tc>
        <w:tc>
          <w:tcPr>
            <w:tcW w:w="610" w:type="pct"/>
            <w:gridSpan w:val="2"/>
          </w:tcPr>
          <w:p w14:paraId="5968672D" w14:textId="77777777" w:rsidR="00104322" w:rsidRPr="00972C81" w:rsidRDefault="00104322" w:rsidP="00CF5D66">
            <w:pPr>
              <w:pStyle w:val="Table"/>
              <w:rPr>
                <w:noProof/>
              </w:rPr>
            </w:pPr>
            <w:r w:rsidRPr="00972C81">
              <w:rPr>
                <w:noProof/>
              </w:rPr>
              <w:t>50</w:t>
            </w:r>
          </w:p>
        </w:tc>
        <w:tc>
          <w:tcPr>
            <w:tcW w:w="611" w:type="pct"/>
            <w:gridSpan w:val="2"/>
          </w:tcPr>
          <w:p w14:paraId="154B122D" w14:textId="77777777" w:rsidR="00104322" w:rsidRPr="00972C81" w:rsidRDefault="00104322" w:rsidP="00CF5D66">
            <w:pPr>
              <w:pStyle w:val="Table"/>
              <w:rPr>
                <w:noProof/>
              </w:rPr>
            </w:pPr>
            <w:r w:rsidRPr="00972C81">
              <w:rPr>
                <w:noProof/>
              </w:rPr>
              <w:t>50</w:t>
            </w:r>
          </w:p>
        </w:tc>
        <w:tc>
          <w:tcPr>
            <w:tcW w:w="612" w:type="pct"/>
          </w:tcPr>
          <w:p w14:paraId="7C05003E" w14:textId="77777777" w:rsidR="00104322" w:rsidRPr="00972C81" w:rsidRDefault="00104322" w:rsidP="00CF5D66">
            <w:pPr>
              <w:pStyle w:val="Table"/>
              <w:rPr>
                <w:noProof/>
              </w:rPr>
            </w:pPr>
            <w:r w:rsidRPr="00972C81">
              <w:rPr>
                <w:noProof/>
              </w:rPr>
              <w:t>30</w:t>
            </w:r>
          </w:p>
        </w:tc>
      </w:tr>
      <w:tr w:rsidR="00104322" w:rsidRPr="00972C81" w14:paraId="2A8C5C1C" w14:textId="77777777" w:rsidTr="00CF5D66">
        <w:trPr>
          <w:trHeight w:val="340"/>
          <w:jc w:val="center"/>
        </w:trPr>
        <w:tc>
          <w:tcPr>
            <w:tcW w:w="1335" w:type="pct"/>
          </w:tcPr>
          <w:p w14:paraId="4F50742A" w14:textId="77777777" w:rsidR="00104322" w:rsidRPr="00972C81" w:rsidRDefault="00104322" w:rsidP="00CF5D66">
            <w:pPr>
              <w:pStyle w:val="Table"/>
              <w:rPr>
                <w:noProof/>
              </w:rPr>
            </w:pPr>
            <w:r w:rsidRPr="00972C81">
              <w:rPr>
                <w:noProof/>
              </w:rPr>
              <w:t>ST1</w:t>
            </w:r>
          </w:p>
        </w:tc>
        <w:tc>
          <w:tcPr>
            <w:tcW w:w="610" w:type="pct"/>
            <w:gridSpan w:val="2"/>
          </w:tcPr>
          <w:p w14:paraId="5C855A8E" w14:textId="77777777" w:rsidR="00104322" w:rsidRPr="00972C81" w:rsidRDefault="00104322" w:rsidP="00CF5D66">
            <w:pPr>
              <w:pStyle w:val="Table"/>
              <w:rPr>
                <w:noProof/>
              </w:rPr>
            </w:pPr>
            <w:r w:rsidRPr="00972C81">
              <w:rPr>
                <w:noProof/>
              </w:rPr>
              <w:t>7.95</w:t>
            </w:r>
          </w:p>
        </w:tc>
        <w:tc>
          <w:tcPr>
            <w:tcW w:w="611" w:type="pct"/>
            <w:gridSpan w:val="2"/>
          </w:tcPr>
          <w:p w14:paraId="02EFD7A0" w14:textId="77777777" w:rsidR="00104322" w:rsidRPr="00972C81" w:rsidRDefault="00104322" w:rsidP="00CF5D66">
            <w:pPr>
              <w:pStyle w:val="Table"/>
              <w:rPr>
                <w:noProof/>
              </w:rPr>
            </w:pPr>
            <w:r w:rsidRPr="00972C81">
              <w:rPr>
                <w:noProof/>
              </w:rPr>
              <w:t>7.95</w:t>
            </w:r>
          </w:p>
        </w:tc>
        <w:tc>
          <w:tcPr>
            <w:tcW w:w="611" w:type="pct"/>
            <w:gridSpan w:val="2"/>
          </w:tcPr>
          <w:p w14:paraId="462FC707" w14:textId="77777777" w:rsidR="00104322" w:rsidRPr="00972C81" w:rsidRDefault="00104322" w:rsidP="00CF5D66">
            <w:pPr>
              <w:pStyle w:val="Table"/>
              <w:rPr>
                <w:noProof/>
              </w:rPr>
            </w:pPr>
            <w:r w:rsidRPr="00972C81">
              <w:rPr>
                <w:noProof/>
              </w:rPr>
              <w:t>7.95</w:t>
            </w:r>
          </w:p>
        </w:tc>
        <w:tc>
          <w:tcPr>
            <w:tcW w:w="610" w:type="pct"/>
            <w:gridSpan w:val="2"/>
          </w:tcPr>
          <w:p w14:paraId="31F33056" w14:textId="77777777" w:rsidR="00104322" w:rsidRPr="00972C81" w:rsidRDefault="00104322" w:rsidP="00CF5D66">
            <w:pPr>
              <w:pStyle w:val="Table"/>
              <w:rPr>
                <w:noProof/>
              </w:rPr>
            </w:pPr>
            <w:r w:rsidRPr="00972C81">
              <w:rPr>
                <w:noProof/>
              </w:rPr>
              <w:t>7.95</w:t>
            </w:r>
          </w:p>
        </w:tc>
        <w:tc>
          <w:tcPr>
            <w:tcW w:w="611" w:type="pct"/>
            <w:gridSpan w:val="2"/>
          </w:tcPr>
          <w:p w14:paraId="59922716" w14:textId="77777777" w:rsidR="00104322" w:rsidRPr="00972C81" w:rsidRDefault="00104322" w:rsidP="00CF5D66">
            <w:pPr>
              <w:pStyle w:val="Table"/>
              <w:rPr>
                <w:noProof/>
              </w:rPr>
            </w:pPr>
            <w:r w:rsidRPr="00972C81">
              <w:rPr>
                <w:noProof/>
              </w:rPr>
              <w:t>7.95</w:t>
            </w:r>
          </w:p>
        </w:tc>
        <w:tc>
          <w:tcPr>
            <w:tcW w:w="612" w:type="pct"/>
          </w:tcPr>
          <w:p w14:paraId="56F25AA5" w14:textId="77777777" w:rsidR="00104322" w:rsidRPr="00972C81" w:rsidRDefault="00104322" w:rsidP="00CF5D66">
            <w:pPr>
              <w:pStyle w:val="Table"/>
              <w:rPr>
                <w:noProof/>
              </w:rPr>
            </w:pPr>
            <w:r w:rsidRPr="00972C81">
              <w:rPr>
                <w:noProof/>
              </w:rPr>
              <w:t>7.95</w:t>
            </w:r>
          </w:p>
        </w:tc>
      </w:tr>
      <w:tr w:rsidR="00311EBF" w:rsidRPr="00972C81" w14:paraId="651B3729" w14:textId="77777777" w:rsidTr="00CF5D66">
        <w:trPr>
          <w:trHeight w:val="340"/>
          <w:jc w:val="center"/>
        </w:trPr>
        <w:tc>
          <w:tcPr>
            <w:tcW w:w="1335" w:type="pct"/>
          </w:tcPr>
          <w:p w14:paraId="65B674C9" w14:textId="52B2CD3D" w:rsidR="00311EBF" w:rsidRPr="00972C81" w:rsidRDefault="00311EBF" w:rsidP="00CF5D66">
            <w:pPr>
              <w:pStyle w:val="Table"/>
              <w:rPr>
                <w:noProof/>
              </w:rPr>
            </w:pPr>
            <w:r>
              <w:rPr>
                <w:noProof/>
              </w:rPr>
              <w:t xml:space="preserve">Urinary bladder </w:t>
            </w:r>
            <w:r w:rsidRPr="00972C81">
              <w:rPr>
                <w:noProof/>
              </w:rPr>
              <w:t>content</w:t>
            </w:r>
          </w:p>
        </w:tc>
        <w:tc>
          <w:tcPr>
            <w:tcW w:w="610" w:type="pct"/>
            <w:gridSpan w:val="2"/>
          </w:tcPr>
          <w:p w14:paraId="23AB4253" w14:textId="77777777" w:rsidR="00311EBF" w:rsidRPr="00972C81" w:rsidRDefault="00311EBF" w:rsidP="00CF5D66">
            <w:pPr>
              <w:pStyle w:val="Table"/>
              <w:rPr>
                <w:noProof/>
              </w:rPr>
            </w:pPr>
            <w:r w:rsidRPr="00972C81">
              <w:rPr>
                <w:noProof/>
              </w:rPr>
              <w:t>2</w:t>
            </w:r>
          </w:p>
        </w:tc>
        <w:tc>
          <w:tcPr>
            <w:tcW w:w="611" w:type="pct"/>
            <w:gridSpan w:val="2"/>
          </w:tcPr>
          <w:p w14:paraId="7C1C34ED" w14:textId="77777777" w:rsidR="00311EBF" w:rsidRPr="00972C81" w:rsidRDefault="00311EBF" w:rsidP="00CF5D66">
            <w:pPr>
              <w:pStyle w:val="Table"/>
              <w:rPr>
                <w:noProof/>
              </w:rPr>
            </w:pPr>
            <w:r w:rsidRPr="00972C81">
              <w:rPr>
                <w:noProof/>
              </w:rPr>
              <w:t>2</w:t>
            </w:r>
          </w:p>
        </w:tc>
        <w:tc>
          <w:tcPr>
            <w:tcW w:w="611" w:type="pct"/>
            <w:gridSpan w:val="2"/>
          </w:tcPr>
          <w:p w14:paraId="612772F0" w14:textId="77777777" w:rsidR="00311EBF" w:rsidRPr="00972C81" w:rsidRDefault="00311EBF" w:rsidP="00CF5D66">
            <w:pPr>
              <w:pStyle w:val="Table"/>
              <w:rPr>
                <w:noProof/>
              </w:rPr>
            </w:pPr>
            <w:r w:rsidRPr="00972C81">
              <w:rPr>
                <w:noProof/>
              </w:rPr>
              <w:t>2</w:t>
            </w:r>
          </w:p>
        </w:tc>
        <w:tc>
          <w:tcPr>
            <w:tcW w:w="610" w:type="pct"/>
            <w:gridSpan w:val="2"/>
          </w:tcPr>
          <w:p w14:paraId="4171515B" w14:textId="77777777" w:rsidR="00311EBF" w:rsidRPr="00972C81" w:rsidRDefault="00311EBF" w:rsidP="00CF5D66">
            <w:pPr>
              <w:pStyle w:val="Table"/>
              <w:rPr>
                <w:noProof/>
              </w:rPr>
            </w:pPr>
            <w:r w:rsidRPr="00972C81">
              <w:rPr>
                <w:noProof/>
              </w:rPr>
              <w:t>2</w:t>
            </w:r>
          </w:p>
        </w:tc>
        <w:tc>
          <w:tcPr>
            <w:tcW w:w="611" w:type="pct"/>
            <w:gridSpan w:val="2"/>
          </w:tcPr>
          <w:p w14:paraId="334AE6AD" w14:textId="77777777" w:rsidR="00311EBF" w:rsidRPr="00972C81" w:rsidRDefault="00311EBF" w:rsidP="00CF5D66">
            <w:pPr>
              <w:pStyle w:val="Table"/>
              <w:rPr>
                <w:noProof/>
              </w:rPr>
            </w:pPr>
            <w:r w:rsidRPr="00972C81">
              <w:rPr>
                <w:noProof/>
              </w:rPr>
              <w:t>2</w:t>
            </w:r>
          </w:p>
        </w:tc>
        <w:tc>
          <w:tcPr>
            <w:tcW w:w="612" w:type="pct"/>
          </w:tcPr>
          <w:p w14:paraId="5B8053C9" w14:textId="77777777" w:rsidR="00311EBF" w:rsidRPr="00972C81" w:rsidRDefault="00311EBF" w:rsidP="00CF5D66">
            <w:pPr>
              <w:pStyle w:val="Table"/>
              <w:rPr>
                <w:noProof/>
              </w:rPr>
            </w:pPr>
            <w:r w:rsidRPr="00972C81">
              <w:rPr>
                <w:noProof/>
              </w:rPr>
              <w:t>2</w:t>
            </w:r>
          </w:p>
        </w:tc>
      </w:tr>
      <w:tr w:rsidR="00311EBF" w:rsidRPr="00972C81" w14:paraId="375298FC" w14:textId="77777777" w:rsidTr="00CF5D66">
        <w:trPr>
          <w:trHeight w:val="340"/>
          <w:jc w:val="center"/>
        </w:trPr>
        <w:tc>
          <w:tcPr>
            <w:tcW w:w="1335" w:type="pct"/>
            <w:tcBorders>
              <w:bottom w:val="single" w:sz="4" w:space="0" w:color="auto"/>
            </w:tcBorders>
          </w:tcPr>
          <w:p w14:paraId="6020045F" w14:textId="41406CF5" w:rsidR="00311EBF" w:rsidRPr="00972C81" w:rsidRDefault="00311EBF" w:rsidP="00CF5D66">
            <w:pPr>
              <w:pStyle w:val="Table"/>
              <w:rPr>
                <w:noProof/>
              </w:rPr>
            </w:pPr>
            <w:r>
              <w:rPr>
                <w:noProof/>
              </w:rPr>
              <w:t>Right colon</w:t>
            </w:r>
            <w:r w:rsidRPr="00972C81">
              <w:rPr>
                <w:noProof/>
              </w:rPr>
              <w:t xml:space="preserve"> content</w:t>
            </w:r>
          </w:p>
        </w:tc>
        <w:tc>
          <w:tcPr>
            <w:tcW w:w="610" w:type="pct"/>
            <w:gridSpan w:val="2"/>
            <w:tcBorders>
              <w:bottom w:val="single" w:sz="4" w:space="0" w:color="auto"/>
            </w:tcBorders>
          </w:tcPr>
          <w:p w14:paraId="4754A09B" w14:textId="77777777" w:rsidR="00311EBF" w:rsidRPr="00972C81" w:rsidRDefault="00311EBF" w:rsidP="00CF5D66">
            <w:pPr>
              <w:pStyle w:val="Table"/>
              <w:rPr>
                <w:noProof/>
              </w:rPr>
            </w:pPr>
            <w:r w:rsidRPr="00972C81">
              <w:rPr>
                <w:noProof/>
              </w:rPr>
              <w:t>0.06</w:t>
            </w:r>
          </w:p>
        </w:tc>
        <w:tc>
          <w:tcPr>
            <w:tcW w:w="611" w:type="pct"/>
            <w:gridSpan w:val="2"/>
            <w:tcBorders>
              <w:bottom w:val="single" w:sz="4" w:space="0" w:color="auto"/>
            </w:tcBorders>
          </w:tcPr>
          <w:p w14:paraId="14A229F6" w14:textId="77777777" w:rsidR="00311EBF" w:rsidRPr="00972C81" w:rsidRDefault="00311EBF" w:rsidP="00CF5D66">
            <w:pPr>
              <w:pStyle w:val="Table"/>
              <w:rPr>
                <w:noProof/>
              </w:rPr>
            </w:pPr>
            <w:r w:rsidRPr="00972C81">
              <w:rPr>
                <w:noProof/>
              </w:rPr>
              <w:t>0.06</w:t>
            </w:r>
          </w:p>
        </w:tc>
        <w:tc>
          <w:tcPr>
            <w:tcW w:w="611" w:type="pct"/>
            <w:gridSpan w:val="2"/>
            <w:tcBorders>
              <w:bottom w:val="single" w:sz="4" w:space="0" w:color="auto"/>
            </w:tcBorders>
          </w:tcPr>
          <w:p w14:paraId="2C307911" w14:textId="77777777" w:rsidR="00311EBF" w:rsidRPr="00972C81" w:rsidRDefault="00311EBF" w:rsidP="00CF5D66">
            <w:pPr>
              <w:pStyle w:val="Table"/>
              <w:rPr>
                <w:noProof/>
              </w:rPr>
            </w:pPr>
            <w:r w:rsidRPr="00972C81">
              <w:rPr>
                <w:noProof/>
              </w:rPr>
              <w:t>0.06</w:t>
            </w:r>
          </w:p>
        </w:tc>
        <w:tc>
          <w:tcPr>
            <w:tcW w:w="610" w:type="pct"/>
            <w:gridSpan w:val="2"/>
            <w:tcBorders>
              <w:bottom w:val="single" w:sz="4" w:space="0" w:color="auto"/>
            </w:tcBorders>
          </w:tcPr>
          <w:p w14:paraId="5AA14B94" w14:textId="77777777" w:rsidR="00311EBF" w:rsidRPr="00972C81" w:rsidRDefault="00311EBF" w:rsidP="00CF5D66">
            <w:pPr>
              <w:pStyle w:val="Table"/>
              <w:rPr>
                <w:noProof/>
              </w:rPr>
            </w:pPr>
            <w:r w:rsidRPr="00972C81">
              <w:rPr>
                <w:noProof/>
              </w:rPr>
              <w:t>0.06</w:t>
            </w:r>
          </w:p>
        </w:tc>
        <w:tc>
          <w:tcPr>
            <w:tcW w:w="611" w:type="pct"/>
            <w:gridSpan w:val="2"/>
            <w:tcBorders>
              <w:bottom w:val="single" w:sz="4" w:space="0" w:color="auto"/>
            </w:tcBorders>
          </w:tcPr>
          <w:p w14:paraId="78DD54C3" w14:textId="77777777" w:rsidR="00311EBF" w:rsidRPr="00972C81" w:rsidRDefault="00311EBF" w:rsidP="00CF5D66">
            <w:pPr>
              <w:pStyle w:val="Table"/>
              <w:rPr>
                <w:noProof/>
              </w:rPr>
            </w:pPr>
            <w:r w:rsidRPr="00972C81">
              <w:rPr>
                <w:noProof/>
              </w:rPr>
              <w:t>0.06</w:t>
            </w:r>
          </w:p>
        </w:tc>
        <w:tc>
          <w:tcPr>
            <w:tcW w:w="612" w:type="pct"/>
            <w:tcBorders>
              <w:bottom w:val="single" w:sz="4" w:space="0" w:color="auto"/>
            </w:tcBorders>
          </w:tcPr>
          <w:p w14:paraId="5E09C189" w14:textId="77777777" w:rsidR="00311EBF" w:rsidRPr="00972C81" w:rsidRDefault="00311EBF" w:rsidP="00CF5D66">
            <w:pPr>
              <w:pStyle w:val="Table"/>
              <w:rPr>
                <w:noProof/>
              </w:rPr>
            </w:pPr>
            <w:r w:rsidRPr="00972C81">
              <w:rPr>
                <w:noProof/>
              </w:rPr>
              <w:t>0.06</w:t>
            </w:r>
          </w:p>
        </w:tc>
      </w:tr>
      <w:tr w:rsidR="00104322" w:rsidRPr="00972C81" w14:paraId="041E405B" w14:textId="77777777" w:rsidTr="00CF5D66">
        <w:trPr>
          <w:trHeight w:val="340"/>
          <w:jc w:val="center"/>
        </w:trPr>
        <w:tc>
          <w:tcPr>
            <w:tcW w:w="1335" w:type="pct"/>
            <w:tcBorders>
              <w:top w:val="single" w:sz="4" w:space="0" w:color="auto"/>
            </w:tcBorders>
          </w:tcPr>
          <w:p w14:paraId="76C3CAD1" w14:textId="77777777" w:rsidR="00104322" w:rsidRPr="00972C81" w:rsidRDefault="00104322" w:rsidP="00E81109">
            <w:pPr>
              <w:pStyle w:val="Table"/>
              <w:rPr>
                <w:noProof/>
              </w:rPr>
            </w:pPr>
          </w:p>
        </w:tc>
        <w:tc>
          <w:tcPr>
            <w:tcW w:w="363" w:type="pct"/>
            <w:tcBorders>
              <w:top w:val="single" w:sz="4" w:space="0" w:color="auto"/>
            </w:tcBorders>
          </w:tcPr>
          <w:p w14:paraId="5048BADF" w14:textId="77777777" w:rsidR="00104322" w:rsidRPr="00972C81" w:rsidRDefault="00104322" w:rsidP="00E81109">
            <w:pPr>
              <w:pStyle w:val="Table"/>
              <w:rPr>
                <w:noProof/>
              </w:rPr>
            </w:pPr>
          </w:p>
        </w:tc>
        <w:tc>
          <w:tcPr>
            <w:tcW w:w="671" w:type="pct"/>
            <w:gridSpan w:val="2"/>
            <w:tcBorders>
              <w:top w:val="single" w:sz="4" w:space="0" w:color="auto"/>
            </w:tcBorders>
          </w:tcPr>
          <w:p w14:paraId="1135DC19" w14:textId="77777777" w:rsidR="00104322" w:rsidRPr="00972C81" w:rsidRDefault="00104322" w:rsidP="00E81109">
            <w:pPr>
              <w:pStyle w:val="Table"/>
              <w:rPr>
                <w:noProof/>
              </w:rPr>
            </w:pPr>
          </w:p>
        </w:tc>
        <w:tc>
          <w:tcPr>
            <w:tcW w:w="619" w:type="pct"/>
            <w:gridSpan w:val="2"/>
            <w:tcBorders>
              <w:top w:val="single" w:sz="4" w:space="0" w:color="auto"/>
            </w:tcBorders>
          </w:tcPr>
          <w:p w14:paraId="5A4971D0" w14:textId="77777777" w:rsidR="00104322" w:rsidRPr="00972C81" w:rsidRDefault="00104322" w:rsidP="00E81109">
            <w:pPr>
              <w:pStyle w:val="Table"/>
              <w:rPr>
                <w:noProof/>
              </w:rPr>
            </w:pPr>
          </w:p>
        </w:tc>
        <w:tc>
          <w:tcPr>
            <w:tcW w:w="722" w:type="pct"/>
            <w:gridSpan w:val="2"/>
            <w:tcBorders>
              <w:top w:val="single" w:sz="4" w:space="0" w:color="auto"/>
            </w:tcBorders>
          </w:tcPr>
          <w:p w14:paraId="4EA02462" w14:textId="77777777" w:rsidR="00104322" w:rsidRPr="00972C81" w:rsidRDefault="00104322" w:rsidP="00E81109">
            <w:pPr>
              <w:pStyle w:val="Table"/>
              <w:rPr>
                <w:noProof/>
              </w:rPr>
            </w:pPr>
          </w:p>
        </w:tc>
        <w:tc>
          <w:tcPr>
            <w:tcW w:w="619" w:type="pct"/>
            <w:gridSpan w:val="2"/>
            <w:tcBorders>
              <w:top w:val="single" w:sz="4" w:space="0" w:color="auto"/>
            </w:tcBorders>
          </w:tcPr>
          <w:p w14:paraId="70A0AC0D" w14:textId="77777777" w:rsidR="00104322" w:rsidRPr="00972C81" w:rsidRDefault="00104322" w:rsidP="00E81109">
            <w:pPr>
              <w:pStyle w:val="Table"/>
              <w:rPr>
                <w:noProof/>
              </w:rPr>
            </w:pPr>
          </w:p>
        </w:tc>
        <w:tc>
          <w:tcPr>
            <w:tcW w:w="671" w:type="pct"/>
            <w:gridSpan w:val="2"/>
            <w:tcBorders>
              <w:top w:val="single" w:sz="4" w:space="0" w:color="auto"/>
            </w:tcBorders>
          </w:tcPr>
          <w:p w14:paraId="5EF55081" w14:textId="77777777" w:rsidR="00104322" w:rsidRPr="00972C81" w:rsidRDefault="00104322" w:rsidP="00E81109">
            <w:pPr>
              <w:pStyle w:val="Table"/>
              <w:rPr>
                <w:noProof/>
              </w:rPr>
            </w:pPr>
          </w:p>
        </w:tc>
      </w:tr>
      <w:tr w:rsidR="00104322" w:rsidRPr="00972C81" w14:paraId="72ABF993" w14:textId="77777777" w:rsidTr="00CF5D66">
        <w:trPr>
          <w:trHeight w:val="340"/>
          <w:jc w:val="center"/>
        </w:trPr>
        <w:tc>
          <w:tcPr>
            <w:tcW w:w="1335" w:type="pct"/>
            <w:tcBorders>
              <w:bottom w:val="single" w:sz="4" w:space="0" w:color="auto"/>
            </w:tcBorders>
          </w:tcPr>
          <w:p w14:paraId="17978E38" w14:textId="77777777" w:rsidR="00104322" w:rsidRPr="00972C81" w:rsidRDefault="00104322" w:rsidP="00E81109">
            <w:pPr>
              <w:pStyle w:val="Table"/>
              <w:rPr>
                <w:noProof/>
              </w:rPr>
            </w:pPr>
          </w:p>
        </w:tc>
        <w:tc>
          <w:tcPr>
            <w:tcW w:w="3665" w:type="pct"/>
            <w:gridSpan w:val="11"/>
            <w:tcBorders>
              <w:bottom w:val="single" w:sz="4" w:space="0" w:color="auto"/>
            </w:tcBorders>
          </w:tcPr>
          <w:p w14:paraId="2C37C5CC" w14:textId="77777777" w:rsidR="00104322" w:rsidRPr="00972C81" w:rsidRDefault="00104322" w:rsidP="00C47F2F">
            <w:pPr>
              <w:pStyle w:val="Table"/>
              <w:jc w:val="center"/>
              <w:rPr>
                <w:noProof/>
              </w:rPr>
            </w:pPr>
            <w:r w:rsidRPr="00972C81">
              <w:rPr>
                <w:noProof/>
              </w:rPr>
              <w:t>Removal half-time (y)</w:t>
            </w:r>
          </w:p>
        </w:tc>
      </w:tr>
      <w:tr w:rsidR="00104322" w:rsidRPr="00972C81" w14:paraId="39DD3C80" w14:textId="77777777" w:rsidTr="00CF5D66">
        <w:trPr>
          <w:trHeight w:val="340"/>
          <w:jc w:val="center"/>
        </w:trPr>
        <w:tc>
          <w:tcPr>
            <w:tcW w:w="1335" w:type="pct"/>
            <w:tcBorders>
              <w:top w:val="single" w:sz="4" w:space="0" w:color="auto"/>
            </w:tcBorders>
          </w:tcPr>
          <w:p w14:paraId="4A926DC5" w14:textId="77777777" w:rsidR="00104322" w:rsidRPr="00972C81" w:rsidRDefault="00104322" w:rsidP="00E81109">
            <w:pPr>
              <w:pStyle w:val="Table"/>
              <w:rPr>
                <w:noProof/>
              </w:rPr>
            </w:pPr>
            <w:r w:rsidRPr="00972C81">
              <w:rPr>
                <w:noProof/>
              </w:rPr>
              <w:t>ST1 to Blood</w:t>
            </w:r>
          </w:p>
        </w:tc>
        <w:tc>
          <w:tcPr>
            <w:tcW w:w="610" w:type="pct"/>
            <w:gridSpan w:val="2"/>
            <w:tcBorders>
              <w:top w:val="single" w:sz="4" w:space="0" w:color="auto"/>
            </w:tcBorders>
          </w:tcPr>
          <w:p w14:paraId="6E89F1A9" w14:textId="77777777" w:rsidR="00104322" w:rsidRPr="00972C81" w:rsidRDefault="00104322" w:rsidP="00E81109">
            <w:pPr>
              <w:pStyle w:val="Table"/>
              <w:rPr>
                <w:noProof/>
              </w:rPr>
            </w:pPr>
            <w:r w:rsidRPr="00972C81">
              <w:rPr>
                <w:noProof/>
              </w:rPr>
              <w:t>1 y</w:t>
            </w:r>
          </w:p>
        </w:tc>
        <w:tc>
          <w:tcPr>
            <w:tcW w:w="611" w:type="pct"/>
            <w:gridSpan w:val="2"/>
            <w:tcBorders>
              <w:top w:val="single" w:sz="4" w:space="0" w:color="auto"/>
            </w:tcBorders>
          </w:tcPr>
          <w:p w14:paraId="3D08CB18" w14:textId="77777777" w:rsidR="00104322" w:rsidRPr="00972C81" w:rsidRDefault="00104322" w:rsidP="00E81109">
            <w:pPr>
              <w:pStyle w:val="Table"/>
              <w:rPr>
                <w:noProof/>
              </w:rPr>
            </w:pPr>
            <w:r w:rsidRPr="00972C81">
              <w:rPr>
                <w:noProof/>
              </w:rPr>
              <w:t>1 y</w:t>
            </w:r>
          </w:p>
        </w:tc>
        <w:tc>
          <w:tcPr>
            <w:tcW w:w="611" w:type="pct"/>
            <w:gridSpan w:val="2"/>
            <w:tcBorders>
              <w:top w:val="single" w:sz="4" w:space="0" w:color="auto"/>
            </w:tcBorders>
          </w:tcPr>
          <w:p w14:paraId="15642460" w14:textId="77777777" w:rsidR="00104322" w:rsidRPr="00972C81" w:rsidRDefault="00104322" w:rsidP="00E81109">
            <w:pPr>
              <w:pStyle w:val="Table"/>
              <w:rPr>
                <w:noProof/>
              </w:rPr>
            </w:pPr>
            <w:r w:rsidRPr="00972C81">
              <w:rPr>
                <w:noProof/>
              </w:rPr>
              <w:t>1 y</w:t>
            </w:r>
          </w:p>
        </w:tc>
        <w:tc>
          <w:tcPr>
            <w:tcW w:w="611" w:type="pct"/>
            <w:gridSpan w:val="2"/>
            <w:tcBorders>
              <w:top w:val="single" w:sz="4" w:space="0" w:color="auto"/>
            </w:tcBorders>
          </w:tcPr>
          <w:p w14:paraId="3DD42362" w14:textId="77777777" w:rsidR="00104322" w:rsidRPr="00972C81" w:rsidRDefault="00104322" w:rsidP="00E81109">
            <w:pPr>
              <w:pStyle w:val="Table"/>
              <w:rPr>
                <w:noProof/>
              </w:rPr>
            </w:pPr>
            <w:r w:rsidRPr="00972C81">
              <w:rPr>
                <w:noProof/>
              </w:rPr>
              <w:t>1 y</w:t>
            </w:r>
          </w:p>
        </w:tc>
        <w:tc>
          <w:tcPr>
            <w:tcW w:w="611" w:type="pct"/>
            <w:gridSpan w:val="2"/>
            <w:tcBorders>
              <w:top w:val="single" w:sz="4" w:space="0" w:color="auto"/>
            </w:tcBorders>
          </w:tcPr>
          <w:p w14:paraId="0E5E3C66" w14:textId="77777777" w:rsidR="00104322" w:rsidRPr="00972C81" w:rsidRDefault="00104322" w:rsidP="00E81109">
            <w:pPr>
              <w:pStyle w:val="Table"/>
              <w:rPr>
                <w:noProof/>
              </w:rPr>
            </w:pPr>
            <w:r w:rsidRPr="00972C81">
              <w:rPr>
                <w:noProof/>
              </w:rPr>
              <w:t>1 y</w:t>
            </w:r>
          </w:p>
        </w:tc>
        <w:tc>
          <w:tcPr>
            <w:tcW w:w="611" w:type="pct"/>
            <w:tcBorders>
              <w:top w:val="single" w:sz="4" w:space="0" w:color="auto"/>
            </w:tcBorders>
          </w:tcPr>
          <w:p w14:paraId="503FC7B5" w14:textId="77777777" w:rsidR="00104322" w:rsidRPr="00972C81" w:rsidRDefault="00104322" w:rsidP="00E81109">
            <w:pPr>
              <w:pStyle w:val="Table"/>
              <w:rPr>
                <w:noProof/>
              </w:rPr>
            </w:pPr>
            <w:r w:rsidRPr="00972C81">
              <w:rPr>
                <w:noProof/>
              </w:rPr>
              <w:t>1 y</w:t>
            </w:r>
          </w:p>
        </w:tc>
      </w:tr>
      <w:tr w:rsidR="00104322" w:rsidRPr="00972C81" w14:paraId="462078D5" w14:textId="77777777" w:rsidTr="00CF5D66">
        <w:trPr>
          <w:trHeight w:val="340"/>
          <w:jc w:val="center"/>
        </w:trPr>
        <w:tc>
          <w:tcPr>
            <w:tcW w:w="1335" w:type="pct"/>
            <w:tcBorders>
              <w:bottom w:val="single" w:sz="4" w:space="0" w:color="auto"/>
            </w:tcBorders>
          </w:tcPr>
          <w:p w14:paraId="7766DADB" w14:textId="77777777" w:rsidR="00104322" w:rsidRPr="00972C81" w:rsidRDefault="00104322" w:rsidP="00E81109">
            <w:pPr>
              <w:pStyle w:val="Table"/>
              <w:rPr>
                <w:noProof/>
              </w:rPr>
            </w:pPr>
            <w:r w:rsidRPr="00972C81">
              <w:rPr>
                <w:noProof/>
              </w:rPr>
              <w:t>Liver 2 to Blood</w:t>
            </w:r>
          </w:p>
        </w:tc>
        <w:tc>
          <w:tcPr>
            <w:tcW w:w="610" w:type="pct"/>
            <w:gridSpan w:val="2"/>
            <w:tcBorders>
              <w:bottom w:val="single" w:sz="4" w:space="0" w:color="auto"/>
            </w:tcBorders>
          </w:tcPr>
          <w:p w14:paraId="3FE6F407" w14:textId="77777777" w:rsidR="00104322" w:rsidRPr="00972C81" w:rsidRDefault="00104322" w:rsidP="00E81109">
            <w:pPr>
              <w:pStyle w:val="Table"/>
              <w:rPr>
                <w:noProof/>
              </w:rPr>
            </w:pPr>
            <w:r w:rsidRPr="00972C81">
              <w:rPr>
                <w:noProof/>
              </w:rPr>
              <w:t>2 y</w:t>
            </w:r>
          </w:p>
        </w:tc>
        <w:tc>
          <w:tcPr>
            <w:tcW w:w="611" w:type="pct"/>
            <w:gridSpan w:val="2"/>
            <w:tcBorders>
              <w:bottom w:val="single" w:sz="4" w:space="0" w:color="auto"/>
            </w:tcBorders>
          </w:tcPr>
          <w:p w14:paraId="1A2C7CBF" w14:textId="77777777" w:rsidR="00104322" w:rsidRPr="00972C81" w:rsidRDefault="00104322" w:rsidP="00E81109">
            <w:pPr>
              <w:pStyle w:val="Table"/>
              <w:rPr>
                <w:noProof/>
              </w:rPr>
            </w:pPr>
            <w:r w:rsidRPr="00972C81">
              <w:rPr>
                <w:noProof/>
              </w:rPr>
              <w:t>2 y</w:t>
            </w:r>
          </w:p>
        </w:tc>
        <w:tc>
          <w:tcPr>
            <w:tcW w:w="611" w:type="pct"/>
            <w:gridSpan w:val="2"/>
            <w:tcBorders>
              <w:bottom w:val="single" w:sz="4" w:space="0" w:color="auto"/>
            </w:tcBorders>
          </w:tcPr>
          <w:p w14:paraId="37BA7AD0" w14:textId="77777777" w:rsidR="00104322" w:rsidRPr="00972C81" w:rsidRDefault="00104322" w:rsidP="00E81109">
            <w:pPr>
              <w:pStyle w:val="Table"/>
              <w:rPr>
                <w:noProof/>
              </w:rPr>
            </w:pPr>
            <w:r w:rsidRPr="00972C81">
              <w:rPr>
                <w:noProof/>
              </w:rPr>
              <w:t>2 y</w:t>
            </w:r>
          </w:p>
        </w:tc>
        <w:tc>
          <w:tcPr>
            <w:tcW w:w="611" w:type="pct"/>
            <w:gridSpan w:val="2"/>
            <w:tcBorders>
              <w:bottom w:val="single" w:sz="4" w:space="0" w:color="auto"/>
            </w:tcBorders>
          </w:tcPr>
          <w:p w14:paraId="080645B9" w14:textId="77777777" w:rsidR="00104322" w:rsidRPr="00972C81" w:rsidRDefault="00104322" w:rsidP="00E81109">
            <w:pPr>
              <w:pStyle w:val="Table"/>
              <w:rPr>
                <w:noProof/>
              </w:rPr>
            </w:pPr>
            <w:r w:rsidRPr="00972C81">
              <w:rPr>
                <w:noProof/>
              </w:rPr>
              <w:t>2 y</w:t>
            </w:r>
          </w:p>
        </w:tc>
        <w:tc>
          <w:tcPr>
            <w:tcW w:w="611" w:type="pct"/>
            <w:gridSpan w:val="2"/>
            <w:tcBorders>
              <w:bottom w:val="single" w:sz="4" w:space="0" w:color="auto"/>
            </w:tcBorders>
          </w:tcPr>
          <w:p w14:paraId="73AD7A9C" w14:textId="77777777" w:rsidR="00104322" w:rsidRPr="00972C81" w:rsidRDefault="00104322" w:rsidP="00E81109">
            <w:pPr>
              <w:pStyle w:val="Table"/>
              <w:rPr>
                <w:noProof/>
              </w:rPr>
            </w:pPr>
            <w:r w:rsidRPr="00972C81">
              <w:rPr>
                <w:noProof/>
              </w:rPr>
              <w:t>2 y</w:t>
            </w:r>
          </w:p>
        </w:tc>
        <w:tc>
          <w:tcPr>
            <w:tcW w:w="611" w:type="pct"/>
            <w:tcBorders>
              <w:bottom w:val="single" w:sz="4" w:space="0" w:color="auto"/>
            </w:tcBorders>
          </w:tcPr>
          <w:p w14:paraId="6145998C" w14:textId="77777777" w:rsidR="00104322" w:rsidRPr="00972C81" w:rsidRDefault="00104322" w:rsidP="00E81109">
            <w:pPr>
              <w:pStyle w:val="Table"/>
              <w:rPr>
                <w:noProof/>
              </w:rPr>
            </w:pPr>
            <w:r w:rsidRPr="00972C81">
              <w:rPr>
                <w:noProof/>
              </w:rPr>
              <w:t>2 y</w:t>
            </w:r>
          </w:p>
        </w:tc>
      </w:tr>
    </w:tbl>
    <w:p w14:paraId="4829D480" w14:textId="77777777" w:rsidR="00C66E18" w:rsidRPr="00972C81" w:rsidRDefault="00C66E18" w:rsidP="001C4A92">
      <w:pPr>
        <w:pStyle w:val="Annalstext"/>
        <w:numPr>
          <w:ilvl w:val="0"/>
          <w:numId w:val="0"/>
        </w:numPr>
        <w:ind w:left="360"/>
        <w:rPr>
          <w:noProof/>
        </w:rPr>
      </w:pPr>
    </w:p>
    <w:p w14:paraId="34B2FAD5" w14:textId="77777777" w:rsidR="00104322" w:rsidRPr="00972C81" w:rsidRDefault="00104322" w:rsidP="001C4A92">
      <w:pPr>
        <w:pStyle w:val="Annalstext"/>
        <w:rPr>
          <w:rFonts w:eastAsia="MS Mincho"/>
          <w:noProof/>
        </w:rPr>
      </w:pPr>
      <w:r w:rsidRPr="00972C81">
        <w:rPr>
          <w:noProof/>
        </w:rPr>
        <w:t>The behaviour of cerium in bone is assumed to follow the generic skeletal model for bone-surface-seeking radionuclides. That is, a</w:t>
      </w:r>
      <w:r w:rsidRPr="00972C81">
        <w:rPr>
          <w:rFonts w:eastAsia="MS Mincho"/>
          <w:noProof/>
        </w:rPr>
        <w:t xml:space="preserve">ctivity deposited on bone surface is transferred to bone marrow and bone volume at reference rates based on the age-specific rate of bone turnover. Activity in bone volume is transferred to bone marrow at the rate of bone turnover. Activity is lost from bone marrow to blood with a half-time of 0.25 y and is subsequently redistributed to tissues and excretion pathways based on age-specific deposition fractions. </w:t>
      </w:r>
    </w:p>
    <w:p w14:paraId="2895322E" w14:textId="6B545279" w:rsidR="00104322" w:rsidRPr="00972C81" w:rsidRDefault="00F91EB7" w:rsidP="001C4A92">
      <w:pPr>
        <w:pStyle w:val="Annalstext"/>
        <w:rPr>
          <w:rFonts w:eastAsia="Calibri"/>
          <w:noProof/>
        </w:rPr>
      </w:pPr>
      <w:r w:rsidRPr="00972C81">
        <w:rPr>
          <w:rFonts w:eastAsia="Calibri"/>
          <w:noProof/>
        </w:rPr>
        <w:fldChar w:fldCharType="begin"/>
      </w:r>
      <w:r w:rsidRPr="00972C81">
        <w:rPr>
          <w:rFonts w:eastAsia="Calibri"/>
          <w:noProof/>
        </w:rPr>
        <w:instrText xml:space="preserve"> REF _Ref142299557 \h </w:instrText>
      </w:r>
      <w:r w:rsidRPr="00972C81">
        <w:rPr>
          <w:rFonts w:eastAsia="Calibri"/>
          <w:noProof/>
        </w:rPr>
      </w:r>
      <w:r w:rsidRPr="00972C81">
        <w:rPr>
          <w:rFonts w:eastAsia="Calibri"/>
          <w:noProof/>
        </w:rPr>
        <w:fldChar w:fldCharType="separate"/>
      </w:r>
      <w:r w:rsidR="00A41AD1" w:rsidRPr="00A41AD1">
        <w:rPr>
          <w:noProof/>
          <w:szCs w:val="24"/>
        </w:rPr>
        <w:t xml:space="preserve">Table </w:t>
      </w:r>
      <w:r w:rsidR="00A41AD1">
        <w:rPr>
          <w:noProof/>
          <w:szCs w:val="24"/>
        </w:rPr>
        <w:t>3</w:t>
      </w:r>
      <w:r w:rsidR="00A41AD1" w:rsidRPr="00A41AD1">
        <w:rPr>
          <w:noProof/>
          <w:szCs w:val="24"/>
        </w:rPr>
        <w:t>.</w:t>
      </w:r>
      <w:r w:rsidR="00A41AD1">
        <w:rPr>
          <w:noProof/>
          <w:szCs w:val="24"/>
        </w:rPr>
        <w:t>3</w:t>
      </w:r>
      <w:r w:rsidRPr="00972C81">
        <w:rPr>
          <w:rFonts w:eastAsia="Calibri"/>
          <w:noProof/>
        </w:rPr>
        <w:fldChar w:fldCharType="end"/>
      </w:r>
      <w:r w:rsidR="00104322" w:rsidRPr="00972C81">
        <w:rPr>
          <w:rFonts w:eastAsia="Calibri"/>
          <w:noProof/>
        </w:rPr>
        <w:t xml:space="preserve"> lists the full set of transfer coefficients in the age-specific model for the cerium group.</w:t>
      </w:r>
    </w:p>
    <w:p w14:paraId="48416D9D" w14:textId="77777777" w:rsidR="00CF5D66" w:rsidRDefault="00CF5D66">
      <w:pPr>
        <w:widowControl/>
        <w:jc w:val="left"/>
        <w:rPr>
          <w:noProof/>
          <w:szCs w:val="24"/>
        </w:rPr>
      </w:pPr>
      <w:bookmarkStart w:id="71" w:name="_Ref142299557"/>
      <w:r>
        <w:rPr>
          <w:noProof/>
          <w:szCs w:val="24"/>
        </w:rPr>
        <w:br w:type="page"/>
      </w:r>
    </w:p>
    <w:p w14:paraId="703FF21E" w14:textId="74AA6714" w:rsidR="00104322" w:rsidRPr="00C47F2F" w:rsidRDefault="00B14D65" w:rsidP="00E81109">
      <w:pPr>
        <w:pStyle w:val="ab"/>
        <w:rPr>
          <w:rFonts w:eastAsia="Calibri"/>
          <w:noProof/>
          <w:sz w:val="24"/>
          <w:szCs w:val="24"/>
        </w:rPr>
      </w:pPr>
      <w:r w:rsidRPr="00C47F2F">
        <w:rPr>
          <w:noProof/>
          <w:sz w:val="24"/>
          <w:szCs w:val="24"/>
        </w:rPr>
        <w:lastRenderedPageBreak/>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Pr>
          <w:noProof/>
          <w:sz w:val="24"/>
          <w:szCs w:val="24"/>
        </w:rPr>
        <w:t>3</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Pr>
          <w:noProof/>
          <w:sz w:val="24"/>
          <w:szCs w:val="24"/>
        </w:rPr>
        <w:t>3</w:t>
      </w:r>
      <w:r w:rsidR="00EA3750" w:rsidRPr="00C47F2F">
        <w:rPr>
          <w:noProof/>
          <w:sz w:val="24"/>
          <w:szCs w:val="24"/>
        </w:rPr>
        <w:fldChar w:fldCharType="end"/>
      </w:r>
      <w:bookmarkEnd w:id="71"/>
      <w:r w:rsidRPr="00C47F2F">
        <w:rPr>
          <w:noProof/>
          <w:sz w:val="24"/>
          <w:szCs w:val="24"/>
        </w:rPr>
        <w:t>.</w:t>
      </w:r>
      <w:r w:rsidR="00EB7771" w:rsidRPr="00C47F2F">
        <w:rPr>
          <w:noProof/>
          <w:sz w:val="24"/>
          <w:szCs w:val="24"/>
        </w:rPr>
        <w:t xml:space="preserve"> Age-specific transfer coefficients for the cerium group</w:t>
      </w:r>
    </w:p>
    <w:tbl>
      <w:tblPr>
        <w:tblW w:w="5000" w:type="pct"/>
        <w:tblLook w:val="04A0" w:firstRow="1" w:lastRow="0" w:firstColumn="1" w:lastColumn="0" w:noHBand="0" w:noVBand="1"/>
      </w:tblPr>
      <w:tblGrid>
        <w:gridCol w:w="2895"/>
        <w:gridCol w:w="1022"/>
        <w:gridCol w:w="1022"/>
        <w:gridCol w:w="1022"/>
        <w:gridCol w:w="1022"/>
        <w:gridCol w:w="1022"/>
        <w:gridCol w:w="1022"/>
      </w:tblGrid>
      <w:tr w:rsidR="00F730DC" w:rsidRPr="00972C81" w14:paraId="01225352" w14:textId="77777777" w:rsidTr="006A409D">
        <w:trPr>
          <w:trHeight w:val="340"/>
        </w:trPr>
        <w:tc>
          <w:tcPr>
            <w:tcW w:w="2895" w:type="dxa"/>
            <w:vMerge w:val="restart"/>
            <w:tcBorders>
              <w:top w:val="single" w:sz="4" w:space="0" w:color="auto"/>
            </w:tcBorders>
            <w:shd w:val="clear" w:color="auto" w:fill="auto"/>
            <w:noWrap/>
            <w:vAlign w:val="center"/>
          </w:tcPr>
          <w:p w14:paraId="1074348D" w14:textId="0D11D758" w:rsidR="00104322" w:rsidRPr="00CF5D66" w:rsidRDefault="00104322" w:rsidP="00E424DA">
            <w:pPr>
              <w:pStyle w:val="Table"/>
              <w:rPr>
                <w:noProof/>
                <w:sz w:val="20"/>
                <w:szCs w:val="20"/>
              </w:rPr>
            </w:pPr>
            <w:r w:rsidRPr="00CF5D66">
              <w:rPr>
                <w:noProof/>
                <w:sz w:val="20"/>
                <w:szCs w:val="20"/>
              </w:rPr>
              <w:t>Pathway</w:t>
            </w:r>
            <w:r w:rsidR="00D0532A" w:rsidRPr="00CF5D66">
              <w:rPr>
                <w:noProof/>
                <w:sz w:val="20"/>
                <w:szCs w:val="20"/>
                <w:vertAlign w:val="superscript"/>
              </w:rPr>
              <w:t>a</w:t>
            </w:r>
          </w:p>
        </w:tc>
        <w:tc>
          <w:tcPr>
            <w:tcW w:w="6132" w:type="dxa"/>
            <w:gridSpan w:val="6"/>
            <w:tcBorders>
              <w:top w:val="single" w:sz="4" w:space="0" w:color="auto"/>
              <w:bottom w:val="single" w:sz="4" w:space="0" w:color="auto"/>
            </w:tcBorders>
            <w:shd w:val="clear" w:color="auto" w:fill="auto"/>
            <w:noWrap/>
            <w:vAlign w:val="center"/>
          </w:tcPr>
          <w:p w14:paraId="5510D0AD" w14:textId="77777777" w:rsidR="00104322" w:rsidRPr="00CF5D66" w:rsidRDefault="00104322" w:rsidP="006A409D">
            <w:pPr>
              <w:pStyle w:val="Table"/>
              <w:jc w:val="center"/>
              <w:rPr>
                <w:noProof/>
                <w:sz w:val="20"/>
                <w:szCs w:val="20"/>
              </w:rPr>
            </w:pPr>
            <w:r w:rsidRPr="00CF5D66">
              <w:rPr>
                <w:noProof/>
                <w:sz w:val="20"/>
                <w:szCs w:val="20"/>
              </w:rPr>
              <w:t>Transfer coefficient (d</w:t>
            </w:r>
            <w:r w:rsidRPr="00CF5D66">
              <w:rPr>
                <w:noProof/>
                <w:sz w:val="20"/>
                <w:szCs w:val="20"/>
                <w:vertAlign w:val="superscript"/>
              </w:rPr>
              <w:t>-1</w:t>
            </w:r>
            <w:r w:rsidRPr="00CF5D66">
              <w:rPr>
                <w:noProof/>
                <w:sz w:val="20"/>
                <w:szCs w:val="20"/>
              </w:rPr>
              <w:t>)</w:t>
            </w:r>
          </w:p>
        </w:tc>
      </w:tr>
      <w:tr w:rsidR="00F730DC" w:rsidRPr="00972C81" w14:paraId="3544EE09" w14:textId="77777777" w:rsidTr="006A409D">
        <w:trPr>
          <w:trHeight w:val="340"/>
        </w:trPr>
        <w:tc>
          <w:tcPr>
            <w:tcW w:w="2895" w:type="dxa"/>
            <w:vMerge/>
            <w:tcBorders>
              <w:bottom w:val="single" w:sz="4" w:space="0" w:color="auto"/>
            </w:tcBorders>
            <w:shd w:val="clear" w:color="auto" w:fill="auto"/>
            <w:noWrap/>
            <w:vAlign w:val="bottom"/>
          </w:tcPr>
          <w:p w14:paraId="1CE3156E" w14:textId="77777777" w:rsidR="00104322" w:rsidRPr="00CF5D66" w:rsidRDefault="00104322" w:rsidP="00E81109">
            <w:pPr>
              <w:pStyle w:val="Table"/>
              <w:rPr>
                <w:noProof/>
                <w:sz w:val="20"/>
                <w:szCs w:val="20"/>
              </w:rPr>
            </w:pPr>
          </w:p>
        </w:tc>
        <w:tc>
          <w:tcPr>
            <w:tcW w:w="1022" w:type="dxa"/>
            <w:tcBorders>
              <w:top w:val="single" w:sz="4" w:space="0" w:color="auto"/>
              <w:bottom w:val="single" w:sz="4" w:space="0" w:color="auto"/>
            </w:tcBorders>
            <w:shd w:val="clear" w:color="auto" w:fill="auto"/>
            <w:noWrap/>
            <w:vAlign w:val="center"/>
          </w:tcPr>
          <w:p w14:paraId="4EB9EFFB" w14:textId="77777777" w:rsidR="00104322" w:rsidRPr="00CF5D66" w:rsidRDefault="00104322" w:rsidP="006A409D">
            <w:pPr>
              <w:pStyle w:val="Table"/>
              <w:rPr>
                <w:noProof/>
                <w:sz w:val="20"/>
                <w:szCs w:val="20"/>
              </w:rPr>
            </w:pPr>
            <w:r w:rsidRPr="00CF5D66">
              <w:rPr>
                <w:noProof/>
                <w:sz w:val="20"/>
                <w:szCs w:val="20"/>
              </w:rPr>
              <w:t>100 d</w:t>
            </w:r>
          </w:p>
        </w:tc>
        <w:tc>
          <w:tcPr>
            <w:tcW w:w="1022" w:type="dxa"/>
            <w:tcBorders>
              <w:top w:val="single" w:sz="4" w:space="0" w:color="auto"/>
              <w:bottom w:val="single" w:sz="4" w:space="0" w:color="auto"/>
            </w:tcBorders>
            <w:shd w:val="clear" w:color="auto" w:fill="auto"/>
            <w:noWrap/>
            <w:vAlign w:val="center"/>
          </w:tcPr>
          <w:p w14:paraId="4E385F6A" w14:textId="77777777" w:rsidR="00104322" w:rsidRPr="00CF5D66" w:rsidRDefault="00104322" w:rsidP="006A409D">
            <w:pPr>
              <w:pStyle w:val="Table"/>
              <w:rPr>
                <w:noProof/>
                <w:sz w:val="20"/>
                <w:szCs w:val="20"/>
              </w:rPr>
            </w:pPr>
            <w:r w:rsidRPr="00CF5D66">
              <w:rPr>
                <w:noProof/>
                <w:sz w:val="20"/>
                <w:szCs w:val="20"/>
              </w:rPr>
              <w:t>1 y</w:t>
            </w:r>
          </w:p>
        </w:tc>
        <w:tc>
          <w:tcPr>
            <w:tcW w:w="1022" w:type="dxa"/>
            <w:tcBorders>
              <w:top w:val="single" w:sz="4" w:space="0" w:color="auto"/>
              <w:bottom w:val="single" w:sz="4" w:space="0" w:color="auto"/>
            </w:tcBorders>
            <w:shd w:val="clear" w:color="auto" w:fill="auto"/>
            <w:noWrap/>
            <w:vAlign w:val="center"/>
          </w:tcPr>
          <w:p w14:paraId="63B144F7" w14:textId="77777777" w:rsidR="00104322" w:rsidRPr="00CF5D66" w:rsidRDefault="00104322" w:rsidP="006A409D">
            <w:pPr>
              <w:pStyle w:val="Table"/>
              <w:rPr>
                <w:noProof/>
                <w:sz w:val="20"/>
                <w:szCs w:val="20"/>
              </w:rPr>
            </w:pPr>
            <w:r w:rsidRPr="00CF5D66">
              <w:rPr>
                <w:noProof/>
                <w:sz w:val="20"/>
                <w:szCs w:val="20"/>
              </w:rPr>
              <w:t>5 y</w:t>
            </w:r>
          </w:p>
        </w:tc>
        <w:tc>
          <w:tcPr>
            <w:tcW w:w="1022" w:type="dxa"/>
            <w:tcBorders>
              <w:top w:val="single" w:sz="4" w:space="0" w:color="auto"/>
              <w:bottom w:val="single" w:sz="4" w:space="0" w:color="auto"/>
            </w:tcBorders>
            <w:shd w:val="clear" w:color="auto" w:fill="auto"/>
            <w:noWrap/>
            <w:vAlign w:val="center"/>
          </w:tcPr>
          <w:p w14:paraId="22AFA14E" w14:textId="77777777" w:rsidR="00104322" w:rsidRPr="00CF5D66" w:rsidRDefault="00104322" w:rsidP="006A409D">
            <w:pPr>
              <w:pStyle w:val="Table"/>
              <w:rPr>
                <w:noProof/>
                <w:sz w:val="20"/>
                <w:szCs w:val="20"/>
              </w:rPr>
            </w:pPr>
            <w:r w:rsidRPr="00CF5D66">
              <w:rPr>
                <w:noProof/>
                <w:sz w:val="20"/>
                <w:szCs w:val="20"/>
              </w:rPr>
              <w:t>10 y</w:t>
            </w:r>
          </w:p>
        </w:tc>
        <w:tc>
          <w:tcPr>
            <w:tcW w:w="1022" w:type="dxa"/>
            <w:tcBorders>
              <w:top w:val="single" w:sz="4" w:space="0" w:color="auto"/>
              <w:bottom w:val="single" w:sz="4" w:space="0" w:color="auto"/>
            </w:tcBorders>
            <w:shd w:val="clear" w:color="auto" w:fill="auto"/>
            <w:noWrap/>
            <w:vAlign w:val="center"/>
          </w:tcPr>
          <w:p w14:paraId="46CC048D" w14:textId="77777777" w:rsidR="00104322" w:rsidRPr="00CF5D66" w:rsidRDefault="00104322" w:rsidP="006A409D">
            <w:pPr>
              <w:pStyle w:val="Table"/>
              <w:rPr>
                <w:noProof/>
                <w:sz w:val="20"/>
                <w:szCs w:val="20"/>
              </w:rPr>
            </w:pPr>
            <w:r w:rsidRPr="00CF5D66">
              <w:rPr>
                <w:noProof/>
                <w:sz w:val="20"/>
                <w:szCs w:val="20"/>
              </w:rPr>
              <w:t>15 y</w:t>
            </w:r>
          </w:p>
        </w:tc>
        <w:tc>
          <w:tcPr>
            <w:tcW w:w="1022" w:type="dxa"/>
            <w:tcBorders>
              <w:top w:val="single" w:sz="4" w:space="0" w:color="auto"/>
              <w:bottom w:val="single" w:sz="4" w:space="0" w:color="auto"/>
            </w:tcBorders>
            <w:shd w:val="clear" w:color="auto" w:fill="auto"/>
            <w:noWrap/>
            <w:vAlign w:val="center"/>
          </w:tcPr>
          <w:p w14:paraId="1BD77F8C" w14:textId="77777777" w:rsidR="00104322" w:rsidRPr="00CF5D66" w:rsidRDefault="00104322" w:rsidP="006A409D">
            <w:pPr>
              <w:pStyle w:val="Table"/>
              <w:rPr>
                <w:noProof/>
                <w:sz w:val="20"/>
                <w:szCs w:val="20"/>
              </w:rPr>
            </w:pPr>
            <w:r w:rsidRPr="00CF5D66">
              <w:rPr>
                <w:noProof/>
                <w:sz w:val="20"/>
                <w:szCs w:val="20"/>
              </w:rPr>
              <w:t>Adult</w:t>
            </w:r>
          </w:p>
        </w:tc>
      </w:tr>
      <w:tr w:rsidR="00311EBF" w:rsidRPr="00972C81" w14:paraId="22D4C815" w14:textId="77777777" w:rsidTr="00CF5D66">
        <w:trPr>
          <w:trHeight w:val="340"/>
        </w:trPr>
        <w:tc>
          <w:tcPr>
            <w:tcW w:w="2895" w:type="dxa"/>
            <w:tcBorders>
              <w:top w:val="single" w:sz="4" w:space="0" w:color="auto"/>
            </w:tcBorders>
            <w:shd w:val="clear" w:color="auto" w:fill="auto"/>
            <w:noWrap/>
            <w:vAlign w:val="center"/>
            <w:hideMark/>
          </w:tcPr>
          <w:p w14:paraId="306C9062" w14:textId="7297D8D7" w:rsidR="00311EBF" w:rsidRPr="00CF5D66" w:rsidRDefault="00311EBF" w:rsidP="00CF5D66">
            <w:pPr>
              <w:pStyle w:val="Table"/>
              <w:rPr>
                <w:noProof/>
                <w:sz w:val="20"/>
                <w:szCs w:val="20"/>
              </w:rPr>
            </w:pPr>
            <w:r w:rsidRPr="00CF5D66">
              <w:rPr>
                <w:noProof/>
                <w:sz w:val="20"/>
                <w:szCs w:val="20"/>
              </w:rPr>
              <w:t>Blood to Liver 1</w:t>
            </w:r>
          </w:p>
        </w:tc>
        <w:tc>
          <w:tcPr>
            <w:tcW w:w="1022" w:type="dxa"/>
            <w:tcBorders>
              <w:top w:val="single" w:sz="4" w:space="0" w:color="auto"/>
            </w:tcBorders>
            <w:shd w:val="clear" w:color="auto" w:fill="auto"/>
            <w:noWrap/>
            <w:vAlign w:val="center"/>
            <w:hideMark/>
          </w:tcPr>
          <w:p w14:paraId="4FEBD385" w14:textId="77777777" w:rsidR="00311EBF" w:rsidRPr="00CF5D66" w:rsidRDefault="00311EBF" w:rsidP="00CF5D66">
            <w:pPr>
              <w:pStyle w:val="Table"/>
              <w:rPr>
                <w:noProof/>
                <w:sz w:val="20"/>
                <w:szCs w:val="20"/>
              </w:rPr>
            </w:pPr>
            <w:r w:rsidRPr="00CF5D66">
              <w:rPr>
                <w:noProof/>
                <w:sz w:val="20"/>
                <w:szCs w:val="20"/>
              </w:rPr>
              <w:t>2.33E+00</w:t>
            </w:r>
          </w:p>
        </w:tc>
        <w:tc>
          <w:tcPr>
            <w:tcW w:w="1022" w:type="dxa"/>
            <w:tcBorders>
              <w:top w:val="single" w:sz="4" w:space="0" w:color="auto"/>
            </w:tcBorders>
            <w:shd w:val="clear" w:color="auto" w:fill="auto"/>
            <w:noWrap/>
            <w:vAlign w:val="center"/>
            <w:hideMark/>
          </w:tcPr>
          <w:p w14:paraId="251E7FF1" w14:textId="77777777" w:rsidR="00311EBF" w:rsidRPr="00CF5D66" w:rsidRDefault="00311EBF" w:rsidP="00CF5D66">
            <w:pPr>
              <w:pStyle w:val="Table"/>
              <w:rPr>
                <w:noProof/>
                <w:sz w:val="20"/>
                <w:szCs w:val="20"/>
              </w:rPr>
            </w:pPr>
            <w:r w:rsidRPr="00CF5D66">
              <w:rPr>
                <w:noProof/>
                <w:sz w:val="20"/>
                <w:szCs w:val="20"/>
              </w:rPr>
              <w:t>2.33E+00</w:t>
            </w:r>
          </w:p>
        </w:tc>
        <w:tc>
          <w:tcPr>
            <w:tcW w:w="1022" w:type="dxa"/>
            <w:tcBorders>
              <w:top w:val="single" w:sz="4" w:space="0" w:color="auto"/>
            </w:tcBorders>
            <w:shd w:val="clear" w:color="auto" w:fill="auto"/>
            <w:noWrap/>
            <w:vAlign w:val="center"/>
            <w:hideMark/>
          </w:tcPr>
          <w:p w14:paraId="1E1F063D" w14:textId="77777777" w:rsidR="00311EBF" w:rsidRPr="00CF5D66" w:rsidRDefault="00311EBF" w:rsidP="00CF5D66">
            <w:pPr>
              <w:pStyle w:val="Table"/>
              <w:rPr>
                <w:noProof/>
                <w:sz w:val="20"/>
                <w:szCs w:val="20"/>
              </w:rPr>
            </w:pPr>
            <w:r w:rsidRPr="00CF5D66">
              <w:rPr>
                <w:noProof/>
                <w:sz w:val="20"/>
                <w:szCs w:val="20"/>
              </w:rPr>
              <w:t>6.98E+00</w:t>
            </w:r>
          </w:p>
        </w:tc>
        <w:tc>
          <w:tcPr>
            <w:tcW w:w="1022" w:type="dxa"/>
            <w:tcBorders>
              <w:top w:val="single" w:sz="4" w:space="0" w:color="auto"/>
            </w:tcBorders>
            <w:shd w:val="clear" w:color="auto" w:fill="auto"/>
            <w:noWrap/>
            <w:vAlign w:val="center"/>
            <w:hideMark/>
          </w:tcPr>
          <w:p w14:paraId="273F02CA" w14:textId="77777777" w:rsidR="00311EBF" w:rsidRPr="00CF5D66" w:rsidRDefault="00311EBF" w:rsidP="00CF5D66">
            <w:pPr>
              <w:pStyle w:val="Table"/>
              <w:rPr>
                <w:noProof/>
                <w:sz w:val="20"/>
                <w:szCs w:val="20"/>
              </w:rPr>
            </w:pPr>
            <w:r w:rsidRPr="00CF5D66">
              <w:rPr>
                <w:noProof/>
                <w:sz w:val="20"/>
                <w:szCs w:val="20"/>
              </w:rPr>
              <w:t>6.98E+00</w:t>
            </w:r>
          </w:p>
        </w:tc>
        <w:tc>
          <w:tcPr>
            <w:tcW w:w="1022" w:type="dxa"/>
            <w:tcBorders>
              <w:top w:val="single" w:sz="4" w:space="0" w:color="auto"/>
            </w:tcBorders>
            <w:shd w:val="clear" w:color="auto" w:fill="auto"/>
            <w:noWrap/>
            <w:vAlign w:val="center"/>
            <w:hideMark/>
          </w:tcPr>
          <w:p w14:paraId="375AD4CD" w14:textId="77777777" w:rsidR="00311EBF" w:rsidRPr="00CF5D66" w:rsidRDefault="00311EBF" w:rsidP="00CF5D66">
            <w:pPr>
              <w:pStyle w:val="Table"/>
              <w:rPr>
                <w:noProof/>
                <w:sz w:val="20"/>
                <w:szCs w:val="20"/>
              </w:rPr>
            </w:pPr>
            <w:r w:rsidRPr="00CF5D66">
              <w:rPr>
                <w:noProof/>
                <w:sz w:val="20"/>
                <w:szCs w:val="20"/>
              </w:rPr>
              <w:t>6.98E+00</w:t>
            </w:r>
          </w:p>
        </w:tc>
        <w:tc>
          <w:tcPr>
            <w:tcW w:w="1022" w:type="dxa"/>
            <w:tcBorders>
              <w:top w:val="single" w:sz="4" w:space="0" w:color="auto"/>
            </w:tcBorders>
            <w:shd w:val="clear" w:color="auto" w:fill="auto"/>
            <w:noWrap/>
            <w:vAlign w:val="center"/>
            <w:hideMark/>
          </w:tcPr>
          <w:p w14:paraId="32A29903" w14:textId="77777777" w:rsidR="00311EBF" w:rsidRPr="00CF5D66" w:rsidRDefault="00311EBF" w:rsidP="00CF5D66">
            <w:pPr>
              <w:pStyle w:val="Table"/>
              <w:rPr>
                <w:noProof/>
                <w:sz w:val="20"/>
                <w:szCs w:val="20"/>
              </w:rPr>
            </w:pPr>
            <w:r w:rsidRPr="00CF5D66">
              <w:rPr>
                <w:noProof/>
                <w:sz w:val="20"/>
                <w:szCs w:val="20"/>
              </w:rPr>
              <w:t>1.16E+01</w:t>
            </w:r>
          </w:p>
        </w:tc>
      </w:tr>
      <w:tr w:rsidR="00311EBF" w:rsidRPr="00972C81" w14:paraId="03BAD23A" w14:textId="77777777" w:rsidTr="00CF5D66">
        <w:trPr>
          <w:trHeight w:val="340"/>
        </w:trPr>
        <w:tc>
          <w:tcPr>
            <w:tcW w:w="2895" w:type="dxa"/>
            <w:shd w:val="clear" w:color="auto" w:fill="auto"/>
            <w:noWrap/>
            <w:vAlign w:val="center"/>
            <w:hideMark/>
          </w:tcPr>
          <w:p w14:paraId="580C85C0" w14:textId="6AC90C6A" w:rsidR="00311EBF" w:rsidRPr="00CF5D66" w:rsidRDefault="00311EBF" w:rsidP="00CF5D66">
            <w:pPr>
              <w:pStyle w:val="Table"/>
              <w:rPr>
                <w:noProof/>
                <w:sz w:val="20"/>
                <w:szCs w:val="20"/>
              </w:rPr>
            </w:pPr>
            <w:r w:rsidRPr="00CF5D66">
              <w:rPr>
                <w:noProof/>
                <w:sz w:val="20"/>
                <w:szCs w:val="20"/>
              </w:rPr>
              <w:t>Blood to  ST0</w:t>
            </w:r>
          </w:p>
        </w:tc>
        <w:tc>
          <w:tcPr>
            <w:tcW w:w="1022" w:type="dxa"/>
            <w:shd w:val="clear" w:color="auto" w:fill="auto"/>
            <w:noWrap/>
            <w:vAlign w:val="center"/>
            <w:hideMark/>
          </w:tcPr>
          <w:p w14:paraId="7373F276" w14:textId="77777777" w:rsidR="00311EBF" w:rsidRPr="00CF5D66" w:rsidRDefault="00311EBF" w:rsidP="00CF5D66">
            <w:pPr>
              <w:pStyle w:val="Table"/>
              <w:rPr>
                <w:noProof/>
                <w:sz w:val="20"/>
                <w:szCs w:val="20"/>
              </w:rPr>
            </w:pPr>
            <w:r w:rsidRPr="00CF5D66">
              <w:rPr>
                <w:noProof/>
                <w:sz w:val="20"/>
                <w:szCs w:val="20"/>
              </w:rPr>
              <w:t>9.98E+00</w:t>
            </w:r>
          </w:p>
        </w:tc>
        <w:tc>
          <w:tcPr>
            <w:tcW w:w="1022" w:type="dxa"/>
            <w:shd w:val="clear" w:color="auto" w:fill="auto"/>
            <w:noWrap/>
            <w:vAlign w:val="center"/>
            <w:hideMark/>
          </w:tcPr>
          <w:p w14:paraId="42297F4B" w14:textId="77777777" w:rsidR="00311EBF" w:rsidRPr="00CF5D66" w:rsidRDefault="00311EBF" w:rsidP="00CF5D66">
            <w:pPr>
              <w:pStyle w:val="Table"/>
              <w:rPr>
                <w:noProof/>
                <w:sz w:val="20"/>
                <w:szCs w:val="20"/>
              </w:rPr>
            </w:pPr>
            <w:r w:rsidRPr="00CF5D66">
              <w:rPr>
                <w:noProof/>
                <w:sz w:val="20"/>
                <w:szCs w:val="20"/>
              </w:rPr>
              <w:t>9.98E+00</w:t>
            </w:r>
          </w:p>
        </w:tc>
        <w:tc>
          <w:tcPr>
            <w:tcW w:w="1022" w:type="dxa"/>
            <w:shd w:val="clear" w:color="auto" w:fill="auto"/>
            <w:noWrap/>
            <w:vAlign w:val="center"/>
            <w:hideMark/>
          </w:tcPr>
          <w:p w14:paraId="4D0545C6" w14:textId="77777777" w:rsidR="00311EBF" w:rsidRPr="00CF5D66" w:rsidRDefault="00311EBF" w:rsidP="00CF5D66">
            <w:pPr>
              <w:pStyle w:val="Table"/>
              <w:rPr>
                <w:noProof/>
                <w:sz w:val="20"/>
                <w:szCs w:val="20"/>
              </w:rPr>
            </w:pPr>
            <w:r w:rsidRPr="00CF5D66">
              <w:rPr>
                <w:noProof/>
                <w:sz w:val="20"/>
                <w:szCs w:val="20"/>
              </w:rPr>
              <w:t>9.98E+00</w:t>
            </w:r>
          </w:p>
        </w:tc>
        <w:tc>
          <w:tcPr>
            <w:tcW w:w="1022" w:type="dxa"/>
            <w:shd w:val="clear" w:color="auto" w:fill="auto"/>
            <w:noWrap/>
            <w:vAlign w:val="center"/>
            <w:hideMark/>
          </w:tcPr>
          <w:p w14:paraId="5E529B7D" w14:textId="77777777" w:rsidR="00311EBF" w:rsidRPr="00CF5D66" w:rsidRDefault="00311EBF" w:rsidP="00CF5D66">
            <w:pPr>
              <w:pStyle w:val="Table"/>
              <w:rPr>
                <w:noProof/>
                <w:sz w:val="20"/>
                <w:szCs w:val="20"/>
              </w:rPr>
            </w:pPr>
            <w:r w:rsidRPr="00CF5D66">
              <w:rPr>
                <w:noProof/>
                <w:sz w:val="20"/>
                <w:szCs w:val="20"/>
              </w:rPr>
              <w:t>9.98E+00</w:t>
            </w:r>
          </w:p>
        </w:tc>
        <w:tc>
          <w:tcPr>
            <w:tcW w:w="1022" w:type="dxa"/>
            <w:shd w:val="clear" w:color="auto" w:fill="auto"/>
            <w:noWrap/>
            <w:vAlign w:val="center"/>
            <w:hideMark/>
          </w:tcPr>
          <w:p w14:paraId="2223ED18" w14:textId="77777777" w:rsidR="00311EBF" w:rsidRPr="00CF5D66" w:rsidRDefault="00311EBF" w:rsidP="00CF5D66">
            <w:pPr>
              <w:pStyle w:val="Table"/>
              <w:rPr>
                <w:noProof/>
                <w:sz w:val="20"/>
                <w:szCs w:val="20"/>
              </w:rPr>
            </w:pPr>
            <w:r w:rsidRPr="00CF5D66">
              <w:rPr>
                <w:noProof/>
                <w:sz w:val="20"/>
                <w:szCs w:val="20"/>
              </w:rPr>
              <w:t>9.98E+00</w:t>
            </w:r>
          </w:p>
        </w:tc>
        <w:tc>
          <w:tcPr>
            <w:tcW w:w="1022" w:type="dxa"/>
            <w:shd w:val="clear" w:color="auto" w:fill="auto"/>
            <w:noWrap/>
            <w:vAlign w:val="center"/>
            <w:hideMark/>
          </w:tcPr>
          <w:p w14:paraId="574B6DA9" w14:textId="77777777" w:rsidR="00311EBF" w:rsidRPr="00CF5D66" w:rsidRDefault="00311EBF" w:rsidP="00CF5D66">
            <w:pPr>
              <w:pStyle w:val="Table"/>
              <w:rPr>
                <w:noProof/>
                <w:sz w:val="20"/>
                <w:szCs w:val="20"/>
              </w:rPr>
            </w:pPr>
            <w:r w:rsidRPr="00CF5D66">
              <w:rPr>
                <w:noProof/>
                <w:sz w:val="20"/>
                <w:szCs w:val="20"/>
              </w:rPr>
              <w:t>9.98E+00</w:t>
            </w:r>
          </w:p>
        </w:tc>
      </w:tr>
      <w:tr w:rsidR="00311EBF" w:rsidRPr="00972C81" w14:paraId="46AFAFD0" w14:textId="77777777" w:rsidTr="00CF5D66">
        <w:trPr>
          <w:trHeight w:val="340"/>
        </w:trPr>
        <w:tc>
          <w:tcPr>
            <w:tcW w:w="2895" w:type="dxa"/>
            <w:shd w:val="clear" w:color="auto" w:fill="auto"/>
            <w:noWrap/>
            <w:vAlign w:val="center"/>
            <w:hideMark/>
          </w:tcPr>
          <w:p w14:paraId="311FA8C7" w14:textId="75D4D5DC" w:rsidR="00311EBF" w:rsidRPr="00CF5D66" w:rsidRDefault="00311EBF" w:rsidP="00CF5D66">
            <w:pPr>
              <w:pStyle w:val="Table"/>
              <w:rPr>
                <w:noProof/>
                <w:sz w:val="20"/>
                <w:szCs w:val="20"/>
              </w:rPr>
            </w:pPr>
            <w:r w:rsidRPr="00CF5D66">
              <w:rPr>
                <w:noProof/>
                <w:sz w:val="20"/>
                <w:szCs w:val="20"/>
              </w:rPr>
              <w:t xml:space="preserve">Blood to  ST1 </w:t>
            </w:r>
          </w:p>
        </w:tc>
        <w:tc>
          <w:tcPr>
            <w:tcW w:w="1022" w:type="dxa"/>
            <w:shd w:val="clear" w:color="auto" w:fill="auto"/>
            <w:noWrap/>
            <w:vAlign w:val="center"/>
            <w:hideMark/>
          </w:tcPr>
          <w:p w14:paraId="269AAC7E" w14:textId="77777777" w:rsidR="00311EBF" w:rsidRPr="00CF5D66" w:rsidRDefault="00311EBF" w:rsidP="00CF5D66">
            <w:pPr>
              <w:pStyle w:val="Table"/>
              <w:rPr>
                <w:noProof/>
                <w:sz w:val="20"/>
                <w:szCs w:val="20"/>
              </w:rPr>
            </w:pPr>
            <w:r w:rsidRPr="00CF5D66">
              <w:rPr>
                <w:noProof/>
                <w:sz w:val="20"/>
                <w:szCs w:val="20"/>
              </w:rPr>
              <w:t>1.85E+00</w:t>
            </w:r>
          </w:p>
        </w:tc>
        <w:tc>
          <w:tcPr>
            <w:tcW w:w="1022" w:type="dxa"/>
            <w:shd w:val="clear" w:color="auto" w:fill="auto"/>
            <w:noWrap/>
            <w:vAlign w:val="center"/>
            <w:hideMark/>
          </w:tcPr>
          <w:p w14:paraId="16D81B38" w14:textId="77777777" w:rsidR="00311EBF" w:rsidRPr="00CF5D66" w:rsidRDefault="00311EBF" w:rsidP="00CF5D66">
            <w:pPr>
              <w:pStyle w:val="Table"/>
              <w:rPr>
                <w:noProof/>
                <w:sz w:val="20"/>
                <w:szCs w:val="20"/>
              </w:rPr>
            </w:pPr>
            <w:r w:rsidRPr="00CF5D66">
              <w:rPr>
                <w:noProof/>
                <w:sz w:val="20"/>
                <w:szCs w:val="20"/>
              </w:rPr>
              <w:t>1.85E+00</w:t>
            </w:r>
          </w:p>
        </w:tc>
        <w:tc>
          <w:tcPr>
            <w:tcW w:w="1022" w:type="dxa"/>
            <w:shd w:val="clear" w:color="auto" w:fill="auto"/>
            <w:noWrap/>
            <w:vAlign w:val="center"/>
            <w:hideMark/>
          </w:tcPr>
          <w:p w14:paraId="7B98E4B8" w14:textId="77777777" w:rsidR="00311EBF" w:rsidRPr="00CF5D66" w:rsidRDefault="00311EBF" w:rsidP="00CF5D66">
            <w:pPr>
              <w:pStyle w:val="Table"/>
              <w:rPr>
                <w:noProof/>
                <w:sz w:val="20"/>
                <w:szCs w:val="20"/>
              </w:rPr>
            </w:pPr>
            <w:r w:rsidRPr="00CF5D66">
              <w:rPr>
                <w:noProof/>
                <w:sz w:val="20"/>
                <w:szCs w:val="20"/>
              </w:rPr>
              <w:t>1.85E+00</w:t>
            </w:r>
          </w:p>
        </w:tc>
        <w:tc>
          <w:tcPr>
            <w:tcW w:w="1022" w:type="dxa"/>
            <w:shd w:val="clear" w:color="auto" w:fill="auto"/>
            <w:noWrap/>
            <w:vAlign w:val="center"/>
            <w:hideMark/>
          </w:tcPr>
          <w:p w14:paraId="338B5B95" w14:textId="77777777" w:rsidR="00311EBF" w:rsidRPr="00CF5D66" w:rsidRDefault="00311EBF" w:rsidP="00CF5D66">
            <w:pPr>
              <w:pStyle w:val="Table"/>
              <w:rPr>
                <w:noProof/>
                <w:sz w:val="20"/>
                <w:szCs w:val="20"/>
              </w:rPr>
            </w:pPr>
            <w:r w:rsidRPr="00CF5D66">
              <w:rPr>
                <w:noProof/>
                <w:sz w:val="20"/>
                <w:szCs w:val="20"/>
              </w:rPr>
              <w:t>1.85E+00</w:t>
            </w:r>
          </w:p>
        </w:tc>
        <w:tc>
          <w:tcPr>
            <w:tcW w:w="1022" w:type="dxa"/>
            <w:shd w:val="clear" w:color="auto" w:fill="auto"/>
            <w:noWrap/>
            <w:vAlign w:val="center"/>
            <w:hideMark/>
          </w:tcPr>
          <w:p w14:paraId="04453CD2" w14:textId="77777777" w:rsidR="00311EBF" w:rsidRPr="00CF5D66" w:rsidRDefault="00311EBF" w:rsidP="00CF5D66">
            <w:pPr>
              <w:pStyle w:val="Table"/>
              <w:rPr>
                <w:noProof/>
                <w:sz w:val="20"/>
                <w:szCs w:val="20"/>
              </w:rPr>
            </w:pPr>
            <w:r w:rsidRPr="00CF5D66">
              <w:rPr>
                <w:noProof/>
                <w:sz w:val="20"/>
                <w:szCs w:val="20"/>
              </w:rPr>
              <w:t>1.85E+00</w:t>
            </w:r>
          </w:p>
        </w:tc>
        <w:tc>
          <w:tcPr>
            <w:tcW w:w="1022" w:type="dxa"/>
            <w:shd w:val="clear" w:color="auto" w:fill="auto"/>
            <w:noWrap/>
            <w:vAlign w:val="center"/>
            <w:hideMark/>
          </w:tcPr>
          <w:p w14:paraId="6F3B0806" w14:textId="77777777" w:rsidR="00311EBF" w:rsidRPr="00CF5D66" w:rsidRDefault="00311EBF" w:rsidP="00CF5D66">
            <w:pPr>
              <w:pStyle w:val="Table"/>
              <w:rPr>
                <w:noProof/>
                <w:sz w:val="20"/>
                <w:szCs w:val="20"/>
              </w:rPr>
            </w:pPr>
            <w:r w:rsidRPr="00CF5D66">
              <w:rPr>
                <w:noProof/>
                <w:sz w:val="20"/>
                <w:szCs w:val="20"/>
              </w:rPr>
              <w:t>1.85E+00</w:t>
            </w:r>
          </w:p>
        </w:tc>
      </w:tr>
      <w:tr w:rsidR="00311EBF" w:rsidRPr="00972C81" w14:paraId="4DD1AF77" w14:textId="77777777" w:rsidTr="00CF5D66">
        <w:trPr>
          <w:trHeight w:val="340"/>
        </w:trPr>
        <w:tc>
          <w:tcPr>
            <w:tcW w:w="2895" w:type="dxa"/>
            <w:shd w:val="clear" w:color="auto" w:fill="auto"/>
            <w:noWrap/>
            <w:vAlign w:val="center"/>
            <w:hideMark/>
          </w:tcPr>
          <w:p w14:paraId="5CF88C1D" w14:textId="5F3B8393" w:rsidR="00311EBF" w:rsidRPr="00CF5D66" w:rsidRDefault="00311EBF" w:rsidP="00CF5D66">
            <w:pPr>
              <w:pStyle w:val="Table"/>
              <w:rPr>
                <w:noProof/>
                <w:sz w:val="20"/>
                <w:szCs w:val="20"/>
              </w:rPr>
            </w:pPr>
            <w:r w:rsidRPr="00CF5D66">
              <w:rPr>
                <w:noProof/>
                <w:sz w:val="20"/>
                <w:szCs w:val="20"/>
              </w:rPr>
              <w:t>Blood to  ST2</w:t>
            </w:r>
          </w:p>
        </w:tc>
        <w:tc>
          <w:tcPr>
            <w:tcW w:w="1022" w:type="dxa"/>
            <w:shd w:val="clear" w:color="auto" w:fill="auto"/>
            <w:noWrap/>
            <w:vAlign w:val="center"/>
            <w:hideMark/>
          </w:tcPr>
          <w:p w14:paraId="46240E4D" w14:textId="77777777" w:rsidR="00311EBF" w:rsidRPr="00CF5D66" w:rsidRDefault="00311EBF" w:rsidP="00CF5D66">
            <w:pPr>
              <w:pStyle w:val="Table"/>
              <w:rPr>
                <w:noProof/>
                <w:sz w:val="20"/>
                <w:szCs w:val="20"/>
              </w:rPr>
            </w:pPr>
            <w:r w:rsidRPr="00CF5D66">
              <w:rPr>
                <w:noProof/>
                <w:sz w:val="20"/>
                <w:szCs w:val="20"/>
              </w:rPr>
              <w:t>4.66E-01</w:t>
            </w:r>
          </w:p>
        </w:tc>
        <w:tc>
          <w:tcPr>
            <w:tcW w:w="1022" w:type="dxa"/>
            <w:shd w:val="clear" w:color="auto" w:fill="auto"/>
            <w:noWrap/>
            <w:vAlign w:val="center"/>
            <w:hideMark/>
          </w:tcPr>
          <w:p w14:paraId="70456AAC" w14:textId="77777777" w:rsidR="00311EBF" w:rsidRPr="00CF5D66" w:rsidRDefault="00311EBF" w:rsidP="00CF5D66">
            <w:pPr>
              <w:pStyle w:val="Table"/>
              <w:rPr>
                <w:noProof/>
                <w:sz w:val="20"/>
                <w:szCs w:val="20"/>
              </w:rPr>
            </w:pPr>
            <w:r w:rsidRPr="00CF5D66">
              <w:rPr>
                <w:noProof/>
                <w:sz w:val="20"/>
                <w:szCs w:val="20"/>
              </w:rPr>
              <w:t>4.66E-01</w:t>
            </w:r>
          </w:p>
        </w:tc>
        <w:tc>
          <w:tcPr>
            <w:tcW w:w="1022" w:type="dxa"/>
            <w:shd w:val="clear" w:color="auto" w:fill="auto"/>
            <w:noWrap/>
            <w:vAlign w:val="center"/>
            <w:hideMark/>
          </w:tcPr>
          <w:p w14:paraId="321A4C5C" w14:textId="77777777" w:rsidR="00311EBF" w:rsidRPr="00CF5D66" w:rsidRDefault="00311EBF" w:rsidP="00CF5D66">
            <w:pPr>
              <w:pStyle w:val="Table"/>
              <w:rPr>
                <w:noProof/>
                <w:sz w:val="20"/>
                <w:szCs w:val="20"/>
              </w:rPr>
            </w:pPr>
            <w:r w:rsidRPr="00CF5D66">
              <w:rPr>
                <w:noProof/>
                <w:sz w:val="20"/>
                <w:szCs w:val="20"/>
              </w:rPr>
              <w:t>4.66E-01</w:t>
            </w:r>
          </w:p>
        </w:tc>
        <w:tc>
          <w:tcPr>
            <w:tcW w:w="1022" w:type="dxa"/>
            <w:shd w:val="clear" w:color="auto" w:fill="auto"/>
            <w:noWrap/>
            <w:vAlign w:val="center"/>
            <w:hideMark/>
          </w:tcPr>
          <w:p w14:paraId="35F03346" w14:textId="77777777" w:rsidR="00311EBF" w:rsidRPr="00CF5D66" w:rsidRDefault="00311EBF" w:rsidP="00CF5D66">
            <w:pPr>
              <w:pStyle w:val="Table"/>
              <w:rPr>
                <w:noProof/>
                <w:sz w:val="20"/>
                <w:szCs w:val="20"/>
              </w:rPr>
            </w:pPr>
            <w:r w:rsidRPr="00CF5D66">
              <w:rPr>
                <w:noProof/>
                <w:sz w:val="20"/>
                <w:szCs w:val="20"/>
              </w:rPr>
              <w:t>4.66E-01</w:t>
            </w:r>
          </w:p>
        </w:tc>
        <w:tc>
          <w:tcPr>
            <w:tcW w:w="1022" w:type="dxa"/>
            <w:shd w:val="clear" w:color="auto" w:fill="auto"/>
            <w:noWrap/>
            <w:vAlign w:val="center"/>
            <w:hideMark/>
          </w:tcPr>
          <w:p w14:paraId="5AEBD3B4" w14:textId="77777777" w:rsidR="00311EBF" w:rsidRPr="00CF5D66" w:rsidRDefault="00311EBF" w:rsidP="00CF5D66">
            <w:pPr>
              <w:pStyle w:val="Table"/>
              <w:rPr>
                <w:noProof/>
                <w:sz w:val="20"/>
                <w:szCs w:val="20"/>
              </w:rPr>
            </w:pPr>
            <w:r w:rsidRPr="00CF5D66">
              <w:rPr>
                <w:noProof/>
                <w:sz w:val="20"/>
                <w:szCs w:val="20"/>
              </w:rPr>
              <w:t>4.66E-01</w:t>
            </w:r>
          </w:p>
        </w:tc>
        <w:tc>
          <w:tcPr>
            <w:tcW w:w="1022" w:type="dxa"/>
            <w:shd w:val="clear" w:color="auto" w:fill="auto"/>
            <w:noWrap/>
            <w:vAlign w:val="center"/>
            <w:hideMark/>
          </w:tcPr>
          <w:p w14:paraId="242580FA" w14:textId="77777777" w:rsidR="00311EBF" w:rsidRPr="00CF5D66" w:rsidRDefault="00311EBF" w:rsidP="00CF5D66">
            <w:pPr>
              <w:pStyle w:val="Table"/>
              <w:rPr>
                <w:noProof/>
                <w:sz w:val="20"/>
                <w:szCs w:val="20"/>
              </w:rPr>
            </w:pPr>
            <w:r w:rsidRPr="00CF5D66">
              <w:rPr>
                <w:noProof/>
                <w:sz w:val="20"/>
                <w:szCs w:val="20"/>
              </w:rPr>
              <w:t>4.66E-01</w:t>
            </w:r>
          </w:p>
        </w:tc>
      </w:tr>
      <w:tr w:rsidR="00311EBF" w:rsidRPr="00972C81" w14:paraId="3559EDF4" w14:textId="77777777" w:rsidTr="00CF5D66">
        <w:trPr>
          <w:trHeight w:val="340"/>
        </w:trPr>
        <w:tc>
          <w:tcPr>
            <w:tcW w:w="2895" w:type="dxa"/>
            <w:shd w:val="clear" w:color="auto" w:fill="auto"/>
            <w:noWrap/>
            <w:vAlign w:val="center"/>
            <w:hideMark/>
          </w:tcPr>
          <w:p w14:paraId="00454E5D" w14:textId="1695DFCB" w:rsidR="00311EBF" w:rsidRPr="00CF5D66" w:rsidRDefault="00311EBF" w:rsidP="00CF5D66">
            <w:pPr>
              <w:pStyle w:val="Table"/>
              <w:rPr>
                <w:noProof/>
                <w:sz w:val="20"/>
                <w:szCs w:val="20"/>
              </w:rPr>
            </w:pPr>
            <w:r w:rsidRPr="00CF5D66">
              <w:rPr>
                <w:noProof/>
                <w:sz w:val="20"/>
                <w:szCs w:val="20"/>
              </w:rPr>
              <w:t>Blood to Cort bone surf</w:t>
            </w:r>
          </w:p>
        </w:tc>
        <w:tc>
          <w:tcPr>
            <w:tcW w:w="1022" w:type="dxa"/>
            <w:shd w:val="clear" w:color="auto" w:fill="auto"/>
            <w:noWrap/>
            <w:vAlign w:val="center"/>
            <w:hideMark/>
          </w:tcPr>
          <w:p w14:paraId="7DDBE8FF" w14:textId="77777777" w:rsidR="00311EBF" w:rsidRPr="00CF5D66" w:rsidRDefault="00311EBF" w:rsidP="00CF5D66">
            <w:pPr>
              <w:pStyle w:val="Table"/>
              <w:rPr>
                <w:noProof/>
                <w:sz w:val="20"/>
                <w:szCs w:val="20"/>
              </w:rPr>
            </w:pPr>
            <w:r w:rsidRPr="00CF5D66">
              <w:rPr>
                <w:noProof/>
                <w:sz w:val="20"/>
                <w:szCs w:val="20"/>
              </w:rPr>
              <w:t>8.15E+00</w:t>
            </w:r>
          </w:p>
        </w:tc>
        <w:tc>
          <w:tcPr>
            <w:tcW w:w="1022" w:type="dxa"/>
            <w:shd w:val="clear" w:color="auto" w:fill="auto"/>
            <w:noWrap/>
            <w:vAlign w:val="center"/>
            <w:hideMark/>
          </w:tcPr>
          <w:p w14:paraId="78868D13" w14:textId="77777777" w:rsidR="00311EBF" w:rsidRPr="00CF5D66" w:rsidRDefault="00311EBF" w:rsidP="00CF5D66">
            <w:pPr>
              <w:pStyle w:val="Table"/>
              <w:rPr>
                <w:noProof/>
                <w:sz w:val="20"/>
                <w:szCs w:val="20"/>
              </w:rPr>
            </w:pPr>
            <w:r w:rsidRPr="00CF5D66">
              <w:rPr>
                <w:noProof/>
                <w:sz w:val="20"/>
                <w:szCs w:val="20"/>
              </w:rPr>
              <w:t>8.15E+00</w:t>
            </w:r>
          </w:p>
        </w:tc>
        <w:tc>
          <w:tcPr>
            <w:tcW w:w="1022" w:type="dxa"/>
            <w:shd w:val="clear" w:color="auto" w:fill="auto"/>
            <w:noWrap/>
            <w:vAlign w:val="center"/>
            <w:hideMark/>
          </w:tcPr>
          <w:p w14:paraId="5CDF0584" w14:textId="77777777" w:rsidR="00311EBF" w:rsidRPr="00CF5D66" w:rsidRDefault="00311EBF" w:rsidP="00CF5D66">
            <w:pPr>
              <w:pStyle w:val="Table"/>
              <w:rPr>
                <w:noProof/>
                <w:sz w:val="20"/>
                <w:szCs w:val="20"/>
              </w:rPr>
            </w:pPr>
            <w:r w:rsidRPr="00CF5D66">
              <w:rPr>
                <w:noProof/>
                <w:sz w:val="20"/>
                <w:szCs w:val="20"/>
              </w:rPr>
              <w:t>5.82E+00</w:t>
            </w:r>
          </w:p>
        </w:tc>
        <w:tc>
          <w:tcPr>
            <w:tcW w:w="1022" w:type="dxa"/>
            <w:shd w:val="clear" w:color="auto" w:fill="auto"/>
            <w:noWrap/>
            <w:vAlign w:val="center"/>
            <w:hideMark/>
          </w:tcPr>
          <w:p w14:paraId="72E37D48" w14:textId="77777777" w:rsidR="00311EBF" w:rsidRPr="00CF5D66" w:rsidRDefault="00311EBF" w:rsidP="00CF5D66">
            <w:pPr>
              <w:pStyle w:val="Table"/>
              <w:rPr>
                <w:noProof/>
                <w:sz w:val="20"/>
                <w:szCs w:val="20"/>
              </w:rPr>
            </w:pPr>
            <w:r w:rsidRPr="00CF5D66">
              <w:rPr>
                <w:noProof/>
                <w:sz w:val="20"/>
                <w:szCs w:val="20"/>
              </w:rPr>
              <w:t>5.82E+00</w:t>
            </w:r>
          </w:p>
        </w:tc>
        <w:tc>
          <w:tcPr>
            <w:tcW w:w="1022" w:type="dxa"/>
            <w:shd w:val="clear" w:color="auto" w:fill="auto"/>
            <w:noWrap/>
            <w:vAlign w:val="center"/>
            <w:hideMark/>
          </w:tcPr>
          <w:p w14:paraId="1C4A1551" w14:textId="77777777" w:rsidR="00311EBF" w:rsidRPr="00CF5D66" w:rsidRDefault="00311EBF" w:rsidP="00CF5D66">
            <w:pPr>
              <w:pStyle w:val="Table"/>
              <w:rPr>
                <w:noProof/>
                <w:sz w:val="20"/>
                <w:szCs w:val="20"/>
              </w:rPr>
            </w:pPr>
            <w:r w:rsidRPr="00CF5D66">
              <w:rPr>
                <w:noProof/>
                <w:sz w:val="20"/>
                <w:szCs w:val="20"/>
              </w:rPr>
              <w:t>5.82E+00</w:t>
            </w:r>
          </w:p>
        </w:tc>
        <w:tc>
          <w:tcPr>
            <w:tcW w:w="1022" w:type="dxa"/>
            <w:shd w:val="clear" w:color="auto" w:fill="auto"/>
            <w:noWrap/>
            <w:vAlign w:val="center"/>
            <w:hideMark/>
          </w:tcPr>
          <w:p w14:paraId="612075F4" w14:textId="77777777" w:rsidR="00311EBF" w:rsidRPr="00CF5D66" w:rsidRDefault="00311EBF" w:rsidP="00CF5D66">
            <w:pPr>
              <w:pStyle w:val="Table"/>
              <w:rPr>
                <w:noProof/>
                <w:sz w:val="20"/>
                <w:szCs w:val="20"/>
              </w:rPr>
            </w:pPr>
            <w:r w:rsidRPr="00CF5D66">
              <w:rPr>
                <w:noProof/>
                <w:sz w:val="20"/>
                <w:szCs w:val="20"/>
              </w:rPr>
              <w:t>3.49E+00</w:t>
            </w:r>
          </w:p>
        </w:tc>
      </w:tr>
      <w:tr w:rsidR="00311EBF" w:rsidRPr="00972C81" w14:paraId="47A51B7A" w14:textId="77777777" w:rsidTr="00CF5D66">
        <w:trPr>
          <w:trHeight w:val="340"/>
        </w:trPr>
        <w:tc>
          <w:tcPr>
            <w:tcW w:w="2895" w:type="dxa"/>
            <w:shd w:val="clear" w:color="auto" w:fill="auto"/>
            <w:noWrap/>
            <w:vAlign w:val="center"/>
            <w:hideMark/>
          </w:tcPr>
          <w:p w14:paraId="560A7B16" w14:textId="2201FDE2" w:rsidR="00311EBF" w:rsidRPr="00CF5D66" w:rsidRDefault="00311EBF" w:rsidP="00CF5D66">
            <w:pPr>
              <w:pStyle w:val="Table"/>
              <w:rPr>
                <w:noProof/>
                <w:sz w:val="20"/>
                <w:szCs w:val="20"/>
              </w:rPr>
            </w:pPr>
            <w:r w:rsidRPr="00CF5D66">
              <w:rPr>
                <w:noProof/>
                <w:sz w:val="20"/>
                <w:szCs w:val="20"/>
              </w:rPr>
              <w:t>Blood to Trab bone surf</w:t>
            </w:r>
          </w:p>
        </w:tc>
        <w:tc>
          <w:tcPr>
            <w:tcW w:w="1022" w:type="dxa"/>
            <w:shd w:val="clear" w:color="auto" w:fill="auto"/>
            <w:noWrap/>
            <w:vAlign w:val="center"/>
            <w:hideMark/>
          </w:tcPr>
          <w:p w14:paraId="6B20E5D6" w14:textId="77777777" w:rsidR="00311EBF" w:rsidRPr="00CF5D66" w:rsidRDefault="00311EBF" w:rsidP="00CF5D66">
            <w:pPr>
              <w:pStyle w:val="Table"/>
              <w:rPr>
                <w:noProof/>
                <w:sz w:val="20"/>
                <w:szCs w:val="20"/>
              </w:rPr>
            </w:pPr>
            <w:r w:rsidRPr="00CF5D66">
              <w:rPr>
                <w:noProof/>
                <w:sz w:val="20"/>
                <w:szCs w:val="20"/>
              </w:rPr>
              <w:t>8.15E+00</w:t>
            </w:r>
          </w:p>
        </w:tc>
        <w:tc>
          <w:tcPr>
            <w:tcW w:w="1022" w:type="dxa"/>
            <w:shd w:val="clear" w:color="auto" w:fill="auto"/>
            <w:noWrap/>
            <w:vAlign w:val="center"/>
            <w:hideMark/>
          </w:tcPr>
          <w:p w14:paraId="681E43B1" w14:textId="77777777" w:rsidR="00311EBF" w:rsidRPr="00CF5D66" w:rsidRDefault="00311EBF" w:rsidP="00CF5D66">
            <w:pPr>
              <w:pStyle w:val="Table"/>
              <w:rPr>
                <w:noProof/>
                <w:sz w:val="20"/>
                <w:szCs w:val="20"/>
              </w:rPr>
            </w:pPr>
            <w:r w:rsidRPr="00CF5D66">
              <w:rPr>
                <w:noProof/>
                <w:sz w:val="20"/>
                <w:szCs w:val="20"/>
              </w:rPr>
              <w:t>8.15E+00</w:t>
            </w:r>
          </w:p>
        </w:tc>
        <w:tc>
          <w:tcPr>
            <w:tcW w:w="1022" w:type="dxa"/>
            <w:shd w:val="clear" w:color="auto" w:fill="auto"/>
            <w:noWrap/>
            <w:vAlign w:val="center"/>
            <w:hideMark/>
          </w:tcPr>
          <w:p w14:paraId="6C17CE5D" w14:textId="77777777" w:rsidR="00311EBF" w:rsidRPr="00CF5D66" w:rsidRDefault="00311EBF" w:rsidP="00CF5D66">
            <w:pPr>
              <w:pStyle w:val="Table"/>
              <w:rPr>
                <w:noProof/>
                <w:sz w:val="20"/>
                <w:szCs w:val="20"/>
              </w:rPr>
            </w:pPr>
            <w:r w:rsidRPr="00CF5D66">
              <w:rPr>
                <w:noProof/>
                <w:sz w:val="20"/>
                <w:szCs w:val="20"/>
              </w:rPr>
              <w:t>5.82E+00</w:t>
            </w:r>
          </w:p>
        </w:tc>
        <w:tc>
          <w:tcPr>
            <w:tcW w:w="1022" w:type="dxa"/>
            <w:shd w:val="clear" w:color="auto" w:fill="auto"/>
            <w:noWrap/>
            <w:vAlign w:val="center"/>
            <w:hideMark/>
          </w:tcPr>
          <w:p w14:paraId="6854C9A8" w14:textId="77777777" w:rsidR="00311EBF" w:rsidRPr="00CF5D66" w:rsidRDefault="00311EBF" w:rsidP="00CF5D66">
            <w:pPr>
              <w:pStyle w:val="Table"/>
              <w:rPr>
                <w:noProof/>
                <w:sz w:val="20"/>
                <w:szCs w:val="20"/>
              </w:rPr>
            </w:pPr>
            <w:r w:rsidRPr="00CF5D66">
              <w:rPr>
                <w:noProof/>
                <w:sz w:val="20"/>
                <w:szCs w:val="20"/>
              </w:rPr>
              <w:t>5.82E+00</w:t>
            </w:r>
          </w:p>
        </w:tc>
        <w:tc>
          <w:tcPr>
            <w:tcW w:w="1022" w:type="dxa"/>
            <w:shd w:val="clear" w:color="auto" w:fill="auto"/>
            <w:noWrap/>
            <w:vAlign w:val="center"/>
            <w:hideMark/>
          </w:tcPr>
          <w:p w14:paraId="17C9263F" w14:textId="77777777" w:rsidR="00311EBF" w:rsidRPr="00CF5D66" w:rsidRDefault="00311EBF" w:rsidP="00CF5D66">
            <w:pPr>
              <w:pStyle w:val="Table"/>
              <w:rPr>
                <w:noProof/>
                <w:sz w:val="20"/>
                <w:szCs w:val="20"/>
              </w:rPr>
            </w:pPr>
            <w:r w:rsidRPr="00CF5D66">
              <w:rPr>
                <w:noProof/>
                <w:sz w:val="20"/>
                <w:szCs w:val="20"/>
              </w:rPr>
              <w:t>5.82E+00</w:t>
            </w:r>
          </w:p>
        </w:tc>
        <w:tc>
          <w:tcPr>
            <w:tcW w:w="1022" w:type="dxa"/>
            <w:shd w:val="clear" w:color="auto" w:fill="auto"/>
            <w:noWrap/>
            <w:vAlign w:val="center"/>
            <w:hideMark/>
          </w:tcPr>
          <w:p w14:paraId="1ACD0E2A" w14:textId="77777777" w:rsidR="00311EBF" w:rsidRPr="00CF5D66" w:rsidRDefault="00311EBF" w:rsidP="00CF5D66">
            <w:pPr>
              <w:pStyle w:val="Table"/>
              <w:rPr>
                <w:noProof/>
                <w:sz w:val="20"/>
                <w:szCs w:val="20"/>
              </w:rPr>
            </w:pPr>
            <w:r w:rsidRPr="00CF5D66">
              <w:rPr>
                <w:noProof/>
                <w:sz w:val="20"/>
                <w:szCs w:val="20"/>
              </w:rPr>
              <w:t>3.49E+00</w:t>
            </w:r>
          </w:p>
        </w:tc>
      </w:tr>
      <w:tr w:rsidR="00311EBF" w:rsidRPr="00972C81" w14:paraId="50603876" w14:textId="77777777" w:rsidTr="00CF5D66">
        <w:trPr>
          <w:trHeight w:val="340"/>
        </w:trPr>
        <w:tc>
          <w:tcPr>
            <w:tcW w:w="2895" w:type="dxa"/>
            <w:shd w:val="clear" w:color="auto" w:fill="auto"/>
            <w:noWrap/>
            <w:vAlign w:val="center"/>
            <w:hideMark/>
          </w:tcPr>
          <w:p w14:paraId="241BF655" w14:textId="542E42F4" w:rsidR="00311EBF" w:rsidRPr="00CF5D66" w:rsidRDefault="00311EBF" w:rsidP="00CF5D66">
            <w:pPr>
              <w:pStyle w:val="Table"/>
              <w:rPr>
                <w:noProof/>
                <w:sz w:val="20"/>
                <w:szCs w:val="20"/>
              </w:rPr>
            </w:pPr>
            <w:r w:rsidRPr="00CF5D66">
              <w:rPr>
                <w:noProof/>
                <w:sz w:val="20"/>
                <w:szCs w:val="20"/>
              </w:rPr>
              <w:t>Blood to Kidneys 1</w:t>
            </w:r>
          </w:p>
        </w:tc>
        <w:tc>
          <w:tcPr>
            <w:tcW w:w="1022" w:type="dxa"/>
            <w:shd w:val="clear" w:color="auto" w:fill="auto"/>
            <w:noWrap/>
            <w:vAlign w:val="center"/>
            <w:hideMark/>
          </w:tcPr>
          <w:p w14:paraId="5FC5DAA4" w14:textId="77777777" w:rsidR="00311EBF" w:rsidRPr="00CF5D66" w:rsidRDefault="00311EBF" w:rsidP="00CF5D66">
            <w:pPr>
              <w:pStyle w:val="Table"/>
              <w:rPr>
                <w:noProof/>
                <w:sz w:val="20"/>
                <w:szCs w:val="20"/>
              </w:rPr>
            </w:pPr>
            <w:r w:rsidRPr="00CF5D66">
              <w:rPr>
                <w:noProof/>
                <w:sz w:val="20"/>
                <w:szCs w:val="20"/>
              </w:rPr>
              <w:t>3.49E-01</w:t>
            </w:r>
          </w:p>
        </w:tc>
        <w:tc>
          <w:tcPr>
            <w:tcW w:w="1022" w:type="dxa"/>
            <w:shd w:val="clear" w:color="auto" w:fill="auto"/>
            <w:noWrap/>
            <w:vAlign w:val="center"/>
            <w:hideMark/>
          </w:tcPr>
          <w:p w14:paraId="4461B585" w14:textId="77777777" w:rsidR="00311EBF" w:rsidRPr="00CF5D66" w:rsidRDefault="00311EBF" w:rsidP="00CF5D66">
            <w:pPr>
              <w:pStyle w:val="Table"/>
              <w:rPr>
                <w:noProof/>
                <w:sz w:val="20"/>
                <w:szCs w:val="20"/>
              </w:rPr>
            </w:pPr>
            <w:r w:rsidRPr="00CF5D66">
              <w:rPr>
                <w:noProof/>
                <w:sz w:val="20"/>
                <w:szCs w:val="20"/>
              </w:rPr>
              <w:t>3.49E-01</w:t>
            </w:r>
          </w:p>
        </w:tc>
        <w:tc>
          <w:tcPr>
            <w:tcW w:w="1022" w:type="dxa"/>
            <w:shd w:val="clear" w:color="auto" w:fill="auto"/>
            <w:noWrap/>
            <w:vAlign w:val="center"/>
            <w:hideMark/>
          </w:tcPr>
          <w:p w14:paraId="737D9764" w14:textId="77777777" w:rsidR="00311EBF" w:rsidRPr="00CF5D66" w:rsidRDefault="00311EBF" w:rsidP="00CF5D66">
            <w:pPr>
              <w:pStyle w:val="Table"/>
              <w:rPr>
                <w:noProof/>
                <w:sz w:val="20"/>
                <w:szCs w:val="20"/>
              </w:rPr>
            </w:pPr>
            <w:r w:rsidRPr="00CF5D66">
              <w:rPr>
                <w:noProof/>
                <w:sz w:val="20"/>
                <w:szCs w:val="20"/>
              </w:rPr>
              <w:t>3.49E-01</w:t>
            </w:r>
          </w:p>
        </w:tc>
        <w:tc>
          <w:tcPr>
            <w:tcW w:w="1022" w:type="dxa"/>
            <w:shd w:val="clear" w:color="auto" w:fill="auto"/>
            <w:noWrap/>
            <w:vAlign w:val="center"/>
            <w:hideMark/>
          </w:tcPr>
          <w:p w14:paraId="3425BCA2" w14:textId="77777777" w:rsidR="00311EBF" w:rsidRPr="00CF5D66" w:rsidRDefault="00311EBF" w:rsidP="00CF5D66">
            <w:pPr>
              <w:pStyle w:val="Table"/>
              <w:rPr>
                <w:noProof/>
                <w:sz w:val="20"/>
                <w:szCs w:val="20"/>
              </w:rPr>
            </w:pPr>
            <w:r w:rsidRPr="00CF5D66">
              <w:rPr>
                <w:noProof/>
                <w:sz w:val="20"/>
                <w:szCs w:val="20"/>
              </w:rPr>
              <w:t>3.49E-01</w:t>
            </w:r>
          </w:p>
        </w:tc>
        <w:tc>
          <w:tcPr>
            <w:tcW w:w="1022" w:type="dxa"/>
            <w:shd w:val="clear" w:color="auto" w:fill="auto"/>
            <w:noWrap/>
            <w:vAlign w:val="center"/>
            <w:hideMark/>
          </w:tcPr>
          <w:p w14:paraId="26C25C82" w14:textId="77777777" w:rsidR="00311EBF" w:rsidRPr="00CF5D66" w:rsidRDefault="00311EBF" w:rsidP="00CF5D66">
            <w:pPr>
              <w:pStyle w:val="Table"/>
              <w:rPr>
                <w:noProof/>
                <w:sz w:val="20"/>
                <w:szCs w:val="20"/>
              </w:rPr>
            </w:pPr>
            <w:r w:rsidRPr="00CF5D66">
              <w:rPr>
                <w:noProof/>
                <w:sz w:val="20"/>
                <w:szCs w:val="20"/>
              </w:rPr>
              <w:t>3.49E-01</w:t>
            </w:r>
          </w:p>
        </w:tc>
        <w:tc>
          <w:tcPr>
            <w:tcW w:w="1022" w:type="dxa"/>
            <w:shd w:val="clear" w:color="auto" w:fill="auto"/>
            <w:noWrap/>
            <w:vAlign w:val="center"/>
            <w:hideMark/>
          </w:tcPr>
          <w:p w14:paraId="0963AFE9" w14:textId="77777777" w:rsidR="00311EBF" w:rsidRPr="00CF5D66" w:rsidRDefault="00311EBF" w:rsidP="00CF5D66">
            <w:pPr>
              <w:pStyle w:val="Table"/>
              <w:rPr>
                <w:noProof/>
                <w:sz w:val="20"/>
                <w:szCs w:val="20"/>
              </w:rPr>
            </w:pPr>
            <w:r w:rsidRPr="00CF5D66">
              <w:rPr>
                <w:noProof/>
                <w:sz w:val="20"/>
                <w:szCs w:val="20"/>
              </w:rPr>
              <w:t>3.49E-01</w:t>
            </w:r>
          </w:p>
        </w:tc>
      </w:tr>
      <w:tr w:rsidR="00311EBF" w:rsidRPr="00972C81" w14:paraId="4C52C91B" w14:textId="77777777" w:rsidTr="00CF5D66">
        <w:trPr>
          <w:trHeight w:val="340"/>
        </w:trPr>
        <w:tc>
          <w:tcPr>
            <w:tcW w:w="2895" w:type="dxa"/>
            <w:shd w:val="clear" w:color="auto" w:fill="auto"/>
            <w:noWrap/>
            <w:vAlign w:val="center"/>
            <w:hideMark/>
          </w:tcPr>
          <w:p w14:paraId="1662F743" w14:textId="4E9B5733" w:rsidR="00311EBF" w:rsidRPr="00CF5D66" w:rsidRDefault="00311EBF" w:rsidP="00CF5D66">
            <w:pPr>
              <w:pStyle w:val="Table"/>
              <w:rPr>
                <w:noProof/>
                <w:sz w:val="20"/>
                <w:szCs w:val="20"/>
              </w:rPr>
            </w:pPr>
            <w:r w:rsidRPr="00CF5D66">
              <w:rPr>
                <w:noProof/>
                <w:sz w:val="20"/>
                <w:szCs w:val="20"/>
              </w:rPr>
              <w:t>Blood to RC content</w:t>
            </w:r>
          </w:p>
        </w:tc>
        <w:tc>
          <w:tcPr>
            <w:tcW w:w="1022" w:type="dxa"/>
            <w:shd w:val="clear" w:color="auto" w:fill="auto"/>
            <w:noWrap/>
            <w:vAlign w:val="center"/>
            <w:hideMark/>
          </w:tcPr>
          <w:p w14:paraId="6DB48A7F" w14:textId="77777777" w:rsidR="00311EBF" w:rsidRPr="00CF5D66" w:rsidRDefault="00311EBF" w:rsidP="00CF5D66">
            <w:pPr>
              <w:pStyle w:val="Table"/>
              <w:rPr>
                <w:noProof/>
                <w:sz w:val="20"/>
                <w:szCs w:val="20"/>
              </w:rPr>
            </w:pPr>
            <w:r w:rsidRPr="00CF5D66">
              <w:rPr>
                <w:noProof/>
                <w:sz w:val="20"/>
                <w:szCs w:val="20"/>
              </w:rPr>
              <w:t>1.40E+00</w:t>
            </w:r>
          </w:p>
        </w:tc>
        <w:tc>
          <w:tcPr>
            <w:tcW w:w="1022" w:type="dxa"/>
            <w:shd w:val="clear" w:color="auto" w:fill="auto"/>
            <w:noWrap/>
            <w:vAlign w:val="center"/>
            <w:hideMark/>
          </w:tcPr>
          <w:p w14:paraId="42321D14" w14:textId="77777777" w:rsidR="00311EBF" w:rsidRPr="00CF5D66" w:rsidRDefault="00311EBF" w:rsidP="00CF5D66">
            <w:pPr>
              <w:pStyle w:val="Table"/>
              <w:rPr>
                <w:noProof/>
                <w:sz w:val="20"/>
                <w:szCs w:val="20"/>
              </w:rPr>
            </w:pPr>
            <w:r w:rsidRPr="00CF5D66">
              <w:rPr>
                <w:noProof/>
                <w:sz w:val="20"/>
                <w:szCs w:val="20"/>
              </w:rPr>
              <w:t>1.40E+00</w:t>
            </w:r>
          </w:p>
        </w:tc>
        <w:tc>
          <w:tcPr>
            <w:tcW w:w="1022" w:type="dxa"/>
            <w:shd w:val="clear" w:color="auto" w:fill="auto"/>
            <w:noWrap/>
            <w:vAlign w:val="center"/>
            <w:hideMark/>
          </w:tcPr>
          <w:p w14:paraId="1792542C" w14:textId="77777777" w:rsidR="00311EBF" w:rsidRPr="00CF5D66" w:rsidRDefault="00311EBF" w:rsidP="00CF5D66">
            <w:pPr>
              <w:pStyle w:val="Table"/>
              <w:rPr>
                <w:noProof/>
                <w:sz w:val="20"/>
                <w:szCs w:val="20"/>
              </w:rPr>
            </w:pPr>
            <w:r w:rsidRPr="00CF5D66">
              <w:rPr>
                <w:noProof/>
                <w:sz w:val="20"/>
                <w:szCs w:val="20"/>
              </w:rPr>
              <w:t>1.40E+00</w:t>
            </w:r>
          </w:p>
        </w:tc>
        <w:tc>
          <w:tcPr>
            <w:tcW w:w="1022" w:type="dxa"/>
            <w:shd w:val="clear" w:color="auto" w:fill="auto"/>
            <w:noWrap/>
            <w:vAlign w:val="center"/>
            <w:hideMark/>
          </w:tcPr>
          <w:p w14:paraId="63B3CF88" w14:textId="77777777" w:rsidR="00311EBF" w:rsidRPr="00CF5D66" w:rsidRDefault="00311EBF" w:rsidP="00CF5D66">
            <w:pPr>
              <w:pStyle w:val="Table"/>
              <w:rPr>
                <w:noProof/>
                <w:sz w:val="20"/>
                <w:szCs w:val="20"/>
              </w:rPr>
            </w:pPr>
            <w:r w:rsidRPr="00CF5D66">
              <w:rPr>
                <w:noProof/>
                <w:sz w:val="20"/>
                <w:szCs w:val="20"/>
              </w:rPr>
              <w:t>1.40E+00</w:t>
            </w:r>
          </w:p>
        </w:tc>
        <w:tc>
          <w:tcPr>
            <w:tcW w:w="1022" w:type="dxa"/>
            <w:shd w:val="clear" w:color="auto" w:fill="auto"/>
            <w:noWrap/>
            <w:vAlign w:val="center"/>
            <w:hideMark/>
          </w:tcPr>
          <w:p w14:paraId="042D936A" w14:textId="77777777" w:rsidR="00311EBF" w:rsidRPr="00CF5D66" w:rsidRDefault="00311EBF" w:rsidP="00CF5D66">
            <w:pPr>
              <w:pStyle w:val="Table"/>
              <w:rPr>
                <w:noProof/>
                <w:sz w:val="20"/>
                <w:szCs w:val="20"/>
              </w:rPr>
            </w:pPr>
            <w:r w:rsidRPr="00CF5D66">
              <w:rPr>
                <w:noProof/>
                <w:sz w:val="20"/>
                <w:szCs w:val="20"/>
              </w:rPr>
              <w:t>1.40E+00</w:t>
            </w:r>
          </w:p>
        </w:tc>
        <w:tc>
          <w:tcPr>
            <w:tcW w:w="1022" w:type="dxa"/>
            <w:shd w:val="clear" w:color="auto" w:fill="auto"/>
            <w:noWrap/>
            <w:vAlign w:val="center"/>
            <w:hideMark/>
          </w:tcPr>
          <w:p w14:paraId="637CF869" w14:textId="77777777" w:rsidR="00311EBF" w:rsidRPr="00CF5D66" w:rsidRDefault="00311EBF" w:rsidP="00CF5D66">
            <w:pPr>
              <w:pStyle w:val="Table"/>
              <w:rPr>
                <w:noProof/>
                <w:sz w:val="20"/>
                <w:szCs w:val="20"/>
              </w:rPr>
            </w:pPr>
            <w:r w:rsidRPr="00CF5D66">
              <w:rPr>
                <w:noProof/>
                <w:sz w:val="20"/>
                <w:szCs w:val="20"/>
              </w:rPr>
              <w:t>1.40E+00</w:t>
            </w:r>
          </w:p>
        </w:tc>
      </w:tr>
      <w:tr w:rsidR="00311EBF" w:rsidRPr="00972C81" w14:paraId="24CFC2BA" w14:textId="77777777" w:rsidTr="00CF5D66">
        <w:trPr>
          <w:trHeight w:val="340"/>
        </w:trPr>
        <w:tc>
          <w:tcPr>
            <w:tcW w:w="2895" w:type="dxa"/>
            <w:shd w:val="clear" w:color="auto" w:fill="auto"/>
            <w:noWrap/>
            <w:vAlign w:val="center"/>
            <w:hideMark/>
          </w:tcPr>
          <w:p w14:paraId="1EF9FF68" w14:textId="4E78658B" w:rsidR="00311EBF" w:rsidRPr="00CF5D66" w:rsidRDefault="00311EBF" w:rsidP="00CF5D66">
            <w:pPr>
              <w:pStyle w:val="Table"/>
              <w:rPr>
                <w:noProof/>
                <w:sz w:val="20"/>
                <w:szCs w:val="20"/>
              </w:rPr>
            </w:pPr>
            <w:r w:rsidRPr="00CF5D66">
              <w:rPr>
                <w:noProof/>
                <w:sz w:val="20"/>
                <w:szCs w:val="20"/>
              </w:rPr>
              <w:t>Blood to Kidneys 2</w:t>
            </w:r>
          </w:p>
        </w:tc>
        <w:tc>
          <w:tcPr>
            <w:tcW w:w="1022" w:type="dxa"/>
            <w:shd w:val="clear" w:color="auto" w:fill="auto"/>
            <w:noWrap/>
            <w:vAlign w:val="center"/>
            <w:hideMark/>
          </w:tcPr>
          <w:p w14:paraId="77C7F026" w14:textId="77777777" w:rsidR="00311EBF" w:rsidRPr="00CF5D66" w:rsidRDefault="00311EBF" w:rsidP="00CF5D66">
            <w:pPr>
              <w:pStyle w:val="Table"/>
              <w:rPr>
                <w:noProof/>
                <w:sz w:val="20"/>
                <w:szCs w:val="20"/>
              </w:rPr>
            </w:pPr>
            <w:r w:rsidRPr="00CF5D66">
              <w:rPr>
                <w:noProof/>
                <w:sz w:val="20"/>
                <w:szCs w:val="20"/>
              </w:rPr>
              <w:t>1.17E-01</w:t>
            </w:r>
          </w:p>
        </w:tc>
        <w:tc>
          <w:tcPr>
            <w:tcW w:w="1022" w:type="dxa"/>
            <w:shd w:val="clear" w:color="auto" w:fill="auto"/>
            <w:noWrap/>
            <w:vAlign w:val="center"/>
            <w:hideMark/>
          </w:tcPr>
          <w:p w14:paraId="4C54EAEC" w14:textId="77777777" w:rsidR="00311EBF" w:rsidRPr="00CF5D66" w:rsidRDefault="00311EBF" w:rsidP="00CF5D66">
            <w:pPr>
              <w:pStyle w:val="Table"/>
              <w:rPr>
                <w:noProof/>
                <w:sz w:val="20"/>
                <w:szCs w:val="20"/>
              </w:rPr>
            </w:pPr>
            <w:r w:rsidRPr="00CF5D66">
              <w:rPr>
                <w:noProof/>
                <w:sz w:val="20"/>
                <w:szCs w:val="20"/>
              </w:rPr>
              <w:t>1.17E-01</w:t>
            </w:r>
          </w:p>
        </w:tc>
        <w:tc>
          <w:tcPr>
            <w:tcW w:w="1022" w:type="dxa"/>
            <w:shd w:val="clear" w:color="auto" w:fill="auto"/>
            <w:noWrap/>
            <w:vAlign w:val="center"/>
            <w:hideMark/>
          </w:tcPr>
          <w:p w14:paraId="70C54902" w14:textId="77777777" w:rsidR="00311EBF" w:rsidRPr="00CF5D66" w:rsidRDefault="00311EBF" w:rsidP="00CF5D66">
            <w:pPr>
              <w:pStyle w:val="Table"/>
              <w:rPr>
                <w:noProof/>
                <w:sz w:val="20"/>
                <w:szCs w:val="20"/>
              </w:rPr>
            </w:pPr>
            <w:r w:rsidRPr="00CF5D66">
              <w:rPr>
                <w:noProof/>
                <w:sz w:val="20"/>
                <w:szCs w:val="20"/>
              </w:rPr>
              <w:t>1.17E-01</w:t>
            </w:r>
          </w:p>
        </w:tc>
        <w:tc>
          <w:tcPr>
            <w:tcW w:w="1022" w:type="dxa"/>
            <w:shd w:val="clear" w:color="auto" w:fill="auto"/>
            <w:noWrap/>
            <w:vAlign w:val="center"/>
            <w:hideMark/>
          </w:tcPr>
          <w:p w14:paraId="5B8EB36F" w14:textId="77777777" w:rsidR="00311EBF" w:rsidRPr="00CF5D66" w:rsidRDefault="00311EBF" w:rsidP="00CF5D66">
            <w:pPr>
              <w:pStyle w:val="Table"/>
              <w:rPr>
                <w:noProof/>
                <w:sz w:val="20"/>
                <w:szCs w:val="20"/>
              </w:rPr>
            </w:pPr>
            <w:r w:rsidRPr="00CF5D66">
              <w:rPr>
                <w:noProof/>
                <w:sz w:val="20"/>
                <w:szCs w:val="20"/>
              </w:rPr>
              <w:t>1.17E-01</w:t>
            </w:r>
          </w:p>
        </w:tc>
        <w:tc>
          <w:tcPr>
            <w:tcW w:w="1022" w:type="dxa"/>
            <w:shd w:val="clear" w:color="auto" w:fill="auto"/>
            <w:noWrap/>
            <w:vAlign w:val="center"/>
            <w:hideMark/>
          </w:tcPr>
          <w:p w14:paraId="0C867DC6" w14:textId="77777777" w:rsidR="00311EBF" w:rsidRPr="00CF5D66" w:rsidRDefault="00311EBF" w:rsidP="00CF5D66">
            <w:pPr>
              <w:pStyle w:val="Table"/>
              <w:rPr>
                <w:noProof/>
                <w:sz w:val="20"/>
                <w:szCs w:val="20"/>
              </w:rPr>
            </w:pPr>
            <w:r w:rsidRPr="00CF5D66">
              <w:rPr>
                <w:noProof/>
                <w:sz w:val="20"/>
                <w:szCs w:val="20"/>
              </w:rPr>
              <w:t>1.17E-01</w:t>
            </w:r>
          </w:p>
        </w:tc>
        <w:tc>
          <w:tcPr>
            <w:tcW w:w="1022" w:type="dxa"/>
            <w:shd w:val="clear" w:color="auto" w:fill="auto"/>
            <w:noWrap/>
            <w:vAlign w:val="center"/>
            <w:hideMark/>
          </w:tcPr>
          <w:p w14:paraId="1E93BD3E" w14:textId="77777777" w:rsidR="00311EBF" w:rsidRPr="00CF5D66" w:rsidRDefault="00311EBF" w:rsidP="00CF5D66">
            <w:pPr>
              <w:pStyle w:val="Table"/>
              <w:rPr>
                <w:noProof/>
                <w:sz w:val="20"/>
                <w:szCs w:val="20"/>
              </w:rPr>
            </w:pPr>
            <w:r w:rsidRPr="00CF5D66">
              <w:rPr>
                <w:noProof/>
                <w:sz w:val="20"/>
                <w:szCs w:val="20"/>
              </w:rPr>
              <w:t>1.17E-01</w:t>
            </w:r>
          </w:p>
        </w:tc>
      </w:tr>
      <w:tr w:rsidR="00311EBF" w:rsidRPr="00972C81" w14:paraId="0ECEECA0" w14:textId="77777777" w:rsidTr="00CF5D66">
        <w:trPr>
          <w:trHeight w:val="340"/>
        </w:trPr>
        <w:tc>
          <w:tcPr>
            <w:tcW w:w="2895" w:type="dxa"/>
            <w:shd w:val="clear" w:color="auto" w:fill="auto"/>
            <w:noWrap/>
            <w:vAlign w:val="center"/>
            <w:hideMark/>
          </w:tcPr>
          <w:p w14:paraId="516E0CD2" w14:textId="4E428EEF" w:rsidR="00311EBF" w:rsidRPr="00CF5D66" w:rsidRDefault="00311EBF" w:rsidP="00CF5D66">
            <w:pPr>
              <w:pStyle w:val="Table"/>
              <w:rPr>
                <w:noProof/>
                <w:sz w:val="20"/>
                <w:szCs w:val="20"/>
              </w:rPr>
            </w:pPr>
            <w:r w:rsidRPr="00CF5D66">
              <w:rPr>
                <w:noProof/>
                <w:sz w:val="20"/>
                <w:szCs w:val="20"/>
              </w:rPr>
              <w:t>Blood to Testes</w:t>
            </w:r>
          </w:p>
        </w:tc>
        <w:tc>
          <w:tcPr>
            <w:tcW w:w="1022" w:type="dxa"/>
            <w:shd w:val="clear" w:color="auto" w:fill="auto"/>
            <w:noWrap/>
            <w:vAlign w:val="center"/>
            <w:hideMark/>
          </w:tcPr>
          <w:p w14:paraId="05EEB76C" w14:textId="77777777" w:rsidR="00311EBF" w:rsidRPr="00CF5D66" w:rsidRDefault="00311EBF" w:rsidP="00CF5D66">
            <w:pPr>
              <w:pStyle w:val="Table"/>
              <w:rPr>
                <w:noProof/>
                <w:sz w:val="20"/>
                <w:szCs w:val="20"/>
              </w:rPr>
            </w:pPr>
            <w:r w:rsidRPr="00CF5D66">
              <w:rPr>
                <w:noProof/>
                <w:sz w:val="20"/>
                <w:szCs w:val="20"/>
              </w:rPr>
              <w:t>4.70E-04</w:t>
            </w:r>
          </w:p>
        </w:tc>
        <w:tc>
          <w:tcPr>
            <w:tcW w:w="1022" w:type="dxa"/>
            <w:shd w:val="clear" w:color="auto" w:fill="auto"/>
            <w:noWrap/>
            <w:vAlign w:val="center"/>
            <w:hideMark/>
          </w:tcPr>
          <w:p w14:paraId="31FF69A0" w14:textId="77777777" w:rsidR="00311EBF" w:rsidRPr="00CF5D66" w:rsidRDefault="00311EBF" w:rsidP="00CF5D66">
            <w:pPr>
              <w:pStyle w:val="Table"/>
              <w:rPr>
                <w:noProof/>
                <w:sz w:val="20"/>
                <w:szCs w:val="20"/>
              </w:rPr>
            </w:pPr>
            <w:r w:rsidRPr="00CF5D66">
              <w:rPr>
                <w:noProof/>
                <w:sz w:val="20"/>
                <w:szCs w:val="20"/>
              </w:rPr>
              <w:t>7.00E-04</w:t>
            </w:r>
          </w:p>
        </w:tc>
        <w:tc>
          <w:tcPr>
            <w:tcW w:w="1022" w:type="dxa"/>
            <w:shd w:val="clear" w:color="auto" w:fill="auto"/>
            <w:noWrap/>
            <w:vAlign w:val="center"/>
            <w:hideMark/>
          </w:tcPr>
          <w:p w14:paraId="2E83EC3A" w14:textId="77777777" w:rsidR="00311EBF" w:rsidRPr="00CF5D66" w:rsidRDefault="00311EBF" w:rsidP="00CF5D66">
            <w:pPr>
              <w:pStyle w:val="Table"/>
              <w:rPr>
                <w:noProof/>
                <w:sz w:val="20"/>
                <w:szCs w:val="20"/>
              </w:rPr>
            </w:pPr>
            <w:r w:rsidRPr="00CF5D66">
              <w:rPr>
                <w:noProof/>
                <w:sz w:val="20"/>
                <w:szCs w:val="20"/>
              </w:rPr>
              <w:t>7.90E-04</w:t>
            </w:r>
          </w:p>
        </w:tc>
        <w:tc>
          <w:tcPr>
            <w:tcW w:w="1022" w:type="dxa"/>
            <w:shd w:val="clear" w:color="auto" w:fill="auto"/>
            <w:noWrap/>
            <w:vAlign w:val="center"/>
            <w:hideMark/>
          </w:tcPr>
          <w:p w14:paraId="160A4364" w14:textId="77777777" w:rsidR="00311EBF" w:rsidRPr="00CF5D66" w:rsidRDefault="00311EBF" w:rsidP="00CF5D66">
            <w:pPr>
              <w:pStyle w:val="Table"/>
              <w:rPr>
                <w:noProof/>
                <w:sz w:val="20"/>
                <w:szCs w:val="20"/>
              </w:rPr>
            </w:pPr>
            <w:r w:rsidRPr="00CF5D66">
              <w:rPr>
                <w:noProof/>
                <w:sz w:val="20"/>
                <w:szCs w:val="20"/>
              </w:rPr>
              <w:t>9.30E-04</w:t>
            </w:r>
          </w:p>
        </w:tc>
        <w:tc>
          <w:tcPr>
            <w:tcW w:w="1022" w:type="dxa"/>
            <w:shd w:val="clear" w:color="auto" w:fill="auto"/>
            <w:noWrap/>
            <w:vAlign w:val="center"/>
            <w:hideMark/>
          </w:tcPr>
          <w:p w14:paraId="22C81066" w14:textId="77777777" w:rsidR="00311EBF" w:rsidRPr="00CF5D66" w:rsidRDefault="00311EBF" w:rsidP="00CF5D66">
            <w:pPr>
              <w:pStyle w:val="Table"/>
              <w:rPr>
                <w:noProof/>
                <w:sz w:val="20"/>
                <w:szCs w:val="20"/>
              </w:rPr>
            </w:pPr>
            <w:r w:rsidRPr="00CF5D66">
              <w:rPr>
                <w:noProof/>
                <w:sz w:val="20"/>
                <w:szCs w:val="20"/>
              </w:rPr>
              <w:t>7.50E-03</w:t>
            </w:r>
          </w:p>
        </w:tc>
        <w:tc>
          <w:tcPr>
            <w:tcW w:w="1022" w:type="dxa"/>
            <w:shd w:val="clear" w:color="auto" w:fill="auto"/>
            <w:noWrap/>
            <w:vAlign w:val="center"/>
            <w:hideMark/>
          </w:tcPr>
          <w:p w14:paraId="7029CDF4" w14:textId="77777777" w:rsidR="00311EBF" w:rsidRPr="00CF5D66" w:rsidRDefault="00311EBF" w:rsidP="00CF5D66">
            <w:pPr>
              <w:pStyle w:val="Table"/>
              <w:rPr>
                <w:noProof/>
                <w:sz w:val="20"/>
                <w:szCs w:val="20"/>
              </w:rPr>
            </w:pPr>
            <w:r w:rsidRPr="00CF5D66">
              <w:rPr>
                <w:noProof/>
                <w:sz w:val="20"/>
                <w:szCs w:val="20"/>
              </w:rPr>
              <w:t>8.15E-03</w:t>
            </w:r>
          </w:p>
        </w:tc>
      </w:tr>
      <w:tr w:rsidR="00311EBF" w:rsidRPr="00972C81" w14:paraId="302FCD0A" w14:textId="77777777" w:rsidTr="00CF5D66">
        <w:trPr>
          <w:trHeight w:val="340"/>
        </w:trPr>
        <w:tc>
          <w:tcPr>
            <w:tcW w:w="2895" w:type="dxa"/>
            <w:shd w:val="clear" w:color="auto" w:fill="auto"/>
            <w:noWrap/>
            <w:vAlign w:val="center"/>
            <w:hideMark/>
          </w:tcPr>
          <w:p w14:paraId="335867A7" w14:textId="3CC88430" w:rsidR="00311EBF" w:rsidRPr="00CF5D66" w:rsidRDefault="00311EBF" w:rsidP="00CF5D66">
            <w:pPr>
              <w:pStyle w:val="Table"/>
              <w:rPr>
                <w:noProof/>
                <w:sz w:val="20"/>
                <w:szCs w:val="20"/>
              </w:rPr>
            </w:pPr>
            <w:r w:rsidRPr="00CF5D66">
              <w:rPr>
                <w:noProof/>
                <w:sz w:val="20"/>
                <w:szCs w:val="20"/>
              </w:rPr>
              <w:t>Blood to Ovaries</w:t>
            </w:r>
          </w:p>
        </w:tc>
        <w:tc>
          <w:tcPr>
            <w:tcW w:w="1022" w:type="dxa"/>
            <w:shd w:val="clear" w:color="auto" w:fill="auto"/>
            <w:noWrap/>
            <w:vAlign w:val="center"/>
            <w:hideMark/>
          </w:tcPr>
          <w:p w14:paraId="618D4DFA" w14:textId="77777777" w:rsidR="00311EBF" w:rsidRPr="00CF5D66" w:rsidRDefault="00311EBF" w:rsidP="00CF5D66">
            <w:pPr>
              <w:pStyle w:val="Table"/>
              <w:rPr>
                <w:noProof/>
                <w:sz w:val="20"/>
                <w:szCs w:val="20"/>
              </w:rPr>
            </w:pPr>
            <w:r w:rsidRPr="00CF5D66">
              <w:rPr>
                <w:noProof/>
                <w:sz w:val="20"/>
                <w:szCs w:val="20"/>
              </w:rPr>
              <w:t>2.80E-04</w:t>
            </w:r>
          </w:p>
        </w:tc>
        <w:tc>
          <w:tcPr>
            <w:tcW w:w="1022" w:type="dxa"/>
            <w:shd w:val="clear" w:color="auto" w:fill="auto"/>
            <w:noWrap/>
            <w:vAlign w:val="center"/>
            <w:hideMark/>
          </w:tcPr>
          <w:p w14:paraId="04F567A2" w14:textId="77777777" w:rsidR="00311EBF" w:rsidRPr="00CF5D66" w:rsidRDefault="00311EBF" w:rsidP="00CF5D66">
            <w:pPr>
              <w:pStyle w:val="Table"/>
              <w:rPr>
                <w:noProof/>
                <w:sz w:val="20"/>
                <w:szCs w:val="20"/>
              </w:rPr>
            </w:pPr>
            <w:r w:rsidRPr="00CF5D66">
              <w:rPr>
                <w:noProof/>
                <w:sz w:val="20"/>
                <w:szCs w:val="20"/>
              </w:rPr>
              <w:t>3.70E-04</w:t>
            </w:r>
          </w:p>
        </w:tc>
        <w:tc>
          <w:tcPr>
            <w:tcW w:w="1022" w:type="dxa"/>
            <w:shd w:val="clear" w:color="auto" w:fill="auto"/>
            <w:noWrap/>
            <w:vAlign w:val="center"/>
            <w:hideMark/>
          </w:tcPr>
          <w:p w14:paraId="55957656" w14:textId="77777777" w:rsidR="00311EBF" w:rsidRPr="00CF5D66" w:rsidRDefault="00311EBF" w:rsidP="00CF5D66">
            <w:pPr>
              <w:pStyle w:val="Table"/>
              <w:rPr>
                <w:noProof/>
                <w:sz w:val="20"/>
                <w:szCs w:val="20"/>
              </w:rPr>
            </w:pPr>
            <w:r w:rsidRPr="00CF5D66">
              <w:rPr>
                <w:noProof/>
                <w:sz w:val="20"/>
                <w:szCs w:val="20"/>
              </w:rPr>
              <w:t>9.30E-04</w:t>
            </w:r>
          </w:p>
        </w:tc>
        <w:tc>
          <w:tcPr>
            <w:tcW w:w="1022" w:type="dxa"/>
            <w:shd w:val="clear" w:color="auto" w:fill="auto"/>
            <w:noWrap/>
            <w:vAlign w:val="center"/>
            <w:hideMark/>
          </w:tcPr>
          <w:p w14:paraId="61E99BD4" w14:textId="77777777" w:rsidR="00311EBF" w:rsidRPr="00CF5D66" w:rsidRDefault="00311EBF" w:rsidP="00CF5D66">
            <w:pPr>
              <w:pStyle w:val="Table"/>
              <w:rPr>
                <w:noProof/>
                <w:sz w:val="20"/>
                <w:szCs w:val="20"/>
              </w:rPr>
            </w:pPr>
            <w:r w:rsidRPr="00CF5D66">
              <w:rPr>
                <w:noProof/>
                <w:sz w:val="20"/>
                <w:szCs w:val="20"/>
              </w:rPr>
              <w:t>1.60E-03</w:t>
            </w:r>
          </w:p>
        </w:tc>
        <w:tc>
          <w:tcPr>
            <w:tcW w:w="1022" w:type="dxa"/>
            <w:shd w:val="clear" w:color="auto" w:fill="auto"/>
            <w:noWrap/>
            <w:vAlign w:val="center"/>
            <w:hideMark/>
          </w:tcPr>
          <w:p w14:paraId="5A0C0502" w14:textId="77777777" w:rsidR="00311EBF" w:rsidRPr="00CF5D66" w:rsidRDefault="00311EBF" w:rsidP="00CF5D66">
            <w:pPr>
              <w:pStyle w:val="Table"/>
              <w:rPr>
                <w:noProof/>
                <w:sz w:val="20"/>
                <w:szCs w:val="20"/>
              </w:rPr>
            </w:pPr>
            <w:r w:rsidRPr="00CF5D66">
              <w:rPr>
                <w:noProof/>
                <w:sz w:val="20"/>
                <w:szCs w:val="20"/>
              </w:rPr>
              <w:t>2.80E-03</w:t>
            </w:r>
          </w:p>
        </w:tc>
        <w:tc>
          <w:tcPr>
            <w:tcW w:w="1022" w:type="dxa"/>
            <w:shd w:val="clear" w:color="auto" w:fill="auto"/>
            <w:noWrap/>
            <w:vAlign w:val="center"/>
            <w:hideMark/>
          </w:tcPr>
          <w:p w14:paraId="1A28F445" w14:textId="77777777" w:rsidR="00311EBF" w:rsidRPr="00CF5D66" w:rsidRDefault="00311EBF" w:rsidP="00CF5D66">
            <w:pPr>
              <w:pStyle w:val="Table"/>
              <w:rPr>
                <w:noProof/>
                <w:sz w:val="20"/>
                <w:szCs w:val="20"/>
              </w:rPr>
            </w:pPr>
            <w:r w:rsidRPr="00CF5D66">
              <w:rPr>
                <w:noProof/>
                <w:sz w:val="20"/>
                <w:szCs w:val="20"/>
              </w:rPr>
              <w:t>2.56E-03</w:t>
            </w:r>
          </w:p>
        </w:tc>
      </w:tr>
      <w:tr w:rsidR="00311EBF" w:rsidRPr="00972C81" w14:paraId="3651298F" w14:textId="77777777" w:rsidTr="00CF5D66">
        <w:trPr>
          <w:trHeight w:val="340"/>
        </w:trPr>
        <w:tc>
          <w:tcPr>
            <w:tcW w:w="2895" w:type="dxa"/>
            <w:shd w:val="clear" w:color="auto" w:fill="auto"/>
            <w:noWrap/>
            <w:vAlign w:val="center"/>
            <w:hideMark/>
          </w:tcPr>
          <w:p w14:paraId="34D9C789" w14:textId="29BCDA47" w:rsidR="00311EBF" w:rsidRPr="00CF5D66" w:rsidRDefault="00311EBF" w:rsidP="00CF5D66">
            <w:pPr>
              <w:pStyle w:val="Table"/>
              <w:rPr>
                <w:noProof/>
                <w:sz w:val="20"/>
                <w:szCs w:val="20"/>
              </w:rPr>
            </w:pPr>
            <w:r w:rsidRPr="00CF5D66">
              <w:rPr>
                <w:noProof/>
                <w:sz w:val="20"/>
                <w:szCs w:val="20"/>
              </w:rPr>
              <w:t>Blood to UB content</w:t>
            </w:r>
          </w:p>
        </w:tc>
        <w:tc>
          <w:tcPr>
            <w:tcW w:w="1022" w:type="dxa"/>
            <w:shd w:val="clear" w:color="auto" w:fill="auto"/>
            <w:noWrap/>
            <w:vAlign w:val="center"/>
            <w:hideMark/>
          </w:tcPr>
          <w:p w14:paraId="21C89083" w14:textId="77777777" w:rsidR="00311EBF" w:rsidRPr="00CF5D66" w:rsidRDefault="00311EBF" w:rsidP="00CF5D66">
            <w:pPr>
              <w:pStyle w:val="Table"/>
              <w:rPr>
                <w:noProof/>
                <w:sz w:val="20"/>
                <w:szCs w:val="20"/>
              </w:rPr>
            </w:pPr>
            <w:r w:rsidRPr="00CF5D66">
              <w:rPr>
                <w:noProof/>
                <w:sz w:val="20"/>
                <w:szCs w:val="20"/>
              </w:rPr>
              <w:t>4.66E-01</w:t>
            </w:r>
          </w:p>
        </w:tc>
        <w:tc>
          <w:tcPr>
            <w:tcW w:w="1022" w:type="dxa"/>
            <w:shd w:val="clear" w:color="auto" w:fill="auto"/>
            <w:noWrap/>
            <w:vAlign w:val="center"/>
            <w:hideMark/>
          </w:tcPr>
          <w:p w14:paraId="265CBED8" w14:textId="77777777" w:rsidR="00311EBF" w:rsidRPr="00CF5D66" w:rsidRDefault="00311EBF" w:rsidP="00CF5D66">
            <w:pPr>
              <w:pStyle w:val="Table"/>
              <w:rPr>
                <w:noProof/>
                <w:sz w:val="20"/>
                <w:szCs w:val="20"/>
              </w:rPr>
            </w:pPr>
            <w:r w:rsidRPr="00CF5D66">
              <w:rPr>
                <w:noProof/>
                <w:sz w:val="20"/>
                <w:szCs w:val="20"/>
              </w:rPr>
              <w:t>4.66E-01</w:t>
            </w:r>
          </w:p>
        </w:tc>
        <w:tc>
          <w:tcPr>
            <w:tcW w:w="1022" w:type="dxa"/>
            <w:shd w:val="clear" w:color="auto" w:fill="auto"/>
            <w:noWrap/>
            <w:vAlign w:val="center"/>
            <w:hideMark/>
          </w:tcPr>
          <w:p w14:paraId="4F12225C" w14:textId="77777777" w:rsidR="00311EBF" w:rsidRPr="00CF5D66" w:rsidRDefault="00311EBF" w:rsidP="00CF5D66">
            <w:pPr>
              <w:pStyle w:val="Table"/>
              <w:rPr>
                <w:noProof/>
                <w:sz w:val="20"/>
                <w:szCs w:val="20"/>
              </w:rPr>
            </w:pPr>
            <w:r w:rsidRPr="00CF5D66">
              <w:rPr>
                <w:noProof/>
                <w:sz w:val="20"/>
                <w:szCs w:val="20"/>
              </w:rPr>
              <w:t>4.66E-01</w:t>
            </w:r>
          </w:p>
        </w:tc>
        <w:tc>
          <w:tcPr>
            <w:tcW w:w="1022" w:type="dxa"/>
            <w:shd w:val="clear" w:color="auto" w:fill="auto"/>
            <w:noWrap/>
            <w:vAlign w:val="center"/>
            <w:hideMark/>
          </w:tcPr>
          <w:p w14:paraId="05BCFE9D" w14:textId="77777777" w:rsidR="00311EBF" w:rsidRPr="00CF5D66" w:rsidRDefault="00311EBF" w:rsidP="00CF5D66">
            <w:pPr>
              <w:pStyle w:val="Table"/>
              <w:rPr>
                <w:noProof/>
                <w:sz w:val="20"/>
                <w:szCs w:val="20"/>
              </w:rPr>
            </w:pPr>
            <w:r w:rsidRPr="00CF5D66">
              <w:rPr>
                <w:noProof/>
                <w:sz w:val="20"/>
                <w:szCs w:val="20"/>
              </w:rPr>
              <w:t>4.66E-01</w:t>
            </w:r>
          </w:p>
        </w:tc>
        <w:tc>
          <w:tcPr>
            <w:tcW w:w="1022" w:type="dxa"/>
            <w:shd w:val="clear" w:color="auto" w:fill="auto"/>
            <w:noWrap/>
            <w:vAlign w:val="center"/>
            <w:hideMark/>
          </w:tcPr>
          <w:p w14:paraId="3E8082AF" w14:textId="77777777" w:rsidR="00311EBF" w:rsidRPr="00CF5D66" w:rsidRDefault="00311EBF" w:rsidP="00CF5D66">
            <w:pPr>
              <w:pStyle w:val="Table"/>
              <w:rPr>
                <w:noProof/>
                <w:sz w:val="20"/>
                <w:szCs w:val="20"/>
              </w:rPr>
            </w:pPr>
            <w:r w:rsidRPr="00CF5D66">
              <w:rPr>
                <w:noProof/>
                <w:sz w:val="20"/>
                <w:szCs w:val="20"/>
              </w:rPr>
              <w:t>4.66E-01</w:t>
            </w:r>
          </w:p>
        </w:tc>
        <w:tc>
          <w:tcPr>
            <w:tcW w:w="1022" w:type="dxa"/>
            <w:shd w:val="clear" w:color="auto" w:fill="auto"/>
            <w:noWrap/>
            <w:vAlign w:val="center"/>
            <w:hideMark/>
          </w:tcPr>
          <w:p w14:paraId="63224F82" w14:textId="77777777" w:rsidR="00311EBF" w:rsidRPr="00CF5D66" w:rsidRDefault="00311EBF" w:rsidP="00CF5D66">
            <w:pPr>
              <w:pStyle w:val="Table"/>
              <w:rPr>
                <w:noProof/>
                <w:sz w:val="20"/>
                <w:szCs w:val="20"/>
              </w:rPr>
            </w:pPr>
            <w:r w:rsidRPr="00CF5D66">
              <w:rPr>
                <w:noProof/>
                <w:sz w:val="20"/>
                <w:szCs w:val="20"/>
              </w:rPr>
              <w:t>4.66E-01</w:t>
            </w:r>
          </w:p>
        </w:tc>
      </w:tr>
      <w:tr w:rsidR="00311EBF" w:rsidRPr="00972C81" w14:paraId="5CED6ED2" w14:textId="77777777" w:rsidTr="00CF5D66">
        <w:trPr>
          <w:trHeight w:val="340"/>
        </w:trPr>
        <w:tc>
          <w:tcPr>
            <w:tcW w:w="2895" w:type="dxa"/>
            <w:shd w:val="clear" w:color="auto" w:fill="auto"/>
            <w:noWrap/>
            <w:vAlign w:val="center"/>
            <w:hideMark/>
          </w:tcPr>
          <w:p w14:paraId="62B42C0A" w14:textId="44894D26" w:rsidR="00311EBF" w:rsidRPr="00CF5D66" w:rsidRDefault="00311EBF" w:rsidP="00CF5D66">
            <w:pPr>
              <w:pStyle w:val="Table"/>
              <w:rPr>
                <w:noProof/>
                <w:sz w:val="20"/>
                <w:szCs w:val="20"/>
              </w:rPr>
            </w:pPr>
            <w:r w:rsidRPr="00CF5D66">
              <w:rPr>
                <w:noProof/>
                <w:sz w:val="20"/>
                <w:szCs w:val="20"/>
              </w:rPr>
              <w:t>Liver 2 to Blood</w:t>
            </w:r>
          </w:p>
        </w:tc>
        <w:tc>
          <w:tcPr>
            <w:tcW w:w="1022" w:type="dxa"/>
            <w:shd w:val="clear" w:color="auto" w:fill="auto"/>
            <w:noWrap/>
            <w:vAlign w:val="center"/>
            <w:hideMark/>
          </w:tcPr>
          <w:p w14:paraId="350A5459" w14:textId="77777777" w:rsidR="00311EBF" w:rsidRPr="00CF5D66" w:rsidRDefault="00311EBF" w:rsidP="00CF5D66">
            <w:pPr>
              <w:pStyle w:val="Table"/>
              <w:rPr>
                <w:noProof/>
                <w:sz w:val="20"/>
                <w:szCs w:val="20"/>
              </w:rPr>
            </w:pPr>
            <w:r w:rsidRPr="00CF5D66">
              <w:rPr>
                <w:noProof/>
                <w:sz w:val="20"/>
                <w:szCs w:val="20"/>
              </w:rPr>
              <w:t>9.50E-04</w:t>
            </w:r>
          </w:p>
        </w:tc>
        <w:tc>
          <w:tcPr>
            <w:tcW w:w="1022" w:type="dxa"/>
            <w:shd w:val="clear" w:color="auto" w:fill="auto"/>
            <w:noWrap/>
            <w:vAlign w:val="center"/>
            <w:hideMark/>
          </w:tcPr>
          <w:p w14:paraId="6852B691" w14:textId="77777777" w:rsidR="00311EBF" w:rsidRPr="00CF5D66" w:rsidRDefault="00311EBF" w:rsidP="00CF5D66">
            <w:pPr>
              <w:pStyle w:val="Table"/>
              <w:rPr>
                <w:noProof/>
                <w:sz w:val="20"/>
                <w:szCs w:val="20"/>
              </w:rPr>
            </w:pPr>
            <w:r w:rsidRPr="00CF5D66">
              <w:rPr>
                <w:noProof/>
                <w:sz w:val="20"/>
                <w:szCs w:val="20"/>
              </w:rPr>
              <w:t>9.50E-04</w:t>
            </w:r>
          </w:p>
        </w:tc>
        <w:tc>
          <w:tcPr>
            <w:tcW w:w="1022" w:type="dxa"/>
            <w:shd w:val="clear" w:color="auto" w:fill="auto"/>
            <w:noWrap/>
            <w:vAlign w:val="center"/>
            <w:hideMark/>
          </w:tcPr>
          <w:p w14:paraId="4832C985" w14:textId="77777777" w:rsidR="00311EBF" w:rsidRPr="00CF5D66" w:rsidRDefault="00311EBF" w:rsidP="00CF5D66">
            <w:pPr>
              <w:pStyle w:val="Table"/>
              <w:rPr>
                <w:noProof/>
                <w:sz w:val="20"/>
                <w:szCs w:val="20"/>
              </w:rPr>
            </w:pPr>
            <w:r w:rsidRPr="00CF5D66">
              <w:rPr>
                <w:noProof/>
                <w:sz w:val="20"/>
                <w:szCs w:val="20"/>
              </w:rPr>
              <w:t>9.50E-04</w:t>
            </w:r>
          </w:p>
        </w:tc>
        <w:tc>
          <w:tcPr>
            <w:tcW w:w="1022" w:type="dxa"/>
            <w:shd w:val="clear" w:color="auto" w:fill="auto"/>
            <w:noWrap/>
            <w:vAlign w:val="center"/>
            <w:hideMark/>
          </w:tcPr>
          <w:p w14:paraId="5F69BBEC" w14:textId="77777777" w:rsidR="00311EBF" w:rsidRPr="00CF5D66" w:rsidRDefault="00311EBF" w:rsidP="00CF5D66">
            <w:pPr>
              <w:pStyle w:val="Table"/>
              <w:rPr>
                <w:noProof/>
                <w:sz w:val="20"/>
                <w:szCs w:val="20"/>
              </w:rPr>
            </w:pPr>
            <w:r w:rsidRPr="00CF5D66">
              <w:rPr>
                <w:noProof/>
                <w:sz w:val="20"/>
                <w:szCs w:val="20"/>
              </w:rPr>
              <w:t>9.50E-04</w:t>
            </w:r>
          </w:p>
        </w:tc>
        <w:tc>
          <w:tcPr>
            <w:tcW w:w="1022" w:type="dxa"/>
            <w:shd w:val="clear" w:color="auto" w:fill="auto"/>
            <w:noWrap/>
            <w:vAlign w:val="center"/>
            <w:hideMark/>
          </w:tcPr>
          <w:p w14:paraId="765B26F2" w14:textId="77777777" w:rsidR="00311EBF" w:rsidRPr="00CF5D66" w:rsidRDefault="00311EBF" w:rsidP="00CF5D66">
            <w:pPr>
              <w:pStyle w:val="Table"/>
              <w:rPr>
                <w:noProof/>
                <w:sz w:val="20"/>
                <w:szCs w:val="20"/>
              </w:rPr>
            </w:pPr>
            <w:r w:rsidRPr="00CF5D66">
              <w:rPr>
                <w:noProof/>
                <w:sz w:val="20"/>
                <w:szCs w:val="20"/>
              </w:rPr>
              <w:t>9.50E-04</w:t>
            </w:r>
          </w:p>
        </w:tc>
        <w:tc>
          <w:tcPr>
            <w:tcW w:w="1022" w:type="dxa"/>
            <w:shd w:val="clear" w:color="auto" w:fill="auto"/>
            <w:noWrap/>
            <w:vAlign w:val="center"/>
            <w:hideMark/>
          </w:tcPr>
          <w:p w14:paraId="21F2066E" w14:textId="77777777" w:rsidR="00311EBF" w:rsidRPr="00CF5D66" w:rsidRDefault="00311EBF" w:rsidP="00CF5D66">
            <w:pPr>
              <w:pStyle w:val="Table"/>
              <w:rPr>
                <w:noProof/>
                <w:sz w:val="20"/>
                <w:szCs w:val="20"/>
              </w:rPr>
            </w:pPr>
            <w:r w:rsidRPr="00CF5D66">
              <w:rPr>
                <w:noProof/>
                <w:sz w:val="20"/>
                <w:szCs w:val="20"/>
              </w:rPr>
              <w:t>9.50E-04</w:t>
            </w:r>
          </w:p>
        </w:tc>
      </w:tr>
      <w:tr w:rsidR="00311EBF" w:rsidRPr="00972C81" w14:paraId="464948F5" w14:textId="77777777" w:rsidTr="00CF5D66">
        <w:trPr>
          <w:trHeight w:val="340"/>
        </w:trPr>
        <w:tc>
          <w:tcPr>
            <w:tcW w:w="2895" w:type="dxa"/>
            <w:shd w:val="clear" w:color="auto" w:fill="auto"/>
            <w:noWrap/>
            <w:vAlign w:val="center"/>
            <w:hideMark/>
          </w:tcPr>
          <w:p w14:paraId="1BC1455C" w14:textId="51B1C50B" w:rsidR="00311EBF" w:rsidRPr="00CF5D66" w:rsidRDefault="00311EBF" w:rsidP="00CF5D66">
            <w:pPr>
              <w:pStyle w:val="Table"/>
              <w:rPr>
                <w:noProof/>
                <w:sz w:val="20"/>
                <w:szCs w:val="20"/>
              </w:rPr>
            </w:pPr>
            <w:r w:rsidRPr="00CF5D66">
              <w:rPr>
                <w:noProof/>
                <w:sz w:val="20"/>
                <w:szCs w:val="20"/>
              </w:rPr>
              <w:t>Liver 1 to SI content</w:t>
            </w:r>
          </w:p>
        </w:tc>
        <w:tc>
          <w:tcPr>
            <w:tcW w:w="1022" w:type="dxa"/>
            <w:shd w:val="clear" w:color="auto" w:fill="auto"/>
            <w:noWrap/>
            <w:vAlign w:val="center"/>
            <w:hideMark/>
          </w:tcPr>
          <w:p w14:paraId="608E9072" w14:textId="77777777" w:rsidR="00311EBF" w:rsidRPr="00CF5D66" w:rsidRDefault="00311EBF" w:rsidP="00CF5D66">
            <w:pPr>
              <w:pStyle w:val="Table"/>
              <w:rPr>
                <w:noProof/>
                <w:sz w:val="20"/>
                <w:szCs w:val="20"/>
              </w:rPr>
            </w:pPr>
            <w:r w:rsidRPr="00CF5D66">
              <w:rPr>
                <w:noProof/>
                <w:sz w:val="20"/>
                <w:szCs w:val="20"/>
              </w:rPr>
              <w:t>2.31E-03</w:t>
            </w:r>
          </w:p>
        </w:tc>
        <w:tc>
          <w:tcPr>
            <w:tcW w:w="1022" w:type="dxa"/>
            <w:shd w:val="clear" w:color="auto" w:fill="auto"/>
            <w:noWrap/>
            <w:vAlign w:val="center"/>
            <w:hideMark/>
          </w:tcPr>
          <w:p w14:paraId="58483DD4" w14:textId="77777777" w:rsidR="00311EBF" w:rsidRPr="00CF5D66" w:rsidRDefault="00311EBF" w:rsidP="00CF5D66">
            <w:pPr>
              <w:pStyle w:val="Table"/>
              <w:rPr>
                <w:noProof/>
                <w:sz w:val="20"/>
                <w:szCs w:val="20"/>
              </w:rPr>
            </w:pPr>
            <w:r w:rsidRPr="00CF5D66">
              <w:rPr>
                <w:noProof/>
                <w:sz w:val="20"/>
                <w:szCs w:val="20"/>
              </w:rPr>
              <w:t>2.31E-03</w:t>
            </w:r>
          </w:p>
        </w:tc>
        <w:tc>
          <w:tcPr>
            <w:tcW w:w="1022" w:type="dxa"/>
            <w:shd w:val="clear" w:color="auto" w:fill="auto"/>
            <w:noWrap/>
            <w:vAlign w:val="center"/>
            <w:hideMark/>
          </w:tcPr>
          <w:p w14:paraId="6678D4BE" w14:textId="77777777" w:rsidR="00311EBF" w:rsidRPr="00CF5D66" w:rsidRDefault="00311EBF" w:rsidP="00CF5D66">
            <w:pPr>
              <w:pStyle w:val="Table"/>
              <w:rPr>
                <w:noProof/>
                <w:sz w:val="20"/>
                <w:szCs w:val="20"/>
              </w:rPr>
            </w:pPr>
            <w:r w:rsidRPr="00CF5D66">
              <w:rPr>
                <w:noProof/>
                <w:sz w:val="20"/>
                <w:szCs w:val="20"/>
              </w:rPr>
              <w:t>2.31E-03</w:t>
            </w:r>
          </w:p>
        </w:tc>
        <w:tc>
          <w:tcPr>
            <w:tcW w:w="1022" w:type="dxa"/>
            <w:shd w:val="clear" w:color="auto" w:fill="auto"/>
            <w:noWrap/>
            <w:vAlign w:val="center"/>
            <w:hideMark/>
          </w:tcPr>
          <w:p w14:paraId="448657FD" w14:textId="77777777" w:rsidR="00311EBF" w:rsidRPr="00CF5D66" w:rsidRDefault="00311EBF" w:rsidP="00CF5D66">
            <w:pPr>
              <w:pStyle w:val="Table"/>
              <w:rPr>
                <w:noProof/>
                <w:sz w:val="20"/>
                <w:szCs w:val="20"/>
              </w:rPr>
            </w:pPr>
            <w:r w:rsidRPr="00CF5D66">
              <w:rPr>
                <w:noProof/>
                <w:sz w:val="20"/>
                <w:szCs w:val="20"/>
              </w:rPr>
              <w:t>2.31E-03</w:t>
            </w:r>
          </w:p>
        </w:tc>
        <w:tc>
          <w:tcPr>
            <w:tcW w:w="1022" w:type="dxa"/>
            <w:shd w:val="clear" w:color="auto" w:fill="auto"/>
            <w:noWrap/>
            <w:vAlign w:val="center"/>
            <w:hideMark/>
          </w:tcPr>
          <w:p w14:paraId="70EA4C04" w14:textId="77777777" w:rsidR="00311EBF" w:rsidRPr="00CF5D66" w:rsidRDefault="00311EBF" w:rsidP="00CF5D66">
            <w:pPr>
              <w:pStyle w:val="Table"/>
              <w:rPr>
                <w:noProof/>
                <w:sz w:val="20"/>
                <w:szCs w:val="20"/>
              </w:rPr>
            </w:pPr>
            <w:r w:rsidRPr="00CF5D66">
              <w:rPr>
                <w:noProof/>
                <w:sz w:val="20"/>
                <w:szCs w:val="20"/>
              </w:rPr>
              <w:t>2.31E-03</w:t>
            </w:r>
          </w:p>
        </w:tc>
        <w:tc>
          <w:tcPr>
            <w:tcW w:w="1022" w:type="dxa"/>
            <w:shd w:val="clear" w:color="auto" w:fill="auto"/>
            <w:noWrap/>
            <w:vAlign w:val="center"/>
            <w:hideMark/>
          </w:tcPr>
          <w:p w14:paraId="67731DC0" w14:textId="77777777" w:rsidR="00311EBF" w:rsidRPr="00CF5D66" w:rsidRDefault="00311EBF" w:rsidP="00CF5D66">
            <w:pPr>
              <w:pStyle w:val="Table"/>
              <w:rPr>
                <w:noProof/>
                <w:sz w:val="20"/>
                <w:szCs w:val="20"/>
              </w:rPr>
            </w:pPr>
            <w:r w:rsidRPr="00CF5D66">
              <w:rPr>
                <w:noProof/>
                <w:sz w:val="20"/>
                <w:szCs w:val="20"/>
              </w:rPr>
              <w:t>2.31E-03</w:t>
            </w:r>
          </w:p>
        </w:tc>
      </w:tr>
      <w:tr w:rsidR="00311EBF" w:rsidRPr="00972C81" w14:paraId="61DBCC41" w14:textId="77777777" w:rsidTr="00CF5D66">
        <w:trPr>
          <w:trHeight w:val="340"/>
        </w:trPr>
        <w:tc>
          <w:tcPr>
            <w:tcW w:w="2895" w:type="dxa"/>
            <w:shd w:val="clear" w:color="auto" w:fill="auto"/>
            <w:noWrap/>
            <w:vAlign w:val="center"/>
            <w:hideMark/>
          </w:tcPr>
          <w:p w14:paraId="0480C2AA" w14:textId="772F924E" w:rsidR="00311EBF" w:rsidRPr="00CF5D66" w:rsidRDefault="00311EBF" w:rsidP="00CF5D66">
            <w:pPr>
              <w:pStyle w:val="Table"/>
              <w:rPr>
                <w:noProof/>
                <w:sz w:val="20"/>
                <w:szCs w:val="20"/>
              </w:rPr>
            </w:pPr>
            <w:r w:rsidRPr="00CF5D66">
              <w:rPr>
                <w:noProof/>
                <w:sz w:val="20"/>
                <w:szCs w:val="20"/>
              </w:rPr>
              <w:t>Liver 1 to Liver 2</w:t>
            </w:r>
          </w:p>
        </w:tc>
        <w:tc>
          <w:tcPr>
            <w:tcW w:w="1022" w:type="dxa"/>
            <w:shd w:val="clear" w:color="auto" w:fill="auto"/>
            <w:noWrap/>
            <w:vAlign w:val="center"/>
            <w:hideMark/>
          </w:tcPr>
          <w:p w14:paraId="5AB89733" w14:textId="77777777" w:rsidR="00311EBF" w:rsidRPr="00CF5D66" w:rsidRDefault="00311EBF" w:rsidP="00CF5D66">
            <w:pPr>
              <w:pStyle w:val="Table"/>
              <w:rPr>
                <w:noProof/>
                <w:sz w:val="20"/>
                <w:szCs w:val="20"/>
              </w:rPr>
            </w:pPr>
            <w:r w:rsidRPr="00CF5D66">
              <w:rPr>
                <w:noProof/>
                <w:sz w:val="20"/>
                <w:szCs w:val="20"/>
              </w:rPr>
              <w:t>2.08E-02</w:t>
            </w:r>
          </w:p>
        </w:tc>
        <w:tc>
          <w:tcPr>
            <w:tcW w:w="1022" w:type="dxa"/>
            <w:shd w:val="clear" w:color="auto" w:fill="auto"/>
            <w:noWrap/>
            <w:vAlign w:val="center"/>
            <w:hideMark/>
          </w:tcPr>
          <w:p w14:paraId="768D5624" w14:textId="77777777" w:rsidR="00311EBF" w:rsidRPr="00CF5D66" w:rsidRDefault="00311EBF" w:rsidP="00CF5D66">
            <w:pPr>
              <w:pStyle w:val="Table"/>
              <w:rPr>
                <w:noProof/>
                <w:sz w:val="20"/>
                <w:szCs w:val="20"/>
              </w:rPr>
            </w:pPr>
            <w:r w:rsidRPr="00CF5D66">
              <w:rPr>
                <w:noProof/>
                <w:sz w:val="20"/>
                <w:szCs w:val="20"/>
              </w:rPr>
              <w:t>2.08E-02</w:t>
            </w:r>
          </w:p>
        </w:tc>
        <w:tc>
          <w:tcPr>
            <w:tcW w:w="1022" w:type="dxa"/>
            <w:shd w:val="clear" w:color="auto" w:fill="auto"/>
            <w:noWrap/>
            <w:vAlign w:val="center"/>
            <w:hideMark/>
          </w:tcPr>
          <w:p w14:paraId="272EA262" w14:textId="77777777" w:rsidR="00311EBF" w:rsidRPr="00CF5D66" w:rsidRDefault="00311EBF" w:rsidP="00CF5D66">
            <w:pPr>
              <w:pStyle w:val="Table"/>
              <w:rPr>
                <w:noProof/>
                <w:sz w:val="20"/>
                <w:szCs w:val="20"/>
              </w:rPr>
            </w:pPr>
            <w:r w:rsidRPr="00CF5D66">
              <w:rPr>
                <w:noProof/>
                <w:sz w:val="20"/>
                <w:szCs w:val="20"/>
              </w:rPr>
              <w:t>2.08E-02</w:t>
            </w:r>
          </w:p>
        </w:tc>
        <w:tc>
          <w:tcPr>
            <w:tcW w:w="1022" w:type="dxa"/>
            <w:shd w:val="clear" w:color="auto" w:fill="auto"/>
            <w:noWrap/>
            <w:vAlign w:val="center"/>
            <w:hideMark/>
          </w:tcPr>
          <w:p w14:paraId="43185474" w14:textId="77777777" w:rsidR="00311EBF" w:rsidRPr="00CF5D66" w:rsidRDefault="00311EBF" w:rsidP="00CF5D66">
            <w:pPr>
              <w:pStyle w:val="Table"/>
              <w:rPr>
                <w:noProof/>
                <w:sz w:val="20"/>
                <w:szCs w:val="20"/>
              </w:rPr>
            </w:pPr>
            <w:r w:rsidRPr="00CF5D66">
              <w:rPr>
                <w:noProof/>
                <w:sz w:val="20"/>
                <w:szCs w:val="20"/>
              </w:rPr>
              <w:t>2.08E-02</w:t>
            </w:r>
          </w:p>
        </w:tc>
        <w:tc>
          <w:tcPr>
            <w:tcW w:w="1022" w:type="dxa"/>
            <w:shd w:val="clear" w:color="auto" w:fill="auto"/>
            <w:noWrap/>
            <w:vAlign w:val="center"/>
            <w:hideMark/>
          </w:tcPr>
          <w:p w14:paraId="176CD197" w14:textId="77777777" w:rsidR="00311EBF" w:rsidRPr="00CF5D66" w:rsidRDefault="00311EBF" w:rsidP="00CF5D66">
            <w:pPr>
              <w:pStyle w:val="Table"/>
              <w:rPr>
                <w:noProof/>
                <w:sz w:val="20"/>
                <w:szCs w:val="20"/>
              </w:rPr>
            </w:pPr>
            <w:r w:rsidRPr="00CF5D66">
              <w:rPr>
                <w:noProof/>
                <w:sz w:val="20"/>
                <w:szCs w:val="20"/>
              </w:rPr>
              <w:t>2.08E-02</w:t>
            </w:r>
          </w:p>
        </w:tc>
        <w:tc>
          <w:tcPr>
            <w:tcW w:w="1022" w:type="dxa"/>
            <w:shd w:val="clear" w:color="auto" w:fill="auto"/>
            <w:noWrap/>
            <w:vAlign w:val="center"/>
            <w:hideMark/>
          </w:tcPr>
          <w:p w14:paraId="44B15377" w14:textId="77777777" w:rsidR="00311EBF" w:rsidRPr="00CF5D66" w:rsidRDefault="00311EBF" w:rsidP="00CF5D66">
            <w:pPr>
              <w:pStyle w:val="Table"/>
              <w:rPr>
                <w:noProof/>
                <w:sz w:val="20"/>
                <w:szCs w:val="20"/>
              </w:rPr>
            </w:pPr>
            <w:r w:rsidRPr="00CF5D66">
              <w:rPr>
                <w:noProof/>
                <w:sz w:val="20"/>
                <w:szCs w:val="20"/>
              </w:rPr>
              <w:t>2.08E-02</w:t>
            </w:r>
          </w:p>
        </w:tc>
      </w:tr>
      <w:tr w:rsidR="00311EBF" w:rsidRPr="00972C81" w14:paraId="18A3FE4F" w14:textId="77777777" w:rsidTr="00CF5D66">
        <w:trPr>
          <w:trHeight w:val="340"/>
        </w:trPr>
        <w:tc>
          <w:tcPr>
            <w:tcW w:w="2895" w:type="dxa"/>
            <w:shd w:val="clear" w:color="auto" w:fill="auto"/>
            <w:noWrap/>
            <w:vAlign w:val="center"/>
            <w:hideMark/>
          </w:tcPr>
          <w:p w14:paraId="4837B327" w14:textId="720FD41A" w:rsidR="00311EBF" w:rsidRPr="00CF5D66" w:rsidRDefault="00311EBF" w:rsidP="00CF5D66">
            <w:pPr>
              <w:pStyle w:val="Table"/>
              <w:rPr>
                <w:noProof/>
                <w:sz w:val="20"/>
                <w:szCs w:val="20"/>
              </w:rPr>
            </w:pPr>
            <w:r w:rsidRPr="00CF5D66">
              <w:rPr>
                <w:noProof/>
                <w:sz w:val="20"/>
                <w:szCs w:val="20"/>
              </w:rPr>
              <w:t>ST0 to Blood</w:t>
            </w:r>
          </w:p>
        </w:tc>
        <w:tc>
          <w:tcPr>
            <w:tcW w:w="1022" w:type="dxa"/>
            <w:shd w:val="clear" w:color="auto" w:fill="auto"/>
            <w:noWrap/>
            <w:vAlign w:val="center"/>
            <w:hideMark/>
          </w:tcPr>
          <w:p w14:paraId="1BE0BB55" w14:textId="77777777" w:rsidR="00311EBF" w:rsidRPr="00CF5D66" w:rsidRDefault="00311EBF" w:rsidP="00CF5D66">
            <w:pPr>
              <w:pStyle w:val="Table"/>
              <w:rPr>
                <w:noProof/>
                <w:sz w:val="20"/>
                <w:szCs w:val="20"/>
              </w:rPr>
            </w:pPr>
            <w:r w:rsidRPr="00CF5D66">
              <w:rPr>
                <w:noProof/>
                <w:sz w:val="20"/>
                <w:szCs w:val="20"/>
              </w:rPr>
              <w:t>1.39E+00</w:t>
            </w:r>
          </w:p>
        </w:tc>
        <w:tc>
          <w:tcPr>
            <w:tcW w:w="1022" w:type="dxa"/>
            <w:shd w:val="clear" w:color="auto" w:fill="auto"/>
            <w:noWrap/>
            <w:vAlign w:val="center"/>
            <w:hideMark/>
          </w:tcPr>
          <w:p w14:paraId="177F6F64" w14:textId="77777777" w:rsidR="00311EBF" w:rsidRPr="00CF5D66" w:rsidRDefault="00311EBF" w:rsidP="00CF5D66">
            <w:pPr>
              <w:pStyle w:val="Table"/>
              <w:rPr>
                <w:noProof/>
                <w:sz w:val="20"/>
                <w:szCs w:val="20"/>
              </w:rPr>
            </w:pPr>
            <w:r w:rsidRPr="00CF5D66">
              <w:rPr>
                <w:noProof/>
                <w:sz w:val="20"/>
                <w:szCs w:val="20"/>
              </w:rPr>
              <w:t>1.39E+00</w:t>
            </w:r>
          </w:p>
        </w:tc>
        <w:tc>
          <w:tcPr>
            <w:tcW w:w="1022" w:type="dxa"/>
            <w:shd w:val="clear" w:color="auto" w:fill="auto"/>
            <w:noWrap/>
            <w:vAlign w:val="center"/>
            <w:hideMark/>
          </w:tcPr>
          <w:p w14:paraId="0EE11C0F" w14:textId="77777777" w:rsidR="00311EBF" w:rsidRPr="00CF5D66" w:rsidRDefault="00311EBF" w:rsidP="00CF5D66">
            <w:pPr>
              <w:pStyle w:val="Table"/>
              <w:rPr>
                <w:noProof/>
                <w:sz w:val="20"/>
                <w:szCs w:val="20"/>
              </w:rPr>
            </w:pPr>
            <w:r w:rsidRPr="00CF5D66">
              <w:rPr>
                <w:noProof/>
                <w:sz w:val="20"/>
                <w:szCs w:val="20"/>
              </w:rPr>
              <w:t>1.39E+00</w:t>
            </w:r>
          </w:p>
        </w:tc>
        <w:tc>
          <w:tcPr>
            <w:tcW w:w="1022" w:type="dxa"/>
            <w:shd w:val="clear" w:color="auto" w:fill="auto"/>
            <w:noWrap/>
            <w:vAlign w:val="center"/>
            <w:hideMark/>
          </w:tcPr>
          <w:p w14:paraId="6CFE1EEC" w14:textId="77777777" w:rsidR="00311EBF" w:rsidRPr="00CF5D66" w:rsidRDefault="00311EBF" w:rsidP="00CF5D66">
            <w:pPr>
              <w:pStyle w:val="Table"/>
              <w:rPr>
                <w:noProof/>
                <w:sz w:val="20"/>
                <w:szCs w:val="20"/>
              </w:rPr>
            </w:pPr>
            <w:r w:rsidRPr="00CF5D66">
              <w:rPr>
                <w:noProof/>
                <w:sz w:val="20"/>
                <w:szCs w:val="20"/>
              </w:rPr>
              <w:t>1.39E+00</w:t>
            </w:r>
          </w:p>
        </w:tc>
        <w:tc>
          <w:tcPr>
            <w:tcW w:w="1022" w:type="dxa"/>
            <w:shd w:val="clear" w:color="auto" w:fill="auto"/>
            <w:noWrap/>
            <w:vAlign w:val="center"/>
            <w:hideMark/>
          </w:tcPr>
          <w:p w14:paraId="6BF53BC4" w14:textId="77777777" w:rsidR="00311EBF" w:rsidRPr="00CF5D66" w:rsidRDefault="00311EBF" w:rsidP="00CF5D66">
            <w:pPr>
              <w:pStyle w:val="Table"/>
              <w:rPr>
                <w:noProof/>
                <w:sz w:val="20"/>
                <w:szCs w:val="20"/>
              </w:rPr>
            </w:pPr>
            <w:r w:rsidRPr="00CF5D66">
              <w:rPr>
                <w:noProof/>
                <w:sz w:val="20"/>
                <w:szCs w:val="20"/>
              </w:rPr>
              <w:t>1.39E+00</w:t>
            </w:r>
          </w:p>
        </w:tc>
        <w:tc>
          <w:tcPr>
            <w:tcW w:w="1022" w:type="dxa"/>
            <w:shd w:val="clear" w:color="auto" w:fill="auto"/>
            <w:noWrap/>
            <w:vAlign w:val="center"/>
            <w:hideMark/>
          </w:tcPr>
          <w:p w14:paraId="3A02CDF5" w14:textId="77777777" w:rsidR="00311EBF" w:rsidRPr="00CF5D66" w:rsidRDefault="00311EBF" w:rsidP="00CF5D66">
            <w:pPr>
              <w:pStyle w:val="Table"/>
              <w:rPr>
                <w:noProof/>
                <w:sz w:val="20"/>
                <w:szCs w:val="20"/>
              </w:rPr>
            </w:pPr>
            <w:r w:rsidRPr="00CF5D66">
              <w:rPr>
                <w:noProof/>
                <w:sz w:val="20"/>
                <w:szCs w:val="20"/>
              </w:rPr>
              <w:t>1.39E+00</w:t>
            </w:r>
          </w:p>
        </w:tc>
      </w:tr>
      <w:tr w:rsidR="00311EBF" w:rsidRPr="00972C81" w14:paraId="41B8F867" w14:textId="77777777" w:rsidTr="00CF5D66">
        <w:trPr>
          <w:trHeight w:val="340"/>
        </w:trPr>
        <w:tc>
          <w:tcPr>
            <w:tcW w:w="2895" w:type="dxa"/>
            <w:shd w:val="clear" w:color="auto" w:fill="auto"/>
            <w:noWrap/>
            <w:vAlign w:val="center"/>
            <w:hideMark/>
          </w:tcPr>
          <w:p w14:paraId="665FC90E" w14:textId="6448E7FF" w:rsidR="00311EBF" w:rsidRPr="00CF5D66" w:rsidRDefault="00311EBF" w:rsidP="00CF5D66">
            <w:pPr>
              <w:pStyle w:val="Table"/>
              <w:rPr>
                <w:noProof/>
                <w:sz w:val="20"/>
                <w:szCs w:val="20"/>
              </w:rPr>
            </w:pPr>
            <w:r w:rsidRPr="00CF5D66">
              <w:rPr>
                <w:noProof/>
                <w:sz w:val="20"/>
                <w:szCs w:val="20"/>
              </w:rPr>
              <w:t>ST1 to Blood</w:t>
            </w:r>
          </w:p>
        </w:tc>
        <w:tc>
          <w:tcPr>
            <w:tcW w:w="1022" w:type="dxa"/>
            <w:shd w:val="clear" w:color="auto" w:fill="auto"/>
            <w:noWrap/>
            <w:vAlign w:val="center"/>
            <w:hideMark/>
          </w:tcPr>
          <w:p w14:paraId="03B10C4F" w14:textId="77777777" w:rsidR="00311EBF" w:rsidRPr="00CF5D66" w:rsidRDefault="00311EBF" w:rsidP="00CF5D66">
            <w:pPr>
              <w:pStyle w:val="Table"/>
              <w:rPr>
                <w:noProof/>
                <w:sz w:val="20"/>
                <w:szCs w:val="20"/>
              </w:rPr>
            </w:pPr>
            <w:r w:rsidRPr="00CF5D66">
              <w:rPr>
                <w:noProof/>
                <w:sz w:val="20"/>
                <w:szCs w:val="20"/>
              </w:rPr>
              <w:t>1.90E-03</w:t>
            </w:r>
          </w:p>
        </w:tc>
        <w:tc>
          <w:tcPr>
            <w:tcW w:w="1022" w:type="dxa"/>
            <w:shd w:val="clear" w:color="auto" w:fill="auto"/>
            <w:noWrap/>
            <w:vAlign w:val="center"/>
            <w:hideMark/>
          </w:tcPr>
          <w:p w14:paraId="3A31ED98" w14:textId="77777777" w:rsidR="00311EBF" w:rsidRPr="00CF5D66" w:rsidRDefault="00311EBF" w:rsidP="00CF5D66">
            <w:pPr>
              <w:pStyle w:val="Table"/>
              <w:rPr>
                <w:noProof/>
                <w:sz w:val="20"/>
                <w:szCs w:val="20"/>
              </w:rPr>
            </w:pPr>
            <w:r w:rsidRPr="00CF5D66">
              <w:rPr>
                <w:noProof/>
                <w:sz w:val="20"/>
                <w:szCs w:val="20"/>
              </w:rPr>
              <w:t>1.90E-03</w:t>
            </w:r>
          </w:p>
        </w:tc>
        <w:tc>
          <w:tcPr>
            <w:tcW w:w="1022" w:type="dxa"/>
            <w:shd w:val="clear" w:color="auto" w:fill="auto"/>
            <w:noWrap/>
            <w:vAlign w:val="center"/>
            <w:hideMark/>
          </w:tcPr>
          <w:p w14:paraId="2874B138" w14:textId="77777777" w:rsidR="00311EBF" w:rsidRPr="00CF5D66" w:rsidRDefault="00311EBF" w:rsidP="00CF5D66">
            <w:pPr>
              <w:pStyle w:val="Table"/>
              <w:rPr>
                <w:noProof/>
                <w:sz w:val="20"/>
                <w:szCs w:val="20"/>
              </w:rPr>
            </w:pPr>
            <w:r w:rsidRPr="00CF5D66">
              <w:rPr>
                <w:noProof/>
                <w:sz w:val="20"/>
                <w:szCs w:val="20"/>
              </w:rPr>
              <w:t>1.90E-03</w:t>
            </w:r>
          </w:p>
        </w:tc>
        <w:tc>
          <w:tcPr>
            <w:tcW w:w="1022" w:type="dxa"/>
            <w:shd w:val="clear" w:color="auto" w:fill="auto"/>
            <w:noWrap/>
            <w:vAlign w:val="center"/>
            <w:hideMark/>
          </w:tcPr>
          <w:p w14:paraId="1FBF7262" w14:textId="77777777" w:rsidR="00311EBF" w:rsidRPr="00CF5D66" w:rsidRDefault="00311EBF" w:rsidP="00CF5D66">
            <w:pPr>
              <w:pStyle w:val="Table"/>
              <w:rPr>
                <w:noProof/>
                <w:sz w:val="20"/>
                <w:szCs w:val="20"/>
              </w:rPr>
            </w:pPr>
            <w:r w:rsidRPr="00CF5D66">
              <w:rPr>
                <w:noProof/>
                <w:sz w:val="20"/>
                <w:szCs w:val="20"/>
              </w:rPr>
              <w:t>1.90E-03</w:t>
            </w:r>
          </w:p>
        </w:tc>
        <w:tc>
          <w:tcPr>
            <w:tcW w:w="1022" w:type="dxa"/>
            <w:shd w:val="clear" w:color="auto" w:fill="auto"/>
            <w:noWrap/>
            <w:vAlign w:val="center"/>
            <w:hideMark/>
          </w:tcPr>
          <w:p w14:paraId="0E93E68E" w14:textId="77777777" w:rsidR="00311EBF" w:rsidRPr="00CF5D66" w:rsidRDefault="00311EBF" w:rsidP="00CF5D66">
            <w:pPr>
              <w:pStyle w:val="Table"/>
              <w:rPr>
                <w:noProof/>
                <w:sz w:val="20"/>
                <w:szCs w:val="20"/>
              </w:rPr>
            </w:pPr>
            <w:r w:rsidRPr="00CF5D66">
              <w:rPr>
                <w:noProof/>
                <w:sz w:val="20"/>
                <w:szCs w:val="20"/>
              </w:rPr>
              <w:t>1.90E-03</w:t>
            </w:r>
          </w:p>
        </w:tc>
        <w:tc>
          <w:tcPr>
            <w:tcW w:w="1022" w:type="dxa"/>
            <w:shd w:val="clear" w:color="auto" w:fill="auto"/>
            <w:noWrap/>
            <w:vAlign w:val="center"/>
            <w:hideMark/>
          </w:tcPr>
          <w:p w14:paraId="5B009DF7" w14:textId="77777777" w:rsidR="00311EBF" w:rsidRPr="00CF5D66" w:rsidRDefault="00311EBF" w:rsidP="00CF5D66">
            <w:pPr>
              <w:pStyle w:val="Table"/>
              <w:rPr>
                <w:noProof/>
                <w:sz w:val="20"/>
                <w:szCs w:val="20"/>
              </w:rPr>
            </w:pPr>
            <w:r w:rsidRPr="00CF5D66">
              <w:rPr>
                <w:noProof/>
                <w:sz w:val="20"/>
                <w:szCs w:val="20"/>
              </w:rPr>
              <w:t>1.90E-03</w:t>
            </w:r>
          </w:p>
        </w:tc>
      </w:tr>
      <w:tr w:rsidR="00311EBF" w:rsidRPr="00972C81" w14:paraId="0B64DD0A" w14:textId="77777777" w:rsidTr="00CF5D66">
        <w:trPr>
          <w:trHeight w:val="340"/>
        </w:trPr>
        <w:tc>
          <w:tcPr>
            <w:tcW w:w="2895" w:type="dxa"/>
            <w:shd w:val="clear" w:color="auto" w:fill="auto"/>
            <w:noWrap/>
            <w:vAlign w:val="center"/>
            <w:hideMark/>
          </w:tcPr>
          <w:p w14:paraId="701E61EE" w14:textId="5BF919E5" w:rsidR="00311EBF" w:rsidRPr="00CF5D66" w:rsidRDefault="00311EBF" w:rsidP="00CF5D66">
            <w:pPr>
              <w:pStyle w:val="Table"/>
              <w:rPr>
                <w:noProof/>
                <w:sz w:val="20"/>
                <w:szCs w:val="20"/>
              </w:rPr>
            </w:pPr>
            <w:r w:rsidRPr="00CF5D66">
              <w:rPr>
                <w:noProof/>
                <w:sz w:val="20"/>
                <w:szCs w:val="20"/>
              </w:rPr>
              <w:t>ST2  to Blood</w:t>
            </w:r>
          </w:p>
        </w:tc>
        <w:tc>
          <w:tcPr>
            <w:tcW w:w="1022" w:type="dxa"/>
            <w:shd w:val="clear" w:color="auto" w:fill="auto"/>
            <w:noWrap/>
            <w:vAlign w:val="center"/>
            <w:hideMark/>
          </w:tcPr>
          <w:p w14:paraId="589FD17C" w14:textId="77777777" w:rsidR="00311EBF" w:rsidRPr="00CF5D66" w:rsidRDefault="00311EBF" w:rsidP="00CF5D66">
            <w:pPr>
              <w:pStyle w:val="Table"/>
              <w:rPr>
                <w:noProof/>
                <w:sz w:val="20"/>
                <w:szCs w:val="20"/>
              </w:rPr>
            </w:pPr>
            <w:r w:rsidRPr="00CF5D66">
              <w:rPr>
                <w:noProof/>
                <w:sz w:val="20"/>
                <w:szCs w:val="20"/>
              </w:rPr>
              <w:t>1.28E-04</w:t>
            </w:r>
          </w:p>
        </w:tc>
        <w:tc>
          <w:tcPr>
            <w:tcW w:w="1022" w:type="dxa"/>
            <w:shd w:val="clear" w:color="auto" w:fill="auto"/>
            <w:noWrap/>
            <w:vAlign w:val="center"/>
            <w:hideMark/>
          </w:tcPr>
          <w:p w14:paraId="06345CCA" w14:textId="77777777" w:rsidR="00311EBF" w:rsidRPr="00CF5D66" w:rsidRDefault="00311EBF" w:rsidP="00CF5D66">
            <w:pPr>
              <w:pStyle w:val="Table"/>
              <w:rPr>
                <w:noProof/>
                <w:sz w:val="20"/>
                <w:szCs w:val="20"/>
              </w:rPr>
            </w:pPr>
            <w:r w:rsidRPr="00CF5D66">
              <w:rPr>
                <w:noProof/>
                <w:sz w:val="20"/>
                <w:szCs w:val="20"/>
              </w:rPr>
              <w:t>1.28E-04</w:t>
            </w:r>
          </w:p>
        </w:tc>
        <w:tc>
          <w:tcPr>
            <w:tcW w:w="1022" w:type="dxa"/>
            <w:shd w:val="clear" w:color="auto" w:fill="auto"/>
            <w:noWrap/>
            <w:vAlign w:val="center"/>
            <w:hideMark/>
          </w:tcPr>
          <w:p w14:paraId="21D86396" w14:textId="77777777" w:rsidR="00311EBF" w:rsidRPr="00CF5D66" w:rsidRDefault="00311EBF" w:rsidP="00CF5D66">
            <w:pPr>
              <w:pStyle w:val="Table"/>
              <w:rPr>
                <w:noProof/>
                <w:sz w:val="20"/>
                <w:szCs w:val="20"/>
              </w:rPr>
            </w:pPr>
            <w:r w:rsidRPr="00CF5D66">
              <w:rPr>
                <w:noProof/>
                <w:sz w:val="20"/>
                <w:szCs w:val="20"/>
              </w:rPr>
              <w:t>1.28E-04</w:t>
            </w:r>
          </w:p>
        </w:tc>
        <w:tc>
          <w:tcPr>
            <w:tcW w:w="1022" w:type="dxa"/>
            <w:shd w:val="clear" w:color="auto" w:fill="auto"/>
            <w:noWrap/>
            <w:vAlign w:val="center"/>
            <w:hideMark/>
          </w:tcPr>
          <w:p w14:paraId="05713FCC" w14:textId="77777777" w:rsidR="00311EBF" w:rsidRPr="00CF5D66" w:rsidRDefault="00311EBF" w:rsidP="00CF5D66">
            <w:pPr>
              <w:pStyle w:val="Table"/>
              <w:rPr>
                <w:noProof/>
                <w:sz w:val="20"/>
                <w:szCs w:val="20"/>
              </w:rPr>
            </w:pPr>
            <w:r w:rsidRPr="00CF5D66">
              <w:rPr>
                <w:noProof/>
                <w:sz w:val="20"/>
                <w:szCs w:val="20"/>
              </w:rPr>
              <w:t>1.28E-04</w:t>
            </w:r>
          </w:p>
        </w:tc>
        <w:tc>
          <w:tcPr>
            <w:tcW w:w="1022" w:type="dxa"/>
            <w:shd w:val="clear" w:color="auto" w:fill="auto"/>
            <w:noWrap/>
            <w:vAlign w:val="center"/>
            <w:hideMark/>
          </w:tcPr>
          <w:p w14:paraId="64A92177" w14:textId="77777777" w:rsidR="00311EBF" w:rsidRPr="00CF5D66" w:rsidRDefault="00311EBF" w:rsidP="00CF5D66">
            <w:pPr>
              <w:pStyle w:val="Table"/>
              <w:rPr>
                <w:noProof/>
                <w:sz w:val="20"/>
                <w:szCs w:val="20"/>
              </w:rPr>
            </w:pPr>
            <w:r w:rsidRPr="00CF5D66">
              <w:rPr>
                <w:noProof/>
                <w:sz w:val="20"/>
                <w:szCs w:val="20"/>
              </w:rPr>
              <w:t>1.28E-04</w:t>
            </w:r>
          </w:p>
        </w:tc>
        <w:tc>
          <w:tcPr>
            <w:tcW w:w="1022" w:type="dxa"/>
            <w:shd w:val="clear" w:color="auto" w:fill="auto"/>
            <w:noWrap/>
            <w:vAlign w:val="center"/>
            <w:hideMark/>
          </w:tcPr>
          <w:p w14:paraId="4775C073" w14:textId="77777777" w:rsidR="00311EBF" w:rsidRPr="00CF5D66" w:rsidRDefault="00311EBF" w:rsidP="00CF5D66">
            <w:pPr>
              <w:pStyle w:val="Table"/>
              <w:rPr>
                <w:noProof/>
                <w:sz w:val="20"/>
                <w:szCs w:val="20"/>
              </w:rPr>
            </w:pPr>
            <w:r w:rsidRPr="00CF5D66">
              <w:rPr>
                <w:noProof/>
                <w:sz w:val="20"/>
                <w:szCs w:val="20"/>
              </w:rPr>
              <w:t>1.28E-04</w:t>
            </w:r>
          </w:p>
        </w:tc>
      </w:tr>
      <w:tr w:rsidR="00311EBF" w:rsidRPr="00972C81" w14:paraId="7E8D4AC6" w14:textId="77777777" w:rsidTr="00CF5D66">
        <w:trPr>
          <w:trHeight w:val="340"/>
        </w:trPr>
        <w:tc>
          <w:tcPr>
            <w:tcW w:w="2895" w:type="dxa"/>
            <w:shd w:val="clear" w:color="auto" w:fill="auto"/>
            <w:noWrap/>
            <w:vAlign w:val="center"/>
            <w:hideMark/>
          </w:tcPr>
          <w:p w14:paraId="37807345" w14:textId="5BFC19EF" w:rsidR="00311EBF" w:rsidRPr="00CF5D66" w:rsidRDefault="00311EBF" w:rsidP="00CF5D66">
            <w:pPr>
              <w:pStyle w:val="Table"/>
              <w:rPr>
                <w:noProof/>
                <w:sz w:val="20"/>
                <w:szCs w:val="20"/>
              </w:rPr>
            </w:pPr>
            <w:r w:rsidRPr="00CF5D66">
              <w:rPr>
                <w:noProof/>
                <w:sz w:val="20"/>
                <w:szCs w:val="20"/>
              </w:rPr>
              <w:t>Cort marrow to Blood</w:t>
            </w:r>
          </w:p>
        </w:tc>
        <w:tc>
          <w:tcPr>
            <w:tcW w:w="1022" w:type="dxa"/>
            <w:shd w:val="clear" w:color="auto" w:fill="auto"/>
            <w:noWrap/>
            <w:vAlign w:val="center"/>
            <w:hideMark/>
          </w:tcPr>
          <w:p w14:paraId="55D2DF1A" w14:textId="77777777" w:rsidR="00311EBF" w:rsidRPr="00CF5D66" w:rsidRDefault="00311EBF" w:rsidP="00CF5D66">
            <w:pPr>
              <w:pStyle w:val="Table"/>
              <w:rPr>
                <w:noProof/>
                <w:sz w:val="20"/>
                <w:szCs w:val="20"/>
              </w:rPr>
            </w:pPr>
            <w:r w:rsidRPr="00CF5D66">
              <w:rPr>
                <w:noProof/>
                <w:sz w:val="20"/>
                <w:szCs w:val="20"/>
              </w:rPr>
              <w:t>7.60E-03</w:t>
            </w:r>
          </w:p>
        </w:tc>
        <w:tc>
          <w:tcPr>
            <w:tcW w:w="1022" w:type="dxa"/>
            <w:shd w:val="clear" w:color="auto" w:fill="auto"/>
            <w:noWrap/>
            <w:vAlign w:val="center"/>
            <w:hideMark/>
          </w:tcPr>
          <w:p w14:paraId="15C5DBC3" w14:textId="77777777" w:rsidR="00311EBF" w:rsidRPr="00CF5D66" w:rsidRDefault="00311EBF" w:rsidP="00CF5D66">
            <w:pPr>
              <w:pStyle w:val="Table"/>
              <w:rPr>
                <w:noProof/>
                <w:sz w:val="20"/>
                <w:szCs w:val="20"/>
              </w:rPr>
            </w:pPr>
            <w:r w:rsidRPr="00CF5D66">
              <w:rPr>
                <w:noProof/>
                <w:sz w:val="20"/>
                <w:szCs w:val="20"/>
              </w:rPr>
              <w:t>7.60E-03</w:t>
            </w:r>
          </w:p>
        </w:tc>
        <w:tc>
          <w:tcPr>
            <w:tcW w:w="1022" w:type="dxa"/>
            <w:shd w:val="clear" w:color="auto" w:fill="auto"/>
            <w:noWrap/>
            <w:vAlign w:val="center"/>
            <w:hideMark/>
          </w:tcPr>
          <w:p w14:paraId="628C9038" w14:textId="77777777" w:rsidR="00311EBF" w:rsidRPr="00CF5D66" w:rsidRDefault="00311EBF" w:rsidP="00CF5D66">
            <w:pPr>
              <w:pStyle w:val="Table"/>
              <w:rPr>
                <w:noProof/>
                <w:sz w:val="20"/>
                <w:szCs w:val="20"/>
              </w:rPr>
            </w:pPr>
            <w:r w:rsidRPr="00CF5D66">
              <w:rPr>
                <w:noProof/>
                <w:sz w:val="20"/>
                <w:szCs w:val="20"/>
              </w:rPr>
              <w:t>7.60E-03</w:t>
            </w:r>
          </w:p>
        </w:tc>
        <w:tc>
          <w:tcPr>
            <w:tcW w:w="1022" w:type="dxa"/>
            <w:shd w:val="clear" w:color="auto" w:fill="auto"/>
            <w:noWrap/>
            <w:vAlign w:val="center"/>
            <w:hideMark/>
          </w:tcPr>
          <w:p w14:paraId="4585A004" w14:textId="77777777" w:rsidR="00311EBF" w:rsidRPr="00CF5D66" w:rsidRDefault="00311EBF" w:rsidP="00CF5D66">
            <w:pPr>
              <w:pStyle w:val="Table"/>
              <w:rPr>
                <w:noProof/>
                <w:sz w:val="20"/>
                <w:szCs w:val="20"/>
              </w:rPr>
            </w:pPr>
            <w:r w:rsidRPr="00CF5D66">
              <w:rPr>
                <w:noProof/>
                <w:sz w:val="20"/>
                <w:szCs w:val="20"/>
              </w:rPr>
              <w:t>7.60E-03</w:t>
            </w:r>
          </w:p>
        </w:tc>
        <w:tc>
          <w:tcPr>
            <w:tcW w:w="1022" w:type="dxa"/>
            <w:shd w:val="clear" w:color="auto" w:fill="auto"/>
            <w:noWrap/>
            <w:vAlign w:val="center"/>
            <w:hideMark/>
          </w:tcPr>
          <w:p w14:paraId="325893F8" w14:textId="77777777" w:rsidR="00311EBF" w:rsidRPr="00CF5D66" w:rsidRDefault="00311EBF" w:rsidP="00CF5D66">
            <w:pPr>
              <w:pStyle w:val="Table"/>
              <w:rPr>
                <w:noProof/>
                <w:sz w:val="20"/>
                <w:szCs w:val="20"/>
              </w:rPr>
            </w:pPr>
            <w:r w:rsidRPr="00CF5D66">
              <w:rPr>
                <w:noProof/>
                <w:sz w:val="20"/>
                <w:szCs w:val="20"/>
              </w:rPr>
              <w:t>7.60E-03</w:t>
            </w:r>
          </w:p>
        </w:tc>
        <w:tc>
          <w:tcPr>
            <w:tcW w:w="1022" w:type="dxa"/>
            <w:shd w:val="clear" w:color="auto" w:fill="auto"/>
            <w:noWrap/>
            <w:vAlign w:val="center"/>
            <w:hideMark/>
          </w:tcPr>
          <w:p w14:paraId="0B3154C2" w14:textId="77777777" w:rsidR="00311EBF" w:rsidRPr="00CF5D66" w:rsidRDefault="00311EBF" w:rsidP="00CF5D66">
            <w:pPr>
              <w:pStyle w:val="Table"/>
              <w:rPr>
                <w:noProof/>
                <w:sz w:val="20"/>
                <w:szCs w:val="20"/>
              </w:rPr>
            </w:pPr>
            <w:r w:rsidRPr="00CF5D66">
              <w:rPr>
                <w:noProof/>
                <w:sz w:val="20"/>
                <w:szCs w:val="20"/>
              </w:rPr>
              <w:t>7.60E-03</w:t>
            </w:r>
          </w:p>
        </w:tc>
      </w:tr>
      <w:tr w:rsidR="00311EBF" w:rsidRPr="00972C81" w14:paraId="0432C6D0" w14:textId="77777777" w:rsidTr="00CF5D66">
        <w:trPr>
          <w:trHeight w:val="340"/>
        </w:trPr>
        <w:tc>
          <w:tcPr>
            <w:tcW w:w="2895" w:type="dxa"/>
            <w:shd w:val="clear" w:color="auto" w:fill="auto"/>
            <w:noWrap/>
            <w:vAlign w:val="center"/>
            <w:hideMark/>
          </w:tcPr>
          <w:p w14:paraId="0D7A85E5" w14:textId="33FEA839" w:rsidR="00311EBF" w:rsidRPr="00CF5D66" w:rsidRDefault="00311EBF" w:rsidP="00CF5D66">
            <w:pPr>
              <w:pStyle w:val="Table"/>
              <w:rPr>
                <w:noProof/>
                <w:sz w:val="20"/>
                <w:szCs w:val="20"/>
              </w:rPr>
            </w:pPr>
            <w:r w:rsidRPr="00CF5D66">
              <w:rPr>
                <w:noProof/>
                <w:sz w:val="20"/>
                <w:szCs w:val="20"/>
              </w:rPr>
              <w:t xml:space="preserve">Cort bone surf to Cort marrow </w:t>
            </w:r>
          </w:p>
        </w:tc>
        <w:tc>
          <w:tcPr>
            <w:tcW w:w="1022" w:type="dxa"/>
            <w:shd w:val="clear" w:color="auto" w:fill="auto"/>
            <w:noWrap/>
            <w:vAlign w:val="center"/>
            <w:hideMark/>
          </w:tcPr>
          <w:p w14:paraId="306F4E53" w14:textId="77777777" w:rsidR="00311EBF" w:rsidRPr="00CF5D66" w:rsidRDefault="00311EBF" w:rsidP="00CF5D66">
            <w:pPr>
              <w:pStyle w:val="Table"/>
              <w:rPr>
                <w:noProof/>
                <w:sz w:val="20"/>
                <w:szCs w:val="20"/>
              </w:rPr>
            </w:pPr>
            <w:r w:rsidRPr="00CF5D66">
              <w:rPr>
                <w:noProof/>
                <w:sz w:val="20"/>
                <w:szCs w:val="20"/>
              </w:rPr>
              <w:t>8.22E-03</w:t>
            </w:r>
          </w:p>
        </w:tc>
        <w:tc>
          <w:tcPr>
            <w:tcW w:w="1022" w:type="dxa"/>
            <w:shd w:val="clear" w:color="auto" w:fill="auto"/>
            <w:noWrap/>
            <w:vAlign w:val="center"/>
            <w:hideMark/>
          </w:tcPr>
          <w:p w14:paraId="391C9F78" w14:textId="77777777" w:rsidR="00311EBF" w:rsidRPr="00CF5D66" w:rsidRDefault="00311EBF" w:rsidP="00CF5D66">
            <w:pPr>
              <w:pStyle w:val="Table"/>
              <w:rPr>
                <w:noProof/>
                <w:sz w:val="20"/>
                <w:szCs w:val="20"/>
              </w:rPr>
            </w:pPr>
            <w:r w:rsidRPr="00CF5D66">
              <w:rPr>
                <w:noProof/>
                <w:sz w:val="20"/>
                <w:szCs w:val="20"/>
              </w:rPr>
              <w:t>2.88E-03</w:t>
            </w:r>
          </w:p>
        </w:tc>
        <w:tc>
          <w:tcPr>
            <w:tcW w:w="1022" w:type="dxa"/>
            <w:shd w:val="clear" w:color="auto" w:fill="auto"/>
            <w:noWrap/>
            <w:vAlign w:val="center"/>
            <w:hideMark/>
          </w:tcPr>
          <w:p w14:paraId="1A1E85DA" w14:textId="77777777" w:rsidR="00311EBF" w:rsidRPr="00CF5D66" w:rsidRDefault="00311EBF" w:rsidP="00CF5D66">
            <w:pPr>
              <w:pStyle w:val="Table"/>
              <w:rPr>
                <w:noProof/>
                <w:sz w:val="20"/>
                <w:szCs w:val="20"/>
              </w:rPr>
            </w:pPr>
            <w:r w:rsidRPr="00CF5D66">
              <w:rPr>
                <w:noProof/>
                <w:sz w:val="20"/>
                <w:szCs w:val="20"/>
              </w:rPr>
              <w:t>1.53E-03</w:t>
            </w:r>
          </w:p>
        </w:tc>
        <w:tc>
          <w:tcPr>
            <w:tcW w:w="1022" w:type="dxa"/>
            <w:shd w:val="clear" w:color="auto" w:fill="auto"/>
            <w:noWrap/>
            <w:vAlign w:val="center"/>
            <w:hideMark/>
          </w:tcPr>
          <w:p w14:paraId="2001CC12" w14:textId="77777777" w:rsidR="00311EBF" w:rsidRPr="00CF5D66" w:rsidRDefault="00311EBF" w:rsidP="00CF5D66">
            <w:pPr>
              <w:pStyle w:val="Table"/>
              <w:rPr>
                <w:noProof/>
                <w:sz w:val="20"/>
                <w:szCs w:val="20"/>
              </w:rPr>
            </w:pPr>
            <w:r w:rsidRPr="00CF5D66">
              <w:rPr>
                <w:noProof/>
                <w:sz w:val="20"/>
                <w:szCs w:val="20"/>
              </w:rPr>
              <w:t>9.04E-04</w:t>
            </w:r>
          </w:p>
        </w:tc>
        <w:tc>
          <w:tcPr>
            <w:tcW w:w="1022" w:type="dxa"/>
            <w:shd w:val="clear" w:color="auto" w:fill="auto"/>
            <w:noWrap/>
            <w:vAlign w:val="center"/>
            <w:hideMark/>
          </w:tcPr>
          <w:p w14:paraId="7FFE9A23" w14:textId="77777777" w:rsidR="00311EBF" w:rsidRPr="00CF5D66" w:rsidRDefault="00311EBF" w:rsidP="00CF5D66">
            <w:pPr>
              <w:pStyle w:val="Table"/>
              <w:rPr>
                <w:noProof/>
                <w:sz w:val="20"/>
                <w:szCs w:val="20"/>
              </w:rPr>
            </w:pPr>
            <w:r w:rsidRPr="00CF5D66">
              <w:rPr>
                <w:noProof/>
                <w:sz w:val="20"/>
                <w:szCs w:val="20"/>
              </w:rPr>
              <w:t>5.21E-04</w:t>
            </w:r>
          </w:p>
        </w:tc>
        <w:tc>
          <w:tcPr>
            <w:tcW w:w="1022" w:type="dxa"/>
            <w:shd w:val="clear" w:color="auto" w:fill="auto"/>
            <w:noWrap/>
            <w:vAlign w:val="center"/>
            <w:hideMark/>
          </w:tcPr>
          <w:p w14:paraId="656C3B7B" w14:textId="77777777" w:rsidR="00311EBF" w:rsidRPr="00CF5D66" w:rsidRDefault="00311EBF" w:rsidP="00CF5D66">
            <w:pPr>
              <w:pStyle w:val="Table"/>
              <w:rPr>
                <w:noProof/>
                <w:sz w:val="20"/>
                <w:szCs w:val="20"/>
              </w:rPr>
            </w:pPr>
            <w:r w:rsidRPr="00CF5D66">
              <w:rPr>
                <w:noProof/>
                <w:sz w:val="20"/>
                <w:szCs w:val="20"/>
              </w:rPr>
              <w:t>8.21E-05</w:t>
            </w:r>
          </w:p>
        </w:tc>
      </w:tr>
      <w:tr w:rsidR="00311EBF" w:rsidRPr="00972C81" w14:paraId="501E2ABE" w14:textId="77777777" w:rsidTr="00CF5D66">
        <w:trPr>
          <w:trHeight w:val="340"/>
        </w:trPr>
        <w:tc>
          <w:tcPr>
            <w:tcW w:w="2895" w:type="dxa"/>
            <w:shd w:val="clear" w:color="auto" w:fill="auto"/>
            <w:noWrap/>
            <w:vAlign w:val="center"/>
            <w:hideMark/>
          </w:tcPr>
          <w:p w14:paraId="2B01C6F8" w14:textId="4AC79365" w:rsidR="00311EBF" w:rsidRPr="00CF5D66" w:rsidRDefault="00311EBF" w:rsidP="00CF5D66">
            <w:pPr>
              <w:pStyle w:val="Table"/>
              <w:rPr>
                <w:noProof/>
                <w:sz w:val="20"/>
                <w:szCs w:val="20"/>
              </w:rPr>
            </w:pPr>
            <w:r w:rsidRPr="00CF5D66">
              <w:rPr>
                <w:noProof/>
                <w:sz w:val="20"/>
                <w:szCs w:val="20"/>
              </w:rPr>
              <w:t>Cort bone surf to Cort bone vol</w:t>
            </w:r>
          </w:p>
        </w:tc>
        <w:tc>
          <w:tcPr>
            <w:tcW w:w="1022" w:type="dxa"/>
            <w:shd w:val="clear" w:color="auto" w:fill="auto"/>
            <w:noWrap/>
            <w:vAlign w:val="center"/>
            <w:hideMark/>
          </w:tcPr>
          <w:p w14:paraId="7E3AF4C7" w14:textId="77777777" w:rsidR="00311EBF" w:rsidRPr="00CF5D66" w:rsidRDefault="00311EBF" w:rsidP="00CF5D66">
            <w:pPr>
              <w:pStyle w:val="Table"/>
              <w:rPr>
                <w:noProof/>
                <w:sz w:val="20"/>
                <w:szCs w:val="20"/>
              </w:rPr>
            </w:pPr>
            <w:r w:rsidRPr="00CF5D66">
              <w:rPr>
                <w:noProof/>
                <w:sz w:val="20"/>
                <w:szCs w:val="20"/>
              </w:rPr>
              <w:t>8.22E-03</w:t>
            </w:r>
          </w:p>
        </w:tc>
        <w:tc>
          <w:tcPr>
            <w:tcW w:w="1022" w:type="dxa"/>
            <w:shd w:val="clear" w:color="auto" w:fill="auto"/>
            <w:noWrap/>
            <w:vAlign w:val="center"/>
            <w:hideMark/>
          </w:tcPr>
          <w:p w14:paraId="36CD6A95" w14:textId="77777777" w:rsidR="00311EBF" w:rsidRPr="00CF5D66" w:rsidRDefault="00311EBF" w:rsidP="00CF5D66">
            <w:pPr>
              <w:pStyle w:val="Table"/>
              <w:rPr>
                <w:noProof/>
                <w:sz w:val="20"/>
                <w:szCs w:val="20"/>
              </w:rPr>
            </w:pPr>
            <w:r w:rsidRPr="00CF5D66">
              <w:rPr>
                <w:noProof/>
                <w:sz w:val="20"/>
                <w:szCs w:val="20"/>
              </w:rPr>
              <w:t>2.88E-03</w:t>
            </w:r>
          </w:p>
        </w:tc>
        <w:tc>
          <w:tcPr>
            <w:tcW w:w="1022" w:type="dxa"/>
            <w:shd w:val="clear" w:color="auto" w:fill="auto"/>
            <w:noWrap/>
            <w:vAlign w:val="center"/>
            <w:hideMark/>
          </w:tcPr>
          <w:p w14:paraId="017EAC60" w14:textId="77777777" w:rsidR="00311EBF" w:rsidRPr="00CF5D66" w:rsidRDefault="00311EBF" w:rsidP="00CF5D66">
            <w:pPr>
              <w:pStyle w:val="Table"/>
              <w:rPr>
                <w:noProof/>
                <w:sz w:val="20"/>
                <w:szCs w:val="20"/>
              </w:rPr>
            </w:pPr>
            <w:r w:rsidRPr="00CF5D66">
              <w:rPr>
                <w:noProof/>
                <w:sz w:val="20"/>
                <w:szCs w:val="20"/>
              </w:rPr>
              <w:t>1.53E-03</w:t>
            </w:r>
          </w:p>
        </w:tc>
        <w:tc>
          <w:tcPr>
            <w:tcW w:w="1022" w:type="dxa"/>
            <w:shd w:val="clear" w:color="auto" w:fill="auto"/>
            <w:noWrap/>
            <w:vAlign w:val="center"/>
            <w:hideMark/>
          </w:tcPr>
          <w:p w14:paraId="73A794F8" w14:textId="77777777" w:rsidR="00311EBF" w:rsidRPr="00CF5D66" w:rsidRDefault="00311EBF" w:rsidP="00CF5D66">
            <w:pPr>
              <w:pStyle w:val="Table"/>
              <w:rPr>
                <w:noProof/>
                <w:sz w:val="20"/>
                <w:szCs w:val="20"/>
              </w:rPr>
            </w:pPr>
            <w:r w:rsidRPr="00CF5D66">
              <w:rPr>
                <w:noProof/>
                <w:sz w:val="20"/>
                <w:szCs w:val="20"/>
              </w:rPr>
              <w:t>9.04E-04</w:t>
            </w:r>
          </w:p>
        </w:tc>
        <w:tc>
          <w:tcPr>
            <w:tcW w:w="1022" w:type="dxa"/>
            <w:shd w:val="clear" w:color="auto" w:fill="auto"/>
            <w:noWrap/>
            <w:vAlign w:val="center"/>
            <w:hideMark/>
          </w:tcPr>
          <w:p w14:paraId="7F0AF3D7" w14:textId="77777777" w:rsidR="00311EBF" w:rsidRPr="00CF5D66" w:rsidRDefault="00311EBF" w:rsidP="00CF5D66">
            <w:pPr>
              <w:pStyle w:val="Table"/>
              <w:rPr>
                <w:noProof/>
                <w:sz w:val="20"/>
                <w:szCs w:val="20"/>
              </w:rPr>
            </w:pPr>
            <w:r w:rsidRPr="00CF5D66">
              <w:rPr>
                <w:noProof/>
                <w:sz w:val="20"/>
                <w:szCs w:val="20"/>
              </w:rPr>
              <w:t>5.21E-04</w:t>
            </w:r>
          </w:p>
        </w:tc>
        <w:tc>
          <w:tcPr>
            <w:tcW w:w="1022" w:type="dxa"/>
            <w:shd w:val="clear" w:color="auto" w:fill="auto"/>
            <w:noWrap/>
            <w:vAlign w:val="center"/>
            <w:hideMark/>
          </w:tcPr>
          <w:p w14:paraId="62396D2C" w14:textId="77777777" w:rsidR="00311EBF" w:rsidRPr="00CF5D66" w:rsidRDefault="00311EBF" w:rsidP="00CF5D66">
            <w:pPr>
              <w:pStyle w:val="Table"/>
              <w:rPr>
                <w:noProof/>
                <w:sz w:val="20"/>
                <w:szCs w:val="20"/>
              </w:rPr>
            </w:pPr>
            <w:r w:rsidRPr="00CF5D66">
              <w:rPr>
                <w:noProof/>
                <w:sz w:val="20"/>
                <w:szCs w:val="20"/>
              </w:rPr>
              <w:t>4.11E-05</w:t>
            </w:r>
          </w:p>
        </w:tc>
      </w:tr>
      <w:tr w:rsidR="00311EBF" w:rsidRPr="00972C81" w14:paraId="050317EE" w14:textId="77777777" w:rsidTr="00CF5D66">
        <w:trPr>
          <w:trHeight w:val="340"/>
        </w:trPr>
        <w:tc>
          <w:tcPr>
            <w:tcW w:w="2895" w:type="dxa"/>
            <w:shd w:val="clear" w:color="auto" w:fill="auto"/>
            <w:noWrap/>
            <w:vAlign w:val="center"/>
            <w:hideMark/>
          </w:tcPr>
          <w:p w14:paraId="305A9B3C" w14:textId="56FE694D" w:rsidR="00311EBF" w:rsidRPr="00CF5D66" w:rsidRDefault="00311EBF" w:rsidP="00CF5D66">
            <w:pPr>
              <w:pStyle w:val="Table"/>
              <w:rPr>
                <w:noProof/>
                <w:sz w:val="20"/>
                <w:szCs w:val="20"/>
              </w:rPr>
            </w:pPr>
            <w:r w:rsidRPr="00CF5D66">
              <w:rPr>
                <w:noProof/>
                <w:sz w:val="20"/>
                <w:szCs w:val="20"/>
              </w:rPr>
              <w:t>Cort bone vol to Cort marrow</w:t>
            </w:r>
          </w:p>
        </w:tc>
        <w:tc>
          <w:tcPr>
            <w:tcW w:w="1022" w:type="dxa"/>
            <w:shd w:val="clear" w:color="auto" w:fill="auto"/>
            <w:noWrap/>
            <w:vAlign w:val="center"/>
            <w:hideMark/>
          </w:tcPr>
          <w:p w14:paraId="1F0208F7" w14:textId="77777777" w:rsidR="00311EBF" w:rsidRPr="00CF5D66" w:rsidRDefault="00311EBF" w:rsidP="00CF5D66">
            <w:pPr>
              <w:pStyle w:val="Table"/>
              <w:rPr>
                <w:noProof/>
                <w:sz w:val="20"/>
                <w:szCs w:val="20"/>
              </w:rPr>
            </w:pPr>
            <w:r w:rsidRPr="00CF5D66">
              <w:rPr>
                <w:noProof/>
                <w:sz w:val="20"/>
                <w:szCs w:val="20"/>
              </w:rPr>
              <w:t>8.22E-03</w:t>
            </w:r>
          </w:p>
        </w:tc>
        <w:tc>
          <w:tcPr>
            <w:tcW w:w="1022" w:type="dxa"/>
            <w:shd w:val="clear" w:color="auto" w:fill="auto"/>
            <w:noWrap/>
            <w:vAlign w:val="center"/>
            <w:hideMark/>
          </w:tcPr>
          <w:p w14:paraId="2C1EC01A" w14:textId="77777777" w:rsidR="00311EBF" w:rsidRPr="00CF5D66" w:rsidRDefault="00311EBF" w:rsidP="00CF5D66">
            <w:pPr>
              <w:pStyle w:val="Table"/>
              <w:rPr>
                <w:noProof/>
                <w:sz w:val="20"/>
                <w:szCs w:val="20"/>
              </w:rPr>
            </w:pPr>
            <w:r w:rsidRPr="00CF5D66">
              <w:rPr>
                <w:noProof/>
                <w:sz w:val="20"/>
                <w:szCs w:val="20"/>
              </w:rPr>
              <w:t>2.88E-03</w:t>
            </w:r>
          </w:p>
        </w:tc>
        <w:tc>
          <w:tcPr>
            <w:tcW w:w="1022" w:type="dxa"/>
            <w:shd w:val="clear" w:color="auto" w:fill="auto"/>
            <w:noWrap/>
            <w:vAlign w:val="center"/>
            <w:hideMark/>
          </w:tcPr>
          <w:p w14:paraId="32BC6D27" w14:textId="77777777" w:rsidR="00311EBF" w:rsidRPr="00CF5D66" w:rsidRDefault="00311EBF" w:rsidP="00CF5D66">
            <w:pPr>
              <w:pStyle w:val="Table"/>
              <w:rPr>
                <w:noProof/>
                <w:sz w:val="20"/>
                <w:szCs w:val="20"/>
              </w:rPr>
            </w:pPr>
            <w:r w:rsidRPr="00CF5D66">
              <w:rPr>
                <w:noProof/>
                <w:sz w:val="20"/>
                <w:szCs w:val="20"/>
              </w:rPr>
              <w:t>1.53E-03</w:t>
            </w:r>
          </w:p>
        </w:tc>
        <w:tc>
          <w:tcPr>
            <w:tcW w:w="1022" w:type="dxa"/>
            <w:shd w:val="clear" w:color="auto" w:fill="auto"/>
            <w:noWrap/>
            <w:vAlign w:val="center"/>
            <w:hideMark/>
          </w:tcPr>
          <w:p w14:paraId="01B4447E" w14:textId="77777777" w:rsidR="00311EBF" w:rsidRPr="00CF5D66" w:rsidRDefault="00311EBF" w:rsidP="00CF5D66">
            <w:pPr>
              <w:pStyle w:val="Table"/>
              <w:rPr>
                <w:noProof/>
                <w:sz w:val="20"/>
                <w:szCs w:val="20"/>
              </w:rPr>
            </w:pPr>
            <w:r w:rsidRPr="00CF5D66">
              <w:rPr>
                <w:noProof/>
                <w:sz w:val="20"/>
                <w:szCs w:val="20"/>
              </w:rPr>
              <w:t>9.04E-04</w:t>
            </w:r>
          </w:p>
        </w:tc>
        <w:tc>
          <w:tcPr>
            <w:tcW w:w="1022" w:type="dxa"/>
            <w:shd w:val="clear" w:color="auto" w:fill="auto"/>
            <w:noWrap/>
            <w:vAlign w:val="center"/>
            <w:hideMark/>
          </w:tcPr>
          <w:p w14:paraId="7BB448A5" w14:textId="77777777" w:rsidR="00311EBF" w:rsidRPr="00CF5D66" w:rsidRDefault="00311EBF" w:rsidP="00CF5D66">
            <w:pPr>
              <w:pStyle w:val="Table"/>
              <w:rPr>
                <w:noProof/>
                <w:sz w:val="20"/>
                <w:szCs w:val="20"/>
              </w:rPr>
            </w:pPr>
            <w:r w:rsidRPr="00CF5D66">
              <w:rPr>
                <w:noProof/>
                <w:sz w:val="20"/>
                <w:szCs w:val="20"/>
              </w:rPr>
              <w:t>5.21E-04</w:t>
            </w:r>
          </w:p>
        </w:tc>
        <w:tc>
          <w:tcPr>
            <w:tcW w:w="1022" w:type="dxa"/>
            <w:shd w:val="clear" w:color="auto" w:fill="auto"/>
            <w:noWrap/>
            <w:vAlign w:val="center"/>
            <w:hideMark/>
          </w:tcPr>
          <w:p w14:paraId="4E53EEF5" w14:textId="77777777" w:rsidR="00311EBF" w:rsidRPr="00CF5D66" w:rsidRDefault="00311EBF" w:rsidP="00CF5D66">
            <w:pPr>
              <w:pStyle w:val="Table"/>
              <w:rPr>
                <w:noProof/>
                <w:sz w:val="20"/>
                <w:szCs w:val="20"/>
              </w:rPr>
            </w:pPr>
            <w:r w:rsidRPr="00CF5D66">
              <w:rPr>
                <w:noProof/>
                <w:sz w:val="20"/>
                <w:szCs w:val="20"/>
              </w:rPr>
              <w:t>8.21E-05</w:t>
            </w:r>
          </w:p>
        </w:tc>
      </w:tr>
      <w:tr w:rsidR="00311EBF" w:rsidRPr="00972C81" w14:paraId="46A24585" w14:textId="77777777" w:rsidTr="00CF5D66">
        <w:trPr>
          <w:trHeight w:val="340"/>
        </w:trPr>
        <w:tc>
          <w:tcPr>
            <w:tcW w:w="2895" w:type="dxa"/>
            <w:shd w:val="clear" w:color="auto" w:fill="auto"/>
            <w:noWrap/>
            <w:vAlign w:val="center"/>
            <w:hideMark/>
          </w:tcPr>
          <w:p w14:paraId="62B9C0A7" w14:textId="0BF94E7A" w:rsidR="00311EBF" w:rsidRPr="00CF5D66" w:rsidRDefault="00311EBF" w:rsidP="00CF5D66">
            <w:pPr>
              <w:pStyle w:val="Table"/>
              <w:rPr>
                <w:noProof/>
                <w:sz w:val="20"/>
                <w:szCs w:val="20"/>
              </w:rPr>
            </w:pPr>
            <w:r w:rsidRPr="00CF5D66">
              <w:rPr>
                <w:noProof/>
                <w:sz w:val="20"/>
                <w:szCs w:val="20"/>
              </w:rPr>
              <w:t>Trab marrow to Blood</w:t>
            </w:r>
          </w:p>
        </w:tc>
        <w:tc>
          <w:tcPr>
            <w:tcW w:w="1022" w:type="dxa"/>
            <w:shd w:val="clear" w:color="auto" w:fill="auto"/>
            <w:noWrap/>
            <w:vAlign w:val="center"/>
            <w:hideMark/>
          </w:tcPr>
          <w:p w14:paraId="0B20B38B" w14:textId="77777777" w:rsidR="00311EBF" w:rsidRPr="00CF5D66" w:rsidRDefault="00311EBF" w:rsidP="00CF5D66">
            <w:pPr>
              <w:pStyle w:val="Table"/>
              <w:rPr>
                <w:noProof/>
                <w:sz w:val="20"/>
                <w:szCs w:val="20"/>
              </w:rPr>
            </w:pPr>
            <w:r w:rsidRPr="00CF5D66">
              <w:rPr>
                <w:noProof/>
                <w:sz w:val="20"/>
                <w:szCs w:val="20"/>
              </w:rPr>
              <w:t>7.60E-03</w:t>
            </w:r>
          </w:p>
        </w:tc>
        <w:tc>
          <w:tcPr>
            <w:tcW w:w="1022" w:type="dxa"/>
            <w:shd w:val="clear" w:color="auto" w:fill="auto"/>
            <w:noWrap/>
            <w:vAlign w:val="center"/>
            <w:hideMark/>
          </w:tcPr>
          <w:p w14:paraId="00948C0E" w14:textId="77777777" w:rsidR="00311EBF" w:rsidRPr="00CF5D66" w:rsidRDefault="00311EBF" w:rsidP="00CF5D66">
            <w:pPr>
              <w:pStyle w:val="Table"/>
              <w:rPr>
                <w:noProof/>
                <w:sz w:val="20"/>
                <w:szCs w:val="20"/>
              </w:rPr>
            </w:pPr>
            <w:r w:rsidRPr="00CF5D66">
              <w:rPr>
                <w:noProof/>
                <w:sz w:val="20"/>
                <w:szCs w:val="20"/>
              </w:rPr>
              <w:t>7.60E-03</w:t>
            </w:r>
          </w:p>
        </w:tc>
        <w:tc>
          <w:tcPr>
            <w:tcW w:w="1022" w:type="dxa"/>
            <w:shd w:val="clear" w:color="auto" w:fill="auto"/>
            <w:noWrap/>
            <w:vAlign w:val="center"/>
            <w:hideMark/>
          </w:tcPr>
          <w:p w14:paraId="5DCD9D2C" w14:textId="77777777" w:rsidR="00311EBF" w:rsidRPr="00CF5D66" w:rsidRDefault="00311EBF" w:rsidP="00CF5D66">
            <w:pPr>
              <w:pStyle w:val="Table"/>
              <w:rPr>
                <w:noProof/>
                <w:sz w:val="20"/>
                <w:szCs w:val="20"/>
              </w:rPr>
            </w:pPr>
            <w:r w:rsidRPr="00CF5D66">
              <w:rPr>
                <w:noProof/>
                <w:sz w:val="20"/>
                <w:szCs w:val="20"/>
              </w:rPr>
              <w:t>7.60E-03</w:t>
            </w:r>
          </w:p>
        </w:tc>
        <w:tc>
          <w:tcPr>
            <w:tcW w:w="1022" w:type="dxa"/>
            <w:shd w:val="clear" w:color="auto" w:fill="auto"/>
            <w:noWrap/>
            <w:vAlign w:val="center"/>
            <w:hideMark/>
          </w:tcPr>
          <w:p w14:paraId="341381A5" w14:textId="77777777" w:rsidR="00311EBF" w:rsidRPr="00CF5D66" w:rsidRDefault="00311EBF" w:rsidP="00CF5D66">
            <w:pPr>
              <w:pStyle w:val="Table"/>
              <w:rPr>
                <w:noProof/>
                <w:sz w:val="20"/>
                <w:szCs w:val="20"/>
              </w:rPr>
            </w:pPr>
            <w:r w:rsidRPr="00CF5D66">
              <w:rPr>
                <w:noProof/>
                <w:sz w:val="20"/>
                <w:szCs w:val="20"/>
              </w:rPr>
              <w:t>7.60E-03</w:t>
            </w:r>
          </w:p>
        </w:tc>
        <w:tc>
          <w:tcPr>
            <w:tcW w:w="1022" w:type="dxa"/>
            <w:shd w:val="clear" w:color="auto" w:fill="auto"/>
            <w:noWrap/>
            <w:vAlign w:val="center"/>
            <w:hideMark/>
          </w:tcPr>
          <w:p w14:paraId="6B616204" w14:textId="77777777" w:rsidR="00311EBF" w:rsidRPr="00CF5D66" w:rsidRDefault="00311EBF" w:rsidP="00CF5D66">
            <w:pPr>
              <w:pStyle w:val="Table"/>
              <w:rPr>
                <w:noProof/>
                <w:sz w:val="20"/>
                <w:szCs w:val="20"/>
              </w:rPr>
            </w:pPr>
            <w:r w:rsidRPr="00CF5D66">
              <w:rPr>
                <w:noProof/>
                <w:sz w:val="20"/>
                <w:szCs w:val="20"/>
              </w:rPr>
              <w:t>7.60E-03</w:t>
            </w:r>
          </w:p>
        </w:tc>
        <w:tc>
          <w:tcPr>
            <w:tcW w:w="1022" w:type="dxa"/>
            <w:shd w:val="clear" w:color="auto" w:fill="auto"/>
            <w:noWrap/>
            <w:vAlign w:val="center"/>
            <w:hideMark/>
          </w:tcPr>
          <w:p w14:paraId="11FA33CF" w14:textId="77777777" w:rsidR="00311EBF" w:rsidRPr="00CF5D66" w:rsidRDefault="00311EBF" w:rsidP="00CF5D66">
            <w:pPr>
              <w:pStyle w:val="Table"/>
              <w:rPr>
                <w:noProof/>
                <w:sz w:val="20"/>
                <w:szCs w:val="20"/>
              </w:rPr>
            </w:pPr>
            <w:r w:rsidRPr="00CF5D66">
              <w:rPr>
                <w:noProof/>
                <w:sz w:val="20"/>
                <w:szCs w:val="20"/>
              </w:rPr>
              <w:t>7.60E-03</w:t>
            </w:r>
          </w:p>
        </w:tc>
      </w:tr>
      <w:tr w:rsidR="00311EBF" w:rsidRPr="00972C81" w14:paraId="4241CC75" w14:textId="77777777" w:rsidTr="00CF5D66">
        <w:trPr>
          <w:trHeight w:val="340"/>
        </w:trPr>
        <w:tc>
          <w:tcPr>
            <w:tcW w:w="2895" w:type="dxa"/>
            <w:shd w:val="clear" w:color="auto" w:fill="auto"/>
            <w:noWrap/>
            <w:vAlign w:val="center"/>
            <w:hideMark/>
          </w:tcPr>
          <w:p w14:paraId="5A51D76E" w14:textId="36814B17" w:rsidR="00311EBF" w:rsidRPr="00CF5D66" w:rsidRDefault="00311EBF" w:rsidP="00CF5D66">
            <w:pPr>
              <w:pStyle w:val="Table"/>
              <w:rPr>
                <w:noProof/>
                <w:sz w:val="20"/>
                <w:szCs w:val="20"/>
              </w:rPr>
            </w:pPr>
            <w:r w:rsidRPr="00CF5D66">
              <w:rPr>
                <w:noProof/>
                <w:sz w:val="20"/>
                <w:szCs w:val="20"/>
              </w:rPr>
              <w:t>Trab bone surf to Trab marrow</w:t>
            </w:r>
          </w:p>
        </w:tc>
        <w:tc>
          <w:tcPr>
            <w:tcW w:w="1022" w:type="dxa"/>
            <w:shd w:val="clear" w:color="auto" w:fill="auto"/>
            <w:noWrap/>
            <w:vAlign w:val="center"/>
            <w:hideMark/>
          </w:tcPr>
          <w:p w14:paraId="10C2882E" w14:textId="77777777" w:rsidR="00311EBF" w:rsidRPr="00CF5D66" w:rsidRDefault="00311EBF" w:rsidP="00CF5D66">
            <w:pPr>
              <w:pStyle w:val="Table"/>
              <w:rPr>
                <w:noProof/>
                <w:sz w:val="20"/>
                <w:szCs w:val="20"/>
              </w:rPr>
            </w:pPr>
            <w:r w:rsidRPr="00CF5D66">
              <w:rPr>
                <w:noProof/>
                <w:sz w:val="20"/>
                <w:szCs w:val="20"/>
              </w:rPr>
              <w:t>8.22E-03</w:t>
            </w:r>
          </w:p>
        </w:tc>
        <w:tc>
          <w:tcPr>
            <w:tcW w:w="1022" w:type="dxa"/>
            <w:shd w:val="clear" w:color="auto" w:fill="auto"/>
            <w:noWrap/>
            <w:vAlign w:val="center"/>
            <w:hideMark/>
          </w:tcPr>
          <w:p w14:paraId="11EF11CC" w14:textId="77777777" w:rsidR="00311EBF" w:rsidRPr="00CF5D66" w:rsidRDefault="00311EBF" w:rsidP="00CF5D66">
            <w:pPr>
              <w:pStyle w:val="Table"/>
              <w:rPr>
                <w:noProof/>
                <w:sz w:val="20"/>
                <w:szCs w:val="20"/>
              </w:rPr>
            </w:pPr>
            <w:r w:rsidRPr="00CF5D66">
              <w:rPr>
                <w:noProof/>
                <w:sz w:val="20"/>
                <w:szCs w:val="20"/>
              </w:rPr>
              <w:t>2.88E-03</w:t>
            </w:r>
          </w:p>
        </w:tc>
        <w:tc>
          <w:tcPr>
            <w:tcW w:w="1022" w:type="dxa"/>
            <w:shd w:val="clear" w:color="auto" w:fill="auto"/>
            <w:noWrap/>
            <w:vAlign w:val="center"/>
            <w:hideMark/>
          </w:tcPr>
          <w:p w14:paraId="1B8A84B8" w14:textId="77777777" w:rsidR="00311EBF" w:rsidRPr="00CF5D66" w:rsidRDefault="00311EBF" w:rsidP="00CF5D66">
            <w:pPr>
              <w:pStyle w:val="Table"/>
              <w:rPr>
                <w:noProof/>
                <w:sz w:val="20"/>
                <w:szCs w:val="20"/>
              </w:rPr>
            </w:pPr>
            <w:r w:rsidRPr="00CF5D66">
              <w:rPr>
                <w:noProof/>
                <w:sz w:val="20"/>
                <w:szCs w:val="20"/>
              </w:rPr>
              <w:t>1.81E-03</w:t>
            </w:r>
          </w:p>
        </w:tc>
        <w:tc>
          <w:tcPr>
            <w:tcW w:w="1022" w:type="dxa"/>
            <w:shd w:val="clear" w:color="auto" w:fill="auto"/>
            <w:noWrap/>
            <w:vAlign w:val="center"/>
            <w:hideMark/>
          </w:tcPr>
          <w:p w14:paraId="2C1256DE" w14:textId="77777777" w:rsidR="00311EBF" w:rsidRPr="00CF5D66" w:rsidRDefault="00311EBF" w:rsidP="00CF5D66">
            <w:pPr>
              <w:pStyle w:val="Table"/>
              <w:rPr>
                <w:noProof/>
                <w:sz w:val="20"/>
                <w:szCs w:val="20"/>
              </w:rPr>
            </w:pPr>
            <w:r w:rsidRPr="00CF5D66">
              <w:rPr>
                <w:noProof/>
                <w:sz w:val="20"/>
                <w:szCs w:val="20"/>
              </w:rPr>
              <w:t>1.32E-03</w:t>
            </w:r>
          </w:p>
        </w:tc>
        <w:tc>
          <w:tcPr>
            <w:tcW w:w="1022" w:type="dxa"/>
            <w:shd w:val="clear" w:color="auto" w:fill="auto"/>
            <w:noWrap/>
            <w:vAlign w:val="center"/>
            <w:hideMark/>
          </w:tcPr>
          <w:p w14:paraId="569B5C30" w14:textId="77777777" w:rsidR="00311EBF" w:rsidRPr="00CF5D66" w:rsidRDefault="00311EBF" w:rsidP="00CF5D66">
            <w:pPr>
              <w:pStyle w:val="Table"/>
              <w:rPr>
                <w:noProof/>
                <w:sz w:val="20"/>
                <w:szCs w:val="20"/>
              </w:rPr>
            </w:pPr>
            <w:r w:rsidRPr="00CF5D66">
              <w:rPr>
                <w:noProof/>
                <w:sz w:val="20"/>
                <w:szCs w:val="20"/>
              </w:rPr>
              <w:t>9.59E-04</w:t>
            </w:r>
          </w:p>
        </w:tc>
        <w:tc>
          <w:tcPr>
            <w:tcW w:w="1022" w:type="dxa"/>
            <w:shd w:val="clear" w:color="auto" w:fill="auto"/>
            <w:noWrap/>
            <w:vAlign w:val="center"/>
            <w:hideMark/>
          </w:tcPr>
          <w:p w14:paraId="212C799A" w14:textId="77777777" w:rsidR="00311EBF" w:rsidRPr="00CF5D66" w:rsidRDefault="00311EBF" w:rsidP="00CF5D66">
            <w:pPr>
              <w:pStyle w:val="Table"/>
              <w:rPr>
                <w:noProof/>
                <w:sz w:val="20"/>
                <w:szCs w:val="20"/>
              </w:rPr>
            </w:pPr>
            <w:r w:rsidRPr="00CF5D66">
              <w:rPr>
                <w:noProof/>
                <w:sz w:val="20"/>
                <w:szCs w:val="20"/>
              </w:rPr>
              <w:t>4.93E-04</w:t>
            </w:r>
          </w:p>
        </w:tc>
      </w:tr>
      <w:tr w:rsidR="00311EBF" w:rsidRPr="00972C81" w14:paraId="4BF7BFFD" w14:textId="77777777" w:rsidTr="00CF5D66">
        <w:trPr>
          <w:trHeight w:val="340"/>
        </w:trPr>
        <w:tc>
          <w:tcPr>
            <w:tcW w:w="2895" w:type="dxa"/>
            <w:shd w:val="clear" w:color="auto" w:fill="auto"/>
            <w:noWrap/>
            <w:vAlign w:val="center"/>
            <w:hideMark/>
          </w:tcPr>
          <w:p w14:paraId="714D713A" w14:textId="11B1BD40" w:rsidR="00311EBF" w:rsidRPr="00CF5D66" w:rsidRDefault="00311EBF" w:rsidP="00CF5D66">
            <w:pPr>
              <w:pStyle w:val="Table"/>
              <w:rPr>
                <w:noProof/>
                <w:sz w:val="20"/>
                <w:szCs w:val="20"/>
              </w:rPr>
            </w:pPr>
            <w:r w:rsidRPr="00CF5D66">
              <w:rPr>
                <w:noProof/>
                <w:sz w:val="20"/>
                <w:szCs w:val="20"/>
              </w:rPr>
              <w:t>Trab bone surf to Trab bone vol</w:t>
            </w:r>
          </w:p>
        </w:tc>
        <w:tc>
          <w:tcPr>
            <w:tcW w:w="1022" w:type="dxa"/>
            <w:shd w:val="clear" w:color="auto" w:fill="auto"/>
            <w:noWrap/>
            <w:vAlign w:val="center"/>
            <w:hideMark/>
          </w:tcPr>
          <w:p w14:paraId="42FDBE46" w14:textId="77777777" w:rsidR="00311EBF" w:rsidRPr="00CF5D66" w:rsidRDefault="00311EBF" w:rsidP="00CF5D66">
            <w:pPr>
              <w:pStyle w:val="Table"/>
              <w:rPr>
                <w:noProof/>
                <w:sz w:val="20"/>
                <w:szCs w:val="20"/>
              </w:rPr>
            </w:pPr>
            <w:r w:rsidRPr="00CF5D66">
              <w:rPr>
                <w:noProof/>
                <w:sz w:val="20"/>
                <w:szCs w:val="20"/>
              </w:rPr>
              <w:t>8.22E-03</w:t>
            </w:r>
          </w:p>
        </w:tc>
        <w:tc>
          <w:tcPr>
            <w:tcW w:w="1022" w:type="dxa"/>
            <w:shd w:val="clear" w:color="auto" w:fill="auto"/>
            <w:noWrap/>
            <w:vAlign w:val="center"/>
            <w:hideMark/>
          </w:tcPr>
          <w:p w14:paraId="1B79552E" w14:textId="77777777" w:rsidR="00311EBF" w:rsidRPr="00CF5D66" w:rsidRDefault="00311EBF" w:rsidP="00CF5D66">
            <w:pPr>
              <w:pStyle w:val="Table"/>
              <w:rPr>
                <w:noProof/>
                <w:sz w:val="20"/>
                <w:szCs w:val="20"/>
              </w:rPr>
            </w:pPr>
            <w:r w:rsidRPr="00CF5D66">
              <w:rPr>
                <w:noProof/>
                <w:sz w:val="20"/>
                <w:szCs w:val="20"/>
              </w:rPr>
              <w:t>2.88E-03</w:t>
            </w:r>
          </w:p>
        </w:tc>
        <w:tc>
          <w:tcPr>
            <w:tcW w:w="1022" w:type="dxa"/>
            <w:shd w:val="clear" w:color="auto" w:fill="auto"/>
            <w:noWrap/>
            <w:vAlign w:val="center"/>
            <w:hideMark/>
          </w:tcPr>
          <w:p w14:paraId="18C57FB5" w14:textId="77777777" w:rsidR="00311EBF" w:rsidRPr="00CF5D66" w:rsidRDefault="00311EBF" w:rsidP="00CF5D66">
            <w:pPr>
              <w:pStyle w:val="Table"/>
              <w:rPr>
                <w:noProof/>
                <w:sz w:val="20"/>
                <w:szCs w:val="20"/>
              </w:rPr>
            </w:pPr>
            <w:r w:rsidRPr="00CF5D66">
              <w:rPr>
                <w:noProof/>
                <w:sz w:val="20"/>
                <w:szCs w:val="20"/>
              </w:rPr>
              <w:t>1.81E-03</w:t>
            </w:r>
          </w:p>
        </w:tc>
        <w:tc>
          <w:tcPr>
            <w:tcW w:w="1022" w:type="dxa"/>
            <w:shd w:val="clear" w:color="auto" w:fill="auto"/>
            <w:noWrap/>
            <w:vAlign w:val="center"/>
            <w:hideMark/>
          </w:tcPr>
          <w:p w14:paraId="6BC10CDB" w14:textId="77777777" w:rsidR="00311EBF" w:rsidRPr="00CF5D66" w:rsidRDefault="00311EBF" w:rsidP="00CF5D66">
            <w:pPr>
              <w:pStyle w:val="Table"/>
              <w:rPr>
                <w:noProof/>
                <w:sz w:val="20"/>
                <w:szCs w:val="20"/>
              </w:rPr>
            </w:pPr>
            <w:r w:rsidRPr="00CF5D66">
              <w:rPr>
                <w:noProof/>
                <w:sz w:val="20"/>
                <w:szCs w:val="20"/>
              </w:rPr>
              <w:t>1.32E-03</w:t>
            </w:r>
          </w:p>
        </w:tc>
        <w:tc>
          <w:tcPr>
            <w:tcW w:w="1022" w:type="dxa"/>
            <w:shd w:val="clear" w:color="auto" w:fill="auto"/>
            <w:noWrap/>
            <w:vAlign w:val="center"/>
            <w:hideMark/>
          </w:tcPr>
          <w:p w14:paraId="6817200C" w14:textId="77777777" w:rsidR="00311EBF" w:rsidRPr="00CF5D66" w:rsidRDefault="00311EBF" w:rsidP="00CF5D66">
            <w:pPr>
              <w:pStyle w:val="Table"/>
              <w:rPr>
                <w:noProof/>
                <w:sz w:val="20"/>
                <w:szCs w:val="20"/>
              </w:rPr>
            </w:pPr>
            <w:r w:rsidRPr="00CF5D66">
              <w:rPr>
                <w:noProof/>
                <w:sz w:val="20"/>
                <w:szCs w:val="20"/>
              </w:rPr>
              <w:t>9.59E-04</w:t>
            </w:r>
          </w:p>
        </w:tc>
        <w:tc>
          <w:tcPr>
            <w:tcW w:w="1022" w:type="dxa"/>
            <w:shd w:val="clear" w:color="auto" w:fill="auto"/>
            <w:noWrap/>
            <w:vAlign w:val="center"/>
            <w:hideMark/>
          </w:tcPr>
          <w:p w14:paraId="5A355B2D" w14:textId="77777777" w:rsidR="00311EBF" w:rsidRPr="00CF5D66" w:rsidRDefault="00311EBF" w:rsidP="00CF5D66">
            <w:pPr>
              <w:pStyle w:val="Table"/>
              <w:rPr>
                <w:noProof/>
                <w:sz w:val="20"/>
                <w:szCs w:val="20"/>
              </w:rPr>
            </w:pPr>
            <w:r w:rsidRPr="00CF5D66">
              <w:rPr>
                <w:noProof/>
                <w:sz w:val="20"/>
                <w:szCs w:val="20"/>
              </w:rPr>
              <w:t>2.47E-04</w:t>
            </w:r>
          </w:p>
        </w:tc>
      </w:tr>
      <w:tr w:rsidR="00311EBF" w:rsidRPr="00972C81" w14:paraId="19A888B2" w14:textId="77777777" w:rsidTr="00CF5D66">
        <w:trPr>
          <w:trHeight w:val="340"/>
        </w:trPr>
        <w:tc>
          <w:tcPr>
            <w:tcW w:w="2895" w:type="dxa"/>
            <w:shd w:val="clear" w:color="auto" w:fill="auto"/>
            <w:noWrap/>
            <w:vAlign w:val="center"/>
            <w:hideMark/>
          </w:tcPr>
          <w:p w14:paraId="7A8D234D" w14:textId="63819F27" w:rsidR="00311EBF" w:rsidRPr="00CF5D66" w:rsidRDefault="00311EBF" w:rsidP="00CF5D66">
            <w:pPr>
              <w:pStyle w:val="Table"/>
              <w:rPr>
                <w:noProof/>
                <w:sz w:val="20"/>
                <w:szCs w:val="20"/>
              </w:rPr>
            </w:pPr>
            <w:r w:rsidRPr="00CF5D66">
              <w:rPr>
                <w:noProof/>
                <w:sz w:val="20"/>
                <w:szCs w:val="20"/>
              </w:rPr>
              <w:t>Trab bone vol to Trab marrow</w:t>
            </w:r>
          </w:p>
        </w:tc>
        <w:tc>
          <w:tcPr>
            <w:tcW w:w="1022" w:type="dxa"/>
            <w:shd w:val="clear" w:color="auto" w:fill="auto"/>
            <w:noWrap/>
            <w:vAlign w:val="center"/>
            <w:hideMark/>
          </w:tcPr>
          <w:p w14:paraId="13902B60" w14:textId="77777777" w:rsidR="00311EBF" w:rsidRPr="00CF5D66" w:rsidRDefault="00311EBF" w:rsidP="00CF5D66">
            <w:pPr>
              <w:pStyle w:val="Table"/>
              <w:rPr>
                <w:noProof/>
                <w:sz w:val="20"/>
                <w:szCs w:val="20"/>
              </w:rPr>
            </w:pPr>
            <w:r w:rsidRPr="00CF5D66">
              <w:rPr>
                <w:noProof/>
                <w:sz w:val="20"/>
                <w:szCs w:val="20"/>
              </w:rPr>
              <w:t>8.22E-03</w:t>
            </w:r>
          </w:p>
        </w:tc>
        <w:tc>
          <w:tcPr>
            <w:tcW w:w="1022" w:type="dxa"/>
            <w:shd w:val="clear" w:color="auto" w:fill="auto"/>
            <w:noWrap/>
            <w:vAlign w:val="center"/>
            <w:hideMark/>
          </w:tcPr>
          <w:p w14:paraId="1CDCB2A8" w14:textId="77777777" w:rsidR="00311EBF" w:rsidRPr="00CF5D66" w:rsidRDefault="00311EBF" w:rsidP="00CF5D66">
            <w:pPr>
              <w:pStyle w:val="Table"/>
              <w:rPr>
                <w:noProof/>
                <w:sz w:val="20"/>
                <w:szCs w:val="20"/>
              </w:rPr>
            </w:pPr>
            <w:r w:rsidRPr="00CF5D66">
              <w:rPr>
                <w:noProof/>
                <w:sz w:val="20"/>
                <w:szCs w:val="20"/>
              </w:rPr>
              <w:t>2.88E-03</w:t>
            </w:r>
          </w:p>
        </w:tc>
        <w:tc>
          <w:tcPr>
            <w:tcW w:w="1022" w:type="dxa"/>
            <w:shd w:val="clear" w:color="auto" w:fill="auto"/>
            <w:noWrap/>
            <w:vAlign w:val="center"/>
            <w:hideMark/>
          </w:tcPr>
          <w:p w14:paraId="59BE9406" w14:textId="77777777" w:rsidR="00311EBF" w:rsidRPr="00CF5D66" w:rsidRDefault="00311EBF" w:rsidP="00CF5D66">
            <w:pPr>
              <w:pStyle w:val="Table"/>
              <w:rPr>
                <w:noProof/>
                <w:sz w:val="20"/>
                <w:szCs w:val="20"/>
              </w:rPr>
            </w:pPr>
            <w:r w:rsidRPr="00CF5D66">
              <w:rPr>
                <w:noProof/>
                <w:sz w:val="20"/>
                <w:szCs w:val="20"/>
              </w:rPr>
              <w:t>1.81E-03</w:t>
            </w:r>
          </w:p>
        </w:tc>
        <w:tc>
          <w:tcPr>
            <w:tcW w:w="1022" w:type="dxa"/>
            <w:shd w:val="clear" w:color="auto" w:fill="auto"/>
            <w:noWrap/>
            <w:vAlign w:val="center"/>
            <w:hideMark/>
          </w:tcPr>
          <w:p w14:paraId="7F417E78" w14:textId="77777777" w:rsidR="00311EBF" w:rsidRPr="00CF5D66" w:rsidRDefault="00311EBF" w:rsidP="00CF5D66">
            <w:pPr>
              <w:pStyle w:val="Table"/>
              <w:rPr>
                <w:noProof/>
                <w:sz w:val="20"/>
                <w:szCs w:val="20"/>
              </w:rPr>
            </w:pPr>
            <w:r w:rsidRPr="00CF5D66">
              <w:rPr>
                <w:noProof/>
                <w:sz w:val="20"/>
                <w:szCs w:val="20"/>
              </w:rPr>
              <w:t>1.32E-03</w:t>
            </w:r>
          </w:p>
        </w:tc>
        <w:tc>
          <w:tcPr>
            <w:tcW w:w="1022" w:type="dxa"/>
            <w:shd w:val="clear" w:color="auto" w:fill="auto"/>
            <w:noWrap/>
            <w:vAlign w:val="center"/>
            <w:hideMark/>
          </w:tcPr>
          <w:p w14:paraId="0E9DCF10" w14:textId="77777777" w:rsidR="00311EBF" w:rsidRPr="00CF5D66" w:rsidRDefault="00311EBF" w:rsidP="00CF5D66">
            <w:pPr>
              <w:pStyle w:val="Table"/>
              <w:rPr>
                <w:noProof/>
                <w:sz w:val="20"/>
                <w:szCs w:val="20"/>
              </w:rPr>
            </w:pPr>
            <w:r w:rsidRPr="00CF5D66">
              <w:rPr>
                <w:noProof/>
                <w:sz w:val="20"/>
                <w:szCs w:val="20"/>
              </w:rPr>
              <w:t>9.59E-04</w:t>
            </w:r>
          </w:p>
        </w:tc>
        <w:tc>
          <w:tcPr>
            <w:tcW w:w="1022" w:type="dxa"/>
            <w:shd w:val="clear" w:color="auto" w:fill="auto"/>
            <w:noWrap/>
            <w:vAlign w:val="center"/>
            <w:hideMark/>
          </w:tcPr>
          <w:p w14:paraId="571D49E4" w14:textId="77777777" w:rsidR="00311EBF" w:rsidRPr="00CF5D66" w:rsidRDefault="00311EBF" w:rsidP="00CF5D66">
            <w:pPr>
              <w:pStyle w:val="Table"/>
              <w:rPr>
                <w:noProof/>
                <w:sz w:val="20"/>
                <w:szCs w:val="20"/>
              </w:rPr>
            </w:pPr>
            <w:r w:rsidRPr="00CF5D66">
              <w:rPr>
                <w:noProof/>
                <w:sz w:val="20"/>
                <w:szCs w:val="20"/>
              </w:rPr>
              <w:t>4.93E-04</w:t>
            </w:r>
          </w:p>
        </w:tc>
      </w:tr>
      <w:tr w:rsidR="00311EBF" w:rsidRPr="00972C81" w14:paraId="19ECF599" w14:textId="77777777" w:rsidTr="00CF5D66">
        <w:trPr>
          <w:trHeight w:val="340"/>
        </w:trPr>
        <w:tc>
          <w:tcPr>
            <w:tcW w:w="2895" w:type="dxa"/>
            <w:shd w:val="clear" w:color="auto" w:fill="auto"/>
            <w:noWrap/>
            <w:vAlign w:val="center"/>
            <w:hideMark/>
          </w:tcPr>
          <w:p w14:paraId="7190D879" w14:textId="2C471592" w:rsidR="00311EBF" w:rsidRPr="00CF5D66" w:rsidRDefault="00311EBF" w:rsidP="00CF5D66">
            <w:pPr>
              <w:pStyle w:val="Table"/>
              <w:rPr>
                <w:noProof/>
                <w:sz w:val="20"/>
                <w:szCs w:val="20"/>
              </w:rPr>
            </w:pPr>
            <w:r w:rsidRPr="00CF5D66">
              <w:rPr>
                <w:noProof/>
                <w:sz w:val="20"/>
                <w:szCs w:val="20"/>
              </w:rPr>
              <w:t>Kidneys 1 to UB content</w:t>
            </w:r>
          </w:p>
        </w:tc>
        <w:tc>
          <w:tcPr>
            <w:tcW w:w="1022" w:type="dxa"/>
            <w:shd w:val="clear" w:color="auto" w:fill="auto"/>
            <w:noWrap/>
            <w:vAlign w:val="center"/>
            <w:hideMark/>
          </w:tcPr>
          <w:p w14:paraId="5CCD828E" w14:textId="77777777" w:rsidR="00311EBF" w:rsidRPr="00CF5D66" w:rsidRDefault="00311EBF" w:rsidP="00CF5D66">
            <w:pPr>
              <w:pStyle w:val="Table"/>
              <w:rPr>
                <w:noProof/>
                <w:sz w:val="20"/>
                <w:szCs w:val="20"/>
              </w:rPr>
            </w:pPr>
            <w:r w:rsidRPr="00CF5D66">
              <w:rPr>
                <w:noProof/>
                <w:sz w:val="20"/>
                <w:szCs w:val="20"/>
              </w:rPr>
              <w:t>9.90E-02</w:t>
            </w:r>
          </w:p>
        </w:tc>
        <w:tc>
          <w:tcPr>
            <w:tcW w:w="1022" w:type="dxa"/>
            <w:shd w:val="clear" w:color="auto" w:fill="auto"/>
            <w:noWrap/>
            <w:vAlign w:val="center"/>
            <w:hideMark/>
          </w:tcPr>
          <w:p w14:paraId="5316714E" w14:textId="77777777" w:rsidR="00311EBF" w:rsidRPr="00CF5D66" w:rsidRDefault="00311EBF" w:rsidP="00CF5D66">
            <w:pPr>
              <w:pStyle w:val="Table"/>
              <w:rPr>
                <w:noProof/>
                <w:sz w:val="20"/>
                <w:szCs w:val="20"/>
              </w:rPr>
            </w:pPr>
            <w:r w:rsidRPr="00CF5D66">
              <w:rPr>
                <w:noProof/>
                <w:sz w:val="20"/>
                <w:szCs w:val="20"/>
              </w:rPr>
              <w:t>9.90E-02</w:t>
            </w:r>
          </w:p>
        </w:tc>
        <w:tc>
          <w:tcPr>
            <w:tcW w:w="1022" w:type="dxa"/>
            <w:shd w:val="clear" w:color="auto" w:fill="auto"/>
            <w:noWrap/>
            <w:vAlign w:val="center"/>
            <w:hideMark/>
          </w:tcPr>
          <w:p w14:paraId="1F059082" w14:textId="77777777" w:rsidR="00311EBF" w:rsidRPr="00CF5D66" w:rsidRDefault="00311EBF" w:rsidP="00CF5D66">
            <w:pPr>
              <w:pStyle w:val="Table"/>
              <w:rPr>
                <w:noProof/>
                <w:sz w:val="20"/>
                <w:szCs w:val="20"/>
              </w:rPr>
            </w:pPr>
            <w:r w:rsidRPr="00CF5D66">
              <w:rPr>
                <w:noProof/>
                <w:sz w:val="20"/>
                <w:szCs w:val="20"/>
              </w:rPr>
              <w:t>9.90E-02</w:t>
            </w:r>
          </w:p>
        </w:tc>
        <w:tc>
          <w:tcPr>
            <w:tcW w:w="1022" w:type="dxa"/>
            <w:shd w:val="clear" w:color="auto" w:fill="auto"/>
            <w:noWrap/>
            <w:vAlign w:val="center"/>
            <w:hideMark/>
          </w:tcPr>
          <w:p w14:paraId="33859688" w14:textId="77777777" w:rsidR="00311EBF" w:rsidRPr="00CF5D66" w:rsidRDefault="00311EBF" w:rsidP="00CF5D66">
            <w:pPr>
              <w:pStyle w:val="Table"/>
              <w:rPr>
                <w:noProof/>
                <w:sz w:val="20"/>
                <w:szCs w:val="20"/>
              </w:rPr>
            </w:pPr>
            <w:r w:rsidRPr="00CF5D66">
              <w:rPr>
                <w:noProof/>
                <w:sz w:val="20"/>
                <w:szCs w:val="20"/>
              </w:rPr>
              <w:t>9.90E-02</w:t>
            </w:r>
          </w:p>
        </w:tc>
        <w:tc>
          <w:tcPr>
            <w:tcW w:w="1022" w:type="dxa"/>
            <w:shd w:val="clear" w:color="auto" w:fill="auto"/>
            <w:noWrap/>
            <w:vAlign w:val="center"/>
            <w:hideMark/>
          </w:tcPr>
          <w:p w14:paraId="26ECA7F0" w14:textId="77777777" w:rsidR="00311EBF" w:rsidRPr="00CF5D66" w:rsidRDefault="00311EBF" w:rsidP="00CF5D66">
            <w:pPr>
              <w:pStyle w:val="Table"/>
              <w:rPr>
                <w:noProof/>
                <w:sz w:val="20"/>
                <w:szCs w:val="20"/>
              </w:rPr>
            </w:pPr>
            <w:r w:rsidRPr="00CF5D66">
              <w:rPr>
                <w:noProof/>
                <w:sz w:val="20"/>
                <w:szCs w:val="20"/>
              </w:rPr>
              <w:t>9.90E-02</w:t>
            </w:r>
          </w:p>
        </w:tc>
        <w:tc>
          <w:tcPr>
            <w:tcW w:w="1022" w:type="dxa"/>
            <w:shd w:val="clear" w:color="auto" w:fill="auto"/>
            <w:noWrap/>
            <w:vAlign w:val="center"/>
            <w:hideMark/>
          </w:tcPr>
          <w:p w14:paraId="5FF3756E" w14:textId="77777777" w:rsidR="00311EBF" w:rsidRPr="00CF5D66" w:rsidRDefault="00311EBF" w:rsidP="00CF5D66">
            <w:pPr>
              <w:pStyle w:val="Table"/>
              <w:rPr>
                <w:noProof/>
                <w:sz w:val="20"/>
                <w:szCs w:val="20"/>
              </w:rPr>
            </w:pPr>
            <w:r w:rsidRPr="00CF5D66">
              <w:rPr>
                <w:noProof/>
                <w:sz w:val="20"/>
                <w:szCs w:val="20"/>
              </w:rPr>
              <w:t>9.90E-02</w:t>
            </w:r>
          </w:p>
        </w:tc>
      </w:tr>
      <w:tr w:rsidR="00311EBF" w:rsidRPr="00972C81" w14:paraId="2EA4C242" w14:textId="77777777" w:rsidTr="00CF5D66">
        <w:trPr>
          <w:trHeight w:val="340"/>
        </w:trPr>
        <w:tc>
          <w:tcPr>
            <w:tcW w:w="2895" w:type="dxa"/>
            <w:shd w:val="clear" w:color="auto" w:fill="auto"/>
            <w:noWrap/>
            <w:vAlign w:val="center"/>
            <w:hideMark/>
          </w:tcPr>
          <w:p w14:paraId="3296B2FE" w14:textId="06BBA3CB" w:rsidR="00311EBF" w:rsidRPr="00CF5D66" w:rsidRDefault="00311EBF" w:rsidP="00CF5D66">
            <w:pPr>
              <w:pStyle w:val="Table"/>
              <w:rPr>
                <w:noProof/>
                <w:sz w:val="20"/>
                <w:szCs w:val="20"/>
              </w:rPr>
            </w:pPr>
            <w:r w:rsidRPr="00CF5D66">
              <w:rPr>
                <w:noProof/>
                <w:sz w:val="20"/>
                <w:szCs w:val="20"/>
              </w:rPr>
              <w:t>Kidneys 2 to Blood</w:t>
            </w:r>
          </w:p>
        </w:tc>
        <w:tc>
          <w:tcPr>
            <w:tcW w:w="1022" w:type="dxa"/>
            <w:shd w:val="clear" w:color="auto" w:fill="auto"/>
            <w:noWrap/>
            <w:vAlign w:val="center"/>
            <w:hideMark/>
          </w:tcPr>
          <w:p w14:paraId="5A5D8DE4" w14:textId="77777777" w:rsidR="00311EBF" w:rsidRPr="00CF5D66" w:rsidRDefault="00311EBF" w:rsidP="00CF5D66">
            <w:pPr>
              <w:pStyle w:val="Table"/>
              <w:rPr>
                <w:noProof/>
                <w:sz w:val="20"/>
                <w:szCs w:val="20"/>
              </w:rPr>
            </w:pPr>
            <w:r w:rsidRPr="00CF5D66">
              <w:rPr>
                <w:noProof/>
                <w:sz w:val="20"/>
                <w:szCs w:val="20"/>
              </w:rPr>
              <w:t>1.39E-03</w:t>
            </w:r>
          </w:p>
        </w:tc>
        <w:tc>
          <w:tcPr>
            <w:tcW w:w="1022" w:type="dxa"/>
            <w:shd w:val="clear" w:color="auto" w:fill="auto"/>
            <w:noWrap/>
            <w:vAlign w:val="center"/>
            <w:hideMark/>
          </w:tcPr>
          <w:p w14:paraId="521958F1" w14:textId="77777777" w:rsidR="00311EBF" w:rsidRPr="00CF5D66" w:rsidRDefault="00311EBF" w:rsidP="00CF5D66">
            <w:pPr>
              <w:pStyle w:val="Table"/>
              <w:rPr>
                <w:noProof/>
                <w:sz w:val="20"/>
                <w:szCs w:val="20"/>
              </w:rPr>
            </w:pPr>
            <w:r w:rsidRPr="00CF5D66">
              <w:rPr>
                <w:noProof/>
                <w:sz w:val="20"/>
                <w:szCs w:val="20"/>
              </w:rPr>
              <w:t>1.39E-03</w:t>
            </w:r>
          </w:p>
        </w:tc>
        <w:tc>
          <w:tcPr>
            <w:tcW w:w="1022" w:type="dxa"/>
            <w:shd w:val="clear" w:color="auto" w:fill="auto"/>
            <w:noWrap/>
            <w:vAlign w:val="center"/>
            <w:hideMark/>
          </w:tcPr>
          <w:p w14:paraId="3175EBB8" w14:textId="77777777" w:rsidR="00311EBF" w:rsidRPr="00CF5D66" w:rsidRDefault="00311EBF" w:rsidP="00CF5D66">
            <w:pPr>
              <w:pStyle w:val="Table"/>
              <w:rPr>
                <w:noProof/>
                <w:sz w:val="20"/>
                <w:szCs w:val="20"/>
              </w:rPr>
            </w:pPr>
            <w:r w:rsidRPr="00CF5D66">
              <w:rPr>
                <w:noProof/>
                <w:sz w:val="20"/>
                <w:szCs w:val="20"/>
              </w:rPr>
              <w:t>1.39E-03</w:t>
            </w:r>
          </w:p>
        </w:tc>
        <w:tc>
          <w:tcPr>
            <w:tcW w:w="1022" w:type="dxa"/>
            <w:shd w:val="clear" w:color="auto" w:fill="auto"/>
            <w:noWrap/>
            <w:vAlign w:val="center"/>
            <w:hideMark/>
          </w:tcPr>
          <w:p w14:paraId="13E0C757" w14:textId="77777777" w:rsidR="00311EBF" w:rsidRPr="00CF5D66" w:rsidRDefault="00311EBF" w:rsidP="00CF5D66">
            <w:pPr>
              <w:pStyle w:val="Table"/>
              <w:rPr>
                <w:noProof/>
                <w:sz w:val="20"/>
                <w:szCs w:val="20"/>
              </w:rPr>
            </w:pPr>
            <w:r w:rsidRPr="00CF5D66">
              <w:rPr>
                <w:noProof/>
                <w:sz w:val="20"/>
                <w:szCs w:val="20"/>
              </w:rPr>
              <w:t>1.39E-03</w:t>
            </w:r>
          </w:p>
        </w:tc>
        <w:tc>
          <w:tcPr>
            <w:tcW w:w="1022" w:type="dxa"/>
            <w:shd w:val="clear" w:color="auto" w:fill="auto"/>
            <w:noWrap/>
            <w:vAlign w:val="center"/>
            <w:hideMark/>
          </w:tcPr>
          <w:p w14:paraId="314C11C0" w14:textId="77777777" w:rsidR="00311EBF" w:rsidRPr="00CF5D66" w:rsidRDefault="00311EBF" w:rsidP="00CF5D66">
            <w:pPr>
              <w:pStyle w:val="Table"/>
              <w:rPr>
                <w:noProof/>
                <w:sz w:val="20"/>
                <w:szCs w:val="20"/>
              </w:rPr>
            </w:pPr>
            <w:r w:rsidRPr="00CF5D66">
              <w:rPr>
                <w:noProof/>
                <w:sz w:val="20"/>
                <w:szCs w:val="20"/>
              </w:rPr>
              <w:t>1.39E-03</w:t>
            </w:r>
          </w:p>
        </w:tc>
        <w:tc>
          <w:tcPr>
            <w:tcW w:w="1022" w:type="dxa"/>
            <w:shd w:val="clear" w:color="auto" w:fill="auto"/>
            <w:noWrap/>
            <w:vAlign w:val="center"/>
            <w:hideMark/>
          </w:tcPr>
          <w:p w14:paraId="4E51AE9E" w14:textId="77777777" w:rsidR="00311EBF" w:rsidRPr="00CF5D66" w:rsidRDefault="00311EBF" w:rsidP="00CF5D66">
            <w:pPr>
              <w:pStyle w:val="Table"/>
              <w:rPr>
                <w:noProof/>
                <w:sz w:val="20"/>
                <w:szCs w:val="20"/>
              </w:rPr>
            </w:pPr>
            <w:r w:rsidRPr="00CF5D66">
              <w:rPr>
                <w:noProof/>
                <w:sz w:val="20"/>
                <w:szCs w:val="20"/>
              </w:rPr>
              <w:t>1.39E-03</w:t>
            </w:r>
          </w:p>
        </w:tc>
      </w:tr>
      <w:tr w:rsidR="00311EBF" w:rsidRPr="00972C81" w14:paraId="43B8AA86" w14:textId="77777777" w:rsidTr="00CF5D66">
        <w:trPr>
          <w:trHeight w:val="340"/>
        </w:trPr>
        <w:tc>
          <w:tcPr>
            <w:tcW w:w="2895" w:type="dxa"/>
            <w:shd w:val="clear" w:color="auto" w:fill="auto"/>
            <w:noWrap/>
            <w:vAlign w:val="center"/>
            <w:hideMark/>
          </w:tcPr>
          <w:p w14:paraId="01BD362C" w14:textId="508D3D27" w:rsidR="00311EBF" w:rsidRPr="00CF5D66" w:rsidRDefault="00311EBF" w:rsidP="00CF5D66">
            <w:pPr>
              <w:pStyle w:val="Table"/>
              <w:rPr>
                <w:noProof/>
                <w:sz w:val="20"/>
                <w:szCs w:val="20"/>
              </w:rPr>
            </w:pPr>
            <w:r w:rsidRPr="00CF5D66">
              <w:rPr>
                <w:noProof/>
                <w:sz w:val="20"/>
                <w:szCs w:val="20"/>
              </w:rPr>
              <w:t>Testes to Blood</w:t>
            </w:r>
          </w:p>
        </w:tc>
        <w:tc>
          <w:tcPr>
            <w:tcW w:w="1022" w:type="dxa"/>
            <w:shd w:val="clear" w:color="auto" w:fill="auto"/>
            <w:noWrap/>
            <w:vAlign w:val="center"/>
            <w:hideMark/>
          </w:tcPr>
          <w:p w14:paraId="52D3E171" w14:textId="77777777" w:rsidR="00311EBF" w:rsidRPr="00CF5D66" w:rsidRDefault="00311EBF" w:rsidP="00CF5D66">
            <w:pPr>
              <w:pStyle w:val="Table"/>
              <w:rPr>
                <w:noProof/>
                <w:sz w:val="20"/>
                <w:szCs w:val="20"/>
              </w:rPr>
            </w:pPr>
            <w:r w:rsidRPr="00CF5D66">
              <w:rPr>
                <w:noProof/>
                <w:sz w:val="20"/>
                <w:szCs w:val="20"/>
              </w:rPr>
              <w:t>3.80E-04</w:t>
            </w:r>
          </w:p>
        </w:tc>
        <w:tc>
          <w:tcPr>
            <w:tcW w:w="1022" w:type="dxa"/>
            <w:shd w:val="clear" w:color="auto" w:fill="auto"/>
            <w:noWrap/>
            <w:vAlign w:val="center"/>
            <w:hideMark/>
          </w:tcPr>
          <w:p w14:paraId="257C9362" w14:textId="77777777" w:rsidR="00311EBF" w:rsidRPr="00CF5D66" w:rsidRDefault="00311EBF" w:rsidP="00CF5D66">
            <w:pPr>
              <w:pStyle w:val="Table"/>
              <w:rPr>
                <w:noProof/>
                <w:sz w:val="20"/>
                <w:szCs w:val="20"/>
              </w:rPr>
            </w:pPr>
            <w:r w:rsidRPr="00CF5D66">
              <w:rPr>
                <w:noProof/>
                <w:sz w:val="20"/>
                <w:szCs w:val="20"/>
              </w:rPr>
              <w:t>3.80E-04</w:t>
            </w:r>
          </w:p>
        </w:tc>
        <w:tc>
          <w:tcPr>
            <w:tcW w:w="1022" w:type="dxa"/>
            <w:shd w:val="clear" w:color="auto" w:fill="auto"/>
            <w:noWrap/>
            <w:vAlign w:val="center"/>
            <w:hideMark/>
          </w:tcPr>
          <w:p w14:paraId="372ECD3A" w14:textId="77777777" w:rsidR="00311EBF" w:rsidRPr="00CF5D66" w:rsidRDefault="00311EBF" w:rsidP="00CF5D66">
            <w:pPr>
              <w:pStyle w:val="Table"/>
              <w:rPr>
                <w:noProof/>
                <w:sz w:val="20"/>
                <w:szCs w:val="20"/>
              </w:rPr>
            </w:pPr>
            <w:r w:rsidRPr="00CF5D66">
              <w:rPr>
                <w:noProof/>
                <w:sz w:val="20"/>
                <w:szCs w:val="20"/>
              </w:rPr>
              <w:t>3.80E-04</w:t>
            </w:r>
          </w:p>
        </w:tc>
        <w:tc>
          <w:tcPr>
            <w:tcW w:w="1022" w:type="dxa"/>
            <w:shd w:val="clear" w:color="auto" w:fill="auto"/>
            <w:noWrap/>
            <w:vAlign w:val="center"/>
            <w:hideMark/>
          </w:tcPr>
          <w:p w14:paraId="1983ED82" w14:textId="77777777" w:rsidR="00311EBF" w:rsidRPr="00CF5D66" w:rsidRDefault="00311EBF" w:rsidP="00CF5D66">
            <w:pPr>
              <w:pStyle w:val="Table"/>
              <w:rPr>
                <w:noProof/>
                <w:sz w:val="20"/>
                <w:szCs w:val="20"/>
              </w:rPr>
            </w:pPr>
            <w:r w:rsidRPr="00CF5D66">
              <w:rPr>
                <w:noProof/>
                <w:sz w:val="20"/>
                <w:szCs w:val="20"/>
              </w:rPr>
              <w:t>3.80E-04</w:t>
            </w:r>
          </w:p>
        </w:tc>
        <w:tc>
          <w:tcPr>
            <w:tcW w:w="1022" w:type="dxa"/>
            <w:shd w:val="clear" w:color="auto" w:fill="auto"/>
            <w:noWrap/>
            <w:vAlign w:val="center"/>
            <w:hideMark/>
          </w:tcPr>
          <w:p w14:paraId="753B59FB" w14:textId="77777777" w:rsidR="00311EBF" w:rsidRPr="00CF5D66" w:rsidRDefault="00311EBF" w:rsidP="00CF5D66">
            <w:pPr>
              <w:pStyle w:val="Table"/>
              <w:rPr>
                <w:noProof/>
                <w:sz w:val="20"/>
                <w:szCs w:val="20"/>
              </w:rPr>
            </w:pPr>
            <w:r w:rsidRPr="00CF5D66">
              <w:rPr>
                <w:noProof/>
                <w:sz w:val="20"/>
                <w:szCs w:val="20"/>
              </w:rPr>
              <w:t>3.80E-04</w:t>
            </w:r>
          </w:p>
        </w:tc>
        <w:tc>
          <w:tcPr>
            <w:tcW w:w="1022" w:type="dxa"/>
            <w:shd w:val="clear" w:color="auto" w:fill="auto"/>
            <w:noWrap/>
            <w:vAlign w:val="center"/>
            <w:hideMark/>
          </w:tcPr>
          <w:p w14:paraId="00F7F683" w14:textId="77777777" w:rsidR="00311EBF" w:rsidRPr="00CF5D66" w:rsidRDefault="00311EBF" w:rsidP="00CF5D66">
            <w:pPr>
              <w:pStyle w:val="Table"/>
              <w:rPr>
                <w:noProof/>
                <w:sz w:val="20"/>
                <w:szCs w:val="20"/>
              </w:rPr>
            </w:pPr>
            <w:r w:rsidRPr="00CF5D66">
              <w:rPr>
                <w:noProof/>
                <w:sz w:val="20"/>
                <w:szCs w:val="20"/>
              </w:rPr>
              <w:t>3.80E-04</w:t>
            </w:r>
          </w:p>
        </w:tc>
      </w:tr>
      <w:tr w:rsidR="00311EBF" w:rsidRPr="00972C81" w14:paraId="623B3CCB" w14:textId="77777777" w:rsidTr="00CF5D66">
        <w:trPr>
          <w:trHeight w:val="340"/>
        </w:trPr>
        <w:tc>
          <w:tcPr>
            <w:tcW w:w="2895" w:type="dxa"/>
            <w:tcBorders>
              <w:bottom w:val="single" w:sz="4" w:space="0" w:color="auto"/>
            </w:tcBorders>
            <w:shd w:val="clear" w:color="auto" w:fill="auto"/>
            <w:noWrap/>
            <w:vAlign w:val="center"/>
            <w:hideMark/>
          </w:tcPr>
          <w:p w14:paraId="1E72B398" w14:textId="3D88408A" w:rsidR="00311EBF" w:rsidRPr="00CF5D66" w:rsidRDefault="00311EBF" w:rsidP="00CF5D66">
            <w:pPr>
              <w:pStyle w:val="Table"/>
              <w:rPr>
                <w:noProof/>
                <w:sz w:val="20"/>
                <w:szCs w:val="20"/>
              </w:rPr>
            </w:pPr>
            <w:r w:rsidRPr="00CF5D66">
              <w:rPr>
                <w:noProof/>
                <w:sz w:val="20"/>
                <w:szCs w:val="20"/>
              </w:rPr>
              <w:t>Ovaries to Blood</w:t>
            </w:r>
          </w:p>
        </w:tc>
        <w:tc>
          <w:tcPr>
            <w:tcW w:w="1022" w:type="dxa"/>
            <w:tcBorders>
              <w:bottom w:val="single" w:sz="4" w:space="0" w:color="auto"/>
            </w:tcBorders>
            <w:shd w:val="clear" w:color="auto" w:fill="auto"/>
            <w:noWrap/>
            <w:vAlign w:val="center"/>
            <w:hideMark/>
          </w:tcPr>
          <w:p w14:paraId="31609627" w14:textId="77777777" w:rsidR="00311EBF" w:rsidRPr="00CF5D66" w:rsidRDefault="00311EBF" w:rsidP="00CF5D66">
            <w:pPr>
              <w:pStyle w:val="Table"/>
              <w:rPr>
                <w:noProof/>
                <w:sz w:val="20"/>
                <w:szCs w:val="20"/>
              </w:rPr>
            </w:pPr>
            <w:r w:rsidRPr="00CF5D66">
              <w:rPr>
                <w:noProof/>
                <w:sz w:val="20"/>
                <w:szCs w:val="20"/>
              </w:rPr>
              <w:t>3.80E-04</w:t>
            </w:r>
          </w:p>
        </w:tc>
        <w:tc>
          <w:tcPr>
            <w:tcW w:w="1022" w:type="dxa"/>
            <w:tcBorders>
              <w:bottom w:val="single" w:sz="4" w:space="0" w:color="auto"/>
            </w:tcBorders>
            <w:shd w:val="clear" w:color="auto" w:fill="auto"/>
            <w:noWrap/>
            <w:vAlign w:val="center"/>
            <w:hideMark/>
          </w:tcPr>
          <w:p w14:paraId="616D1807" w14:textId="77777777" w:rsidR="00311EBF" w:rsidRPr="00CF5D66" w:rsidRDefault="00311EBF" w:rsidP="00CF5D66">
            <w:pPr>
              <w:pStyle w:val="Table"/>
              <w:rPr>
                <w:noProof/>
                <w:sz w:val="20"/>
                <w:szCs w:val="20"/>
              </w:rPr>
            </w:pPr>
            <w:r w:rsidRPr="00CF5D66">
              <w:rPr>
                <w:noProof/>
                <w:sz w:val="20"/>
                <w:szCs w:val="20"/>
              </w:rPr>
              <w:t>3.80E-04</w:t>
            </w:r>
          </w:p>
        </w:tc>
        <w:tc>
          <w:tcPr>
            <w:tcW w:w="1022" w:type="dxa"/>
            <w:tcBorders>
              <w:bottom w:val="single" w:sz="4" w:space="0" w:color="auto"/>
            </w:tcBorders>
            <w:shd w:val="clear" w:color="auto" w:fill="auto"/>
            <w:noWrap/>
            <w:vAlign w:val="center"/>
            <w:hideMark/>
          </w:tcPr>
          <w:p w14:paraId="313FB7C9" w14:textId="77777777" w:rsidR="00311EBF" w:rsidRPr="00CF5D66" w:rsidRDefault="00311EBF" w:rsidP="00CF5D66">
            <w:pPr>
              <w:pStyle w:val="Table"/>
              <w:rPr>
                <w:noProof/>
                <w:sz w:val="20"/>
                <w:szCs w:val="20"/>
              </w:rPr>
            </w:pPr>
            <w:r w:rsidRPr="00CF5D66">
              <w:rPr>
                <w:noProof/>
                <w:sz w:val="20"/>
                <w:szCs w:val="20"/>
              </w:rPr>
              <w:t>3.80E-04</w:t>
            </w:r>
          </w:p>
        </w:tc>
        <w:tc>
          <w:tcPr>
            <w:tcW w:w="1022" w:type="dxa"/>
            <w:tcBorders>
              <w:bottom w:val="single" w:sz="4" w:space="0" w:color="auto"/>
            </w:tcBorders>
            <w:shd w:val="clear" w:color="auto" w:fill="auto"/>
            <w:noWrap/>
            <w:vAlign w:val="center"/>
            <w:hideMark/>
          </w:tcPr>
          <w:p w14:paraId="747A5B6E" w14:textId="77777777" w:rsidR="00311EBF" w:rsidRPr="00CF5D66" w:rsidRDefault="00311EBF" w:rsidP="00CF5D66">
            <w:pPr>
              <w:pStyle w:val="Table"/>
              <w:rPr>
                <w:noProof/>
                <w:sz w:val="20"/>
                <w:szCs w:val="20"/>
              </w:rPr>
            </w:pPr>
            <w:r w:rsidRPr="00CF5D66">
              <w:rPr>
                <w:noProof/>
                <w:sz w:val="20"/>
                <w:szCs w:val="20"/>
              </w:rPr>
              <w:t>3.80E-04</w:t>
            </w:r>
          </w:p>
        </w:tc>
        <w:tc>
          <w:tcPr>
            <w:tcW w:w="1022" w:type="dxa"/>
            <w:tcBorders>
              <w:bottom w:val="single" w:sz="4" w:space="0" w:color="auto"/>
            </w:tcBorders>
            <w:shd w:val="clear" w:color="auto" w:fill="auto"/>
            <w:noWrap/>
            <w:vAlign w:val="center"/>
            <w:hideMark/>
          </w:tcPr>
          <w:p w14:paraId="15127AC2" w14:textId="77777777" w:rsidR="00311EBF" w:rsidRPr="00CF5D66" w:rsidRDefault="00311EBF" w:rsidP="00CF5D66">
            <w:pPr>
              <w:pStyle w:val="Table"/>
              <w:rPr>
                <w:noProof/>
                <w:sz w:val="20"/>
                <w:szCs w:val="20"/>
              </w:rPr>
            </w:pPr>
            <w:r w:rsidRPr="00CF5D66">
              <w:rPr>
                <w:noProof/>
                <w:sz w:val="20"/>
                <w:szCs w:val="20"/>
              </w:rPr>
              <w:t>3.80E-04</w:t>
            </w:r>
          </w:p>
        </w:tc>
        <w:tc>
          <w:tcPr>
            <w:tcW w:w="1022" w:type="dxa"/>
            <w:tcBorders>
              <w:bottom w:val="single" w:sz="4" w:space="0" w:color="auto"/>
            </w:tcBorders>
            <w:shd w:val="clear" w:color="auto" w:fill="auto"/>
            <w:noWrap/>
            <w:vAlign w:val="center"/>
            <w:hideMark/>
          </w:tcPr>
          <w:p w14:paraId="00FC1842" w14:textId="77777777" w:rsidR="00311EBF" w:rsidRPr="00CF5D66" w:rsidRDefault="00311EBF" w:rsidP="00CF5D66">
            <w:pPr>
              <w:pStyle w:val="Table"/>
              <w:rPr>
                <w:noProof/>
                <w:sz w:val="20"/>
                <w:szCs w:val="20"/>
              </w:rPr>
            </w:pPr>
            <w:r w:rsidRPr="00CF5D66">
              <w:rPr>
                <w:noProof/>
                <w:sz w:val="20"/>
                <w:szCs w:val="20"/>
              </w:rPr>
              <w:t>3.80E-04</w:t>
            </w:r>
          </w:p>
        </w:tc>
      </w:tr>
    </w:tbl>
    <w:p w14:paraId="71BB5DE3" w14:textId="4025114A" w:rsidR="00104322" w:rsidRPr="00CF5D66" w:rsidRDefault="00D0532A" w:rsidP="00F91EB7">
      <w:pPr>
        <w:pStyle w:val="Note"/>
        <w:rPr>
          <w:noProof/>
          <w:sz w:val="20"/>
          <w:szCs w:val="20"/>
        </w:rPr>
      </w:pPr>
      <w:r w:rsidRPr="00CF5D66">
        <w:rPr>
          <w:noProof/>
          <w:sz w:val="20"/>
          <w:szCs w:val="20"/>
          <w:vertAlign w:val="superscript"/>
        </w:rPr>
        <w:t>a</w:t>
      </w:r>
      <w:r w:rsidR="00F91EB7" w:rsidRPr="00CF5D66">
        <w:rPr>
          <w:noProof/>
          <w:sz w:val="20"/>
          <w:szCs w:val="20"/>
        </w:rPr>
        <w:t xml:space="preserve">Cort = Cortical, Trab = Trabecular, surf = surface, vol = volume, RC = </w:t>
      </w:r>
      <w:r w:rsidR="00311EBF" w:rsidRPr="00CF5D66">
        <w:rPr>
          <w:noProof/>
          <w:sz w:val="20"/>
          <w:szCs w:val="20"/>
        </w:rPr>
        <w:t>R</w:t>
      </w:r>
      <w:r w:rsidR="00F91EB7" w:rsidRPr="00CF5D66">
        <w:rPr>
          <w:noProof/>
          <w:sz w:val="20"/>
          <w:szCs w:val="20"/>
        </w:rPr>
        <w:t xml:space="preserve">ight </w:t>
      </w:r>
      <w:r w:rsidR="00477D4E" w:rsidRPr="00CF5D66">
        <w:rPr>
          <w:noProof/>
          <w:sz w:val="20"/>
          <w:szCs w:val="20"/>
        </w:rPr>
        <w:t>c</w:t>
      </w:r>
      <w:r w:rsidR="00F91EB7" w:rsidRPr="00CF5D66">
        <w:rPr>
          <w:noProof/>
          <w:sz w:val="20"/>
          <w:szCs w:val="20"/>
        </w:rPr>
        <w:t xml:space="preserve">olon, SI = Small </w:t>
      </w:r>
      <w:r w:rsidR="00477D4E" w:rsidRPr="00CF5D66">
        <w:rPr>
          <w:noProof/>
          <w:sz w:val="20"/>
          <w:szCs w:val="20"/>
        </w:rPr>
        <w:t>i</w:t>
      </w:r>
      <w:r w:rsidR="00F91EB7" w:rsidRPr="00CF5D66">
        <w:rPr>
          <w:noProof/>
          <w:sz w:val="20"/>
          <w:szCs w:val="20"/>
        </w:rPr>
        <w:t xml:space="preserve">ntestine, UB = Urinary </w:t>
      </w:r>
      <w:r w:rsidR="00477D4E" w:rsidRPr="00CF5D66">
        <w:rPr>
          <w:noProof/>
          <w:sz w:val="20"/>
          <w:szCs w:val="20"/>
        </w:rPr>
        <w:t>b</w:t>
      </w:r>
      <w:r w:rsidR="00F91EB7" w:rsidRPr="00CF5D66">
        <w:rPr>
          <w:noProof/>
          <w:sz w:val="20"/>
          <w:szCs w:val="20"/>
        </w:rPr>
        <w:t>ladder</w:t>
      </w:r>
    </w:p>
    <w:p w14:paraId="28933E24" w14:textId="77777777" w:rsidR="00104322" w:rsidRPr="00972C81" w:rsidRDefault="00104322" w:rsidP="006703A2">
      <w:pPr>
        <w:pStyle w:val="OIRTitre4"/>
      </w:pPr>
      <w:r w:rsidRPr="00972C81">
        <w:t>Treatment of radioactive progeny</w:t>
      </w:r>
    </w:p>
    <w:p w14:paraId="71E7F536" w14:textId="4BAE77D8" w:rsidR="00104322" w:rsidRPr="00972C81" w:rsidRDefault="005E147C" w:rsidP="001C4A92">
      <w:pPr>
        <w:pStyle w:val="Annalstext"/>
        <w:rPr>
          <w:rFonts w:eastAsia="Calibri"/>
          <w:noProof/>
        </w:rPr>
      </w:pPr>
      <w:r w:rsidRPr="00972C81">
        <w:rPr>
          <w:rFonts w:eastAsia="Calibri"/>
          <w:noProof/>
        </w:rPr>
        <w:t xml:space="preserve">The treatment of radioactive progeny produced in systemic compartments after intake of </w:t>
      </w:r>
      <w:r w:rsidR="00851288" w:rsidRPr="00972C81">
        <w:rPr>
          <w:rFonts w:eastAsia="Calibri"/>
          <w:noProof/>
        </w:rPr>
        <w:t xml:space="preserve">a </w:t>
      </w:r>
      <w:r w:rsidRPr="00972C81">
        <w:rPr>
          <w:rFonts w:eastAsia="Calibri"/>
          <w:noProof/>
        </w:rPr>
        <w:t xml:space="preserve">radioisotope of cerium is described in Section 4.2.3.3. of </w:t>
      </w:r>
      <w:r w:rsidRPr="00972C81">
        <w:rPr>
          <w:rFonts w:eastAsia="Calibri"/>
          <w:i/>
          <w:noProof/>
        </w:rPr>
        <w:t xml:space="preserve">Publication </w:t>
      </w:r>
      <w:r w:rsidR="00EB4AA0" w:rsidRPr="00972C81">
        <w:rPr>
          <w:rFonts w:eastAsia="Calibri"/>
          <w:i/>
          <w:noProof/>
        </w:rPr>
        <w:t>141</w:t>
      </w:r>
      <w:r w:rsidRPr="00972C81">
        <w:rPr>
          <w:rFonts w:eastAsia="Calibri"/>
          <w:noProof/>
        </w:rPr>
        <w:t xml:space="preserve"> </w:t>
      </w:r>
      <w:r w:rsidR="00F91EB7" w:rsidRPr="00972C81">
        <w:rPr>
          <w:rFonts w:eastAsia="Calibri"/>
          <w:noProof/>
        </w:rPr>
        <w:fldChar w:fldCharType="begin"/>
      </w:r>
      <w:r w:rsidR="00F91EB7" w:rsidRPr="00972C81">
        <w:rPr>
          <w:rFonts w:eastAsia="Calibri"/>
          <w:noProof/>
        </w:rPr>
        <w:instrText xml:space="preserve"> ADDIN ZOTERO_ITEM CSL_CITATION {"citationID":"af5oXCV1","properties":{"formattedCitation":"(ICRP,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F91EB7" w:rsidRPr="00972C81">
        <w:rPr>
          <w:rFonts w:eastAsia="Calibri"/>
          <w:noProof/>
        </w:rPr>
        <w:fldChar w:fldCharType="separate"/>
      </w:r>
      <w:r w:rsidR="00BC59C6" w:rsidRPr="00972C81">
        <w:rPr>
          <w:noProof/>
        </w:rPr>
        <w:t>(ICRP, 2019)</w:t>
      </w:r>
      <w:r w:rsidR="00F91EB7" w:rsidRPr="00972C81">
        <w:rPr>
          <w:rFonts w:eastAsia="Calibri"/>
          <w:noProof/>
        </w:rPr>
        <w:fldChar w:fldCharType="end"/>
      </w:r>
      <w:r w:rsidRPr="00972C81">
        <w:rPr>
          <w:rFonts w:eastAsia="Calibri"/>
          <w:noProof/>
        </w:rPr>
        <w:t xml:space="preserve">.  </w:t>
      </w:r>
    </w:p>
    <w:p w14:paraId="1EF394EB" w14:textId="77777777" w:rsidR="00593D1F" w:rsidRPr="00972C81" w:rsidRDefault="00593D1F" w:rsidP="00E81109">
      <w:pPr>
        <w:pStyle w:val="2"/>
        <w:rPr>
          <w:noProof/>
          <w:lang w:val="en-GB"/>
        </w:rPr>
      </w:pPr>
      <w:bookmarkStart w:id="72" w:name="_Toc162629994"/>
      <w:r w:rsidRPr="00972C81">
        <w:rPr>
          <w:noProof/>
          <w:lang w:val="en-GB"/>
        </w:rPr>
        <w:lastRenderedPageBreak/>
        <w:t>Dosimetric data for cerium</w:t>
      </w:r>
      <w:bookmarkEnd w:id="72"/>
    </w:p>
    <w:p w14:paraId="133D375E" w14:textId="3EE3E2EC" w:rsidR="00050686" w:rsidRPr="00972C81" w:rsidRDefault="00050686" w:rsidP="00C47F2F">
      <w:pPr>
        <w:pStyle w:val="GlossaryHeadChar"/>
        <w:overflowPunct/>
        <w:autoSpaceDE/>
        <w:autoSpaceDN/>
        <w:adjustRightInd/>
        <w:spacing w:before="0" w:after="0"/>
        <w:textAlignment w:val="auto"/>
        <w:rPr>
          <w:noProof/>
          <w:szCs w:val="24"/>
        </w:rPr>
      </w:pPr>
      <w:r w:rsidRPr="00972C81">
        <w:rPr>
          <w:noProof/>
          <w:szCs w:val="24"/>
        </w:rPr>
        <w:t>Table 3.4. Committed effective dose coefficients (Sv Bq</w:t>
      </w:r>
      <w:r w:rsidRPr="00972C81">
        <w:rPr>
          <w:noProof/>
          <w:szCs w:val="24"/>
          <w:vertAlign w:val="superscript"/>
        </w:rPr>
        <w:t>-1</w:t>
      </w:r>
      <w:r w:rsidRPr="00972C81">
        <w:rPr>
          <w:noProof/>
          <w:szCs w:val="24"/>
        </w:rPr>
        <w:t xml:space="preserve">) for the inhalation or ingestion of </w:t>
      </w:r>
      <w:r w:rsidRPr="00972C81">
        <w:rPr>
          <w:noProof/>
          <w:szCs w:val="24"/>
          <w:vertAlign w:val="superscript"/>
        </w:rPr>
        <w:t>139</w:t>
      </w:r>
      <w:r w:rsidRPr="00972C81">
        <w:rPr>
          <w:noProof/>
          <w:szCs w:val="24"/>
        </w:rPr>
        <w:t>Ce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19"/>
        <w:gridCol w:w="884"/>
        <w:gridCol w:w="885"/>
        <w:gridCol w:w="885"/>
        <w:gridCol w:w="884"/>
        <w:gridCol w:w="885"/>
        <w:gridCol w:w="885"/>
      </w:tblGrid>
      <w:tr w:rsidR="00050686" w:rsidRPr="00A3213E" w14:paraId="45ED458C" w14:textId="77777777" w:rsidTr="00CF5D66">
        <w:trPr>
          <w:trHeight w:val="340"/>
        </w:trPr>
        <w:tc>
          <w:tcPr>
            <w:tcW w:w="3719" w:type="dxa"/>
            <w:vMerge w:val="restart"/>
            <w:tcBorders>
              <w:left w:val="nil"/>
              <w:right w:val="nil"/>
            </w:tcBorders>
            <w:vAlign w:val="bottom"/>
          </w:tcPr>
          <w:p w14:paraId="4A4C88BA" w14:textId="77777777" w:rsidR="00E424DA" w:rsidRPr="00C47F2F" w:rsidRDefault="00050686" w:rsidP="00C47F2F">
            <w:pPr>
              <w:pStyle w:val="a5"/>
              <w:tabs>
                <w:tab w:val="clear" w:pos="4153"/>
                <w:tab w:val="clear" w:pos="8306"/>
              </w:tabs>
              <w:jc w:val="left"/>
              <w:rPr>
                <w:noProof/>
                <w:sz w:val="22"/>
                <w:szCs w:val="22"/>
              </w:rPr>
            </w:pPr>
            <w:r w:rsidRPr="00C47F2F">
              <w:rPr>
                <w:noProof/>
                <w:sz w:val="22"/>
                <w:szCs w:val="22"/>
              </w:rPr>
              <w:t>Inhaled particulate materials</w:t>
            </w:r>
          </w:p>
          <w:p w14:paraId="5B81AE70" w14:textId="379E3B96" w:rsidR="00050686" w:rsidRPr="00C47F2F" w:rsidRDefault="00050686" w:rsidP="00C47F2F">
            <w:pPr>
              <w:pStyle w:val="a5"/>
              <w:tabs>
                <w:tab w:val="clear" w:pos="4153"/>
                <w:tab w:val="clear" w:pos="8306"/>
              </w:tabs>
              <w:jc w:val="left"/>
              <w:rPr>
                <w:noProof/>
                <w:sz w:val="22"/>
                <w:szCs w:val="22"/>
              </w:rPr>
            </w:pPr>
            <w:r w:rsidRPr="00C47F2F">
              <w:rPr>
                <w:noProof/>
                <w:sz w:val="22"/>
                <w:szCs w:val="22"/>
              </w:rPr>
              <w:t>(1 µm AMAD aerosols)</w:t>
            </w:r>
          </w:p>
        </w:tc>
        <w:tc>
          <w:tcPr>
            <w:tcW w:w="5308" w:type="dxa"/>
            <w:gridSpan w:val="6"/>
            <w:tcBorders>
              <w:left w:val="nil"/>
              <w:right w:val="nil"/>
            </w:tcBorders>
            <w:vAlign w:val="center"/>
          </w:tcPr>
          <w:p w14:paraId="190DEA96" w14:textId="77777777" w:rsidR="00050686" w:rsidRPr="00C47F2F" w:rsidRDefault="00050686" w:rsidP="00CF5D66">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A41AD1" w:rsidRPr="00972C81" w14:paraId="2669B52B" w14:textId="77777777" w:rsidTr="00CF5D66">
        <w:trPr>
          <w:trHeight w:val="340"/>
        </w:trPr>
        <w:tc>
          <w:tcPr>
            <w:tcW w:w="3719" w:type="dxa"/>
            <w:vMerge/>
            <w:tcBorders>
              <w:left w:val="nil"/>
              <w:bottom w:val="single" w:sz="4" w:space="0" w:color="auto"/>
              <w:right w:val="nil"/>
            </w:tcBorders>
          </w:tcPr>
          <w:p w14:paraId="3A91E985" w14:textId="77777777" w:rsidR="00050686" w:rsidRPr="00C47F2F" w:rsidRDefault="00050686" w:rsidP="00A43CE8">
            <w:pPr>
              <w:rPr>
                <w:noProof/>
                <w:sz w:val="22"/>
                <w:szCs w:val="22"/>
                <w:lang w:val="fr-FR"/>
              </w:rPr>
            </w:pPr>
          </w:p>
        </w:tc>
        <w:tc>
          <w:tcPr>
            <w:tcW w:w="884" w:type="dxa"/>
            <w:tcBorders>
              <w:left w:val="nil"/>
              <w:bottom w:val="single" w:sz="4" w:space="0" w:color="auto"/>
              <w:right w:val="nil"/>
            </w:tcBorders>
            <w:vAlign w:val="center"/>
          </w:tcPr>
          <w:p w14:paraId="0AB86F1B" w14:textId="78AC26BB" w:rsidR="00050686" w:rsidRPr="00C47F2F" w:rsidRDefault="00050686" w:rsidP="00CF5D66">
            <w:pPr>
              <w:jc w:val="left"/>
              <w:rPr>
                <w:noProof/>
                <w:sz w:val="22"/>
                <w:szCs w:val="22"/>
              </w:rPr>
            </w:pPr>
            <w:r w:rsidRPr="00C47F2F">
              <w:rPr>
                <w:noProof/>
                <w:sz w:val="22"/>
                <w:szCs w:val="22"/>
              </w:rPr>
              <w:t>3</w:t>
            </w:r>
            <w:r w:rsidR="00365B5B">
              <w:rPr>
                <w:rFonts w:hint="eastAsia"/>
                <w:noProof/>
                <w:sz w:val="22"/>
                <w:szCs w:val="22"/>
                <w:lang w:eastAsia="ko-KR"/>
              </w:rPr>
              <w:t xml:space="preserve"> </w:t>
            </w:r>
            <w:r w:rsidRPr="00C47F2F">
              <w:rPr>
                <w:noProof/>
                <w:sz w:val="22"/>
                <w:szCs w:val="22"/>
              </w:rPr>
              <w:t>m</w:t>
            </w:r>
            <w:r w:rsidR="001A483B">
              <w:rPr>
                <w:noProof/>
                <w:sz w:val="22"/>
                <w:szCs w:val="22"/>
              </w:rPr>
              <w:t>o</w:t>
            </w:r>
          </w:p>
        </w:tc>
        <w:tc>
          <w:tcPr>
            <w:tcW w:w="885" w:type="dxa"/>
            <w:tcBorders>
              <w:left w:val="nil"/>
              <w:bottom w:val="single" w:sz="4" w:space="0" w:color="auto"/>
              <w:right w:val="nil"/>
            </w:tcBorders>
            <w:vAlign w:val="center"/>
          </w:tcPr>
          <w:p w14:paraId="608B25D7" w14:textId="64D9F77F" w:rsidR="00050686" w:rsidRPr="00C47F2F" w:rsidRDefault="00050686" w:rsidP="00CF5D66">
            <w:pPr>
              <w:jc w:val="left"/>
              <w:rPr>
                <w:noProof/>
                <w:sz w:val="22"/>
                <w:szCs w:val="22"/>
              </w:rPr>
            </w:pPr>
            <w:r w:rsidRPr="00C47F2F">
              <w:rPr>
                <w:noProof/>
                <w:sz w:val="22"/>
                <w:szCs w:val="22"/>
              </w:rPr>
              <w:t>1</w:t>
            </w:r>
            <w:r w:rsidR="00365B5B">
              <w:rPr>
                <w:rFonts w:hint="eastAsia"/>
                <w:noProof/>
                <w:sz w:val="22"/>
                <w:szCs w:val="22"/>
                <w:lang w:eastAsia="ko-KR"/>
              </w:rPr>
              <w:t xml:space="preserve"> </w:t>
            </w:r>
            <w:r w:rsidRPr="00C47F2F">
              <w:rPr>
                <w:noProof/>
                <w:sz w:val="22"/>
                <w:szCs w:val="22"/>
              </w:rPr>
              <w:t>y</w:t>
            </w:r>
          </w:p>
        </w:tc>
        <w:tc>
          <w:tcPr>
            <w:tcW w:w="885" w:type="dxa"/>
            <w:tcBorders>
              <w:left w:val="nil"/>
              <w:bottom w:val="single" w:sz="4" w:space="0" w:color="auto"/>
              <w:right w:val="nil"/>
            </w:tcBorders>
            <w:vAlign w:val="center"/>
          </w:tcPr>
          <w:p w14:paraId="55378A70" w14:textId="3707545D" w:rsidR="00050686" w:rsidRPr="00C47F2F" w:rsidRDefault="00050686" w:rsidP="00CF5D66">
            <w:pPr>
              <w:jc w:val="left"/>
              <w:rPr>
                <w:noProof/>
                <w:sz w:val="22"/>
                <w:szCs w:val="22"/>
              </w:rPr>
            </w:pPr>
            <w:r w:rsidRPr="00C47F2F">
              <w:rPr>
                <w:noProof/>
                <w:sz w:val="22"/>
                <w:szCs w:val="22"/>
              </w:rPr>
              <w:t>5</w:t>
            </w:r>
            <w:r w:rsidR="00365B5B">
              <w:rPr>
                <w:rFonts w:hint="eastAsia"/>
                <w:noProof/>
                <w:sz w:val="22"/>
                <w:szCs w:val="22"/>
                <w:lang w:eastAsia="ko-KR"/>
              </w:rPr>
              <w:t xml:space="preserve"> </w:t>
            </w:r>
            <w:r w:rsidRPr="00C47F2F">
              <w:rPr>
                <w:noProof/>
                <w:sz w:val="22"/>
                <w:szCs w:val="22"/>
              </w:rPr>
              <w:t>y</w:t>
            </w:r>
          </w:p>
        </w:tc>
        <w:tc>
          <w:tcPr>
            <w:tcW w:w="884" w:type="dxa"/>
            <w:tcBorders>
              <w:left w:val="nil"/>
              <w:bottom w:val="single" w:sz="4" w:space="0" w:color="auto"/>
              <w:right w:val="nil"/>
            </w:tcBorders>
            <w:vAlign w:val="center"/>
          </w:tcPr>
          <w:p w14:paraId="4EC6C2A7" w14:textId="20A37C99" w:rsidR="00050686" w:rsidRPr="00C47F2F" w:rsidRDefault="00050686" w:rsidP="00CF5D66">
            <w:pPr>
              <w:jc w:val="left"/>
              <w:rPr>
                <w:noProof/>
                <w:sz w:val="22"/>
                <w:szCs w:val="22"/>
              </w:rPr>
            </w:pPr>
            <w:r w:rsidRPr="00C47F2F">
              <w:rPr>
                <w:noProof/>
                <w:sz w:val="22"/>
                <w:szCs w:val="22"/>
              </w:rPr>
              <w:t>10</w:t>
            </w:r>
            <w:r w:rsidR="00365B5B">
              <w:rPr>
                <w:rFonts w:hint="eastAsia"/>
                <w:noProof/>
                <w:sz w:val="22"/>
                <w:szCs w:val="22"/>
                <w:lang w:eastAsia="ko-KR"/>
              </w:rPr>
              <w:t xml:space="preserve"> </w:t>
            </w:r>
            <w:r w:rsidRPr="00C47F2F">
              <w:rPr>
                <w:noProof/>
                <w:sz w:val="22"/>
                <w:szCs w:val="22"/>
              </w:rPr>
              <w:t>y</w:t>
            </w:r>
          </w:p>
        </w:tc>
        <w:tc>
          <w:tcPr>
            <w:tcW w:w="885" w:type="dxa"/>
            <w:tcBorders>
              <w:left w:val="nil"/>
              <w:bottom w:val="single" w:sz="4" w:space="0" w:color="auto"/>
              <w:right w:val="nil"/>
            </w:tcBorders>
            <w:vAlign w:val="center"/>
          </w:tcPr>
          <w:p w14:paraId="3A2663F3" w14:textId="7A7FB4DD" w:rsidR="00050686" w:rsidRPr="00C47F2F" w:rsidRDefault="00050686" w:rsidP="00CF5D66">
            <w:pPr>
              <w:jc w:val="left"/>
              <w:rPr>
                <w:noProof/>
                <w:sz w:val="22"/>
                <w:szCs w:val="22"/>
              </w:rPr>
            </w:pPr>
            <w:r w:rsidRPr="00C47F2F">
              <w:rPr>
                <w:noProof/>
                <w:sz w:val="22"/>
                <w:szCs w:val="22"/>
              </w:rPr>
              <w:t>15</w:t>
            </w:r>
            <w:r w:rsidR="00365B5B">
              <w:rPr>
                <w:rFonts w:hint="eastAsia"/>
                <w:noProof/>
                <w:sz w:val="22"/>
                <w:szCs w:val="22"/>
                <w:lang w:eastAsia="ko-KR"/>
              </w:rPr>
              <w:t xml:space="preserve"> </w:t>
            </w:r>
            <w:r w:rsidRPr="00C47F2F">
              <w:rPr>
                <w:noProof/>
                <w:sz w:val="22"/>
                <w:szCs w:val="22"/>
              </w:rPr>
              <w:t>y</w:t>
            </w:r>
          </w:p>
        </w:tc>
        <w:tc>
          <w:tcPr>
            <w:tcW w:w="885" w:type="dxa"/>
            <w:tcBorders>
              <w:left w:val="nil"/>
              <w:bottom w:val="single" w:sz="4" w:space="0" w:color="auto"/>
              <w:right w:val="nil"/>
            </w:tcBorders>
            <w:vAlign w:val="center"/>
          </w:tcPr>
          <w:p w14:paraId="6DD52E9A" w14:textId="77777777" w:rsidR="00050686" w:rsidRPr="00C47F2F" w:rsidRDefault="00050686" w:rsidP="00CF5D66">
            <w:pPr>
              <w:jc w:val="left"/>
              <w:rPr>
                <w:noProof/>
                <w:sz w:val="22"/>
                <w:szCs w:val="22"/>
              </w:rPr>
            </w:pPr>
            <w:r w:rsidRPr="00C47F2F">
              <w:rPr>
                <w:noProof/>
                <w:sz w:val="22"/>
                <w:szCs w:val="22"/>
              </w:rPr>
              <w:t>Adult</w:t>
            </w:r>
          </w:p>
        </w:tc>
      </w:tr>
      <w:tr w:rsidR="00A41AD1" w:rsidRPr="00972C81" w14:paraId="5FCD5A3D" w14:textId="77777777" w:rsidTr="00CF5D66">
        <w:trPr>
          <w:trHeight w:val="340"/>
        </w:trPr>
        <w:tc>
          <w:tcPr>
            <w:tcW w:w="3719" w:type="dxa"/>
            <w:tcBorders>
              <w:top w:val="single" w:sz="4" w:space="0" w:color="auto"/>
              <w:left w:val="nil"/>
              <w:bottom w:val="nil"/>
              <w:right w:val="nil"/>
            </w:tcBorders>
          </w:tcPr>
          <w:p w14:paraId="405809C3" w14:textId="77777777" w:rsidR="00050686" w:rsidRPr="00C47F2F" w:rsidRDefault="00050686" w:rsidP="00CF5D66">
            <w:pPr>
              <w:jc w:val="left"/>
              <w:rPr>
                <w:noProof/>
                <w:sz w:val="22"/>
                <w:szCs w:val="22"/>
              </w:rPr>
            </w:pPr>
            <w:r w:rsidRPr="00C47F2F">
              <w:rPr>
                <w:rFonts w:eastAsia="Times New Roman"/>
                <w:noProof/>
                <w:color w:val="000000"/>
                <w:sz w:val="22"/>
                <w:szCs w:val="22"/>
              </w:rPr>
              <w:t>Water soluble forms, including chloride and citrate</w:t>
            </w:r>
          </w:p>
        </w:tc>
        <w:tc>
          <w:tcPr>
            <w:tcW w:w="884" w:type="dxa"/>
            <w:tcBorders>
              <w:top w:val="single" w:sz="4" w:space="0" w:color="auto"/>
              <w:left w:val="nil"/>
              <w:bottom w:val="nil"/>
              <w:right w:val="nil"/>
            </w:tcBorders>
          </w:tcPr>
          <w:p w14:paraId="0C7B6133"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5.8E-09</w:t>
            </w:r>
          </w:p>
        </w:tc>
        <w:tc>
          <w:tcPr>
            <w:tcW w:w="885" w:type="dxa"/>
            <w:tcBorders>
              <w:top w:val="single" w:sz="4" w:space="0" w:color="auto"/>
              <w:left w:val="nil"/>
              <w:bottom w:val="nil"/>
              <w:right w:val="nil"/>
            </w:tcBorders>
          </w:tcPr>
          <w:p w14:paraId="744C8F75"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4.5E-09</w:t>
            </w:r>
          </w:p>
        </w:tc>
        <w:tc>
          <w:tcPr>
            <w:tcW w:w="885" w:type="dxa"/>
            <w:tcBorders>
              <w:top w:val="single" w:sz="4" w:space="0" w:color="auto"/>
              <w:left w:val="nil"/>
              <w:bottom w:val="nil"/>
              <w:right w:val="nil"/>
            </w:tcBorders>
          </w:tcPr>
          <w:p w14:paraId="3828629B"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2.2E-09</w:t>
            </w:r>
          </w:p>
        </w:tc>
        <w:tc>
          <w:tcPr>
            <w:tcW w:w="884" w:type="dxa"/>
            <w:tcBorders>
              <w:top w:val="single" w:sz="4" w:space="0" w:color="auto"/>
              <w:left w:val="nil"/>
              <w:bottom w:val="nil"/>
              <w:right w:val="nil"/>
            </w:tcBorders>
          </w:tcPr>
          <w:p w14:paraId="005BABC1"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1.4E-09</w:t>
            </w:r>
          </w:p>
        </w:tc>
        <w:tc>
          <w:tcPr>
            <w:tcW w:w="885" w:type="dxa"/>
            <w:tcBorders>
              <w:top w:val="single" w:sz="4" w:space="0" w:color="auto"/>
              <w:left w:val="nil"/>
              <w:bottom w:val="nil"/>
              <w:right w:val="nil"/>
            </w:tcBorders>
          </w:tcPr>
          <w:p w14:paraId="57D8BD9D"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1.1E-09</w:t>
            </w:r>
          </w:p>
        </w:tc>
        <w:tc>
          <w:tcPr>
            <w:tcW w:w="885" w:type="dxa"/>
            <w:tcBorders>
              <w:top w:val="single" w:sz="4" w:space="0" w:color="auto"/>
              <w:left w:val="nil"/>
              <w:bottom w:val="nil"/>
              <w:right w:val="nil"/>
            </w:tcBorders>
          </w:tcPr>
          <w:p w14:paraId="30EF1A36"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1.1E-09</w:t>
            </w:r>
          </w:p>
        </w:tc>
      </w:tr>
      <w:tr w:rsidR="00050686" w:rsidRPr="00972C81" w14:paraId="727209C3" w14:textId="77777777" w:rsidTr="00CF5D66">
        <w:trPr>
          <w:trHeight w:val="340"/>
        </w:trPr>
        <w:tc>
          <w:tcPr>
            <w:tcW w:w="3719" w:type="dxa"/>
            <w:tcBorders>
              <w:top w:val="nil"/>
              <w:left w:val="nil"/>
              <w:bottom w:val="nil"/>
              <w:right w:val="nil"/>
            </w:tcBorders>
          </w:tcPr>
          <w:p w14:paraId="640BC115"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Dioxide</w:t>
            </w:r>
          </w:p>
        </w:tc>
        <w:tc>
          <w:tcPr>
            <w:tcW w:w="884" w:type="dxa"/>
            <w:tcBorders>
              <w:top w:val="nil"/>
              <w:left w:val="nil"/>
              <w:bottom w:val="nil"/>
              <w:right w:val="nil"/>
            </w:tcBorders>
          </w:tcPr>
          <w:p w14:paraId="31FB2430"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5.5E-09</w:t>
            </w:r>
          </w:p>
        </w:tc>
        <w:tc>
          <w:tcPr>
            <w:tcW w:w="885" w:type="dxa"/>
            <w:tcBorders>
              <w:top w:val="nil"/>
              <w:left w:val="nil"/>
              <w:bottom w:val="nil"/>
              <w:right w:val="nil"/>
            </w:tcBorders>
          </w:tcPr>
          <w:p w14:paraId="0AA80BF3"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4.8E-09</w:t>
            </w:r>
          </w:p>
        </w:tc>
        <w:tc>
          <w:tcPr>
            <w:tcW w:w="885" w:type="dxa"/>
            <w:tcBorders>
              <w:top w:val="nil"/>
              <w:left w:val="nil"/>
              <w:bottom w:val="nil"/>
              <w:right w:val="nil"/>
            </w:tcBorders>
          </w:tcPr>
          <w:p w14:paraId="6BDF19D4"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2.7E-09</w:t>
            </w:r>
          </w:p>
        </w:tc>
        <w:tc>
          <w:tcPr>
            <w:tcW w:w="884" w:type="dxa"/>
            <w:tcBorders>
              <w:top w:val="nil"/>
              <w:left w:val="nil"/>
              <w:bottom w:val="nil"/>
              <w:right w:val="nil"/>
            </w:tcBorders>
          </w:tcPr>
          <w:p w14:paraId="68EECED4"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1.8E-09</w:t>
            </w:r>
          </w:p>
        </w:tc>
        <w:tc>
          <w:tcPr>
            <w:tcW w:w="885" w:type="dxa"/>
            <w:tcBorders>
              <w:top w:val="nil"/>
              <w:left w:val="nil"/>
              <w:bottom w:val="nil"/>
              <w:right w:val="nil"/>
            </w:tcBorders>
          </w:tcPr>
          <w:p w14:paraId="2C817BC0"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1.4E-09</w:t>
            </w:r>
          </w:p>
        </w:tc>
        <w:tc>
          <w:tcPr>
            <w:tcW w:w="885" w:type="dxa"/>
            <w:tcBorders>
              <w:top w:val="nil"/>
              <w:left w:val="nil"/>
              <w:bottom w:val="nil"/>
              <w:right w:val="nil"/>
            </w:tcBorders>
          </w:tcPr>
          <w:p w14:paraId="7E753B54"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1.4E-09</w:t>
            </w:r>
          </w:p>
        </w:tc>
      </w:tr>
      <w:tr w:rsidR="00A41AD1" w:rsidRPr="00972C81" w14:paraId="4B4B632C" w14:textId="77777777" w:rsidTr="00CF5D66">
        <w:trPr>
          <w:trHeight w:val="340"/>
        </w:trPr>
        <w:tc>
          <w:tcPr>
            <w:tcW w:w="3719" w:type="dxa"/>
            <w:tcBorders>
              <w:top w:val="nil"/>
              <w:left w:val="nil"/>
              <w:bottom w:val="nil"/>
              <w:right w:val="nil"/>
            </w:tcBorders>
          </w:tcPr>
          <w:p w14:paraId="1BED6E9C" w14:textId="77777777" w:rsidR="00050686" w:rsidRPr="00C47F2F" w:rsidRDefault="00050686" w:rsidP="00CF5D66">
            <w:pPr>
              <w:jc w:val="left"/>
              <w:rPr>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884" w:type="dxa"/>
            <w:tcBorders>
              <w:top w:val="nil"/>
              <w:left w:val="nil"/>
              <w:bottom w:val="nil"/>
              <w:right w:val="nil"/>
            </w:tcBorders>
          </w:tcPr>
          <w:p w14:paraId="7EB91861"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6.1E-09</w:t>
            </w:r>
          </w:p>
        </w:tc>
        <w:tc>
          <w:tcPr>
            <w:tcW w:w="885" w:type="dxa"/>
            <w:tcBorders>
              <w:top w:val="nil"/>
              <w:left w:val="nil"/>
              <w:bottom w:val="nil"/>
              <w:right w:val="nil"/>
            </w:tcBorders>
          </w:tcPr>
          <w:p w14:paraId="1DE94CE8"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4.2E-09</w:t>
            </w:r>
          </w:p>
        </w:tc>
        <w:tc>
          <w:tcPr>
            <w:tcW w:w="885" w:type="dxa"/>
            <w:tcBorders>
              <w:top w:val="nil"/>
              <w:left w:val="nil"/>
              <w:bottom w:val="nil"/>
              <w:right w:val="nil"/>
            </w:tcBorders>
          </w:tcPr>
          <w:p w14:paraId="1A3829F0"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1.8E-09</w:t>
            </w:r>
          </w:p>
        </w:tc>
        <w:tc>
          <w:tcPr>
            <w:tcW w:w="884" w:type="dxa"/>
            <w:tcBorders>
              <w:top w:val="nil"/>
              <w:left w:val="nil"/>
              <w:bottom w:val="nil"/>
              <w:right w:val="nil"/>
            </w:tcBorders>
          </w:tcPr>
          <w:p w14:paraId="77ADA4DD"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1.0E-09</w:t>
            </w:r>
          </w:p>
        </w:tc>
        <w:tc>
          <w:tcPr>
            <w:tcW w:w="885" w:type="dxa"/>
            <w:tcBorders>
              <w:top w:val="nil"/>
              <w:left w:val="nil"/>
              <w:bottom w:val="nil"/>
              <w:right w:val="nil"/>
            </w:tcBorders>
          </w:tcPr>
          <w:p w14:paraId="5B9AB9D4"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8.1E-10</w:t>
            </w:r>
          </w:p>
        </w:tc>
        <w:tc>
          <w:tcPr>
            <w:tcW w:w="885" w:type="dxa"/>
            <w:tcBorders>
              <w:top w:val="nil"/>
              <w:left w:val="nil"/>
              <w:bottom w:val="nil"/>
              <w:right w:val="nil"/>
            </w:tcBorders>
          </w:tcPr>
          <w:p w14:paraId="59D7EA7B"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8.6E-10</w:t>
            </w:r>
          </w:p>
        </w:tc>
      </w:tr>
      <w:tr w:rsidR="00A41AD1" w:rsidRPr="00972C81" w14:paraId="47DFDD8D" w14:textId="77777777" w:rsidTr="00CF5D66">
        <w:trPr>
          <w:trHeight w:val="340"/>
        </w:trPr>
        <w:tc>
          <w:tcPr>
            <w:tcW w:w="3719" w:type="dxa"/>
            <w:tcBorders>
              <w:top w:val="nil"/>
              <w:left w:val="nil"/>
              <w:bottom w:val="nil"/>
              <w:right w:val="nil"/>
            </w:tcBorders>
          </w:tcPr>
          <w:p w14:paraId="26287DCE" w14:textId="77777777" w:rsidR="00050686" w:rsidRPr="00C47F2F" w:rsidRDefault="00050686" w:rsidP="00CF5D66">
            <w:pPr>
              <w:jc w:val="left"/>
              <w:rPr>
                <w:noProof/>
                <w:sz w:val="22"/>
                <w:szCs w:val="22"/>
              </w:rPr>
            </w:pPr>
            <w:r w:rsidRPr="00C47F2F">
              <w:rPr>
                <w:noProof/>
                <w:sz w:val="22"/>
                <w:szCs w:val="22"/>
              </w:rPr>
              <w:t>Type M</w:t>
            </w:r>
          </w:p>
        </w:tc>
        <w:tc>
          <w:tcPr>
            <w:tcW w:w="884" w:type="dxa"/>
            <w:tcBorders>
              <w:top w:val="nil"/>
              <w:left w:val="nil"/>
              <w:bottom w:val="nil"/>
              <w:right w:val="nil"/>
            </w:tcBorders>
          </w:tcPr>
          <w:p w14:paraId="7A6F141C"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5.5E-09</w:t>
            </w:r>
          </w:p>
        </w:tc>
        <w:tc>
          <w:tcPr>
            <w:tcW w:w="885" w:type="dxa"/>
            <w:tcBorders>
              <w:top w:val="nil"/>
              <w:left w:val="nil"/>
              <w:bottom w:val="nil"/>
              <w:right w:val="nil"/>
            </w:tcBorders>
          </w:tcPr>
          <w:p w14:paraId="126372EE"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4.4E-09</w:t>
            </w:r>
          </w:p>
        </w:tc>
        <w:tc>
          <w:tcPr>
            <w:tcW w:w="885" w:type="dxa"/>
            <w:tcBorders>
              <w:top w:val="nil"/>
              <w:left w:val="nil"/>
              <w:bottom w:val="nil"/>
              <w:right w:val="nil"/>
            </w:tcBorders>
          </w:tcPr>
          <w:p w14:paraId="0C3CD893"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2.2E-09</w:t>
            </w:r>
          </w:p>
        </w:tc>
        <w:tc>
          <w:tcPr>
            <w:tcW w:w="884" w:type="dxa"/>
            <w:tcBorders>
              <w:top w:val="nil"/>
              <w:left w:val="nil"/>
              <w:bottom w:val="nil"/>
              <w:right w:val="nil"/>
            </w:tcBorders>
          </w:tcPr>
          <w:p w14:paraId="154D3727"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1.4E-09</w:t>
            </w:r>
          </w:p>
        </w:tc>
        <w:tc>
          <w:tcPr>
            <w:tcW w:w="885" w:type="dxa"/>
            <w:tcBorders>
              <w:top w:val="nil"/>
              <w:left w:val="nil"/>
              <w:bottom w:val="nil"/>
              <w:right w:val="nil"/>
            </w:tcBorders>
          </w:tcPr>
          <w:p w14:paraId="4E498C0A"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1.1E-09</w:t>
            </w:r>
          </w:p>
        </w:tc>
        <w:tc>
          <w:tcPr>
            <w:tcW w:w="885" w:type="dxa"/>
            <w:tcBorders>
              <w:top w:val="nil"/>
              <w:left w:val="nil"/>
              <w:bottom w:val="nil"/>
              <w:right w:val="nil"/>
            </w:tcBorders>
          </w:tcPr>
          <w:p w14:paraId="768E304C"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1.1E-09</w:t>
            </w:r>
          </w:p>
        </w:tc>
      </w:tr>
      <w:tr w:rsidR="00050686" w:rsidRPr="00972C81" w14:paraId="7A12D8E0" w14:textId="77777777" w:rsidTr="00CF5D66">
        <w:trPr>
          <w:trHeight w:val="340"/>
        </w:trPr>
        <w:tc>
          <w:tcPr>
            <w:tcW w:w="3719" w:type="dxa"/>
            <w:tcBorders>
              <w:top w:val="nil"/>
              <w:left w:val="nil"/>
              <w:bottom w:val="single" w:sz="4" w:space="0" w:color="auto"/>
              <w:right w:val="nil"/>
            </w:tcBorders>
          </w:tcPr>
          <w:p w14:paraId="7243537F" w14:textId="77777777" w:rsidR="00050686" w:rsidRPr="00C47F2F" w:rsidRDefault="00050686" w:rsidP="00CF5D66">
            <w:pPr>
              <w:jc w:val="left"/>
              <w:rPr>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884" w:type="dxa"/>
            <w:tcBorders>
              <w:top w:val="nil"/>
              <w:left w:val="nil"/>
              <w:bottom w:val="single" w:sz="4" w:space="0" w:color="auto"/>
              <w:right w:val="nil"/>
            </w:tcBorders>
          </w:tcPr>
          <w:p w14:paraId="1BE710D9"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5.6E-09</w:t>
            </w:r>
          </w:p>
        </w:tc>
        <w:tc>
          <w:tcPr>
            <w:tcW w:w="885" w:type="dxa"/>
            <w:tcBorders>
              <w:top w:val="nil"/>
              <w:left w:val="nil"/>
              <w:bottom w:val="single" w:sz="4" w:space="0" w:color="auto"/>
              <w:right w:val="nil"/>
            </w:tcBorders>
          </w:tcPr>
          <w:p w14:paraId="0A7E02EB"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5.0E-09</w:t>
            </w:r>
          </w:p>
        </w:tc>
        <w:tc>
          <w:tcPr>
            <w:tcW w:w="885" w:type="dxa"/>
            <w:tcBorders>
              <w:top w:val="nil"/>
              <w:left w:val="nil"/>
              <w:bottom w:val="single" w:sz="4" w:space="0" w:color="auto"/>
              <w:right w:val="nil"/>
            </w:tcBorders>
          </w:tcPr>
          <w:p w14:paraId="1F4299AF"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2.8E-09</w:t>
            </w:r>
          </w:p>
        </w:tc>
        <w:tc>
          <w:tcPr>
            <w:tcW w:w="884" w:type="dxa"/>
            <w:tcBorders>
              <w:top w:val="nil"/>
              <w:left w:val="nil"/>
              <w:bottom w:val="single" w:sz="4" w:space="0" w:color="auto"/>
              <w:right w:val="nil"/>
            </w:tcBorders>
          </w:tcPr>
          <w:p w14:paraId="590E9DC6"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1.9E-09</w:t>
            </w:r>
          </w:p>
        </w:tc>
        <w:tc>
          <w:tcPr>
            <w:tcW w:w="885" w:type="dxa"/>
            <w:tcBorders>
              <w:top w:val="nil"/>
              <w:left w:val="nil"/>
              <w:bottom w:val="single" w:sz="4" w:space="0" w:color="auto"/>
              <w:right w:val="nil"/>
            </w:tcBorders>
          </w:tcPr>
          <w:p w14:paraId="20C78E8C"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1.4E-09</w:t>
            </w:r>
          </w:p>
        </w:tc>
        <w:tc>
          <w:tcPr>
            <w:tcW w:w="885" w:type="dxa"/>
            <w:tcBorders>
              <w:top w:val="nil"/>
              <w:left w:val="nil"/>
              <w:bottom w:val="single" w:sz="4" w:space="0" w:color="auto"/>
              <w:right w:val="nil"/>
            </w:tcBorders>
          </w:tcPr>
          <w:p w14:paraId="22B44DA1"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1.5E-09</w:t>
            </w:r>
          </w:p>
        </w:tc>
      </w:tr>
      <w:tr w:rsidR="00A41AD1" w:rsidRPr="00972C81" w14:paraId="1110952B" w14:textId="77777777" w:rsidTr="00CF5D66">
        <w:trPr>
          <w:trHeight w:val="340"/>
        </w:trPr>
        <w:tc>
          <w:tcPr>
            <w:tcW w:w="3719" w:type="dxa"/>
            <w:tcBorders>
              <w:top w:val="single" w:sz="4" w:space="0" w:color="auto"/>
              <w:left w:val="nil"/>
              <w:bottom w:val="single" w:sz="4" w:space="0" w:color="auto"/>
              <w:right w:val="nil"/>
            </w:tcBorders>
          </w:tcPr>
          <w:p w14:paraId="4016FCD7" w14:textId="77777777" w:rsidR="00050686" w:rsidRPr="00C47F2F" w:rsidRDefault="00050686" w:rsidP="00C47F2F">
            <w:pPr>
              <w:jc w:val="left"/>
              <w:rPr>
                <w:noProof/>
                <w:sz w:val="22"/>
                <w:szCs w:val="22"/>
              </w:rPr>
            </w:pPr>
          </w:p>
          <w:p w14:paraId="4CEE9A7F" w14:textId="77777777" w:rsidR="00050686" w:rsidRPr="00C47F2F" w:rsidRDefault="00050686" w:rsidP="00C47F2F">
            <w:pPr>
              <w:jc w:val="left"/>
              <w:rPr>
                <w:noProof/>
                <w:sz w:val="22"/>
                <w:szCs w:val="22"/>
              </w:rPr>
            </w:pPr>
            <w:r w:rsidRPr="00C47F2F">
              <w:rPr>
                <w:noProof/>
                <w:sz w:val="22"/>
                <w:szCs w:val="22"/>
              </w:rPr>
              <w:t>Ingested materials</w:t>
            </w:r>
          </w:p>
        </w:tc>
        <w:tc>
          <w:tcPr>
            <w:tcW w:w="884" w:type="dxa"/>
            <w:tcBorders>
              <w:top w:val="single" w:sz="4" w:space="0" w:color="auto"/>
              <w:left w:val="nil"/>
              <w:bottom w:val="single" w:sz="4" w:space="0" w:color="auto"/>
              <w:right w:val="nil"/>
            </w:tcBorders>
          </w:tcPr>
          <w:p w14:paraId="78A9E488" w14:textId="77777777" w:rsidR="00050686" w:rsidRPr="00C47F2F" w:rsidRDefault="00050686" w:rsidP="00C47F2F">
            <w:pPr>
              <w:jc w:val="left"/>
              <w:rPr>
                <w:rFonts w:eastAsia="Times New Roman"/>
                <w:noProof/>
                <w:color w:val="000000"/>
                <w:sz w:val="22"/>
                <w:szCs w:val="22"/>
              </w:rPr>
            </w:pPr>
          </w:p>
        </w:tc>
        <w:tc>
          <w:tcPr>
            <w:tcW w:w="885" w:type="dxa"/>
            <w:tcBorders>
              <w:top w:val="single" w:sz="4" w:space="0" w:color="auto"/>
              <w:left w:val="nil"/>
              <w:bottom w:val="single" w:sz="4" w:space="0" w:color="auto"/>
              <w:right w:val="nil"/>
            </w:tcBorders>
          </w:tcPr>
          <w:p w14:paraId="28B132EA" w14:textId="77777777" w:rsidR="00050686" w:rsidRPr="00C47F2F" w:rsidRDefault="00050686" w:rsidP="00C47F2F">
            <w:pPr>
              <w:jc w:val="left"/>
              <w:rPr>
                <w:rFonts w:eastAsia="Times New Roman"/>
                <w:noProof/>
                <w:color w:val="000000"/>
                <w:sz w:val="22"/>
                <w:szCs w:val="22"/>
              </w:rPr>
            </w:pPr>
          </w:p>
        </w:tc>
        <w:tc>
          <w:tcPr>
            <w:tcW w:w="885" w:type="dxa"/>
            <w:tcBorders>
              <w:top w:val="single" w:sz="4" w:space="0" w:color="auto"/>
              <w:left w:val="nil"/>
              <w:bottom w:val="single" w:sz="4" w:space="0" w:color="auto"/>
              <w:right w:val="nil"/>
            </w:tcBorders>
          </w:tcPr>
          <w:p w14:paraId="30FAF813" w14:textId="77777777" w:rsidR="00050686" w:rsidRPr="00C47F2F" w:rsidRDefault="00050686" w:rsidP="00C47F2F">
            <w:pPr>
              <w:jc w:val="left"/>
              <w:rPr>
                <w:rFonts w:eastAsia="Times New Roman"/>
                <w:noProof/>
                <w:color w:val="000000"/>
                <w:sz w:val="22"/>
                <w:szCs w:val="22"/>
              </w:rPr>
            </w:pPr>
          </w:p>
        </w:tc>
        <w:tc>
          <w:tcPr>
            <w:tcW w:w="884" w:type="dxa"/>
            <w:tcBorders>
              <w:top w:val="single" w:sz="4" w:space="0" w:color="auto"/>
              <w:left w:val="nil"/>
              <w:bottom w:val="single" w:sz="4" w:space="0" w:color="auto"/>
              <w:right w:val="nil"/>
            </w:tcBorders>
          </w:tcPr>
          <w:p w14:paraId="270BCC2B" w14:textId="77777777" w:rsidR="00050686" w:rsidRPr="00C47F2F" w:rsidRDefault="00050686" w:rsidP="00C47F2F">
            <w:pPr>
              <w:jc w:val="left"/>
              <w:rPr>
                <w:rFonts w:eastAsia="Times New Roman"/>
                <w:noProof/>
                <w:color w:val="000000"/>
                <w:sz w:val="22"/>
                <w:szCs w:val="22"/>
              </w:rPr>
            </w:pPr>
          </w:p>
        </w:tc>
        <w:tc>
          <w:tcPr>
            <w:tcW w:w="885" w:type="dxa"/>
            <w:tcBorders>
              <w:top w:val="single" w:sz="4" w:space="0" w:color="auto"/>
              <w:left w:val="nil"/>
              <w:bottom w:val="single" w:sz="4" w:space="0" w:color="auto"/>
              <w:right w:val="nil"/>
            </w:tcBorders>
          </w:tcPr>
          <w:p w14:paraId="0AA44A3E" w14:textId="77777777" w:rsidR="00050686" w:rsidRPr="00C47F2F" w:rsidRDefault="00050686" w:rsidP="00C47F2F">
            <w:pPr>
              <w:jc w:val="left"/>
              <w:rPr>
                <w:rFonts w:eastAsia="Times New Roman"/>
                <w:noProof/>
                <w:color w:val="000000"/>
                <w:sz w:val="22"/>
                <w:szCs w:val="22"/>
              </w:rPr>
            </w:pPr>
          </w:p>
        </w:tc>
        <w:tc>
          <w:tcPr>
            <w:tcW w:w="885" w:type="dxa"/>
            <w:tcBorders>
              <w:top w:val="single" w:sz="4" w:space="0" w:color="auto"/>
              <w:left w:val="nil"/>
              <w:bottom w:val="single" w:sz="4" w:space="0" w:color="auto"/>
              <w:right w:val="nil"/>
            </w:tcBorders>
          </w:tcPr>
          <w:p w14:paraId="5BC0DDFA" w14:textId="77777777" w:rsidR="00050686" w:rsidRPr="00C47F2F" w:rsidRDefault="00050686" w:rsidP="00C47F2F">
            <w:pPr>
              <w:jc w:val="left"/>
              <w:rPr>
                <w:rFonts w:eastAsia="Times New Roman"/>
                <w:noProof/>
                <w:color w:val="000000"/>
                <w:sz w:val="22"/>
                <w:szCs w:val="22"/>
              </w:rPr>
            </w:pPr>
          </w:p>
        </w:tc>
      </w:tr>
      <w:tr w:rsidR="00050686" w:rsidRPr="00972C81" w14:paraId="5B69741E" w14:textId="77777777" w:rsidTr="00CF5D66">
        <w:trPr>
          <w:trHeight w:val="340"/>
        </w:trPr>
        <w:tc>
          <w:tcPr>
            <w:tcW w:w="3719" w:type="dxa"/>
            <w:tcBorders>
              <w:top w:val="single" w:sz="4" w:space="0" w:color="auto"/>
              <w:left w:val="nil"/>
              <w:bottom w:val="single" w:sz="4" w:space="0" w:color="auto"/>
              <w:right w:val="nil"/>
            </w:tcBorders>
            <w:vAlign w:val="center"/>
          </w:tcPr>
          <w:p w14:paraId="443741D3" w14:textId="4C60CB93" w:rsidR="00050686" w:rsidRPr="00C47F2F" w:rsidRDefault="00050686" w:rsidP="00CF5D66">
            <w:pPr>
              <w:jc w:val="left"/>
              <w:rPr>
                <w:noProof/>
                <w:sz w:val="22"/>
                <w:szCs w:val="22"/>
              </w:rPr>
            </w:pPr>
            <w:r w:rsidRPr="00C47F2F">
              <w:rPr>
                <w:rFonts w:eastAsia="Times New Roman"/>
                <w:noProof/>
                <w:color w:val="000000"/>
                <w:sz w:val="22"/>
                <w:szCs w:val="22"/>
                <w:lang w:eastAsia="en-GB"/>
              </w:rPr>
              <w:t>All compounds</w:t>
            </w:r>
          </w:p>
        </w:tc>
        <w:tc>
          <w:tcPr>
            <w:tcW w:w="884" w:type="dxa"/>
            <w:tcBorders>
              <w:top w:val="single" w:sz="4" w:space="0" w:color="auto"/>
              <w:left w:val="nil"/>
              <w:bottom w:val="single" w:sz="4" w:space="0" w:color="auto"/>
              <w:right w:val="nil"/>
            </w:tcBorders>
            <w:vAlign w:val="center"/>
          </w:tcPr>
          <w:p w14:paraId="16E52621"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6.0E-10</w:t>
            </w:r>
          </w:p>
        </w:tc>
        <w:tc>
          <w:tcPr>
            <w:tcW w:w="885" w:type="dxa"/>
            <w:tcBorders>
              <w:top w:val="single" w:sz="4" w:space="0" w:color="auto"/>
              <w:left w:val="nil"/>
              <w:bottom w:val="single" w:sz="4" w:space="0" w:color="auto"/>
              <w:right w:val="nil"/>
            </w:tcBorders>
            <w:vAlign w:val="center"/>
          </w:tcPr>
          <w:p w14:paraId="6FF477BB"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3.4E-10</w:t>
            </w:r>
          </w:p>
        </w:tc>
        <w:tc>
          <w:tcPr>
            <w:tcW w:w="885" w:type="dxa"/>
            <w:tcBorders>
              <w:top w:val="single" w:sz="4" w:space="0" w:color="auto"/>
              <w:left w:val="nil"/>
              <w:bottom w:val="single" w:sz="4" w:space="0" w:color="auto"/>
              <w:right w:val="nil"/>
            </w:tcBorders>
            <w:vAlign w:val="center"/>
          </w:tcPr>
          <w:p w14:paraId="10A24689"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1.9E-10</w:t>
            </w:r>
          </w:p>
        </w:tc>
        <w:tc>
          <w:tcPr>
            <w:tcW w:w="884" w:type="dxa"/>
            <w:tcBorders>
              <w:top w:val="single" w:sz="4" w:space="0" w:color="auto"/>
              <w:left w:val="nil"/>
              <w:bottom w:val="single" w:sz="4" w:space="0" w:color="auto"/>
              <w:right w:val="nil"/>
            </w:tcBorders>
            <w:vAlign w:val="center"/>
          </w:tcPr>
          <w:p w14:paraId="3C78A427"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1.3E-10</w:t>
            </w:r>
          </w:p>
        </w:tc>
        <w:tc>
          <w:tcPr>
            <w:tcW w:w="885" w:type="dxa"/>
            <w:tcBorders>
              <w:top w:val="single" w:sz="4" w:space="0" w:color="auto"/>
              <w:left w:val="nil"/>
              <w:bottom w:val="single" w:sz="4" w:space="0" w:color="auto"/>
              <w:right w:val="nil"/>
            </w:tcBorders>
            <w:vAlign w:val="center"/>
          </w:tcPr>
          <w:p w14:paraId="7B3E3059"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9.1E-11</w:t>
            </w:r>
          </w:p>
        </w:tc>
        <w:tc>
          <w:tcPr>
            <w:tcW w:w="885" w:type="dxa"/>
            <w:tcBorders>
              <w:top w:val="single" w:sz="4" w:space="0" w:color="auto"/>
              <w:left w:val="nil"/>
              <w:bottom w:val="single" w:sz="4" w:space="0" w:color="auto"/>
              <w:right w:val="nil"/>
            </w:tcBorders>
            <w:vAlign w:val="center"/>
          </w:tcPr>
          <w:p w14:paraId="1BD1D1C7" w14:textId="77777777" w:rsidR="00050686" w:rsidRPr="00C47F2F" w:rsidRDefault="00050686" w:rsidP="00CF5D66">
            <w:pPr>
              <w:jc w:val="left"/>
              <w:rPr>
                <w:rFonts w:eastAsia="Times New Roman"/>
                <w:noProof/>
                <w:color w:val="000000"/>
                <w:sz w:val="22"/>
                <w:szCs w:val="22"/>
              </w:rPr>
            </w:pPr>
            <w:r w:rsidRPr="00C47F2F">
              <w:rPr>
                <w:rFonts w:eastAsia="Times New Roman"/>
                <w:noProof/>
                <w:color w:val="000000"/>
                <w:sz w:val="22"/>
                <w:szCs w:val="22"/>
              </w:rPr>
              <w:t>8.8E-11</w:t>
            </w:r>
          </w:p>
        </w:tc>
      </w:tr>
    </w:tbl>
    <w:p w14:paraId="01A4BBBD" w14:textId="77777777" w:rsidR="00AE7A83" w:rsidRPr="00972C81" w:rsidRDefault="00AE7A83" w:rsidP="001C4A92">
      <w:pPr>
        <w:pStyle w:val="Annalstext"/>
        <w:numPr>
          <w:ilvl w:val="0"/>
          <w:numId w:val="0"/>
        </w:numPr>
        <w:ind w:left="360"/>
        <w:rPr>
          <w:noProof/>
        </w:rPr>
      </w:pPr>
    </w:p>
    <w:p w14:paraId="4D5FBF5E" w14:textId="0EFB1C33" w:rsidR="00050686" w:rsidRPr="00972C81" w:rsidRDefault="00050686" w:rsidP="00E22882">
      <w:pPr>
        <w:pStyle w:val="ab"/>
        <w:rPr>
          <w:noProof/>
          <w:sz w:val="24"/>
          <w:szCs w:val="24"/>
        </w:rPr>
      </w:pPr>
      <w:r w:rsidRPr="00972C81">
        <w:rPr>
          <w:noProof/>
          <w:sz w:val="24"/>
          <w:szCs w:val="24"/>
        </w:rPr>
        <w:t>Table 3.</w:t>
      </w:r>
      <w:r w:rsidR="00E22882" w:rsidRPr="00972C81">
        <w:rPr>
          <w:noProof/>
          <w:sz w:val="24"/>
          <w:szCs w:val="24"/>
        </w:rPr>
        <w:t>5</w:t>
      </w:r>
      <w:r w:rsidRPr="00972C81">
        <w:rPr>
          <w:noProof/>
          <w:sz w:val="24"/>
          <w:szCs w:val="24"/>
        </w:rPr>
        <w:t>.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141</w:t>
      </w:r>
      <w:r w:rsidRPr="00972C81">
        <w:rPr>
          <w:noProof/>
          <w:sz w:val="24"/>
          <w:szCs w:val="24"/>
        </w:rPr>
        <w:t>Ce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19"/>
        <w:gridCol w:w="884"/>
        <w:gridCol w:w="885"/>
        <w:gridCol w:w="885"/>
        <w:gridCol w:w="884"/>
        <w:gridCol w:w="885"/>
        <w:gridCol w:w="885"/>
      </w:tblGrid>
      <w:tr w:rsidR="00E22882" w:rsidRPr="00A3213E" w14:paraId="63171BCA" w14:textId="77777777" w:rsidTr="00CF5D66">
        <w:trPr>
          <w:trHeight w:val="340"/>
        </w:trPr>
        <w:tc>
          <w:tcPr>
            <w:tcW w:w="3719" w:type="dxa"/>
            <w:vMerge w:val="restart"/>
            <w:tcBorders>
              <w:top w:val="single" w:sz="4" w:space="0" w:color="auto"/>
              <w:left w:val="nil"/>
              <w:bottom w:val="single" w:sz="4" w:space="0" w:color="auto"/>
              <w:right w:val="nil"/>
            </w:tcBorders>
            <w:vAlign w:val="bottom"/>
            <w:hideMark/>
          </w:tcPr>
          <w:p w14:paraId="7548F667" w14:textId="77777777" w:rsidR="00E424DA" w:rsidRPr="00C47F2F" w:rsidRDefault="00E22882" w:rsidP="00C47F2F">
            <w:pPr>
              <w:pStyle w:val="a5"/>
              <w:tabs>
                <w:tab w:val="clear" w:pos="4153"/>
                <w:tab w:val="clear" w:pos="8306"/>
              </w:tabs>
              <w:jc w:val="left"/>
              <w:rPr>
                <w:noProof/>
                <w:sz w:val="22"/>
                <w:szCs w:val="22"/>
              </w:rPr>
            </w:pPr>
            <w:r w:rsidRPr="00C47F2F">
              <w:rPr>
                <w:noProof/>
                <w:sz w:val="22"/>
                <w:szCs w:val="22"/>
              </w:rPr>
              <w:t>Inhaled particulate materials</w:t>
            </w:r>
          </w:p>
          <w:p w14:paraId="1DA36AF8" w14:textId="386E9753" w:rsidR="00E22882" w:rsidRPr="00F4508E" w:rsidRDefault="00E22882" w:rsidP="00C47F2F">
            <w:pPr>
              <w:pStyle w:val="a5"/>
              <w:tabs>
                <w:tab w:val="clear" w:pos="4153"/>
                <w:tab w:val="clear" w:pos="8306"/>
              </w:tabs>
              <w:jc w:val="left"/>
              <w:rPr>
                <w:noProof/>
                <w:sz w:val="22"/>
                <w:szCs w:val="22"/>
              </w:rPr>
            </w:pPr>
            <w:r w:rsidRPr="00C47F2F">
              <w:rPr>
                <w:noProof/>
                <w:sz w:val="22"/>
                <w:szCs w:val="22"/>
              </w:rPr>
              <w:t>(1 µm AMAD aerosols)</w:t>
            </w:r>
          </w:p>
        </w:tc>
        <w:tc>
          <w:tcPr>
            <w:tcW w:w="5308" w:type="dxa"/>
            <w:gridSpan w:val="6"/>
            <w:tcBorders>
              <w:top w:val="single" w:sz="4" w:space="0" w:color="auto"/>
              <w:left w:val="nil"/>
              <w:bottom w:val="single" w:sz="4" w:space="0" w:color="auto"/>
              <w:right w:val="nil"/>
            </w:tcBorders>
            <w:vAlign w:val="center"/>
            <w:hideMark/>
          </w:tcPr>
          <w:p w14:paraId="214B5C0D" w14:textId="77777777" w:rsidR="00E22882" w:rsidRPr="00C47F2F" w:rsidRDefault="00E22882" w:rsidP="00CF5D66">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E22882" w:rsidRPr="00972C81" w14:paraId="6616249E" w14:textId="77777777" w:rsidTr="00CF5D66">
        <w:trPr>
          <w:trHeight w:val="340"/>
        </w:trPr>
        <w:tc>
          <w:tcPr>
            <w:tcW w:w="3719" w:type="dxa"/>
            <w:vMerge/>
            <w:tcBorders>
              <w:top w:val="single" w:sz="4" w:space="0" w:color="auto"/>
              <w:left w:val="nil"/>
              <w:bottom w:val="single" w:sz="4" w:space="0" w:color="auto"/>
              <w:right w:val="nil"/>
            </w:tcBorders>
            <w:vAlign w:val="center"/>
            <w:hideMark/>
          </w:tcPr>
          <w:p w14:paraId="0891EFA6" w14:textId="77777777" w:rsidR="00E22882" w:rsidRPr="00F4508E" w:rsidRDefault="00E22882">
            <w:pPr>
              <w:rPr>
                <w:noProof/>
                <w:sz w:val="22"/>
                <w:szCs w:val="22"/>
                <w:lang w:val="fr-FR"/>
              </w:rPr>
            </w:pPr>
          </w:p>
        </w:tc>
        <w:tc>
          <w:tcPr>
            <w:tcW w:w="884" w:type="dxa"/>
            <w:tcBorders>
              <w:top w:val="single" w:sz="4" w:space="0" w:color="auto"/>
              <w:left w:val="nil"/>
              <w:bottom w:val="single" w:sz="4" w:space="0" w:color="auto"/>
              <w:right w:val="nil"/>
            </w:tcBorders>
            <w:vAlign w:val="center"/>
            <w:hideMark/>
          </w:tcPr>
          <w:p w14:paraId="61A36FEC" w14:textId="230457E1" w:rsidR="00E22882" w:rsidRPr="00C47F2F" w:rsidRDefault="00E22882" w:rsidP="00CF5D66">
            <w:pPr>
              <w:jc w:val="left"/>
              <w:rPr>
                <w:noProof/>
                <w:sz w:val="22"/>
                <w:szCs w:val="22"/>
              </w:rPr>
            </w:pPr>
            <w:r w:rsidRPr="00C47F2F">
              <w:rPr>
                <w:noProof/>
                <w:sz w:val="22"/>
                <w:szCs w:val="22"/>
              </w:rPr>
              <w:t>3</w:t>
            </w:r>
            <w:r w:rsidR="00365B5B">
              <w:rPr>
                <w:rFonts w:hint="eastAsia"/>
                <w:noProof/>
                <w:sz w:val="22"/>
                <w:szCs w:val="22"/>
                <w:lang w:eastAsia="ko-KR"/>
              </w:rPr>
              <w:t xml:space="preserve"> </w:t>
            </w:r>
            <w:r w:rsidRPr="00C47F2F">
              <w:rPr>
                <w:noProof/>
                <w:sz w:val="22"/>
                <w:szCs w:val="22"/>
              </w:rPr>
              <w:t>m</w:t>
            </w:r>
            <w:r w:rsidR="001A483B">
              <w:rPr>
                <w:noProof/>
                <w:sz w:val="22"/>
                <w:szCs w:val="22"/>
              </w:rPr>
              <w:t>o</w:t>
            </w:r>
          </w:p>
        </w:tc>
        <w:tc>
          <w:tcPr>
            <w:tcW w:w="885" w:type="dxa"/>
            <w:tcBorders>
              <w:top w:val="single" w:sz="4" w:space="0" w:color="auto"/>
              <w:left w:val="nil"/>
              <w:bottom w:val="single" w:sz="4" w:space="0" w:color="auto"/>
              <w:right w:val="nil"/>
            </w:tcBorders>
            <w:vAlign w:val="center"/>
            <w:hideMark/>
          </w:tcPr>
          <w:p w14:paraId="5609888D" w14:textId="4063A8F9" w:rsidR="00E22882" w:rsidRPr="00C47F2F" w:rsidRDefault="00E22882" w:rsidP="00CF5D66">
            <w:pPr>
              <w:jc w:val="left"/>
              <w:rPr>
                <w:noProof/>
                <w:sz w:val="22"/>
                <w:szCs w:val="22"/>
              </w:rPr>
            </w:pPr>
            <w:r w:rsidRPr="00C47F2F">
              <w:rPr>
                <w:noProof/>
                <w:sz w:val="22"/>
                <w:szCs w:val="22"/>
              </w:rPr>
              <w:t>1</w:t>
            </w:r>
            <w:r w:rsidR="00365B5B">
              <w:rPr>
                <w:rFonts w:hint="eastAsia"/>
                <w:noProof/>
                <w:sz w:val="22"/>
                <w:szCs w:val="22"/>
                <w:lang w:eastAsia="ko-KR"/>
              </w:rPr>
              <w:t xml:space="preserve"> </w:t>
            </w:r>
            <w:r w:rsidRPr="00C47F2F">
              <w:rPr>
                <w:noProof/>
                <w:sz w:val="22"/>
                <w:szCs w:val="22"/>
              </w:rPr>
              <w:t>y</w:t>
            </w:r>
          </w:p>
        </w:tc>
        <w:tc>
          <w:tcPr>
            <w:tcW w:w="885" w:type="dxa"/>
            <w:tcBorders>
              <w:top w:val="single" w:sz="4" w:space="0" w:color="auto"/>
              <w:left w:val="nil"/>
              <w:bottom w:val="single" w:sz="4" w:space="0" w:color="auto"/>
              <w:right w:val="nil"/>
            </w:tcBorders>
            <w:vAlign w:val="center"/>
            <w:hideMark/>
          </w:tcPr>
          <w:p w14:paraId="46C85E91" w14:textId="1A38F343" w:rsidR="00E22882" w:rsidRPr="00C47F2F" w:rsidRDefault="00E22882" w:rsidP="00CF5D66">
            <w:pPr>
              <w:jc w:val="left"/>
              <w:rPr>
                <w:noProof/>
                <w:sz w:val="22"/>
                <w:szCs w:val="22"/>
              </w:rPr>
            </w:pPr>
            <w:r w:rsidRPr="00C47F2F">
              <w:rPr>
                <w:noProof/>
                <w:sz w:val="22"/>
                <w:szCs w:val="22"/>
              </w:rPr>
              <w:t>5</w:t>
            </w:r>
            <w:r w:rsidR="00365B5B">
              <w:rPr>
                <w:rFonts w:hint="eastAsia"/>
                <w:noProof/>
                <w:sz w:val="22"/>
                <w:szCs w:val="22"/>
                <w:lang w:eastAsia="ko-KR"/>
              </w:rPr>
              <w:t xml:space="preserve"> </w:t>
            </w:r>
            <w:r w:rsidRPr="00C47F2F">
              <w:rPr>
                <w:noProof/>
                <w:sz w:val="22"/>
                <w:szCs w:val="22"/>
              </w:rPr>
              <w:t>y</w:t>
            </w:r>
          </w:p>
        </w:tc>
        <w:tc>
          <w:tcPr>
            <w:tcW w:w="884" w:type="dxa"/>
            <w:tcBorders>
              <w:top w:val="single" w:sz="4" w:space="0" w:color="auto"/>
              <w:left w:val="nil"/>
              <w:bottom w:val="single" w:sz="4" w:space="0" w:color="auto"/>
              <w:right w:val="nil"/>
            </w:tcBorders>
            <w:vAlign w:val="center"/>
            <w:hideMark/>
          </w:tcPr>
          <w:p w14:paraId="0FE0B63F" w14:textId="64DBE981" w:rsidR="00E22882" w:rsidRPr="00C47F2F" w:rsidRDefault="00E22882" w:rsidP="00CF5D66">
            <w:pPr>
              <w:jc w:val="left"/>
              <w:rPr>
                <w:noProof/>
                <w:sz w:val="22"/>
                <w:szCs w:val="22"/>
              </w:rPr>
            </w:pPr>
            <w:r w:rsidRPr="00C47F2F">
              <w:rPr>
                <w:noProof/>
                <w:sz w:val="22"/>
                <w:szCs w:val="22"/>
              </w:rPr>
              <w:t>10</w:t>
            </w:r>
            <w:r w:rsidR="00365B5B">
              <w:rPr>
                <w:rFonts w:hint="eastAsia"/>
                <w:noProof/>
                <w:sz w:val="22"/>
                <w:szCs w:val="22"/>
                <w:lang w:eastAsia="ko-KR"/>
              </w:rPr>
              <w:t xml:space="preserve"> </w:t>
            </w:r>
            <w:r w:rsidRPr="00C47F2F">
              <w:rPr>
                <w:noProof/>
                <w:sz w:val="22"/>
                <w:szCs w:val="22"/>
              </w:rPr>
              <w:t>y</w:t>
            </w:r>
          </w:p>
        </w:tc>
        <w:tc>
          <w:tcPr>
            <w:tcW w:w="885" w:type="dxa"/>
            <w:tcBorders>
              <w:top w:val="single" w:sz="4" w:space="0" w:color="auto"/>
              <w:left w:val="nil"/>
              <w:bottom w:val="single" w:sz="4" w:space="0" w:color="auto"/>
              <w:right w:val="nil"/>
            </w:tcBorders>
            <w:vAlign w:val="center"/>
            <w:hideMark/>
          </w:tcPr>
          <w:p w14:paraId="3ABC52FF" w14:textId="17C05027" w:rsidR="00E22882" w:rsidRPr="00C47F2F" w:rsidRDefault="00E22882" w:rsidP="00CF5D66">
            <w:pPr>
              <w:jc w:val="left"/>
              <w:rPr>
                <w:noProof/>
                <w:sz w:val="22"/>
                <w:szCs w:val="22"/>
              </w:rPr>
            </w:pPr>
            <w:r w:rsidRPr="00C47F2F">
              <w:rPr>
                <w:noProof/>
                <w:sz w:val="22"/>
                <w:szCs w:val="22"/>
              </w:rPr>
              <w:t>15</w:t>
            </w:r>
            <w:r w:rsidR="00365B5B">
              <w:rPr>
                <w:rFonts w:hint="eastAsia"/>
                <w:noProof/>
                <w:sz w:val="22"/>
                <w:szCs w:val="22"/>
                <w:lang w:eastAsia="ko-KR"/>
              </w:rPr>
              <w:t xml:space="preserve"> </w:t>
            </w:r>
            <w:r w:rsidRPr="00C47F2F">
              <w:rPr>
                <w:noProof/>
                <w:sz w:val="22"/>
                <w:szCs w:val="22"/>
              </w:rPr>
              <w:t>y</w:t>
            </w:r>
          </w:p>
        </w:tc>
        <w:tc>
          <w:tcPr>
            <w:tcW w:w="885" w:type="dxa"/>
            <w:tcBorders>
              <w:top w:val="single" w:sz="4" w:space="0" w:color="auto"/>
              <w:left w:val="nil"/>
              <w:bottom w:val="single" w:sz="4" w:space="0" w:color="auto"/>
              <w:right w:val="nil"/>
            </w:tcBorders>
            <w:vAlign w:val="center"/>
            <w:hideMark/>
          </w:tcPr>
          <w:p w14:paraId="65C8DEBF" w14:textId="77777777" w:rsidR="00E22882" w:rsidRPr="00C47F2F" w:rsidRDefault="00E22882" w:rsidP="00CF5D66">
            <w:pPr>
              <w:jc w:val="left"/>
              <w:rPr>
                <w:noProof/>
                <w:sz w:val="22"/>
                <w:szCs w:val="22"/>
              </w:rPr>
            </w:pPr>
            <w:r w:rsidRPr="00C47F2F">
              <w:rPr>
                <w:noProof/>
                <w:sz w:val="22"/>
                <w:szCs w:val="22"/>
              </w:rPr>
              <w:t>Adult</w:t>
            </w:r>
          </w:p>
        </w:tc>
      </w:tr>
      <w:tr w:rsidR="00E22882" w:rsidRPr="00972C81" w14:paraId="4FFE3C40" w14:textId="77777777" w:rsidTr="00CF5D66">
        <w:trPr>
          <w:trHeight w:val="340"/>
        </w:trPr>
        <w:tc>
          <w:tcPr>
            <w:tcW w:w="3719" w:type="dxa"/>
            <w:tcBorders>
              <w:top w:val="single" w:sz="4" w:space="0" w:color="auto"/>
              <w:left w:val="nil"/>
              <w:bottom w:val="nil"/>
              <w:right w:val="nil"/>
            </w:tcBorders>
            <w:hideMark/>
          </w:tcPr>
          <w:p w14:paraId="7A87BC6D" w14:textId="77777777" w:rsidR="00E22882" w:rsidRPr="00C47F2F" w:rsidRDefault="00E22882" w:rsidP="00CF5D66">
            <w:pPr>
              <w:jc w:val="left"/>
              <w:rPr>
                <w:noProof/>
                <w:sz w:val="22"/>
                <w:szCs w:val="22"/>
              </w:rPr>
            </w:pPr>
            <w:r w:rsidRPr="00C47F2F">
              <w:rPr>
                <w:rFonts w:eastAsia="Times New Roman"/>
                <w:noProof/>
                <w:color w:val="000000"/>
                <w:sz w:val="22"/>
                <w:szCs w:val="22"/>
              </w:rPr>
              <w:t>Water soluble forms, including chloride and citrate</w:t>
            </w:r>
          </w:p>
        </w:tc>
        <w:tc>
          <w:tcPr>
            <w:tcW w:w="884" w:type="dxa"/>
            <w:tcBorders>
              <w:top w:val="single" w:sz="4" w:space="0" w:color="auto"/>
              <w:left w:val="nil"/>
              <w:bottom w:val="nil"/>
              <w:right w:val="nil"/>
            </w:tcBorders>
            <w:hideMark/>
          </w:tcPr>
          <w:p w14:paraId="4454AB8A"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5.3E-09</w:t>
            </w:r>
          </w:p>
        </w:tc>
        <w:tc>
          <w:tcPr>
            <w:tcW w:w="885" w:type="dxa"/>
            <w:tcBorders>
              <w:top w:val="single" w:sz="4" w:space="0" w:color="auto"/>
              <w:left w:val="nil"/>
              <w:bottom w:val="nil"/>
              <w:right w:val="nil"/>
            </w:tcBorders>
            <w:hideMark/>
          </w:tcPr>
          <w:p w14:paraId="7F45B667"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4.1E-09</w:t>
            </w:r>
          </w:p>
        </w:tc>
        <w:tc>
          <w:tcPr>
            <w:tcW w:w="885" w:type="dxa"/>
            <w:tcBorders>
              <w:top w:val="single" w:sz="4" w:space="0" w:color="auto"/>
              <w:left w:val="nil"/>
              <w:bottom w:val="nil"/>
              <w:right w:val="nil"/>
            </w:tcBorders>
            <w:hideMark/>
          </w:tcPr>
          <w:p w14:paraId="3073957D"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2.1E-09</w:t>
            </w:r>
          </w:p>
        </w:tc>
        <w:tc>
          <w:tcPr>
            <w:tcW w:w="884" w:type="dxa"/>
            <w:tcBorders>
              <w:top w:val="single" w:sz="4" w:space="0" w:color="auto"/>
              <w:left w:val="nil"/>
              <w:bottom w:val="nil"/>
              <w:right w:val="nil"/>
            </w:tcBorders>
            <w:hideMark/>
          </w:tcPr>
          <w:p w14:paraId="5D3AB0DA"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1.3E-09</w:t>
            </w:r>
          </w:p>
        </w:tc>
        <w:tc>
          <w:tcPr>
            <w:tcW w:w="885" w:type="dxa"/>
            <w:tcBorders>
              <w:top w:val="single" w:sz="4" w:space="0" w:color="auto"/>
              <w:left w:val="nil"/>
              <w:bottom w:val="nil"/>
              <w:right w:val="nil"/>
            </w:tcBorders>
            <w:hideMark/>
          </w:tcPr>
          <w:p w14:paraId="2F9F903C"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1.0E-09</w:t>
            </w:r>
          </w:p>
        </w:tc>
        <w:tc>
          <w:tcPr>
            <w:tcW w:w="885" w:type="dxa"/>
            <w:tcBorders>
              <w:top w:val="single" w:sz="4" w:space="0" w:color="auto"/>
              <w:left w:val="nil"/>
              <w:bottom w:val="nil"/>
              <w:right w:val="nil"/>
            </w:tcBorders>
            <w:hideMark/>
          </w:tcPr>
          <w:p w14:paraId="176D1D00"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9.4E-10</w:t>
            </w:r>
          </w:p>
        </w:tc>
      </w:tr>
      <w:tr w:rsidR="00E22882" w:rsidRPr="00972C81" w14:paraId="43490BC2" w14:textId="77777777" w:rsidTr="00CF5D66">
        <w:trPr>
          <w:trHeight w:val="340"/>
        </w:trPr>
        <w:tc>
          <w:tcPr>
            <w:tcW w:w="3719" w:type="dxa"/>
            <w:tcBorders>
              <w:top w:val="nil"/>
              <w:left w:val="nil"/>
              <w:bottom w:val="nil"/>
              <w:right w:val="nil"/>
            </w:tcBorders>
            <w:hideMark/>
          </w:tcPr>
          <w:p w14:paraId="675A4661"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Dioxide</w:t>
            </w:r>
          </w:p>
        </w:tc>
        <w:tc>
          <w:tcPr>
            <w:tcW w:w="884" w:type="dxa"/>
            <w:tcBorders>
              <w:top w:val="nil"/>
              <w:left w:val="nil"/>
              <w:bottom w:val="nil"/>
              <w:right w:val="nil"/>
            </w:tcBorders>
            <w:hideMark/>
          </w:tcPr>
          <w:p w14:paraId="0D4ADCFF"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6.3E-09</w:t>
            </w:r>
          </w:p>
        </w:tc>
        <w:tc>
          <w:tcPr>
            <w:tcW w:w="885" w:type="dxa"/>
            <w:tcBorders>
              <w:top w:val="nil"/>
              <w:left w:val="nil"/>
              <w:bottom w:val="nil"/>
              <w:right w:val="nil"/>
            </w:tcBorders>
            <w:hideMark/>
          </w:tcPr>
          <w:p w14:paraId="0C0CC961"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5.2E-09</w:t>
            </w:r>
          </w:p>
        </w:tc>
        <w:tc>
          <w:tcPr>
            <w:tcW w:w="885" w:type="dxa"/>
            <w:tcBorders>
              <w:top w:val="nil"/>
              <w:left w:val="nil"/>
              <w:bottom w:val="nil"/>
              <w:right w:val="nil"/>
            </w:tcBorders>
            <w:hideMark/>
          </w:tcPr>
          <w:p w14:paraId="61963E31"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2.9E-09</w:t>
            </w:r>
          </w:p>
        </w:tc>
        <w:tc>
          <w:tcPr>
            <w:tcW w:w="884" w:type="dxa"/>
            <w:tcBorders>
              <w:top w:val="nil"/>
              <w:left w:val="nil"/>
              <w:bottom w:val="nil"/>
              <w:right w:val="nil"/>
            </w:tcBorders>
            <w:hideMark/>
          </w:tcPr>
          <w:p w14:paraId="5BDCC13B"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1.9E-09</w:t>
            </w:r>
          </w:p>
        </w:tc>
        <w:tc>
          <w:tcPr>
            <w:tcW w:w="885" w:type="dxa"/>
            <w:tcBorders>
              <w:top w:val="nil"/>
              <w:left w:val="nil"/>
              <w:bottom w:val="nil"/>
              <w:right w:val="nil"/>
            </w:tcBorders>
            <w:hideMark/>
          </w:tcPr>
          <w:p w14:paraId="3EEDCFB2"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1.5E-09</w:t>
            </w:r>
          </w:p>
        </w:tc>
        <w:tc>
          <w:tcPr>
            <w:tcW w:w="885" w:type="dxa"/>
            <w:tcBorders>
              <w:top w:val="nil"/>
              <w:left w:val="nil"/>
              <w:bottom w:val="nil"/>
              <w:right w:val="nil"/>
            </w:tcBorders>
            <w:hideMark/>
          </w:tcPr>
          <w:p w14:paraId="4445C2A5"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1.4E-09</w:t>
            </w:r>
          </w:p>
        </w:tc>
      </w:tr>
      <w:tr w:rsidR="00E22882" w:rsidRPr="00972C81" w14:paraId="5358F2AA" w14:textId="77777777" w:rsidTr="00CF5D66">
        <w:trPr>
          <w:trHeight w:val="340"/>
        </w:trPr>
        <w:tc>
          <w:tcPr>
            <w:tcW w:w="3719" w:type="dxa"/>
            <w:tcBorders>
              <w:top w:val="nil"/>
              <w:left w:val="nil"/>
              <w:bottom w:val="nil"/>
              <w:right w:val="nil"/>
            </w:tcBorders>
            <w:hideMark/>
          </w:tcPr>
          <w:p w14:paraId="6454E6D1" w14:textId="77777777" w:rsidR="00E22882" w:rsidRPr="00C47F2F" w:rsidRDefault="00E22882" w:rsidP="00CF5D66">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884" w:type="dxa"/>
            <w:tcBorders>
              <w:top w:val="nil"/>
              <w:left w:val="nil"/>
              <w:bottom w:val="nil"/>
              <w:right w:val="nil"/>
            </w:tcBorders>
            <w:hideMark/>
          </w:tcPr>
          <w:p w14:paraId="2827DBDC"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4.3E-09</w:t>
            </w:r>
          </w:p>
        </w:tc>
        <w:tc>
          <w:tcPr>
            <w:tcW w:w="885" w:type="dxa"/>
            <w:tcBorders>
              <w:top w:val="nil"/>
              <w:left w:val="nil"/>
              <w:bottom w:val="nil"/>
              <w:right w:val="nil"/>
            </w:tcBorders>
            <w:hideMark/>
          </w:tcPr>
          <w:p w14:paraId="1C2A4B09"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3.1E-09</w:t>
            </w:r>
          </w:p>
        </w:tc>
        <w:tc>
          <w:tcPr>
            <w:tcW w:w="885" w:type="dxa"/>
            <w:tcBorders>
              <w:top w:val="nil"/>
              <w:left w:val="nil"/>
              <w:bottom w:val="nil"/>
              <w:right w:val="nil"/>
            </w:tcBorders>
            <w:hideMark/>
          </w:tcPr>
          <w:p w14:paraId="1D8D5005"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1.3E-09</w:t>
            </w:r>
          </w:p>
        </w:tc>
        <w:tc>
          <w:tcPr>
            <w:tcW w:w="884" w:type="dxa"/>
            <w:tcBorders>
              <w:top w:val="nil"/>
              <w:left w:val="nil"/>
              <w:bottom w:val="nil"/>
              <w:right w:val="nil"/>
            </w:tcBorders>
            <w:hideMark/>
          </w:tcPr>
          <w:p w14:paraId="514388B0"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6.9E-10</w:t>
            </w:r>
          </w:p>
        </w:tc>
        <w:tc>
          <w:tcPr>
            <w:tcW w:w="885" w:type="dxa"/>
            <w:tcBorders>
              <w:top w:val="nil"/>
              <w:left w:val="nil"/>
              <w:bottom w:val="nil"/>
              <w:right w:val="nil"/>
            </w:tcBorders>
            <w:hideMark/>
          </w:tcPr>
          <w:p w14:paraId="26DF9C9C"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5.8E-10</w:t>
            </w:r>
          </w:p>
        </w:tc>
        <w:tc>
          <w:tcPr>
            <w:tcW w:w="885" w:type="dxa"/>
            <w:tcBorders>
              <w:top w:val="nil"/>
              <w:left w:val="nil"/>
              <w:bottom w:val="nil"/>
              <w:right w:val="nil"/>
            </w:tcBorders>
            <w:hideMark/>
          </w:tcPr>
          <w:p w14:paraId="6B87C9E3"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4.6E-10</w:t>
            </w:r>
          </w:p>
        </w:tc>
      </w:tr>
      <w:tr w:rsidR="00E22882" w:rsidRPr="00972C81" w14:paraId="533D8D08" w14:textId="77777777" w:rsidTr="00CF5D66">
        <w:trPr>
          <w:trHeight w:val="340"/>
        </w:trPr>
        <w:tc>
          <w:tcPr>
            <w:tcW w:w="3719" w:type="dxa"/>
            <w:tcBorders>
              <w:top w:val="nil"/>
              <w:left w:val="nil"/>
              <w:bottom w:val="nil"/>
              <w:right w:val="nil"/>
            </w:tcBorders>
            <w:hideMark/>
          </w:tcPr>
          <w:p w14:paraId="16623E80" w14:textId="77777777" w:rsidR="00E22882" w:rsidRPr="00C47F2F" w:rsidRDefault="00E22882" w:rsidP="00CF5D66">
            <w:pPr>
              <w:jc w:val="left"/>
              <w:rPr>
                <w:rFonts w:eastAsiaTheme="minorHAnsi"/>
                <w:noProof/>
                <w:sz w:val="22"/>
                <w:szCs w:val="22"/>
              </w:rPr>
            </w:pPr>
            <w:r w:rsidRPr="00C47F2F">
              <w:rPr>
                <w:noProof/>
                <w:sz w:val="22"/>
                <w:szCs w:val="22"/>
              </w:rPr>
              <w:t>Type M</w:t>
            </w:r>
          </w:p>
        </w:tc>
        <w:tc>
          <w:tcPr>
            <w:tcW w:w="884" w:type="dxa"/>
            <w:tcBorders>
              <w:top w:val="nil"/>
              <w:left w:val="nil"/>
              <w:bottom w:val="nil"/>
              <w:right w:val="nil"/>
            </w:tcBorders>
            <w:hideMark/>
          </w:tcPr>
          <w:p w14:paraId="520466B4"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5.7E-09</w:t>
            </w:r>
          </w:p>
        </w:tc>
        <w:tc>
          <w:tcPr>
            <w:tcW w:w="885" w:type="dxa"/>
            <w:tcBorders>
              <w:top w:val="nil"/>
              <w:left w:val="nil"/>
              <w:bottom w:val="nil"/>
              <w:right w:val="nil"/>
            </w:tcBorders>
            <w:hideMark/>
          </w:tcPr>
          <w:p w14:paraId="0DE4D5B2"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4.5E-09</w:t>
            </w:r>
          </w:p>
        </w:tc>
        <w:tc>
          <w:tcPr>
            <w:tcW w:w="885" w:type="dxa"/>
            <w:tcBorders>
              <w:top w:val="nil"/>
              <w:left w:val="nil"/>
              <w:bottom w:val="nil"/>
              <w:right w:val="nil"/>
            </w:tcBorders>
            <w:hideMark/>
          </w:tcPr>
          <w:p w14:paraId="1EE6BA06"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2.4E-09</w:t>
            </w:r>
          </w:p>
        </w:tc>
        <w:tc>
          <w:tcPr>
            <w:tcW w:w="884" w:type="dxa"/>
            <w:tcBorders>
              <w:top w:val="nil"/>
              <w:left w:val="nil"/>
              <w:bottom w:val="nil"/>
              <w:right w:val="nil"/>
            </w:tcBorders>
            <w:hideMark/>
          </w:tcPr>
          <w:p w14:paraId="147B400A"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1.6E-09</w:t>
            </w:r>
          </w:p>
        </w:tc>
        <w:tc>
          <w:tcPr>
            <w:tcW w:w="885" w:type="dxa"/>
            <w:tcBorders>
              <w:top w:val="nil"/>
              <w:left w:val="nil"/>
              <w:bottom w:val="nil"/>
              <w:right w:val="nil"/>
            </w:tcBorders>
            <w:hideMark/>
          </w:tcPr>
          <w:p w14:paraId="57547A86"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1.2E-09</w:t>
            </w:r>
          </w:p>
        </w:tc>
        <w:tc>
          <w:tcPr>
            <w:tcW w:w="885" w:type="dxa"/>
            <w:tcBorders>
              <w:top w:val="nil"/>
              <w:left w:val="nil"/>
              <w:bottom w:val="nil"/>
              <w:right w:val="nil"/>
            </w:tcBorders>
            <w:hideMark/>
          </w:tcPr>
          <w:p w14:paraId="5EED5E0A"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1.1E-09</w:t>
            </w:r>
          </w:p>
        </w:tc>
      </w:tr>
      <w:tr w:rsidR="00E22882" w:rsidRPr="00972C81" w14:paraId="6DD2125A" w14:textId="77777777" w:rsidTr="00CF5D66">
        <w:trPr>
          <w:trHeight w:val="340"/>
        </w:trPr>
        <w:tc>
          <w:tcPr>
            <w:tcW w:w="3719" w:type="dxa"/>
            <w:tcBorders>
              <w:top w:val="nil"/>
              <w:left w:val="nil"/>
              <w:bottom w:val="single" w:sz="4" w:space="0" w:color="auto"/>
              <w:right w:val="nil"/>
            </w:tcBorders>
            <w:hideMark/>
          </w:tcPr>
          <w:p w14:paraId="7B585F38" w14:textId="77777777" w:rsidR="00E22882" w:rsidRPr="00C47F2F" w:rsidRDefault="00E22882" w:rsidP="00CF5D66">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884" w:type="dxa"/>
            <w:tcBorders>
              <w:top w:val="nil"/>
              <w:left w:val="nil"/>
              <w:bottom w:val="single" w:sz="4" w:space="0" w:color="auto"/>
              <w:right w:val="nil"/>
            </w:tcBorders>
            <w:hideMark/>
          </w:tcPr>
          <w:p w14:paraId="0849D617"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6.3E-09</w:t>
            </w:r>
          </w:p>
        </w:tc>
        <w:tc>
          <w:tcPr>
            <w:tcW w:w="885" w:type="dxa"/>
            <w:tcBorders>
              <w:top w:val="nil"/>
              <w:left w:val="nil"/>
              <w:bottom w:val="single" w:sz="4" w:space="0" w:color="auto"/>
              <w:right w:val="nil"/>
            </w:tcBorders>
            <w:hideMark/>
          </w:tcPr>
          <w:p w14:paraId="13A6F5D1"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5.2E-09</w:t>
            </w:r>
          </w:p>
        </w:tc>
        <w:tc>
          <w:tcPr>
            <w:tcW w:w="885" w:type="dxa"/>
            <w:tcBorders>
              <w:top w:val="nil"/>
              <w:left w:val="nil"/>
              <w:bottom w:val="single" w:sz="4" w:space="0" w:color="auto"/>
              <w:right w:val="nil"/>
            </w:tcBorders>
            <w:hideMark/>
          </w:tcPr>
          <w:p w14:paraId="07311504"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2.9E-09</w:t>
            </w:r>
          </w:p>
        </w:tc>
        <w:tc>
          <w:tcPr>
            <w:tcW w:w="884" w:type="dxa"/>
            <w:tcBorders>
              <w:top w:val="nil"/>
              <w:left w:val="nil"/>
              <w:bottom w:val="single" w:sz="4" w:space="0" w:color="auto"/>
              <w:right w:val="nil"/>
            </w:tcBorders>
            <w:hideMark/>
          </w:tcPr>
          <w:p w14:paraId="00FFF5E0"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1.9E-09</w:t>
            </w:r>
          </w:p>
        </w:tc>
        <w:tc>
          <w:tcPr>
            <w:tcW w:w="885" w:type="dxa"/>
            <w:tcBorders>
              <w:top w:val="nil"/>
              <w:left w:val="nil"/>
              <w:bottom w:val="single" w:sz="4" w:space="0" w:color="auto"/>
              <w:right w:val="nil"/>
            </w:tcBorders>
            <w:hideMark/>
          </w:tcPr>
          <w:p w14:paraId="7688476C"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1.5E-09</w:t>
            </w:r>
          </w:p>
        </w:tc>
        <w:tc>
          <w:tcPr>
            <w:tcW w:w="885" w:type="dxa"/>
            <w:tcBorders>
              <w:top w:val="nil"/>
              <w:left w:val="nil"/>
              <w:bottom w:val="single" w:sz="4" w:space="0" w:color="auto"/>
              <w:right w:val="nil"/>
            </w:tcBorders>
            <w:hideMark/>
          </w:tcPr>
          <w:p w14:paraId="6528EB27"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1.4E-09</w:t>
            </w:r>
          </w:p>
        </w:tc>
      </w:tr>
      <w:tr w:rsidR="00E22882" w:rsidRPr="00972C81" w14:paraId="02750A95" w14:textId="77777777" w:rsidTr="00CF5D66">
        <w:trPr>
          <w:trHeight w:val="340"/>
        </w:trPr>
        <w:tc>
          <w:tcPr>
            <w:tcW w:w="3719" w:type="dxa"/>
            <w:tcBorders>
              <w:top w:val="single" w:sz="4" w:space="0" w:color="auto"/>
              <w:left w:val="nil"/>
              <w:bottom w:val="single" w:sz="4" w:space="0" w:color="auto"/>
              <w:right w:val="nil"/>
            </w:tcBorders>
          </w:tcPr>
          <w:p w14:paraId="2F170912" w14:textId="77777777" w:rsidR="00E22882" w:rsidRPr="00C47F2F" w:rsidRDefault="00E22882" w:rsidP="00C47F2F">
            <w:pPr>
              <w:jc w:val="left"/>
              <w:rPr>
                <w:rFonts w:eastAsiaTheme="minorHAnsi"/>
                <w:noProof/>
                <w:sz w:val="22"/>
                <w:szCs w:val="22"/>
              </w:rPr>
            </w:pPr>
          </w:p>
          <w:p w14:paraId="21C3D37A" w14:textId="77777777" w:rsidR="00E22882" w:rsidRPr="00C47F2F" w:rsidRDefault="00E22882" w:rsidP="00C47F2F">
            <w:pPr>
              <w:jc w:val="left"/>
              <w:rPr>
                <w:noProof/>
                <w:sz w:val="22"/>
                <w:szCs w:val="22"/>
              </w:rPr>
            </w:pPr>
            <w:r w:rsidRPr="00C47F2F">
              <w:rPr>
                <w:noProof/>
                <w:sz w:val="22"/>
                <w:szCs w:val="22"/>
              </w:rPr>
              <w:t>Ingested materials</w:t>
            </w:r>
          </w:p>
        </w:tc>
        <w:tc>
          <w:tcPr>
            <w:tcW w:w="884" w:type="dxa"/>
            <w:tcBorders>
              <w:top w:val="single" w:sz="4" w:space="0" w:color="auto"/>
              <w:left w:val="nil"/>
              <w:bottom w:val="single" w:sz="4" w:space="0" w:color="auto"/>
              <w:right w:val="nil"/>
            </w:tcBorders>
          </w:tcPr>
          <w:p w14:paraId="7094C449" w14:textId="77777777" w:rsidR="00E22882" w:rsidRPr="00C47F2F" w:rsidRDefault="00E22882" w:rsidP="00C47F2F">
            <w:pPr>
              <w:jc w:val="left"/>
              <w:rPr>
                <w:rFonts w:eastAsia="Times New Roman"/>
                <w:noProof/>
                <w:color w:val="000000"/>
                <w:sz w:val="22"/>
                <w:szCs w:val="22"/>
              </w:rPr>
            </w:pPr>
          </w:p>
        </w:tc>
        <w:tc>
          <w:tcPr>
            <w:tcW w:w="885" w:type="dxa"/>
            <w:tcBorders>
              <w:top w:val="single" w:sz="4" w:space="0" w:color="auto"/>
              <w:left w:val="nil"/>
              <w:bottom w:val="single" w:sz="4" w:space="0" w:color="auto"/>
              <w:right w:val="nil"/>
            </w:tcBorders>
          </w:tcPr>
          <w:p w14:paraId="163B23FA" w14:textId="77777777" w:rsidR="00E22882" w:rsidRPr="00C47F2F" w:rsidRDefault="00E22882" w:rsidP="00C47F2F">
            <w:pPr>
              <w:jc w:val="left"/>
              <w:rPr>
                <w:rFonts w:eastAsia="Times New Roman"/>
                <w:noProof/>
                <w:color w:val="000000"/>
                <w:sz w:val="22"/>
                <w:szCs w:val="22"/>
              </w:rPr>
            </w:pPr>
          </w:p>
        </w:tc>
        <w:tc>
          <w:tcPr>
            <w:tcW w:w="885" w:type="dxa"/>
            <w:tcBorders>
              <w:top w:val="single" w:sz="4" w:space="0" w:color="auto"/>
              <w:left w:val="nil"/>
              <w:bottom w:val="single" w:sz="4" w:space="0" w:color="auto"/>
              <w:right w:val="nil"/>
            </w:tcBorders>
          </w:tcPr>
          <w:p w14:paraId="75DFE03E" w14:textId="77777777" w:rsidR="00E22882" w:rsidRPr="00C47F2F" w:rsidRDefault="00E22882" w:rsidP="00C47F2F">
            <w:pPr>
              <w:jc w:val="left"/>
              <w:rPr>
                <w:rFonts w:eastAsia="Times New Roman"/>
                <w:noProof/>
                <w:color w:val="000000"/>
                <w:sz w:val="22"/>
                <w:szCs w:val="22"/>
              </w:rPr>
            </w:pPr>
          </w:p>
        </w:tc>
        <w:tc>
          <w:tcPr>
            <w:tcW w:w="884" w:type="dxa"/>
            <w:tcBorders>
              <w:top w:val="single" w:sz="4" w:space="0" w:color="auto"/>
              <w:left w:val="nil"/>
              <w:bottom w:val="single" w:sz="4" w:space="0" w:color="auto"/>
              <w:right w:val="nil"/>
            </w:tcBorders>
          </w:tcPr>
          <w:p w14:paraId="28AAB418" w14:textId="77777777" w:rsidR="00E22882" w:rsidRPr="00C47F2F" w:rsidRDefault="00E22882" w:rsidP="00C47F2F">
            <w:pPr>
              <w:jc w:val="left"/>
              <w:rPr>
                <w:rFonts w:eastAsia="Times New Roman"/>
                <w:noProof/>
                <w:color w:val="000000"/>
                <w:sz w:val="22"/>
                <w:szCs w:val="22"/>
              </w:rPr>
            </w:pPr>
          </w:p>
        </w:tc>
        <w:tc>
          <w:tcPr>
            <w:tcW w:w="885" w:type="dxa"/>
            <w:tcBorders>
              <w:top w:val="single" w:sz="4" w:space="0" w:color="auto"/>
              <w:left w:val="nil"/>
              <w:bottom w:val="single" w:sz="4" w:space="0" w:color="auto"/>
              <w:right w:val="nil"/>
            </w:tcBorders>
          </w:tcPr>
          <w:p w14:paraId="37CBC314" w14:textId="77777777" w:rsidR="00E22882" w:rsidRPr="00C47F2F" w:rsidRDefault="00E22882" w:rsidP="00C47F2F">
            <w:pPr>
              <w:jc w:val="left"/>
              <w:rPr>
                <w:rFonts w:eastAsia="Times New Roman"/>
                <w:noProof/>
                <w:color w:val="000000"/>
                <w:sz w:val="22"/>
                <w:szCs w:val="22"/>
              </w:rPr>
            </w:pPr>
          </w:p>
        </w:tc>
        <w:tc>
          <w:tcPr>
            <w:tcW w:w="885" w:type="dxa"/>
            <w:tcBorders>
              <w:top w:val="single" w:sz="4" w:space="0" w:color="auto"/>
              <w:left w:val="nil"/>
              <w:bottom w:val="single" w:sz="4" w:space="0" w:color="auto"/>
              <w:right w:val="nil"/>
            </w:tcBorders>
          </w:tcPr>
          <w:p w14:paraId="1F079F40" w14:textId="77777777" w:rsidR="00E22882" w:rsidRPr="00C47F2F" w:rsidRDefault="00E22882" w:rsidP="00C47F2F">
            <w:pPr>
              <w:jc w:val="left"/>
              <w:rPr>
                <w:rFonts w:eastAsia="Times New Roman"/>
                <w:noProof/>
                <w:color w:val="000000"/>
                <w:sz w:val="22"/>
                <w:szCs w:val="22"/>
              </w:rPr>
            </w:pPr>
          </w:p>
        </w:tc>
      </w:tr>
      <w:tr w:rsidR="00E22882" w:rsidRPr="00972C81" w14:paraId="62ECB689" w14:textId="77777777" w:rsidTr="00CF5D66">
        <w:trPr>
          <w:trHeight w:val="340"/>
        </w:trPr>
        <w:tc>
          <w:tcPr>
            <w:tcW w:w="3719" w:type="dxa"/>
            <w:tcBorders>
              <w:top w:val="single" w:sz="4" w:space="0" w:color="auto"/>
              <w:left w:val="nil"/>
              <w:bottom w:val="single" w:sz="4" w:space="0" w:color="auto"/>
              <w:right w:val="nil"/>
            </w:tcBorders>
            <w:vAlign w:val="center"/>
            <w:hideMark/>
          </w:tcPr>
          <w:p w14:paraId="5F23AFAC" w14:textId="05B02B97" w:rsidR="00E22882" w:rsidRPr="00C47F2F" w:rsidRDefault="00E22882" w:rsidP="00CF5D66">
            <w:pPr>
              <w:jc w:val="left"/>
              <w:rPr>
                <w:rFonts w:eastAsiaTheme="minorHAnsi"/>
                <w:noProof/>
                <w:sz w:val="22"/>
                <w:szCs w:val="22"/>
              </w:rPr>
            </w:pPr>
            <w:r w:rsidRPr="00C47F2F">
              <w:rPr>
                <w:rFonts w:eastAsia="Times New Roman"/>
                <w:noProof/>
                <w:color w:val="000000"/>
                <w:sz w:val="22"/>
                <w:szCs w:val="22"/>
                <w:lang w:eastAsia="en-GB"/>
              </w:rPr>
              <w:t>All compounds</w:t>
            </w:r>
          </w:p>
        </w:tc>
        <w:tc>
          <w:tcPr>
            <w:tcW w:w="884" w:type="dxa"/>
            <w:tcBorders>
              <w:top w:val="single" w:sz="4" w:space="0" w:color="auto"/>
              <w:left w:val="nil"/>
              <w:bottom w:val="single" w:sz="4" w:space="0" w:color="auto"/>
              <w:right w:val="nil"/>
            </w:tcBorders>
            <w:vAlign w:val="center"/>
            <w:hideMark/>
          </w:tcPr>
          <w:p w14:paraId="77174681"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4.5E-10</w:t>
            </w:r>
          </w:p>
        </w:tc>
        <w:tc>
          <w:tcPr>
            <w:tcW w:w="885" w:type="dxa"/>
            <w:tcBorders>
              <w:top w:val="single" w:sz="4" w:space="0" w:color="auto"/>
              <w:left w:val="nil"/>
              <w:bottom w:val="single" w:sz="4" w:space="0" w:color="auto"/>
              <w:right w:val="nil"/>
            </w:tcBorders>
            <w:vAlign w:val="center"/>
            <w:hideMark/>
          </w:tcPr>
          <w:p w14:paraId="52F8BEB8"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2.7E-10</w:t>
            </w:r>
          </w:p>
        </w:tc>
        <w:tc>
          <w:tcPr>
            <w:tcW w:w="885" w:type="dxa"/>
            <w:tcBorders>
              <w:top w:val="single" w:sz="4" w:space="0" w:color="auto"/>
              <w:left w:val="nil"/>
              <w:bottom w:val="single" w:sz="4" w:space="0" w:color="auto"/>
              <w:right w:val="nil"/>
            </w:tcBorders>
            <w:vAlign w:val="center"/>
            <w:hideMark/>
          </w:tcPr>
          <w:p w14:paraId="2BB97C6D"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1.6E-10</w:t>
            </w:r>
          </w:p>
        </w:tc>
        <w:tc>
          <w:tcPr>
            <w:tcW w:w="884" w:type="dxa"/>
            <w:tcBorders>
              <w:top w:val="single" w:sz="4" w:space="0" w:color="auto"/>
              <w:left w:val="nil"/>
              <w:bottom w:val="single" w:sz="4" w:space="0" w:color="auto"/>
              <w:right w:val="nil"/>
            </w:tcBorders>
            <w:vAlign w:val="center"/>
            <w:hideMark/>
          </w:tcPr>
          <w:p w14:paraId="05E72470"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1.1E-10</w:t>
            </w:r>
          </w:p>
        </w:tc>
        <w:tc>
          <w:tcPr>
            <w:tcW w:w="885" w:type="dxa"/>
            <w:tcBorders>
              <w:top w:val="single" w:sz="4" w:space="0" w:color="auto"/>
              <w:left w:val="nil"/>
              <w:bottom w:val="single" w:sz="4" w:space="0" w:color="auto"/>
              <w:right w:val="nil"/>
            </w:tcBorders>
            <w:vAlign w:val="center"/>
            <w:hideMark/>
          </w:tcPr>
          <w:p w14:paraId="0F6D9111"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7.6E-11</w:t>
            </w:r>
          </w:p>
        </w:tc>
        <w:tc>
          <w:tcPr>
            <w:tcW w:w="885" w:type="dxa"/>
            <w:tcBorders>
              <w:top w:val="single" w:sz="4" w:space="0" w:color="auto"/>
              <w:left w:val="nil"/>
              <w:bottom w:val="single" w:sz="4" w:space="0" w:color="auto"/>
              <w:right w:val="nil"/>
            </w:tcBorders>
            <w:vAlign w:val="center"/>
            <w:hideMark/>
          </w:tcPr>
          <w:p w14:paraId="7962EB60"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6.2E-11</w:t>
            </w:r>
          </w:p>
        </w:tc>
      </w:tr>
    </w:tbl>
    <w:p w14:paraId="0C85C9C1" w14:textId="77777777" w:rsidR="00CF5D66" w:rsidRDefault="00CF5D66">
      <w:pPr>
        <w:widowControl/>
        <w:jc w:val="left"/>
        <w:rPr>
          <w:noProof/>
          <w:szCs w:val="24"/>
        </w:rPr>
      </w:pPr>
      <w:r>
        <w:rPr>
          <w:noProof/>
          <w:szCs w:val="24"/>
        </w:rPr>
        <w:br w:type="page"/>
      </w:r>
    </w:p>
    <w:p w14:paraId="7162799D" w14:textId="18E461BA" w:rsidR="00E22882" w:rsidRPr="00972C81" w:rsidRDefault="00E22882" w:rsidP="00C47F2F">
      <w:pPr>
        <w:widowControl/>
        <w:jc w:val="left"/>
        <w:rPr>
          <w:noProof/>
          <w:szCs w:val="24"/>
        </w:rPr>
      </w:pPr>
      <w:r w:rsidRPr="00972C81">
        <w:rPr>
          <w:noProof/>
          <w:szCs w:val="24"/>
        </w:rPr>
        <w:lastRenderedPageBreak/>
        <w:t>Table 3.6. Committed effective dose coefficients (Sv Bq</w:t>
      </w:r>
      <w:r w:rsidRPr="00972C81">
        <w:rPr>
          <w:noProof/>
          <w:szCs w:val="24"/>
          <w:vertAlign w:val="superscript"/>
        </w:rPr>
        <w:t>-1</w:t>
      </w:r>
      <w:r w:rsidRPr="00972C81">
        <w:rPr>
          <w:noProof/>
          <w:szCs w:val="24"/>
        </w:rPr>
        <w:t xml:space="preserve">) for the inhalation or ingestion of </w:t>
      </w:r>
      <w:r w:rsidRPr="00972C81">
        <w:rPr>
          <w:noProof/>
          <w:szCs w:val="24"/>
          <w:vertAlign w:val="superscript"/>
        </w:rPr>
        <w:t>144</w:t>
      </w:r>
      <w:r w:rsidRPr="00972C81">
        <w:rPr>
          <w:noProof/>
          <w:szCs w:val="24"/>
        </w:rPr>
        <w:t>Ce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19"/>
        <w:gridCol w:w="884"/>
        <w:gridCol w:w="885"/>
        <w:gridCol w:w="885"/>
        <w:gridCol w:w="884"/>
        <w:gridCol w:w="885"/>
        <w:gridCol w:w="885"/>
      </w:tblGrid>
      <w:tr w:rsidR="00E22882" w:rsidRPr="00A3213E" w14:paraId="08FE6F29" w14:textId="77777777" w:rsidTr="00CF5D66">
        <w:trPr>
          <w:trHeight w:val="340"/>
        </w:trPr>
        <w:tc>
          <w:tcPr>
            <w:tcW w:w="3719" w:type="dxa"/>
            <w:vMerge w:val="restart"/>
            <w:tcBorders>
              <w:top w:val="single" w:sz="4" w:space="0" w:color="auto"/>
              <w:left w:val="nil"/>
              <w:bottom w:val="single" w:sz="4" w:space="0" w:color="auto"/>
              <w:right w:val="nil"/>
            </w:tcBorders>
            <w:vAlign w:val="bottom"/>
            <w:hideMark/>
          </w:tcPr>
          <w:p w14:paraId="5410B008" w14:textId="77777777" w:rsidR="00E424DA" w:rsidRPr="00C47F2F" w:rsidRDefault="00E22882" w:rsidP="00C47F2F">
            <w:pPr>
              <w:pStyle w:val="a5"/>
              <w:tabs>
                <w:tab w:val="clear" w:pos="4153"/>
                <w:tab w:val="clear" w:pos="8306"/>
              </w:tabs>
              <w:jc w:val="left"/>
              <w:rPr>
                <w:noProof/>
                <w:sz w:val="22"/>
                <w:szCs w:val="22"/>
              </w:rPr>
            </w:pPr>
            <w:r w:rsidRPr="00C47F2F">
              <w:rPr>
                <w:noProof/>
                <w:sz w:val="22"/>
                <w:szCs w:val="22"/>
              </w:rPr>
              <w:t>Inhaled particulate materials</w:t>
            </w:r>
          </w:p>
          <w:p w14:paraId="7E1A3923" w14:textId="502784AE" w:rsidR="00E22882" w:rsidRPr="00F4508E" w:rsidRDefault="00E22882" w:rsidP="00C47F2F">
            <w:pPr>
              <w:pStyle w:val="a5"/>
              <w:tabs>
                <w:tab w:val="clear" w:pos="4153"/>
                <w:tab w:val="clear" w:pos="8306"/>
              </w:tabs>
              <w:jc w:val="left"/>
              <w:rPr>
                <w:noProof/>
                <w:sz w:val="22"/>
                <w:szCs w:val="22"/>
              </w:rPr>
            </w:pPr>
            <w:r w:rsidRPr="00C47F2F">
              <w:rPr>
                <w:noProof/>
                <w:sz w:val="22"/>
                <w:szCs w:val="22"/>
              </w:rPr>
              <w:t>(1 µm AMAD aerosols)</w:t>
            </w:r>
          </w:p>
        </w:tc>
        <w:tc>
          <w:tcPr>
            <w:tcW w:w="5308" w:type="dxa"/>
            <w:gridSpan w:val="6"/>
            <w:tcBorders>
              <w:top w:val="single" w:sz="4" w:space="0" w:color="auto"/>
              <w:left w:val="nil"/>
              <w:bottom w:val="single" w:sz="4" w:space="0" w:color="auto"/>
              <w:right w:val="nil"/>
            </w:tcBorders>
            <w:vAlign w:val="center"/>
            <w:hideMark/>
          </w:tcPr>
          <w:p w14:paraId="4F0EE1EF" w14:textId="77777777" w:rsidR="00E22882" w:rsidRPr="00C47F2F" w:rsidRDefault="00E22882" w:rsidP="00CF5D66">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A41AD1" w:rsidRPr="00972C81" w14:paraId="65373A10" w14:textId="77777777" w:rsidTr="00CF5D66">
        <w:trPr>
          <w:trHeight w:val="340"/>
        </w:trPr>
        <w:tc>
          <w:tcPr>
            <w:tcW w:w="3719" w:type="dxa"/>
            <w:vMerge/>
            <w:tcBorders>
              <w:top w:val="single" w:sz="4" w:space="0" w:color="auto"/>
              <w:left w:val="nil"/>
              <w:bottom w:val="single" w:sz="4" w:space="0" w:color="auto"/>
              <w:right w:val="nil"/>
            </w:tcBorders>
            <w:vAlign w:val="center"/>
            <w:hideMark/>
          </w:tcPr>
          <w:p w14:paraId="23FB2980" w14:textId="77777777" w:rsidR="00E22882" w:rsidRPr="00F4508E" w:rsidRDefault="00E22882">
            <w:pPr>
              <w:rPr>
                <w:noProof/>
                <w:sz w:val="22"/>
                <w:szCs w:val="22"/>
                <w:lang w:val="fr-FR"/>
              </w:rPr>
            </w:pPr>
          </w:p>
        </w:tc>
        <w:tc>
          <w:tcPr>
            <w:tcW w:w="884" w:type="dxa"/>
            <w:tcBorders>
              <w:top w:val="single" w:sz="4" w:space="0" w:color="auto"/>
              <w:left w:val="nil"/>
              <w:bottom w:val="single" w:sz="4" w:space="0" w:color="auto"/>
              <w:right w:val="nil"/>
            </w:tcBorders>
            <w:vAlign w:val="center"/>
            <w:hideMark/>
          </w:tcPr>
          <w:p w14:paraId="7573D06A" w14:textId="00D4827E" w:rsidR="00E22882" w:rsidRPr="00C47F2F" w:rsidRDefault="00E22882" w:rsidP="00CF5D66">
            <w:pPr>
              <w:jc w:val="left"/>
              <w:rPr>
                <w:noProof/>
                <w:sz w:val="22"/>
                <w:szCs w:val="22"/>
              </w:rPr>
            </w:pPr>
            <w:r w:rsidRPr="00C47F2F">
              <w:rPr>
                <w:noProof/>
                <w:sz w:val="22"/>
                <w:szCs w:val="22"/>
              </w:rPr>
              <w:t>3</w:t>
            </w:r>
            <w:r w:rsidR="00365B5B">
              <w:rPr>
                <w:rFonts w:hint="eastAsia"/>
                <w:noProof/>
                <w:sz w:val="22"/>
                <w:szCs w:val="22"/>
                <w:lang w:eastAsia="ko-KR"/>
              </w:rPr>
              <w:t xml:space="preserve"> </w:t>
            </w:r>
            <w:r w:rsidRPr="00C47F2F">
              <w:rPr>
                <w:noProof/>
                <w:sz w:val="22"/>
                <w:szCs w:val="22"/>
              </w:rPr>
              <w:t>m</w:t>
            </w:r>
            <w:r w:rsidR="001A483B">
              <w:rPr>
                <w:noProof/>
                <w:sz w:val="22"/>
                <w:szCs w:val="22"/>
              </w:rPr>
              <w:t>o</w:t>
            </w:r>
          </w:p>
        </w:tc>
        <w:tc>
          <w:tcPr>
            <w:tcW w:w="885" w:type="dxa"/>
            <w:tcBorders>
              <w:top w:val="single" w:sz="4" w:space="0" w:color="auto"/>
              <w:left w:val="nil"/>
              <w:bottom w:val="single" w:sz="4" w:space="0" w:color="auto"/>
              <w:right w:val="nil"/>
            </w:tcBorders>
            <w:vAlign w:val="center"/>
            <w:hideMark/>
          </w:tcPr>
          <w:p w14:paraId="770F6632" w14:textId="0BB2F600" w:rsidR="00E22882" w:rsidRPr="00C47F2F" w:rsidRDefault="00E22882" w:rsidP="00CF5D66">
            <w:pPr>
              <w:jc w:val="left"/>
              <w:rPr>
                <w:noProof/>
                <w:sz w:val="22"/>
                <w:szCs w:val="22"/>
              </w:rPr>
            </w:pPr>
            <w:r w:rsidRPr="00C47F2F">
              <w:rPr>
                <w:noProof/>
                <w:sz w:val="22"/>
                <w:szCs w:val="22"/>
              </w:rPr>
              <w:t>1</w:t>
            </w:r>
            <w:r w:rsidR="00365B5B">
              <w:rPr>
                <w:rFonts w:hint="eastAsia"/>
                <w:noProof/>
                <w:sz w:val="22"/>
                <w:szCs w:val="22"/>
                <w:lang w:eastAsia="ko-KR"/>
              </w:rPr>
              <w:t xml:space="preserve"> </w:t>
            </w:r>
            <w:r w:rsidRPr="00C47F2F">
              <w:rPr>
                <w:noProof/>
                <w:sz w:val="22"/>
                <w:szCs w:val="22"/>
              </w:rPr>
              <w:t>y</w:t>
            </w:r>
          </w:p>
        </w:tc>
        <w:tc>
          <w:tcPr>
            <w:tcW w:w="885" w:type="dxa"/>
            <w:tcBorders>
              <w:top w:val="single" w:sz="4" w:space="0" w:color="auto"/>
              <w:left w:val="nil"/>
              <w:bottom w:val="single" w:sz="4" w:space="0" w:color="auto"/>
              <w:right w:val="nil"/>
            </w:tcBorders>
            <w:vAlign w:val="center"/>
            <w:hideMark/>
          </w:tcPr>
          <w:p w14:paraId="24D07763" w14:textId="602F4B29" w:rsidR="00E22882" w:rsidRPr="00C47F2F" w:rsidRDefault="00E22882" w:rsidP="00CF5D66">
            <w:pPr>
              <w:jc w:val="left"/>
              <w:rPr>
                <w:noProof/>
                <w:sz w:val="22"/>
                <w:szCs w:val="22"/>
              </w:rPr>
            </w:pPr>
            <w:r w:rsidRPr="00C47F2F">
              <w:rPr>
                <w:noProof/>
                <w:sz w:val="22"/>
                <w:szCs w:val="22"/>
              </w:rPr>
              <w:t>5</w:t>
            </w:r>
            <w:r w:rsidR="00365B5B">
              <w:rPr>
                <w:rFonts w:hint="eastAsia"/>
                <w:noProof/>
                <w:sz w:val="22"/>
                <w:szCs w:val="22"/>
                <w:lang w:eastAsia="ko-KR"/>
              </w:rPr>
              <w:t xml:space="preserve"> </w:t>
            </w:r>
            <w:r w:rsidRPr="00C47F2F">
              <w:rPr>
                <w:noProof/>
                <w:sz w:val="22"/>
                <w:szCs w:val="22"/>
              </w:rPr>
              <w:t>y</w:t>
            </w:r>
          </w:p>
        </w:tc>
        <w:tc>
          <w:tcPr>
            <w:tcW w:w="884" w:type="dxa"/>
            <w:tcBorders>
              <w:top w:val="single" w:sz="4" w:space="0" w:color="auto"/>
              <w:left w:val="nil"/>
              <w:bottom w:val="single" w:sz="4" w:space="0" w:color="auto"/>
              <w:right w:val="nil"/>
            </w:tcBorders>
            <w:vAlign w:val="center"/>
            <w:hideMark/>
          </w:tcPr>
          <w:p w14:paraId="6C80E81B" w14:textId="035ECD0D" w:rsidR="00E22882" w:rsidRPr="00C47F2F" w:rsidRDefault="00E22882" w:rsidP="00CF5D66">
            <w:pPr>
              <w:jc w:val="left"/>
              <w:rPr>
                <w:noProof/>
                <w:sz w:val="22"/>
                <w:szCs w:val="22"/>
              </w:rPr>
            </w:pPr>
            <w:r w:rsidRPr="00C47F2F">
              <w:rPr>
                <w:noProof/>
                <w:sz w:val="22"/>
                <w:szCs w:val="22"/>
              </w:rPr>
              <w:t>10</w:t>
            </w:r>
            <w:r w:rsidR="00365B5B">
              <w:rPr>
                <w:rFonts w:hint="eastAsia"/>
                <w:noProof/>
                <w:sz w:val="22"/>
                <w:szCs w:val="22"/>
                <w:lang w:eastAsia="ko-KR"/>
              </w:rPr>
              <w:t xml:space="preserve"> </w:t>
            </w:r>
            <w:r w:rsidRPr="00C47F2F">
              <w:rPr>
                <w:noProof/>
                <w:sz w:val="22"/>
                <w:szCs w:val="22"/>
              </w:rPr>
              <w:t>y</w:t>
            </w:r>
          </w:p>
        </w:tc>
        <w:tc>
          <w:tcPr>
            <w:tcW w:w="885" w:type="dxa"/>
            <w:tcBorders>
              <w:top w:val="single" w:sz="4" w:space="0" w:color="auto"/>
              <w:left w:val="nil"/>
              <w:bottom w:val="single" w:sz="4" w:space="0" w:color="auto"/>
              <w:right w:val="nil"/>
            </w:tcBorders>
            <w:vAlign w:val="center"/>
            <w:hideMark/>
          </w:tcPr>
          <w:p w14:paraId="2855372A" w14:textId="4D36170E" w:rsidR="00E22882" w:rsidRPr="00C47F2F" w:rsidRDefault="00E22882" w:rsidP="00CF5D66">
            <w:pPr>
              <w:jc w:val="left"/>
              <w:rPr>
                <w:noProof/>
                <w:sz w:val="22"/>
                <w:szCs w:val="22"/>
              </w:rPr>
            </w:pPr>
            <w:r w:rsidRPr="00C47F2F">
              <w:rPr>
                <w:noProof/>
                <w:sz w:val="22"/>
                <w:szCs w:val="22"/>
              </w:rPr>
              <w:t>15</w:t>
            </w:r>
            <w:r w:rsidR="00365B5B">
              <w:rPr>
                <w:rFonts w:hint="eastAsia"/>
                <w:noProof/>
                <w:sz w:val="22"/>
                <w:szCs w:val="22"/>
                <w:lang w:eastAsia="ko-KR"/>
              </w:rPr>
              <w:t xml:space="preserve"> </w:t>
            </w:r>
            <w:r w:rsidRPr="00C47F2F">
              <w:rPr>
                <w:noProof/>
                <w:sz w:val="22"/>
                <w:szCs w:val="22"/>
              </w:rPr>
              <w:t>y</w:t>
            </w:r>
          </w:p>
        </w:tc>
        <w:tc>
          <w:tcPr>
            <w:tcW w:w="885" w:type="dxa"/>
            <w:tcBorders>
              <w:top w:val="single" w:sz="4" w:space="0" w:color="auto"/>
              <w:left w:val="nil"/>
              <w:bottom w:val="single" w:sz="4" w:space="0" w:color="auto"/>
              <w:right w:val="nil"/>
            </w:tcBorders>
            <w:vAlign w:val="center"/>
            <w:hideMark/>
          </w:tcPr>
          <w:p w14:paraId="68321AB3" w14:textId="77777777" w:rsidR="00E22882" w:rsidRPr="00C47F2F" w:rsidRDefault="00E22882" w:rsidP="00CF5D66">
            <w:pPr>
              <w:jc w:val="left"/>
              <w:rPr>
                <w:noProof/>
                <w:sz w:val="22"/>
                <w:szCs w:val="22"/>
              </w:rPr>
            </w:pPr>
            <w:r w:rsidRPr="00C47F2F">
              <w:rPr>
                <w:noProof/>
                <w:sz w:val="22"/>
                <w:szCs w:val="22"/>
              </w:rPr>
              <w:t>Adult</w:t>
            </w:r>
          </w:p>
        </w:tc>
      </w:tr>
      <w:tr w:rsidR="00A41AD1" w:rsidRPr="00972C81" w14:paraId="2EEEC08C" w14:textId="77777777" w:rsidTr="00CF5D66">
        <w:trPr>
          <w:trHeight w:val="340"/>
        </w:trPr>
        <w:tc>
          <w:tcPr>
            <w:tcW w:w="3719" w:type="dxa"/>
            <w:tcBorders>
              <w:top w:val="single" w:sz="4" w:space="0" w:color="auto"/>
              <w:left w:val="nil"/>
              <w:bottom w:val="nil"/>
              <w:right w:val="nil"/>
            </w:tcBorders>
            <w:hideMark/>
          </w:tcPr>
          <w:p w14:paraId="12BB6D61" w14:textId="77777777" w:rsidR="00E22882" w:rsidRPr="00C47F2F" w:rsidRDefault="00E22882" w:rsidP="00CF5D66">
            <w:pPr>
              <w:jc w:val="left"/>
              <w:rPr>
                <w:noProof/>
                <w:sz w:val="22"/>
                <w:szCs w:val="22"/>
              </w:rPr>
            </w:pPr>
            <w:r w:rsidRPr="00C47F2F">
              <w:rPr>
                <w:rFonts w:eastAsia="Times New Roman"/>
                <w:noProof/>
                <w:color w:val="000000"/>
                <w:sz w:val="22"/>
                <w:szCs w:val="22"/>
              </w:rPr>
              <w:t>Water soluble forms, including chloride and citrate</w:t>
            </w:r>
          </w:p>
        </w:tc>
        <w:tc>
          <w:tcPr>
            <w:tcW w:w="884" w:type="dxa"/>
            <w:tcBorders>
              <w:top w:val="single" w:sz="4" w:space="0" w:color="auto"/>
              <w:left w:val="nil"/>
              <w:bottom w:val="nil"/>
              <w:right w:val="nil"/>
            </w:tcBorders>
            <w:hideMark/>
          </w:tcPr>
          <w:p w14:paraId="3B5FD57D"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1.4E-07</w:t>
            </w:r>
          </w:p>
        </w:tc>
        <w:tc>
          <w:tcPr>
            <w:tcW w:w="885" w:type="dxa"/>
            <w:tcBorders>
              <w:top w:val="single" w:sz="4" w:space="0" w:color="auto"/>
              <w:left w:val="nil"/>
              <w:bottom w:val="nil"/>
              <w:right w:val="nil"/>
            </w:tcBorders>
            <w:hideMark/>
          </w:tcPr>
          <w:p w14:paraId="668DFF8A"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1.2E-07</w:t>
            </w:r>
          </w:p>
        </w:tc>
        <w:tc>
          <w:tcPr>
            <w:tcW w:w="885" w:type="dxa"/>
            <w:tcBorders>
              <w:top w:val="single" w:sz="4" w:space="0" w:color="auto"/>
              <w:left w:val="nil"/>
              <w:bottom w:val="nil"/>
              <w:right w:val="nil"/>
            </w:tcBorders>
            <w:hideMark/>
          </w:tcPr>
          <w:p w14:paraId="709136E2"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6.4E-08</w:t>
            </w:r>
          </w:p>
        </w:tc>
        <w:tc>
          <w:tcPr>
            <w:tcW w:w="884" w:type="dxa"/>
            <w:tcBorders>
              <w:top w:val="single" w:sz="4" w:space="0" w:color="auto"/>
              <w:left w:val="nil"/>
              <w:bottom w:val="nil"/>
              <w:right w:val="nil"/>
            </w:tcBorders>
            <w:hideMark/>
          </w:tcPr>
          <w:p w14:paraId="0DF36F92"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3.9E-08</w:t>
            </w:r>
          </w:p>
        </w:tc>
        <w:tc>
          <w:tcPr>
            <w:tcW w:w="885" w:type="dxa"/>
            <w:tcBorders>
              <w:top w:val="single" w:sz="4" w:space="0" w:color="auto"/>
              <w:left w:val="nil"/>
              <w:bottom w:val="nil"/>
              <w:right w:val="nil"/>
            </w:tcBorders>
            <w:hideMark/>
          </w:tcPr>
          <w:p w14:paraId="4F0BE411"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3.3E-08</w:t>
            </w:r>
          </w:p>
        </w:tc>
        <w:tc>
          <w:tcPr>
            <w:tcW w:w="885" w:type="dxa"/>
            <w:tcBorders>
              <w:top w:val="single" w:sz="4" w:space="0" w:color="auto"/>
              <w:left w:val="nil"/>
              <w:bottom w:val="nil"/>
              <w:right w:val="nil"/>
            </w:tcBorders>
            <w:hideMark/>
          </w:tcPr>
          <w:p w14:paraId="16394A94"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3.0E-08</w:t>
            </w:r>
          </w:p>
        </w:tc>
      </w:tr>
      <w:tr w:rsidR="00E22882" w:rsidRPr="00972C81" w14:paraId="5C706D90" w14:textId="77777777" w:rsidTr="00CF5D66">
        <w:trPr>
          <w:trHeight w:val="340"/>
        </w:trPr>
        <w:tc>
          <w:tcPr>
            <w:tcW w:w="3719" w:type="dxa"/>
            <w:tcBorders>
              <w:top w:val="nil"/>
              <w:left w:val="nil"/>
              <w:bottom w:val="nil"/>
              <w:right w:val="nil"/>
            </w:tcBorders>
            <w:hideMark/>
          </w:tcPr>
          <w:p w14:paraId="185D77DB"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Dioxide</w:t>
            </w:r>
          </w:p>
        </w:tc>
        <w:tc>
          <w:tcPr>
            <w:tcW w:w="884" w:type="dxa"/>
            <w:tcBorders>
              <w:top w:val="nil"/>
              <w:left w:val="nil"/>
              <w:bottom w:val="nil"/>
              <w:right w:val="nil"/>
            </w:tcBorders>
            <w:hideMark/>
          </w:tcPr>
          <w:p w14:paraId="54CBBA7D"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1.6E-07</w:t>
            </w:r>
          </w:p>
        </w:tc>
        <w:tc>
          <w:tcPr>
            <w:tcW w:w="885" w:type="dxa"/>
            <w:tcBorders>
              <w:top w:val="nil"/>
              <w:left w:val="nil"/>
              <w:bottom w:val="nil"/>
              <w:right w:val="nil"/>
            </w:tcBorders>
            <w:hideMark/>
          </w:tcPr>
          <w:p w14:paraId="26BE3483"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1.5E-07</w:t>
            </w:r>
          </w:p>
        </w:tc>
        <w:tc>
          <w:tcPr>
            <w:tcW w:w="885" w:type="dxa"/>
            <w:tcBorders>
              <w:top w:val="nil"/>
              <w:left w:val="nil"/>
              <w:bottom w:val="nil"/>
              <w:right w:val="nil"/>
            </w:tcBorders>
            <w:hideMark/>
          </w:tcPr>
          <w:p w14:paraId="69F15D07"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8.7E-08</w:t>
            </w:r>
          </w:p>
        </w:tc>
        <w:tc>
          <w:tcPr>
            <w:tcW w:w="884" w:type="dxa"/>
            <w:tcBorders>
              <w:top w:val="nil"/>
              <w:left w:val="nil"/>
              <w:bottom w:val="nil"/>
              <w:right w:val="nil"/>
            </w:tcBorders>
            <w:hideMark/>
          </w:tcPr>
          <w:p w14:paraId="6B8AD4C5"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5.8E-08</w:t>
            </w:r>
          </w:p>
        </w:tc>
        <w:tc>
          <w:tcPr>
            <w:tcW w:w="885" w:type="dxa"/>
            <w:tcBorders>
              <w:top w:val="nil"/>
              <w:left w:val="nil"/>
              <w:bottom w:val="nil"/>
              <w:right w:val="nil"/>
            </w:tcBorders>
            <w:hideMark/>
          </w:tcPr>
          <w:p w14:paraId="481173BD"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4.7E-08</w:t>
            </w:r>
          </w:p>
        </w:tc>
        <w:tc>
          <w:tcPr>
            <w:tcW w:w="885" w:type="dxa"/>
            <w:tcBorders>
              <w:top w:val="nil"/>
              <w:left w:val="nil"/>
              <w:bottom w:val="nil"/>
              <w:right w:val="nil"/>
            </w:tcBorders>
            <w:hideMark/>
          </w:tcPr>
          <w:p w14:paraId="60920255"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4.7E-08</w:t>
            </w:r>
          </w:p>
        </w:tc>
      </w:tr>
      <w:tr w:rsidR="00E22882" w:rsidRPr="00972C81" w14:paraId="2D72EAD7" w14:textId="77777777" w:rsidTr="00CF5D66">
        <w:trPr>
          <w:trHeight w:val="340"/>
        </w:trPr>
        <w:tc>
          <w:tcPr>
            <w:tcW w:w="3719" w:type="dxa"/>
            <w:tcBorders>
              <w:top w:val="nil"/>
              <w:left w:val="nil"/>
              <w:bottom w:val="nil"/>
              <w:right w:val="nil"/>
            </w:tcBorders>
            <w:hideMark/>
          </w:tcPr>
          <w:p w14:paraId="602822B9" w14:textId="77777777" w:rsidR="00E22882" w:rsidRPr="00C47F2F" w:rsidRDefault="00E22882" w:rsidP="00CF5D66">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884" w:type="dxa"/>
            <w:tcBorders>
              <w:top w:val="nil"/>
              <w:left w:val="nil"/>
              <w:bottom w:val="nil"/>
              <w:right w:val="nil"/>
            </w:tcBorders>
            <w:hideMark/>
          </w:tcPr>
          <w:p w14:paraId="7EC9053F"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1.2E-07</w:t>
            </w:r>
          </w:p>
        </w:tc>
        <w:tc>
          <w:tcPr>
            <w:tcW w:w="885" w:type="dxa"/>
            <w:tcBorders>
              <w:top w:val="nil"/>
              <w:left w:val="nil"/>
              <w:bottom w:val="nil"/>
              <w:right w:val="nil"/>
            </w:tcBorders>
            <w:hideMark/>
          </w:tcPr>
          <w:p w14:paraId="00DB2D43"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1.1E-07</w:t>
            </w:r>
          </w:p>
        </w:tc>
        <w:tc>
          <w:tcPr>
            <w:tcW w:w="885" w:type="dxa"/>
            <w:tcBorders>
              <w:top w:val="nil"/>
              <w:left w:val="nil"/>
              <w:bottom w:val="nil"/>
              <w:right w:val="nil"/>
            </w:tcBorders>
            <w:hideMark/>
          </w:tcPr>
          <w:p w14:paraId="7364220D"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4.5E-08</w:t>
            </w:r>
          </w:p>
        </w:tc>
        <w:tc>
          <w:tcPr>
            <w:tcW w:w="884" w:type="dxa"/>
            <w:tcBorders>
              <w:top w:val="nil"/>
              <w:left w:val="nil"/>
              <w:bottom w:val="nil"/>
              <w:right w:val="nil"/>
            </w:tcBorders>
            <w:hideMark/>
          </w:tcPr>
          <w:p w14:paraId="637B4E33"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2.4E-08</w:t>
            </w:r>
          </w:p>
        </w:tc>
        <w:tc>
          <w:tcPr>
            <w:tcW w:w="885" w:type="dxa"/>
            <w:tcBorders>
              <w:top w:val="nil"/>
              <w:left w:val="nil"/>
              <w:bottom w:val="nil"/>
              <w:right w:val="nil"/>
            </w:tcBorders>
            <w:hideMark/>
          </w:tcPr>
          <w:p w14:paraId="0C73DB1D"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2.2E-08</w:t>
            </w:r>
          </w:p>
        </w:tc>
        <w:tc>
          <w:tcPr>
            <w:tcW w:w="885" w:type="dxa"/>
            <w:tcBorders>
              <w:top w:val="nil"/>
              <w:left w:val="nil"/>
              <w:bottom w:val="nil"/>
              <w:right w:val="nil"/>
            </w:tcBorders>
            <w:hideMark/>
          </w:tcPr>
          <w:p w14:paraId="53A9A02E"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1.7E-08</w:t>
            </w:r>
          </w:p>
        </w:tc>
      </w:tr>
      <w:tr w:rsidR="00E22882" w:rsidRPr="00972C81" w14:paraId="000A623F" w14:textId="77777777" w:rsidTr="00CF5D66">
        <w:trPr>
          <w:trHeight w:val="340"/>
        </w:trPr>
        <w:tc>
          <w:tcPr>
            <w:tcW w:w="3719" w:type="dxa"/>
            <w:tcBorders>
              <w:top w:val="nil"/>
              <w:left w:val="nil"/>
              <w:bottom w:val="nil"/>
              <w:right w:val="nil"/>
            </w:tcBorders>
            <w:hideMark/>
          </w:tcPr>
          <w:p w14:paraId="2CA803B0" w14:textId="77777777" w:rsidR="00E22882" w:rsidRPr="00C47F2F" w:rsidRDefault="00E22882" w:rsidP="00CF5D66">
            <w:pPr>
              <w:jc w:val="left"/>
              <w:rPr>
                <w:rFonts w:eastAsiaTheme="minorHAnsi"/>
                <w:noProof/>
                <w:sz w:val="22"/>
                <w:szCs w:val="22"/>
              </w:rPr>
            </w:pPr>
            <w:r w:rsidRPr="00C47F2F">
              <w:rPr>
                <w:noProof/>
                <w:sz w:val="22"/>
                <w:szCs w:val="22"/>
              </w:rPr>
              <w:t>Type M</w:t>
            </w:r>
          </w:p>
        </w:tc>
        <w:tc>
          <w:tcPr>
            <w:tcW w:w="884" w:type="dxa"/>
            <w:tcBorders>
              <w:top w:val="nil"/>
              <w:left w:val="nil"/>
              <w:bottom w:val="nil"/>
              <w:right w:val="nil"/>
            </w:tcBorders>
            <w:hideMark/>
          </w:tcPr>
          <w:p w14:paraId="44A238A6"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1.3E-07</w:t>
            </w:r>
          </w:p>
        </w:tc>
        <w:tc>
          <w:tcPr>
            <w:tcW w:w="885" w:type="dxa"/>
            <w:tcBorders>
              <w:top w:val="nil"/>
              <w:left w:val="nil"/>
              <w:bottom w:val="nil"/>
              <w:right w:val="nil"/>
            </w:tcBorders>
            <w:hideMark/>
          </w:tcPr>
          <w:p w14:paraId="1E641D9C"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1.2E-07</w:t>
            </w:r>
          </w:p>
        </w:tc>
        <w:tc>
          <w:tcPr>
            <w:tcW w:w="885" w:type="dxa"/>
            <w:tcBorders>
              <w:top w:val="nil"/>
              <w:left w:val="nil"/>
              <w:bottom w:val="nil"/>
              <w:right w:val="nil"/>
            </w:tcBorders>
            <w:hideMark/>
          </w:tcPr>
          <w:p w14:paraId="01D0B355"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6.1E-08</w:t>
            </w:r>
          </w:p>
        </w:tc>
        <w:tc>
          <w:tcPr>
            <w:tcW w:w="884" w:type="dxa"/>
            <w:tcBorders>
              <w:top w:val="nil"/>
              <w:left w:val="nil"/>
              <w:bottom w:val="nil"/>
              <w:right w:val="nil"/>
            </w:tcBorders>
            <w:hideMark/>
          </w:tcPr>
          <w:p w14:paraId="3E7C6632"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3.8E-08</w:t>
            </w:r>
          </w:p>
        </w:tc>
        <w:tc>
          <w:tcPr>
            <w:tcW w:w="885" w:type="dxa"/>
            <w:tcBorders>
              <w:top w:val="nil"/>
              <w:left w:val="nil"/>
              <w:bottom w:val="nil"/>
              <w:right w:val="nil"/>
            </w:tcBorders>
            <w:hideMark/>
          </w:tcPr>
          <w:p w14:paraId="45696D59"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3.1E-08</w:t>
            </w:r>
          </w:p>
        </w:tc>
        <w:tc>
          <w:tcPr>
            <w:tcW w:w="885" w:type="dxa"/>
            <w:tcBorders>
              <w:top w:val="nil"/>
              <w:left w:val="nil"/>
              <w:bottom w:val="nil"/>
              <w:right w:val="nil"/>
            </w:tcBorders>
            <w:hideMark/>
          </w:tcPr>
          <w:p w14:paraId="7894D05C"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2.9E-08</w:t>
            </w:r>
          </w:p>
        </w:tc>
      </w:tr>
      <w:tr w:rsidR="00E22882" w:rsidRPr="00972C81" w14:paraId="395A479E" w14:textId="77777777" w:rsidTr="00CF5D66">
        <w:trPr>
          <w:trHeight w:val="340"/>
        </w:trPr>
        <w:tc>
          <w:tcPr>
            <w:tcW w:w="3719" w:type="dxa"/>
            <w:tcBorders>
              <w:top w:val="nil"/>
              <w:left w:val="nil"/>
              <w:bottom w:val="single" w:sz="4" w:space="0" w:color="auto"/>
              <w:right w:val="nil"/>
            </w:tcBorders>
            <w:hideMark/>
          </w:tcPr>
          <w:p w14:paraId="2967B213" w14:textId="77777777" w:rsidR="00E22882" w:rsidRPr="00C47F2F" w:rsidRDefault="00E22882" w:rsidP="00CF5D66">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884" w:type="dxa"/>
            <w:tcBorders>
              <w:top w:val="nil"/>
              <w:left w:val="nil"/>
              <w:bottom w:val="single" w:sz="4" w:space="0" w:color="auto"/>
              <w:right w:val="nil"/>
            </w:tcBorders>
            <w:hideMark/>
          </w:tcPr>
          <w:p w14:paraId="0A275CAC"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1.7E-07</w:t>
            </w:r>
          </w:p>
        </w:tc>
        <w:tc>
          <w:tcPr>
            <w:tcW w:w="885" w:type="dxa"/>
            <w:tcBorders>
              <w:top w:val="nil"/>
              <w:left w:val="nil"/>
              <w:bottom w:val="single" w:sz="4" w:space="0" w:color="auto"/>
              <w:right w:val="nil"/>
            </w:tcBorders>
            <w:hideMark/>
          </w:tcPr>
          <w:p w14:paraId="231AE477"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1.6E-07</w:t>
            </w:r>
          </w:p>
        </w:tc>
        <w:tc>
          <w:tcPr>
            <w:tcW w:w="885" w:type="dxa"/>
            <w:tcBorders>
              <w:top w:val="nil"/>
              <w:left w:val="nil"/>
              <w:bottom w:val="single" w:sz="4" w:space="0" w:color="auto"/>
              <w:right w:val="nil"/>
            </w:tcBorders>
            <w:hideMark/>
          </w:tcPr>
          <w:p w14:paraId="59BB62A0"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9.8E-08</w:t>
            </w:r>
          </w:p>
        </w:tc>
        <w:tc>
          <w:tcPr>
            <w:tcW w:w="884" w:type="dxa"/>
            <w:tcBorders>
              <w:top w:val="nil"/>
              <w:left w:val="nil"/>
              <w:bottom w:val="single" w:sz="4" w:space="0" w:color="auto"/>
              <w:right w:val="nil"/>
            </w:tcBorders>
            <w:hideMark/>
          </w:tcPr>
          <w:p w14:paraId="04C37337"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6.7E-08</w:t>
            </w:r>
          </w:p>
        </w:tc>
        <w:tc>
          <w:tcPr>
            <w:tcW w:w="885" w:type="dxa"/>
            <w:tcBorders>
              <w:top w:val="nil"/>
              <w:left w:val="nil"/>
              <w:bottom w:val="single" w:sz="4" w:space="0" w:color="auto"/>
              <w:right w:val="nil"/>
            </w:tcBorders>
            <w:hideMark/>
          </w:tcPr>
          <w:p w14:paraId="5927A559"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5.4E-08</w:t>
            </w:r>
          </w:p>
        </w:tc>
        <w:tc>
          <w:tcPr>
            <w:tcW w:w="885" w:type="dxa"/>
            <w:tcBorders>
              <w:top w:val="nil"/>
              <w:left w:val="nil"/>
              <w:bottom w:val="single" w:sz="4" w:space="0" w:color="auto"/>
              <w:right w:val="nil"/>
            </w:tcBorders>
            <w:hideMark/>
          </w:tcPr>
          <w:p w14:paraId="60FF3327"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5.5E-08</w:t>
            </w:r>
          </w:p>
        </w:tc>
      </w:tr>
      <w:tr w:rsidR="00E22882" w:rsidRPr="00972C81" w14:paraId="38081B5C" w14:textId="77777777" w:rsidTr="00CF5D66">
        <w:trPr>
          <w:trHeight w:val="340"/>
        </w:trPr>
        <w:tc>
          <w:tcPr>
            <w:tcW w:w="3719" w:type="dxa"/>
            <w:tcBorders>
              <w:top w:val="single" w:sz="4" w:space="0" w:color="auto"/>
              <w:left w:val="nil"/>
              <w:bottom w:val="single" w:sz="4" w:space="0" w:color="auto"/>
              <w:right w:val="nil"/>
            </w:tcBorders>
          </w:tcPr>
          <w:p w14:paraId="577A5A2E" w14:textId="77777777" w:rsidR="00E22882" w:rsidRPr="00C47F2F" w:rsidRDefault="00E22882" w:rsidP="00C47F2F">
            <w:pPr>
              <w:jc w:val="left"/>
              <w:rPr>
                <w:rFonts w:eastAsiaTheme="minorHAnsi"/>
                <w:noProof/>
                <w:sz w:val="22"/>
                <w:szCs w:val="22"/>
              </w:rPr>
            </w:pPr>
          </w:p>
          <w:p w14:paraId="0BE27221" w14:textId="77777777" w:rsidR="00E22882" w:rsidRPr="00C47F2F" w:rsidRDefault="00E22882" w:rsidP="00C47F2F">
            <w:pPr>
              <w:jc w:val="left"/>
              <w:rPr>
                <w:noProof/>
                <w:sz w:val="22"/>
                <w:szCs w:val="22"/>
              </w:rPr>
            </w:pPr>
            <w:r w:rsidRPr="00C47F2F">
              <w:rPr>
                <w:noProof/>
                <w:sz w:val="22"/>
                <w:szCs w:val="22"/>
              </w:rPr>
              <w:t>Ingested materials</w:t>
            </w:r>
          </w:p>
        </w:tc>
        <w:tc>
          <w:tcPr>
            <w:tcW w:w="884" w:type="dxa"/>
            <w:tcBorders>
              <w:top w:val="single" w:sz="4" w:space="0" w:color="auto"/>
              <w:left w:val="nil"/>
              <w:bottom w:val="single" w:sz="4" w:space="0" w:color="auto"/>
              <w:right w:val="nil"/>
            </w:tcBorders>
          </w:tcPr>
          <w:p w14:paraId="0941002F" w14:textId="77777777" w:rsidR="00E22882" w:rsidRPr="00C47F2F" w:rsidRDefault="00E22882" w:rsidP="00C47F2F">
            <w:pPr>
              <w:jc w:val="left"/>
              <w:rPr>
                <w:rFonts w:eastAsia="Times New Roman"/>
                <w:noProof/>
                <w:color w:val="000000"/>
                <w:sz w:val="22"/>
                <w:szCs w:val="22"/>
              </w:rPr>
            </w:pPr>
          </w:p>
        </w:tc>
        <w:tc>
          <w:tcPr>
            <w:tcW w:w="885" w:type="dxa"/>
            <w:tcBorders>
              <w:top w:val="single" w:sz="4" w:space="0" w:color="auto"/>
              <w:left w:val="nil"/>
              <w:bottom w:val="single" w:sz="4" w:space="0" w:color="auto"/>
              <w:right w:val="nil"/>
            </w:tcBorders>
          </w:tcPr>
          <w:p w14:paraId="1DB0B44A" w14:textId="77777777" w:rsidR="00E22882" w:rsidRPr="00C47F2F" w:rsidRDefault="00E22882" w:rsidP="00C47F2F">
            <w:pPr>
              <w:jc w:val="left"/>
              <w:rPr>
                <w:rFonts w:eastAsia="Times New Roman"/>
                <w:noProof/>
                <w:color w:val="000000"/>
                <w:sz w:val="22"/>
                <w:szCs w:val="22"/>
              </w:rPr>
            </w:pPr>
          </w:p>
        </w:tc>
        <w:tc>
          <w:tcPr>
            <w:tcW w:w="885" w:type="dxa"/>
            <w:tcBorders>
              <w:top w:val="single" w:sz="4" w:space="0" w:color="auto"/>
              <w:left w:val="nil"/>
              <w:bottom w:val="single" w:sz="4" w:space="0" w:color="auto"/>
              <w:right w:val="nil"/>
            </w:tcBorders>
          </w:tcPr>
          <w:p w14:paraId="1F012A9D" w14:textId="77777777" w:rsidR="00E22882" w:rsidRPr="00C47F2F" w:rsidRDefault="00E22882" w:rsidP="00C47F2F">
            <w:pPr>
              <w:jc w:val="left"/>
              <w:rPr>
                <w:rFonts w:eastAsia="Times New Roman"/>
                <w:noProof/>
                <w:color w:val="000000"/>
                <w:sz w:val="22"/>
                <w:szCs w:val="22"/>
              </w:rPr>
            </w:pPr>
          </w:p>
        </w:tc>
        <w:tc>
          <w:tcPr>
            <w:tcW w:w="884" w:type="dxa"/>
            <w:tcBorders>
              <w:top w:val="single" w:sz="4" w:space="0" w:color="auto"/>
              <w:left w:val="nil"/>
              <w:bottom w:val="single" w:sz="4" w:space="0" w:color="auto"/>
              <w:right w:val="nil"/>
            </w:tcBorders>
          </w:tcPr>
          <w:p w14:paraId="0ACC9790" w14:textId="77777777" w:rsidR="00E22882" w:rsidRPr="00C47F2F" w:rsidRDefault="00E22882" w:rsidP="00C47F2F">
            <w:pPr>
              <w:jc w:val="left"/>
              <w:rPr>
                <w:rFonts w:eastAsia="Times New Roman"/>
                <w:noProof/>
                <w:color w:val="000000"/>
                <w:sz w:val="22"/>
                <w:szCs w:val="22"/>
              </w:rPr>
            </w:pPr>
          </w:p>
        </w:tc>
        <w:tc>
          <w:tcPr>
            <w:tcW w:w="885" w:type="dxa"/>
            <w:tcBorders>
              <w:top w:val="single" w:sz="4" w:space="0" w:color="auto"/>
              <w:left w:val="nil"/>
              <w:bottom w:val="single" w:sz="4" w:space="0" w:color="auto"/>
              <w:right w:val="nil"/>
            </w:tcBorders>
          </w:tcPr>
          <w:p w14:paraId="65DF3093" w14:textId="77777777" w:rsidR="00E22882" w:rsidRPr="00C47F2F" w:rsidRDefault="00E22882" w:rsidP="00C47F2F">
            <w:pPr>
              <w:jc w:val="left"/>
              <w:rPr>
                <w:rFonts w:eastAsia="Times New Roman"/>
                <w:noProof/>
                <w:color w:val="000000"/>
                <w:sz w:val="22"/>
                <w:szCs w:val="22"/>
              </w:rPr>
            </w:pPr>
          </w:p>
        </w:tc>
        <w:tc>
          <w:tcPr>
            <w:tcW w:w="885" w:type="dxa"/>
            <w:tcBorders>
              <w:top w:val="single" w:sz="4" w:space="0" w:color="auto"/>
              <w:left w:val="nil"/>
              <w:bottom w:val="single" w:sz="4" w:space="0" w:color="auto"/>
              <w:right w:val="nil"/>
            </w:tcBorders>
          </w:tcPr>
          <w:p w14:paraId="3E575942" w14:textId="77777777" w:rsidR="00E22882" w:rsidRPr="00C47F2F" w:rsidRDefault="00E22882" w:rsidP="00C47F2F">
            <w:pPr>
              <w:jc w:val="left"/>
              <w:rPr>
                <w:rFonts w:eastAsia="Times New Roman"/>
                <w:noProof/>
                <w:color w:val="000000"/>
                <w:sz w:val="22"/>
                <w:szCs w:val="22"/>
              </w:rPr>
            </w:pPr>
          </w:p>
        </w:tc>
      </w:tr>
      <w:tr w:rsidR="00E22882" w:rsidRPr="00972C81" w14:paraId="5ABDAD24" w14:textId="77777777" w:rsidTr="00CF5D66">
        <w:trPr>
          <w:trHeight w:val="340"/>
        </w:trPr>
        <w:tc>
          <w:tcPr>
            <w:tcW w:w="3719" w:type="dxa"/>
            <w:tcBorders>
              <w:top w:val="single" w:sz="4" w:space="0" w:color="auto"/>
              <w:left w:val="nil"/>
              <w:bottom w:val="single" w:sz="4" w:space="0" w:color="auto"/>
              <w:right w:val="nil"/>
            </w:tcBorders>
            <w:vAlign w:val="center"/>
            <w:hideMark/>
          </w:tcPr>
          <w:p w14:paraId="2A0E5EDB" w14:textId="1719F668" w:rsidR="00E22882" w:rsidRPr="00C47F2F" w:rsidRDefault="00E22882" w:rsidP="00CF5D66">
            <w:pPr>
              <w:jc w:val="left"/>
              <w:rPr>
                <w:rFonts w:eastAsiaTheme="minorHAnsi"/>
                <w:noProof/>
                <w:sz w:val="22"/>
                <w:szCs w:val="22"/>
              </w:rPr>
            </w:pPr>
            <w:r w:rsidRPr="00C47F2F">
              <w:rPr>
                <w:rFonts w:eastAsia="Times New Roman"/>
                <w:noProof/>
                <w:color w:val="000000"/>
                <w:sz w:val="22"/>
                <w:szCs w:val="22"/>
                <w:lang w:eastAsia="en-GB"/>
              </w:rPr>
              <w:t>All compounds</w:t>
            </w:r>
          </w:p>
        </w:tc>
        <w:tc>
          <w:tcPr>
            <w:tcW w:w="884" w:type="dxa"/>
            <w:tcBorders>
              <w:top w:val="single" w:sz="4" w:space="0" w:color="auto"/>
              <w:left w:val="nil"/>
              <w:bottom w:val="single" w:sz="4" w:space="0" w:color="auto"/>
              <w:right w:val="nil"/>
            </w:tcBorders>
            <w:vAlign w:val="center"/>
            <w:hideMark/>
          </w:tcPr>
          <w:p w14:paraId="0459C783"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1.0E-08</w:t>
            </w:r>
          </w:p>
        </w:tc>
        <w:tc>
          <w:tcPr>
            <w:tcW w:w="885" w:type="dxa"/>
            <w:tcBorders>
              <w:top w:val="single" w:sz="4" w:space="0" w:color="auto"/>
              <w:left w:val="nil"/>
              <w:bottom w:val="single" w:sz="4" w:space="0" w:color="auto"/>
              <w:right w:val="nil"/>
            </w:tcBorders>
            <w:vAlign w:val="center"/>
            <w:hideMark/>
          </w:tcPr>
          <w:p w14:paraId="034798CD"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4.4E-09</w:t>
            </w:r>
          </w:p>
        </w:tc>
        <w:tc>
          <w:tcPr>
            <w:tcW w:w="885" w:type="dxa"/>
            <w:tcBorders>
              <w:top w:val="single" w:sz="4" w:space="0" w:color="auto"/>
              <w:left w:val="nil"/>
              <w:bottom w:val="single" w:sz="4" w:space="0" w:color="auto"/>
              <w:right w:val="nil"/>
            </w:tcBorders>
            <w:vAlign w:val="center"/>
            <w:hideMark/>
          </w:tcPr>
          <w:p w14:paraId="6CBDAA64"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2.5E-09</w:t>
            </w:r>
          </w:p>
        </w:tc>
        <w:tc>
          <w:tcPr>
            <w:tcW w:w="884" w:type="dxa"/>
            <w:tcBorders>
              <w:top w:val="single" w:sz="4" w:space="0" w:color="auto"/>
              <w:left w:val="nil"/>
              <w:bottom w:val="single" w:sz="4" w:space="0" w:color="auto"/>
              <w:right w:val="nil"/>
            </w:tcBorders>
            <w:vAlign w:val="center"/>
            <w:hideMark/>
          </w:tcPr>
          <w:p w14:paraId="433EA7D4"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1.7E-09</w:t>
            </w:r>
          </w:p>
        </w:tc>
        <w:tc>
          <w:tcPr>
            <w:tcW w:w="885" w:type="dxa"/>
            <w:tcBorders>
              <w:top w:val="single" w:sz="4" w:space="0" w:color="auto"/>
              <w:left w:val="nil"/>
              <w:bottom w:val="single" w:sz="4" w:space="0" w:color="auto"/>
              <w:right w:val="nil"/>
            </w:tcBorders>
            <w:vAlign w:val="center"/>
            <w:hideMark/>
          </w:tcPr>
          <w:p w14:paraId="55B95757"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1.1E-09</w:t>
            </w:r>
          </w:p>
        </w:tc>
        <w:tc>
          <w:tcPr>
            <w:tcW w:w="885" w:type="dxa"/>
            <w:tcBorders>
              <w:top w:val="single" w:sz="4" w:space="0" w:color="auto"/>
              <w:left w:val="nil"/>
              <w:bottom w:val="single" w:sz="4" w:space="0" w:color="auto"/>
              <w:right w:val="nil"/>
            </w:tcBorders>
            <w:vAlign w:val="center"/>
            <w:hideMark/>
          </w:tcPr>
          <w:p w14:paraId="425890F4" w14:textId="77777777" w:rsidR="00E22882" w:rsidRPr="00C47F2F" w:rsidRDefault="00E22882" w:rsidP="00CF5D66">
            <w:pPr>
              <w:jc w:val="left"/>
              <w:rPr>
                <w:rFonts w:eastAsia="Times New Roman"/>
                <w:noProof/>
                <w:color w:val="000000"/>
                <w:sz w:val="22"/>
                <w:szCs w:val="22"/>
              </w:rPr>
            </w:pPr>
            <w:r w:rsidRPr="00C47F2F">
              <w:rPr>
                <w:rFonts w:eastAsia="Times New Roman"/>
                <w:noProof/>
                <w:color w:val="000000"/>
                <w:sz w:val="22"/>
                <w:szCs w:val="22"/>
              </w:rPr>
              <w:t>9.8E-10</w:t>
            </w:r>
          </w:p>
        </w:tc>
      </w:tr>
    </w:tbl>
    <w:p w14:paraId="27C2F643" w14:textId="73225266" w:rsidR="00EB7771" w:rsidRPr="0057134B" w:rsidRDefault="00EB7771" w:rsidP="00C47F2F">
      <w:pPr>
        <w:pStyle w:val="GlossaryHeadChar"/>
        <w:overflowPunct/>
        <w:autoSpaceDE/>
        <w:autoSpaceDN/>
        <w:adjustRightInd/>
        <w:spacing w:before="0" w:after="0"/>
        <w:textAlignment w:val="auto"/>
        <w:rPr>
          <w:noProof/>
        </w:rPr>
      </w:pPr>
      <w:r w:rsidRPr="0057134B">
        <w:rPr>
          <w:rFonts w:eastAsiaTheme="minorEastAsia"/>
          <w:noProof/>
          <w:lang w:eastAsia="en-US"/>
        </w:rPr>
        <w:br w:type="page"/>
      </w:r>
    </w:p>
    <w:p w14:paraId="186A0B20" w14:textId="66FD87D1" w:rsidR="007D1F4D" w:rsidRPr="00972C81" w:rsidRDefault="00DC407D" w:rsidP="00E81109">
      <w:pPr>
        <w:pStyle w:val="1"/>
        <w:rPr>
          <w:noProof/>
        </w:rPr>
      </w:pPr>
      <w:bookmarkStart w:id="73" w:name="_Toc455492580"/>
      <w:bookmarkStart w:id="74" w:name="_Toc455493009"/>
      <w:bookmarkStart w:id="75" w:name="_Toc162629995"/>
      <w:r w:rsidRPr="00972C81">
        <w:rPr>
          <w:noProof/>
        </w:rPr>
        <w:lastRenderedPageBreak/>
        <w:t>Praseodymium (Z = 59)</w:t>
      </w:r>
      <w:bookmarkEnd w:id="73"/>
      <w:bookmarkEnd w:id="74"/>
      <w:bookmarkEnd w:id="75"/>
    </w:p>
    <w:p w14:paraId="34BE5093" w14:textId="30CCADD0" w:rsidR="00AE14B1" w:rsidRPr="00972C81" w:rsidRDefault="00DC407D" w:rsidP="00E81109">
      <w:pPr>
        <w:pStyle w:val="2"/>
        <w:rPr>
          <w:noProof/>
          <w:lang w:val="en-GB"/>
        </w:rPr>
      </w:pPr>
      <w:bookmarkStart w:id="76" w:name="_Toc17467801"/>
      <w:bookmarkStart w:id="77" w:name="_Toc455492582"/>
      <w:bookmarkStart w:id="78" w:name="_Toc455493011"/>
      <w:bookmarkStart w:id="79" w:name="_Toc162629996"/>
      <w:bookmarkEnd w:id="76"/>
      <w:r w:rsidRPr="00972C81">
        <w:rPr>
          <w:noProof/>
          <w:lang w:val="en-GB"/>
        </w:rPr>
        <w:t>Routes of Intake</w:t>
      </w:r>
      <w:bookmarkEnd w:id="77"/>
      <w:bookmarkEnd w:id="78"/>
      <w:bookmarkEnd w:id="79"/>
    </w:p>
    <w:p w14:paraId="3C2965C7" w14:textId="77777777" w:rsidR="00AE14B1" w:rsidRPr="00972C81" w:rsidRDefault="00DC407D" w:rsidP="00E81109">
      <w:pPr>
        <w:pStyle w:val="3"/>
        <w:rPr>
          <w:noProof/>
        </w:rPr>
      </w:pPr>
      <w:bookmarkStart w:id="80" w:name="_Toc162629997"/>
      <w:r w:rsidRPr="00972C81">
        <w:rPr>
          <w:noProof/>
        </w:rPr>
        <w:t>Inhalation</w:t>
      </w:r>
      <w:bookmarkEnd w:id="80"/>
    </w:p>
    <w:p w14:paraId="749C24FF" w14:textId="472D12A4" w:rsidR="00AE14B1" w:rsidRPr="00972C81" w:rsidRDefault="00AE14B1" w:rsidP="001C4A92">
      <w:pPr>
        <w:pStyle w:val="Annalstext"/>
        <w:rPr>
          <w:noProof/>
        </w:rPr>
      </w:pPr>
      <w:r w:rsidRPr="00972C81">
        <w:rPr>
          <w:noProof/>
        </w:rPr>
        <w:t xml:space="preserve">No information was found on the behaviour of inhaled praseodymium (Pr) </w:t>
      </w:r>
      <w:r w:rsidR="00BB503E">
        <w:rPr>
          <w:noProof/>
        </w:rPr>
        <w:t>in humans</w:t>
      </w:r>
      <w:r w:rsidRPr="00972C81">
        <w:rPr>
          <w:noProof/>
        </w:rPr>
        <w:t>. Information on absorption from the respiratory tract is available from experimental s</w:t>
      </w:r>
      <w:r w:rsidR="00DC407D" w:rsidRPr="00972C81">
        <w:rPr>
          <w:noProof/>
        </w:rPr>
        <w:t xml:space="preserve">tudies of praseodymium chloride. The studies reported were of short duration because they used </w:t>
      </w:r>
      <w:r w:rsidR="00DC407D" w:rsidRPr="00972C81">
        <w:rPr>
          <w:noProof/>
          <w:vertAlign w:val="superscript"/>
        </w:rPr>
        <w:t>143</w:t>
      </w:r>
      <w:r w:rsidR="00DC407D" w:rsidRPr="00972C81">
        <w:rPr>
          <w:noProof/>
        </w:rPr>
        <w:t xml:space="preserve">Pr, which has a half-life of only 13.7 d. For details see Section 5 of </w:t>
      </w:r>
      <w:r w:rsidR="00B0539B" w:rsidRPr="00972C81">
        <w:rPr>
          <w:i/>
          <w:noProof/>
        </w:rPr>
        <w:t>Publication 141</w:t>
      </w:r>
      <w:r w:rsidR="00B0539B" w:rsidRPr="00972C81">
        <w:rPr>
          <w:noProof/>
        </w:rPr>
        <w:t xml:space="preserve"> </w:t>
      </w:r>
      <w:r w:rsidR="00F91EB7" w:rsidRPr="00972C81">
        <w:rPr>
          <w:noProof/>
        </w:rPr>
        <w:fldChar w:fldCharType="begin"/>
      </w:r>
      <w:r w:rsidR="00F91EB7" w:rsidRPr="00972C81">
        <w:rPr>
          <w:noProof/>
        </w:rPr>
        <w:instrText xml:space="preserve"> ADDIN ZOTERO_ITEM CSL_CITATION {"citationID":"qXxHQnpF","properties":{"formattedCitation":"(ICRP,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F91EB7" w:rsidRPr="00972C81">
        <w:rPr>
          <w:noProof/>
        </w:rPr>
        <w:fldChar w:fldCharType="separate"/>
      </w:r>
      <w:r w:rsidR="00BC59C6" w:rsidRPr="00972C81">
        <w:rPr>
          <w:noProof/>
        </w:rPr>
        <w:t>(ICRP, 2019)</w:t>
      </w:r>
      <w:r w:rsidR="00F91EB7" w:rsidRPr="00972C81">
        <w:rPr>
          <w:noProof/>
        </w:rPr>
        <w:fldChar w:fldCharType="end"/>
      </w:r>
      <w:r w:rsidR="00B52D62" w:rsidRPr="00972C81">
        <w:rPr>
          <w:noProof/>
        </w:rPr>
        <w:t>.</w:t>
      </w:r>
      <w:r w:rsidR="00B0539B" w:rsidRPr="00972C81">
        <w:rPr>
          <w:noProof/>
        </w:rPr>
        <w:t xml:space="preserve"> </w:t>
      </w:r>
      <w:r w:rsidR="00B52D62" w:rsidRPr="00972C81">
        <w:rPr>
          <w:noProof/>
        </w:rPr>
        <w:t xml:space="preserve">Absorption </w:t>
      </w:r>
      <w:r w:rsidRPr="00972C81">
        <w:rPr>
          <w:noProof/>
        </w:rPr>
        <w:t xml:space="preserve">parameter values based on cerium are applied in this document to the </w:t>
      </w:r>
      <w:r w:rsidR="00DC407D" w:rsidRPr="00972C81">
        <w:rPr>
          <w:noProof/>
        </w:rPr>
        <w:t xml:space="preserve">other lanthanides. Absorption parameter values and Types, and associated </w:t>
      </w:r>
      <w:r w:rsidR="00DC407D" w:rsidRPr="00972C81">
        <w:rPr>
          <w:i/>
          <w:noProof/>
        </w:rPr>
        <w:t>f</w:t>
      </w:r>
      <w:r w:rsidR="00DC407D" w:rsidRPr="00972C81">
        <w:rPr>
          <w:noProof/>
          <w:vertAlign w:val="subscript"/>
        </w:rPr>
        <w:t>A</w:t>
      </w:r>
      <w:r w:rsidR="00DC407D" w:rsidRPr="00972C81">
        <w:rPr>
          <w:noProof/>
        </w:rPr>
        <w:t xml:space="preserve"> values for particulate forms of lanthanides, including</w:t>
      </w:r>
      <w:r w:rsidR="000579A0" w:rsidRPr="00972C81">
        <w:rPr>
          <w:noProof/>
        </w:rPr>
        <w:t xml:space="preserve"> pra</w:t>
      </w:r>
      <w:r w:rsidRPr="00972C81">
        <w:rPr>
          <w:noProof/>
        </w:rPr>
        <w:t xml:space="preserve">seodymium, are given in </w:t>
      </w:r>
      <w:r w:rsidR="00B94D6D" w:rsidRPr="00972C81">
        <w:rPr>
          <w:noProof/>
        </w:rPr>
        <w:fldChar w:fldCharType="begin"/>
      </w:r>
      <w:r w:rsidR="00B94D6D" w:rsidRPr="00972C81">
        <w:rPr>
          <w:noProof/>
        </w:rPr>
        <w:instrText xml:space="preserve"> REF _Ref417994983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1</w:t>
      </w:r>
      <w:r w:rsidR="00B94D6D" w:rsidRPr="00972C81">
        <w:rPr>
          <w:noProof/>
        </w:rPr>
        <w:fldChar w:fldCharType="end"/>
      </w:r>
      <w:r w:rsidR="00B94D6D" w:rsidRPr="00972C81">
        <w:rPr>
          <w:noProof/>
        </w:rPr>
        <w:t xml:space="preserve"> and </w:t>
      </w:r>
      <w:r w:rsidR="00B94D6D" w:rsidRPr="00972C81">
        <w:rPr>
          <w:noProof/>
        </w:rPr>
        <w:fldChar w:fldCharType="begin"/>
      </w:r>
      <w:r w:rsidR="00B94D6D" w:rsidRPr="00972C81">
        <w:rPr>
          <w:noProof/>
        </w:rPr>
        <w:instrText xml:space="preserve"> REF _Ref141784472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B94D6D" w:rsidRPr="00972C81">
        <w:rPr>
          <w:noProof/>
        </w:rPr>
        <w:fldChar w:fldCharType="end"/>
      </w:r>
      <w:r w:rsidR="00B94D6D" w:rsidRPr="00972C81">
        <w:rPr>
          <w:noProof/>
        </w:rPr>
        <w:t xml:space="preserve"> </w:t>
      </w:r>
      <w:r w:rsidRPr="00972C81">
        <w:rPr>
          <w:noProof/>
        </w:rPr>
        <w:t xml:space="preserve">of the </w:t>
      </w:r>
      <w:r w:rsidR="00DC407D" w:rsidRPr="00972C81">
        <w:rPr>
          <w:noProof/>
        </w:rPr>
        <w:t xml:space="preserve">lanthanum section. </w:t>
      </w:r>
    </w:p>
    <w:p w14:paraId="4782113B" w14:textId="77777777" w:rsidR="00AE14B1" w:rsidRPr="00972C81" w:rsidRDefault="00DC407D" w:rsidP="00E81109">
      <w:pPr>
        <w:pStyle w:val="3"/>
        <w:rPr>
          <w:noProof/>
        </w:rPr>
      </w:pPr>
      <w:bookmarkStart w:id="81" w:name="_Toc162629998"/>
      <w:r w:rsidRPr="00972C81">
        <w:rPr>
          <w:noProof/>
        </w:rPr>
        <w:t>Ingestion</w:t>
      </w:r>
      <w:bookmarkEnd w:id="81"/>
    </w:p>
    <w:p w14:paraId="63DBD4E8" w14:textId="11307B57" w:rsidR="00142E6B" w:rsidRPr="00972C81" w:rsidRDefault="00DC407D" w:rsidP="001C4A92">
      <w:pPr>
        <w:pStyle w:val="Annalstext"/>
        <w:rPr>
          <w:noProof/>
        </w:rPr>
      </w:pPr>
      <w:r w:rsidRPr="00972C81">
        <w:rPr>
          <w:i/>
          <w:noProof/>
        </w:rPr>
        <w:t>Adults</w:t>
      </w:r>
      <w:r w:rsidR="00142E6B" w:rsidRPr="00972C81">
        <w:rPr>
          <w:noProof/>
        </w:rPr>
        <w:t xml:space="preserve">. In Section 2 of </w:t>
      </w:r>
      <w:r w:rsidR="00EB4AA0" w:rsidRPr="00972C81">
        <w:rPr>
          <w:i/>
          <w:noProof/>
        </w:rPr>
        <w:t>Publication 141</w:t>
      </w:r>
      <w:r w:rsidR="00142E6B" w:rsidRPr="00972C81">
        <w:rPr>
          <w:noProof/>
        </w:rPr>
        <w:t xml:space="preserve"> </w:t>
      </w:r>
      <w:r w:rsidR="00F91EB7" w:rsidRPr="00972C81">
        <w:rPr>
          <w:noProof/>
        </w:rPr>
        <w:fldChar w:fldCharType="begin"/>
      </w:r>
      <w:r w:rsidR="00F91EB7" w:rsidRPr="00972C81">
        <w:rPr>
          <w:noProof/>
        </w:rPr>
        <w:instrText xml:space="preserve"> ADDIN ZOTERO_ITEM CSL_CITATION {"citationID":"G8HOXxiW","properties":{"formattedCitation":"(ICRP,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F91EB7" w:rsidRPr="00972C81">
        <w:rPr>
          <w:noProof/>
        </w:rPr>
        <w:fldChar w:fldCharType="separate"/>
      </w:r>
      <w:r w:rsidR="00BC59C6" w:rsidRPr="00972C81">
        <w:rPr>
          <w:noProof/>
        </w:rPr>
        <w:t>(ICRP, 2019)</w:t>
      </w:r>
      <w:r w:rsidR="00F91EB7" w:rsidRPr="00972C81">
        <w:rPr>
          <w:noProof/>
        </w:rPr>
        <w:fldChar w:fldCharType="end"/>
      </w:r>
      <w:r w:rsidR="00142E6B" w:rsidRPr="00972C81">
        <w:rPr>
          <w:noProof/>
        </w:rPr>
        <w:t xml:space="preserve"> information relating to the gastrointestinal absorption of different lanthanide elements was compared. Their fractiona</w:t>
      </w:r>
      <w:r w:rsidR="00C10792" w:rsidRPr="00972C81">
        <w:rPr>
          <w:noProof/>
        </w:rPr>
        <w:t>l absorption was found to be below</w:t>
      </w:r>
      <w:r w:rsidR="00142E6B" w:rsidRPr="00972C81">
        <w:rPr>
          <w:noProof/>
        </w:rPr>
        <w:t xml:space="preserve"> 10</w:t>
      </w:r>
      <w:r w:rsidRPr="00972C81">
        <w:rPr>
          <w:noProof/>
          <w:vertAlign w:val="superscript"/>
        </w:rPr>
        <w:t>-3</w:t>
      </w:r>
      <w:r w:rsidR="00142E6B" w:rsidRPr="00972C81">
        <w:rPr>
          <w:noProof/>
        </w:rPr>
        <w:t xml:space="preserve"> in most cases and a </w:t>
      </w:r>
      <w:r w:rsidRPr="00972C81">
        <w:rPr>
          <w:i/>
          <w:noProof/>
        </w:rPr>
        <w:t>f</w:t>
      </w:r>
      <w:r w:rsidRPr="00972C81">
        <w:rPr>
          <w:noProof/>
          <w:vertAlign w:val="subscript"/>
        </w:rPr>
        <w:t>A</w:t>
      </w:r>
      <w:r w:rsidR="00142E6B" w:rsidRPr="00972C81">
        <w:rPr>
          <w:noProof/>
        </w:rPr>
        <w:t xml:space="preserve"> value 5</w:t>
      </w:r>
      <w:r w:rsidR="00067025" w:rsidRPr="00972C81">
        <w:rPr>
          <w:noProof/>
        </w:rPr>
        <w:t xml:space="preserve"> × </w:t>
      </w:r>
      <w:r w:rsidR="00142E6B" w:rsidRPr="00972C81">
        <w:rPr>
          <w:noProof/>
        </w:rPr>
        <w:t>10</w:t>
      </w:r>
      <w:r w:rsidRPr="00972C81">
        <w:rPr>
          <w:noProof/>
          <w:vertAlign w:val="superscript"/>
        </w:rPr>
        <w:t>–4</w:t>
      </w:r>
      <w:r w:rsidR="00142E6B" w:rsidRPr="00972C81">
        <w:rPr>
          <w:noProof/>
        </w:rPr>
        <w:t xml:space="preserve"> was adopted for all lanthanides as a reasonably representative value based on experimental results. For </w:t>
      </w:r>
      <w:r w:rsidR="00142E6B" w:rsidRPr="00972C81">
        <w:rPr>
          <w:noProof/>
          <w:color w:val="000000" w:themeColor="text1"/>
          <w:szCs w:val="24"/>
        </w:rPr>
        <w:t>praseodymium</w:t>
      </w:r>
      <w:r w:rsidR="00142E6B" w:rsidRPr="00972C81">
        <w:rPr>
          <w:noProof/>
        </w:rPr>
        <w:t xml:space="preserve">, Section </w:t>
      </w:r>
      <w:r w:rsidR="00F637A5" w:rsidRPr="00972C81">
        <w:rPr>
          <w:noProof/>
        </w:rPr>
        <w:t>5</w:t>
      </w:r>
      <w:r w:rsidR="00142E6B" w:rsidRPr="00972C81">
        <w:rPr>
          <w:noProof/>
        </w:rPr>
        <w:t xml:space="preserve"> of </w:t>
      </w:r>
      <w:r w:rsidR="00EB4AA0" w:rsidRPr="00972C81">
        <w:rPr>
          <w:i/>
          <w:noProof/>
        </w:rPr>
        <w:t>Publication 141</w:t>
      </w:r>
      <w:r w:rsidR="00CA6B48" w:rsidRPr="00972C81">
        <w:rPr>
          <w:noProof/>
        </w:rPr>
        <w:t xml:space="preserve"> reported</w:t>
      </w:r>
      <w:r w:rsidR="00142E6B" w:rsidRPr="00972C81">
        <w:rPr>
          <w:noProof/>
        </w:rPr>
        <w:t xml:space="preserve"> results of animal studies showing fractional</w:t>
      </w:r>
      <w:r w:rsidR="005143BE" w:rsidRPr="00972C81">
        <w:rPr>
          <w:noProof/>
        </w:rPr>
        <w:t xml:space="preserve"> absorption</w:t>
      </w:r>
      <w:r w:rsidR="00142E6B" w:rsidRPr="00972C81">
        <w:rPr>
          <w:noProof/>
        </w:rPr>
        <w:t xml:space="preserve"> less than 5</w:t>
      </w:r>
      <w:r w:rsidR="00067025" w:rsidRPr="00972C81">
        <w:rPr>
          <w:noProof/>
        </w:rPr>
        <w:t xml:space="preserve"> × </w:t>
      </w:r>
      <w:r w:rsidR="00142E6B" w:rsidRPr="00972C81">
        <w:rPr>
          <w:noProof/>
        </w:rPr>
        <w:t>10</w:t>
      </w:r>
      <w:r w:rsidRPr="00972C81">
        <w:rPr>
          <w:noProof/>
          <w:vertAlign w:val="superscript"/>
        </w:rPr>
        <w:t>-4</w:t>
      </w:r>
      <w:r w:rsidR="00142E6B" w:rsidRPr="00972C81">
        <w:rPr>
          <w:noProof/>
        </w:rPr>
        <w:t xml:space="preserve">. The value of </w:t>
      </w:r>
      <w:r w:rsidRPr="00972C81">
        <w:rPr>
          <w:i/>
          <w:noProof/>
        </w:rPr>
        <w:t>f</w:t>
      </w:r>
      <w:r w:rsidRPr="00972C81">
        <w:rPr>
          <w:noProof/>
          <w:vertAlign w:val="subscript"/>
        </w:rPr>
        <w:t>A</w:t>
      </w:r>
      <w:r w:rsidR="00142E6B" w:rsidRPr="00972C81">
        <w:rPr>
          <w:noProof/>
        </w:rPr>
        <w:t xml:space="preserve"> = 5</w:t>
      </w:r>
      <w:r w:rsidR="00067025" w:rsidRPr="00972C81">
        <w:rPr>
          <w:noProof/>
        </w:rPr>
        <w:t xml:space="preserve"> × </w:t>
      </w:r>
      <w:r w:rsidR="00142E6B" w:rsidRPr="00972C81">
        <w:rPr>
          <w:noProof/>
        </w:rPr>
        <w:t>10</w:t>
      </w:r>
      <w:r w:rsidRPr="00972C81">
        <w:rPr>
          <w:noProof/>
          <w:vertAlign w:val="superscript"/>
        </w:rPr>
        <w:t>–4</w:t>
      </w:r>
      <w:r w:rsidR="00142E6B" w:rsidRPr="00972C81">
        <w:rPr>
          <w:noProof/>
        </w:rPr>
        <w:t xml:space="preserve"> is adopted here for intakes of </w:t>
      </w:r>
      <w:r w:rsidR="005143BE" w:rsidRPr="00972C81">
        <w:rPr>
          <w:noProof/>
          <w:color w:val="000000" w:themeColor="text1"/>
          <w:szCs w:val="24"/>
        </w:rPr>
        <w:t>praseodymium</w:t>
      </w:r>
      <w:r w:rsidR="005143BE" w:rsidRPr="00972C81">
        <w:rPr>
          <w:noProof/>
        </w:rPr>
        <w:t xml:space="preserve"> </w:t>
      </w:r>
      <w:r w:rsidR="00142E6B" w:rsidRPr="00972C81">
        <w:rPr>
          <w:noProof/>
        </w:rPr>
        <w:t>by adult members of the public.</w:t>
      </w:r>
    </w:p>
    <w:p w14:paraId="6C680B80" w14:textId="55D58219" w:rsidR="00650B43" w:rsidRPr="00972C81" w:rsidRDefault="00DC407D" w:rsidP="001C4A92">
      <w:pPr>
        <w:pStyle w:val="Annalstext"/>
        <w:rPr>
          <w:noProof/>
        </w:rPr>
      </w:pPr>
      <w:r w:rsidRPr="00972C81">
        <w:rPr>
          <w:i/>
          <w:noProof/>
        </w:rPr>
        <w:t>Children</w:t>
      </w:r>
      <w:r w:rsidR="00142E6B" w:rsidRPr="00972C81">
        <w:rPr>
          <w:noProof/>
        </w:rPr>
        <w:t xml:space="preserve">. The age-dependency of </w:t>
      </w:r>
      <w:r w:rsidR="005143BE" w:rsidRPr="00972C81">
        <w:rPr>
          <w:noProof/>
          <w:color w:val="000000" w:themeColor="text1"/>
          <w:szCs w:val="24"/>
        </w:rPr>
        <w:t>praseodymium</w:t>
      </w:r>
      <w:r w:rsidR="005143BE" w:rsidRPr="00972C81">
        <w:rPr>
          <w:noProof/>
        </w:rPr>
        <w:t xml:space="preserve"> </w:t>
      </w:r>
      <w:r w:rsidR="00142E6B" w:rsidRPr="00972C81">
        <w:rPr>
          <w:noProof/>
        </w:rPr>
        <w:t xml:space="preserve">absorption was not observed. On the basis of the chemical analogy with cerium, the same values of </w:t>
      </w:r>
      <w:r w:rsidRPr="00972C81">
        <w:rPr>
          <w:i/>
          <w:noProof/>
        </w:rPr>
        <w:t>f</w:t>
      </w:r>
      <w:r w:rsidRPr="00972C81">
        <w:rPr>
          <w:noProof/>
          <w:vertAlign w:val="subscript"/>
        </w:rPr>
        <w:t>A</w:t>
      </w:r>
      <w:r w:rsidR="00142E6B" w:rsidRPr="00972C81">
        <w:rPr>
          <w:noProof/>
        </w:rPr>
        <w:t xml:space="preserve"> = 5</w:t>
      </w:r>
      <w:r w:rsidR="00067025" w:rsidRPr="00972C81">
        <w:rPr>
          <w:noProof/>
        </w:rPr>
        <w:t xml:space="preserve"> × </w:t>
      </w:r>
      <w:r w:rsidR="00142E6B" w:rsidRPr="00972C81">
        <w:rPr>
          <w:noProof/>
        </w:rPr>
        <w:t>10</w:t>
      </w:r>
      <w:r w:rsidRPr="00972C81">
        <w:rPr>
          <w:noProof/>
          <w:vertAlign w:val="superscript"/>
        </w:rPr>
        <w:t>-3</w:t>
      </w:r>
      <w:r w:rsidR="00142E6B" w:rsidRPr="00972C81">
        <w:rPr>
          <w:noProof/>
        </w:rPr>
        <w:t xml:space="preserve"> for 3-month-old infants and 5</w:t>
      </w:r>
      <w:r w:rsidR="00067025" w:rsidRPr="00972C81">
        <w:rPr>
          <w:noProof/>
        </w:rPr>
        <w:t xml:space="preserve"> × </w:t>
      </w:r>
      <w:r w:rsidR="00142E6B" w:rsidRPr="00972C81">
        <w:rPr>
          <w:noProof/>
        </w:rPr>
        <w:t>10</w:t>
      </w:r>
      <w:r w:rsidRPr="00972C81">
        <w:rPr>
          <w:noProof/>
          <w:vertAlign w:val="superscript"/>
        </w:rPr>
        <w:t>-4</w:t>
      </w:r>
      <w:r w:rsidR="00142E6B" w:rsidRPr="00972C81">
        <w:rPr>
          <w:noProof/>
        </w:rPr>
        <w:t xml:space="preserve"> for children of 1 year and older are adopted here for </w:t>
      </w:r>
      <w:r w:rsidR="005143BE" w:rsidRPr="00972C81">
        <w:rPr>
          <w:noProof/>
          <w:color w:val="000000" w:themeColor="text1"/>
          <w:szCs w:val="24"/>
        </w:rPr>
        <w:t>praseodymium</w:t>
      </w:r>
      <w:r w:rsidR="00142E6B" w:rsidRPr="00972C81">
        <w:rPr>
          <w:noProof/>
        </w:rPr>
        <w:t>.</w:t>
      </w:r>
    </w:p>
    <w:p w14:paraId="5C79C6CC" w14:textId="77777777" w:rsidR="00AE7A83" w:rsidRPr="00972C81" w:rsidRDefault="00AE7A83" w:rsidP="00E81109">
      <w:pPr>
        <w:pStyle w:val="3"/>
        <w:rPr>
          <w:noProof/>
        </w:rPr>
      </w:pPr>
      <w:bookmarkStart w:id="82" w:name="_Toc162629999"/>
      <w:r w:rsidRPr="00972C81">
        <w:rPr>
          <w:noProof/>
        </w:rPr>
        <w:t>Systemic Distribution, Retention and Excretion</w:t>
      </w:r>
      <w:bookmarkEnd w:id="82"/>
    </w:p>
    <w:p w14:paraId="69354B21" w14:textId="77777777" w:rsidR="001F2554" w:rsidRPr="00972C81" w:rsidRDefault="001F2554" w:rsidP="006703A2">
      <w:pPr>
        <w:pStyle w:val="OIRTitre4"/>
      </w:pPr>
      <w:r w:rsidRPr="00972C81">
        <w:t>Summary of biokinetic data</w:t>
      </w:r>
    </w:p>
    <w:p w14:paraId="3C902A26" w14:textId="6E6C6AFA" w:rsidR="001F2554" w:rsidRPr="00972C81" w:rsidRDefault="001F2554" w:rsidP="001C4A92">
      <w:pPr>
        <w:pStyle w:val="Annalstext"/>
        <w:rPr>
          <w:noProof/>
        </w:rPr>
      </w:pPr>
      <w:r w:rsidRPr="00972C81">
        <w:rPr>
          <w:noProof/>
        </w:rPr>
        <w:t xml:space="preserve">The biokinetics of </w:t>
      </w:r>
      <w:r w:rsidRPr="00972C81">
        <w:rPr>
          <w:noProof/>
          <w:vertAlign w:val="superscript"/>
        </w:rPr>
        <w:t>143</w:t>
      </w:r>
      <w:r w:rsidRPr="00972C81">
        <w:rPr>
          <w:noProof/>
        </w:rPr>
        <w:t>Pr inhaled as liquid aerosols was investigated in mice. Absorbed activity was stored mainly in the liver and skeleton, with low activity concentrations in other organs. The systemic biokine</w:t>
      </w:r>
      <w:r w:rsidRPr="00972C81">
        <w:rPr>
          <w:rStyle w:val="AnnalstextChar"/>
          <w:noProof/>
        </w:rPr>
        <w:t>t</w:t>
      </w:r>
      <w:r w:rsidRPr="00972C81">
        <w:rPr>
          <w:noProof/>
        </w:rPr>
        <w:t xml:space="preserve">ics of </w:t>
      </w:r>
      <w:r w:rsidRPr="00972C81">
        <w:rPr>
          <w:noProof/>
          <w:vertAlign w:val="superscript"/>
        </w:rPr>
        <w:t>143</w:t>
      </w:r>
      <w:r w:rsidRPr="00972C81">
        <w:rPr>
          <w:noProof/>
        </w:rPr>
        <w:t xml:space="preserve">Pr was broadly similar to that observed in similar studies involving </w:t>
      </w:r>
      <w:r w:rsidRPr="00972C81">
        <w:rPr>
          <w:noProof/>
          <w:vertAlign w:val="superscript"/>
        </w:rPr>
        <w:t>144</w:t>
      </w:r>
      <w:r w:rsidRPr="00972C81">
        <w:rPr>
          <w:noProof/>
        </w:rPr>
        <w:t xml:space="preserve">Ce, but excretion was faster for </w:t>
      </w:r>
      <w:r w:rsidRPr="00972C81">
        <w:rPr>
          <w:noProof/>
          <w:vertAlign w:val="superscript"/>
        </w:rPr>
        <w:t>143</w:t>
      </w:r>
      <w:r w:rsidRPr="00972C81">
        <w:rPr>
          <w:noProof/>
        </w:rPr>
        <w:t xml:space="preserve">Pr than for </w:t>
      </w:r>
      <w:r w:rsidRPr="00972C81">
        <w:rPr>
          <w:noProof/>
          <w:vertAlign w:val="superscript"/>
        </w:rPr>
        <w:t>144</w:t>
      </w:r>
      <w:r w:rsidRPr="00972C81">
        <w:rPr>
          <w:noProof/>
        </w:rPr>
        <w:t xml:space="preserve">Ce </w:t>
      </w:r>
      <w:r w:rsidR="00F91EB7" w:rsidRPr="00972C81">
        <w:rPr>
          <w:noProof/>
        </w:rPr>
        <w:fldChar w:fldCharType="begin"/>
      </w:r>
      <w:r w:rsidR="00F91EB7" w:rsidRPr="00972C81">
        <w:rPr>
          <w:noProof/>
        </w:rPr>
        <w:instrText xml:space="preserve"> ADDIN ZOTERO_ITEM CSL_CITATION {"citationID":"s3ntdPQa","properties":{"formattedCitation":"(Gensicke and Nitschke, 1964)","plainCitation":"(Gensicke and Nitschke, 1964)","noteIndex":0},"citationItems":[{"id":4811,"uris":["http://zotero.org/groups/2470620/items/U3D635WP"],"itemData":{"id":4811,"type":"article-journal","container-title":"Strahlentherapie","ISSN":"0039-2073","journalAbbreviation":"Strahlentherapie","language":"ger","note":"PMID: 14171710","page":"259-266","source":"PubMed","title":"[ON THE PROBLEM OF RADIOPRASEODYMIUM METABOLISM (PR 143) AFTER INHALATION OF FLUID AEROSOLS IN WHITE MICE]","volume":"123","author":[{"family":"Gensicke","given":"F."},{"family":"Nitschke","given":"H. W."}],"issued":{"date-parts":[["1964",2]]}}}],"schema":"https://github.com/citation-style-language/schema/raw/master/csl-citation.json"} </w:instrText>
      </w:r>
      <w:r w:rsidR="00F91EB7" w:rsidRPr="00972C81">
        <w:rPr>
          <w:noProof/>
        </w:rPr>
        <w:fldChar w:fldCharType="separate"/>
      </w:r>
      <w:r w:rsidR="00BC59C6" w:rsidRPr="00972C81">
        <w:rPr>
          <w:noProof/>
        </w:rPr>
        <w:t>(Gensicke and Nitschke, 1964)</w:t>
      </w:r>
      <w:r w:rsidR="00F91EB7" w:rsidRPr="00972C81">
        <w:rPr>
          <w:noProof/>
        </w:rPr>
        <w:fldChar w:fldCharType="end"/>
      </w:r>
      <w:r w:rsidRPr="00972C81">
        <w:rPr>
          <w:noProof/>
        </w:rPr>
        <w:t>.</w:t>
      </w:r>
    </w:p>
    <w:p w14:paraId="021077A1" w14:textId="4FF4A563" w:rsidR="001F2554" w:rsidRPr="00972C81" w:rsidRDefault="001F2554" w:rsidP="001C4A92">
      <w:pPr>
        <w:pStyle w:val="Annalstext"/>
        <w:rPr>
          <w:noProof/>
        </w:rPr>
      </w:pPr>
      <w:r w:rsidRPr="00972C81">
        <w:rPr>
          <w:noProof/>
        </w:rPr>
        <w:t>The distributi</w:t>
      </w:r>
      <w:r w:rsidRPr="00972C81">
        <w:rPr>
          <w:rStyle w:val="AnnalstextChar"/>
          <w:noProof/>
        </w:rPr>
        <w:t>o</w:t>
      </w:r>
      <w:r w:rsidRPr="00972C81">
        <w:rPr>
          <w:noProof/>
        </w:rPr>
        <w:t xml:space="preserve">n and excretion of praseodymium closely resembled that of cerium following parenteral administration of radioisotopes of these elements to rats </w:t>
      </w:r>
      <w:r w:rsidR="00F91EB7" w:rsidRPr="00972C81">
        <w:rPr>
          <w:noProof/>
        </w:rPr>
        <w:fldChar w:fldCharType="begin"/>
      </w:r>
      <w:r w:rsidR="00612860" w:rsidRPr="00972C81">
        <w:rPr>
          <w:noProof/>
        </w:rPr>
        <w:instrText xml:space="preserve"> ADDIN ZOTERO_ITEM CSL_CITATION {"citationID":"1oKQMQxu","properties":{"formattedCitation":"(Durbin, 1959, 1962; Moskalev et al., 1974)","plainCitation":"(Durbin, 1959, 1962; Moskalev et al., 1974)","noteIndex":0},"citationItems":[{"id":3923,"uris":["http://zotero.org/groups/2470620/items/WGHAW384"],"itemData":{"id":3923,"type":"article-journal","abstract":"The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mammals","volume":"8","author":[{"family":"Durbin","given":"P.W."}],"issued":{"date-parts":[["1962"]]}}},{"id":4757,"uris":["http://zotero.org/groups/2470620/items/GPRMH38F"],"itemData":{"id":4757,"type":"chapter","container-title":"Biological Effects of Radiation from External and Internal Sources. Translated in U.S. Atomic Energy Commission Document AEC-tr-7457","event-place":"Moscow, Russia","publisher":"Medistina","publisher-place":"Moscow, Russia","source":"Google Scholar","title":"Distinctions of distribution in the organism of radioactive isotopes of lanthanide elements","author":[{"family":"Moskalev","given":"Yu I."},{"family":"Zalikin","given":"G. A."},{"family":"Stepanov","given":"V. S."}],"issued":{"date-parts":[["1974"]]}}}],"schema":"https://github.com/citation-style-language/schema/raw/master/csl-citation.json"} </w:instrText>
      </w:r>
      <w:r w:rsidR="00F91EB7" w:rsidRPr="00972C81">
        <w:rPr>
          <w:noProof/>
        </w:rPr>
        <w:fldChar w:fldCharType="separate"/>
      </w:r>
      <w:r w:rsidR="00BC59C6" w:rsidRPr="00972C81">
        <w:rPr>
          <w:noProof/>
        </w:rPr>
        <w:t>(Durbin, 1959, 1962; Moskalev et al., 1974)</w:t>
      </w:r>
      <w:r w:rsidR="00F91EB7" w:rsidRPr="00972C81">
        <w:rPr>
          <w:noProof/>
        </w:rPr>
        <w:fldChar w:fldCharType="end"/>
      </w:r>
      <w:r w:rsidRPr="00972C81">
        <w:rPr>
          <w:noProof/>
        </w:rPr>
        <w:t>.</w:t>
      </w:r>
    </w:p>
    <w:p w14:paraId="7D683103" w14:textId="77777777" w:rsidR="001F2554" w:rsidRPr="00972C81" w:rsidRDefault="001F2554" w:rsidP="001C4A92">
      <w:pPr>
        <w:pStyle w:val="Annalstext"/>
        <w:rPr>
          <w:rFonts w:eastAsia="Times New Roman"/>
          <w:noProof/>
        </w:rPr>
      </w:pPr>
      <w:r w:rsidRPr="00972C81">
        <w:rPr>
          <w:rFonts w:eastAsia="Times New Roman"/>
          <w:noProof/>
        </w:rPr>
        <w:t xml:space="preserve">No information was found regarding age dependence in the biokinetics of systemic </w:t>
      </w:r>
      <w:r w:rsidRPr="00972C81">
        <w:rPr>
          <w:rFonts w:ascii="Times Roman" w:hAnsi="Times Roman"/>
          <w:noProof/>
        </w:rPr>
        <w:t>praseodymium</w:t>
      </w:r>
      <w:r w:rsidRPr="00972C81">
        <w:rPr>
          <w:rFonts w:eastAsia="Times New Roman"/>
          <w:noProof/>
        </w:rPr>
        <w:t xml:space="preserve">. </w:t>
      </w:r>
    </w:p>
    <w:p w14:paraId="5E42236D" w14:textId="77777777" w:rsidR="001F2554" w:rsidRPr="00187747" w:rsidRDefault="001F2554" w:rsidP="006703A2">
      <w:pPr>
        <w:pStyle w:val="OIRTitre4"/>
      </w:pPr>
      <w:r w:rsidRPr="00187747">
        <w:t>Systemic model</w:t>
      </w:r>
    </w:p>
    <w:p w14:paraId="3D47FEEB" w14:textId="4581F6D5" w:rsidR="001F2554" w:rsidRPr="00972C81" w:rsidRDefault="001F2554" w:rsidP="001C4A92">
      <w:pPr>
        <w:pStyle w:val="Annalstext"/>
        <w:rPr>
          <w:noProof/>
        </w:rPr>
      </w:pPr>
      <w:bookmarkStart w:id="83" w:name="_Hlk494886893"/>
      <w:r w:rsidRPr="00972C81">
        <w:rPr>
          <w:noProof/>
        </w:rPr>
        <w:t xml:space="preserve">The model structure shown in </w:t>
      </w:r>
      <w:r w:rsidR="00F91EB7" w:rsidRPr="00972C81">
        <w:rPr>
          <w:noProof/>
        </w:rPr>
        <w:fldChar w:fldCharType="begin"/>
      </w:r>
      <w:r w:rsidR="00F91EB7" w:rsidRPr="00972C81">
        <w:rPr>
          <w:noProof/>
        </w:rPr>
        <w:instrText xml:space="preserve"> REF _Ref141858180 \h </w:instrText>
      </w:r>
      <w:r w:rsidR="00F91EB7" w:rsidRPr="00972C81">
        <w:rPr>
          <w:noProof/>
        </w:rPr>
      </w:r>
      <w:r w:rsidR="00F91EB7" w:rsidRPr="00972C81">
        <w:rPr>
          <w:noProof/>
        </w:rPr>
        <w:fldChar w:fldCharType="separate"/>
      </w:r>
      <w:r w:rsidR="00A41AD1" w:rsidRPr="00A41AD1">
        <w:rPr>
          <w:noProof/>
          <w:szCs w:val="24"/>
        </w:rPr>
        <w:t xml:space="preserve">Fig </w:t>
      </w:r>
      <w:r w:rsidR="00A41AD1">
        <w:rPr>
          <w:noProof/>
          <w:szCs w:val="24"/>
        </w:rPr>
        <w:t>3</w:t>
      </w:r>
      <w:r w:rsidR="00A41AD1" w:rsidRPr="00A41AD1">
        <w:rPr>
          <w:noProof/>
          <w:szCs w:val="24"/>
        </w:rPr>
        <w:t>.</w:t>
      </w:r>
      <w:r w:rsidR="00A41AD1">
        <w:rPr>
          <w:noProof/>
          <w:szCs w:val="24"/>
        </w:rPr>
        <w:t>1</w:t>
      </w:r>
      <w:r w:rsidR="00F91EB7" w:rsidRPr="00972C81">
        <w:rPr>
          <w:noProof/>
        </w:rPr>
        <w:fldChar w:fldCharType="end"/>
      </w:r>
      <w:r w:rsidRPr="00972C81">
        <w:rPr>
          <w:noProof/>
        </w:rPr>
        <w:t xml:space="preserve"> of the section on cerium is applied in this report to all lanthanide elements.</w:t>
      </w:r>
    </w:p>
    <w:p w14:paraId="64F51A96" w14:textId="2FA9483B" w:rsidR="001F2554" w:rsidRPr="00972C81" w:rsidRDefault="001F2554" w:rsidP="001C4A92">
      <w:pPr>
        <w:pStyle w:val="Annalstext"/>
        <w:rPr>
          <w:rFonts w:eastAsia="Times New Roman"/>
          <w:noProof/>
        </w:rPr>
      </w:pPr>
      <w:r w:rsidRPr="00972C81">
        <w:rPr>
          <w:rFonts w:eastAsia="Times New Roman"/>
          <w:noProof/>
        </w:rPr>
        <w:t xml:space="preserve">A common set of transfer coefficients is applied in this report to the “cerium group”, lanthanum, cerium, and praseodymium. The basis for the parameter values underlying those transfer coefficients is described is the section on cerium. Transfer coefficients for the cerium group are listed in </w:t>
      </w:r>
      <w:r w:rsidR="00F91EB7" w:rsidRPr="00972C81">
        <w:rPr>
          <w:rFonts w:eastAsia="Times New Roman"/>
          <w:noProof/>
        </w:rPr>
        <w:fldChar w:fldCharType="begin"/>
      </w:r>
      <w:r w:rsidR="00F91EB7" w:rsidRPr="00972C81">
        <w:rPr>
          <w:rFonts w:eastAsia="Times New Roman"/>
          <w:noProof/>
        </w:rPr>
        <w:instrText xml:space="preserve"> REF _Ref141858921 \h </w:instrText>
      </w:r>
      <w:r w:rsidR="00F91EB7" w:rsidRPr="00972C81">
        <w:rPr>
          <w:rFonts w:eastAsia="Times New Roman"/>
          <w:noProof/>
        </w:rPr>
      </w:r>
      <w:r w:rsidR="00F91EB7" w:rsidRPr="00972C81">
        <w:rPr>
          <w:rFonts w:eastAsia="Times New Roman"/>
          <w:noProof/>
        </w:rPr>
        <w:fldChar w:fldCharType="separate"/>
      </w:r>
      <w:r w:rsidR="00A41AD1" w:rsidRPr="00A41AD1">
        <w:rPr>
          <w:noProof/>
          <w:szCs w:val="24"/>
        </w:rPr>
        <w:t xml:space="preserve">Table </w:t>
      </w:r>
      <w:r w:rsidR="00A41AD1">
        <w:rPr>
          <w:noProof/>
          <w:szCs w:val="24"/>
        </w:rPr>
        <w:t>3</w:t>
      </w:r>
      <w:r w:rsidR="00A41AD1" w:rsidRPr="00A41AD1">
        <w:rPr>
          <w:noProof/>
          <w:szCs w:val="24"/>
        </w:rPr>
        <w:t>.</w:t>
      </w:r>
      <w:r w:rsidR="00A41AD1">
        <w:rPr>
          <w:noProof/>
          <w:szCs w:val="24"/>
        </w:rPr>
        <w:t>2</w:t>
      </w:r>
      <w:r w:rsidR="00F91EB7" w:rsidRPr="00972C81">
        <w:rPr>
          <w:rFonts w:eastAsia="Times New Roman"/>
          <w:noProof/>
        </w:rPr>
        <w:fldChar w:fldCharType="end"/>
      </w:r>
      <w:r w:rsidRPr="00972C81">
        <w:rPr>
          <w:rFonts w:eastAsia="Times New Roman"/>
          <w:noProof/>
        </w:rPr>
        <w:t xml:space="preserve"> and </w:t>
      </w:r>
      <w:r w:rsidR="00F91EB7" w:rsidRPr="00972C81">
        <w:rPr>
          <w:rFonts w:eastAsia="Times New Roman"/>
          <w:noProof/>
        </w:rPr>
        <w:fldChar w:fldCharType="begin"/>
      </w:r>
      <w:r w:rsidR="00F91EB7" w:rsidRPr="00972C81">
        <w:rPr>
          <w:rFonts w:eastAsia="Times New Roman"/>
          <w:noProof/>
        </w:rPr>
        <w:instrText xml:space="preserve"> REF _Ref142299557 \h </w:instrText>
      </w:r>
      <w:r w:rsidR="00F91EB7" w:rsidRPr="00972C81">
        <w:rPr>
          <w:rFonts w:eastAsia="Times New Roman"/>
          <w:noProof/>
        </w:rPr>
      </w:r>
      <w:r w:rsidR="00F91EB7" w:rsidRPr="00972C81">
        <w:rPr>
          <w:rFonts w:eastAsia="Times New Roman"/>
          <w:noProof/>
        </w:rPr>
        <w:fldChar w:fldCharType="separate"/>
      </w:r>
      <w:r w:rsidR="00A41AD1" w:rsidRPr="00A41AD1">
        <w:rPr>
          <w:noProof/>
          <w:szCs w:val="24"/>
        </w:rPr>
        <w:t xml:space="preserve">Table </w:t>
      </w:r>
      <w:r w:rsidR="00A41AD1">
        <w:rPr>
          <w:noProof/>
          <w:szCs w:val="24"/>
        </w:rPr>
        <w:t>3</w:t>
      </w:r>
      <w:r w:rsidR="00A41AD1" w:rsidRPr="00A41AD1">
        <w:rPr>
          <w:noProof/>
          <w:szCs w:val="24"/>
        </w:rPr>
        <w:t>.</w:t>
      </w:r>
      <w:r w:rsidR="00A41AD1">
        <w:rPr>
          <w:noProof/>
          <w:szCs w:val="24"/>
        </w:rPr>
        <w:t>3</w:t>
      </w:r>
      <w:r w:rsidR="00F91EB7" w:rsidRPr="00972C81">
        <w:rPr>
          <w:rFonts w:eastAsia="Times New Roman"/>
          <w:noProof/>
        </w:rPr>
        <w:fldChar w:fldCharType="end"/>
      </w:r>
      <w:r w:rsidRPr="00972C81">
        <w:rPr>
          <w:rFonts w:eastAsia="Times New Roman"/>
          <w:noProof/>
        </w:rPr>
        <w:t xml:space="preserve"> of that section. </w:t>
      </w:r>
    </w:p>
    <w:bookmarkEnd w:id="83"/>
    <w:p w14:paraId="59659EDC" w14:textId="77777777" w:rsidR="001F2554" w:rsidRPr="00187747" w:rsidRDefault="001F2554" w:rsidP="006703A2">
      <w:pPr>
        <w:pStyle w:val="OIRTitre4"/>
      </w:pPr>
      <w:r w:rsidRPr="00187747">
        <w:lastRenderedPageBreak/>
        <w:t>Treatment of radioactive progeny</w:t>
      </w:r>
    </w:p>
    <w:p w14:paraId="46CC5873" w14:textId="3953FC00" w:rsidR="00AE7A83" w:rsidRPr="00972C81" w:rsidRDefault="00851288" w:rsidP="001C4A92">
      <w:pPr>
        <w:pStyle w:val="Annalstext"/>
        <w:rPr>
          <w:noProof/>
        </w:rPr>
      </w:pPr>
      <w:r w:rsidRPr="00972C81">
        <w:rPr>
          <w:rFonts w:eastAsia="Calibri"/>
          <w:noProof/>
        </w:rPr>
        <w:t xml:space="preserve">The treatment of radioactive progeny produced in systemic compartments after intake of a radioisotope of </w:t>
      </w:r>
      <w:r w:rsidRPr="00972C81">
        <w:rPr>
          <w:noProof/>
        </w:rPr>
        <w:t>praseodymium</w:t>
      </w:r>
      <w:r w:rsidRPr="00972C81">
        <w:rPr>
          <w:rFonts w:eastAsia="Calibri"/>
          <w:noProof/>
        </w:rPr>
        <w:t xml:space="preserve"> is described in Section 5.2.3.3. of </w:t>
      </w:r>
      <w:r w:rsidRPr="00972C81">
        <w:rPr>
          <w:rFonts w:eastAsia="Calibri"/>
          <w:i/>
          <w:noProof/>
        </w:rPr>
        <w:t xml:space="preserve">Publication </w:t>
      </w:r>
      <w:r w:rsidR="00EB4AA0" w:rsidRPr="00972C81">
        <w:rPr>
          <w:rFonts w:eastAsia="Calibri"/>
          <w:i/>
          <w:noProof/>
        </w:rPr>
        <w:t>141</w:t>
      </w:r>
      <w:r w:rsidRPr="00972C81">
        <w:rPr>
          <w:rFonts w:eastAsia="Calibri"/>
          <w:noProof/>
        </w:rPr>
        <w:t xml:space="preserve"> </w:t>
      </w:r>
      <w:r w:rsidR="003A6331" w:rsidRPr="00972C81">
        <w:rPr>
          <w:rFonts w:eastAsia="Calibri"/>
          <w:noProof/>
        </w:rPr>
        <w:fldChar w:fldCharType="begin"/>
      </w:r>
      <w:r w:rsidR="003A6331" w:rsidRPr="00972C81">
        <w:rPr>
          <w:rFonts w:eastAsia="Calibri"/>
          <w:noProof/>
        </w:rPr>
        <w:instrText xml:space="preserve"> ADDIN ZOTERO_ITEM CSL_CITATION {"citationID":"jYHhdJ0o","properties":{"formattedCitation":"(ICRP,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3A6331" w:rsidRPr="00972C81">
        <w:rPr>
          <w:rFonts w:eastAsia="Calibri"/>
          <w:noProof/>
        </w:rPr>
        <w:fldChar w:fldCharType="separate"/>
      </w:r>
      <w:r w:rsidR="00BC59C6" w:rsidRPr="00972C81">
        <w:rPr>
          <w:noProof/>
        </w:rPr>
        <w:t>(ICRP, 2019)</w:t>
      </w:r>
      <w:r w:rsidR="003A6331" w:rsidRPr="00972C81">
        <w:rPr>
          <w:rFonts w:eastAsia="Calibri"/>
          <w:noProof/>
        </w:rPr>
        <w:fldChar w:fldCharType="end"/>
      </w:r>
      <w:r w:rsidRPr="00972C81">
        <w:rPr>
          <w:rFonts w:eastAsia="Calibri"/>
          <w:noProof/>
        </w:rPr>
        <w:t xml:space="preserve">.  </w:t>
      </w:r>
    </w:p>
    <w:p w14:paraId="087C4DDB" w14:textId="77777777" w:rsidR="00593D1F" w:rsidRPr="00972C81" w:rsidRDefault="00593D1F" w:rsidP="00E81109">
      <w:pPr>
        <w:pStyle w:val="2"/>
        <w:rPr>
          <w:noProof/>
          <w:lang w:val="en-GB"/>
        </w:rPr>
      </w:pPr>
      <w:bookmarkStart w:id="84" w:name="_Toc162630000"/>
      <w:r w:rsidRPr="00972C81">
        <w:rPr>
          <w:noProof/>
          <w:lang w:val="en-GB"/>
        </w:rPr>
        <w:t>Dosimetric data for praseodymium</w:t>
      </w:r>
      <w:bookmarkEnd w:id="84"/>
    </w:p>
    <w:p w14:paraId="00C42D21" w14:textId="776F5552" w:rsidR="00E22882" w:rsidRPr="00972C81" w:rsidRDefault="00E22882" w:rsidP="00E22882">
      <w:pPr>
        <w:pStyle w:val="ab"/>
        <w:rPr>
          <w:noProof/>
          <w:sz w:val="24"/>
          <w:szCs w:val="24"/>
        </w:rPr>
      </w:pPr>
      <w:r w:rsidRPr="00972C81">
        <w:rPr>
          <w:noProof/>
          <w:sz w:val="24"/>
          <w:szCs w:val="24"/>
        </w:rPr>
        <w:t>Table 4.1.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143</w:t>
      </w:r>
      <w:r w:rsidRPr="00972C81">
        <w:rPr>
          <w:noProof/>
          <w:sz w:val="24"/>
          <w:szCs w:val="24"/>
        </w:rPr>
        <w:t>Pr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8"/>
        <w:gridCol w:w="876"/>
        <w:gridCol w:w="877"/>
        <w:gridCol w:w="877"/>
        <w:gridCol w:w="876"/>
        <w:gridCol w:w="877"/>
        <w:gridCol w:w="876"/>
      </w:tblGrid>
      <w:tr w:rsidR="00E22882" w:rsidRPr="00A3213E" w14:paraId="0502D61C" w14:textId="77777777" w:rsidTr="001A483B">
        <w:trPr>
          <w:trHeight w:val="340"/>
        </w:trPr>
        <w:tc>
          <w:tcPr>
            <w:tcW w:w="2087" w:type="pct"/>
            <w:vMerge w:val="restart"/>
            <w:tcBorders>
              <w:top w:val="single" w:sz="4" w:space="0" w:color="auto"/>
              <w:left w:val="nil"/>
              <w:bottom w:val="single" w:sz="4" w:space="0" w:color="auto"/>
              <w:right w:val="nil"/>
            </w:tcBorders>
            <w:vAlign w:val="bottom"/>
            <w:hideMark/>
          </w:tcPr>
          <w:p w14:paraId="784B84B7" w14:textId="77777777" w:rsidR="00E424DA" w:rsidRPr="00C47F2F" w:rsidRDefault="00E22882" w:rsidP="001A483B">
            <w:pPr>
              <w:pStyle w:val="a5"/>
              <w:tabs>
                <w:tab w:val="clear" w:pos="4153"/>
                <w:tab w:val="clear" w:pos="8306"/>
              </w:tabs>
              <w:jc w:val="left"/>
              <w:rPr>
                <w:noProof/>
                <w:sz w:val="22"/>
                <w:szCs w:val="22"/>
              </w:rPr>
            </w:pPr>
            <w:r w:rsidRPr="00C47F2F">
              <w:rPr>
                <w:noProof/>
                <w:sz w:val="22"/>
                <w:szCs w:val="22"/>
              </w:rPr>
              <w:t>Inhaled particulate materials</w:t>
            </w:r>
          </w:p>
          <w:p w14:paraId="5F17616A" w14:textId="0C44D9CD" w:rsidR="00E22882" w:rsidRPr="0057134B" w:rsidRDefault="00E22882" w:rsidP="001A483B">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1F0103FD" w14:textId="77777777" w:rsidR="00E22882" w:rsidRPr="00C47F2F" w:rsidRDefault="00E22882" w:rsidP="00CF5D66">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E22882" w:rsidRPr="00972C81" w14:paraId="63AB8F94" w14:textId="77777777" w:rsidTr="001A483B">
        <w:trPr>
          <w:trHeight w:val="340"/>
        </w:trPr>
        <w:tc>
          <w:tcPr>
            <w:tcW w:w="2087" w:type="pct"/>
            <w:vMerge/>
            <w:tcBorders>
              <w:top w:val="single" w:sz="4" w:space="0" w:color="auto"/>
              <w:left w:val="nil"/>
              <w:bottom w:val="single" w:sz="4" w:space="0" w:color="auto"/>
              <w:right w:val="nil"/>
            </w:tcBorders>
            <w:vAlign w:val="center"/>
            <w:hideMark/>
          </w:tcPr>
          <w:p w14:paraId="58DC9170" w14:textId="77777777" w:rsidR="00E22882" w:rsidRPr="0057134B" w:rsidRDefault="00E22882">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20C46868" w14:textId="7314A8B1" w:rsidR="00E22882" w:rsidRPr="00C47F2F" w:rsidRDefault="00E22882" w:rsidP="00CF5D66">
            <w:pPr>
              <w:jc w:val="left"/>
              <w:rPr>
                <w:noProof/>
                <w:sz w:val="22"/>
                <w:szCs w:val="22"/>
              </w:rPr>
            </w:pPr>
            <w:r w:rsidRPr="00C47F2F">
              <w:rPr>
                <w:noProof/>
                <w:sz w:val="22"/>
                <w:szCs w:val="22"/>
              </w:rPr>
              <w:t>3</w:t>
            </w:r>
            <w:r w:rsidR="00365B5B">
              <w:rPr>
                <w:rFonts w:hint="eastAsia"/>
                <w:noProof/>
                <w:sz w:val="22"/>
                <w:szCs w:val="22"/>
                <w:lang w:eastAsia="ko-KR"/>
              </w:rPr>
              <w:t xml:space="preserve"> </w:t>
            </w:r>
            <w:r w:rsidRPr="00C47F2F">
              <w:rPr>
                <w:noProof/>
                <w:sz w:val="22"/>
                <w:szCs w:val="22"/>
              </w:rPr>
              <w:t>m</w:t>
            </w:r>
            <w:r w:rsidR="00CF5D66">
              <w:rPr>
                <w:noProof/>
                <w:sz w:val="22"/>
                <w:szCs w:val="22"/>
              </w:rPr>
              <w:t>o</w:t>
            </w:r>
          </w:p>
        </w:tc>
        <w:tc>
          <w:tcPr>
            <w:tcW w:w="486" w:type="pct"/>
            <w:tcBorders>
              <w:top w:val="single" w:sz="4" w:space="0" w:color="auto"/>
              <w:left w:val="nil"/>
              <w:bottom w:val="single" w:sz="4" w:space="0" w:color="auto"/>
              <w:right w:val="nil"/>
            </w:tcBorders>
            <w:vAlign w:val="center"/>
            <w:hideMark/>
          </w:tcPr>
          <w:p w14:paraId="29E614C8" w14:textId="1564D5EC" w:rsidR="00E22882" w:rsidRPr="00C47F2F" w:rsidRDefault="00E22882" w:rsidP="00CF5D66">
            <w:pPr>
              <w:jc w:val="left"/>
              <w:rPr>
                <w:noProof/>
                <w:sz w:val="22"/>
                <w:szCs w:val="22"/>
              </w:rPr>
            </w:pPr>
            <w:r w:rsidRPr="00C47F2F">
              <w:rPr>
                <w:noProof/>
                <w:sz w:val="22"/>
                <w:szCs w:val="22"/>
              </w:rPr>
              <w:t>1</w:t>
            </w:r>
            <w:r w:rsidR="00365B5B">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7AB7FC91" w14:textId="0A01D83C" w:rsidR="00E22882" w:rsidRPr="00C47F2F" w:rsidRDefault="00E22882" w:rsidP="00CF5D66">
            <w:pPr>
              <w:jc w:val="left"/>
              <w:rPr>
                <w:noProof/>
                <w:sz w:val="22"/>
                <w:szCs w:val="22"/>
              </w:rPr>
            </w:pPr>
            <w:r w:rsidRPr="00C47F2F">
              <w:rPr>
                <w:noProof/>
                <w:sz w:val="22"/>
                <w:szCs w:val="22"/>
              </w:rPr>
              <w:t>5</w:t>
            </w:r>
            <w:r w:rsidR="00365B5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7F61448D" w14:textId="6BE11558" w:rsidR="00E22882" w:rsidRPr="00C47F2F" w:rsidRDefault="00E22882" w:rsidP="00CF5D66">
            <w:pPr>
              <w:jc w:val="left"/>
              <w:rPr>
                <w:noProof/>
                <w:sz w:val="22"/>
                <w:szCs w:val="22"/>
              </w:rPr>
            </w:pPr>
            <w:r w:rsidRPr="00C47F2F">
              <w:rPr>
                <w:noProof/>
                <w:sz w:val="22"/>
                <w:szCs w:val="22"/>
              </w:rPr>
              <w:t>10</w:t>
            </w:r>
            <w:r w:rsidR="00365B5B">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518FDB6B" w14:textId="2BC217EB" w:rsidR="00E22882" w:rsidRPr="00C47F2F" w:rsidRDefault="00E22882" w:rsidP="00CF5D66">
            <w:pPr>
              <w:jc w:val="left"/>
              <w:rPr>
                <w:noProof/>
                <w:sz w:val="22"/>
                <w:szCs w:val="22"/>
              </w:rPr>
            </w:pPr>
            <w:r w:rsidRPr="00C47F2F">
              <w:rPr>
                <w:noProof/>
                <w:sz w:val="22"/>
                <w:szCs w:val="22"/>
              </w:rPr>
              <w:t>15</w:t>
            </w:r>
            <w:r w:rsidR="00365B5B">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16E17E00" w14:textId="77777777" w:rsidR="00E22882" w:rsidRPr="00C47F2F" w:rsidRDefault="00E22882" w:rsidP="00CF5D66">
            <w:pPr>
              <w:jc w:val="left"/>
              <w:rPr>
                <w:noProof/>
                <w:sz w:val="22"/>
                <w:szCs w:val="22"/>
              </w:rPr>
            </w:pPr>
            <w:r w:rsidRPr="00C47F2F">
              <w:rPr>
                <w:noProof/>
                <w:sz w:val="22"/>
                <w:szCs w:val="22"/>
              </w:rPr>
              <w:t>Adult</w:t>
            </w:r>
          </w:p>
        </w:tc>
      </w:tr>
      <w:tr w:rsidR="00E22882" w:rsidRPr="00972C81" w14:paraId="4E1E5267" w14:textId="77777777" w:rsidTr="001A483B">
        <w:trPr>
          <w:trHeight w:val="340"/>
        </w:trPr>
        <w:tc>
          <w:tcPr>
            <w:tcW w:w="2087" w:type="pct"/>
            <w:tcBorders>
              <w:top w:val="single" w:sz="4" w:space="0" w:color="auto"/>
              <w:left w:val="nil"/>
              <w:bottom w:val="nil"/>
              <w:right w:val="nil"/>
            </w:tcBorders>
            <w:hideMark/>
          </w:tcPr>
          <w:p w14:paraId="47B008D7" w14:textId="77777777" w:rsidR="00E22882" w:rsidRPr="00C47F2F" w:rsidRDefault="00E22882" w:rsidP="001A483B">
            <w:pPr>
              <w:jc w:val="left"/>
              <w:rPr>
                <w:noProof/>
                <w:sz w:val="22"/>
                <w:szCs w:val="22"/>
              </w:rPr>
            </w:pPr>
            <w:r w:rsidRPr="00C47F2F">
              <w:rPr>
                <w:rFonts w:eastAsia="Times New Roman"/>
                <w:noProof/>
                <w:color w:val="000000"/>
                <w:sz w:val="22"/>
                <w:szCs w:val="22"/>
              </w:rPr>
              <w:t>Water soluble forms, including chloride and citrate</w:t>
            </w:r>
          </w:p>
        </w:tc>
        <w:tc>
          <w:tcPr>
            <w:tcW w:w="485" w:type="pct"/>
            <w:tcBorders>
              <w:top w:val="single" w:sz="4" w:space="0" w:color="auto"/>
              <w:left w:val="nil"/>
              <w:bottom w:val="nil"/>
              <w:right w:val="nil"/>
            </w:tcBorders>
            <w:hideMark/>
          </w:tcPr>
          <w:p w14:paraId="47500569"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4.3E-09</w:t>
            </w:r>
          </w:p>
        </w:tc>
        <w:tc>
          <w:tcPr>
            <w:tcW w:w="486" w:type="pct"/>
            <w:tcBorders>
              <w:top w:val="single" w:sz="4" w:space="0" w:color="auto"/>
              <w:left w:val="nil"/>
              <w:bottom w:val="nil"/>
              <w:right w:val="nil"/>
            </w:tcBorders>
            <w:hideMark/>
          </w:tcPr>
          <w:p w14:paraId="63EC56CC"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3.3E-09</w:t>
            </w:r>
          </w:p>
        </w:tc>
        <w:tc>
          <w:tcPr>
            <w:tcW w:w="486" w:type="pct"/>
            <w:tcBorders>
              <w:top w:val="single" w:sz="4" w:space="0" w:color="auto"/>
              <w:left w:val="nil"/>
              <w:bottom w:val="nil"/>
              <w:right w:val="nil"/>
            </w:tcBorders>
            <w:hideMark/>
          </w:tcPr>
          <w:p w14:paraId="7CCABF26"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1.7E-09</w:t>
            </w:r>
          </w:p>
        </w:tc>
        <w:tc>
          <w:tcPr>
            <w:tcW w:w="485" w:type="pct"/>
            <w:tcBorders>
              <w:top w:val="single" w:sz="4" w:space="0" w:color="auto"/>
              <w:left w:val="nil"/>
              <w:bottom w:val="nil"/>
              <w:right w:val="nil"/>
            </w:tcBorders>
            <w:hideMark/>
          </w:tcPr>
          <w:p w14:paraId="09141C5B"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1.1E-09</w:t>
            </w:r>
          </w:p>
        </w:tc>
        <w:tc>
          <w:tcPr>
            <w:tcW w:w="486" w:type="pct"/>
            <w:tcBorders>
              <w:top w:val="single" w:sz="4" w:space="0" w:color="auto"/>
              <w:left w:val="nil"/>
              <w:bottom w:val="nil"/>
              <w:right w:val="nil"/>
            </w:tcBorders>
            <w:hideMark/>
          </w:tcPr>
          <w:p w14:paraId="639072CC"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8.3E-10</w:t>
            </w:r>
          </w:p>
        </w:tc>
        <w:tc>
          <w:tcPr>
            <w:tcW w:w="486" w:type="pct"/>
            <w:tcBorders>
              <w:top w:val="single" w:sz="4" w:space="0" w:color="auto"/>
              <w:left w:val="nil"/>
              <w:bottom w:val="nil"/>
              <w:right w:val="nil"/>
            </w:tcBorders>
            <w:hideMark/>
          </w:tcPr>
          <w:p w14:paraId="3790EE9A"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7.4E-10</w:t>
            </w:r>
          </w:p>
        </w:tc>
      </w:tr>
      <w:tr w:rsidR="00E22882" w:rsidRPr="00972C81" w14:paraId="6F701FB8" w14:textId="77777777" w:rsidTr="001A483B">
        <w:trPr>
          <w:trHeight w:val="340"/>
        </w:trPr>
        <w:tc>
          <w:tcPr>
            <w:tcW w:w="2087" w:type="pct"/>
            <w:tcBorders>
              <w:top w:val="nil"/>
              <w:left w:val="nil"/>
              <w:bottom w:val="nil"/>
              <w:right w:val="nil"/>
            </w:tcBorders>
            <w:hideMark/>
          </w:tcPr>
          <w:p w14:paraId="7C4C05B1"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Dioxide</w:t>
            </w:r>
          </w:p>
        </w:tc>
        <w:tc>
          <w:tcPr>
            <w:tcW w:w="485" w:type="pct"/>
            <w:tcBorders>
              <w:top w:val="nil"/>
              <w:left w:val="nil"/>
              <w:bottom w:val="nil"/>
              <w:right w:val="nil"/>
            </w:tcBorders>
            <w:hideMark/>
          </w:tcPr>
          <w:p w14:paraId="0B83540F"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5.2E-09</w:t>
            </w:r>
          </w:p>
        </w:tc>
        <w:tc>
          <w:tcPr>
            <w:tcW w:w="486" w:type="pct"/>
            <w:tcBorders>
              <w:top w:val="nil"/>
              <w:left w:val="nil"/>
              <w:bottom w:val="nil"/>
              <w:right w:val="nil"/>
            </w:tcBorders>
            <w:hideMark/>
          </w:tcPr>
          <w:p w14:paraId="483C878F"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4.2E-09</w:t>
            </w:r>
          </w:p>
        </w:tc>
        <w:tc>
          <w:tcPr>
            <w:tcW w:w="486" w:type="pct"/>
            <w:tcBorders>
              <w:top w:val="nil"/>
              <w:left w:val="nil"/>
              <w:bottom w:val="nil"/>
              <w:right w:val="nil"/>
            </w:tcBorders>
            <w:hideMark/>
          </w:tcPr>
          <w:p w14:paraId="5529570F"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2.3E-09</w:t>
            </w:r>
          </w:p>
        </w:tc>
        <w:tc>
          <w:tcPr>
            <w:tcW w:w="485" w:type="pct"/>
            <w:tcBorders>
              <w:top w:val="nil"/>
              <w:left w:val="nil"/>
              <w:bottom w:val="nil"/>
              <w:right w:val="nil"/>
            </w:tcBorders>
            <w:hideMark/>
          </w:tcPr>
          <w:p w14:paraId="2DFDB9AF"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1.5E-09</w:t>
            </w:r>
          </w:p>
        </w:tc>
        <w:tc>
          <w:tcPr>
            <w:tcW w:w="486" w:type="pct"/>
            <w:tcBorders>
              <w:top w:val="nil"/>
              <w:left w:val="nil"/>
              <w:bottom w:val="nil"/>
              <w:right w:val="nil"/>
            </w:tcBorders>
            <w:hideMark/>
          </w:tcPr>
          <w:p w14:paraId="79C9433D"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1.2E-09</w:t>
            </w:r>
          </w:p>
        </w:tc>
        <w:tc>
          <w:tcPr>
            <w:tcW w:w="486" w:type="pct"/>
            <w:tcBorders>
              <w:top w:val="nil"/>
              <w:left w:val="nil"/>
              <w:bottom w:val="nil"/>
              <w:right w:val="nil"/>
            </w:tcBorders>
            <w:hideMark/>
          </w:tcPr>
          <w:p w14:paraId="3925851B"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1.1E-09</w:t>
            </w:r>
          </w:p>
        </w:tc>
      </w:tr>
      <w:tr w:rsidR="00E22882" w:rsidRPr="00972C81" w14:paraId="2C6484B0" w14:textId="77777777" w:rsidTr="001A483B">
        <w:trPr>
          <w:trHeight w:val="340"/>
        </w:trPr>
        <w:tc>
          <w:tcPr>
            <w:tcW w:w="2087" w:type="pct"/>
            <w:tcBorders>
              <w:top w:val="nil"/>
              <w:left w:val="nil"/>
              <w:bottom w:val="nil"/>
              <w:right w:val="nil"/>
            </w:tcBorders>
            <w:hideMark/>
          </w:tcPr>
          <w:p w14:paraId="3B7DB78D" w14:textId="77777777" w:rsidR="00E22882" w:rsidRPr="00C47F2F" w:rsidRDefault="00E22882" w:rsidP="001A483B">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60F770AA"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3.4E-09</w:t>
            </w:r>
          </w:p>
        </w:tc>
        <w:tc>
          <w:tcPr>
            <w:tcW w:w="486" w:type="pct"/>
            <w:tcBorders>
              <w:top w:val="nil"/>
              <w:left w:val="nil"/>
              <w:bottom w:val="nil"/>
              <w:right w:val="nil"/>
            </w:tcBorders>
            <w:hideMark/>
          </w:tcPr>
          <w:p w14:paraId="0FAA1ECD"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2.5E-09</w:t>
            </w:r>
          </w:p>
        </w:tc>
        <w:tc>
          <w:tcPr>
            <w:tcW w:w="486" w:type="pct"/>
            <w:tcBorders>
              <w:top w:val="nil"/>
              <w:left w:val="nil"/>
              <w:bottom w:val="nil"/>
              <w:right w:val="nil"/>
            </w:tcBorders>
            <w:hideMark/>
          </w:tcPr>
          <w:p w14:paraId="0C6C4750"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1.0E-09</w:t>
            </w:r>
          </w:p>
        </w:tc>
        <w:tc>
          <w:tcPr>
            <w:tcW w:w="485" w:type="pct"/>
            <w:tcBorders>
              <w:top w:val="nil"/>
              <w:left w:val="nil"/>
              <w:bottom w:val="nil"/>
              <w:right w:val="nil"/>
            </w:tcBorders>
            <w:hideMark/>
          </w:tcPr>
          <w:p w14:paraId="30F87B51"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6.0E-10</w:t>
            </w:r>
          </w:p>
        </w:tc>
        <w:tc>
          <w:tcPr>
            <w:tcW w:w="486" w:type="pct"/>
            <w:tcBorders>
              <w:top w:val="nil"/>
              <w:left w:val="nil"/>
              <w:bottom w:val="nil"/>
              <w:right w:val="nil"/>
            </w:tcBorders>
            <w:hideMark/>
          </w:tcPr>
          <w:p w14:paraId="479F8F31"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4.8E-10</w:t>
            </w:r>
          </w:p>
        </w:tc>
        <w:tc>
          <w:tcPr>
            <w:tcW w:w="486" w:type="pct"/>
            <w:tcBorders>
              <w:top w:val="nil"/>
              <w:left w:val="nil"/>
              <w:bottom w:val="nil"/>
              <w:right w:val="nil"/>
            </w:tcBorders>
            <w:hideMark/>
          </w:tcPr>
          <w:p w14:paraId="4F45308E"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3.7E-10</w:t>
            </w:r>
          </w:p>
        </w:tc>
      </w:tr>
      <w:tr w:rsidR="00E22882" w:rsidRPr="00972C81" w14:paraId="48329858" w14:textId="77777777" w:rsidTr="001A483B">
        <w:trPr>
          <w:trHeight w:val="340"/>
        </w:trPr>
        <w:tc>
          <w:tcPr>
            <w:tcW w:w="2087" w:type="pct"/>
            <w:tcBorders>
              <w:top w:val="nil"/>
              <w:left w:val="nil"/>
              <w:bottom w:val="nil"/>
              <w:right w:val="nil"/>
            </w:tcBorders>
            <w:hideMark/>
          </w:tcPr>
          <w:p w14:paraId="27432A42" w14:textId="77777777" w:rsidR="00E22882" w:rsidRPr="00C47F2F" w:rsidRDefault="00E22882" w:rsidP="001A483B">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hideMark/>
          </w:tcPr>
          <w:p w14:paraId="56B8E30B"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4.7E-09</w:t>
            </w:r>
          </w:p>
        </w:tc>
        <w:tc>
          <w:tcPr>
            <w:tcW w:w="486" w:type="pct"/>
            <w:tcBorders>
              <w:top w:val="nil"/>
              <w:left w:val="nil"/>
              <w:bottom w:val="nil"/>
              <w:right w:val="nil"/>
            </w:tcBorders>
            <w:hideMark/>
          </w:tcPr>
          <w:p w14:paraId="0DEAF843"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3.7E-09</w:t>
            </w:r>
          </w:p>
        </w:tc>
        <w:tc>
          <w:tcPr>
            <w:tcW w:w="486" w:type="pct"/>
            <w:tcBorders>
              <w:top w:val="nil"/>
              <w:left w:val="nil"/>
              <w:bottom w:val="nil"/>
              <w:right w:val="nil"/>
            </w:tcBorders>
            <w:hideMark/>
          </w:tcPr>
          <w:p w14:paraId="0A42DEF6"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2.0E-09</w:t>
            </w:r>
          </w:p>
        </w:tc>
        <w:tc>
          <w:tcPr>
            <w:tcW w:w="485" w:type="pct"/>
            <w:tcBorders>
              <w:top w:val="nil"/>
              <w:left w:val="nil"/>
              <w:bottom w:val="nil"/>
              <w:right w:val="nil"/>
            </w:tcBorders>
            <w:hideMark/>
          </w:tcPr>
          <w:p w14:paraId="427034D2"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1.3E-09</w:t>
            </w:r>
          </w:p>
        </w:tc>
        <w:tc>
          <w:tcPr>
            <w:tcW w:w="486" w:type="pct"/>
            <w:tcBorders>
              <w:top w:val="nil"/>
              <w:left w:val="nil"/>
              <w:bottom w:val="nil"/>
              <w:right w:val="nil"/>
            </w:tcBorders>
            <w:hideMark/>
          </w:tcPr>
          <w:p w14:paraId="65A731A1"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1.0E-09</w:t>
            </w:r>
          </w:p>
        </w:tc>
        <w:tc>
          <w:tcPr>
            <w:tcW w:w="486" w:type="pct"/>
            <w:tcBorders>
              <w:top w:val="nil"/>
              <w:left w:val="nil"/>
              <w:bottom w:val="nil"/>
              <w:right w:val="nil"/>
            </w:tcBorders>
            <w:hideMark/>
          </w:tcPr>
          <w:p w14:paraId="5A27E96B"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9.3E-10</w:t>
            </w:r>
          </w:p>
        </w:tc>
      </w:tr>
      <w:tr w:rsidR="00E22882" w:rsidRPr="00972C81" w14:paraId="54754534" w14:textId="77777777" w:rsidTr="001A483B">
        <w:trPr>
          <w:trHeight w:val="340"/>
        </w:trPr>
        <w:tc>
          <w:tcPr>
            <w:tcW w:w="2087" w:type="pct"/>
            <w:tcBorders>
              <w:top w:val="nil"/>
              <w:left w:val="nil"/>
              <w:bottom w:val="single" w:sz="4" w:space="0" w:color="auto"/>
              <w:right w:val="nil"/>
            </w:tcBorders>
            <w:hideMark/>
          </w:tcPr>
          <w:p w14:paraId="580B4614" w14:textId="77777777" w:rsidR="00E22882" w:rsidRPr="00C47F2F" w:rsidRDefault="00E22882" w:rsidP="001A483B">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485" w:type="pct"/>
            <w:tcBorders>
              <w:top w:val="nil"/>
              <w:left w:val="nil"/>
              <w:bottom w:val="single" w:sz="4" w:space="0" w:color="auto"/>
              <w:right w:val="nil"/>
            </w:tcBorders>
            <w:hideMark/>
          </w:tcPr>
          <w:p w14:paraId="438C4C80"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5.2E-09</w:t>
            </w:r>
          </w:p>
        </w:tc>
        <w:tc>
          <w:tcPr>
            <w:tcW w:w="486" w:type="pct"/>
            <w:tcBorders>
              <w:top w:val="nil"/>
              <w:left w:val="nil"/>
              <w:bottom w:val="single" w:sz="4" w:space="0" w:color="auto"/>
              <w:right w:val="nil"/>
            </w:tcBorders>
            <w:hideMark/>
          </w:tcPr>
          <w:p w14:paraId="785F9F2A"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4.2E-09</w:t>
            </w:r>
          </w:p>
        </w:tc>
        <w:tc>
          <w:tcPr>
            <w:tcW w:w="486" w:type="pct"/>
            <w:tcBorders>
              <w:top w:val="nil"/>
              <w:left w:val="nil"/>
              <w:bottom w:val="single" w:sz="4" w:space="0" w:color="auto"/>
              <w:right w:val="nil"/>
            </w:tcBorders>
            <w:hideMark/>
          </w:tcPr>
          <w:p w14:paraId="076A1834"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2.3E-09</w:t>
            </w:r>
          </w:p>
        </w:tc>
        <w:tc>
          <w:tcPr>
            <w:tcW w:w="485" w:type="pct"/>
            <w:tcBorders>
              <w:top w:val="nil"/>
              <w:left w:val="nil"/>
              <w:bottom w:val="single" w:sz="4" w:space="0" w:color="auto"/>
              <w:right w:val="nil"/>
            </w:tcBorders>
            <w:hideMark/>
          </w:tcPr>
          <w:p w14:paraId="0C2F45CE"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1.5E-09</w:t>
            </w:r>
          </w:p>
        </w:tc>
        <w:tc>
          <w:tcPr>
            <w:tcW w:w="486" w:type="pct"/>
            <w:tcBorders>
              <w:top w:val="nil"/>
              <w:left w:val="nil"/>
              <w:bottom w:val="single" w:sz="4" w:space="0" w:color="auto"/>
              <w:right w:val="nil"/>
            </w:tcBorders>
            <w:hideMark/>
          </w:tcPr>
          <w:p w14:paraId="0C95AB2F"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1.2E-09</w:t>
            </w:r>
          </w:p>
        </w:tc>
        <w:tc>
          <w:tcPr>
            <w:tcW w:w="486" w:type="pct"/>
            <w:tcBorders>
              <w:top w:val="nil"/>
              <w:left w:val="nil"/>
              <w:bottom w:val="single" w:sz="4" w:space="0" w:color="auto"/>
              <w:right w:val="nil"/>
            </w:tcBorders>
            <w:hideMark/>
          </w:tcPr>
          <w:p w14:paraId="64D4D827"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1.1E-09</w:t>
            </w:r>
          </w:p>
        </w:tc>
      </w:tr>
      <w:tr w:rsidR="00E22882" w:rsidRPr="00972C81" w14:paraId="1685F83B" w14:textId="77777777" w:rsidTr="001A483B">
        <w:trPr>
          <w:trHeight w:val="340"/>
        </w:trPr>
        <w:tc>
          <w:tcPr>
            <w:tcW w:w="2087" w:type="pct"/>
            <w:tcBorders>
              <w:top w:val="single" w:sz="4" w:space="0" w:color="auto"/>
              <w:left w:val="nil"/>
              <w:bottom w:val="single" w:sz="4" w:space="0" w:color="auto"/>
              <w:right w:val="nil"/>
            </w:tcBorders>
            <w:vAlign w:val="bottom"/>
          </w:tcPr>
          <w:p w14:paraId="31ECD174" w14:textId="77777777" w:rsidR="00E22882" w:rsidRPr="00C47F2F" w:rsidRDefault="00E22882" w:rsidP="001A483B">
            <w:pPr>
              <w:jc w:val="left"/>
              <w:rPr>
                <w:rFonts w:eastAsiaTheme="minorHAnsi"/>
                <w:noProof/>
                <w:sz w:val="22"/>
                <w:szCs w:val="22"/>
              </w:rPr>
            </w:pPr>
          </w:p>
          <w:p w14:paraId="652C28C1" w14:textId="77777777" w:rsidR="00E22882" w:rsidRPr="00C47F2F" w:rsidRDefault="00E22882" w:rsidP="001A483B">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6A24573E" w14:textId="77777777" w:rsidR="00E22882" w:rsidRPr="00C47F2F" w:rsidRDefault="00E22882"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0F33CB48" w14:textId="77777777" w:rsidR="00E22882" w:rsidRPr="00C47F2F" w:rsidRDefault="00E22882"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510A2FE5" w14:textId="77777777" w:rsidR="00E22882" w:rsidRPr="00C47F2F" w:rsidRDefault="00E22882"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0EDC3A83" w14:textId="77777777" w:rsidR="00E22882" w:rsidRPr="00C47F2F" w:rsidRDefault="00E22882"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31BD70A8" w14:textId="77777777" w:rsidR="00E22882" w:rsidRPr="00C47F2F" w:rsidRDefault="00E22882"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4B97B84B" w14:textId="77777777" w:rsidR="00E22882" w:rsidRPr="00C47F2F" w:rsidRDefault="00E22882" w:rsidP="00C47F2F">
            <w:pPr>
              <w:jc w:val="left"/>
              <w:rPr>
                <w:rFonts w:eastAsia="Times New Roman"/>
                <w:noProof/>
                <w:color w:val="000000"/>
                <w:sz w:val="22"/>
                <w:szCs w:val="22"/>
              </w:rPr>
            </w:pPr>
          </w:p>
        </w:tc>
      </w:tr>
      <w:tr w:rsidR="00E22882" w:rsidRPr="00972C81" w14:paraId="7EEC3498" w14:textId="77777777" w:rsidTr="001A483B">
        <w:trPr>
          <w:trHeight w:val="340"/>
        </w:trPr>
        <w:tc>
          <w:tcPr>
            <w:tcW w:w="2087" w:type="pct"/>
            <w:tcBorders>
              <w:top w:val="single" w:sz="4" w:space="0" w:color="auto"/>
              <w:left w:val="nil"/>
              <w:bottom w:val="single" w:sz="4" w:space="0" w:color="auto"/>
              <w:right w:val="nil"/>
            </w:tcBorders>
            <w:vAlign w:val="center"/>
            <w:hideMark/>
          </w:tcPr>
          <w:p w14:paraId="2C90A0E3" w14:textId="48644332" w:rsidR="00E22882" w:rsidRPr="00C47F2F" w:rsidRDefault="00E22882" w:rsidP="001A483B">
            <w:pPr>
              <w:jc w:val="left"/>
              <w:rPr>
                <w:rFonts w:eastAsiaTheme="minorHAnsi"/>
                <w:noProof/>
                <w:sz w:val="22"/>
                <w:szCs w:val="22"/>
              </w:rPr>
            </w:pPr>
            <w:r w:rsidRPr="00C47F2F">
              <w:rPr>
                <w:rFonts w:eastAsia="Times New Roman"/>
                <w:noProof/>
                <w:color w:val="000000"/>
                <w:sz w:val="22"/>
                <w:szCs w:val="22"/>
                <w:lang w:eastAsia="en-GB"/>
              </w:rPr>
              <w:t>All compounds</w:t>
            </w:r>
          </w:p>
        </w:tc>
        <w:tc>
          <w:tcPr>
            <w:tcW w:w="485" w:type="pct"/>
            <w:tcBorders>
              <w:top w:val="single" w:sz="4" w:space="0" w:color="auto"/>
              <w:left w:val="nil"/>
              <w:bottom w:val="single" w:sz="4" w:space="0" w:color="auto"/>
              <w:right w:val="nil"/>
            </w:tcBorders>
            <w:vAlign w:val="center"/>
            <w:hideMark/>
          </w:tcPr>
          <w:p w14:paraId="4378F9CF"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8.4E-10</w:t>
            </w:r>
          </w:p>
        </w:tc>
        <w:tc>
          <w:tcPr>
            <w:tcW w:w="486" w:type="pct"/>
            <w:tcBorders>
              <w:top w:val="single" w:sz="4" w:space="0" w:color="auto"/>
              <w:left w:val="nil"/>
              <w:bottom w:val="single" w:sz="4" w:space="0" w:color="auto"/>
              <w:right w:val="nil"/>
            </w:tcBorders>
            <w:vAlign w:val="center"/>
            <w:hideMark/>
          </w:tcPr>
          <w:p w14:paraId="13144FC5"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6.0E-10</w:t>
            </w:r>
          </w:p>
        </w:tc>
        <w:tc>
          <w:tcPr>
            <w:tcW w:w="486" w:type="pct"/>
            <w:tcBorders>
              <w:top w:val="single" w:sz="4" w:space="0" w:color="auto"/>
              <w:left w:val="nil"/>
              <w:bottom w:val="single" w:sz="4" w:space="0" w:color="auto"/>
              <w:right w:val="nil"/>
            </w:tcBorders>
            <w:vAlign w:val="center"/>
            <w:hideMark/>
          </w:tcPr>
          <w:p w14:paraId="0D44FCAE"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3.8E-10</w:t>
            </w:r>
          </w:p>
        </w:tc>
        <w:tc>
          <w:tcPr>
            <w:tcW w:w="485" w:type="pct"/>
            <w:tcBorders>
              <w:top w:val="single" w:sz="4" w:space="0" w:color="auto"/>
              <w:left w:val="nil"/>
              <w:bottom w:val="single" w:sz="4" w:space="0" w:color="auto"/>
              <w:right w:val="nil"/>
            </w:tcBorders>
            <w:vAlign w:val="center"/>
            <w:hideMark/>
          </w:tcPr>
          <w:p w14:paraId="2A9E56F6"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2.7E-10</w:t>
            </w:r>
          </w:p>
        </w:tc>
        <w:tc>
          <w:tcPr>
            <w:tcW w:w="486" w:type="pct"/>
            <w:tcBorders>
              <w:top w:val="single" w:sz="4" w:space="0" w:color="auto"/>
              <w:left w:val="nil"/>
              <w:bottom w:val="single" w:sz="4" w:space="0" w:color="auto"/>
              <w:right w:val="nil"/>
            </w:tcBorders>
            <w:vAlign w:val="center"/>
            <w:hideMark/>
          </w:tcPr>
          <w:p w14:paraId="177AD43E"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1.7E-10</w:t>
            </w:r>
          </w:p>
        </w:tc>
        <w:tc>
          <w:tcPr>
            <w:tcW w:w="486" w:type="pct"/>
            <w:tcBorders>
              <w:top w:val="single" w:sz="4" w:space="0" w:color="auto"/>
              <w:left w:val="nil"/>
              <w:bottom w:val="single" w:sz="4" w:space="0" w:color="auto"/>
              <w:right w:val="nil"/>
            </w:tcBorders>
            <w:vAlign w:val="center"/>
            <w:hideMark/>
          </w:tcPr>
          <w:p w14:paraId="5E2CFCD4"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1.4E-10</w:t>
            </w:r>
          </w:p>
        </w:tc>
      </w:tr>
    </w:tbl>
    <w:p w14:paraId="23C3914B" w14:textId="6D60B4C5" w:rsidR="00EB4AA0" w:rsidRPr="0057134B" w:rsidRDefault="00EB4AA0" w:rsidP="00C47F2F">
      <w:pPr>
        <w:pStyle w:val="GlossaryHeadChar"/>
        <w:overflowPunct/>
        <w:autoSpaceDE/>
        <w:autoSpaceDN/>
        <w:adjustRightInd/>
        <w:spacing w:before="0" w:after="0"/>
        <w:textAlignment w:val="auto"/>
        <w:rPr>
          <w:noProof/>
        </w:rPr>
      </w:pPr>
      <w:r w:rsidRPr="0057134B">
        <w:rPr>
          <w:rFonts w:eastAsiaTheme="minorEastAsia"/>
          <w:noProof/>
          <w:lang w:eastAsia="en-US"/>
        </w:rPr>
        <w:br w:type="page"/>
      </w:r>
    </w:p>
    <w:p w14:paraId="2BAD6A4B" w14:textId="6A0511AF" w:rsidR="007D1F4D" w:rsidRPr="00972C81" w:rsidRDefault="00DC407D" w:rsidP="00E81109">
      <w:pPr>
        <w:pStyle w:val="1"/>
        <w:rPr>
          <w:noProof/>
        </w:rPr>
      </w:pPr>
      <w:bookmarkStart w:id="85" w:name="_Toc455492585"/>
      <w:bookmarkStart w:id="86" w:name="_Toc455493014"/>
      <w:bookmarkStart w:id="87" w:name="_Toc162630001"/>
      <w:r w:rsidRPr="00972C81">
        <w:rPr>
          <w:noProof/>
        </w:rPr>
        <w:lastRenderedPageBreak/>
        <w:t>Neodymium (Z = 60)</w:t>
      </w:r>
      <w:bookmarkEnd w:id="85"/>
      <w:bookmarkEnd w:id="86"/>
      <w:bookmarkEnd w:id="87"/>
    </w:p>
    <w:p w14:paraId="6D1AE461" w14:textId="6506A32A" w:rsidR="00AE14B1" w:rsidRPr="00972C81" w:rsidRDefault="00DC407D" w:rsidP="00E81109">
      <w:pPr>
        <w:pStyle w:val="2"/>
        <w:rPr>
          <w:noProof/>
          <w:lang w:val="en-GB"/>
        </w:rPr>
      </w:pPr>
      <w:bookmarkStart w:id="88" w:name="_Toc17467808"/>
      <w:bookmarkStart w:id="89" w:name="_Toc455492587"/>
      <w:bookmarkStart w:id="90" w:name="_Toc455493016"/>
      <w:bookmarkStart w:id="91" w:name="_Toc162630002"/>
      <w:bookmarkEnd w:id="88"/>
      <w:r w:rsidRPr="00972C81">
        <w:rPr>
          <w:noProof/>
          <w:lang w:val="en-GB"/>
        </w:rPr>
        <w:t>Routes of Intake</w:t>
      </w:r>
      <w:bookmarkEnd w:id="89"/>
      <w:bookmarkEnd w:id="90"/>
      <w:bookmarkEnd w:id="91"/>
    </w:p>
    <w:p w14:paraId="29337D41" w14:textId="77777777" w:rsidR="00AE14B1" w:rsidRPr="00972C81" w:rsidRDefault="00DC407D" w:rsidP="00E81109">
      <w:pPr>
        <w:pStyle w:val="3"/>
        <w:rPr>
          <w:noProof/>
        </w:rPr>
      </w:pPr>
      <w:bookmarkStart w:id="92" w:name="_Toc162630003"/>
      <w:r w:rsidRPr="00972C81">
        <w:rPr>
          <w:noProof/>
        </w:rPr>
        <w:t>Inha</w:t>
      </w:r>
      <w:r w:rsidR="00650B43" w:rsidRPr="00972C81">
        <w:rPr>
          <w:noProof/>
        </w:rPr>
        <w:t>la</w:t>
      </w:r>
      <w:r w:rsidRPr="00972C81">
        <w:rPr>
          <w:noProof/>
        </w:rPr>
        <w:t>tion</w:t>
      </w:r>
      <w:bookmarkEnd w:id="92"/>
    </w:p>
    <w:p w14:paraId="67E70830" w14:textId="510C5B63" w:rsidR="007D1F4D" w:rsidRPr="00972C81" w:rsidRDefault="00AE14B1" w:rsidP="001C4A92">
      <w:pPr>
        <w:pStyle w:val="Annalstext"/>
        <w:rPr>
          <w:i/>
          <w:noProof/>
        </w:rPr>
      </w:pPr>
      <w:r w:rsidRPr="00972C81">
        <w:rPr>
          <w:noProof/>
        </w:rPr>
        <w:t xml:space="preserve">No reports of experimental studies of neodymium were found. </w:t>
      </w:r>
      <w:r w:rsidR="005572F4" w:rsidRPr="00972C81">
        <w:rPr>
          <w:noProof/>
        </w:rPr>
        <w:t>A</w:t>
      </w:r>
      <w:r w:rsidRPr="00972C81">
        <w:rPr>
          <w:noProof/>
        </w:rPr>
        <w:t xml:space="preserve">bsorption parameter values based on cerium are applied in this document to the other lanthanides. Absorption parameter values and Types, and associated </w:t>
      </w:r>
      <w:r w:rsidRPr="00972C81">
        <w:rPr>
          <w:i/>
          <w:noProof/>
        </w:rPr>
        <w:t>f</w:t>
      </w:r>
      <w:r w:rsidRPr="00972C81">
        <w:rPr>
          <w:noProof/>
          <w:vertAlign w:val="subscript"/>
        </w:rPr>
        <w:t>A</w:t>
      </w:r>
      <w:r w:rsidRPr="00972C81">
        <w:rPr>
          <w:noProof/>
        </w:rPr>
        <w:t xml:space="preserve"> values for particulate forms of lanthanides, including neodymium, are given in</w:t>
      </w:r>
      <w:r w:rsidR="005572F4" w:rsidRPr="00972C81">
        <w:rPr>
          <w:noProof/>
        </w:rPr>
        <w:t xml:space="preserve"> </w:t>
      </w:r>
      <w:r w:rsidR="00B94D6D" w:rsidRPr="00972C81">
        <w:rPr>
          <w:noProof/>
        </w:rPr>
        <w:fldChar w:fldCharType="begin"/>
      </w:r>
      <w:r w:rsidR="00B94D6D" w:rsidRPr="00972C81">
        <w:rPr>
          <w:noProof/>
        </w:rPr>
        <w:instrText xml:space="preserve"> REF _Ref417994983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1</w:t>
      </w:r>
      <w:r w:rsidR="00B94D6D" w:rsidRPr="00972C81">
        <w:rPr>
          <w:noProof/>
        </w:rPr>
        <w:fldChar w:fldCharType="end"/>
      </w:r>
      <w:r w:rsidR="00B94D6D" w:rsidRPr="00972C81">
        <w:rPr>
          <w:noProof/>
        </w:rPr>
        <w:t xml:space="preserve"> and </w:t>
      </w:r>
      <w:r w:rsidR="00B94D6D" w:rsidRPr="00972C81">
        <w:rPr>
          <w:noProof/>
        </w:rPr>
        <w:fldChar w:fldCharType="begin"/>
      </w:r>
      <w:r w:rsidR="00B94D6D" w:rsidRPr="00972C81">
        <w:rPr>
          <w:noProof/>
        </w:rPr>
        <w:instrText xml:space="preserve"> REF _Ref141784472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B94D6D" w:rsidRPr="00972C81">
        <w:rPr>
          <w:noProof/>
        </w:rPr>
        <w:fldChar w:fldCharType="end"/>
      </w:r>
      <w:r w:rsidR="00B94D6D" w:rsidRPr="00972C81">
        <w:rPr>
          <w:noProof/>
        </w:rPr>
        <w:t xml:space="preserve"> </w:t>
      </w:r>
      <w:r w:rsidR="005572F4" w:rsidRPr="00972C81">
        <w:rPr>
          <w:noProof/>
        </w:rPr>
        <w:t>of the lanthanum Section.</w:t>
      </w:r>
    </w:p>
    <w:p w14:paraId="0B25FBC0" w14:textId="77777777" w:rsidR="00AE14B1" w:rsidRPr="00972C81" w:rsidRDefault="00AE14B1" w:rsidP="00E81109">
      <w:pPr>
        <w:pStyle w:val="3"/>
        <w:rPr>
          <w:noProof/>
        </w:rPr>
      </w:pPr>
      <w:bookmarkStart w:id="93" w:name="_Toc162630004"/>
      <w:r w:rsidRPr="00972C81">
        <w:rPr>
          <w:noProof/>
        </w:rPr>
        <w:t>Ingestion</w:t>
      </w:r>
      <w:bookmarkEnd w:id="93"/>
    </w:p>
    <w:p w14:paraId="4B37A0F5" w14:textId="7A4D9969" w:rsidR="005735E7" w:rsidRPr="00972C81" w:rsidRDefault="00DC407D" w:rsidP="001C4A92">
      <w:pPr>
        <w:pStyle w:val="Annalstext"/>
        <w:rPr>
          <w:noProof/>
        </w:rPr>
      </w:pPr>
      <w:r w:rsidRPr="00972C81">
        <w:rPr>
          <w:i/>
          <w:noProof/>
        </w:rPr>
        <w:t>Adults</w:t>
      </w:r>
      <w:r w:rsidR="005735E7" w:rsidRPr="00972C81">
        <w:rPr>
          <w:noProof/>
        </w:rPr>
        <w:t xml:space="preserve">. In Section 2 of </w:t>
      </w:r>
      <w:r w:rsidR="00B0539B" w:rsidRPr="00972C81">
        <w:rPr>
          <w:i/>
          <w:noProof/>
        </w:rPr>
        <w:t>Publication 141</w:t>
      </w:r>
      <w:r w:rsidR="00B0539B" w:rsidRPr="00972C81">
        <w:rPr>
          <w:noProof/>
        </w:rPr>
        <w:t xml:space="preserve"> </w:t>
      </w:r>
      <w:r w:rsidR="003A6331" w:rsidRPr="00972C81">
        <w:rPr>
          <w:noProof/>
        </w:rPr>
        <w:fldChar w:fldCharType="begin"/>
      </w:r>
      <w:r w:rsidR="003A6331" w:rsidRPr="00972C81">
        <w:rPr>
          <w:noProof/>
        </w:rPr>
        <w:instrText xml:space="preserve"> ADDIN ZOTERO_ITEM CSL_CITATION {"citationID":"sWGv4opc","properties":{"formattedCitation":"(ICRP,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3A6331" w:rsidRPr="00972C81">
        <w:rPr>
          <w:noProof/>
        </w:rPr>
        <w:fldChar w:fldCharType="separate"/>
      </w:r>
      <w:r w:rsidR="00BC59C6" w:rsidRPr="00972C81">
        <w:rPr>
          <w:noProof/>
        </w:rPr>
        <w:t>(ICRP, 2019)</w:t>
      </w:r>
      <w:r w:rsidR="003A6331" w:rsidRPr="00972C81">
        <w:rPr>
          <w:noProof/>
        </w:rPr>
        <w:fldChar w:fldCharType="end"/>
      </w:r>
      <w:r w:rsidR="00B0539B" w:rsidRPr="00972C81">
        <w:rPr>
          <w:noProof/>
        </w:rPr>
        <w:t xml:space="preserve">, </w:t>
      </w:r>
      <w:r w:rsidR="005735E7" w:rsidRPr="00972C81">
        <w:rPr>
          <w:noProof/>
        </w:rPr>
        <w:t>information relating to the gastrointestinal absorption of different lanthanide elements was compared. Their fractional ab</w:t>
      </w:r>
      <w:r w:rsidR="00C10792" w:rsidRPr="00972C81">
        <w:rPr>
          <w:noProof/>
        </w:rPr>
        <w:t xml:space="preserve">sorption was found to be below </w:t>
      </w:r>
      <w:r w:rsidR="005735E7" w:rsidRPr="00972C81">
        <w:rPr>
          <w:noProof/>
        </w:rPr>
        <w:t>10</w:t>
      </w:r>
      <w:r w:rsidRPr="00972C81">
        <w:rPr>
          <w:noProof/>
          <w:vertAlign w:val="superscript"/>
        </w:rPr>
        <w:t>-3</w:t>
      </w:r>
      <w:r w:rsidR="005735E7" w:rsidRPr="00972C81">
        <w:rPr>
          <w:noProof/>
        </w:rPr>
        <w:t xml:space="preserve"> in most cases and a </w:t>
      </w:r>
      <w:r w:rsidRPr="00972C81">
        <w:rPr>
          <w:i/>
          <w:noProof/>
        </w:rPr>
        <w:t>f</w:t>
      </w:r>
      <w:r w:rsidRPr="00972C81">
        <w:rPr>
          <w:noProof/>
          <w:vertAlign w:val="subscript"/>
        </w:rPr>
        <w:t>A</w:t>
      </w:r>
      <w:r w:rsidR="005735E7" w:rsidRPr="00972C81">
        <w:rPr>
          <w:noProof/>
        </w:rPr>
        <w:t xml:space="preserve"> value 5</w:t>
      </w:r>
      <w:r w:rsidR="00067025" w:rsidRPr="00972C81">
        <w:rPr>
          <w:noProof/>
        </w:rPr>
        <w:t xml:space="preserve"> × </w:t>
      </w:r>
      <w:r w:rsidR="005735E7" w:rsidRPr="00972C81">
        <w:rPr>
          <w:noProof/>
        </w:rPr>
        <w:t>10</w:t>
      </w:r>
      <w:r w:rsidRPr="00972C81">
        <w:rPr>
          <w:noProof/>
          <w:vertAlign w:val="superscript"/>
        </w:rPr>
        <w:t>–4</w:t>
      </w:r>
      <w:r w:rsidR="005735E7" w:rsidRPr="00972C81">
        <w:rPr>
          <w:noProof/>
        </w:rPr>
        <w:t xml:space="preserve"> was adopted for all lanthanides as a reasonably representative value based on experimental results. </w:t>
      </w:r>
      <w:r w:rsidR="00EC30D2" w:rsidRPr="00972C81">
        <w:rPr>
          <w:noProof/>
          <w:color w:val="000000" w:themeColor="text1"/>
          <w:szCs w:val="24"/>
        </w:rPr>
        <w:t xml:space="preserve">McAughey </w:t>
      </w:r>
      <w:r w:rsidR="003A6331" w:rsidRPr="00972C81">
        <w:rPr>
          <w:noProof/>
          <w:color w:val="000000" w:themeColor="text1"/>
          <w:szCs w:val="24"/>
        </w:rPr>
        <w:fldChar w:fldCharType="begin"/>
      </w:r>
      <w:r w:rsidR="00497094" w:rsidRPr="00972C81">
        <w:rPr>
          <w:noProof/>
          <w:color w:val="000000" w:themeColor="text1"/>
          <w:szCs w:val="24"/>
        </w:rPr>
        <w:instrText xml:space="preserve"> ADDIN ZOTERO_ITEM CSL_CITATION {"citationID":"ziigd0CM","properties":{"formattedCitation":"(1996)","plainCitation":"(1996)","noteIndex":0},"citationItems":[{"id":4813,"uris":["http://zotero.org/groups/2470620/items/JBWIYMTF"],"itemData":{"id":4813,"type":"report","collection-title":"Commission of the European Communities Radiation Protection Programme 1992-1994","event-place":"Luxembourg","genre":"Report on Contract No. BI3P-CT920048,","publisher":"European Union","publisher-place":"Luxembourg","source":"Google Scholar","title":"Assessment of internal dose from plutonium and other radionuclides using stable isotope tracer techniques in man","author":[{"family":"McAughey","given":"J. A."}],"issued":{"date-parts":[["1996"]]}},"label":"page","suppress-author":true}],"schema":"https://github.com/citation-style-language/schema/raw/master/csl-citation.json"} </w:instrText>
      </w:r>
      <w:r w:rsidR="003A6331" w:rsidRPr="00972C81">
        <w:rPr>
          <w:noProof/>
          <w:color w:val="000000" w:themeColor="text1"/>
          <w:szCs w:val="24"/>
        </w:rPr>
        <w:fldChar w:fldCharType="separate"/>
      </w:r>
      <w:r w:rsidR="00BC59C6" w:rsidRPr="00972C81">
        <w:rPr>
          <w:noProof/>
        </w:rPr>
        <w:t>(1996)</w:t>
      </w:r>
      <w:r w:rsidR="003A6331" w:rsidRPr="00972C81">
        <w:rPr>
          <w:noProof/>
          <w:color w:val="000000" w:themeColor="text1"/>
          <w:szCs w:val="24"/>
        </w:rPr>
        <w:fldChar w:fldCharType="end"/>
      </w:r>
      <w:r w:rsidR="00EC30D2" w:rsidRPr="00972C81">
        <w:rPr>
          <w:noProof/>
          <w:color w:val="000000" w:themeColor="text1"/>
          <w:szCs w:val="24"/>
        </w:rPr>
        <w:t xml:space="preserve"> measured the absorption of neodymium in eight adults humans with a median absorption fraction of 5</w:t>
      </w:r>
      <w:r w:rsidR="00067025" w:rsidRPr="00972C81">
        <w:rPr>
          <w:noProof/>
          <w:color w:val="000000" w:themeColor="text1"/>
          <w:szCs w:val="24"/>
        </w:rPr>
        <w:t xml:space="preserve"> × </w:t>
      </w:r>
      <w:r w:rsidR="00EC30D2" w:rsidRPr="00972C81">
        <w:rPr>
          <w:noProof/>
          <w:color w:val="000000" w:themeColor="text1"/>
          <w:szCs w:val="24"/>
        </w:rPr>
        <w:t>10</w:t>
      </w:r>
      <w:r w:rsidR="00EC30D2" w:rsidRPr="00972C81">
        <w:rPr>
          <w:noProof/>
          <w:color w:val="000000" w:themeColor="text1"/>
          <w:szCs w:val="24"/>
          <w:vertAlign w:val="superscript"/>
        </w:rPr>
        <w:t>–4</w:t>
      </w:r>
      <w:r w:rsidR="005735E7" w:rsidRPr="00972C81">
        <w:rPr>
          <w:noProof/>
        </w:rPr>
        <w:t xml:space="preserve">. The value of </w:t>
      </w:r>
      <w:r w:rsidRPr="00972C81">
        <w:rPr>
          <w:i/>
          <w:noProof/>
        </w:rPr>
        <w:t>f</w:t>
      </w:r>
      <w:r w:rsidRPr="00972C81">
        <w:rPr>
          <w:noProof/>
          <w:vertAlign w:val="subscript"/>
        </w:rPr>
        <w:t>A</w:t>
      </w:r>
      <w:r w:rsidR="005735E7" w:rsidRPr="00972C81">
        <w:rPr>
          <w:noProof/>
        </w:rPr>
        <w:t xml:space="preserve"> = 5</w:t>
      </w:r>
      <w:r w:rsidR="00067025" w:rsidRPr="00972C81">
        <w:rPr>
          <w:noProof/>
        </w:rPr>
        <w:t xml:space="preserve"> × </w:t>
      </w:r>
      <w:r w:rsidR="005735E7" w:rsidRPr="00972C81">
        <w:rPr>
          <w:noProof/>
        </w:rPr>
        <w:t>10</w:t>
      </w:r>
      <w:r w:rsidRPr="00972C81">
        <w:rPr>
          <w:noProof/>
          <w:vertAlign w:val="superscript"/>
        </w:rPr>
        <w:t>–4</w:t>
      </w:r>
      <w:r w:rsidR="005735E7" w:rsidRPr="00972C81">
        <w:rPr>
          <w:noProof/>
        </w:rPr>
        <w:t xml:space="preserve"> is adopted here for intakes of </w:t>
      </w:r>
      <w:r w:rsidR="00EC30D2" w:rsidRPr="00972C81">
        <w:rPr>
          <w:noProof/>
          <w:color w:val="000000" w:themeColor="text1"/>
          <w:szCs w:val="24"/>
        </w:rPr>
        <w:t>neodymium</w:t>
      </w:r>
      <w:r w:rsidR="00EC30D2" w:rsidRPr="00972C81">
        <w:rPr>
          <w:noProof/>
        </w:rPr>
        <w:t xml:space="preserve"> </w:t>
      </w:r>
      <w:r w:rsidR="005735E7" w:rsidRPr="00972C81">
        <w:rPr>
          <w:noProof/>
        </w:rPr>
        <w:t>by adult members of the public.</w:t>
      </w:r>
    </w:p>
    <w:p w14:paraId="58525504" w14:textId="31D00402" w:rsidR="007D1F4D" w:rsidRPr="00972C81" w:rsidRDefault="00DC407D" w:rsidP="001C4A92">
      <w:pPr>
        <w:pStyle w:val="Annalstext"/>
        <w:rPr>
          <w:noProof/>
        </w:rPr>
      </w:pPr>
      <w:r w:rsidRPr="00972C81">
        <w:rPr>
          <w:i/>
          <w:noProof/>
        </w:rPr>
        <w:t>Children</w:t>
      </w:r>
      <w:r w:rsidR="005735E7" w:rsidRPr="00972C81">
        <w:rPr>
          <w:noProof/>
        </w:rPr>
        <w:t xml:space="preserve">. The age-dependency of </w:t>
      </w:r>
      <w:r w:rsidR="00EC30D2" w:rsidRPr="00972C81">
        <w:rPr>
          <w:noProof/>
          <w:color w:val="000000" w:themeColor="text1"/>
          <w:szCs w:val="24"/>
        </w:rPr>
        <w:t>neodymium</w:t>
      </w:r>
      <w:r w:rsidR="00EC30D2" w:rsidRPr="00972C81">
        <w:rPr>
          <w:noProof/>
        </w:rPr>
        <w:t xml:space="preserve"> </w:t>
      </w:r>
      <w:r w:rsidR="005735E7" w:rsidRPr="00972C81">
        <w:rPr>
          <w:noProof/>
        </w:rPr>
        <w:t xml:space="preserve">absorption was not observed. On the basis of the chemical analogy with cerium, the same values of </w:t>
      </w:r>
      <w:r w:rsidRPr="00972C81">
        <w:rPr>
          <w:i/>
          <w:noProof/>
        </w:rPr>
        <w:t>f</w:t>
      </w:r>
      <w:r w:rsidRPr="00972C81">
        <w:rPr>
          <w:noProof/>
          <w:vertAlign w:val="subscript"/>
        </w:rPr>
        <w:t>A</w:t>
      </w:r>
      <w:r w:rsidR="005735E7" w:rsidRPr="00972C81">
        <w:rPr>
          <w:noProof/>
        </w:rPr>
        <w:t xml:space="preserve"> = 5</w:t>
      </w:r>
      <w:r w:rsidR="00067025" w:rsidRPr="00972C81">
        <w:rPr>
          <w:noProof/>
        </w:rPr>
        <w:t xml:space="preserve"> × </w:t>
      </w:r>
      <w:r w:rsidR="005735E7" w:rsidRPr="00972C81">
        <w:rPr>
          <w:noProof/>
        </w:rPr>
        <w:t>10</w:t>
      </w:r>
      <w:r w:rsidRPr="00972C81">
        <w:rPr>
          <w:noProof/>
          <w:vertAlign w:val="superscript"/>
        </w:rPr>
        <w:t>-3</w:t>
      </w:r>
      <w:r w:rsidR="005735E7" w:rsidRPr="00972C81">
        <w:rPr>
          <w:noProof/>
        </w:rPr>
        <w:t xml:space="preserve"> for 3-month-old infants and 5</w:t>
      </w:r>
      <w:r w:rsidR="00067025" w:rsidRPr="00972C81">
        <w:rPr>
          <w:noProof/>
        </w:rPr>
        <w:t xml:space="preserve"> × </w:t>
      </w:r>
      <w:r w:rsidR="005735E7" w:rsidRPr="00972C81">
        <w:rPr>
          <w:noProof/>
        </w:rPr>
        <w:t>10</w:t>
      </w:r>
      <w:r w:rsidRPr="00972C81">
        <w:rPr>
          <w:noProof/>
          <w:vertAlign w:val="superscript"/>
        </w:rPr>
        <w:t>-4</w:t>
      </w:r>
      <w:r w:rsidR="005735E7" w:rsidRPr="00972C81">
        <w:rPr>
          <w:noProof/>
        </w:rPr>
        <w:t xml:space="preserve"> for children of 1 year and older are adopted here for </w:t>
      </w:r>
      <w:r w:rsidR="00EC30D2" w:rsidRPr="00972C81">
        <w:rPr>
          <w:noProof/>
          <w:color w:val="000000" w:themeColor="text1"/>
          <w:szCs w:val="24"/>
        </w:rPr>
        <w:t>neodymium</w:t>
      </w:r>
      <w:r w:rsidR="005735E7" w:rsidRPr="00972C81">
        <w:rPr>
          <w:noProof/>
        </w:rPr>
        <w:t>.</w:t>
      </w:r>
    </w:p>
    <w:p w14:paraId="7EC26141" w14:textId="77777777" w:rsidR="00AE7A83" w:rsidRPr="00972C81" w:rsidRDefault="00AE7A83" w:rsidP="00E81109">
      <w:pPr>
        <w:pStyle w:val="3"/>
        <w:rPr>
          <w:noProof/>
        </w:rPr>
      </w:pPr>
      <w:bookmarkStart w:id="94" w:name="_Toc162630005"/>
      <w:r w:rsidRPr="00972C81">
        <w:rPr>
          <w:noProof/>
        </w:rPr>
        <w:t>Systemic Distribution, Retention and Excretion</w:t>
      </w:r>
      <w:bookmarkEnd w:id="94"/>
    </w:p>
    <w:p w14:paraId="727E6211" w14:textId="77777777" w:rsidR="009F533B" w:rsidRPr="00972C81" w:rsidRDefault="009F533B" w:rsidP="006703A2">
      <w:pPr>
        <w:pStyle w:val="OIRTitre4"/>
      </w:pPr>
      <w:r w:rsidRPr="00972C81">
        <w:t>Summary of biokinetic data</w:t>
      </w:r>
    </w:p>
    <w:p w14:paraId="7585294C" w14:textId="3DE22D34" w:rsidR="009F533B" w:rsidRPr="00972C81" w:rsidRDefault="009F533B" w:rsidP="001C4A92">
      <w:pPr>
        <w:pStyle w:val="Annalstext"/>
        <w:rPr>
          <w:noProof/>
        </w:rPr>
      </w:pPr>
      <w:r w:rsidRPr="00972C81">
        <w:rPr>
          <w:noProof/>
        </w:rPr>
        <w:t xml:space="preserve">In rats </w:t>
      </w:r>
      <w:r w:rsidR="003A6331" w:rsidRPr="00972C81">
        <w:rPr>
          <w:noProof/>
        </w:rPr>
        <w:fldChar w:fldCharType="begin"/>
      </w:r>
      <w:r w:rsidR="003A6331" w:rsidRPr="00972C81">
        <w:rPr>
          <w:noProof/>
        </w:rPr>
        <w:instrText xml:space="preserve"> ADDIN ZOTERO_ITEM CSL_CITATION {"citationID":"wHGwidSr","properties":{"formattedCitation":"(Durbin, 1959, 1962)","plainCitation":"(Durbin, 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3A6331" w:rsidRPr="00972C81">
        <w:rPr>
          <w:noProof/>
        </w:rPr>
        <w:fldChar w:fldCharType="separate"/>
      </w:r>
      <w:r w:rsidR="00BC59C6" w:rsidRPr="00972C81">
        <w:rPr>
          <w:noProof/>
        </w:rPr>
        <w:t>(Durbin, 1959, 1962)</w:t>
      </w:r>
      <w:r w:rsidR="003A6331" w:rsidRPr="00972C81">
        <w:rPr>
          <w:noProof/>
        </w:rPr>
        <w:fldChar w:fldCharType="end"/>
      </w:r>
      <w:r w:rsidRPr="00972C81">
        <w:rPr>
          <w:noProof/>
        </w:rPr>
        <w:t xml:space="preserve">, neodymium showed somewhat lower liver uptake and higher urinary excretion than its neighbours in the periodic chart and thus did not closely fit the trend indicated by the collective data for the lanthanides, that is, a continuous change with ionic radius across the lanthanide family with regard to deposition fractions in major repositories. However, the rate of urinary excretion of neodymium during the first week after injection into human subjects </w:t>
      </w:r>
      <w:r w:rsidR="009E7448" w:rsidRPr="00972C81">
        <w:rPr>
          <w:noProof/>
        </w:rPr>
        <w:fldChar w:fldCharType="begin"/>
      </w:r>
      <w:r w:rsidR="009E7448" w:rsidRPr="00972C81">
        <w:rPr>
          <w:noProof/>
        </w:rPr>
        <w:instrText xml:space="preserve"> ADDIN ZOTERO_ITEM CSL_CITATION {"citationID":"5MNGa4MN","properties":{"formattedCitation":"(Roth et al., 1995)","plainCitation":"(Roth et al., 1995)","noteIndex":0},"citationItems":[{"id":4815,"uris":["http://zotero.org/groups/2470620/items/VLSF67MX"],"itemData":{"id":4815,"type":"report","collection-title":"Commission of the European Communities Radiation Protection Programme 1992-1994","event-place":"Luxembourg","genre":"Report on Contract No. BI3P-CT920048","page":"33-45","publisher":"European Union","publisher-place":"Luxembourg","source":"Google Scholar","title":"Assessment of internal dose from plutonium and other radionuclides using stable isotope tracer techniques in man","author":[{"family":"Roth","given":"P."},{"family":"Molho","given":"N."},{"family":"Cantone","given":"M.C."},{"family":"Taylor","given":"D.M."},{"family":"McAughey","given":"J.A."}],"issued":{"date-parts":[["1995"]]}}}],"schema":"https://github.com/citation-style-language/schema/raw/master/csl-citation.json"} </w:instrText>
      </w:r>
      <w:r w:rsidR="009E7448" w:rsidRPr="00972C81">
        <w:rPr>
          <w:noProof/>
        </w:rPr>
        <w:fldChar w:fldCharType="separate"/>
      </w:r>
      <w:r w:rsidR="00BC59C6" w:rsidRPr="00972C81">
        <w:rPr>
          <w:noProof/>
        </w:rPr>
        <w:t>(Roth et al., 1995)</w:t>
      </w:r>
      <w:r w:rsidR="009E7448" w:rsidRPr="00972C81">
        <w:rPr>
          <w:noProof/>
        </w:rPr>
        <w:fldChar w:fldCharType="end"/>
      </w:r>
      <w:r w:rsidRPr="00972C81">
        <w:rPr>
          <w:noProof/>
        </w:rPr>
        <w:t xml:space="preserve"> was similar to that observed in human subjects injected with promethium </w:t>
      </w:r>
      <w:r w:rsidR="009E7448" w:rsidRPr="00972C81">
        <w:rPr>
          <w:noProof/>
        </w:rPr>
        <w:fldChar w:fldCharType="begin"/>
      </w:r>
      <w:r w:rsidR="009E7448" w:rsidRPr="00972C81">
        <w:rPr>
          <w:noProof/>
        </w:rPr>
        <w:instrText xml:space="preserve"> ADDIN ZOTERO_ITEM CSL_CITATION {"citationID":"1BUHSxP4","properties":{"formattedCitation":"(Palmer et al., 1970)","plainCitation":"(Palmer et al., 1970)","noteIndex":0},"citationItems":[{"id":4816,"uris":["http://zotero.org/groups/2470620/items/ULJ24TYK"],"itemData":{"id":4816,"type":"article-journal","container-title":"Health Physics","DOI":"10.1097/00004032-197001000-00005","ISSN":"0017-9078","issue":"1","journalAbbreviation":"Health Phys","language":"eng","note":"PMID: 5414967","page":"53-61","source":"PubMed","title":"The uptake, distribution and excretion of promethium in humans and the effect of DTPA on these parameters","volume":"18","author":[{"family":"Palmer","given":"H. E."},{"family":"Nelson","given":"I. C."},{"family":"Crook","given":"G. H."}],"issued":{"date-parts":[["1970",1]]}}}],"schema":"https://github.com/citation-style-language/schema/raw/master/csl-citation.json"} </w:instrText>
      </w:r>
      <w:r w:rsidR="009E7448" w:rsidRPr="00972C81">
        <w:rPr>
          <w:noProof/>
        </w:rPr>
        <w:fldChar w:fldCharType="separate"/>
      </w:r>
      <w:r w:rsidR="00BC59C6" w:rsidRPr="00972C81">
        <w:rPr>
          <w:noProof/>
        </w:rPr>
        <w:t>(Palmer et al., 1970)</w:t>
      </w:r>
      <w:r w:rsidR="009E7448" w:rsidRPr="00972C81">
        <w:rPr>
          <w:noProof/>
        </w:rPr>
        <w:fldChar w:fldCharType="end"/>
      </w:r>
      <w:r w:rsidRPr="00972C81">
        <w:rPr>
          <w:noProof/>
        </w:rPr>
        <w:t xml:space="preserve"> and was much lower than that measured in rats </w:t>
      </w:r>
      <w:r w:rsidR="009E7448" w:rsidRPr="00972C81">
        <w:rPr>
          <w:noProof/>
        </w:rPr>
        <w:fldChar w:fldCharType="begin"/>
      </w:r>
      <w:r w:rsidR="009E7448" w:rsidRPr="00972C81">
        <w:rPr>
          <w:noProof/>
        </w:rPr>
        <w:instrText xml:space="preserve"> ADDIN ZOTERO_ITEM CSL_CITATION {"citationID":"AbOTZNQn","properties":{"formattedCitation":"(Durbin, 1959, 1962)","plainCitation":"(Durbin, 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9E7448" w:rsidRPr="00972C81">
        <w:rPr>
          <w:noProof/>
        </w:rPr>
        <w:fldChar w:fldCharType="separate"/>
      </w:r>
      <w:r w:rsidR="00BC59C6" w:rsidRPr="00972C81">
        <w:rPr>
          <w:noProof/>
        </w:rPr>
        <w:t>(Durbin, 1959, 1962)</w:t>
      </w:r>
      <w:r w:rsidR="009E7448" w:rsidRPr="00972C81">
        <w:rPr>
          <w:noProof/>
        </w:rPr>
        <w:fldChar w:fldCharType="end"/>
      </w:r>
      <w:r w:rsidRPr="00972C81">
        <w:rPr>
          <w:noProof/>
        </w:rPr>
        <w:t xml:space="preserve">. The mean faecal to urinary excretion ratio over the first 7 d (~0.11) and mean whole-body retention of absorbed neodymium after 7 d (94 ± 3%) in the human subjects are also similar to values determined for promethium in human subjects. </w:t>
      </w:r>
    </w:p>
    <w:p w14:paraId="3CCE6DD8" w14:textId="77777777" w:rsidR="009F533B" w:rsidRPr="00972C81" w:rsidRDefault="009F533B" w:rsidP="001C4A92">
      <w:pPr>
        <w:pStyle w:val="Annalstext"/>
        <w:rPr>
          <w:rFonts w:eastAsia="Times New Roman"/>
          <w:noProof/>
        </w:rPr>
      </w:pPr>
      <w:r w:rsidRPr="00972C81">
        <w:rPr>
          <w:rFonts w:eastAsia="Times New Roman"/>
          <w:noProof/>
        </w:rPr>
        <w:t xml:space="preserve">No information was found regarding age dependence in the biokinetics of systemic </w:t>
      </w:r>
      <w:r w:rsidRPr="00972C81">
        <w:rPr>
          <w:rFonts w:ascii="Times Roman" w:hAnsi="Times Roman"/>
          <w:noProof/>
        </w:rPr>
        <w:t>neodymium</w:t>
      </w:r>
      <w:r w:rsidRPr="00972C81">
        <w:rPr>
          <w:rFonts w:eastAsia="Times New Roman"/>
          <w:noProof/>
        </w:rPr>
        <w:t xml:space="preserve">. </w:t>
      </w:r>
    </w:p>
    <w:p w14:paraId="29E0E42C" w14:textId="77777777" w:rsidR="009F533B" w:rsidRPr="00972C81" w:rsidRDefault="009F533B" w:rsidP="006703A2">
      <w:pPr>
        <w:pStyle w:val="OIRTitre4"/>
      </w:pPr>
      <w:r w:rsidRPr="00972C81">
        <w:t>Systemic model</w:t>
      </w:r>
    </w:p>
    <w:p w14:paraId="5831B51C" w14:textId="56046129" w:rsidR="009F533B" w:rsidRPr="00972C81" w:rsidRDefault="009F533B" w:rsidP="001C4A92">
      <w:pPr>
        <w:pStyle w:val="Annalstext"/>
        <w:rPr>
          <w:noProof/>
        </w:rPr>
      </w:pPr>
      <w:bookmarkStart w:id="95" w:name="_Hlk494952946"/>
      <w:r w:rsidRPr="00972C81">
        <w:rPr>
          <w:noProof/>
        </w:rPr>
        <w:t>The m</w:t>
      </w:r>
      <w:r w:rsidR="00B0539B" w:rsidRPr="00972C81">
        <w:rPr>
          <w:noProof/>
        </w:rPr>
        <w:t xml:space="preserve">odel structure shown in </w:t>
      </w:r>
      <w:r w:rsidR="009E7448" w:rsidRPr="00972C81">
        <w:rPr>
          <w:noProof/>
        </w:rPr>
        <w:fldChar w:fldCharType="begin"/>
      </w:r>
      <w:r w:rsidR="009E7448" w:rsidRPr="00972C81">
        <w:rPr>
          <w:noProof/>
        </w:rPr>
        <w:instrText xml:space="preserve"> REF _Ref141858180 \h </w:instrText>
      </w:r>
      <w:r w:rsidR="009E7448" w:rsidRPr="00972C81">
        <w:rPr>
          <w:noProof/>
        </w:rPr>
      </w:r>
      <w:r w:rsidR="009E7448" w:rsidRPr="00972C81">
        <w:rPr>
          <w:noProof/>
        </w:rPr>
        <w:fldChar w:fldCharType="separate"/>
      </w:r>
      <w:r w:rsidR="00A41AD1" w:rsidRPr="00A41AD1">
        <w:rPr>
          <w:noProof/>
          <w:szCs w:val="24"/>
        </w:rPr>
        <w:t xml:space="preserve">Fig </w:t>
      </w:r>
      <w:r w:rsidR="00A41AD1">
        <w:rPr>
          <w:noProof/>
          <w:szCs w:val="24"/>
        </w:rPr>
        <w:t>3</w:t>
      </w:r>
      <w:r w:rsidR="00A41AD1" w:rsidRPr="00A41AD1">
        <w:rPr>
          <w:noProof/>
          <w:szCs w:val="24"/>
        </w:rPr>
        <w:t>.</w:t>
      </w:r>
      <w:r w:rsidR="00A41AD1">
        <w:rPr>
          <w:noProof/>
          <w:szCs w:val="24"/>
        </w:rPr>
        <w:t>1</w:t>
      </w:r>
      <w:r w:rsidR="009E7448" w:rsidRPr="00972C81">
        <w:rPr>
          <w:noProof/>
        </w:rPr>
        <w:fldChar w:fldCharType="end"/>
      </w:r>
      <w:r w:rsidRPr="00972C81">
        <w:rPr>
          <w:noProof/>
        </w:rPr>
        <w:t xml:space="preserve"> of the section on cerium is applied in this report to all lanthanide elements.</w:t>
      </w:r>
    </w:p>
    <w:p w14:paraId="771E81B2" w14:textId="0110549D" w:rsidR="009F533B" w:rsidRPr="00972C81" w:rsidRDefault="009F533B" w:rsidP="001C4A92">
      <w:pPr>
        <w:pStyle w:val="Annalstext"/>
        <w:rPr>
          <w:rFonts w:eastAsia="Times New Roman"/>
          <w:noProof/>
        </w:rPr>
      </w:pPr>
      <w:bookmarkStart w:id="96" w:name="_Hlk494886679"/>
      <w:bookmarkEnd w:id="95"/>
      <w:r w:rsidRPr="00972C81">
        <w:rPr>
          <w:rFonts w:eastAsia="Times New Roman"/>
          <w:noProof/>
        </w:rPr>
        <w:t xml:space="preserve">A common set of age-specific transfer coefficients is applied to the “promethium group”, </w:t>
      </w:r>
      <w:bookmarkStart w:id="97" w:name="_Hlk494873222"/>
      <w:r w:rsidRPr="00972C81">
        <w:rPr>
          <w:rFonts w:eastAsia="Times New Roman"/>
          <w:noProof/>
        </w:rPr>
        <w:t>neodymium, promethium, and samarium</w:t>
      </w:r>
      <w:bookmarkEnd w:id="97"/>
      <w:r w:rsidRPr="00972C81">
        <w:rPr>
          <w:rFonts w:eastAsia="Times New Roman"/>
          <w:noProof/>
        </w:rPr>
        <w:t xml:space="preserve">. The transfer coefficients are based largely on generic parameter values for the lanthanides, i.e., parameter values assumed to be invariant across the lanthanide family. The generic parameter values are listed in the section on cerium. The model for each lanthanide element includes a smaller set of non-generic transfer </w:t>
      </w:r>
      <w:r w:rsidRPr="00972C81">
        <w:rPr>
          <w:rFonts w:eastAsia="Times New Roman"/>
          <w:noProof/>
        </w:rPr>
        <w:lastRenderedPageBreak/>
        <w:t xml:space="preserve">coefficients, i.e., transfer coefficients reflecting group-specific or element-specific systemic </w:t>
      </w:r>
      <w:r w:rsidR="00BB503E">
        <w:rPr>
          <w:rFonts w:eastAsia="Times New Roman"/>
          <w:noProof/>
        </w:rPr>
        <w:t>behaviour</w:t>
      </w:r>
      <w:r w:rsidRPr="00972C81">
        <w:rPr>
          <w:rFonts w:eastAsia="Times New Roman"/>
          <w:noProof/>
        </w:rPr>
        <w:t xml:space="preserve">. Specific parameter values for the promethium group are listed in the section on promethium. The full set of transfer coefficients of the model is listed in </w:t>
      </w:r>
      <w:r w:rsidR="009F14C1" w:rsidRPr="00972C81">
        <w:rPr>
          <w:rFonts w:eastAsia="Times New Roman"/>
          <w:noProof/>
          <w:highlight w:val="yellow"/>
        </w:rPr>
        <w:fldChar w:fldCharType="begin"/>
      </w:r>
      <w:r w:rsidR="009F14C1" w:rsidRPr="00972C81">
        <w:rPr>
          <w:rFonts w:eastAsia="Times New Roman"/>
          <w:noProof/>
        </w:rPr>
        <w:instrText xml:space="preserve"> REF _Ref142303963 \h </w:instrText>
      </w:r>
      <w:r w:rsidR="009F14C1" w:rsidRPr="00972C81">
        <w:rPr>
          <w:rFonts w:eastAsia="Times New Roman"/>
          <w:noProof/>
          <w:highlight w:val="yellow"/>
        </w:rPr>
      </w:r>
      <w:r w:rsidR="009F14C1" w:rsidRPr="00972C81">
        <w:rPr>
          <w:rFonts w:eastAsia="Times New Roman"/>
          <w:noProof/>
          <w:highlight w:val="yellow"/>
        </w:rPr>
        <w:fldChar w:fldCharType="separate"/>
      </w:r>
      <w:r w:rsidR="00A41AD1" w:rsidRPr="00972C81">
        <w:rPr>
          <w:noProof/>
        </w:rPr>
        <w:t xml:space="preserve">Table </w:t>
      </w:r>
      <w:r w:rsidR="00A41AD1">
        <w:rPr>
          <w:noProof/>
        </w:rPr>
        <w:t>6</w:t>
      </w:r>
      <w:r w:rsidR="00A41AD1" w:rsidRPr="00972C81">
        <w:rPr>
          <w:noProof/>
        </w:rPr>
        <w:t>.</w:t>
      </w:r>
      <w:r w:rsidR="00A41AD1">
        <w:rPr>
          <w:noProof/>
        </w:rPr>
        <w:t>2</w:t>
      </w:r>
      <w:r w:rsidR="009F14C1" w:rsidRPr="00972C81">
        <w:rPr>
          <w:rFonts w:eastAsia="Times New Roman"/>
          <w:noProof/>
          <w:highlight w:val="yellow"/>
        </w:rPr>
        <w:fldChar w:fldCharType="end"/>
      </w:r>
      <w:r w:rsidR="009F14C1" w:rsidRPr="00972C81">
        <w:rPr>
          <w:rFonts w:eastAsia="Times New Roman"/>
          <w:noProof/>
        </w:rPr>
        <w:t xml:space="preserve"> </w:t>
      </w:r>
      <w:r w:rsidRPr="00972C81">
        <w:rPr>
          <w:rFonts w:eastAsia="Times New Roman"/>
          <w:noProof/>
        </w:rPr>
        <w:t>of the section on promethium.</w:t>
      </w:r>
    </w:p>
    <w:bookmarkEnd w:id="96"/>
    <w:p w14:paraId="2A3B7239" w14:textId="77777777" w:rsidR="009F533B" w:rsidRPr="00972C81" w:rsidRDefault="009F533B" w:rsidP="006703A2">
      <w:pPr>
        <w:pStyle w:val="OIRTitre4"/>
      </w:pPr>
      <w:r w:rsidRPr="00972C81">
        <w:t>Treatment of progeny</w:t>
      </w:r>
    </w:p>
    <w:p w14:paraId="46CF7FF7" w14:textId="6842932F" w:rsidR="009F533B" w:rsidRPr="00972C81" w:rsidRDefault="009F533B" w:rsidP="00C47F2F">
      <w:pPr>
        <w:pStyle w:val="Annalstext"/>
        <w:rPr>
          <w:noProof/>
        </w:rPr>
      </w:pPr>
      <w:r w:rsidRPr="00972C81">
        <w:rPr>
          <w:noProof/>
        </w:rPr>
        <w:t>Chain members addressed in the derivation of dose coefficients for radioisotopes of neodymium are also lanthanides. A radioactive progeny produced in a systemic compartment following intake of a lanthanide is assumed to follow the characteristic model of the progeny from its time of production.</w:t>
      </w:r>
    </w:p>
    <w:p w14:paraId="3836C701" w14:textId="77777777" w:rsidR="00593D1F" w:rsidRPr="00972C81" w:rsidRDefault="00593D1F" w:rsidP="00E81109">
      <w:pPr>
        <w:pStyle w:val="2"/>
        <w:rPr>
          <w:noProof/>
          <w:lang w:val="en-GB"/>
        </w:rPr>
      </w:pPr>
      <w:bookmarkStart w:id="98" w:name="_Toc162630006"/>
      <w:r w:rsidRPr="00972C81">
        <w:rPr>
          <w:noProof/>
          <w:lang w:val="en-GB"/>
        </w:rPr>
        <w:t>Dosimetric data for neodymium</w:t>
      </w:r>
      <w:bookmarkEnd w:id="98"/>
    </w:p>
    <w:p w14:paraId="478AFF08" w14:textId="71C34043" w:rsidR="00E22882" w:rsidRPr="00972C81" w:rsidRDefault="00E22882" w:rsidP="00E22882">
      <w:pPr>
        <w:pStyle w:val="ab"/>
        <w:rPr>
          <w:noProof/>
          <w:sz w:val="24"/>
          <w:szCs w:val="24"/>
        </w:rPr>
      </w:pPr>
      <w:r w:rsidRPr="00972C81">
        <w:rPr>
          <w:noProof/>
          <w:sz w:val="24"/>
          <w:szCs w:val="24"/>
        </w:rPr>
        <w:t>Table 5.1.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147</w:t>
      </w:r>
      <w:r w:rsidRPr="00972C81">
        <w:rPr>
          <w:noProof/>
          <w:sz w:val="24"/>
          <w:szCs w:val="24"/>
        </w:rPr>
        <w:t>Nd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E22882" w:rsidRPr="00A3213E" w14:paraId="436564E4" w14:textId="77777777" w:rsidTr="001A483B">
        <w:trPr>
          <w:trHeight w:val="340"/>
        </w:trPr>
        <w:tc>
          <w:tcPr>
            <w:tcW w:w="2087" w:type="pct"/>
            <w:vMerge w:val="restart"/>
            <w:tcBorders>
              <w:top w:val="single" w:sz="4" w:space="0" w:color="auto"/>
              <w:left w:val="nil"/>
              <w:bottom w:val="single" w:sz="4" w:space="0" w:color="auto"/>
              <w:right w:val="nil"/>
            </w:tcBorders>
            <w:vAlign w:val="bottom"/>
            <w:hideMark/>
          </w:tcPr>
          <w:p w14:paraId="3ABA6B43" w14:textId="77777777" w:rsidR="0057134B" w:rsidRPr="00C47F2F" w:rsidRDefault="00E22882" w:rsidP="001A483B">
            <w:pPr>
              <w:jc w:val="left"/>
              <w:rPr>
                <w:noProof/>
                <w:sz w:val="22"/>
                <w:szCs w:val="22"/>
              </w:rPr>
            </w:pPr>
            <w:r w:rsidRPr="00C47F2F">
              <w:rPr>
                <w:noProof/>
                <w:sz w:val="22"/>
                <w:szCs w:val="22"/>
              </w:rPr>
              <w:t>Inhaled particulate materials</w:t>
            </w:r>
          </w:p>
          <w:p w14:paraId="26D6DD13" w14:textId="5D15550E" w:rsidR="00E22882" w:rsidRPr="0057134B" w:rsidRDefault="00E22882" w:rsidP="001A483B">
            <w:pPr>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1BEBE2B8" w14:textId="77777777" w:rsidR="00E22882" w:rsidRPr="00C47F2F" w:rsidRDefault="00E22882" w:rsidP="001A483B">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E22882" w:rsidRPr="00972C81" w14:paraId="12B649AA" w14:textId="77777777" w:rsidTr="001A483B">
        <w:trPr>
          <w:trHeight w:val="340"/>
        </w:trPr>
        <w:tc>
          <w:tcPr>
            <w:tcW w:w="2087" w:type="pct"/>
            <w:vMerge/>
            <w:tcBorders>
              <w:top w:val="single" w:sz="4" w:space="0" w:color="auto"/>
              <w:left w:val="nil"/>
              <w:bottom w:val="single" w:sz="4" w:space="0" w:color="auto"/>
              <w:right w:val="nil"/>
            </w:tcBorders>
            <w:vAlign w:val="center"/>
            <w:hideMark/>
          </w:tcPr>
          <w:p w14:paraId="23DC5393" w14:textId="77777777" w:rsidR="00E22882" w:rsidRPr="0057134B" w:rsidRDefault="00E22882">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567EF296" w14:textId="6931FF9D" w:rsidR="00E22882" w:rsidRPr="00C47F2F" w:rsidRDefault="00E22882" w:rsidP="001A483B">
            <w:pPr>
              <w:jc w:val="left"/>
              <w:rPr>
                <w:noProof/>
                <w:sz w:val="22"/>
                <w:szCs w:val="22"/>
              </w:rPr>
            </w:pPr>
            <w:r w:rsidRPr="00C47F2F">
              <w:rPr>
                <w:noProof/>
                <w:sz w:val="22"/>
                <w:szCs w:val="22"/>
              </w:rPr>
              <w:t>3</w:t>
            </w:r>
            <w:r w:rsidR="00365B5B">
              <w:rPr>
                <w:rFonts w:hint="eastAsia"/>
                <w:noProof/>
                <w:sz w:val="22"/>
                <w:szCs w:val="22"/>
                <w:lang w:eastAsia="ko-KR"/>
              </w:rPr>
              <w:t xml:space="preserve"> </w:t>
            </w:r>
            <w:r w:rsidRPr="00C47F2F">
              <w:rPr>
                <w:noProof/>
                <w:sz w:val="22"/>
                <w:szCs w:val="22"/>
              </w:rPr>
              <w:t>m</w:t>
            </w:r>
            <w:r w:rsidR="001A483B">
              <w:rPr>
                <w:noProof/>
                <w:sz w:val="22"/>
                <w:szCs w:val="22"/>
              </w:rPr>
              <w:t>o</w:t>
            </w:r>
          </w:p>
        </w:tc>
        <w:tc>
          <w:tcPr>
            <w:tcW w:w="485" w:type="pct"/>
            <w:tcBorders>
              <w:top w:val="single" w:sz="4" w:space="0" w:color="auto"/>
              <w:left w:val="nil"/>
              <w:bottom w:val="single" w:sz="4" w:space="0" w:color="auto"/>
              <w:right w:val="nil"/>
            </w:tcBorders>
            <w:vAlign w:val="center"/>
            <w:hideMark/>
          </w:tcPr>
          <w:p w14:paraId="5F2D4992" w14:textId="4EC46397" w:rsidR="00E22882" w:rsidRPr="00C47F2F" w:rsidRDefault="00E22882" w:rsidP="001A483B">
            <w:pPr>
              <w:jc w:val="left"/>
              <w:rPr>
                <w:noProof/>
                <w:sz w:val="22"/>
                <w:szCs w:val="22"/>
              </w:rPr>
            </w:pPr>
            <w:r w:rsidRPr="00C47F2F">
              <w:rPr>
                <w:noProof/>
                <w:sz w:val="22"/>
                <w:szCs w:val="22"/>
              </w:rPr>
              <w:t>1</w:t>
            </w:r>
            <w:r w:rsidR="00365B5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676C4126" w14:textId="48A2DD92" w:rsidR="00E22882" w:rsidRPr="00C47F2F" w:rsidRDefault="00E22882" w:rsidP="001A483B">
            <w:pPr>
              <w:jc w:val="left"/>
              <w:rPr>
                <w:noProof/>
                <w:sz w:val="22"/>
                <w:szCs w:val="22"/>
              </w:rPr>
            </w:pPr>
            <w:r w:rsidRPr="00C47F2F">
              <w:rPr>
                <w:noProof/>
                <w:sz w:val="22"/>
                <w:szCs w:val="22"/>
              </w:rPr>
              <w:t>5</w:t>
            </w:r>
            <w:r w:rsidR="00365B5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F0C4A36" w14:textId="6CB1D704" w:rsidR="00E22882" w:rsidRPr="00C47F2F" w:rsidRDefault="00E22882" w:rsidP="001A483B">
            <w:pPr>
              <w:jc w:val="left"/>
              <w:rPr>
                <w:noProof/>
                <w:sz w:val="22"/>
                <w:szCs w:val="22"/>
              </w:rPr>
            </w:pPr>
            <w:r w:rsidRPr="00C47F2F">
              <w:rPr>
                <w:noProof/>
                <w:sz w:val="22"/>
                <w:szCs w:val="22"/>
              </w:rPr>
              <w:t>10</w:t>
            </w:r>
            <w:r w:rsidR="00365B5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5587D9AD" w14:textId="2A415672" w:rsidR="00E22882" w:rsidRPr="00C47F2F" w:rsidRDefault="00E22882" w:rsidP="001A483B">
            <w:pPr>
              <w:jc w:val="left"/>
              <w:rPr>
                <w:noProof/>
                <w:sz w:val="22"/>
                <w:szCs w:val="22"/>
              </w:rPr>
            </w:pPr>
            <w:r w:rsidRPr="00C47F2F">
              <w:rPr>
                <w:noProof/>
                <w:sz w:val="22"/>
                <w:szCs w:val="22"/>
              </w:rPr>
              <w:t>15</w:t>
            </w:r>
            <w:r w:rsidR="00365B5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57B69671" w14:textId="77777777" w:rsidR="00E22882" w:rsidRPr="00C47F2F" w:rsidRDefault="00E22882" w:rsidP="001A483B">
            <w:pPr>
              <w:jc w:val="left"/>
              <w:rPr>
                <w:noProof/>
                <w:sz w:val="22"/>
                <w:szCs w:val="22"/>
              </w:rPr>
            </w:pPr>
            <w:r w:rsidRPr="00C47F2F">
              <w:rPr>
                <w:noProof/>
                <w:sz w:val="22"/>
                <w:szCs w:val="22"/>
              </w:rPr>
              <w:t>Adult</w:t>
            </w:r>
          </w:p>
        </w:tc>
      </w:tr>
      <w:tr w:rsidR="00E22882" w:rsidRPr="00972C81" w14:paraId="55FB7639" w14:textId="77777777" w:rsidTr="001A483B">
        <w:trPr>
          <w:trHeight w:val="340"/>
        </w:trPr>
        <w:tc>
          <w:tcPr>
            <w:tcW w:w="2087" w:type="pct"/>
            <w:tcBorders>
              <w:top w:val="single" w:sz="4" w:space="0" w:color="auto"/>
              <w:left w:val="nil"/>
              <w:bottom w:val="nil"/>
              <w:right w:val="nil"/>
            </w:tcBorders>
            <w:hideMark/>
          </w:tcPr>
          <w:p w14:paraId="7634C5B6" w14:textId="77777777" w:rsidR="00E22882" w:rsidRPr="00C47F2F" w:rsidRDefault="00E22882" w:rsidP="001A483B">
            <w:pPr>
              <w:jc w:val="left"/>
              <w:rPr>
                <w:noProof/>
                <w:sz w:val="22"/>
                <w:szCs w:val="22"/>
              </w:rPr>
            </w:pPr>
            <w:r w:rsidRPr="00C47F2F">
              <w:rPr>
                <w:rFonts w:eastAsia="Times New Roman"/>
                <w:noProof/>
                <w:color w:val="000000"/>
                <w:sz w:val="22"/>
                <w:szCs w:val="22"/>
              </w:rPr>
              <w:t>Water soluble forms, including chloride and citrate</w:t>
            </w:r>
          </w:p>
        </w:tc>
        <w:tc>
          <w:tcPr>
            <w:tcW w:w="485" w:type="pct"/>
            <w:tcBorders>
              <w:top w:val="single" w:sz="4" w:space="0" w:color="auto"/>
              <w:left w:val="nil"/>
              <w:bottom w:val="nil"/>
              <w:right w:val="nil"/>
            </w:tcBorders>
            <w:hideMark/>
          </w:tcPr>
          <w:p w14:paraId="6191D7D8"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4.0E-09</w:t>
            </w:r>
          </w:p>
        </w:tc>
        <w:tc>
          <w:tcPr>
            <w:tcW w:w="485" w:type="pct"/>
            <w:tcBorders>
              <w:top w:val="single" w:sz="4" w:space="0" w:color="auto"/>
              <w:left w:val="nil"/>
              <w:bottom w:val="nil"/>
              <w:right w:val="nil"/>
            </w:tcBorders>
            <w:hideMark/>
          </w:tcPr>
          <w:p w14:paraId="331255B5"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3.1E-09</w:t>
            </w:r>
          </w:p>
        </w:tc>
        <w:tc>
          <w:tcPr>
            <w:tcW w:w="485" w:type="pct"/>
            <w:tcBorders>
              <w:top w:val="single" w:sz="4" w:space="0" w:color="auto"/>
              <w:left w:val="nil"/>
              <w:bottom w:val="nil"/>
              <w:right w:val="nil"/>
            </w:tcBorders>
            <w:hideMark/>
          </w:tcPr>
          <w:p w14:paraId="616ECB3B"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1.6E-09</w:t>
            </w:r>
          </w:p>
        </w:tc>
        <w:tc>
          <w:tcPr>
            <w:tcW w:w="485" w:type="pct"/>
            <w:tcBorders>
              <w:top w:val="single" w:sz="4" w:space="0" w:color="auto"/>
              <w:left w:val="nil"/>
              <w:bottom w:val="nil"/>
              <w:right w:val="nil"/>
            </w:tcBorders>
            <w:hideMark/>
          </w:tcPr>
          <w:p w14:paraId="72778566"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1.0E-09</w:t>
            </w:r>
          </w:p>
        </w:tc>
        <w:tc>
          <w:tcPr>
            <w:tcW w:w="485" w:type="pct"/>
            <w:tcBorders>
              <w:top w:val="single" w:sz="4" w:space="0" w:color="auto"/>
              <w:left w:val="nil"/>
              <w:bottom w:val="nil"/>
              <w:right w:val="nil"/>
            </w:tcBorders>
            <w:hideMark/>
          </w:tcPr>
          <w:p w14:paraId="6E459AA1"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8.1E-10</w:t>
            </w:r>
          </w:p>
        </w:tc>
        <w:tc>
          <w:tcPr>
            <w:tcW w:w="485" w:type="pct"/>
            <w:tcBorders>
              <w:top w:val="single" w:sz="4" w:space="0" w:color="auto"/>
              <w:left w:val="nil"/>
              <w:bottom w:val="nil"/>
              <w:right w:val="nil"/>
            </w:tcBorders>
            <w:hideMark/>
          </w:tcPr>
          <w:p w14:paraId="7F4A0700"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7.3E-10</w:t>
            </w:r>
          </w:p>
        </w:tc>
      </w:tr>
      <w:tr w:rsidR="00E22882" w:rsidRPr="00972C81" w14:paraId="153985A9" w14:textId="77777777" w:rsidTr="001A483B">
        <w:trPr>
          <w:trHeight w:val="340"/>
        </w:trPr>
        <w:tc>
          <w:tcPr>
            <w:tcW w:w="2087" w:type="pct"/>
            <w:tcBorders>
              <w:top w:val="nil"/>
              <w:left w:val="nil"/>
              <w:bottom w:val="nil"/>
              <w:right w:val="nil"/>
            </w:tcBorders>
            <w:hideMark/>
          </w:tcPr>
          <w:p w14:paraId="2AF33FDA"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Dioxide</w:t>
            </w:r>
          </w:p>
        </w:tc>
        <w:tc>
          <w:tcPr>
            <w:tcW w:w="485" w:type="pct"/>
            <w:tcBorders>
              <w:top w:val="nil"/>
              <w:left w:val="nil"/>
              <w:bottom w:val="nil"/>
              <w:right w:val="nil"/>
            </w:tcBorders>
            <w:hideMark/>
          </w:tcPr>
          <w:p w14:paraId="50E54B30"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4.9E-09</w:t>
            </w:r>
          </w:p>
        </w:tc>
        <w:tc>
          <w:tcPr>
            <w:tcW w:w="485" w:type="pct"/>
            <w:tcBorders>
              <w:top w:val="nil"/>
              <w:left w:val="nil"/>
              <w:bottom w:val="nil"/>
              <w:right w:val="nil"/>
            </w:tcBorders>
            <w:hideMark/>
          </w:tcPr>
          <w:p w14:paraId="078244BC"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3.9E-09</w:t>
            </w:r>
          </w:p>
        </w:tc>
        <w:tc>
          <w:tcPr>
            <w:tcW w:w="485" w:type="pct"/>
            <w:tcBorders>
              <w:top w:val="nil"/>
              <w:left w:val="nil"/>
              <w:bottom w:val="nil"/>
              <w:right w:val="nil"/>
            </w:tcBorders>
            <w:hideMark/>
          </w:tcPr>
          <w:p w14:paraId="2B93A109"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2.2E-09</w:t>
            </w:r>
          </w:p>
        </w:tc>
        <w:tc>
          <w:tcPr>
            <w:tcW w:w="485" w:type="pct"/>
            <w:tcBorders>
              <w:top w:val="nil"/>
              <w:left w:val="nil"/>
              <w:bottom w:val="nil"/>
              <w:right w:val="nil"/>
            </w:tcBorders>
            <w:hideMark/>
          </w:tcPr>
          <w:p w14:paraId="5995ADB6"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1.5E-09</w:t>
            </w:r>
          </w:p>
        </w:tc>
        <w:tc>
          <w:tcPr>
            <w:tcW w:w="485" w:type="pct"/>
            <w:tcBorders>
              <w:top w:val="nil"/>
              <w:left w:val="nil"/>
              <w:bottom w:val="nil"/>
              <w:right w:val="nil"/>
            </w:tcBorders>
            <w:hideMark/>
          </w:tcPr>
          <w:p w14:paraId="5E35F7FB"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1.2E-09</w:t>
            </w:r>
          </w:p>
        </w:tc>
        <w:tc>
          <w:tcPr>
            <w:tcW w:w="485" w:type="pct"/>
            <w:tcBorders>
              <w:top w:val="nil"/>
              <w:left w:val="nil"/>
              <w:bottom w:val="nil"/>
              <w:right w:val="nil"/>
            </w:tcBorders>
            <w:hideMark/>
          </w:tcPr>
          <w:p w14:paraId="5777425B"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1.1E-09</w:t>
            </w:r>
          </w:p>
        </w:tc>
      </w:tr>
      <w:tr w:rsidR="00E22882" w:rsidRPr="00972C81" w14:paraId="3CE098D1" w14:textId="77777777" w:rsidTr="001A483B">
        <w:trPr>
          <w:trHeight w:val="340"/>
        </w:trPr>
        <w:tc>
          <w:tcPr>
            <w:tcW w:w="2087" w:type="pct"/>
            <w:tcBorders>
              <w:top w:val="nil"/>
              <w:left w:val="nil"/>
              <w:bottom w:val="nil"/>
              <w:right w:val="nil"/>
            </w:tcBorders>
            <w:hideMark/>
          </w:tcPr>
          <w:p w14:paraId="5AC96DBF" w14:textId="77777777" w:rsidR="00E22882" w:rsidRPr="00C47F2F" w:rsidRDefault="00E22882" w:rsidP="001A483B">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7C8431EB"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3.1E-09</w:t>
            </w:r>
          </w:p>
        </w:tc>
        <w:tc>
          <w:tcPr>
            <w:tcW w:w="485" w:type="pct"/>
            <w:tcBorders>
              <w:top w:val="nil"/>
              <w:left w:val="nil"/>
              <w:bottom w:val="nil"/>
              <w:right w:val="nil"/>
            </w:tcBorders>
            <w:hideMark/>
          </w:tcPr>
          <w:p w14:paraId="767BF609"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2.2E-09</w:t>
            </w:r>
          </w:p>
        </w:tc>
        <w:tc>
          <w:tcPr>
            <w:tcW w:w="485" w:type="pct"/>
            <w:tcBorders>
              <w:top w:val="nil"/>
              <w:left w:val="nil"/>
              <w:bottom w:val="nil"/>
              <w:right w:val="nil"/>
            </w:tcBorders>
            <w:hideMark/>
          </w:tcPr>
          <w:p w14:paraId="0C9AA63E"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9.9E-10</w:t>
            </w:r>
          </w:p>
        </w:tc>
        <w:tc>
          <w:tcPr>
            <w:tcW w:w="485" w:type="pct"/>
            <w:tcBorders>
              <w:top w:val="nil"/>
              <w:left w:val="nil"/>
              <w:bottom w:val="nil"/>
              <w:right w:val="nil"/>
            </w:tcBorders>
            <w:hideMark/>
          </w:tcPr>
          <w:p w14:paraId="23E84C73"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5.9E-10</w:t>
            </w:r>
          </w:p>
        </w:tc>
        <w:tc>
          <w:tcPr>
            <w:tcW w:w="485" w:type="pct"/>
            <w:tcBorders>
              <w:top w:val="nil"/>
              <w:left w:val="nil"/>
              <w:bottom w:val="nil"/>
              <w:right w:val="nil"/>
            </w:tcBorders>
            <w:hideMark/>
          </w:tcPr>
          <w:p w14:paraId="21C9ACE6"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4.7E-10</w:t>
            </w:r>
          </w:p>
        </w:tc>
        <w:tc>
          <w:tcPr>
            <w:tcW w:w="485" w:type="pct"/>
            <w:tcBorders>
              <w:top w:val="nil"/>
              <w:left w:val="nil"/>
              <w:bottom w:val="nil"/>
              <w:right w:val="nil"/>
            </w:tcBorders>
            <w:hideMark/>
          </w:tcPr>
          <w:p w14:paraId="50FAB438"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3.9E-10</w:t>
            </w:r>
          </w:p>
        </w:tc>
      </w:tr>
      <w:tr w:rsidR="00E22882" w:rsidRPr="00972C81" w14:paraId="6E2342B7" w14:textId="77777777" w:rsidTr="001A483B">
        <w:trPr>
          <w:trHeight w:val="340"/>
        </w:trPr>
        <w:tc>
          <w:tcPr>
            <w:tcW w:w="2087" w:type="pct"/>
            <w:tcBorders>
              <w:top w:val="nil"/>
              <w:left w:val="nil"/>
              <w:bottom w:val="nil"/>
              <w:right w:val="nil"/>
            </w:tcBorders>
            <w:hideMark/>
          </w:tcPr>
          <w:p w14:paraId="0F5366EA" w14:textId="77777777" w:rsidR="00E22882" w:rsidRPr="00C47F2F" w:rsidRDefault="00E22882" w:rsidP="001A483B">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hideMark/>
          </w:tcPr>
          <w:p w14:paraId="0D9FE272"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4.5E-09</w:t>
            </w:r>
          </w:p>
        </w:tc>
        <w:tc>
          <w:tcPr>
            <w:tcW w:w="485" w:type="pct"/>
            <w:tcBorders>
              <w:top w:val="nil"/>
              <w:left w:val="nil"/>
              <w:bottom w:val="nil"/>
              <w:right w:val="nil"/>
            </w:tcBorders>
            <w:hideMark/>
          </w:tcPr>
          <w:p w14:paraId="49BEF52C"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3.5E-09</w:t>
            </w:r>
          </w:p>
        </w:tc>
        <w:tc>
          <w:tcPr>
            <w:tcW w:w="485" w:type="pct"/>
            <w:tcBorders>
              <w:top w:val="nil"/>
              <w:left w:val="nil"/>
              <w:bottom w:val="nil"/>
              <w:right w:val="nil"/>
            </w:tcBorders>
            <w:hideMark/>
          </w:tcPr>
          <w:p w14:paraId="3DD076F2"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1.9E-09</w:t>
            </w:r>
          </w:p>
        </w:tc>
        <w:tc>
          <w:tcPr>
            <w:tcW w:w="485" w:type="pct"/>
            <w:tcBorders>
              <w:top w:val="nil"/>
              <w:left w:val="nil"/>
              <w:bottom w:val="nil"/>
              <w:right w:val="nil"/>
            </w:tcBorders>
            <w:hideMark/>
          </w:tcPr>
          <w:p w14:paraId="016FF337"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1.2E-09</w:t>
            </w:r>
          </w:p>
        </w:tc>
        <w:tc>
          <w:tcPr>
            <w:tcW w:w="485" w:type="pct"/>
            <w:tcBorders>
              <w:top w:val="nil"/>
              <w:left w:val="nil"/>
              <w:bottom w:val="nil"/>
              <w:right w:val="nil"/>
            </w:tcBorders>
            <w:hideMark/>
          </w:tcPr>
          <w:p w14:paraId="3ED23B87"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9.9E-10</w:t>
            </w:r>
          </w:p>
        </w:tc>
        <w:tc>
          <w:tcPr>
            <w:tcW w:w="485" w:type="pct"/>
            <w:tcBorders>
              <w:top w:val="nil"/>
              <w:left w:val="nil"/>
              <w:bottom w:val="nil"/>
              <w:right w:val="nil"/>
            </w:tcBorders>
            <w:hideMark/>
          </w:tcPr>
          <w:p w14:paraId="22428CE0"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9.1E-10</w:t>
            </w:r>
          </w:p>
        </w:tc>
      </w:tr>
      <w:tr w:rsidR="00E22882" w:rsidRPr="00972C81" w14:paraId="21D39A75" w14:textId="77777777" w:rsidTr="001A483B">
        <w:trPr>
          <w:trHeight w:val="340"/>
        </w:trPr>
        <w:tc>
          <w:tcPr>
            <w:tcW w:w="2087" w:type="pct"/>
            <w:tcBorders>
              <w:top w:val="nil"/>
              <w:left w:val="nil"/>
              <w:bottom w:val="single" w:sz="4" w:space="0" w:color="auto"/>
              <w:right w:val="nil"/>
            </w:tcBorders>
            <w:hideMark/>
          </w:tcPr>
          <w:p w14:paraId="59C36269" w14:textId="77777777" w:rsidR="00E22882" w:rsidRPr="00C47F2F" w:rsidRDefault="00E22882" w:rsidP="001A483B">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485" w:type="pct"/>
            <w:tcBorders>
              <w:top w:val="nil"/>
              <w:left w:val="nil"/>
              <w:bottom w:val="single" w:sz="4" w:space="0" w:color="auto"/>
              <w:right w:val="nil"/>
            </w:tcBorders>
            <w:hideMark/>
          </w:tcPr>
          <w:p w14:paraId="37A340C5"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4.9E-09</w:t>
            </w:r>
          </w:p>
        </w:tc>
        <w:tc>
          <w:tcPr>
            <w:tcW w:w="485" w:type="pct"/>
            <w:tcBorders>
              <w:top w:val="nil"/>
              <w:left w:val="nil"/>
              <w:bottom w:val="single" w:sz="4" w:space="0" w:color="auto"/>
              <w:right w:val="nil"/>
            </w:tcBorders>
            <w:hideMark/>
          </w:tcPr>
          <w:p w14:paraId="0CF88B41"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3.9E-09</w:t>
            </w:r>
          </w:p>
        </w:tc>
        <w:tc>
          <w:tcPr>
            <w:tcW w:w="485" w:type="pct"/>
            <w:tcBorders>
              <w:top w:val="nil"/>
              <w:left w:val="nil"/>
              <w:bottom w:val="single" w:sz="4" w:space="0" w:color="auto"/>
              <w:right w:val="nil"/>
            </w:tcBorders>
            <w:hideMark/>
          </w:tcPr>
          <w:p w14:paraId="3602ED3E"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2.2E-09</w:t>
            </w:r>
          </w:p>
        </w:tc>
        <w:tc>
          <w:tcPr>
            <w:tcW w:w="485" w:type="pct"/>
            <w:tcBorders>
              <w:top w:val="nil"/>
              <w:left w:val="nil"/>
              <w:bottom w:val="single" w:sz="4" w:space="0" w:color="auto"/>
              <w:right w:val="nil"/>
            </w:tcBorders>
            <w:hideMark/>
          </w:tcPr>
          <w:p w14:paraId="295438F2"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1.5E-09</w:t>
            </w:r>
          </w:p>
        </w:tc>
        <w:tc>
          <w:tcPr>
            <w:tcW w:w="485" w:type="pct"/>
            <w:tcBorders>
              <w:top w:val="nil"/>
              <w:left w:val="nil"/>
              <w:bottom w:val="single" w:sz="4" w:space="0" w:color="auto"/>
              <w:right w:val="nil"/>
            </w:tcBorders>
            <w:hideMark/>
          </w:tcPr>
          <w:p w14:paraId="1F195217"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1.2E-09</w:t>
            </w:r>
          </w:p>
        </w:tc>
        <w:tc>
          <w:tcPr>
            <w:tcW w:w="485" w:type="pct"/>
            <w:tcBorders>
              <w:top w:val="nil"/>
              <w:left w:val="nil"/>
              <w:bottom w:val="single" w:sz="4" w:space="0" w:color="auto"/>
              <w:right w:val="nil"/>
            </w:tcBorders>
            <w:hideMark/>
          </w:tcPr>
          <w:p w14:paraId="296EFC59"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1.1E-09</w:t>
            </w:r>
          </w:p>
        </w:tc>
      </w:tr>
      <w:tr w:rsidR="00E22882" w:rsidRPr="00972C81" w14:paraId="530B31FC" w14:textId="77777777" w:rsidTr="001A483B">
        <w:trPr>
          <w:trHeight w:val="340"/>
        </w:trPr>
        <w:tc>
          <w:tcPr>
            <w:tcW w:w="2087" w:type="pct"/>
            <w:tcBorders>
              <w:top w:val="single" w:sz="4" w:space="0" w:color="auto"/>
              <w:left w:val="nil"/>
              <w:bottom w:val="single" w:sz="4" w:space="0" w:color="auto"/>
              <w:right w:val="nil"/>
            </w:tcBorders>
          </w:tcPr>
          <w:p w14:paraId="4DD92FDA" w14:textId="77777777" w:rsidR="00E22882" w:rsidRPr="00C47F2F" w:rsidRDefault="00E22882" w:rsidP="00C47F2F">
            <w:pPr>
              <w:jc w:val="left"/>
              <w:rPr>
                <w:rFonts w:eastAsiaTheme="minorHAnsi"/>
                <w:noProof/>
                <w:sz w:val="22"/>
                <w:szCs w:val="22"/>
              </w:rPr>
            </w:pPr>
          </w:p>
          <w:p w14:paraId="200DA4A0" w14:textId="77777777" w:rsidR="00E22882" w:rsidRPr="00C47F2F" w:rsidRDefault="00E22882"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46714D37" w14:textId="77777777" w:rsidR="00E22882" w:rsidRPr="00C47F2F" w:rsidRDefault="00E22882"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03AC0E93" w14:textId="77777777" w:rsidR="00E22882" w:rsidRPr="00C47F2F" w:rsidRDefault="00E22882"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7AB7DDD6" w14:textId="77777777" w:rsidR="00E22882" w:rsidRPr="00C47F2F" w:rsidRDefault="00E22882"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7AC66309" w14:textId="77777777" w:rsidR="00E22882" w:rsidRPr="00C47F2F" w:rsidRDefault="00E22882"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27D239B2" w14:textId="77777777" w:rsidR="00E22882" w:rsidRPr="00C47F2F" w:rsidRDefault="00E22882"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6FC2B05" w14:textId="77777777" w:rsidR="00E22882" w:rsidRPr="00C47F2F" w:rsidRDefault="00E22882" w:rsidP="00C47F2F">
            <w:pPr>
              <w:jc w:val="left"/>
              <w:rPr>
                <w:rFonts w:eastAsia="Times New Roman"/>
                <w:noProof/>
                <w:color w:val="000000"/>
                <w:sz w:val="22"/>
                <w:szCs w:val="22"/>
              </w:rPr>
            </w:pPr>
          </w:p>
        </w:tc>
      </w:tr>
      <w:tr w:rsidR="00E22882" w:rsidRPr="00972C81" w14:paraId="32034226" w14:textId="77777777" w:rsidTr="001A483B">
        <w:trPr>
          <w:trHeight w:val="340"/>
        </w:trPr>
        <w:tc>
          <w:tcPr>
            <w:tcW w:w="2087" w:type="pct"/>
            <w:tcBorders>
              <w:top w:val="single" w:sz="4" w:space="0" w:color="auto"/>
              <w:left w:val="nil"/>
              <w:bottom w:val="single" w:sz="4" w:space="0" w:color="auto"/>
              <w:right w:val="nil"/>
            </w:tcBorders>
            <w:vAlign w:val="center"/>
            <w:hideMark/>
          </w:tcPr>
          <w:p w14:paraId="6F898236" w14:textId="166CD1E8" w:rsidR="00E22882" w:rsidRPr="00C47F2F" w:rsidRDefault="00E22882" w:rsidP="001A483B">
            <w:pPr>
              <w:jc w:val="left"/>
              <w:rPr>
                <w:rFonts w:eastAsiaTheme="minorHAnsi"/>
                <w:noProof/>
                <w:sz w:val="22"/>
                <w:szCs w:val="22"/>
              </w:rPr>
            </w:pPr>
            <w:r w:rsidRPr="00C47F2F">
              <w:rPr>
                <w:rFonts w:eastAsia="Times New Roman"/>
                <w:noProof/>
                <w:color w:val="000000"/>
                <w:sz w:val="22"/>
                <w:szCs w:val="22"/>
                <w:lang w:eastAsia="en-GB"/>
              </w:rPr>
              <w:t>All compounds</w:t>
            </w:r>
          </w:p>
        </w:tc>
        <w:tc>
          <w:tcPr>
            <w:tcW w:w="485" w:type="pct"/>
            <w:tcBorders>
              <w:top w:val="single" w:sz="4" w:space="0" w:color="auto"/>
              <w:left w:val="nil"/>
              <w:bottom w:val="single" w:sz="4" w:space="0" w:color="auto"/>
              <w:right w:val="nil"/>
            </w:tcBorders>
            <w:vAlign w:val="center"/>
            <w:hideMark/>
          </w:tcPr>
          <w:p w14:paraId="09554084"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7.8E-10</w:t>
            </w:r>
          </w:p>
        </w:tc>
        <w:tc>
          <w:tcPr>
            <w:tcW w:w="485" w:type="pct"/>
            <w:tcBorders>
              <w:top w:val="single" w:sz="4" w:space="0" w:color="auto"/>
              <w:left w:val="nil"/>
              <w:bottom w:val="single" w:sz="4" w:space="0" w:color="auto"/>
              <w:right w:val="nil"/>
            </w:tcBorders>
            <w:vAlign w:val="center"/>
            <w:hideMark/>
          </w:tcPr>
          <w:p w14:paraId="2698B4D6"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6.0E-10</w:t>
            </w:r>
          </w:p>
        </w:tc>
        <w:tc>
          <w:tcPr>
            <w:tcW w:w="485" w:type="pct"/>
            <w:tcBorders>
              <w:top w:val="single" w:sz="4" w:space="0" w:color="auto"/>
              <w:left w:val="nil"/>
              <w:bottom w:val="single" w:sz="4" w:space="0" w:color="auto"/>
              <w:right w:val="nil"/>
            </w:tcBorders>
            <w:vAlign w:val="center"/>
            <w:hideMark/>
          </w:tcPr>
          <w:p w14:paraId="4B5E4803"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3.7E-10</w:t>
            </w:r>
          </w:p>
        </w:tc>
        <w:tc>
          <w:tcPr>
            <w:tcW w:w="485" w:type="pct"/>
            <w:tcBorders>
              <w:top w:val="single" w:sz="4" w:space="0" w:color="auto"/>
              <w:left w:val="nil"/>
              <w:bottom w:val="single" w:sz="4" w:space="0" w:color="auto"/>
              <w:right w:val="nil"/>
            </w:tcBorders>
            <w:vAlign w:val="center"/>
            <w:hideMark/>
          </w:tcPr>
          <w:p w14:paraId="7AFD85DC"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2.6E-10</w:t>
            </w:r>
          </w:p>
        </w:tc>
        <w:tc>
          <w:tcPr>
            <w:tcW w:w="485" w:type="pct"/>
            <w:tcBorders>
              <w:top w:val="single" w:sz="4" w:space="0" w:color="auto"/>
              <w:left w:val="nil"/>
              <w:bottom w:val="single" w:sz="4" w:space="0" w:color="auto"/>
              <w:right w:val="nil"/>
            </w:tcBorders>
            <w:vAlign w:val="center"/>
            <w:hideMark/>
          </w:tcPr>
          <w:p w14:paraId="6B0542E7"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1.7E-10</w:t>
            </w:r>
          </w:p>
        </w:tc>
        <w:tc>
          <w:tcPr>
            <w:tcW w:w="485" w:type="pct"/>
            <w:tcBorders>
              <w:top w:val="single" w:sz="4" w:space="0" w:color="auto"/>
              <w:left w:val="nil"/>
              <w:bottom w:val="single" w:sz="4" w:space="0" w:color="auto"/>
              <w:right w:val="nil"/>
            </w:tcBorders>
            <w:vAlign w:val="center"/>
            <w:hideMark/>
          </w:tcPr>
          <w:p w14:paraId="43E48D08" w14:textId="77777777" w:rsidR="00E22882" w:rsidRPr="00C47F2F" w:rsidRDefault="00E22882" w:rsidP="001A483B">
            <w:pPr>
              <w:jc w:val="left"/>
              <w:rPr>
                <w:rFonts w:eastAsia="Times New Roman"/>
                <w:noProof/>
                <w:color w:val="000000"/>
                <w:sz w:val="22"/>
                <w:szCs w:val="22"/>
              </w:rPr>
            </w:pPr>
            <w:r w:rsidRPr="00C47F2F">
              <w:rPr>
                <w:rFonts w:eastAsia="Times New Roman"/>
                <w:noProof/>
                <w:color w:val="000000"/>
                <w:sz w:val="22"/>
                <w:szCs w:val="22"/>
              </w:rPr>
              <w:t>1.5E-10</w:t>
            </w:r>
          </w:p>
        </w:tc>
      </w:tr>
    </w:tbl>
    <w:p w14:paraId="287D3A7F" w14:textId="3E09611A" w:rsidR="00B0539B" w:rsidRPr="00972C81" w:rsidRDefault="00B0539B" w:rsidP="00E22882">
      <w:pPr>
        <w:pStyle w:val="ab"/>
        <w:rPr>
          <w:noProof/>
        </w:rPr>
      </w:pPr>
      <w:r w:rsidRPr="00972C81">
        <w:rPr>
          <w:noProof/>
        </w:rPr>
        <w:br w:type="page"/>
      </w:r>
    </w:p>
    <w:p w14:paraId="0FBAC24B" w14:textId="65D4D4B3" w:rsidR="007D1F4D" w:rsidRPr="00972C81" w:rsidRDefault="00DC407D" w:rsidP="00E81109">
      <w:pPr>
        <w:pStyle w:val="1"/>
        <w:rPr>
          <w:noProof/>
        </w:rPr>
      </w:pPr>
      <w:bookmarkStart w:id="99" w:name="_Toc455492590"/>
      <w:bookmarkStart w:id="100" w:name="_Toc455493019"/>
      <w:bookmarkStart w:id="101" w:name="_Toc162630007"/>
      <w:r w:rsidRPr="00972C81">
        <w:rPr>
          <w:noProof/>
        </w:rPr>
        <w:lastRenderedPageBreak/>
        <w:t>Promethium (Z = 61)</w:t>
      </w:r>
      <w:bookmarkEnd w:id="99"/>
      <w:bookmarkEnd w:id="100"/>
      <w:bookmarkEnd w:id="101"/>
    </w:p>
    <w:p w14:paraId="7BA7323C" w14:textId="0DF60384" w:rsidR="00AE14B1" w:rsidRPr="00972C81" w:rsidRDefault="00AE14B1" w:rsidP="00E81109">
      <w:pPr>
        <w:pStyle w:val="2"/>
        <w:rPr>
          <w:noProof/>
          <w:lang w:val="en-GB"/>
        </w:rPr>
      </w:pPr>
      <w:bookmarkStart w:id="102" w:name="_Toc17467815"/>
      <w:bookmarkStart w:id="103" w:name="_Toc455492592"/>
      <w:bookmarkStart w:id="104" w:name="_Toc455493021"/>
      <w:bookmarkStart w:id="105" w:name="_Toc162630008"/>
      <w:bookmarkEnd w:id="102"/>
      <w:r w:rsidRPr="00972C81">
        <w:rPr>
          <w:noProof/>
          <w:lang w:val="en-GB"/>
        </w:rPr>
        <w:t>Routes of Intake</w:t>
      </w:r>
      <w:bookmarkEnd w:id="103"/>
      <w:bookmarkEnd w:id="104"/>
      <w:bookmarkEnd w:id="105"/>
    </w:p>
    <w:p w14:paraId="091F6310" w14:textId="77777777" w:rsidR="00AE14B1" w:rsidRPr="00972C81" w:rsidRDefault="00AE14B1" w:rsidP="00E81109">
      <w:pPr>
        <w:pStyle w:val="3"/>
        <w:rPr>
          <w:noProof/>
        </w:rPr>
      </w:pPr>
      <w:bookmarkStart w:id="106" w:name="_Toc162630009"/>
      <w:r w:rsidRPr="00972C81">
        <w:rPr>
          <w:noProof/>
        </w:rPr>
        <w:t>Inhalation</w:t>
      </w:r>
      <w:bookmarkEnd w:id="106"/>
    </w:p>
    <w:p w14:paraId="5F78DEE4" w14:textId="6722BFE8" w:rsidR="00AE14B1" w:rsidRPr="00972C81" w:rsidRDefault="00AE14B1" w:rsidP="001C4A92">
      <w:pPr>
        <w:pStyle w:val="Annalstext"/>
        <w:rPr>
          <w:noProof/>
        </w:rPr>
      </w:pPr>
      <w:r w:rsidRPr="00972C81">
        <w:rPr>
          <w:noProof/>
        </w:rPr>
        <w:t xml:space="preserve">No information was found on the behaviour of inhaled promethium (Pm) </w:t>
      </w:r>
      <w:r w:rsidR="00BB503E">
        <w:rPr>
          <w:noProof/>
        </w:rPr>
        <w:t>in humans</w:t>
      </w:r>
      <w:r w:rsidRPr="00972C81">
        <w:rPr>
          <w:noProof/>
        </w:rPr>
        <w:t xml:space="preserve">. Information on absorption from the respiratory tract is available from experimental studies of promethium as chloride and oxide. </w:t>
      </w:r>
      <w:r w:rsidR="005572F4" w:rsidRPr="00972C81">
        <w:rPr>
          <w:noProof/>
        </w:rPr>
        <w:t xml:space="preserve">For details see Section 7 of </w:t>
      </w:r>
      <w:r w:rsidR="00B0539B" w:rsidRPr="00972C81">
        <w:rPr>
          <w:i/>
          <w:noProof/>
        </w:rPr>
        <w:t>Publication 141</w:t>
      </w:r>
      <w:r w:rsidR="00B0539B" w:rsidRPr="00972C81">
        <w:rPr>
          <w:noProof/>
        </w:rPr>
        <w:t xml:space="preserve"> </w:t>
      </w:r>
      <w:r w:rsidR="009E7448" w:rsidRPr="00972C81">
        <w:rPr>
          <w:noProof/>
        </w:rPr>
        <w:fldChar w:fldCharType="begin"/>
      </w:r>
      <w:r w:rsidR="009E7448" w:rsidRPr="00972C81">
        <w:rPr>
          <w:noProof/>
        </w:rPr>
        <w:instrText xml:space="preserve"> ADDIN ZOTERO_ITEM CSL_CITATION {"citationID":"KXmPxX16","properties":{"formattedCitation":"(ICRP,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9E7448" w:rsidRPr="00972C81">
        <w:rPr>
          <w:noProof/>
        </w:rPr>
        <w:fldChar w:fldCharType="separate"/>
      </w:r>
      <w:r w:rsidR="00BC59C6" w:rsidRPr="00972C81">
        <w:rPr>
          <w:noProof/>
        </w:rPr>
        <w:t>(ICRP, 2019)</w:t>
      </w:r>
      <w:r w:rsidR="009E7448" w:rsidRPr="00972C81">
        <w:rPr>
          <w:noProof/>
        </w:rPr>
        <w:fldChar w:fldCharType="end"/>
      </w:r>
      <w:r w:rsidR="00B0539B" w:rsidRPr="00972C81">
        <w:rPr>
          <w:noProof/>
        </w:rPr>
        <w:t xml:space="preserve">. </w:t>
      </w:r>
      <w:r w:rsidR="005572F4" w:rsidRPr="00972C81">
        <w:rPr>
          <w:noProof/>
        </w:rPr>
        <w:t>A</w:t>
      </w:r>
      <w:r w:rsidRPr="00972C81">
        <w:rPr>
          <w:noProof/>
        </w:rPr>
        <w:t xml:space="preserve">bsorption parameter values based on cerium are applied in this document to the other lanthanides. Absorption parameter values and Types, and associated </w:t>
      </w:r>
      <w:r w:rsidRPr="00972C81">
        <w:rPr>
          <w:i/>
          <w:noProof/>
        </w:rPr>
        <w:t>f</w:t>
      </w:r>
      <w:r w:rsidRPr="00972C81">
        <w:rPr>
          <w:noProof/>
          <w:vertAlign w:val="subscript"/>
        </w:rPr>
        <w:t>A</w:t>
      </w:r>
      <w:r w:rsidR="00DC407D" w:rsidRPr="00972C81">
        <w:rPr>
          <w:noProof/>
        </w:rPr>
        <w:t xml:space="preserve"> values for particulate forms of lanthanides, including promethium, are given in </w:t>
      </w:r>
      <w:r w:rsidR="00B94D6D" w:rsidRPr="00972C81">
        <w:rPr>
          <w:noProof/>
        </w:rPr>
        <w:fldChar w:fldCharType="begin"/>
      </w:r>
      <w:r w:rsidR="00B94D6D" w:rsidRPr="00972C81">
        <w:rPr>
          <w:noProof/>
        </w:rPr>
        <w:instrText xml:space="preserve"> REF _Ref417994983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1</w:t>
      </w:r>
      <w:r w:rsidR="00B94D6D" w:rsidRPr="00972C81">
        <w:rPr>
          <w:noProof/>
        </w:rPr>
        <w:fldChar w:fldCharType="end"/>
      </w:r>
      <w:r w:rsidR="00B94D6D" w:rsidRPr="00972C81">
        <w:rPr>
          <w:noProof/>
        </w:rPr>
        <w:t xml:space="preserve"> and </w:t>
      </w:r>
      <w:r w:rsidR="00B94D6D" w:rsidRPr="00972C81">
        <w:rPr>
          <w:noProof/>
        </w:rPr>
        <w:fldChar w:fldCharType="begin"/>
      </w:r>
      <w:r w:rsidR="00B94D6D" w:rsidRPr="00972C81">
        <w:rPr>
          <w:noProof/>
        </w:rPr>
        <w:instrText xml:space="preserve"> REF _Ref141784472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B94D6D" w:rsidRPr="00972C81">
        <w:rPr>
          <w:noProof/>
        </w:rPr>
        <w:fldChar w:fldCharType="end"/>
      </w:r>
      <w:r w:rsidR="00B94D6D" w:rsidRPr="00972C81">
        <w:rPr>
          <w:noProof/>
        </w:rPr>
        <w:t xml:space="preserve"> </w:t>
      </w:r>
      <w:r w:rsidR="00DC407D" w:rsidRPr="00972C81">
        <w:rPr>
          <w:noProof/>
        </w:rPr>
        <w:t>of the lanthanum Section.</w:t>
      </w:r>
      <w:r w:rsidRPr="00972C81">
        <w:rPr>
          <w:noProof/>
        </w:rPr>
        <w:t xml:space="preserve"> </w:t>
      </w:r>
    </w:p>
    <w:p w14:paraId="4B12031C" w14:textId="77777777" w:rsidR="00AE14B1" w:rsidRPr="00972C81" w:rsidRDefault="00DC407D" w:rsidP="00E81109">
      <w:pPr>
        <w:pStyle w:val="3"/>
        <w:rPr>
          <w:noProof/>
        </w:rPr>
      </w:pPr>
      <w:bookmarkStart w:id="107" w:name="_Toc162630010"/>
      <w:r w:rsidRPr="00972C81">
        <w:rPr>
          <w:noProof/>
        </w:rPr>
        <w:t>Ingestion</w:t>
      </w:r>
      <w:bookmarkEnd w:id="107"/>
    </w:p>
    <w:p w14:paraId="0D0E2809" w14:textId="70EBAABF" w:rsidR="00EE25F8" w:rsidRPr="00972C81" w:rsidRDefault="00DC407D" w:rsidP="001C4A92">
      <w:pPr>
        <w:pStyle w:val="Annalstext"/>
        <w:rPr>
          <w:noProof/>
        </w:rPr>
      </w:pPr>
      <w:r w:rsidRPr="00972C81">
        <w:rPr>
          <w:i/>
          <w:noProof/>
        </w:rPr>
        <w:t>Adults</w:t>
      </w:r>
      <w:r w:rsidR="00EE25F8" w:rsidRPr="00972C81">
        <w:rPr>
          <w:noProof/>
        </w:rPr>
        <w:t xml:space="preserve">. In Section 2 of </w:t>
      </w:r>
      <w:r w:rsidR="00B0539B" w:rsidRPr="00972C81">
        <w:rPr>
          <w:i/>
          <w:noProof/>
        </w:rPr>
        <w:t>Publication 141</w:t>
      </w:r>
      <w:r w:rsidR="00B0539B" w:rsidRPr="00972C81">
        <w:rPr>
          <w:noProof/>
        </w:rPr>
        <w:t xml:space="preserve"> </w:t>
      </w:r>
      <w:r w:rsidR="009E7448" w:rsidRPr="00972C81">
        <w:rPr>
          <w:noProof/>
        </w:rPr>
        <w:fldChar w:fldCharType="begin"/>
      </w:r>
      <w:r w:rsidR="009E7448" w:rsidRPr="00972C81">
        <w:rPr>
          <w:noProof/>
        </w:rPr>
        <w:instrText xml:space="preserve"> ADDIN ZOTERO_ITEM CSL_CITATION {"citationID":"zqMBAcvF","properties":{"formattedCitation":"(ICRP,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9E7448" w:rsidRPr="00972C81">
        <w:rPr>
          <w:noProof/>
        </w:rPr>
        <w:fldChar w:fldCharType="separate"/>
      </w:r>
      <w:r w:rsidR="00BC59C6" w:rsidRPr="00972C81">
        <w:rPr>
          <w:noProof/>
        </w:rPr>
        <w:t>(ICRP, 2019)</w:t>
      </w:r>
      <w:r w:rsidR="009E7448" w:rsidRPr="00972C81">
        <w:rPr>
          <w:noProof/>
        </w:rPr>
        <w:fldChar w:fldCharType="end"/>
      </w:r>
      <w:r w:rsidR="00B0539B" w:rsidRPr="00972C81">
        <w:rPr>
          <w:noProof/>
        </w:rPr>
        <w:t xml:space="preserve">, </w:t>
      </w:r>
      <w:r w:rsidR="00EE25F8" w:rsidRPr="00972C81">
        <w:rPr>
          <w:noProof/>
        </w:rPr>
        <w:t xml:space="preserve">information relating to the gastrointestinal absorption of different lanthanide elements was compared. Their fractional absorption was found to </w:t>
      </w:r>
      <w:r w:rsidR="00C10792" w:rsidRPr="00972C81">
        <w:rPr>
          <w:noProof/>
        </w:rPr>
        <w:t xml:space="preserve">be </w:t>
      </w:r>
      <w:r w:rsidR="00EE25F8" w:rsidRPr="00972C81">
        <w:rPr>
          <w:noProof/>
        </w:rPr>
        <w:t>below 10</w:t>
      </w:r>
      <w:r w:rsidRPr="00972C81">
        <w:rPr>
          <w:noProof/>
          <w:vertAlign w:val="superscript"/>
        </w:rPr>
        <w:t>-3</w:t>
      </w:r>
      <w:r w:rsidR="00EE25F8" w:rsidRPr="00972C81">
        <w:rPr>
          <w:noProof/>
        </w:rPr>
        <w:t xml:space="preserve"> in most cases and a </w:t>
      </w:r>
      <w:r w:rsidRPr="00972C81">
        <w:rPr>
          <w:i/>
          <w:noProof/>
        </w:rPr>
        <w:t>f</w:t>
      </w:r>
      <w:r w:rsidRPr="00972C81">
        <w:rPr>
          <w:noProof/>
          <w:vertAlign w:val="subscript"/>
        </w:rPr>
        <w:t>A</w:t>
      </w:r>
      <w:r w:rsidR="00EE25F8" w:rsidRPr="00972C81">
        <w:rPr>
          <w:noProof/>
        </w:rPr>
        <w:t xml:space="preserve"> value 5</w:t>
      </w:r>
      <w:r w:rsidR="00067025" w:rsidRPr="00972C81">
        <w:rPr>
          <w:noProof/>
        </w:rPr>
        <w:t xml:space="preserve"> × </w:t>
      </w:r>
      <w:r w:rsidR="00EE25F8" w:rsidRPr="00972C81">
        <w:rPr>
          <w:noProof/>
        </w:rPr>
        <w:t>10</w:t>
      </w:r>
      <w:r w:rsidRPr="00972C81">
        <w:rPr>
          <w:noProof/>
          <w:vertAlign w:val="superscript"/>
        </w:rPr>
        <w:t>–4</w:t>
      </w:r>
      <w:r w:rsidR="00EE25F8" w:rsidRPr="00972C81">
        <w:rPr>
          <w:noProof/>
        </w:rPr>
        <w:t xml:space="preserve"> was adopted for all lanthanides as a reasonably representative value based on experimental results. For promethium, Section 7 of </w:t>
      </w:r>
      <w:r w:rsidR="00B0539B" w:rsidRPr="00972C81">
        <w:rPr>
          <w:i/>
          <w:noProof/>
        </w:rPr>
        <w:t>Publication 141</w:t>
      </w:r>
      <w:r w:rsidR="00B0539B" w:rsidRPr="00972C81">
        <w:rPr>
          <w:noProof/>
        </w:rPr>
        <w:t xml:space="preserve"> </w:t>
      </w:r>
      <w:r w:rsidR="00EE25F8" w:rsidRPr="00972C81">
        <w:rPr>
          <w:noProof/>
        </w:rPr>
        <w:t>reported results of animal studies showing fractional absorption from 7</w:t>
      </w:r>
      <w:r w:rsidR="00067025" w:rsidRPr="00972C81">
        <w:rPr>
          <w:noProof/>
        </w:rPr>
        <w:t xml:space="preserve"> × </w:t>
      </w:r>
      <w:r w:rsidR="00EE25F8" w:rsidRPr="00972C81">
        <w:rPr>
          <w:noProof/>
        </w:rPr>
        <w:t>10</w:t>
      </w:r>
      <w:r w:rsidR="00EE25F8" w:rsidRPr="00972C81">
        <w:rPr>
          <w:noProof/>
          <w:vertAlign w:val="superscript"/>
        </w:rPr>
        <w:t>-5</w:t>
      </w:r>
      <w:r w:rsidR="00EE25F8" w:rsidRPr="00972C81">
        <w:rPr>
          <w:noProof/>
        </w:rPr>
        <w:t xml:space="preserve"> to less than 5</w:t>
      </w:r>
      <w:r w:rsidR="00067025" w:rsidRPr="00972C81">
        <w:rPr>
          <w:noProof/>
        </w:rPr>
        <w:t xml:space="preserve"> × </w:t>
      </w:r>
      <w:r w:rsidR="00EE25F8" w:rsidRPr="00972C81">
        <w:rPr>
          <w:noProof/>
        </w:rPr>
        <w:t>10</w:t>
      </w:r>
      <w:r w:rsidR="00EE25F8" w:rsidRPr="00972C81">
        <w:rPr>
          <w:noProof/>
          <w:vertAlign w:val="superscript"/>
        </w:rPr>
        <w:t>-4</w:t>
      </w:r>
      <w:r w:rsidR="00EE25F8" w:rsidRPr="00972C81">
        <w:rPr>
          <w:noProof/>
        </w:rPr>
        <w:t>. In one human study, the fractional absorption was estimated as 10</w:t>
      </w:r>
      <w:r w:rsidR="00EE25F8" w:rsidRPr="00972C81">
        <w:rPr>
          <w:noProof/>
          <w:vertAlign w:val="superscript"/>
        </w:rPr>
        <w:t>–5</w:t>
      </w:r>
      <w:r w:rsidR="00EE25F8" w:rsidRPr="00972C81">
        <w:rPr>
          <w:noProof/>
        </w:rPr>
        <w:t xml:space="preserve"> </w:t>
      </w:r>
      <w:r w:rsidR="009E7448" w:rsidRPr="00972C81">
        <w:rPr>
          <w:noProof/>
        </w:rPr>
        <w:fldChar w:fldCharType="begin"/>
      </w:r>
      <w:r w:rsidR="009E7448" w:rsidRPr="00972C81">
        <w:rPr>
          <w:noProof/>
        </w:rPr>
        <w:instrText xml:space="preserve"> ADDIN ZOTERO_ITEM CSL_CITATION {"citationID":"y1NwwJwp","properties":{"formattedCitation":"(Palmer et al., 1970)","plainCitation":"(Palmer et al., 1970)","noteIndex":0},"citationItems":[{"id":4816,"uris":["http://zotero.org/groups/2470620/items/ULJ24TYK"],"itemData":{"id":4816,"type":"article-journal","container-title":"Health Physics","DOI":"10.1097/00004032-197001000-00005","ISSN":"0017-9078","issue":"1","journalAbbreviation":"Health Phys","language":"eng","note":"PMID: 5414967","page":"53-61","source":"PubMed","title":"The uptake, distribution and excretion of promethium in humans and the effect of DTPA on these parameters","volume":"18","author":[{"family":"Palmer","given":"H. E."},{"family":"Nelson","given":"I. C."},{"family":"Crook","given":"G. H."}],"issued":{"date-parts":[["1970",1]]}}}],"schema":"https://github.com/citation-style-language/schema/raw/master/csl-citation.json"} </w:instrText>
      </w:r>
      <w:r w:rsidR="009E7448" w:rsidRPr="00972C81">
        <w:rPr>
          <w:noProof/>
        </w:rPr>
        <w:fldChar w:fldCharType="separate"/>
      </w:r>
      <w:r w:rsidR="00BC59C6" w:rsidRPr="00972C81">
        <w:rPr>
          <w:noProof/>
        </w:rPr>
        <w:t>(Palmer et al., 1970)</w:t>
      </w:r>
      <w:r w:rsidR="009E7448" w:rsidRPr="00972C81">
        <w:rPr>
          <w:noProof/>
        </w:rPr>
        <w:fldChar w:fldCharType="end"/>
      </w:r>
      <w:r w:rsidR="00EE25F8" w:rsidRPr="00972C81">
        <w:rPr>
          <w:noProof/>
        </w:rPr>
        <w:t xml:space="preserve">. The value of </w:t>
      </w:r>
      <w:r w:rsidRPr="00972C81">
        <w:rPr>
          <w:i/>
          <w:noProof/>
        </w:rPr>
        <w:t>f</w:t>
      </w:r>
      <w:r w:rsidRPr="00972C81">
        <w:rPr>
          <w:noProof/>
          <w:vertAlign w:val="subscript"/>
        </w:rPr>
        <w:t>A</w:t>
      </w:r>
      <w:r w:rsidR="00EE25F8" w:rsidRPr="00972C81">
        <w:rPr>
          <w:noProof/>
        </w:rPr>
        <w:t xml:space="preserve"> = 5</w:t>
      </w:r>
      <w:r w:rsidR="00067025" w:rsidRPr="00972C81">
        <w:rPr>
          <w:noProof/>
        </w:rPr>
        <w:t xml:space="preserve"> × </w:t>
      </w:r>
      <w:r w:rsidR="00EE25F8" w:rsidRPr="00972C81">
        <w:rPr>
          <w:noProof/>
        </w:rPr>
        <w:t>10</w:t>
      </w:r>
      <w:r w:rsidRPr="00972C81">
        <w:rPr>
          <w:noProof/>
          <w:vertAlign w:val="superscript"/>
        </w:rPr>
        <w:t>–4</w:t>
      </w:r>
      <w:r w:rsidR="00EE25F8" w:rsidRPr="00972C81">
        <w:rPr>
          <w:noProof/>
        </w:rPr>
        <w:t xml:space="preserve"> is adopted here for intakes of promethium by adult members of the public.</w:t>
      </w:r>
    </w:p>
    <w:p w14:paraId="1071F7E8" w14:textId="21165ECF" w:rsidR="00AE14B1" w:rsidRPr="00972C81" w:rsidRDefault="00DC407D" w:rsidP="001C4A92">
      <w:pPr>
        <w:pStyle w:val="Annalstext"/>
        <w:rPr>
          <w:noProof/>
        </w:rPr>
      </w:pPr>
      <w:r w:rsidRPr="00972C81">
        <w:rPr>
          <w:i/>
          <w:noProof/>
        </w:rPr>
        <w:t>Children</w:t>
      </w:r>
      <w:r w:rsidR="00EE25F8" w:rsidRPr="00972C81">
        <w:rPr>
          <w:i/>
          <w:noProof/>
        </w:rPr>
        <w:t>.</w:t>
      </w:r>
      <w:r w:rsidR="00EE25F8" w:rsidRPr="00972C81">
        <w:rPr>
          <w:noProof/>
        </w:rPr>
        <w:t xml:space="preserve"> The age-dependency of promethium absorption was not observed. On the basis of the chemical analogy with cerium, the same values of </w:t>
      </w:r>
      <w:r w:rsidRPr="00972C81">
        <w:rPr>
          <w:i/>
          <w:noProof/>
        </w:rPr>
        <w:t>f</w:t>
      </w:r>
      <w:r w:rsidRPr="00972C81">
        <w:rPr>
          <w:noProof/>
          <w:vertAlign w:val="subscript"/>
        </w:rPr>
        <w:t>A</w:t>
      </w:r>
      <w:r w:rsidR="00EE25F8" w:rsidRPr="00972C81">
        <w:rPr>
          <w:noProof/>
        </w:rPr>
        <w:t xml:space="preserve"> = 5</w:t>
      </w:r>
      <w:r w:rsidR="00067025" w:rsidRPr="00972C81">
        <w:rPr>
          <w:noProof/>
        </w:rPr>
        <w:t xml:space="preserve"> × </w:t>
      </w:r>
      <w:r w:rsidR="00EE25F8" w:rsidRPr="00972C81">
        <w:rPr>
          <w:noProof/>
        </w:rPr>
        <w:t>10</w:t>
      </w:r>
      <w:r w:rsidRPr="00972C81">
        <w:rPr>
          <w:noProof/>
          <w:vertAlign w:val="superscript"/>
        </w:rPr>
        <w:t>-3</w:t>
      </w:r>
      <w:r w:rsidR="00EE25F8" w:rsidRPr="00972C81">
        <w:rPr>
          <w:noProof/>
        </w:rPr>
        <w:t xml:space="preserve"> for 3-month-old infants and 5</w:t>
      </w:r>
      <w:r w:rsidR="00067025" w:rsidRPr="00972C81">
        <w:rPr>
          <w:noProof/>
        </w:rPr>
        <w:t xml:space="preserve"> × </w:t>
      </w:r>
      <w:r w:rsidR="00EE25F8" w:rsidRPr="00972C81">
        <w:rPr>
          <w:noProof/>
        </w:rPr>
        <w:t>10</w:t>
      </w:r>
      <w:r w:rsidRPr="00972C81">
        <w:rPr>
          <w:noProof/>
          <w:vertAlign w:val="superscript"/>
        </w:rPr>
        <w:t>-4</w:t>
      </w:r>
      <w:r w:rsidR="00EE25F8" w:rsidRPr="00972C81">
        <w:rPr>
          <w:noProof/>
        </w:rPr>
        <w:t xml:space="preserve"> for children of 1 year and older are adopted here for promethium.</w:t>
      </w:r>
    </w:p>
    <w:p w14:paraId="5EED76DE" w14:textId="77777777" w:rsidR="00AE7A83" w:rsidRPr="00972C81" w:rsidRDefault="00AE7A83" w:rsidP="00E81109">
      <w:pPr>
        <w:pStyle w:val="3"/>
        <w:rPr>
          <w:noProof/>
        </w:rPr>
      </w:pPr>
      <w:bookmarkStart w:id="108" w:name="_Toc162630011"/>
      <w:r w:rsidRPr="00972C81">
        <w:rPr>
          <w:noProof/>
        </w:rPr>
        <w:t>Systemic Distribution, Retention and Excretion</w:t>
      </w:r>
      <w:bookmarkEnd w:id="108"/>
    </w:p>
    <w:p w14:paraId="3E8A171A" w14:textId="77777777" w:rsidR="00803EF0" w:rsidRPr="00972C81" w:rsidRDefault="00803EF0" w:rsidP="006703A2">
      <w:pPr>
        <w:pStyle w:val="OIRTitre4"/>
      </w:pPr>
      <w:r w:rsidRPr="00972C81">
        <w:t>Summary of biokinetic data</w:t>
      </w:r>
    </w:p>
    <w:p w14:paraId="52A51CFB" w14:textId="285479B0" w:rsidR="00803EF0" w:rsidRPr="00972C81" w:rsidRDefault="00803EF0" w:rsidP="001C4A92">
      <w:pPr>
        <w:pStyle w:val="Annalstext"/>
        <w:rPr>
          <w:noProof/>
        </w:rPr>
      </w:pPr>
      <w:r w:rsidRPr="00972C81">
        <w:rPr>
          <w:noProof/>
        </w:rPr>
        <w:t xml:space="preserve">Palmer et al. </w:t>
      </w:r>
      <w:r w:rsidR="009E7448" w:rsidRPr="00972C81">
        <w:rPr>
          <w:noProof/>
        </w:rPr>
        <w:fldChar w:fldCharType="begin"/>
      </w:r>
      <w:r w:rsidR="009E7448" w:rsidRPr="00972C81">
        <w:rPr>
          <w:noProof/>
        </w:rPr>
        <w:instrText xml:space="preserve"> ADDIN ZOTERO_ITEM CSL_CITATION {"citationID":"8QA0UfcB","properties":{"formattedCitation":"(1970)","plainCitation":"(1970)","noteIndex":0},"citationItems":[{"id":4816,"uris":["http://zotero.org/groups/2470620/items/ULJ24TYK"],"itemData":{"id":4816,"type":"article-journal","container-title":"Health Physics","DOI":"10.1097/00004032-197001000-00005","ISSN":"0017-9078","issue":"1","journalAbbreviation":"Health Phys","language":"eng","note":"PMID: 5414967","page":"53-61","source":"PubMed","title":"The uptake, distribution and excretion of promethium in humans and the effect of DTPA on these parameters","volume":"18","author":[{"family":"Palmer","given":"H. E."},{"family":"Nelson","given":"I. C."},{"family":"Crook","given":"G. H."}],"issued":{"date-parts":[["1970",1]]}},"label":"page","suppress-author":true}],"schema":"https://github.com/citation-style-language/schema/raw/master/csl-citation.json"} </w:instrText>
      </w:r>
      <w:r w:rsidR="009E7448" w:rsidRPr="00972C81">
        <w:rPr>
          <w:noProof/>
        </w:rPr>
        <w:fldChar w:fldCharType="separate"/>
      </w:r>
      <w:r w:rsidR="00BC59C6" w:rsidRPr="00972C81">
        <w:rPr>
          <w:noProof/>
        </w:rPr>
        <w:t>(1970)</w:t>
      </w:r>
      <w:r w:rsidR="009E7448" w:rsidRPr="00972C81">
        <w:rPr>
          <w:noProof/>
        </w:rPr>
        <w:fldChar w:fldCharType="end"/>
      </w:r>
      <w:r w:rsidRPr="00972C81">
        <w:rPr>
          <w:noProof/>
        </w:rPr>
        <w:t xml:space="preserve"> investigated the systemic </w:t>
      </w:r>
      <w:r w:rsidR="00BB503E">
        <w:rPr>
          <w:noProof/>
        </w:rPr>
        <w:t>behaviour</w:t>
      </w:r>
      <w:r w:rsidRPr="00972C81">
        <w:rPr>
          <w:noProof/>
        </w:rPr>
        <w:t xml:space="preserve"> of </w:t>
      </w:r>
      <w:r w:rsidRPr="00972C81">
        <w:rPr>
          <w:noProof/>
          <w:vertAlign w:val="superscript"/>
        </w:rPr>
        <w:t>143</w:t>
      </w:r>
      <w:r w:rsidRPr="00972C81">
        <w:rPr>
          <w:noProof/>
        </w:rPr>
        <w:t>Pm in six human subjects following its intravenous administration as chloride. Roughly half of the injected activity accumulated in the liver within a few minutes. Most of the remaining activity deposited in bone over the next 5 h. More than 10% of the injected amount was excreted within the first 20 d. Biological removal represented only a few percent of the administered amount over the remainder of the observation period (~1 y). The urinary excretion rate was greater than the faecal excretion rate during the first week. Measurement on day 15 suggested that the faecal excretion rate was greater than the urinary excretion rate. The excretion rates observed in the human subjects were broadly similar to those observed by the investigators in experiments involving pigs and dogs. The data indicated an initially high rate of secretion into the gastrointestinal tract but substantially slower secretion thereafter.</w:t>
      </w:r>
    </w:p>
    <w:p w14:paraId="293BF941" w14:textId="19829A3A" w:rsidR="00803EF0" w:rsidRPr="00972C81" w:rsidRDefault="00803EF0" w:rsidP="001C4A92">
      <w:pPr>
        <w:pStyle w:val="Annalstext"/>
        <w:rPr>
          <w:noProof/>
        </w:rPr>
      </w:pPr>
      <w:r w:rsidRPr="00972C81">
        <w:rPr>
          <w:noProof/>
        </w:rPr>
        <w:t xml:space="preserve">McConnon </w:t>
      </w:r>
      <w:r w:rsidR="00100F1F" w:rsidRPr="00972C81">
        <w:rPr>
          <w:noProof/>
        </w:rPr>
        <w:t>et al</w:t>
      </w:r>
      <w:r w:rsidRPr="00972C81">
        <w:rPr>
          <w:noProof/>
        </w:rPr>
        <w:t xml:space="preserve"> </w:t>
      </w:r>
      <w:r w:rsidR="00100F1F" w:rsidRPr="00972C81">
        <w:rPr>
          <w:noProof/>
        </w:rPr>
        <w:fldChar w:fldCharType="begin"/>
      </w:r>
      <w:r w:rsidR="00497094" w:rsidRPr="00972C81">
        <w:rPr>
          <w:noProof/>
        </w:rPr>
        <w:instrText xml:space="preserve"> ADDIN ZOTERO_ITEM CSL_CITATION {"citationID":"JJKdeSnW","properties":{"formattedCitation":"(1971)","plainCitation":"(1971)","noteIndex":0},"citationItems":[{"id":4822,"uris":["http://zotero.org/groups/2470620/items/CI9UUPW8"],"itemData":{"id":4822,"type":"report","event-place":"Richland, WA (United States)","language":"English","note":"DOI: 10.2172/4744825","number":"BNWL-SA-3747; CONF-710710-10","publisher":"Battelle Pacific Northwest Labs.","publisher-place":"Richland, WA (United States)","title":"COMPARATIVE METABOLISM OF INTRAVENOUSLY INJECTED PROMETHIUM IN SWINE AND HUMANS.","URL":"https://www.osti.gov/biblio/4744825","author":[{"family":"McConnon","given":"D."},{"family":"Cole","given":"C. R."},{"family":"Smith","given":"V. H."}],"issued":{"date-parts":[["1971",10,31]]}},"label":"page","suppress-author":true}],"schema":"https://github.com/citation-style-language/schema/raw/master/csl-citation.json"} </w:instrText>
      </w:r>
      <w:r w:rsidR="00100F1F" w:rsidRPr="00972C81">
        <w:rPr>
          <w:noProof/>
        </w:rPr>
        <w:fldChar w:fldCharType="separate"/>
      </w:r>
      <w:r w:rsidR="00BC59C6" w:rsidRPr="00972C81">
        <w:rPr>
          <w:noProof/>
        </w:rPr>
        <w:t>(1971)</w:t>
      </w:r>
      <w:r w:rsidR="00100F1F" w:rsidRPr="00972C81">
        <w:rPr>
          <w:noProof/>
        </w:rPr>
        <w:fldChar w:fldCharType="end"/>
      </w:r>
      <w:r w:rsidRPr="00972C81">
        <w:rPr>
          <w:noProof/>
        </w:rPr>
        <w:t xml:space="preserve"> compared the </w:t>
      </w:r>
      <w:r w:rsidR="00BB503E">
        <w:rPr>
          <w:noProof/>
        </w:rPr>
        <w:t>behaviour</w:t>
      </w:r>
      <w:r w:rsidRPr="00972C81">
        <w:rPr>
          <w:noProof/>
        </w:rPr>
        <w:t xml:space="preserve"> of intravenously injected PmCl</w:t>
      </w:r>
      <w:r w:rsidRPr="00972C81">
        <w:rPr>
          <w:noProof/>
          <w:vertAlign w:val="subscript"/>
        </w:rPr>
        <w:t>3</w:t>
      </w:r>
      <w:r w:rsidRPr="00972C81">
        <w:rPr>
          <w:noProof/>
        </w:rPr>
        <w:t xml:space="preserve"> in swine and normal human subjects. No major differences were seen in the systemic biokinetics of promethium in the two species. In beagle dogs exposed to </w:t>
      </w:r>
      <w:r w:rsidRPr="00972C81">
        <w:rPr>
          <w:noProof/>
          <w:vertAlign w:val="superscript"/>
        </w:rPr>
        <w:t>147</w:t>
      </w:r>
      <w:r w:rsidRPr="00972C81">
        <w:rPr>
          <w:noProof/>
        </w:rPr>
        <w:t>Pm</w:t>
      </w:r>
      <w:r w:rsidRPr="00972C81">
        <w:rPr>
          <w:noProof/>
          <w:vertAlign w:val="subscript"/>
        </w:rPr>
        <w:t>2</w:t>
      </w:r>
      <w:r w:rsidRPr="00972C81">
        <w:rPr>
          <w:noProof/>
        </w:rPr>
        <w:t>O</w:t>
      </w:r>
      <w:r w:rsidRPr="00972C81">
        <w:rPr>
          <w:noProof/>
          <w:vertAlign w:val="subscript"/>
        </w:rPr>
        <w:t>3</w:t>
      </w:r>
      <w:r w:rsidRPr="00972C81">
        <w:rPr>
          <w:noProof/>
        </w:rPr>
        <w:t xml:space="preserve"> by inhalation, about 40–50% of the total body burden was in the lungs, 25% in liver, and 20% in bone at five months after exposure </w:t>
      </w:r>
      <w:r w:rsidR="00100F1F" w:rsidRPr="00972C81">
        <w:rPr>
          <w:noProof/>
        </w:rPr>
        <w:fldChar w:fldCharType="begin"/>
      </w:r>
      <w:r w:rsidR="009F14C1" w:rsidRPr="00972C81">
        <w:rPr>
          <w:noProof/>
        </w:rPr>
        <w:instrText xml:space="preserve"> ADDIN ZOTERO_ITEM CSL_CITATION {"citationID":"mgPWgLGK","properties":{"formattedCitation":"(Stuart, 1967)","plainCitation":"(Stuart, 1967)","noteIndex":0},"citationItems":[{"id":4791,"uris":["http://zotero.org/groups/2470620/items/6PXRBRHK"],"itemData":{"id":4791,"type":"report","number":"BNWL-714","publisher":"Pacific Northwest Annual Report for 1967","source":"Google Scholar","title":"Inhalation studies with promethium oxide in beagle dogs","author":[{"family":"Stuart","given":"B. O."}],"issued":{"date-parts":[["1967"]]}}}],"schema":"https://github.com/citation-style-language/schema/raw/master/csl-citation.json"} </w:instrText>
      </w:r>
      <w:r w:rsidR="00100F1F" w:rsidRPr="00972C81">
        <w:rPr>
          <w:noProof/>
        </w:rPr>
        <w:fldChar w:fldCharType="separate"/>
      </w:r>
      <w:r w:rsidR="00BC59C6" w:rsidRPr="00972C81">
        <w:rPr>
          <w:noProof/>
        </w:rPr>
        <w:t>(Stuart, 1967)</w:t>
      </w:r>
      <w:r w:rsidR="00100F1F" w:rsidRPr="00972C81">
        <w:rPr>
          <w:noProof/>
        </w:rPr>
        <w:fldChar w:fldCharType="end"/>
      </w:r>
      <w:r w:rsidRPr="00972C81">
        <w:rPr>
          <w:noProof/>
        </w:rPr>
        <w:t xml:space="preserve">. At 10 d after intravenous administration of </w:t>
      </w:r>
      <w:r w:rsidRPr="00972C81">
        <w:rPr>
          <w:noProof/>
          <w:vertAlign w:val="superscript"/>
        </w:rPr>
        <w:t>147</w:t>
      </w:r>
      <w:r w:rsidRPr="00972C81">
        <w:rPr>
          <w:noProof/>
        </w:rPr>
        <w:t>Pm as chloride to miniature swine, the skeleton, liver, kidneys, and spleen contained on average about 40%, 40%, 0.3%, and 0.1%, respectively, of the administered amount.</w:t>
      </w:r>
    </w:p>
    <w:p w14:paraId="3AF06C94" w14:textId="1D635DA0" w:rsidR="00803EF0" w:rsidRPr="00972C81" w:rsidRDefault="00803EF0" w:rsidP="001C4A92">
      <w:pPr>
        <w:pStyle w:val="Annalstext"/>
        <w:rPr>
          <w:noProof/>
        </w:rPr>
      </w:pPr>
      <w:r w:rsidRPr="00972C81">
        <w:rPr>
          <w:noProof/>
        </w:rPr>
        <w:lastRenderedPageBreak/>
        <w:t xml:space="preserve">The distribution of </w:t>
      </w:r>
      <w:r w:rsidRPr="00972C81">
        <w:rPr>
          <w:noProof/>
          <w:vertAlign w:val="superscript"/>
        </w:rPr>
        <w:t>147</w:t>
      </w:r>
      <w:r w:rsidRPr="00972C81">
        <w:rPr>
          <w:noProof/>
        </w:rPr>
        <w:t xml:space="preserve">Pm was investigated in mice following inhalation of </w:t>
      </w:r>
      <w:r w:rsidRPr="00972C81">
        <w:rPr>
          <w:noProof/>
          <w:vertAlign w:val="superscript"/>
        </w:rPr>
        <w:t>147</w:t>
      </w:r>
      <w:r w:rsidRPr="00972C81">
        <w:rPr>
          <w:noProof/>
        </w:rPr>
        <w:t>PmCl</w:t>
      </w:r>
      <w:r w:rsidRPr="00972C81">
        <w:rPr>
          <w:noProof/>
          <w:vertAlign w:val="subscript"/>
        </w:rPr>
        <w:t>3</w:t>
      </w:r>
      <w:r w:rsidRPr="00972C81">
        <w:rPr>
          <w:noProof/>
        </w:rPr>
        <w:t xml:space="preserve"> liquid aerosols</w:t>
      </w:r>
      <w:r w:rsidR="009F14C1" w:rsidRPr="00972C81">
        <w:rPr>
          <w:noProof/>
        </w:rPr>
        <w:t xml:space="preserve"> </w:t>
      </w:r>
      <w:r w:rsidR="009F14C1" w:rsidRPr="00972C81">
        <w:rPr>
          <w:noProof/>
        </w:rPr>
        <w:fldChar w:fldCharType="begin"/>
      </w:r>
      <w:r w:rsidR="009F14C1" w:rsidRPr="00972C81">
        <w:rPr>
          <w:noProof/>
        </w:rPr>
        <w:instrText xml:space="preserve"> ADDIN ZOTERO_ITEM CSL_CITATION {"citationID":"KjcLgtkE","properties":{"formattedCitation":"(Gensicke and Nitschke, 1964; H\\uc0\\u246{}lzer and Gensicke, 1965)","plainCitation":"(Gensicke and Nitschke, 1964; Hölzer and Gensicke, 1965)","noteIndex":0},"citationItems":[{"id":4811,"uris":["http://zotero.org/groups/2470620/items/U3D635WP"],"itemData":{"id":4811,"type":"article-journal","container-title":"Strahlentherapie","ISSN":"0039-2073","journalAbbreviation":"Strahlentherapie","language":"ger","note":"PMID: 14171710","page":"259-266","source":"PubMed","title":"[ON THE PROBLEM OF RADIOPRASEODYMIUM METABOLISM (PR 143) AFTER INHALATION OF FLUID AEROSOLS IN WHITE MICE]","volume":"123","author":[{"family":"Gensicke","given":"F."},{"family":"Nitschke","given":"H. W."}],"issued":{"date-parts":[["1964",2]]}}},{"id":4824,"uris":["http://zotero.org/groups/2470620/items/4C3WLL2P"],"itemData":{"id":4824,"type":"article-journal","container-title":"Strahlentherapie","ISSN":"0039-2073","issue":"3","journalAbbreviation":"Strahlentherapie","language":"ger","note":"PMID: 5873989","page":"396-405","source":"PubMed","title":"[Studies on the microdistribution of inhaled radiopromethium (147Pm)]","volume":"128","author":[{"family":"Hölzer","given":"F."},{"family":"Gensicke","given":"F."}],"issued":{"date-parts":[["1965",11]]}}}],"schema":"https://github.com/citation-style-language/schema/raw/master/csl-citation.json"} </w:instrText>
      </w:r>
      <w:r w:rsidR="009F14C1" w:rsidRPr="00972C81">
        <w:rPr>
          <w:noProof/>
        </w:rPr>
        <w:fldChar w:fldCharType="separate"/>
      </w:r>
      <w:r w:rsidR="00BC59C6" w:rsidRPr="00972C81">
        <w:rPr>
          <w:noProof/>
          <w:szCs w:val="24"/>
        </w:rPr>
        <w:t>(Gensicke and Nitschke, 1964; Hölzer and Gensicke, 1965)</w:t>
      </w:r>
      <w:r w:rsidR="009F14C1" w:rsidRPr="00972C81">
        <w:rPr>
          <w:noProof/>
        </w:rPr>
        <w:fldChar w:fldCharType="end"/>
      </w:r>
      <w:r w:rsidRPr="00972C81">
        <w:rPr>
          <w:noProof/>
        </w:rPr>
        <w:t>. Activity was rapidly absorbed to blood or transferred to the gastrointestinal contents. Absorbed activity accumulated mainly in the liver and skeleton. Activity in bone (femur) was found mainly in the osteoblastic tissue of the perichondrium and on the surfaces of the primary spongiosa.</w:t>
      </w:r>
    </w:p>
    <w:p w14:paraId="0628CECF" w14:textId="080B904E" w:rsidR="00803EF0" w:rsidRPr="00972C81" w:rsidRDefault="00803EF0" w:rsidP="001C4A92">
      <w:pPr>
        <w:pStyle w:val="Annalstext"/>
        <w:rPr>
          <w:noProof/>
        </w:rPr>
      </w:pPr>
      <w:r w:rsidRPr="00972C81">
        <w:rPr>
          <w:noProof/>
        </w:rPr>
        <w:t>Priest</w:t>
      </w:r>
      <w:r w:rsidR="009F14C1" w:rsidRPr="00972C81">
        <w:rPr>
          <w:noProof/>
        </w:rPr>
        <w:t xml:space="preserve"> </w:t>
      </w:r>
      <w:r w:rsidR="009F14C1" w:rsidRPr="00972C81">
        <w:rPr>
          <w:noProof/>
        </w:rPr>
        <w:fldChar w:fldCharType="begin"/>
      </w:r>
      <w:r w:rsidR="009F14C1" w:rsidRPr="00972C81">
        <w:rPr>
          <w:noProof/>
        </w:rPr>
        <w:instrText xml:space="preserve"> ADDIN ZOTERO_ITEM CSL_CITATION {"citationID":"NR75rE8j","properties":{"formattedCitation":"(2007)","plainCitation":"(2007)","noteIndex":0},"citationItems":[{"id":4826,"uris":["http://zotero.org/groups/2470620/items/3FE9FDFX"],"itemData":{"id":4826,"type":"article-journal","abstract":"Data on the distribution and redistribution patterns in the laboratory rat of three trivalent elements with a similar ionic radius have been compared. This showed that these distributions for the two ions with the same ionic radius (111 pm), i.e., those of promethium (a lanthanoid) and curium (an actinoid), were indistinguishable and that americium, with a slightly larger ion size (111.5 pm), behaved similarly. The results are consistent with the suggestion that ion size is the only important factor controlling the deposition and redistribution patterns of trivalent lanthanoids and actinoids in rats. The result is important because it suggests that the same radiological protection dosimetry models should be used for trivalent actinoids and lanthanoids, that human volunteer data generated for lanthanoid isotopes can be used to predict the behavior of actinoids with the same ion size, and that appropriate pairs of beta-particle-emitting lanthanoid and alpha-particle-emitting actinoids could be used to study the relative toxicity of alpha and beta particles in experimental animals.","container-title":"Radiation Research","DOI":"10.1667/RR0838.1","ISSN":"0033-7587","issue":"3","journalAbbreviation":"Radiat Res","language":"eng","note":"PMID: 17705633","page":"327-331","source":"PubMed","title":"Comparative biokinetics of trivalent radionuclides with similar ionic dimensions: promethium-147, curium-242 and americium-241","title-short":"Comparative biokinetics of trivalent radionuclides with similar ionic dimensions","volume":"168","author":[{"family":"Priest","given":"N. D."}],"issued":{"date-parts":[["2007",9]]}},"label":"page","suppress-author":true}],"schema":"https://github.com/citation-style-language/schema/raw/master/csl-citation.json"} </w:instrText>
      </w:r>
      <w:r w:rsidR="009F14C1" w:rsidRPr="00972C81">
        <w:rPr>
          <w:noProof/>
        </w:rPr>
        <w:fldChar w:fldCharType="separate"/>
      </w:r>
      <w:r w:rsidR="00BC59C6" w:rsidRPr="00972C81">
        <w:rPr>
          <w:noProof/>
        </w:rPr>
        <w:t>(2007)</w:t>
      </w:r>
      <w:r w:rsidR="009F14C1" w:rsidRPr="00972C81">
        <w:rPr>
          <w:noProof/>
        </w:rPr>
        <w:fldChar w:fldCharType="end"/>
      </w:r>
      <w:r w:rsidRPr="00972C81">
        <w:rPr>
          <w:noProof/>
        </w:rPr>
        <w:t xml:space="preserve"> compared the distribution of promethium with that of two other trivalent elements with similar ionic radii, americium and curium, following their intravenous administration to rats. Activity concentrations were measured in the liver, kidneys, femur, spleen, and gastrointestinal tract at 1, 4, 14, and 32 d. The distributions of the two elements with virtually the same crystal ionic radius promethium and curium, were indistinguishable. The distribution of americium, which has a slightly larger crystal ionic radius, was similar but not identical to the distributions of promethium and curium.</w:t>
      </w:r>
    </w:p>
    <w:p w14:paraId="20CB8543" w14:textId="77777777" w:rsidR="00803EF0" w:rsidRPr="00972C81" w:rsidRDefault="00803EF0" w:rsidP="001C4A92">
      <w:pPr>
        <w:pStyle w:val="Annalstext"/>
        <w:rPr>
          <w:noProof/>
        </w:rPr>
      </w:pPr>
      <w:r w:rsidRPr="00972C81">
        <w:rPr>
          <w:noProof/>
        </w:rPr>
        <w:t xml:space="preserve">No information was found regarding the effect of age on the biokinetics of systemic </w:t>
      </w:r>
      <w:r w:rsidRPr="00972C81">
        <w:rPr>
          <w:rFonts w:eastAsiaTheme="minorHAnsi"/>
          <w:noProof/>
        </w:rPr>
        <w:t>promethium</w:t>
      </w:r>
      <w:r w:rsidRPr="00972C81">
        <w:rPr>
          <w:noProof/>
        </w:rPr>
        <w:t xml:space="preserve">. </w:t>
      </w:r>
    </w:p>
    <w:p w14:paraId="104524E9" w14:textId="77777777" w:rsidR="00803EF0" w:rsidRPr="00972C81" w:rsidRDefault="00803EF0" w:rsidP="006703A2">
      <w:pPr>
        <w:pStyle w:val="OIRTitre4"/>
      </w:pPr>
      <w:r w:rsidRPr="00972C81">
        <w:t>Systemic model</w:t>
      </w:r>
    </w:p>
    <w:p w14:paraId="3989EE20" w14:textId="210B24F1" w:rsidR="00803EF0" w:rsidRPr="00972C81" w:rsidRDefault="00803EF0" w:rsidP="001C4A92">
      <w:pPr>
        <w:pStyle w:val="Annalstext"/>
        <w:rPr>
          <w:rFonts w:eastAsiaTheme="minorHAnsi"/>
          <w:noProof/>
        </w:rPr>
      </w:pPr>
      <w:r w:rsidRPr="00972C81">
        <w:rPr>
          <w:rFonts w:eastAsiaTheme="minorHAnsi"/>
          <w:noProof/>
        </w:rPr>
        <w:t xml:space="preserve">The model structure shown in </w:t>
      </w:r>
      <w:r w:rsidR="009F14C1" w:rsidRPr="00972C81">
        <w:rPr>
          <w:rFonts w:eastAsiaTheme="minorHAnsi"/>
          <w:noProof/>
        </w:rPr>
        <w:fldChar w:fldCharType="begin"/>
      </w:r>
      <w:r w:rsidR="009F14C1" w:rsidRPr="00972C81">
        <w:rPr>
          <w:rFonts w:eastAsiaTheme="minorHAnsi"/>
          <w:noProof/>
        </w:rPr>
        <w:instrText xml:space="preserve"> REF _Ref141858180 \h </w:instrText>
      </w:r>
      <w:r w:rsidR="009F14C1" w:rsidRPr="00972C81">
        <w:rPr>
          <w:rFonts w:eastAsiaTheme="minorHAnsi"/>
          <w:noProof/>
        </w:rPr>
      </w:r>
      <w:r w:rsidR="009F14C1" w:rsidRPr="00972C81">
        <w:rPr>
          <w:rFonts w:eastAsiaTheme="minorHAnsi"/>
          <w:noProof/>
        </w:rPr>
        <w:fldChar w:fldCharType="separate"/>
      </w:r>
      <w:r w:rsidR="00A41AD1" w:rsidRPr="00A41AD1">
        <w:rPr>
          <w:noProof/>
          <w:szCs w:val="24"/>
        </w:rPr>
        <w:t xml:space="preserve">Fig </w:t>
      </w:r>
      <w:r w:rsidR="00A41AD1">
        <w:rPr>
          <w:noProof/>
          <w:szCs w:val="24"/>
        </w:rPr>
        <w:t>3</w:t>
      </w:r>
      <w:r w:rsidR="00A41AD1" w:rsidRPr="00A41AD1">
        <w:rPr>
          <w:noProof/>
          <w:szCs w:val="24"/>
        </w:rPr>
        <w:t>.</w:t>
      </w:r>
      <w:r w:rsidR="00A41AD1">
        <w:rPr>
          <w:noProof/>
          <w:szCs w:val="24"/>
        </w:rPr>
        <w:t>1</w:t>
      </w:r>
      <w:r w:rsidR="009F14C1" w:rsidRPr="00972C81">
        <w:rPr>
          <w:rFonts w:eastAsiaTheme="minorHAnsi"/>
          <w:noProof/>
        </w:rPr>
        <w:fldChar w:fldCharType="end"/>
      </w:r>
      <w:r w:rsidRPr="00972C81">
        <w:rPr>
          <w:rFonts w:eastAsiaTheme="minorHAnsi"/>
          <w:noProof/>
        </w:rPr>
        <w:t xml:space="preserve"> of the section on cerium is applied in this report to all lanthanide elements.</w:t>
      </w:r>
    </w:p>
    <w:p w14:paraId="22B6F987" w14:textId="77777777" w:rsidR="00803EF0" w:rsidRPr="00972C81" w:rsidRDefault="00803EF0" w:rsidP="001C4A92">
      <w:pPr>
        <w:pStyle w:val="Annalstext"/>
        <w:rPr>
          <w:noProof/>
        </w:rPr>
      </w:pPr>
      <w:r w:rsidRPr="00972C81">
        <w:rPr>
          <w:noProof/>
        </w:rPr>
        <w:t>A common set of age-specific transfer coefficients is applied to the “promethium group”, neodymium, promethium, and samarium. The transfer coefficients are based largely on generic parameter values for the lanthanides, i.e., parameter values assumed to be invariant across the lanthanide family. The generic parameter values are listed in the section on cerium. The generic parameter values are assumed to be invariant with age except for the following:</w:t>
      </w:r>
    </w:p>
    <w:p w14:paraId="608F635E" w14:textId="573C5228" w:rsidR="00803EF0" w:rsidRPr="00972C81" w:rsidRDefault="00803EF0" w:rsidP="00E81109">
      <w:pPr>
        <w:pStyle w:val="a"/>
        <w:rPr>
          <w:noProof/>
        </w:rPr>
      </w:pPr>
      <w:bookmarkStart w:id="109" w:name="_Hlk494890270"/>
      <w:r w:rsidRPr="00972C81">
        <w:rPr>
          <w:noProof/>
          <w:color w:val="000000"/>
        </w:rPr>
        <w:t>The rate of transfer from t</w:t>
      </w:r>
      <w:r w:rsidRPr="00972C81">
        <w:rPr>
          <w:noProof/>
        </w:rPr>
        <w:t xml:space="preserve">rabecular bone surface to trabecular bone volume is assumed to be A times the reference age-specific rate of remodeling of trabecular bone </w:t>
      </w:r>
      <w:r w:rsidR="009F14C1" w:rsidRPr="00972C81">
        <w:rPr>
          <w:noProof/>
        </w:rPr>
        <w:fldChar w:fldCharType="begin"/>
      </w:r>
      <w:r w:rsidR="009F14C1" w:rsidRPr="00972C81">
        <w:rPr>
          <w:noProof/>
        </w:rPr>
        <w:instrText xml:space="preserve"> ADDIN ZOTERO_ITEM CSL_CITATION {"citationID":"r7u8X39n","properties":{"formattedCitation":"(ICRP,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9F14C1" w:rsidRPr="00972C81">
        <w:rPr>
          <w:noProof/>
        </w:rPr>
        <w:fldChar w:fldCharType="separate"/>
      </w:r>
      <w:r w:rsidR="00BC59C6" w:rsidRPr="00972C81">
        <w:rPr>
          <w:rFonts w:ascii="Times New Roman" w:hAnsi="Times New Roman"/>
          <w:noProof/>
        </w:rPr>
        <w:t>(ICRP, 2002)</w:t>
      </w:r>
      <w:r w:rsidR="009F14C1" w:rsidRPr="00972C81">
        <w:rPr>
          <w:noProof/>
        </w:rPr>
        <w:fldChar w:fldCharType="end"/>
      </w:r>
      <w:r w:rsidRPr="00972C81">
        <w:rPr>
          <w:noProof/>
        </w:rPr>
        <w:t>, where A = 0.5 for adults and A = 1 for preadult ages</w:t>
      </w:r>
      <w:r w:rsidR="009F14C1" w:rsidRPr="00972C81">
        <w:rPr>
          <w:noProof/>
        </w:rPr>
        <w:t>.</w:t>
      </w:r>
    </w:p>
    <w:p w14:paraId="77E3F73E" w14:textId="72C17E7B" w:rsidR="00803EF0" w:rsidRPr="00972C81" w:rsidRDefault="00803EF0" w:rsidP="00E81109">
      <w:pPr>
        <w:pStyle w:val="a"/>
        <w:rPr>
          <w:noProof/>
        </w:rPr>
      </w:pPr>
      <w:r w:rsidRPr="00972C81">
        <w:rPr>
          <w:noProof/>
          <w:color w:val="000000"/>
        </w:rPr>
        <w:t>The rate of transfer from cortical</w:t>
      </w:r>
      <w:r w:rsidRPr="00972C81">
        <w:rPr>
          <w:noProof/>
        </w:rPr>
        <w:t xml:space="preserve"> bone surface to cortical bone volume is assumed to be 0.5 times the reference age-specific rate of remodeling of cortical bone </w:t>
      </w:r>
      <w:r w:rsidR="009F14C1" w:rsidRPr="00972C81">
        <w:rPr>
          <w:noProof/>
        </w:rPr>
        <w:fldChar w:fldCharType="begin"/>
      </w:r>
      <w:r w:rsidR="009F14C1" w:rsidRPr="00972C81">
        <w:rPr>
          <w:noProof/>
        </w:rPr>
        <w:instrText xml:space="preserve"> ADDIN ZOTERO_ITEM CSL_CITATION {"citationID":"AlSSOZfJ","properties":{"formattedCitation":"(ICRP,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9F14C1" w:rsidRPr="00972C81">
        <w:rPr>
          <w:noProof/>
        </w:rPr>
        <w:fldChar w:fldCharType="separate"/>
      </w:r>
      <w:r w:rsidR="00BC59C6" w:rsidRPr="00972C81">
        <w:rPr>
          <w:rFonts w:ascii="Times New Roman" w:hAnsi="Times New Roman"/>
          <w:noProof/>
        </w:rPr>
        <w:t>(ICRP, 2002)</w:t>
      </w:r>
      <w:r w:rsidR="009F14C1" w:rsidRPr="00972C81">
        <w:rPr>
          <w:noProof/>
        </w:rPr>
        <w:fldChar w:fldCharType="end"/>
      </w:r>
      <w:r w:rsidRPr="00972C81">
        <w:rPr>
          <w:noProof/>
        </w:rPr>
        <w:t>, where A = 0.5 for adults and A = 1 for preadult ages</w:t>
      </w:r>
      <w:r w:rsidR="009F14C1" w:rsidRPr="00972C81">
        <w:rPr>
          <w:noProof/>
        </w:rPr>
        <w:t>.</w:t>
      </w:r>
    </w:p>
    <w:p w14:paraId="7F910D84" w14:textId="041E3244" w:rsidR="00803EF0" w:rsidRPr="00972C81" w:rsidRDefault="00803EF0" w:rsidP="00E81109">
      <w:pPr>
        <w:pStyle w:val="a"/>
        <w:rPr>
          <w:noProof/>
        </w:rPr>
      </w:pPr>
      <w:r w:rsidRPr="00972C81">
        <w:rPr>
          <w:noProof/>
          <w:color w:val="000000"/>
        </w:rPr>
        <w:t>The rate of transfer from t</w:t>
      </w:r>
      <w:r w:rsidRPr="00972C81">
        <w:rPr>
          <w:noProof/>
        </w:rPr>
        <w:t xml:space="preserve">rabecular bone surface or volume to trabecular marrow is assumed to be the reference age-specific rate of remodeling of trabecular bone </w:t>
      </w:r>
      <w:r w:rsidR="009F14C1" w:rsidRPr="00972C81">
        <w:rPr>
          <w:noProof/>
        </w:rPr>
        <w:fldChar w:fldCharType="begin"/>
      </w:r>
      <w:r w:rsidR="009F14C1" w:rsidRPr="00972C81">
        <w:rPr>
          <w:noProof/>
        </w:rPr>
        <w:instrText xml:space="preserve"> ADDIN ZOTERO_ITEM CSL_CITATION {"citationID":"3zlARM3y","properties":{"formattedCitation":"(ICRP,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9F14C1" w:rsidRPr="00972C81">
        <w:rPr>
          <w:noProof/>
        </w:rPr>
        <w:fldChar w:fldCharType="separate"/>
      </w:r>
      <w:r w:rsidR="00BC59C6" w:rsidRPr="00972C81">
        <w:rPr>
          <w:rFonts w:ascii="Times New Roman" w:hAnsi="Times New Roman"/>
          <w:noProof/>
        </w:rPr>
        <w:t>(ICRP, 2002)</w:t>
      </w:r>
      <w:r w:rsidR="009F14C1" w:rsidRPr="00972C81">
        <w:rPr>
          <w:noProof/>
        </w:rPr>
        <w:fldChar w:fldCharType="end"/>
      </w:r>
      <w:r w:rsidR="009F14C1" w:rsidRPr="00972C81">
        <w:rPr>
          <w:noProof/>
        </w:rPr>
        <w:t>.</w:t>
      </w:r>
    </w:p>
    <w:p w14:paraId="7AC074DD" w14:textId="157B1EAA" w:rsidR="00803EF0" w:rsidRPr="00972C81" w:rsidRDefault="00803EF0" w:rsidP="00E81109">
      <w:pPr>
        <w:pStyle w:val="a"/>
        <w:rPr>
          <w:noProof/>
        </w:rPr>
      </w:pPr>
      <w:r w:rsidRPr="00972C81">
        <w:rPr>
          <w:noProof/>
          <w:color w:val="000000"/>
        </w:rPr>
        <w:t>The rate of transfer from cortical</w:t>
      </w:r>
      <w:r w:rsidRPr="00972C81">
        <w:rPr>
          <w:noProof/>
        </w:rPr>
        <w:t xml:space="preserve"> bone surface or volume to cortical marrow is assumed to be the reference age-specific rate of remodeling of cortical bone </w:t>
      </w:r>
      <w:r w:rsidR="009F14C1" w:rsidRPr="00972C81">
        <w:rPr>
          <w:noProof/>
        </w:rPr>
        <w:fldChar w:fldCharType="begin"/>
      </w:r>
      <w:r w:rsidR="009F14C1" w:rsidRPr="00972C81">
        <w:rPr>
          <w:noProof/>
        </w:rPr>
        <w:instrText xml:space="preserve"> ADDIN ZOTERO_ITEM CSL_CITATION {"citationID":"CCRRd1d4","properties":{"formattedCitation":"(ICRP,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9F14C1" w:rsidRPr="00972C81">
        <w:rPr>
          <w:noProof/>
        </w:rPr>
        <w:fldChar w:fldCharType="separate"/>
      </w:r>
      <w:r w:rsidR="00BC59C6" w:rsidRPr="00972C81">
        <w:rPr>
          <w:rFonts w:ascii="Times New Roman" w:hAnsi="Times New Roman"/>
          <w:noProof/>
        </w:rPr>
        <w:t>(ICRP, 2002)</w:t>
      </w:r>
      <w:r w:rsidR="009F14C1" w:rsidRPr="00972C81">
        <w:rPr>
          <w:noProof/>
        </w:rPr>
        <w:fldChar w:fldCharType="end"/>
      </w:r>
      <w:r w:rsidR="009F14C1" w:rsidRPr="00972C81">
        <w:rPr>
          <w:noProof/>
        </w:rPr>
        <w:t>.</w:t>
      </w:r>
    </w:p>
    <w:p w14:paraId="4450427D" w14:textId="77777777" w:rsidR="00803EF0" w:rsidRPr="00972C81" w:rsidRDefault="00803EF0" w:rsidP="00134489">
      <w:pPr>
        <w:rPr>
          <w:noProof/>
        </w:rPr>
      </w:pPr>
    </w:p>
    <w:bookmarkEnd w:id="109"/>
    <w:p w14:paraId="56138728" w14:textId="77777777" w:rsidR="00803EF0" w:rsidRPr="00972C81" w:rsidRDefault="00803EF0" w:rsidP="001C4A92">
      <w:pPr>
        <w:pStyle w:val="Annalstext"/>
        <w:rPr>
          <w:noProof/>
        </w:rPr>
      </w:pPr>
      <w:r w:rsidRPr="00972C81">
        <w:rPr>
          <w:noProof/>
        </w:rPr>
        <w:t>For each lanthanide element, non-generic (element- or group-specific) parameter values are assigned here to:</w:t>
      </w:r>
    </w:p>
    <w:p w14:paraId="4634E9E4" w14:textId="52C96E46" w:rsidR="00803EF0" w:rsidRPr="00972C81" w:rsidRDefault="00803EF0" w:rsidP="00E81109">
      <w:pPr>
        <w:pStyle w:val="a"/>
        <w:rPr>
          <w:noProof/>
        </w:rPr>
      </w:pPr>
      <w:r w:rsidRPr="00972C81">
        <w:rPr>
          <w:noProof/>
        </w:rPr>
        <w:t>the deposition fractions for liver, bone surface, urinary bladder content, right colon content, and intermediate-term soft tissue compartment (ST1)</w:t>
      </w:r>
      <w:r w:rsidR="00DE10AA">
        <w:rPr>
          <w:noProof/>
        </w:rPr>
        <w:t>;</w:t>
      </w:r>
    </w:p>
    <w:p w14:paraId="76FD99EE" w14:textId="02F7843D" w:rsidR="00803EF0" w:rsidRPr="00972C81" w:rsidRDefault="00803EF0" w:rsidP="00E81109">
      <w:pPr>
        <w:pStyle w:val="a"/>
        <w:rPr>
          <w:noProof/>
        </w:rPr>
      </w:pPr>
      <w:r w:rsidRPr="00972C81">
        <w:rPr>
          <w:noProof/>
        </w:rPr>
        <w:t>removal half-times from ST1 to blood and from the long-term liver compartment Liver 2 to blood</w:t>
      </w:r>
      <w:r w:rsidR="00DE10AA">
        <w:rPr>
          <w:noProof/>
        </w:rPr>
        <w:t>.</w:t>
      </w:r>
      <w:r w:rsidRPr="00972C81">
        <w:rPr>
          <w:noProof/>
        </w:rPr>
        <w:t xml:space="preserve"> </w:t>
      </w:r>
    </w:p>
    <w:p w14:paraId="7A0731F3" w14:textId="77777777" w:rsidR="00803EF0" w:rsidRPr="00972C81" w:rsidRDefault="00803EF0" w:rsidP="00803EF0">
      <w:pPr>
        <w:tabs>
          <w:tab w:val="left" w:pos="851"/>
        </w:tabs>
        <w:adjustRightInd w:val="0"/>
        <w:snapToGrid w:val="0"/>
        <w:spacing w:line="280" w:lineRule="atLeast"/>
        <w:rPr>
          <w:rFonts w:ascii="Times Roman" w:hAnsi="Times Roman"/>
          <w:noProof/>
          <w:color w:val="000000"/>
          <w:szCs w:val="24"/>
        </w:rPr>
      </w:pPr>
    </w:p>
    <w:p w14:paraId="0114261A" w14:textId="77777777" w:rsidR="00803EF0" w:rsidRPr="00972C81" w:rsidRDefault="00803EF0" w:rsidP="001C4A92">
      <w:pPr>
        <w:pStyle w:val="Annalstext"/>
        <w:rPr>
          <w:noProof/>
        </w:rPr>
      </w:pPr>
      <w:r w:rsidRPr="00972C81">
        <w:rPr>
          <w:noProof/>
        </w:rPr>
        <w:t xml:space="preserve">Extension of the non-generic parameter values for adults to preadult ages is based on a general pattern of age related systemic biokinetics observed for a number of bone-seeking elements including the lanthanide cerium. That is, the deposition fraction in bone is higher in immature animals than in mature animals and tends to decrease with age from early life to adolescence to adulthood. Also, biokinetic studies of bone-seeking elements show that the rate </w:t>
      </w:r>
      <w:r w:rsidRPr="00972C81">
        <w:rPr>
          <w:noProof/>
        </w:rPr>
        <w:lastRenderedPageBreak/>
        <w:t>of turnover of the skeletal deposit is higher in immature than mature animals, presumably due to a faster rate of bone restructuring at younger ages.</w:t>
      </w:r>
    </w:p>
    <w:p w14:paraId="77A1D4AF" w14:textId="79BDCAE0" w:rsidR="00803EF0" w:rsidRPr="00972C81" w:rsidRDefault="00803EF0" w:rsidP="001C4A92">
      <w:pPr>
        <w:pStyle w:val="Annalstext"/>
        <w:rPr>
          <w:noProof/>
        </w:rPr>
      </w:pPr>
      <w:r w:rsidRPr="00972C81">
        <w:rPr>
          <w:noProof/>
        </w:rPr>
        <w:t xml:space="preserve">Based on analogy with the most extensively studied lanthanide cerium, a bone deposition fraction of 0.7 is </w:t>
      </w:r>
      <w:r w:rsidRPr="00972C81">
        <w:rPr>
          <w:rStyle w:val="AnnalstextChar"/>
          <w:noProof/>
        </w:rPr>
        <w:t>assigned to ages 100 d and 1 y for all lanthanide elements. For ages 5</w:t>
      </w:r>
      <w:r w:rsidR="0057134B" w:rsidRPr="00972C81">
        <w:rPr>
          <w:noProof/>
        </w:rPr>
        <w:t>–</w:t>
      </w:r>
      <w:r w:rsidRPr="00972C81">
        <w:rPr>
          <w:rStyle w:val="AnnalstextChar"/>
          <w:noProof/>
        </w:rPr>
        <w:t>15 y, the assigned dep</w:t>
      </w:r>
      <w:r w:rsidRPr="00972C81">
        <w:rPr>
          <w:noProof/>
        </w:rPr>
        <w:t>osition fraction is a rounded average of the value for the first year of life and the element- or group-dependent bone deposition fraction for adults, which is 0.35 for the promethium group. The deposition fraction 0.50 is assigned to the promethium group for ages 5</w:t>
      </w:r>
      <w:r w:rsidR="0057134B" w:rsidRPr="00972C81">
        <w:rPr>
          <w:noProof/>
        </w:rPr>
        <w:t>–</w:t>
      </w:r>
      <w:r w:rsidRPr="00972C81">
        <w:rPr>
          <w:noProof/>
        </w:rPr>
        <w:t xml:space="preserve">15 y. It is assumed that uptake by bone is in competition with uptake by liver. This is implemented by requiring that the sum of deposition fractions in bone and liver at all ages is equal to 0.8, the value in the model for adults. Other deposition fractions in the model are assumed to be invariant with age. </w:t>
      </w:r>
    </w:p>
    <w:p w14:paraId="5C4BE5DE" w14:textId="60BD80B3" w:rsidR="00803EF0" w:rsidRPr="00972C81" w:rsidRDefault="00803EF0" w:rsidP="001C4A92">
      <w:pPr>
        <w:pStyle w:val="Annalstext"/>
        <w:rPr>
          <w:noProof/>
        </w:rPr>
      </w:pPr>
      <w:r w:rsidRPr="00972C81">
        <w:rPr>
          <w:noProof/>
        </w:rPr>
        <w:t xml:space="preserve">Based on trends in systemic kinetics of the lanthanide associated with decreasing ionic radius </w:t>
      </w:r>
      <w:r w:rsidR="009F14C1" w:rsidRPr="00972C81">
        <w:rPr>
          <w:noProof/>
        </w:rPr>
        <w:fldChar w:fldCharType="begin"/>
      </w:r>
      <w:r w:rsidR="009F14C1" w:rsidRPr="00972C81">
        <w:rPr>
          <w:noProof/>
        </w:rPr>
        <w:instrText xml:space="preserve"> ADDIN ZOTERO_ITEM CSL_CITATION {"citationID":"3noDfZ0b","properties":{"formattedCitation":"(Durbin, 1959, 1962)","plainCitation":"(Durbin, 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9F14C1" w:rsidRPr="00972C81">
        <w:rPr>
          <w:noProof/>
        </w:rPr>
        <w:fldChar w:fldCharType="separate"/>
      </w:r>
      <w:r w:rsidR="00BC59C6" w:rsidRPr="00972C81">
        <w:rPr>
          <w:noProof/>
        </w:rPr>
        <w:t>(Durbin, 1959, 1962)</w:t>
      </w:r>
      <w:r w:rsidR="009F14C1" w:rsidRPr="00972C81">
        <w:rPr>
          <w:noProof/>
        </w:rPr>
        <w:fldChar w:fldCharType="end"/>
      </w:r>
      <w:r w:rsidRPr="00972C81">
        <w:rPr>
          <w:noProof/>
        </w:rPr>
        <w:t xml:space="preserve"> the deposition fractions for the urinary bladder content and right colon content for the promethium group are assumed to be 0.07 and 0.01, respectively, compared with values of 0.02 and 0.06, respectively, for the cerium group.</w:t>
      </w:r>
    </w:p>
    <w:p w14:paraId="5EEF1CDE" w14:textId="011CE80B" w:rsidR="00803EF0" w:rsidRPr="00972C81" w:rsidRDefault="00803EF0" w:rsidP="00E81109">
      <w:pPr>
        <w:pStyle w:val="Annalstext"/>
        <w:rPr>
          <w:noProof/>
        </w:rPr>
      </w:pPr>
      <w:r w:rsidRPr="00972C81">
        <w:rPr>
          <w:noProof/>
        </w:rPr>
        <w:t xml:space="preserve">The non-generic deposition fractions in the model for the promethium group are listed in </w:t>
      </w:r>
      <w:r w:rsidR="009F14C1" w:rsidRPr="00972C81">
        <w:rPr>
          <w:noProof/>
          <w:highlight w:val="yellow"/>
        </w:rPr>
        <w:fldChar w:fldCharType="begin"/>
      </w:r>
      <w:r w:rsidR="009F14C1" w:rsidRPr="00972C81">
        <w:rPr>
          <w:noProof/>
        </w:rPr>
        <w:instrText xml:space="preserve"> REF _Ref142303894 \h </w:instrText>
      </w:r>
      <w:r w:rsidR="009F14C1" w:rsidRPr="00972C81">
        <w:rPr>
          <w:noProof/>
          <w:highlight w:val="yellow"/>
        </w:rPr>
      </w:r>
      <w:r w:rsidR="009F14C1" w:rsidRPr="00972C81">
        <w:rPr>
          <w:noProof/>
          <w:highlight w:val="yellow"/>
        </w:rPr>
        <w:fldChar w:fldCharType="separate"/>
      </w:r>
      <w:r w:rsidR="00A41AD1" w:rsidRPr="00972C81">
        <w:rPr>
          <w:noProof/>
        </w:rPr>
        <w:t xml:space="preserve">Table </w:t>
      </w:r>
      <w:r w:rsidR="00A41AD1">
        <w:rPr>
          <w:noProof/>
        </w:rPr>
        <w:t>6</w:t>
      </w:r>
      <w:r w:rsidR="00A41AD1" w:rsidRPr="00972C81">
        <w:rPr>
          <w:noProof/>
        </w:rPr>
        <w:t>.</w:t>
      </w:r>
      <w:r w:rsidR="00A41AD1">
        <w:rPr>
          <w:noProof/>
        </w:rPr>
        <w:t>1</w:t>
      </w:r>
      <w:r w:rsidR="009F14C1" w:rsidRPr="00972C81">
        <w:rPr>
          <w:noProof/>
          <w:highlight w:val="yellow"/>
        </w:rPr>
        <w:fldChar w:fldCharType="end"/>
      </w:r>
      <w:r w:rsidRPr="00972C81">
        <w:rPr>
          <w:noProof/>
        </w:rPr>
        <w:t>.</w:t>
      </w:r>
    </w:p>
    <w:p w14:paraId="2B07CE37" w14:textId="77777777" w:rsidR="00B0539B" w:rsidRPr="00972C81" w:rsidRDefault="00B0539B" w:rsidP="00803EF0">
      <w:pPr>
        <w:rPr>
          <w:noProof/>
        </w:rPr>
      </w:pPr>
    </w:p>
    <w:p w14:paraId="769CA657" w14:textId="34AB6164" w:rsidR="00803EF0" w:rsidRPr="001A483B" w:rsidRDefault="009F14C1" w:rsidP="00E81109">
      <w:pPr>
        <w:pStyle w:val="ab"/>
        <w:rPr>
          <w:noProof/>
          <w:sz w:val="24"/>
          <w:szCs w:val="24"/>
        </w:rPr>
      </w:pPr>
      <w:bookmarkStart w:id="110" w:name="_Ref142303894"/>
      <w:r w:rsidRPr="001A483B">
        <w:rPr>
          <w:noProof/>
          <w:sz w:val="24"/>
          <w:szCs w:val="24"/>
        </w:rPr>
        <w:t xml:space="preserve">Table </w:t>
      </w:r>
      <w:r w:rsidR="00EA3750" w:rsidRPr="001A483B">
        <w:rPr>
          <w:noProof/>
          <w:sz w:val="24"/>
          <w:szCs w:val="24"/>
        </w:rPr>
        <w:fldChar w:fldCharType="begin"/>
      </w:r>
      <w:r w:rsidR="00EA3750" w:rsidRPr="001A483B">
        <w:rPr>
          <w:noProof/>
          <w:sz w:val="24"/>
          <w:szCs w:val="24"/>
        </w:rPr>
        <w:instrText xml:space="preserve"> STYLEREF 1 \s </w:instrText>
      </w:r>
      <w:r w:rsidR="00EA3750" w:rsidRPr="001A483B">
        <w:rPr>
          <w:noProof/>
          <w:sz w:val="24"/>
          <w:szCs w:val="24"/>
        </w:rPr>
        <w:fldChar w:fldCharType="separate"/>
      </w:r>
      <w:r w:rsidR="00A41AD1" w:rsidRPr="001A483B">
        <w:rPr>
          <w:noProof/>
          <w:sz w:val="24"/>
          <w:szCs w:val="24"/>
        </w:rPr>
        <w:t>6</w:t>
      </w:r>
      <w:r w:rsidR="00EA3750" w:rsidRPr="001A483B">
        <w:rPr>
          <w:noProof/>
          <w:sz w:val="24"/>
          <w:szCs w:val="24"/>
        </w:rPr>
        <w:fldChar w:fldCharType="end"/>
      </w:r>
      <w:r w:rsidR="00EA3750" w:rsidRPr="001A483B">
        <w:rPr>
          <w:noProof/>
          <w:sz w:val="24"/>
          <w:szCs w:val="24"/>
        </w:rPr>
        <w:t>.</w:t>
      </w:r>
      <w:r w:rsidR="00EA3750" w:rsidRPr="001A483B">
        <w:rPr>
          <w:noProof/>
          <w:sz w:val="24"/>
          <w:szCs w:val="24"/>
        </w:rPr>
        <w:fldChar w:fldCharType="begin"/>
      </w:r>
      <w:r w:rsidR="00EA3750" w:rsidRPr="001A483B">
        <w:rPr>
          <w:noProof/>
          <w:sz w:val="24"/>
          <w:szCs w:val="24"/>
        </w:rPr>
        <w:instrText xml:space="preserve"> SEQ Table \* ARABIC \s 1 </w:instrText>
      </w:r>
      <w:r w:rsidR="00EA3750" w:rsidRPr="001A483B">
        <w:rPr>
          <w:noProof/>
          <w:sz w:val="24"/>
          <w:szCs w:val="24"/>
        </w:rPr>
        <w:fldChar w:fldCharType="separate"/>
      </w:r>
      <w:r w:rsidR="00A41AD1" w:rsidRPr="001A483B">
        <w:rPr>
          <w:noProof/>
          <w:sz w:val="24"/>
          <w:szCs w:val="24"/>
        </w:rPr>
        <w:t>1</w:t>
      </w:r>
      <w:r w:rsidR="00EA3750" w:rsidRPr="001A483B">
        <w:rPr>
          <w:noProof/>
          <w:sz w:val="24"/>
          <w:szCs w:val="24"/>
        </w:rPr>
        <w:fldChar w:fldCharType="end"/>
      </w:r>
      <w:bookmarkEnd w:id="110"/>
      <w:r w:rsidR="00B0539B" w:rsidRPr="001A483B">
        <w:rPr>
          <w:noProof/>
          <w:sz w:val="24"/>
          <w:szCs w:val="24"/>
        </w:rPr>
        <w:t>. Non-generic (group-specific) parameter values for the promethium group (neodymium, promethium, and samarium).</w:t>
      </w:r>
    </w:p>
    <w:tbl>
      <w:tblPr>
        <w:tblStyle w:val="a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1116"/>
        <w:gridCol w:w="1208"/>
        <w:gridCol w:w="1123"/>
        <w:gridCol w:w="1296"/>
        <w:gridCol w:w="1123"/>
        <w:gridCol w:w="1224"/>
      </w:tblGrid>
      <w:tr w:rsidR="00803EF0" w:rsidRPr="00972C81" w14:paraId="52263760" w14:textId="77777777" w:rsidTr="006A409D">
        <w:trPr>
          <w:trHeight w:val="340"/>
          <w:jc w:val="center"/>
        </w:trPr>
        <w:tc>
          <w:tcPr>
            <w:tcW w:w="1073" w:type="pct"/>
            <w:tcBorders>
              <w:top w:val="single" w:sz="4" w:space="0" w:color="auto"/>
            </w:tcBorders>
          </w:tcPr>
          <w:p w14:paraId="77D33D33" w14:textId="77777777" w:rsidR="00803EF0" w:rsidRPr="00972C81" w:rsidRDefault="00803EF0" w:rsidP="00E81109">
            <w:pPr>
              <w:pStyle w:val="Table"/>
              <w:rPr>
                <w:noProof/>
              </w:rPr>
            </w:pPr>
          </w:p>
        </w:tc>
        <w:tc>
          <w:tcPr>
            <w:tcW w:w="618" w:type="pct"/>
            <w:tcBorders>
              <w:top w:val="single" w:sz="4" w:space="0" w:color="auto"/>
              <w:bottom w:val="single" w:sz="4" w:space="0" w:color="auto"/>
            </w:tcBorders>
            <w:vAlign w:val="center"/>
          </w:tcPr>
          <w:p w14:paraId="7DDFD452" w14:textId="77777777" w:rsidR="00803EF0" w:rsidRPr="00972C81" w:rsidRDefault="00803EF0" w:rsidP="001A483B">
            <w:pPr>
              <w:pStyle w:val="Table"/>
              <w:rPr>
                <w:noProof/>
              </w:rPr>
            </w:pPr>
            <w:r w:rsidRPr="00972C81">
              <w:rPr>
                <w:noProof/>
              </w:rPr>
              <w:t>100 d</w:t>
            </w:r>
          </w:p>
        </w:tc>
        <w:tc>
          <w:tcPr>
            <w:tcW w:w="669" w:type="pct"/>
            <w:tcBorders>
              <w:top w:val="single" w:sz="4" w:space="0" w:color="auto"/>
              <w:bottom w:val="single" w:sz="4" w:space="0" w:color="auto"/>
            </w:tcBorders>
            <w:vAlign w:val="center"/>
          </w:tcPr>
          <w:p w14:paraId="0EE1454E" w14:textId="77777777" w:rsidR="00803EF0" w:rsidRPr="00972C81" w:rsidRDefault="00803EF0" w:rsidP="001A483B">
            <w:pPr>
              <w:pStyle w:val="Table"/>
              <w:rPr>
                <w:noProof/>
              </w:rPr>
            </w:pPr>
            <w:r w:rsidRPr="00972C81">
              <w:rPr>
                <w:noProof/>
              </w:rPr>
              <w:t>1 y</w:t>
            </w:r>
          </w:p>
        </w:tc>
        <w:tc>
          <w:tcPr>
            <w:tcW w:w="622" w:type="pct"/>
            <w:tcBorders>
              <w:top w:val="single" w:sz="4" w:space="0" w:color="auto"/>
              <w:bottom w:val="single" w:sz="4" w:space="0" w:color="auto"/>
            </w:tcBorders>
            <w:vAlign w:val="center"/>
          </w:tcPr>
          <w:p w14:paraId="732C6A05" w14:textId="77777777" w:rsidR="00803EF0" w:rsidRPr="00972C81" w:rsidRDefault="00803EF0" w:rsidP="001A483B">
            <w:pPr>
              <w:pStyle w:val="Table"/>
              <w:rPr>
                <w:noProof/>
              </w:rPr>
            </w:pPr>
            <w:r w:rsidRPr="00972C81">
              <w:rPr>
                <w:noProof/>
              </w:rPr>
              <w:t>5 y</w:t>
            </w:r>
          </w:p>
        </w:tc>
        <w:tc>
          <w:tcPr>
            <w:tcW w:w="718" w:type="pct"/>
            <w:tcBorders>
              <w:top w:val="single" w:sz="4" w:space="0" w:color="auto"/>
              <w:bottom w:val="single" w:sz="4" w:space="0" w:color="auto"/>
            </w:tcBorders>
            <w:vAlign w:val="center"/>
          </w:tcPr>
          <w:p w14:paraId="09EC33DC" w14:textId="77777777" w:rsidR="00803EF0" w:rsidRPr="00972C81" w:rsidRDefault="00803EF0" w:rsidP="001A483B">
            <w:pPr>
              <w:pStyle w:val="Table"/>
              <w:rPr>
                <w:noProof/>
              </w:rPr>
            </w:pPr>
            <w:r w:rsidRPr="00972C81">
              <w:rPr>
                <w:noProof/>
              </w:rPr>
              <w:t>10 y</w:t>
            </w:r>
          </w:p>
        </w:tc>
        <w:tc>
          <w:tcPr>
            <w:tcW w:w="622" w:type="pct"/>
            <w:tcBorders>
              <w:top w:val="single" w:sz="4" w:space="0" w:color="auto"/>
              <w:bottom w:val="single" w:sz="4" w:space="0" w:color="auto"/>
            </w:tcBorders>
            <w:vAlign w:val="center"/>
          </w:tcPr>
          <w:p w14:paraId="458E43EE" w14:textId="77777777" w:rsidR="00803EF0" w:rsidRPr="00972C81" w:rsidRDefault="00803EF0" w:rsidP="001A483B">
            <w:pPr>
              <w:pStyle w:val="Table"/>
              <w:rPr>
                <w:noProof/>
              </w:rPr>
            </w:pPr>
            <w:r w:rsidRPr="00972C81">
              <w:rPr>
                <w:noProof/>
              </w:rPr>
              <w:t>15 y</w:t>
            </w:r>
          </w:p>
        </w:tc>
        <w:tc>
          <w:tcPr>
            <w:tcW w:w="678" w:type="pct"/>
            <w:tcBorders>
              <w:top w:val="single" w:sz="4" w:space="0" w:color="auto"/>
              <w:bottom w:val="single" w:sz="4" w:space="0" w:color="auto"/>
            </w:tcBorders>
            <w:vAlign w:val="center"/>
          </w:tcPr>
          <w:p w14:paraId="7DD0E676" w14:textId="77777777" w:rsidR="00803EF0" w:rsidRPr="00972C81" w:rsidRDefault="00803EF0" w:rsidP="001A483B">
            <w:pPr>
              <w:pStyle w:val="Table"/>
              <w:rPr>
                <w:noProof/>
              </w:rPr>
            </w:pPr>
            <w:r w:rsidRPr="00972C81">
              <w:rPr>
                <w:noProof/>
              </w:rPr>
              <w:t>Adult</w:t>
            </w:r>
          </w:p>
        </w:tc>
      </w:tr>
      <w:tr w:rsidR="00803EF0" w:rsidRPr="00972C81" w14:paraId="7217176E" w14:textId="77777777" w:rsidTr="006A409D">
        <w:trPr>
          <w:trHeight w:val="340"/>
          <w:jc w:val="center"/>
        </w:trPr>
        <w:tc>
          <w:tcPr>
            <w:tcW w:w="1073" w:type="pct"/>
            <w:tcBorders>
              <w:bottom w:val="single" w:sz="4" w:space="0" w:color="auto"/>
            </w:tcBorders>
          </w:tcPr>
          <w:p w14:paraId="1F27371E" w14:textId="77777777" w:rsidR="00803EF0" w:rsidRPr="00972C81" w:rsidRDefault="00803EF0" w:rsidP="00E81109">
            <w:pPr>
              <w:pStyle w:val="Table"/>
              <w:rPr>
                <w:noProof/>
              </w:rPr>
            </w:pPr>
          </w:p>
        </w:tc>
        <w:tc>
          <w:tcPr>
            <w:tcW w:w="3927" w:type="pct"/>
            <w:gridSpan w:val="6"/>
            <w:tcBorders>
              <w:top w:val="single" w:sz="4" w:space="0" w:color="auto"/>
              <w:bottom w:val="single" w:sz="4" w:space="0" w:color="auto"/>
            </w:tcBorders>
            <w:vAlign w:val="center"/>
          </w:tcPr>
          <w:p w14:paraId="3E7A3A30" w14:textId="77777777" w:rsidR="00803EF0" w:rsidRPr="00972C81" w:rsidRDefault="00803EF0" w:rsidP="001A483B">
            <w:pPr>
              <w:pStyle w:val="Table"/>
              <w:jc w:val="center"/>
              <w:rPr>
                <w:noProof/>
              </w:rPr>
            </w:pPr>
            <w:r w:rsidRPr="00972C81">
              <w:rPr>
                <w:noProof/>
              </w:rPr>
              <w:t>Deposition (% of activity leaving the circulation)</w:t>
            </w:r>
          </w:p>
        </w:tc>
      </w:tr>
      <w:tr w:rsidR="00803EF0" w:rsidRPr="00972C81" w14:paraId="53C720F7" w14:textId="77777777" w:rsidTr="001A483B">
        <w:trPr>
          <w:trHeight w:val="340"/>
          <w:jc w:val="center"/>
        </w:trPr>
        <w:tc>
          <w:tcPr>
            <w:tcW w:w="1073" w:type="pct"/>
            <w:tcBorders>
              <w:top w:val="single" w:sz="4" w:space="0" w:color="auto"/>
            </w:tcBorders>
            <w:vAlign w:val="center"/>
          </w:tcPr>
          <w:p w14:paraId="7AEAC88D" w14:textId="77777777" w:rsidR="00803EF0" w:rsidRPr="00972C81" w:rsidRDefault="00803EF0" w:rsidP="001A483B">
            <w:pPr>
              <w:pStyle w:val="Table"/>
              <w:rPr>
                <w:noProof/>
              </w:rPr>
            </w:pPr>
            <w:r w:rsidRPr="00972C81">
              <w:rPr>
                <w:noProof/>
              </w:rPr>
              <w:t>Liver</w:t>
            </w:r>
          </w:p>
        </w:tc>
        <w:tc>
          <w:tcPr>
            <w:tcW w:w="618" w:type="pct"/>
            <w:tcBorders>
              <w:top w:val="single" w:sz="4" w:space="0" w:color="auto"/>
            </w:tcBorders>
            <w:vAlign w:val="center"/>
          </w:tcPr>
          <w:p w14:paraId="1C1CB127" w14:textId="77777777" w:rsidR="00803EF0" w:rsidRPr="00972C81" w:rsidRDefault="00803EF0" w:rsidP="001A483B">
            <w:pPr>
              <w:pStyle w:val="Table"/>
              <w:rPr>
                <w:noProof/>
              </w:rPr>
            </w:pPr>
            <w:r w:rsidRPr="00972C81">
              <w:rPr>
                <w:noProof/>
              </w:rPr>
              <w:t>10</w:t>
            </w:r>
          </w:p>
        </w:tc>
        <w:tc>
          <w:tcPr>
            <w:tcW w:w="669" w:type="pct"/>
            <w:tcBorders>
              <w:top w:val="single" w:sz="4" w:space="0" w:color="auto"/>
            </w:tcBorders>
            <w:vAlign w:val="center"/>
          </w:tcPr>
          <w:p w14:paraId="13C4D640" w14:textId="77777777" w:rsidR="00803EF0" w:rsidRPr="00972C81" w:rsidRDefault="00803EF0" w:rsidP="001A483B">
            <w:pPr>
              <w:pStyle w:val="Table"/>
              <w:rPr>
                <w:noProof/>
              </w:rPr>
            </w:pPr>
            <w:r w:rsidRPr="00972C81">
              <w:rPr>
                <w:noProof/>
              </w:rPr>
              <w:t>10</w:t>
            </w:r>
          </w:p>
        </w:tc>
        <w:tc>
          <w:tcPr>
            <w:tcW w:w="622" w:type="pct"/>
            <w:tcBorders>
              <w:top w:val="single" w:sz="4" w:space="0" w:color="auto"/>
            </w:tcBorders>
            <w:vAlign w:val="center"/>
          </w:tcPr>
          <w:p w14:paraId="015C07C1" w14:textId="77777777" w:rsidR="00803EF0" w:rsidRPr="00972C81" w:rsidRDefault="00803EF0" w:rsidP="001A483B">
            <w:pPr>
              <w:pStyle w:val="Table"/>
              <w:rPr>
                <w:noProof/>
              </w:rPr>
            </w:pPr>
            <w:r w:rsidRPr="00972C81">
              <w:rPr>
                <w:noProof/>
              </w:rPr>
              <w:t>30</w:t>
            </w:r>
          </w:p>
        </w:tc>
        <w:tc>
          <w:tcPr>
            <w:tcW w:w="718" w:type="pct"/>
            <w:tcBorders>
              <w:top w:val="single" w:sz="4" w:space="0" w:color="auto"/>
            </w:tcBorders>
            <w:vAlign w:val="center"/>
          </w:tcPr>
          <w:p w14:paraId="42A23AEC" w14:textId="77777777" w:rsidR="00803EF0" w:rsidRPr="00972C81" w:rsidRDefault="00803EF0" w:rsidP="001A483B">
            <w:pPr>
              <w:pStyle w:val="Table"/>
              <w:rPr>
                <w:noProof/>
              </w:rPr>
            </w:pPr>
            <w:r w:rsidRPr="00972C81">
              <w:rPr>
                <w:noProof/>
              </w:rPr>
              <w:t>30</w:t>
            </w:r>
          </w:p>
        </w:tc>
        <w:tc>
          <w:tcPr>
            <w:tcW w:w="622" w:type="pct"/>
            <w:tcBorders>
              <w:top w:val="single" w:sz="4" w:space="0" w:color="auto"/>
            </w:tcBorders>
            <w:vAlign w:val="center"/>
          </w:tcPr>
          <w:p w14:paraId="64BB5855" w14:textId="77777777" w:rsidR="00803EF0" w:rsidRPr="00972C81" w:rsidRDefault="00803EF0" w:rsidP="001A483B">
            <w:pPr>
              <w:pStyle w:val="Table"/>
              <w:rPr>
                <w:noProof/>
              </w:rPr>
            </w:pPr>
            <w:r w:rsidRPr="00972C81">
              <w:rPr>
                <w:noProof/>
              </w:rPr>
              <w:t>30</w:t>
            </w:r>
          </w:p>
        </w:tc>
        <w:tc>
          <w:tcPr>
            <w:tcW w:w="678" w:type="pct"/>
            <w:tcBorders>
              <w:top w:val="single" w:sz="4" w:space="0" w:color="auto"/>
            </w:tcBorders>
            <w:vAlign w:val="center"/>
          </w:tcPr>
          <w:p w14:paraId="0238B011" w14:textId="77777777" w:rsidR="00803EF0" w:rsidRPr="00972C81" w:rsidRDefault="00803EF0" w:rsidP="001A483B">
            <w:pPr>
              <w:pStyle w:val="Table"/>
              <w:rPr>
                <w:noProof/>
              </w:rPr>
            </w:pPr>
            <w:r w:rsidRPr="00972C81">
              <w:rPr>
                <w:noProof/>
              </w:rPr>
              <w:t>45</w:t>
            </w:r>
          </w:p>
        </w:tc>
      </w:tr>
      <w:tr w:rsidR="00803EF0" w:rsidRPr="00972C81" w14:paraId="6B56237E" w14:textId="77777777" w:rsidTr="001A483B">
        <w:trPr>
          <w:trHeight w:val="340"/>
          <w:jc w:val="center"/>
        </w:trPr>
        <w:tc>
          <w:tcPr>
            <w:tcW w:w="1073" w:type="pct"/>
            <w:vAlign w:val="center"/>
          </w:tcPr>
          <w:p w14:paraId="194884B1" w14:textId="77777777" w:rsidR="00803EF0" w:rsidRPr="00972C81" w:rsidRDefault="00803EF0" w:rsidP="001A483B">
            <w:pPr>
              <w:pStyle w:val="Table"/>
              <w:rPr>
                <w:noProof/>
              </w:rPr>
            </w:pPr>
            <w:r w:rsidRPr="00972C81">
              <w:rPr>
                <w:noProof/>
              </w:rPr>
              <w:t>Bone</w:t>
            </w:r>
          </w:p>
        </w:tc>
        <w:tc>
          <w:tcPr>
            <w:tcW w:w="618" w:type="pct"/>
            <w:vAlign w:val="center"/>
          </w:tcPr>
          <w:p w14:paraId="0E17466E" w14:textId="77777777" w:rsidR="00803EF0" w:rsidRPr="00972C81" w:rsidRDefault="00803EF0" w:rsidP="001A483B">
            <w:pPr>
              <w:pStyle w:val="Table"/>
              <w:rPr>
                <w:noProof/>
              </w:rPr>
            </w:pPr>
            <w:r w:rsidRPr="00972C81">
              <w:rPr>
                <w:noProof/>
              </w:rPr>
              <w:t>70</w:t>
            </w:r>
          </w:p>
        </w:tc>
        <w:tc>
          <w:tcPr>
            <w:tcW w:w="669" w:type="pct"/>
            <w:vAlign w:val="center"/>
          </w:tcPr>
          <w:p w14:paraId="2DF5B26B" w14:textId="77777777" w:rsidR="00803EF0" w:rsidRPr="00972C81" w:rsidRDefault="00803EF0" w:rsidP="001A483B">
            <w:pPr>
              <w:pStyle w:val="Table"/>
              <w:rPr>
                <w:noProof/>
              </w:rPr>
            </w:pPr>
            <w:r w:rsidRPr="00972C81">
              <w:rPr>
                <w:noProof/>
              </w:rPr>
              <w:t>70</w:t>
            </w:r>
          </w:p>
        </w:tc>
        <w:tc>
          <w:tcPr>
            <w:tcW w:w="622" w:type="pct"/>
            <w:vAlign w:val="center"/>
          </w:tcPr>
          <w:p w14:paraId="45CA7F26" w14:textId="77777777" w:rsidR="00803EF0" w:rsidRPr="00972C81" w:rsidRDefault="00803EF0" w:rsidP="001A483B">
            <w:pPr>
              <w:pStyle w:val="Table"/>
              <w:rPr>
                <w:noProof/>
              </w:rPr>
            </w:pPr>
            <w:r w:rsidRPr="00972C81">
              <w:rPr>
                <w:noProof/>
              </w:rPr>
              <w:t>50</w:t>
            </w:r>
          </w:p>
        </w:tc>
        <w:tc>
          <w:tcPr>
            <w:tcW w:w="718" w:type="pct"/>
            <w:vAlign w:val="center"/>
          </w:tcPr>
          <w:p w14:paraId="047CAB33" w14:textId="77777777" w:rsidR="00803EF0" w:rsidRPr="00972C81" w:rsidRDefault="00803EF0" w:rsidP="001A483B">
            <w:pPr>
              <w:pStyle w:val="Table"/>
              <w:rPr>
                <w:noProof/>
              </w:rPr>
            </w:pPr>
            <w:r w:rsidRPr="00972C81">
              <w:rPr>
                <w:noProof/>
              </w:rPr>
              <w:t>50</w:t>
            </w:r>
          </w:p>
        </w:tc>
        <w:tc>
          <w:tcPr>
            <w:tcW w:w="622" w:type="pct"/>
            <w:vAlign w:val="center"/>
          </w:tcPr>
          <w:p w14:paraId="3DC08790" w14:textId="77777777" w:rsidR="00803EF0" w:rsidRPr="00972C81" w:rsidRDefault="00803EF0" w:rsidP="001A483B">
            <w:pPr>
              <w:pStyle w:val="Table"/>
              <w:rPr>
                <w:noProof/>
              </w:rPr>
            </w:pPr>
            <w:r w:rsidRPr="00972C81">
              <w:rPr>
                <w:noProof/>
              </w:rPr>
              <w:t>50</w:t>
            </w:r>
          </w:p>
        </w:tc>
        <w:tc>
          <w:tcPr>
            <w:tcW w:w="678" w:type="pct"/>
            <w:vAlign w:val="center"/>
          </w:tcPr>
          <w:p w14:paraId="1E1D7675" w14:textId="77777777" w:rsidR="00803EF0" w:rsidRPr="00972C81" w:rsidRDefault="00803EF0" w:rsidP="001A483B">
            <w:pPr>
              <w:pStyle w:val="Table"/>
              <w:rPr>
                <w:noProof/>
              </w:rPr>
            </w:pPr>
            <w:r w:rsidRPr="00972C81">
              <w:rPr>
                <w:noProof/>
              </w:rPr>
              <w:t>35</w:t>
            </w:r>
          </w:p>
        </w:tc>
      </w:tr>
      <w:tr w:rsidR="00803EF0" w:rsidRPr="00972C81" w14:paraId="138AA3C3" w14:textId="77777777" w:rsidTr="001A483B">
        <w:trPr>
          <w:trHeight w:val="340"/>
          <w:jc w:val="center"/>
        </w:trPr>
        <w:tc>
          <w:tcPr>
            <w:tcW w:w="1073" w:type="pct"/>
            <w:vAlign w:val="center"/>
          </w:tcPr>
          <w:p w14:paraId="629C936E" w14:textId="77777777" w:rsidR="00803EF0" w:rsidRPr="00972C81" w:rsidRDefault="00803EF0" w:rsidP="001A483B">
            <w:pPr>
              <w:pStyle w:val="Table"/>
              <w:rPr>
                <w:noProof/>
              </w:rPr>
            </w:pPr>
            <w:r w:rsidRPr="00972C81">
              <w:rPr>
                <w:noProof/>
              </w:rPr>
              <w:t>ST1</w:t>
            </w:r>
          </w:p>
        </w:tc>
        <w:tc>
          <w:tcPr>
            <w:tcW w:w="618" w:type="pct"/>
            <w:vAlign w:val="center"/>
          </w:tcPr>
          <w:p w14:paraId="2BD0CA24" w14:textId="77777777" w:rsidR="00803EF0" w:rsidRPr="00972C81" w:rsidRDefault="00803EF0" w:rsidP="001A483B">
            <w:pPr>
              <w:pStyle w:val="Table"/>
              <w:rPr>
                <w:noProof/>
              </w:rPr>
            </w:pPr>
            <w:r w:rsidRPr="00972C81">
              <w:rPr>
                <w:noProof/>
              </w:rPr>
              <w:t>7.95</w:t>
            </w:r>
          </w:p>
        </w:tc>
        <w:tc>
          <w:tcPr>
            <w:tcW w:w="669" w:type="pct"/>
            <w:vAlign w:val="center"/>
          </w:tcPr>
          <w:p w14:paraId="03E77F21" w14:textId="77777777" w:rsidR="00803EF0" w:rsidRPr="00972C81" w:rsidRDefault="00803EF0" w:rsidP="001A483B">
            <w:pPr>
              <w:pStyle w:val="Table"/>
              <w:rPr>
                <w:noProof/>
              </w:rPr>
            </w:pPr>
            <w:r w:rsidRPr="00972C81">
              <w:rPr>
                <w:noProof/>
              </w:rPr>
              <w:t>7.95</w:t>
            </w:r>
          </w:p>
        </w:tc>
        <w:tc>
          <w:tcPr>
            <w:tcW w:w="622" w:type="pct"/>
            <w:vAlign w:val="center"/>
          </w:tcPr>
          <w:p w14:paraId="6304C35E" w14:textId="77777777" w:rsidR="00803EF0" w:rsidRPr="00972C81" w:rsidRDefault="00803EF0" w:rsidP="001A483B">
            <w:pPr>
              <w:pStyle w:val="Table"/>
              <w:rPr>
                <w:noProof/>
              </w:rPr>
            </w:pPr>
            <w:r w:rsidRPr="00972C81">
              <w:rPr>
                <w:noProof/>
              </w:rPr>
              <w:t>7.95</w:t>
            </w:r>
          </w:p>
        </w:tc>
        <w:tc>
          <w:tcPr>
            <w:tcW w:w="718" w:type="pct"/>
            <w:vAlign w:val="center"/>
          </w:tcPr>
          <w:p w14:paraId="48C7D7B2" w14:textId="77777777" w:rsidR="00803EF0" w:rsidRPr="00972C81" w:rsidRDefault="00803EF0" w:rsidP="001A483B">
            <w:pPr>
              <w:pStyle w:val="Table"/>
              <w:rPr>
                <w:noProof/>
              </w:rPr>
            </w:pPr>
            <w:r w:rsidRPr="00972C81">
              <w:rPr>
                <w:noProof/>
              </w:rPr>
              <w:t>7.95</w:t>
            </w:r>
          </w:p>
        </w:tc>
        <w:tc>
          <w:tcPr>
            <w:tcW w:w="622" w:type="pct"/>
            <w:vAlign w:val="center"/>
          </w:tcPr>
          <w:p w14:paraId="35AAACBE" w14:textId="77777777" w:rsidR="00803EF0" w:rsidRPr="00972C81" w:rsidRDefault="00803EF0" w:rsidP="001A483B">
            <w:pPr>
              <w:pStyle w:val="Table"/>
              <w:rPr>
                <w:noProof/>
              </w:rPr>
            </w:pPr>
            <w:r w:rsidRPr="00972C81">
              <w:rPr>
                <w:noProof/>
              </w:rPr>
              <w:t>7.95</w:t>
            </w:r>
          </w:p>
        </w:tc>
        <w:tc>
          <w:tcPr>
            <w:tcW w:w="678" w:type="pct"/>
            <w:vAlign w:val="center"/>
          </w:tcPr>
          <w:p w14:paraId="6FB1D022" w14:textId="77777777" w:rsidR="00803EF0" w:rsidRPr="00972C81" w:rsidRDefault="00803EF0" w:rsidP="001A483B">
            <w:pPr>
              <w:pStyle w:val="Table"/>
              <w:rPr>
                <w:noProof/>
              </w:rPr>
            </w:pPr>
            <w:r w:rsidRPr="00972C81">
              <w:rPr>
                <w:noProof/>
              </w:rPr>
              <w:t>7.95</w:t>
            </w:r>
          </w:p>
        </w:tc>
      </w:tr>
      <w:tr w:rsidR="00803EF0" w:rsidRPr="00972C81" w14:paraId="2A2EFDD8" w14:textId="77777777" w:rsidTr="001A483B">
        <w:trPr>
          <w:trHeight w:val="340"/>
          <w:jc w:val="center"/>
        </w:trPr>
        <w:tc>
          <w:tcPr>
            <w:tcW w:w="1073" w:type="pct"/>
            <w:vAlign w:val="center"/>
          </w:tcPr>
          <w:p w14:paraId="48B9299C" w14:textId="77777777" w:rsidR="00803EF0" w:rsidRPr="00972C81" w:rsidRDefault="00803EF0" w:rsidP="001A483B">
            <w:pPr>
              <w:pStyle w:val="Table"/>
              <w:rPr>
                <w:noProof/>
              </w:rPr>
            </w:pPr>
            <w:r w:rsidRPr="00972C81">
              <w:rPr>
                <w:noProof/>
              </w:rPr>
              <w:t>UB content</w:t>
            </w:r>
          </w:p>
        </w:tc>
        <w:tc>
          <w:tcPr>
            <w:tcW w:w="618" w:type="pct"/>
            <w:vAlign w:val="center"/>
          </w:tcPr>
          <w:p w14:paraId="027E213D" w14:textId="77777777" w:rsidR="00803EF0" w:rsidRPr="00972C81" w:rsidRDefault="00803EF0" w:rsidP="001A483B">
            <w:pPr>
              <w:pStyle w:val="Table"/>
              <w:rPr>
                <w:noProof/>
              </w:rPr>
            </w:pPr>
            <w:r w:rsidRPr="00972C81">
              <w:rPr>
                <w:noProof/>
              </w:rPr>
              <w:t>7</w:t>
            </w:r>
          </w:p>
        </w:tc>
        <w:tc>
          <w:tcPr>
            <w:tcW w:w="669" w:type="pct"/>
            <w:vAlign w:val="center"/>
          </w:tcPr>
          <w:p w14:paraId="3BCDD34A" w14:textId="77777777" w:rsidR="00803EF0" w:rsidRPr="00972C81" w:rsidRDefault="00803EF0" w:rsidP="001A483B">
            <w:pPr>
              <w:pStyle w:val="Table"/>
              <w:rPr>
                <w:noProof/>
              </w:rPr>
            </w:pPr>
            <w:r w:rsidRPr="00972C81">
              <w:rPr>
                <w:noProof/>
              </w:rPr>
              <w:t>7</w:t>
            </w:r>
          </w:p>
        </w:tc>
        <w:tc>
          <w:tcPr>
            <w:tcW w:w="622" w:type="pct"/>
            <w:vAlign w:val="center"/>
          </w:tcPr>
          <w:p w14:paraId="622F8537" w14:textId="77777777" w:rsidR="00803EF0" w:rsidRPr="00972C81" w:rsidRDefault="00803EF0" w:rsidP="001A483B">
            <w:pPr>
              <w:pStyle w:val="Table"/>
              <w:rPr>
                <w:noProof/>
              </w:rPr>
            </w:pPr>
            <w:r w:rsidRPr="00972C81">
              <w:rPr>
                <w:noProof/>
              </w:rPr>
              <w:t>7</w:t>
            </w:r>
          </w:p>
        </w:tc>
        <w:tc>
          <w:tcPr>
            <w:tcW w:w="718" w:type="pct"/>
            <w:vAlign w:val="center"/>
          </w:tcPr>
          <w:p w14:paraId="54167CD3" w14:textId="77777777" w:rsidR="00803EF0" w:rsidRPr="00972C81" w:rsidRDefault="00803EF0" w:rsidP="001A483B">
            <w:pPr>
              <w:pStyle w:val="Table"/>
              <w:rPr>
                <w:noProof/>
              </w:rPr>
            </w:pPr>
            <w:r w:rsidRPr="00972C81">
              <w:rPr>
                <w:noProof/>
              </w:rPr>
              <w:t>7</w:t>
            </w:r>
          </w:p>
        </w:tc>
        <w:tc>
          <w:tcPr>
            <w:tcW w:w="622" w:type="pct"/>
            <w:vAlign w:val="center"/>
          </w:tcPr>
          <w:p w14:paraId="7DBF8F6D" w14:textId="77777777" w:rsidR="00803EF0" w:rsidRPr="00972C81" w:rsidRDefault="00803EF0" w:rsidP="001A483B">
            <w:pPr>
              <w:pStyle w:val="Table"/>
              <w:rPr>
                <w:noProof/>
              </w:rPr>
            </w:pPr>
            <w:r w:rsidRPr="00972C81">
              <w:rPr>
                <w:noProof/>
              </w:rPr>
              <w:t>7</w:t>
            </w:r>
          </w:p>
        </w:tc>
        <w:tc>
          <w:tcPr>
            <w:tcW w:w="678" w:type="pct"/>
            <w:vAlign w:val="center"/>
          </w:tcPr>
          <w:p w14:paraId="38EE5491" w14:textId="77777777" w:rsidR="00803EF0" w:rsidRPr="00972C81" w:rsidRDefault="00803EF0" w:rsidP="001A483B">
            <w:pPr>
              <w:pStyle w:val="Table"/>
              <w:rPr>
                <w:noProof/>
              </w:rPr>
            </w:pPr>
            <w:r w:rsidRPr="00972C81">
              <w:rPr>
                <w:noProof/>
              </w:rPr>
              <w:t>7</w:t>
            </w:r>
          </w:p>
        </w:tc>
      </w:tr>
      <w:tr w:rsidR="00803EF0" w:rsidRPr="00972C81" w14:paraId="530D0AE0" w14:textId="77777777" w:rsidTr="001A483B">
        <w:trPr>
          <w:trHeight w:val="340"/>
          <w:jc w:val="center"/>
        </w:trPr>
        <w:tc>
          <w:tcPr>
            <w:tcW w:w="1073" w:type="pct"/>
            <w:tcBorders>
              <w:bottom w:val="single" w:sz="4" w:space="0" w:color="auto"/>
            </w:tcBorders>
            <w:vAlign w:val="center"/>
          </w:tcPr>
          <w:p w14:paraId="67CCFFAA" w14:textId="77777777" w:rsidR="00803EF0" w:rsidRPr="00972C81" w:rsidRDefault="00803EF0" w:rsidP="001A483B">
            <w:pPr>
              <w:pStyle w:val="Table"/>
              <w:rPr>
                <w:noProof/>
              </w:rPr>
            </w:pPr>
            <w:r w:rsidRPr="00972C81">
              <w:rPr>
                <w:noProof/>
              </w:rPr>
              <w:t>RC content</w:t>
            </w:r>
          </w:p>
        </w:tc>
        <w:tc>
          <w:tcPr>
            <w:tcW w:w="618" w:type="pct"/>
            <w:tcBorders>
              <w:bottom w:val="single" w:sz="4" w:space="0" w:color="auto"/>
            </w:tcBorders>
            <w:vAlign w:val="center"/>
          </w:tcPr>
          <w:p w14:paraId="3E78FF70" w14:textId="77777777" w:rsidR="00803EF0" w:rsidRPr="00972C81" w:rsidRDefault="00803EF0" w:rsidP="001A483B">
            <w:pPr>
              <w:pStyle w:val="Table"/>
              <w:rPr>
                <w:noProof/>
              </w:rPr>
            </w:pPr>
            <w:r w:rsidRPr="00972C81">
              <w:rPr>
                <w:noProof/>
              </w:rPr>
              <w:t>1</w:t>
            </w:r>
          </w:p>
        </w:tc>
        <w:tc>
          <w:tcPr>
            <w:tcW w:w="669" w:type="pct"/>
            <w:tcBorders>
              <w:bottom w:val="single" w:sz="4" w:space="0" w:color="auto"/>
            </w:tcBorders>
            <w:vAlign w:val="center"/>
          </w:tcPr>
          <w:p w14:paraId="42EC4DFE" w14:textId="77777777" w:rsidR="00803EF0" w:rsidRPr="00972C81" w:rsidRDefault="00803EF0" w:rsidP="001A483B">
            <w:pPr>
              <w:pStyle w:val="Table"/>
              <w:rPr>
                <w:noProof/>
              </w:rPr>
            </w:pPr>
            <w:r w:rsidRPr="00972C81">
              <w:rPr>
                <w:noProof/>
              </w:rPr>
              <w:t>1</w:t>
            </w:r>
          </w:p>
        </w:tc>
        <w:tc>
          <w:tcPr>
            <w:tcW w:w="622" w:type="pct"/>
            <w:tcBorders>
              <w:bottom w:val="single" w:sz="4" w:space="0" w:color="auto"/>
            </w:tcBorders>
            <w:vAlign w:val="center"/>
          </w:tcPr>
          <w:p w14:paraId="7E78EF19" w14:textId="77777777" w:rsidR="00803EF0" w:rsidRPr="00972C81" w:rsidRDefault="00803EF0" w:rsidP="001A483B">
            <w:pPr>
              <w:pStyle w:val="Table"/>
              <w:rPr>
                <w:noProof/>
              </w:rPr>
            </w:pPr>
            <w:r w:rsidRPr="00972C81">
              <w:rPr>
                <w:noProof/>
              </w:rPr>
              <w:t>1</w:t>
            </w:r>
          </w:p>
        </w:tc>
        <w:tc>
          <w:tcPr>
            <w:tcW w:w="718" w:type="pct"/>
            <w:tcBorders>
              <w:bottom w:val="single" w:sz="4" w:space="0" w:color="auto"/>
            </w:tcBorders>
            <w:vAlign w:val="center"/>
          </w:tcPr>
          <w:p w14:paraId="00798C85" w14:textId="77777777" w:rsidR="00803EF0" w:rsidRPr="00972C81" w:rsidRDefault="00803EF0" w:rsidP="001A483B">
            <w:pPr>
              <w:pStyle w:val="Table"/>
              <w:rPr>
                <w:noProof/>
              </w:rPr>
            </w:pPr>
            <w:r w:rsidRPr="00972C81">
              <w:rPr>
                <w:noProof/>
              </w:rPr>
              <w:t>1</w:t>
            </w:r>
          </w:p>
        </w:tc>
        <w:tc>
          <w:tcPr>
            <w:tcW w:w="622" w:type="pct"/>
            <w:tcBorders>
              <w:bottom w:val="single" w:sz="4" w:space="0" w:color="auto"/>
            </w:tcBorders>
            <w:vAlign w:val="center"/>
          </w:tcPr>
          <w:p w14:paraId="52107626" w14:textId="77777777" w:rsidR="00803EF0" w:rsidRPr="00972C81" w:rsidRDefault="00803EF0" w:rsidP="001A483B">
            <w:pPr>
              <w:pStyle w:val="Table"/>
              <w:rPr>
                <w:noProof/>
              </w:rPr>
            </w:pPr>
            <w:r w:rsidRPr="00972C81">
              <w:rPr>
                <w:noProof/>
              </w:rPr>
              <w:t>1</w:t>
            </w:r>
          </w:p>
        </w:tc>
        <w:tc>
          <w:tcPr>
            <w:tcW w:w="678" w:type="pct"/>
            <w:tcBorders>
              <w:bottom w:val="single" w:sz="4" w:space="0" w:color="auto"/>
            </w:tcBorders>
            <w:vAlign w:val="center"/>
          </w:tcPr>
          <w:p w14:paraId="5C91739C" w14:textId="77777777" w:rsidR="00803EF0" w:rsidRPr="00972C81" w:rsidRDefault="00803EF0" w:rsidP="001A483B">
            <w:pPr>
              <w:pStyle w:val="Table"/>
              <w:rPr>
                <w:noProof/>
              </w:rPr>
            </w:pPr>
            <w:r w:rsidRPr="00972C81">
              <w:rPr>
                <w:noProof/>
              </w:rPr>
              <w:t>1</w:t>
            </w:r>
          </w:p>
        </w:tc>
      </w:tr>
      <w:tr w:rsidR="00803EF0" w:rsidRPr="00972C81" w14:paraId="6B66748A" w14:textId="77777777" w:rsidTr="001A483B">
        <w:trPr>
          <w:trHeight w:val="340"/>
          <w:jc w:val="center"/>
        </w:trPr>
        <w:tc>
          <w:tcPr>
            <w:tcW w:w="1073" w:type="pct"/>
            <w:tcBorders>
              <w:top w:val="single" w:sz="4" w:space="0" w:color="auto"/>
            </w:tcBorders>
          </w:tcPr>
          <w:p w14:paraId="36672019" w14:textId="77777777" w:rsidR="00803EF0" w:rsidRPr="00972C81" w:rsidRDefault="00803EF0" w:rsidP="00E81109">
            <w:pPr>
              <w:pStyle w:val="Table"/>
              <w:rPr>
                <w:noProof/>
              </w:rPr>
            </w:pPr>
          </w:p>
        </w:tc>
        <w:tc>
          <w:tcPr>
            <w:tcW w:w="618" w:type="pct"/>
            <w:tcBorders>
              <w:top w:val="single" w:sz="4" w:space="0" w:color="auto"/>
            </w:tcBorders>
          </w:tcPr>
          <w:p w14:paraId="2D472810" w14:textId="77777777" w:rsidR="00803EF0" w:rsidRPr="00972C81" w:rsidRDefault="00803EF0" w:rsidP="00E81109">
            <w:pPr>
              <w:pStyle w:val="Table"/>
              <w:rPr>
                <w:noProof/>
              </w:rPr>
            </w:pPr>
          </w:p>
        </w:tc>
        <w:tc>
          <w:tcPr>
            <w:tcW w:w="669" w:type="pct"/>
            <w:tcBorders>
              <w:top w:val="single" w:sz="4" w:space="0" w:color="auto"/>
            </w:tcBorders>
          </w:tcPr>
          <w:p w14:paraId="1DD8C482" w14:textId="77777777" w:rsidR="00803EF0" w:rsidRPr="00972C81" w:rsidRDefault="00803EF0" w:rsidP="00E81109">
            <w:pPr>
              <w:pStyle w:val="Table"/>
              <w:rPr>
                <w:noProof/>
              </w:rPr>
            </w:pPr>
          </w:p>
        </w:tc>
        <w:tc>
          <w:tcPr>
            <w:tcW w:w="622" w:type="pct"/>
            <w:tcBorders>
              <w:top w:val="single" w:sz="4" w:space="0" w:color="auto"/>
            </w:tcBorders>
          </w:tcPr>
          <w:p w14:paraId="1FF768C6" w14:textId="77777777" w:rsidR="00803EF0" w:rsidRPr="00972C81" w:rsidRDefault="00803EF0" w:rsidP="00E81109">
            <w:pPr>
              <w:pStyle w:val="Table"/>
              <w:rPr>
                <w:noProof/>
              </w:rPr>
            </w:pPr>
          </w:p>
        </w:tc>
        <w:tc>
          <w:tcPr>
            <w:tcW w:w="718" w:type="pct"/>
            <w:tcBorders>
              <w:top w:val="single" w:sz="4" w:space="0" w:color="auto"/>
            </w:tcBorders>
          </w:tcPr>
          <w:p w14:paraId="717B3A96" w14:textId="77777777" w:rsidR="00803EF0" w:rsidRPr="00972C81" w:rsidRDefault="00803EF0" w:rsidP="00E81109">
            <w:pPr>
              <w:pStyle w:val="Table"/>
              <w:rPr>
                <w:noProof/>
              </w:rPr>
            </w:pPr>
          </w:p>
        </w:tc>
        <w:tc>
          <w:tcPr>
            <w:tcW w:w="622" w:type="pct"/>
            <w:tcBorders>
              <w:top w:val="single" w:sz="4" w:space="0" w:color="auto"/>
            </w:tcBorders>
          </w:tcPr>
          <w:p w14:paraId="1F837159" w14:textId="77777777" w:rsidR="00803EF0" w:rsidRPr="00972C81" w:rsidRDefault="00803EF0" w:rsidP="00E81109">
            <w:pPr>
              <w:pStyle w:val="Table"/>
              <w:rPr>
                <w:noProof/>
              </w:rPr>
            </w:pPr>
          </w:p>
        </w:tc>
        <w:tc>
          <w:tcPr>
            <w:tcW w:w="678" w:type="pct"/>
            <w:tcBorders>
              <w:top w:val="single" w:sz="4" w:space="0" w:color="auto"/>
            </w:tcBorders>
          </w:tcPr>
          <w:p w14:paraId="10A0298B" w14:textId="77777777" w:rsidR="00803EF0" w:rsidRPr="00972C81" w:rsidRDefault="00803EF0" w:rsidP="00E81109">
            <w:pPr>
              <w:pStyle w:val="Table"/>
              <w:rPr>
                <w:noProof/>
              </w:rPr>
            </w:pPr>
          </w:p>
        </w:tc>
      </w:tr>
      <w:tr w:rsidR="00803EF0" w:rsidRPr="00972C81" w14:paraId="3EA968D0" w14:textId="77777777" w:rsidTr="00C47F2F">
        <w:trPr>
          <w:trHeight w:val="340"/>
          <w:jc w:val="center"/>
        </w:trPr>
        <w:tc>
          <w:tcPr>
            <w:tcW w:w="1073" w:type="pct"/>
            <w:tcBorders>
              <w:bottom w:val="single" w:sz="4" w:space="0" w:color="auto"/>
            </w:tcBorders>
          </w:tcPr>
          <w:p w14:paraId="5491B111" w14:textId="77777777" w:rsidR="00803EF0" w:rsidRPr="00972C81" w:rsidRDefault="00803EF0" w:rsidP="00E81109">
            <w:pPr>
              <w:pStyle w:val="Table"/>
              <w:rPr>
                <w:noProof/>
              </w:rPr>
            </w:pPr>
          </w:p>
        </w:tc>
        <w:tc>
          <w:tcPr>
            <w:tcW w:w="3927" w:type="pct"/>
            <w:gridSpan w:val="6"/>
            <w:tcBorders>
              <w:bottom w:val="single" w:sz="4" w:space="0" w:color="auto"/>
            </w:tcBorders>
          </w:tcPr>
          <w:p w14:paraId="7442B868" w14:textId="77777777" w:rsidR="00803EF0" w:rsidRPr="00972C81" w:rsidRDefault="00803EF0" w:rsidP="00C47F2F">
            <w:pPr>
              <w:pStyle w:val="Table"/>
              <w:jc w:val="center"/>
              <w:rPr>
                <w:noProof/>
              </w:rPr>
            </w:pPr>
            <w:r w:rsidRPr="00972C81">
              <w:rPr>
                <w:noProof/>
              </w:rPr>
              <w:t>Removal half-time</w:t>
            </w:r>
          </w:p>
        </w:tc>
      </w:tr>
      <w:tr w:rsidR="00803EF0" w:rsidRPr="00972C81" w14:paraId="1A301E1E" w14:textId="77777777" w:rsidTr="001A483B">
        <w:trPr>
          <w:trHeight w:val="340"/>
          <w:jc w:val="center"/>
        </w:trPr>
        <w:tc>
          <w:tcPr>
            <w:tcW w:w="1073" w:type="pct"/>
            <w:tcBorders>
              <w:top w:val="single" w:sz="4" w:space="0" w:color="auto"/>
            </w:tcBorders>
            <w:vAlign w:val="center"/>
          </w:tcPr>
          <w:p w14:paraId="0426D725" w14:textId="77777777" w:rsidR="00803EF0" w:rsidRPr="00972C81" w:rsidRDefault="00803EF0" w:rsidP="001A483B">
            <w:pPr>
              <w:pStyle w:val="Table"/>
              <w:rPr>
                <w:noProof/>
              </w:rPr>
            </w:pPr>
            <w:r w:rsidRPr="00972C81">
              <w:rPr>
                <w:noProof/>
              </w:rPr>
              <w:t>ST1 to Blood</w:t>
            </w:r>
          </w:p>
        </w:tc>
        <w:tc>
          <w:tcPr>
            <w:tcW w:w="618" w:type="pct"/>
            <w:tcBorders>
              <w:top w:val="single" w:sz="4" w:space="0" w:color="auto"/>
            </w:tcBorders>
            <w:vAlign w:val="center"/>
          </w:tcPr>
          <w:p w14:paraId="61186947" w14:textId="77777777" w:rsidR="00803EF0" w:rsidRPr="00972C81" w:rsidRDefault="00803EF0" w:rsidP="001A483B">
            <w:pPr>
              <w:pStyle w:val="Table"/>
              <w:rPr>
                <w:noProof/>
              </w:rPr>
            </w:pPr>
            <w:r w:rsidRPr="00972C81">
              <w:rPr>
                <w:noProof/>
              </w:rPr>
              <w:t>1 y</w:t>
            </w:r>
          </w:p>
        </w:tc>
        <w:tc>
          <w:tcPr>
            <w:tcW w:w="669" w:type="pct"/>
            <w:tcBorders>
              <w:top w:val="single" w:sz="4" w:space="0" w:color="auto"/>
            </w:tcBorders>
            <w:vAlign w:val="center"/>
          </w:tcPr>
          <w:p w14:paraId="008BA389" w14:textId="77777777" w:rsidR="00803EF0" w:rsidRPr="00972C81" w:rsidRDefault="00803EF0" w:rsidP="001A483B">
            <w:pPr>
              <w:pStyle w:val="Table"/>
              <w:rPr>
                <w:noProof/>
              </w:rPr>
            </w:pPr>
            <w:r w:rsidRPr="00972C81">
              <w:rPr>
                <w:noProof/>
              </w:rPr>
              <w:t>1 y</w:t>
            </w:r>
          </w:p>
        </w:tc>
        <w:tc>
          <w:tcPr>
            <w:tcW w:w="622" w:type="pct"/>
            <w:tcBorders>
              <w:top w:val="single" w:sz="4" w:space="0" w:color="auto"/>
            </w:tcBorders>
            <w:vAlign w:val="center"/>
          </w:tcPr>
          <w:p w14:paraId="080D70FA" w14:textId="77777777" w:rsidR="00803EF0" w:rsidRPr="00972C81" w:rsidRDefault="00803EF0" w:rsidP="001A483B">
            <w:pPr>
              <w:pStyle w:val="Table"/>
              <w:rPr>
                <w:noProof/>
              </w:rPr>
            </w:pPr>
            <w:r w:rsidRPr="00972C81">
              <w:rPr>
                <w:noProof/>
              </w:rPr>
              <w:t>1 y</w:t>
            </w:r>
          </w:p>
        </w:tc>
        <w:tc>
          <w:tcPr>
            <w:tcW w:w="718" w:type="pct"/>
            <w:tcBorders>
              <w:top w:val="single" w:sz="4" w:space="0" w:color="auto"/>
            </w:tcBorders>
            <w:vAlign w:val="center"/>
          </w:tcPr>
          <w:p w14:paraId="06B3CEC3" w14:textId="77777777" w:rsidR="00803EF0" w:rsidRPr="00972C81" w:rsidRDefault="00803EF0" w:rsidP="001A483B">
            <w:pPr>
              <w:pStyle w:val="Table"/>
              <w:rPr>
                <w:noProof/>
              </w:rPr>
            </w:pPr>
            <w:r w:rsidRPr="00972C81">
              <w:rPr>
                <w:noProof/>
              </w:rPr>
              <w:t>1 y</w:t>
            </w:r>
          </w:p>
        </w:tc>
        <w:tc>
          <w:tcPr>
            <w:tcW w:w="622" w:type="pct"/>
            <w:tcBorders>
              <w:top w:val="single" w:sz="4" w:space="0" w:color="auto"/>
            </w:tcBorders>
            <w:vAlign w:val="center"/>
          </w:tcPr>
          <w:p w14:paraId="3B0FC6B3" w14:textId="77777777" w:rsidR="00803EF0" w:rsidRPr="00972C81" w:rsidRDefault="00803EF0" w:rsidP="001A483B">
            <w:pPr>
              <w:pStyle w:val="Table"/>
              <w:rPr>
                <w:noProof/>
              </w:rPr>
            </w:pPr>
            <w:r w:rsidRPr="00972C81">
              <w:rPr>
                <w:noProof/>
              </w:rPr>
              <w:t>1 y</w:t>
            </w:r>
          </w:p>
        </w:tc>
        <w:tc>
          <w:tcPr>
            <w:tcW w:w="678" w:type="pct"/>
            <w:tcBorders>
              <w:top w:val="single" w:sz="4" w:space="0" w:color="auto"/>
            </w:tcBorders>
            <w:vAlign w:val="center"/>
          </w:tcPr>
          <w:p w14:paraId="67469788" w14:textId="77777777" w:rsidR="00803EF0" w:rsidRPr="00972C81" w:rsidRDefault="00803EF0" w:rsidP="001A483B">
            <w:pPr>
              <w:pStyle w:val="Table"/>
              <w:rPr>
                <w:noProof/>
              </w:rPr>
            </w:pPr>
            <w:r w:rsidRPr="00972C81">
              <w:rPr>
                <w:noProof/>
              </w:rPr>
              <w:t>1 y</w:t>
            </w:r>
          </w:p>
        </w:tc>
      </w:tr>
      <w:tr w:rsidR="00803EF0" w:rsidRPr="00972C81" w14:paraId="5AB0022F" w14:textId="77777777" w:rsidTr="001A483B">
        <w:trPr>
          <w:trHeight w:val="340"/>
          <w:jc w:val="center"/>
        </w:trPr>
        <w:tc>
          <w:tcPr>
            <w:tcW w:w="1073" w:type="pct"/>
            <w:tcBorders>
              <w:bottom w:val="single" w:sz="4" w:space="0" w:color="auto"/>
            </w:tcBorders>
            <w:vAlign w:val="center"/>
          </w:tcPr>
          <w:p w14:paraId="430012FB" w14:textId="77777777" w:rsidR="00803EF0" w:rsidRPr="00972C81" w:rsidRDefault="00803EF0" w:rsidP="001A483B">
            <w:pPr>
              <w:pStyle w:val="Table"/>
              <w:rPr>
                <w:noProof/>
              </w:rPr>
            </w:pPr>
            <w:r w:rsidRPr="00972C81">
              <w:rPr>
                <w:noProof/>
              </w:rPr>
              <w:t>Liver 2 to Blood</w:t>
            </w:r>
          </w:p>
        </w:tc>
        <w:tc>
          <w:tcPr>
            <w:tcW w:w="618" w:type="pct"/>
            <w:tcBorders>
              <w:bottom w:val="single" w:sz="4" w:space="0" w:color="auto"/>
            </w:tcBorders>
            <w:vAlign w:val="center"/>
          </w:tcPr>
          <w:p w14:paraId="74E4F5DB" w14:textId="77777777" w:rsidR="00803EF0" w:rsidRPr="00972C81" w:rsidRDefault="00803EF0" w:rsidP="001A483B">
            <w:pPr>
              <w:pStyle w:val="Table"/>
              <w:rPr>
                <w:noProof/>
              </w:rPr>
            </w:pPr>
            <w:r w:rsidRPr="00972C81">
              <w:rPr>
                <w:noProof/>
              </w:rPr>
              <w:t>2 y</w:t>
            </w:r>
          </w:p>
        </w:tc>
        <w:tc>
          <w:tcPr>
            <w:tcW w:w="669" w:type="pct"/>
            <w:tcBorders>
              <w:bottom w:val="single" w:sz="4" w:space="0" w:color="auto"/>
            </w:tcBorders>
            <w:vAlign w:val="center"/>
          </w:tcPr>
          <w:p w14:paraId="0EB8C820" w14:textId="77777777" w:rsidR="00803EF0" w:rsidRPr="00972C81" w:rsidRDefault="00803EF0" w:rsidP="001A483B">
            <w:pPr>
              <w:pStyle w:val="Table"/>
              <w:rPr>
                <w:noProof/>
              </w:rPr>
            </w:pPr>
            <w:r w:rsidRPr="00972C81">
              <w:rPr>
                <w:noProof/>
              </w:rPr>
              <w:t>2 y</w:t>
            </w:r>
          </w:p>
        </w:tc>
        <w:tc>
          <w:tcPr>
            <w:tcW w:w="622" w:type="pct"/>
            <w:tcBorders>
              <w:bottom w:val="single" w:sz="4" w:space="0" w:color="auto"/>
            </w:tcBorders>
            <w:vAlign w:val="center"/>
          </w:tcPr>
          <w:p w14:paraId="61E226F3" w14:textId="77777777" w:rsidR="00803EF0" w:rsidRPr="00972C81" w:rsidRDefault="00803EF0" w:rsidP="001A483B">
            <w:pPr>
              <w:pStyle w:val="Table"/>
              <w:rPr>
                <w:noProof/>
              </w:rPr>
            </w:pPr>
            <w:r w:rsidRPr="00972C81">
              <w:rPr>
                <w:noProof/>
              </w:rPr>
              <w:t>2 y</w:t>
            </w:r>
          </w:p>
        </w:tc>
        <w:tc>
          <w:tcPr>
            <w:tcW w:w="718" w:type="pct"/>
            <w:tcBorders>
              <w:bottom w:val="single" w:sz="4" w:space="0" w:color="auto"/>
            </w:tcBorders>
            <w:vAlign w:val="center"/>
          </w:tcPr>
          <w:p w14:paraId="3BFD2260" w14:textId="77777777" w:rsidR="00803EF0" w:rsidRPr="00972C81" w:rsidRDefault="00803EF0" w:rsidP="001A483B">
            <w:pPr>
              <w:pStyle w:val="Table"/>
              <w:rPr>
                <w:noProof/>
              </w:rPr>
            </w:pPr>
            <w:r w:rsidRPr="00972C81">
              <w:rPr>
                <w:noProof/>
              </w:rPr>
              <w:t>2 y</w:t>
            </w:r>
          </w:p>
        </w:tc>
        <w:tc>
          <w:tcPr>
            <w:tcW w:w="622" w:type="pct"/>
            <w:tcBorders>
              <w:bottom w:val="single" w:sz="4" w:space="0" w:color="auto"/>
            </w:tcBorders>
            <w:vAlign w:val="center"/>
          </w:tcPr>
          <w:p w14:paraId="791C9E81" w14:textId="77777777" w:rsidR="00803EF0" w:rsidRPr="00972C81" w:rsidRDefault="00803EF0" w:rsidP="001A483B">
            <w:pPr>
              <w:pStyle w:val="Table"/>
              <w:rPr>
                <w:noProof/>
              </w:rPr>
            </w:pPr>
            <w:r w:rsidRPr="00972C81">
              <w:rPr>
                <w:noProof/>
              </w:rPr>
              <w:t>2 y</w:t>
            </w:r>
          </w:p>
        </w:tc>
        <w:tc>
          <w:tcPr>
            <w:tcW w:w="678" w:type="pct"/>
            <w:tcBorders>
              <w:bottom w:val="single" w:sz="4" w:space="0" w:color="auto"/>
            </w:tcBorders>
            <w:vAlign w:val="center"/>
          </w:tcPr>
          <w:p w14:paraId="59F9AEB3" w14:textId="77777777" w:rsidR="00803EF0" w:rsidRPr="00972C81" w:rsidRDefault="00803EF0" w:rsidP="001A483B">
            <w:pPr>
              <w:pStyle w:val="Table"/>
              <w:rPr>
                <w:noProof/>
              </w:rPr>
            </w:pPr>
            <w:r w:rsidRPr="00972C81">
              <w:rPr>
                <w:noProof/>
              </w:rPr>
              <w:t>2 y</w:t>
            </w:r>
          </w:p>
        </w:tc>
      </w:tr>
    </w:tbl>
    <w:p w14:paraId="03F48A94" w14:textId="77777777" w:rsidR="00803EF0" w:rsidRPr="00972C81" w:rsidRDefault="00803EF0" w:rsidP="00134489">
      <w:pPr>
        <w:rPr>
          <w:rFonts w:eastAsia="MS Mincho"/>
          <w:noProof/>
        </w:rPr>
      </w:pPr>
    </w:p>
    <w:p w14:paraId="7A23DB91" w14:textId="77777777" w:rsidR="00803EF0" w:rsidRPr="00972C81" w:rsidRDefault="00803EF0" w:rsidP="001C4A92">
      <w:pPr>
        <w:pStyle w:val="Annalstext"/>
        <w:rPr>
          <w:rFonts w:eastAsia="MS Mincho"/>
          <w:noProof/>
        </w:rPr>
      </w:pPr>
      <w:r w:rsidRPr="00972C81">
        <w:rPr>
          <w:noProof/>
        </w:rPr>
        <w:t>The behaviour of the promethium group in bone is assumed to follow the generic skeletal model for bone-surface-seeking radionuclides. That is, a</w:t>
      </w:r>
      <w:r w:rsidRPr="00972C81">
        <w:rPr>
          <w:rFonts w:eastAsia="MS Mincho"/>
          <w:noProof/>
        </w:rPr>
        <w:t xml:space="preserve">ctivity deposited on bone surface is transferred to bone marrow and bone volume at reference rates based on the age-specific rate of bone turnover. Activity in bone volume is transferred to bone marrow at the rate of bone turnover. Activity is lost from bone marrow to blood with a half-time of 0.25 y and is subsequently redistributed to tissues and excretion pathways based on age-specific deposition fractions. </w:t>
      </w:r>
    </w:p>
    <w:p w14:paraId="4C5EBD73" w14:textId="4CFE9A6E" w:rsidR="00B0539B" w:rsidRPr="00972C81" w:rsidRDefault="009F14C1" w:rsidP="001C4A92">
      <w:pPr>
        <w:pStyle w:val="Annalstext"/>
        <w:rPr>
          <w:rFonts w:eastAsia="Calibri"/>
          <w:noProof/>
        </w:rPr>
      </w:pPr>
      <w:r w:rsidRPr="00972C81">
        <w:rPr>
          <w:rFonts w:eastAsia="Calibri"/>
          <w:noProof/>
        </w:rPr>
        <w:fldChar w:fldCharType="begin"/>
      </w:r>
      <w:r w:rsidRPr="00972C81">
        <w:rPr>
          <w:rFonts w:eastAsia="Calibri"/>
          <w:noProof/>
        </w:rPr>
        <w:instrText xml:space="preserve"> REF _Ref142303963 \h </w:instrText>
      </w:r>
      <w:r w:rsidRPr="00972C81">
        <w:rPr>
          <w:rFonts w:eastAsia="Calibri"/>
          <w:noProof/>
        </w:rPr>
      </w:r>
      <w:r w:rsidRPr="00972C81">
        <w:rPr>
          <w:rFonts w:eastAsia="Calibri"/>
          <w:noProof/>
        </w:rPr>
        <w:fldChar w:fldCharType="separate"/>
      </w:r>
      <w:r w:rsidR="00A41AD1" w:rsidRPr="00972C81">
        <w:rPr>
          <w:noProof/>
        </w:rPr>
        <w:t xml:space="preserve">Table </w:t>
      </w:r>
      <w:r w:rsidR="00A41AD1">
        <w:rPr>
          <w:noProof/>
        </w:rPr>
        <w:t>6</w:t>
      </w:r>
      <w:r w:rsidR="00A41AD1" w:rsidRPr="00972C81">
        <w:rPr>
          <w:noProof/>
        </w:rPr>
        <w:t>.</w:t>
      </w:r>
      <w:r w:rsidR="00A41AD1">
        <w:rPr>
          <w:noProof/>
        </w:rPr>
        <w:t>2</w:t>
      </w:r>
      <w:r w:rsidRPr="00972C81">
        <w:rPr>
          <w:rFonts w:eastAsia="Calibri"/>
          <w:noProof/>
        </w:rPr>
        <w:fldChar w:fldCharType="end"/>
      </w:r>
      <w:r w:rsidR="00803EF0" w:rsidRPr="00972C81">
        <w:rPr>
          <w:rFonts w:eastAsia="Calibri"/>
          <w:noProof/>
        </w:rPr>
        <w:t xml:space="preserve">. lists the full set of transfer coefficients in the age-specific model for the </w:t>
      </w:r>
      <w:r w:rsidR="00FB3F13" w:rsidRPr="00972C81">
        <w:rPr>
          <w:rFonts w:eastAsia="Calibri"/>
          <w:noProof/>
        </w:rPr>
        <w:t xml:space="preserve">promethium </w:t>
      </w:r>
      <w:r w:rsidR="00803EF0" w:rsidRPr="00972C81">
        <w:rPr>
          <w:rFonts w:eastAsia="Calibri"/>
          <w:noProof/>
        </w:rPr>
        <w:t>group.</w:t>
      </w:r>
      <w:r w:rsidR="00B0539B" w:rsidRPr="00972C81">
        <w:rPr>
          <w:noProof/>
        </w:rPr>
        <w:t xml:space="preserve"> </w:t>
      </w:r>
    </w:p>
    <w:p w14:paraId="57AB8230" w14:textId="77777777" w:rsidR="00B0539B" w:rsidRPr="00972C81" w:rsidRDefault="00B0539B" w:rsidP="001C4A92">
      <w:pPr>
        <w:pStyle w:val="Annalstext"/>
        <w:numPr>
          <w:ilvl w:val="0"/>
          <w:numId w:val="0"/>
        </w:numPr>
        <w:ind w:left="142"/>
        <w:rPr>
          <w:rFonts w:eastAsia="Calibri"/>
          <w:noProof/>
        </w:rPr>
      </w:pPr>
    </w:p>
    <w:p w14:paraId="28E5595A" w14:textId="77777777" w:rsidR="001A483B" w:rsidRDefault="001A483B">
      <w:pPr>
        <w:widowControl/>
        <w:jc w:val="left"/>
        <w:rPr>
          <w:noProof/>
          <w:sz w:val="22"/>
          <w:szCs w:val="22"/>
        </w:rPr>
      </w:pPr>
      <w:bookmarkStart w:id="111" w:name="_Ref142303963"/>
      <w:r>
        <w:rPr>
          <w:noProof/>
        </w:rPr>
        <w:br w:type="page"/>
      </w:r>
    </w:p>
    <w:p w14:paraId="5FBA2B74" w14:textId="3CCD3E8C" w:rsidR="00803EF0" w:rsidRPr="001A483B" w:rsidRDefault="009F14C1" w:rsidP="009F14C1">
      <w:pPr>
        <w:pStyle w:val="ab"/>
        <w:rPr>
          <w:noProof/>
          <w:sz w:val="24"/>
          <w:szCs w:val="24"/>
        </w:rPr>
      </w:pPr>
      <w:r w:rsidRPr="001A483B">
        <w:rPr>
          <w:noProof/>
          <w:sz w:val="24"/>
          <w:szCs w:val="24"/>
        </w:rPr>
        <w:lastRenderedPageBreak/>
        <w:t xml:space="preserve">Table </w:t>
      </w:r>
      <w:r w:rsidR="00EA3750" w:rsidRPr="001A483B">
        <w:rPr>
          <w:noProof/>
          <w:sz w:val="24"/>
          <w:szCs w:val="24"/>
        </w:rPr>
        <w:fldChar w:fldCharType="begin"/>
      </w:r>
      <w:r w:rsidR="00EA3750" w:rsidRPr="001A483B">
        <w:rPr>
          <w:noProof/>
          <w:sz w:val="24"/>
          <w:szCs w:val="24"/>
        </w:rPr>
        <w:instrText xml:space="preserve"> STYLEREF 1 \s </w:instrText>
      </w:r>
      <w:r w:rsidR="00EA3750" w:rsidRPr="001A483B">
        <w:rPr>
          <w:noProof/>
          <w:sz w:val="24"/>
          <w:szCs w:val="24"/>
        </w:rPr>
        <w:fldChar w:fldCharType="separate"/>
      </w:r>
      <w:r w:rsidR="00A41AD1" w:rsidRPr="001A483B">
        <w:rPr>
          <w:noProof/>
          <w:sz w:val="24"/>
          <w:szCs w:val="24"/>
        </w:rPr>
        <w:t>6</w:t>
      </w:r>
      <w:r w:rsidR="00EA3750" w:rsidRPr="001A483B">
        <w:rPr>
          <w:noProof/>
          <w:sz w:val="24"/>
          <w:szCs w:val="24"/>
        </w:rPr>
        <w:fldChar w:fldCharType="end"/>
      </w:r>
      <w:r w:rsidR="00EA3750" w:rsidRPr="001A483B">
        <w:rPr>
          <w:noProof/>
          <w:sz w:val="24"/>
          <w:szCs w:val="24"/>
        </w:rPr>
        <w:t>.</w:t>
      </w:r>
      <w:r w:rsidR="00EA3750" w:rsidRPr="001A483B">
        <w:rPr>
          <w:noProof/>
          <w:sz w:val="24"/>
          <w:szCs w:val="24"/>
        </w:rPr>
        <w:fldChar w:fldCharType="begin"/>
      </w:r>
      <w:r w:rsidR="00EA3750" w:rsidRPr="001A483B">
        <w:rPr>
          <w:noProof/>
          <w:sz w:val="24"/>
          <w:szCs w:val="24"/>
        </w:rPr>
        <w:instrText xml:space="preserve"> SEQ Table \* ARABIC \s 1 </w:instrText>
      </w:r>
      <w:r w:rsidR="00EA3750" w:rsidRPr="001A483B">
        <w:rPr>
          <w:noProof/>
          <w:sz w:val="24"/>
          <w:szCs w:val="24"/>
        </w:rPr>
        <w:fldChar w:fldCharType="separate"/>
      </w:r>
      <w:r w:rsidR="00A41AD1" w:rsidRPr="001A483B">
        <w:rPr>
          <w:noProof/>
          <w:sz w:val="24"/>
          <w:szCs w:val="24"/>
        </w:rPr>
        <w:t>2</w:t>
      </w:r>
      <w:r w:rsidR="00EA3750" w:rsidRPr="001A483B">
        <w:rPr>
          <w:noProof/>
          <w:sz w:val="24"/>
          <w:szCs w:val="24"/>
        </w:rPr>
        <w:fldChar w:fldCharType="end"/>
      </w:r>
      <w:bookmarkEnd w:id="111"/>
      <w:r w:rsidR="00B0539B" w:rsidRPr="001A483B">
        <w:rPr>
          <w:noProof/>
          <w:sz w:val="24"/>
          <w:szCs w:val="24"/>
        </w:rPr>
        <w:t>. Age-specific transfer coefficients for the promethium group (neodymium, promethium, and samarium)</w:t>
      </w:r>
    </w:p>
    <w:tbl>
      <w:tblPr>
        <w:tblW w:w="5000" w:type="pct"/>
        <w:tblLayout w:type="fixed"/>
        <w:tblLook w:val="04A0" w:firstRow="1" w:lastRow="0" w:firstColumn="1" w:lastColumn="0" w:noHBand="0" w:noVBand="1"/>
      </w:tblPr>
      <w:tblGrid>
        <w:gridCol w:w="2938"/>
        <w:gridCol w:w="1014"/>
        <w:gridCol w:w="1015"/>
        <w:gridCol w:w="1015"/>
        <w:gridCol w:w="1015"/>
        <w:gridCol w:w="1015"/>
        <w:gridCol w:w="1015"/>
      </w:tblGrid>
      <w:tr w:rsidR="00981DA1" w:rsidRPr="00972C81" w14:paraId="562FA929" w14:textId="77777777" w:rsidTr="006A409D">
        <w:trPr>
          <w:trHeight w:val="340"/>
        </w:trPr>
        <w:tc>
          <w:tcPr>
            <w:tcW w:w="2938" w:type="dxa"/>
            <w:vMerge w:val="restart"/>
            <w:tcBorders>
              <w:top w:val="single" w:sz="4" w:space="0" w:color="auto"/>
            </w:tcBorders>
            <w:shd w:val="clear" w:color="auto" w:fill="auto"/>
            <w:noWrap/>
            <w:vAlign w:val="center"/>
          </w:tcPr>
          <w:p w14:paraId="26B6EF0B" w14:textId="000211EC" w:rsidR="00803EF0" w:rsidRPr="009F028D" w:rsidRDefault="00803EF0" w:rsidP="003679B0">
            <w:pPr>
              <w:pStyle w:val="Table"/>
              <w:rPr>
                <w:noProof/>
                <w:szCs w:val="22"/>
              </w:rPr>
            </w:pPr>
            <w:r w:rsidRPr="009F028D">
              <w:rPr>
                <w:noProof/>
                <w:szCs w:val="22"/>
              </w:rPr>
              <w:t>Pathway</w:t>
            </w:r>
            <w:r w:rsidR="00D0532A" w:rsidRPr="00D0532A">
              <w:rPr>
                <w:noProof/>
                <w:szCs w:val="22"/>
                <w:vertAlign w:val="superscript"/>
              </w:rPr>
              <w:t>a</w:t>
            </w:r>
          </w:p>
        </w:tc>
        <w:tc>
          <w:tcPr>
            <w:tcW w:w="6089" w:type="dxa"/>
            <w:gridSpan w:val="6"/>
            <w:tcBorders>
              <w:top w:val="single" w:sz="4" w:space="0" w:color="auto"/>
              <w:bottom w:val="single" w:sz="4" w:space="0" w:color="auto"/>
            </w:tcBorders>
            <w:shd w:val="clear" w:color="auto" w:fill="auto"/>
            <w:noWrap/>
            <w:vAlign w:val="center"/>
          </w:tcPr>
          <w:p w14:paraId="52FD3038" w14:textId="77777777" w:rsidR="00803EF0" w:rsidRPr="009F028D" w:rsidRDefault="00803EF0" w:rsidP="001A483B">
            <w:pPr>
              <w:pStyle w:val="Table"/>
              <w:jc w:val="center"/>
              <w:rPr>
                <w:noProof/>
                <w:szCs w:val="22"/>
              </w:rPr>
            </w:pPr>
            <w:r w:rsidRPr="009F028D">
              <w:rPr>
                <w:noProof/>
                <w:szCs w:val="22"/>
              </w:rPr>
              <w:t>Transfer coefficient (d</w:t>
            </w:r>
            <w:r w:rsidRPr="009F028D">
              <w:rPr>
                <w:noProof/>
                <w:szCs w:val="22"/>
                <w:vertAlign w:val="superscript"/>
              </w:rPr>
              <w:t>-1</w:t>
            </w:r>
            <w:r w:rsidRPr="009F028D">
              <w:rPr>
                <w:noProof/>
                <w:szCs w:val="22"/>
              </w:rPr>
              <w:t>)</w:t>
            </w:r>
          </w:p>
        </w:tc>
      </w:tr>
      <w:tr w:rsidR="00981DA1" w:rsidRPr="00972C81" w14:paraId="3C05D387" w14:textId="77777777" w:rsidTr="006A409D">
        <w:trPr>
          <w:trHeight w:val="340"/>
        </w:trPr>
        <w:tc>
          <w:tcPr>
            <w:tcW w:w="2938" w:type="dxa"/>
            <w:vMerge/>
            <w:tcBorders>
              <w:bottom w:val="single" w:sz="4" w:space="0" w:color="auto"/>
            </w:tcBorders>
            <w:shd w:val="clear" w:color="auto" w:fill="auto"/>
            <w:noWrap/>
            <w:vAlign w:val="bottom"/>
          </w:tcPr>
          <w:p w14:paraId="7D797B68" w14:textId="77777777" w:rsidR="00803EF0" w:rsidRPr="009F028D" w:rsidRDefault="00803EF0" w:rsidP="00E81109">
            <w:pPr>
              <w:pStyle w:val="Table"/>
              <w:rPr>
                <w:noProof/>
                <w:szCs w:val="22"/>
              </w:rPr>
            </w:pPr>
          </w:p>
        </w:tc>
        <w:tc>
          <w:tcPr>
            <w:tcW w:w="1014" w:type="dxa"/>
            <w:tcBorders>
              <w:top w:val="single" w:sz="4" w:space="0" w:color="auto"/>
              <w:bottom w:val="single" w:sz="4" w:space="0" w:color="auto"/>
            </w:tcBorders>
            <w:shd w:val="clear" w:color="auto" w:fill="auto"/>
            <w:noWrap/>
            <w:vAlign w:val="center"/>
          </w:tcPr>
          <w:p w14:paraId="38804C1A" w14:textId="77777777" w:rsidR="00803EF0" w:rsidRPr="009F028D" w:rsidRDefault="00803EF0" w:rsidP="001A483B">
            <w:pPr>
              <w:pStyle w:val="Table"/>
              <w:rPr>
                <w:noProof/>
                <w:szCs w:val="22"/>
              </w:rPr>
            </w:pPr>
            <w:r w:rsidRPr="009F028D">
              <w:rPr>
                <w:noProof/>
                <w:szCs w:val="22"/>
              </w:rPr>
              <w:t>100 d</w:t>
            </w:r>
          </w:p>
        </w:tc>
        <w:tc>
          <w:tcPr>
            <w:tcW w:w="1015" w:type="dxa"/>
            <w:tcBorders>
              <w:top w:val="single" w:sz="4" w:space="0" w:color="auto"/>
              <w:bottom w:val="single" w:sz="4" w:space="0" w:color="auto"/>
            </w:tcBorders>
            <w:shd w:val="clear" w:color="auto" w:fill="auto"/>
            <w:noWrap/>
            <w:vAlign w:val="center"/>
          </w:tcPr>
          <w:p w14:paraId="2CF45CEF" w14:textId="77777777" w:rsidR="00803EF0" w:rsidRPr="009F028D" w:rsidRDefault="00803EF0" w:rsidP="001A483B">
            <w:pPr>
              <w:pStyle w:val="Table"/>
              <w:rPr>
                <w:noProof/>
                <w:szCs w:val="22"/>
              </w:rPr>
            </w:pPr>
            <w:r w:rsidRPr="009F028D">
              <w:rPr>
                <w:noProof/>
                <w:szCs w:val="22"/>
              </w:rPr>
              <w:t>1 y</w:t>
            </w:r>
          </w:p>
        </w:tc>
        <w:tc>
          <w:tcPr>
            <w:tcW w:w="1015" w:type="dxa"/>
            <w:tcBorders>
              <w:top w:val="single" w:sz="4" w:space="0" w:color="auto"/>
              <w:bottom w:val="single" w:sz="4" w:space="0" w:color="auto"/>
            </w:tcBorders>
            <w:shd w:val="clear" w:color="auto" w:fill="auto"/>
            <w:noWrap/>
            <w:vAlign w:val="center"/>
          </w:tcPr>
          <w:p w14:paraId="359E0E59" w14:textId="77777777" w:rsidR="00803EF0" w:rsidRPr="009F028D" w:rsidRDefault="00803EF0" w:rsidP="001A483B">
            <w:pPr>
              <w:pStyle w:val="Table"/>
              <w:rPr>
                <w:noProof/>
                <w:szCs w:val="22"/>
              </w:rPr>
            </w:pPr>
            <w:r w:rsidRPr="009F028D">
              <w:rPr>
                <w:noProof/>
                <w:szCs w:val="22"/>
              </w:rPr>
              <w:t>5 y</w:t>
            </w:r>
          </w:p>
        </w:tc>
        <w:tc>
          <w:tcPr>
            <w:tcW w:w="1015" w:type="dxa"/>
            <w:tcBorders>
              <w:top w:val="single" w:sz="4" w:space="0" w:color="auto"/>
              <w:bottom w:val="single" w:sz="4" w:space="0" w:color="auto"/>
            </w:tcBorders>
            <w:shd w:val="clear" w:color="auto" w:fill="auto"/>
            <w:noWrap/>
            <w:vAlign w:val="center"/>
          </w:tcPr>
          <w:p w14:paraId="0B9937CA" w14:textId="77777777" w:rsidR="00803EF0" w:rsidRPr="009F028D" w:rsidRDefault="00803EF0" w:rsidP="001A483B">
            <w:pPr>
              <w:pStyle w:val="Table"/>
              <w:rPr>
                <w:noProof/>
                <w:szCs w:val="22"/>
              </w:rPr>
            </w:pPr>
            <w:r w:rsidRPr="009F028D">
              <w:rPr>
                <w:noProof/>
                <w:szCs w:val="22"/>
              </w:rPr>
              <w:t>10 y</w:t>
            </w:r>
          </w:p>
        </w:tc>
        <w:tc>
          <w:tcPr>
            <w:tcW w:w="1015" w:type="dxa"/>
            <w:tcBorders>
              <w:top w:val="single" w:sz="4" w:space="0" w:color="auto"/>
              <w:bottom w:val="single" w:sz="4" w:space="0" w:color="auto"/>
            </w:tcBorders>
            <w:shd w:val="clear" w:color="auto" w:fill="auto"/>
            <w:noWrap/>
            <w:vAlign w:val="center"/>
          </w:tcPr>
          <w:p w14:paraId="0FFDF07D" w14:textId="77777777" w:rsidR="00803EF0" w:rsidRPr="009F028D" w:rsidRDefault="00803EF0" w:rsidP="001A483B">
            <w:pPr>
              <w:pStyle w:val="Table"/>
              <w:rPr>
                <w:noProof/>
                <w:szCs w:val="22"/>
              </w:rPr>
            </w:pPr>
            <w:r w:rsidRPr="009F028D">
              <w:rPr>
                <w:noProof/>
                <w:szCs w:val="22"/>
              </w:rPr>
              <w:t>15 y</w:t>
            </w:r>
          </w:p>
        </w:tc>
        <w:tc>
          <w:tcPr>
            <w:tcW w:w="1015" w:type="dxa"/>
            <w:tcBorders>
              <w:top w:val="single" w:sz="4" w:space="0" w:color="auto"/>
              <w:bottom w:val="single" w:sz="4" w:space="0" w:color="auto"/>
            </w:tcBorders>
            <w:shd w:val="clear" w:color="auto" w:fill="auto"/>
            <w:noWrap/>
            <w:vAlign w:val="center"/>
          </w:tcPr>
          <w:p w14:paraId="1BFFB66A" w14:textId="77777777" w:rsidR="00803EF0" w:rsidRPr="009F028D" w:rsidRDefault="00803EF0" w:rsidP="001A483B">
            <w:pPr>
              <w:pStyle w:val="Table"/>
              <w:rPr>
                <w:noProof/>
                <w:szCs w:val="22"/>
              </w:rPr>
            </w:pPr>
            <w:r w:rsidRPr="009F028D">
              <w:rPr>
                <w:noProof/>
                <w:szCs w:val="22"/>
              </w:rPr>
              <w:t>Adult</w:t>
            </w:r>
          </w:p>
        </w:tc>
      </w:tr>
      <w:tr w:rsidR="00BE5A6D" w:rsidRPr="00972C81" w14:paraId="1325F713" w14:textId="77777777" w:rsidTr="001A483B">
        <w:trPr>
          <w:trHeight w:val="340"/>
        </w:trPr>
        <w:tc>
          <w:tcPr>
            <w:tcW w:w="2938" w:type="dxa"/>
            <w:tcBorders>
              <w:top w:val="single" w:sz="4" w:space="0" w:color="auto"/>
            </w:tcBorders>
            <w:shd w:val="clear" w:color="auto" w:fill="auto"/>
            <w:noWrap/>
            <w:vAlign w:val="center"/>
            <w:hideMark/>
          </w:tcPr>
          <w:p w14:paraId="4690C5C6" w14:textId="715332B4" w:rsidR="00BE5A6D" w:rsidRPr="00BE5A6D" w:rsidRDefault="00BE5A6D" w:rsidP="001A483B">
            <w:pPr>
              <w:pStyle w:val="Table"/>
              <w:rPr>
                <w:noProof/>
                <w:sz w:val="20"/>
                <w:szCs w:val="22"/>
              </w:rPr>
            </w:pPr>
            <w:r w:rsidRPr="00BE5A6D">
              <w:rPr>
                <w:noProof/>
                <w:sz w:val="20"/>
                <w:szCs w:val="22"/>
              </w:rPr>
              <w:t>Blood to Liver 1</w:t>
            </w:r>
          </w:p>
        </w:tc>
        <w:tc>
          <w:tcPr>
            <w:tcW w:w="1014" w:type="dxa"/>
            <w:tcBorders>
              <w:top w:val="single" w:sz="4" w:space="0" w:color="auto"/>
            </w:tcBorders>
            <w:shd w:val="clear" w:color="auto" w:fill="auto"/>
            <w:noWrap/>
            <w:vAlign w:val="center"/>
            <w:hideMark/>
          </w:tcPr>
          <w:p w14:paraId="3B000DB4" w14:textId="77777777" w:rsidR="00BE5A6D" w:rsidRPr="00C47F2F" w:rsidRDefault="00BE5A6D" w:rsidP="001A483B">
            <w:pPr>
              <w:pStyle w:val="Table"/>
              <w:rPr>
                <w:noProof/>
                <w:sz w:val="20"/>
                <w:szCs w:val="20"/>
              </w:rPr>
            </w:pPr>
            <w:r w:rsidRPr="00C47F2F">
              <w:rPr>
                <w:noProof/>
                <w:sz w:val="20"/>
                <w:szCs w:val="20"/>
              </w:rPr>
              <w:t>2.33E+00</w:t>
            </w:r>
          </w:p>
        </w:tc>
        <w:tc>
          <w:tcPr>
            <w:tcW w:w="1015" w:type="dxa"/>
            <w:tcBorders>
              <w:top w:val="single" w:sz="4" w:space="0" w:color="auto"/>
            </w:tcBorders>
            <w:shd w:val="clear" w:color="auto" w:fill="auto"/>
            <w:noWrap/>
            <w:vAlign w:val="center"/>
            <w:hideMark/>
          </w:tcPr>
          <w:p w14:paraId="0C1A84E4" w14:textId="77777777" w:rsidR="00BE5A6D" w:rsidRPr="00C47F2F" w:rsidRDefault="00BE5A6D" w:rsidP="001A483B">
            <w:pPr>
              <w:pStyle w:val="Table"/>
              <w:rPr>
                <w:noProof/>
                <w:sz w:val="20"/>
                <w:szCs w:val="20"/>
              </w:rPr>
            </w:pPr>
            <w:r w:rsidRPr="00C47F2F">
              <w:rPr>
                <w:noProof/>
                <w:sz w:val="20"/>
                <w:szCs w:val="20"/>
              </w:rPr>
              <w:t>2.33E+00</w:t>
            </w:r>
          </w:p>
        </w:tc>
        <w:tc>
          <w:tcPr>
            <w:tcW w:w="1015" w:type="dxa"/>
            <w:tcBorders>
              <w:top w:val="single" w:sz="4" w:space="0" w:color="auto"/>
            </w:tcBorders>
            <w:shd w:val="clear" w:color="auto" w:fill="auto"/>
            <w:noWrap/>
            <w:vAlign w:val="center"/>
            <w:hideMark/>
          </w:tcPr>
          <w:p w14:paraId="7068D1C7" w14:textId="77777777" w:rsidR="00BE5A6D" w:rsidRPr="00C47F2F" w:rsidRDefault="00BE5A6D" w:rsidP="001A483B">
            <w:pPr>
              <w:pStyle w:val="Table"/>
              <w:rPr>
                <w:noProof/>
                <w:sz w:val="20"/>
                <w:szCs w:val="20"/>
              </w:rPr>
            </w:pPr>
            <w:r w:rsidRPr="00C47F2F">
              <w:rPr>
                <w:noProof/>
                <w:sz w:val="20"/>
                <w:szCs w:val="20"/>
              </w:rPr>
              <w:t>6.98E+00</w:t>
            </w:r>
          </w:p>
        </w:tc>
        <w:tc>
          <w:tcPr>
            <w:tcW w:w="1015" w:type="dxa"/>
            <w:tcBorders>
              <w:top w:val="single" w:sz="4" w:space="0" w:color="auto"/>
            </w:tcBorders>
            <w:shd w:val="clear" w:color="auto" w:fill="auto"/>
            <w:noWrap/>
            <w:vAlign w:val="center"/>
            <w:hideMark/>
          </w:tcPr>
          <w:p w14:paraId="0044ACEB" w14:textId="77777777" w:rsidR="00BE5A6D" w:rsidRPr="00C47F2F" w:rsidRDefault="00BE5A6D" w:rsidP="001A483B">
            <w:pPr>
              <w:pStyle w:val="Table"/>
              <w:rPr>
                <w:noProof/>
                <w:sz w:val="20"/>
                <w:szCs w:val="20"/>
              </w:rPr>
            </w:pPr>
            <w:r w:rsidRPr="00C47F2F">
              <w:rPr>
                <w:noProof/>
                <w:sz w:val="20"/>
                <w:szCs w:val="20"/>
              </w:rPr>
              <w:t>6.98E+00</w:t>
            </w:r>
          </w:p>
        </w:tc>
        <w:tc>
          <w:tcPr>
            <w:tcW w:w="1015" w:type="dxa"/>
            <w:tcBorders>
              <w:top w:val="single" w:sz="4" w:space="0" w:color="auto"/>
            </w:tcBorders>
            <w:shd w:val="clear" w:color="auto" w:fill="auto"/>
            <w:noWrap/>
            <w:vAlign w:val="center"/>
            <w:hideMark/>
          </w:tcPr>
          <w:p w14:paraId="65AA5CF4" w14:textId="77777777" w:rsidR="00BE5A6D" w:rsidRPr="00C47F2F" w:rsidRDefault="00BE5A6D" w:rsidP="001A483B">
            <w:pPr>
              <w:pStyle w:val="Table"/>
              <w:rPr>
                <w:noProof/>
                <w:sz w:val="20"/>
                <w:szCs w:val="20"/>
              </w:rPr>
            </w:pPr>
            <w:r w:rsidRPr="00C47F2F">
              <w:rPr>
                <w:noProof/>
                <w:sz w:val="20"/>
                <w:szCs w:val="20"/>
              </w:rPr>
              <w:t>6.98E+00</w:t>
            </w:r>
          </w:p>
        </w:tc>
        <w:tc>
          <w:tcPr>
            <w:tcW w:w="1015" w:type="dxa"/>
            <w:tcBorders>
              <w:top w:val="single" w:sz="4" w:space="0" w:color="auto"/>
            </w:tcBorders>
            <w:shd w:val="clear" w:color="auto" w:fill="auto"/>
            <w:noWrap/>
            <w:vAlign w:val="center"/>
            <w:hideMark/>
          </w:tcPr>
          <w:p w14:paraId="53BCF593" w14:textId="77777777" w:rsidR="00BE5A6D" w:rsidRPr="00C47F2F" w:rsidRDefault="00BE5A6D" w:rsidP="001A483B">
            <w:pPr>
              <w:pStyle w:val="Table"/>
              <w:rPr>
                <w:noProof/>
                <w:sz w:val="20"/>
                <w:szCs w:val="20"/>
              </w:rPr>
            </w:pPr>
            <w:r w:rsidRPr="00C47F2F">
              <w:rPr>
                <w:noProof/>
                <w:sz w:val="20"/>
                <w:szCs w:val="20"/>
              </w:rPr>
              <w:t>1.05E+01</w:t>
            </w:r>
          </w:p>
        </w:tc>
      </w:tr>
      <w:tr w:rsidR="00BE5A6D" w:rsidRPr="00972C81" w14:paraId="0E31E937" w14:textId="77777777" w:rsidTr="001A483B">
        <w:trPr>
          <w:trHeight w:val="340"/>
        </w:trPr>
        <w:tc>
          <w:tcPr>
            <w:tcW w:w="2938" w:type="dxa"/>
            <w:shd w:val="clear" w:color="auto" w:fill="auto"/>
            <w:noWrap/>
            <w:vAlign w:val="center"/>
            <w:hideMark/>
          </w:tcPr>
          <w:p w14:paraId="3284523E" w14:textId="184C190A" w:rsidR="00BE5A6D" w:rsidRPr="00BE5A6D" w:rsidRDefault="00BE5A6D" w:rsidP="001A483B">
            <w:pPr>
              <w:pStyle w:val="Table"/>
              <w:rPr>
                <w:noProof/>
                <w:sz w:val="20"/>
                <w:szCs w:val="22"/>
              </w:rPr>
            </w:pPr>
            <w:r w:rsidRPr="00BE5A6D">
              <w:rPr>
                <w:noProof/>
                <w:sz w:val="20"/>
                <w:szCs w:val="22"/>
              </w:rPr>
              <w:t>Blood to  ST0</w:t>
            </w:r>
          </w:p>
        </w:tc>
        <w:tc>
          <w:tcPr>
            <w:tcW w:w="1014" w:type="dxa"/>
            <w:shd w:val="clear" w:color="auto" w:fill="auto"/>
            <w:noWrap/>
            <w:vAlign w:val="center"/>
            <w:hideMark/>
          </w:tcPr>
          <w:p w14:paraId="1953F329" w14:textId="77777777" w:rsidR="00BE5A6D" w:rsidRPr="00C47F2F" w:rsidRDefault="00BE5A6D" w:rsidP="001A483B">
            <w:pPr>
              <w:pStyle w:val="Table"/>
              <w:rPr>
                <w:noProof/>
                <w:sz w:val="20"/>
                <w:szCs w:val="20"/>
              </w:rPr>
            </w:pPr>
            <w:r w:rsidRPr="00C47F2F">
              <w:rPr>
                <w:noProof/>
                <w:sz w:val="20"/>
                <w:szCs w:val="20"/>
              </w:rPr>
              <w:t>9.98E+00</w:t>
            </w:r>
          </w:p>
        </w:tc>
        <w:tc>
          <w:tcPr>
            <w:tcW w:w="1015" w:type="dxa"/>
            <w:shd w:val="clear" w:color="auto" w:fill="auto"/>
            <w:noWrap/>
            <w:vAlign w:val="center"/>
            <w:hideMark/>
          </w:tcPr>
          <w:p w14:paraId="44A42F2E" w14:textId="77777777" w:rsidR="00BE5A6D" w:rsidRPr="00C47F2F" w:rsidRDefault="00BE5A6D" w:rsidP="001A483B">
            <w:pPr>
              <w:pStyle w:val="Table"/>
              <w:rPr>
                <w:noProof/>
                <w:sz w:val="20"/>
                <w:szCs w:val="20"/>
              </w:rPr>
            </w:pPr>
            <w:r w:rsidRPr="00C47F2F">
              <w:rPr>
                <w:noProof/>
                <w:sz w:val="20"/>
                <w:szCs w:val="20"/>
              </w:rPr>
              <w:t>9.98E+00</w:t>
            </w:r>
          </w:p>
        </w:tc>
        <w:tc>
          <w:tcPr>
            <w:tcW w:w="1015" w:type="dxa"/>
            <w:shd w:val="clear" w:color="auto" w:fill="auto"/>
            <w:noWrap/>
            <w:vAlign w:val="center"/>
            <w:hideMark/>
          </w:tcPr>
          <w:p w14:paraId="69B2D5E5" w14:textId="77777777" w:rsidR="00BE5A6D" w:rsidRPr="00C47F2F" w:rsidRDefault="00BE5A6D" w:rsidP="001A483B">
            <w:pPr>
              <w:pStyle w:val="Table"/>
              <w:rPr>
                <w:noProof/>
                <w:sz w:val="20"/>
                <w:szCs w:val="20"/>
              </w:rPr>
            </w:pPr>
            <w:r w:rsidRPr="00C47F2F">
              <w:rPr>
                <w:noProof/>
                <w:sz w:val="20"/>
                <w:szCs w:val="20"/>
              </w:rPr>
              <w:t>9.98E+00</w:t>
            </w:r>
          </w:p>
        </w:tc>
        <w:tc>
          <w:tcPr>
            <w:tcW w:w="1015" w:type="dxa"/>
            <w:shd w:val="clear" w:color="auto" w:fill="auto"/>
            <w:noWrap/>
            <w:vAlign w:val="center"/>
            <w:hideMark/>
          </w:tcPr>
          <w:p w14:paraId="0CC49866" w14:textId="77777777" w:rsidR="00BE5A6D" w:rsidRPr="00C47F2F" w:rsidRDefault="00BE5A6D" w:rsidP="001A483B">
            <w:pPr>
              <w:pStyle w:val="Table"/>
              <w:rPr>
                <w:noProof/>
                <w:sz w:val="20"/>
                <w:szCs w:val="20"/>
              </w:rPr>
            </w:pPr>
            <w:r w:rsidRPr="00C47F2F">
              <w:rPr>
                <w:noProof/>
                <w:sz w:val="20"/>
                <w:szCs w:val="20"/>
              </w:rPr>
              <w:t>9.98E+00</w:t>
            </w:r>
          </w:p>
        </w:tc>
        <w:tc>
          <w:tcPr>
            <w:tcW w:w="1015" w:type="dxa"/>
            <w:shd w:val="clear" w:color="auto" w:fill="auto"/>
            <w:noWrap/>
            <w:vAlign w:val="center"/>
            <w:hideMark/>
          </w:tcPr>
          <w:p w14:paraId="6D172B3D" w14:textId="77777777" w:rsidR="00BE5A6D" w:rsidRPr="00C47F2F" w:rsidRDefault="00BE5A6D" w:rsidP="001A483B">
            <w:pPr>
              <w:pStyle w:val="Table"/>
              <w:rPr>
                <w:noProof/>
                <w:sz w:val="20"/>
                <w:szCs w:val="20"/>
              </w:rPr>
            </w:pPr>
            <w:r w:rsidRPr="00C47F2F">
              <w:rPr>
                <w:noProof/>
                <w:sz w:val="20"/>
                <w:szCs w:val="20"/>
              </w:rPr>
              <w:t>9.98E+00</w:t>
            </w:r>
          </w:p>
        </w:tc>
        <w:tc>
          <w:tcPr>
            <w:tcW w:w="1015" w:type="dxa"/>
            <w:shd w:val="clear" w:color="auto" w:fill="auto"/>
            <w:noWrap/>
            <w:vAlign w:val="center"/>
            <w:hideMark/>
          </w:tcPr>
          <w:p w14:paraId="2CE2A71E" w14:textId="77777777" w:rsidR="00BE5A6D" w:rsidRPr="00C47F2F" w:rsidRDefault="00BE5A6D" w:rsidP="001A483B">
            <w:pPr>
              <w:pStyle w:val="Table"/>
              <w:rPr>
                <w:noProof/>
                <w:sz w:val="20"/>
                <w:szCs w:val="20"/>
              </w:rPr>
            </w:pPr>
            <w:r w:rsidRPr="00C47F2F">
              <w:rPr>
                <w:noProof/>
                <w:sz w:val="20"/>
                <w:szCs w:val="20"/>
              </w:rPr>
              <w:t>9.98E+00</w:t>
            </w:r>
          </w:p>
        </w:tc>
      </w:tr>
      <w:tr w:rsidR="00BE5A6D" w:rsidRPr="00972C81" w14:paraId="0DE5D1DC" w14:textId="77777777" w:rsidTr="001A483B">
        <w:trPr>
          <w:trHeight w:val="340"/>
        </w:trPr>
        <w:tc>
          <w:tcPr>
            <w:tcW w:w="2938" w:type="dxa"/>
            <w:shd w:val="clear" w:color="auto" w:fill="auto"/>
            <w:noWrap/>
            <w:vAlign w:val="center"/>
            <w:hideMark/>
          </w:tcPr>
          <w:p w14:paraId="2BCCA91D" w14:textId="76533112" w:rsidR="00BE5A6D" w:rsidRPr="00BE5A6D" w:rsidRDefault="00BE5A6D" w:rsidP="001A483B">
            <w:pPr>
              <w:pStyle w:val="Table"/>
              <w:rPr>
                <w:noProof/>
                <w:sz w:val="20"/>
                <w:szCs w:val="22"/>
              </w:rPr>
            </w:pPr>
            <w:r w:rsidRPr="00BE5A6D">
              <w:rPr>
                <w:noProof/>
                <w:sz w:val="20"/>
                <w:szCs w:val="22"/>
              </w:rPr>
              <w:t>Blood to  ST1</w:t>
            </w:r>
          </w:p>
        </w:tc>
        <w:tc>
          <w:tcPr>
            <w:tcW w:w="1014" w:type="dxa"/>
            <w:shd w:val="clear" w:color="auto" w:fill="auto"/>
            <w:noWrap/>
            <w:vAlign w:val="center"/>
            <w:hideMark/>
          </w:tcPr>
          <w:p w14:paraId="658097F9" w14:textId="77777777" w:rsidR="00BE5A6D" w:rsidRPr="00C47F2F" w:rsidRDefault="00BE5A6D" w:rsidP="001A483B">
            <w:pPr>
              <w:pStyle w:val="Table"/>
              <w:rPr>
                <w:noProof/>
                <w:sz w:val="20"/>
                <w:szCs w:val="20"/>
              </w:rPr>
            </w:pPr>
            <w:r w:rsidRPr="00C47F2F">
              <w:rPr>
                <w:noProof/>
                <w:sz w:val="20"/>
                <w:szCs w:val="20"/>
              </w:rPr>
              <w:t>1.85E+00</w:t>
            </w:r>
          </w:p>
        </w:tc>
        <w:tc>
          <w:tcPr>
            <w:tcW w:w="1015" w:type="dxa"/>
            <w:shd w:val="clear" w:color="auto" w:fill="auto"/>
            <w:noWrap/>
            <w:vAlign w:val="center"/>
            <w:hideMark/>
          </w:tcPr>
          <w:p w14:paraId="11530E84" w14:textId="77777777" w:rsidR="00BE5A6D" w:rsidRPr="00C47F2F" w:rsidRDefault="00BE5A6D" w:rsidP="001A483B">
            <w:pPr>
              <w:pStyle w:val="Table"/>
              <w:rPr>
                <w:noProof/>
                <w:sz w:val="20"/>
                <w:szCs w:val="20"/>
              </w:rPr>
            </w:pPr>
            <w:r w:rsidRPr="00C47F2F">
              <w:rPr>
                <w:noProof/>
                <w:sz w:val="20"/>
                <w:szCs w:val="20"/>
              </w:rPr>
              <w:t>1.85E+00</w:t>
            </w:r>
          </w:p>
        </w:tc>
        <w:tc>
          <w:tcPr>
            <w:tcW w:w="1015" w:type="dxa"/>
            <w:shd w:val="clear" w:color="auto" w:fill="auto"/>
            <w:noWrap/>
            <w:vAlign w:val="center"/>
            <w:hideMark/>
          </w:tcPr>
          <w:p w14:paraId="3A609660" w14:textId="77777777" w:rsidR="00BE5A6D" w:rsidRPr="00C47F2F" w:rsidRDefault="00BE5A6D" w:rsidP="001A483B">
            <w:pPr>
              <w:pStyle w:val="Table"/>
              <w:rPr>
                <w:noProof/>
                <w:sz w:val="20"/>
                <w:szCs w:val="20"/>
              </w:rPr>
            </w:pPr>
            <w:r w:rsidRPr="00C47F2F">
              <w:rPr>
                <w:noProof/>
                <w:sz w:val="20"/>
                <w:szCs w:val="20"/>
              </w:rPr>
              <w:t>1.85E+00</w:t>
            </w:r>
          </w:p>
        </w:tc>
        <w:tc>
          <w:tcPr>
            <w:tcW w:w="1015" w:type="dxa"/>
            <w:shd w:val="clear" w:color="auto" w:fill="auto"/>
            <w:noWrap/>
            <w:vAlign w:val="center"/>
            <w:hideMark/>
          </w:tcPr>
          <w:p w14:paraId="2675B219" w14:textId="77777777" w:rsidR="00BE5A6D" w:rsidRPr="00C47F2F" w:rsidRDefault="00BE5A6D" w:rsidP="001A483B">
            <w:pPr>
              <w:pStyle w:val="Table"/>
              <w:rPr>
                <w:noProof/>
                <w:sz w:val="20"/>
                <w:szCs w:val="20"/>
              </w:rPr>
            </w:pPr>
            <w:r w:rsidRPr="00C47F2F">
              <w:rPr>
                <w:noProof/>
                <w:sz w:val="20"/>
                <w:szCs w:val="20"/>
              </w:rPr>
              <w:t>1.85E+00</w:t>
            </w:r>
          </w:p>
        </w:tc>
        <w:tc>
          <w:tcPr>
            <w:tcW w:w="1015" w:type="dxa"/>
            <w:shd w:val="clear" w:color="auto" w:fill="auto"/>
            <w:noWrap/>
            <w:vAlign w:val="center"/>
            <w:hideMark/>
          </w:tcPr>
          <w:p w14:paraId="0C3E3F07" w14:textId="77777777" w:rsidR="00BE5A6D" w:rsidRPr="00C47F2F" w:rsidRDefault="00BE5A6D" w:rsidP="001A483B">
            <w:pPr>
              <w:pStyle w:val="Table"/>
              <w:rPr>
                <w:noProof/>
                <w:sz w:val="20"/>
                <w:szCs w:val="20"/>
              </w:rPr>
            </w:pPr>
            <w:r w:rsidRPr="00C47F2F">
              <w:rPr>
                <w:noProof/>
                <w:sz w:val="20"/>
                <w:szCs w:val="20"/>
              </w:rPr>
              <w:t>1.85E+00</w:t>
            </w:r>
          </w:p>
        </w:tc>
        <w:tc>
          <w:tcPr>
            <w:tcW w:w="1015" w:type="dxa"/>
            <w:shd w:val="clear" w:color="auto" w:fill="auto"/>
            <w:noWrap/>
            <w:vAlign w:val="center"/>
            <w:hideMark/>
          </w:tcPr>
          <w:p w14:paraId="4B04B021" w14:textId="77777777" w:rsidR="00BE5A6D" w:rsidRPr="00C47F2F" w:rsidRDefault="00BE5A6D" w:rsidP="001A483B">
            <w:pPr>
              <w:pStyle w:val="Table"/>
              <w:rPr>
                <w:noProof/>
                <w:sz w:val="20"/>
                <w:szCs w:val="20"/>
              </w:rPr>
            </w:pPr>
            <w:r w:rsidRPr="00C47F2F">
              <w:rPr>
                <w:noProof/>
                <w:sz w:val="20"/>
                <w:szCs w:val="20"/>
              </w:rPr>
              <w:t>1.85E+00</w:t>
            </w:r>
          </w:p>
        </w:tc>
      </w:tr>
      <w:tr w:rsidR="00BE5A6D" w:rsidRPr="00972C81" w14:paraId="7564AD50" w14:textId="77777777" w:rsidTr="001A483B">
        <w:trPr>
          <w:trHeight w:val="340"/>
        </w:trPr>
        <w:tc>
          <w:tcPr>
            <w:tcW w:w="2938" w:type="dxa"/>
            <w:shd w:val="clear" w:color="auto" w:fill="auto"/>
            <w:noWrap/>
            <w:vAlign w:val="center"/>
            <w:hideMark/>
          </w:tcPr>
          <w:p w14:paraId="44B09FAA" w14:textId="245A5E1F" w:rsidR="00BE5A6D" w:rsidRPr="00BE5A6D" w:rsidRDefault="00BE5A6D" w:rsidP="001A483B">
            <w:pPr>
              <w:pStyle w:val="Table"/>
              <w:rPr>
                <w:noProof/>
                <w:sz w:val="20"/>
                <w:szCs w:val="22"/>
              </w:rPr>
            </w:pPr>
            <w:r w:rsidRPr="00BE5A6D">
              <w:rPr>
                <w:noProof/>
                <w:sz w:val="20"/>
                <w:szCs w:val="22"/>
              </w:rPr>
              <w:t>Blood to  ST2</w:t>
            </w:r>
          </w:p>
        </w:tc>
        <w:tc>
          <w:tcPr>
            <w:tcW w:w="1014" w:type="dxa"/>
            <w:shd w:val="clear" w:color="auto" w:fill="auto"/>
            <w:noWrap/>
            <w:vAlign w:val="center"/>
            <w:hideMark/>
          </w:tcPr>
          <w:p w14:paraId="46EA262F" w14:textId="77777777" w:rsidR="00BE5A6D" w:rsidRPr="00C47F2F" w:rsidRDefault="00BE5A6D" w:rsidP="001A483B">
            <w:pPr>
              <w:pStyle w:val="Table"/>
              <w:rPr>
                <w:noProof/>
                <w:sz w:val="20"/>
                <w:szCs w:val="20"/>
              </w:rPr>
            </w:pPr>
            <w:r w:rsidRPr="00C47F2F">
              <w:rPr>
                <w:noProof/>
                <w:sz w:val="20"/>
                <w:szCs w:val="20"/>
              </w:rPr>
              <w:t>4.66E-01</w:t>
            </w:r>
          </w:p>
        </w:tc>
        <w:tc>
          <w:tcPr>
            <w:tcW w:w="1015" w:type="dxa"/>
            <w:shd w:val="clear" w:color="auto" w:fill="auto"/>
            <w:noWrap/>
            <w:vAlign w:val="center"/>
            <w:hideMark/>
          </w:tcPr>
          <w:p w14:paraId="1FC7A25B" w14:textId="77777777" w:rsidR="00BE5A6D" w:rsidRPr="00C47F2F" w:rsidRDefault="00BE5A6D" w:rsidP="001A483B">
            <w:pPr>
              <w:pStyle w:val="Table"/>
              <w:rPr>
                <w:noProof/>
                <w:sz w:val="20"/>
                <w:szCs w:val="20"/>
              </w:rPr>
            </w:pPr>
            <w:r w:rsidRPr="00C47F2F">
              <w:rPr>
                <w:noProof/>
                <w:sz w:val="20"/>
                <w:szCs w:val="20"/>
              </w:rPr>
              <w:t>4.66E-01</w:t>
            </w:r>
          </w:p>
        </w:tc>
        <w:tc>
          <w:tcPr>
            <w:tcW w:w="1015" w:type="dxa"/>
            <w:shd w:val="clear" w:color="auto" w:fill="auto"/>
            <w:noWrap/>
            <w:vAlign w:val="center"/>
            <w:hideMark/>
          </w:tcPr>
          <w:p w14:paraId="48AC4943" w14:textId="77777777" w:rsidR="00BE5A6D" w:rsidRPr="00C47F2F" w:rsidRDefault="00BE5A6D" w:rsidP="001A483B">
            <w:pPr>
              <w:pStyle w:val="Table"/>
              <w:rPr>
                <w:noProof/>
                <w:sz w:val="20"/>
                <w:szCs w:val="20"/>
              </w:rPr>
            </w:pPr>
            <w:r w:rsidRPr="00C47F2F">
              <w:rPr>
                <w:noProof/>
                <w:sz w:val="20"/>
                <w:szCs w:val="20"/>
              </w:rPr>
              <w:t>4.66E-01</w:t>
            </w:r>
          </w:p>
        </w:tc>
        <w:tc>
          <w:tcPr>
            <w:tcW w:w="1015" w:type="dxa"/>
            <w:shd w:val="clear" w:color="auto" w:fill="auto"/>
            <w:noWrap/>
            <w:vAlign w:val="center"/>
            <w:hideMark/>
          </w:tcPr>
          <w:p w14:paraId="14835EC4" w14:textId="77777777" w:rsidR="00BE5A6D" w:rsidRPr="00C47F2F" w:rsidRDefault="00BE5A6D" w:rsidP="001A483B">
            <w:pPr>
              <w:pStyle w:val="Table"/>
              <w:rPr>
                <w:noProof/>
                <w:sz w:val="20"/>
                <w:szCs w:val="20"/>
              </w:rPr>
            </w:pPr>
            <w:r w:rsidRPr="00C47F2F">
              <w:rPr>
                <w:noProof/>
                <w:sz w:val="20"/>
                <w:szCs w:val="20"/>
              </w:rPr>
              <w:t>4.66E-01</w:t>
            </w:r>
          </w:p>
        </w:tc>
        <w:tc>
          <w:tcPr>
            <w:tcW w:w="1015" w:type="dxa"/>
            <w:shd w:val="clear" w:color="auto" w:fill="auto"/>
            <w:noWrap/>
            <w:vAlign w:val="center"/>
            <w:hideMark/>
          </w:tcPr>
          <w:p w14:paraId="0ED74D5D" w14:textId="77777777" w:rsidR="00BE5A6D" w:rsidRPr="00C47F2F" w:rsidRDefault="00BE5A6D" w:rsidP="001A483B">
            <w:pPr>
              <w:pStyle w:val="Table"/>
              <w:rPr>
                <w:noProof/>
                <w:sz w:val="20"/>
                <w:szCs w:val="20"/>
              </w:rPr>
            </w:pPr>
            <w:r w:rsidRPr="00C47F2F">
              <w:rPr>
                <w:noProof/>
                <w:sz w:val="20"/>
                <w:szCs w:val="20"/>
              </w:rPr>
              <w:t>4.66E-01</w:t>
            </w:r>
          </w:p>
        </w:tc>
        <w:tc>
          <w:tcPr>
            <w:tcW w:w="1015" w:type="dxa"/>
            <w:shd w:val="clear" w:color="auto" w:fill="auto"/>
            <w:noWrap/>
            <w:vAlign w:val="center"/>
            <w:hideMark/>
          </w:tcPr>
          <w:p w14:paraId="74BF9930" w14:textId="77777777" w:rsidR="00BE5A6D" w:rsidRPr="00C47F2F" w:rsidRDefault="00BE5A6D" w:rsidP="001A483B">
            <w:pPr>
              <w:pStyle w:val="Table"/>
              <w:rPr>
                <w:noProof/>
                <w:sz w:val="20"/>
                <w:szCs w:val="20"/>
              </w:rPr>
            </w:pPr>
            <w:r w:rsidRPr="00C47F2F">
              <w:rPr>
                <w:noProof/>
                <w:sz w:val="20"/>
                <w:szCs w:val="20"/>
              </w:rPr>
              <w:t>4.66E-01</w:t>
            </w:r>
          </w:p>
        </w:tc>
      </w:tr>
      <w:tr w:rsidR="00BE5A6D" w:rsidRPr="00972C81" w14:paraId="508716FA" w14:textId="77777777" w:rsidTr="001A483B">
        <w:trPr>
          <w:trHeight w:val="340"/>
        </w:trPr>
        <w:tc>
          <w:tcPr>
            <w:tcW w:w="2938" w:type="dxa"/>
            <w:shd w:val="clear" w:color="auto" w:fill="auto"/>
            <w:noWrap/>
            <w:vAlign w:val="center"/>
            <w:hideMark/>
          </w:tcPr>
          <w:p w14:paraId="3259BF0A" w14:textId="6B83406E" w:rsidR="00BE5A6D" w:rsidRPr="00BE5A6D" w:rsidRDefault="00BE5A6D" w:rsidP="001A483B">
            <w:pPr>
              <w:pStyle w:val="Table"/>
              <w:rPr>
                <w:noProof/>
                <w:sz w:val="20"/>
                <w:szCs w:val="22"/>
              </w:rPr>
            </w:pPr>
            <w:r w:rsidRPr="00BE5A6D">
              <w:rPr>
                <w:noProof/>
                <w:sz w:val="20"/>
                <w:szCs w:val="22"/>
              </w:rPr>
              <w:t>Blood to Cort bone surf</w:t>
            </w:r>
          </w:p>
        </w:tc>
        <w:tc>
          <w:tcPr>
            <w:tcW w:w="1014" w:type="dxa"/>
            <w:shd w:val="clear" w:color="auto" w:fill="auto"/>
            <w:noWrap/>
            <w:vAlign w:val="center"/>
            <w:hideMark/>
          </w:tcPr>
          <w:p w14:paraId="3802A88B" w14:textId="77777777" w:rsidR="00BE5A6D" w:rsidRPr="00C47F2F" w:rsidRDefault="00BE5A6D" w:rsidP="001A483B">
            <w:pPr>
              <w:pStyle w:val="Table"/>
              <w:rPr>
                <w:noProof/>
                <w:sz w:val="20"/>
                <w:szCs w:val="20"/>
              </w:rPr>
            </w:pPr>
            <w:r w:rsidRPr="00C47F2F">
              <w:rPr>
                <w:noProof/>
                <w:sz w:val="20"/>
                <w:szCs w:val="20"/>
              </w:rPr>
              <w:t>8.15E+00</w:t>
            </w:r>
          </w:p>
        </w:tc>
        <w:tc>
          <w:tcPr>
            <w:tcW w:w="1015" w:type="dxa"/>
            <w:shd w:val="clear" w:color="auto" w:fill="auto"/>
            <w:noWrap/>
            <w:vAlign w:val="center"/>
            <w:hideMark/>
          </w:tcPr>
          <w:p w14:paraId="5908A207" w14:textId="77777777" w:rsidR="00BE5A6D" w:rsidRPr="00C47F2F" w:rsidRDefault="00BE5A6D" w:rsidP="001A483B">
            <w:pPr>
              <w:pStyle w:val="Table"/>
              <w:rPr>
                <w:noProof/>
                <w:sz w:val="20"/>
                <w:szCs w:val="20"/>
              </w:rPr>
            </w:pPr>
            <w:r w:rsidRPr="00C47F2F">
              <w:rPr>
                <w:noProof/>
                <w:sz w:val="20"/>
                <w:szCs w:val="20"/>
              </w:rPr>
              <w:t>8.15E+00</w:t>
            </w:r>
          </w:p>
        </w:tc>
        <w:tc>
          <w:tcPr>
            <w:tcW w:w="1015" w:type="dxa"/>
            <w:shd w:val="clear" w:color="auto" w:fill="auto"/>
            <w:noWrap/>
            <w:vAlign w:val="center"/>
            <w:hideMark/>
          </w:tcPr>
          <w:p w14:paraId="3B3CD5F6" w14:textId="77777777" w:rsidR="00BE5A6D" w:rsidRPr="00C47F2F" w:rsidRDefault="00BE5A6D" w:rsidP="001A483B">
            <w:pPr>
              <w:pStyle w:val="Table"/>
              <w:rPr>
                <w:noProof/>
                <w:sz w:val="20"/>
                <w:szCs w:val="20"/>
              </w:rPr>
            </w:pPr>
            <w:r w:rsidRPr="00C47F2F">
              <w:rPr>
                <w:noProof/>
                <w:sz w:val="20"/>
                <w:szCs w:val="20"/>
              </w:rPr>
              <w:t>5.82E+00</w:t>
            </w:r>
          </w:p>
        </w:tc>
        <w:tc>
          <w:tcPr>
            <w:tcW w:w="1015" w:type="dxa"/>
            <w:shd w:val="clear" w:color="auto" w:fill="auto"/>
            <w:noWrap/>
            <w:vAlign w:val="center"/>
            <w:hideMark/>
          </w:tcPr>
          <w:p w14:paraId="27E91C08" w14:textId="77777777" w:rsidR="00BE5A6D" w:rsidRPr="00C47F2F" w:rsidRDefault="00BE5A6D" w:rsidP="001A483B">
            <w:pPr>
              <w:pStyle w:val="Table"/>
              <w:rPr>
                <w:noProof/>
                <w:sz w:val="20"/>
                <w:szCs w:val="20"/>
              </w:rPr>
            </w:pPr>
            <w:r w:rsidRPr="00C47F2F">
              <w:rPr>
                <w:noProof/>
                <w:sz w:val="20"/>
                <w:szCs w:val="20"/>
              </w:rPr>
              <w:t>5.82E+00</w:t>
            </w:r>
          </w:p>
        </w:tc>
        <w:tc>
          <w:tcPr>
            <w:tcW w:w="1015" w:type="dxa"/>
            <w:shd w:val="clear" w:color="auto" w:fill="auto"/>
            <w:noWrap/>
            <w:vAlign w:val="center"/>
            <w:hideMark/>
          </w:tcPr>
          <w:p w14:paraId="34E51455" w14:textId="77777777" w:rsidR="00BE5A6D" w:rsidRPr="00C47F2F" w:rsidRDefault="00BE5A6D" w:rsidP="001A483B">
            <w:pPr>
              <w:pStyle w:val="Table"/>
              <w:rPr>
                <w:noProof/>
                <w:sz w:val="20"/>
                <w:szCs w:val="20"/>
              </w:rPr>
            </w:pPr>
            <w:r w:rsidRPr="00C47F2F">
              <w:rPr>
                <w:noProof/>
                <w:sz w:val="20"/>
                <w:szCs w:val="20"/>
              </w:rPr>
              <w:t>5.82E+00</w:t>
            </w:r>
          </w:p>
        </w:tc>
        <w:tc>
          <w:tcPr>
            <w:tcW w:w="1015" w:type="dxa"/>
            <w:shd w:val="clear" w:color="auto" w:fill="auto"/>
            <w:noWrap/>
            <w:vAlign w:val="center"/>
            <w:hideMark/>
          </w:tcPr>
          <w:p w14:paraId="5349C7E9" w14:textId="77777777" w:rsidR="00BE5A6D" w:rsidRPr="00C47F2F" w:rsidRDefault="00BE5A6D" w:rsidP="001A483B">
            <w:pPr>
              <w:pStyle w:val="Table"/>
              <w:rPr>
                <w:noProof/>
                <w:sz w:val="20"/>
                <w:szCs w:val="20"/>
              </w:rPr>
            </w:pPr>
            <w:r w:rsidRPr="00C47F2F">
              <w:rPr>
                <w:noProof/>
                <w:sz w:val="20"/>
                <w:szCs w:val="20"/>
              </w:rPr>
              <w:t>4.08E+00</w:t>
            </w:r>
          </w:p>
        </w:tc>
      </w:tr>
      <w:tr w:rsidR="00BE5A6D" w:rsidRPr="00972C81" w14:paraId="7271E530" w14:textId="77777777" w:rsidTr="001A483B">
        <w:trPr>
          <w:trHeight w:val="340"/>
        </w:trPr>
        <w:tc>
          <w:tcPr>
            <w:tcW w:w="2938" w:type="dxa"/>
            <w:shd w:val="clear" w:color="auto" w:fill="auto"/>
            <w:noWrap/>
            <w:vAlign w:val="center"/>
            <w:hideMark/>
          </w:tcPr>
          <w:p w14:paraId="69894CC9" w14:textId="60CCDF10" w:rsidR="00BE5A6D" w:rsidRPr="00BE5A6D" w:rsidRDefault="00BE5A6D" w:rsidP="001A483B">
            <w:pPr>
              <w:pStyle w:val="Table"/>
              <w:rPr>
                <w:noProof/>
                <w:sz w:val="20"/>
                <w:szCs w:val="22"/>
              </w:rPr>
            </w:pPr>
            <w:r w:rsidRPr="00BE5A6D">
              <w:rPr>
                <w:noProof/>
                <w:sz w:val="20"/>
                <w:szCs w:val="22"/>
              </w:rPr>
              <w:t>Blood to Trab bone surf</w:t>
            </w:r>
          </w:p>
        </w:tc>
        <w:tc>
          <w:tcPr>
            <w:tcW w:w="1014" w:type="dxa"/>
            <w:shd w:val="clear" w:color="auto" w:fill="auto"/>
            <w:noWrap/>
            <w:vAlign w:val="center"/>
            <w:hideMark/>
          </w:tcPr>
          <w:p w14:paraId="53539E4C" w14:textId="77777777" w:rsidR="00BE5A6D" w:rsidRPr="00C47F2F" w:rsidRDefault="00BE5A6D" w:rsidP="001A483B">
            <w:pPr>
              <w:pStyle w:val="Table"/>
              <w:rPr>
                <w:noProof/>
                <w:sz w:val="20"/>
                <w:szCs w:val="20"/>
              </w:rPr>
            </w:pPr>
            <w:r w:rsidRPr="00C47F2F">
              <w:rPr>
                <w:noProof/>
                <w:sz w:val="20"/>
                <w:szCs w:val="20"/>
              </w:rPr>
              <w:t>8.15E+00</w:t>
            </w:r>
          </w:p>
        </w:tc>
        <w:tc>
          <w:tcPr>
            <w:tcW w:w="1015" w:type="dxa"/>
            <w:shd w:val="clear" w:color="auto" w:fill="auto"/>
            <w:noWrap/>
            <w:vAlign w:val="center"/>
            <w:hideMark/>
          </w:tcPr>
          <w:p w14:paraId="49ECBD4C" w14:textId="77777777" w:rsidR="00BE5A6D" w:rsidRPr="00C47F2F" w:rsidRDefault="00BE5A6D" w:rsidP="001A483B">
            <w:pPr>
              <w:pStyle w:val="Table"/>
              <w:rPr>
                <w:noProof/>
                <w:sz w:val="20"/>
                <w:szCs w:val="20"/>
              </w:rPr>
            </w:pPr>
            <w:r w:rsidRPr="00C47F2F">
              <w:rPr>
                <w:noProof/>
                <w:sz w:val="20"/>
                <w:szCs w:val="20"/>
              </w:rPr>
              <w:t>8.15E+00</w:t>
            </w:r>
          </w:p>
        </w:tc>
        <w:tc>
          <w:tcPr>
            <w:tcW w:w="1015" w:type="dxa"/>
            <w:shd w:val="clear" w:color="auto" w:fill="auto"/>
            <w:noWrap/>
            <w:vAlign w:val="center"/>
            <w:hideMark/>
          </w:tcPr>
          <w:p w14:paraId="1A26F7D6" w14:textId="77777777" w:rsidR="00BE5A6D" w:rsidRPr="00C47F2F" w:rsidRDefault="00BE5A6D" w:rsidP="001A483B">
            <w:pPr>
              <w:pStyle w:val="Table"/>
              <w:rPr>
                <w:noProof/>
                <w:sz w:val="20"/>
                <w:szCs w:val="20"/>
              </w:rPr>
            </w:pPr>
            <w:r w:rsidRPr="00C47F2F">
              <w:rPr>
                <w:noProof/>
                <w:sz w:val="20"/>
                <w:szCs w:val="20"/>
              </w:rPr>
              <w:t>5.82E+00</w:t>
            </w:r>
          </w:p>
        </w:tc>
        <w:tc>
          <w:tcPr>
            <w:tcW w:w="1015" w:type="dxa"/>
            <w:shd w:val="clear" w:color="auto" w:fill="auto"/>
            <w:noWrap/>
            <w:vAlign w:val="center"/>
            <w:hideMark/>
          </w:tcPr>
          <w:p w14:paraId="63FE7D72" w14:textId="77777777" w:rsidR="00BE5A6D" w:rsidRPr="00C47F2F" w:rsidRDefault="00BE5A6D" w:rsidP="001A483B">
            <w:pPr>
              <w:pStyle w:val="Table"/>
              <w:rPr>
                <w:noProof/>
                <w:sz w:val="20"/>
                <w:szCs w:val="20"/>
              </w:rPr>
            </w:pPr>
            <w:r w:rsidRPr="00C47F2F">
              <w:rPr>
                <w:noProof/>
                <w:sz w:val="20"/>
                <w:szCs w:val="20"/>
              </w:rPr>
              <w:t>5.82E+00</w:t>
            </w:r>
          </w:p>
        </w:tc>
        <w:tc>
          <w:tcPr>
            <w:tcW w:w="1015" w:type="dxa"/>
            <w:shd w:val="clear" w:color="auto" w:fill="auto"/>
            <w:noWrap/>
            <w:vAlign w:val="center"/>
            <w:hideMark/>
          </w:tcPr>
          <w:p w14:paraId="351F5ACD" w14:textId="77777777" w:rsidR="00BE5A6D" w:rsidRPr="00C47F2F" w:rsidRDefault="00BE5A6D" w:rsidP="001A483B">
            <w:pPr>
              <w:pStyle w:val="Table"/>
              <w:rPr>
                <w:noProof/>
                <w:sz w:val="20"/>
                <w:szCs w:val="20"/>
              </w:rPr>
            </w:pPr>
            <w:r w:rsidRPr="00C47F2F">
              <w:rPr>
                <w:noProof/>
                <w:sz w:val="20"/>
                <w:szCs w:val="20"/>
              </w:rPr>
              <w:t>5.82E+00</w:t>
            </w:r>
          </w:p>
        </w:tc>
        <w:tc>
          <w:tcPr>
            <w:tcW w:w="1015" w:type="dxa"/>
            <w:shd w:val="clear" w:color="auto" w:fill="auto"/>
            <w:noWrap/>
            <w:vAlign w:val="center"/>
            <w:hideMark/>
          </w:tcPr>
          <w:p w14:paraId="0EEB42E4" w14:textId="77777777" w:rsidR="00BE5A6D" w:rsidRPr="00C47F2F" w:rsidRDefault="00BE5A6D" w:rsidP="001A483B">
            <w:pPr>
              <w:pStyle w:val="Table"/>
              <w:rPr>
                <w:noProof/>
                <w:sz w:val="20"/>
                <w:szCs w:val="20"/>
              </w:rPr>
            </w:pPr>
            <w:r w:rsidRPr="00C47F2F">
              <w:rPr>
                <w:noProof/>
                <w:sz w:val="20"/>
                <w:szCs w:val="20"/>
              </w:rPr>
              <w:t>4.08E+00</w:t>
            </w:r>
          </w:p>
        </w:tc>
      </w:tr>
      <w:tr w:rsidR="00BE5A6D" w:rsidRPr="00972C81" w14:paraId="79AE02B4" w14:textId="77777777" w:rsidTr="001A483B">
        <w:trPr>
          <w:trHeight w:val="340"/>
        </w:trPr>
        <w:tc>
          <w:tcPr>
            <w:tcW w:w="2938" w:type="dxa"/>
            <w:shd w:val="clear" w:color="auto" w:fill="auto"/>
            <w:noWrap/>
            <w:vAlign w:val="center"/>
            <w:hideMark/>
          </w:tcPr>
          <w:p w14:paraId="167263C4" w14:textId="55F22D8E" w:rsidR="00BE5A6D" w:rsidRPr="00BE5A6D" w:rsidRDefault="00BE5A6D" w:rsidP="001A483B">
            <w:pPr>
              <w:pStyle w:val="Table"/>
              <w:rPr>
                <w:noProof/>
                <w:sz w:val="20"/>
                <w:szCs w:val="22"/>
              </w:rPr>
            </w:pPr>
            <w:r w:rsidRPr="00BE5A6D">
              <w:rPr>
                <w:noProof/>
                <w:sz w:val="20"/>
                <w:szCs w:val="22"/>
              </w:rPr>
              <w:t>Blood to Kidneys 1</w:t>
            </w:r>
          </w:p>
        </w:tc>
        <w:tc>
          <w:tcPr>
            <w:tcW w:w="1014" w:type="dxa"/>
            <w:shd w:val="clear" w:color="auto" w:fill="auto"/>
            <w:noWrap/>
            <w:vAlign w:val="center"/>
            <w:hideMark/>
          </w:tcPr>
          <w:p w14:paraId="3D6A1D50" w14:textId="77777777" w:rsidR="00BE5A6D" w:rsidRPr="00C47F2F" w:rsidRDefault="00BE5A6D" w:rsidP="001A483B">
            <w:pPr>
              <w:pStyle w:val="Table"/>
              <w:rPr>
                <w:noProof/>
                <w:sz w:val="20"/>
                <w:szCs w:val="20"/>
              </w:rPr>
            </w:pPr>
            <w:r w:rsidRPr="00C47F2F">
              <w:rPr>
                <w:noProof/>
                <w:sz w:val="20"/>
                <w:szCs w:val="20"/>
              </w:rPr>
              <w:t>3.49E-01</w:t>
            </w:r>
          </w:p>
        </w:tc>
        <w:tc>
          <w:tcPr>
            <w:tcW w:w="1015" w:type="dxa"/>
            <w:shd w:val="clear" w:color="auto" w:fill="auto"/>
            <w:noWrap/>
            <w:vAlign w:val="center"/>
            <w:hideMark/>
          </w:tcPr>
          <w:p w14:paraId="2AF34800" w14:textId="77777777" w:rsidR="00BE5A6D" w:rsidRPr="00C47F2F" w:rsidRDefault="00BE5A6D" w:rsidP="001A483B">
            <w:pPr>
              <w:pStyle w:val="Table"/>
              <w:rPr>
                <w:noProof/>
                <w:sz w:val="20"/>
                <w:szCs w:val="20"/>
              </w:rPr>
            </w:pPr>
            <w:r w:rsidRPr="00C47F2F">
              <w:rPr>
                <w:noProof/>
                <w:sz w:val="20"/>
                <w:szCs w:val="20"/>
              </w:rPr>
              <w:t>3.49E-01</w:t>
            </w:r>
          </w:p>
        </w:tc>
        <w:tc>
          <w:tcPr>
            <w:tcW w:w="1015" w:type="dxa"/>
            <w:shd w:val="clear" w:color="auto" w:fill="auto"/>
            <w:noWrap/>
            <w:vAlign w:val="center"/>
            <w:hideMark/>
          </w:tcPr>
          <w:p w14:paraId="521DFBD8" w14:textId="77777777" w:rsidR="00BE5A6D" w:rsidRPr="00C47F2F" w:rsidRDefault="00BE5A6D" w:rsidP="001A483B">
            <w:pPr>
              <w:pStyle w:val="Table"/>
              <w:rPr>
                <w:noProof/>
                <w:sz w:val="20"/>
                <w:szCs w:val="20"/>
              </w:rPr>
            </w:pPr>
            <w:r w:rsidRPr="00C47F2F">
              <w:rPr>
                <w:noProof/>
                <w:sz w:val="20"/>
                <w:szCs w:val="20"/>
              </w:rPr>
              <w:t>3.49E-01</w:t>
            </w:r>
          </w:p>
        </w:tc>
        <w:tc>
          <w:tcPr>
            <w:tcW w:w="1015" w:type="dxa"/>
            <w:shd w:val="clear" w:color="auto" w:fill="auto"/>
            <w:noWrap/>
            <w:vAlign w:val="center"/>
            <w:hideMark/>
          </w:tcPr>
          <w:p w14:paraId="6353711F" w14:textId="77777777" w:rsidR="00BE5A6D" w:rsidRPr="00C47F2F" w:rsidRDefault="00BE5A6D" w:rsidP="001A483B">
            <w:pPr>
              <w:pStyle w:val="Table"/>
              <w:rPr>
                <w:noProof/>
                <w:sz w:val="20"/>
                <w:szCs w:val="20"/>
              </w:rPr>
            </w:pPr>
            <w:r w:rsidRPr="00C47F2F">
              <w:rPr>
                <w:noProof/>
                <w:sz w:val="20"/>
                <w:szCs w:val="20"/>
              </w:rPr>
              <w:t>3.49E-01</w:t>
            </w:r>
          </w:p>
        </w:tc>
        <w:tc>
          <w:tcPr>
            <w:tcW w:w="1015" w:type="dxa"/>
            <w:shd w:val="clear" w:color="auto" w:fill="auto"/>
            <w:noWrap/>
            <w:vAlign w:val="center"/>
            <w:hideMark/>
          </w:tcPr>
          <w:p w14:paraId="1327A26F" w14:textId="77777777" w:rsidR="00BE5A6D" w:rsidRPr="00C47F2F" w:rsidRDefault="00BE5A6D" w:rsidP="001A483B">
            <w:pPr>
              <w:pStyle w:val="Table"/>
              <w:rPr>
                <w:noProof/>
                <w:sz w:val="20"/>
                <w:szCs w:val="20"/>
              </w:rPr>
            </w:pPr>
            <w:r w:rsidRPr="00C47F2F">
              <w:rPr>
                <w:noProof/>
                <w:sz w:val="20"/>
                <w:szCs w:val="20"/>
              </w:rPr>
              <w:t>3.49E-01</w:t>
            </w:r>
          </w:p>
        </w:tc>
        <w:tc>
          <w:tcPr>
            <w:tcW w:w="1015" w:type="dxa"/>
            <w:shd w:val="clear" w:color="auto" w:fill="auto"/>
            <w:noWrap/>
            <w:vAlign w:val="center"/>
            <w:hideMark/>
          </w:tcPr>
          <w:p w14:paraId="728F2C93" w14:textId="77777777" w:rsidR="00BE5A6D" w:rsidRPr="00C47F2F" w:rsidRDefault="00BE5A6D" w:rsidP="001A483B">
            <w:pPr>
              <w:pStyle w:val="Table"/>
              <w:rPr>
                <w:noProof/>
                <w:sz w:val="20"/>
                <w:szCs w:val="20"/>
              </w:rPr>
            </w:pPr>
            <w:r w:rsidRPr="00C47F2F">
              <w:rPr>
                <w:noProof/>
                <w:sz w:val="20"/>
                <w:szCs w:val="20"/>
              </w:rPr>
              <w:t>3.49E-01</w:t>
            </w:r>
          </w:p>
        </w:tc>
      </w:tr>
      <w:tr w:rsidR="00BE5A6D" w:rsidRPr="00972C81" w14:paraId="6F327868" w14:textId="77777777" w:rsidTr="001A483B">
        <w:trPr>
          <w:trHeight w:val="340"/>
        </w:trPr>
        <w:tc>
          <w:tcPr>
            <w:tcW w:w="2938" w:type="dxa"/>
            <w:shd w:val="clear" w:color="auto" w:fill="auto"/>
            <w:noWrap/>
            <w:vAlign w:val="center"/>
            <w:hideMark/>
          </w:tcPr>
          <w:p w14:paraId="23AAA49C" w14:textId="60DB985D" w:rsidR="00BE5A6D" w:rsidRPr="00BE5A6D" w:rsidRDefault="00BE5A6D" w:rsidP="001A483B">
            <w:pPr>
              <w:pStyle w:val="Table"/>
              <w:rPr>
                <w:noProof/>
                <w:sz w:val="20"/>
                <w:szCs w:val="22"/>
              </w:rPr>
            </w:pPr>
            <w:r w:rsidRPr="00BE5A6D">
              <w:rPr>
                <w:noProof/>
                <w:sz w:val="20"/>
                <w:szCs w:val="22"/>
              </w:rPr>
              <w:t>Blood to RC content</w:t>
            </w:r>
          </w:p>
        </w:tc>
        <w:tc>
          <w:tcPr>
            <w:tcW w:w="1014" w:type="dxa"/>
            <w:shd w:val="clear" w:color="auto" w:fill="auto"/>
            <w:noWrap/>
            <w:vAlign w:val="center"/>
            <w:hideMark/>
          </w:tcPr>
          <w:p w14:paraId="6479B9D4" w14:textId="77777777" w:rsidR="00BE5A6D" w:rsidRPr="00C47F2F" w:rsidRDefault="00BE5A6D" w:rsidP="001A483B">
            <w:pPr>
              <w:pStyle w:val="Table"/>
              <w:rPr>
                <w:noProof/>
                <w:sz w:val="20"/>
                <w:szCs w:val="20"/>
              </w:rPr>
            </w:pPr>
            <w:r w:rsidRPr="00C47F2F">
              <w:rPr>
                <w:noProof/>
                <w:sz w:val="20"/>
                <w:szCs w:val="20"/>
              </w:rPr>
              <w:t>2.33E-01</w:t>
            </w:r>
          </w:p>
        </w:tc>
        <w:tc>
          <w:tcPr>
            <w:tcW w:w="1015" w:type="dxa"/>
            <w:shd w:val="clear" w:color="auto" w:fill="auto"/>
            <w:noWrap/>
            <w:vAlign w:val="center"/>
            <w:hideMark/>
          </w:tcPr>
          <w:p w14:paraId="2CDAECF5" w14:textId="77777777" w:rsidR="00BE5A6D" w:rsidRPr="00C47F2F" w:rsidRDefault="00BE5A6D" w:rsidP="001A483B">
            <w:pPr>
              <w:pStyle w:val="Table"/>
              <w:rPr>
                <w:noProof/>
                <w:sz w:val="20"/>
                <w:szCs w:val="20"/>
              </w:rPr>
            </w:pPr>
            <w:r w:rsidRPr="00C47F2F">
              <w:rPr>
                <w:noProof/>
                <w:sz w:val="20"/>
                <w:szCs w:val="20"/>
              </w:rPr>
              <w:t>2.33E-01</w:t>
            </w:r>
          </w:p>
        </w:tc>
        <w:tc>
          <w:tcPr>
            <w:tcW w:w="1015" w:type="dxa"/>
            <w:shd w:val="clear" w:color="auto" w:fill="auto"/>
            <w:noWrap/>
            <w:vAlign w:val="center"/>
            <w:hideMark/>
          </w:tcPr>
          <w:p w14:paraId="65C13EE7" w14:textId="77777777" w:rsidR="00BE5A6D" w:rsidRPr="00C47F2F" w:rsidRDefault="00BE5A6D" w:rsidP="001A483B">
            <w:pPr>
              <w:pStyle w:val="Table"/>
              <w:rPr>
                <w:noProof/>
                <w:sz w:val="20"/>
                <w:szCs w:val="20"/>
              </w:rPr>
            </w:pPr>
            <w:r w:rsidRPr="00C47F2F">
              <w:rPr>
                <w:noProof/>
                <w:sz w:val="20"/>
                <w:szCs w:val="20"/>
              </w:rPr>
              <w:t>2.33E-01</w:t>
            </w:r>
          </w:p>
        </w:tc>
        <w:tc>
          <w:tcPr>
            <w:tcW w:w="1015" w:type="dxa"/>
            <w:shd w:val="clear" w:color="auto" w:fill="auto"/>
            <w:noWrap/>
            <w:vAlign w:val="center"/>
            <w:hideMark/>
          </w:tcPr>
          <w:p w14:paraId="41972432" w14:textId="77777777" w:rsidR="00BE5A6D" w:rsidRPr="00C47F2F" w:rsidRDefault="00BE5A6D" w:rsidP="001A483B">
            <w:pPr>
              <w:pStyle w:val="Table"/>
              <w:rPr>
                <w:noProof/>
                <w:sz w:val="20"/>
                <w:szCs w:val="20"/>
              </w:rPr>
            </w:pPr>
            <w:r w:rsidRPr="00C47F2F">
              <w:rPr>
                <w:noProof/>
                <w:sz w:val="20"/>
                <w:szCs w:val="20"/>
              </w:rPr>
              <w:t>2.33E-01</w:t>
            </w:r>
          </w:p>
        </w:tc>
        <w:tc>
          <w:tcPr>
            <w:tcW w:w="1015" w:type="dxa"/>
            <w:shd w:val="clear" w:color="auto" w:fill="auto"/>
            <w:noWrap/>
            <w:vAlign w:val="center"/>
            <w:hideMark/>
          </w:tcPr>
          <w:p w14:paraId="5E546ACD" w14:textId="77777777" w:rsidR="00BE5A6D" w:rsidRPr="00C47F2F" w:rsidRDefault="00BE5A6D" w:rsidP="001A483B">
            <w:pPr>
              <w:pStyle w:val="Table"/>
              <w:rPr>
                <w:noProof/>
                <w:sz w:val="20"/>
                <w:szCs w:val="20"/>
              </w:rPr>
            </w:pPr>
            <w:r w:rsidRPr="00C47F2F">
              <w:rPr>
                <w:noProof/>
                <w:sz w:val="20"/>
                <w:szCs w:val="20"/>
              </w:rPr>
              <w:t>2.33E-01</w:t>
            </w:r>
          </w:p>
        </w:tc>
        <w:tc>
          <w:tcPr>
            <w:tcW w:w="1015" w:type="dxa"/>
            <w:shd w:val="clear" w:color="auto" w:fill="auto"/>
            <w:noWrap/>
            <w:vAlign w:val="center"/>
            <w:hideMark/>
          </w:tcPr>
          <w:p w14:paraId="6792361A" w14:textId="77777777" w:rsidR="00BE5A6D" w:rsidRPr="00C47F2F" w:rsidRDefault="00BE5A6D" w:rsidP="001A483B">
            <w:pPr>
              <w:pStyle w:val="Table"/>
              <w:rPr>
                <w:noProof/>
                <w:sz w:val="20"/>
                <w:szCs w:val="20"/>
              </w:rPr>
            </w:pPr>
            <w:r w:rsidRPr="00C47F2F">
              <w:rPr>
                <w:noProof/>
                <w:sz w:val="20"/>
                <w:szCs w:val="20"/>
              </w:rPr>
              <w:t>2.33E-01</w:t>
            </w:r>
          </w:p>
        </w:tc>
      </w:tr>
      <w:tr w:rsidR="00BE5A6D" w:rsidRPr="00972C81" w14:paraId="5C913D0E" w14:textId="77777777" w:rsidTr="001A483B">
        <w:trPr>
          <w:trHeight w:val="340"/>
        </w:trPr>
        <w:tc>
          <w:tcPr>
            <w:tcW w:w="2938" w:type="dxa"/>
            <w:shd w:val="clear" w:color="auto" w:fill="auto"/>
            <w:noWrap/>
            <w:vAlign w:val="center"/>
            <w:hideMark/>
          </w:tcPr>
          <w:p w14:paraId="7E421C5F" w14:textId="02B3F927" w:rsidR="00BE5A6D" w:rsidRPr="00BE5A6D" w:rsidRDefault="00BE5A6D" w:rsidP="001A483B">
            <w:pPr>
              <w:pStyle w:val="Table"/>
              <w:rPr>
                <w:noProof/>
                <w:sz w:val="20"/>
                <w:szCs w:val="22"/>
              </w:rPr>
            </w:pPr>
            <w:r w:rsidRPr="00BE5A6D">
              <w:rPr>
                <w:noProof/>
                <w:sz w:val="20"/>
                <w:szCs w:val="22"/>
              </w:rPr>
              <w:t>Blood to Kidneys 2</w:t>
            </w:r>
          </w:p>
        </w:tc>
        <w:tc>
          <w:tcPr>
            <w:tcW w:w="1014" w:type="dxa"/>
            <w:shd w:val="clear" w:color="auto" w:fill="auto"/>
            <w:noWrap/>
            <w:vAlign w:val="center"/>
            <w:hideMark/>
          </w:tcPr>
          <w:p w14:paraId="49476C9C" w14:textId="77777777" w:rsidR="00BE5A6D" w:rsidRPr="00C47F2F" w:rsidRDefault="00BE5A6D" w:rsidP="001A483B">
            <w:pPr>
              <w:pStyle w:val="Table"/>
              <w:rPr>
                <w:noProof/>
                <w:sz w:val="20"/>
                <w:szCs w:val="20"/>
              </w:rPr>
            </w:pPr>
            <w:r w:rsidRPr="00C47F2F">
              <w:rPr>
                <w:noProof/>
                <w:sz w:val="20"/>
                <w:szCs w:val="20"/>
              </w:rPr>
              <w:t>1.17E-01</w:t>
            </w:r>
          </w:p>
        </w:tc>
        <w:tc>
          <w:tcPr>
            <w:tcW w:w="1015" w:type="dxa"/>
            <w:shd w:val="clear" w:color="auto" w:fill="auto"/>
            <w:noWrap/>
            <w:vAlign w:val="center"/>
            <w:hideMark/>
          </w:tcPr>
          <w:p w14:paraId="541E7F80" w14:textId="77777777" w:rsidR="00BE5A6D" w:rsidRPr="00C47F2F" w:rsidRDefault="00BE5A6D" w:rsidP="001A483B">
            <w:pPr>
              <w:pStyle w:val="Table"/>
              <w:rPr>
                <w:noProof/>
                <w:sz w:val="20"/>
                <w:szCs w:val="20"/>
              </w:rPr>
            </w:pPr>
            <w:r w:rsidRPr="00C47F2F">
              <w:rPr>
                <w:noProof/>
                <w:sz w:val="20"/>
                <w:szCs w:val="20"/>
              </w:rPr>
              <w:t>1.17E-01</w:t>
            </w:r>
          </w:p>
        </w:tc>
        <w:tc>
          <w:tcPr>
            <w:tcW w:w="1015" w:type="dxa"/>
            <w:shd w:val="clear" w:color="auto" w:fill="auto"/>
            <w:noWrap/>
            <w:vAlign w:val="center"/>
            <w:hideMark/>
          </w:tcPr>
          <w:p w14:paraId="310E41BE" w14:textId="77777777" w:rsidR="00BE5A6D" w:rsidRPr="00C47F2F" w:rsidRDefault="00BE5A6D" w:rsidP="001A483B">
            <w:pPr>
              <w:pStyle w:val="Table"/>
              <w:rPr>
                <w:noProof/>
                <w:sz w:val="20"/>
                <w:szCs w:val="20"/>
              </w:rPr>
            </w:pPr>
            <w:r w:rsidRPr="00C47F2F">
              <w:rPr>
                <w:noProof/>
                <w:sz w:val="20"/>
                <w:szCs w:val="20"/>
              </w:rPr>
              <w:t>1.17E-01</w:t>
            </w:r>
          </w:p>
        </w:tc>
        <w:tc>
          <w:tcPr>
            <w:tcW w:w="1015" w:type="dxa"/>
            <w:shd w:val="clear" w:color="auto" w:fill="auto"/>
            <w:noWrap/>
            <w:vAlign w:val="center"/>
            <w:hideMark/>
          </w:tcPr>
          <w:p w14:paraId="0AFCF39D" w14:textId="77777777" w:rsidR="00BE5A6D" w:rsidRPr="00C47F2F" w:rsidRDefault="00BE5A6D" w:rsidP="001A483B">
            <w:pPr>
              <w:pStyle w:val="Table"/>
              <w:rPr>
                <w:noProof/>
                <w:sz w:val="20"/>
                <w:szCs w:val="20"/>
              </w:rPr>
            </w:pPr>
            <w:r w:rsidRPr="00C47F2F">
              <w:rPr>
                <w:noProof/>
                <w:sz w:val="20"/>
                <w:szCs w:val="20"/>
              </w:rPr>
              <w:t>1.17E-01</w:t>
            </w:r>
          </w:p>
        </w:tc>
        <w:tc>
          <w:tcPr>
            <w:tcW w:w="1015" w:type="dxa"/>
            <w:shd w:val="clear" w:color="auto" w:fill="auto"/>
            <w:noWrap/>
            <w:vAlign w:val="center"/>
            <w:hideMark/>
          </w:tcPr>
          <w:p w14:paraId="251A7C7E" w14:textId="77777777" w:rsidR="00BE5A6D" w:rsidRPr="00C47F2F" w:rsidRDefault="00BE5A6D" w:rsidP="001A483B">
            <w:pPr>
              <w:pStyle w:val="Table"/>
              <w:rPr>
                <w:noProof/>
                <w:sz w:val="20"/>
                <w:szCs w:val="20"/>
              </w:rPr>
            </w:pPr>
            <w:r w:rsidRPr="00C47F2F">
              <w:rPr>
                <w:noProof/>
                <w:sz w:val="20"/>
                <w:szCs w:val="20"/>
              </w:rPr>
              <w:t>1.17E-01</w:t>
            </w:r>
          </w:p>
        </w:tc>
        <w:tc>
          <w:tcPr>
            <w:tcW w:w="1015" w:type="dxa"/>
            <w:shd w:val="clear" w:color="auto" w:fill="auto"/>
            <w:noWrap/>
            <w:vAlign w:val="center"/>
            <w:hideMark/>
          </w:tcPr>
          <w:p w14:paraId="0426B8EE" w14:textId="77777777" w:rsidR="00BE5A6D" w:rsidRPr="00C47F2F" w:rsidRDefault="00BE5A6D" w:rsidP="001A483B">
            <w:pPr>
              <w:pStyle w:val="Table"/>
              <w:rPr>
                <w:noProof/>
                <w:sz w:val="20"/>
                <w:szCs w:val="20"/>
              </w:rPr>
            </w:pPr>
            <w:r w:rsidRPr="00C47F2F">
              <w:rPr>
                <w:noProof/>
                <w:sz w:val="20"/>
                <w:szCs w:val="20"/>
              </w:rPr>
              <w:t>1.17E-01</w:t>
            </w:r>
          </w:p>
        </w:tc>
      </w:tr>
      <w:tr w:rsidR="00BE5A6D" w:rsidRPr="00972C81" w14:paraId="05C97729" w14:textId="77777777" w:rsidTr="001A483B">
        <w:trPr>
          <w:trHeight w:val="340"/>
        </w:trPr>
        <w:tc>
          <w:tcPr>
            <w:tcW w:w="2938" w:type="dxa"/>
            <w:shd w:val="clear" w:color="auto" w:fill="auto"/>
            <w:noWrap/>
            <w:vAlign w:val="center"/>
            <w:hideMark/>
          </w:tcPr>
          <w:p w14:paraId="4AE01D93" w14:textId="76992C42" w:rsidR="00BE5A6D" w:rsidRPr="00BE5A6D" w:rsidRDefault="00BE5A6D" w:rsidP="001A483B">
            <w:pPr>
              <w:pStyle w:val="Table"/>
              <w:rPr>
                <w:noProof/>
                <w:sz w:val="20"/>
                <w:szCs w:val="22"/>
              </w:rPr>
            </w:pPr>
            <w:r w:rsidRPr="00BE5A6D">
              <w:rPr>
                <w:noProof/>
                <w:sz w:val="20"/>
                <w:szCs w:val="22"/>
              </w:rPr>
              <w:t>Blood to Testes</w:t>
            </w:r>
          </w:p>
        </w:tc>
        <w:tc>
          <w:tcPr>
            <w:tcW w:w="1014" w:type="dxa"/>
            <w:shd w:val="clear" w:color="auto" w:fill="auto"/>
            <w:noWrap/>
            <w:vAlign w:val="center"/>
            <w:hideMark/>
          </w:tcPr>
          <w:p w14:paraId="12DB61ED" w14:textId="77777777" w:rsidR="00BE5A6D" w:rsidRPr="00C47F2F" w:rsidRDefault="00BE5A6D" w:rsidP="001A483B">
            <w:pPr>
              <w:pStyle w:val="Table"/>
              <w:rPr>
                <w:noProof/>
                <w:sz w:val="20"/>
                <w:szCs w:val="20"/>
              </w:rPr>
            </w:pPr>
            <w:r w:rsidRPr="00C47F2F">
              <w:rPr>
                <w:noProof/>
                <w:sz w:val="20"/>
                <w:szCs w:val="20"/>
              </w:rPr>
              <w:t>4.70E-04</w:t>
            </w:r>
          </w:p>
        </w:tc>
        <w:tc>
          <w:tcPr>
            <w:tcW w:w="1015" w:type="dxa"/>
            <w:shd w:val="clear" w:color="auto" w:fill="auto"/>
            <w:noWrap/>
            <w:vAlign w:val="center"/>
            <w:hideMark/>
          </w:tcPr>
          <w:p w14:paraId="05488C8E" w14:textId="77777777" w:rsidR="00BE5A6D" w:rsidRPr="00C47F2F" w:rsidRDefault="00BE5A6D" w:rsidP="001A483B">
            <w:pPr>
              <w:pStyle w:val="Table"/>
              <w:rPr>
                <w:noProof/>
                <w:sz w:val="20"/>
                <w:szCs w:val="20"/>
              </w:rPr>
            </w:pPr>
            <w:r w:rsidRPr="00C47F2F">
              <w:rPr>
                <w:noProof/>
                <w:sz w:val="20"/>
                <w:szCs w:val="20"/>
              </w:rPr>
              <w:t>7.00E-04</w:t>
            </w:r>
          </w:p>
        </w:tc>
        <w:tc>
          <w:tcPr>
            <w:tcW w:w="1015" w:type="dxa"/>
            <w:shd w:val="clear" w:color="auto" w:fill="auto"/>
            <w:noWrap/>
            <w:vAlign w:val="center"/>
            <w:hideMark/>
          </w:tcPr>
          <w:p w14:paraId="4B44D3B1" w14:textId="77777777" w:rsidR="00BE5A6D" w:rsidRPr="00C47F2F" w:rsidRDefault="00BE5A6D" w:rsidP="001A483B">
            <w:pPr>
              <w:pStyle w:val="Table"/>
              <w:rPr>
                <w:noProof/>
                <w:sz w:val="20"/>
                <w:szCs w:val="20"/>
              </w:rPr>
            </w:pPr>
            <w:r w:rsidRPr="00C47F2F">
              <w:rPr>
                <w:noProof/>
                <w:sz w:val="20"/>
                <w:szCs w:val="20"/>
              </w:rPr>
              <w:t>7.90E-04</w:t>
            </w:r>
          </w:p>
        </w:tc>
        <w:tc>
          <w:tcPr>
            <w:tcW w:w="1015" w:type="dxa"/>
            <w:shd w:val="clear" w:color="auto" w:fill="auto"/>
            <w:noWrap/>
            <w:vAlign w:val="center"/>
            <w:hideMark/>
          </w:tcPr>
          <w:p w14:paraId="2A79F84E" w14:textId="77777777" w:rsidR="00BE5A6D" w:rsidRPr="00C47F2F" w:rsidRDefault="00BE5A6D" w:rsidP="001A483B">
            <w:pPr>
              <w:pStyle w:val="Table"/>
              <w:rPr>
                <w:noProof/>
                <w:sz w:val="20"/>
                <w:szCs w:val="20"/>
              </w:rPr>
            </w:pPr>
            <w:r w:rsidRPr="00C47F2F">
              <w:rPr>
                <w:noProof/>
                <w:sz w:val="20"/>
                <w:szCs w:val="20"/>
              </w:rPr>
              <w:t>9.30E-04</w:t>
            </w:r>
          </w:p>
        </w:tc>
        <w:tc>
          <w:tcPr>
            <w:tcW w:w="1015" w:type="dxa"/>
            <w:shd w:val="clear" w:color="auto" w:fill="auto"/>
            <w:noWrap/>
            <w:vAlign w:val="center"/>
            <w:hideMark/>
          </w:tcPr>
          <w:p w14:paraId="24379B5C" w14:textId="77777777" w:rsidR="00BE5A6D" w:rsidRPr="00C47F2F" w:rsidRDefault="00BE5A6D" w:rsidP="001A483B">
            <w:pPr>
              <w:pStyle w:val="Table"/>
              <w:rPr>
                <w:noProof/>
                <w:sz w:val="20"/>
                <w:szCs w:val="20"/>
              </w:rPr>
            </w:pPr>
            <w:r w:rsidRPr="00C47F2F">
              <w:rPr>
                <w:noProof/>
                <w:sz w:val="20"/>
                <w:szCs w:val="20"/>
              </w:rPr>
              <w:t>7.50E-03</w:t>
            </w:r>
          </w:p>
        </w:tc>
        <w:tc>
          <w:tcPr>
            <w:tcW w:w="1015" w:type="dxa"/>
            <w:shd w:val="clear" w:color="auto" w:fill="auto"/>
            <w:noWrap/>
            <w:vAlign w:val="center"/>
            <w:hideMark/>
          </w:tcPr>
          <w:p w14:paraId="044FD5CB" w14:textId="77777777" w:rsidR="00BE5A6D" w:rsidRPr="00C47F2F" w:rsidRDefault="00BE5A6D" w:rsidP="001A483B">
            <w:pPr>
              <w:pStyle w:val="Table"/>
              <w:rPr>
                <w:noProof/>
                <w:sz w:val="20"/>
                <w:szCs w:val="20"/>
              </w:rPr>
            </w:pPr>
            <w:r w:rsidRPr="00C47F2F">
              <w:rPr>
                <w:noProof/>
                <w:sz w:val="20"/>
                <w:szCs w:val="20"/>
              </w:rPr>
              <w:t>8.15E-03</w:t>
            </w:r>
          </w:p>
        </w:tc>
      </w:tr>
      <w:tr w:rsidR="00BE5A6D" w:rsidRPr="00972C81" w14:paraId="0CDCE2BD" w14:textId="77777777" w:rsidTr="001A483B">
        <w:trPr>
          <w:trHeight w:val="340"/>
        </w:trPr>
        <w:tc>
          <w:tcPr>
            <w:tcW w:w="2938" w:type="dxa"/>
            <w:shd w:val="clear" w:color="auto" w:fill="auto"/>
            <w:noWrap/>
            <w:vAlign w:val="center"/>
            <w:hideMark/>
          </w:tcPr>
          <w:p w14:paraId="1CED0C08" w14:textId="60B40E2E" w:rsidR="00BE5A6D" w:rsidRPr="00BE5A6D" w:rsidRDefault="00BE5A6D" w:rsidP="001A483B">
            <w:pPr>
              <w:pStyle w:val="Table"/>
              <w:rPr>
                <w:noProof/>
                <w:sz w:val="20"/>
                <w:szCs w:val="22"/>
              </w:rPr>
            </w:pPr>
            <w:r w:rsidRPr="00BE5A6D">
              <w:rPr>
                <w:noProof/>
                <w:sz w:val="20"/>
                <w:szCs w:val="22"/>
              </w:rPr>
              <w:t>Blood to Ovaries</w:t>
            </w:r>
          </w:p>
        </w:tc>
        <w:tc>
          <w:tcPr>
            <w:tcW w:w="1014" w:type="dxa"/>
            <w:shd w:val="clear" w:color="auto" w:fill="auto"/>
            <w:noWrap/>
            <w:vAlign w:val="center"/>
            <w:hideMark/>
          </w:tcPr>
          <w:p w14:paraId="4CF341DB" w14:textId="77777777" w:rsidR="00BE5A6D" w:rsidRPr="00C47F2F" w:rsidRDefault="00BE5A6D" w:rsidP="001A483B">
            <w:pPr>
              <w:pStyle w:val="Table"/>
              <w:rPr>
                <w:noProof/>
                <w:sz w:val="20"/>
                <w:szCs w:val="20"/>
              </w:rPr>
            </w:pPr>
            <w:r w:rsidRPr="00C47F2F">
              <w:rPr>
                <w:noProof/>
                <w:sz w:val="20"/>
                <w:szCs w:val="20"/>
              </w:rPr>
              <w:t>2.80E-04</w:t>
            </w:r>
          </w:p>
        </w:tc>
        <w:tc>
          <w:tcPr>
            <w:tcW w:w="1015" w:type="dxa"/>
            <w:shd w:val="clear" w:color="auto" w:fill="auto"/>
            <w:noWrap/>
            <w:vAlign w:val="center"/>
            <w:hideMark/>
          </w:tcPr>
          <w:p w14:paraId="2B325C2E" w14:textId="77777777" w:rsidR="00BE5A6D" w:rsidRPr="00C47F2F" w:rsidRDefault="00BE5A6D" w:rsidP="001A483B">
            <w:pPr>
              <w:pStyle w:val="Table"/>
              <w:rPr>
                <w:noProof/>
                <w:sz w:val="20"/>
                <w:szCs w:val="20"/>
              </w:rPr>
            </w:pPr>
            <w:r w:rsidRPr="00C47F2F">
              <w:rPr>
                <w:noProof/>
                <w:sz w:val="20"/>
                <w:szCs w:val="20"/>
              </w:rPr>
              <w:t>3.70E-04</w:t>
            </w:r>
          </w:p>
        </w:tc>
        <w:tc>
          <w:tcPr>
            <w:tcW w:w="1015" w:type="dxa"/>
            <w:shd w:val="clear" w:color="auto" w:fill="auto"/>
            <w:noWrap/>
            <w:vAlign w:val="center"/>
            <w:hideMark/>
          </w:tcPr>
          <w:p w14:paraId="46072096" w14:textId="77777777" w:rsidR="00BE5A6D" w:rsidRPr="00C47F2F" w:rsidRDefault="00BE5A6D" w:rsidP="001A483B">
            <w:pPr>
              <w:pStyle w:val="Table"/>
              <w:rPr>
                <w:noProof/>
                <w:sz w:val="20"/>
                <w:szCs w:val="20"/>
              </w:rPr>
            </w:pPr>
            <w:r w:rsidRPr="00C47F2F">
              <w:rPr>
                <w:noProof/>
                <w:sz w:val="20"/>
                <w:szCs w:val="20"/>
              </w:rPr>
              <w:t>9.30E-04</w:t>
            </w:r>
          </w:p>
        </w:tc>
        <w:tc>
          <w:tcPr>
            <w:tcW w:w="1015" w:type="dxa"/>
            <w:shd w:val="clear" w:color="auto" w:fill="auto"/>
            <w:noWrap/>
            <w:vAlign w:val="center"/>
            <w:hideMark/>
          </w:tcPr>
          <w:p w14:paraId="1A79E619" w14:textId="77777777" w:rsidR="00BE5A6D" w:rsidRPr="00C47F2F" w:rsidRDefault="00BE5A6D" w:rsidP="001A483B">
            <w:pPr>
              <w:pStyle w:val="Table"/>
              <w:rPr>
                <w:noProof/>
                <w:sz w:val="20"/>
                <w:szCs w:val="20"/>
              </w:rPr>
            </w:pPr>
            <w:r w:rsidRPr="00C47F2F">
              <w:rPr>
                <w:noProof/>
                <w:sz w:val="20"/>
                <w:szCs w:val="20"/>
              </w:rPr>
              <w:t>1.60E-03</w:t>
            </w:r>
          </w:p>
        </w:tc>
        <w:tc>
          <w:tcPr>
            <w:tcW w:w="1015" w:type="dxa"/>
            <w:shd w:val="clear" w:color="auto" w:fill="auto"/>
            <w:noWrap/>
            <w:vAlign w:val="center"/>
            <w:hideMark/>
          </w:tcPr>
          <w:p w14:paraId="517D0B1F" w14:textId="77777777" w:rsidR="00BE5A6D" w:rsidRPr="00C47F2F" w:rsidRDefault="00BE5A6D" w:rsidP="001A483B">
            <w:pPr>
              <w:pStyle w:val="Table"/>
              <w:rPr>
                <w:noProof/>
                <w:sz w:val="20"/>
                <w:szCs w:val="20"/>
              </w:rPr>
            </w:pPr>
            <w:r w:rsidRPr="00C47F2F">
              <w:rPr>
                <w:noProof/>
                <w:sz w:val="20"/>
                <w:szCs w:val="20"/>
              </w:rPr>
              <w:t>2.80E-03</w:t>
            </w:r>
          </w:p>
        </w:tc>
        <w:tc>
          <w:tcPr>
            <w:tcW w:w="1015" w:type="dxa"/>
            <w:shd w:val="clear" w:color="auto" w:fill="auto"/>
            <w:noWrap/>
            <w:vAlign w:val="center"/>
            <w:hideMark/>
          </w:tcPr>
          <w:p w14:paraId="45208D63" w14:textId="77777777" w:rsidR="00BE5A6D" w:rsidRPr="00C47F2F" w:rsidRDefault="00BE5A6D" w:rsidP="001A483B">
            <w:pPr>
              <w:pStyle w:val="Table"/>
              <w:rPr>
                <w:noProof/>
                <w:sz w:val="20"/>
                <w:szCs w:val="20"/>
              </w:rPr>
            </w:pPr>
            <w:r w:rsidRPr="00C47F2F">
              <w:rPr>
                <w:noProof/>
                <w:sz w:val="20"/>
                <w:szCs w:val="20"/>
              </w:rPr>
              <w:t>2.56E-03</w:t>
            </w:r>
          </w:p>
        </w:tc>
      </w:tr>
      <w:tr w:rsidR="00BE5A6D" w:rsidRPr="00972C81" w14:paraId="15A0485C" w14:textId="77777777" w:rsidTr="001A483B">
        <w:trPr>
          <w:trHeight w:val="340"/>
        </w:trPr>
        <w:tc>
          <w:tcPr>
            <w:tcW w:w="2938" w:type="dxa"/>
            <w:shd w:val="clear" w:color="auto" w:fill="auto"/>
            <w:noWrap/>
            <w:vAlign w:val="center"/>
            <w:hideMark/>
          </w:tcPr>
          <w:p w14:paraId="10F322FD" w14:textId="2EEBE33D" w:rsidR="00BE5A6D" w:rsidRPr="00BE5A6D" w:rsidRDefault="00BE5A6D" w:rsidP="001A483B">
            <w:pPr>
              <w:pStyle w:val="Table"/>
              <w:rPr>
                <w:noProof/>
                <w:sz w:val="20"/>
                <w:szCs w:val="22"/>
              </w:rPr>
            </w:pPr>
            <w:r w:rsidRPr="00BE5A6D">
              <w:rPr>
                <w:noProof/>
                <w:sz w:val="20"/>
                <w:szCs w:val="22"/>
              </w:rPr>
              <w:t>Blood to UB content</w:t>
            </w:r>
          </w:p>
        </w:tc>
        <w:tc>
          <w:tcPr>
            <w:tcW w:w="1014" w:type="dxa"/>
            <w:shd w:val="clear" w:color="auto" w:fill="auto"/>
            <w:noWrap/>
            <w:vAlign w:val="center"/>
            <w:hideMark/>
          </w:tcPr>
          <w:p w14:paraId="5A91EB79" w14:textId="77777777" w:rsidR="00BE5A6D" w:rsidRPr="00C47F2F" w:rsidRDefault="00BE5A6D" w:rsidP="001A483B">
            <w:pPr>
              <w:pStyle w:val="Table"/>
              <w:rPr>
                <w:noProof/>
                <w:sz w:val="20"/>
                <w:szCs w:val="20"/>
              </w:rPr>
            </w:pPr>
            <w:r w:rsidRPr="00C47F2F">
              <w:rPr>
                <w:noProof/>
                <w:sz w:val="20"/>
                <w:szCs w:val="20"/>
              </w:rPr>
              <w:t>1.63E+00</w:t>
            </w:r>
          </w:p>
        </w:tc>
        <w:tc>
          <w:tcPr>
            <w:tcW w:w="1015" w:type="dxa"/>
            <w:shd w:val="clear" w:color="auto" w:fill="auto"/>
            <w:noWrap/>
            <w:vAlign w:val="center"/>
            <w:hideMark/>
          </w:tcPr>
          <w:p w14:paraId="2B035733" w14:textId="77777777" w:rsidR="00BE5A6D" w:rsidRPr="00C47F2F" w:rsidRDefault="00BE5A6D" w:rsidP="001A483B">
            <w:pPr>
              <w:pStyle w:val="Table"/>
              <w:rPr>
                <w:noProof/>
                <w:sz w:val="20"/>
                <w:szCs w:val="20"/>
              </w:rPr>
            </w:pPr>
            <w:r w:rsidRPr="00C47F2F">
              <w:rPr>
                <w:noProof/>
                <w:sz w:val="20"/>
                <w:szCs w:val="20"/>
              </w:rPr>
              <w:t>1.63E+00</w:t>
            </w:r>
          </w:p>
        </w:tc>
        <w:tc>
          <w:tcPr>
            <w:tcW w:w="1015" w:type="dxa"/>
            <w:shd w:val="clear" w:color="auto" w:fill="auto"/>
            <w:noWrap/>
            <w:vAlign w:val="center"/>
            <w:hideMark/>
          </w:tcPr>
          <w:p w14:paraId="3A351BFD" w14:textId="77777777" w:rsidR="00BE5A6D" w:rsidRPr="00C47F2F" w:rsidRDefault="00BE5A6D" w:rsidP="001A483B">
            <w:pPr>
              <w:pStyle w:val="Table"/>
              <w:rPr>
                <w:noProof/>
                <w:sz w:val="20"/>
                <w:szCs w:val="20"/>
              </w:rPr>
            </w:pPr>
            <w:r w:rsidRPr="00C47F2F">
              <w:rPr>
                <w:noProof/>
                <w:sz w:val="20"/>
                <w:szCs w:val="20"/>
              </w:rPr>
              <w:t>1.63E+00</w:t>
            </w:r>
          </w:p>
        </w:tc>
        <w:tc>
          <w:tcPr>
            <w:tcW w:w="1015" w:type="dxa"/>
            <w:shd w:val="clear" w:color="auto" w:fill="auto"/>
            <w:noWrap/>
            <w:vAlign w:val="center"/>
            <w:hideMark/>
          </w:tcPr>
          <w:p w14:paraId="227F984C" w14:textId="77777777" w:rsidR="00BE5A6D" w:rsidRPr="00C47F2F" w:rsidRDefault="00BE5A6D" w:rsidP="001A483B">
            <w:pPr>
              <w:pStyle w:val="Table"/>
              <w:rPr>
                <w:noProof/>
                <w:sz w:val="20"/>
                <w:szCs w:val="20"/>
              </w:rPr>
            </w:pPr>
            <w:r w:rsidRPr="00C47F2F">
              <w:rPr>
                <w:noProof/>
                <w:sz w:val="20"/>
                <w:szCs w:val="20"/>
              </w:rPr>
              <w:t>1.63E+00</w:t>
            </w:r>
          </w:p>
        </w:tc>
        <w:tc>
          <w:tcPr>
            <w:tcW w:w="1015" w:type="dxa"/>
            <w:shd w:val="clear" w:color="auto" w:fill="auto"/>
            <w:noWrap/>
            <w:vAlign w:val="center"/>
            <w:hideMark/>
          </w:tcPr>
          <w:p w14:paraId="140257DB" w14:textId="77777777" w:rsidR="00BE5A6D" w:rsidRPr="00C47F2F" w:rsidRDefault="00BE5A6D" w:rsidP="001A483B">
            <w:pPr>
              <w:pStyle w:val="Table"/>
              <w:rPr>
                <w:noProof/>
                <w:sz w:val="20"/>
                <w:szCs w:val="20"/>
              </w:rPr>
            </w:pPr>
            <w:r w:rsidRPr="00C47F2F">
              <w:rPr>
                <w:noProof/>
                <w:sz w:val="20"/>
                <w:szCs w:val="20"/>
              </w:rPr>
              <w:t>1.63E+00</w:t>
            </w:r>
          </w:p>
        </w:tc>
        <w:tc>
          <w:tcPr>
            <w:tcW w:w="1015" w:type="dxa"/>
            <w:shd w:val="clear" w:color="auto" w:fill="auto"/>
            <w:noWrap/>
            <w:vAlign w:val="center"/>
            <w:hideMark/>
          </w:tcPr>
          <w:p w14:paraId="38F12189" w14:textId="77777777" w:rsidR="00BE5A6D" w:rsidRPr="00C47F2F" w:rsidRDefault="00BE5A6D" w:rsidP="001A483B">
            <w:pPr>
              <w:pStyle w:val="Table"/>
              <w:rPr>
                <w:noProof/>
                <w:sz w:val="20"/>
                <w:szCs w:val="20"/>
              </w:rPr>
            </w:pPr>
            <w:r w:rsidRPr="00C47F2F">
              <w:rPr>
                <w:noProof/>
                <w:sz w:val="20"/>
                <w:szCs w:val="20"/>
              </w:rPr>
              <w:t>1.63E+00</w:t>
            </w:r>
          </w:p>
        </w:tc>
      </w:tr>
      <w:tr w:rsidR="00BE5A6D" w:rsidRPr="00972C81" w14:paraId="1AA04704" w14:textId="77777777" w:rsidTr="001A483B">
        <w:trPr>
          <w:trHeight w:val="340"/>
        </w:trPr>
        <w:tc>
          <w:tcPr>
            <w:tcW w:w="2938" w:type="dxa"/>
            <w:shd w:val="clear" w:color="auto" w:fill="auto"/>
            <w:noWrap/>
            <w:vAlign w:val="center"/>
            <w:hideMark/>
          </w:tcPr>
          <w:p w14:paraId="41049EC1" w14:textId="0E9BE8EB" w:rsidR="00BE5A6D" w:rsidRPr="00BE5A6D" w:rsidRDefault="00BE5A6D" w:rsidP="001A483B">
            <w:pPr>
              <w:pStyle w:val="Table"/>
              <w:rPr>
                <w:noProof/>
                <w:sz w:val="20"/>
                <w:szCs w:val="22"/>
              </w:rPr>
            </w:pPr>
            <w:r w:rsidRPr="00BE5A6D">
              <w:rPr>
                <w:noProof/>
                <w:sz w:val="20"/>
                <w:szCs w:val="22"/>
              </w:rPr>
              <w:t>Liver 2 to Blood</w:t>
            </w:r>
          </w:p>
        </w:tc>
        <w:tc>
          <w:tcPr>
            <w:tcW w:w="1014" w:type="dxa"/>
            <w:shd w:val="clear" w:color="auto" w:fill="auto"/>
            <w:noWrap/>
            <w:vAlign w:val="center"/>
            <w:hideMark/>
          </w:tcPr>
          <w:p w14:paraId="694B27D4" w14:textId="77777777" w:rsidR="00BE5A6D" w:rsidRPr="00C47F2F" w:rsidRDefault="00BE5A6D" w:rsidP="001A483B">
            <w:pPr>
              <w:pStyle w:val="Table"/>
              <w:rPr>
                <w:noProof/>
                <w:sz w:val="20"/>
                <w:szCs w:val="20"/>
              </w:rPr>
            </w:pPr>
            <w:r w:rsidRPr="00C47F2F">
              <w:rPr>
                <w:noProof/>
                <w:sz w:val="20"/>
                <w:szCs w:val="20"/>
              </w:rPr>
              <w:t>9.50E-04</w:t>
            </w:r>
          </w:p>
        </w:tc>
        <w:tc>
          <w:tcPr>
            <w:tcW w:w="1015" w:type="dxa"/>
            <w:shd w:val="clear" w:color="auto" w:fill="auto"/>
            <w:noWrap/>
            <w:vAlign w:val="center"/>
            <w:hideMark/>
          </w:tcPr>
          <w:p w14:paraId="0343E86E" w14:textId="77777777" w:rsidR="00BE5A6D" w:rsidRPr="00C47F2F" w:rsidRDefault="00BE5A6D" w:rsidP="001A483B">
            <w:pPr>
              <w:pStyle w:val="Table"/>
              <w:rPr>
                <w:noProof/>
                <w:sz w:val="20"/>
                <w:szCs w:val="20"/>
              </w:rPr>
            </w:pPr>
            <w:r w:rsidRPr="00C47F2F">
              <w:rPr>
                <w:noProof/>
                <w:sz w:val="20"/>
                <w:szCs w:val="20"/>
              </w:rPr>
              <w:t>9.50E-04</w:t>
            </w:r>
          </w:p>
        </w:tc>
        <w:tc>
          <w:tcPr>
            <w:tcW w:w="1015" w:type="dxa"/>
            <w:shd w:val="clear" w:color="auto" w:fill="auto"/>
            <w:noWrap/>
            <w:vAlign w:val="center"/>
            <w:hideMark/>
          </w:tcPr>
          <w:p w14:paraId="5F387377" w14:textId="77777777" w:rsidR="00BE5A6D" w:rsidRPr="00C47F2F" w:rsidRDefault="00BE5A6D" w:rsidP="001A483B">
            <w:pPr>
              <w:pStyle w:val="Table"/>
              <w:rPr>
                <w:noProof/>
                <w:sz w:val="20"/>
                <w:szCs w:val="20"/>
              </w:rPr>
            </w:pPr>
            <w:r w:rsidRPr="00C47F2F">
              <w:rPr>
                <w:noProof/>
                <w:sz w:val="20"/>
                <w:szCs w:val="20"/>
              </w:rPr>
              <w:t>9.50E-04</w:t>
            </w:r>
          </w:p>
        </w:tc>
        <w:tc>
          <w:tcPr>
            <w:tcW w:w="1015" w:type="dxa"/>
            <w:shd w:val="clear" w:color="auto" w:fill="auto"/>
            <w:noWrap/>
            <w:vAlign w:val="center"/>
            <w:hideMark/>
          </w:tcPr>
          <w:p w14:paraId="13B27C38" w14:textId="77777777" w:rsidR="00BE5A6D" w:rsidRPr="00C47F2F" w:rsidRDefault="00BE5A6D" w:rsidP="001A483B">
            <w:pPr>
              <w:pStyle w:val="Table"/>
              <w:rPr>
                <w:noProof/>
                <w:sz w:val="20"/>
                <w:szCs w:val="20"/>
              </w:rPr>
            </w:pPr>
            <w:r w:rsidRPr="00C47F2F">
              <w:rPr>
                <w:noProof/>
                <w:sz w:val="20"/>
                <w:szCs w:val="20"/>
              </w:rPr>
              <w:t>9.50E-04</w:t>
            </w:r>
          </w:p>
        </w:tc>
        <w:tc>
          <w:tcPr>
            <w:tcW w:w="1015" w:type="dxa"/>
            <w:shd w:val="clear" w:color="auto" w:fill="auto"/>
            <w:noWrap/>
            <w:vAlign w:val="center"/>
            <w:hideMark/>
          </w:tcPr>
          <w:p w14:paraId="41542E9C" w14:textId="77777777" w:rsidR="00BE5A6D" w:rsidRPr="00C47F2F" w:rsidRDefault="00BE5A6D" w:rsidP="001A483B">
            <w:pPr>
              <w:pStyle w:val="Table"/>
              <w:rPr>
                <w:noProof/>
                <w:sz w:val="20"/>
                <w:szCs w:val="20"/>
              </w:rPr>
            </w:pPr>
            <w:r w:rsidRPr="00C47F2F">
              <w:rPr>
                <w:noProof/>
                <w:sz w:val="20"/>
                <w:szCs w:val="20"/>
              </w:rPr>
              <w:t>9.50E-04</w:t>
            </w:r>
          </w:p>
        </w:tc>
        <w:tc>
          <w:tcPr>
            <w:tcW w:w="1015" w:type="dxa"/>
            <w:shd w:val="clear" w:color="auto" w:fill="auto"/>
            <w:noWrap/>
            <w:vAlign w:val="center"/>
            <w:hideMark/>
          </w:tcPr>
          <w:p w14:paraId="558CEE56" w14:textId="77777777" w:rsidR="00BE5A6D" w:rsidRPr="00C47F2F" w:rsidRDefault="00BE5A6D" w:rsidP="001A483B">
            <w:pPr>
              <w:pStyle w:val="Table"/>
              <w:rPr>
                <w:noProof/>
                <w:sz w:val="20"/>
                <w:szCs w:val="20"/>
              </w:rPr>
            </w:pPr>
            <w:r w:rsidRPr="00C47F2F">
              <w:rPr>
                <w:noProof/>
                <w:sz w:val="20"/>
                <w:szCs w:val="20"/>
              </w:rPr>
              <w:t>9.50E-04</w:t>
            </w:r>
          </w:p>
        </w:tc>
      </w:tr>
      <w:tr w:rsidR="00BE5A6D" w:rsidRPr="00972C81" w14:paraId="75BB42B9" w14:textId="77777777" w:rsidTr="001A483B">
        <w:trPr>
          <w:trHeight w:val="340"/>
        </w:trPr>
        <w:tc>
          <w:tcPr>
            <w:tcW w:w="2938" w:type="dxa"/>
            <w:shd w:val="clear" w:color="auto" w:fill="auto"/>
            <w:noWrap/>
            <w:vAlign w:val="center"/>
            <w:hideMark/>
          </w:tcPr>
          <w:p w14:paraId="11D11BE7" w14:textId="45AEA1B9" w:rsidR="00BE5A6D" w:rsidRPr="00BE5A6D" w:rsidRDefault="00BE5A6D" w:rsidP="001A483B">
            <w:pPr>
              <w:pStyle w:val="Table"/>
              <w:rPr>
                <w:noProof/>
                <w:sz w:val="20"/>
                <w:szCs w:val="22"/>
              </w:rPr>
            </w:pPr>
            <w:r w:rsidRPr="00BE5A6D">
              <w:rPr>
                <w:noProof/>
                <w:sz w:val="20"/>
                <w:szCs w:val="22"/>
              </w:rPr>
              <w:t>Liver 1 to SI content</w:t>
            </w:r>
          </w:p>
        </w:tc>
        <w:tc>
          <w:tcPr>
            <w:tcW w:w="1014" w:type="dxa"/>
            <w:shd w:val="clear" w:color="auto" w:fill="auto"/>
            <w:noWrap/>
            <w:vAlign w:val="center"/>
            <w:hideMark/>
          </w:tcPr>
          <w:p w14:paraId="1E283048" w14:textId="77777777" w:rsidR="00BE5A6D" w:rsidRPr="00C47F2F" w:rsidRDefault="00BE5A6D" w:rsidP="001A483B">
            <w:pPr>
              <w:pStyle w:val="Table"/>
              <w:rPr>
                <w:noProof/>
                <w:sz w:val="20"/>
                <w:szCs w:val="20"/>
              </w:rPr>
            </w:pPr>
            <w:r w:rsidRPr="00C47F2F">
              <w:rPr>
                <w:noProof/>
                <w:sz w:val="20"/>
                <w:szCs w:val="20"/>
              </w:rPr>
              <w:t>2.31E-03</w:t>
            </w:r>
          </w:p>
        </w:tc>
        <w:tc>
          <w:tcPr>
            <w:tcW w:w="1015" w:type="dxa"/>
            <w:shd w:val="clear" w:color="auto" w:fill="auto"/>
            <w:noWrap/>
            <w:vAlign w:val="center"/>
            <w:hideMark/>
          </w:tcPr>
          <w:p w14:paraId="06D0F8F3" w14:textId="77777777" w:rsidR="00BE5A6D" w:rsidRPr="00C47F2F" w:rsidRDefault="00BE5A6D" w:rsidP="001A483B">
            <w:pPr>
              <w:pStyle w:val="Table"/>
              <w:rPr>
                <w:noProof/>
                <w:sz w:val="20"/>
                <w:szCs w:val="20"/>
              </w:rPr>
            </w:pPr>
            <w:r w:rsidRPr="00C47F2F">
              <w:rPr>
                <w:noProof/>
                <w:sz w:val="20"/>
                <w:szCs w:val="20"/>
              </w:rPr>
              <w:t>2.31E-03</w:t>
            </w:r>
          </w:p>
        </w:tc>
        <w:tc>
          <w:tcPr>
            <w:tcW w:w="1015" w:type="dxa"/>
            <w:shd w:val="clear" w:color="auto" w:fill="auto"/>
            <w:noWrap/>
            <w:vAlign w:val="center"/>
            <w:hideMark/>
          </w:tcPr>
          <w:p w14:paraId="19EB3DFF" w14:textId="77777777" w:rsidR="00BE5A6D" w:rsidRPr="00C47F2F" w:rsidRDefault="00BE5A6D" w:rsidP="001A483B">
            <w:pPr>
              <w:pStyle w:val="Table"/>
              <w:rPr>
                <w:noProof/>
                <w:sz w:val="20"/>
                <w:szCs w:val="20"/>
              </w:rPr>
            </w:pPr>
            <w:r w:rsidRPr="00C47F2F">
              <w:rPr>
                <w:noProof/>
                <w:sz w:val="20"/>
                <w:szCs w:val="20"/>
              </w:rPr>
              <w:t>2.31E-03</w:t>
            </w:r>
          </w:p>
        </w:tc>
        <w:tc>
          <w:tcPr>
            <w:tcW w:w="1015" w:type="dxa"/>
            <w:shd w:val="clear" w:color="auto" w:fill="auto"/>
            <w:noWrap/>
            <w:vAlign w:val="center"/>
            <w:hideMark/>
          </w:tcPr>
          <w:p w14:paraId="70B6308E" w14:textId="77777777" w:rsidR="00BE5A6D" w:rsidRPr="00C47F2F" w:rsidRDefault="00BE5A6D" w:rsidP="001A483B">
            <w:pPr>
              <w:pStyle w:val="Table"/>
              <w:rPr>
                <w:noProof/>
                <w:sz w:val="20"/>
                <w:szCs w:val="20"/>
              </w:rPr>
            </w:pPr>
            <w:r w:rsidRPr="00C47F2F">
              <w:rPr>
                <w:noProof/>
                <w:sz w:val="20"/>
                <w:szCs w:val="20"/>
              </w:rPr>
              <w:t>2.31E-03</w:t>
            </w:r>
          </w:p>
        </w:tc>
        <w:tc>
          <w:tcPr>
            <w:tcW w:w="1015" w:type="dxa"/>
            <w:shd w:val="clear" w:color="auto" w:fill="auto"/>
            <w:noWrap/>
            <w:vAlign w:val="center"/>
            <w:hideMark/>
          </w:tcPr>
          <w:p w14:paraId="1871BE62" w14:textId="77777777" w:rsidR="00BE5A6D" w:rsidRPr="00C47F2F" w:rsidRDefault="00BE5A6D" w:rsidP="001A483B">
            <w:pPr>
              <w:pStyle w:val="Table"/>
              <w:rPr>
                <w:noProof/>
                <w:sz w:val="20"/>
                <w:szCs w:val="20"/>
              </w:rPr>
            </w:pPr>
            <w:r w:rsidRPr="00C47F2F">
              <w:rPr>
                <w:noProof/>
                <w:sz w:val="20"/>
                <w:szCs w:val="20"/>
              </w:rPr>
              <w:t>2.31E-03</w:t>
            </w:r>
          </w:p>
        </w:tc>
        <w:tc>
          <w:tcPr>
            <w:tcW w:w="1015" w:type="dxa"/>
            <w:shd w:val="clear" w:color="auto" w:fill="auto"/>
            <w:noWrap/>
            <w:vAlign w:val="center"/>
            <w:hideMark/>
          </w:tcPr>
          <w:p w14:paraId="5EA186BF" w14:textId="77777777" w:rsidR="00BE5A6D" w:rsidRPr="00C47F2F" w:rsidRDefault="00BE5A6D" w:rsidP="001A483B">
            <w:pPr>
              <w:pStyle w:val="Table"/>
              <w:rPr>
                <w:noProof/>
                <w:sz w:val="20"/>
                <w:szCs w:val="20"/>
              </w:rPr>
            </w:pPr>
            <w:r w:rsidRPr="00C47F2F">
              <w:rPr>
                <w:noProof/>
                <w:sz w:val="20"/>
                <w:szCs w:val="20"/>
              </w:rPr>
              <w:t>2.31E-03</w:t>
            </w:r>
          </w:p>
        </w:tc>
      </w:tr>
      <w:tr w:rsidR="00BE5A6D" w:rsidRPr="00972C81" w14:paraId="73466FBA" w14:textId="77777777" w:rsidTr="001A483B">
        <w:trPr>
          <w:trHeight w:val="340"/>
        </w:trPr>
        <w:tc>
          <w:tcPr>
            <w:tcW w:w="2938" w:type="dxa"/>
            <w:shd w:val="clear" w:color="auto" w:fill="auto"/>
            <w:noWrap/>
            <w:vAlign w:val="center"/>
            <w:hideMark/>
          </w:tcPr>
          <w:p w14:paraId="2BFB9E48" w14:textId="43045219" w:rsidR="00BE5A6D" w:rsidRPr="00BE5A6D" w:rsidRDefault="00BE5A6D" w:rsidP="001A483B">
            <w:pPr>
              <w:pStyle w:val="Table"/>
              <w:rPr>
                <w:noProof/>
                <w:sz w:val="20"/>
                <w:szCs w:val="22"/>
              </w:rPr>
            </w:pPr>
            <w:r w:rsidRPr="00BE5A6D">
              <w:rPr>
                <w:noProof/>
                <w:sz w:val="20"/>
                <w:szCs w:val="22"/>
              </w:rPr>
              <w:t>Liver 1 to Liver 2</w:t>
            </w:r>
          </w:p>
        </w:tc>
        <w:tc>
          <w:tcPr>
            <w:tcW w:w="1014" w:type="dxa"/>
            <w:shd w:val="clear" w:color="auto" w:fill="auto"/>
            <w:noWrap/>
            <w:vAlign w:val="center"/>
            <w:hideMark/>
          </w:tcPr>
          <w:p w14:paraId="6EF3F95C" w14:textId="77777777" w:rsidR="00BE5A6D" w:rsidRPr="00C47F2F" w:rsidRDefault="00BE5A6D" w:rsidP="001A483B">
            <w:pPr>
              <w:pStyle w:val="Table"/>
              <w:rPr>
                <w:noProof/>
                <w:sz w:val="20"/>
                <w:szCs w:val="20"/>
              </w:rPr>
            </w:pPr>
            <w:r w:rsidRPr="00C47F2F">
              <w:rPr>
                <w:noProof/>
                <w:sz w:val="20"/>
                <w:szCs w:val="20"/>
              </w:rPr>
              <w:t>2.08E-02</w:t>
            </w:r>
          </w:p>
        </w:tc>
        <w:tc>
          <w:tcPr>
            <w:tcW w:w="1015" w:type="dxa"/>
            <w:shd w:val="clear" w:color="auto" w:fill="auto"/>
            <w:noWrap/>
            <w:vAlign w:val="center"/>
            <w:hideMark/>
          </w:tcPr>
          <w:p w14:paraId="20B22A05" w14:textId="77777777" w:rsidR="00BE5A6D" w:rsidRPr="00C47F2F" w:rsidRDefault="00BE5A6D" w:rsidP="001A483B">
            <w:pPr>
              <w:pStyle w:val="Table"/>
              <w:rPr>
                <w:noProof/>
                <w:sz w:val="20"/>
                <w:szCs w:val="20"/>
              </w:rPr>
            </w:pPr>
            <w:r w:rsidRPr="00C47F2F">
              <w:rPr>
                <w:noProof/>
                <w:sz w:val="20"/>
                <w:szCs w:val="20"/>
              </w:rPr>
              <w:t>2.08E-02</w:t>
            </w:r>
          </w:p>
        </w:tc>
        <w:tc>
          <w:tcPr>
            <w:tcW w:w="1015" w:type="dxa"/>
            <w:shd w:val="clear" w:color="auto" w:fill="auto"/>
            <w:noWrap/>
            <w:vAlign w:val="center"/>
            <w:hideMark/>
          </w:tcPr>
          <w:p w14:paraId="6E02D55C" w14:textId="77777777" w:rsidR="00BE5A6D" w:rsidRPr="00C47F2F" w:rsidRDefault="00BE5A6D" w:rsidP="001A483B">
            <w:pPr>
              <w:pStyle w:val="Table"/>
              <w:rPr>
                <w:noProof/>
                <w:sz w:val="20"/>
                <w:szCs w:val="20"/>
              </w:rPr>
            </w:pPr>
            <w:r w:rsidRPr="00C47F2F">
              <w:rPr>
                <w:noProof/>
                <w:sz w:val="20"/>
                <w:szCs w:val="20"/>
              </w:rPr>
              <w:t>2.08E-02</w:t>
            </w:r>
          </w:p>
        </w:tc>
        <w:tc>
          <w:tcPr>
            <w:tcW w:w="1015" w:type="dxa"/>
            <w:shd w:val="clear" w:color="auto" w:fill="auto"/>
            <w:noWrap/>
            <w:vAlign w:val="center"/>
            <w:hideMark/>
          </w:tcPr>
          <w:p w14:paraId="7DC01890" w14:textId="77777777" w:rsidR="00BE5A6D" w:rsidRPr="00C47F2F" w:rsidRDefault="00BE5A6D" w:rsidP="001A483B">
            <w:pPr>
              <w:pStyle w:val="Table"/>
              <w:rPr>
                <w:noProof/>
                <w:sz w:val="20"/>
                <w:szCs w:val="20"/>
              </w:rPr>
            </w:pPr>
            <w:r w:rsidRPr="00C47F2F">
              <w:rPr>
                <w:noProof/>
                <w:sz w:val="20"/>
                <w:szCs w:val="20"/>
              </w:rPr>
              <w:t>2.08E-02</w:t>
            </w:r>
          </w:p>
        </w:tc>
        <w:tc>
          <w:tcPr>
            <w:tcW w:w="1015" w:type="dxa"/>
            <w:shd w:val="clear" w:color="auto" w:fill="auto"/>
            <w:noWrap/>
            <w:vAlign w:val="center"/>
            <w:hideMark/>
          </w:tcPr>
          <w:p w14:paraId="4D7B4CF7" w14:textId="77777777" w:rsidR="00BE5A6D" w:rsidRPr="00C47F2F" w:rsidRDefault="00BE5A6D" w:rsidP="001A483B">
            <w:pPr>
              <w:pStyle w:val="Table"/>
              <w:rPr>
                <w:noProof/>
                <w:sz w:val="20"/>
                <w:szCs w:val="20"/>
              </w:rPr>
            </w:pPr>
            <w:r w:rsidRPr="00C47F2F">
              <w:rPr>
                <w:noProof/>
                <w:sz w:val="20"/>
                <w:szCs w:val="20"/>
              </w:rPr>
              <w:t>2.08E-02</w:t>
            </w:r>
          </w:p>
        </w:tc>
        <w:tc>
          <w:tcPr>
            <w:tcW w:w="1015" w:type="dxa"/>
            <w:shd w:val="clear" w:color="auto" w:fill="auto"/>
            <w:noWrap/>
            <w:vAlign w:val="center"/>
            <w:hideMark/>
          </w:tcPr>
          <w:p w14:paraId="0E4474ED" w14:textId="77777777" w:rsidR="00BE5A6D" w:rsidRPr="00C47F2F" w:rsidRDefault="00BE5A6D" w:rsidP="001A483B">
            <w:pPr>
              <w:pStyle w:val="Table"/>
              <w:rPr>
                <w:noProof/>
                <w:sz w:val="20"/>
                <w:szCs w:val="20"/>
              </w:rPr>
            </w:pPr>
            <w:r w:rsidRPr="00C47F2F">
              <w:rPr>
                <w:noProof/>
                <w:sz w:val="20"/>
                <w:szCs w:val="20"/>
              </w:rPr>
              <w:t>2.08E-02</w:t>
            </w:r>
          </w:p>
        </w:tc>
      </w:tr>
      <w:tr w:rsidR="00BE5A6D" w:rsidRPr="00972C81" w14:paraId="39084871" w14:textId="77777777" w:rsidTr="001A483B">
        <w:trPr>
          <w:trHeight w:val="340"/>
        </w:trPr>
        <w:tc>
          <w:tcPr>
            <w:tcW w:w="2938" w:type="dxa"/>
            <w:shd w:val="clear" w:color="auto" w:fill="auto"/>
            <w:noWrap/>
            <w:vAlign w:val="center"/>
            <w:hideMark/>
          </w:tcPr>
          <w:p w14:paraId="70392548" w14:textId="627997A1" w:rsidR="00BE5A6D" w:rsidRPr="00BE5A6D" w:rsidRDefault="00BE5A6D" w:rsidP="001A483B">
            <w:pPr>
              <w:pStyle w:val="Table"/>
              <w:rPr>
                <w:noProof/>
                <w:sz w:val="20"/>
                <w:szCs w:val="22"/>
              </w:rPr>
            </w:pPr>
            <w:r w:rsidRPr="00BE5A6D">
              <w:rPr>
                <w:noProof/>
                <w:sz w:val="20"/>
                <w:szCs w:val="22"/>
              </w:rPr>
              <w:t xml:space="preserve"> ST0 to Blood</w:t>
            </w:r>
          </w:p>
        </w:tc>
        <w:tc>
          <w:tcPr>
            <w:tcW w:w="1014" w:type="dxa"/>
            <w:shd w:val="clear" w:color="auto" w:fill="auto"/>
            <w:noWrap/>
            <w:vAlign w:val="center"/>
            <w:hideMark/>
          </w:tcPr>
          <w:p w14:paraId="5B583EF4" w14:textId="77777777" w:rsidR="00BE5A6D" w:rsidRPr="00C47F2F" w:rsidRDefault="00BE5A6D" w:rsidP="001A483B">
            <w:pPr>
              <w:pStyle w:val="Table"/>
              <w:rPr>
                <w:noProof/>
                <w:sz w:val="20"/>
                <w:szCs w:val="20"/>
              </w:rPr>
            </w:pPr>
            <w:r w:rsidRPr="00C47F2F">
              <w:rPr>
                <w:noProof/>
                <w:sz w:val="20"/>
                <w:szCs w:val="20"/>
              </w:rPr>
              <w:t>1.39E+00</w:t>
            </w:r>
          </w:p>
        </w:tc>
        <w:tc>
          <w:tcPr>
            <w:tcW w:w="1015" w:type="dxa"/>
            <w:shd w:val="clear" w:color="auto" w:fill="auto"/>
            <w:noWrap/>
            <w:vAlign w:val="center"/>
            <w:hideMark/>
          </w:tcPr>
          <w:p w14:paraId="637403F6" w14:textId="77777777" w:rsidR="00BE5A6D" w:rsidRPr="00C47F2F" w:rsidRDefault="00BE5A6D" w:rsidP="001A483B">
            <w:pPr>
              <w:pStyle w:val="Table"/>
              <w:rPr>
                <w:noProof/>
                <w:sz w:val="20"/>
                <w:szCs w:val="20"/>
              </w:rPr>
            </w:pPr>
            <w:r w:rsidRPr="00C47F2F">
              <w:rPr>
                <w:noProof/>
                <w:sz w:val="20"/>
                <w:szCs w:val="20"/>
              </w:rPr>
              <w:t>1.39E+00</w:t>
            </w:r>
          </w:p>
        </w:tc>
        <w:tc>
          <w:tcPr>
            <w:tcW w:w="1015" w:type="dxa"/>
            <w:shd w:val="clear" w:color="auto" w:fill="auto"/>
            <w:noWrap/>
            <w:vAlign w:val="center"/>
            <w:hideMark/>
          </w:tcPr>
          <w:p w14:paraId="74C8CEBA" w14:textId="77777777" w:rsidR="00BE5A6D" w:rsidRPr="00C47F2F" w:rsidRDefault="00BE5A6D" w:rsidP="001A483B">
            <w:pPr>
              <w:pStyle w:val="Table"/>
              <w:rPr>
                <w:noProof/>
                <w:sz w:val="20"/>
                <w:szCs w:val="20"/>
              </w:rPr>
            </w:pPr>
            <w:r w:rsidRPr="00C47F2F">
              <w:rPr>
                <w:noProof/>
                <w:sz w:val="20"/>
                <w:szCs w:val="20"/>
              </w:rPr>
              <w:t>1.39E+00</w:t>
            </w:r>
          </w:p>
        </w:tc>
        <w:tc>
          <w:tcPr>
            <w:tcW w:w="1015" w:type="dxa"/>
            <w:shd w:val="clear" w:color="auto" w:fill="auto"/>
            <w:noWrap/>
            <w:vAlign w:val="center"/>
            <w:hideMark/>
          </w:tcPr>
          <w:p w14:paraId="56AFB805" w14:textId="77777777" w:rsidR="00BE5A6D" w:rsidRPr="00C47F2F" w:rsidRDefault="00BE5A6D" w:rsidP="001A483B">
            <w:pPr>
              <w:pStyle w:val="Table"/>
              <w:rPr>
                <w:noProof/>
                <w:sz w:val="20"/>
                <w:szCs w:val="20"/>
              </w:rPr>
            </w:pPr>
            <w:r w:rsidRPr="00C47F2F">
              <w:rPr>
                <w:noProof/>
                <w:sz w:val="20"/>
                <w:szCs w:val="20"/>
              </w:rPr>
              <w:t>1.39E+00</w:t>
            </w:r>
          </w:p>
        </w:tc>
        <w:tc>
          <w:tcPr>
            <w:tcW w:w="1015" w:type="dxa"/>
            <w:shd w:val="clear" w:color="auto" w:fill="auto"/>
            <w:noWrap/>
            <w:vAlign w:val="center"/>
            <w:hideMark/>
          </w:tcPr>
          <w:p w14:paraId="2E337ACC" w14:textId="77777777" w:rsidR="00BE5A6D" w:rsidRPr="00C47F2F" w:rsidRDefault="00BE5A6D" w:rsidP="001A483B">
            <w:pPr>
              <w:pStyle w:val="Table"/>
              <w:rPr>
                <w:noProof/>
                <w:sz w:val="20"/>
                <w:szCs w:val="20"/>
              </w:rPr>
            </w:pPr>
            <w:r w:rsidRPr="00C47F2F">
              <w:rPr>
                <w:noProof/>
                <w:sz w:val="20"/>
                <w:szCs w:val="20"/>
              </w:rPr>
              <w:t>1.39E+00</w:t>
            </w:r>
          </w:p>
        </w:tc>
        <w:tc>
          <w:tcPr>
            <w:tcW w:w="1015" w:type="dxa"/>
            <w:shd w:val="clear" w:color="auto" w:fill="auto"/>
            <w:noWrap/>
            <w:vAlign w:val="center"/>
            <w:hideMark/>
          </w:tcPr>
          <w:p w14:paraId="07FABBEE" w14:textId="77777777" w:rsidR="00BE5A6D" w:rsidRPr="00C47F2F" w:rsidRDefault="00BE5A6D" w:rsidP="001A483B">
            <w:pPr>
              <w:pStyle w:val="Table"/>
              <w:rPr>
                <w:noProof/>
                <w:sz w:val="20"/>
                <w:szCs w:val="20"/>
              </w:rPr>
            </w:pPr>
            <w:r w:rsidRPr="00C47F2F">
              <w:rPr>
                <w:noProof/>
                <w:sz w:val="20"/>
                <w:szCs w:val="20"/>
              </w:rPr>
              <w:t>1.39E+00</w:t>
            </w:r>
          </w:p>
        </w:tc>
      </w:tr>
      <w:tr w:rsidR="00BE5A6D" w:rsidRPr="00972C81" w14:paraId="66D7CB7D" w14:textId="77777777" w:rsidTr="001A483B">
        <w:trPr>
          <w:trHeight w:val="340"/>
        </w:trPr>
        <w:tc>
          <w:tcPr>
            <w:tcW w:w="2938" w:type="dxa"/>
            <w:shd w:val="clear" w:color="auto" w:fill="auto"/>
            <w:noWrap/>
            <w:vAlign w:val="center"/>
            <w:hideMark/>
          </w:tcPr>
          <w:p w14:paraId="0DCFEC9F" w14:textId="383713E8" w:rsidR="00BE5A6D" w:rsidRPr="00BE5A6D" w:rsidRDefault="00BE5A6D" w:rsidP="001A483B">
            <w:pPr>
              <w:pStyle w:val="Table"/>
              <w:rPr>
                <w:noProof/>
                <w:sz w:val="20"/>
                <w:szCs w:val="22"/>
              </w:rPr>
            </w:pPr>
            <w:r w:rsidRPr="00BE5A6D">
              <w:rPr>
                <w:noProof/>
                <w:sz w:val="20"/>
                <w:szCs w:val="22"/>
              </w:rPr>
              <w:t xml:space="preserve"> ST1 to Blood</w:t>
            </w:r>
          </w:p>
        </w:tc>
        <w:tc>
          <w:tcPr>
            <w:tcW w:w="1014" w:type="dxa"/>
            <w:shd w:val="clear" w:color="auto" w:fill="auto"/>
            <w:noWrap/>
            <w:vAlign w:val="center"/>
            <w:hideMark/>
          </w:tcPr>
          <w:p w14:paraId="7CB553DE" w14:textId="77777777" w:rsidR="00BE5A6D" w:rsidRPr="00C47F2F" w:rsidRDefault="00BE5A6D" w:rsidP="001A483B">
            <w:pPr>
              <w:pStyle w:val="Table"/>
              <w:rPr>
                <w:noProof/>
                <w:sz w:val="20"/>
                <w:szCs w:val="20"/>
              </w:rPr>
            </w:pPr>
            <w:r w:rsidRPr="00C47F2F">
              <w:rPr>
                <w:noProof/>
                <w:sz w:val="20"/>
                <w:szCs w:val="20"/>
              </w:rPr>
              <w:t>1.90E-03</w:t>
            </w:r>
          </w:p>
        </w:tc>
        <w:tc>
          <w:tcPr>
            <w:tcW w:w="1015" w:type="dxa"/>
            <w:shd w:val="clear" w:color="auto" w:fill="auto"/>
            <w:noWrap/>
            <w:vAlign w:val="center"/>
            <w:hideMark/>
          </w:tcPr>
          <w:p w14:paraId="535F701F" w14:textId="77777777" w:rsidR="00BE5A6D" w:rsidRPr="00C47F2F" w:rsidRDefault="00BE5A6D" w:rsidP="001A483B">
            <w:pPr>
              <w:pStyle w:val="Table"/>
              <w:rPr>
                <w:noProof/>
                <w:sz w:val="20"/>
                <w:szCs w:val="20"/>
              </w:rPr>
            </w:pPr>
            <w:r w:rsidRPr="00C47F2F">
              <w:rPr>
                <w:noProof/>
                <w:sz w:val="20"/>
                <w:szCs w:val="20"/>
              </w:rPr>
              <w:t>1.90E-03</w:t>
            </w:r>
          </w:p>
        </w:tc>
        <w:tc>
          <w:tcPr>
            <w:tcW w:w="1015" w:type="dxa"/>
            <w:shd w:val="clear" w:color="auto" w:fill="auto"/>
            <w:noWrap/>
            <w:vAlign w:val="center"/>
            <w:hideMark/>
          </w:tcPr>
          <w:p w14:paraId="0F5D3480" w14:textId="77777777" w:rsidR="00BE5A6D" w:rsidRPr="00C47F2F" w:rsidRDefault="00BE5A6D" w:rsidP="001A483B">
            <w:pPr>
              <w:pStyle w:val="Table"/>
              <w:rPr>
                <w:noProof/>
                <w:sz w:val="20"/>
                <w:szCs w:val="20"/>
              </w:rPr>
            </w:pPr>
            <w:r w:rsidRPr="00C47F2F">
              <w:rPr>
                <w:noProof/>
                <w:sz w:val="20"/>
                <w:szCs w:val="20"/>
              </w:rPr>
              <w:t>1.90E-03</w:t>
            </w:r>
          </w:p>
        </w:tc>
        <w:tc>
          <w:tcPr>
            <w:tcW w:w="1015" w:type="dxa"/>
            <w:shd w:val="clear" w:color="auto" w:fill="auto"/>
            <w:noWrap/>
            <w:vAlign w:val="center"/>
            <w:hideMark/>
          </w:tcPr>
          <w:p w14:paraId="05B3C0CF" w14:textId="77777777" w:rsidR="00BE5A6D" w:rsidRPr="00C47F2F" w:rsidRDefault="00BE5A6D" w:rsidP="001A483B">
            <w:pPr>
              <w:pStyle w:val="Table"/>
              <w:rPr>
                <w:noProof/>
                <w:sz w:val="20"/>
                <w:szCs w:val="20"/>
              </w:rPr>
            </w:pPr>
            <w:r w:rsidRPr="00C47F2F">
              <w:rPr>
                <w:noProof/>
                <w:sz w:val="20"/>
                <w:szCs w:val="20"/>
              </w:rPr>
              <w:t>1.90E-03</w:t>
            </w:r>
          </w:p>
        </w:tc>
        <w:tc>
          <w:tcPr>
            <w:tcW w:w="1015" w:type="dxa"/>
            <w:shd w:val="clear" w:color="auto" w:fill="auto"/>
            <w:noWrap/>
            <w:vAlign w:val="center"/>
            <w:hideMark/>
          </w:tcPr>
          <w:p w14:paraId="5BF8826A" w14:textId="77777777" w:rsidR="00BE5A6D" w:rsidRPr="00C47F2F" w:rsidRDefault="00BE5A6D" w:rsidP="001A483B">
            <w:pPr>
              <w:pStyle w:val="Table"/>
              <w:rPr>
                <w:noProof/>
                <w:sz w:val="20"/>
                <w:szCs w:val="20"/>
              </w:rPr>
            </w:pPr>
            <w:r w:rsidRPr="00C47F2F">
              <w:rPr>
                <w:noProof/>
                <w:sz w:val="20"/>
                <w:szCs w:val="20"/>
              </w:rPr>
              <w:t>1.90E-03</w:t>
            </w:r>
          </w:p>
        </w:tc>
        <w:tc>
          <w:tcPr>
            <w:tcW w:w="1015" w:type="dxa"/>
            <w:shd w:val="clear" w:color="auto" w:fill="auto"/>
            <w:noWrap/>
            <w:vAlign w:val="center"/>
            <w:hideMark/>
          </w:tcPr>
          <w:p w14:paraId="67B005B4" w14:textId="77777777" w:rsidR="00BE5A6D" w:rsidRPr="00C47F2F" w:rsidRDefault="00BE5A6D" w:rsidP="001A483B">
            <w:pPr>
              <w:pStyle w:val="Table"/>
              <w:rPr>
                <w:noProof/>
                <w:sz w:val="20"/>
                <w:szCs w:val="20"/>
              </w:rPr>
            </w:pPr>
            <w:r w:rsidRPr="00C47F2F">
              <w:rPr>
                <w:noProof/>
                <w:sz w:val="20"/>
                <w:szCs w:val="20"/>
              </w:rPr>
              <w:t>1.90E-03</w:t>
            </w:r>
          </w:p>
        </w:tc>
      </w:tr>
      <w:tr w:rsidR="00BE5A6D" w:rsidRPr="00972C81" w14:paraId="724A767F" w14:textId="77777777" w:rsidTr="001A483B">
        <w:trPr>
          <w:trHeight w:val="340"/>
        </w:trPr>
        <w:tc>
          <w:tcPr>
            <w:tcW w:w="2938" w:type="dxa"/>
            <w:shd w:val="clear" w:color="auto" w:fill="auto"/>
            <w:noWrap/>
            <w:vAlign w:val="center"/>
            <w:hideMark/>
          </w:tcPr>
          <w:p w14:paraId="7FA67956" w14:textId="048FD987" w:rsidR="00BE5A6D" w:rsidRPr="00BE5A6D" w:rsidRDefault="00BE5A6D" w:rsidP="001A483B">
            <w:pPr>
              <w:pStyle w:val="Table"/>
              <w:rPr>
                <w:noProof/>
                <w:sz w:val="20"/>
                <w:szCs w:val="22"/>
              </w:rPr>
            </w:pPr>
            <w:r w:rsidRPr="00BE5A6D">
              <w:rPr>
                <w:noProof/>
                <w:sz w:val="20"/>
                <w:szCs w:val="22"/>
              </w:rPr>
              <w:t xml:space="preserve"> ST2 to Blood</w:t>
            </w:r>
          </w:p>
        </w:tc>
        <w:tc>
          <w:tcPr>
            <w:tcW w:w="1014" w:type="dxa"/>
            <w:shd w:val="clear" w:color="auto" w:fill="auto"/>
            <w:noWrap/>
            <w:vAlign w:val="center"/>
            <w:hideMark/>
          </w:tcPr>
          <w:p w14:paraId="3089CCE8" w14:textId="77777777" w:rsidR="00BE5A6D" w:rsidRPr="00C47F2F" w:rsidRDefault="00BE5A6D" w:rsidP="001A483B">
            <w:pPr>
              <w:pStyle w:val="Table"/>
              <w:rPr>
                <w:noProof/>
                <w:sz w:val="20"/>
                <w:szCs w:val="20"/>
              </w:rPr>
            </w:pPr>
            <w:r w:rsidRPr="00C47F2F">
              <w:rPr>
                <w:noProof/>
                <w:sz w:val="20"/>
                <w:szCs w:val="20"/>
              </w:rPr>
              <w:t>1.28E-04</w:t>
            </w:r>
          </w:p>
        </w:tc>
        <w:tc>
          <w:tcPr>
            <w:tcW w:w="1015" w:type="dxa"/>
            <w:shd w:val="clear" w:color="auto" w:fill="auto"/>
            <w:noWrap/>
            <w:vAlign w:val="center"/>
            <w:hideMark/>
          </w:tcPr>
          <w:p w14:paraId="3186B314" w14:textId="77777777" w:rsidR="00BE5A6D" w:rsidRPr="00C47F2F" w:rsidRDefault="00BE5A6D" w:rsidP="001A483B">
            <w:pPr>
              <w:pStyle w:val="Table"/>
              <w:rPr>
                <w:noProof/>
                <w:sz w:val="20"/>
                <w:szCs w:val="20"/>
              </w:rPr>
            </w:pPr>
            <w:r w:rsidRPr="00C47F2F">
              <w:rPr>
                <w:noProof/>
                <w:sz w:val="20"/>
                <w:szCs w:val="20"/>
              </w:rPr>
              <w:t>1.28E-04</w:t>
            </w:r>
          </w:p>
        </w:tc>
        <w:tc>
          <w:tcPr>
            <w:tcW w:w="1015" w:type="dxa"/>
            <w:shd w:val="clear" w:color="auto" w:fill="auto"/>
            <w:noWrap/>
            <w:vAlign w:val="center"/>
            <w:hideMark/>
          </w:tcPr>
          <w:p w14:paraId="1790D518" w14:textId="77777777" w:rsidR="00BE5A6D" w:rsidRPr="00C47F2F" w:rsidRDefault="00BE5A6D" w:rsidP="001A483B">
            <w:pPr>
              <w:pStyle w:val="Table"/>
              <w:rPr>
                <w:noProof/>
                <w:sz w:val="20"/>
                <w:szCs w:val="20"/>
              </w:rPr>
            </w:pPr>
            <w:r w:rsidRPr="00C47F2F">
              <w:rPr>
                <w:noProof/>
                <w:sz w:val="20"/>
                <w:szCs w:val="20"/>
              </w:rPr>
              <w:t>1.28E-04</w:t>
            </w:r>
          </w:p>
        </w:tc>
        <w:tc>
          <w:tcPr>
            <w:tcW w:w="1015" w:type="dxa"/>
            <w:shd w:val="clear" w:color="auto" w:fill="auto"/>
            <w:noWrap/>
            <w:vAlign w:val="center"/>
            <w:hideMark/>
          </w:tcPr>
          <w:p w14:paraId="2A4BB07E" w14:textId="77777777" w:rsidR="00BE5A6D" w:rsidRPr="00C47F2F" w:rsidRDefault="00BE5A6D" w:rsidP="001A483B">
            <w:pPr>
              <w:pStyle w:val="Table"/>
              <w:rPr>
                <w:noProof/>
                <w:sz w:val="20"/>
                <w:szCs w:val="20"/>
              </w:rPr>
            </w:pPr>
            <w:r w:rsidRPr="00C47F2F">
              <w:rPr>
                <w:noProof/>
                <w:sz w:val="20"/>
                <w:szCs w:val="20"/>
              </w:rPr>
              <w:t>1.28E-04</w:t>
            </w:r>
          </w:p>
        </w:tc>
        <w:tc>
          <w:tcPr>
            <w:tcW w:w="1015" w:type="dxa"/>
            <w:shd w:val="clear" w:color="auto" w:fill="auto"/>
            <w:noWrap/>
            <w:vAlign w:val="center"/>
            <w:hideMark/>
          </w:tcPr>
          <w:p w14:paraId="34BEA326" w14:textId="77777777" w:rsidR="00BE5A6D" w:rsidRPr="00C47F2F" w:rsidRDefault="00BE5A6D" w:rsidP="001A483B">
            <w:pPr>
              <w:pStyle w:val="Table"/>
              <w:rPr>
                <w:noProof/>
                <w:sz w:val="20"/>
                <w:szCs w:val="20"/>
              </w:rPr>
            </w:pPr>
            <w:r w:rsidRPr="00C47F2F">
              <w:rPr>
                <w:noProof/>
                <w:sz w:val="20"/>
                <w:szCs w:val="20"/>
              </w:rPr>
              <w:t>1.28E-04</w:t>
            </w:r>
          </w:p>
        </w:tc>
        <w:tc>
          <w:tcPr>
            <w:tcW w:w="1015" w:type="dxa"/>
            <w:shd w:val="clear" w:color="auto" w:fill="auto"/>
            <w:noWrap/>
            <w:vAlign w:val="center"/>
            <w:hideMark/>
          </w:tcPr>
          <w:p w14:paraId="1085A653" w14:textId="77777777" w:rsidR="00BE5A6D" w:rsidRPr="00C47F2F" w:rsidRDefault="00BE5A6D" w:rsidP="001A483B">
            <w:pPr>
              <w:pStyle w:val="Table"/>
              <w:rPr>
                <w:noProof/>
                <w:sz w:val="20"/>
                <w:szCs w:val="20"/>
              </w:rPr>
            </w:pPr>
            <w:r w:rsidRPr="00C47F2F">
              <w:rPr>
                <w:noProof/>
                <w:sz w:val="20"/>
                <w:szCs w:val="20"/>
              </w:rPr>
              <w:t>1.28E-04</w:t>
            </w:r>
          </w:p>
        </w:tc>
      </w:tr>
      <w:tr w:rsidR="00BE5A6D" w:rsidRPr="00972C81" w14:paraId="49602BB1" w14:textId="77777777" w:rsidTr="001A483B">
        <w:trPr>
          <w:trHeight w:val="340"/>
        </w:trPr>
        <w:tc>
          <w:tcPr>
            <w:tcW w:w="2938" w:type="dxa"/>
            <w:shd w:val="clear" w:color="auto" w:fill="auto"/>
            <w:noWrap/>
            <w:vAlign w:val="center"/>
            <w:hideMark/>
          </w:tcPr>
          <w:p w14:paraId="2DB0D6C1" w14:textId="064171A2" w:rsidR="00BE5A6D" w:rsidRPr="00BE5A6D" w:rsidRDefault="00BE5A6D" w:rsidP="001A483B">
            <w:pPr>
              <w:pStyle w:val="Table"/>
              <w:rPr>
                <w:noProof/>
                <w:sz w:val="20"/>
                <w:szCs w:val="22"/>
              </w:rPr>
            </w:pPr>
            <w:r w:rsidRPr="00BE5A6D">
              <w:rPr>
                <w:noProof/>
                <w:sz w:val="20"/>
                <w:szCs w:val="22"/>
              </w:rPr>
              <w:t>Cort marrow to Blood</w:t>
            </w:r>
          </w:p>
        </w:tc>
        <w:tc>
          <w:tcPr>
            <w:tcW w:w="1014" w:type="dxa"/>
            <w:shd w:val="clear" w:color="auto" w:fill="auto"/>
            <w:noWrap/>
            <w:vAlign w:val="center"/>
            <w:hideMark/>
          </w:tcPr>
          <w:p w14:paraId="742B8440" w14:textId="77777777" w:rsidR="00BE5A6D" w:rsidRPr="00C47F2F" w:rsidRDefault="00BE5A6D" w:rsidP="001A483B">
            <w:pPr>
              <w:pStyle w:val="Table"/>
              <w:rPr>
                <w:noProof/>
                <w:sz w:val="20"/>
                <w:szCs w:val="20"/>
              </w:rPr>
            </w:pPr>
            <w:r w:rsidRPr="00C47F2F">
              <w:rPr>
                <w:noProof/>
                <w:sz w:val="20"/>
                <w:szCs w:val="20"/>
              </w:rPr>
              <w:t>7.60E-03</w:t>
            </w:r>
          </w:p>
        </w:tc>
        <w:tc>
          <w:tcPr>
            <w:tcW w:w="1015" w:type="dxa"/>
            <w:shd w:val="clear" w:color="auto" w:fill="auto"/>
            <w:noWrap/>
            <w:vAlign w:val="center"/>
            <w:hideMark/>
          </w:tcPr>
          <w:p w14:paraId="447D78CC" w14:textId="77777777" w:rsidR="00BE5A6D" w:rsidRPr="00C47F2F" w:rsidRDefault="00BE5A6D" w:rsidP="001A483B">
            <w:pPr>
              <w:pStyle w:val="Table"/>
              <w:rPr>
                <w:noProof/>
                <w:sz w:val="20"/>
                <w:szCs w:val="20"/>
              </w:rPr>
            </w:pPr>
            <w:r w:rsidRPr="00C47F2F">
              <w:rPr>
                <w:noProof/>
                <w:sz w:val="20"/>
                <w:szCs w:val="20"/>
              </w:rPr>
              <w:t>7.60E-03</w:t>
            </w:r>
          </w:p>
        </w:tc>
        <w:tc>
          <w:tcPr>
            <w:tcW w:w="1015" w:type="dxa"/>
            <w:shd w:val="clear" w:color="auto" w:fill="auto"/>
            <w:noWrap/>
            <w:vAlign w:val="center"/>
            <w:hideMark/>
          </w:tcPr>
          <w:p w14:paraId="1C8FF304" w14:textId="77777777" w:rsidR="00BE5A6D" w:rsidRPr="00C47F2F" w:rsidRDefault="00BE5A6D" w:rsidP="001A483B">
            <w:pPr>
              <w:pStyle w:val="Table"/>
              <w:rPr>
                <w:noProof/>
                <w:sz w:val="20"/>
                <w:szCs w:val="20"/>
              </w:rPr>
            </w:pPr>
            <w:r w:rsidRPr="00C47F2F">
              <w:rPr>
                <w:noProof/>
                <w:sz w:val="20"/>
                <w:szCs w:val="20"/>
              </w:rPr>
              <w:t>7.60E-03</w:t>
            </w:r>
          </w:p>
        </w:tc>
        <w:tc>
          <w:tcPr>
            <w:tcW w:w="1015" w:type="dxa"/>
            <w:shd w:val="clear" w:color="auto" w:fill="auto"/>
            <w:noWrap/>
            <w:vAlign w:val="center"/>
            <w:hideMark/>
          </w:tcPr>
          <w:p w14:paraId="596AB02D" w14:textId="77777777" w:rsidR="00BE5A6D" w:rsidRPr="00C47F2F" w:rsidRDefault="00BE5A6D" w:rsidP="001A483B">
            <w:pPr>
              <w:pStyle w:val="Table"/>
              <w:rPr>
                <w:noProof/>
                <w:sz w:val="20"/>
                <w:szCs w:val="20"/>
              </w:rPr>
            </w:pPr>
            <w:r w:rsidRPr="00C47F2F">
              <w:rPr>
                <w:noProof/>
                <w:sz w:val="20"/>
                <w:szCs w:val="20"/>
              </w:rPr>
              <w:t>7.60E-03</w:t>
            </w:r>
          </w:p>
        </w:tc>
        <w:tc>
          <w:tcPr>
            <w:tcW w:w="1015" w:type="dxa"/>
            <w:shd w:val="clear" w:color="auto" w:fill="auto"/>
            <w:noWrap/>
            <w:vAlign w:val="center"/>
            <w:hideMark/>
          </w:tcPr>
          <w:p w14:paraId="6CF59260" w14:textId="77777777" w:rsidR="00BE5A6D" w:rsidRPr="00C47F2F" w:rsidRDefault="00BE5A6D" w:rsidP="001A483B">
            <w:pPr>
              <w:pStyle w:val="Table"/>
              <w:rPr>
                <w:noProof/>
                <w:sz w:val="20"/>
                <w:szCs w:val="20"/>
              </w:rPr>
            </w:pPr>
            <w:r w:rsidRPr="00C47F2F">
              <w:rPr>
                <w:noProof/>
                <w:sz w:val="20"/>
                <w:szCs w:val="20"/>
              </w:rPr>
              <w:t>7.60E-03</w:t>
            </w:r>
          </w:p>
        </w:tc>
        <w:tc>
          <w:tcPr>
            <w:tcW w:w="1015" w:type="dxa"/>
            <w:shd w:val="clear" w:color="auto" w:fill="auto"/>
            <w:noWrap/>
            <w:vAlign w:val="center"/>
            <w:hideMark/>
          </w:tcPr>
          <w:p w14:paraId="23FD5986" w14:textId="77777777" w:rsidR="00BE5A6D" w:rsidRPr="00C47F2F" w:rsidRDefault="00BE5A6D" w:rsidP="001A483B">
            <w:pPr>
              <w:pStyle w:val="Table"/>
              <w:rPr>
                <w:noProof/>
                <w:sz w:val="20"/>
                <w:szCs w:val="20"/>
              </w:rPr>
            </w:pPr>
            <w:r w:rsidRPr="00C47F2F">
              <w:rPr>
                <w:noProof/>
                <w:sz w:val="20"/>
                <w:szCs w:val="20"/>
              </w:rPr>
              <w:t>7.60E-03</w:t>
            </w:r>
          </w:p>
        </w:tc>
      </w:tr>
      <w:tr w:rsidR="00BE5A6D" w:rsidRPr="00972C81" w14:paraId="11E92D9D" w14:textId="77777777" w:rsidTr="001A483B">
        <w:trPr>
          <w:trHeight w:val="340"/>
        </w:trPr>
        <w:tc>
          <w:tcPr>
            <w:tcW w:w="2938" w:type="dxa"/>
            <w:shd w:val="clear" w:color="auto" w:fill="auto"/>
            <w:noWrap/>
            <w:vAlign w:val="center"/>
            <w:hideMark/>
          </w:tcPr>
          <w:p w14:paraId="0979001E" w14:textId="7E1F6B6D" w:rsidR="00BE5A6D" w:rsidRPr="00BE5A6D" w:rsidRDefault="00BE5A6D" w:rsidP="001A483B">
            <w:pPr>
              <w:pStyle w:val="Table"/>
              <w:rPr>
                <w:noProof/>
                <w:sz w:val="20"/>
                <w:szCs w:val="22"/>
              </w:rPr>
            </w:pPr>
            <w:r w:rsidRPr="00BE5A6D">
              <w:rPr>
                <w:noProof/>
                <w:sz w:val="20"/>
                <w:szCs w:val="22"/>
              </w:rPr>
              <w:t xml:space="preserve">Cort bone surf to Cort marrow </w:t>
            </w:r>
          </w:p>
        </w:tc>
        <w:tc>
          <w:tcPr>
            <w:tcW w:w="1014" w:type="dxa"/>
            <w:shd w:val="clear" w:color="auto" w:fill="auto"/>
            <w:noWrap/>
            <w:vAlign w:val="center"/>
            <w:hideMark/>
          </w:tcPr>
          <w:p w14:paraId="02063813" w14:textId="77777777" w:rsidR="00BE5A6D" w:rsidRPr="00C47F2F" w:rsidRDefault="00BE5A6D" w:rsidP="001A483B">
            <w:pPr>
              <w:pStyle w:val="Table"/>
              <w:rPr>
                <w:noProof/>
                <w:sz w:val="20"/>
                <w:szCs w:val="20"/>
              </w:rPr>
            </w:pPr>
            <w:r w:rsidRPr="00C47F2F">
              <w:rPr>
                <w:noProof/>
                <w:sz w:val="20"/>
                <w:szCs w:val="20"/>
              </w:rPr>
              <w:t>8.22E-03</w:t>
            </w:r>
          </w:p>
        </w:tc>
        <w:tc>
          <w:tcPr>
            <w:tcW w:w="1015" w:type="dxa"/>
            <w:shd w:val="clear" w:color="auto" w:fill="auto"/>
            <w:noWrap/>
            <w:vAlign w:val="center"/>
            <w:hideMark/>
          </w:tcPr>
          <w:p w14:paraId="43A1D4B8" w14:textId="77777777" w:rsidR="00BE5A6D" w:rsidRPr="00C47F2F" w:rsidRDefault="00BE5A6D" w:rsidP="001A483B">
            <w:pPr>
              <w:pStyle w:val="Table"/>
              <w:rPr>
                <w:noProof/>
                <w:sz w:val="20"/>
                <w:szCs w:val="20"/>
              </w:rPr>
            </w:pPr>
            <w:r w:rsidRPr="00C47F2F">
              <w:rPr>
                <w:noProof/>
                <w:sz w:val="20"/>
                <w:szCs w:val="20"/>
              </w:rPr>
              <w:t>2.88E-03</w:t>
            </w:r>
          </w:p>
        </w:tc>
        <w:tc>
          <w:tcPr>
            <w:tcW w:w="1015" w:type="dxa"/>
            <w:shd w:val="clear" w:color="auto" w:fill="auto"/>
            <w:noWrap/>
            <w:vAlign w:val="center"/>
            <w:hideMark/>
          </w:tcPr>
          <w:p w14:paraId="326A69F1" w14:textId="77777777" w:rsidR="00BE5A6D" w:rsidRPr="00C47F2F" w:rsidRDefault="00BE5A6D" w:rsidP="001A483B">
            <w:pPr>
              <w:pStyle w:val="Table"/>
              <w:rPr>
                <w:noProof/>
                <w:sz w:val="20"/>
                <w:szCs w:val="20"/>
              </w:rPr>
            </w:pPr>
            <w:r w:rsidRPr="00C47F2F">
              <w:rPr>
                <w:noProof/>
                <w:sz w:val="20"/>
                <w:szCs w:val="20"/>
              </w:rPr>
              <w:t>1.53E-03</w:t>
            </w:r>
          </w:p>
        </w:tc>
        <w:tc>
          <w:tcPr>
            <w:tcW w:w="1015" w:type="dxa"/>
            <w:shd w:val="clear" w:color="auto" w:fill="auto"/>
            <w:noWrap/>
            <w:vAlign w:val="center"/>
            <w:hideMark/>
          </w:tcPr>
          <w:p w14:paraId="376F1DE4" w14:textId="77777777" w:rsidR="00BE5A6D" w:rsidRPr="00C47F2F" w:rsidRDefault="00BE5A6D" w:rsidP="001A483B">
            <w:pPr>
              <w:pStyle w:val="Table"/>
              <w:rPr>
                <w:noProof/>
                <w:sz w:val="20"/>
                <w:szCs w:val="20"/>
              </w:rPr>
            </w:pPr>
            <w:r w:rsidRPr="00C47F2F">
              <w:rPr>
                <w:noProof/>
                <w:sz w:val="20"/>
                <w:szCs w:val="20"/>
              </w:rPr>
              <w:t>9.04E-04</w:t>
            </w:r>
          </w:p>
        </w:tc>
        <w:tc>
          <w:tcPr>
            <w:tcW w:w="1015" w:type="dxa"/>
            <w:shd w:val="clear" w:color="auto" w:fill="auto"/>
            <w:noWrap/>
            <w:vAlign w:val="center"/>
            <w:hideMark/>
          </w:tcPr>
          <w:p w14:paraId="3CDA776A" w14:textId="77777777" w:rsidR="00BE5A6D" w:rsidRPr="00C47F2F" w:rsidRDefault="00BE5A6D" w:rsidP="001A483B">
            <w:pPr>
              <w:pStyle w:val="Table"/>
              <w:rPr>
                <w:noProof/>
                <w:sz w:val="20"/>
                <w:szCs w:val="20"/>
              </w:rPr>
            </w:pPr>
            <w:r w:rsidRPr="00C47F2F">
              <w:rPr>
                <w:noProof/>
                <w:sz w:val="20"/>
                <w:szCs w:val="20"/>
              </w:rPr>
              <w:t>5.21E-04</w:t>
            </w:r>
          </w:p>
        </w:tc>
        <w:tc>
          <w:tcPr>
            <w:tcW w:w="1015" w:type="dxa"/>
            <w:shd w:val="clear" w:color="auto" w:fill="auto"/>
            <w:noWrap/>
            <w:vAlign w:val="center"/>
            <w:hideMark/>
          </w:tcPr>
          <w:p w14:paraId="2423F134" w14:textId="77777777" w:rsidR="00BE5A6D" w:rsidRPr="00C47F2F" w:rsidRDefault="00BE5A6D" w:rsidP="001A483B">
            <w:pPr>
              <w:pStyle w:val="Table"/>
              <w:rPr>
                <w:noProof/>
                <w:sz w:val="20"/>
                <w:szCs w:val="20"/>
              </w:rPr>
            </w:pPr>
            <w:r w:rsidRPr="00C47F2F">
              <w:rPr>
                <w:noProof/>
                <w:sz w:val="20"/>
                <w:szCs w:val="20"/>
              </w:rPr>
              <w:t>8.21E-05</w:t>
            </w:r>
          </w:p>
        </w:tc>
      </w:tr>
      <w:tr w:rsidR="00BE5A6D" w:rsidRPr="00972C81" w14:paraId="26B67427" w14:textId="77777777" w:rsidTr="001A483B">
        <w:trPr>
          <w:trHeight w:val="340"/>
        </w:trPr>
        <w:tc>
          <w:tcPr>
            <w:tcW w:w="2938" w:type="dxa"/>
            <w:shd w:val="clear" w:color="auto" w:fill="auto"/>
            <w:noWrap/>
            <w:vAlign w:val="center"/>
            <w:hideMark/>
          </w:tcPr>
          <w:p w14:paraId="39878BB8" w14:textId="5A7ACC7B" w:rsidR="00BE5A6D" w:rsidRPr="00BE5A6D" w:rsidRDefault="00BE5A6D" w:rsidP="001A483B">
            <w:pPr>
              <w:pStyle w:val="Table"/>
              <w:rPr>
                <w:noProof/>
                <w:sz w:val="20"/>
                <w:szCs w:val="22"/>
              </w:rPr>
            </w:pPr>
            <w:r w:rsidRPr="00BE5A6D">
              <w:rPr>
                <w:noProof/>
                <w:sz w:val="20"/>
                <w:szCs w:val="22"/>
              </w:rPr>
              <w:t>Cort bone surf to Cort bone vol</w:t>
            </w:r>
          </w:p>
        </w:tc>
        <w:tc>
          <w:tcPr>
            <w:tcW w:w="1014" w:type="dxa"/>
            <w:shd w:val="clear" w:color="auto" w:fill="auto"/>
            <w:noWrap/>
            <w:vAlign w:val="center"/>
            <w:hideMark/>
          </w:tcPr>
          <w:p w14:paraId="2007E7B7" w14:textId="77777777" w:rsidR="00BE5A6D" w:rsidRPr="00C47F2F" w:rsidRDefault="00BE5A6D" w:rsidP="001A483B">
            <w:pPr>
              <w:pStyle w:val="Table"/>
              <w:rPr>
                <w:noProof/>
                <w:sz w:val="20"/>
                <w:szCs w:val="20"/>
              </w:rPr>
            </w:pPr>
            <w:r w:rsidRPr="00C47F2F">
              <w:rPr>
                <w:noProof/>
                <w:sz w:val="20"/>
                <w:szCs w:val="20"/>
              </w:rPr>
              <w:t>8.22E-03</w:t>
            </w:r>
          </w:p>
        </w:tc>
        <w:tc>
          <w:tcPr>
            <w:tcW w:w="1015" w:type="dxa"/>
            <w:shd w:val="clear" w:color="auto" w:fill="auto"/>
            <w:noWrap/>
            <w:vAlign w:val="center"/>
            <w:hideMark/>
          </w:tcPr>
          <w:p w14:paraId="6A511119" w14:textId="77777777" w:rsidR="00BE5A6D" w:rsidRPr="00C47F2F" w:rsidRDefault="00BE5A6D" w:rsidP="001A483B">
            <w:pPr>
              <w:pStyle w:val="Table"/>
              <w:rPr>
                <w:noProof/>
                <w:sz w:val="20"/>
                <w:szCs w:val="20"/>
              </w:rPr>
            </w:pPr>
            <w:r w:rsidRPr="00C47F2F">
              <w:rPr>
                <w:noProof/>
                <w:sz w:val="20"/>
                <w:szCs w:val="20"/>
              </w:rPr>
              <w:t>2.88E-03</w:t>
            </w:r>
          </w:p>
        </w:tc>
        <w:tc>
          <w:tcPr>
            <w:tcW w:w="1015" w:type="dxa"/>
            <w:shd w:val="clear" w:color="auto" w:fill="auto"/>
            <w:noWrap/>
            <w:vAlign w:val="center"/>
            <w:hideMark/>
          </w:tcPr>
          <w:p w14:paraId="4309E012" w14:textId="77777777" w:rsidR="00BE5A6D" w:rsidRPr="00C47F2F" w:rsidRDefault="00BE5A6D" w:rsidP="001A483B">
            <w:pPr>
              <w:pStyle w:val="Table"/>
              <w:rPr>
                <w:noProof/>
                <w:sz w:val="20"/>
                <w:szCs w:val="20"/>
              </w:rPr>
            </w:pPr>
            <w:r w:rsidRPr="00C47F2F">
              <w:rPr>
                <w:noProof/>
                <w:sz w:val="20"/>
                <w:szCs w:val="20"/>
              </w:rPr>
              <w:t>1.53E-03</w:t>
            </w:r>
          </w:p>
        </w:tc>
        <w:tc>
          <w:tcPr>
            <w:tcW w:w="1015" w:type="dxa"/>
            <w:shd w:val="clear" w:color="auto" w:fill="auto"/>
            <w:noWrap/>
            <w:vAlign w:val="center"/>
            <w:hideMark/>
          </w:tcPr>
          <w:p w14:paraId="6CE5F345" w14:textId="77777777" w:rsidR="00BE5A6D" w:rsidRPr="00C47F2F" w:rsidRDefault="00BE5A6D" w:rsidP="001A483B">
            <w:pPr>
              <w:pStyle w:val="Table"/>
              <w:rPr>
                <w:noProof/>
                <w:sz w:val="20"/>
                <w:szCs w:val="20"/>
              </w:rPr>
            </w:pPr>
            <w:r w:rsidRPr="00C47F2F">
              <w:rPr>
                <w:noProof/>
                <w:sz w:val="20"/>
                <w:szCs w:val="20"/>
              </w:rPr>
              <w:t>9.04E-04</w:t>
            </w:r>
          </w:p>
        </w:tc>
        <w:tc>
          <w:tcPr>
            <w:tcW w:w="1015" w:type="dxa"/>
            <w:shd w:val="clear" w:color="auto" w:fill="auto"/>
            <w:noWrap/>
            <w:vAlign w:val="center"/>
            <w:hideMark/>
          </w:tcPr>
          <w:p w14:paraId="4CB28B03" w14:textId="77777777" w:rsidR="00BE5A6D" w:rsidRPr="00C47F2F" w:rsidRDefault="00BE5A6D" w:rsidP="001A483B">
            <w:pPr>
              <w:pStyle w:val="Table"/>
              <w:rPr>
                <w:noProof/>
                <w:sz w:val="20"/>
                <w:szCs w:val="20"/>
              </w:rPr>
            </w:pPr>
            <w:r w:rsidRPr="00C47F2F">
              <w:rPr>
                <w:noProof/>
                <w:sz w:val="20"/>
                <w:szCs w:val="20"/>
              </w:rPr>
              <w:t>5.21E-04</w:t>
            </w:r>
          </w:p>
        </w:tc>
        <w:tc>
          <w:tcPr>
            <w:tcW w:w="1015" w:type="dxa"/>
            <w:shd w:val="clear" w:color="auto" w:fill="auto"/>
            <w:noWrap/>
            <w:vAlign w:val="center"/>
            <w:hideMark/>
          </w:tcPr>
          <w:p w14:paraId="788BCFF9" w14:textId="77777777" w:rsidR="00BE5A6D" w:rsidRPr="00C47F2F" w:rsidRDefault="00BE5A6D" w:rsidP="001A483B">
            <w:pPr>
              <w:pStyle w:val="Table"/>
              <w:rPr>
                <w:noProof/>
                <w:sz w:val="20"/>
                <w:szCs w:val="20"/>
              </w:rPr>
            </w:pPr>
            <w:r w:rsidRPr="00C47F2F">
              <w:rPr>
                <w:noProof/>
                <w:sz w:val="20"/>
                <w:szCs w:val="20"/>
              </w:rPr>
              <w:t>4.11E-05</w:t>
            </w:r>
          </w:p>
        </w:tc>
      </w:tr>
      <w:tr w:rsidR="00BE5A6D" w:rsidRPr="00972C81" w14:paraId="3DD3C373" w14:textId="77777777" w:rsidTr="001A483B">
        <w:trPr>
          <w:trHeight w:val="340"/>
        </w:trPr>
        <w:tc>
          <w:tcPr>
            <w:tcW w:w="2938" w:type="dxa"/>
            <w:shd w:val="clear" w:color="auto" w:fill="auto"/>
            <w:noWrap/>
            <w:vAlign w:val="center"/>
            <w:hideMark/>
          </w:tcPr>
          <w:p w14:paraId="4092B6D6" w14:textId="02F7860D" w:rsidR="00BE5A6D" w:rsidRPr="00BE5A6D" w:rsidRDefault="00BE5A6D" w:rsidP="001A483B">
            <w:pPr>
              <w:pStyle w:val="Table"/>
              <w:rPr>
                <w:noProof/>
                <w:sz w:val="20"/>
                <w:szCs w:val="22"/>
              </w:rPr>
            </w:pPr>
            <w:r w:rsidRPr="00BE5A6D">
              <w:rPr>
                <w:noProof/>
                <w:sz w:val="20"/>
                <w:szCs w:val="22"/>
              </w:rPr>
              <w:t>Cort bone vol to Cort marrow</w:t>
            </w:r>
          </w:p>
        </w:tc>
        <w:tc>
          <w:tcPr>
            <w:tcW w:w="1014" w:type="dxa"/>
            <w:shd w:val="clear" w:color="auto" w:fill="auto"/>
            <w:noWrap/>
            <w:vAlign w:val="center"/>
            <w:hideMark/>
          </w:tcPr>
          <w:p w14:paraId="577D1232" w14:textId="77777777" w:rsidR="00BE5A6D" w:rsidRPr="00C47F2F" w:rsidRDefault="00BE5A6D" w:rsidP="001A483B">
            <w:pPr>
              <w:pStyle w:val="Table"/>
              <w:rPr>
                <w:noProof/>
                <w:sz w:val="20"/>
                <w:szCs w:val="20"/>
              </w:rPr>
            </w:pPr>
            <w:r w:rsidRPr="00C47F2F">
              <w:rPr>
                <w:noProof/>
                <w:sz w:val="20"/>
                <w:szCs w:val="20"/>
              </w:rPr>
              <w:t>8.22E-03</w:t>
            </w:r>
          </w:p>
        </w:tc>
        <w:tc>
          <w:tcPr>
            <w:tcW w:w="1015" w:type="dxa"/>
            <w:shd w:val="clear" w:color="auto" w:fill="auto"/>
            <w:noWrap/>
            <w:vAlign w:val="center"/>
            <w:hideMark/>
          </w:tcPr>
          <w:p w14:paraId="742FFBED" w14:textId="77777777" w:rsidR="00BE5A6D" w:rsidRPr="00C47F2F" w:rsidRDefault="00BE5A6D" w:rsidP="001A483B">
            <w:pPr>
              <w:pStyle w:val="Table"/>
              <w:rPr>
                <w:noProof/>
                <w:sz w:val="20"/>
                <w:szCs w:val="20"/>
              </w:rPr>
            </w:pPr>
            <w:r w:rsidRPr="00C47F2F">
              <w:rPr>
                <w:noProof/>
                <w:sz w:val="20"/>
                <w:szCs w:val="20"/>
              </w:rPr>
              <w:t>2.88E-03</w:t>
            </w:r>
          </w:p>
        </w:tc>
        <w:tc>
          <w:tcPr>
            <w:tcW w:w="1015" w:type="dxa"/>
            <w:shd w:val="clear" w:color="auto" w:fill="auto"/>
            <w:noWrap/>
            <w:vAlign w:val="center"/>
            <w:hideMark/>
          </w:tcPr>
          <w:p w14:paraId="6FE0A549" w14:textId="77777777" w:rsidR="00BE5A6D" w:rsidRPr="00C47F2F" w:rsidRDefault="00BE5A6D" w:rsidP="001A483B">
            <w:pPr>
              <w:pStyle w:val="Table"/>
              <w:rPr>
                <w:noProof/>
                <w:sz w:val="20"/>
                <w:szCs w:val="20"/>
              </w:rPr>
            </w:pPr>
            <w:r w:rsidRPr="00C47F2F">
              <w:rPr>
                <w:noProof/>
                <w:sz w:val="20"/>
                <w:szCs w:val="20"/>
              </w:rPr>
              <w:t>1.53E-03</w:t>
            </w:r>
          </w:p>
        </w:tc>
        <w:tc>
          <w:tcPr>
            <w:tcW w:w="1015" w:type="dxa"/>
            <w:shd w:val="clear" w:color="auto" w:fill="auto"/>
            <w:noWrap/>
            <w:vAlign w:val="center"/>
            <w:hideMark/>
          </w:tcPr>
          <w:p w14:paraId="1831DAD5" w14:textId="77777777" w:rsidR="00BE5A6D" w:rsidRPr="00C47F2F" w:rsidRDefault="00BE5A6D" w:rsidP="001A483B">
            <w:pPr>
              <w:pStyle w:val="Table"/>
              <w:rPr>
                <w:noProof/>
                <w:sz w:val="20"/>
                <w:szCs w:val="20"/>
              </w:rPr>
            </w:pPr>
            <w:r w:rsidRPr="00C47F2F">
              <w:rPr>
                <w:noProof/>
                <w:sz w:val="20"/>
                <w:szCs w:val="20"/>
              </w:rPr>
              <w:t>9.04E-04</w:t>
            </w:r>
          </w:p>
        </w:tc>
        <w:tc>
          <w:tcPr>
            <w:tcW w:w="1015" w:type="dxa"/>
            <w:shd w:val="clear" w:color="auto" w:fill="auto"/>
            <w:noWrap/>
            <w:vAlign w:val="center"/>
            <w:hideMark/>
          </w:tcPr>
          <w:p w14:paraId="4BA4D3DA" w14:textId="77777777" w:rsidR="00BE5A6D" w:rsidRPr="00C47F2F" w:rsidRDefault="00BE5A6D" w:rsidP="001A483B">
            <w:pPr>
              <w:pStyle w:val="Table"/>
              <w:rPr>
                <w:noProof/>
                <w:sz w:val="20"/>
                <w:szCs w:val="20"/>
              </w:rPr>
            </w:pPr>
            <w:r w:rsidRPr="00C47F2F">
              <w:rPr>
                <w:noProof/>
                <w:sz w:val="20"/>
                <w:szCs w:val="20"/>
              </w:rPr>
              <w:t>5.21E-04</w:t>
            </w:r>
          </w:p>
        </w:tc>
        <w:tc>
          <w:tcPr>
            <w:tcW w:w="1015" w:type="dxa"/>
            <w:shd w:val="clear" w:color="auto" w:fill="auto"/>
            <w:noWrap/>
            <w:vAlign w:val="center"/>
            <w:hideMark/>
          </w:tcPr>
          <w:p w14:paraId="0D602E10" w14:textId="77777777" w:rsidR="00BE5A6D" w:rsidRPr="00C47F2F" w:rsidRDefault="00BE5A6D" w:rsidP="001A483B">
            <w:pPr>
              <w:pStyle w:val="Table"/>
              <w:rPr>
                <w:noProof/>
                <w:sz w:val="20"/>
                <w:szCs w:val="20"/>
              </w:rPr>
            </w:pPr>
            <w:r w:rsidRPr="00C47F2F">
              <w:rPr>
                <w:noProof/>
                <w:sz w:val="20"/>
                <w:szCs w:val="20"/>
              </w:rPr>
              <w:t>8.21E-05</w:t>
            </w:r>
          </w:p>
        </w:tc>
      </w:tr>
      <w:tr w:rsidR="00BE5A6D" w:rsidRPr="00972C81" w14:paraId="4CF100D0" w14:textId="77777777" w:rsidTr="001A483B">
        <w:trPr>
          <w:trHeight w:val="340"/>
        </w:trPr>
        <w:tc>
          <w:tcPr>
            <w:tcW w:w="2938" w:type="dxa"/>
            <w:shd w:val="clear" w:color="auto" w:fill="auto"/>
            <w:noWrap/>
            <w:vAlign w:val="center"/>
            <w:hideMark/>
          </w:tcPr>
          <w:p w14:paraId="7FFDEFFC" w14:textId="2906120E" w:rsidR="00BE5A6D" w:rsidRPr="00BE5A6D" w:rsidRDefault="00BE5A6D" w:rsidP="001A483B">
            <w:pPr>
              <w:pStyle w:val="Table"/>
              <w:rPr>
                <w:noProof/>
                <w:sz w:val="20"/>
                <w:szCs w:val="22"/>
              </w:rPr>
            </w:pPr>
            <w:r w:rsidRPr="00BE5A6D">
              <w:rPr>
                <w:noProof/>
                <w:sz w:val="20"/>
                <w:szCs w:val="22"/>
              </w:rPr>
              <w:t>Trab marrow to Blood</w:t>
            </w:r>
          </w:p>
        </w:tc>
        <w:tc>
          <w:tcPr>
            <w:tcW w:w="1014" w:type="dxa"/>
            <w:shd w:val="clear" w:color="auto" w:fill="auto"/>
            <w:noWrap/>
            <w:vAlign w:val="center"/>
            <w:hideMark/>
          </w:tcPr>
          <w:p w14:paraId="4BEC9540" w14:textId="77777777" w:rsidR="00BE5A6D" w:rsidRPr="00C47F2F" w:rsidRDefault="00BE5A6D" w:rsidP="001A483B">
            <w:pPr>
              <w:pStyle w:val="Table"/>
              <w:rPr>
                <w:noProof/>
                <w:sz w:val="20"/>
                <w:szCs w:val="20"/>
              </w:rPr>
            </w:pPr>
            <w:r w:rsidRPr="00C47F2F">
              <w:rPr>
                <w:noProof/>
                <w:sz w:val="20"/>
                <w:szCs w:val="20"/>
              </w:rPr>
              <w:t>7.60E-03</w:t>
            </w:r>
          </w:p>
        </w:tc>
        <w:tc>
          <w:tcPr>
            <w:tcW w:w="1015" w:type="dxa"/>
            <w:shd w:val="clear" w:color="auto" w:fill="auto"/>
            <w:noWrap/>
            <w:vAlign w:val="center"/>
            <w:hideMark/>
          </w:tcPr>
          <w:p w14:paraId="4E269815" w14:textId="77777777" w:rsidR="00BE5A6D" w:rsidRPr="00C47F2F" w:rsidRDefault="00BE5A6D" w:rsidP="001A483B">
            <w:pPr>
              <w:pStyle w:val="Table"/>
              <w:rPr>
                <w:noProof/>
                <w:sz w:val="20"/>
                <w:szCs w:val="20"/>
              </w:rPr>
            </w:pPr>
            <w:r w:rsidRPr="00C47F2F">
              <w:rPr>
                <w:noProof/>
                <w:sz w:val="20"/>
                <w:szCs w:val="20"/>
              </w:rPr>
              <w:t>7.60E-03</w:t>
            </w:r>
          </w:p>
        </w:tc>
        <w:tc>
          <w:tcPr>
            <w:tcW w:w="1015" w:type="dxa"/>
            <w:shd w:val="clear" w:color="auto" w:fill="auto"/>
            <w:noWrap/>
            <w:vAlign w:val="center"/>
            <w:hideMark/>
          </w:tcPr>
          <w:p w14:paraId="39A543AF" w14:textId="77777777" w:rsidR="00BE5A6D" w:rsidRPr="00C47F2F" w:rsidRDefault="00BE5A6D" w:rsidP="001A483B">
            <w:pPr>
              <w:pStyle w:val="Table"/>
              <w:rPr>
                <w:noProof/>
                <w:sz w:val="20"/>
                <w:szCs w:val="20"/>
              </w:rPr>
            </w:pPr>
            <w:r w:rsidRPr="00C47F2F">
              <w:rPr>
                <w:noProof/>
                <w:sz w:val="20"/>
                <w:szCs w:val="20"/>
              </w:rPr>
              <w:t>7.60E-03</w:t>
            </w:r>
          </w:p>
        </w:tc>
        <w:tc>
          <w:tcPr>
            <w:tcW w:w="1015" w:type="dxa"/>
            <w:shd w:val="clear" w:color="auto" w:fill="auto"/>
            <w:noWrap/>
            <w:vAlign w:val="center"/>
            <w:hideMark/>
          </w:tcPr>
          <w:p w14:paraId="14225330" w14:textId="77777777" w:rsidR="00BE5A6D" w:rsidRPr="00C47F2F" w:rsidRDefault="00BE5A6D" w:rsidP="001A483B">
            <w:pPr>
              <w:pStyle w:val="Table"/>
              <w:rPr>
                <w:noProof/>
                <w:sz w:val="20"/>
                <w:szCs w:val="20"/>
              </w:rPr>
            </w:pPr>
            <w:r w:rsidRPr="00C47F2F">
              <w:rPr>
                <w:noProof/>
                <w:sz w:val="20"/>
                <w:szCs w:val="20"/>
              </w:rPr>
              <w:t>7.60E-03</w:t>
            </w:r>
          </w:p>
        </w:tc>
        <w:tc>
          <w:tcPr>
            <w:tcW w:w="1015" w:type="dxa"/>
            <w:shd w:val="clear" w:color="auto" w:fill="auto"/>
            <w:noWrap/>
            <w:vAlign w:val="center"/>
            <w:hideMark/>
          </w:tcPr>
          <w:p w14:paraId="03DE1E46" w14:textId="77777777" w:rsidR="00BE5A6D" w:rsidRPr="00C47F2F" w:rsidRDefault="00BE5A6D" w:rsidP="001A483B">
            <w:pPr>
              <w:pStyle w:val="Table"/>
              <w:rPr>
                <w:noProof/>
                <w:sz w:val="20"/>
                <w:szCs w:val="20"/>
              </w:rPr>
            </w:pPr>
            <w:r w:rsidRPr="00C47F2F">
              <w:rPr>
                <w:noProof/>
                <w:sz w:val="20"/>
                <w:szCs w:val="20"/>
              </w:rPr>
              <w:t>7.60E-03</w:t>
            </w:r>
          </w:p>
        </w:tc>
        <w:tc>
          <w:tcPr>
            <w:tcW w:w="1015" w:type="dxa"/>
            <w:shd w:val="clear" w:color="auto" w:fill="auto"/>
            <w:noWrap/>
            <w:vAlign w:val="center"/>
            <w:hideMark/>
          </w:tcPr>
          <w:p w14:paraId="7B3C21FE" w14:textId="77777777" w:rsidR="00BE5A6D" w:rsidRPr="00C47F2F" w:rsidRDefault="00BE5A6D" w:rsidP="001A483B">
            <w:pPr>
              <w:pStyle w:val="Table"/>
              <w:rPr>
                <w:noProof/>
                <w:sz w:val="20"/>
                <w:szCs w:val="20"/>
              </w:rPr>
            </w:pPr>
            <w:r w:rsidRPr="00C47F2F">
              <w:rPr>
                <w:noProof/>
                <w:sz w:val="20"/>
                <w:szCs w:val="20"/>
              </w:rPr>
              <w:t>7.60E-03</w:t>
            </w:r>
          </w:p>
        </w:tc>
      </w:tr>
      <w:tr w:rsidR="00BE5A6D" w:rsidRPr="00972C81" w14:paraId="15197A53" w14:textId="77777777" w:rsidTr="001A483B">
        <w:trPr>
          <w:trHeight w:val="340"/>
        </w:trPr>
        <w:tc>
          <w:tcPr>
            <w:tcW w:w="2938" w:type="dxa"/>
            <w:shd w:val="clear" w:color="auto" w:fill="auto"/>
            <w:noWrap/>
            <w:vAlign w:val="center"/>
            <w:hideMark/>
          </w:tcPr>
          <w:p w14:paraId="54B908D9" w14:textId="458FEDAB" w:rsidR="00BE5A6D" w:rsidRPr="00BE5A6D" w:rsidRDefault="00BE5A6D" w:rsidP="001A483B">
            <w:pPr>
              <w:pStyle w:val="Table"/>
              <w:rPr>
                <w:noProof/>
                <w:sz w:val="20"/>
                <w:szCs w:val="22"/>
              </w:rPr>
            </w:pPr>
            <w:r w:rsidRPr="00BE5A6D">
              <w:rPr>
                <w:noProof/>
                <w:sz w:val="20"/>
                <w:szCs w:val="22"/>
              </w:rPr>
              <w:t>Trab bone surf to Trab marrow</w:t>
            </w:r>
          </w:p>
        </w:tc>
        <w:tc>
          <w:tcPr>
            <w:tcW w:w="1014" w:type="dxa"/>
            <w:shd w:val="clear" w:color="auto" w:fill="auto"/>
            <w:noWrap/>
            <w:vAlign w:val="center"/>
            <w:hideMark/>
          </w:tcPr>
          <w:p w14:paraId="59954C24" w14:textId="77777777" w:rsidR="00BE5A6D" w:rsidRPr="00C47F2F" w:rsidRDefault="00BE5A6D" w:rsidP="001A483B">
            <w:pPr>
              <w:pStyle w:val="Table"/>
              <w:rPr>
                <w:noProof/>
                <w:sz w:val="20"/>
                <w:szCs w:val="20"/>
              </w:rPr>
            </w:pPr>
            <w:r w:rsidRPr="00C47F2F">
              <w:rPr>
                <w:noProof/>
                <w:sz w:val="20"/>
                <w:szCs w:val="20"/>
              </w:rPr>
              <w:t>8.22E-03</w:t>
            </w:r>
          </w:p>
        </w:tc>
        <w:tc>
          <w:tcPr>
            <w:tcW w:w="1015" w:type="dxa"/>
            <w:shd w:val="clear" w:color="auto" w:fill="auto"/>
            <w:noWrap/>
            <w:vAlign w:val="center"/>
            <w:hideMark/>
          </w:tcPr>
          <w:p w14:paraId="4F96DCB7" w14:textId="77777777" w:rsidR="00BE5A6D" w:rsidRPr="00C47F2F" w:rsidRDefault="00BE5A6D" w:rsidP="001A483B">
            <w:pPr>
              <w:pStyle w:val="Table"/>
              <w:rPr>
                <w:noProof/>
                <w:sz w:val="20"/>
                <w:szCs w:val="20"/>
              </w:rPr>
            </w:pPr>
            <w:r w:rsidRPr="00C47F2F">
              <w:rPr>
                <w:noProof/>
                <w:sz w:val="20"/>
                <w:szCs w:val="20"/>
              </w:rPr>
              <w:t>2.88E-03</w:t>
            </w:r>
          </w:p>
        </w:tc>
        <w:tc>
          <w:tcPr>
            <w:tcW w:w="1015" w:type="dxa"/>
            <w:shd w:val="clear" w:color="auto" w:fill="auto"/>
            <w:noWrap/>
            <w:vAlign w:val="center"/>
            <w:hideMark/>
          </w:tcPr>
          <w:p w14:paraId="699E37F0" w14:textId="77777777" w:rsidR="00BE5A6D" w:rsidRPr="00C47F2F" w:rsidRDefault="00BE5A6D" w:rsidP="001A483B">
            <w:pPr>
              <w:pStyle w:val="Table"/>
              <w:rPr>
                <w:noProof/>
                <w:sz w:val="20"/>
                <w:szCs w:val="20"/>
              </w:rPr>
            </w:pPr>
            <w:r w:rsidRPr="00C47F2F">
              <w:rPr>
                <w:noProof/>
                <w:sz w:val="20"/>
                <w:szCs w:val="20"/>
              </w:rPr>
              <w:t>1.81E-03</w:t>
            </w:r>
          </w:p>
        </w:tc>
        <w:tc>
          <w:tcPr>
            <w:tcW w:w="1015" w:type="dxa"/>
            <w:shd w:val="clear" w:color="auto" w:fill="auto"/>
            <w:noWrap/>
            <w:vAlign w:val="center"/>
            <w:hideMark/>
          </w:tcPr>
          <w:p w14:paraId="75D4DBC2" w14:textId="77777777" w:rsidR="00BE5A6D" w:rsidRPr="00C47F2F" w:rsidRDefault="00BE5A6D" w:rsidP="001A483B">
            <w:pPr>
              <w:pStyle w:val="Table"/>
              <w:rPr>
                <w:noProof/>
                <w:sz w:val="20"/>
                <w:szCs w:val="20"/>
              </w:rPr>
            </w:pPr>
            <w:r w:rsidRPr="00C47F2F">
              <w:rPr>
                <w:noProof/>
                <w:sz w:val="20"/>
                <w:szCs w:val="20"/>
              </w:rPr>
              <w:t>1.32E-03</w:t>
            </w:r>
          </w:p>
        </w:tc>
        <w:tc>
          <w:tcPr>
            <w:tcW w:w="1015" w:type="dxa"/>
            <w:shd w:val="clear" w:color="auto" w:fill="auto"/>
            <w:noWrap/>
            <w:vAlign w:val="center"/>
            <w:hideMark/>
          </w:tcPr>
          <w:p w14:paraId="01FF9F0F" w14:textId="77777777" w:rsidR="00BE5A6D" w:rsidRPr="00C47F2F" w:rsidRDefault="00BE5A6D" w:rsidP="001A483B">
            <w:pPr>
              <w:pStyle w:val="Table"/>
              <w:rPr>
                <w:noProof/>
                <w:sz w:val="20"/>
                <w:szCs w:val="20"/>
              </w:rPr>
            </w:pPr>
            <w:r w:rsidRPr="00C47F2F">
              <w:rPr>
                <w:noProof/>
                <w:sz w:val="20"/>
                <w:szCs w:val="20"/>
              </w:rPr>
              <w:t>9.59E-04</w:t>
            </w:r>
          </w:p>
        </w:tc>
        <w:tc>
          <w:tcPr>
            <w:tcW w:w="1015" w:type="dxa"/>
            <w:shd w:val="clear" w:color="auto" w:fill="auto"/>
            <w:noWrap/>
            <w:vAlign w:val="center"/>
            <w:hideMark/>
          </w:tcPr>
          <w:p w14:paraId="4685C669" w14:textId="77777777" w:rsidR="00BE5A6D" w:rsidRPr="00C47F2F" w:rsidRDefault="00BE5A6D" w:rsidP="001A483B">
            <w:pPr>
              <w:pStyle w:val="Table"/>
              <w:rPr>
                <w:noProof/>
                <w:sz w:val="20"/>
                <w:szCs w:val="20"/>
              </w:rPr>
            </w:pPr>
            <w:r w:rsidRPr="00C47F2F">
              <w:rPr>
                <w:noProof/>
                <w:sz w:val="20"/>
                <w:szCs w:val="20"/>
              </w:rPr>
              <w:t>4.93E-04</w:t>
            </w:r>
          </w:p>
        </w:tc>
      </w:tr>
      <w:tr w:rsidR="00BE5A6D" w:rsidRPr="00972C81" w14:paraId="5E0BF961" w14:textId="77777777" w:rsidTr="001A483B">
        <w:trPr>
          <w:trHeight w:val="340"/>
        </w:trPr>
        <w:tc>
          <w:tcPr>
            <w:tcW w:w="2938" w:type="dxa"/>
            <w:shd w:val="clear" w:color="auto" w:fill="auto"/>
            <w:noWrap/>
            <w:vAlign w:val="center"/>
            <w:hideMark/>
          </w:tcPr>
          <w:p w14:paraId="0D7673E8" w14:textId="605E0193" w:rsidR="00BE5A6D" w:rsidRPr="00BE5A6D" w:rsidRDefault="00BE5A6D" w:rsidP="001A483B">
            <w:pPr>
              <w:pStyle w:val="Table"/>
              <w:rPr>
                <w:noProof/>
                <w:sz w:val="20"/>
                <w:szCs w:val="22"/>
              </w:rPr>
            </w:pPr>
            <w:r w:rsidRPr="00BE5A6D">
              <w:rPr>
                <w:noProof/>
                <w:sz w:val="20"/>
                <w:szCs w:val="22"/>
              </w:rPr>
              <w:t>Trab bone surf to Trab bone vol</w:t>
            </w:r>
          </w:p>
        </w:tc>
        <w:tc>
          <w:tcPr>
            <w:tcW w:w="1014" w:type="dxa"/>
            <w:shd w:val="clear" w:color="auto" w:fill="auto"/>
            <w:noWrap/>
            <w:vAlign w:val="center"/>
            <w:hideMark/>
          </w:tcPr>
          <w:p w14:paraId="14495623" w14:textId="77777777" w:rsidR="00BE5A6D" w:rsidRPr="00C47F2F" w:rsidRDefault="00BE5A6D" w:rsidP="001A483B">
            <w:pPr>
              <w:pStyle w:val="Table"/>
              <w:rPr>
                <w:noProof/>
                <w:sz w:val="20"/>
                <w:szCs w:val="20"/>
              </w:rPr>
            </w:pPr>
            <w:r w:rsidRPr="00C47F2F">
              <w:rPr>
                <w:noProof/>
                <w:sz w:val="20"/>
                <w:szCs w:val="20"/>
              </w:rPr>
              <w:t>8.22E-03</w:t>
            </w:r>
          </w:p>
        </w:tc>
        <w:tc>
          <w:tcPr>
            <w:tcW w:w="1015" w:type="dxa"/>
            <w:shd w:val="clear" w:color="auto" w:fill="auto"/>
            <w:noWrap/>
            <w:vAlign w:val="center"/>
            <w:hideMark/>
          </w:tcPr>
          <w:p w14:paraId="5C7A41CC" w14:textId="77777777" w:rsidR="00BE5A6D" w:rsidRPr="00C47F2F" w:rsidRDefault="00BE5A6D" w:rsidP="001A483B">
            <w:pPr>
              <w:pStyle w:val="Table"/>
              <w:rPr>
                <w:noProof/>
                <w:sz w:val="20"/>
                <w:szCs w:val="20"/>
              </w:rPr>
            </w:pPr>
            <w:r w:rsidRPr="00C47F2F">
              <w:rPr>
                <w:noProof/>
                <w:sz w:val="20"/>
                <w:szCs w:val="20"/>
              </w:rPr>
              <w:t>2.88E-03</w:t>
            </w:r>
          </w:p>
        </w:tc>
        <w:tc>
          <w:tcPr>
            <w:tcW w:w="1015" w:type="dxa"/>
            <w:shd w:val="clear" w:color="auto" w:fill="auto"/>
            <w:noWrap/>
            <w:vAlign w:val="center"/>
            <w:hideMark/>
          </w:tcPr>
          <w:p w14:paraId="593B1B14" w14:textId="77777777" w:rsidR="00BE5A6D" w:rsidRPr="00C47F2F" w:rsidRDefault="00BE5A6D" w:rsidP="001A483B">
            <w:pPr>
              <w:pStyle w:val="Table"/>
              <w:rPr>
                <w:noProof/>
                <w:sz w:val="20"/>
                <w:szCs w:val="20"/>
              </w:rPr>
            </w:pPr>
            <w:r w:rsidRPr="00C47F2F">
              <w:rPr>
                <w:noProof/>
                <w:sz w:val="20"/>
                <w:szCs w:val="20"/>
              </w:rPr>
              <w:t>1.81E-03</w:t>
            </w:r>
          </w:p>
        </w:tc>
        <w:tc>
          <w:tcPr>
            <w:tcW w:w="1015" w:type="dxa"/>
            <w:shd w:val="clear" w:color="auto" w:fill="auto"/>
            <w:noWrap/>
            <w:vAlign w:val="center"/>
            <w:hideMark/>
          </w:tcPr>
          <w:p w14:paraId="4B8AC4A7" w14:textId="77777777" w:rsidR="00BE5A6D" w:rsidRPr="00C47F2F" w:rsidRDefault="00BE5A6D" w:rsidP="001A483B">
            <w:pPr>
              <w:pStyle w:val="Table"/>
              <w:rPr>
                <w:noProof/>
                <w:sz w:val="20"/>
                <w:szCs w:val="20"/>
              </w:rPr>
            </w:pPr>
            <w:r w:rsidRPr="00C47F2F">
              <w:rPr>
                <w:noProof/>
                <w:sz w:val="20"/>
                <w:szCs w:val="20"/>
              </w:rPr>
              <w:t>1.32E-03</w:t>
            </w:r>
          </w:p>
        </w:tc>
        <w:tc>
          <w:tcPr>
            <w:tcW w:w="1015" w:type="dxa"/>
            <w:shd w:val="clear" w:color="auto" w:fill="auto"/>
            <w:noWrap/>
            <w:vAlign w:val="center"/>
            <w:hideMark/>
          </w:tcPr>
          <w:p w14:paraId="25A71436" w14:textId="77777777" w:rsidR="00BE5A6D" w:rsidRPr="00C47F2F" w:rsidRDefault="00BE5A6D" w:rsidP="001A483B">
            <w:pPr>
              <w:pStyle w:val="Table"/>
              <w:rPr>
                <w:noProof/>
                <w:sz w:val="20"/>
                <w:szCs w:val="20"/>
              </w:rPr>
            </w:pPr>
            <w:r w:rsidRPr="00C47F2F">
              <w:rPr>
                <w:noProof/>
                <w:sz w:val="20"/>
                <w:szCs w:val="20"/>
              </w:rPr>
              <w:t>9.59E-04</w:t>
            </w:r>
          </w:p>
        </w:tc>
        <w:tc>
          <w:tcPr>
            <w:tcW w:w="1015" w:type="dxa"/>
            <w:shd w:val="clear" w:color="auto" w:fill="auto"/>
            <w:noWrap/>
            <w:vAlign w:val="center"/>
            <w:hideMark/>
          </w:tcPr>
          <w:p w14:paraId="15BF116B" w14:textId="77777777" w:rsidR="00BE5A6D" w:rsidRPr="00C47F2F" w:rsidRDefault="00BE5A6D" w:rsidP="001A483B">
            <w:pPr>
              <w:pStyle w:val="Table"/>
              <w:rPr>
                <w:noProof/>
                <w:sz w:val="20"/>
                <w:szCs w:val="20"/>
              </w:rPr>
            </w:pPr>
            <w:r w:rsidRPr="00C47F2F">
              <w:rPr>
                <w:noProof/>
                <w:sz w:val="20"/>
                <w:szCs w:val="20"/>
              </w:rPr>
              <w:t>2.47E-04</w:t>
            </w:r>
          </w:p>
        </w:tc>
      </w:tr>
      <w:tr w:rsidR="00BE5A6D" w:rsidRPr="00972C81" w14:paraId="6504B621" w14:textId="77777777" w:rsidTr="001A483B">
        <w:trPr>
          <w:trHeight w:val="340"/>
        </w:trPr>
        <w:tc>
          <w:tcPr>
            <w:tcW w:w="2938" w:type="dxa"/>
            <w:shd w:val="clear" w:color="auto" w:fill="auto"/>
            <w:noWrap/>
            <w:vAlign w:val="center"/>
            <w:hideMark/>
          </w:tcPr>
          <w:p w14:paraId="0C6AF155" w14:textId="74269D05" w:rsidR="00BE5A6D" w:rsidRPr="00BE5A6D" w:rsidRDefault="00BE5A6D" w:rsidP="001A483B">
            <w:pPr>
              <w:pStyle w:val="Table"/>
              <w:rPr>
                <w:noProof/>
                <w:sz w:val="20"/>
                <w:szCs w:val="22"/>
              </w:rPr>
            </w:pPr>
            <w:r w:rsidRPr="00BE5A6D">
              <w:rPr>
                <w:noProof/>
                <w:sz w:val="20"/>
                <w:szCs w:val="22"/>
              </w:rPr>
              <w:t>Trab bone vol to Trab marrow</w:t>
            </w:r>
          </w:p>
        </w:tc>
        <w:tc>
          <w:tcPr>
            <w:tcW w:w="1014" w:type="dxa"/>
            <w:shd w:val="clear" w:color="auto" w:fill="auto"/>
            <w:noWrap/>
            <w:vAlign w:val="center"/>
            <w:hideMark/>
          </w:tcPr>
          <w:p w14:paraId="7DB8FD5A" w14:textId="77777777" w:rsidR="00BE5A6D" w:rsidRPr="00C47F2F" w:rsidRDefault="00BE5A6D" w:rsidP="001A483B">
            <w:pPr>
              <w:pStyle w:val="Table"/>
              <w:rPr>
                <w:noProof/>
                <w:sz w:val="20"/>
                <w:szCs w:val="20"/>
              </w:rPr>
            </w:pPr>
            <w:r w:rsidRPr="00C47F2F">
              <w:rPr>
                <w:noProof/>
                <w:sz w:val="20"/>
                <w:szCs w:val="20"/>
              </w:rPr>
              <w:t>8.22E-03</w:t>
            </w:r>
          </w:p>
        </w:tc>
        <w:tc>
          <w:tcPr>
            <w:tcW w:w="1015" w:type="dxa"/>
            <w:shd w:val="clear" w:color="auto" w:fill="auto"/>
            <w:noWrap/>
            <w:vAlign w:val="center"/>
            <w:hideMark/>
          </w:tcPr>
          <w:p w14:paraId="3CDC5DBB" w14:textId="77777777" w:rsidR="00BE5A6D" w:rsidRPr="00C47F2F" w:rsidRDefault="00BE5A6D" w:rsidP="001A483B">
            <w:pPr>
              <w:pStyle w:val="Table"/>
              <w:rPr>
                <w:noProof/>
                <w:sz w:val="20"/>
                <w:szCs w:val="20"/>
              </w:rPr>
            </w:pPr>
            <w:r w:rsidRPr="00C47F2F">
              <w:rPr>
                <w:noProof/>
                <w:sz w:val="20"/>
                <w:szCs w:val="20"/>
              </w:rPr>
              <w:t>2.88E-03</w:t>
            </w:r>
          </w:p>
        </w:tc>
        <w:tc>
          <w:tcPr>
            <w:tcW w:w="1015" w:type="dxa"/>
            <w:shd w:val="clear" w:color="auto" w:fill="auto"/>
            <w:noWrap/>
            <w:vAlign w:val="center"/>
            <w:hideMark/>
          </w:tcPr>
          <w:p w14:paraId="6D04A852" w14:textId="77777777" w:rsidR="00BE5A6D" w:rsidRPr="00C47F2F" w:rsidRDefault="00BE5A6D" w:rsidP="001A483B">
            <w:pPr>
              <w:pStyle w:val="Table"/>
              <w:rPr>
                <w:noProof/>
                <w:sz w:val="20"/>
                <w:szCs w:val="20"/>
              </w:rPr>
            </w:pPr>
            <w:r w:rsidRPr="00C47F2F">
              <w:rPr>
                <w:noProof/>
                <w:sz w:val="20"/>
                <w:szCs w:val="20"/>
              </w:rPr>
              <w:t>1.81E-03</w:t>
            </w:r>
          </w:p>
        </w:tc>
        <w:tc>
          <w:tcPr>
            <w:tcW w:w="1015" w:type="dxa"/>
            <w:shd w:val="clear" w:color="auto" w:fill="auto"/>
            <w:noWrap/>
            <w:vAlign w:val="center"/>
            <w:hideMark/>
          </w:tcPr>
          <w:p w14:paraId="66BA4660" w14:textId="77777777" w:rsidR="00BE5A6D" w:rsidRPr="00C47F2F" w:rsidRDefault="00BE5A6D" w:rsidP="001A483B">
            <w:pPr>
              <w:pStyle w:val="Table"/>
              <w:rPr>
                <w:noProof/>
                <w:sz w:val="20"/>
                <w:szCs w:val="20"/>
              </w:rPr>
            </w:pPr>
            <w:r w:rsidRPr="00C47F2F">
              <w:rPr>
                <w:noProof/>
                <w:sz w:val="20"/>
                <w:szCs w:val="20"/>
              </w:rPr>
              <w:t>1.32E-03</w:t>
            </w:r>
          </w:p>
        </w:tc>
        <w:tc>
          <w:tcPr>
            <w:tcW w:w="1015" w:type="dxa"/>
            <w:shd w:val="clear" w:color="auto" w:fill="auto"/>
            <w:noWrap/>
            <w:vAlign w:val="center"/>
            <w:hideMark/>
          </w:tcPr>
          <w:p w14:paraId="132AC2FE" w14:textId="77777777" w:rsidR="00BE5A6D" w:rsidRPr="00C47F2F" w:rsidRDefault="00BE5A6D" w:rsidP="001A483B">
            <w:pPr>
              <w:pStyle w:val="Table"/>
              <w:rPr>
                <w:noProof/>
                <w:sz w:val="20"/>
                <w:szCs w:val="20"/>
              </w:rPr>
            </w:pPr>
            <w:r w:rsidRPr="00C47F2F">
              <w:rPr>
                <w:noProof/>
                <w:sz w:val="20"/>
                <w:szCs w:val="20"/>
              </w:rPr>
              <w:t>9.59E-04</w:t>
            </w:r>
          </w:p>
        </w:tc>
        <w:tc>
          <w:tcPr>
            <w:tcW w:w="1015" w:type="dxa"/>
            <w:shd w:val="clear" w:color="auto" w:fill="auto"/>
            <w:noWrap/>
            <w:vAlign w:val="center"/>
            <w:hideMark/>
          </w:tcPr>
          <w:p w14:paraId="6A875640" w14:textId="77777777" w:rsidR="00BE5A6D" w:rsidRPr="00C47F2F" w:rsidRDefault="00BE5A6D" w:rsidP="001A483B">
            <w:pPr>
              <w:pStyle w:val="Table"/>
              <w:rPr>
                <w:noProof/>
                <w:sz w:val="20"/>
                <w:szCs w:val="20"/>
              </w:rPr>
            </w:pPr>
            <w:r w:rsidRPr="00C47F2F">
              <w:rPr>
                <w:noProof/>
                <w:sz w:val="20"/>
                <w:szCs w:val="20"/>
              </w:rPr>
              <w:t>4.93E-04</w:t>
            </w:r>
          </w:p>
        </w:tc>
      </w:tr>
      <w:tr w:rsidR="00BE5A6D" w:rsidRPr="00972C81" w14:paraId="7EFE0A3F" w14:textId="77777777" w:rsidTr="001A483B">
        <w:trPr>
          <w:trHeight w:val="340"/>
        </w:trPr>
        <w:tc>
          <w:tcPr>
            <w:tcW w:w="2938" w:type="dxa"/>
            <w:shd w:val="clear" w:color="auto" w:fill="auto"/>
            <w:noWrap/>
            <w:vAlign w:val="center"/>
            <w:hideMark/>
          </w:tcPr>
          <w:p w14:paraId="00CC0AE0" w14:textId="4F006AFF" w:rsidR="00BE5A6D" w:rsidRPr="00BE5A6D" w:rsidRDefault="00BE5A6D" w:rsidP="001A483B">
            <w:pPr>
              <w:pStyle w:val="Table"/>
              <w:rPr>
                <w:noProof/>
                <w:sz w:val="20"/>
                <w:szCs w:val="22"/>
              </w:rPr>
            </w:pPr>
            <w:r w:rsidRPr="00BE5A6D">
              <w:rPr>
                <w:noProof/>
                <w:sz w:val="20"/>
                <w:szCs w:val="22"/>
              </w:rPr>
              <w:t>Kidneys 1 to UB content</w:t>
            </w:r>
          </w:p>
        </w:tc>
        <w:tc>
          <w:tcPr>
            <w:tcW w:w="1014" w:type="dxa"/>
            <w:shd w:val="clear" w:color="auto" w:fill="auto"/>
            <w:noWrap/>
            <w:vAlign w:val="center"/>
            <w:hideMark/>
          </w:tcPr>
          <w:p w14:paraId="2EC9E2A8" w14:textId="77777777" w:rsidR="00BE5A6D" w:rsidRPr="00C47F2F" w:rsidRDefault="00BE5A6D" w:rsidP="001A483B">
            <w:pPr>
              <w:pStyle w:val="Table"/>
              <w:rPr>
                <w:noProof/>
                <w:sz w:val="20"/>
                <w:szCs w:val="20"/>
              </w:rPr>
            </w:pPr>
            <w:r w:rsidRPr="00C47F2F">
              <w:rPr>
                <w:noProof/>
                <w:sz w:val="20"/>
                <w:szCs w:val="20"/>
              </w:rPr>
              <w:t>9.90E-02</w:t>
            </w:r>
          </w:p>
        </w:tc>
        <w:tc>
          <w:tcPr>
            <w:tcW w:w="1015" w:type="dxa"/>
            <w:shd w:val="clear" w:color="auto" w:fill="auto"/>
            <w:noWrap/>
            <w:vAlign w:val="center"/>
            <w:hideMark/>
          </w:tcPr>
          <w:p w14:paraId="1209121D" w14:textId="77777777" w:rsidR="00BE5A6D" w:rsidRPr="00C47F2F" w:rsidRDefault="00BE5A6D" w:rsidP="001A483B">
            <w:pPr>
              <w:pStyle w:val="Table"/>
              <w:rPr>
                <w:noProof/>
                <w:sz w:val="20"/>
                <w:szCs w:val="20"/>
              </w:rPr>
            </w:pPr>
            <w:r w:rsidRPr="00C47F2F">
              <w:rPr>
                <w:noProof/>
                <w:sz w:val="20"/>
                <w:szCs w:val="20"/>
              </w:rPr>
              <w:t>9.90E-02</w:t>
            </w:r>
          </w:p>
        </w:tc>
        <w:tc>
          <w:tcPr>
            <w:tcW w:w="1015" w:type="dxa"/>
            <w:shd w:val="clear" w:color="auto" w:fill="auto"/>
            <w:noWrap/>
            <w:vAlign w:val="center"/>
            <w:hideMark/>
          </w:tcPr>
          <w:p w14:paraId="0108A1AB" w14:textId="77777777" w:rsidR="00BE5A6D" w:rsidRPr="00C47F2F" w:rsidRDefault="00BE5A6D" w:rsidP="001A483B">
            <w:pPr>
              <w:pStyle w:val="Table"/>
              <w:rPr>
                <w:noProof/>
                <w:sz w:val="20"/>
                <w:szCs w:val="20"/>
              </w:rPr>
            </w:pPr>
            <w:r w:rsidRPr="00C47F2F">
              <w:rPr>
                <w:noProof/>
                <w:sz w:val="20"/>
                <w:szCs w:val="20"/>
              </w:rPr>
              <w:t>9.90E-02</w:t>
            </w:r>
          </w:p>
        </w:tc>
        <w:tc>
          <w:tcPr>
            <w:tcW w:w="1015" w:type="dxa"/>
            <w:shd w:val="clear" w:color="auto" w:fill="auto"/>
            <w:noWrap/>
            <w:vAlign w:val="center"/>
            <w:hideMark/>
          </w:tcPr>
          <w:p w14:paraId="432EBEA7" w14:textId="77777777" w:rsidR="00BE5A6D" w:rsidRPr="00C47F2F" w:rsidRDefault="00BE5A6D" w:rsidP="001A483B">
            <w:pPr>
              <w:pStyle w:val="Table"/>
              <w:rPr>
                <w:noProof/>
                <w:sz w:val="20"/>
                <w:szCs w:val="20"/>
              </w:rPr>
            </w:pPr>
            <w:r w:rsidRPr="00C47F2F">
              <w:rPr>
                <w:noProof/>
                <w:sz w:val="20"/>
                <w:szCs w:val="20"/>
              </w:rPr>
              <w:t>9.90E-02</w:t>
            </w:r>
          </w:p>
        </w:tc>
        <w:tc>
          <w:tcPr>
            <w:tcW w:w="1015" w:type="dxa"/>
            <w:shd w:val="clear" w:color="auto" w:fill="auto"/>
            <w:noWrap/>
            <w:vAlign w:val="center"/>
            <w:hideMark/>
          </w:tcPr>
          <w:p w14:paraId="7354DE3A" w14:textId="77777777" w:rsidR="00BE5A6D" w:rsidRPr="00C47F2F" w:rsidRDefault="00BE5A6D" w:rsidP="001A483B">
            <w:pPr>
              <w:pStyle w:val="Table"/>
              <w:rPr>
                <w:noProof/>
                <w:sz w:val="20"/>
                <w:szCs w:val="20"/>
              </w:rPr>
            </w:pPr>
            <w:r w:rsidRPr="00C47F2F">
              <w:rPr>
                <w:noProof/>
                <w:sz w:val="20"/>
                <w:szCs w:val="20"/>
              </w:rPr>
              <w:t>9.90E-02</w:t>
            </w:r>
          </w:p>
        </w:tc>
        <w:tc>
          <w:tcPr>
            <w:tcW w:w="1015" w:type="dxa"/>
            <w:shd w:val="clear" w:color="auto" w:fill="auto"/>
            <w:noWrap/>
            <w:vAlign w:val="center"/>
            <w:hideMark/>
          </w:tcPr>
          <w:p w14:paraId="19DE44B1" w14:textId="77777777" w:rsidR="00BE5A6D" w:rsidRPr="00C47F2F" w:rsidRDefault="00BE5A6D" w:rsidP="001A483B">
            <w:pPr>
              <w:pStyle w:val="Table"/>
              <w:rPr>
                <w:noProof/>
                <w:sz w:val="20"/>
                <w:szCs w:val="20"/>
              </w:rPr>
            </w:pPr>
            <w:r w:rsidRPr="00C47F2F">
              <w:rPr>
                <w:noProof/>
                <w:sz w:val="20"/>
                <w:szCs w:val="20"/>
              </w:rPr>
              <w:t>9.90E-02</w:t>
            </w:r>
          </w:p>
        </w:tc>
      </w:tr>
      <w:tr w:rsidR="00981DA1" w:rsidRPr="00972C81" w14:paraId="487B4BE6" w14:textId="77777777" w:rsidTr="001A483B">
        <w:trPr>
          <w:trHeight w:val="340"/>
        </w:trPr>
        <w:tc>
          <w:tcPr>
            <w:tcW w:w="2938" w:type="dxa"/>
            <w:shd w:val="clear" w:color="auto" w:fill="auto"/>
            <w:noWrap/>
            <w:vAlign w:val="center"/>
            <w:hideMark/>
          </w:tcPr>
          <w:p w14:paraId="72DC0BD1" w14:textId="77777777" w:rsidR="00803EF0" w:rsidRPr="00C47F2F" w:rsidRDefault="00803EF0" w:rsidP="001A483B">
            <w:pPr>
              <w:pStyle w:val="Table"/>
              <w:rPr>
                <w:noProof/>
                <w:sz w:val="20"/>
                <w:szCs w:val="20"/>
              </w:rPr>
            </w:pPr>
            <w:r w:rsidRPr="00C47F2F">
              <w:rPr>
                <w:noProof/>
                <w:sz w:val="20"/>
                <w:szCs w:val="20"/>
              </w:rPr>
              <w:t>Kidneys 2 to Blood</w:t>
            </w:r>
          </w:p>
        </w:tc>
        <w:tc>
          <w:tcPr>
            <w:tcW w:w="1014" w:type="dxa"/>
            <w:shd w:val="clear" w:color="auto" w:fill="auto"/>
            <w:noWrap/>
            <w:vAlign w:val="center"/>
            <w:hideMark/>
          </w:tcPr>
          <w:p w14:paraId="7EBE5792" w14:textId="77777777" w:rsidR="00803EF0" w:rsidRPr="00C47F2F" w:rsidRDefault="00803EF0" w:rsidP="001A483B">
            <w:pPr>
              <w:pStyle w:val="Table"/>
              <w:rPr>
                <w:noProof/>
                <w:sz w:val="20"/>
                <w:szCs w:val="20"/>
              </w:rPr>
            </w:pPr>
            <w:r w:rsidRPr="00C47F2F">
              <w:rPr>
                <w:noProof/>
                <w:sz w:val="20"/>
                <w:szCs w:val="20"/>
              </w:rPr>
              <w:t>1.39E-03</w:t>
            </w:r>
          </w:p>
        </w:tc>
        <w:tc>
          <w:tcPr>
            <w:tcW w:w="1015" w:type="dxa"/>
            <w:shd w:val="clear" w:color="auto" w:fill="auto"/>
            <w:noWrap/>
            <w:vAlign w:val="center"/>
            <w:hideMark/>
          </w:tcPr>
          <w:p w14:paraId="6732659C" w14:textId="77777777" w:rsidR="00803EF0" w:rsidRPr="00C47F2F" w:rsidRDefault="00803EF0" w:rsidP="001A483B">
            <w:pPr>
              <w:pStyle w:val="Table"/>
              <w:rPr>
                <w:noProof/>
                <w:sz w:val="20"/>
                <w:szCs w:val="20"/>
              </w:rPr>
            </w:pPr>
            <w:r w:rsidRPr="00C47F2F">
              <w:rPr>
                <w:noProof/>
                <w:sz w:val="20"/>
                <w:szCs w:val="20"/>
              </w:rPr>
              <w:t>1.39E-03</w:t>
            </w:r>
          </w:p>
        </w:tc>
        <w:tc>
          <w:tcPr>
            <w:tcW w:w="1015" w:type="dxa"/>
            <w:shd w:val="clear" w:color="auto" w:fill="auto"/>
            <w:noWrap/>
            <w:vAlign w:val="center"/>
            <w:hideMark/>
          </w:tcPr>
          <w:p w14:paraId="13710F54" w14:textId="77777777" w:rsidR="00803EF0" w:rsidRPr="00C47F2F" w:rsidRDefault="00803EF0" w:rsidP="001A483B">
            <w:pPr>
              <w:pStyle w:val="Table"/>
              <w:rPr>
                <w:noProof/>
                <w:sz w:val="20"/>
                <w:szCs w:val="20"/>
              </w:rPr>
            </w:pPr>
            <w:r w:rsidRPr="00C47F2F">
              <w:rPr>
                <w:noProof/>
                <w:sz w:val="20"/>
                <w:szCs w:val="20"/>
              </w:rPr>
              <w:t>1.39E-03</w:t>
            </w:r>
          </w:p>
        </w:tc>
        <w:tc>
          <w:tcPr>
            <w:tcW w:w="1015" w:type="dxa"/>
            <w:shd w:val="clear" w:color="auto" w:fill="auto"/>
            <w:noWrap/>
            <w:vAlign w:val="center"/>
            <w:hideMark/>
          </w:tcPr>
          <w:p w14:paraId="7365D471" w14:textId="77777777" w:rsidR="00803EF0" w:rsidRPr="00C47F2F" w:rsidRDefault="00803EF0" w:rsidP="001A483B">
            <w:pPr>
              <w:pStyle w:val="Table"/>
              <w:rPr>
                <w:noProof/>
                <w:sz w:val="20"/>
                <w:szCs w:val="20"/>
              </w:rPr>
            </w:pPr>
            <w:r w:rsidRPr="00C47F2F">
              <w:rPr>
                <w:noProof/>
                <w:sz w:val="20"/>
                <w:szCs w:val="20"/>
              </w:rPr>
              <w:t>1.39E-03</w:t>
            </w:r>
          </w:p>
        </w:tc>
        <w:tc>
          <w:tcPr>
            <w:tcW w:w="1015" w:type="dxa"/>
            <w:shd w:val="clear" w:color="auto" w:fill="auto"/>
            <w:noWrap/>
            <w:vAlign w:val="center"/>
            <w:hideMark/>
          </w:tcPr>
          <w:p w14:paraId="2493E578" w14:textId="77777777" w:rsidR="00803EF0" w:rsidRPr="00C47F2F" w:rsidRDefault="00803EF0" w:rsidP="001A483B">
            <w:pPr>
              <w:pStyle w:val="Table"/>
              <w:rPr>
                <w:noProof/>
                <w:sz w:val="20"/>
                <w:szCs w:val="20"/>
              </w:rPr>
            </w:pPr>
            <w:r w:rsidRPr="00C47F2F">
              <w:rPr>
                <w:noProof/>
                <w:sz w:val="20"/>
                <w:szCs w:val="20"/>
              </w:rPr>
              <w:t>1.39E-03</w:t>
            </w:r>
          </w:p>
        </w:tc>
        <w:tc>
          <w:tcPr>
            <w:tcW w:w="1015" w:type="dxa"/>
            <w:shd w:val="clear" w:color="auto" w:fill="auto"/>
            <w:noWrap/>
            <w:vAlign w:val="center"/>
            <w:hideMark/>
          </w:tcPr>
          <w:p w14:paraId="58D6EE28" w14:textId="77777777" w:rsidR="00803EF0" w:rsidRPr="00C47F2F" w:rsidRDefault="00803EF0" w:rsidP="001A483B">
            <w:pPr>
              <w:pStyle w:val="Table"/>
              <w:rPr>
                <w:noProof/>
                <w:sz w:val="20"/>
                <w:szCs w:val="20"/>
              </w:rPr>
            </w:pPr>
            <w:r w:rsidRPr="00C47F2F">
              <w:rPr>
                <w:noProof/>
                <w:sz w:val="20"/>
                <w:szCs w:val="20"/>
              </w:rPr>
              <w:t>1.39E-03</w:t>
            </w:r>
          </w:p>
        </w:tc>
      </w:tr>
      <w:tr w:rsidR="00981DA1" w:rsidRPr="00972C81" w14:paraId="180B00BC" w14:textId="77777777" w:rsidTr="001A483B">
        <w:trPr>
          <w:trHeight w:val="340"/>
        </w:trPr>
        <w:tc>
          <w:tcPr>
            <w:tcW w:w="2938" w:type="dxa"/>
            <w:shd w:val="clear" w:color="auto" w:fill="auto"/>
            <w:noWrap/>
            <w:vAlign w:val="center"/>
            <w:hideMark/>
          </w:tcPr>
          <w:p w14:paraId="3D1B8874" w14:textId="77777777" w:rsidR="00803EF0" w:rsidRPr="00C47F2F" w:rsidRDefault="00803EF0" w:rsidP="001A483B">
            <w:pPr>
              <w:pStyle w:val="Table"/>
              <w:rPr>
                <w:noProof/>
                <w:sz w:val="20"/>
                <w:szCs w:val="20"/>
              </w:rPr>
            </w:pPr>
            <w:r w:rsidRPr="00C47F2F">
              <w:rPr>
                <w:noProof/>
                <w:sz w:val="20"/>
                <w:szCs w:val="20"/>
              </w:rPr>
              <w:t>Testes to Blood</w:t>
            </w:r>
          </w:p>
        </w:tc>
        <w:tc>
          <w:tcPr>
            <w:tcW w:w="1014" w:type="dxa"/>
            <w:shd w:val="clear" w:color="auto" w:fill="auto"/>
            <w:noWrap/>
            <w:vAlign w:val="center"/>
            <w:hideMark/>
          </w:tcPr>
          <w:p w14:paraId="644E9212" w14:textId="77777777" w:rsidR="00803EF0" w:rsidRPr="00C47F2F" w:rsidRDefault="00803EF0" w:rsidP="001A483B">
            <w:pPr>
              <w:pStyle w:val="Table"/>
              <w:rPr>
                <w:noProof/>
                <w:sz w:val="20"/>
                <w:szCs w:val="20"/>
              </w:rPr>
            </w:pPr>
            <w:r w:rsidRPr="00C47F2F">
              <w:rPr>
                <w:noProof/>
                <w:sz w:val="20"/>
                <w:szCs w:val="20"/>
              </w:rPr>
              <w:t>3.80E-04</w:t>
            </w:r>
          </w:p>
        </w:tc>
        <w:tc>
          <w:tcPr>
            <w:tcW w:w="1015" w:type="dxa"/>
            <w:shd w:val="clear" w:color="auto" w:fill="auto"/>
            <w:noWrap/>
            <w:vAlign w:val="center"/>
            <w:hideMark/>
          </w:tcPr>
          <w:p w14:paraId="3546A4C4" w14:textId="77777777" w:rsidR="00803EF0" w:rsidRPr="00C47F2F" w:rsidRDefault="00803EF0" w:rsidP="001A483B">
            <w:pPr>
              <w:pStyle w:val="Table"/>
              <w:rPr>
                <w:noProof/>
                <w:sz w:val="20"/>
                <w:szCs w:val="20"/>
              </w:rPr>
            </w:pPr>
            <w:r w:rsidRPr="00C47F2F">
              <w:rPr>
                <w:noProof/>
                <w:sz w:val="20"/>
                <w:szCs w:val="20"/>
              </w:rPr>
              <w:t>3.80E-04</w:t>
            </w:r>
          </w:p>
        </w:tc>
        <w:tc>
          <w:tcPr>
            <w:tcW w:w="1015" w:type="dxa"/>
            <w:shd w:val="clear" w:color="auto" w:fill="auto"/>
            <w:noWrap/>
            <w:vAlign w:val="center"/>
            <w:hideMark/>
          </w:tcPr>
          <w:p w14:paraId="722BC014" w14:textId="77777777" w:rsidR="00803EF0" w:rsidRPr="00C47F2F" w:rsidRDefault="00803EF0" w:rsidP="001A483B">
            <w:pPr>
              <w:pStyle w:val="Table"/>
              <w:rPr>
                <w:noProof/>
                <w:sz w:val="20"/>
                <w:szCs w:val="20"/>
              </w:rPr>
            </w:pPr>
            <w:r w:rsidRPr="00C47F2F">
              <w:rPr>
                <w:noProof/>
                <w:sz w:val="20"/>
                <w:szCs w:val="20"/>
              </w:rPr>
              <w:t>3.80E-04</w:t>
            </w:r>
          </w:p>
        </w:tc>
        <w:tc>
          <w:tcPr>
            <w:tcW w:w="1015" w:type="dxa"/>
            <w:shd w:val="clear" w:color="auto" w:fill="auto"/>
            <w:noWrap/>
            <w:vAlign w:val="center"/>
            <w:hideMark/>
          </w:tcPr>
          <w:p w14:paraId="1374A70B" w14:textId="77777777" w:rsidR="00803EF0" w:rsidRPr="00C47F2F" w:rsidRDefault="00803EF0" w:rsidP="001A483B">
            <w:pPr>
              <w:pStyle w:val="Table"/>
              <w:rPr>
                <w:noProof/>
                <w:sz w:val="20"/>
                <w:szCs w:val="20"/>
              </w:rPr>
            </w:pPr>
            <w:r w:rsidRPr="00C47F2F">
              <w:rPr>
                <w:noProof/>
                <w:sz w:val="20"/>
                <w:szCs w:val="20"/>
              </w:rPr>
              <w:t>3.80E-04</w:t>
            </w:r>
          </w:p>
        </w:tc>
        <w:tc>
          <w:tcPr>
            <w:tcW w:w="1015" w:type="dxa"/>
            <w:shd w:val="clear" w:color="auto" w:fill="auto"/>
            <w:noWrap/>
            <w:vAlign w:val="center"/>
            <w:hideMark/>
          </w:tcPr>
          <w:p w14:paraId="7D391A7F" w14:textId="77777777" w:rsidR="00803EF0" w:rsidRPr="00C47F2F" w:rsidRDefault="00803EF0" w:rsidP="001A483B">
            <w:pPr>
              <w:pStyle w:val="Table"/>
              <w:rPr>
                <w:noProof/>
                <w:sz w:val="20"/>
                <w:szCs w:val="20"/>
              </w:rPr>
            </w:pPr>
            <w:r w:rsidRPr="00C47F2F">
              <w:rPr>
                <w:noProof/>
                <w:sz w:val="20"/>
                <w:szCs w:val="20"/>
              </w:rPr>
              <w:t>3.80E-04</w:t>
            </w:r>
          </w:p>
        </w:tc>
        <w:tc>
          <w:tcPr>
            <w:tcW w:w="1015" w:type="dxa"/>
            <w:shd w:val="clear" w:color="auto" w:fill="auto"/>
            <w:noWrap/>
            <w:vAlign w:val="center"/>
            <w:hideMark/>
          </w:tcPr>
          <w:p w14:paraId="12BA819C" w14:textId="77777777" w:rsidR="00803EF0" w:rsidRPr="00C47F2F" w:rsidRDefault="00803EF0" w:rsidP="001A483B">
            <w:pPr>
              <w:pStyle w:val="Table"/>
              <w:rPr>
                <w:noProof/>
                <w:sz w:val="20"/>
                <w:szCs w:val="20"/>
              </w:rPr>
            </w:pPr>
            <w:r w:rsidRPr="00C47F2F">
              <w:rPr>
                <w:noProof/>
                <w:sz w:val="20"/>
                <w:szCs w:val="20"/>
              </w:rPr>
              <w:t>3.80E-04</w:t>
            </w:r>
          </w:p>
        </w:tc>
      </w:tr>
      <w:tr w:rsidR="00981DA1" w:rsidRPr="00972C81" w14:paraId="4C7B7641" w14:textId="77777777" w:rsidTr="001A483B">
        <w:trPr>
          <w:trHeight w:val="340"/>
        </w:trPr>
        <w:tc>
          <w:tcPr>
            <w:tcW w:w="2938" w:type="dxa"/>
            <w:tcBorders>
              <w:bottom w:val="single" w:sz="4" w:space="0" w:color="auto"/>
            </w:tcBorders>
            <w:shd w:val="clear" w:color="auto" w:fill="auto"/>
            <w:noWrap/>
            <w:vAlign w:val="center"/>
            <w:hideMark/>
          </w:tcPr>
          <w:p w14:paraId="7927F593" w14:textId="77777777" w:rsidR="00803EF0" w:rsidRPr="00C47F2F" w:rsidRDefault="00803EF0" w:rsidP="001A483B">
            <w:pPr>
              <w:pStyle w:val="Table"/>
              <w:rPr>
                <w:noProof/>
                <w:sz w:val="20"/>
                <w:szCs w:val="20"/>
              </w:rPr>
            </w:pPr>
            <w:r w:rsidRPr="00C47F2F">
              <w:rPr>
                <w:noProof/>
                <w:sz w:val="20"/>
                <w:szCs w:val="20"/>
              </w:rPr>
              <w:t>Ovaries to Blood</w:t>
            </w:r>
          </w:p>
        </w:tc>
        <w:tc>
          <w:tcPr>
            <w:tcW w:w="1014" w:type="dxa"/>
            <w:tcBorders>
              <w:bottom w:val="single" w:sz="4" w:space="0" w:color="auto"/>
            </w:tcBorders>
            <w:shd w:val="clear" w:color="auto" w:fill="auto"/>
            <w:noWrap/>
            <w:vAlign w:val="center"/>
            <w:hideMark/>
          </w:tcPr>
          <w:p w14:paraId="0D04FAF9" w14:textId="77777777" w:rsidR="00803EF0" w:rsidRPr="00C47F2F" w:rsidRDefault="00803EF0" w:rsidP="001A483B">
            <w:pPr>
              <w:pStyle w:val="Table"/>
              <w:rPr>
                <w:noProof/>
                <w:sz w:val="20"/>
                <w:szCs w:val="20"/>
              </w:rPr>
            </w:pPr>
            <w:r w:rsidRPr="00C47F2F">
              <w:rPr>
                <w:noProof/>
                <w:sz w:val="20"/>
                <w:szCs w:val="20"/>
              </w:rPr>
              <w:t>3.80E-04</w:t>
            </w:r>
          </w:p>
        </w:tc>
        <w:tc>
          <w:tcPr>
            <w:tcW w:w="1015" w:type="dxa"/>
            <w:tcBorders>
              <w:bottom w:val="single" w:sz="4" w:space="0" w:color="auto"/>
            </w:tcBorders>
            <w:shd w:val="clear" w:color="auto" w:fill="auto"/>
            <w:noWrap/>
            <w:vAlign w:val="center"/>
            <w:hideMark/>
          </w:tcPr>
          <w:p w14:paraId="131CCB99" w14:textId="77777777" w:rsidR="00803EF0" w:rsidRPr="00C47F2F" w:rsidRDefault="00803EF0" w:rsidP="001A483B">
            <w:pPr>
              <w:pStyle w:val="Table"/>
              <w:rPr>
                <w:noProof/>
                <w:sz w:val="20"/>
                <w:szCs w:val="20"/>
              </w:rPr>
            </w:pPr>
            <w:r w:rsidRPr="00C47F2F">
              <w:rPr>
                <w:noProof/>
                <w:sz w:val="20"/>
                <w:szCs w:val="20"/>
              </w:rPr>
              <w:t>3.80E-04</w:t>
            </w:r>
          </w:p>
        </w:tc>
        <w:tc>
          <w:tcPr>
            <w:tcW w:w="1015" w:type="dxa"/>
            <w:tcBorders>
              <w:bottom w:val="single" w:sz="4" w:space="0" w:color="auto"/>
            </w:tcBorders>
            <w:shd w:val="clear" w:color="auto" w:fill="auto"/>
            <w:noWrap/>
            <w:vAlign w:val="center"/>
            <w:hideMark/>
          </w:tcPr>
          <w:p w14:paraId="52BB5558" w14:textId="77777777" w:rsidR="00803EF0" w:rsidRPr="00C47F2F" w:rsidRDefault="00803EF0" w:rsidP="001A483B">
            <w:pPr>
              <w:pStyle w:val="Table"/>
              <w:rPr>
                <w:noProof/>
                <w:sz w:val="20"/>
                <w:szCs w:val="20"/>
              </w:rPr>
            </w:pPr>
            <w:r w:rsidRPr="00C47F2F">
              <w:rPr>
                <w:noProof/>
                <w:sz w:val="20"/>
                <w:szCs w:val="20"/>
              </w:rPr>
              <w:t>3.80E-04</w:t>
            </w:r>
          </w:p>
        </w:tc>
        <w:tc>
          <w:tcPr>
            <w:tcW w:w="1015" w:type="dxa"/>
            <w:tcBorders>
              <w:bottom w:val="single" w:sz="4" w:space="0" w:color="auto"/>
            </w:tcBorders>
            <w:shd w:val="clear" w:color="auto" w:fill="auto"/>
            <w:noWrap/>
            <w:vAlign w:val="center"/>
            <w:hideMark/>
          </w:tcPr>
          <w:p w14:paraId="77C5E39D" w14:textId="77777777" w:rsidR="00803EF0" w:rsidRPr="00C47F2F" w:rsidRDefault="00803EF0" w:rsidP="001A483B">
            <w:pPr>
              <w:pStyle w:val="Table"/>
              <w:rPr>
                <w:noProof/>
                <w:sz w:val="20"/>
                <w:szCs w:val="20"/>
              </w:rPr>
            </w:pPr>
            <w:r w:rsidRPr="00C47F2F">
              <w:rPr>
                <w:noProof/>
                <w:sz w:val="20"/>
                <w:szCs w:val="20"/>
              </w:rPr>
              <w:t>3.80E-04</w:t>
            </w:r>
          </w:p>
        </w:tc>
        <w:tc>
          <w:tcPr>
            <w:tcW w:w="1015" w:type="dxa"/>
            <w:tcBorders>
              <w:bottom w:val="single" w:sz="4" w:space="0" w:color="auto"/>
            </w:tcBorders>
            <w:shd w:val="clear" w:color="auto" w:fill="auto"/>
            <w:noWrap/>
            <w:vAlign w:val="center"/>
            <w:hideMark/>
          </w:tcPr>
          <w:p w14:paraId="7DB9E548" w14:textId="77777777" w:rsidR="00803EF0" w:rsidRPr="00C47F2F" w:rsidRDefault="00803EF0" w:rsidP="001A483B">
            <w:pPr>
              <w:pStyle w:val="Table"/>
              <w:rPr>
                <w:noProof/>
                <w:sz w:val="20"/>
                <w:szCs w:val="20"/>
              </w:rPr>
            </w:pPr>
            <w:r w:rsidRPr="00C47F2F">
              <w:rPr>
                <w:noProof/>
                <w:sz w:val="20"/>
                <w:szCs w:val="20"/>
              </w:rPr>
              <w:t>3.80E-04</w:t>
            </w:r>
          </w:p>
        </w:tc>
        <w:tc>
          <w:tcPr>
            <w:tcW w:w="1015" w:type="dxa"/>
            <w:tcBorders>
              <w:bottom w:val="single" w:sz="4" w:space="0" w:color="auto"/>
            </w:tcBorders>
            <w:shd w:val="clear" w:color="auto" w:fill="auto"/>
            <w:noWrap/>
            <w:vAlign w:val="center"/>
            <w:hideMark/>
          </w:tcPr>
          <w:p w14:paraId="5F9E06E5" w14:textId="77777777" w:rsidR="00803EF0" w:rsidRPr="00C47F2F" w:rsidRDefault="00803EF0" w:rsidP="001A483B">
            <w:pPr>
              <w:pStyle w:val="Table"/>
              <w:rPr>
                <w:noProof/>
                <w:sz w:val="20"/>
                <w:szCs w:val="20"/>
              </w:rPr>
            </w:pPr>
            <w:r w:rsidRPr="00C47F2F">
              <w:rPr>
                <w:noProof/>
                <w:sz w:val="20"/>
                <w:szCs w:val="20"/>
              </w:rPr>
              <w:t>3.80E-04</w:t>
            </w:r>
          </w:p>
        </w:tc>
      </w:tr>
    </w:tbl>
    <w:p w14:paraId="64C91DBB" w14:textId="1956B36A" w:rsidR="00803EF0" w:rsidRPr="001A483B" w:rsidRDefault="00D0532A" w:rsidP="009F14C1">
      <w:pPr>
        <w:pStyle w:val="Note"/>
        <w:rPr>
          <w:noProof/>
          <w:sz w:val="20"/>
          <w:szCs w:val="20"/>
        </w:rPr>
      </w:pPr>
      <w:r w:rsidRPr="001A483B">
        <w:rPr>
          <w:noProof/>
          <w:sz w:val="20"/>
          <w:szCs w:val="20"/>
          <w:vertAlign w:val="superscript"/>
        </w:rPr>
        <w:t>a</w:t>
      </w:r>
      <w:r w:rsidR="009F14C1" w:rsidRPr="001A483B">
        <w:rPr>
          <w:noProof/>
          <w:sz w:val="20"/>
          <w:szCs w:val="20"/>
        </w:rPr>
        <w:t xml:space="preserve">Cort = Cortical, Trab = Trabecular, surf = surface, vol = volume, RC = </w:t>
      </w:r>
      <w:r w:rsidR="00477D4E" w:rsidRPr="001A483B">
        <w:rPr>
          <w:noProof/>
          <w:sz w:val="20"/>
          <w:szCs w:val="20"/>
        </w:rPr>
        <w:t>R</w:t>
      </w:r>
      <w:r w:rsidR="009F14C1" w:rsidRPr="001A483B">
        <w:rPr>
          <w:noProof/>
          <w:sz w:val="20"/>
          <w:szCs w:val="20"/>
        </w:rPr>
        <w:t xml:space="preserve">ight colon, SI = Small </w:t>
      </w:r>
      <w:r w:rsidR="00477D4E" w:rsidRPr="001A483B">
        <w:rPr>
          <w:noProof/>
          <w:sz w:val="20"/>
          <w:szCs w:val="20"/>
        </w:rPr>
        <w:t>i</w:t>
      </w:r>
      <w:r w:rsidR="009F14C1" w:rsidRPr="001A483B">
        <w:rPr>
          <w:noProof/>
          <w:sz w:val="20"/>
          <w:szCs w:val="20"/>
        </w:rPr>
        <w:t xml:space="preserve">ntestine, UB = Urinary </w:t>
      </w:r>
      <w:r w:rsidR="00477D4E" w:rsidRPr="001A483B">
        <w:rPr>
          <w:noProof/>
          <w:sz w:val="20"/>
          <w:szCs w:val="20"/>
        </w:rPr>
        <w:t>b</w:t>
      </w:r>
      <w:r w:rsidR="009F14C1" w:rsidRPr="001A483B">
        <w:rPr>
          <w:noProof/>
          <w:sz w:val="20"/>
          <w:szCs w:val="20"/>
        </w:rPr>
        <w:t>ladder</w:t>
      </w:r>
    </w:p>
    <w:p w14:paraId="0421E3E6" w14:textId="77777777" w:rsidR="00803EF0" w:rsidRPr="00972C81" w:rsidRDefault="00803EF0" w:rsidP="006703A2">
      <w:pPr>
        <w:pStyle w:val="OIRTitre4"/>
      </w:pPr>
      <w:r w:rsidRPr="00972C81">
        <w:t>Treatment of radioactive progeny</w:t>
      </w:r>
    </w:p>
    <w:p w14:paraId="743FED07" w14:textId="75D9AA4C" w:rsidR="00803EF0" w:rsidRPr="00972C81" w:rsidRDefault="00851288" w:rsidP="00E81109">
      <w:pPr>
        <w:pStyle w:val="Annalstext"/>
        <w:rPr>
          <w:noProof/>
        </w:rPr>
      </w:pPr>
      <w:r w:rsidRPr="00972C81">
        <w:rPr>
          <w:rFonts w:eastAsia="Calibri"/>
          <w:noProof/>
        </w:rPr>
        <w:t xml:space="preserve">The treatment of </w:t>
      </w:r>
      <w:r w:rsidRPr="00972C81">
        <w:rPr>
          <w:noProof/>
        </w:rPr>
        <w:t>radioactive</w:t>
      </w:r>
      <w:r w:rsidRPr="00972C81">
        <w:rPr>
          <w:rFonts w:eastAsia="Calibri"/>
          <w:noProof/>
        </w:rPr>
        <w:t xml:space="preserve"> progeny produced in systemic compartments after intake of a radioisotope of </w:t>
      </w:r>
      <w:r w:rsidRPr="00972C81">
        <w:rPr>
          <w:noProof/>
        </w:rPr>
        <w:t>promethium</w:t>
      </w:r>
      <w:r w:rsidRPr="00972C81">
        <w:rPr>
          <w:rFonts w:eastAsia="Calibri"/>
          <w:noProof/>
        </w:rPr>
        <w:t xml:space="preserve"> is described in Section 7.2.3.3. of </w:t>
      </w:r>
      <w:r w:rsidR="00B0539B" w:rsidRPr="00972C81">
        <w:rPr>
          <w:i/>
          <w:noProof/>
        </w:rPr>
        <w:t>Publication 141</w:t>
      </w:r>
      <w:r w:rsidR="00B0539B" w:rsidRPr="00972C81">
        <w:rPr>
          <w:noProof/>
        </w:rPr>
        <w:t xml:space="preserve"> </w:t>
      </w:r>
      <w:r w:rsidR="009F14C1" w:rsidRPr="00972C81">
        <w:rPr>
          <w:noProof/>
        </w:rPr>
        <w:fldChar w:fldCharType="begin"/>
      </w:r>
      <w:r w:rsidR="009F14C1" w:rsidRPr="00972C81">
        <w:rPr>
          <w:noProof/>
        </w:rPr>
        <w:instrText xml:space="preserve"> ADDIN ZOTERO_ITEM CSL_CITATION {"citationID":"1mMQvRns","properties":{"formattedCitation":"(ICRP,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9F14C1" w:rsidRPr="00972C81">
        <w:rPr>
          <w:noProof/>
        </w:rPr>
        <w:fldChar w:fldCharType="separate"/>
      </w:r>
      <w:r w:rsidR="00BC59C6" w:rsidRPr="00972C81">
        <w:rPr>
          <w:noProof/>
        </w:rPr>
        <w:t>(ICRP, 2019)</w:t>
      </w:r>
      <w:r w:rsidR="009F14C1" w:rsidRPr="00972C81">
        <w:rPr>
          <w:noProof/>
        </w:rPr>
        <w:fldChar w:fldCharType="end"/>
      </w:r>
      <w:r w:rsidR="00B0539B" w:rsidRPr="00972C81">
        <w:rPr>
          <w:noProof/>
        </w:rPr>
        <w:t>.</w:t>
      </w:r>
    </w:p>
    <w:p w14:paraId="39A9EDA1" w14:textId="77777777" w:rsidR="00593D1F" w:rsidRPr="00972C81" w:rsidRDefault="00593D1F" w:rsidP="00E81109">
      <w:pPr>
        <w:pStyle w:val="2"/>
        <w:rPr>
          <w:noProof/>
          <w:lang w:val="en-GB"/>
        </w:rPr>
      </w:pPr>
      <w:bookmarkStart w:id="112" w:name="_Toc162630012"/>
      <w:r w:rsidRPr="00972C81">
        <w:rPr>
          <w:noProof/>
          <w:lang w:val="en-GB"/>
        </w:rPr>
        <w:lastRenderedPageBreak/>
        <w:t>Dosimetric data for promethium</w:t>
      </w:r>
      <w:bookmarkEnd w:id="112"/>
    </w:p>
    <w:p w14:paraId="10FB0ECA" w14:textId="338EB71A" w:rsidR="00D36248" w:rsidRPr="00972C81" w:rsidRDefault="00D36248" w:rsidP="00D36248">
      <w:pPr>
        <w:pStyle w:val="ab"/>
        <w:rPr>
          <w:noProof/>
          <w:sz w:val="24"/>
          <w:szCs w:val="24"/>
        </w:rPr>
      </w:pPr>
      <w:r w:rsidRPr="00972C81">
        <w:rPr>
          <w:noProof/>
          <w:sz w:val="24"/>
          <w:szCs w:val="24"/>
        </w:rPr>
        <w:t>Table 6.3.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147</w:t>
      </w:r>
      <w:r w:rsidRPr="00972C81">
        <w:rPr>
          <w:noProof/>
          <w:sz w:val="24"/>
          <w:szCs w:val="24"/>
        </w:rPr>
        <w:t>Pm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D36248" w:rsidRPr="00A3213E" w14:paraId="4F55D93C" w14:textId="77777777" w:rsidTr="001A483B">
        <w:trPr>
          <w:trHeight w:val="340"/>
        </w:trPr>
        <w:tc>
          <w:tcPr>
            <w:tcW w:w="2087" w:type="pct"/>
            <w:vMerge w:val="restart"/>
            <w:tcBorders>
              <w:top w:val="single" w:sz="4" w:space="0" w:color="auto"/>
              <w:left w:val="nil"/>
              <w:bottom w:val="single" w:sz="4" w:space="0" w:color="auto"/>
              <w:right w:val="nil"/>
            </w:tcBorders>
            <w:vAlign w:val="bottom"/>
            <w:hideMark/>
          </w:tcPr>
          <w:p w14:paraId="55836B8F" w14:textId="77777777" w:rsidR="0057134B" w:rsidRPr="00C47F2F" w:rsidRDefault="00D36248" w:rsidP="001A483B">
            <w:pPr>
              <w:pStyle w:val="a5"/>
              <w:tabs>
                <w:tab w:val="clear" w:pos="4153"/>
                <w:tab w:val="clear" w:pos="8306"/>
              </w:tabs>
              <w:jc w:val="left"/>
              <w:rPr>
                <w:noProof/>
                <w:sz w:val="22"/>
                <w:szCs w:val="22"/>
              </w:rPr>
            </w:pPr>
            <w:r w:rsidRPr="00C47F2F">
              <w:rPr>
                <w:noProof/>
                <w:sz w:val="22"/>
                <w:szCs w:val="22"/>
              </w:rPr>
              <w:t>Inhaled particulate materials</w:t>
            </w:r>
          </w:p>
          <w:p w14:paraId="61A0507B" w14:textId="5E773CC9" w:rsidR="00D36248" w:rsidRPr="0057134B" w:rsidRDefault="00D36248" w:rsidP="001A483B">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5E3C6E07" w14:textId="77777777" w:rsidR="00D36248" w:rsidRPr="00C47F2F" w:rsidRDefault="00D36248" w:rsidP="001A483B">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D36248" w:rsidRPr="00972C81" w14:paraId="41D15A8C" w14:textId="77777777" w:rsidTr="00C47F2F">
        <w:trPr>
          <w:trHeight w:val="340"/>
        </w:trPr>
        <w:tc>
          <w:tcPr>
            <w:tcW w:w="2087" w:type="pct"/>
            <w:vMerge/>
            <w:tcBorders>
              <w:top w:val="single" w:sz="4" w:space="0" w:color="auto"/>
              <w:left w:val="nil"/>
              <w:bottom w:val="single" w:sz="4" w:space="0" w:color="auto"/>
              <w:right w:val="nil"/>
            </w:tcBorders>
            <w:vAlign w:val="center"/>
            <w:hideMark/>
          </w:tcPr>
          <w:p w14:paraId="2B7BB2B5" w14:textId="77777777" w:rsidR="00D36248" w:rsidRPr="0057134B" w:rsidRDefault="00D362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43839069" w14:textId="15DE9420" w:rsidR="00D36248" w:rsidRPr="00C47F2F" w:rsidRDefault="00D36248" w:rsidP="00C47F2F">
            <w:pPr>
              <w:jc w:val="left"/>
              <w:rPr>
                <w:noProof/>
                <w:sz w:val="22"/>
                <w:szCs w:val="22"/>
              </w:rPr>
            </w:pPr>
            <w:r w:rsidRPr="00C47F2F">
              <w:rPr>
                <w:noProof/>
                <w:sz w:val="22"/>
                <w:szCs w:val="22"/>
              </w:rPr>
              <w:t>3</w:t>
            </w:r>
            <w:r w:rsidR="003679B0">
              <w:rPr>
                <w:rFonts w:hint="eastAsia"/>
                <w:noProof/>
                <w:sz w:val="22"/>
                <w:szCs w:val="22"/>
                <w:lang w:eastAsia="ko-KR"/>
              </w:rPr>
              <w:t xml:space="preserve"> </w:t>
            </w:r>
            <w:r w:rsidRPr="00C47F2F">
              <w:rPr>
                <w:noProof/>
                <w:sz w:val="22"/>
                <w:szCs w:val="22"/>
              </w:rPr>
              <w:t>m</w:t>
            </w:r>
            <w:r w:rsidR="001A483B">
              <w:rPr>
                <w:noProof/>
                <w:sz w:val="22"/>
                <w:szCs w:val="22"/>
              </w:rPr>
              <w:t>o</w:t>
            </w:r>
          </w:p>
        </w:tc>
        <w:tc>
          <w:tcPr>
            <w:tcW w:w="485" w:type="pct"/>
            <w:tcBorders>
              <w:top w:val="single" w:sz="4" w:space="0" w:color="auto"/>
              <w:left w:val="nil"/>
              <w:bottom w:val="single" w:sz="4" w:space="0" w:color="auto"/>
              <w:right w:val="nil"/>
            </w:tcBorders>
            <w:vAlign w:val="center"/>
            <w:hideMark/>
          </w:tcPr>
          <w:p w14:paraId="2947F100" w14:textId="1BE86F21" w:rsidR="00D36248" w:rsidRPr="00C47F2F" w:rsidRDefault="00D36248" w:rsidP="00C47F2F">
            <w:pPr>
              <w:jc w:val="left"/>
              <w:rPr>
                <w:noProof/>
                <w:sz w:val="22"/>
                <w:szCs w:val="22"/>
              </w:rPr>
            </w:pPr>
            <w:r w:rsidRPr="00C47F2F">
              <w:rPr>
                <w:noProof/>
                <w:sz w:val="22"/>
                <w:szCs w:val="22"/>
              </w:rPr>
              <w:t>1</w:t>
            </w:r>
            <w:r w:rsidR="003679B0">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47F55335" w14:textId="3280431D" w:rsidR="00D36248" w:rsidRPr="00C47F2F" w:rsidRDefault="00D36248" w:rsidP="00C47F2F">
            <w:pPr>
              <w:jc w:val="left"/>
              <w:rPr>
                <w:noProof/>
                <w:sz w:val="22"/>
                <w:szCs w:val="22"/>
              </w:rPr>
            </w:pPr>
            <w:r w:rsidRPr="00C47F2F">
              <w:rPr>
                <w:noProof/>
                <w:sz w:val="22"/>
                <w:szCs w:val="22"/>
              </w:rPr>
              <w:t>5</w:t>
            </w:r>
            <w:r w:rsidR="003679B0">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2985F9AA" w14:textId="71B3618C" w:rsidR="00D36248" w:rsidRPr="00C47F2F" w:rsidRDefault="00D36248" w:rsidP="00C47F2F">
            <w:pPr>
              <w:jc w:val="left"/>
              <w:rPr>
                <w:noProof/>
                <w:sz w:val="22"/>
                <w:szCs w:val="22"/>
              </w:rPr>
            </w:pPr>
            <w:r w:rsidRPr="00C47F2F">
              <w:rPr>
                <w:noProof/>
                <w:sz w:val="22"/>
                <w:szCs w:val="22"/>
              </w:rPr>
              <w:t>10</w:t>
            </w:r>
            <w:r w:rsidR="003679B0">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13C7A755" w14:textId="7C9356A4" w:rsidR="00D36248" w:rsidRPr="00C47F2F" w:rsidRDefault="00D36248" w:rsidP="00C47F2F">
            <w:pPr>
              <w:jc w:val="left"/>
              <w:rPr>
                <w:noProof/>
                <w:sz w:val="22"/>
                <w:szCs w:val="22"/>
              </w:rPr>
            </w:pPr>
            <w:r w:rsidRPr="00C47F2F">
              <w:rPr>
                <w:noProof/>
                <w:sz w:val="22"/>
                <w:szCs w:val="22"/>
              </w:rPr>
              <w:t>15</w:t>
            </w:r>
            <w:r w:rsidR="003679B0">
              <w:rPr>
                <w:rFonts w:hint="eastAsia"/>
                <w:noProof/>
                <w:sz w:val="22"/>
                <w:szCs w:val="22"/>
                <w:lang w:eastAsia="ko-KR"/>
              </w:rPr>
              <w:t xml:space="preserve"> </w:t>
            </w:r>
            <w:r w:rsidRPr="00C47F2F">
              <w:rPr>
                <w:noProof/>
                <w:sz w:val="22"/>
                <w:szCs w:val="22"/>
              </w:rPr>
              <w:t>y</w:t>
            </w:r>
          </w:p>
        </w:tc>
        <w:tc>
          <w:tcPr>
            <w:tcW w:w="487" w:type="pct"/>
            <w:tcBorders>
              <w:top w:val="single" w:sz="4" w:space="0" w:color="auto"/>
              <w:left w:val="nil"/>
              <w:bottom w:val="single" w:sz="4" w:space="0" w:color="auto"/>
              <w:right w:val="nil"/>
            </w:tcBorders>
            <w:vAlign w:val="center"/>
            <w:hideMark/>
          </w:tcPr>
          <w:p w14:paraId="6D6B20AC" w14:textId="77777777" w:rsidR="00D36248" w:rsidRPr="00C47F2F" w:rsidRDefault="00D36248" w:rsidP="00C47F2F">
            <w:pPr>
              <w:jc w:val="left"/>
              <w:rPr>
                <w:noProof/>
                <w:sz w:val="22"/>
                <w:szCs w:val="22"/>
              </w:rPr>
            </w:pPr>
            <w:r w:rsidRPr="00C47F2F">
              <w:rPr>
                <w:noProof/>
                <w:sz w:val="22"/>
                <w:szCs w:val="22"/>
              </w:rPr>
              <w:t>Adult</w:t>
            </w:r>
          </w:p>
        </w:tc>
      </w:tr>
      <w:tr w:rsidR="00D36248" w:rsidRPr="00972C81" w14:paraId="6B6FBB31" w14:textId="77777777" w:rsidTr="001A483B">
        <w:trPr>
          <w:trHeight w:val="340"/>
        </w:trPr>
        <w:tc>
          <w:tcPr>
            <w:tcW w:w="2087" w:type="pct"/>
            <w:tcBorders>
              <w:top w:val="single" w:sz="4" w:space="0" w:color="auto"/>
              <w:left w:val="nil"/>
              <w:bottom w:val="nil"/>
              <w:right w:val="nil"/>
            </w:tcBorders>
            <w:hideMark/>
          </w:tcPr>
          <w:p w14:paraId="178B94A3" w14:textId="77777777" w:rsidR="00D36248" w:rsidRPr="00C47F2F" w:rsidRDefault="00D36248" w:rsidP="001A483B">
            <w:pPr>
              <w:jc w:val="left"/>
              <w:rPr>
                <w:noProof/>
                <w:sz w:val="22"/>
                <w:szCs w:val="22"/>
              </w:rPr>
            </w:pPr>
            <w:r w:rsidRPr="00C47F2F">
              <w:rPr>
                <w:rFonts w:eastAsia="Times New Roman"/>
                <w:noProof/>
                <w:color w:val="000000"/>
                <w:sz w:val="22"/>
                <w:szCs w:val="22"/>
              </w:rPr>
              <w:t>Water soluble forms, including chloride and citrate</w:t>
            </w:r>
          </w:p>
        </w:tc>
        <w:tc>
          <w:tcPr>
            <w:tcW w:w="485" w:type="pct"/>
            <w:tcBorders>
              <w:top w:val="single" w:sz="4" w:space="0" w:color="auto"/>
              <w:left w:val="nil"/>
              <w:bottom w:val="nil"/>
              <w:right w:val="nil"/>
            </w:tcBorders>
            <w:hideMark/>
          </w:tcPr>
          <w:p w14:paraId="60D1FAA5"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1.4E-08</w:t>
            </w:r>
          </w:p>
        </w:tc>
        <w:tc>
          <w:tcPr>
            <w:tcW w:w="485" w:type="pct"/>
            <w:tcBorders>
              <w:top w:val="single" w:sz="4" w:space="0" w:color="auto"/>
              <w:left w:val="nil"/>
              <w:bottom w:val="nil"/>
              <w:right w:val="nil"/>
            </w:tcBorders>
            <w:hideMark/>
          </w:tcPr>
          <w:p w14:paraId="72896614"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1.2E-08</w:t>
            </w:r>
          </w:p>
        </w:tc>
        <w:tc>
          <w:tcPr>
            <w:tcW w:w="485" w:type="pct"/>
            <w:tcBorders>
              <w:top w:val="single" w:sz="4" w:space="0" w:color="auto"/>
              <w:left w:val="nil"/>
              <w:bottom w:val="nil"/>
              <w:right w:val="nil"/>
            </w:tcBorders>
            <w:hideMark/>
          </w:tcPr>
          <w:p w14:paraId="1C1DFAD0"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5.8E-09</w:t>
            </w:r>
          </w:p>
        </w:tc>
        <w:tc>
          <w:tcPr>
            <w:tcW w:w="485" w:type="pct"/>
            <w:tcBorders>
              <w:top w:val="single" w:sz="4" w:space="0" w:color="auto"/>
              <w:left w:val="nil"/>
              <w:bottom w:val="nil"/>
              <w:right w:val="nil"/>
            </w:tcBorders>
            <w:hideMark/>
          </w:tcPr>
          <w:p w14:paraId="452BC69E"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3.4E-09</w:t>
            </w:r>
          </w:p>
        </w:tc>
        <w:tc>
          <w:tcPr>
            <w:tcW w:w="485" w:type="pct"/>
            <w:tcBorders>
              <w:top w:val="single" w:sz="4" w:space="0" w:color="auto"/>
              <w:left w:val="nil"/>
              <w:bottom w:val="nil"/>
              <w:right w:val="nil"/>
            </w:tcBorders>
            <w:hideMark/>
          </w:tcPr>
          <w:p w14:paraId="3B6F790F"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2.8E-09</w:t>
            </w:r>
          </w:p>
        </w:tc>
        <w:tc>
          <w:tcPr>
            <w:tcW w:w="487" w:type="pct"/>
            <w:tcBorders>
              <w:top w:val="single" w:sz="4" w:space="0" w:color="auto"/>
              <w:left w:val="nil"/>
              <w:bottom w:val="nil"/>
              <w:right w:val="nil"/>
            </w:tcBorders>
            <w:hideMark/>
          </w:tcPr>
          <w:p w14:paraId="3E84103D"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2.5E-09</w:t>
            </w:r>
          </w:p>
        </w:tc>
      </w:tr>
      <w:tr w:rsidR="00D36248" w:rsidRPr="00972C81" w14:paraId="0CE84F48" w14:textId="77777777" w:rsidTr="001A483B">
        <w:trPr>
          <w:trHeight w:val="340"/>
        </w:trPr>
        <w:tc>
          <w:tcPr>
            <w:tcW w:w="2087" w:type="pct"/>
            <w:tcBorders>
              <w:top w:val="nil"/>
              <w:left w:val="nil"/>
              <w:bottom w:val="nil"/>
              <w:right w:val="nil"/>
            </w:tcBorders>
            <w:hideMark/>
          </w:tcPr>
          <w:p w14:paraId="386D2822"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Dioxide</w:t>
            </w:r>
          </w:p>
        </w:tc>
        <w:tc>
          <w:tcPr>
            <w:tcW w:w="485" w:type="pct"/>
            <w:tcBorders>
              <w:top w:val="nil"/>
              <w:left w:val="nil"/>
              <w:bottom w:val="nil"/>
              <w:right w:val="nil"/>
            </w:tcBorders>
            <w:hideMark/>
          </w:tcPr>
          <w:p w14:paraId="4EA97864"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1.3E-08</w:t>
            </w:r>
          </w:p>
        </w:tc>
        <w:tc>
          <w:tcPr>
            <w:tcW w:w="485" w:type="pct"/>
            <w:tcBorders>
              <w:top w:val="nil"/>
              <w:left w:val="nil"/>
              <w:bottom w:val="nil"/>
              <w:right w:val="nil"/>
            </w:tcBorders>
            <w:hideMark/>
          </w:tcPr>
          <w:p w14:paraId="567C7E93"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1.2E-08</w:t>
            </w:r>
          </w:p>
        </w:tc>
        <w:tc>
          <w:tcPr>
            <w:tcW w:w="485" w:type="pct"/>
            <w:tcBorders>
              <w:top w:val="nil"/>
              <w:left w:val="nil"/>
              <w:bottom w:val="nil"/>
              <w:right w:val="nil"/>
            </w:tcBorders>
            <w:hideMark/>
          </w:tcPr>
          <w:p w14:paraId="0110BCFA"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6.8E-09</w:t>
            </w:r>
          </w:p>
        </w:tc>
        <w:tc>
          <w:tcPr>
            <w:tcW w:w="485" w:type="pct"/>
            <w:tcBorders>
              <w:top w:val="nil"/>
              <w:left w:val="nil"/>
              <w:bottom w:val="nil"/>
              <w:right w:val="nil"/>
            </w:tcBorders>
            <w:hideMark/>
          </w:tcPr>
          <w:p w14:paraId="7A2E61B0"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4.4E-09</w:t>
            </w:r>
          </w:p>
        </w:tc>
        <w:tc>
          <w:tcPr>
            <w:tcW w:w="485" w:type="pct"/>
            <w:tcBorders>
              <w:top w:val="nil"/>
              <w:left w:val="nil"/>
              <w:bottom w:val="nil"/>
              <w:right w:val="nil"/>
            </w:tcBorders>
            <w:hideMark/>
          </w:tcPr>
          <w:p w14:paraId="606696D8"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3.5E-09</w:t>
            </w:r>
          </w:p>
        </w:tc>
        <w:tc>
          <w:tcPr>
            <w:tcW w:w="487" w:type="pct"/>
            <w:tcBorders>
              <w:top w:val="nil"/>
              <w:left w:val="nil"/>
              <w:bottom w:val="nil"/>
              <w:right w:val="nil"/>
            </w:tcBorders>
            <w:hideMark/>
          </w:tcPr>
          <w:p w14:paraId="5AB5D63A"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3.3E-09</w:t>
            </w:r>
          </w:p>
        </w:tc>
      </w:tr>
      <w:tr w:rsidR="00D36248" w:rsidRPr="00972C81" w14:paraId="307E83C7" w14:textId="77777777" w:rsidTr="001A483B">
        <w:trPr>
          <w:trHeight w:val="340"/>
        </w:trPr>
        <w:tc>
          <w:tcPr>
            <w:tcW w:w="2087" w:type="pct"/>
            <w:tcBorders>
              <w:top w:val="nil"/>
              <w:left w:val="nil"/>
              <w:bottom w:val="nil"/>
              <w:right w:val="nil"/>
            </w:tcBorders>
            <w:hideMark/>
          </w:tcPr>
          <w:p w14:paraId="47363953" w14:textId="77777777" w:rsidR="00D36248" w:rsidRPr="00C47F2F" w:rsidRDefault="00D36248" w:rsidP="001A483B">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0641F987"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1.4E-08</w:t>
            </w:r>
          </w:p>
        </w:tc>
        <w:tc>
          <w:tcPr>
            <w:tcW w:w="485" w:type="pct"/>
            <w:tcBorders>
              <w:top w:val="nil"/>
              <w:left w:val="nil"/>
              <w:bottom w:val="nil"/>
              <w:right w:val="nil"/>
            </w:tcBorders>
            <w:hideMark/>
          </w:tcPr>
          <w:p w14:paraId="2C0E5163"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1.2E-08</w:t>
            </w:r>
          </w:p>
        </w:tc>
        <w:tc>
          <w:tcPr>
            <w:tcW w:w="485" w:type="pct"/>
            <w:tcBorders>
              <w:top w:val="nil"/>
              <w:left w:val="nil"/>
              <w:bottom w:val="nil"/>
              <w:right w:val="nil"/>
            </w:tcBorders>
            <w:hideMark/>
          </w:tcPr>
          <w:p w14:paraId="3C551649"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5.1E-09</w:t>
            </w:r>
          </w:p>
        </w:tc>
        <w:tc>
          <w:tcPr>
            <w:tcW w:w="485" w:type="pct"/>
            <w:tcBorders>
              <w:top w:val="nil"/>
              <w:left w:val="nil"/>
              <w:bottom w:val="nil"/>
              <w:right w:val="nil"/>
            </w:tcBorders>
            <w:hideMark/>
          </w:tcPr>
          <w:p w14:paraId="2744C7C3"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2.8E-09</w:t>
            </w:r>
          </w:p>
        </w:tc>
        <w:tc>
          <w:tcPr>
            <w:tcW w:w="485" w:type="pct"/>
            <w:tcBorders>
              <w:top w:val="nil"/>
              <w:left w:val="nil"/>
              <w:bottom w:val="nil"/>
              <w:right w:val="nil"/>
            </w:tcBorders>
            <w:hideMark/>
          </w:tcPr>
          <w:p w14:paraId="14B04422"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2.3E-09</w:t>
            </w:r>
          </w:p>
        </w:tc>
        <w:tc>
          <w:tcPr>
            <w:tcW w:w="487" w:type="pct"/>
            <w:tcBorders>
              <w:top w:val="nil"/>
              <w:left w:val="nil"/>
              <w:bottom w:val="nil"/>
              <w:right w:val="nil"/>
            </w:tcBorders>
            <w:hideMark/>
          </w:tcPr>
          <w:p w14:paraId="493279FC"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2.0E-09</w:t>
            </w:r>
          </w:p>
        </w:tc>
      </w:tr>
      <w:tr w:rsidR="00D36248" w:rsidRPr="00972C81" w14:paraId="55AFBF4E" w14:textId="77777777" w:rsidTr="001A483B">
        <w:trPr>
          <w:trHeight w:val="340"/>
        </w:trPr>
        <w:tc>
          <w:tcPr>
            <w:tcW w:w="2087" w:type="pct"/>
            <w:tcBorders>
              <w:top w:val="nil"/>
              <w:left w:val="nil"/>
              <w:bottom w:val="nil"/>
              <w:right w:val="nil"/>
            </w:tcBorders>
            <w:hideMark/>
          </w:tcPr>
          <w:p w14:paraId="00922ADC" w14:textId="77777777" w:rsidR="00D36248" w:rsidRPr="00C47F2F" w:rsidRDefault="00D36248" w:rsidP="001A483B">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hideMark/>
          </w:tcPr>
          <w:p w14:paraId="0282EAEE"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1.3E-08</w:t>
            </w:r>
          </w:p>
        </w:tc>
        <w:tc>
          <w:tcPr>
            <w:tcW w:w="485" w:type="pct"/>
            <w:tcBorders>
              <w:top w:val="nil"/>
              <w:left w:val="nil"/>
              <w:bottom w:val="nil"/>
              <w:right w:val="nil"/>
            </w:tcBorders>
            <w:hideMark/>
          </w:tcPr>
          <w:p w14:paraId="737B57FE"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1.1E-08</w:t>
            </w:r>
          </w:p>
        </w:tc>
        <w:tc>
          <w:tcPr>
            <w:tcW w:w="485" w:type="pct"/>
            <w:tcBorders>
              <w:top w:val="nil"/>
              <w:left w:val="nil"/>
              <w:bottom w:val="nil"/>
              <w:right w:val="nil"/>
            </w:tcBorders>
            <w:hideMark/>
          </w:tcPr>
          <w:p w14:paraId="5DEBA511"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5.4E-09</w:t>
            </w:r>
          </w:p>
        </w:tc>
        <w:tc>
          <w:tcPr>
            <w:tcW w:w="485" w:type="pct"/>
            <w:tcBorders>
              <w:top w:val="nil"/>
              <w:left w:val="nil"/>
              <w:bottom w:val="nil"/>
              <w:right w:val="nil"/>
            </w:tcBorders>
            <w:hideMark/>
          </w:tcPr>
          <w:p w14:paraId="34285D29"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3.2E-09</w:t>
            </w:r>
          </w:p>
        </w:tc>
        <w:tc>
          <w:tcPr>
            <w:tcW w:w="485" w:type="pct"/>
            <w:tcBorders>
              <w:top w:val="nil"/>
              <w:left w:val="nil"/>
              <w:bottom w:val="nil"/>
              <w:right w:val="nil"/>
            </w:tcBorders>
            <w:hideMark/>
          </w:tcPr>
          <w:p w14:paraId="0B8ABB86"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2.6E-09</w:t>
            </w:r>
          </w:p>
        </w:tc>
        <w:tc>
          <w:tcPr>
            <w:tcW w:w="487" w:type="pct"/>
            <w:tcBorders>
              <w:top w:val="nil"/>
              <w:left w:val="nil"/>
              <w:bottom w:val="nil"/>
              <w:right w:val="nil"/>
            </w:tcBorders>
            <w:hideMark/>
          </w:tcPr>
          <w:p w14:paraId="6448BE0C"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2.3E-09</w:t>
            </w:r>
          </w:p>
        </w:tc>
      </w:tr>
      <w:tr w:rsidR="00D36248" w:rsidRPr="00972C81" w14:paraId="5A14FF05" w14:textId="77777777" w:rsidTr="001A483B">
        <w:trPr>
          <w:trHeight w:val="340"/>
        </w:trPr>
        <w:tc>
          <w:tcPr>
            <w:tcW w:w="2087" w:type="pct"/>
            <w:tcBorders>
              <w:top w:val="nil"/>
              <w:left w:val="nil"/>
              <w:bottom w:val="single" w:sz="4" w:space="0" w:color="auto"/>
              <w:right w:val="nil"/>
            </w:tcBorders>
            <w:hideMark/>
          </w:tcPr>
          <w:p w14:paraId="524AF138" w14:textId="77777777" w:rsidR="00D36248" w:rsidRPr="00C47F2F" w:rsidRDefault="00D36248" w:rsidP="001A483B">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485" w:type="pct"/>
            <w:tcBorders>
              <w:top w:val="nil"/>
              <w:left w:val="nil"/>
              <w:bottom w:val="single" w:sz="4" w:space="0" w:color="auto"/>
              <w:right w:val="nil"/>
            </w:tcBorders>
            <w:hideMark/>
          </w:tcPr>
          <w:p w14:paraId="2014E20A"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1.5E-08</w:t>
            </w:r>
          </w:p>
        </w:tc>
        <w:tc>
          <w:tcPr>
            <w:tcW w:w="485" w:type="pct"/>
            <w:tcBorders>
              <w:top w:val="nil"/>
              <w:left w:val="nil"/>
              <w:bottom w:val="single" w:sz="4" w:space="0" w:color="auto"/>
              <w:right w:val="nil"/>
            </w:tcBorders>
            <w:hideMark/>
          </w:tcPr>
          <w:p w14:paraId="5C30544D"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1.4E-08</w:t>
            </w:r>
          </w:p>
        </w:tc>
        <w:tc>
          <w:tcPr>
            <w:tcW w:w="485" w:type="pct"/>
            <w:tcBorders>
              <w:top w:val="nil"/>
              <w:left w:val="nil"/>
              <w:bottom w:val="single" w:sz="4" w:space="0" w:color="auto"/>
              <w:right w:val="nil"/>
            </w:tcBorders>
            <w:hideMark/>
          </w:tcPr>
          <w:p w14:paraId="451EF06E"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8.3E-09</w:t>
            </w:r>
          </w:p>
        </w:tc>
        <w:tc>
          <w:tcPr>
            <w:tcW w:w="485" w:type="pct"/>
            <w:tcBorders>
              <w:top w:val="nil"/>
              <w:left w:val="nil"/>
              <w:bottom w:val="single" w:sz="4" w:space="0" w:color="auto"/>
              <w:right w:val="nil"/>
            </w:tcBorders>
            <w:hideMark/>
          </w:tcPr>
          <w:p w14:paraId="4EFA795C"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5.4E-09</w:t>
            </w:r>
          </w:p>
        </w:tc>
        <w:tc>
          <w:tcPr>
            <w:tcW w:w="485" w:type="pct"/>
            <w:tcBorders>
              <w:top w:val="nil"/>
              <w:left w:val="nil"/>
              <w:bottom w:val="single" w:sz="4" w:space="0" w:color="auto"/>
              <w:right w:val="nil"/>
            </w:tcBorders>
            <w:hideMark/>
          </w:tcPr>
          <w:p w14:paraId="7A0EB09C"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4.4E-09</w:t>
            </w:r>
          </w:p>
        </w:tc>
        <w:tc>
          <w:tcPr>
            <w:tcW w:w="487" w:type="pct"/>
            <w:tcBorders>
              <w:top w:val="nil"/>
              <w:left w:val="nil"/>
              <w:bottom w:val="single" w:sz="4" w:space="0" w:color="auto"/>
              <w:right w:val="nil"/>
            </w:tcBorders>
            <w:hideMark/>
          </w:tcPr>
          <w:p w14:paraId="209A49FC"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4.4E-09</w:t>
            </w:r>
          </w:p>
        </w:tc>
      </w:tr>
      <w:tr w:rsidR="00D36248" w:rsidRPr="00972C81" w14:paraId="211A17EF" w14:textId="77777777" w:rsidTr="001A483B">
        <w:trPr>
          <w:trHeight w:val="340"/>
        </w:trPr>
        <w:tc>
          <w:tcPr>
            <w:tcW w:w="2087" w:type="pct"/>
            <w:tcBorders>
              <w:top w:val="single" w:sz="4" w:space="0" w:color="auto"/>
              <w:left w:val="nil"/>
              <w:bottom w:val="single" w:sz="4" w:space="0" w:color="auto"/>
              <w:right w:val="nil"/>
            </w:tcBorders>
          </w:tcPr>
          <w:p w14:paraId="72883EAD" w14:textId="77777777" w:rsidR="00D36248" w:rsidRPr="00C47F2F" w:rsidRDefault="00D36248" w:rsidP="00C47F2F">
            <w:pPr>
              <w:jc w:val="left"/>
              <w:rPr>
                <w:rFonts w:eastAsiaTheme="minorHAnsi"/>
                <w:noProof/>
                <w:sz w:val="22"/>
                <w:szCs w:val="22"/>
              </w:rPr>
            </w:pPr>
          </w:p>
          <w:p w14:paraId="6FD96735" w14:textId="77777777" w:rsidR="00D36248" w:rsidRPr="00C47F2F" w:rsidRDefault="00D36248"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02595FE8"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9C1004D"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C356C95"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68935C1B"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784158B0" w14:textId="77777777" w:rsidR="00D36248" w:rsidRPr="00C47F2F" w:rsidRDefault="00D36248" w:rsidP="00C47F2F">
            <w:pPr>
              <w:jc w:val="left"/>
              <w:rPr>
                <w:rFonts w:eastAsia="Times New Roman"/>
                <w:noProof/>
                <w:color w:val="000000"/>
                <w:sz w:val="22"/>
                <w:szCs w:val="22"/>
              </w:rPr>
            </w:pPr>
          </w:p>
        </w:tc>
        <w:tc>
          <w:tcPr>
            <w:tcW w:w="487" w:type="pct"/>
            <w:tcBorders>
              <w:top w:val="single" w:sz="4" w:space="0" w:color="auto"/>
              <w:left w:val="nil"/>
              <w:bottom w:val="single" w:sz="4" w:space="0" w:color="auto"/>
              <w:right w:val="nil"/>
            </w:tcBorders>
          </w:tcPr>
          <w:p w14:paraId="7DF452D1" w14:textId="77777777" w:rsidR="00D36248" w:rsidRPr="00C47F2F" w:rsidRDefault="00D36248" w:rsidP="00C47F2F">
            <w:pPr>
              <w:jc w:val="left"/>
              <w:rPr>
                <w:rFonts w:eastAsia="Times New Roman"/>
                <w:noProof/>
                <w:color w:val="000000"/>
                <w:sz w:val="22"/>
                <w:szCs w:val="22"/>
              </w:rPr>
            </w:pPr>
          </w:p>
        </w:tc>
      </w:tr>
      <w:tr w:rsidR="00D36248" w:rsidRPr="00972C81" w14:paraId="3C33B077" w14:textId="77777777" w:rsidTr="001A483B">
        <w:trPr>
          <w:trHeight w:val="340"/>
        </w:trPr>
        <w:tc>
          <w:tcPr>
            <w:tcW w:w="2087" w:type="pct"/>
            <w:tcBorders>
              <w:top w:val="single" w:sz="4" w:space="0" w:color="auto"/>
              <w:left w:val="nil"/>
              <w:bottom w:val="single" w:sz="4" w:space="0" w:color="auto"/>
              <w:right w:val="nil"/>
            </w:tcBorders>
            <w:vAlign w:val="center"/>
            <w:hideMark/>
          </w:tcPr>
          <w:p w14:paraId="0114F6FB" w14:textId="1F63D39F" w:rsidR="00D36248" w:rsidRPr="00C47F2F" w:rsidRDefault="00D36248" w:rsidP="001A483B">
            <w:pPr>
              <w:jc w:val="left"/>
              <w:rPr>
                <w:rFonts w:eastAsiaTheme="minorHAnsi"/>
                <w:noProof/>
                <w:sz w:val="22"/>
                <w:szCs w:val="22"/>
              </w:rPr>
            </w:pPr>
            <w:r w:rsidRPr="00C47F2F">
              <w:rPr>
                <w:rFonts w:eastAsia="Times New Roman"/>
                <w:noProof/>
                <w:color w:val="000000"/>
                <w:sz w:val="22"/>
                <w:szCs w:val="22"/>
                <w:lang w:eastAsia="en-GB"/>
              </w:rPr>
              <w:t>All compounds</w:t>
            </w:r>
          </w:p>
        </w:tc>
        <w:tc>
          <w:tcPr>
            <w:tcW w:w="485" w:type="pct"/>
            <w:tcBorders>
              <w:top w:val="single" w:sz="4" w:space="0" w:color="auto"/>
              <w:left w:val="nil"/>
              <w:bottom w:val="single" w:sz="4" w:space="0" w:color="auto"/>
              <w:right w:val="nil"/>
            </w:tcBorders>
            <w:vAlign w:val="center"/>
            <w:hideMark/>
          </w:tcPr>
          <w:p w14:paraId="1C53B5C8"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6.5E-10</w:t>
            </w:r>
          </w:p>
        </w:tc>
        <w:tc>
          <w:tcPr>
            <w:tcW w:w="485" w:type="pct"/>
            <w:tcBorders>
              <w:top w:val="single" w:sz="4" w:space="0" w:color="auto"/>
              <w:left w:val="nil"/>
              <w:bottom w:val="single" w:sz="4" w:space="0" w:color="auto"/>
              <w:right w:val="nil"/>
            </w:tcBorders>
            <w:vAlign w:val="center"/>
            <w:hideMark/>
          </w:tcPr>
          <w:p w14:paraId="52716EC8"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5.9E-11</w:t>
            </w:r>
          </w:p>
        </w:tc>
        <w:tc>
          <w:tcPr>
            <w:tcW w:w="485" w:type="pct"/>
            <w:tcBorders>
              <w:top w:val="single" w:sz="4" w:space="0" w:color="auto"/>
              <w:left w:val="nil"/>
              <w:bottom w:val="single" w:sz="4" w:space="0" w:color="auto"/>
              <w:right w:val="nil"/>
            </w:tcBorders>
            <w:vAlign w:val="center"/>
            <w:hideMark/>
          </w:tcPr>
          <w:p w14:paraId="64B3CBAE"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2.7E-11</w:t>
            </w:r>
          </w:p>
        </w:tc>
        <w:tc>
          <w:tcPr>
            <w:tcW w:w="485" w:type="pct"/>
            <w:tcBorders>
              <w:top w:val="single" w:sz="4" w:space="0" w:color="auto"/>
              <w:left w:val="nil"/>
              <w:bottom w:val="single" w:sz="4" w:space="0" w:color="auto"/>
              <w:right w:val="nil"/>
            </w:tcBorders>
            <w:vAlign w:val="center"/>
            <w:hideMark/>
          </w:tcPr>
          <w:p w14:paraId="6099AC46"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1.6E-11</w:t>
            </w:r>
          </w:p>
        </w:tc>
        <w:tc>
          <w:tcPr>
            <w:tcW w:w="485" w:type="pct"/>
            <w:tcBorders>
              <w:top w:val="single" w:sz="4" w:space="0" w:color="auto"/>
              <w:left w:val="nil"/>
              <w:bottom w:val="single" w:sz="4" w:space="0" w:color="auto"/>
              <w:right w:val="nil"/>
            </w:tcBorders>
            <w:vAlign w:val="center"/>
            <w:hideMark/>
          </w:tcPr>
          <w:p w14:paraId="0272E003"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1.2E-11</w:t>
            </w:r>
          </w:p>
        </w:tc>
        <w:tc>
          <w:tcPr>
            <w:tcW w:w="487" w:type="pct"/>
            <w:tcBorders>
              <w:top w:val="single" w:sz="4" w:space="0" w:color="auto"/>
              <w:left w:val="nil"/>
              <w:bottom w:val="single" w:sz="4" w:space="0" w:color="auto"/>
              <w:right w:val="nil"/>
            </w:tcBorders>
            <w:vAlign w:val="center"/>
            <w:hideMark/>
          </w:tcPr>
          <w:p w14:paraId="0C0879C2"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8.4E-12</w:t>
            </w:r>
          </w:p>
        </w:tc>
      </w:tr>
    </w:tbl>
    <w:p w14:paraId="470E0F48" w14:textId="1A7A6930" w:rsidR="00B0539B" w:rsidRPr="00972C81" w:rsidRDefault="00B0539B">
      <w:pPr>
        <w:widowControl/>
        <w:jc w:val="left"/>
        <w:rPr>
          <w:noProof/>
        </w:rPr>
      </w:pPr>
      <w:r w:rsidRPr="00972C81">
        <w:rPr>
          <w:noProof/>
        </w:rPr>
        <w:br w:type="page"/>
      </w:r>
    </w:p>
    <w:p w14:paraId="475C2479" w14:textId="7674772A" w:rsidR="007D1F4D" w:rsidRPr="00972C81" w:rsidRDefault="00DC407D" w:rsidP="00E81109">
      <w:pPr>
        <w:pStyle w:val="1"/>
        <w:rPr>
          <w:noProof/>
        </w:rPr>
      </w:pPr>
      <w:bookmarkStart w:id="113" w:name="_Toc455492595"/>
      <w:bookmarkStart w:id="114" w:name="_Toc455493024"/>
      <w:bookmarkStart w:id="115" w:name="_Toc162630013"/>
      <w:r w:rsidRPr="00972C81">
        <w:rPr>
          <w:noProof/>
        </w:rPr>
        <w:lastRenderedPageBreak/>
        <w:t>Samarium (Z=62)</w:t>
      </w:r>
      <w:bookmarkEnd w:id="113"/>
      <w:bookmarkEnd w:id="114"/>
      <w:bookmarkEnd w:id="115"/>
    </w:p>
    <w:p w14:paraId="77D75F93" w14:textId="6218DFC7" w:rsidR="000B33B9" w:rsidRPr="00972C81" w:rsidRDefault="000B33B9" w:rsidP="00E81109">
      <w:pPr>
        <w:pStyle w:val="2"/>
        <w:rPr>
          <w:noProof/>
          <w:color w:val="000000" w:themeColor="text1"/>
          <w:lang w:val="en-GB"/>
        </w:rPr>
      </w:pPr>
      <w:bookmarkStart w:id="116" w:name="_Toc17467822"/>
      <w:bookmarkStart w:id="117" w:name="_Toc455492597"/>
      <w:bookmarkStart w:id="118" w:name="_Toc455493026"/>
      <w:bookmarkStart w:id="119" w:name="_Toc162630014"/>
      <w:bookmarkEnd w:id="116"/>
      <w:r w:rsidRPr="00972C81">
        <w:rPr>
          <w:noProof/>
          <w:lang w:val="en-GB"/>
        </w:rPr>
        <w:t>Route</w:t>
      </w:r>
      <w:r w:rsidR="00DC407D" w:rsidRPr="00972C81">
        <w:rPr>
          <w:noProof/>
          <w:lang w:val="en-GB"/>
        </w:rPr>
        <w:t>s of Intake</w:t>
      </w:r>
      <w:bookmarkEnd w:id="117"/>
      <w:bookmarkEnd w:id="118"/>
      <w:bookmarkEnd w:id="119"/>
    </w:p>
    <w:p w14:paraId="20139CE0" w14:textId="77777777" w:rsidR="000B33B9" w:rsidRPr="00972C81" w:rsidRDefault="00DC407D" w:rsidP="00E81109">
      <w:pPr>
        <w:pStyle w:val="3"/>
        <w:rPr>
          <w:noProof/>
        </w:rPr>
      </w:pPr>
      <w:bookmarkStart w:id="120" w:name="_Toc162630015"/>
      <w:r w:rsidRPr="00972C81">
        <w:rPr>
          <w:noProof/>
        </w:rPr>
        <w:t>Inhalation</w:t>
      </w:r>
      <w:bookmarkEnd w:id="120"/>
    </w:p>
    <w:p w14:paraId="66F9091D" w14:textId="2BD40612" w:rsidR="000B33B9" w:rsidRPr="00972C81" w:rsidRDefault="00DC407D" w:rsidP="001C4A92">
      <w:pPr>
        <w:pStyle w:val="Annalstext"/>
        <w:rPr>
          <w:noProof/>
        </w:rPr>
      </w:pPr>
      <w:r w:rsidRPr="00972C81">
        <w:rPr>
          <w:noProof/>
        </w:rPr>
        <w:t xml:space="preserve">Information on absorption from the respiratory tract is available from experimental studies of samarium as chloride and oxide. For details see Section 8 of </w:t>
      </w:r>
      <w:r w:rsidR="008D2109" w:rsidRPr="00972C81">
        <w:rPr>
          <w:i/>
          <w:noProof/>
        </w:rPr>
        <w:t>Publication 141</w:t>
      </w:r>
      <w:r w:rsidR="008D2109" w:rsidRPr="00972C81">
        <w:rPr>
          <w:noProof/>
        </w:rPr>
        <w:t xml:space="preserve"> </w:t>
      </w:r>
      <w:r w:rsidR="009F14C1" w:rsidRPr="00972C81">
        <w:rPr>
          <w:noProof/>
        </w:rPr>
        <w:fldChar w:fldCharType="begin"/>
      </w:r>
      <w:r w:rsidR="009F14C1" w:rsidRPr="00972C81">
        <w:rPr>
          <w:noProof/>
        </w:rPr>
        <w:instrText xml:space="preserve"> ADDIN ZOTERO_ITEM CSL_CITATION {"citationID":"jHa21Rlx","properties":{"formattedCitation":"(ICRP,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9F14C1" w:rsidRPr="00972C81">
        <w:rPr>
          <w:noProof/>
        </w:rPr>
        <w:fldChar w:fldCharType="separate"/>
      </w:r>
      <w:r w:rsidR="00BC59C6" w:rsidRPr="00972C81">
        <w:rPr>
          <w:noProof/>
        </w:rPr>
        <w:t>(ICRP, 2019)</w:t>
      </w:r>
      <w:r w:rsidR="009F14C1" w:rsidRPr="00972C81">
        <w:rPr>
          <w:noProof/>
        </w:rPr>
        <w:fldChar w:fldCharType="end"/>
      </w:r>
      <w:r w:rsidRPr="00972C81">
        <w:rPr>
          <w:noProof/>
        </w:rPr>
        <w:t xml:space="preserve">. </w:t>
      </w:r>
      <w:r w:rsidR="005572F4" w:rsidRPr="00972C81">
        <w:rPr>
          <w:noProof/>
        </w:rPr>
        <w:t>A</w:t>
      </w:r>
      <w:r w:rsidR="000B33B9" w:rsidRPr="00972C81">
        <w:rPr>
          <w:noProof/>
        </w:rPr>
        <w:t xml:space="preserve">bsorption parameter values based on cerium are applied in this document to the other lanthanides. Absorption parameter values and Types, and associated </w:t>
      </w:r>
      <w:r w:rsidR="000B33B9" w:rsidRPr="00972C81">
        <w:rPr>
          <w:i/>
          <w:noProof/>
        </w:rPr>
        <w:t>f</w:t>
      </w:r>
      <w:r w:rsidR="000B33B9" w:rsidRPr="00972C81">
        <w:rPr>
          <w:noProof/>
          <w:vertAlign w:val="subscript"/>
        </w:rPr>
        <w:t>A</w:t>
      </w:r>
      <w:r w:rsidR="000B33B9" w:rsidRPr="00972C81">
        <w:rPr>
          <w:noProof/>
        </w:rPr>
        <w:t xml:space="preserve"> values for particulate forms of lanthanides, including samarium, are given in </w:t>
      </w:r>
      <w:r w:rsidR="00B94D6D" w:rsidRPr="00972C81">
        <w:rPr>
          <w:noProof/>
        </w:rPr>
        <w:fldChar w:fldCharType="begin"/>
      </w:r>
      <w:r w:rsidR="00B94D6D" w:rsidRPr="00972C81">
        <w:rPr>
          <w:noProof/>
        </w:rPr>
        <w:instrText xml:space="preserve"> REF _Ref417994983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1</w:t>
      </w:r>
      <w:r w:rsidR="00B94D6D" w:rsidRPr="00972C81">
        <w:rPr>
          <w:noProof/>
        </w:rPr>
        <w:fldChar w:fldCharType="end"/>
      </w:r>
      <w:r w:rsidR="00B94D6D" w:rsidRPr="00972C81">
        <w:rPr>
          <w:noProof/>
        </w:rPr>
        <w:t xml:space="preserve"> and </w:t>
      </w:r>
      <w:r w:rsidR="00B94D6D" w:rsidRPr="00972C81">
        <w:rPr>
          <w:noProof/>
        </w:rPr>
        <w:fldChar w:fldCharType="begin"/>
      </w:r>
      <w:r w:rsidR="00B94D6D" w:rsidRPr="00972C81">
        <w:rPr>
          <w:noProof/>
        </w:rPr>
        <w:instrText xml:space="preserve"> REF _Ref141784472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B94D6D" w:rsidRPr="00972C81">
        <w:rPr>
          <w:noProof/>
        </w:rPr>
        <w:fldChar w:fldCharType="end"/>
      </w:r>
      <w:r w:rsidR="00B94D6D" w:rsidRPr="00972C81">
        <w:rPr>
          <w:noProof/>
        </w:rPr>
        <w:t xml:space="preserve"> </w:t>
      </w:r>
      <w:r w:rsidR="000B33B9" w:rsidRPr="00972C81">
        <w:rPr>
          <w:noProof/>
        </w:rPr>
        <w:t xml:space="preserve">of the </w:t>
      </w:r>
      <w:r w:rsidR="005572F4" w:rsidRPr="00972C81">
        <w:rPr>
          <w:noProof/>
        </w:rPr>
        <w:t>lanthanum S</w:t>
      </w:r>
      <w:r w:rsidR="000B33B9" w:rsidRPr="00972C81">
        <w:rPr>
          <w:noProof/>
        </w:rPr>
        <w:t xml:space="preserve">ection. </w:t>
      </w:r>
    </w:p>
    <w:p w14:paraId="6EF855BC" w14:textId="77777777" w:rsidR="000B33B9" w:rsidRPr="00972C81" w:rsidRDefault="000B33B9" w:rsidP="00E81109">
      <w:pPr>
        <w:pStyle w:val="3"/>
        <w:rPr>
          <w:noProof/>
        </w:rPr>
      </w:pPr>
      <w:bookmarkStart w:id="121" w:name="_Toc162630016"/>
      <w:r w:rsidRPr="00972C81">
        <w:rPr>
          <w:noProof/>
        </w:rPr>
        <w:t>Ingestion</w:t>
      </w:r>
      <w:bookmarkEnd w:id="121"/>
    </w:p>
    <w:p w14:paraId="47FE0C73" w14:textId="431CBEC6" w:rsidR="00C10792" w:rsidRPr="00972C81" w:rsidRDefault="00DC407D" w:rsidP="001C4A92">
      <w:pPr>
        <w:pStyle w:val="Annalstext"/>
        <w:rPr>
          <w:noProof/>
        </w:rPr>
      </w:pPr>
      <w:r w:rsidRPr="00972C81">
        <w:rPr>
          <w:i/>
          <w:noProof/>
        </w:rPr>
        <w:t>Adults</w:t>
      </w:r>
      <w:r w:rsidR="00C10792" w:rsidRPr="00972C81">
        <w:rPr>
          <w:noProof/>
        </w:rPr>
        <w:t xml:space="preserve">. In Section 2 of </w:t>
      </w:r>
      <w:r w:rsidR="008D2109" w:rsidRPr="00972C81">
        <w:rPr>
          <w:i/>
          <w:noProof/>
        </w:rPr>
        <w:t>Publication 141</w:t>
      </w:r>
      <w:r w:rsidR="008D2109" w:rsidRPr="00972C81">
        <w:rPr>
          <w:noProof/>
        </w:rPr>
        <w:t xml:space="preserve"> </w:t>
      </w:r>
      <w:r w:rsidR="009F14C1" w:rsidRPr="00972C81">
        <w:rPr>
          <w:noProof/>
        </w:rPr>
        <w:fldChar w:fldCharType="begin"/>
      </w:r>
      <w:r w:rsidR="009F14C1" w:rsidRPr="00972C81">
        <w:rPr>
          <w:noProof/>
        </w:rPr>
        <w:instrText xml:space="preserve"> ADDIN ZOTERO_ITEM CSL_CITATION {"citationID":"CSEidXlU","properties":{"formattedCitation":"(ICRP,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9F14C1" w:rsidRPr="00972C81">
        <w:rPr>
          <w:noProof/>
        </w:rPr>
        <w:fldChar w:fldCharType="separate"/>
      </w:r>
      <w:r w:rsidR="00BC59C6" w:rsidRPr="00972C81">
        <w:rPr>
          <w:noProof/>
        </w:rPr>
        <w:t>(ICRP, 2019)</w:t>
      </w:r>
      <w:r w:rsidR="009F14C1" w:rsidRPr="00972C81">
        <w:rPr>
          <w:noProof/>
        </w:rPr>
        <w:fldChar w:fldCharType="end"/>
      </w:r>
      <w:r w:rsidR="008D2109" w:rsidRPr="00972C81">
        <w:rPr>
          <w:noProof/>
        </w:rPr>
        <w:t xml:space="preserve">, </w:t>
      </w:r>
      <w:r w:rsidR="00C10792" w:rsidRPr="00972C81">
        <w:rPr>
          <w:noProof/>
        </w:rPr>
        <w:t>information relating to the gastrointestinal absorption of different lanthanide elements was compared. Their fractional absorption was found to be below 10</w:t>
      </w:r>
      <w:r w:rsidRPr="00972C81">
        <w:rPr>
          <w:noProof/>
          <w:vertAlign w:val="superscript"/>
        </w:rPr>
        <w:t>-3</w:t>
      </w:r>
      <w:r w:rsidR="00C10792" w:rsidRPr="00972C81">
        <w:rPr>
          <w:noProof/>
        </w:rPr>
        <w:t xml:space="preserve"> in most cases and a </w:t>
      </w:r>
      <w:r w:rsidRPr="00972C81">
        <w:rPr>
          <w:i/>
          <w:noProof/>
        </w:rPr>
        <w:t>f</w:t>
      </w:r>
      <w:r w:rsidRPr="00972C81">
        <w:rPr>
          <w:noProof/>
          <w:vertAlign w:val="subscript"/>
        </w:rPr>
        <w:t>A</w:t>
      </w:r>
      <w:r w:rsidR="00C10792" w:rsidRPr="00972C81">
        <w:rPr>
          <w:noProof/>
        </w:rPr>
        <w:t xml:space="preserve"> value 5</w:t>
      </w:r>
      <w:r w:rsidR="00067025" w:rsidRPr="00972C81">
        <w:rPr>
          <w:noProof/>
        </w:rPr>
        <w:t xml:space="preserve"> × </w:t>
      </w:r>
      <w:r w:rsidR="00C10792" w:rsidRPr="00972C81">
        <w:rPr>
          <w:noProof/>
        </w:rPr>
        <w:t>10</w:t>
      </w:r>
      <w:r w:rsidRPr="00972C81">
        <w:rPr>
          <w:noProof/>
          <w:vertAlign w:val="superscript"/>
        </w:rPr>
        <w:t>–4</w:t>
      </w:r>
      <w:r w:rsidR="00C10792" w:rsidRPr="00972C81">
        <w:rPr>
          <w:noProof/>
        </w:rPr>
        <w:t xml:space="preserve"> was adopted for all lanthanides as a reasonably representative value based on experimental results. For samarium, Section 8 of </w:t>
      </w:r>
      <w:r w:rsidR="008D2109" w:rsidRPr="00972C81">
        <w:rPr>
          <w:i/>
          <w:noProof/>
        </w:rPr>
        <w:t>Publication 141</w:t>
      </w:r>
      <w:r w:rsidR="008D2109" w:rsidRPr="00972C81">
        <w:rPr>
          <w:noProof/>
        </w:rPr>
        <w:t xml:space="preserve"> </w:t>
      </w:r>
      <w:r w:rsidR="00C10792" w:rsidRPr="00972C81">
        <w:rPr>
          <w:noProof/>
        </w:rPr>
        <w:t xml:space="preserve">reported qualitative results indicating the gastrointestinal absorption of samarium to be very small. The value of </w:t>
      </w:r>
      <w:r w:rsidRPr="00972C81">
        <w:rPr>
          <w:i/>
          <w:noProof/>
        </w:rPr>
        <w:t>f</w:t>
      </w:r>
      <w:r w:rsidRPr="00972C81">
        <w:rPr>
          <w:noProof/>
          <w:vertAlign w:val="subscript"/>
        </w:rPr>
        <w:t>A</w:t>
      </w:r>
      <w:r w:rsidR="00C10792" w:rsidRPr="00972C81">
        <w:rPr>
          <w:noProof/>
        </w:rPr>
        <w:t xml:space="preserve"> = 5</w:t>
      </w:r>
      <w:r w:rsidR="00067025" w:rsidRPr="00972C81">
        <w:rPr>
          <w:noProof/>
        </w:rPr>
        <w:t xml:space="preserve"> × </w:t>
      </w:r>
      <w:r w:rsidR="00C10792" w:rsidRPr="00972C81">
        <w:rPr>
          <w:noProof/>
        </w:rPr>
        <w:t>10</w:t>
      </w:r>
      <w:r w:rsidRPr="00972C81">
        <w:rPr>
          <w:noProof/>
          <w:vertAlign w:val="superscript"/>
        </w:rPr>
        <w:t>–4</w:t>
      </w:r>
      <w:r w:rsidR="00C10792" w:rsidRPr="00972C81">
        <w:rPr>
          <w:noProof/>
        </w:rPr>
        <w:t xml:space="preserve"> is adopted here for intakes of samarium by adult members of the public.</w:t>
      </w:r>
    </w:p>
    <w:p w14:paraId="76EDBBC6" w14:textId="74576010" w:rsidR="000B33B9" w:rsidRPr="00972C81" w:rsidRDefault="00DC407D" w:rsidP="001C4A92">
      <w:pPr>
        <w:pStyle w:val="Annalstext"/>
        <w:rPr>
          <w:noProof/>
        </w:rPr>
      </w:pPr>
      <w:r w:rsidRPr="00972C81">
        <w:rPr>
          <w:i/>
          <w:noProof/>
        </w:rPr>
        <w:t>Children</w:t>
      </w:r>
      <w:r w:rsidR="00C10792" w:rsidRPr="00972C81">
        <w:rPr>
          <w:noProof/>
        </w:rPr>
        <w:t xml:space="preserve">. The age-dependency of samarium absorption was not observed. On the basis of the chemical analogy with cerium, the same values of </w:t>
      </w:r>
      <w:r w:rsidRPr="00972C81">
        <w:rPr>
          <w:i/>
          <w:noProof/>
        </w:rPr>
        <w:t>f</w:t>
      </w:r>
      <w:r w:rsidRPr="00972C81">
        <w:rPr>
          <w:noProof/>
          <w:vertAlign w:val="subscript"/>
        </w:rPr>
        <w:t>A</w:t>
      </w:r>
      <w:r w:rsidR="00C10792" w:rsidRPr="00972C81">
        <w:rPr>
          <w:noProof/>
        </w:rPr>
        <w:t xml:space="preserve"> = 5</w:t>
      </w:r>
      <w:r w:rsidR="00067025" w:rsidRPr="00972C81">
        <w:rPr>
          <w:noProof/>
        </w:rPr>
        <w:t xml:space="preserve"> × </w:t>
      </w:r>
      <w:r w:rsidR="00C10792" w:rsidRPr="00972C81">
        <w:rPr>
          <w:noProof/>
        </w:rPr>
        <w:t>10</w:t>
      </w:r>
      <w:r w:rsidRPr="00972C81">
        <w:rPr>
          <w:noProof/>
          <w:vertAlign w:val="superscript"/>
        </w:rPr>
        <w:t>-3</w:t>
      </w:r>
      <w:r w:rsidR="00C10792" w:rsidRPr="00972C81">
        <w:rPr>
          <w:noProof/>
        </w:rPr>
        <w:t xml:space="preserve"> for 3-month-old infants and 5</w:t>
      </w:r>
      <w:r w:rsidR="00067025" w:rsidRPr="00972C81">
        <w:rPr>
          <w:noProof/>
        </w:rPr>
        <w:t xml:space="preserve"> × </w:t>
      </w:r>
      <w:r w:rsidR="00C10792" w:rsidRPr="00972C81">
        <w:rPr>
          <w:noProof/>
        </w:rPr>
        <w:t>10</w:t>
      </w:r>
      <w:r w:rsidRPr="00972C81">
        <w:rPr>
          <w:noProof/>
          <w:vertAlign w:val="superscript"/>
        </w:rPr>
        <w:t>-4</w:t>
      </w:r>
      <w:r w:rsidR="00C10792" w:rsidRPr="00972C81">
        <w:rPr>
          <w:noProof/>
        </w:rPr>
        <w:t xml:space="preserve"> for children of 1 year and older are adopted here for samarium.</w:t>
      </w:r>
    </w:p>
    <w:p w14:paraId="34AC5D50" w14:textId="77777777" w:rsidR="00AE7A83" w:rsidRPr="00972C81" w:rsidRDefault="00AE7A83" w:rsidP="00E81109">
      <w:pPr>
        <w:pStyle w:val="3"/>
        <w:rPr>
          <w:noProof/>
        </w:rPr>
      </w:pPr>
      <w:bookmarkStart w:id="122" w:name="_Toc162630017"/>
      <w:r w:rsidRPr="00972C81">
        <w:rPr>
          <w:noProof/>
        </w:rPr>
        <w:t>Systemic Distribution, Retention and Excretion</w:t>
      </w:r>
      <w:bookmarkEnd w:id="122"/>
    </w:p>
    <w:p w14:paraId="6088E0D0" w14:textId="77777777" w:rsidR="001E376E" w:rsidRPr="00972C81" w:rsidRDefault="001E376E" w:rsidP="006703A2">
      <w:pPr>
        <w:pStyle w:val="OIRTitre4"/>
      </w:pPr>
      <w:r w:rsidRPr="00972C81">
        <w:t>Summary of the data base</w:t>
      </w:r>
    </w:p>
    <w:p w14:paraId="7E257030" w14:textId="34240F1D" w:rsidR="001E376E" w:rsidRPr="00972C81" w:rsidRDefault="001E376E" w:rsidP="001C4A92">
      <w:pPr>
        <w:pStyle w:val="Annalstext"/>
        <w:rPr>
          <w:noProof/>
        </w:rPr>
      </w:pPr>
      <w:bookmarkStart w:id="123" w:name="_Hlk494882008"/>
      <w:r w:rsidRPr="00972C81">
        <w:rPr>
          <w:noProof/>
        </w:rPr>
        <w:t xml:space="preserve">Shipler et al. </w:t>
      </w:r>
      <w:r w:rsidR="009F14C1" w:rsidRPr="00972C81">
        <w:rPr>
          <w:noProof/>
        </w:rPr>
        <w:fldChar w:fldCharType="begin"/>
      </w:r>
      <w:r w:rsidR="00497094" w:rsidRPr="00972C81">
        <w:rPr>
          <w:noProof/>
        </w:rPr>
        <w:instrText xml:space="preserve"> ADDIN ZOTERO_ITEM CSL_CITATION {"citationID":"MUmvou6h","properties":{"formattedCitation":"(1976)","plainCitation":"(1976)","noteIndex":0},"citationItems":[{"id":4828,"uris":["http://zotero.org/groups/2470620/items/36T5ST5E"],"itemData":{"id":4828,"type":"report","collection-title":"Diagnosis and treatment of incorporated radionuclides","event-place":"Vienna, Austria","number":"IAEA-SR-6/28","page":"209-221","publisher":"IAEA","publisher-place":"Vienna, Austria","source":"Google Scholar","title":"Development of a Diagnostic Model for Inhaled Promethium-147 Oxide-Animal Studies.","author":[{"family":"Shipler","given":"D. B."},{"family":"Ballou","given":"J. E."},{"family":"Griffin","given":"B. I."},{"family":"Nelson","given":"I. C."}],"issued":{"date-parts":[["1976"]]}},"label":"page","suppress-author":true}],"schema":"https://github.com/citation-style-language/schema/raw/master/csl-citation.json"} </w:instrText>
      </w:r>
      <w:r w:rsidR="009F14C1" w:rsidRPr="00972C81">
        <w:rPr>
          <w:noProof/>
        </w:rPr>
        <w:fldChar w:fldCharType="separate"/>
      </w:r>
      <w:r w:rsidR="00BC59C6" w:rsidRPr="00972C81">
        <w:rPr>
          <w:noProof/>
        </w:rPr>
        <w:t>(1976)</w:t>
      </w:r>
      <w:r w:rsidR="009F14C1" w:rsidRPr="00972C81">
        <w:rPr>
          <w:noProof/>
        </w:rPr>
        <w:fldChar w:fldCharType="end"/>
      </w:r>
      <w:r w:rsidRPr="00972C81">
        <w:rPr>
          <w:noProof/>
        </w:rPr>
        <w:t xml:space="preserve"> compared the kinetics of </w:t>
      </w:r>
      <w:r w:rsidRPr="00972C81">
        <w:rPr>
          <w:noProof/>
          <w:vertAlign w:val="superscript"/>
        </w:rPr>
        <w:t>145</w:t>
      </w:r>
      <w:r w:rsidRPr="00972C81">
        <w:rPr>
          <w:noProof/>
        </w:rPr>
        <w:t xml:space="preserve">Sm and </w:t>
      </w:r>
      <w:r w:rsidRPr="00972C81">
        <w:rPr>
          <w:noProof/>
          <w:vertAlign w:val="superscript"/>
        </w:rPr>
        <w:t>143</w:t>
      </w:r>
      <w:r w:rsidRPr="00972C81">
        <w:rPr>
          <w:noProof/>
        </w:rPr>
        <w:t xml:space="preserve">Pm in rats and dogs exposed by inhalation to an aerosol containing </w:t>
      </w:r>
      <w:r w:rsidRPr="00972C81">
        <w:rPr>
          <w:noProof/>
          <w:vertAlign w:val="superscript"/>
        </w:rPr>
        <w:t>145</w:t>
      </w:r>
      <w:r w:rsidRPr="00972C81">
        <w:rPr>
          <w:noProof/>
        </w:rPr>
        <w:t>Sm</w:t>
      </w:r>
      <w:r w:rsidRPr="00972C81">
        <w:rPr>
          <w:noProof/>
          <w:vertAlign w:val="subscript"/>
        </w:rPr>
        <w:t>2</w:t>
      </w:r>
      <w:r w:rsidRPr="00972C81">
        <w:rPr>
          <w:noProof/>
        </w:rPr>
        <w:t>O</w:t>
      </w:r>
      <w:r w:rsidRPr="00972C81">
        <w:rPr>
          <w:noProof/>
          <w:vertAlign w:val="subscript"/>
        </w:rPr>
        <w:t>3</w:t>
      </w:r>
      <w:r w:rsidRPr="00972C81">
        <w:rPr>
          <w:noProof/>
        </w:rPr>
        <w:t xml:space="preserve"> and </w:t>
      </w:r>
      <w:r w:rsidRPr="00972C81">
        <w:rPr>
          <w:noProof/>
          <w:vertAlign w:val="superscript"/>
        </w:rPr>
        <w:t>143</w:t>
      </w:r>
      <w:r w:rsidRPr="00972C81">
        <w:rPr>
          <w:noProof/>
        </w:rPr>
        <w:t>Pm</w:t>
      </w:r>
      <w:r w:rsidRPr="00972C81">
        <w:rPr>
          <w:noProof/>
          <w:vertAlign w:val="subscript"/>
        </w:rPr>
        <w:t>2</w:t>
      </w:r>
      <w:r w:rsidRPr="00972C81">
        <w:rPr>
          <w:noProof/>
        </w:rPr>
        <w:t>O</w:t>
      </w:r>
      <w:r w:rsidRPr="00972C81">
        <w:rPr>
          <w:noProof/>
          <w:vertAlign w:val="subscript"/>
        </w:rPr>
        <w:t>3</w:t>
      </w:r>
      <w:r w:rsidRPr="00972C81">
        <w:rPr>
          <w:noProof/>
        </w:rPr>
        <w:t>. The animals were sacrificed at 0, 14, and 30 days after exposure. Quantitative analysis for several tissues and excreta indicate</w:t>
      </w:r>
      <w:r w:rsidR="00CA6B48" w:rsidRPr="00972C81">
        <w:rPr>
          <w:noProof/>
        </w:rPr>
        <w:t>s</w:t>
      </w:r>
      <w:r w:rsidRPr="00972C81">
        <w:rPr>
          <w:noProof/>
        </w:rPr>
        <w:t xml:space="preserve"> that the two radionuclides behaved virtually identically in each of these animal species. </w:t>
      </w:r>
    </w:p>
    <w:p w14:paraId="2F82C600" w14:textId="7926FD14" w:rsidR="001E376E" w:rsidRPr="00972C81" w:rsidRDefault="001E376E" w:rsidP="001C4A92">
      <w:pPr>
        <w:pStyle w:val="Annalstext"/>
        <w:rPr>
          <w:noProof/>
        </w:rPr>
      </w:pPr>
      <w:r w:rsidRPr="00972C81">
        <w:rPr>
          <w:noProof/>
        </w:rPr>
        <w:t xml:space="preserve">Biokinetic studies of samarium and promethium in rodents also indicate similar systemic </w:t>
      </w:r>
      <w:r w:rsidR="00BB503E">
        <w:rPr>
          <w:noProof/>
        </w:rPr>
        <w:t>behaviour</w:t>
      </w:r>
      <w:r w:rsidRPr="00972C81">
        <w:rPr>
          <w:noProof/>
        </w:rPr>
        <w:t xml:space="preserve"> of these elements </w:t>
      </w:r>
      <w:r w:rsidR="001C4A92" w:rsidRPr="00972C81">
        <w:rPr>
          <w:noProof/>
        </w:rPr>
        <w:fldChar w:fldCharType="begin"/>
      </w:r>
      <w:r w:rsidR="001C4A92" w:rsidRPr="00972C81">
        <w:rPr>
          <w:noProof/>
        </w:rPr>
        <w:instrText xml:space="preserve"> ADDIN ZOTERO_ITEM CSL_CITATION {"citationID":"XXa5ubGY","properties":{"formattedCitation":"(Durbin, 1959, 1962)","plainCitation":"(Durbin, 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1C4A92" w:rsidRPr="00972C81">
        <w:rPr>
          <w:noProof/>
        </w:rPr>
        <w:fldChar w:fldCharType="separate"/>
      </w:r>
      <w:r w:rsidR="00BC59C6" w:rsidRPr="00972C81">
        <w:rPr>
          <w:noProof/>
        </w:rPr>
        <w:t>(Durbin, 1959, 1962)</w:t>
      </w:r>
      <w:r w:rsidR="001C4A92" w:rsidRPr="00972C81">
        <w:rPr>
          <w:noProof/>
        </w:rPr>
        <w:fldChar w:fldCharType="end"/>
      </w:r>
      <w:r w:rsidRPr="00972C81">
        <w:rPr>
          <w:noProof/>
        </w:rPr>
        <w:t>.</w:t>
      </w:r>
    </w:p>
    <w:p w14:paraId="6B848DCB" w14:textId="77777777" w:rsidR="001E376E" w:rsidRPr="00972C81" w:rsidRDefault="001E376E" w:rsidP="001C4A92">
      <w:pPr>
        <w:pStyle w:val="Annalstext"/>
        <w:rPr>
          <w:noProof/>
        </w:rPr>
      </w:pPr>
      <w:r w:rsidRPr="00972C81">
        <w:rPr>
          <w:noProof/>
        </w:rPr>
        <w:t xml:space="preserve">No information was found regarding age dependence in the biokinetics of systemic </w:t>
      </w:r>
      <w:r w:rsidRPr="00972C81">
        <w:rPr>
          <w:rFonts w:ascii="Times Roman" w:hAnsi="Times Roman"/>
          <w:noProof/>
        </w:rPr>
        <w:t>samarium</w:t>
      </w:r>
      <w:r w:rsidRPr="00972C81">
        <w:rPr>
          <w:noProof/>
        </w:rPr>
        <w:t xml:space="preserve">. </w:t>
      </w:r>
    </w:p>
    <w:bookmarkEnd w:id="123"/>
    <w:p w14:paraId="615905D2" w14:textId="77777777" w:rsidR="001E376E" w:rsidRPr="00972C81" w:rsidRDefault="001E376E" w:rsidP="006703A2">
      <w:pPr>
        <w:pStyle w:val="OIRTitre4"/>
      </w:pPr>
      <w:r w:rsidRPr="00972C81">
        <w:t>Systemic model</w:t>
      </w:r>
    </w:p>
    <w:p w14:paraId="75DB61E2" w14:textId="11844140" w:rsidR="001E376E" w:rsidRPr="00972C81" w:rsidRDefault="001E376E" w:rsidP="001C4A92">
      <w:pPr>
        <w:pStyle w:val="Annalstext"/>
        <w:rPr>
          <w:noProof/>
        </w:rPr>
      </w:pPr>
      <w:r w:rsidRPr="00972C81">
        <w:rPr>
          <w:noProof/>
        </w:rPr>
        <w:t xml:space="preserve">The model structure shown in </w:t>
      </w:r>
      <w:r w:rsidR="001C4A92" w:rsidRPr="00972C81">
        <w:rPr>
          <w:noProof/>
        </w:rPr>
        <w:fldChar w:fldCharType="begin"/>
      </w:r>
      <w:r w:rsidR="001C4A92" w:rsidRPr="00972C81">
        <w:rPr>
          <w:noProof/>
        </w:rPr>
        <w:instrText xml:space="preserve"> REF _Ref141858180 \h </w:instrText>
      </w:r>
      <w:r w:rsidR="001C4A92" w:rsidRPr="00972C81">
        <w:rPr>
          <w:noProof/>
        </w:rPr>
      </w:r>
      <w:r w:rsidR="001C4A92" w:rsidRPr="00972C81">
        <w:rPr>
          <w:noProof/>
        </w:rPr>
        <w:fldChar w:fldCharType="separate"/>
      </w:r>
      <w:r w:rsidR="00A41AD1" w:rsidRPr="00A41AD1">
        <w:rPr>
          <w:noProof/>
          <w:szCs w:val="24"/>
        </w:rPr>
        <w:t xml:space="preserve">Fig </w:t>
      </w:r>
      <w:r w:rsidR="00A41AD1">
        <w:rPr>
          <w:noProof/>
          <w:szCs w:val="24"/>
        </w:rPr>
        <w:t>3</w:t>
      </w:r>
      <w:r w:rsidR="00A41AD1" w:rsidRPr="00A41AD1">
        <w:rPr>
          <w:noProof/>
          <w:szCs w:val="24"/>
        </w:rPr>
        <w:t>.</w:t>
      </w:r>
      <w:r w:rsidR="00A41AD1">
        <w:rPr>
          <w:noProof/>
          <w:szCs w:val="24"/>
        </w:rPr>
        <w:t>1</w:t>
      </w:r>
      <w:r w:rsidR="001C4A92" w:rsidRPr="00972C81">
        <w:rPr>
          <w:noProof/>
        </w:rPr>
        <w:fldChar w:fldCharType="end"/>
      </w:r>
      <w:r w:rsidRPr="00972C81">
        <w:rPr>
          <w:noProof/>
        </w:rPr>
        <w:t xml:space="preserve"> of the section on cerium is applied in this report to all lanthanide elements.</w:t>
      </w:r>
    </w:p>
    <w:p w14:paraId="4DF53C42" w14:textId="19C7E029" w:rsidR="001E376E" w:rsidRPr="00972C81" w:rsidRDefault="001E376E" w:rsidP="001C4A92">
      <w:pPr>
        <w:pStyle w:val="Annalstext"/>
        <w:rPr>
          <w:rFonts w:eastAsia="Times New Roman"/>
          <w:noProof/>
        </w:rPr>
      </w:pPr>
      <w:r w:rsidRPr="00972C81">
        <w:rPr>
          <w:rFonts w:eastAsia="Times New Roman"/>
          <w:noProof/>
        </w:rPr>
        <w:t xml:space="preserve">A common set of age-specific transfer coefficients is applied to the promethium group, neodymium, promethium, and samarium. Transfer coefficients for the promethium group are listed in </w:t>
      </w:r>
      <w:r w:rsidR="001C4A92" w:rsidRPr="00972C81">
        <w:rPr>
          <w:rFonts w:eastAsia="Times New Roman"/>
          <w:noProof/>
        </w:rPr>
        <w:fldChar w:fldCharType="begin"/>
      </w:r>
      <w:r w:rsidR="001C4A92" w:rsidRPr="00972C81">
        <w:rPr>
          <w:rFonts w:eastAsia="Times New Roman"/>
          <w:noProof/>
        </w:rPr>
        <w:instrText xml:space="preserve"> REF _Ref142303963 \h </w:instrText>
      </w:r>
      <w:r w:rsidR="001C4A92" w:rsidRPr="00972C81">
        <w:rPr>
          <w:rFonts w:eastAsia="Times New Roman"/>
          <w:noProof/>
        </w:rPr>
      </w:r>
      <w:r w:rsidR="001C4A92" w:rsidRPr="00972C81">
        <w:rPr>
          <w:rFonts w:eastAsia="Times New Roman"/>
          <w:noProof/>
        </w:rPr>
        <w:fldChar w:fldCharType="separate"/>
      </w:r>
      <w:r w:rsidR="00A41AD1" w:rsidRPr="00972C81">
        <w:rPr>
          <w:noProof/>
        </w:rPr>
        <w:t xml:space="preserve">Table </w:t>
      </w:r>
      <w:r w:rsidR="00A41AD1">
        <w:rPr>
          <w:noProof/>
        </w:rPr>
        <w:t>6</w:t>
      </w:r>
      <w:r w:rsidR="00A41AD1" w:rsidRPr="00972C81">
        <w:rPr>
          <w:noProof/>
        </w:rPr>
        <w:t>.</w:t>
      </w:r>
      <w:r w:rsidR="00A41AD1">
        <w:rPr>
          <w:noProof/>
        </w:rPr>
        <w:t>2</w:t>
      </w:r>
      <w:r w:rsidR="001C4A92" w:rsidRPr="00972C81">
        <w:rPr>
          <w:rFonts w:eastAsia="Times New Roman"/>
          <w:noProof/>
        </w:rPr>
        <w:fldChar w:fldCharType="end"/>
      </w:r>
      <w:r w:rsidRPr="00972C81">
        <w:rPr>
          <w:rFonts w:eastAsia="Times New Roman"/>
          <w:noProof/>
        </w:rPr>
        <w:t xml:space="preserve"> of the section on promethium.</w:t>
      </w:r>
    </w:p>
    <w:p w14:paraId="5B43525A" w14:textId="77777777" w:rsidR="001E376E" w:rsidRPr="00972C81" w:rsidRDefault="001E376E" w:rsidP="006703A2">
      <w:pPr>
        <w:pStyle w:val="OIRTitre4"/>
      </w:pPr>
      <w:r w:rsidRPr="00972C81">
        <w:t>Treatment of radioactive progeny</w:t>
      </w:r>
    </w:p>
    <w:p w14:paraId="36BC88D0" w14:textId="41B85551" w:rsidR="00345946" w:rsidRPr="00972C81" w:rsidRDefault="00345946" w:rsidP="00E81109">
      <w:pPr>
        <w:pStyle w:val="Annalstext"/>
        <w:rPr>
          <w:rFonts w:eastAsia="Calibri"/>
          <w:noProof/>
        </w:rPr>
      </w:pPr>
      <w:r w:rsidRPr="00972C81">
        <w:rPr>
          <w:noProof/>
        </w:rPr>
        <w:lastRenderedPageBreak/>
        <w:t>The</w:t>
      </w:r>
      <w:r w:rsidRPr="00972C81">
        <w:rPr>
          <w:rFonts w:eastAsia="Calibri"/>
          <w:noProof/>
        </w:rPr>
        <w:t xml:space="preserve"> treatment of radioactive progeny produced in systemic compartments after intake of a radioisotope of samarium is described in Section 8.2.3.3. of </w:t>
      </w:r>
      <w:r w:rsidR="008D2109" w:rsidRPr="00972C81">
        <w:rPr>
          <w:i/>
          <w:noProof/>
        </w:rPr>
        <w:t>Publication 141</w:t>
      </w:r>
      <w:r w:rsidR="008D2109" w:rsidRPr="00972C81">
        <w:rPr>
          <w:noProof/>
        </w:rPr>
        <w:t xml:space="preserve"> </w:t>
      </w:r>
      <w:r w:rsidR="001C4A92" w:rsidRPr="00972C81">
        <w:rPr>
          <w:noProof/>
        </w:rPr>
        <w:fldChar w:fldCharType="begin"/>
      </w:r>
      <w:r w:rsidR="001C4A92" w:rsidRPr="00972C81">
        <w:rPr>
          <w:noProof/>
        </w:rPr>
        <w:instrText xml:space="preserve"> ADDIN ZOTERO_ITEM CSL_CITATION {"citationID":"imJMI23Z","properties":{"formattedCitation":"(ICRP,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1C4A92" w:rsidRPr="00972C81">
        <w:rPr>
          <w:noProof/>
        </w:rPr>
        <w:fldChar w:fldCharType="separate"/>
      </w:r>
      <w:r w:rsidR="00BC59C6" w:rsidRPr="00972C81">
        <w:rPr>
          <w:noProof/>
        </w:rPr>
        <w:t>(ICRP, 2019)</w:t>
      </w:r>
      <w:r w:rsidR="001C4A92" w:rsidRPr="00972C81">
        <w:rPr>
          <w:noProof/>
        </w:rPr>
        <w:fldChar w:fldCharType="end"/>
      </w:r>
      <w:r w:rsidR="008D2109" w:rsidRPr="00972C81">
        <w:rPr>
          <w:noProof/>
        </w:rPr>
        <w:t>.</w:t>
      </w:r>
    </w:p>
    <w:p w14:paraId="72ED044E" w14:textId="77777777" w:rsidR="00345946" w:rsidRPr="00972C81" w:rsidRDefault="00345946" w:rsidP="00E81109">
      <w:pPr>
        <w:pStyle w:val="2"/>
        <w:rPr>
          <w:noProof/>
          <w:lang w:val="en-GB"/>
        </w:rPr>
      </w:pPr>
      <w:bookmarkStart w:id="124" w:name="_Toc162630018"/>
      <w:r w:rsidRPr="00972C81">
        <w:rPr>
          <w:noProof/>
          <w:lang w:val="en-GB"/>
        </w:rPr>
        <w:t>Dosimetric data for samarium</w:t>
      </w:r>
      <w:bookmarkEnd w:id="124"/>
    </w:p>
    <w:p w14:paraId="0B80849D" w14:textId="01850DDB" w:rsidR="00D36248" w:rsidRPr="00972C81" w:rsidRDefault="00D36248" w:rsidP="00D36248">
      <w:pPr>
        <w:pStyle w:val="ab"/>
        <w:rPr>
          <w:noProof/>
          <w:sz w:val="24"/>
          <w:szCs w:val="24"/>
        </w:rPr>
      </w:pPr>
      <w:r w:rsidRPr="00972C81">
        <w:rPr>
          <w:noProof/>
          <w:sz w:val="24"/>
          <w:szCs w:val="24"/>
        </w:rPr>
        <w:t>Table 7.1.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153</w:t>
      </w:r>
      <w:r w:rsidRPr="00972C81">
        <w:rPr>
          <w:noProof/>
          <w:sz w:val="24"/>
          <w:szCs w:val="24"/>
        </w:rPr>
        <w:t>Sm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D36248" w:rsidRPr="00A3213E" w14:paraId="57451110" w14:textId="77777777" w:rsidTr="001A483B">
        <w:trPr>
          <w:trHeight w:val="340"/>
        </w:trPr>
        <w:tc>
          <w:tcPr>
            <w:tcW w:w="2087" w:type="pct"/>
            <w:vMerge w:val="restart"/>
            <w:tcBorders>
              <w:top w:val="single" w:sz="4" w:space="0" w:color="auto"/>
              <w:left w:val="nil"/>
              <w:bottom w:val="single" w:sz="4" w:space="0" w:color="auto"/>
              <w:right w:val="nil"/>
            </w:tcBorders>
            <w:vAlign w:val="bottom"/>
            <w:hideMark/>
          </w:tcPr>
          <w:p w14:paraId="0A48CD8B" w14:textId="77777777" w:rsidR="0057134B" w:rsidRPr="00C47F2F" w:rsidRDefault="00D36248" w:rsidP="001A483B">
            <w:pPr>
              <w:jc w:val="left"/>
              <w:rPr>
                <w:noProof/>
                <w:sz w:val="22"/>
                <w:szCs w:val="22"/>
              </w:rPr>
            </w:pPr>
            <w:r w:rsidRPr="00C47F2F">
              <w:rPr>
                <w:noProof/>
                <w:sz w:val="22"/>
                <w:szCs w:val="22"/>
              </w:rPr>
              <w:t>Inhaled particulate materials</w:t>
            </w:r>
          </w:p>
          <w:p w14:paraId="53224999" w14:textId="2DDC08F5" w:rsidR="00D36248" w:rsidRPr="0057134B" w:rsidRDefault="00D36248" w:rsidP="001A483B">
            <w:pPr>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656E65D2" w14:textId="77777777" w:rsidR="00D36248" w:rsidRPr="00C47F2F" w:rsidRDefault="00D36248" w:rsidP="001A483B">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D36248" w:rsidRPr="00972C81" w14:paraId="591486DC" w14:textId="77777777" w:rsidTr="001A483B">
        <w:trPr>
          <w:trHeight w:val="340"/>
        </w:trPr>
        <w:tc>
          <w:tcPr>
            <w:tcW w:w="2087" w:type="pct"/>
            <w:vMerge/>
            <w:tcBorders>
              <w:top w:val="single" w:sz="4" w:space="0" w:color="auto"/>
              <w:left w:val="nil"/>
              <w:bottom w:val="single" w:sz="4" w:space="0" w:color="auto"/>
              <w:right w:val="nil"/>
            </w:tcBorders>
            <w:vAlign w:val="center"/>
            <w:hideMark/>
          </w:tcPr>
          <w:p w14:paraId="0FAC829C" w14:textId="77777777" w:rsidR="00D36248" w:rsidRPr="0057134B" w:rsidRDefault="00D362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681B4E72" w14:textId="7ADD3A9F" w:rsidR="00D36248" w:rsidRPr="00C47F2F" w:rsidRDefault="00D36248" w:rsidP="001A483B">
            <w:pPr>
              <w:jc w:val="left"/>
              <w:rPr>
                <w:noProof/>
                <w:sz w:val="22"/>
                <w:szCs w:val="22"/>
              </w:rPr>
            </w:pPr>
            <w:r w:rsidRPr="00C47F2F">
              <w:rPr>
                <w:noProof/>
                <w:sz w:val="22"/>
                <w:szCs w:val="22"/>
              </w:rPr>
              <w:t>3</w:t>
            </w:r>
            <w:r w:rsidR="0057134B">
              <w:rPr>
                <w:rFonts w:hint="eastAsia"/>
                <w:noProof/>
                <w:sz w:val="22"/>
                <w:szCs w:val="22"/>
                <w:lang w:eastAsia="ko-KR"/>
              </w:rPr>
              <w:t xml:space="preserve"> </w:t>
            </w:r>
            <w:r w:rsidRPr="00C47F2F">
              <w:rPr>
                <w:noProof/>
                <w:sz w:val="22"/>
                <w:szCs w:val="22"/>
              </w:rPr>
              <w:t>m</w:t>
            </w:r>
            <w:r w:rsidR="001A483B">
              <w:rPr>
                <w:noProof/>
                <w:sz w:val="22"/>
                <w:szCs w:val="22"/>
              </w:rPr>
              <w:t>o</w:t>
            </w:r>
          </w:p>
        </w:tc>
        <w:tc>
          <w:tcPr>
            <w:tcW w:w="485" w:type="pct"/>
            <w:tcBorders>
              <w:top w:val="single" w:sz="4" w:space="0" w:color="auto"/>
              <w:left w:val="nil"/>
              <w:bottom w:val="single" w:sz="4" w:space="0" w:color="auto"/>
              <w:right w:val="nil"/>
            </w:tcBorders>
            <w:vAlign w:val="center"/>
            <w:hideMark/>
          </w:tcPr>
          <w:p w14:paraId="7A9D58F5" w14:textId="12909FD5" w:rsidR="00D36248" w:rsidRPr="00C47F2F" w:rsidRDefault="00D36248" w:rsidP="001A483B">
            <w:pPr>
              <w:jc w:val="left"/>
              <w:rPr>
                <w:noProof/>
                <w:sz w:val="22"/>
                <w:szCs w:val="22"/>
              </w:rPr>
            </w:pPr>
            <w:r w:rsidRPr="00C47F2F">
              <w:rPr>
                <w:noProof/>
                <w:sz w:val="22"/>
                <w:szCs w:val="22"/>
              </w:rPr>
              <w:t>1</w:t>
            </w:r>
            <w:r w:rsidR="0057134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016A9E47" w14:textId="2BEC0EAC" w:rsidR="00D36248" w:rsidRPr="00C47F2F" w:rsidRDefault="00D36248" w:rsidP="001A483B">
            <w:pPr>
              <w:jc w:val="left"/>
              <w:rPr>
                <w:noProof/>
                <w:sz w:val="22"/>
                <w:szCs w:val="22"/>
              </w:rPr>
            </w:pPr>
            <w:r w:rsidRPr="00C47F2F">
              <w:rPr>
                <w:noProof/>
                <w:sz w:val="22"/>
                <w:szCs w:val="22"/>
              </w:rPr>
              <w:t>5</w:t>
            </w:r>
            <w:r w:rsidR="0057134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7246B33A" w14:textId="3CD64F11" w:rsidR="00D36248" w:rsidRPr="00C47F2F" w:rsidRDefault="00D36248" w:rsidP="001A483B">
            <w:pPr>
              <w:jc w:val="left"/>
              <w:rPr>
                <w:noProof/>
                <w:sz w:val="22"/>
                <w:szCs w:val="22"/>
              </w:rPr>
            </w:pPr>
            <w:r w:rsidRPr="00C47F2F">
              <w:rPr>
                <w:noProof/>
                <w:sz w:val="22"/>
                <w:szCs w:val="22"/>
              </w:rPr>
              <w:t>10</w:t>
            </w:r>
            <w:r w:rsidR="0057134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1D56A312" w14:textId="61C90F9E" w:rsidR="00D36248" w:rsidRPr="00C47F2F" w:rsidRDefault="00D36248" w:rsidP="001A483B">
            <w:pPr>
              <w:jc w:val="left"/>
              <w:rPr>
                <w:noProof/>
                <w:sz w:val="22"/>
                <w:szCs w:val="22"/>
              </w:rPr>
            </w:pPr>
            <w:r w:rsidRPr="00C47F2F">
              <w:rPr>
                <w:noProof/>
                <w:sz w:val="22"/>
                <w:szCs w:val="22"/>
              </w:rPr>
              <w:t>15</w:t>
            </w:r>
            <w:r w:rsidR="0057134B">
              <w:rPr>
                <w:rFonts w:hint="eastAsia"/>
                <w:noProof/>
                <w:sz w:val="22"/>
                <w:szCs w:val="22"/>
                <w:lang w:eastAsia="ko-KR"/>
              </w:rPr>
              <w:t xml:space="preserve"> </w:t>
            </w:r>
            <w:r w:rsidRPr="00C47F2F">
              <w:rPr>
                <w:noProof/>
                <w:sz w:val="22"/>
                <w:szCs w:val="22"/>
              </w:rPr>
              <w:t>y</w:t>
            </w:r>
          </w:p>
        </w:tc>
        <w:tc>
          <w:tcPr>
            <w:tcW w:w="488" w:type="pct"/>
            <w:tcBorders>
              <w:top w:val="single" w:sz="4" w:space="0" w:color="auto"/>
              <w:left w:val="nil"/>
              <w:bottom w:val="single" w:sz="4" w:space="0" w:color="auto"/>
              <w:right w:val="nil"/>
            </w:tcBorders>
            <w:vAlign w:val="center"/>
            <w:hideMark/>
          </w:tcPr>
          <w:p w14:paraId="1FBAB73E" w14:textId="77777777" w:rsidR="00D36248" w:rsidRPr="00C47F2F" w:rsidRDefault="00D36248" w:rsidP="001A483B">
            <w:pPr>
              <w:jc w:val="left"/>
              <w:rPr>
                <w:noProof/>
                <w:sz w:val="22"/>
                <w:szCs w:val="22"/>
              </w:rPr>
            </w:pPr>
            <w:r w:rsidRPr="00C47F2F">
              <w:rPr>
                <w:noProof/>
                <w:sz w:val="22"/>
                <w:szCs w:val="22"/>
              </w:rPr>
              <w:t>Adult</w:t>
            </w:r>
          </w:p>
        </w:tc>
      </w:tr>
      <w:tr w:rsidR="00D36248" w:rsidRPr="00972C81" w14:paraId="67DF9A1B" w14:textId="77777777" w:rsidTr="00C47F2F">
        <w:trPr>
          <w:trHeight w:val="340"/>
        </w:trPr>
        <w:tc>
          <w:tcPr>
            <w:tcW w:w="2087" w:type="pct"/>
            <w:tcBorders>
              <w:top w:val="single" w:sz="4" w:space="0" w:color="auto"/>
              <w:left w:val="nil"/>
              <w:bottom w:val="nil"/>
              <w:right w:val="nil"/>
            </w:tcBorders>
            <w:hideMark/>
          </w:tcPr>
          <w:p w14:paraId="03868EC0" w14:textId="77777777" w:rsidR="00D36248" w:rsidRPr="00C47F2F" w:rsidRDefault="00D36248" w:rsidP="00C47F2F">
            <w:pPr>
              <w:jc w:val="left"/>
              <w:rPr>
                <w:noProof/>
                <w:sz w:val="22"/>
                <w:szCs w:val="22"/>
              </w:rPr>
            </w:pPr>
            <w:r w:rsidRPr="00C47F2F">
              <w:rPr>
                <w:rFonts w:eastAsia="Times New Roman"/>
                <w:noProof/>
                <w:color w:val="000000"/>
                <w:sz w:val="22"/>
                <w:szCs w:val="22"/>
              </w:rPr>
              <w:t>Water soluble forms, including chloride and citrate</w:t>
            </w:r>
          </w:p>
        </w:tc>
        <w:tc>
          <w:tcPr>
            <w:tcW w:w="485" w:type="pct"/>
            <w:tcBorders>
              <w:top w:val="single" w:sz="4" w:space="0" w:color="auto"/>
              <w:left w:val="nil"/>
              <w:bottom w:val="nil"/>
              <w:right w:val="nil"/>
            </w:tcBorders>
            <w:hideMark/>
          </w:tcPr>
          <w:p w14:paraId="5C1F13A5"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1.3E-09</w:t>
            </w:r>
          </w:p>
        </w:tc>
        <w:tc>
          <w:tcPr>
            <w:tcW w:w="485" w:type="pct"/>
            <w:tcBorders>
              <w:top w:val="single" w:sz="4" w:space="0" w:color="auto"/>
              <w:left w:val="nil"/>
              <w:bottom w:val="nil"/>
              <w:right w:val="nil"/>
            </w:tcBorders>
            <w:hideMark/>
          </w:tcPr>
          <w:p w14:paraId="2F418E1D"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9.7E-10</w:t>
            </w:r>
          </w:p>
        </w:tc>
        <w:tc>
          <w:tcPr>
            <w:tcW w:w="485" w:type="pct"/>
            <w:tcBorders>
              <w:top w:val="single" w:sz="4" w:space="0" w:color="auto"/>
              <w:left w:val="nil"/>
              <w:bottom w:val="nil"/>
              <w:right w:val="nil"/>
            </w:tcBorders>
            <w:hideMark/>
          </w:tcPr>
          <w:p w14:paraId="00F5BAF7"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5.3E-10</w:t>
            </w:r>
          </w:p>
        </w:tc>
        <w:tc>
          <w:tcPr>
            <w:tcW w:w="485" w:type="pct"/>
            <w:tcBorders>
              <w:top w:val="single" w:sz="4" w:space="0" w:color="auto"/>
              <w:left w:val="nil"/>
              <w:bottom w:val="nil"/>
              <w:right w:val="nil"/>
            </w:tcBorders>
            <w:hideMark/>
          </w:tcPr>
          <w:p w14:paraId="6E1253B2"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3.6E-10</w:t>
            </w:r>
          </w:p>
        </w:tc>
        <w:tc>
          <w:tcPr>
            <w:tcW w:w="485" w:type="pct"/>
            <w:tcBorders>
              <w:top w:val="single" w:sz="4" w:space="0" w:color="auto"/>
              <w:left w:val="nil"/>
              <w:bottom w:val="nil"/>
              <w:right w:val="nil"/>
            </w:tcBorders>
            <w:hideMark/>
          </w:tcPr>
          <w:p w14:paraId="5021B5D2"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2.9E-10</w:t>
            </w:r>
          </w:p>
        </w:tc>
        <w:tc>
          <w:tcPr>
            <w:tcW w:w="488" w:type="pct"/>
            <w:tcBorders>
              <w:top w:val="single" w:sz="4" w:space="0" w:color="auto"/>
              <w:left w:val="nil"/>
              <w:bottom w:val="nil"/>
              <w:right w:val="nil"/>
            </w:tcBorders>
            <w:hideMark/>
          </w:tcPr>
          <w:p w14:paraId="38491CB8"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2.5E-10</w:t>
            </w:r>
          </w:p>
        </w:tc>
      </w:tr>
      <w:tr w:rsidR="00D36248" w:rsidRPr="00972C81" w14:paraId="05DA5804" w14:textId="77777777" w:rsidTr="00C47F2F">
        <w:trPr>
          <w:trHeight w:val="340"/>
        </w:trPr>
        <w:tc>
          <w:tcPr>
            <w:tcW w:w="2087" w:type="pct"/>
            <w:tcBorders>
              <w:top w:val="nil"/>
              <w:left w:val="nil"/>
              <w:bottom w:val="nil"/>
              <w:right w:val="nil"/>
            </w:tcBorders>
            <w:hideMark/>
          </w:tcPr>
          <w:p w14:paraId="0827E0CB"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Dioxide</w:t>
            </w:r>
          </w:p>
        </w:tc>
        <w:tc>
          <w:tcPr>
            <w:tcW w:w="485" w:type="pct"/>
            <w:tcBorders>
              <w:top w:val="nil"/>
              <w:left w:val="nil"/>
              <w:bottom w:val="nil"/>
              <w:right w:val="nil"/>
            </w:tcBorders>
            <w:hideMark/>
          </w:tcPr>
          <w:p w14:paraId="7CE77D32"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1.6E-09</w:t>
            </w:r>
          </w:p>
        </w:tc>
        <w:tc>
          <w:tcPr>
            <w:tcW w:w="485" w:type="pct"/>
            <w:tcBorders>
              <w:top w:val="nil"/>
              <w:left w:val="nil"/>
              <w:bottom w:val="nil"/>
              <w:right w:val="nil"/>
            </w:tcBorders>
            <w:hideMark/>
          </w:tcPr>
          <w:p w14:paraId="57BAE2DF"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1.2E-09</w:t>
            </w:r>
          </w:p>
        </w:tc>
        <w:tc>
          <w:tcPr>
            <w:tcW w:w="485" w:type="pct"/>
            <w:tcBorders>
              <w:top w:val="nil"/>
              <w:left w:val="nil"/>
              <w:bottom w:val="nil"/>
              <w:right w:val="nil"/>
            </w:tcBorders>
            <w:hideMark/>
          </w:tcPr>
          <w:p w14:paraId="379E5AA8"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6.8E-10</w:t>
            </w:r>
          </w:p>
        </w:tc>
        <w:tc>
          <w:tcPr>
            <w:tcW w:w="485" w:type="pct"/>
            <w:tcBorders>
              <w:top w:val="nil"/>
              <w:left w:val="nil"/>
              <w:bottom w:val="nil"/>
              <w:right w:val="nil"/>
            </w:tcBorders>
            <w:hideMark/>
          </w:tcPr>
          <w:p w14:paraId="5108AA1C"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4.6E-10</w:t>
            </w:r>
          </w:p>
        </w:tc>
        <w:tc>
          <w:tcPr>
            <w:tcW w:w="485" w:type="pct"/>
            <w:tcBorders>
              <w:top w:val="nil"/>
              <w:left w:val="nil"/>
              <w:bottom w:val="nil"/>
              <w:right w:val="nil"/>
            </w:tcBorders>
            <w:hideMark/>
          </w:tcPr>
          <w:p w14:paraId="5472CE29"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3.7E-10</w:t>
            </w:r>
          </w:p>
        </w:tc>
        <w:tc>
          <w:tcPr>
            <w:tcW w:w="488" w:type="pct"/>
            <w:tcBorders>
              <w:top w:val="nil"/>
              <w:left w:val="nil"/>
              <w:bottom w:val="nil"/>
              <w:right w:val="nil"/>
            </w:tcBorders>
            <w:hideMark/>
          </w:tcPr>
          <w:p w14:paraId="535BDA81"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3.4E-10</w:t>
            </w:r>
          </w:p>
        </w:tc>
      </w:tr>
      <w:tr w:rsidR="00D36248" w:rsidRPr="00972C81" w14:paraId="3E755514" w14:textId="77777777" w:rsidTr="00C47F2F">
        <w:trPr>
          <w:trHeight w:val="340"/>
        </w:trPr>
        <w:tc>
          <w:tcPr>
            <w:tcW w:w="2087" w:type="pct"/>
            <w:tcBorders>
              <w:top w:val="nil"/>
              <w:left w:val="nil"/>
              <w:bottom w:val="nil"/>
              <w:right w:val="nil"/>
            </w:tcBorders>
            <w:hideMark/>
          </w:tcPr>
          <w:p w14:paraId="246F3A11" w14:textId="77777777" w:rsidR="00D36248" w:rsidRPr="00C47F2F" w:rsidRDefault="00D36248" w:rsidP="00C47F2F">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5A1362E2"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1.0E-09</w:t>
            </w:r>
          </w:p>
        </w:tc>
        <w:tc>
          <w:tcPr>
            <w:tcW w:w="485" w:type="pct"/>
            <w:tcBorders>
              <w:top w:val="nil"/>
              <w:left w:val="nil"/>
              <w:bottom w:val="nil"/>
              <w:right w:val="nil"/>
            </w:tcBorders>
            <w:hideMark/>
          </w:tcPr>
          <w:p w14:paraId="34C56799"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7.6E-10</w:t>
            </w:r>
          </w:p>
        </w:tc>
        <w:tc>
          <w:tcPr>
            <w:tcW w:w="485" w:type="pct"/>
            <w:tcBorders>
              <w:top w:val="nil"/>
              <w:left w:val="nil"/>
              <w:bottom w:val="nil"/>
              <w:right w:val="nil"/>
            </w:tcBorders>
            <w:hideMark/>
          </w:tcPr>
          <w:p w14:paraId="142416DA"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3.8E-10</w:t>
            </w:r>
          </w:p>
        </w:tc>
        <w:tc>
          <w:tcPr>
            <w:tcW w:w="485" w:type="pct"/>
            <w:tcBorders>
              <w:top w:val="nil"/>
              <w:left w:val="nil"/>
              <w:bottom w:val="nil"/>
              <w:right w:val="nil"/>
            </w:tcBorders>
            <w:hideMark/>
          </w:tcPr>
          <w:p w14:paraId="478D5A7F"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2.6E-10</w:t>
            </w:r>
          </w:p>
        </w:tc>
        <w:tc>
          <w:tcPr>
            <w:tcW w:w="485" w:type="pct"/>
            <w:tcBorders>
              <w:top w:val="nil"/>
              <w:left w:val="nil"/>
              <w:bottom w:val="nil"/>
              <w:right w:val="nil"/>
            </w:tcBorders>
            <w:hideMark/>
          </w:tcPr>
          <w:p w14:paraId="14D5A7E9"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2.0E-10</w:t>
            </w:r>
          </w:p>
        </w:tc>
        <w:tc>
          <w:tcPr>
            <w:tcW w:w="488" w:type="pct"/>
            <w:tcBorders>
              <w:top w:val="nil"/>
              <w:left w:val="nil"/>
              <w:bottom w:val="nil"/>
              <w:right w:val="nil"/>
            </w:tcBorders>
            <w:hideMark/>
          </w:tcPr>
          <w:p w14:paraId="63974D17"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1.7E-10</w:t>
            </w:r>
          </w:p>
        </w:tc>
      </w:tr>
      <w:tr w:rsidR="00D36248" w:rsidRPr="00972C81" w14:paraId="7180A5E1" w14:textId="77777777" w:rsidTr="001A483B">
        <w:trPr>
          <w:trHeight w:val="340"/>
        </w:trPr>
        <w:tc>
          <w:tcPr>
            <w:tcW w:w="2087" w:type="pct"/>
            <w:tcBorders>
              <w:top w:val="nil"/>
              <w:left w:val="nil"/>
              <w:bottom w:val="nil"/>
              <w:right w:val="nil"/>
            </w:tcBorders>
            <w:hideMark/>
          </w:tcPr>
          <w:p w14:paraId="364DC56B" w14:textId="77777777" w:rsidR="00D36248" w:rsidRPr="00C47F2F" w:rsidRDefault="00D36248" w:rsidP="00C47F2F">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hideMark/>
          </w:tcPr>
          <w:p w14:paraId="609B7BF3"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1.5E-09</w:t>
            </w:r>
          </w:p>
        </w:tc>
        <w:tc>
          <w:tcPr>
            <w:tcW w:w="485" w:type="pct"/>
            <w:tcBorders>
              <w:top w:val="nil"/>
              <w:left w:val="nil"/>
              <w:bottom w:val="nil"/>
              <w:right w:val="nil"/>
            </w:tcBorders>
            <w:hideMark/>
          </w:tcPr>
          <w:p w14:paraId="47EF1090"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1.1E-09</w:t>
            </w:r>
          </w:p>
        </w:tc>
        <w:tc>
          <w:tcPr>
            <w:tcW w:w="485" w:type="pct"/>
            <w:tcBorders>
              <w:top w:val="nil"/>
              <w:left w:val="nil"/>
              <w:bottom w:val="nil"/>
              <w:right w:val="nil"/>
            </w:tcBorders>
            <w:hideMark/>
          </w:tcPr>
          <w:p w14:paraId="395B44BF"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6.2E-10</w:t>
            </w:r>
          </w:p>
        </w:tc>
        <w:tc>
          <w:tcPr>
            <w:tcW w:w="485" w:type="pct"/>
            <w:tcBorders>
              <w:top w:val="nil"/>
              <w:left w:val="nil"/>
              <w:bottom w:val="nil"/>
              <w:right w:val="nil"/>
            </w:tcBorders>
            <w:hideMark/>
          </w:tcPr>
          <w:p w14:paraId="7D692475"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4.2E-10</w:t>
            </w:r>
          </w:p>
        </w:tc>
        <w:tc>
          <w:tcPr>
            <w:tcW w:w="485" w:type="pct"/>
            <w:tcBorders>
              <w:top w:val="nil"/>
              <w:left w:val="nil"/>
              <w:bottom w:val="nil"/>
              <w:right w:val="nil"/>
            </w:tcBorders>
            <w:hideMark/>
          </w:tcPr>
          <w:p w14:paraId="45A88AE0"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3.4E-10</w:t>
            </w:r>
          </w:p>
        </w:tc>
        <w:tc>
          <w:tcPr>
            <w:tcW w:w="488" w:type="pct"/>
            <w:tcBorders>
              <w:top w:val="nil"/>
              <w:left w:val="nil"/>
              <w:bottom w:val="nil"/>
              <w:right w:val="nil"/>
            </w:tcBorders>
            <w:hideMark/>
          </w:tcPr>
          <w:p w14:paraId="6DE47C47"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3.0E-10</w:t>
            </w:r>
          </w:p>
        </w:tc>
      </w:tr>
      <w:tr w:rsidR="00D36248" w:rsidRPr="00972C81" w14:paraId="5F9D7026" w14:textId="77777777" w:rsidTr="001A483B">
        <w:trPr>
          <w:trHeight w:val="340"/>
        </w:trPr>
        <w:tc>
          <w:tcPr>
            <w:tcW w:w="2087" w:type="pct"/>
            <w:tcBorders>
              <w:top w:val="nil"/>
              <w:left w:val="nil"/>
              <w:bottom w:val="single" w:sz="4" w:space="0" w:color="auto"/>
              <w:right w:val="nil"/>
            </w:tcBorders>
            <w:hideMark/>
          </w:tcPr>
          <w:p w14:paraId="6F688CC4" w14:textId="77777777" w:rsidR="00D36248" w:rsidRPr="00C47F2F" w:rsidRDefault="00D36248" w:rsidP="00C47F2F">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485" w:type="pct"/>
            <w:tcBorders>
              <w:top w:val="nil"/>
              <w:left w:val="nil"/>
              <w:bottom w:val="single" w:sz="4" w:space="0" w:color="auto"/>
              <w:right w:val="nil"/>
            </w:tcBorders>
            <w:hideMark/>
          </w:tcPr>
          <w:p w14:paraId="18ED27ED"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1.6E-09</w:t>
            </w:r>
          </w:p>
        </w:tc>
        <w:tc>
          <w:tcPr>
            <w:tcW w:w="485" w:type="pct"/>
            <w:tcBorders>
              <w:top w:val="nil"/>
              <w:left w:val="nil"/>
              <w:bottom w:val="single" w:sz="4" w:space="0" w:color="auto"/>
              <w:right w:val="nil"/>
            </w:tcBorders>
            <w:hideMark/>
          </w:tcPr>
          <w:p w14:paraId="5D217827"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1.2E-09</w:t>
            </w:r>
          </w:p>
        </w:tc>
        <w:tc>
          <w:tcPr>
            <w:tcW w:w="485" w:type="pct"/>
            <w:tcBorders>
              <w:top w:val="nil"/>
              <w:left w:val="nil"/>
              <w:bottom w:val="single" w:sz="4" w:space="0" w:color="auto"/>
              <w:right w:val="nil"/>
            </w:tcBorders>
            <w:hideMark/>
          </w:tcPr>
          <w:p w14:paraId="680B4DD4"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6.8E-10</w:t>
            </w:r>
          </w:p>
        </w:tc>
        <w:tc>
          <w:tcPr>
            <w:tcW w:w="485" w:type="pct"/>
            <w:tcBorders>
              <w:top w:val="nil"/>
              <w:left w:val="nil"/>
              <w:bottom w:val="single" w:sz="4" w:space="0" w:color="auto"/>
              <w:right w:val="nil"/>
            </w:tcBorders>
            <w:hideMark/>
          </w:tcPr>
          <w:p w14:paraId="14B599CE"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4.6E-10</w:t>
            </w:r>
          </w:p>
        </w:tc>
        <w:tc>
          <w:tcPr>
            <w:tcW w:w="485" w:type="pct"/>
            <w:tcBorders>
              <w:top w:val="nil"/>
              <w:left w:val="nil"/>
              <w:bottom w:val="single" w:sz="4" w:space="0" w:color="auto"/>
              <w:right w:val="nil"/>
            </w:tcBorders>
            <w:hideMark/>
          </w:tcPr>
          <w:p w14:paraId="15DA3ADF"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3.7E-10</w:t>
            </w:r>
          </w:p>
        </w:tc>
        <w:tc>
          <w:tcPr>
            <w:tcW w:w="488" w:type="pct"/>
            <w:tcBorders>
              <w:top w:val="nil"/>
              <w:left w:val="nil"/>
              <w:bottom w:val="single" w:sz="4" w:space="0" w:color="auto"/>
              <w:right w:val="nil"/>
            </w:tcBorders>
            <w:hideMark/>
          </w:tcPr>
          <w:p w14:paraId="701137FA" w14:textId="77777777" w:rsidR="00D36248" w:rsidRPr="00C47F2F" w:rsidRDefault="00D36248" w:rsidP="00C47F2F">
            <w:pPr>
              <w:jc w:val="left"/>
              <w:rPr>
                <w:rFonts w:eastAsia="Times New Roman"/>
                <w:noProof/>
                <w:color w:val="000000"/>
                <w:sz w:val="22"/>
                <w:szCs w:val="22"/>
              </w:rPr>
            </w:pPr>
            <w:r w:rsidRPr="00C47F2F">
              <w:rPr>
                <w:rFonts w:eastAsia="Times New Roman"/>
                <w:noProof/>
                <w:color w:val="000000"/>
                <w:sz w:val="22"/>
                <w:szCs w:val="22"/>
              </w:rPr>
              <w:t>3.4E-10</w:t>
            </w:r>
          </w:p>
        </w:tc>
      </w:tr>
      <w:tr w:rsidR="00D36248" w:rsidRPr="00972C81" w14:paraId="42B0EBBC" w14:textId="77777777" w:rsidTr="001A483B">
        <w:trPr>
          <w:trHeight w:val="340"/>
        </w:trPr>
        <w:tc>
          <w:tcPr>
            <w:tcW w:w="2087" w:type="pct"/>
            <w:tcBorders>
              <w:top w:val="single" w:sz="4" w:space="0" w:color="auto"/>
              <w:left w:val="nil"/>
              <w:bottom w:val="single" w:sz="4" w:space="0" w:color="auto"/>
              <w:right w:val="nil"/>
            </w:tcBorders>
          </w:tcPr>
          <w:p w14:paraId="35E4453C" w14:textId="77777777" w:rsidR="00D36248" w:rsidRPr="00C47F2F" w:rsidRDefault="00D36248" w:rsidP="00C47F2F">
            <w:pPr>
              <w:jc w:val="left"/>
              <w:rPr>
                <w:rFonts w:eastAsiaTheme="minorHAnsi"/>
                <w:noProof/>
                <w:sz w:val="22"/>
                <w:szCs w:val="22"/>
              </w:rPr>
            </w:pPr>
          </w:p>
          <w:p w14:paraId="1140EA10" w14:textId="77777777" w:rsidR="00D36248" w:rsidRPr="00C47F2F" w:rsidRDefault="00D36248"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0260246F"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D6267C7"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033412A5"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7FBBE3C8"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661E776D" w14:textId="77777777" w:rsidR="00D36248" w:rsidRPr="00C47F2F" w:rsidRDefault="00D36248" w:rsidP="00C47F2F">
            <w:pPr>
              <w:jc w:val="left"/>
              <w:rPr>
                <w:rFonts w:eastAsia="Times New Roman"/>
                <w:noProof/>
                <w:color w:val="000000"/>
                <w:sz w:val="22"/>
                <w:szCs w:val="22"/>
              </w:rPr>
            </w:pPr>
          </w:p>
        </w:tc>
        <w:tc>
          <w:tcPr>
            <w:tcW w:w="488" w:type="pct"/>
            <w:tcBorders>
              <w:top w:val="single" w:sz="4" w:space="0" w:color="auto"/>
              <w:left w:val="nil"/>
              <w:bottom w:val="single" w:sz="4" w:space="0" w:color="auto"/>
              <w:right w:val="nil"/>
            </w:tcBorders>
          </w:tcPr>
          <w:p w14:paraId="39D8869C" w14:textId="77777777" w:rsidR="00D36248" w:rsidRPr="00C47F2F" w:rsidRDefault="00D36248" w:rsidP="00C47F2F">
            <w:pPr>
              <w:jc w:val="left"/>
              <w:rPr>
                <w:rFonts w:eastAsia="Times New Roman"/>
                <w:noProof/>
                <w:color w:val="000000"/>
                <w:sz w:val="22"/>
                <w:szCs w:val="22"/>
              </w:rPr>
            </w:pPr>
          </w:p>
        </w:tc>
      </w:tr>
      <w:tr w:rsidR="00D36248" w:rsidRPr="00972C81" w14:paraId="5BEA69E1" w14:textId="77777777" w:rsidTr="001A483B">
        <w:trPr>
          <w:trHeight w:val="340"/>
        </w:trPr>
        <w:tc>
          <w:tcPr>
            <w:tcW w:w="2087" w:type="pct"/>
            <w:tcBorders>
              <w:top w:val="single" w:sz="4" w:space="0" w:color="auto"/>
              <w:left w:val="nil"/>
              <w:bottom w:val="single" w:sz="4" w:space="0" w:color="auto"/>
              <w:right w:val="nil"/>
            </w:tcBorders>
            <w:vAlign w:val="center"/>
            <w:hideMark/>
          </w:tcPr>
          <w:p w14:paraId="185055B4" w14:textId="6D506DC0" w:rsidR="00D36248" w:rsidRPr="00C47F2F" w:rsidRDefault="00D36248" w:rsidP="001A483B">
            <w:pPr>
              <w:jc w:val="left"/>
              <w:rPr>
                <w:rFonts w:eastAsiaTheme="minorHAnsi"/>
                <w:noProof/>
                <w:sz w:val="22"/>
                <w:szCs w:val="22"/>
              </w:rPr>
            </w:pPr>
            <w:r w:rsidRPr="00C47F2F">
              <w:rPr>
                <w:rFonts w:eastAsia="Times New Roman"/>
                <w:noProof/>
                <w:color w:val="000000"/>
                <w:sz w:val="22"/>
                <w:szCs w:val="22"/>
                <w:lang w:eastAsia="en-GB"/>
              </w:rPr>
              <w:t>All compounds</w:t>
            </w:r>
          </w:p>
        </w:tc>
        <w:tc>
          <w:tcPr>
            <w:tcW w:w="485" w:type="pct"/>
            <w:tcBorders>
              <w:top w:val="single" w:sz="4" w:space="0" w:color="auto"/>
              <w:left w:val="nil"/>
              <w:bottom w:val="single" w:sz="4" w:space="0" w:color="auto"/>
              <w:right w:val="nil"/>
            </w:tcBorders>
            <w:vAlign w:val="center"/>
            <w:hideMark/>
          </w:tcPr>
          <w:p w14:paraId="5CF49C07"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4.6E-10</w:t>
            </w:r>
          </w:p>
        </w:tc>
        <w:tc>
          <w:tcPr>
            <w:tcW w:w="485" w:type="pct"/>
            <w:tcBorders>
              <w:top w:val="single" w:sz="4" w:space="0" w:color="auto"/>
              <w:left w:val="nil"/>
              <w:bottom w:val="single" w:sz="4" w:space="0" w:color="auto"/>
              <w:right w:val="nil"/>
            </w:tcBorders>
            <w:vAlign w:val="center"/>
            <w:hideMark/>
          </w:tcPr>
          <w:p w14:paraId="2F1296E1"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3.7E-10</w:t>
            </w:r>
          </w:p>
        </w:tc>
        <w:tc>
          <w:tcPr>
            <w:tcW w:w="485" w:type="pct"/>
            <w:tcBorders>
              <w:top w:val="single" w:sz="4" w:space="0" w:color="auto"/>
              <w:left w:val="nil"/>
              <w:bottom w:val="single" w:sz="4" w:space="0" w:color="auto"/>
              <w:right w:val="nil"/>
            </w:tcBorders>
            <w:vAlign w:val="center"/>
            <w:hideMark/>
          </w:tcPr>
          <w:p w14:paraId="77330383"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2.3E-10</w:t>
            </w:r>
          </w:p>
        </w:tc>
        <w:tc>
          <w:tcPr>
            <w:tcW w:w="485" w:type="pct"/>
            <w:tcBorders>
              <w:top w:val="single" w:sz="4" w:space="0" w:color="auto"/>
              <w:left w:val="nil"/>
              <w:bottom w:val="single" w:sz="4" w:space="0" w:color="auto"/>
              <w:right w:val="nil"/>
            </w:tcBorders>
            <w:vAlign w:val="center"/>
            <w:hideMark/>
          </w:tcPr>
          <w:p w14:paraId="7B1AA741"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1.7E-10</w:t>
            </w:r>
          </w:p>
        </w:tc>
        <w:tc>
          <w:tcPr>
            <w:tcW w:w="485" w:type="pct"/>
            <w:tcBorders>
              <w:top w:val="single" w:sz="4" w:space="0" w:color="auto"/>
              <w:left w:val="nil"/>
              <w:bottom w:val="single" w:sz="4" w:space="0" w:color="auto"/>
              <w:right w:val="nil"/>
            </w:tcBorders>
            <w:vAlign w:val="center"/>
            <w:hideMark/>
          </w:tcPr>
          <w:p w14:paraId="488F73C1"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1.1E-10</w:t>
            </w:r>
          </w:p>
        </w:tc>
        <w:tc>
          <w:tcPr>
            <w:tcW w:w="488" w:type="pct"/>
            <w:tcBorders>
              <w:top w:val="single" w:sz="4" w:space="0" w:color="auto"/>
              <w:left w:val="nil"/>
              <w:bottom w:val="single" w:sz="4" w:space="0" w:color="auto"/>
              <w:right w:val="nil"/>
            </w:tcBorders>
            <w:vAlign w:val="center"/>
            <w:hideMark/>
          </w:tcPr>
          <w:p w14:paraId="425898CB" w14:textId="77777777" w:rsidR="00D36248" w:rsidRPr="00C47F2F" w:rsidRDefault="00D36248" w:rsidP="001A483B">
            <w:pPr>
              <w:jc w:val="left"/>
              <w:rPr>
                <w:rFonts w:eastAsia="Times New Roman"/>
                <w:noProof/>
                <w:color w:val="000000"/>
                <w:sz w:val="22"/>
                <w:szCs w:val="22"/>
              </w:rPr>
            </w:pPr>
            <w:r w:rsidRPr="00C47F2F">
              <w:rPr>
                <w:rFonts w:eastAsia="Times New Roman"/>
                <w:noProof/>
                <w:color w:val="000000"/>
                <w:sz w:val="22"/>
                <w:szCs w:val="22"/>
              </w:rPr>
              <w:t>8.7E-11</w:t>
            </w:r>
          </w:p>
        </w:tc>
      </w:tr>
    </w:tbl>
    <w:p w14:paraId="0BADAE64" w14:textId="77777777" w:rsidR="001E376E" w:rsidRPr="00972C81" w:rsidRDefault="001E376E" w:rsidP="001C4A92">
      <w:pPr>
        <w:pStyle w:val="Annalstext"/>
        <w:numPr>
          <w:ilvl w:val="0"/>
          <w:numId w:val="0"/>
        </w:numPr>
        <w:ind w:left="360"/>
        <w:rPr>
          <w:noProof/>
        </w:rPr>
      </w:pPr>
    </w:p>
    <w:p w14:paraId="060E5BBC" w14:textId="44100130" w:rsidR="008D2109" w:rsidRPr="00972C81" w:rsidRDefault="008D2109">
      <w:pPr>
        <w:widowControl/>
        <w:jc w:val="left"/>
        <w:rPr>
          <w:noProof/>
        </w:rPr>
      </w:pPr>
      <w:r w:rsidRPr="00972C81">
        <w:rPr>
          <w:noProof/>
        </w:rPr>
        <w:br w:type="page"/>
      </w:r>
    </w:p>
    <w:p w14:paraId="47F7A48A" w14:textId="77777777" w:rsidR="007D1F4D" w:rsidRPr="00972C81" w:rsidRDefault="00DC407D" w:rsidP="00E81109">
      <w:pPr>
        <w:pStyle w:val="1"/>
        <w:rPr>
          <w:noProof/>
        </w:rPr>
      </w:pPr>
      <w:bookmarkStart w:id="125" w:name="_Toc455492600"/>
      <w:bookmarkStart w:id="126" w:name="_Toc455493029"/>
      <w:bookmarkStart w:id="127" w:name="_Toc162630019"/>
      <w:r w:rsidRPr="00972C81">
        <w:rPr>
          <w:noProof/>
        </w:rPr>
        <w:lastRenderedPageBreak/>
        <w:t>Europium (Z = 63)</w:t>
      </w:r>
      <w:bookmarkEnd w:id="125"/>
      <w:bookmarkEnd w:id="126"/>
      <w:bookmarkEnd w:id="127"/>
    </w:p>
    <w:p w14:paraId="1FC04A38" w14:textId="062605B8" w:rsidR="000B33B9" w:rsidRPr="00972C81" w:rsidRDefault="000B33B9" w:rsidP="00E81109">
      <w:pPr>
        <w:pStyle w:val="2"/>
        <w:rPr>
          <w:noProof/>
          <w:lang w:val="en-GB"/>
        </w:rPr>
      </w:pPr>
      <w:bookmarkStart w:id="128" w:name="_Toc17467829"/>
      <w:bookmarkStart w:id="129" w:name="_Toc455492602"/>
      <w:bookmarkStart w:id="130" w:name="_Toc455493031"/>
      <w:bookmarkStart w:id="131" w:name="_Toc162630020"/>
      <w:bookmarkEnd w:id="128"/>
      <w:r w:rsidRPr="00972C81">
        <w:rPr>
          <w:noProof/>
          <w:lang w:val="en-GB"/>
        </w:rPr>
        <w:t>Routes of Intake</w:t>
      </w:r>
      <w:bookmarkEnd w:id="129"/>
      <w:bookmarkEnd w:id="130"/>
      <w:bookmarkEnd w:id="131"/>
    </w:p>
    <w:p w14:paraId="329E9F22" w14:textId="77777777" w:rsidR="000B33B9" w:rsidRPr="00972C81" w:rsidRDefault="000B33B9" w:rsidP="00E81109">
      <w:pPr>
        <w:pStyle w:val="3"/>
        <w:rPr>
          <w:noProof/>
        </w:rPr>
      </w:pPr>
      <w:bookmarkStart w:id="132" w:name="_Toc162630021"/>
      <w:r w:rsidRPr="00972C81">
        <w:rPr>
          <w:noProof/>
        </w:rPr>
        <w:t>Inhalation</w:t>
      </w:r>
      <w:bookmarkEnd w:id="132"/>
    </w:p>
    <w:p w14:paraId="10E0FF1D" w14:textId="33ADAECD" w:rsidR="000B33B9" w:rsidRPr="00972C81" w:rsidRDefault="000B33B9" w:rsidP="001C4A92">
      <w:pPr>
        <w:pStyle w:val="Annalstext"/>
        <w:rPr>
          <w:noProof/>
        </w:rPr>
      </w:pPr>
      <w:r w:rsidRPr="00972C81">
        <w:rPr>
          <w:noProof/>
        </w:rPr>
        <w:t xml:space="preserve">One study was found on the behaviour of europium radioisotopes </w:t>
      </w:r>
      <w:r w:rsidR="00BB503E">
        <w:rPr>
          <w:noProof/>
        </w:rPr>
        <w:t>in humans</w:t>
      </w:r>
      <w:r w:rsidRPr="00972C81">
        <w:rPr>
          <w:noProof/>
        </w:rPr>
        <w:t xml:space="preserve"> following accidental inhalation. Information on absorption from the respiratory tract is available from experimental studies of europium as chloride, nitrate and oxide. </w:t>
      </w:r>
      <w:r w:rsidR="00A8775F" w:rsidRPr="00972C81">
        <w:rPr>
          <w:noProof/>
        </w:rPr>
        <w:t xml:space="preserve">For details see Section 9 of </w:t>
      </w:r>
      <w:r w:rsidR="00482C73" w:rsidRPr="00972C81">
        <w:rPr>
          <w:i/>
          <w:noProof/>
        </w:rPr>
        <w:t>Publication 141</w:t>
      </w:r>
      <w:r w:rsidR="00482C73" w:rsidRPr="00972C81">
        <w:rPr>
          <w:noProof/>
        </w:rPr>
        <w:t xml:space="preserve"> </w:t>
      </w:r>
      <w:r w:rsidR="001C4A92" w:rsidRPr="00972C81">
        <w:rPr>
          <w:noProof/>
        </w:rPr>
        <w:fldChar w:fldCharType="begin"/>
      </w:r>
      <w:r w:rsidR="001C4A92" w:rsidRPr="00972C81">
        <w:rPr>
          <w:noProof/>
        </w:rPr>
        <w:instrText xml:space="preserve"> ADDIN ZOTERO_ITEM CSL_CITATION {"citationID":"cA1sYcCD","properties":{"formattedCitation":"(ICRP,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1C4A92" w:rsidRPr="00972C81">
        <w:rPr>
          <w:noProof/>
        </w:rPr>
        <w:fldChar w:fldCharType="separate"/>
      </w:r>
      <w:r w:rsidR="00BC59C6" w:rsidRPr="00972C81">
        <w:rPr>
          <w:noProof/>
        </w:rPr>
        <w:t>(ICRP, 2019)</w:t>
      </w:r>
      <w:r w:rsidR="001C4A92" w:rsidRPr="00972C81">
        <w:rPr>
          <w:noProof/>
        </w:rPr>
        <w:fldChar w:fldCharType="end"/>
      </w:r>
      <w:r w:rsidR="00482C73" w:rsidRPr="00972C81">
        <w:rPr>
          <w:noProof/>
        </w:rPr>
        <w:t xml:space="preserve">. </w:t>
      </w:r>
      <w:r w:rsidR="00A8775F" w:rsidRPr="00972C81">
        <w:rPr>
          <w:noProof/>
        </w:rPr>
        <w:t>A</w:t>
      </w:r>
      <w:r w:rsidRPr="00972C81">
        <w:rPr>
          <w:noProof/>
        </w:rPr>
        <w:t xml:space="preserve">bsorption parameter values based on cerium are applied in this document to the other lanthanides. Absorption parameter values and Types, and associated </w:t>
      </w:r>
      <w:r w:rsidR="00DC407D" w:rsidRPr="00972C81">
        <w:rPr>
          <w:i/>
          <w:noProof/>
        </w:rPr>
        <w:t>f</w:t>
      </w:r>
      <w:r w:rsidR="00DC407D" w:rsidRPr="00972C81">
        <w:rPr>
          <w:noProof/>
          <w:vertAlign w:val="subscript"/>
        </w:rPr>
        <w:t>A</w:t>
      </w:r>
      <w:r w:rsidR="00DC407D" w:rsidRPr="00972C81">
        <w:rPr>
          <w:noProof/>
        </w:rPr>
        <w:t xml:space="preserve"> values for particulate forms of lanthanides, including europium, are given in </w:t>
      </w:r>
      <w:r w:rsidR="00B94D6D" w:rsidRPr="00972C81">
        <w:rPr>
          <w:noProof/>
        </w:rPr>
        <w:fldChar w:fldCharType="begin"/>
      </w:r>
      <w:r w:rsidR="00B94D6D" w:rsidRPr="00972C81">
        <w:rPr>
          <w:noProof/>
        </w:rPr>
        <w:instrText xml:space="preserve"> REF _Ref417994983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1</w:t>
      </w:r>
      <w:r w:rsidR="00B94D6D" w:rsidRPr="00972C81">
        <w:rPr>
          <w:noProof/>
        </w:rPr>
        <w:fldChar w:fldCharType="end"/>
      </w:r>
      <w:r w:rsidR="00B94D6D" w:rsidRPr="00972C81">
        <w:rPr>
          <w:noProof/>
        </w:rPr>
        <w:t xml:space="preserve"> and </w:t>
      </w:r>
      <w:r w:rsidR="00B94D6D" w:rsidRPr="00972C81">
        <w:rPr>
          <w:noProof/>
        </w:rPr>
        <w:fldChar w:fldCharType="begin"/>
      </w:r>
      <w:r w:rsidR="00B94D6D" w:rsidRPr="00972C81">
        <w:rPr>
          <w:noProof/>
        </w:rPr>
        <w:instrText xml:space="preserve"> REF _Ref141784472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B94D6D" w:rsidRPr="00972C81">
        <w:rPr>
          <w:noProof/>
        </w:rPr>
        <w:fldChar w:fldCharType="end"/>
      </w:r>
      <w:r w:rsidR="00B94D6D" w:rsidRPr="00972C81">
        <w:rPr>
          <w:noProof/>
        </w:rPr>
        <w:t xml:space="preserve"> </w:t>
      </w:r>
      <w:r w:rsidRPr="00972C81">
        <w:rPr>
          <w:noProof/>
        </w:rPr>
        <w:t xml:space="preserve">of the </w:t>
      </w:r>
      <w:r w:rsidR="00A8775F" w:rsidRPr="00972C81">
        <w:rPr>
          <w:noProof/>
        </w:rPr>
        <w:t>lanthanum S</w:t>
      </w:r>
      <w:r w:rsidR="00DC407D" w:rsidRPr="00972C81">
        <w:rPr>
          <w:noProof/>
        </w:rPr>
        <w:t xml:space="preserve">ection. </w:t>
      </w:r>
    </w:p>
    <w:p w14:paraId="14458B09" w14:textId="77777777" w:rsidR="00AE7A83" w:rsidRPr="00972C81" w:rsidRDefault="00DC407D" w:rsidP="00E81109">
      <w:pPr>
        <w:pStyle w:val="3"/>
        <w:rPr>
          <w:noProof/>
        </w:rPr>
      </w:pPr>
      <w:bookmarkStart w:id="133" w:name="_Toc162630022"/>
      <w:r w:rsidRPr="00972C81">
        <w:rPr>
          <w:noProof/>
        </w:rPr>
        <w:t>Ingestion</w:t>
      </w:r>
      <w:bookmarkEnd w:id="133"/>
    </w:p>
    <w:p w14:paraId="4AF38B85" w14:textId="0CE052DB" w:rsidR="00D20D8A" w:rsidRPr="00972C81" w:rsidRDefault="00DC407D" w:rsidP="001C4A92">
      <w:pPr>
        <w:pStyle w:val="Annalstext"/>
        <w:rPr>
          <w:noProof/>
        </w:rPr>
      </w:pPr>
      <w:r w:rsidRPr="00972C81">
        <w:rPr>
          <w:i/>
          <w:noProof/>
        </w:rPr>
        <w:t>Adults</w:t>
      </w:r>
      <w:r w:rsidR="00D20D8A" w:rsidRPr="00972C81">
        <w:rPr>
          <w:noProof/>
        </w:rPr>
        <w:t xml:space="preserve">. In Section 2 of </w:t>
      </w:r>
      <w:r w:rsidR="00482C73" w:rsidRPr="00972C81">
        <w:rPr>
          <w:i/>
          <w:noProof/>
        </w:rPr>
        <w:t>Publication 141</w:t>
      </w:r>
      <w:r w:rsidR="00482C73" w:rsidRPr="00972C81">
        <w:rPr>
          <w:noProof/>
        </w:rPr>
        <w:t xml:space="preserve"> </w:t>
      </w:r>
      <w:r w:rsidR="001C4A92" w:rsidRPr="00972C81">
        <w:rPr>
          <w:noProof/>
        </w:rPr>
        <w:fldChar w:fldCharType="begin"/>
      </w:r>
      <w:r w:rsidR="0054485A" w:rsidRPr="00972C81">
        <w:rPr>
          <w:noProof/>
        </w:rPr>
        <w:instrText xml:space="preserve"> ADDIN ZOTERO_ITEM CSL_CITATION {"citationID":"s46Be6a0","properties":{"formattedCitation":"(ICRP,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1C4A92" w:rsidRPr="00972C81">
        <w:rPr>
          <w:noProof/>
        </w:rPr>
        <w:fldChar w:fldCharType="separate"/>
      </w:r>
      <w:r w:rsidR="00BC59C6" w:rsidRPr="00972C81">
        <w:rPr>
          <w:noProof/>
        </w:rPr>
        <w:t>(ICRP, 2019)</w:t>
      </w:r>
      <w:r w:rsidR="001C4A92" w:rsidRPr="00972C81">
        <w:rPr>
          <w:noProof/>
        </w:rPr>
        <w:fldChar w:fldCharType="end"/>
      </w:r>
      <w:r w:rsidR="00D20D8A" w:rsidRPr="00972C81">
        <w:rPr>
          <w:noProof/>
        </w:rPr>
        <w:t xml:space="preserve"> information relating to the gastrointestinal absorption of different lanthanide elements was compared. Their fractional absorption was found to be below 10</w:t>
      </w:r>
      <w:r w:rsidRPr="00972C81">
        <w:rPr>
          <w:noProof/>
          <w:vertAlign w:val="superscript"/>
        </w:rPr>
        <w:t>-3</w:t>
      </w:r>
      <w:r w:rsidR="00D20D8A" w:rsidRPr="00972C81">
        <w:rPr>
          <w:noProof/>
        </w:rPr>
        <w:t xml:space="preserve"> in most cases and a </w:t>
      </w:r>
      <w:r w:rsidRPr="00972C81">
        <w:rPr>
          <w:i/>
          <w:noProof/>
        </w:rPr>
        <w:t>f</w:t>
      </w:r>
      <w:r w:rsidRPr="00972C81">
        <w:rPr>
          <w:noProof/>
          <w:vertAlign w:val="subscript"/>
        </w:rPr>
        <w:t>A</w:t>
      </w:r>
      <w:r w:rsidR="00D20D8A" w:rsidRPr="00972C81">
        <w:rPr>
          <w:noProof/>
        </w:rPr>
        <w:t xml:space="preserve"> value 5</w:t>
      </w:r>
      <w:r w:rsidR="00067025" w:rsidRPr="00972C81">
        <w:rPr>
          <w:noProof/>
        </w:rPr>
        <w:t xml:space="preserve"> × </w:t>
      </w:r>
      <w:r w:rsidR="00D20D8A" w:rsidRPr="00972C81">
        <w:rPr>
          <w:noProof/>
        </w:rPr>
        <w:t>10</w:t>
      </w:r>
      <w:r w:rsidRPr="00972C81">
        <w:rPr>
          <w:noProof/>
          <w:vertAlign w:val="superscript"/>
        </w:rPr>
        <w:t>–4</w:t>
      </w:r>
      <w:r w:rsidR="00D20D8A" w:rsidRPr="00972C81">
        <w:rPr>
          <w:noProof/>
        </w:rPr>
        <w:t xml:space="preserve"> was adopted for all lanthanides as a reasonably representative value based on experimental results. For </w:t>
      </w:r>
      <w:r w:rsidR="00D20D8A" w:rsidRPr="00972C81">
        <w:rPr>
          <w:noProof/>
          <w:color w:val="000000" w:themeColor="text1"/>
          <w:szCs w:val="24"/>
        </w:rPr>
        <w:t>europium</w:t>
      </w:r>
      <w:r w:rsidR="00D20D8A" w:rsidRPr="00972C81">
        <w:rPr>
          <w:noProof/>
        </w:rPr>
        <w:t xml:space="preserve">, Section 9 of </w:t>
      </w:r>
      <w:r w:rsidR="00482C73" w:rsidRPr="00972C81">
        <w:rPr>
          <w:i/>
          <w:noProof/>
        </w:rPr>
        <w:t>Publication 141</w:t>
      </w:r>
      <w:r w:rsidR="00482C73" w:rsidRPr="00972C81">
        <w:rPr>
          <w:noProof/>
        </w:rPr>
        <w:t xml:space="preserve"> </w:t>
      </w:r>
      <w:r w:rsidR="00D20D8A" w:rsidRPr="00972C81">
        <w:rPr>
          <w:noProof/>
          <w:color w:val="000000" w:themeColor="text1"/>
          <w:szCs w:val="24"/>
        </w:rPr>
        <w:t>reported results of animal studies showing fractional absorption from 7</w:t>
      </w:r>
      <w:r w:rsidR="00A07D50" w:rsidRPr="00972C81">
        <w:rPr>
          <w:noProof/>
          <w:color w:val="000000" w:themeColor="text1"/>
          <w:szCs w:val="24"/>
        </w:rPr>
        <w:t>.8</w:t>
      </w:r>
      <w:r w:rsidR="00067025" w:rsidRPr="00972C81">
        <w:rPr>
          <w:noProof/>
          <w:color w:val="000000" w:themeColor="text1"/>
          <w:szCs w:val="24"/>
        </w:rPr>
        <w:t xml:space="preserve"> × </w:t>
      </w:r>
      <w:r w:rsidR="00D20D8A" w:rsidRPr="00972C81">
        <w:rPr>
          <w:noProof/>
          <w:color w:val="000000" w:themeColor="text1"/>
          <w:szCs w:val="24"/>
        </w:rPr>
        <w:t>10</w:t>
      </w:r>
      <w:r w:rsidR="00D20D8A" w:rsidRPr="00972C81">
        <w:rPr>
          <w:noProof/>
          <w:color w:val="000000" w:themeColor="text1"/>
          <w:szCs w:val="24"/>
          <w:vertAlign w:val="superscript"/>
        </w:rPr>
        <w:t>-5</w:t>
      </w:r>
      <w:r w:rsidR="00D20D8A" w:rsidRPr="00972C81">
        <w:rPr>
          <w:noProof/>
          <w:color w:val="000000" w:themeColor="text1"/>
          <w:szCs w:val="24"/>
        </w:rPr>
        <w:t xml:space="preserve"> to </w:t>
      </w:r>
      <w:r w:rsidR="00A07D50" w:rsidRPr="00972C81">
        <w:rPr>
          <w:noProof/>
          <w:color w:val="000000" w:themeColor="text1"/>
          <w:szCs w:val="24"/>
        </w:rPr>
        <w:t>1.6</w:t>
      </w:r>
      <w:r w:rsidR="00067025" w:rsidRPr="00972C81">
        <w:rPr>
          <w:noProof/>
          <w:color w:val="000000" w:themeColor="text1"/>
          <w:szCs w:val="24"/>
        </w:rPr>
        <w:t xml:space="preserve"> × </w:t>
      </w:r>
      <w:r w:rsidR="00D20D8A" w:rsidRPr="00972C81">
        <w:rPr>
          <w:noProof/>
          <w:color w:val="000000" w:themeColor="text1"/>
          <w:szCs w:val="24"/>
        </w:rPr>
        <w:t>10</w:t>
      </w:r>
      <w:r w:rsidR="00D20D8A" w:rsidRPr="00972C81">
        <w:rPr>
          <w:noProof/>
          <w:color w:val="000000" w:themeColor="text1"/>
          <w:szCs w:val="24"/>
          <w:vertAlign w:val="superscript"/>
        </w:rPr>
        <w:t>-</w:t>
      </w:r>
      <w:r w:rsidR="00A07D50" w:rsidRPr="00972C81">
        <w:rPr>
          <w:noProof/>
          <w:color w:val="000000" w:themeColor="text1"/>
          <w:szCs w:val="24"/>
          <w:vertAlign w:val="superscript"/>
        </w:rPr>
        <w:t>2</w:t>
      </w:r>
      <w:r w:rsidR="00D20D8A" w:rsidRPr="00972C81">
        <w:rPr>
          <w:noProof/>
          <w:color w:val="000000" w:themeColor="text1"/>
          <w:szCs w:val="24"/>
        </w:rPr>
        <w:t>.</w:t>
      </w:r>
      <w:r w:rsidR="00D20D8A" w:rsidRPr="00972C81">
        <w:rPr>
          <w:noProof/>
        </w:rPr>
        <w:t xml:space="preserve"> The value of </w:t>
      </w:r>
      <w:r w:rsidRPr="00972C81">
        <w:rPr>
          <w:i/>
          <w:noProof/>
        </w:rPr>
        <w:t>f</w:t>
      </w:r>
      <w:r w:rsidRPr="00972C81">
        <w:rPr>
          <w:noProof/>
          <w:vertAlign w:val="subscript"/>
        </w:rPr>
        <w:t>A</w:t>
      </w:r>
      <w:r w:rsidR="00D20D8A" w:rsidRPr="00972C81">
        <w:rPr>
          <w:noProof/>
        </w:rPr>
        <w:t xml:space="preserve"> = 5</w:t>
      </w:r>
      <w:r w:rsidR="00067025" w:rsidRPr="00972C81">
        <w:rPr>
          <w:noProof/>
        </w:rPr>
        <w:t xml:space="preserve"> × </w:t>
      </w:r>
      <w:r w:rsidR="00D20D8A" w:rsidRPr="00972C81">
        <w:rPr>
          <w:noProof/>
        </w:rPr>
        <w:t>10</w:t>
      </w:r>
      <w:r w:rsidRPr="00972C81">
        <w:rPr>
          <w:noProof/>
          <w:vertAlign w:val="superscript"/>
        </w:rPr>
        <w:t>–4</w:t>
      </w:r>
      <w:r w:rsidR="00D20D8A" w:rsidRPr="00972C81">
        <w:rPr>
          <w:noProof/>
        </w:rPr>
        <w:t xml:space="preserve"> is adopted here for intakes of </w:t>
      </w:r>
      <w:r w:rsidR="00A07D50" w:rsidRPr="00972C81">
        <w:rPr>
          <w:noProof/>
          <w:color w:val="000000" w:themeColor="text1"/>
          <w:szCs w:val="24"/>
        </w:rPr>
        <w:t>europium</w:t>
      </w:r>
      <w:r w:rsidR="00A07D50" w:rsidRPr="00972C81">
        <w:rPr>
          <w:noProof/>
        </w:rPr>
        <w:t xml:space="preserve"> </w:t>
      </w:r>
      <w:r w:rsidR="00D20D8A" w:rsidRPr="00972C81">
        <w:rPr>
          <w:noProof/>
        </w:rPr>
        <w:t>by adult members of the public.</w:t>
      </w:r>
    </w:p>
    <w:p w14:paraId="30E70B2B" w14:textId="5ADA0429" w:rsidR="00AE7A83" w:rsidRPr="00972C81" w:rsidRDefault="00DC407D" w:rsidP="00E81109">
      <w:pPr>
        <w:pStyle w:val="Annalstext"/>
        <w:rPr>
          <w:noProof/>
        </w:rPr>
      </w:pPr>
      <w:r w:rsidRPr="00972C81">
        <w:rPr>
          <w:i/>
          <w:noProof/>
        </w:rPr>
        <w:t>Children</w:t>
      </w:r>
      <w:r w:rsidR="00D20D8A" w:rsidRPr="00972C81">
        <w:rPr>
          <w:noProof/>
        </w:rPr>
        <w:t xml:space="preserve">. The age-dependency of </w:t>
      </w:r>
      <w:r w:rsidR="00A07D50" w:rsidRPr="00972C81">
        <w:rPr>
          <w:noProof/>
          <w:color w:val="000000" w:themeColor="text1"/>
          <w:szCs w:val="24"/>
        </w:rPr>
        <w:t>europium</w:t>
      </w:r>
      <w:r w:rsidR="00A07D50" w:rsidRPr="00972C81">
        <w:rPr>
          <w:noProof/>
        </w:rPr>
        <w:t xml:space="preserve"> </w:t>
      </w:r>
      <w:r w:rsidR="00D20D8A" w:rsidRPr="00972C81">
        <w:rPr>
          <w:noProof/>
        </w:rPr>
        <w:t xml:space="preserve">absorption was not observed. On the basis of the chemical analogy with cerium, the same values of </w:t>
      </w:r>
      <w:r w:rsidRPr="00972C81">
        <w:rPr>
          <w:i/>
          <w:noProof/>
        </w:rPr>
        <w:t>f</w:t>
      </w:r>
      <w:r w:rsidRPr="00972C81">
        <w:rPr>
          <w:noProof/>
          <w:vertAlign w:val="subscript"/>
        </w:rPr>
        <w:t>A</w:t>
      </w:r>
      <w:r w:rsidR="00D20D8A" w:rsidRPr="00972C81">
        <w:rPr>
          <w:noProof/>
        </w:rPr>
        <w:t xml:space="preserve"> = 5</w:t>
      </w:r>
      <w:r w:rsidR="00067025" w:rsidRPr="00972C81">
        <w:rPr>
          <w:noProof/>
        </w:rPr>
        <w:t xml:space="preserve"> × </w:t>
      </w:r>
      <w:r w:rsidR="00D20D8A" w:rsidRPr="00972C81">
        <w:rPr>
          <w:noProof/>
        </w:rPr>
        <w:t>10</w:t>
      </w:r>
      <w:r w:rsidRPr="00972C81">
        <w:rPr>
          <w:noProof/>
          <w:vertAlign w:val="superscript"/>
        </w:rPr>
        <w:t>-3</w:t>
      </w:r>
      <w:r w:rsidR="00D20D8A" w:rsidRPr="00972C81">
        <w:rPr>
          <w:noProof/>
        </w:rPr>
        <w:t xml:space="preserve"> for 3-month-old infants and 5</w:t>
      </w:r>
      <w:r w:rsidR="00067025" w:rsidRPr="00972C81">
        <w:rPr>
          <w:noProof/>
        </w:rPr>
        <w:t xml:space="preserve"> × </w:t>
      </w:r>
      <w:r w:rsidR="00D20D8A" w:rsidRPr="00972C81">
        <w:rPr>
          <w:noProof/>
        </w:rPr>
        <w:t>10</w:t>
      </w:r>
      <w:r w:rsidRPr="00972C81">
        <w:rPr>
          <w:noProof/>
          <w:vertAlign w:val="superscript"/>
        </w:rPr>
        <w:t>-4</w:t>
      </w:r>
      <w:r w:rsidR="00D20D8A" w:rsidRPr="00972C81">
        <w:rPr>
          <w:noProof/>
        </w:rPr>
        <w:t xml:space="preserve"> for children of 1 year and older are adopted here for </w:t>
      </w:r>
      <w:r w:rsidR="00A07D50" w:rsidRPr="00972C81">
        <w:rPr>
          <w:noProof/>
          <w:color w:val="000000" w:themeColor="text1"/>
          <w:szCs w:val="24"/>
        </w:rPr>
        <w:t>europium</w:t>
      </w:r>
      <w:r w:rsidR="00D20D8A" w:rsidRPr="00972C81">
        <w:rPr>
          <w:noProof/>
        </w:rPr>
        <w:t>.</w:t>
      </w:r>
    </w:p>
    <w:p w14:paraId="79E67843" w14:textId="77777777" w:rsidR="00AE7A83" w:rsidRPr="00972C81" w:rsidRDefault="00AE7A83" w:rsidP="00E81109">
      <w:pPr>
        <w:pStyle w:val="3"/>
        <w:rPr>
          <w:noProof/>
        </w:rPr>
      </w:pPr>
      <w:bookmarkStart w:id="134" w:name="_Toc162630023"/>
      <w:r w:rsidRPr="00972C81">
        <w:rPr>
          <w:noProof/>
        </w:rPr>
        <w:t>Systemic Distribution, Retention and Excretion</w:t>
      </w:r>
      <w:bookmarkEnd w:id="134"/>
    </w:p>
    <w:p w14:paraId="60BBF7B9" w14:textId="77777777" w:rsidR="00640737" w:rsidRPr="00972C81" w:rsidRDefault="00640737" w:rsidP="006703A2">
      <w:pPr>
        <w:pStyle w:val="OIRTitre4"/>
      </w:pPr>
      <w:r w:rsidRPr="00972C81">
        <w:t>Summary of biokinetic data</w:t>
      </w:r>
    </w:p>
    <w:p w14:paraId="261B5F95" w14:textId="09515D25" w:rsidR="00640737" w:rsidRPr="00972C81" w:rsidRDefault="00640737" w:rsidP="001C4A92">
      <w:pPr>
        <w:pStyle w:val="Annalstext"/>
        <w:rPr>
          <w:noProof/>
        </w:rPr>
      </w:pPr>
      <w:r w:rsidRPr="00972C81">
        <w:rPr>
          <w:noProof/>
        </w:rPr>
        <w:t xml:space="preserve">The biokinetics of europium </w:t>
      </w:r>
      <w:r w:rsidR="00E81109" w:rsidRPr="00972C81">
        <w:rPr>
          <w:noProof/>
        </w:rPr>
        <w:t>has</w:t>
      </w:r>
      <w:r w:rsidRPr="00972C81">
        <w:rPr>
          <w:noProof/>
        </w:rPr>
        <w:t xml:space="preserve"> been studied in rodents</w:t>
      </w:r>
      <w:r w:rsidR="0054485A" w:rsidRPr="00972C81">
        <w:rPr>
          <w:noProof/>
        </w:rPr>
        <w:t xml:space="preserve"> </w:t>
      </w:r>
      <w:r w:rsidR="0054485A" w:rsidRPr="00972C81">
        <w:rPr>
          <w:noProof/>
        </w:rPr>
        <w:fldChar w:fldCharType="begin"/>
      </w:r>
      <w:r w:rsidR="00612860" w:rsidRPr="00972C81">
        <w:rPr>
          <w:noProof/>
        </w:rPr>
        <w:instrText xml:space="preserve"> ADDIN ZOTERO_ITEM CSL_CITATION {"citationID":"Rl7uybPW","properties":{"formattedCitation":"(Berke, 1968, 1970; Bingham and Dobrota, 1994; Durbin, 1962; Durbin et al., 1956; Johnson and Ziemer, 1971; Moskalev et al., 1974; Ohnishi et al., 2011; Suzuki et al., 1969)","plainCitation":"(Berke, 1968, 1970; Bingham and Dobrota, 1994; Durbin, 1962; Durbin et al., 1956; Johnson and Ziemer, 1971; Moskalev et al., 1974; Ohnishi et al., 2011; Suzuki et al., 1969)","noteIndex":0},"citationItems":[{"id":4831,"uris":["http://zotero.org/groups/2470620/items/9XQU395J"],"itemData":{"id":4831,"type":"article-journal","container-title":"Health Physics","DOI":"10.1097/00004032-196810000-00001","ISSN":"0017-9078","issue":"4","journalAbbreviation":"Health Phys","language":"eng","note":"PMID: 5696996","page":"301-312","source":"PubMed","title":"The metabolism of rare earths. I. The distribution and excretion of intravenous 152-154-europium in the rat","volume":"15","author":[{"family":"Berke","given":"H. L."}],"issued":{"date-parts":[["1968"]]}}},{"id":4833,"uris":["http://zotero.org/groups/2470620/items/B6KK6DRY"],"itemData":{"id":4833,"type":"report","event-place":"Detroit, Michigan, USA","language":"English","note":"DOI: 10.2172/4158549","number":"Technical Progress Report, June 15, 1969--June 15, 1970.","publisher":"Wayne State Univ.","publisher-place":"Detroit, Michigan, USA","title":"THE METABOLISM OF RARE EARTHS FOLLOWING INHALATION:  PATHOLOGIC AND BIOCHEMICAL RESPONSE IN THE LUNG AND OTHER ORGANS","URL":"https://www.osti.gov/biblio/4158549","author":[{"family":"Berke","given":"H L"}],"issued":{"date-parts":[["1970"]]}}},{"id":4840,"uris":["http://zotero.org/groups/2470620/items/W9W2AZ2Q"],"itemData":{"id":4840,"type":"article-journal","abstract":"Europium (152,154Eu) was intravenously injected into rats as: (i) the chloride salt at pH 7.4, (ii) the chloride salt at pH 3, (iii) the albumin complex and (iv) the DTPA complex, and tissue uptake was determined 24 h later. For the chlorides, the target organ for uptake was liver (about 60% of dose) whilst europium complexes were rapidly excreted in urine and were predominantly taken up into the kidney (about 0.5% of dose) and bone. Liver uptake of EuCl3, pH 7.4, corresponded to that of a colloidal material with most 152Eu present in the non-hepatocyte population; however, EuCl3, pH 3, was handled in a different manner, with significant uptake by hepatocytes. The differing tissue distributions of EuCl3 and Eu-albumin suggest that plasma albumin does not readily bind injected EuCl3. Renal uptake of europium, although a relatively low proportion of the injected dose, was associated with many subcellular fractions, including lysosomes, suggesting significant intracellular uptake and thus possible retention.","container-title":"Biometals: An International Journal on the Role of Metal Ions in Biology, Biochemistry, and Medicine","DOI":"10.1007/BF00140484","ISSN":"0966-0844","issue":"2","journalAbbreviation":"Biometals","language":"eng","note":"PMID: 8148616","page":"142-148","source":"PubMed","title":"Distribution and excretion of lanthanides: comparison between europium salts and complexes","title-short":"Distribution and excretion of lanthanides","volume":"7","author":[{"family":"Bingham","given":"D."},{"family":"Dobrota","given":"M."}],"issued":{"date-parts":[["1994"]]}}},{"id":4754,"uris":["http://zotero.org/groups/2470620/items/D374YBDR"],"itemData":{"id":4754,"type":"article-journal","abstract":"The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mammals","volume":"8","author":[{"family":"Durbin","given":"P.W."}],"issued":{"date-parts":[["1962"]]}}},{"id":4829,"uris":["http://zotero.org/groups/2470620/items/CYL3GRBU"],"itemData":{"id":4829,"type":"article-journal","container-title":"Proceedings of the Society for Experimental Biology and Medicine. Society for Experimental Biology and Medicine (New York, N.Y.)","DOI":"10.3181/00379727-91-22175","ISSN":"0037-9727","issue":"1","journalAbbreviation":"Proc Soc Exp Biol Med","language":"eng","note":"PMID: 13297715","page":"78-85","source":"PubMed","title":"Metabolism of the lanthanons in the rat","volume":"91","author":[{"family":"Durbin","given":"P. W."},{"family":"Williams","given":"M. H."},{"family":"Gee","given":"M."},{"family":"Newman","given":"R. H."},{"family":"Hamilton","given":"J. G."}],"issued":{"date-parts":[["1956",1]]}}},{"id":4837,"uris":["http://zotero.org/groups/2470620/items/XWBA8KPT"],"itemData":{"id":4837,"type":"article-journal","container-title":"Health Physics","DOI":"10.1097/00004032-197102000-00007","ISSN":"0017-9078","issue":"2","journalAbbreviation":"Health Phys","language":"eng","note":"PMID: 5580421","page":"187-193","source":"PubMed","title":"The deposition and retention of inhaled 152-154europium oxide in the rat","volume":"20","author":[{"family":"Johnson","given":"R. F."},{"family":"Ziemer","given":"P. L."}],"issued":{"date-parts":[["1971",2]]}}},{"id":4757,"uris":["http://zotero.org/groups/2470620/items/GPRMH38F"],"itemData":{"id":4757,"type":"chapter","container-title":"Biological Effects of Radiation from External and Internal Sources. Translated in U.S. Atomic Energy Commission Document AEC-tr-7457","event-place":"Moscow, Russia","publisher":"Medistina","publisher-place":"Moscow, Russia","source":"Google Scholar","title":"Distinctions of distribution in the organism of radioactive isotopes of lanthanide elements","author":[{"family":"Moskalev","given":"Yu I."},{"family":"Zalikin","given":"G. A."},{"family":"Stepanov","given":"V. S."}],"issued":{"date-parts":[["1974"]]}}},{"id":4842,"uris":["http://zotero.org/groups/2470620/items/EX2CMISF"],"itemData":{"id":4842,"type":"article-journal","abstract":"Single doses of europium (III) chloride hexahydrate were orally administered to several groups of rats. Cumulative urine samples were taken at 0-24 h, and blood samples were drawn after 24-h administration. The europium concentration was determined in these samples by inductively coupled plasma atomic emission spectroscopy. The volume, creatinine, ß-2-microglobulin, and N-acetyl-ß-D-glucosaminidase were measured in the urine samples to evaluate possible europium-induced renal effects. The blood samples showed low europium distribution, with an average of 77.5 μg/L for all groups. Although the urinary concentration and excretion showed dose-dependent increases, the percentage of europium excreted showed a dose-dependent decrease, with an average of 0.31% in all groups. The administration of europium resulted in a significant decrease of creatinine and a significant increase of urinary volume, N-acetyl-ß-D-glucosaminidase, and ß-2-microglobulin. Rare earth elements, including europium, are believed to form colloidal conjugates that deposit in the reticuloendothelial system and glomeruli. This specific reaction may contribute to low europium bioavailability and renal function disturbances. Despite low bioavailability, the high performance of the analytical method for determination of europium makes the blood and urine sampling suitable tools for monitoring of exposure to this element. The results presented in this study will be of great importance in future studies on the health impacts of rare earth elements.","container-title":"Biological Trace Element Research","DOI":"10.1007/s12011-010-8937-1","ISSN":"1559-0720","issue":"2","journalAbbreviation":"Biol Trace Elem Res","language":"eng","note":"PMID: 21221839","page":"1054-1063","source":"PubMed","title":"Distribution, elimination, and renal effects of single oral doses of europium in rats","volume":"143","author":[{"family":"Ohnishi","given":"Keiko"},{"family":"Usuda","given":"Kan"},{"family":"Nakayama","given":"Shin"},{"family":"Sugiura","given":"Yumiko"},{"family":"Kitamura","given":"Yasuhiro"},{"family":"Kurita","given":"Akihiro"},{"family":"Tsuda","given":"Yuko"},{"family":"Kimura","given":"Motoshi"},{"family":"Kono","given":"Koichi"}],"issued":{"date-parts":[["2011"]]}}},{"id":4835,"uris":["http://zotero.org/groups/2470620/items/V855YVZ5"],"itemData":{"id":4835,"type":"paper-conference","container-title":"Proc. Jap. Conf. Radioisotop. 9th","event-place":"Tokyo","page":"442-444","publisher":"National Inst. of Radiological Sciences, Chiba, Japan","publisher-place":"Tokyo","source":"Google Scholar","title":"DISTRIBUTION AND EXCRETION OF INHALED Eu BY RATS AS APPLIED FOR AND ACTIVABLE TRACER.","author":[{"family":"Suzuki","given":"M."},{"family":"Ohno","given":"S."},{"family":"Okabayashi","given":"H."},{"family":"Hongo","given":"S."},{"family":"Oohata","given":"T."}],"issued":{"date-parts":[["1969"]]}}}],"schema":"https://github.com/citation-style-language/schema/raw/master/csl-citation.json"} </w:instrText>
      </w:r>
      <w:r w:rsidR="0054485A" w:rsidRPr="00972C81">
        <w:rPr>
          <w:noProof/>
        </w:rPr>
        <w:fldChar w:fldCharType="separate"/>
      </w:r>
      <w:r w:rsidR="00BC59C6" w:rsidRPr="00972C81">
        <w:rPr>
          <w:noProof/>
        </w:rPr>
        <w:t>(Berke, 1968, 1970; Bingham and Dobrota, 1994; Durbin, 1962; Durbin et al., 1956; Johnson and Ziemer, 1971; Moskalev et al., 1974; Ohnishi et al., 2011; Suzuki et al., 1969)</w:t>
      </w:r>
      <w:r w:rsidR="0054485A" w:rsidRPr="00972C81">
        <w:rPr>
          <w:noProof/>
        </w:rPr>
        <w:fldChar w:fldCharType="end"/>
      </w:r>
      <w:r w:rsidRPr="00972C81">
        <w:rPr>
          <w:noProof/>
        </w:rPr>
        <w:t xml:space="preserve"> and accidentally exposed workers </w:t>
      </w:r>
      <w:r w:rsidR="007A358A" w:rsidRPr="00972C81">
        <w:rPr>
          <w:noProof/>
        </w:rPr>
        <w:fldChar w:fldCharType="begin"/>
      </w:r>
      <w:r w:rsidR="007A358A" w:rsidRPr="00972C81">
        <w:rPr>
          <w:noProof/>
        </w:rPr>
        <w:instrText xml:space="preserve"> ADDIN ZOTERO_ITEM CSL_CITATION {"citationID":"XGKR9OeE","properties":{"formattedCitation":"(Ziemer et al., 1968)","plainCitation":"(Ziemer et al., 1968)","noteIndex":0},"citationItems":[{"id":4844,"uris":["http://zotero.org/groups/2470620/items/Y7QLFJZU"],"itemData":{"id":4844,"type":"paper-conference","container-title":"Proceedings of the First International Congress of Radiation Protection","event-place":"Rome, Italy","page":"1199–1203","publisher":"Pergamon Press Inc.","publisher-place":"Rome, Italy","source":"Google Scholar","title":"The uptake, retention, and excretion of inhaled europium oxide in two healthy adult males","author":[{"family":"Ziemer","given":"P. L."},{"family":"George","given":"R. E."},{"family":"Kessler","given":"W. V."}],"editor":[{"family":"Snyder","given":"W.S."},{"family":"Abee","given":"H.H."},{"family":"Burton","given":"L.K."},{"family":"Maushart","given":"R."},{"family":"Benco","given":"A."},{"family":"Duhamel","given":"F."},{"family":"Weatley","given":"B.M."}],"issued":{"date-parts":[["1968"]]}}}],"schema":"https://github.com/citation-style-language/schema/raw/master/csl-citation.json"} </w:instrText>
      </w:r>
      <w:r w:rsidR="007A358A" w:rsidRPr="00972C81">
        <w:rPr>
          <w:noProof/>
        </w:rPr>
        <w:fldChar w:fldCharType="separate"/>
      </w:r>
      <w:r w:rsidR="00BC59C6" w:rsidRPr="00972C81">
        <w:rPr>
          <w:noProof/>
        </w:rPr>
        <w:t>(Ziemer et al., 1968)</w:t>
      </w:r>
      <w:r w:rsidR="007A358A" w:rsidRPr="00972C81">
        <w:rPr>
          <w:noProof/>
        </w:rPr>
        <w:fldChar w:fldCharType="end"/>
      </w:r>
      <w:r w:rsidRPr="00972C81">
        <w:rPr>
          <w:noProof/>
        </w:rPr>
        <w:t xml:space="preserve">. However, the data for workers provide little insight into the systemic kinetics of europium. </w:t>
      </w:r>
    </w:p>
    <w:p w14:paraId="2D347AB6" w14:textId="2917B98D" w:rsidR="00640737" w:rsidRPr="00972C81" w:rsidRDefault="00640737" w:rsidP="001C4A92">
      <w:pPr>
        <w:pStyle w:val="Annalstext"/>
        <w:rPr>
          <w:noProof/>
        </w:rPr>
      </w:pPr>
      <w:r w:rsidRPr="00972C81">
        <w:rPr>
          <w:noProof/>
        </w:rPr>
        <w:t xml:space="preserve">At 4 d after intramuscular injection of </w:t>
      </w:r>
      <w:r w:rsidRPr="004809BB">
        <w:rPr>
          <w:noProof/>
          <w:vertAlign w:val="superscript"/>
        </w:rPr>
        <w:t>152</w:t>
      </w:r>
      <w:r w:rsidR="004809BB" w:rsidRPr="00C47F2F">
        <w:rPr>
          <w:noProof/>
          <w:vertAlign w:val="superscript"/>
        </w:rPr>
        <w:t>–</w:t>
      </w:r>
      <w:r w:rsidRPr="004809BB">
        <w:rPr>
          <w:noProof/>
          <w:vertAlign w:val="superscript"/>
        </w:rPr>
        <w:t>154</w:t>
      </w:r>
      <w:r w:rsidRPr="00972C81">
        <w:rPr>
          <w:noProof/>
        </w:rPr>
        <w:t xml:space="preserve">Eu into rats, bone and liver contained on average about 36% and 25%, respectively, of the administered amount </w:t>
      </w:r>
      <w:r w:rsidR="007A358A" w:rsidRPr="00972C81">
        <w:rPr>
          <w:noProof/>
        </w:rPr>
        <w:fldChar w:fldCharType="begin"/>
      </w:r>
      <w:r w:rsidR="007A358A" w:rsidRPr="00972C81">
        <w:rPr>
          <w:noProof/>
        </w:rPr>
        <w:instrText xml:space="preserve"> ADDIN ZOTERO_ITEM CSL_CITATION {"citationID":"PCQvkPoG","properties":{"formattedCitation":"(Durbin, 1959)","plainCitation":"(Durbin, 1959)","noteIndex":0},"citationItems":[{"id":3923,"uris":["http://zotero.org/groups/2470620/items/WGHAW384"],"itemData":{"id":3923,"type":"article-journal","abstract":"The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family","volume":"2","author":[{"family":"Durbin","given":"P.W."}],"issued":{"date-parts":[["1959"]]}}}],"schema":"https://github.com/citation-style-language/schema/raw/master/csl-citation.json"} </w:instrText>
      </w:r>
      <w:r w:rsidR="007A358A" w:rsidRPr="00972C81">
        <w:rPr>
          <w:noProof/>
        </w:rPr>
        <w:fldChar w:fldCharType="separate"/>
      </w:r>
      <w:r w:rsidR="00BC59C6" w:rsidRPr="00972C81">
        <w:rPr>
          <w:noProof/>
        </w:rPr>
        <w:t>(Durbin, 1959)</w:t>
      </w:r>
      <w:r w:rsidR="007A358A" w:rsidRPr="00972C81">
        <w:rPr>
          <w:noProof/>
        </w:rPr>
        <w:fldChar w:fldCharType="end"/>
      </w:r>
      <w:r w:rsidRPr="00972C81">
        <w:rPr>
          <w:noProof/>
        </w:rPr>
        <w:t>. During the first 4 d about 17% of the administered was lost in urine and 11% was lost in faeces.</w:t>
      </w:r>
    </w:p>
    <w:p w14:paraId="2F8ACDD8" w14:textId="47B4AD98" w:rsidR="00640737" w:rsidRPr="00972C81" w:rsidRDefault="00640737" w:rsidP="001C4A92">
      <w:pPr>
        <w:pStyle w:val="Annalstext"/>
        <w:rPr>
          <w:noProof/>
        </w:rPr>
      </w:pPr>
      <w:r w:rsidRPr="00972C81">
        <w:rPr>
          <w:noProof/>
        </w:rPr>
        <w:t xml:space="preserve">Following intravenous administration of </w:t>
      </w:r>
      <w:r w:rsidRPr="00972C81">
        <w:rPr>
          <w:noProof/>
          <w:vertAlign w:val="superscript"/>
        </w:rPr>
        <w:t>152</w:t>
      </w:r>
      <w:r w:rsidRPr="00972C81">
        <w:rPr>
          <w:noProof/>
        </w:rPr>
        <w:t xml:space="preserve">Eu to rats, the liver initially accumulated more activity than the skeleton but lost much of the activity over a period of days or weeks, while activity continued to accumulate in the skeleton </w:t>
      </w:r>
      <w:r w:rsidR="007A358A" w:rsidRPr="00972C81">
        <w:rPr>
          <w:noProof/>
        </w:rPr>
        <w:fldChar w:fldCharType="begin"/>
      </w:r>
      <w:r w:rsidR="00612860" w:rsidRPr="00972C81">
        <w:rPr>
          <w:noProof/>
        </w:rPr>
        <w:instrText xml:space="preserve"> ADDIN ZOTERO_ITEM CSL_CITATION {"citationID":"JbC26U2l","properties":{"formattedCitation":"(Moskalev et al., 1974)","plainCitation":"(Moskalev et al., 1974)","noteIndex":0},"citationItems":[{"id":4757,"uris":["http://zotero.org/groups/2470620/items/GPRMH38F"],"itemData":{"id":4757,"type":"chapter","container-title":"Biological Effects of Radiation from External and Internal Sources. Translated in U.S. Atomic Energy Commission Document AEC-tr-7457","event-place":"Moscow, Russia","publisher":"Medistina","publisher-place":"Moscow, Russia","source":"Google Scholar","title":"Distinctions of distribution in the organism of radioactive isotopes of lanthanide elements","author":[{"family":"Moskalev","given":"Yu I."},{"family":"Zalikin","given":"G. A."},{"family":"Stepanov","given":"V. S."}],"issued":{"date-parts":[["1974"]]}}}],"schema":"https://github.com/citation-style-language/schema/raw/master/csl-citation.json"} </w:instrText>
      </w:r>
      <w:r w:rsidR="007A358A" w:rsidRPr="00972C81">
        <w:rPr>
          <w:noProof/>
        </w:rPr>
        <w:fldChar w:fldCharType="separate"/>
      </w:r>
      <w:r w:rsidR="00BC59C6" w:rsidRPr="00972C81">
        <w:rPr>
          <w:noProof/>
        </w:rPr>
        <w:t>(Moskalev et al., 1974)</w:t>
      </w:r>
      <w:r w:rsidR="007A358A" w:rsidRPr="00972C81">
        <w:rPr>
          <w:noProof/>
        </w:rPr>
        <w:fldChar w:fldCharType="end"/>
      </w:r>
      <w:r w:rsidRPr="00972C81">
        <w:rPr>
          <w:noProof/>
        </w:rPr>
        <w:t>. At 128 d after administration the liver and skeleton contained about 0.5% and 36%, respectively, of the administered amount.</w:t>
      </w:r>
    </w:p>
    <w:p w14:paraId="6F8C07FE" w14:textId="0E363037" w:rsidR="00640737" w:rsidRPr="00972C81" w:rsidRDefault="00640737" w:rsidP="001C4A92">
      <w:pPr>
        <w:pStyle w:val="Annalstext"/>
        <w:rPr>
          <w:noProof/>
        </w:rPr>
      </w:pPr>
      <w:r w:rsidRPr="00972C81">
        <w:rPr>
          <w:noProof/>
        </w:rPr>
        <w:t xml:space="preserve">Berke </w:t>
      </w:r>
      <w:r w:rsidR="007A358A" w:rsidRPr="00972C81">
        <w:rPr>
          <w:noProof/>
        </w:rPr>
        <w:fldChar w:fldCharType="begin"/>
      </w:r>
      <w:r w:rsidR="007A358A" w:rsidRPr="00972C81">
        <w:rPr>
          <w:noProof/>
        </w:rPr>
        <w:instrText xml:space="preserve"> ADDIN ZOTERO_ITEM CSL_CITATION {"citationID":"gtPSPq6L","properties":{"formattedCitation":"(1968)","plainCitation":"(1968)","noteIndex":0},"citationItems":[{"id":4831,"uris":["http://zotero.org/groups/2470620/items/9XQU395J"],"itemData":{"id":4831,"type":"article-journal","container-title":"Health Physics","DOI":"10.1097/00004032-196810000-00001","ISSN":"0017-9078","issue":"4","journalAbbreviation":"Health Phys","language":"eng","note":"PMID: 5696996","page":"301-312","source":"PubMed","title":"The metabolism of rare earths. I. The distribution and excretion of intravenous 152-154-europium in the rat","volume":"15","author":[{"family":"Berke","given":"H. L."}],"issued":{"date-parts":[["1968"]]}},"label":"page","suppress-author":true}],"schema":"https://github.com/citation-style-language/schema/raw/master/csl-citation.json"} </w:instrText>
      </w:r>
      <w:r w:rsidR="007A358A" w:rsidRPr="00972C81">
        <w:rPr>
          <w:noProof/>
        </w:rPr>
        <w:fldChar w:fldCharType="separate"/>
      </w:r>
      <w:r w:rsidR="00BC59C6" w:rsidRPr="00972C81">
        <w:rPr>
          <w:noProof/>
        </w:rPr>
        <w:t>(1968)</w:t>
      </w:r>
      <w:r w:rsidR="007A358A" w:rsidRPr="00972C81">
        <w:rPr>
          <w:noProof/>
        </w:rPr>
        <w:fldChar w:fldCharType="end"/>
      </w:r>
      <w:r w:rsidRPr="00972C81">
        <w:rPr>
          <w:noProof/>
        </w:rPr>
        <w:t xml:space="preserve"> studied the systemic </w:t>
      </w:r>
      <w:r w:rsidR="00BB503E">
        <w:rPr>
          <w:noProof/>
        </w:rPr>
        <w:t>behaviour</w:t>
      </w:r>
      <w:r w:rsidRPr="00972C81">
        <w:rPr>
          <w:noProof/>
        </w:rPr>
        <w:t xml:space="preserve"> of </w:t>
      </w:r>
      <w:r w:rsidRPr="00972C81">
        <w:rPr>
          <w:noProof/>
          <w:vertAlign w:val="superscript"/>
        </w:rPr>
        <w:t>152</w:t>
      </w:r>
      <w:r w:rsidR="004809BB" w:rsidRPr="00C47F2F">
        <w:rPr>
          <w:noProof/>
          <w:vertAlign w:val="superscript"/>
        </w:rPr>
        <w:t>–</w:t>
      </w:r>
      <w:r w:rsidRPr="00972C81">
        <w:rPr>
          <w:noProof/>
          <w:vertAlign w:val="superscript"/>
        </w:rPr>
        <w:t>154</w:t>
      </w:r>
      <w:r w:rsidRPr="00972C81">
        <w:rPr>
          <w:noProof/>
        </w:rPr>
        <w:t xml:space="preserve">Eu in rats following its intravenous administration as chloride. Activity cleared quickly from the circulation and accumulated primarily in the skeleton, with elevated concentration also seen in the liver and kidneys. Skeletal tissues contained about 85% of the body burden at 252 d and virtually the entire body burden at 445 d. After the first few days excretion was primarily via the </w:t>
      </w:r>
      <w:r w:rsidRPr="00972C81">
        <w:rPr>
          <w:noProof/>
        </w:rPr>
        <w:lastRenderedPageBreak/>
        <w:t>gastrointestinal tract. Whole-body retention could be described as a sum of two exponential terms indicating biological half-times of 4.4 d and 3.5 y.</w:t>
      </w:r>
    </w:p>
    <w:p w14:paraId="3D094D05" w14:textId="77777777" w:rsidR="00640737" w:rsidRPr="00972C81" w:rsidRDefault="00640737" w:rsidP="001C4A92">
      <w:pPr>
        <w:pStyle w:val="Annalstext"/>
        <w:rPr>
          <w:noProof/>
        </w:rPr>
      </w:pPr>
      <w:r w:rsidRPr="00972C81">
        <w:rPr>
          <w:noProof/>
        </w:rPr>
        <w:t xml:space="preserve">No information was found regarding the effect of age on the biokinetics of systemic </w:t>
      </w:r>
      <w:r w:rsidRPr="00972C81">
        <w:rPr>
          <w:rFonts w:ascii="Times Roman" w:eastAsiaTheme="minorHAnsi" w:hAnsi="Times Roman" w:cstheme="minorBidi"/>
          <w:noProof/>
        </w:rPr>
        <w:t>europium</w:t>
      </w:r>
      <w:r w:rsidRPr="00972C81">
        <w:rPr>
          <w:noProof/>
        </w:rPr>
        <w:t xml:space="preserve">. </w:t>
      </w:r>
    </w:p>
    <w:p w14:paraId="3123E681" w14:textId="77777777" w:rsidR="00640737" w:rsidRPr="00972C81" w:rsidRDefault="00640737" w:rsidP="006703A2">
      <w:pPr>
        <w:pStyle w:val="OIRTitre4"/>
      </w:pPr>
      <w:r w:rsidRPr="00972C81">
        <w:t>Systemic model</w:t>
      </w:r>
    </w:p>
    <w:p w14:paraId="6D98AC53" w14:textId="56914C51" w:rsidR="00640737" w:rsidRPr="00972C81" w:rsidRDefault="00640737" w:rsidP="001C4A92">
      <w:pPr>
        <w:pStyle w:val="Annalstext"/>
        <w:rPr>
          <w:noProof/>
        </w:rPr>
      </w:pPr>
      <w:r w:rsidRPr="00972C81">
        <w:rPr>
          <w:noProof/>
        </w:rPr>
        <w:t xml:space="preserve">The model structure shown in </w:t>
      </w:r>
      <w:r w:rsidR="007A358A" w:rsidRPr="00972C81">
        <w:rPr>
          <w:noProof/>
        </w:rPr>
        <w:fldChar w:fldCharType="begin"/>
      </w:r>
      <w:r w:rsidR="007A358A" w:rsidRPr="00972C81">
        <w:rPr>
          <w:noProof/>
        </w:rPr>
        <w:instrText xml:space="preserve"> REF _Ref141858180 \h </w:instrText>
      </w:r>
      <w:r w:rsidR="007A358A" w:rsidRPr="00972C81">
        <w:rPr>
          <w:noProof/>
        </w:rPr>
      </w:r>
      <w:r w:rsidR="007A358A" w:rsidRPr="00972C81">
        <w:rPr>
          <w:noProof/>
        </w:rPr>
        <w:fldChar w:fldCharType="separate"/>
      </w:r>
      <w:r w:rsidR="00A41AD1" w:rsidRPr="00A41AD1">
        <w:rPr>
          <w:noProof/>
          <w:szCs w:val="24"/>
        </w:rPr>
        <w:t xml:space="preserve">Fig </w:t>
      </w:r>
      <w:r w:rsidR="00A41AD1">
        <w:rPr>
          <w:noProof/>
          <w:szCs w:val="24"/>
        </w:rPr>
        <w:t>3</w:t>
      </w:r>
      <w:r w:rsidR="00A41AD1" w:rsidRPr="00A41AD1">
        <w:rPr>
          <w:noProof/>
          <w:szCs w:val="24"/>
        </w:rPr>
        <w:t>.</w:t>
      </w:r>
      <w:r w:rsidR="00A41AD1">
        <w:rPr>
          <w:noProof/>
          <w:szCs w:val="24"/>
        </w:rPr>
        <w:t>1</w:t>
      </w:r>
      <w:r w:rsidR="007A358A" w:rsidRPr="00972C81">
        <w:rPr>
          <w:noProof/>
        </w:rPr>
        <w:fldChar w:fldCharType="end"/>
      </w:r>
      <w:r w:rsidRPr="00972C81">
        <w:rPr>
          <w:noProof/>
        </w:rPr>
        <w:t xml:space="preserve"> of the section on cerium is applied in this report to all lanthanide elements.</w:t>
      </w:r>
    </w:p>
    <w:p w14:paraId="523D8BF2" w14:textId="77777777" w:rsidR="00640737" w:rsidRPr="00972C81" w:rsidRDefault="00640737" w:rsidP="001C4A92">
      <w:pPr>
        <w:pStyle w:val="Annalstext"/>
        <w:rPr>
          <w:noProof/>
        </w:rPr>
      </w:pPr>
      <w:r w:rsidRPr="00972C81">
        <w:rPr>
          <w:noProof/>
        </w:rPr>
        <w:t>As for all lanthanide elements, the transfer coefficients for europium are based largely on generic parameter values, i.e., parameter values assumed to be invariant across the lanthanide family. The generic parameter values are listed in the section on cerium. These generic values are assumed here to be invariant with age except for the following:</w:t>
      </w:r>
    </w:p>
    <w:p w14:paraId="1E2E9D48" w14:textId="5DA753B7" w:rsidR="00640737" w:rsidRPr="00972C81" w:rsidRDefault="00640737" w:rsidP="00E81109">
      <w:pPr>
        <w:pStyle w:val="a"/>
        <w:rPr>
          <w:noProof/>
        </w:rPr>
      </w:pPr>
      <w:r w:rsidRPr="00972C81">
        <w:rPr>
          <w:noProof/>
          <w:color w:val="000000"/>
        </w:rPr>
        <w:t>The rate of transfer from t</w:t>
      </w:r>
      <w:r w:rsidRPr="00972C81">
        <w:rPr>
          <w:noProof/>
        </w:rPr>
        <w:t xml:space="preserve">rabecular bone surface to trabecular bone volume is assumed to be A times the reference age-specific rate of remodeling of trabecular bone </w:t>
      </w:r>
      <w:r w:rsidR="007A358A" w:rsidRPr="00972C81">
        <w:rPr>
          <w:noProof/>
        </w:rPr>
        <w:fldChar w:fldCharType="begin"/>
      </w:r>
      <w:r w:rsidR="007A358A" w:rsidRPr="00972C81">
        <w:rPr>
          <w:noProof/>
        </w:rPr>
        <w:instrText xml:space="preserve"> ADDIN ZOTERO_ITEM CSL_CITATION {"citationID":"02BgMXtI","properties":{"formattedCitation":"(ICRP,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7A358A" w:rsidRPr="00972C81">
        <w:rPr>
          <w:noProof/>
        </w:rPr>
        <w:fldChar w:fldCharType="separate"/>
      </w:r>
      <w:r w:rsidR="00BC59C6" w:rsidRPr="00972C81">
        <w:rPr>
          <w:noProof/>
        </w:rPr>
        <w:t>(ICRP, 2002)</w:t>
      </w:r>
      <w:r w:rsidR="007A358A" w:rsidRPr="00972C81">
        <w:rPr>
          <w:noProof/>
        </w:rPr>
        <w:fldChar w:fldCharType="end"/>
      </w:r>
      <w:r w:rsidRPr="00972C81">
        <w:rPr>
          <w:noProof/>
        </w:rPr>
        <w:t>, where A = 0.5 for adults and A = 1 for preadult ages</w:t>
      </w:r>
      <w:r w:rsidR="007A358A" w:rsidRPr="00972C81">
        <w:rPr>
          <w:noProof/>
        </w:rPr>
        <w:t>.</w:t>
      </w:r>
    </w:p>
    <w:p w14:paraId="7D5488E0" w14:textId="774387FE" w:rsidR="00640737" w:rsidRPr="00972C81" w:rsidRDefault="00640737" w:rsidP="00E81109">
      <w:pPr>
        <w:pStyle w:val="a"/>
        <w:rPr>
          <w:noProof/>
        </w:rPr>
      </w:pPr>
      <w:r w:rsidRPr="00972C81">
        <w:rPr>
          <w:noProof/>
          <w:color w:val="000000"/>
        </w:rPr>
        <w:t>The rate of transfer from cortical</w:t>
      </w:r>
      <w:r w:rsidRPr="00972C81">
        <w:rPr>
          <w:noProof/>
        </w:rPr>
        <w:t xml:space="preserve"> bone surface to cortical bone volume is assumed to be 0.5 times the reference age-specific rate of remodeling of cortical bone </w:t>
      </w:r>
      <w:r w:rsidR="007A358A" w:rsidRPr="00972C81">
        <w:rPr>
          <w:noProof/>
        </w:rPr>
        <w:fldChar w:fldCharType="begin"/>
      </w:r>
      <w:r w:rsidR="007A358A" w:rsidRPr="00972C81">
        <w:rPr>
          <w:noProof/>
        </w:rPr>
        <w:instrText xml:space="preserve"> ADDIN ZOTERO_ITEM CSL_CITATION {"citationID":"0b8HH626","properties":{"formattedCitation":"(ICRP,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7A358A" w:rsidRPr="00972C81">
        <w:rPr>
          <w:noProof/>
        </w:rPr>
        <w:fldChar w:fldCharType="separate"/>
      </w:r>
      <w:r w:rsidR="00BC59C6" w:rsidRPr="00972C81">
        <w:rPr>
          <w:noProof/>
        </w:rPr>
        <w:t>(ICRP, 2002)</w:t>
      </w:r>
      <w:r w:rsidR="007A358A" w:rsidRPr="00972C81">
        <w:rPr>
          <w:noProof/>
        </w:rPr>
        <w:fldChar w:fldCharType="end"/>
      </w:r>
      <w:r w:rsidRPr="00972C81">
        <w:rPr>
          <w:noProof/>
        </w:rPr>
        <w:t>, where A = 0.5 for adults and A = 1 for preadult ages</w:t>
      </w:r>
      <w:r w:rsidR="007A358A" w:rsidRPr="00972C81">
        <w:rPr>
          <w:noProof/>
        </w:rPr>
        <w:t>.</w:t>
      </w:r>
    </w:p>
    <w:p w14:paraId="2F1402A5" w14:textId="74C5066B" w:rsidR="00640737" w:rsidRPr="00972C81" w:rsidRDefault="00640737" w:rsidP="00E81109">
      <w:pPr>
        <w:pStyle w:val="a"/>
        <w:rPr>
          <w:noProof/>
        </w:rPr>
      </w:pPr>
      <w:r w:rsidRPr="00972C81">
        <w:rPr>
          <w:noProof/>
          <w:color w:val="000000"/>
        </w:rPr>
        <w:t>The rate of transfer from t</w:t>
      </w:r>
      <w:r w:rsidRPr="00972C81">
        <w:rPr>
          <w:noProof/>
        </w:rPr>
        <w:t xml:space="preserve">rabecular bone surface or volume to trabecular marrow is assumed to be the reference age-specific rate of remodeling of trabecular bone </w:t>
      </w:r>
      <w:r w:rsidR="007A358A" w:rsidRPr="00972C81">
        <w:rPr>
          <w:noProof/>
        </w:rPr>
        <w:fldChar w:fldCharType="begin"/>
      </w:r>
      <w:r w:rsidR="007A358A" w:rsidRPr="00972C81">
        <w:rPr>
          <w:noProof/>
        </w:rPr>
        <w:instrText xml:space="preserve"> ADDIN ZOTERO_ITEM CSL_CITATION {"citationID":"pxJSlqG1","properties":{"formattedCitation":"(ICRP,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7A358A" w:rsidRPr="00972C81">
        <w:rPr>
          <w:noProof/>
        </w:rPr>
        <w:fldChar w:fldCharType="separate"/>
      </w:r>
      <w:r w:rsidR="00BC59C6" w:rsidRPr="00972C81">
        <w:rPr>
          <w:noProof/>
        </w:rPr>
        <w:t>(ICRP, 2002)</w:t>
      </w:r>
      <w:r w:rsidR="007A358A" w:rsidRPr="00972C81">
        <w:rPr>
          <w:noProof/>
        </w:rPr>
        <w:fldChar w:fldCharType="end"/>
      </w:r>
      <w:r w:rsidR="007A358A" w:rsidRPr="00972C81">
        <w:rPr>
          <w:noProof/>
        </w:rPr>
        <w:t>.</w:t>
      </w:r>
    </w:p>
    <w:p w14:paraId="2DB644CA" w14:textId="45942D7C" w:rsidR="00640737" w:rsidRPr="00972C81" w:rsidRDefault="00640737" w:rsidP="00E81109">
      <w:pPr>
        <w:pStyle w:val="a"/>
        <w:rPr>
          <w:noProof/>
        </w:rPr>
      </w:pPr>
      <w:r w:rsidRPr="00972C81">
        <w:rPr>
          <w:noProof/>
          <w:color w:val="000000"/>
        </w:rPr>
        <w:t>The rate of transfer from cortical</w:t>
      </w:r>
      <w:r w:rsidRPr="00972C81">
        <w:rPr>
          <w:noProof/>
        </w:rPr>
        <w:t xml:space="preserve"> bone surface or volume to cortical marrow is assumed to be the reference age-specific rate of remodeling of cortical bone </w:t>
      </w:r>
      <w:r w:rsidR="007A358A" w:rsidRPr="00972C81">
        <w:rPr>
          <w:noProof/>
        </w:rPr>
        <w:fldChar w:fldCharType="begin"/>
      </w:r>
      <w:r w:rsidR="007A358A" w:rsidRPr="00972C81">
        <w:rPr>
          <w:noProof/>
        </w:rPr>
        <w:instrText xml:space="preserve"> ADDIN ZOTERO_ITEM CSL_CITATION {"citationID":"6RO7wz74","properties":{"formattedCitation":"(ICRP,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7A358A" w:rsidRPr="00972C81">
        <w:rPr>
          <w:noProof/>
        </w:rPr>
        <w:fldChar w:fldCharType="separate"/>
      </w:r>
      <w:r w:rsidR="00BC59C6" w:rsidRPr="00972C81">
        <w:rPr>
          <w:noProof/>
        </w:rPr>
        <w:t>(ICRP, 2002)</w:t>
      </w:r>
      <w:r w:rsidR="007A358A" w:rsidRPr="00972C81">
        <w:rPr>
          <w:noProof/>
        </w:rPr>
        <w:fldChar w:fldCharType="end"/>
      </w:r>
      <w:r w:rsidR="007A358A" w:rsidRPr="00972C81">
        <w:rPr>
          <w:noProof/>
        </w:rPr>
        <w:t>.</w:t>
      </w:r>
    </w:p>
    <w:p w14:paraId="3DE48441" w14:textId="77777777" w:rsidR="00187747" w:rsidRDefault="00187747" w:rsidP="00C47F2F">
      <w:pPr>
        <w:pStyle w:val="Annalstext"/>
        <w:numPr>
          <w:ilvl w:val="0"/>
          <w:numId w:val="0"/>
        </w:numPr>
        <w:ind w:left="284"/>
        <w:rPr>
          <w:noProof/>
        </w:rPr>
      </w:pPr>
    </w:p>
    <w:p w14:paraId="109AA407" w14:textId="21A479E1" w:rsidR="00640737" w:rsidRPr="00972C81" w:rsidRDefault="00640737" w:rsidP="001C4A92">
      <w:pPr>
        <w:pStyle w:val="Annalstext"/>
        <w:rPr>
          <w:noProof/>
        </w:rPr>
      </w:pPr>
      <w:r w:rsidRPr="00972C81">
        <w:rPr>
          <w:noProof/>
        </w:rPr>
        <w:t>For each lanthanide element, non-generic (element- or group-specific) parameter values are assigned here to:</w:t>
      </w:r>
    </w:p>
    <w:p w14:paraId="1793682D" w14:textId="1B40C43A" w:rsidR="00640737" w:rsidRPr="00972C81" w:rsidRDefault="00640737" w:rsidP="00E81109">
      <w:pPr>
        <w:pStyle w:val="a"/>
        <w:rPr>
          <w:noProof/>
        </w:rPr>
      </w:pPr>
      <w:r w:rsidRPr="00972C81">
        <w:rPr>
          <w:noProof/>
        </w:rPr>
        <w:t>the deposition fractions for liver, bone surface, urinary bladder content, right colon content, and intermediate-term soft tissue compartment (ST1)</w:t>
      </w:r>
    </w:p>
    <w:p w14:paraId="0D1052B4" w14:textId="77777777" w:rsidR="00640737" w:rsidRPr="00972C81" w:rsidRDefault="00640737" w:rsidP="00E81109">
      <w:pPr>
        <w:pStyle w:val="a"/>
        <w:rPr>
          <w:noProof/>
        </w:rPr>
      </w:pPr>
      <w:r w:rsidRPr="00972C81">
        <w:rPr>
          <w:noProof/>
        </w:rPr>
        <w:t xml:space="preserve">removal half-times from ST1 to blood and from the long-term liver compartment Liver 2 to blood </w:t>
      </w:r>
    </w:p>
    <w:p w14:paraId="46417A63" w14:textId="77777777" w:rsidR="00640737" w:rsidRPr="00972C81" w:rsidRDefault="00640737" w:rsidP="00640737">
      <w:pPr>
        <w:tabs>
          <w:tab w:val="left" w:pos="851"/>
        </w:tabs>
        <w:adjustRightInd w:val="0"/>
        <w:snapToGrid w:val="0"/>
        <w:spacing w:line="280" w:lineRule="atLeast"/>
        <w:rPr>
          <w:rFonts w:ascii="Times Roman" w:hAnsi="Times Roman"/>
          <w:noProof/>
          <w:color w:val="000000"/>
          <w:szCs w:val="24"/>
        </w:rPr>
      </w:pPr>
    </w:p>
    <w:p w14:paraId="59010E3E" w14:textId="77777777" w:rsidR="00640737" w:rsidRPr="00972C81" w:rsidRDefault="00640737" w:rsidP="001C4A92">
      <w:pPr>
        <w:pStyle w:val="Annalstext"/>
        <w:rPr>
          <w:noProof/>
        </w:rPr>
      </w:pPr>
      <w:r w:rsidRPr="00972C81">
        <w:rPr>
          <w:noProof/>
        </w:rPr>
        <w:t>Extension of the non-generic parameter values for adults to preadult ages is based on a general pattern of age related systemic biokinetics observed for a number of bone-seeking elements including the lanthanide cerium. That is, the deposition fraction in bone is higher in immature animals than in mature animals and tends to decrease with age from early life to adolescence to adulthood. Also, biokinetic studies of bone-seeking elements show that the rate of turnover of the skeletal deposit is higher in immature than mature animals, presumably due to a faster rate of bone restructuring at younger ages.</w:t>
      </w:r>
    </w:p>
    <w:p w14:paraId="564EB777" w14:textId="6CF64A14" w:rsidR="00640737" w:rsidRPr="00972C81" w:rsidRDefault="00640737" w:rsidP="001C4A92">
      <w:pPr>
        <w:pStyle w:val="Annalstext"/>
        <w:rPr>
          <w:noProof/>
        </w:rPr>
      </w:pPr>
      <w:r w:rsidRPr="00972C81">
        <w:rPr>
          <w:noProof/>
        </w:rPr>
        <w:t>Based on analogy with the most extensively studied lanthanide cerium, a bone deposition fraction of 0.7 is assigned to ages 100 d and 1 y for all lanthanide elements. For ages 5</w:t>
      </w:r>
      <w:r w:rsidR="004809BB" w:rsidRPr="00972C81">
        <w:rPr>
          <w:noProof/>
        </w:rPr>
        <w:t>–</w:t>
      </w:r>
      <w:r w:rsidRPr="00972C81">
        <w:rPr>
          <w:noProof/>
        </w:rPr>
        <w:t>15 y, the assigned deposition fraction is a rounded average of the value for the first year of life and the element- or group-dependent bone deposition fraction for adults, which is 0.35 for europium. The deposition fraction 0.50 is assigned to the europium for ages 5</w:t>
      </w:r>
      <w:r w:rsidR="004809BB" w:rsidRPr="00972C81">
        <w:rPr>
          <w:noProof/>
        </w:rPr>
        <w:t>–</w:t>
      </w:r>
      <w:r w:rsidRPr="00972C81">
        <w:rPr>
          <w:noProof/>
        </w:rPr>
        <w:t xml:space="preserve">15 y. In contrast to the models for the lighter lanthanides, the elevated uptake of europium by the skeleton at preadult ages is not balanced entirely by reducing the deposition fraction assigned to the adult liver, because the latter value for europium (0.25) is too small to accommodate this assumption for the youngest ages. Rather, the increased uptake of europium by bone in preadults is </w:t>
      </w:r>
      <w:r w:rsidRPr="00972C81">
        <w:rPr>
          <w:noProof/>
        </w:rPr>
        <w:lastRenderedPageBreak/>
        <w:t xml:space="preserve">balanced by decreases in the deposition fractions for liver, the intermediate soft-tissue compartment ST1 (~0.15 for europium in adults), and the urinary bladder content (0.2 for europium in adults). The age-adjusted deposition fractions for each age are liberally rounded in view of the sizable uncertainties involved. </w:t>
      </w:r>
    </w:p>
    <w:p w14:paraId="6EEC5121" w14:textId="3F84E584" w:rsidR="00640737" w:rsidRPr="00972C81" w:rsidRDefault="00640737" w:rsidP="00E81109">
      <w:pPr>
        <w:pStyle w:val="Annalstext"/>
        <w:rPr>
          <w:noProof/>
        </w:rPr>
      </w:pPr>
      <w:r w:rsidRPr="00972C81">
        <w:rPr>
          <w:noProof/>
        </w:rPr>
        <w:t xml:space="preserve">The non-generic deposition fractions in the model for europium are listed in </w:t>
      </w:r>
      <w:r w:rsidR="007A358A" w:rsidRPr="00972C81">
        <w:rPr>
          <w:noProof/>
        </w:rPr>
        <w:fldChar w:fldCharType="begin"/>
      </w:r>
      <w:r w:rsidR="007A358A" w:rsidRPr="00972C81">
        <w:rPr>
          <w:noProof/>
        </w:rPr>
        <w:instrText xml:space="preserve"> REF _Ref142309802 \h </w:instrText>
      </w:r>
      <w:r w:rsidR="007A358A" w:rsidRPr="00972C81">
        <w:rPr>
          <w:noProof/>
        </w:rPr>
      </w:r>
      <w:r w:rsidR="007A358A" w:rsidRPr="00972C81">
        <w:rPr>
          <w:noProof/>
        </w:rPr>
        <w:fldChar w:fldCharType="separate"/>
      </w:r>
      <w:r w:rsidR="00A41AD1" w:rsidRPr="00A41AD1">
        <w:rPr>
          <w:noProof/>
          <w:szCs w:val="24"/>
        </w:rPr>
        <w:t xml:space="preserve">Table </w:t>
      </w:r>
      <w:r w:rsidR="00A41AD1">
        <w:rPr>
          <w:noProof/>
          <w:szCs w:val="24"/>
        </w:rPr>
        <w:t>8</w:t>
      </w:r>
      <w:r w:rsidR="00A41AD1" w:rsidRPr="00A41AD1">
        <w:rPr>
          <w:noProof/>
          <w:szCs w:val="24"/>
        </w:rPr>
        <w:t>.</w:t>
      </w:r>
      <w:r w:rsidR="00A41AD1">
        <w:rPr>
          <w:noProof/>
          <w:szCs w:val="24"/>
        </w:rPr>
        <w:t>1</w:t>
      </w:r>
      <w:r w:rsidR="007A358A" w:rsidRPr="00972C81">
        <w:rPr>
          <w:noProof/>
        </w:rPr>
        <w:fldChar w:fldCharType="end"/>
      </w:r>
      <w:r w:rsidRPr="00972C81">
        <w:rPr>
          <w:noProof/>
        </w:rPr>
        <w:t>.</w:t>
      </w:r>
    </w:p>
    <w:p w14:paraId="072C6823" w14:textId="77777777" w:rsidR="00482C73" w:rsidRPr="00972C81" w:rsidRDefault="00482C73" w:rsidP="00640737">
      <w:pPr>
        <w:rPr>
          <w:noProof/>
          <w:szCs w:val="24"/>
        </w:rPr>
      </w:pPr>
    </w:p>
    <w:p w14:paraId="07CBAF4F" w14:textId="6865C35B" w:rsidR="00640737" w:rsidRPr="00C47F2F" w:rsidRDefault="007A358A" w:rsidP="00E81109">
      <w:pPr>
        <w:pStyle w:val="ab"/>
        <w:rPr>
          <w:noProof/>
          <w:sz w:val="24"/>
          <w:szCs w:val="24"/>
        </w:rPr>
      </w:pPr>
      <w:bookmarkStart w:id="135" w:name="_Ref142309802"/>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Pr>
          <w:noProof/>
          <w:sz w:val="24"/>
          <w:szCs w:val="24"/>
        </w:rPr>
        <w:t>8</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Pr>
          <w:noProof/>
          <w:sz w:val="24"/>
          <w:szCs w:val="24"/>
        </w:rPr>
        <w:t>1</w:t>
      </w:r>
      <w:r w:rsidR="00EA3750" w:rsidRPr="00C47F2F">
        <w:rPr>
          <w:noProof/>
          <w:sz w:val="24"/>
          <w:szCs w:val="24"/>
        </w:rPr>
        <w:fldChar w:fldCharType="end"/>
      </w:r>
      <w:bookmarkEnd w:id="135"/>
      <w:r w:rsidRPr="00C47F2F">
        <w:rPr>
          <w:noProof/>
          <w:sz w:val="24"/>
          <w:szCs w:val="24"/>
        </w:rPr>
        <w:t>.</w:t>
      </w:r>
      <w:r w:rsidR="00482C73" w:rsidRPr="00C47F2F">
        <w:rPr>
          <w:noProof/>
          <w:sz w:val="24"/>
          <w:szCs w:val="24"/>
        </w:rPr>
        <w:t xml:space="preserve"> Non-generic parameter values for europium.</w:t>
      </w:r>
    </w:p>
    <w:tbl>
      <w:tblPr>
        <w:tblStyle w:val="a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1112"/>
        <w:gridCol w:w="1206"/>
        <w:gridCol w:w="1119"/>
        <w:gridCol w:w="1294"/>
        <w:gridCol w:w="1119"/>
        <w:gridCol w:w="1228"/>
      </w:tblGrid>
      <w:tr w:rsidR="00640737" w:rsidRPr="00972C81" w14:paraId="1F094B73" w14:textId="77777777" w:rsidTr="00D6697B">
        <w:trPr>
          <w:trHeight w:val="340"/>
          <w:jc w:val="center"/>
        </w:trPr>
        <w:tc>
          <w:tcPr>
            <w:tcW w:w="1079" w:type="pct"/>
            <w:tcBorders>
              <w:top w:val="single" w:sz="4" w:space="0" w:color="auto"/>
            </w:tcBorders>
          </w:tcPr>
          <w:p w14:paraId="0C64D922" w14:textId="77777777" w:rsidR="00640737" w:rsidRPr="00972C81" w:rsidRDefault="00640737" w:rsidP="00E81109">
            <w:pPr>
              <w:pStyle w:val="Table"/>
              <w:rPr>
                <w:noProof/>
              </w:rPr>
            </w:pPr>
          </w:p>
        </w:tc>
        <w:tc>
          <w:tcPr>
            <w:tcW w:w="616" w:type="pct"/>
            <w:tcBorders>
              <w:top w:val="single" w:sz="4" w:space="0" w:color="auto"/>
              <w:bottom w:val="single" w:sz="4" w:space="0" w:color="auto"/>
            </w:tcBorders>
            <w:vAlign w:val="center"/>
          </w:tcPr>
          <w:p w14:paraId="13EAB297" w14:textId="77777777" w:rsidR="00640737" w:rsidRPr="00972C81" w:rsidRDefault="00640737" w:rsidP="00BD665F">
            <w:pPr>
              <w:pStyle w:val="Table"/>
              <w:rPr>
                <w:noProof/>
              </w:rPr>
            </w:pPr>
            <w:r w:rsidRPr="00972C81">
              <w:rPr>
                <w:noProof/>
              </w:rPr>
              <w:t>100 d</w:t>
            </w:r>
          </w:p>
        </w:tc>
        <w:tc>
          <w:tcPr>
            <w:tcW w:w="668" w:type="pct"/>
            <w:tcBorders>
              <w:top w:val="single" w:sz="4" w:space="0" w:color="auto"/>
              <w:bottom w:val="single" w:sz="4" w:space="0" w:color="auto"/>
            </w:tcBorders>
            <w:vAlign w:val="center"/>
          </w:tcPr>
          <w:p w14:paraId="2DD1F80A" w14:textId="77777777" w:rsidR="00640737" w:rsidRPr="00972C81" w:rsidRDefault="00640737" w:rsidP="00BD665F">
            <w:pPr>
              <w:pStyle w:val="Table"/>
              <w:rPr>
                <w:noProof/>
              </w:rPr>
            </w:pPr>
            <w:r w:rsidRPr="00972C81">
              <w:rPr>
                <w:noProof/>
              </w:rPr>
              <w:t>1 y</w:t>
            </w:r>
          </w:p>
        </w:tc>
        <w:tc>
          <w:tcPr>
            <w:tcW w:w="620" w:type="pct"/>
            <w:tcBorders>
              <w:top w:val="single" w:sz="4" w:space="0" w:color="auto"/>
              <w:bottom w:val="single" w:sz="4" w:space="0" w:color="auto"/>
            </w:tcBorders>
            <w:vAlign w:val="center"/>
          </w:tcPr>
          <w:p w14:paraId="6B255F69" w14:textId="77777777" w:rsidR="00640737" w:rsidRPr="00972C81" w:rsidRDefault="00640737" w:rsidP="00BD665F">
            <w:pPr>
              <w:pStyle w:val="Table"/>
              <w:rPr>
                <w:noProof/>
              </w:rPr>
            </w:pPr>
            <w:r w:rsidRPr="00972C81">
              <w:rPr>
                <w:noProof/>
              </w:rPr>
              <w:t>5 y</w:t>
            </w:r>
          </w:p>
        </w:tc>
        <w:tc>
          <w:tcPr>
            <w:tcW w:w="717" w:type="pct"/>
            <w:tcBorders>
              <w:top w:val="single" w:sz="4" w:space="0" w:color="auto"/>
              <w:bottom w:val="single" w:sz="4" w:space="0" w:color="auto"/>
            </w:tcBorders>
            <w:vAlign w:val="center"/>
          </w:tcPr>
          <w:p w14:paraId="13CA3FCD" w14:textId="77777777" w:rsidR="00640737" w:rsidRPr="00972C81" w:rsidRDefault="00640737" w:rsidP="00BD665F">
            <w:pPr>
              <w:pStyle w:val="Table"/>
              <w:rPr>
                <w:noProof/>
              </w:rPr>
            </w:pPr>
            <w:r w:rsidRPr="00972C81">
              <w:rPr>
                <w:noProof/>
              </w:rPr>
              <w:t>10 y</w:t>
            </w:r>
          </w:p>
        </w:tc>
        <w:tc>
          <w:tcPr>
            <w:tcW w:w="620" w:type="pct"/>
            <w:tcBorders>
              <w:top w:val="single" w:sz="4" w:space="0" w:color="auto"/>
              <w:bottom w:val="single" w:sz="4" w:space="0" w:color="auto"/>
            </w:tcBorders>
            <w:vAlign w:val="center"/>
          </w:tcPr>
          <w:p w14:paraId="50FE4A4D" w14:textId="77777777" w:rsidR="00640737" w:rsidRPr="00972C81" w:rsidRDefault="00640737" w:rsidP="00BD665F">
            <w:pPr>
              <w:pStyle w:val="Table"/>
              <w:rPr>
                <w:noProof/>
              </w:rPr>
            </w:pPr>
            <w:r w:rsidRPr="00972C81">
              <w:rPr>
                <w:noProof/>
              </w:rPr>
              <w:t>15 y</w:t>
            </w:r>
          </w:p>
        </w:tc>
        <w:tc>
          <w:tcPr>
            <w:tcW w:w="681" w:type="pct"/>
            <w:tcBorders>
              <w:top w:val="single" w:sz="4" w:space="0" w:color="auto"/>
              <w:bottom w:val="single" w:sz="4" w:space="0" w:color="auto"/>
            </w:tcBorders>
            <w:vAlign w:val="center"/>
          </w:tcPr>
          <w:p w14:paraId="467559F8" w14:textId="77777777" w:rsidR="00640737" w:rsidRPr="00972C81" w:rsidRDefault="00640737" w:rsidP="00BD665F">
            <w:pPr>
              <w:pStyle w:val="Table"/>
              <w:rPr>
                <w:noProof/>
              </w:rPr>
            </w:pPr>
            <w:r w:rsidRPr="00972C81">
              <w:rPr>
                <w:noProof/>
              </w:rPr>
              <w:t>Adult</w:t>
            </w:r>
          </w:p>
        </w:tc>
      </w:tr>
      <w:tr w:rsidR="00640737" w:rsidRPr="00972C81" w14:paraId="6E2B4BC5" w14:textId="77777777" w:rsidTr="00D6697B">
        <w:trPr>
          <w:trHeight w:val="340"/>
          <w:jc w:val="center"/>
        </w:trPr>
        <w:tc>
          <w:tcPr>
            <w:tcW w:w="1079" w:type="pct"/>
            <w:tcBorders>
              <w:bottom w:val="single" w:sz="4" w:space="0" w:color="auto"/>
            </w:tcBorders>
          </w:tcPr>
          <w:p w14:paraId="42A031C6" w14:textId="77777777" w:rsidR="00640737" w:rsidRPr="00972C81" w:rsidRDefault="00640737" w:rsidP="00E81109">
            <w:pPr>
              <w:pStyle w:val="Table"/>
              <w:rPr>
                <w:noProof/>
              </w:rPr>
            </w:pPr>
          </w:p>
        </w:tc>
        <w:tc>
          <w:tcPr>
            <w:tcW w:w="3921" w:type="pct"/>
            <w:gridSpan w:val="6"/>
            <w:tcBorders>
              <w:top w:val="single" w:sz="4" w:space="0" w:color="auto"/>
              <w:bottom w:val="single" w:sz="4" w:space="0" w:color="auto"/>
            </w:tcBorders>
            <w:vAlign w:val="center"/>
          </w:tcPr>
          <w:p w14:paraId="16A25F36" w14:textId="77777777" w:rsidR="00640737" w:rsidRPr="00972C81" w:rsidRDefault="00640737" w:rsidP="00C47F2F">
            <w:pPr>
              <w:pStyle w:val="Table"/>
              <w:jc w:val="center"/>
              <w:rPr>
                <w:noProof/>
              </w:rPr>
            </w:pPr>
            <w:r w:rsidRPr="00972C81">
              <w:rPr>
                <w:noProof/>
              </w:rPr>
              <w:t>Deposition (% of activity leaving the circulation)</w:t>
            </w:r>
          </w:p>
        </w:tc>
      </w:tr>
      <w:tr w:rsidR="00640737" w:rsidRPr="00972C81" w14:paraId="57580DF0" w14:textId="77777777" w:rsidTr="00BD665F">
        <w:trPr>
          <w:trHeight w:val="340"/>
          <w:jc w:val="center"/>
        </w:trPr>
        <w:tc>
          <w:tcPr>
            <w:tcW w:w="1079" w:type="pct"/>
            <w:tcBorders>
              <w:top w:val="single" w:sz="4" w:space="0" w:color="auto"/>
            </w:tcBorders>
            <w:vAlign w:val="center"/>
          </w:tcPr>
          <w:p w14:paraId="0E06A467" w14:textId="77777777" w:rsidR="00640737" w:rsidRPr="00972C81" w:rsidRDefault="00640737" w:rsidP="00BD665F">
            <w:pPr>
              <w:pStyle w:val="Table"/>
              <w:rPr>
                <w:noProof/>
              </w:rPr>
            </w:pPr>
            <w:r w:rsidRPr="00972C81">
              <w:rPr>
                <w:noProof/>
              </w:rPr>
              <w:t>Liver</w:t>
            </w:r>
          </w:p>
        </w:tc>
        <w:tc>
          <w:tcPr>
            <w:tcW w:w="616" w:type="pct"/>
            <w:tcBorders>
              <w:top w:val="single" w:sz="4" w:space="0" w:color="auto"/>
            </w:tcBorders>
            <w:vAlign w:val="center"/>
          </w:tcPr>
          <w:p w14:paraId="2FDDC32F" w14:textId="77777777" w:rsidR="00640737" w:rsidRPr="00972C81" w:rsidRDefault="00640737" w:rsidP="00BD665F">
            <w:pPr>
              <w:pStyle w:val="Table"/>
              <w:rPr>
                <w:noProof/>
              </w:rPr>
            </w:pPr>
            <w:r w:rsidRPr="00972C81">
              <w:rPr>
                <w:noProof/>
              </w:rPr>
              <w:t>5</w:t>
            </w:r>
          </w:p>
        </w:tc>
        <w:tc>
          <w:tcPr>
            <w:tcW w:w="668" w:type="pct"/>
            <w:tcBorders>
              <w:top w:val="single" w:sz="4" w:space="0" w:color="auto"/>
            </w:tcBorders>
            <w:vAlign w:val="center"/>
          </w:tcPr>
          <w:p w14:paraId="6995ABA7" w14:textId="77777777" w:rsidR="00640737" w:rsidRPr="00972C81" w:rsidRDefault="00640737" w:rsidP="00BD665F">
            <w:pPr>
              <w:pStyle w:val="Table"/>
              <w:rPr>
                <w:noProof/>
              </w:rPr>
            </w:pPr>
            <w:r w:rsidRPr="00972C81">
              <w:rPr>
                <w:noProof/>
              </w:rPr>
              <w:t>5</w:t>
            </w:r>
          </w:p>
        </w:tc>
        <w:tc>
          <w:tcPr>
            <w:tcW w:w="620" w:type="pct"/>
            <w:tcBorders>
              <w:top w:val="single" w:sz="4" w:space="0" w:color="auto"/>
            </w:tcBorders>
            <w:vAlign w:val="center"/>
          </w:tcPr>
          <w:p w14:paraId="2DE70DBF" w14:textId="77777777" w:rsidR="00640737" w:rsidRPr="00972C81" w:rsidRDefault="00640737" w:rsidP="00BD665F">
            <w:pPr>
              <w:pStyle w:val="Table"/>
              <w:rPr>
                <w:noProof/>
              </w:rPr>
            </w:pPr>
            <w:r w:rsidRPr="00972C81">
              <w:rPr>
                <w:noProof/>
              </w:rPr>
              <w:t>15</w:t>
            </w:r>
          </w:p>
        </w:tc>
        <w:tc>
          <w:tcPr>
            <w:tcW w:w="717" w:type="pct"/>
            <w:tcBorders>
              <w:top w:val="single" w:sz="4" w:space="0" w:color="auto"/>
            </w:tcBorders>
            <w:vAlign w:val="center"/>
          </w:tcPr>
          <w:p w14:paraId="14071754" w14:textId="77777777" w:rsidR="00640737" w:rsidRPr="00972C81" w:rsidRDefault="00640737" w:rsidP="00BD665F">
            <w:pPr>
              <w:pStyle w:val="Table"/>
              <w:rPr>
                <w:noProof/>
              </w:rPr>
            </w:pPr>
            <w:r w:rsidRPr="00972C81">
              <w:rPr>
                <w:noProof/>
              </w:rPr>
              <w:t>15</w:t>
            </w:r>
          </w:p>
        </w:tc>
        <w:tc>
          <w:tcPr>
            <w:tcW w:w="620" w:type="pct"/>
            <w:tcBorders>
              <w:top w:val="single" w:sz="4" w:space="0" w:color="auto"/>
            </w:tcBorders>
            <w:vAlign w:val="center"/>
          </w:tcPr>
          <w:p w14:paraId="6F16BB2B" w14:textId="77777777" w:rsidR="00640737" w:rsidRPr="00972C81" w:rsidRDefault="00640737" w:rsidP="00BD665F">
            <w:pPr>
              <w:pStyle w:val="Table"/>
              <w:rPr>
                <w:noProof/>
              </w:rPr>
            </w:pPr>
            <w:r w:rsidRPr="00972C81">
              <w:rPr>
                <w:noProof/>
              </w:rPr>
              <w:t>15</w:t>
            </w:r>
          </w:p>
        </w:tc>
        <w:tc>
          <w:tcPr>
            <w:tcW w:w="681" w:type="pct"/>
            <w:tcBorders>
              <w:top w:val="single" w:sz="4" w:space="0" w:color="auto"/>
            </w:tcBorders>
            <w:vAlign w:val="center"/>
          </w:tcPr>
          <w:p w14:paraId="56174FAA" w14:textId="77777777" w:rsidR="00640737" w:rsidRPr="00972C81" w:rsidRDefault="00640737" w:rsidP="00BD665F">
            <w:pPr>
              <w:pStyle w:val="Table"/>
              <w:rPr>
                <w:noProof/>
              </w:rPr>
            </w:pPr>
            <w:r w:rsidRPr="00972C81">
              <w:rPr>
                <w:noProof/>
              </w:rPr>
              <w:t>25</w:t>
            </w:r>
          </w:p>
        </w:tc>
      </w:tr>
      <w:tr w:rsidR="00640737" w:rsidRPr="00972C81" w14:paraId="47BBDAB4" w14:textId="77777777" w:rsidTr="00BD665F">
        <w:trPr>
          <w:trHeight w:val="340"/>
          <w:jc w:val="center"/>
        </w:trPr>
        <w:tc>
          <w:tcPr>
            <w:tcW w:w="1079" w:type="pct"/>
            <w:vAlign w:val="center"/>
          </w:tcPr>
          <w:p w14:paraId="681BA094" w14:textId="77777777" w:rsidR="00640737" w:rsidRPr="00972C81" w:rsidRDefault="00640737" w:rsidP="00BD665F">
            <w:pPr>
              <w:pStyle w:val="Table"/>
              <w:rPr>
                <w:noProof/>
              </w:rPr>
            </w:pPr>
            <w:r w:rsidRPr="00972C81">
              <w:rPr>
                <w:noProof/>
              </w:rPr>
              <w:t>Bone</w:t>
            </w:r>
          </w:p>
        </w:tc>
        <w:tc>
          <w:tcPr>
            <w:tcW w:w="616" w:type="pct"/>
            <w:vAlign w:val="center"/>
          </w:tcPr>
          <w:p w14:paraId="06EC394B" w14:textId="77777777" w:rsidR="00640737" w:rsidRPr="00972C81" w:rsidRDefault="00640737" w:rsidP="00BD665F">
            <w:pPr>
              <w:pStyle w:val="Table"/>
              <w:rPr>
                <w:noProof/>
              </w:rPr>
            </w:pPr>
            <w:r w:rsidRPr="00972C81">
              <w:rPr>
                <w:noProof/>
              </w:rPr>
              <w:t>70</w:t>
            </w:r>
          </w:p>
        </w:tc>
        <w:tc>
          <w:tcPr>
            <w:tcW w:w="668" w:type="pct"/>
            <w:vAlign w:val="center"/>
          </w:tcPr>
          <w:p w14:paraId="2F5E9876" w14:textId="77777777" w:rsidR="00640737" w:rsidRPr="00972C81" w:rsidRDefault="00640737" w:rsidP="00BD665F">
            <w:pPr>
              <w:pStyle w:val="Table"/>
              <w:rPr>
                <w:noProof/>
              </w:rPr>
            </w:pPr>
            <w:r w:rsidRPr="00972C81">
              <w:rPr>
                <w:noProof/>
              </w:rPr>
              <w:t>70</w:t>
            </w:r>
          </w:p>
        </w:tc>
        <w:tc>
          <w:tcPr>
            <w:tcW w:w="620" w:type="pct"/>
            <w:vAlign w:val="center"/>
          </w:tcPr>
          <w:p w14:paraId="5B0BB2C5" w14:textId="77777777" w:rsidR="00640737" w:rsidRPr="00972C81" w:rsidRDefault="00640737" w:rsidP="00BD665F">
            <w:pPr>
              <w:pStyle w:val="Table"/>
              <w:rPr>
                <w:noProof/>
              </w:rPr>
            </w:pPr>
            <w:r w:rsidRPr="00972C81">
              <w:rPr>
                <w:noProof/>
              </w:rPr>
              <w:t>50</w:t>
            </w:r>
          </w:p>
        </w:tc>
        <w:tc>
          <w:tcPr>
            <w:tcW w:w="717" w:type="pct"/>
            <w:vAlign w:val="center"/>
          </w:tcPr>
          <w:p w14:paraId="6AD6097A" w14:textId="77777777" w:rsidR="00640737" w:rsidRPr="00972C81" w:rsidRDefault="00640737" w:rsidP="00BD665F">
            <w:pPr>
              <w:pStyle w:val="Table"/>
              <w:rPr>
                <w:noProof/>
              </w:rPr>
            </w:pPr>
            <w:r w:rsidRPr="00972C81">
              <w:rPr>
                <w:noProof/>
              </w:rPr>
              <w:t>50</w:t>
            </w:r>
          </w:p>
        </w:tc>
        <w:tc>
          <w:tcPr>
            <w:tcW w:w="620" w:type="pct"/>
            <w:vAlign w:val="center"/>
          </w:tcPr>
          <w:p w14:paraId="30368C53" w14:textId="77777777" w:rsidR="00640737" w:rsidRPr="00972C81" w:rsidRDefault="00640737" w:rsidP="00BD665F">
            <w:pPr>
              <w:pStyle w:val="Table"/>
              <w:rPr>
                <w:noProof/>
              </w:rPr>
            </w:pPr>
            <w:r w:rsidRPr="00972C81">
              <w:rPr>
                <w:noProof/>
              </w:rPr>
              <w:t>50</w:t>
            </w:r>
          </w:p>
        </w:tc>
        <w:tc>
          <w:tcPr>
            <w:tcW w:w="681" w:type="pct"/>
            <w:vAlign w:val="center"/>
          </w:tcPr>
          <w:p w14:paraId="37B2217F" w14:textId="77777777" w:rsidR="00640737" w:rsidRPr="00972C81" w:rsidRDefault="00640737" w:rsidP="00BD665F">
            <w:pPr>
              <w:pStyle w:val="Table"/>
              <w:rPr>
                <w:noProof/>
              </w:rPr>
            </w:pPr>
            <w:r w:rsidRPr="00972C81">
              <w:rPr>
                <w:noProof/>
              </w:rPr>
              <w:t>35</w:t>
            </w:r>
          </w:p>
        </w:tc>
      </w:tr>
      <w:tr w:rsidR="00640737" w:rsidRPr="00972C81" w14:paraId="6D8FC53F" w14:textId="77777777" w:rsidTr="00BD665F">
        <w:trPr>
          <w:trHeight w:val="340"/>
          <w:jc w:val="center"/>
        </w:trPr>
        <w:tc>
          <w:tcPr>
            <w:tcW w:w="1079" w:type="pct"/>
            <w:vAlign w:val="center"/>
          </w:tcPr>
          <w:p w14:paraId="0CC215DE" w14:textId="77777777" w:rsidR="00640737" w:rsidRPr="00972C81" w:rsidRDefault="00640737" w:rsidP="00BD665F">
            <w:pPr>
              <w:pStyle w:val="Table"/>
              <w:rPr>
                <w:noProof/>
              </w:rPr>
            </w:pPr>
            <w:r w:rsidRPr="00972C81">
              <w:rPr>
                <w:noProof/>
              </w:rPr>
              <w:t>ST1</w:t>
            </w:r>
          </w:p>
        </w:tc>
        <w:tc>
          <w:tcPr>
            <w:tcW w:w="616" w:type="pct"/>
            <w:vAlign w:val="center"/>
          </w:tcPr>
          <w:p w14:paraId="0CCD9D66" w14:textId="77777777" w:rsidR="00640737" w:rsidRPr="00972C81" w:rsidRDefault="00640737" w:rsidP="00BD665F">
            <w:pPr>
              <w:pStyle w:val="Table"/>
              <w:rPr>
                <w:noProof/>
              </w:rPr>
            </w:pPr>
            <w:r w:rsidRPr="00972C81">
              <w:rPr>
                <w:noProof/>
              </w:rPr>
              <w:t>10</w:t>
            </w:r>
          </w:p>
        </w:tc>
        <w:tc>
          <w:tcPr>
            <w:tcW w:w="668" w:type="pct"/>
            <w:vAlign w:val="center"/>
          </w:tcPr>
          <w:p w14:paraId="471C0AED" w14:textId="77777777" w:rsidR="00640737" w:rsidRPr="00972C81" w:rsidRDefault="00640737" w:rsidP="00BD665F">
            <w:pPr>
              <w:pStyle w:val="Table"/>
              <w:rPr>
                <w:noProof/>
              </w:rPr>
            </w:pPr>
            <w:r w:rsidRPr="00972C81">
              <w:rPr>
                <w:noProof/>
              </w:rPr>
              <w:t>10</w:t>
            </w:r>
          </w:p>
        </w:tc>
        <w:tc>
          <w:tcPr>
            <w:tcW w:w="620" w:type="pct"/>
            <w:vAlign w:val="center"/>
          </w:tcPr>
          <w:p w14:paraId="19DBFAC5" w14:textId="77777777" w:rsidR="00640737" w:rsidRPr="00972C81" w:rsidRDefault="00640737" w:rsidP="00BD665F">
            <w:pPr>
              <w:pStyle w:val="Table"/>
              <w:rPr>
                <w:noProof/>
              </w:rPr>
            </w:pPr>
            <w:r w:rsidRPr="00972C81">
              <w:rPr>
                <w:noProof/>
              </w:rPr>
              <w:t>15</w:t>
            </w:r>
          </w:p>
        </w:tc>
        <w:tc>
          <w:tcPr>
            <w:tcW w:w="717" w:type="pct"/>
            <w:vAlign w:val="center"/>
          </w:tcPr>
          <w:p w14:paraId="273014C9" w14:textId="77777777" w:rsidR="00640737" w:rsidRPr="00972C81" w:rsidRDefault="00640737" w:rsidP="00BD665F">
            <w:pPr>
              <w:pStyle w:val="Table"/>
              <w:rPr>
                <w:noProof/>
              </w:rPr>
            </w:pPr>
            <w:r w:rsidRPr="00972C81">
              <w:rPr>
                <w:noProof/>
              </w:rPr>
              <w:t>15</w:t>
            </w:r>
          </w:p>
        </w:tc>
        <w:tc>
          <w:tcPr>
            <w:tcW w:w="620" w:type="pct"/>
            <w:vAlign w:val="center"/>
          </w:tcPr>
          <w:p w14:paraId="7A9A25DA" w14:textId="77777777" w:rsidR="00640737" w:rsidRPr="00972C81" w:rsidRDefault="00640737" w:rsidP="00BD665F">
            <w:pPr>
              <w:pStyle w:val="Table"/>
              <w:rPr>
                <w:noProof/>
              </w:rPr>
            </w:pPr>
            <w:r w:rsidRPr="00972C81">
              <w:rPr>
                <w:noProof/>
              </w:rPr>
              <w:t>15</w:t>
            </w:r>
          </w:p>
        </w:tc>
        <w:tc>
          <w:tcPr>
            <w:tcW w:w="681" w:type="pct"/>
            <w:vAlign w:val="center"/>
          </w:tcPr>
          <w:p w14:paraId="06AB1D4D" w14:textId="77777777" w:rsidR="00640737" w:rsidRPr="00972C81" w:rsidRDefault="00640737" w:rsidP="00BD665F">
            <w:pPr>
              <w:pStyle w:val="Table"/>
              <w:rPr>
                <w:noProof/>
              </w:rPr>
            </w:pPr>
            <w:r w:rsidRPr="00972C81">
              <w:rPr>
                <w:noProof/>
              </w:rPr>
              <w:t>14.95</w:t>
            </w:r>
          </w:p>
        </w:tc>
      </w:tr>
      <w:tr w:rsidR="00640737" w:rsidRPr="00972C81" w14:paraId="0A171DDC" w14:textId="77777777" w:rsidTr="00BD665F">
        <w:trPr>
          <w:trHeight w:val="340"/>
          <w:jc w:val="center"/>
        </w:trPr>
        <w:tc>
          <w:tcPr>
            <w:tcW w:w="1079" w:type="pct"/>
            <w:vAlign w:val="center"/>
          </w:tcPr>
          <w:p w14:paraId="3F8EFD85" w14:textId="77777777" w:rsidR="00640737" w:rsidRPr="00972C81" w:rsidRDefault="00640737" w:rsidP="00BD665F">
            <w:pPr>
              <w:pStyle w:val="Table"/>
              <w:rPr>
                <w:noProof/>
              </w:rPr>
            </w:pPr>
            <w:r w:rsidRPr="00972C81">
              <w:rPr>
                <w:noProof/>
              </w:rPr>
              <w:t>UB content</w:t>
            </w:r>
          </w:p>
        </w:tc>
        <w:tc>
          <w:tcPr>
            <w:tcW w:w="616" w:type="pct"/>
            <w:vAlign w:val="center"/>
          </w:tcPr>
          <w:p w14:paraId="6BA0A5EA" w14:textId="77777777" w:rsidR="00640737" w:rsidRPr="00972C81" w:rsidRDefault="00640737" w:rsidP="00BD665F">
            <w:pPr>
              <w:pStyle w:val="Table"/>
              <w:rPr>
                <w:noProof/>
              </w:rPr>
            </w:pPr>
            <w:r w:rsidRPr="00972C81">
              <w:rPr>
                <w:noProof/>
              </w:rPr>
              <w:t>10</w:t>
            </w:r>
          </w:p>
        </w:tc>
        <w:tc>
          <w:tcPr>
            <w:tcW w:w="668" w:type="pct"/>
            <w:vAlign w:val="center"/>
          </w:tcPr>
          <w:p w14:paraId="0D09F09B" w14:textId="77777777" w:rsidR="00640737" w:rsidRPr="00972C81" w:rsidRDefault="00640737" w:rsidP="00BD665F">
            <w:pPr>
              <w:pStyle w:val="Table"/>
              <w:rPr>
                <w:noProof/>
              </w:rPr>
            </w:pPr>
            <w:r w:rsidRPr="00972C81">
              <w:rPr>
                <w:noProof/>
              </w:rPr>
              <w:t>10</w:t>
            </w:r>
          </w:p>
        </w:tc>
        <w:tc>
          <w:tcPr>
            <w:tcW w:w="620" w:type="pct"/>
            <w:vAlign w:val="center"/>
          </w:tcPr>
          <w:p w14:paraId="516021AE" w14:textId="77777777" w:rsidR="00640737" w:rsidRPr="00972C81" w:rsidRDefault="00640737" w:rsidP="00BD665F">
            <w:pPr>
              <w:pStyle w:val="Table"/>
              <w:rPr>
                <w:noProof/>
              </w:rPr>
            </w:pPr>
            <w:r w:rsidRPr="00972C81">
              <w:rPr>
                <w:noProof/>
              </w:rPr>
              <w:t>15</w:t>
            </w:r>
          </w:p>
        </w:tc>
        <w:tc>
          <w:tcPr>
            <w:tcW w:w="717" w:type="pct"/>
            <w:vAlign w:val="center"/>
          </w:tcPr>
          <w:p w14:paraId="6FF8F2F7" w14:textId="77777777" w:rsidR="00640737" w:rsidRPr="00972C81" w:rsidRDefault="00640737" w:rsidP="00BD665F">
            <w:pPr>
              <w:pStyle w:val="Table"/>
              <w:rPr>
                <w:noProof/>
              </w:rPr>
            </w:pPr>
            <w:r w:rsidRPr="00972C81">
              <w:rPr>
                <w:noProof/>
              </w:rPr>
              <w:t>15</w:t>
            </w:r>
          </w:p>
        </w:tc>
        <w:tc>
          <w:tcPr>
            <w:tcW w:w="620" w:type="pct"/>
            <w:vAlign w:val="center"/>
          </w:tcPr>
          <w:p w14:paraId="3C8DD701" w14:textId="77777777" w:rsidR="00640737" w:rsidRPr="00972C81" w:rsidRDefault="00640737" w:rsidP="00BD665F">
            <w:pPr>
              <w:pStyle w:val="Table"/>
              <w:rPr>
                <w:noProof/>
              </w:rPr>
            </w:pPr>
            <w:r w:rsidRPr="00972C81">
              <w:rPr>
                <w:noProof/>
              </w:rPr>
              <w:t>15</w:t>
            </w:r>
          </w:p>
        </w:tc>
        <w:tc>
          <w:tcPr>
            <w:tcW w:w="681" w:type="pct"/>
            <w:vAlign w:val="center"/>
          </w:tcPr>
          <w:p w14:paraId="287E2325" w14:textId="77777777" w:rsidR="00640737" w:rsidRPr="00972C81" w:rsidRDefault="00640737" w:rsidP="00BD665F">
            <w:pPr>
              <w:pStyle w:val="Table"/>
              <w:rPr>
                <w:noProof/>
              </w:rPr>
            </w:pPr>
            <w:r w:rsidRPr="00972C81">
              <w:rPr>
                <w:noProof/>
              </w:rPr>
              <w:t>20</w:t>
            </w:r>
          </w:p>
        </w:tc>
      </w:tr>
      <w:tr w:rsidR="00640737" w:rsidRPr="00972C81" w14:paraId="53172776" w14:textId="77777777" w:rsidTr="00BD665F">
        <w:trPr>
          <w:trHeight w:val="340"/>
          <w:jc w:val="center"/>
        </w:trPr>
        <w:tc>
          <w:tcPr>
            <w:tcW w:w="1079" w:type="pct"/>
            <w:tcBorders>
              <w:bottom w:val="single" w:sz="4" w:space="0" w:color="auto"/>
            </w:tcBorders>
            <w:vAlign w:val="center"/>
          </w:tcPr>
          <w:p w14:paraId="33E1251D" w14:textId="77777777" w:rsidR="00640737" w:rsidRPr="00972C81" w:rsidRDefault="00640737" w:rsidP="00BD665F">
            <w:pPr>
              <w:pStyle w:val="Table"/>
              <w:rPr>
                <w:noProof/>
              </w:rPr>
            </w:pPr>
            <w:r w:rsidRPr="00972C81">
              <w:rPr>
                <w:noProof/>
              </w:rPr>
              <w:t>RC content</w:t>
            </w:r>
          </w:p>
        </w:tc>
        <w:tc>
          <w:tcPr>
            <w:tcW w:w="616" w:type="pct"/>
            <w:tcBorders>
              <w:bottom w:val="single" w:sz="4" w:space="0" w:color="auto"/>
            </w:tcBorders>
            <w:vAlign w:val="center"/>
          </w:tcPr>
          <w:p w14:paraId="5F59991B" w14:textId="77777777" w:rsidR="00640737" w:rsidRPr="00972C81" w:rsidRDefault="00640737" w:rsidP="00BD665F">
            <w:pPr>
              <w:pStyle w:val="Table"/>
              <w:rPr>
                <w:noProof/>
              </w:rPr>
            </w:pPr>
            <w:r w:rsidRPr="00972C81">
              <w:rPr>
                <w:noProof/>
              </w:rPr>
              <w:t>1</w:t>
            </w:r>
          </w:p>
        </w:tc>
        <w:tc>
          <w:tcPr>
            <w:tcW w:w="668" w:type="pct"/>
            <w:tcBorders>
              <w:bottom w:val="single" w:sz="4" w:space="0" w:color="auto"/>
            </w:tcBorders>
            <w:vAlign w:val="center"/>
          </w:tcPr>
          <w:p w14:paraId="0B539D45" w14:textId="77777777" w:rsidR="00640737" w:rsidRPr="00972C81" w:rsidRDefault="00640737" w:rsidP="00BD665F">
            <w:pPr>
              <w:pStyle w:val="Table"/>
              <w:rPr>
                <w:noProof/>
              </w:rPr>
            </w:pPr>
            <w:r w:rsidRPr="00972C81">
              <w:rPr>
                <w:noProof/>
              </w:rPr>
              <w:t>1</w:t>
            </w:r>
          </w:p>
        </w:tc>
        <w:tc>
          <w:tcPr>
            <w:tcW w:w="620" w:type="pct"/>
            <w:tcBorders>
              <w:bottom w:val="single" w:sz="4" w:space="0" w:color="auto"/>
            </w:tcBorders>
            <w:vAlign w:val="center"/>
          </w:tcPr>
          <w:p w14:paraId="21C5083B" w14:textId="77777777" w:rsidR="00640737" w:rsidRPr="00972C81" w:rsidRDefault="00640737" w:rsidP="00BD665F">
            <w:pPr>
              <w:pStyle w:val="Table"/>
              <w:rPr>
                <w:noProof/>
              </w:rPr>
            </w:pPr>
            <w:r w:rsidRPr="00972C81">
              <w:rPr>
                <w:noProof/>
              </w:rPr>
              <w:t>1</w:t>
            </w:r>
          </w:p>
        </w:tc>
        <w:tc>
          <w:tcPr>
            <w:tcW w:w="717" w:type="pct"/>
            <w:tcBorders>
              <w:bottom w:val="single" w:sz="4" w:space="0" w:color="auto"/>
            </w:tcBorders>
            <w:vAlign w:val="center"/>
          </w:tcPr>
          <w:p w14:paraId="1ED980B3" w14:textId="77777777" w:rsidR="00640737" w:rsidRPr="00972C81" w:rsidRDefault="00640737" w:rsidP="00BD665F">
            <w:pPr>
              <w:pStyle w:val="Table"/>
              <w:rPr>
                <w:noProof/>
              </w:rPr>
            </w:pPr>
            <w:r w:rsidRPr="00972C81">
              <w:rPr>
                <w:noProof/>
              </w:rPr>
              <w:t>1</w:t>
            </w:r>
          </w:p>
        </w:tc>
        <w:tc>
          <w:tcPr>
            <w:tcW w:w="620" w:type="pct"/>
            <w:tcBorders>
              <w:bottom w:val="single" w:sz="4" w:space="0" w:color="auto"/>
            </w:tcBorders>
            <w:vAlign w:val="center"/>
          </w:tcPr>
          <w:p w14:paraId="192B0E86" w14:textId="77777777" w:rsidR="00640737" w:rsidRPr="00972C81" w:rsidRDefault="00640737" w:rsidP="00BD665F">
            <w:pPr>
              <w:pStyle w:val="Table"/>
              <w:rPr>
                <w:noProof/>
              </w:rPr>
            </w:pPr>
            <w:r w:rsidRPr="00972C81">
              <w:rPr>
                <w:noProof/>
              </w:rPr>
              <w:t>1</w:t>
            </w:r>
          </w:p>
        </w:tc>
        <w:tc>
          <w:tcPr>
            <w:tcW w:w="681" w:type="pct"/>
            <w:tcBorders>
              <w:bottom w:val="single" w:sz="4" w:space="0" w:color="auto"/>
            </w:tcBorders>
            <w:vAlign w:val="center"/>
          </w:tcPr>
          <w:p w14:paraId="23D8E6B3" w14:textId="77777777" w:rsidR="00640737" w:rsidRPr="00972C81" w:rsidRDefault="00640737" w:rsidP="00BD665F">
            <w:pPr>
              <w:pStyle w:val="Table"/>
              <w:rPr>
                <w:noProof/>
              </w:rPr>
            </w:pPr>
            <w:r w:rsidRPr="00972C81">
              <w:rPr>
                <w:noProof/>
              </w:rPr>
              <w:t>1</w:t>
            </w:r>
          </w:p>
        </w:tc>
      </w:tr>
      <w:tr w:rsidR="00640737" w:rsidRPr="00972C81" w14:paraId="7C839C67" w14:textId="77777777" w:rsidTr="00BD665F">
        <w:trPr>
          <w:trHeight w:val="340"/>
          <w:jc w:val="center"/>
        </w:trPr>
        <w:tc>
          <w:tcPr>
            <w:tcW w:w="1079" w:type="pct"/>
            <w:tcBorders>
              <w:top w:val="single" w:sz="4" w:space="0" w:color="auto"/>
            </w:tcBorders>
          </w:tcPr>
          <w:p w14:paraId="3A51A9D1" w14:textId="77777777" w:rsidR="00640737" w:rsidRPr="00972C81" w:rsidRDefault="00640737" w:rsidP="00E81109">
            <w:pPr>
              <w:pStyle w:val="Table"/>
              <w:rPr>
                <w:noProof/>
              </w:rPr>
            </w:pPr>
          </w:p>
        </w:tc>
        <w:tc>
          <w:tcPr>
            <w:tcW w:w="616" w:type="pct"/>
            <w:tcBorders>
              <w:top w:val="single" w:sz="4" w:space="0" w:color="auto"/>
            </w:tcBorders>
          </w:tcPr>
          <w:p w14:paraId="69EC897F" w14:textId="77777777" w:rsidR="00640737" w:rsidRPr="00972C81" w:rsidRDefault="00640737" w:rsidP="00E81109">
            <w:pPr>
              <w:pStyle w:val="Table"/>
              <w:rPr>
                <w:noProof/>
              </w:rPr>
            </w:pPr>
          </w:p>
        </w:tc>
        <w:tc>
          <w:tcPr>
            <w:tcW w:w="668" w:type="pct"/>
            <w:tcBorders>
              <w:top w:val="single" w:sz="4" w:space="0" w:color="auto"/>
            </w:tcBorders>
          </w:tcPr>
          <w:p w14:paraId="3263AD6C" w14:textId="77777777" w:rsidR="00640737" w:rsidRPr="00972C81" w:rsidRDefault="00640737" w:rsidP="00E81109">
            <w:pPr>
              <w:pStyle w:val="Table"/>
              <w:rPr>
                <w:noProof/>
              </w:rPr>
            </w:pPr>
          </w:p>
        </w:tc>
        <w:tc>
          <w:tcPr>
            <w:tcW w:w="620" w:type="pct"/>
            <w:tcBorders>
              <w:top w:val="single" w:sz="4" w:space="0" w:color="auto"/>
            </w:tcBorders>
          </w:tcPr>
          <w:p w14:paraId="3500CB5F" w14:textId="77777777" w:rsidR="00640737" w:rsidRPr="00972C81" w:rsidRDefault="00640737" w:rsidP="00E81109">
            <w:pPr>
              <w:pStyle w:val="Table"/>
              <w:rPr>
                <w:noProof/>
              </w:rPr>
            </w:pPr>
          </w:p>
        </w:tc>
        <w:tc>
          <w:tcPr>
            <w:tcW w:w="717" w:type="pct"/>
            <w:tcBorders>
              <w:top w:val="single" w:sz="4" w:space="0" w:color="auto"/>
            </w:tcBorders>
          </w:tcPr>
          <w:p w14:paraId="7A86CBC2" w14:textId="77777777" w:rsidR="00640737" w:rsidRPr="00972C81" w:rsidRDefault="00640737" w:rsidP="00E81109">
            <w:pPr>
              <w:pStyle w:val="Table"/>
              <w:rPr>
                <w:noProof/>
              </w:rPr>
            </w:pPr>
          </w:p>
        </w:tc>
        <w:tc>
          <w:tcPr>
            <w:tcW w:w="620" w:type="pct"/>
            <w:tcBorders>
              <w:top w:val="single" w:sz="4" w:space="0" w:color="auto"/>
            </w:tcBorders>
          </w:tcPr>
          <w:p w14:paraId="2043BFEC" w14:textId="77777777" w:rsidR="00640737" w:rsidRPr="00972C81" w:rsidRDefault="00640737" w:rsidP="00E81109">
            <w:pPr>
              <w:pStyle w:val="Table"/>
              <w:rPr>
                <w:noProof/>
              </w:rPr>
            </w:pPr>
          </w:p>
        </w:tc>
        <w:tc>
          <w:tcPr>
            <w:tcW w:w="681" w:type="pct"/>
            <w:tcBorders>
              <w:top w:val="single" w:sz="4" w:space="0" w:color="auto"/>
            </w:tcBorders>
          </w:tcPr>
          <w:p w14:paraId="62269088" w14:textId="77777777" w:rsidR="00640737" w:rsidRPr="00972C81" w:rsidRDefault="00640737" w:rsidP="00E81109">
            <w:pPr>
              <w:pStyle w:val="Table"/>
              <w:rPr>
                <w:noProof/>
              </w:rPr>
            </w:pPr>
          </w:p>
        </w:tc>
      </w:tr>
      <w:tr w:rsidR="00640737" w:rsidRPr="00972C81" w14:paraId="35BBCA23" w14:textId="77777777" w:rsidTr="00BD665F">
        <w:trPr>
          <w:trHeight w:val="340"/>
          <w:jc w:val="center"/>
        </w:trPr>
        <w:tc>
          <w:tcPr>
            <w:tcW w:w="1079" w:type="pct"/>
            <w:tcBorders>
              <w:bottom w:val="single" w:sz="4" w:space="0" w:color="auto"/>
            </w:tcBorders>
          </w:tcPr>
          <w:p w14:paraId="601403F1" w14:textId="77777777" w:rsidR="00640737" w:rsidRPr="00972C81" w:rsidRDefault="00640737" w:rsidP="00E81109">
            <w:pPr>
              <w:pStyle w:val="Table"/>
              <w:rPr>
                <w:noProof/>
              </w:rPr>
            </w:pPr>
          </w:p>
        </w:tc>
        <w:tc>
          <w:tcPr>
            <w:tcW w:w="3921" w:type="pct"/>
            <w:gridSpan w:val="6"/>
            <w:tcBorders>
              <w:bottom w:val="single" w:sz="4" w:space="0" w:color="auto"/>
            </w:tcBorders>
          </w:tcPr>
          <w:p w14:paraId="7AE81D5F" w14:textId="77777777" w:rsidR="00640737" w:rsidRPr="00972C81" w:rsidRDefault="00640737" w:rsidP="00C47F2F">
            <w:pPr>
              <w:pStyle w:val="Table"/>
              <w:jc w:val="center"/>
              <w:rPr>
                <w:noProof/>
              </w:rPr>
            </w:pPr>
            <w:r w:rsidRPr="00972C81">
              <w:rPr>
                <w:noProof/>
              </w:rPr>
              <w:t>Removal half-time</w:t>
            </w:r>
          </w:p>
        </w:tc>
      </w:tr>
      <w:tr w:rsidR="00640737" w:rsidRPr="00972C81" w14:paraId="239E016F" w14:textId="77777777" w:rsidTr="00BD665F">
        <w:trPr>
          <w:trHeight w:val="340"/>
          <w:jc w:val="center"/>
        </w:trPr>
        <w:tc>
          <w:tcPr>
            <w:tcW w:w="1079" w:type="pct"/>
            <w:tcBorders>
              <w:top w:val="single" w:sz="4" w:space="0" w:color="auto"/>
            </w:tcBorders>
            <w:vAlign w:val="center"/>
          </w:tcPr>
          <w:p w14:paraId="00466787" w14:textId="77777777" w:rsidR="00640737" w:rsidRPr="00972C81" w:rsidRDefault="00640737" w:rsidP="00BD665F">
            <w:pPr>
              <w:pStyle w:val="Table"/>
              <w:rPr>
                <w:noProof/>
              </w:rPr>
            </w:pPr>
            <w:r w:rsidRPr="00972C81">
              <w:rPr>
                <w:noProof/>
              </w:rPr>
              <w:t>ST1 to Blood</w:t>
            </w:r>
          </w:p>
        </w:tc>
        <w:tc>
          <w:tcPr>
            <w:tcW w:w="616" w:type="pct"/>
            <w:tcBorders>
              <w:top w:val="single" w:sz="4" w:space="0" w:color="auto"/>
            </w:tcBorders>
            <w:vAlign w:val="center"/>
          </w:tcPr>
          <w:p w14:paraId="27FE4C1C" w14:textId="77777777" w:rsidR="00640737" w:rsidRPr="00972C81" w:rsidRDefault="00640737" w:rsidP="00BD665F">
            <w:pPr>
              <w:pStyle w:val="Table"/>
              <w:rPr>
                <w:noProof/>
              </w:rPr>
            </w:pPr>
            <w:r w:rsidRPr="00972C81">
              <w:rPr>
                <w:noProof/>
              </w:rPr>
              <w:t>100 d</w:t>
            </w:r>
          </w:p>
        </w:tc>
        <w:tc>
          <w:tcPr>
            <w:tcW w:w="668" w:type="pct"/>
            <w:tcBorders>
              <w:top w:val="single" w:sz="4" w:space="0" w:color="auto"/>
            </w:tcBorders>
            <w:vAlign w:val="center"/>
          </w:tcPr>
          <w:p w14:paraId="61BA8C23" w14:textId="77777777" w:rsidR="00640737" w:rsidRPr="00972C81" w:rsidRDefault="00640737" w:rsidP="00BD665F">
            <w:pPr>
              <w:pStyle w:val="Table"/>
              <w:rPr>
                <w:noProof/>
              </w:rPr>
            </w:pPr>
            <w:r w:rsidRPr="00972C81">
              <w:rPr>
                <w:noProof/>
              </w:rPr>
              <w:t>100 d</w:t>
            </w:r>
          </w:p>
        </w:tc>
        <w:tc>
          <w:tcPr>
            <w:tcW w:w="620" w:type="pct"/>
            <w:tcBorders>
              <w:top w:val="single" w:sz="4" w:space="0" w:color="auto"/>
            </w:tcBorders>
            <w:vAlign w:val="center"/>
          </w:tcPr>
          <w:p w14:paraId="4C9F0B42" w14:textId="77777777" w:rsidR="00640737" w:rsidRPr="00972C81" w:rsidRDefault="00640737" w:rsidP="00BD665F">
            <w:pPr>
              <w:pStyle w:val="Table"/>
              <w:rPr>
                <w:noProof/>
              </w:rPr>
            </w:pPr>
            <w:r w:rsidRPr="00972C81">
              <w:rPr>
                <w:noProof/>
              </w:rPr>
              <w:t>100 d</w:t>
            </w:r>
          </w:p>
        </w:tc>
        <w:tc>
          <w:tcPr>
            <w:tcW w:w="717" w:type="pct"/>
            <w:tcBorders>
              <w:top w:val="single" w:sz="4" w:space="0" w:color="auto"/>
            </w:tcBorders>
            <w:vAlign w:val="center"/>
          </w:tcPr>
          <w:p w14:paraId="0C7FB613" w14:textId="77777777" w:rsidR="00640737" w:rsidRPr="00972C81" w:rsidRDefault="00640737" w:rsidP="00BD665F">
            <w:pPr>
              <w:pStyle w:val="Table"/>
              <w:rPr>
                <w:noProof/>
              </w:rPr>
            </w:pPr>
            <w:r w:rsidRPr="00972C81">
              <w:rPr>
                <w:noProof/>
              </w:rPr>
              <w:t>100 d</w:t>
            </w:r>
          </w:p>
        </w:tc>
        <w:tc>
          <w:tcPr>
            <w:tcW w:w="620" w:type="pct"/>
            <w:tcBorders>
              <w:top w:val="single" w:sz="4" w:space="0" w:color="auto"/>
            </w:tcBorders>
            <w:vAlign w:val="center"/>
          </w:tcPr>
          <w:p w14:paraId="1A78BB3D" w14:textId="77777777" w:rsidR="00640737" w:rsidRPr="00972C81" w:rsidRDefault="00640737" w:rsidP="00BD665F">
            <w:pPr>
              <w:pStyle w:val="Table"/>
              <w:rPr>
                <w:noProof/>
              </w:rPr>
            </w:pPr>
            <w:r w:rsidRPr="00972C81">
              <w:rPr>
                <w:noProof/>
              </w:rPr>
              <w:t>100 d</w:t>
            </w:r>
          </w:p>
        </w:tc>
        <w:tc>
          <w:tcPr>
            <w:tcW w:w="681" w:type="pct"/>
            <w:tcBorders>
              <w:top w:val="single" w:sz="4" w:space="0" w:color="auto"/>
            </w:tcBorders>
            <w:vAlign w:val="center"/>
          </w:tcPr>
          <w:p w14:paraId="24B3DFD0" w14:textId="77777777" w:rsidR="00640737" w:rsidRPr="00972C81" w:rsidRDefault="00640737" w:rsidP="00BD665F">
            <w:pPr>
              <w:pStyle w:val="Table"/>
              <w:rPr>
                <w:noProof/>
              </w:rPr>
            </w:pPr>
            <w:r w:rsidRPr="00972C81">
              <w:rPr>
                <w:noProof/>
              </w:rPr>
              <w:t>100 d</w:t>
            </w:r>
          </w:p>
        </w:tc>
      </w:tr>
      <w:tr w:rsidR="00640737" w:rsidRPr="00972C81" w14:paraId="36947A01" w14:textId="77777777" w:rsidTr="00BD665F">
        <w:trPr>
          <w:trHeight w:val="340"/>
          <w:jc w:val="center"/>
        </w:trPr>
        <w:tc>
          <w:tcPr>
            <w:tcW w:w="1079" w:type="pct"/>
            <w:tcBorders>
              <w:bottom w:val="single" w:sz="4" w:space="0" w:color="auto"/>
            </w:tcBorders>
            <w:vAlign w:val="center"/>
          </w:tcPr>
          <w:p w14:paraId="7FA9D51D" w14:textId="77777777" w:rsidR="00640737" w:rsidRPr="00972C81" w:rsidRDefault="00640737" w:rsidP="00BD665F">
            <w:pPr>
              <w:pStyle w:val="Table"/>
              <w:rPr>
                <w:noProof/>
              </w:rPr>
            </w:pPr>
            <w:r w:rsidRPr="00972C81">
              <w:rPr>
                <w:noProof/>
              </w:rPr>
              <w:t>Liver 2 to Blood</w:t>
            </w:r>
          </w:p>
        </w:tc>
        <w:tc>
          <w:tcPr>
            <w:tcW w:w="616" w:type="pct"/>
            <w:tcBorders>
              <w:bottom w:val="single" w:sz="4" w:space="0" w:color="auto"/>
            </w:tcBorders>
            <w:vAlign w:val="center"/>
          </w:tcPr>
          <w:p w14:paraId="3161B8EA" w14:textId="77777777" w:rsidR="00640737" w:rsidRPr="00972C81" w:rsidRDefault="00640737" w:rsidP="00BD665F">
            <w:pPr>
              <w:pStyle w:val="Table"/>
              <w:rPr>
                <w:noProof/>
              </w:rPr>
            </w:pPr>
            <w:r w:rsidRPr="00972C81">
              <w:rPr>
                <w:noProof/>
              </w:rPr>
              <w:t>1 y</w:t>
            </w:r>
          </w:p>
        </w:tc>
        <w:tc>
          <w:tcPr>
            <w:tcW w:w="668" w:type="pct"/>
            <w:tcBorders>
              <w:bottom w:val="single" w:sz="4" w:space="0" w:color="auto"/>
            </w:tcBorders>
            <w:vAlign w:val="center"/>
          </w:tcPr>
          <w:p w14:paraId="0CFFBAC2" w14:textId="77777777" w:rsidR="00640737" w:rsidRPr="00972C81" w:rsidRDefault="00640737" w:rsidP="00BD665F">
            <w:pPr>
              <w:pStyle w:val="Table"/>
              <w:rPr>
                <w:noProof/>
              </w:rPr>
            </w:pPr>
            <w:r w:rsidRPr="00972C81">
              <w:rPr>
                <w:noProof/>
              </w:rPr>
              <w:t>1 y</w:t>
            </w:r>
          </w:p>
        </w:tc>
        <w:tc>
          <w:tcPr>
            <w:tcW w:w="620" w:type="pct"/>
            <w:tcBorders>
              <w:bottom w:val="single" w:sz="4" w:space="0" w:color="auto"/>
            </w:tcBorders>
            <w:vAlign w:val="center"/>
          </w:tcPr>
          <w:p w14:paraId="49AC5E79" w14:textId="77777777" w:rsidR="00640737" w:rsidRPr="00972C81" w:rsidRDefault="00640737" w:rsidP="00BD665F">
            <w:pPr>
              <w:pStyle w:val="Table"/>
              <w:rPr>
                <w:noProof/>
              </w:rPr>
            </w:pPr>
            <w:r w:rsidRPr="00972C81">
              <w:rPr>
                <w:noProof/>
              </w:rPr>
              <w:t>1 y</w:t>
            </w:r>
          </w:p>
        </w:tc>
        <w:tc>
          <w:tcPr>
            <w:tcW w:w="717" w:type="pct"/>
            <w:tcBorders>
              <w:bottom w:val="single" w:sz="4" w:space="0" w:color="auto"/>
            </w:tcBorders>
            <w:vAlign w:val="center"/>
          </w:tcPr>
          <w:p w14:paraId="74B1120F" w14:textId="77777777" w:rsidR="00640737" w:rsidRPr="00972C81" w:rsidRDefault="00640737" w:rsidP="00BD665F">
            <w:pPr>
              <w:pStyle w:val="Table"/>
              <w:rPr>
                <w:noProof/>
              </w:rPr>
            </w:pPr>
            <w:r w:rsidRPr="00972C81">
              <w:rPr>
                <w:noProof/>
              </w:rPr>
              <w:t>1 y</w:t>
            </w:r>
          </w:p>
        </w:tc>
        <w:tc>
          <w:tcPr>
            <w:tcW w:w="620" w:type="pct"/>
            <w:tcBorders>
              <w:bottom w:val="single" w:sz="4" w:space="0" w:color="auto"/>
            </w:tcBorders>
            <w:vAlign w:val="center"/>
          </w:tcPr>
          <w:p w14:paraId="480EBBF1" w14:textId="77777777" w:rsidR="00640737" w:rsidRPr="00972C81" w:rsidRDefault="00640737" w:rsidP="00BD665F">
            <w:pPr>
              <w:pStyle w:val="Table"/>
              <w:rPr>
                <w:noProof/>
              </w:rPr>
            </w:pPr>
            <w:r w:rsidRPr="00972C81">
              <w:rPr>
                <w:noProof/>
              </w:rPr>
              <w:t>1 y</w:t>
            </w:r>
          </w:p>
        </w:tc>
        <w:tc>
          <w:tcPr>
            <w:tcW w:w="681" w:type="pct"/>
            <w:tcBorders>
              <w:bottom w:val="single" w:sz="4" w:space="0" w:color="auto"/>
            </w:tcBorders>
            <w:vAlign w:val="center"/>
          </w:tcPr>
          <w:p w14:paraId="784CD501" w14:textId="77777777" w:rsidR="00640737" w:rsidRPr="00972C81" w:rsidRDefault="00640737" w:rsidP="00BD665F">
            <w:pPr>
              <w:pStyle w:val="Table"/>
              <w:rPr>
                <w:noProof/>
              </w:rPr>
            </w:pPr>
            <w:r w:rsidRPr="00972C81">
              <w:rPr>
                <w:noProof/>
              </w:rPr>
              <w:t>1 y</w:t>
            </w:r>
          </w:p>
        </w:tc>
      </w:tr>
    </w:tbl>
    <w:p w14:paraId="2EFD0ED8" w14:textId="77777777" w:rsidR="00640737" w:rsidRPr="00972C81" w:rsidRDefault="00640737" w:rsidP="00640737">
      <w:pPr>
        <w:rPr>
          <w:noProof/>
          <w:szCs w:val="24"/>
        </w:rPr>
      </w:pPr>
    </w:p>
    <w:p w14:paraId="31DAD4D6" w14:textId="77777777" w:rsidR="00640737" w:rsidRPr="00972C81" w:rsidRDefault="00640737" w:rsidP="001C4A92">
      <w:pPr>
        <w:pStyle w:val="Annalstext"/>
        <w:rPr>
          <w:rFonts w:eastAsia="MS Mincho"/>
          <w:noProof/>
        </w:rPr>
      </w:pPr>
      <w:r w:rsidRPr="00972C81">
        <w:rPr>
          <w:noProof/>
        </w:rPr>
        <w:t>The behaviour of europium in bone is assumed to follow the generic skeletal model for bone-surface-seeking radionuclides. That is, a</w:t>
      </w:r>
      <w:r w:rsidRPr="00972C81">
        <w:rPr>
          <w:rFonts w:eastAsia="MS Mincho"/>
          <w:noProof/>
        </w:rPr>
        <w:t xml:space="preserve">ctivity deposited on bone surface is transferred to bone marrow and bone volume at reference rates based on the age-specific rate of bone turnover. Activity in bone volume is transferred to bone marrow at the rate of bone turnover. Activity is lost from bone marrow to blood with a half-time of 0.25 y and is subsequently redistributed to tissues and excretion pathways based on age-specific deposition fractions. </w:t>
      </w:r>
    </w:p>
    <w:p w14:paraId="01A2DBB9" w14:textId="23046210" w:rsidR="00640737" w:rsidRPr="00972C81" w:rsidRDefault="007A358A" w:rsidP="001C4A92">
      <w:pPr>
        <w:pStyle w:val="Annalstext"/>
        <w:rPr>
          <w:noProof/>
        </w:rPr>
      </w:pPr>
      <w:r w:rsidRPr="00972C81">
        <w:rPr>
          <w:noProof/>
        </w:rPr>
        <w:fldChar w:fldCharType="begin"/>
      </w:r>
      <w:r w:rsidRPr="00972C81">
        <w:rPr>
          <w:noProof/>
        </w:rPr>
        <w:instrText xml:space="preserve"> REF _Ref142309859 \h </w:instrText>
      </w:r>
      <w:r w:rsidRPr="00972C81">
        <w:rPr>
          <w:noProof/>
        </w:rPr>
      </w:r>
      <w:r w:rsidRPr="00972C81">
        <w:rPr>
          <w:noProof/>
        </w:rPr>
        <w:fldChar w:fldCharType="separate"/>
      </w:r>
      <w:r w:rsidR="00A41AD1" w:rsidRPr="00972C81">
        <w:rPr>
          <w:noProof/>
        </w:rPr>
        <w:t xml:space="preserve">Table </w:t>
      </w:r>
      <w:r w:rsidR="00A41AD1">
        <w:rPr>
          <w:noProof/>
        </w:rPr>
        <w:t>8</w:t>
      </w:r>
      <w:r w:rsidR="00A41AD1" w:rsidRPr="00972C81">
        <w:rPr>
          <w:noProof/>
        </w:rPr>
        <w:t>.</w:t>
      </w:r>
      <w:r w:rsidR="00A41AD1">
        <w:rPr>
          <w:noProof/>
        </w:rPr>
        <w:t>2</w:t>
      </w:r>
      <w:r w:rsidRPr="00972C81">
        <w:rPr>
          <w:noProof/>
        </w:rPr>
        <w:fldChar w:fldCharType="end"/>
      </w:r>
      <w:r w:rsidRPr="00972C81">
        <w:rPr>
          <w:noProof/>
        </w:rPr>
        <w:t xml:space="preserve"> </w:t>
      </w:r>
      <w:r w:rsidR="00640737" w:rsidRPr="00972C81">
        <w:rPr>
          <w:noProof/>
        </w:rPr>
        <w:t xml:space="preserve">lists the full set of transfer coefficients in the age-specific model for the </w:t>
      </w:r>
      <w:r w:rsidR="00FB3F13" w:rsidRPr="00972C81">
        <w:rPr>
          <w:noProof/>
        </w:rPr>
        <w:t>europium</w:t>
      </w:r>
      <w:r w:rsidR="00640737" w:rsidRPr="00972C81">
        <w:rPr>
          <w:noProof/>
        </w:rPr>
        <w:t>.</w:t>
      </w:r>
    </w:p>
    <w:p w14:paraId="577C22F2" w14:textId="5AA2E391" w:rsidR="00482C73" w:rsidRPr="00972C81" w:rsidRDefault="00482C73" w:rsidP="00E81109">
      <w:pPr>
        <w:pStyle w:val="Annalstext"/>
        <w:numPr>
          <w:ilvl w:val="0"/>
          <w:numId w:val="0"/>
        </w:numPr>
        <w:rPr>
          <w:noProof/>
        </w:rPr>
      </w:pPr>
    </w:p>
    <w:p w14:paraId="250DF992" w14:textId="77777777" w:rsidR="00BD665F" w:rsidRDefault="00BD665F">
      <w:pPr>
        <w:widowControl/>
        <w:jc w:val="left"/>
        <w:rPr>
          <w:noProof/>
          <w:sz w:val="22"/>
          <w:szCs w:val="22"/>
        </w:rPr>
      </w:pPr>
      <w:bookmarkStart w:id="136" w:name="_Ref142309859"/>
      <w:r>
        <w:rPr>
          <w:noProof/>
        </w:rPr>
        <w:br w:type="page"/>
      </w:r>
    </w:p>
    <w:p w14:paraId="423666AB" w14:textId="01E764AD" w:rsidR="00640737" w:rsidRPr="00972C81" w:rsidRDefault="007A358A" w:rsidP="00E81109">
      <w:pPr>
        <w:pStyle w:val="ab"/>
        <w:rPr>
          <w:noProof/>
        </w:rPr>
      </w:pPr>
      <w:r w:rsidRPr="00972C81">
        <w:rPr>
          <w:noProof/>
        </w:rPr>
        <w:lastRenderedPageBreak/>
        <w:t xml:space="preserve">Table </w:t>
      </w:r>
      <w:r w:rsidR="00EA3750" w:rsidRPr="00972C81">
        <w:rPr>
          <w:noProof/>
        </w:rPr>
        <w:fldChar w:fldCharType="begin"/>
      </w:r>
      <w:r w:rsidR="00EA3750" w:rsidRPr="00972C81">
        <w:rPr>
          <w:noProof/>
        </w:rPr>
        <w:instrText xml:space="preserve"> STYLEREF 1 \s </w:instrText>
      </w:r>
      <w:r w:rsidR="00EA3750" w:rsidRPr="00972C81">
        <w:rPr>
          <w:noProof/>
        </w:rPr>
        <w:fldChar w:fldCharType="separate"/>
      </w:r>
      <w:r w:rsidR="00A41AD1">
        <w:rPr>
          <w:noProof/>
        </w:rPr>
        <w:t>8</w:t>
      </w:r>
      <w:r w:rsidR="00EA3750" w:rsidRPr="00972C81">
        <w:rPr>
          <w:noProof/>
        </w:rPr>
        <w:fldChar w:fldCharType="end"/>
      </w:r>
      <w:r w:rsidR="00EA3750" w:rsidRPr="00972C81">
        <w:rPr>
          <w:noProof/>
        </w:rPr>
        <w:t>.</w:t>
      </w:r>
      <w:r w:rsidR="00EA3750" w:rsidRPr="00972C81">
        <w:rPr>
          <w:noProof/>
        </w:rPr>
        <w:fldChar w:fldCharType="begin"/>
      </w:r>
      <w:r w:rsidR="00EA3750" w:rsidRPr="00972C81">
        <w:rPr>
          <w:noProof/>
        </w:rPr>
        <w:instrText xml:space="preserve"> SEQ Table \* ARABIC \s 1 </w:instrText>
      </w:r>
      <w:r w:rsidR="00EA3750" w:rsidRPr="00972C81">
        <w:rPr>
          <w:noProof/>
        </w:rPr>
        <w:fldChar w:fldCharType="separate"/>
      </w:r>
      <w:r w:rsidR="00A41AD1">
        <w:rPr>
          <w:noProof/>
        </w:rPr>
        <w:t>2</w:t>
      </w:r>
      <w:r w:rsidR="00EA3750" w:rsidRPr="00972C81">
        <w:rPr>
          <w:noProof/>
        </w:rPr>
        <w:fldChar w:fldCharType="end"/>
      </w:r>
      <w:bookmarkEnd w:id="136"/>
      <w:r w:rsidRPr="00972C81">
        <w:rPr>
          <w:noProof/>
        </w:rPr>
        <w:t xml:space="preserve">. </w:t>
      </w:r>
      <w:r w:rsidR="00482C73" w:rsidRPr="00972C81">
        <w:rPr>
          <w:noProof/>
        </w:rPr>
        <w:t>Age-specific transfer coefficients for europium.</w:t>
      </w:r>
    </w:p>
    <w:tbl>
      <w:tblPr>
        <w:tblW w:w="5000" w:type="pct"/>
        <w:tblLayout w:type="fixed"/>
        <w:tblLook w:val="04A0" w:firstRow="1" w:lastRow="0" w:firstColumn="1" w:lastColumn="0" w:noHBand="0" w:noVBand="1"/>
      </w:tblPr>
      <w:tblGrid>
        <w:gridCol w:w="2807"/>
        <w:gridCol w:w="1036"/>
        <w:gridCol w:w="1037"/>
        <w:gridCol w:w="1037"/>
        <w:gridCol w:w="1036"/>
        <w:gridCol w:w="1037"/>
        <w:gridCol w:w="1037"/>
      </w:tblGrid>
      <w:tr w:rsidR="00640737" w:rsidRPr="00972C81" w14:paraId="2B75DFCA" w14:textId="77777777" w:rsidTr="00BD665F">
        <w:trPr>
          <w:trHeight w:val="300"/>
        </w:trPr>
        <w:tc>
          <w:tcPr>
            <w:tcW w:w="2807" w:type="dxa"/>
            <w:vMerge w:val="restart"/>
            <w:tcBorders>
              <w:top w:val="single" w:sz="4" w:space="0" w:color="auto"/>
            </w:tcBorders>
            <w:shd w:val="clear" w:color="auto" w:fill="auto"/>
            <w:noWrap/>
            <w:vAlign w:val="center"/>
          </w:tcPr>
          <w:p w14:paraId="53AC6DDF" w14:textId="5D0EA69F" w:rsidR="00640737" w:rsidRPr="00972C81" w:rsidRDefault="00640737" w:rsidP="00C47F2F">
            <w:pPr>
              <w:jc w:val="left"/>
              <w:rPr>
                <w:noProof/>
                <w:color w:val="000000"/>
                <w:sz w:val="22"/>
                <w:szCs w:val="22"/>
              </w:rPr>
            </w:pPr>
            <w:r w:rsidRPr="00972C81">
              <w:rPr>
                <w:noProof/>
                <w:color w:val="000000"/>
                <w:sz w:val="22"/>
                <w:szCs w:val="22"/>
              </w:rPr>
              <w:t>Pathway</w:t>
            </w:r>
            <w:r w:rsidR="00E52659" w:rsidRPr="00E52659">
              <w:rPr>
                <w:noProof/>
                <w:color w:val="000000"/>
                <w:sz w:val="22"/>
                <w:szCs w:val="22"/>
                <w:vertAlign w:val="superscript"/>
              </w:rPr>
              <w:t>a</w:t>
            </w:r>
          </w:p>
        </w:tc>
        <w:tc>
          <w:tcPr>
            <w:tcW w:w="6220" w:type="dxa"/>
            <w:gridSpan w:val="6"/>
            <w:tcBorders>
              <w:top w:val="single" w:sz="4" w:space="0" w:color="auto"/>
              <w:bottom w:val="single" w:sz="4" w:space="0" w:color="auto"/>
            </w:tcBorders>
            <w:shd w:val="clear" w:color="auto" w:fill="auto"/>
            <w:noWrap/>
            <w:vAlign w:val="center"/>
          </w:tcPr>
          <w:p w14:paraId="18FFE160" w14:textId="77777777" w:rsidR="00640737" w:rsidRPr="00972C81" w:rsidRDefault="00640737" w:rsidP="00BD665F">
            <w:pPr>
              <w:jc w:val="center"/>
              <w:rPr>
                <w:noProof/>
                <w:color w:val="000000"/>
                <w:sz w:val="22"/>
                <w:szCs w:val="22"/>
              </w:rPr>
            </w:pPr>
            <w:r w:rsidRPr="00972C81">
              <w:rPr>
                <w:noProof/>
                <w:sz w:val="22"/>
                <w:szCs w:val="22"/>
              </w:rPr>
              <w:t>Transfer coefficient (d</w:t>
            </w:r>
            <w:r w:rsidRPr="00972C81">
              <w:rPr>
                <w:noProof/>
                <w:sz w:val="22"/>
                <w:szCs w:val="22"/>
                <w:vertAlign w:val="superscript"/>
              </w:rPr>
              <w:t>-1</w:t>
            </w:r>
            <w:r w:rsidRPr="00972C81">
              <w:rPr>
                <w:noProof/>
                <w:sz w:val="22"/>
                <w:szCs w:val="22"/>
              </w:rPr>
              <w:t>)</w:t>
            </w:r>
          </w:p>
        </w:tc>
      </w:tr>
      <w:tr w:rsidR="00640737" w:rsidRPr="00972C81" w14:paraId="59FFA277" w14:textId="77777777" w:rsidTr="00BD665F">
        <w:trPr>
          <w:trHeight w:val="300"/>
        </w:trPr>
        <w:tc>
          <w:tcPr>
            <w:tcW w:w="2807" w:type="dxa"/>
            <w:vMerge/>
            <w:tcBorders>
              <w:bottom w:val="single" w:sz="4" w:space="0" w:color="auto"/>
            </w:tcBorders>
            <w:shd w:val="clear" w:color="auto" w:fill="auto"/>
            <w:noWrap/>
            <w:vAlign w:val="bottom"/>
          </w:tcPr>
          <w:p w14:paraId="64171FE6" w14:textId="77777777" w:rsidR="00640737" w:rsidRPr="00972C81" w:rsidRDefault="00640737" w:rsidP="00640737">
            <w:pPr>
              <w:rPr>
                <w:noProof/>
                <w:color w:val="000000"/>
                <w:sz w:val="22"/>
                <w:szCs w:val="22"/>
              </w:rPr>
            </w:pPr>
          </w:p>
        </w:tc>
        <w:tc>
          <w:tcPr>
            <w:tcW w:w="1036" w:type="dxa"/>
            <w:tcBorders>
              <w:top w:val="single" w:sz="4" w:space="0" w:color="auto"/>
              <w:bottom w:val="single" w:sz="4" w:space="0" w:color="auto"/>
            </w:tcBorders>
            <w:shd w:val="clear" w:color="auto" w:fill="auto"/>
            <w:noWrap/>
            <w:vAlign w:val="center"/>
          </w:tcPr>
          <w:p w14:paraId="662F9A63" w14:textId="77777777" w:rsidR="00640737" w:rsidRPr="004809BB" w:rsidRDefault="00640737" w:rsidP="00BD665F">
            <w:pPr>
              <w:jc w:val="left"/>
              <w:rPr>
                <w:noProof/>
                <w:color w:val="000000"/>
                <w:sz w:val="22"/>
                <w:szCs w:val="22"/>
              </w:rPr>
            </w:pPr>
            <w:r w:rsidRPr="004809BB">
              <w:rPr>
                <w:noProof/>
                <w:sz w:val="22"/>
                <w:szCs w:val="22"/>
              </w:rPr>
              <w:t>100 d</w:t>
            </w:r>
          </w:p>
        </w:tc>
        <w:tc>
          <w:tcPr>
            <w:tcW w:w="1037" w:type="dxa"/>
            <w:tcBorders>
              <w:top w:val="single" w:sz="4" w:space="0" w:color="auto"/>
              <w:bottom w:val="single" w:sz="4" w:space="0" w:color="auto"/>
            </w:tcBorders>
            <w:shd w:val="clear" w:color="auto" w:fill="auto"/>
            <w:noWrap/>
            <w:vAlign w:val="center"/>
          </w:tcPr>
          <w:p w14:paraId="4B42AE04" w14:textId="77777777" w:rsidR="00640737" w:rsidRPr="004809BB" w:rsidRDefault="00640737" w:rsidP="00BD665F">
            <w:pPr>
              <w:jc w:val="left"/>
              <w:rPr>
                <w:noProof/>
                <w:color w:val="000000"/>
                <w:sz w:val="22"/>
                <w:szCs w:val="22"/>
              </w:rPr>
            </w:pPr>
            <w:r w:rsidRPr="004809BB">
              <w:rPr>
                <w:noProof/>
                <w:sz w:val="22"/>
                <w:szCs w:val="22"/>
              </w:rPr>
              <w:t>1 y</w:t>
            </w:r>
          </w:p>
        </w:tc>
        <w:tc>
          <w:tcPr>
            <w:tcW w:w="1037" w:type="dxa"/>
            <w:tcBorders>
              <w:top w:val="single" w:sz="4" w:space="0" w:color="auto"/>
              <w:bottom w:val="single" w:sz="4" w:space="0" w:color="auto"/>
            </w:tcBorders>
            <w:shd w:val="clear" w:color="auto" w:fill="auto"/>
            <w:noWrap/>
            <w:vAlign w:val="center"/>
          </w:tcPr>
          <w:p w14:paraId="581AB86D" w14:textId="77777777" w:rsidR="00640737" w:rsidRPr="004809BB" w:rsidRDefault="00640737" w:rsidP="00BD665F">
            <w:pPr>
              <w:jc w:val="left"/>
              <w:rPr>
                <w:noProof/>
                <w:color w:val="000000"/>
                <w:sz w:val="22"/>
                <w:szCs w:val="22"/>
              </w:rPr>
            </w:pPr>
            <w:r w:rsidRPr="004809BB">
              <w:rPr>
                <w:noProof/>
                <w:sz w:val="22"/>
                <w:szCs w:val="22"/>
              </w:rPr>
              <w:t>5 y</w:t>
            </w:r>
          </w:p>
        </w:tc>
        <w:tc>
          <w:tcPr>
            <w:tcW w:w="1036" w:type="dxa"/>
            <w:tcBorders>
              <w:top w:val="single" w:sz="4" w:space="0" w:color="auto"/>
              <w:bottom w:val="single" w:sz="4" w:space="0" w:color="auto"/>
            </w:tcBorders>
            <w:shd w:val="clear" w:color="auto" w:fill="auto"/>
            <w:noWrap/>
            <w:vAlign w:val="center"/>
          </w:tcPr>
          <w:p w14:paraId="142219CC" w14:textId="77777777" w:rsidR="00640737" w:rsidRPr="004809BB" w:rsidRDefault="00640737" w:rsidP="00BD665F">
            <w:pPr>
              <w:jc w:val="left"/>
              <w:rPr>
                <w:noProof/>
                <w:color w:val="000000"/>
                <w:sz w:val="22"/>
                <w:szCs w:val="22"/>
              </w:rPr>
            </w:pPr>
            <w:r w:rsidRPr="004809BB">
              <w:rPr>
                <w:noProof/>
                <w:sz w:val="22"/>
                <w:szCs w:val="22"/>
              </w:rPr>
              <w:t>10 y</w:t>
            </w:r>
          </w:p>
        </w:tc>
        <w:tc>
          <w:tcPr>
            <w:tcW w:w="1037" w:type="dxa"/>
            <w:tcBorders>
              <w:top w:val="single" w:sz="4" w:space="0" w:color="auto"/>
              <w:bottom w:val="single" w:sz="4" w:space="0" w:color="auto"/>
            </w:tcBorders>
            <w:shd w:val="clear" w:color="auto" w:fill="auto"/>
            <w:noWrap/>
            <w:vAlign w:val="center"/>
          </w:tcPr>
          <w:p w14:paraId="7B4465AC" w14:textId="77777777" w:rsidR="00640737" w:rsidRPr="004809BB" w:rsidRDefault="00640737" w:rsidP="00BD665F">
            <w:pPr>
              <w:jc w:val="left"/>
              <w:rPr>
                <w:noProof/>
                <w:color w:val="000000"/>
                <w:sz w:val="22"/>
                <w:szCs w:val="22"/>
              </w:rPr>
            </w:pPr>
            <w:r w:rsidRPr="004809BB">
              <w:rPr>
                <w:noProof/>
                <w:sz w:val="22"/>
                <w:szCs w:val="22"/>
              </w:rPr>
              <w:t>15 y</w:t>
            </w:r>
          </w:p>
        </w:tc>
        <w:tc>
          <w:tcPr>
            <w:tcW w:w="1037" w:type="dxa"/>
            <w:tcBorders>
              <w:top w:val="single" w:sz="4" w:space="0" w:color="auto"/>
              <w:bottom w:val="single" w:sz="4" w:space="0" w:color="auto"/>
            </w:tcBorders>
            <w:shd w:val="clear" w:color="auto" w:fill="auto"/>
            <w:noWrap/>
            <w:vAlign w:val="center"/>
          </w:tcPr>
          <w:p w14:paraId="09FD6B07" w14:textId="77777777" w:rsidR="00640737" w:rsidRPr="004809BB" w:rsidRDefault="00640737" w:rsidP="00BD665F">
            <w:pPr>
              <w:jc w:val="left"/>
              <w:rPr>
                <w:noProof/>
                <w:color w:val="000000"/>
                <w:sz w:val="22"/>
                <w:szCs w:val="22"/>
              </w:rPr>
            </w:pPr>
            <w:r w:rsidRPr="004809BB">
              <w:rPr>
                <w:noProof/>
                <w:sz w:val="22"/>
                <w:szCs w:val="22"/>
              </w:rPr>
              <w:t>Adult</w:t>
            </w:r>
          </w:p>
        </w:tc>
      </w:tr>
      <w:tr w:rsidR="000F3F85" w:rsidRPr="00972C81" w14:paraId="7A684944" w14:textId="77777777" w:rsidTr="00BD665F">
        <w:trPr>
          <w:trHeight w:val="340"/>
        </w:trPr>
        <w:tc>
          <w:tcPr>
            <w:tcW w:w="2807" w:type="dxa"/>
            <w:tcBorders>
              <w:top w:val="single" w:sz="4" w:space="0" w:color="auto"/>
            </w:tcBorders>
            <w:shd w:val="clear" w:color="auto" w:fill="auto"/>
            <w:noWrap/>
            <w:vAlign w:val="center"/>
            <w:hideMark/>
          </w:tcPr>
          <w:p w14:paraId="3F088E8A" w14:textId="4CFDF95A" w:rsidR="000F3F85" w:rsidRPr="000F3F85" w:rsidRDefault="000F3F85" w:rsidP="00BD665F">
            <w:pPr>
              <w:jc w:val="left"/>
              <w:rPr>
                <w:noProof/>
                <w:color w:val="000000"/>
                <w:sz w:val="20"/>
              </w:rPr>
            </w:pPr>
            <w:r w:rsidRPr="000F3F85">
              <w:rPr>
                <w:noProof/>
                <w:color w:val="000000"/>
                <w:sz w:val="20"/>
              </w:rPr>
              <w:t>Blood to Liver 1</w:t>
            </w:r>
          </w:p>
        </w:tc>
        <w:tc>
          <w:tcPr>
            <w:tcW w:w="1036" w:type="dxa"/>
            <w:tcBorders>
              <w:top w:val="single" w:sz="4" w:space="0" w:color="auto"/>
            </w:tcBorders>
            <w:shd w:val="clear" w:color="auto" w:fill="auto"/>
            <w:noWrap/>
            <w:vAlign w:val="center"/>
            <w:hideMark/>
          </w:tcPr>
          <w:p w14:paraId="46511FC5" w14:textId="77777777" w:rsidR="000F3F85" w:rsidRPr="00C47F2F" w:rsidRDefault="000F3F85" w:rsidP="00BD665F">
            <w:pPr>
              <w:jc w:val="left"/>
              <w:rPr>
                <w:noProof/>
                <w:color w:val="000000"/>
                <w:sz w:val="20"/>
              </w:rPr>
            </w:pPr>
            <w:r w:rsidRPr="00C47F2F">
              <w:rPr>
                <w:noProof/>
                <w:color w:val="000000"/>
                <w:sz w:val="20"/>
              </w:rPr>
              <w:t>1.16E+00</w:t>
            </w:r>
          </w:p>
        </w:tc>
        <w:tc>
          <w:tcPr>
            <w:tcW w:w="1037" w:type="dxa"/>
            <w:tcBorders>
              <w:top w:val="single" w:sz="4" w:space="0" w:color="auto"/>
            </w:tcBorders>
            <w:shd w:val="clear" w:color="auto" w:fill="auto"/>
            <w:noWrap/>
            <w:vAlign w:val="center"/>
            <w:hideMark/>
          </w:tcPr>
          <w:p w14:paraId="313CA807" w14:textId="77777777" w:rsidR="000F3F85" w:rsidRPr="00C47F2F" w:rsidRDefault="000F3F85" w:rsidP="00BD665F">
            <w:pPr>
              <w:jc w:val="left"/>
              <w:rPr>
                <w:noProof/>
                <w:color w:val="000000"/>
                <w:sz w:val="20"/>
              </w:rPr>
            </w:pPr>
            <w:r w:rsidRPr="00C47F2F">
              <w:rPr>
                <w:noProof/>
                <w:color w:val="000000"/>
                <w:sz w:val="20"/>
              </w:rPr>
              <w:t>1.16E+00</w:t>
            </w:r>
          </w:p>
        </w:tc>
        <w:tc>
          <w:tcPr>
            <w:tcW w:w="1037" w:type="dxa"/>
            <w:tcBorders>
              <w:top w:val="single" w:sz="4" w:space="0" w:color="auto"/>
            </w:tcBorders>
            <w:shd w:val="clear" w:color="auto" w:fill="auto"/>
            <w:noWrap/>
            <w:vAlign w:val="center"/>
            <w:hideMark/>
          </w:tcPr>
          <w:p w14:paraId="7F06D7C0" w14:textId="77777777" w:rsidR="000F3F85" w:rsidRPr="00C47F2F" w:rsidRDefault="000F3F85" w:rsidP="00BD665F">
            <w:pPr>
              <w:jc w:val="left"/>
              <w:rPr>
                <w:noProof/>
                <w:color w:val="000000"/>
                <w:sz w:val="20"/>
              </w:rPr>
            </w:pPr>
            <w:r w:rsidRPr="00C47F2F">
              <w:rPr>
                <w:noProof/>
                <w:color w:val="000000"/>
                <w:sz w:val="20"/>
              </w:rPr>
              <w:t>3.49E+00</w:t>
            </w:r>
          </w:p>
        </w:tc>
        <w:tc>
          <w:tcPr>
            <w:tcW w:w="1036" w:type="dxa"/>
            <w:tcBorders>
              <w:top w:val="single" w:sz="4" w:space="0" w:color="auto"/>
            </w:tcBorders>
            <w:shd w:val="clear" w:color="auto" w:fill="auto"/>
            <w:noWrap/>
            <w:vAlign w:val="center"/>
            <w:hideMark/>
          </w:tcPr>
          <w:p w14:paraId="448FDE54" w14:textId="77777777" w:rsidR="000F3F85" w:rsidRPr="00C47F2F" w:rsidRDefault="000F3F85" w:rsidP="00BD665F">
            <w:pPr>
              <w:jc w:val="left"/>
              <w:rPr>
                <w:noProof/>
                <w:color w:val="000000"/>
                <w:sz w:val="20"/>
              </w:rPr>
            </w:pPr>
            <w:r w:rsidRPr="00C47F2F">
              <w:rPr>
                <w:noProof/>
                <w:color w:val="000000"/>
                <w:sz w:val="20"/>
              </w:rPr>
              <w:t>3.49E+00</w:t>
            </w:r>
          </w:p>
        </w:tc>
        <w:tc>
          <w:tcPr>
            <w:tcW w:w="1037" w:type="dxa"/>
            <w:tcBorders>
              <w:top w:val="single" w:sz="4" w:space="0" w:color="auto"/>
            </w:tcBorders>
            <w:shd w:val="clear" w:color="auto" w:fill="auto"/>
            <w:noWrap/>
            <w:vAlign w:val="center"/>
            <w:hideMark/>
          </w:tcPr>
          <w:p w14:paraId="5E5126D6" w14:textId="77777777" w:rsidR="000F3F85" w:rsidRPr="00C47F2F" w:rsidRDefault="000F3F85" w:rsidP="00BD665F">
            <w:pPr>
              <w:jc w:val="left"/>
              <w:rPr>
                <w:noProof/>
                <w:color w:val="000000"/>
                <w:sz w:val="20"/>
              </w:rPr>
            </w:pPr>
            <w:r w:rsidRPr="00C47F2F">
              <w:rPr>
                <w:noProof/>
                <w:color w:val="000000"/>
                <w:sz w:val="20"/>
              </w:rPr>
              <w:t>3.49E+00</w:t>
            </w:r>
          </w:p>
        </w:tc>
        <w:tc>
          <w:tcPr>
            <w:tcW w:w="1037" w:type="dxa"/>
            <w:tcBorders>
              <w:top w:val="single" w:sz="4" w:space="0" w:color="auto"/>
            </w:tcBorders>
            <w:shd w:val="clear" w:color="auto" w:fill="auto"/>
            <w:noWrap/>
            <w:vAlign w:val="center"/>
            <w:hideMark/>
          </w:tcPr>
          <w:p w14:paraId="6A4BD647" w14:textId="77777777" w:rsidR="000F3F85" w:rsidRPr="00C47F2F" w:rsidRDefault="000F3F85" w:rsidP="00BD665F">
            <w:pPr>
              <w:jc w:val="left"/>
              <w:rPr>
                <w:noProof/>
                <w:color w:val="000000"/>
                <w:sz w:val="20"/>
              </w:rPr>
            </w:pPr>
            <w:r w:rsidRPr="00C47F2F">
              <w:rPr>
                <w:noProof/>
                <w:color w:val="000000"/>
                <w:sz w:val="20"/>
              </w:rPr>
              <w:t>5.82E+00</w:t>
            </w:r>
          </w:p>
        </w:tc>
      </w:tr>
      <w:tr w:rsidR="000F3F85" w:rsidRPr="00972C81" w14:paraId="07465484" w14:textId="77777777" w:rsidTr="00BD665F">
        <w:trPr>
          <w:trHeight w:val="340"/>
        </w:trPr>
        <w:tc>
          <w:tcPr>
            <w:tcW w:w="2807" w:type="dxa"/>
            <w:shd w:val="clear" w:color="auto" w:fill="auto"/>
            <w:noWrap/>
            <w:vAlign w:val="center"/>
            <w:hideMark/>
          </w:tcPr>
          <w:p w14:paraId="0DCFAFFD" w14:textId="179759BD" w:rsidR="000F3F85" w:rsidRPr="000F3F85" w:rsidRDefault="000F3F85" w:rsidP="00BD665F">
            <w:pPr>
              <w:jc w:val="left"/>
              <w:rPr>
                <w:noProof/>
                <w:color w:val="000000"/>
                <w:sz w:val="20"/>
              </w:rPr>
            </w:pPr>
            <w:r w:rsidRPr="000F3F85">
              <w:rPr>
                <w:noProof/>
                <w:color w:val="000000"/>
                <w:sz w:val="20"/>
              </w:rPr>
              <w:t>Blood to  ST0</w:t>
            </w:r>
          </w:p>
        </w:tc>
        <w:tc>
          <w:tcPr>
            <w:tcW w:w="1036" w:type="dxa"/>
            <w:shd w:val="clear" w:color="auto" w:fill="auto"/>
            <w:noWrap/>
            <w:vAlign w:val="center"/>
            <w:hideMark/>
          </w:tcPr>
          <w:p w14:paraId="739F412B" w14:textId="77777777" w:rsidR="000F3F85" w:rsidRPr="00C47F2F" w:rsidRDefault="000F3F85" w:rsidP="00BD665F">
            <w:pPr>
              <w:jc w:val="left"/>
              <w:rPr>
                <w:noProof/>
                <w:color w:val="000000"/>
                <w:sz w:val="20"/>
              </w:rPr>
            </w:pPr>
            <w:r w:rsidRPr="00C47F2F">
              <w:rPr>
                <w:noProof/>
                <w:color w:val="000000"/>
                <w:sz w:val="20"/>
              </w:rPr>
              <w:t>9.98E+00</w:t>
            </w:r>
          </w:p>
        </w:tc>
        <w:tc>
          <w:tcPr>
            <w:tcW w:w="1037" w:type="dxa"/>
            <w:shd w:val="clear" w:color="auto" w:fill="auto"/>
            <w:noWrap/>
            <w:vAlign w:val="center"/>
            <w:hideMark/>
          </w:tcPr>
          <w:p w14:paraId="3F93FAAB" w14:textId="77777777" w:rsidR="000F3F85" w:rsidRPr="00C47F2F" w:rsidRDefault="000F3F85" w:rsidP="00BD665F">
            <w:pPr>
              <w:jc w:val="left"/>
              <w:rPr>
                <w:noProof/>
                <w:color w:val="000000"/>
                <w:sz w:val="20"/>
              </w:rPr>
            </w:pPr>
            <w:r w:rsidRPr="00C47F2F">
              <w:rPr>
                <w:noProof/>
                <w:color w:val="000000"/>
                <w:sz w:val="20"/>
              </w:rPr>
              <w:t>9.98E+00</w:t>
            </w:r>
          </w:p>
        </w:tc>
        <w:tc>
          <w:tcPr>
            <w:tcW w:w="1037" w:type="dxa"/>
            <w:shd w:val="clear" w:color="auto" w:fill="auto"/>
            <w:noWrap/>
            <w:vAlign w:val="center"/>
            <w:hideMark/>
          </w:tcPr>
          <w:p w14:paraId="2B04491D" w14:textId="77777777" w:rsidR="000F3F85" w:rsidRPr="00C47F2F" w:rsidRDefault="000F3F85" w:rsidP="00BD665F">
            <w:pPr>
              <w:jc w:val="left"/>
              <w:rPr>
                <w:noProof/>
                <w:color w:val="000000"/>
                <w:sz w:val="20"/>
              </w:rPr>
            </w:pPr>
            <w:r w:rsidRPr="00C47F2F">
              <w:rPr>
                <w:noProof/>
                <w:color w:val="000000"/>
                <w:sz w:val="20"/>
              </w:rPr>
              <w:t>9.98E+00</w:t>
            </w:r>
          </w:p>
        </w:tc>
        <w:tc>
          <w:tcPr>
            <w:tcW w:w="1036" w:type="dxa"/>
            <w:shd w:val="clear" w:color="auto" w:fill="auto"/>
            <w:noWrap/>
            <w:vAlign w:val="center"/>
            <w:hideMark/>
          </w:tcPr>
          <w:p w14:paraId="5E75B2F4" w14:textId="77777777" w:rsidR="000F3F85" w:rsidRPr="00C47F2F" w:rsidRDefault="000F3F85" w:rsidP="00BD665F">
            <w:pPr>
              <w:jc w:val="left"/>
              <w:rPr>
                <w:noProof/>
                <w:color w:val="000000"/>
                <w:sz w:val="20"/>
              </w:rPr>
            </w:pPr>
            <w:r w:rsidRPr="00C47F2F">
              <w:rPr>
                <w:noProof/>
                <w:color w:val="000000"/>
                <w:sz w:val="20"/>
              </w:rPr>
              <w:t>9.98E+00</w:t>
            </w:r>
          </w:p>
        </w:tc>
        <w:tc>
          <w:tcPr>
            <w:tcW w:w="1037" w:type="dxa"/>
            <w:shd w:val="clear" w:color="auto" w:fill="auto"/>
            <w:noWrap/>
            <w:vAlign w:val="center"/>
            <w:hideMark/>
          </w:tcPr>
          <w:p w14:paraId="645F172D" w14:textId="77777777" w:rsidR="000F3F85" w:rsidRPr="00C47F2F" w:rsidRDefault="000F3F85" w:rsidP="00BD665F">
            <w:pPr>
              <w:jc w:val="left"/>
              <w:rPr>
                <w:noProof/>
                <w:color w:val="000000"/>
                <w:sz w:val="20"/>
              </w:rPr>
            </w:pPr>
            <w:r w:rsidRPr="00C47F2F">
              <w:rPr>
                <w:noProof/>
                <w:color w:val="000000"/>
                <w:sz w:val="20"/>
              </w:rPr>
              <w:t>9.98E+00</w:t>
            </w:r>
          </w:p>
        </w:tc>
        <w:tc>
          <w:tcPr>
            <w:tcW w:w="1037" w:type="dxa"/>
            <w:shd w:val="clear" w:color="auto" w:fill="auto"/>
            <w:noWrap/>
            <w:vAlign w:val="center"/>
            <w:hideMark/>
          </w:tcPr>
          <w:p w14:paraId="2F08FFB3" w14:textId="77777777" w:rsidR="000F3F85" w:rsidRPr="00C47F2F" w:rsidRDefault="000F3F85" w:rsidP="00BD665F">
            <w:pPr>
              <w:jc w:val="left"/>
              <w:rPr>
                <w:noProof/>
                <w:color w:val="000000"/>
                <w:sz w:val="20"/>
              </w:rPr>
            </w:pPr>
            <w:r w:rsidRPr="00C47F2F">
              <w:rPr>
                <w:noProof/>
                <w:color w:val="000000"/>
                <w:sz w:val="20"/>
              </w:rPr>
              <w:t>9.98E+00</w:t>
            </w:r>
          </w:p>
        </w:tc>
      </w:tr>
      <w:tr w:rsidR="000F3F85" w:rsidRPr="00972C81" w14:paraId="64A046B5" w14:textId="77777777" w:rsidTr="00BD665F">
        <w:trPr>
          <w:trHeight w:val="340"/>
        </w:trPr>
        <w:tc>
          <w:tcPr>
            <w:tcW w:w="2807" w:type="dxa"/>
            <w:shd w:val="clear" w:color="auto" w:fill="auto"/>
            <w:noWrap/>
            <w:vAlign w:val="center"/>
            <w:hideMark/>
          </w:tcPr>
          <w:p w14:paraId="3025014E" w14:textId="39C31B40" w:rsidR="000F3F85" w:rsidRPr="000F3F85" w:rsidRDefault="000F3F85" w:rsidP="00BD665F">
            <w:pPr>
              <w:jc w:val="left"/>
              <w:rPr>
                <w:noProof/>
                <w:color w:val="000000"/>
                <w:sz w:val="20"/>
              </w:rPr>
            </w:pPr>
            <w:r w:rsidRPr="000F3F85">
              <w:rPr>
                <w:noProof/>
                <w:color w:val="000000"/>
                <w:sz w:val="20"/>
              </w:rPr>
              <w:t>Blood to  ST1</w:t>
            </w:r>
          </w:p>
        </w:tc>
        <w:tc>
          <w:tcPr>
            <w:tcW w:w="1036" w:type="dxa"/>
            <w:shd w:val="clear" w:color="auto" w:fill="auto"/>
            <w:noWrap/>
            <w:vAlign w:val="center"/>
            <w:hideMark/>
          </w:tcPr>
          <w:p w14:paraId="16AFCD67" w14:textId="77777777" w:rsidR="000F3F85" w:rsidRPr="00C47F2F" w:rsidRDefault="000F3F85" w:rsidP="00BD665F">
            <w:pPr>
              <w:jc w:val="left"/>
              <w:rPr>
                <w:noProof/>
                <w:color w:val="000000"/>
                <w:sz w:val="20"/>
              </w:rPr>
            </w:pPr>
            <w:r w:rsidRPr="00C47F2F">
              <w:rPr>
                <w:noProof/>
                <w:color w:val="000000"/>
                <w:sz w:val="20"/>
              </w:rPr>
              <w:t>2.33E+00</w:t>
            </w:r>
          </w:p>
        </w:tc>
        <w:tc>
          <w:tcPr>
            <w:tcW w:w="1037" w:type="dxa"/>
            <w:shd w:val="clear" w:color="auto" w:fill="auto"/>
            <w:noWrap/>
            <w:vAlign w:val="center"/>
            <w:hideMark/>
          </w:tcPr>
          <w:p w14:paraId="7167A781" w14:textId="77777777" w:rsidR="000F3F85" w:rsidRPr="00C47F2F" w:rsidRDefault="000F3F85" w:rsidP="00BD665F">
            <w:pPr>
              <w:jc w:val="left"/>
              <w:rPr>
                <w:noProof/>
                <w:color w:val="000000"/>
                <w:sz w:val="20"/>
              </w:rPr>
            </w:pPr>
            <w:r w:rsidRPr="00C47F2F">
              <w:rPr>
                <w:noProof/>
                <w:color w:val="000000"/>
                <w:sz w:val="20"/>
              </w:rPr>
              <w:t>2.33E+00</w:t>
            </w:r>
          </w:p>
        </w:tc>
        <w:tc>
          <w:tcPr>
            <w:tcW w:w="1037" w:type="dxa"/>
            <w:shd w:val="clear" w:color="auto" w:fill="auto"/>
            <w:noWrap/>
            <w:vAlign w:val="center"/>
            <w:hideMark/>
          </w:tcPr>
          <w:p w14:paraId="3091FDD2" w14:textId="77777777" w:rsidR="000F3F85" w:rsidRPr="00C47F2F" w:rsidRDefault="000F3F85" w:rsidP="00BD665F">
            <w:pPr>
              <w:jc w:val="left"/>
              <w:rPr>
                <w:noProof/>
                <w:color w:val="000000"/>
                <w:sz w:val="20"/>
              </w:rPr>
            </w:pPr>
            <w:r w:rsidRPr="00C47F2F">
              <w:rPr>
                <w:noProof/>
                <w:color w:val="000000"/>
                <w:sz w:val="20"/>
              </w:rPr>
              <w:t>3.48E+00</w:t>
            </w:r>
          </w:p>
        </w:tc>
        <w:tc>
          <w:tcPr>
            <w:tcW w:w="1036" w:type="dxa"/>
            <w:shd w:val="clear" w:color="auto" w:fill="auto"/>
            <w:noWrap/>
            <w:vAlign w:val="center"/>
            <w:hideMark/>
          </w:tcPr>
          <w:p w14:paraId="6BC321CD" w14:textId="77777777" w:rsidR="000F3F85" w:rsidRPr="00C47F2F" w:rsidRDefault="000F3F85" w:rsidP="00BD665F">
            <w:pPr>
              <w:jc w:val="left"/>
              <w:rPr>
                <w:noProof/>
                <w:color w:val="000000"/>
                <w:sz w:val="20"/>
              </w:rPr>
            </w:pPr>
            <w:r w:rsidRPr="00C47F2F">
              <w:rPr>
                <w:noProof/>
                <w:color w:val="000000"/>
                <w:sz w:val="20"/>
              </w:rPr>
              <w:t>3.48E+00</w:t>
            </w:r>
          </w:p>
        </w:tc>
        <w:tc>
          <w:tcPr>
            <w:tcW w:w="1037" w:type="dxa"/>
            <w:shd w:val="clear" w:color="auto" w:fill="auto"/>
            <w:noWrap/>
            <w:vAlign w:val="center"/>
            <w:hideMark/>
          </w:tcPr>
          <w:p w14:paraId="37F49E60" w14:textId="77777777" w:rsidR="000F3F85" w:rsidRPr="00C47F2F" w:rsidRDefault="000F3F85" w:rsidP="00BD665F">
            <w:pPr>
              <w:jc w:val="left"/>
              <w:rPr>
                <w:noProof/>
                <w:color w:val="000000"/>
                <w:sz w:val="20"/>
              </w:rPr>
            </w:pPr>
            <w:r w:rsidRPr="00C47F2F">
              <w:rPr>
                <w:noProof/>
                <w:color w:val="000000"/>
                <w:sz w:val="20"/>
              </w:rPr>
              <w:t>3.48E+00</w:t>
            </w:r>
          </w:p>
        </w:tc>
        <w:tc>
          <w:tcPr>
            <w:tcW w:w="1037" w:type="dxa"/>
            <w:shd w:val="clear" w:color="auto" w:fill="auto"/>
            <w:noWrap/>
            <w:vAlign w:val="center"/>
            <w:hideMark/>
          </w:tcPr>
          <w:p w14:paraId="3E6C87BE" w14:textId="77777777" w:rsidR="000F3F85" w:rsidRPr="00C47F2F" w:rsidRDefault="000F3F85" w:rsidP="00BD665F">
            <w:pPr>
              <w:jc w:val="left"/>
              <w:rPr>
                <w:noProof/>
                <w:color w:val="000000"/>
                <w:sz w:val="20"/>
              </w:rPr>
            </w:pPr>
            <w:r w:rsidRPr="00C47F2F">
              <w:rPr>
                <w:noProof/>
                <w:color w:val="000000"/>
                <w:sz w:val="20"/>
              </w:rPr>
              <w:t>3.48E+00</w:t>
            </w:r>
          </w:p>
        </w:tc>
      </w:tr>
      <w:tr w:rsidR="000F3F85" w:rsidRPr="00972C81" w14:paraId="096CBC42" w14:textId="77777777" w:rsidTr="00BD665F">
        <w:trPr>
          <w:trHeight w:val="340"/>
        </w:trPr>
        <w:tc>
          <w:tcPr>
            <w:tcW w:w="2807" w:type="dxa"/>
            <w:shd w:val="clear" w:color="auto" w:fill="auto"/>
            <w:noWrap/>
            <w:vAlign w:val="center"/>
            <w:hideMark/>
          </w:tcPr>
          <w:p w14:paraId="73C580EA" w14:textId="4E8761C6" w:rsidR="000F3F85" w:rsidRPr="000F3F85" w:rsidRDefault="000F3F85" w:rsidP="00BD665F">
            <w:pPr>
              <w:jc w:val="left"/>
              <w:rPr>
                <w:noProof/>
                <w:color w:val="000000"/>
                <w:sz w:val="20"/>
              </w:rPr>
            </w:pPr>
            <w:r w:rsidRPr="000F3F85">
              <w:rPr>
                <w:noProof/>
                <w:color w:val="000000"/>
                <w:sz w:val="20"/>
              </w:rPr>
              <w:t>Blood to  ST2</w:t>
            </w:r>
          </w:p>
        </w:tc>
        <w:tc>
          <w:tcPr>
            <w:tcW w:w="1036" w:type="dxa"/>
            <w:shd w:val="clear" w:color="auto" w:fill="auto"/>
            <w:noWrap/>
            <w:vAlign w:val="center"/>
            <w:hideMark/>
          </w:tcPr>
          <w:p w14:paraId="7AEF982D" w14:textId="77777777" w:rsidR="000F3F85" w:rsidRPr="00C47F2F" w:rsidRDefault="000F3F85" w:rsidP="00BD665F">
            <w:pPr>
              <w:jc w:val="left"/>
              <w:rPr>
                <w:noProof/>
                <w:color w:val="000000"/>
                <w:sz w:val="20"/>
              </w:rPr>
            </w:pPr>
            <w:r w:rsidRPr="00C47F2F">
              <w:rPr>
                <w:noProof/>
                <w:color w:val="000000"/>
                <w:sz w:val="20"/>
              </w:rPr>
              <w:t>4.66E-01</w:t>
            </w:r>
          </w:p>
        </w:tc>
        <w:tc>
          <w:tcPr>
            <w:tcW w:w="1037" w:type="dxa"/>
            <w:shd w:val="clear" w:color="auto" w:fill="auto"/>
            <w:noWrap/>
            <w:vAlign w:val="center"/>
            <w:hideMark/>
          </w:tcPr>
          <w:p w14:paraId="54ADEA43" w14:textId="77777777" w:rsidR="000F3F85" w:rsidRPr="00C47F2F" w:rsidRDefault="000F3F85" w:rsidP="00BD665F">
            <w:pPr>
              <w:jc w:val="left"/>
              <w:rPr>
                <w:noProof/>
                <w:color w:val="000000"/>
                <w:sz w:val="20"/>
              </w:rPr>
            </w:pPr>
            <w:r w:rsidRPr="00C47F2F">
              <w:rPr>
                <w:noProof/>
                <w:color w:val="000000"/>
                <w:sz w:val="20"/>
              </w:rPr>
              <w:t>4.66E-01</w:t>
            </w:r>
          </w:p>
        </w:tc>
        <w:tc>
          <w:tcPr>
            <w:tcW w:w="1037" w:type="dxa"/>
            <w:shd w:val="clear" w:color="auto" w:fill="auto"/>
            <w:noWrap/>
            <w:vAlign w:val="center"/>
            <w:hideMark/>
          </w:tcPr>
          <w:p w14:paraId="2F00E62E" w14:textId="77777777" w:rsidR="000F3F85" w:rsidRPr="00C47F2F" w:rsidRDefault="000F3F85" w:rsidP="00BD665F">
            <w:pPr>
              <w:jc w:val="left"/>
              <w:rPr>
                <w:noProof/>
                <w:color w:val="000000"/>
                <w:sz w:val="20"/>
              </w:rPr>
            </w:pPr>
            <w:r w:rsidRPr="00C47F2F">
              <w:rPr>
                <w:noProof/>
                <w:color w:val="000000"/>
                <w:sz w:val="20"/>
              </w:rPr>
              <w:t>4.66E-01</w:t>
            </w:r>
          </w:p>
        </w:tc>
        <w:tc>
          <w:tcPr>
            <w:tcW w:w="1036" w:type="dxa"/>
            <w:shd w:val="clear" w:color="auto" w:fill="auto"/>
            <w:noWrap/>
            <w:vAlign w:val="center"/>
            <w:hideMark/>
          </w:tcPr>
          <w:p w14:paraId="508B4462" w14:textId="77777777" w:rsidR="000F3F85" w:rsidRPr="00C47F2F" w:rsidRDefault="000F3F85" w:rsidP="00BD665F">
            <w:pPr>
              <w:jc w:val="left"/>
              <w:rPr>
                <w:noProof/>
                <w:color w:val="000000"/>
                <w:sz w:val="20"/>
              </w:rPr>
            </w:pPr>
            <w:r w:rsidRPr="00C47F2F">
              <w:rPr>
                <w:noProof/>
                <w:color w:val="000000"/>
                <w:sz w:val="20"/>
              </w:rPr>
              <w:t>4.66E-01</w:t>
            </w:r>
          </w:p>
        </w:tc>
        <w:tc>
          <w:tcPr>
            <w:tcW w:w="1037" w:type="dxa"/>
            <w:shd w:val="clear" w:color="auto" w:fill="auto"/>
            <w:noWrap/>
            <w:vAlign w:val="center"/>
            <w:hideMark/>
          </w:tcPr>
          <w:p w14:paraId="09CB3CFF" w14:textId="77777777" w:rsidR="000F3F85" w:rsidRPr="00C47F2F" w:rsidRDefault="000F3F85" w:rsidP="00BD665F">
            <w:pPr>
              <w:jc w:val="left"/>
              <w:rPr>
                <w:noProof/>
                <w:color w:val="000000"/>
                <w:sz w:val="20"/>
              </w:rPr>
            </w:pPr>
            <w:r w:rsidRPr="00C47F2F">
              <w:rPr>
                <w:noProof/>
                <w:color w:val="000000"/>
                <w:sz w:val="20"/>
              </w:rPr>
              <w:t>4.66E-01</w:t>
            </w:r>
          </w:p>
        </w:tc>
        <w:tc>
          <w:tcPr>
            <w:tcW w:w="1037" w:type="dxa"/>
            <w:shd w:val="clear" w:color="auto" w:fill="auto"/>
            <w:noWrap/>
            <w:vAlign w:val="center"/>
            <w:hideMark/>
          </w:tcPr>
          <w:p w14:paraId="54EFAA7F" w14:textId="77777777" w:rsidR="000F3F85" w:rsidRPr="00C47F2F" w:rsidRDefault="000F3F85" w:rsidP="00BD665F">
            <w:pPr>
              <w:jc w:val="left"/>
              <w:rPr>
                <w:noProof/>
                <w:color w:val="000000"/>
                <w:sz w:val="20"/>
              </w:rPr>
            </w:pPr>
            <w:r w:rsidRPr="00C47F2F">
              <w:rPr>
                <w:noProof/>
                <w:color w:val="000000"/>
                <w:sz w:val="20"/>
              </w:rPr>
              <w:t>4.66E-01</w:t>
            </w:r>
          </w:p>
        </w:tc>
      </w:tr>
      <w:tr w:rsidR="000F3F85" w:rsidRPr="00972C81" w14:paraId="2681FB5A" w14:textId="77777777" w:rsidTr="00BD665F">
        <w:trPr>
          <w:trHeight w:val="340"/>
        </w:trPr>
        <w:tc>
          <w:tcPr>
            <w:tcW w:w="2807" w:type="dxa"/>
            <w:shd w:val="clear" w:color="auto" w:fill="auto"/>
            <w:noWrap/>
            <w:vAlign w:val="center"/>
            <w:hideMark/>
          </w:tcPr>
          <w:p w14:paraId="2B7ED598" w14:textId="4182656A" w:rsidR="000F3F85" w:rsidRPr="000F3F85" w:rsidRDefault="000F3F85" w:rsidP="00BD665F">
            <w:pPr>
              <w:jc w:val="left"/>
              <w:rPr>
                <w:noProof/>
                <w:color w:val="000000"/>
                <w:sz w:val="20"/>
              </w:rPr>
            </w:pPr>
            <w:r w:rsidRPr="000F3F85">
              <w:rPr>
                <w:noProof/>
                <w:color w:val="000000"/>
                <w:sz w:val="20"/>
              </w:rPr>
              <w:t>Blood to Cort bone surf</w:t>
            </w:r>
          </w:p>
        </w:tc>
        <w:tc>
          <w:tcPr>
            <w:tcW w:w="1036" w:type="dxa"/>
            <w:shd w:val="clear" w:color="auto" w:fill="auto"/>
            <w:noWrap/>
            <w:vAlign w:val="center"/>
            <w:hideMark/>
          </w:tcPr>
          <w:p w14:paraId="3BD4E2BD" w14:textId="77777777" w:rsidR="000F3F85" w:rsidRPr="00C47F2F" w:rsidRDefault="000F3F85" w:rsidP="00BD665F">
            <w:pPr>
              <w:jc w:val="left"/>
              <w:rPr>
                <w:noProof/>
                <w:color w:val="000000"/>
                <w:sz w:val="20"/>
              </w:rPr>
            </w:pPr>
            <w:r w:rsidRPr="00C47F2F">
              <w:rPr>
                <w:noProof/>
                <w:color w:val="000000"/>
                <w:sz w:val="20"/>
              </w:rPr>
              <w:t>8.15E+00</w:t>
            </w:r>
          </w:p>
        </w:tc>
        <w:tc>
          <w:tcPr>
            <w:tcW w:w="1037" w:type="dxa"/>
            <w:shd w:val="clear" w:color="auto" w:fill="auto"/>
            <w:noWrap/>
            <w:vAlign w:val="center"/>
            <w:hideMark/>
          </w:tcPr>
          <w:p w14:paraId="710B412D" w14:textId="77777777" w:rsidR="000F3F85" w:rsidRPr="00C47F2F" w:rsidRDefault="000F3F85" w:rsidP="00BD665F">
            <w:pPr>
              <w:jc w:val="left"/>
              <w:rPr>
                <w:noProof/>
                <w:color w:val="000000"/>
                <w:sz w:val="20"/>
              </w:rPr>
            </w:pPr>
            <w:r w:rsidRPr="00C47F2F">
              <w:rPr>
                <w:noProof/>
                <w:color w:val="000000"/>
                <w:sz w:val="20"/>
              </w:rPr>
              <w:t>8.15E+00</w:t>
            </w:r>
          </w:p>
        </w:tc>
        <w:tc>
          <w:tcPr>
            <w:tcW w:w="1037" w:type="dxa"/>
            <w:shd w:val="clear" w:color="auto" w:fill="auto"/>
            <w:noWrap/>
            <w:vAlign w:val="center"/>
            <w:hideMark/>
          </w:tcPr>
          <w:p w14:paraId="57D0575A" w14:textId="77777777" w:rsidR="000F3F85" w:rsidRPr="00C47F2F" w:rsidRDefault="000F3F85" w:rsidP="00BD665F">
            <w:pPr>
              <w:jc w:val="left"/>
              <w:rPr>
                <w:noProof/>
                <w:color w:val="000000"/>
                <w:sz w:val="20"/>
              </w:rPr>
            </w:pPr>
            <w:r w:rsidRPr="00C47F2F">
              <w:rPr>
                <w:noProof/>
                <w:color w:val="000000"/>
                <w:sz w:val="20"/>
              </w:rPr>
              <w:t>5.82E+00</w:t>
            </w:r>
          </w:p>
        </w:tc>
        <w:tc>
          <w:tcPr>
            <w:tcW w:w="1036" w:type="dxa"/>
            <w:shd w:val="clear" w:color="auto" w:fill="auto"/>
            <w:noWrap/>
            <w:vAlign w:val="center"/>
            <w:hideMark/>
          </w:tcPr>
          <w:p w14:paraId="6EB40936" w14:textId="77777777" w:rsidR="000F3F85" w:rsidRPr="00C47F2F" w:rsidRDefault="000F3F85" w:rsidP="00BD665F">
            <w:pPr>
              <w:jc w:val="left"/>
              <w:rPr>
                <w:noProof/>
                <w:color w:val="000000"/>
                <w:sz w:val="20"/>
              </w:rPr>
            </w:pPr>
            <w:r w:rsidRPr="00C47F2F">
              <w:rPr>
                <w:noProof/>
                <w:color w:val="000000"/>
                <w:sz w:val="20"/>
              </w:rPr>
              <w:t>5.82E+00</w:t>
            </w:r>
          </w:p>
        </w:tc>
        <w:tc>
          <w:tcPr>
            <w:tcW w:w="1037" w:type="dxa"/>
            <w:shd w:val="clear" w:color="auto" w:fill="auto"/>
            <w:noWrap/>
            <w:vAlign w:val="center"/>
            <w:hideMark/>
          </w:tcPr>
          <w:p w14:paraId="0BD23D94" w14:textId="77777777" w:rsidR="000F3F85" w:rsidRPr="00C47F2F" w:rsidRDefault="000F3F85" w:rsidP="00BD665F">
            <w:pPr>
              <w:jc w:val="left"/>
              <w:rPr>
                <w:noProof/>
                <w:color w:val="000000"/>
                <w:sz w:val="20"/>
              </w:rPr>
            </w:pPr>
            <w:r w:rsidRPr="00C47F2F">
              <w:rPr>
                <w:noProof/>
                <w:color w:val="000000"/>
                <w:sz w:val="20"/>
              </w:rPr>
              <w:t>5.82E+00</w:t>
            </w:r>
          </w:p>
        </w:tc>
        <w:tc>
          <w:tcPr>
            <w:tcW w:w="1037" w:type="dxa"/>
            <w:shd w:val="clear" w:color="auto" w:fill="auto"/>
            <w:noWrap/>
            <w:vAlign w:val="center"/>
            <w:hideMark/>
          </w:tcPr>
          <w:p w14:paraId="1B910BE4" w14:textId="77777777" w:rsidR="000F3F85" w:rsidRPr="00C47F2F" w:rsidRDefault="000F3F85" w:rsidP="00BD665F">
            <w:pPr>
              <w:jc w:val="left"/>
              <w:rPr>
                <w:noProof/>
                <w:color w:val="000000"/>
                <w:sz w:val="20"/>
              </w:rPr>
            </w:pPr>
            <w:r w:rsidRPr="00C47F2F">
              <w:rPr>
                <w:noProof/>
                <w:color w:val="000000"/>
                <w:sz w:val="20"/>
              </w:rPr>
              <w:t>4.08E+00</w:t>
            </w:r>
          </w:p>
        </w:tc>
      </w:tr>
      <w:tr w:rsidR="000F3F85" w:rsidRPr="00972C81" w14:paraId="4412CE69" w14:textId="77777777" w:rsidTr="00BD665F">
        <w:trPr>
          <w:trHeight w:val="340"/>
        </w:trPr>
        <w:tc>
          <w:tcPr>
            <w:tcW w:w="2807" w:type="dxa"/>
            <w:shd w:val="clear" w:color="auto" w:fill="auto"/>
            <w:noWrap/>
            <w:vAlign w:val="center"/>
            <w:hideMark/>
          </w:tcPr>
          <w:p w14:paraId="63947725" w14:textId="45EF11D1" w:rsidR="000F3F85" w:rsidRPr="000F3F85" w:rsidRDefault="000F3F85" w:rsidP="00BD665F">
            <w:pPr>
              <w:jc w:val="left"/>
              <w:rPr>
                <w:noProof/>
                <w:color w:val="000000"/>
                <w:sz w:val="20"/>
              </w:rPr>
            </w:pPr>
            <w:r w:rsidRPr="000F3F85">
              <w:rPr>
                <w:noProof/>
                <w:color w:val="000000"/>
                <w:sz w:val="20"/>
              </w:rPr>
              <w:t>Blood to Trab bone surf</w:t>
            </w:r>
          </w:p>
        </w:tc>
        <w:tc>
          <w:tcPr>
            <w:tcW w:w="1036" w:type="dxa"/>
            <w:shd w:val="clear" w:color="auto" w:fill="auto"/>
            <w:noWrap/>
            <w:vAlign w:val="center"/>
            <w:hideMark/>
          </w:tcPr>
          <w:p w14:paraId="51ABC345" w14:textId="77777777" w:rsidR="000F3F85" w:rsidRPr="00C47F2F" w:rsidRDefault="000F3F85" w:rsidP="00BD665F">
            <w:pPr>
              <w:jc w:val="left"/>
              <w:rPr>
                <w:noProof/>
                <w:color w:val="000000"/>
                <w:sz w:val="20"/>
              </w:rPr>
            </w:pPr>
            <w:r w:rsidRPr="00C47F2F">
              <w:rPr>
                <w:noProof/>
                <w:color w:val="000000"/>
                <w:sz w:val="20"/>
              </w:rPr>
              <w:t>8.15E+00</w:t>
            </w:r>
          </w:p>
        </w:tc>
        <w:tc>
          <w:tcPr>
            <w:tcW w:w="1037" w:type="dxa"/>
            <w:shd w:val="clear" w:color="auto" w:fill="auto"/>
            <w:noWrap/>
            <w:vAlign w:val="center"/>
            <w:hideMark/>
          </w:tcPr>
          <w:p w14:paraId="456F1F6F" w14:textId="77777777" w:rsidR="000F3F85" w:rsidRPr="00C47F2F" w:rsidRDefault="000F3F85" w:rsidP="00BD665F">
            <w:pPr>
              <w:jc w:val="left"/>
              <w:rPr>
                <w:noProof/>
                <w:color w:val="000000"/>
                <w:sz w:val="20"/>
              </w:rPr>
            </w:pPr>
            <w:r w:rsidRPr="00C47F2F">
              <w:rPr>
                <w:noProof/>
                <w:color w:val="000000"/>
                <w:sz w:val="20"/>
              </w:rPr>
              <w:t>8.15E+00</w:t>
            </w:r>
          </w:p>
        </w:tc>
        <w:tc>
          <w:tcPr>
            <w:tcW w:w="1037" w:type="dxa"/>
            <w:shd w:val="clear" w:color="auto" w:fill="auto"/>
            <w:noWrap/>
            <w:vAlign w:val="center"/>
            <w:hideMark/>
          </w:tcPr>
          <w:p w14:paraId="5315B858" w14:textId="77777777" w:rsidR="000F3F85" w:rsidRPr="00C47F2F" w:rsidRDefault="000F3F85" w:rsidP="00BD665F">
            <w:pPr>
              <w:jc w:val="left"/>
              <w:rPr>
                <w:noProof/>
                <w:color w:val="000000"/>
                <w:sz w:val="20"/>
              </w:rPr>
            </w:pPr>
            <w:r w:rsidRPr="00C47F2F">
              <w:rPr>
                <w:noProof/>
                <w:color w:val="000000"/>
                <w:sz w:val="20"/>
              </w:rPr>
              <w:t>5.82E+00</w:t>
            </w:r>
          </w:p>
        </w:tc>
        <w:tc>
          <w:tcPr>
            <w:tcW w:w="1036" w:type="dxa"/>
            <w:shd w:val="clear" w:color="auto" w:fill="auto"/>
            <w:noWrap/>
            <w:vAlign w:val="center"/>
            <w:hideMark/>
          </w:tcPr>
          <w:p w14:paraId="034DEBB4" w14:textId="77777777" w:rsidR="000F3F85" w:rsidRPr="00C47F2F" w:rsidRDefault="000F3F85" w:rsidP="00BD665F">
            <w:pPr>
              <w:jc w:val="left"/>
              <w:rPr>
                <w:noProof/>
                <w:color w:val="000000"/>
                <w:sz w:val="20"/>
              </w:rPr>
            </w:pPr>
            <w:r w:rsidRPr="00C47F2F">
              <w:rPr>
                <w:noProof/>
                <w:color w:val="000000"/>
                <w:sz w:val="20"/>
              </w:rPr>
              <w:t>5.82E+00</w:t>
            </w:r>
          </w:p>
        </w:tc>
        <w:tc>
          <w:tcPr>
            <w:tcW w:w="1037" w:type="dxa"/>
            <w:shd w:val="clear" w:color="auto" w:fill="auto"/>
            <w:noWrap/>
            <w:vAlign w:val="center"/>
            <w:hideMark/>
          </w:tcPr>
          <w:p w14:paraId="5F5802CC" w14:textId="77777777" w:rsidR="000F3F85" w:rsidRPr="00C47F2F" w:rsidRDefault="000F3F85" w:rsidP="00BD665F">
            <w:pPr>
              <w:jc w:val="left"/>
              <w:rPr>
                <w:noProof/>
                <w:color w:val="000000"/>
                <w:sz w:val="20"/>
              </w:rPr>
            </w:pPr>
            <w:r w:rsidRPr="00C47F2F">
              <w:rPr>
                <w:noProof/>
                <w:color w:val="000000"/>
                <w:sz w:val="20"/>
              </w:rPr>
              <w:t>5.82E+00</w:t>
            </w:r>
          </w:p>
        </w:tc>
        <w:tc>
          <w:tcPr>
            <w:tcW w:w="1037" w:type="dxa"/>
            <w:shd w:val="clear" w:color="auto" w:fill="auto"/>
            <w:noWrap/>
            <w:vAlign w:val="center"/>
            <w:hideMark/>
          </w:tcPr>
          <w:p w14:paraId="4E7044F8" w14:textId="77777777" w:rsidR="000F3F85" w:rsidRPr="00C47F2F" w:rsidRDefault="000F3F85" w:rsidP="00BD665F">
            <w:pPr>
              <w:jc w:val="left"/>
              <w:rPr>
                <w:noProof/>
                <w:color w:val="000000"/>
                <w:sz w:val="20"/>
              </w:rPr>
            </w:pPr>
            <w:r w:rsidRPr="00C47F2F">
              <w:rPr>
                <w:noProof/>
                <w:color w:val="000000"/>
                <w:sz w:val="20"/>
              </w:rPr>
              <w:t>4.08E+00</w:t>
            </w:r>
          </w:p>
        </w:tc>
      </w:tr>
      <w:tr w:rsidR="000F3F85" w:rsidRPr="00972C81" w14:paraId="7C42B548" w14:textId="77777777" w:rsidTr="00BD665F">
        <w:trPr>
          <w:trHeight w:val="340"/>
        </w:trPr>
        <w:tc>
          <w:tcPr>
            <w:tcW w:w="2807" w:type="dxa"/>
            <w:shd w:val="clear" w:color="auto" w:fill="auto"/>
            <w:noWrap/>
            <w:vAlign w:val="center"/>
            <w:hideMark/>
          </w:tcPr>
          <w:p w14:paraId="208576B3" w14:textId="1F942BFB" w:rsidR="000F3F85" w:rsidRPr="000F3F85" w:rsidRDefault="000F3F85" w:rsidP="00BD665F">
            <w:pPr>
              <w:jc w:val="left"/>
              <w:rPr>
                <w:noProof/>
                <w:color w:val="000000"/>
                <w:sz w:val="20"/>
              </w:rPr>
            </w:pPr>
            <w:r w:rsidRPr="000F3F85">
              <w:rPr>
                <w:noProof/>
                <w:color w:val="000000"/>
                <w:sz w:val="20"/>
              </w:rPr>
              <w:t>Blood to Kidneys 1</w:t>
            </w:r>
          </w:p>
        </w:tc>
        <w:tc>
          <w:tcPr>
            <w:tcW w:w="1036" w:type="dxa"/>
            <w:shd w:val="clear" w:color="auto" w:fill="auto"/>
            <w:noWrap/>
            <w:vAlign w:val="center"/>
            <w:hideMark/>
          </w:tcPr>
          <w:p w14:paraId="3B2781BA" w14:textId="77777777" w:rsidR="000F3F85" w:rsidRPr="00C47F2F" w:rsidRDefault="000F3F85" w:rsidP="00BD665F">
            <w:pPr>
              <w:jc w:val="left"/>
              <w:rPr>
                <w:noProof/>
                <w:color w:val="000000"/>
                <w:sz w:val="20"/>
              </w:rPr>
            </w:pPr>
            <w:r w:rsidRPr="00C47F2F">
              <w:rPr>
                <w:noProof/>
                <w:color w:val="000000"/>
                <w:sz w:val="20"/>
              </w:rPr>
              <w:t>3.49E-01</w:t>
            </w:r>
          </w:p>
        </w:tc>
        <w:tc>
          <w:tcPr>
            <w:tcW w:w="1037" w:type="dxa"/>
            <w:shd w:val="clear" w:color="auto" w:fill="auto"/>
            <w:noWrap/>
            <w:vAlign w:val="center"/>
            <w:hideMark/>
          </w:tcPr>
          <w:p w14:paraId="75A88818" w14:textId="77777777" w:rsidR="000F3F85" w:rsidRPr="00C47F2F" w:rsidRDefault="000F3F85" w:rsidP="00BD665F">
            <w:pPr>
              <w:jc w:val="left"/>
              <w:rPr>
                <w:noProof/>
                <w:color w:val="000000"/>
                <w:sz w:val="20"/>
              </w:rPr>
            </w:pPr>
            <w:r w:rsidRPr="00C47F2F">
              <w:rPr>
                <w:noProof/>
                <w:color w:val="000000"/>
                <w:sz w:val="20"/>
              </w:rPr>
              <w:t>3.49E-01</w:t>
            </w:r>
          </w:p>
        </w:tc>
        <w:tc>
          <w:tcPr>
            <w:tcW w:w="1037" w:type="dxa"/>
            <w:shd w:val="clear" w:color="auto" w:fill="auto"/>
            <w:noWrap/>
            <w:vAlign w:val="center"/>
            <w:hideMark/>
          </w:tcPr>
          <w:p w14:paraId="5D7A0484" w14:textId="77777777" w:rsidR="000F3F85" w:rsidRPr="00C47F2F" w:rsidRDefault="000F3F85" w:rsidP="00BD665F">
            <w:pPr>
              <w:jc w:val="left"/>
              <w:rPr>
                <w:noProof/>
                <w:color w:val="000000"/>
                <w:sz w:val="20"/>
              </w:rPr>
            </w:pPr>
            <w:r w:rsidRPr="00C47F2F">
              <w:rPr>
                <w:noProof/>
                <w:color w:val="000000"/>
                <w:sz w:val="20"/>
              </w:rPr>
              <w:t>3.49E-01</w:t>
            </w:r>
          </w:p>
        </w:tc>
        <w:tc>
          <w:tcPr>
            <w:tcW w:w="1036" w:type="dxa"/>
            <w:shd w:val="clear" w:color="auto" w:fill="auto"/>
            <w:noWrap/>
            <w:vAlign w:val="center"/>
            <w:hideMark/>
          </w:tcPr>
          <w:p w14:paraId="2D0C2946" w14:textId="77777777" w:rsidR="000F3F85" w:rsidRPr="00C47F2F" w:rsidRDefault="000F3F85" w:rsidP="00BD665F">
            <w:pPr>
              <w:jc w:val="left"/>
              <w:rPr>
                <w:noProof/>
                <w:color w:val="000000"/>
                <w:sz w:val="20"/>
              </w:rPr>
            </w:pPr>
            <w:r w:rsidRPr="00C47F2F">
              <w:rPr>
                <w:noProof/>
                <w:color w:val="000000"/>
                <w:sz w:val="20"/>
              </w:rPr>
              <w:t>3.49E-01</w:t>
            </w:r>
          </w:p>
        </w:tc>
        <w:tc>
          <w:tcPr>
            <w:tcW w:w="1037" w:type="dxa"/>
            <w:shd w:val="clear" w:color="auto" w:fill="auto"/>
            <w:noWrap/>
            <w:vAlign w:val="center"/>
            <w:hideMark/>
          </w:tcPr>
          <w:p w14:paraId="46983CCB" w14:textId="77777777" w:rsidR="000F3F85" w:rsidRPr="00C47F2F" w:rsidRDefault="000F3F85" w:rsidP="00BD665F">
            <w:pPr>
              <w:jc w:val="left"/>
              <w:rPr>
                <w:noProof/>
                <w:color w:val="000000"/>
                <w:sz w:val="20"/>
              </w:rPr>
            </w:pPr>
            <w:r w:rsidRPr="00C47F2F">
              <w:rPr>
                <w:noProof/>
                <w:color w:val="000000"/>
                <w:sz w:val="20"/>
              </w:rPr>
              <w:t>3.49E-01</w:t>
            </w:r>
          </w:p>
        </w:tc>
        <w:tc>
          <w:tcPr>
            <w:tcW w:w="1037" w:type="dxa"/>
            <w:shd w:val="clear" w:color="auto" w:fill="auto"/>
            <w:noWrap/>
            <w:vAlign w:val="center"/>
            <w:hideMark/>
          </w:tcPr>
          <w:p w14:paraId="596113D5" w14:textId="77777777" w:rsidR="000F3F85" w:rsidRPr="00C47F2F" w:rsidRDefault="000F3F85" w:rsidP="00BD665F">
            <w:pPr>
              <w:jc w:val="left"/>
              <w:rPr>
                <w:noProof/>
                <w:color w:val="000000"/>
                <w:sz w:val="20"/>
              </w:rPr>
            </w:pPr>
            <w:r w:rsidRPr="00C47F2F">
              <w:rPr>
                <w:noProof/>
                <w:color w:val="000000"/>
                <w:sz w:val="20"/>
              </w:rPr>
              <w:t>3.49E-01</w:t>
            </w:r>
          </w:p>
        </w:tc>
      </w:tr>
      <w:tr w:rsidR="000F3F85" w:rsidRPr="00972C81" w14:paraId="7F0A0189" w14:textId="77777777" w:rsidTr="00BD665F">
        <w:trPr>
          <w:trHeight w:val="340"/>
        </w:trPr>
        <w:tc>
          <w:tcPr>
            <w:tcW w:w="2807" w:type="dxa"/>
            <w:shd w:val="clear" w:color="auto" w:fill="auto"/>
            <w:noWrap/>
            <w:vAlign w:val="center"/>
            <w:hideMark/>
          </w:tcPr>
          <w:p w14:paraId="2631825E" w14:textId="3BA9524E" w:rsidR="000F3F85" w:rsidRPr="000F3F85" w:rsidRDefault="000F3F85" w:rsidP="00BD665F">
            <w:pPr>
              <w:jc w:val="left"/>
              <w:rPr>
                <w:noProof/>
                <w:color w:val="000000"/>
                <w:sz w:val="20"/>
              </w:rPr>
            </w:pPr>
            <w:r w:rsidRPr="000F3F85">
              <w:rPr>
                <w:noProof/>
                <w:color w:val="000000"/>
                <w:sz w:val="20"/>
              </w:rPr>
              <w:t>Blood to RC content</w:t>
            </w:r>
          </w:p>
        </w:tc>
        <w:tc>
          <w:tcPr>
            <w:tcW w:w="1036" w:type="dxa"/>
            <w:shd w:val="clear" w:color="auto" w:fill="auto"/>
            <w:noWrap/>
            <w:vAlign w:val="center"/>
            <w:hideMark/>
          </w:tcPr>
          <w:p w14:paraId="546329B0" w14:textId="77777777" w:rsidR="000F3F85" w:rsidRPr="00C47F2F" w:rsidRDefault="000F3F85" w:rsidP="00BD665F">
            <w:pPr>
              <w:jc w:val="left"/>
              <w:rPr>
                <w:noProof/>
                <w:color w:val="000000"/>
                <w:sz w:val="20"/>
              </w:rPr>
            </w:pPr>
            <w:r w:rsidRPr="00C47F2F">
              <w:rPr>
                <w:noProof/>
                <w:color w:val="000000"/>
                <w:sz w:val="20"/>
              </w:rPr>
              <w:t>2.33E-01</w:t>
            </w:r>
          </w:p>
        </w:tc>
        <w:tc>
          <w:tcPr>
            <w:tcW w:w="1037" w:type="dxa"/>
            <w:shd w:val="clear" w:color="auto" w:fill="auto"/>
            <w:noWrap/>
            <w:vAlign w:val="center"/>
            <w:hideMark/>
          </w:tcPr>
          <w:p w14:paraId="7B432119" w14:textId="77777777" w:rsidR="000F3F85" w:rsidRPr="00C47F2F" w:rsidRDefault="000F3F85" w:rsidP="00BD665F">
            <w:pPr>
              <w:jc w:val="left"/>
              <w:rPr>
                <w:noProof/>
                <w:color w:val="000000"/>
                <w:sz w:val="20"/>
              </w:rPr>
            </w:pPr>
            <w:r w:rsidRPr="00C47F2F">
              <w:rPr>
                <w:noProof/>
                <w:color w:val="000000"/>
                <w:sz w:val="20"/>
              </w:rPr>
              <w:t>2.33E-01</w:t>
            </w:r>
          </w:p>
        </w:tc>
        <w:tc>
          <w:tcPr>
            <w:tcW w:w="1037" w:type="dxa"/>
            <w:shd w:val="clear" w:color="auto" w:fill="auto"/>
            <w:noWrap/>
            <w:vAlign w:val="center"/>
            <w:hideMark/>
          </w:tcPr>
          <w:p w14:paraId="5959A5F4" w14:textId="77777777" w:rsidR="000F3F85" w:rsidRPr="00C47F2F" w:rsidRDefault="000F3F85" w:rsidP="00BD665F">
            <w:pPr>
              <w:jc w:val="left"/>
              <w:rPr>
                <w:noProof/>
                <w:color w:val="000000"/>
                <w:sz w:val="20"/>
              </w:rPr>
            </w:pPr>
            <w:r w:rsidRPr="00C47F2F">
              <w:rPr>
                <w:noProof/>
                <w:color w:val="000000"/>
                <w:sz w:val="20"/>
              </w:rPr>
              <w:t>2.33E-01</w:t>
            </w:r>
          </w:p>
        </w:tc>
        <w:tc>
          <w:tcPr>
            <w:tcW w:w="1036" w:type="dxa"/>
            <w:shd w:val="clear" w:color="auto" w:fill="auto"/>
            <w:noWrap/>
            <w:vAlign w:val="center"/>
            <w:hideMark/>
          </w:tcPr>
          <w:p w14:paraId="5F4074CE" w14:textId="77777777" w:rsidR="000F3F85" w:rsidRPr="00C47F2F" w:rsidRDefault="000F3F85" w:rsidP="00BD665F">
            <w:pPr>
              <w:jc w:val="left"/>
              <w:rPr>
                <w:noProof/>
                <w:color w:val="000000"/>
                <w:sz w:val="20"/>
              </w:rPr>
            </w:pPr>
            <w:r w:rsidRPr="00C47F2F">
              <w:rPr>
                <w:noProof/>
                <w:color w:val="000000"/>
                <w:sz w:val="20"/>
              </w:rPr>
              <w:t>2.33E-01</w:t>
            </w:r>
          </w:p>
        </w:tc>
        <w:tc>
          <w:tcPr>
            <w:tcW w:w="1037" w:type="dxa"/>
            <w:shd w:val="clear" w:color="auto" w:fill="auto"/>
            <w:noWrap/>
            <w:vAlign w:val="center"/>
            <w:hideMark/>
          </w:tcPr>
          <w:p w14:paraId="46CDE3A5" w14:textId="77777777" w:rsidR="000F3F85" w:rsidRPr="00C47F2F" w:rsidRDefault="000F3F85" w:rsidP="00BD665F">
            <w:pPr>
              <w:jc w:val="left"/>
              <w:rPr>
                <w:noProof/>
                <w:color w:val="000000"/>
                <w:sz w:val="20"/>
              </w:rPr>
            </w:pPr>
            <w:r w:rsidRPr="00C47F2F">
              <w:rPr>
                <w:noProof/>
                <w:color w:val="000000"/>
                <w:sz w:val="20"/>
              </w:rPr>
              <w:t>2.33E-01</w:t>
            </w:r>
          </w:p>
        </w:tc>
        <w:tc>
          <w:tcPr>
            <w:tcW w:w="1037" w:type="dxa"/>
            <w:shd w:val="clear" w:color="auto" w:fill="auto"/>
            <w:noWrap/>
            <w:vAlign w:val="center"/>
            <w:hideMark/>
          </w:tcPr>
          <w:p w14:paraId="63A2FE7E" w14:textId="77777777" w:rsidR="000F3F85" w:rsidRPr="00C47F2F" w:rsidRDefault="000F3F85" w:rsidP="00BD665F">
            <w:pPr>
              <w:jc w:val="left"/>
              <w:rPr>
                <w:noProof/>
                <w:color w:val="000000"/>
                <w:sz w:val="20"/>
              </w:rPr>
            </w:pPr>
            <w:r w:rsidRPr="00C47F2F">
              <w:rPr>
                <w:noProof/>
                <w:color w:val="000000"/>
                <w:sz w:val="20"/>
              </w:rPr>
              <w:t>2.33E-01</w:t>
            </w:r>
          </w:p>
        </w:tc>
      </w:tr>
      <w:tr w:rsidR="000F3F85" w:rsidRPr="00972C81" w14:paraId="39FF1A85" w14:textId="77777777" w:rsidTr="00BD665F">
        <w:trPr>
          <w:trHeight w:val="340"/>
        </w:trPr>
        <w:tc>
          <w:tcPr>
            <w:tcW w:w="2807" w:type="dxa"/>
            <w:shd w:val="clear" w:color="auto" w:fill="auto"/>
            <w:noWrap/>
            <w:vAlign w:val="center"/>
            <w:hideMark/>
          </w:tcPr>
          <w:p w14:paraId="3DE9D5D6" w14:textId="1CC76D1C" w:rsidR="000F3F85" w:rsidRPr="000F3F85" w:rsidRDefault="000F3F85" w:rsidP="00BD665F">
            <w:pPr>
              <w:jc w:val="left"/>
              <w:rPr>
                <w:noProof/>
                <w:color w:val="000000"/>
                <w:sz w:val="20"/>
              </w:rPr>
            </w:pPr>
            <w:r w:rsidRPr="000F3F85">
              <w:rPr>
                <w:noProof/>
                <w:color w:val="000000"/>
                <w:sz w:val="20"/>
              </w:rPr>
              <w:t>Blood to Kidneys 2</w:t>
            </w:r>
          </w:p>
        </w:tc>
        <w:tc>
          <w:tcPr>
            <w:tcW w:w="1036" w:type="dxa"/>
            <w:shd w:val="clear" w:color="auto" w:fill="auto"/>
            <w:noWrap/>
            <w:vAlign w:val="center"/>
            <w:hideMark/>
          </w:tcPr>
          <w:p w14:paraId="4EBD5054" w14:textId="77777777" w:rsidR="000F3F85" w:rsidRPr="00C47F2F" w:rsidRDefault="000F3F85" w:rsidP="00BD665F">
            <w:pPr>
              <w:jc w:val="left"/>
              <w:rPr>
                <w:noProof/>
                <w:color w:val="000000"/>
                <w:sz w:val="20"/>
              </w:rPr>
            </w:pPr>
            <w:r w:rsidRPr="00C47F2F">
              <w:rPr>
                <w:noProof/>
                <w:color w:val="000000"/>
                <w:sz w:val="20"/>
              </w:rPr>
              <w:t>1.17E-01</w:t>
            </w:r>
          </w:p>
        </w:tc>
        <w:tc>
          <w:tcPr>
            <w:tcW w:w="1037" w:type="dxa"/>
            <w:shd w:val="clear" w:color="auto" w:fill="auto"/>
            <w:noWrap/>
            <w:vAlign w:val="center"/>
            <w:hideMark/>
          </w:tcPr>
          <w:p w14:paraId="4FBF7B55" w14:textId="77777777" w:rsidR="000F3F85" w:rsidRPr="00C47F2F" w:rsidRDefault="000F3F85" w:rsidP="00BD665F">
            <w:pPr>
              <w:jc w:val="left"/>
              <w:rPr>
                <w:noProof/>
                <w:color w:val="000000"/>
                <w:sz w:val="20"/>
              </w:rPr>
            </w:pPr>
            <w:r w:rsidRPr="00C47F2F">
              <w:rPr>
                <w:noProof/>
                <w:color w:val="000000"/>
                <w:sz w:val="20"/>
              </w:rPr>
              <w:t>1.17E-01</w:t>
            </w:r>
          </w:p>
        </w:tc>
        <w:tc>
          <w:tcPr>
            <w:tcW w:w="1037" w:type="dxa"/>
            <w:shd w:val="clear" w:color="auto" w:fill="auto"/>
            <w:noWrap/>
            <w:vAlign w:val="center"/>
            <w:hideMark/>
          </w:tcPr>
          <w:p w14:paraId="7FEB5D64" w14:textId="77777777" w:rsidR="000F3F85" w:rsidRPr="00C47F2F" w:rsidRDefault="000F3F85" w:rsidP="00BD665F">
            <w:pPr>
              <w:jc w:val="left"/>
              <w:rPr>
                <w:noProof/>
                <w:color w:val="000000"/>
                <w:sz w:val="20"/>
              </w:rPr>
            </w:pPr>
            <w:r w:rsidRPr="00C47F2F">
              <w:rPr>
                <w:noProof/>
                <w:color w:val="000000"/>
                <w:sz w:val="20"/>
              </w:rPr>
              <w:t>1.17E-01</w:t>
            </w:r>
          </w:p>
        </w:tc>
        <w:tc>
          <w:tcPr>
            <w:tcW w:w="1036" w:type="dxa"/>
            <w:shd w:val="clear" w:color="auto" w:fill="auto"/>
            <w:noWrap/>
            <w:vAlign w:val="center"/>
            <w:hideMark/>
          </w:tcPr>
          <w:p w14:paraId="036ACCA7" w14:textId="77777777" w:rsidR="000F3F85" w:rsidRPr="00C47F2F" w:rsidRDefault="000F3F85" w:rsidP="00BD665F">
            <w:pPr>
              <w:jc w:val="left"/>
              <w:rPr>
                <w:noProof/>
                <w:color w:val="000000"/>
                <w:sz w:val="20"/>
              </w:rPr>
            </w:pPr>
            <w:r w:rsidRPr="00C47F2F">
              <w:rPr>
                <w:noProof/>
                <w:color w:val="000000"/>
                <w:sz w:val="20"/>
              </w:rPr>
              <w:t>1.17E-01</w:t>
            </w:r>
          </w:p>
        </w:tc>
        <w:tc>
          <w:tcPr>
            <w:tcW w:w="1037" w:type="dxa"/>
            <w:shd w:val="clear" w:color="auto" w:fill="auto"/>
            <w:noWrap/>
            <w:vAlign w:val="center"/>
            <w:hideMark/>
          </w:tcPr>
          <w:p w14:paraId="3339D7CB" w14:textId="77777777" w:rsidR="000F3F85" w:rsidRPr="00C47F2F" w:rsidRDefault="000F3F85" w:rsidP="00BD665F">
            <w:pPr>
              <w:jc w:val="left"/>
              <w:rPr>
                <w:noProof/>
                <w:color w:val="000000"/>
                <w:sz w:val="20"/>
              </w:rPr>
            </w:pPr>
            <w:r w:rsidRPr="00C47F2F">
              <w:rPr>
                <w:noProof/>
                <w:color w:val="000000"/>
                <w:sz w:val="20"/>
              </w:rPr>
              <w:t>1.17E-01</w:t>
            </w:r>
          </w:p>
        </w:tc>
        <w:tc>
          <w:tcPr>
            <w:tcW w:w="1037" w:type="dxa"/>
            <w:shd w:val="clear" w:color="auto" w:fill="auto"/>
            <w:noWrap/>
            <w:vAlign w:val="center"/>
            <w:hideMark/>
          </w:tcPr>
          <w:p w14:paraId="4D185845" w14:textId="77777777" w:rsidR="000F3F85" w:rsidRPr="00C47F2F" w:rsidRDefault="000F3F85" w:rsidP="00BD665F">
            <w:pPr>
              <w:jc w:val="left"/>
              <w:rPr>
                <w:noProof/>
                <w:color w:val="000000"/>
                <w:sz w:val="20"/>
              </w:rPr>
            </w:pPr>
            <w:r w:rsidRPr="00C47F2F">
              <w:rPr>
                <w:noProof/>
                <w:color w:val="000000"/>
                <w:sz w:val="20"/>
              </w:rPr>
              <w:t>1.17E-01</w:t>
            </w:r>
          </w:p>
        </w:tc>
      </w:tr>
      <w:tr w:rsidR="000F3F85" w:rsidRPr="00972C81" w14:paraId="2E959F3E" w14:textId="77777777" w:rsidTr="00BD665F">
        <w:trPr>
          <w:trHeight w:val="340"/>
        </w:trPr>
        <w:tc>
          <w:tcPr>
            <w:tcW w:w="2807" w:type="dxa"/>
            <w:shd w:val="clear" w:color="auto" w:fill="auto"/>
            <w:noWrap/>
            <w:vAlign w:val="center"/>
            <w:hideMark/>
          </w:tcPr>
          <w:p w14:paraId="0AA936CA" w14:textId="1E174125" w:rsidR="000F3F85" w:rsidRPr="000F3F85" w:rsidRDefault="000F3F85" w:rsidP="00BD665F">
            <w:pPr>
              <w:jc w:val="left"/>
              <w:rPr>
                <w:noProof/>
                <w:color w:val="000000"/>
                <w:sz w:val="20"/>
              </w:rPr>
            </w:pPr>
            <w:r w:rsidRPr="000F3F85">
              <w:rPr>
                <w:noProof/>
                <w:color w:val="000000"/>
                <w:sz w:val="20"/>
              </w:rPr>
              <w:t>Blood to Testes</w:t>
            </w:r>
          </w:p>
        </w:tc>
        <w:tc>
          <w:tcPr>
            <w:tcW w:w="1036" w:type="dxa"/>
            <w:shd w:val="clear" w:color="auto" w:fill="auto"/>
            <w:noWrap/>
            <w:vAlign w:val="center"/>
            <w:hideMark/>
          </w:tcPr>
          <w:p w14:paraId="18A78807" w14:textId="77777777" w:rsidR="000F3F85" w:rsidRPr="00C47F2F" w:rsidRDefault="000F3F85" w:rsidP="00BD665F">
            <w:pPr>
              <w:jc w:val="left"/>
              <w:rPr>
                <w:noProof/>
                <w:color w:val="000000"/>
                <w:sz w:val="20"/>
              </w:rPr>
            </w:pPr>
            <w:r w:rsidRPr="00C47F2F">
              <w:rPr>
                <w:noProof/>
                <w:color w:val="000000"/>
                <w:sz w:val="20"/>
              </w:rPr>
              <w:t>4.70E-04</w:t>
            </w:r>
          </w:p>
        </w:tc>
        <w:tc>
          <w:tcPr>
            <w:tcW w:w="1037" w:type="dxa"/>
            <w:shd w:val="clear" w:color="auto" w:fill="auto"/>
            <w:noWrap/>
            <w:vAlign w:val="center"/>
            <w:hideMark/>
          </w:tcPr>
          <w:p w14:paraId="6E1A2133" w14:textId="77777777" w:rsidR="000F3F85" w:rsidRPr="00C47F2F" w:rsidRDefault="000F3F85" w:rsidP="00BD665F">
            <w:pPr>
              <w:jc w:val="left"/>
              <w:rPr>
                <w:noProof/>
                <w:color w:val="000000"/>
                <w:sz w:val="20"/>
              </w:rPr>
            </w:pPr>
            <w:r w:rsidRPr="00C47F2F">
              <w:rPr>
                <w:noProof/>
                <w:color w:val="000000"/>
                <w:sz w:val="20"/>
              </w:rPr>
              <w:t>7.00E-04</w:t>
            </w:r>
          </w:p>
        </w:tc>
        <w:tc>
          <w:tcPr>
            <w:tcW w:w="1037" w:type="dxa"/>
            <w:shd w:val="clear" w:color="auto" w:fill="auto"/>
            <w:noWrap/>
            <w:vAlign w:val="center"/>
            <w:hideMark/>
          </w:tcPr>
          <w:p w14:paraId="7B788541" w14:textId="77777777" w:rsidR="000F3F85" w:rsidRPr="00C47F2F" w:rsidRDefault="000F3F85" w:rsidP="00BD665F">
            <w:pPr>
              <w:jc w:val="left"/>
              <w:rPr>
                <w:noProof/>
                <w:color w:val="000000"/>
                <w:sz w:val="20"/>
              </w:rPr>
            </w:pPr>
            <w:r w:rsidRPr="00C47F2F">
              <w:rPr>
                <w:noProof/>
                <w:color w:val="000000"/>
                <w:sz w:val="20"/>
              </w:rPr>
              <w:t>7.90E-04</w:t>
            </w:r>
          </w:p>
        </w:tc>
        <w:tc>
          <w:tcPr>
            <w:tcW w:w="1036" w:type="dxa"/>
            <w:shd w:val="clear" w:color="auto" w:fill="auto"/>
            <w:noWrap/>
            <w:vAlign w:val="center"/>
            <w:hideMark/>
          </w:tcPr>
          <w:p w14:paraId="599D05D3" w14:textId="77777777" w:rsidR="000F3F85" w:rsidRPr="00C47F2F" w:rsidRDefault="000F3F85" w:rsidP="00BD665F">
            <w:pPr>
              <w:jc w:val="left"/>
              <w:rPr>
                <w:noProof/>
                <w:color w:val="000000"/>
                <w:sz w:val="20"/>
              </w:rPr>
            </w:pPr>
            <w:r w:rsidRPr="00C47F2F">
              <w:rPr>
                <w:noProof/>
                <w:color w:val="000000"/>
                <w:sz w:val="20"/>
              </w:rPr>
              <w:t>9.30E-04</w:t>
            </w:r>
          </w:p>
        </w:tc>
        <w:tc>
          <w:tcPr>
            <w:tcW w:w="1037" w:type="dxa"/>
            <w:shd w:val="clear" w:color="auto" w:fill="auto"/>
            <w:noWrap/>
            <w:vAlign w:val="center"/>
            <w:hideMark/>
          </w:tcPr>
          <w:p w14:paraId="77F54930" w14:textId="77777777" w:rsidR="000F3F85" w:rsidRPr="00C47F2F" w:rsidRDefault="000F3F85" w:rsidP="00BD665F">
            <w:pPr>
              <w:jc w:val="left"/>
              <w:rPr>
                <w:noProof/>
                <w:color w:val="000000"/>
                <w:sz w:val="20"/>
              </w:rPr>
            </w:pPr>
            <w:r w:rsidRPr="00C47F2F">
              <w:rPr>
                <w:noProof/>
                <w:color w:val="000000"/>
                <w:sz w:val="20"/>
              </w:rPr>
              <w:t>7.50E-03</w:t>
            </w:r>
          </w:p>
        </w:tc>
        <w:tc>
          <w:tcPr>
            <w:tcW w:w="1037" w:type="dxa"/>
            <w:shd w:val="clear" w:color="auto" w:fill="auto"/>
            <w:noWrap/>
            <w:vAlign w:val="center"/>
            <w:hideMark/>
          </w:tcPr>
          <w:p w14:paraId="1805B8F7" w14:textId="77777777" w:rsidR="000F3F85" w:rsidRPr="00C47F2F" w:rsidRDefault="000F3F85" w:rsidP="00BD665F">
            <w:pPr>
              <w:jc w:val="left"/>
              <w:rPr>
                <w:noProof/>
                <w:color w:val="000000"/>
                <w:sz w:val="20"/>
              </w:rPr>
            </w:pPr>
            <w:r w:rsidRPr="00C47F2F">
              <w:rPr>
                <w:noProof/>
                <w:color w:val="000000"/>
                <w:sz w:val="20"/>
              </w:rPr>
              <w:t>8.15E-03</w:t>
            </w:r>
          </w:p>
        </w:tc>
      </w:tr>
      <w:tr w:rsidR="000F3F85" w:rsidRPr="00972C81" w14:paraId="7D03A57D" w14:textId="77777777" w:rsidTr="00BD665F">
        <w:trPr>
          <w:trHeight w:val="340"/>
        </w:trPr>
        <w:tc>
          <w:tcPr>
            <w:tcW w:w="2807" w:type="dxa"/>
            <w:shd w:val="clear" w:color="auto" w:fill="auto"/>
            <w:noWrap/>
            <w:vAlign w:val="center"/>
            <w:hideMark/>
          </w:tcPr>
          <w:p w14:paraId="3D0ADA40" w14:textId="72CD3AD0" w:rsidR="000F3F85" w:rsidRPr="000F3F85" w:rsidRDefault="000F3F85" w:rsidP="00BD665F">
            <w:pPr>
              <w:jc w:val="left"/>
              <w:rPr>
                <w:noProof/>
                <w:color w:val="000000"/>
                <w:sz w:val="20"/>
              </w:rPr>
            </w:pPr>
            <w:r w:rsidRPr="000F3F85">
              <w:rPr>
                <w:noProof/>
                <w:color w:val="000000"/>
                <w:sz w:val="20"/>
              </w:rPr>
              <w:t>Blood to Ovaries</w:t>
            </w:r>
          </w:p>
        </w:tc>
        <w:tc>
          <w:tcPr>
            <w:tcW w:w="1036" w:type="dxa"/>
            <w:shd w:val="clear" w:color="auto" w:fill="auto"/>
            <w:noWrap/>
            <w:vAlign w:val="center"/>
            <w:hideMark/>
          </w:tcPr>
          <w:p w14:paraId="6463A316" w14:textId="77777777" w:rsidR="000F3F85" w:rsidRPr="00C47F2F" w:rsidRDefault="000F3F85" w:rsidP="00BD665F">
            <w:pPr>
              <w:jc w:val="left"/>
              <w:rPr>
                <w:noProof/>
                <w:color w:val="000000"/>
                <w:sz w:val="20"/>
              </w:rPr>
            </w:pPr>
            <w:r w:rsidRPr="00C47F2F">
              <w:rPr>
                <w:noProof/>
                <w:color w:val="000000"/>
                <w:sz w:val="20"/>
              </w:rPr>
              <w:t>2.80E-04</w:t>
            </w:r>
          </w:p>
        </w:tc>
        <w:tc>
          <w:tcPr>
            <w:tcW w:w="1037" w:type="dxa"/>
            <w:shd w:val="clear" w:color="auto" w:fill="auto"/>
            <w:noWrap/>
            <w:vAlign w:val="center"/>
            <w:hideMark/>
          </w:tcPr>
          <w:p w14:paraId="5D747B07" w14:textId="77777777" w:rsidR="000F3F85" w:rsidRPr="00C47F2F" w:rsidRDefault="000F3F85" w:rsidP="00BD665F">
            <w:pPr>
              <w:jc w:val="left"/>
              <w:rPr>
                <w:noProof/>
                <w:color w:val="000000"/>
                <w:sz w:val="20"/>
              </w:rPr>
            </w:pPr>
            <w:r w:rsidRPr="00C47F2F">
              <w:rPr>
                <w:noProof/>
                <w:color w:val="000000"/>
                <w:sz w:val="20"/>
              </w:rPr>
              <w:t>3.70E-04</w:t>
            </w:r>
          </w:p>
        </w:tc>
        <w:tc>
          <w:tcPr>
            <w:tcW w:w="1037" w:type="dxa"/>
            <w:shd w:val="clear" w:color="auto" w:fill="auto"/>
            <w:noWrap/>
            <w:vAlign w:val="center"/>
            <w:hideMark/>
          </w:tcPr>
          <w:p w14:paraId="58A094EE" w14:textId="77777777" w:rsidR="000F3F85" w:rsidRPr="00C47F2F" w:rsidRDefault="000F3F85" w:rsidP="00BD665F">
            <w:pPr>
              <w:jc w:val="left"/>
              <w:rPr>
                <w:noProof/>
                <w:color w:val="000000"/>
                <w:sz w:val="20"/>
              </w:rPr>
            </w:pPr>
            <w:r w:rsidRPr="00C47F2F">
              <w:rPr>
                <w:noProof/>
                <w:color w:val="000000"/>
                <w:sz w:val="20"/>
              </w:rPr>
              <w:t>9.30E-04</w:t>
            </w:r>
          </w:p>
        </w:tc>
        <w:tc>
          <w:tcPr>
            <w:tcW w:w="1036" w:type="dxa"/>
            <w:shd w:val="clear" w:color="auto" w:fill="auto"/>
            <w:noWrap/>
            <w:vAlign w:val="center"/>
            <w:hideMark/>
          </w:tcPr>
          <w:p w14:paraId="237E630D" w14:textId="77777777" w:rsidR="000F3F85" w:rsidRPr="00C47F2F" w:rsidRDefault="000F3F85" w:rsidP="00BD665F">
            <w:pPr>
              <w:jc w:val="left"/>
              <w:rPr>
                <w:noProof/>
                <w:color w:val="000000"/>
                <w:sz w:val="20"/>
              </w:rPr>
            </w:pPr>
            <w:r w:rsidRPr="00C47F2F">
              <w:rPr>
                <w:noProof/>
                <w:color w:val="000000"/>
                <w:sz w:val="20"/>
              </w:rPr>
              <w:t>1.60E-03</w:t>
            </w:r>
          </w:p>
        </w:tc>
        <w:tc>
          <w:tcPr>
            <w:tcW w:w="1037" w:type="dxa"/>
            <w:shd w:val="clear" w:color="auto" w:fill="auto"/>
            <w:noWrap/>
            <w:vAlign w:val="center"/>
            <w:hideMark/>
          </w:tcPr>
          <w:p w14:paraId="42AAB57A" w14:textId="77777777" w:rsidR="000F3F85" w:rsidRPr="00C47F2F" w:rsidRDefault="000F3F85" w:rsidP="00BD665F">
            <w:pPr>
              <w:jc w:val="left"/>
              <w:rPr>
                <w:noProof/>
                <w:color w:val="000000"/>
                <w:sz w:val="20"/>
              </w:rPr>
            </w:pPr>
            <w:r w:rsidRPr="00C47F2F">
              <w:rPr>
                <w:noProof/>
                <w:color w:val="000000"/>
                <w:sz w:val="20"/>
              </w:rPr>
              <w:t>2.80E-03</w:t>
            </w:r>
          </w:p>
        </w:tc>
        <w:tc>
          <w:tcPr>
            <w:tcW w:w="1037" w:type="dxa"/>
            <w:shd w:val="clear" w:color="auto" w:fill="auto"/>
            <w:noWrap/>
            <w:vAlign w:val="center"/>
            <w:hideMark/>
          </w:tcPr>
          <w:p w14:paraId="2A00D54D" w14:textId="77777777" w:rsidR="000F3F85" w:rsidRPr="00C47F2F" w:rsidRDefault="000F3F85" w:rsidP="00BD665F">
            <w:pPr>
              <w:jc w:val="left"/>
              <w:rPr>
                <w:noProof/>
                <w:color w:val="000000"/>
                <w:sz w:val="20"/>
              </w:rPr>
            </w:pPr>
            <w:r w:rsidRPr="00C47F2F">
              <w:rPr>
                <w:noProof/>
                <w:color w:val="000000"/>
                <w:sz w:val="20"/>
              </w:rPr>
              <w:t>2.56E-03</w:t>
            </w:r>
          </w:p>
        </w:tc>
      </w:tr>
      <w:tr w:rsidR="000F3F85" w:rsidRPr="00972C81" w14:paraId="1019D3BF" w14:textId="77777777" w:rsidTr="00BD665F">
        <w:trPr>
          <w:trHeight w:val="340"/>
        </w:trPr>
        <w:tc>
          <w:tcPr>
            <w:tcW w:w="2807" w:type="dxa"/>
            <w:shd w:val="clear" w:color="auto" w:fill="auto"/>
            <w:noWrap/>
            <w:vAlign w:val="center"/>
            <w:hideMark/>
          </w:tcPr>
          <w:p w14:paraId="0FF0A74C" w14:textId="73E2ED16" w:rsidR="000F3F85" w:rsidRPr="000F3F85" w:rsidRDefault="000F3F85" w:rsidP="00BD665F">
            <w:pPr>
              <w:jc w:val="left"/>
              <w:rPr>
                <w:noProof/>
                <w:color w:val="000000"/>
                <w:sz w:val="20"/>
              </w:rPr>
            </w:pPr>
            <w:r w:rsidRPr="000F3F85">
              <w:rPr>
                <w:noProof/>
                <w:color w:val="000000"/>
                <w:sz w:val="20"/>
              </w:rPr>
              <w:t>Blood to UB content</w:t>
            </w:r>
          </w:p>
        </w:tc>
        <w:tc>
          <w:tcPr>
            <w:tcW w:w="1036" w:type="dxa"/>
            <w:shd w:val="clear" w:color="auto" w:fill="auto"/>
            <w:noWrap/>
            <w:vAlign w:val="center"/>
            <w:hideMark/>
          </w:tcPr>
          <w:p w14:paraId="1E4EBDE4" w14:textId="77777777" w:rsidR="000F3F85" w:rsidRPr="00C47F2F" w:rsidRDefault="000F3F85" w:rsidP="00BD665F">
            <w:pPr>
              <w:jc w:val="left"/>
              <w:rPr>
                <w:noProof/>
                <w:color w:val="000000"/>
                <w:sz w:val="20"/>
              </w:rPr>
            </w:pPr>
            <w:r w:rsidRPr="00C47F2F">
              <w:rPr>
                <w:noProof/>
                <w:color w:val="000000"/>
                <w:sz w:val="20"/>
              </w:rPr>
              <w:t>2.33E+00</w:t>
            </w:r>
          </w:p>
        </w:tc>
        <w:tc>
          <w:tcPr>
            <w:tcW w:w="1037" w:type="dxa"/>
            <w:shd w:val="clear" w:color="auto" w:fill="auto"/>
            <w:noWrap/>
            <w:vAlign w:val="center"/>
            <w:hideMark/>
          </w:tcPr>
          <w:p w14:paraId="4DD79EE8" w14:textId="77777777" w:rsidR="000F3F85" w:rsidRPr="00C47F2F" w:rsidRDefault="000F3F85" w:rsidP="00BD665F">
            <w:pPr>
              <w:jc w:val="left"/>
              <w:rPr>
                <w:noProof/>
                <w:color w:val="000000"/>
                <w:sz w:val="20"/>
              </w:rPr>
            </w:pPr>
            <w:r w:rsidRPr="00C47F2F">
              <w:rPr>
                <w:noProof/>
                <w:color w:val="000000"/>
                <w:sz w:val="20"/>
              </w:rPr>
              <w:t>2.33E+00</w:t>
            </w:r>
          </w:p>
        </w:tc>
        <w:tc>
          <w:tcPr>
            <w:tcW w:w="1037" w:type="dxa"/>
            <w:shd w:val="clear" w:color="auto" w:fill="auto"/>
            <w:noWrap/>
            <w:vAlign w:val="center"/>
            <w:hideMark/>
          </w:tcPr>
          <w:p w14:paraId="63F80445" w14:textId="77777777" w:rsidR="000F3F85" w:rsidRPr="00C47F2F" w:rsidRDefault="000F3F85" w:rsidP="00BD665F">
            <w:pPr>
              <w:jc w:val="left"/>
              <w:rPr>
                <w:noProof/>
                <w:color w:val="000000"/>
                <w:sz w:val="20"/>
              </w:rPr>
            </w:pPr>
            <w:r w:rsidRPr="00C47F2F">
              <w:rPr>
                <w:noProof/>
                <w:color w:val="000000"/>
                <w:sz w:val="20"/>
              </w:rPr>
              <w:t>3.49E+00</w:t>
            </w:r>
          </w:p>
        </w:tc>
        <w:tc>
          <w:tcPr>
            <w:tcW w:w="1036" w:type="dxa"/>
            <w:shd w:val="clear" w:color="auto" w:fill="auto"/>
            <w:noWrap/>
            <w:vAlign w:val="center"/>
            <w:hideMark/>
          </w:tcPr>
          <w:p w14:paraId="3CC8AAAD" w14:textId="77777777" w:rsidR="000F3F85" w:rsidRPr="00C47F2F" w:rsidRDefault="000F3F85" w:rsidP="00BD665F">
            <w:pPr>
              <w:jc w:val="left"/>
              <w:rPr>
                <w:noProof/>
                <w:color w:val="000000"/>
                <w:sz w:val="20"/>
              </w:rPr>
            </w:pPr>
            <w:r w:rsidRPr="00C47F2F">
              <w:rPr>
                <w:noProof/>
                <w:color w:val="000000"/>
                <w:sz w:val="20"/>
              </w:rPr>
              <w:t>3.49E+00</w:t>
            </w:r>
          </w:p>
        </w:tc>
        <w:tc>
          <w:tcPr>
            <w:tcW w:w="1037" w:type="dxa"/>
            <w:shd w:val="clear" w:color="auto" w:fill="auto"/>
            <w:noWrap/>
            <w:vAlign w:val="center"/>
            <w:hideMark/>
          </w:tcPr>
          <w:p w14:paraId="79487FFE" w14:textId="77777777" w:rsidR="000F3F85" w:rsidRPr="00C47F2F" w:rsidRDefault="000F3F85" w:rsidP="00BD665F">
            <w:pPr>
              <w:jc w:val="left"/>
              <w:rPr>
                <w:noProof/>
                <w:color w:val="000000"/>
                <w:sz w:val="20"/>
              </w:rPr>
            </w:pPr>
            <w:r w:rsidRPr="00C47F2F">
              <w:rPr>
                <w:noProof/>
                <w:color w:val="000000"/>
                <w:sz w:val="20"/>
              </w:rPr>
              <w:t>3.49E+00</w:t>
            </w:r>
          </w:p>
        </w:tc>
        <w:tc>
          <w:tcPr>
            <w:tcW w:w="1037" w:type="dxa"/>
            <w:shd w:val="clear" w:color="auto" w:fill="auto"/>
            <w:noWrap/>
            <w:vAlign w:val="center"/>
            <w:hideMark/>
          </w:tcPr>
          <w:p w14:paraId="6D63289C" w14:textId="77777777" w:rsidR="000F3F85" w:rsidRPr="00C47F2F" w:rsidRDefault="000F3F85" w:rsidP="00BD665F">
            <w:pPr>
              <w:jc w:val="left"/>
              <w:rPr>
                <w:noProof/>
                <w:color w:val="000000"/>
                <w:sz w:val="20"/>
              </w:rPr>
            </w:pPr>
            <w:r w:rsidRPr="00C47F2F">
              <w:rPr>
                <w:noProof/>
                <w:color w:val="000000"/>
                <w:sz w:val="20"/>
              </w:rPr>
              <w:t>4.66E+00</w:t>
            </w:r>
          </w:p>
        </w:tc>
      </w:tr>
      <w:tr w:rsidR="000F3F85" w:rsidRPr="00972C81" w14:paraId="63B42D20" w14:textId="77777777" w:rsidTr="00BD665F">
        <w:trPr>
          <w:trHeight w:val="340"/>
        </w:trPr>
        <w:tc>
          <w:tcPr>
            <w:tcW w:w="2807" w:type="dxa"/>
            <w:shd w:val="clear" w:color="auto" w:fill="auto"/>
            <w:noWrap/>
            <w:vAlign w:val="center"/>
            <w:hideMark/>
          </w:tcPr>
          <w:p w14:paraId="49DD0F97" w14:textId="34D19C76" w:rsidR="000F3F85" w:rsidRPr="000F3F85" w:rsidRDefault="000F3F85" w:rsidP="00BD665F">
            <w:pPr>
              <w:jc w:val="left"/>
              <w:rPr>
                <w:noProof/>
                <w:color w:val="000000"/>
                <w:sz w:val="20"/>
              </w:rPr>
            </w:pPr>
            <w:r w:rsidRPr="000F3F85">
              <w:rPr>
                <w:noProof/>
                <w:color w:val="000000"/>
                <w:sz w:val="20"/>
              </w:rPr>
              <w:t>Liver 2 to Blood</w:t>
            </w:r>
          </w:p>
        </w:tc>
        <w:tc>
          <w:tcPr>
            <w:tcW w:w="1036" w:type="dxa"/>
            <w:shd w:val="clear" w:color="auto" w:fill="auto"/>
            <w:noWrap/>
            <w:vAlign w:val="center"/>
            <w:hideMark/>
          </w:tcPr>
          <w:p w14:paraId="40ABFF74" w14:textId="77777777" w:rsidR="000F3F85" w:rsidRPr="00C47F2F" w:rsidRDefault="000F3F85" w:rsidP="00BD665F">
            <w:pPr>
              <w:jc w:val="left"/>
              <w:rPr>
                <w:noProof/>
                <w:color w:val="000000"/>
                <w:sz w:val="20"/>
              </w:rPr>
            </w:pPr>
            <w:r w:rsidRPr="00C47F2F">
              <w:rPr>
                <w:noProof/>
                <w:color w:val="000000"/>
                <w:sz w:val="20"/>
              </w:rPr>
              <w:t>1.90E-03</w:t>
            </w:r>
          </w:p>
        </w:tc>
        <w:tc>
          <w:tcPr>
            <w:tcW w:w="1037" w:type="dxa"/>
            <w:shd w:val="clear" w:color="auto" w:fill="auto"/>
            <w:noWrap/>
            <w:vAlign w:val="center"/>
            <w:hideMark/>
          </w:tcPr>
          <w:p w14:paraId="2173D8B0" w14:textId="77777777" w:rsidR="000F3F85" w:rsidRPr="00C47F2F" w:rsidRDefault="000F3F85" w:rsidP="00BD665F">
            <w:pPr>
              <w:jc w:val="left"/>
              <w:rPr>
                <w:noProof/>
                <w:color w:val="000000"/>
                <w:sz w:val="20"/>
              </w:rPr>
            </w:pPr>
            <w:r w:rsidRPr="00C47F2F">
              <w:rPr>
                <w:noProof/>
                <w:color w:val="000000"/>
                <w:sz w:val="20"/>
              </w:rPr>
              <w:t>1.90E-03</w:t>
            </w:r>
          </w:p>
        </w:tc>
        <w:tc>
          <w:tcPr>
            <w:tcW w:w="1037" w:type="dxa"/>
            <w:shd w:val="clear" w:color="auto" w:fill="auto"/>
            <w:noWrap/>
            <w:vAlign w:val="center"/>
            <w:hideMark/>
          </w:tcPr>
          <w:p w14:paraId="744C9FB7" w14:textId="77777777" w:rsidR="000F3F85" w:rsidRPr="00C47F2F" w:rsidRDefault="000F3F85" w:rsidP="00BD665F">
            <w:pPr>
              <w:jc w:val="left"/>
              <w:rPr>
                <w:noProof/>
                <w:color w:val="000000"/>
                <w:sz w:val="20"/>
              </w:rPr>
            </w:pPr>
            <w:r w:rsidRPr="00C47F2F">
              <w:rPr>
                <w:noProof/>
                <w:color w:val="000000"/>
                <w:sz w:val="20"/>
              </w:rPr>
              <w:t>1.90E-03</w:t>
            </w:r>
          </w:p>
        </w:tc>
        <w:tc>
          <w:tcPr>
            <w:tcW w:w="1036" w:type="dxa"/>
            <w:shd w:val="clear" w:color="auto" w:fill="auto"/>
            <w:noWrap/>
            <w:vAlign w:val="center"/>
            <w:hideMark/>
          </w:tcPr>
          <w:p w14:paraId="3A983022" w14:textId="77777777" w:rsidR="000F3F85" w:rsidRPr="00C47F2F" w:rsidRDefault="000F3F85" w:rsidP="00BD665F">
            <w:pPr>
              <w:jc w:val="left"/>
              <w:rPr>
                <w:noProof/>
                <w:color w:val="000000"/>
                <w:sz w:val="20"/>
              </w:rPr>
            </w:pPr>
            <w:r w:rsidRPr="00C47F2F">
              <w:rPr>
                <w:noProof/>
                <w:color w:val="000000"/>
                <w:sz w:val="20"/>
              </w:rPr>
              <w:t>1.90E-03</w:t>
            </w:r>
          </w:p>
        </w:tc>
        <w:tc>
          <w:tcPr>
            <w:tcW w:w="1037" w:type="dxa"/>
            <w:shd w:val="clear" w:color="auto" w:fill="auto"/>
            <w:noWrap/>
            <w:vAlign w:val="center"/>
            <w:hideMark/>
          </w:tcPr>
          <w:p w14:paraId="7B7B5D8B" w14:textId="77777777" w:rsidR="000F3F85" w:rsidRPr="00C47F2F" w:rsidRDefault="000F3F85" w:rsidP="00BD665F">
            <w:pPr>
              <w:jc w:val="left"/>
              <w:rPr>
                <w:noProof/>
                <w:color w:val="000000"/>
                <w:sz w:val="20"/>
              </w:rPr>
            </w:pPr>
            <w:r w:rsidRPr="00C47F2F">
              <w:rPr>
                <w:noProof/>
                <w:color w:val="000000"/>
                <w:sz w:val="20"/>
              </w:rPr>
              <w:t>1.90E-03</w:t>
            </w:r>
          </w:p>
        </w:tc>
        <w:tc>
          <w:tcPr>
            <w:tcW w:w="1037" w:type="dxa"/>
            <w:shd w:val="clear" w:color="auto" w:fill="auto"/>
            <w:noWrap/>
            <w:vAlign w:val="center"/>
            <w:hideMark/>
          </w:tcPr>
          <w:p w14:paraId="46C08B7E" w14:textId="77777777" w:rsidR="000F3F85" w:rsidRPr="00C47F2F" w:rsidRDefault="000F3F85" w:rsidP="00BD665F">
            <w:pPr>
              <w:jc w:val="left"/>
              <w:rPr>
                <w:noProof/>
                <w:color w:val="000000"/>
                <w:sz w:val="20"/>
              </w:rPr>
            </w:pPr>
            <w:r w:rsidRPr="00C47F2F">
              <w:rPr>
                <w:noProof/>
                <w:color w:val="000000"/>
                <w:sz w:val="20"/>
              </w:rPr>
              <w:t>1.90E-03</w:t>
            </w:r>
          </w:p>
        </w:tc>
      </w:tr>
      <w:tr w:rsidR="000F3F85" w:rsidRPr="00972C81" w14:paraId="7967D5C1" w14:textId="77777777" w:rsidTr="00BD665F">
        <w:trPr>
          <w:trHeight w:val="340"/>
        </w:trPr>
        <w:tc>
          <w:tcPr>
            <w:tcW w:w="2807" w:type="dxa"/>
            <w:shd w:val="clear" w:color="auto" w:fill="auto"/>
            <w:noWrap/>
            <w:vAlign w:val="center"/>
            <w:hideMark/>
          </w:tcPr>
          <w:p w14:paraId="123401FD" w14:textId="17D61075" w:rsidR="000F3F85" w:rsidRPr="000F3F85" w:rsidRDefault="000F3F85" w:rsidP="00BD665F">
            <w:pPr>
              <w:jc w:val="left"/>
              <w:rPr>
                <w:noProof/>
                <w:color w:val="000000"/>
                <w:sz w:val="20"/>
              </w:rPr>
            </w:pPr>
            <w:r w:rsidRPr="000F3F85">
              <w:rPr>
                <w:noProof/>
                <w:color w:val="000000"/>
                <w:sz w:val="20"/>
              </w:rPr>
              <w:t>Liver 1 to SI content</w:t>
            </w:r>
          </w:p>
        </w:tc>
        <w:tc>
          <w:tcPr>
            <w:tcW w:w="1036" w:type="dxa"/>
            <w:shd w:val="clear" w:color="auto" w:fill="auto"/>
            <w:noWrap/>
            <w:vAlign w:val="center"/>
            <w:hideMark/>
          </w:tcPr>
          <w:p w14:paraId="703D06D2" w14:textId="77777777" w:rsidR="000F3F85" w:rsidRPr="00C47F2F" w:rsidRDefault="000F3F85" w:rsidP="00BD665F">
            <w:pPr>
              <w:jc w:val="left"/>
              <w:rPr>
                <w:noProof/>
                <w:color w:val="000000"/>
                <w:sz w:val="20"/>
              </w:rPr>
            </w:pPr>
            <w:r w:rsidRPr="00C47F2F">
              <w:rPr>
                <w:noProof/>
                <w:color w:val="000000"/>
                <w:sz w:val="20"/>
              </w:rPr>
              <w:t>2.31E-03</w:t>
            </w:r>
          </w:p>
        </w:tc>
        <w:tc>
          <w:tcPr>
            <w:tcW w:w="1037" w:type="dxa"/>
            <w:shd w:val="clear" w:color="auto" w:fill="auto"/>
            <w:noWrap/>
            <w:vAlign w:val="center"/>
            <w:hideMark/>
          </w:tcPr>
          <w:p w14:paraId="703BA42A" w14:textId="77777777" w:rsidR="000F3F85" w:rsidRPr="00C47F2F" w:rsidRDefault="000F3F85" w:rsidP="00BD665F">
            <w:pPr>
              <w:jc w:val="left"/>
              <w:rPr>
                <w:noProof/>
                <w:color w:val="000000"/>
                <w:sz w:val="20"/>
              </w:rPr>
            </w:pPr>
            <w:r w:rsidRPr="00C47F2F">
              <w:rPr>
                <w:noProof/>
                <w:color w:val="000000"/>
                <w:sz w:val="20"/>
              </w:rPr>
              <w:t>2.31E-03</w:t>
            </w:r>
          </w:p>
        </w:tc>
        <w:tc>
          <w:tcPr>
            <w:tcW w:w="1037" w:type="dxa"/>
            <w:shd w:val="clear" w:color="auto" w:fill="auto"/>
            <w:noWrap/>
            <w:vAlign w:val="center"/>
            <w:hideMark/>
          </w:tcPr>
          <w:p w14:paraId="3B15E574" w14:textId="77777777" w:rsidR="000F3F85" w:rsidRPr="00C47F2F" w:rsidRDefault="000F3F85" w:rsidP="00BD665F">
            <w:pPr>
              <w:jc w:val="left"/>
              <w:rPr>
                <w:noProof/>
                <w:color w:val="000000"/>
                <w:sz w:val="20"/>
              </w:rPr>
            </w:pPr>
            <w:r w:rsidRPr="00C47F2F">
              <w:rPr>
                <w:noProof/>
                <w:color w:val="000000"/>
                <w:sz w:val="20"/>
              </w:rPr>
              <w:t>2.31E-03</w:t>
            </w:r>
          </w:p>
        </w:tc>
        <w:tc>
          <w:tcPr>
            <w:tcW w:w="1036" w:type="dxa"/>
            <w:shd w:val="clear" w:color="auto" w:fill="auto"/>
            <w:noWrap/>
            <w:vAlign w:val="center"/>
            <w:hideMark/>
          </w:tcPr>
          <w:p w14:paraId="52107944" w14:textId="77777777" w:rsidR="000F3F85" w:rsidRPr="00C47F2F" w:rsidRDefault="000F3F85" w:rsidP="00BD665F">
            <w:pPr>
              <w:jc w:val="left"/>
              <w:rPr>
                <w:noProof/>
                <w:color w:val="000000"/>
                <w:sz w:val="20"/>
              </w:rPr>
            </w:pPr>
            <w:r w:rsidRPr="00C47F2F">
              <w:rPr>
                <w:noProof/>
                <w:color w:val="000000"/>
                <w:sz w:val="20"/>
              </w:rPr>
              <w:t>2.31E-03</w:t>
            </w:r>
          </w:p>
        </w:tc>
        <w:tc>
          <w:tcPr>
            <w:tcW w:w="1037" w:type="dxa"/>
            <w:shd w:val="clear" w:color="auto" w:fill="auto"/>
            <w:noWrap/>
            <w:vAlign w:val="center"/>
            <w:hideMark/>
          </w:tcPr>
          <w:p w14:paraId="5D0915A5" w14:textId="77777777" w:rsidR="000F3F85" w:rsidRPr="00C47F2F" w:rsidRDefault="000F3F85" w:rsidP="00BD665F">
            <w:pPr>
              <w:jc w:val="left"/>
              <w:rPr>
                <w:noProof/>
                <w:color w:val="000000"/>
                <w:sz w:val="20"/>
              </w:rPr>
            </w:pPr>
            <w:r w:rsidRPr="00C47F2F">
              <w:rPr>
                <w:noProof/>
                <w:color w:val="000000"/>
                <w:sz w:val="20"/>
              </w:rPr>
              <w:t>2.31E-03</w:t>
            </w:r>
          </w:p>
        </w:tc>
        <w:tc>
          <w:tcPr>
            <w:tcW w:w="1037" w:type="dxa"/>
            <w:shd w:val="clear" w:color="auto" w:fill="auto"/>
            <w:noWrap/>
            <w:vAlign w:val="center"/>
            <w:hideMark/>
          </w:tcPr>
          <w:p w14:paraId="40904304" w14:textId="77777777" w:rsidR="000F3F85" w:rsidRPr="00C47F2F" w:rsidRDefault="000F3F85" w:rsidP="00BD665F">
            <w:pPr>
              <w:jc w:val="left"/>
              <w:rPr>
                <w:noProof/>
                <w:color w:val="000000"/>
                <w:sz w:val="20"/>
              </w:rPr>
            </w:pPr>
            <w:r w:rsidRPr="00C47F2F">
              <w:rPr>
                <w:noProof/>
                <w:color w:val="000000"/>
                <w:sz w:val="20"/>
              </w:rPr>
              <w:t>2.31E-03</w:t>
            </w:r>
          </w:p>
        </w:tc>
      </w:tr>
      <w:tr w:rsidR="000F3F85" w:rsidRPr="00972C81" w14:paraId="4EAD5CD0" w14:textId="77777777" w:rsidTr="00BD665F">
        <w:trPr>
          <w:trHeight w:val="340"/>
        </w:trPr>
        <w:tc>
          <w:tcPr>
            <w:tcW w:w="2807" w:type="dxa"/>
            <w:shd w:val="clear" w:color="auto" w:fill="auto"/>
            <w:noWrap/>
            <w:vAlign w:val="center"/>
            <w:hideMark/>
          </w:tcPr>
          <w:p w14:paraId="1F803D22" w14:textId="255930C2" w:rsidR="000F3F85" w:rsidRPr="000F3F85" w:rsidRDefault="000F3F85" w:rsidP="00BD665F">
            <w:pPr>
              <w:jc w:val="left"/>
              <w:rPr>
                <w:noProof/>
                <w:color w:val="000000"/>
                <w:sz w:val="20"/>
              </w:rPr>
            </w:pPr>
            <w:r w:rsidRPr="000F3F85">
              <w:rPr>
                <w:noProof/>
                <w:color w:val="000000"/>
                <w:sz w:val="20"/>
              </w:rPr>
              <w:t>Liver 1 to Liver 2</w:t>
            </w:r>
          </w:p>
        </w:tc>
        <w:tc>
          <w:tcPr>
            <w:tcW w:w="1036" w:type="dxa"/>
            <w:shd w:val="clear" w:color="auto" w:fill="auto"/>
            <w:noWrap/>
            <w:vAlign w:val="center"/>
            <w:hideMark/>
          </w:tcPr>
          <w:p w14:paraId="15B60A1C" w14:textId="77777777" w:rsidR="000F3F85" w:rsidRPr="00C47F2F" w:rsidRDefault="000F3F85" w:rsidP="00BD665F">
            <w:pPr>
              <w:jc w:val="left"/>
              <w:rPr>
                <w:noProof/>
                <w:color w:val="000000"/>
                <w:sz w:val="20"/>
              </w:rPr>
            </w:pPr>
            <w:r w:rsidRPr="00C47F2F">
              <w:rPr>
                <w:noProof/>
                <w:color w:val="000000"/>
                <w:sz w:val="20"/>
              </w:rPr>
              <w:t>2.08E-02</w:t>
            </w:r>
          </w:p>
        </w:tc>
        <w:tc>
          <w:tcPr>
            <w:tcW w:w="1037" w:type="dxa"/>
            <w:shd w:val="clear" w:color="auto" w:fill="auto"/>
            <w:noWrap/>
            <w:vAlign w:val="center"/>
            <w:hideMark/>
          </w:tcPr>
          <w:p w14:paraId="03AE95F7" w14:textId="77777777" w:rsidR="000F3F85" w:rsidRPr="00C47F2F" w:rsidRDefault="000F3F85" w:rsidP="00BD665F">
            <w:pPr>
              <w:jc w:val="left"/>
              <w:rPr>
                <w:noProof/>
                <w:color w:val="000000"/>
                <w:sz w:val="20"/>
              </w:rPr>
            </w:pPr>
            <w:r w:rsidRPr="00C47F2F">
              <w:rPr>
                <w:noProof/>
                <w:color w:val="000000"/>
                <w:sz w:val="20"/>
              </w:rPr>
              <w:t>2.08E-02</w:t>
            </w:r>
          </w:p>
        </w:tc>
        <w:tc>
          <w:tcPr>
            <w:tcW w:w="1037" w:type="dxa"/>
            <w:shd w:val="clear" w:color="auto" w:fill="auto"/>
            <w:noWrap/>
            <w:vAlign w:val="center"/>
            <w:hideMark/>
          </w:tcPr>
          <w:p w14:paraId="5BBBC446" w14:textId="77777777" w:rsidR="000F3F85" w:rsidRPr="00C47F2F" w:rsidRDefault="000F3F85" w:rsidP="00BD665F">
            <w:pPr>
              <w:jc w:val="left"/>
              <w:rPr>
                <w:noProof/>
                <w:color w:val="000000"/>
                <w:sz w:val="20"/>
              </w:rPr>
            </w:pPr>
            <w:r w:rsidRPr="00C47F2F">
              <w:rPr>
                <w:noProof/>
                <w:color w:val="000000"/>
                <w:sz w:val="20"/>
              </w:rPr>
              <w:t>2.08E-02</w:t>
            </w:r>
          </w:p>
        </w:tc>
        <w:tc>
          <w:tcPr>
            <w:tcW w:w="1036" w:type="dxa"/>
            <w:shd w:val="clear" w:color="auto" w:fill="auto"/>
            <w:noWrap/>
            <w:vAlign w:val="center"/>
            <w:hideMark/>
          </w:tcPr>
          <w:p w14:paraId="4D659D53" w14:textId="77777777" w:rsidR="000F3F85" w:rsidRPr="00C47F2F" w:rsidRDefault="000F3F85" w:rsidP="00BD665F">
            <w:pPr>
              <w:jc w:val="left"/>
              <w:rPr>
                <w:noProof/>
                <w:color w:val="000000"/>
                <w:sz w:val="20"/>
              </w:rPr>
            </w:pPr>
            <w:r w:rsidRPr="00C47F2F">
              <w:rPr>
                <w:noProof/>
                <w:color w:val="000000"/>
                <w:sz w:val="20"/>
              </w:rPr>
              <w:t>2.08E-02</w:t>
            </w:r>
          </w:p>
        </w:tc>
        <w:tc>
          <w:tcPr>
            <w:tcW w:w="1037" w:type="dxa"/>
            <w:shd w:val="clear" w:color="auto" w:fill="auto"/>
            <w:noWrap/>
            <w:vAlign w:val="center"/>
            <w:hideMark/>
          </w:tcPr>
          <w:p w14:paraId="4E516892" w14:textId="77777777" w:rsidR="000F3F85" w:rsidRPr="00C47F2F" w:rsidRDefault="000F3F85" w:rsidP="00BD665F">
            <w:pPr>
              <w:jc w:val="left"/>
              <w:rPr>
                <w:noProof/>
                <w:color w:val="000000"/>
                <w:sz w:val="20"/>
              </w:rPr>
            </w:pPr>
            <w:r w:rsidRPr="00C47F2F">
              <w:rPr>
                <w:noProof/>
                <w:color w:val="000000"/>
                <w:sz w:val="20"/>
              </w:rPr>
              <w:t>2.08E-02</w:t>
            </w:r>
          </w:p>
        </w:tc>
        <w:tc>
          <w:tcPr>
            <w:tcW w:w="1037" w:type="dxa"/>
            <w:shd w:val="clear" w:color="auto" w:fill="auto"/>
            <w:noWrap/>
            <w:vAlign w:val="center"/>
            <w:hideMark/>
          </w:tcPr>
          <w:p w14:paraId="242586B4" w14:textId="77777777" w:rsidR="000F3F85" w:rsidRPr="00C47F2F" w:rsidRDefault="000F3F85" w:rsidP="00BD665F">
            <w:pPr>
              <w:jc w:val="left"/>
              <w:rPr>
                <w:noProof/>
                <w:color w:val="000000"/>
                <w:sz w:val="20"/>
              </w:rPr>
            </w:pPr>
            <w:r w:rsidRPr="00C47F2F">
              <w:rPr>
                <w:noProof/>
                <w:color w:val="000000"/>
                <w:sz w:val="20"/>
              </w:rPr>
              <w:t>2.08E-02</w:t>
            </w:r>
          </w:p>
        </w:tc>
      </w:tr>
      <w:tr w:rsidR="000F3F85" w:rsidRPr="00972C81" w14:paraId="72ACFB43" w14:textId="77777777" w:rsidTr="00BD665F">
        <w:trPr>
          <w:trHeight w:val="340"/>
        </w:trPr>
        <w:tc>
          <w:tcPr>
            <w:tcW w:w="2807" w:type="dxa"/>
            <w:shd w:val="clear" w:color="auto" w:fill="auto"/>
            <w:noWrap/>
            <w:vAlign w:val="center"/>
            <w:hideMark/>
          </w:tcPr>
          <w:p w14:paraId="6BCE84F5" w14:textId="2CC70D20" w:rsidR="000F3F85" w:rsidRPr="000F3F85" w:rsidRDefault="000F3F85" w:rsidP="00BD665F">
            <w:pPr>
              <w:jc w:val="left"/>
              <w:rPr>
                <w:noProof/>
                <w:color w:val="000000"/>
                <w:sz w:val="20"/>
              </w:rPr>
            </w:pPr>
            <w:r w:rsidRPr="000F3F85">
              <w:rPr>
                <w:noProof/>
                <w:color w:val="000000"/>
                <w:sz w:val="20"/>
              </w:rPr>
              <w:t xml:space="preserve"> ST0 to Blood</w:t>
            </w:r>
          </w:p>
        </w:tc>
        <w:tc>
          <w:tcPr>
            <w:tcW w:w="1036" w:type="dxa"/>
            <w:shd w:val="clear" w:color="auto" w:fill="auto"/>
            <w:noWrap/>
            <w:vAlign w:val="center"/>
            <w:hideMark/>
          </w:tcPr>
          <w:p w14:paraId="6CCF8C55" w14:textId="77777777" w:rsidR="000F3F85" w:rsidRPr="00C47F2F" w:rsidRDefault="000F3F85" w:rsidP="00BD665F">
            <w:pPr>
              <w:jc w:val="left"/>
              <w:rPr>
                <w:noProof/>
                <w:color w:val="000000"/>
                <w:sz w:val="20"/>
              </w:rPr>
            </w:pPr>
            <w:r w:rsidRPr="00C47F2F">
              <w:rPr>
                <w:noProof/>
                <w:color w:val="000000"/>
                <w:sz w:val="20"/>
              </w:rPr>
              <w:t>1.39E+00</w:t>
            </w:r>
          </w:p>
        </w:tc>
        <w:tc>
          <w:tcPr>
            <w:tcW w:w="1037" w:type="dxa"/>
            <w:shd w:val="clear" w:color="auto" w:fill="auto"/>
            <w:noWrap/>
            <w:vAlign w:val="center"/>
            <w:hideMark/>
          </w:tcPr>
          <w:p w14:paraId="71479748" w14:textId="77777777" w:rsidR="000F3F85" w:rsidRPr="00C47F2F" w:rsidRDefault="000F3F85" w:rsidP="00BD665F">
            <w:pPr>
              <w:jc w:val="left"/>
              <w:rPr>
                <w:noProof/>
                <w:color w:val="000000"/>
                <w:sz w:val="20"/>
              </w:rPr>
            </w:pPr>
            <w:r w:rsidRPr="00C47F2F">
              <w:rPr>
                <w:noProof/>
                <w:color w:val="000000"/>
                <w:sz w:val="20"/>
              </w:rPr>
              <w:t>1.39E+00</w:t>
            </w:r>
          </w:p>
        </w:tc>
        <w:tc>
          <w:tcPr>
            <w:tcW w:w="1037" w:type="dxa"/>
            <w:shd w:val="clear" w:color="auto" w:fill="auto"/>
            <w:noWrap/>
            <w:vAlign w:val="center"/>
            <w:hideMark/>
          </w:tcPr>
          <w:p w14:paraId="62838F7A" w14:textId="77777777" w:rsidR="000F3F85" w:rsidRPr="00C47F2F" w:rsidRDefault="000F3F85" w:rsidP="00BD665F">
            <w:pPr>
              <w:jc w:val="left"/>
              <w:rPr>
                <w:noProof/>
                <w:color w:val="000000"/>
                <w:sz w:val="20"/>
              </w:rPr>
            </w:pPr>
            <w:r w:rsidRPr="00C47F2F">
              <w:rPr>
                <w:noProof/>
                <w:color w:val="000000"/>
                <w:sz w:val="20"/>
              </w:rPr>
              <w:t>1.39E+00</w:t>
            </w:r>
          </w:p>
        </w:tc>
        <w:tc>
          <w:tcPr>
            <w:tcW w:w="1036" w:type="dxa"/>
            <w:shd w:val="clear" w:color="auto" w:fill="auto"/>
            <w:noWrap/>
            <w:vAlign w:val="center"/>
            <w:hideMark/>
          </w:tcPr>
          <w:p w14:paraId="6C2431EE" w14:textId="77777777" w:rsidR="000F3F85" w:rsidRPr="00C47F2F" w:rsidRDefault="000F3F85" w:rsidP="00BD665F">
            <w:pPr>
              <w:jc w:val="left"/>
              <w:rPr>
                <w:noProof/>
                <w:color w:val="000000"/>
                <w:sz w:val="20"/>
              </w:rPr>
            </w:pPr>
            <w:r w:rsidRPr="00C47F2F">
              <w:rPr>
                <w:noProof/>
                <w:color w:val="000000"/>
                <w:sz w:val="20"/>
              </w:rPr>
              <w:t>1.39E+00</w:t>
            </w:r>
          </w:p>
        </w:tc>
        <w:tc>
          <w:tcPr>
            <w:tcW w:w="1037" w:type="dxa"/>
            <w:shd w:val="clear" w:color="auto" w:fill="auto"/>
            <w:noWrap/>
            <w:vAlign w:val="center"/>
            <w:hideMark/>
          </w:tcPr>
          <w:p w14:paraId="439C65E8" w14:textId="77777777" w:rsidR="000F3F85" w:rsidRPr="00C47F2F" w:rsidRDefault="000F3F85" w:rsidP="00BD665F">
            <w:pPr>
              <w:jc w:val="left"/>
              <w:rPr>
                <w:noProof/>
                <w:color w:val="000000"/>
                <w:sz w:val="20"/>
              </w:rPr>
            </w:pPr>
            <w:r w:rsidRPr="00C47F2F">
              <w:rPr>
                <w:noProof/>
                <w:color w:val="000000"/>
                <w:sz w:val="20"/>
              </w:rPr>
              <w:t>1.39E+00</w:t>
            </w:r>
          </w:p>
        </w:tc>
        <w:tc>
          <w:tcPr>
            <w:tcW w:w="1037" w:type="dxa"/>
            <w:shd w:val="clear" w:color="auto" w:fill="auto"/>
            <w:noWrap/>
            <w:vAlign w:val="center"/>
            <w:hideMark/>
          </w:tcPr>
          <w:p w14:paraId="61FE4514" w14:textId="77777777" w:rsidR="000F3F85" w:rsidRPr="00C47F2F" w:rsidRDefault="000F3F85" w:rsidP="00BD665F">
            <w:pPr>
              <w:jc w:val="left"/>
              <w:rPr>
                <w:noProof/>
                <w:color w:val="000000"/>
                <w:sz w:val="20"/>
              </w:rPr>
            </w:pPr>
            <w:r w:rsidRPr="00C47F2F">
              <w:rPr>
                <w:noProof/>
                <w:color w:val="000000"/>
                <w:sz w:val="20"/>
              </w:rPr>
              <w:t>1.39E+00</w:t>
            </w:r>
          </w:p>
        </w:tc>
      </w:tr>
      <w:tr w:rsidR="000F3F85" w:rsidRPr="00972C81" w14:paraId="29485A2C" w14:textId="77777777" w:rsidTr="00BD665F">
        <w:trPr>
          <w:trHeight w:val="340"/>
        </w:trPr>
        <w:tc>
          <w:tcPr>
            <w:tcW w:w="2807" w:type="dxa"/>
            <w:shd w:val="clear" w:color="auto" w:fill="auto"/>
            <w:noWrap/>
            <w:vAlign w:val="center"/>
            <w:hideMark/>
          </w:tcPr>
          <w:p w14:paraId="713021DD" w14:textId="5EC82E53" w:rsidR="000F3F85" w:rsidRPr="000F3F85" w:rsidRDefault="000F3F85" w:rsidP="00BD665F">
            <w:pPr>
              <w:jc w:val="left"/>
              <w:rPr>
                <w:noProof/>
                <w:color w:val="000000"/>
                <w:sz w:val="20"/>
              </w:rPr>
            </w:pPr>
            <w:r w:rsidRPr="000F3F85">
              <w:rPr>
                <w:noProof/>
                <w:color w:val="000000"/>
                <w:sz w:val="20"/>
              </w:rPr>
              <w:t xml:space="preserve"> ST1 to Blood</w:t>
            </w:r>
          </w:p>
        </w:tc>
        <w:tc>
          <w:tcPr>
            <w:tcW w:w="1036" w:type="dxa"/>
            <w:shd w:val="clear" w:color="auto" w:fill="auto"/>
            <w:noWrap/>
            <w:vAlign w:val="center"/>
            <w:hideMark/>
          </w:tcPr>
          <w:p w14:paraId="5E90041C" w14:textId="77777777" w:rsidR="000F3F85" w:rsidRPr="00C47F2F" w:rsidRDefault="000F3F85" w:rsidP="00BD665F">
            <w:pPr>
              <w:jc w:val="left"/>
              <w:rPr>
                <w:noProof/>
                <w:color w:val="000000"/>
                <w:sz w:val="20"/>
              </w:rPr>
            </w:pPr>
            <w:r w:rsidRPr="00C47F2F">
              <w:rPr>
                <w:noProof/>
                <w:color w:val="000000"/>
                <w:sz w:val="20"/>
              </w:rPr>
              <w:t>6.93E-03</w:t>
            </w:r>
          </w:p>
        </w:tc>
        <w:tc>
          <w:tcPr>
            <w:tcW w:w="1037" w:type="dxa"/>
            <w:shd w:val="clear" w:color="auto" w:fill="auto"/>
            <w:noWrap/>
            <w:vAlign w:val="center"/>
            <w:hideMark/>
          </w:tcPr>
          <w:p w14:paraId="55FA8481" w14:textId="77777777" w:rsidR="000F3F85" w:rsidRPr="00C47F2F" w:rsidRDefault="000F3F85" w:rsidP="00BD665F">
            <w:pPr>
              <w:jc w:val="left"/>
              <w:rPr>
                <w:noProof/>
                <w:color w:val="000000"/>
                <w:sz w:val="20"/>
              </w:rPr>
            </w:pPr>
            <w:r w:rsidRPr="00C47F2F">
              <w:rPr>
                <w:noProof/>
                <w:color w:val="000000"/>
                <w:sz w:val="20"/>
              </w:rPr>
              <w:t>6.93E-03</w:t>
            </w:r>
          </w:p>
        </w:tc>
        <w:tc>
          <w:tcPr>
            <w:tcW w:w="1037" w:type="dxa"/>
            <w:shd w:val="clear" w:color="auto" w:fill="auto"/>
            <w:noWrap/>
            <w:vAlign w:val="center"/>
            <w:hideMark/>
          </w:tcPr>
          <w:p w14:paraId="06BA3D02" w14:textId="77777777" w:rsidR="000F3F85" w:rsidRPr="00C47F2F" w:rsidRDefault="000F3F85" w:rsidP="00BD665F">
            <w:pPr>
              <w:jc w:val="left"/>
              <w:rPr>
                <w:noProof/>
                <w:color w:val="000000"/>
                <w:sz w:val="20"/>
              </w:rPr>
            </w:pPr>
            <w:r w:rsidRPr="00C47F2F">
              <w:rPr>
                <w:noProof/>
                <w:color w:val="000000"/>
                <w:sz w:val="20"/>
              </w:rPr>
              <w:t>6.93E-03</w:t>
            </w:r>
          </w:p>
        </w:tc>
        <w:tc>
          <w:tcPr>
            <w:tcW w:w="1036" w:type="dxa"/>
            <w:shd w:val="clear" w:color="auto" w:fill="auto"/>
            <w:noWrap/>
            <w:vAlign w:val="center"/>
            <w:hideMark/>
          </w:tcPr>
          <w:p w14:paraId="31C317AC" w14:textId="77777777" w:rsidR="000F3F85" w:rsidRPr="00C47F2F" w:rsidRDefault="000F3F85" w:rsidP="00BD665F">
            <w:pPr>
              <w:jc w:val="left"/>
              <w:rPr>
                <w:noProof/>
                <w:color w:val="000000"/>
                <w:sz w:val="20"/>
              </w:rPr>
            </w:pPr>
            <w:r w:rsidRPr="00C47F2F">
              <w:rPr>
                <w:noProof/>
                <w:color w:val="000000"/>
                <w:sz w:val="20"/>
              </w:rPr>
              <w:t>6.93E-03</w:t>
            </w:r>
          </w:p>
        </w:tc>
        <w:tc>
          <w:tcPr>
            <w:tcW w:w="1037" w:type="dxa"/>
            <w:shd w:val="clear" w:color="auto" w:fill="auto"/>
            <w:noWrap/>
            <w:vAlign w:val="center"/>
            <w:hideMark/>
          </w:tcPr>
          <w:p w14:paraId="246FDFD4" w14:textId="77777777" w:rsidR="000F3F85" w:rsidRPr="00C47F2F" w:rsidRDefault="000F3F85" w:rsidP="00BD665F">
            <w:pPr>
              <w:jc w:val="left"/>
              <w:rPr>
                <w:noProof/>
                <w:color w:val="000000"/>
                <w:sz w:val="20"/>
              </w:rPr>
            </w:pPr>
            <w:r w:rsidRPr="00C47F2F">
              <w:rPr>
                <w:noProof/>
                <w:color w:val="000000"/>
                <w:sz w:val="20"/>
              </w:rPr>
              <w:t>6.93E-03</w:t>
            </w:r>
          </w:p>
        </w:tc>
        <w:tc>
          <w:tcPr>
            <w:tcW w:w="1037" w:type="dxa"/>
            <w:shd w:val="clear" w:color="auto" w:fill="auto"/>
            <w:noWrap/>
            <w:vAlign w:val="center"/>
            <w:hideMark/>
          </w:tcPr>
          <w:p w14:paraId="72EA8049" w14:textId="77777777" w:rsidR="000F3F85" w:rsidRPr="00C47F2F" w:rsidRDefault="000F3F85" w:rsidP="00BD665F">
            <w:pPr>
              <w:jc w:val="left"/>
              <w:rPr>
                <w:noProof/>
                <w:color w:val="000000"/>
                <w:sz w:val="20"/>
              </w:rPr>
            </w:pPr>
            <w:r w:rsidRPr="00C47F2F">
              <w:rPr>
                <w:noProof/>
                <w:color w:val="000000"/>
                <w:sz w:val="20"/>
              </w:rPr>
              <w:t>6.93E-03</w:t>
            </w:r>
          </w:p>
        </w:tc>
      </w:tr>
      <w:tr w:rsidR="000F3F85" w:rsidRPr="00972C81" w14:paraId="6412F984" w14:textId="77777777" w:rsidTr="00BD665F">
        <w:trPr>
          <w:trHeight w:val="340"/>
        </w:trPr>
        <w:tc>
          <w:tcPr>
            <w:tcW w:w="2807" w:type="dxa"/>
            <w:shd w:val="clear" w:color="auto" w:fill="auto"/>
            <w:noWrap/>
            <w:vAlign w:val="center"/>
            <w:hideMark/>
          </w:tcPr>
          <w:p w14:paraId="57B801CE" w14:textId="3C577991" w:rsidR="000F3F85" w:rsidRPr="000F3F85" w:rsidRDefault="000F3F85" w:rsidP="00BD665F">
            <w:pPr>
              <w:jc w:val="left"/>
              <w:rPr>
                <w:noProof/>
                <w:color w:val="000000"/>
                <w:sz w:val="20"/>
              </w:rPr>
            </w:pPr>
            <w:r w:rsidRPr="000F3F85">
              <w:rPr>
                <w:noProof/>
                <w:color w:val="000000"/>
                <w:sz w:val="20"/>
              </w:rPr>
              <w:t xml:space="preserve"> ST2 to Blood</w:t>
            </w:r>
          </w:p>
        </w:tc>
        <w:tc>
          <w:tcPr>
            <w:tcW w:w="1036" w:type="dxa"/>
            <w:shd w:val="clear" w:color="auto" w:fill="auto"/>
            <w:noWrap/>
            <w:vAlign w:val="center"/>
            <w:hideMark/>
          </w:tcPr>
          <w:p w14:paraId="492A220A" w14:textId="77777777" w:rsidR="000F3F85" w:rsidRPr="00C47F2F" w:rsidRDefault="000F3F85" w:rsidP="00BD665F">
            <w:pPr>
              <w:jc w:val="left"/>
              <w:rPr>
                <w:noProof/>
                <w:color w:val="000000"/>
                <w:sz w:val="20"/>
              </w:rPr>
            </w:pPr>
            <w:r w:rsidRPr="00C47F2F">
              <w:rPr>
                <w:noProof/>
                <w:color w:val="000000"/>
                <w:sz w:val="20"/>
              </w:rPr>
              <w:t>1.28E-04</w:t>
            </w:r>
          </w:p>
        </w:tc>
        <w:tc>
          <w:tcPr>
            <w:tcW w:w="1037" w:type="dxa"/>
            <w:shd w:val="clear" w:color="auto" w:fill="auto"/>
            <w:noWrap/>
            <w:vAlign w:val="center"/>
            <w:hideMark/>
          </w:tcPr>
          <w:p w14:paraId="7068AA2E" w14:textId="77777777" w:rsidR="000F3F85" w:rsidRPr="00C47F2F" w:rsidRDefault="000F3F85" w:rsidP="00BD665F">
            <w:pPr>
              <w:jc w:val="left"/>
              <w:rPr>
                <w:noProof/>
                <w:color w:val="000000"/>
                <w:sz w:val="20"/>
              </w:rPr>
            </w:pPr>
            <w:r w:rsidRPr="00C47F2F">
              <w:rPr>
                <w:noProof/>
                <w:color w:val="000000"/>
                <w:sz w:val="20"/>
              </w:rPr>
              <w:t>1.28E-04</w:t>
            </w:r>
          </w:p>
        </w:tc>
        <w:tc>
          <w:tcPr>
            <w:tcW w:w="1037" w:type="dxa"/>
            <w:shd w:val="clear" w:color="auto" w:fill="auto"/>
            <w:noWrap/>
            <w:vAlign w:val="center"/>
            <w:hideMark/>
          </w:tcPr>
          <w:p w14:paraId="7A558AA9" w14:textId="77777777" w:rsidR="000F3F85" w:rsidRPr="00C47F2F" w:rsidRDefault="000F3F85" w:rsidP="00BD665F">
            <w:pPr>
              <w:jc w:val="left"/>
              <w:rPr>
                <w:noProof/>
                <w:color w:val="000000"/>
                <w:sz w:val="20"/>
              </w:rPr>
            </w:pPr>
            <w:r w:rsidRPr="00C47F2F">
              <w:rPr>
                <w:noProof/>
                <w:color w:val="000000"/>
                <w:sz w:val="20"/>
              </w:rPr>
              <w:t>1.28E-04</w:t>
            </w:r>
          </w:p>
        </w:tc>
        <w:tc>
          <w:tcPr>
            <w:tcW w:w="1036" w:type="dxa"/>
            <w:shd w:val="clear" w:color="auto" w:fill="auto"/>
            <w:noWrap/>
            <w:vAlign w:val="center"/>
            <w:hideMark/>
          </w:tcPr>
          <w:p w14:paraId="3EB58170" w14:textId="77777777" w:rsidR="000F3F85" w:rsidRPr="00C47F2F" w:rsidRDefault="000F3F85" w:rsidP="00BD665F">
            <w:pPr>
              <w:jc w:val="left"/>
              <w:rPr>
                <w:noProof/>
                <w:color w:val="000000"/>
                <w:sz w:val="20"/>
              </w:rPr>
            </w:pPr>
            <w:r w:rsidRPr="00C47F2F">
              <w:rPr>
                <w:noProof/>
                <w:color w:val="000000"/>
                <w:sz w:val="20"/>
              </w:rPr>
              <w:t>1.28E-04</w:t>
            </w:r>
          </w:p>
        </w:tc>
        <w:tc>
          <w:tcPr>
            <w:tcW w:w="1037" w:type="dxa"/>
            <w:shd w:val="clear" w:color="auto" w:fill="auto"/>
            <w:noWrap/>
            <w:vAlign w:val="center"/>
            <w:hideMark/>
          </w:tcPr>
          <w:p w14:paraId="54336BE5" w14:textId="77777777" w:rsidR="000F3F85" w:rsidRPr="00C47F2F" w:rsidRDefault="000F3F85" w:rsidP="00BD665F">
            <w:pPr>
              <w:jc w:val="left"/>
              <w:rPr>
                <w:noProof/>
                <w:color w:val="000000"/>
                <w:sz w:val="20"/>
              </w:rPr>
            </w:pPr>
            <w:r w:rsidRPr="00C47F2F">
              <w:rPr>
                <w:noProof/>
                <w:color w:val="000000"/>
                <w:sz w:val="20"/>
              </w:rPr>
              <w:t>1.28E-04</w:t>
            </w:r>
          </w:p>
        </w:tc>
        <w:tc>
          <w:tcPr>
            <w:tcW w:w="1037" w:type="dxa"/>
            <w:shd w:val="clear" w:color="auto" w:fill="auto"/>
            <w:noWrap/>
            <w:vAlign w:val="center"/>
            <w:hideMark/>
          </w:tcPr>
          <w:p w14:paraId="53BF1199" w14:textId="77777777" w:rsidR="000F3F85" w:rsidRPr="00C47F2F" w:rsidRDefault="000F3F85" w:rsidP="00BD665F">
            <w:pPr>
              <w:jc w:val="left"/>
              <w:rPr>
                <w:noProof/>
                <w:color w:val="000000"/>
                <w:sz w:val="20"/>
              </w:rPr>
            </w:pPr>
            <w:r w:rsidRPr="00C47F2F">
              <w:rPr>
                <w:noProof/>
                <w:color w:val="000000"/>
                <w:sz w:val="20"/>
              </w:rPr>
              <w:t>1.28E-04</w:t>
            </w:r>
          </w:p>
        </w:tc>
      </w:tr>
      <w:tr w:rsidR="000F3F85" w:rsidRPr="00972C81" w14:paraId="65B6F6CD" w14:textId="77777777" w:rsidTr="00BD665F">
        <w:trPr>
          <w:trHeight w:val="340"/>
        </w:trPr>
        <w:tc>
          <w:tcPr>
            <w:tcW w:w="2807" w:type="dxa"/>
            <w:shd w:val="clear" w:color="auto" w:fill="auto"/>
            <w:noWrap/>
            <w:vAlign w:val="center"/>
            <w:hideMark/>
          </w:tcPr>
          <w:p w14:paraId="46FB1C1D" w14:textId="51FF3D67" w:rsidR="000F3F85" w:rsidRPr="000F3F85" w:rsidRDefault="000F3F85" w:rsidP="00BD665F">
            <w:pPr>
              <w:jc w:val="left"/>
              <w:rPr>
                <w:noProof/>
                <w:color w:val="000000"/>
                <w:sz w:val="20"/>
              </w:rPr>
            </w:pPr>
            <w:r w:rsidRPr="000F3F85">
              <w:rPr>
                <w:noProof/>
                <w:color w:val="000000"/>
                <w:sz w:val="20"/>
              </w:rPr>
              <w:t>Cort marrow to Blood</w:t>
            </w:r>
          </w:p>
        </w:tc>
        <w:tc>
          <w:tcPr>
            <w:tcW w:w="1036" w:type="dxa"/>
            <w:shd w:val="clear" w:color="auto" w:fill="auto"/>
            <w:noWrap/>
            <w:vAlign w:val="center"/>
            <w:hideMark/>
          </w:tcPr>
          <w:p w14:paraId="2A72523D" w14:textId="77777777" w:rsidR="000F3F85" w:rsidRPr="00C47F2F" w:rsidRDefault="000F3F85" w:rsidP="00BD665F">
            <w:pPr>
              <w:jc w:val="left"/>
              <w:rPr>
                <w:noProof/>
                <w:color w:val="000000"/>
                <w:sz w:val="20"/>
              </w:rPr>
            </w:pPr>
            <w:r w:rsidRPr="00C47F2F">
              <w:rPr>
                <w:noProof/>
                <w:color w:val="000000"/>
                <w:sz w:val="20"/>
              </w:rPr>
              <w:t>7.60E-03</w:t>
            </w:r>
          </w:p>
        </w:tc>
        <w:tc>
          <w:tcPr>
            <w:tcW w:w="1037" w:type="dxa"/>
            <w:shd w:val="clear" w:color="auto" w:fill="auto"/>
            <w:noWrap/>
            <w:vAlign w:val="center"/>
            <w:hideMark/>
          </w:tcPr>
          <w:p w14:paraId="7EC9AF7E" w14:textId="77777777" w:rsidR="000F3F85" w:rsidRPr="00C47F2F" w:rsidRDefault="000F3F85" w:rsidP="00BD665F">
            <w:pPr>
              <w:jc w:val="left"/>
              <w:rPr>
                <w:noProof/>
                <w:color w:val="000000"/>
                <w:sz w:val="20"/>
              </w:rPr>
            </w:pPr>
            <w:r w:rsidRPr="00C47F2F">
              <w:rPr>
                <w:noProof/>
                <w:color w:val="000000"/>
                <w:sz w:val="20"/>
              </w:rPr>
              <w:t>7.60E-03</w:t>
            </w:r>
          </w:p>
        </w:tc>
        <w:tc>
          <w:tcPr>
            <w:tcW w:w="1037" w:type="dxa"/>
            <w:shd w:val="clear" w:color="auto" w:fill="auto"/>
            <w:noWrap/>
            <w:vAlign w:val="center"/>
            <w:hideMark/>
          </w:tcPr>
          <w:p w14:paraId="1A5E83F7" w14:textId="77777777" w:rsidR="000F3F85" w:rsidRPr="00C47F2F" w:rsidRDefault="000F3F85" w:rsidP="00BD665F">
            <w:pPr>
              <w:jc w:val="left"/>
              <w:rPr>
                <w:noProof/>
                <w:color w:val="000000"/>
                <w:sz w:val="20"/>
              </w:rPr>
            </w:pPr>
            <w:r w:rsidRPr="00C47F2F">
              <w:rPr>
                <w:noProof/>
                <w:color w:val="000000"/>
                <w:sz w:val="20"/>
              </w:rPr>
              <w:t>7.60E-03</w:t>
            </w:r>
          </w:p>
        </w:tc>
        <w:tc>
          <w:tcPr>
            <w:tcW w:w="1036" w:type="dxa"/>
            <w:shd w:val="clear" w:color="auto" w:fill="auto"/>
            <w:noWrap/>
            <w:vAlign w:val="center"/>
            <w:hideMark/>
          </w:tcPr>
          <w:p w14:paraId="36F952B4" w14:textId="77777777" w:rsidR="000F3F85" w:rsidRPr="00C47F2F" w:rsidRDefault="000F3F85" w:rsidP="00BD665F">
            <w:pPr>
              <w:jc w:val="left"/>
              <w:rPr>
                <w:noProof/>
                <w:color w:val="000000"/>
                <w:sz w:val="20"/>
              </w:rPr>
            </w:pPr>
            <w:r w:rsidRPr="00C47F2F">
              <w:rPr>
                <w:noProof/>
                <w:color w:val="000000"/>
                <w:sz w:val="20"/>
              </w:rPr>
              <w:t>7.60E-03</w:t>
            </w:r>
          </w:p>
        </w:tc>
        <w:tc>
          <w:tcPr>
            <w:tcW w:w="1037" w:type="dxa"/>
            <w:shd w:val="clear" w:color="auto" w:fill="auto"/>
            <w:noWrap/>
            <w:vAlign w:val="center"/>
            <w:hideMark/>
          </w:tcPr>
          <w:p w14:paraId="15E6912B" w14:textId="77777777" w:rsidR="000F3F85" w:rsidRPr="00C47F2F" w:rsidRDefault="000F3F85" w:rsidP="00BD665F">
            <w:pPr>
              <w:jc w:val="left"/>
              <w:rPr>
                <w:noProof/>
                <w:color w:val="000000"/>
                <w:sz w:val="20"/>
              </w:rPr>
            </w:pPr>
            <w:r w:rsidRPr="00C47F2F">
              <w:rPr>
                <w:noProof/>
                <w:color w:val="000000"/>
                <w:sz w:val="20"/>
              </w:rPr>
              <w:t>7.60E-03</w:t>
            </w:r>
          </w:p>
        </w:tc>
        <w:tc>
          <w:tcPr>
            <w:tcW w:w="1037" w:type="dxa"/>
            <w:shd w:val="clear" w:color="auto" w:fill="auto"/>
            <w:noWrap/>
            <w:vAlign w:val="center"/>
            <w:hideMark/>
          </w:tcPr>
          <w:p w14:paraId="495BE6ED" w14:textId="77777777" w:rsidR="000F3F85" w:rsidRPr="00C47F2F" w:rsidRDefault="000F3F85" w:rsidP="00BD665F">
            <w:pPr>
              <w:jc w:val="left"/>
              <w:rPr>
                <w:noProof/>
                <w:color w:val="000000"/>
                <w:sz w:val="20"/>
              </w:rPr>
            </w:pPr>
            <w:r w:rsidRPr="00C47F2F">
              <w:rPr>
                <w:noProof/>
                <w:color w:val="000000"/>
                <w:sz w:val="20"/>
              </w:rPr>
              <w:t>7.60E-03</w:t>
            </w:r>
          </w:p>
        </w:tc>
      </w:tr>
      <w:tr w:rsidR="000F3F85" w:rsidRPr="00972C81" w14:paraId="26D6A66B" w14:textId="77777777" w:rsidTr="00BD665F">
        <w:trPr>
          <w:trHeight w:val="340"/>
        </w:trPr>
        <w:tc>
          <w:tcPr>
            <w:tcW w:w="2807" w:type="dxa"/>
            <w:shd w:val="clear" w:color="auto" w:fill="auto"/>
            <w:noWrap/>
            <w:vAlign w:val="center"/>
            <w:hideMark/>
          </w:tcPr>
          <w:p w14:paraId="3726F51C" w14:textId="7ED391EB" w:rsidR="000F3F85" w:rsidRPr="000F3F85" w:rsidRDefault="000F3F85" w:rsidP="00BD665F">
            <w:pPr>
              <w:jc w:val="left"/>
              <w:rPr>
                <w:noProof/>
                <w:color w:val="000000"/>
                <w:sz w:val="20"/>
              </w:rPr>
            </w:pPr>
            <w:r w:rsidRPr="000F3F85">
              <w:rPr>
                <w:noProof/>
                <w:color w:val="000000"/>
                <w:sz w:val="20"/>
              </w:rPr>
              <w:t xml:space="preserve">Cort bone surf to Cort marrow </w:t>
            </w:r>
          </w:p>
        </w:tc>
        <w:tc>
          <w:tcPr>
            <w:tcW w:w="1036" w:type="dxa"/>
            <w:shd w:val="clear" w:color="auto" w:fill="auto"/>
            <w:noWrap/>
            <w:vAlign w:val="center"/>
            <w:hideMark/>
          </w:tcPr>
          <w:p w14:paraId="6C95F675" w14:textId="77777777" w:rsidR="000F3F85" w:rsidRPr="00C47F2F" w:rsidRDefault="000F3F85" w:rsidP="00BD665F">
            <w:pPr>
              <w:jc w:val="left"/>
              <w:rPr>
                <w:noProof/>
                <w:color w:val="000000"/>
                <w:sz w:val="20"/>
              </w:rPr>
            </w:pPr>
            <w:r w:rsidRPr="00C47F2F">
              <w:rPr>
                <w:noProof/>
                <w:color w:val="000000"/>
                <w:sz w:val="20"/>
              </w:rPr>
              <w:t>8.22E-03</w:t>
            </w:r>
          </w:p>
        </w:tc>
        <w:tc>
          <w:tcPr>
            <w:tcW w:w="1037" w:type="dxa"/>
            <w:shd w:val="clear" w:color="auto" w:fill="auto"/>
            <w:noWrap/>
            <w:vAlign w:val="center"/>
            <w:hideMark/>
          </w:tcPr>
          <w:p w14:paraId="501CC4B0" w14:textId="77777777" w:rsidR="000F3F85" w:rsidRPr="00C47F2F" w:rsidRDefault="000F3F85" w:rsidP="00BD665F">
            <w:pPr>
              <w:jc w:val="left"/>
              <w:rPr>
                <w:noProof/>
                <w:color w:val="000000"/>
                <w:sz w:val="20"/>
              </w:rPr>
            </w:pPr>
            <w:r w:rsidRPr="00C47F2F">
              <w:rPr>
                <w:noProof/>
                <w:color w:val="000000"/>
                <w:sz w:val="20"/>
              </w:rPr>
              <w:t>2.88E-03</w:t>
            </w:r>
          </w:p>
        </w:tc>
        <w:tc>
          <w:tcPr>
            <w:tcW w:w="1037" w:type="dxa"/>
            <w:shd w:val="clear" w:color="auto" w:fill="auto"/>
            <w:noWrap/>
            <w:vAlign w:val="center"/>
            <w:hideMark/>
          </w:tcPr>
          <w:p w14:paraId="7AB27A36" w14:textId="77777777" w:rsidR="000F3F85" w:rsidRPr="00C47F2F" w:rsidRDefault="000F3F85" w:rsidP="00BD665F">
            <w:pPr>
              <w:jc w:val="left"/>
              <w:rPr>
                <w:noProof/>
                <w:color w:val="000000"/>
                <w:sz w:val="20"/>
              </w:rPr>
            </w:pPr>
            <w:r w:rsidRPr="00C47F2F">
              <w:rPr>
                <w:noProof/>
                <w:color w:val="000000"/>
                <w:sz w:val="20"/>
              </w:rPr>
              <w:t>1.53E-03</w:t>
            </w:r>
          </w:p>
        </w:tc>
        <w:tc>
          <w:tcPr>
            <w:tcW w:w="1036" w:type="dxa"/>
            <w:shd w:val="clear" w:color="auto" w:fill="auto"/>
            <w:noWrap/>
            <w:vAlign w:val="center"/>
            <w:hideMark/>
          </w:tcPr>
          <w:p w14:paraId="2C076780" w14:textId="77777777" w:rsidR="000F3F85" w:rsidRPr="00C47F2F" w:rsidRDefault="000F3F85" w:rsidP="00BD665F">
            <w:pPr>
              <w:jc w:val="left"/>
              <w:rPr>
                <w:noProof/>
                <w:color w:val="000000"/>
                <w:sz w:val="20"/>
              </w:rPr>
            </w:pPr>
            <w:r w:rsidRPr="00C47F2F">
              <w:rPr>
                <w:noProof/>
                <w:color w:val="000000"/>
                <w:sz w:val="20"/>
              </w:rPr>
              <w:t>9.04E-04</w:t>
            </w:r>
          </w:p>
        </w:tc>
        <w:tc>
          <w:tcPr>
            <w:tcW w:w="1037" w:type="dxa"/>
            <w:shd w:val="clear" w:color="auto" w:fill="auto"/>
            <w:noWrap/>
            <w:vAlign w:val="center"/>
            <w:hideMark/>
          </w:tcPr>
          <w:p w14:paraId="331A52F9" w14:textId="77777777" w:rsidR="000F3F85" w:rsidRPr="00C47F2F" w:rsidRDefault="000F3F85" w:rsidP="00BD665F">
            <w:pPr>
              <w:jc w:val="left"/>
              <w:rPr>
                <w:noProof/>
                <w:color w:val="000000"/>
                <w:sz w:val="20"/>
              </w:rPr>
            </w:pPr>
            <w:r w:rsidRPr="00C47F2F">
              <w:rPr>
                <w:noProof/>
                <w:color w:val="000000"/>
                <w:sz w:val="20"/>
              </w:rPr>
              <w:t>5.21E-04</w:t>
            </w:r>
          </w:p>
        </w:tc>
        <w:tc>
          <w:tcPr>
            <w:tcW w:w="1037" w:type="dxa"/>
            <w:shd w:val="clear" w:color="auto" w:fill="auto"/>
            <w:noWrap/>
            <w:vAlign w:val="center"/>
            <w:hideMark/>
          </w:tcPr>
          <w:p w14:paraId="13EDDA26" w14:textId="77777777" w:rsidR="000F3F85" w:rsidRPr="00C47F2F" w:rsidRDefault="000F3F85" w:rsidP="00BD665F">
            <w:pPr>
              <w:jc w:val="left"/>
              <w:rPr>
                <w:noProof/>
                <w:color w:val="000000"/>
                <w:sz w:val="20"/>
              </w:rPr>
            </w:pPr>
            <w:r w:rsidRPr="00C47F2F">
              <w:rPr>
                <w:noProof/>
                <w:color w:val="000000"/>
                <w:sz w:val="20"/>
              </w:rPr>
              <w:t>8.21E-05</w:t>
            </w:r>
          </w:p>
        </w:tc>
      </w:tr>
      <w:tr w:rsidR="000F3F85" w:rsidRPr="00972C81" w14:paraId="73F9FBDD" w14:textId="77777777" w:rsidTr="00BD665F">
        <w:trPr>
          <w:trHeight w:val="340"/>
        </w:trPr>
        <w:tc>
          <w:tcPr>
            <w:tcW w:w="2807" w:type="dxa"/>
            <w:shd w:val="clear" w:color="auto" w:fill="auto"/>
            <w:noWrap/>
            <w:vAlign w:val="center"/>
            <w:hideMark/>
          </w:tcPr>
          <w:p w14:paraId="13BB1CB5" w14:textId="1A61FCE9" w:rsidR="000F3F85" w:rsidRPr="000F3F85" w:rsidRDefault="000F3F85" w:rsidP="00BD665F">
            <w:pPr>
              <w:jc w:val="left"/>
              <w:rPr>
                <w:noProof/>
                <w:color w:val="000000"/>
                <w:sz w:val="20"/>
              </w:rPr>
            </w:pPr>
            <w:r w:rsidRPr="000F3F85">
              <w:rPr>
                <w:noProof/>
                <w:color w:val="000000"/>
                <w:sz w:val="20"/>
              </w:rPr>
              <w:t>Cort bone surf to Cort bone vol</w:t>
            </w:r>
          </w:p>
        </w:tc>
        <w:tc>
          <w:tcPr>
            <w:tcW w:w="1036" w:type="dxa"/>
            <w:shd w:val="clear" w:color="auto" w:fill="auto"/>
            <w:noWrap/>
            <w:vAlign w:val="center"/>
            <w:hideMark/>
          </w:tcPr>
          <w:p w14:paraId="0C490A53" w14:textId="77777777" w:rsidR="000F3F85" w:rsidRPr="00C47F2F" w:rsidRDefault="000F3F85" w:rsidP="00BD665F">
            <w:pPr>
              <w:jc w:val="left"/>
              <w:rPr>
                <w:noProof/>
                <w:color w:val="000000"/>
                <w:sz w:val="20"/>
              </w:rPr>
            </w:pPr>
            <w:r w:rsidRPr="00C47F2F">
              <w:rPr>
                <w:noProof/>
                <w:color w:val="000000"/>
                <w:sz w:val="20"/>
              </w:rPr>
              <w:t>8.22E-03</w:t>
            </w:r>
          </w:p>
        </w:tc>
        <w:tc>
          <w:tcPr>
            <w:tcW w:w="1037" w:type="dxa"/>
            <w:shd w:val="clear" w:color="auto" w:fill="auto"/>
            <w:noWrap/>
            <w:vAlign w:val="center"/>
            <w:hideMark/>
          </w:tcPr>
          <w:p w14:paraId="691DB8F7" w14:textId="77777777" w:rsidR="000F3F85" w:rsidRPr="00C47F2F" w:rsidRDefault="000F3F85" w:rsidP="00BD665F">
            <w:pPr>
              <w:jc w:val="left"/>
              <w:rPr>
                <w:noProof/>
                <w:color w:val="000000"/>
                <w:sz w:val="20"/>
              </w:rPr>
            </w:pPr>
            <w:r w:rsidRPr="00C47F2F">
              <w:rPr>
                <w:noProof/>
                <w:color w:val="000000"/>
                <w:sz w:val="20"/>
              </w:rPr>
              <w:t>2.88E-03</w:t>
            </w:r>
          </w:p>
        </w:tc>
        <w:tc>
          <w:tcPr>
            <w:tcW w:w="1037" w:type="dxa"/>
            <w:shd w:val="clear" w:color="auto" w:fill="auto"/>
            <w:noWrap/>
            <w:vAlign w:val="center"/>
            <w:hideMark/>
          </w:tcPr>
          <w:p w14:paraId="344DB904" w14:textId="77777777" w:rsidR="000F3F85" w:rsidRPr="00C47F2F" w:rsidRDefault="000F3F85" w:rsidP="00BD665F">
            <w:pPr>
              <w:jc w:val="left"/>
              <w:rPr>
                <w:noProof/>
                <w:color w:val="000000"/>
                <w:sz w:val="20"/>
              </w:rPr>
            </w:pPr>
            <w:r w:rsidRPr="00C47F2F">
              <w:rPr>
                <w:noProof/>
                <w:color w:val="000000"/>
                <w:sz w:val="20"/>
              </w:rPr>
              <w:t>1.53E-03</w:t>
            </w:r>
          </w:p>
        </w:tc>
        <w:tc>
          <w:tcPr>
            <w:tcW w:w="1036" w:type="dxa"/>
            <w:shd w:val="clear" w:color="auto" w:fill="auto"/>
            <w:noWrap/>
            <w:vAlign w:val="center"/>
            <w:hideMark/>
          </w:tcPr>
          <w:p w14:paraId="24BFADC4" w14:textId="77777777" w:rsidR="000F3F85" w:rsidRPr="00C47F2F" w:rsidRDefault="000F3F85" w:rsidP="00BD665F">
            <w:pPr>
              <w:jc w:val="left"/>
              <w:rPr>
                <w:noProof/>
                <w:color w:val="000000"/>
                <w:sz w:val="20"/>
              </w:rPr>
            </w:pPr>
            <w:r w:rsidRPr="00C47F2F">
              <w:rPr>
                <w:noProof/>
                <w:color w:val="000000"/>
                <w:sz w:val="20"/>
              </w:rPr>
              <w:t>9.04E-04</w:t>
            </w:r>
          </w:p>
        </w:tc>
        <w:tc>
          <w:tcPr>
            <w:tcW w:w="1037" w:type="dxa"/>
            <w:shd w:val="clear" w:color="auto" w:fill="auto"/>
            <w:noWrap/>
            <w:vAlign w:val="center"/>
            <w:hideMark/>
          </w:tcPr>
          <w:p w14:paraId="6879ED7A" w14:textId="77777777" w:rsidR="000F3F85" w:rsidRPr="00C47F2F" w:rsidRDefault="000F3F85" w:rsidP="00BD665F">
            <w:pPr>
              <w:jc w:val="left"/>
              <w:rPr>
                <w:noProof/>
                <w:color w:val="000000"/>
                <w:sz w:val="20"/>
              </w:rPr>
            </w:pPr>
            <w:r w:rsidRPr="00C47F2F">
              <w:rPr>
                <w:noProof/>
                <w:color w:val="000000"/>
                <w:sz w:val="20"/>
              </w:rPr>
              <w:t>5.21E-04</w:t>
            </w:r>
          </w:p>
        </w:tc>
        <w:tc>
          <w:tcPr>
            <w:tcW w:w="1037" w:type="dxa"/>
            <w:shd w:val="clear" w:color="auto" w:fill="auto"/>
            <w:noWrap/>
            <w:vAlign w:val="center"/>
            <w:hideMark/>
          </w:tcPr>
          <w:p w14:paraId="289840C8" w14:textId="77777777" w:rsidR="000F3F85" w:rsidRPr="00C47F2F" w:rsidRDefault="000F3F85" w:rsidP="00BD665F">
            <w:pPr>
              <w:jc w:val="left"/>
              <w:rPr>
                <w:noProof/>
                <w:color w:val="000000"/>
                <w:sz w:val="20"/>
              </w:rPr>
            </w:pPr>
            <w:r w:rsidRPr="00C47F2F">
              <w:rPr>
                <w:noProof/>
                <w:color w:val="000000"/>
                <w:sz w:val="20"/>
              </w:rPr>
              <w:t>4.11E-05</w:t>
            </w:r>
          </w:p>
        </w:tc>
      </w:tr>
      <w:tr w:rsidR="000F3F85" w:rsidRPr="00972C81" w14:paraId="6F7B7759" w14:textId="77777777" w:rsidTr="00BD665F">
        <w:trPr>
          <w:trHeight w:val="340"/>
        </w:trPr>
        <w:tc>
          <w:tcPr>
            <w:tcW w:w="2807" w:type="dxa"/>
            <w:shd w:val="clear" w:color="auto" w:fill="auto"/>
            <w:noWrap/>
            <w:vAlign w:val="center"/>
            <w:hideMark/>
          </w:tcPr>
          <w:p w14:paraId="58404ADD" w14:textId="2205B3D2" w:rsidR="000F3F85" w:rsidRPr="000F3F85" w:rsidRDefault="000F3F85" w:rsidP="00BD665F">
            <w:pPr>
              <w:jc w:val="left"/>
              <w:rPr>
                <w:noProof/>
                <w:color w:val="000000"/>
                <w:sz w:val="20"/>
              </w:rPr>
            </w:pPr>
            <w:r w:rsidRPr="000F3F85">
              <w:rPr>
                <w:noProof/>
                <w:color w:val="000000"/>
                <w:sz w:val="20"/>
              </w:rPr>
              <w:t>Cort bone vol to Cort marrow</w:t>
            </w:r>
          </w:p>
        </w:tc>
        <w:tc>
          <w:tcPr>
            <w:tcW w:w="1036" w:type="dxa"/>
            <w:shd w:val="clear" w:color="auto" w:fill="auto"/>
            <w:noWrap/>
            <w:vAlign w:val="center"/>
            <w:hideMark/>
          </w:tcPr>
          <w:p w14:paraId="3584EA9C" w14:textId="77777777" w:rsidR="000F3F85" w:rsidRPr="00C47F2F" w:rsidRDefault="000F3F85" w:rsidP="00BD665F">
            <w:pPr>
              <w:jc w:val="left"/>
              <w:rPr>
                <w:noProof/>
                <w:color w:val="000000"/>
                <w:sz w:val="20"/>
              </w:rPr>
            </w:pPr>
            <w:r w:rsidRPr="00C47F2F">
              <w:rPr>
                <w:noProof/>
                <w:color w:val="000000"/>
                <w:sz w:val="20"/>
              </w:rPr>
              <w:t>8.22E-03</w:t>
            </w:r>
          </w:p>
        </w:tc>
        <w:tc>
          <w:tcPr>
            <w:tcW w:w="1037" w:type="dxa"/>
            <w:shd w:val="clear" w:color="auto" w:fill="auto"/>
            <w:noWrap/>
            <w:vAlign w:val="center"/>
            <w:hideMark/>
          </w:tcPr>
          <w:p w14:paraId="472932D8" w14:textId="77777777" w:rsidR="000F3F85" w:rsidRPr="00C47F2F" w:rsidRDefault="000F3F85" w:rsidP="00BD665F">
            <w:pPr>
              <w:jc w:val="left"/>
              <w:rPr>
                <w:noProof/>
                <w:color w:val="000000"/>
                <w:sz w:val="20"/>
              </w:rPr>
            </w:pPr>
            <w:r w:rsidRPr="00C47F2F">
              <w:rPr>
                <w:noProof/>
                <w:color w:val="000000"/>
                <w:sz w:val="20"/>
              </w:rPr>
              <w:t>2.88E-03</w:t>
            </w:r>
          </w:p>
        </w:tc>
        <w:tc>
          <w:tcPr>
            <w:tcW w:w="1037" w:type="dxa"/>
            <w:shd w:val="clear" w:color="auto" w:fill="auto"/>
            <w:noWrap/>
            <w:vAlign w:val="center"/>
            <w:hideMark/>
          </w:tcPr>
          <w:p w14:paraId="12906FF3" w14:textId="77777777" w:rsidR="000F3F85" w:rsidRPr="00C47F2F" w:rsidRDefault="000F3F85" w:rsidP="00BD665F">
            <w:pPr>
              <w:jc w:val="left"/>
              <w:rPr>
                <w:noProof/>
                <w:color w:val="000000"/>
                <w:sz w:val="20"/>
              </w:rPr>
            </w:pPr>
            <w:r w:rsidRPr="00C47F2F">
              <w:rPr>
                <w:noProof/>
                <w:color w:val="000000"/>
                <w:sz w:val="20"/>
              </w:rPr>
              <w:t>1.53E-03</w:t>
            </w:r>
          </w:p>
        </w:tc>
        <w:tc>
          <w:tcPr>
            <w:tcW w:w="1036" w:type="dxa"/>
            <w:shd w:val="clear" w:color="auto" w:fill="auto"/>
            <w:noWrap/>
            <w:vAlign w:val="center"/>
            <w:hideMark/>
          </w:tcPr>
          <w:p w14:paraId="4A236AD5" w14:textId="77777777" w:rsidR="000F3F85" w:rsidRPr="00C47F2F" w:rsidRDefault="000F3F85" w:rsidP="00BD665F">
            <w:pPr>
              <w:jc w:val="left"/>
              <w:rPr>
                <w:noProof/>
                <w:color w:val="000000"/>
                <w:sz w:val="20"/>
              </w:rPr>
            </w:pPr>
            <w:r w:rsidRPr="00C47F2F">
              <w:rPr>
                <w:noProof/>
                <w:color w:val="000000"/>
                <w:sz w:val="20"/>
              </w:rPr>
              <w:t>9.04E-04</w:t>
            </w:r>
          </w:p>
        </w:tc>
        <w:tc>
          <w:tcPr>
            <w:tcW w:w="1037" w:type="dxa"/>
            <w:shd w:val="clear" w:color="auto" w:fill="auto"/>
            <w:noWrap/>
            <w:vAlign w:val="center"/>
            <w:hideMark/>
          </w:tcPr>
          <w:p w14:paraId="4BC65800" w14:textId="77777777" w:rsidR="000F3F85" w:rsidRPr="00C47F2F" w:rsidRDefault="000F3F85" w:rsidP="00BD665F">
            <w:pPr>
              <w:jc w:val="left"/>
              <w:rPr>
                <w:noProof/>
                <w:color w:val="000000"/>
                <w:sz w:val="20"/>
              </w:rPr>
            </w:pPr>
            <w:r w:rsidRPr="00C47F2F">
              <w:rPr>
                <w:noProof/>
                <w:color w:val="000000"/>
                <w:sz w:val="20"/>
              </w:rPr>
              <w:t>5.21E-04</w:t>
            </w:r>
          </w:p>
        </w:tc>
        <w:tc>
          <w:tcPr>
            <w:tcW w:w="1037" w:type="dxa"/>
            <w:shd w:val="clear" w:color="auto" w:fill="auto"/>
            <w:noWrap/>
            <w:vAlign w:val="center"/>
            <w:hideMark/>
          </w:tcPr>
          <w:p w14:paraId="132AE40D" w14:textId="77777777" w:rsidR="000F3F85" w:rsidRPr="00C47F2F" w:rsidRDefault="000F3F85" w:rsidP="00BD665F">
            <w:pPr>
              <w:jc w:val="left"/>
              <w:rPr>
                <w:noProof/>
                <w:color w:val="000000"/>
                <w:sz w:val="20"/>
              </w:rPr>
            </w:pPr>
            <w:r w:rsidRPr="00C47F2F">
              <w:rPr>
                <w:noProof/>
                <w:color w:val="000000"/>
                <w:sz w:val="20"/>
              </w:rPr>
              <w:t>8.21E-05</w:t>
            </w:r>
          </w:p>
        </w:tc>
      </w:tr>
      <w:tr w:rsidR="000F3F85" w:rsidRPr="00972C81" w14:paraId="7B6E16D8" w14:textId="77777777" w:rsidTr="00BD665F">
        <w:trPr>
          <w:trHeight w:val="340"/>
        </w:trPr>
        <w:tc>
          <w:tcPr>
            <w:tcW w:w="2807" w:type="dxa"/>
            <w:shd w:val="clear" w:color="auto" w:fill="auto"/>
            <w:noWrap/>
            <w:vAlign w:val="center"/>
            <w:hideMark/>
          </w:tcPr>
          <w:p w14:paraId="6E9E8D1C" w14:textId="02213067" w:rsidR="000F3F85" w:rsidRPr="000F3F85" w:rsidRDefault="000F3F85" w:rsidP="00BD665F">
            <w:pPr>
              <w:jc w:val="left"/>
              <w:rPr>
                <w:noProof/>
                <w:color w:val="000000"/>
                <w:sz w:val="20"/>
              </w:rPr>
            </w:pPr>
            <w:r w:rsidRPr="000F3F85">
              <w:rPr>
                <w:noProof/>
                <w:color w:val="000000"/>
                <w:sz w:val="20"/>
              </w:rPr>
              <w:t>Trab marrow to Blood</w:t>
            </w:r>
          </w:p>
        </w:tc>
        <w:tc>
          <w:tcPr>
            <w:tcW w:w="1036" w:type="dxa"/>
            <w:shd w:val="clear" w:color="auto" w:fill="auto"/>
            <w:noWrap/>
            <w:vAlign w:val="center"/>
            <w:hideMark/>
          </w:tcPr>
          <w:p w14:paraId="53986E12" w14:textId="77777777" w:rsidR="000F3F85" w:rsidRPr="00C47F2F" w:rsidRDefault="000F3F85" w:rsidP="00BD665F">
            <w:pPr>
              <w:jc w:val="left"/>
              <w:rPr>
                <w:noProof/>
                <w:color w:val="000000"/>
                <w:sz w:val="20"/>
              </w:rPr>
            </w:pPr>
            <w:r w:rsidRPr="00C47F2F">
              <w:rPr>
                <w:noProof/>
                <w:color w:val="000000"/>
                <w:sz w:val="20"/>
              </w:rPr>
              <w:t>7.60E-03</w:t>
            </w:r>
          </w:p>
        </w:tc>
        <w:tc>
          <w:tcPr>
            <w:tcW w:w="1037" w:type="dxa"/>
            <w:shd w:val="clear" w:color="auto" w:fill="auto"/>
            <w:noWrap/>
            <w:vAlign w:val="center"/>
            <w:hideMark/>
          </w:tcPr>
          <w:p w14:paraId="19C38EF8" w14:textId="77777777" w:rsidR="000F3F85" w:rsidRPr="00C47F2F" w:rsidRDefault="000F3F85" w:rsidP="00BD665F">
            <w:pPr>
              <w:jc w:val="left"/>
              <w:rPr>
                <w:noProof/>
                <w:color w:val="000000"/>
                <w:sz w:val="20"/>
              </w:rPr>
            </w:pPr>
            <w:r w:rsidRPr="00C47F2F">
              <w:rPr>
                <w:noProof/>
                <w:color w:val="000000"/>
                <w:sz w:val="20"/>
              </w:rPr>
              <w:t>7.60E-03</w:t>
            </w:r>
          </w:p>
        </w:tc>
        <w:tc>
          <w:tcPr>
            <w:tcW w:w="1037" w:type="dxa"/>
            <w:shd w:val="clear" w:color="auto" w:fill="auto"/>
            <w:noWrap/>
            <w:vAlign w:val="center"/>
            <w:hideMark/>
          </w:tcPr>
          <w:p w14:paraId="7E507F2E" w14:textId="77777777" w:rsidR="000F3F85" w:rsidRPr="00C47F2F" w:rsidRDefault="000F3F85" w:rsidP="00BD665F">
            <w:pPr>
              <w:jc w:val="left"/>
              <w:rPr>
                <w:noProof/>
                <w:color w:val="000000"/>
                <w:sz w:val="20"/>
              </w:rPr>
            </w:pPr>
            <w:r w:rsidRPr="00C47F2F">
              <w:rPr>
                <w:noProof/>
                <w:color w:val="000000"/>
                <w:sz w:val="20"/>
              </w:rPr>
              <w:t>7.60E-03</w:t>
            </w:r>
          </w:p>
        </w:tc>
        <w:tc>
          <w:tcPr>
            <w:tcW w:w="1036" w:type="dxa"/>
            <w:shd w:val="clear" w:color="auto" w:fill="auto"/>
            <w:noWrap/>
            <w:vAlign w:val="center"/>
            <w:hideMark/>
          </w:tcPr>
          <w:p w14:paraId="712C05AA" w14:textId="77777777" w:rsidR="000F3F85" w:rsidRPr="00C47F2F" w:rsidRDefault="000F3F85" w:rsidP="00BD665F">
            <w:pPr>
              <w:jc w:val="left"/>
              <w:rPr>
                <w:noProof/>
                <w:color w:val="000000"/>
                <w:sz w:val="20"/>
              </w:rPr>
            </w:pPr>
            <w:r w:rsidRPr="00C47F2F">
              <w:rPr>
                <w:noProof/>
                <w:color w:val="000000"/>
                <w:sz w:val="20"/>
              </w:rPr>
              <w:t>7.60E-03</w:t>
            </w:r>
          </w:p>
        </w:tc>
        <w:tc>
          <w:tcPr>
            <w:tcW w:w="1037" w:type="dxa"/>
            <w:shd w:val="clear" w:color="auto" w:fill="auto"/>
            <w:noWrap/>
            <w:vAlign w:val="center"/>
            <w:hideMark/>
          </w:tcPr>
          <w:p w14:paraId="40E231A2" w14:textId="77777777" w:rsidR="000F3F85" w:rsidRPr="00C47F2F" w:rsidRDefault="000F3F85" w:rsidP="00BD665F">
            <w:pPr>
              <w:jc w:val="left"/>
              <w:rPr>
                <w:noProof/>
                <w:color w:val="000000"/>
                <w:sz w:val="20"/>
              </w:rPr>
            </w:pPr>
            <w:r w:rsidRPr="00C47F2F">
              <w:rPr>
                <w:noProof/>
                <w:color w:val="000000"/>
                <w:sz w:val="20"/>
              </w:rPr>
              <w:t>7.60E-03</w:t>
            </w:r>
          </w:p>
        </w:tc>
        <w:tc>
          <w:tcPr>
            <w:tcW w:w="1037" w:type="dxa"/>
            <w:shd w:val="clear" w:color="auto" w:fill="auto"/>
            <w:noWrap/>
            <w:vAlign w:val="center"/>
            <w:hideMark/>
          </w:tcPr>
          <w:p w14:paraId="4096FCD4" w14:textId="77777777" w:rsidR="000F3F85" w:rsidRPr="00C47F2F" w:rsidRDefault="000F3F85" w:rsidP="00BD665F">
            <w:pPr>
              <w:jc w:val="left"/>
              <w:rPr>
                <w:noProof/>
                <w:color w:val="000000"/>
                <w:sz w:val="20"/>
              </w:rPr>
            </w:pPr>
            <w:r w:rsidRPr="00C47F2F">
              <w:rPr>
                <w:noProof/>
                <w:color w:val="000000"/>
                <w:sz w:val="20"/>
              </w:rPr>
              <w:t>7.60E-03</w:t>
            </w:r>
          </w:p>
        </w:tc>
      </w:tr>
      <w:tr w:rsidR="000F3F85" w:rsidRPr="00972C81" w14:paraId="031CE47F" w14:textId="77777777" w:rsidTr="00BD665F">
        <w:trPr>
          <w:trHeight w:val="340"/>
        </w:trPr>
        <w:tc>
          <w:tcPr>
            <w:tcW w:w="2807" w:type="dxa"/>
            <w:shd w:val="clear" w:color="auto" w:fill="auto"/>
            <w:noWrap/>
            <w:vAlign w:val="center"/>
            <w:hideMark/>
          </w:tcPr>
          <w:p w14:paraId="496F67C3" w14:textId="1F98B9DB" w:rsidR="000F3F85" w:rsidRPr="000F3F85" w:rsidRDefault="000F3F85" w:rsidP="00BD665F">
            <w:pPr>
              <w:jc w:val="left"/>
              <w:rPr>
                <w:noProof/>
                <w:color w:val="000000"/>
                <w:sz w:val="20"/>
              </w:rPr>
            </w:pPr>
            <w:r w:rsidRPr="000F3F85">
              <w:rPr>
                <w:noProof/>
                <w:color w:val="000000"/>
                <w:sz w:val="20"/>
              </w:rPr>
              <w:t>Trab bone surf to Trab marrow</w:t>
            </w:r>
          </w:p>
        </w:tc>
        <w:tc>
          <w:tcPr>
            <w:tcW w:w="1036" w:type="dxa"/>
            <w:shd w:val="clear" w:color="auto" w:fill="auto"/>
            <w:noWrap/>
            <w:vAlign w:val="center"/>
            <w:hideMark/>
          </w:tcPr>
          <w:p w14:paraId="51EC7117" w14:textId="77777777" w:rsidR="000F3F85" w:rsidRPr="00C47F2F" w:rsidRDefault="000F3F85" w:rsidP="00BD665F">
            <w:pPr>
              <w:jc w:val="left"/>
              <w:rPr>
                <w:noProof/>
                <w:color w:val="000000"/>
                <w:sz w:val="20"/>
              </w:rPr>
            </w:pPr>
            <w:r w:rsidRPr="00C47F2F">
              <w:rPr>
                <w:noProof/>
                <w:color w:val="000000"/>
                <w:sz w:val="20"/>
              </w:rPr>
              <w:t>8.22E-03</w:t>
            </w:r>
          </w:p>
        </w:tc>
        <w:tc>
          <w:tcPr>
            <w:tcW w:w="1037" w:type="dxa"/>
            <w:shd w:val="clear" w:color="auto" w:fill="auto"/>
            <w:noWrap/>
            <w:vAlign w:val="center"/>
            <w:hideMark/>
          </w:tcPr>
          <w:p w14:paraId="76BB639B" w14:textId="77777777" w:rsidR="000F3F85" w:rsidRPr="00C47F2F" w:rsidRDefault="000F3F85" w:rsidP="00BD665F">
            <w:pPr>
              <w:jc w:val="left"/>
              <w:rPr>
                <w:noProof/>
                <w:color w:val="000000"/>
                <w:sz w:val="20"/>
              </w:rPr>
            </w:pPr>
            <w:r w:rsidRPr="00C47F2F">
              <w:rPr>
                <w:noProof/>
                <w:color w:val="000000"/>
                <w:sz w:val="20"/>
              </w:rPr>
              <w:t>2.88E-03</w:t>
            </w:r>
          </w:p>
        </w:tc>
        <w:tc>
          <w:tcPr>
            <w:tcW w:w="1037" w:type="dxa"/>
            <w:shd w:val="clear" w:color="auto" w:fill="auto"/>
            <w:noWrap/>
            <w:vAlign w:val="center"/>
            <w:hideMark/>
          </w:tcPr>
          <w:p w14:paraId="0DE932DD" w14:textId="77777777" w:rsidR="000F3F85" w:rsidRPr="00C47F2F" w:rsidRDefault="000F3F85" w:rsidP="00BD665F">
            <w:pPr>
              <w:jc w:val="left"/>
              <w:rPr>
                <w:noProof/>
                <w:color w:val="000000"/>
                <w:sz w:val="20"/>
              </w:rPr>
            </w:pPr>
            <w:r w:rsidRPr="00C47F2F">
              <w:rPr>
                <w:noProof/>
                <w:color w:val="000000"/>
                <w:sz w:val="20"/>
              </w:rPr>
              <w:t>1.81E-03</w:t>
            </w:r>
          </w:p>
        </w:tc>
        <w:tc>
          <w:tcPr>
            <w:tcW w:w="1036" w:type="dxa"/>
            <w:shd w:val="clear" w:color="auto" w:fill="auto"/>
            <w:noWrap/>
            <w:vAlign w:val="center"/>
            <w:hideMark/>
          </w:tcPr>
          <w:p w14:paraId="4650FE02" w14:textId="77777777" w:rsidR="000F3F85" w:rsidRPr="00C47F2F" w:rsidRDefault="000F3F85" w:rsidP="00BD665F">
            <w:pPr>
              <w:jc w:val="left"/>
              <w:rPr>
                <w:noProof/>
                <w:color w:val="000000"/>
                <w:sz w:val="20"/>
              </w:rPr>
            </w:pPr>
            <w:r w:rsidRPr="00C47F2F">
              <w:rPr>
                <w:noProof/>
                <w:color w:val="000000"/>
                <w:sz w:val="20"/>
              </w:rPr>
              <w:t>1.32E-03</w:t>
            </w:r>
          </w:p>
        </w:tc>
        <w:tc>
          <w:tcPr>
            <w:tcW w:w="1037" w:type="dxa"/>
            <w:shd w:val="clear" w:color="auto" w:fill="auto"/>
            <w:noWrap/>
            <w:vAlign w:val="center"/>
            <w:hideMark/>
          </w:tcPr>
          <w:p w14:paraId="2C2D75A2" w14:textId="77777777" w:rsidR="000F3F85" w:rsidRPr="00C47F2F" w:rsidRDefault="000F3F85" w:rsidP="00BD665F">
            <w:pPr>
              <w:jc w:val="left"/>
              <w:rPr>
                <w:noProof/>
                <w:color w:val="000000"/>
                <w:sz w:val="20"/>
              </w:rPr>
            </w:pPr>
            <w:r w:rsidRPr="00C47F2F">
              <w:rPr>
                <w:noProof/>
                <w:color w:val="000000"/>
                <w:sz w:val="20"/>
              </w:rPr>
              <w:t>9.59E-04</w:t>
            </w:r>
          </w:p>
        </w:tc>
        <w:tc>
          <w:tcPr>
            <w:tcW w:w="1037" w:type="dxa"/>
            <w:shd w:val="clear" w:color="auto" w:fill="auto"/>
            <w:noWrap/>
            <w:vAlign w:val="center"/>
            <w:hideMark/>
          </w:tcPr>
          <w:p w14:paraId="670698B2" w14:textId="77777777" w:rsidR="000F3F85" w:rsidRPr="00C47F2F" w:rsidRDefault="000F3F85" w:rsidP="00BD665F">
            <w:pPr>
              <w:jc w:val="left"/>
              <w:rPr>
                <w:noProof/>
                <w:color w:val="000000"/>
                <w:sz w:val="20"/>
              </w:rPr>
            </w:pPr>
            <w:r w:rsidRPr="00C47F2F">
              <w:rPr>
                <w:noProof/>
                <w:color w:val="000000"/>
                <w:sz w:val="20"/>
              </w:rPr>
              <w:t>4.93E-04</w:t>
            </w:r>
          </w:p>
        </w:tc>
      </w:tr>
      <w:tr w:rsidR="000F3F85" w:rsidRPr="00972C81" w14:paraId="4B6258A2" w14:textId="77777777" w:rsidTr="00BD665F">
        <w:trPr>
          <w:trHeight w:val="340"/>
        </w:trPr>
        <w:tc>
          <w:tcPr>
            <w:tcW w:w="2807" w:type="dxa"/>
            <w:shd w:val="clear" w:color="auto" w:fill="auto"/>
            <w:noWrap/>
            <w:vAlign w:val="center"/>
            <w:hideMark/>
          </w:tcPr>
          <w:p w14:paraId="06768AF9" w14:textId="5768882D" w:rsidR="000F3F85" w:rsidRPr="000F3F85" w:rsidRDefault="000F3F85" w:rsidP="00BD665F">
            <w:pPr>
              <w:jc w:val="left"/>
              <w:rPr>
                <w:noProof/>
                <w:color w:val="000000"/>
                <w:sz w:val="20"/>
              </w:rPr>
            </w:pPr>
            <w:r w:rsidRPr="000F3F85">
              <w:rPr>
                <w:noProof/>
                <w:color w:val="000000"/>
                <w:sz w:val="20"/>
              </w:rPr>
              <w:t>Trab bone surf to Trab bone vol</w:t>
            </w:r>
          </w:p>
        </w:tc>
        <w:tc>
          <w:tcPr>
            <w:tcW w:w="1036" w:type="dxa"/>
            <w:shd w:val="clear" w:color="auto" w:fill="auto"/>
            <w:noWrap/>
            <w:vAlign w:val="center"/>
            <w:hideMark/>
          </w:tcPr>
          <w:p w14:paraId="0CBE13BB" w14:textId="77777777" w:rsidR="000F3F85" w:rsidRPr="00C47F2F" w:rsidRDefault="000F3F85" w:rsidP="00BD665F">
            <w:pPr>
              <w:jc w:val="left"/>
              <w:rPr>
                <w:noProof/>
                <w:color w:val="000000"/>
                <w:sz w:val="20"/>
              </w:rPr>
            </w:pPr>
            <w:r w:rsidRPr="00C47F2F">
              <w:rPr>
                <w:noProof/>
                <w:color w:val="000000"/>
                <w:sz w:val="20"/>
              </w:rPr>
              <w:t>8.22E-03</w:t>
            </w:r>
          </w:p>
        </w:tc>
        <w:tc>
          <w:tcPr>
            <w:tcW w:w="1037" w:type="dxa"/>
            <w:shd w:val="clear" w:color="auto" w:fill="auto"/>
            <w:noWrap/>
            <w:vAlign w:val="center"/>
            <w:hideMark/>
          </w:tcPr>
          <w:p w14:paraId="7307A9EB" w14:textId="77777777" w:rsidR="000F3F85" w:rsidRPr="00C47F2F" w:rsidRDefault="000F3F85" w:rsidP="00BD665F">
            <w:pPr>
              <w:jc w:val="left"/>
              <w:rPr>
                <w:noProof/>
                <w:color w:val="000000"/>
                <w:sz w:val="20"/>
              </w:rPr>
            </w:pPr>
            <w:r w:rsidRPr="00C47F2F">
              <w:rPr>
                <w:noProof/>
                <w:color w:val="000000"/>
                <w:sz w:val="20"/>
              </w:rPr>
              <w:t>2.88E-03</w:t>
            </w:r>
          </w:p>
        </w:tc>
        <w:tc>
          <w:tcPr>
            <w:tcW w:w="1037" w:type="dxa"/>
            <w:shd w:val="clear" w:color="auto" w:fill="auto"/>
            <w:noWrap/>
            <w:vAlign w:val="center"/>
            <w:hideMark/>
          </w:tcPr>
          <w:p w14:paraId="080E8F69" w14:textId="77777777" w:rsidR="000F3F85" w:rsidRPr="00C47F2F" w:rsidRDefault="000F3F85" w:rsidP="00BD665F">
            <w:pPr>
              <w:jc w:val="left"/>
              <w:rPr>
                <w:noProof/>
                <w:color w:val="000000"/>
                <w:sz w:val="20"/>
              </w:rPr>
            </w:pPr>
            <w:r w:rsidRPr="00C47F2F">
              <w:rPr>
                <w:noProof/>
                <w:color w:val="000000"/>
                <w:sz w:val="20"/>
              </w:rPr>
              <w:t>1.81E-03</w:t>
            </w:r>
          </w:p>
        </w:tc>
        <w:tc>
          <w:tcPr>
            <w:tcW w:w="1036" w:type="dxa"/>
            <w:shd w:val="clear" w:color="auto" w:fill="auto"/>
            <w:noWrap/>
            <w:vAlign w:val="center"/>
            <w:hideMark/>
          </w:tcPr>
          <w:p w14:paraId="31A053C9" w14:textId="77777777" w:rsidR="000F3F85" w:rsidRPr="00C47F2F" w:rsidRDefault="000F3F85" w:rsidP="00BD665F">
            <w:pPr>
              <w:jc w:val="left"/>
              <w:rPr>
                <w:noProof/>
                <w:color w:val="000000"/>
                <w:sz w:val="20"/>
              </w:rPr>
            </w:pPr>
            <w:r w:rsidRPr="00C47F2F">
              <w:rPr>
                <w:noProof/>
                <w:color w:val="000000"/>
                <w:sz w:val="20"/>
              </w:rPr>
              <w:t>1.32E-03</w:t>
            </w:r>
          </w:p>
        </w:tc>
        <w:tc>
          <w:tcPr>
            <w:tcW w:w="1037" w:type="dxa"/>
            <w:shd w:val="clear" w:color="auto" w:fill="auto"/>
            <w:noWrap/>
            <w:vAlign w:val="center"/>
            <w:hideMark/>
          </w:tcPr>
          <w:p w14:paraId="6EBB190A" w14:textId="77777777" w:rsidR="000F3F85" w:rsidRPr="00C47F2F" w:rsidRDefault="000F3F85" w:rsidP="00BD665F">
            <w:pPr>
              <w:jc w:val="left"/>
              <w:rPr>
                <w:noProof/>
                <w:color w:val="000000"/>
                <w:sz w:val="20"/>
              </w:rPr>
            </w:pPr>
            <w:r w:rsidRPr="00C47F2F">
              <w:rPr>
                <w:noProof/>
                <w:color w:val="000000"/>
                <w:sz w:val="20"/>
              </w:rPr>
              <w:t>9.59E-04</w:t>
            </w:r>
          </w:p>
        </w:tc>
        <w:tc>
          <w:tcPr>
            <w:tcW w:w="1037" w:type="dxa"/>
            <w:shd w:val="clear" w:color="auto" w:fill="auto"/>
            <w:noWrap/>
            <w:vAlign w:val="center"/>
            <w:hideMark/>
          </w:tcPr>
          <w:p w14:paraId="1ABC785D" w14:textId="77777777" w:rsidR="000F3F85" w:rsidRPr="00C47F2F" w:rsidRDefault="000F3F85" w:rsidP="00BD665F">
            <w:pPr>
              <w:jc w:val="left"/>
              <w:rPr>
                <w:noProof/>
                <w:color w:val="000000"/>
                <w:sz w:val="20"/>
              </w:rPr>
            </w:pPr>
            <w:r w:rsidRPr="00C47F2F">
              <w:rPr>
                <w:noProof/>
                <w:color w:val="000000"/>
                <w:sz w:val="20"/>
              </w:rPr>
              <w:t>2.47E-04</w:t>
            </w:r>
          </w:p>
        </w:tc>
      </w:tr>
      <w:tr w:rsidR="000F3F85" w:rsidRPr="00972C81" w14:paraId="3E605242" w14:textId="77777777" w:rsidTr="00BD665F">
        <w:trPr>
          <w:trHeight w:val="340"/>
        </w:trPr>
        <w:tc>
          <w:tcPr>
            <w:tcW w:w="2807" w:type="dxa"/>
            <w:shd w:val="clear" w:color="auto" w:fill="auto"/>
            <w:noWrap/>
            <w:vAlign w:val="center"/>
            <w:hideMark/>
          </w:tcPr>
          <w:p w14:paraId="16EF1852" w14:textId="2028B882" w:rsidR="000F3F85" w:rsidRPr="000F3F85" w:rsidRDefault="000F3F85" w:rsidP="00BD665F">
            <w:pPr>
              <w:jc w:val="left"/>
              <w:rPr>
                <w:noProof/>
                <w:color w:val="000000"/>
                <w:sz w:val="20"/>
              </w:rPr>
            </w:pPr>
            <w:r w:rsidRPr="000F3F85">
              <w:rPr>
                <w:noProof/>
                <w:color w:val="000000"/>
                <w:sz w:val="20"/>
              </w:rPr>
              <w:t>Trab bone vol to Trab marrow</w:t>
            </w:r>
          </w:p>
        </w:tc>
        <w:tc>
          <w:tcPr>
            <w:tcW w:w="1036" w:type="dxa"/>
            <w:shd w:val="clear" w:color="auto" w:fill="auto"/>
            <w:noWrap/>
            <w:vAlign w:val="center"/>
            <w:hideMark/>
          </w:tcPr>
          <w:p w14:paraId="6D84B09E" w14:textId="77777777" w:rsidR="000F3F85" w:rsidRPr="00C47F2F" w:rsidRDefault="000F3F85" w:rsidP="00BD665F">
            <w:pPr>
              <w:jc w:val="left"/>
              <w:rPr>
                <w:noProof/>
                <w:color w:val="000000"/>
                <w:sz w:val="20"/>
              </w:rPr>
            </w:pPr>
            <w:r w:rsidRPr="00C47F2F">
              <w:rPr>
                <w:noProof/>
                <w:color w:val="000000"/>
                <w:sz w:val="20"/>
              </w:rPr>
              <w:t>8.22E-03</w:t>
            </w:r>
          </w:p>
        </w:tc>
        <w:tc>
          <w:tcPr>
            <w:tcW w:w="1037" w:type="dxa"/>
            <w:shd w:val="clear" w:color="auto" w:fill="auto"/>
            <w:noWrap/>
            <w:vAlign w:val="center"/>
            <w:hideMark/>
          </w:tcPr>
          <w:p w14:paraId="16788B65" w14:textId="77777777" w:rsidR="000F3F85" w:rsidRPr="00C47F2F" w:rsidRDefault="000F3F85" w:rsidP="00BD665F">
            <w:pPr>
              <w:jc w:val="left"/>
              <w:rPr>
                <w:noProof/>
                <w:color w:val="000000"/>
                <w:sz w:val="20"/>
              </w:rPr>
            </w:pPr>
            <w:r w:rsidRPr="00C47F2F">
              <w:rPr>
                <w:noProof/>
                <w:color w:val="000000"/>
                <w:sz w:val="20"/>
              </w:rPr>
              <w:t>2.88E-03</w:t>
            </w:r>
          </w:p>
        </w:tc>
        <w:tc>
          <w:tcPr>
            <w:tcW w:w="1037" w:type="dxa"/>
            <w:shd w:val="clear" w:color="auto" w:fill="auto"/>
            <w:noWrap/>
            <w:vAlign w:val="center"/>
            <w:hideMark/>
          </w:tcPr>
          <w:p w14:paraId="29886E0C" w14:textId="77777777" w:rsidR="000F3F85" w:rsidRPr="00C47F2F" w:rsidRDefault="000F3F85" w:rsidP="00BD665F">
            <w:pPr>
              <w:jc w:val="left"/>
              <w:rPr>
                <w:noProof/>
                <w:color w:val="000000"/>
                <w:sz w:val="20"/>
              </w:rPr>
            </w:pPr>
            <w:r w:rsidRPr="00C47F2F">
              <w:rPr>
                <w:noProof/>
                <w:color w:val="000000"/>
                <w:sz w:val="20"/>
              </w:rPr>
              <w:t>1.81E-03</w:t>
            </w:r>
          </w:p>
        </w:tc>
        <w:tc>
          <w:tcPr>
            <w:tcW w:w="1036" w:type="dxa"/>
            <w:shd w:val="clear" w:color="auto" w:fill="auto"/>
            <w:noWrap/>
            <w:vAlign w:val="center"/>
            <w:hideMark/>
          </w:tcPr>
          <w:p w14:paraId="71F2795B" w14:textId="77777777" w:rsidR="000F3F85" w:rsidRPr="00C47F2F" w:rsidRDefault="000F3F85" w:rsidP="00BD665F">
            <w:pPr>
              <w:jc w:val="left"/>
              <w:rPr>
                <w:noProof/>
                <w:color w:val="000000"/>
                <w:sz w:val="20"/>
              </w:rPr>
            </w:pPr>
            <w:r w:rsidRPr="00C47F2F">
              <w:rPr>
                <w:noProof/>
                <w:color w:val="000000"/>
                <w:sz w:val="20"/>
              </w:rPr>
              <w:t>1.32E-03</w:t>
            </w:r>
          </w:p>
        </w:tc>
        <w:tc>
          <w:tcPr>
            <w:tcW w:w="1037" w:type="dxa"/>
            <w:shd w:val="clear" w:color="auto" w:fill="auto"/>
            <w:noWrap/>
            <w:vAlign w:val="center"/>
            <w:hideMark/>
          </w:tcPr>
          <w:p w14:paraId="7E267E55" w14:textId="77777777" w:rsidR="000F3F85" w:rsidRPr="00C47F2F" w:rsidRDefault="000F3F85" w:rsidP="00BD665F">
            <w:pPr>
              <w:jc w:val="left"/>
              <w:rPr>
                <w:noProof/>
                <w:color w:val="000000"/>
                <w:sz w:val="20"/>
              </w:rPr>
            </w:pPr>
            <w:r w:rsidRPr="00C47F2F">
              <w:rPr>
                <w:noProof/>
                <w:color w:val="000000"/>
                <w:sz w:val="20"/>
              </w:rPr>
              <w:t>9.59E-04</w:t>
            </w:r>
          </w:p>
        </w:tc>
        <w:tc>
          <w:tcPr>
            <w:tcW w:w="1037" w:type="dxa"/>
            <w:shd w:val="clear" w:color="auto" w:fill="auto"/>
            <w:noWrap/>
            <w:vAlign w:val="center"/>
            <w:hideMark/>
          </w:tcPr>
          <w:p w14:paraId="25C980D6" w14:textId="77777777" w:rsidR="000F3F85" w:rsidRPr="00C47F2F" w:rsidRDefault="000F3F85" w:rsidP="00BD665F">
            <w:pPr>
              <w:jc w:val="left"/>
              <w:rPr>
                <w:noProof/>
                <w:color w:val="000000"/>
                <w:sz w:val="20"/>
              </w:rPr>
            </w:pPr>
            <w:r w:rsidRPr="00C47F2F">
              <w:rPr>
                <w:noProof/>
                <w:color w:val="000000"/>
                <w:sz w:val="20"/>
              </w:rPr>
              <w:t>4.93E-04</w:t>
            </w:r>
          </w:p>
        </w:tc>
      </w:tr>
      <w:tr w:rsidR="000F3F85" w:rsidRPr="00972C81" w14:paraId="4A99BD77" w14:textId="77777777" w:rsidTr="00BD665F">
        <w:trPr>
          <w:trHeight w:val="340"/>
        </w:trPr>
        <w:tc>
          <w:tcPr>
            <w:tcW w:w="2807" w:type="dxa"/>
            <w:shd w:val="clear" w:color="auto" w:fill="auto"/>
            <w:noWrap/>
            <w:vAlign w:val="center"/>
            <w:hideMark/>
          </w:tcPr>
          <w:p w14:paraId="10407084" w14:textId="55856D2A" w:rsidR="000F3F85" w:rsidRPr="000F3F85" w:rsidRDefault="000F3F85" w:rsidP="00BD665F">
            <w:pPr>
              <w:jc w:val="left"/>
              <w:rPr>
                <w:noProof/>
                <w:color w:val="000000"/>
                <w:sz w:val="20"/>
              </w:rPr>
            </w:pPr>
            <w:r w:rsidRPr="000F3F85">
              <w:rPr>
                <w:noProof/>
                <w:color w:val="000000"/>
                <w:sz w:val="20"/>
              </w:rPr>
              <w:t>Kidneys 1 to UB content</w:t>
            </w:r>
          </w:p>
        </w:tc>
        <w:tc>
          <w:tcPr>
            <w:tcW w:w="1036" w:type="dxa"/>
            <w:shd w:val="clear" w:color="auto" w:fill="auto"/>
            <w:noWrap/>
            <w:vAlign w:val="center"/>
            <w:hideMark/>
          </w:tcPr>
          <w:p w14:paraId="132936D2" w14:textId="77777777" w:rsidR="000F3F85" w:rsidRPr="00C47F2F" w:rsidRDefault="000F3F85" w:rsidP="00BD665F">
            <w:pPr>
              <w:jc w:val="left"/>
              <w:rPr>
                <w:noProof/>
                <w:color w:val="000000"/>
                <w:sz w:val="20"/>
              </w:rPr>
            </w:pPr>
            <w:r w:rsidRPr="00C47F2F">
              <w:rPr>
                <w:noProof/>
                <w:color w:val="000000"/>
                <w:sz w:val="20"/>
              </w:rPr>
              <w:t>9.90E-02</w:t>
            </w:r>
          </w:p>
        </w:tc>
        <w:tc>
          <w:tcPr>
            <w:tcW w:w="1037" w:type="dxa"/>
            <w:shd w:val="clear" w:color="auto" w:fill="auto"/>
            <w:noWrap/>
            <w:vAlign w:val="center"/>
            <w:hideMark/>
          </w:tcPr>
          <w:p w14:paraId="2F28D8FA" w14:textId="77777777" w:rsidR="000F3F85" w:rsidRPr="00C47F2F" w:rsidRDefault="000F3F85" w:rsidP="00BD665F">
            <w:pPr>
              <w:jc w:val="left"/>
              <w:rPr>
                <w:noProof/>
                <w:color w:val="000000"/>
                <w:sz w:val="20"/>
              </w:rPr>
            </w:pPr>
            <w:r w:rsidRPr="00C47F2F">
              <w:rPr>
                <w:noProof/>
                <w:color w:val="000000"/>
                <w:sz w:val="20"/>
              </w:rPr>
              <w:t>9.90E-02</w:t>
            </w:r>
          </w:p>
        </w:tc>
        <w:tc>
          <w:tcPr>
            <w:tcW w:w="1037" w:type="dxa"/>
            <w:shd w:val="clear" w:color="auto" w:fill="auto"/>
            <w:noWrap/>
            <w:vAlign w:val="center"/>
            <w:hideMark/>
          </w:tcPr>
          <w:p w14:paraId="4D18BB9F" w14:textId="77777777" w:rsidR="000F3F85" w:rsidRPr="00C47F2F" w:rsidRDefault="000F3F85" w:rsidP="00BD665F">
            <w:pPr>
              <w:jc w:val="left"/>
              <w:rPr>
                <w:noProof/>
                <w:color w:val="000000"/>
                <w:sz w:val="20"/>
              </w:rPr>
            </w:pPr>
            <w:r w:rsidRPr="00C47F2F">
              <w:rPr>
                <w:noProof/>
                <w:color w:val="000000"/>
                <w:sz w:val="20"/>
              </w:rPr>
              <w:t>9.90E-02</w:t>
            </w:r>
          </w:p>
        </w:tc>
        <w:tc>
          <w:tcPr>
            <w:tcW w:w="1036" w:type="dxa"/>
            <w:shd w:val="clear" w:color="auto" w:fill="auto"/>
            <w:noWrap/>
            <w:vAlign w:val="center"/>
            <w:hideMark/>
          </w:tcPr>
          <w:p w14:paraId="48E2A392" w14:textId="77777777" w:rsidR="000F3F85" w:rsidRPr="00C47F2F" w:rsidRDefault="000F3F85" w:rsidP="00BD665F">
            <w:pPr>
              <w:jc w:val="left"/>
              <w:rPr>
                <w:noProof/>
                <w:color w:val="000000"/>
                <w:sz w:val="20"/>
              </w:rPr>
            </w:pPr>
            <w:r w:rsidRPr="00C47F2F">
              <w:rPr>
                <w:noProof/>
                <w:color w:val="000000"/>
                <w:sz w:val="20"/>
              </w:rPr>
              <w:t>9.90E-02</w:t>
            </w:r>
          </w:p>
        </w:tc>
        <w:tc>
          <w:tcPr>
            <w:tcW w:w="1037" w:type="dxa"/>
            <w:shd w:val="clear" w:color="auto" w:fill="auto"/>
            <w:noWrap/>
            <w:vAlign w:val="center"/>
            <w:hideMark/>
          </w:tcPr>
          <w:p w14:paraId="39A9E597" w14:textId="77777777" w:rsidR="000F3F85" w:rsidRPr="00C47F2F" w:rsidRDefault="000F3F85" w:rsidP="00BD665F">
            <w:pPr>
              <w:jc w:val="left"/>
              <w:rPr>
                <w:noProof/>
                <w:color w:val="000000"/>
                <w:sz w:val="20"/>
              </w:rPr>
            </w:pPr>
            <w:r w:rsidRPr="00C47F2F">
              <w:rPr>
                <w:noProof/>
                <w:color w:val="000000"/>
                <w:sz w:val="20"/>
              </w:rPr>
              <w:t>9.90E-02</w:t>
            </w:r>
          </w:p>
        </w:tc>
        <w:tc>
          <w:tcPr>
            <w:tcW w:w="1037" w:type="dxa"/>
            <w:shd w:val="clear" w:color="auto" w:fill="auto"/>
            <w:noWrap/>
            <w:vAlign w:val="center"/>
            <w:hideMark/>
          </w:tcPr>
          <w:p w14:paraId="45D9AB9F" w14:textId="77777777" w:rsidR="000F3F85" w:rsidRPr="00C47F2F" w:rsidRDefault="000F3F85" w:rsidP="00BD665F">
            <w:pPr>
              <w:jc w:val="left"/>
              <w:rPr>
                <w:noProof/>
                <w:color w:val="000000"/>
                <w:sz w:val="20"/>
              </w:rPr>
            </w:pPr>
            <w:r w:rsidRPr="00C47F2F">
              <w:rPr>
                <w:noProof/>
                <w:color w:val="000000"/>
                <w:sz w:val="20"/>
              </w:rPr>
              <w:t>9.90E-02</w:t>
            </w:r>
          </w:p>
        </w:tc>
      </w:tr>
      <w:tr w:rsidR="000F3F85" w:rsidRPr="00972C81" w14:paraId="2BA30E1E" w14:textId="77777777" w:rsidTr="00BD665F">
        <w:trPr>
          <w:trHeight w:val="340"/>
        </w:trPr>
        <w:tc>
          <w:tcPr>
            <w:tcW w:w="2807" w:type="dxa"/>
            <w:shd w:val="clear" w:color="auto" w:fill="auto"/>
            <w:noWrap/>
            <w:vAlign w:val="center"/>
            <w:hideMark/>
          </w:tcPr>
          <w:p w14:paraId="07065BBF" w14:textId="4359CFC5" w:rsidR="000F3F85" w:rsidRPr="000F3F85" w:rsidRDefault="000F3F85" w:rsidP="00BD665F">
            <w:pPr>
              <w:jc w:val="left"/>
              <w:rPr>
                <w:noProof/>
                <w:color w:val="000000"/>
                <w:sz w:val="20"/>
              </w:rPr>
            </w:pPr>
            <w:r w:rsidRPr="000F3F85">
              <w:rPr>
                <w:noProof/>
                <w:color w:val="000000"/>
                <w:sz w:val="20"/>
              </w:rPr>
              <w:t>Kidneys 2 to Blood</w:t>
            </w:r>
          </w:p>
        </w:tc>
        <w:tc>
          <w:tcPr>
            <w:tcW w:w="1036" w:type="dxa"/>
            <w:shd w:val="clear" w:color="auto" w:fill="auto"/>
            <w:noWrap/>
            <w:vAlign w:val="center"/>
            <w:hideMark/>
          </w:tcPr>
          <w:p w14:paraId="19FA55E0" w14:textId="77777777" w:rsidR="000F3F85" w:rsidRPr="00C47F2F" w:rsidRDefault="000F3F85" w:rsidP="00BD665F">
            <w:pPr>
              <w:jc w:val="left"/>
              <w:rPr>
                <w:noProof/>
                <w:color w:val="000000"/>
                <w:sz w:val="20"/>
              </w:rPr>
            </w:pPr>
            <w:r w:rsidRPr="00C47F2F">
              <w:rPr>
                <w:noProof/>
                <w:color w:val="000000"/>
                <w:sz w:val="20"/>
              </w:rPr>
              <w:t>1.39E-03</w:t>
            </w:r>
          </w:p>
        </w:tc>
        <w:tc>
          <w:tcPr>
            <w:tcW w:w="1037" w:type="dxa"/>
            <w:shd w:val="clear" w:color="auto" w:fill="auto"/>
            <w:noWrap/>
            <w:vAlign w:val="center"/>
            <w:hideMark/>
          </w:tcPr>
          <w:p w14:paraId="33BD41A6" w14:textId="77777777" w:rsidR="000F3F85" w:rsidRPr="00C47F2F" w:rsidRDefault="000F3F85" w:rsidP="00BD665F">
            <w:pPr>
              <w:jc w:val="left"/>
              <w:rPr>
                <w:noProof/>
                <w:color w:val="000000"/>
                <w:sz w:val="20"/>
              </w:rPr>
            </w:pPr>
            <w:r w:rsidRPr="00C47F2F">
              <w:rPr>
                <w:noProof/>
                <w:color w:val="000000"/>
                <w:sz w:val="20"/>
              </w:rPr>
              <w:t>1.39E-03</w:t>
            </w:r>
          </w:p>
        </w:tc>
        <w:tc>
          <w:tcPr>
            <w:tcW w:w="1037" w:type="dxa"/>
            <w:shd w:val="clear" w:color="auto" w:fill="auto"/>
            <w:noWrap/>
            <w:vAlign w:val="center"/>
            <w:hideMark/>
          </w:tcPr>
          <w:p w14:paraId="7E8C5DE2" w14:textId="77777777" w:rsidR="000F3F85" w:rsidRPr="00C47F2F" w:rsidRDefault="000F3F85" w:rsidP="00BD665F">
            <w:pPr>
              <w:jc w:val="left"/>
              <w:rPr>
                <w:noProof/>
                <w:color w:val="000000"/>
                <w:sz w:val="20"/>
              </w:rPr>
            </w:pPr>
            <w:r w:rsidRPr="00C47F2F">
              <w:rPr>
                <w:noProof/>
                <w:color w:val="000000"/>
                <w:sz w:val="20"/>
              </w:rPr>
              <w:t>1.39E-03</w:t>
            </w:r>
          </w:p>
        </w:tc>
        <w:tc>
          <w:tcPr>
            <w:tcW w:w="1036" w:type="dxa"/>
            <w:shd w:val="clear" w:color="auto" w:fill="auto"/>
            <w:noWrap/>
            <w:vAlign w:val="center"/>
            <w:hideMark/>
          </w:tcPr>
          <w:p w14:paraId="69FAAC79" w14:textId="77777777" w:rsidR="000F3F85" w:rsidRPr="00C47F2F" w:rsidRDefault="000F3F85" w:rsidP="00BD665F">
            <w:pPr>
              <w:jc w:val="left"/>
              <w:rPr>
                <w:noProof/>
                <w:color w:val="000000"/>
                <w:sz w:val="20"/>
              </w:rPr>
            </w:pPr>
            <w:r w:rsidRPr="00C47F2F">
              <w:rPr>
                <w:noProof/>
                <w:color w:val="000000"/>
                <w:sz w:val="20"/>
              </w:rPr>
              <w:t>1.39E-03</w:t>
            </w:r>
          </w:p>
        </w:tc>
        <w:tc>
          <w:tcPr>
            <w:tcW w:w="1037" w:type="dxa"/>
            <w:shd w:val="clear" w:color="auto" w:fill="auto"/>
            <w:noWrap/>
            <w:vAlign w:val="center"/>
            <w:hideMark/>
          </w:tcPr>
          <w:p w14:paraId="50B78415" w14:textId="77777777" w:rsidR="000F3F85" w:rsidRPr="00C47F2F" w:rsidRDefault="000F3F85" w:rsidP="00BD665F">
            <w:pPr>
              <w:jc w:val="left"/>
              <w:rPr>
                <w:noProof/>
                <w:color w:val="000000"/>
                <w:sz w:val="20"/>
              </w:rPr>
            </w:pPr>
            <w:r w:rsidRPr="00C47F2F">
              <w:rPr>
                <w:noProof/>
                <w:color w:val="000000"/>
                <w:sz w:val="20"/>
              </w:rPr>
              <w:t>1.39E-03</w:t>
            </w:r>
          </w:p>
        </w:tc>
        <w:tc>
          <w:tcPr>
            <w:tcW w:w="1037" w:type="dxa"/>
            <w:shd w:val="clear" w:color="auto" w:fill="auto"/>
            <w:noWrap/>
            <w:vAlign w:val="center"/>
            <w:hideMark/>
          </w:tcPr>
          <w:p w14:paraId="2B530993" w14:textId="77777777" w:rsidR="000F3F85" w:rsidRPr="00C47F2F" w:rsidRDefault="000F3F85" w:rsidP="00BD665F">
            <w:pPr>
              <w:jc w:val="left"/>
              <w:rPr>
                <w:noProof/>
                <w:color w:val="000000"/>
                <w:sz w:val="20"/>
              </w:rPr>
            </w:pPr>
            <w:r w:rsidRPr="00C47F2F">
              <w:rPr>
                <w:noProof/>
                <w:color w:val="000000"/>
                <w:sz w:val="20"/>
              </w:rPr>
              <w:t>1.39E-03</w:t>
            </w:r>
          </w:p>
        </w:tc>
      </w:tr>
      <w:tr w:rsidR="000F3F85" w:rsidRPr="00972C81" w14:paraId="33EB66CB" w14:textId="77777777" w:rsidTr="00BD665F">
        <w:trPr>
          <w:trHeight w:val="340"/>
        </w:trPr>
        <w:tc>
          <w:tcPr>
            <w:tcW w:w="2807" w:type="dxa"/>
            <w:shd w:val="clear" w:color="auto" w:fill="auto"/>
            <w:noWrap/>
            <w:vAlign w:val="center"/>
            <w:hideMark/>
          </w:tcPr>
          <w:p w14:paraId="296153D7" w14:textId="65056509" w:rsidR="000F3F85" w:rsidRPr="000F3F85" w:rsidRDefault="000F3F85" w:rsidP="00BD665F">
            <w:pPr>
              <w:jc w:val="left"/>
              <w:rPr>
                <w:noProof/>
                <w:color w:val="000000"/>
                <w:sz w:val="20"/>
              </w:rPr>
            </w:pPr>
            <w:r w:rsidRPr="000F3F85">
              <w:rPr>
                <w:noProof/>
                <w:color w:val="000000"/>
                <w:sz w:val="20"/>
              </w:rPr>
              <w:t>Testes to Blood</w:t>
            </w:r>
          </w:p>
        </w:tc>
        <w:tc>
          <w:tcPr>
            <w:tcW w:w="1036" w:type="dxa"/>
            <w:shd w:val="clear" w:color="auto" w:fill="auto"/>
            <w:noWrap/>
            <w:vAlign w:val="center"/>
            <w:hideMark/>
          </w:tcPr>
          <w:p w14:paraId="15DA28C3" w14:textId="77777777" w:rsidR="000F3F85" w:rsidRPr="00C47F2F" w:rsidRDefault="000F3F85" w:rsidP="00BD665F">
            <w:pPr>
              <w:jc w:val="left"/>
              <w:rPr>
                <w:noProof/>
                <w:color w:val="000000"/>
                <w:sz w:val="20"/>
              </w:rPr>
            </w:pPr>
            <w:r w:rsidRPr="00C47F2F">
              <w:rPr>
                <w:noProof/>
                <w:color w:val="000000"/>
                <w:sz w:val="20"/>
              </w:rPr>
              <w:t>3.80E-04</w:t>
            </w:r>
          </w:p>
        </w:tc>
        <w:tc>
          <w:tcPr>
            <w:tcW w:w="1037" w:type="dxa"/>
            <w:shd w:val="clear" w:color="auto" w:fill="auto"/>
            <w:noWrap/>
            <w:vAlign w:val="center"/>
            <w:hideMark/>
          </w:tcPr>
          <w:p w14:paraId="6D5A8985" w14:textId="77777777" w:rsidR="000F3F85" w:rsidRPr="00C47F2F" w:rsidRDefault="000F3F85" w:rsidP="00BD665F">
            <w:pPr>
              <w:jc w:val="left"/>
              <w:rPr>
                <w:noProof/>
                <w:color w:val="000000"/>
                <w:sz w:val="20"/>
              </w:rPr>
            </w:pPr>
            <w:r w:rsidRPr="00C47F2F">
              <w:rPr>
                <w:noProof/>
                <w:color w:val="000000"/>
                <w:sz w:val="20"/>
              </w:rPr>
              <w:t>3.80E-04</w:t>
            </w:r>
          </w:p>
        </w:tc>
        <w:tc>
          <w:tcPr>
            <w:tcW w:w="1037" w:type="dxa"/>
            <w:shd w:val="clear" w:color="auto" w:fill="auto"/>
            <w:noWrap/>
            <w:vAlign w:val="center"/>
            <w:hideMark/>
          </w:tcPr>
          <w:p w14:paraId="455A9480" w14:textId="77777777" w:rsidR="000F3F85" w:rsidRPr="00C47F2F" w:rsidRDefault="000F3F85" w:rsidP="00BD665F">
            <w:pPr>
              <w:jc w:val="left"/>
              <w:rPr>
                <w:noProof/>
                <w:color w:val="000000"/>
                <w:sz w:val="20"/>
              </w:rPr>
            </w:pPr>
            <w:r w:rsidRPr="00C47F2F">
              <w:rPr>
                <w:noProof/>
                <w:color w:val="000000"/>
                <w:sz w:val="20"/>
              </w:rPr>
              <w:t>3.80E-04</w:t>
            </w:r>
          </w:p>
        </w:tc>
        <w:tc>
          <w:tcPr>
            <w:tcW w:w="1036" w:type="dxa"/>
            <w:shd w:val="clear" w:color="auto" w:fill="auto"/>
            <w:noWrap/>
            <w:vAlign w:val="center"/>
            <w:hideMark/>
          </w:tcPr>
          <w:p w14:paraId="3EFFBC9B" w14:textId="77777777" w:rsidR="000F3F85" w:rsidRPr="00C47F2F" w:rsidRDefault="000F3F85" w:rsidP="00BD665F">
            <w:pPr>
              <w:jc w:val="left"/>
              <w:rPr>
                <w:noProof/>
                <w:color w:val="000000"/>
                <w:sz w:val="20"/>
              </w:rPr>
            </w:pPr>
            <w:r w:rsidRPr="00C47F2F">
              <w:rPr>
                <w:noProof/>
                <w:color w:val="000000"/>
                <w:sz w:val="20"/>
              </w:rPr>
              <w:t>3.80E-04</w:t>
            </w:r>
          </w:p>
        </w:tc>
        <w:tc>
          <w:tcPr>
            <w:tcW w:w="1037" w:type="dxa"/>
            <w:shd w:val="clear" w:color="auto" w:fill="auto"/>
            <w:noWrap/>
            <w:vAlign w:val="center"/>
            <w:hideMark/>
          </w:tcPr>
          <w:p w14:paraId="73F3526F" w14:textId="77777777" w:rsidR="000F3F85" w:rsidRPr="00C47F2F" w:rsidRDefault="000F3F85" w:rsidP="00BD665F">
            <w:pPr>
              <w:jc w:val="left"/>
              <w:rPr>
                <w:noProof/>
                <w:color w:val="000000"/>
                <w:sz w:val="20"/>
              </w:rPr>
            </w:pPr>
            <w:r w:rsidRPr="00C47F2F">
              <w:rPr>
                <w:noProof/>
                <w:color w:val="000000"/>
                <w:sz w:val="20"/>
              </w:rPr>
              <w:t>3.80E-04</w:t>
            </w:r>
          </w:p>
        </w:tc>
        <w:tc>
          <w:tcPr>
            <w:tcW w:w="1037" w:type="dxa"/>
            <w:shd w:val="clear" w:color="auto" w:fill="auto"/>
            <w:noWrap/>
            <w:vAlign w:val="center"/>
            <w:hideMark/>
          </w:tcPr>
          <w:p w14:paraId="58AE5B24" w14:textId="77777777" w:rsidR="000F3F85" w:rsidRPr="00C47F2F" w:rsidRDefault="000F3F85" w:rsidP="00BD665F">
            <w:pPr>
              <w:jc w:val="left"/>
              <w:rPr>
                <w:noProof/>
                <w:color w:val="000000"/>
                <w:sz w:val="20"/>
              </w:rPr>
            </w:pPr>
            <w:r w:rsidRPr="00C47F2F">
              <w:rPr>
                <w:noProof/>
                <w:color w:val="000000"/>
                <w:sz w:val="20"/>
              </w:rPr>
              <w:t>3.80E-04</w:t>
            </w:r>
          </w:p>
        </w:tc>
      </w:tr>
      <w:tr w:rsidR="000F3F85" w:rsidRPr="00972C81" w14:paraId="46648A65" w14:textId="77777777" w:rsidTr="00BD665F">
        <w:trPr>
          <w:trHeight w:val="340"/>
        </w:trPr>
        <w:tc>
          <w:tcPr>
            <w:tcW w:w="2807" w:type="dxa"/>
            <w:tcBorders>
              <w:bottom w:val="single" w:sz="4" w:space="0" w:color="auto"/>
            </w:tcBorders>
            <w:shd w:val="clear" w:color="auto" w:fill="auto"/>
            <w:noWrap/>
            <w:vAlign w:val="center"/>
            <w:hideMark/>
          </w:tcPr>
          <w:p w14:paraId="68D3571B" w14:textId="367B6B19" w:rsidR="000F3F85" w:rsidRPr="000F3F85" w:rsidRDefault="000F3F85" w:rsidP="00BD665F">
            <w:pPr>
              <w:jc w:val="left"/>
              <w:rPr>
                <w:noProof/>
                <w:color w:val="000000"/>
                <w:sz w:val="20"/>
              </w:rPr>
            </w:pPr>
            <w:r w:rsidRPr="000F3F85">
              <w:rPr>
                <w:noProof/>
                <w:color w:val="000000"/>
                <w:sz w:val="20"/>
              </w:rPr>
              <w:t>Ovaries to Blood</w:t>
            </w:r>
          </w:p>
        </w:tc>
        <w:tc>
          <w:tcPr>
            <w:tcW w:w="1036" w:type="dxa"/>
            <w:tcBorders>
              <w:bottom w:val="single" w:sz="4" w:space="0" w:color="auto"/>
            </w:tcBorders>
            <w:shd w:val="clear" w:color="auto" w:fill="auto"/>
            <w:noWrap/>
            <w:vAlign w:val="center"/>
            <w:hideMark/>
          </w:tcPr>
          <w:p w14:paraId="0EC18D17" w14:textId="77777777" w:rsidR="000F3F85" w:rsidRPr="00C47F2F" w:rsidRDefault="000F3F85" w:rsidP="00BD665F">
            <w:pPr>
              <w:jc w:val="left"/>
              <w:rPr>
                <w:noProof/>
                <w:color w:val="000000"/>
                <w:sz w:val="20"/>
              </w:rPr>
            </w:pPr>
            <w:r w:rsidRPr="00C47F2F">
              <w:rPr>
                <w:noProof/>
                <w:color w:val="000000"/>
                <w:sz w:val="20"/>
              </w:rPr>
              <w:t>3.80E-04</w:t>
            </w:r>
          </w:p>
        </w:tc>
        <w:tc>
          <w:tcPr>
            <w:tcW w:w="1037" w:type="dxa"/>
            <w:tcBorders>
              <w:bottom w:val="single" w:sz="4" w:space="0" w:color="auto"/>
            </w:tcBorders>
            <w:shd w:val="clear" w:color="auto" w:fill="auto"/>
            <w:noWrap/>
            <w:vAlign w:val="center"/>
            <w:hideMark/>
          </w:tcPr>
          <w:p w14:paraId="324E5C82" w14:textId="77777777" w:rsidR="000F3F85" w:rsidRPr="00C47F2F" w:rsidRDefault="000F3F85" w:rsidP="00BD665F">
            <w:pPr>
              <w:jc w:val="left"/>
              <w:rPr>
                <w:noProof/>
                <w:color w:val="000000"/>
                <w:sz w:val="20"/>
              </w:rPr>
            </w:pPr>
            <w:r w:rsidRPr="00C47F2F">
              <w:rPr>
                <w:noProof/>
                <w:color w:val="000000"/>
                <w:sz w:val="20"/>
              </w:rPr>
              <w:t>3.80E-04</w:t>
            </w:r>
          </w:p>
        </w:tc>
        <w:tc>
          <w:tcPr>
            <w:tcW w:w="1037" w:type="dxa"/>
            <w:tcBorders>
              <w:bottom w:val="single" w:sz="4" w:space="0" w:color="auto"/>
            </w:tcBorders>
            <w:shd w:val="clear" w:color="auto" w:fill="auto"/>
            <w:noWrap/>
            <w:vAlign w:val="center"/>
            <w:hideMark/>
          </w:tcPr>
          <w:p w14:paraId="033FC710" w14:textId="77777777" w:rsidR="000F3F85" w:rsidRPr="00C47F2F" w:rsidRDefault="000F3F85" w:rsidP="00BD665F">
            <w:pPr>
              <w:jc w:val="left"/>
              <w:rPr>
                <w:noProof/>
                <w:color w:val="000000"/>
                <w:sz w:val="20"/>
              </w:rPr>
            </w:pPr>
            <w:r w:rsidRPr="00C47F2F">
              <w:rPr>
                <w:noProof/>
                <w:color w:val="000000"/>
                <w:sz w:val="20"/>
              </w:rPr>
              <w:t>3.80E-04</w:t>
            </w:r>
          </w:p>
        </w:tc>
        <w:tc>
          <w:tcPr>
            <w:tcW w:w="1036" w:type="dxa"/>
            <w:tcBorders>
              <w:bottom w:val="single" w:sz="4" w:space="0" w:color="auto"/>
            </w:tcBorders>
            <w:shd w:val="clear" w:color="auto" w:fill="auto"/>
            <w:noWrap/>
            <w:vAlign w:val="center"/>
            <w:hideMark/>
          </w:tcPr>
          <w:p w14:paraId="40C47080" w14:textId="77777777" w:rsidR="000F3F85" w:rsidRPr="00C47F2F" w:rsidRDefault="000F3F85" w:rsidP="00BD665F">
            <w:pPr>
              <w:jc w:val="left"/>
              <w:rPr>
                <w:noProof/>
                <w:color w:val="000000"/>
                <w:sz w:val="20"/>
              </w:rPr>
            </w:pPr>
            <w:r w:rsidRPr="00C47F2F">
              <w:rPr>
                <w:noProof/>
                <w:color w:val="000000"/>
                <w:sz w:val="20"/>
              </w:rPr>
              <w:t>3.80E-04</w:t>
            </w:r>
          </w:p>
        </w:tc>
        <w:tc>
          <w:tcPr>
            <w:tcW w:w="1037" w:type="dxa"/>
            <w:tcBorders>
              <w:bottom w:val="single" w:sz="4" w:space="0" w:color="auto"/>
            </w:tcBorders>
            <w:shd w:val="clear" w:color="auto" w:fill="auto"/>
            <w:noWrap/>
            <w:vAlign w:val="center"/>
            <w:hideMark/>
          </w:tcPr>
          <w:p w14:paraId="4B1CC77A" w14:textId="77777777" w:rsidR="000F3F85" w:rsidRPr="00C47F2F" w:rsidRDefault="000F3F85" w:rsidP="00BD665F">
            <w:pPr>
              <w:jc w:val="left"/>
              <w:rPr>
                <w:noProof/>
                <w:color w:val="000000"/>
                <w:sz w:val="20"/>
              </w:rPr>
            </w:pPr>
            <w:r w:rsidRPr="00C47F2F">
              <w:rPr>
                <w:noProof/>
                <w:color w:val="000000"/>
                <w:sz w:val="20"/>
              </w:rPr>
              <w:t>3.80E-04</w:t>
            </w:r>
          </w:p>
        </w:tc>
        <w:tc>
          <w:tcPr>
            <w:tcW w:w="1037" w:type="dxa"/>
            <w:tcBorders>
              <w:bottom w:val="single" w:sz="4" w:space="0" w:color="auto"/>
            </w:tcBorders>
            <w:shd w:val="clear" w:color="auto" w:fill="auto"/>
            <w:noWrap/>
            <w:vAlign w:val="center"/>
            <w:hideMark/>
          </w:tcPr>
          <w:p w14:paraId="2A1D7028" w14:textId="77777777" w:rsidR="000F3F85" w:rsidRPr="00C47F2F" w:rsidRDefault="000F3F85" w:rsidP="00BD665F">
            <w:pPr>
              <w:jc w:val="left"/>
              <w:rPr>
                <w:noProof/>
                <w:color w:val="000000"/>
                <w:sz w:val="20"/>
              </w:rPr>
            </w:pPr>
            <w:r w:rsidRPr="00C47F2F">
              <w:rPr>
                <w:noProof/>
                <w:color w:val="000000"/>
                <w:sz w:val="20"/>
              </w:rPr>
              <w:t>3.80E-04</w:t>
            </w:r>
          </w:p>
        </w:tc>
      </w:tr>
    </w:tbl>
    <w:p w14:paraId="3580D32F" w14:textId="71D49516" w:rsidR="00640737" w:rsidRPr="00BD665F" w:rsidRDefault="00E52659" w:rsidP="007A358A">
      <w:pPr>
        <w:pStyle w:val="Note"/>
        <w:rPr>
          <w:noProof/>
          <w:sz w:val="20"/>
          <w:szCs w:val="20"/>
        </w:rPr>
      </w:pPr>
      <w:r w:rsidRPr="00BD665F">
        <w:rPr>
          <w:noProof/>
          <w:sz w:val="20"/>
          <w:szCs w:val="20"/>
          <w:vertAlign w:val="superscript"/>
        </w:rPr>
        <w:t>a</w:t>
      </w:r>
      <w:r w:rsidR="007A358A" w:rsidRPr="00BD665F">
        <w:rPr>
          <w:noProof/>
          <w:sz w:val="20"/>
          <w:szCs w:val="20"/>
        </w:rPr>
        <w:t xml:space="preserve">Cort = Cortical, Trab = Trabecular, surf = surface, vol = volume, RC = </w:t>
      </w:r>
      <w:r w:rsidR="000F3F85" w:rsidRPr="00BD665F">
        <w:rPr>
          <w:noProof/>
          <w:sz w:val="20"/>
          <w:szCs w:val="20"/>
        </w:rPr>
        <w:t>R</w:t>
      </w:r>
      <w:r w:rsidR="007A358A" w:rsidRPr="00BD665F">
        <w:rPr>
          <w:noProof/>
          <w:sz w:val="20"/>
          <w:szCs w:val="20"/>
        </w:rPr>
        <w:t xml:space="preserve">ight colon, SI = Small </w:t>
      </w:r>
      <w:r w:rsidR="000F3F85" w:rsidRPr="00BD665F">
        <w:rPr>
          <w:noProof/>
          <w:sz w:val="20"/>
          <w:szCs w:val="20"/>
        </w:rPr>
        <w:t>i</w:t>
      </w:r>
      <w:r w:rsidR="007A358A" w:rsidRPr="00BD665F">
        <w:rPr>
          <w:noProof/>
          <w:sz w:val="20"/>
          <w:szCs w:val="20"/>
        </w:rPr>
        <w:t xml:space="preserve">ntestine, UB = Urinary </w:t>
      </w:r>
      <w:r w:rsidR="000F3F85" w:rsidRPr="00BD665F">
        <w:rPr>
          <w:noProof/>
          <w:sz w:val="20"/>
          <w:szCs w:val="20"/>
        </w:rPr>
        <w:t>b</w:t>
      </w:r>
      <w:r w:rsidR="007A358A" w:rsidRPr="00BD665F">
        <w:rPr>
          <w:noProof/>
          <w:sz w:val="20"/>
          <w:szCs w:val="20"/>
        </w:rPr>
        <w:t>ladder</w:t>
      </w:r>
    </w:p>
    <w:p w14:paraId="5FD3FB62" w14:textId="77777777" w:rsidR="00640737" w:rsidRPr="00972C81" w:rsidRDefault="00640737" w:rsidP="006703A2">
      <w:pPr>
        <w:pStyle w:val="OIRTitre4"/>
      </w:pPr>
      <w:r w:rsidRPr="00972C81">
        <w:t>Treatment of radioactive progeny</w:t>
      </w:r>
    </w:p>
    <w:p w14:paraId="19A0A3E5" w14:textId="32124787" w:rsidR="00650B43" w:rsidRPr="00972C81" w:rsidRDefault="00DC7D5F" w:rsidP="001C4A92">
      <w:pPr>
        <w:pStyle w:val="Annalstext"/>
        <w:rPr>
          <w:noProof/>
        </w:rPr>
      </w:pPr>
      <w:r w:rsidRPr="00972C81">
        <w:rPr>
          <w:rFonts w:eastAsia="Calibri"/>
          <w:noProof/>
        </w:rPr>
        <w:t xml:space="preserve">The treatment of radioactive progeny produced in systemic compartments after intake of a radioisotope of europium is described in Section 9.2.3.3. of </w:t>
      </w:r>
      <w:r w:rsidR="00482C73" w:rsidRPr="00972C81">
        <w:rPr>
          <w:i/>
          <w:noProof/>
        </w:rPr>
        <w:t>Publication 141</w:t>
      </w:r>
      <w:r w:rsidR="00482C73" w:rsidRPr="00972C81">
        <w:rPr>
          <w:noProof/>
        </w:rPr>
        <w:t xml:space="preserve"> </w:t>
      </w:r>
      <w:r w:rsidR="007A358A" w:rsidRPr="00972C81">
        <w:rPr>
          <w:noProof/>
        </w:rPr>
        <w:fldChar w:fldCharType="begin"/>
      </w:r>
      <w:r w:rsidR="007A358A" w:rsidRPr="00972C81">
        <w:rPr>
          <w:noProof/>
        </w:rPr>
        <w:instrText xml:space="preserve"> ADDIN ZOTERO_ITEM CSL_CITATION {"citationID":"Up4RdTuv","properties":{"formattedCitation":"(ICRP,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7A358A" w:rsidRPr="00972C81">
        <w:rPr>
          <w:noProof/>
        </w:rPr>
        <w:fldChar w:fldCharType="separate"/>
      </w:r>
      <w:r w:rsidR="00BC59C6" w:rsidRPr="00972C81">
        <w:rPr>
          <w:noProof/>
        </w:rPr>
        <w:t>(ICRP, 2019)</w:t>
      </w:r>
      <w:r w:rsidR="007A358A" w:rsidRPr="00972C81">
        <w:rPr>
          <w:noProof/>
        </w:rPr>
        <w:fldChar w:fldCharType="end"/>
      </w:r>
      <w:r w:rsidR="00482C73" w:rsidRPr="00972C81">
        <w:rPr>
          <w:noProof/>
        </w:rPr>
        <w:t>.</w:t>
      </w:r>
    </w:p>
    <w:p w14:paraId="42BC3DEA" w14:textId="77777777" w:rsidR="00593D1F" w:rsidRPr="00972C81" w:rsidRDefault="00593D1F" w:rsidP="00E81109">
      <w:pPr>
        <w:pStyle w:val="2"/>
        <w:rPr>
          <w:noProof/>
          <w:lang w:val="en-GB"/>
        </w:rPr>
      </w:pPr>
      <w:bookmarkStart w:id="137" w:name="_Toc162630024"/>
      <w:r w:rsidRPr="00972C81">
        <w:rPr>
          <w:noProof/>
          <w:lang w:val="en-GB"/>
        </w:rPr>
        <w:lastRenderedPageBreak/>
        <w:t>Dosimetric data for europium</w:t>
      </w:r>
      <w:bookmarkEnd w:id="137"/>
    </w:p>
    <w:p w14:paraId="3654F645" w14:textId="5EE4C188" w:rsidR="00D36248" w:rsidRPr="00972C81" w:rsidRDefault="00D36248" w:rsidP="00C47F2F">
      <w:pPr>
        <w:widowControl/>
        <w:jc w:val="left"/>
        <w:rPr>
          <w:noProof/>
          <w:szCs w:val="24"/>
        </w:rPr>
      </w:pPr>
      <w:r w:rsidRPr="00972C81">
        <w:rPr>
          <w:noProof/>
          <w:szCs w:val="24"/>
        </w:rPr>
        <w:t>Table 8.3. Committed effective dose coefficients (Sv Bq</w:t>
      </w:r>
      <w:r w:rsidRPr="00972C81">
        <w:rPr>
          <w:noProof/>
          <w:szCs w:val="24"/>
          <w:vertAlign w:val="superscript"/>
        </w:rPr>
        <w:t>-1</w:t>
      </w:r>
      <w:r w:rsidRPr="00972C81">
        <w:rPr>
          <w:noProof/>
          <w:szCs w:val="24"/>
        </w:rPr>
        <w:t xml:space="preserve">) for the inhalation or ingestion of </w:t>
      </w:r>
      <w:r w:rsidRPr="00972C81">
        <w:rPr>
          <w:noProof/>
          <w:szCs w:val="24"/>
          <w:vertAlign w:val="superscript"/>
        </w:rPr>
        <w:t>152</w:t>
      </w:r>
      <w:r w:rsidRPr="00972C81">
        <w:rPr>
          <w:noProof/>
          <w:szCs w:val="24"/>
        </w:rPr>
        <w:t>Eu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D36248" w:rsidRPr="00A3213E" w14:paraId="35DE7409" w14:textId="77777777" w:rsidTr="0059789F">
        <w:trPr>
          <w:trHeight w:val="340"/>
        </w:trPr>
        <w:tc>
          <w:tcPr>
            <w:tcW w:w="2087" w:type="pct"/>
            <w:vMerge w:val="restart"/>
            <w:tcBorders>
              <w:top w:val="single" w:sz="4" w:space="0" w:color="auto"/>
              <w:left w:val="nil"/>
              <w:bottom w:val="single" w:sz="4" w:space="0" w:color="auto"/>
              <w:right w:val="nil"/>
            </w:tcBorders>
            <w:vAlign w:val="bottom"/>
            <w:hideMark/>
          </w:tcPr>
          <w:p w14:paraId="7D29C976" w14:textId="77777777" w:rsidR="00E06DA9" w:rsidRDefault="00D36248" w:rsidP="00C47F2F">
            <w:pPr>
              <w:pStyle w:val="a5"/>
              <w:tabs>
                <w:tab w:val="clear" w:pos="4153"/>
                <w:tab w:val="clear" w:pos="8306"/>
              </w:tabs>
              <w:jc w:val="left"/>
              <w:rPr>
                <w:noProof/>
                <w:sz w:val="22"/>
                <w:szCs w:val="22"/>
              </w:rPr>
            </w:pPr>
            <w:r w:rsidRPr="00C47F2F">
              <w:rPr>
                <w:noProof/>
                <w:sz w:val="22"/>
                <w:szCs w:val="22"/>
              </w:rPr>
              <w:t>Inhaled particulate materials</w:t>
            </w:r>
          </w:p>
          <w:p w14:paraId="52805F99" w14:textId="06C167CD" w:rsidR="00D36248" w:rsidRPr="00E06DA9" w:rsidRDefault="00D36248" w:rsidP="00C47F2F">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21E0530A" w14:textId="77777777" w:rsidR="00D36248" w:rsidRPr="00C47F2F" w:rsidRDefault="00D36248" w:rsidP="0059789F">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D36248" w:rsidRPr="00972C81" w14:paraId="1033A616" w14:textId="77777777" w:rsidTr="0059789F">
        <w:trPr>
          <w:trHeight w:val="340"/>
        </w:trPr>
        <w:tc>
          <w:tcPr>
            <w:tcW w:w="2087" w:type="pct"/>
            <w:vMerge/>
            <w:tcBorders>
              <w:top w:val="single" w:sz="4" w:space="0" w:color="auto"/>
              <w:left w:val="nil"/>
              <w:bottom w:val="single" w:sz="4" w:space="0" w:color="auto"/>
              <w:right w:val="nil"/>
            </w:tcBorders>
            <w:vAlign w:val="center"/>
            <w:hideMark/>
          </w:tcPr>
          <w:p w14:paraId="32164919" w14:textId="77777777" w:rsidR="00D36248" w:rsidRPr="00E06DA9" w:rsidRDefault="00D362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1BFF1708" w14:textId="34E51B31" w:rsidR="00D36248" w:rsidRPr="00C47F2F" w:rsidRDefault="00D36248" w:rsidP="0059789F">
            <w:pPr>
              <w:jc w:val="left"/>
              <w:rPr>
                <w:noProof/>
                <w:sz w:val="22"/>
                <w:szCs w:val="22"/>
              </w:rPr>
            </w:pPr>
            <w:r w:rsidRPr="00C47F2F">
              <w:rPr>
                <w:noProof/>
                <w:sz w:val="22"/>
                <w:szCs w:val="22"/>
              </w:rPr>
              <w:t>3</w:t>
            </w:r>
            <w:r w:rsidR="00E06DA9">
              <w:rPr>
                <w:rFonts w:hint="eastAsia"/>
                <w:noProof/>
                <w:sz w:val="22"/>
                <w:szCs w:val="22"/>
                <w:lang w:eastAsia="ko-KR"/>
              </w:rPr>
              <w:t xml:space="preserve"> </w:t>
            </w:r>
            <w:r w:rsidRPr="00C47F2F">
              <w:rPr>
                <w:noProof/>
                <w:sz w:val="22"/>
                <w:szCs w:val="22"/>
              </w:rPr>
              <w:t>m</w:t>
            </w:r>
            <w:r w:rsidR="0059789F">
              <w:rPr>
                <w:noProof/>
                <w:sz w:val="22"/>
                <w:szCs w:val="22"/>
              </w:rPr>
              <w:t>o</w:t>
            </w:r>
          </w:p>
        </w:tc>
        <w:tc>
          <w:tcPr>
            <w:tcW w:w="485" w:type="pct"/>
            <w:tcBorders>
              <w:top w:val="single" w:sz="4" w:space="0" w:color="auto"/>
              <w:left w:val="nil"/>
              <w:bottom w:val="single" w:sz="4" w:space="0" w:color="auto"/>
              <w:right w:val="nil"/>
            </w:tcBorders>
            <w:vAlign w:val="center"/>
            <w:hideMark/>
          </w:tcPr>
          <w:p w14:paraId="2423444E" w14:textId="6BD51A08" w:rsidR="00D36248" w:rsidRPr="00C47F2F" w:rsidRDefault="00D36248" w:rsidP="0059789F">
            <w:pPr>
              <w:jc w:val="left"/>
              <w:rPr>
                <w:noProof/>
                <w:sz w:val="22"/>
                <w:szCs w:val="22"/>
              </w:rPr>
            </w:pPr>
            <w:r w:rsidRPr="00C47F2F">
              <w:rPr>
                <w:noProof/>
                <w:sz w:val="22"/>
                <w:szCs w:val="22"/>
              </w:rPr>
              <w:t>1</w:t>
            </w:r>
            <w:r w:rsidR="00E06DA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7800393A" w14:textId="4FAFD16B" w:rsidR="00D36248" w:rsidRPr="00C47F2F" w:rsidRDefault="00D36248" w:rsidP="0059789F">
            <w:pPr>
              <w:jc w:val="left"/>
              <w:rPr>
                <w:noProof/>
                <w:sz w:val="22"/>
                <w:szCs w:val="22"/>
              </w:rPr>
            </w:pPr>
            <w:r w:rsidRPr="00C47F2F">
              <w:rPr>
                <w:noProof/>
                <w:sz w:val="22"/>
                <w:szCs w:val="22"/>
              </w:rPr>
              <w:t>5</w:t>
            </w:r>
            <w:r w:rsidR="00E06DA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BA05E8E" w14:textId="00B8A504" w:rsidR="00D36248" w:rsidRPr="00C47F2F" w:rsidRDefault="00D36248" w:rsidP="0059789F">
            <w:pPr>
              <w:jc w:val="left"/>
              <w:rPr>
                <w:noProof/>
                <w:sz w:val="22"/>
                <w:szCs w:val="22"/>
              </w:rPr>
            </w:pPr>
            <w:r w:rsidRPr="00C47F2F">
              <w:rPr>
                <w:noProof/>
                <w:sz w:val="22"/>
                <w:szCs w:val="22"/>
              </w:rPr>
              <w:t>10</w:t>
            </w:r>
            <w:r w:rsidR="00E06DA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12584A6D" w14:textId="7C0AB53D" w:rsidR="00D36248" w:rsidRPr="00C47F2F" w:rsidRDefault="00D36248" w:rsidP="0059789F">
            <w:pPr>
              <w:jc w:val="left"/>
              <w:rPr>
                <w:noProof/>
                <w:sz w:val="22"/>
                <w:szCs w:val="22"/>
              </w:rPr>
            </w:pPr>
            <w:r w:rsidRPr="00C47F2F">
              <w:rPr>
                <w:noProof/>
                <w:sz w:val="22"/>
                <w:szCs w:val="22"/>
              </w:rPr>
              <w:t>15</w:t>
            </w:r>
            <w:r w:rsidR="00E06DA9">
              <w:rPr>
                <w:rFonts w:hint="eastAsia"/>
                <w:noProof/>
                <w:sz w:val="22"/>
                <w:szCs w:val="22"/>
                <w:lang w:eastAsia="ko-KR"/>
              </w:rPr>
              <w:t xml:space="preserve"> </w:t>
            </w:r>
            <w:r w:rsidRPr="00C47F2F">
              <w:rPr>
                <w:noProof/>
                <w:sz w:val="22"/>
                <w:szCs w:val="22"/>
              </w:rPr>
              <w:t>y</w:t>
            </w:r>
          </w:p>
        </w:tc>
        <w:tc>
          <w:tcPr>
            <w:tcW w:w="488" w:type="pct"/>
            <w:tcBorders>
              <w:top w:val="single" w:sz="4" w:space="0" w:color="auto"/>
              <w:left w:val="nil"/>
              <w:bottom w:val="single" w:sz="4" w:space="0" w:color="auto"/>
              <w:right w:val="nil"/>
            </w:tcBorders>
            <w:vAlign w:val="center"/>
            <w:hideMark/>
          </w:tcPr>
          <w:p w14:paraId="602BED18" w14:textId="77777777" w:rsidR="00D36248" w:rsidRPr="00C47F2F" w:rsidRDefault="00D36248" w:rsidP="0059789F">
            <w:pPr>
              <w:jc w:val="left"/>
              <w:rPr>
                <w:noProof/>
                <w:sz w:val="22"/>
                <w:szCs w:val="22"/>
              </w:rPr>
            </w:pPr>
            <w:r w:rsidRPr="00C47F2F">
              <w:rPr>
                <w:noProof/>
                <w:sz w:val="22"/>
                <w:szCs w:val="22"/>
              </w:rPr>
              <w:t>Adult</w:t>
            </w:r>
          </w:p>
        </w:tc>
      </w:tr>
      <w:tr w:rsidR="00D36248" w:rsidRPr="00972C81" w14:paraId="2265D5A9" w14:textId="77777777" w:rsidTr="0059789F">
        <w:trPr>
          <w:trHeight w:val="340"/>
        </w:trPr>
        <w:tc>
          <w:tcPr>
            <w:tcW w:w="2087" w:type="pct"/>
            <w:tcBorders>
              <w:top w:val="single" w:sz="4" w:space="0" w:color="auto"/>
              <w:left w:val="nil"/>
              <w:bottom w:val="nil"/>
              <w:right w:val="nil"/>
            </w:tcBorders>
            <w:hideMark/>
          </w:tcPr>
          <w:p w14:paraId="287750D7" w14:textId="77777777" w:rsidR="00D36248" w:rsidRPr="00C47F2F" w:rsidRDefault="00D36248" w:rsidP="0059789F">
            <w:pPr>
              <w:jc w:val="left"/>
              <w:rPr>
                <w:noProof/>
                <w:sz w:val="22"/>
                <w:szCs w:val="22"/>
              </w:rPr>
            </w:pPr>
            <w:r w:rsidRPr="00C47F2F">
              <w:rPr>
                <w:rFonts w:eastAsia="Times New Roman"/>
                <w:noProof/>
                <w:color w:val="000000"/>
                <w:sz w:val="22"/>
                <w:szCs w:val="22"/>
              </w:rPr>
              <w:t>Water soluble forms, including chloride and citrate</w:t>
            </w:r>
          </w:p>
        </w:tc>
        <w:tc>
          <w:tcPr>
            <w:tcW w:w="485" w:type="pct"/>
            <w:tcBorders>
              <w:top w:val="single" w:sz="4" w:space="0" w:color="auto"/>
              <w:left w:val="nil"/>
              <w:bottom w:val="nil"/>
              <w:right w:val="nil"/>
            </w:tcBorders>
            <w:hideMark/>
          </w:tcPr>
          <w:p w14:paraId="04652073"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1.2E-07</w:t>
            </w:r>
          </w:p>
        </w:tc>
        <w:tc>
          <w:tcPr>
            <w:tcW w:w="485" w:type="pct"/>
            <w:tcBorders>
              <w:top w:val="single" w:sz="4" w:space="0" w:color="auto"/>
              <w:left w:val="nil"/>
              <w:bottom w:val="nil"/>
              <w:right w:val="nil"/>
            </w:tcBorders>
            <w:hideMark/>
          </w:tcPr>
          <w:p w14:paraId="369A952C"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1.1E-07</w:t>
            </w:r>
          </w:p>
        </w:tc>
        <w:tc>
          <w:tcPr>
            <w:tcW w:w="485" w:type="pct"/>
            <w:tcBorders>
              <w:top w:val="single" w:sz="4" w:space="0" w:color="auto"/>
              <w:left w:val="nil"/>
              <w:bottom w:val="nil"/>
              <w:right w:val="nil"/>
            </w:tcBorders>
            <w:hideMark/>
          </w:tcPr>
          <w:p w14:paraId="63599811"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5.9E-08</w:t>
            </w:r>
          </w:p>
        </w:tc>
        <w:tc>
          <w:tcPr>
            <w:tcW w:w="485" w:type="pct"/>
            <w:tcBorders>
              <w:top w:val="single" w:sz="4" w:space="0" w:color="auto"/>
              <w:left w:val="nil"/>
              <w:bottom w:val="nil"/>
              <w:right w:val="nil"/>
            </w:tcBorders>
            <w:hideMark/>
          </w:tcPr>
          <w:p w14:paraId="7F2BB145"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4.2E-08</w:t>
            </w:r>
          </w:p>
        </w:tc>
        <w:tc>
          <w:tcPr>
            <w:tcW w:w="485" w:type="pct"/>
            <w:tcBorders>
              <w:top w:val="single" w:sz="4" w:space="0" w:color="auto"/>
              <w:left w:val="nil"/>
              <w:bottom w:val="nil"/>
              <w:right w:val="nil"/>
            </w:tcBorders>
            <w:hideMark/>
          </w:tcPr>
          <w:p w14:paraId="4A3C8FE3"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4.0E-08</w:t>
            </w:r>
          </w:p>
        </w:tc>
        <w:tc>
          <w:tcPr>
            <w:tcW w:w="488" w:type="pct"/>
            <w:tcBorders>
              <w:top w:val="single" w:sz="4" w:space="0" w:color="auto"/>
              <w:left w:val="nil"/>
              <w:bottom w:val="nil"/>
              <w:right w:val="nil"/>
            </w:tcBorders>
            <w:hideMark/>
          </w:tcPr>
          <w:p w14:paraId="1068DFFE"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4.0E-08</w:t>
            </w:r>
          </w:p>
        </w:tc>
      </w:tr>
      <w:tr w:rsidR="00D36248" w:rsidRPr="00972C81" w14:paraId="38B564F1" w14:textId="77777777" w:rsidTr="0059789F">
        <w:trPr>
          <w:trHeight w:val="340"/>
        </w:trPr>
        <w:tc>
          <w:tcPr>
            <w:tcW w:w="2087" w:type="pct"/>
            <w:tcBorders>
              <w:top w:val="nil"/>
              <w:left w:val="nil"/>
              <w:bottom w:val="nil"/>
              <w:right w:val="nil"/>
            </w:tcBorders>
            <w:hideMark/>
          </w:tcPr>
          <w:p w14:paraId="37C28BB0"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Dioxide</w:t>
            </w:r>
          </w:p>
        </w:tc>
        <w:tc>
          <w:tcPr>
            <w:tcW w:w="485" w:type="pct"/>
            <w:tcBorders>
              <w:top w:val="nil"/>
              <w:left w:val="nil"/>
              <w:bottom w:val="nil"/>
              <w:right w:val="nil"/>
            </w:tcBorders>
            <w:hideMark/>
          </w:tcPr>
          <w:p w14:paraId="3D75A9DE"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9.4E-08</w:t>
            </w:r>
          </w:p>
        </w:tc>
        <w:tc>
          <w:tcPr>
            <w:tcW w:w="485" w:type="pct"/>
            <w:tcBorders>
              <w:top w:val="nil"/>
              <w:left w:val="nil"/>
              <w:bottom w:val="nil"/>
              <w:right w:val="nil"/>
            </w:tcBorders>
            <w:hideMark/>
          </w:tcPr>
          <w:p w14:paraId="660275B3"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8.9E-08</w:t>
            </w:r>
          </w:p>
        </w:tc>
        <w:tc>
          <w:tcPr>
            <w:tcW w:w="485" w:type="pct"/>
            <w:tcBorders>
              <w:top w:val="nil"/>
              <w:left w:val="nil"/>
              <w:bottom w:val="nil"/>
              <w:right w:val="nil"/>
            </w:tcBorders>
            <w:hideMark/>
          </w:tcPr>
          <w:p w14:paraId="076A3BE2"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5.6E-08</w:t>
            </w:r>
          </w:p>
        </w:tc>
        <w:tc>
          <w:tcPr>
            <w:tcW w:w="485" w:type="pct"/>
            <w:tcBorders>
              <w:top w:val="nil"/>
              <w:left w:val="nil"/>
              <w:bottom w:val="nil"/>
              <w:right w:val="nil"/>
            </w:tcBorders>
            <w:hideMark/>
          </w:tcPr>
          <w:p w14:paraId="1187F724"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3.9E-08</w:t>
            </w:r>
          </w:p>
        </w:tc>
        <w:tc>
          <w:tcPr>
            <w:tcW w:w="485" w:type="pct"/>
            <w:tcBorders>
              <w:top w:val="nil"/>
              <w:left w:val="nil"/>
              <w:bottom w:val="nil"/>
              <w:right w:val="nil"/>
            </w:tcBorders>
            <w:hideMark/>
          </w:tcPr>
          <w:p w14:paraId="2820CFBC"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3.6E-08</w:t>
            </w:r>
          </w:p>
        </w:tc>
        <w:tc>
          <w:tcPr>
            <w:tcW w:w="488" w:type="pct"/>
            <w:tcBorders>
              <w:top w:val="nil"/>
              <w:left w:val="nil"/>
              <w:bottom w:val="nil"/>
              <w:right w:val="nil"/>
            </w:tcBorders>
            <w:hideMark/>
          </w:tcPr>
          <w:p w14:paraId="0DCE26DB"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3.8E-08</w:t>
            </w:r>
          </w:p>
        </w:tc>
      </w:tr>
      <w:tr w:rsidR="00D36248" w:rsidRPr="00972C81" w14:paraId="49FF1EC4" w14:textId="77777777" w:rsidTr="0059789F">
        <w:trPr>
          <w:trHeight w:val="340"/>
        </w:trPr>
        <w:tc>
          <w:tcPr>
            <w:tcW w:w="2087" w:type="pct"/>
            <w:tcBorders>
              <w:top w:val="nil"/>
              <w:left w:val="nil"/>
              <w:bottom w:val="nil"/>
              <w:right w:val="nil"/>
            </w:tcBorders>
            <w:hideMark/>
          </w:tcPr>
          <w:p w14:paraId="21EE5309" w14:textId="77777777" w:rsidR="00D36248" w:rsidRPr="00C47F2F" w:rsidRDefault="00D36248" w:rsidP="0059789F">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4EF43FCF"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1.5E-07</w:t>
            </w:r>
          </w:p>
        </w:tc>
        <w:tc>
          <w:tcPr>
            <w:tcW w:w="485" w:type="pct"/>
            <w:tcBorders>
              <w:top w:val="nil"/>
              <w:left w:val="nil"/>
              <w:bottom w:val="nil"/>
              <w:right w:val="nil"/>
            </w:tcBorders>
            <w:hideMark/>
          </w:tcPr>
          <w:p w14:paraId="0B40C33E"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1.3E-07</w:t>
            </w:r>
          </w:p>
        </w:tc>
        <w:tc>
          <w:tcPr>
            <w:tcW w:w="485" w:type="pct"/>
            <w:tcBorders>
              <w:top w:val="nil"/>
              <w:left w:val="nil"/>
              <w:bottom w:val="nil"/>
              <w:right w:val="nil"/>
            </w:tcBorders>
            <w:hideMark/>
          </w:tcPr>
          <w:p w14:paraId="4E8EC93C"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6.6E-08</w:t>
            </w:r>
          </w:p>
        </w:tc>
        <w:tc>
          <w:tcPr>
            <w:tcW w:w="485" w:type="pct"/>
            <w:tcBorders>
              <w:top w:val="nil"/>
              <w:left w:val="nil"/>
              <w:bottom w:val="nil"/>
              <w:right w:val="nil"/>
            </w:tcBorders>
            <w:hideMark/>
          </w:tcPr>
          <w:p w14:paraId="56CAE6FA"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4.6E-08</w:t>
            </w:r>
          </w:p>
        </w:tc>
        <w:tc>
          <w:tcPr>
            <w:tcW w:w="485" w:type="pct"/>
            <w:tcBorders>
              <w:top w:val="nil"/>
              <w:left w:val="nil"/>
              <w:bottom w:val="nil"/>
              <w:right w:val="nil"/>
            </w:tcBorders>
            <w:hideMark/>
          </w:tcPr>
          <w:p w14:paraId="410BD90A"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4.5E-08</w:t>
            </w:r>
          </w:p>
        </w:tc>
        <w:tc>
          <w:tcPr>
            <w:tcW w:w="488" w:type="pct"/>
            <w:tcBorders>
              <w:top w:val="nil"/>
              <w:left w:val="nil"/>
              <w:bottom w:val="nil"/>
              <w:right w:val="nil"/>
            </w:tcBorders>
            <w:hideMark/>
          </w:tcPr>
          <w:p w14:paraId="7E9234C3"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4.5E-08</w:t>
            </w:r>
          </w:p>
        </w:tc>
      </w:tr>
      <w:tr w:rsidR="00D36248" w:rsidRPr="00972C81" w14:paraId="5A8EB96E" w14:textId="77777777" w:rsidTr="0059789F">
        <w:trPr>
          <w:trHeight w:val="340"/>
        </w:trPr>
        <w:tc>
          <w:tcPr>
            <w:tcW w:w="2087" w:type="pct"/>
            <w:tcBorders>
              <w:top w:val="nil"/>
              <w:left w:val="nil"/>
              <w:bottom w:val="nil"/>
              <w:right w:val="nil"/>
            </w:tcBorders>
            <w:hideMark/>
          </w:tcPr>
          <w:p w14:paraId="5B4C1DD8" w14:textId="77777777" w:rsidR="00D36248" w:rsidRPr="00C47F2F" w:rsidRDefault="00D36248" w:rsidP="0059789F">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hideMark/>
          </w:tcPr>
          <w:p w14:paraId="1221BCBE"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1.1E-07</w:t>
            </w:r>
          </w:p>
        </w:tc>
        <w:tc>
          <w:tcPr>
            <w:tcW w:w="485" w:type="pct"/>
            <w:tcBorders>
              <w:top w:val="nil"/>
              <w:left w:val="nil"/>
              <w:bottom w:val="nil"/>
              <w:right w:val="nil"/>
            </w:tcBorders>
            <w:hideMark/>
          </w:tcPr>
          <w:p w14:paraId="33526D43"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1.0E-07</w:t>
            </w:r>
          </w:p>
        </w:tc>
        <w:tc>
          <w:tcPr>
            <w:tcW w:w="485" w:type="pct"/>
            <w:tcBorders>
              <w:top w:val="nil"/>
              <w:left w:val="nil"/>
              <w:bottom w:val="nil"/>
              <w:right w:val="nil"/>
            </w:tcBorders>
            <w:hideMark/>
          </w:tcPr>
          <w:p w14:paraId="7C366B91"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5.5E-08</w:t>
            </w:r>
          </w:p>
        </w:tc>
        <w:tc>
          <w:tcPr>
            <w:tcW w:w="485" w:type="pct"/>
            <w:tcBorders>
              <w:top w:val="nil"/>
              <w:left w:val="nil"/>
              <w:bottom w:val="nil"/>
              <w:right w:val="nil"/>
            </w:tcBorders>
            <w:hideMark/>
          </w:tcPr>
          <w:p w14:paraId="4EC99DC6"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3.8E-08</w:t>
            </w:r>
          </w:p>
        </w:tc>
        <w:tc>
          <w:tcPr>
            <w:tcW w:w="485" w:type="pct"/>
            <w:tcBorders>
              <w:top w:val="nil"/>
              <w:left w:val="nil"/>
              <w:bottom w:val="nil"/>
              <w:right w:val="nil"/>
            </w:tcBorders>
            <w:hideMark/>
          </w:tcPr>
          <w:p w14:paraId="27B697C3"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3.7E-08</w:t>
            </w:r>
          </w:p>
        </w:tc>
        <w:tc>
          <w:tcPr>
            <w:tcW w:w="488" w:type="pct"/>
            <w:tcBorders>
              <w:top w:val="nil"/>
              <w:left w:val="nil"/>
              <w:bottom w:val="nil"/>
              <w:right w:val="nil"/>
            </w:tcBorders>
            <w:hideMark/>
          </w:tcPr>
          <w:p w14:paraId="22E8DDB9"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3.7E-08</w:t>
            </w:r>
          </w:p>
        </w:tc>
      </w:tr>
      <w:tr w:rsidR="00D36248" w:rsidRPr="00972C81" w14:paraId="6812915F" w14:textId="77777777" w:rsidTr="0059789F">
        <w:trPr>
          <w:trHeight w:val="340"/>
        </w:trPr>
        <w:tc>
          <w:tcPr>
            <w:tcW w:w="2087" w:type="pct"/>
            <w:tcBorders>
              <w:top w:val="nil"/>
              <w:left w:val="nil"/>
              <w:bottom w:val="single" w:sz="4" w:space="0" w:color="auto"/>
              <w:right w:val="nil"/>
            </w:tcBorders>
            <w:hideMark/>
          </w:tcPr>
          <w:p w14:paraId="306C85C8" w14:textId="77777777" w:rsidR="00D36248" w:rsidRPr="00C47F2F" w:rsidRDefault="00D36248" w:rsidP="0059789F">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485" w:type="pct"/>
            <w:tcBorders>
              <w:top w:val="nil"/>
              <w:left w:val="nil"/>
              <w:bottom w:val="single" w:sz="4" w:space="0" w:color="auto"/>
              <w:right w:val="nil"/>
            </w:tcBorders>
            <w:hideMark/>
          </w:tcPr>
          <w:p w14:paraId="4E5514CF"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1.3E-07</w:t>
            </w:r>
          </w:p>
        </w:tc>
        <w:tc>
          <w:tcPr>
            <w:tcW w:w="485" w:type="pct"/>
            <w:tcBorders>
              <w:top w:val="nil"/>
              <w:left w:val="nil"/>
              <w:bottom w:val="single" w:sz="4" w:space="0" w:color="auto"/>
              <w:right w:val="nil"/>
            </w:tcBorders>
            <w:hideMark/>
          </w:tcPr>
          <w:p w14:paraId="310C2A28"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1.3E-07</w:t>
            </w:r>
          </w:p>
        </w:tc>
        <w:tc>
          <w:tcPr>
            <w:tcW w:w="485" w:type="pct"/>
            <w:tcBorders>
              <w:top w:val="nil"/>
              <w:left w:val="nil"/>
              <w:bottom w:val="single" w:sz="4" w:space="0" w:color="auto"/>
              <w:right w:val="nil"/>
            </w:tcBorders>
            <w:hideMark/>
          </w:tcPr>
          <w:p w14:paraId="3ABA1C05"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9.5E-08</w:t>
            </w:r>
          </w:p>
        </w:tc>
        <w:tc>
          <w:tcPr>
            <w:tcW w:w="485" w:type="pct"/>
            <w:tcBorders>
              <w:top w:val="nil"/>
              <w:left w:val="nil"/>
              <w:bottom w:val="single" w:sz="4" w:space="0" w:color="auto"/>
              <w:right w:val="nil"/>
            </w:tcBorders>
            <w:hideMark/>
          </w:tcPr>
          <w:p w14:paraId="10D1BD57"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7.4E-08</w:t>
            </w:r>
          </w:p>
        </w:tc>
        <w:tc>
          <w:tcPr>
            <w:tcW w:w="485" w:type="pct"/>
            <w:tcBorders>
              <w:top w:val="nil"/>
              <w:left w:val="nil"/>
              <w:bottom w:val="single" w:sz="4" w:space="0" w:color="auto"/>
              <w:right w:val="nil"/>
            </w:tcBorders>
            <w:hideMark/>
          </w:tcPr>
          <w:p w14:paraId="59597E0F"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7.4E-08</w:t>
            </w:r>
          </w:p>
        </w:tc>
        <w:tc>
          <w:tcPr>
            <w:tcW w:w="488" w:type="pct"/>
            <w:tcBorders>
              <w:top w:val="nil"/>
              <w:left w:val="nil"/>
              <w:bottom w:val="single" w:sz="4" w:space="0" w:color="auto"/>
              <w:right w:val="nil"/>
            </w:tcBorders>
            <w:hideMark/>
          </w:tcPr>
          <w:p w14:paraId="5945DBEA"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8.0E-08</w:t>
            </w:r>
          </w:p>
        </w:tc>
      </w:tr>
      <w:tr w:rsidR="00D36248" w:rsidRPr="00972C81" w14:paraId="69C95047" w14:textId="77777777" w:rsidTr="0059789F">
        <w:trPr>
          <w:trHeight w:val="340"/>
        </w:trPr>
        <w:tc>
          <w:tcPr>
            <w:tcW w:w="2087" w:type="pct"/>
            <w:tcBorders>
              <w:top w:val="single" w:sz="4" w:space="0" w:color="auto"/>
              <w:left w:val="nil"/>
              <w:bottom w:val="single" w:sz="4" w:space="0" w:color="auto"/>
              <w:right w:val="nil"/>
            </w:tcBorders>
          </w:tcPr>
          <w:p w14:paraId="6CB215A8" w14:textId="77777777" w:rsidR="009F028D" w:rsidRDefault="009F028D">
            <w:pPr>
              <w:pStyle w:val="Table"/>
              <w:rPr>
                <w:noProof/>
                <w:snapToGrid/>
                <w:szCs w:val="22"/>
              </w:rPr>
            </w:pPr>
          </w:p>
          <w:p w14:paraId="18904EEC" w14:textId="3EFF8C31" w:rsidR="00D36248" w:rsidRPr="00CC1FB8" w:rsidRDefault="00D36248" w:rsidP="00C47F2F">
            <w:pPr>
              <w:pStyle w:val="Table"/>
              <w:rPr>
                <w:noProof/>
                <w:szCs w:val="22"/>
              </w:rPr>
            </w:pPr>
            <w:r w:rsidRPr="00C47F2F">
              <w:rPr>
                <w:noProof/>
                <w:snapToGrid/>
                <w:szCs w:val="22"/>
              </w:rPr>
              <w:t>Ingested materials</w:t>
            </w:r>
          </w:p>
        </w:tc>
        <w:tc>
          <w:tcPr>
            <w:tcW w:w="485" w:type="pct"/>
            <w:tcBorders>
              <w:top w:val="single" w:sz="4" w:space="0" w:color="auto"/>
              <w:left w:val="nil"/>
              <w:bottom w:val="single" w:sz="4" w:space="0" w:color="auto"/>
              <w:right w:val="nil"/>
            </w:tcBorders>
          </w:tcPr>
          <w:p w14:paraId="73308481"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275841B9"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7FDE2F98"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09D4CED0"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40EA6F4" w14:textId="77777777" w:rsidR="00D36248" w:rsidRPr="00C47F2F" w:rsidRDefault="00D36248" w:rsidP="00C47F2F">
            <w:pPr>
              <w:jc w:val="left"/>
              <w:rPr>
                <w:rFonts w:eastAsia="Times New Roman"/>
                <w:noProof/>
                <w:color w:val="000000"/>
                <w:sz w:val="22"/>
                <w:szCs w:val="22"/>
              </w:rPr>
            </w:pPr>
          </w:p>
        </w:tc>
        <w:tc>
          <w:tcPr>
            <w:tcW w:w="488" w:type="pct"/>
            <w:tcBorders>
              <w:top w:val="single" w:sz="4" w:space="0" w:color="auto"/>
              <w:left w:val="nil"/>
              <w:bottom w:val="single" w:sz="4" w:space="0" w:color="auto"/>
              <w:right w:val="nil"/>
            </w:tcBorders>
          </w:tcPr>
          <w:p w14:paraId="0127AA9F" w14:textId="77777777" w:rsidR="00D36248" w:rsidRPr="00C47F2F" w:rsidRDefault="00D36248" w:rsidP="00C47F2F">
            <w:pPr>
              <w:jc w:val="left"/>
              <w:rPr>
                <w:rFonts w:eastAsia="Times New Roman"/>
                <w:noProof/>
                <w:color w:val="000000"/>
                <w:sz w:val="22"/>
                <w:szCs w:val="22"/>
              </w:rPr>
            </w:pPr>
          </w:p>
        </w:tc>
      </w:tr>
      <w:tr w:rsidR="00D36248" w:rsidRPr="00972C81" w14:paraId="2625846B" w14:textId="77777777" w:rsidTr="0059789F">
        <w:trPr>
          <w:trHeight w:val="340"/>
        </w:trPr>
        <w:tc>
          <w:tcPr>
            <w:tcW w:w="2087" w:type="pct"/>
            <w:tcBorders>
              <w:top w:val="single" w:sz="4" w:space="0" w:color="auto"/>
              <w:left w:val="nil"/>
              <w:bottom w:val="single" w:sz="4" w:space="0" w:color="auto"/>
              <w:right w:val="nil"/>
            </w:tcBorders>
            <w:vAlign w:val="center"/>
            <w:hideMark/>
          </w:tcPr>
          <w:p w14:paraId="6B19AEAD" w14:textId="44B7C591" w:rsidR="00D36248" w:rsidRPr="00C47F2F" w:rsidRDefault="00D36248" w:rsidP="0059789F">
            <w:pPr>
              <w:jc w:val="left"/>
              <w:rPr>
                <w:rFonts w:eastAsiaTheme="minorHAnsi"/>
                <w:noProof/>
                <w:sz w:val="22"/>
                <w:szCs w:val="22"/>
              </w:rPr>
            </w:pPr>
            <w:r w:rsidRPr="00C47F2F">
              <w:rPr>
                <w:rFonts w:eastAsia="Times New Roman"/>
                <w:noProof/>
                <w:color w:val="000000"/>
                <w:sz w:val="22"/>
                <w:szCs w:val="22"/>
                <w:lang w:eastAsia="en-GB"/>
              </w:rPr>
              <w:t>All compounds</w:t>
            </w:r>
          </w:p>
        </w:tc>
        <w:tc>
          <w:tcPr>
            <w:tcW w:w="485" w:type="pct"/>
            <w:tcBorders>
              <w:top w:val="single" w:sz="4" w:space="0" w:color="auto"/>
              <w:left w:val="nil"/>
              <w:bottom w:val="single" w:sz="4" w:space="0" w:color="auto"/>
              <w:right w:val="nil"/>
            </w:tcBorders>
            <w:vAlign w:val="center"/>
            <w:hideMark/>
          </w:tcPr>
          <w:p w14:paraId="534F03F4"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8.8E-09</w:t>
            </w:r>
          </w:p>
        </w:tc>
        <w:tc>
          <w:tcPr>
            <w:tcW w:w="485" w:type="pct"/>
            <w:tcBorders>
              <w:top w:val="single" w:sz="4" w:space="0" w:color="auto"/>
              <w:left w:val="nil"/>
              <w:bottom w:val="single" w:sz="4" w:space="0" w:color="auto"/>
              <w:right w:val="nil"/>
            </w:tcBorders>
            <w:vAlign w:val="center"/>
            <w:hideMark/>
          </w:tcPr>
          <w:p w14:paraId="19579111"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2.3E-09</w:t>
            </w:r>
          </w:p>
        </w:tc>
        <w:tc>
          <w:tcPr>
            <w:tcW w:w="485" w:type="pct"/>
            <w:tcBorders>
              <w:top w:val="single" w:sz="4" w:space="0" w:color="auto"/>
              <w:left w:val="nil"/>
              <w:bottom w:val="single" w:sz="4" w:space="0" w:color="auto"/>
              <w:right w:val="nil"/>
            </w:tcBorders>
            <w:vAlign w:val="center"/>
            <w:hideMark/>
          </w:tcPr>
          <w:p w14:paraId="4F650274"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1.3E-09</w:t>
            </w:r>
          </w:p>
        </w:tc>
        <w:tc>
          <w:tcPr>
            <w:tcW w:w="485" w:type="pct"/>
            <w:tcBorders>
              <w:top w:val="single" w:sz="4" w:space="0" w:color="auto"/>
              <w:left w:val="nil"/>
              <w:bottom w:val="single" w:sz="4" w:space="0" w:color="auto"/>
              <w:right w:val="nil"/>
            </w:tcBorders>
            <w:vAlign w:val="center"/>
            <w:hideMark/>
          </w:tcPr>
          <w:p w14:paraId="711C0EB4"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9.4E-10</w:t>
            </w:r>
          </w:p>
        </w:tc>
        <w:tc>
          <w:tcPr>
            <w:tcW w:w="485" w:type="pct"/>
            <w:tcBorders>
              <w:top w:val="single" w:sz="4" w:space="0" w:color="auto"/>
              <w:left w:val="nil"/>
              <w:bottom w:val="single" w:sz="4" w:space="0" w:color="auto"/>
              <w:right w:val="nil"/>
            </w:tcBorders>
            <w:vAlign w:val="center"/>
            <w:hideMark/>
          </w:tcPr>
          <w:p w14:paraId="5C6D052D"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6.9E-10</w:t>
            </w:r>
          </w:p>
        </w:tc>
        <w:tc>
          <w:tcPr>
            <w:tcW w:w="488" w:type="pct"/>
            <w:tcBorders>
              <w:top w:val="single" w:sz="4" w:space="0" w:color="auto"/>
              <w:left w:val="nil"/>
              <w:bottom w:val="single" w:sz="4" w:space="0" w:color="auto"/>
              <w:right w:val="nil"/>
            </w:tcBorders>
            <w:vAlign w:val="center"/>
            <w:hideMark/>
          </w:tcPr>
          <w:p w14:paraId="5D6C7DDE"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6.5E-10</w:t>
            </w:r>
          </w:p>
        </w:tc>
      </w:tr>
    </w:tbl>
    <w:p w14:paraId="76BF74EB" w14:textId="77777777" w:rsidR="00D36248" w:rsidRPr="00CD4B01" w:rsidRDefault="00D36248">
      <w:pPr>
        <w:widowControl/>
        <w:jc w:val="left"/>
        <w:rPr>
          <w:noProof/>
          <w:szCs w:val="24"/>
        </w:rPr>
      </w:pPr>
    </w:p>
    <w:p w14:paraId="3DCA83F7" w14:textId="28268207" w:rsidR="00D36248" w:rsidRPr="00972C81" w:rsidRDefault="00D36248" w:rsidP="00D36248">
      <w:pPr>
        <w:pStyle w:val="ab"/>
        <w:rPr>
          <w:noProof/>
          <w:sz w:val="24"/>
          <w:szCs w:val="24"/>
        </w:rPr>
      </w:pPr>
      <w:r w:rsidRPr="00CD4B01">
        <w:rPr>
          <w:noProof/>
          <w:sz w:val="24"/>
          <w:szCs w:val="24"/>
        </w:rPr>
        <w:t>Table 8.4. Committed</w:t>
      </w:r>
      <w:r w:rsidRPr="00972C81">
        <w:rPr>
          <w:noProof/>
          <w:sz w:val="24"/>
          <w:szCs w:val="24"/>
        </w:rPr>
        <w:t xml:space="preserve">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154</w:t>
      </w:r>
      <w:r w:rsidRPr="00972C81">
        <w:rPr>
          <w:noProof/>
          <w:sz w:val="24"/>
          <w:szCs w:val="24"/>
        </w:rPr>
        <w:t>Eu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D36248" w:rsidRPr="00A3213E" w14:paraId="45939B04" w14:textId="77777777" w:rsidTr="0059789F">
        <w:trPr>
          <w:trHeight w:val="340"/>
        </w:trPr>
        <w:tc>
          <w:tcPr>
            <w:tcW w:w="2087" w:type="pct"/>
            <w:vMerge w:val="restart"/>
            <w:tcBorders>
              <w:top w:val="single" w:sz="4" w:space="0" w:color="auto"/>
              <w:left w:val="nil"/>
              <w:bottom w:val="single" w:sz="4" w:space="0" w:color="auto"/>
              <w:right w:val="nil"/>
            </w:tcBorders>
            <w:vAlign w:val="bottom"/>
            <w:hideMark/>
          </w:tcPr>
          <w:p w14:paraId="0DA9B346" w14:textId="77777777" w:rsidR="00E06DA9" w:rsidRPr="00C47F2F" w:rsidRDefault="00D36248" w:rsidP="00C47F2F">
            <w:pPr>
              <w:pStyle w:val="a5"/>
              <w:tabs>
                <w:tab w:val="clear" w:pos="4153"/>
                <w:tab w:val="clear" w:pos="8306"/>
              </w:tabs>
              <w:jc w:val="left"/>
              <w:rPr>
                <w:noProof/>
                <w:sz w:val="22"/>
                <w:szCs w:val="22"/>
              </w:rPr>
            </w:pPr>
            <w:r w:rsidRPr="00C47F2F">
              <w:rPr>
                <w:noProof/>
                <w:sz w:val="22"/>
                <w:szCs w:val="22"/>
              </w:rPr>
              <w:t>Inhaled particulate materials</w:t>
            </w:r>
          </w:p>
          <w:p w14:paraId="4570B6DB" w14:textId="592317F4" w:rsidR="00D36248" w:rsidRPr="00E06DA9" w:rsidRDefault="00D36248" w:rsidP="00C47F2F">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1023B997" w14:textId="77777777" w:rsidR="00D36248" w:rsidRPr="00C47F2F" w:rsidRDefault="00D36248" w:rsidP="0059789F">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D36248" w:rsidRPr="00972C81" w14:paraId="2AE4B32C" w14:textId="77777777" w:rsidTr="0059789F">
        <w:trPr>
          <w:trHeight w:val="340"/>
        </w:trPr>
        <w:tc>
          <w:tcPr>
            <w:tcW w:w="2087" w:type="pct"/>
            <w:vMerge/>
            <w:tcBorders>
              <w:top w:val="single" w:sz="4" w:space="0" w:color="auto"/>
              <w:left w:val="nil"/>
              <w:bottom w:val="single" w:sz="4" w:space="0" w:color="auto"/>
              <w:right w:val="nil"/>
            </w:tcBorders>
            <w:vAlign w:val="center"/>
            <w:hideMark/>
          </w:tcPr>
          <w:p w14:paraId="4AAEB508" w14:textId="77777777" w:rsidR="00D36248" w:rsidRPr="00E06DA9" w:rsidRDefault="00D362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2B63BFCF" w14:textId="12D06AFD" w:rsidR="00D36248" w:rsidRPr="00C47F2F" w:rsidRDefault="00D36248" w:rsidP="0059789F">
            <w:pPr>
              <w:jc w:val="left"/>
              <w:rPr>
                <w:noProof/>
                <w:sz w:val="22"/>
                <w:szCs w:val="22"/>
              </w:rPr>
            </w:pPr>
            <w:r w:rsidRPr="00C47F2F">
              <w:rPr>
                <w:noProof/>
                <w:sz w:val="22"/>
                <w:szCs w:val="22"/>
              </w:rPr>
              <w:t>3</w:t>
            </w:r>
            <w:r w:rsidR="00E06DA9">
              <w:rPr>
                <w:rFonts w:hint="eastAsia"/>
                <w:noProof/>
                <w:sz w:val="22"/>
                <w:szCs w:val="22"/>
                <w:lang w:eastAsia="ko-KR"/>
              </w:rPr>
              <w:t xml:space="preserve"> </w:t>
            </w:r>
            <w:r w:rsidRPr="00C47F2F">
              <w:rPr>
                <w:noProof/>
                <w:sz w:val="22"/>
                <w:szCs w:val="22"/>
              </w:rPr>
              <w:t>m</w:t>
            </w:r>
            <w:r w:rsidR="0059789F">
              <w:rPr>
                <w:noProof/>
                <w:sz w:val="22"/>
                <w:szCs w:val="22"/>
              </w:rPr>
              <w:t>o</w:t>
            </w:r>
          </w:p>
        </w:tc>
        <w:tc>
          <w:tcPr>
            <w:tcW w:w="485" w:type="pct"/>
            <w:tcBorders>
              <w:top w:val="single" w:sz="4" w:space="0" w:color="auto"/>
              <w:left w:val="nil"/>
              <w:bottom w:val="single" w:sz="4" w:space="0" w:color="auto"/>
              <w:right w:val="nil"/>
            </w:tcBorders>
            <w:vAlign w:val="center"/>
            <w:hideMark/>
          </w:tcPr>
          <w:p w14:paraId="2CC2421D" w14:textId="0F9517D4" w:rsidR="00D36248" w:rsidRPr="00C47F2F" w:rsidRDefault="00D36248" w:rsidP="0059789F">
            <w:pPr>
              <w:jc w:val="left"/>
              <w:rPr>
                <w:noProof/>
                <w:sz w:val="22"/>
                <w:szCs w:val="22"/>
              </w:rPr>
            </w:pPr>
            <w:r w:rsidRPr="00C47F2F">
              <w:rPr>
                <w:noProof/>
                <w:sz w:val="22"/>
                <w:szCs w:val="22"/>
              </w:rPr>
              <w:t>1</w:t>
            </w:r>
            <w:r w:rsidR="00E06DA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36F2B2D" w14:textId="6D7BD014" w:rsidR="00D36248" w:rsidRPr="00C47F2F" w:rsidRDefault="00D36248" w:rsidP="0059789F">
            <w:pPr>
              <w:jc w:val="left"/>
              <w:rPr>
                <w:noProof/>
                <w:sz w:val="22"/>
                <w:szCs w:val="22"/>
              </w:rPr>
            </w:pPr>
            <w:r w:rsidRPr="00C47F2F">
              <w:rPr>
                <w:noProof/>
                <w:sz w:val="22"/>
                <w:szCs w:val="22"/>
              </w:rPr>
              <w:t>5</w:t>
            </w:r>
            <w:r w:rsidR="00E06DA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4AD8329E" w14:textId="726DC3EC" w:rsidR="00D36248" w:rsidRPr="00C47F2F" w:rsidRDefault="00D36248" w:rsidP="0059789F">
            <w:pPr>
              <w:jc w:val="left"/>
              <w:rPr>
                <w:noProof/>
                <w:sz w:val="22"/>
                <w:szCs w:val="22"/>
              </w:rPr>
            </w:pPr>
            <w:r w:rsidRPr="00C47F2F">
              <w:rPr>
                <w:noProof/>
                <w:sz w:val="22"/>
                <w:szCs w:val="22"/>
              </w:rPr>
              <w:t>10</w:t>
            </w:r>
            <w:r w:rsidR="00E06DA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631AA5FF" w14:textId="537D2630" w:rsidR="00D36248" w:rsidRPr="00C47F2F" w:rsidRDefault="00D36248" w:rsidP="0059789F">
            <w:pPr>
              <w:jc w:val="left"/>
              <w:rPr>
                <w:noProof/>
                <w:sz w:val="22"/>
                <w:szCs w:val="22"/>
              </w:rPr>
            </w:pPr>
            <w:r w:rsidRPr="00C47F2F">
              <w:rPr>
                <w:noProof/>
                <w:sz w:val="22"/>
                <w:szCs w:val="22"/>
              </w:rPr>
              <w:t>15</w:t>
            </w:r>
            <w:r w:rsidR="00E06DA9">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105F163C" w14:textId="77777777" w:rsidR="00D36248" w:rsidRPr="00C47F2F" w:rsidRDefault="00D36248" w:rsidP="0059789F">
            <w:pPr>
              <w:jc w:val="left"/>
              <w:rPr>
                <w:noProof/>
                <w:sz w:val="22"/>
                <w:szCs w:val="22"/>
              </w:rPr>
            </w:pPr>
            <w:r w:rsidRPr="00C47F2F">
              <w:rPr>
                <w:noProof/>
                <w:sz w:val="22"/>
                <w:szCs w:val="22"/>
              </w:rPr>
              <w:t>Adult</w:t>
            </w:r>
          </w:p>
        </w:tc>
      </w:tr>
      <w:tr w:rsidR="00D36248" w:rsidRPr="00972C81" w14:paraId="37F4BCF0" w14:textId="77777777" w:rsidTr="0059789F">
        <w:trPr>
          <w:trHeight w:val="340"/>
        </w:trPr>
        <w:tc>
          <w:tcPr>
            <w:tcW w:w="2087" w:type="pct"/>
            <w:tcBorders>
              <w:top w:val="single" w:sz="4" w:space="0" w:color="auto"/>
              <w:left w:val="nil"/>
              <w:bottom w:val="nil"/>
              <w:right w:val="nil"/>
            </w:tcBorders>
            <w:hideMark/>
          </w:tcPr>
          <w:p w14:paraId="22BA5B61" w14:textId="77777777" w:rsidR="00D36248" w:rsidRPr="00C47F2F" w:rsidRDefault="00D36248" w:rsidP="0059789F">
            <w:pPr>
              <w:jc w:val="left"/>
              <w:rPr>
                <w:noProof/>
                <w:sz w:val="22"/>
                <w:szCs w:val="22"/>
              </w:rPr>
            </w:pPr>
            <w:r w:rsidRPr="00C47F2F">
              <w:rPr>
                <w:rFonts w:eastAsia="Times New Roman"/>
                <w:noProof/>
                <w:color w:val="000000"/>
                <w:sz w:val="22"/>
                <w:szCs w:val="22"/>
              </w:rPr>
              <w:t>Water soluble forms, including chloride and citrate</w:t>
            </w:r>
          </w:p>
        </w:tc>
        <w:tc>
          <w:tcPr>
            <w:tcW w:w="485" w:type="pct"/>
            <w:tcBorders>
              <w:top w:val="single" w:sz="4" w:space="0" w:color="auto"/>
              <w:left w:val="nil"/>
              <w:bottom w:val="nil"/>
              <w:right w:val="nil"/>
            </w:tcBorders>
            <w:hideMark/>
          </w:tcPr>
          <w:p w14:paraId="62505B26"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1.6E-07</w:t>
            </w:r>
          </w:p>
        </w:tc>
        <w:tc>
          <w:tcPr>
            <w:tcW w:w="485" w:type="pct"/>
            <w:tcBorders>
              <w:top w:val="single" w:sz="4" w:space="0" w:color="auto"/>
              <w:left w:val="nil"/>
              <w:bottom w:val="nil"/>
              <w:right w:val="nil"/>
            </w:tcBorders>
            <w:hideMark/>
          </w:tcPr>
          <w:p w14:paraId="3FC5A283"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1.4E-07</w:t>
            </w:r>
          </w:p>
        </w:tc>
        <w:tc>
          <w:tcPr>
            <w:tcW w:w="485" w:type="pct"/>
            <w:tcBorders>
              <w:top w:val="single" w:sz="4" w:space="0" w:color="auto"/>
              <w:left w:val="nil"/>
              <w:bottom w:val="nil"/>
              <w:right w:val="nil"/>
            </w:tcBorders>
            <w:hideMark/>
          </w:tcPr>
          <w:p w14:paraId="1BF85009"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7.2E-08</w:t>
            </w:r>
          </w:p>
        </w:tc>
        <w:tc>
          <w:tcPr>
            <w:tcW w:w="485" w:type="pct"/>
            <w:tcBorders>
              <w:top w:val="single" w:sz="4" w:space="0" w:color="auto"/>
              <w:left w:val="nil"/>
              <w:bottom w:val="nil"/>
              <w:right w:val="nil"/>
            </w:tcBorders>
            <w:hideMark/>
          </w:tcPr>
          <w:p w14:paraId="202337F2"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4.8E-08</w:t>
            </w:r>
          </w:p>
        </w:tc>
        <w:tc>
          <w:tcPr>
            <w:tcW w:w="485" w:type="pct"/>
            <w:tcBorders>
              <w:top w:val="single" w:sz="4" w:space="0" w:color="auto"/>
              <w:left w:val="nil"/>
              <w:bottom w:val="nil"/>
              <w:right w:val="nil"/>
            </w:tcBorders>
            <w:hideMark/>
          </w:tcPr>
          <w:p w14:paraId="02260E1E"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4.3E-08</w:t>
            </w:r>
          </w:p>
        </w:tc>
        <w:tc>
          <w:tcPr>
            <w:tcW w:w="486" w:type="pct"/>
            <w:tcBorders>
              <w:top w:val="single" w:sz="4" w:space="0" w:color="auto"/>
              <w:left w:val="nil"/>
              <w:bottom w:val="nil"/>
              <w:right w:val="nil"/>
            </w:tcBorders>
            <w:hideMark/>
          </w:tcPr>
          <w:p w14:paraId="08F84827"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4.2E-08</w:t>
            </w:r>
          </w:p>
        </w:tc>
      </w:tr>
      <w:tr w:rsidR="00D36248" w:rsidRPr="00972C81" w14:paraId="6F21E7D7" w14:textId="77777777" w:rsidTr="0059789F">
        <w:trPr>
          <w:trHeight w:val="340"/>
        </w:trPr>
        <w:tc>
          <w:tcPr>
            <w:tcW w:w="2087" w:type="pct"/>
            <w:tcBorders>
              <w:top w:val="nil"/>
              <w:left w:val="nil"/>
              <w:bottom w:val="nil"/>
              <w:right w:val="nil"/>
            </w:tcBorders>
            <w:hideMark/>
          </w:tcPr>
          <w:p w14:paraId="43011992"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Dioxide</w:t>
            </w:r>
          </w:p>
        </w:tc>
        <w:tc>
          <w:tcPr>
            <w:tcW w:w="485" w:type="pct"/>
            <w:tcBorders>
              <w:top w:val="nil"/>
              <w:left w:val="nil"/>
              <w:bottom w:val="nil"/>
              <w:right w:val="nil"/>
            </w:tcBorders>
            <w:hideMark/>
          </w:tcPr>
          <w:p w14:paraId="1C3ED128"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1.3E-07</w:t>
            </w:r>
          </w:p>
        </w:tc>
        <w:tc>
          <w:tcPr>
            <w:tcW w:w="485" w:type="pct"/>
            <w:tcBorders>
              <w:top w:val="nil"/>
              <w:left w:val="nil"/>
              <w:bottom w:val="nil"/>
              <w:right w:val="nil"/>
            </w:tcBorders>
            <w:hideMark/>
          </w:tcPr>
          <w:p w14:paraId="30EA9A36"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1.2E-07</w:t>
            </w:r>
          </w:p>
        </w:tc>
        <w:tc>
          <w:tcPr>
            <w:tcW w:w="485" w:type="pct"/>
            <w:tcBorders>
              <w:top w:val="nil"/>
              <w:left w:val="nil"/>
              <w:bottom w:val="nil"/>
              <w:right w:val="nil"/>
            </w:tcBorders>
            <w:hideMark/>
          </w:tcPr>
          <w:p w14:paraId="332AE9AD"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7.3E-08</w:t>
            </w:r>
          </w:p>
        </w:tc>
        <w:tc>
          <w:tcPr>
            <w:tcW w:w="485" w:type="pct"/>
            <w:tcBorders>
              <w:top w:val="nil"/>
              <w:left w:val="nil"/>
              <w:bottom w:val="nil"/>
              <w:right w:val="nil"/>
            </w:tcBorders>
            <w:hideMark/>
          </w:tcPr>
          <w:p w14:paraId="10536672"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5.0E-08</w:t>
            </w:r>
          </w:p>
        </w:tc>
        <w:tc>
          <w:tcPr>
            <w:tcW w:w="485" w:type="pct"/>
            <w:tcBorders>
              <w:top w:val="nil"/>
              <w:left w:val="nil"/>
              <w:bottom w:val="nil"/>
              <w:right w:val="nil"/>
            </w:tcBorders>
            <w:hideMark/>
          </w:tcPr>
          <w:p w14:paraId="6A8DD9A9"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4.3E-08</w:t>
            </w:r>
          </w:p>
        </w:tc>
        <w:tc>
          <w:tcPr>
            <w:tcW w:w="486" w:type="pct"/>
            <w:tcBorders>
              <w:top w:val="nil"/>
              <w:left w:val="nil"/>
              <w:bottom w:val="nil"/>
              <w:right w:val="nil"/>
            </w:tcBorders>
            <w:hideMark/>
          </w:tcPr>
          <w:p w14:paraId="5EE415B7"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4.5E-08</w:t>
            </w:r>
          </w:p>
        </w:tc>
      </w:tr>
      <w:tr w:rsidR="00D36248" w:rsidRPr="00972C81" w14:paraId="5F8DBE04" w14:textId="77777777" w:rsidTr="0059789F">
        <w:trPr>
          <w:trHeight w:val="340"/>
        </w:trPr>
        <w:tc>
          <w:tcPr>
            <w:tcW w:w="2087" w:type="pct"/>
            <w:tcBorders>
              <w:top w:val="nil"/>
              <w:left w:val="nil"/>
              <w:bottom w:val="nil"/>
              <w:right w:val="nil"/>
            </w:tcBorders>
            <w:hideMark/>
          </w:tcPr>
          <w:p w14:paraId="02C8258F" w14:textId="77777777" w:rsidR="00D36248" w:rsidRPr="00C47F2F" w:rsidRDefault="00D36248" w:rsidP="0059789F">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53559B91"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1.9E-07</w:t>
            </w:r>
          </w:p>
        </w:tc>
        <w:tc>
          <w:tcPr>
            <w:tcW w:w="485" w:type="pct"/>
            <w:tcBorders>
              <w:top w:val="nil"/>
              <w:left w:val="nil"/>
              <w:bottom w:val="nil"/>
              <w:right w:val="nil"/>
            </w:tcBorders>
            <w:hideMark/>
          </w:tcPr>
          <w:p w14:paraId="163DE17F"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1.6E-07</w:t>
            </w:r>
          </w:p>
        </w:tc>
        <w:tc>
          <w:tcPr>
            <w:tcW w:w="485" w:type="pct"/>
            <w:tcBorders>
              <w:top w:val="nil"/>
              <w:left w:val="nil"/>
              <w:bottom w:val="nil"/>
              <w:right w:val="nil"/>
            </w:tcBorders>
            <w:hideMark/>
          </w:tcPr>
          <w:p w14:paraId="5F008B1E"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7.6E-08</w:t>
            </w:r>
          </w:p>
        </w:tc>
        <w:tc>
          <w:tcPr>
            <w:tcW w:w="485" w:type="pct"/>
            <w:tcBorders>
              <w:top w:val="nil"/>
              <w:left w:val="nil"/>
              <w:bottom w:val="nil"/>
              <w:right w:val="nil"/>
            </w:tcBorders>
            <w:hideMark/>
          </w:tcPr>
          <w:p w14:paraId="32E5F0C4"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4.9E-08</w:t>
            </w:r>
          </w:p>
        </w:tc>
        <w:tc>
          <w:tcPr>
            <w:tcW w:w="485" w:type="pct"/>
            <w:tcBorders>
              <w:top w:val="nil"/>
              <w:left w:val="nil"/>
              <w:bottom w:val="nil"/>
              <w:right w:val="nil"/>
            </w:tcBorders>
            <w:hideMark/>
          </w:tcPr>
          <w:p w14:paraId="3A525423"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4.6E-08</w:t>
            </w:r>
          </w:p>
        </w:tc>
        <w:tc>
          <w:tcPr>
            <w:tcW w:w="486" w:type="pct"/>
            <w:tcBorders>
              <w:top w:val="nil"/>
              <w:left w:val="nil"/>
              <w:bottom w:val="nil"/>
              <w:right w:val="nil"/>
            </w:tcBorders>
            <w:hideMark/>
          </w:tcPr>
          <w:p w14:paraId="0372A0C1"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4.3E-08</w:t>
            </w:r>
          </w:p>
        </w:tc>
      </w:tr>
      <w:tr w:rsidR="00D36248" w:rsidRPr="00972C81" w14:paraId="04B7D0B7" w14:textId="77777777" w:rsidTr="0059789F">
        <w:trPr>
          <w:trHeight w:val="340"/>
        </w:trPr>
        <w:tc>
          <w:tcPr>
            <w:tcW w:w="2087" w:type="pct"/>
            <w:tcBorders>
              <w:top w:val="nil"/>
              <w:left w:val="nil"/>
              <w:bottom w:val="nil"/>
              <w:right w:val="nil"/>
            </w:tcBorders>
            <w:hideMark/>
          </w:tcPr>
          <w:p w14:paraId="5BBF783E" w14:textId="77777777" w:rsidR="00D36248" w:rsidRPr="00C47F2F" w:rsidRDefault="00D36248" w:rsidP="0059789F">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hideMark/>
          </w:tcPr>
          <w:p w14:paraId="5B74C5BA"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1.4E-07</w:t>
            </w:r>
          </w:p>
        </w:tc>
        <w:tc>
          <w:tcPr>
            <w:tcW w:w="485" w:type="pct"/>
            <w:tcBorders>
              <w:top w:val="nil"/>
              <w:left w:val="nil"/>
              <w:bottom w:val="nil"/>
              <w:right w:val="nil"/>
            </w:tcBorders>
            <w:hideMark/>
          </w:tcPr>
          <w:p w14:paraId="29D25D4B"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1.3E-07</w:t>
            </w:r>
          </w:p>
        </w:tc>
        <w:tc>
          <w:tcPr>
            <w:tcW w:w="485" w:type="pct"/>
            <w:tcBorders>
              <w:top w:val="nil"/>
              <w:left w:val="nil"/>
              <w:bottom w:val="nil"/>
              <w:right w:val="nil"/>
            </w:tcBorders>
            <w:hideMark/>
          </w:tcPr>
          <w:p w14:paraId="0651CF3B"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6.6E-08</w:t>
            </w:r>
          </w:p>
        </w:tc>
        <w:tc>
          <w:tcPr>
            <w:tcW w:w="485" w:type="pct"/>
            <w:tcBorders>
              <w:top w:val="nil"/>
              <w:left w:val="nil"/>
              <w:bottom w:val="nil"/>
              <w:right w:val="nil"/>
            </w:tcBorders>
            <w:hideMark/>
          </w:tcPr>
          <w:p w14:paraId="0B87BAC4"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4.4E-08</w:t>
            </w:r>
          </w:p>
        </w:tc>
        <w:tc>
          <w:tcPr>
            <w:tcW w:w="485" w:type="pct"/>
            <w:tcBorders>
              <w:top w:val="nil"/>
              <w:left w:val="nil"/>
              <w:bottom w:val="nil"/>
              <w:right w:val="nil"/>
            </w:tcBorders>
            <w:hideMark/>
          </w:tcPr>
          <w:p w14:paraId="7114AABF"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3.9E-08</w:t>
            </w:r>
          </w:p>
        </w:tc>
        <w:tc>
          <w:tcPr>
            <w:tcW w:w="486" w:type="pct"/>
            <w:tcBorders>
              <w:top w:val="nil"/>
              <w:left w:val="nil"/>
              <w:bottom w:val="nil"/>
              <w:right w:val="nil"/>
            </w:tcBorders>
            <w:hideMark/>
          </w:tcPr>
          <w:p w14:paraId="40E74E68"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3.8E-08</w:t>
            </w:r>
          </w:p>
        </w:tc>
      </w:tr>
      <w:tr w:rsidR="00D36248" w:rsidRPr="00972C81" w14:paraId="7F580F7F" w14:textId="77777777" w:rsidTr="0059789F">
        <w:trPr>
          <w:trHeight w:val="340"/>
        </w:trPr>
        <w:tc>
          <w:tcPr>
            <w:tcW w:w="2087" w:type="pct"/>
            <w:tcBorders>
              <w:top w:val="nil"/>
              <w:left w:val="nil"/>
              <w:bottom w:val="single" w:sz="4" w:space="0" w:color="auto"/>
              <w:right w:val="nil"/>
            </w:tcBorders>
            <w:hideMark/>
          </w:tcPr>
          <w:p w14:paraId="1ACEA34C" w14:textId="77777777" w:rsidR="00D36248" w:rsidRPr="00C47F2F" w:rsidRDefault="00D36248" w:rsidP="0059789F">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485" w:type="pct"/>
            <w:tcBorders>
              <w:top w:val="nil"/>
              <w:left w:val="nil"/>
              <w:bottom w:val="single" w:sz="4" w:space="0" w:color="auto"/>
              <w:right w:val="nil"/>
            </w:tcBorders>
            <w:hideMark/>
          </w:tcPr>
          <w:p w14:paraId="045B5189"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1.7E-07</w:t>
            </w:r>
          </w:p>
        </w:tc>
        <w:tc>
          <w:tcPr>
            <w:tcW w:w="485" w:type="pct"/>
            <w:tcBorders>
              <w:top w:val="nil"/>
              <w:left w:val="nil"/>
              <w:bottom w:val="single" w:sz="4" w:space="0" w:color="auto"/>
              <w:right w:val="nil"/>
            </w:tcBorders>
            <w:hideMark/>
          </w:tcPr>
          <w:p w14:paraId="3E53ADB7"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1.6E-07</w:t>
            </w:r>
          </w:p>
        </w:tc>
        <w:tc>
          <w:tcPr>
            <w:tcW w:w="485" w:type="pct"/>
            <w:tcBorders>
              <w:top w:val="nil"/>
              <w:left w:val="nil"/>
              <w:bottom w:val="single" w:sz="4" w:space="0" w:color="auto"/>
              <w:right w:val="nil"/>
            </w:tcBorders>
            <w:hideMark/>
          </w:tcPr>
          <w:p w14:paraId="2B3C211F"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1.1E-07</w:t>
            </w:r>
          </w:p>
        </w:tc>
        <w:tc>
          <w:tcPr>
            <w:tcW w:w="485" w:type="pct"/>
            <w:tcBorders>
              <w:top w:val="nil"/>
              <w:left w:val="nil"/>
              <w:bottom w:val="single" w:sz="4" w:space="0" w:color="auto"/>
              <w:right w:val="nil"/>
            </w:tcBorders>
            <w:hideMark/>
          </w:tcPr>
          <w:p w14:paraId="3CCF5B5C"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8.4E-08</w:t>
            </w:r>
          </w:p>
        </w:tc>
        <w:tc>
          <w:tcPr>
            <w:tcW w:w="485" w:type="pct"/>
            <w:tcBorders>
              <w:top w:val="nil"/>
              <w:left w:val="nil"/>
              <w:bottom w:val="single" w:sz="4" w:space="0" w:color="auto"/>
              <w:right w:val="nil"/>
            </w:tcBorders>
            <w:hideMark/>
          </w:tcPr>
          <w:p w14:paraId="79F09BA1"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8.2E-08</w:t>
            </w:r>
          </w:p>
        </w:tc>
        <w:tc>
          <w:tcPr>
            <w:tcW w:w="486" w:type="pct"/>
            <w:tcBorders>
              <w:top w:val="nil"/>
              <w:left w:val="nil"/>
              <w:bottom w:val="single" w:sz="4" w:space="0" w:color="auto"/>
              <w:right w:val="nil"/>
            </w:tcBorders>
            <w:hideMark/>
          </w:tcPr>
          <w:p w14:paraId="1E8F6D12"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8.7E-08</w:t>
            </w:r>
          </w:p>
        </w:tc>
      </w:tr>
      <w:tr w:rsidR="00D36248" w:rsidRPr="00972C81" w14:paraId="19C40C39" w14:textId="77777777" w:rsidTr="0059789F">
        <w:trPr>
          <w:trHeight w:val="340"/>
        </w:trPr>
        <w:tc>
          <w:tcPr>
            <w:tcW w:w="2087" w:type="pct"/>
            <w:tcBorders>
              <w:top w:val="single" w:sz="4" w:space="0" w:color="auto"/>
              <w:left w:val="nil"/>
              <w:bottom w:val="single" w:sz="4" w:space="0" w:color="auto"/>
              <w:right w:val="nil"/>
            </w:tcBorders>
          </w:tcPr>
          <w:p w14:paraId="705771AC" w14:textId="77777777" w:rsidR="00D36248" w:rsidRPr="00C47F2F" w:rsidRDefault="00D36248" w:rsidP="00C47F2F">
            <w:pPr>
              <w:jc w:val="left"/>
              <w:rPr>
                <w:rFonts w:eastAsiaTheme="minorHAnsi"/>
                <w:noProof/>
                <w:sz w:val="22"/>
                <w:szCs w:val="22"/>
              </w:rPr>
            </w:pPr>
          </w:p>
          <w:p w14:paraId="65B0BB1C" w14:textId="77777777" w:rsidR="00D36248" w:rsidRPr="00C47F2F" w:rsidRDefault="00D36248"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4807031A"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500EE5CB"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6692856B"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1E15508F"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2C04D00" w14:textId="77777777" w:rsidR="00D36248" w:rsidRPr="00C47F2F" w:rsidRDefault="00D36248"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1656C4AE" w14:textId="77777777" w:rsidR="00D36248" w:rsidRPr="00C47F2F" w:rsidRDefault="00D36248" w:rsidP="00C47F2F">
            <w:pPr>
              <w:jc w:val="left"/>
              <w:rPr>
                <w:rFonts w:eastAsia="Times New Roman"/>
                <w:noProof/>
                <w:color w:val="000000"/>
                <w:sz w:val="22"/>
                <w:szCs w:val="22"/>
              </w:rPr>
            </w:pPr>
          </w:p>
        </w:tc>
      </w:tr>
      <w:tr w:rsidR="00D36248" w:rsidRPr="00972C81" w14:paraId="39E9F9CE" w14:textId="77777777" w:rsidTr="0059789F">
        <w:trPr>
          <w:trHeight w:val="340"/>
        </w:trPr>
        <w:tc>
          <w:tcPr>
            <w:tcW w:w="2087" w:type="pct"/>
            <w:tcBorders>
              <w:top w:val="single" w:sz="4" w:space="0" w:color="auto"/>
              <w:left w:val="nil"/>
              <w:bottom w:val="single" w:sz="4" w:space="0" w:color="auto"/>
              <w:right w:val="nil"/>
            </w:tcBorders>
            <w:vAlign w:val="center"/>
            <w:hideMark/>
          </w:tcPr>
          <w:p w14:paraId="1115A55A" w14:textId="325AC209" w:rsidR="00D36248" w:rsidRPr="00C47F2F" w:rsidRDefault="00D36248" w:rsidP="0059789F">
            <w:pPr>
              <w:jc w:val="left"/>
              <w:rPr>
                <w:rFonts w:eastAsiaTheme="minorHAnsi"/>
                <w:noProof/>
                <w:sz w:val="22"/>
                <w:szCs w:val="22"/>
              </w:rPr>
            </w:pPr>
            <w:r w:rsidRPr="00C47F2F">
              <w:rPr>
                <w:rFonts w:eastAsia="Times New Roman"/>
                <w:noProof/>
                <w:color w:val="000000"/>
                <w:sz w:val="22"/>
                <w:szCs w:val="22"/>
                <w:lang w:eastAsia="en-GB"/>
              </w:rPr>
              <w:t>All compounds</w:t>
            </w:r>
          </w:p>
        </w:tc>
        <w:tc>
          <w:tcPr>
            <w:tcW w:w="485" w:type="pct"/>
            <w:tcBorders>
              <w:top w:val="single" w:sz="4" w:space="0" w:color="auto"/>
              <w:left w:val="nil"/>
              <w:bottom w:val="single" w:sz="4" w:space="0" w:color="auto"/>
              <w:right w:val="nil"/>
            </w:tcBorders>
            <w:vAlign w:val="center"/>
            <w:hideMark/>
          </w:tcPr>
          <w:p w14:paraId="06751B7B"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1.1E-08</w:t>
            </w:r>
          </w:p>
        </w:tc>
        <w:tc>
          <w:tcPr>
            <w:tcW w:w="485" w:type="pct"/>
            <w:tcBorders>
              <w:top w:val="single" w:sz="4" w:space="0" w:color="auto"/>
              <w:left w:val="nil"/>
              <w:bottom w:val="single" w:sz="4" w:space="0" w:color="auto"/>
              <w:right w:val="nil"/>
            </w:tcBorders>
            <w:vAlign w:val="center"/>
            <w:hideMark/>
          </w:tcPr>
          <w:p w14:paraId="55ABF07C"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2.7E-09</w:t>
            </w:r>
          </w:p>
        </w:tc>
        <w:tc>
          <w:tcPr>
            <w:tcW w:w="485" w:type="pct"/>
            <w:tcBorders>
              <w:top w:val="single" w:sz="4" w:space="0" w:color="auto"/>
              <w:left w:val="nil"/>
              <w:bottom w:val="single" w:sz="4" w:space="0" w:color="auto"/>
              <w:right w:val="nil"/>
            </w:tcBorders>
            <w:vAlign w:val="center"/>
            <w:hideMark/>
          </w:tcPr>
          <w:p w14:paraId="4035A4BB"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1.5E-09</w:t>
            </w:r>
          </w:p>
        </w:tc>
        <w:tc>
          <w:tcPr>
            <w:tcW w:w="485" w:type="pct"/>
            <w:tcBorders>
              <w:top w:val="single" w:sz="4" w:space="0" w:color="auto"/>
              <w:left w:val="nil"/>
              <w:bottom w:val="single" w:sz="4" w:space="0" w:color="auto"/>
              <w:right w:val="nil"/>
            </w:tcBorders>
            <w:vAlign w:val="center"/>
            <w:hideMark/>
          </w:tcPr>
          <w:p w14:paraId="64FD720C"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1.1E-09</w:t>
            </w:r>
          </w:p>
        </w:tc>
        <w:tc>
          <w:tcPr>
            <w:tcW w:w="485" w:type="pct"/>
            <w:tcBorders>
              <w:top w:val="single" w:sz="4" w:space="0" w:color="auto"/>
              <w:left w:val="nil"/>
              <w:bottom w:val="single" w:sz="4" w:space="0" w:color="auto"/>
              <w:right w:val="nil"/>
            </w:tcBorders>
            <w:vAlign w:val="center"/>
            <w:hideMark/>
          </w:tcPr>
          <w:p w14:paraId="6A0D2793"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7.7E-10</w:t>
            </w:r>
          </w:p>
        </w:tc>
        <w:tc>
          <w:tcPr>
            <w:tcW w:w="486" w:type="pct"/>
            <w:tcBorders>
              <w:top w:val="single" w:sz="4" w:space="0" w:color="auto"/>
              <w:left w:val="nil"/>
              <w:bottom w:val="single" w:sz="4" w:space="0" w:color="auto"/>
              <w:right w:val="nil"/>
            </w:tcBorders>
            <w:vAlign w:val="center"/>
            <w:hideMark/>
          </w:tcPr>
          <w:p w14:paraId="15B41DDA"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7.2E-10</w:t>
            </w:r>
          </w:p>
        </w:tc>
      </w:tr>
    </w:tbl>
    <w:p w14:paraId="42F576CA" w14:textId="77777777" w:rsidR="0059789F" w:rsidRDefault="0059789F">
      <w:pPr>
        <w:widowControl/>
        <w:jc w:val="left"/>
        <w:rPr>
          <w:noProof/>
          <w:szCs w:val="24"/>
        </w:rPr>
      </w:pPr>
      <w:r>
        <w:rPr>
          <w:noProof/>
          <w:szCs w:val="24"/>
        </w:rPr>
        <w:br w:type="page"/>
      </w:r>
    </w:p>
    <w:p w14:paraId="7B4FFBFE" w14:textId="103456E0" w:rsidR="00D36248" w:rsidRPr="00972C81" w:rsidRDefault="00D36248" w:rsidP="00C47F2F">
      <w:pPr>
        <w:widowControl/>
        <w:jc w:val="left"/>
        <w:rPr>
          <w:noProof/>
          <w:szCs w:val="24"/>
        </w:rPr>
      </w:pPr>
      <w:r w:rsidRPr="00972C81">
        <w:rPr>
          <w:noProof/>
          <w:szCs w:val="24"/>
        </w:rPr>
        <w:lastRenderedPageBreak/>
        <w:t>Table 8.5. Committed effective dose coefficients (Sv Bq</w:t>
      </w:r>
      <w:r w:rsidRPr="00972C81">
        <w:rPr>
          <w:noProof/>
          <w:szCs w:val="24"/>
          <w:vertAlign w:val="superscript"/>
        </w:rPr>
        <w:t>-1</w:t>
      </w:r>
      <w:r w:rsidRPr="00972C81">
        <w:rPr>
          <w:noProof/>
          <w:szCs w:val="24"/>
        </w:rPr>
        <w:t xml:space="preserve">) for the inhalation or ingestion of </w:t>
      </w:r>
      <w:r w:rsidRPr="00972C81">
        <w:rPr>
          <w:noProof/>
          <w:szCs w:val="24"/>
          <w:vertAlign w:val="superscript"/>
        </w:rPr>
        <w:t>155</w:t>
      </w:r>
      <w:r w:rsidRPr="00972C81">
        <w:rPr>
          <w:noProof/>
          <w:szCs w:val="24"/>
        </w:rPr>
        <w:t>Eu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D36248" w:rsidRPr="00A3213E" w14:paraId="016A3043" w14:textId="77777777" w:rsidTr="0059789F">
        <w:trPr>
          <w:trHeight w:val="340"/>
        </w:trPr>
        <w:tc>
          <w:tcPr>
            <w:tcW w:w="2087" w:type="pct"/>
            <w:vMerge w:val="restart"/>
            <w:tcBorders>
              <w:top w:val="single" w:sz="4" w:space="0" w:color="auto"/>
              <w:left w:val="nil"/>
              <w:bottom w:val="single" w:sz="4" w:space="0" w:color="auto"/>
              <w:right w:val="nil"/>
            </w:tcBorders>
            <w:vAlign w:val="bottom"/>
            <w:hideMark/>
          </w:tcPr>
          <w:p w14:paraId="63D8E50F" w14:textId="77777777" w:rsidR="00E06DA9" w:rsidRPr="00C47F2F" w:rsidRDefault="00D36248" w:rsidP="00C47F2F">
            <w:pPr>
              <w:pStyle w:val="a5"/>
              <w:tabs>
                <w:tab w:val="clear" w:pos="4153"/>
                <w:tab w:val="clear" w:pos="8306"/>
              </w:tabs>
              <w:jc w:val="left"/>
              <w:rPr>
                <w:noProof/>
                <w:sz w:val="22"/>
                <w:szCs w:val="22"/>
              </w:rPr>
            </w:pPr>
            <w:r w:rsidRPr="00C47F2F">
              <w:rPr>
                <w:noProof/>
                <w:sz w:val="22"/>
                <w:szCs w:val="22"/>
              </w:rPr>
              <w:t>Inhaled particulate materials</w:t>
            </w:r>
          </w:p>
          <w:p w14:paraId="393E9910" w14:textId="5003627A" w:rsidR="00D36248" w:rsidRPr="00E06DA9" w:rsidRDefault="00D36248" w:rsidP="00C47F2F">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3182C91D" w14:textId="77777777" w:rsidR="00D36248" w:rsidRPr="00C47F2F" w:rsidRDefault="00D36248" w:rsidP="0059789F">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D36248" w:rsidRPr="00E06DA9" w14:paraId="0B954DB2" w14:textId="77777777" w:rsidTr="0059789F">
        <w:trPr>
          <w:trHeight w:val="340"/>
        </w:trPr>
        <w:tc>
          <w:tcPr>
            <w:tcW w:w="2087" w:type="pct"/>
            <w:vMerge/>
            <w:tcBorders>
              <w:top w:val="single" w:sz="4" w:space="0" w:color="auto"/>
              <w:left w:val="nil"/>
              <w:bottom w:val="single" w:sz="4" w:space="0" w:color="auto"/>
              <w:right w:val="nil"/>
            </w:tcBorders>
            <w:vAlign w:val="center"/>
            <w:hideMark/>
          </w:tcPr>
          <w:p w14:paraId="61CA1BD5" w14:textId="77777777" w:rsidR="00D36248" w:rsidRPr="00E06DA9" w:rsidRDefault="00D362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219A9BA4" w14:textId="6F31DBEC" w:rsidR="00D36248" w:rsidRPr="00C47F2F" w:rsidRDefault="00D36248" w:rsidP="0059789F">
            <w:pPr>
              <w:jc w:val="left"/>
              <w:rPr>
                <w:noProof/>
                <w:sz w:val="22"/>
                <w:szCs w:val="22"/>
              </w:rPr>
            </w:pPr>
            <w:r w:rsidRPr="00C47F2F">
              <w:rPr>
                <w:noProof/>
                <w:sz w:val="22"/>
                <w:szCs w:val="22"/>
              </w:rPr>
              <w:t>3</w:t>
            </w:r>
            <w:r w:rsidR="00E06DA9">
              <w:rPr>
                <w:rFonts w:hint="eastAsia"/>
                <w:noProof/>
                <w:sz w:val="22"/>
                <w:szCs w:val="22"/>
                <w:lang w:eastAsia="ko-KR"/>
              </w:rPr>
              <w:t xml:space="preserve"> </w:t>
            </w:r>
            <w:r w:rsidRPr="00C47F2F">
              <w:rPr>
                <w:noProof/>
                <w:sz w:val="22"/>
                <w:szCs w:val="22"/>
              </w:rPr>
              <w:t>m</w:t>
            </w:r>
            <w:r w:rsidR="0059789F">
              <w:rPr>
                <w:noProof/>
                <w:sz w:val="22"/>
                <w:szCs w:val="22"/>
              </w:rPr>
              <w:t>o</w:t>
            </w:r>
          </w:p>
        </w:tc>
        <w:tc>
          <w:tcPr>
            <w:tcW w:w="485" w:type="pct"/>
            <w:tcBorders>
              <w:top w:val="single" w:sz="4" w:space="0" w:color="auto"/>
              <w:left w:val="nil"/>
              <w:bottom w:val="single" w:sz="4" w:space="0" w:color="auto"/>
              <w:right w:val="nil"/>
            </w:tcBorders>
            <w:vAlign w:val="center"/>
            <w:hideMark/>
          </w:tcPr>
          <w:p w14:paraId="435198AD" w14:textId="6C71686A" w:rsidR="00D36248" w:rsidRPr="00C47F2F" w:rsidRDefault="00D36248" w:rsidP="0059789F">
            <w:pPr>
              <w:jc w:val="left"/>
              <w:rPr>
                <w:noProof/>
                <w:sz w:val="22"/>
                <w:szCs w:val="22"/>
              </w:rPr>
            </w:pPr>
            <w:r w:rsidRPr="00C47F2F">
              <w:rPr>
                <w:noProof/>
                <w:sz w:val="22"/>
                <w:szCs w:val="22"/>
              </w:rPr>
              <w:t>1</w:t>
            </w:r>
            <w:r w:rsidR="00E06DA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2C5B043C" w14:textId="083BD01F" w:rsidR="00D36248" w:rsidRPr="00C47F2F" w:rsidRDefault="00D36248" w:rsidP="0059789F">
            <w:pPr>
              <w:jc w:val="left"/>
              <w:rPr>
                <w:noProof/>
                <w:sz w:val="22"/>
                <w:szCs w:val="22"/>
              </w:rPr>
            </w:pPr>
            <w:r w:rsidRPr="00C47F2F">
              <w:rPr>
                <w:noProof/>
                <w:sz w:val="22"/>
                <w:szCs w:val="22"/>
              </w:rPr>
              <w:t>5</w:t>
            </w:r>
            <w:r w:rsidR="00E06DA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ABE2E0A" w14:textId="0357FB7B" w:rsidR="00D36248" w:rsidRPr="00C47F2F" w:rsidRDefault="00D36248" w:rsidP="0059789F">
            <w:pPr>
              <w:jc w:val="left"/>
              <w:rPr>
                <w:noProof/>
                <w:sz w:val="22"/>
                <w:szCs w:val="22"/>
              </w:rPr>
            </w:pPr>
            <w:r w:rsidRPr="00C47F2F">
              <w:rPr>
                <w:noProof/>
                <w:sz w:val="22"/>
                <w:szCs w:val="22"/>
              </w:rPr>
              <w:t>10</w:t>
            </w:r>
            <w:r w:rsidR="00E06DA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2CF910F9" w14:textId="7B42F59B" w:rsidR="00D36248" w:rsidRPr="00C47F2F" w:rsidRDefault="00D36248" w:rsidP="0059789F">
            <w:pPr>
              <w:jc w:val="left"/>
              <w:rPr>
                <w:noProof/>
                <w:sz w:val="22"/>
                <w:szCs w:val="22"/>
              </w:rPr>
            </w:pPr>
            <w:r w:rsidRPr="00C47F2F">
              <w:rPr>
                <w:noProof/>
                <w:sz w:val="22"/>
                <w:szCs w:val="22"/>
              </w:rPr>
              <w:t>15</w:t>
            </w:r>
            <w:r w:rsidR="00E06DA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6A0CE40A" w14:textId="77777777" w:rsidR="00D36248" w:rsidRPr="00C47F2F" w:rsidRDefault="00D36248" w:rsidP="0059789F">
            <w:pPr>
              <w:jc w:val="left"/>
              <w:rPr>
                <w:noProof/>
                <w:sz w:val="22"/>
                <w:szCs w:val="22"/>
              </w:rPr>
            </w:pPr>
            <w:r w:rsidRPr="00C47F2F">
              <w:rPr>
                <w:noProof/>
                <w:sz w:val="22"/>
                <w:szCs w:val="22"/>
              </w:rPr>
              <w:t>Adult</w:t>
            </w:r>
          </w:p>
        </w:tc>
      </w:tr>
      <w:tr w:rsidR="00D36248" w:rsidRPr="00E06DA9" w14:paraId="41E39CAA" w14:textId="77777777" w:rsidTr="0059789F">
        <w:trPr>
          <w:trHeight w:val="340"/>
        </w:trPr>
        <w:tc>
          <w:tcPr>
            <w:tcW w:w="2087" w:type="pct"/>
            <w:tcBorders>
              <w:top w:val="single" w:sz="4" w:space="0" w:color="auto"/>
              <w:left w:val="nil"/>
              <w:bottom w:val="nil"/>
              <w:right w:val="nil"/>
            </w:tcBorders>
            <w:hideMark/>
          </w:tcPr>
          <w:p w14:paraId="79D25504" w14:textId="77777777" w:rsidR="00D36248" w:rsidRPr="00C47F2F" w:rsidRDefault="00D36248" w:rsidP="0059789F">
            <w:pPr>
              <w:jc w:val="left"/>
              <w:rPr>
                <w:noProof/>
                <w:sz w:val="22"/>
                <w:szCs w:val="22"/>
              </w:rPr>
            </w:pPr>
            <w:r w:rsidRPr="00C47F2F">
              <w:rPr>
                <w:rFonts w:eastAsia="Times New Roman"/>
                <w:noProof/>
                <w:color w:val="000000"/>
                <w:sz w:val="22"/>
                <w:szCs w:val="22"/>
              </w:rPr>
              <w:t>Water soluble forms, including chloride and citrate</w:t>
            </w:r>
          </w:p>
        </w:tc>
        <w:tc>
          <w:tcPr>
            <w:tcW w:w="485" w:type="pct"/>
            <w:tcBorders>
              <w:top w:val="single" w:sz="4" w:space="0" w:color="auto"/>
              <w:left w:val="nil"/>
              <w:bottom w:val="nil"/>
              <w:right w:val="nil"/>
            </w:tcBorders>
            <w:hideMark/>
          </w:tcPr>
          <w:p w14:paraId="151472DE"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2.0E-08</w:t>
            </w:r>
          </w:p>
        </w:tc>
        <w:tc>
          <w:tcPr>
            <w:tcW w:w="485" w:type="pct"/>
            <w:tcBorders>
              <w:top w:val="single" w:sz="4" w:space="0" w:color="auto"/>
              <w:left w:val="nil"/>
              <w:bottom w:val="nil"/>
              <w:right w:val="nil"/>
            </w:tcBorders>
            <w:hideMark/>
          </w:tcPr>
          <w:p w14:paraId="4C875E3A"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1.7E-08</w:t>
            </w:r>
          </w:p>
        </w:tc>
        <w:tc>
          <w:tcPr>
            <w:tcW w:w="485" w:type="pct"/>
            <w:tcBorders>
              <w:top w:val="single" w:sz="4" w:space="0" w:color="auto"/>
              <w:left w:val="nil"/>
              <w:bottom w:val="nil"/>
              <w:right w:val="nil"/>
            </w:tcBorders>
            <w:hideMark/>
          </w:tcPr>
          <w:p w14:paraId="0036BE07"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8.3E-09</w:t>
            </w:r>
          </w:p>
        </w:tc>
        <w:tc>
          <w:tcPr>
            <w:tcW w:w="485" w:type="pct"/>
            <w:tcBorders>
              <w:top w:val="single" w:sz="4" w:space="0" w:color="auto"/>
              <w:left w:val="nil"/>
              <w:bottom w:val="nil"/>
              <w:right w:val="nil"/>
            </w:tcBorders>
            <w:hideMark/>
          </w:tcPr>
          <w:p w14:paraId="4F24B5AF"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5.0E-09</w:t>
            </w:r>
          </w:p>
        </w:tc>
        <w:tc>
          <w:tcPr>
            <w:tcW w:w="485" w:type="pct"/>
            <w:tcBorders>
              <w:top w:val="single" w:sz="4" w:space="0" w:color="auto"/>
              <w:left w:val="nil"/>
              <w:bottom w:val="nil"/>
              <w:right w:val="nil"/>
            </w:tcBorders>
            <w:hideMark/>
          </w:tcPr>
          <w:p w14:paraId="4E5ADBAF"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4.2E-09</w:t>
            </w:r>
          </w:p>
        </w:tc>
        <w:tc>
          <w:tcPr>
            <w:tcW w:w="485" w:type="pct"/>
            <w:tcBorders>
              <w:top w:val="single" w:sz="4" w:space="0" w:color="auto"/>
              <w:left w:val="nil"/>
              <w:bottom w:val="nil"/>
              <w:right w:val="nil"/>
            </w:tcBorders>
            <w:hideMark/>
          </w:tcPr>
          <w:p w14:paraId="0EAA9A06"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3.9E-09</w:t>
            </w:r>
          </w:p>
        </w:tc>
      </w:tr>
      <w:tr w:rsidR="00D36248" w:rsidRPr="00E06DA9" w14:paraId="5BC31D30" w14:textId="77777777" w:rsidTr="0059789F">
        <w:trPr>
          <w:trHeight w:val="340"/>
        </w:trPr>
        <w:tc>
          <w:tcPr>
            <w:tcW w:w="2087" w:type="pct"/>
            <w:tcBorders>
              <w:top w:val="nil"/>
              <w:left w:val="nil"/>
              <w:bottom w:val="nil"/>
              <w:right w:val="nil"/>
            </w:tcBorders>
            <w:hideMark/>
          </w:tcPr>
          <w:p w14:paraId="53FE0058"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Dioxide</w:t>
            </w:r>
          </w:p>
        </w:tc>
        <w:tc>
          <w:tcPr>
            <w:tcW w:w="485" w:type="pct"/>
            <w:tcBorders>
              <w:top w:val="nil"/>
              <w:left w:val="nil"/>
              <w:bottom w:val="nil"/>
              <w:right w:val="nil"/>
            </w:tcBorders>
            <w:hideMark/>
          </w:tcPr>
          <w:p w14:paraId="526020F6"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1.8E-08</w:t>
            </w:r>
          </w:p>
        </w:tc>
        <w:tc>
          <w:tcPr>
            <w:tcW w:w="485" w:type="pct"/>
            <w:tcBorders>
              <w:top w:val="nil"/>
              <w:left w:val="nil"/>
              <w:bottom w:val="nil"/>
              <w:right w:val="nil"/>
            </w:tcBorders>
            <w:hideMark/>
          </w:tcPr>
          <w:p w14:paraId="4CDD53E9"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1.7E-08</w:t>
            </w:r>
          </w:p>
        </w:tc>
        <w:tc>
          <w:tcPr>
            <w:tcW w:w="485" w:type="pct"/>
            <w:tcBorders>
              <w:top w:val="nil"/>
              <w:left w:val="nil"/>
              <w:bottom w:val="nil"/>
              <w:right w:val="nil"/>
            </w:tcBorders>
            <w:hideMark/>
          </w:tcPr>
          <w:p w14:paraId="61E8E39D"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9.4E-09</w:t>
            </w:r>
          </w:p>
        </w:tc>
        <w:tc>
          <w:tcPr>
            <w:tcW w:w="485" w:type="pct"/>
            <w:tcBorders>
              <w:top w:val="nil"/>
              <w:left w:val="nil"/>
              <w:bottom w:val="nil"/>
              <w:right w:val="nil"/>
            </w:tcBorders>
            <w:hideMark/>
          </w:tcPr>
          <w:p w14:paraId="3E70F34C"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6.1E-09</w:t>
            </w:r>
          </w:p>
        </w:tc>
        <w:tc>
          <w:tcPr>
            <w:tcW w:w="485" w:type="pct"/>
            <w:tcBorders>
              <w:top w:val="nil"/>
              <w:left w:val="nil"/>
              <w:bottom w:val="nil"/>
              <w:right w:val="nil"/>
            </w:tcBorders>
            <w:hideMark/>
          </w:tcPr>
          <w:p w14:paraId="0E328EB8"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5.0E-09</w:t>
            </w:r>
          </w:p>
        </w:tc>
        <w:tc>
          <w:tcPr>
            <w:tcW w:w="485" w:type="pct"/>
            <w:tcBorders>
              <w:top w:val="nil"/>
              <w:left w:val="nil"/>
              <w:bottom w:val="nil"/>
              <w:right w:val="nil"/>
            </w:tcBorders>
            <w:hideMark/>
          </w:tcPr>
          <w:p w14:paraId="4499CFBB"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4.9E-09</w:t>
            </w:r>
          </w:p>
        </w:tc>
      </w:tr>
      <w:tr w:rsidR="00D36248" w:rsidRPr="00E06DA9" w14:paraId="6520B2AE" w14:textId="77777777" w:rsidTr="0059789F">
        <w:trPr>
          <w:trHeight w:val="340"/>
        </w:trPr>
        <w:tc>
          <w:tcPr>
            <w:tcW w:w="2087" w:type="pct"/>
            <w:tcBorders>
              <w:top w:val="nil"/>
              <w:left w:val="nil"/>
              <w:bottom w:val="nil"/>
              <w:right w:val="nil"/>
            </w:tcBorders>
            <w:hideMark/>
          </w:tcPr>
          <w:p w14:paraId="674395A0" w14:textId="77777777" w:rsidR="00D36248" w:rsidRPr="00C47F2F" w:rsidRDefault="00D36248" w:rsidP="0059789F">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26CFF724"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2.3E-08</w:t>
            </w:r>
          </w:p>
        </w:tc>
        <w:tc>
          <w:tcPr>
            <w:tcW w:w="485" w:type="pct"/>
            <w:tcBorders>
              <w:top w:val="nil"/>
              <w:left w:val="nil"/>
              <w:bottom w:val="nil"/>
              <w:right w:val="nil"/>
            </w:tcBorders>
            <w:hideMark/>
          </w:tcPr>
          <w:p w14:paraId="1348D5A8"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1.9E-08</w:t>
            </w:r>
          </w:p>
        </w:tc>
        <w:tc>
          <w:tcPr>
            <w:tcW w:w="485" w:type="pct"/>
            <w:tcBorders>
              <w:top w:val="nil"/>
              <w:left w:val="nil"/>
              <w:bottom w:val="nil"/>
              <w:right w:val="nil"/>
            </w:tcBorders>
            <w:hideMark/>
          </w:tcPr>
          <w:p w14:paraId="6C393CA2"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7.7E-09</w:t>
            </w:r>
          </w:p>
        </w:tc>
        <w:tc>
          <w:tcPr>
            <w:tcW w:w="485" w:type="pct"/>
            <w:tcBorders>
              <w:top w:val="nil"/>
              <w:left w:val="nil"/>
              <w:bottom w:val="nil"/>
              <w:right w:val="nil"/>
            </w:tcBorders>
            <w:hideMark/>
          </w:tcPr>
          <w:p w14:paraId="6AD8124D"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4.4E-09</w:t>
            </w:r>
          </w:p>
        </w:tc>
        <w:tc>
          <w:tcPr>
            <w:tcW w:w="485" w:type="pct"/>
            <w:tcBorders>
              <w:top w:val="nil"/>
              <w:left w:val="nil"/>
              <w:bottom w:val="nil"/>
              <w:right w:val="nil"/>
            </w:tcBorders>
            <w:hideMark/>
          </w:tcPr>
          <w:p w14:paraId="7E43131F"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3.8E-09</w:t>
            </w:r>
          </w:p>
        </w:tc>
        <w:tc>
          <w:tcPr>
            <w:tcW w:w="485" w:type="pct"/>
            <w:tcBorders>
              <w:top w:val="nil"/>
              <w:left w:val="nil"/>
              <w:bottom w:val="nil"/>
              <w:right w:val="nil"/>
            </w:tcBorders>
            <w:hideMark/>
          </w:tcPr>
          <w:p w14:paraId="6E4195E7"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3.4E-09</w:t>
            </w:r>
          </w:p>
        </w:tc>
      </w:tr>
      <w:tr w:rsidR="00D36248" w:rsidRPr="00E06DA9" w14:paraId="48C5334B" w14:textId="77777777" w:rsidTr="0059789F">
        <w:trPr>
          <w:trHeight w:val="340"/>
        </w:trPr>
        <w:tc>
          <w:tcPr>
            <w:tcW w:w="2087" w:type="pct"/>
            <w:tcBorders>
              <w:top w:val="nil"/>
              <w:left w:val="nil"/>
              <w:bottom w:val="nil"/>
              <w:right w:val="nil"/>
            </w:tcBorders>
            <w:hideMark/>
          </w:tcPr>
          <w:p w14:paraId="3273AF7A" w14:textId="77777777" w:rsidR="00D36248" w:rsidRPr="00C47F2F" w:rsidRDefault="00D36248" w:rsidP="0059789F">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hideMark/>
          </w:tcPr>
          <w:p w14:paraId="1B1FB53D"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1.9E-08</w:t>
            </w:r>
          </w:p>
        </w:tc>
        <w:tc>
          <w:tcPr>
            <w:tcW w:w="485" w:type="pct"/>
            <w:tcBorders>
              <w:top w:val="nil"/>
              <w:left w:val="nil"/>
              <w:bottom w:val="nil"/>
              <w:right w:val="nil"/>
            </w:tcBorders>
            <w:hideMark/>
          </w:tcPr>
          <w:p w14:paraId="2A789770"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1.6E-08</w:t>
            </w:r>
          </w:p>
        </w:tc>
        <w:tc>
          <w:tcPr>
            <w:tcW w:w="485" w:type="pct"/>
            <w:tcBorders>
              <w:top w:val="nil"/>
              <w:left w:val="nil"/>
              <w:bottom w:val="nil"/>
              <w:right w:val="nil"/>
            </w:tcBorders>
            <w:hideMark/>
          </w:tcPr>
          <w:p w14:paraId="6F5678F4"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7.6E-09</w:t>
            </w:r>
          </w:p>
        </w:tc>
        <w:tc>
          <w:tcPr>
            <w:tcW w:w="485" w:type="pct"/>
            <w:tcBorders>
              <w:top w:val="nil"/>
              <w:left w:val="nil"/>
              <w:bottom w:val="nil"/>
              <w:right w:val="nil"/>
            </w:tcBorders>
            <w:hideMark/>
          </w:tcPr>
          <w:p w14:paraId="636B1D9A"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4.6E-09</w:t>
            </w:r>
          </w:p>
        </w:tc>
        <w:tc>
          <w:tcPr>
            <w:tcW w:w="485" w:type="pct"/>
            <w:tcBorders>
              <w:top w:val="nil"/>
              <w:left w:val="nil"/>
              <w:bottom w:val="nil"/>
              <w:right w:val="nil"/>
            </w:tcBorders>
            <w:hideMark/>
          </w:tcPr>
          <w:p w14:paraId="1F5B8B9E"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3.9E-09</w:t>
            </w:r>
          </w:p>
        </w:tc>
        <w:tc>
          <w:tcPr>
            <w:tcW w:w="485" w:type="pct"/>
            <w:tcBorders>
              <w:top w:val="nil"/>
              <w:left w:val="nil"/>
              <w:bottom w:val="nil"/>
              <w:right w:val="nil"/>
            </w:tcBorders>
            <w:hideMark/>
          </w:tcPr>
          <w:p w14:paraId="1607EABE"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3.6E-09</w:t>
            </w:r>
          </w:p>
        </w:tc>
      </w:tr>
      <w:tr w:rsidR="00D36248" w:rsidRPr="00E06DA9" w14:paraId="564EC630" w14:textId="77777777" w:rsidTr="0059789F">
        <w:trPr>
          <w:trHeight w:val="340"/>
        </w:trPr>
        <w:tc>
          <w:tcPr>
            <w:tcW w:w="2087" w:type="pct"/>
            <w:tcBorders>
              <w:top w:val="nil"/>
              <w:left w:val="nil"/>
              <w:bottom w:val="single" w:sz="4" w:space="0" w:color="auto"/>
              <w:right w:val="nil"/>
            </w:tcBorders>
            <w:hideMark/>
          </w:tcPr>
          <w:p w14:paraId="504DADE5" w14:textId="77777777" w:rsidR="00D36248" w:rsidRPr="00C47F2F" w:rsidRDefault="00D36248" w:rsidP="0059789F">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485" w:type="pct"/>
            <w:tcBorders>
              <w:top w:val="nil"/>
              <w:left w:val="nil"/>
              <w:bottom w:val="single" w:sz="4" w:space="0" w:color="auto"/>
              <w:right w:val="nil"/>
            </w:tcBorders>
            <w:hideMark/>
          </w:tcPr>
          <w:p w14:paraId="4F150860"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2.2E-08</w:t>
            </w:r>
          </w:p>
        </w:tc>
        <w:tc>
          <w:tcPr>
            <w:tcW w:w="485" w:type="pct"/>
            <w:tcBorders>
              <w:top w:val="nil"/>
              <w:left w:val="nil"/>
              <w:bottom w:val="single" w:sz="4" w:space="0" w:color="auto"/>
              <w:right w:val="nil"/>
            </w:tcBorders>
            <w:hideMark/>
          </w:tcPr>
          <w:p w14:paraId="74EF3113"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2.0E-08</w:t>
            </w:r>
          </w:p>
        </w:tc>
        <w:tc>
          <w:tcPr>
            <w:tcW w:w="485" w:type="pct"/>
            <w:tcBorders>
              <w:top w:val="nil"/>
              <w:left w:val="nil"/>
              <w:bottom w:val="single" w:sz="4" w:space="0" w:color="auto"/>
              <w:right w:val="nil"/>
            </w:tcBorders>
            <w:hideMark/>
          </w:tcPr>
          <w:p w14:paraId="173A9CD1"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1.3E-08</w:t>
            </w:r>
          </w:p>
        </w:tc>
        <w:tc>
          <w:tcPr>
            <w:tcW w:w="485" w:type="pct"/>
            <w:tcBorders>
              <w:top w:val="nil"/>
              <w:left w:val="nil"/>
              <w:bottom w:val="single" w:sz="4" w:space="0" w:color="auto"/>
              <w:right w:val="nil"/>
            </w:tcBorders>
            <w:hideMark/>
          </w:tcPr>
          <w:p w14:paraId="3E9EBB98"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8.6E-09</w:t>
            </w:r>
          </w:p>
        </w:tc>
        <w:tc>
          <w:tcPr>
            <w:tcW w:w="485" w:type="pct"/>
            <w:tcBorders>
              <w:top w:val="nil"/>
              <w:left w:val="nil"/>
              <w:bottom w:val="single" w:sz="4" w:space="0" w:color="auto"/>
              <w:right w:val="nil"/>
            </w:tcBorders>
            <w:hideMark/>
          </w:tcPr>
          <w:p w14:paraId="6A8F7C80"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7.4E-09</w:t>
            </w:r>
          </w:p>
        </w:tc>
        <w:tc>
          <w:tcPr>
            <w:tcW w:w="485" w:type="pct"/>
            <w:tcBorders>
              <w:top w:val="nil"/>
              <w:left w:val="nil"/>
              <w:bottom w:val="single" w:sz="4" w:space="0" w:color="auto"/>
              <w:right w:val="nil"/>
            </w:tcBorders>
            <w:hideMark/>
          </w:tcPr>
          <w:p w14:paraId="1DA822E1"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7.6E-09</w:t>
            </w:r>
          </w:p>
        </w:tc>
      </w:tr>
      <w:tr w:rsidR="00D36248" w:rsidRPr="00E06DA9" w14:paraId="0B73AAB7" w14:textId="77777777" w:rsidTr="0059789F">
        <w:trPr>
          <w:trHeight w:val="340"/>
        </w:trPr>
        <w:tc>
          <w:tcPr>
            <w:tcW w:w="2087" w:type="pct"/>
            <w:tcBorders>
              <w:top w:val="single" w:sz="4" w:space="0" w:color="auto"/>
              <w:left w:val="nil"/>
              <w:bottom w:val="single" w:sz="4" w:space="0" w:color="auto"/>
              <w:right w:val="nil"/>
            </w:tcBorders>
          </w:tcPr>
          <w:p w14:paraId="2715FEF9" w14:textId="77777777" w:rsidR="00D36248" w:rsidRPr="00C47F2F" w:rsidRDefault="00D36248" w:rsidP="00C47F2F">
            <w:pPr>
              <w:jc w:val="left"/>
              <w:rPr>
                <w:rFonts w:eastAsiaTheme="minorHAnsi"/>
                <w:noProof/>
                <w:sz w:val="22"/>
                <w:szCs w:val="22"/>
              </w:rPr>
            </w:pPr>
          </w:p>
          <w:p w14:paraId="11E360A4" w14:textId="77777777" w:rsidR="00D36248" w:rsidRPr="00C47F2F" w:rsidRDefault="00D36248"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5AFF204F"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08876167"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CB052B5"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2361BCA0"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778E1BEA"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21D1DF63" w14:textId="77777777" w:rsidR="00D36248" w:rsidRPr="00C47F2F" w:rsidRDefault="00D36248" w:rsidP="00C47F2F">
            <w:pPr>
              <w:jc w:val="left"/>
              <w:rPr>
                <w:rFonts w:eastAsia="Times New Roman"/>
                <w:noProof/>
                <w:color w:val="000000"/>
                <w:sz w:val="22"/>
                <w:szCs w:val="22"/>
              </w:rPr>
            </w:pPr>
          </w:p>
        </w:tc>
      </w:tr>
      <w:tr w:rsidR="00D36248" w:rsidRPr="00E06DA9" w14:paraId="5D7F58CB" w14:textId="77777777" w:rsidTr="0059789F">
        <w:trPr>
          <w:trHeight w:val="340"/>
        </w:trPr>
        <w:tc>
          <w:tcPr>
            <w:tcW w:w="2087" w:type="pct"/>
            <w:tcBorders>
              <w:top w:val="single" w:sz="4" w:space="0" w:color="auto"/>
              <w:left w:val="nil"/>
              <w:bottom w:val="single" w:sz="4" w:space="0" w:color="auto"/>
              <w:right w:val="nil"/>
            </w:tcBorders>
            <w:vAlign w:val="center"/>
            <w:hideMark/>
          </w:tcPr>
          <w:p w14:paraId="6F68E879" w14:textId="2CE5C5AD" w:rsidR="00D36248" w:rsidRPr="00C47F2F" w:rsidRDefault="00D36248" w:rsidP="0059789F">
            <w:pPr>
              <w:jc w:val="left"/>
              <w:rPr>
                <w:rFonts w:eastAsiaTheme="minorHAnsi"/>
                <w:noProof/>
                <w:sz w:val="22"/>
                <w:szCs w:val="22"/>
              </w:rPr>
            </w:pPr>
            <w:r w:rsidRPr="00C47F2F">
              <w:rPr>
                <w:rFonts w:eastAsia="Times New Roman"/>
                <w:noProof/>
                <w:color w:val="000000"/>
                <w:sz w:val="22"/>
                <w:szCs w:val="22"/>
                <w:lang w:eastAsia="en-GB"/>
              </w:rPr>
              <w:t>All compounds</w:t>
            </w:r>
          </w:p>
        </w:tc>
        <w:tc>
          <w:tcPr>
            <w:tcW w:w="485" w:type="pct"/>
            <w:tcBorders>
              <w:top w:val="single" w:sz="4" w:space="0" w:color="auto"/>
              <w:left w:val="nil"/>
              <w:bottom w:val="single" w:sz="4" w:space="0" w:color="auto"/>
              <w:right w:val="nil"/>
            </w:tcBorders>
            <w:vAlign w:val="center"/>
            <w:hideMark/>
          </w:tcPr>
          <w:p w14:paraId="26AB5A6D"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1.1E-09</w:t>
            </w:r>
          </w:p>
        </w:tc>
        <w:tc>
          <w:tcPr>
            <w:tcW w:w="485" w:type="pct"/>
            <w:tcBorders>
              <w:top w:val="single" w:sz="4" w:space="0" w:color="auto"/>
              <w:left w:val="nil"/>
              <w:bottom w:val="single" w:sz="4" w:space="0" w:color="auto"/>
              <w:right w:val="nil"/>
            </w:tcBorders>
            <w:vAlign w:val="center"/>
            <w:hideMark/>
          </w:tcPr>
          <w:p w14:paraId="16B8D3CD"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1.9E-10</w:t>
            </w:r>
          </w:p>
        </w:tc>
        <w:tc>
          <w:tcPr>
            <w:tcW w:w="485" w:type="pct"/>
            <w:tcBorders>
              <w:top w:val="single" w:sz="4" w:space="0" w:color="auto"/>
              <w:left w:val="nil"/>
              <w:bottom w:val="single" w:sz="4" w:space="0" w:color="auto"/>
              <w:right w:val="nil"/>
            </w:tcBorders>
            <w:vAlign w:val="center"/>
            <w:hideMark/>
          </w:tcPr>
          <w:p w14:paraId="4BA22EE5"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9.5E-11</w:t>
            </w:r>
          </w:p>
        </w:tc>
        <w:tc>
          <w:tcPr>
            <w:tcW w:w="485" w:type="pct"/>
            <w:tcBorders>
              <w:top w:val="single" w:sz="4" w:space="0" w:color="auto"/>
              <w:left w:val="nil"/>
              <w:bottom w:val="single" w:sz="4" w:space="0" w:color="auto"/>
              <w:right w:val="nil"/>
            </w:tcBorders>
            <w:vAlign w:val="center"/>
            <w:hideMark/>
          </w:tcPr>
          <w:p w14:paraId="27EDF5B6"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6.5E-11</w:t>
            </w:r>
          </w:p>
        </w:tc>
        <w:tc>
          <w:tcPr>
            <w:tcW w:w="485" w:type="pct"/>
            <w:tcBorders>
              <w:top w:val="single" w:sz="4" w:space="0" w:color="auto"/>
              <w:left w:val="nil"/>
              <w:bottom w:val="single" w:sz="4" w:space="0" w:color="auto"/>
              <w:right w:val="nil"/>
            </w:tcBorders>
            <w:vAlign w:val="center"/>
            <w:hideMark/>
          </w:tcPr>
          <w:p w14:paraId="6EF81DE2"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4.7E-11</w:t>
            </w:r>
          </w:p>
        </w:tc>
        <w:tc>
          <w:tcPr>
            <w:tcW w:w="485" w:type="pct"/>
            <w:tcBorders>
              <w:top w:val="single" w:sz="4" w:space="0" w:color="auto"/>
              <w:left w:val="nil"/>
              <w:bottom w:val="single" w:sz="4" w:space="0" w:color="auto"/>
              <w:right w:val="nil"/>
            </w:tcBorders>
            <w:vAlign w:val="center"/>
            <w:hideMark/>
          </w:tcPr>
          <w:p w14:paraId="3F9F4DFA" w14:textId="77777777" w:rsidR="00D36248" w:rsidRPr="00C47F2F" w:rsidRDefault="00D36248" w:rsidP="0059789F">
            <w:pPr>
              <w:jc w:val="left"/>
              <w:rPr>
                <w:rFonts w:eastAsia="Times New Roman"/>
                <w:noProof/>
                <w:color w:val="000000"/>
                <w:sz w:val="22"/>
                <w:szCs w:val="22"/>
              </w:rPr>
            </w:pPr>
            <w:r w:rsidRPr="00C47F2F">
              <w:rPr>
                <w:rFonts w:eastAsia="Times New Roman"/>
                <w:noProof/>
                <w:color w:val="000000"/>
                <w:sz w:val="22"/>
                <w:szCs w:val="22"/>
              </w:rPr>
              <w:t>4.4E-11</w:t>
            </w:r>
          </w:p>
        </w:tc>
      </w:tr>
    </w:tbl>
    <w:p w14:paraId="4AA01CEA" w14:textId="162B4EDE" w:rsidR="00482C73" w:rsidRPr="00972C81" w:rsidRDefault="00482C73">
      <w:pPr>
        <w:widowControl/>
        <w:jc w:val="left"/>
        <w:rPr>
          <w:noProof/>
        </w:rPr>
      </w:pPr>
      <w:r w:rsidRPr="00972C81">
        <w:rPr>
          <w:noProof/>
        </w:rPr>
        <w:br w:type="page"/>
      </w:r>
    </w:p>
    <w:p w14:paraId="74BF7B45" w14:textId="77777777" w:rsidR="007D1F4D" w:rsidRPr="00972C81" w:rsidRDefault="00DC407D" w:rsidP="00E81109">
      <w:pPr>
        <w:pStyle w:val="1"/>
        <w:rPr>
          <w:noProof/>
        </w:rPr>
      </w:pPr>
      <w:bookmarkStart w:id="138" w:name="_Toc455492605"/>
      <w:bookmarkStart w:id="139" w:name="_Toc455493034"/>
      <w:bookmarkStart w:id="140" w:name="_Toc162630025"/>
      <w:r w:rsidRPr="00972C81">
        <w:rPr>
          <w:noProof/>
        </w:rPr>
        <w:lastRenderedPageBreak/>
        <w:t>Gadolinium (Z = 64)</w:t>
      </w:r>
      <w:bookmarkEnd w:id="138"/>
      <w:bookmarkEnd w:id="139"/>
      <w:bookmarkEnd w:id="140"/>
    </w:p>
    <w:p w14:paraId="36351BBA" w14:textId="7CE7C2CF" w:rsidR="000B33B9" w:rsidRPr="00972C81" w:rsidRDefault="00DC407D" w:rsidP="00E81109">
      <w:pPr>
        <w:pStyle w:val="2"/>
        <w:rPr>
          <w:noProof/>
          <w:lang w:val="en-GB"/>
        </w:rPr>
      </w:pPr>
      <w:bookmarkStart w:id="141" w:name="_Toc17467836"/>
      <w:bookmarkStart w:id="142" w:name="_Toc455492607"/>
      <w:bookmarkStart w:id="143" w:name="_Toc455493036"/>
      <w:bookmarkStart w:id="144" w:name="_Toc162630026"/>
      <w:bookmarkEnd w:id="141"/>
      <w:r w:rsidRPr="00972C81">
        <w:rPr>
          <w:noProof/>
          <w:lang w:val="en-GB"/>
        </w:rPr>
        <w:t>Routes of Intake</w:t>
      </w:r>
      <w:bookmarkEnd w:id="142"/>
      <w:bookmarkEnd w:id="143"/>
      <w:bookmarkEnd w:id="144"/>
    </w:p>
    <w:p w14:paraId="6F74A500" w14:textId="77777777" w:rsidR="000B33B9" w:rsidRPr="00972C81" w:rsidRDefault="00DC407D" w:rsidP="00E81109">
      <w:pPr>
        <w:pStyle w:val="3"/>
        <w:rPr>
          <w:noProof/>
        </w:rPr>
      </w:pPr>
      <w:bookmarkStart w:id="145" w:name="_Toc162630027"/>
      <w:r w:rsidRPr="00972C81">
        <w:rPr>
          <w:noProof/>
        </w:rPr>
        <w:t>Inhalation</w:t>
      </w:r>
      <w:bookmarkEnd w:id="145"/>
    </w:p>
    <w:p w14:paraId="1856A817" w14:textId="16A5162F" w:rsidR="000B33B9" w:rsidRPr="00972C81" w:rsidRDefault="000B33B9" w:rsidP="001C4A92">
      <w:pPr>
        <w:pStyle w:val="Annalstext"/>
        <w:rPr>
          <w:noProof/>
        </w:rPr>
      </w:pPr>
      <w:r w:rsidRPr="00972C81">
        <w:rPr>
          <w:noProof/>
        </w:rPr>
        <w:t xml:space="preserve">Information on absorption from the respiratory tract is available from experimental studies of </w:t>
      </w:r>
      <w:r w:rsidR="00DC407D" w:rsidRPr="00972C81">
        <w:rPr>
          <w:noProof/>
        </w:rPr>
        <w:t>ga</w:t>
      </w:r>
      <w:r w:rsidRPr="00972C81">
        <w:rPr>
          <w:noProof/>
        </w:rPr>
        <w:t xml:space="preserve">dolinium (Gd) as chloride, citrate and oxide, including one volunteer experiment. </w:t>
      </w:r>
      <w:r w:rsidR="008225D3" w:rsidRPr="00972C81">
        <w:rPr>
          <w:noProof/>
        </w:rPr>
        <w:t xml:space="preserve">For details see Section 10 of </w:t>
      </w:r>
      <w:r w:rsidR="008A6E25" w:rsidRPr="00972C81">
        <w:rPr>
          <w:i/>
          <w:noProof/>
        </w:rPr>
        <w:t>Publication 141</w:t>
      </w:r>
      <w:r w:rsidR="008A6E25" w:rsidRPr="00972C81">
        <w:rPr>
          <w:noProof/>
        </w:rPr>
        <w:t xml:space="preserve"> </w:t>
      </w:r>
      <w:r w:rsidR="007A358A" w:rsidRPr="00972C81">
        <w:rPr>
          <w:noProof/>
        </w:rPr>
        <w:fldChar w:fldCharType="begin"/>
      </w:r>
      <w:r w:rsidR="007A358A" w:rsidRPr="00972C81">
        <w:rPr>
          <w:noProof/>
        </w:rPr>
        <w:instrText xml:space="preserve"> ADDIN ZOTERO_ITEM CSL_CITATION {"citationID":"RCGgvvvi","properties":{"formattedCitation":"(ICRP,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7A358A" w:rsidRPr="00972C81">
        <w:rPr>
          <w:noProof/>
        </w:rPr>
        <w:fldChar w:fldCharType="separate"/>
      </w:r>
      <w:r w:rsidR="00BC59C6" w:rsidRPr="00972C81">
        <w:rPr>
          <w:noProof/>
        </w:rPr>
        <w:t>(ICRP, 2019)</w:t>
      </w:r>
      <w:r w:rsidR="007A358A" w:rsidRPr="00972C81">
        <w:rPr>
          <w:noProof/>
        </w:rPr>
        <w:fldChar w:fldCharType="end"/>
      </w:r>
      <w:r w:rsidR="008A6E25" w:rsidRPr="00972C81">
        <w:rPr>
          <w:noProof/>
        </w:rPr>
        <w:t xml:space="preserve">. </w:t>
      </w:r>
      <w:r w:rsidR="00DC407D" w:rsidRPr="00972C81">
        <w:rPr>
          <w:noProof/>
        </w:rPr>
        <w:t xml:space="preserve">Absorption parameter values based on cerium are applied in this document to the other lanthanides. Absorption parameter values and Types, and associated </w:t>
      </w:r>
      <w:r w:rsidR="00DC407D" w:rsidRPr="00972C81">
        <w:rPr>
          <w:i/>
          <w:noProof/>
        </w:rPr>
        <w:t>f</w:t>
      </w:r>
      <w:r w:rsidR="00DC407D" w:rsidRPr="00972C81">
        <w:rPr>
          <w:noProof/>
          <w:vertAlign w:val="subscript"/>
        </w:rPr>
        <w:t>A</w:t>
      </w:r>
      <w:r w:rsidR="00DC407D" w:rsidRPr="00972C81">
        <w:rPr>
          <w:noProof/>
        </w:rPr>
        <w:t xml:space="preserve"> values for particulate forms of lanthanides, including gadolinium, are given in </w:t>
      </w:r>
      <w:r w:rsidR="00B94D6D" w:rsidRPr="00972C81">
        <w:rPr>
          <w:noProof/>
        </w:rPr>
        <w:fldChar w:fldCharType="begin"/>
      </w:r>
      <w:r w:rsidR="00B94D6D" w:rsidRPr="00972C81">
        <w:rPr>
          <w:noProof/>
        </w:rPr>
        <w:instrText xml:space="preserve"> REF _Ref417994983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1</w:t>
      </w:r>
      <w:r w:rsidR="00B94D6D" w:rsidRPr="00972C81">
        <w:rPr>
          <w:noProof/>
        </w:rPr>
        <w:fldChar w:fldCharType="end"/>
      </w:r>
      <w:r w:rsidR="00B94D6D" w:rsidRPr="00972C81">
        <w:rPr>
          <w:noProof/>
        </w:rPr>
        <w:t xml:space="preserve"> and </w:t>
      </w:r>
      <w:r w:rsidR="00B94D6D" w:rsidRPr="00972C81">
        <w:rPr>
          <w:noProof/>
        </w:rPr>
        <w:fldChar w:fldCharType="begin"/>
      </w:r>
      <w:r w:rsidR="00B94D6D" w:rsidRPr="00972C81">
        <w:rPr>
          <w:noProof/>
        </w:rPr>
        <w:instrText xml:space="preserve"> REF _Ref141784472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B94D6D" w:rsidRPr="00972C81">
        <w:rPr>
          <w:noProof/>
        </w:rPr>
        <w:fldChar w:fldCharType="end"/>
      </w:r>
      <w:r w:rsidR="00B94D6D" w:rsidRPr="00972C81">
        <w:rPr>
          <w:noProof/>
        </w:rPr>
        <w:t xml:space="preserve"> </w:t>
      </w:r>
      <w:r w:rsidRPr="00972C81">
        <w:rPr>
          <w:noProof/>
        </w:rPr>
        <w:t xml:space="preserve">of the </w:t>
      </w:r>
      <w:r w:rsidR="00DC407D" w:rsidRPr="00972C81">
        <w:rPr>
          <w:noProof/>
        </w:rPr>
        <w:t xml:space="preserve">lanthanum Section. </w:t>
      </w:r>
    </w:p>
    <w:p w14:paraId="42858EC8" w14:textId="77777777" w:rsidR="00AE7A83" w:rsidRPr="00972C81" w:rsidRDefault="00DC407D" w:rsidP="00E81109">
      <w:pPr>
        <w:pStyle w:val="3"/>
        <w:rPr>
          <w:noProof/>
        </w:rPr>
      </w:pPr>
      <w:bookmarkStart w:id="146" w:name="_Toc162630028"/>
      <w:r w:rsidRPr="00972C81">
        <w:rPr>
          <w:noProof/>
        </w:rPr>
        <w:t>Ingestion</w:t>
      </w:r>
      <w:bookmarkEnd w:id="146"/>
    </w:p>
    <w:p w14:paraId="18C36C65" w14:textId="34D58180" w:rsidR="00F01F1B" w:rsidRPr="00972C81" w:rsidRDefault="00F01F1B" w:rsidP="001C4A92">
      <w:pPr>
        <w:pStyle w:val="Annalstext"/>
        <w:rPr>
          <w:noProof/>
        </w:rPr>
      </w:pPr>
      <w:r w:rsidRPr="00972C81">
        <w:rPr>
          <w:i/>
          <w:noProof/>
        </w:rPr>
        <w:t>Adults</w:t>
      </w:r>
      <w:r w:rsidRPr="00972C81">
        <w:rPr>
          <w:noProof/>
        </w:rPr>
        <w:t xml:space="preserve">. In Section 2 of </w:t>
      </w:r>
      <w:r w:rsidR="008A6E25" w:rsidRPr="00972C81">
        <w:rPr>
          <w:i/>
          <w:noProof/>
        </w:rPr>
        <w:t>Publication 141</w:t>
      </w:r>
      <w:r w:rsidR="008A6E25" w:rsidRPr="00972C81">
        <w:rPr>
          <w:noProof/>
        </w:rPr>
        <w:t xml:space="preserve"> </w:t>
      </w:r>
      <w:r w:rsidR="007A358A" w:rsidRPr="00972C81">
        <w:rPr>
          <w:noProof/>
        </w:rPr>
        <w:fldChar w:fldCharType="begin"/>
      </w:r>
      <w:r w:rsidR="007A358A" w:rsidRPr="00972C81">
        <w:rPr>
          <w:noProof/>
        </w:rPr>
        <w:instrText xml:space="preserve"> ADDIN ZOTERO_ITEM CSL_CITATION {"citationID":"CMrQVckw","properties":{"formattedCitation":"(ICRP,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7A358A" w:rsidRPr="00972C81">
        <w:rPr>
          <w:noProof/>
        </w:rPr>
        <w:fldChar w:fldCharType="separate"/>
      </w:r>
      <w:r w:rsidR="00BC59C6" w:rsidRPr="00972C81">
        <w:rPr>
          <w:noProof/>
        </w:rPr>
        <w:t>(ICRP, 2019)</w:t>
      </w:r>
      <w:r w:rsidR="007A358A" w:rsidRPr="00972C81">
        <w:rPr>
          <w:noProof/>
        </w:rPr>
        <w:fldChar w:fldCharType="end"/>
      </w:r>
      <w:r w:rsidR="008A6E25" w:rsidRPr="00972C81">
        <w:rPr>
          <w:noProof/>
        </w:rPr>
        <w:t>,</w:t>
      </w:r>
      <w:r w:rsidRPr="00972C81">
        <w:rPr>
          <w:noProof/>
        </w:rPr>
        <w:t xml:space="preserve"> information relating to the gastrointestinal absorption of different lanthanide elements was compared. Their fractional absorption was found to be below 10</w:t>
      </w:r>
      <w:r w:rsidRPr="00972C81">
        <w:rPr>
          <w:noProof/>
          <w:vertAlign w:val="superscript"/>
        </w:rPr>
        <w:t>-3</w:t>
      </w:r>
      <w:r w:rsidRPr="00972C81">
        <w:rPr>
          <w:noProof/>
        </w:rPr>
        <w:t xml:space="preserve"> in most cases and a </w:t>
      </w:r>
      <w:r w:rsidRPr="00972C81">
        <w:rPr>
          <w:i/>
          <w:noProof/>
        </w:rPr>
        <w:t>f</w:t>
      </w:r>
      <w:r w:rsidRPr="00972C81">
        <w:rPr>
          <w:noProof/>
          <w:vertAlign w:val="subscript"/>
        </w:rPr>
        <w:t>A</w:t>
      </w:r>
      <w:r w:rsidRPr="00972C81">
        <w:rPr>
          <w:noProof/>
        </w:rPr>
        <w:t xml:space="preserve"> value 5</w:t>
      </w:r>
      <w:r w:rsidR="00067025" w:rsidRPr="00972C81">
        <w:rPr>
          <w:noProof/>
        </w:rPr>
        <w:t xml:space="preserve"> × </w:t>
      </w:r>
      <w:r w:rsidRPr="00972C81">
        <w:rPr>
          <w:noProof/>
        </w:rPr>
        <w:t>10</w:t>
      </w:r>
      <w:r w:rsidRPr="00972C81">
        <w:rPr>
          <w:noProof/>
          <w:vertAlign w:val="superscript"/>
        </w:rPr>
        <w:t>–4</w:t>
      </w:r>
      <w:r w:rsidRPr="00972C81">
        <w:rPr>
          <w:noProof/>
        </w:rPr>
        <w:t xml:space="preserve"> was adopted for all lanthanides as a reasonably representative value based on experimental results. For </w:t>
      </w:r>
      <w:r w:rsidRPr="00972C81">
        <w:rPr>
          <w:noProof/>
          <w:color w:val="000000" w:themeColor="text1"/>
          <w:szCs w:val="24"/>
        </w:rPr>
        <w:t>gadolinium</w:t>
      </w:r>
      <w:r w:rsidRPr="00972C81">
        <w:rPr>
          <w:noProof/>
        </w:rPr>
        <w:t xml:space="preserve">, Section 10 of </w:t>
      </w:r>
      <w:r w:rsidR="008A6E25" w:rsidRPr="00972C81">
        <w:rPr>
          <w:i/>
          <w:noProof/>
        </w:rPr>
        <w:t>Publication 141</w:t>
      </w:r>
      <w:r w:rsidR="008A6E25" w:rsidRPr="00972C81">
        <w:rPr>
          <w:noProof/>
        </w:rPr>
        <w:t xml:space="preserve"> </w:t>
      </w:r>
      <w:r w:rsidRPr="00972C81">
        <w:rPr>
          <w:noProof/>
          <w:color w:val="000000" w:themeColor="text1"/>
          <w:szCs w:val="24"/>
        </w:rPr>
        <w:t>reported results of animal studies showing fractional absorption from 7.6</w:t>
      </w:r>
      <w:r w:rsidR="00067025" w:rsidRPr="00972C81">
        <w:rPr>
          <w:noProof/>
          <w:color w:val="000000" w:themeColor="text1"/>
          <w:szCs w:val="24"/>
        </w:rPr>
        <w:t xml:space="preserve"> × </w:t>
      </w:r>
      <w:r w:rsidRPr="00972C81">
        <w:rPr>
          <w:noProof/>
          <w:color w:val="000000" w:themeColor="text1"/>
          <w:szCs w:val="24"/>
        </w:rPr>
        <w:t>10</w:t>
      </w:r>
      <w:r w:rsidRPr="00972C81">
        <w:rPr>
          <w:noProof/>
          <w:color w:val="000000" w:themeColor="text1"/>
          <w:szCs w:val="24"/>
          <w:vertAlign w:val="superscript"/>
        </w:rPr>
        <w:t>-5</w:t>
      </w:r>
      <w:r w:rsidRPr="00972C81">
        <w:rPr>
          <w:noProof/>
          <w:color w:val="000000" w:themeColor="text1"/>
          <w:szCs w:val="24"/>
        </w:rPr>
        <w:t xml:space="preserve"> to 2</w:t>
      </w:r>
      <w:r w:rsidR="00067025" w:rsidRPr="00972C81">
        <w:rPr>
          <w:noProof/>
          <w:color w:val="000000" w:themeColor="text1"/>
          <w:szCs w:val="24"/>
        </w:rPr>
        <w:t xml:space="preserve"> × </w:t>
      </w:r>
      <w:r w:rsidRPr="00972C81">
        <w:rPr>
          <w:noProof/>
          <w:color w:val="000000" w:themeColor="text1"/>
          <w:szCs w:val="24"/>
        </w:rPr>
        <w:t>10</w:t>
      </w:r>
      <w:r w:rsidRPr="00972C81">
        <w:rPr>
          <w:noProof/>
          <w:color w:val="000000" w:themeColor="text1"/>
          <w:szCs w:val="24"/>
          <w:vertAlign w:val="superscript"/>
        </w:rPr>
        <w:t>-4</w:t>
      </w:r>
      <w:r w:rsidRPr="00972C81">
        <w:rPr>
          <w:noProof/>
          <w:color w:val="000000" w:themeColor="text1"/>
          <w:szCs w:val="24"/>
        </w:rPr>
        <w:t>.</w:t>
      </w:r>
      <w:r w:rsidRPr="00972C81">
        <w:rPr>
          <w:noProof/>
        </w:rPr>
        <w:t xml:space="preserve"> The value of </w:t>
      </w:r>
      <w:r w:rsidRPr="00972C81">
        <w:rPr>
          <w:i/>
          <w:noProof/>
        </w:rPr>
        <w:t>f</w:t>
      </w:r>
      <w:r w:rsidRPr="00972C81">
        <w:rPr>
          <w:noProof/>
          <w:vertAlign w:val="subscript"/>
        </w:rPr>
        <w:t>A</w:t>
      </w:r>
      <w:r w:rsidRPr="00972C81">
        <w:rPr>
          <w:noProof/>
        </w:rPr>
        <w:t xml:space="preserve"> = 5</w:t>
      </w:r>
      <w:r w:rsidR="00067025" w:rsidRPr="00972C81">
        <w:rPr>
          <w:noProof/>
        </w:rPr>
        <w:t xml:space="preserve"> × </w:t>
      </w:r>
      <w:r w:rsidRPr="00972C81">
        <w:rPr>
          <w:noProof/>
        </w:rPr>
        <w:t>10</w:t>
      </w:r>
      <w:r w:rsidRPr="00972C81">
        <w:rPr>
          <w:noProof/>
          <w:vertAlign w:val="superscript"/>
        </w:rPr>
        <w:t>–4</w:t>
      </w:r>
      <w:r w:rsidRPr="00972C81">
        <w:rPr>
          <w:noProof/>
        </w:rPr>
        <w:t xml:space="preserve"> is adopted here for intakes of </w:t>
      </w:r>
      <w:r w:rsidRPr="00972C81">
        <w:rPr>
          <w:noProof/>
          <w:color w:val="000000" w:themeColor="text1"/>
          <w:szCs w:val="24"/>
        </w:rPr>
        <w:t>gadolinium</w:t>
      </w:r>
      <w:r w:rsidRPr="00972C81">
        <w:rPr>
          <w:noProof/>
        </w:rPr>
        <w:t xml:space="preserve"> by adult members of the public.</w:t>
      </w:r>
    </w:p>
    <w:p w14:paraId="6375DDE7" w14:textId="1395094A" w:rsidR="007D1F4D" w:rsidRPr="00972C81" w:rsidRDefault="00F01F1B" w:rsidP="001C4A92">
      <w:pPr>
        <w:pStyle w:val="Annalstext"/>
        <w:rPr>
          <w:noProof/>
        </w:rPr>
      </w:pPr>
      <w:r w:rsidRPr="00972C81">
        <w:rPr>
          <w:i/>
          <w:noProof/>
        </w:rPr>
        <w:t>Children</w:t>
      </w:r>
      <w:r w:rsidRPr="00972C81">
        <w:rPr>
          <w:noProof/>
        </w:rPr>
        <w:t xml:space="preserve">. The age-dependency of </w:t>
      </w:r>
      <w:r w:rsidRPr="00972C81">
        <w:rPr>
          <w:noProof/>
          <w:color w:val="000000" w:themeColor="text1"/>
          <w:szCs w:val="24"/>
        </w:rPr>
        <w:t>gadolinium</w:t>
      </w:r>
      <w:r w:rsidRPr="00972C81">
        <w:rPr>
          <w:noProof/>
        </w:rPr>
        <w:t xml:space="preserve"> absorption was not observed. On the basis of the chemical analogy with cerium, the same values of </w:t>
      </w:r>
      <w:r w:rsidRPr="00972C81">
        <w:rPr>
          <w:i/>
          <w:noProof/>
        </w:rPr>
        <w:t>f</w:t>
      </w:r>
      <w:r w:rsidRPr="00972C81">
        <w:rPr>
          <w:noProof/>
          <w:vertAlign w:val="subscript"/>
        </w:rPr>
        <w:t>A</w:t>
      </w:r>
      <w:r w:rsidRPr="00972C81">
        <w:rPr>
          <w:noProof/>
        </w:rPr>
        <w:t xml:space="preserve"> = 5</w:t>
      </w:r>
      <w:r w:rsidR="00067025" w:rsidRPr="00972C81">
        <w:rPr>
          <w:noProof/>
        </w:rPr>
        <w:t xml:space="preserve"> × </w:t>
      </w:r>
      <w:r w:rsidRPr="00972C81">
        <w:rPr>
          <w:noProof/>
        </w:rPr>
        <w:t>10</w:t>
      </w:r>
      <w:r w:rsidRPr="00972C81">
        <w:rPr>
          <w:noProof/>
          <w:vertAlign w:val="superscript"/>
        </w:rPr>
        <w:t>-3</w:t>
      </w:r>
      <w:r w:rsidRPr="00972C81">
        <w:rPr>
          <w:noProof/>
        </w:rPr>
        <w:t xml:space="preserve"> for 3-month-old infants and 5</w:t>
      </w:r>
      <w:r w:rsidR="00067025" w:rsidRPr="00972C81">
        <w:rPr>
          <w:noProof/>
        </w:rPr>
        <w:t xml:space="preserve"> × </w:t>
      </w:r>
      <w:r w:rsidRPr="00972C81">
        <w:rPr>
          <w:noProof/>
        </w:rPr>
        <w:t>10</w:t>
      </w:r>
      <w:r w:rsidRPr="00972C81">
        <w:rPr>
          <w:noProof/>
          <w:vertAlign w:val="superscript"/>
        </w:rPr>
        <w:t>-4</w:t>
      </w:r>
      <w:r w:rsidRPr="00972C81">
        <w:rPr>
          <w:noProof/>
        </w:rPr>
        <w:t xml:space="preserve"> for children of 1 year and older are adopted here for </w:t>
      </w:r>
      <w:r w:rsidRPr="00972C81">
        <w:rPr>
          <w:noProof/>
          <w:color w:val="000000" w:themeColor="text1"/>
          <w:szCs w:val="24"/>
        </w:rPr>
        <w:t>gadolinium</w:t>
      </w:r>
      <w:r w:rsidRPr="00972C81">
        <w:rPr>
          <w:noProof/>
        </w:rPr>
        <w:t>.</w:t>
      </w:r>
    </w:p>
    <w:p w14:paraId="3BCEC8A0" w14:textId="77777777" w:rsidR="00AE7A83" w:rsidRPr="00972C81" w:rsidRDefault="00AE7A83" w:rsidP="00E81109">
      <w:pPr>
        <w:pStyle w:val="3"/>
        <w:rPr>
          <w:noProof/>
        </w:rPr>
      </w:pPr>
      <w:bookmarkStart w:id="147" w:name="_Toc162630029"/>
      <w:r w:rsidRPr="00972C81">
        <w:rPr>
          <w:noProof/>
        </w:rPr>
        <w:t>Systemic Distribution, Retention and Excretion</w:t>
      </w:r>
      <w:bookmarkEnd w:id="147"/>
    </w:p>
    <w:p w14:paraId="1E700D56" w14:textId="589ED745" w:rsidR="00D322F7" w:rsidRPr="00972C81" w:rsidRDefault="008A6E25" w:rsidP="006703A2">
      <w:pPr>
        <w:pStyle w:val="OIRTitre4"/>
      </w:pPr>
      <w:r w:rsidRPr="00972C81">
        <w:t>Summary of the data</w:t>
      </w:r>
      <w:r w:rsidR="00D322F7" w:rsidRPr="00972C81">
        <w:t>base</w:t>
      </w:r>
    </w:p>
    <w:p w14:paraId="4BBC6EE3" w14:textId="72024308" w:rsidR="00D322F7" w:rsidRPr="00972C81" w:rsidRDefault="00D322F7" w:rsidP="001C4A92">
      <w:pPr>
        <w:pStyle w:val="Annalstext"/>
        <w:rPr>
          <w:noProof/>
        </w:rPr>
      </w:pPr>
      <w:r w:rsidRPr="00972C81">
        <w:rPr>
          <w:noProof/>
        </w:rPr>
        <w:t xml:space="preserve">The biokinetics of </w:t>
      </w:r>
      <w:r w:rsidRPr="00972C81">
        <w:rPr>
          <w:noProof/>
          <w:vertAlign w:val="superscript"/>
        </w:rPr>
        <w:t>153</w:t>
      </w:r>
      <w:r w:rsidRPr="00972C81">
        <w:rPr>
          <w:noProof/>
        </w:rPr>
        <w:t>Gd was studied in human subjects following inhalation and intrave</w:t>
      </w:r>
      <w:r w:rsidR="00E81109" w:rsidRPr="00972C81">
        <w:rPr>
          <w:noProof/>
        </w:rPr>
        <w:t>n</w:t>
      </w:r>
      <w:r w:rsidRPr="00972C81">
        <w:rPr>
          <w:noProof/>
        </w:rPr>
        <w:t xml:space="preserve">ous injection </w:t>
      </w:r>
      <w:r w:rsidR="007A358A" w:rsidRPr="00972C81">
        <w:rPr>
          <w:noProof/>
        </w:rPr>
        <w:fldChar w:fldCharType="begin"/>
      </w:r>
      <w:r w:rsidR="007A358A" w:rsidRPr="00972C81">
        <w:rPr>
          <w:noProof/>
        </w:rPr>
        <w:instrText xml:space="preserve"> ADDIN ZOTERO_ITEM CSL_CITATION {"citationID":"XQGudO28","properties":{"formattedCitation":"(Shutt et al., 2002; Shutt and Etherington, 2003)","plainCitation":"(Shutt et al., 2002; Shutt and Etherington, 2003)","noteIndex":0},"citationItems":[{"id":4846,"uris":["http://zotero.org/groups/2470620/items/93Y2XDHI"],"itemData":{"id":4846,"type":"paper-conference","archive":"Scopus","DOI":"10.1093/annhyg/46.suppl-1.320","event-title":"Annals of Occupational Hygiene","page":"320-322","title":"A study of the human biokinetics of inhaled gadolinium oxide","URL":"https://www.scopus.com/inward/record.uri?eid=2-s2.0-79951818378&amp;doi=10.1093%2fannhyg%2f46.suppl-1.320&amp;partnerID=40&amp;md5=b92f587a6ba40415c16e4343786a597e","volume":"46","author":[{"family":"Shutt","given":"A.L."},{"family":"Youngman","given":"M.J."},{"family":"Raine","given":"C."},{"family":"Stradling","given":"G.N."},{"family":"Etherington","given":"G."},{"family":"Kreyling","given":"W.G."}],"issued":{"date-parts":[["2002"]]}}},{"id":4848,"uris":["http://zotero.org/groups/2470620/items/QNMSKTBM"],"itemData":{"id":4848,"type":"article-newspaper","title":"Private communication","author":[{"family":"Shutt","given":"A.L."},{"family":"Etherington","given":"G."}],"issued":{"date-parts":[["2003"]]}}}],"schema":"https://github.com/citation-style-language/schema/raw/master/csl-citation.json"} </w:instrText>
      </w:r>
      <w:r w:rsidR="007A358A" w:rsidRPr="00972C81">
        <w:rPr>
          <w:noProof/>
        </w:rPr>
        <w:fldChar w:fldCharType="separate"/>
      </w:r>
      <w:r w:rsidR="00BC59C6" w:rsidRPr="00972C81">
        <w:rPr>
          <w:noProof/>
        </w:rPr>
        <w:t>(Shutt et al., 2002; Shutt and Etherington, 2003)</w:t>
      </w:r>
      <w:r w:rsidR="007A358A" w:rsidRPr="00972C81">
        <w:rPr>
          <w:noProof/>
        </w:rPr>
        <w:fldChar w:fldCharType="end"/>
      </w:r>
      <w:r w:rsidRPr="00972C81">
        <w:rPr>
          <w:noProof/>
        </w:rPr>
        <w:t xml:space="preserve">. The early distribution, retention, and excretion are consistent with the observed systemic </w:t>
      </w:r>
      <w:r w:rsidR="00BB503E">
        <w:rPr>
          <w:noProof/>
        </w:rPr>
        <w:t>behaviour</w:t>
      </w:r>
      <w:r w:rsidRPr="00972C81">
        <w:rPr>
          <w:noProof/>
        </w:rPr>
        <w:t xml:space="preserve"> of gadolinium in rats </w:t>
      </w:r>
      <w:r w:rsidR="007A358A" w:rsidRPr="00972C81">
        <w:rPr>
          <w:noProof/>
        </w:rPr>
        <w:fldChar w:fldCharType="begin"/>
      </w:r>
      <w:r w:rsidR="007A358A" w:rsidRPr="00972C81">
        <w:rPr>
          <w:noProof/>
        </w:rPr>
        <w:instrText xml:space="preserve"> ADDIN ZOTERO_ITEM CSL_CITATION {"citationID":"zsh3tVHQ","properties":{"formattedCitation":"(Ando et al., 1989; Durbin, 1959)","plainCitation":"(Ando et al., 1989; Durbin, 1959)","noteIndex":0},"citationItems":[{"id":2345,"uris":["http://zotero.org/groups/2470620/items/G9C65MS5"],"itemData":{"id":2345,"type":"article-journal","archive":"Scopus","container-title":"International Journal of Radiation Applications and Instrumentation.","DOI":"10.1016/0883-2897(89)90216-X","issue":"1","page":"57-80","title":"Relation between the location of elements in the periodic table and various organ-uptake rates","volume":"16","author":[{"family":"Ando","given":"A."},{"family":"Ando","given":"I."},{"family":"Hiraki","given":"T."},{"family":"Hisada","given":"K."}],"issued":{"date-parts":[["1989"]]}}},{"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family","volume":"2","author":[{"family":"Durbin","given":"P.W."}],"issued":{"date-parts":[["1959"]]}}}],"schema":"https://github.com/citation-style-language/schema/raw/master/csl-citation.json"} </w:instrText>
      </w:r>
      <w:r w:rsidR="007A358A" w:rsidRPr="00972C81">
        <w:rPr>
          <w:noProof/>
        </w:rPr>
        <w:fldChar w:fldCharType="separate"/>
      </w:r>
      <w:r w:rsidR="00BC59C6" w:rsidRPr="00972C81">
        <w:rPr>
          <w:noProof/>
        </w:rPr>
        <w:t>(Ando et al., 1989; Durbin, 1959)</w:t>
      </w:r>
      <w:r w:rsidR="007A358A" w:rsidRPr="00972C81">
        <w:rPr>
          <w:noProof/>
        </w:rPr>
        <w:fldChar w:fldCharType="end"/>
      </w:r>
      <w:r w:rsidRPr="00972C81">
        <w:rPr>
          <w:noProof/>
        </w:rPr>
        <w:t>. For example, the human data indicate relatively low uptake by the liver (~15% of the injected amount), relatively high urinary excretion, and relatively low faecal excretion. External measurements indicated that about one-fourth of the injected amount was excreted over the first 3 weeks, and 5</w:t>
      </w:r>
      <w:r w:rsidR="00382A4B" w:rsidRPr="00972C81">
        <w:rPr>
          <w:noProof/>
        </w:rPr>
        <w:t>–</w:t>
      </w:r>
      <w:r w:rsidRPr="00972C81">
        <w:rPr>
          <w:noProof/>
        </w:rPr>
        <w:t>10% was excreted during the next 7</w:t>
      </w:r>
      <w:r w:rsidR="00382A4B" w:rsidRPr="00972C81">
        <w:rPr>
          <w:noProof/>
        </w:rPr>
        <w:t>–</w:t>
      </w:r>
      <w:r w:rsidRPr="00972C81">
        <w:rPr>
          <w:noProof/>
        </w:rPr>
        <w:t xml:space="preserve">8 months. </w:t>
      </w:r>
    </w:p>
    <w:p w14:paraId="183E0EDC" w14:textId="4E934143" w:rsidR="00D322F7" w:rsidRPr="00972C81" w:rsidRDefault="00D322F7" w:rsidP="001C4A92">
      <w:pPr>
        <w:pStyle w:val="Annalstext"/>
        <w:rPr>
          <w:noProof/>
        </w:rPr>
      </w:pPr>
      <w:r w:rsidRPr="00972C81">
        <w:rPr>
          <w:noProof/>
        </w:rPr>
        <w:t xml:space="preserve">Zalikin </w:t>
      </w:r>
      <w:r w:rsidR="007A358A" w:rsidRPr="00972C81">
        <w:rPr>
          <w:noProof/>
        </w:rPr>
        <w:fldChar w:fldCharType="begin"/>
      </w:r>
      <w:r w:rsidR="007A358A" w:rsidRPr="00972C81">
        <w:rPr>
          <w:noProof/>
        </w:rPr>
        <w:instrText xml:space="preserve"> ADDIN ZOTERO_ITEM CSL_CITATION {"citationID":"aHyNFKn3","properties":{"formattedCitation":"(1974)","plainCitation":"(1974)","noteIndex":0},"citationItems":[{"id":4850,"uris":["http://zotero.org/groups/2470620/items/TE6EFTNS"],"itemData":{"id":4850,"type":"article-journal","container-title":"Biological Effects of Radiation from External and Internal Sources. Tranlated in U.S. Atomic Energy Commission Document AEC-tr-7457","page":"288-296","title":"Distribution of gadolinium 153 in the rat organism","author":[{"family":"Zalikin","given":"G. A."}],"issued":{"date-parts":[["1974"]]}},"label":"page","suppress-author":true}],"schema":"https://github.com/citation-style-language/schema/raw/master/csl-citation.json"} </w:instrText>
      </w:r>
      <w:r w:rsidR="007A358A" w:rsidRPr="00972C81">
        <w:rPr>
          <w:noProof/>
        </w:rPr>
        <w:fldChar w:fldCharType="separate"/>
      </w:r>
      <w:r w:rsidR="00BC59C6" w:rsidRPr="00972C81">
        <w:rPr>
          <w:noProof/>
        </w:rPr>
        <w:t>(1974)</w:t>
      </w:r>
      <w:r w:rsidR="007A358A" w:rsidRPr="00972C81">
        <w:rPr>
          <w:noProof/>
        </w:rPr>
        <w:fldChar w:fldCharType="end"/>
      </w:r>
      <w:r w:rsidRPr="00972C81">
        <w:rPr>
          <w:noProof/>
        </w:rPr>
        <w:t xml:space="preserve"> investigated the biokinetics of </w:t>
      </w:r>
      <w:r w:rsidRPr="00972C81">
        <w:rPr>
          <w:noProof/>
          <w:vertAlign w:val="superscript"/>
        </w:rPr>
        <w:t>153</w:t>
      </w:r>
      <w:r w:rsidRPr="00972C81">
        <w:rPr>
          <w:noProof/>
        </w:rPr>
        <w:t>Gd in female rats following intravenous or intratracheal administration. Most of the injected activity accumulated in the liver (~42%) and skeleton (~32%). Liver retention represented about 15% of the administered amount at 8 d and 1.5% at 64 d. The skeleton accumulated activity more slowly than the liver but released the activity much more slowly than the liver. The maximum skeletal content was about 47% of the injected amount at 4 d. The skeletal content declined to about 41% at 64 d and 35% at 256 d. The kidneys contained about 6.5% of the injected amount at 6 h, 4.8% at 1 d, 2.5% at 8 d, 1.6% at 16 d, and 0.5% at 256 d.</w:t>
      </w:r>
    </w:p>
    <w:p w14:paraId="1182656C" w14:textId="77777777" w:rsidR="00D322F7" w:rsidRPr="00972C81" w:rsidRDefault="00D322F7" w:rsidP="001C4A92">
      <w:pPr>
        <w:pStyle w:val="Annalstext"/>
        <w:rPr>
          <w:noProof/>
        </w:rPr>
      </w:pPr>
      <w:r w:rsidRPr="00972C81">
        <w:rPr>
          <w:noProof/>
        </w:rPr>
        <w:t xml:space="preserve">No information was found regarding the effect </w:t>
      </w:r>
      <w:r w:rsidRPr="00972C81">
        <w:rPr>
          <w:rStyle w:val="AnnalstextChar"/>
          <w:noProof/>
        </w:rPr>
        <w:t>of age on the biokinetics</w:t>
      </w:r>
      <w:r w:rsidRPr="00972C81">
        <w:rPr>
          <w:noProof/>
        </w:rPr>
        <w:t xml:space="preserve"> of systemic </w:t>
      </w:r>
      <w:r w:rsidRPr="00972C81">
        <w:rPr>
          <w:rFonts w:ascii="Times Roman" w:eastAsiaTheme="minorHAnsi" w:hAnsi="Times Roman" w:cstheme="minorBidi"/>
          <w:noProof/>
        </w:rPr>
        <w:t>gadolinium</w:t>
      </w:r>
      <w:r w:rsidRPr="00972C81">
        <w:rPr>
          <w:noProof/>
        </w:rPr>
        <w:t xml:space="preserve">. </w:t>
      </w:r>
    </w:p>
    <w:p w14:paraId="52799B6D" w14:textId="77777777" w:rsidR="00D322F7" w:rsidRPr="00972C81" w:rsidRDefault="00D322F7" w:rsidP="00D322F7">
      <w:pPr>
        <w:tabs>
          <w:tab w:val="left" w:pos="851"/>
        </w:tabs>
        <w:adjustRightInd w:val="0"/>
        <w:snapToGrid w:val="0"/>
        <w:spacing w:line="280" w:lineRule="atLeast"/>
        <w:rPr>
          <w:rFonts w:ascii="Times Roman" w:hAnsi="Times Roman"/>
          <w:noProof/>
          <w:color w:val="000000"/>
          <w:szCs w:val="24"/>
          <w:lang w:eastAsia="fr-FR"/>
        </w:rPr>
      </w:pPr>
    </w:p>
    <w:p w14:paraId="1E4C9179" w14:textId="77777777" w:rsidR="00D322F7" w:rsidRPr="00972C81" w:rsidRDefault="00D322F7" w:rsidP="006703A2">
      <w:pPr>
        <w:pStyle w:val="OIRTitre4"/>
      </w:pPr>
      <w:r w:rsidRPr="00972C81">
        <w:lastRenderedPageBreak/>
        <w:t>Systemic model</w:t>
      </w:r>
    </w:p>
    <w:p w14:paraId="08A9930B" w14:textId="5022ECE0" w:rsidR="00D322F7" w:rsidRPr="00972C81" w:rsidRDefault="00D322F7" w:rsidP="001C4A92">
      <w:pPr>
        <w:pStyle w:val="Annalstext"/>
        <w:rPr>
          <w:noProof/>
        </w:rPr>
      </w:pPr>
      <w:r w:rsidRPr="00972C81">
        <w:rPr>
          <w:noProof/>
        </w:rPr>
        <w:t xml:space="preserve">The model structure shown in </w:t>
      </w:r>
      <w:r w:rsidR="007A358A" w:rsidRPr="00972C81">
        <w:rPr>
          <w:noProof/>
        </w:rPr>
        <w:fldChar w:fldCharType="begin"/>
      </w:r>
      <w:r w:rsidR="007A358A" w:rsidRPr="00972C81">
        <w:rPr>
          <w:noProof/>
        </w:rPr>
        <w:instrText xml:space="preserve"> REF _Ref141858180 \h </w:instrText>
      </w:r>
      <w:r w:rsidR="007A358A" w:rsidRPr="00972C81">
        <w:rPr>
          <w:noProof/>
        </w:rPr>
      </w:r>
      <w:r w:rsidR="007A358A" w:rsidRPr="00972C81">
        <w:rPr>
          <w:noProof/>
        </w:rPr>
        <w:fldChar w:fldCharType="separate"/>
      </w:r>
      <w:r w:rsidR="00A41AD1" w:rsidRPr="00A41AD1">
        <w:rPr>
          <w:noProof/>
          <w:szCs w:val="24"/>
        </w:rPr>
        <w:t xml:space="preserve">Fig </w:t>
      </w:r>
      <w:r w:rsidR="00A41AD1">
        <w:rPr>
          <w:noProof/>
          <w:szCs w:val="24"/>
        </w:rPr>
        <w:t>3</w:t>
      </w:r>
      <w:r w:rsidR="00A41AD1" w:rsidRPr="00A41AD1">
        <w:rPr>
          <w:noProof/>
          <w:szCs w:val="24"/>
        </w:rPr>
        <w:t>.</w:t>
      </w:r>
      <w:r w:rsidR="00A41AD1">
        <w:rPr>
          <w:noProof/>
          <w:szCs w:val="24"/>
        </w:rPr>
        <w:t>1</w:t>
      </w:r>
      <w:r w:rsidR="007A358A" w:rsidRPr="00972C81">
        <w:rPr>
          <w:noProof/>
        </w:rPr>
        <w:fldChar w:fldCharType="end"/>
      </w:r>
      <w:r w:rsidRPr="00972C81">
        <w:rPr>
          <w:noProof/>
        </w:rPr>
        <w:t xml:space="preserve"> of the section on cerium is applied in this report to all lanthanide elements.</w:t>
      </w:r>
    </w:p>
    <w:p w14:paraId="3D3F27BB" w14:textId="77777777" w:rsidR="00D322F7" w:rsidRPr="00972C81" w:rsidRDefault="00D322F7" w:rsidP="001C4A92">
      <w:pPr>
        <w:pStyle w:val="Annalstext"/>
        <w:rPr>
          <w:noProof/>
        </w:rPr>
      </w:pPr>
      <w:r w:rsidRPr="00972C81">
        <w:rPr>
          <w:noProof/>
        </w:rPr>
        <w:t>As for all lanthanide elements, the transfer coefficients for gadolinium are based largely on generic parameter values, i.e., parameter values assumed to be invariant across the lanthanide family. The generic parameter values are listed in the section on cerium. The generic parameter values are assumed here to be invariant with age except for the following:</w:t>
      </w:r>
    </w:p>
    <w:p w14:paraId="3AE40ED2" w14:textId="56A889EB" w:rsidR="00D322F7" w:rsidRPr="00972C81" w:rsidRDefault="00D322F7" w:rsidP="00E81109">
      <w:pPr>
        <w:pStyle w:val="a"/>
        <w:rPr>
          <w:noProof/>
        </w:rPr>
      </w:pPr>
      <w:r w:rsidRPr="00972C81">
        <w:rPr>
          <w:noProof/>
          <w:color w:val="000000"/>
        </w:rPr>
        <w:t>The rate of transfer from t</w:t>
      </w:r>
      <w:r w:rsidRPr="00972C81">
        <w:rPr>
          <w:noProof/>
        </w:rPr>
        <w:t xml:space="preserve">rabecular bone surface to trabecular bone volume is assumed to be A times the reference age-specific rate of remodeling of trabecular bone </w:t>
      </w:r>
      <w:r w:rsidR="007A358A" w:rsidRPr="00972C81">
        <w:rPr>
          <w:noProof/>
        </w:rPr>
        <w:fldChar w:fldCharType="begin"/>
      </w:r>
      <w:r w:rsidR="007A358A" w:rsidRPr="00972C81">
        <w:rPr>
          <w:noProof/>
        </w:rPr>
        <w:instrText xml:space="preserve"> ADDIN ZOTERO_ITEM CSL_CITATION {"citationID":"I3kDNjNk","properties":{"formattedCitation":"(ICRP,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7A358A" w:rsidRPr="00972C81">
        <w:rPr>
          <w:noProof/>
        </w:rPr>
        <w:fldChar w:fldCharType="separate"/>
      </w:r>
      <w:r w:rsidR="00BC59C6" w:rsidRPr="00972C81">
        <w:rPr>
          <w:noProof/>
        </w:rPr>
        <w:t>(ICRP, 2002)</w:t>
      </w:r>
      <w:r w:rsidR="007A358A" w:rsidRPr="00972C81">
        <w:rPr>
          <w:noProof/>
        </w:rPr>
        <w:fldChar w:fldCharType="end"/>
      </w:r>
      <w:r w:rsidRPr="00972C81">
        <w:rPr>
          <w:noProof/>
        </w:rPr>
        <w:t>, where A = 0.5 for adults and A = 1 for preadult ages</w:t>
      </w:r>
      <w:r w:rsidR="002B1290">
        <w:rPr>
          <w:noProof/>
        </w:rPr>
        <w:t>.</w:t>
      </w:r>
    </w:p>
    <w:p w14:paraId="5A19589E" w14:textId="748B2DAD" w:rsidR="00D322F7" w:rsidRPr="00972C81" w:rsidRDefault="00D322F7" w:rsidP="00E81109">
      <w:pPr>
        <w:pStyle w:val="a"/>
        <w:rPr>
          <w:noProof/>
        </w:rPr>
      </w:pPr>
      <w:r w:rsidRPr="00972C81">
        <w:rPr>
          <w:noProof/>
          <w:color w:val="000000"/>
        </w:rPr>
        <w:t>The rate of transfer from cortical</w:t>
      </w:r>
      <w:r w:rsidRPr="00972C81">
        <w:rPr>
          <w:noProof/>
        </w:rPr>
        <w:t xml:space="preserve"> bone surface to cortical bone volume is assumed to be 0.5 times the reference age-specific rate of remodeling of cortical bone </w:t>
      </w:r>
      <w:r w:rsidR="007A358A" w:rsidRPr="00972C81">
        <w:rPr>
          <w:noProof/>
        </w:rPr>
        <w:fldChar w:fldCharType="begin"/>
      </w:r>
      <w:r w:rsidR="00FB3F13" w:rsidRPr="00972C81">
        <w:rPr>
          <w:noProof/>
        </w:rPr>
        <w:instrText xml:space="preserve"> ADDIN ZOTERO_ITEM CSL_CITATION {"citationID":"YU8shbn0","properties":{"formattedCitation":"(ICRP,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7A358A" w:rsidRPr="00972C81">
        <w:rPr>
          <w:noProof/>
        </w:rPr>
        <w:fldChar w:fldCharType="separate"/>
      </w:r>
      <w:r w:rsidR="00BC59C6" w:rsidRPr="00972C81">
        <w:rPr>
          <w:noProof/>
        </w:rPr>
        <w:t>(ICRP, 2002)</w:t>
      </w:r>
      <w:r w:rsidR="007A358A" w:rsidRPr="00972C81">
        <w:rPr>
          <w:noProof/>
        </w:rPr>
        <w:fldChar w:fldCharType="end"/>
      </w:r>
      <w:r w:rsidRPr="00972C81">
        <w:rPr>
          <w:noProof/>
        </w:rPr>
        <w:t>, where A = 0.5 for adults and A = 1 for preadult ages</w:t>
      </w:r>
      <w:r w:rsidR="002B1290">
        <w:rPr>
          <w:noProof/>
        </w:rPr>
        <w:t>.</w:t>
      </w:r>
    </w:p>
    <w:p w14:paraId="1969866F" w14:textId="78453892" w:rsidR="00D322F7" w:rsidRPr="00972C81" w:rsidRDefault="00D322F7" w:rsidP="00E81109">
      <w:pPr>
        <w:pStyle w:val="a"/>
        <w:rPr>
          <w:noProof/>
        </w:rPr>
      </w:pPr>
      <w:r w:rsidRPr="00972C81">
        <w:rPr>
          <w:noProof/>
          <w:color w:val="000000"/>
        </w:rPr>
        <w:t>The rate of transfer from t</w:t>
      </w:r>
      <w:r w:rsidRPr="00972C81">
        <w:rPr>
          <w:noProof/>
        </w:rPr>
        <w:t xml:space="preserve">rabecular bone surface or volume to trabecular marrow is assumed to be the reference age-specific rate of remodeling of trabecular bone </w:t>
      </w:r>
      <w:r w:rsidR="007A358A" w:rsidRPr="00972C81">
        <w:rPr>
          <w:noProof/>
        </w:rPr>
        <w:fldChar w:fldCharType="begin"/>
      </w:r>
      <w:r w:rsidR="00FB3F13" w:rsidRPr="00972C81">
        <w:rPr>
          <w:noProof/>
        </w:rPr>
        <w:instrText xml:space="preserve"> ADDIN ZOTERO_ITEM CSL_CITATION {"citationID":"xstxHGAt","properties":{"formattedCitation":"(ICRP,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7A358A" w:rsidRPr="00972C81">
        <w:rPr>
          <w:noProof/>
        </w:rPr>
        <w:fldChar w:fldCharType="separate"/>
      </w:r>
      <w:r w:rsidR="00BC59C6" w:rsidRPr="00972C81">
        <w:rPr>
          <w:noProof/>
        </w:rPr>
        <w:t>(ICRP, 2002)</w:t>
      </w:r>
      <w:r w:rsidR="007A358A" w:rsidRPr="00972C81">
        <w:rPr>
          <w:noProof/>
        </w:rPr>
        <w:fldChar w:fldCharType="end"/>
      </w:r>
      <w:r w:rsidR="007A358A" w:rsidRPr="00972C81">
        <w:rPr>
          <w:noProof/>
        </w:rPr>
        <w:t>.</w:t>
      </w:r>
    </w:p>
    <w:p w14:paraId="00570C6C" w14:textId="12983C3E" w:rsidR="00D322F7" w:rsidRPr="00972C81" w:rsidRDefault="00D322F7" w:rsidP="00E81109">
      <w:pPr>
        <w:pStyle w:val="a"/>
        <w:rPr>
          <w:noProof/>
        </w:rPr>
      </w:pPr>
      <w:r w:rsidRPr="00972C81">
        <w:rPr>
          <w:noProof/>
          <w:color w:val="000000"/>
        </w:rPr>
        <w:t>The rate of transfer from cortical</w:t>
      </w:r>
      <w:r w:rsidRPr="00972C81">
        <w:rPr>
          <w:noProof/>
        </w:rPr>
        <w:t xml:space="preserve"> bone surface or volume to cortical marrow is assumed to be the reference age-specific rate of remodeling of cortical bone </w:t>
      </w:r>
      <w:r w:rsidR="007A358A" w:rsidRPr="00972C81">
        <w:rPr>
          <w:noProof/>
        </w:rPr>
        <w:fldChar w:fldCharType="begin"/>
      </w:r>
      <w:r w:rsidR="00FB3F13" w:rsidRPr="00972C81">
        <w:rPr>
          <w:noProof/>
        </w:rPr>
        <w:instrText xml:space="preserve"> ADDIN ZOTERO_ITEM CSL_CITATION {"citationID":"KPFLh3WL","properties":{"formattedCitation":"(ICRP,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7A358A" w:rsidRPr="00972C81">
        <w:rPr>
          <w:noProof/>
        </w:rPr>
        <w:fldChar w:fldCharType="separate"/>
      </w:r>
      <w:r w:rsidR="00BC59C6" w:rsidRPr="00972C81">
        <w:rPr>
          <w:noProof/>
        </w:rPr>
        <w:t>(ICRP, 2002)</w:t>
      </w:r>
      <w:r w:rsidR="007A358A" w:rsidRPr="00972C81">
        <w:rPr>
          <w:noProof/>
        </w:rPr>
        <w:fldChar w:fldCharType="end"/>
      </w:r>
      <w:r w:rsidR="007A358A" w:rsidRPr="00972C81">
        <w:rPr>
          <w:noProof/>
        </w:rPr>
        <w:t>.</w:t>
      </w:r>
    </w:p>
    <w:p w14:paraId="26843246" w14:textId="77777777" w:rsidR="00D322F7" w:rsidRPr="00972C81" w:rsidRDefault="00D322F7" w:rsidP="00134489">
      <w:pPr>
        <w:rPr>
          <w:noProof/>
        </w:rPr>
      </w:pPr>
    </w:p>
    <w:p w14:paraId="38897342" w14:textId="77777777" w:rsidR="00D322F7" w:rsidRPr="00972C81" w:rsidRDefault="00D322F7" w:rsidP="001C4A92">
      <w:pPr>
        <w:pStyle w:val="Annalstext"/>
        <w:rPr>
          <w:noProof/>
        </w:rPr>
      </w:pPr>
      <w:r w:rsidRPr="00972C81">
        <w:rPr>
          <w:noProof/>
        </w:rPr>
        <w:t>For each lanthanide element, non-generic (element- or group-specific) parameter values are assigned to:</w:t>
      </w:r>
    </w:p>
    <w:p w14:paraId="0C178C50" w14:textId="58EA61CD" w:rsidR="00D322F7" w:rsidRPr="00972C81" w:rsidRDefault="00D322F7" w:rsidP="00E81109">
      <w:pPr>
        <w:pStyle w:val="a"/>
        <w:rPr>
          <w:noProof/>
        </w:rPr>
      </w:pPr>
      <w:r w:rsidRPr="00972C81">
        <w:rPr>
          <w:noProof/>
        </w:rPr>
        <w:t xml:space="preserve">the deposition fractions for liver, bone surface, urinary bladder content, right colon content, and intermediate-term soft tissue compartment (ST1 in </w:t>
      </w:r>
      <w:r w:rsidR="007A358A" w:rsidRPr="00972C81">
        <w:rPr>
          <w:noProof/>
        </w:rPr>
        <w:fldChar w:fldCharType="begin"/>
      </w:r>
      <w:r w:rsidR="007A358A" w:rsidRPr="00972C81">
        <w:rPr>
          <w:noProof/>
        </w:rPr>
        <w:instrText xml:space="preserve"> REF _Ref141858180 \h </w:instrText>
      </w:r>
      <w:r w:rsidR="007A358A" w:rsidRPr="00972C81">
        <w:rPr>
          <w:noProof/>
        </w:rPr>
      </w:r>
      <w:r w:rsidR="007A358A" w:rsidRPr="00972C81">
        <w:rPr>
          <w:noProof/>
        </w:rPr>
        <w:fldChar w:fldCharType="separate"/>
      </w:r>
      <w:r w:rsidR="00A41AD1" w:rsidRPr="00A41AD1">
        <w:rPr>
          <w:noProof/>
        </w:rPr>
        <w:t xml:space="preserve">Fig </w:t>
      </w:r>
      <w:r w:rsidR="00A41AD1">
        <w:rPr>
          <w:noProof/>
        </w:rPr>
        <w:t>3</w:t>
      </w:r>
      <w:r w:rsidR="00A41AD1" w:rsidRPr="00A41AD1">
        <w:rPr>
          <w:noProof/>
        </w:rPr>
        <w:t>.</w:t>
      </w:r>
      <w:r w:rsidR="00A41AD1">
        <w:rPr>
          <w:noProof/>
        </w:rPr>
        <w:t>1</w:t>
      </w:r>
      <w:r w:rsidR="007A358A" w:rsidRPr="00972C81">
        <w:rPr>
          <w:noProof/>
        </w:rPr>
        <w:fldChar w:fldCharType="end"/>
      </w:r>
      <w:r w:rsidRPr="00972C81">
        <w:rPr>
          <w:noProof/>
        </w:rPr>
        <w:t>)</w:t>
      </w:r>
    </w:p>
    <w:p w14:paraId="7E6E8AA9" w14:textId="77777777" w:rsidR="00D322F7" w:rsidRPr="00972C81" w:rsidRDefault="00D322F7" w:rsidP="00E81109">
      <w:pPr>
        <w:pStyle w:val="a"/>
        <w:rPr>
          <w:noProof/>
        </w:rPr>
      </w:pPr>
      <w:r w:rsidRPr="00972C81">
        <w:rPr>
          <w:noProof/>
        </w:rPr>
        <w:t xml:space="preserve">removal half-times from ST1 to blood and from the long-term liver compartment Liver 2 to blood </w:t>
      </w:r>
    </w:p>
    <w:p w14:paraId="71CA7F09" w14:textId="77777777" w:rsidR="00D322F7" w:rsidRPr="00972C81" w:rsidRDefault="00D322F7" w:rsidP="00D322F7">
      <w:pPr>
        <w:tabs>
          <w:tab w:val="left" w:pos="851"/>
        </w:tabs>
        <w:adjustRightInd w:val="0"/>
        <w:snapToGrid w:val="0"/>
        <w:spacing w:line="280" w:lineRule="atLeast"/>
        <w:rPr>
          <w:rFonts w:ascii="Times Roman" w:hAnsi="Times Roman"/>
          <w:noProof/>
          <w:color w:val="000000"/>
          <w:szCs w:val="24"/>
        </w:rPr>
      </w:pPr>
    </w:p>
    <w:p w14:paraId="0078700A" w14:textId="77777777" w:rsidR="00D322F7" w:rsidRPr="00972C81" w:rsidRDefault="00D322F7" w:rsidP="001C4A92">
      <w:pPr>
        <w:pStyle w:val="Annalstext"/>
        <w:rPr>
          <w:noProof/>
        </w:rPr>
      </w:pPr>
      <w:r w:rsidRPr="00972C81">
        <w:rPr>
          <w:noProof/>
        </w:rPr>
        <w:t>Extension of the non-generic parameter values for adults to preadult ages is based on a general pattern of age related systemic biokinetics observed for a number of bone-seeking elements including the lanthanide cerium. That is, the deposition fraction in bone is higher in immature animals than in mature animals and tends to decrease with age from early life to adolescence to adulthood. Also, biokinetic studies of bone-seeking elements show that the rate of turnover of the skeletal deposit is higher in immature than mature animals, presumably due to a faster rate of bone restructuring at younger ages.</w:t>
      </w:r>
    </w:p>
    <w:p w14:paraId="61F4D2E6" w14:textId="2BE84E77" w:rsidR="00D322F7" w:rsidRPr="00972C81" w:rsidRDefault="00D322F7" w:rsidP="001C4A92">
      <w:pPr>
        <w:pStyle w:val="Annalstext"/>
        <w:rPr>
          <w:noProof/>
        </w:rPr>
      </w:pPr>
      <w:r w:rsidRPr="00972C81">
        <w:rPr>
          <w:noProof/>
        </w:rPr>
        <w:t>Based on analogy with the most extensively studied lanthanide cerium, a bone deposition fraction of 0.7 is assigned to ages 100 d and 1 y for all lanthanide elements. For ages 5</w:t>
      </w:r>
      <w:r w:rsidR="00382A4B" w:rsidRPr="00972C81">
        <w:rPr>
          <w:noProof/>
        </w:rPr>
        <w:t>–</w:t>
      </w:r>
      <w:r w:rsidRPr="00972C81">
        <w:rPr>
          <w:noProof/>
        </w:rPr>
        <w:t>15 y, the assigned deposition fraction is a rounded average of the value for the first year of life and the element- or group-dependent bone deposition fraction for adults, which is 0.45 for gadolinium. The deposition fraction 0.55 is assigned to the gadolinium for ages 5</w:t>
      </w:r>
      <w:r w:rsidR="00382A4B" w:rsidRPr="00972C81">
        <w:rPr>
          <w:noProof/>
        </w:rPr>
        <w:t>–</w:t>
      </w:r>
      <w:r w:rsidRPr="00972C81">
        <w:rPr>
          <w:noProof/>
        </w:rPr>
        <w:t xml:space="preserve">15 y. In contrast to the models for relatively light lanthanides, the elevated uptake of gadolinium by the skeleton at preadult ages is not balanced entirely by reducing the deposition fraction assigned to the adult liver, because the latter value for gadolinium (0.15) is too small to accommodate this assumption for the youngest ages. Rather, the increased uptake of gadolinium by bone in preadults is balanced by decreases in the deposition fractions for liver, the intermediate soft-tissue compartment ST1 (~0.15 for gadolinium in adults), and the urinary bladder content (0.2 for gadolinium in adults). The age-adjusted deposition fractions for each age are liberally rounded in view of the sizable uncertainties involved. </w:t>
      </w:r>
    </w:p>
    <w:p w14:paraId="31563F01" w14:textId="0A170466" w:rsidR="008A6E25" w:rsidRPr="00972C81" w:rsidRDefault="00D322F7" w:rsidP="007A358A">
      <w:pPr>
        <w:pStyle w:val="Annalstext"/>
        <w:rPr>
          <w:noProof/>
        </w:rPr>
      </w:pPr>
      <w:r w:rsidRPr="00972C81">
        <w:rPr>
          <w:noProof/>
        </w:rPr>
        <w:lastRenderedPageBreak/>
        <w:t>The non-generic deposition fractions in the model for gadolinium are listed in</w:t>
      </w:r>
      <w:r w:rsidR="007A358A" w:rsidRPr="00972C81">
        <w:rPr>
          <w:noProof/>
        </w:rPr>
        <w:fldChar w:fldCharType="begin"/>
      </w:r>
      <w:r w:rsidR="007A358A" w:rsidRPr="00972C81">
        <w:rPr>
          <w:noProof/>
        </w:rPr>
        <w:instrText xml:space="preserve"> REF _Ref142310676 \h </w:instrText>
      </w:r>
      <w:r w:rsidR="007A358A" w:rsidRPr="00972C81">
        <w:rPr>
          <w:noProof/>
        </w:rPr>
      </w:r>
      <w:r w:rsidR="007A358A" w:rsidRPr="00972C81">
        <w:rPr>
          <w:noProof/>
        </w:rPr>
        <w:fldChar w:fldCharType="separate"/>
      </w:r>
      <w:r w:rsidR="00A41AD1" w:rsidRPr="00972C81">
        <w:rPr>
          <w:noProof/>
        </w:rPr>
        <w:t xml:space="preserve">Table </w:t>
      </w:r>
      <w:r w:rsidR="00A41AD1">
        <w:rPr>
          <w:noProof/>
        </w:rPr>
        <w:t>9</w:t>
      </w:r>
      <w:r w:rsidR="00A41AD1" w:rsidRPr="00972C81">
        <w:rPr>
          <w:noProof/>
        </w:rPr>
        <w:t>.</w:t>
      </w:r>
      <w:r w:rsidR="00A41AD1">
        <w:rPr>
          <w:noProof/>
        </w:rPr>
        <w:t>1</w:t>
      </w:r>
      <w:r w:rsidR="007A358A" w:rsidRPr="00972C81">
        <w:rPr>
          <w:noProof/>
        </w:rPr>
        <w:fldChar w:fldCharType="end"/>
      </w:r>
      <w:r w:rsidRPr="00972C81">
        <w:rPr>
          <w:noProof/>
        </w:rPr>
        <w:t>.</w:t>
      </w:r>
    </w:p>
    <w:p w14:paraId="52A04C47" w14:textId="77777777" w:rsidR="008A6E25" w:rsidRPr="00016E17" w:rsidRDefault="008A6E25" w:rsidP="00E81109">
      <w:pPr>
        <w:pStyle w:val="Annalstext"/>
        <w:numPr>
          <w:ilvl w:val="0"/>
          <w:numId w:val="0"/>
        </w:numPr>
        <w:ind w:left="142"/>
        <w:rPr>
          <w:noProof/>
          <w:szCs w:val="24"/>
        </w:rPr>
      </w:pPr>
    </w:p>
    <w:p w14:paraId="3D293055" w14:textId="7F0EA9B7" w:rsidR="00D322F7" w:rsidRPr="00016E17" w:rsidRDefault="007A358A" w:rsidP="00E81109">
      <w:pPr>
        <w:pStyle w:val="ab"/>
        <w:rPr>
          <w:noProof/>
          <w:sz w:val="24"/>
          <w:szCs w:val="24"/>
        </w:rPr>
      </w:pPr>
      <w:bookmarkStart w:id="148" w:name="_Ref142310676"/>
      <w:r w:rsidRPr="00016E17">
        <w:rPr>
          <w:noProof/>
          <w:sz w:val="24"/>
          <w:szCs w:val="24"/>
        </w:rPr>
        <w:t xml:space="preserve">Table </w:t>
      </w:r>
      <w:r w:rsidR="00EA3750" w:rsidRPr="00016E17">
        <w:rPr>
          <w:noProof/>
          <w:sz w:val="24"/>
          <w:szCs w:val="24"/>
        </w:rPr>
        <w:fldChar w:fldCharType="begin"/>
      </w:r>
      <w:r w:rsidR="00EA3750" w:rsidRPr="00016E17">
        <w:rPr>
          <w:noProof/>
          <w:sz w:val="24"/>
          <w:szCs w:val="24"/>
        </w:rPr>
        <w:instrText xml:space="preserve"> STYLEREF 1 \s </w:instrText>
      </w:r>
      <w:r w:rsidR="00EA3750" w:rsidRPr="00016E17">
        <w:rPr>
          <w:noProof/>
          <w:sz w:val="24"/>
          <w:szCs w:val="24"/>
        </w:rPr>
        <w:fldChar w:fldCharType="separate"/>
      </w:r>
      <w:r w:rsidR="00A41AD1" w:rsidRPr="00016E17">
        <w:rPr>
          <w:noProof/>
          <w:sz w:val="24"/>
          <w:szCs w:val="24"/>
        </w:rPr>
        <w:t>9</w:t>
      </w:r>
      <w:r w:rsidR="00EA3750" w:rsidRPr="00016E17">
        <w:rPr>
          <w:noProof/>
          <w:sz w:val="24"/>
          <w:szCs w:val="24"/>
        </w:rPr>
        <w:fldChar w:fldCharType="end"/>
      </w:r>
      <w:r w:rsidR="00EA3750" w:rsidRPr="00016E17">
        <w:rPr>
          <w:noProof/>
          <w:sz w:val="24"/>
          <w:szCs w:val="24"/>
        </w:rPr>
        <w:t>.</w:t>
      </w:r>
      <w:r w:rsidR="00EA3750" w:rsidRPr="00016E17">
        <w:rPr>
          <w:noProof/>
          <w:sz w:val="24"/>
          <w:szCs w:val="24"/>
        </w:rPr>
        <w:fldChar w:fldCharType="begin"/>
      </w:r>
      <w:r w:rsidR="00EA3750" w:rsidRPr="00016E17">
        <w:rPr>
          <w:noProof/>
          <w:sz w:val="24"/>
          <w:szCs w:val="24"/>
        </w:rPr>
        <w:instrText xml:space="preserve"> SEQ Table \* ARABIC \s 1 </w:instrText>
      </w:r>
      <w:r w:rsidR="00EA3750" w:rsidRPr="00016E17">
        <w:rPr>
          <w:noProof/>
          <w:sz w:val="24"/>
          <w:szCs w:val="24"/>
        </w:rPr>
        <w:fldChar w:fldCharType="separate"/>
      </w:r>
      <w:r w:rsidR="00A41AD1" w:rsidRPr="00016E17">
        <w:rPr>
          <w:noProof/>
          <w:sz w:val="24"/>
          <w:szCs w:val="24"/>
        </w:rPr>
        <w:t>1</w:t>
      </w:r>
      <w:r w:rsidR="00EA3750" w:rsidRPr="00016E17">
        <w:rPr>
          <w:noProof/>
          <w:sz w:val="24"/>
          <w:szCs w:val="24"/>
        </w:rPr>
        <w:fldChar w:fldCharType="end"/>
      </w:r>
      <w:bookmarkEnd w:id="148"/>
      <w:r w:rsidR="008A6E25" w:rsidRPr="00016E17">
        <w:rPr>
          <w:noProof/>
          <w:sz w:val="24"/>
          <w:szCs w:val="24"/>
        </w:rPr>
        <w:t>. Non-generic parameter values for gadolinium.</w:t>
      </w:r>
    </w:p>
    <w:tbl>
      <w:tblPr>
        <w:tblStyle w:val="a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1112"/>
        <w:gridCol w:w="1206"/>
        <w:gridCol w:w="1119"/>
        <w:gridCol w:w="1294"/>
        <w:gridCol w:w="1119"/>
        <w:gridCol w:w="1228"/>
      </w:tblGrid>
      <w:tr w:rsidR="00D322F7" w:rsidRPr="00972C81" w14:paraId="0B9DD039" w14:textId="77777777" w:rsidTr="00D6697B">
        <w:trPr>
          <w:trHeight w:val="340"/>
          <w:jc w:val="center"/>
        </w:trPr>
        <w:tc>
          <w:tcPr>
            <w:tcW w:w="1079" w:type="pct"/>
            <w:tcBorders>
              <w:top w:val="single" w:sz="4" w:space="0" w:color="auto"/>
            </w:tcBorders>
          </w:tcPr>
          <w:p w14:paraId="30CF4BC2" w14:textId="77777777" w:rsidR="00D322F7" w:rsidRPr="00972C81" w:rsidRDefault="00D322F7" w:rsidP="00E81109">
            <w:pPr>
              <w:pStyle w:val="Table"/>
              <w:rPr>
                <w:noProof/>
              </w:rPr>
            </w:pPr>
          </w:p>
        </w:tc>
        <w:tc>
          <w:tcPr>
            <w:tcW w:w="616" w:type="pct"/>
            <w:tcBorders>
              <w:top w:val="single" w:sz="4" w:space="0" w:color="auto"/>
              <w:bottom w:val="single" w:sz="4" w:space="0" w:color="auto"/>
            </w:tcBorders>
            <w:vAlign w:val="center"/>
          </w:tcPr>
          <w:p w14:paraId="1B9A29E5" w14:textId="77777777" w:rsidR="00D322F7" w:rsidRPr="00972C81" w:rsidRDefault="00D322F7" w:rsidP="00016E17">
            <w:pPr>
              <w:pStyle w:val="Table"/>
              <w:rPr>
                <w:noProof/>
              </w:rPr>
            </w:pPr>
            <w:r w:rsidRPr="00972C81">
              <w:rPr>
                <w:noProof/>
              </w:rPr>
              <w:t>100 d</w:t>
            </w:r>
          </w:p>
        </w:tc>
        <w:tc>
          <w:tcPr>
            <w:tcW w:w="668" w:type="pct"/>
            <w:tcBorders>
              <w:top w:val="single" w:sz="4" w:space="0" w:color="auto"/>
              <w:bottom w:val="single" w:sz="4" w:space="0" w:color="auto"/>
            </w:tcBorders>
            <w:vAlign w:val="center"/>
          </w:tcPr>
          <w:p w14:paraId="0445F68F" w14:textId="77777777" w:rsidR="00D322F7" w:rsidRPr="00972C81" w:rsidRDefault="00D322F7" w:rsidP="00016E17">
            <w:pPr>
              <w:pStyle w:val="Table"/>
              <w:rPr>
                <w:noProof/>
              </w:rPr>
            </w:pPr>
            <w:r w:rsidRPr="00972C81">
              <w:rPr>
                <w:noProof/>
              </w:rPr>
              <w:t>1 y</w:t>
            </w:r>
          </w:p>
        </w:tc>
        <w:tc>
          <w:tcPr>
            <w:tcW w:w="620" w:type="pct"/>
            <w:tcBorders>
              <w:top w:val="single" w:sz="4" w:space="0" w:color="auto"/>
              <w:bottom w:val="single" w:sz="4" w:space="0" w:color="auto"/>
            </w:tcBorders>
            <w:vAlign w:val="center"/>
          </w:tcPr>
          <w:p w14:paraId="0B10808D" w14:textId="77777777" w:rsidR="00D322F7" w:rsidRPr="00972C81" w:rsidRDefault="00D322F7" w:rsidP="00016E17">
            <w:pPr>
              <w:pStyle w:val="Table"/>
              <w:rPr>
                <w:noProof/>
              </w:rPr>
            </w:pPr>
            <w:r w:rsidRPr="00972C81">
              <w:rPr>
                <w:noProof/>
              </w:rPr>
              <w:t>5 y</w:t>
            </w:r>
          </w:p>
        </w:tc>
        <w:tc>
          <w:tcPr>
            <w:tcW w:w="717" w:type="pct"/>
            <w:tcBorders>
              <w:top w:val="single" w:sz="4" w:space="0" w:color="auto"/>
              <w:bottom w:val="single" w:sz="4" w:space="0" w:color="auto"/>
            </w:tcBorders>
            <w:vAlign w:val="center"/>
          </w:tcPr>
          <w:p w14:paraId="13206855" w14:textId="77777777" w:rsidR="00D322F7" w:rsidRPr="00972C81" w:rsidRDefault="00D322F7" w:rsidP="00016E17">
            <w:pPr>
              <w:pStyle w:val="Table"/>
              <w:rPr>
                <w:noProof/>
              </w:rPr>
            </w:pPr>
            <w:r w:rsidRPr="00972C81">
              <w:rPr>
                <w:noProof/>
              </w:rPr>
              <w:t>10 y</w:t>
            </w:r>
          </w:p>
        </w:tc>
        <w:tc>
          <w:tcPr>
            <w:tcW w:w="620" w:type="pct"/>
            <w:tcBorders>
              <w:top w:val="single" w:sz="4" w:space="0" w:color="auto"/>
              <w:bottom w:val="single" w:sz="4" w:space="0" w:color="auto"/>
            </w:tcBorders>
            <w:vAlign w:val="center"/>
          </w:tcPr>
          <w:p w14:paraId="5D4F46D0" w14:textId="77777777" w:rsidR="00D322F7" w:rsidRPr="00972C81" w:rsidRDefault="00D322F7" w:rsidP="00016E17">
            <w:pPr>
              <w:pStyle w:val="Table"/>
              <w:rPr>
                <w:noProof/>
              </w:rPr>
            </w:pPr>
            <w:r w:rsidRPr="00972C81">
              <w:rPr>
                <w:noProof/>
              </w:rPr>
              <w:t>15 y</w:t>
            </w:r>
          </w:p>
        </w:tc>
        <w:tc>
          <w:tcPr>
            <w:tcW w:w="681" w:type="pct"/>
            <w:tcBorders>
              <w:top w:val="single" w:sz="4" w:space="0" w:color="auto"/>
              <w:bottom w:val="single" w:sz="4" w:space="0" w:color="auto"/>
            </w:tcBorders>
            <w:vAlign w:val="center"/>
          </w:tcPr>
          <w:p w14:paraId="455C93C5" w14:textId="77777777" w:rsidR="00D322F7" w:rsidRPr="00972C81" w:rsidRDefault="00D322F7" w:rsidP="00016E17">
            <w:pPr>
              <w:pStyle w:val="Table"/>
              <w:rPr>
                <w:noProof/>
              </w:rPr>
            </w:pPr>
            <w:r w:rsidRPr="00972C81">
              <w:rPr>
                <w:noProof/>
              </w:rPr>
              <w:t>Adult</w:t>
            </w:r>
          </w:p>
        </w:tc>
      </w:tr>
      <w:tr w:rsidR="00D322F7" w:rsidRPr="00972C81" w14:paraId="6B086631" w14:textId="77777777" w:rsidTr="00D6697B">
        <w:trPr>
          <w:trHeight w:val="340"/>
          <w:jc w:val="center"/>
        </w:trPr>
        <w:tc>
          <w:tcPr>
            <w:tcW w:w="1079" w:type="pct"/>
            <w:tcBorders>
              <w:bottom w:val="single" w:sz="4" w:space="0" w:color="auto"/>
            </w:tcBorders>
          </w:tcPr>
          <w:p w14:paraId="4049E483" w14:textId="77777777" w:rsidR="00D322F7" w:rsidRPr="00972C81" w:rsidRDefault="00D322F7" w:rsidP="00E81109">
            <w:pPr>
              <w:pStyle w:val="Table"/>
              <w:rPr>
                <w:noProof/>
              </w:rPr>
            </w:pPr>
          </w:p>
        </w:tc>
        <w:tc>
          <w:tcPr>
            <w:tcW w:w="3921" w:type="pct"/>
            <w:gridSpan w:val="6"/>
            <w:tcBorders>
              <w:top w:val="single" w:sz="4" w:space="0" w:color="auto"/>
              <w:bottom w:val="single" w:sz="4" w:space="0" w:color="auto"/>
            </w:tcBorders>
            <w:vAlign w:val="center"/>
          </w:tcPr>
          <w:p w14:paraId="6DD04C34" w14:textId="77777777" w:rsidR="00D322F7" w:rsidRPr="00972C81" w:rsidRDefault="00D322F7" w:rsidP="00016E17">
            <w:pPr>
              <w:pStyle w:val="Table"/>
              <w:jc w:val="center"/>
              <w:rPr>
                <w:noProof/>
              </w:rPr>
            </w:pPr>
            <w:r w:rsidRPr="00972C81">
              <w:rPr>
                <w:noProof/>
              </w:rPr>
              <w:t>Deposition (% of activity leaving the circulation)</w:t>
            </w:r>
          </w:p>
        </w:tc>
      </w:tr>
      <w:tr w:rsidR="00D322F7" w:rsidRPr="00972C81" w14:paraId="367461E5" w14:textId="77777777" w:rsidTr="00016E17">
        <w:trPr>
          <w:trHeight w:val="340"/>
          <w:jc w:val="center"/>
        </w:trPr>
        <w:tc>
          <w:tcPr>
            <w:tcW w:w="1079" w:type="pct"/>
            <w:tcBorders>
              <w:top w:val="single" w:sz="4" w:space="0" w:color="auto"/>
            </w:tcBorders>
            <w:vAlign w:val="center"/>
          </w:tcPr>
          <w:p w14:paraId="3C455705" w14:textId="77777777" w:rsidR="00D322F7" w:rsidRPr="00972C81" w:rsidRDefault="00D322F7" w:rsidP="00016E17">
            <w:pPr>
              <w:pStyle w:val="Table"/>
              <w:rPr>
                <w:noProof/>
              </w:rPr>
            </w:pPr>
            <w:r w:rsidRPr="00972C81">
              <w:rPr>
                <w:noProof/>
              </w:rPr>
              <w:t>Liver</w:t>
            </w:r>
          </w:p>
        </w:tc>
        <w:tc>
          <w:tcPr>
            <w:tcW w:w="616" w:type="pct"/>
            <w:tcBorders>
              <w:top w:val="single" w:sz="4" w:space="0" w:color="auto"/>
            </w:tcBorders>
            <w:vAlign w:val="center"/>
          </w:tcPr>
          <w:p w14:paraId="4B281FFA" w14:textId="77777777" w:rsidR="00D322F7" w:rsidRPr="00972C81" w:rsidRDefault="00D322F7" w:rsidP="00016E17">
            <w:pPr>
              <w:pStyle w:val="Table"/>
              <w:rPr>
                <w:noProof/>
              </w:rPr>
            </w:pPr>
            <w:r w:rsidRPr="00972C81">
              <w:rPr>
                <w:noProof/>
              </w:rPr>
              <w:t>5</w:t>
            </w:r>
          </w:p>
        </w:tc>
        <w:tc>
          <w:tcPr>
            <w:tcW w:w="668" w:type="pct"/>
            <w:tcBorders>
              <w:top w:val="single" w:sz="4" w:space="0" w:color="auto"/>
            </w:tcBorders>
            <w:vAlign w:val="center"/>
          </w:tcPr>
          <w:p w14:paraId="5D5F8665" w14:textId="77777777" w:rsidR="00D322F7" w:rsidRPr="00972C81" w:rsidRDefault="00D322F7" w:rsidP="00016E17">
            <w:pPr>
              <w:pStyle w:val="Table"/>
              <w:rPr>
                <w:noProof/>
              </w:rPr>
            </w:pPr>
            <w:r w:rsidRPr="00972C81">
              <w:rPr>
                <w:noProof/>
              </w:rPr>
              <w:t>5</w:t>
            </w:r>
          </w:p>
        </w:tc>
        <w:tc>
          <w:tcPr>
            <w:tcW w:w="620" w:type="pct"/>
            <w:tcBorders>
              <w:top w:val="single" w:sz="4" w:space="0" w:color="auto"/>
            </w:tcBorders>
            <w:vAlign w:val="center"/>
          </w:tcPr>
          <w:p w14:paraId="34B3C2F5" w14:textId="77777777" w:rsidR="00D322F7" w:rsidRPr="00972C81" w:rsidRDefault="00D322F7" w:rsidP="00016E17">
            <w:pPr>
              <w:pStyle w:val="Table"/>
              <w:rPr>
                <w:noProof/>
              </w:rPr>
            </w:pPr>
            <w:r w:rsidRPr="00972C81">
              <w:rPr>
                <w:noProof/>
              </w:rPr>
              <w:t>10</w:t>
            </w:r>
          </w:p>
        </w:tc>
        <w:tc>
          <w:tcPr>
            <w:tcW w:w="717" w:type="pct"/>
            <w:tcBorders>
              <w:top w:val="single" w:sz="4" w:space="0" w:color="auto"/>
            </w:tcBorders>
            <w:vAlign w:val="center"/>
          </w:tcPr>
          <w:p w14:paraId="6F4B0AEA" w14:textId="77777777" w:rsidR="00D322F7" w:rsidRPr="00972C81" w:rsidRDefault="00D322F7" w:rsidP="00016E17">
            <w:pPr>
              <w:pStyle w:val="Table"/>
              <w:rPr>
                <w:noProof/>
              </w:rPr>
            </w:pPr>
            <w:r w:rsidRPr="00972C81">
              <w:rPr>
                <w:noProof/>
              </w:rPr>
              <w:t>10</w:t>
            </w:r>
          </w:p>
        </w:tc>
        <w:tc>
          <w:tcPr>
            <w:tcW w:w="620" w:type="pct"/>
            <w:tcBorders>
              <w:top w:val="single" w:sz="4" w:space="0" w:color="auto"/>
            </w:tcBorders>
            <w:vAlign w:val="center"/>
          </w:tcPr>
          <w:p w14:paraId="2CEEB203" w14:textId="77777777" w:rsidR="00D322F7" w:rsidRPr="00972C81" w:rsidRDefault="00D322F7" w:rsidP="00016E17">
            <w:pPr>
              <w:pStyle w:val="Table"/>
              <w:rPr>
                <w:noProof/>
              </w:rPr>
            </w:pPr>
            <w:r w:rsidRPr="00972C81">
              <w:rPr>
                <w:noProof/>
              </w:rPr>
              <w:t>10</w:t>
            </w:r>
          </w:p>
        </w:tc>
        <w:tc>
          <w:tcPr>
            <w:tcW w:w="681" w:type="pct"/>
            <w:tcBorders>
              <w:top w:val="single" w:sz="4" w:space="0" w:color="auto"/>
            </w:tcBorders>
            <w:vAlign w:val="center"/>
          </w:tcPr>
          <w:p w14:paraId="5C2FF26F" w14:textId="77777777" w:rsidR="00D322F7" w:rsidRPr="00972C81" w:rsidRDefault="00D322F7" w:rsidP="00016E17">
            <w:pPr>
              <w:pStyle w:val="Table"/>
              <w:rPr>
                <w:noProof/>
              </w:rPr>
            </w:pPr>
            <w:r w:rsidRPr="00972C81">
              <w:rPr>
                <w:noProof/>
              </w:rPr>
              <w:t>15</w:t>
            </w:r>
          </w:p>
        </w:tc>
      </w:tr>
      <w:tr w:rsidR="00D322F7" w:rsidRPr="00972C81" w14:paraId="115D4A5E" w14:textId="77777777" w:rsidTr="00016E17">
        <w:trPr>
          <w:trHeight w:val="340"/>
          <w:jc w:val="center"/>
        </w:trPr>
        <w:tc>
          <w:tcPr>
            <w:tcW w:w="1079" w:type="pct"/>
            <w:vAlign w:val="center"/>
          </w:tcPr>
          <w:p w14:paraId="29DC524E" w14:textId="77777777" w:rsidR="00D322F7" w:rsidRPr="00972C81" w:rsidRDefault="00D322F7" w:rsidP="00016E17">
            <w:pPr>
              <w:pStyle w:val="Table"/>
              <w:rPr>
                <w:noProof/>
              </w:rPr>
            </w:pPr>
            <w:r w:rsidRPr="00972C81">
              <w:rPr>
                <w:noProof/>
              </w:rPr>
              <w:t>Bone</w:t>
            </w:r>
          </w:p>
        </w:tc>
        <w:tc>
          <w:tcPr>
            <w:tcW w:w="616" w:type="pct"/>
            <w:vAlign w:val="center"/>
          </w:tcPr>
          <w:p w14:paraId="044E3216" w14:textId="77777777" w:rsidR="00D322F7" w:rsidRPr="00972C81" w:rsidRDefault="00D322F7" w:rsidP="00016E17">
            <w:pPr>
              <w:pStyle w:val="Table"/>
              <w:rPr>
                <w:noProof/>
              </w:rPr>
            </w:pPr>
            <w:r w:rsidRPr="00972C81">
              <w:rPr>
                <w:noProof/>
              </w:rPr>
              <w:t>70</w:t>
            </w:r>
          </w:p>
        </w:tc>
        <w:tc>
          <w:tcPr>
            <w:tcW w:w="668" w:type="pct"/>
            <w:vAlign w:val="center"/>
          </w:tcPr>
          <w:p w14:paraId="46E42EDD" w14:textId="77777777" w:rsidR="00D322F7" w:rsidRPr="00972C81" w:rsidRDefault="00D322F7" w:rsidP="00016E17">
            <w:pPr>
              <w:pStyle w:val="Table"/>
              <w:rPr>
                <w:noProof/>
              </w:rPr>
            </w:pPr>
            <w:r w:rsidRPr="00972C81">
              <w:rPr>
                <w:noProof/>
              </w:rPr>
              <w:t>70</w:t>
            </w:r>
          </w:p>
        </w:tc>
        <w:tc>
          <w:tcPr>
            <w:tcW w:w="620" w:type="pct"/>
            <w:vAlign w:val="center"/>
          </w:tcPr>
          <w:p w14:paraId="3AE6A8F4" w14:textId="77777777" w:rsidR="00D322F7" w:rsidRPr="00972C81" w:rsidRDefault="00D322F7" w:rsidP="00016E17">
            <w:pPr>
              <w:pStyle w:val="Table"/>
              <w:rPr>
                <w:noProof/>
              </w:rPr>
            </w:pPr>
            <w:r w:rsidRPr="00972C81">
              <w:rPr>
                <w:noProof/>
              </w:rPr>
              <w:t>55</w:t>
            </w:r>
          </w:p>
        </w:tc>
        <w:tc>
          <w:tcPr>
            <w:tcW w:w="717" w:type="pct"/>
            <w:vAlign w:val="center"/>
          </w:tcPr>
          <w:p w14:paraId="3DEC7C39" w14:textId="77777777" w:rsidR="00D322F7" w:rsidRPr="00972C81" w:rsidRDefault="00D322F7" w:rsidP="00016E17">
            <w:pPr>
              <w:pStyle w:val="Table"/>
              <w:rPr>
                <w:noProof/>
              </w:rPr>
            </w:pPr>
            <w:r w:rsidRPr="00972C81">
              <w:rPr>
                <w:noProof/>
              </w:rPr>
              <w:t>55</w:t>
            </w:r>
          </w:p>
        </w:tc>
        <w:tc>
          <w:tcPr>
            <w:tcW w:w="620" w:type="pct"/>
            <w:vAlign w:val="center"/>
          </w:tcPr>
          <w:p w14:paraId="3466598B" w14:textId="77777777" w:rsidR="00D322F7" w:rsidRPr="00972C81" w:rsidRDefault="00D322F7" w:rsidP="00016E17">
            <w:pPr>
              <w:pStyle w:val="Table"/>
              <w:rPr>
                <w:noProof/>
              </w:rPr>
            </w:pPr>
            <w:r w:rsidRPr="00972C81">
              <w:rPr>
                <w:noProof/>
              </w:rPr>
              <w:t>55</w:t>
            </w:r>
          </w:p>
        </w:tc>
        <w:tc>
          <w:tcPr>
            <w:tcW w:w="681" w:type="pct"/>
            <w:vAlign w:val="center"/>
          </w:tcPr>
          <w:p w14:paraId="5586043C" w14:textId="77777777" w:rsidR="00D322F7" w:rsidRPr="00972C81" w:rsidRDefault="00D322F7" w:rsidP="00016E17">
            <w:pPr>
              <w:pStyle w:val="Table"/>
              <w:rPr>
                <w:noProof/>
              </w:rPr>
            </w:pPr>
            <w:r w:rsidRPr="00972C81">
              <w:rPr>
                <w:noProof/>
              </w:rPr>
              <w:t>45</w:t>
            </w:r>
          </w:p>
        </w:tc>
      </w:tr>
      <w:tr w:rsidR="00D322F7" w:rsidRPr="00972C81" w14:paraId="6A51E522" w14:textId="77777777" w:rsidTr="00016E17">
        <w:trPr>
          <w:trHeight w:val="340"/>
          <w:jc w:val="center"/>
        </w:trPr>
        <w:tc>
          <w:tcPr>
            <w:tcW w:w="1079" w:type="pct"/>
            <w:vAlign w:val="center"/>
          </w:tcPr>
          <w:p w14:paraId="42FAA016" w14:textId="77777777" w:rsidR="00D322F7" w:rsidRPr="00972C81" w:rsidRDefault="00D322F7" w:rsidP="00016E17">
            <w:pPr>
              <w:pStyle w:val="Table"/>
              <w:rPr>
                <w:noProof/>
              </w:rPr>
            </w:pPr>
            <w:r w:rsidRPr="00972C81">
              <w:rPr>
                <w:noProof/>
              </w:rPr>
              <w:t>ST1</w:t>
            </w:r>
          </w:p>
        </w:tc>
        <w:tc>
          <w:tcPr>
            <w:tcW w:w="616" w:type="pct"/>
            <w:vAlign w:val="center"/>
          </w:tcPr>
          <w:p w14:paraId="23DC3EB7" w14:textId="77777777" w:rsidR="00D322F7" w:rsidRPr="00972C81" w:rsidRDefault="00D322F7" w:rsidP="00016E17">
            <w:pPr>
              <w:pStyle w:val="Table"/>
              <w:rPr>
                <w:noProof/>
              </w:rPr>
            </w:pPr>
            <w:r w:rsidRPr="00972C81">
              <w:rPr>
                <w:noProof/>
              </w:rPr>
              <w:t>10</w:t>
            </w:r>
          </w:p>
        </w:tc>
        <w:tc>
          <w:tcPr>
            <w:tcW w:w="668" w:type="pct"/>
            <w:vAlign w:val="center"/>
          </w:tcPr>
          <w:p w14:paraId="535EBA56" w14:textId="77777777" w:rsidR="00D322F7" w:rsidRPr="00972C81" w:rsidRDefault="00D322F7" w:rsidP="00016E17">
            <w:pPr>
              <w:pStyle w:val="Table"/>
              <w:rPr>
                <w:noProof/>
              </w:rPr>
            </w:pPr>
            <w:r w:rsidRPr="00972C81">
              <w:rPr>
                <w:noProof/>
              </w:rPr>
              <w:t>10</w:t>
            </w:r>
          </w:p>
        </w:tc>
        <w:tc>
          <w:tcPr>
            <w:tcW w:w="620" w:type="pct"/>
            <w:vAlign w:val="center"/>
          </w:tcPr>
          <w:p w14:paraId="741F567F" w14:textId="77777777" w:rsidR="00D322F7" w:rsidRPr="00972C81" w:rsidRDefault="00D322F7" w:rsidP="00016E17">
            <w:pPr>
              <w:pStyle w:val="Table"/>
              <w:rPr>
                <w:noProof/>
              </w:rPr>
            </w:pPr>
            <w:r w:rsidRPr="00972C81">
              <w:rPr>
                <w:noProof/>
              </w:rPr>
              <w:t>15</w:t>
            </w:r>
          </w:p>
        </w:tc>
        <w:tc>
          <w:tcPr>
            <w:tcW w:w="717" w:type="pct"/>
            <w:vAlign w:val="center"/>
          </w:tcPr>
          <w:p w14:paraId="71463D7F" w14:textId="77777777" w:rsidR="00D322F7" w:rsidRPr="00972C81" w:rsidRDefault="00D322F7" w:rsidP="00016E17">
            <w:pPr>
              <w:pStyle w:val="Table"/>
              <w:rPr>
                <w:noProof/>
              </w:rPr>
            </w:pPr>
            <w:r w:rsidRPr="00972C81">
              <w:rPr>
                <w:noProof/>
              </w:rPr>
              <w:t>15</w:t>
            </w:r>
          </w:p>
        </w:tc>
        <w:tc>
          <w:tcPr>
            <w:tcW w:w="620" w:type="pct"/>
            <w:vAlign w:val="center"/>
          </w:tcPr>
          <w:p w14:paraId="2EB2189D" w14:textId="77777777" w:rsidR="00D322F7" w:rsidRPr="00972C81" w:rsidRDefault="00D322F7" w:rsidP="00016E17">
            <w:pPr>
              <w:pStyle w:val="Table"/>
              <w:rPr>
                <w:noProof/>
              </w:rPr>
            </w:pPr>
            <w:r w:rsidRPr="00972C81">
              <w:rPr>
                <w:noProof/>
              </w:rPr>
              <w:t>15</w:t>
            </w:r>
          </w:p>
        </w:tc>
        <w:tc>
          <w:tcPr>
            <w:tcW w:w="681" w:type="pct"/>
            <w:vAlign w:val="center"/>
          </w:tcPr>
          <w:p w14:paraId="01671309" w14:textId="77777777" w:rsidR="00D322F7" w:rsidRPr="00972C81" w:rsidRDefault="00D322F7" w:rsidP="00016E17">
            <w:pPr>
              <w:pStyle w:val="Table"/>
              <w:rPr>
                <w:noProof/>
              </w:rPr>
            </w:pPr>
            <w:r w:rsidRPr="00972C81">
              <w:rPr>
                <w:noProof/>
              </w:rPr>
              <w:t>15</w:t>
            </w:r>
          </w:p>
        </w:tc>
      </w:tr>
      <w:tr w:rsidR="00D322F7" w:rsidRPr="00972C81" w14:paraId="5200D0D0" w14:textId="77777777" w:rsidTr="00016E17">
        <w:trPr>
          <w:trHeight w:val="340"/>
          <w:jc w:val="center"/>
        </w:trPr>
        <w:tc>
          <w:tcPr>
            <w:tcW w:w="1079" w:type="pct"/>
            <w:vAlign w:val="center"/>
          </w:tcPr>
          <w:p w14:paraId="62D03147" w14:textId="77777777" w:rsidR="00D322F7" w:rsidRPr="00972C81" w:rsidRDefault="00D322F7" w:rsidP="00016E17">
            <w:pPr>
              <w:pStyle w:val="Table"/>
              <w:rPr>
                <w:noProof/>
              </w:rPr>
            </w:pPr>
            <w:r w:rsidRPr="00972C81">
              <w:rPr>
                <w:noProof/>
              </w:rPr>
              <w:t>UB content</w:t>
            </w:r>
          </w:p>
        </w:tc>
        <w:tc>
          <w:tcPr>
            <w:tcW w:w="616" w:type="pct"/>
            <w:vAlign w:val="center"/>
          </w:tcPr>
          <w:p w14:paraId="67FF539F" w14:textId="77777777" w:rsidR="00D322F7" w:rsidRPr="00972C81" w:rsidRDefault="00D322F7" w:rsidP="00016E17">
            <w:pPr>
              <w:pStyle w:val="Table"/>
              <w:rPr>
                <w:noProof/>
              </w:rPr>
            </w:pPr>
            <w:r w:rsidRPr="00972C81">
              <w:rPr>
                <w:noProof/>
              </w:rPr>
              <w:t>10</w:t>
            </w:r>
          </w:p>
        </w:tc>
        <w:tc>
          <w:tcPr>
            <w:tcW w:w="668" w:type="pct"/>
            <w:vAlign w:val="center"/>
          </w:tcPr>
          <w:p w14:paraId="4937EB01" w14:textId="77777777" w:rsidR="00D322F7" w:rsidRPr="00972C81" w:rsidRDefault="00D322F7" w:rsidP="00016E17">
            <w:pPr>
              <w:pStyle w:val="Table"/>
              <w:rPr>
                <w:noProof/>
              </w:rPr>
            </w:pPr>
            <w:r w:rsidRPr="00972C81">
              <w:rPr>
                <w:noProof/>
              </w:rPr>
              <w:t>10</w:t>
            </w:r>
          </w:p>
        </w:tc>
        <w:tc>
          <w:tcPr>
            <w:tcW w:w="620" w:type="pct"/>
            <w:vAlign w:val="center"/>
          </w:tcPr>
          <w:p w14:paraId="013F62F4" w14:textId="77777777" w:rsidR="00D322F7" w:rsidRPr="00972C81" w:rsidRDefault="00D322F7" w:rsidP="00016E17">
            <w:pPr>
              <w:pStyle w:val="Table"/>
              <w:rPr>
                <w:noProof/>
              </w:rPr>
            </w:pPr>
            <w:r w:rsidRPr="00972C81">
              <w:rPr>
                <w:noProof/>
              </w:rPr>
              <w:t>15</w:t>
            </w:r>
          </w:p>
        </w:tc>
        <w:tc>
          <w:tcPr>
            <w:tcW w:w="717" w:type="pct"/>
            <w:vAlign w:val="center"/>
          </w:tcPr>
          <w:p w14:paraId="77C3D918" w14:textId="77777777" w:rsidR="00D322F7" w:rsidRPr="00972C81" w:rsidRDefault="00D322F7" w:rsidP="00016E17">
            <w:pPr>
              <w:pStyle w:val="Table"/>
              <w:rPr>
                <w:noProof/>
              </w:rPr>
            </w:pPr>
            <w:r w:rsidRPr="00972C81">
              <w:rPr>
                <w:noProof/>
              </w:rPr>
              <w:t>15</w:t>
            </w:r>
          </w:p>
        </w:tc>
        <w:tc>
          <w:tcPr>
            <w:tcW w:w="620" w:type="pct"/>
            <w:vAlign w:val="center"/>
          </w:tcPr>
          <w:p w14:paraId="2F6C5F3D" w14:textId="77777777" w:rsidR="00D322F7" w:rsidRPr="00972C81" w:rsidRDefault="00D322F7" w:rsidP="00016E17">
            <w:pPr>
              <w:pStyle w:val="Table"/>
              <w:rPr>
                <w:noProof/>
              </w:rPr>
            </w:pPr>
            <w:r w:rsidRPr="00972C81">
              <w:rPr>
                <w:noProof/>
              </w:rPr>
              <w:t>15</w:t>
            </w:r>
          </w:p>
        </w:tc>
        <w:tc>
          <w:tcPr>
            <w:tcW w:w="681" w:type="pct"/>
            <w:vAlign w:val="center"/>
          </w:tcPr>
          <w:p w14:paraId="6B8E6D37" w14:textId="77777777" w:rsidR="00D322F7" w:rsidRPr="00972C81" w:rsidRDefault="00D322F7" w:rsidP="00016E17">
            <w:pPr>
              <w:pStyle w:val="Table"/>
              <w:rPr>
                <w:noProof/>
              </w:rPr>
            </w:pPr>
            <w:r w:rsidRPr="00972C81">
              <w:rPr>
                <w:noProof/>
              </w:rPr>
              <w:t>20</w:t>
            </w:r>
          </w:p>
        </w:tc>
      </w:tr>
      <w:tr w:rsidR="00D322F7" w:rsidRPr="00972C81" w14:paraId="1FA0742B" w14:textId="77777777" w:rsidTr="00016E17">
        <w:trPr>
          <w:trHeight w:val="340"/>
          <w:jc w:val="center"/>
        </w:trPr>
        <w:tc>
          <w:tcPr>
            <w:tcW w:w="1079" w:type="pct"/>
            <w:tcBorders>
              <w:bottom w:val="single" w:sz="4" w:space="0" w:color="auto"/>
            </w:tcBorders>
            <w:vAlign w:val="center"/>
          </w:tcPr>
          <w:p w14:paraId="0457A2BE" w14:textId="77777777" w:rsidR="00D322F7" w:rsidRPr="00972C81" w:rsidRDefault="00D322F7" w:rsidP="00016E17">
            <w:pPr>
              <w:pStyle w:val="Table"/>
              <w:rPr>
                <w:noProof/>
              </w:rPr>
            </w:pPr>
            <w:r w:rsidRPr="00972C81">
              <w:rPr>
                <w:noProof/>
              </w:rPr>
              <w:t>RC content</w:t>
            </w:r>
          </w:p>
        </w:tc>
        <w:tc>
          <w:tcPr>
            <w:tcW w:w="616" w:type="pct"/>
            <w:tcBorders>
              <w:bottom w:val="single" w:sz="4" w:space="0" w:color="auto"/>
            </w:tcBorders>
            <w:vAlign w:val="center"/>
          </w:tcPr>
          <w:p w14:paraId="310B0B12" w14:textId="77777777" w:rsidR="00D322F7" w:rsidRPr="00972C81" w:rsidRDefault="00D322F7" w:rsidP="00016E17">
            <w:pPr>
              <w:pStyle w:val="Table"/>
              <w:rPr>
                <w:noProof/>
              </w:rPr>
            </w:pPr>
            <w:r w:rsidRPr="00972C81">
              <w:rPr>
                <w:noProof/>
              </w:rPr>
              <w:t>1</w:t>
            </w:r>
          </w:p>
        </w:tc>
        <w:tc>
          <w:tcPr>
            <w:tcW w:w="668" w:type="pct"/>
            <w:tcBorders>
              <w:bottom w:val="single" w:sz="4" w:space="0" w:color="auto"/>
            </w:tcBorders>
            <w:vAlign w:val="center"/>
          </w:tcPr>
          <w:p w14:paraId="0FB48649" w14:textId="77777777" w:rsidR="00D322F7" w:rsidRPr="00972C81" w:rsidRDefault="00D322F7" w:rsidP="00016E17">
            <w:pPr>
              <w:pStyle w:val="Table"/>
              <w:rPr>
                <w:noProof/>
              </w:rPr>
            </w:pPr>
            <w:r w:rsidRPr="00972C81">
              <w:rPr>
                <w:noProof/>
              </w:rPr>
              <w:t>1</w:t>
            </w:r>
          </w:p>
        </w:tc>
        <w:tc>
          <w:tcPr>
            <w:tcW w:w="620" w:type="pct"/>
            <w:tcBorders>
              <w:bottom w:val="single" w:sz="4" w:space="0" w:color="auto"/>
            </w:tcBorders>
            <w:vAlign w:val="center"/>
          </w:tcPr>
          <w:p w14:paraId="1B9062B5" w14:textId="77777777" w:rsidR="00D322F7" w:rsidRPr="00972C81" w:rsidRDefault="00D322F7" w:rsidP="00016E17">
            <w:pPr>
              <w:pStyle w:val="Table"/>
              <w:rPr>
                <w:noProof/>
              </w:rPr>
            </w:pPr>
            <w:r w:rsidRPr="00972C81">
              <w:rPr>
                <w:noProof/>
              </w:rPr>
              <w:t>1</w:t>
            </w:r>
          </w:p>
        </w:tc>
        <w:tc>
          <w:tcPr>
            <w:tcW w:w="717" w:type="pct"/>
            <w:tcBorders>
              <w:bottom w:val="single" w:sz="4" w:space="0" w:color="auto"/>
            </w:tcBorders>
            <w:vAlign w:val="center"/>
          </w:tcPr>
          <w:p w14:paraId="0D277879" w14:textId="77777777" w:rsidR="00D322F7" w:rsidRPr="00972C81" w:rsidRDefault="00D322F7" w:rsidP="00016E17">
            <w:pPr>
              <w:pStyle w:val="Table"/>
              <w:rPr>
                <w:noProof/>
              </w:rPr>
            </w:pPr>
            <w:r w:rsidRPr="00972C81">
              <w:rPr>
                <w:noProof/>
              </w:rPr>
              <w:t>1</w:t>
            </w:r>
          </w:p>
        </w:tc>
        <w:tc>
          <w:tcPr>
            <w:tcW w:w="620" w:type="pct"/>
            <w:tcBorders>
              <w:bottom w:val="single" w:sz="4" w:space="0" w:color="auto"/>
            </w:tcBorders>
            <w:vAlign w:val="center"/>
          </w:tcPr>
          <w:p w14:paraId="3E456EB5" w14:textId="77777777" w:rsidR="00D322F7" w:rsidRPr="00972C81" w:rsidRDefault="00D322F7" w:rsidP="00016E17">
            <w:pPr>
              <w:pStyle w:val="Table"/>
              <w:rPr>
                <w:noProof/>
              </w:rPr>
            </w:pPr>
            <w:r w:rsidRPr="00972C81">
              <w:rPr>
                <w:noProof/>
              </w:rPr>
              <w:t>1</w:t>
            </w:r>
          </w:p>
        </w:tc>
        <w:tc>
          <w:tcPr>
            <w:tcW w:w="681" w:type="pct"/>
            <w:tcBorders>
              <w:bottom w:val="single" w:sz="4" w:space="0" w:color="auto"/>
            </w:tcBorders>
            <w:vAlign w:val="center"/>
          </w:tcPr>
          <w:p w14:paraId="08B4EACD" w14:textId="77777777" w:rsidR="00D322F7" w:rsidRPr="00972C81" w:rsidRDefault="00D322F7" w:rsidP="00016E17">
            <w:pPr>
              <w:pStyle w:val="Table"/>
              <w:rPr>
                <w:noProof/>
              </w:rPr>
            </w:pPr>
            <w:r w:rsidRPr="00972C81">
              <w:rPr>
                <w:noProof/>
              </w:rPr>
              <w:t>1</w:t>
            </w:r>
          </w:p>
        </w:tc>
      </w:tr>
      <w:tr w:rsidR="00D322F7" w:rsidRPr="00972C81" w14:paraId="3B4E7378" w14:textId="77777777" w:rsidTr="00016E17">
        <w:trPr>
          <w:trHeight w:val="340"/>
          <w:jc w:val="center"/>
        </w:trPr>
        <w:tc>
          <w:tcPr>
            <w:tcW w:w="1079" w:type="pct"/>
            <w:tcBorders>
              <w:top w:val="single" w:sz="4" w:space="0" w:color="auto"/>
            </w:tcBorders>
          </w:tcPr>
          <w:p w14:paraId="69956A37" w14:textId="77777777" w:rsidR="00D322F7" w:rsidRPr="00972C81" w:rsidRDefault="00D322F7" w:rsidP="00E81109">
            <w:pPr>
              <w:pStyle w:val="Table"/>
              <w:rPr>
                <w:noProof/>
              </w:rPr>
            </w:pPr>
          </w:p>
        </w:tc>
        <w:tc>
          <w:tcPr>
            <w:tcW w:w="616" w:type="pct"/>
            <w:tcBorders>
              <w:top w:val="single" w:sz="4" w:space="0" w:color="auto"/>
            </w:tcBorders>
          </w:tcPr>
          <w:p w14:paraId="24189C98" w14:textId="77777777" w:rsidR="00D322F7" w:rsidRPr="00972C81" w:rsidRDefault="00D322F7" w:rsidP="00E81109">
            <w:pPr>
              <w:pStyle w:val="Table"/>
              <w:rPr>
                <w:noProof/>
              </w:rPr>
            </w:pPr>
          </w:p>
        </w:tc>
        <w:tc>
          <w:tcPr>
            <w:tcW w:w="668" w:type="pct"/>
            <w:tcBorders>
              <w:top w:val="single" w:sz="4" w:space="0" w:color="auto"/>
            </w:tcBorders>
          </w:tcPr>
          <w:p w14:paraId="5F3C3A2D" w14:textId="77777777" w:rsidR="00D322F7" w:rsidRPr="00972C81" w:rsidRDefault="00D322F7" w:rsidP="00E81109">
            <w:pPr>
              <w:pStyle w:val="Table"/>
              <w:rPr>
                <w:noProof/>
              </w:rPr>
            </w:pPr>
          </w:p>
        </w:tc>
        <w:tc>
          <w:tcPr>
            <w:tcW w:w="620" w:type="pct"/>
            <w:tcBorders>
              <w:top w:val="single" w:sz="4" w:space="0" w:color="auto"/>
            </w:tcBorders>
          </w:tcPr>
          <w:p w14:paraId="2490AAB7" w14:textId="77777777" w:rsidR="00D322F7" w:rsidRPr="00972C81" w:rsidRDefault="00D322F7" w:rsidP="00E81109">
            <w:pPr>
              <w:pStyle w:val="Table"/>
              <w:rPr>
                <w:noProof/>
              </w:rPr>
            </w:pPr>
          </w:p>
        </w:tc>
        <w:tc>
          <w:tcPr>
            <w:tcW w:w="717" w:type="pct"/>
            <w:tcBorders>
              <w:top w:val="single" w:sz="4" w:space="0" w:color="auto"/>
            </w:tcBorders>
          </w:tcPr>
          <w:p w14:paraId="5CF1E434" w14:textId="77777777" w:rsidR="00D322F7" w:rsidRPr="00972C81" w:rsidRDefault="00D322F7" w:rsidP="00E81109">
            <w:pPr>
              <w:pStyle w:val="Table"/>
              <w:rPr>
                <w:noProof/>
              </w:rPr>
            </w:pPr>
          </w:p>
        </w:tc>
        <w:tc>
          <w:tcPr>
            <w:tcW w:w="620" w:type="pct"/>
            <w:tcBorders>
              <w:top w:val="single" w:sz="4" w:space="0" w:color="auto"/>
            </w:tcBorders>
          </w:tcPr>
          <w:p w14:paraId="46CC81CC" w14:textId="77777777" w:rsidR="00D322F7" w:rsidRPr="00972C81" w:rsidRDefault="00D322F7" w:rsidP="00E81109">
            <w:pPr>
              <w:pStyle w:val="Table"/>
              <w:rPr>
                <w:noProof/>
              </w:rPr>
            </w:pPr>
          </w:p>
        </w:tc>
        <w:tc>
          <w:tcPr>
            <w:tcW w:w="681" w:type="pct"/>
            <w:tcBorders>
              <w:top w:val="single" w:sz="4" w:space="0" w:color="auto"/>
            </w:tcBorders>
          </w:tcPr>
          <w:p w14:paraId="2E9C3FF5" w14:textId="77777777" w:rsidR="00D322F7" w:rsidRPr="00972C81" w:rsidRDefault="00D322F7" w:rsidP="00E81109">
            <w:pPr>
              <w:pStyle w:val="Table"/>
              <w:rPr>
                <w:noProof/>
              </w:rPr>
            </w:pPr>
          </w:p>
        </w:tc>
      </w:tr>
      <w:tr w:rsidR="00D322F7" w:rsidRPr="00972C81" w14:paraId="53C0ADCE" w14:textId="77777777" w:rsidTr="00016E17">
        <w:trPr>
          <w:trHeight w:val="340"/>
          <w:jc w:val="center"/>
        </w:trPr>
        <w:tc>
          <w:tcPr>
            <w:tcW w:w="1079" w:type="pct"/>
            <w:tcBorders>
              <w:bottom w:val="single" w:sz="4" w:space="0" w:color="auto"/>
            </w:tcBorders>
          </w:tcPr>
          <w:p w14:paraId="4BB097C9" w14:textId="77777777" w:rsidR="00D322F7" w:rsidRPr="00972C81" w:rsidRDefault="00D322F7" w:rsidP="00E81109">
            <w:pPr>
              <w:pStyle w:val="Table"/>
              <w:rPr>
                <w:noProof/>
              </w:rPr>
            </w:pPr>
          </w:p>
        </w:tc>
        <w:tc>
          <w:tcPr>
            <w:tcW w:w="3921" w:type="pct"/>
            <w:gridSpan w:val="6"/>
            <w:tcBorders>
              <w:bottom w:val="single" w:sz="4" w:space="0" w:color="auto"/>
            </w:tcBorders>
          </w:tcPr>
          <w:p w14:paraId="50BBE803" w14:textId="77777777" w:rsidR="00D322F7" w:rsidRPr="00972C81" w:rsidRDefault="00D322F7" w:rsidP="00C47F2F">
            <w:pPr>
              <w:pStyle w:val="Table"/>
              <w:jc w:val="center"/>
              <w:rPr>
                <w:noProof/>
              </w:rPr>
            </w:pPr>
            <w:r w:rsidRPr="00972C81">
              <w:rPr>
                <w:noProof/>
              </w:rPr>
              <w:t>Removal half-time</w:t>
            </w:r>
          </w:p>
        </w:tc>
      </w:tr>
      <w:tr w:rsidR="00D322F7" w:rsidRPr="00972C81" w14:paraId="490942FC" w14:textId="77777777" w:rsidTr="00016E17">
        <w:trPr>
          <w:trHeight w:val="340"/>
          <w:jc w:val="center"/>
        </w:trPr>
        <w:tc>
          <w:tcPr>
            <w:tcW w:w="1079" w:type="pct"/>
            <w:tcBorders>
              <w:top w:val="single" w:sz="4" w:space="0" w:color="auto"/>
            </w:tcBorders>
            <w:vAlign w:val="center"/>
          </w:tcPr>
          <w:p w14:paraId="21D89533" w14:textId="77777777" w:rsidR="00D322F7" w:rsidRPr="00972C81" w:rsidRDefault="00D322F7" w:rsidP="00016E17">
            <w:pPr>
              <w:pStyle w:val="Table"/>
              <w:rPr>
                <w:noProof/>
              </w:rPr>
            </w:pPr>
            <w:r w:rsidRPr="00972C81">
              <w:rPr>
                <w:noProof/>
              </w:rPr>
              <w:t>ST1 to Blood</w:t>
            </w:r>
          </w:p>
        </w:tc>
        <w:tc>
          <w:tcPr>
            <w:tcW w:w="616" w:type="pct"/>
            <w:tcBorders>
              <w:top w:val="single" w:sz="4" w:space="0" w:color="auto"/>
            </w:tcBorders>
            <w:vAlign w:val="center"/>
          </w:tcPr>
          <w:p w14:paraId="0CE08572" w14:textId="77777777" w:rsidR="00D322F7" w:rsidRPr="00972C81" w:rsidRDefault="00D322F7" w:rsidP="00016E17">
            <w:pPr>
              <w:pStyle w:val="Table"/>
              <w:rPr>
                <w:noProof/>
              </w:rPr>
            </w:pPr>
            <w:r w:rsidRPr="00972C81">
              <w:rPr>
                <w:noProof/>
              </w:rPr>
              <w:t>100 d</w:t>
            </w:r>
          </w:p>
        </w:tc>
        <w:tc>
          <w:tcPr>
            <w:tcW w:w="668" w:type="pct"/>
            <w:tcBorders>
              <w:top w:val="single" w:sz="4" w:space="0" w:color="auto"/>
            </w:tcBorders>
            <w:vAlign w:val="center"/>
          </w:tcPr>
          <w:p w14:paraId="1C6C1792" w14:textId="77777777" w:rsidR="00D322F7" w:rsidRPr="00972C81" w:rsidRDefault="00D322F7" w:rsidP="00016E17">
            <w:pPr>
              <w:pStyle w:val="Table"/>
              <w:rPr>
                <w:noProof/>
              </w:rPr>
            </w:pPr>
            <w:r w:rsidRPr="00972C81">
              <w:rPr>
                <w:noProof/>
              </w:rPr>
              <w:t>100 d</w:t>
            </w:r>
          </w:p>
        </w:tc>
        <w:tc>
          <w:tcPr>
            <w:tcW w:w="620" w:type="pct"/>
            <w:tcBorders>
              <w:top w:val="single" w:sz="4" w:space="0" w:color="auto"/>
            </w:tcBorders>
            <w:vAlign w:val="center"/>
          </w:tcPr>
          <w:p w14:paraId="79D0F582" w14:textId="77777777" w:rsidR="00D322F7" w:rsidRPr="00972C81" w:rsidRDefault="00D322F7" w:rsidP="00016E17">
            <w:pPr>
              <w:pStyle w:val="Table"/>
              <w:rPr>
                <w:noProof/>
              </w:rPr>
            </w:pPr>
            <w:r w:rsidRPr="00972C81">
              <w:rPr>
                <w:noProof/>
              </w:rPr>
              <w:t>100 d</w:t>
            </w:r>
          </w:p>
        </w:tc>
        <w:tc>
          <w:tcPr>
            <w:tcW w:w="717" w:type="pct"/>
            <w:tcBorders>
              <w:top w:val="single" w:sz="4" w:space="0" w:color="auto"/>
            </w:tcBorders>
            <w:vAlign w:val="center"/>
          </w:tcPr>
          <w:p w14:paraId="60676247" w14:textId="77777777" w:rsidR="00D322F7" w:rsidRPr="00972C81" w:rsidRDefault="00D322F7" w:rsidP="00016E17">
            <w:pPr>
              <w:pStyle w:val="Table"/>
              <w:rPr>
                <w:noProof/>
              </w:rPr>
            </w:pPr>
            <w:r w:rsidRPr="00972C81">
              <w:rPr>
                <w:noProof/>
              </w:rPr>
              <w:t>100 d</w:t>
            </w:r>
          </w:p>
        </w:tc>
        <w:tc>
          <w:tcPr>
            <w:tcW w:w="620" w:type="pct"/>
            <w:tcBorders>
              <w:top w:val="single" w:sz="4" w:space="0" w:color="auto"/>
            </w:tcBorders>
            <w:vAlign w:val="center"/>
          </w:tcPr>
          <w:p w14:paraId="793226C4" w14:textId="77777777" w:rsidR="00D322F7" w:rsidRPr="00972C81" w:rsidRDefault="00D322F7" w:rsidP="00016E17">
            <w:pPr>
              <w:pStyle w:val="Table"/>
              <w:rPr>
                <w:noProof/>
              </w:rPr>
            </w:pPr>
            <w:r w:rsidRPr="00972C81">
              <w:rPr>
                <w:noProof/>
              </w:rPr>
              <w:t>100 d</w:t>
            </w:r>
          </w:p>
        </w:tc>
        <w:tc>
          <w:tcPr>
            <w:tcW w:w="681" w:type="pct"/>
            <w:tcBorders>
              <w:top w:val="single" w:sz="4" w:space="0" w:color="auto"/>
            </w:tcBorders>
            <w:vAlign w:val="center"/>
          </w:tcPr>
          <w:p w14:paraId="14061967" w14:textId="77777777" w:rsidR="00D322F7" w:rsidRPr="00972C81" w:rsidRDefault="00D322F7" w:rsidP="00016E17">
            <w:pPr>
              <w:pStyle w:val="Table"/>
              <w:rPr>
                <w:noProof/>
              </w:rPr>
            </w:pPr>
            <w:r w:rsidRPr="00972C81">
              <w:rPr>
                <w:noProof/>
              </w:rPr>
              <w:t>100 d</w:t>
            </w:r>
          </w:p>
        </w:tc>
      </w:tr>
      <w:tr w:rsidR="00D322F7" w:rsidRPr="00972C81" w14:paraId="6351FD85" w14:textId="77777777" w:rsidTr="00016E17">
        <w:trPr>
          <w:trHeight w:val="340"/>
          <w:jc w:val="center"/>
        </w:trPr>
        <w:tc>
          <w:tcPr>
            <w:tcW w:w="1079" w:type="pct"/>
            <w:tcBorders>
              <w:bottom w:val="single" w:sz="4" w:space="0" w:color="auto"/>
            </w:tcBorders>
            <w:vAlign w:val="center"/>
          </w:tcPr>
          <w:p w14:paraId="035B8ABA" w14:textId="77777777" w:rsidR="00D322F7" w:rsidRPr="00972C81" w:rsidRDefault="00D322F7" w:rsidP="00016E17">
            <w:pPr>
              <w:pStyle w:val="Table"/>
              <w:rPr>
                <w:noProof/>
              </w:rPr>
            </w:pPr>
            <w:r w:rsidRPr="00972C81">
              <w:rPr>
                <w:noProof/>
              </w:rPr>
              <w:t>Liver 2 to Blood</w:t>
            </w:r>
          </w:p>
        </w:tc>
        <w:tc>
          <w:tcPr>
            <w:tcW w:w="616" w:type="pct"/>
            <w:tcBorders>
              <w:bottom w:val="single" w:sz="4" w:space="0" w:color="auto"/>
            </w:tcBorders>
            <w:vAlign w:val="center"/>
          </w:tcPr>
          <w:p w14:paraId="69E5B87E" w14:textId="77777777" w:rsidR="00D322F7" w:rsidRPr="00972C81" w:rsidRDefault="00D322F7" w:rsidP="00016E17">
            <w:pPr>
              <w:pStyle w:val="Table"/>
              <w:rPr>
                <w:noProof/>
              </w:rPr>
            </w:pPr>
            <w:r w:rsidRPr="00972C81">
              <w:rPr>
                <w:noProof/>
              </w:rPr>
              <w:t>1 y</w:t>
            </w:r>
          </w:p>
        </w:tc>
        <w:tc>
          <w:tcPr>
            <w:tcW w:w="668" w:type="pct"/>
            <w:tcBorders>
              <w:bottom w:val="single" w:sz="4" w:space="0" w:color="auto"/>
            </w:tcBorders>
            <w:vAlign w:val="center"/>
          </w:tcPr>
          <w:p w14:paraId="2CE39915" w14:textId="77777777" w:rsidR="00D322F7" w:rsidRPr="00972C81" w:rsidRDefault="00D322F7" w:rsidP="00016E17">
            <w:pPr>
              <w:pStyle w:val="Table"/>
              <w:rPr>
                <w:noProof/>
              </w:rPr>
            </w:pPr>
            <w:r w:rsidRPr="00972C81">
              <w:rPr>
                <w:noProof/>
              </w:rPr>
              <w:t>1 y</w:t>
            </w:r>
          </w:p>
        </w:tc>
        <w:tc>
          <w:tcPr>
            <w:tcW w:w="620" w:type="pct"/>
            <w:tcBorders>
              <w:bottom w:val="single" w:sz="4" w:space="0" w:color="auto"/>
            </w:tcBorders>
            <w:vAlign w:val="center"/>
          </w:tcPr>
          <w:p w14:paraId="32749644" w14:textId="77777777" w:rsidR="00D322F7" w:rsidRPr="00972C81" w:rsidRDefault="00D322F7" w:rsidP="00016E17">
            <w:pPr>
              <w:pStyle w:val="Table"/>
              <w:rPr>
                <w:noProof/>
              </w:rPr>
            </w:pPr>
            <w:r w:rsidRPr="00972C81">
              <w:rPr>
                <w:noProof/>
              </w:rPr>
              <w:t>1 y</w:t>
            </w:r>
          </w:p>
        </w:tc>
        <w:tc>
          <w:tcPr>
            <w:tcW w:w="717" w:type="pct"/>
            <w:tcBorders>
              <w:bottom w:val="single" w:sz="4" w:space="0" w:color="auto"/>
            </w:tcBorders>
            <w:vAlign w:val="center"/>
          </w:tcPr>
          <w:p w14:paraId="3DB58E2A" w14:textId="77777777" w:rsidR="00D322F7" w:rsidRPr="00972C81" w:rsidRDefault="00D322F7" w:rsidP="00016E17">
            <w:pPr>
              <w:pStyle w:val="Table"/>
              <w:rPr>
                <w:noProof/>
              </w:rPr>
            </w:pPr>
            <w:r w:rsidRPr="00972C81">
              <w:rPr>
                <w:noProof/>
              </w:rPr>
              <w:t>1 y</w:t>
            </w:r>
          </w:p>
        </w:tc>
        <w:tc>
          <w:tcPr>
            <w:tcW w:w="620" w:type="pct"/>
            <w:tcBorders>
              <w:bottom w:val="single" w:sz="4" w:space="0" w:color="auto"/>
            </w:tcBorders>
            <w:vAlign w:val="center"/>
          </w:tcPr>
          <w:p w14:paraId="791BA477" w14:textId="77777777" w:rsidR="00D322F7" w:rsidRPr="00972C81" w:rsidRDefault="00D322F7" w:rsidP="00016E17">
            <w:pPr>
              <w:pStyle w:val="Table"/>
              <w:rPr>
                <w:noProof/>
              </w:rPr>
            </w:pPr>
            <w:r w:rsidRPr="00972C81">
              <w:rPr>
                <w:noProof/>
              </w:rPr>
              <w:t>1 y</w:t>
            </w:r>
          </w:p>
        </w:tc>
        <w:tc>
          <w:tcPr>
            <w:tcW w:w="681" w:type="pct"/>
            <w:tcBorders>
              <w:bottom w:val="single" w:sz="4" w:space="0" w:color="auto"/>
            </w:tcBorders>
            <w:vAlign w:val="center"/>
          </w:tcPr>
          <w:p w14:paraId="348166D0" w14:textId="77777777" w:rsidR="00D322F7" w:rsidRPr="00972C81" w:rsidRDefault="00D322F7" w:rsidP="00016E17">
            <w:pPr>
              <w:pStyle w:val="Table"/>
              <w:rPr>
                <w:noProof/>
              </w:rPr>
            </w:pPr>
            <w:r w:rsidRPr="00972C81">
              <w:rPr>
                <w:noProof/>
              </w:rPr>
              <w:t>1 y</w:t>
            </w:r>
          </w:p>
        </w:tc>
      </w:tr>
    </w:tbl>
    <w:p w14:paraId="37FD6823" w14:textId="77777777" w:rsidR="00D322F7" w:rsidRPr="00972C81" w:rsidRDefault="00D322F7" w:rsidP="001C4A92">
      <w:pPr>
        <w:pStyle w:val="MainTextPreference"/>
        <w:rPr>
          <w:noProof/>
        </w:rPr>
      </w:pPr>
    </w:p>
    <w:p w14:paraId="72026B14" w14:textId="77777777" w:rsidR="00D322F7" w:rsidRPr="00972C81" w:rsidRDefault="00D322F7" w:rsidP="001C4A92">
      <w:pPr>
        <w:pStyle w:val="Annalstext"/>
        <w:rPr>
          <w:rFonts w:eastAsia="MS Mincho"/>
          <w:noProof/>
        </w:rPr>
      </w:pPr>
      <w:r w:rsidRPr="00972C81">
        <w:rPr>
          <w:noProof/>
        </w:rPr>
        <w:t>The behaviour of gadolinium in bone is assumed to follow the generic skeletal model for bone-surface-seeking radionuclides. That is, a</w:t>
      </w:r>
      <w:r w:rsidRPr="00972C81">
        <w:rPr>
          <w:rFonts w:eastAsia="MS Mincho"/>
          <w:noProof/>
        </w:rPr>
        <w:t xml:space="preserve">ctivity deposited on bone surface is transferred to bone marrow and bone volume at reference rates based on the age-specific rate of bone turnover. Activity in bone volume is transferred to bone marrow at the rate of bone turnover. Activity is lost from bone marrow to blood with a half-time of 0.25 y and is subsequently redistributed to tissues and excretion pathways based on age-specific deposition fractions. </w:t>
      </w:r>
    </w:p>
    <w:p w14:paraId="07D0724C" w14:textId="0D6992A2" w:rsidR="00F73182" w:rsidRPr="00972C81" w:rsidRDefault="00D322F7" w:rsidP="00E81109">
      <w:pPr>
        <w:pStyle w:val="Annalstext"/>
        <w:rPr>
          <w:noProof/>
        </w:rPr>
      </w:pPr>
      <w:r w:rsidRPr="00972C81">
        <w:rPr>
          <w:rFonts w:eastAsia="Calibri"/>
          <w:noProof/>
        </w:rPr>
        <w:t xml:space="preserve">Table </w:t>
      </w:r>
      <w:r w:rsidR="00F73182" w:rsidRPr="00972C81">
        <w:rPr>
          <w:rFonts w:eastAsia="Calibri"/>
          <w:noProof/>
        </w:rPr>
        <w:t>9</w:t>
      </w:r>
      <w:r w:rsidRPr="00972C81">
        <w:rPr>
          <w:rFonts w:eastAsia="Calibri"/>
          <w:noProof/>
        </w:rPr>
        <w:t xml:space="preserve">.2. lists the full set of transfer coefficients in the age-specific model for the </w:t>
      </w:r>
      <w:r w:rsidR="00FB3F13" w:rsidRPr="00972C81">
        <w:rPr>
          <w:rFonts w:eastAsia="Calibri"/>
          <w:noProof/>
        </w:rPr>
        <w:t>gadolinium</w:t>
      </w:r>
      <w:r w:rsidRPr="00972C81">
        <w:rPr>
          <w:rFonts w:eastAsia="Calibri"/>
          <w:noProof/>
        </w:rPr>
        <w:t>.</w:t>
      </w:r>
      <w:r w:rsidR="00F73182" w:rsidRPr="00972C81">
        <w:rPr>
          <w:noProof/>
        </w:rPr>
        <w:t xml:space="preserve"> </w:t>
      </w:r>
    </w:p>
    <w:p w14:paraId="02F68313" w14:textId="5E29D05A" w:rsidR="007A358A" w:rsidRPr="00972C81" w:rsidRDefault="007A358A" w:rsidP="007A358A">
      <w:pPr>
        <w:pStyle w:val="Annalstext"/>
        <w:numPr>
          <w:ilvl w:val="0"/>
          <w:numId w:val="0"/>
        </w:numPr>
        <w:ind w:left="284"/>
        <w:rPr>
          <w:noProof/>
        </w:rPr>
      </w:pPr>
    </w:p>
    <w:p w14:paraId="17CE8C80" w14:textId="77777777" w:rsidR="00016E17" w:rsidRDefault="00016E17">
      <w:pPr>
        <w:widowControl/>
        <w:jc w:val="left"/>
        <w:rPr>
          <w:noProof/>
          <w:sz w:val="22"/>
          <w:szCs w:val="22"/>
        </w:rPr>
      </w:pPr>
      <w:r>
        <w:rPr>
          <w:noProof/>
        </w:rPr>
        <w:br w:type="page"/>
      </w:r>
    </w:p>
    <w:p w14:paraId="6D85E330" w14:textId="59727A66" w:rsidR="00D322F7" w:rsidRPr="00016E17" w:rsidRDefault="00FB3F13" w:rsidP="00E81109">
      <w:pPr>
        <w:pStyle w:val="ab"/>
        <w:rPr>
          <w:rFonts w:eastAsia="Calibri"/>
          <w:noProof/>
          <w:sz w:val="24"/>
          <w:szCs w:val="24"/>
        </w:rPr>
      </w:pPr>
      <w:r w:rsidRPr="00016E17">
        <w:rPr>
          <w:noProof/>
          <w:sz w:val="24"/>
          <w:szCs w:val="24"/>
        </w:rPr>
        <w:lastRenderedPageBreak/>
        <w:t xml:space="preserve">Table </w:t>
      </w:r>
      <w:r w:rsidR="00EA3750" w:rsidRPr="00016E17">
        <w:rPr>
          <w:noProof/>
          <w:sz w:val="24"/>
          <w:szCs w:val="24"/>
        </w:rPr>
        <w:fldChar w:fldCharType="begin"/>
      </w:r>
      <w:r w:rsidR="00EA3750" w:rsidRPr="00016E17">
        <w:rPr>
          <w:noProof/>
          <w:sz w:val="24"/>
          <w:szCs w:val="24"/>
        </w:rPr>
        <w:instrText xml:space="preserve"> STYLEREF 1 \s </w:instrText>
      </w:r>
      <w:r w:rsidR="00EA3750" w:rsidRPr="00016E17">
        <w:rPr>
          <w:noProof/>
          <w:sz w:val="24"/>
          <w:szCs w:val="24"/>
        </w:rPr>
        <w:fldChar w:fldCharType="separate"/>
      </w:r>
      <w:r w:rsidR="00A41AD1" w:rsidRPr="00016E17">
        <w:rPr>
          <w:noProof/>
          <w:sz w:val="24"/>
          <w:szCs w:val="24"/>
        </w:rPr>
        <w:t>9</w:t>
      </w:r>
      <w:r w:rsidR="00EA3750" w:rsidRPr="00016E17">
        <w:rPr>
          <w:noProof/>
          <w:sz w:val="24"/>
          <w:szCs w:val="24"/>
        </w:rPr>
        <w:fldChar w:fldCharType="end"/>
      </w:r>
      <w:r w:rsidR="00EA3750" w:rsidRPr="00016E17">
        <w:rPr>
          <w:noProof/>
          <w:sz w:val="24"/>
          <w:szCs w:val="24"/>
        </w:rPr>
        <w:t>.</w:t>
      </w:r>
      <w:r w:rsidR="00EA3750" w:rsidRPr="00016E17">
        <w:rPr>
          <w:noProof/>
          <w:sz w:val="24"/>
          <w:szCs w:val="24"/>
        </w:rPr>
        <w:fldChar w:fldCharType="begin"/>
      </w:r>
      <w:r w:rsidR="00EA3750" w:rsidRPr="00016E17">
        <w:rPr>
          <w:noProof/>
          <w:sz w:val="24"/>
          <w:szCs w:val="24"/>
        </w:rPr>
        <w:instrText xml:space="preserve"> SEQ Table \* ARABIC \s 1 </w:instrText>
      </w:r>
      <w:r w:rsidR="00EA3750" w:rsidRPr="00016E17">
        <w:rPr>
          <w:noProof/>
          <w:sz w:val="24"/>
          <w:szCs w:val="24"/>
        </w:rPr>
        <w:fldChar w:fldCharType="separate"/>
      </w:r>
      <w:r w:rsidR="00A41AD1" w:rsidRPr="00016E17">
        <w:rPr>
          <w:noProof/>
          <w:sz w:val="24"/>
          <w:szCs w:val="24"/>
        </w:rPr>
        <w:t>2</w:t>
      </w:r>
      <w:r w:rsidR="00EA3750" w:rsidRPr="00016E17">
        <w:rPr>
          <w:noProof/>
          <w:sz w:val="24"/>
          <w:szCs w:val="24"/>
        </w:rPr>
        <w:fldChar w:fldCharType="end"/>
      </w:r>
      <w:r w:rsidRPr="00016E17">
        <w:rPr>
          <w:noProof/>
          <w:sz w:val="24"/>
          <w:szCs w:val="24"/>
        </w:rPr>
        <w:t xml:space="preserve">. </w:t>
      </w:r>
      <w:r w:rsidR="00F73182" w:rsidRPr="00016E17">
        <w:rPr>
          <w:noProof/>
          <w:sz w:val="24"/>
          <w:szCs w:val="24"/>
        </w:rPr>
        <w:t>Age-specific transfer coefficients for gadolinium.</w:t>
      </w:r>
    </w:p>
    <w:tbl>
      <w:tblPr>
        <w:tblW w:w="5000" w:type="pct"/>
        <w:tblLayout w:type="fixed"/>
        <w:tblLook w:val="04A0" w:firstRow="1" w:lastRow="0" w:firstColumn="1" w:lastColumn="0" w:noHBand="0" w:noVBand="1"/>
      </w:tblPr>
      <w:tblGrid>
        <w:gridCol w:w="2938"/>
        <w:gridCol w:w="1014"/>
        <w:gridCol w:w="1015"/>
        <w:gridCol w:w="1015"/>
        <w:gridCol w:w="1015"/>
        <w:gridCol w:w="1015"/>
        <w:gridCol w:w="1015"/>
      </w:tblGrid>
      <w:tr w:rsidR="00D322F7" w:rsidRPr="00972C81" w14:paraId="631010AE" w14:textId="77777777" w:rsidTr="00D6697B">
        <w:trPr>
          <w:trHeight w:val="300"/>
        </w:trPr>
        <w:tc>
          <w:tcPr>
            <w:tcW w:w="2938" w:type="dxa"/>
            <w:vMerge w:val="restart"/>
            <w:tcBorders>
              <w:top w:val="single" w:sz="4" w:space="0" w:color="auto"/>
            </w:tcBorders>
            <w:shd w:val="clear" w:color="auto" w:fill="auto"/>
            <w:noWrap/>
            <w:vAlign w:val="center"/>
          </w:tcPr>
          <w:p w14:paraId="7CEC3159" w14:textId="11534F1A" w:rsidR="00D322F7" w:rsidRPr="00382A4B" w:rsidRDefault="00D322F7" w:rsidP="00382A4B">
            <w:pPr>
              <w:pStyle w:val="Table"/>
              <w:rPr>
                <w:noProof/>
                <w:szCs w:val="22"/>
              </w:rPr>
            </w:pPr>
            <w:r w:rsidRPr="00382A4B">
              <w:rPr>
                <w:noProof/>
                <w:szCs w:val="22"/>
              </w:rPr>
              <w:t>Pathway</w:t>
            </w:r>
            <w:r w:rsidR="00E52659" w:rsidRPr="00E52659">
              <w:rPr>
                <w:noProof/>
                <w:szCs w:val="22"/>
                <w:vertAlign w:val="superscript"/>
              </w:rPr>
              <w:t>a</w:t>
            </w:r>
          </w:p>
        </w:tc>
        <w:tc>
          <w:tcPr>
            <w:tcW w:w="6089" w:type="dxa"/>
            <w:gridSpan w:val="6"/>
            <w:tcBorders>
              <w:top w:val="single" w:sz="4" w:space="0" w:color="auto"/>
              <w:bottom w:val="single" w:sz="4" w:space="0" w:color="auto"/>
            </w:tcBorders>
            <w:shd w:val="clear" w:color="auto" w:fill="auto"/>
            <w:noWrap/>
            <w:vAlign w:val="center"/>
          </w:tcPr>
          <w:p w14:paraId="0C2E30BA" w14:textId="77777777" w:rsidR="00D322F7" w:rsidRPr="00382A4B" w:rsidRDefault="00D322F7" w:rsidP="00016E17">
            <w:pPr>
              <w:pStyle w:val="Table"/>
              <w:jc w:val="center"/>
              <w:rPr>
                <w:noProof/>
                <w:szCs w:val="22"/>
              </w:rPr>
            </w:pPr>
            <w:r w:rsidRPr="00382A4B">
              <w:rPr>
                <w:noProof/>
                <w:szCs w:val="22"/>
              </w:rPr>
              <w:t>Transfer coefficient (d</w:t>
            </w:r>
            <w:r w:rsidRPr="00382A4B">
              <w:rPr>
                <w:noProof/>
                <w:szCs w:val="22"/>
                <w:vertAlign w:val="superscript"/>
              </w:rPr>
              <w:t>-1</w:t>
            </w:r>
            <w:r w:rsidRPr="00382A4B">
              <w:rPr>
                <w:noProof/>
                <w:szCs w:val="22"/>
              </w:rPr>
              <w:t>)</w:t>
            </w:r>
          </w:p>
        </w:tc>
      </w:tr>
      <w:tr w:rsidR="00D322F7" w:rsidRPr="00972C81" w14:paraId="5B4C7115" w14:textId="77777777" w:rsidTr="00D6697B">
        <w:trPr>
          <w:trHeight w:val="300"/>
        </w:trPr>
        <w:tc>
          <w:tcPr>
            <w:tcW w:w="2938" w:type="dxa"/>
            <w:vMerge/>
            <w:tcBorders>
              <w:bottom w:val="single" w:sz="4" w:space="0" w:color="auto"/>
            </w:tcBorders>
            <w:shd w:val="clear" w:color="auto" w:fill="auto"/>
            <w:noWrap/>
            <w:vAlign w:val="bottom"/>
          </w:tcPr>
          <w:p w14:paraId="7A5CDD7E" w14:textId="77777777" w:rsidR="00D322F7" w:rsidRPr="00382A4B" w:rsidRDefault="00D322F7" w:rsidP="00E81109">
            <w:pPr>
              <w:pStyle w:val="Table"/>
              <w:rPr>
                <w:noProof/>
                <w:szCs w:val="22"/>
              </w:rPr>
            </w:pPr>
          </w:p>
        </w:tc>
        <w:tc>
          <w:tcPr>
            <w:tcW w:w="1014" w:type="dxa"/>
            <w:tcBorders>
              <w:top w:val="single" w:sz="4" w:space="0" w:color="auto"/>
              <w:bottom w:val="single" w:sz="4" w:space="0" w:color="auto"/>
            </w:tcBorders>
            <w:shd w:val="clear" w:color="auto" w:fill="auto"/>
            <w:noWrap/>
            <w:vAlign w:val="center"/>
          </w:tcPr>
          <w:p w14:paraId="57AA1565" w14:textId="77777777" w:rsidR="00D322F7" w:rsidRPr="00382A4B" w:rsidRDefault="00D322F7" w:rsidP="00016E17">
            <w:pPr>
              <w:pStyle w:val="Table"/>
              <w:rPr>
                <w:noProof/>
                <w:szCs w:val="22"/>
              </w:rPr>
            </w:pPr>
            <w:r w:rsidRPr="00382A4B">
              <w:rPr>
                <w:noProof/>
                <w:szCs w:val="22"/>
              </w:rPr>
              <w:t>100 d</w:t>
            </w:r>
          </w:p>
        </w:tc>
        <w:tc>
          <w:tcPr>
            <w:tcW w:w="1015" w:type="dxa"/>
            <w:tcBorders>
              <w:top w:val="single" w:sz="4" w:space="0" w:color="auto"/>
              <w:bottom w:val="single" w:sz="4" w:space="0" w:color="auto"/>
            </w:tcBorders>
            <w:shd w:val="clear" w:color="auto" w:fill="auto"/>
            <w:noWrap/>
            <w:vAlign w:val="center"/>
          </w:tcPr>
          <w:p w14:paraId="3303AFD0" w14:textId="77777777" w:rsidR="00D322F7" w:rsidRPr="00382A4B" w:rsidRDefault="00D322F7" w:rsidP="00016E17">
            <w:pPr>
              <w:pStyle w:val="Table"/>
              <w:rPr>
                <w:noProof/>
                <w:szCs w:val="22"/>
              </w:rPr>
            </w:pPr>
            <w:r w:rsidRPr="00382A4B">
              <w:rPr>
                <w:noProof/>
                <w:szCs w:val="22"/>
              </w:rPr>
              <w:t>1 y</w:t>
            </w:r>
          </w:p>
        </w:tc>
        <w:tc>
          <w:tcPr>
            <w:tcW w:w="1015" w:type="dxa"/>
            <w:tcBorders>
              <w:top w:val="single" w:sz="4" w:space="0" w:color="auto"/>
              <w:bottom w:val="single" w:sz="4" w:space="0" w:color="auto"/>
            </w:tcBorders>
            <w:shd w:val="clear" w:color="auto" w:fill="auto"/>
            <w:noWrap/>
            <w:vAlign w:val="center"/>
          </w:tcPr>
          <w:p w14:paraId="2F7C9C86" w14:textId="77777777" w:rsidR="00D322F7" w:rsidRPr="00382A4B" w:rsidRDefault="00D322F7" w:rsidP="00016E17">
            <w:pPr>
              <w:pStyle w:val="Table"/>
              <w:rPr>
                <w:noProof/>
                <w:szCs w:val="22"/>
              </w:rPr>
            </w:pPr>
            <w:r w:rsidRPr="00382A4B">
              <w:rPr>
                <w:noProof/>
                <w:szCs w:val="22"/>
              </w:rPr>
              <w:t>5 y</w:t>
            </w:r>
          </w:p>
        </w:tc>
        <w:tc>
          <w:tcPr>
            <w:tcW w:w="1015" w:type="dxa"/>
            <w:tcBorders>
              <w:top w:val="single" w:sz="4" w:space="0" w:color="auto"/>
              <w:bottom w:val="single" w:sz="4" w:space="0" w:color="auto"/>
            </w:tcBorders>
            <w:shd w:val="clear" w:color="auto" w:fill="auto"/>
            <w:noWrap/>
            <w:vAlign w:val="center"/>
          </w:tcPr>
          <w:p w14:paraId="5A8D91FA" w14:textId="77777777" w:rsidR="00D322F7" w:rsidRPr="00382A4B" w:rsidRDefault="00D322F7" w:rsidP="00016E17">
            <w:pPr>
              <w:pStyle w:val="Table"/>
              <w:rPr>
                <w:noProof/>
                <w:szCs w:val="22"/>
              </w:rPr>
            </w:pPr>
            <w:r w:rsidRPr="00382A4B">
              <w:rPr>
                <w:noProof/>
                <w:szCs w:val="22"/>
              </w:rPr>
              <w:t>10 y</w:t>
            </w:r>
          </w:p>
        </w:tc>
        <w:tc>
          <w:tcPr>
            <w:tcW w:w="1015" w:type="dxa"/>
            <w:tcBorders>
              <w:top w:val="single" w:sz="4" w:space="0" w:color="auto"/>
              <w:bottom w:val="single" w:sz="4" w:space="0" w:color="auto"/>
            </w:tcBorders>
            <w:shd w:val="clear" w:color="auto" w:fill="auto"/>
            <w:noWrap/>
            <w:vAlign w:val="center"/>
          </w:tcPr>
          <w:p w14:paraId="042600BC" w14:textId="77777777" w:rsidR="00D322F7" w:rsidRPr="00382A4B" w:rsidRDefault="00D322F7" w:rsidP="00016E17">
            <w:pPr>
              <w:pStyle w:val="Table"/>
              <w:rPr>
                <w:noProof/>
                <w:szCs w:val="22"/>
              </w:rPr>
            </w:pPr>
            <w:r w:rsidRPr="00382A4B">
              <w:rPr>
                <w:noProof/>
                <w:szCs w:val="22"/>
              </w:rPr>
              <w:t>15 y</w:t>
            </w:r>
          </w:p>
        </w:tc>
        <w:tc>
          <w:tcPr>
            <w:tcW w:w="1015" w:type="dxa"/>
            <w:tcBorders>
              <w:top w:val="single" w:sz="4" w:space="0" w:color="auto"/>
              <w:bottom w:val="single" w:sz="4" w:space="0" w:color="auto"/>
            </w:tcBorders>
            <w:shd w:val="clear" w:color="auto" w:fill="auto"/>
            <w:noWrap/>
            <w:vAlign w:val="center"/>
          </w:tcPr>
          <w:p w14:paraId="40F6E8C4" w14:textId="77777777" w:rsidR="00D322F7" w:rsidRPr="00382A4B" w:rsidRDefault="00D322F7" w:rsidP="00016E17">
            <w:pPr>
              <w:pStyle w:val="Table"/>
              <w:rPr>
                <w:noProof/>
                <w:szCs w:val="22"/>
              </w:rPr>
            </w:pPr>
            <w:r w:rsidRPr="00382A4B">
              <w:rPr>
                <w:noProof/>
                <w:szCs w:val="22"/>
              </w:rPr>
              <w:t>Adult</w:t>
            </w:r>
          </w:p>
        </w:tc>
      </w:tr>
      <w:tr w:rsidR="000F3F85" w:rsidRPr="00972C81" w14:paraId="52910167" w14:textId="77777777" w:rsidTr="00016E17">
        <w:trPr>
          <w:trHeight w:val="340"/>
        </w:trPr>
        <w:tc>
          <w:tcPr>
            <w:tcW w:w="2938" w:type="dxa"/>
            <w:tcBorders>
              <w:top w:val="single" w:sz="4" w:space="0" w:color="auto"/>
            </w:tcBorders>
            <w:shd w:val="clear" w:color="auto" w:fill="auto"/>
            <w:noWrap/>
            <w:vAlign w:val="center"/>
            <w:hideMark/>
          </w:tcPr>
          <w:p w14:paraId="1E9B1037" w14:textId="3B63503B" w:rsidR="000F3F85" w:rsidRPr="000F3F85" w:rsidRDefault="000F3F85" w:rsidP="00016E17">
            <w:pPr>
              <w:pStyle w:val="Table"/>
              <w:rPr>
                <w:noProof/>
                <w:sz w:val="20"/>
                <w:szCs w:val="22"/>
              </w:rPr>
            </w:pPr>
            <w:r w:rsidRPr="000F3F85">
              <w:rPr>
                <w:noProof/>
                <w:sz w:val="20"/>
                <w:szCs w:val="22"/>
              </w:rPr>
              <w:t>Blood to Liver 1</w:t>
            </w:r>
          </w:p>
        </w:tc>
        <w:tc>
          <w:tcPr>
            <w:tcW w:w="1014" w:type="dxa"/>
            <w:tcBorders>
              <w:top w:val="single" w:sz="4" w:space="0" w:color="auto"/>
            </w:tcBorders>
            <w:shd w:val="clear" w:color="auto" w:fill="auto"/>
            <w:noWrap/>
            <w:vAlign w:val="center"/>
            <w:hideMark/>
          </w:tcPr>
          <w:p w14:paraId="3DC9E2CD" w14:textId="77777777" w:rsidR="000F3F85" w:rsidRPr="00C47F2F" w:rsidRDefault="000F3F85" w:rsidP="00016E17">
            <w:pPr>
              <w:pStyle w:val="Table"/>
              <w:rPr>
                <w:noProof/>
                <w:sz w:val="20"/>
                <w:szCs w:val="20"/>
              </w:rPr>
            </w:pPr>
            <w:r w:rsidRPr="00C47F2F">
              <w:rPr>
                <w:noProof/>
                <w:sz w:val="20"/>
                <w:szCs w:val="20"/>
              </w:rPr>
              <w:t>1.16E+00</w:t>
            </w:r>
          </w:p>
        </w:tc>
        <w:tc>
          <w:tcPr>
            <w:tcW w:w="1015" w:type="dxa"/>
            <w:tcBorders>
              <w:top w:val="single" w:sz="4" w:space="0" w:color="auto"/>
            </w:tcBorders>
            <w:shd w:val="clear" w:color="auto" w:fill="auto"/>
            <w:noWrap/>
            <w:vAlign w:val="center"/>
            <w:hideMark/>
          </w:tcPr>
          <w:p w14:paraId="050E9DA1" w14:textId="77777777" w:rsidR="000F3F85" w:rsidRPr="00C47F2F" w:rsidRDefault="000F3F85" w:rsidP="00016E17">
            <w:pPr>
              <w:pStyle w:val="Table"/>
              <w:rPr>
                <w:noProof/>
                <w:sz w:val="20"/>
                <w:szCs w:val="20"/>
              </w:rPr>
            </w:pPr>
            <w:r w:rsidRPr="00C47F2F">
              <w:rPr>
                <w:noProof/>
                <w:sz w:val="20"/>
                <w:szCs w:val="20"/>
              </w:rPr>
              <w:t>1.16E+00</w:t>
            </w:r>
          </w:p>
        </w:tc>
        <w:tc>
          <w:tcPr>
            <w:tcW w:w="1015" w:type="dxa"/>
            <w:tcBorders>
              <w:top w:val="single" w:sz="4" w:space="0" w:color="auto"/>
            </w:tcBorders>
            <w:shd w:val="clear" w:color="auto" w:fill="auto"/>
            <w:noWrap/>
            <w:vAlign w:val="center"/>
            <w:hideMark/>
          </w:tcPr>
          <w:p w14:paraId="1CC1E416" w14:textId="77777777" w:rsidR="000F3F85" w:rsidRPr="00C47F2F" w:rsidRDefault="000F3F85" w:rsidP="00016E17">
            <w:pPr>
              <w:pStyle w:val="Table"/>
              <w:rPr>
                <w:noProof/>
                <w:sz w:val="20"/>
                <w:szCs w:val="20"/>
              </w:rPr>
            </w:pPr>
            <w:r w:rsidRPr="00C47F2F">
              <w:rPr>
                <w:noProof/>
                <w:sz w:val="20"/>
                <w:szCs w:val="20"/>
              </w:rPr>
              <w:t>2.33E+00</w:t>
            </w:r>
          </w:p>
        </w:tc>
        <w:tc>
          <w:tcPr>
            <w:tcW w:w="1015" w:type="dxa"/>
            <w:tcBorders>
              <w:top w:val="single" w:sz="4" w:space="0" w:color="auto"/>
            </w:tcBorders>
            <w:shd w:val="clear" w:color="auto" w:fill="auto"/>
            <w:noWrap/>
            <w:vAlign w:val="center"/>
            <w:hideMark/>
          </w:tcPr>
          <w:p w14:paraId="5557D51E" w14:textId="77777777" w:rsidR="000F3F85" w:rsidRPr="00C47F2F" w:rsidRDefault="000F3F85" w:rsidP="00016E17">
            <w:pPr>
              <w:pStyle w:val="Table"/>
              <w:rPr>
                <w:noProof/>
                <w:sz w:val="20"/>
                <w:szCs w:val="20"/>
              </w:rPr>
            </w:pPr>
            <w:r w:rsidRPr="00C47F2F">
              <w:rPr>
                <w:noProof/>
                <w:sz w:val="20"/>
                <w:szCs w:val="20"/>
              </w:rPr>
              <w:t>2.33E+00</w:t>
            </w:r>
          </w:p>
        </w:tc>
        <w:tc>
          <w:tcPr>
            <w:tcW w:w="1015" w:type="dxa"/>
            <w:tcBorders>
              <w:top w:val="single" w:sz="4" w:space="0" w:color="auto"/>
            </w:tcBorders>
            <w:shd w:val="clear" w:color="auto" w:fill="auto"/>
            <w:noWrap/>
            <w:vAlign w:val="center"/>
            <w:hideMark/>
          </w:tcPr>
          <w:p w14:paraId="2597B16C" w14:textId="77777777" w:rsidR="000F3F85" w:rsidRPr="00C47F2F" w:rsidRDefault="000F3F85" w:rsidP="00016E17">
            <w:pPr>
              <w:pStyle w:val="Table"/>
              <w:rPr>
                <w:noProof/>
                <w:sz w:val="20"/>
                <w:szCs w:val="20"/>
              </w:rPr>
            </w:pPr>
            <w:r w:rsidRPr="00C47F2F">
              <w:rPr>
                <w:noProof/>
                <w:sz w:val="20"/>
                <w:szCs w:val="20"/>
              </w:rPr>
              <w:t>2.33E+00</w:t>
            </w:r>
          </w:p>
        </w:tc>
        <w:tc>
          <w:tcPr>
            <w:tcW w:w="1015" w:type="dxa"/>
            <w:tcBorders>
              <w:top w:val="single" w:sz="4" w:space="0" w:color="auto"/>
            </w:tcBorders>
            <w:shd w:val="clear" w:color="auto" w:fill="auto"/>
            <w:noWrap/>
            <w:vAlign w:val="center"/>
            <w:hideMark/>
          </w:tcPr>
          <w:p w14:paraId="477E47B0" w14:textId="77777777" w:rsidR="000F3F85" w:rsidRPr="00C47F2F" w:rsidRDefault="000F3F85" w:rsidP="00016E17">
            <w:pPr>
              <w:pStyle w:val="Table"/>
              <w:rPr>
                <w:noProof/>
                <w:sz w:val="20"/>
                <w:szCs w:val="20"/>
              </w:rPr>
            </w:pPr>
            <w:r w:rsidRPr="00C47F2F">
              <w:rPr>
                <w:noProof/>
                <w:sz w:val="20"/>
                <w:szCs w:val="20"/>
              </w:rPr>
              <w:t>5.82E+00</w:t>
            </w:r>
          </w:p>
        </w:tc>
      </w:tr>
      <w:tr w:rsidR="000F3F85" w:rsidRPr="00972C81" w14:paraId="312148C0" w14:textId="77777777" w:rsidTr="00016E17">
        <w:trPr>
          <w:trHeight w:val="340"/>
        </w:trPr>
        <w:tc>
          <w:tcPr>
            <w:tcW w:w="2938" w:type="dxa"/>
            <w:shd w:val="clear" w:color="auto" w:fill="auto"/>
            <w:noWrap/>
            <w:vAlign w:val="center"/>
            <w:hideMark/>
          </w:tcPr>
          <w:p w14:paraId="1FEFBDC9" w14:textId="4F173748" w:rsidR="000F3F85" w:rsidRPr="000F3F85" w:rsidRDefault="000F3F85" w:rsidP="00016E17">
            <w:pPr>
              <w:pStyle w:val="Table"/>
              <w:rPr>
                <w:noProof/>
                <w:sz w:val="20"/>
                <w:szCs w:val="22"/>
              </w:rPr>
            </w:pPr>
            <w:r w:rsidRPr="000F3F85">
              <w:rPr>
                <w:noProof/>
                <w:sz w:val="20"/>
                <w:szCs w:val="22"/>
              </w:rPr>
              <w:t>Blood to  ST0</w:t>
            </w:r>
          </w:p>
        </w:tc>
        <w:tc>
          <w:tcPr>
            <w:tcW w:w="1014" w:type="dxa"/>
            <w:shd w:val="clear" w:color="auto" w:fill="auto"/>
            <w:noWrap/>
            <w:vAlign w:val="center"/>
            <w:hideMark/>
          </w:tcPr>
          <w:p w14:paraId="4B509B0A" w14:textId="77777777" w:rsidR="000F3F85" w:rsidRPr="00C47F2F" w:rsidRDefault="000F3F85" w:rsidP="00016E17">
            <w:pPr>
              <w:pStyle w:val="Table"/>
              <w:rPr>
                <w:noProof/>
                <w:sz w:val="20"/>
                <w:szCs w:val="20"/>
              </w:rPr>
            </w:pPr>
            <w:r w:rsidRPr="00C47F2F">
              <w:rPr>
                <w:noProof/>
                <w:sz w:val="20"/>
                <w:szCs w:val="20"/>
              </w:rPr>
              <w:t>9.98E+00</w:t>
            </w:r>
          </w:p>
        </w:tc>
        <w:tc>
          <w:tcPr>
            <w:tcW w:w="1015" w:type="dxa"/>
            <w:shd w:val="clear" w:color="auto" w:fill="auto"/>
            <w:noWrap/>
            <w:vAlign w:val="center"/>
            <w:hideMark/>
          </w:tcPr>
          <w:p w14:paraId="6E58B25C" w14:textId="77777777" w:rsidR="000F3F85" w:rsidRPr="00C47F2F" w:rsidRDefault="000F3F85" w:rsidP="00016E17">
            <w:pPr>
              <w:pStyle w:val="Table"/>
              <w:rPr>
                <w:noProof/>
                <w:sz w:val="20"/>
                <w:szCs w:val="20"/>
              </w:rPr>
            </w:pPr>
            <w:r w:rsidRPr="00C47F2F">
              <w:rPr>
                <w:noProof/>
                <w:sz w:val="20"/>
                <w:szCs w:val="20"/>
              </w:rPr>
              <w:t>9.98E+00</w:t>
            </w:r>
          </w:p>
        </w:tc>
        <w:tc>
          <w:tcPr>
            <w:tcW w:w="1015" w:type="dxa"/>
            <w:shd w:val="clear" w:color="auto" w:fill="auto"/>
            <w:noWrap/>
            <w:vAlign w:val="center"/>
            <w:hideMark/>
          </w:tcPr>
          <w:p w14:paraId="5BBF6A8E" w14:textId="77777777" w:rsidR="000F3F85" w:rsidRPr="00C47F2F" w:rsidRDefault="000F3F85" w:rsidP="00016E17">
            <w:pPr>
              <w:pStyle w:val="Table"/>
              <w:rPr>
                <w:noProof/>
                <w:sz w:val="20"/>
                <w:szCs w:val="20"/>
              </w:rPr>
            </w:pPr>
            <w:r w:rsidRPr="00C47F2F">
              <w:rPr>
                <w:noProof/>
                <w:sz w:val="20"/>
                <w:szCs w:val="20"/>
              </w:rPr>
              <w:t>9.98E+00</w:t>
            </w:r>
          </w:p>
        </w:tc>
        <w:tc>
          <w:tcPr>
            <w:tcW w:w="1015" w:type="dxa"/>
            <w:shd w:val="clear" w:color="auto" w:fill="auto"/>
            <w:noWrap/>
            <w:vAlign w:val="center"/>
            <w:hideMark/>
          </w:tcPr>
          <w:p w14:paraId="5967C272" w14:textId="77777777" w:rsidR="000F3F85" w:rsidRPr="00C47F2F" w:rsidRDefault="000F3F85" w:rsidP="00016E17">
            <w:pPr>
              <w:pStyle w:val="Table"/>
              <w:rPr>
                <w:noProof/>
                <w:sz w:val="20"/>
                <w:szCs w:val="20"/>
              </w:rPr>
            </w:pPr>
            <w:r w:rsidRPr="00C47F2F">
              <w:rPr>
                <w:noProof/>
                <w:sz w:val="20"/>
                <w:szCs w:val="20"/>
              </w:rPr>
              <w:t>9.98E+00</w:t>
            </w:r>
          </w:p>
        </w:tc>
        <w:tc>
          <w:tcPr>
            <w:tcW w:w="1015" w:type="dxa"/>
            <w:shd w:val="clear" w:color="auto" w:fill="auto"/>
            <w:noWrap/>
            <w:vAlign w:val="center"/>
            <w:hideMark/>
          </w:tcPr>
          <w:p w14:paraId="7C9B68BA" w14:textId="77777777" w:rsidR="000F3F85" w:rsidRPr="00C47F2F" w:rsidRDefault="000F3F85" w:rsidP="00016E17">
            <w:pPr>
              <w:pStyle w:val="Table"/>
              <w:rPr>
                <w:noProof/>
                <w:sz w:val="20"/>
                <w:szCs w:val="20"/>
              </w:rPr>
            </w:pPr>
            <w:r w:rsidRPr="00C47F2F">
              <w:rPr>
                <w:noProof/>
                <w:sz w:val="20"/>
                <w:szCs w:val="20"/>
              </w:rPr>
              <w:t>9.98E+00</w:t>
            </w:r>
          </w:p>
        </w:tc>
        <w:tc>
          <w:tcPr>
            <w:tcW w:w="1015" w:type="dxa"/>
            <w:shd w:val="clear" w:color="auto" w:fill="auto"/>
            <w:noWrap/>
            <w:vAlign w:val="center"/>
            <w:hideMark/>
          </w:tcPr>
          <w:p w14:paraId="710D9530" w14:textId="77777777" w:rsidR="000F3F85" w:rsidRPr="00C47F2F" w:rsidRDefault="000F3F85" w:rsidP="00016E17">
            <w:pPr>
              <w:pStyle w:val="Table"/>
              <w:rPr>
                <w:noProof/>
                <w:sz w:val="20"/>
                <w:szCs w:val="20"/>
              </w:rPr>
            </w:pPr>
            <w:r w:rsidRPr="00C47F2F">
              <w:rPr>
                <w:noProof/>
                <w:sz w:val="20"/>
                <w:szCs w:val="20"/>
              </w:rPr>
              <w:t>9.98E+00</w:t>
            </w:r>
          </w:p>
        </w:tc>
      </w:tr>
      <w:tr w:rsidR="000F3F85" w:rsidRPr="00972C81" w14:paraId="386B7B6D" w14:textId="77777777" w:rsidTr="00016E17">
        <w:trPr>
          <w:trHeight w:val="340"/>
        </w:trPr>
        <w:tc>
          <w:tcPr>
            <w:tcW w:w="2938" w:type="dxa"/>
            <w:shd w:val="clear" w:color="auto" w:fill="auto"/>
            <w:noWrap/>
            <w:vAlign w:val="center"/>
            <w:hideMark/>
          </w:tcPr>
          <w:p w14:paraId="64F0C065" w14:textId="3910027C" w:rsidR="000F3F85" w:rsidRPr="000F3F85" w:rsidRDefault="000F3F85" w:rsidP="00016E17">
            <w:pPr>
              <w:pStyle w:val="Table"/>
              <w:rPr>
                <w:noProof/>
                <w:sz w:val="20"/>
                <w:szCs w:val="22"/>
              </w:rPr>
            </w:pPr>
            <w:r w:rsidRPr="000F3F85">
              <w:rPr>
                <w:noProof/>
                <w:sz w:val="20"/>
                <w:szCs w:val="22"/>
              </w:rPr>
              <w:t>Blood to  ST1</w:t>
            </w:r>
          </w:p>
        </w:tc>
        <w:tc>
          <w:tcPr>
            <w:tcW w:w="1014" w:type="dxa"/>
            <w:shd w:val="clear" w:color="auto" w:fill="auto"/>
            <w:noWrap/>
            <w:vAlign w:val="center"/>
            <w:hideMark/>
          </w:tcPr>
          <w:p w14:paraId="0311C9F2" w14:textId="77777777" w:rsidR="000F3F85" w:rsidRPr="00C47F2F" w:rsidRDefault="000F3F85" w:rsidP="00016E17">
            <w:pPr>
              <w:pStyle w:val="Table"/>
              <w:rPr>
                <w:noProof/>
                <w:sz w:val="20"/>
                <w:szCs w:val="20"/>
              </w:rPr>
            </w:pPr>
            <w:r w:rsidRPr="00C47F2F">
              <w:rPr>
                <w:noProof/>
                <w:sz w:val="20"/>
                <w:szCs w:val="20"/>
              </w:rPr>
              <w:t>2.33E+00</w:t>
            </w:r>
          </w:p>
        </w:tc>
        <w:tc>
          <w:tcPr>
            <w:tcW w:w="1015" w:type="dxa"/>
            <w:shd w:val="clear" w:color="auto" w:fill="auto"/>
            <w:noWrap/>
            <w:vAlign w:val="center"/>
            <w:hideMark/>
          </w:tcPr>
          <w:p w14:paraId="5C7D07ED" w14:textId="77777777" w:rsidR="000F3F85" w:rsidRPr="00C47F2F" w:rsidRDefault="000F3F85" w:rsidP="00016E17">
            <w:pPr>
              <w:pStyle w:val="Table"/>
              <w:rPr>
                <w:noProof/>
                <w:sz w:val="20"/>
                <w:szCs w:val="20"/>
              </w:rPr>
            </w:pPr>
            <w:r w:rsidRPr="00C47F2F">
              <w:rPr>
                <w:noProof/>
                <w:sz w:val="20"/>
                <w:szCs w:val="20"/>
              </w:rPr>
              <w:t>2.33E+00</w:t>
            </w:r>
          </w:p>
        </w:tc>
        <w:tc>
          <w:tcPr>
            <w:tcW w:w="1015" w:type="dxa"/>
            <w:shd w:val="clear" w:color="auto" w:fill="auto"/>
            <w:noWrap/>
            <w:vAlign w:val="center"/>
            <w:hideMark/>
          </w:tcPr>
          <w:p w14:paraId="43A60616" w14:textId="77777777" w:rsidR="000F3F85" w:rsidRPr="00C47F2F" w:rsidRDefault="000F3F85" w:rsidP="00016E17">
            <w:pPr>
              <w:pStyle w:val="Table"/>
              <w:rPr>
                <w:noProof/>
                <w:sz w:val="20"/>
                <w:szCs w:val="20"/>
              </w:rPr>
            </w:pPr>
            <w:r w:rsidRPr="00C47F2F">
              <w:rPr>
                <w:noProof/>
                <w:sz w:val="20"/>
                <w:szCs w:val="20"/>
              </w:rPr>
              <w:t>3.48E+00</w:t>
            </w:r>
          </w:p>
        </w:tc>
        <w:tc>
          <w:tcPr>
            <w:tcW w:w="1015" w:type="dxa"/>
            <w:shd w:val="clear" w:color="auto" w:fill="auto"/>
            <w:noWrap/>
            <w:vAlign w:val="center"/>
            <w:hideMark/>
          </w:tcPr>
          <w:p w14:paraId="5344558E" w14:textId="77777777" w:rsidR="000F3F85" w:rsidRPr="00C47F2F" w:rsidRDefault="000F3F85" w:rsidP="00016E17">
            <w:pPr>
              <w:pStyle w:val="Table"/>
              <w:rPr>
                <w:noProof/>
                <w:sz w:val="20"/>
                <w:szCs w:val="20"/>
              </w:rPr>
            </w:pPr>
            <w:r w:rsidRPr="00C47F2F">
              <w:rPr>
                <w:noProof/>
                <w:sz w:val="20"/>
                <w:szCs w:val="20"/>
              </w:rPr>
              <w:t>3.48E+00</w:t>
            </w:r>
          </w:p>
        </w:tc>
        <w:tc>
          <w:tcPr>
            <w:tcW w:w="1015" w:type="dxa"/>
            <w:shd w:val="clear" w:color="auto" w:fill="auto"/>
            <w:noWrap/>
            <w:vAlign w:val="center"/>
            <w:hideMark/>
          </w:tcPr>
          <w:p w14:paraId="7F930113" w14:textId="77777777" w:rsidR="000F3F85" w:rsidRPr="00C47F2F" w:rsidRDefault="000F3F85" w:rsidP="00016E17">
            <w:pPr>
              <w:pStyle w:val="Table"/>
              <w:rPr>
                <w:noProof/>
                <w:sz w:val="20"/>
                <w:szCs w:val="20"/>
              </w:rPr>
            </w:pPr>
            <w:r w:rsidRPr="00C47F2F">
              <w:rPr>
                <w:noProof/>
                <w:sz w:val="20"/>
                <w:szCs w:val="20"/>
              </w:rPr>
              <w:t>3.48E+00</w:t>
            </w:r>
          </w:p>
        </w:tc>
        <w:tc>
          <w:tcPr>
            <w:tcW w:w="1015" w:type="dxa"/>
            <w:shd w:val="clear" w:color="auto" w:fill="auto"/>
            <w:noWrap/>
            <w:vAlign w:val="center"/>
            <w:hideMark/>
          </w:tcPr>
          <w:p w14:paraId="459D2399" w14:textId="77777777" w:rsidR="000F3F85" w:rsidRPr="00C47F2F" w:rsidRDefault="000F3F85" w:rsidP="00016E17">
            <w:pPr>
              <w:pStyle w:val="Table"/>
              <w:rPr>
                <w:noProof/>
                <w:sz w:val="20"/>
                <w:szCs w:val="20"/>
              </w:rPr>
            </w:pPr>
            <w:r w:rsidRPr="00C47F2F">
              <w:rPr>
                <w:noProof/>
                <w:sz w:val="20"/>
                <w:szCs w:val="20"/>
              </w:rPr>
              <w:t>3.48E+00</w:t>
            </w:r>
          </w:p>
        </w:tc>
      </w:tr>
      <w:tr w:rsidR="000F3F85" w:rsidRPr="00972C81" w14:paraId="55587E6F" w14:textId="77777777" w:rsidTr="00016E17">
        <w:trPr>
          <w:trHeight w:val="340"/>
        </w:trPr>
        <w:tc>
          <w:tcPr>
            <w:tcW w:w="2938" w:type="dxa"/>
            <w:shd w:val="clear" w:color="auto" w:fill="auto"/>
            <w:noWrap/>
            <w:vAlign w:val="center"/>
            <w:hideMark/>
          </w:tcPr>
          <w:p w14:paraId="0E6ACC15" w14:textId="3B83AEF3" w:rsidR="000F3F85" w:rsidRPr="000F3F85" w:rsidRDefault="000F3F85" w:rsidP="00016E17">
            <w:pPr>
              <w:pStyle w:val="Table"/>
              <w:rPr>
                <w:noProof/>
                <w:sz w:val="20"/>
                <w:szCs w:val="22"/>
              </w:rPr>
            </w:pPr>
            <w:r w:rsidRPr="000F3F85">
              <w:rPr>
                <w:noProof/>
                <w:sz w:val="20"/>
                <w:szCs w:val="22"/>
              </w:rPr>
              <w:t>Blood to  ST2</w:t>
            </w:r>
          </w:p>
        </w:tc>
        <w:tc>
          <w:tcPr>
            <w:tcW w:w="1014" w:type="dxa"/>
            <w:shd w:val="clear" w:color="auto" w:fill="auto"/>
            <w:noWrap/>
            <w:vAlign w:val="center"/>
            <w:hideMark/>
          </w:tcPr>
          <w:p w14:paraId="3224000C" w14:textId="77777777" w:rsidR="000F3F85" w:rsidRPr="00C47F2F" w:rsidRDefault="000F3F85" w:rsidP="00016E17">
            <w:pPr>
              <w:pStyle w:val="Table"/>
              <w:rPr>
                <w:noProof/>
                <w:sz w:val="20"/>
                <w:szCs w:val="20"/>
              </w:rPr>
            </w:pPr>
            <w:r w:rsidRPr="00C47F2F">
              <w:rPr>
                <w:noProof/>
                <w:sz w:val="20"/>
                <w:szCs w:val="20"/>
              </w:rPr>
              <w:t>4.66E-01</w:t>
            </w:r>
          </w:p>
        </w:tc>
        <w:tc>
          <w:tcPr>
            <w:tcW w:w="1015" w:type="dxa"/>
            <w:shd w:val="clear" w:color="auto" w:fill="auto"/>
            <w:noWrap/>
            <w:vAlign w:val="center"/>
            <w:hideMark/>
          </w:tcPr>
          <w:p w14:paraId="2A228B9A" w14:textId="77777777" w:rsidR="000F3F85" w:rsidRPr="00C47F2F" w:rsidRDefault="000F3F85" w:rsidP="00016E17">
            <w:pPr>
              <w:pStyle w:val="Table"/>
              <w:rPr>
                <w:noProof/>
                <w:sz w:val="20"/>
                <w:szCs w:val="20"/>
              </w:rPr>
            </w:pPr>
            <w:r w:rsidRPr="00C47F2F">
              <w:rPr>
                <w:noProof/>
                <w:sz w:val="20"/>
                <w:szCs w:val="20"/>
              </w:rPr>
              <w:t>4.66E-01</w:t>
            </w:r>
          </w:p>
        </w:tc>
        <w:tc>
          <w:tcPr>
            <w:tcW w:w="1015" w:type="dxa"/>
            <w:shd w:val="clear" w:color="auto" w:fill="auto"/>
            <w:noWrap/>
            <w:vAlign w:val="center"/>
            <w:hideMark/>
          </w:tcPr>
          <w:p w14:paraId="0A52521D" w14:textId="77777777" w:rsidR="000F3F85" w:rsidRPr="00C47F2F" w:rsidRDefault="000F3F85" w:rsidP="00016E17">
            <w:pPr>
              <w:pStyle w:val="Table"/>
              <w:rPr>
                <w:noProof/>
                <w:sz w:val="20"/>
                <w:szCs w:val="20"/>
              </w:rPr>
            </w:pPr>
            <w:r w:rsidRPr="00C47F2F">
              <w:rPr>
                <w:noProof/>
                <w:sz w:val="20"/>
                <w:szCs w:val="20"/>
              </w:rPr>
              <w:t>4.66E-01</w:t>
            </w:r>
          </w:p>
        </w:tc>
        <w:tc>
          <w:tcPr>
            <w:tcW w:w="1015" w:type="dxa"/>
            <w:shd w:val="clear" w:color="auto" w:fill="auto"/>
            <w:noWrap/>
            <w:vAlign w:val="center"/>
            <w:hideMark/>
          </w:tcPr>
          <w:p w14:paraId="1324DABC" w14:textId="77777777" w:rsidR="000F3F85" w:rsidRPr="00C47F2F" w:rsidRDefault="000F3F85" w:rsidP="00016E17">
            <w:pPr>
              <w:pStyle w:val="Table"/>
              <w:rPr>
                <w:noProof/>
                <w:sz w:val="20"/>
                <w:szCs w:val="20"/>
              </w:rPr>
            </w:pPr>
            <w:r w:rsidRPr="00C47F2F">
              <w:rPr>
                <w:noProof/>
                <w:sz w:val="20"/>
                <w:szCs w:val="20"/>
              </w:rPr>
              <w:t>4.66E-01</w:t>
            </w:r>
          </w:p>
        </w:tc>
        <w:tc>
          <w:tcPr>
            <w:tcW w:w="1015" w:type="dxa"/>
            <w:shd w:val="clear" w:color="auto" w:fill="auto"/>
            <w:noWrap/>
            <w:vAlign w:val="center"/>
            <w:hideMark/>
          </w:tcPr>
          <w:p w14:paraId="07E81A9E" w14:textId="77777777" w:rsidR="000F3F85" w:rsidRPr="00C47F2F" w:rsidRDefault="000F3F85" w:rsidP="00016E17">
            <w:pPr>
              <w:pStyle w:val="Table"/>
              <w:rPr>
                <w:noProof/>
                <w:sz w:val="20"/>
                <w:szCs w:val="20"/>
              </w:rPr>
            </w:pPr>
            <w:r w:rsidRPr="00C47F2F">
              <w:rPr>
                <w:noProof/>
                <w:sz w:val="20"/>
                <w:szCs w:val="20"/>
              </w:rPr>
              <w:t>4.66E-01</w:t>
            </w:r>
          </w:p>
        </w:tc>
        <w:tc>
          <w:tcPr>
            <w:tcW w:w="1015" w:type="dxa"/>
            <w:shd w:val="clear" w:color="auto" w:fill="auto"/>
            <w:noWrap/>
            <w:vAlign w:val="center"/>
            <w:hideMark/>
          </w:tcPr>
          <w:p w14:paraId="6E51DB57" w14:textId="77777777" w:rsidR="000F3F85" w:rsidRPr="00C47F2F" w:rsidRDefault="000F3F85" w:rsidP="00016E17">
            <w:pPr>
              <w:pStyle w:val="Table"/>
              <w:rPr>
                <w:noProof/>
                <w:sz w:val="20"/>
                <w:szCs w:val="20"/>
              </w:rPr>
            </w:pPr>
            <w:r w:rsidRPr="00C47F2F">
              <w:rPr>
                <w:noProof/>
                <w:sz w:val="20"/>
                <w:szCs w:val="20"/>
              </w:rPr>
              <w:t>4.66E-01</w:t>
            </w:r>
          </w:p>
        </w:tc>
      </w:tr>
      <w:tr w:rsidR="000F3F85" w:rsidRPr="00972C81" w14:paraId="57FC3AB2" w14:textId="77777777" w:rsidTr="00016E17">
        <w:trPr>
          <w:trHeight w:val="340"/>
        </w:trPr>
        <w:tc>
          <w:tcPr>
            <w:tcW w:w="2938" w:type="dxa"/>
            <w:shd w:val="clear" w:color="auto" w:fill="auto"/>
            <w:noWrap/>
            <w:vAlign w:val="center"/>
            <w:hideMark/>
          </w:tcPr>
          <w:p w14:paraId="3EF73C78" w14:textId="0FA3A5AD" w:rsidR="000F3F85" w:rsidRPr="000F3F85" w:rsidRDefault="000F3F85" w:rsidP="00016E17">
            <w:pPr>
              <w:pStyle w:val="Table"/>
              <w:rPr>
                <w:noProof/>
                <w:sz w:val="20"/>
                <w:szCs w:val="22"/>
              </w:rPr>
            </w:pPr>
            <w:r w:rsidRPr="000F3F85">
              <w:rPr>
                <w:noProof/>
                <w:sz w:val="20"/>
                <w:szCs w:val="22"/>
              </w:rPr>
              <w:t>Blood to Cort bone surf</w:t>
            </w:r>
          </w:p>
        </w:tc>
        <w:tc>
          <w:tcPr>
            <w:tcW w:w="1014" w:type="dxa"/>
            <w:shd w:val="clear" w:color="auto" w:fill="auto"/>
            <w:noWrap/>
            <w:vAlign w:val="center"/>
            <w:hideMark/>
          </w:tcPr>
          <w:p w14:paraId="2DD7A0C3" w14:textId="77777777" w:rsidR="000F3F85" w:rsidRPr="00C47F2F" w:rsidRDefault="000F3F85" w:rsidP="00016E17">
            <w:pPr>
              <w:pStyle w:val="Table"/>
              <w:rPr>
                <w:noProof/>
                <w:sz w:val="20"/>
                <w:szCs w:val="20"/>
              </w:rPr>
            </w:pPr>
            <w:r w:rsidRPr="00C47F2F">
              <w:rPr>
                <w:noProof/>
                <w:sz w:val="20"/>
                <w:szCs w:val="20"/>
              </w:rPr>
              <w:t>8.15E+00</w:t>
            </w:r>
          </w:p>
        </w:tc>
        <w:tc>
          <w:tcPr>
            <w:tcW w:w="1015" w:type="dxa"/>
            <w:shd w:val="clear" w:color="auto" w:fill="auto"/>
            <w:noWrap/>
            <w:vAlign w:val="center"/>
            <w:hideMark/>
          </w:tcPr>
          <w:p w14:paraId="443F1229" w14:textId="77777777" w:rsidR="000F3F85" w:rsidRPr="00C47F2F" w:rsidRDefault="000F3F85" w:rsidP="00016E17">
            <w:pPr>
              <w:pStyle w:val="Table"/>
              <w:rPr>
                <w:noProof/>
                <w:sz w:val="20"/>
                <w:szCs w:val="20"/>
              </w:rPr>
            </w:pPr>
            <w:r w:rsidRPr="00C47F2F">
              <w:rPr>
                <w:noProof/>
                <w:sz w:val="20"/>
                <w:szCs w:val="20"/>
              </w:rPr>
              <w:t>8.15E+00</w:t>
            </w:r>
          </w:p>
        </w:tc>
        <w:tc>
          <w:tcPr>
            <w:tcW w:w="1015" w:type="dxa"/>
            <w:shd w:val="clear" w:color="auto" w:fill="auto"/>
            <w:noWrap/>
            <w:vAlign w:val="center"/>
            <w:hideMark/>
          </w:tcPr>
          <w:p w14:paraId="42A88703" w14:textId="77777777" w:rsidR="000F3F85" w:rsidRPr="00C47F2F" w:rsidRDefault="000F3F85" w:rsidP="00016E17">
            <w:pPr>
              <w:pStyle w:val="Table"/>
              <w:rPr>
                <w:noProof/>
                <w:sz w:val="20"/>
                <w:szCs w:val="20"/>
              </w:rPr>
            </w:pPr>
            <w:r w:rsidRPr="00C47F2F">
              <w:rPr>
                <w:noProof/>
                <w:sz w:val="20"/>
                <w:szCs w:val="20"/>
              </w:rPr>
              <w:t>6.41E+00</w:t>
            </w:r>
          </w:p>
        </w:tc>
        <w:tc>
          <w:tcPr>
            <w:tcW w:w="1015" w:type="dxa"/>
            <w:shd w:val="clear" w:color="auto" w:fill="auto"/>
            <w:noWrap/>
            <w:vAlign w:val="center"/>
            <w:hideMark/>
          </w:tcPr>
          <w:p w14:paraId="565048F1" w14:textId="77777777" w:rsidR="000F3F85" w:rsidRPr="00C47F2F" w:rsidRDefault="000F3F85" w:rsidP="00016E17">
            <w:pPr>
              <w:pStyle w:val="Table"/>
              <w:rPr>
                <w:noProof/>
                <w:sz w:val="20"/>
                <w:szCs w:val="20"/>
              </w:rPr>
            </w:pPr>
            <w:r w:rsidRPr="00C47F2F">
              <w:rPr>
                <w:noProof/>
                <w:sz w:val="20"/>
                <w:szCs w:val="20"/>
              </w:rPr>
              <w:t>6.41E+00</w:t>
            </w:r>
          </w:p>
        </w:tc>
        <w:tc>
          <w:tcPr>
            <w:tcW w:w="1015" w:type="dxa"/>
            <w:shd w:val="clear" w:color="auto" w:fill="auto"/>
            <w:noWrap/>
            <w:vAlign w:val="center"/>
            <w:hideMark/>
          </w:tcPr>
          <w:p w14:paraId="610B30FF" w14:textId="77777777" w:rsidR="000F3F85" w:rsidRPr="00C47F2F" w:rsidRDefault="000F3F85" w:rsidP="00016E17">
            <w:pPr>
              <w:pStyle w:val="Table"/>
              <w:rPr>
                <w:noProof/>
                <w:sz w:val="20"/>
                <w:szCs w:val="20"/>
              </w:rPr>
            </w:pPr>
            <w:r w:rsidRPr="00C47F2F">
              <w:rPr>
                <w:noProof/>
                <w:sz w:val="20"/>
                <w:szCs w:val="20"/>
              </w:rPr>
              <w:t>6.41E+00</w:t>
            </w:r>
          </w:p>
        </w:tc>
        <w:tc>
          <w:tcPr>
            <w:tcW w:w="1015" w:type="dxa"/>
            <w:shd w:val="clear" w:color="auto" w:fill="auto"/>
            <w:noWrap/>
            <w:vAlign w:val="center"/>
            <w:hideMark/>
          </w:tcPr>
          <w:p w14:paraId="0563929D" w14:textId="77777777" w:rsidR="000F3F85" w:rsidRPr="00C47F2F" w:rsidRDefault="000F3F85" w:rsidP="00016E17">
            <w:pPr>
              <w:pStyle w:val="Table"/>
              <w:rPr>
                <w:noProof/>
                <w:sz w:val="20"/>
                <w:szCs w:val="20"/>
              </w:rPr>
            </w:pPr>
            <w:r w:rsidRPr="00C47F2F">
              <w:rPr>
                <w:noProof/>
                <w:sz w:val="20"/>
                <w:szCs w:val="20"/>
              </w:rPr>
              <w:t>5.24E+00</w:t>
            </w:r>
          </w:p>
        </w:tc>
      </w:tr>
      <w:tr w:rsidR="000F3F85" w:rsidRPr="00972C81" w14:paraId="47641194" w14:textId="77777777" w:rsidTr="00016E17">
        <w:trPr>
          <w:trHeight w:val="340"/>
        </w:trPr>
        <w:tc>
          <w:tcPr>
            <w:tcW w:w="2938" w:type="dxa"/>
            <w:shd w:val="clear" w:color="auto" w:fill="auto"/>
            <w:noWrap/>
            <w:vAlign w:val="center"/>
            <w:hideMark/>
          </w:tcPr>
          <w:p w14:paraId="02649835" w14:textId="6A708951" w:rsidR="000F3F85" w:rsidRPr="000F3F85" w:rsidRDefault="000F3F85" w:rsidP="00016E17">
            <w:pPr>
              <w:pStyle w:val="Table"/>
              <w:rPr>
                <w:noProof/>
                <w:sz w:val="20"/>
                <w:szCs w:val="22"/>
              </w:rPr>
            </w:pPr>
            <w:r w:rsidRPr="000F3F85">
              <w:rPr>
                <w:noProof/>
                <w:sz w:val="20"/>
                <w:szCs w:val="22"/>
              </w:rPr>
              <w:t>Blood to Trab bone surf</w:t>
            </w:r>
          </w:p>
        </w:tc>
        <w:tc>
          <w:tcPr>
            <w:tcW w:w="1014" w:type="dxa"/>
            <w:shd w:val="clear" w:color="auto" w:fill="auto"/>
            <w:noWrap/>
            <w:vAlign w:val="center"/>
            <w:hideMark/>
          </w:tcPr>
          <w:p w14:paraId="682FDF0D" w14:textId="77777777" w:rsidR="000F3F85" w:rsidRPr="00C47F2F" w:rsidRDefault="000F3F85" w:rsidP="00016E17">
            <w:pPr>
              <w:pStyle w:val="Table"/>
              <w:rPr>
                <w:noProof/>
                <w:sz w:val="20"/>
                <w:szCs w:val="20"/>
              </w:rPr>
            </w:pPr>
            <w:r w:rsidRPr="00C47F2F">
              <w:rPr>
                <w:noProof/>
                <w:sz w:val="20"/>
                <w:szCs w:val="20"/>
              </w:rPr>
              <w:t>8.15E+00</w:t>
            </w:r>
          </w:p>
        </w:tc>
        <w:tc>
          <w:tcPr>
            <w:tcW w:w="1015" w:type="dxa"/>
            <w:shd w:val="clear" w:color="auto" w:fill="auto"/>
            <w:noWrap/>
            <w:vAlign w:val="center"/>
            <w:hideMark/>
          </w:tcPr>
          <w:p w14:paraId="0F8CDF9A" w14:textId="77777777" w:rsidR="000F3F85" w:rsidRPr="00C47F2F" w:rsidRDefault="000F3F85" w:rsidP="00016E17">
            <w:pPr>
              <w:pStyle w:val="Table"/>
              <w:rPr>
                <w:noProof/>
                <w:sz w:val="20"/>
                <w:szCs w:val="20"/>
              </w:rPr>
            </w:pPr>
            <w:r w:rsidRPr="00C47F2F">
              <w:rPr>
                <w:noProof/>
                <w:sz w:val="20"/>
                <w:szCs w:val="20"/>
              </w:rPr>
              <w:t>8.15E+00</w:t>
            </w:r>
          </w:p>
        </w:tc>
        <w:tc>
          <w:tcPr>
            <w:tcW w:w="1015" w:type="dxa"/>
            <w:shd w:val="clear" w:color="auto" w:fill="auto"/>
            <w:noWrap/>
            <w:vAlign w:val="center"/>
            <w:hideMark/>
          </w:tcPr>
          <w:p w14:paraId="2A6AD450" w14:textId="77777777" w:rsidR="000F3F85" w:rsidRPr="00C47F2F" w:rsidRDefault="000F3F85" w:rsidP="00016E17">
            <w:pPr>
              <w:pStyle w:val="Table"/>
              <w:rPr>
                <w:noProof/>
                <w:sz w:val="20"/>
                <w:szCs w:val="20"/>
              </w:rPr>
            </w:pPr>
            <w:r w:rsidRPr="00C47F2F">
              <w:rPr>
                <w:noProof/>
                <w:sz w:val="20"/>
                <w:szCs w:val="20"/>
              </w:rPr>
              <w:t>6.41E+00</w:t>
            </w:r>
          </w:p>
        </w:tc>
        <w:tc>
          <w:tcPr>
            <w:tcW w:w="1015" w:type="dxa"/>
            <w:shd w:val="clear" w:color="auto" w:fill="auto"/>
            <w:noWrap/>
            <w:vAlign w:val="center"/>
            <w:hideMark/>
          </w:tcPr>
          <w:p w14:paraId="5F5FD1D5" w14:textId="77777777" w:rsidR="000F3F85" w:rsidRPr="00C47F2F" w:rsidRDefault="000F3F85" w:rsidP="00016E17">
            <w:pPr>
              <w:pStyle w:val="Table"/>
              <w:rPr>
                <w:noProof/>
                <w:sz w:val="20"/>
                <w:szCs w:val="20"/>
              </w:rPr>
            </w:pPr>
            <w:r w:rsidRPr="00C47F2F">
              <w:rPr>
                <w:noProof/>
                <w:sz w:val="20"/>
                <w:szCs w:val="20"/>
              </w:rPr>
              <w:t>6.41E+00</w:t>
            </w:r>
          </w:p>
        </w:tc>
        <w:tc>
          <w:tcPr>
            <w:tcW w:w="1015" w:type="dxa"/>
            <w:shd w:val="clear" w:color="auto" w:fill="auto"/>
            <w:noWrap/>
            <w:vAlign w:val="center"/>
            <w:hideMark/>
          </w:tcPr>
          <w:p w14:paraId="7A01D13C" w14:textId="77777777" w:rsidR="000F3F85" w:rsidRPr="00C47F2F" w:rsidRDefault="000F3F85" w:rsidP="00016E17">
            <w:pPr>
              <w:pStyle w:val="Table"/>
              <w:rPr>
                <w:noProof/>
                <w:sz w:val="20"/>
                <w:szCs w:val="20"/>
              </w:rPr>
            </w:pPr>
            <w:r w:rsidRPr="00C47F2F">
              <w:rPr>
                <w:noProof/>
                <w:sz w:val="20"/>
                <w:szCs w:val="20"/>
              </w:rPr>
              <w:t>6.41E+00</w:t>
            </w:r>
          </w:p>
        </w:tc>
        <w:tc>
          <w:tcPr>
            <w:tcW w:w="1015" w:type="dxa"/>
            <w:shd w:val="clear" w:color="auto" w:fill="auto"/>
            <w:noWrap/>
            <w:vAlign w:val="center"/>
            <w:hideMark/>
          </w:tcPr>
          <w:p w14:paraId="32C4EA7A" w14:textId="77777777" w:rsidR="000F3F85" w:rsidRPr="00C47F2F" w:rsidRDefault="000F3F85" w:rsidP="00016E17">
            <w:pPr>
              <w:pStyle w:val="Table"/>
              <w:rPr>
                <w:noProof/>
                <w:sz w:val="20"/>
                <w:szCs w:val="20"/>
              </w:rPr>
            </w:pPr>
            <w:r w:rsidRPr="00C47F2F">
              <w:rPr>
                <w:noProof/>
                <w:sz w:val="20"/>
                <w:szCs w:val="20"/>
              </w:rPr>
              <w:t>5.24E+00</w:t>
            </w:r>
          </w:p>
        </w:tc>
      </w:tr>
      <w:tr w:rsidR="000F3F85" w:rsidRPr="00972C81" w14:paraId="4516CC8D" w14:textId="77777777" w:rsidTr="00016E17">
        <w:trPr>
          <w:trHeight w:val="340"/>
        </w:trPr>
        <w:tc>
          <w:tcPr>
            <w:tcW w:w="2938" w:type="dxa"/>
            <w:shd w:val="clear" w:color="auto" w:fill="auto"/>
            <w:noWrap/>
            <w:vAlign w:val="center"/>
            <w:hideMark/>
          </w:tcPr>
          <w:p w14:paraId="65032AA3" w14:textId="0C07C507" w:rsidR="000F3F85" w:rsidRPr="000F3F85" w:rsidRDefault="000F3F85" w:rsidP="00016E17">
            <w:pPr>
              <w:pStyle w:val="Table"/>
              <w:rPr>
                <w:noProof/>
                <w:sz w:val="20"/>
                <w:szCs w:val="22"/>
              </w:rPr>
            </w:pPr>
            <w:r w:rsidRPr="000F3F85">
              <w:rPr>
                <w:noProof/>
                <w:sz w:val="20"/>
                <w:szCs w:val="22"/>
              </w:rPr>
              <w:t>Blood to Kidneys 1</w:t>
            </w:r>
          </w:p>
        </w:tc>
        <w:tc>
          <w:tcPr>
            <w:tcW w:w="1014" w:type="dxa"/>
            <w:shd w:val="clear" w:color="auto" w:fill="auto"/>
            <w:noWrap/>
            <w:vAlign w:val="center"/>
            <w:hideMark/>
          </w:tcPr>
          <w:p w14:paraId="4587A12E" w14:textId="77777777" w:rsidR="000F3F85" w:rsidRPr="00C47F2F" w:rsidRDefault="000F3F85" w:rsidP="00016E17">
            <w:pPr>
              <w:pStyle w:val="Table"/>
              <w:rPr>
                <w:noProof/>
                <w:sz w:val="20"/>
                <w:szCs w:val="20"/>
              </w:rPr>
            </w:pPr>
            <w:r w:rsidRPr="00C47F2F">
              <w:rPr>
                <w:noProof/>
                <w:sz w:val="20"/>
                <w:szCs w:val="20"/>
              </w:rPr>
              <w:t>3.49E-01</w:t>
            </w:r>
          </w:p>
        </w:tc>
        <w:tc>
          <w:tcPr>
            <w:tcW w:w="1015" w:type="dxa"/>
            <w:shd w:val="clear" w:color="auto" w:fill="auto"/>
            <w:noWrap/>
            <w:vAlign w:val="center"/>
            <w:hideMark/>
          </w:tcPr>
          <w:p w14:paraId="7F3F461C" w14:textId="77777777" w:rsidR="000F3F85" w:rsidRPr="00C47F2F" w:rsidRDefault="000F3F85" w:rsidP="00016E17">
            <w:pPr>
              <w:pStyle w:val="Table"/>
              <w:rPr>
                <w:noProof/>
                <w:sz w:val="20"/>
                <w:szCs w:val="20"/>
              </w:rPr>
            </w:pPr>
            <w:r w:rsidRPr="00C47F2F">
              <w:rPr>
                <w:noProof/>
                <w:sz w:val="20"/>
                <w:szCs w:val="20"/>
              </w:rPr>
              <w:t>3.49E-01</w:t>
            </w:r>
          </w:p>
        </w:tc>
        <w:tc>
          <w:tcPr>
            <w:tcW w:w="1015" w:type="dxa"/>
            <w:shd w:val="clear" w:color="auto" w:fill="auto"/>
            <w:noWrap/>
            <w:vAlign w:val="center"/>
            <w:hideMark/>
          </w:tcPr>
          <w:p w14:paraId="3971AFA9" w14:textId="77777777" w:rsidR="000F3F85" w:rsidRPr="00C47F2F" w:rsidRDefault="000F3F85" w:rsidP="00016E17">
            <w:pPr>
              <w:pStyle w:val="Table"/>
              <w:rPr>
                <w:noProof/>
                <w:sz w:val="20"/>
                <w:szCs w:val="20"/>
              </w:rPr>
            </w:pPr>
            <w:r w:rsidRPr="00C47F2F">
              <w:rPr>
                <w:noProof/>
                <w:sz w:val="20"/>
                <w:szCs w:val="20"/>
              </w:rPr>
              <w:t>3.49E-01</w:t>
            </w:r>
          </w:p>
        </w:tc>
        <w:tc>
          <w:tcPr>
            <w:tcW w:w="1015" w:type="dxa"/>
            <w:shd w:val="clear" w:color="auto" w:fill="auto"/>
            <w:noWrap/>
            <w:vAlign w:val="center"/>
            <w:hideMark/>
          </w:tcPr>
          <w:p w14:paraId="596CBA3D" w14:textId="77777777" w:rsidR="000F3F85" w:rsidRPr="00C47F2F" w:rsidRDefault="000F3F85" w:rsidP="00016E17">
            <w:pPr>
              <w:pStyle w:val="Table"/>
              <w:rPr>
                <w:noProof/>
                <w:sz w:val="20"/>
                <w:szCs w:val="20"/>
              </w:rPr>
            </w:pPr>
            <w:r w:rsidRPr="00C47F2F">
              <w:rPr>
                <w:noProof/>
                <w:sz w:val="20"/>
                <w:szCs w:val="20"/>
              </w:rPr>
              <w:t>3.49E-01</w:t>
            </w:r>
          </w:p>
        </w:tc>
        <w:tc>
          <w:tcPr>
            <w:tcW w:w="1015" w:type="dxa"/>
            <w:shd w:val="clear" w:color="auto" w:fill="auto"/>
            <w:noWrap/>
            <w:vAlign w:val="center"/>
            <w:hideMark/>
          </w:tcPr>
          <w:p w14:paraId="3B3199D1" w14:textId="77777777" w:rsidR="000F3F85" w:rsidRPr="00C47F2F" w:rsidRDefault="000F3F85" w:rsidP="00016E17">
            <w:pPr>
              <w:pStyle w:val="Table"/>
              <w:rPr>
                <w:noProof/>
                <w:sz w:val="20"/>
                <w:szCs w:val="20"/>
              </w:rPr>
            </w:pPr>
            <w:r w:rsidRPr="00C47F2F">
              <w:rPr>
                <w:noProof/>
                <w:sz w:val="20"/>
                <w:szCs w:val="20"/>
              </w:rPr>
              <w:t>3.49E-01</w:t>
            </w:r>
          </w:p>
        </w:tc>
        <w:tc>
          <w:tcPr>
            <w:tcW w:w="1015" w:type="dxa"/>
            <w:shd w:val="clear" w:color="auto" w:fill="auto"/>
            <w:noWrap/>
            <w:vAlign w:val="center"/>
            <w:hideMark/>
          </w:tcPr>
          <w:p w14:paraId="78E6B0BA" w14:textId="77777777" w:rsidR="000F3F85" w:rsidRPr="00C47F2F" w:rsidRDefault="000F3F85" w:rsidP="00016E17">
            <w:pPr>
              <w:pStyle w:val="Table"/>
              <w:rPr>
                <w:noProof/>
                <w:sz w:val="20"/>
                <w:szCs w:val="20"/>
              </w:rPr>
            </w:pPr>
            <w:r w:rsidRPr="00C47F2F">
              <w:rPr>
                <w:noProof/>
                <w:sz w:val="20"/>
                <w:szCs w:val="20"/>
              </w:rPr>
              <w:t>3.49E-01</w:t>
            </w:r>
          </w:p>
        </w:tc>
      </w:tr>
      <w:tr w:rsidR="000F3F85" w:rsidRPr="00972C81" w14:paraId="3EEDE6A5" w14:textId="77777777" w:rsidTr="00016E17">
        <w:trPr>
          <w:trHeight w:val="340"/>
        </w:trPr>
        <w:tc>
          <w:tcPr>
            <w:tcW w:w="2938" w:type="dxa"/>
            <w:shd w:val="clear" w:color="auto" w:fill="auto"/>
            <w:noWrap/>
            <w:vAlign w:val="center"/>
            <w:hideMark/>
          </w:tcPr>
          <w:p w14:paraId="16B2162A" w14:textId="232DFD75" w:rsidR="000F3F85" w:rsidRPr="000F3F85" w:rsidRDefault="000F3F85" w:rsidP="00016E17">
            <w:pPr>
              <w:pStyle w:val="Table"/>
              <w:rPr>
                <w:noProof/>
                <w:sz w:val="20"/>
                <w:szCs w:val="22"/>
              </w:rPr>
            </w:pPr>
            <w:r w:rsidRPr="000F3F85">
              <w:rPr>
                <w:noProof/>
                <w:sz w:val="20"/>
                <w:szCs w:val="22"/>
              </w:rPr>
              <w:t>Blood to RC content</w:t>
            </w:r>
          </w:p>
        </w:tc>
        <w:tc>
          <w:tcPr>
            <w:tcW w:w="1014" w:type="dxa"/>
            <w:shd w:val="clear" w:color="auto" w:fill="auto"/>
            <w:noWrap/>
            <w:vAlign w:val="center"/>
            <w:hideMark/>
          </w:tcPr>
          <w:p w14:paraId="49091409" w14:textId="77777777" w:rsidR="000F3F85" w:rsidRPr="00C47F2F" w:rsidRDefault="000F3F85" w:rsidP="00016E17">
            <w:pPr>
              <w:pStyle w:val="Table"/>
              <w:rPr>
                <w:noProof/>
                <w:sz w:val="20"/>
                <w:szCs w:val="20"/>
              </w:rPr>
            </w:pPr>
            <w:r w:rsidRPr="00C47F2F">
              <w:rPr>
                <w:noProof/>
                <w:sz w:val="20"/>
                <w:szCs w:val="20"/>
              </w:rPr>
              <w:t>2.33E-01</w:t>
            </w:r>
          </w:p>
        </w:tc>
        <w:tc>
          <w:tcPr>
            <w:tcW w:w="1015" w:type="dxa"/>
            <w:shd w:val="clear" w:color="auto" w:fill="auto"/>
            <w:noWrap/>
            <w:vAlign w:val="center"/>
            <w:hideMark/>
          </w:tcPr>
          <w:p w14:paraId="7C5281BF" w14:textId="77777777" w:rsidR="000F3F85" w:rsidRPr="00C47F2F" w:rsidRDefault="000F3F85" w:rsidP="00016E17">
            <w:pPr>
              <w:pStyle w:val="Table"/>
              <w:rPr>
                <w:noProof/>
                <w:sz w:val="20"/>
                <w:szCs w:val="20"/>
              </w:rPr>
            </w:pPr>
            <w:r w:rsidRPr="00C47F2F">
              <w:rPr>
                <w:noProof/>
                <w:sz w:val="20"/>
                <w:szCs w:val="20"/>
              </w:rPr>
              <w:t>2.33E-01</w:t>
            </w:r>
          </w:p>
        </w:tc>
        <w:tc>
          <w:tcPr>
            <w:tcW w:w="1015" w:type="dxa"/>
            <w:shd w:val="clear" w:color="auto" w:fill="auto"/>
            <w:noWrap/>
            <w:vAlign w:val="center"/>
            <w:hideMark/>
          </w:tcPr>
          <w:p w14:paraId="04486C7C" w14:textId="77777777" w:rsidR="000F3F85" w:rsidRPr="00C47F2F" w:rsidRDefault="000F3F85" w:rsidP="00016E17">
            <w:pPr>
              <w:pStyle w:val="Table"/>
              <w:rPr>
                <w:noProof/>
                <w:sz w:val="20"/>
                <w:szCs w:val="20"/>
              </w:rPr>
            </w:pPr>
            <w:r w:rsidRPr="00C47F2F">
              <w:rPr>
                <w:noProof/>
                <w:sz w:val="20"/>
                <w:szCs w:val="20"/>
              </w:rPr>
              <w:t>2.33E-01</w:t>
            </w:r>
          </w:p>
        </w:tc>
        <w:tc>
          <w:tcPr>
            <w:tcW w:w="1015" w:type="dxa"/>
            <w:shd w:val="clear" w:color="auto" w:fill="auto"/>
            <w:noWrap/>
            <w:vAlign w:val="center"/>
            <w:hideMark/>
          </w:tcPr>
          <w:p w14:paraId="69767A55" w14:textId="77777777" w:rsidR="000F3F85" w:rsidRPr="00C47F2F" w:rsidRDefault="000F3F85" w:rsidP="00016E17">
            <w:pPr>
              <w:pStyle w:val="Table"/>
              <w:rPr>
                <w:noProof/>
                <w:sz w:val="20"/>
                <w:szCs w:val="20"/>
              </w:rPr>
            </w:pPr>
            <w:r w:rsidRPr="00C47F2F">
              <w:rPr>
                <w:noProof/>
                <w:sz w:val="20"/>
                <w:szCs w:val="20"/>
              </w:rPr>
              <w:t>2.33E-01</w:t>
            </w:r>
          </w:p>
        </w:tc>
        <w:tc>
          <w:tcPr>
            <w:tcW w:w="1015" w:type="dxa"/>
            <w:shd w:val="clear" w:color="auto" w:fill="auto"/>
            <w:noWrap/>
            <w:vAlign w:val="center"/>
            <w:hideMark/>
          </w:tcPr>
          <w:p w14:paraId="013FEBF2" w14:textId="77777777" w:rsidR="000F3F85" w:rsidRPr="00C47F2F" w:rsidRDefault="000F3F85" w:rsidP="00016E17">
            <w:pPr>
              <w:pStyle w:val="Table"/>
              <w:rPr>
                <w:noProof/>
                <w:sz w:val="20"/>
                <w:szCs w:val="20"/>
              </w:rPr>
            </w:pPr>
            <w:r w:rsidRPr="00C47F2F">
              <w:rPr>
                <w:noProof/>
                <w:sz w:val="20"/>
                <w:szCs w:val="20"/>
              </w:rPr>
              <w:t>2.33E-01</w:t>
            </w:r>
          </w:p>
        </w:tc>
        <w:tc>
          <w:tcPr>
            <w:tcW w:w="1015" w:type="dxa"/>
            <w:shd w:val="clear" w:color="auto" w:fill="auto"/>
            <w:noWrap/>
            <w:vAlign w:val="center"/>
            <w:hideMark/>
          </w:tcPr>
          <w:p w14:paraId="0C4B46F5" w14:textId="77777777" w:rsidR="000F3F85" w:rsidRPr="00C47F2F" w:rsidRDefault="000F3F85" w:rsidP="00016E17">
            <w:pPr>
              <w:pStyle w:val="Table"/>
              <w:rPr>
                <w:noProof/>
                <w:sz w:val="20"/>
                <w:szCs w:val="20"/>
              </w:rPr>
            </w:pPr>
            <w:r w:rsidRPr="00C47F2F">
              <w:rPr>
                <w:noProof/>
                <w:sz w:val="20"/>
                <w:szCs w:val="20"/>
              </w:rPr>
              <w:t>2.33E-01</w:t>
            </w:r>
          </w:p>
        </w:tc>
      </w:tr>
      <w:tr w:rsidR="000F3F85" w:rsidRPr="00972C81" w14:paraId="5410E958" w14:textId="77777777" w:rsidTr="00016E17">
        <w:trPr>
          <w:trHeight w:val="340"/>
        </w:trPr>
        <w:tc>
          <w:tcPr>
            <w:tcW w:w="2938" w:type="dxa"/>
            <w:shd w:val="clear" w:color="auto" w:fill="auto"/>
            <w:noWrap/>
            <w:vAlign w:val="center"/>
            <w:hideMark/>
          </w:tcPr>
          <w:p w14:paraId="47B60B6A" w14:textId="48923A52" w:rsidR="000F3F85" w:rsidRPr="000F3F85" w:rsidRDefault="000F3F85" w:rsidP="00016E17">
            <w:pPr>
              <w:pStyle w:val="Table"/>
              <w:rPr>
                <w:noProof/>
                <w:sz w:val="20"/>
                <w:szCs w:val="22"/>
              </w:rPr>
            </w:pPr>
            <w:r w:rsidRPr="000F3F85">
              <w:rPr>
                <w:noProof/>
                <w:sz w:val="20"/>
                <w:szCs w:val="22"/>
              </w:rPr>
              <w:t>Blood to Kidneys 2</w:t>
            </w:r>
          </w:p>
        </w:tc>
        <w:tc>
          <w:tcPr>
            <w:tcW w:w="1014" w:type="dxa"/>
            <w:shd w:val="clear" w:color="auto" w:fill="auto"/>
            <w:noWrap/>
            <w:vAlign w:val="center"/>
            <w:hideMark/>
          </w:tcPr>
          <w:p w14:paraId="2DE0BDF9" w14:textId="77777777" w:rsidR="000F3F85" w:rsidRPr="00C47F2F" w:rsidRDefault="000F3F85" w:rsidP="00016E17">
            <w:pPr>
              <w:pStyle w:val="Table"/>
              <w:rPr>
                <w:noProof/>
                <w:sz w:val="20"/>
                <w:szCs w:val="20"/>
              </w:rPr>
            </w:pPr>
            <w:r w:rsidRPr="00C47F2F">
              <w:rPr>
                <w:noProof/>
                <w:sz w:val="20"/>
                <w:szCs w:val="20"/>
              </w:rPr>
              <w:t>1.17E-01</w:t>
            </w:r>
          </w:p>
        </w:tc>
        <w:tc>
          <w:tcPr>
            <w:tcW w:w="1015" w:type="dxa"/>
            <w:shd w:val="clear" w:color="auto" w:fill="auto"/>
            <w:noWrap/>
            <w:vAlign w:val="center"/>
            <w:hideMark/>
          </w:tcPr>
          <w:p w14:paraId="21E4B27B" w14:textId="77777777" w:rsidR="000F3F85" w:rsidRPr="00C47F2F" w:rsidRDefault="000F3F85" w:rsidP="00016E17">
            <w:pPr>
              <w:pStyle w:val="Table"/>
              <w:rPr>
                <w:noProof/>
                <w:sz w:val="20"/>
                <w:szCs w:val="20"/>
              </w:rPr>
            </w:pPr>
            <w:r w:rsidRPr="00C47F2F">
              <w:rPr>
                <w:noProof/>
                <w:sz w:val="20"/>
                <w:szCs w:val="20"/>
              </w:rPr>
              <w:t>1.17E-01</w:t>
            </w:r>
          </w:p>
        </w:tc>
        <w:tc>
          <w:tcPr>
            <w:tcW w:w="1015" w:type="dxa"/>
            <w:shd w:val="clear" w:color="auto" w:fill="auto"/>
            <w:noWrap/>
            <w:vAlign w:val="center"/>
            <w:hideMark/>
          </w:tcPr>
          <w:p w14:paraId="5D9FD4ED" w14:textId="77777777" w:rsidR="000F3F85" w:rsidRPr="00C47F2F" w:rsidRDefault="000F3F85" w:rsidP="00016E17">
            <w:pPr>
              <w:pStyle w:val="Table"/>
              <w:rPr>
                <w:noProof/>
                <w:sz w:val="20"/>
                <w:szCs w:val="20"/>
              </w:rPr>
            </w:pPr>
            <w:r w:rsidRPr="00C47F2F">
              <w:rPr>
                <w:noProof/>
                <w:sz w:val="20"/>
                <w:szCs w:val="20"/>
              </w:rPr>
              <w:t>1.17E-01</w:t>
            </w:r>
          </w:p>
        </w:tc>
        <w:tc>
          <w:tcPr>
            <w:tcW w:w="1015" w:type="dxa"/>
            <w:shd w:val="clear" w:color="auto" w:fill="auto"/>
            <w:noWrap/>
            <w:vAlign w:val="center"/>
            <w:hideMark/>
          </w:tcPr>
          <w:p w14:paraId="57B8636F" w14:textId="77777777" w:rsidR="000F3F85" w:rsidRPr="00C47F2F" w:rsidRDefault="000F3F85" w:rsidP="00016E17">
            <w:pPr>
              <w:pStyle w:val="Table"/>
              <w:rPr>
                <w:noProof/>
                <w:sz w:val="20"/>
                <w:szCs w:val="20"/>
              </w:rPr>
            </w:pPr>
            <w:r w:rsidRPr="00C47F2F">
              <w:rPr>
                <w:noProof/>
                <w:sz w:val="20"/>
                <w:szCs w:val="20"/>
              </w:rPr>
              <w:t>1.17E-01</w:t>
            </w:r>
          </w:p>
        </w:tc>
        <w:tc>
          <w:tcPr>
            <w:tcW w:w="1015" w:type="dxa"/>
            <w:shd w:val="clear" w:color="auto" w:fill="auto"/>
            <w:noWrap/>
            <w:vAlign w:val="center"/>
            <w:hideMark/>
          </w:tcPr>
          <w:p w14:paraId="57CB8346" w14:textId="77777777" w:rsidR="000F3F85" w:rsidRPr="00C47F2F" w:rsidRDefault="000F3F85" w:rsidP="00016E17">
            <w:pPr>
              <w:pStyle w:val="Table"/>
              <w:rPr>
                <w:noProof/>
                <w:sz w:val="20"/>
                <w:szCs w:val="20"/>
              </w:rPr>
            </w:pPr>
            <w:r w:rsidRPr="00C47F2F">
              <w:rPr>
                <w:noProof/>
                <w:sz w:val="20"/>
                <w:szCs w:val="20"/>
              </w:rPr>
              <w:t>1.17E-01</w:t>
            </w:r>
          </w:p>
        </w:tc>
        <w:tc>
          <w:tcPr>
            <w:tcW w:w="1015" w:type="dxa"/>
            <w:shd w:val="clear" w:color="auto" w:fill="auto"/>
            <w:noWrap/>
            <w:vAlign w:val="center"/>
            <w:hideMark/>
          </w:tcPr>
          <w:p w14:paraId="3577E820" w14:textId="77777777" w:rsidR="000F3F85" w:rsidRPr="00C47F2F" w:rsidRDefault="000F3F85" w:rsidP="00016E17">
            <w:pPr>
              <w:pStyle w:val="Table"/>
              <w:rPr>
                <w:noProof/>
                <w:sz w:val="20"/>
                <w:szCs w:val="20"/>
              </w:rPr>
            </w:pPr>
            <w:r w:rsidRPr="00C47F2F">
              <w:rPr>
                <w:noProof/>
                <w:sz w:val="20"/>
                <w:szCs w:val="20"/>
              </w:rPr>
              <w:t>1.17E-01</w:t>
            </w:r>
          </w:p>
        </w:tc>
      </w:tr>
      <w:tr w:rsidR="000F3F85" w:rsidRPr="00972C81" w14:paraId="50762562" w14:textId="77777777" w:rsidTr="00016E17">
        <w:trPr>
          <w:trHeight w:val="340"/>
        </w:trPr>
        <w:tc>
          <w:tcPr>
            <w:tcW w:w="2938" w:type="dxa"/>
            <w:shd w:val="clear" w:color="auto" w:fill="auto"/>
            <w:noWrap/>
            <w:vAlign w:val="center"/>
            <w:hideMark/>
          </w:tcPr>
          <w:p w14:paraId="27D4A704" w14:textId="6384B9E2" w:rsidR="000F3F85" w:rsidRPr="000F3F85" w:rsidRDefault="000F3F85" w:rsidP="00016E17">
            <w:pPr>
              <w:pStyle w:val="Table"/>
              <w:rPr>
                <w:noProof/>
                <w:sz w:val="20"/>
                <w:szCs w:val="22"/>
              </w:rPr>
            </w:pPr>
            <w:r w:rsidRPr="000F3F85">
              <w:rPr>
                <w:noProof/>
                <w:sz w:val="20"/>
                <w:szCs w:val="22"/>
              </w:rPr>
              <w:t>Blood to Testes</w:t>
            </w:r>
          </w:p>
        </w:tc>
        <w:tc>
          <w:tcPr>
            <w:tcW w:w="1014" w:type="dxa"/>
            <w:shd w:val="clear" w:color="auto" w:fill="auto"/>
            <w:noWrap/>
            <w:vAlign w:val="center"/>
            <w:hideMark/>
          </w:tcPr>
          <w:p w14:paraId="24181A53" w14:textId="77777777" w:rsidR="000F3F85" w:rsidRPr="00C47F2F" w:rsidRDefault="000F3F85" w:rsidP="00016E17">
            <w:pPr>
              <w:pStyle w:val="Table"/>
              <w:rPr>
                <w:noProof/>
                <w:sz w:val="20"/>
                <w:szCs w:val="20"/>
              </w:rPr>
            </w:pPr>
            <w:r w:rsidRPr="00C47F2F">
              <w:rPr>
                <w:noProof/>
                <w:sz w:val="20"/>
                <w:szCs w:val="20"/>
              </w:rPr>
              <w:t>4.70E-04</w:t>
            </w:r>
          </w:p>
        </w:tc>
        <w:tc>
          <w:tcPr>
            <w:tcW w:w="1015" w:type="dxa"/>
            <w:shd w:val="clear" w:color="auto" w:fill="auto"/>
            <w:noWrap/>
            <w:vAlign w:val="center"/>
            <w:hideMark/>
          </w:tcPr>
          <w:p w14:paraId="4BB69BC6" w14:textId="77777777" w:rsidR="000F3F85" w:rsidRPr="00C47F2F" w:rsidRDefault="000F3F85" w:rsidP="00016E17">
            <w:pPr>
              <w:pStyle w:val="Table"/>
              <w:rPr>
                <w:noProof/>
                <w:sz w:val="20"/>
                <w:szCs w:val="20"/>
              </w:rPr>
            </w:pPr>
            <w:r w:rsidRPr="00C47F2F">
              <w:rPr>
                <w:noProof/>
                <w:sz w:val="20"/>
                <w:szCs w:val="20"/>
              </w:rPr>
              <w:t>7.00E-04</w:t>
            </w:r>
          </w:p>
        </w:tc>
        <w:tc>
          <w:tcPr>
            <w:tcW w:w="1015" w:type="dxa"/>
            <w:shd w:val="clear" w:color="auto" w:fill="auto"/>
            <w:noWrap/>
            <w:vAlign w:val="center"/>
            <w:hideMark/>
          </w:tcPr>
          <w:p w14:paraId="3782C88E" w14:textId="77777777" w:rsidR="000F3F85" w:rsidRPr="00C47F2F" w:rsidRDefault="000F3F85" w:rsidP="00016E17">
            <w:pPr>
              <w:pStyle w:val="Table"/>
              <w:rPr>
                <w:noProof/>
                <w:sz w:val="20"/>
                <w:szCs w:val="20"/>
              </w:rPr>
            </w:pPr>
            <w:r w:rsidRPr="00C47F2F">
              <w:rPr>
                <w:noProof/>
                <w:sz w:val="20"/>
                <w:szCs w:val="20"/>
              </w:rPr>
              <w:t>7.90E-04</w:t>
            </w:r>
          </w:p>
        </w:tc>
        <w:tc>
          <w:tcPr>
            <w:tcW w:w="1015" w:type="dxa"/>
            <w:shd w:val="clear" w:color="auto" w:fill="auto"/>
            <w:noWrap/>
            <w:vAlign w:val="center"/>
            <w:hideMark/>
          </w:tcPr>
          <w:p w14:paraId="2F54D052" w14:textId="77777777" w:rsidR="000F3F85" w:rsidRPr="00C47F2F" w:rsidRDefault="000F3F85" w:rsidP="00016E17">
            <w:pPr>
              <w:pStyle w:val="Table"/>
              <w:rPr>
                <w:noProof/>
                <w:sz w:val="20"/>
                <w:szCs w:val="20"/>
              </w:rPr>
            </w:pPr>
            <w:r w:rsidRPr="00C47F2F">
              <w:rPr>
                <w:noProof/>
                <w:sz w:val="20"/>
                <w:szCs w:val="20"/>
              </w:rPr>
              <w:t>9.30E-04</w:t>
            </w:r>
          </w:p>
        </w:tc>
        <w:tc>
          <w:tcPr>
            <w:tcW w:w="1015" w:type="dxa"/>
            <w:shd w:val="clear" w:color="auto" w:fill="auto"/>
            <w:noWrap/>
            <w:vAlign w:val="center"/>
            <w:hideMark/>
          </w:tcPr>
          <w:p w14:paraId="63C8A05F" w14:textId="77777777" w:rsidR="000F3F85" w:rsidRPr="00C47F2F" w:rsidRDefault="000F3F85" w:rsidP="00016E17">
            <w:pPr>
              <w:pStyle w:val="Table"/>
              <w:rPr>
                <w:noProof/>
                <w:sz w:val="20"/>
                <w:szCs w:val="20"/>
              </w:rPr>
            </w:pPr>
            <w:r w:rsidRPr="00C47F2F">
              <w:rPr>
                <w:noProof/>
                <w:sz w:val="20"/>
                <w:szCs w:val="20"/>
              </w:rPr>
              <w:t>7.50E-03</w:t>
            </w:r>
          </w:p>
        </w:tc>
        <w:tc>
          <w:tcPr>
            <w:tcW w:w="1015" w:type="dxa"/>
            <w:shd w:val="clear" w:color="auto" w:fill="auto"/>
            <w:noWrap/>
            <w:vAlign w:val="center"/>
            <w:hideMark/>
          </w:tcPr>
          <w:p w14:paraId="22BD3A66" w14:textId="77777777" w:rsidR="000F3F85" w:rsidRPr="00C47F2F" w:rsidRDefault="000F3F85" w:rsidP="00016E17">
            <w:pPr>
              <w:pStyle w:val="Table"/>
              <w:rPr>
                <w:noProof/>
                <w:sz w:val="20"/>
                <w:szCs w:val="20"/>
              </w:rPr>
            </w:pPr>
            <w:r w:rsidRPr="00C47F2F">
              <w:rPr>
                <w:noProof/>
                <w:sz w:val="20"/>
                <w:szCs w:val="20"/>
              </w:rPr>
              <w:t>8.15E-03</w:t>
            </w:r>
          </w:p>
        </w:tc>
      </w:tr>
      <w:tr w:rsidR="000F3F85" w:rsidRPr="00972C81" w14:paraId="3082704B" w14:textId="77777777" w:rsidTr="00016E17">
        <w:trPr>
          <w:trHeight w:val="340"/>
        </w:trPr>
        <w:tc>
          <w:tcPr>
            <w:tcW w:w="2938" w:type="dxa"/>
            <w:shd w:val="clear" w:color="auto" w:fill="auto"/>
            <w:noWrap/>
            <w:vAlign w:val="center"/>
            <w:hideMark/>
          </w:tcPr>
          <w:p w14:paraId="5F8501A2" w14:textId="146AC534" w:rsidR="000F3F85" w:rsidRPr="000F3F85" w:rsidRDefault="000F3F85" w:rsidP="00016E17">
            <w:pPr>
              <w:pStyle w:val="Table"/>
              <w:rPr>
                <w:noProof/>
                <w:sz w:val="20"/>
                <w:szCs w:val="22"/>
              </w:rPr>
            </w:pPr>
            <w:r w:rsidRPr="000F3F85">
              <w:rPr>
                <w:noProof/>
                <w:sz w:val="20"/>
                <w:szCs w:val="22"/>
              </w:rPr>
              <w:t>Blood to Ovaries</w:t>
            </w:r>
          </w:p>
        </w:tc>
        <w:tc>
          <w:tcPr>
            <w:tcW w:w="1014" w:type="dxa"/>
            <w:shd w:val="clear" w:color="auto" w:fill="auto"/>
            <w:noWrap/>
            <w:vAlign w:val="center"/>
            <w:hideMark/>
          </w:tcPr>
          <w:p w14:paraId="0C9C8650" w14:textId="77777777" w:rsidR="000F3F85" w:rsidRPr="00C47F2F" w:rsidRDefault="000F3F85" w:rsidP="00016E17">
            <w:pPr>
              <w:pStyle w:val="Table"/>
              <w:rPr>
                <w:noProof/>
                <w:sz w:val="20"/>
                <w:szCs w:val="20"/>
              </w:rPr>
            </w:pPr>
            <w:r w:rsidRPr="00C47F2F">
              <w:rPr>
                <w:noProof/>
                <w:sz w:val="20"/>
                <w:szCs w:val="20"/>
              </w:rPr>
              <w:t>2.80E-04</w:t>
            </w:r>
          </w:p>
        </w:tc>
        <w:tc>
          <w:tcPr>
            <w:tcW w:w="1015" w:type="dxa"/>
            <w:shd w:val="clear" w:color="auto" w:fill="auto"/>
            <w:noWrap/>
            <w:vAlign w:val="center"/>
            <w:hideMark/>
          </w:tcPr>
          <w:p w14:paraId="6BD95219" w14:textId="77777777" w:rsidR="000F3F85" w:rsidRPr="00C47F2F" w:rsidRDefault="000F3F85" w:rsidP="00016E17">
            <w:pPr>
              <w:pStyle w:val="Table"/>
              <w:rPr>
                <w:noProof/>
                <w:sz w:val="20"/>
                <w:szCs w:val="20"/>
              </w:rPr>
            </w:pPr>
            <w:r w:rsidRPr="00C47F2F">
              <w:rPr>
                <w:noProof/>
                <w:sz w:val="20"/>
                <w:szCs w:val="20"/>
              </w:rPr>
              <w:t>3.70E-04</w:t>
            </w:r>
          </w:p>
        </w:tc>
        <w:tc>
          <w:tcPr>
            <w:tcW w:w="1015" w:type="dxa"/>
            <w:shd w:val="clear" w:color="auto" w:fill="auto"/>
            <w:noWrap/>
            <w:vAlign w:val="center"/>
            <w:hideMark/>
          </w:tcPr>
          <w:p w14:paraId="0B2F7B47" w14:textId="77777777" w:rsidR="000F3F85" w:rsidRPr="00C47F2F" w:rsidRDefault="000F3F85" w:rsidP="00016E17">
            <w:pPr>
              <w:pStyle w:val="Table"/>
              <w:rPr>
                <w:noProof/>
                <w:sz w:val="20"/>
                <w:szCs w:val="20"/>
              </w:rPr>
            </w:pPr>
            <w:r w:rsidRPr="00C47F2F">
              <w:rPr>
                <w:noProof/>
                <w:sz w:val="20"/>
                <w:szCs w:val="20"/>
              </w:rPr>
              <w:t>9.30E-04</w:t>
            </w:r>
          </w:p>
        </w:tc>
        <w:tc>
          <w:tcPr>
            <w:tcW w:w="1015" w:type="dxa"/>
            <w:shd w:val="clear" w:color="auto" w:fill="auto"/>
            <w:noWrap/>
            <w:vAlign w:val="center"/>
            <w:hideMark/>
          </w:tcPr>
          <w:p w14:paraId="3798FF60" w14:textId="77777777" w:rsidR="000F3F85" w:rsidRPr="00C47F2F" w:rsidRDefault="000F3F85" w:rsidP="00016E17">
            <w:pPr>
              <w:pStyle w:val="Table"/>
              <w:rPr>
                <w:noProof/>
                <w:sz w:val="20"/>
                <w:szCs w:val="20"/>
              </w:rPr>
            </w:pPr>
            <w:r w:rsidRPr="00C47F2F">
              <w:rPr>
                <w:noProof/>
                <w:sz w:val="20"/>
                <w:szCs w:val="20"/>
              </w:rPr>
              <w:t>1.60E-03</w:t>
            </w:r>
          </w:p>
        </w:tc>
        <w:tc>
          <w:tcPr>
            <w:tcW w:w="1015" w:type="dxa"/>
            <w:shd w:val="clear" w:color="auto" w:fill="auto"/>
            <w:noWrap/>
            <w:vAlign w:val="center"/>
            <w:hideMark/>
          </w:tcPr>
          <w:p w14:paraId="0389E2A4" w14:textId="77777777" w:rsidR="000F3F85" w:rsidRPr="00C47F2F" w:rsidRDefault="000F3F85" w:rsidP="00016E17">
            <w:pPr>
              <w:pStyle w:val="Table"/>
              <w:rPr>
                <w:noProof/>
                <w:sz w:val="20"/>
                <w:szCs w:val="20"/>
              </w:rPr>
            </w:pPr>
            <w:r w:rsidRPr="00C47F2F">
              <w:rPr>
                <w:noProof/>
                <w:sz w:val="20"/>
                <w:szCs w:val="20"/>
              </w:rPr>
              <w:t>2.80E-03</w:t>
            </w:r>
          </w:p>
        </w:tc>
        <w:tc>
          <w:tcPr>
            <w:tcW w:w="1015" w:type="dxa"/>
            <w:shd w:val="clear" w:color="auto" w:fill="auto"/>
            <w:noWrap/>
            <w:vAlign w:val="center"/>
            <w:hideMark/>
          </w:tcPr>
          <w:p w14:paraId="5BC85C1B" w14:textId="77777777" w:rsidR="000F3F85" w:rsidRPr="00C47F2F" w:rsidRDefault="000F3F85" w:rsidP="00016E17">
            <w:pPr>
              <w:pStyle w:val="Table"/>
              <w:rPr>
                <w:noProof/>
                <w:sz w:val="20"/>
                <w:szCs w:val="20"/>
              </w:rPr>
            </w:pPr>
            <w:r w:rsidRPr="00C47F2F">
              <w:rPr>
                <w:noProof/>
                <w:sz w:val="20"/>
                <w:szCs w:val="20"/>
              </w:rPr>
              <w:t>2.56E-03</w:t>
            </w:r>
          </w:p>
        </w:tc>
      </w:tr>
      <w:tr w:rsidR="000F3F85" w:rsidRPr="00972C81" w14:paraId="57F278B5" w14:textId="77777777" w:rsidTr="00016E17">
        <w:trPr>
          <w:trHeight w:val="340"/>
        </w:trPr>
        <w:tc>
          <w:tcPr>
            <w:tcW w:w="2938" w:type="dxa"/>
            <w:shd w:val="clear" w:color="auto" w:fill="auto"/>
            <w:noWrap/>
            <w:vAlign w:val="center"/>
            <w:hideMark/>
          </w:tcPr>
          <w:p w14:paraId="171ACA16" w14:textId="54DC3FEB" w:rsidR="000F3F85" w:rsidRPr="000F3F85" w:rsidRDefault="000F3F85" w:rsidP="00016E17">
            <w:pPr>
              <w:pStyle w:val="Table"/>
              <w:rPr>
                <w:noProof/>
                <w:sz w:val="20"/>
                <w:szCs w:val="22"/>
              </w:rPr>
            </w:pPr>
            <w:r w:rsidRPr="000F3F85">
              <w:rPr>
                <w:noProof/>
                <w:sz w:val="20"/>
                <w:szCs w:val="22"/>
              </w:rPr>
              <w:t>Blood to UB content</w:t>
            </w:r>
          </w:p>
        </w:tc>
        <w:tc>
          <w:tcPr>
            <w:tcW w:w="1014" w:type="dxa"/>
            <w:shd w:val="clear" w:color="auto" w:fill="auto"/>
            <w:noWrap/>
            <w:vAlign w:val="center"/>
            <w:hideMark/>
          </w:tcPr>
          <w:p w14:paraId="79C7637D" w14:textId="77777777" w:rsidR="000F3F85" w:rsidRPr="00C47F2F" w:rsidRDefault="000F3F85" w:rsidP="00016E17">
            <w:pPr>
              <w:pStyle w:val="Table"/>
              <w:rPr>
                <w:noProof/>
                <w:sz w:val="20"/>
                <w:szCs w:val="20"/>
              </w:rPr>
            </w:pPr>
            <w:r w:rsidRPr="00C47F2F">
              <w:rPr>
                <w:noProof/>
                <w:sz w:val="20"/>
                <w:szCs w:val="20"/>
              </w:rPr>
              <w:t>2.33E+00</w:t>
            </w:r>
          </w:p>
        </w:tc>
        <w:tc>
          <w:tcPr>
            <w:tcW w:w="1015" w:type="dxa"/>
            <w:shd w:val="clear" w:color="auto" w:fill="auto"/>
            <w:noWrap/>
            <w:vAlign w:val="center"/>
            <w:hideMark/>
          </w:tcPr>
          <w:p w14:paraId="7140A6C5" w14:textId="77777777" w:rsidR="000F3F85" w:rsidRPr="00C47F2F" w:rsidRDefault="000F3F85" w:rsidP="00016E17">
            <w:pPr>
              <w:pStyle w:val="Table"/>
              <w:rPr>
                <w:noProof/>
                <w:sz w:val="20"/>
                <w:szCs w:val="20"/>
              </w:rPr>
            </w:pPr>
            <w:r w:rsidRPr="00C47F2F">
              <w:rPr>
                <w:noProof/>
                <w:sz w:val="20"/>
                <w:szCs w:val="20"/>
              </w:rPr>
              <w:t>2.33E+00</w:t>
            </w:r>
          </w:p>
        </w:tc>
        <w:tc>
          <w:tcPr>
            <w:tcW w:w="1015" w:type="dxa"/>
            <w:shd w:val="clear" w:color="auto" w:fill="auto"/>
            <w:noWrap/>
            <w:vAlign w:val="center"/>
            <w:hideMark/>
          </w:tcPr>
          <w:p w14:paraId="584AD737" w14:textId="77777777" w:rsidR="000F3F85" w:rsidRPr="00C47F2F" w:rsidRDefault="000F3F85" w:rsidP="00016E17">
            <w:pPr>
              <w:pStyle w:val="Table"/>
              <w:rPr>
                <w:noProof/>
                <w:sz w:val="20"/>
                <w:szCs w:val="20"/>
              </w:rPr>
            </w:pPr>
            <w:r w:rsidRPr="00C47F2F">
              <w:rPr>
                <w:noProof/>
                <w:sz w:val="20"/>
                <w:szCs w:val="20"/>
              </w:rPr>
              <w:t>3.49E+00</w:t>
            </w:r>
          </w:p>
        </w:tc>
        <w:tc>
          <w:tcPr>
            <w:tcW w:w="1015" w:type="dxa"/>
            <w:shd w:val="clear" w:color="auto" w:fill="auto"/>
            <w:noWrap/>
            <w:vAlign w:val="center"/>
            <w:hideMark/>
          </w:tcPr>
          <w:p w14:paraId="4A2F385D" w14:textId="77777777" w:rsidR="000F3F85" w:rsidRPr="00C47F2F" w:rsidRDefault="000F3F85" w:rsidP="00016E17">
            <w:pPr>
              <w:pStyle w:val="Table"/>
              <w:rPr>
                <w:noProof/>
                <w:sz w:val="20"/>
                <w:szCs w:val="20"/>
              </w:rPr>
            </w:pPr>
            <w:r w:rsidRPr="00C47F2F">
              <w:rPr>
                <w:noProof/>
                <w:sz w:val="20"/>
                <w:szCs w:val="20"/>
              </w:rPr>
              <w:t>3.49E+00</w:t>
            </w:r>
          </w:p>
        </w:tc>
        <w:tc>
          <w:tcPr>
            <w:tcW w:w="1015" w:type="dxa"/>
            <w:shd w:val="clear" w:color="auto" w:fill="auto"/>
            <w:noWrap/>
            <w:vAlign w:val="center"/>
            <w:hideMark/>
          </w:tcPr>
          <w:p w14:paraId="10922A65" w14:textId="77777777" w:rsidR="000F3F85" w:rsidRPr="00C47F2F" w:rsidRDefault="000F3F85" w:rsidP="00016E17">
            <w:pPr>
              <w:pStyle w:val="Table"/>
              <w:rPr>
                <w:noProof/>
                <w:sz w:val="20"/>
                <w:szCs w:val="20"/>
              </w:rPr>
            </w:pPr>
            <w:r w:rsidRPr="00C47F2F">
              <w:rPr>
                <w:noProof/>
                <w:sz w:val="20"/>
                <w:szCs w:val="20"/>
              </w:rPr>
              <w:t>3.49E+00</w:t>
            </w:r>
          </w:p>
        </w:tc>
        <w:tc>
          <w:tcPr>
            <w:tcW w:w="1015" w:type="dxa"/>
            <w:shd w:val="clear" w:color="auto" w:fill="auto"/>
            <w:noWrap/>
            <w:vAlign w:val="center"/>
            <w:hideMark/>
          </w:tcPr>
          <w:p w14:paraId="527119AA" w14:textId="77777777" w:rsidR="000F3F85" w:rsidRPr="00C47F2F" w:rsidRDefault="000F3F85" w:rsidP="00016E17">
            <w:pPr>
              <w:pStyle w:val="Table"/>
              <w:rPr>
                <w:noProof/>
                <w:sz w:val="20"/>
                <w:szCs w:val="20"/>
              </w:rPr>
            </w:pPr>
            <w:r w:rsidRPr="00C47F2F">
              <w:rPr>
                <w:noProof/>
                <w:sz w:val="20"/>
                <w:szCs w:val="20"/>
              </w:rPr>
              <w:t>4.66E+00</w:t>
            </w:r>
          </w:p>
        </w:tc>
      </w:tr>
      <w:tr w:rsidR="000F3F85" w:rsidRPr="00972C81" w14:paraId="26967A8D" w14:textId="77777777" w:rsidTr="00016E17">
        <w:trPr>
          <w:trHeight w:val="340"/>
        </w:trPr>
        <w:tc>
          <w:tcPr>
            <w:tcW w:w="2938" w:type="dxa"/>
            <w:shd w:val="clear" w:color="auto" w:fill="auto"/>
            <w:noWrap/>
            <w:vAlign w:val="center"/>
            <w:hideMark/>
          </w:tcPr>
          <w:p w14:paraId="0C0D8B74" w14:textId="5E36229C" w:rsidR="000F3F85" w:rsidRPr="000F3F85" w:rsidRDefault="000F3F85" w:rsidP="00016E17">
            <w:pPr>
              <w:pStyle w:val="Table"/>
              <w:rPr>
                <w:noProof/>
                <w:sz w:val="20"/>
                <w:szCs w:val="22"/>
              </w:rPr>
            </w:pPr>
            <w:r w:rsidRPr="000F3F85">
              <w:rPr>
                <w:noProof/>
                <w:sz w:val="20"/>
                <w:szCs w:val="22"/>
              </w:rPr>
              <w:t>Liver 2 to Blood</w:t>
            </w:r>
          </w:p>
        </w:tc>
        <w:tc>
          <w:tcPr>
            <w:tcW w:w="1014" w:type="dxa"/>
            <w:shd w:val="clear" w:color="auto" w:fill="auto"/>
            <w:noWrap/>
            <w:vAlign w:val="center"/>
            <w:hideMark/>
          </w:tcPr>
          <w:p w14:paraId="7EAB907E" w14:textId="77777777" w:rsidR="000F3F85" w:rsidRPr="00C47F2F" w:rsidRDefault="000F3F85" w:rsidP="00016E17">
            <w:pPr>
              <w:pStyle w:val="Table"/>
              <w:rPr>
                <w:noProof/>
                <w:sz w:val="20"/>
                <w:szCs w:val="20"/>
              </w:rPr>
            </w:pPr>
            <w:r w:rsidRPr="00C47F2F">
              <w:rPr>
                <w:noProof/>
                <w:sz w:val="20"/>
                <w:szCs w:val="20"/>
              </w:rPr>
              <w:t>1.90E-03</w:t>
            </w:r>
          </w:p>
        </w:tc>
        <w:tc>
          <w:tcPr>
            <w:tcW w:w="1015" w:type="dxa"/>
            <w:shd w:val="clear" w:color="auto" w:fill="auto"/>
            <w:noWrap/>
            <w:vAlign w:val="center"/>
            <w:hideMark/>
          </w:tcPr>
          <w:p w14:paraId="16D32A30" w14:textId="77777777" w:rsidR="000F3F85" w:rsidRPr="00C47F2F" w:rsidRDefault="000F3F85" w:rsidP="00016E17">
            <w:pPr>
              <w:pStyle w:val="Table"/>
              <w:rPr>
                <w:noProof/>
                <w:sz w:val="20"/>
                <w:szCs w:val="20"/>
              </w:rPr>
            </w:pPr>
            <w:r w:rsidRPr="00C47F2F">
              <w:rPr>
                <w:noProof/>
                <w:sz w:val="20"/>
                <w:szCs w:val="20"/>
              </w:rPr>
              <w:t>1.90E-03</w:t>
            </w:r>
          </w:p>
        </w:tc>
        <w:tc>
          <w:tcPr>
            <w:tcW w:w="1015" w:type="dxa"/>
            <w:shd w:val="clear" w:color="auto" w:fill="auto"/>
            <w:noWrap/>
            <w:vAlign w:val="center"/>
            <w:hideMark/>
          </w:tcPr>
          <w:p w14:paraId="3E062304" w14:textId="77777777" w:rsidR="000F3F85" w:rsidRPr="00C47F2F" w:rsidRDefault="000F3F85" w:rsidP="00016E17">
            <w:pPr>
              <w:pStyle w:val="Table"/>
              <w:rPr>
                <w:noProof/>
                <w:sz w:val="20"/>
                <w:szCs w:val="20"/>
              </w:rPr>
            </w:pPr>
            <w:r w:rsidRPr="00C47F2F">
              <w:rPr>
                <w:noProof/>
                <w:sz w:val="20"/>
                <w:szCs w:val="20"/>
              </w:rPr>
              <w:t>1.90E-03</w:t>
            </w:r>
          </w:p>
        </w:tc>
        <w:tc>
          <w:tcPr>
            <w:tcW w:w="1015" w:type="dxa"/>
            <w:shd w:val="clear" w:color="auto" w:fill="auto"/>
            <w:noWrap/>
            <w:vAlign w:val="center"/>
            <w:hideMark/>
          </w:tcPr>
          <w:p w14:paraId="0C7A3768" w14:textId="77777777" w:rsidR="000F3F85" w:rsidRPr="00C47F2F" w:rsidRDefault="000F3F85" w:rsidP="00016E17">
            <w:pPr>
              <w:pStyle w:val="Table"/>
              <w:rPr>
                <w:noProof/>
                <w:sz w:val="20"/>
                <w:szCs w:val="20"/>
              </w:rPr>
            </w:pPr>
            <w:r w:rsidRPr="00C47F2F">
              <w:rPr>
                <w:noProof/>
                <w:sz w:val="20"/>
                <w:szCs w:val="20"/>
              </w:rPr>
              <w:t>1.90E-03</w:t>
            </w:r>
          </w:p>
        </w:tc>
        <w:tc>
          <w:tcPr>
            <w:tcW w:w="1015" w:type="dxa"/>
            <w:shd w:val="clear" w:color="auto" w:fill="auto"/>
            <w:noWrap/>
            <w:vAlign w:val="center"/>
            <w:hideMark/>
          </w:tcPr>
          <w:p w14:paraId="47AC5A49" w14:textId="77777777" w:rsidR="000F3F85" w:rsidRPr="00C47F2F" w:rsidRDefault="000F3F85" w:rsidP="00016E17">
            <w:pPr>
              <w:pStyle w:val="Table"/>
              <w:rPr>
                <w:noProof/>
                <w:sz w:val="20"/>
                <w:szCs w:val="20"/>
              </w:rPr>
            </w:pPr>
            <w:r w:rsidRPr="00C47F2F">
              <w:rPr>
                <w:noProof/>
                <w:sz w:val="20"/>
                <w:szCs w:val="20"/>
              </w:rPr>
              <w:t>1.90E-03</w:t>
            </w:r>
          </w:p>
        </w:tc>
        <w:tc>
          <w:tcPr>
            <w:tcW w:w="1015" w:type="dxa"/>
            <w:shd w:val="clear" w:color="auto" w:fill="auto"/>
            <w:noWrap/>
            <w:vAlign w:val="center"/>
            <w:hideMark/>
          </w:tcPr>
          <w:p w14:paraId="3A1083A1" w14:textId="77777777" w:rsidR="000F3F85" w:rsidRPr="00C47F2F" w:rsidRDefault="000F3F85" w:rsidP="00016E17">
            <w:pPr>
              <w:pStyle w:val="Table"/>
              <w:rPr>
                <w:noProof/>
                <w:sz w:val="20"/>
                <w:szCs w:val="20"/>
              </w:rPr>
            </w:pPr>
            <w:r w:rsidRPr="00C47F2F">
              <w:rPr>
                <w:noProof/>
                <w:sz w:val="20"/>
                <w:szCs w:val="20"/>
              </w:rPr>
              <w:t>1.90E-03</w:t>
            </w:r>
          </w:p>
        </w:tc>
      </w:tr>
      <w:tr w:rsidR="000F3F85" w:rsidRPr="00972C81" w14:paraId="49A46A9E" w14:textId="77777777" w:rsidTr="00016E17">
        <w:trPr>
          <w:trHeight w:val="340"/>
        </w:trPr>
        <w:tc>
          <w:tcPr>
            <w:tcW w:w="2938" w:type="dxa"/>
            <w:shd w:val="clear" w:color="auto" w:fill="auto"/>
            <w:noWrap/>
            <w:vAlign w:val="center"/>
            <w:hideMark/>
          </w:tcPr>
          <w:p w14:paraId="75E83C80" w14:textId="28999392" w:rsidR="000F3F85" w:rsidRPr="000F3F85" w:rsidRDefault="000F3F85" w:rsidP="00016E17">
            <w:pPr>
              <w:pStyle w:val="Table"/>
              <w:rPr>
                <w:noProof/>
                <w:sz w:val="20"/>
                <w:szCs w:val="22"/>
              </w:rPr>
            </w:pPr>
            <w:r w:rsidRPr="000F3F85">
              <w:rPr>
                <w:noProof/>
                <w:sz w:val="20"/>
                <w:szCs w:val="22"/>
              </w:rPr>
              <w:t>Liver 1 to SI content</w:t>
            </w:r>
          </w:p>
        </w:tc>
        <w:tc>
          <w:tcPr>
            <w:tcW w:w="1014" w:type="dxa"/>
            <w:shd w:val="clear" w:color="auto" w:fill="auto"/>
            <w:noWrap/>
            <w:vAlign w:val="center"/>
            <w:hideMark/>
          </w:tcPr>
          <w:p w14:paraId="6965ED10" w14:textId="77777777" w:rsidR="000F3F85" w:rsidRPr="00C47F2F" w:rsidRDefault="000F3F85" w:rsidP="00016E17">
            <w:pPr>
              <w:pStyle w:val="Table"/>
              <w:rPr>
                <w:noProof/>
                <w:sz w:val="20"/>
                <w:szCs w:val="20"/>
              </w:rPr>
            </w:pPr>
            <w:r w:rsidRPr="00C47F2F">
              <w:rPr>
                <w:noProof/>
                <w:sz w:val="20"/>
                <w:szCs w:val="20"/>
              </w:rPr>
              <w:t>2.31E-03</w:t>
            </w:r>
          </w:p>
        </w:tc>
        <w:tc>
          <w:tcPr>
            <w:tcW w:w="1015" w:type="dxa"/>
            <w:shd w:val="clear" w:color="auto" w:fill="auto"/>
            <w:noWrap/>
            <w:vAlign w:val="center"/>
            <w:hideMark/>
          </w:tcPr>
          <w:p w14:paraId="064474AE" w14:textId="77777777" w:rsidR="000F3F85" w:rsidRPr="00C47F2F" w:rsidRDefault="000F3F85" w:rsidP="00016E17">
            <w:pPr>
              <w:pStyle w:val="Table"/>
              <w:rPr>
                <w:noProof/>
                <w:sz w:val="20"/>
                <w:szCs w:val="20"/>
              </w:rPr>
            </w:pPr>
            <w:r w:rsidRPr="00C47F2F">
              <w:rPr>
                <w:noProof/>
                <w:sz w:val="20"/>
                <w:szCs w:val="20"/>
              </w:rPr>
              <w:t>2.31E-03</w:t>
            </w:r>
          </w:p>
        </w:tc>
        <w:tc>
          <w:tcPr>
            <w:tcW w:w="1015" w:type="dxa"/>
            <w:shd w:val="clear" w:color="auto" w:fill="auto"/>
            <w:noWrap/>
            <w:vAlign w:val="center"/>
            <w:hideMark/>
          </w:tcPr>
          <w:p w14:paraId="0B3CDFFA" w14:textId="77777777" w:rsidR="000F3F85" w:rsidRPr="00C47F2F" w:rsidRDefault="000F3F85" w:rsidP="00016E17">
            <w:pPr>
              <w:pStyle w:val="Table"/>
              <w:rPr>
                <w:noProof/>
                <w:sz w:val="20"/>
                <w:szCs w:val="20"/>
              </w:rPr>
            </w:pPr>
            <w:r w:rsidRPr="00C47F2F">
              <w:rPr>
                <w:noProof/>
                <w:sz w:val="20"/>
                <w:szCs w:val="20"/>
              </w:rPr>
              <w:t>2.31E-03</w:t>
            </w:r>
          </w:p>
        </w:tc>
        <w:tc>
          <w:tcPr>
            <w:tcW w:w="1015" w:type="dxa"/>
            <w:shd w:val="clear" w:color="auto" w:fill="auto"/>
            <w:noWrap/>
            <w:vAlign w:val="center"/>
            <w:hideMark/>
          </w:tcPr>
          <w:p w14:paraId="3969261B" w14:textId="77777777" w:rsidR="000F3F85" w:rsidRPr="00C47F2F" w:rsidRDefault="000F3F85" w:rsidP="00016E17">
            <w:pPr>
              <w:pStyle w:val="Table"/>
              <w:rPr>
                <w:noProof/>
                <w:sz w:val="20"/>
                <w:szCs w:val="20"/>
              </w:rPr>
            </w:pPr>
            <w:r w:rsidRPr="00C47F2F">
              <w:rPr>
                <w:noProof/>
                <w:sz w:val="20"/>
                <w:szCs w:val="20"/>
              </w:rPr>
              <w:t>2.31E-03</w:t>
            </w:r>
          </w:p>
        </w:tc>
        <w:tc>
          <w:tcPr>
            <w:tcW w:w="1015" w:type="dxa"/>
            <w:shd w:val="clear" w:color="auto" w:fill="auto"/>
            <w:noWrap/>
            <w:vAlign w:val="center"/>
            <w:hideMark/>
          </w:tcPr>
          <w:p w14:paraId="11E79AB3" w14:textId="77777777" w:rsidR="000F3F85" w:rsidRPr="00C47F2F" w:rsidRDefault="000F3F85" w:rsidP="00016E17">
            <w:pPr>
              <w:pStyle w:val="Table"/>
              <w:rPr>
                <w:noProof/>
                <w:sz w:val="20"/>
                <w:szCs w:val="20"/>
              </w:rPr>
            </w:pPr>
            <w:r w:rsidRPr="00C47F2F">
              <w:rPr>
                <w:noProof/>
                <w:sz w:val="20"/>
                <w:szCs w:val="20"/>
              </w:rPr>
              <w:t>2.31E-03</w:t>
            </w:r>
          </w:p>
        </w:tc>
        <w:tc>
          <w:tcPr>
            <w:tcW w:w="1015" w:type="dxa"/>
            <w:shd w:val="clear" w:color="auto" w:fill="auto"/>
            <w:noWrap/>
            <w:vAlign w:val="center"/>
            <w:hideMark/>
          </w:tcPr>
          <w:p w14:paraId="7D26840A" w14:textId="77777777" w:rsidR="000F3F85" w:rsidRPr="00C47F2F" w:rsidRDefault="000F3F85" w:rsidP="00016E17">
            <w:pPr>
              <w:pStyle w:val="Table"/>
              <w:rPr>
                <w:noProof/>
                <w:sz w:val="20"/>
                <w:szCs w:val="20"/>
              </w:rPr>
            </w:pPr>
            <w:r w:rsidRPr="00C47F2F">
              <w:rPr>
                <w:noProof/>
                <w:sz w:val="20"/>
                <w:szCs w:val="20"/>
              </w:rPr>
              <w:t>2.31E-03</w:t>
            </w:r>
          </w:p>
        </w:tc>
      </w:tr>
      <w:tr w:rsidR="000F3F85" w:rsidRPr="00972C81" w14:paraId="7AF7C4E0" w14:textId="77777777" w:rsidTr="00016E17">
        <w:trPr>
          <w:trHeight w:val="340"/>
        </w:trPr>
        <w:tc>
          <w:tcPr>
            <w:tcW w:w="2938" w:type="dxa"/>
            <w:shd w:val="clear" w:color="auto" w:fill="auto"/>
            <w:noWrap/>
            <w:vAlign w:val="center"/>
            <w:hideMark/>
          </w:tcPr>
          <w:p w14:paraId="439B1A52" w14:textId="09B7F220" w:rsidR="000F3F85" w:rsidRPr="000F3F85" w:rsidRDefault="000F3F85" w:rsidP="00016E17">
            <w:pPr>
              <w:pStyle w:val="Table"/>
              <w:rPr>
                <w:noProof/>
                <w:sz w:val="20"/>
                <w:szCs w:val="22"/>
              </w:rPr>
            </w:pPr>
            <w:r w:rsidRPr="000F3F85">
              <w:rPr>
                <w:noProof/>
                <w:sz w:val="20"/>
                <w:szCs w:val="22"/>
              </w:rPr>
              <w:t>Liver 1 to Liver 2</w:t>
            </w:r>
          </w:p>
        </w:tc>
        <w:tc>
          <w:tcPr>
            <w:tcW w:w="1014" w:type="dxa"/>
            <w:shd w:val="clear" w:color="auto" w:fill="auto"/>
            <w:noWrap/>
            <w:vAlign w:val="center"/>
            <w:hideMark/>
          </w:tcPr>
          <w:p w14:paraId="304D9D59" w14:textId="77777777" w:rsidR="000F3F85" w:rsidRPr="00C47F2F" w:rsidRDefault="000F3F85" w:rsidP="00016E17">
            <w:pPr>
              <w:pStyle w:val="Table"/>
              <w:rPr>
                <w:noProof/>
                <w:sz w:val="20"/>
                <w:szCs w:val="20"/>
              </w:rPr>
            </w:pPr>
            <w:r w:rsidRPr="00C47F2F">
              <w:rPr>
                <w:noProof/>
                <w:sz w:val="20"/>
                <w:szCs w:val="20"/>
              </w:rPr>
              <w:t>2.08E-02</w:t>
            </w:r>
          </w:p>
        </w:tc>
        <w:tc>
          <w:tcPr>
            <w:tcW w:w="1015" w:type="dxa"/>
            <w:shd w:val="clear" w:color="auto" w:fill="auto"/>
            <w:noWrap/>
            <w:vAlign w:val="center"/>
            <w:hideMark/>
          </w:tcPr>
          <w:p w14:paraId="2C9A25D7" w14:textId="77777777" w:rsidR="000F3F85" w:rsidRPr="00C47F2F" w:rsidRDefault="000F3F85" w:rsidP="00016E17">
            <w:pPr>
              <w:pStyle w:val="Table"/>
              <w:rPr>
                <w:noProof/>
                <w:sz w:val="20"/>
                <w:szCs w:val="20"/>
              </w:rPr>
            </w:pPr>
            <w:r w:rsidRPr="00C47F2F">
              <w:rPr>
                <w:noProof/>
                <w:sz w:val="20"/>
                <w:szCs w:val="20"/>
              </w:rPr>
              <w:t>2.08E-02</w:t>
            </w:r>
          </w:p>
        </w:tc>
        <w:tc>
          <w:tcPr>
            <w:tcW w:w="1015" w:type="dxa"/>
            <w:shd w:val="clear" w:color="auto" w:fill="auto"/>
            <w:noWrap/>
            <w:vAlign w:val="center"/>
            <w:hideMark/>
          </w:tcPr>
          <w:p w14:paraId="30AA8006" w14:textId="77777777" w:rsidR="000F3F85" w:rsidRPr="00C47F2F" w:rsidRDefault="000F3F85" w:rsidP="00016E17">
            <w:pPr>
              <w:pStyle w:val="Table"/>
              <w:rPr>
                <w:noProof/>
                <w:sz w:val="20"/>
                <w:szCs w:val="20"/>
              </w:rPr>
            </w:pPr>
            <w:r w:rsidRPr="00C47F2F">
              <w:rPr>
                <w:noProof/>
                <w:sz w:val="20"/>
                <w:szCs w:val="20"/>
              </w:rPr>
              <w:t>2.08E-02</w:t>
            </w:r>
          </w:p>
        </w:tc>
        <w:tc>
          <w:tcPr>
            <w:tcW w:w="1015" w:type="dxa"/>
            <w:shd w:val="clear" w:color="auto" w:fill="auto"/>
            <w:noWrap/>
            <w:vAlign w:val="center"/>
            <w:hideMark/>
          </w:tcPr>
          <w:p w14:paraId="17FE34A2" w14:textId="77777777" w:rsidR="000F3F85" w:rsidRPr="00C47F2F" w:rsidRDefault="000F3F85" w:rsidP="00016E17">
            <w:pPr>
              <w:pStyle w:val="Table"/>
              <w:rPr>
                <w:noProof/>
                <w:sz w:val="20"/>
                <w:szCs w:val="20"/>
              </w:rPr>
            </w:pPr>
            <w:r w:rsidRPr="00C47F2F">
              <w:rPr>
                <w:noProof/>
                <w:sz w:val="20"/>
                <w:szCs w:val="20"/>
              </w:rPr>
              <w:t>2.08E-02</w:t>
            </w:r>
          </w:p>
        </w:tc>
        <w:tc>
          <w:tcPr>
            <w:tcW w:w="1015" w:type="dxa"/>
            <w:shd w:val="clear" w:color="auto" w:fill="auto"/>
            <w:noWrap/>
            <w:vAlign w:val="center"/>
            <w:hideMark/>
          </w:tcPr>
          <w:p w14:paraId="0E35E526" w14:textId="77777777" w:rsidR="000F3F85" w:rsidRPr="00C47F2F" w:rsidRDefault="000F3F85" w:rsidP="00016E17">
            <w:pPr>
              <w:pStyle w:val="Table"/>
              <w:rPr>
                <w:noProof/>
                <w:sz w:val="20"/>
                <w:szCs w:val="20"/>
              </w:rPr>
            </w:pPr>
            <w:r w:rsidRPr="00C47F2F">
              <w:rPr>
                <w:noProof/>
                <w:sz w:val="20"/>
                <w:szCs w:val="20"/>
              </w:rPr>
              <w:t>2.08E-02</w:t>
            </w:r>
          </w:p>
        </w:tc>
        <w:tc>
          <w:tcPr>
            <w:tcW w:w="1015" w:type="dxa"/>
            <w:shd w:val="clear" w:color="auto" w:fill="auto"/>
            <w:noWrap/>
            <w:vAlign w:val="center"/>
            <w:hideMark/>
          </w:tcPr>
          <w:p w14:paraId="44A4A26B" w14:textId="77777777" w:rsidR="000F3F85" w:rsidRPr="00C47F2F" w:rsidRDefault="000F3F85" w:rsidP="00016E17">
            <w:pPr>
              <w:pStyle w:val="Table"/>
              <w:rPr>
                <w:noProof/>
                <w:sz w:val="20"/>
                <w:szCs w:val="20"/>
              </w:rPr>
            </w:pPr>
            <w:r w:rsidRPr="00C47F2F">
              <w:rPr>
                <w:noProof/>
                <w:sz w:val="20"/>
                <w:szCs w:val="20"/>
              </w:rPr>
              <w:t>2.08E-02</w:t>
            </w:r>
          </w:p>
        </w:tc>
      </w:tr>
      <w:tr w:rsidR="000F3F85" w:rsidRPr="00972C81" w14:paraId="4AFD7AF3" w14:textId="77777777" w:rsidTr="00016E17">
        <w:trPr>
          <w:trHeight w:val="340"/>
        </w:trPr>
        <w:tc>
          <w:tcPr>
            <w:tcW w:w="2938" w:type="dxa"/>
            <w:shd w:val="clear" w:color="auto" w:fill="auto"/>
            <w:noWrap/>
            <w:vAlign w:val="center"/>
            <w:hideMark/>
          </w:tcPr>
          <w:p w14:paraId="0E48B5B2" w14:textId="323B0674" w:rsidR="000F3F85" w:rsidRPr="000F3F85" w:rsidRDefault="000F3F85" w:rsidP="00016E17">
            <w:pPr>
              <w:pStyle w:val="Table"/>
              <w:rPr>
                <w:noProof/>
                <w:sz w:val="20"/>
                <w:szCs w:val="22"/>
              </w:rPr>
            </w:pPr>
            <w:r w:rsidRPr="000F3F85">
              <w:rPr>
                <w:noProof/>
                <w:sz w:val="20"/>
                <w:szCs w:val="22"/>
              </w:rPr>
              <w:t>ST0 to Blood</w:t>
            </w:r>
          </w:p>
        </w:tc>
        <w:tc>
          <w:tcPr>
            <w:tcW w:w="1014" w:type="dxa"/>
            <w:shd w:val="clear" w:color="auto" w:fill="auto"/>
            <w:noWrap/>
            <w:vAlign w:val="center"/>
            <w:hideMark/>
          </w:tcPr>
          <w:p w14:paraId="166F2BEF" w14:textId="77777777" w:rsidR="000F3F85" w:rsidRPr="00C47F2F" w:rsidRDefault="000F3F85" w:rsidP="00016E17">
            <w:pPr>
              <w:pStyle w:val="Table"/>
              <w:rPr>
                <w:noProof/>
                <w:sz w:val="20"/>
                <w:szCs w:val="20"/>
              </w:rPr>
            </w:pPr>
            <w:r w:rsidRPr="00C47F2F">
              <w:rPr>
                <w:noProof/>
                <w:sz w:val="20"/>
                <w:szCs w:val="20"/>
              </w:rPr>
              <w:t>1.39E+00</w:t>
            </w:r>
          </w:p>
        </w:tc>
        <w:tc>
          <w:tcPr>
            <w:tcW w:w="1015" w:type="dxa"/>
            <w:shd w:val="clear" w:color="auto" w:fill="auto"/>
            <w:noWrap/>
            <w:vAlign w:val="center"/>
            <w:hideMark/>
          </w:tcPr>
          <w:p w14:paraId="41F52121" w14:textId="77777777" w:rsidR="000F3F85" w:rsidRPr="00C47F2F" w:rsidRDefault="000F3F85" w:rsidP="00016E17">
            <w:pPr>
              <w:pStyle w:val="Table"/>
              <w:rPr>
                <w:noProof/>
                <w:sz w:val="20"/>
                <w:szCs w:val="20"/>
              </w:rPr>
            </w:pPr>
            <w:r w:rsidRPr="00C47F2F">
              <w:rPr>
                <w:noProof/>
                <w:sz w:val="20"/>
                <w:szCs w:val="20"/>
              </w:rPr>
              <w:t>1.39E+00</w:t>
            </w:r>
          </w:p>
        </w:tc>
        <w:tc>
          <w:tcPr>
            <w:tcW w:w="1015" w:type="dxa"/>
            <w:shd w:val="clear" w:color="auto" w:fill="auto"/>
            <w:noWrap/>
            <w:vAlign w:val="center"/>
            <w:hideMark/>
          </w:tcPr>
          <w:p w14:paraId="7404B664" w14:textId="77777777" w:rsidR="000F3F85" w:rsidRPr="00C47F2F" w:rsidRDefault="000F3F85" w:rsidP="00016E17">
            <w:pPr>
              <w:pStyle w:val="Table"/>
              <w:rPr>
                <w:noProof/>
                <w:sz w:val="20"/>
                <w:szCs w:val="20"/>
              </w:rPr>
            </w:pPr>
            <w:r w:rsidRPr="00C47F2F">
              <w:rPr>
                <w:noProof/>
                <w:sz w:val="20"/>
                <w:szCs w:val="20"/>
              </w:rPr>
              <w:t>1.39E+00</w:t>
            </w:r>
          </w:p>
        </w:tc>
        <w:tc>
          <w:tcPr>
            <w:tcW w:w="1015" w:type="dxa"/>
            <w:shd w:val="clear" w:color="auto" w:fill="auto"/>
            <w:noWrap/>
            <w:vAlign w:val="center"/>
            <w:hideMark/>
          </w:tcPr>
          <w:p w14:paraId="73D61E80" w14:textId="77777777" w:rsidR="000F3F85" w:rsidRPr="00C47F2F" w:rsidRDefault="000F3F85" w:rsidP="00016E17">
            <w:pPr>
              <w:pStyle w:val="Table"/>
              <w:rPr>
                <w:noProof/>
                <w:sz w:val="20"/>
                <w:szCs w:val="20"/>
              </w:rPr>
            </w:pPr>
            <w:r w:rsidRPr="00C47F2F">
              <w:rPr>
                <w:noProof/>
                <w:sz w:val="20"/>
                <w:szCs w:val="20"/>
              </w:rPr>
              <w:t>1.39E+00</w:t>
            </w:r>
          </w:p>
        </w:tc>
        <w:tc>
          <w:tcPr>
            <w:tcW w:w="1015" w:type="dxa"/>
            <w:shd w:val="clear" w:color="auto" w:fill="auto"/>
            <w:noWrap/>
            <w:vAlign w:val="center"/>
            <w:hideMark/>
          </w:tcPr>
          <w:p w14:paraId="785CFE39" w14:textId="77777777" w:rsidR="000F3F85" w:rsidRPr="00C47F2F" w:rsidRDefault="000F3F85" w:rsidP="00016E17">
            <w:pPr>
              <w:pStyle w:val="Table"/>
              <w:rPr>
                <w:noProof/>
                <w:sz w:val="20"/>
                <w:szCs w:val="20"/>
              </w:rPr>
            </w:pPr>
            <w:r w:rsidRPr="00C47F2F">
              <w:rPr>
                <w:noProof/>
                <w:sz w:val="20"/>
                <w:szCs w:val="20"/>
              </w:rPr>
              <w:t>1.39E+00</w:t>
            </w:r>
          </w:p>
        </w:tc>
        <w:tc>
          <w:tcPr>
            <w:tcW w:w="1015" w:type="dxa"/>
            <w:shd w:val="clear" w:color="auto" w:fill="auto"/>
            <w:noWrap/>
            <w:vAlign w:val="center"/>
            <w:hideMark/>
          </w:tcPr>
          <w:p w14:paraId="2291B5F0" w14:textId="77777777" w:rsidR="000F3F85" w:rsidRPr="00C47F2F" w:rsidRDefault="000F3F85" w:rsidP="00016E17">
            <w:pPr>
              <w:pStyle w:val="Table"/>
              <w:rPr>
                <w:noProof/>
                <w:sz w:val="20"/>
                <w:szCs w:val="20"/>
              </w:rPr>
            </w:pPr>
            <w:r w:rsidRPr="00C47F2F">
              <w:rPr>
                <w:noProof/>
                <w:sz w:val="20"/>
                <w:szCs w:val="20"/>
              </w:rPr>
              <w:t>1.39E+00</w:t>
            </w:r>
          </w:p>
        </w:tc>
      </w:tr>
      <w:tr w:rsidR="000F3F85" w:rsidRPr="00972C81" w14:paraId="20CA4C01" w14:textId="77777777" w:rsidTr="00016E17">
        <w:trPr>
          <w:trHeight w:val="340"/>
        </w:trPr>
        <w:tc>
          <w:tcPr>
            <w:tcW w:w="2938" w:type="dxa"/>
            <w:shd w:val="clear" w:color="auto" w:fill="auto"/>
            <w:noWrap/>
            <w:vAlign w:val="center"/>
            <w:hideMark/>
          </w:tcPr>
          <w:p w14:paraId="7962900B" w14:textId="1D734D96" w:rsidR="000F3F85" w:rsidRPr="000F3F85" w:rsidRDefault="000F3F85" w:rsidP="00016E17">
            <w:pPr>
              <w:pStyle w:val="Table"/>
              <w:rPr>
                <w:noProof/>
                <w:sz w:val="20"/>
                <w:szCs w:val="22"/>
              </w:rPr>
            </w:pPr>
            <w:r w:rsidRPr="000F3F85">
              <w:rPr>
                <w:noProof/>
                <w:sz w:val="20"/>
                <w:szCs w:val="22"/>
              </w:rPr>
              <w:t>ST1 to Blood</w:t>
            </w:r>
          </w:p>
        </w:tc>
        <w:tc>
          <w:tcPr>
            <w:tcW w:w="1014" w:type="dxa"/>
            <w:shd w:val="clear" w:color="auto" w:fill="auto"/>
            <w:noWrap/>
            <w:vAlign w:val="center"/>
            <w:hideMark/>
          </w:tcPr>
          <w:p w14:paraId="553CF90B" w14:textId="77777777" w:rsidR="000F3F85" w:rsidRPr="00C47F2F" w:rsidRDefault="000F3F85" w:rsidP="00016E17">
            <w:pPr>
              <w:pStyle w:val="Table"/>
              <w:rPr>
                <w:noProof/>
                <w:sz w:val="20"/>
                <w:szCs w:val="20"/>
              </w:rPr>
            </w:pPr>
            <w:r w:rsidRPr="00C47F2F">
              <w:rPr>
                <w:noProof/>
                <w:sz w:val="20"/>
                <w:szCs w:val="20"/>
              </w:rPr>
              <w:t>6.93E-03</w:t>
            </w:r>
          </w:p>
        </w:tc>
        <w:tc>
          <w:tcPr>
            <w:tcW w:w="1015" w:type="dxa"/>
            <w:shd w:val="clear" w:color="auto" w:fill="auto"/>
            <w:noWrap/>
            <w:vAlign w:val="center"/>
            <w:hideMark/>
          </w:tcPr>
          <w:p w14:paraId="1F2B0F5D" w14:textId="77777777" w:rsidR="000F3F85" w:rsidRPr="00C47F2F" w:rsidRDefault="000F3F85" w:rsidP="00016E17">
            <w:pPr>
              <w:pStyle w:val="Table"/>
              <w:rPr>
                <w:noProof/>
                <w:sz w:val="20"/>
                <w:szCs w:val="20"/>
              </w:rPr>
            </w:pPr>
            <w:r w:rsidRPr="00C47F2F">
              <w:rPr>
                <w:noProof/>
                <w:sz w:val="20"/>
                <w:szCs w:val="20"/>
              </w:rPr>
              <w:t>6.93E-03</w:t>
            </w:r>
          </w:p>
        </w:tc>
        <w:tc>
          <w:tcPr>
            <w:tcW w:w="1015" w:type="dxa"/>
            <w:shd w:val="clear" w:color="auto" w:fill="auto"/>
            <w:noWrap/>
            <w:vAlign w:val="center"/>
            <w:hideMark/>
          </w:tcPr>
          <w:p w14:paraId="51F919A2" w14:textId="77777777" w:rsidR="000F3F85" w:rsidRPr="00C47F2F" w:rsidRDefault="000F3F85" w:rsidP="00016E17">
            <w:pPr>
              <w:pStyle w:val="Table"/>
              <w:rPr>
                <w:noProof/>
                <w:sz w:val="20"/>
                <w:szCs w:val="20"/>
              </w:rPr>
            </w:pPr>
            <w:r w:rsidRPr="00C47F2F">
              <w:rPr>
                <w:noProof/>
                <w:sz w:val="20"/>
                <w:szCs w:val="20"/>
              </w:rPr>
              <w:t>6.93E-03</w:t>
            </w:r>
          </w:p>
        </w:tc>
        <w:tc>
          <w:tcPr>
            <w:tcW w:w="1015" w:type="dxa"/>
            <w:shd w:val="clear" w:color="auto" w:fill="auto"/>
            <w:noWrap/>
            <w:vAlign w:val="center"/>
            <w:hideMark/>
          </w:tcPr>
          <w:p w14:paraId="5C593431" w14:textId="77777777" w:rsidR="000F3F85" w:rsidRPr="00C47F2F" w:rsidRDefault="000F3F85" w:rsidP="00016E17">
            <w:pPr>
              <w:pStyle w:val="Table"/>
              <w:rPr>
                <w:noProof/>
                <w:sz w:val="20"/>
                <w:szCs w:val="20"/>
              </w:rPr>
            </w:pPr>
            <w:r w:rsidRPr="00C47F2F">
              <w:rPr>
                <w:noProof/>
                <w:sz w:val="20"/>
                <w:szCs w:val="20"/>
              </w:rPr>
              <w:t>6.93E-03</w:t>
            </w:r>
          </w:p>
        </w:tc>
        <w:tc>
          <w:tcPr>
            <w:tcW w:w="1015" w:type="dxa"/>
            <w:shd w:val="clear" w:color="auto" w:fill="auto"/>
            <w:noWrap/>
            <w:vAlign w:val="center"/>
            <w:hideMark/>
          </w:tcPr>
          <w:p w14:paraId="65341B8F" w14:textId="77777777" w:rsidR="000F3F85" w:rsidRPr="00C47F2F" w:rsidRDefault="000F3F85" w:rsidP="00016E17">
            <w:pPr>
              <w:pStyle w:val="Table"/>
              <w:rPr>
                <w:noProof/>
                <w:sz w:val="20"/>
                <w:szCs w:val="20"/>
              </w:rPr>
            </w:pPr>
            <w:r w:rsidRPr="00C47F2F">
              <w:rPr>
                <w:noProof/>
                <w:sz w:val="20"/>
                <w:szCs w:val="20"/>
              </w:rPr>
              <w:t>6.93E-03</w:t>
            </w:r>
          </w:p>
        </w:tc>
        <w:tc>
          <w:tcPr>
            <w:tcW w:w="1015" w:type="dxa"/>
            <w:shd w:val="clear" w:color="auto" w:fill="auto"/>
            <w:noWrap/>
            <w:vAlign w:val="center"/>
            <w:hideMark/>
          </w:tcPr>
          <w:p w14:paraId="1B121C09" w14:textId="77777777" w:rsidR="000F3F85" w:rsidRPr="00C47F2F" w:rsidRDefault="000F3F85" w:rsidP="00016E17">
            <w:pPr>
              <w:pStyle w:val="Table"/>
              <w:rPr>
                <w:noProof/>
                <w:sz w:val="20"/>
                <w:szCs w:val="20"/>
              </w:rPr>
            </w:pPr>
            <w:r w:rsidRPr="00C47F2F">
              <w:rPr>
                <w:noProof/>
                <w:sz w:val="20"/>
                <w:szCs w:val="20"/>
              </w:rPr>
              <w:t>6.93E-03</w:t>
            </w:r>
          </w:p>
        </w:tc>
      </w:tr>
      <w:tr w:rsidR="000F3F85" w:rsidRPr="00972C81" w14:paraId="7DC34EA9" w14:textId="77777777" w:rsidTr="00016E17">
        <w:trPr>
          <w:trHeight w:val="340"/>
        </w:trPr>
        <w:tc>
          <w:tcPr>
            <w:tcW w:w="2938" w:type="dxa"/>
            <w:shd w:val="clear" w:color="auto" w:fill="auto"/>
            <w:noWrap/>
            <w:vAlign w:val="center"/>
            <w:hideMark/>
          </w:tcPr>
          <w:p w14:paraId="0BD287D3" w14:textId="6B7424DE" w:rsidR="000F3F85" w:rsidRPr="000F3F85" w:rsidRDefault="000F3F85" w:rsidP="00016E17">
            <w:pPr>
              <w:pStyle w:val="Table"/>
              <w:rPr>
                <w:noProof/>
                <w:sz w:val="20"/>
                <w:szCs w:val="22"/>
              </w:rPr>
            </w:pPr>
            <w:r w:rsidRPr="000F3F85">
              <w:rPr>
                <w:noProof/>
                <w:sz w:val="20"/>
                <w:szCs w:val="22"/>
              </w:rPr>
              <w:t>ST2 to Blood</w:t>
            </w:r>
          </w:p>
        </w:tc>
        <w:tc>
          <w:tcPr>
            <w:tcW w:w="1014" w:type="dxa"/>
            <w:shd w:val="clear" w:color="auto" w:fill="auto"/>
            <w:noWrap/>
            <w:vAlign w:val="center"/>
            <w:hideMark/>
          </w:tcPr>
          <w:p w14:paraId="26B16BBE" w14:textId="77777777" w:rsidR="000F3F85" w:rsidRPr="00C47F2F" w:rsidRDefault="000F3F85" w:rsidP="00016E17">
            <w:pPr>
              <w:pStyle w:val="Table"/>
              <w:rPr>
                <w:noProof/>
                <w:sz w:val="20"/>
                <w:szCs w:val="20"/>
              </w:rPr>
            </w:pPr>
            <w:r w:rsidRPr="00C47F2F">
              <w:rPr>
                <w:noProof/>
                <w:sz w:val="20"/>
                <w:szCs w:val="20"/>
              </w:rPr>
              <w:t>1.28E-04</w:t>
            </w:r>
          </w:p>
        </w:tc>
        <w:tc>
          <w:tcPr>
            <w:tcW w:w="1015" w:type="dxa"/>
            <w:shd w:val="clear" w:color="auto" w:fill="auto"/>
            <w:noWrap/>
            <w:vAlign w:val="center"/>
            <w:hideMark/>
          </w:tcPr>
          <w:p w14:paraId="7F7F1370" w14:textId="77777777" w:rsidR="000F3F85" w:rsidRPr="00C47F2F" w:rsidRDefault="000F3F85" w:rsidP="00016E17">
            <w:pPr>
              <w:pStyle w:val="Table"/>
              <w:rPr>
                <w:noProof/>
                <w:sz w:val="20"/>
                <w:szCs w:val="20"/>
              </w:rPr>
            </w:pPr>
            <w:r w:rsidRPr="00C47F2F">
              <w:rPr>
                <w:noProof/>
                <w:sz w:val="20"/>
                <w:szCs w:val="20"/>
              </w:rPr>
              <w:t>1.28E-04</w:t>
            </w:r>
          </w:p>
        </w:tc>
        <w:tc>
          <w:tcPr>
            <w:tcW w:w="1015" w:type="dxa"/>
            <w:shd w:val="clear" w:color="auto" w:fill="auto"/>
            <w:noWrap/>
            <w:vAlign w:val="center"/>
            <w:hideMark/>
          </w:tcPr>
          <w:p w14:paraId="4919B177" w14:textId="77777777" w:rsidR="000F3F85" w:rsidRPr="00C47F2F" w:rsidRDefault="000F3F85" w:rsidP="00016E17">
            <w:pPr>
              <w:pStyle w:val="Table"/>
              <w:rPr>
                <w:noProof/>
                <w:sz w:val="20"/>
                <w:szCs w:val="20"/>
              </w:rPr>
            </w:pPr>
            <w:r w:rsidRPr="00C47F2F">
              <w:rPr>
                <w:noProof/>
                <w:sz w:val="20"/>
                <w:szCs w:val="20"/>
              </w:rPr>
              <w:t>1.28E-04</w:t>
            </w:r>
          </w:p>
        </w:tc>
        <w:tc>
          <w:tcPr>
            <w:tcW w:w="1015" w:type="dxa"/>
            <w:shd w:val="clear" w:color="auto" w:fill="auto"/>
            <w:noWrap/>
            <w:vAlign w:val="center"/>
            <w:hideMark/>
          </w:tcPr>
          <w:p w14:paraId="79B9ECC8" w14:textId="77777777" w:rsidR="000F3F85" w:rsidRPr="00C47F2F" w:rsidRDefault="000F3F85" w:rsidP="00016E17">
            <w:pPr>
              <w:pStyle w:val="Table"/>
              <w:rPr>
                <w:noProof/>
                <w:sz w:val="20"/>
                <w:szCs w:val="20"/>
              </w:rPr>
            </w:pPr>
            <w:r w:rsidRPr="00C47F2F">
              <w:rPr>
                <w:noProof/>
                <w:sz w:val="20"/>
                <w:szCs w:val="20"/>
              </w:rPr>
              <w:t>1.28E-04</w:t>
            </w:r>
          </w:p>
        </w:tc>
        <w:tc>
          <w:tcPr>
            <w:tcW w:w="1015" w:type="dxa"/>
            <w:shd w:val="clear" w:color="auto" w:fill="auto"/>
            <w:noWrap/>
            <w:vAlign w:val="center"/>
            <w:hideMark/>
          </w:tcPr>
          <w:p w14:paraId="6CBDAA97" w14:textId="77777777" w:rsidR="000F3F85" w:rsidRPr="00C47F2F" w:rsidRDefault="000F3F85" w:rsidP="00016E17">
            <w:pPr>
              <w:pStyle w:val="Table"/>
              <w:rPr>
                <w:noProof/>
                <w:sz w:val="20"/>
                <w:szCs w:val="20"/>
              </w:rPr>
            </w:pPr>
            <w:r w:rsidRPr="00C47F2F">
              <w:rPr>
                <w:noProof/>
                <w:sz w:val="20"/>
                <w:szCs w:val="20"/>
              </w:rPr>
              <w:t>1.28E-04</w:t>
            </w:r>
          </w:p>
        </w:tc>
        <w:tc>
          <w:tcPr>
            <w:tcW w:w="1015" w:type="dxa"/>
            <w:shd w:val="clear" w:color="auto" w:fill="auto"/>
            <w:noWrap/>
            <w:vAlign w:val="center"/>
            <w:hideMark/>
          </w:tcPr>
          <w:p w14:paraId="43465F50" w14:textId="77777777" w:rsidR="000F3F85" w:rsidRPr="00C47F2F" w:rsidRDefault="000F3F85" w:rsidP="00016E17">
            <w:pPr>
              <w:pStyle w:val="Table"/>
              <w:rPr>
                <w:noProof/>
                <w:sz w:val="20"/>
                <w:szCs w:val="20"/>
              </w:rPr>
            </w:pPr>
            <w:r w:rsidRPr="00C47F2F">
              <w:rPr>
                <w:noProof/>
                <w:sz w:val="20"/>
                <w:szCs w:val="20"/>
              </w:rPr>
              <w:t>1.28E-04</w:t>
            </w:r>
          </w:p>
        </w:tc>
      </w:tr>
      <w:tr w:rsidR="000F3F85" w:rsidRPr="00972C81" w14:paraId="4DA19107" w14:textId="77777777" w:rsidTr="00016E17">
        <w:trPr>
          <w:trHeight w:val="340"/>
        </w:trPr>
        <w:tc>
          <w:tcPr>
            <w:tcW w:w="2938" w:type="dxa"/>
            <w:shd w:val="clear" w:color="auto" w:fill="auto"/>
            <w:noWrap/>
            <w:vAlign w:val="center"/>
            <w:hideMark/>
          </w:tcPr>
          <w:p w14:paraId="48AD97FD" w14:textId="44931021" w:rsidR="000F3F85" w:rsidRPr="000F3F85" w:rsidRDefault="000F3F85" w:rsidP="00016E17">
            <w:pPr>
              <w:pStyle w:val="Table"/>
              <w:rPr>
                <w:noProof/>
                <w:sz w:val="20"/>
                <w:szCs w:val="22"/>
              </w:rPr>
            </w:pPr>
            <w:r w:rsidRPr="000F3F85">
              <w:rPr>
                <w:noProof/>
                <w:sz w:val="20"/>
                <w:szCs w:val="22"/>
              </w:rPr>
              <w:t>Cort marrow to Blood</w:t>
            </w:r>
          </w:p>
        </w:tc>
        <w:tc>
          <w:tcPr>
            <w:tcW w:w="1014" w:type="dxa"/>
            <w:shd w:val="clear" w:color="auto" w:fill="auto"/>
            <w:noWrap/>
            <w:vAlign w:val="center"/>
            <w:hideMark/>
          </w:tcPr>
          <w:p w14:paraId="46ACA2A5" w14:textId="77777777" w:rsidR="000F3F85" w:rsidRPr="00C47F2F" w:rsidRDefault="000F3F85" w:rsidP="00016E17">
            <w:pPr>
              <w:pStyle w:val="Table"/>
              <w:rPr>
                <w:noProof/>
                <w:sz w:val="20"/>
                <w:szCs w:val="20"/>
              </w:rPr>
            </w:pPr>
            <w:r w:rsidRPr="00C47F2F">
              <w:rPr>
                <w:noProof/>
                <w:sz w:val="20"/>
                <w:szCs w:val="20"/>
              </w:rPr>
              <w:t>7.60E-03</w:t>
            </w:r>
          </w:p>
        </w:tc>
        <w:tc>
          <w:tcPr>
            <w:tcW w:w="1015" w:type="dxa"/>
            <w:shd w:val="clear" w:color="auto" w:fill="auto"/>
            <w:noWrap/>
            <w:vAlign w:val="center"/>
            <w:hideMark/>
          </w:tcPr>
          <w:p w14:paraId="67E876B2" w14:textId="77777777" w:rsidR="000F3F85" w:rsidRPr="00C47F2F" w:rsidRDefault="000F3F85" w:rsidP="00016E17">
            <w:pPr>
              <w:pStyle w:val="Table"/>
              <w:rPr>
                <w:noProof/>
                <w:sz w:val="20"/>
                <w:szCs w:val="20"/>
              </w:rPr>
            </w:pPr>
            <w:r w:rsidRPr="00C47F2F">
              <w:rPr>
                <w:noProof/>
                <w:sz w:val="20"/>
                <w:szCs w:val="20"/>
              </w:rPr>
              <w:t>7.60E-03</w:t>
            </w:r>
          </w:p>
        </w:tc>
        <w:tc>
          <w:tcPr>
            <w:tcW w:w="1015" w:type="dxa"/>
            <w:shd w:val="clear" w:color="auto" w:fill="auto"/>
            <w:noWrap/>
            <w:vAlign w:val="center"/>
            <w:hideMark/>
          </w:tcPr>
          <w:p w14:paraId="5C1E73F0" w14:textId="77777777" w:rsidR="000F3F85" w:rsidRPr="00C47F2F" w:rsidRDefault="000F3F85" w:rsidP="00016E17">
            <w:pPr>
              <w:pStyle w:val="Table"/>
              <w:rPr>
                <w:noProof/>
                <w:sz w:val="20"/>
                <w:szCs w:val="20"/>
              </w:rPr>
            </w:pPr>
            <w:r w:rsidRPr="00C47F2F">
              <w:rPr>
                <w:noProof/>
                <w:sz w:val="20"/>
                <w:szCs w:val="20"/>
              </w:rPr>
              <w:t>7.60E-03</w:t>
            </w:r>
          </w:p>
        </w:tc>
        <w:tc>
          <w:tcPr>
            <w:tcW w:w="1015" w:type="dxa"/>
            <w:shd w:val="clear" w:color="auto" w:fill="auto"/>
            <w:noWrap/>
            <w:vAlign w:val="center"/>
            <w:hideMark/>
          </w:tcPr>
          <w:p w14:paraId="17529FE6" w14:textId="77777777" w:rsidR="000F3F85" w:rsidRPr="00C47F2F" w:rsidRDefault="000F3F85" w:rsidP="00016E17">
            <w:pPr>
              <w:pStyle w:val="Table"/>
              <w:rPr>
                <w:noProof/>
                <w:sz w:val="20"/>
                <w:szCs w:val="20"/>
              </w:rPr>
            </w:pPr>
            <w:r w:rsidRPr="00C47F2F">
              <w:rPr>
                <w:noProof/>
                <w:sz w:val="20"/>
                <w:szCs w:val="20"/>
              </w:rPr>
              <w:t>7.60E-03</w:t>
            </w:r>
          </w:p>
        </w:tc>
        <w:tc>
          <w:tcPr>
            <w:tcW w:w="1015" w:type="dxa"/>
            <w:shd w:val="clear" w:color="auto" w:fill="auto"/>
            <w:noWrap/>
            <w:vAlign w:val="center"/>
            <w:hideMark/>
          </w:tcPr>
          <w:p w14:paraId="57CCE8A2" w14:textId="77777777" w:rsidR="000F3F85" w:rsidRPr="00C47F2F" w:rsidRDefault="000F3F85" w:rsidP="00016E17">
            <w:pPr>
              <w:pStyle w:val="Table"/>
              <w:rPr>
                <w:noProof/>
                <w:sz w:val="20"/>
                <w:szCs w:val="20"/>
              </w:rPr>
            </w:pPr>
            <w:r w:rsidRPr="00C47F2F">
              <w:rPr>
                <w:noProof/>
                <w:sz w:val="20"/>
                <w:szCs w:val="20"/>
              </w:rPr>
              <w:t>7.60E-03</w:t>
            </w:r>
          </w:p>
        </w:tc>
        <w:tc>
          <w:tcPr>
            <w:tcW w:w="1015" w:type="dxa"/>
            <w:shd w:val="clear" w:color="auto" w:fill="auto"/>
            <w:noWrap/>
            <w:vAlign w:val="center"/>
            <w:hideMark/>
          </w:tcPr>
          <w:p w14:paraId="6B0583E3" w14:textId="77777777" w:rsidR="000F3F85" w:rsidRPr="00C47F2F" w:rsidRDefault="000F3F85" w:rsidP="00016E17">
            <w:pPr>
              <w:pStyle w:val="Table"/>
              <w:rPr>
                <w:noProof/>
                <w:sz w:val="20"/>
                <w:szCs w:val="20"/>
              </w:rPr>
            </w:pPr>
            <w:r w:rsidRPr="00C47F2F">
              <w:rPr>
                <w:noProof/>
                <w:sz w:val="20"/>
                <w:szCs w:val="20"/>
              </w:rPr>
              <w:t>7.60E-03</w:t>
            </w:r>
          </w:p>
        </w:tc>
      </w:tr>
      <w:tr w:rsidR="000F3F85" w:rsidRPr="00972C81" w14:paraId="37013410" w14:textId="77777777" w:rsidTr="00016E17">
        <w:trPr>
          <w:trHeight w:val="340"/>
        </w:trPr>
        <w:tc>
          <w:tcPr>
            <w:tcW w:w="2938" w:type="dxa"/>
            <w:shd w:val="clear" w:color="auto" w:fill="auto"/>
            <w:noWrap/>
            <w:vAlign w:val="center"/>
            <w:hideMark/>
          </w:tcPr>
          <w:p w14:paraId="4A45933B" w14:textId="6CA0019F" w:rsidR="000F3F85" w:rsidRPr="000F3F85" w:rsidRDefault="000F3F85" w:rsidP="00016E17">
            <w:pPr>
              <w:pStyle w:val="Table"/>
              <w:rPr>
                <w:noProof/>
                <w:sz w:val="20"/>
                <w:szCs w:val="22"/>
              </w:rPr>
            </w:pPr>
            <w:r w:rsidRPr="000F3F85">
              <w:rPr>
                <w:noProof/>
                <w:sz w:val="20"/>
                <w:szCs w:val="22"/>
              </w:rPr>
              <w:t xml:space="preserve">Cort bone surf to Cort marrow </w:t>
            </w:r>
          </w:p>
        </w:tc>
        <w:tc>
          <w:tcPr>
            <w:tcW w:w="1014" w:type="dxa"/>
            <w:shd w:val="clear" w:color="auto" w:fill="auto"/>
            <w:noWrap/>
            <w:vAlign w:val="center"/>
            <w:hideMark/>
          </w:tcPr>
          <w:p w14:paraId="6A2E2888" w14:textId="77777777" w:rsidR="000F3F85" w:rsidRPr="00C47F2F" w:rsidRDefault="000F3F85" w:rsidP="00016E17">
            <w:pPr>
              <w:pStyle w:val="Table"/>
              <w:rPr>
                <w:noProof/>
                <w:sz w:val="20"/>
                <w:szCs w:val="20"/>
              </w:rPr>
            </w:pPr>
            <w:r w:rsidRPr="00C47F2F">
              <w:rPr>
                <w:noProof/>
                <w:sz w:val="20"/>
                <w:szCs w:val="20"/>
              </w:rPr>
              <w:t>8.22E-03</w:t>
            </w:r>
          </w:p>
        </w:tc>
        <w:tc>
          <w:tcPr>
            <w:tcW w:w="1015" w:type="dxa"/>
            <w:shd w:val="clear" w:color="auto" w:fill="auto"/>
            <w:noWrap/>
            <w:vAlign w:val="center"/>
            <w:hideMark/>
          </w:tcPr>
          <w:p w14:paraId="07D5CB0B" w14:textId="77777777" w:rsidR="000F3F85" w:rsidRPr="00C47F2F" w:rsidRDefault="000F3F85" w:rsidP="00016E17">
            <w:pPr>
              <w:pStyle w:val="Table"/>
              <w:rPr>
                <w:noProof/>
                <w:sz w:val="20"/>
                <w:szCs w:val="20"/>
              </w:rPr>
            </w:pPr>
            <w:r w:rsidRPr="00C47F2F">
              <w:rPr>
                <w:noProof/>
                <w:sz w:val="20"/>
                <w:szCs w:val="20"/>
              </w:rPr>
              <w:t>2.88E-03</w:t>
            </w:r>
          </w:p>
        </w:tc>
        <w:tc>
          <w:tcPr>
            <w:tcW w:w="1015" w:type="dxa"/>
            <w:shd w:val="clear" w:color="auto" w:fill="auto"/>
            <w:noWrap/>
            <w:vAlign w:val="center"/>
            <w:hideMark/>
          </w:tcPr>
          <w:p w14:paraId="2FDB0C1C" w14:textId="77777777" w:rsidR="000F3F85" w:rsidRPr="00C47F2F" w:rsidRDefault="000F3F85" w:rsidP="00016E17">
            <w:pPr>
              <w:pStyle w:val="Table"/>
              <w:rPr>
                <w:noProof/>
                <w:sz w:val="20"/>
                <w:szCs w:val="20"/>
              </w:rPr>
            </w:pPr>
            <w:r w:rsidRPr="00C47F2F">
              <w:rPr>
                <w:noProof/>
                <w:sz w:val="20"/>
                <w:szCs w:val="20"/>
              </w:rPr>
              <w:t>1.53E-03</w:t>
            </w:r>
          </w:p>
        </w:tc>
        <w:tc>
          <w:tcPr>
            <w:tcW w:w="1015" w:type="dxa"/>
            <w:shd w:val="clear" w:color="auto" w:fill="auto"/>
            <w:noWrap/>
            <w:vAlign w:val="center"/>
            <w:hideMark/>
          </w:tcPr>
          <w:p w14:paraId="016C60F9" w14:textId="77777777" w:rsidR="000F3F85" w:rsidRPr="00C47F2F" w:rsidRDefault="000F3F85" w:rsidP="00016E17">
            <w:pPr>
              <w:pStyle w:val="Table"/>
              <w:rPr>
                <w:noProof/>
                <w:sz w:val="20"/>
                <w:szCs w:val="20"/>
              </w:rPr>
            </w:pPr>
            <w:r w:rsidRPr="00C47F2F">
              <w:rPr>
                <w:noProof/>
                <w:sz w:val="20"/>
                <w:szCs w:val="20"/>
              </w:rPr>
              <w:t>9.04E-04</w:t>
            </w:r>
          </w:p>
        </w:tc>
        <w:tc>
          <w:tcPr>
            <w:tcW w:w="1015" w:type="dxa"/>
            <w:shd w:val="clear" w:color="auto" w:fill="auto"/>
            <w:noWrap/>
            <w:vAlign w:val="center"/>
            <w:hideMark/>
          </w:tcPr>
          <w:p w14:paraId="35D0D8EB" w14:textId="77777777" w:rsidR="000F3F85" w:rsidRPr="00C47F2F" w:rsidRDefault="000F3F85" w:rsidP="00016E17">
            <w:pPr>
              <w:pStyle w:val="Table"/>
              <w:rPr>
                <w:noProof/>
                <w:sz w:val="20"/>
                <w:szCs w:val="20"/>
              </w:rPr>
            </w:pPr>
            <w:r w:rsidRPr="00C47F2F">
              <w:rPr>
                <w:noProof/>
                <w:sz w:val="20"/>
                <w:szCs w:val="20"/>
              </w:rPr>
              <w:t>5.21E-04</w:t>
            </w:r>
          </w:p>
        </w:tc>
        <w:tc>
          <w:tcPr>
            <w:tcW w:w="1015" w:type="dxa"/>
            <w:shd w:val="clear" w:color="auto" w:fill="auto"/>
            <w:noWrap/>
            <w:vAlign w:val="center"/>
            <w:hideMark/>
          </w:tcPr>
          <w:p w14:paraId="281E8C83" w14:textId="77777777" w:rsidR="000F3F85" w:rsidRPr="00C47F2F" w:rsidRDefault="000F3F85" w:rsidP="00016E17">
            <w:pPr>
              <w:pStyle w:val="Table"/>
              <w:rPr>
                <w:noProof/>
                <w:sz w:val="20"/>
                <w:szCs w:val="20"/>
              </w:rPr>
            </w:pPr>
            <w:r w:rsidRPr="00C47F2F">
              <w:rPr>
                <w:noProof/>
                <w:sz w:val="20"/>
                <w:szCs w:val="20"/>
              </w:rPr>
              <w:t>8.21E-05</w:t>
            </w:r>
          </w:p>
        </w:tc>
      </w:tr>
      <w:tr w:rsidR="000F3F85" w:rsidRPr="00972C81" w14:paraId="739DE007" w14:textId="77777777" w:rsidTr="00016E17">
        <w:trPr>
          <w:trHeight w:val="340"/>
        </w:trPr>
        <w:tc>
          <w:tcPr>
            <w:tcW w:w="2938" w:type="dxa"/>
            <w:shd w:val="clear" w:color="auto" w:fill="auto"/>
            <w:noWrap/>
            <w:vAlign w:val="center"/>
            <w:hideMark/>
          </w:tcPr>
          <w:p w14:paraId="443725AD" w14:textId="139C3B05" w:rsidR="000F3F85" w:rsidRPr="000F3F85" w:rsidRDefault="000F3F85" w:rsidP="00016E17">
            <w:pPr>
              <w:pStyle w:val="Table"/>
              <w:rPr>
                <w:noProof/>
                <w:sz w:val="20"/>
                <w:szCs w:val="22"/>
              </w:rPr>
            </w:pPr>
            <w:r w:rsidRPr="000F3F85">
              <w:rPr>
                <w:noProof/>
                <w:sz w:val="20"/>
                <w:szCs w:val="22"/>
              </w:rPr>
              <w:t>Cort bone surf to Cort bone vol</w:t>
            </w:r>
          </w:p>
        </w:tc>
        <w:tc>
          <w:tcPr>
            <w:tcW w:w="1014" w:type="dxa"/>
            <w:shd w:val="clear" w:color="auto" w:fill="auto"/>
            <w:noWrap/>
            <w:vAlign w:val="center"/>
            <w:hideMark/>
          </w:tcPr>
          <w:p w14:paraId="12AD2BDA" w14:textId="77777777" w:rsidR="000F3F85" w:rsidRPr="00C47F2F" w:rsidRDefault="000F3F85" w:rsidP="00016E17">
            <w:pPr>
              <w:pStyle w:val="Table"/>
              <w:rPr>
                <w:noProof/>
                <w:sz w:val="20"/>
                <w:szCs w:val="20"/>
              </w:rPr>
            </w:pPr>
            <w:r w:rsidRPr="00C47F2F">
              <w:rPr>
                <w:noProof/>
                <w:sz w:val="20"/>
                <w:szCs w:val="20"/>
              </w:rPr>
              <w:t>8.22E-03</w:t>
            </w:r>
          </w:p>
        </w:tc>
        <w:tc>
          <w:tcPr>
            <w:tcW w:w="1015" w:type="dxa"/>
            <w:shd w:val="clear" w:color="auto" w:fill="auto"/>
            <w:noWrap/>
            <w:vAlign w:val="center"/>
            <w:hideMark/>
          </w:tcPr>
          <w:p w14:paraId="1878010C" w14:textId="77777777" w:rsidR="000F3F85" w:rsidRPr="00C47F2F" w:rsidRDefault="000F3F85" w:rsidP="00016E17">
            <w:pPr>
              <w:pStyle w:val="Table"/>
              <w:rPr>
                <w:noProof/>
                <w:sz w:val="20"/>
                <w:szCs w:val="20"/>
              </w:rPr>
            </w:pPr>
            <w:r w:rsidRPr="00C47F2F">
              <w:rPr>
                <w:noProof/>
                <w:sz w:val="20"/>
                <w:szCs w:val="20"/>
              </w:rPr>
              <w:t>2.88E-03</w:t>
            </w:r>
          </w:p>
        </w:tc>
        <w:tc>
          <w:tcPr>
            <w:tcW w:w="1015" w:type="dxa"/>
            <w:shd w:val="clear" w:color="auto" w:fill="auto"/>
            <w:noWrap/>
            <w:vAlign w:val="center"/>
            <w:hideMark/>
          </w:tcPr>
          <w:p w14:paraId="4ECCDB56" w14:textId="77777777" w:rsidR="000F3F85" w:rsidRPr="00C47F2F" w:rsidRDefault="000F3F85" w:rsidP="00016E17">
            <w:pPr>
              <w:pStyle w:val="Table"/>
              <w:rPr>
                <w:noProof/>
                <w:sz w:val="20"/>
                <w:szCs w:val="20"/>
              </w:rPr>
            </w:pPr>
            <w:r w:rsidRPr="00C47F2F">
              <w:rPr>
                <w:noProof/>
                <w:sz w:val="20"/>
                <w:szCs w:val="20"/>
              </w:rPr>
              <w:t>1.53E-03</w:t>
            </w:r>
          </w:p>
        </w:tc>
        <w:tc>
          <w:tcPr>
            <w:tcW w:w="1015" w:type="dxa"/>
            <w:shd w:val="clear" w:color="auto" w:fill="auto"/>
            <w:noWrap/>
            <w:vAlign w:val="center"/>
            <w:hideMark/>
          </w:tcPr>
          <w:p w14:paraId="24075201" w14:textId="77777777" w:rsidR="000F3F85" w:rsidRPr="00C47F2F" w:rsidRDefault="000F3F85" w:rsidP="00016E17">
            <w:pPr>
              <w:pStyle w:val="Table"/>
              <w:rPr>
                <w:noProof/>
                <w:sz w:val="20"/>
                <w:szCs w:val="20"/>
              </w:rPr>
            </w:pPr>
            <w:r w:rsidRPr="00C47F2F">
              <w:rPr>
                <w:noProof/>
                <w:sz w:val="20"/>
                <w:szCs w:val="20"/>
              </w:rPr>
              <w:t>9.04E-04</w:t>
            </w:r>
          </w:p>
        </w:tc>
        <w:tc>
          <w:tcPr>
            <w:tcW w:w="1015" w:type="dxa"/>
            <w:shd w:val="clear" w:color="auto" w:fill="auto"/>
            <w:noWrap/>
            <w:vAlign w:val="center"/>
            <w:hideMark/>
          </w:tcPr>
          <w:p w14:paraId="47E1A915" w14:textId="77777777" w:rsidR="000F3F85" w:rsidRPr="00C47F2F" w:rsidRDefault="000F3F85" w:rsidP="00016E17">
            <w:pPr>
              <w:pStyle w:val="Table"/>
              <w:rPr>
                <w:noProof/>
                <w:sz w:val="20"/>
                <w:szCs w:val="20"/>
              </w:rPr>
            </w:pPr>
            <w:r w:rsidRPr="00C47F2F">
              <w:rPr>
                <w:noProof/>
                <w:sz w:val="20"/>
                <w:szCs w:val="20"/>
              </w:rPr>
              <w:t>5.21E-04</w:t>
            </w:r>
          </w:p>
        </w:tc>
        <w:tc>
          <w:tcPr>
            <w:tcW w:w="1015" w:type="dxa"/>
            <w:shd w:val="clear" w:color="auto" w:fill="auto"/>
            <w:noWrap/>
            <w:vAlign w:val="center"/>
            <w:hideMark/>
          </w:tcPr>
          <w:p w14:paraId="372077BA" w14:textId="77777777" w:rsidR="000F3F85" w:rsidRPr="00C47F2F" w:rsidRDefault="000F3F85" w:rsidP="00016E17">
            <w:pPr>
              <w:pStyle w:val="Table"/>
              <w:rPr>
                <w:noProof/>
                <w:sz w:val="20"/>
                <w:szCs w:val="20"/>
              </w:rPr>
            </w:pPr>
            <w:r w:rsidRPr="00C47F2F">
              <w:rPr>
                <w:noProof/>
                <w:sz w:val="20"/>
                <w:szCs w:val="20"/>
              </w:rPr>
              <w:t>4.11E-05</w:t>
            </w:r>
          </w:p>
        </w:tc>
      </w:tr>
      <w:tr w:rsidR="000F3F85" w:rsidRPr="00972C81" w14:paraId="3766E973" w14:textId="77777777" w:rsidTr="00016E17">
        <w:trPr>
          <w:trHeight w:val="340"/>
        </w:trPr>
        <w:tc>
          <w:tcPr>
            <w:tcW w:w="2938" w:type="dxa"/>
            <w:shd w:val="clear" w:color="auto" w:fill="auto"/>
            <w:noWrap/>
            <w:vAlign w:val="center"/>
            <w:hideMark/>
          </w:tcPr>
          <w:p w14:paraId="0AA854FF" w14:textId="33F7DE5F" w:rsidR="000F3F85" w:rsidRPr="000F3F85" w:rsidRDefault="000F3F85" w:rsidP="00016E17">
            <w:pPr>
              <w:pStyle w:val="Table"/>
              <w:rPr>
                <w:noProof/>
                <w:sz w:val="20"/>
                <w:szCs w:val="22"/>
              </w:rPr>
            </w:pPr>
            <w:r w:rsidRPr="000F3F85">
              <w:rPr>
                <w:noProof/>
                <w:sz w:val="20"/>
                <w:szCs w:val="22"/>
              </w:rPr>
              <w:t>Cort bone vol to Cort marrow</w:t>
            </w:r>
          </w:p>
        </w:tc>
        <w:tc>
          <w:tcPr>
            <w:tcW w:w="1014" w:type="dxa"/>
            <w:shd w:val="clear" w:color="auto" w:fill="auto"/>
            <w:noWrap/>
            <w:vAlign w:val="center"/>
            <w:hideMark/>
          </w:tcPr>
          <w:p w14:paraId="76D1760D" w14:textId="77777777" w:rsidR="000F3F85" w:rsidRPr="00C47F2F" w:rsidRDefault="000F3F85" w:rsidP="00016E17">
            <w:pPr>
              <w:pStyle w:val="Table"/>
              <w:rPr>
                <w:noProof/>
                <w:sz w:val="20"/>
                <w:szCs w:val="20"/>
              </w:rPr>
            </w:pPr>
            <w:r w:rsidRPr="00C47F2F">
              <w:rPr>
                <w:noProof/>
                <w:sz w:val="20"/>
                <w:szCs w:val="20"/>
              </w:rPr>
              <w:t>8.22E-03</w:t>
            </w:r>
          </w:p>
        </w:tc>
        <w:tc>
          <w:tcPr>
            <w:tcW w:w="1015" w:type="dxa"/>
            <w:shd w:val="clear" w:color="auto" w:fill="auto"/>
            <w:noWrap/>
            <w:vAlign w:val="center"/>
            <w:hideMark/>
          </w:tcPr>
          <w:p w14:paraId="5CAAD27F" w14:textId="77777777" w:rsidR="000F3F85" w:rsidRPr="00C47F2F" w:rsidRDefault="000F3F85" w:rsidP="00016E17">
            <w:pPr>
              <w:pStyle w:val="Table"/>
              <w:rPr>
                <w:noProof/>
                <w:sz w:val="20"/>
                <w:szCs w:val="20"/>
              </w:rPr>
            </w:pPr>
            <w:r w:rsidRPr="00C47F2F">
              <w:rPr>
                <w:noProof/>
                <w:sz w:val="20"/>
                <w:szCs w:val="20"/>
              </w:rPr>
              <w:t>2.88E-03</w:t>
            </w:r>
          </w:p>
        </w:tc>
        <w:tc>
          <w:tcPr>
            <w:tcW w:w="1015" w:type="dxa"/>
            <w:shd w:val="clear" w:color="auto" w:fill="auto"/>
            <w:noWrap/>
            <w:vAlign w:val="center"/>
            <w:hideMark/>
          </w:tcPr>
          <w:p w14:paraId="205A430E" w14:textId="77777777" w:rsidR="000F3F85" w:rsidRPr="00C47F2F" w:rsidRDefault="000F3F85" w:rsidP="00016E17">
            <w:pPr>
              <w:pStyle w:val="Table"/>
              <w:rPr>
                <w:noProof/>
                <w:sz w:val="20"/>
                <w:szCs w:val="20"/>
              </w:rPr>
            </w:pPr>
            <w:r w:rsidRPr="00C47F2F">
              <w:rPr>
                <w:noProof/>
                <w:sz w:val="20"/>
                <w:szCs w:val="20"/>
              </w:rPr>
              <w:t>1.53E-03</w:t>
            </w:r>
          </w:p>
        </w:tc>
        <w:tc>
          <w:tcPr>
            <w:tcW w:w="1015" w:type="dxa"/>
            <w:shd w:val="clear" w:color="auto" w:fill="auto"/>
            <w:noWrap/>
            <w:vAlign w:val="center"/>
            <w:hideMark/>
          </w:tcPr>
          <w:p w14:paraId="41CB3FA9" w14:textId="77777777" w:rsidR="000F3F85" w:rsidRPr="00C47F2F" w:rsidRDefault="000F3F85" w:rsidP="00016E17">
            <w:pPr>
              <w:pStyle w:val="Table"/>
              <w:rPr>
                <w:noProof/>
                <w:sz w:val="20"/>
                <w:szCs w:val="20"/>
              </w:rPr>
            </w:pPr>
            <w:r w:rsidRPr="00C47F2F">
              <w:rPr>
                <w:noProof/>
                <w:sz w:val="20"/>
                <w:szCs w:val="20"/>
              </w:rPr>
              <w:t>9.04E-04</w:t>
            </w:r>
          </w:p>
        </w:tc>
        <w:tc>
          <w:tcPr>
            <w:tcW w:w="1015" w:type="dxa"/>
            <w:shd w:val="clear" w:color="auto" w:fill="auto"/>
            <w:noWrap/>
            <w:vAlign w:val="center"/>
            <w:hideMark/>
          </w:tcPr>
          <w:p w14:paraId="2D560C7D" w14:textId="77777777" w:rsidR="000F3F85" w:rsidRPr="00C47F2F" w:rsidRDefault="000F3F85" w:rsidP="00016E17">
            <w:pPr>
              <w:pStyle w:val="Table"/>
              <w:rPr>
                <w:noProof/>
                <w:sz w:val="20"/>
                <w:szCs w:val="20"/>
              </w:rPr>
            </w:pPr>
            <w:r w:rsidRPr="00C47F2F">
              <w:rPr>
                <w:noProof/>
                <w:sz w:val="20"/>
                <w:szCs w:val="20"/>
              </w:rPr>
              <w:t>5.21E-04</w:t>
            </w:r>
          </w:p>
        </w:tc>
        <w:tc>
          <w:tcPr>
            <w:tcW w:w="1015" w:type="dxa"/>
            <w:shd w:val="clear" w:color="auto" w:fill="auto"/>
            <w:noWrap/>
            <w:vAlign w:val="center"/>
            <w:hideMark/>
          </w:tcPr>
          <w:p w14:paraId="5929E5EF" w14:textId="77777777" w:rsidR="000F3F85" w:rsidRPr="00C47F2F" w:rsidRDefault="000F3F85" w:rsidP="00016E17">
            <w:pPr>
              <w:pStyle w:val="Table"/>
              <w:rPr>
                <w:noProof/>
                <w:sz w:val="20"/>
                <w:szCs w:val="20"/>
              </w:rPr>
            </w:pPr>
            <w:r w:rsidRPr="00C47F2F">
              <w:rPr>
                <w:noProof/>
                <w:sz w:val="20"/>
                <w:szCs w:val="20"/>
              </w:rPr>
              <w:t>8.21E-05</w:t>
            </w:r>
          </w:p>
        </w:tc>
      </w:tr>
      <w:tr w:rsidR="000F3F85" w:rsidRPr="00972C81" w14:paraId="78D3CB7E" w14:textId="77777777" w:rsidTr="00016E17">
        <w:trPr>
          <w:trHeight w:val="340"/>
        </w:trPr>
        <w:tc>
          <w:tcPr>
            <w:tcW w:w="2938" w:type="dxa"/>
            <w:shd w:val="clear" w:color="auto" w:fill="auto"/>
            <w:noWrap/>
            <w:vAlign w:val="center"/>
            <w:hideMark/>
          </w:tcPr>
          <w:p w14:paraId="0216C2A3" w14:textId="65B331A5" w:rsidR="000F3F85" w:rsidRPr="000F3F85" w:rsidRDefault="000F3F85" w:rsidP="00016E17">
            <w:pPr>
              <w:pStyle w:val="Table"/>
              <w:rPr>
                <w:noProof/>
                <w:sz w:val="20"/>
                <w:szCs w:val="22"/>
              </w:rPr>
            </w:pPr>
            <w:r w:rsidRPr="000F3F85">
              <w:rPr>
                <w:noProof/>
                <w:sz w:val="20"/>
                <w:szCs w:val="22"/>
              </w:rPr>
              <w:t>Trab marrow to Blood</w:t>
            </w:r>
          </w:p>
        </w:tc>
        <w:tc>
          <w:tcPr>
            <w:tcW w:w="1014" w:type="dxa"/>
            <w:shd w:val="clear" w:color="auto" w:fill="auto"/>
            <w:noWrap/>
            <w:vAlign w:val="center"/>
            <w:hideMark/>
          </w:tcPr>
          <w:p w14:paraId="3E35A33C" w14:textId="77777777" w:rsidR="000F3F85" w:rsidRPr="00C47F2F" w:rsidRDefault="000F3F85" w:rsidP="00016E17">
            <w:pPr>
              <w:pStyle w:val="Table"/>
              <w:rPr>
                <w:noProof/>
                <w:sz w:val="20"/>
                <w:szCs w:val="20"/>
              </w:rPr>
            </w:pPr>
            <w:r w:rsidRPr="00C47F2F">
              <w:rPr>
                <w:noProof/>
                <w:sz w:val="20"/>
                <w:szCs w:val="20"/>
              </w:rPr>
              <w:t>7.60E-03</w:t>
            </w:r>
          </w:p>
        </w:tc>
        <w:tc>
          <w:tcPr>
            <w:tcW w:w="1015" w:type="dxa"/>
            <w:shd w:val="clear" w:color="auto" w:fill="auto"/>
            <w:noWrap/>
            <w:vAlign w:val="center"/>
            <w:hideMark/>
          </w:tcPr>
          <w:p w14:paraId="2AC3FB3C" w14:textId="77777777" w:rsidR="000F3F85" w:rsidRPr="00C47F2F" w:rsidRDefault="000F3F85" w:rsidP="00016E17">
            <w:pPr>
              <w:pStyle w:val="Table"/>
              <w:rPr>
                <w:noProof/>
                <w:sz w:val="20"/>
                <w:szCs w:val="20"/>
              </w:rPr>
            </w:pPr>
            <w:r w:rsidRPr="00C47F2F">
              <w:rPr>
                <w:noProof/>
                <w:sz w:val="20"/>
                <w:szCs w:val="20"/>
              </w:rPr>
              <w:t>7.60E-03</w:t>
            </w:r>
          </w:p>
        </w:tc>
        <w:tc>
          <w:tcPr>
            <w:tcW w:w="1015" w:type="dxa"/>
            <w:shd w:val="clear" w:color="auto" w:fill="auto"/>
            <w:noWrap/>
            <w:vAlign w:val="center"/>
            <w:hideMark/>
          </w:tcPr>
          <w:p w14:paraId="3B89ED63" w14:textId="77777777" w:rsidR="000F3F85" w:rsidRPr="00C47F2F" w:rsidRDefault="000F3F85" w:rsidP="00016E17">
            <w:pPr>
              <w:pStyle w:val="Table"/>
              <w:rPr>
                <w:noProof/>
                <w:sz w:val="20"/>
                <w:szCs w:val="20"/>
              </w:rPr>
            </w:pPr>
            <w:r w:rsidRPr="00C47F2F">
              <w:rPr>
                <w:noProof/>
                <w:sz w:val="20"/>
                <w:szCs w:val="20"/>
              </w:rPr>
              <w:t>7.60E-03</w:t>
            </w:r>
          </w:p>
        </w:tc>
        <w:tc>
          <w:tcPr>
            <w:tcW w:w="1015" w:type="dxa"/>
            <w:shd w:val="clear" w:color="auto" w:fill="auto"/>
            <w:noWrap/>
            <w:vAlign w:val="center"/>
            <w:hideMark/>
          </w:tcPr>
          <w:p w14:paraId="3564B878" w14:textId="77777777" w:rsidR="000F3F85" w:rsidRPr="00C47F2F" w:rsidRDefault="000F3F85" w:rsidP="00016E17">
            <w:pPr>
              <w:pStyle w:val="Table"/>
              <w:rPr>
                <w:noProof/>
                <w:sz w:val="20"/>
                <w:szCs w:val="20"/>
              </w:rPr>
            </w:pPr>
            <w:r w:rsidRPr="00C47F2F">
              <w:rPr>
                <w:noProof/>
                <w:sz w:val="20"/>
                <w:szCs w:val="20"/>
              </w:rPr>
              <w:t>7.60E-03</w:t>
            </w:r>
          </w:p>
        </w:tc>
        <w:tc>
          <w:tcPr>
            <w:tcW w:w="1015" w:type="dxa"/>
            <w:shd w:val="clear" w:color="auto" w:fill="auto"/>
            <w:noWrap/>
            <w:vAlign w:val="center"/>
            <w:hideMark/>
          </w:tcPr>
          <w:p w14:paraId="7405B4B3" w14:textId="77777777" w:rsidR="000F3F85" w:rsidRPr="00C47F2F" w:rsidRDefault="000F3F85" w:rsidP="00016E17">
            <w:pPr>
              <w:pStyle w:val="Table"/>
              <w:rPr>
                <w:noProof/>
                <w:sz w:val="20"/>
                <w:szCs w:val="20"/>
              </w:rPr>
            </w:pPr>
            <w:r w:rsidRPr="00C47F2F">
              <w:rPr>
                <w:noProof/>
                <w:sz w:val="20"/>
                <w:szCs w:val="20"/>
              </w:rPr>
              <w:t>7.60E-03</w:t>
            </w:r>
          </w:p>
        </w:tc>
        <w:tc>
          <w:tcPr>
            <w:tcW w:w="1015" w:type="dxa"/>
            <w:shd w:val="clear" w:color="auto" w:fill="auto"/>
            <w:noWrap/>
            <w:vAlign w:val="center"/>
            <w:hideMark/>
          </w:tcPr>
          <w:p w14:paraId="19F22074" w14:textId="77777777" w:rsidR="000F3F85" w:rsidRPr="00C47F2F" w:rsidRDefault="000F3F85" w:rsidP="00016E17">
            <w:pPr>
              <w:pStyle w:val="Table"/>
              <w:rPr>
                <w:noProof/>
                <w:sz w:val="20"/>
                <w:szCs w:val="20"/>
              </w:rPr>
            </w:pPr>
            <w:r w:rsidRPr="00C47F2F">
              <w:rPr>
                <w:noProof/>
                <w:sz w:val="20"/>
                <w:szCs w:val="20"/>
              </w:rPr>
              <w:t>7.60E-03</w:t>
            </w:r>
          </w:p>
        </w:tc>
      </w:tr>
      <w:tr w:rsidR="000F3F85" w:rsidRPr="00972C81" w14:paraId="64B7ACA9" w14:textId="77777777" w:rsidTr="00016E17">
        <w:trPr>
          <w:trHeight w:val="340"/>
        </w:trPr>
        <w:tc>
          <w:tcPr>
            <w:tcW w:w="2938" w:type="dxa"/>
            <w:shd w:val="clear" w:color="auto" w:fill="auto"/>
            <w:noWrap/>
            <w:vAlign w:val="center"/>
            <w:hideMark/>
          </w:tcPr>
          <w:p w14:paraId="70329A4E" w14:textId="415ED4DC" w:rsidR="000F3F85" w:rsidRPr="000F3F85" w:rsidRDefault="000F3F85" w:rsidP="00016E17">
            <w:pPr>
              <w:pStyle w:val="Table"/>
              <w:rPr>
                <w:noProof/>
                <w:sz w:val="20"/>
                <w:szCs w:val="22"/>
              </w:rPr>
            </w:pPr>
            <w:r w:rsidRPr="000F3F85">
              <w:rPr>
                <w:noProof/>
                <w:sz w:val="20"/>
                <w:szCs w:val="22"/>
              </w:rPr>
              <w:t>Trab bone surf to Trab marrow</w:t>
            </w:r>
          </w:p>
        </w:tc>
        <w:tc>
          <w:tcPr>
            <w:tcW w:w="1014" w:type="dxa"/>
            <w:shd w:val="clear" w:color="auto" w:fill="auto"/>
            <w:noWrap/>
            <w:vAlign w:val="center"/>
            <w:hideMark/>
          </w:tcPr>
          <w:p w14:paraId="60569400" w14:textId="77777777" w:rsidR="000F3F85" w:rsidRPr="00C47F2F" w:rsidRDefault="000F3F85" w:rsidP="00016E17">
            <w:pPr>
              <w:pStyle w:val="Table"/>
              <w:rPr>
                <w:noProof/>
                <w:sz w:val="20"/>
                <w:szCs w:val="20"/>
              </w:rPr>
            </w:pPr>
            <w:r w:rsidRPr="00C47F2F">
              <w:rPr>
                <w:noProof/>
                <w:sz w:val="20"/>
                <w:szCs w:val="20"/>
              </w:rPr>
              <w:t>8.22E-03</w:t>
            </w:r>
          </w:p>
        </w:tc>
        <w:tc>
          <w:tcPr>
            <w:tcW w:w="1015" w:type="dxa"/>
            <w:shd w:val="clear" w:color="auto" w:fill="auto"/>
            <w:noWrap/>
            <w:vAlign w:val="center"/>
            <w:hideMark/>
          </w:tcPr>
          <w:p w14:paraId="7478B2F7" w14:textId="77777777" w:rsidR="000F3F85" w:rsidRPr="00C47F2F" w:rsidRDefault="000F3F85" w:rsidP="00016E17">
            <w:pPr>
              <w:pStyle w:val="Table"/>
              <w:rPr>
                <w:noProof/>
                <w:sz w:val="20"/>
                <w:szCs w:val="20"/>
              </w:rPr>
            </w:pPr>
            <w:r w:rsidRPr="00C47F2F">
              <w:rPr>
                <w:noProof/>
                <w:sz w:val="20"/>
                <w:szCs w:val="20"/>
              </w:rPr>
              <w:t>2.88E-03</w:t>
            </w:r>
          </w:p>
        </w:tc>
        <w:tc>
          <w:tcPr>
            <w:tcW w:w="1015" w:type="dxa"/>
            <w:shd w:val="clear" w:color="auto" w:fill="auto"/>
            <w:noWrap/>
            <w:vAlign w:val="center"/>
            <w:hideMark/>
          </w:tcPr>
          <w:p w14:paraId="5576AE4E" w14:textId="77777777" w:rsidR="000F3F85" w:rsidRPr="00C47F2F" w:rsidRDefault="000F3F85" w:rsidP="00016E17">
            <w:pPr>
              <w:pStyle w:val="Table"/>
              <w:rPr>
                <w:noProof/>
                <w:sz w:val="20"/>
                <w:szCs w:val="20"/>
              </w:rPr>
            </w:pPr>
            <w:r w:rsidRPr="00C47F2F">
              <w:rPr>
                <w:noProof/>
                <w:sz w:val="20"/>
                <w:szCs w:val="20"/>
              </w:rPr>
              <w:t>1.81E-03</w:t>
            </w:r>
          </w:p>
        </w:tc>
        <w:tc>
          <w:tcPr>
            <w:tcW w:w="1015" w:type="dxa"/>
            <w:shd w:val="clear" w:color="auto" w:fill="auto"/>
            <w:noWrap/>
            <w:vAlign w:val="center"/>
            <w:hideMark/>
          </w:tcPr>
          <w:p w14:paraId="4509DAD9" w14:textId="77777777" w:rsidR="000F3F85" w:rsidRPr="00C47F2F" w:rsidRDefault="000F3F85" w:rsidP="00016E17">
            <w:pPr>
              <w:pStyle w:val="Table"/>
              <w:rPr>
                <w:noProof/>
                <w:sz w:val="20"/>
                <w:szCs w:val="20"/>
              </w:rPr>
            </w:pPr>
            <w:r w:rsidRPr="00C47F2F">
              <w:rPr>
                <w:noProof/>
                <w:sz w:val="20"/>
                <w:szCs w:val="20"/>
              </w:rPr>
              <w:t>1.32E-03</w:t>
            </w:r>
          </w:p>
        </w:tc>
        <w:tc>
          <w:tcPr>
            <w:tcW w:w="1015" w:type="dxa"/>
            <w:shd w:val="clear" w:color="auto" w:fill="auto"/>
            <w:noWrap/>
            <w:vAlign w:val="center"/>
            <w:hideMark/>
          </w:tcPr>
          <w:p w14:paraId="261DA1FB" w14:textId="77777777" w:rsidR="000F3F85" w:rsidRPr="00C47F2F" w:rsidRDefault="000F3F85" w:rsidP="00016E17">
            <w:pPr>
              <w:pStyle w:val="Table"/>
              <w:rPr>
                <w:noProof/>
                <w:sz w:val="20"/>
                <w:szCs w:val="20"/>
              </w:rPr>
            </w:pPr>
            <w:r w:rsidRPr="00C47F2F">
              <w:rPr>
                <w:noProof/>
                <w:sz w:val="20"/>
                <w:szCs w:val="20"/>
              </w:rPr>
              <w:t>9.59E-04</w:t>
            </w:r>
          </w:p>
        </w:tc>
        <w:tc>
          <w:tcPr>
            <w:tcW w:w="1015" w:type="dxa"/>
            <w:shd w:val="clear" w:color="auto" w:fill="auto"/>
            <w:noWrap/>
            <w:vAlign w:val="center"/>
            <w:hideMark/>
          </w:tcPr>
          <w:p w14:paraId="59DBEA48" w14:textId="77777777" w:rsidR="000F3F85" w:rsidRPr="00C47F2F" w:rsidRDefault="000F3F85" w:rsidP="00016E17">
            <w:pPr>
              <w:pStyle w:val="Table"/>
              <w:rPr>
                <w:noProof/>
                <w:sz w:val="20"/>
                <w:szCs w:val="20"/>
              </w:rPr>
            </w:pPr>
            <w:r w:rsidRPr="00C47F2F">
              <w:rPr>
                <w:noProof/>
                <w:sz w:val="20"/>
                <w:szCs w:val="20"/>
              </w:rPr>
              <w:t>4.93E-04</w:t>
            </w:r>
          </w:p>
        </w:tc>
      </w:tr>
      <w:tr w:rsidR="000F3F85" w:rsidRPr="00972C81" w14:paraId="488C35E0" w14:textId="77777777" w:rsidTr="00016E17">
        <w:trPr>
          <w:trHeight w:val="340"/>
        </w:trPr>
        <w:tc>
          <w:tcPr>
            <w:tcW w:w="2938" w:type="dxa"/>
            <w:shd w:val="clear" w:color="auto" w:fill="auto"/>
            <w:noWrap/>
            <w:vAlign w:val="center"/>
            <w:hideMark/>
          </w:tcPr>
          <w:p w14:paraId="7567CDCC" w14:textId="4AB3612A" w:rsidR="000F3F85" w:rsidRPr="000F3F85" w:rsidRDefault="000F3F85" w:rsidP="00016E17">
            <w:pPr>
              <w:pStyle w:val="Table"/>
              <w:rPr>
                <w:noProof/>
                <w:sz w:val="20"/>
                <w:szCs w:val="22"/>
              </w:rPr>
            </w:pPr>
            <w:r w:rsidRPr="000F3F85">
              <w:rPr>
                <w:noProof/>
                <w:sz w:val="20"/>
                <w:szCs w:val="22"/>
              </w:rPr>
              <w:t>Trab bone surf to Trab bone vol</w:t>
            </w:r>
          </w:p>
        </w:tc>
        <w:tc>
          <w:tcPr>
            <w:tcW w:w="1014" w:type="dxa"/>
            <w:shd w:val="clear" w:color="auto" w:fill="auto"/>
            <w:noWrap/>
            <w:vAlign w:val="center"/>
            <w:hideMark/>
          </w:tcPr>
          <w:p w14:paraId="2A4EF55C" w14:textId="77777777" w:rsidR="000F3F85" w:rsidRPr="00C47F2F" w:rsidRDefault="000F3F85" w:rsidP="00016E17">
            <w:pPr>
              <w:pStyle w:val="Table"/>
              <w:rPr>
                <w:noProof/>
                <w:sz w:val="20"/>
                <w:szCs w:val="20"/>
              </w:rPr>
            </w:pPr>
            <w:r w:rsidRPr="00C47F2F">
              <w:rPr>
                <w:noProof/>
                <w:sz w:val="20"/>
                <w:szCs w:val="20"/>
              </w:rPr>
              <w:t>8.22E-03</w:t>
            </w:r>
          </w:p>
        </w:tc>
        <w:tc>
          <w:tcPr>
            <w:tcW w:w="1015" w:type="dxa"/>
            <w:shd w:val="clear" w:color="auto" w:fill="auto"/>
            <w:noWrap/>
            <w:vAlign w:val="center"/>
            <w:hideMark/>
          </w:tcPr>
          <w:p w14:paraId="322793A1" w14:textId="77777777" w:rsidR="000F3F85" w:rsidRPr="00C47F2F" w:rsidRDefault="000F3F85" w:rsidP="00016E17">
            <w:pPr>
              <w:pStyle w:val="Table"/>
              <w:rPr>
                <w:noProof/>
                <w:sz w:val="20"/>
                <w:szCs w:val="20"/>
              </w:rPr>
            </w:pPr>
            <w:r w:rsidRPr="00C47F2F">
              <w:rPr>
                <w:noProof/>
                <w:sz w:val="20"/>
                <w:szCs w:val="20"/>
              </w:rPr>
              <w:t>2.88E-03</w:t>
            </w:r>
          </w:p>
        </w:tc>
        <w:tc>
          <w:tcPr>
            <w:tcW w:w="1015" w:type="dxa"/>
            <w:shd w:val="clear" w:color="auto" w:fill="auto"/>
            <w:noWrap/>
            <w:vAlign w:val="center"/>
            <w:hideMark/>
          </w:tcPr>
          <w:p w14:paraId="33574CB9" w14:textId="77777777" w:rsidR="000F3F85" w:rsidRPr="00C47F2F" w:rsidRDefault="000F3F85" w:rsidP="00016E17">
            <w:pPr>
              <w:pStyle w:val="Table"/>
              <w:rPr>
                <w:noProof/>
                <w:sz w:val="20"/>
                <w:szCs w:val="20"/>
              </w:rPr>
            </w:pPr>
            <w:r w:rsidRPr="00C47F2F">
              <w:rPr>
                <w:noProof/>
                <w:sz w:val="20"/>
                <w:szCs w:val="20"/>
              </w:rPr>
              <w:t>1.81E-03</w:t>
            </w:r>
          </w:p>
        </w:tc>
        <w:tc>
          <w:tcPr>
            <w:tcW w:w="1015" w:type="dxa"/>
            <w:shd w:val="clear" w:color="auto" w:fill="auto"/>
            <w:noWrap/>
            <w:vAlign w:val="center"/>
            <w:hideMark/>
          </w:tcPr>
          <w:p w14:paraId="372728C1" w14:textId="77777777" w:rsidR="000F3F85" w:rsidRPr="00C47F2F" w:rsidRDefault="000F3F85" w:rsidP="00016E17">
            <w:pPr>
              <w:pStyle w:val="Table"/>
              <w:rPr>
                <w:noProof/>
                <w:sz w:val="20"/>
                <w:szCs w:val="20"/>
              </w:rPr>
            </w:pPr>
            <w:r w:rsidRPr="00C47F2F">
              <w:rPr>
                <w:noProof/>
                <w:sz w:val="20"/>
                <w:szCs w:val="20"/>
              </w:rPr>
              <w:t>1.32E-03</w:t>
            </w:r>
          </w:p>
        </w:tc>
        <w:tc>
          <w:tcPr>
            <w:tcW w:w="1015" w:type="dxa"/>
            <w:shd w:val="clear" w:color="auto" w:fill="auto"/>
            <w:noWrap/>
            <w:vAlign w:val="center"/>
            <w:hideMark/>
          </w:tcPr>
          <w:p w14:paraId="74533BE4" w14:textId="77777777" w:rsidR="000F3F85" w:rsidRPr="00C47F2F" w:rsidRDefault="000F3F85" w:rsidP="00016E17">
            <w:pPr>
              <w:pStyle w:val="Table"/>
              <w:rPr>
                <w:noProof/>
                <w:sz w:val="20"/>
                <w:szCs w:val="20"/>
              </w:rPr>
            </w:pPr>
            <w:r w:rsidRPr="00C47F2F">
              <w:rPr>
                <w:noProof/>
                <w:sz w:val="20"/>
                <w:szCs w:val="20"/>
              </w:rPr>
              <w:t>9.59E-04</w:t>
            </w:r>
          </w:p>
        </w:tc>
        <w:tc>
          <w:tcPr>
            <w:tcW w:w="1015" w:type="dxa"/>
            <w:shd w:val="clear" w:color="auto" w:fill="auto"/>
            <w:noWrap/>
            <w:vAlign w:val="center"/>
            <w:hideMark/>
          </w:tcPr>
          <w:p w14:paraId="382D9A7B" w14:textId="77777777" w:rsidR="000F3F85" w:rsidRPr="00C47F2F" w:rsidRDefault="000F3F85" w:rsidP="00016E17">
            <w:pPr>
              <w:pStyle w:val="Table"/>
              <w:rPr>
                <w:noProof/>
                <w:sz w:val="20"/>
                <w:szCs w:val="20"/>
              </w:rPr>
            </w:pPr>
            <w:r w:rsidRPr="00C47F2F">
              <w:rPr>
                <w:noProof/>
                <w:sz w:val="20"/>
                <w:szCs w:val="20"/>
              </w:rPr>
              <w:t>2.47E-04</w:t>
            </w:r>
          </w:p>
        </w:tc>
      </w:tr>
      <w:tr w:rsidR="000F3F85" w:rsidRPr="00972C81" w14:paraId="0BB2FB3C" w14:textId="77777777" w:rsidTr="00016E17">
        <w:trPr>
          <w:trHeight w:val="340"/>
        </w:trPr>
        <w:tc>
          <w:tcPr>
            <w:tcW w:w="2938" w:type="dxa"/>
            <w:shd w:val="clear" w:color="auto" w:fill="auto"/>
            <w:noWrap/>
            <w:vAlign w:val="center"/>
            <w:hideMark/>
          </w:tcPr>
          <w:p w14:paraId="45FBC05F" w14:textId="3F41905F" w:rsidR="000F3F85" w:rsidRPr="000F3F85" w:rsidRDefault="000F3F85" w:rsidP="00016E17">
            <w:pPr>
              <w:pStyle w:val="Table"/>
              <w:rPr>
                <w:noProof/>
                <w:sz w:val="20"/>
                <w:szCs w:val="22"/>
              </w:rPr>
            </w:pPr>
            <w:r w:rsidRPr="000F3F85">
              <w:rPr>
                <w:noProof/>
                <w:sz w:val="20"/>
                <w:szCs w:val="22"/>
              </w:rPr>
              <w:t>Trab bone vol to Trab marrow</w:t>
            </w:r>
          </w:p>
        </w:tc>
        <w:tc>
          <w:tcPr>
            <w:tcW w:w="1014" w:type="dxa"/>
            <w:shd w:val="clear" w:color="auto" w:fill="auto"/>
            <w:noWrap/>
            <w:vAlign w:val="center"/>
            <w:hideMark/>
          </w:tcPr>
          <w:p w14:paraId="660FC8DD" w14:textId="77777777" w:rsidR="000F3F85" w:rsidRPr="00C47F2F" w:rsidRDefault="000F3F85" w:rsidP="00016E17">
            <w:pPr>
              <w:pStyle w:val="Table"/>
              <w:rPr>
                <w:noProof/>
                <w:sz w:val="20"/>
                <w:szCs w:val="20"/>
              </w:rPr>
            </w:pPr>
            <w:r w:rsidRPr="00C47F2F">
              <w:rPr>
                <w:noProof/>
                <w:sz w:val="20"/>
                <w:szCs w:val="20"/>
              </w:rPr>
              <w:t>8.22E-03</w:t>
            </w:r>
          </w:p>
        </w:tc>
        <w:tc>
          <w:tcPr>
            <w:tcW w:w="1015" w:type="dxa"/>
            <w:shd w:val="clear" w:color="auto" w:fill="auto"/>
            <w:noWrap/>
            <w:vAlign w:val="center"/>
            <w:hideMark/>
          </w:tcPr>
          <w:p w14:paraId="0699A3A6" w14:textId="77777777" w:rsidR="000F3F85" w:rsidRPr="00C47F2F" w:rsidRDefault="000F3F85" w:rsidP="00016E17">
            <w:pPr>
              <w:pStyle w:val="Table"/>
              <w:rPr>
                <w:noProof/>
                <w:sz w:val="20"/>
                <w:szCs w:val="20"/>
              </w:rPr>
            </w:pPr>
            <w:r w:rsidRPr="00C47F2F">
              <w:rPr>
                <w:noProof/>
                <w:sz w:val="20"/>
                <w:szCs w:val="20"/>
              </w:rPr>
              <w:t>2.88E-03</w:t>
            </w:r>
          </w:p>
        </w:tc>
        <w:tc>
          <w:tcPr>
            <w:tcW w:w="1015" w:type="dxa"/>
            <w:shd w:val="clear" w:color="auto" w:fill="auto"/>
            <w:noWrap/>
            <w:vAlign w:val="center"/>
            <w:hideMark/>
          </w:tcPr>
          <w:p w14:paraId="4F27D738" w14:textId="77777777" w:rsidR="000F3F85" w:rsidRPr="00C47F2F" w:rsidRDefault="000F3F85" w:rsidP="00016E17">
            <w:pPr>
              <w:pStyle w:val="Table"/>
              <w:rPr>
                <w:noProof/>
                <w:sz w:val="20"/>
                <w:szCs w:val="20"/>
              </w:rPr>
            </w:pPr>
            <w:r w:rsidRPr="00C47F2F">
              <w:rPr>
                <w:noProof/>
                <w:sz w:val="20"/>
                <w:szCs w:val="20"/>
              </w:rPr>
              <w:t>1.81E-03</w:t>
            </w:r>
          </w:p>
        </w:tc>
        <w:tc>
          <w:tcPr>
            <w:tcW w:w="1015" w:type="dxa"/>
            <w:shd w:val="clear" w:color="auto" w:fill="auto"/>
            <w:noWrap/>
            <w:vAlign w:val="center"/>
            <w:hideMark/>
          </w:tcPr>
          <w:p w14:paraId="467856DC" w14:textId="77777777" w:rsidR="000F3F85" w:rsidRPr="00C47F2F" w:rsidRDefault="000F3F85" w:rsidP="00016E17">
            <w:pPr>
              <w:pStyle w:val="Table"/>
              <w:rPr>
                <w:noProof/>
                <w:sz w:val="20"/>
                <w:szCs w:val="20"/>
              </w:rPr>
            </w:pPr>
            <w:r w:rsidRPr="00C47F2F">
              <w:rPr>
                <w:noProof/>
                <w:sz w:val="20"/>
                <w:szCs w:val="20"/>
              </w:rPr>
              <w:t>1.32E-03</w:t>
            </w:r>
          </w:p>
        </w:tc>
        <w:tc>
          <w:tcPr>
            <w:tcW w:w="1015" w:type="dxa"/>
            <w:shd w:val="clear" w:color="auto" w:fill="auto"/>
            <w:noWrap/>
            <w:vAlign w:val="center"/>
            <w:hideMark/>
          </w:tcPr>
          <w:p w14:paraId="11A915C2" w14:textId="77777777" w:rsidR="000F3F85" w:rsidRPr="00C47F2F" w:rsidRDefault="000F3F85" w:rsidP="00016E17">
            <w:pPr>
              <w:pStyle w:val="Table"/>
              <w:rPr>
                <w:noProof/>
                <w:sz w:val="20"/>
                <w:szCs w:val="20"/>
              </w:rPr>
            </w:pPr>
            <w:r w:rsidRPr="00C47F2F">
              <w:rPr>
                <w:noProof/>
                <w:sz w:val="20"/>
                <w:szCs w:val="20"/>
              </w:rPr>
              <w:t>9.59E-04</w:t>
            </w:r>
          </w:p>
        </w:tc>
        <w:tc>
          <w:tcPr>
            <w:tcW w:w="1015" w:type="dxa"/>
            <w:shd w:val="clear" w:color="auto" w:fill="auto"/>
            <w:noWrap/>
            <w:vAlign w:val="center"/>
            <w:hideMark/>
          </w:tcPr>
          <w:p w14:paraId="1EB4732B" w14:textId="77777777" w:rsidR="000F3F85" w:rsidRPr="00C47F2F" w:rsidRDefault="000F3F85" w:rsidP="00016E17">
            <w:pPr>
              <w:pStyle w:val="Table"/>
              <w:rPr>
                <w:noProof/>
                <w:sz w:val="20"/>
                <w:szCs w:val="20"/>
              </w:rPr>
            </w:pPr>
            <w:r w:rsidRPr="00C47F2F">
              <w:rPr>
                <w:noProof/>
                <w:sz w:val="20"/>
                <w:szCs w:val="20"/>
              </w:rPr>
              <w:t>4.93E-04</w:t>
            </w:r>
          </w:p>
        </w:tc>
      </w:tr>
      <w:tr w:rsidR="000F3F85" w:rsidRPr="00972C81" w14:paraId="5E2AEE37" w14:textId="77777777" w:rsidTr="00016E17">
        <w:trPr>
          <w:trHeight w:val="340"/>
        </w:trPr>
        <w:tc>
          <w:tcPr>
            <w:tcW w:w="2938" w:type="dxa"/>
            <w:shd w:val="clear" w:color="auto" w:fill="auto"/>
            <w:noWrap/>
            <w:vAlign w:val="center"/>
            <w:hideMark/>
          </w:tcPr>
          <w:p w14:paraId="6C5CF2A1" w14:textId="7B6C9773" w:rsidR="000F3F85" w:rsidRPr="000F3F85" w:rsidRDefault="000F3F85" w:rsidP="00016E17">
            <w:pPr>
              <w:pStyle w:val="Table"/>
              <w:rPr>
                <w:noProof/>
                <w:sz w:val="20"/>
                <w:szCs w:val="22"/>
              </w:rPr>
            </w:pPr>
            <w:r w:rsidRPr="000F3F85">
              <w:rPr>
                <w:noProof/>
                <w:sz w:val="20"/>
                <w:szCs w:val="22"/>
              </w:rPr>
              <w:t>Kidneys 1 to UB content</w:t>
            </w:r>
          </w:p>
        </w:tc>
        <w:tc>
          <w:tcPr>
            <w:tcW w:w="1014" w:type="dxa"/>
            <w:shd w:val="clear" w:color="auto" w:fill="auto"/>
            <w:noWrap/>
            <w:vAlign w:val="center"/>
            <w:hideMark/>
          </w:tcPr>
          <w:p w14:paraId="44D4EF6B" w14:textId="77777777" w:rsidR="000F3F85" w:rsidRPr="00C47F2F" w:rsidRDefault="000F3F85" w:rsidP="00016E17">
            <w:pPr>
              <w:pStyle w:val="Table"/>
              <w:rPr>
                <w:noProof/>
                <w:sz w:val="20"/>
                <w:szCs w:val="20"/>
              </w:rPr>
            </w:pPr>
            <w:r w:rsidRPr="00C47F2F">
              <w:rPr>
                <w:noProof/>
                <w:sz w:val="20"/>
                <w:szCs w:val="20"/>
              </w:rPr>
              <w:t>9.90E-02</w:t>
            </w:r>
          </w:p>
        </w:tc>
        <w:tc>
          <w:tcPr>
            <w:tcW w:w="1015" w:type="dxa"/>
            <w:shd w:val="clear" w:color="auto" w:fill="auto"/>
            <w:noWrap/>
            <w:vAlign w:val="center"/>
            <w:hideMark/>
          </w:tcPr>
          <w:p w14:paraId="37F1A91F" w14:textId="77777777" w:rsidR="000F3F85" w:rsidRPr="00C47F2F" w:rsidRDefault="000F3F85" w:rsidP="00016E17">
            <w:pPr>
              <w:pStyle w:val="Table"/>
              <w:rPr>
                <w:noProof/>
                <w:sz w:val="20"/>
                <w:szCs w:val="20"/>
              </w:rPr>
            </w:pPr>
            <w:r w:rsidRPr="00C47F2F">
              <w:rPr>
                <w:noProof/>
                <w:sz w:val="20"/>
                <w:szCs w:val="20"/>
              </w:rPr>
              <w:t>9.90E-02</w:t>
            </w:r>
          </w:p>
        </w:tc>
        <w:tc>
          <w:tcPr>
            <w:tcW w:w="1015" w:type="dxa"/>
            <w:shd w:val="clear" w:color="auto" w:fill="auto"/>
            <w:noWrap/>
            <w:vAlign w:val="center"/>
            <w:hideMark/>
          </w:tcPr>
          <w:p w14:paraId="4CF1EE84" w14:textId="77777777" w:rsidR="000F3F85" w:rsidRPr="00C47F2F" w:rsidRDefault="000F3F85" w:rsidP="00016E17">
            <w:pPr>
              <w:pStyle w:val="Table"/>
              <w:rPr>
                <w:noProof/>
                <w:sz w:val="20"/>
                <w:szCs w:val="20"/>
              </w:rPr>
            </w:pPr>
            <w:r w:rsidRPr="00C47F2F">
              <w:rPr>
                <w:noProof/>
                <w:sz w:val="20"/>
                <w:szCs w:val="20"/>
              </w:rPr>
              <w:t>9.90E-02</w:t>
            </w:r>
          </w:p>
        </w:tc>
        <w:tc>
          <w:tcPr>
            <w:tcW w:w="1015" w:type="dxa"/>
            <w:shd w:val="clear" w:color="auto" w:fill="auto"/>
            <w:noWrap/>
            <w:vAlign w:val="center"/>
            <w:hideMark/>
          </w:tcPr>
          <w:p w14:paraId="78581923" w14:textId="77777777" w:rsidR="000F3F85" w:rsidRPr="00C47F2F" w:rsidRDefault="000F3F85" w:rsidP="00016E17">
            <w:pPr>
              <w:pStyle w:val="Table"/>
              <w:rPr>
                <w:noProof/>
                <w:sz w:val="20"/>
                <w:szCs w:val="20"/>
              </w:rPr>
            </w:pPr>
            <w:r w:rsidRPr="00C47F2F">
              <w:rPr>
                <w:noProof/>
                <w:sz w:val="20"/>
                <w:szCs w:val="20"/>
              </w:rPr>
              <w:t>9.90E-02</w:t>
            </w:r>
          </w:p>
        </w:tc>
        <w:tc>
          <w:tcPr>
            <w:tcW w:w="1015" w:type="dxa"/>
            <w:shd w:val="clear" w:color="auto" w:fill="auto"/>
            <w:noWrap/>
            <w:vAlign w:val="center"/>
            <w:hideMark/>
          </w:tcPr>
          <w:p w14:paraId="66C95617" w14:textId="77777777" w:rsidR="000F3F85" w:rsidRPr="00C47F2F" w:rsidRDefault="000F3F85" w:rsidP="00016E17">
            <w:pPr>
              <w:pStyle w:val="Table"/>
              <w:rPr>
                <w:noProof/>
                <w:sz w:val="20"/>
                <w:szCs w:val="20"/>
              </w:rPr>
            </w:pPr>
            <w:r w:rsidRPr="00C47F2F">
              <w:rPr>
                <w:noProof/>
                <w:sz w:val="20"/>
                <w:szCs w:val="20"/>
              </w:rPr>
              <w:t>9.90E-02</w:t>
            </w:r>
          </w:p>
        </w:tc>
        <w:tc>
          <w:tcPr>
            <w:tcW w:w="1015" w:type="dxa"/>
            <w:shd w:val="clear" w:color="auto" w:fill="auto"/>
            <w:noWrap/>
            <w:vAlign w:val="center"/>
            <w:hideMark/>
          </w:tcPr>
          <w:p w14:paraId="54F88C4B" w14:textId="77777777" w:rsidR="000F3F85" w:rsidRPr="00C47F2F" w:rsidRDefault="000F3F85" w:rsidP="00016E17">
            <w:pPr>
              <w:pStyle w:val="Table"/>
              <w:rPr>
                <w:noProof/>
                <w:sz w:val="20"/>
                <w:szCs w:val="20"/>
              </w:rPr>
            </w:pPr>
            <w:r w:rsidRPr="00C47F2F">
              <w:rPr>
                <w:noProof/>
                <w:sz w:val="20"/>
                <w:szCs w:val="20"/>
              </w:rPr>
              <w:t>9.90E-02</w:t>
            </w:r>
          </w:p>
        </w:tc>
      </w:tr>
      <w:tr w:rsidR="000F3F85" w:rsidRPr="00972C81" w14:paraId="6137F367" w14:textId="77777777" w:rsidTr="00016E17">
        <w:trPr>
          <w:trHeight w:val="340"/>
        </w:trPr>
        <w:tc>
          <w:tcPr>
            <w:tcW w:w="2938" w:type="dxa"/>
            <w:shd w:val="clear" w:color="auto" w:fill="auto"/>
            <w:noWrap/>
            <w:vAlign w:val="center"/>
            <w:hideMark/>
          </w:tcPr>
          <w:p w14:paraId="30018D12" w14:textId="2E237324" w:rsidR="000F3F85" w:rsidRPr="000F3F85" w:rsidRDefault="000F3F85" w:rsidP="00016E17">
            <w:pPr>
              <w:pStyle w:val="Table"/>
              <w:rPr>
                <w:noProof/>
                <w:sz w:val="20"/>
                <w:szCs w:val="22"/>
              </w:rPr>
            </w:pPr>
            <w:r w:rsidRPr="000F3F85">
              <w:rPr>
                <w:noProof/>
                <w:sz w:val="20"/>
                <w:szCs w:val="22"/>
              </w:rPr>
              <w:t>Kidneys 2 to Blood</w:t>
            </w:r>
          </w:p>
        </w:tc>
        <w:tc>
          <w:tcPr>
            <w:tcW w:w="1014" w:type="dxa"/>
            <w:shd w:val="clear" w:color="auto" w:fill="auto"/>
            <w:noWrap/>
            <w:vAlign w:val="center"/>
            <w:hideMark/>
          </w:tcPr>
          <w:p w14:paraId="468DC441" w14:textId="77777777" w:rsidR="000F3F85" w:rsidRPr="00C47F2F" w:rsidRDefault="000F3F85" w:rsidP="00016E17">
            <w:pPr>
              <w:pStyle w:val="Table"/>
              <w:rPr>
                <w:noProof/>
                <w:sz w:val="20"/>
                <w:szCs w:val="20"/>
              </w:rPr>
            </w:pPr>
            <w:r w:rsidRPr="00C47F2F">
              <w:rPr>
                <w:noProof/>
                <w:sz w:val="20"/>
                <w:szCs w:val="20"/>
              </w:rPr>
              <w:t>1.39E-03</w:t>
            </w:r>
          </w:p>
        </w:tc>
        <w:tc>
          <w:tcPr>
            <w:tcW w:w="1015" w:type="dxa"/>
            <w:shd w:val="clear" w:color="auto" w:fill="auto"/>
            <w:noWrap/>
            <w:vAlign w:val="center"/>
            <w:hideMark/>
          </w:tcPr>
          <w:p w14:paraId="47AECDDA" w14:textId="77777777" w:rsidR="000F3F85" w:rsidRPr="00C47F2F" w:rsidRDefault="000F3F85" w:rsidP="00016E17">
            <w:pPr>
              <w:pStyle w:val="Table"/>
              <w:rPr>
                <w:noProof/>
                <w:sz w:val="20"/>
                <w:szCs w:val="20"/>
              </w:rPr>
            </w:pPr>
            <w:r w:rsidRPr="00C47F2F">
              <w:rPr>
                <w:noProof/>
                <w:sz w:val="20"/>
                <w:szCs w:val="20"/>
              </w:rPr>
              <w:t>1.39E-03</w:t>
            </w:r>
          </w:p>
        </w:tc>
        <w:tc>
          <w:tcPr>
            <w:tcW w:w="1015" w:type="dxa"/>
            <w:shd w:val="clear" w:color="auto" w:fill="auto"/>
            <w:noWrap/>
            <w:vAlign w:val="center"/>
            <w:hideMark/>
          </w:tcPr>
          <w:p w14:paraId="181BEEAD" w14:textId="77777777" w:rsidR="000F3F85" w:rsidRPr="00C47F2F" w:rsidRDefault="000F3F85" w:rsidP="00016E17">
            <w:pPr>
              <w:pStyle w:val="Table"/>
              <w:rPr>
                <w:noProof/>
                <w:sz w:val="20"/>
                <w:szCs w:val="20"/>
              </w:rPr>
            </w:pPr>
            <w:r w:rsidRPr="00C47F2F">
              <w:rPr>
                <w:noProof/>
                <w:sz w:val="20"/>
                <w:szCs w:val="20"/>
              </w:rPr>
              <w:t>1.39E-03</w:t>
            </w:r>
          </w:p>
        </w:tc>
        <w:tc>
          <w:tcPr>
            <w:tcW w:w="1015" w:type="dxa"/>
            <w:shd w:val="clear" w:color="auto" w:fill="auto"/>
            <w:noWrap/>
            <w:vAlign w:val="center"/>
            <w:hideMark/>
          </w:tcPr>
          <w:p w14:paraId="02A02B75" w14:textId="77777777" w:rsidR="000F3F85" w:rsidRPr="00C47F2F" w:rsidRDefault="000F3F85" w:rsidP="00016E17">
            <w:pPr>
              <w:pStyle w:val="Table"/>
              <w:rPr>
                <w:noProof/>
                <w:sz w:val="20"/>
                <w:szCs w:val="20"/>
              </w:rPr>
            </w:pPr>
            <w:r w:rsidRPr="00C47F2F">
              <w:rPr>
                <w:noProof/>
                <w:sz w:val="20"/>
                <w:szCs w:val="20"/>
              </w:rPr>
              <w:t>1.39E-03</w:t>
            </w:r>
          </w:p>
        </w:tc>
        <w:tc>
          <w:tcPr>
            <w:tcW w:w="1015" w:type="dxa"/>
            <w:shd w:val="clear" w:color="auto" w:fill="auto"/>
            <w:noWrap/>
            <w:vAlign w:val="center"/>
            <w:hideMark/>
          </w:tcPr>
          <w:p w14:paraId="55AFDB5A" w14:textId="77777777" w:rsidR="000F3F85" w:rsidRPr="00C47F2F" w:rsidRDefault="000F3F85" w:rsidP="00016E17">
            <w:pPr>
              <w:pStyle w:val="Table"/>
              <w:rPr>
                <w:noProof/>
                <w:sz w:val="20"/>
                <w:szCs w:val="20"/>
              </w:rPr>
            </w:pPr>
            <w:r w:rsidRPr="00C47F2F">
              <w:rPr>
                <w:noProof/>
                <w:sz w:val="20"/>
                <w:szCs w:val="20"/>
              </w:rPr>
              <w:t>1.39E-03</w:t>
            </w:r>
          </w:p>
        </w:tc>
        <w:tc>
          <w:tcPr>
            <w:tcW w:w="1015" w:type="dxa"/>
            <w:shd w:val="clear" w:color="auto" w:fill="auto"/>
            <w:noWrap/>
            <w:vAlign w:val="center"/>
            <w:hideMark/>
          </w:tcPr>
          <w:p w14:paraId="567F0036" w14:textId="77777777" w:rsidR="000F3F85" w:rsidRPr="00C47F2F" w:rsidRDefault="000F3F85" w:rsidP="00016E17">
            <w:pPr>
              <w:pStyle w:val="Table"/>
              <w:rPr>
                <w:noProof/>
                <w:sz w:val="20"/>
                <w:szCs w:val="20"/>
              </w:rPr>
            </w:pPr>
            <w:r w:rsidRPr="00C47F2F">
              <w:rPr>
                <w:noProof/>
                <w:sz w:val="20"/>
                <w:szCs w:val="20"/>
              </w:rPr>
              <w:t>1.39E-03</w:t>
            </w:r>
          </w:p>
        </w:tc>
      </w:tr>
      <w:tr w:rsidR="000F3F85" w:rsidRPr="00972C81" w14:paraId="5C10ADC0" w14:textId="77777777" w:rsidTr="00016E17">
        <w:trPr>
          <w:trHeight w:val="340"/>
        </w:trPr>
        <w:tc>
          <w:tcPr>
            <w:tcW w:w="2938" w:type="dxa"/>
            <w:shd w:val="clear" w:color="auto" w:fill="auto"/>
            <w:noWrap/>
            <w:vAlign w:val="center"/>
            <w:hideMark/>
          </w:tcPr>
          <w:p w14:paraId="3A81A3D0" w14:textId="54E126A9" w:rsidR="000F3F85" w:rsidRPr="000F3F85" w:rsidRDefault="000F3F85" w:rsidP="00016E17">
            <w:pPr>
              <w:pStyle w:val="Table"/>
              <w:rPr>
                <w:noProof/>
                <w:sz w:val="20"/>
                <w:szCs w:val="22"/>
              </w:rPr>
            </w:pPr>
            <w:r w:rsidRPr="000F3F85">
              <w:rPr>
                <w:noProof/>
                <w:sz w:val="20"/>
                <w:szCs w:val="22"/>
              </w:rPr>
              <w:t>Testes to Blood</w:t>
            </w:r>
          </w:p>
        </w:tc>
        <w:tc>
          <w:tcPr>
            <w:tcW w:w="1014" w:type="dxa"/>
            <w:shd w:val="clear" w:color="auto" w:fill="auto"/>
            <w:noWrap/>
            <w:vAlign w:val="center"/>
            <w:hideMark/>
          </w:tcPr>
          <w:p w14:paraId="1A7643E6" w14:textId="77777777" w:rsidR="000F3F85" w:rsidRPr="00C47F2F" w:rsidRDefault="000F3F85" w:rsidP="00016E17">
            <w:pPr>
              <w:pStyle w:val="Table"/>
              <w:rPr>
                <w:noProof/>
                <w:sz w:val="20"/>
                <w:szCs w:val="20"/>
              </w:rPr>
            </w:pPr>
            <w:r w:rsidRPr="00C47F2F">
              <w:rPr>
                <w:noProof/>
                <w:sz w:val="20"/>
                <w:szCs w:val="20"/>
              </w:rPr>
              <w:t>3.80E-04</w:t>
            </w:r>
          </w:p>
        </w:tc>
        <w:tc>
          <w:tcPr>
            <w:tcW w:w="1015" w:type="dxa"/>
            <w:shd w:val="clear" w:color="auto" w:fill="auto"/>
            <w:noWrap/>
            <w:vAlign w:val="center"/>
            <w:hideMark/>
          </w:tcPr>
          <w:p w14:paraId="46178028" w14:textId="77777777" w:rsidR="000F3F85" w:rsidRPr="00C47F2F" w:rsidRDefault="000F3F85" w:rsidP="00016E17">
            <w:pPr>
              <w:pStyle w:val="Table"/>
              <w:rPr>
                <w:noProof/>
                <w:sz w:val="20"/>
                <w:szCs w:val="20"/>
              </w:rPr>
            </w:pPr>
            <w:r w:rsidRPr="00C47F2F">
              <w:rPr>
                <w:noProof/>
                <w:sz w:val="20"/>
                <w:szCs w:val="20"/>
              </w:rPr>
              <w:t>3.80E-04</w:t>
            </w:r>
          </w:p>
        </w:tc>
        <w:tc>
          <w:tcPr>
            <w:tcW w:w="1015" w:type="dxa"/>
            <w:shd w:val="clear" w:color="auto" w:fill="auto"/>
            <w:noWrap/>
            <w:vAlign w:val="center"/>
            <w:hideMark/>
          </w:tcPr>
          <w:p w14:paraId="0E9C61D1" w14:textId="77777777" w:rsidR="000F3F85" w:rsidRPr="00C47F2F" w:rsidRDefault="000F3F85" w:rsidP="00016E17">
            <w:pPr>
              <w:pStyle w:val="Table"/>
              <w:rPr>
                <w:noProof/>
                <w:sz w:val="20"/>
                <w:szCs w:val="20"/>
              </w:rPr>
            </w:pPr>
            <w:r w:rsidRPr="00C47F2F">
              <w:rPr>
                <w:noProof/>
                <w:sz w:val="20"/>
                <w:szCs w:val="20"/>
              </w:rPr>
              <w:t>3.80E-04</w:t>
            </w:r>
          </w:p>
        </w:tc>
        <w:tc>
          <w:tcPr>
            <w:tcW w:w="1015" w:type="dxa"/>
            <w:shd w:val="clear" w:color="auto" w:fill="auto"/>
            <w:noWrap/>
            <w:vAlign w:val="center"/>
            <w:hideMark/>
          </w:tcPr>
          <w:p w14:paraId="206135E4" w14:textId="77777777" w:rsidR="000F3F85" w:rsidRPr="00C47F2F" w:rsidRDefault="000F3F85" w:rsidP="00016E17">
            <w:pPr>
              <w:pStyle w:val="Table"/>
              <w:rPr>
                <w:noProof/>
                <w:sz w:val="20"/>
                <w:szCs w:val="20"/>
              </w:rPr>
            </w:pPr>
            <w:r w:rsidRPr="00C47F2F">
              <w:rPr>
                <w:noProof/>
                <w:sz w:val="20"/>
                <w:szCs w:val="20"/>
              </w:rPr>
              <w:t>3.80E-04</w:t>
            </w:r>
          </w:p>
        </w:tc>
        <w:tc>
          <w:tcPr>
            <w:tcW w:w="1015" w:type="dxa"/>
            <w:shd w:val="clear" w:color="auto" w:fill="auto"/>
            <w:noWrap/>
            <w:vAlign w:val="center"/>
            <w:hideMark/>
          </w:tcPr>
          <w:p w14:paraId="4C5D30B0" w14:textId="77777777" w:rsidR="000F3F85" w:rsidRPr="00C47F2F" w:rsidRDefault="000F3F85" w:rsidP="00016E17">
            <w:pPr>
              <w:pStyle w:val="Table"/>
              <w:rPr>
                <w:noProof/>
                <w:sz w:val="20"/>
                <w:szCs w:val="20"/>
              </w:rPr>
            </w:pPr>
            <w:r w:rsidRPr="00C47F2F">
              <w:rPr>
                <w:noProof/>
                <w:sz w:val="20"/>
                <w:szCs w:val="20"/>
              </w:rPr>
              <w:t>3.80E-04</w:t>
            </w:r>
          </w:p>
        </w:tc>
        <w:tc>
          <w:tcPr>
            <w:tcW w:w="1015" w:type="dxa"/>
            <w:shd w:val="clear" w:color="auto" w:fill="auto"/>
            <w:noWrap/>
            <w:vAlign w:val="center"/>
            <w:hideMark/>
          </w:tcPr>
          <w:p w14:paraId="2E21A701" w14:textId="77777777" w:rsidR="000F3F85" w:rsidRPr="00C47F2F" w:rsidRDefault="000F3F85" w:rsidP="00016E17">
            <w:pPr>
              <w:pStyle w:val="Table"/>
              <w:rPr>
                <w:noProof/>
                <w:sz w:val="20"/>
                <w:szCs w:val="20"/>
              </w:rPr>
            </w:pPr>
            <w:r w:rsidRPr="00C47F2F">
              <w:rPr>
                <w:noProof/>
                <w:sz w:val="20"/>
                <w:szCs w:val="20"/>
              </w:rPr>
              <w:t>3.80E-04</w:t>
            </w:r>
          </w:p>
        </w:tc>
      </w:tr>
      <w:tr w:rsidR="000F3F85" w:rsidRPr="00972C81" w14:paraId="7264D540" w14:textId="77777777" w:rsidTr="00016E17">
        <w:trPr>
          <w:trHeight w:val="340"/>
        </w:trPr>
        <w:tc>
          <w:tcPr>
            <w:tcW w:w="2938" w:type="dxa"/>
            <w:tcBorders>
              <w:bottom w:val="single" w:sz="4" w:space="0" w:color="auto"/>
            </w:tcBorders>
            <w:shd w:val="clear" w:color="auto" w:fill="auto"/>
            <w:noWrap/>
            <w:vAlign w:val="center"/>
            <w:hideMark/>
          </w:tcPr>
          <w:p w14:paraId="06E6772B" w14:textId="5ABEDB3C" w:rsidR="000F3F85" w:rsidRPr="000F3F85" w:rsidRDefault="000F3F85" w:rsidP="00016E17">
            <w:pPr>
              <w:pStyle w:val="Table"/>
              <w:rPr>
                <w:noProof/>
                <w:sz w:val="20"/>
                <w:szCs w:val="22"/>
              </w:rPr>
            </w:pPr>
            <w:r w:rsidRPr="000F3F85">
              <w:rPr>
                <w:noProof/>
                <w:sz w:val="20"/>
                <w:szCs w:val="22"/>
              </w:rPr>
              <w:t>Ovaries to Blood</w:t>
            </w:r>
          </w:p>
        </w:tc>
        <w:tc>
          <w:tcPr>
            <w:tcW w:w="1014" w:type="dxa"/>
            <w:tcBorders>
              <w:bottom w:val="single" w:sz="4" w:space="0" w:color="auto"/>
            </w:tcBorders>
            <w:shd w:val="clear" w:color="auto" w:fill="auto"/>
            <w:noWrap/>
            <w:vAlign w:val="center"/>
            <w:hideMark/>
          </w:tcPr>
          <w:p w14:paraId="52766CFC" w14:textId="77777777" w:rsidR="000F3F85" w:rsidRPr="00C47F2F" w:rsidRDefault="000F3F85" w:rsidP="00016E17">
            <w:pPr>
              <w:pStyle w:val="Table"/>
              <w:rPr>
                <w:noProof/>
                <w:sz w:val="20"/>
                <w:szCs w:val="20"/>
              </w:rPr>
            </w:pPr>
            <w:r w:rsidRPr="00C47F2F">
              <w:rPr>
                <w:noProof/>
                <w:sz w:val="20"/>
                <w:szCs w:val="20"/>
              </w:rPr>
              <w:t>3.80E-04</w:t>
            </w:r>
          </w:p>
        </w:tc>
        <w:tc>
          <w:tcPr>
            <w:tcW w:w="1015" w:type="dxa"/>
            <w:tcBorders>
              <w:bottom w:val="single" w:sz="4" w:space="0" w:color="auto"/>
            </w:tcBorders>
            <w:shd w:val="clear" w:color="auto" w:fill="auto"/>
            <w:noWrap/>
            <w:vAlign w:val="center"/>
            <w:hideMark/>
          </w:tcPr>
          <w:p w14:paraId="243FDA83" w14:textId="77777777" w:rsidR="000F3F85" w:rsidRPr="00C47F2F" w:rsidRDefault="000F3F85" w:rsidP="00016E17">
            <w:pPr>
              <w:pStyle w:val="Table"/>
              <w:rPr>
                <w:noProof/>
                <w:sz w:val="20"/>
                <w:szCs w:val="20"/>
              </w:rPr>
            </w:pPr>
            <w:r w:rsidRPr="00C47F2F">
              <w:rPr>
                <w:noProof/>
                <w:sz w:val="20"/>
                <w:szCs w:val="20"/>
              </w:rPr>
              <w:t>3.80E-04</w:t>
            </w:r>
          </w:p>
        </w:tc>
        <w:tc>
          <w:tcPr>
            <w:tcW w:w="1015" w:type="dxa"/>
            <w:tcBorders>
              <w:bottom w:val="single" w:sz="4" w:space="0" w:color="auto"/>
            </w:tcBorders>
            <w:shd w:val="clear" w:color="auto" w:fill="auto"/>
            <w:noWrap/>
            <w:vAlign w:val="center"/>
            <w:hideMark/>
          </w:tcPr>
          <w:p w14:paraId="40AE9AB2" w14:textId="77777777" w:rsidR="000F3F85" w:rsidRPr="00C47F2F" w:rsidRDefault="000F3F85" w:rsidP="00016E17">
            <w:pPr>
              <w:pStyle w:val="Table"/>
              <w:rPr>
                <w:noProof/>
                <w:sz w:val="20"/>
                <w:szCs w:val="20"/>
              </w:rPr>
            </w:pPr>
            <w:r w:rsidRPr="00C47F2F">
              <w:rPr>
                <w:noProof/>
                <w:sz w:val="20"/>
                <w:szCs w:val="20"/>
              </w:rPr>
              <w:t>3.80E-04</w:t>
            </w:r>
          </w:p>
        </w:tc>
        <w:tc>
          <w:tcPr>
            <w:tcW w:w="1015" w:type="dxa"/>
            <w:tcBorders>
              <w:bottom w:val="single" w:sz="4" w:space="0" w:color="auto"/>
            </w:tcBorders>
            <w:shd w:val="clear" w:color="auto" w:fill="auto"/>
            <w:noWrap/>
            <w:vAlign w:val="center"/>
            <w:hideMark/>
          </w:tcPr>
          <w:p w14:paraId="057186F8" w14:textId="77777777" w:rsidR="000F3F85" w:rsidRPr="00C47F2F" w:rsidRDefault="000F3F85" w:rsidP="00016E17">
            <w:pPr>
              <w:pStyle w:val="Table"/>
              <w:rPr>
                <w:noProof/>
                <w:sz w:val="20"/>
                <w:szCs w:val="20"/>
              </w:rPr>
            </w:pPr>
            <w:r w:rsidRPr="00C47F2F">
              <w:rPr>
                <w:noProof/>
                <w:sz w:val="20"/>
                <w:szCs w:val="20"/>
              </w:rPr>
              <w:t>3.80E-04</w:t>
            </w:r>
          </w:p>
        </w:tc>
        <w:tc>
          <w:tcPr>
            <w:tcW w:w="1015" w:type="dxa"/>
            <w:tcBorders>
              <w:bottom w:val="single" w:sz="4" w:space="0" w:color="auto"/>
            </w:tcBorders>
            <w:shd w:val="clear" w:color="auto" w:fill="auto"/>
            <w:noWrap/>
            <w:vAlign w:val="center"/>
            <w:hideMark/>
          </w:tcPr>
          <w:p w14:paraId="6F538593" w14:textId="77777777" w:rsidR="000F3F85" w:rsidRPr="00C47F2F" w:rsidRDefault="000F3F85" w:rsidP="00016E17">
            <w:pPr>
              <w:pStyle w:val="Table"/>
              <w:rPr>
                <w:noProof/>
                <w:sz w:val="20"/>
                <w:szCs w:val="20"/>
              </w:rPr>
            </w:pPr>
            <w:r w:rsidRPr="00C47F2F">
              <w:rPr>
                <w:noProof/>
                <w:sz w:val="20"/>
                <w:szCs w:val="20"/>
              </w:rPr>
              <w:t>3.80E-04</w:t>
            </w:r>
          </w:p>
        </w:tc>
        <w:tc>
          <w:tcPr>
            <w:tcW w:w="1015" w:type="dxa"/>
            <w:tcBorders>
              <w:bottom w:val="single" w:sz="4" w:space="0" w:color="auto"/>
            </w:tcBorders>
            <w:shd w:val="clear" w:color="auto" w:fill="auto"/>
            <w:noWrap/>
            <w:vAlign w:val="center"/>
            <w:hideMark/>
          </w:tcPr>
          <w:p w14:paraId="72383C0E" w14:textId="77777777" w:rsidR="000F3F85" w:rsidRPr="00C47F2F" w:rsidRDefault="000F3F85" w:rsidP="00016E17">
            <w:pPr>
              <w:pStyle w:val="Table"/>
              <w:rPr>
                <w:noProof/>
                <w:sz w:val="20"/>
                <w:szCs w:val="20"/>
              </w:rPr>
            </w:pPr>
            <w:r w:rsidRPr="00C47F2F">
              <w:rPr>
                <w:noProof/>
                <w:sz w:val="20"/>
                <w:szCs w:val="20"/>
              </w:rPr>
              <w:t>3.80E-04</w:t>
            </w:r>
          </w:p>
        </w:tc>
      </w:tr>
    </w:tbl>
    <w:p w14:paraId="1E5C1AED" w14:textId="44A40DE4" w:rsidR="000F3F85" w:rsidRPr="00016E17" w:rsidRDefault="00E52659" w:rsidP="000F3F85">
      <w:pPr>
        <w:pStyle w:val="Annalstext"/>
        <w:numPr>
          <w:ilvl w:val="0"/>
          <w:numId w:val="0"/>
        </w:numPr>
        <w:rPr>
          <w:noProof/>
          <w:sz w:val="20"/>
        </w:rPr>
      </w:pPr>
      <w:bookmarkStart w:id="149" w:name="_Hlk162537673"/>
      <w:r w:rsidRPr="00016E17">
        <w:rPr>
          <w:noProof/>
          <w:sz w:val="20"/>
          <w:vertAlign w:val="superscript"/>
        </w:rPr>
        <w:t>a</w:t>
      </w:r>
      <w:r w:rsidR="000F3F85" w:rsidRPr="00016E17">
        <w:rPr>
          <w:noProof/>
          <w:sz w:val="20"/>
        </w:rPr>
        <w:t>Cort = Cortical, Trab = Trabecular, surf = surface, vol = volume, RC = Right colon, SI = Small intestine, UB = Urinary bladder</w:t>
      </w:r>
    </w:p>
    <w:bookmarkEnd w:id="149"/>
    <w:p w14:paraId="4469A56B" w14:textId="77777777" w:rsidR="00D322F7" w:rsidRPr="00972C81" w:rsidRDefault="00D322F7" w:rsidP="006703A2">
      <w:pPr>
        <w:pStyle w:val="OIRTitre4"/>
      </w:pPr>
      <w:r w:rsidRPr="00972C81">
        <w:t>Treatment of radioactive progeny</w:t>
      </w:r>
    </w:p>
    <w:p w14:paraId="4EC45ED0" w14:textId="6C6A5999" w:rsidR="00D322F7" w:rsidRPr="00972C81" w:rsidRDefault="00F95A58" w:rsidP="001C4A92">
      <w:pPr>
        <w:pStyle w:val="Annalstext"/>
        <w:rPr>
          <w:noProof/>
        </w:rPr>
      </w:pPr>
      <w:r w:rsidRPr="00972C81">
        <w:rPr>
          <w:rFonts w:eastAsia="Calibri"/>
          <w:noProof/>
        </w:rPr>
        <w:t xml:space="preserve">The treatment of radioactive progeny produced in systemic compartments after intake of a radioisotope of gadolinium is described in Section 10.2.3.3. of </w:t>
      </w:r>
      <w:r w:rsidR="00F73182" w:rsidRPr="00972C81">
        <w:rPr>
          <w:i/>
          <w:noProof/>
        </w:rPr>
        <w:t>Publication 141</w:t>
      </w:r>
      <w:r w:rsidR="00F73182" w:rsidRPr="00972C81">
        <w:rPr>
          <w:noProof/>
        </w:rPr>
        <w:t xml:space="preserve"> (ICRP, 2019).</w:t>
      </w:r>
    </w:p>
    <w:p w14:paraId="45188DB7" w14:textId="77777777" w:rsidR="00593D1F" w:rsidRPr="00972C81" w:rsidRDefault="00593D1F" w:rsidP="00E81109">
      <w:pPr>
        <w:pStyle w:val="2"/>
        <w:rPr>
          <w:noProof/>
          <w:lang w:val="en-GB"/>
        </w:rPr>
      </w:pPr>
      <w:bookmarkStart w:id="150" w:name="_Toc162630030"/>
      <w:r w:rsidRPr="00972C81">
        <w:rPr>
          <w:noProof/>
          <w:lang w:val="en-GB"/>
        </w:rPr>
        <w:lastRenderedPageBreak/>
        <w:t>Dosimetric data for gadolinium</w:t>
      </w:r>
      <w:bookmarkEnd w:id="150"/>
    </w:p>
    <w:p w14:paraId="5DA99F34" w14:textId="4C2231D7" w:rsidR="00D36248" w:rsidRPr="00972C81" w:rsidRDefault="00D36248" w:rsidP="00C47F2F">
      <w:pPr>
        <w:widowControl/>
        <w:jc w:val="left"/>
        <w:rPr>
          <w:noProof/>
        </w:rPr>
      </w:pPr>
      <w:r w:rsidRPr="00972C81">
        <w:rPr>
          <w:noProof/>
        </w:rPr>
        <w:t>Table 9.3. Committed effective dose coefficients (Sv Bq</w:t>
      </w:r>
      <w:r w:rsidRPr="00972C81">
        <w:rPr>
          <w:noProof/>
          <w:vertAlign w:val="superscript"/>
        </w:rPr>
        <w:t>-1</w:t>
      </w:r>
      <w:r w:rsidRPr="00972C81">
        <w:rPr>
          <w:noProof/>
        </w:rPr>
        <w:t xml:space="preserve">) for the inhalation or ingestion of </w:t>
      </w:r>
      <w:r w:rsidRPr="00972C81">
        <w:rPr>
          <w:noProof/>
          <w:vertAlign w:val="superscript"/>
        </w:rPr>
        <w:t>153</w:t>
      </w:r>
      <w:r w:rsidRPr="00972C81">
        <w:rPr>
          <w:noProof/>
        </w:rPr>
        <w:t>Gd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D36248" w:rsidRPr="00A3213E" w14:paraId="6EE23E13" w14:textId="77777777" w:rsidTr="00C47F2F">
        <w:trPr>
          <w:trHeight w:val="340"/>
        </w:trPr>
        <w:tc>
          <w:tcPr>
            <w:tcW w:w="2087" w:type="pct"/>
            <w:vMerge w:val="restart"/>
            <w:tcBorders>
              <w:top w:val="single" w:sz="4" w:space="0" w:color="auto"/>
              <w:left w:val="nil"/>
              <w:bottom w:val="single" w:sz="4" w:space="0" w:color="auto"/>
              <w:right w:val="nil"/>
            </w:tcBorders>
            <w:vAlign w:val="bottom"/>
            <w:hideMark/>
          </w:tcPr>
          <w:p w14:paraId="4CF2A7BB" w14:textId="77777777" w:rsidR="00382A4B" w:rsidRPr="00C47F2F" w:rsidRDefault="00D36248" w:rsidP="00C47F2F">
            <w:pPr>
              <w:pStyle w:val="a5"/>
              <w:tabs>
                <w:tab w:val="clear" w:pos="4153"/>
                <w:tab w:val="clear" w:pos="8306"/>
              </w:tabs>
              <w:jc w:val="left"/>
              <w:rPr>
                <w:noProof/>
                <w:sz w:val="22"/>
                <w:szCs w:val="22"/>
              </w:rPr>
            </w:pPr>
            <w:r w:rsidRPr="00C47F2F">
              <w:rPr>
                <w:noProof/>
                <w:sz w:val="22"/>
                <w:szCs w:val="22"/>
              </w:rPr>
              <w:t>Inhaled particulate materials</w:t>
            </w:r>
          </w:p>
          <w:p w14:paraId="6E0FD093" w14:textId="029A18FF" w:rsidR="00D36248" w:rsidRPr="00382A4B" w:rsidRDefault="00D36248" w:rsidP="00C47F2F">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6FC18A44" w14:textId="77777777" w:rsidR="00D36248" w:rsidRPr="00C47F2F" w:rsidRDefault="00D36248" w:rsidP="00382A4B">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D36248" w:rsidRPr="00972C81" w14:paraId="24A5CC98" w14:textId="77777777" w:rsidTr="00016E17">
        <w:trPr>
          <w:trHeight w:val="340"/>
        </w:trPr>
        <w:tc>
          <w:tcPr>
            <w:tcW w:w="2087" w:type="pct"/>
            <w:vMerge/>
            <w:tcBorders>
              <w:top w:val="single" w:sz="4" w:space="0" w:color="auto"/>
              <w:left w:val="nil"/>
              <w:bottom w:val="single" w:sz="4" w:space="0" w:color="auto"/>
              <w:right w:val="nil"/>
            </w:tcBorders>
            <w:vAlign w:val="center"/>
            <w:hideMark/>
          </w:tcPr>
          <w:p w14:paraId="787443FA" w14:textId="77777777" w:rsidR="00D36248" w:rsidRPr="00382A4B" w:rsidRDefault="00D362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1F60CF60" w14:textId="2ADA2C28" w:rsidR="00D36248" w:rsidRPr="00C47F2F" w:rsidRDefault="00D36248" w:rsidP="00016E17">
            <w:pPr>
              <w:jc w:val="left"/>
              <w:rPr>
                <w:noProof/>
                <w:sz w:val="22"/>
                <w:szCs w:val="22"/>
              </w:rPr>
            </w:pPr>
            <w:r w:rsidRPr="00C47F2F">
              <w:rPr>
                <w:noProof/>
                <w:sz w:val="22"/>
                <w:szCs w:val="22"/>
              </w:rPr>
              <w:t>3</w:t>
            </w:r>
            <w:r w:rsidR="00382A4B">
              <w:rPr>
                <w:rFonts w:hint="eastAsia"/>
                <w:noProof/>
                <w:sz w:val="22"/>
                <w:szCs w:val="22"/>
                <w:lang w:eastAsia="ko-KR"/>
              </w:rPr>
              <w:t xml:space="preserve"> </w:t>
            </w:r>
            <w:r w:rsidRPr="00C47F2F">
              <w:rPr>
                <w:noProof/>
                <w:sz w:val="22"/>
                <w:szCs w:val="22"/>
              </w:rPr>
              <w:t>m</w:t>
            </w:r>
            <w:r w:rsidR="00016E17">
              <w:rPr>
                <w:noProof/>
                <w:sz w:val="22"/>
                <w:szCs w:val="22"/>
              </w:rPr>
              <w:t>o</w:t>
            </w:r>
          </w:p>
        </w:tc>
        <w:tc>
          <w:tcPr>
            <w:tcW w:w="485" w:type="pct"/>
            <w:tcBorders>
              <w:top w:val="single" w:sz="4" w:space="0" w:color="auto"/>
              <w:left w:val="nil"/>
              <w:bottom w:val="single" w:sz="4" w:space="0" w:color="auto"/>
              <w:right w:val="nil"/>
            </w:tcBorders>
            <w:vAlign w:val="center"/>
            <w:hideMark/>
          </w:tcPr>
          <w:p w14:paraId="60004B99" w14:textId="1DF13057" w:rsidR="00D36248" w:rsidRPr="00C47F2F" w:rsidRDefault="00D36248" w:rsidP="00016E17">
            <w:pPr>
              <w:jc w:val="left"/>
              <w:rPr>
                <w:noProof/>
                <w:sz w:val="22"/>
                <w:szCs w:val="22"/>
              </w:rPr>
            </w:pPr>
            <w:r w:rsidRPr="00C47F2F">
              <w:rPr>
                <w:noProof/>
                <w:sz w:val="22"/>
                <w:szCs w:val="22"/>
              </w:rPr>
              <w:t>1</w:t>
            </w:r>
            <w:r w:rsidR="00382A4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06610F7E" w14:textId="78A6ED97" w:rsidR="00D36248" w:rsidRPr="00C47F2F" w:rsidRDefault="00D36248" w:rsidP="00016E17">
            <w:pPr>
              <w:jc w:val="left"/>
              <w:rPr>
                <w:noProof/>
                <w:sz w:val="22"/>
                <w:szCs w:val="22"/>
              </w:rPr>
            </w:pPr>
            <w:r w:rsidRPr="00C47F2F">
              <w:rPr>
                <w:noProof/>
                <w:sz w:val="22"/>
                <w:szCs w:val="22"/>
              </w:rPr>
              <w:t>5</w:t>
            </w:r>
            <w:r w:rsidR="00382A4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549BFF42" w14:textId="1A4B2285" w:rsidR="00D36248" w:rsidRPr="00C47F2F" w:rsidRDefault="00D36248" w:rsidP="00016E17">
            <w:pPr>
              <w:jc w:val="left"/>
              <w:rPr>
                <w:noProof/>
                <w:sz w:val="22"/>
                <w:szCs w:val="22"/>
              </w:rPr>
            </w:pPr>
            <w:r w:rsidRPr="00C47F2F">
              <w:rPr>
                <w:noProof/>
                <w:sz w:val="22"/>
                <w:szCs w:val="22"/>
              </w:rPr>
              <w:t>10</w:t>
            </w:r>
            <w:r w:rsidR="00382A4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7F9C6070" w14:textId="514510F6" w:rsidR="00D36248" w:rsidRPr="00C47F2F" w:rsidRDefault="00D36248" w:rsidP="00016E17">
            <w:pPr>
              <w:jc w:val="left"/>
              <w:rPr>
                <w:noProof/>
                <w:sz w:val="22"/>
                <w:szCs w:val="22"/>
              </w:rPr>
            </w:pPr>
            <w:r w:rsidRPr="00C47F2F">
              <w:rPr>
                <w:noProof/>
                <w:sz w:val="22"/>
                <w:szCs w:val="22"/>
              </w:rPr>
              <w:t>15</w:t>
            </w:r>
            <w:r w:rsidR="00382A4B">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2D2CA43F" w14:textId="77777777" w:rsidR="00D36248" w:rsidRPr="00C47F2F" w:rsidRDefault="00D36248" w:rsidP="00016E17">
            <w:pPr>
              <w:jc w:val="left"/>
              <w:rPr>
                <w:noProof/>
                <w:sz w:val="22"/>
                <w:szCs w:val="22"/>
              </w:rPr>
            </w:pPr>
            <w:r w:rsidRPr="00C47F2F">
              <w:rPr>
                <w:noProof/>
                <w:sz w:val="22"/>
                <w:szCs w:val="22"/>
              </w:rPr>
              <w:t>Adult</w:t>
            </w:r>
          </w:p>
        </w:tc>
      </w:tr>
      <w:tr w:rsidR="00D36248" w:rsidRPr="00972C81" w14:paraId="5B218C53" w14:textId="77777777" w:rsidTr="00016E17">
        <w:trPr>
          <w:trHeight w:val="340"/>
        </w:trPr>
        <w:tc>
          <w:tcPr>
            <w:tcW w:w="2087" w:type="pct"/>
            <w:tcBorders>
              <w:top w:val="single" w:sz="4" w:space="0" w:color="auto"/>
              <w:left w:val="nil"/>
              <w:bottom w:val="nil"/>
              <w:right w:val="nil"/>
            </w:tcBorders>
            <w:hideMark/>
          </w:tcPr>
          <w:p w14:paraId="07A6B68B" w14:textId="77777777" w:rsidR="00D36248" w:rsidRPr="00C47F2F" w:rsidRDefault="00D36248" w:rsidP="00016E17">
            <w:pPr>
              <w:jc w:val="left"/>
              <w:rPr>
                <w:noProof/>
                <w:sz w:val="22"/>
                <w:szCs w:val="22"/>
              </w:rPr>
            </w:pPr>
            <w:r w:rsidRPr="00C47F2F">
              <w:rPr>
                <w:rFonts w:eastAsia="Times New Roman"/>
                <w:noProof/>
                <w:color w:val="000000"/>
                <w:sz w:val="22"/>
                <w:szCs w:val="22"/>
              </w:rPr>
              <w:t>Water soluble forms, including chloride and citrate</w:t>
            </w:r>
          </w:p>
        </w:tc>
        <w:tc>
          <w:tcPr>
            <w:tcW w:w="485" w:type="pct"/>
            <w:tcBorders>
              <w:top w:val="single" w:sz="4" w:space="0" w:color="auto"/>
              <w:left w:val="nil"/>
              <w:bottom w:val="nil"/>
              <w:right w:val="nil"/>
            </w:tcBorders>
            <w:hideMark/>
          </w:tcPr>
          <w:p w14:paraId="21B5A560"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8.5E-09</w:t>
            </w:r>
          </w:p>
        </w:tc>
        <w:tc>
          <w:tcPr>
            <w:tcW w:w="485" w:type="pct"/>
            <w:tcBorders>
              <w:top w:val="single" w:sz="4" w:space="0" w:color="auto"/>
              <w:left w:val="nil"/>
              <w:bottom w:val="nil"/>
              <w:right w:val="nil"/>
            </w:tcBorders>
            <w:hideMark/>
          </w:tcPr>
          <w:p w14:paraId="5096142A"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6.7E-09</w:t>
            </w:r>
          </w:p>
        </w:tc>
        <w:tc>
          <w:tcPr>
            <w:tcW w:w="485" w:type="pct"/>
            <w:tcBorders>
              <w:top w:val="single" w:sz="4" w:space="0" w:color="auto"/>
              <w:left w:val="nil"/>
              <w:bottom w:val="nil"/>
              <w:right w:val="nil"/>
            </w:tcBorders>
            <w:hideMark/>
          </w:tcPr>
          <w:p w14:paraId="28906341"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3.1E-09</w:t>
            </w:r>
          </w:p>
        </w:tc>
        <w:tc>
          <w:tcPr>
            <w:tcW w:w="485" w:type="pct"/>
            <w:tcBorders>
              <w:top w:val="single" w:sz="4" w:space="0" w:color="auto"/>
              <w:left w:val="nil"/>
              <w:bottom w:val="nil"/>
              <w:right w:val="nil"/>
            </w:tcBorders>
            <w:hideMark/>
          </w:tcPr>
          <w:p w14:paraId="463C7FD7"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1.9E-09</w:t>
            </w:r>
          </w:p>
        </w:tc>
        <w:tc>
          <w:tcPr>
            <w:tcW w:w="485" w:type="pct"/>
            <w:tcBorders>
              <w:top w:val="single" w:sz="4" w:space="0" w:color="auto"/>
              <w:left w:val="nil"/>
              <w:bottom w:val="nil"/>
              <w:right w:val="nil"/>
            </w:tcBorders>
            <w:hideMark/>
          </w:tcPr>
          <w:p w14:paraId="1A014309"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1.5E-09</w:t>
            </w:r>
          </w:p>
        </w:tc>
        <w:tc>
          <w:tcPr>
            <w:tcW w:w="486" w:type="pct"/>
            <w:tcBorders>
              <w:top w:val="single" w:sz="4" w:space="0" w:color="auto"/>
              <w:left w:val="nil"/>
              <w:bottom w:val="nil"/>
              <w:right w:val="nil"/>
            </w:tcBorders>
            <w:hideMark/>
          </w:tcPr>
          <w:p w14:paraId="3D756146"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1.4E-09</w:t>
            </w:r>
          </w:p>
        </w:tc>
      </w:tr>
      <w:tr w:rsidR="00D36248" w:rsidRPr="00972C81" w14:paraId="629D7E14" w14:textId="77777777" w:rsidTr="00016E17">
        <w:trPr>
          <w:trHeight w:val="340"/>
        </w:trPr>
        <w:tc>
          <w:tcPr>
            <w:tcW w:w="2087" w:type="pct"/>
            <w:tcBorders>
              <w:top w:val="nil"/>
              <w:left w:val="nil"/>
              <w:bottom w:val="nil"/>
              <w:right w:val="nil"/>
            </w:tcBorders>
            <w:hideMark/>
          </w:tcPr>
          <w:p w14:paraId="31113A73"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Dioxide</w:t>
            </w:r>
          </w:p>
        </w:tc>
        <w:tc>
          <w:tcPr>
            <w:tcW w:w="485" w:type="pct"/>
            <w:tcBorders>
              <w:top w:val="nil"/>
              <w:left w:val="nil"/>
              <w:bottom w:val="nil"/>
              <w:right w:val="nil"/>
            </w:tcBorders>
            <w:hideMark/>
          </w:tcPr>
          <w:p w14:paraId="7CFC0FA3"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8.2E-09</w:t>
            </w:r>
          </w:p>
        </w:tc>
        <w:tc>
          <w:tcPr>
            <w:tcW w:w="485" w:type="pct"/>
            <w:tcBorders>
              <w:top w:val="nil"/>
              <w:left w:val="nil"/>
              <w:bottom w:val="nil"/>
              <w:right w:val="nil"/>
            </w:tcBorders>
            <w:hideMark/>
          </w:tcPr>
          <w:p w14:paraId="6CF0D374"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7.2E-09</w:t>
            </w:r>
          </w:p>
        </w:tc>
        <w:tc>
          <w:tcPr>
            <w:tcW w:w="485" w:type="pct"/>
            <w:tcBorders>
              <w:top w:val="nil"/>
              <w:left w:val="nil"/>
              <w:bottom w:val="nil"/>
              <w:right w:val="nil"/>
            </w:tcBorders>
            <w:hideMark/>
          </w:tcPr>
          <w:p w14:paraId="6DECF110"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4.0E-09</w:t>
            </w:r>
          </w:p>
        </w:tc>
        <w:tc>
          <w:tcPr>
            <w:tcW w:w="485" w:type="pct"/>
            <w:tcBorders>
              <w:top w:val="nil"/>
              <w:left w:val="nil"/>
              <w:bottom w:val="nil"/>
              <w:right w:val="nil"/>
            </w:tcBorders>
            <w:hideMark/>
          </w:tcPr>
          <w:p w14:paraId="35E8F09E"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2.6E-09</w:t>
            </w:r>
          </w:p>
        </w:tc>
        <w:tc>
          <w:tcPr>
            <w:tcW w:w="485" w:type="pct"/>
            <w:tcBorders>
              <w:top w:val="nil"/>
              <w:left w:val="nil"/>
              <w:bottom w:val="nil"/>
              <w:right w:val="nil"/>
            </w:tcBorders>
            <w:hideMark/>
          </w:tcPr>
          <w:p w14:paraId="4463B657"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2.0E-09</w:t>
            </w:r>
          </w:p>
        </w:tc>
        <w:tc>
          <w:tcPr>
            <w:tcW w:w="486" w:type="pct"/>
            <w:tcBorders>
              <w:top w:val="nil"/>
              <w:left w:val="nil"/>
              <w:bottom w:val="nil"/>
              <w:right w:val="nil"/>
            </w:tcBorders>
            <w:hideMark/>
          </w:tcPr>
          <w:p w14:paraId="4056F262"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2.0E-09</w:t>
            </w:r>
          </w:p>
        </w:tc>
      </w:tr>
      <w:tr w:rsidR="00D36248" w:rsidRPr="00972C81" w14:paraId="1C086A4D" w14:textId="77777777" w:rsidTr="00016E17">
        <w:trPr>
          <w:trHeight w:val="340"/>
        </w:trPr>
        <w:tc>
          <w:tcPr>
            <w:tcW w:w="2087" w:type="pct"/>
            <w:tcBorders>
              <w:top w:val="nil"/>
              <w:left w:val="nil"/>
              <w:bottom w:val="nil"/>
              <w:right w:val="nil"/>
            </w:tcBorders>
            <w:hideMark/>
          </w:tcPr>
          <w:p w14:paraId="4EFAB55C" w14:textId="77777777" w:rsidR="00D36248" w:rsidRPr="00C47F2F" w:rsidRDefault="00D36248" w:rsidP="00016E17">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030C5A13"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8.9E-09</w:t>
            </w:r>
          </w:p>
        </w:tc>
        <w:tc>
          <w:tcPr>
            <w:tcW w:w="485" w:type="pct"/>
            <w:tcBorders>
              <w:top w:val="nil"/>
              <w:left w:val="nil"/>
              <w:bottom w:val="nil"/>
              <w:right w:val="nil"/>
            </w:tcBorders>
            <w:hideMark/>
          </w:tcPr>
          <w:p w14:paraId="0BE8419A"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6.3E-09</w:t>
            </w:r>
          </w:p>
        </w:tc>
        <w:tc>
          <w:tcPr>
            <w:tcW w:w="485" w:type="pct"/>
            <w:tcBorders>
              <w:top w:val="nil"/>
              <w:left w:val="nil"/>
              <w:bottom w:val="nil"/>
              <w:right w:val="nil"/>
            </w:tcBorders>
            <w:hideMark/>
          </w:tcPr>
          <w:p w14:paraId="68297B59"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2.3E-09</w:t>
            </w:r>
          </w:p>
        </w:tc>
        <w:tc>
          <w:tcPr>
            <w:tcW w:w="485" w:type="pct"/>
            <w:tcBorders>
              <w:top w:val="nil"/>
              <w:left w:val="nil"/>
              <w:bottom w:val="nil"/>
              <w:right w:val="nil"/>
            </w:tcBorders>
            <w:hideMark/>
          </w:tcPr>
          <w:p w14:paraId="1A6E0454"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1.2E-09</w:t>
            </w:r>
          </w:p>
        </w:tc>
        <w:tc>
          <w:tcPr>
            <w:tcW w:w="485" w:type="pct"/>
            <w:tcBorders>
              <w:top w:val="nil"/>
              <w:left w:val="nil"/>
              <w:bottom w:val="nil"/>
              <w:right w:val="nil"/>
            </w:tcBorders>
            <w:hideMark/>
          </w:tcPr>
          <w:p w14:paraId="09A8D081"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1.0E-09</w:t>
            </w:r>
          </w:p>
        </w:tc>
        <w:tc>
          <w:tcPr>
            <w:tcW w:w="486" w:type="pct"/>
            <w:tcBorders>
              <w:top w:val="nil"/>
              <w:left w:val="nil"/>
              <w:bottom w:val="nil"/>
              <w:right w:val="nil"/>
            </w:tcBorders>
            <w:hideMark/>
          </w:tcPr>
          <w:p w14:paraId="2C538B01"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8.5E-10</w:t>
            </w:r>
          </w:p>
        </w:tc>
      </w:tr>
      <w:tr w:rsidR="00D36248" w:rsidRPr="00972C81" w14:paraId="328C3289" w14:textId="77777777" w:rsidTr="00016E17">
        <w:trPr>
          <w:trHeight w:val="340"/>
        </w:trPr>
        <w:tc>
          <w:tcPr>
            <w:tcW w:w="2087" w:type="pct"/>
            <w:tcBorders>
              <w:top w:val="nil"/>
              <w:left w:val="nil"/>
              <w:bottom w:val="nil"/>
              <w:right w:val="nil"/>
            </w:tcBorders>
            <w:hideMark/>
          </w:tcPr>
          <w:p w14:paraId="09E2C3A6" w14:textId="77777777" w:rsidR="00D36248" w:rsidRPr="00C47F2F" w:rsidRDefault="00D36248" w:rsidP="00016E17">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hideMark/>
          </w:tcPr>
          <w:p w14:paraId="5B786935"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8.0E-09</w:t>
            </w:r>
          </w:p>
        </w:tc>
        <w:tc>
          <w:tcPr>
            <w:tcW w:w="485" w:type="pct"/>
            <w:tcBorders>
              <w:top w:val="nil"/>
              <w:left w:val="nil"/>
              <w:bottom w:val="nil"/>
              <w:right w:val="nil"/>
            </w:tcBorders>
            <w:hideMark/>
          </w:tcPr>
          <w:p w14:paraId="3568EF0B"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6.5E-09</w:t>
            </w:r>
          </w:p>
        </w:tc>
        <w:tc>
          <w:tcPr>
            <w:tcW w:w="485" w:type="pct"/>
            <w:tcBorders>
              <w:top w:val="nil"/>
              <w:left w:val="nil"/>
              <w:bottom w:val="nil"/>
              <w:right w:val="nil"/>
            </w:tcBorders>
            <w:hideMark/>
          </w:tcPr>
          <w:p w14:paraId="15A75C34"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3.1E-09</w:t>
            </w:r>
          </w:p>
        </w:tc>
        <w:tc>
          <w:tcPr>
            <w:tcW w:w="485" w:type="pct"/>
            <w:tcBorders>
              <w:top w:val="nil"/>
              <w:left w:val="nil"/>
              <w:bottom w:val="nil"/>
              <w:right w:val="nil"/>
            </w:tcBorders>
            <w:hideMark/>
          </w:tcPr>
          <w:p w14:paraId="5088FD3F"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1.9E-09</w:t>
            </w:r>
          </w:p>
        </w:tc>
        <w:tc>
          <w:tcPr>
            <w:tcW w:w="485" w:type="pct"/>
            <w:tcBorders>
              <w:top w:val="nil"/>
              <w:left w:val="nil"/>
              <w:bottom w:val="nil"/>
              <w:right w:val="nil"/>
            </w:tcBorders>
            <w:hideMark/>
          </w:tcPr>
          <w:p w14:paraId="3268493B"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1.5E-09</w:t>
            </w:r>
          </w:p>
        </w:tc>
        <w:tc>
          <w:tcPr>
            <w:tcW w:w="486" w:type="pct"/>
            <w:tcBorders>
              <w:top w:val="nil"/>
              <w:left w:val="nil"/>
              <w:bottom w:val="nil"/>
              <w:right w:val="nil"/>
            </w:tcBorders>
            <w:hideMark/>
          </w:tcPr>
          <w:p w14:paraId="65CE3320"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1.4E-09</w:t>
            </w:r>
          </w:p>
        </w:tc>
      </w:tr>
      <w:tr w:rsidR="00D36248" w:rsidRPr="00972C81" w14:paraId="118098A2" w14:textId="77777777" w:rsidTr="00016E17">
        <w:trPr>
          <w:trHeight w:val="340"/>
        </w:trPr>
        <w:tc>
          <w:tcPr>
            <w:tcW w:w="2087" w:type="pct"/>
            <w:tcBorders>
              <w:top w:val="nil"/>
              <w:left w:val="nil"/>
              <w:bottom w:val="single" w:sz="4" w:space="0" w:color="auto"/>
              <w:right w:val="nil"/>
            </w:tcBorders>
            <w:hideMark/>
          </w:tcPr>
          <w:p w14:paraId="477B786D" w14:textId="77777777" w:rsidR="00D36248" w:rsidRPr="00C47F2F" w:rsidRDefault="00D36248" w:rsidP="00016E17">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485" w:type="pct"/>
            <w:tcBorders>
              <w:top w:val="nil"/>
              <w:left w:val="nil"/>
              <w:bottom w:val="single" w:sz="4" w:space="0" w:color="auto"/>
              <w:right w:val="nil"/>
            </w:tcBorders>
            <w:hideMark/>
          </w:tcPr>
          <w:p w14:paraId="66C7D273"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8.5E-09</w:t>
            </w:r>
          </w:p>
        </w:tc>
        <w:tc>
          <w:tcPr>
            <w:tcW w:w="485" w:type="pct"/>
            <w:tcBorders>
              <w:top w:val="nil"/>
              <w:left w:val="nil"/>
              <w:bottom w:val="single" w:sz="4" w:space="0" w:color="auto"/>
              <w:right w:val="nil"/>
            </w:tcBorders>
            <w:hideMark/>
          </w:tcPr>
          <w:p w14:paraId="1AE1725A"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7.6E-09</w:t>
            </w:r>
          </w:p>
        </w:tc>
        <w:tc>
          <w:tcPr>
            <w:tcW w:w="485" w:type="pct"/>
            <w:tcBorders>
              <w:top w:val="nil"/>
              <w:left w:val="nil"/>
              <w:bottom w:val="single" w:sz="4" w:space="0" w:color="auto"/>
              <w:right w:val="nil"/>
            </w:tcBorders>
            <w:hideMark/>
          </w:tcPr>
          <w:p w14:paraId="55ECA1BD"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4.4E-09</w:t>
            </w:r>
          </w:p>
        </w:tc>
        <w:tc>
          <w:tcPr>
            <w:tcW w:w="485" w:type="pct"/>
            <w:tcBorders>
              <w:top w:val="nil"/>
              <w:left w:val="nil"/>
              <w:bottom w:val="single" w:sz="4" w:space="0" w:color="auto"/>
              <w:right w:val="nil"/>
            </w:tcBorders>
            <w:hideMark/>
          </w:tcPr>
          <w:p w14:paraId="7205AE97"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2.9E-09</w:t>
            </w:r>
          </w:p>
        </w:tc>
        <w:tc>
          <w:tcPr>
            <w:tcW w:w="485" w:type="pct"/>
            <w:tcBorders>
              <w:top w:val="nil"/>
              <w:left w:val="nil"/>
              <w:bottom w:val="single" w:sz="4" w:space="0" w:color="auto"/>
              <w:right w:val="nil"/>
            </w:tcBorders>
            <w:hideMark/>
          </w:tcPr>
          <w:p w14:paraId="5F07DC60"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2.2E-09</w:t>
            </w:r>
          </w:p>
        </w:tc>
        <w:tc>
          <w:tcPr>
            <w:tcW w:w="486" w:type="pct"/>
            <w:tcBorders>
              <w:top w:val="nil"/>
              <w:left w:val="nil"/>
              <w:bottom w:val="single" w:sz="4" w:space="0" w:color="auto"/>
              <w:right w:val="nil"/>
            </w:tcBorders>
            <w:hideMark/>
          </w:tcPr>
          <w:p w14:paraId="4B9E4317"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2.3E-09</w:t>
            </w:r>
          </w:p>
        </w:tc>
      </w:tr>
      <w:tr w:rsidR="00D36248" w:rsidRPr="00972C81" w14:paraId="656A150E" w14:textId="77777777" w:rsidTr="00016E17">
        <w:trPr>
          <w:trHeight w:val="340"/>
        </w:trPr>
        <w:tc>
          <w:tcPr>
            <w:tcW w:w="2087" w:type="pct"/>
            <w:tcBorders>
              <w:top w:val="single" w:sz="4" w:space="0" w:color="auto"/>
              <w:left w:val="nil"/>
              <w:bottom w:val="single" w:sz="4" w:space="0" w:color="auto"/>
              <w:right w:val="nil"/>
            </w:tcBorders>
          </w:tcPr>
          <w:p w14:paraId="0D6C3913" w14:textId="77777777" w:rsidR="00D36248" w:rsidRPr="00C47F2F" w:rsidRDefault="00D36248" w:rsidP="00C47F2F">
            <w:pPr>
              <w:jc w:val="left"/>
              <w:rPr>
                <w:rFonts w:eastAsiaTheme="minorHAnsi"/>
                <w:noProof/>
                <w:sz w:val="22"/>
                <w:szCs w:val="22"/>
              </w:rPr>
            </w:pPr>
          </w:p>
          <w:p w14:paraId="0BD6468D" w14:textId="77777777" w:rsidR="00D36248" w:rsidRPr="00C47F2F" w:rsidRDefault="00D36248"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365D4EFD"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4AC097E"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6F4E87C"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C87C25A"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F37C05A" w14:textId="77777777" w:rsidR="00D36248" w:rsidRPr="00C47F2F" w:rsidRDefault="00D36248"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58DB0560" w14:textId="77777777" w:rsidR="00D36248" w:rsidRPr="00C47F2F" w:rsidRDefault="00D36248" w:rsidP="00C47F2F">
            <w:pPr>
              <w:jc w:val="left"/>
              <w:rPr>
                <w:rFonts w:eastAsia="Times New Roman"/>
                <w:noProof/>
                <w:color w:val="000000"/>
                <w:sz w:val="22"/>
                <w:szCs w:val="22"/>
              </w:rPr>
            </w:pPr>
          </w:p>
        </w:tc>
      </w:tr>
      <w:tr w:rsidR="00D36248" w:rsidRPr="00972C81" w14:paraId="727EC4B3" w14:textId="77777777" w:rsidTr="00016E17">
        <w:trPr>
          <w:trHeight w:val="340"/>
        </w:trPr>
        <w:tc>
          <w:tcPr>
            <w:tcW w:w="2087" w:type="pct"/>
            <w:tcBorders>
              <w:top w:val="single" w:sz="4" w:space="0" w:color="auto"/>
              <w:left w:val="nil"/>
              <w:bottom w:val="single" w:sz="4" w:space="0" w:color="auto"/>
              <w:right w:val="nil"/>
            </w:tcBorders>
            <w:vAlign w:val="center"/>
            <w:hideMark/>
          </w:tcPr>
          <w:p w14:paraId="31B6AA7B" w14:textId="6CBD9320" w:rsidR="00D36248" w:rsidRPr="00C47F2F" w:rsidRDefault="00D36248" w:rsidP="00016E17">
            <w:pPr>
              <w:jc w:val="left"/>
              <w:rPr>
                <w:rFonts w:eastAsiaTheme="minorHAnsi"/>
                <w:noProof/>
                <w:sz w:val="22"/>
                <w:szCs w:val="22"/>
              </w:rPr>
            </w:pPr>
            <w:r w:rsidRPr="00C47F2F">
              <w:rPr>
                <w:rFonts w:eastAsia="Times New Roman"/>
                <w:noProof/>
                <w:color w:val="000000"/>
                <w:sz w:val="22"/>
                <w:szCs w:val="22"/>
                <w:lang w:eastAsia="en-GB"/>
              </w:rPr>
              <w:t>All compounds</w:t>
            </w:r>
          </w:p>
        </w:tc>
        <w:tc>
          <w:tcPr>
            <w:tcW w:w="485" w:type="pct"/>
            <w:tcBorders>
              <w:top w:val="single" w:sz="4" w:space="0" w:color="auto"/>
              <w:left w:val="nil"/>
              <w:bottom w:val="single" w:sz="4" w:space="0" w:color="auto"/>
              <w:right w:val="nil"/>
            </w:tcBorders>
            <w:vAlign w:val="center"/>
            <w:hideMark/>
          </w:tcPr>
          <w:p w14:paraId="47B6F5D8"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6.5E-10</w:t>
            </w:r>
          </w:p>
        </w:tc>
        <w:tc>
          <w:tcPr>
            <w:tcW w:w="485" w:type="pct"/>
            <w:tcBorders>
              <w:top w:val="single" w:sz="4" w:space="0" w:color="auto"/>
              <w:left w:val="nil"/>
              <w:bottom w:val="single" w:sz="4" w:space="0" w:color="auto"/>
              <w:right w:val="nil"/>
            </w:tcBorders>
            <w:vAlign w:val="center"/>
            <w:hideMark/>
          </w:tcPr>
          <w:p w14:paraId="51022C0B"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2.7E-10</w:t>
            </w:r>
          </w:p>
        </w:tc>
        <w:tc>
          <w:tcPr>
            <w:tcW w:w="485" w:type="pct"/>
            <w:tcBorders>
              <w:top w:val="single" w:sz="4" w:space="0" w:color="auto"/>
              <w:left w:val="nil"/>
              <w:bottom w:val="single" w:sz="4" w:space="0" w:color="auto"/>
              <w:right w:val="nil"/>
            </w:tcBorders>
            <w:vAlign w:val="center"/>
            <w:hideMark/>
          </w:tcPr>
          <w:p w14:paraId="5B609443"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1.5E-10</w:t>
            </w:r>
          </w:p>
        </w:tc>
        <w:tc>
          <w:tcPr>
            <w:tcW w:w="485" w:type="pct"/>
            <w:tcBorders>
              <w:top w:val="single" w:sz="4" w:space="0" w:color="auto"/>
              <w:left w:val="nil"/>
              <w:bottom w:val="single" w:sz="4" w:space="0" w:color="auto"/>
              <w:right w:val="nil"/>
            </w:tcBorders>
            <w:vAlign w:val="center"/>
            <w:hideMark/>
          </w:tcPr>
          <w:p w14:paraId="2324A842"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1.0E-10</w:t>
            </w:r>
          </w:p>
        </w:tc>
        <w:tc>
          <w:tcPr>
            <w:tcW w:w="485" w:type="pct"/>
            <w:tcBorders>
              <w:top w:val="single" w:sz="4" w:space="0" w:color="auto"/>
              <w:left w:val="nil"/>
              <w:bottom w:val="single" w:sz="4" w:space="0" w:color="auto"/>
              <w:right w:val="nil"/>
            </w:tcBorders>
            <w:vAlign w:val="center"/>
            <w:hideMark/>
          </w:tcPr>
          <w:p w14:paraId="50579E41"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7.1E-11</w:t>
            </w:r>
          </w:p>
        </w:tc>
        <w:tc>
          <w:tcPr>
            <w:tcW w:w="486" w:type="pct"/>
            <w:tcBorders>
              <w:top w:val="single" w:sz="4" w:space="0" w:color="auto"/>
              <w:left w:val="nil"/>
              <w:bottom w:val="single" w:sz="4" w:space="0" w:color="auto"/>
              <w:right w:val="nil"/>
            </w:tcBorders>
            <w:vAlign w:val="center"/>
            <w:hideMark/>
          </w:tcPr>
          <w:p w14:paraId="4C5EF8E2" w14:textId="77777777" w:rsidR="00D36248" w:rsidRPr="00C47F2F" w:rsidRDefault="00D36248" w:rsidP="00016E17">
            <w:pPr>
              <w:jc w:val="left"/>
              <w:rPr>
                <w:rFonts w:eastAsia="Times New Roman"/>
                <w:noProof/>
                <w:color w:val="000000"/>
                <w:sz w:val="22"/>
                <w:szCs w:val="22"/>
              </w:rPr>
            </w:pPr>
            <w:r w:rsidRPr="00C47F2F">
              <w:rPr>
                <w:rFonts w:eastAsia="Times New Roman"/>
                <w:noProof/>
                <w:color w:val="000000"/>
                <w:sz w:val="22"/>
                <w:szCs w:val="22"/>
              </w:rPr>
              <w:t>7.0E-11</w:t>
            </w:r>
          </w:p>
        </w:tc>
      </w:tr>
    </w:tbl>
    <w:p w14:paraId="5A0174AE" w14:textId="674FDE4A" w:rsidR="00F73182" w:rsidRPr="00972C81" w:rsidRDefault="00F73182">
      <w:pPr>
        <w:widowControl/>
        <w:jc w:val="left"/>
        <w:rPr>
          <w:noProof/>
        </w:rPr>
      </w:pPr>
      <w:r w:rsidRPr="00972C81">
        <w:rPr>
          <w:noProof/>
        </w:rPr>
        <w:br w:type="page"/>
      </w:r>
    </w:p>
    <w:p w14:paraId="65828152" w14:textId="77777777" w:rsidR="007D1F4D" w:rsidRPr="00972C81" w:rsidRDefault="00DC407D" w:rsidP="00E81109">
      <w:pPr>
        <w:pStyle w:val="1"/>
        <w:rPr>
          <w:noProof/>
        </w:rPr>
      </w:pPr>
      <w:bookmarkStart w:id="151" w:name="_Toc455492610"/>
      <w:bookmarkStart w:id="152" w:name="_Toc455493039"/>
      <w:bookmarkStart w:id="153" w:name="_Toc162630031"/>
      <w:r w:rsidRPr="00972C81">
        <w:rPr>
          <w:noProof/>
        </w:rPr>
        <w:lastRenderedPageBreak/>
        <w:t>Terbium (Z = 65)</w:t>
      </w:r>
      <w:bookmarkEnd w:id="151"/>
      <w:bookmarkEnd w:id="152"/>
      <w:bookmarkEnd w:id="153"/>
    </w:p>
    <w:p w14:paraId="7A666F92" w14:textId="5CEFD6C1" w:rsidR="000B33B9" w:rsidRPr="00972C81" w:rsidRDefault="000B33B9" w:rsidP="00E81109">
      <w:pPr>
        <w:pStyle w:val="2"/>
        <w:rPr>
          <w:noProof/>
          <w:lang w:val="en-GB"/>
        </w:rPr>
      </w:pPr>
      <w:bookmarkStart w:id="154" w:name="_Toc17467843"/>
      <w:bookmarkStart w:id="155" w:name="_Toc455492612"/>
      <w:bookmarkStart w:id="156" w:name="_Toc455493041"/>
      <w:bookmarkStart w:id="157" w:name="_Toc162630032"/>
      <w:bookmarkEnd w:id="154"/>
      <w:r w:rsidRPr="00972C81">
        <w:rPr>
          <w:noProof/>
          <w:lang w:val="en-GB"/>
        </w:rPr>
        <w:t>Routes of Intake</w:t>
      </w:r>
      <w:bookmarkEnd w:id="155"/>
      <w:bookmarkEnd w:id="156"/>
      <w:bookmarkEnd w:id="157"/>
    </w:p>
    <w:p w14:paraId="2E9C4AE0" w14:textId="77777777" w:rsidR="000B33B9" w:rsidRPr="00972C81" w:rsidRDefault="000B33B9" w:rsidP="00E81109">
      <w:pPr>
        <w:pStyle w:val="3"/>
        <w:rPr>
          <w:noProof/>
        </w:rPr>
      </w:pPr>
      <w:bookmarkStart w:id="158" w:name="_Toc162630033"/>
      <w:r w:rsidRPr="00972C81">
        <w:rPr>
          <w:noProof/>
        </w:rPr>
        <w:t>Inhalation</w:t>
      </w:r>
      <w:bookmarkEnd w:id="158"/>
    </w:p>
    <w:p w14:paraId="100C6A14" w14:textId="15089B97" w:rsidR="000B33B9" w:rsidRPr="00972C81" w:rsidRDefault="008225D3" w:rsidP="001C4A92">
      <w:pPr>
        <w:pStyle w:val="Annalstext"/>
        <w:rPr>
          <w:noProof/>
        </w:rPr>
      </w:pPr>
      <w:r w:rsidRPr="00972C81">
        <w:rPr>
          <w:noProof/>
        </w:rPr>
        <w:t>I</w:t>
      </w:r>
      <w:r w:rsidR="000B33B9" w:rsidRPr="00972C81">
        <w:rPr>
          <w:noProof/>
        </w:rPr>
        <w:t xml:space="preserve">nformation on absorption from the respiratory tract is available from experimental studies of terbium as oxide, including one volunteer experiment. </w:t>
      </w:r>
      <w:r w:rsidRPr="00972C81">
        <w:rPr>
          <w:noProof/>
        </w:rPr>
        <w:t xml:space="preserve">For details see Section 11 of </w:t>
      </w:r>
      <w:r w:rsidR="00F73182" w:rsidRPr="00972C81">
        <w:rPr>
          <w:i/>
          <w:noProof/>
        </w:rPr>
        <w:t>Publication 141</w:t>
      </w:r>
      <w:r w:rsidR="00F73182" w:rsidRPr="00972C81">
        <w:rPr>
          <w:noProof/>
        </w:rPr>
        <w:t xml:space="preserve"> </w:t>
      </w:r>
      <w:r w:rsidR="00FB3F13" w:rsidRPr="00972C81">
        <w:rPr>
          <w:noProof/>
        </w:rPr>
        <w:fldChar w:fldCharType="begin"/>
      </w:r>
      <w:r w:rsidR="00FB3F13" w:rsidRPr="00972C81">
        <w:rPr>
          <w:noProof/>
        </w:rPr>
        <w:instrText xml:space="preserve"> ADDIN ZOTERO_ITEM CSL_CITATION {"citationID":"coK9MuBH","properties":{"formattedCitation":"(ICRP,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FB3F13" w:rsidRPr="00972C81">
        <w:rPr>
          <w:noProof/>
        </w:rPr>
        <w:fldChar w:fldCharType="separate"/>
      </w:r>
      <w:r w:rsidR="00BC59C6" w:rsidRPr="00972C81">
        <w:rPr>
          <w:noProof/>
        </w:rPr>
        <w:t>(ICRP, 2019)</w:t>
      </w:r>
      <w:r w:rsidR="00FB3F13" w:rsidRPr="00972C81">
        <w:rPr>
          <w:noProof/>
        </w:rPr>
        <w:fldChar w:fldCharType="end"/>
      </w:r>
      <w:r w:rsidRPr="00972C81">
        <w:rPr>
          <w:noProof/>
        </w:rPr>
        <w:t>. A</w:t>
      </w:r>
      <w:r w:rsidR="000B33B9" w:rsidRPr="00972C81">
        <w:rPr>
          <w:noProof/>
        </w:rPr>
        <w:t xml:space="preserve">bsorption parameter values based on cerium are applied in this document to the other lanthanides. Absorption parameter values and Types, and associated </w:t>
      </w:r>
      <w:r w:rsidR="000B33B9" w:rsidRPr="00972C81">
        <w:rPr>
          <w:i/>
          <w:noProof/>
        </w:rPr>
        <w:t>f</w:t>
      </w:r>
      <w:r w:rsidR="00DC407D" w:rsidRPr="00972C81">
        <w:rPr>
          <w:noProof/>
          <w:vertAlign w:val="subscript"/>
        </w:rPr>
        <w:t>A</w:t>
      </w:r>
      <w:r w:rsidR="00DC407D" w:rsidRPr="00972C81">
        <w:rPr>
          <w:noProof/>
        </w:rPr>
        <w:t xml:space="preserve"> values for particulate forms of lanthanides, including terbium, are given in </w:t>
      </w:r>
      <w:r w:rsidR="00B94D6D" w:rsidRPr="00972C81">
        <w:rPr>
          <w:noProof/>
        </w:rPr>
        <w:fldChar w:fldCharType="begin"/>
      </w:r>
      <w:r w:rsidR="00B94D6D" w:rsidRPr="00972C81">
        <w:rPr>
          <w:noProof/>
        </w:rPr>
        <w:instrText xml:space="preserve"> REF _Ref417994983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1</w:t>
      </w:r>
      <w:r w:rsidR="00B94D6D" w:rsidRPr="00972C81">
        <w:rPr>
          <w:noProof/>
        </w:rPr>
        <w:fldChar w:fldCharType="end"/>
      </w:r>
      <w:r w:rsidR="00B94D6D" w:rsidRPr="00972C81">
        <w:rPr>
          <w:noProof/>
        </w:rPr>
        <w:t xml:space="preserve"> and </w:t>
      </w:r>
      <w:r w:rsidR="00B94D6D" w:rsidRPr="00972C81">
        <w:rPr>
          <w:noProof/>
        </w:rPr>
        <w:fldChar w:fldCharType="begin"/>
      </w:r>
      <w:r w:rsidR="00B94D6D" w:rsidRPr="00972C81">
        <w:rPr>
          <w:noProof/>
        </w:rPr>
        <w:instrText xml:space="preserve"> REF _Ref141784472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B94D6D" w:rsidRPr="00972C81">
        <w:rPr>
          <w:noProof/>
        </w:rPr>
        <w:fldChar w:fldCharType="end"/>
      </w:r>
      <w:r w:rsidR="00B94D6D" w:rsidRPr="00972C81">
        <w:rPr>
          <w:noProof/>
        </w:rPr>
        <w:t xml:space="preserve"> </w:t>
      </w:r>
      <w:r w:rsidR="000B33B9" w:rsidRPr="00972C81">
        <w:rPr>
          <w:noProof/>
        </w:rPr>
        <w:t xml:space="preserve">of the </w:t>
      </w:r>
      <w:r w:rsidRPr="00972C81">
        <w:rPr>
          <w:noProof/>
        </w:rPr>
        <w:t>lanthanum S</w:t>
      </w:r>
      <w:r w:rsidR="000B33B9" w:rsidRPr="00972C81">
        <w:rPr>
          <w:noProof/>
        </w:rPr>
        <w:t xml:space="preserve">ection. </w:t>
      </w:r>
    </w:p>
    <w:p w14:paraId="18DC388B" w14:textId="77777777" w:rsidR="00AE7A83" w:rsidRPr="00972C81" w:rsidRDefault="00DC407D" w:rsidP="00E81109">
      <w:pPr>
        <w:pStyle w:val="3"/>
        <w:rPr>
          <w:noProof/>
        </w:rPr>
      </w:pPr>
      <w:bookmarkStart w:id="159" w:name="_Toc162630034"/>
      <w:r w:rsidRPr="00972C81">
        <w:rPr>
          <w:noProof/>
        </w:rPr>
        <w:t>Ingestion</w:t>
      </w:r>
      <w:bookmarkEnd w:id="159"/>
    </w:p>
    <w:p w14:paraId="5371F4F3" w14:textId="184D8AE4" w:rsidR="00955FB3" w:rsidRPr="00972C81" w:rsidRDefault="00DC407D" w:rsidP="001C4A92">
      <w:pPr>
        <w:pStyle w:val="Annalstext"/>
        <w:rPr>
          <w:noProof/>
        </w:rPr>
      </w:pPr>
      <w:r w:rsidRPr="00972C81">
        <w:rPr>
          <w:i/>
          <w:noProof/>
        </w:rPr>
        <w:t>Adults</w:t>
      </w:r>
      <w:r w:rsidR="00955FB3" w:rsidRPr="00972C81">
        <w:rPr>
          <w:noProof/>
        </w:rPr>
        <w:t xml:space="preserve">. In Section 2 of </w:t>
      </w:r>
      <w:r w:rsidR="00F73182" w:rsidRPr="00972C81">
        <w:rPr>
          <w:i/>
          <w:noProof/>
        </w:rPr>
        <w:t>Publication 141</w:t>
      </w:r>
      <w:r w:rsidR="00F73182" w:rsidRPr="00972C81">
        <w:rPr>
          <w:noProof/>
        </w:rPr>
        <w:t xml:space="preserve"> </w:t>
      </w:r>
      <w:r w:rsidR="00FB3F13" w:rsidRPr="00972C81">
        <w:rPr>
          <w:noProof/>
        </w:rPr>
        <w:fldChar w:fldCharType="begin"/>
      </w:r>
      <w:r w:rsidR="00FB3F13" w:rsidRPr="00972C81">
        <w:rPr>
          <w:noProof/>
        </w:rPr>
        <w:instrText xml:space="preserve"> ADDIN ZOTERO_ITEM CSL_CITATION {"citationID":"EpUICJtH","properties":{"formattedCitation":"(ICRP,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FB3F13" w:rsidRPr="00972C81">
        <w:rPr>
          <w:noProof/>
        </w:rPr>
        <w:fldChar w:fldCharType="separate"/>
      </w:r>
      <w:r w:rsidR="00BC59C6" w:rsidRPr="00972C81">
        <w:rPr>
          <w:noProof/>
        </w:rPr>
        <w:t>(ICRP, 2019)</w:t>
      </w:r>
      <w:r w:rsidR="00FB3F13" w:rsidRPr="00972C81">
        <w:rPr>
          <w:noProof/>
        </w:rPr>
        <w:fldChar w:fldCharType="end"/>
      </w:r>
      <w:r w:rsidR="00955FB3" w:rsidRPr="00972C81">
        <w:rPr>
          <w:noProof/>
        </w:rPr>
        <w:t xml:space="preserve"> information relating to the gastrointestinal absorption of different lanthanide elements was compared. Their fractional absorption was found to be below 10</w:t>
      </w:r>
      <w:r w:rsidRPr="00972C81">
        <w:rPr>
          <w:noProof/>
          <w:vertAlign w:val="superscript"/>
        </w:rPr>
        <w:t>-3</w:t>
      </w:r>
      <w:r w:rsidR="00955FB3" w:rsidRPr="00972C81">
        <w:rPr>
          <w:noProof/>
        </w:rPr>
        <w:t xml:space="preserve"> in most cases and a </w:t>
      </w:r>
      <w:r w:rsidRPr="00972C81">
        <w:rPr>
          <w:i/>
          <w:noProof/>
        </w:rPr>
        <w:t>f</w:t>
      </w:r>
      <w:r w:rsidRPr="00972C81">
        <w:rPr>
          <w:noProof/>
          <w:vertAlign w:val="subscript"/>
        </w:rPr>
        <w:t>A</w:t>
      </w:r>
      <w:r w:rsidR="00955FB3" w:rsidRPr="00972C81">
        <w:rPr>
          <w:noProof/>
        </w:rPr>
        <w:t xml:space="preserve"> value 5</w:t>
      </w:r>
      <w:r w:rsidR="00067025" w:rsidRPr="00972C81">
        <w:rPr>
          <w:noProof/>
        </w:rPr>
        <w:t xml:space="preserve"> × </w:t>
      </w:r>
      <w:r w:rsidR="00955FB3" w:rsidRPr="00972C81">
        <w:rPr>
          <w:noProof/>
        </w:rPr>
        <w:t>10</w:t>
      </w:r>
      <w:r w:rsidRPr="00972C81">
        <w:rPr>
          <w:noProof/>
          <w:vertAlign w:val="superscript"/>
        </w:rPr>
        <w:t>–4</w:t>
      </w:r>
      <w:r w:rsidR="00955FB3" w:rsidRPr="00972C81">
        <w:rPr>
          <w:noProof/>
        </w:rPr>
        <w:t xml:space="preserve"> was adopted for all lanthanides as a reasonably representative value based on experimental results. For terbium, Section 11 of </w:t>
      </w:r>
      <w:r w:rsidR="00F73182" w:rsidRPr="00972C81">
        <w:rPr>
          <w:i/>
          <w:noProof/>
        </w:rPr>
        <w:t>Publication 141</w:t>
      </w:r>
      <w:r w:rsidR="00FB3F13" w:rsidRPr="00972C81">
        <w:rPr>
          <w:noProof/>
        </w:rPr>
        <w:t xml:space="preserve"> </w:t>
      </w:r>
      <w:r w:rsidR="00955FB3" w:rsidRPr="00972C81">
        <w:rPr>
          <w:noProof/>
        </w:rPr>
        <w:t>reported results of animal studies showing fractional absorption to be less than 10</w:t>
      </w:r>
      <w:r w:rsidRPr="00972C81">
        <w:rPr>
          <w:noProof/>
          <w:vertAlign w:val="superscript"/>
        </w:rPr>
        <w:t>-3</w:t>
      </w:r>
      <w:r w:rsidR="00955FB3" w:rsidRPr="00972C81">
        <w:rPr>
          <w:noProof/>
        </w:rPr>
        <w:t xml:space="preserve">. The value of </w:t>
      </w:r>
      <w:r w:rsidRPr="00972C81">
        <w:rPr>
          <w:i/>
          <w:noProof/>
        </w:rPr>
        <w:t>f</w:t>
      </w:r>
      <w:r w:rsidRPr="00972C81">
        <w:rPr>
          <w:noProof/>
          <w:vertAlign w:val="subscript"/>
        </w:rPr>
        <w:t>A</w:t>
      </w:r>
      <w:r w:rsidR="00955FB3" w:rsidRPr="00972C81">
        <w:rPr>
          <w:noProof/>
        </w:rPr>
        <w:t xml:space="preserve"> = 5</w:t>
      </w:r>
      <w:r w:rsidR="00067025" w:rsidRPr="00972C81">
        <w:rPr>
          <w:noProof/>
        </w:rPr>
        <w:t xml:space="preserve"> × </w:t>
      </w:r>
      <w:r w:rsidR="00955FB3" w:rsidRPr="00972C81">
        <w:rPr>
          <w:noProof/>
        </w:rPr>
        <w:t>10</w:t>
      </w:r>
      <w:r w:rsidRPr="00972C81">
        <w:rPr>
          <w:noProof/>
          <w:vertAlign w:val="superscript"/>
        </w:rPr>
        <w:t>–4</w:t>
      </w:r>
      <w:r w:rsidR="00955FB3" w:rsidRPr="00972C81">
        <w:rPr>
          <w:noProof/>
        </w:rPr>
        <w:t xml:space="preserve"> is adopted here for intakes of terbium by adult members of the public.</w:t>
      </w:r>
    </w:p>
    <w:p w14:paraId="01630DC4" w14:textId="594FA71F" w:rsidR="00593D1F" w:rsidRPr="00972C81" w:rsidRDefault="00DC407D" w:rsidP="001C4A92">
      <w:pPr>
        <w:pStyle w:val="Annalstext"/>
        <w:rPr>
          <w:noProof/>
        </w:rPr>
      </w:pPr>
      <w:r w:rsidRPr="00972C81">
        <w:rPr>
          <w:i/>
          <w:noProof/>
        </w:rPr>
        <w:t>Children</w:t>
      </w:r>
      <w:r w:rsidR="00955FB3" w:rsidRPr="00972C81">
        <w:rPr>
          <w:noProof/>
        </w:rPr>
        <w:t xml:space="preserve">. The age-dependency of terbium absorption was not observed. On the basis of the chemical analogy with cerium, the same values of </w:t>
      </w:r>
      <w:r w:rsidRPr="00972C81">
        <w:rPr>
          <w:i/>
          <w:noProof/>
        </w:rPr>
        <w:t>f</w:t>
      </w:r>
      <w:r w:rsidRPr="00972C81">
        <w:rPr>
          <w:noProof/>
          <w:vertAlign w:val="subscript"/>
        </w:rPr>
        <w:t>A</w:t>
      </w:r>
      <w:r w:rsidR="00955FB3" w:rsidRPr="00972C81">
        <w:rPr>
          <w:noProof/>
        </w:rPr>
        <w:t xml:space="preserve"> = 5</w:t>
      </w:r>
      <w:r w:rsidR="00067025" w:rsidRPr="00972C81">
        <w:rPr>
          <w:noProof/>
        </w:rPr>
        <w:t xml:space="preserve"> × </w:t>
      </w:r>
      <w:r w:rsidR="00955FB3" w:rsidRPr="00972C81">
        <w:rPr>
          <w:noProof/>
        </w:rPr>
        <w:t>10</w:t>
      </w:r>
      <w:r w:rsidRPr="00972C81">
        <w:rPr>
          <w:noProof/>
          <w:vertAlign w:val="superscript"/>
        </w:rPr>
        <w:t>-3</w:t>
      </w:r>
      <w:r w:rsidR="00955FB3" w:rsidRPr="00972C81">
        <w:rPr>
          <w:noProof/>
        </w:rPr>
        <w:t xml:space="preserve"> for 3-month-old infants and 5</w:t>
      </w:r>
      <w:r w:rsidR="00067025" w:rsidRPr="00972C81">
        <w:rPr>
          <w:noProof/>
        </w:rPr>
        <w:t xml:space="preserve"> × </w:t>
      </w:r>
      <w:r w:rsidR="00955FB3" w:rsidRPr="00972C81">
        <w:rPr>
          <w:noProof/>
        </w:rPr>
        <w:t>10</w:t>
      </w:r>
      <w:r w:rsidRPr="00972C81">
        <w:rPr>
          <w:noProof/>
          <w:vertAlign w:val="superscript"/>
        </w:rPr>
        <w:t>-4</w:t>
      </w:r>
      <w:r w:rsidR="00955FB3" w:rsidRPr="00972C81">
        <w:rPr>
          <w:noProof/>
        </w:rPr>
        <w:t xml:space="preserve"> for children of 1 year and older are adopted here for terbium.</w:t>
      </w:r>
    </w:p>
    <w:p w14:paraId="24F4E74E" w14:textId="77777777" w:rsidR="00AE7A83" w:rsidRPr="00972C81" w:rsidRDefault="00AE7A83" w:rsidP="00E81109">
      <w:pPr>
        <w:pStyle w:val="3"/>
        <w:rPr>
          <w:noProof/>
        </w:rPr>
      </w:pPr>
      <w:bookmarkStart w:id="160" w:name="_Toc162630035"/>
      <w:r w:rsidRPr="00972C81">
        <w:rPr>
          <w:noProof/>
        </w:rPr>
        <w:t>Systemic Distribution, Retention and Excretion</w:t>
      </w:r>
      <w:bookmarkEnd w:id="160"/>
    </w:p>
    <w:p w14:paraId="5BEBAD3B" w14:textId="77777777" w:rsidR="00136840" w:rsidRPr="00972C81" w:rsidRDefault="00136840" w:rsidP="006703A2">
      <w:pPr>
        <w:pStyle w:val="OIRTitre4"/>
      </w:pPr>
      <w:r w:rsidRPr="00972C81">
        <w:t>Summary of biokinetic data</w:t>
      </w:r>
    </w:p>
    <w:p w14:paraId="7B6188B2" w14:textId="2AF1A17D" w:rsidR="00136840" w:rsidRPr="00972C81" w:rsidRDefault="00136840" w:rsidP="001C4A92">
      <w:pPr>
        <w:pStyle w:val="Annalstext"/>
        <w:rPr>
          <w:rFonts w:eastAsia="Times New Roman"/>
          <w:noProof/>
          <w:lang w:eastAsia="fr-FR"/>
        </w:rPr>
      </w:pPr>
      <w:r w:rsidRPr="00972C81">
        <w:rPr>
          <w:rFonts w:eastAsia="Times New Roman"/>
          <w:noProof/>
          <w:lang w:eastAsia="fr-FR"/>
        </w:rPr>
        <w:t xml:space="preserve">The lanthanides </w:t>
      </w:r>
      <w:bookmarkStart w:id="161" w:name="_Hlk494975402"/>
      <w:r w:rsidRPr="00972C81">
        <w:rPr>
          <w:rFonts w:eastAsia="Times New Roman"/>
          <w:noProof/>
        </w:rPr>
        <w:t>terbium, dysprosium, holmium, erbium, thulium, ytterbium, and lutetium</w:t>
      </w:r>
      <w:bookmarkEnd w:id="161"/>
      <w:r w:rsidRPr="00972C81">
        <w:rPr>
          <w:rFonts w:eastAsia="Times New Roman"/>
          <w:noProof/>
          <w:lang w:eastAsia="fr-FR"/>
        </w:rPr>
        <w:t xml:space="preserve"> showed similar biokinetics in rats </w:t>
      </w:r>
      <w:r w:rsidR="00FB3F13" w:rsidRPr="00972C81">
        <w:rPr>
          <w:rFonts w:eastAsia="Times New Roman"/>
          <w:noProof/>
          <w:lang w:eastAsia="fr-FR"/>
        </w:rPr>
        <w:fldChar w:fldCharType="begin"/>
      </w:r>
      <w:r w:rsidR="00612860" w:rsidRPr="00972C81">
        <w:rPr>
          <w:rFonts w:eastAsia="Times New Roman"/>
          <w:noProof/>
          <w:lang w:eastAsia="fr-FR"/>
        </w:rPr>
        <w:instrText xml:space="preserve"> ADDIN ZOTERO_ITEM CSL_CITATION {"citationID":"AB6VJT6c","properties":{"formattedCitation":"(Ando et al., 1989; Durbin, 1959, 1962; Moskalev et al., 1974)","plainCitation":"(Ando et al., 1989; Durbin, 1959, 1962; Moskalev et al., 1974)","noteIndex":0},"citationItems":[{"id":2345,"uris":["http://zotero.org/groups/2470620/items/G9C65MS5"],"itemData":{"id":2345,"type":"article-journal","archive":"Scopus","container-title":"International Journal of Radiation Applications and Instrumentation.","DOI":"10.1016/0883-2897(89)90216-X","issue":"1","page":"57-80","title":"Relation between the location of elements in the periodic table and various organ-uptake rates","volume":"16","author":[{"family":"Ando","given":"A."},{"family":"Ando","given":"I."},{"family":"Hiraki","given":"T."},{"family":"Hisada","given":"K."}],"issued":{"date-parts":[["1989"]]}}},{"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mammals","volume":"8","author":[{"family":"Durbin","given":"P.W."}],"issued":{"date-parts":[["1962"]]}}},{"id":4757,"uris":["http://zotero.org/groups/2470620/items/GPRMH38F"],"itemData":{"id":4757,"type":"chapter","container-title":"Biological Effects of Radiation from External and Internal Sources. Translated in U.S. Atomic Energy Commission Document AEC-tr-7457","event-place":"Moscow, Russia","publisher":"Medistina","publisher-place":"Moscow, Russia","source":"Google Scholar","title":"Distinctions of distribution in the organism of radioactive isotopes of lanthanide elements","author":[{"family":"Moskalev","given":"Yu I."},{"family":"Zalikin","given":"G. A."},{"family":"Stepanov","given":"V. S."}],"issued":{"date-parts":[["1974"]]}}}],"schema":"https://github.com/citation-style-language/schema/raw/master/csl-citation.json"} </w:instrText>
      </w:r>
      <w:r w:rsidR="00FB3F13" w:rsidRPr="00972C81">
        <w:rPr>
          <w:rFonts w:eastAsia="Times New Roman"/>
          <w:noProof/>
          <w:lang w:eastAsia="fr-FR"/>
        </w:rPr>
        <w:fldChar w:fldCharType="separate"/>
      </w:r>
      <w:r w:rsidR="00BC59C6" w:rsidRPr="00972C81">
        <w:rPr>
          <w:noProof/>
        </w:rPr>
        <w:t>(Ando et al., 1989; Durbin, 1959, 1962; Moskalev et al., 1974)</w:t>
      </w:r>
      <w:r w:rsidR="00FB3F13" w:rsidRPr="00972C81">
        <w:rPr>
          <w:rFonts w:eastAsia="Times New Roman"/>
          <w:noProof/>
          <w:lang w:eastAsia="fr-FR"/>
        </w:rPr>
        <w:fldChar w:fldCharType="end"/>
      </w:r>
      <w:r w:rsidRPr="00972C81">
        <w:rPr>
          <w:rFonts w:eastAsia="Times New Roman"/>
          <w:noProof/>
          <w:lang w:eastAsia="fr-FR"/>
        </w:rPr>
        <w:t>. At day 4 after intramuscular injection about 60% of the activity entering blood was contained in bone and 1</w:t>
      </w:r>
      <w:r w:rsidR="006A4B24" w:rsidRPr="00972C81">
        <w:rPr>
          <w:noProof/>
        </w:rPr>
        <w:t>–</w:t>
      </w:r>
      <w:r w:rsidRPr="00972C81">
        <w:rPr>
          <w:rFonts w:eastAsia="Times New Roman"/>
          <w:noProof/>
          <w:lang w:eastAsia="fr-FR"/>
        </w:rPr>
        <w:t>7% was contained in the liver</w:t>
      </w:r>
      <w:r w:rsidR="00175ACB" w:rsidRPr="00972C81">
        <w:rPr>
          <w:rFonts w:eastAsia="Times New Roman"/>
          <w:noProof/>
          <w:lang w:eastAsia="fr-FR"/>
        </w:rPr>
        <w:t xml:space="preserve"> </w:t>
      </w:r>
      <w:r w:rsidR="00175ACB" w:rsidRPr="00972C81">
        <w:rPr>
          <w:rFonts w:eastAsia="Times New Roman"/>
          <w:noProof/>
          <w:lang w:eastAsia="fr-FR"/>
        </w:rPr>
        <w:fldChar w:fldCharType="begin"/>
      </w:r>
      <w:r w:rsidR="00175ACB" w:rsidRPr="00972C81">
        <w:rPr>
          <w:rFonts w:eastAsia="Times New Roman"/>
          <w:noProof/>
          <w:lang w:eastAsia="fr-FR"/>
        </w:rPr>
        <w:instrText xml:space="preserve"> ADDIN ZOTERO_ITEM CSL_CITATION {"citationID":"y6YPWwWN","properties":{"formattedCitation":"(Durbin, 1959, 1962)","plainCitation":"(Durbin, 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175ACB" w:rsidRPr="00972C81">
        <w:rPr>
          <w:rFonts w:eastAsia="Times New Roman"/>
          <w:noProof/>
          <w:lang w:eastAsia="fr-FR"/>
        </w:rPr>
        <w:fldChar w:fldCharType="separate"/>
      </w:r>
      <w:r w:rsidR="00BC59C6" w:rsidRPr="00972C81">
        <w:rPr>
          <w:noProof/>
        </w:rPr>
        <w:t>(Durbin, 1959, 1962)</w:t>
      </w:r>
      <w:r w:rsidR="00175ACB" w:rsidRPr="00972C81">
        <w:rPr>
          <w:rFonts w:eastAsia="Times New Roman"/>
          <w:noProof/>
          <w:lang w:eastAsia="fr-FR"/>
        </w:rPr>
        <w:fldChar w:fldCharType="end"/>
      </w:r>
      <w:r w:rsidRPr="00972C81">
        <w:rPr>
          <w:rFonts w:eastAsia="Times New Roman"/>
          <w:noProof/>
          <w:lang w:eastAsia="fr-FR"/>
        </w:rPr>
        <w:t>. Cumulative loss in urine and faeces through day 4 amounted to 16</w:t>
      </w:r>
      <w:r w:rsidR="006A4B24" w:rsidRPr="00972C81">
        <w:rPr>
          <w:noProof/>
        </w:rPr>
        <w:t>–</w:t>
      </w:r>
      <w:r w:rsidRPr="00972C81">
        <w:rPr>
          <w:rFonts w:eastAsia="Times New Roman"/>
          <w:noProof/>
          <w:lang w:eastAsia="fr-FR"/>
        </w:rPr>
        <w:t>27% and 5</w:t>
      </w:r>
      <w:r w:rsidR="006A4B24" w:rsidRPr="00972C81">
        <w:rPr>
          <w:noProof/>
        </w:rPr>
        <w:t>–</w:t>
      </w:r>
      <w:r w:rsidRPr="00972C81">
        <w:rPr>
          <w:rFonts w:eastAsia="Times New Roman"/>
          <w:noProof/>
          <w:lang w:eastAsia="fr-FR"/>
        </w:rPr>
        <w:t xml:space="preserve">13%, respectively, of the amount reaching blood </w:t>
      </w:r>
      <w:r w:rsidR="00175ACB" w:rsidRPr="00972C81">
        <w:rPr>
          <w:rFonts w:eastAsia="Times New Roman"/>
          <w:noProof/>
          <w:lang w:eastAsia="fr-FR"/>
        </w:rPr>
        <w:fldChar w:fldCharType="begin"/>
      </w:r>
      <w:r w:rsidR="00175ACB" w:rsidRPr="00972C81">
        <w:rPr>
          <w:rFonts w:eastAsia="Times New Roman"/>
          <w:noProof/>
          <w:lang w:eastAsia="fr-FR"/>
        </w:rPr>
        <w:instrText xml:space="preserve"> ADDIN ZOTERO_ITEM CSL_CITATION {"citationID":"5WjwJ9Hh","properties":{"formattedCitation":"(Durbin, 1959, 1962)","plainCitation":"(Durbin, 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175ACB" w:rsidRPr="00972C81">
        <w:rPr>
          <w:rFonts w:eastAsia="Times New Roman"/>
          <w:noProof/>
          <w:lang w:eastAsia="fr-FR"/>
        </w:rPr>
        <w:fldChar w:fldCharType="separate"/>
      </w:r>
      <w:r w:rsidR="00BC59C6" w:rsidRPr="00972C81">
        <w:rPr>
          <w:noProof/>
        </w:rPr>
        <w:t>(Durbin, 1959, 1962)</w:t>
      </w:r>
      <w:r w:rsidR="00175ACB" w:rsidRPr="00972C81">
        <w:rPr>
          <w:rFonts w:eastAsia="Times New Roman"/>
          <w:noProof/>
          <w:lang w:eastAsia="fr-FR"/>
        </w:rPr>
        <w:fldChar w:fldCharType="end"/>
      </w:r>
      <w:r w:rsidRPr="00972C81">
        <w:rPr>
          <w:rFonts w:eastAsia="Times New Roman"/>
          <w:noProof/>
          <w:lang w:eastAsia="fr-FR"/>
        </w:rPr>
        <w:t>.</w:t>
      </w:r>
    </w:p>
    <w:p w14:paraId="34F31C35" w14:textId="6E205B0A" w:rsidR="00136840" w:rsidRPr="00972C81" w:rsidRDefault="00136840" w:rsidP="001C4A92">
      <w:pPr>
        <w:pStyle w:val="Annalstext"/>
        <w:rPr>
          <w:noProof/>
        </w:rPr>
      </w:pPr>
      <w:r w:rsidRPr="00972C81">
        <w:rPr>
          <w:noProof/>
        </w:rPr>
        <w:t xml:space="preserve">Newton </w:t>
      </w:r>
      <w:r w:rsidR="00175ACB" w:rsidRPr="00972C81">
        <w:rPr>
          <w:noProof/>
        </w:rPr>
        <w:fldChar w:fldCharType="begin"/>
      </w:r>
      <w:r w:rsidR="00175ACB" w:rsidRPr="00972C81">
        <w:rPr>
          <w:noProof/>
        </w:rPr>
        <w:instrText xml:space="preserve"> ADDIN ZOTERO_ITEM CSL_CITATION {"citationID":"o3yiPgNc","properties":{"formattedCitation":"(2003)","plainCitation":"(2003)","noteIndex":0},"citationItems":[{"id":4851,"uris":["http://zotero.org/groups/2470620/items/J3RC4YHC"],"itemData":{"id":4851,"type":"article-journal","abstract":"Four healthy men inhaled a monodisperse aerosol of 160Tb-labelled terbium oxide particles. The behaviour of the tracer was studied through measurements of body radioactivity and of its urinary and faecal excretion. Estimated early faecal losses in the four subjects ranged from 3% to 31% of the initial respiratory-tract deposit; most of the residue had become systemic within a year, with the principal deposit apparently in bone. Interference from this systemic deposit prevented accurate determination of the long-term pulmonary clearance kinetics, but the pattern was broadly what would be expected for Type M materials in the ICRP's Human Respiratory Tract Model. Averaged trends in the whole-body residue after approximately 1 year suggest a clearance half-life of approximately to 5 y.","container-title":"Radiation Protection Dosimetry","DOI":"10.1093/oxfordjournals.rpd.a006335","ISSN":"0144-8420","issue":"1","journalAbbreviation":"Radiat Prot Dosimetry","language":"eng","note":"PMID: 14653326","page":"53-61","source":"PubMed","title":"Human biokinetics of inhaled terbium oxide","volume":"106","author":[{"family":"Newton","given":"D."}],"issued":{"date-parts":[["2003"]]}},"label":"page","suppress-author":true}],"schema":"https://github.com/citation-style-language/schema/raw/master/csl-citation.json"} </w:instrText>
      </w:r>
      <w:r w:rsidR="00175ACB" w:rsidRPr="00972C81">
        <w:rPr>
          <w:noProof/>
        </w:rPr>
        <w:fldChar w:fldCharType="separate"/>
      </w:r>
      <w:r w:rsidR="00BC59C6" w:rsidRPr="00972C81">
        <w:rPr>
          <w:noProof/>
        </w:rPr>
        <w:t>(2003)</w:t>
      </w:r>
      <w:r w:rsidR="00175ACB" w:rsidRPr="00972C81">
        <w:rPr>
          <w:noProof/>
        </w:rPr>
        <w:fldChar w:fldCharType="end"/>
      </w:r>
      <w:r w:rsidRPr="00972C81">
        <w:rPr>
          <w:noProof/>
        </w:rPr>
        <w:t xml:space="preserve"> studied the whole-body retention, distribution, and urinary and faecal excretion of </w:t>
      </w:r>
      <w:r w:rsidRPr="00972C81">
        <w:rPr>
          <w:noProof/>
          <w:vertAlign w:val="superscript"/>
        </w:rPr>
        <w:t>160</w:t>
      </w:r>
      <w:r w:rsidRPr="00972C81">
        <w:rPr>
          <w:noProof/>
        </w:rPr>
        <w:t xml:space="preserve">Tb in four healthy men following acute inhalation of </w:t>
      </w:r>
      <w:r w:rsidRPr="00972C81">
        <w:rPr>
          <w:noProof/>
          <w:vertAlign w:val="superscript"/>
        </w:rPr>
        <w:t>160</w:t>
      </w:r>
      <w:r w:rsidRPr="00972C81">
        <w:rPr>
          <w:noProof/>
        </w:rPr>
        <w:t>Tb-labelled terbium oxide particles. Within a year after exposure most of the retained activity had become systemic, with the principal deposit in bone. Measurements of total-body retention after 1 y suggested a clearance half-time on the order of 5 y.</w:t>
      </w:r>
    </w:p>
    <w:p w14:paraId="786D1AFC" w14:textId="0F8C3DBE" w:rsidR="00136840" w:rsidRPr="00972C81" w:rsidRDefault="00136840" w:rsidP="001C4A92">
      <w:pPr>
        <w:pStyle w:val="Annalstext"/>
        <w:rPr>
          <w:noProof/>
        </w:rPr>
      </w:pPr>
      <w:r w:rsidRPr="00972C81">
        <w:rPr>
          <w:noProof/>
        </w:rPr>
        <w:t xml:space="preserve">Zalikin and Tronova </w:t>
      </w:r>
      <w:r w:rsidR="00175ACB" w:rsidRPr="00972C81">
        <w:rPr>
          <w:noProof/>
        </w:rPr>
        <w:fldChar w:fldCharType="begin"/>
      </w:r>
      <w:r w:rsidR="00175ACB" w:rsidRPr="00972C81">
        <w:rPr>
          <w:noProof/>
        </w:rPr>
        <w:instrText xml:space="preserve"> ADDIN ZOTERO_ITEM CSL_CITATION {"citationID":"ktyvG2cl","properties":{"formattedCitation":"(1971)","plainCitation":"(1971)","noteIndex":0},"citationItems":[{"id":4853,"uris":["http://zotero.org/groups/2470620/items/T9J4LBMX"],"itemData":{"id":4853,"type":"article-journal","container-title":"Radioactive Isotopes and the Body. Translated in AEC-tr-7195","source":"Google Scholar","title":"Distribution of terbium-160,161 in the body of rats","author":[{"family":"Zalikin","given":"G. A."},{"family":"Tronova","given":"I. N."}],"issued":{"date-parts":[["1971"]]}},"label":"page","suppress-author":true}],"schema":"https://github.com/citation-style-language/schema/raw/master/csl-citation.json"} </w:instrText>
      </w:r>
      <w:r w:rsidR="00175ACB" w:rsidRPr="00972C81">
        <w:rPr>
          <w:noProof/>
        </w:rPr>
        <w:fldChar w:fldCharType="separate"/>
      </w:r>
      <w:r w:rsidR="00BC59C6" w:rsidRPr="00972C81">
        <w:rPr>
          <w:noProof/>
        </w:rPr>
        <w:t>(1971)</w:t>
      </w:r>
      <w:r w:rsidR="00175ACB" w:rsidRPr="00972C81">
        <w:rPr>
          <w:noProof/>
        </w:rPr>
        <w:fldChar w:fldCharType="end"/>
      </w:r>
      <w:r w:rsidR="00175ACB" w:rsidRPr="00972C81">
        <w:rPr>
          <w:noProof/>
        </w:rPr>
        <w:t xml:space="preserve"> </w:t>
      </w:r>
      <w:r w:rsidRPr="00972C81">
        <w:rPr>
          <w:noProof/>
        </w:rPr>
        <w:t xml:space="preserve">investigated the biokinetics of terbium in rats following intravenous injection of </w:t>
      </w:r>
      <w:r w:rsidRPr="00972C81">
        <w:rPr>
          <w:noProof/>
          <w:vertAlign w:val="superscript"/>
        </w:rPr>
        <w:t>160</w:t>
      </w:r>
      <w:r w:rsidRPr="00972C81">
        <w:rPr>
          <w:noProof/>
        </w:rPr>
        <w:t xml:space="preserve">Tb in chloride or citrate solutions and </w:t>
      </w:r>
      <w:r w:rsidRPr="00972C81">
        <w:rPr>
          <w:noProof/>
          <w:vertAlign w:val="superscript"/>
        </w:rPr>
        <w:t>161</w:t>
      </w:r>
      <w:r w:rsidRPr="00972C81">
        <w:rPr>
          <w:noProof/>
        </w:rPr>
        <w:t>Tb in a chloride solution. Activity accumulated rapidly in the liver and more slowly in the skeleton. The maximum liver content was 26% of the administered amount at 6 h. Thereafter the liver content gradually declined to about 0.3% at 64 d. The skeletal content gradually increased to a maximum of about 40% by the second day and remained at that level throughout the 64</w:t>
      </w:r>
      <w:r w:rsidR="006A4B24" w:rsidRPr="00972C81">
        <w:rPr>
          <w:noProof/>
        </w:rPr>
        <w:t>–</w:t>
      </w:r>
      <w:r w:rsidRPr="00972C81">
        <w:rPr>
          <w:noProof/>
        </w:rPr>
        <w:t>d period of observation. A relatively high activity concentration was also observed in the kidneys, which contained about 5.0% of the administered amount at 6 h, 2.7% at 1 d, 1.8% at 8 d, and 0.5% at 64 d.</w:t>
      </w:r>
    </w:p>
    <w:p w14:paraId="05005D28" w14:textId="77777777" w:rsidR="00136840" w:rsidRPr="00972C81" w:rsidRDefault="00136840" w:rsidP="001C4A92">
      <w:pPr>
        <w:pStyle w:val="Annalstext"/>
        <w:rPr>
          <w:rFonts w:eastAsia="Times New Roman"/>
          <w:noProof/>
        </w:rPr>
      </w:pPr>
      <w:r w:rsidRPr="00972C81">
        <w:rPr>
          <w:rFonts w:eastAsia="Times New Roman"/>
          <w:noProof/>
        </w:rPr>
        <w:lastRenderedPageBreak/>
        <w:t xml:space="preserve">No information was found regarding the effect of age on the biokinetics of systemic </w:t>
      </w:r>
      <w:r w:rsidRPr="00972C81">
        <w:rPr>
          <w:rFonts w:ascii="Times Roman" w:hAnsi="Times Roman"/>
          <w:noProof/>
        </w:rPr>
        <w:t>neodymium</w:t>
      </w:r>
      <w:r w:rsidRPr="00972C81">
        <w:rPr>
          <w:rFonts w:eastAsia="Times New Roman"/>
          <w:noProof/>
        </w:rPr>
        <w:t xml:space="preserve">. </w:t>
      </w:r>
    </w:p>
    <w:p w14:paraId="4C6C6AF1" w14:textId="77777777" w:rsidR="00136840" w:rsidRPr="00972C81" w:rsidRDefault="00136840" w:rsidP="006703A2">
      <w:pPr>
        <w:pStyle w:val="OIRTitre4"/>
      </w:pPr>
      <w:r w:rsidRPr="00972C81">
        <w:t>Systemic model</w:t>
      </w:r>
    </w:p>
    <w:p w14:paraId="61A6065C" w14:textId="409A8F04" w:rsidR="00136840" w:rsidRPr="00972C81" w:rsidRDefault="00136840" w:rsidP="001C4A92">
      <w:pPr>
        <w:pStyle w:val="Annalstext"/>
        <w:rPr>
          <w:noProof/>
        </w:rPr>
      </w:pPr>
      <w:r w:rsidRPr="00972C81">
        <w:rPr>
          <w:noProof/>
        </w:rPr>
        <w:t xml:space="preserve">The model structure shown in </w:t>
      </w:r>
      <w:r w:rsidR="00175ACB" w:rsidRPr="00972C81">
        <w:rPr>
          <w:noProof/>
        </w:rPr>
        <w:fldChar w:fldCharType="begin"/>
      </w:r>
      <w:r w:rsidR="00175ACB" w:rsidRPr="00972C81">
        <w:rPr>
          <w:noProof/>
        </w:rPr>
        <w:instrText xml:space="preserve"> REF _Ref141858180 \h </w:instrText>
      </w:r>
      <w:r w:rsidR="00175ACB" w:rsidRPr="00972C81">
        <w:rPr>
          <w:noProof/>
        </w:rPr>
      </w:r>
      <w:r w:rsidR="00175ACB" w:rsidRPr="00972C81">
        <w:rPr>
          <w:noProof/>
        </w:rPr>
        <w:fldChar w:fldCharType="separate"/>
      </w:r>
      <w:r w:rsidR="00A41AD1" w:rsidRPr="00A41AD1">
        <w:rPr>
          <w:noProof/>
          <w:szCs w:val="24"/>
        </w:rPr>
        <w:t xml:space="preserve">Fig </w:t>
      </w:r>
      <w:r w:rsidR="00A41AD1">
        <w:rPr>
          <w:noProof/>
          <w:szCs w:val="24"/>
        </w:rPr>
        <w:t>3</w:t>
      </w:r>
      <w:r w:rsidR="00A41AD1" w:rsidRPr="00A41AD1">
        <w:rPr>
          <w:noProof/>
          <w:szCs w:val="24"/>
        </w:rPr>
        <w:t>.</w:t>
      </w:r>
      <w:r w:rsidR="00A41AD1">
        <w:rPr>
          <w:noProof/>
          <w:szCs w:val="24"/>
        </w:rPr>
        <w:t>1</w:t>
      </w:r>
      <w:r w:rsidR="00175ACB" w:rsidRPr="00972C81">
        <w:rPr>
          <w:noProof/>
        </w:rPr>
        <w:fldChar w:fldCharType="end"/>
      </w:r>
      <w:r w:rsidRPr="00972C81">
        <w:rPr>
          <w:noProof/>
        </w:rPr>
        <w:t xml:space="preserve"> of the section on cerium is applied in this report to all lanthanide elements.</w:t>
      </w:r>
    </w:p>
    <w:p w14:paraId="243C9549" w14:textId="046D6BD7" w:rsidR="00136840" w:rsidRPr="00972C81" w:rsidRDefault="00136840" w:rsidP="001C4A92">
      <w:pPr>
        <w:pStyle w:val="Annalstext"/>
        <w:rPr>
          <w:rFonts w:eastAsia="Times New Roman"/>
          <w:noProof/>
        </w:rPr>
      </w:pPr>
      <w:r w:rsidRPr="00972C81">
        <w:rPr>
          <w:rFonts w:eastAsia="Times New Roman"/>
          <w:noProof/>
        </w:rPr>
        <w:t xml:space="preserve">A common set of age-specific transfer coefficients is applied to the “holmium group”, consisting of the lanthanide elements </w:t>
      </w:r>
      <w:r w:rsidRPr="00972C81">
        <w:rPr>
          <w:noProof/>
          <w:color w:val="000000" w:themeColor="text1"/>
        </w:rPr>
        <w:t>terbium, dysprosium, holmium, erbium, thulium, ytterbium, and lutetium</w:t>
      </w:r>
      <w:r w:rsidRPr="00972C81">
        <w:rPr>
          <w:rFonts w:eastAsia="Times New Roman"/>
          <w:noProof/>
        </w:rPr>
        <w:t xml:space="preserve">. Transfer coefficients for the holmium group are listed in </w:t>
      </w:r>
      <w:r w:rsidR="00E80505" w:rsidRPr="00972C81">
        <w:rPr>
          <w:rFonts w:eastAsia="Times New Roman"/>
          <w:noProof/>
          <w:highlight w:val="yellow"/>
        </w:rPr>
        <w:fldChar w:fldCharType="begin"/>
      </w:r>
      <w:r w:rsidR="00E80505" w:rsidRPr="00972C81">
        <w:rPr>
          <w:rFonts w:eastAsia="Times New Roman"/>
          <w:noProof/>
        </w:rPr>
        <w:instrText xml:space="preserve"> REF _Ref142312953 \h </w:instrText>
      </w:r>
      <w:r w:rsidR="00E80505" w:rsidRPr="00972C81">
        <w:rPr>
          <w:rFonts w:eastAsia="Times New Roman"/>
          <w:noProof/>
          <w:highlight w:val="yellow"/>
        </w:rPr>
      </w:r>
      <w:r w:rsidR="00E80505" w:rsidRPr="00972C81">
        <w:rPr>
          <w:rFonts w:eastAsia="Times New Roman"/>
          <w:noProof/>
          <w:highlight w:val="yellow"/>
        </w:rPr>
        <w:fldChar w:fldCharType="separate"/>
      </w:r>
      <w:r w:rsidR="00A41AD1" w:rsidRPr="00972C81">
        <w:rPr>
          <w:noProof/>
        </w:rPr>
        <w:t xml:space="preserve">Table </w:t>
      </w:r>
      <w:r w:rsidR="00A41AD1">
        <w:rPr>
          <w:noProof/>
        </w:rPr>
        <w:t>12</w:t>
      </w:r>
      <w:r w:rsidR="00A41AD1" w:rsidRPr="00972C81">
        <w:rPr>
          <w:noProof/>
        </w:rPr>
        <w:t>.</w:t>
      </w:r>
      <w:r w:rsidR="00A41AD1">
        <w:rPr>
          <w:noProof/>
        </w:rPr>
        <w:t>2</w:t>
      </w:r>
      <w:r w:rsidR="00E80505" w:rsidRPr="00972C81">
        <w:rPr>
          <w:rFonts w:eastAsia="Times New Roman"/>
          <w:noProof/>
          <w:highlight w:val="yellow"/>
        </w:rPr>
        <w:fldChar w:fldCharType="end"/>
      </w:r>
      <w:r w:rsidRPr="00972C81">
        <w:rPr>
          <w:rFonts w:eastAsia="Times New Roman"/>
          <w:noProof/>
        </w:rPr>
        <w:t xml:space="preserve"> of the section on holmium.</w:t>
      </w:r>
    </w:p>
    <w:p w14:paraId="4DA9FB04" w14:textId="77777777" w:rsidR="00136840" w:rsidRPr="00972C81" w:rsidRDefault="00136840" w:rsidP="006703A2">
      <w:pPr>
        <w:pStyle w:val="OIRTitre4"/>
      </w:pPr>
      <w:r w:rsidRPr="00972C81">
        <w:t>Treatment of radioactive progeny</w:t>
      </w:r>
    </w:p>
    <w:p w14:paraId="625A63CA" w14:textId="3FF7084F" w:rsidR="00650B43" w:rsidRPr="00972C81" w:rsidRDefault="00F95A58" w:rsidP="00E81109">
      <w:pPr>
        <w:pStyle w:val="Annalstext"/>
        <w:rPr>
          <w:noProof/>
        </w:rPr>
      </w:pPr>
      <w:r w:rsidRPr="00972C81">
        <w:rPr>
          <w:rFonts w:eastAsia="Calibri"/>
          <w:noProof/>
        </w:rPr>
        <w:t xml:space="preserve">The treatment of radioactive progeny produced in systemic compartments after intake of a radioisotope of terbium is described in Section 11.2.3.3. of </w:t>
      </w:r>
      <w:r w:rsidR="00F73182" w:rsidRPr="00972C81">
        <w:rPr>
          <w:i/>
          <w:noProof/>
        </w:rPr>
        <w:t>Publication 141</w:t>
      </w:r>
      <w:r w:rsidR="00F73182" w:rsidRPr="00972C81">
        <w:rPr>
          <w:noProof/>
        </w:rPr>
        <w:t xml:space="preserve"> </w:t>
      </w:r>
      <w:r w:rsidR="00175ACB" w:rsidRPr="00972C81">
        <w:rPr>
          <w:noProof/>
        </w:rPr>
        <w:fldChar w:fldCharType="begin"/>
      </w:r>
      <w:r w:rsidR="00175ACB" w:rsidRPr="00972C81">
        <w:rPr>
          <w:noProof/>
        </w:rPr>
        <w:instrText xml:space="preserve"> ADDIN ZOTERO_ITEM CSL_CITATION {"citationID":"ldrQvPXY","properties":{"formattedCitation":"(ICRP,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175ACB" w:rsidRPr="00972C81">
        <w:rPr>
          <w:noProof/>
        </w:rPr>
        <w:fldChar w:fldCharType="separate"/>
      </w:r>
      <w:r w:rsidR="00BC59C6" w:rsidRPr="00972C81">
        <w:rPr>
          <w:noProof/>
        </w:rPr>
        <w:t>(ICRP, 2019)</w:t>
      </w:r>
      <w:r w:rsidR="00175ACB" w:rsidRPr="00972C81">
        <w:rPr>
          <w:noProof/>
        </w:rPr>
        <w:fldChar w:fldCharType="end"/>
      </w:r>
      <w:r w:rsidR="00F73182" w:rsidRPr="00972C81">
        <w:rPr>
          <w:noProof/>
        </w:rPr>
        <w:t>.</w:t>
      </w:r>
    </w:p>
    <w:p w14:paraId="40B32F06" w14:textId="77777777" w:rsidR="00593D1F" w:rsidRPr="00972C81" w:rsidRDefault="00593D1F" w:rsidP="00E81109">
      <w:pPr>
        <w:pStyle w:val="2"/>
        <w:rPr>
          <w:noProof/>
          <w:lang w:val="en-GB"/>
        </w:rPr>
      </w:pPr>
      <w:bookmarkStart w:id="162" w:name="_Toc162630036"/>
      <w:r w:rsidRPr="00972C81">
        <w:rPr>
          <w:noProof/>
          <w:lang w:val="en-GB"/>
        </w:rPr>
        <w:t>Dosimetric data for terbium</w:t>
      </w:r>
      <w:bookmarkEnd w:id="162"/>
    </w:p>
    <w:p w14:paraId="1C1A428A" w14:textId="7EA0D381" w:rsidR="00D36248" w:rsidRPr="00972C81" w:rsidRDefault="00D36248" w:rsidP="00D36248">
      <w:pPr>
        <w:pStyle w:val="ab"/>
        <w:rPr>
          <w:noProof/>
          <w:sz w:val="24"/>
          <w:szCs w:val="24"/>
        </w:rPr>
      </w:pPr>
      <w:r w:rsidRPr="00972C81">
        <w:rPr>
          <w:noProof/>
          <w:sz w:val="24"/>
          <w:szCs w:val="24"/>
        </w:rPr>
        <w:t>Table 10.1.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160</w:t>
      </w:r>
      <w:r w:rsidRPr="00972C81">
        <w:rPr>
          <w:noProof/>
          <w:sz w:val="24"/>
          <w:szCs w:val="24"/>
        </w:rPr>
        <w:t>Tb compounds</w:t>
      </w:r>
      <w:r w:rsidR="00F43D48" w:rsidRPr="00972C81">
        <w:rPr>
          <w:noProof/>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8"/>
        <w:gridCol w:w="876"/>
        <w:gridCol w:w="877"/>
        <w:gridCol w:w="877"/>
        <w:gridCol w:w="876"/>
        <w:gridCol w:w="877"/>
        <w:gridCol w:w="876"/>
      </w:tblGrid>
      <w:tr w:rsidR="00D36248" w:rsidRPr="00A3213E" w14:paraId="5D28363F" w14:textId="77777777" w:rsidTr="00CD4B01">
        <w:trPr>
          <w:trHeight w:val="340"/>
        </w:trPr>
        <w:tc>
          <w:tcPr>
            <w:tcW w:w="2087" w:type="pct"/>
            <w:vMerge w:val="restart"/>
            <w:tcBorders>
              <w:top w:val="single" w:sz="4" w:space="0" w:color="auto"/>
              <w:left w:val="nil"/>
              <w:bottom w:val="single" w:sz="4" w:space="0" w:color="auto"/>
              <w:right w:val="nil"/>
            </w:tcBorders>
            <w:vAlign w:val="bottom"/>
            <w:hideMark/>
          </w:tcPr>
          <w:p w14:paraId="7A36A083" w14:textId="77777777" w:rsidR="002D114E" w:rsidRDefault="00D36248" w:rsidP="009F028D">
            <w:pPr>
              <w:pStyle w:val="a5"/>
              <w:tabs>
                <w:tab w:val="clear" w:pos="4153"/>
                <w:tab w:val="clear" w:pos="8306"/>
              </w:tabs>
              <w:jc w:val="left"/>
              <w:rPr>
                <w:noProof/>
                <w:sz w:val="22"/>
                <w:szCs w:val="22"/>
              </w:rPr>
            </w:pPr>
            <w:r w:rsidRPr="00C47F2F">
              <w:rPr>
                <w:noProof/>
                <w:sz w:val="22"/>
                <w:szCs w:val="22"/>
              </w:rPr>
              <w:t>Inhaled particulate materials</w:t>
            </w:r>
          </w:p>
          <w:p w14:paraId="439B11BE" w14:textId="74CED358" w:rsidR="00D36248" w:rsidRPr="002D114E" w:rsidRDefault="00D36248" w:rsidP="00C47F2F">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2F04907F" w14:textId="77777777" w:rsidR="00D36248" w:rsidRPr="00C47F2F" w:rsidRDefault="00D36248" w:rsidP="00CD4B01">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D36248" w:rsidRPr="00972C81" w14:paraId="033E344D" w14:textId="77777777" w:rsidTr="00CD4B01">
        <w:trPr>
          <w:trHeight w:val="340"/>
        </w:trPr>
        <w:tc>
          <w:tcPr>
            <w:tcW w:w="2087" w:type="pct"/>
            <w:vMerge/>
            <w:tcBorders>
              <w:top w:val="single" w:sz="4" w:space="0" w:color="auto"/>
              <w:left w:val="nil"/>
              <w:bottom w:val="single" w:sz="4" w:space="0" w:color="auto"/>
              <w:right w:val="nil"/>
            </w:tcBorders>
            <w:vAlign w:val="center"/>
            <w:hideMark/>
          </w:tcPr>
          <w:p w14:paraId="6AB5EE1E" w14:textId="77777777" w:rsidR="00D36248" w:rsidRPr="002D114E" w:rsidRDefault="00D362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607CEFEE" w14:textId="4BF46893" w:rsidR="00D36248" w:rsidRPr="00C47F2F" w:rsidRDefault="00D36248" w:rsidP="00CD4B01">
            <w:pPr>
              <w:jc w:val="left"/>
              <w:rPr>
                <w:noProof/>
                <w:sz w:val="22"/>
                <w:szCs w:val="22"/>
                <w:lang w:eastAsia="ko-KR"/>
              </w:rPr>
            </w:pPr>
            <w:r w:rsidRPr="00C47F2F">
              <w:rPr>
                <w:noProof/>
                <w:sz w:val="22"/>
                <w:szCs w:val="22"/>
              </w:rPr>
              <w:t>3</w:t>
            </w:r>
            <w:r w:rsidR="002D114E">
              <w:rPr>
                <w:rFonts w:hint="eastAsia"/>
                <w:noProof/>
                <w:sz w:val="22"/>
                <w:szCs w:val="22"/>
                <w:lang w:eastAsia="ko-KR"/>
              </w:rPr>
              <w:t xml:space="preserve"> </w:t>
            </w:r>
            <w:r w:rsidRPr="00C47F2F">
              <w:rPr>
                <w:noProof/>
                <w:sz w:val="22"/>
                <w:szCs w:val="22"/>
              </w:rPr>
              <w:t>m</w:t>
            </w:r>
            <w:r w:rsidR="00CD4B01">
              <w:rPr>
                <w:rFonts w:hint="eastAsia"/>
                <w:noProof/>
                <w:sz w:val="22"/>
                <w:szCs w:val="22"/>
                <w:lang w:eastAsia="ko-KR"/>
              </w:rPr>
              <w:t>o</w:t>
            </w:r>
          </w:p>
        </w:tc>
        <w:tc>
          <w:tcPr>
            <w:tcW w:w="486" w:type="pct"/>
            <w:tcBorders>
              <w:top w:val="single" w:sz="4" w:space="0" w:color="auto"/>
              <w:left w:val="nil"/>
              <w:bottom w:val="single" w:sz="4" w:space="0" w:color="auto"/>
              <w:right w:val="nil"/>
            </w:tcBorders>
            <w:vAlign w:val="center"/>
            <w:hideMark/>
          </w:tcPr>
          <w:p w14:paraId="340D610B" w14:textId="7A24EC56" w:rsidR="00D36248" w:rsidRPr="00C47F2F" w:rsidRDefault="00D36248" w:rsidP="00CD4B01">
            <w:pPr>
              <w:jc w:val="left"/>
              <w:rPr>
                <w:noProof/>
                <w:sz w:val="22"/>
                <w:szCs w:val="22"/>
              </w:rPr>
            </w:pPr>
            <w:r w:rsidRPr="00C47F2F">
              <w:rPr>
                <w:noProof/>
                <w:sz w:val="22"/>
                <w:szCs w:val="22"/>
              </w:rPr>
              <w:t>1</w:t>
            </w:r>
            <w:r w:rsidR="002D114E">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0050A5D6" w14:textId="402C5484" w:rsidR="00D36248" w:rsidRPr="00C47F2F" w:rsidRDefault="00D36248" w:rsidP="00CD4B01">
            <w:pPr>
              <w:jc w:val="left"/>
              <w:rPr>
                <w:noProof/>
                <w:sz w:val="22"/>
                <w:szCs w:val="22"/>
              </w:rPr>
            </w:pPr>
            <w:r w:rsidRPr="00C47F2F">
              <w:rPr>
                <w:noProof/>
                <w:sz w:val="22"/>
                <w:szCs w:val="22"/>
              </w:rPr>
              <w:t>5</w:t>
            </w:r>
            <w:r w:rsidR="002D114E">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0F6B71E" w14:textId="07A2DDB0" w:rsidR="00D36248" w:rsidRPr="00C47F2F" w:rsidRDefault="00D36248" w:rsidP="00CD4B01">
            <w:pPr>
              <w:jc w:val="left"/>
              <w:rPr>
                <w:noProof/>
                <w:sz w:val="22"/>
                <w:szCs w:val="22"/>
              </w:rPr>
            </w:pPr>
            <w:r w:rsidRPr="00C47F2F">
              <w:rPr>
                <w:noProof/>
                <w:sz w:val="22"/>
                <w:szCs w:val="22"/>
              </w:rPr>
              <w:t>10</w:t>
            </w:r>
            <w:r w:rsidR="002D114E">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03DBD278" w14:textId="30BC880A" w:rsidR="00D36248" w:rsidRPr="00C47F2F" w:rsidRDefault="00D36248" w:rsidP="00CD4B01">
            <w:pPr>
              <w:jc w:val="left"/>
              <w:rPr>
                <w:noProof/>
                <w:sz w:val="22"/>
                <w:szCs w:val="22"/>
              </w:rPr>
            </w:pPr>
            <w:r w:rsidRPr="00C47F2F">
              <w:rPr>
                <w:noProof/>
                <w:sz w:val="22"/>
                <w:szCs w:val="22"/>
              </w:rPr>
              <w:t>15</w:t>
            </w:r>
            <w:r w:rsidR="002D114E">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2325FBEB" w14:textId="77777777" w:rsidR="00D36248" w:rsidRPr="00C47F2F" w:rsidRDefault="00D36248" w:rsidP="00CD4B01">
            <w:pPr>
              <w:jc w:val="left"/>
              <w:rPr>
                <w:noProof/>
                <w:sz w:val="22"/>
                <w:szCs w:val="22"/>
              </w:rPr>
            </w:pPr>
            <w:r w:rsidRPr="00C47F2F">
              <w:rPr>
                <w:noProof/>
                <w:sz w:val="22"/>
                <w:szCs w:val="22"/>
              </w:rPr>
              <w:t>Adult</w:t>
            </w:r>
          </w:p>
        </w:tc>
      </w:tr>
      <w:tr w:rsidR="00D36248" w:rsidRPr="00972C81" w14:paraId="43D76FF5" w14:textId="77777777" w:rsidTr="00CD4B01">
        <w:trPr>
          <w:trHeight w:val="340"/>
        </w:trPr>
        <w:tc>
          <w:tcPr>
            <w:tcW w:w="2087" w:type="pct"/>
            <w:tcBorders>
              <w:top w:val="single" w:sz="4" w:space="0" w:color="auto"/>
              <w:left w:val="nil"/>
              <w:bottom w:val="nil"/>
              <w:right w:val="nil"/>
            </w:tcBorders>
            <w:hideMark/>
          </w:tcPr>
          <w:p w14:paraId="04691DDB" w14:textId="77777777" w:rsidR="00D36248" w:rsidRPr="00C47F2F" w:rsidRDefault="00D36248" w:rsidP="00CD4B01">
            <w:pPr>
              <w:jc w:val="left"/>
              <w:rPr>
                <w:noProof/>
                <w:sz w:val="22"/>
                <w:szCs w:val="22"/>
              </w:rPr>
            </w:pPr>
            <w:r w:rsidRPr="00C47F2F">
              <w:rPr>
                <w:rFonts w:eastAsia="Times New Roman"/>
                <w:noProof/>
                <w:color w:val="000000"/>
                <w:sz w:val="22"/>
                <w:szCs w:val="22"/>
              </w:rPr>
              <w:t>Water soluble forms, including chloride and citrate</w:t>
            </w:r>
          </w:p>
        </w:tc>
        <w:tc>
          <w:tcPr>
            <w:tcW w:w="485" w:type="pct"/>
            <w:tcBorders>
              <w:top w:val="single" w:sz="4" w:space="0" w:color="auto"/>
              <w:left w:val="nil"/>
              <w:bottom w:val="nil"/>
              <w:right w:val="nil"/>
            </w:tcBorders>
            <w:hideMark/>
          </w:tcPr>
          <w:p w14:paraId="4FAB10A9"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2.2E-08</w:t>
            </w:r>
          </w:p>
        </w:tc>
        <w:tc>
          <w:tcPr>
            <w:tcW w:w="486" w:type="pct"/>
            <w:tcBorders>
              <w:top w:val="single" w:sz="4" w:space="0" w:color="auto"/>
              <w:left w:val="nil"/>
              <w:bottom w:val="nil"/>
              <w:right w:val="nil"/>
            </w:tcBorders>
            <w:hideMark/>
          </w:tcPr>
          <w:p w14:paraId="70AAF368"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1.7E-08</w:t>
            </w:r>
          </w:p>
        </w:tc>
        <w:tc>
          <w:tcPr>
            <w:tcW w:w="486" w:type="pct"/>
            <w:tcBorders>
              <w:top w:val="single" w:sz="4" w:space="0" w:color="auto"/>
              <w:left w:val="nil"/>
              <w:bottom w:val="nil"/>
              <w:right w:val="nil"/>
            </w:tcBorders>
            <w:hideMark/>
          </w:tcPr>
          <w:p w14:paraId="6948CD65"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8.3E-09</w:t>
            </w:r>
          </w:p>
        </w:tc>
        <w:tc>
          <w:tcPr>
            <w:tcW w:w="485" w:type="pct"/>
            <w:tcBorders>
              <w:top w:val="single" w:sz="4" w:space="0" w:color="auto"/>
              <w:left w:val="nil"/>
              <w:bottom w:val="nil"/>
              <w:right w:val="nil"/>
            </w:tcBorders>
            <w:hideMark/>
          </w:tcPr>
          <w:p w14:paraId="28FC9C32"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5.1E-09</w:t>
            </w:r>
          </w:p>
        </w:tc>
        <w:tc>
          <w:tcPr>
            <w:tcW w:w="486" w:type="pct"/>
            <w:tcBorders>
              <w:top w:val="single" w:sz="4" w:space="0" w:color="auto"/>
              <w:left w:val="nil"/>
              <w:bottom w:val="nil"/>
              <w:right w:val="nil"/>
            </w:tcBorders>
            <w:hideMark/>
          </w:tcPr>
          <w:p w14:paraId="7E00F158"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4.0E-09</w:t>
            </w:r>
          </w:p>
        </w:tc>
        <w:tc>
          <w:tcPr>
            <w:tcW w:w="486" w:type="pct"/>
            <w:tcBorders>
              <w:top w:val="single" w:sz="4" w:space="0" w:color="auto"/>
              <w:left w:val="nil"/>
              <w:bottom w:val="nil"/>
              <w:right w:val="nil"/>
            </w:tcBorders>
            <w:hideMark/>
          </w:tcPr>
          <w:p w14:paraId="0537AC3E"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3.8E-09</w:t>
            </w:r>
          </w:p>
        </w:tc>
      </w:tr>
      <w:tr w:rsidR="00D36248" w:rsidRPr="00972C81" w14:paraId="7AAF97E7" w14:textId="77777777" w:rsidTr="00CD4B01">
        <w:trPr>
          <w:trHeight w:val="340"/>
        </w:trPr>
        <w:tc>
          <w:tcPr>
            <w:tcW w:w="2087" w:type="pct"/>
            <w:tcBorders>
              <w:top w:val="nil"/>
              <w:left w:val="nil"/>
              <w:bottom w:val="nil"/>
              <w:right w:val="nil"/>
            </w:tcBorders>
            <w:hideMark/>
          </w:tcPr>
          <w:p w14:paraId="3AEEF501"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Dioxide</w:t>
            </w:r>
          </w:p>
        </w:tc>
        <w:tc>
          <w:tcPr>
            <w:tcW w:w="485" w:type="pct"/>
            <w:tcBorders>
              <w:top w:val="nil"/>
              <w:left w:val="nil"/>
              <w:bottom w:val="nil"/>
              <w:right w:val="nil"/>
            </w:tcBorders>
            <w:hideMark/>
          </w:tcPr>
          <w:p w14:paraId="7C39E986"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2.3E-08</w:t>
            </w:r>
          </w:p>
        </w:tc>
        <w:tc>
          <w:tcPr>
            <w:tcW w:w="486" w:type="pct"/>
            <w:tcBorders>
              <w:top w:val="nil"/>
              <w:left w:val="nil"/>
              <w:bottom w:val="nil"/>
              <w:right w:val="nil"/>
            </w:tcBorders>
            <w:hideMark/>
          </w:tcPr>
          <w:p w14:paraId="54C0A26E"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1.9E-08</w:t>
            </w:r>
          </w:p>
        </w:tc>
        <w:tc>
          <w:tcPr>
            <w:tcW w:w="486" w:type="pct"/>
            <w:tcBorders>
              <w:top w:val="nil"/>
              <w:left w:val="nil"/>
              <w:bottom w:val="nil"/>
              <w:right w:val="nil"/>
            </w:tcBorders>
            <w:hideMark/>
          </w:tcPr>
          <w:p w14:paraId="7D242D66"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1.1E-08</w:t>
            </w:r>
          </w:p>
        </w:tc>
        <w:tc>
          <w:tcPr>
            <w:tcW w:w="485" w:type="pct"/>
            <w:tcBorders>
              <w:top w:val="nil"/>
              <w:left w:val="nil"/>
              <w:bottom w:val="nil"/>
              <w:right w:val="nil"/>
            </w:tcBorders>
            <w:hideMark/>
          </w:tcPr>
          <w:p w14:paraId="6FEEA148"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7.3E-09</w:t>
            </w:r>
          </w:p>
        </w:tc>
        <w:tc>
          <w:tcPr>
            <w:tcW w:w="486" w:type="pct"/>
            <w:tcBorders>
              <w:top w:val="nil"/>
              <w:left w:val="nil"/>
              <w:bottom w:val="nil"/>
              <w:right w:val="nil"/>
            </w:tcBorders>
            <w:hideMark/>
          </w:tcPr>
          <w:p w14:paraId="30AE317B"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5.6E-09</w:t>
            </w:r>
          </w:p>
        </w:tc>
        <w:tc>
          <w:tcPr>
            <w:tcW w:w="486" w:type="pct"/>
            <w:tcBorders>
              <w:top w:val="nil"/>
              <w:left w:val="nil"/>
              <w:bottom w:val="nil"/>
              <w:right w:val="nil"/>
            </w:tcBorders>
            <w:hideMark/>
          </w:tcPr>
          <w:p w14:paraId="25AD0BEF"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5.7E-09</w:t>
            </w:r>
          </w:p>
        </w:tc>
      </w:tr>
      <w:tr w:rsidR="00D36248" w:rsidRPr="00972C81" w14:paraId="4CD9EA68" w14:textId="77777777" w:rsidTr="00CD4B01">
        <w:trPr>
          <w:trHeight w:val="340"/>
        </w:trPr>
        <w:tc>
          <w:tcPr>
            <w:tcW w:w="2087" w:type="pct"/>
            <w:tcBorders>
              <w:top w:val="nil"/>
              <w:left w:val="nil"/>
              <w:bottom w:val="nil"/>
              <w:right w:val="nil"/>
            </w:tcBorders>
            <w:hideMark/>
          </w:tcPr>
          <w:p w14:paraId="3D636F15" w14:textId="77777777" w:rsidR="00D36248" w:rsidRPr="00C47F2F" w:rsidRDefault="00D36248" w:rsidP="00CD4B01">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2AA93D57"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2.2E-08</w:t>
            </w:r>
          </w:p>
        </w:tc>
        <w:tc>
          <w:tcPr>
            <w:tcW w:w="486" w:type="pct"/>
            <w:tcBorders>
              <w:top w:val="nil"/>
              <w:left w:val="nil"/>
              <w:bottom w:val="nil"/>
              <w:right w:val="nil"/>
            </w:tcBorders>
            <w:hideMark/>
          </w:tcPr>
          <w:p w14:paraId="39A2FBBC"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1.5E-08</w:t>
            </w:r>
          </w:p>
        </w:tc>
        <w:tc>
          <w:tcPr>
            <w:tcW w:w="486" w:type="pct"/>
            <w:tcBorders>
              <w:top w:val="nil"/>
              <w:left w:val="nil"/>
              <w:bottom w:val="nil"/>
              <w:right w:val="nil"/>
            </w:tcBorders>
            <w:hideMark/>
          </w:tcPr>
          <w:p w14:paraId="3CA03FED"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5.9E-09</w:t>
            </w:r>
          </w:p>
        </w:tc>
        <w:tc>
          <w:tcPr>
            <w:tcW w:w="485" w:type="pct"/>
            <w:tcBorders>
              <w:top w:val="nil"/>
              <w:left w:val="nil"/>
              <w:bottom w:val="nil"/>
              <w:right w:val="nil"/>
            </w:tcBorders>
            <w:hideMark/>
          </w:tcPr>
          <w:p w14:paraId="6AC13EC3"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3.1E-09</w:t>
            </w:r>
          </w:p>
        </w:tc>
        <w:tc>
          <w:tcPr>
            <w:tcW w:w="486" w:type="pct"/>
            <w:tcBorders>
              <w:top w:val="nil"/>
              <w:left w:val="nil"/>
              <w:bottom w:val="nil"/>
              <w:right w:val="nil"/>
            </w:tcBorders>
            <w:hideMark/>
          </w:tcPr>
          <w:p w14:paraId="1291AC9D"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2.6E-09</w:t>
            </w:r>
          </w:p>
        </w:tc>
        <w:tc>
          <w:tcPr>
            <w:tcW w:w="486" w:type="pct"/>
            <w:tcBorders>
              <w:top w:val="nil"/>
              <w:left w:val="nil"/>
              <w:bottom w:val="nil"/>
              <w:right w:val="nil"/>
            </w:tcBorders>
            <w:hideMark/>
          </w:tcPr>
          <w:p w14:paraId="7997BA7B"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2.0E-09</w:t>
            </w:r>
          </w:p>
        </w:tc>
      </w:tr>
      <w:tr w:rsidR="00D36248" w:rsidRPr="00972C81" w14:paraId="44A31421" w14:textId="77777777" w:rsidTr="00CD4B01">
        <w:trPr>
          <w:trHeight w:val="340"/>
        </w:trPr>
        <w:tc>
          <w:tcPr>
            <w:tcW w:w="2087" w:type="pct"/>
            <w:tcBorders>
              <w:top w:val="nil"/>
              <w:left w:val="nil"/>
              <w:bottom w:val="nil"/>
              <w:right w:val="nil"/>
            </w:tcBorders>
            <w:hideMark/>
          </w:tcPr>
          <w:p w14:paraId="5F027D02" w14:textId="77777777" w:rsidR="00D36248" w:rsidRPr="00C47F2F" w:rsidRDefault="00D36248" w:rsidP="00CD4B01">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hideMark/>
          </w:tcPr>
          <w:p w14:paraId="7D829EC6"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2.2E-08</w:t>
            </w:r>
          </w:p>
        </w:tc>
        <w:tc>
          <w:tcPr>
            <w:tcW w:w="486" w:type="pct"/>
            <w:tcBorders>
              <w:top w:val="nil"/>
              <w:left w:val="nil"/>
              <w:bottom w:val="nil"/>
              <w:right w:val="nil"/>
            </w:tcBorders>
            <w:hideMark/>
          </w:tcPr>
          <w:p w14:paraId="17120519"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1.8E-08</w:t>
            </w:r>
          </w:p>
        </w:tc>
        <w:tc>
          <w:tcPr>
            <w:tcW w:w="486" w:type="pct"/>
            <w:tcBorders>
              <w:top w:val="nil"/>
              <w:left w:val="nil"/>
              <w:bottom w:val="nil"/>
              <w:right w:val="nil"/>
            </w:tcBorders>
            <w:hideMark/>
          </w:tcPr>
          <w:p w14:paraId="295A4A9A"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8.9E-09</w:t>
            </w:r>
          </w:p>
        </w:tc>
        <w:tc>
          <w:tcPr>
            <w:tcW w:w="485" w:type="pct"/>
            <w:tcBorders>
              <w:top w:val="nil"/>
              <w:left w:val="nil"/>
              <w:bottom w:val="nil"/>
              <w:right w:val="nil"/>
            </w:tcBorders>
            <w:hideMark/>
          </w:tcPr>
          <w:p w14:paraId="07ECCA78"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5.7E-09</w:t>
            </w:r>
          </w:p>
        </w:tc>
        <w:tc>
          <w:tcPr>
            <w:tcW w:w="486" w:type="pct"/>
            <w:tcBorders>
              <w:top w:val="nil"/>
              <w:left w:val="nil"/>
              <w:bottom w:val="nil"/>
              <w:right w:val="nil"/>
            </w:tcBorders>
            <w:hideMark/>
          </w:tcPr>
          <w:p w14:paraId="22200CE0"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4.4E-09</w:t>
            </w:r>
          </w:p>
        </w:tc>
        <w:tc>
          <w:tcPr>
            <w:tcW w:w="486" w:type="pct"/>
            <w:tcBorders>
              <w:top w:val="nil"/>
              <w:left w:val="nil"/>
              <w:bottom w:val="nil"/>
              <w:right w:val="nil"/>
            </w:tcBorders>
            <w:hideMark/>
          </w:tcPr>
          <w:p w14:paraId="429AB874"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4.3E-09</w:t>
            </w:r>
          </w:p>
        </w:tc>
      </w:tr>
      <w:tr w:rsidR="00D36248" w:rsidRPr="00972C81" w14:paraId="3972E8E0" w14:textId="77777777" w:rsidTr="00CD4B01">
        <w:trPr>
          <w:trHeight w:val="340"/>
        </w:trPr>
        <w:tc>
          <w:tcPr>
            <w:tcW w:w="2087" w:type="pct"/>
            <w:tcBorders>
              <w:top w:val="nil"/>
              <w:left w:val="nil"/>
              <w:bottom w:val="single" w:sz="4" w:space="0" w:color="auto"/>
              <w:right w:val="nil"/>
            </w:tcBorders>
            <w:hideMark/>
          </w:tcPr>
          <w:p w14:paraId="3F481599" w14:textId="77777777" w:rsidR="00D36248" w:rsidRPr="00C47F2F" w:rsidRDefault="00D36248" w:rsidP="00CD4B01">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485" w:type="pct"/>
            <w:tcBorders>
              <w:top w:val="nil"/>
              <w:left w:val="nil"/>
              <w:bottom w:val="single" w:sz="4" w:space="0" w:color="auto"/>
              <w:right w:val="nil"/>
            </w:tcBorders>
            <w:hideMark/>
          </w:tcPr>
          <w:p w14:paraId="4B715FBB"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2.3E-08</w:t>
            </w:r>
          </w:p>
        </w:tc>
        <w:tc>
          <w:tcPr>
            <w:tcW w:w="486" w:type="pct"/>
            <w:tcBorders>
              <w:top w:val="nil"/>
              <w:left w:val="nil"/>
              <w:bottom w:val="single" w:sz="4" w:space="0" w:color="auto"/>
              <w:right w:val="nil"/>
            </w:tcBorders>
            <w:hideMark/>
          </w:tcPr>
          <w:p w14:paraId="577257E8"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2.0E-08</w:t>
            </w:r>
          </w:p>
        </w:tc>
        <w:tc>
          <w:tcPr>
            <w:tcW w:w="486" w:type="pct"/>
            <w:tcBorders>
              <w:top w:val="nil"/>
              <w:left w:val="nil"/>
              <w:bottom w:val="single" w:sz="4" w:space="0" w:color="auto"/>
              <w:right w:val="nil"/>
            </w:tcBorders>
            <w:hideMark/>
          </w:tcPr>
          <w:p w14:paraId="58A34A5A"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1.1E-08</w:t>
            </w:r>
          </w:p>
        </w:tc>
        <w:tc>
          <w:tcPr>
            <w:tcW w:w="485" w:type="pct"/>
            <w:tcBorders>
              <w:top w:val="nil"/>
              <w:left w:val="nil"/>
              <w:bottom w:val="single" w:sz="4" w:space="0" w:color="auto"/>
              <w:right w:val="nil"/>
            </w:tcBorders>
            <w:hideMark/>
          </w:tcPr>
          <w:p w14:paraId="0B684E31"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7.6E-09</w:t>
            </w:r>
          </w:p>
        </w:tc>
        <w:tc>
          <w:tcPr>
            <w:tcW w:w="486" w:type="pct"/>
            <w:tcBorders>
              <w:top w:val="nil"/>
              <w:left w:val="nil"/>
              <w:bottom w:val="single" w:sz="4" w:space="0" w:color="auto"/>
              <w:right w:val="nil"/>
            </w:tcBorders>
            <w:hideMark/>
          </w:tcPr>
          <w:p w14:paraId="3B8C6C11"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5.8E-09</w:t>
            </w:r>
          </w:p>
        </w:tc>
        <w:tc>
          <w:tcPr>
            <w:tcW w:w="486" w:type="pct"/>
            <w:tcBorders>
              <w:top w:val="nil"/>
              <w:left w:val="nil"/>
              <w:bottom w:val="single" w:sz="4" w:space="0" w:color="auto"/>
              <w:right w:val="nil"/>
            </w:tcBorders>
            <w:hideMark/>
          </w:tcPr>
          <w:p w14:paraId="151A9FD8"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6.0E-09</w:t>
            </w:r>
          </w:p>
        </w:tc>
      </w:tr>
      <w:tr w:rsidR="00D36248" w:rsidRPr="00972C81" w14:paraId="708C2C89" w14:textId="77777777" w:rsidTr="00CD4B01">
        <w:trPr>
          <w:trHeight w:val="340"/>
        </w:trPr>
        <w:tc>
          <w:tcPr>
            <w:tcW w:w="2087" w:type="pct"/>
            <w:tcBorders>
              <w:top w:val="single" w:sz="4" w:space="0" w:color="auto"/>
              <w:left w:val="nil"/>
              <w:bottom w:val="single" w:sz="4" w:space="0" w:color="auto"/>
              <w:right w:val="nil"/>
            </w:tcBorders>
          </w:tcPr>
          <w:p w14:paraId="085CB730" w14:textId="77777777" w:rsidR="00D36248" w:rsidRPr="00C47F2F" w:rsidRDefault="00D36248" w:rsidP="00C47F2F">
            <w:pPr>
              <w:jc w:val="left"/>
              <w:rPr>
                <w:rFonts w:eastAsiaTheme="minorHAnsi"/>
                <w:noProof/>
                <w:sz w:val="22"/>
                <w:szCs w:val="22"/>
              </w:rPr>
            </w:pPr>
          </w:p>
          <w:p w14:paraId="67EC6FCC" w14:textId="77777777" w:rsidR="00D36248" w:rsidRPr="00C47F2F" w:rsidRDefault="00D36248"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7489CA42" w14:textId="77777777" w:rsidR="00D36248" w:rsidRPr="00C47F2F" w:rsidRDefault="00D36248"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65214E6B" w14:textId="77777777" w:rsidR="00D36248" w:rsidRPr="00C47F2F" w:rsidRDefault="00D36248"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49CA563B" w14:textId="77777777" w:rsidR="00D36248" w:rsidRPr="00C47F2F" w:rsidRDefault="00D362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725AFCD5" w14:textId="77777777" w:rsidR="00D36248" w:rsidRPr="00C47F2F" w:rsidRDefault="00D36248"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27A26AB2" w14:textId="77777777" w:rsidR="00D36248" w:rsidRPr="00C47F2F" w:rsidRDefault="00D36248"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1CE3F71F" w14:textId="77777777" w:rsidR="00D36248" w:rsidRPr="00C47F2F" w:rsidRDefault="00D36248" w:rsidP="00C47F2F">
            <w:pPr>
              <w:jc w:val="left"/>
              <w:rPr>
                <w:rFonts w:eastAsia="Times New Roman"/>
                <w:noProof/>
                <w:color w:val="000000"/>
                <w:sz w:val="22"/>
                <w:szCs w:val="22"/>
              </w:rPr>
            </w:pPr>
          </w:p>
        </w:tc>
      </w:tr>
      <w:tr w:rsidR="00D36248" w:rsidRPr="00972C81" w14:paraId="7E41392C" w14:textId="77777777" w:rsidTr="00CD4B01">
        <w:trPr>
          <w:trHeight w:val="340"/>
        </w:trPr>
        <w:tc>
          <w:tcPr>
            <w:tcW w:w="2087" w:type="pct"/>
            <w:tcBorders>
              <w:top w:val="single" w:sz="4" w:space="0" w:color="auto"/>
              <w:left w:val="nil"/>
              <w:bottom w:val="single" w:sz="4" w:space="0" w:color="auto"/>
              <w:right w:val="nil"/>
            </w:tcBorders>
            <w:vAlign w:val="center"/>
            <w:hideMark/>
          </w:tcPr>
          <w:p w14:paraId="4C958086" w14:textId="3D8ED8AC" w:rsidR="00D36248" w:rsidRPr="00C47F2F" w:rsidRDefault="00D36248" w:rsidP="00CD4B01">
            <w:pPr>
              <w:jc w:val="left"/>
              <w:rPr>
                <w:rFonts w:eastAsiaTheme="minorHAnsi"/>
                <w:noProof/>
                <w:sz w:val="22"/>
                <w:szCs w:val="22"/>
              </w:rPr>
            </w:pPr>
            <w:r w:rsidRPr="00C47F2F">
              <w:rPr>
                <w:rFonts w:eastAsia="Times New Roman"/>
                <w:noProof/>
                <w:color w:val="000000"/>
                <w:sz w:val="22"/>
                <w:szCs w:val="22"/>
                <w:lang w:eastAsia="en-GB"/>
              </w:rPr>
              <w:t>All compounds</w:t>
            </w:r>
          </w:p>
        </w:tc>
        <w:tc>
          <w:tcPr>
            <w:tcW w:w="485" w:type="pct"/>
            <w:tcBorders>
              <w:top w:val="single" w:sz="4" w:space="0" w:color="auto"/>
              <w:left w:val="nil"/>
              <w:bottom w:val="single" w:sz="4" w:space="0" w:color="auto"/>
              <w:right w:val="nil"/>
            </w:tcBorders>
            <w:vAlign w:val="center"/>
            <w:hideMark/>
          </w:tcPr>
          <w:p w14:paraId="1E707F28"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2.9E-09</w:t>
            </w:r>
          </w:p>
        </w:tc>
        <w:tc>
          <w:tcPr>
            <w:tcW w:w="486" w:type="pct"/>
            <w:tcBorders>
              <w:top w:val="single" w:sz="4" w:space="0" w:color="auto"/>
              <w:left w:val="nil"/>
              <w:bottom w:val="single" w:sz="4" w:space="0" w:color="auto"/>
              <w:right w:val="nil"/>
            </w:tcBorders>
            <w:vAlign w:val="center"/>
            <w:hideMark/>
          </w:tcPr>
          <w:p w14:paraId="5CCAD947"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1.9E-09</w:t>
            </w:r>
          </w:p>
        </w:tc>
        <w:tc>
          <w:tcPr>
            <w:tcW w:w="486" w:type="pct"/>
            <w:tcBorders>
              <w:top w:val="single" w:sz="4" w:space="0" w:color="auto"/>
              <w:left w:val="nil"/>
              <w:bottom w:val="single" w:sz="4" w:space="0" w:color="auto"/>
              <w:right w:val="nil"/>
            </w:tcBorders>
            <w:vAlign w:val="center"/>
            <w:hideMark/>
          </w:tcPr>
          <w:p w14:paraId="6CFE5806"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1.1E-09</w:t>
            </w:r>
          </w:p>
        </w:tc>
        <w:tc>
          <w:tcPr>
            <w:tcW w:w="485" w:type="pct"/>
            <w:tcBorders>
              <w:top w:val="single" w:sz="4" w:space="0" w:color="auto"/>
              <w:left w:val="nil"/>
              <w:bottom w:val="single" w:sz="4" w:space="0" w:color="auto"/>
              <w:right w:val="nil"/>
            </w:tcBorders>
            <w:vAlign w:val="center"/>
            <w:hideMark/>
          </w:tcPr>
          <w:p w14:paraId="7483D936"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7.7E-10</w:t>
            </w:r>
          </w:p>
        </w:tc>
        <w:tc>
          <w:tcPr>
            <w:tcW w:w="486" w:type="pct"/>
            <w:tcBorders>
              <w:top w:val="single" w:sz="4" w:space="0" w:color="auto"/>
              <w:left w:val="nil"/>
              <w:bottom w:val="single" w:sz="4" w:space="0" w:color="auto"/>
              <w:right w:val="nil"/>
            </w:tcBorders>
            <w:vAlign w:val="center"/>
            <w:hideMark/>
          </w:tcPr>
          <w:p w14:paraId="0130D05A"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5.3E-10</w:t>
            </w:r>
          </w:p>
        </w:tc>
        <w:tc>
          <w:tcPr>
            <w:tcW w:w="486" w:type="pct"/>
            <w:tcBorders>
              <w:top w:val="single" w:sz="4" w:space="0" w:color="auto"/>
              <w:left w:val="nil"/>
              <w:bottom w:val="single" w:sz="4" w:space="0" w:color="auto"/>
              <w:right w:val="nil"/>
            </w:tcBorders>
            <w:vAlign w:val="center"/>
            <w:hideMark/>
          </w:tcPr>
          <w:p w14:paraId="48B5B72E" w14:textId="77777777" w:rsidR="00D36248" w:rsidRPr="00C47F2F" w:rsidRDefault="00D36248" w:rsidP="00CD4B01">
            <w:pPr>
              <w:jc w:val="left"/>
              <w:rPr>
                <w:rFonts w:eastAsia="Times New Roman"/>
                <w:noProof/>
                <w:color w:val="000000"/>
                <w:sz w:val="22"/>
                <w:szCs w:val="22"/>
              </w:rPr>
            </w:pPr>
            <w:r w:rsidRPr="00C47F2F">
              <w:rPr>
                <w:rFonts w:eastAsia="Times New Roman"/>
                <w:noProof/>
                <w:color w:val="000000"/>
                <w:sz w:val="22"/>
                <w:szCs w:val="22"/>
              </w:rPr>
              <w:t>4.9E-10</w:t>
            </w:r>
          </w:p>
        </w:tc>
      </w:tr>
    </w:tbl>
    <w:p w14:paraId="21586BFA" w14:textId="77777777" w:rsidR="00187747" w:rsidRPr="00C47F2F" w:rsidRDefault="00187747" w:rsidP="00C47F2F">
      <w:pPr>
        <w:pStyle w:val="GlossaryHeadChar"/>
        <w:overflowPunct/>
        <w:autoSpaceDE/>
        <w:autoSpaceDN/>
        <w:adjustRightInd/>
        <w:spacing w:before="0" w:after="0"/>
        <w:textAlignment w:val="auto"/>
        <w:rPr>
          <w:rFonts w:ascii="Times Roman" w:hAnsi="Times Roman"/>
          <w:noProof/>
          <w:sz w:val="32"/>
          <w:lang w:eastAsia="en-US"/>
        </w:rPr>
      </w:pPr>
      <w:bookmarkStart w:id="163" w:name="_Toc455492615"/>
      <w:bookmarkStart w:id="164" w:name="_Toc455493044"/>
      <w:r w:rsidRPr="00187747">
        <w:rPr>
          <w:rFonts w:eastAsiaTheme="minorEastAsia"/>
          <w:noProof/>
          <w:lang w:eastAsia="en-US"/>
        </w:rPr>
        <w:br w:type="page"/>
      </w:r>
    </w:p>
    <w:p w14:paraId="37412CA1" w14:textId="7405E613" w:rsidR="007D1F4D" w:rsidRPr="00972C81" w:rsidRDefault="00DC407D" w:rsidP="00E81109">
      <w:pPr>
        <w:pStyle w:val="1"/>
        <w:rPr>
          <w:noProof/>
        </w:rPr>
      </w:pPr>
      <w:bookmarkStart w:id="165" w:name="_Toc162630037"/>
      <w:r w:rsidRPr="00972C81">
        <w:rPr>
          <w:noProof/>
        </w:rPr>
        <w:lastRenderedPageBreak/>
        <w:t>Dysprosium (Z = 66)</w:t>
      </w:r>
      <w:bookmarkEnd w:id="163"/>
      <w:bookmarkEnd w:id="164"/>
      <w:bookmarkEnd w:id="165"/>
    </w:p>
    <w:p w14:paraId="482667DE" w14:textId="3517FF17" w:rsidR="000B33B9" w:rsidRPr="00972C81" w:rsidRDefault="00DC407D" w:rsidP="00E81109">
      <w:pPr>
        <w:pStyle w:val="2"/>
        <w:rPr>
          <w:noProof/>
          <w:lang w:val="en-GB"/>
        </w:rPr>
      </w:pPr>
      <w:bookmarkStart w:id="166" w:name="_Toc17467850"/>
      <w:bookmarkStart w:id="167" w:name="_Toc455492617"/>
      <w:bookmarkStart w:id="168" w:name="_Toc455493046"/>
      <w:bookmarkStart w:id="169" w:name="_Toc162630038"/>
      <w:bookmarkEnd w:id="166"/>
      <w:r w:rsidRPr="00972C81">
        <w:rPr>
          <w:noProof/>
          <w:lang w:val="en-GB"/>
        </w:rPr>
        <w:t>Routes of Intake</w:t>
      </w:r>
      <w:bookmarkEnd w:id="167"/>
      <w:bookmarkEnd w:id="168"/>
      <w:bookmarkEnd w:id="169"/>
    </w:p>
    <w:p w14:paraId="2EBC989B" w14:textId="77777777" w:rsidR="000B33B9" w:rsidRPr="00972C81" w:rsidRDefault="00DC407D" w:rsidP="00E81109">
      <w:pPr>
        <w:pStyle w:val="3"/>
        <w:rPr>
          <w:noProof/>
        </w:rPr>
      </w:pPr>
      <w:bookmarkStart w:id="170" w:name="_Toc162630039"/>
      <w:r w:rsidRPr="00972C81">
        <w:rPr>
          <w:noProof/>
        </w:rPr>
        <w:t>Inhalation</w:t>
      </w:r>
      <w:bookmarkEnd w:id="170"/>
    </w:p>
    <w:p w14:paraId="27714AFD" w14:textId="232E201B" w:rsidR="007D1F4D" w:rsidRPr="00972C81" w:rsidRDefault="000B33B9" w:rsidP="001C4A92">
      <w:pPr>
        <w:pStyle w:val="Annalstext"/>
        <w:rPr>
          <w:noProof/>
        </w:rPr>
      </w:pPr>
      <w:r w:rsidRPr="00972C81">
        <w:rPr>
          <w:noProof/>
        </w:rPr>
        <w:t xml:space="preserve">No reports were found of experimental studies on the behaviour of dysprosium following deposition in the respiratory tract. </w:t>
      </w:r>
      <w:r w:rsidR="008225D3" w:rsidRPr="00972C81">
        <w:rPr>
          <w:noProof/>
        </w:rPr>
        <w:t>A</w:t>
      </w:r>
      <w:r w:rsidRPr="00972C81">
        <w:rPr>
          <w:noProof/>
        </w:rPr>
        <w:t xml:space="preserve">bsorption parameter values based on cerium are applied in this document to the other lanthanides, including dysprosium. Absorption parameter values and Types, and associated </w:t>
      </w:r>
      <w:r w:rsidRPr="00972C81">
        <w:rPr>
          <w:i/>
          <w:noProof/>
        </w:rPr>
        <w:t>f</w:t>
      </w:r>
      <w:r w:rsidRPr="00972C81">
        <w:rPr>
          <w:noProof/>
          <w:vertAlign w:val="subscript"/>
        </w:rPr>
        <w:t>A</w:t>
      </w:r>
      <w:r w:rsidRPr="00972C81">
        <w:rPr>
          <w:noProof/>
        </w:rPr>
        <w:t xml:space="preserve"> values for particulate forms of lanthanides, including dysprosium, are given in </w:t>
      </w:r>
      <w:r w:rsidR="00B94D6D" w:rsidRPr="00972C81">
        <w:rPr>
          <w:noProof/>
        </w:rPr>
        <w:fldChar w:fldCharType="begin"/>
      </w:r>
      <w:r w:rsidR="00B94D6D" w:rsidRPr="00972C81">
        <w:rPr>
          <w:noProof/>
        </w:rPr>
        <w:instrText xml:space="preserve"> REF _Ref417994983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1</w:t>
      </w:r>
      <w:r w:rsidR="00B94D6D" w:rsidRPr="00972C81">
        <w:rPr>
          <w:noProof/>
        </w:rPr>
        <w:fldChar w:fldCharType="end"/>
      </w:r>
      <w:r w:rsidR="00B94D6D" w:rsidRPr="00972C81">
        <w:rPr>
          <w:noProof/>
        </w:rPr>
        <w:t xml:space="preserve"> and </w:t>
      </w:r>
      <w:r w:rsidR="00B94D6D" w:rsidRPr="00972C81">
        <w:rPr>
          <w:noProof/>
        </w:rPr>
        <w:fldChar w:fldCharType="begin"/>
      </w:r>
      <w:r w:rsidR="00B94D6D" w:rsidRPr="00972C81">
        <w:rPr>
          <w:noProof/>
        </w:rPr>
        <w:instrText xml:space="preserve"> REF _Ref141784472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B94D6D" w:rsidRPr="00972C81">
        <w:rPr>
          <w:noProof/>
        </w:rPr>
        <w:fldChar w:fldCharType="end"/>
      </w:r>
      <w:r w:rsidR="00B94D6D" w:rsidRPr="00972C81">
        <w:rPr>
          <w:noProof/>
        </w:rPr>
        <w:t xml:space="preserve"> </w:t>
      </w:r>
      <w:r w:rsidRPr="00972C81">
        <w:rPr>
          <w:noProof/>
        </w:rPr>
        <w:t xml:space="preserve">of the </w:t>
      </w:r>
      <w:r w:rsidR="008225D3" w:rsidRPr="00972C81">
        <w:rPr>
          <w:noProof/>
        </w:rPr>
        <w:t>lanthanum S</w:t>
      </w:r>
      <w:r w:rsidRPr="00972C81">
        <w:rPr>
          <w:noProof/>
        </w:rPr>
        <w:t xml:space="preserve">ection. </w:t>
      </w:r>
    </w:p>
    <w:p w14:paraId="5489864C" w14:textId="77777777" w:rsidR="000B33B9" w:rsidRPr="00972C81" w:rsidRDefault="00DC407D" w:rsidP="00E81109">
      <w:pPr>
        <w:pStyle w:val="3"/>
        <w:rPr>
          <w:noProof/>
        </w:rPr>
      </w:pPr>
      <w:bookmarkStart w:id="171" w:name="_Toc162630040"/>
      <w:r w:rsidRPr="00972C81">
        <w:rPr>
          <w:noProof/>
        </w:rPr>
        <w:t>Ingestion</w:t>
      </w:r>
      <w:bookmarkEnd w:id="171"/>
    </w:p>
    <w:p w14:paraId="3AF1E3E2" w14:textId="1BE82E50" w:rsidR="00FE4493" w:rsidRPr="00972C81" w:rsidRDefault="00DC407D" w:rsidP="001C4A92">
      <w:pPr>
        <w:pStyle w:val="Annalstext"/>
        <w:rPr>
          <w:noProof/>
        </w:rPr>
      </w:pPr>
      <w:r w:rsidRPr="00972C81">
        <w:rPr>
          <w:i/>
          <w:noProof/>
        </w:rPr>
        <w:t>Adults</w:t>
      </w:r>
      <w:r w:rsidR="00FE4493" w:rsidRPr="00972C81">
        <w:rPr>
          <w:noProof/>
        </w:rPr>
        <w:t xml:space="preserve">. In Section 2 of </w:t>
      </w:r>
      <w:r w:rsidR="007649A9" w:rsidRPr="00972C81">
        <w:rPr>
          <w:i/>
          <w:noProof/>
        </w:rPr>
        <w:t>Publication 141</w:t>
      </w:r>
      <w:r w:rsidR="007649A9" w:rsidRPr="00972C81">
        <w:rPr>
          <w:noProof/>
        </w:rPr>
        <w:t xml:space="preserve"> </w:t>
      </w:r>
      <w:r w:rsidR="00175ACB" w:rsidRPr="00972C81">
        <w:rPr>
          <w:noProof/>
        </w:rPr>
        <w:fldChar w:fldCharType="begin"/>
      </w:r>
      <w:r w:rsidR="00175ACB" w:rsidRPr="00972C81">
        <w:rPr>
          <w:noProof/>
        </w:rPr>
        <w:instrText xml:space="preserve"> ADDIN ZOTERO_ITEM CSL_CITATION {"citationID":"fcy2iU8x","properties":{"formattedCitation":"(ICRP,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175ACB" w:rsidRPr="00972C81">
        <w:rPr>
          <w:noProof/>
        </w:rPr>
        <w:fldChar w:fldCharType="separate"/>
      </w:r>
      <w:r w:rsidR="00BC59C6" w:rsidRPr="00972C81">
        <w:rPr>
          <w:noProof/>
        </w:rPr>
        <w:t>(ICRP, 2019)</w:t>
      </w:r>
      <w:r w:rsidR="00175ACB" w:rsidRPr="00972C81">
        <w:rPr>
          <w:noProof/>
        </w:rPr>
        <w:fldChar w:fldCharType="end"/>
      </w:r>
      <w:r w:rsidR="007649A9" w:rsidRPr="00972C81">
        <w:rPr>
          <w:noProof/>
        </w:rPr>
        <w:t>,</w:t>
      </w:r>
      <w:r w:rsidR="00FE4493" w:rsidRPr="00972C81">
        <w:rPr>
          <w:noProof/>
        </w:rPr>
        <w:t xml:space="preserve"> information relating to the gastrointestinal absorption of different lanthanide elements was compared. Their fractional absorption was found to be below 10</w:t>
      </w:r>
      <w:r w:rsidRPr="00972C81">
        <w:rPr>
          <w:noProof/>
          <w:vertAlign w:val="superscript"/>
        </w:rPr>
        <w:t>-3</w:t>
      </w:r>
      <w:r w:rsidR="00FE4493" w:rsidRPr="00972C81">
        <w:rPr>
          <w:noProof/>
        </w:rPr>
        <w:t xml:space="preserve"> in most cases and a </w:t>
      </w:r>
      <w:r w:rsidRPr="00972C81">
        <w:rPr>
          <w:i/>
          <w:noProof/>
        </w:rPr>
        <w:t>f</w:t>
      </w:r>
      <w:r w:rsidRPr="00972C81">
        <w:rPr>
          <w:noProof/>
          <w:vertAlign w:val="subscript"/>
        </w:rPr>
        <w:t>A</w:t>
      </w:r>
      <w:r w:rsidR="00FE4493" w:rsidRPr="00972C81">
        <w:rPr>
          <w:noProof/>
        </w:rPr>
        <w:t xml:space="preserve"> value 5</w:t>
      </w:r>
      <w:r w:rsidR="00067025" w:rsidRPr="00972C81">
        <w:rPr>
          <w:noProof/>
        </w:rPr>
        <w:t xml:space="preserve"> × </w:t>
      </w:r>
      <w:r w:rsidR="00FE4493" w:rsidRPr="00972C81">
        <w:rPr>
          <w:noProof/>
        </w:rPr>
        <w:t>10</w:t>
      </w:r>
      <w:r w:rsidRPr="00972C81">
        <w:rPr>
          <w:noProof/>
          <w:vertAlign w:val="superscript"/>
        </w:rPr>
        <w:t>–4</w:t>
      </w:r>
      <w:r w:rsidR="00FE4493" w:rsidRPr="00972C81">
        <w:rPr>
          <w:noProof/>
        </w:rPr>
        <w:t xml:space="preserve"> was adopted for all lanthanides as a reasonably representative value based on experimental results. The value of </w:t>
      </w:r>
      <w:r w:rsidRPr="00972C81">
        <w:rPr>
          <w:i/>
          <w:noProof/>
        </w:rPr>
        <w:t>f</w:t>
      </w:r>
      <w:r w:rsidRPr="00972C81">
        <w:rPr>
          <w:noProof/>
          <w:vertAlign w:val="subscript"/>
        </w:rPr>
        <w:t>A</w:t>
      </w:r>
      <w:r w:rsidR="00FE4493" w:rsidRPr="00972C81">
        <w:rPr>
          <w:noProof/>
        </w:rPr>
        <w:t xml:space="preserve"> = 5</w:t>
      </w:r>
      <w:r w:rsidR="00067025" w:rsidRPr="00972C81">
        <w:rPr>
          <w:noProof/>
        </w:rPr>
        <w:t xml:space="preserve"> × </w:t>
      </w:r>
      <w:r w:rsidR="00FE4493" w:rsidRPr="00972C81">
        <w:rPr>
          <w:noProof/>
        </w:rPr>
        <w:t>10</w:t>
      </w:r>
      <w:r w:rsidRPr="00972C81">
        <w:rPr>
          <w:noProof/>
          <w:vertAlign w:val="superscript"/>
        </w:rPr>
        <w:t>–4</w:t>
      </w:r>
      <w:r w:rsidR="00FE4493" w:rsidRPr="00972C81">
        <w:rPr>
          <w:noProof/>
        </w:rPr>
        <w:t xml:space="preserve"> is therefore used here for intakes of dysprosium by adult members of the public.</w:t>
      </w:r>
    </w:p>
    <w:p w14:paraId="209F8A36" w14:textId="429B2C62" w:rsidR="007D1F4D" w:rsidRPr="00972C81" w:rsidRDefault="00DC407D" w:rsidP="001C4A92">
      <w:pPr>
        <w:pStyle w:val="Annalstext"/>
        <w:rPr>
          <w:noProof/>
        </w:rPr>
      </w:pPr>
      <w:r w:rsidRPr="00972C81">
        <w:rPr>
          <w:i/>
          <w:noProof/>
        </w:rPr>
        <w:t>Children</w:t>
      </w:r>
      <w:r w:rsidR="00FE4493" w:rsidRPr="00972C81">
        <w:rPr>
          <w:i/>
          <w:noProof/>
        </w:rPr>
        <w:t>.</w:t>
      </w:r>
      <w:r w:rsidR="00FE4493" w:rsidRPr="00972C81">
        <w:rPr>
          <w:noProof/>
        </w:rPr>
        <w:t xml:space="preserve"> The age-dependency of dysprosium absorption was not observed. On the basis of the chemical analogy with cerium, the same values of </w:t>
      </w:r>
      <w:r w:rsidRPr="00972C81">
        <w:rPr>
          <w:i/>
          <w:noProof/>
        </w:rPr>
        <w:t>f</w:t>
      </w:r>
      <w:r w:rsidRPr="00972C81">
        <w:rPr>
          <w:noProof/>
          <w:vertAlign w:val="subscript"/>
        </w:rPr>
        <w:t>A</w:t>
      </w:r>
      <w:r w:rsidR="00FE4493" w:rsidRPr="00972C81">
        <w:rPr>
          <w:noProof/>
        </w:rPr>
        <w:t xml:space="preserve"> = 5</w:t>
      </w:r>
      <w:r w:rsidR="00067025" w:rsidRPr="00972C81">
        <w:rPr>
          <w:noProof/>
        </w:rPr>
        <w:t xml:space="preserve"> × </w:t>
      </w:r>
      <w:r w:rsidR="00FE4493" w:rsidRPr="00972C81">
        <w:rPr>
          <w:noProof/>
        </w:rPr>
        <w:t>10</w:t>
      </w:r>
      <w:r w:rsidRPr="00972C81">
        <w:rPr>
          <w:noProof/>
          <w:vertAlign w:val="superscript"/>
        </w:rPr>
        <w:t>-3</w:t>
      </w:r>
      <w:r w:rsidR="00FE4493" w:rsidRPr="00972C81">
        <w:rPr>
          <w:noProof/>
        </w:rPr>
        <w:t xml:space="preserve"> for 3-month-old infants and 5</w:t>
      </w:r>
      <w:r w:rsidR="00067025" w:rsidRPr="00972C81">
        <w:rPr>
          <w:noProof/>
        </w:rPr>
        <w:t xml:space="preserve"> × </w:t>
      </w:r>
      <w:r w:rsidR="00FE4493" w:rsidRPr="00972C81">
        <w:rPr>
          <w:noProof/>
        </w:rPr>
        <w:t>10</w:t>
      </w:r>
      <w:r w:rsidRPr="00972C81">
        <w:rPr>
          <w:noProof/>
          <w:vertAlign w:val="superscript"/>
        </w:rPr>
        <w:t>-4</w:t>
      </w:r>
      <w:r w:rsidR="00FE4493" w:rsidRPr="00972C81">
        <w:rPr>
          <w:noProof/>
        </w:rPr>
        <w:t xml:space="preserve"> for children of 1 year and older are adopted here for dysprosium.</w:t>
      </w:r>
    </w:p>
    <w:p w14:paraId="67FBD450" w14:textId="77777777" w:rsidR="00AE7A83" w:rsidRPr="00972C81" w:rsidRDefault="00AE7A83" w:rsidP="00E81109">
      <w:pPr>
        <w:pStyle w:val="3"/>
        <w:rPr>
          <w:noProof/>
        </w:rPr>
      </w:pPr>
      <w:bookmarkStart w:id="172" w:name="_Toc162630041"/>
      <w:r w:rsidRPr="00972C81">
        <w:rPr>
          <w:noProof/>
        </w:rPr>
        <w:t>Systemic Distribution, Retention and Excretion</w:t>
      </w:r>
      <w:bookmarkEnd w:id="172"/>
    </w:p>
    <w:p w14:paraId="26DBD313" w14:textId="77777777" w:rsidR="000E7201" w:rsidRPr="00972C81" w:rsidRDefault="000E7201" w:rsidP="006703A2">
      <w:pPr>
        <w:pStyle w:val="OIRTitre4"/>
      </w:pPr>
      <w:r w:rsidRPr="002D114E">
        <w:t>Summary</w:t>
      </w:r>
      <w:r w:rsidRPr="00972C81">
        <w:t xml:space="preserve"> of biokinetic data</w:t>
      </w:r>
    </w:p>
    <w:p w14:paraId="5A3D5458" w14:textId="425E2C7D" w:rsidR="000E7201" w:rsidRPr="00972C81" w:rsidRDefault="000E7201" w:rsidP="001C4A92">
      <w:pPr>
        <w:pStyle w:val="Annalstext"/>
        <w:rPr>
          <w:rFonts w:eastAsia="Times New Roman"/>
          <w:noProof/>
          <w:lang w:eastAsia="fr-FR"/>
        </w:rPr>
      </w:pPr>
      <w:r w:rsidRPr="00972C81">
        <w:rPr>
          <w:rFonts w:eastAsia="Times New Roman"/>
          <w:noProof/>
          <w:lang w:eastAsia="fr-FR"/>
        </w:rPr>
        <w:t xml:space="preserve">The lanthanides </w:t>
      </w:r>
      <w:r w:rsidRPr="00972C81">
        <w:rPr>
          <w:rFonts w:eastAsia="Times New Roman"/>
          <w:noProof/>
        </w:rPr>
        <w:t>terbium, dysprosium, holmium, erbium, thulium, ytterbium, and lutetium</w:t>
      </w:r>
      <w:r w:rsidRPr="00972C81">
        <w:rPr>
          <w:rFonts w:eastAsia="Times New Roman"/>
          <w:noProof/>
          <w:lang w:eastAsia="fr-FR"/>
        </w:rPr>
        <w:t xml:space="preserve"> showed similar biokinetics in rats </w:t>
      </w:r>
      <w:r w:rsidR="00175ACB" w:rsidRPr="00972C81">
        <w:rPr>
          <w:rFonts w:eastAsia="Times New Roman"/>
          <w:noProof/>
          <w:lang w:eastAsia="fr-FR"/>
        </w:rPr>
        <w:fldChar w:fldCharType="begin"/>
      </w:r>
      <w:r w:rsidR="00612860" w:rsidRPr="00972C81">
        <w:rPr>
          <w:rFonts w:eastAsia="Times New Roman"/>
          <w:noProof/>
          <w:lang w:eastAsia="fr-FR"/>
        </w:rPr>
        <w:instrText xml:space="preserve"> ADDIN ZOTERO_ITEM CSL_CITATION {"citationID":"egOJvzA7","properties":{"formattedCitation":"(Ando et al., 1989; Durbin, 1959, 1962; Moskalev et al., 1974)","plainCitation":"(Ando et al., 1989; Durbin, 1959, 1962; Moskalev et al., 1974)","noteIndex":0},"citationItems":[{"id":2345,"uris":["http://zotero.org/groups/2470620/items/G9C65MS5"],"itemData":{"id":2345,"type":"article-journal","archive":"Scopus","container-title":"International Journal of Radiation Applications and Instrumentation.","DOI":"10.1016/0883-2897(89)90216-X","issue":"1","page":"57-80","title":"Relation between the location of elements in the periodic table and various organ-uptake rates","volume":"16","author":[{"family":"Ando","given":"A."},{"family":"Ando","given":"I."},{"family":"Hiraki","given":"T."},{"family":"Hisada","given":"K."}],"issued":{"date-parts":[["1989"]]}}},{"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mammals","volume":"8","author":[{"family":"Durbin","given":"P.W."}],"issued":{"date-parts":[["1962"]]}}},{"id":4757,"uris":["http://zotero.org/groups/2470620/items/GPRMH38F"],"itemData":{"id":4757,"type":"chapter","container-title":"Biological Effects of Radiation from External and Internal Sources. Translated in U.S. Atomic Energy Commission Document AEC-tr-7457","event-place":"Moscow, Russia","publisher":"Medistina","publisher-place":"Moscow, Russia","source":"Google Scholar","title":"Distinctions of distribution in the organism of radioactive isotopes of lanthanide elements","author":[{"family":"Moskalev","given":"Yu I."},{"family":"Zalikin","given":"G. A."},{"family":"Stepanov","given":"V. S."}],"issued":{"date-parts":[["1974"]]}}}],"schema":"https://github.com/citation-style-language/schema/raw/master/csl-citation.json"} </w:instrText>
      </w:r>
      <w:r w:rsidR="00175ACB" w:rsidRPr="00972C81">
        <w:rPr>
          <w:rFonts w:eastAsia="Times New Roman"/>
          <w:noProof/>
          <w:lang w:eastAsia="fr-FR"/>
        </w:rPr>
        <w:fldChar w:fldCharType="separate"/>
      </w:r>
      <w:r w:rsidR="00BC59C6" w:rsidRPr="00972C81">
        <w:rPr>
          <w:noProof/>
        </w:rPr>
        <w:t>(Ando et al., 1989; Durbin, 1959, 1962; Moskalev et al., 1974)</w:t>
      </w:r>
      <w:r w:rsidR="00175ACB" w:rsidRPr="00972C81">
        <w:rPr>
          <w:rFonts w:eastAsia="Times New Roman"/>
          <w:noProof/>
          <w:lang w:eastAsia="fr-FR"/>
        </w:rPr>
        <w:fldChar w:fldCharType="end"/>
      </w:r>
      <w:r w:rsidRPr="00972C81">
        <w:rPr>
          <w:rFonts w:eastAsia="Times New Roman"/>
          <w:noProof/>
          <w:lang w:eastAsia="fr-FR"/>
        </w:rPr>
        <w:t>. At day 4 after intramuscular injection about 60% of the activity entering blood was contained in bone and 1</w:t>
      </w:r>
      <w:r w:rsidR="002D114E" w:rsidRPr="00972C81">
        <w:rPr>
          <w:noProof/>
        </w:rPr>
        <w:t>–</w:t>
      </w:r>
      <w:r w:rsidRPr="00972C81">
        <w:rPr>
          <w:rFonts w:eastAsia="Times New Roman"/>
          <w:noProof/>
          <w:lang w:eastAsia="fr-FR"/>
        </w:rPr>
        <w:t xml:space="preserve">7% was contained in the liver </w:t>
      </w:r>
      <w:r w:rsidR="00175ACB" w:rsidRPr="00972C81">
        <w:rPr>
          <w:rFonts w:eastAsia="Times New Roman"/>
          <w:noProof/>
          <w:lang w:eastAsia="fr-FR"/>
        </w:rPr>
        <w:fldChar w:fldCharType="begin"/>
      </w:r>
      <w:r w:rsidR="00175ACB" w:rsidRPr="00972C81">
        <w:rPr>
          <w:rFonts w:eastAsia="Times New Roman"/>
          <w:noProof/>
          <w:lang w:eastAsia="fr-FR"/>
        </w:rPr>
        <w:instrText xml:space="preserve"> ADDIN ZOTERO_ITEM CSL_CITATION {"citationID":"c1135Vlo","properties":{"formattedCitation":"(Durbin, 1959, 1962)","plainCitation":"(Durbin, 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175ACB" w:rsidRPr="00972C81">
        <w:rPr>
          <w:rFonts w:eastAsia="Times New Roman"/>
          <w:noProof/>
          <w:lang w:eastAsia="fr-FR"/>
        </w:rPr>
        <w:fldChar w:fldCharType="separate"/>
      </w:r>
      <w:r w:rsidR="00BC59C6" w:rsidRPr="00972C81">
        <w:rPr>
          <w:noProof/>
        </w:rPr>
        <w:t>(Durbin, 1959, 1962)</w:t>
      </w:r>
      <w:r w:rsidR="00175ACB" w:rsidRPr="00972C81">
        <w:rPr>
          <w:rFonts w:eastAsia="Times New Roman"/>
          <w:noProof/>
          <w:lang w:eastAsia="fr-FR"/>
        </w:rPr>
        <w:fldChar w:fldCharType="end"/>
      </w:r>
      <w:r w:rsidRPr="00972C81">
        <w:rPr>
          <w:rFonts w:eastAsia="Times New Roman"/>
          <w:noProof/>
          <w:lang w:eastAsia="fr-FR"/>
        </w:rPr>
        <w:t>. Cumulative loss in urine and faeces through day 4 amounted to 16</w:t>
      </w:r>
      <w:r w:rsidR="006A4B24" w:rsidRPr="00972C81">
        <w:rPr>
          <w:noProof/>
        </w:rPr>
        <w:t>–</w:t>
      </w:r>
      <w:r w:rsidRPr="00972C81">
        <w:rPr>
          <w:rFonts w:eastAsia="Times New Roman"/>
          <w:noProof/>
          <w:lang w:eastAsia="fr-FR"/>
        </w:rPr>
        <w:t>27% and 5</w:t>
      </w:r>
      <w:r w:rsidR="002D114E" w:rsidRPr="00972C81">
        <w:rPr>
          <w:noProof/>
        </w:rPr>
        <w:t>–</w:t>
      </w:r>
      <w:r w:rsidRPr="00972C81">
        <w:rPr>
          <w:rFonts w:eastAsia="Times New Roman"/>
          <w:noProof/>
          <w:lang w:eastAsia="fr-FR"/>
        </w:rPr>
        <w:t xml:space="preserve">13%, respectively, of the amount reaching blood </w:t>
      </w:r>
      <w:r w:rsidR="00175ACB" w:rsidRPr="00972C81">
        <w:rPr>
          <w:rFonts w:eastAsia="Times New Roman"/>
          <w:noProof/>
          <w:lang w:eastAsia="fr-FR"/>
        </w:rPr>
        <w:fldChar w:fldCharType="begin"/>
      </w:r>
      <w:r w:rsidR="00175ACB" w:rsidRPr="00972C81">
        <w:rPr>
          <w:rFonts w:eastAsia="Times New Roman"/>
          <w:noProof/>
          <w:lang w:eastAsia="fr-FR"/>
        </w:rPr>
        <w:instrText xml:space="preserve"> ADDIN ZOTERO_ITEM CSL_CITATION {"citationID":"HVJIEXzU","properties":{"formattedCitation":"(Durbin, 1959, 1962)","plainCitation":"(Durbin, 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175ACB" w:rsidRPr="00972C81">
        <w:rPr>
          <w:rFonts w:eastAsia="Times New Roman"/>
          <w:noProof/>
          <w:lang w:eastAsia="fr-FR"/>
        </w:rPr>
        <w:fldChar w:fldCharType="separate"/>
      </w:r>
      <w:r w:rsidR="00BC59C6" w:rsidRPr="00972C81">
        <w:rPr>
          <w:noProof/>
        </w:rPr>
        <w:t>(Durbin, 1959, 1962)</w:t>
      </w:r>
      <w:r w:rsidR="00175ACB" w:rsidRPr="00972C81">
        <w:rPr>
          <w:rFonts w:eastAsia="Times New Roman"/>
          <w:noProof/>
          <w:lang w:eastAsia="fr-FR"/>
        </w:rPr>
        <w:fldChar w:fldCharType="end"/>
      </w:r>
      <w:r w:rsidRPr="00972C81">
        <w:rPr>
          <w:rFonts w:eastAsia="Times New Roman"/>
          <w:noProof/>
          <w:lang w:eastAsia="fr-FR"/>
        </w:rPr>
        <w:t>.</w:t>
      </w:r>
    </w:p>
    <w:p w14:paraId="223580EE" w14:textId="2CAD49AB" w:rsidR="000E7201" w:rsidRPr="00972C81" w:rsidRDefault="000E7201" w:rsidP="001C4A92">
      <w:pPr>
        <w:pStyle w:val="Annalstext"/>
        <w:rPr>
          <w:rFonts w:eastAsia="Times New Roman"/>
          <w:noProof/>
        </w:rPr>
      </w:pPr>
      <w:r w:rsidRPr="00972C81">
        <w:rPr>
          <w:rFonts w:eastAsia="Times New Roman"/>
          <w:noProof/>
        </w:rPr>
        <w:t xml:space="preserve">No information was found regarding the effect of age on the biokinetics of systemic </w:t>
      </w:r>
      <w:r w:rsidRPr="00972C81">
        <w:rPr>
          <w:rFonts w:ascii="Times Roman" w:hAnsi="Times Roman"/>
          <w:noProof/>
        </w:rPr>
        <w:t>neodymium</w:t>
      </w:r>
      <w:r w:rsidRPr="00972C81">
        <w:rPr>
          <w:rFonts w:eastAsia="Times New Roman"/>
          <w:noProof/>
        </w:rPr>
        <w:t xml:space="preserve">. </w:t>
      </w:r>
    </w:p>
    <w:p w14:paraId="050C521F" w14:textId="77777777" w:rsidR="000E7201" w:rsidRPr="00972C81" w:rsidRDefault="000E7201" w:rsidP="006703A2">
      <w:pPr>
        <w:pStyle w:val="OIRTitre4"/>
      </w:pPr>
      <w:r w:rsidRPr="00972C81">
        <w:t>Systemic model</w:t>
      </w:r>
    </w:p>
    <w:p w14:paraId="41E770E2" w14:textId="755F8A80" w:rsidR="000E7201" w:rsidRPr="00972C81" w:rsidRDefault="000E7201" w:rsidP="001C4A92">
      <w:pPr>
        <w:pStyle w:val="Annalstext"/>
        <w:rPr>
          <w:noProof/>
        </w:rPr>
      </w:pPr>
      <w:r w:rsidRPr="00972C81">
        <w:rPr>
          <w:noProof/>
        </w:rPr>
        <w:t xml:space="preserve">The model structure shown in </w:t>
      </w:r>
      <w:r w:rsidR="00175ACB" w:rsidRPr="00972C81">
        <w:rPr>
          <w:noProof/>
        </w:rPr>
        <w:fldChar w:fldCharType="begin"/>
      </w:r>
      <w:r w:rsidR="00175ACB" w:rsidRPr="00972C81">
        <w:rPr>
          <w:noProof/>
        </w:rPr>
        <w:instrText xml:space="preserve"> REF _Ref141858180 \h </w:instrText>
      </w:r>
      <w:r w:rsidR="00175ACB" w:rsidRPr="00972C81">
        <w:rPr>
          <w:noProof/>
        </w:rPr>
      </w:r>
      <w:r w:rsidR="00175ACB" w:rsidRPr="00972C81">
        <w:rPr>
          <w:noProof/>
        </w:rPr>
        <w:fldChar w:fldCharType="separate"/>
      </w:r>
      <w:r w:rsidR="00A41AD1" w:rsidRPr="00A41AD1">
        <w:rPr>
          <w:noProof/>
          <w:szCs w:val="24"/>
        </w:rPr>
        <w:t xml:space="preserve">Fig </w:t>
      </w:r>
      <w:r w:rsidR="00A41AD1">
        <w:rPr>
          <w:noProof/>
          <w:szCs w:val="24"/>
        </w:rPr>
        <w:t>3</w:t>
      </w:r>
      <w:r w:rsidR="00A41AD1" w:rsidRPr="00A41AD1">
        <w:rPr>
          <w:noProof/>
          <w:szCs w:val="24"/>
        </w:rPr>
        <w:t>.</w:t>
      </w:r>
      <w:r w:rsidR="00A41AD1">
        <w:rPr>
          <w:noProof/>
          <w:szCs w:val="24"/>
        </w:rPr>
        <w:t>1</w:t>
      </w:r>
      <w:r w:rsidR="00175ACB" w:rsidRPr="00972C81">
        <w:rPr>
          <w:noProof/>
        </w:rPr>
        <w:fldChar w:fldCharType="end"/>
      </w:r>
      <w:r w:rsidRPr="00972C81">
        <w:rPr>
          <w:noProof/>
        </w:rPr>
        <w:t xml:space="preserve"> of the section on cerium is applied in this report to all lanthanide elements.</w:t>
      </w:r>
    </w:p>
    <w:p w14:paraId="15AC2662" w14:textId="6D514204" w:rsidR="000E7201" w:rsidRPr="00972C81" w:rsidRDefault="000E7201" w:rsidP="001C4A92">
      <w:pPr>
        <w:pStyle w:val="Annalstext"/>
        <w:rPr>
          <w:rFonts w:eastAsia="Times New Roman"/>
          <w:noProof/>
        </w:rPr>
      </w:pPr>
      <w:r w:rsidRPr="00972C81">
        <w:rPr>
          <w:rFonts w:eastAsia="Times New Roman"/>
          <w:noProof/>
        </w:rPr>
        <w:t xml:space="preserve">A common set of age-specific transfer coefficients is applied to the “holmium group”, consisting of the lanthanide elements </w:t>
      </w:r>
      <w:r w:rsidRPr="00972C81">
        <w:rPr>
          <w:noProof/>
          <w:color w:val="000000" w:themeColor="text1"/>
        </w:rPr>
        <w:t>terbium, dysprosium, holmium, erbium, thulium, ytterbium, and lutetium</w:t>
      </w:r>
      <w:r w:rsidRPr="00972C81">
        <w:rPr>
          <w:rFonts w:eastAsia="Times New Roman"/>
          <w:noProof/>
        </w:rPr>
        <w:t xml:space="preserve">. Transfer coefficients for the holmium group are listed in </w:t>
      </w:r>
      <w:r w:rsidR="00E80505" w:rsidRPr="00972C81">
        <w:rPr>
          <w:rFonts w:eastAsia="Times New Roman"/>
          <w:noProof/>
          <w:highlight w:val="yellow"/>
        </w:rPr>
        <w:fldChar w:fldCharType="begin"/>
      </w:r>
      <w:r w:rsidR="00E80505" w:rsidRPr="00972C81">
        <w:rPr>
          <w:rFonts w:eastAsia="Times New Roman"/>
          <w:noProof/>
        </w:rPr>
        <w:instrText xml:space="preserve"> REF _Ref142312953 \h </w:instrText>
      </w:r>
      <w:r w:rsidR="00E80505" w:rsidRPr="00972C81">
        <w:rPr>
          <w:rFonts w:eastAsia="Times New Roman"/>
          <w:noProof/>
          <w:highlight w:val="yellow"/>
        </w:rPr>
      </w:r>
      <w:r w:rsidR="00E80505" w:rsidRPr="00972C81">
        <w:rPr>
          <w:rFonts w:eastAsia="Times New Roman"/>
          <w:noProof/>
          <w:highlight w:val="yellow"/>
        </w:rPr>
        <w:fldChar w:fldCharType="separate"/>
      </w:r>
      <w:r w:rsidR="00A41AD1" w:rsidRPr="00972C81">
        <w:rPr>
          <w:noProof/>
        </w:rPr>
        <w:t xml:space="preserve">Table </w:t>
      </w:r>
      <w:r w:rsidR="00A41AD1">
        <w:rPr>
          <w:noProof/>
        </w:rPr>
        <w:t>12</w:t>
      </w:r>
      <w:r w:rsidR="00A41AD1" w:rsidRPr="00972C81">
        <w:rPr>
          <w:noProof/>
        </w:rPr>
        <w:t>.</w:t>
      </w:r>
      <w:r w:rsidR="00A41AD1">
        <w:rPr>
          <w:noProof/>
        </w:rPr>
        <w:t>2</w:t>
      </w:r>
      <w:r w:rsidR="00E80505" w:rsidRPr="00972C81">
        <w:rPr>
          <w:rFonts w:eastAsia="Times New Roman"/>
          <w:noProof/>
          <w:highlight w:val="yellow"/>
        </w:rPr>
        <w:fldChar w:fldCharType="end"/>
      </w:r>
      <w:r w:rsidRPr="00972C81">
        <w:rPr>
          <w:rFonts w:eastAsia="Times New Roman"/>
          <w:noProof/>
        </w:rPr>
        <w:t xml:space="preserve"> of the section on holmium.</w:t>
      </w:r>
    </w:p>
    <w:p w14:paraId="7B6B183E" w14:textId="77777777" w:rsidR="000E7201" w:rsidRPr="00972C81" w:rsidRDefault="000E7201" w:rsidP="006703A2">
      <w:pPr>
        <w:pStyle w:val="OIRTitre4"/>
      </w:pPr>
      <w:r w:rsidRPr="00972C81">
        <w:t>Treatment of radioactive progeny</w:t>
      </w:r>
    </w:p>
    <w:p w14:paraId="65AF3D2C" w14:textId="6192DD93" w:rsidR="001E23AC" w:rsidRPr="00972C81" w:rsidRDefault="001E23AC" w:rsidP="00E81109">
      <w:pPr>
        <w:pStyle w:val="Annalstext"/>
        <w:rPr>
          <w:noProof/>
        </w:rPr>
      </w:pPr>
      <w:r w:rsidRPr="00972C81">
        <w:rPr>
          <w:rFonts w:eastAsia="Calibri"/>
          <w:noProof/>
        </w:rPr>
        <w:t xml:space="preserve">The treatment of radioactive progeny produced in </w:t>
      </w:r>
      <w:r w:rsidRPr="00972C81">
        <w:rPr>
          <w:noProof/>
        </w:rPr>
        <w:t>systemic</w:t>
      </w:r>
      <w:r w:rsidRPr="00972C81">
        <w:rPr>
          <w:rFonts w:eastAsia="Calibri"/>
          <w:noProof/>
        </w:rPr>
        <w:t xml:space="preserve"> compartments after intake of a radioisotope of dysprosium is described in Section 12.2.3.3. of </w:t>
      </w:r>
      <w:r w:rsidR="007649A9" w:rsidRPr="00972C81">
        <w:rPr>
          <w:i/>
          <w:noProof/>
        </w:rPr>
        <w:t>Publication 141</w:t>
      </w:r>
      <w:r w:rsidR="007649A9" w:rsidRPr="00972C81">
        <w:rPr>
          <w:noProof/>
        </w:rPr>
        <w:t xml:space="preserve"> </w:t>
      </w:r>
      <w:r w:rsidR="00175ACB" w:rsidRPr="00972C81">
        <w:rPr>
          <w:noProof/>
        </w:rPr>
        <w:fldChar w:fldCharType="begin"/>
      </w:r>
      <w:r w:rsidR="00175ACB" w:rsidRPr="00972C81">
        <w:rPr>
          <w:noProof/>
        </w:rPr>
        <w:instrText xml:space="preserve"> ADDIN ZOTERO_ITEM CSL_CITATION {"citationID":"8dQqKanV","properties":{"formattedCitation":"(ICRP,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175ACB" w:rsidRPr="00972C81">
        <w:rPr>
          <w:noProof/>
        </w:rPr>
        <w:fldChar w:fldCharType="separate"/>
      </w:r>
      <w:r w:rsidR="00BC59C6" w:rsidRPr="00972C81">
        <w:rPr>
          <w:noProof/>
        </w:rPr>
        <w:t>(ICRP, 2019)</w:t>
      </w:r>
      <w:r w:rsidR="00175ACB" w:rsidRPr="00972C81">
        <w:rPr>
          <w:noProof/>
        </w:rPr>
        <w:fldChar w:fldCharType="end"/>
      </w:r>
      <w:r w:rsidR="007649A9" w:rsidRPr="00972C81">
        <w:rPr>
          <w:noProof/>
        </w:rPr>
        <w:t>.</w:t>
      </w:r>
    </w:p>
    <w:p w14:paraId="644FA6E0" w14:textId="77777777" w:rsidR="00593D1F" w:rsidRPr="00972C81" w:rsidRDefault="00593D1F" w:rsidP="00E81109">
      <w:pPr>
        <w:pStyle w:val="2"/>
        <w:rPr>
          <w:noProof/>
          <w:lang w:val="en-GB"/>
        </w:rPr>
      </w:pPr>
      <w:bookmarkStart w:id="173" w:name="_Toc162630042"/>
      <w:r w:rsidRPr="00972C81">
        <w:rPr>
          <w:noProof/>
          <w:lang w:val="en-GB"/>
        </w:rPr>
        <w:lastRenderedPageBreak/>
        <w:t>Dosimetric data for dysprosium</w:t>
      </w:r>
      <w:bookmarkEnd w:id="173"/>
    </w:p>
    <w:p w14:paraId="1DDB8732" w14:textId="523F90DF" w:rsidR="00F43D48" w:rsidRPr="00972C81" w:rsidRDefault="00F43D48" w:rsidP="00F43D48">
      <w:pPr>
        <w:pStyle w:val="ab"/>
        <w:rPr>
          <w:noProof/>
          <w:sz w:val="24"/>
          <w:szCs w:val="24"/>
        </w:rPr>
      </w:pPr>
      <w:r w:rsidRPr="00972C81">
        <w:rPr>
          <w:noProof/>
          <w:sz w:val="24"/>
          <w:szCs w:val="24"/>
        </w:rPr>
        <w:t>Table 11.1.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159</w:t>
      </w:r>
      <w:r w:rsidRPr="00972C81">
        <w:rPr>
          <w:noProof/>
          <w:sz w:val="24"/>
          <w:szCs w:val="24"/>
        </w:rPr>
        <w:t>Dy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F43D48" w:rsidRPr="00A3213E" w14:paraId="5394003E" w14:textId="77777777" w:rsidTr="00CD4B01">
        <w:trPr>
          <w:trHeight w:val="283"/>
        </w:trPr>
        <w:tc>
          <w:tcPr>
            <w:tcW w:w="2087" w:type="pct"/>
            <w:vMerge w:val="restart"/>
            <w:tcBorders>
              <w:top w:val="single" w:sz="4" w:space="0" w:color="auto"/>
              <w:left w:val="nil"/>
              <w:bottom w:val="single" w:sz="4" w:space="0" w:color="auto"/>
              <w:right w:val="nil"/>
            </w:tcBorders>
            <w:vAlign w:val="bottom"/>
            <w:hideMark/>
          </w:tcPr>
          <w:p w14:paraId="3FC9648E" w14:textId="77777777" w:rsidR="002D114E" w:rsidRPr="00C47F2F" w:rsidRDefault="00F43D48" w:rsidP="00C47F2F">
            <w:pPr>
              <w:pStyle w:val="a5"/>
              <w:tabs>
                <w:tab w:val="clear" w:pos="4153"/>
                <w:tab w:val="clear" w:pos="8306"/>
              </w:tabs>
              <w:jc w:val="left"/>
              <w:rPr>
                <w:noProof/>
                <w:sz w:val="22"/>
                <w:szCs w:val="22"/>
              </w:rPr>
            </w:pPr>
            <w:r w:rsidRPr="00C47F2F">
              <w:rPr>
                <w:noProof/>
                <w:sz w:val="22"/>
                <w:szCs w:val="22"/>
              </w:rPr>
              <w:t>Inhaled particulate materials</w:t>
            </w:r>
          </w:p>
          <w:p w14:paraId="4D8D6647" w14:textId="615E747C" w:rsidR="00F43D48" w:rsidRPr="002D114E" w:rsidRDefault="00F43D48" w:rsidP="00C47F2F">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4499991E" w14:textId="77777777" w:rsidR="00F43D48" w:rsidRPr="00C47F2F" w:rsidRDefault="00F43D48" w:rsidP="00CD4B01">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F43D48" w:rsidRPr="00972C81" w14:paraId="5A01785A" w14:textId="77777777" w:rsidTr="00CD4B01">
        <w:trPr>
          <w:trHeight w:val="283"/>
        </w:trPr>
        <w:tc>
          <w:tcPr>
            <w:tcW w:w="2087" w:type="pct"/>
            <w:vMerge/>
            <w:tcBorders>
              <w:top w:val="single" w:sz="4" w:space="0" w:color="auto"/>
              <w:left w:val="nil"/>
              <w:bottom w:val="single" w:sz="4" w:space="0" w:color="auto"/>
              <w:right w:val="nil"/>
            </w:tcBorders>
            <w:vAlign w:val="center"/>
            <w:hideMark/>
          </w:tcPr>
          <w:p w14:paraId="6FDA3D63" w14:textId="77777777" w:rsidR="00F43D48" w:rsidRPr="002D114E" w:rsidRDefault="00F43D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2271EA44" w14:textId="040051CE" w:rsidR="00F43D48" w:rsidRPr="00C47F2F" w:rsidRDefault="00F43D48" w:rsidP="00CD4B01">
            <w:pPr>
              <w:jc w:val="left"/>
              <w:rPr>
                <w:noProof/>
                <w:sz w:val="22"/>
                <w:szCs w:val="22"/>
                <w:lang w:eastAsia="ko-KR"/>
              </w:rPr>
            </w:pPr>
            <w:r w:rsidRPr="00C47F2F">
              <w:rPr>
                <w:noProof/>
                <w:sz w:val="22"/>
                <w:szCs w:val="22"/>
              </w:rPr>
              <w:t>3</w:t>
            </w:r>
            <w:r w:rsidR="002D114E" w:rsidRPr="00C47F2F">
              <w:rPr>
                <w:noProof/>
                <w:sz w:val="22"/>
                <w:szCs w:val="22"/>
                <w:lang w:eastAsia="ko-KR"/>
              </w:rPr>
              <w:t xml:space="preserve"> </w:t>
            </w:r>
            <w:r w:rsidRPr="00C47F2F">
              <w:rPr>
                <w:noProof/>
                <w:sz w:val="22"/>
                <w:szCs w:val="22"/>
              </w:rPr>
              <w:t>m</w:t>
            </w:r>
            <w:r w:rsidR="00CD4B01">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0734EA61" w14:textId="7F1706CA" w:rsidR="00F43D48" w:rsidRPr="00C47F2F" w:rsidRDefault="00F43D48" w:rsidP="00CD4B01">
            <w:pPr>
              <w:jc w:val="left"/>
              <w:rPr>
                <w:noProof/>
                <w:sz w:val="22"/>
                <w:szCs w:val="22"/>
              </w:rPr>
            </w:pPr>
            <w:r w:rsidRPr="00C47F2F">
              <w:rPr>
                <w:noProof/>
                <w:sz w:val="22"/>
                <w:szCs w:val="22"/>
              </w:rPr>
              <w:t>1</w:t>
            </w:r>
            <w:r w:rsidR="002D114E" w:rsidRPr="00C47F2F">
              <w:rPr>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14103D25" w14:textId="29F92B91" w:rsidR="00F43D48" w:rsidRPr="00C47F2F" w:rsidRDefault="00F43D48" w:rsidP="00CD4B01">
            <w:pPr>
              <w:jc w:val="left"/>
              <w:rPr>
                <w:noProof/>
                <w:sz w:val="22"/>
                <w:szCs w:val="22"/>
              </w:rPr>
            </w:pPr>
            <w:r w:rsidRPr="00C47F2F">
              <w:rPr>
                <w:noProof/>
                <w:sz w:val="22"/>
                <w:szCs w:val="22"/>
              </w:rPr>
              <w:t>5</w:t>
            </w:r>
            <w:r w:rsidR="002D114E" w:rsidRPr="00C47F2F">
              <w:rPr>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4E0666DE" w14:textId="4ED813CD" w:rsidR="00F43D48" w:rsidRPr="00C47F2F" w:rsidRDefault="00F43D48" w:rsidP="00CD4B01">
            <w:pPr>
              <w:jc w:val="left"/>
              <w:rPr>
                <w:noProof/>
                <w:sz w:val="22"/>
                <w:szCs w:val="22"/>
              </w:rPr>
            </w:pPr>
            <w:r w:rsidRPr="00C47F2F">
              <w:rPr>
                <w:noProof/>
                <w:sz w:val="22"/>
                <w:szCs w:val="22"/>
              </w:rPr>
              <w:t>10</w:t>
            </w:r>
            <w:r w:rsidR="002D114E" w:rsidRPr="00C47F2F">
              <w:rPr>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66A535DA" w14:textId="44A574C0" w:rsidR="00F43D48" w:rsidRPr="00C47F2F" w:rsidRDefault="00F43D48" w:rsidP="00CD4B01">
            <w:pPr>
              <w:jc w:val="left"/>
              <w:rPr>
                <w:noProof/>
                <w:sz w:val="22"/>
                <w:szCs w:val="22"/>
              </w:rPr>
            </w:pPr>
            <w:r w:rsidRPr="00C47F2F">
              <w:rPr>
                <w:noProof/>
                <w:sz w:val="22"/>
                <w:szCs w:val="22"/>
              </w:rPr>
              <w:t>15</w:t>
            </w:r>
            <w:r w:rsidR="002D114E" w:rsidRPr="00C47F2F">
              <w:rPr>
                <w:noProof/>
                <w:sz w:val="22"/>
                <w:szCs w:val="22"/>
                <w:lang w:eastAsia="ko-KR"/>
              </w:rPr>
              <w:t xml:space="preserve"> </w:t>
            </w:r>
            <w:r w:rsidRPr="00C47F2F">
              <w:rPr>
                <w:noProof/>
                <w:sz w:val="22"/>
                <w:szCs w:val="22"/>
              </w:rPr>
              <w:t>y</w:t>
            </w:r>
          </w:p>
        </w:tc>
        <w:tc>
          <w:tcPr>
            <w:tcW w:w="488" w:type="pct"/>
            <w:tcBorders>
              <w:top w:val="single" w:sz="4" w:space="0" w:color="auto"/>
              <w:left w:val="nil"/>
              <w:bottom w:val="single" w:sz="4" w:space="0" w:color="auto"/>
              <w:right w:val="nil"/>
            </w:tcBorders>
            <w:vAlign w:val="center"/>
            <w:hideMark/>
          </w:tcPr>
          <w:p w14:paraId="6B0FD8EA" w14:textId="77777777" w:rsidR="00F43D48" w:rsidRPr="00C47F2F" w:rsidRDefault="00F43D48" w:rsidP="00CD4B01">
            <w:pPr>
              <w:jc w:val="left"/>
              <w:rPr>
                <w:noProof/>
                <w:sz w:val="22"/>
                <w:szCs w:val="22"/>
              </w:rPr>
            </w:pPr>
            <w:r w:rsidRPr="00C47F2F">
              <w:rPr>
                <w:noProof/>
                <w:sz w:val="22"/>
                <w:szCs w:val="22"/>
              </w:rPr>
              <w:t>Adult</w:t>
            </w:r>
          </w:p>
        </w:tc>
      </w:tr>
      <w:tr w:rsidR="00F43D48" w:rsidRPr="00972C81" w14:paraId="3F0700B8" w14:textId="77777777" w:rsidTr="00CD4B01">
        <w:trPr>
          <w:trHeight w:val="283"/>
        </w:trPr>
        <w:tc>
          <w:tcPr>
            <w:tcW w:w="2087" w:type="pct"/>
            <w:tcBorders>
              <w:top w:val="single" w:sz="4" w:space="0" w:color="auto"/>
              <w:left w:val="nil"/>
              <w:bottom w:val="nil"/>
              <w:right w:val="nil"/>
            </w:tcBorders>
            <w:hideMark/>
          </w:tcPr>
          <w:p w14:paraId="0572EB8B" w14:textId="77777777" w:rsidR="00F43D48" w:rsidRPr="00C47F2F" w:rsidRDefault="00F43D48" w:rsidP="00CD4B01">
            <w:pPr>
              <w:jc w:val="left"/>
              <w:rPr>
                <w:noProof/>
                <w:sz w:val="22"/>
                <w:szCs w:val="22"/>
              </w:rPr>
            </w:pPr>
            <w:r w:rsidRPr="00C47F2F">
              <w:rPr>
                <w:rFonts w:eastAsia="Times New Roman"/>
                <w:noProof/>
                <w:color w:val="000000"/>
                <w:sz w:val="22"/>
                <w:szCs w:val="22"/>
              </w:rPr>
              <w:t>Water soluble forms, including chloride and citrate</w:t>
            </w:r>
          </w:p>
        </w:tc>
        <w:tc>
          <w:tcPr>
            <w:tcW w:w="485" w:type="pct"/>
            <w:tcBorders>
              <w:top w:val="single" w:sz="4" w:space="0" w:color="auto"/>
              <w:left w:val="nil"/>
              <w:bottom w:val="nil"/>
              <w:right w:val="nil"/>
            </w:tcBorders>
            <w:hideMark/>
          </w:tcPr>
          <w:p w14:paraId="24C2D49E"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2.2E-09</w:t>
            </w:r>
          </w:p>
        </w:tc>
        <w:tc>
          <w:tcPr>
            <w:tcW w:w="485" w:type="pct"/>
            <w:tcBorders>
              <w:top w:val="single" w:sz="4" w:space="0" w:color="auto"/>
              <w:left w:val="nil"/>
              <w:bottom w:val="nil"/>
              <w:right w:val="nil"/>
            </w:tcBorders>
            <w:hideMark/>
          </w:tcPr>
          <w:p w14:paraId="61636FD0"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1.7E-09</w:t>
            </w:r>
          </w:p>
        </w:tc>
        <w:tc>
          <w:tcPr>
            <w:tcW w:w="485" w:type="pct"/>
            <w:tcBorders>
              <w:top w:val="single" w:sz="4" w:space="0" w:color="auto"/>
              <w:left w:val="nil"/>
              <w:bottom w:val="nil"/>
              <w:right w:val="nil"/>
            </w:tcBorders>
            <w:hideMark/>
          </w:tcPr>
          <w:p w14:paraId="3EC5642A"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7.7E-10</w:t>
            </w:r>
          </w:p>
        </w:tc>
        <w:tc>
          <w:tcPr>
            <w:tcW w:w="485" w:type="pct"/>
            <w:tcBorders>
              <w:top w:val="single" w:sz="4" w:space="0" w:color="auto"/>
              <w:left w:val="nil"/>
              <w:bottom w:val="nil"/>
              <w:right w:val="nil"/>
            </w:tcBorders>
            <w:hideMark/>
          </w:tcPr>
          <w:p w14:paraId="35A084C9"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4.7E-10</w:t>
            </w:r>
          </w:p>
        </w:tc>
        <w:tc>
          <w:tcPr>
            <w:tcW w:w="485" w:type="pct"/>
            <w:tcBorders>
              <w:top w:val="single" w:sz="4" w:space="0" w:color="auto"/>
              <w:left w:val="nil"/>
              <w:bottom w:val="nil"/>
              <w:right w:val="nil"/>
            </w:tcBorders>
            <w:hideMark/>
          </w:tcPr>
          <w:p w14:paraId="6A12F194"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3.6E-10</w:t>
            </w:r>
          </w:p>
        </w:tc>
        <w:tc>
          <w:tcPr>
            <w:tcW w:w="488" w:type="pct"/>
            <w:tcBorders>
              <w:top w:val="single" w:sz="4" w:space="0" w:color="auto"/>
              <w:left w:val="nil"/>
              <w:bottom w:val="nil"/>
              <w:right w:val="nil"/>
            </w:tcBorders>
            <w:hideMark/>
          </w:tcPr>
          <w:p w14:paraId="73CA9D71"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3.4E-10</w:t>
            </w:r>
          </w:p>
        </w:tc>
      </w:tr>
      <w:tr w:rsidR="00F43D48" w:rsidRPr="00972C81" w14:paraId="617E2C75" w14:textId="77777777" w:rsidTr="00CD4B01">
        <w:trPr>
          <w:trHeight w:val="283"/>
        </w:trPr>
        <w:tc>
          <w:tcPr>
            <w:tcW w:w="2087" w:type="pct"/>
            <w:tcBorders>
              <w:top w:val="nil"/>
              <w:left w:val="nil"/>
              <w:bottom w:val="nil"/>
              <w:right w:val="nil"/>
            </w:tcBorders>
            <w:hideMark/>
          </w:tcPr>
          <w:p w14:paraId="0AB378AD"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Dioxide</w:t>
            </w:r>
          </w:p>
        </w:tc>
        <w:tc>
          <w:tcPr>
            <w:tcW w:w="485" w:type="pct"/>
            <w:tcBorders>
              <w:top w:val="nil"/>
              <w:left w:val="nil"/>
              <w:bottom w:val="nil"/>
              <w:right w:val="nil"/>
            </w:tcBorders>
            <w:hideMark/>
          </w:tcPr>
          <w:p w14:paraId="2229328E"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2.1E-09</w:t>
            </w:r>
          </w:p>
        </w:tc>
        <w:tc>
          <w:tcPr>
            <w:tcW w:w="485" w:type="pct"/>
            <w:tcBorders>
              <w:top w:val="nil"/>
              <w:left w:val="nil"/>
              <w:bottom w:val="nil"/>
              <w:right w:val="nil"/>
            </w:tcBorders>
            <w:hideMark/>
          </w:tcPr>
          <w:p w14:paraId="218543C9"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1.8E-09</w:t>
            </w:r>
          </w:p>
        </w:tc>
        <w:tc>
          <w:tcPr>
            <w:tcW w:w="485" w:type="pct"/>
            <w:tcBorders>
              <w:top w:val="nil"/>
              <w:left w:val="nil"/>
              <w:bottom w:val="nil"/>
              <w:right w:val="nil"/>
            </w:tcBorders>
            <w:hideMark/>
          </w:tcPr>
          <w:p w14:paraId="10863377"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9.8E-10</w:t>
            </w:r>
          </w:p>
        </w:tc>
        <w:tc>
          <w:tcPr>
            <w:tcW w:w="485" w:type="pct"/>
            <w:tcBorders>
              <w:top w:val="nil"/>
              <w:left w:val="nil"/>
              <w:bottom w:val="nil"/>
              <w:right w:val="nil"/>
            </w:tcBorders>
            <w:hideMark/>
          </w:tcPr>
          <w:p w14:paraId="07710D9D"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6.5E-10</w:t>
            </w:r>
          </w:p>
        </w:tc>
        <w:tc>
          <w:tcPr>
            <w:tcW w:w="485" w:type="pct"/>
            <w:tcBorders>
              <w:top w:val="nil"/>
              <w:left w:val="nil"/>
              <w:bottom w:val="nil"/>
              <w:right w:val="nil"/>
            </w:tcBorders>
            <w:hideMark/>
          </w:tcPr>
          <w:p w14:paraId="1723E80D"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4.8E-10</w:t>
            </w:r>
          </w:p>
        </w:tc>
        <w:tc>
          <w:tcPr>
            <w:tcW w:w="488" w:type="pct"/>
            <w:tcBorders>
              <w:top w:val="nil"/>
              <w:left w:val="nil"/>
              <w:bottom w:val="nil"/>
              <w:right w:val="nil"/>
            </w:tcBorders>
            <w:hideMark/>
          </w:tcPr>
          <w:p w14:paraId="5789EE0C"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5.0E-10</w:t>
            </w:r>
          </w:p>
        </w:tc>
      </w:tr>
      <w:tr w:rsidR="00F43D48" w:rsidRPr="00972C81" w14:paraId="4E4029FF" w14:textId="77777777" w:rsidTr="00CD4B01">
        <w:trPr>
          <w:trHeight w:val="283"/>
        </w:trPr>
        <w:tc>
          <w:tcPr>
            <w:tcW w:w="2087" w:type="pct"/>
            <w:tcBorders>
              <w:top w:val="nil"/>
              <w:left w:val="nil"/>
              <w:bottom w:val="nil"/>
              <w:right w:val="nil"/>
            </w:tcBorders>
            <w:hideMark/>
          </w:tcPr>
          <w:p w14:paraId="407C6623" w14:textId="77777777" w:rsidR="00F43D48" w:rsidRPr="00C47F2F" w:rsidRDefault="00F43D48" w:rsidP="00CD4B01">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7F671A30"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2.4E-09</w:t>
            </w:r>
          </w:p>
        </w:tc>
        <w:tc>
          <w:tcPr>
            <w:tcW w:w="485" w:type="pct"/>
            <w:tcBorders>
              <w:top w:val="nil"/>
              <w:left w:val="nil"/>
              <w:bottom w:val="nil"/>
              <w:right w:val="nil"/>
            </w:tcBorders>
            <w:hideMark/>
          </w:tcPr>
          <w:p w14:paraId="31649C99"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1.6E-09</w:t>
            </w:r>
          </w:p>
        </w:tc>
        <w:tc>
          <w:tcPr>
            <w:tcW w:w="485" w:type="pct"/>
            <w:tcBorders>
              <w:top w:val="nil"/>
              <w:left w:val="nil"/>
              <w:bottom w:val="nil"/>
              <w:right w:val="nil"/>
            </w:tcBorders>
            <w:hideMark/>
          </w:tcPr>
          <w:p w14:paraId="7BD8687A"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5.9E-10</w:t>
            </w:r>
          </w:p>
        </w:tc>
        <w:tc>
          <w:tcPr>
            <w:tcW w:w="485" w:type="pct"/>
            <w:tcBorders>
              <w:top w:val="nil"/>
              <w:left w:val="nil"/>
              <w:bottom w:val="nil"/>
              <w:right w:val="nil"/>
            </w:tcBorders>
            <w:hideMark/>
          </w:tcPr>
          <w:p w14:paraId="382D1ACA"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3.1E-10</w:t>
            </w:r>
          </w:p>
        </w:tc>
        <w:tc>
          <w:tcPr>
            <w:tcW w:w="485" w:type="pct"/>
            <w:tcBorders>
              <w:top w:val="nil"/>
              <w:left w:val="nil"/>
              <w:bottom w:val="nil"/>
              <w:right w:val="nil"/>
            </w:tcBorders>
            <w:hideMark/>
          </w:tcPr>
          <w:p w14:paraId="356984A3"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2.5E-10</w:t>
            </w:r>
          </w:p>
        </w:tc>
        <w:tc>
          <w:tcPr>
            <w:tcW w:w="488" w:type="pct"/>
            <w:tcBorders>
              <w:top w:val="nil"/>
              <w:left w:val="nil"/>
              <w:bottom w:val="nil"/>
              <w:right w:val="nil"/>
            </w:tcBorders>
            <w:hideMark/>
          </w:tcPr>
          <w:p w14:paraId="2C121F1B"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2.1E-10</w:t>
            </w:r>
          </w:p>
        </w:tc>
      </w:tr>
      <w:tr w:rsidR="00F43D48" w:rsidRPr="00972C81" w14:paraId="2E458532" w14:textId="77777777" w:rsidTr="00CD4B01">
        <w:trPr>
          <w:trHeight w:val="283"/>
        </w:trPr>
        <w:tc>
          <w:tcPr>
            <w:tcW w:w="2087" w:type="pct"/>
            <w:tcBorders>
              <w:top w:val="nil"/>
              <w:left w:val="nil"/>
              <w:bottom w:val="nil"/>
              <w:right w:val="nil"/>
            </w:tcBorders>
            <w:hideMark/>
          </w:tcPr>
          <w:p w14:paraId="0E97F7A7" w14:textId="77777777" w:rsidR="00F43D48" w:rsidRPr="00C47F2F" w:rsidRDefault="00F43D48" w:rsidP="00CD4B01">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hideMark/>
          </w:tcPr>
          <w:p w14:paraId="7704773D"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2.1E-09</w:t>
            </w:r>
          </w:p>
        </w:tc>
        <w:tc>
          <w:tcPr>
            <w:tcW w:w="485" w:type="pct"/>
            <w:tcBorders>
              <w:top w:val="nil"/>
              <w:left w:val="nil"/>
              <w:bottom w:val="nil"/>
              <w:right w:val="nil"/>
            </w:tcBorders>
            <w:hideMark/>
          </w:tcPr>
          <w:p w14:paraId="015F5A7F"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1.6E-09</w:t>
            </w:r>
          </w:p>
        </w:tc>
        <w:tc>
          <w:tcPr>
            <w:tcW w:w="485" w:type="pct"/>
            <w:tcBorders>
              <w:top w:val="nil"/>
              <w:left w:val="nil"/>
              <w:bottom w:val="nil"/>
              <w:right w:val="nil"/>
            </w:tcBorders>
            <w:hideMark/>
          </w:tcPr>
          <w:p w14:paraId="421F6D03"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7.7E-10</w:t>
            </w:r>
          </w:p>
        </w:tc>
        <w:tc>
          <w:tcPr>
            <w:tcW w:w="485" w:type="pct"/>
            <w:tcBorders>
              <w:top w:val="nil"/>
              <w:left w:val="nil"/>
              <w:bottom w:val="nil"/>
              <w:right w:val="nil"/>
            </w:tcBorders>
            <w:hideMark/>
          </w:tcPr>
          <w:p w14:paraId="4AA5F2BE"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4.8E-10</w:t>
            </w:r>
          </w:p>
        </w:tc>
        <w:tc>
          <w:tcPr>
            <w:tcW w:w="485" w:type="pct"/>
            <w:tcBorders>
              <w:top w:val="nil"/>
              <w:left w:val="nil"/>
              <w:bottom w:val="nil"/>
              <w:right w:val="nil"/>
            </w:tcBorders>
            <w:hideMark/>
          </w:tcPr>
          <w:p w14:paraId="5B5E427B"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3.6E-10</w:t>
            </w:r>
          </w:p>
        </w:tc>
        <w:tc>
          <w:tcPr>
            <w:tcW w:w="488" w:type="pct"/>
            <w:tcBorders>
              <w:top w:val="nil"/>
              <w:left w:val="nil"/>
              <w:bottom w:val="nil"/>
              <w:right w:val="nil"/>
            </w:tcBorders>
            <w:hideMark/>
          </w:tcPr>
          <w:p w14:paraId="4A295242"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3.5E-10</w:t>
            </w:r>
          </w:p>
        </w:tc>
      </w:tr>
      <w:tr w:rsidR="00F43D48" w:rsidRPr="00972C81" w14:paraId="529985FB" w14:textId="77777777" w:rsidTr="00CD4B01">
        <w:trPr>
          <w:trHeight w:val="283"/>
        </w:trPr>
        <w:tc>
          <w:tcPr>
            <w:tcW w:w="2087" w:type="pct"/>
            <w:tcBorders>
              <w:top w:val="nil"/>
              <w:left w:val="nil"/>
              <w:bottom w:val="single" w:sz="4" w:space="0" w:color="auto"/>
              <w:right w:val="nil"/>
            </w:tcBorders>
            <w:hideMark/>
          </w:tcPr>
          <w:p w14:paraId="3C139320" w14:textId="77777777" w:rsidR="00F43D48" w:rsidRPr="00C47F2F" w:rsidRDefault="00F43D48" w:rsidP="00CD4B01">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485" w:type="pct"/>
            <w:tcBorders>
              <w:top w:val="nil"/>
              <w:left w:val="nil"/>
              <w:bottom w:val="single" w:sz="4" w:space="0" w:color="auto"/>
              <w:right w:val="nil"/>
            </w:tcBorders>
            <w:hideMark/>
          </w:tcPr>
          <w:p w14:paraId="560002CC"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2.1E-09</w:t>
            </w:r>
          </w:p>
        </w:tc>
        <w:tc>
          <w:tcPr>
            <w:tcW w:w="485" w:type="pct"/>
            <w:tcBorders>
              <w:top w:val="nil"/>
              <w:left w:val="nil"/>
              <w:bottom w:val="single" w:sz="4" w:space="0" w:color="auto"/>
              <w:right w:val="nil"/>
            </w:tcBorders>
            <w:hideMark/>
          </w:tcPr>
          <w:p w14:paraId="59783396"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1.9E-09</w:t>
            </w:r>
          </w:p>
        </w:tc>
        <w:tc>
          <w:tcPr>
            <w:tcW w:w="485" w:type="pct"/>
            <w:tcBorders>
              <w:top w:val="nil"/>
              <w:left w:val="nil"/>
              <w:bottom w:val="single" w:sz="4" w:space="0" w:color="auto"/>
              <w:right w:val="nil"/>
            </w:tcBorders>
            <w:hideMark/>
          </w:tcPr>
          <w:p w14:paraId="735FD569"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1.0E-09</w:t>
            </w:r>
          </w:p>
        </w:tc>
        <w:tc>
          <w:tcPr>
            <w:tcW w:w="485" w:type="pct"/>
            <w:tcBorders>
              <w:top w:val="nil"/>
              <w:left w:val="nil"/>
              <w:bottom w:val="single" w:sz="4" w:space="0" w:color="auto"/>
              <w:right w:val="nil"/>
            </w:tcBorders>
            <w:hideMark/>
          </w:tcPr>
          <w:p w14:paraId="3E8B07C5"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6.9E-10</w:t>
            </w:r>
          </w:p>
        </w:tc>
        <w:tc>
          <w:tcPr>
            <w:tcW w:w="485" w:type="pct"/>
            <w:tcBorders>
              <w:top w:val="nil"/>
              <w:left w:val="nil"/>
              <w:bottom w:val="single" w:sz="4" w:space="0" w:color="auto"/>
              <w:right w:val="nil"/>
            </w:tcBorders>
            <w:hideMark/>
          </w:tcPr>
          <w:p w14:paraId="76B5D652"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5.2E-10</w:t>
            </w:r>
          </w:p>
        </w:tc>
        <w:tc>
          <w:tcPr>
            <w:tcW w:w="488" w:type="pct"/>
            <w:tcBorders>
              <w:top w:val="nil"/>
              <w:left w:val="nil"/>
              <w:bottom w:val="single" w:sz="4" w:space="0" w:color="auto"/>
              <w:right w:val="nil"/>
            </w:tcBorders>
            <w:hideMark/>
          </w:tcPr>
          <w:p w14:paraId="38EC0C1D"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5.4E-10</w:t>
            </w:r>
          </w:p>
        </w:tc>
      </w:tr>
      <w:tr w:rsidR="00F43D48" w:rsidRPr="00972C81" w14:paraId="4C3104B6" w14:textId="77777777" w:rsidTr="00CD4B01">
        <w:trPr>
          <w:trHeight w:val="283"/>
        </w:trPr>
        <w:tc>
          <w:tcPr>
            <w:tcW w:w="2087" w:type="pct"/>
            <w:tcBorders>
              <w:top w:val="single" w:sz="4" w:space="0" w:color="auto"/>
              <w:left w:val="nil"/>
              <w:bottom w:val="single" w:sz="4" w:space="0" w:color="auto"/>
              <w:right w:val="nil"/>
            </w:tcBorders>
          </w:tcPr>
          <w:p w14:paraId="66B5D908" w14:textId="77777777" w:rsidR="00F43D48" w:rsidRPr="00C47F2F" w:rsidRDefault="00F43D48" w:rsidP="00C47F2F">
            <w:pPr>
              <w:jc w:val="left"/>
              <w:rPr>
                <w:rFonts w:eastAsiaTheme="minorHAnsi"/>
                <w:noProof/>
                <w:sz w:val="22"/>
                <w:szCs w:val="22"/>
              </w:rPr>
            </w:pPr>
          </w:p>
          <w:p w14:paraId="6953E27E" w14:textId="77777777" w:rsidR="00F43D48" w:rsidRPr="00C47F2F" w:rsidRDefault="00F43D48"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5224ECC4"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6D9BF1BE"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1295FE5D"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1F4BDE79"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CA293A3" w14:textId="77777777" w:rsidR="00F43D48" w:rsidRPr="00C47F2F" w:rsidRDefault="00F43D48" w:rsidP="00C47F2F">
            <w:pPr>
              <w:jc w:val="left"/>
              <w:rPr>
                <w:rFonts w:eastAsia="Times New Roman"/>
                <w:noProof/>
                <w:color w:val="000000"/>
                <w:sz w:val="22"/>
                <w:szCs w:val="22"/>
              </w:rPr>
            </w:pPr>
          </w:p>
        </w:tc>
        <w:tc>
          <w:tcPr>
            <w:tcW w:w="488" w:type="pct"/>
            <w:tcBorders>
              <w:top w:val="single" w:sz="4" w:space="0" w:color="auto"/>
              <w:left w:val="nil"/>
              <w:bottom w:val="single" w:sz="4" w:space="0" w:color="auto"/>
              <w:right w:val="nil"/>
            </w:tcBorders>
          </w:tcPr>
          <w:p w14:paraId="44069939" w14:textId="77777777" w:rsidR="00F43D48" w:rsidRPr="00C47F2F" w:rsidRDefault="00F43D48" w:rsidP="00C47F2F">
            <w:pPr>
              <w:jc w:val="left"/>
              <w:rPr>
                <w:rFonts w:eastAsia="Times New Roman"/>
                <w:noProof/>
                <w:color w:val="000000"/>
                <w:sz w:val="22"/>
                <w:szCs w:val="22"/>
              </w:rPr>
            </w:pPr>
          </w:p>
        </w:tc>
      </w:tr>
      <w:tr w:rsidR="00F43D48" w:rsidRPr="00972C81" w14:paraId="15C46CB8" w14:textId="77777777" w:rsidTr="00CD4B01">
        <w:trPr>
          <w:trHeight w:val="283"/>
        </w:trPr>
        <w:tc>
          <w:tcPr>
            <w:tcW w:w="2087" w:type="pct"/>
            <w:tcBorders>
              <w:top w:val="single" w:sz="4" w:space="0" w:color="auto"/>
              <w:left w:val="nil"/>
              <w:bottom w:val="single" w:sz="4" w:space="0" w:color="auto"/>
              <w:right w:val="nil"/>
            </w:tcBorders>
            <w:vAlign w:val="center"/>
            <w:hideMark/>
          </w:tcPr>
          <w:p w14:paraId="0F8E8E44" w14:textId="7FA79B93" w:rsidR="00F43D48" w:rsidRPr="00C47F2F" w:rsidRDefault="00F43D48" w:rsidP="00CD4B01">
            <w:pPr>
              <w:jc w:val="left"/>
              <w:rPr>
                <w:rFonts w:eastAsiaTheme="minorHAnsi"/>
                <w:noProof/>
                <w:sz w:val="22"/>
                <w:szCs w:val="22"/>
              </w:rPr>
            </w:pPr>
            <w:r w:rsidRPr="00C47F2F">
              <w:rPr>
                <w:rFonts w:eastAsia="Times New Roman"/>
                <w:noProof/>
                <w:color w:val="000000"/>
                <w:sz w:val="22"/>
                <w:szCs w:val="22"/>
                <w:lang w:eastAsia="en-GB"/>
              </w:rPr>
              <w:t>All compounds</w:t>
            </w:r>
          </w:p>
        </w:tc>
        <w:tc>
          <w:tcPr>
            <w:tcW w:w="485" w:type="pct"/>
            <w:tcBorders>
              <w:top w:val="single" w:sz="4" w:space="0" w:color="auto"/>
              <w:left w:val="nil"/>
              <w:bottom w:val="single" w:sz="4" w:space="0" w:color="auto"/>
              <w:right w:val="nil"/>
            </w:tcBorders>
            <w:vAlign w:val="center"/>
            <w:hideMark/>
          </w:tcPr>
          <w:p w14:paraId="6AF47981"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2.4E-10</w:t>
            </w:r>
          </w:p>
        </w:tc>
        <w:tc>
          <w:tcPr>
            <w:tcW w:w="485" w:type="pct"/>
            <w:tcBorders>
              <w:top w:val="single" w:sz="4" w:space="0" w:color="auto"/>
              <w:left w:val="nil"/>
              <w:bottom w:val="single" w:sz="4" w:space="0" w:color="auto"/>
              <w:right w:val="nil"/>
            </w:tcBorders>
            <w:vAlign w:val="center"/>
            <w:hideMark/>
          </w:tcPr>
          <w:p w14:paraId="3FE6298C"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1.4E-10</w:t>
            </w:r>
          </w:p>
        </w:tc>
        <w:tc>
          <w:tcPr>
            <w:tcW w:w="485" w:type="pct"/>
            <w:tcBorders>
              <w:top w:val="single" w:sz="4" w:space="0" w:color="auto"/>
              <w:left w:val="nil"/>
              <w:bottom w:val="single" w:sz="4" w:space="0" w:color="auto"/>
              <w:right w:val="nil"/>
            </w:tcBorders>
            <w:vAlign w:val="center"/>
            <w:hideMark/>
          </w:tcPr>
          <w:p w14:paraId="7BD4B80C"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7.4E-11</w:t>
            </w:r>
          </w:p>
        </w:tc>
        <w:tc>
          <w:tcPr>
            <w:tcW w:w="485" w:type="pct"/>
            <w:tcBorders>
              <w:top w:val="single" w:sz="4" w:space="0" w:color="auto"/>
              <w:left w:val="nil"/>
              <w:bottom w:val="single" w:sz="4" w:space="0" w:color="auto"/>
              <w:right w:val="nil"/>
            </w:tcBorders>
            <w:vAlign w:val="center"/>
            <w:hideMark/>
          </w:tcPr>
          <w:p w14:paraId="2AA59C8C"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5.3E-11</w:t>
            </w:r>
          </w:p>
        </w:tc>
        <w:tc>
          <w:tcPr>
            <w:tcW w:w="485" w:type="pct"/>
            <w:tcBorders>
              <w:top w:val="single" w:sz="4" w:space="0" w:color="auto"/>
              <w:left w:val="nil"/>
              <w:bottom w:val="single" w:sz="4" w:space="0" w:color="auto"/>
              <w:right w:val="nil"/>
            </w:tcBorders>
            <w:vAlign w:val="center"/>
            <w:hideMark/>
          </w:tcPr>
          <w:p w14:paraId="2E7367D3"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3.6E-11</w:t>
            </w:r>
          </w:p>
        </w:tc>
        <w:tc>
          <w:tcPr>
            <w:tcW w:w="488" w:type="pct"/>
            <w:tcBorders>
              <w:top w:val="single" w:sz="4" w:space="0" w:color="auto"/>
              <w:left w:val="nil"/>
              <w:bottom w:val="single" w:sz="4" w:space="0" w:color="auto"/>
              <w:right w:val="nil"/>
            </w:tcBorders>
            <w:vAlign w:val="center"/>
            <w:hideMark/>
          </w:tcPr>
          <w:p w14:paraId="1C62CFA3"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3.5E-11</w:t>
            </w:r>
          </w:p>
        </w:tc>
      </w:tr>
    </w:tbl>
    <w:p w14:paraId="5EC1C19B" w14:textId="2C3C3C21" w:rsidR="007649A9" w:rsidRPr="00972C81" w:rsidRDefault="007649A9" w:rsidP="00F43D48">
      <w:pPr>
        <w:pStyle w:val="ab"/>
        <w:rPr>
          <w:noProof/>
        </w:rPr>
      </w:pPr>
      <w:r w:rsidRPr="00972C81">
        <w:rPr>
          <w:noProof/>
        </w:rPr>
        <w:br w:type="page"/>
      </w:r>
    </w:p>
    <w:p w14:paraId="39E1DFEB" w14:textId="77777777" w:rsidR="007D1F4D" w:rsidRPr="00972C81" w:rsidRDefault="00DC407D" w:rsidP="00E81109">
      <w:pPr>
        <w:pStyle w:val="1"/>
        <w:rPr>
          <w:noProof/>
        </w:rPr>
      </w:pPr>
      <w:bookmarkStart w:id="174" w:name="_Toc455492620"/>
      <w:bookmarkStart w:id="175" w:name="_Toc455493049"/>
      <w:bookmarkStart w:id="176" w:name="_Toc162630043"/>
      <w:r w:rsidRPr="00972C81">
        <w:rPr>
          <w:noProof/>
        </w:rPr>
        <w:lastRenderedPageBreak/>
        <w:t>Holmium (Z = 67)</w:t>
      </w:r>
      <w:bookmarkEnd w:id="174"/>
      <w:bookmarkEnd w:id="175"/>
      <w:bookmarkEnd w:id="176"/>
    </w:p>
    <w:p w14:paraId="2FEA315F" w14:textId="63532C4F" w:rsidR="000B33B9" w:rsidRPr="00972C81" w:rsidRDefault="00DC407D" w:rsidP="00E81109">
      <w:pPr>
        <w:pStyle w:val="2"/>
        <w:rPr>
          <w:noProof/>
          <w:lang w:val="en-GB"/>
        </w:rPr>
      </w:pPr>
      <w:bookmarkStart w:id="177" w:name="_Toc17467857"/>
      <w:bookmarkStart w:id="178" w:name="_Toc455492622"/>
      <w:bookmarkStart w:id="179" w:name="_Toc455493051"/>
      <w:bookmarkStart w:id="180" w:name="_Toc162630044"/>
      <w:bookmarkEnd w:id="177"/>
      <w:r w:rsidRPr="00972C81">
        <w:rPr>
          <w:noProof/>
          <w:lang w:val="en-GB"/>
        </w:rPr>
        <w:t>Routes of Intake</w:t>
      </w:r>
      <w:bookmarkEnd w:id="178"/>
      <w:bookmarkEnd w:id="179"/>
      <w:bookmarkEnd w:id="180"/>
    </w:p>
    <w:p w14:paraId="0D066816" w14:textId="77777777" w:rsidR="000B33B9" w:rsidRPr="00972C81" w:rsidRDefault="00DC407D" w:rsidP="00E81109">
      <w:pPr>
        <w:pStyle w:val="3"/>
        <w:rPr>
          <w:noProof/>
        </w:rPr>
      </w:pPr>
      <w:bookmarkStart w:id="181" w:name="_Toc162630045"/>
      <w:r w:rsidRPr="00972C81">
        <w:rPr>
          <w:noProof/>
        </w:rPr>
        <w:t>Inhalation</w:t>
      </w:r>
      <w:bookmarkEnd w:id="181"/>
    </w:p>
    <w:p w14:paraId="2A49766D" w14:textId="461D7392" w:rsidR="007D1F4D" w:rsidRPr="00972C81" w:rsidRDefault="000B33B9" w:rsidP="001C4A92">
      <w:pPr>
        <w:pStyle w:val="Annalstext"/>
        <w:rPr>
          <w:noProof/>
        </w:rPr>
      </w:pPr>
      <w:r w:rsidRPr="00972C81">
        <w:rPr>
          <w:noProof/>
        </w:rPr>
        <w:t xml:space="preserve">No reports were found of experimental studies on the behaviour of holmium following deposition in the respiratory tract. </w:t>
      </w:r>
      <w:r w:rsidR="000579A0" w:rsidRPr="00972C81">
        <w:rPr>
          <w:noProof/>
        </w:rPr>
        <w:t>A</w:t>
      </w:r>
      <w:r w:rsidRPr="00972C81">
        <w:rPr>
          <w:noProof/>
        </w:rPr>
        <w:t xml:space="preserve">bsorption parameter values based on cerium are applied in this document to the other lanthanides, including </w:t>
      </w:r>
      <w:r w:rsidR="00DC407D" w:rsidRPr="00972C81">
        <w:rPr>
          <w:noProof/>
        </w:rPr>
        <w:t>hol</w:t>
      </w:r>
      <w:r w:rsidRPr="00972C81">
        <w:rPr>
          <w:noProof/>
        </w:rPr>
        <w:t xml:space="preserve">mium. Absorption parameter values and Types, and associated </w:t>
      </w:r>
      <w:r w:rsidRPr="00972C81">
        <w:rPr>
          <w:i/>
          <w:noProof/>
        </w:rPr>
        <w:t>f</w:t>
      </w:r>
      <w:r w:rsidRPr="00972C81">
        <w:rPr>
          <w:noProof/>
          <w:vertAlign w:val="subscript"/>
        </w:rPr>
        <w:t>A</w:t>
      </w:r>
      <w:r w:rsidRPr="00972C81">
        <w:rPr>
          <w:noProof/>
        </w:rPr>
        <w:t xml:space="preserve"> values for particulate forms of lanthanides, including holmium, are given in </w:t>
      </w:r>
      <w:r w:rsidR="00B94D6D" w:rsidRPr="00972C81">
        <w:rPr>
          <w:noProof/>
        </w:rPr>
        <w:fldChar w:fldCharType="begin"/>
      </w:r>
      <w:r w:rsidR="00B94D6D" w:rsidRPr="00972C81">
        <w:rPr>
          <w:noProof/>
        </w:rPr>
        <w:instrText xml:space="preserve"> REF _Ref417994983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1</w:t>
      </w:r>
      <w:r w:rsidR="00B94D6D" w:rsidRPr="00972C81">
        <w:rPr>
          <w:noProof/>
        </w:rPr>
        <w:fldChar w:fldCharType="end"/>
      </w:r>
      <w:r w:rsidR="00B94D6D" w:rsidRPr="00972C81">
        <w:rPr>
          <w:noProof/>
        </w:rPr>
        <w:t xml:space="preserve"> and </w:t>
      </w:r>
      <w:r w:rsidR="00B94D6D" w:rsidRPr="00972C81">
        <w:rPr>
          <w:noProof/>
        </w:rPr>
        <w:fldChar w:fldCharType="begin"/>
      </w:r>
      <w:r w:rsidR="00B94D6D" w:rsidRPr="00972C81">
        <w:rPr>
          <w:noProof/>
        </w:rPr>
        <w:instrText xml:space="preserve"> REF _Ref141784472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B94D6D" w:rsidRPr="00972C81">
        <w:rPr>
          <w:noProof/>
        </w:rPr>
        <w:fldChar w:fldCharType="end"/>
      </w:r>
      <w:r w:rsidR="00B94D6D" w:rsidRPr="00972C81">
        <w:rPr>
          <w:noProof/>
        </w:rPr>
        <w:t xml:space="preserve"> </w:t>
      </w:r>
      <w:r w:rsidRPr="00972C81">
        <w:rPr>
          <w:noProof/>
        </w:rPr>
        <w:t xml:space="preserve">of the </w:t>
      </w:r>
      <w:r w:rsidR="000579A0" w:rsidRPr="00972C81">
        <w:rPr>
          <w:noProof/>
        </w:rPr>
        <w:t>lanthanum S</w:t>
      </w:r>
      <w:r w:rsidRPr="00972C81">
        <w:rPr>
          <w:noProof/>
        </w:rPr>
        <w:t xml:space="preserve">ection. </w:t>
      </w:r>
    </w:p>
    <w:p w14:paraId="430498CB" w14:textId="77777777" w:rsidR="000B33B9" w:rsidRPr="00972C81" w:rsidRDefault="000B33B9" w:rsidP="006F56F9">
      <w:pPr>
        <w:pStyle w:val="3"/>
        <w:rPr>
          <w:noProof/>
        </w:rPr>
      </w:pPr>
      <w:bookmarkStart w:id="182" w:name="_Toc162630046"/>
      <w:r w:rsidRPr="00972C81">
        <w:rPr>
          <w:noProof/>
        </w:rPr>
        <w:t>Ingestion</w:t>
      </w:r>
      <w:bookmarkEnd w:id="182"/>
    </w:p>
    <w:p w14:paraId="22666A68" w14:textId="60066D0A" w:rsidR="00D514FD" w:rsidRPr="00972C81" w:rsidRDefault="00DC407D" w:rsidP="001C4A92">
      <w:pPr>
        <w:pStyle w:val="Annalstext"/>
        <w:rPr>
          <w:noProof/>
        </w:rPr>
      </w:pPr>
      <w:r w:rsidRPr="00972C81">
        <w:rPr>
          <w:i/>
          <w:noProof/>
        </w:rPr>
        <w:t>Adults</w:t>
      </w:r>
      <w:r w:rsidR="00D514FD" w:rsidRPr="00972C81">
        <w:rPr>
          <w:noProof/>
        </w:rPr>
        <w:t xml:space="preserve">. In Section 2 of </w:t>
      </w:r>
      <w:r w:rsidR="007649A9" w:rsidRPr="00972C81">
        <w:rPr>
          <w:i/>
          <w:noProof/>
        </w:rPr>
        <w:t>Publication 141</w:t>
      </w:r>
      <w:r w:rsidR="007649A9" w:rsidRPr="00972C81">
        <w:rPr>
          <w:noProof/>
        </w:rPr>
        <w:t xml:space="preserve"> </w:t>
      </w:r>
      <w:r w:rsidR="00175ACB" w:rsidRPr="00972C81">
        <w:rPr>
          <w:noProof/>
        </w:rPr>
        <w:fldChar w:fldCharType="begin"/>
      </w:r>
      <w:r w:rsidR="00175ACB" w:rsidRPr="00972C81">
        <w:rPr>
          <w:noProof/>
        </w:rPr>
        <w:instrText xml:space="preserve"> ADDIN ZOTERO_ITEM CSL_CITATION {"citationID":"YWCxXGzH","properties":{"formattedCitation":"(ICRP,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175ACB" w:rsidRPr="00972C81">
        <w:rPr>
          <w:noProof/>
        </w:rPr>
        <w:fldChar w:fldCharType="separate"/>
      </w:r>
      <w:r w:rsidR="00BC59C6" w:rsidRPr="00972C81">
        <w:rPr>
          <w:noProof/>
        </w:rPr>
        <w:t>(ICRP, 2019)</w:t>
      </w:r>
      <w:r w:rsidR="00175ACB" w:rsidRPr="00972C81">
        <w:rPr>
          <w:noProof/>
        </w:rPr>
        <w:fldChar w:fldCharType="end"/>
      </w:r>
      <w:r w:rsidR="007649A9" w:rsidRPr="00972C81">
        <w:rPr>
          <w:noProof/>
        </w:rPr>
        <w:t xml:space="preserve">, </w:t>
      </w:r>
      <w:r w:rsidR="00D514FD" w:rsidRPr="00972C81">
        <w:rPr>
          <w:noProof/>
        </w:rPr>
        <w:t>information relating to the gastrointestinal absorption of different lanthanide elements was compared. Their fractional absorption was found to be below 10</w:t>
      </w:r>
      <w:r w:rsidRPr="00972C81">
        <w:rPr>
          <w:noProof/>
          <w:vertAlign w:val="superscript"/>
        </w:rPr>
        <w:t>-3</w:t>
      </w:r>
      <w:r w:rsidR="00D514FD" w:rsidRPr="00972C81">
        <w:rPr>
          <w:noProof/>
        </w:rPr>
        <w:t xml:space="preserve"> in most cases and a </w:t>
      </w:r>
      <w:r w:rsidRPr="00972C81">
        <w:rPr>
          <w:i/>
          <w:noProof/>
        </w:rPr>
        <w:t>f</w:t>
      </w:r>
      <w:r w:rsidRPr="00972C81">
        <w:rPr>
          <w:noProof/>
          <w:vertAlign w:val="subscript"/>
        </w:rPr>
        <w:t>A</w:t>
      </w:r>
      <w:r w:rsidR="00D514FD" w:rsidRPr="00972C81">
        <w:rPr>
          <w:noProof/>
        </w:rPr>
        <w:t xml:space="preserve"> value 5</w:t>
      </w:r>
      <w:r w:rsidR="00067025" w:rsidRPr="00972C81">
        <w:rPr>
          <w:noProof/>
        </w:rPr>
        <w:t xml:space="preserve"> × </w:t>
      </w:r>
      <w:r w:rsidR="00D514FD" w:rsidRPr="00972C81">
        <w:rPr>
          <w:noProof/>
        </w:rPr>
        <w:t>10</w:t>
      </w:r>
      <w:r w:rsidRPr="00972C81">
        <w:rPr>
          <w:noProof/>
          <w:vertAlign w:val="superscript"/>
        </w:rPr>
        <w:t>–4</w:t>
      </w:r>
      <w:r w:rsidR="00D514FD" w:rsidRPr="00972C81">
        <w:rPr>
          <w:noProof/>
        </w:rPr>
        <w:t xml:space="preserve"> was adopted for all lanthanides as a reasonably representative value based on experimental results. The value of </w:t>
      </w:r>
      <w:r w:rsidRPr="00972C81">
        <w:rPr>
          <w:i/>
          <w:noProof/>
        </w:rPr>
        <w:t>f</w:t>
      </w:r>
      <w:r w:rsidRPr="00972C81">
        <w:rPr>
          <w:noProof/>
          <w:vertAlign w:val="subscript"/>
        </w:rPr>
        <w:t>A</w:t>
      </w:r>
      <w:r w:rsidR="00D514FD" w:rsidRPr="00972C81">
        <w:rPr>
          <w:noProof/>
        </w:rPr>
        <w:t xml:space="preserve"> = 5</w:t>
      </w:r>
      <w:r w:rsidR="00067025" w:rsidRPr="00972C81">
        <w:rPr>
          <w:noProof/>
        </w:rPr>
        <w:t xml:space="preserve"> × </w:t>
      </w:r>
      <w:r w:rsidR="00D514FD" w:rsidRPr="00972C81">
        <w:rPr>
          <w:noProof/>
        </w:rPr>
        <w:t>10</w:t>
      </w:r>
      <w:r w:rsidRPr="00972C81">
        <w:rPr>
          <w:noProof/>
          <w:vertAlign w:val="superscript"/>
        </w:rPr>
        <w:t>–4</w:t>
      </w:r>
      <w:r w:rsidR="00D514FD" w:rsidRPr="00972C81">
        <w:rPr>
          <w:noProof/>
        </w:rPr>
        <w:t xml:space="preserve"> is therefore used here for intakes of </w:t>
      </w:r>
      <w:r w:rsidR="00D514FD" w:rsidRPr="00972C81">
        <w:rPr>
          <w:noProof/>
          <w:color w:val="000000" w:themeColor="text1"/>
          <w:szCs w:val="24"/>
        </w:rPr>
        <w:t>holmium</w:t>
      </w:r>
      <w:r w:rsidR="00D514FD" w:rsidRPr="00972C81">
        <w:rPr>
          <w:noProof/>
        </w:rPr>
        <w:t xml:space="preserve"> by adult members of the public.</w:t>
      </w:r>
    </w:p>
    <w:p w14:paraId="5D8501A3" w14:textId="08492F89" w:rsidR="007D1F4D" w:rsidRPr="00972C81" w:rsidRDefault="00DC407D" w:rsidP="001C4A92">
      <w:pPr>
        <w:pStyle w:val="Annalstext"/>
        <w:rPr>
          <w:noProof/>
        </w:rPr>
      </w:pPr>
      <w:r w:rsidRPr="00972C81">
        <w:rPr>
          <w:i/>
          <w:noProof/>
        </w:rPr>
        <w:t>Children</w:t>
      </w:r>
      <w:r w:rsidR="00D514FD" w:rsidRPr="00972C81">
        <w:rPr>
          <w:noProof/>
        </w:rPr>
        <w:t xml:space="preserve">. The age-dependency of </w:t>
      </w:r>
      <w:r w:rsidR="00D514FD" w:rsidRPr="00972C81">
        <w:rPr>
          <w:noProof/>
          <w:color w:val="000000" w:themeColor="text1"/>
          <w:szCs w:val="24"/>
        </w:rPr>
        <w:t>holmium</w:t>
      </w:r>
      <w:r w:rsidR="00D514FD" w:rsidRPr="00972C81">
        <w:rPr>
          <w:noProof/>
        </w:rPr>
        <w:t xml:space="preserve"> absorption was not observed. On the basis of the chemical analogy with cerium, the same values of </w:t>
      </w:r>
      <w:r w:rsidRPr="00972C81">
        <w:rPr>
          <w:i/>
          <w:noProof/>
        </w:rPr>
        <w:t>f</w:t>
      </w:r>
      <w:r w:rsidRPr="00972C81">
        <w:rPr>
          <w:noProof/>
          <w:vertAlign w:val="subscript"/>
        </w:rPr>
        <w:t>A</w:t>
      </w:r>
      <w:r w:rsidR="00D514FD" w:rsidRPr="00972C81">
        <w:rPr>
          <w:noProof/>
        </w:rPr>
        <w:t xml:space="preserve"> = 5</w:t>
      </w:r>
      <w:r w:rsidR="00067025" w:rsidRPr="00972C81">
        <w:rPr>
          <w:noProof/>
        </w:rPr>
        <w:t xml:space="preserve"> × </w:t>
      </w:r>
      <w:r w:rsidR="00D514FD" w:rsidRPr="00972C81">
        <w:rPr>
          <w:noProof/>
        </w:rPr>
        <w:t>10</w:t>
      </w:r>
      <w:r w:rsidRPr="00972C81">
        <w:rPr>
          <w:noProof/>
          <w:vertAlign w:val="superscript"/>
        </w:rPr>
        <w:t>-3</w:t>
      </w:r>
      <w:r w:rsidR="00D514FD" w:rsidRPr="00972C81">
        <w:rPr>
          <w:noProof/>
        </w:rPr>
        <w:t xml:space="preserve"> for 3-month-old infants and 5</w:t>
      </w:r>
      <w:r w:rsidR="00067025" w:rsidRPr="00972C81">
        <w:rPr>
          <w:noProof/>
        </w:rPr>
        <w:t xml:space="preserve"> × </w:t>
      </w:r>
      <w:r w:rsidR="00D514FD" w:rsidRPr="00972C81">
        <w:rPr>
          <w:noProof/>
        </w:rPr>
        <w:t>10</w:t>
      </w:r>
      <w:r w:rsidRPr="00972C81">
        <w:rPr>
          <w:noProof/>
          <w:vertAlign w:val="superscript"/>
        </w:rPr>
        <w:t>-4</w:t>
      </w:r>
      <w:r w:rsidR="00D514FD" w:rsidRPr="00972C81">
        <w:rPr>
          <w:noProof/>
        </w:rPr>
        <w:t xml:space="preserve"> for children of 1 year and older are adopted here for </w:t>
      </w:r>
      <w:r w:rsidR="00D514FD" w:rsidRPr="00972C81">
        <w:rPr>
          <w:noProof/>
          <w:color w:val="000000" w:themeColor="text1"/>
          <w:szCs w:val="24"/>
        </w:rPr>
        <w:t>holmium</w:t>
      </w:r>
      <w:r w:rsidR="00D514FD" w:rsidRPr="00972C81">
        <w:rPr>
          <w:noProof/>
        </w:rPr>
        <w:t>.</w:t>
      </w:r>
    </w:p>
    <w:p w14:paraId="038CA013" w14:textId="61BE45BF" w:rsidR="00165FEB" w:rsidRPr="00972C81" w:rsidRDefault="00AE7A83" w:rsidP="006F56F9">
      <w:pPr>
        <w:pStyle w:val="3"/>
        <w:rPr>
          <w:noProof/>
        </w:rPr>
      </w:pPr>
      <w:bookmarkStart w:id="183" w:name="_Toc162630047"/>
      <w:r w:rsidRPr="00972C81">
        <w:rPr>
          <w:noProof/>
        </w:rPr>
        <w:t>Systemic Distribution, Retention and Excretion</w:t>
      </w:r>
      <w:bookmarkEnd w:id="183"/>
    </w:p>
    <w:p w14:paraId="71C11287" w14:textId="77777777" w:rsidR="00165FEB" w:rsidRPr="00972C81" w:rsidRDefault="00165FEB" w:rsidP="006703A2">
      <w:pPr>
        <w:pStyle w:val="OIRTitre4"/>
      </w:pPr>
      <w:r w:rsidRPr="00972C81">
        <w:t>Summary of biokinetic data</w:t>
      </w:r>
    </w:p>
    <w:p w14:paraId="16F0B776" w14:textId="699696C8" w:rsidR="00165FEB" w:rsidRPr="00972C81" w:rsidRDefault="00165FEB" w:rsidP="001C4A92">
      <w:pPr>
        <w:pStyle w:val="Annalstext"/>
        <w:rPr>
          <w:noProof/>
          <w:lang w:eastAsia="fr-FR"/>
        </w:rPr>
      </w:pPr>
      <w:r w:rsidRPr="00972C81">
        <w:rPr>
          <w:noProof/>
          <w:lang w:eastAsia="fr-FR"/>
        </w:rPr>
        <w:t xml:space="preserve">The lanthanides </w:t>
      </w:r>
      <w:r w:rsidRPr="00972C81">
        <w:rPr>
          <w:noProof/>
        </w:rPr>
        <w:t>terbium, dysprosium, holmium, erbium, thulium, ytterbium, and lutetium</w:t>
      </w:r>
      <w:r w:rsidRPr="00972C81">
        <w:rPr>
          <w:noProof/>
          <w:lang w:eastAsia="fr-FR"/>
        </w:rPr>
        <w:t xml:space="preserve"> showed similar biokinetics in rats</w:t>
      </w:r>
      <w:r w:rsidR="00E80505" w:rsidRPr="00972C81">
        <w:rPr>
          <w:noProof/>
          <w:lang w:eastAsia="fr-FR"/>
        </w:rPr>
        <w:t xml:space="preserve"> </w:t>
      </w:r>
      <w:r w:rsidR="00E80505" w:rsidRPr="00972C81">
        <w:rPr>
          <w:noProof/>
          <w:lang w:eastAsia="fr-FR"/>
        </w:rPr>
        <w:fldChar w:fldCharType="begin"/>
      </w:r>
      <w:r w:rsidR="00612860" w:rsidRPr="00972C81">
        <w:rPr>
          <w:noProof/>
          <w:lang w:eastAsia="fr-FR"/>
        </w:rPr>
        <w:instrText xml:space="preserve"> ADDIN ZOTERO_ITEM CSL_CITATION {"citationID":"Iz4GwQxv","properties":{"formattedCitation":"(Ando et al., 1989; Durbin, 1959, 1962; Moskalev et al., 1974)","plainCitation":"(Ando et al., 1989; Durbin, 1959, 1962; Moskalev et al., 1974)","noteIndex":0},"citationItems":[{"id":2345,"uris":["http://zotero.org/groups/2470620/items/G9C65MS5"],"itemData":{"id":2345,"type":"article-journal","archive":"Scopus","container-title":"International Journal of Radiation Applications and Instrumentation.","DOI":"10.1016/0883-2897(89)90216-X","issue":"1","page":"57-80","title":"Relation between the location of elements in the periodic table and various organ-uptake rates","volume":"16","author":[{"family":"Ando","given":"A."},{"family":"Ando","given":"I."},{"family":"Hiraki","given":"T."},{"family":"Hisada","given":"K."}],"issued":{"date-parts":[["1989"]]}}},{"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mammals","volume":"8","author":[{"family":"Durbin","given":"P.W."}],"issued":{"date-parts":[["1962"]]}}},{"id":4757,"uris":["http://zotero.org/groups/2470620/items/GPRMH38F"],"itemData":{"id":4757,"type":"chapter","container-title":"Biological Effects of Radiation from External and Internal Sources. Translated in U.S. Atomic Energy Commission Document AEC-tr-7457","event-place":"Moscow, Russia","publisher":"Medistina","publisher-place":"Moscow, Russia","source":"Google Scholar","title":"Distinctions of distribution in the organism of radioactive isotopes of lanthanide elements","author":[{"family":"Moskalev","given":"Yu I."},{"family":"Zalikin","given":"G. A."},{"family":"Stepanov","given":"V. S."}],"issued":{"date-parts":[["1974"]]}}}],"schema":"https://github.com/citation-style-language/schema/raw/master/csl-citation.json"} </w:instrText>
      </w:r>
      <w:r w:rsidR="00E80505" w:rsidRPr="00972C81">
        <w:rPr>
          <w:noProof/>
          <w:lang w:eastAsia="fr-FR"/>
        </w:rPr>
        <w:fldChar w:fldCharType="separate"/>
      </w:r>
      <w:r w:rsidR="00BC59C6" w:rsidRPr="00972C81">
        <w:rPr>
          <w:noProof/>
        </w:rPr>
        <w:t>(Ando et al., 1989; Durbin, 1959, 1962; Moskalev et al., 1974)</w:t>
      </w:r>
      <w:r w:rsidR="00E80505" w:rsidRPr="00972C81">
        <w:rPr>
          <w:noProof/>
          <w:lang w:eastAsia="fr-FR"/>
        </w:rPr>
        <w:fldChar w:fldCharType="end"/>
      </w:r>
      <w:r w:rsidRPr="00972C81">
        <w:rPr>
          <w:noProof/>
          <w:lang w:eastAsia="fr-FR"/>
        </w:rPr>
        <w:t>. At day 4 after intramuscular injection about 60% of the activity entering blood was contained in bone and 1</w:t>
      </w:r>
      <w:r w:rsidR="002D114E" w:rsidRPr="00972C81">
        <w:rPr>
          <w:noProof/>
        </w:rPr>
        <w:t>–</w:t>
      </w:r>
      <w:r w:rsidRPr="00972C81">
        <w:rPr>
          <w:noProof/>
          <w:lang w:eastAsia="fr-FR"/>
        </w:rPr>
        <w:t>7% was contained in the liver</w:t>
      </w:r>
      <w:r w:rsidR="00E80505" w:rsidRPr="00972C81">
        <w:rPr>
          <w:noProof/>
          <w:lang w:eastAsia="fr-FR"/>
        </w:rPr>
        <w:t xml:space="preserve"> </w:t>
      </w:r>
      <w:r w:rsidR="00E80505" w:rsidRPr="00972C81">
        <w:rPr>
          <w:noProof/>
          <w:lang w:eastAsia="fr-FR"/>
        </w:rPr>
        <w:fldChar w:fldCharType="begin"/>
      </w:r>
      <w:r w:rsidR="00E80505" w:rsidRPr="00972C81">
        <w:rPr>
          <w:noProof/>
          <w:lang w:eastAsia="fr-FR"/>
        </w:rPr>
        <w:instrText xml:space="preserve"> ADDIN ZOTERO_ITEM CSL_CITATION {"citationID":"jBbvi5X1","properties":{"formattedCitation":"(Durbin, 1959, 1962)","plainCitation":"(Durbin, 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E80505" w:rsidRPr="00972C81">
        <w:rPr>
          <w:noProof/>
          <w:lang w:eastAsia="fr-FR"/>
        </w:rPr>
        <w:fldChar w:fldCharType="separate"/>
      </w:r>
      <w:r w:rsidR="00BC59C6" w:rsidRPr="00972C81">
        <w:rPr>
          <w:noProof/>
        </w:rPr>
        <w:t>(Durbin, 1959, 1962)</w:t>
      </w:r>
      <w:r w:rsidR="00E80505" w:rsidRPr="00972C81">
        <w:rPr>
          <w:noProof/>
          <w:lang w:eastAsia="fr-FR"/>
        </w:rPr>
        <w:fldChar w:fldCharType="end"/>
      </w:r>
      <w:r w:rsidRPr="00972C81">
        <w:rPr>
          <w:noProof/>
          <w:lang w:eastAsia="fr-FR"/>
        </w:rPr>
        <w:t>. Cumulative loss in urine and faeces through day 4 amounted to 16</w:t>
      </w:r>
      <w:r w:rsidR="002D114E" w:rsidRPr="00972C81">
        <w:rPr>
          <w:noProof/>
        </w:rPr>
        <w:t>–</w:t>
      </w:r>
      <w:r w:rsidRPr="00972C81">
        <w:rPr>
          <w:noProof/>
          <w:lang w:eastAsia="fr-FR"/>
        </w:rPr>
        <w:t>27% and 5</w:t>
      </w:r>
      <w:r w:rsidR="002D114E" w:rsidRPr="00972C81">
        <w:rPr>
          <w:noProof/>
        </w:rPr>
        <w:t>–</w:t>
      </w:r>
      <w:r w:rsidRPr="00972C81">
        <w:rPr>
          <w:noProof/>
          <w:lang w:eastAsia="fr-FR"/>
        </w:rPr>
        <w:t xml:space="preserve">13%, respectively, of the amount reaching blood </w:t>
      </w:r>
      <w:r w:rsidR="00E80505" w:rsidRPr="00972C81">
        <w:rPr>
          <w:noProof/>
          <w:lang w:eastAsia="fr-FR"/>
        </w:rPr>
        <w:fldChar w:fldCharType="begin"/>
      </w:r>
      <w:r w:rsidR="00E80505" w:rsidRPr="00972C81">
        <w:rPr>
          <w:noProof/>
          <w:lang w:eastAsia="fr-FR"/>
        </w:rPr>
        <w:instrText xml:space="preserve"> ADDIN ZOTERO_ITEM CSL_CITATION {"citationID":"mnZenjEt","properties":{"formattedCitation":"(Durbin, 1959, 1962)","plainCitation":"(Durbin, 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E80505" w:rsidRPr="00972C81">
        <w:rPr>
          <w:noProof/>
          <w:lang w:eastAsia="fr-FR"/>
        </w:rPr>
        <w:fldChar w:fldCharType="separate"/>
      </w:r>
      <w:r w:rsidR="00BC59C6" w:rsidRPr="00972C81">
        <w:rPr>
          <w:noProof/>
        </w:rPr>
        <w:t>(Durbin, 1959, 1962)</w:t>
      </w:r>
      <w:r w:rsidR="00E80505" w:rsidRPr="00972C81">
        <w:rPr>
          <w:noProof/>
          <w:lang w:eastAsia="fr-FR"/>
        </w:rPr>
        <w:fldChar w:fldCharType="end"/>
      </w:r>
      <w:r w:rsidRPr="00972C81">
        <w:rPr>
          <w:noProof/>
          <w:lang w:eastAsia="fr-FR"/>
        </w:rPr>
        <w:t>.</w:t>
      </w:r>
    </w:p>
    <w:p w14:paraId="3CE6B254" w14:textId="4E592FC4" w:rsidR="00165FEB" w:rsidRPr="00972C81" w:rsidRDefault="00165FEB" w:rsidP="001C4A92">
      <w:pPr>
        <w:pStyle w:val="Annalstext"/>
        <w:rPr>
          <w:noProof/>
        </w:rPr>
      </w:pPr>
      <w:r w:rsidRPr="00972C81">
        <w:rPr>
          <w:noProof/>
        </w:rPr>
        <w:t xml:space="preserve">Holmium and the rare earth element yttrium are referred to as geochemical twins because they generally show little fractionation in geological material from metamorphic or weathering processes, due to their closely similar chemical properties and nearly identical ionic radii </w:t>
      </w:r>
      <w:r w:rsidR="00E80505" w:rsidRPr="00972C81">
        <w:rPr>
          <w:noProof/>
        </w:rPr>
        <w:fldChar w:fldCharType="begin"/>
      </w:r>
      <w:r w:rsidR="00E80505" w:rsidRPr="00972C81">
        <w:rPr>
          <w:noProof/>
        </w:rPr>
        <w:instrText xml:space="preserve"> ADDIN ZOTERO_ITEM CSL_CITATION {"citationID":"oNL3Moob","properties":{"formattedCitation":"(Pack et al., 2007; Qu et al., 2009)","plainCitation":"(Pack et al., 2007; Qu et al., 2009)","noteIndex":0},"citationItems":[{"id":4854,"uris":["http://zotero.org/groups/2470620/items/TS82ZELM"],"itemData":{"id":4854,"type":"article-journal","archive":"Scopus","container-title":"Geochimica et Cosmochimica Acta","DOI":"10.1016/j.gca.2007.07.010","issue":"18","page":"4592-4608","title":"Geo- and cosmochemistry of the twin elements yttrium and holmium","volume":"71","author":[{"family":"Pack","given":"A."},{"family":"Russell","given":"S.S."},{"family":"Shelley","given":"J.M.G."},{"family":"Zuilen","given":"M.","non-dropping-particle":"van"}],"issued":{"date-parts":[["2007"]]}}},{"id":4856,"uris":["http://zotero.org/groups/2470620/items/37L68QE6"],"itemData":{"id":4856,"type":"article-journal","archive":"Scopus","container-title":"Geochemical Journal","DOI":"10.2343/geochemj.1.0036","issue":"6","page":"403-414","title":"Experimental study on the fractionation of yttrium from holmium during the coprecipitation with calcium carbonates in seawater solutions","volume":"43","author":[{"family":"Qu","given":"C."},{"family":"Liu","given":"G."},{"family":"Zhao","given":"Y."}],"issued":{"date-parts":[["2009"]]}}}],"schema":"https://github.com/citation-style-language/schema/raw/master/csl-citation.json"} </w:instrText>
      </w:r>
      <w:r w:rsidR="00E80505" w:rsidRPr="00972C81">
        <w:rPr>
          <w:noProof/>
        </w:rPr>
        <w:fldChar w:fldCharType="separate"/>
      </w:r>
      <w:r w:rsidR="00BC59C6" w:rsidRPr="00972C81">
        <w:rPr>
          <w:noProof/>
        </w:rPr>
        <w:t>(Pack et al., 2007; Qu et al., 2009)</w:t>
      </w:r>
      <w:r w:rsidR="00E80505" w:rsidRPr="00972C81">
        <w:rPr>
          <w:noProof/>
        </w:rPr>
        <w:fldChar w:fldCharType="end"/>
      </w:r>
      <w:r w:rsidRPr="00972C81">
        <w:rPr>
          <w:noProof/>
        </w:rPr>
        <w:t xml:space="preserve">. Measurements on rocks, soils, and meteorites indicate that the Y/Ho mass concentration ratio rarely falls far from the so-called chondritic ratio of ~26. Leggett </w:t>
      </w:r>
      <w:r w:rsidR="00E80505" w:rsidRPr="00972C81">
        <w:rPr>
          <w:noProof/>
        </w:rPr>
        <w:fldChar w:fldCharType="begin"/>
      </w:r>
      <w:r w:rsidR="00E80505" w:rsidRPr="00972C81">
        <w:rPr>
          <w:noProof/>
        </w:rPr>
        <w:instrText xml:space="preserve"> ADDIN ZOTERO_ITEM CSL_CITATION {"citationID":"PxmdxUYW","properties":{"formattedCitation":"(2017)","plainCitation":"(2017)","noteIndex":0},"citationItems":[{"id":4858,"uris":["http://zotero.org/groups/2470620/items/2GICQEHG"],"itemData":{"id":4858,"type":"article-journal","abstract":"The transition metal yttrium (Y, atomic number 39) is chemically similar to elements in the lanthanide family (atomic numbers 57-71) and is found with the lanthanides in rare earth ores. Yttrium and the lanthanide holmium are referred to as geochemical twins because they generally show little fractionation from metamorphic or weathering processes, due to their closely similar chemical properties and nearly identical ionic radii. Extensive measurements on rocks, soils, and meteorites indicate that the Y/Ho mass concentration ratio rarely falls far from the so-called chondritic or solar system ratio of </w:instrText>
      </w:r>
      <w:r w:rsidR="00E80505" w:rsidRPr="00972C81">
        <w:rPr>
          <w:rFonts w:ascii="Cambria Math" w:hAnsi="Cambria Math" w:cs="Cambria Math"/>
          <w:noProof/>
        </w:rPr>
        <w:instrText>∼</w:instrText>
      </w:r>
      <w:r w:rsidR="00E80505" w:rsidRPr="00972C81">
        <w:rPr>
          <w:noProof/>
        </w:rPr>
        <w:instrText xml:space="preserve">26. This paper presents a new biokinetic model for yttrium in adult humans and examines whether yttrium and holmium may be biological as well as geochemical twins, considering model-based comparisons of their systemic behaviours in adult humans and model-free comparisons of their concentration ratios in human tissues and various types of vegetation. It appears that yttrium and holmium behave similarly in the human body and that their concentration ratios tend to cluster near the chondritic value in human tissues as well as plants, but the comparative information is too limited and imprecise to determine whether they are extremely close biological analogues.","container-title":"Journal of Radiological Protection: Official Journal of the Society for Radiological Protection","DOI":"10.1088/1361-6498/aa6e66","ISSN":"1361-6498","issue":"2","journalAbbreviation":"J Radiol Prot","language":"eng","note":"PMID: 28429683","page":"434-449","source":"PubMed","title":"Biokinetics of yttrium and comparison with its geochemical twin holmium","volume":"37","author":[{"family":"Leggett","given":"Rich"}],"issued":{"date-parts":[["2017",6,26]]}},"label":"page","suppress-author":true}],"schema":"https://github.com/citation-style-language/schema/raw/master/csl-citation.json"} </w:instrText>
      </w:r>
      <w:r w:rsidR="00E80505" w:rsidRPr="00972C81">
        <w:rPr>
          <w:noProof/>
        </w:rPr>
        <w:fldChar w:fldCharType="separate"/>
      </w:r>
      <w:r w:rsidR="00BC59C6" w:rsidRPr="00972C81">
        <w:rPr>
          <w:noProof/>
        </w:rPr>
        <w:t>(2017)</w:t>
      </w:r>
      <w:r w:rsidR="00E80505" w:rsidRPr="00972C81">
        <w:rPr>
          <w:noProof/>
        </w:rPr>
        <w:fldChar w:fldCharType="end"/>
      </w:r>
      <w:r w:rsidRPr="00972C81">
        <w:rPr>
          <w:noProof/>
        </w:rPr>
        <w:t xml:space="preserve"> reviewed data on the relation of holmium and yttrium in plants and human tissues to assess whether these elements are also closely related in biological systems. The assessment included model-based comparisons of their systemic </w:t>
      </w:r>
      <w:r w:rsidR="00BB503E">
        <w:rPr>
          <w:noProof/>
        </w:rPr>
        <w:t>behaviour</w:t>
      </w:r>
      <w:r w:rsidRPr="00972C81">
        <w:rPr>
          <w:noProof/>
        </w:rPr>
        <w:t xml:space="preserve">s in adult humans and model-free comparisons of their concentration ratios in human tissues and various types of vegetation. It was concluded that holmium and yttrium behave similarly in the human body and that their concentration ratios tend to cluster near the chondritic value in human tissues as well as plants. The results of the study provide support for the model for holmium used in this report, at least for adults, because it is consistent with the systemic </w:t>
      </w:r>
      <w:r w:rsidR="00BB503E">
        <w:rPr>
          <w:noProof/>
        </w:rPr>
        <w:t>behaviour</w:t>
      </w:r>
      <w:r w:rsidRPr="00972C81">
        <w:rPr>
          <w:noProof/>
        </w:rPr>
        <w:t xml:space="preserve"> of yttrium observed in a controlled study involving healthy adult human subjects </w:t>
      </w:r>
      <w:r w:rsidR="00E80505" w:rsidRPr="00972C81">
        <w:rPr>
          <w:noProof/>
        </w:rPr>
        <w:fldChar w:fldCharType="begin"/>
      </w:r>
      <w:r w:rsidR="00E80505" w:rsidRPr="00972C81">
        <w:rPr>
          <w:noProof/>
        </w:rPr>
        <w:instrText xml:space="preserve"> ADDIN ZOTERO_ITEM CSL_CITATION {"citationID":"bsQkCJUY","properties":{"formattedCitation":"(Etherington et al., 1989a, 1989b)","plainCitation":"(Etherington et al., 1989a, 1989b)","noteIndex":0},"citationItems":[{"id":4860,"uris":["http://zotero.org/groups/2470620/items/7I5AIWCZ"],"itemData":{"id":4860,"type":"paper-conference","container-title":"Radiation Protection – Theory and Practice","event-place":"Symp., Malvern","event-title":"Paper presented at 4th Int Symp","language":"en","page":"445–448","publisher-place":"Symp., Malvern","title":"A study of the biokinetics of intravenously administered yttrium-88 in man","author":[{"family":"Etherington","given":"G."},{"family":"Bailey","given":"M.R."},{"family":"Dorrian","given":"M.D."},{"family":"Hodgson","given":"A."}],"issued":{"date-parts":[["1989"]]}}},{"id":4861,"uris":["http://zotero.org/groups/2470620/items/4VW8AGZ5"],"itemData":{"id":4861,"type":"article-journal","container-title":"Radiation Protection Bulletin","issue":"105: September","language":"en","page":"16–19","title":"The biokinetics of intravenously administered yttrium-88 in man","author":[{"family":"Etherington","given":"G."},{"family":"Bailey","given":"M.R."},{"family":"Dorrian","given":"M.D."},{"family":"Hodgson","given":"A."}],"issued":{"date-parts":[["1989"]]}}}],"schema":"https://github.com/citation-style-language/schema/raw/master/csl-citation.json"} </w:instrText>
      </w:r>
      <w:r w:rsidR="00E80505" w:rsidRPr="00972C81">
        <w:rPr>
          <w:noProof/>
        </w:rPr>
        <w:fldChar w:fldCharType="separate"/>
      </w:r>
      <w:r w:rsidR="00BC59C6" w:rsidRPr="00972C81">
        <w:rPr>
          <w:noProof/>
        </w:rPr>
        <w:t>(Etherington et al., 1989a, 1989b)</w:t>
      </w:r>
      <w:r w:rsidR="00E80505" w:rsidRPr="00972C81">
        <w:rPr>
          <w:noProof/>
        </w:rPr>
        <w:fldChar w:fldCharType="end"/>
      </w:r>
      <w:r w:rsidRPr="00972C81">
        <w:rPr>
          <w:noProof/>
        </w:rPr>
        <w:t xml:space="preserve">. </w:t>
      </w:r>
    </w:p>
    <w:p w14:paraId="29533471" w14:textId="77777777" w:rsidR="00165FEB" w:rsidRPr="00972C81" w:rsidRDefault="00165FEB" w:rsidP="001C4A92">
      <w:pPr>
        <w:pStyle w:val="Annalstext"/>
        <w:rPr>
          <w:noProof/>
        </w:rPr>
      </w:pPr>
      <w:r w:rsidRPr="00972C81">
        <w:rPr>
          <w:noProof/>
        </w:rPr>
        <w:t xml:space="preserve">No information was found regarding the effect of age on the biokinetics of systemic holmium. </w:t>
      </w:r>
    </w:p>
    <w:p w14:paraId="08D0A1E3" w14:textId="77777777" w:rsidR="00165FEB" w:rsidRPr="00972C81" w:rsidRDefault="00165FEB" w:rsidP="006703A2">
      <w:pPr>
        <w:pStyle w:val="OIRTitre4"/>
      </w:pPr>
      <w:r w:rsidRPr="00972C81">
        <w:lastRenderedPageBreak/>
        <w:t>Systemic model</w:t>
      </w:r>
    </w:p>
    <w:p w14:paraId="7E157B2A" w14:textId="2BD69E3F" w:rsidR="00165FEB" w:rsidRPr="00972C81" w:rsidRDefault="00165FEB" w:rsidP="001C4A92">
      <w:pPr>
        <w:pStyle w:val="Annalstext"/>
        <w:rPr>
          <w:rFonts w:eastAsiaTheme="minorHAnsi"/>
          <w:noProof/>
        </w:rPr>
      </w:pPr>
      <w:r w:rsidRPr="00972C81">
        <w:rPr>
          <w:rFonts w:eastAsiaTheme="minorHAnsi"/>
          <w:noProof/>
        </w:rPr>
        <w:t xml:space="preserve">The model structure shown in </w:t>
      </w:r>
      <w:r w:rsidR="00E80505" w:rsidRPr="00972C81">
        <w:rPr>
          <w:rFonts w:eastAsiaTheme="minorHAnsi"/>
          <w:noProof/>
        </w:rPr>
        <w:fldChar w:fldCharType="begin"/>
      </w:r>
      <w:r w:rsidR="00E80505" w:rsidRPr="00972C81">
        <w:rPr>
          <w:rFonts w:eastAsiaTheme="minorHAnsi"/>
          <w:noProof/>
        </w:rPr>
        <w:instrText xml:space="preserve"> REF _Ref141858180 \h </w:instrText>
      </w:r>
      <w:r w:rsidR="00E80505" w:rsidRPr="00972C81">
        <w:rPr>
          <w:rFonts w:eastAsiaTheme="minorHAnsi"/>
          <w:noProof/>
        </w:rPr>
      </w:r>
      <w:r w:rsidR="00E80505" w:rsidRPr="00972C81">
        <w:rPr>
          <w:rFonts w:eastAsiaTheme="minorHAnsi"/>
          <w:noProof/>
        </w:rPr>
        <w:fldChar w:fldCharType="separate"/>
      </w:r>
      <w:r w:rsidR="00A41AD1" w:rsidRPr="00A41AD1">
        <w:rPr>
          <w:noProof/>
          <w:szCs w:val="24"/>
        </w:rPr>
        <w:t xml:space="preserve">Fig </w:t>
      </w:r>
      <w:r w:rsidR="00A41AD1">
        <w:rPr>
          <w:noProof/>
          <w:szCs w:val="24"/>
        </w:rPr>
        <w:t>3</w:t>
      </w:r>
      <w:r w:rsidR="00A41AD1" w:rsidRPr="00A41AD1">
        <w:rPr>
          <w:noProof/>
          <w:szCs w:val="24"/>
        </w:rPr>
        <w:t>.</w:t>
      </w:r>
      <w:r w:rsidR="00A41AD1">
        <w:rPr>
          <w:noProof/>
          <w:szCs w:val="24"/>
        </w:rPr>
        <w:t>1</w:t>
      </w:r>
      <w:r w:rsidR="00E80505" w:rsidRPr="00972C81">
        <w:rPr>
          <w:rFonts w:eastAsiaTheme="minorHAnsi"/>
          <w:noProof/>
        </w:rPr>
        <w:fldChar w:fldCharType="end"/>
      </w:r>
      <w:r w:rsidRPr="00972C81">
        <w:rPr>
          <w:rFonts w:eastAsiaTheme="minorHAnsi"/>
          <w:noProof/>
        </w:rPr>
        <w:t xml:space="preserve"> of the section on cerium is applied in this report to all lanthanide elements.</w:t>
      </w:r>
    </w:p>
    <w:p w14:paraId="6DFAD218" w14:textId="77777777" w:rsidR="00165FEB" w:rsidRPr="00972C81" w:rsidRDefault="00165FEB" w:rsidP="001C4A92">
      <w:pPr>
        <w:pStyle w:val="Annalstext"/>
        <w:rPr>
          <w:noProof/>
        </w:rPr>
      </w:pPr>
      <w:r w:rsidRPr="00972C81">
        <w:rPr>
          <w:noProof/>
        </w:rPr>
        <w:t xml:space="preserve">A common set of age-specific transfer coefficients is applied to the “holmium group”, which consists of the lanthanide elements </w:t>
      </w:r>
      <w:r w:rsidRPr="00972C81">
        <w:rPr>
          <w:noProof/>
          <w:color w:val="000000" w:themeColor="text1"/>
        </w:rPr>
        <w:t>terbium, dysprosium, holmium, erbium, thulium, ytterbium, and lutetium</w:t>
      </w:r>
      <w:r w:rsidRPr="00972C81">
        <w:rPr>
          <w:noProof/>
        </w:rPr>
        <w:t>. The transfer coefficients are based largely on generic parameter values for the lanthanides, i.e., parameter values assumed to be invariant across the lanthanide family. The generic parameter values are listed in the section on cerium. The generic parameter values are assumed to be invariant with age except for the following:</w:t>
      </w:r>
    </w:p>
    <w:p w14:paraId="4A5AD8F5" w14:textId="3E6BEDD0" w:rsidR="00165FEB" w:rsidRPr="00972C81" w:rsidRDefault="00165FEB" w:rsidP="00E81109">
      <w:pPr>
        <w:pStyle w:val="a"/>
        <w:rPr>
          <w:noProof/>
        </w:rPr>
      </w:pPr>
      <w:r w:rsidRPr="00972C81">
        <w:rPr>
          <w:noProof/>
          <w:color w:val="000000"/>
        </w:rPr>
        <w:t>The rate of transfer from t</w:t>
      </w:r>
      <w:r w:rsidRPr="00972C81">
        <w:rPr>
          <w:noProof/>
        </w:rPr>
        <w:t xml:space="preserve">rabecular bone surface to trabecular bone volume is assumed to be A times the reference age-specific rate of remodeling of trabecular bone </w:t>
      </w:r>
      <w:r w:rsidR="00E80505" w:rsidRPr="00972C81">
        <w:rPr>
          <w:noProof/>
        </w:rPr>
        <w:fldChar w:fldCharType="begin"/>
      </w:r>
      <w:r w:rsidR="00E80505" w:rsidRPr="00972C81">
        <w:rPr>
          <w:noProof/>
        </w:rPr>
        <w:instrText xml:space="preserve"> ADDIN ZOTERO_ITEM CSL_CITATION {"citationID":"CgHQc6qf","properties":{"formattedCitation":"(ICRP,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E80505" w:rsidRPr="00972C81">
        <w:rPr>
          <w:noProof/>
        </w:rPr>
        <w:fldChar w:fldCharType="separate"/>
      </w:r>
      <w:r w:rsidR="00BC59C6" w:rsidRPr="00972C81">
        <w:rPr>
          <w:noProof/>
        </w:rPr>
        <w:t>(ICRP, 2002)</w:t>
      </w:r>
      <w:r w:rsidR="00E80505" w:rsidRPr="00972C81">
        <w:rPr>
          <w:noProof/>
        </w:rPr>
        <w:fldChar w:fldCharType="end"/>
      </w:r>
      <w:r w:rsidRPr="00972C81">
        <w:rPr>
          <w:noProof/>
        </w:rPr>
        <w:t>, where A = 0.5 for adults and A = 1 for preadult ages</w:t>
      </w:r>
      <w:r w:rsidR="00E80505" w:rsidRPr="00972C81">
        <w:rPr>
          <w:noProof/>
        </w:rPr>
        <w:t>.</w:t>
      </w:r>
    </w:p>
    <w:p w14:paraId="1A41FA9C" w14:textId="0551F552" w:rsidR="00165FEB" w:rsidRPr="00972C81" w:rsidRDefault="00165FEB" w:rsidP="00E81109">
      <w:pPr>
        <w:pStyle w:val="a"/>
        <w:rPr>
          <w:noProof/>
        </w:rPr>
      </w:pPr>
      <w:r w:rsidRPr="00972C81">
        <w:rPr>
          <w:noProof/>
          <w:color w:val="000000"/>
        </w:rPr>
        <w:t>The rate of transfer from cortical</w:t>
      </w:r>
      <w:r w:rsidRPr="00972C81">
        <w:rPr>
          <w:noProof/>
        </w:rPr>
        <w:t xml:space="preserve"> bone surface to cortical bone volume is assumed to be 0.5 times the reference age-specific rate of remodeling of cortical bone </w:t>
      </w:r>
      <w:r w:rsidR="00E80505" w:rsidRPr="00972C81">
        <w:rPr>
          <w:noProof/>
        </w:rPr>
        <w:fldChar w:fldCharType="begin"/>
      </w:r>
      <w:r w:rsidR="00E80505" w:rsidRPr="00972C81">
        <w:rPr>
          <w:noProof/>
        </w:rPr>
        <w:instrText xml:space="preserve"> ADDIN ZOTERO_ITEM CSL_CITATION {"citationID":"E5qVziyA","properties":{"formattedCitation":"(ICRP,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E80505" w:rsidRPr="00972C81">
        <w:rPr>
          <w:noProof/>
        </w:rPr>
        <w:fldChar w:fldCharType="separate"/>
      </w:r>
      <w:r w:rsidR="00BC59C6" w:rsidRPr="00972C81">
        <w:rPr>
          <w:noProof/>
        </w:rPr>
        <w:t>(ICRP, 2002)</w:t>
      </w:r>
      <w:r w:rsidR="00E80505" w:rsidRPr="00972C81">
        <w:rPr>
          <w:noProof/>
        </w:rPr>
        <w:fldChar w:fldCharType="end"/>
      </w:r>
      <w:r w:rsidRPr="00972C81">
        <w:rPr>
          <w:noProof/>
        </w:rPr>
        <w:t>, where A = 0.5 for adults and A = 1 for preadult ages</w:t>
      </w:r>
      <w:r w:rsidR="00E80505" w:rsidRPr="00972C81">
        <w:rPr>
          <w:noProof/>
        </w:rPr>
        <w:t>.</w:t>
      </w:r>
    </w:p>
    <w:p w14:paraId="7037F0B6" w14:textId="343CF6C6" w:rsidR="00165FEB" w:rsidRPr="00972C81" w:rsidRDefault="00165FEB" w:rsidP="00E81109">
      <w:pPr>
        <w:pStyle w:val="a"/>
        <w:rPr>
          <w:noProof/>
        </w:rPr>
      </w:pPr>
      <w:r w:rsidRPr="00972C81">
        <w:rPr>
          <w:noProof/>
          <w:color w:val="000000"/>
        </w:rPr>
        <w:t>The rate of transfer from t</w:t>
      </w:r>
      <w:r w:rsidRPr="00972C81">
        <w:rPr>
          <w:noProof/>
        </w:rPr>
        <w:t xml:space="preserve">rabecular bone surface or volume to trabecular marrow is assumed to be the reference age-specific rate of remodeling of trabecular bone </w:t>
      </w:r>
      <w:r w:rsidR="00E80505" w:rsidRPr="00972C81">
        <w:rPr>
          <w:noProof/>
        </w:rPr>
        <w:fldChar w:fldCharType="begin"/>
      </w:r>
      <w:r w:rsidR="00E80505" w:rsidRPr="00972C81">
        <w:rPr>
          <w:noProof/>
        </w:rPr>
        <w:instrText xml:space="preserve"> ADDIN ZOTERO_ITEM CSL_CITATION {"citationID":"H8NU83ay","properties":{"formattedCitation":"(ICRP,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E80505" w:rsidRPr="00972C81">
        <w:rPr>
          <w:noProof/>
        </w:rPr>
        <w:fldChar w:fldCharType="separate"/>
      </w:r>
      <w:r w:rsidR="00BC59C6" w:rsidRPr="00972C81">
        <w:rPr>
          <w:noProof/>
        </w:rPr>
        <w:t>(ICRP, 2002)</w:t>
      </w:r>
      <w:r w:rsidR="00E80505" w:rsidRPr="00972C81">
        <w:rPr>
          <w:noProof/>
        </w:rPr>
        <w:fldChar w:fldCharType="end"/>
      </w:r>
      <w:r w:rsidR="00E80505" w:rsidRPr="00972C81">
        <w:rPr>
          <w:noProof/>
        </w:rPr>
        <w:t>.</w:t>
      </w:r>
    </w:p>
    <w:p w14:paraId="2D1A5F3E" w14:textId="21D3D54F" w:rsidR="00165FEB" w:rsidRPr="00972C81" w:rsidRDefault="00165FEB" w:rsidP="00E81109">
      <w:pPr>
        <w:pStyle w:val="a"/>
        <w:rPr>
          <w:noProof/>
        </w:rPr>
      </w:pPr>
      <w:r w:rsidRPr="00972C81">
        <w:rPr>
          <w:noProof/>
          <w:color w:val="000000"/>
        </w:rPr>
        <w:t>The rate of transfer from cortical</w:t>
      </w:r>
      <w:r w:rsidRPr="00972C81">
        <w:rPr>
          <w:noProof/>
        </w:rPr>
        <w:t xml:space="preserve"> bone surface or volume to cortical marrow is assumed to be the reference age-specific rate of remodeling of cortical bone </w:t>
      </w:r>
      <w:r w:rsidR="00E80505" w:rsidRPr="00972C81">
        <w:rPr>
          <w:noProof/>
        </w:rPr>
        <w:fldChar w:fldCharType="begin"/>
      </w:r>
      <w:r w:rsidR="00E80505" w:rsidRPr="00972C81">
        <w:rPr>
          <w:noProof/>
        </w:rPr>
        <w:instrText xml:space="preserve"> ADDIN ZOTERO_ITEM CSL_CITATION {"citationID":"mRGemOcz","properties":{"formattedCitation":"(ICRP,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E80505" w:rsidRPr="00972C81">
        <w:rPr>
          <w:noProof/>
        </w:rPr>
        <w:fldChar w:fldCharType="separate"/>
      </w:r>
      <w:r w:rsidR="00BC59C6" w:rsidRPr="00972C81">
        <w:rPr>
          <w:noProof/>
        </w:rPr>
        <w:t>(ICRP, 2002)</w:t>
      </w:r>
      <w:r w:rsidR="00E80505" w:rsidRPr="00972C81">
        <w:rPr>
          <w:noProof/>
        </w:rPr>
        <w:fldChar w:fldCharType="end"/>
      </w:r>
      <w:r w:rsidR="00E80505" w:rsidRPr="00972C81">
        <w:rPr>
          <w:noProof/>
        </w:rPr>
        <w:t>.</w:t>
      </w:r>
    </w:p>
    <w:p w14:paraId="3FC1BA81" w14:textId="77777777" w:rsidR="00187747" w:rsidRDefault="00187747" w:rsidP="00C47F2F">
      <w:pPr>
        <w:pStyle w:val="Annalstext"/>
        <w:numPr>
          <w:ilvl w:val="0"/>
          <w:numId w:val="0"/>
        </w:numPr>
        <w:ind w:left="284"/>
        <w:rPr>
          <w:noProof/>
        </w:rPr>
      </w:pPr>
    </w:p>
    <w:p w14:paraId="7D6F76CD" w14:textId="533BFF65" w:rsidR="00165FEB" w:rsidRPr="00972C81" w:rsidRDefault="00165FEB" w:rsidP="001C4A92">
      <w:pPr>
        <w:pStyle w:val="Annalstext"/>
        <w:rPr>
          <w:noProof/>
        </w:rPr>
      </w:pPr>
      <w:r w:rsidRPr="00972C81">
        <w:rPr>
          <w:noProof/>
        </w:rPr>
        <w:t>For each lanthanide element, non-generic (element- or group-specific) parameter values are assigned here to:</w:t>
      </w:r>
    </w:p>
    <w:p w14:paraId="382D86A4" w14:textId="2D162FD3" w:rsidR="00165FEB" w:rsidRPr="00972C81" w:rsidRDefault="00165FEB" w:rsidP="00C47F2F">
      <w:pPr>
        <w:pStyle w:val="a"/>
        <w:rPr>
          <w:noProof/>
        </w:rPr>
      </w:pPr>
      <w:r w:rsidRPr="00972C81">
        <w:rPr>
          <w:noProof/>
        </w:rPr>
        <w:t>the deposition fractions for liver, bone surface, urinary bladder content, right colon content, and intermediate-term soft tissue compartment (ST1)</w:t>
      </w:r>
    </w:p>
    <w:p w14:paraId="45931845" w14:textId="2FCF81B1" w:rsidR="00165FEB" w:rsidRPr="00972C81" w:rsidRDefault="00165FEB" w:rsidP="00C47F2F">
      <w:pPr>
        <w:pStyle w:val="a"/>
        <w:rPr>
          <w:noProof/>
        </w:rPr>
      </w:pPr>
      <w:r w:rsidRPr="00972C81">
        <w:rPr>
          <w:noProof/>
        </w:rPr>
        <w:t>removal half-times from ST1 to blood and from the long-term liv</w:t>
      </w:r>
      <w:r w:rsidR="00E80505" w:rsidRPr="00972C81">
        <w:rPr>
          <w:noProof/>
        </w:rPr>
        <w:t>er compartment Liver 2 to blood.</w:t>
      </w:r>
    </w:p>
    <w:p w14:paraId="3716EEFA" w14:textId="77777777" w:rsidR="00165FEB" w:rsidRPr="00972C81" w:rsidRDefault="00165FEB" w:rsidP="00165FEB">
      <w:pPr>
        <w:tabs>
          <w:tab w:val="left" w:pos="851"/>
        </w:tabs>
        <w:adjustRightInd w:val="0"/>
        <w:snapToGrid w:val="0"/>
        <w:spacing w:line="280" w:lineRule="atLeast"/>
        <w:rPr>
          <w:rFonts w:ascii="Times Roman" w:hAnsi="Times Roman"/>
          <w:noProof/>
          <w:color w:val="000000"/>
          <w:szCs w:val="24"/>
        </w:rPr>
      </w:pPr>
    </w:p>
    <w:p w14:paraId="05DAB37B" w14:textId="77777777" w:rsidR="00165FEB" w:rsidRPr="00972C81" w:rsidRDefault="00165FEB" w:rsidP="001C4A92">
      <w:pPr>
        <w:pStyle w:val="Annalstext"/>
        <w:rPr>
          <w:noProof/>
        </w:rPr>
      </w:pPr>
      <w:r w:rsidRPr="00972C81">
        <w:rPr>
          <w:noProof/>
        </w:rPr>
        <w:t>Extension of the non-generic parameter values for adults to preadult ages is based on a general pattern of age related systemic biokinetics observed for a number of bone-seeking elements including the lanthanide cerium. That is, the deposition fraction in bone is higher in immature animals than in mature animals and tends to decrease with age from early life to adolescence to adulthood. Also, biokinetic studies of bone-seeking elements show that the rate of turnover of the skeletal deposit is higher in immature than mature animals, presumably due to a faster rate of bone restructuring at younger ages.</w:t>
      </w:r>
    </w:p>
    <w:p w14:paraId="31F2688F" w14:textId="73B07FFD" w:rsidR="00165FEB" w:rsidRPr="00972C81" w:rsidRDefault="00165FEB" w:rsidP="001C4A92">
      <w:pPr>
        <w:pStyle w:val="Annalstext"/>
        <w:rPr>
          <w:noProof/>
        </w:rPr>
      </w:pPr>
      <w:r w:rsidRPr="00972C81">
        <w:rPr>
          <w:noProof/>
        </w:rPr>
        <w:t>Based on analogy with the most extensively studied lanthanide cerium, a bone deposition fraction of 0.7 is assigned to ages 100 d and 1 y for all lanthanide elements. For ages 5</w:t>
      </w:r>
      <w:r w:rsidR="002D114E" w:rsidRPr="00972C81">
        <w:rPr>
          <w:noProof/>
        </w:rPr>
        <w:t>–</w:t>
      </w:r>
      <w:r w:rsidRPr="00972C81">
        <w:rPr>
          <w:noProof/>
        </w:rPr>
        <w:t>15 y, the assigned deposition fraction is a rounded average of the value 0.7 for the first year of life and the element- or group-dependent bone deposition fraction for adults, which is 0.55 for the holmium group. The deposition fraction 0.6 is assigned to the holmium group for ages 5</w:t>
      </w:r>
      <w:r w:rsidR="002D114E" w:rsidRPr="00972C81">
        <w:rPr>
          <w:noProof/>
        </w:rPr>
        <w:t>–</w:t>
      </w:r>
      <w:r w:rsidRPr="00972C81">
        <w:rPr>
          <w:noProof/>
        </w:rPr>
        <w:t>15 y. In contrast to the models for relatively light lanthanides, the elevated skeletal uptake of elements in holmium group cannot be balanced by reducing the deposition fraction for the adult liver, because the latter value is only 0.05 for this group. Rather, the increased skeletal uptake in preadults is balanced by decreasing the relatively large deposition fractions for the intermediate soft-tissue compartment ST1 (~0.15 for adults), and the urinary bladder content (0.2 for adults). The age-adjusted deposition fractions for each age are liberally rounded in view of the sizable uncertainties involved.</w:t>
      </w:r>
    </w:p>
    <w:p w14:paraId="4EA71F35" w14:textId="552B071E" w:rsidR="00165FEB" w:rsidRPr="00972C81" w:rsidRDefault="00165FEB" w:rsidP="001C4A92">
      <w:pPr>
        <w:pStyle w:val="Annalstext"/>
        <w:rPr>
          <w:noProof/>
        </w:rPr>
      </w:pPr>
      <w:r w:rsidRPr="00972C81">
        <w:rPr>
          <w:noProof/>
        </w:rPr>
        <w:lastRenderedPageBreak/>
        <w:t xml:space="preserve">The non-generic deposition fractions in the model for the holmium group are listed in </w:t>
      </w:r>
      <w:r w:rsidR="00E80505" w:rsidRPr="00972C81">
        <w:rPr>
          <w:noProof/>
        </w:rPr>
        <w:fldChar w:fldCharType="begin"/>
      </w:r>
      <w:r w:rsidR="00E80505" w:rsidRPr="00972C81">
        <w:rPr>
          <w:noProof/>
        </w:rPr>
        <w:instrText xml:space="preserve"> REF _Ref142312842 \h </w:instrText>
      </w:r>
      <w:r w:rsidR="00E80505" w:rsidRPr="00972C81">
        <w:rPr>
          <w:noProof/>
        </w:rPr>
      </w:r>
      <w:r w:rsidR="00E80505" w:rsidRPr="00972C81">
        <w:rPr>
          <w:noProof/>
        </w:rPr>
        <w:fldChar w:fldCharType="separate"/>
      </w:r>
      <w:r w:rsidR="00A41AD1" w:rsidRPr="00A41AD1">
        <w:rPr>
          <w:noProof/>
          <w:szCs w:val="24"/>
        </w:rPr>
        <w:t xml:space="preserve">Table </w:t>
      </w:r>
      <w:r w:rsidR="00A41AD1">
        <w:rPr>
          <w:noProof/>
          <w:szCs w:val="24"/>
        </w:rPr>
        <w:t>12</w:t>
      </w:r>
      <w:r w:rsidR="00A41AD1" w:rsidRPr="00A41AD1">
        <w:rPr>
          <w:noProof/>
          <w:szCs w:val="24"/>
        </w:rPr>
        <w:t>.</w:t>
      </w:r>
      <w:r w:rsidR="00A41AD1">
        <w:rPr>
          <w:noProof/>
          <w:szCs w:val="24"/>
        </w:rPr>
        <w:t>1</w:t>
      </w:r>
      <w:r w:rsidR="00E80505" w:rsidRPr="00972C81">
        <w:rPr>
          <w:noProof/>
        </w:rPr>
        <w:fldChar w:fldCharType="end"/>
      </w:r>
      <w:r w:rsidRPr="00972C81">
        <w:rPr>
          <w:noProof/>
        </w:rPr>
        <w:t>.</w:t>
      </w:r>
    </w:p>
    <w:p w14:paraId="54AA6895" w14:textId="77777777" w:rsidR="007649A9" w:rsidRPr="00972C81" w:rsidRDefault="007649A9" w:rsidP="00E81109">
      <w:pPr>
        <w:pStyle w:val="Annalstext"/>
        <w:numPr>
          <w:ilvl w:val="0"/>
          <w:numId w:val="0"/>
        </w:numPr>
        <w:ind w:left="142"/>
        <w:rPr>
          <w:noProof/>
        </w:rPr>
      </w:pPr>
    </w:p>
    <w:p w14:paraId="6E1B4679" w14:textId="6EBCEDA0" w:rsidR="00165FEB" w:rsidRPr="00C47F2F" w:rsidRDefault="00E80505" w:rsidP="00E81109">
      <w:pPr>
        <w:pStyle w:val="ab"/>
        <w:rPr>
          <w:noProof/>
          <w:sz w:val="24"/>
          <w:szCs w:val="24"/>
        </w:rPr>
      </w:pPr>
      <w:bookmarkStart w:id="184" w:name="_Ref142312842"/>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Pr>
          <w:noProof/>
          <w:sz w:val="24"/>
          <w:szCs w:val="24"/>
        </w:rPr>
        <w:t>12</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Pr>
          <w:noProof/>
          <w:sz w:val="24"/>
          <w:szCs w:val="24"/>
        </w:rPr>
        <w:t>1</w:t>
      </w:r>
      <w:r w:rsidR="00EA3750" w:rsidRPr="00C47F2F">
        <w:rPr>
          <w:noProof/>
          <w:sz w:val="24"/>
          <w:szCs w:val="24"/>
        </w:rPr>
        <w:fldChar w:fldCharType="end"/>
      </w:r>
      <w:bookmarkEnd w:id="184"/>
      <w:r w:rsidR="007649A9" w:rsidRPr="00C47F2F">
        <w:rPr>
          <w:noProof/>
          <w:sz w:val="24"/>
          <w:szCs w:val="24"/>
        </w:rPr>
        <w:t>. Non-generic (group-specific) parameter values for the holmium group (</w:t>
      </w:r>
      <w:r w:rsidR="007649A9" w:rsidRPr="00C47F2F">
        <w:rPr>
          <w:rFonts w:ascii="Times Roman" w:hAnsi="Times Roman"/>
          <w:noProof/>
          <w:color w:val="000000" w:themeColor="text1"/>
          <w:sz w:val="24"/>
          <w:szCs w:val="24"/>
        </w:rPr>
        <w:t>terbium, dysprosium, holmium, erbium, thulium, ytterbium, and lutetium</w:t>
      </w:r>
      <w:r w:rsidR="007649A9" w:rsidRPr="00C47F2F">
        <w:rPr>
          <w:noProof/>
          <w:sz w:val="24"/>
          <w:szCs w:val="24"/>
        </w:rPr>
        <w:t>).</w:t>
      </w:r>
    </w:p>
    <w:tbl>
      <w:tblPr>
        <w:tblStyle w:val="a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1112"/>
        <w:gridCol w:w="1206"/>
        <w:gridCol w:w="1119"/>
        <w:gridCol w:w="1294"/>
        <w:gridCol w:w="1119"/>
        <w:gridCol w:w="1228"/>
      </w:tblGrid>
      <w:tr w:rsidR="00165FEB" w:rsidRPr="00972C81" w14:paraId="26EA6A54" w14:textId="77777777" w:rsidTr="00D6697B">
        <w:trPr>
          <w:trHeight w:val="340"/>
          <w:jc w:val="center"/>
        </w:trPr>
        <w:tc>
          <w:tcPr>
            <w:tcW w:w="1079" w:type="pct"/>
            <w:tcBorders>
              <w:top w:val="single" w:sz="4" w:space="0" w:color="auto"/>
            </w:tcBorders>
          </w:tcPr>
          <w:p w14:paraId="7056E4CD" w14:textId="77777777" w:rsidR="00165FEB" w:rsidRPr="002D114E" w:rsidRDefault="00165FEB" w:rsidP="00E81109">
            <w:pPr>
              <w:pStyle w:val="Table"/>
              <w:rPr>
                <w:noProof/>
                <w:szCs w:val="22"/>
              </w:rPr>
            </w:pPr>
          </w:p>
        </w:tc>
        <w:tc>
          <w:tcPr>
            <w:tcW w:w="616" w:type="pct"/>
            <w:tcBorders>
              <w:top w:val="single" w:sz="4" w:space="0" w:color="auto"/>
              <w:bottom w:val="single" w:sz="4" w:space="0" w:color="auto"/>
            </w:tcBorders>
            <w:vAlign w:val="center"/>
          </w:tcPr>
          <w:p w14:paraId="5094767F" w14:textId="77777777" w:rsidR="00165FEB" w:rsidRPr="002D114E" w:rsidRDefault="00165FEB" w:rsidP="00CD4B01">
            <w:pPr>
              <w:pStyle w:val="Table"/>
              <w:rPr>
                <w:noProof/>
                <w:szCs w:val="22"/>
              </w:rPr>
            </w:pPr>
            <w:r w:rsidRPr="002D114E">
              <w:rPr>
                <w:noProof/>
                <w:szCs w:val="22"/>
              </w:rPr>
              <w:t>100 d</w:t>
            </w:r>
          </w:p>
        </w:tc>
        <w:tc>
          <w:tcPr>
            <w:tcW w:w="668" w:type="pct"/>
            <w:tcBorders>
              <w:top w:val="single" w:sz="4" w:space="0" w:color="auto"/>
              <w:bottom w:val="single" w:sz="4" w:space="0" w:color="auto"/>
            </w:tcBorders>
            <w:vAlign w:val="center"/>
          </w:tcPr>
          <w:p w14:paraId="6A92C0DF" w14:textId="77777777" w:rsidR="00165FEB" w:rsidRPr="002D114E" w:rsidRDefault="00165FEB" w:rsidP="00CD4B01">
            <w:pPr>
              <w:pStyle w:val="Table"/>
              <w:rPr>
                <w:noProof/>
                <w:szCs w:val="22"/>
              </w:rPr>
            </w:pPr>
            <w:r w:rsidRPr="002D114E">
              <w:rPr>
                <w:noProof/>
                <w:szCs w:val="22"/>
              </w:rPr>
              <w:t>1 y</w:t>
            </w:r>
          </w:p>
        </w:tc>
        <w:tc>
          <w:tcPr>
            <w:tcW w:w="620" w:type="pct"/>
            <w:tcBorders>
              <w:top w:val="single" w:sz="4" w:space="0" w:color="auto"/>
              <w:bottom w:val="single" w:sz="4" w:space="0" w:color="auto"/>
            </w:tcBorders>
            <w:vAlign w:val="center"/>
          </w:tcPr>
          <w:p w14:paraId="1AFE29F1" w14:textId="77777777" w:rsidR="00165FEB" w:rsidRPr="002D114E" w:rsidRDefault="00165FEB" w:rsidP="00CD4B01">
            <w:pPr>
              <w:pStyle w:val="Table"/>
              <w:rPr>
                <w:noProof/>
                <w:szCs w:val="22"/>
              </w:rPr>
            </w:pPr>
            <w:r w:rsidRPr="002D114E">
              <w:rPr>
                <w:noProof/>
                <w:szCs w:val="22"/>
              </w:rPr>
              <w:t>5 y</w:t>
            </w:r>
          </w:p>
        </w:tc>
        <w:tc>
          <w:tcPr>
            <w:tcW w:w="717" w:type="pct"/>
            <w:tcBorders>
              <w:top w:val="single" w:sz="4" w:space="0" w:color="auto"/>
              <w:bottom w:val="single" w:sz="4" w:space="0" w:color="auto"/>
            </w:tcBorders>
            <w:vAlign w:val="center"/>
          </w:tcPr>
          <w:p w14:paraId="239BD0DA" w14:textId="77777777" w:rsidR="00165FEB" w:rsidRPr="002D114E" w:rsidRDefault="00165FEB" w:rsidP="00CD4B01">
            <w:pPr>
              <w:pStyle w:val="Table"/>
              <w:rPr>
                <w:noProof/>
                <w:szCs w:val="22"/>
              </w:rPr>
            </w:pPr>
            <w:r w:rsidRPr="002D114E">
              <w:rPr>
                <w:noProof/>
                <w:szCs w:val="22"/>
              </w:rPr>
              <w:t>10 y</w:t>
            </w:r>
          </w:p>
        </w:tc>
        <w:tc>
          <w:tcPr>
            <w:tcW w:w="620" w:type="pct"/>
            <w:tcBorders>
              <w:top w:val="single" w:sz="4" w:space="0" w:color="auto"/>
              <w:bottom w:val="single" w:sz="4" w:space="0" w:color="auto"/>
            </w:tcBorders>
            <w:vAlign w:val="center"/>
          </w:tcPr>
          <w:p w14:paraId="2BA80DEB" w14:textId="77777777" w:rsidR="00165FEB" w:rsidRPr="002D114E" w:rsidRDefault="00165FEB" w:rsidP="00CD4B01">
            <w:pPr>
              <w:pStyle w:val="Table"/>
              <w:rPr>
                <w:noProof/>
                <w:szCs w:val="22"/>
              </w:rPr>
            </w:pPr>
            <w:r w:rsidRPr="002D114E">
              <w:rPr>
                <w:noProof/>
                <w:szCs w:val="22"/>
              </w:rPr>
              <w:t>15 y</w:t>
            </w:r>
          </w:p>
        </w:tc>
        <w:tc>
          <w:tcPr>
            <w:tcW w:w="681" w:type="pct"/>
            <w:tcBorders>
              <w:top w:val="single" w:sz="4" w:space="0" w:color="auto"/>
              <w:bottom w:val="single" w:sz="4" w:space="0" w:color="auto"/>
            </w:tcBorders>
            <w:vAlign w:val="center"/>
          </w:tcPr>
          <w:p w14:paraId="692AB83A" w14:textId="77777777" w:rsidR="00165FEB" w:rsidRPr="002D114E" w:rsidRDefault="00165FEB" w:rsidP="00CD4B01">
            <w:pPr>
              <w:pStyle w:val="Table"/>
              <w:rPr>
                <w:noProof/>
                <w:szCs w:val="22"/>
              </w:rPr>
            </w:pPr>
            <w:r w:rsidRPr="002D114E">
              <w:rPr>
                <w:noProof/>
                <w:szCs w:val="22"/>
              </w:rPr>
              <w:t>Adult</w:t>
            </w:r>
          </w:p>
        </w:tc>
      </w:tr>
      <w:tr w:rsidR="00165FEB" w:rsidRPr="00972C81" w14:paraId="6E953639" w14:textId="77777777" w:rsidTr="00D6697B">
        <w:trPr>
          <w:trHeight w:val="340"/>
          <w:jc w:val="center"/>
        </w:trPr>
        <w:tc>
          <w:tcPr>
            <w:tcW w:w="1079" w:type="pct"/>
            <w:tcBorders>
              <w:bottom w:val="single" w:sz="4" w:space="0" w:color="auto"/>
            </w:tcBorders>
          </w:tcPr>
          <w:p w14:paraId="09FDE984" w14:textId="77777777" w:rsidR="00165FEB" w:rsidRPr="002D114E" w:rsidRDefault="00165FEB" w:rsidP="00E81109">
            <w:pPr>
              <w:pStyle w:val="Table"/>
              <w:rPr>
                <w:noProof/>
                <w:szCs w:val="22"/>
              </w:rPr>
            </w:pPr>
          </w:p>
        </w:tc>
        <w:tc>
          <w:tcPr>
            <w:tcW w:w="3921" w:type="pct"/>
            <w:gridSpan w:val="6"/>
            <w:tcBorders>
              <w:top w:val="single" w:sz="4" w:space="0" w:color="auto"/>
              <w:bottom w:val="single" w:sz="4" w:space="0" w:color="auto"/>
            </w:tcBorders>
            <w:vAlign w:val="center"/>
          </w:tcPr>
          <w:p w14:paraId="6CF42DFD" w14:textId="77777777" w:rsidR="00165FEB" w:rsidRPr="002D114E" w:rsidRDefault="00165FEB" w:rsidP="00CD4B01">
            <w:pPr>
              <w:pStyle w:val="Table"/>
              <w:jc w:val="center"/>
              <w:rPr>
                <w:noProof/>
                <w:szCs w:val="22"/>
              </w:rPr>
            </w:pPr>
            <w:r w:rsidRPr="002D114E">
              <w:rPr>
                <w:noProof/>
                <w:szCs w:val="22"/>
              </w:rPr>
              <w:t>Deposition (% of activity leaving the circulation)</w:t>
            </w:r>
          </w:p>
        </w:tc>
      </w:tr>
      <w:tr w:rsidR="00165FEB" w:rsidRPr="00972C81" w14:paraId="72BFBC6B" w14:textId="77777777" w:rsidTr="00CD4B01">
        <w:trPr>
          <w:trHeight w:val="340"/>
          <w:jc w:val="center"/>
        </w:trPr>
        <w:tc>
          <w:tcPr>
            <w:tcW w:w="1079" w:type="pct"/>
            <w:tcBorders>
              <w:top w:val="single" w:sz="4" w:space="0" w:color="auto"/>
            </w:tcBorders>
            <w:vAlign w:val="center"/>
          </w:tcPr>
          <w:p w14:paraId="6D4E1786" w14:textId="77777777" w:rsidR="00165FEB" w:rsidRPr="002D114E" w:rsidRDefault="00165FEB" w:rsidP="00CD4B01">
            <w:pPr>
              <w:pStyle w:val="Table"/>
              <w:rPr>
                <w:noProof/>
                <w:szCs w:val="22"/>
              </w:rPr>
            </w:pPr>
            <w:r w:rsidRPr="002D114E">
              <w:rPr>
                <w:noProof/>
                <w:szCs w:val="22"/>
              </w:rPr>
              <w:t>Liver</w:t>
            </w:r>
          </w:p>
        </w:tc>
        <w:tc>
          <w:tcPr>
            <w:tcW w:w="616" w:type="pct"/>
            <w:tcBorders>
              <w:top w:val="single" w:sz="4" w:space="0" w:color="auto"/>
            </w:tcBorders>
            <w:vAlign w:val="center"/>
          </w:tcPr>
          <w:p w14:paraId="67E96265" w14:textId="77777777" w:rsidR="00165FEB" w:rsidRPr="002D114E" w:rsidRDefault="00165FEB" w:rsidP="00CD4B01">
            <w:pPr>
              <w:pStyle w:val="Table"/>
              <w:rPr>
                <w:noProof/>
                <w:szCs w:val="22"/>
              </w:rPr>
            </w:pPr>
            <w:r w:rsidRPr="002D114E">
              <w:rPr>
                <w:noProof/>
                <w:szCs w:val="22"/>
              </w:rPr>
              <w:t>5</w:t>
            </w:r>
          </w:p>
        </w:tc>
        <w:tc>
          <w:tcPr>
            <w:tcW w:w="668" w:type="pct"/>
            <w:tcBorders>
              <w:top w:val="single" w:sz="4" w:space="0" w:color="auto"/>
            </w:tcBorders>
            <w:vAlign w:val="center"/>
          </w:tcPr>
          <w:p w14:paraId="7F709A20" w14:textId="77777777" w:rsidR="00165FEB" w:rsidRPr="002D114E" w:rsidRDefault="00165FEB" w:rsidP="00CD4B01">
            <w:pPr>
              <w:pStyle w:val="Table"/>
              <w:rPr>
                <w:noProof/>
                <w:szCs w:val="22"/>
              </w:rPr>
            </w:pPr>
            <w:r w:rsidRPr="002D114E">
              <w:rPr>
                <w:noProof/>
                <w:szCs w:val="22"/>
              </w:rPr>
              <w:t>5</w:t>
            </w:r>
          </w:p>
        </w:tc>
        <w:tc>
          <w:tcPr>
            <w:tcW w:w="620" w:type="pct"/>
            <w:tcBorders>
              <w:top w:val="single" w:sz="4" w:space="0" w:color="auto"/>
            </w:tcBorders>
            <w:vAlign w:val="center"/>
          </w:tcPr>
          <w:p w14:paraId="1DD5AADF" w14:textId="77777777" w:rsidR="00165FEB" w:rsidRPr="002D114E" w:rsidRDefault="00165FEB" w:rsidP="00CD4B01">
            <w:pPr>
              <w:pStyle w:val="Table"/>
              <w:rPr>
                <w:noProof/>
                <w:szCs w:val="22"/>
              </w:rPr>
            </w:pPr>
            <w:r w:rsidRPr="002D114E">
              <w:rPr>
                <w:noProof/>
                <w:szCs w:val="22"/>
              </w:rPr>
              <w:t>5</w:t>
            </w:r>
          </w:p>
        </w:tc>
        <w:tc>
          <w:tcPr>
            <w:tcW w:w="717" w:type="pct"/>
            <w:tcBorders>
              <w:top w:val="single" w:sz="4" w:space="0" w:color="auto"/>
            </w:tcBorders>
            <w:vAlign w:val="center"/>
          </w:tcPr>
          <w:p w14:paraId="29090069" w14:textId="77777777" w:rsidR="00165FEB" w:rsidRPr="002D114E" w:rsidRDefault="00165FEB" w:rsidP="00CD4B01">
            <w:pPr>
              <w:pStyle w:val="Table"/>
              <w:rPr>
                <w:noProof/>
                <w:szCs w:val="22"/>
              </w:rPr>
            </w:pPr>
            <w:r w:rsidRPr="002D114E">
              <w:rPr>
                <w:noProof/>
                <w:szCs w:val="22"/>
              </w:rPr>
              <w:t>5</w:t>
            </w:r>
          </w:p>
        </w:tc>
        <w:tc>
          <w:tcPr>
            <w:tcW w:w="620" w:type="pct"/>
            <w:tcBorders>
              <w:top w:val="single" w:sz="4" w:space="0" w:color="auto"/>
            </w:tcBorders>
            <w:vAlign w:val="center"/>
          </w:tcPr>
          <w:p w14:paraId="596175FD" w14:textId="77777777" w:rsidR="00165FEB" w:rsidRPr="002D114E" w:rsidRDefault="00165FEB" w:rsidP="00CD4B01">
            <w:pPr>
              <w:pStyle w:val="Table"/>
              <w:rPr>
                <w:noProof/>
                <w:szCs w:val="22"/>
              </w:rPr>
            </w:pPr>
            <w:r w:rsidRPr="002D114E">
              <w:rPr>
                <w:noProof/>
                <w:szCs w:val="22"/>
              </w:rPr>
              <w:t>5</w:t>
            </w:r>
          </w:p>
        </w:tc>
        <w:tc>
          <w:tcPr>
            <w:tcW w:w="681" w:type="pct"/>
            <w:tcBorders>
              <w:top w:val="single" w:sz="4" w:space="0" w:color="auto"/>
            </w:tcBorders>
            <w:vAlign w:val="center"/>
          </w:tcPr>
          <w:p w14:paraId="0AF84D72" w14:textId="77777777" w:rsidR="00165FEB" w:rsidRPr="002D114E" w:rsidRDefault="00165FEB" w:rsidP="00CD4B01">
            <w:pPr>
              <w:pStyle w:val="Table"/>
              <w:rPr>
                <w:noProof/>
                <w:szCs w:val="22"/>
              </w:rPr>
            </w:pPr>
            <w:r w:rsidRPr="002D114E">
              <w:rPr>
                <w:noProof/>
                <w:szCs w:val="22"/>
              </w:rPr>
              <w:t>5</w:t>
            </w:r>
          </w:p>
        </w:tc>
      </w:tr>
      <w:tr w:rsidR="00165FEB" w:rsidRPr="00972C81" w14:paraId="74639DEE" w14:textId="77777777" w:rsidTr="00CD4B01">
        <w:trPr>
          <w:trHeight w:val="340"/>
          <w:jc w:val="center"/>
        </w:trPr>
        <w:tc>
          <w:tcPr>
            <w:tcW w:w="1079" w:type="pct"/>
            <w:vAlign w:val="center"/>
          </w:tcPr>
          <w:p w14:paraId="40AC42F1" w14:textId="77777777" w:rsidR="00165FEB" w:rsidRPr="002D114E" w:rsidRDefault="00165FEB" w:rsidP="00CD4B01">
            <w:pPr>
              <w:pStyle w:val="Table"/>
              <w:rPr>
                <w:noProof/>
                <w:szCs w:val="22"/>
              </w:rPr>
            </w:pPr>
            <w:r w:rsidRPr="002D114E">
              <w:rPr>
                <w:noProof/>
                <w:szCs w:val="22"/>
              </w:rPr>
              <w:t>Bone</w:t>
            </w:r>
          </w:p>
        </w:tc>
        <w:tc>
          <w:tcPr>
            <w:tcW w:w="616" w:type="pct"/>
            <w:vAlign w:val="center"/>
          </w:tcPr>
          <w:p w14:paraId="2B90EAF3" w14:textId="77777777" w:rsidR="00165FEB" w:rsidRPr="002D114E" w:rsidRDefault="00165FEB" w:rsidP="00CD4B01">
            <w:pPr>
              <w:pStyle w:val="Table"/>
              <w:rPr>
                <w:noProof/>
                <w:szCs w:val="22"/>
              </w:rPr>
            </w:pPr>
            <w:r w:rsidRPr="002D114E">
              <w:rPr>
                <w:noProof/>
                <w:szCs w:val="22"/>
              </w:rPr>
              <w:t>70</w:t>
            </w:r>
          </w:p>
        </w:tc>
        <w:tc>
          <w:tcPr>
            <w:tcW w:w="668" w:type="pct"/>
            <w:vAlign w:val="center"/>
          </w:tcPr>
          <w:p w14:paraId="7192261F" w14:textId="77777777" w:rsidR="00165FEB" w:rsidRPr="002D114E" w:rsidRDefault="00165FEB" w:rsidP="00CD4B01">
            <w:pPr>
              <w:pStyle w:val="Table"/>
              <w:rPr>
                <w:noProof/>
                <w:szCs w:val="22"/>
              </w:rPr>
            </w:pPr>
            <w:r w:rsidRPr="002D114E">
              <w:rPr>
                <w:noProof/>
                <w:szCs w:val="22"/>
              </w:rPr>
              <w:t>70</w:t>
            </w:r>
          </w:p>
        </w:tc>
        <w:tc>
          <w:tcPr>
            <w:tcW w:w="620" w:type="pct"/>
            <w:vAlign w:val="center"/>
          </w:tcPr>
          <w:p w14:paraId="0ECD55CC" w14:textId="77777777" w:rsidR="00165FEB" w:rsidRPr="002D114E" w:rsidRDefault="00165FEB" w:rsidP="00CD4B01">
            <w:pPr>
              <w:pStyle w:val="Table"/>
              <w:rPr>
                <w:noProof/>
                <w:szCs w:val="22"/>
              </w:rPr>
            </w:pPr>
            <w:r w:rsidRPr="002D114E">
              <w:rPr>
                <w:noProof/>
                <w:szCs w:val="22"/>
              </w:rPr>
              <w:t>60</w:t>
            </w:r>
          </w:p>
        </w:tc>
        <w:tc>
          <w:tcPr>
            <w:tcW w:w="717" w:type="pct"/>
            <w:vAlign w:val="center"/>
          </w:tcPr>
          <w:p w14:paraId="76612130" w14:textId="77777777" w:rsidR="00165FEB" w:rsidRPr="002D114E" w:rsidRDefault="00165FEB" w:rsidP="00CD4B01">
            <w:pPr>
              <w:pStyle w:val="Table"/>
              <w:rPr>
                <w:noProof/>
                <w:szCs w:val="22"/>
              </w:rPr>
            </w:pPr>
            <w:r w:rsidRPr="002D114E">
              <w:rPr>
                <w:noProof/>
                <w:szCs w:val="22"/>
              </w:rPr>
              <w:t>60</w:t>
            </w:r>
          </w:p>
        </w:tc>
        <w:tc>
          <w:tcPr>
            <w:tcW w:w="620" w:type="pct"/>
            <w:vAlign w:val="center"/>
          </w:tcPr>
          <w:p w14:paraId="0743237B" w14:textId="77777777" w:rsidR="00165FEB" w:rsidRPr="002D114E" w:rsidRDefault="00165FEB" w:rsidP="00CD4B01">
            <w:pPr>
              <w:pStyle w:val="Table"/>
              <w:rPr>
                <w:noProof/>
                <w:szCs w:val="22"/>
              </w:rPr>
            </w:pPr>
            <w:r w:rsidRPr="002D114E">
              <w:rPr>
                <w:noProof/>
                <w:szCs w:val="22"/>
              </w:rPr>
              <w:t>60</w:t>
            </w:r>
          </w:p>
        </w:tc>
        <w:tc>
          <w:tcPr>
            <w:tcW w:w="681" w:type="pct"/>
            <w:vAlign w:val="center"/>
          </w:tcPr>
          <w:p w14:paraId="35B4CE85" w14:textId="77777777" w:rsidR="00165FEB" w:rsidRPr="002D114E" w:rsidRDefault="00165FEB" w:rsidP="00CD4B01">
            <w:pPr>
              <w:pStyle w:val="Table"/>
              <w:rPr>
                <w:noProof/>
                <w:szCs w:val="22"/>
              </w:rPr>
            </w:pPr>
            <w:r w:rsidRPr="002D114E">
              <w:rPr>
                <w:noProof/>
                <w:szCs w:val="22"/>
              </w:rPr>
              <w:t>55</w:t>
            </w:r>
          </w:p>
        </w:tc>
      </w:tr>
      <w:tr w:rsidR="00165FEB" w:rsidRPr="00972C81" w14:paraId="34090A58" w14:textId="77777777" w:rsidTr="00CD4B01">
        <w:trPr>
          <w:trHeight w:val="340"/>
          <w:jc w:val="center"/>
        </w:trPr>
        <w:tc>
          <w:tcPr>
            <w:tcW w:w="1079" w:type="pct"/>
            <w:vAlign w:val="center"/>
          </w:tcPr>
          <w:p w14:paraId="2CAE9698" w14:textId="77777777" w:rsidR="00165FEB" w:rsidRPr="002D114E" w:rsidRDefault="00165FEB" w:rsidP="00CD4B01">
            <w:pPr>
              <w:pStyle w:val="Table"/>
              <w:rPr>
                <w:noProof/>
                <w:szCs w:val="22"/>
              </w:rPr>
            </w:pPr>
            <w:r w:rsidRPr="002D114E">
              <w:rPr>
                <w:noProof/>
                <w:szCs w:val="22"/>
              </w:rPr>
              <w:t>ST1</w:t>
            </w:r>
          </w:p>
        </w:tc>
        <w:tc>
          <w:tcPr>
            <w:tcW w:w="616" w:type="pct"/>
            <w:vAlign w:val="center"/>
          </w:tcPr>
          <w:p w14:paraId="40D404AF" w14:textId="77777777" w:rsidR="00165FEB" w:rsidRPr="002D114E" w:rsidRDefault="00165FEB" w:rsidP="00CD4B01">
            <w:pPr>
              <w:pStyle w:val="Table"/>
              <w:rPr>
                <w:noProof/>
                <w:szCs w:val="22"/>
              </w:rPr>
            </w:pPr>
            <w:r w:rsidRPr="002D114E">
              <w:rPr>
                <w:noProof/>
                <w:szCs w:val="22"/>
              </w:rPr>
              <w:t>10</w:t>
            </w:r>
          </w:p>
        </w:tc>
        <w:tc>
          <w:tcPr>
            <w:tcW w:w="668" w:type="pct"/>
            <w:vAlign w:val="center"/>
          </w:tcPr>
          <w:p w14:paraId="20C481A5" w14:textId="77777777" w:rsidR="00165FEB" w:rsidRPr="002D114E" w:rsidRDefault="00165FEB" w:rsidP="00CD4B01">
            <w:pPr>
              <w:pStyle w:val="Table"/>
              <w:rPr>
                <w:noProof/>
                <w:szCs w:val="22"/>
              </w:rPr>
            </w:pPr>
            <w:r w:rsidRPr="002D114E">
              <w:rPr>
                <w:noProof/>
                <w:szCs w:val="22"/>
              </w:rPr>
              <w:t>10</w:t>
            </w:r>
          </w:p>
        </w:tc>
        <w:tc>
          <w:tcPr>
            <w:tcW w:w="620" w:type="pct"/>
            <w:vAlign w:val="center"/>
          </w:tcPr>
          <w:p w14:paraId="2DAE6924" w14:textId="77777777" w:rsidR="00165FEB" w:rsidRPr="002D114E" w:rsidRDefault="00165FEB" w:rsidP="00CD4B01">
            <w:pPr>
              <w:pStyle w:val="Table"/>
              <w:rPr>
                <w:noProof/>
                <w:szCs w:val="22"/>
              </w:rPr>
            </w:pPr>
            <w:r w:rsidRPr="002D114E">
              <w:rPr>
                <w:noProof/>
                <w:szCs w:val="22"/>
              </w:rPr>
              <w:t>15</w:t>
            </w:r>
          </w:p>
        </w:tc>
        <w:tc>
          <w:tcPr>
            <w:tcW w:w="717" w:type="pct"/>
            <w:vAlign w:val="center"/>
          </w:tcPr>
          <w:p w14:paraId="17044786" w14:textId="77777777" w:rsidR="00165FEB" w:rsidRPr="002D114E" w:rsidRDefault="00165FEB" w:rsidP="00CD4B01">
            <w:pPr>
              <w:pStyle w:val="Table"/>
              <w:rPr>
                <w:noProof/>
                <w:szCs w:val="22"/>
              </w:rPr>
            </w:pPr>
            <w:r w:rsidRPr="002D114E">
              <w:rPr>
                <w:noProof/>
                <w:szCs w:val="22"/>
              </w:rPr>
              <w:t>15</w:t>
            </w:r>
          </w:p>
        </w:tc>
        <w:tc>
          <w:tcPr>
            <w:tcW w:w="620" w:type="pct"/>
            <w:vAlign w:val="center"/>
          </w:tcPr>
          <w:p w14:paraId="1A38910F" w14:textId="77777777" w:rsidR="00165FEB" w:rsidRPr="002D114E" w:rsidRDefault="00165FEB" w:rsidP="00CD4B01">
            <w:pPr>
              <w:pStyle w:val="Table"/>
              <w:rPr>
                <w:noProof/>
                <w:szCs w:val="22"/>
              </w:rPr>
            </w:pPr>
            <w:r w:rsidRPr="002D114E">
              <w:rPr>
                <w:noProof/>
                <w:szCs w:val="22"/>
              </w:rPr>
              <w:t>15</w:t>
            </w:r>
          </w:p>
        </w:tc>
        <w:tc>
          <w:tcPr>
            <w:tcW w:w="681" w:type="pct"/>
            <w:vAlign w:val="center"/>
          </w:tcPr>
          <w:p w14:paraId="0721BAD4" w14:textId="77777777" w:rsidR="00165FEB" w:rsidRPr="002D114E" w:rsidRDefault="00165FEB" w:rsidP="00CD4B01">
            <w:pPr>
              <w:pStyle w:val="Table"/>
              <w:rPr>
                <w:noProof/>
                <w:szCs w:val="22"/>
              </w:rPr>
            </w:pPr>
            <w:r w:rsidRPr="002D114E">
              <w:rPr>
                <w:noProof/>
                <w:szCs w:val="22"/>
              </w:rPr>
              <w:t>15</w:t>
            </w:r>
          </w:p>
        </w:tc>
      </w:tr>
      <w:tr w:rsidR="00165FEB" w:rsidRPr="00972C81" w14:paraId="02F5325A" w14:textId="77777777" w:rsidTr="00CD4B01">
        <w:trPr>
          <w:trHeight w:val="340"/>
          <w:jc w:val="center"/>
        </w:trPr>
        <w:tc>
          <w:tcPr>
            <w:tcW w:w="1079" w:type="pct"/>
            <w:vAlign w:val="center"/>
          </w:tcPr>
          <w:p w14:paraId="59DE95B4" w14:textId="77777777" w:rsidR="00165FEB" w:rsidRPr="002D114E" w:rsidRDefault="00165FEB" w:rsidP="00CD4B01">
            <w:pPr>
              <w:pStyle w:val="Table"/>
              <w:rPr>
                <w:noProof/>
                <w:szCs w:val="22"/>
              </w:rPr>
            </w:pPr>
            <w:r w:rsidRPr="002D114E">
              <w:rPr>
                <w:noProof/>
                <w:szCs w:val="22"/>
              </w:rPr>
              <w:t>UB content</w:t>
            </w:r>
          </w:p>
        </w:tc>
        <w:tc>
          <w:tcPr>
            <w:tcW w:w="616" w:type="pct"/>
            <w:vAlign w:val="center"/>
          </w:tcPr>
          <w:p w14:paraId="4B21FC06" w14:textId="77777777" w:rsidR="00165FEB" w:rsidRPr="002D114E" w:rsidRDefault="00165FEB" w:rsidP="00CD4B01">
            <w:pPr>
              <w:pStyle w:val="Table"/>
              <w:rPr>
                <w:noProof/>
                <w:szCs w:val="22"/>
              </w:rPr>
            </w:pPr>
            <w:r w:rsidRPr="002D114E">
              <w:rPr>
                <w:noProof/>
                <w:szCs w:val="22"/>
              </w:rPr>
              <w:t>10</w:t>
            </w:r>
          </w:p>
        </w:tc>
        <w:tc>
          <w:tcPr>
            <w:tcW w:w="668" w:type="pct"/>
            <w:vAlign w:val="center"/>
          </w:tcPr>
          <w:p w14:paraId="71CE3FA7" w14:textId="77777777" w:rsidR="00165FEB" w:rsidRPr="002D114E" w:rsidRDefault="00165FEB" w:rsidP="00CD4B01">
            <w:pPr>
              <w:pStyle w:val="Table"/>
              <w:rPr>
                <w:noProof/>
                <w:szCs w:val="22"/>
              </w:rPr>
            </w:pPr>
            <w:r w:rsidRPr="002D114E">
              <w:rPr>
                <w:noProof/>
                <w:szCs w:val="22"/>
              </w:rPr>
              <w:t>10</w:t>
            </w:r>
          </w:p>
        </w:tc>
        <w:tc>
          <w:tcPr>
            <w:tcW w:w="620" w:type="pct"/>
            <w:vAlign w:val="center"/>
          </w:tcPr>
          <w:p w14:paraId="106CE2D5" w14:textId="77777777" w:rsidR="00165FEB" w:rsidRPr="002D114E" w:rsidRDefault="00165FEB" w:rsidP="00CD4B01">
            <w:pPr>
              <w:pStyle w:val="Table"/>
              <w:rPr>
                <w:noProof/>
                <w:szCs w:val="22"/>
              </w:rPr>
            </w:pPr>
            <w:r w:rsidRPr="002D114E">
              <w:rPr>
                <w:noProof/>
                <w:szCs w:val="22"/>
              </w:rPr>
              <w:t>15</w:t>
            </w:r>
          </w:p>
        </w:tc>
        <w:tc>
          <w:tcPr>
            <w:tcW w:w="717" w:type="pct"/>
            <w:vAlign w:val="center"/>
          </w:tcPr>
          <w:p w14:paraId="3C46ADEA" w14:textId="77777777" w:rsidR="00165FEB" w:rsidRPr="002D114E" w:rsidRDefault="00165FEB" w:rsidP="00CD4B01">
            <w:pPr>
              <w:pStyle w:val="Table"/>
              <w:rPr>
                <w:noProof/>
                <w:szCs w:val="22"/>
              </w:rPr>
            </w:pPr>
            <w:r w:rsidRPr="002D114E">
              <w:rPr>
                <w:noProof/>
                <w:szCs w:val="22"/>
              </w:rPr>
              <w:t>15</w:t>
            </w:r>
          </w:p>
        </w:tc>
        <w:tc>
          <w:tcPr>
            <w:tcW w:w="620" w:type="pct"/>
            <w:vAlign w:val="center"/>
          </w:tcPr>
          <w:p w14:paraId="7E8ACE1C" w14:textId="77777777" w:rsidR="00165FEB" w:rsidRPr="002D114E" w:rsidRDefault="00165FEB" w:rsidP="00CD4B01">
            <w:pPr>
              <w:pStyle w:val="Table"/>
              <w:rPr>
                <w:noProof/>
                <w:szCs w:val="22"/>
              </w:rPr>
            </w:pPr>
            <w:r w:rsidRPr="002D114E">
              <w:rPr>
                <w:noProof/>
                <w:szCs w:val="22"/>
              </w:rPr>
              <w:t>15</w:t>
            </w:r>
          </w:p>
        </w:tc>
        <w:tc>
          <w:tcPr>
            <w:tcW w:w="681" w:type="pct"/>
            <w:vAlign w:val="center"/>
          </w:tcPr>
          <w:p w14:paraId="2E11FBCA" w14:textId="77777777" w:rsidR="00165FEB" w:rsidRPr="002D114E" w:rsidRDefault="00165FEB" w:rsidP="00CD4B01">
            <w:pPr>
              <w:pStyle w:val="Table"/>
              <w:rPr>
                <w:noProof/>
                <w:szCs w:val="22"/>
              </w:rPr>
            </w:pPr>
            <w:r w:rsidRPr="002D114E">
              <w:rPr>
                <w:noProof/>
                <w:szCs w:val="22"/>
              </w:rPr>
              <w:t>20</w:t>
            </w:r>
          </w:p>
        </w:tc>
      </w:tr>
      <w:tr w:rsidR="00165FEB" w:rsidRPr="00972C81" w14:paraId="4F6A14FF" w14:textId="77777777" w:rsidTr="00CD4B01">
        <w:trPr>
          <w:trHeight w:val="340"/>
          <w:jc w:val="center"/>
        </w:trPr>
        <w:tc>
          <w:tcPr>
            <w:tcW w:w="1079" w:type="pct"/>
            <w:tcBorders>
              <w:bottom w:val="single" w:sz="4" w:space="0" w:color="auto"/>
            </w:tcBorders>
            <w:vAlign w:val="center"/>
          </w:tcPr>
          <w:p w14:paraId="1399627E" w14:textId="77777777" w:rsidR="00165FEB" w:rsidRPr="002D114E" w:rsidRDefault="00165FEB" w:rsidP="00CD4B01">
            <w:pPr>
              <w:pStyle w:val="Table"/>
              <w:rPr>
                <w:noProof/>
                <w:szCs w:val="22"/>
              </w:rPr>
            </w:pPr>
            <w:r w:rsidRPr="002D114E">
              <w:rPr>
                <w:noProof/>
                <w:szCs w:val="22"/>
              </w:rPr>
              <w:t>RC content</w:t>
            </w:r>
          </w:p>
        </w:tc>
        <w:tc>
          <w:tcPr>
            <w:tcW w:w="616" w:type="pct"/>
            <w:tcBorders>
              <w:bottom w:val="single" w:sz="4" w:space="0" w:color="auto"/>
            </w:tcBorders>
            <w:vAlign w:val="center"/>
          </w:tcPr>
          <w:p w14:paraId="7E642D4D" w14:textId="77777777" w:rsidR="00165FEB" w:rsidRPr="002D114E" w:rsidRDefault="00165FEB" w:rsidP="00CD4B01">
            <w:pPr>
              <w:pStyle w:val="Table"/>
              <w:rPr>
                <w:noProof/>
                <w:szCs w:val="22"/>
              </w:rPr>
            </w:pPr>
            <w:r w:rsidRPr="002D114E">
              <w:rPr>
                <w:noProof/>
                <w:szCs w:val="22"/>
              </w:rPr>
              <w:t>1</w:t>
            </w:r>
          </w:p>
        </w:tc>
        <w:tc>
          <w:tcPr>
            <w:tcW w:w="668" w:type="pct"/>
            <w:tcBorders>
              <w:bottom w:val="single" w:sz="4" w:space="0" w:color="auto"/>
            </w:tcBorders>
            <w:vAlign w:val="center"/>
          </w:tcPr>
          <w:p w14:paraId="642AD649" w14:textId="77777777" w:rsidR="00165FEB" w:rsidRPr="002D114E" w:rsidRDefault="00165FEB" w:rsidP="00CD4B01">
            <w:pPr>
              <w:pStyle w:val="Table"/>
              <w:rPr>
                <w:noProof/>
                <w:szCs w:val="22"/>
              </w:rPr>
            </w:pPr>
            <w:r w:rsidRPr="002D114E">
              <w:rPr>
                <w:noProof/>
                <w:szCs w:val="22"/>
              </w:rPr>
              <w:t>1</w:t>
            </w:r>
          </w:p>
        </w:tc>
        <w:tc>
          <w:tcPr>
            <w:tcW w:w="620" w:type="pct"/>
            <w:tcBorders>
              <w:bottom w:val="single" w:sz="4" w:space="0" w:color="auto"/>
            </w:tcBorders>
            <w:vAlign w:val="center"/>
          </w:tcPr>
          <w:p w14:paraId="5A6B9D56" w14:textId="77777777" w:rsidR="00165FEB" w:rsidRPr="002D114E" w:rsidRDefault="00165FEB" w:rsidP="00CD4B01">
            <w:pPr>
              <w:pStyle w:val="Table"/>
              <w:rPr>
                <w:noProof/>
                <w:szCs w:val="22"/>
              </w:rPr>
            </w:pPr>
            <w:r w:rsidRPr="002D114E">
              <w:rPr>
                <w:noProof/>
                <w:szCs w:val="22"/>
              </w:rPr>
              <w:t>1</w:t>
            </w:r>
          </w:p>
        </w:tc>
        <w:tc>
          <w:tcPr>
            <w:tcW w:w="717" w:type="pct"/>
            <w:tcBorders>
              <w:bottom w:val="single" w:sz="4" w:space="0" w:color="auto"/>
            </w:tcBorders>
            <w:vAlign w:val="center"/>
          </w:tcPr>
          <w:p w14:paraId="6D7FDEE1" w14:textId="77777777" w:rsidR="00165FEB" w:rsidRPr="002D114E" w:rsidRDefault="00165FEB" w:rsidP="00CD4B01">
            <w:pPr>
              <w:pStyle w:val="Table"/>
              <w:rPr>
                <w:noProof/>
                <w:szCs w:val="22"/>
              </w:rPr>
            </w:pPr>
            <w:r w:rsidRPr="002D114E">
              <w:rPr>
                <w:noProof/>
                <w:szCs w:val="22"/>
              </w:rPr>
              <w:t>1</w:t>
            </w:r>
          </w:p>
        </w:tc>
        <w:tc>
          <w:tcPr>
            <w:tcW w:w="620" w:type="pct"/>
            <w:tcBorders>
              <w:bottom w:val="single" w:sz="4" w:space="0" w:color="auto"/>
            </w:tcBorders>
            <w:vAlign w:val="center"/>
          </w:tcPr>
          <w:p w14:paraId="5D965A7E" w14:textId="77777777" w:rsidR="00165FEB" w:rsidRPr="002D114E" w:rsidRDefault="00165FEB" w:rsidP="00CD4B01">
            <w:pPr>
              <w:pStyle w:val="Table"/>
              <w:rPr>
                <w:noProof/>
                <w:szCs w:val="22"/>
              </w:rPr>
            </w:pPr>
            <w:r w:rsidRPr="002D114E">
              <w:rPr>
                <w:noProof/>
                <w:szCs w:val="22"/>
              </w:rPr>
              <w:t>1</w:t>
            </w:r>
          </w:p>
        </w:tc>
        <w:tc>
          <w:tcPr>
            <w:tcW w:w="681" w:type="pct"/>
            <w:tcBorders>
              <w:bottom w:val="single" w:sz="4" w:space="0" w:color="auto"/>
            </w:tcBorders>
            <w:vAlign w:val="center"/>
          </w:tcPr>
          <w:p w14:paraId="6C1A7E3F" w14:textId="77777777" w:rsidR="00165FEB" w:rsidRPr="002D114E" w:rsidRDefault="00165FEB" w:rsidP="00CD4B01">
            <w:pPr>
              <w:pStyle w:val="Table"/>
              <w:rPr>
                <w:noProof/>
                <w:szCs w:val="22"/>
              </w:rPr>
            </w:pPr>
            <w:r w:rsidRPr="002D114E">
              <w:rPr>
                <w:noProof/>
                <w:szCs w:val="22"/>
              </w:rPr>
              <w:t>1</w:t>
            </w:r>
          </w:p>
        </w:tc>
      </w:tr>
      <w:tr w:rsidR="00165FEB" w:rsidRPr="00972C81" w14:paraId="22F0100A" w14:textId="77777777" w:rsidTr="00CD4B01">
        <w:trPr>
          <w:trHeight w:val="340"/>
          <w:jc w:val="center"/>
        </w:trPr>
        <w:tc>
          <w:tcPr>
            <w:tcW w:w="1079" w:type="pct"/>
            <w:tcBorders>
              <w:top w:val="single" w:sz="4" w:space="0" w:color="auto"/>
            </w:tcBorders>
          </w:tcPr>
          <w:p w14:paraId="33B459DF" w14:textId="77777777" w:rsidR="00165FEB" w:rsidRPr="002D114E" w:rsidRDefault="00165FEB" w:rsidP="00E81109">
            <w:pPr>
              <w:pStyle w:val="Table"/>
              <w:rPr>
                <w:noProof/>
                <w:szCs w:val="22"/>
              </w:rPr>
            </w:pPr>
          </w:p>
        </w:tc>
        <w:tc>
          <w:tcPr>
            <w:tcW w:w="616" w:type="pct"/>
            <w:tcBorders>
              <w:top w:val="single" w:sz="4" w:space="0" w:color="auto"/>
            </w:tcBorders>
          </w:tcPr>
          <w:p w14:paraId="28E894AF" w14:textId="77777777" w:rsidR="00165FEB" w:rsidRPr="002D114E" w:rsidRDefault="00165FEB" w:rsidP="00E81109">
            <w:pPr>
              <w:pStyle w:val="Table"/>
              <w:rPr>
                <w:noProof/>
                <w:szCs w:val="22"/>
              </w:rPr>
            </w:pPr>
          </w:p>
        </w:tc>
        <w:tc>
          <w:tcPr>
            <w:tcW w:w="668" w:type="pct"/>
            <w:tcBorders>
              <w:top w:val="single" w:sz="4" w:space="0" w:color="auto"/>
            </w:tcBorders>
          </w:tcPr>
          <w:p w14:paraId="7D9CBACA" w14:textId="77777777" w:rsidR="00165FEB" w:rsidRPr="002D114E" w:rsidRDefault="00165FEB" w:rsidP="00E81109">
            <w:pPr>
              <w:pStyle w:val="Table"/>
              <w:rPr>
                <w:noProof/>
                <w:szCs w:val="22"/>
              </w:rPr>
            </w:pPr>
          </w:p>
        </w:tc>
        <w:tc>
          <w:tcPr>
            <w:tcW w:w="620" w:type="pct"/>
            <w:tcBorders>
              <w:top w:val="single" w:sz="4" w:space="0" w:color="auto"/>
            </w:tcBorders>
          </w:tcPr>
          <w:p w14:paraId="00B6C096" w14:textId="77777777" w:rsidR="00165FEB" w:rsidRPr="002D114E" w:rsidRDefault="00165FEB" w:rsidP="00E81109">
            <w:pPr>
              <w:pStyle w:val="Table"/>
              <w:rPr>
                <w:noProof/>
                <w:szCs w:val="22"/>
              </w:rPr>
            </w:pPr>
          </w:p>
        </w:tc>
        <w:tc>
          <w:tcPr>
            <w:tcW w:w="717" w:type="pct"/>
            <w:tcBorders>
              <w:top w:val="single" w:sz="4" w:space="0" w:color="auto"/>
            </w:tcBorders>
          </w:tcPr>
          <w:p w14:paraId="7E06EEDD" w14:textId="77777777" w:rsidR="00165FEB" w:rsidRPr="002D114E" w:rsidRDefault="00165FEB" w:rsidP="00E81109">
            <w:pPr>
              <w:pStyle w:val="Table"/>
              <w:rPr>
                <w:noProof/>
                <w:szCs w:val="22"/>
              </w:rPr>
            </w:pPr>
          </w:p>
        </w:tc>
        <w:tc>
          <w:tcPr>
            <w:tcW w:w="620" w:type="pct"/>
            <w:tcBorders>
              <w:top w:val="single" w:sz="4" w:space="0" w:color="auto"/>
            </w:tcBorders>
          </w:tcPr>
          <w:p w14:paraId="6B069336" w14:textId="77777777" w:rsidR="00165FEB" w:rsidRPr="002D114E" w:rsidRDefault="00165FEB" w:rsidP="00E81109">
            <w:pPr>
              <w:pStyle w:val="Table"/>
              <w:rPr>
                <w:noProof/>
                <w:szCs w:val="22"/>
              </w:rPr>
            </w:pPr>
          </w:p>
        </w:tc>
        <w:tc>
          <w:tcPr>
            <w:tcW w:w="681" w:type="pct"/>
            <w:tcBorders>
              <w:top w:val="single" w:sz="4" w:space="0" w:color="auto"/>
            </w:tcBorders>
          </w:tcPr>
          <w:p w14:paraId="764A7ED1" w14:textId="77777777" w:rsidR="00165FEB" w:rsidRPr="002D114E" w:rsidRDefault="00165FEB" w:rsidP="00E81109">
            <w:pPr>
              <w:pStyle w:val="Table"/>
              <w:rPr>
                <w:noProof/>
                <w:szCs w:val="22"/>
              </w:rPr>
            </w:pPr>
          </w:p>
        </w:tc>
      </w:tr>
      <w:tr w:rsidR="00165FEB" w:rsidRPr="00972C81" w14:paraId="10FF103D" w14:textId="77777777" w:rsidTr="00CD4B01">
        <w:trPr>
          <w:trHeight w:val="340"/>
          <w:jc w:val="center"/>
        </w:trPr>
        <w:tc>
          <w:tcPr>
            <w:tcW w:w="1079" w:type="pct"/>
            <w:tcBorders>
              <w:bottom w:val="single" w:sz="4" w:space="0" w:color="auto"/>
            </w:tcBorders>
          </w:tcPr>
          <w:p w14:paraId="6EA409B3" w14:textId="77777777" w:rsidR="00165FEB" w:rsidRPr="002D114E" w:rsidRDefault="00165FEB" w:rsidP="00E81109">
            <w:pPr>
              <w:pStyle w:val="Table"/>
              <w:rPr>
                <w:noProof/>
                <w:szCs w:val="22"/>
              </w:rPr>
            </w:pPr>
          </w:p>
        </w:tc>
        <w:tc>
          <w:tcPr>
            <w:tcW w:w="3921" w:type="pct"/>
            <w:gridSpan w:val="6"/>
            <w:tcBorders>
              <w:bottom w:val="single" w:sz="4" w:space="0" w:color="auto"/>
            </w:tcBorders>
          </w:tcPr>
          <w:p w14:paraId="26150F77" w14:textId="77777777" w:rsidR="00165FEB" w:rsidRPr="002D114E" w:rsidRDefault="00165FEB" w:rsidP="00C47F2F">
            <w:pPr>
              <w:pStyle w:val="Table"/>
              <w:jc w:val="center"/>
              <w:rPr>
                <w:noProof/>
                <w:szCs w:val="22"/>
              </w:rPr>
            </w:pPr>
            <w:r w:rsidRPr="002D114E">
              <w:rPr>
                <w:noProof/>
                <w:szCs w:val="22"/>
              </w:rPr>
              <w:t>Removal half-time</w:t>
            </w:r>
          </w:p>
        </w:tc>
      </w:tr>
      <w:tr w:rsidR="00165FEB" w:rsidRPr="00972C81" w14:paraId="4322BDDD" w14:textId="77777777" w:rsidTr="00CD4B01">
        <w:trPr>
          <w:trHeight w:val="340"/>
          <w:jc w:val="center"/>
        </w:trPr>
        <w:tc>
          <w:tcPr>
            <w:tcW w:w="1079" w:type="pct"/>
            <w:tcBorders>
              <w:top w:val="single" w:sz="4" w:space="0" w:color="auto"/>
            </w:tcBorders>
            <w:vAlign w:val="center"/>
          </w:tcPr>
          <w:p w14:paraId="241EBCFE" w14:textId="77777777" w:rsidR="00165FEB" w:rsidRPr="002D114E" w:rsidRDefault="00165FEB" w:rsidP="00CD4B01">
            <w:pPr>
              <w:pStyle w:val="Table"/>
              <w:rPr>
                <w:noProof/>
                <w:szCs w:val="22"/>
              </w:rPr>
            </w:pPr>
            <w:r w:rsidRPr="002D114E">
              <w:rPr>
                <w:noProof/>
                <w:szCs w:val="22"/>
              </w:rPr>
              <w:t>ST1 to Blood</w:t>
            </w:r>
          </w:p>
        </w:tc>
        <w:tc>
          <w:tcPr>
            <w:tcW w:w="616" w:type="pct"/>
            <w:tcBorders>
              <w:top w:val="single" w:sz="4" w:space="0" w:color="auto"/>
            </w:tcBorders>
            <w:vAlign w:val="center"/>
          </w:tcPr>
          <w:p w14:paraId="4A452507" w14:textId="77777777" w:rsidR="00165FEB" w:rsidRPr="002D114E" w:rsidRDefault="00165FEB" w:rsidP="00CD4B01">
            <w:pPr>
              <w:pStyle w:val="Table"/>
              <w:rPr>
                <w:noProof/>
                <w:szCs w:val="22"/>
              </w:rPr>
            </w:pPr>
            <w:r w:rsidRPr="002D114E">
              <w:rPr>
                <w:noProof/>
                <w:szCs w:val="22"/>
              </w:rPr>
              <w:t>100 d</w:t>
            </w:r>
          </w:p>
        </w:tc>
        <w:tc>
          <w:tcPr>
            <w:tcW w:w="668" w:type="pct"/>
            <w:tcBorders>
              <w:top w:val="single" w:sz="4" w:space="0" w:color="auto"/>
            </w:tcBorders>
            <w:vAlign w:val="center"/>
          </w:tcPr>
          <w:p w14:paraId="59AA65B1" w14:textId="77777777" w:rsidR="00165FEB" w:rsidRPr="002D114E" w:rsidRDefault="00165FEB" w:rsidP="00CD4B01">
            <w:pPr>
              <w:pStyle w:val="Table"/>
              <w:rPr>
                <w:noProof/>
                <w:szCs w:val="22"/>
              </w:rPr>
            </w:pPr>
            <w:r w:rsidRPr="002D114E">
              <w:rPr>
                <w:noProof/>
                <w:szCs w:val="22"/>
              </w:rPr>
              <w:t>100 d</w:t>
            </w:r>
          </w:p>
        </w:tc>
        <w:tc>
          <w:tcPr>
            <w:tcW w:w="620" w:type="pct"/>
            <w:tcBorders>
              <w:top w:val="single" w:sz="4" w:space="0" w:color="auto"/>
            </w:tcBorders>
            <w:vAlign w:val="center"/>
          </w:tcPr>
          <w:p w14:paraId="790C2392" w14:textId="77777777" w:rsidR="00165FEB" w:rsidRPr="002D114E" w:rsidRDefault="00165FEB" w:rsidP="00CD4B01">
            <w:pPr>
              <w:pStyle w:val="Table"/>
              <w:rPr>
                <w:noProof/>
                <w:szCs w:val="22"/>
              </w:rPr>
            </w:pPr>
            <w:r w:rsidRPr="002D114E">
              <w:rPr>
                <w:noProof/>
                <w:szCs w:val="22"/>
              </w:rPr>
              <w:t>100 d</w:t>
            </w:r>
          </w:p>
        </w:tc>
        <w:tc>
          <w:tcPr>
            <w:tcW w:w="717" w:type="pct"/>
            <w:tcBorders>
              <w:top w:val="single" w:sz="4" w:space="0" w:color="auto"/>
            </w:tcBorders>
            <w:vAlign w:val="center"/>
          </w:tcPr>
          <w:p w14:paraId="61BD83EF" w14:textId="77777777" w:rsidR="00165FEB" w:rsidRPr="002D114E" w:rsidRDefault="00165FEB" w:rsidP="00CD4B01">
            <w:pPr>
              <w:pStyle w:val="Table"/>
              <w:rPr>
                <w:noProof/>
                <w:szCs w:val="22"/>
              </w:rPr>
            </w:pPr>
            <w:r w:rsidRPr="002D114E">
              <w:rPr>
                <w:noProof/>
                <w:szCs w:val="22"/>
              </w:rPr>
              <w:t>100 d</w:t>
            </w:r>
          </w:p>
        </w:tc>
        <w:tc>
          <w:tcPr>
            <w:tcW w:w="620" w:type="pct"/>
            <w:tcBorders>
              <w:top w:val="single" w:sz="4" w:space="0" w:color="auto"/>
            </w:tcBorders>
            <w:vAlign w:val="center"/>
          </w:tcPr>
          <w:p w14:paraId="3E7B573E" w14:textId="77777777" w:rsidR="00165FEB" w:rsidRPr="002D114E" w:rsidRDefault="00165FEB" w:rsidP="00CD4B01">
            <w:pPr>
              <w:pStyle w:val="Table"/>
              <w:rPr>
                <w:noProof/>
                <w:szCs w:val="22"/>
              </w:rPr>
            </w:pPr>
            <w:r w:rsidRPr="002D114E">
              <w:rPr>
                <w:noProof/>
                <w:szCs w:val="22"/>
              </w:rPr>
              <w:t>100 d</w:t>
            </w:r>
          </w:p>
        </w:tc>
        <w:tc>
          <w:tcPr>
            <w:tcW w:w="681" w:type="pct"/>
            <w:tcBorders>
              <w:top w:val="single" w:sz="4" w:space="0" w:color="auto"/>
            </w:tcBorders>
            <w:vAlign w:val="center"/>
          </w:tcPr>
          <w:p w14:paraId="1CCEC330" w14:textId="77777777" w:rsidR="00165FEB" w:rsidRPr="002D114E" w:rsidRDefault="00165FEB" w:rsidP="00CD4B01">
            <w:pPr>
              <w:pStyle w:val="Table"/>
              <w:rPr>
                <w:noProof/>
                <w:szCs w:val="22"/>
              </w:rPr>
            </w:pPr>
            <w:r w:rsidRPr="002D114E">
              <w:rPr>
                <w:noProof/>
                <w:szCs w:val="22"/>
              </w:rPr>
              <w:t>100 d</w:t>
            </w:r>
          </w:p>
        </w:tc>
      </w:tr>
      <w:tr w:rsidR="00165FEB" w:rsidRPr="00972C81" w14:paraId="0ACC736E" w14:textId="77777777" w:rsidTr="00CD4B01">
        <w:trPr>
          <w:trHeight w:val="340"/>
          <w:jc w:val="center"/>
        </w:trPr>
        <w:tc>
          <w:tcPr>
            <w:tcW w:w="1079" w:type="pct"/>
            <w:tcBorders>
              <w:bottom w:val="single" w:sz="4" w:space="0" w:color="auto"/>
            </w:tcBorders>
            <w:vAlign w:val="center"/>
          </w:tcPr>
          <w:p w14:paraId="26DA8E52" w14:textId="77777777" w:rsidR="00165FEB" w:rsidRPr="002D114E" w:rsidRDefault="00165FEB" w:rsidP="00CD4B01">
            <w:pPr>
              <w:pStyle w:val="Table"/>
              <w:rPr>
                <w:noProof/>
                <w:szCs w:val="22"/>
              </w:rPr>
            </w:pPr>
            <w:r w:rsidRPr="002D114E">
              <w:rPr>
                <w:noProof/>
                <w:szCs w:val="22"/>
              </w:rPr>
              <w:t>Liver 2 to Blood</w:t>
            </w:r>
          </w:p>
        </w:tc>
        <w:tc>
          <w:tcPr>
            <w:tcW w:w="616" w:type="pct"/>
            <w:tcBorders>
              <w:bottom w:val="single" w:sz="4" w:space="0" w:color="auto"/>
            </w:tcBorders>
            <w:vAlign w:val="center"/>
          </w:tcPr>
          <w:p w14:paraId="29929AC2" w14:textId="77777777" w:rsidR="00165FEB" w:rsidRPr="002D114E" w:rsidRDefault="00165FEB" w:rsidP="00CD4B01">
            <w:pPr>
              <w:pStyle w:val="Table"/>
              <w:rPr>
                <w:noProof/>
                <w:szCs w:val="22"/>
              </w:rPr>
            </w:pPr>
            <w:r w:rsidRPr="002D114E">
              <w:rPr>
                <w:noProof/>
                <w:szCs w:val="22"/>
              </w:rPr>
              <w:t>1 y</w:t>
            </w:r>
          </w:p>
        </w:tc>
        <w:tc>
          <w:tcPr>
            <w:tcW w:w="668" w:type="pct"/>
            <w:tcBorders>
              <w:bottom w:val="single" w:sz="4" w:space="0" w:color="auto"/>
            </w:tcBorders>
            <w:vAlign w:val="center"/>
          </w:tcPr>
          <w:p w14:paraId="7847DC70" w14:textId="77777777" w:rsidR="00165FEB" w:rsidRPr="002D114E" w:rsidRDefault="00165FEB" w:rsidP="00CD4B01">
            <w:pPr>
              <w:pStyle w:val="Table"/>
              <w:rPr>
                <w:noProof/>
                <w:szCs w:val="22"/>
              </w:rPr>
            </w:pPr>
            <w:r w:rsidRPr="002D114E">
              <w:rPr>
                <w:noProof/>
                <w:szCs w:val="22"/>
              </w:rPr>
              <w:t>1 y</w:t>
            </w:r>
          </w:p>
        </w:tc>
        <w:tc>
          <w:tcPr>
            <w:tcW w:w="620" w:type="pct"/>
            <w:tcBorders>
              <w:bottom w:val="single" w:sz="4" w:space="0" w:color="auto"/>
            </w:tcBorders>
            <w:vAlign w:val="center"/>
          </w:tcPr>
          <w:p w14:paraId="77E0BE54" w14:textId="77777777" w:rsidR="00165FEB" w:rsidRPr="002D114E" w:rsidRDefault="00165FEB" w:rsidP="00CD4B01">
            <w:pPr>
              <w:pStyle w:val="Table"/>
              <w:rPr>
                <w:noProof/>
                <w:szCs w:val="22"/>
              </w:rPr>
            </w:pPr>
            <w:r w:rsidRPr="002D114E">
              <w:rPr>
                <w:noProof/>
                <w:szCs w:val="22"/>
              </w:rPr>
              <w:t>1 y</w:t>
            </w:r>
          </w:p>
        </w:tc>
        <w:tc>
          <w:tcPr>
            <w:tcW w:w="717" w:type="pct"/>
            <w:tcBorders>
              <w:bottom w:val="single" w:sz="4" w:space="0" w:color="auto"/>
            </w:tcBorders>
            <w:vAlign w:val="center"/>
          </w:tcPr>
          <w:p w14:paraId="03F29049" w14:textId="77777777" w:rsidR="00165FEB" w:rsidRPr="002D114E" w:rsidRDefault="00165FEB" w:rsidP="00CD4B01">
            <w:pPr>
              <w:pStyle w:val="Table"/>
              <w:rPr>
                <w:noProof/>
                <w:szCs w:val="22"/>
              </w:rPr>
            </w:pPr>
            <w:r w:rsidRPr="002D114E">
              <w:rPr>
                <w:noProof/>
                <w:szCs w:val="22"/>
              </w:rPr>
              <w:t>1 y</w:t>
            </w:r>
          </w:p>
        </w:tc>
        <w:tc>
          <w:tcPr>
            <w:tcW w:w="620" w:type="pct"/>
            <w:tcBorders>
              <w:bottom w:val="single" w:sz="4" w:space="0" w:color="auto"/>
            </w:tcBorders>
            <w:vAlign w:val="center"/>
          </w:tcPr>
          <w:p w14:paraId="0B95E610" w14:textId="77777777" w:rsidR="00165FEB" w:rsidRPr="002D114E" w:rsidRDefault="00165FEB" w:rsidP="00CD4B01">
            <w:pPr>
              <w:pStyle w:val="Table"/>
              <w:rPr>
                <w:noProof/>
                <w:szCs w:val="22"/>
              </w:rPr>
            </w:pPr>
            <w:r w:rsidRPr="002D114E">
              <w:rPr>
                <w:noProof/>
                <w:szCs w:val="22"/>
              </w:rPr>
              <w:t>1 y</w:t>
            </w:r>
          </w:p>
        </w:tc>
        <w:tc>
          <w:tcPr>
            <w:tcW w:w="681" w:type="pct"/>
            <w:tcBorders>
              <w:bottom w:val="single" w:sz="4" w:space="0" w:color="auto"/>
            </w:tcBorders>
            <w:vAlign w:val="center"/>
          </w:tcPr>
          <w:p w14:paraId="10A7A75E" w14:textId="77777777" w:rsidR="00165FEB" w:rsidRPr="002D114E" w:rsidRDefault="00165FEB" w:rsidP="00CD4B01">
            <w:pPr>
              <w:pStyle w:val="Table"/>
              <w:rPr>
                <w:noProof/>
                <w:szCs w:val="22"/>
              </w:rPr>
            </w:pPr>
            <w:r w:rsidRPr="002D114E">
              <w:rPr>
                <w:noProof/>
                <w:szCs w:val="22"/>
              </w:rPr>
              <w:t>1 y</w:t>
            </w:r>
          </w:p>
        </w:tc>
      </w:tr>
    </w:tbl>
    <w:p w14:paraId="09C68E52" w14:textId="77777777" w:rsidR="00165FEB" w:rsidRPr="00972C81" w:rsidRDefault="00165FEB" w:rsidP="00134489">
      <w:pPr>
        <w:rPr>
          <w:rFonts w:eastAsia="MS Mincho"/>
          <w:noProof/>
        </w:rPr>
      </w:pPr>
    </w:p>
    <w:p w14:paraId="2AF32A2E" w14:textId="71687504" w:rsidR="00165FEB" w:rsidRPr="00972C81" w:rsidRDefault="00165FEB" w:rsidP="001C4A92">
      <w:pPr>
        <w:pStyle w:val="Annalstext"/>
        <w:rPr>
          <w:rFonts w:eastAsia="MS Mincho"/>
          <w:noProof/>
        </w:rPr>
      </w:pPr>
      <w:r w:rsidRPr="00972C81">
        <w:rPr>
          <w:noProof/>
        </w:rPr>
        <w:t>The behaviour of the holmium group in bone is assumed to follow the generic skeletal model for bone-surface-seeking radionuclides. That is, a</w:t>
      </w:r>
      <w:r w:rsidRPr="00972C81">
        <w:rPr>
          <w:rFonts w:eastAsia="MS Mincho"/>
          <w:noProof/>
        </w:rPr>
        <w:t xml:space="preserve">ctivity deposited on bone surface is transferred to bone marrow and bone volume at reference rates based on the age-specific rate of bone turnover. Activity in bone volume is transferred to bone marrow at the rate of bone turnover. Activity is lost from bone marrow to blood with a half-time of 0.25 y and is subsequently redistributed to tissues and excretion pathways based on age-specific deposition fractions. </w:t>
      </w:r>
    </w:p>
    <w:p w14:paraId="74E00DD9" w14:textId="60F50A42" w:rsidR="00165FEB" w:rsidRPr="00972C81" w:rsidRDefault="00E80505" w:rsidP="001C4A92">
      <w:pPr>
        <w:pStyle w:val="Annalstext"/>
        <w:rPr>
          <w:rFonts w:eastAsia="Calibri"/>
          <w:noProof/>
        </w:rPr>
      </w:pPr>
      <w:r w:rsidRPr="00972C81">
        <w:rPr>
          <w:rFonts w:eastAsia="Calibri"/>
          <w:noProof/>
        </w:rPr>
        <w:fldChar w:fldCharType="begin"/>
      </w:r>
      <w:r w:rsidRPr="00972C81">
        <w:rPr>
          <w:rFonts w:eastAsia="Calibri"/>
          <w:noProof/>
        </w:rPr>
        <w:instrText xml:space="preserve"> REF _Ref142312953 \h </w:instrText>
      </w:r>
      <w:r w:rsidRPr="00972C81">
        <w:rPr>
          <w:rFonts w:eastAsia="Calibri"/>
          <w:noProof/>
        </w:rPr>
      </w:r>
      <w:r w:rsidRPr="00972C81">
        <w:rPr>
          <w:rFonts w:eastAsia="Calibri"/>
          <w:noProof/>
        </w:rPr>
        <w:fldChar w:fldCharType="separate"/>
      </w:r>
      <w:r w:rsidR="00A41AD1" w:rsidRPr="00972C81">
        <w:rPr>
          <w:noProof/>
        </w:rPr>
        <w:t xml:space="preserve">Table </w:t>
      </w:r>
      <w:r w:rsidR="00A41AD1">
        <w:rPr>
          <w:noProof/>
        </w:rPr>
        <w:t>12</w:t>
      </w:r>
      <w:r w:rsidR="00A41AD1" w:rsidRPr="00972C81">
        <w:rPr>
          <w:noProof/>
        </w:rPr>
        <w:t>.</w:t>
      </w:r>
      <w:r w:rsidR="00A41AD1">
        <w:rPr>
          <w:noProof/>
        </w:rPr>
        <w:t>2</w:t>
      </w:r>
      <w:r w:rsidRPr="00972C81">
        <w:rPr>
          <w:rFonts w:eastAsia="Calibri"/>
          <w:noProof/>
        </w:rPr>
        <w:fldChar w:fldCharType="end"/>
      </w:r>
      <w:r w:rsidR="00165FEB" w:rsidRPr="00972C81">
        <w:rPr>
          <w:rFonts w:eastAsia="Calibri"/>
          <w:noProof/>
        </w:rPr>
        <w:t xml:space="preserve"> lists the full set of transfer coefficients in the age-specific model for the </w:t>
      </w:r>
      <w:r w:rsidRPr="00972C81">
        <w:rPr>
          <w:rFonts w:eastAsia="Calibri"/>
          <w:noProof/>
        </w:rPr>
        <w:t xml:space="preserve">holmium </w:t>
      </w:r>
      <w:r w:rsidR="00165FEB" w:rsidRPr="00972C81">
        <w:rPr>
          <w:rFonts w:eastAsia="Calibri"/>
          <w:noProof/>
        </w:rPr>
        <w:t>group.</w:t>
      </w:r>
    </w:p>
    <w:p w14:paraId="59E8D3A6" w14:textId="77777777" w:rsidR="007649A9" w:rsidRPr="00972C81" w:rsidRDefault="007649A9" w:rsidP="00E81109">
      <w:pPr>
        <w:pStyle w:val="Annalstext"/>
        <w:numPr>
          <w:ilvl w:val="0"/>
          <w:numId w:val="0"/>
        </w:numPr>
        <w:ind w:left="142"/>
        <w:rPr>
          <w:rFonts w:eastAsia="Calibri"/>
          <w:noProof/>
        </w:rPr>
      </w:pPr>
    </w:p>
    <w:p w14:paraId="1E67F008" w14:textId="77777777" w:rsidR="00CD4B01" w:rsidRDefault="00CD4B01">
      <w:pPr>
        <w:widowControl/>
        <w:jc w:val="left"/>
        <w:rPr>
          <w:noProof/>
          <w:sz w:val="22"/>
          <w:szCs w:val="22"/>
        </w:rPr>
      </w:pPr>
      <w:bookmarkStart w:id="185" w:name="_Ref142312953"/>
      <w:r>
        <w:rPr>
          <w:noProof/>
        </w:rPr>
        <w:br w:type="page"/>
      </w:r>
    </w:p>
    <w:p w14:paraId="2087F900" w14:textId="3DEF3F9B" w:rsidR="00165FEB" w:rsidRPr="00CD4B01" w:rsidRDefault="00E80505" w:rsidP="00E81109">
      <w:pPr>
        <w:pStyle w:val="ab"/>
        <w:rPr>
          <w:rFonts w:eastAsia="Calibri"/>
          <w:noProof/>
          <w:sz w:val="24"/>
          <w:szCs w:val="24"/>
        </w:rPr>
      </w:pPr>
      <w:r w:rsidRPr="00CD4B01">
        <w:rPr>
          <w:noProof/>
          <w:sz w:val="24"/>
          <w:szCs w:val="24"/>
        </w:rPr>
        <w:lastRenderedPageBreak/>
        <w:t xml:space="preserve">Table </w:t>
      </w:r>
      <w:r w:rsidR="00EA3750" w:rsidRPr="00CD4B01">
        <w:rPr>
          <w:noProof/>
          <w:sz w:val="24"/>
          <w:szCs w:val="24"/>
        </w:rPr>
        <w:fldChar w:fldCharType="begin"/>
      </w:r>
      <w:r w:rsidR="00EA3750" w:rsidRPr="00CD4B01">
        <w:rPr>
          <w:noProof/>
          <w:sz w:val="24"/>
          <w:szCs w:val="24"/>
        </w:rPr>
        <w:instrText xml:space="preserve"> STYLEREF 1 \s </w:instrText>
      </w:r>
      <w:r w:rsidR="00EA3750" w:rsidRPr="00CD4B01">
        <w:rPr>
          <w:noProof/>
          <w:sz w:val="24"/>
          <w:szCs w:val="24"/>
        </w:rPr>
        <w:fldChar w:fldCharType="separate"/>
      </w:r>
      <w:r w:rsidR="00A41AD1" w:rsidRPr="00CD4B01">
        <w:rPr>
          <w:noProof/>
          <w:sz w:val="24"/>
          <w:szCs w:val="24"/>
        </w:rPr>
        <w:t>12</w:t>
      </w:r>
      <w:r w:rsidR="00EA3750" w:rsidRPr="00CD4B01">
        <w:rPr>
          <w:noProof/>
          <w:sz w:val="24"/>
          <w:szCs w:val="24"/>
        </w:rPr>
        <w:fldChar w:fldCharType="end"/>
      </w:r>
      <w:r w:rsidR="00EA3750" w:rsidRPr="00CD4B01">
        <w:rPr>
          <w:noProof/>
          <w:sz w:val="24"/>
          <w:szCs w:val="24"/>
        </w:rPr>
        <w:t>.</w:t>
      </w:r>
      <w:r w:rsidR="00EA3750" w:rsidRPr="00CD4B01">
        <w:rPr>
          <w:noProof/>
          <w:sz w:val="24"/>
          <w:szCs w:val="24"/>
        </w:rPr>
        <w:fldChar w:fldCharType="begin"/>
      </w:r>
      <w:r w:rsidR="00EA3750" w:rsidRPr="00CD4B01">
        <w:rPr>
          <w:noProof/>
          <w:sz w:val="24"/>
          <w:szCs w:val="24"/>
        </w:rPr>
        <w:instrText xml:space="preserve"> SEQ Table \* ARABIC \s 1 </w:instrText>
      </w:r>
      <w:r w:rsidR="00EA3750" w:rsidRPr="00CD4B01">
        <w:rPr>
          <w:noProof/>
          <w:sz w:val="24"/>
          <w:szCs w:val="24"/>
        </w:rPr>
        <w:fldChar w:fldCharType="separate"/>
      </w:r>
      <w:r w:rsidR="00A41AD1" w:rsidRPr="00CD4B01">
        <w:rPr>
          <w:noProof/>
          <w:sz w:val="24"/>
          <w:szCs w:val="24"/>
        </w:rPr>
        <w:t>2</w:t>
      </w:r>
      <w:r w:rsidR="00EA3750" w:rsidRPr="00CD4B01">
        <w:rPr>
          <w:noProof/>
          <w:sz w:val="24"/>
          <w:szCs w:val="24"/>
        </w:rPr>
        <w:fldChar w:fldCharType="end"/>
      </w:r>
      <w:bookmarkEnd w:id="185"/>
      <w:r w:rsidRPr="00CD4B01">
        <w:rPr>
          <w:noProof/>
          <w:sz w:val="24"/>
          <w:szCs w:val="24"/>
        </w:rPr>
        <w:t>.</w:t>
      </w:r>
      <w:r w:rsidR="007649A9" w:rsidRPr="00CD4B01">
        <w:rPr>
          <w:noProof/>
          <w:sz w:val="24"/>
          <w:szCs w:val="24"/>
        </w:rPr>
        <w:t xml:space="preserve"> Age-specific transfer coefficients for the holmium group (</w:t>
      </w:r>
      <w:r w:rsidR="007649A9" w:rsidRPr="00CD4B01">
        <w:rPr>
          <w:rFonts w:ascii="Times Roman" w:hAnsi="Times Roman"/>
          <w:noProof/>
          <w:color w:val="000000" w:themeColor="text1"/>
          <w:sz w:val="24"/>
          <w:szCs w:val="24"/>
        </w:rPr>
        <w:t>terbium, dysprosium, holmium, erbium, thulium, ytterbium, and lutetium</w:t>
      </w:r>
      <w:r w:rsidR="007649A9" w:rsidRPr="00CD4B01">
        <w:rPr>
          <w:noProof/>
          <w:sz w:val="24"/>
          <w:szCs w:val="24"/>
        </w:rPr>
        <w:t>).</w:t>
      </w:r>
    </w:p>
    <w:tbl>
      <w:tblPr>
        <w:tblW w:w="5000" w:type="pct"/>
        <w:tblLayout w:type="fixed"/>
        <w:tblLook w:val="04A0" w:firstRow="1" w:lastRow="0" w:firstColumn="1" w:lastColumn="0" w:noHBand="0" w:noVBand="1"/>
      </w:tblPr>
      <w:tblGrid>
        <w:gridCol w:w="3021"/>
        <w:gridCol w:w="1001"/>
        <w:gridCol w:w="1001"/>
        <w:gridCol w:w="1001"/>
        <w:gridCol w:w="1001"/>
        <w:gridCol w:w="1001"/>
        <w:gridCol w:w="1001"/>
      </w:tblGrid>
      <w:tr w:rsidR="00165FEB" w:rsidRPr="00972C81" w14:paraId="66B9D9F1" w14:textId="77777777" w:rsidTr="00CD4B01">
        <w:trPr>
          <w:trHeight w:val="300"/>
        </w:trPr>
        <w:tc>
          <w:tcPr>
            <w:tcW w:w="3021" w:type="dxa"/>
            <w:vMerge w:val="restart"/>
            <w:tcBorders>
              <w:top w:val="single" w:sz="4" w:space="0" w:color="auto"/>
            </w:tcBorders>
            <w:shd w:val="clear" w:color="auto" w:fill="auto"/>
            <w:noWrap/>
            <w:vAlign w:val="center"/>
          </w:tcPr>
          <w:p w14:paraId="7FD07FC9" w14:textId="5A5A8926" w:rsidR="00165FEB" w:rsidRPr="00972C81" w:rsidRDefault="00165FEB" w:rsidP="002D114E">
            <w:pPr>
              <w:pStyle w:val="Table"/>
              <w:rPr>
                <w:noProof/>
              </w:rPr>
            </w:pPr>
            <w:r w:rsidRPr="00972C81">
              <w:rPr>
                <w:noProof/>
              </w:rPr>
              <w:t>Pathway</w:t>
            </w:r>
            <w:r w:rsidR="00E52659" w:rsidRPr="00E52659">
              <w:rPr>
                <w:noProof/>
                <w:vertAlign w:val="superscript"/>
              </w:rPr>
              <w:t>a</w:t>
            </w:r>
          </w:p>
        </w:tc>
        <w:tc>
          <w:tcPr>
            <w:tcW w:w="6006" w:type="dxa"/>
            <w:gridSpan w:val="6"/>
            <w:tcBorders>
              <w:top w:val="single" w:sz="4" w:space="0" w:color="auto"/>
              <w:bottom w:val="single" w:sz="4" w:space="0" w:color="auto"/>
            </w:tcBorders>
            <w:shd w:val="clear" w:color="auto" w:fill="auto"/>
            <w:noWrap/>
            <w:vAlign w:val="center"/>
          </w:tcPr>
          <w:p w14:paraId="7CC32D9D" w14:textId="77777777" w:rsidR="00165FEB" w:rsidRPr="00972C81" w:rsidRDefault="00165FEB" w:rsidP="00CD4B01">
            <w:pPr>
              <w:pStyle w:val="Table"/>
              <w:jc w:val="center"/>
              <w:rPr>
                <w:noProof/>
              </w:rPr>
            </w:pPr>
            <w:r w:rsidRPr="00972C81">
              <w:rPr>
                <w:noProof/>
              </w:rPr>
              <w:t>Transfer coefficient (d</w:t>
            </w:r>
            <w:r w:rsidRPr="00972C81">
              <w:rPr>
                <w:noProof/>
                <w:vertAlign w:val="superscript"/>
              </w:rPr>
              <w:t>-1</w:t>
            </w:r>
            <w:r w:rsidRPr="00972C81">
              <w:rPr>
                <w:noProof/>
              </w:rPr>
              <w:t>)</w:t>
            </w:r>
          </w:p>
        </w:tc>
      </w:tr>
      <w:tr w:rsidR="00165FEB" w:rsidRPr="00972C81" w14:paraId="2E420923" w14:textId="77777777" w:rsidTr="00CD4B01">
        <w:trPr>
          <w:trHeight w:val="300"/>
        </w:trPr>
        <w:tc>
          <w:tcPr>
            <w:tcW w:w="3021" w:type="dxa"/>
            <w:vMerge/>
            <w:tcBorders>
              <w:bottom w:val="single" w:sz="4" w:space="0" w:color="auto"/>
            </w:tcBorders>
            <w:shd w:val="clear" w:color="auto" w:fill="auto"/>
            <w:noWrap/>
            <w:vAlign w:val="bottom"/>
          </w:tcPr>
          <w:p w14:paraId="02EAE0C6" w14:textId="77777777" w:rsidR="00165FEB" w:rsidRPr="00972C81" w:rsidRDefault="00165FEB" w:rsidP="00E81109">
            <w:pPr>
              <w:pStyle w:val="Table"/>
              <w:rPr>
                <w:noProof/>
              </w:rPr>
            </w:pPr>
          </w:p>
        </w:tc>
        <w:tc>
          <w:tcPr>
            <w:tcW w:w="1001" w:type="dxa"/>
            <w:tcBorders>
              <w:top w:val="single" w:sz="4" w:space="0" w:color="auto"/>
              <w:bottom w:val="single" w:sz="4" w:space="0" w:color="auto"/>
            </w:tcBorders>
            <w:shd w:val="clear" w:color="auto" w:fill="auto"/>
            <w:noWrap/>
            <w:vAlign w:val="center"/>
          </w:tcPr>
          <w:p w14:paraId="07BDC6D4" w14:textId="77777777" w:rsidR="00165FEB" w:rsidRPr="00972C81" w:rsidRDefault="00165FEB" w:rsidP="00CD4B01">
            <w:pPr>
              <w:pStyle w:val="Table"/>
              <w:rPr>
                <w:noProof/>
              </w:rPr>
            </w:pPr>
            <w:r w:rsidRPr="00972C81">
              <w:rPr>
                <w:noProof/>
              </w:rPr>
              <w:t>100 d</w:t>
            </w:r>
          </w:p>
        </w:tc>
        <w:tc>
          <w:tcPr>
            <w:tcW w:w="1001" w:type="dxa"/>
            <w:tcBorders>
              <w:top w:val="single" w:sz="4" w:space="0" w:color="auto"/>
              <w:bottom w:val="single" w:sz="4" w:space="0" w:color="auto"/>
            </w:tcBorders>
            <w:shd w:val="clear" w:color="auto" w:fill="auto"/>
            <w:noWrap/>
            <w:vAlign w:val="center"/>
          </w:tcPr>
          <w:p w14:paraId="16815DA8" w14:textId="77777777" w:rsidR="00165FEB" w:rsidRPr="00972C81" w:rsidRDefault="00165FEB" w:rsidP="00CD4B01">
            <w:pPr>
              <w:pStyle w:val="Table"/>
              <w:rPr>
                <w:noProof/>
              </w:rPr>
            </w:pPr>
            <w:r w:rsidRPr="00972C81">
              <w:rPr>
                <w:noProof/>
              </w:rPr>
              <w:t>1 y</w:t>
            </w:r>
          </w:p>
        </w:tc>
        <w:tc>
          <w:tcPr>
            <w:tcW w:w="1001" w:type="dxa"/>
            <w:tcBorders>
              <w:top w:val="single" w:sz="4" w:space="0" w:color="auto"/>
              <w:bottom w:val="single" w:sz="4" w:space="0" w:color="auto"/>
            </w:tcBorders>
            <w:shd w:val="clear" w:color="auto" w:fill="auto"/>
            <w:noWrap/>
            <w:vAlign w:val="center"/>
          </w:tcPr>
          <w:p w14:paraId="7BF2A7B2" w14:textId="77777777" w:rsidR="00165FEB" w:rsidRPr="00972C81" w:rsidRDefault="00165FEB" w:rsidP="00CD4B01">
            <w:pPr>
              <w:pStyle w:val="Table"/>
              <w:rPr>
                <w:noProof/>
              </w:rPr>
            </w:pPr>
            <w:r w:rsidRPr="00972C81">
              <w:rPr>
                <w:noProof/>
              </w:rPr>
              <w:t>5 y</w:t>
            </w:r>
          </w:p>
        </w:tc>
        <w:tc>
          <w:tcPr>
            <w:tcW w:w="1001" w:type="dxa"/>
            <w:tcBorders>
              <w:top w:val="single" w:sz="4" w:space="0" w:color="auto"/>
              <w:bottom w:val="single" w:sz="4" w:space="0" w:color="auto"/>
            </w:tcBorders>
            <w:shd w:val="clear" w:color="auto" w:fill="auto"/>
            <w:noWrap/>
            <w:vAlign w:val="center"/>
          </w:tcPr>
          <w:p w14:paraId="27185908" w14:textId="77777777" w:rsidR="00165FEB" w:rsidRPr="00972C81" w:rsidRDefault="00165FEB" w:rsidP="00CD4B01">
            <w:pPr>
              <w:pStyle w:val="Table"/>
              <w:rPr>
                <w:noProof/>
              </w:rPr>
            </w:pPr>
            <w:r w:rsidRPr="00972C81">
              <w:rPr>
                <w:noProof/>
              </w:rPr>
              <w:t>10 y</w:t>
            </w:r>
          </w:p>
        </w:tc>
        <w:tc>
          <w:tcPr>
            <w:tcW w:w="1001" w:type="dxa"/>
            <w:tcBorders>
              <w:top w:val="single" w:sz="4" w:space="0" w:color="auto"/>
              <w:bottom w:val="single" w:sz="4" w:space="0" w:color="auto"/>
            </w:tcBorders>
            <w:shd w:val="clear" w:color="auto" w:fill="auto"/>
            <w:noWrap/>
            <w:vAlign w:val="center"/>
          </w:tcPr>
          <w:p w14:paraId="6C1C3F47" w14:textId="77777777" w:rsidR="00165FEB" w:rsidRPr="00972C81" w:rsidRDefault="00165FEB" w:rsidP="00CD4B01">
            <w:pPr>
              <w:pStyle w:val="Table"/>
              <w:rPr>
                <w:noProof/>
              </w:rPr>
            </w:pPr>
            <w:r w:rsidRPr="00972C81">
              <w:rPr>
                <w:noProof/>
              </w:rPr>
              <w:t>15 y</w:t>
            </w:r>
          </w:p>
        </w:tc>
        <w:tc>
          <w:tcPr>
            <w:tcW w:w="1001" w:type="dxa"/>
            <w:tcBorders>
              <w:top w:val="single" w:sz="4" w:space="0" w:color="auto"/>
              <w:bottom w:val="single" w:sz="4" w:space="0" w:color="auto"/>
            </w:tcBorders>
            <w:shd w:val="clear" w:color="auto" w:fill="auto"/>
            <w:noWrap/>
            <w:vAlign w:val="center"/>
          </w:tcPr>
          <w:p w14:paraId="12B4698D" w14:textId="77777777" w:rsidR="00165FEB" w:rsidRPr="00972C81" w:rsidRDefault="00165FEB" w:rsidP="00CD4B01">
            <w:pPr>
              <w:pStyle w:val="Table"/>
              <w:rPr>
                <w:noProof/>
              </w:rPr>
            </w:pPr>
            <w:r w:rsidRPr="00972C81">
              <w:rPr>
                <w:noProof/>
              </w:rPr>
              <w:t>Adult</w:t>
            </w:r>
          </w:p>
        </w:tc>
      </w:tr>
      <w:tr w:rsidR="000F3F85" w:rsidRPr="00972C81" w14:paraId="4733C05A" w14:textId="77777777" w:rsidTr="00CD4B01">
        <w:trPr>
          <w:trHeight w:val="340"/>
        </w:trPr>
        <w:tc>
          <w:tcPr>
            <w:tcW w:w="3021" w:type="dxa"/>
            <w:tcBorders>
              <w:top w:val="single" w:sz="4" w:space="0" w:color="auto"/>
            </w:tcBorders>
            <w:shd w:val="clear" w:color="auto" w:fill="auto"/>
            <w:noWrap/>
            <w:vAlign w:val="center"/>
            <w:hideMark/>
          </w:tcPr>
          <w:p w14:paraId="36653F0F" w14:textId="53050EE3" w:rsidR="000F3F85" w:rsidRPr="000F3F85" w:rsidRDefault="000F3F85" w:rsidP="00CD4B01">
            <w:pPr>
              <w:pStyle w:val="Table"/>
              <w:rPr>
                <w:noProof/>
                <w:sz w:val="20"/>
                <w:szCs w:val="22"/>
              </w:rPr>
            </w:pPr>
            <w:r w:rsidRPr="000F3F85">
              <w:rPr>
                <w:noProof/>
                <w:sz w:val="20"/>
                <w:szCs w:val="22"/>
              </w:rPr>
              <w:t>Blood to Liver 1</w:t>
            </w:r>
          </w:p>
        </w:tc>
        <w:tc>
          <w:tcPr>
            <w:tcW w:w="1001" w:type="dxa"/>
            <w:tcBorders>
              <w:top w:val="single" w:sz="4" w:space="0" w:color="auto"/>
            </w:tcBorders>
            <w:shd w:val="clear" w:color="auto" w:fill="auto"/>
            <w:noWrap/>
            <w:vAlign w:val="center"/>
            <w:hideMark/>
          </w:tcPr>
          <w:p w14:paraId="6530F6E4" w14:textId="77777777" w:rsidR="000F3F85" w:rsidRPr="00C47F2F" w:rsidRDefault="000F3F85" w:rsidP="00CD4B01">
            <w:pPr>
              <w:pStyle w:val="Table"/>
              <w:rPr>
                <w:noProof/>
                <w:sz w:val="20"/>
                <w:szCs w:val="20"/>
              </w:rPr>
            </w:pPr>
            <w:r w:rsidRPr="00C47F2F">
              <w:rPr>
                <w:noProof/>
                <w:sz w:val="20"/>
                <w:szCs w:val="20"/>
              </w:rPr>
              <w:t>1.16E+00</w:t>
            </w:r>
          </w:p>
        </w:tc>
        <w:tc>
          <w:tcPr>
            <w:tcW w:w="1001" w:type="dxa"/>
            <w:tcBorders>
              <w:top w:val="single" w:sz="4" w:space="0" w:color="auto"/>
            </w:tcBorders>
            <w:shd w:val="clear" w:color="auto" w:fill="auto"/>
            <w:noWrap/>
            <w:vAlign w:val="center"/>
            <w:hideMark/>
          </w:tcPr>
          <w:p w14:paraId="227C7DDE" w14:textId="77777777" w:rsidR="000F3F85" w:rsidRPr="00C47F2F" w:rsidRDefault="000F3F85" w:rsidP="00CD4B01">
            <w:pPr>
              <w:pStyle w:val="Table"/>
              <w:rPr>
                <w:noProof/>
                <w:sz w:val="20"/>
                <w:szCs w:val="20"/>
              </w:rPr>
            </w:pPr>
            <w:r w:rsidRPr="00C47F2F">
              <w:rPr>
                <w:noProof/>
                <w:sz w:val="20"/>
                <w:szCs w:val="20"/>
              </w:rPr>
              <w:t>1.16E+00</w:t>
            </w:r>
          </w:p>
        </w:tc>
        <w:tc>
          <w:tcPr>
            <w:tcW w:w="1001" w:type="dxa"/>
            <w:tcBorders>
              <w:top w:val="single" w:sz="4" w:space="0" w:color="auto"/>
            </w:tcBorders>
            <w:shd w:val="clear" w:color="auto" w:fill="auto"/>
            <w:noWrap/>
            <w:vAlign w:val="center"/>
            <w:hideMark/>
          </w:tcPr>
          <w:p w14:paraId="1CF57CDA" w14:textId="77777777" w:rsidR="000F3F85" w:rsidRPr="00C47F2F" w:rsidRDefault="000F3F85" w:rsidP="00CD4B01">
            <w:pPr>
              <w:pStyle w:val="Table"/>
              <w:rPr>
                <w:noProof/>
                <w:sz w:val="20"/>
                <w:szCs w:val="20"/>
              </w:rPr>
            </w:pPr>
            <w:r w:rsidRPr="00C47F2F">
              <w:rPr>
                <w:noProof/>
                <w:sz w:val="20"/>
                <w:szCs w:val="20"/>
              </w:rPr>
              <w:t>1.16E+00</w:t>
            </w:r>
          </w:p>
        </w:tc>
        <w:tc>
          <w:tcPr>
            <w:tcW w:w="1001" w:type="dxa"/>
            <w:tcBorders>
              <w:top w:val="single" w:sz="4" w:space="0" w:color="auto"/>
            </w:tcBorders>
            <w:shd w:val="clear" w:color="auto" w:fill="auto"/>
            <w:noWrap/>
            <w:vAlign w:val="center"/>
            <w:hideMark/>
          </w:tcPr>
          <w:p w14:paraId="10C36A73" w14:textId="77777777" w:rsidR="000F3F85" w:rsidRPr="00C47F2F" w:rsidRDefault="000F3F85" w:rsidP="00CD4B01">
            <w:pPr>
              <w:pStyle w:val="Table"/>
              <w:rPr>
                <w:noProof/>
                <w:sz w:val="20"/>
                <w:szCs w:val="20"/>
              </w:rPr>
            </w:pPr>
            <w:r w:rsidRPr="00C47F2F">
              <w:rPr>
                <w:noProof/>
                <w:sz w:val="20"/>
                <w:szCs w:val="20"/>
              </w:rPr>
              <w:t>1.16E+00</w:t>
            </w:r>
          </w:p>
        </w:tc>
        <w:tc>
          <w:tcPr>
            <w:tcW w:w="1001" w:type="dxa"/>
            <w:tcBorders>
              <w:top w:val="single" w:sz="4" w:space="0" w:color="auto"/>
            </w:tcBorders>
            <w:shd w:val="clear" w:color="auto" w:fill="auto"/>
            <w:noWrap/>
            <w:vAlign w:val="center"/>
            <w:hideMark/>
          </w:tcPr>
          <w:p w14:paraId="33D77A8C" w14:textId="77777777" w:rsidR="000F3F85" w:rsidRPr="00C47F2F" w:rsidRDefault="000F3F85" w:rsidP="00CD4B01">
            <w:pPr>
              <w:pStyle w:val="Table"/>
              <w:rPr>
                <w:noProof/>
                <w:sz w:val="20"/>
                <w:szCs w:val="20"/>
              </w:rPr>
            </w:pPr>
            <w:r w:rsidRPr="00C47F2F">
              <w:rPr>
                <w:noProof/>
                <w:sz w:val="20"/>
                <w:szCs w:val="20"/>
              </w:rPr>
              <w:t>1.16E+00</w:t>
            </w:r>
          </w:p>
        </w:tc>
        <w:tc>
          <w:tcPr>
            <w:tcW w:w="1001" w:type="dxa"/>
            <w:tcBorders>
              <w:top w:val="single" w:sz="4" w:space="0" w:color="auto"/>
            </w:tcBorders>
            <w:shd w:val="clear" w:color="auto" w:fill="auto"/>
            <w:noWrap/>
            <w:vAlign w:val="center"/>
            <w:hideMark/>
          </w:tcPr>
          <w:p w14:paraId="6C850C3F" w14:textId="77777777" w:rsidR="000F3F85" w:rsidRPr="00C47F2F" w:rsidRDefault="000F3F85" w:rsidP="00CD4B01">
            <w:pPr>
              <w:pStyle w:val="Table"/>
              <w:rPr>
                <w:noProof/>
                <w:sz w:val="20"/>
                <w:szCs w:val="20"/>
              </w:rPr>
            </w:pPr>
            <w:r w:rsidRPr="00C47F2F">
              <w:rPr>
                <w:noProof/>
                <w:sz w:val="20"/>
                <w:szCs w:val="20"/>
              </w:rPr>
              <w:t>1.16E+00</w:t>
            </w:r>
          </w:p>
        </w:tc>
      </w:tr>
      <w:tr w:rsidR="000F3F85" w:rsidRPr="00972C81" w14:paraId="1E085230" w14:textId="77777777" w:rsidTr="00CD4B01">
        <w:trPr>
          <w:trHeight w:val="340"/>
        </w:trPr>
        <w:tc>
          <w:tcPr>
            <w:tcW w:w="3021" w:type="dxa"/>
            <w:shd w:val="clear" w:color="auto" w:fill="auto"/>
            <w:noWrap/>
            <w:vAlign w:val="center"/>
            <w:hideMark/>
          </w:tcPr>
          <w:p w14:paraId="27671317" w14:textId="50189B33" w:rsidR="000F3F85" w:rsidRPr="000F3F85" w:rsidRDefault="000F3F85" w:rsidP="00CD4B01">
            <w:pPr>
              <w:pStyle w:val="Table"/>
              <w:rPr>
                <w:noProof/>
                <w:sz w:val="20"/>
                <w:szCs w:val="22"/>
              </w:rPr>
            </w:pPr>
            <w:r w:rsidRPr="000F3F85">
              <w:rPr>
                <w:noProof/>
                <w:sz w:val="20"/>
                <w:szCs w:val="22"/>
              </w:rPr>
              <w:t>Blood to  ST0</w:t>
            </w:r>
          </w:p>
        </w:tc>
        <w:tc>
          <w:tcPr>
            <w:tcW w:w="1001" w:type="dxa"/>
            <w:shd w:val="clear" w:color="auto" w:fill="auto"/>
            <w:noWrap/>
            <w:vAlign w:val="center"/>
            <w:hideMark/>
          </w:tcPr>
          <w:p w14:paraId="38541D64" w14:textId="77777777" w:rsidR="000F3F85" w:rsidRPr="00C47F2F" w:rsidRDefault="000F3F85" w:rsidP="00CD4B01">
            <w:pPr>
              <w:pStyle w:val="Table"/>
              <w:rPr>
                <w:noProof/>
                <w:sz w:val="20"/>
                <w:szCs w:val="20"/>
              </w:rPr>
            </w:pPr>
            <w:r w:rsidRPr="00C47F2F">
              <w:rPr>
                <w:noProof/>
                <w:sz w:val="20"/>
                <w:szCs w:val="20"/>
              </w:rPr>
              <w:t>9.98E+00</w:t>
            </w:r>
          </w:p>
        </w:tc>
        <w:tc>
          <w:tcPr>
            <w:tcW w:w="1001" w:type="dxa"/>
            <w:shd w:val="clear" w:color="auto" w:fill="auto"/>
            <w:noWrap/>
            <w:vAlign w:val="center"/>
            <w:hideMark/>
          </w:tcPr>
          <w:p w14:paraId="0DF85C79" w14:textId="77777777" w:rsidR="000F3F85" w:rsidRPr="00C47F2F" w:rsidRDefault="000F3F85" w:rsidP="00CD4B01">
            <w:pPr>
              <w:pStyle w:val="Table"/>
              <w:rPr>
                <w:noProof/>
                <w:sz w:val="20"/>
                <w:szCs w:val="20"/>
              </w:rPr>
            </w:pPr>
            <w:r w:rsidRPr="00C47F2F">
              <w:rPr>
                <w:noProof/>
                <w:sz w:val="20"/>
                <w:szCs w:val="20"/>
              </w:rPr>
              <w:t>9.98E+00</w:t>
            </w:r>
          </w:p>
        </w:tc>
        <w:tc>
          <w:tcPr>
            <w:tcW w:w="1001" w:type="dxa"/>
            <w:shd w:val="clear" w:color="auto" w:fill="auto"/>
            <w:noWrap/>
            <w:vAlign w:val="center"/>
            <w:hideMark/>
          </w:tcPr>
          <w:p w14:paraId="0C004AF4" w14:textId="77777777" w:rsidR="000F3F85" w:rsidRPr="00C47F2F" w:rsidRDefault="000F3F85" w:rsidP="00CD4B01">
            <w:pPr>
              <w:pStyle w:val="Table"/>
              <w:rPr>
                <w:noProof/>
                <w:sz w:val="20"/>
                <w:szCs w:val="20"/>
              </w:rPr>
            </w:pPr>
            <w:r w:rsidRPr="00C47F2F">
              <w:rPr>
                <w:noProof/>
                <w:sz w:val="20"/>
                <w:szCs w:val="20"/>
              </w:rPr>
              <w:t>9.98E+00</w:t>
            </w:r>
          </w:p>
        </w:tc>
        <w:tc>
          <w:tcPr>
            <w:tcW w:w="1001" w:type="dxa"/>
            <w:shd w:val="clear" w:color="auto" w:fill="auto"/>
            <w:noWrap/>
            <w:vAlign w:val="center"/>
            <w:hideMark/>
          </w:tcPr>
          <w:p w14:paraId="02482093" w14:textId="77777777" w:rsidR="000F3F85" w:rsidRPr="00C47F2F" w:rsidRDefault="000F3F85" w:rsidP="00CD4B01">
            <w:pPr>
              <w:pStyle w:val="Table"/>
              <w:rPr>
                <w:noProof/>
                <w:sz w:val="20"/>
                <w:szCs w:val="20"/>
              </w:rPr>
            </w:pPr>
            <w:r w:rsidRPr="00C47F2F">
              <w:rPr>
                <w:noProof/>
                <w:sz w:val="20"/>
                <w:szCs w:val="20"/>
              </w:rPr>
              <w:t>9.98E+00</w:t>
            </w:r>
          </w:p>
        </w:tc>
        <w:tc>
          <w:tcPr>
            <w:tcW w:w="1001" w:type="dxa"/>
            <w:shd w:val="clear" w:color="auto" w:fill="auto"/>
            <w:noWrap/>
            <w:vAlign w:val="center"/>
            <w:hideMark/>
          </w:tcPr>
          <w:p w14:paraId="24166824" w14:textId="77777777" w:rsidR="000F3F85" w:rsidRPr="00C47F2F" w:rsidRDefault="000F3F85" w:rsidP="00CD4B01">
            <w:pPr>
              <w:pStyle w:val="Table"/>
              <w:rPr>
                <w:noProof/>
                <w:sz w:val="20"/>
                <w:szCs w:val="20"/>
              </w:rPr>
            </w:pPr>
            <w:r w:rsidRPr="00C47F2F">
              <w:rPr>
                <w:noProof/>
                <w:sz w:val="20"/>
                <w:szCs w:val="20"/>
              </w:rPr>
              <w:t>9.98E+00</w:t>
            </w:r>
          </w:p>
        </w:tc>
        <w:tc>
          <w:tcPr>
            <w:tcW w:w="1001" w:type="dxa"/>
            <w:shd w:val="clear" w:color="auto" w:fill="auto"/>
            <w:noWrap/>
            <w:vAlign w:val="center"/>
            <w:hideMark/>
          </w:tcPr>
          <w:p w14:paraId="0AA60486" w14:textId="77777777" w:rsidR="000F3F85" w:rsidRPr="00C47F2F" w:rsidRDefault="000F3F85" w:rsidP="00CD4B01">
            <w:pPr>
              <w:pStyle w:val="Table"/>
              <w:rPr>
                <w:noProof/>
                <w:sz w:val="20"/>
                <w:szCs w:val="20"/>
              </w:rPr>
            </w:pPr>
            <w:r w:rsidRPr="00C47F2F">
              <w:rPr>
                <w:noProof/>
                <w:sz w:val="20"/>
                <w:szCs w:val="20"/>
              </w:rPr>
              <w:t>9.98E+00</w:t>
            </w:r>
          </w:p>
        </w:tc>
      </w:tr>
      <w:tr w:rsidR="000F3F85" w:rsidRPr="00972C81" w14:paraId="00924225" w14:textId="77777777" w:rsidTr="00CD4B01">
        <w:trPr>
          <w:trHeight w:val="340"/>
        </w:trPr>
        <w:tc>
          <w:tcPr>
            <w:tcW w:w="3021" w:type="dxa"/>
            <w:shd w:val="clear" w:color="auto" w:fill="auto"/>
            <w:noWrap/>
            <w:vAlign w:val="center"/>
            <w:hideMark/>
          </w:tcPr>
          <w:p w14:paraId="4045B62E" w14:textId="317CA43E" w:rsidR="000F3F85" w:rsidRPr="000F3F85" w:rsidRDefault="000F3F85" w:rsidP="00CD4B01">
            <w:pPr>
              <w:pStyle w:val="Table"/>
              <w:rPr>
                <w:noProof/>
                <w:sz w:val="20"/>
                <w:szCs w:val="22"/>
              </w:rPr>
            </w:pPr>
            <w:r w:rsidRPr="000F3F85">
              <w:rPr>
                <w:noProof/>
                <w:sz w:val="20"/>
                <w:szCs w:val="22"/>
              </w:rPr>
              <w:t>Blood to  ST1</w:t>
            </w:r>
          </w:p>
        </w:tc>
        <w:tc>
          <w:tcPr>
            <w:tcW w:w="1001" w:type="dxa"/>
            <w:shd w:val="clear" w:color="auto" w:fill="auto"/>
            <w:noWrap/>
            <w:vAlign w:val="center"/>
            <w:hideMark/>
          </w:tcPr>
          <w:p w14:paraId="4D6AEC22" w14:textId="77777777" w:rsidR="000F3F85" w:rsidRPr="00C47F2F" w:rsidRDefault="000F3F85" w:rsidP="00CD4B01">
            <w:pPr>
              <w:pStyle w:val="Table"/>
              <w:rPr>
                <w:noProof/>
                <w:sz w:val="20"/>
                <w:szCs w:val="20"/>
              </w:rPr>
            </w:pPr>
            <w:r w:rsidRPr="00C47F2F">
              <w:rPr>
                <w:noProof/>
                <w:sz w:val="20"/>
                <w:szCs w:val="20"/>
              </w:rPr>
              <w:t>2.33E+00</w:t>
            </w:r>
          </w:p>
        </w:tc>
        <w:tc>
          <w:tcPr>
            <w:tcW w:w="1001" w:type="dxa"/>
            <w:shd w:val="clear" w:color="auto" w:fill="auto"/>
            <w:noWrap/>
            <w:vAlign w:val="center"/>
            <w:hideMark/>
          </w:tcPr>
          <w:p w14:paraId="19F1C3FF" w14:textId="77777777" w:rsidR="000F3F85" w:rsidRPr="00C47F2F" w:rsidRDefault="000F3F85" w:rsidP="00CD4B01">
            <w:pPr>
              <w:pStyle w:val="Table"/>
              <w:rPr>
                <w:noProof/>
                <w:sz w:val="20"/>
                <w:szCs w:val="20"/>
              </w:rPr>
            </w:pPr>
            <w:r w:rsidRPr="00C47F2F">
              <w:rPr>
                <w:noProof/>
                <w:sz w:val="20"/>
                <w:szCs w:val="20"/>
              </w:rPr>
              <w:t>2.33E+00</w:t>
            </w:r>
          </w:p>
        </w:tc>
        <w:tc>
          <w:tcPr>
            <w:tcW w:w="1001" w:type="dxa"/>
            <w:shd w:val="clear" w:color="auto" w:fill="auto"/>
            <w:noWrap/>
            <w:vAlign w:val="center"/>
            <w:hideMark/>
          </w:tcPr>
          <w:p w14:paraId="6AF8D9D6" w14:textId="77777777" w:rsidR="000F3F85" w:rsidRPr="00C47F2F" w:rsidRDefault="000F3F85" w:rsidP="00CD4B01">
            <w:pPr>
              <w:pStyle w:val="Table"/>
              <w:rPr>
                <w:noProof/>
                <w:sz w:val="20"/>
                <w:szCs w:val="20"/>
              </w:rPr>
            </w:pPr>
            <w:r w:rsidRPr="00C47F2F">
              <w:rPr>
                <w:noProof/>
                <w:sz w:val="20"/>
                <w:szCs w:val="20"/>
              </w:rPr>
              <w:t>3.48E+00</w:t>
            </w:r>
          </w:p>
        </w:tc>
        <w:tc>
          <w:tcPr>
            <w:tcW w:w="1001" w:type="dxa"/>
            <w:shd w:val="clear" w:color="auto" w:fill="auto"/>
            <w:noWrap/>
            <w:vAlign w:val="center"/>
            <w:hideMark/>
          </w:tcPr>
          <w:p w14:paraId="67C9DC87" w14:textId="77777777" w:rsidR="000F3F85" w:rsidRPr="00C47F2F" w:rsidRDefault="000F3F85" w:rsidP="00CD4B01">
            <w:pPr>
              <w:pStyle w:val="Table"/>
              <w:rPr>
                <w:noProof/>
                <w:sz w:val="20"/>
                <w:szCs w:val="20"/>
              </w:rPr>
            </w:pPr>
            <w:r w:rsidRPr="00C47F2F">
              <w:rPr>
                <w:noProof/>
                <w:sz w:val="20"/>
                <w:szCs w:val="20"/>
              </w:rPr>
              <w:t>3.48E+00</w:t>
            </w:r>
          </w:p>
        </w:tc>
        <w:tc>
          <w:tcPr>
            <w:tcW w:w="1001" w:type="dxa"/>
            <w:shd w:val="clear" w:color="auto" w:fill="auto"/>
            <w:noWrap/>
            <w:vAlign w:val="center"/>
            <w:hideMark/>
          </w:tcPr>
          <w:p w14:paraId="461E1590" w14:textId="77777777" w:rsidR="000F3F85" w:rsidRPr="00C47F2F" w:rsidRDefault="000F3F85" w:rsidP="00CD4B01">
            <w:pPr>
              <w:pStyle w:val="Table"/>
              <w:rPr>
                <w:noProof/>
                <w:sz w:val="20"/>
                <w:szCs w:val="20"/>
              </w:rPr>
            </w:pPr>
            <w:r w:rsidRPr="00C47F2F">
              <w:rPr>
                <w:noProof/>
                <w:sz w:val="20"/>
                <w:szCs w:val="20"/>
              </w:rPr>
              <w:t>3.48E+00</w:t>
            </w:r>
          </w:p>
        </w:tc>
        <w:tc>
          <w:tcPr>
            <w:tcW w:w="1001" w:type="dxa"/>
            <w:shd w:val="clear" w:color="auto" w:fill="auto"/>
            <w:noWrap/>
            <w:vAlign w:val="center"/>
            <w:hideMark/>
          </w:tcPr>
          <w:p w14:paraId="0B2E0C15" w14:textId="77777777" w:rsidR="000F3F85" w:rsidRPr="00C47F2F" w:rsidRDefault="000F3F85" w:rsidP="00CD4B01">
            <w:pPr>
              <w:pStyle w:val="Table"/>
              <w:rPr>
                <w:noProof/>
                <w:sz w:val="20"/>
                <w:szCs w:val="20"/>
              </w:rPr>
            </w:pPr>
            <w:r w:rsidRPr="00C47F2F">
              <w:rPr>
                <w:noProof/>
                <w:sz w:val="20"/>
                <w:szCs w:val="20"/>
              </w:rPr>
              <w:t>3.48E+00</w:t>
            </w:r>
          </w:p>
        </w:tc>
      </w:tr>
      <w:tr w:rsidR="000F3F85" w:rsidRPr="00972C81" w14:paraId="5DF5AD0C" w14:textId="77777777" w:rsidTr="00CD4B01">
        <w:trPr>
          <w:trHeight w:val="340"/>
        </w:trPr>
        <w:tc>
          <w:tcPr>
            <w:tcW w:w="3021" w:type="dxa"/>
            <w:shd w:val="clear" w:color="auto" w:fill="auto"/>
            <w:noWrap/>
            <w:vAlign w:val="center"/>
            <w:hideMark/>
          </w:tcPr>
          <w:p w14:paraId="060047FB" w14:textId="731BEB3F" w:rsidR="000F3F85" w:rsidRPr="000F3F85" w:rsidRDefault="000F3F85" w:rsidP="00CD4B01">
            <w:pPr>
              <w:pStyle w:val="Table"/>
              <w:rPr>
                <w:noProof/>
                <w:sz w:val="20"/>
                <w:szCs w:val="22"/>
              </w:rPr>
            </w:pPr>
            <w:r w:rsidRPr="000F3F85">
              <w:rPr>
                <w:noProof/>
                <w:sz w:val="20"/>
                <w:szCs w:val="22"/>
              </w:rPr>
              <w:t>Blood to  ST2</w:t>
            </w:r>
          </w:p>
        </w:tc>
        <w:tc>
          <w:tcPr>
            <w:tcW w:w="1001" w:type="dxa"/>
            <w:shd w:val="clear" w:color="auto" w:fill="auto"/>
            <w:noWrap/>
            <w:vAlign w:val="center"/>
            <w:hideMark/>
          </w:tcPr>
          <w:p w14:paraId="53D6270C" w14:textId="77777777" w:rsidR="000F3F85" w:rsidRPr="00C47F2F" w:rsidRDefault="000F3F85" w:rsidP="00CD4B01">
            <w:pPr>
              <w:pStyle w:val="Table"/>
              <w:rPr>
                <w:noProof/>
                <w:sz w:val="20"/>
                <w:szCs w:val="20"/>
              </w:rPr>
            </w:pPr>
            <w:r w:rsidRPr="00C47F2F">
              <w:rPr>
                <w:noProof/>
                <w:sz w:val="20"/>
                <w:szCs w:val="20"/>
              </w:rPr>
              <w:t>4.66E-01</w:t>
            </w:r>
          </w:p>
        </w:tc>
        <w:tc>
          <w:tcPr>
            <w:tcW w:w="1001" w:type="dxa"/>
            <w:shd w:val="clear" w:color="auto" w:fill="auto"/>
            <w:noWrap/>
            <w:vAlign w:val="center"/>
            <w:hideMark/>
          </w:tcPr>
          <w:p w14:paraId="59A4EBE9" w14:textId="77777777" w:rsidR="000F3F85" w:rsidRPr="00C47F2F" w:rsidRDefault="000F3F85" w:rsidP="00CD4B01">
            <w:pPr>
              <w:pStyle w:val="Table"/>
              <w:rPr>
                <w:noProof/>
                <w:sz w:val="20"/>
                <w:szCs w:val="20"/>
              </w:rPr>
            </w:pPr>
            <w:r w:rsidRPr="00C47F2F">
              <w:rPr>
                <w:noProof/>
                <w:sz w:val="20"/>
                <w:szCs w:val="20"/>
              </w:rPr>
              <w:t>4.66E-01</w:t>
            </w:r>
          </w:p>
        </w:tc>
        <w:tc>
          <w:tcPr>
            <w:tcW w:w="1001" w:type="dxa"/>
            <w:shd w:val="clear" w:color="auto" w:fill="auto"/>
            <w:noWrap/>
            <w:vAlign w:val="center"/>
            <w:hideMark/>
          </w:tcPr>
          <w:p w14:paraId="26FB2522" w14:textId="77777777" w:rsidR="000F3F85" w:rsidRPr="00C47F2F" w:rsidRDefault="000F3F85" w:rsidP="00CD4B01">
            <w:pPr>
              <w:pStyle w:val="Table"/>
              <w:rPr>
                <w:noProof/>
                <w:sz w:val="20"/>
                <w:szCs w:val="20"/>
              </w:rPr>
            </w:pPr>
            <w:r w:rsidRPr="00C47F2F">
              <w:rPr>
                <w:noProof/>
                <w:sz w:val="20"/>
                <w:szCs w:val="20"/>
              </w:rPr>
              <w:t>4.66E-01</w:t>
            </w:r>
          </w:p>
        </w:tc>
        <w:tc>
          <w:tcPr>
            <w:tcW w:w="1001" w:type="dxa"/>
            <w:shd w:val="clear" w:color="auto" w:fill="auto"/>
            <w:noWrap/>
            <w:vAlign w:val="center"/>
            <w:hideMark/>
          </w:tcPr>
          <w:p w14:paraId="0BCC5AE1" w14:textId="77777777" w:rsidR="000F3F85" w:rsidRPr="00C47F2F" w:rsidRDefault="000F3F85" w:rsidP="00CD4B01">
            <w:pPr>
              <w:pStyle w:val="Table"/>
              <w:rPr>
                <w:noProof/>
                <w:sz w:val="20"/>
                <w:szCs w:val="20"/>
              </w:rPr>
            </w:pPr>
            <w:r w:rsidRPr="00C47F2F">
              <w:rPr>
                <w:noProof/>
                <w:sz w:val="20"/>
                <w:szCs w:val="20"/>
              </w:rPr>
              <w:t>4.66E-01</w:t>
            </w:r>
          </w:p>
        </w:tc>
        <w:tc>
          <w:tcPr>
            <w:tcW w:w="1001" w:type="dxa"/>
            <w:shd w:val="clear" w:color="auto" w:fill="auto"/>
            <w:noWrap/>
            <w:vAlign w:val="center"/>
            <w:hideMark/>
          </w:tcPr>
          <w:p w14:paraId="39C70ED4" w14:textId="77777777" w:rsidR="000F3F85" w:rsidRPr="00C47F2F" w:rsidRDefault="000F3F85" w:rsidP="00CD4B01">
            <w:pPr>
              <w:pStyle w:val="Table"/>
              <w:rPr>
                <w:noProof/>
                <w:sz w:val="20"/>
                <w:szCs w:val="20"/>
              </w:rPr>
            </w:pPr>
            <w:r w:rsidRPr="00C47F2F">
              <w:rPr>
                <w:noProof/>
                <w:sz w:val="20"/>
                <w:szCs w:val="20"/>
              </w:rPr>
              <w:t>4.66E-01</w:t>
            </w:r>
          </w:p>
        </w:tc>
        <w:tc>
          <w:tcPr>
            <w:tcW w:w="1001" w:type="dxa"/>
            <w:shd w:val="clear" w:color="auto" w:fill="auto"/>
            <w:noWrap/>
            <w:vAlign w:val="center"/>
            <w:hideMark/>
          </w:tcPr>
          <w:p w14:paraId="2490B17C" w14:textId="77777777" w:rsidR="000F3F85" w:rsidRPr="00C47F2F" w:rsidRDefault="000F3F85" w:rsidP="00CD4B01">
            <w:pPr>
              <w:pStyle w:val="Table"/>
              <w:rPr>
                <w:noProof/>
                <w:sz w:val="20"/>
                <w:szCs w:val="20"/>
              </w:rPr>
            </w:pPr>
            <w:r w:rsidRPr="00C47F2F">
              <w:rPr>
                <w:noProof/>
                <w:sz w:val="20"/>
                <w:szCs w:val="20"/>
              </w:rPr>
              <w:t>4.66E-01</w:t>
            </w:r>
          </w:p>
        </w:tc>
      </w:tr>
      <w:tr w:rsidR="000F3F85" w:rsidRPr="00972C81" w14:paraId="532EBA37" w14:textId="77777777" w:rsidTr="00CD4B01">
        <w:trPr>
          <w:trHeight w:val="340"/>
        </w:trPr>
        <w:tc>
          <w:tcPr>
            <w:tcW w:w="3021" w:type="dxa"/>
            <w:shd w:val="clear" w:color="auto" w:fill="auto"/>
            <w:noWrap/>
            <w:vAlign w:val="center"/>
            <w:hideMark/>
          </w:tcPr>
          <w:p w14:paraId="34FC9EBF" w14:textId="15A4DF5B" w:rsidR="000F3F85" w:rsidRPr="000F3F85" w:rsidRDefault="000F3F85" w:rsidP="00CD4B01">
            <w:pPr>
              <w:pStyle w:val="Table"/>
              <w:rPr>
                <w:noProof/>
                <w:sz w:val="20"/>
                <w:szCs w:val="22"/>
              </w:rPr>
            </w:pPr>
            <w:r w:rsidRPr="000F3F85">
              <w:rPr>
                <w:noProof/>
                <w:sz w:val="20"/>
                <w:szCs w:val="22"/>
              </w:rPr>
              <w:t>Blood to Cort bone surf</w:t>
            </w:r>
          </w:p>
        </w:tc>
        <w:tc>
          <w:tcPr>
            <w:tcW w:w="1001" w:type="dxa"/>
            <w:shd w:val="clear" w:color="auto" w:fill="auto"/>
            <w:noWrap/>
            <w:vAlign w:val="center"/>
            <w:hideMark/>
          </w:tcPr>
          <w:p w14:paraId="5A62C2C0" w14:textId="77777777" w:rsidR="000F3F85" w:rsidRPr="00C47F2F" w:rsidRDefault="000F3F85" w:rsidP="00CD4B01">
            <w:pPr>
              <w:pStyle w:val="Table"/>
              <w:rPr>
                <w:noProof/>
                <w:sz w:val="20"/>
                <w:szCs w:val="20"/>
              </w:rPr>
            </w:pPr>
            <w:r w:rsidRPr="00C47F2F">
              <w:rPr>
                <w:noProof/>
                <w:sz w:val="20"/>
                <w:szCs w:val="20"/>
              </w:rPr>
              <w:t>8.15E+00</w:t>
            </w:r>
          </w:p>
        </w:tc>
        <w:tc>
          <w:tcPr>
            <w:tcW w:w="1001" w:type="dxa"/>
            <w:shd w:val="clear" w:color="auto" w:fill="auto"/>
            <w:noWrap/>
            <w:vAlign w:val="center"/>
            <w:hideMark/>
          </w:tcPr>
          <w:p w14:paraId="19D636E3" w14:textId="77777777" w:rsidR="000F3F85" w:rsidRPr="00C47F2F" w:rsidRDefault="000F3F85" w:rsidP="00CD4B01">
            <w:pPr>
              <w:pStyle w:val="Table"/>
              <w:rPr>
                <w:noProof/>
                <w:sz w:val="20"/>
                <w:szCs w:val="20"/>
              </w:rPr>
            </w:pPr>
            <w:r w:rsidRPr="00C47F2F">
              <w:rPr>
                <w:noProof/>
                <w:sz w:val="20"/>
                <w:szCs w:val="20"/>
              </w:rPr>
              <w:t>8.15E+00</w:t>
            </w:r>
          </w:p>
        </w:tc>
        <w:tc>
          <w:tcPr>
            <w:tcW w:w="1001" w:type="dxa"/>
            <w:shd w:val="clear" w:color="auto" w:fill="auto"/>
            <w:noWrap/>
            <w:vAlign w:val="center"/>
            <w:hideMark/>
          </w:tcPr>
          <w:p w14:paraId="4A0474F6" w14:textId="77777777" w:rsidR="000F3F85" w:rsidRPr="00C47F2F" w:rsidRDefault="000F3F85" w:rsidP="00CD4B01">
            <w:pPr>
              <w:pStyle w:val="Table"/>
              <w:rPr>
                <w:noProof/>
                <w:sz w:val="20"/>
                <w:szCs w:val="20"/>
              </w:rPr>
            </w:pPr>
            <w:r w:rsidRPr="00C47F2F">
              <w:rPr>
                <w:noProof/>
                <w:sz w:val="20"/>
                <w:szCs w:val="20"/>
              </w:rPr>
              <w:t>6.99E+00</w:t>
            </w:r>
          </w:p>
        </w:tc>
        <w:tc>
          <w:tcPr>
            <w:tcW w:w="1001" w:type="dxa"/>
            <w:shd w:val="clear" w:color="auto" w:fill="auto"/>
            <w:noWrap/>
            <w:vAlign w:val="center"/>
            <w:hideMark/>
          </w:tcPr>
          <w:p w14:paraId="2807DAAF" w14:textId="77777777" w:rsidR="000F3F85" w:rsidRPr="00C47F2F" w:rsidRDefault="000F3F85" w:rsidP="00CD4B01">
            <w:pPr>
              <w:pStyle w:val="Table"/>
              <w:rPr>
                <w:noProof/>
                <w:sz w:val="20"/>
                <w:szCs w:val="20"/>
              </w:rPr>
            </w:pPr>
            <w:r w:rsidRPr="00C47F2F">
              <w:rPr>
                <w:noProof/>
                <w:sz w:val="20"/>
                <w:szCs w:val="20"/>
              </w:rPr>
              <w:t>6.99E+00</w:t>
            </w:r>
          </w:p>
        </w:tc>
        <w:tc>
          <w:tcPr>
            <w:tcW w:w="1001" w:type="dxa"/>
            <w:shd w:val="clear" w:color="auto" w:fill="auto"/>
            <w:noWrap/>
            <w:vAlign w:val="center"/>
            <w:hideMark/>
          </w:tcPr>
          <w:p w14:paraId="505D32D5" w14:textId="77777777" w:rsidR="000F3F85" w:rsidRPr="00C47F2F" w:rsidRDefault="000F3F85" w:rsidP="00CD4B01">
            <w:pPr>
              <w:pStyle w:val="Table"/>
              <w:rPr>
                <w:noProof/>
                <w:sz w:val="20"/>
                <w:szCs w:val="20"/>
              </w:rPr>
            </w:pPr>
            <w:r w:rsidRPr="00C47F2F">
              <w:rPr>
                <w:noProof/>
                <w:sz w:val="20"/>
                <w:szCs w:val="20"/>
              </w:rPr>
              <w:t>6.99E+00</w:t>
            </w:r>
          </w:p>
        </w:tc>
        <w:tc>
          <w:tcPr>
            <w:tcW w:w="1001" w:type="dxa"/>
            <w:shd w:val="clear" w:color="auto" w:fill="auto"/>
            <w:noWrap/>
            <w:vAlign w:val="center"/>
            <w:hideMark/>
          </w:tcPr>
          <w:p w14:paraId="2273E541" w14:textId="77777777" w:rsidR="000F3F85" w:rsidRPr="00C47F2F" w:rsidRDefault="000F3F85" w:rsidP="00CD4B01">
            <w:pPr>
              <w:pStyle w:val="Table"/>
              <w:rPr>
                <w:noProof/>
                <w:sz w:val="20"/>
                <w:szCs w:val="20"/>
              </w:rPr>
            </w:pPr>
            <w:r w:rsidRPr="00C47F2F">
              <w:rPr>
                <w:noProof/>
                <w:sz w:val="20"/>
                <w:szCs w:val="20"/>
              </w:rPr>
              <w:t>6.41E+00</w:t>
            </w:r>
          </w:p>
        </w:tc>
      </w:tr>
      <w:tr w:rsidR="000F3F85" w:rsidRPr="00972C81" w14:paraId="5EFA27CA" w14:textId="77777777" w:rsidTr="00CD4B01">
        <w:trPr>
          <w:trHeight w:val="340"/>
        </w:trPr>
        <w:tc>
          <w:tcPr>
            <w:tcW w:w="3021" w:type="dxa"/>
            <w:shd w:val="clear" w:color="auto" w:fill="auto"/>
            <w:noWrap/>
            <w:vAlign w:val="center"/>
            <w:hideMark/>
          </w:tcPr>
          <w:p w14:paraId="42AAB462" w14:textId="7467501F" w:rsidR="000F3F85" w:rsidRPr="000F3F85" w:rsidRDefault="000F3F85" w:rsidP="00CD4B01">
            <w:pPr>
              <w:pStyle w:val="Table"/>
              <w:rPr>
                <w:noProof/>
                <w:sz w:val="20"/>
                <w:szCs w:val="22"/>
              </w:rPr>
            </w:pPr>
            <w:r w:rsidRPr="000F3F85">
              <w:rPr>
                <w:noProof/>
                <w:sz w:val="20"/>
                <w:szCs w:val="22"/>
              </w:rPr>
              <w:t>Blood to Trab bone surf</w:t>
            </w:r>
          </w:p>
        </w:tc>
        <w:tc>
          <w:tcPr>
            <w:tcW w:w="1001" w:type="dxa"/>
            <w:shd w:val="clear" w:color="auto" w:fill="auto"/>
            <w:noWrap/>
            <w:vAlign w:val="center"/>
            <w:hideMark/>
          </w:tcPr>
          <w:p w14:paraId="29D6FCBA" w14:textId="77777777" w:rsidR="000F3F85" w:rsidRPr="00C47F2F" w:rsidRDefault="000F3F85" w:rsidP="00CD4B01">
            <w:pPr>
              <w:pStyle w:val="Table"/>
              <w:rPr>
                <w:noProof/>
                <w:sz w:val="20"/>
                <w:szCs w:val="20"/>
              </w:rPr>
            </w:pPr>
            <w:r w:rsidRPr="00C47F2F">
              <w:rPr>
                <w:noProof/>
                <w:sz w:val="20"/>
                <w:szCs w:val="20"/>
              </w:rPr>
              <w:t>8.15E+00</w:t>
            </w:r>
          </w:p>
        </w:tc>
        <w:tc>
          <w:tcPr>
            <w:tcW w:w="1001" w:type="dxa"/>
            <w:shd w:val="clear" w:color="auto" w:fill="auto"/>
            <w:noWrap/>
            <w:vAlign w:val="center"/>
            <w:hideMark/>
          </w:tcPr>
          <w:p w14:paraId="37AA3F57" w14:textId="77777777" w:rsidR="000F3F85" w:rsidRPr="00C47F2F" w:rsidRDefault="000F3F85" w:rsidP="00CD4B01">
            <w:pPr>
              <w:pStyle w:val="Table"/>
              <w:rPr>
                <w:noProof/>
                <w:sz w:val="20"/>
                <w:szCs w:val="20"/>
              </w:rPr>
            </w:pPr>
            <w:r w:rsidRPr="00C47F2F">
              <w:rPr>
                <w:noProof/>
                <w:sz w:val="20"/>
                <w:szCs w:val="20"/>
              </w:rPr>
              <w:t>8.15E+00</w:t>
            </w:r>
          </w:p>
        </w:tc>
        <w:tc>
          <w:tcPr>
            <w:tcW w:w="1001" w:type="dxa"/>
            <w:shd w:val="clear" w:color="auto" w:fill="auto"/>
            <w:noWrap/>
            <w:vAlign w:val="center"/>
            <w:hideMark/>
          </w:tcPr>
          <w:p w14:paraId="194CC94B" w14:textId="77777777" w:rsidR="000F3F85" w:rsidRPr="00C47F2F" w:rsidRDefault="000F3F85" w:rsidP="00CD4B01">
            <w:pPr>
              <w:pStyle w:val="Table"/>
              <w:rPr>
                <w:noProof/>
                <w:sz w:val="20"/>
                <w:szCs w:val="20"/>
              </w:rPr>
            </w:pPr>
            <w:r w:rsidRPr="00C47F2F">
              <w:rPr>
                <w:noProof/>
                <w:sz w:val="20"/>
                <w:szCs w:val="20"/>
              </w:rPr>
              <w:t>6.99E+00</w:t>
            </w:r>
          </w:p>
        </w:tc>
        <w:tc>
          <w:tcPr>
            <w:tcW w:w="1001" w:type="dxa"/>
            <w:shd w:val="clear" w:color="auto" w:fill="auto"/>
            <w:noWrap/>
            <w:vAlign w:val="center"/>
            <w:hideMark/>
          </w:tcPr>
          <w:p w14:paraId="31D3102C" w14:textId="77777777" w:rsidR="000F3F85" w:rsidRPr="00C47F2F" w:rsidRDefault="000F3F85" w:rsidP="00CD4B01">
            <w:pPr>
              <w:pStyle w:val="Table"/>
              <w:rPr>
                <w:noProof/>
                <w:sz w:val="20"/>
                <w:szCs w:val="20"/>
              </w:rPr>
            </w:pPr>
            <w:r w:rsidRPr="00C47F2F">
              <w:rPr>
                <w:noProof/>
                <w:sz w:val="20"/>
                <w:szCs w:val="20"/>
              </w:rPr>
              <w:t>6.99E+00</w:t>
            </w:r>
          </w:p>
        </w:tc>
        <w:tc>
          <w:tcPr>
            <w:tcW w:w="1001" w:type="dxa"/>
            <w:shd w:val="clear" w:color="auto" w:fill="auto"/>
            <w:noWrap/>
            <w:vAlign w:val="center"/>
            <w:hideMark/>
          </w:tcPr>
          <w:p w14:paraId="09203E3B" w14:textId="77777777" w:rsidR="000F3F85" w:rsidRPr="00C47F2F" w:rsidRDefault="000F3F85" w:rsidP="00CD4B01">
            <w:pPr>
              <w:pStyle w:val="Table"/>
              <w:rPr>
                <w:noProof/>
                <w:sz w:val="20"/>
                <w:szCs w:val="20"/>
              </w:rPr>
            </w:pPr>
            <w:r w:rsidRPr="00C47F2F">
              <w:rPr>
                <w:noProof/>
                <w:sz w:val="20"/>
                <w:szCs w:val="20"/>
              </w:rPr>
              <w:t>6.99E+00</w:t>
            </w:r>
          </w:p>
        </w:tc>
        <w:tc>
          <w:tcPr>
            <w:tcW w:w="1001" w:type="dxa"/>
            <w:shd w:val="clear" w:color="auto" w:fill="auto"/>
            <w:noWrap/>
            <w:vAlign w:val="center"/>
            <w:hideMark/>
          </w:tcPr>
          <w:p w14:paraId="35001388" w14:textId="77777777" w:rsidR="000F3F85" w:rsidRPr="00C47F2F" w:rsidRDefault="000F3F85" w:rsidP="00CD4B01">
            <w:pPr>
              <w:pStyle w:val="Table"/>
              <w:rPr>
                <w:noProof/>
                <w:sz w:val="20"/>
                <w:szCs w:val="20"/>
              </w:rPr>
            </w:pPr>
            <w:r w:rsidRPr="00C47F2F">
              <w:rPr>
                <w:noProof/>
                <w:sz w:val="20"/>
                <w:szCs w:val="20"/>
              </w:rPr>
              <w:t>6.41E+00</w:t>
            </w:r>
          </w:p>
        </w:tc>
      </w:tr>
      <w:tr w:rsidR="000F3F85" w:rsidRPr="00972C81" w14:paraId="4A00E316" w14:textId="77777777" w:rsidTr="00CD4B01">
        <w:trPr>
          <w:trHeight w:val="340"/>
        </w:trPr>
        <w:tc>
          <w:tcPr>
            <w:tcW w:w="3021" w:type="dxa"/>
            <w:shd w:val="clear" w:color="auto" w:fill="auto"/>
            <w:noWrap/>
            <w:vAlign w:val="center"/>
            <w:hideMark/>
          </w:tcPr>
          <w:p w14:paraId="3DD552FD" w14:textId="66ACD095" w:rsidR="000F3F85" w:rsidRPr="000F3F85" w:rsidRDefault="000F3F85" w:rsidP="00CD4B01">
            <w:pPr>
              <w:pStyle w:val="Table"/>
              <w:rPr>
                <w:noProof/>
                <w:sz w:val="20"/>
                <w:szCs w:val="22"/>
              </w:rPr>
            </w:pPr>
            <w:r w:rsidRPr="000F3F85">
              <w:rPr>
                <w:noProof/>
                <w:sz w:val="20"/>
                <w:szCs w:val="22"/>
              </w:rPr>
              <w:t>Blood to Kidneys 1</w:t>
            </w:r>
          </w:p>
        </w:tc>
        <w:tc>
          <w:tcPr>
            <w:tcW w:w="1001" w:type="dxa"/>
            <w:shd w:val="clear" w:color="auto" w:fill="auto"/>
            <w:noWrap/>
            <w:vAlign w:val="center"/>
            <w:hideMark/>
          </w:tcPr>
          <w:p w14:paraId="3BDD8F40" w14:textId="77777777" w:rsidR="000F3F85" w:rsidRPr="00C47F2F" w:rsidRDefault="000F3F85" w:rsidP="00CD4B01">
            <w:pPr>
              <w:pStyle w:val="Table"/>
              <w:rPr>
                <w:noProof/>
                <w:sz w:val="20"/>
                <w:szCs w:val="20"/>
              </w:rPr>
            </w:pPr>
            <w:r w:rsidRPr="00C47F2F">
              <w:rPr>
                <w:noProof/>
                <w:sz w:val="20"/>
                <w:szCs w:val="20"/>
              </w:rPr>
              <w:t>3.49E-01</w:t>
            </w:r>
          </w:p>
        </w:tc>
        <w:tc>
          <w:tcPr>
            <w:tcW w:w="1001" w:type="dxa"/>
            <w:shd w:val="clear" w:color="auto" w:fill="auto"/>
            <w:noWrap/>
            <w:vAlign w:val="center"/>
            <w:hideMark/>
          </w:tcPr>
          <w:p w14:paraId="3DCD4DD6" w14:textId="77777777" w:rsidR="000F3F85" w:rsidRPr="00C47F2F" w:rsidRDefault="000F3F85" w:rsidP="00CD4B01">
            <w:pPr>
              <w:pStyle w:val="Table"/>
              <w:rPr>
                <w:noProof/>
                <w:sz w:val="20"/>
                <w:szCs w:val="20"/>
              </w:rPr>
            </w:pPr>
            <w:r w:rsidRPr="00C47F2F">
              <w:rPr>
                <w:noProof/>
                <w:sz w:val="20"/>
                <w:szCs w:val="20"/>
              </w:rPr>
              <w:t>3.49E-01</w:t>
            </w:r>
          </w:p>
        </w:tc>
        <w:tc>
          <w:tcPr>
            <w:tcW w:w="1001" w:type="dxa"/>
            <w:shd w:val="clear" w:color="auto" w:fill="auto"/>
            <w:noWrap/>
            <w:vAlign w:val="center"/>
            <w:hideMark/>
          </w:tcPr>
          <w:p w14:paraId="082FDE71" w14:textId="77777777" w:rsidR="000F3F85" w:rsidRPr="00C47F2F" w:rsidRDefault="000F3F85" w:rsidP="00CD4B01">
            <w:pPr>
              <w:pStyle w:val="Table"/>
              <w:rPr>
                <w:noProof/>
                <w:sz w:val="20"/>
                <w:szCs w:val="20"/>
              </w:rPr>
            </w:pPr>
            <w:r w:rsidRPr="00C47F2F">
              <w:rPr>
                <w:noProof/>
                <w:sz w:val="20"/>
                <w:szCs w:val="20"/>
              </w:rPr>
              <w:t>3.49E-01</w:t>
            </w:r>
          </w:p>
        </w:tc>
        <w:tc>
          <w:tcPr>
            <w:tcW w:w="1001" w:type="dxa"/>
            <w:shd w:val="clear" w:color="auto" w:fill="auto"/>
            <w:noWrap/>
            <w:vAlign w:val="center"/>
            <w:hideMark/>
          </w:tcPr>
          <w:p w14:paraId="2F754468" w14:textId="77777777" w:rsidR="000F3F85" w:rsidRPr="00C47F2F" w:rsidRDefault="000F3F85" w:rsidP="00CD4B01">
            <w:pPr>
              <w:pStyle w:val="Table"/>
              <w:rPr>
                <w:noProof/>
                <w:sz w:val="20"/>
                <w:szCs w:val="20"/>
              </w:rPr>
            </w:pPr>
            <w:r w:rsidRPr="00C47F2F">
              <w:rPr>
                <w:noProof/>
                <w:sz w:val="20"/>
                <w:szCs w:val="20"/>
              </w:rPr>
              <w:t>3.49E-01</w:t>
            </w:r>
          </w:p>
        </w:tc>
        <w:tc>
          <w:tcPr>
            <w:tcW w:w="1001" w:type="dxa"/>
            <w:shd w:val="clear" w:color="auto" w:fill="auto"/>
            <w:noWrap/>
            <w:vAlign w:val="center"/>
            <w:hideMark/>
          </w:tcPr>
          <w:p w14:paraId="40CE1BD4" w14:textId="77777777" w:rsidR="000F3F85" w:rsidRPr="00C47F2F" w:rsidRDefault="000F3F85" w:rsidP="00CD4B01">
            <w:pPr>
              <w:pStyle w:val="Table"/>
              <w:rPr>
                <w:noProof/>
                <w:sz w:val="20"/>
                <w:szCs w:val="20"/>
              </w:rPr>
            </w:pPr>
            <w:r w:rsidRPr="00C47F2F">
              <w:rPr>
                <w:noProof/>
                <w:sz w:val="20"/>
                <w:szCs w:val="20"/>
              </w:rPr>
              <w:t>3.49E-01</w:t>
            </w:r>
          </w:p>
        </w:tc>
        <w:tc>
          <w:tcPr>
            <w:tcW w:w="1001" w:type="dxa"/>
            <w:shd w:val="clear" w:color="auto" w:fill="auto"/>
            <w:noWrap/>
            <w:vAlign w:val="center"/>
            <w:hideMark/>
          </w:tcPr>
          <w:p w14:paraId="3E0E69E2" w14:textId="77777777" w:rsidR="000F3F85" w:rsidRPr="00C47F2F" w:rsidRDefault="000F3F85" w:rsidP="00CD4B01">
            <w:pPr>
              <w:pStyle w:val="Table"/>
              <w:rPr>
                <w:noProof/>
                <w:sz w:val="20"/>
                <w:szCs w:val="20"/>
              </w:rPr>
            </w:pPr>
            <w:r w:rsidRPr="00C47F2F">
              <w:rPr>
                <w:noProof/>
                <w:sz w:val="20"/>
                <w:szCs w:val="20"/>
              </w:rPr>
              <w:t>3.49E-01</w:t>
            </w:r>
          </w:p>
        </w:tc>
      </w:tr>
      <w:tr w:rsidR="000F3F85" w:rsidRPr="00972C81" w14:paraId="7F8BAB69" w14:textId="77777777" w:rsidTr="00CD4B01">
        <w:trPr>
          <w:trHeight w:val="340"/>
        </w:trPr>
        <w:tc>
          <w:tcPr>
            <w:tcW w:w="3021" w:type="dxa"/>
            <w:shd w:val="clear" w:color="auto" w:fill="auto"/>
            <w:noWrap/>
            <w:vAlign w:val="center"/>
            <w:hideMark/>
          </w:tcPr>
          <w:p w14:paraId="1F14909F" w14:textId="1813C926" w:rsidR="000F3F85" w:rsidRPr="000F3F85" w:rsidRDefault="000F3F85" w:rsidP="00CD4B01">
            <w:pPr>
              <w:pStyle w:val="Table"/>
              <w:rPr>
                <w:noProof/>
                <w:sz w:val="20"/>
                <w:szCs w:val="22"/>
              </w:rPr>
            </w:pPr>
            <w:r w:rsidRPr="000F3F85">
              <w:rPr>
                <w:noProof/>
                <w:sz w:val="20"/>
                <w:szCs w:val="22"/>
              </w:rPr>
              <w:t>Blood to RC content</w:t>
            </w:r>
          </w:p>
        </w:tc>
        <w:tc>
          <w:tcPr>
            <w:tcW w:w="1001" w:type="dxa"/>
            <w:shd w:val="clear" w:color="auto" w:fill="auto"/>
            <w:noWrap/>
            <w:vAlign w:val="center"/>
            <w:hideMark/>
          </w:tcPr>
          <w:p w14:paraId="72FCDE21" w14:textId="77777777" w:rsidR="000F3F85" w:rsidRPr="00C47F2F" w:rsidRDefault="000F3F85" w:rsidP="00CD4B01">
            <w:pPr>
              <w:pStyle w:val="Table"/>
              <w:rPr>
                <w:noProof/>
                <w:sz w:val="20"/>
                <w:szCs w:val="20"/>
              </w:rPr>
            </w:pPr>
            <w:r w:rsidRPr="00C47F2F">
              <w:rPr>
                <w:noProof/>
                <w:sz w:val="20"/>
                <w:szCs w:val="20"/>
              </w:rPr>
              <w:t>2.33E-01</w:t>
            </w:r>
          </w:p>
        </w:tc>
        <w:tc>
          <w:tcPr>
            <w:tcW w:w="1001" w:type="dxa"/>
            <w:shd w:val="clear" w:color="auto" w:fill="auto"/>
            <w:noWrap/>
            <w:vAlign w:val="center"/>
            <w:hideMark/>
          </w:tcPr>
          <w:p w14:paraId="69E284EF" w14:textId="77777777" w:rsidR="000F3F85" w:rsidRPr="00C47F2F" w:rsidRDefault="000F3F85" w:rsidP="00CD4B01">
            <w:pPr>
              <w:pStyle w:val="Table"/>
              <w:rPr>
                <w:noProof/>
                <w:sz w:val="20"/>
                <w:szCs w:val="20"/>
              </w:rPr>
            </w:pPr>
            <w:r w:rsidRPr="00C47F2F">
              <w:rPr>
                <w:noProof/>
                <w:sz w:val="20"/>
                <w:szCs w:val="20"/>
              </w:rPr>
              <w:t>2.33E-01</w:t>
            </w:r>
          </w:p>
        </w:tc>
        <w:tc>
          <w:tcPr>
            <w:tcW w:w="1001" w:type="dxa"/>
            <w:shd w:val="clear" w:color="auto" w:fill="auto"/>
            <w:noWrap/>
            <w:vAlign w:val="center"/>
            <w:hideMark/>
          </w:tcPr>
          <w:p w14:paraId="3212A2B6" w14:textId="77777777" w:rsidR="000F3F85" w:rsidRPr="00C47F2F" w:rsidRDefault="000F3F85" w:rsidP="00CD4B01">
            <w:pPr>
              <w:pStyle w:val="Table"/>
              <w:rPr>
                <w:noProof/>
                <w:sz w:val="20"/>
                <w:szCs w:val="20"/>
              </w:rPr>
            </w:pPr>
            <w:r w:rsidRPr="00C47F2F">
              <w:rPr>
                <w:noProof/>
                <w:sz w:val="20"/>
                <w:szCs w:val="20"/>
              </w:rPr>
              <w:t>2.33E-01</w:t>
            </w:r>
          </w:p>
        </w:tc>
        <w:tc>
          <w:tcPr>
            <w:tcW w:w="1001" w:type="dxa"/>
            <w:shd w:val="clear" w:color="auto" w:fill="auto"/>
            <w:noWrap/>
            <w:vAlign w:val="center"/>
            <w:hideMark/>
          </w:tcPr>
          <w:p w14:paraId="0FF8EA73" w14:textId="77777777" w:rsidR="000F3F85" w:rsidRPr="00C47F2F" w:rsidRDefault="000F3F85" w:rsidP="00CD4B01">
            <w:pPr>
              <w:pStyle w:val="Table"/>
              <w:rPr>
                <w:noProof/>
                <w:sz w:val="20"/>
                <w:szCs w:val="20"/>
              </w:rPr>
            </w:pPr>
            <w:r w:rsidRPr="00C47F2F">
              <w:rPr>
                <w:noProof/>
                <w:sz w:val="20"/>
                <w:szCs w:val="20"/>
              </w:rPr>
              <w:t>2.33E-01</w:t>
            </w:r>
          </w:p>
        </w:tc>
        <w:tc>
          <w:tcPr>
            <w:tcW w:w="1001" w:type="dxa"/>
            <w:shd w:val="clear" w:color="auto" w:fill="auto"/>
            <w:noWrap/>
            <w:vAlign w:val="center"/>
            <w:hideMark/>
          </w:tcPr>
          <w:p w14:paraId="5B46F872" w14:textId="77777777" w:rsidR="000F3F85" w:rsidRPr="00C47F2F" w:rsidRDefault="000F3F85" w:rsidP="00CD4B01">
            <w:pPr>
              <w:pStyle w:val="Table"/>
              <w:rPr>
                <w:noProof/>
                <w:sz w:val="20"/>
                <w:szCs w:val="20"/>
              </w:rPr>
            </w:pPr>
            <w:r w:rsidRPr="00C47F2F">
              <w:rPr>
                <w:noProof/>
                <w:sz w:val="20"/>
                <w:szCs w:val="20"/>
              </w:rPr>
              <w:t>2.33E-01</w:t>
            </w:r>
          </w:p>
        </w:tc>
        <w:tc>
          <w:tcPr>
            <w:tcW w:w="1001" w:type="dxa"/>
            <w:shd w:val="clear" w:color="auto" w:fill="auto"/>
            <w:noWrap/>
            <w:vAlign w:val="center"/>
            <w:hideMark/>
          </w:tcPr>
          <w:p w14:paraId="4CB60FDF" w14:textId="77777777" w:rsidR="000F3F85" w:rsidRPr="00C47F2F" w:rsidRDefault="000F3F85" w:rsidP="00CD4B01">
            <w:pPr>
              <w:pStyle w:val="Table"/>
              <w:rPr>
                <w:noProof/>
                <w:sz w:val="20"/>
                <w:szCs w:val="20"/>
              </w:rPr>
            </w:pPr>
            <w:r w:rsidRPr="00C47F2F">
              <w:rPr>
                <w:noProof/>
                <w:sz w:val="20"/>
                <w:szCs w:val="20"/>
              </w:rPr>
              <w:t>2.33E-01</w:t>
            </w:r>
          </w:p>
        </w:tc>
      </w:tr>
      <w:tr w:rsidR="000F3F85" w:rsidRPr="00972C81" w14:paraId="0C965217" w14:textId="77777777" w:rsidTr="00CD4B01">
        <w:trPr>
          <w:trHeight w:val="340"/>
        </w:trPr>
        <w:tc>
          <w:tcPr>
            <w:tcW w:w="3021" w:type="dxa"/>
            <w:shd w:val="clear" w:color="auto" w:fill="auto"/>
            <w:noWrap/>
            <w:vAlign w:val="center"/>
            <w:hideMark/>
          </w:tcPr>
          <w:p w14:paraId="2C3BCD56" w14:textId="28611EEC" w:rsidR="000F3F85" w:rsidRPr="000F3F85" w:rsidRDefault="000F3F85" w:rsidP="00CD4B01">
            <w:pPr>
              <w:pStyle w:val="Table"/>
              <w:rPr>
                <w:noProof/>
                <w:sz w:val="20"/>
                <w:szCs w:val="22"/>
              </w:rPr>
            </w:pPr>
            <w:r w:rsidRPr="000F3F85">
              <w:rPr>
                <w:noProof/>
                <w:sz w:val="20"/>
                <w:szCs w:val="22"/>
              </w:rPr>
              <w:t>Blood to Kidneys 2</w:t>
            </w:r>
          </w:p>
        </w:tc>
        <w:tc>
          <w:tcPr>
            <w:tcW w:w="1001" w:type="dxa"/>
            <w:shd w:val="clear" w:color="auto" w:fill="auto"/>
            <w:noWrap/>
            <w:vAlign w:val="center"/>
            <w:hideMark/>
          </w:tcPr>
          <w:p w14:paraId="0D412F31" w14:textId="77777777" w:rsidR="000F3F85" w:rsidRPr="00C47F2F" w:rsidRDefault="000F3F85" w:rsidP="00CD4B01">
            <w:pPr>
              <w:pStyle w:val="Table"/>
              <w:rPr>
                <w:noProof/>
                <w:sz w:val="20"/>
                <w:szCs w:val="20"/>
              </w:rPr>
            </w:pPr>
            <w:r w:rsidRPr="00C47F2F">
              <w:rPr>
                <w:noProof/>
                <w:sz w:val="20"/>
                <w:szCs w:val="20"/>
              </w:rPr>
              <w:t>1.17E-01</w:t>
            </w:r>
          </w:p>
        </w:tc>
        <w:tc>
          <w:tcPr>
            <w:tcW w:w="1001" w:type="dxa"/>
            <w:shd w:val="clear" w:color="auto" w:fill="auto"/>
            <w:noWrap/>
            <w:vAlign w:val="center"/>
            <w:hideMark/>
          </w:tcPr>
          <w:p w14:paraId="18BC2134" w14:textId="77777777" w:rsidR="000F3F85" w:rsidRPr="00C47F2F" w:rsidRDefault="000F3F85" w:rsidP="00CD4B01">
            <w:pPr>
              <w:pStyle w:val="Table"/>
              <w:rPr>
                <w:noProof/>
                <w:sz w:val="20"/>
                <w:szCs w:val="20"/>
              </w:rPr>
            </w:pPr>
            <w:r w:rsidRPr="00C47F2F">
              <w:rPr>
                <w:noProof/>
                <w:sz w:val="20"/>
                <w:szCs w:val="20"/>
              </w:rPr>
              <w:t>1.17E-01</w:t>
            </w:r>
          </w:p>
        </w:tc>
        <w:tc>
          <w:tcPr>
            <w:tcW w:w="1001" w:type="dxa"/>
            <w:shd w:val="clear" w:color="auto" w:fill="auto"/>
            <w:noWrap/>
            <w:vAlign w:val="center"/>
            <w:hideMark/>
          </w:tcPr>
          <w:p w14:paraId="0452766D" w14:textId="77777777" w:rsidR="000F3F85" w:rsidRPr="00C47F2F" w:rsidRDefault="000F3F85" w:rsidP="00CD4B01">
            <w:pPr>
              <w:pStyle w:val="Table"/>
              <w:rPr>
                <w:noProof/>
                <w:sz w:val="20"/>
                <w:szCs w:val="20"/>
              </w:rPr>
            </w:pPr>
            <w:r w:rsidRPr="00C47F2F">
              <w:rPr>
                <w:noProof/>
                <w:sz w:val="20"/>
                <w:szCs w:val="20"/>
              </w:rPr>
              <w:t>1.17E-01</w:t>
            </w:r>
          </w:p>
        </w:tc>
        <w:tc>
          <w:tcPr>
            <w:tcW w:w="1001" w:type="dxa"/>
            <w:shd w:val="clear" w:color="auto" w:fill="auto"/>
            <w:noWrap/>
            <w:vAlign w:val="center"/>
            <w:hideMark/>
          </w:tcPr>
          <w:p w14:paraId="6A95DF5A" w14:textId="77777777" w:rsidR="000F3F85" w:rsidRPr="00C47F2F" w:rsidRDefault="000F3F85" w:rsidP="00CD4B01">
            <w:pPr>
              <w:pStyle w:val="Table"/>
              <w:rPr>
                <w:noProof/>
                <w:sz w:val="20"/>
                <w:szCs w:val="20"/>
              </w:rPr>
            </w:pPr>
            <w:r w:rsidRPr="00C47F2F">
              <w:rPr>
                <w:noProof/>
                <w:sz w:val="20"/>
                <w:szCs w:val="20"/>
              </w:rPr>
              <w:t>1.17E-01</w:t>
            </w:r>
          </w:p>
        </w:tc>
        <w:tc>
          <w:tcPr>
            <w:tcW w:w="1001" w:type="dxa"/>
            <w:shd w:val="clear" w:color="auto" w:fill="auto"/>
            <w:noWrap/>
            <w:vAlign w:val="center"/>
            <w:hideMark/>
          </w:tcPr>
          <w:p w14:paraId="12A682E6" w14:textId="77777777" w:rsidR="000F3F85" w:rsidRPr="00C47F2F" w:rsidRDefault="000F3F85" w:rsidP="00CD4B01">
            <w:pPr>
              <w:pStyle w:val="Table"/>
              <w:rPr>
                <w:noProof/>
                <w:sz w:val="20"/>
                <w:szCs w:val="20"/>
              </w:rPr>
            </w:pPr>
            <w:r w:rsidRPr="00C47F2F">
              <w:rPr>
                <w:noProof/>
                <w:sz w:val="20"/>
                <w:szCs w:val="20"/>
              </w:rPr>
              <w:t>1.17E-01</w:t>
            </w:r>
          </w:p>
        </w:tc>
        <w:tc>
          <w:tcPr>
            <w:tcW w:w="1001" w:type="dxa"/>
            <w:shd w:val="clear" w:color="auto" w:fill="auto"/>
            <w:noWrap/>
            <w:vAlign w:val="center"/>
            <w:hideMark/>
          </w:tcPr>
          <w:p w14:paraId="18F8670E" w14:textId="77777777" w:rsidR="000F3F85" w:rsidRPr="00C47F2F" w:rsidRDefault="000F3F85" w:rsidP="00CD4B01">
            <w:pPr>
              <w:pStyle w:val="Table"/>
              <w:rPr>
                <w:noProof/>
                <w:sz w:val="20"/>
                <w:szCs w:val="20"/>
              </w:rPr>
            </w:pPr>
            <w:r w:rsidRPr="00C47F2F">
              <w:rPr>
                <w:noProof/>
                <w:sz w:val="20"/>
                <w:szCs w:val="20"/>
              </w:rPr>
              <w:t>1.17E-01</w:t>
            </w:r>
          </w:p>
        </w:tc>
      </w:tr>
      <w:tr w:rsidR="000F3F85" w:rsidRPr="00972C81" w14:paraId="51513D53" w14:textId="77777777" w:rsidTr="00CD4B01">
        <w:trPr>
          <w:trHeight w:val="340"/>
        </w:trPr>
        <w:tc>
          <w:tcPr>
            <w:tcW w:w="3021" w:type="dxa"/>
            <w:shd w:val="clear" w:color="auto" w:fill="auto"/>
            <w:noWrap/>
            <w:vAlign w:val="center"/>
            <w:hideMark/>
          </w:tcPr>
          <w:p w14:paraId="7DD7F333" w14:textId="69466F77" w:rsidR="000F3F85" w:rsidRPr="000F3F85" w:rsidRDefault="000F3F85" w:rsidP="00CD4B01">
            <w:pPr>
              <w:pStyle w:val="Table"/>
              <w:rPr>
                <w:noProof/>
                <w:sz w:val="20"/>
                <w:szCs w:val="22"/>
              </w:rPr>
            </w:pPr>
            <w:r w:rsidRPr="000F3F85">
              <w:rPr>
                <w:noProof/>
                <w:sz w:val="20"/>
                <w:szCs w:val="22"/>
              </w:rPr>
              <w:t>Blood to Testes</w:t>
            </w:r>
          </w:p>
        </w:tc>
        <w:tc>
          <w:tcPr>
            <w:tcW w:w="1001" w:type="dxa"/>
            <w:shd w:val="clear" w:color="auto" w:fill="auto"/>
            <w:noWrap/>
            <w:vAlign w:val="center"/>
            <w:hideMark/>
          </w:tcPr>
          <w:p w14:paraId="6099EA3B" w14:textId="77777777" w:rsidR="000F3F85" w:rsidRPr="00C47F2F" w:rsidRDefault="000F3F85" w:rsidP="00CD4B01">
            <w:pPr>
              <w:pStyle w:val="Table"/>
              <w:rPr>
                <w:noProof/>
                <w:sz w:val="20"/>
                <w:szCs w:val="20"/>
              </w:rPr>
            </w:pPr>
            <w:r w:rsidRPr="00C47F2F">
              <w:rPr>
                <w:noProof/>
                <w:sz w:val="20"/>
                <w:szCs w:val="20"/>
              </w:rPr>
              <w:t>4.70E-04</w:t>
            </w:r>
          </w:p>
        </w:tc>
        <w:tc>
          <w:tcPr>
            <w:tcW w:w="1001" w:type="dxa"/>
            <w:shd w:val="clear" w:color="auto" w:fill="auto"/>
            <w:noWrap/>
            <w:vAlign w:val="center"/>
            <w:hideMark/>
          </w:tcPr>
          <w:p w14:paraId="0BBBB945" w14:textId="77777777" w:rsidR="000F3F85" w:rsidRPr="00C47F2F" w:rsidRDefault="000F3F85" w:rsidP="00CD4B01">
            <w:pPr>
              <w:pStyle w:val="Table"/>
              <w:rPr>
                <w:noProof/>
                <w:sz w:val="20"/>
                <w:szCs w:val="20"/>
              </w:rPr>
            </w:pPr>
            <w:r w:rsidRPr="00C47F2F">
              <w:rPr>
                <w:noProof/>
                <w:sz w:val="20"/>
                <w:szCs w:val="20"/>
              </w:rPr>
              <w:t>7.00E-04</w:t>
            </w:r>
          </w:p>
        </w:tc>
        <w:tc>
          <w:tcPr>
            <w:tcW w:w="1001" w:type="dxa"/>
            <w:shd w:val="clear" w:color="auto" w:fill="auto"/>
            <w:noWrap/>
            <w:vAlign w:val="center"/>
            <w:hideMark/>
          </w:tcPr>
          <w:p w14:paraId="3BBF4BC2" w14:textId="77777777" w:rsidR="000F3F85" w:rsidRPr="00C47F2F" w:rsidRDefault="000F3F85" w:rsidP="00CD4B01">
            <w:pPr>
              <w:pStyle w:val="Table"/>
              <w:rPr>
                <w:noProof/>
                <w:sz w:val="20"/>
                <w:szCs w:val="20"/>
              </w:rPr>
            </w:pPr>
            <w:r w:rsidRPr="00C47F2F">
              <w:rPr>
                <w:noProof/>
                <w:sz w:val="20"/>
                <w:szCs w:val="20"/>
              </w:rPr>
              <w:t>7.90E-04</w:t>
            </w:r>
          </w:p>
        </w:tc>
        <w:tc>
          <w:tcPr>
            <w:tcW w:w="1001" w:type="dxa"/>
            <w:shd w:val="clear" w:color="auto" w:fill="auto"/>
            <w:noWrap/>
            <w:vAlign w:val="center"/>
            <w:hideMark/>
          </w:tcPr>
          <w:p w14:paraId="34CA1417" w14:textId="77777777" w:rsidR="000F3F85" w:rsidRPr="00C47F2F" w:rsidRDefault="000F3F85" w:rsidP="00CD4B01">
            <w:pPr>
              <w:pStyle w:val="Table"/>
              <w:rPr>
                <w:noProof/>
                <w:sz w:val="20"/>
                <w:szCs w:val="20"/>
              </w:rPr>
            </w:pPr>
            <w:r w:rsidRPr="00C47F2F">
              <w:rPr>
                <w:noProof/>
                <w:sz w:val="20"/>
                <w:szCs w:val="20"/>
              </w:rPr>
              <w:t>9.30E-04</w:t>
            </w:r>
          </w:p>
        </w:tc>
        <w:tc>
          <w:tcPr>
            <w:tcW w:w="1001" w:type="dxa"/>
            <w:shd w:val="clear" w:color="auto" w:fill="auto"/>
            <w:noWrap/>
            <w:vAlign w:val="center"/>
            <w:hideMark/>
          </w:tcPr>
          <w:p w14:paraId="47717C30" w14:textId="77777777" w:rsidR="000F3F85" w:rsidRPr="00C47F2F" w:rsidRDefault="000F3F85" w:rsidP="00CD4B01">
            <w:pPr>
              <w:pStyle w:val="Table"/>
              <w:rPr>
                <w:noProof/>
                <w:sz w:val="20"/>
                <w:szCs w:val="20"/>
              </w:rPr>
            </w:pPr>
            <w:r w:rsidRPr="00C47F2F">
              <w:rPr>
                <w:noProof/>
                <w:sz w:val="20"/>
                <w:szCs w:val="20"/>
              </w:rPr>
              <w:t>7.50E-03</w:t>
            </w:r>
          </w:p>
        </w:tc>
        <w:tc>
          <w:tcPr>
            <w:tcW w:w="1001" w:type="dxa"/>
            <w:shd w:val="clear" w:color="auto" w:fill="auto"/>
            <w:noWrap/>
            <w:vAlign w:val="center"/>
            <w:hideMark/>
          </w:tcPr>
          <w:p w14:paraId="67B6225D" w14:textId="77777777" w:rsidR="000F3F85" w:rsidRPr="00C47F2F" w:rsidRDefault="000F3F85" w:rsidP="00CD4B01">
            <w:pPr>
              <w:pStyle w:val="Table"/>
              <w:rPr>
                <w:noProof/>
                <w:sz w:val="20"/>
                <w:szCs w:val="20"/>
              </w:rPr>
            </w:pPr>
            <w:r w:rsidRPr="00C47F2F">
              <w:rPr>
                <w:noProof/>
                <w:sz w:val="20"/>
                <w:szCs w:val="20"/>
              </w:rPr>
              <w:t>8.15E-03</w:t>
            </w:r>
          </w:p>
        </w:tc>
      </w:tr>
      <w:tr w:rsidR="000F3F85" w:rsidRPr="00972C81" w14:paraId="6F3910C7" w14:textId="77777777" w:rsidTr="00CD4B01">
        <w:trPr>
          <w:trHeight w:val="340"/>
        </w:trPr>
        <w:tc>
          <w:tcPr>
            <w:tcW w:w="3021" w:type="dxa"/>
            <w:shd w:val="clear" w:color="auto" w:fill="auto"/>
            <w:noWrap/>
            <w:vAlign w:val="center"/>
            <w:hideMark/>
          </w:tcPr>
          <w:p w14:paraId="34AA7670" w14:textId="006BB04E" w:rsidR="000F3F85" w:rsidRPr="000F3F85" w:rsidRDefault="000F3F85" w:rsidP="00CD4B01">
            <w:pPr>
              <w:pStyle w:val="Table"/>
              <w:rPr>
                <w:noProof/>
                <w:sz w:val="20"/>
                <w:szCs w:val="22"/>
              </w:rPr>
            </w:pPr>
            <w:r w:rsidRPr="000F3F85">
              <w:rPr>
                <w:noProof/>
                <w:sz w:val="20"/>
                <w:szCs w:val="22"/>
              </w:rPr>
              <w:t>Blood to Ovaries</w:t>
            </w:r>
          </w:p>
        </w:tc>
        <w:tc>
          <w:tcPr>
            <w:tcW w:w="1001" w:type="dxa"/>
            <w:shd w:val="clear" w:color="auto" w:fill="auto"/>
            <w:noWrap/>
            <w:vAlign w:val="center"/>
            <w:hideMark/>
          </w:tcPr>
          <w:p w14:paraId="0A8E8600" w14:textId="77777777" w:rsidR="000F3F85" w:rsidRPr="00C47F2F" w:rsidRDefault="000F3F85" w:rsidP="00CD4B01">
            <w:pPr>
              <w:pStyle w:val="Table"/>
              <w:rPr>
                <w:noProof/>
                <w:sz w:val="20"/>
                <w:szCs w:val="20"/>
              </w:rPr>
            </w:pPr>
            <w:r w:rsidRPr="00C47F2F">
              <w:rPr>
                <w:noProof/>
                <w:sz w:val="20"/>
                <w:szCs w:val="20"/>
              </w:rPr>
              <w:t>2.80E-04</w:t>
            </w:r>
          </w:p>
        </w:tc>
        <w:tc>
          <w:tcPr>
            <w:tcW w:w="1001" w:type="dxa"/>
            <w:shd w:val="clear" w:color="auto" w:fill="auto"/>
            <w:noWrap/>
            <w:vAlign w:val="center"/>
            <w:hideMark/>
          </w:tcPr>
          <w:p w14:paraId="18B76347" w14:textId="77777777" w:rsidR="000F3F85" w:rsidRPr="00C47F2F" w:rsidRDefault="000F3F85" w:rsidP="00CD4B01">
            <w:pPr>
              <w:pStyle w:val="Table"/>
              <w:rPr>
                <w:noProof/>
                <w:sz w:val="20"/>
                <w:szCs w:val="20"/>
              </w:rPr>
            </w:pPr>
            <w:r w:rsidRPr="00C47F2F">
              <w:rPr>
                <w:noProof/>
                <w:sz w:val="20"/>
                <w:szCs w:val="20"/>
              </w:rPr>
              <w:t>3.70E-04</w:t>
            </w:r>
          </w:p>
        </w:tc>
        <w:tc>
          <w:tcPr>
            <w:tcW w:w="1001" w:type="dxa"/>
            <w:shd w:val="clear" w:color="auto" w:fill="auto"/>
            <w:noWrap/>
            <w:vAlign w:val="center"/>
            <w:hideMark/>
          </w:tcPr>
          <w:p w14:paraId="4E6853E3" w14:textId="77777777" w:rsidR="000F3F85" w:rsidRPr="00C47F2F" w:rsidRDefault="000F3F85" w:rsidP="00CD4B01">
            <w:pPr>
              <w:pStyle w:val="Table"/>
              <w:rPr>
                <w:noProof/>
                <w:sz w:val="20"/>
                <w:szCs w:val="20"/>
              </w:rPr>
            </w:pPr>
            <w:r w:rsidRPr="00C47F2F">
              <w:rPr>
                <w:noProof/>
                <w:sz w:val="20"/>
                <w:szCs w:val="20"/>
              </w:rPr>
              <w:t>9.30E-04</w:t>
            </w:r>
          </w:p>
        </w:tc>
        <w:tc>
          <w:tcPr>
            <w:tcW w:w="1001" w:type="dxa"/>
            <w:shd w:val="clear" w:color="auto" w:fill="auto"/>
            <w:noWrap/>
            <w:vAlign w:val="center"/>
            <w:hideMark/>
          </w:tcPr>
          <w:p w14:paraId="1367150B" w14:textId="77777777" w:rsidR="000F3F85" w:rsidRPr="00C47F2F" w:rsidRDefault="000F3F85" w:rsidP="00CD4B01">
            <w:pPr>
              <w:pStyle w:val="Table"/>
              <w:rPr>
                <w:noProof/>
                <w:sz w:val="20"/>
                <w:szCs w:val="20"/>
              </w:rPr>
            </w:pPr>
            <w:r w:rsidRPr="00C47F2F">
              <w:rPr>
                <w:noProof/>
                <w:sz w:val="20"/>
                <w:szCs w:val="20"/>
              </w:rPr>
              <w:t>1.60E-03</w:t>
            </w:r>
          </w:p>
        </w:tc>
        <w:tc>
          <w:tcPr>
            <w:tcW w:w="1001" w:type="dxa"/>
            <w:shd w:val="clear" w:color="auto" w:fill="auto"/>
            <w:noWrap/>
            <w:vAlign w:val="center"/>
            <w:hideMark/>
          </w:tcPr>
          <w:p w14:paraId="749EF7D9" w14:textId="77777777" w:rsidR="000F3F85" w:rsidRPr="00C47F2F" w:rsidRDefault="000F3F85" w:rsidP="00CD4B01">
            <w:pPr>
              <w:pStyle w:val="Table"/>
              <w:rPr>
                <w:noProof/>
                <w:sz w:val="20"/>
                <w:szCs w:val="20"/>
              </w:rPr>
            </w:pPr>
            <w:r w:rsidRPr="00C47F2F">
              <w:rPr>
                <w:noProof/>
                <w:sz w:val="20"/>
                <w:szCs w:val="20"/>
              </w:rPr>
              <w:t>2.80E-03</w:t>
            </w:r>
          </w:p>
        </w:tc>
        <w:tc>
          <w:tcPr>
            <w:tcW w:w="1001" w:type="dxa"/>
            <w:shd w:val="clear" w:color="auto" w:fill="auto"/>
            <w:noWrap/>
            <w:vAlign w:val="center"/>
            <w:hideMark/>
          </w:tcPr>
          <w:p w14:paraId="11972A29" w14:textId="77777777" w:rsidR="000F3F85" w:rsidRPr="00C47F2F" w:rsidRDefault="000F3F85" w:rsidP="00CD4B01">
            <w:pPr>
              <w:pStyle w:val="Table"/>
              <w:rPr>
                <w:noProof/>
                <w:sz w:val="20"/>
                <w:szCs w:val="20"/>
              </w:rPr>
            </w:pPr>
            <w:r w:rsidRPr="00C47F2F">
              <w:rPr>
                <w:noProof/>
                <w:sz w:val="20"/>
                <w:szCs w:val="20"/>
              </w:rPr>
              <w:t>2.56E-03</w:t>
            </w:r>
          </w:p>
        </w:tc>
      </w:tr>
      <w:tr w:rsidR="000F3F85" w:rsidRPr="00972C81" w14:paraId="437548D8" w14:textId="77777777" w:rsidTr="00CD4B01">
        <w:trPr>
          <w:trHeight w:val="340"/>
        </w:trPr>
        <w:tc>
          <w:tcPr>
            <w:tcW w:w="3021" w:type="dxa"/>
            <w:shd w:val="clear" w:color="auto" w:fill="auto"/>
            <w:noWrap/>
            <w:vAlign w:val="center"/>
            <w:hideMark/>
          </w:tcPr>
          <w:p w14:paraId="7B4590BC" w14:textId="365F8DF0" w:rsidR="000F3F85" w:rsidRPr="000F3F85" w:rsidRDefault="000F3F85" w:rsidP="00CD4B01">
            <w:pPr>
              <w:pStyle w:val="Table"/>
              <w:rPr>
                <w:noProof/>
                <w:sz w:val="20"/>
                <w:szCs w:val="22"/>
              </w:rPr>
            </w:pPr>
            <w:r w:rsidRPr="000F3F85">
              <w:rPr>
                <w:noProof/>
                <w:sz w:val="20"/>
                <w:szCs w:val="22"/>
              </w:rPr>
              <w:t>Blood to UB content</w:t>
            </w:r>
          </w:p>
        </w:tc>
        <w:tc>
          <w:tcPr>
            <w:tcW w:w="1001" w:type="dxa"/>
            <w:shd w:val="clear" w:color="auto" w:fill="auto"/>
            <w:noWrap/>
            <w:vAlign w:val="center"/>
            <w:hideMark/>
          </w:tcPr>
          <w:p w14:paraId="36CE7276" w14:textId="77777777" w:rsidR="000F3F85" w:rsidRPr="00C47F2F" w:rsidRDefault="000F3F85" w:rsidP="00CD4B01">
            <w:pPr>
              <w:pStyle w:val="Table"/>
              <w:rPr>
                <w:noProof/>
                <w:sz w:val="20"/>
                <w:szCs w:val="20"/>
              </w:rPr>
            </w:pPr>
            <w:r w:rsidRPr="00C47F2F">
              <w:rPr>
                <w:noProof/>
                <w:sz w:val="20"/>
                <w:szCs w:val="20"/>
              </w:rPr>
              <w:t>2.33E+00</w:t>
            </w:r>
          </w:p>
        </w:tc>
        <w:tc>
          <w:tcPr>
            <w:tcW w:w="1001" w:type="dxa"/>
            <w:shd w:val="clear" w:color="auto" w:fill="auto"/>
            <w:noWrap/>
            <w:vAlign w:val="center"/>
            <w:hideMark/>
          </w:tcPr>
          <w:p w14:paraId="2909DD94" w14:textId="77777777" w:rsidR="000F3F85" w:rsidRPr="00C47F2F" w:rsidRDefault="000F3F85" w:rsidP="00CD4B01">
            <w:pPr>
              <w:pStyle w:val="Table"/>
              <w:rPr>
                <w:noProof/>
                <w:sz w:val="20"/>
                <w:szCs w:val="20"/>
              </w:rPr>
            </w:pPr>
            <w:r w:rsidRPr="00C47F2F">
              <w:rPr>
                <w:noProof/>
                <w:sz w:val="20"/>
                <w:szCs w:val="20"/>
              </w:rPr>
              <w:t>2.33E+00</w:t>
            </w:r>
          </w:p>
        </w:tc>
        <w:tc>
          <w:tcPr>
            <w:tcW w:w="1001" w:type="dxa"/>
            <w:shd w:val="clear" w:color="auto" w:fill="auto"/>
            <w:noWrap/>
            <w:vAlign w:val="center"/>
            <w:hideMark/>
          </w:tcPr>
          <w:p w14:paraId="7A863FE4" w14:textId="77777777" w:rsidR="000F3F85" w:rsidRPr="00C47F2F" w:rsidRDefault="000F3F85" w:rsidP="00CD4B01">
            <w:pPr>
              <w:pStyle w:val="Table"/>
              <w:rPr>
                <w:noProof/>
                <w:sz w:val="20"/>
                <w:szCs w:val="20"/>
              </w:rPr>
            </w:pPr>
            <w:r w:rsidRPr="00C47F2F">
              <w:rPr>
                <w:noProof/>
                <w:sz w:val="20"/>
                <w:szCs w:val="20"/>
              </w:rPr>
              <w:t>3.49E+00</w:t>
            </w:r>
          </w:p>
        </w:tc>
        <w:tc>
          <w:tcPr>
            <w:tcW w:w="1001" w:type="dxa"/>
            <w:shd w:val="clear" w:color="auto" w:fill="auto"/>
            <w:noWrap/>
            <w:vAlign w:val="center"/>
            <w:hideMark/>
          </w:tcPr>
          <w:p w14:paraId="0B4E18D3" w14:textId="77777777" w:rsidR="000F3F85" w:rsidRPr="00C47F2F" w:rsidRDefault="000F3F85" w:rsidP="00CD4B01">
            <w:pPr>
              <w:pStyle w:val="Table"/>
              <w:rPr>
                <w:noProof/>
                <w:sz w:val="20"/>
                <w:szCs w:val="20"/>
              </w:rPr>
            </w:pPr>
            <w:r w:rsidRPr="00C47F2F">
              <w:rPr>
                <w:noProof/>
                <w:sz w:val="20"/>
                <w:szCs w:val="20"/>
              </w:rPr>
              <w:t>3.49E+00</w:t>
            </w:r>
          </w:p>
        </w:tc>
        <w:tc>
          <w:tcPr>
            <w:tcW w:w="1001" w:type="dxa"/>
            <w:shd w:val="clear" w:color="auto" w:fill="auto"/>
            <w:noWrap/>
            <w:vAlign w:val="center"/>
            <w:hideMark/>
          </w:tcPr>
          <w:p w14:paraId="4E1B0808" w14:textId="77777777" w:rsidR="000F3F85" w:rsidRPr="00C47F2F" w:rsidRDefault="000F3F85" w:rsidP="00CD4B01">
            <w:pPr>
              <w:pStyle w:val="Table"/>
              <w:rPr>
                <w:noProof/>
                <w:sz w:val="20"/>
                <w:szCs w:val="20"/>
              </w:rPr>
            </w:pPr>
            <w:r w:rsidRPr="00C47F2F">
              <w:rPr>
                <w:noProof/>
                <w:sz w:val="20"/>
                <w:szCs w:val="20"/>
              </w:rPr>
              <w:t>3.49E+00</w:t>
            </w:r>
          </w:p>
        </w:tc>
        <w:tc>
          <w:tcPr>
            <w:tcW w:w="1001" w:type="dxa"/>
            <w:shd w:val="clear" w:color="auto" w:fill="auto"/>
            <w:noWrap/>
            <w:vAlign w:val="center"/>
            <w:hideMark/>
          </w:tcPr>
          <w:p w14:paraId="7E0FE947" w14:textId="77777777" w:rsidR="000F3F85" w:rsidRPr="00C47F2F" w:rsidRDefault="000F3F85" w:rsidP="00CD4B01">
            <w:pPr>
              <w:pStyle w:val="Table"/>
              <w:rPr>
                <w:noProof/>
                <w:sz w:val="20"/>
                <w:szCs w:val="20"/>
              </w:rPr>
            </w:pPr>
            <w:r w:rsidRPr="00C47F2F">
              <w:rPr>
                <w:noProof/>
                <w:sz w:val="20"/>
                <w:szCs w:val="20"/>
              </w:rPr>
              <w:t>4.66E+00</w:t>
            </w:r>
          </w:p>
        </w:tc>
      </w:tr>
      <w:tr w:rsidR="000F3F85" w:rsidRPr="00972C81" w14:paraId="33028D7E" w14:textId="77777777" w:rsidTr="00CD4B01">
        <w:trPr>
          <w:trHeight w:val="340"/>
        </w:trPr>
        <w:tc>
          <w:tcPr>
            <w:tcW w:w="3021" w:type="dxa"/>
            <w:shd w:val="clear" w:color="auto" w:fill="auto"/>
            <w:noWrap/>
            <w:vAlign w:val="center"/>
            <w:hideMark/>
          </w:tcPr>
          <w:p w14:paraId="057870A5" w14:textId="2628ABAC" w:rsidR="000F3F85" w:rsidRPr="000F3F85" w:rsidRDefault="000F3F85" w:rsidP="00CD4B01">
            <w:pPr>
              <w:pStyle w:val="Table"/>
              <w:rPr>
                <w:noProof/>
                <w:sz w:val="20"/>
                <w:szCs w:val="22"/>
              </w:rPr>
            </w:pPr>
            <w:r w:rsidRPr="000F3F85">
              <w:rPr>
                <w:noProof/>
                <w:sz w:val="20"/>
                <w:szCs w:val="22"/>
              </w:rPr>
              <w:t>Liver 2 to Blood</w:t>
            </w:r>
          </w:p>
        </w:tc>
        <w:tc>
          <w:tcPr>
            <w:tcW w:w="1001" w:type="dxa"/>
            <w:shd w:val="clear" w:color="auto" w:fill="auto"/>
            <w:noWrap/>
            <w:vAlign w:val="center"/>
            <w:hideMark/>
          </w:tcPr>
          <w:p w14:paraId="78862C2D" w14:textId="77777777" w:rsidR="000F3F85" w:rsidRPr="00C47F2F" w:rsidRDefault="000F3F85" w:rsidP="00CD4B01">
            <w:pPr>
              <w:pStyle w:val="Table"/>
              <w:rPr>
                <w:noProof/>
                <w:sz w:val="20"/>
                <w:szCs w:val="20"/>
              </w:rPr>
            </w:pPr>
            <w:r w:rsidRPr="00C47F2F">
              <w:rPr>
                <w:noProof/>
                <w:sz w:val="20"/>
                <w:szCs w:val="20"/>
              </w:rPr>
              <w:t>1.90E-03</w:t>
            </w:r>
          </w:p>
        </w:tc>
        <w:tc>
          <w:tcPr>
            <w:tcW w:w="1001" w:type="dxa"/>
            <w:shd w:val="clear" w:color="auto" w:fill="auto"/>
            <w:noWrap/>
            <w:vAlign w:val="center"/>
            <w:hideMark/>
          </w:tcPr>
          <w:p w14:paraId="4E59AA11" w14:textId="77777777" w:rsidR="000F3F85" w:rsidRPr="00C47F2F" w:rsidRDefault="000F3F85" w:rsidP="00CD4B01">
            <w:pPr>
              <w:pStyle w:val="Table"/>
              <w:rPr>
                <w:noProof/>
                <w:sz w:val="20"/>
                <w:szCs w:val="20"/>
              </w:rPr>
            </w:pPr>
            <w:r w:rsidRPr="00C47F2F">
              <w:rPr>
                <w:noProof/>
                <w:sz w:val="20"/>
                <w:szCs w:val="20"/>
              </w:rPr>
              <w:t>1.90E-03</w:t>
            </w:r>
          </w:p>
        </w:tc>
        <w:tc>
          <w:tcPr>
            <w:tcW w:w="1001" w:type="dxa"/>
            <w:shd w:val="clear" w:color="auto" w:fill="auto"/>
            <w:noWrap/>
            <w:vAlign w:val="center"/>
            <w:hideMark/>
          </w:tcPr>
          <w:p w14:paraId="60DE216B" w14:textId="77777777" w:rsidR="000F3F85" w:rsidRPr="00C47F2F" w:rsidRDefault="000F3F85" w:rsidP="00CD4B01">
            <w:pPr>
              <w:pStyle w:val="Table"/>
              <w:rPr>
                <w:noProof/>
                <w:sz w:val="20"/>
                <w:szCs w:val="20"/>
              </w:rPr>
            </w:pPr>
            <w:r w:rsidRPr="00C47F2F">
              <w:rPr>
                <w:noProof/>
                <w:sz w:val="20"/>
                <w:szCs w:val="20"/>
              </w:rPr>
              <w:t>1.90E-03</w:t>
            </w:r>
          </w:p>
        </w:tc>
        <w:tc>
          <w:tcPr>
            <w:tcW w:w="1001" w:type="dxa"/>
            <w:shd w:val="clear" w:color="auto" w:fill="auto"/>
            <w:noWrap/>
            <w:vAlign w:val="center"/>
            <w:hideMark/>
          </w:tcPr>
          <w:p w14:paraId="44B4FE81" w14:textId="77777777" w:rsidR="000F3F85" w:rsidRPr="00C47F2F" w:rsidRDefault="000F3F85" w:rsidP="00CD4B01">
            <w:pPr>
              <w:pStyle w:val="Table"/>
              <w:rPr>
                <w:noProof/>
                <w:sz w:val="20"/>
                <w:szCs w:val="20"/>
              </w:rPr>
            </w:pPr>
            <w:r w:rsidRPr="00C47F2F">
              <w:rPr>
                <w:noProof/>
                <w:sz w:val="20"/>
                <w:szCs w:val="20"/>
              </w:rPr>
              <w:t>1.90E-03</w:t>
            </w:r>
          </w:p>
        </w:tc>
        <w:tc>
          <w:tcPr>
            <w:tcW w:w="1001" w:type="dxa"/>
            <w:shd w:val="clear" w:color="auto" w:fill="auto"/>
            <w:noWrap/>
            <w:vAlign w:val="center"/>
            <w:hideMark/>
          </w:tcPr>
          <w:p w14:paraId="6E9485A2" w14:textId="77777777" w:rsidR="000F3F85" w:rsidRPr="00C47F2F" w:rsidRDefault="000F3F85" w:rsidP="00CD4B01">
            <w:pPr>
              <w:pStyle w:val="Table"/>
              <w:rPr>
                <w:noProof/>
                <w:sz w:val="20"/>
                <w:szCs w:val="20"/>
              </w:rPr>
            </w:pPr>
            <w:r w:rsidRPr="00C47F2F">
              <w:rPr>
                <w:noProof/>
                <w:sz w:val="20"/>
                <w:szCs w:val="20"/>
              </w:rPr>
              <w:t>1.90E-03</w:t>
            </w:r>
          </w:p>
        </w:tc>
        <w:tc>
          <w:tcPr>
            <w:tcW w:w="1001" w:type="dxa"/>
            <w:shd w:val="clear" w:color="auto" w:fill="auto"/>
            <w:noWrap/>
            <w:vAlign w:val="center"/>
            <w:hideMark/>
          </w:tcPr>
          <w:p w14:paraId="52D791D6" w14:textId="77777777" w:rsidR="000F3F85" w:rsidRPr="00C47F2F" w:rsidRDefault="000F3F85" w:rsidP="00CD4B01">
            <w:pPr>
              <w:pStyle w:val="Table"/>
              <w:rPr>
                <w:noProof/>
                <w:sz w:val="20"/>
                <w:szCs w:val="20"/>
              </w:rPr>
            </w:pPr>
            <w:r w:rsidRPr="00C47F2F">
              <w:rPr>
                <w:noProof/>
                <w:sz w:val="20"/>
                <w:szCs w:val="20"/>
              </w:rPr>
              <w:t>1.90E-03</w:t>
            </w:r>
          </w:p>
        </w:tc>
      </w:tr>
      <w:tr w:rsidR="000F3F85" w:rsidRPr="00972C81" w14:paraId="3482980E" w14:textId="77777777" w:rsidTr="00CD4B01">
        <w:trPr>
          <w:trHeight w:val="340"/>
        </w:trPr>
        <w:tc>
          <w:tcPr>
            <w:tcW w:w="3021" w:type="dxa"/>
            <w:shd w:val="clear" w:color="auto" w:fill="auto"/>
            <w:noWrap/>
            <w:vAlign w:val="center"/>
            <w:hideMark/>
          </w:tcPr>
          <w:p w14:paraId="03FAF0F2" w14:textId="3FC7A19C" w:rsidR="000F3F85" w:rsidRPr="000F3F85" w:rsidRDefault="000F3F85" w:rsidP="00CD4B01">
            <w:pPr>
              <w:pStyle w:val="Table"/>
              <w:rPr>
                <w:noProof/>
                <w:sz w:val="20"/>
                <w:szCs w:val="22"/>
              </w:rPr>
            </w:pPr>
            <w:r w:rsidRPr="000F3F85">
              <w:rPr>
                <w:noProof/>
                <w:sz w:val="20"/>
                <w:szCs w:val="22"/>
              </w:rPr>
              <w:t>Liver 1 to SI content</w:t>
            </w:r>
          </w:p>
        </w:tc>
        <w:tc>
          <w:tcPr>
            <w:tcW w:w="1001" w:type="dxa"/>
            <w:shd w:val="clear" w:color="auto" w:fill="auto"/>
            <w:noWrap/>
            <w:vAlign w:val="center"/>
            <w:hideMark/>
          </w:tcPr>
          <w:p w14:paraId="4CFA230B" w14:textId="77777777" w:rsidR="000F3F85" w:rsidRPr="00C47F2F" w:rsidRDefault="000F3F85" w:rsidP="00CD4B01">
            <w:pPr>
              <w:pStyle w:val="Table"/>
              <w:rPr>
                <w:noProof/>
                <w:sz w:val="20"/>
                <w:szCs w:val="20"/>
              </w:rPr>
            </w:pPr>
            <w:r w:rsidRPr="00C47F2F">
              <w:rPr>
                <w:noProof/>
                <w:sz w:val="20"/>
                <w:szCs w:val="20"/>
              </w:rPr>
              <w:t>2.31E-03</w:t>
            </w:r>
          </w:p>
        </w:tc>
        <w:tc>
          <w:tcPr>
            <w:tcW w:w="1001" w:type="dxa"/>
            <w:shd w:val="clear" w:color="auto" w:fill="auto"/>
            <w:noWrap/>
            <w:vAlign w:val="center"/>
            <w:hideMark/>
          </w:tcPr>
          <w:p w14:paraId="331F4081" w14:textId="77777777" w:rsidR="000F3F85" w:rsidRPr="00C47F2F" w:rsidRDefault="000F3F85" w:rsidP="00CD4B01">
            <w:pPr>
              <w:pStyle w:val="Table"/>
              <w:rPr>
                <w:noProof/>
                <w:sz w:val="20"/>
                <w:szCs w:val="20"/>
              </w:rPr>
            </w:pPr>
            <w:r w:rsidRPr="00C47F2F">
              <w:rPr>
                <w:noProof/>
                <w:sz w:val="20"/>
                <w:szCs w:val="20"/>
              </w:rPr>
              <w:t>2.31E-03</w:t>
            </w:r>
          </w:p>
        </w:tc>
        <w:tc>
          <w:tcPr>
            <w:tcW w:w="1001" w:type="dxa"/>
            <w:shd w:val="clear" w:color="auto" w:fill="auto"/>
            <w:noWrap/>
            <w:vAlign w:val="center"/>
            <w:hideMark/>
          </w:tcPr>
          <w:p w14:paraId="50FA50BB" w14:textId="77777777" w:rsidR="000F3F85" w:rsidRPr="00C47F2F" w:rsidRDefault="000F3F85" w:rsidP="00CD4B01">
            <w:pPr>
              <w:pStyle w:val="Table"/>
              <w:rPr>
                <w:noProof/>
                <w:sz w:val="20"/>
                <w:szCs w:val="20"/>
              </w:rPr>
            </w:pPr>
            <w:r w:rsidRPr="00C47F2F">
              <w:rPr>
                <w:noProof/>
                <w:sz w:val="20"/>
                <w:szCs w:val="20"/>
              </w:rPr>
              <w:t>2.31E-03</w:t>
            </w:r>
          </w:p>
        </w:tc>
        <w:tc>
          <w:tcPr>
            <w:tcW w:w="1001" w:type="dxa"/>
            <w:shd w:val="clear" w:color="auto" w:fill="auto"/>
            <w:noWrap/>
            <w:vAlign w:val="center"/>
            <w:hideMark/>
          </w:tcPr>
          <w:p w14:paraId="2DF7F4CB" w14:textId="77777777" w:rsidR="000F3F85" w:rsidRPr="00C47F2F" w:rsidRDefault="000F3F85" w:rsidP="00CD4B01">
            <w:pPr>
              <w:pStyle w:val="Table"/>
              <w:rPr>
                <w:noProof/>
                <w:sz w:val="20"/>
                <w:szCs w:val="20"/>
              </w:rPr>
            </w:pPr>
            <w:r w:rsidRPr="00C47F2F">
              <w:rPr>
                <w:noProof/>
                <w:sz w:val="20"/>
                <w:szCs w:val="20"/>
              </w:rPr>
              <w:t>2.31E-03</w:t>
            </w:r>
          </w:p>
        </w:tc>
        <w:tc>
          <w:tcPr>
            <w:tcW w:w="1001" w:type="dxa"/>
            <w:shd w:val="clear" w:color="auto" w:fill="auto"/>
            <w:noWrap/>
            <w:vAlign w:val="center"/>
            <w:hideMark/>
          </w:tcPr>
          <w:p w14:paraId="1C76E7F0" w14:textId="77777777" w:rsidR="000F3F85" w:rsidRPr="00C47F2F" w:rsidRDefault="000F3F85" w:rsidP="00CD4B01">
            <w:pPr>
              <w:pStyle w:val="Table"/>
              <w:rPr>
                <w:noProof/>
                <w:sz w:val="20"/>
                <w:szCs w:val="20"/>
              </w:rPr>
            </w:pPr>
            <w:r w:rsidRPr="00C47F2F">
              <w:rPr>
                <w:noProof/>
                <w:sz w:val="20"/>
                <w:szCs w:val="20"/>
              </w:rPr>
              <w:t>2.31E-03</w:t>
            </w:r>
          </w:p>
        </w:tc>
        <w:tc>
          <w:tcPr>
            <w:tcW w:w="1001" w:type="dxa"/>
            <w:shd w:val="clear" w:color="auto" w:fill="auto"/>
            <w:noWrap/>
            <w:vAlign w:val="center"/>
            <w:hideMark/>
          </w:tcPr>
          <w:p w14:paraId="18ACB403" w14:textId="77777777" w:rsidR="000F3F85" w:rsidRPr="00C47F2F" w:rsidRDefault="000F3F85" w:rsidP="00CD4B01">
            <w:pPr>
              <w:pStyle w:val="Table"/>
              <w:rPr>
                <w:noProof/>
                <w:sz w:val="20"/>
                <w:szCs w:val="20"/>
              </w:rPr>
            </w:pPr>
            <w:r w:rsidRPr="00C47F2F">
              <w:rPr>
                <w:noProof/>
                <w:sz w:val="20"/>
                <w:szCs w:val="20"/>
              </w:rPr>
              <w:t>2.31E-03</w:t>
            </w:r>
          </w:p>
        </w:tc>
      </w:tr>
      <w:tr w:rsidR="000F3F85" w:rsidRPr="00972C81" w14:paraId="75C8D539" w14:textId="77777777" w:rsidTr="00CD4B01">
        <w:trPr>
          <w:trHeight w:val="340"/>
        </w:trPr>
        <w:tc>
          <w:tcPr>
            <w:tcW w:w="3021" w:type="dxa"/>
            <w:shd w:val="clear" w:color="auto" w:fill="auto"/>
            <w:noWrap/>
            <w:vAlign w:val="center"/>
            <w:hideMark/>
          </w:tcPr>
          <w:p w14:paraId="11101712" w14:textId="697D9C62" w:rsidR="000F3F85" w:rsidRPr="000F3F85" w:rsidRDefault="000F3F85" w:rsidP="00CD4B01">
            <w:pPr>
              <w:pStyle w:val="Table"/>
              <w:rPr>
                <w:noProof/>
                <w:sz w:val="20"/>
                <w:szCs w:val="22"/>
              </w:rPr>
            </w:pPr>
            <w:r w:rsidRPr="000F3F85">
              <w:rPr>
                <w:noProof/>
                <w:sz w:val="20"/>
                <w:szCs w:val="22"/>
              </w:rPr>
              <w:t>Liver 1 to Liver 2</w:t>
            </w:r>
          </w:p>
        </w:tc>
        <w:tc>
          <w:tcPr>
            <w:tcW w:w="1001" w:type="dxa"/>
            <w:shd w:val="clear" w:color="auto" w:fill="auto"/>
            <w:noWrap/>
            <w:vAlign w:val="center"/>
            <w:hideMark/>
          </w:tcPr>
          <w:p w14:paraId="3151DA0B" w14:textId="77777777" w:rsidR="000F3F85" w:rsidRPr="00C47F2F" w:rsidRDefault="000F3F85" w:rsidP="00CD4B01">
            <w:pPr>
              <w:pStyle w:val="Table"/>
              <w:rPr>
                <w:noProof/>
                <w:sz w:val="20"/>
                <w:szCs w:val="20"/>
              </w:rPr>
            </w:pPr>
            <w:r w:rsidRPr="00C47F2F">
              <w:rPr>
                <w:noProof/>
                <w:sz w:val="20"/>
                <w:szCs w:val="20"/>
              </w:rPr>
              <w:t>2.08E-02</w:t>
            </w:r>
          </w:p>
        </w:tc>
        <w:tc>
          <w:tcPr>
            <w:tcW w:w="1001" w:type="dxa"/>
            <w:shd w:val="clear" w:color="auto" w:fill="auto"/>
            <w:noWrap/>
            <w:vAlign w:val="center"/>
            <w:hideMark/>
          </w:tcPr>
          <w:p w14:paraId="2C269CEF" w14:textId="77777777" w:rsidR="000F3F85" w:rsidRPr="00C47F2F" w:rsidRDefault="000F3F85" w:rsidP="00CD4B01">
            <w:pPr>
              <w:pStyle w:val="Table"/>
              <w:rPr>
                <w:noProof/>
                <w:sz w:val="20"/>
                <w:szCs w:val="20"/>
              </w:rPr>
            </w:pPr>
            <w:r w:rsidRPr="00C47F2F">
              <w:rPr>
                <w:noProof/>
                <w:sz w:val="20"/>
                <w:szCs w:val="20"/>
              </w:rPr>
              <w:t>2.08E-02</w:t>
            </w:r>
          </w:p>
        </w:tc>
        <w:tc>
          <w:tcPr>
            <w:tcW w:w="1001" w:type="dxa"/>
            <w:shd w:val="clear" w:color="auto" w:fill="auto"/>
            <w:noWrap/>
            <w:vAlign w:val="center"/>
            <w:hideMark/>
          </w:tcPr>
          <w:p w14:paraId="605F347F" w14:textId="77777777" w:rsidR="000F3F85" w:rsidRPr="00C47F2F" w:rsidRDefault="000F3F85" w:rsidP="00CD4B01">
            <w:pPr>
              <w:pStyle w:val="Table"/>
              <w:rPr>
                <w:noProof/>
                <w:sz w:val="20"/>
                <w:szCs w:val="20"/>
              </w:rPr>
            </w:pPr>
            <w:r w:rsidRPr="00C47F2F">
              <w:rPr>
                <w:noProof/>
                <w:sz w:val="20"/>
                <w:szCs w:val="20"/>
              </w:rPr>
              <w:t>2.08E-02</w:t>
            </w:r>
          </w:p>
        </w:tc>
        <w:tc>
          <w:tcPr>
            <w:tcW w:w="1001" w:type="dxa"/>
            <w:shd w:val="clear" w:color="auto" w:fill="auto"/>
            <w:noWrap/>
            <w:vAlign w:val="center"/>
            <w:hideMark/>
          </w:tcPr>
          <w:p w14:paraId="3F6DC467" w14:textId="77777777" w:rsidR="000F3F85" w:rsidRPr="00C47F2F" w:rsidRDefault="000F3F85" w:rsidP="00CD4B01">
            <w:pPr>
              <w:pStyle w:val="Table"/>
              <w:rPr>
                <w:noProof/>
                <w:sz w:val="20"/>
                <w:szCs w:val="20"/>
              </w:rPr>
            </w:pPr>
            <w:r w:rsidRPr="00C47F2F">
              <w:rPr>
                <w:noProof/>
                <w:sz w:val="20"/>
                <w:szCs w:val="20"/>
              </w:rPr>
              <w:t>2.08E-02</w:t>
            </w:r>
          </w:p>
        </w:tc>
        <w:tc>
          <w:tcPr>
            <w:tcW w:w="1001" w:type="dxa"/>
            <w:shd w:val="clear" w:color="auto" w:fill="auto"/>
            <w:noWrap/>
            <w:vAlign w:val="center"/>
            <w:hideMark/>
          </w:tcPr>
          <w:p w14:paraId="71147C35" w14:textId="77777777" w:rsidR="000F3F85" w:rsidRPr="00C47F2F" w:rsidRDefault="000F3F85" w:rsidP="00CD4B01">
            <w:pPr>
              <w:pStyle w:val="Table"/>
              <w:rPr>
                <w:noProof/>
                <w:sz w:val="20"/>
                <w:szCs w:val="20"/>
              </w:rPr>
            </w:pPr>
            <w:r w:rsidRPr="00C47F2F">
              <w:rPr>
                <w:noProof/>
                <w:sz w:val="20"/>
                <w:szCs w:val="20"/>
              </w:rPr>
              <w:t>2.08E-02</w:t>
            </w:r>
          </w:p>
        </w:tc>
        <w:tc>
          <w:tcPr>
            <w:tcW w:w="1001" w:type="dxa"/>
            <w:shd w:val="clear" w:color="auto" w:fill="auto"/>
            <w:noWrap/>
            <w:vAlign w:val="center"/>
            <w:hideMark/>
          </w:tcPr>
          <w:p w14:paraId="39EDE076" w14:textId="77777777" w:rsidR="000F3F85" w:rsidRPr="00C47F2F" w:rsidRDefault="000F3F85" w:rsidP="00CD4B01">
            <w:pPr>
              <w:pStyle w:val="Table"/>
              <w:rPr>
                <w:noProof/>
                <w:sz w:val="20"/>
                <w:szCs w:val="20"/>
              </w:rPr>
            </w:pPr>
            <w:r w:rsidRPr="00C47F2F">
              <w:rPr>
                <w:noProof/>
                <w:sz w:val="20"/>
                <w:szCs w:val="20"/>
              </w:rPr>
              <w:t>2.08E-02</w:t>
            </w:r>
          </w:p>
        </w:tc>
      </w:tr>
      <w:tr w:rsidR="000F3F85" w:rsidRPr="00972C81" w14:paraId="195172D3" w14:textId="77777777" w:rsidTr="00CD4B01">
        <w:trPr>
          <w:trHeight w:val="340"/>
        </w:trPr>
        <w:tc>
          <w:tcPr>
            <w:tcW w:w="3021" w:type="dxa"/>
            <w:shd w:val="clear" w:color="auto" w:fill="auto"/>
            <w:noWrap/>
            <w:vAlign w:val="center"/>
            <w:hideMark/>
          </w:tcPr>
          <w:p w14:paraId="34A8DB0D" w14:textId="01847C18" w:rsidR="000F3F85" w:rsidRPr="000F3F85" w:rsidRDefault="000F3F85" w:rsidP="00CD4B01">
            <w:pPr>
              <w:pStyle w:val="Table"/>
              <w:rPr>
                <w:noProof/>
                <w:sz w:val="20"/>
                <w:szCs w:val="22"/>
              </w:rPr>
            </w:pPr>
            <w:r w:rsidRPr="000F3F85">
              <w:rPr>
                <w:noProof/>
                <w:sz w:val="20"/>
                <w:szCs w:val="22"/>
              </w:rPr>
              <w:t xml:space="preserve"> ST0 to Blood</w:t>
            </w:r>
          </w:p>
        </w:tc>
        <w:tc>
          <w:tcPr>
            <w:tcW w:w="1001" w:type="dxa"/>
            <w:shd w:val="clear" w:color="auto" w:fill="auto"/>
            <w:noWrap/>
            <w:vAlign w:val="center"/>
            <w:hideMark/>
          </w:tcPr>
          <w:p w14:paraId="4CE8586A" w14:textId="77777777" w:rsidR="000F3F85" w:rsidRPr="00C47F2F" w:rsidRDefault="000F3F85" w:rsidP="00CD4B01">
            <w:pPr>
              <w:pStyle w:val="Table"/>
              <w:rPr>
                <w:noProof/>
                <w:sz w:val="20"/>
                <w:szCs w:val="20"/>
              </w:rPr>
            </w:pPr>
            <w:r w:rsidRPr="00C47F2F">
              <w:rPr>
                <w:noProof/>
                <w:sz w:val="20"/>
                <w:szCs w:val="20"/>
              </w:rPr>
              <w:t>1.39E+00</w:t>
            </w:r>
          </w:p>
        </w:tc>
        <w:tc>
          <w:tcPr>
            <w:tcW w:w="1001" w:type="dxa"/>
            <w:shd w:val="clear" w:color="auto" w:fill="auto"/>
            <w:noWrap/>
            <w:vAlign w:val="center"/>
            <w:hideMark/>
          </w:tcPr>
          <w:p w14:paraId="0894BA6B" w14:textId="77777777" w:rsidR="000F3F85" w:rsidRPr="00C47F2F" w:rsidRDefault="000F3F85" w:rsidP="00CD4B01">
            <w:pPr>
              <w:pStyle w:val="Table"/>
              <w:rPr>
                <w:noProof/>
                <w:sz w:val="20"/>
                <w:szCs w:val="20"/>
              </w:rPr>
            </w:pPr>
            <w:r w:rsidRPr="00C47F2F">
              <w:rPr>
                <w:noProof/>
                <w:sz w:val="20"/>
                <w:szCs w:val="20"/>
              </w:rPr>
              <w:t>1.39E+00</w:t>
            </w:r>
          </w:p>
        </w:tc>
        <w:tc>
          <w:tcPr>
            <w:tcW w:w="1001" w:type="dxa"/>
            <w:shd w:val="clear" w:color="auto" w:fill="auto"/>
            <w:noWrap/>
            <w:vAlign w:val="center"/>
            <w:hideMark/>
          </w:tcPr>
          <w:p w14:paraId="4CC06187" w14:textId="77777777" w:rsidR="000F3F85" w:rsidRPr="00C47F2F" w:rsidRDefault="000F3F85" w:rsidP="00CD4B01">
            <w:pPr>
              <w:pStyle w:val="Table"/>
              <w:rPr>
                <w:noProof/>
                <w:sz w:val="20"/>
                <w:szCs w:val="20"/>
              </w:rPr>
            </w:pPr>
            <w:r w:rsidRPr="00C47F2F">
              <w:rPr>
                <w:noProof/>
                <w:sz w:val="20"/>
                <w:szCs w:val="20"/>
              </w:rPr>
              <w:t>1.39E+00</w:t>
            </w:r>
          </w:p>
        </w:tc>
        <w:tc>
          <w:tcPr>
            <w:tcW w:w="1001" w:type="dxa"/>
            <w:shd w:val="clear" w:color="auto" w:fill="auto"/>
            <w:noWrap/>
            <w:vAlign w:val="center"/>
            <w:hideMark/>
          </w:tcPr>
          <w:p w14:paraId="0B6A5CE6" w14:textId="77777777" w:rsidR="000F3F85" w:rsidRPr="00C47F2F" w:rsidRDefault="000F3F85" w:rsidP="00CD4B01">
            <w:pPr>
              <w:pStyle w:val="Table"/>
              <w:rPr>
                <w:noProof/>
                <w:sz w:val="20"/>
                <w:szCs w:val="20"/>
              </w:rPr>
            </w:pPr>
            <w:r w:rsidRPr="00C47F2F">
              <w:rPr>
                <w:noProof/>
                <w:sz w:val="20"/>
                <w:szCs w:val="20"/>
              </w:rPr>
              <w:t>1.39E+00</w:t>
            </w:r>
          </w:p>
        </w:tc>
        <w:tc>
          <w:tcPr>
            <w:tcW w:w="1001" w:type="dxa"/>
            <w:shd w:val="clear" w:color="auto" w:fill="auto"/>
            <w:noWrap/>
            <w:vAlign w:val="center"/>
            <w:hideMark/>
          </w:tcPr>
          <w:p w14:paraId="0A7AA9C4" w14:textId="77777777" w:rsidR="000F3F85" w:rsidRPr="00C47F2F" w:rsidRDefault="000F3F85" w:rsidP="00CD4B01">
            <w:pPr>
              <w:pStyle w:val="Table"/>
              <w:rPr>
                <w:noProof/>
                <w:sz w:val="20"/>
                <w:szCs w:val="20"/>
              </w:rPr>
            </w:pPr>
            <w:r w:rsidRPr="00C47F2F">
              <w:rPr>
                <w:noProof/>
                <w:sz w:val="20"/>
                <w:szCs w:val="20"/>
              </w:rPr>
              <w:t>1.39E+00</w:t>
            </w:r>
          </w:p>
        </w:tc>
        <w:tc>
          <w:tcPr>
            <w:tcW w:w="1001" w:type="dxa"/>
            <w:shd w:val="clear" w:color="auto" w:fill="auto"/>
            <w:noWrap/>
            <w:vAlign w:val="center"/>
            <w:hideMark/>
          </w:tcPr>
          <w:p w14:paraId="1ECF7F40" w14:textId="77777777" w:rsidR="000F3F85" w:rsidRPr="00C47F2F" w:rsidRDefault="000F3F85" w:rsidP="00CD4B01">
            <w:pPr>
              <w:pStyle w:val="Table"/>
              <w:rPr>
                <w:noProof/>
                <w:sz w:val="20"/>
                <w:szCs w:val="20"/>
              </w:rPr>
            </w:pPr>
            <w:r w:rsidRPr="00C47F2F">
              <w:rPr>
                <w:noProof/>
                <w:sz w:val="20"/>
                <w:szCs w:val="20"/>
              </w:rPr>
              <w:t>1.39E+00</w:t>
            </w:r>
          </w:p>
        </w:tc>
      </w:tr>
      <w:tr w:rsidR="000F3F85" w:rsidRPr="00972C81" w14:paraId="367910DB" w14:textId="77777777" w:rsidTr="00CD4B01">
        <w:trPr>
          <w:trHeight w:val="340"/>
        </w:trPr>
        <w:tc>
          <w:tcPr>
            <w:tcW w:w="3021" w:type="dxa"/>
            <w:shd w:val="clear" w:color="auto" w:fill="auto"/>
            <w:noWrap/>
            <w:vAlign w:val="center"/>
            <w:hideMark/>
          </w:tcPr>
          <w:p w14:paraId="64AEC172" w14:textId="5E49B9D0" w:rsidR="000F3F85" w:rsidRPr="000F3F85" w:rsidRDefault="000F3F85" w:rsidP="00CD4B01">
            <w:pPr>
              <w:pStyle w:val="Table"/>
              <w:rPr>
                <w:noProof/>
                <w:sz w:val="20"/>
                <w:szCs w:val="22"/>
              </w:rPr>
            </w:pPr>
            <w:r w:rsidRPr="000F3F85">
              <w:rPr>
                <w:noProof/>
                <w:sz w:val="20"/>
                <w:szCs w:val="22"/>
              </w:rPr>
              <w:t xml:space="preserve"> ST1 to Blood</w:t>
            </w:r>
          </w:p>
        </w:tc>
        <w:tc>
          <w:tcPr>
            <w:tcW w:w="1001" w:type="dxa"/>
            <w:shd w:val="clear" w:color="auto" w:fill="auto"/>
            <w:noWrap/>
            <w:vAlign w:val="center"/>
            <w:hideMark/>
          </w:tcPr>
          <w:p w14:paraId="1F40267B" w14:textId="77777777" w:rsidR="000F3F85" w:rsidRPr="00C47F2F" w:rsidRDefault="000F3F85" w:rsidP="00CD4B01">
            <w:pPr>
              <w:pStyle w:val="Table"/>
              <w:rPr>
                <w:noProof/>
                <w:sz w:val="20"/>
                <w:szCs w:val="20"/>
              </w:rPr>
            </w:pPr>
            <w:r w:rsidRPr="00C47F2F">
              <w:rPr>
                <w:noProof/>
                <w:sz w:val="20"/>
                <w:szCs w:val="20"/>
              </w:rPr>
              <w:t>6.93E-03</w:t>
            </w:r>
          </w:p>
        </w:tc>
        <w:tc>
          <w:tcPr>
            <w:tcW w:w="1001" w:type="dxa"/>
            <w:shd w:val="clear" w:color="auto" w:fill="auto"/>
            <w:noWrap/>
            <w:vAlign w:val="center"/>
            <w:hideMark/>
          </w:tcPr>
          <w:p w14:paraId="7B10FE05" w14:textId="77777777" w:rsidR="000F3F85" w:rsidRPr="00C47F2F" w:rsidRDefault="000F3F85" w:rsidP="00CD4B01">
            <w:pPr>
              <w:pStyle w:val="Table"/>
              <w:rPr>
                <w:noProof/>
                <w:sz w:val="20"/>
                <w:szCs w:val="20"/>
              </w:rPr>
            </w:pPr>
            <w:r w:rsidRPr="00C47F2F">
              <w:rPr>
                <w:noProof/>
                <w:sz w:val="20"/>
                <w:szCs w:val="20"/>
              </w:rPr>
              <w:t>6.93E-03</w:t>
            </w:r>
          </w:p>
        </w:tc>
        <w:tc>
          <w:tcPr>
            <w:tcW w:w="1001" w:type="dxa"/>
            <w:shd w:val="clear" w:color="auto" w:fill="auto"/>
            <w:noWrap/>
            <w:vAlign w:val="center"/>
            <w:hideMark/>
          </w:tcPr>
          <w:p w14:paraId="55EDEEA4" w14:textId="77777777" w:rsidR="000F3F85" w:rsidRPr="00C47F2F" w:rsidRDefault="000F3F85" w:rsidP="00CD4B01">
            <w:pPr>
              <w:pStyle w:val="Table"/>
              <w:rPr>
                <w:noProof/>
                <w:sz w:val="20"/>
                <w:szCs w:val="20"/>
              </w:rPr>
            </w:pPr>
            <w:r w:rsidRPr="00C47F2F">
              <w:rPr>
                <w:noProof/>
                <w:sz w:val="20"/>
                <w:szCs w:val="20"/>
              </w:rPr>
              <w:t>6.93E-03</w:t>
            </w:r>
          </w:p>
        </w:tc>
        <w:tc>
          <w:tcPr>
            <w:tcW w:w="1001" w:type="dxa"/>
            <w:shd w:val="clear" w:color="auto" w:fill="auto"/>
            <w:noWrap/>
            <w:vAlign w:val="center"/>
            <w:hideMark/>
          </w:tcPr>
          <w:p w14:paraId="23E8E7EA" w14:textId="77777777" w:rsidR="000F3F85" w:rsidRPr="00C47F2F" w:rsidRDefault="000F3F85" w:rsidP="00CD4B01">
            <w:pPr>
              <w:pStyle w:val="Table"/>
              <w:rPr>
                <w:noProof/>
                <w:sz w:val="20"/>
                <w:szCs w:val="20"/>
              </w:rPr>
            </w:pPr>
            <w:r w:rsidRPr="00C47F2F">
              <w:rPr>
                <w:noProof/>
                <w:sz w:val="20"/>
                <w:szCs w:val="20"/>
              </w:rPr>
              <w:t>6.93E-03</w:t>
            </w:r>
          </w:p>
        </w:tc>
        <w:tc>
          <w:tcPr>
            <w:tcW w:w="1001" w:type="dxa"/>
            <w:shd w:val="clear" w:color="auto" w:fill="auto"/>
            <w:noWrap/>
            <w:vAlign w:val="center"/>
            <w:hideMark/>
          </w:tcPr>
          <w:p w14:paraId="3915C9C9" w14:textId="77777777" w:rsidR="000F3F85" w:rsidRPr="00C47F2F" w:rsidRDefault="000F3F85" w:rsidP="00CD4B01">
            <w:pPr>
              <w:pStyle w:val="Table"/>
              <w:rPr>
                <w:noProof/>
                <w:sz w:val="20"/>
                <w:szCs w:val="20"/>
              </w:rPr>
            </w:pPr>
            <w:r w:rsidRPr="00C47F2F">
              <w:rPr>
                <w:noProof/>
                <w:sz w:val="20"/>
                <w:szCs w:val="20"/>
              </w:rPr>
              <w:t>6.93E-03</w:t>
            </w:r>
          </w:p>
        </w:tc>
        <w:tc>
          <w:tcPr>
            <w:tcW w:w="1001" w:type="dxa"/>
            <w:shd w:val="clear" w:color="auto" w:fill="auto"/>
            <w:noWrap/>
            <w:vAlign w:val="center"/>
            <w:hideMark/>
          </w:tcPr>
          <w:p w14:paraId="13EAEC54" w14:textId="77777777" w:rsidR="000F3F85" w:rsidRPr="00C47F2F" w:rsidRDefault="000F3F85" w:rsidP="00CD4B01">
            <w:pPr>
              <w:pStyle w:val="Table"/>
              <w:rPr>
                <w:noProof/>
                <w:sz w:val="20"/>
                <w:szCs w:val="20"/>
              </w:rPr>
            </w:pPr>
            <w:r w:rsidRPr="00C47F2F">
              <w:rPr>
                <w:noProof/>
                <w:sz w:val="20"/>
                <w:szCs w:val="20"/>
              </w:rPr>
              <w:t>6.93E-03</w:t>
            </w:r>
          </w:p>
        </w:tc>
      </w:tr>
      <w:tr w:rsidR="000F3F85" w:rsidRPr="00972C81" w14:paraId="712201D9" w14:textId="77777777" w:rsidTr="00CD4B01">
        <w:trPr>
          <w:trHeight w:val="340"/>
        </w:trPr>
        <w:tc>
          <w:tcPr>
            <w:tcW w:w="3021" w:type="dxa"/>
            <w:shd w:val="clear" w:color="auto" w:fill="auto"/>
            <w:noWrap/>
            <w:vAlign w:val="center"/>
            <w:hideMark/>
          </w:tcPr>
          <w:p w14:paraId="5D888031" w14:textId="0091449C" w:rsidR="000F3F85" w:rsidRPr="000F3F85" w:rsidRDefault="000F3F85" w:rsidP="00CD4B01">
            <w:pPr>
              <w:pStyle w:val="Table"/>
              <w:rPr>
                <w:noProof/>
                <w:sz w:val="20"/>
                <w:szCs w:val="22"/>
              </w:rPr>
            </w:pPr>
            <w:r w:rsidRPr="000F3F85">
              <w:rPr>
                <w:noProof/>
                <w:sz w:val="20"/>
                <w:szCs w:val="22"/>
              </w:rPr>
              <w:t xml:space="preserve"> ST2 to Blood</w:t>
            </w:r>
          </w:p>
        </w:tc>
        <w:tc>
          <w:tcPr>
            <w:tcW w:w="1001" w:type="dxa"/>
            <w:shd w:val="clear" w:color="auto" w:fill="auto"/>
            <w:noWrap/>
            <w:vAlign w:val="center"/>
            <w:hideMark/>
          </w:tcPr>
          <w:p w14:paraId="58AAC173" w14:textId="77777777" w:rsidR="000F3F85" w:rsidRPr="00C47F2F" w:rsidRDefault="000F3F85" w:rsidP="00CD4B01">
            <w:pPr>
              <w:pStyle w:val="Table"/>
              <w:rPr>
                <w:noProof/>
                <w:sz w:val="20"/>
                <w:szCs w:val="20"/>
              </w:rPr>
            </w:pPr>
            <w:r w:rsidRPr="00C47F2F">
              <w:rPr>
                <w:noProof/>
                <w:sz w:val="20"/>
                <w:szCs w:val="20"/>
              </w:rPr>
              <w:t>1.28E-04</w:t>
            </w:r>
          </w:p>
        </w:tc>
        <w:tc>
          <w:tcPr>
            <w:tcW w:w="1001" w:type="dxa"/>
            <w:shd w:val="clear" w:color="auto" w:fill="auto"/>
            <w:noWrap/>
            <w:vAlign w:val="center"/>
            <w:hideMark/>
          </w:tcPr>
          <w:p w14:paraId="29CC36F7" w14:textId="77777777" w:rsidR="000F3F85" w:rsidRPr="00C47F2F" w:rsidRDefault="000F3F85" w:rsidP="00CD4B01">
            <w:pPr>
              <w:pStyle w:val="Table"/>
              <w:rPr>
                <w:noProof/>
                <w:sz w:val="20"/>
                <w:szCs w:val="20"/>
              </w:rPr>
            </w:pPr>
            <w:r w:rsidRPr="00C47F2F">
              <w:rPr>
                <w:noProof/>
                <w:sz w:val="20"/>
                <w:szCs w:val="20"/>
              </w:rPr>
              <w:t>1.28E-04</w:t>
            </w:r>
          </w:p>
        </w:tc>
        <w:tc>
          <w:tcPr>
            <w:tcW w:w="1001" w:type="dxa"/>
            <w:shd w:val="clear" w:color="auto" w:fill="auto"/>
            <w:noWrap/>
            <w:vAlign w:val="center"/>
            <w:hideMark/>
          </w:tcPr>
          <w:p w14:paraId="1A656192" w14:textId="77777777" w:rsidR="000F3F85" w:rsidRPr="00C47F2F" w:rsidRDefault="000F3F85" w:rsidP="00CD4B01">
            <w:pPr>
              <w:pStyle w:val="Table"/>
              <w:rPr>
                <w:noProof/>
                <w:sz w:val="20"/>
                <w:szCs w:val="20"/>
              </w:rPr>
            </w:pPr>
            <w:r w:rsidRPr="00C47F2F">
              <w:rPr>
                <w:noProof/>
                <w:sz w:val="20"/>
                <w:szCs w:val="20"/>
              </w:rPr>
              <w:t>1.28E-04</w:t>
            </w:r>
          </w:p>
        </w:tc>
        <w:tc>
          <w:tcPr>
            <w:tcW w:w="1001" w:type="dxa"/>
            <w:shd w:val="clear" w:color="auto" w:fill="auto"/>
            <w:noWrap/>
            <w:vAlign w:val="center"/>
            <w:hideMark/>
          </w:tcPr>
          <w:p w14:paraId="3E5CEE96" w14:textId="77777777" w:rsidR="000F3F85" w:rsidRPr="00C47F2F" w:rsidRDefault="000F3F85" w:rsidP="00CD4B01">
            <w:pPr>
              <w:pStyle w:val="Table"/>
              <w:rPr>
                <w:noProof/>
                <w:sz w:val="20"/>
                <w:szCs w:val="20"/>
              </w:rPr>
            </w:pPr>
            <w:r w:rsidRPr="00C47F2F">
              <w:rPr>
                <w:noProof/>
                <w:sz w:val="20"/>
                <w:szCs w:val="20"/>
              </w:rPr>
              <w:t>1.28E-04</w:t>
            </w:r>
          </w:p>
        </w:tc>
        <w:tc>
          <w:tcPr>
            <w:tcW w:w="1001" w:type="dxa"/>
            <w:shd w:val="clear" w:color="auto" w:fill="auto"/>
            <w:noWrap/>
            <w:vAlign w:val="center"/>
            <w:hideMark/>
          </w:tcPr>
          <w:p w14:paraId="0E39D473" w14:textId="77777777" w:rsidR="000F3F85" w:rsidRPr="00C47F2F" w:rsidRDefault="000F3F85" w:rsidP="00CD4B01">
            <w:pPr>
              <w:pStyle w:val="Table"/>
              <w:rPr>
                <w:noProof/>
                <w:sz w:val="20"/>
                <w:szCs w:val="20"/>
              </w:rPr>
            </w:pPr>
            <w:r w:rsidRPr="00C47F2F">
              <w:rPr>
                <w:noProof/>
                <w:sz w:val="20"/>
                <w:szCs w:val="20"/>
              </w:rPr>
              <w:t>1.28E-04</w:t>
            </w:r>
          </w:p>
        </w:tc>
        <w:tc>
          <w:tcPr>
            <w:tcW w:w="1001" w:type="dxa"/>
            <w:shd w:val="clear" w:color="auto" w:fill="auto"/>
            <w:noWrap/>
            <w:vAlign w:val="center"/>
            <w:hideMark/>
          </w:tcPr>
          <w:p w14:paraId="5B97FF17" w14:textId="77777777" w:rsidR="000F3F85" w:rsidRPr="00C47F2F" w:rsidRDefault="000F3F85" w:rsidP="00CD4B01">
            <w:pPr>
              <w:pStyle w:val="Table"/>
              <w:rPr>
                <w:noProof/>
                <w:sz w:val="20"/>
                <w:szCs w:val="20"/>
              </w:rPr>
            </w:pPr>
            <w:r w:rsidRPr="00C47F2F">
              <w:rPr>
                <w:noProof/>
                <w:sz w:val="20"/>
                <w:szCs w:val="20"/>
              </w:rPr>
              <w:t>1.28E-04</w:t>
            </w:r>
          </w:p>
        </w:tc>
      </w:tr>
      <w:tr w:rsidR="000F3F85" w:rsidRPr="00972C81" w14:paraId="1A06A6B0" w14:textId="77777777" w:rsidTr="00CD4B01">
        <w:trPr>
          <w:trHeight w:val="340"/>
        </w:trPr>
        <w:tc>
          <w:tcPr>
            <w:tcW w:w="3021" w:type="dxa"/>
            <w:shd w:val="clear" w:color="auto" w:fill="auto"/>
            <w:noWrap/>
            <w:vAlign w:val="center"/>
            <w:hideMark/>
          </w:tcPr>
          <w:p w14:paraId="40ADE2A2" w14:textId="3F28EE53" w:rsidR="000F3F85" w:rsidRPr="000F3F85" w:rsidRDefault="000F3F85" w:rsidP="00CD4B01">
            <w:pPr>
              <w:pStyle w:val="Table"/>
              <w:rPr>
                <w:noProof/>
                <w:sz w:val="20"/>
                <w:szCs w:val="22"/>
              </w:rPr>
            </w:pPr>
            <w:r w:rsidRPr="000F3F85">
              <w:rPr>
                <w:noProof/>
                <w:sz w:val="20"/>
                <w:szCs w:val="22"/>
              </w:rPr>
              <w:t>Cort marrow to Blood</w:t>
            </w:r>
          </w:p>
        </w:tc>
        <w:tc>
          <w:tcPr>
            <w:tcW w:w="1001" w:type="dxa"/>
            <w:shd w:val="clear" w:color="auto" w:fill="auto"/>
            <w:noWrap/>
            <w:vAlign w:val="center"/>
            <w:hideMark/>
          </w:tcPr>
          <w:p w14:paraId="69DC43FB" w14:textId="77777777" w:rsidR="000F3F85" w:rsidRPr="00C47F2F" w:rsidRDefault="000F3F85" w:rsidP="00CD4B01">
            <w:pPr>
              <w:pStyle w:val="Table"/>
              <w:rPr>
                <w:noProof/>
                <w:sz w:val="20"/>
                <w:szCs w:val="20"/>
              </w:rPr>
            </w:pPr>
            <w:r w:rsidRPr="00C47F2F">
              <w:rPr>
                <w:noProof/>
                <w:sz w:val="20"/>
                <w:szCs w:val="20"/>
              </w:rPr>
              <w:t>7.60E-03</w:t>
            </w:r>
          </w:p>
        </w:tc>
        <w:tc>
          <w:tcPr>
            <w:tcW w:w="1001" w:type="dxa"/>
            <w:shd w:val="clear" w:color="auto" w:fill="auto"/>
            <w:noWrap/>
            <w:vAlign w:val="center"/>
            <w:hideMark/>
          </w:tcPr>
          <w:p w14:paraId="4228D9F0" w14:textId="77777777" w:rsidR="000F3F85" w:rsidRPr="00C47F2F" w:rsidRDefault="000F3F85" w:rsidP="00CD4B01">
            <w:pPr>
              <w:pStyle w:val="Table"/>
              <w:rPr>
                <w:noProof/>
                <w:sz w:val="20"/>
                <w:szCs w:val="20"/>
              </w:rPr>
            </w:pPr>
            <w:r w:rsidRPr="00C47F2F">
              <w:rPr>
                <w:noProof/>
                <w:sz w:val="20"/>
                <w:szCs w:val="20"/>
              </w:rPr>
              <w:t>7.60E-03</w:t>
            </w:r>
          </w:p>
        </w:tc>
        <w:tc>
          <w:tcPr>
            <w:tcW w:w="1001" w:type="dxa"/>
            <w:shd w:val="clear" w:color="auto" w:fill="auto"/>
            <w:noWrap/>
            <w:vAlign w:val="center"/>
            <w:hideMark/>
          </w:tcPr>
          <w:p w14:paraId="343D994A" w14:textId="77777777" w:rsidR="000F3F85" w:rsidRPr="00C47F2F" w:rsidRDefault="000F3F85" w:rsidP="00CD4B01">
            <w:pPr>
              <w:pStyle w:val="Table"/>
              <w:rPr>
                <w:noProof/>
                <w:sz w:val="20"/>
                <w:szCs w:val="20"/>
              </w:rPr>
            </w:pPr>
            <w:r w:rsidRPr="00C47F2F">
              <w:rPr>
                <w:noProof/>
                <w:sz w:val="20"/>
                <w:szCs w:val="20"/>
              </w:rPr>
              <w:t>7.60E-03</w:t>
            </w:r>
          </w:p>
        </w:tc>
        <w:tc>
          <w:tcPr>
            <w:tcW w:w="1001" w:type="dxa"/>
            <w:shd w:val="clear" w:color="auto" w:fill="auto"/>
            <w:noWrap/>
            <w:vAlign w:val="center"/>
            <w:hideMark/>
          </w:tcPr>
          <w:p w14:paraId="3A2E8233" w14:textId="77777777" w:rsidR="000F3F85" w:rsidRPr="00C47F2F" w:rsidRDefault="000F3F85" w:rsidP="00CD4B01">
            <w:pPr>
              <w:pStyle w:val="Table"/>
              <w:rPr>
                <w:noProof/>
                <w:sz w:val="20"/>
                <w:szCs w:val="20"/>
              </w:rPr>
            </w:pPr>
            <w:r w:rsidRPr="00C47F2F">
              <w:rPr>
                <w:noProof/>
                <w:sz w:val="20"/>
                <w:szCs w:val="20"/>
              </w:rPr>
              <w:t>7.60E-03</w:t>
            </w:r>
          </w:p>
        </w:tc>
        <w:tc>
          <w:tcPr>
            <w:tcW w:w="1001" w:type="dxa"/>
            <w:shd w:val="clear" w:color="auto" w:fill="auto"/>
            <w:noWrap/>
            <w:vAlign w:val="center"/>
            <w:hideMark/>
          </w:tcPr>
          <w:p w14:paraId="2545C1F6" w14:textId="77777777" w:rsidR="000F3F85" w:rsidRPr="00C47F2F" w:rsidRDefault="000F3F85" w:rsidP="00CD4B01">
            <w:pPr>
              <w:pStyle w:val="Table"/>
              <w:rPr>
                <w:noProof/>
                <w:sz w:val="20"/>
                <w:szCs w:val="20"/>
              </w:rPr>
            </w:pPr>
            <w:r w:rsidRPr="00C47F2F">
              <w:rPr>
                <w:noProof/>
                <w:sz w:val="20"/>
                <w:szCs w:val="20"/>
              </w:rPr>
              <w:t>7.60E-03</w:t>
            </w:r>
          </w:p>
        </w:tc>
        <w:tc>
          <w:tcPr>
            <w:tcW w:w="1001" w:type="dxa"/>
            <w:shd w:val="clear" w:color="auto" w:fill="auto"/>
            <w:noWrap/>
            <w:vAlign w:val="center"/>
            <w:hideMark/>
          </w:tcPr>
          <w:p w14:paraId="002EAF45" w14:textId="77777777" w:rsidR="000F3F85" w:rsidRPr="00C47F2F" w:rsidRDefault="000F3F85" w:rsidP="00CD4B01">
            <w:pPr>
              <w:pStyle w:val="Table"/>
              <w:rPr>
                <w:noProof/>
                <w:sz w:val="20"/>
                <w:szCs w:val="20"/>
              </w:rPr>
            </w:pPr>
            <w:r w:rsidRPr="00C47F2F">
              <w:rPr>
                <w:noProof/>
                <w:sz w:val="20"/>
                <w:szCs w:val="20"/>
              </w:rPr>
              <w:t>7.60E-03</w:t>
            </w:r>
          </w:p>
        </w:tc>
      </w:tr>
      <w:tr w:rsidR="000F3F85" w:rsidRPr="00972C81" w14:paraId="0D7917D8" w14:textId="77777777" w:rsidTr="00CD4B01">
        <w:trPr>
          <w:trHeight w:val="340"/>
        </w:trPr>
        <w:tc>
          <w:tcPr>
            <w:tcW w:w="3021" w:type="dxa"/>
            <w:shd w:val="clear" w:color="auto" w:fill="auto"/>
            <w:noWrap/>
            <w:vAlign w:val="center"/>
            <w:hideMark/>
          </w:tcPr>
          <w:p w14:paraId="0C355F65" w14:textId="130EBC19" w:rsidR="000F3F85" w:rsidRPr="000F3F85" w:rsidRDefault="000F3F85" w:rsidP="00CD4B01">
            <w:pPr>
              <w:pStyle w:val="Table"/>
              <w:rPr>
                <w:noProof/>
                <w:sz w:val="20"/>
                <w:szCs w:val="22"/>
              </w:rPr>
            </w:pPr>
            <w:r w:rsidRPr="000F3F85">
              <w:rPr>
                <w:noProof/>
                <w:sz w:val="20"/>
                <w:szCs w:val="22"/>
              </w:rPr>
              <w:t xml:space="preserve">Cort bone surf to Cort marrow </w:t>
            </w:r>
          </w:p>
        </w:tc>
        <w:tc>
          <w:tcPr>
            <w:tcW w:w="1001" w:type="dxa"/>
            <w:shd w:val="clear" w:color="auto" w:fill="auto"/>
            <w:noWrap/>
            <w:vAlign w:val="center"/>
            <w:hideMark/>
          </w:tcPr>
          <w:p w14:paraId="76996309" w14:textId="77777777" w:rsidR="000F3F85" w:rsidRPr="00C47F2F" w:rsidRDefault="000F3F85" w:rsidP="00CD4B01">
            <w:pPr>
              <w:pStyle w:val="Table"/>
              <w:rPr>
                <w:noProof/>
                <w:sz w:val="20"/>
                <w:szCs w:val="20"/>
              </w:rPr>
            </w:pPr>
            <w:r w:rsidRPr="00C47F2F">
              <w:rPr>
                <w:noProof/>
                <w:sz w:val="20"/>
                <w:szCs w:val="20"/>
              </w:rPr>
              <w:t>8.22E-03</w:t>
            </w:r>
          </w:p>
        </w:tc>
        <w:tc>
          <w:tcPr>
            <w:tcW w:w="1001" w:type="dxa"/>
            <w:shd w:val="clear" w:color="auto" w:fill="auto"/>
            <w:noWrap/>
            <w:vAlign w:val="center"/>
            <w:hideMark/>
          </w:tcPr>
          <w:p w14:paraId="75794F40" w14:textId="77777777" w:rsidR="000F3F85" w:rsidRPr="00C47F2F" w:rsidRDefault="000F3F85" w:rsidP="00CD4B01">
            <w:pPr>
              <w:pStyle w:val="Table"/>
              <w:rPr>
                <w:noProof/>
                <w:sz w:val="20"/>
                <w:szCs w:val="20"/>
              </w:rPr>
            </w:pPr>
            <w:r w:rsidRPr="00C47F2F">
              <w:rPr>
                <w:noProof/>
                <w:sz w:val="20"/>
                <w:szCs w:val="20"/>
              </w:rPr>
              <w:t>2.88E-03</w:t>
            </w:r>
          </w:p>
        </w:tc>
        <w:tc>
          <w:tcPr>
            <w:tcW w:w="1001" w:type="dxa"/>
            <w:shd w:val="clear" w:color="auto" w:fill="auto"/>
            <w:noWrap/>
            <w:vAlign w:val="center"/>
            <w:hideMark/>
          </w:tcPr>
          <w:p w14:paraId="49E24DC0" w14:textId="77777777" w:rsidR="000F3F85" w:rsidRPr="00C47F2F" w:rsidRDefault="000F3F85" w:rsidP="00CD4B01">
            <w:pPr>
              <w:pStyle w:val="Table"/>
              <w:rPr>
                <w:noProof/>
                <w:sz w:val="20"/>
                <w:szCs w:val="20"/>
              </w:rPr>
            </w:pPr>
            <w:r w:rsidRPr="00C47F2F">
              <w:rPr>
                <w:noProof/>
                <w:sz w:val="20"/>
                <w:szCs w:val="20"/>
              </w:rPr>
              <w:t>1.53E-03</w:t>
            </w:r>
          </w:p>
        </w:tc>
        <w:tc>
          <w:tcPr>
            <w:tcW w:w="1001" w:type="dxa"/>
            <w:shd w:val="clear" w:color="auto" w:fill="auto"/>
            <w:noWrap/>
            <w:vAlign w:val="center"/>
            <w:hideMark/>
          </w:tcPr>
          <w:p w14:paraId="09CD9033" w14:textId="77777777" w:rsidR="000F3F85" w:rsidRPr="00C47F2F" w:rsidRDefault="000F3F85" w:rsidP="00CD4B01">
            <w:pPr>
              <w:pStyle w:val="Table"/>
              <w:rPr>
                <w:noProof/>
                <w:sz w:val="20"/>
                <w:szCs w:val="20"/>
              </w:rPr>
            </w:pPr>
            <w:r w:rsidRPr="00C47F2F">
              <w:rPr>
                <w:noProof/>
                <w:sz w:val="20"/>
                <w:szCs w:val="20"/>
              </w:rPr>
              <w:t>9.04E-04</w:t>
            </w:r>
          </w:p>
        </w:tc>
        <w:tc>
          <w:tcPr>
            <w:tcW w:w="1001" w:type="dxa"/>
            <w:shd w:val="clear" w:color="auto" w:fill="auto"/>
            <w:noWrap/>
            <w:vAlign w:val="center"/>
            <w:hideMark/>
          </w:tcPr>
          <w:p w14:paraId="2E21B903" w14:textId="77777777" w:rsidR="000F3F85" w:rsidRPr="00C47F2F" w:rsidRDefault="000F3F85" w:rsidP="00CD4B01">
            <w:pPr>
              <w:pStyle w:val="Table"/>
              <w:rPr>
                <w:noProof/>
                <w:sz w:val="20"/>
                <w:szCs w:val="20"/>
              </w:rPr>
            </w:pPr>
            <w:r w:rsidRPr="00C47F2F">
              <w:rPr>
                <w:noProof/>
                <w:sz w:val="20"/>
                <w:szCs w:val="20"/>
              </w:rPr>
              <w:t>5.21E-04</w:t>
            </w:r>
          </w:p>
        </w:tc>
        <w:tc>
          <w:tcPr>
            <w:tcW w:w="1001" w:type="dxa"/>
            <w:shd w:val="clear" w:color="auto" w:fill="auto"/>
            <w:noWrap/>
            <w:vAlign w:val="center"/>
            <w:hideMark/>
          </w:tcPr>
          <w:p w14:paraId="5EC382AD" w14:textId="77777777" w:rsidR="000F3F85" w:rsidRPr="00C47F2F" w:rsidRDefault="000F3F85" w:rsidP="00CD4B01">
            <w:pPr>
              <w:pStyle w:val="Table"/>
              <w:rPr>
                <w:noProof/>
                <w:sz w:val="20"/>
                <w:szCs w:val="20"/>
              </w:rPr>
            </w:pPr>
            <w:r w:rsidRPr="00C47F2F">
              <w:rPr>
                <w:noProof/>
                <w:sz w:val="20"/>
                <w:szCs w:val="20"/>
              </w:rPr>
              <w:t>8.21E-05</w:t>
            </w:r>
          </w:p>
        </w:tc>
      </w:tr>
      <w:tr w:rsidR="000F3F85" w:rsidRPr="00972C81" w14:paraId="750A12B6" w14:textId="77777777" w:rsidTr="00CD4B01">
        <w:trPr>
          <w:trHeight w:val="340"/>
        </w:trPr>
        <w:tc>
          <w:tcPr>
            <w:tcW w:w="3021" w:type="dxa"/>
            <w:shd w:val="clear" w:color="auto" w:fill="auto"/>
            <w:noWrap/>
            <w:vAlign w:val="center"/>
            <w:hideMark/>
          </w:tcPr>
          <w:p w14:paraId="799469A5" w14:textId="7DA45743" w:rsidR="000F3F85" w:rsidRPr="000F3F85" w:rsidRDefault="000F3F85" w:rsidP="00CD4B01">
            <w:pPr>
              <w:pStyle w:val="Table"/>
              <w:rPr>
                <w:noProof/>
                <w:sz w:val="20"/>
                <w:szCs w:val="22"/>
              </w:rPr>
            </w:pPr>
            <w:r w:rsidRPr="000F3F85">
              <w:rPr>
                <w:noProof/>
                <w:sz w:val="20"/>
                <w:szCs w:val="22"/>
              </w:rPr>
              <w:t>Cort bone surf to Cort bone vol</w:t>
            </w:r>
          </w:p>
        </w:tc>
        <w:tc>
          <w:tcPr>
            <w:tcW w:w="1001" w:type="dxa"/>
            <w:shd w:val="clear" w:color="auto" w:fill="auto"/>
            <w:noWrap/>
            <w:vAlign w:val="center"/>
            <w:hideMark/>
          </w:tcPr>
          <w:p w14:paraId="4DA5D747" w14:textId="77777777" w:rsidR="000F3F85" w:rsidRPr="00C47F2F" w:rsidRDefault="000F3F85" w:rsidP="00CD4B01">
            <w:pPr>
              <w:pStyle w:val="Table"/>
              <w:rPr>
                <w:noProof/>
                <w:sz w:val="20"/>
                <w:szCs w:val="20"/>
              </w:rPr>
            </w:pPr>
            <w:r w:rsidRPr="00C47F2F">
              <w:rPr>
                <w:noProof/>
                <w:sz w:val="20"/>
                <w:szCs w:val="20"/>
              </w:rPr>
              <w:t>8.22E-03</w:t>
            </w:r>
          </w:p>
        </w:tc>
        <w:tc>
          <w:tcPr>
            <w:tcW w:w="1001" w:type="dxa"/>
            <w:shd w:val="clear" w:color="auto" w:fill="auto"/>
            <w:noWrap/>
            <w:vAlign w:val="center"/>
            <w:hideMark/>
          </w:tcPr>
          <w:p w14:paraId="6E408DB1" w14:textId="77777777" w:rsidR="000F3F85" w:rsidRPr="00C47F2F" w:rsidRDefault="000F3F85" w:rsidP="00CD4B01">
            <w:pPr>
              <w:pStyle w:val="Table"/>
              <w:rPr>
                <w:noProof/>
                <w:sz w:val="20"/>
                <w:szCs w:val="20"/>
              </w:rPr>
            </w:pPr>
            <w:r w:rsidRPr="00C47F2F">
              <w:rPr>
                <w:noProof/>
                <w:sz w:val="20"/>
                <w:szCs w:val="20"/>
              </w:rPr>
              <w:t>2.88E-03</w:t>
            </w:r>
          </w:p>
        </w:tc>
        <w:tc>
          <w:tcPr>
            <w:tcW w:w="1001" w:type="dxa"/>
            <w:shd w:val="clear" w:color="auto" w:fill="auto"/>
            <w:noWrap/>
            <w:vAlign w:val="center"/>
            <w:hideMark/>
          </w:tcPr>
          <w:p w14:paraId="3D88A368" w14:textId="77777777" w:rsidR="000F3F85" w:rsidRPr="00C47F2F" w:rsidRDefault="000F3F85" w:rsidP="00CD4B01">
            <w:pPr>
              <w:pStyle w:val="Table"/>
              <w:rPr>
                <w:noProof/>
                <w:sz w:val="20"/>
                <w:szCs w:val="20"/>
              </w:rPr>
            </w:pPr>
            <w:r w:rsidRPr="00C47F2F">
              <w:rPr>
                <w:noProof/>
                <w:sz w:val="20"/>
                <w:szCs w:val="20"/>
              </w:rPr>
              <w:t>1.53E-03</w:t>
            </w:r>
          </w:p>
        </w:tc>
        <w:tc>
          <w:tcPr>
            <w:tcW w:w="1001" w:type="dxa"/>
            <w:shd w:val="clear" w:color="auto" w:fill="auto"/>
            <w:noWrap/>
            <w:vAlign w:val="center"/>
            <w:hideMark/>
          </w:tcPr>
          <w:p w14:paraId="3DF19A08" w14:textId="77777777" w:rsidR="000F3F85" w:rsidRPr="00C47F2F" w:rsidRDefault="000F3F85" w:rsidP="00CD4B01">
            <w:pPr>
              <w:pStyle w:val="Table"/>
              <w:rPr>
                <w:noProof/>
                <w:sz w:val="20"/>
                <w:szCs w:val="20"/>
              </w:rPr>
            </w:pPr>
            <w:r w:rsidRPr="00C47F2F">
              <w:rPr>
                <w:noProof/>
                <w:sz w:val="20"/>
                <w:szCs w:val="20"/>
              </w:rPr>
              <w:t>9.04E-04</w:t>
            </w:r>
          </w:p>
        </w:tc>
        <w:tc>
          <w:tcPr>
            <w:tcW w:w="1001" w:type="dxa"/>
            <w:shd w:val="clear" w:color="auto" w:fill="auto"/>
            <w:noWrap/>
            <w:vAlign w:val="center"/>
            <w:hideMark/>
          </w:tcPr>
          <w:p w14:paraId="78AF0928" w14:textId="77777777" w:rsidR="000F3F85" w:rsidRPr="00C47F2F" w:rsidRDefault="000F3F85" w:rsidP="00CD4B01">
            <w:pPr>
              <w:pStyle w:val="Table"/>
              <w:rPr>
                <w:noProof/>
                <w:sz w:val="20"/>
                <w:szCs w:val="20"/>
              </w:rPr>
            </w:pPr>
            <w:r w:rsidRPr="00C47F2F">
              <w:rPr>
                <w:noProof/>
                <w:sz w:val="20"/>
                <w:szCs w:val="20"/>
              </w:rPr>
              <w:t>5.21E-04</w:t>
            </w:r>
          </w:p>
        </w:tc>
        <w:tc>
          <w:tcPr>
            <w:tcW w:w="1001" w:type="dxa"/>
            <w:shd w:val="clear" w:color="auto" w:fill="auto"/>
            <w:noWrap/>
            <w:vAlign w:val="center"/>
            <w:hideMark/>
          </w:tcPr>
          <w:p w14:paraId="6DFF4514" w14:textId="77777777" w:rsidR="000F3F85" w:rsidRPr="00C47F2F" w:rsidRDefault="000F3F85" w:rsidP="00CD4B01">
            <w:pPr>
              <w:pStyle w:val="Table"/>
              <w:rPr>
                <w:noProof/>
                <w:sz w:val="20"/>
                <w:szCs w:val="20"/>
              </w:rPr>
            </w:pPr>
            <w:r w:rsidRPr="00C47F2F">
              <w:rPr>
                <w:noProof/>
                <w:sz w:val="20"/>
                <w:szCs w:val="20"/>
              </w:rPr>
              <w:t>4.11E-05</w:t>
            </w:r>
          </w:p>
        </w:tc>
      </w:tr>
      <w:tr w:rsidR="000F3F85" w:rsidRPr="00972C81" w14:paraId="1ED325EA" w14:textId="77777777" w:rsidTr="00CD4B01">
        <w:trPr>
          <w:trHeight w:val="340"/>
        </w:trPr>
        <w:tc>
          <w:tcPr>
            <w:tcW w:w="3021" w:type="dxa"/>
            <w:shd w:val="clear" w:color="auto" w:fill="auto"/>
            <w:noWrap/>
            <w:vAlign w:val="center"/>
            <w:hideMark/>
          </w:tcPr>
          <w:p w14:paraId="1E7CD977" w14:textId="419E72E7" w:rsidR="000F3F85" w:rsidRPr="000F3F85" w:rsidRDefault="000F3F85" w:rsidP="00CD4B01">
            <w:pPr>
              <w:pStyle w:val="Table"/>
              <w:rPr>
                <w:noProof/>
                <w:sz w:val="20"/>
                <w:szCs w:val="22"/>
              </w:rPr>
            </w:pPr>
            <w:r w:rsidRPr="000F3F85">
              <w:rPr>
                <w:noProof/>
                <w:sz w:val="20"/>
                <w:szCs w:val="22"/>
              </w:rPr>
              <w:t>Cort bone vol to Cort marrow</w:t>
            </w:r>
          </w:p>
        </w:tc>
        <w:tc>
          <w:tcPr>
            <w:tcW w:w="1001" w:type="dxa"/>
            <w:shd w:val="clear" w:color="auto" w:fill="auto"/>
            <w:noWrap/>
            <w:vAlign w:val="center"/>
            <w:hideMark/>
          </w:tcPr>
          <w:p w14:paraId="36AF5BC2" w14:textId="77777777" w:rsidR="000F3F85" w:rsidRPr="00C47F2F" w:rsidRDefault="000F3F85" w:rsidP="00CD4B01">
            <w:pPr>
              <w:pStyle w:val="Table"/>
              <w:rPr>
                <w:noProof/>
                <w:sz w:val="20"/>
                <w:szCs w:val="20"/>
              </w:rPr>
            </w:pPr>
            <w:r w:rsidRPr="00C47F2F">
              <w:rPr>
                <w:noProof/>
                <w:sz w:val="20"/>
                <w:szCs w:val="20"/>
              </w:rPr>
              <w:t>8.22E-03</w:t>
            </w:r>
          </w:p>
        </w:tc>
        <w:tc>
          <w:tcPr>
            <w:tcW w:w="1001" w:type="dxa"/>
            <w:shd w:val="clear" w:color="auto" w:fill="auto"/>
            <w:noWrap/>
            <w:vAlign w:val="center"/>
            <w:hideMark/>
          </w:tcPr>
          <w:p w14:paraId="005FFDCB" w14:textId="77777777" w:rsidR="000F3F85" w:rsidRPr="00C47F2F" w:rsidRDefault="000F3F85" w:rsidP="00CD4B01">
            <w:pPr>
              <w:pStyle w:val="Table"/>
              <w:rPr>
                <w:noProof/>
                <w:sz w:val="20"/>
                <w:szCs w:val="20"/>
              </w:rPr>
            </w:pPr>
            <w:r w:rsidRPr="00C47F2F">
              <w:rPr>
                <w:noProof/>
                <w:sz w:val="20"/>
                <w:szCs w:val="20"/>
              </w:rPr>
              <w:t>2.88E-03</w:t>
            </w:r>
          </w:p>
        </w:tc>
        <w:tc>
          <w:tcPr>
            <w:tcW w:w="1001" w:type="dxa"/>
            <w:shd w:val="clear" w:color="auto" w:fill="auto"/>
            <w:noWrap/>
            <w:vAlign w:val="center"/>
            <w:hideMark/>
          </w:tcPr>
          <w:p w14:paraId="7D97FFD4" w14:textId="77777777" w:rsidR="000F3F85" w:rsidRPr="00C47F2F" w:rsidRDefault="000F3F85" w:rsidP="00CD4B01">
            <w:pPr>
              <w:pStyle w:val="Table"/>
              <w:rPr>
                <w:noProof/>
                <w:sz w:val="20"/>
                <w:szCs w:val="20"/>
              </w:rPr>
            </w:pPr>
            <w:r w:rsidRPr="00C47F2F">
              <w:rPr>
                <w:noProof/>
                <w:sz w:val="20"/>
                <w:szCs w:val="20"/>
              </w:rPr>
              <w:t>1.53E-03</w:t>
            </w:r>
          </w:p>
        </w:tc>
        <w:tc>
          <w:tcPr>
            <w:tcW w:w="1001" w:type="dxa"/>
            <w:shd w:val="clear" w:color="auto" w:fill="auto"/>
            <w:noWrap/>
            <w:vAlign w:val="center"/>
            <w:hideMark/>
          </w:tcPr>
          <w:p w14:paraId="4B3E52DD" w14:textId="77777777" w:rsidR="000F3F85" w:rsidRPr="00C47F2F" w:rsidRDefault="000F3F85" w:rsidP="00CD4B01">
            <w:pPr>
              <w:pStyle w:val="Table"/>
              <w:rPr>
                <w:noProof/>
                <w:sz w:val="20"/>
                <w:szCs w:val="20"/>
              </w:rPr>
            </w:pPr>
            <w:r w:rsidRPr="00C47F2F">
              <w:rPr>
                <w:noProof/>
                <w:sz w:val="20"/>
                <w:szCs w:val="20"/>
              </w:rPr>
              <w:t>9.04E-04</w:t>
            </w:r>
          </w:p>
        </w:tc>
        <w:tc>
          <w:tcPr>
            <w:tcW w:w="1001" w:type="dxa"/>
            <w:shd w:val="clear" w:color="auto" w:fill="auto"/>
            <w:noWrap/>
            <w:vAlign w:val="center"/>
            <w:hideMark/>
          </w:tcPr>
          <w:p w14:paraId="30FDD143" w14:textId="77777777" w:rsidR="000F3F85" w:rsidRPr="00C47F2F" w:rsidRDefault="000F3F85" w:rsidP="00CD4B01">
            <w:pPr>
              <w:pStyle w:val="Table"/>
              <w:rPr>
                <w:noProof/>
                <w:sz w:val="20"/>
                <w:szCs w:val="20"/>
              </w:rPr>
            </w:pPr>
            <w:r w:rsidRPr="00C47F2F">
              <w:rPr>
                <w:noProof/>
                <w:sz w:val="20"/>
                <w:szCs w:val="20"/>
              </w:rPr>
              <w:t>5.21E-04</w:t>
            </w:r>
          </w:p>
        </w:tc>
        <w:tc>
          <w:tcPr>
            <w:tcW w:w="1001" w:type="dxa"/>
            <w:shd w:val="clear" w:color="auto" w:fill="auto"/>
            <w:noWrap/>
            <w:vAlign w:val="center"/>
            <w:hideMark/>
          </w:tcPr>
          <w:p w14:paraId="1451BD2D" w14:textId="77777777" w:rsidR="000F3F85" w:rsidRPr="00C47F2F" w:rsidRDefault="000F3F85" w:rsidP="00CD4B01">
            <w:pPr>
              <w:pStyle w:val="Table"/>
              <w:rPr>
                <w:noProof/>
                <w:sz w:val="20"/>
                <w:szCs w:val="20"/>
              </w:rPr>
            </w:pPr>
            <w:r w:rsidRPr="00C47F2F">
              <w:rPr>
                <w:noProof/>
                <w:sz w:val="20"/>
                <w:szCs w:val="20"/>
              </w:rPr>
              <w:t>8.21E-05</w:t>
            </w:r>
          </w:p>
        </w:tc>
      </w:tr>
      <w:tr w:rsidR="000F3F85" w:rsidRPr="00972C81" w14:paraId="65808533" w14:textId="77777777" w:rsidTr="00CD4B01">
        <w:trPr>
          <w:trHeight w:val="340"/>
        </w:trPr>
        <w:tc>
          <w:tcPr>
            <w:tcW w:w="3021" w:type="dxa"/>
            <w:shd w:val="clear" w:color="auto" w:fill="auto"/>
            <w:noWrap/>
            <w:vAlign w:val="center"/>
            <w:hideMark/>
          </w:tcPr>
          <w:p w14:paraId="25624F30" w14:textId="11706602" w:rsidR="000F3F85" w:rsidRPr="000F3F85" w:rsidRDefault="000F3F85" w:rsidP="00CD4B01">
            <w:pPr>
              <w:pStyle w:val="Table"/>
              <w:rPr>
                <w:noProof/>
                <w:sz w:val="20"/>
                <w:szCs w:val="22"/>
              </w:rPr>
            </w:pPr>
            <w:r w:rsidRPr="000F3F85">
              <w:rPr>
                <w:noProof/>
                <w:sz w:val="20"/>
                <w:szCs w:val="22"/>
              </w:rPr>
              <w:t>Trab marrow to Blood</w:t>
            </w:r>
          </w:p>
        </w:tc>
        <w:tc>
          <w:tcPr>
            <w:tcW w:w="1001" w:type="dxa"/>
            <w:shd w:val="clear" w:color="auto" w:fill="auto"/>
            <w:noWrap/>
            <w:vAlign w:val="center"/>
            <w:hideMark/>
          </w:tcPr>
          <w:p w14:paraId="47849B5C" w14:textId="77777777" w:rsidR="000F3F85" w:rsidRPr="00C47F2F" w:rsidRDefault="000F3F85" w:rsidP="00CD4B01">
            <w:pPr>
              <w:pStyle w:val="Table"/>
              <w:rPr>
                <w:noProof/>
                <w:sz w:val="20"/>
                <w:szCs w:val="20"/>
              </w:rPr>
            </w:pPr>
            <w:r w:rsidRPr="00C47F2F">
              <w:rPr>
                <w:noProof/>
                <w:sz w:val="20"/>
                <w:szCs w:val="20"/>
              </w:rPr>
              <w:t>7.60E-03</w:t>
            </w:r>
          </w:p>
        </w:tc>
        <w:tc>
          <w:tcPr>
            <w:tcW w:w="1001" w:type="dxa"/>
            <w:shd w:val="clear" w:color="auto" w:fill="auto"/>
            <w:noWrap/>
            <w:vAlign w:val="center"/>
            <w:hideMark/>
          </w:tcPr>
          <w:p w14:paraId="4548F7BB" w14:textId="77777777" w:rsidR="000F3F85" w:rsidRPr="00C47F2F" w:rsidRDefault="000F3F85" w:rsidP="00CD4B01">
            <w:pPr>
              <w:pStyle w:val="Table"/>
              <w:rPr>
                <w:noProof/>
                <w:sz w:val="20"/>
                <w:szCs w:val="20"/>
              </w:rPr>
            </w:pPr>
            <w:r w:rsidRPr="00C47F2F">
              <w:rPr>
                <w:noProof/>
                <w:sz w:val="20"/>
                <w:szCs w:val="20"/>
              </w:rPr>
              <w:t>7.60E-03</w:t>
            </w:r>
          </w:p>
        </w:tc>
        <w:tc>
          <w:tcPr>
            <w:tcW w:w="1001" w:type="dxa"/>
            <w:shd w:val="clear" w:color="auto" w:fill="auto"/>
            <w:noWrap/>
            <w:vAlign w:val="center"/>
            <w:hideMark/>
          </w:tcPr>
          <w:p w14:paraId="1B549C93" w14:textId="77777777" w:rsidR="000F3F85" w:rsidRPr="00C47F2F" w:rsidRDefault="000F3F85" w:rsidP="00CD4B01">
            <w:pPr>
              <w:pStyle w:val="Table"/>
              <w:rPr>
                <w:noProof/>
                <w:sz w:val="20"/>
                <w:szCs w:val="20"/>
              </w:rPr>
            </w:pPr>
            <w:r w:rsidRPr="00C47F2F">
              <w:rPr>
                <w:noProof/>
                <w:sz w:val="20"/>
                <w:szCs w:val="20"/>
              </w:rPr>
              <w:t>7.60E-03</w:t>
            </w:r>
          </w:p>
        </w:tc>
        <w:tc>
          <w:tcPr>
            <w:tcW w:w="1001" w:type="dxa"/>
            <w:shd w:val="clear" w:color="auto" w:fill="auto"/>
            <w:noWrap/>
            <w:vAlign w:val="center"/>
            <w:hideMark/>
          </w:tcPr>
          <w:p w14:paraId="18076C80" w14:textId="77777777" w:rsidR="000F3F85" w:rsidRPr="00C47F2F" w:rsidRDefault="000F3F85" w:rsidP="00CD4B01">
            <w:pPr>
              <w:pStyle w:val="Table"/>
              <w:rPr>
                <w:noProof/>
                <w:sz w:val="20"/>
                <w:szCs w:val="20"/>
              </w:rPr>
            </w:pPr>
            <w:r w:rsidRPr="00C47F2F">
              <w:rPr>
                <w:noProof/>
                <w:sz w:val="20"/>
                <w:szCs w:val="20"/>
              </w:rPr>
              <w:t>7.60E-03</w:t>
            </w:r>
          </w:p>
        </w:tc>
        <w:tc>
          <w:tcPr>
            <w:tcW w:w="1001" w:type="dxa"/>
            <w:shd w:val="clear" w:color="auto" w:fill="auto"/>
            <w:noWrap/>
            <w:vAlign w:val="center"/>
            <w:hideMark/>
          </w:tcPr>
          <w:p w14:paraId="6FDA2DB5" w14:textId="77777777" w:rsidR="000F3F85" w:rsidRPr="00C47F2F" w:rsidRDefault="000F3F85" w:rsidP="00CD4B01">
            <w:pPr>
              <w:pStyle w:val="Table"/>
              <w:rPr>
                <w:noProof/>
                <w:sz w:val="20"/>
                <w:szCs w:val="20"/>
              </w:rPr>
            </w:pPr>
            <w:r w:rsidRPr="00C47F2F">
              <w:rPr>
                <w:noProof/>
                <w:sz w:val="20"/>
                <w:szCs w:val="20"/>
              </w:rPr>
              <w:t>7.60E-03</w:t>
            </w:r>
          </w:p>
        </w:tc>
        <w:tc>
          <w:tcPr>
            <w:tcW w:w="1001" w:type="dxa"/>
            <w:shd w:val="clear" w:color="auto" w:fill="auto"/>
            <w:noWrap/>
            <w:vAlign w:val="center"/>
            <w:hideMark/>
          </w:tcPr>
          <w:p w14:paraId="20187656" w14:textId="77777777" w:rsidR="000F3F85" w:rsidRPr="00C47F2F" w:rsidRDefault="000F3F85" w:rsidP="00CD4B01">
            <w:pPr>
              <w:pStyle w:val="Table"/>
              <w:rPr>
                <w:noProof/>
                <w:sz w:val="20"/>
                <w:szCs w:val="20"/>
              </w:rPr>
            </w:pPr>
            <w:r w:rsidRPr="00C47F2F">
              <w:rPr>
                <w:noProof/>
                <w:sz w:val="20"/>
                <w:szCs w:val="20"/>
              </w:rPr>
              <w:t>7.60E-03</w:t>
            </w:r>
          </w:p>
        </w:tc>
      </w:tr>
      <w:tr w:rsidR="000F3F85" w:rsidRPr="00972C81" w14:paraId="721FC79C" w14:textId="77777777" w:rsidTr="00CD4B01">
        <w:trPr>
          <w:trHeight w:val="340"/>
        </w:trPr>
        <w:tc>
          <w:tcPr>
            <w:tcW w:w="3021" w:type="dxa"/>
            <w:shd w:val="clear" w:color="auto" w:fill="auto"/>
            <w:noWrap/>
            <w:vAlign w:val="center"/>
            <w:hideMark/>
          </w:tcPr>
          <w:p w14:paraId="0E82EC11" w14:textId="26D6CA79" w:rsidR="000F3F85" w:rsidRPr="000F3F85" w:rsidRDefault="000F3F85" w:rsidP="00CD4B01">
            <w:pPr>
              <w:pStyle w:val="Table"/>
              <w:rPr>
                <w:noProof/>
                <w:sz w:val="20"/>
                <w:szCs w:val="22"/>
              </w:rPr>
            </w:pPr>
            <w:r w:rsidRPr="000F3F85">
              <w:rPr>
                <w:noProof/>
                <w:sz w:val="20"/>
                <w:szCs w:val="22"/>
              </w:rPr>
              <w:t>Trab bone surf to Trab marrow</w:t>
            </w:r>
          </w:p>
        </w:tc>
        <w:tc>
          <w:tcPr>
            <w:tcW w:w="1001" w:type="dxa"/>
            <w:shd w:val="clear" w:color="auto" w:fill="auto"/>
            <w:noWrap/>
            <w:vAlign w:val="center"/>
            <w:hideMark/>
          </w:tcPr>
          <w:p w14:paraId="4FA7094A" w14:textId="77777777" w:rsidR="000F3F85" w:rsidRPr="00C47F2F" w:rsidRDefault="000F3F85" w:rsidP="00CD4B01">
            <w:pPr>
              <w:pStyle w:val="Table"/>
              <w:rPr>
                <w:noProof/>
                <w:sz w:val="20"/>
                <w:szCs w:val="20"/>
              </w:rPr>
            </w:pPr>
            <w:r w:rsidRPr="00C47F2F">
              <w:rPr>
                <w:noProof/>
                <w:sz w:val="20"/>
                <w:szCs w:val="20"/>
              </w:rPr>
              <w:t>8.22E-03</w:t>
            </w:r>
          </w:p>
        </w:tc>
        <w:tc>
          <w:tcPr>
            <w:tcW w:w="1001" w:type="dxa"/>
            <w:shd w:val="clear" w:color="auto" w:fill="auto"/>
            <w:noWrap/>
            <w:vAlign w:val="center"/>
            <w:hideMark/>
          </w:tcPr>
          <w:p w14:paraId="561C2FCD" w14:textId="77777777" w:rsidR="000F3F85" w:rsidRPr="00C47F2F" w:rsidRDefault="000F3F85" w:rsidP="00CD4B01">
            <w:pPr>
              <w:pStyle w:val="Table"/>
              <w:rPr>
                <w:noProof/>
                <w:sz w:val="20"/>
                <w:szCs w:val="20"/>
              </w:rPr>
            </w:pPr>
            <w:r w:rsidRPr="00C47F2F">
              <w:rPr>
                <w:noProof/>
                <w:sz w:val="20"/>
                <w:szCs w:val="20"/>
              </w:rPr>
              <w:t>2.88E-03</w:t>
            </w:r>
          </w:p>
        </w:tc>
        <w:tc>
          <w:tcPr>
            <w:tcW w:w="1001" w:type="dxa"/>
            <w:shd w:val="clear" w:color="auto" w:fill="auto"/>
            <w:noWrap/>
            <w:vAlign w:val="center"/>
            <w:hideMark/>
          </w:tcPr>
          <w:p w14:paraId="1262B619" w14:textId="77777777" w:rsidR="000F3F85" w:rsidRPr="00C47F2F" w:rsidRDefault="000F3F85" w:rsidP="00CD4B01">
            <w:pPr>
              <w:pStyle w:val="Table"/>
              <w:rPr>
                <w:noProof/>
                <w:sz w:val="20"/>
                <w:szCs w:val="20"/>
              </w:rPr>
            </w:pPr>
            <w:r w:rsidRPr="00C47F2F">
              <w:rPr>
                <w:noProof/>
                <w:sz w:val="20"/>
                <w:szCs w:val="20"/>
              </w:rPr>
              <w:t>1.81E-03</w:t>
            </w:r>
          </w:p>
        </w:tc>
        <w:tc>
          <w:tcPr>
            <w:tcW w:w="1001" w:type="dxa"/>
            <w:shd w:val="clear" w:color="auto" w:fill="auto"/>
            <w:noWrap/>
            <w:vAlign w:val="center"/>
            <w:hideMark/>
          </w:tcPr>
          <w:p w14:paraId="6FF0A2C3" w14:textId="77777777" w:rsidR="000F3F85" w:rsidRPr="00C47F2F" w:rsidRDefault="000F3F85" w:rsidP="00CD4B01">
            <w:pPr>
              <w:pStyle w:val="Table"/>
              <w:rPr>
                <w:noProof/>
                <w:sz w:val="20"/>
                <w:szCs w:val="20"/>
              </w:rPr>
            </w:pPr>
            <w:r w:rsidRPr="00C47F2F">
              <w:rPr>
                <w:noProof/>
                <w:sz w:val="20"/>
                <w:szCs w:val="20"/>
              </w:rPr>
              <w:t>1.32E-03</w:t>
            </w:r>
          </w:p>
        </w:tc>
        <w:tc>
          <w:tcPr>
            <w:tcW w:w="1001" w:type="dxa"/>
            <w:shd w:val="clear" w:color="auto" w:fill="auto"/>
            <w:noWrap/>
            <w:vAlign w:val="center"/>
            <w:hideMark/>
          </w:tcPr>
          <w:p w14:paraId="7DA11031" w14:textId="77777777" w:rsidR="000F3F85" w:rsidRPr="00C47F2F" w:rsidRDefault="000F3F85" w:rsidP="00CD4B01">
            <w:pPr>
              <w:pStyle w:val="Table"/>
              <w:rPr>
                <w:noProof/>
                <w:sz w:val="20"/>
                <w:szCs w:val="20"/>
              </w:rPr>
            </w:pPr>
            <w:r w:rsidRPr="00C47F2F">
              <w:rPr>
                <w:noProof/>
                <w:sz w:val="20"/>
                <w:szCs w:val="20"/>
              </w:rPr>
              <w:t>9.59E-04</w:t>
            </w:r>
          </w:p>
        </w:tc>
        <w:tc>
          <w:tcPr>
            <w:tcW w:w="1001" w:type="dxa"/>
            <w:shd w:val="clear" w:color="auto" w:fill="auto"/>
            <w:noWrap/>
            <w:vAlign w:val="center"/>
            <w:hideMark/>
          </w:tcPr>
          <w:p w14:paraId="26F723A9" w14:textId="77777777" w:rsidR="000F3F85" w:rsidRPr="00C47F2F" w:rsidRDefault="000F3F85" w:rsidP="00CD4B01">
            <w:pPr>
              <w:pStyle w:val="Table"/>
              <w:rPr>
                <w:noProof/>
                <w:sz w:val="20"/>
                <w:szCs w:val="20"/>
              </w:rPr>
            </w:pPr>
            <w:r w:rsidRPr="00C47F2F">
              <w:rPr>
                <w:noProof/>
                <w:sz w:val="20"/>
                <w:szCs w:val="20"/>
              </w:rPr>
              <w:t>4.93E-04</w:t>
            </w:r>
          </w:p>
        </w:tc>
      </w:tr>
      <w:tr w:rsidR="000F3F85" w:rsidRPr="00972C81" w14:paraId="65A7CFE3" w14:textId="77777777" w:rsidTr="00CD4B01">
        <w:trPr>
          <w:trHeight w:val="340"/>
        </w:trPr>
        <w:tc>
          <w:tcPr>
            <w:tcW w:w="3021" w:type="dxa"/>
            <w:shd w:val="clear" w:color="auto" w:fill="auto"/>
            <w:noWrap/>
            <w:vAlign w:val="center"/>
            <w:hideMark/>
          </w:tcPr>
          <w:p w14:paraId="483994DF" w14:textId="54A94179" w:rsidR="000F3F85" w:rsidRPr="000F3F85" w:rsidRDefault="000F3F85" w:rsidP="00CD4B01">
            <w:pPr>
              <w:pStyle w:val="Table"/>
              <w:rPr>
                <w:noProof/>
                <w:sz w:val="20"/>
                <w:szCs w:val="22"/>
              </w:rPr>
            </w:pPr>
            <w:r w:rsidRPr="000F3F85">
              <w:rPr>
                <w:noProof/>
                <w:sz w:val="20"/>
                <w:szCs w:val="22"/>
              </w:rPr>
              <w:t>Trab bone surf to Trab bone vol</w:t>
            </w:r>
          </w:p>
        </w:tc>
        <w:tc>
          <w:tcPr>
            <w:tcW w:w="1001" w:type="dxa"/>
            <w:shd w:val="clear" w:color="auto" w:fill="auto"/>
            <w:noWrap/>
            <w:vAlign w:val="center"/>
            <w:hideMark/>
          </w:tcPr>
          <w:p w14:paraId="641109BF" w14:textId="77777777" w:rsidR="000F3F85" w:rsidRPr="00C47F2F" w:rsidRDefault="000F3F85" w:rsidP="00CD4B01">
            <w:pPr>
              <w:pStyle w:val="Table"/>
              <w:rPr>
                <w:noProof/>
                <w:sz w:val="20"/>
                <w:szCs w:val="20"/>
              </w:rPr>
            </w:pPr>
            <w:r w:rsidRPr="00C47F2F">
              <w:rPr>
                <w:noProof/>
                <w:sz w:val="20"/>
                <w:szCs w:val="20"/>
              </w:rPr>
              <w:t>8.22E-03</w:t>
            </w:r>
          </w:p>
        </w:tc>
        <w:tc>
          <w:tcPr>
            <w:tcW w:w="1001" w:type="dxa"/>
            <w:shd w:val="clear" w:color="auto" w:fill="auto"/>
            <w:noWrap/>
            <w:vAlign w:val="center"/>
            <w:hideMark/>
          </w:tcPr>
          <w:p w14:paraId="7CAFE350" w14:textId="77777777" w:rsidR="000F3F85" w:rsidRPr="00C47F2F" w:rsidRDefault="000F3F85" w:rsidP="00CD4B01">
            <w:pPr>
              <w:pStyle w:val="Table"/>
              <w:rPr>
                <w:noProof/>
                <w:sz w:val="20"/>
                <w:szCs w:val="20"/>
              </w:rPr>
            </w:pPr>
            <w:r w:rsidRPr="00C47F2F">
              <w:rPr>
                <w:noProof/>
                <w:sz w:val="20"/>
                <w:szCs w:val="20"/>
              </w:rPr>
              <w:t>2.88E-03</w:t>
            </w:r>
          </w:p>
        </w:tc>
        <w:tc>
          <w:tcPr>
            <w:tcW w:w="1001" w:type="dxa"/>
            <w:shd w:val="clear" w:color="auto" w:fill="auto"/>
            <w:noWrap/>
            <w:vAlign w:val="center"/>
            <w:hideMark/>
          </w:tcPr>
          <w:p w14:paraId="02B068BB" w14:textId="77777777" w:rsidR="000F3F85" w:rsidRPr="00C47F2F" w:rsidRDefault="000F3F85" w:rsidP="00CD4B01">
            <w:pPr>
              <w:pStyle w:val="Table"/>
              <w:rPr>
                <w:noProof/>
                <w:sz w:val="20"/>
                <w:szCs w:val="20"/>
              </w:rPr>
            </w:pPr>
            <w:r w:rsidRPr="00C47F2F">
              <w:rPr>
                <w:noProof/>
                <w:sz w:val="20"/>
                <w:szCs w:val="20"/>
              </w:rPr>
              <w:t>1.81E-03</w:t>
            </w:r>
          </w:p>
        </w:tc>
        <w:tc>
          <w:tcPr>
            <w:tcW w:w="1001" w:type="dxa"/>
            <w:shd w:val="clear" w:color="auto" w:fill="auto"/>
            <w:noWrap/>
            <w:vAlign w:val="center"/>
            <w:hideMark/>
          </w:tcPr>
          <w:p w14:paraId="44AE7A5E" w14:textId="77777777" w:rsidR="000F3F85" w:rsidRPr="00C47F2F" w:rsidRDefault="000F3F85" w:rsidP="00CD4B01">
            <w:pPr>
              <w:pStyle w:val="Table"/>
              <w:rPr>
                <w:noProof/>
                <w:sz w:val="20"/>
                <w:szCs w:val="20"/>
              </w:rPr>
            </w:pPr>
            <w:r w:rsidRPr="00C47F2F">
              <w:rPr>
                <w:noProof/>
                <w:sz w:val="20"/>
                <w:szCs w:val="20"/>
              </w:rPr>
              <w:t>1.32E-03</w:t>
            </w:r>
          </w:p>
        </w:tc>
        <w:tc>
          <w:tcPr>
            <w:tcW w:w="1001" w:type="dxa"/>
            <w:shd w:val="clear" w:color="auto" w:fill="auto"/>
            <w:noWrap/>
            <w:vAlign w:val="center"/>
            <w:hideMark/>
          </w:tcPr>
          <w:p w14:paraId="749936F9" w14:textId="77777777" w:rsidR="000F3F85" w:rsidRPr="00C47F2F" w:rsidRDefault="000F3F85" w:rsidP="00CD4B01">
            <w:pPr>
              <w:pStyle w:val="Table"/>
              <w:rPr>
                <w:noProof/>
                <w:sz w:val="20"/>
                <w:szCs w:val="20"/>
              </w:rPr>
            </w:pPr>
            <w:r w:rsidRPr="00C47F2F">
              <w:rPr>
                <w:noProof/>
                <w:sz w:val="20"/>
                <w:szCs w:val="20"/>
              </w:rPr>
              <w:t>9.59E-04</w:t>
            </w:r>
          </w:p>
        </w:tc>
        <w:tc>
          <w:tcPr>
            <w:tcW w:w="1001" w:type="dxa"/>
            <w:shd w:val="clear" w:color="auto" w:fill="auto"/>
            <w:noWrap/>
            <w:vAlign w:val="center"/>
            <w:hideMark/>
          </w:tcPr>
          <w:p w14:paraId="34DEE299" w14:textId="77777777" w:rsidR="000F3F85" w:rsidRPr="00C47F2F" w:rsidRDefault="000F3F85" w:rsidP="00CD4B01">
            <w:pPr>
              <w:pStyle w:val="Table"/>
              <w:rPr>
                <w:noProof/>
                <w:sz w:val="20"/>
                <w:szCs w:val="20"/>
              </w:rPr>
            </w:pPr>
            <w:r w:rsidRPr="00C47F2F">
              <w:rPr>
                <w:noProof/>
                <w:sz w:val="20"/>
                <w:szCs w:val="20"/>
              </w:rPr>
              <w:t>2.47E-04</w:t>
            </w:r>
          </w:p>
        </w:tc>
      </w:tr>
      <w:tr w:rsidR="000F3F85" w:rsidRPr="00972C81" w14:paraId="78DADF8F" w14:textId="77777777" w:rsidTr="00CD4B01">
        <w:trPr>
          <w:trHeight w:val="340"/>
        </w:trPr>
        <w:tc>
          <w:tcPr>
            <w:tcW w:w="3021" w:type="dxa"/>
            <w:shd w:val="clear" w:color="auto" w:fill="auto"/>
            <w:noWrap/>
            <w:vAlign w:val="center"/>
            <w:hideMark/>
          </w:tcPr>
          <w:p w14:paraId="71DF1C2A" w14:textId="7C925023" w:rsidR="000F3F85" w:rsidRPr="000F3F85" w:rsidRDefault="000F3F85" w:rsidP="00CD4B01">
            <w:pPr>
              <w:pStyle w:val="Table"/>
              <w:rPr>
                <w:noProof/>
                <w:sz w:val="20"/>
                <w:szCs w:val="22"/>
              </w:rPr>
            </w:pPr>
            <w:r w:rsidRPr="000F3F85">
              <w:rPr>
                <w:noProof/>
                <w:sz w:val="20"/>
                <w:szCs w:val="22"/>
              </w:rPr>
              <w:t>Trab bone vol to Trab marrow</w:t>
            </w:r>
          </w:p>
        </w:tc>
        <w:tc>
          <w:tcPr>
            <w:tcW w:w="1001" w:type="dxa"/>
            <w:shd w:val="clear" w:color="auto" w:fill="auto"/>
            <w:noWrap/>
            <w:vAlign w:val="center"/>
            <w:hideMark/>
          </w:tcPr>
          <w:p w14:paraId="17487C42" w14:textId="77777777" w:rsidR="000F3F85" w:rsidRPr="00C47F2F" w:rsidRDefault="000F3F85" w:rsidP="00CD4B01">
            <w:pPr>
              <w:pStyle w:val="Table"/>
              <w:rPr>
                <w:noProof/>
                <w:sz w:val="20"/>
                <w:szCs w:val="20"/>
              </w:rPr>
            </w:pPr>
            <w:r w:rsidRPr="00C47F2F">
              <w:rPr>
                <w:noProof/>
                <w:sz w:val="20"/>
                <w:szCs w:val="20"/>
              </w:rPr>
              <w:t>8.22E-03</w:t>
            </w:r>
          </w:p>
        </w:tc>
        <w:tc>
          <w:tcPr>
            <w:tcW w:w="1001" w:type="dxa"/>
            <w:shd w:val="clear" w:color="auto" w:fill="auto"/>
            <w:noWrap/>
            <w:vAlign w:val="center"/>
            <w:hideMark/>
          </w:tcPr>
          <w:p w14:paraId="52D3B356" w14:textId="77777777" w:rsidR="000F3F85" w:rsidRPr="00C47F2F" w:rsidRDefault="000F3F85" w:rsidP="00CD4B01">
            <w:pPr>
              <w:pStyle w:val="Table"/>
              <w:rPr>
                <w:noProof/>
                <w:sz w:val="20"/>
                <w:szCs w:val="20"/>
              </w:rPr>
            </w:pPr>
            <w:r w:rsidRPr="00C47F2F">
              <w:rPr>
                <w:noProof/>
                <w:sz w:val="20"/>
                <w:szCs w:val="20"/>
              </w:rPr>
              <w:t>2.88E-03</w:t>
            </w:r>
          </w:p>
        </w:tc>
        <w:tc>
          <w:tcPr>
            <w:tcW w:w="1001" w:type="dxa"/>
            <w:shd w:val="clear" w:color="auto" w:fill="auto"/>
            <w:noWrap/>
            <w:vAlign w:val="center"/>
            <w:hideMark/>
          </w:tcPr>
          <w:p w14:paraId="1E93CF66" w14:textId="77777777" w:rsidR="000F3F85" w:rsidRPr="00C47F2F" w:rsidRDefault="000F3F85" w:rsidP="00CD4B01">
            <w:pPr>
              <w:pStyle w:val="Table"/>
              <w:rPr>
                <w:noProof/>
                <w:sz w:val="20"/>
                <w:szCs w:val="20"/>
              </w:rPr>
            </w:pPr>
            <w:r w:rsidRPr="00C47F2F">
              <w:rPr>
                <w:noProof/>
                <w:sz w:val="20"/>
                <w:szCs w:val="20"/>
              </w:rPr>
              <w:t>1.81E-03</w:t>
            </w:r>
          </w:p>
        </w:tc>
        <w:tc>
          <w:tcPr>
            <w:tcW w:w="1001" w:type="dxa"/>
            <w:shd w:val="clear" w:color="auto" w:fill="auto"/>
            <w:noWrap/>
            <w:vAlign w:val="center"/>
            <w:hideMark/>
          </w:tcPr>
          <w:p w14:paraId="278837C6" w14:textId="77777777" w:rsidR="000F3F85" w:rsidRPr="00C47F2F" w:rsidRDefault="000F3F85" w:rsidP="00CD4B01">
            <w:pPr>
              <w:pStyle w:val="Table"/>
              <w:rPr>
                <w:noProof/>
                <w:sz w:val="20"/>
                <w:szCs w:val="20"/>
              </w:rPr>
            </w:pPr>
            <w:r w:rsidRPr="00C47F2F">
              <w:rPr>
                <w:noProof/>
                <w:sz w:val="20"/>
                <w:szCs w:val="20"/>
              </w:rPr>
              <w:t>1.32E-03</w:t>
            </w:r>
          </w:p>
        </w:tc>
        <w:tc>
          <w:tcPr>
            <w:tcW w:w="1001" w:type="dxa"/>
            <w:shd w:val="clear" w:color="auto" w:fill="auto"/>
            <w:noWrap/>
            <w:vAlign w:val="center"/>
            <w:hideMark/>
          </w:tcPr>
          <w:p w14:paraId="2FD077DB" w14:textId="77777777" w:rsidR="000F3F85" w:rsidRPr="00C47F2F" w:rsidRDefault="000F3F85" w:rsidP="00CD4B01">
            <w:pPr>
              <w:pStyle w:val="Table"/>
              <w:rPr>
                <w:noProof/>
                <w:sz w:val="20"/>
                <w:szCs w:val="20"/>
              </w:rPr>
            </w:pPr>
            <w:r w:rsidRPr="00C47F2F">
              <w:rPr>
                <w:noProof/>
                <w:sz w:val="20"/>
                <w:szCs w:val="20"/>
              </w:rPr>
              <w:t>9.59E-04</w:t>
            </w:r>
          </w:p>
        </w:tc>
        <w:tc>
          <w:tcPr>
            <w:tcW w:w="1001" w:type="dxa"/>
            <w:shd w:val="clear" w:color="auto" w:fill="auto"/>
            <w:noWrap/>
            <w:vAlign w:val="center"/>
            <w:hideMark/>
          </w:tcPr>
          <w:p w14:paraId="6B92C6A0" w14:textId="77777777" w:rsidR="000F3F85" w:rsidRPr="00C47F2F" w:rsidRDefault="000F3F85" w:rsidP="00CD4B01">
            <w:pPr>
              <w:pStyle w:val="Table"/>
              <w:rPr>
                <w:noProof/>
                <w:sz w:val="20"/>
                <w:szCs w:val="20"/>
              </w:rPr>
            </w:pPr>
            <w:r w:rsidRPr="00C47F2F">
              <w:rPr>
                <w:noProof/>
                <w:sz w:val="20"/>
                <w:szCs w:val="20"/>
              </w:rPr>
              <w:t>4.93E-04</w:t>
            </w:r>
          </w:p>
        </w:tc>
      </w:tr>
      <w:tr w:rsidR="000F3F85" w:rsidRPr="00972C81" w14:paraId="3C989556" w14:textId="77777777" w:rsidTr="00CD4B01">
        <w:trPr>
          <w:trHeight w:val="340"/>
        </w:trPr>
        <w:tc>
          <w:tcPr>
            <w:tcW w:w="3021" w:type="dxa"/>
            <w:shd w:val="clear" w:color="auto" w:fill="auto"/>
            <w:noWrap/>
            <w:vAlign w:val="center"/>
            <w:hideMark/>
          </w:tcPr>
          <w:p w14:paraId="7FBF5F51" w14:textId="2BCCC9E9" w:rsidR="000F3F85" w:rsidRPr="000F3F85" w:rsidRDefault="000F3F85" w:rsidP="00CD4B01">
            <w:pPr>
              <w:pStyle w:val="Table"/>
              <w:rPr>
                <w:noProof/>
                <w:sz w:val="20"/>
                <w:szCs w:val="22"/>
              </w:rPr>
            </w:pPr>
            <w:r w:rsidRPr="000F3F85">
              <w:rPr>
                <w:noProof/>
                <w:sz w:val="20"/>
                <w:szCs w:val="22"/>
              </w:rPr>
              <w:t>Kidneys 1 to UB content</w:t>
            </w:r>
          </w:p>
        </w:tc>
        <w:tc>
          <w:tcPr>
            <w:tcW w:w="1001" w:type="dxa"/>
            <w:shd w:val="clear" w:color="auto" w:fill="auto"/>
            <w:noWrap/>
            <w:vAlign w:val="center"/>
            <w:hideMark/>
          </w:tcPr>
          <w:p w14:paraId="6BB895B1" w14:textId="77777777" w:rsidR="000F3F85" w:rsidRPr="00C47F2F" w:rsidRDefault="000F3F85" w:rsidP="00CD4B01">
            <w:pPr>
              <w:pStyle w:val="Table"/>
              <w:rPr>
                <w:noProof/>
                <w:sz w:val="20"/>
                <w:szCs w:val="20"/>
              </w:rPr>
            </w:pPr>
            <w:r w:rsidRPr="00C47F2F">
              <w:rPr>
                <w:noProof/>
                <w:sz w:val="20"/>
                <w:szCs w:val="20"/>
              </w:rPr>
              <w:t>9.90E-02</w:t>
            </w:r>
          </w:p>
        </w:tc>
        <w:tc>
          <w:tcPr>
            <w:tcW w:w="1001" w:type="dxa"/>
            <w:shd w:val="clear" w:color="auto" w:fill="auto"/>
            <w:noWrap/>
            <w:vAlign w:val="center"/>
            <w:hideMark/>
          </w:tcPr>
          <w:p w14:paraId="23539D77" w14:textId="77777777" w:rsidR="000F3F85" w:rsidRPr="00C47F2F" w:rsidRDefault="000F3F85" w:rsidP="00CD4B01">
            <w:pPr>
              <w:pStyle w:val="Table"/>
              <w:rPr>
                <w:noProof/>
                <w:sz w:val="20"/>
                <w:szCs w:val="20"/>
              </w:rPr>
            </w:pPr>
            <w:r w:rsidRPr="00C47F2F">
              <w:rPr>
                <w:noProof/>
                <w:sz w:val="20"/>
                <w:szCs w:val="20"/>
              </w:rPr>
              <w:t>9.90E-02</w:t>
            </w:r>
          </w:p>
        </w:tc>
        <w:tc>
          <w:tcPr>
            <w:tcW w:w="1001" w:type="dxa"/>
            <w:shd w:val="clear" w:color="auto" w:fill="auto"/>
            <w:noWrap/>
            <w:vAlign w:val="center"/>
            <w:hideMark/>
          </w:tcPr>
          <w:p w14:paraId="59CCA2F0" w14:textId="77777777" w:rsidR="000F3F85" w:rsidRPr="00C47F2F" w:rsidRDefault="000F3F85" w:rsidP="00CD4B01">
            <w:pPr>
              <w:pStyle w:val="Table"/>
              <w:rPr>
                <w:noProof/>
                <w:sz w:val="20"/>
                <w:szCs w:val="20"/>
              </w:rPr>
            </w:pPr>
            <w:r w:rsidRPr="00C47F2F">
              <w:rPr>
                <w:noProof/>
                <w:sz w:val="20"/>
                <w:szCs w:val="20"/>
              </w:rPr>
              <w:t>9.90E-02</w:t>
            </w:r>
          </w:p>
        </w:tc>
        <w:tc>
          <w:tcPr>
            <w:tcW w:w="1001" w:type="dxa"/>
            <w:shd w:val="clear" w:color="auto" w:fill="auto"/>
            <w:noWrap/>
            <w:vAlign w:val="center"/>
            <w:hideMark/>
          </w:tcPr>
          <w:p w14:paraId="1A93C0AF" w14:textId="77777777" w:rsidR="000F3F85" w:rsidRPr="00C47F2F" w:rsidRDefault="000F3F85" w:rsidP="00CD4B01">
            <w:pPr>
              <w:pStyle w:val="Table"/>
              <w:rPr>
                <w:noProof/>
                <w:sz w:val="20"/>
                <w:szCs w:val="20"/>
              </w:rPr>
            </w:pPr>
            <w:r w:rsidRPr="00C47F2F">
              <w:rPr>
                <w:noProof/>
                <w:sz w:val="20"/>
                <w:szCs w:val="20"/>
              </w:rPr>
              <w:t>9.90E-02</w:t>
            </w:r>
          </w:p>
        </w:tc>
        <w:tc>
          <w:tcPr>
            <w:tcW w:w="1001" w:type="dxa"/>
            <w:shd w:val="clear" w:color="auto" w:fill="auto"/>
            <w:noWrap/>
            <w:vAlign w:val="center"/>
            <w:hideMark/>
          </w:tcPr>
          <w:p w14:paraId="3153B7D7" w14:textId="77777777" w:rsidR="000F3F85" w:rsidRPr="00C47F2F" w:rsidRDefault="000F3F85" w:rsidP="00CD4B01">
            <w:pPr>
              <w:pStyle w:val="Table"/>
              <w:rPr>
                <w:noProof/>
                <w:sz w:val="20"/>
                <w:szCs w:val="20"/>
              </w:rPr>
            </w:pPr>
            <w:r w:rsidRPr="00C47F2F">
              <w:rPr>
                <w:noProof/>
                <w:sz w:val="20"/>
                <w:szCs w:val="20"/>
              </w:rPr>
              <w:t>9.90E-02</w:t>
            </w:r>
          </w:p>
        </w:tc>
        <w:tc>
          <w:tcPr>
            <w:tcW w:w="1001" w:type="dxa"/>
            <w:shd w:val="clear" w:color="auto" w:fill="auto"/>
            <w:noWrap/>
            <w:vAlign w:val="center"/>
            <w:hideMark/>
          </w:tcPr>
          <w:p w14:paraId="73C08AC5" w14:textId="77777777" w:rsidR="000F3F85" w:rsidRPr="00C47F2F" w:rsidRDefault="000F3F85" w:rsidP="00CD4B01">
            <w:pPr>
              <w:pStyle w:val="Table"/>
              <w:rPr>
                <w:noProof/>
                <w:sz w:val="20"/>
                <w:szCs w:val="20"/>
              </w:rPr>
            </w:pPr>
            <w:r w:rsidRPr="00C47F2F">
              <w:rPr>
                <w:noProof/>
                <w:sz w:val="20"/>
                <w:szCs w:val="20"/>
              </w:rPr>
              <w:t>9.90E-02</w:t>
            </w:r>
          </w:p>
        </w:tc>
      </w:tr>
      <w:tr w:rsidR="000F3F85" w:rsidRPr="00972C81" w14:paraId="5628C3DE" w14:textId="77777777" w:rsidTr="00CD4B01">
        <w:trPr>
          <w:trHeight w:val="340"/>
        </w:trPr>
        <w:tc>
          <w:tcPr>
            <w:tcW w:w="3021" w:type="dxa"/>
            <w:shd w:val="clear" w:color="auto" w:fill="auto"/>
            <w:noWrap/>
            <w:vAlign w:val="center"/>
            <w:hideMark/>
          </w:tcPr>
          <w:p w14:paraId="44A5E221" w14:textId="1B2E2956" w:rsidR="000F3F85" w:rsidRPr="000F3F85" w:rsidRDefault="000F3F85" w:rsidP="00CD4B01">
            <w:pPr>
              <w:pStyle w:val="Table"/>
              <w:rPr>
                <w:noProof/>
                <w:sz w:val="20"/>
                <w:szCs w:val="22"/>
              </w:rPr>
            </w:pPr>
            <w:r w:rsidRPr="000F3F85">
              <w:rPr>
                <w:noProof/>
                <w:sz w:val="20"/>
                <w:szCs w:val="22"/>
              </w:rPr>
              <w:t>Kidneys 2 to Blood</w:t>
            </w:r>
          </w:p>
        </w:tc>
        <w:tc>
          <w:tcPr>
            <w:tcW w:w="1001" w:type="dxa"/>
            <w:shd w:val="clear" w:color="auto" w:fill="auto"/>
            <w:noWrap/>
            <w:vAlign w:val="center"/>
            <w:hideMark/>
          </w:tcPr>
          <w:p w14:paraId="2AE0D652" w14:textId="77777777" w:rsidR="000F3F85" w:rsidRPr="00C47F2F" w:rsidRDefault="000F3F85" w:rsidP="00CD4B01">
            <w:pPr>
              <w:pStyle w:val="Table"/>
              <w:rPr>
                <w:noProof/>
                <w:sz w:val="20"/>
                <w:szCs w:val="20"/>
              </w:rPr>
            </w:pPr>
            <w:r w:rsidRPr="00C47F2F">
              <w:rPr>
                <w:noProof/>
                <w:sz w:val="20"/>
                <w:szCs w:val="20"/>
              </w:rPr>
              <w:t>1.39E-03</w:t>
            </w:r>
          </w:p>
        </w:tc>
        <w:tc>
          <w:tcPr>
            <w:tcW w:w="1001" w:type="dxa"/>
            <w:shd w:val="clear" w:color="auto" w:fill="auto"/>
            <w:noWrap/>
            <w:vAlign w:val="center"/>
            <w:hideMark/>
          </w:tcPr>
          <w:p w14:paraId="0E8AC276" w14:textId="77777777" w:rsidR="000F3F85" w:rsidRPr="00C47F2F" w:rsidRDefault="000F3F85" w:rsidP="00CD4B01">
            <w:pPr>
              <w:pStyle w:val="Table"/>
              <w:rPr>
                <w:noProof/>
                <w:sz w:val="20"/>
                <w:szCs w:val="20"/>
              </w:rPr>
            </w:pPr>
            <w:r w:rsidRPr="00C47F2F">
              <w:rPr>
                <w:noProof/>
                <w:sz w:val="20"/>
                <w:szCs w:val="20"/>
              </w:rPr>
              <w:t>1.39E-03</w:t>
            </w:r>
          </w:p>
        </w:tc>
        <w:tc>
          <w:tcPr>
            <w:tcW w:w="1001" w:type="dxa"/>
            <w:shd w:val="clear" w:color="auto" w:fill="auto"/>
            <w:noWrap/>
            <w:vAlign w:val="center"/>
            <w:hideMark/>
          </w:tcPr>
          <w:p w14:paraId="7C52E4F5" w14:textId="77777777" w:rsidR="000F3F85" w:rsidRPr="00C47F2F" w:rsidRDefault="000F3F85" w:rsidP="00CD4B01">
            <w:pPr>
              <w:pStyle w:val="Table"/>
              <w:rPr>
                <w:noProof/>
                <w:sz w:val="20"/>
                <w:szCs w:val="20"/>
              </w:rPr>
            </w:pPr>
            <w:r w:rsidRPr="00C47F2F">
              <w:rPr>
                <w:noProof/>
                <w:sz w:val="20"/>
                <w:szCs w:val="20"/>
              </w:rPr>
              <w:t>1.39E-03</w:t>
            </w:r>
          </w:p>
        </w:tc>
        <w:tc>
          <w:tcPr>
            <w:tcW w:w="1001" w:type="dxa"/>
            <w:shd w:val="clear" w:color="auto" w:fill="auto"/>
            <w:noWrap/>
            <w:vAlign w:val="center"/>
            <w:hideMark/>
          </w:tcPr>
          <w:p w14:paraId="13267EC5" w14:textId="77777777" w:rsidR="000F3F85" w:rsidRPr="00C47F2F" w:rsidRDefault="000F3F85" w:rsidP="00CD4B01">
            <w:pPr>
              <w:pStyle w:val="Table"/>
              <w:rPr>
                <w:noProof/>
                <w:sz w:val="20"/>
                <w:szCs w:val="20"/>
              </w:rPr>
            </w:pPr>
            <w:r w:rsidRPr="00C47F2F">
              <w:rPr>
                <w:noProof/>
                <w:sz w:val="20"/>
                <w:szCs w:val="20"/>
              </w:rPr>
              <w:t>1.39E-03</w:t>
            </w:r>
          </w:p>
        </w:tc>
        <w:tc>
          <w:tcPr>
            <w:tcW w:w="1001" w:type="dxa"/>
            <w:shd w:val="clear" w:color="auto" w:fill="auto"/>
            <w:noWrap/>
            <w:vAlign w:val="center"/>
            <w:hideMark/>
          </w:tcPr>
          <w:p w14:paraId="46DA1778" w14:textId="77777777" w:rsidR="000F3F85" w:rsidRPr="00C47F2F" w:rsidRDefault="000F3F85" w:rsidP="00CD4B01">
            <w:pPr>
              <w:pStyle w:val="Table"/>
              <w:rPr>
                <w:noProof/>
                <w:sz w:val="20"/>
                <w:szCs w:val="20"/>
              </w:rPr>
            </w:pPr>
            <w:r w:rsidRPr="00C47F2F">
              <w:rPr>
                <w:noProof/>
                <w:sz w:val="20"/>
                <w:szCs w:val="20"/>
              </w:rPr>
              <w:t>1.39E-03</w:t>
            </w:r>
          </w:p>
        </w:tc>
        <w:tc>
          <w:tcPr>
            <w:tcW w:w="1001" w:type="dxa"/>
            <w:shd w:val="clear" w:color="auto" w:fill="auto"/>
            <w:noWrap/>
            <w:vAlign w:val="center"/>
            <w:hideMark/>
          </w:tcPr>
          <w:p w14:paraId="37C33082" w14:textId="77777777" w:rsidR="000F3F85" w:rsidRPr="00C47F2F" w:rsidRDefault="000F3F85" w:rsidP="00CD4B01">
            <w:pPr>
              <w:pStyle w:val="Table"/>
              <w:rPr>
                <w:noProof/>
                <w:sz w:val="20"/>
                <w:szCs w:val="20"/>
              </w:rPr>
            </w:pPr>
            <w:r w:rsidRPr="00C47F2F">
              <w:rPr>
                <w:noProof/>
                <w:sz w:val="20"/>
                <w:szCs w:val="20"/>
              </w:rPr>
              <w:t>1.39E-03</w:t>
            </w:r>
          </w:p>
        </w:tc>
      </w:tr>
      <w:tr w:rsidR="000F3F85" w:rsidRPr="00972C81" w14:paraId="5875F255" w14:textId="77777777" w:rsidTr="00CD4B01">
        <w:trPr>
          <w:trHeight w:val="340"/>
        </w:trPr>
        <w:tc>
          <w:tcPr>
            <w:tcW w:w="3021" w:type="dxa"/>
            <w:shd w:val="clear" w:color="auto" w:fill="auto"/>
            <w:noWrap/>
            <w:vAlign w:val="center"/>
            <w:hideMark/>
          </w:tcPr>
          <w:p w14:paraId="74EEF0EA" w14:textId="459C4C97" w:rsidR="000F3F85" w:rsidRPr="000F3F85" w:rsidRDefault="000F3F85" w:rsidP="00CD4B01">
            <w:pPr>
              <w:pStyle w:val="Table"/>
              <w:rPr>
                <w:noProof/>
                <w:sz w:val="20"/>
                <w:szCs w:val="22"/>
              </w:rPr>
            </w:pPr>
            <w:r w:rsidRPr="000F3F85">
              <w:rPr>
                <w:noProof/>
                <w:sz w:val="20"/>
                <w:szCs w:val="22"/>
              </w:rPr>
              <w:t>Testes to Blood</w:t>
            </w:r>
          </w:p>
        </w:tc>
        <w:tc>
          <w:tcPr>
            <w:tcW w:w="1001" w:type="dxa"/>
            <w:shd w:val="clear" w:color="auto" w:fill="auto"/>
            <w:noWrap/>
            <w:vAlign w:val="center"/>
            <w:hideMark/>
          </w:tcPr>
          <w:p w14:paraId="0D9D35F9" w14:textId="77777777" w:rsidR="000F3F85" w:rsidRPr="00C47F2F" w:rsidRDefault="000F3F85" w:rsidP="00CD4B01">
            <w:pPr>
              <w:pStyle w:val="Table"/>
              <w:rPr>
                <w:noProof/>
                <w:sz w:val="20"/>
                <w:szCs w:val="20"/>
              </w:rPr>
            </w:pPr>
            <w:r w:rsidRPr="00C47F2F">
              <w:rPr>
                <w:noProof/>
                <w:sz w:val="20"/>
                <w:szCs w:val="20"/>
              </w:rPr>
              <w:t>3.80E-04</w:t>
            </w:r>
          </w:p>
        </w:tc>
        <w:tc>
          <w:tcPr>
            <w:tcW w:w="1001" w:type="dxa"/>
            <w:shd w:val="clear" w:color="auto" w:fill="auto"/>
            <w:noWrap/>
            <w:vAlign w:val="center"/>
            <w:hideMark/>
          </w:tcPr>
          <w:p w14:paraId="632C59C3" w14:textId="77777777" w:rsidR="000F3F85" w:rsidRPr="00C47F2F" w:rsidRDefault="000F3F85" w:rsidP="00CD4B01">
            <w:pPr>
              <w:pStyle w:val="Table"/>
              <w:rPr>
                <w:noProof/>
                <w:sz w:val="20"/>
                <w:szCs w:val="20"/>
              </w:rPr>
            </w:pPr>
            <w:r w:rsidRPr="00C47F2F">
              <w:rPr>
                <w:noProof/>
                <w:sz w:val="20"/>
                <w:szCs w:val="20"/>
              </w:rPr>
              <w:t>3.80E-04</w:t>
            </w:r>
          </w:p>
        </w:tc>
        <w:tc>
          <w:tcPr>
            <w:tcW w:w="1001" w:type="dxa"/>
            <w:shd w:val="clear" w:color="auto" w:fill="auto"/>
            <w:noWrap/>
            <w:vAlign w:val="center"/>
            <w:hideMark/>
          </w:tcPr>
          <w:p w14:paraId="377C728B" w14:textId="77777777" w:rsidR="000F3F85" w:rsidRPr="00C47F2F" w:rsidRDefault="000F3F85" w:rsidP="00CD4B01">
            <w:pPr>
              <w:pStyle w:val="Table"/>
              <w:rPr>
                <w:noProof/>
                <w:sz w:val="20"/>
                <w:szCs w:val="20"/>
              </w:rPr>
            </w:pPr>
            <w:r w:rsidRPr="00C47F2F">
              <w:rPr>
                <w:noProof/>
                <w:sz w:val="20"/>
                <w:szCs w:val="20"/>
              </w:rPr>
              <w:t>3.80E-04</w:t>
            </w:r>
          </w:p>
        </w:tc>
        <w:tc>
          <w:tcPr>
            <w:tcW w:w="1001" w:type="dxa"/>
            <w:shd w:val="clear" w:color="auto" w:fill="auto"/>
            <w:noWrap/>
            <w:vAlign w:val="center"/>
            <w:hideMark/>
          </w:tcPr>
          <w:p w14:paraId="3C431D22" w14:textId="77777777" w:rsidR="000F3F85" w:rsidRPr="00C47F2F" w:rsidRDefault="000F3F85" w:rsidP="00CD4B01">
            <w:pPr>
              <w:pStyle w:val="Table"/>
              <w:rPr>
                <w:noProof/>
                <w:sz w:val="20"/>
                <w:szCs w:val="20"/>
              </w:rPr>
            </w:pPr>
            <w:r w:rsidRPr="00C47F2F">
              <w:rPr>
                <w:noProof/>
                <w:sz w:val="20"/>
                <w:szCs w:val="20"/>
              </w:rPr>
              <w:t>3.80E-04</w:t>
            </w:r>
          </w:p>
        </w:tc>
        <w:tc>
          <w:tcPr>
            <w:tcW w:w="1001" w:type="dxa"/>
            <w:shd w:val="clear" w:color="auto" w:fill="auto"/>
            <w:noWrap/>
            <w:vAlign w:val="center"/>
            <w:hideMark/>
          </w:tcPr>
          <w:p w14:paraId="75C164A2" w14:textId="77777777" w:rsidR="000F3F85" w:rsidRPr="00C47F2F" w:rsidRDefault="000F3F85" w:rsidP="00CD4B01">
            <w:pPr>
              <w:pStyle w:val="Table"/>
              <w:rPr>
                <w:noProof/>
                <w:sz w:val="20"/>
                <w:szCs w:val="20"/>
              </w:rPr>
            </w:pPr>
            <w:r w:rsidRPr="00C47F2F">
              <w:rPr>
                <w:noProof/>
                <w:sz w:val="20"/>
                <w:szCs w:val="20"/>
              </w:rPr>
              <w:t>3.80E-04</w:t>
            </w:r>
          </w:p>
        </w:tc>
        <w:tc>
          <w:tcPr>
            <w:tcW w:w="1001" w:type="dxa"/>
            <w:shd w:val="clear" w:color="auto" w:fill="auto"/>
            <w:noWrap/>
            <w:vAlign w:val="center"/>
            <w:hideMark/>
          </w:tcPr>
          <w:p w14:paraId="173E9F67" w14:textId="77777777" w:rsidR="000F3F85" w:rsidRPr="00C47F2F" w:rsidRDefault="000F3F85" w:rsidP="00CD4B01">
            <w:pPr>
              <w:pStyle w:val="Table"/>
              <w:rPr>
                <w:noProof/>
                <w:sz w:val="20"/>
                <w:szCs w:val="20"/>
              </w:rPr>
            </w:pPr>
            <w:r w:rsidRPr="00C47F2F">
              <w:rPr>
                <w:noProof/>
                <w:sz w:val="20"/>
                <w:szCs w:val="20"/>
              </w:rPr>
              <w:t>3.80E-04</w:t>
            </w:r>
          </w:p>
        </w:tc>
      </w:tr>
      <w:tr w:rsidR="000F3F85" w:rsidRPr="00972C81" w14:paraId="7E0393E1" w14:textId="77777777" w:rsidTr="00CD4B01">
        <w:trPr>
          <w:trHeight w:val="340"/>
        </w:trPr>
        <w:tc>
          <w:tcPr>
            <w:tcW w:w="3021" w:type="dxa"/>
            <w:tcBorders>
              <w:bottom w:val="single" w:sz="4" w:space="0" w:color="auto"/>
            </w:tcBorders>
            <w:shd w:val="clear" w:color="auto" w:fill="auto"/>
            <w:noWrap/>
            <w:vAlign w:val="center"/>
            <w:hideMark/>
          </w:tcPr>
          <w:p w14:paraId="3FDE7E65" w14:textId="78FDB339" w:rsidR="000F3F85" w:rsidRPr="000F3F85" w:rsidRDefault="000F3F85" w:rsidP="00CD4B01">
            <w:pPr>
              <w:pStyle w:val="Table"/>
              <w:rPr>
                <w:noProof/>
                <w:sz w:val="20"/>
                <w:szCs w:val="22"/>
              </w:rPr>
            </w:pPr>
            <w:r w:rsidRPr="000F3F85">
              <w:rPr>
                <w:noProof/>
                <w:sz w:val="20"/>
                <w:szCs w:val="22"/>
              </w:rPr>
              <w:t>Ovaries to Blood</w:t>
            </w:r>
          </w:p>
        </w:tc>
        <w:tc>
          <w:tcPr>
            <w:tcW w:w="1001" w:type="dxa"/>
            <w:tcBorders>
              <w:bottom w:val="single" w:sz="4" w:space="0" w:color="auto"/>
            </w:tcBorders>
            <w:shd w:val="clear" w:color="auto" w:fill="auto"/>
            <w:noWrap/>
            <w:vAlign w:val="center"/>
            <w:hideMark/>
          </w:tcPr>
          <w:p w14:paraId="55A3C886" w14:textId="77777777" w:rsidR="000F3F85" w:rsidRPr="00C47F2F" w:rsidRDefault="000F3F85" w:rsidP="00CD4B01">
            <w:pPr>
              <w:pStyle w:val="Table"/>
              <w:rPr>
                <w:noProof/>
                <w:sz w:val="20"/>
                <w:szCs w:val="20"/>
              </w:rPr>
            </w:pPr>
            <w:r w:rsidRPr="00C47F2F">
              <w:rPr>
                <w:noProof/>
                <w:sz w:val="20"/>
                <w:szCs w:val="20"/>
              </w:rPr>
              <w:t>3.80E-04</w:t>
            </w:r>
          </w:p>
        </w:tc>
        <w:tc>
          <w:tcPr>
            <w:tcW w:w="1001" w:type="dxa"/>
            <w:tcBorders>
              <w:bottom w:val="single" w:sz="4" w:space="0" w:color="auto"/>
            </w:tcBorders>
            <w:shd w:val="clear" w:color="auto" w:fill="auto"/>
            <w:noWrap/>
            <w:vAlign w:val="center"/>
            <w:hideMark/>
          </w:tcPr>
          <w:p w14:paraId="0750A2BC" w14:textId="77777777" w:rsidR="000F3F85" w:rsidRPr="00C47F2F" w:rsidRDefault="000F3F85" w:rsidP="00CD4B01">
            <w:pPr>
              <w:pStyle w:val="Table"/>
              <w:rPr>
                <w:noProof/>
                <w:sz w:val="20"/>
                <w:szCs w:val="20"/>
              </w:rPr>
            </w:pPr>
            <w:r w:rsidRPr="00C47F2F">
              <w:rPr>
                <w:noProof/>
                <w:sz w:val="20"/>
                <w:szCs w:val="20"/>
              </w:rPr>
              <w:t>3.80E-04</w:t>
            </w:r>
          </w:p>
        </w:tc>
        <w:tc>
          <w:tcPr>
            <w:tcW w:w="1001" w:type="dxa"/>
            <w:tcBorders>
              <w:bottom w:val="single" w:sz="4" w:space="0" w:color="auto"/>
            </w:tcBorders>
            <w:shd w:val="clear" w:color="auto" w:fill="auto"/>
            <w:noWrap/>
            <w:vAlign w:val="center"/>
            <w:hideMark/>
          </w:tcPr>
          <w:p w14:paraId="3B7FC8E9" w14:textId="77777777" w:rsidR="000F3F85" w:rsidRPr="00C47F2F" w:rsidRDefault="000F3F85" w:rsidP="00CD4B01">
            <w:pPr>
              <w:pStyle w:val="Table"/>
              <w:rPr>
                <w:noProof/>
                <w:sz w:val="20"/>
                <w:szCs w:val="20"/>
              </w:rPr>
            </w:pPr>
            <w:r w:rsidRPr="00C47F2F">
              <w:rPr>
                <w:noProof/>
                <w:sz w:val="20"/>
                <w:szCs w:val="20"/>
              </w:rPr>
              <w:t>3.80E-04</w:t>
            </w:r>
          </w:p>
        </w:tc>
        <w:tc>
          <w:tcPr>
            <w:tcW w:w="1001" w:type="dxa"/>
            <w:tcBorders>
              <w:bottom w:val="single" w:sz="4" w:space="0" w:color="auto"/>
            </w:tcBorders>
            <w:shd w:val="clear" w:color="auto" w:fill="auto"/>
            <w:noWrap/>
            <w:vAlign w:val="center"/>
            <w:hideMark/>
          </w:tcPr>
          <w:p w14:paraId="304B587B" w14:textId="77777777" w:rsidR="000F3F85" w:rsidRPr="00C47F2F" w:rsidRDefault="000F3F85" w:rsidP="00CD4B01">
            <w:pPr>
              <w:pStyle w:val="Table"/>
              <w:rPr>
                <w:noProof/>
                <w:sz w:val="20"/>
                <w:szCs w:val="20"/>
              </w:rPr>
            </w:pPr>
            <w:r w:rsidRPr="00C47F2F">
              <w:rPr>
                <w:noProof/>
                <w:sz w:val="20"/>
                <w:szCs w:val="20"/>
              </w:rPr>
              <w:t>3.80E-04</w:t>
            </w:r>
          </w:p>
        </w:tc>
        <w:tc>
          <w:tcPr>
            <w:tcW w:w="1001" w:type="dxa"/>
            <w:tcBorders>
              <w:bottom w:val="single" w:sz="4" w:space="0" w:color="auto"/>
            </w:tcBorders>
            <w:shd w:val="clear" w:color="auto" w:fill="auto"/>
            <w:noWrap/>
            <w:vAlign w:val="center"/>
            <w:hideMark/>
          </w:tcPr>
          <w:p w14:paraId="558E253F" w14:textId="77777777" w:rsidR="000F3F85" w:rsidRPr="00C47F2F" w:rsidRDefault="000F3F85" w:rsidP="00CD4B01">
            <w:pPr>
              <w:pStyle w:val="Table"/>
              <w:rPr>
                <w:noProof/>
                <w:sz w:val="20"/>
                <w:szCs w:val="20"/>
              </w:rPr>
            </w:pPr>
            <w:r w:rsidRPr="00C47F2F">
              <w:rPr>
                <w:noProof/>
                <w:sz w:val="20"/>
                <w:szCs w:val="20"/>
              </w:rPr>
              <w:t>3.80E-04</w:t>
            </w:r>
          </w:p>
        </w:tc>
        <w:tc>
          <w:tcPr>
            <w:tcW w:w="1001" w:type="dxa"/>
            <w:tcBorders>
              <w:bottom w:val="single" w:sz="4" w:space="0" w:color="auto"/>
            </w:tcBorders>
            <w:shd w:val="clear" w:color="auto" w:fill="auto"/>
            <w:noWrap/>
            <w:vAlign w:val="center"/>
            <w:hideMark/>
          </w:tcPr>
          <w:p w14:paraId="4937D56D" w14:textId="77777777" w:rsidR="000F3F85" w:rsidRPr="00C47F2F" w:rsidRDefault="000F3F85" w:rsidP="00CD4B01">
            <w:pPr>
              <w:pStyle w:val="Table"/>
              <w:rPr>
                <w:noProof/>
                <w:sz w:val="20"/>
                <w:szCs w:val="20"/>
              </w:rPr>
            </w:pPr>
            <w:r w:rsidRPr="00C47F2F">
              <w:rPr>
                <w:noProof/>
                <w:sz w:val="20"/>
                <w:szCs w:val="20"/>
              </w:rPr>
              <w:t>3.80E-04</w:t>
            </w:r>
          </w:p>
        </w:tc>
      </w:tr>
    </w:tbl>
    <w:p w14:paraId="04F885CB" w14:textId="19E03D28" w:rsidR="000F3F85" w:rsidRPr="00CD4B01" w:rsidRDefault="00E52659" w:rsidP="000F3F85">
      <w:pPr>
        <w:pStyle w:val="Annalstext"/>
        <w:numPr>
          <w:ilvl w:val="0"/>
          <w:numId w:val="0"/>
        </w:numPr>
        <w:rPr>
          <w:rFonts w:eastAsia="Calibri"/>
          <w:noProof/>
          <w:sz w:val="20"/>
        </w:rPr>
      </w:pPr>
      <w:r w:rsidRPr="00CD4B01">
        <w:rPr>
          <w:noProof/>
          <w:sz w:val="20"/>
          <w:vertAlign w:val="superscript"/>
        </w:rPr>
        <w:t>a</w:t>
      </w:r>
      <w:r w:rsidR="000F3F85" w:rsidRPr="00CD4B01">
        <w:rPr>
          <w:noProof/>
          <w:sz w:val="20"/>
        </w:rPr>
        <w:t>Cort = Cortical, Trab = Trabecular, surf = surface, vol = volume, RC = Right colon, SI = Small intestine, UB = Urinary bladder</w:t>
      </w:r>
    </w:p>
    <w:p w14:paraId="1BB09E44" w14:textId="4EA7CD7E" w:rsidR="00165FEB" w:rsidRPr="00972C81" w:rsidRDefault="00165FEB" w:rsidP="006703A2">
      <w:pPr>
        <w:pStyle w:val="OIRTitre4"/>
      </w:pPr>
      <w:r w:rsidRPr="00972C81">
        <w:t>Treatment of radioactive progeny</w:t>
      </w:r>
    </w:p>
    <w:p w14:paraId="183B12FE" w14:textId="49B373D8" w:rsidR="001E23AC" w:rsidRPr="00972C81" w:rsidRDefault="001E23AC" w:rsidP="001C4A92">
      <w:pPr>
        <w:pStyle w:val="Annalstext"/>
        <w:rPr>
          <w:noProof/>
        </w:rPr>
      </w:pPr>
      <w:r w:rsidRPr="00972C81">
        <w:rPr>
          <w:rFonts w:eastAsia="Calibri"/>
          <w:noProof/>
        </w:rPr>
        <w:t xml:space="preserve">The treatment of radioactive progeny produced in systemic compartments after intake of a radioisotope of holmium is described in Section 13.2.3.3. of </w:t>
      </w:r>
      <w:r w:rsidR="007649A9" w:rsidRPr="00972C81">
        <w:rPr>
          <w:i/>
          <w:noProof/>
        </w:rPr>
        <w:t>Publication 141</w:t>
      </w:r>
      <w:r w:rsidR="007649A9" w:rsidRPr="00972C81">
        <w:rPr>
          <w:noProof/>
        </w:rPr>
        <w:t xml:space="preserve"> </w:t>
      </w:r>
      <w:r w:rsidR="00E80505" w:rsidRPr="00972C81">
        <w:rPr>
          <w:noProof/>
        </w:rPr>
        <w:fldChar w:fldCharType="begin"/>
      </w:r>
      <w:r w:rsidR="00E80505" w:rsidRPr="00972C81">
        <w:rPr>
          <w:noProof/>
        </w:rPr>
        <w:instrText xml:space="preserve"> ADDIN ZOTERO_ITEM CSL_CITATION {"citationID":"RrAWwo8z","properties":{"formattedCitation":"(ICRP,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E80505" w:rsidRPr="00972C81">
        <w:rPr>
          <w:noProof/>
        </w:rPr>
        <w:fldChar w:fldCharType="separate"/>
      </w:r>
      <w:r w:rsidR="00BC59C6" w:rsidRPr="00972C81">
        <w:rPr>
          <w:noProof/>
        </w:rPr>
        <w:t>(ICRP, 2019)</w:t>
      </w:r>
      <w:r w:rsidR="00E80505" w:rsidRPr="00972C81">
        <w:rPr>
          <w:noProof/>
        </w:rPr>
        <w:fldChar w:fldCharType="end"/>
      </w:r>
      <w:r w:rsidR="007649A9" w:rsidRPr="00972C81">
        <w:rPr>
          <w:noProof/>
        </w:rPr>
        <w:t>.</w:t>
      </w:r>
    </w:p>
    <w:p w14:paraId="000D045B" w14:textId="77777777" w:rsidR="00593D1F" w:rsidRPr="00972C81" w:rsidRDefault="00593D1F" w:rsidP="00E81109">
      <w:pPr>
        <w:pStyle w:val="2"/>
        <w:rPr>
          <w:noProof/>
          <w:lang w:val="en-GB"/>
        </w:rPr>
      </w:pPr>
      <w:bookmarkStart w:id="186" w:name="_Toc162630048"/>
      <w:r w:rsidRPr="00972C81">
        <w:rPr>
          <w:noProof/>
          <w:lang w:val="en-GB"/>
        </w:rPr>
        <w:lastRenderedPageBreak/>
        <w:t>Dosimetric data for holmium</w:t>
      </w:r>
      <w:bookmarkEnd w:id="186"/>
    </w:p>
    <w:p w14:paraId="25C5C83C" w14:textId="4CA2B23E" w:rsidR="00F43D48" w:rsidRPr="00972C81" w:rsidRDefault="00F43D48" w:rsidP="00C47F2F">
      <w:pPr>
        <w:widowControl/>
        <w:jc w:val="left"/>
        <w:rPr>
          <w:noProof/>
          <w:szCs w:val="24"/>
        </w:rPr>
      </w:pPr>
      <w:r w:rsidRPr="00972C81">
        <w:rPr>
          <w:noProof/>
          <w:szCs w:val="24"/>
        </w:rPr>
        <w:t>Table 12.3. Committed effective dose coefficients (Sv Bq</w:t>
      </w:r>
      <w:r w:rsidRPr="00972C81">
        <w:rPr>
          <w:noProof/>
          <w:szCs w:val="24"/>
          <w:vertAlign w:val="superscript"/>
        </w:rPr>
        <w:t>-1</w:t>
      </w:r>
      <w:r w:rsidRPr="00972C81">
        <w:rPr>
          <w:noProof/>
          <w:szCs w:val="24"/>
        </w:rPr>
        <w:t xml:space="preserve">) for the inhalation or ingestion of </w:t>
      </w:r>
      <w:r w:rsidRPr="00972C81">
        <w:rPr>
          <w:noProof/>
          <w:szCs w:val="24"/>
          <w:vertAlign w:val="superscript"/>
        </w:rPr>
        <w:t>166</w:t>
      </w:r>
      <w:r w:rsidRPr="00972C81">
        <w:rPr>
          <w:noProof/>
          <w:szCs w:val="24"/>
        </w:rPr>
        <w:t>Ho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F43D48" w:rsidRPr="00A3213E" w14:paraId="5D7BDBD5" w14:textId="77777777" w:rsidTr="00CD4B01">
        <w:trPr>
          <w:trHeight w:val="283"/>
        </w:trPr>
        <w:tc>
          <w:tcPr>
            <w:tcW w:w="2087" w:type="pct"/>
            <w:vMerge w:val="restart"/>
            <w:tcBorders>
              <w:top w:val="single" w:sz="4" w:space="0" w:color="auto"/>
              <w:left w:val="nil"/>
              <w:bottom w:val="single" w:sz="4" w:space="0" w:color="auto"/>
              <w:right w:val="nil"/>
            </w:tcBorders>
            <w:vAlign w:val="bottom"/>
            <w:hideMark/>
          </w:tcPr>
          <w:p w14:paraId="6FFB4F26" w14:textId="77777777" w:rsidR="008A0CCE" w:rsidRPr="009F028D" w:rsidRDefault="00F43D48" w:rsidP="009F028D">
            <w:pPr>
              <w:pStyle w:val="Table"/>
              <w:rPr>
                <w:noProof/>
                <w:snapToGrid/>
                <w:szCs w:val="22"/>
              </w:rPr>
            </w:pPr>
            <w:r w:rsidRPr="00C47F2F">
              <w:rPr>
                <w:noProof/>
                <w:snapToGrid/>
                <w:szCs w:val="22"/>
              </w:rPr>
              <w:t xml:space="preserve">Inhaled particulate materials </w:t>
            </w:r>
          </w:p>
          <w:p w14:paraId="70CD8758" w14:textId="0762AFB4" w:rsidR="00F43D48" w:rsidRPr="009F028D" w:rsidRDefault="00F43D48" w:rsidP="00C47F2F">
            <w:pPr>
              <w:pStyle w:val="Table"/>
              <w:rPr>
                <w:noProof/>
                <w:szCs w:val="22"/>
              </w:rPr>
            </w:pPr>
            <w:r w:rsidRPr="00C47F2F">
              <w:rPr>
                <w:noProof/>
                <w:snapToGrid/>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17CE3960" w14:textId="77777777" w:rsidR="00F43D48" w:rsidRPr="00C47F2F" w:rsidRDefault="00F43D48" w:rsidP="00CD4B01">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F43D48" w:rsidRPr="00972C81" w14:paraId="6B45C058" w14:textId="77777777" w:rsidTr="00CD4B01">
        <w:trPr>
          <w:trHeight w:val="283"/>
        </w:trPr>
        <w:tc>
          <w:tcPr>
            <w:tcW w:w="2087" w:type="pct"/>
            <w:vMerge/>
            <w:tcBorders>
              <w:top w:val="single" w:sz="4" w:space="0" w:color="auto"/>
              <w:left w:val="nil"/>
              <w:bottom w:val="single" w:sz="4" w:space="0" w:color="auto"/>
              <w:right w:val="nil"/>
            </w:tcBorders>
            <w:vAlign w:val="center"/>
            <w:hideMark/>
          </w:tcPr>
          <w:p w14:paraId="73AD70EA" w14:textId="77777777" w:rsidR="00F43D48" w:rsidRPr="009F028D" w:rsidRDefault="00F43D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5FD1A87B" w14:textId="3F6B58A2" w:rsidR="00F43D48" w:rsidRPr="00C47F2F" w:rsidRDefault="00F43D48" w:rsidP="00CD4B01">
            <w:pPr>
              <w:jc w:val="left"/>
              <w:rPr>
                <w:noProof/>
                <w:sz w:val="22"/>
                <w:szCs w:val="22"/>
                <w:lang w:eastAsia="ko-KR"/>
              </w:rPr>
            </w:pPr>
            <w:r w:rsidRPr="00C47F2F">
              <w:rPr>
                <w:noProof/>
                <w:sz w:val="22"/>
                <w:szCs w:val="22"/>
              </w:rPr>
              <w:t>3</w:t>
            </w:r>
            <w:r w:rsidR="008A0CCE" w:rsidRPr="009F028D">
              <w:rPr>
                <w:rFonts w:hint="eastAsia"/>
                <w:noProof/>
                <w:sz w:val="22"/>
                <w:szCs w:val="22"/>
                <w:lang w:eastAsia="ko-KR"/>
              </w:rPr>
              <w:t xml:space="preserve"> </w:t>
            </w:r>
            <w:r w:rsidRPr="00C47F2F">
              <w:rPr>
                <w:noProof/>
                <w:sz w:val="22"/>
                <w:szCs w:val="22"/>
              </w:rPr>
              <w:t>m</w:t>
            </w:r>
            <w:r w:rsidR="00CD4B01">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0939710C" w14:textId="695E6FD4" w:rsidR="00F43D48" w:rsidRPr="00C47F2F" w:rsidRDefault="00F43D48" w:rsidP="00CD4B01">
            <w:pPr>
              <w:jc w:val="left"/>
              <w:rPr>
                <w:noProof/>
                <w:sz w:val="22"/>
                <w:szCs w:val="22"/>
              </w:rPr>
            </w:pPr>
            <w:r w:rsidRPr="00C47F2F">
              <w:rPr>
                <w:noProof/>
                <w:sz w:val="22"/>
                <w:szCs w:val="22"/>
              </w:rPr>
              <w:t>1</w:t>
            </w:r>
            <w:r w:rsidR="008A0CCE" w:rsidRPr="009F028D">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7BB27E39" w14:textId="0C6CE1FE" w:rsidR="00F43D48" w:rsidRPr="00C47F2F" w:rsidRDefault="00F43D48" w:rsidP="00CD4B01">
            <w:pPr>
              <w:jc w:val="left"/>
              <w:rPr>
                <w:noProof/>
                <w:sz w:val="22"/>
                <w:szCs w:val="22"/>
              </w:rPr>
            </w:pPr>
            <w:r w:rsidRPr="00C47F2F">
              <w:rPr>
                <w:noProof/>
                <w:sz w:val="22"/>
                <w:szCs w:val="22"/>
              </w:rPr>
              <w:t>5</w:t>
            </w:r>
            <w:r w:rsidR="008A0CCE" w:rsidRPr="009F028D">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09A138A3" w14:textId="69199993" w:rsidR="00F43D48" w:rsidRPr="00C47F2F" w:rsidRDefault="00F43D48" w:rsidP="00CD4B01">
            <w:pPr>
              <w:jc w:val="left"/>
              <w:rPr>
                <w:noProof/>
                <w:sz w:val="22"/>
                <w:szCs w:val="22"/>
              </w:rPr>
            </w:pPr>
            <w:r w:rsidRPr="00C47F2F">
              <w:rPr>
                <w:noProof/>
                <w:sz w:val="22"/>
                <w:szCs w:val="22"/>
              </w:rPr>
              <w:t>10</w:t>
            </w:r>
            <w:r w:rsidR="008A0CCE" w:rsidRPr="009F028D">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0906764C" w14:textId="59DEDAA2" w:rsidR="00F43D48" w:rsidRPr="00C47F2F" w:rsidRDefault="00F43D48" w:rsidP="00CD4B01">
            <w:pPr>
              <w:jc w:val="left"/>
              <w:rPr>
                <w:noProof/>
                <w:sz w:val="22"/>
                <w:szCs w:val="22"/>
              </w:rPr>
            </w:pPr>
            <w:r w:rsidRPr="00C47F2F">
              <w:rPr>
                <w:noProof/>
                <w:sz w:val="22"/>
                <w:szCs w:val="22"/>
              </w:rPr>
              <w:t>15</w:t>
            </w:r>
            <w:r w:rsidR="008A0CCE" w:rsidRPr="009F028D">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57F4F41C" w14:textId="77777777" w:rsidR="00F43D48" w:rsidRPr="00C47F2F" w:rsidRDefault="00F43D48" w:rsidP="00CD4B01">
            <w:pPr>
              <w:jc w:val="left"/>
              <w:rPr>
                <w:noProof/>
                <w:sz w:val="22"/>
                <w:szCs w:val="22"/>
              </w:rPr>
            </w:pPr>
            <w:r w:rsidRPr="00C47F2F">
              <w:rPr>
                <w:noProof/>
                <w:sz w:val="22"/>
                <w:szCs w:val="22"/>
              </w:rPr>
              <w:t>Adult</w:t>
            </w:r>
          </w:p>
        </w:tc>
      </w:tr>
      <w:tr w:rsidR="00F43D48" w:rsidRPr="00972C81" w14:paraId="46EDF138" w14:textId="77777777" w:rsidTr="00CD4B01">
        <w:trPr>
          <w:trHeight w:val="283"/>
        </w:trPr>
        <w:tc>
          <w:tcPr>
            <w:tcW w:w="2087" w:type="pct"/>
            <w:tcBorders>
              <w:top w:val="single" w:sz="4" w:space="0" w:color="auto"/>
              <w:left w:val="nil"/>
              <w:bottom w:val="nil"/>
              <w:right w:val="nil"/>
            </w:tcBorders>
            <w:hideMark/>
          </w:tcPr>
          <w:p w14:paraId="6DF0D891" w14:textId="77777777" w:rsidR="00F43D48" w:rsidRPr="00C47F2F" w:rsidRDefault="00F43D48" w:rsidP="00CD4B01">
            <w:pPr>
              <w:jc w:val="left"/>
              <w:rPr>
                <w:noProof/>
                <w:sz w:val="22"/>
                <w:szCs w:val="22"/>
              </w:rPr>
            </w:pPr>
            <w:r w:rsidRPr="00C47F2F">
              <w:rPr>
                <w:rFonts w:eastAsia="Times New Roman"/>
                <w:noProof/>
                <w:color w:val="000000"/>
                <w:sz w:val="22"/>
                <w:szCs w:val="22"/>
              </w:rPr>
              <w:t>Water soluble forms, including chloride and citrate</w:t>
            </w:r>
          </w:p>
        </w:tc>
        <w:tc>
          <w:tcPr>
            <w:tcW w:w="485" w:type="pct"/>
            <w:tcBorders>
              <w:top w:val="single" w:sz="4" w:space="0" w:color="auto"/>
              <w:left w:val="nil"/>
              <w:bottom w:val="nil"/>
              <w:right w:val="nil"/>
            </w:tcBorders>
            <w:hideMark/>
          </w:tcPr>
          <w:p w14:paraId="4BB12265"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2.0E-09</w:t>
            </w:r>
          </w:p>
        </w:tc>
        <w:tc>
          <w:tcPr>
            <w:tcW w:w="485" w:type="pct"/>
            <w:tcBorders>
              <w:top w:val="single" w:sz="4" w:space="0" w:color="auto"/>
              <w:left w:val="nil"/>
              <w:bottom w:val="nil"/>
              <w:right w:val="nil"/>
            </w:tcBorders>
            <w:hideMark/>
          </w:tcPr>
          <w:p w14:paraId="65814FEF"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1.5E-09</w:t>
            </w:r>
          </w:p>
        </w:tc>
        <w:tc>
          <w:tcPr>
            <w:tcW w:w="485" w:type="pct"/>
            <w:tcBorders>
              <w:top w:val="single" w:sz="4" w:space="0" w:color="auto"/>
              <w:left w:val="nil"/>
              <w:bottom w:val="nil"/>
              <w:right w:val="nil"/>
            </w:tcBorders>
            <w:hideMark/>
          </w:tcPr>
          <w:p w14:paraId="2CE47C76"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7.4E-10</w:t>
            </w:r>
          </w:p>
        </w:tc>
        <w:tc>
          <w:tcPr>
            <w:tcW w:w="485" w:type="pct"/>
            <w:tcBorders>
              <w:top w:val="single" w:sz="4" w:space="0" w:color="auto"/>
              <w:left w:val="nil"/>
              <w:bottom w:val="nil"/>
              <w:right w:val="nil"/>
            </w:tcBorders>
            <w:hideMark/>
          </w:tcPr>
          <w:p w14:paraId="54877F47"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5.2E-10</w:t>
            </w:r>
          </w:p>
        </w:tc>
        <w:tc>
          <w:tcPr>
            <w:tcW w:w="485" w:type="pct"/>
            <w:tcBorders>
              <w:top w:val="single" w:sz="4" w:space="0" w:color="auto"/>
              <w:left w:val="nil"/>
              <w:bottom w:val="nil"/>
              <w:right w:val="nil"/>
            </w:tcBorders>
            <w:hideMark/>
          </w:tcPr>
          <w:p w14:paraId="6D2A9A69"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3.7E-10</w:t>
            </w:r>
          </w:p>
        </w:tc>
        <w:tc>
          <w:tcPr>
            <w:tcW w:w="485" w:type="pct"/>
            <w:tcBorders>
              <w:top w:val="single" w:sz="4" w:space="0" w:color="auto"/>
              <w:left w:val="nil"/>
              <w:bottom w:val="nil"/>
              <w:right w:val="nil"/>
            </w:tcBorders>
            <w:hideMark/>
          </w:tcPr>
          <w:p w14:paraId="1672A343"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3.2E-10</w:t>
            </w:r>
          </w:p>
        </w:tc>
      </w:tr>
      <w:tr w:rsidR="00F43D48" w:rsidRPr="00972C81" w14:paraId="2A7FFD92" w14:textId="77777777" w:rsidTr="00CD4B01">
        <w:trPr>
          <w:trHeight w:val="283"/>
        </w:trPr>
        <w:tc>
          <w:tcPr>
            <w:tcW w:w="2087" w:type="pct"/>
            <w:tcBorders>
              <w:top w:val="nil"/>
              <w:left w:val="nil"/>
              <w:bottom w:val="nil"/>
              <w:right w:val="nil"/>
            </w:tcBorders>
            <w:hideMark/>
          </w:tcPr>
          <w:p w14:paraId="314BCDCE"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Dioxide</w:t>
            </w:r>
          </w:p>
        </w:tc>
        <w:tc>
          <w:tcPr>
            <w:tcW w:w="485" w:type="pct"/>
            <w:tcBorders>
              <w:top w:val="nil"/>
              <w:left w:val="nil"/>
              <w:bottom w:val="nil"/>
              <w:right w:val="nil"/>
            </w:tcBorders>
            <w:hideMark/>
          </w:tcPr>
          <w:p w14:paraId="44233738"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2.2E-09</w:t>
            </w:r>
          </w:p>
        </w:tc>
        <w:tc>
          <w:tcPr>
            <w:tcW w:w="485" w:type="pct"/>
            <w:tcBorders>
              <w:top w:val="nil"/>
              <w:left w:val="nil"/>
              <w:bottom w:val="nil"/>
              <w:right w:val="nil"/>
            </w:tcBorders>
            <w:hideMark/>
          </w:tcPr>
          <w:p w14:paraId="160A41F4"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1.6E-09</w:t>
            </w:r>
          </w:p>
        </w:tc>
        <w:tc>
          <w:tcPr>
            <w:tcW w:w="485" w:type="pct"/>
            <w:tcBorders>
              <w:top w:val="nil"/>
              <w:left w:val="nil"/>
              <w:bottom w:val="nil"/>
              <w:right w:val="nil"/>
            </w:tcBorders>
            <w:hideMark/>
          </w:tcPr>
          <w:p w14:paraId="2290E29E"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8.6E-10</w:t>
            </w:r>
          </w:p>
        </w:tc>
        <w:tc>
          <w:tcPr>
            <w:tcW w:w="485" w:type="pct"/>
            <w:tcBorders>
              <w:top w:val="nil"/>
              <w:left w:val="nil"/>
              <w:bottom w:val="nil"/>
              <w:right w:val="nil"/>
            </w:tcBorders>
            <w:hideMark/>
          </w:tcPr>
          <w:p w14:paraId="2B528AFC"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6.0E-10</w:t>
            </w:r>
          </w:p>
        </w:tc>
        <w:tc>
          <w:tcPr>
            <w:tcW w:w="485" w:type="pct"/>
            <w:tcBorders>
              <w:top w:val="nil"/>
              <w:left w:val="nil"/>
              <w:bottom w:val="nil"/>
              <w:right w:val="nil"/>
            </w:tcBorders>
            <w:hideMark/>
          </w:tcPr>
          <w:p w14:paraId="18AAB93F"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4.4E-10</w:t>
            </w:r>
          </w:p>
        </w:tc>
        <w:tc>
          <w:tcPr>
            <w:tcW w:w="485" w:type="pct"/>
            <w:tcBorders>
              <w:top w:val="nil"/>
              <w:left w:val="nil"/>
              <w:bottom w:val="nil"/>
              <w:right w:val="nil"/>
            </w:tcBorders>
            <w:hideMark/>
          </w:tcPr>
          <w:p w14:paraId="6891553D"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3.9E-10</w:t>
            </w:r>
          </w:p>
        </w:tc>
      </w:tr>
      <w:tr w:rsidR="00F43D48" w:rsidRPr="00972C81" w14:paraId="67AC40F0" w14:textId="77777777" w:rsidTr="00CD4B01">
        <w:trPr>
          <w:trHeight w:val="283"/>
        </w:trPr>
        <w:tc>
          <w:tcPr>
            <w:tcW w:w="2087" w:type="pct"/>
            <w:tcBorders>
              <w:top w:val="nil"/>
              <w:left w:val="nil"/>
              <w:bottom w:val="nil"/>
              <w:right w:val="nil"/>
            </w:tcBorders>
            <w:hideMark/>
          </w:tcPr>
          <w:p w14:paraId="0B2F9FE9" w14:textId="77777777" w:rsidR="00F43D48" w:rsidRPr="00C47F2F" w:rsidRDefault="00F43D48" w:rsidP="00CD4B01">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3D166744"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1.8E-09</w:t>
            </w:r>
          </w:p>
        </w:tc>
        <w:tc>
          <w:tcPr>
            <w:tcW w:w="485" w:type="pct"/>
            <w:tcBorders>
              <w:top w:val="nil"/>
              <w:left w:val="nil"/>
              <w:bottom w:val="nil"/>
              <w:right w:val="nil"/>
            </w:tcBorders>
            <w:hideMark/>
          </w:tcPr>
          <w:p w14:paraId="1F846955"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1.3E-09</w:t>
            </w:r>
          </w:p>
        </w:tc>
        <w:tc>
          <w:tcPr>
            <w:tcW w:w="485" w:type="pct"/>
            <w:tcBorders>
              <w:top w:val="nil"/>
              <w:left w:val="nil"/>
              <w:bottom w:val="nil"/>
              <w:right w:val="nil"/>
            </w:tcBorders>
            <w:hideMark/>
          </w:tcPr>
          <w:p w14:paraId="35C99C40"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6.2E-10</w:t>
            </w:r>
          </w:p>
        </w:tc>
        <w:tc>
          <w:tcPr>
            <w:tcW w:w="485" w:type="pct"/>
            <w:tcBorders>
              <w:top w:val="nil"/>
              <w:left w:val="nil"/>
              <w:bottom w:val="nil"/>
              <w:right w:val="nil"/>
            </w:tcBorders>
            <w:hideMark/>
          </w:tcPr>
          <w:p w14:paraId="127C09D6"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4.3E-10</w:t>
            </w:r>
          </w:p>
        </w:tc>
        <w:tc>
          <w:tcPr>
            <w:tcW w:w="485" w:type="pct"/>
            <w:tcBorders>
              <w:top w:val="nil"/>
              <w:left w:val="nil"/>
              <w:bottom w:val="nil"/>
              <w:right w:val="nil"/>
            </w:tcBorders>
            <w:hideMark/>
          </w:tcPr>
          <w:p w14:paraId="3B920E44"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3.0E-10</w:t>
            </w:r>
          </w:p>
        </w:tc>
        <w:tc>
          <w:tcPr>
            <w:tcW w:w="485" w:type="pct"/>
            <w:tcBorders>
              <w:top w:val="nil"/>
              <w:left w:val="nil"/>
              <w:bottom w:val="nil"/>
              <w:right w:val="nil"/>
            </w:tcBorders>
            <w:hideMark/>
          </w:tcPr>
          <w:p w14:paraId="6D3A1108"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2.4E-10</w:t>
            </w:r>
          </w:p>
        </w:tc>
      </w:tr>
      <w:tr w:rsidR="00F43D48" w:rsidRPr="00972C81" w14:paraId="14611710" w14:textId="77777777" w:rsidTr="00CD4B01">
        <w:trPr>
          <w:trHeight w:val="283"/>
        </w:trPr>
        <w:tc>
          <w:tcPr>
            <w:tcW w:w="2087" w:type="pct"/>
            <w:tcBorders>
              <w:top w:val="nil"/>
              <w:left w:val="nil"/>
              <w:bottom w:val="nil"/>
              <w:right w:val="nil"/>
            </w:tcBorders>
            <w:hideMark/>
          </w:tcPr>
          <w:p w14:paraId="564419B8" w14:textId="77777777" w:rsidR="00F43D48" w:rsidRPr="00C47F2F" w:rsidRDefault="00F43D48" w:rsidP="00CD4B01">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hideMark/>
          </w:tcPr>
          <w:p w14:paraId="0D9B7C37"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2.1E-09</w:t>
            </w:r>
          </w:p>
        </w:tc>
        <w:tc>
          <w:tcPr>
            <w:tcW w:w="485" w:type="pct"/>
            <w:tcBorders>
              <w:top w:val="nil"/>
              <w:left w:val="nil"/>
              <w:bottom w:val="nil"/>
              <w:right w:val="nil"/>
            </w:tcBorders>
            <w:hideMark/>
          </w:tcPr>
          <w:p w14:paraId="20F911B0"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1.6E-09</w:t>
            </w:r>
          </w:p>
        </w:tc>
        <w:tc>
          <w:tcPr>
            <w:tcW w:w="485" w:type="pct"/>
            <w:tcBorders>
              <w:top w:val="nil"/>
              <w:left w:val="nil"/>
              <w:bottom w:val="nil"/>
              <w:right w:val="nil"/>
            </w:tcBorders>
            <w:hideMark/>
          </w:tcPr>
          <w:p w14:paraId="0E286043"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8.1E-10</w:t>
            </w:r>
          </w:p>
        </w:tc>
        <w:tc>
          <w:tcPr>
            <w:tcW w:w="485" w:type="pct"/>
            <w:tcBorders>
              <w:top w:val="nil"/>
              <w:left w:val="nil"/>
              <w:bottom w:val="nil"/>
              <w:right w:val="nil"/>
            </w:tcBorders>
            <w:hideMark/>
          </w:tcPr>
          <w:p w14:paraId="3E019D37"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5.7E-10</w:t>
            </w:r>
          </w:p>
        </w:tc>
        <w:tc>
          <w:tcPr>
            <w:tcW w:w="485" w:type="pct"/>
            <w:tcBorders>
              <w:top w:val="nil"/>
              <w:left w:val="nil"/>
              <w:bottom w:val="nil"/>
              <w:right w:val="nil"/>
            </w:tcBorders>
            <w:hideMark/>
          </w:tcPr>
          <w:p w14:paraId="5EF92DA1"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4.1E-10</w:t>
            </w:r>
          </w:p>
        </w:tc>
        <w:tc>
          <w:tcPr>
            <w:tcW w:w="485" w:type="pct"/>
            <w:tcBorders>
              <w:top w:val="nil"/>
              <w:left w:val="nil"/>
              <w:bottom w:val="nil"/>
              <w:right w:val="nil"/>
            </w:tcBorders>
            <w:hideMark/>
          </w:tcPr>
          <w:p w14:paraId="185873D9"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3.6E-10</w:t>
            </w:r>
          </w:p>
        </w:tc>
      </w:tr>
      <w:tr w:rsidR="00F43D48" w:rsidRPr="00972C81" w14:paraId="14087ABA" w14:textId="77777777" w:rsidTr="00CD4B01">
        <w:trPr>
          <w:trHeight w:val="283"/>
        </w:trPr>
        <w:tc>
          <w:tcPr>
            <w:tcW w:w="2087" w:type="pct"/>
            <w:tcBorders>
              <w:top w:val="nil"/>
              <w:left w:val="nil"/>
              <w:bottom w:val="single" w:sz="4" w:space="0" w:color="auto"/>
              <w:right w:val="nil"/>
            </w:tcBorders>
            <w:hideMark/>
          </w:tcPr>
          <w:p w14:paraId="6BBE825F" w14:textId="77777777" w:rsidR="00F43D48" w:rsidRPr="00C47F2F" w:rsidRDefault="00F43D48" w:rsidP="00CD4B01">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485" w:type="pct"/>
            <w:tcBorders>
              <w:top w:val="nil"/>
              <w:left w:val="nil"/>
              <w:bottom w:val="single" w:sz="4" w:space="0" w:color="auto"/>
              <w:right w:val="nil"/>
            </w:tcBorders>
            <w:hideMark/>
          </w:tcPr>
          <w:p w14:paraId="069C743F"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2.2E-09</w:t>
            </w:r>
          </w:p>
        </w:tc>
        <w:tc>
          <w:tcPr>
            <w:tcW w:w="485" w:type="pct"/>
            <w:tcBorders>
              <w:top w:val="nil"/>
              <w:left w:val="nil"/>
              <w:bottom w:val="single" w:sz="4" w:space="0" w:color="auto"/>
              <w:right w:val="nil"/>
            </w:tcBorders>
            <w:hideMark/>
          </w:tcPr>
          <w:p w14:paraId="3B244092"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1.6E-09</w:t>
            </w:r>
          </w:p>
        </w:tc>
        <w:tc>
          <w:tcPr>
            <w:tcW w:w="485" w:type="pct"/>
            <w:tcBorders>
              <w:top w:val="nil"/>
              <w:left w:val="nil"/>
              <w:bottom w:val="single" w:sz="4" w:space="0" w:color="auto"/>
              <w:right w:val="nil"/>
            </w:tcBorders>
            <w:hideMark/>
          </w:tcPr>
          <w:p w14:paraId="78CDF6E7"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8.6E-10</w:t>
            </w:r>
          </w:p>
        </w:tc>
        <w:tc>
          <w:tcPr>
            <w:tcW w:w="485" w:type="pct"/>
            <w:tcBorders>
              <w:top w:val="nil"/>
              <w:left w:val="nil"/>
              <w:bottom w:val="single" w:sz="4" w:space="0" w:color="auto"/>
              <w:right w:val="nil"/>
            </w:tcBorders>
            <w:hideMark/>
          </w:tcPr>
          <w:p w14:paraId="10860245"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6.0E-10</w:t>
            </w:r>
          </w:p>
        </w:tc>
        <w:tc>
          <w:tcPr>
            <w:tcW w:w="485" w:type="pct"/>
            <w:tcBorders>
              <w:top w:val="nil"/>
              <w:left w:val="nil"/>
              <w:bottom w:val="single" w:sz="4" w:space="0" w:color="auto"/>
              <w:right w:val="nil"/>
            </w:tcBorders>
            <w:hideMark/>
          </w:tcPr>
          <w:p w14:paraId="0011B868"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4.3E-10</w:t>
            </w:r>
          </w:p>
        </w:tc>
        <w:tc>
          <w:tcPr>
            <w:tcW w:w="485" w:type="pct"/>
            <w:tcBorders>
              <w:top w:val="nil"/>
              <w:left w:val="nil"/>
              <w:bottom w:val="single" w:sz="4" w:space="0" w:color="auto"/>
              <w:right w:val="nil"/>
            </w:tcBorders>
            <w:hideMark/>
          </w:tcPr>
          <w:p w14:paraId="42DC2F1E"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3.9E-10</w:t>
            </w:r>
          </w:p>
        </w:tc>
      </w:tr>
      <w:tr w:rsidR="00F43D48" w:rsidRPr="00972C81" w14:paraId="59C26DD2" w14:textId="77777777" w:rsidTr="00CD4B01">
        <w:trPr>
          <w:trHeight w:val="283"/>
        </w:trPr>
        <w:tc>
          <w:tcPr>
            <w:tcW w:w="2087" w:type="pct"/>
            <w:tcBorders>
              <w:top w:val="single" w:sz="4" w:space="0" w:color="auto"/>
              <w:left w:val="nil"/>
              <w:bottom w:val="single" w:sz="4" w:space="0" w:color="auto"/>
              <w:right w:val="nil"/>
            </w:tcBorders>
          </w:tcPr>
          <w:p w14:paraId="2458F71B" w14:textId="77777777" w:rsidR="00F43D48" w:rsidRPr="00232741" w:rsidRDefault="00F43D48" w:rsidP="00C47F2F">
            <w:pPr>
              <w:pStyle w:val="Table"/>
              <w:rPr>
                <w:rFonts w:eastAsiaTheme="minorHAnsi"/>
                <w:noProof/>
                <w:szCs w:val="22"/>
              </w:rPr>
            </w:pPr>
          </w:p>
          <w:p w14:paraId="040C8FDE" w14:textId="77777777" w:rsidR="00F43D48" w:rsidRPr="00C47F2F" w:rsidRDefault="00F43D48"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70F7EEF1"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729695B3"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15F9E180"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2E4CAD83"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EA95567"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513E2FF3" w14:textId="77777777" w:rsidR="00F43D48" w:rsidRPr="00C47F2F" w:rsidRDefault="00F43D48" w:rsidP="00C47F2F">
            <w:pPr>
              <w:jc w:val="left"/>
              <w:rPr>
                <w:rFonts w:eastAsia="Times New Roman"/>
                <w:noProof/>
                <w:color w:val="000000"/>
                <w:sz w:val="22"/>
                <w:szCs w:val="22"/>
              </w:rPr>
            </w:pPr>
          </w:p>
        </w:tc>
      </w:tr>
      <w:tr w:rsidR="00F43D48" w:rsidRPr="00972C81" w14:paraId="1C26DB09" w14:textId="77777777" w:rsidTr="00CD4B01">
        <w:trPr>
          <w:trHeight w:val="283"/>
        </w:trPr>
        <w:tc>
          <w:tcPr>
            <w:tcW w:w="2087" w:type="pct"/>
            <w:tcBorders>
              <w:top w:val="single" w:sz="4" w:space="0" w:color="auto"/>
              <w:left w:val="nil"/>
              <w:bottom w:val="single" w:sz="4" w:space="0" w:color="auto"/>
              <w:right w:val="nil"/>
            </w:tcBorders>
            <w:vAlign w:val="center"/>
            <w:hideMark/>
          </w:tcPr>
          <w:p w14:paraId="12FBE463" w14:textId="5F1DE5F4" w:rsidR="00F43D48" w:rsidRPr="00C47F2F" w:rsidRDefault="00F43D48" w:rsidP="00CD4B01">
            <w:pPr>
              <w:jc w:val="left"/>
              <w:rPr>
                <w:rFonts w:eastAsiaTheme="minorHAnsi"/>
                <w:noProof/>
                <w:sz w:val="22"/>
                <w:szCs w:val="22"/>
              </w:rPr>
            </w:pPr>
            <w:r w:rsidRPr="00C47F2F">
              <w:rPr>
                <w:rFonts w:eastAsia="Times New Roman"/>
                <w:noProof/>
                <w:color w:val="000000"/>
                <w:sz w:val="22"/>
                <w:szCs w:val="22"/>
                <w:lang w:eastAsia="en-GB"/>
              </w:rPr>
              <w:t>All compounds</w:t>
            </w:r>
          </w:p>
        </w:tc>
        <w:tc>
          <w:tcPr>
            <w:tcW w:w="485" w:type="pct"/>
            <w:tcBorders>
              <w:top w:val="single" w:sz="4" w:space="0" w:color="auto"/>
              <w:left w:val="nil"/>
              <w:bottom w:val="single" w:sz="4" w:space="0" w:color="auto"/>
              <w:right w:val="nil"/>
            </w:tcBorders>
            <w:vAlign w:val="center"/>
            <w:hideMark/>
          </w:tcPr>
          <w:p w14:paraId="64756E4C"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1.6E-09</w:t>
            </w:r>
          </w:p>
        </w:tc>
        <w:tc>
          <w:tcPr>
            <w:tcW w:w="485" w:type="pct"/>
            <w:tcBorders>
              <w:top w:val="single" w:sz="4" w:space="0" w:color="auto"/>
              <w:left w:val="nil"/>
              <w:bottom w:val="single" w:sz="4" w:space="0" w:color="auto"/>
              <w:right w:val="nil"/>
            </w:tcBorders>
            <w:vAlign w:val="center"/>
            <w:hideMark/>
          </w:tcPr>
          <w:p w14:paraId="08154CA1"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1.3E-09</w:t>
            </w:r>
          </w:p>
        </w:tc>
        <w:tc>
          <w:tcPr>
            <w:tcW w:w="485" w:type="pct"/>
            <w:tcBorders>
              <w:top w:val="single" w:sz="4" w:space="0" w:color="auto"/>
              <w:left w:val="nil"/>
              <w:bottom w:val="single" w:sz="4" w:space="0" w:color="auto"/>
              <w:right w:val="nil"/>
            </w:tcBorders>
            <w:vAlign w:val="center"/>
            <w:hideMark/>
          </w:tcPr>
          <w:p w14:paraId="342968FF"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8.0E-10</w:t>
            </w:r>
          </w:p>
        </w:tc>
        <w:tc>
          <w:tcPr>
            <w:tcW w:w="485" w:type="pct"/>
            <w:tcBorders>
              <w:top w:val="single" w:sz="4" w:space="0" w:color="auto"/>
              <w:left w:val="nil"/>
              <w:bottom w:val="single" w:sz="4" w:space="0" w:color="auto"/>
              <w:right w:val="nil"/>
            </w:tcBorders>
            <w:vAlign w:val="center"/>
            <w:hideMark/>
          </w:tcPr>
          <w:p w14:paraId="33ADD46E"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5.7E-10</w:t>
            </w:r>
          </w:p>
        </w:tc>
        <w:tc>
          <w:tcPr>
            <w:tcW w:w="485" w:type="pct"/>
            <w:tcBorders>
              <w:top w:val="single" w:sz="4" w:space="0" w:color="auto"/>
              <w:left w:val="nil"/>
              <w:bottom w:val="single" w:sz="4" w:space="0" w:color="auto"/>
              <w:right w:val="nil"/>
            </w:tcBorders>
            <w:vAlign w:val="center"/>
            <w:hideMark/>
          </w:tcPr>
          <w:p w14:paraId="2EBB58FA"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3.6E-10</w:t>
            </w:r>
          </w:p>
        </w:tc>
        <w:tc>
          <w:tcPr>
            <w:tcW w:w="485" w:type="pct"/>
            <w:tcBorders>
              <w:top w:val="single" w:sz="4" w:space="0" w:color="auto"/>
              <w:left w:val="nil"/>
              <w:bottom w:val="single" w:sz="4" w:space="0" w:color="auto"/>
              <w:right w:val="nil"/>
            </w:tcBorders>
            <w:vAlign w:val="center"/>
            <w:hideMark/>
          </w:tcPr>
          <w:p w14:paraId="64514091" w14:textId="77777777" w:rsidR="00F43D48" w:rsidRPr="00C47F2F" w:rsidRDefault="00F43D48" w:rsidP="00CD4B01">
            <w:pPr>
              <w:jc w:val="left"/>
              <w:rPr>
                <w:rFonts w:eastAsia="Times New Roman"/>
                <w:noProof/>
                <w:color w:val="000000"/>
                <w:sz w:val="22"/>
                <w:szCs w:val="22"/>
              </w:rPr>
            </w:pPr>
            <w:r w:rsidRPr="00C47F2F">
              <w:rPr>
                <w:rFonts w:eastAsia="Times New Roman"/>
                <w:noProof/>
                <w:color w:val="000000"/>
                <w:sz w:val="22"/>
                <w:szCs w:val="22"/>
              </w:rPr>
              <w:t>3.0E-10</w:t>
            </w:r>
          </w:p>
        </w:tc>
      </w:tr>
    </w:tbl>
    <w:p w14:paraId="713FD1C7" w14:textId="55EF70CC" w:rsidR="007D1F4D" w:rsidRPr="00972C81" w:rsidRDefault="007649A9" w:rsidP="009F028D">
      <w:pPr>
        <w:pStyle w:val="1"/>
        <w:rPr>
          <w:noProof/>
        </w:rPr>
      </w:pPr>
      <w:r w:rsidRPr="00972C81">
        <w:rPr>
          <w:noProof/>
        </w:rPr>
        <w:br w:type="page"/>
      </w:r>
      <w:bookmarkStart w:id="187" w:name="_Toc455492625"/>
      <w:bookmarkStart w:id="188" w:name="_Toc455493054"/>
      <w:bookmarkStart w:id="189" w:name="_Toc162630049"/>
      <w:r w:rsidR="00DC407D" w:rsidRPr="00972C81">
        <w:rPr>
          <w:noProof/>
        </w:rPr>
        <w:lastRenderedPageBreak/>
        <w:t>Erbium (Z = 68)</w:t>
      </w:r>
      <w:bookmarkEnd w:id="187"/>
      <w:bookmarkEnd w:id="188"/>
      <w:bookmarkEnd w:id="189"/>
    </w:p>
    <w:p w14:paraId="485CC9AF" w14:textId="10D5716E" w:rsidR="000B33B9" w:rsidRPr="00972C81" w:rsidRDefault="000B33B9" w:rsidP="00E81109">
      <w:pPr>
        <w:pStyle w:val="2"/>
        <w:rPr>
          <w:noProof/>
          <w:lang w:val="en-GB"/>
        </w:rPr>
      </w:pPr>
      <w:bookmarkStart w:id="190" w:name="_Toc17467864"/>
      <w:bookmarkStart w:id="191" w:name="_Toc455492627"/>
      <w:bookmarkStart w:id="192" w:name="_Toc455493056"/>
      <w:bookmarkStart w:id="193" w:name="_Toc162630050"/>
      <w:bookmarkEnd w:id="190"/>
      <w:r w:rsidRPr="00972C81">
        <w:rPr>
          <w:noProof/>
          <w:lang w:val="en-GB"/>
        </w:rPr>
        <w:t>Routes of Intake</w:t>
      </w:r>
      <w:bookmarkEnd w:id="191"/>
      <w:bookmarkEnd w:id="192"/>
      <w:bookmarkEnd w:id="193"/>
    </w:p>
    <w:p w14:paraId="0EE37AB9" w14:textId="77777777" w:rsidR="000B33B9" w:rsidRPr="00972C81" w:rsidRDefault="000B33B9" w:rsidP="00E81109">
      <w:pPr>
        <w:pStyle w:val="3"/>
        <w:rPr>
          <w:noProof/>
        </w:rPr>
      </w:pPr>
      <w:bookmarkStart w:id="194" w:name="_Toc162630051"/>
      <w:r w:rsidRPr="00972C81">
        <w:rPr>
          <w:noProof/>
        </w:rPr>
        <w:t>Inhalation</w:t>
      </w:r>
      <w:bookmarkEnd w:id="194"/>
    </w:p>
    <w:p w14:paraId="2356D10C" w14:textId="3C42B709" w:rsidR="007D1F4D" w:rsidRPr="00972C81" w:rsidRDefault="000B33B9" w:rsidP="00E81109">
      <w:pPr>
        <w:pStyle w:val="Annalstext"/>
        <w:rPr>
          <w:noProof/>
        </w:rPr>
      </w:pPr>
      <w:r w:rsidRPr="00972C81">
        <w:rPr>
          <w:noProof/>
        </w:rPr>
        <w:t xml:space="preserve">No reports were found of experimental studies on the behaviour of erbium following deposition in the respiratory tract. </w:t>
      </w:r>
      <w:r w:rsidR="000579A0" w:rsidRPr="00972C81">
        <w:rPr>
          <w:noProof/>
        </w:rPr>
        <w:t>A</w:t>
      </w:r>
      <w:r w:rsidRPr="00972C81">
        <w:rPr>
          <w:noProof/>
        </w:rPr>
        <w:t xml:space="preserve">bsorption parameter values based on cerium are applied in this document to the other lanthanides, including erbium. Absorption parameter values and Types, and associated </w:t>
      </w:r>
      <w:r w:rsidRPr="00972C81">
        <w:rPr>
          <w:i/>
          <w:noProof/>
        </w:rPr>
        <w:t>f</w:t>
      </w:r>
      <w:r w:rsidRPr="00972C81">
        <w:rPr>
          <w:noProof/>
          <w:vertAlign w:val="subscript"/>
        </w:rPr>
        <w:t>A</w:t>
      </w:r>
      <w:r w:rsidRPr="00972C81">
        <w:rPr>
          <w:noProof/>
        </w:rPr>
        <w:t xml:space="preserve"> values for particulate forms of erbium are given in </w:t>
      </w:r>
      <w:r w:rsidR="00B94D6D" w:rsidRPr="00972C81">
        <w:rPr>
          <w:noProof/>
        </w:rPr>
        <w:fldChar w:fldCharType="begin"/>
      </w:r>
      <w:r w:rsidR="00B94D6D" w:rsidRPr="00972C81">
        <w:rPr>
          <w:noProof/>
        </w:rPr>
        <w:instrText xml:space="preserve"> REF _Ref417994983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1</w:t>
      </w:r>
      <w:r w:rsidR="00B94D6D" w:rsidRPr="00972C81">
        <w:rPr>
          <w:noProof/>
        </w:rPr>
        <w:fldChar w:fldCharType="end"/>
      </w:r>
      <w:r w:rsidR="00B94D6D" w:rsidRPr="00972C81">
        <w:rPr>
          <w:noProof/>
        </w:rPr>
        <w:t xml:space="preserve"> and </w:t>
      </w:r>
      <w:r w:rsidR="00B94D6D" w:rsidRPr="00972C81">
        <w:rPr>
          <w:noProof/>
        </w:rPr>
        <w:fldChar w:fldCharType="begin"/>
      </w:r>
      <w:r w:rsidR="00B94D6D" w:rsidRPr="00972C81">
        <w:rPr>
          <w:noProof/>
        </w:rPr>
        <w:instrText xml:space="preserve"> REF _Ref141784472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B94D6D" w:rsidRPr="00972C81">
        <w:rPr>
          <w:noProof/>
        </w:rPr>
        <w:fldChar w:fldCharType="end"/>
      </w:r>
      <w:r w:rsidR="00B94D6D" w:rsidRPr="00972C81">
        <w:rPr>
          <w:noProof/>
        </w:rPr>
        <w:t xml:space="preserve"> </w:t>
      </w:r>
      <w:r w:rsidRPr="00972C81">
        <w:rPr>
          <w:noProof/>
        </w:rPr>
        <w:t xml:space="preserve">of the </w:t>
      </w:r>
      <w:r w:rsidR="000579A0" w:rsidRPr="00972C81">
        <w:rPr>
          <w:noProof/>
        </w:rPr>
        <w:t>lanthanum S</w:t>
      </w:r>
      <w:r w:rsidRPr="00972C81">
        <w:rPr>
          <w:noProof/>
        </w:rPr>
        <w:t>ection.</w:t>
      </w:r>
    </w:p>
    <w:p w14:paraId="5E23AF81" w14:textId="77777777" w:rsidR="000B33B9" w:rsidRPr="00972C81" w:rsidRDefault="000B33B9" w:rsidP="00E81109">
      <w:pPr>
        <w:pStyle w:val="3"/>
        <w:rPr>
          <w:noProof/>
        </w:rPr>
      </w:pPr>
      <w:bookmarkStart w:id="195" w:name="_Toc162630052"/>
      <w:r w:rsidRPr="00972C81">
        <w:rPr>
          <w:noProof/>
        </w:rPr>
        <w:t>Ingestion</w:t>
      </w:r>
      <w:bookmarkEnd w:id="195"/>
    </w:p>
    <w:p w14:paraId="1A10DF74" w14:textId="69B3E5A8" w:rsidR="00C3237A" w:rsidRPr="00972C81" w:rsidRDefault="00DC407D" w:rsidP="001C4A92">
      <w:pPr>
        <w:pStyle w:val="Annalstext"/>
        <w:rPr>
          <w:noProof/>
        </w:rPr>
      </w:pPr>
      <w:r w:rsidRPr="00972C81">
        <w:rPr>
          <w:i/>
          <w:noProof/>
        </w:rPr>
        <w:t>Adults</w:t>
      </w:r>
      <w:r w:rsidR="00663AC5" w:rsidRPr="00972C81">
        <w:rPr>
          <w:noProof/>
        </w:rPr>
        <w:t xml:space="preserve">. In Section 2 of </w:t>
      </w:r>
      <w:r w:rsidR="00663AC5" w:rsidRPr="00972C81">
        <w:rPr>
          <w:i/>
          <w:noProof/>
        </w:rPr>
        <w:t>Publication 141</w:t>
      </w:r>
      <w:r w:rsidR="00663AC5" w:rsidRPr="00972C81">
        <w:rPr>
          <w:noProof/>
        </w:rPr>
        <w:t xml:space="preserve"> </w:t>
      </w:r>
      <w:r w:rsidR="00497094" w:rsidRPr="00972C81">
        <w:rPr>
          <w:noProof/>
        </w:rPr>
        <w:fldChar w:fldCharType="begin"/>
      </w:r>
      <w:r w:rsidR="00497094" w:rsidRPr="00972C81">
        <w:rPr>
          <w:noProof/>
        </w:rPr>
        <w:instrText xml:space="preserve"> ADDIN ZOTERO_ITEM CSL_CITATION {"citationID":"9dmZC6Ct","properties":{"formattedCitation":"(ICRP,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497094" w:rsidRPr="00972C81">
        <w:rPr>
          <w:noProof/>
        </w:rPr>
        <w:fldChar w:fldCharType="separate"/>
      </w:r>
      <w:r w:rsidR="00BC59C6" w:rsidRPr="00972C81">
        <w:rPr>
          <w:noProof/>
        </w:rPr>
        <w:t>(ICRP, 2019)</w:t>
      </w:r>
      <w:r w:rsidR="00497094" w:rsidRPr="00972C81">
        <w:rPr>
          <w:noProof/>
        </w:rPr>
        <w:fldChar w:fldCharType="end"/>
      </w:r>
      <w:r w:rsidR="00663AC5" w:rsidRPr="00972C81">
        <w:rPr>
          <w:noProof/>
        </w:rPr>
        <w:t>,</w:t>
      </w:r>
      <w:r w:rsidR="00C3237A" w:rsidRPr="00972C81">
        <w:rPr>
          <w:noProof/>
        </w:rPr>
        <w:t xml:space="preserve"> information relating to the gastrointestinal absorption of different lanthanide elements was compared. Their fractional absorption was found to be below 10</w:t>
      </w:r>
      <w:r w:rsidRPr="00972C81">
        <w:rPr>
          <w:noProof/>
          <w:vertAlign w:val="superscript"/>
        </w:rPr>
        <w:t>-3</w:t>
      </w:r>
      <w:r w:rsidR="00C3237A" w:rsidRPr="00972C81">
        <w:rPr>
          <w:noProof/>
        </w:rPr>
        <w:t xml:space="preserve"> in most cases and a </w:t>
      </w:r>
      <w:r w:rsidRPr="00972C81">
        <w:rPr>
          <w:i/>
          <w:noProof/>
        </w:rPr>
        <w:t>f</w:t>
      </w:r>
      <w:r w:rsidRPr="00972C81">
        <w:rPr>
          <w:noProof/>
          <w:vertAlign w:val="subscript"/>
        </w:rPr>
        <w:t>A</w:t>
      </w:r>
      <w:r w:rsidR="00C3237A" w:rsidRPr="00972C81">
        <w:rPr>
          <w:noProof/>
        </w:rPr>
        <w:t xml:space="preserve"> value 5</w:t>
      </w:r>
      <w:r w:rsidR="00067025" w:rsidRPr="00972C81">
        <w:rPr>
          <w:noProof/>
        </w:rPr>
        <w:t xml:space="preserve"> × </w:t>
      </w:r>
      <w:r w:rsidR="00C3237A" w:rsidRPr="00972C81">
        <w:rPr>
          <w:noProof/>
        </w:rPr>
        <w:t>10</w:t>
      </w:r>
      <w:r w:rsidRPr="00972C81">
        <w:rPr>
          <w:noProof/>
          <w:vertAlign w:val="superscript"/>
        </w:rPr>
        <w:t>–4</w:t>
      </w:r>
      <w:r w:rsidR="00C3237A" w:rsidRPr="00972C81">
        <w:rPr>
          <w:noProof/>
        </w:rPr>
        <w:t xml:space="preserve"> was adopted for all lanthanides as a reasonably representative value based on experimental results. The value of </w:t>
      </w:r>
      <w:r w:rsidRPr="00972C81">
        <w:rPr>
          <w:i/>
          <w:noProof/>
        </w:rPr>
        <w:t>f</w:t>
      </w:r>
      <w:r w:rsidRPr="00972C81">
        <w:rPr>
          <w:noProof/>
          <w:vertAlign w:val="subscript"/>
        </w:rPr>
        <w:t>A</w:t>
      </w:r>
      <w:r w:rsidR="00C3237A" w:rsidRPr="00972C81">
        <w:rPr>
          <w:noProof/>
        </w:rPr>
        <w:t xml:space="preserve"> = 5</w:t>
      </w:r>
      <w:r w:rsidR="00067025" w:rsidRPr="00972C81">
        <w:rPr>
          <w:noProof/>
        </w:rPr>
        <w:t xml:space="preserve"> × </w:t>
      </w:r>
      <w:r w:rsidR="00C3237A" w:rsidRPr="00972C81">
        <w:rPr>
          <w:noProof/>
        </w:rPr>
        <w:t>10</w:t>
      </w:r>
      <w:r w:rsidRPr="00972C81">
        <w:rPr>
          <w:noProof/>
          <w:vertAlign w:val="superscript"/>
        </w:rPr>
        <w:t>–4</w:t>
      </w:r>
      <w:r w:rsidR="00C3237A" w:rsidRPr="00972C81">
        <w:rPr>
          <w:noProof/>
        </w:rPr>
        <w:t xml:space="preserve"> is therefore used here for intakes of </w:t>
      </w:r>
      <w:r w:rsidR="00C3237A" w:rsidRPr="00972C81">
        <w:rPr>
          <w:noProof/>
          <w:color w:val="000000" w:themeColor="text1"/>
          <w:szCs w:val="24"/>
        </w:rPr>
        <w:t>erbium</w:t>
      </w:r>
      <w:r w:rsidR="00C3237A" w:rsidRPr="00972C81">
        <w:rPr>
          <w:noProof/>
        </w:rPr>
        <w:t xml:space="preserve"> by adult members of the public.</w:t>
      </w:r>
    </w:p>
    <w:p w14:paraId="387CBDCC" w14:textId="46FE4E80" w:rsidR="007D1F4D" w:rsidRPr="00972C81" w:rsidRDefault="00DC407D" w:rsidP="001C4A92">
      <w:pPr>
        <w:pStyle w:val="Annalstext"/>
        <w:rPr>
          <w:noProof/>
        </w:rPr>
      </w:pPr>
      <w:r w:rsidRPr="00972C81">
        <w:rPr>
          <w:i/>
          <w:noProof/>
        </w:rPr>
        <w:t>Children</w:t>
      </w:r>
      <w:r w:rsidR="00C3237A" w:rsidRPr="00972C81">
        <w:rPr>
          <w:noProof/>
        </w:rPr>
        <w:t xml:space="preserve">. The age-dependency of </w:t>
      </w:r>
      <w:r w:rsidR="00C3237A" w:rsidRPr="00972C81">
        <w:rPr>
          <w:noProof/>
          <w:color w:val="000000" w:themeColor="text1"/>
          <w:szCs w:val="24"/>
        </w:rPr>
        <w:t>erbium</w:t>
      </w:r>
      <w:r w:rsidR="00C3237A" w:rsidRPr="00972C81">
        <w:rPr>
          <w:noProof/>
        </w:rPr>
        <w:t xml:space="preserve"> absorption was not observed. On the basis of the chemical analogy with cerium, the same values of </w:t>
      </w:r>
      <w:r w:rsidRPr="00972C81">
        <w:rPr>
          <w:i/>
          <w:noProof/>
        </w:rPr>
        <w:t>f</w:t>
      </w:r>
      <w:r w:rsidRPr="00972C81">
        <w:rPr>
          <w:noProof/>
          <w:vertAlign w:val="subscript"/>
        </w:rPr>
        <w:t>A</w:t>
      </w:r>
      <w:r w:rsidR="00C3237A" w:rsidRPr="00972C81">
        <w:rPr>
          <w:noProof/>
        </w:rPr>
        <w:t xml:space="preserve"> = 5</w:t>
      </w:r>
      <w:r w:rsidR="00067025" w:rsidRPr="00972C81">
        <w:rPr>
          <w:noProof/>
        </w:rPr>
        <w:t xml:space="preserve"> × </w:t>
      </w:r>
      <w:r w:rsidR="00C3237A" w:rsidRPr="00972C81">
        <w:rPr>
          <w:noProof/>
        </w:rPr>
        <w:t>10</w:t>
      </w:r>
      <w:r w:rsidRPr="00972C81">
        <w:rPr>
          <w:noProof/>
          <w:vertAlign w:val="superscript"/>
        </w:rPr>
        <w:t>-3</w:t>
      </w:r>
      <w:r w:rsidR="00C3237A" w:rsidRPr="00972C81">
        <w:rPr>
          <w:noProof/>
        </w:rPr>
        <w:t xml:space="preserve"> for 3-month-old infants and 5</w:t>
      </w:r>
      <w:r w:rsidR="00067025" w:rsidRPr="00972C81">
        <w:rPr>
          <w:noProof/>
        </w:rPr>
        <w:t xml:space="preserve"> × </w:t>
      </w:r>
      <w:r w:rsidR="00C3237A" w:rsidRPr="00972C81">
        <w:rPr>
          <w:noProof/>
        </w:rPr>
        <w:t>10</w:t>
      </w:r>
      <w:r w:rsidRPr="00972C81">
        <w:rPr>
          <w:noProof/>
          <w:vertAlign w:val="superscript"/>
        </w:rPr>
        <w:t>-4</w:t>
      </w:r>
      <w:r w:rsidR="00C3237A" w:rsidRPr="00972C81">
        <w:rPr>
          <w:noProof/>
        </w:rPr>
        <w:t xml:space="preserve"> for children of 1 year and older are adopted here for </w:t>
      </w:r>
      <w:r w:rsidR="00C3237A" w:rsidRPr="00972C81">
        <w:rPr>
          <w:noProof/>
          <w:color w:val="000000" w:themeColor="text1"/>
          <w:szCs w:val="24"/>
        </w:rPr>
        <w:t>erbium</w:t>
      </w:r>
      <w:r w:rsidR="00C3237A" w:rsidRPr="00972C81">
        <w:rPr>
          <w:noProof/>
        </w:rPr>
        <w:t>.</w:t>
      </w:r>
    </w:p>
    <w:p w14:paraId="5DDFDC24" w14:textId="77777777" w:rsidR="00AE7A83" w:rsidRPr="00972C81" w:rsidRDefault="00AE7A83" w:rsidP="00E81109">
      <w:pPr>
        <w:pStyle w:val="3"/>
        <w:rPr>
          <w:noProof/>
        </w:rPr>
      </w:pPr>
      <w:bookmarkStart w:id="196" w:name="_Toc162630053"/>
      <w:r w:rsidRPr="00972C81">
        <w:rPr>
          <w:noProof/>
        </w:rPr>
        <w:t>Systemic Distribution, Retention and Excretion</w:t>
      </w:r>
      <w:bookmarkEnd w:id="196"/>
    </w:p>
    <w:p w14:paraId="2E7F083E" w14:textId="77777777" w:rsidR="00F3056B" w:rsidRPr="00972C81" w:rsidRDefault="00F3056B" w:rsidP="006703A2">
      <w:pPr>
        <w:pStyle w:val="OIRTitre4"/>
      </w:pPr>
      <w:r w:rsidRPr="00972C81">
        <w:t>Summary of biokinetic data</w:t>
      </w:r>
    </w:p>
    <w:p w14:paraId="5A6BF848" w14:textId="08C273EA" w:rsidR="00F3056B" w:rsidRPr="00972C81" w:rsidRDefault="00F3056B" w:rsidP="001C4A92">
      <w:pPr>
        <w:pStyle w:val="Annalstext"/>
        <w:rPr>
          <w:rFonts w:eastAsia="Times New Roman"/>
          <w:noProof/>
          <w:lang w:eastAsia="fr-FR"/>
        </w:rPr>
      </w:pPr>
      <w:r w:rsidRPr="00972C81">
        <w:rPr>
          <w:rFonts w:eastAsia="Times New Roman"/>
          <w:noProof/>
          <w:lang w:eastAsia="fr-FR"/>
        </w:rPr>
        <w:t xml:space="preserve">The lanthanides </w:t>
      </w:r>
      <w:r w:rsidRPr="00972C81">
        <w:rPr>
          <w:rFonts w:eastAsia="Times New Roman"/>
          <w:noProof/>
        </w:rPr>
        <w:t>terbium, dysprosium, holmium, erbium, thulium, ytterbium, and lutetium</w:t>
      </w:r>
      <w:r w:rsidRPr="00972C81">
        <w:rPr>
          <w:rFonts w:eastAsia="Times New Roman"/>
          <w:noProof/>
          <w:lang w:eastAsia="fr-FR"/>
        </w:rPr>
        <w:t xml:space="preserve"> showed similar biokinetics in rats</w:t>
      </w:r>
      <w:r w:rsidR="00497094" w:rsidRPr="00972C81">
        <w:rPr>
          <w:rFonts w:eastAsia="Times New Roman"/>
          <w:noProof/>
          <w:lang w:eastAsia="fr-FR"/>
        </w:rPr>
        <w:t xml:space="preserve"> </w:t>
      </w:r>
      <w:r w:rsidR="00497094" w:rsidRPr="00972C81">
        <w:rPr>
          <w:rFonts w:eastAsia="Times New Roman"/>
          <w:noProof/>
          <w:lang w:eastAsia="fr-FR"/>
        </w:rPr>
        <w:fldChar w:fldCharType="begin"/>
      </w:r>
      <w:r w:rsidR="00612860" w:rsidRPr="00972C81">
        <w:rPr>
          <w:rFonts w:eastAsia="Times New Roman"/>
          <w:noProof/>
          <w:lang w:eastAsia="fr-FR"/>
        </w:rPr>
        <w:instrText xml:space="preserve"> ADDIN ZOTERO_ITEM CSL_CITATION {"citationID":"ob1MeLKc","properties":{"formattedCitation":"(Ando et al., 1989; Durbin, 1959, 1962; Moskalev et al., 1974)","plainCitation":"(Ando et al., 1989; Durbin, 1959, 1962; Moskalev et al., 1974)","noteIndex":0},"citationItems":[{"id":2345,"uris":["http://zotero.org/groups/2470620/items/G9C65MS5"],"itemData":{"id":2345,"type":"article-journal","archive":"Scopus","container-title":"International Journal of Radiation Applications and Instrumentation.","DOI":"10.1016/0883-2897(89)90216-X","issue":"1","page":"57-80","title":"Relation between the location of elements in the periodic table and various organ-uptake rates","volume":"16","author":[{"family":"Ando","given":"A."},{"family":"Ando","given":"I."},{"family":"Hiraki","given":"T."},{"family":"Hisada","given":"K."}],"issued":{"date-parts":[["1989"]]}}},{"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mammals","volume":"8","author":[{"family":"Durbin","given":"P.W."}],"issued":{"date-parts":[["1962"]]}}},{"id":4757,"uris":["http://zotero.org/groups/2470620/items/GPRMH38F"],"itemData":{"id":4757,"type":"chapter","container-title":"Biological Effects of Radiation from External and Internal Sources. Translated in U.S. Atomic Energy Commission Document AEC-tr-7457","event-place":"Moscow, Russia","publisher":"Medistina","publisher-place":"Moscow, Russia","source":"Google Scholar","title":"Distinctions of distribution in the organism of radioactive isotopes of lanthanide elements","author":[{"family":"Moskalev","given":"Yu I."},{"family":"Zalikin","given":"G. A."},{"family":"Stepanov","given":"V. S."}],"issued":{"date-parts":[["1974"]]}}}],"schema":"https://github.com/citation-style-language/schema/raw/master/csl-citation.json"} </w:instrText>
      </w:r>
      <w:r w:rsidR="00497094" w:rsidRPr="00972C81">
        <w:rPr>
          <w:rFonts w:eastAsia="Times New Roman"/>
          <w:noProof/>
          <w:lang w:eastAsia="fr-FR"/>
        </w:rPr>
        <w:fldChar w:fldCharType="separate"/>
      </w:r>
      <w:r w:rsidR="00BC59C6" w:rsidRPr="00972C81">
        <w:rPr>
          <w:noProof/>
        </w:rPr>
        <w:t>(Ando et al., 1989; Durbin, 1959, 1962; Moskalev et al., 1974)</w:t>
      </w:r>
      <w:r w:rsidR="00497094" w:rsidRPr="00972C81">
        <w:rPr>
          <w:rFonts w:eastAsia="Times New Roman"/>
          <w:noProof/>
          <w:lang w:eastAsia="fr-FR"/>
        </w:rPr>
        <w:fldChar w:fldCharType="end"/>
      </w:r>
      <w:r w:rsidRPr="00972C81">
        <w:rPr>
          <w:rFonts w:eastAsia="Times New Roman"/>
          <w:noProof/>
          <w:lang w:eastAsia="fr-FR"/>
        </w:rPr>
        <w:t>. At day 4 after intramuscular injection about 60% of the activity entering blood was contained in bone and 1</w:t>
      </w:r>
      <w:r w:rsidR="00605984" w:rsidRPr="00972C81">
        <w:rPr>
          <w:noProof/>
        </w:rPr>
        <w:t>–</w:t>
      </w:r>
      <w:r w:rsidRPr="00972C81">
        <w:rPr>
          <w:rFonts w:eastAsia="Times New Roman"/>
          <w:noProof/>
          <w:lang w:eastAsia="fr-FR"/>
        </w:rPr>
        <w:t xml:space="preserve">7% was contained in the liver </w:t>
      </w:r>
      <w:r w:rsidR="00497094" w:rsidRPr="00972C81">
        <w:rPr>
          <w:rFonts w:eastAsia="Times New Roman"/>
          <w:noProof/>
          <w:lang w:eastAsia="fr-FR"/>
        </w:rPr>
        <w:fldChar w:fldCharType="begin"/>
      </w:r>
      <w:r w:rsidR="00497094" w:rsidRPr="00972C81">
        <w:rPr>
          <w:rFonts w:eastAsia="Times New Roman"/>
          <w:noProof/>
          <w:lang w:eastAsia="fr-FR"/>
        </w:rPr>
        <w:instrText xml:space="preserve"> ADDIN ZOTERO_ITEM CSL_CITATION {"citationID":"99YXxw45","properties":{"formattedCitation":"(Durbin, 1959, 1962)","plainCitation":"(Durbin, 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497094" w:rsidRPr="00972C81">
        <w:rPr>
          <w:rFonts w:eastAsia="Times New Roman"/>
          <w:noProof/>
          <w:lang w:eastAsia="fr-FR"/>
        </w:rPr>
        <w:fldChar w:fldCharType="separate"/>
      </w:r>
      <w:r w:rsidR="00BC59C6" w:rsidRPr="00972C81">
        <w:rPr>
          <w:noProof/>
        </w:rPr>
        <w:t>(Durbin, 1959, 1962)</w:t>
      </w:r>
      <w:r w:rsidR="00497094" w:rsidRPr="00972C81">
        <w:rPr>
          <w:rFonts w:eastAsia="Times New Roman"/>
          <w:noProof/>
          <w:lang w:eastAsia="fr-FR"/>
        </w:rPr>
        <w:fldChar w:fldCharType="end"/>
      </w:r>
      <w:r w:rsidRPr="00972C81">
        <w:rPr>
          <w:rFonts w:eastAsia="Times New Roman"/>
          <w:noProof/>
          <w:lang w:eastAsia="fr-FR"/>
        </w:rPr>
        <w:t>. Cumulative loss in urine and faeces through day 4 amounted to 16</w:t>
      </w:r>
      <w:r w:rsidR="00605984" w:rsidRPr="00972C81">
        <w:rPr>
          <w:noProof/>
        </w:rPr>
        <w:t>–</w:t>
      </w:r>
      <w:r w:rsidRPr="00972C81">
        <w:rPr>
          <w:rFonts w:eastAsia="Times New Roman"/>
          <w:noProof/>
          <w:lang w:eastAsia="fr-FR"/>
        </w:rPr>
        <w:t>27% and 5</w:t>
      </w:r>
      <w:r w:rsidR="00605984" w:rsidRPr="00972C81">
        <w:rPr>
          <w:noProof/>
        </w:rPr>
        <w:t>–</w:t>
      </w:r>
      <w:r w:rsidRPr="00972C81">
        <w:rPr>
          <w:rFonts w:eastAsia="Times New Roman"/>
          <w:noProof/>
          <w:lang w:eastAsia="fr-FR"/>
        </w:rPr>
        <w:t xml:space="preserve">13%, respectively, of the amount reaching blood </w:t>
      </w:r>
      <w:r w:rsidR="00497094" w:rsidRPr="00972C81">
        <w:rPr>
          <w:rFonts w:eastAsia="Times New Roman"/>
          <w:noProof/>
          <w:lang w:eastAsia="fr-FR"/>
        </w:rPr>
        <w:fldChar w:fldCharType="begin"/>
      </w:r>
      <w:r w:rsidR="00497094" w:rsidRPr="00972C81">
        <w:rPr>
          <w:rFonts w:eastAsia="Times New Roman"/>
          <w:noProof/>
          <w:lang w:eastAsia="fr-FR"/>
        </w:rPr>
        <w:instrText xml:space="preserve"> ADDIN ZOTERO_ITEM CSL_CITATION {"citationID":"L8nbhEVN","properties":{"formattedCitation":"(Durbin, 1959, 1962)","plainCitation":"(Durbin, 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497094" w:rsidRPr="00972C81">
        <w:rPr>
          <w:rFonts w:eastAsia="Times New Roman"/>
          <w:noProof/>
          <w:lang w:eastAsia="fr-FR"/>
        </w:rPr>
        <w:fldChar w:fldCharType="separate"/>
      </w:r>
      <w:r w:rsidR="00BC59C6" w:rsidRPr="00972C81">
        <w:rPr>
          <w:noProof/>
        </w:rPr>
        <w:t>(Durbin, 1959, 1962)</w:t>
      </w:r>
      <w:r w:rsidR="00497094" w:rsidRPr="00972C81">
        <w:rPr>
          <w:rFonts w:eastAsia="Times New Roman"/>
          <w:noProof/>
          <w:lang w:eastAsia="fr-FR"/>
        </w:rPr>
        <w:fldChar w:fldCharType="end"/>
      </w:r>
      <w:r w:rsidRPr="00972C81">
        <w:rPr>
          <w:rFonts w:eastAsia="Times New Roman"/>
          <w:noProof/>
          <w:lang w:eastAsia="fr-FR"/>
        </w:rPr>
        <w:t>).</w:t>
      </w:r>
    </w:p>
    <w:p w14:paraId="32771032" w14:textId="77777777" w:rsidR="00F3056B" w:rsidRPr="00972C81" w:rsidRDefault="00F3056B" w:rsidP="001C4A92">
      <w:pPr>
        <w:pStyle w:val="Annalstext"/>
        <w:rPr>
          <w:rFonts w:eastAsia="Times New Roman"/>
          <w:noProof/>
        </w:rPr>
      </w:pPr>
      <w:r w:rsidRPr="00972C81">
        <w:rPr>
          <w:rFonts w:eastAsia="Times New Roman"/>
          <w:noProof/>
        </w:rPr>
        <w:t xml:space="preserve">No information was found regarding the effect of age on the biokinetics of systemic </w:t>
      </w:r>
      <w:r w:rsidRPr="00972C81">
        <w:rPr>
          <w:rFonts w:ascii="Times Roman" w:hAnsi="Times Roman"/>
          <w:noProof/>
        </w:rPr>
        <w:t>erbium.</w:t>
      </w:r>
    </w:p>
    <w:p w14:paraId="6D453A9A" w14:textId="77777777" w:rsidR="00F3056B" w:rsidRPr="00972C81" w:rsidRDefault="00F3056B" w:rsidP="006703A2">
      <w:pPr>
        <w:pStyle w:val="OIRTitre4"/>
      </w:pPr>
      <w:r w:rsidRPr="00972C81">
        <w:t>Systemic model</w:t>
      </w:r>
    </w:p>
    <w:p w14:paraId="7C4FF435" w14:textId="08D37B80" w:rsidR="00F3056B" w:rsidRPr="00972C81" w:rsidRDefault="00F3056B" w:rsidP="001C4A92">
      <w:pPr>
        <w:pStyle w:val="Annalstext"/>
        <w:rPr>
          <w:noProof/>
        </w:rPr>
      </w:pPr>
      <w:r w:rsidRPr="00972C81">
        <w:rPr>
          <w:noProof/>
        </w:rPr>
        <w:t xml:space="preserve">The model structure shown in </w:t>
      </w:r>
      <w:r w:rsidR="00497094" w:rsidRPr="00972C81">
        <w:rPr>
          <w:noProof/>
        </w:rPr>
        <w:fldChar w:fldCharType="begin"/>
      </w:r>
      <w:r w:rsidR="00497094" w:rsidRPr="00972C81">
        <w:rPr>
          <w:noProof/>
        </w:rPr>
        <w:instrText xml:space="preserve"> REF _Ref141858180 \h </w:instrText>
      </w:r>
      <w:r w:rsidR="00497094" w:rsidRPr="00972C81">
        <w:rPr>
          <w:noProof/>
        </w:rPr>
      </w:r>
      <w:r w:rsidR="00497094" w:rsidRPr="00972C81">
        <w:rPr>
          <w:noProof/>
        </w:rPr>
        <w:fldChar w:fldCharType="separate"/>
      </w:r>
      <w:r w:rsidR="00A41AD1" w:rsidRPr="00A41AD1">
        <w:rPr>
          <w:noProof/>
          <w:szCs w:val="24"/>
        </w:rPr>
        <w:t xml:space="preserve">Fig </w:t>
      </w:r>
      <w:r w:rsidR="00A41AD1">
        <w:rPr>
          <w:noProof/>
          <w:szCs w:val="24"/>
        </w:rPr>
        <w:t>3</w:t>
      </w:r>
      <w:r w:rsidR="00A41AD1" w:rsidRPr="00A41AD1">
        <w:rPr>
          <w:noProof/>
          <w:szCs w:val="24"/>
        </w:rPr>
        <w:t>.</w:t>
      </w:r>
      <w:r w:rsidR="00A41AD1">
        <w:rPr>
          <w:noProof/>
          <w:szCs w:val="24"/>
        </w:rPr>
        <w:t>1</w:t>
      </w:r>
      <w:r w:rsidR="00497094" w:rsidRPr="00972C81">
        <w:rPr>
          <w:noProof/>
        </w:rPr>
        <w:fldChar w:fldCharType="end"/>
      </w:r>
      <w:r w:rsidRPr="00972C81">
        <w:rPr>
          <w:noProof/>
        </w:rPr>
        <w:t xml:space="preserve"> of the section on cerium is applied in this report to all lanthanide elements.</w:t>
      </w:r>
    </w:p>
    <w:p w14:paraId="3B2E1DE4" w14:textId="07D9438C" w:rsidR="00F3056B" w:rsidRPr="00972C81" w:rsidRDefault="00F3056B" w:rsidP="001C4A92">
      <w:pPr>
        <w:pStyle w:val="Annalstext"/>
        <w:rPr>
          <w:rFonts w:eastAsia="Times New Roman"/>
          <w:noProof/>
        </w:rPr>
      </w:pPr>
      <w:r w:rsidRPr="00972C81">
        <w:rPr>
          <w:rFonts w:eastAsia="Times New Roman"/>
          <w:noProof/>
        </w:rPr>
        <w:t xml:space="preserve">A common set of age-specific transfer coefficients is applied to the “holmium group”, consisting of the lanthanide elements </w:t>
      </w:r>
      <w:r w:rsidRPr="00972C81">
        <w:rPr>
          <w:noProof/>
          <w:color w:val="000000" w:themeColor="text1"/>
        </w:rPr>
        <w:t>terbium, dysprosium, holmium, erbium, thulium, ytterbium, and lutetium</w:t>
      </w:r>
      <w:r w:rsidRPr="00972C81">
        <w:rPr>
          <w:rFonts w:eastAsia="Times New Roman"/>
          <w:noProof/>
        </w:rPr>
        <w:t xml:space="preserve">. Transfer coefficients for the holmium group are listed in </w:t>
      </w:r>
      <w:r w:rsidR="00497094" w:rsidRPr="00972C81">
        <w:rPr>
          <w:rFonts w:eastAsia="Times New Roman"/>
          <w:noProof/>
        </w:rPr>
        <w:fldChar w:fldCharType="begin"/>
      </w:r>
      <w:r w:rsidR="00497094" w:rsidRPr="00972C81">
        <w:rPr>
          <w:rFonts w:eastAsia="Times New Roman"/>
          <w:noProof/>
        </w:rPr>
        <w:instrText xml:space="preserve"> REF _Ref142312953 \h </w:instrText>
      </w:r>
      <w:r w:rsidR="00497094" w:rsidRPr="00972C81">
        <w:rPr>
          <w:rFonts w:eastAsia="Times New Roman"/>
          <w:noProof/>
        </w:rPr>
      </w:r>
      <w:r w:rsidR="00497094" w:rsidRPr="00972C81">
        <w:rPr>
          <w:rFonts w:eastAsia="Times New Roman"/>
          <w:noProof/>
        </w:rPr>
        <w:fldChar w:fldCharType="separate"/>
      </w:r>
      <w:r w:rsidR="00A41AD1" w:rsidRPr="00972C81">
        <w:rPr>
          <w:noProof/>
        </w:rPr>
        <w:t xml:space="preserve">Table </w:t>
      </w:r>
      <w:r w:rsidR="00A41AD1">
        <w:rPr>
          <w:noProof/>
        </w:rPr>
        <w:t>12</w:t>
      </w:r>
      <w:r w:rsidR="00A41AD1" w:rsidRPr="00972C81">
        <w:rPr>
          <w:noProof/>
        </w:rPr>
        <w:t>.</w:t>
      </w:r>
      <w:r w:rsidR="00A41AD1">
        <w:rPr>
          <w:noProof/>
        </w:rPr>
        <w:t>2</w:t>
      </w:r>
      <w:r w:rsidR="00497094" w:rsidRPr="00972C81">
        <w:rPr>
          <w:rFonts w:eastAsia="Times New Roman"/>
          <w:noProof/>
        </w:rPr>
        <w:fldChar w:fldCharType="end"/>
      </w:r>
      <w:r w:rsidRPr="00972C81">
        <w:rPr>
          <w:rFonts w:eastAsia="Times New Roman"/>
          <w:noProof/>
        </w:rPr>
        <w:t xml:space="preserve"> of the section on holmium.</w:t>
      </w:r>
    </w:p>
    <w:p w14:paraId="24B6BB8C" w14:textId="0F772EF9" w:rsidR="00F3056B" w:rsidRPr="00972C81" w:rsidRDefault="00F3056B" w:rsidP="006703A2">
      <w:pPr>
        <w:pStyle w:val="OIRTitre4"/>
      </w:pPr>
      <w:r w:rsidRPr="00972C81">
        <w:t>Treatment of radioactive progeny</w:t>
      </w:r>
    </w:p>
    <w:p w14:paraId="468A3025" w14:textId="12AACB9E" w:rsidR="00593D1F" w:rsidRPr="00972C81" w:rsidRDefault="001E23AC" w:rsidP="00497094">
      <w:pPr>
        <w:pStyle w:val="Annalstext"/>
        <w:rPr>
          <w:noProof/>
        </w:rPr>
      </w:pPr>
      <w:r w:rsidRPr="00972C81">
        <w:rPr>
          <w:rFonts w:eastAsia="Calibri"/>
          <w:noProof/>
        </w:rPr>
        <w:t xml:space="preserve">The treatment of radioactive progeny produced in systemic compartments after intake of a radioisotope of </w:t>
      </w:r>
      <w:r w:rsidRPr="00972C81">
        <w:rPr>
          <w:noProof/>
        </w:rPr>
        <w:t>erbium</w:t>
      </w:r>
      <w:r w:rsidRPr="00972C81">
        <w:rPr>
          <w:rFonts w:eastAsia="Calibri"/>
          <w:noProof/>
        </w:rPr>
        <w:t xml:space="preserve"> is described in Section 14.2.3.3. of </w:t>
      </w:r>
      <w:r w:rsidR="00663AC5" w:rsidRPr="00972C81">
        <w:rPr>
          <w:i/>
          <w:noProof/>
        </w:rPr>
        <w:t>Publication 141</w:t>
      </w:r>
      <w:r w:rsidR="00663AC5" w:rsidRPr="00972C81">
        <w:rPr>
          <w:noProof/>
        </w:rPr>
        <w:t xml:space="preserve"> </w:t>
      </w:r>
      <w:r w:rsidR="00497094" w:rsidRPr="00972C81">
        <w:rPr>
          <w:noProof/>
        </w:rPr>
        <w:fldChar w:fldCharType="begin"/>
      </w:r>
      <w:r w:rsidR="00497094" w:rsidRPr="00972C81">
        <w:rPr>
          <w:noProof/>
        </w:rPr>
        <w:instrText xml:space="preserve"> ADDIN ZOTERO_ITEM CSL_CITATION {"citationID":"nuATxeb7","properties":{"formattedCitation":"(ICRP,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497094" w:rsidRPr="00972C81">
        <w:rPr>
          <w:noProof/>
        </w:rPr>
        <w:fldChar w:fldCharType="separate"/>
      </w:r>
      <w:r w:rsidR="00BC59C6" w:rsidRPr="00972C81">
        <w:rPr>
          <w:noProof/>
        </w:rPr>
        <w:t>(ICRP, 2019)</w:t>
      </w:r>
      <w:r w:rsidR="00497094" w:rsidRPr="00972C81">
        <w:rPr>
          <w:noProof/>
        </w:rPr>
        <w:fldChar w:fldCharType="end"/>
      </w:r>
    </w:p>
    <w:p w14:paraId="3E65C7CB" w14:textId="77777777" w:rsidR="00593D1F" w:rsidRPr="00972C81" w:rsidRDefault="00593D1F" w:rsidP="00E81109">
      <w:pPr>
        <w:pStyle w:val="2"/>
        <w:rPr>
          <w:noProof/>
          <w:lang w:val="en-GB"/>
        </w:rPr>
      </w:pPr>
      <w:bookmarkStart w:id="197" w:name="_Toc162630054"/>
      <w:r w:rsidRPr="00972C81">
        <w:rPr>
          <w:noProof/>
          <w:lang w:val="en-GB"/>
        </w:rPr>
        <w:lastRenderedPageBreak/>
        <w:t>Dosimetric data for erbium</w:t>
      </w:r>
      <w:bookmarkEnd w:id="197"/>
    </w:p>
    <w:p w14:paraId="567E91E0" w14:textId="7D6BA662" w:rsidR="00F43D48" w:rsidRPr="00972C81" w:rsidRDefault="00F43D48" w:rsidP="00F43D48">
      <w:pPr>
        <w:pStyle w:val="ab"/>
        <w:rPr>
          <w:noProof/>
          <w:sz w:val="24"/>
          <w:szCs w:val="24"/>
        </w:rPr>
      </w:pPr>
      <w:r w:rsidRPr="00972C81">
        <w:rPr>
          <w:noProof/>
          <w:sz w:val="24"/>
          <w:szCs w:val="24"/>
        </w:rPr>
        <w:t>Table 13.1.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169</w:t>
      </w:r>
      <w:r w:rsidRPr="00972C81">
        <w:rPr>
          <w:noProof/>
          <w:sz w:val="24"/>
          <w:szCs w:val="24"/>
        </w:rPr>
        <w:t>Er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F43D48" w:rsidRPr="00A3213E" w14:paraId="25789E45" w14:textId="77777777" w:rsidTr="000F593F">
        <w:trPr>
          <w:trHeight w:val="340"/>
        </w:trPr>
        <w:tc>
          <w:tcPr>
            <w:tcW w:w="2087" w:type="pct"/>
            <w:vMerge w:val="restart"/>
            <w:tcBorders>
              <w:top w:val="single" w:sz="4" w:space="0" w:color="auto"/>
              <w:left w:val="nil"/>
              <w:bottom w:val="single" w:sz="4" w:space="0" w:color="auto"/>
              <w:right w:val="nil"/>
            </w:tcBorders>
            <w:vAlign w:val="bottom"/>
            <w:hideMark/>
          </w:tcPr>
          <w:p w14:paraId="5292EF9E" w14:textId="77777777" w:rsidR="00605984" w:rsidRPr="00C47F2F" w:rsidRDefault="00F43D48" w:rsidP="00C47F2F">
            <w:pPr>
              <w:pStyle w:val="a5"/>
              <w:tabs>
                <w:tab w:val="clear" w:pos="4153"/>
                <w:tab w:val="clear" w:pos="8306"/>
              </w:tabs>
              <w:jc w:val="left"/>
              <w:rPr>
                <w:noProof/>
                <w:sz w:val="22"/>
                <w:szCs w:val="22"/>
              </w:rPr>
            </w:pPr>
            <w:r w:rsidRPr="00C47F2F">
              <w:rPr>
                <w:noProof/>
                <w:sz w:val="22"/>
                <w:szCs w:val="22"/>
              </w:rPr>
              <w:t xml:space="preserve">Inhaled particulate materials </w:t>
            </w:r>
          </w:p>
          <w:p w14:paraId="267382D8" w14:textId="070E81B7" w:rsidR="00F43D48" w:rsidRPr="00605984" w:rsidRDefault="00F43D48" w:rsidP="00C47F2F">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386F6B6A" w14:textId="77777777" w:rsidR="00F43D48" w:rsidRPr="00C47F2F" w:rsidRDefault="00F43D48" w:rsidP="000F593F">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F43D48" w:rsidRPr="00605984" w14:paraId="7F808DF1" w14:textId="77777777" w:rsidTr="000F593F">
        <w:trPr>
          <w:trHeight w:val="340"/>
        </w:trPr>
        <w:tc>
          <w:tcPr>
            <w:tcW w:w="2087" w:type="pct"/>
            <w:vMerge/>
            <w:tcBorders>
              <w:top w:val="single" w:sz="4" w:space="0" w:color="auto"/>
              <w:left w:val="nil"/>
              <w:bottom w:val="single" w:sz="4" w:space="0" w:color="auto"/>
              <w:right w:val="nil"/>
            </w:tcBorders>
            <w:vAlign w:val="center"/>
            <w:hideMark/>
          </w:tcPr>
          <w:p w14:paraId="1F5C91F6" w14:textId="77777777" w:rsidR="00F43D48" w:rsidRPr="00605984" w:rsidRDefault="00F43D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3D585C7D" w14:textId="2E297C79" w:rsidR="00F43D48" w:rsidRPr="00C47F2F" w:rsidRDefault="00F43D48" w:rsidP="000F593F">
            <w:pPr>
              <w:jc w:val="left"/>
              <w:rPr>
                <w:noProof/>
                <w:sz w:val="22"/>
                <w:szCs w:val="22"/>
                <w:lang w:eastAsia="ko-KR"/>
              </w:rPr>
            </w:pPr>
            <w:r w:rsidRPr="00C47F2F">
              <w:rPr>
                <w:noProof/>
                <w:sz w:val="22"/>
                <w:szCs w:val="22"/>
              </w:rPr>
              <w:t>3</w:t>
            </w:r>
            <w:r w:rsidR="00605984">
              <w:rPr>
                <w:rFonts w:hint="eastAsia"/>
                <w:noProof/>
                <w:sz w:val="22"/>
                <w:szCs w:val="22"/>
                <w:lang w:eastAsia="ko-KR"/>
              </w:rPr>
              <w:t xml:space="preserve"> </w:t>
            </w:r>
            <w:r w:rsidRPr="00C47F2F">
              <w:rPr>
                <w:noProof/>
                <w:sz w:val="22"/>
                <w:szCs w:val="22"/>
              </w:rPr>
              <w:t>m</w:t>
            </w:r>
            <w:r w:rsidR="000F593F">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01E10440" w14:textId="23958851" w:rsidR="00F43D48" w:rsidRPr="00C47F2F" w:rsidRDefault="00F43D48" w:rsidP="000F593F">
            <w:pPr>
              <w:jc w:val="left"/>
              <w:rPr>
                <w:noProof/>
                <w:sz w:val="22"/>
                <w:szCs w:val="22"/>
              </w:rPr>
            </w:pPr>
            <w:r w:rsidRPr="00C47F2F">
              <w:rPr>
                <w:noProof/>
                <w:sz w:val="22"/>
                <w:szCs w:val="22"/>
              </w:rPr>
              <w:t>1</w:t>
            </w:r>
            <w:r w:rsidR="00605984">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06CC0C0" w14:textId="01A9F584" w:rsidR="00F43D48" w:rsidRPr="00C47F2F" w:rsidRDefault="00F43D48" w:rsidP="000F593F">
            <w:pPr>
              <w:jc w:val="left"/>
              <w:rPr>
                <w:noProof/>
                <w:sz w:val="22"/>
                <w:szCs w:val="22"/>
              </w:rPr>
            </w:pPr>
            <w:r w:rsidRPr="00C47F2F">
              <w:rPr>
                <w:noProof/>
                <w:sz w:val="22"/>
                <w:szCs w:val="22"/>
              </w:rPr>
              <w:t>5</w:t>
            </w:r>
            <w:r w:rsidR="00605984">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572B53C0" w14:textId="32DE8BF8" w:rsidR="00F43D48" w:rsidRPr="00C47F2F" w:rsidRDefault="00F43D48" w:rsidP="000F593F">
            <w:pPr>
              <w:jc w:val="left"/>
              <w:rPr>
                <w:noProof/>
                <w:sz w:val="22"/>
                <w:szCs w:val="22"/>
              </w:rPr>
            </w:pPr>
            <w:r w:rsidRPr="00C47F2F">
              <w:rPr>
                <w:noProof/>
                <w:sz w:val="22"/>
                <w:szCs w:val="22"/>
              </w:rPr>
              <w:t>10</w:t>
            </w:r>
            <w:r w:rsidR="00605984">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438E0F7" w14:textId="396FE2A5" w:rsidR="00F43D48" w:rsidRPr="00C47F2F" w:rsidRDefault="00F43D48" w:rsidP="000F593F">
            <w:pPr>
              <w:jc w:val="left"/>
              <w:rPr>
                <w:noProof/>
                <w:sz w:val="22"/>
                <w:szCs w:val="22"/>
              </w:rPr>
            </w:pPr>
            <w:r w:rsidRPr="00C47F2F">
              <w:rPr>
                <w:noProof/>
                <w:sz w:val="22"/>
                <w:szCs w:val="22"/>
              </w:rPr>
              <w:t>15</w:t>
            </w:r>
            <w:r w:rsidR="00605984">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051B3302" w14:textId="77777777" w:rsidR="00F43D48" w:rsidRPr="00C47F2F" w:rsidRDefault="00F43D48" w:rsidP="000F593F">
            <w:pPr>
              <w:jc w:val="left"/>
              <w:rPr>
                <w:noProof/>
                <w:sz w:val="22"/>
                <w:szCs w:val="22"/>
              </w:rPr>
            </w:pPr>
            <w:r w:rsidRPr="00C47F2F">
              <w:rPr>
                <w:noProof/>
                <w:sz w:val="22"/>
                <w:szCs w:val="22"/>
              </w:rPr>
              <w:t>Adult</w:t>
            </w:r>
          </w:p>
        </w:tc>
      </w:tr>
      <w:tr w:rsidR="00F43D48" w:rsidRPr="00605984" w14:paraId="67339395" w14:textId="77777777" w:rsidTr="000F593F">
        <w:trPr>
          <w:trHeight w:val="340"/>
        </w:trPr>
        <w:tc>
          <w:tcPr>
            <w:tcW w:w="2087" w:type="pct"/>
            <w:tcBorders>
              <w:top w:val="single" w:sz="4" w:space="0" w:color="auto"/>
              <w:left w:val="nil"/>
              <w:bottom w:val="nil"/>
              <w:right w:val="nil"/>
            </w:tcBorders>
            <w:hideMark/>
          </w:tcPr>
          <w:p w14:paraId="01D25BED" w14:textId="77777777" w:rsidR="00F43D48" w:rsidRPr="00C47F2F" w:rsidRDefault="00F43D48" w:rsidP="000F593F">
            <w:pPr>
              <w:jc w:val="left"/>
              <w:rPr>
                <w:noProof/>
                <w:sz w:val="22"/>
                <w:szCs w:val="22"/>
              </w:rPr>
            </w:pPr>
            <w:r w:rsidRPr="00C47F2F">
              <w:rPr>
                <w:rFonts w:eastAsia="Times New Roman"/>
                <w:noProof/>
                <w:color w:val="000000"/>
                <w:sz w:val="22"/>
                <w:szCs w:val="22"/>
              </w:rPr>
              <w:t>Water soluble forms, including chloride and citrate</w:t>
            </w:r>
          </w:p>
        </w:tc>
        <w:tc>
          <w:tcPr>
            <w:tcW w:w="485" w:type="pct"/>
            <w:tcBorders>
              <w:top w:val="single" w:sz="4" w:space="0" w:color="auto"/>
              <w:left w:val="nil"/>
              <w:bottom w:val="nil"/>
              <w:right w:val="nil"/>
            </w:tcBorders>
            <w:hideMark/>
          </w:tcPr>
          <w:p w14:paraId="7E1D52DC"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1.3E-09</w:t>
            </w:r>
          </w:p>
        </w:tc>
        <w:tc>
          <w:tcPr>
            <w:tcW w:w="485" w:type="pct"/>
            <w:tcBorders>
              <w:top w:val="single" w:sz="4" w:space="0" w:color="auto"/>
              <w:left w:val="nil"/>
              <w:bottom w:val="nil"/>
              <w:right w:val="nil"/>
            </w:tcBorders>
            <w:hideMark/>
          </w:tcPr>
          <w:p w14:paraId="4600B1DE"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1.0E-09</w:t>
            </w:r>
          </w:p>
        </w:tc>
        <w:tc>
          <w:tcPr>
            <w:tcW w:w="485" w:type="pct"/>
            <w:tcBorders>
              <w:top w:val="single" w:sz="4" w:space="0" w:color="auto"/>
              <w:left w:val="nil"/>
              <w:bottom w:val="nil"/>
              <w:right w:val="nil"/>
            </w:tcBorders>
            <w:hideMark/>
          </w:tcPr>
          <w:p w14:paraId="23B46A71"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5.4E-10</w:t>
            </w:r>
          </w:p>
        </w:tc>
        <w:tc>
          <w:tcPr>
            <w:tcW w:w="485" w:type="pct"/>
            <w:tcBorders>
              <w:top w:val="single" w:sz="4" w:space="0" w:color="auto"/>
              <w:left w:val="nil"/>
              <w:bottom w:val="nil"/>
              <w:right w:val="nil"/>
            </w:tcBorders>
            <w:hideMark/>
          </w:tcPr>
          <w:p w14:paraId="5B642DE4"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3.5E-10</w:t>
            </w:r>
          </w:p>
        </w:tc>
        <w:tc>
          <w:tcPr>
            <w:tcW w:w="485" w:type="pct"/>
            <w:tcBorders>
              <w:top w:val="single" w:sz="4" w:space="0" w:color="auto"/>
              <w:left w:val="nil"/>
              <w:bottom w:val="nil"/>
              <w:right w:val="nil"/>
            </w:tcBorders>
            <w:hideMark/>
          </w:tcPr>
          <w:p w14:paraId="2D41708D"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2.9E-10</w:t>
            </w:r>
          </w:p>
        </w:tc>
        <w:tc>
          <w:tcPr>
            <w:tcW w:w="486" w:type="pct"/>
            <w:tcBorders>
              <w:top w:val="single" w:sz="4" w:space="0" w:color="auto"/>
              <w:left w:val="nil"/>
              <w:bottom w:val="nil"/>
              <w:right w:val="nil"/>
            </w:tcBorders>
            <w:hideMark/>
          </w:tcPr>
          <w:p w14:paraId="42879A34"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2.5E-10</w:t>
            </w:r>
          </w:p>
        </w:tc>
      </w:tr>
      <w:tr w:rsidR="00F43D48" w:rsidRPr="00605984" w14:paraId="76B15342" w14:textId="77777777" w:rsidTr="000F593F">
        <w:trPr>
          <w:trHeight w:val="340"/>
        </w:trPr>
        <w:tc>
          <w:tcPr>
            <w:tcW w:w="2087" w:type="pct"/>
            <w:tcBorders>
              <w:top w:val="nil"/>
              <w:left w:val="nil"/>
              <w:bottom w:val="nil"/>
              <w:right w:val="nil"/>
            </w:tcBorders>
            <w:hideMark/>
          </w:tcPr>
          <w:p w14:paraId="40B19B0A"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Dioxide</w:t>
            </w:r>
          </w:p>
        </w:tc>
        <w:tc>
          <w:tcPr>
            <w:tcW w:w="485" w:type="pct"/>
            <w:tcBorders>
              <w:top w:val="nil"/>
              <w:left w:val="nil"/>
              <w:bottom w:val="nil"/>
              <w:right w:val="nil"/>
            </w:tcBorders>
            <w:hideMark/>
          </w:tcPr>
          <w:p w14:paraId="78959549"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1.8E-09</w:t>
            </w:r>
          </w:p>
        </w:tc>
        <w:tc>
          <w:tcPr>
            <w:tcW w:w="485" w:type="pct"/>
            <w:tcBorders>
              <w:top w:val="nil"/>
              <w:left w:val="nil"/>
              <w:bottom w:val="nil"/>
              <w:right w:val="nil"/>
            </w:tcBorders>
            <w:hideMark/>
          </w:tcPr>
          <w:p w14:paraId="1D8D1CBD"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1.3E-09</w:t>
            </w:r>
          </w:p>
        </w:tc>
        <w:tc>
          <w:tcPr>
            <w:tcW w:w="485" w:type="pct"/>
            <w:tcBorders>
              <w:top w:val="nil"/>
              <w:left w:val="nil"/>
              <w:bottom w:val="nil"/>
              <w:right w:val="nil"/>
            </w:tcBorders>
            <w:hideMark/>
          </w:tcPr>
          <w:p w14:paraId="49944504"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7.9E-10</w:t>
            </w:r>
          </w:p>
        </w:tc>
        <w:tc>
          <w:tcPr>
            <w:tcW w:w="485" w:type="pct"/>
            <w:tcBorders>
              <w:top w:val="nil"/>
              <w:left w:val="nil"/>
              <w:bottom w:val="nil"/>
              <w:right w:val="nil"/>
            </w:tcBorders>
            <w:hideMark/>
          </w:tcPr>
          <w:p w14:paraId="582899CC"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5.2E-10</w:t>
            </w:r>
          </w:p>
        </w:tc>
        <w:tc>
          <w:tcPr>
            <w:tcW w:w="485" w:type="pct"/>
            <w:tcBorders>
              <w:top w:val="nil"/>
              <w:left w:val="nil"/>
              <w:bottom w:val="nil"/>
              <w:right w:val="nil"/>
            </w:tcBorders>
            <w:hideMark/>
          </w:tcPr>
          <w:p w14:paraId="28A0FDCE"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4.3E-10</w:t>
            </w:r>
          </w:p>
        </w:tc>
        <w:tc>
          <w:tcPr>
            <w:tcW w:w="486" w:type="pct"/>
            <w:tcBorders>
              <w:top w:val="nil"/>
              <w:left w:val="nil"/>
              <w:bottom w:val="nil"/>
              <w:right w:val="nil"/>
            </w:tcBorders>
            <w:hideMark/>
          </w:tcPr>
          <w:p w14:paraId="43358162"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3.9E-10</w:t>
            </w:r>
          </w:p>
        </w:tc>
      </w:tr>
      <w:tr w:rsidR="00F43D48" w:rsidRPr="00605984" w14:paraId="279B1D6E" w14:textId="77777777" w:rsidTr="000F593F">
        <w:trPr>
          <w:trHeight w:val="340"/>
        </w:trPr>
        <w:tc>
          <w:tcPr>
            <w:tcW w:w="2087" w:type="pct"/>
            <w:tcBorders>
              <w:top w:val="nil"/>
              <w:left w:val="nil"/>
              <w:bottom w:val="nil"/>
              <w:right w:val="nil"/>
            </w:tcBorders>
            <w:hideMark/>
          </w:tcPr>
          <w:p w14:paraId="0BD3EFD5" w14:textId="77777777" w:rsidR="00F43D48" w:rsidRPr="00C47F2F" w:rsidRDefault="00F43D48" w:rsidP="000F593F">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5CA484BC"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9.3E-10</w:t>
            </w:r>
          </w:p>
        </w:tc>
        <w:tc>
          <w:tcPr>
            <w:tcW w:w="485" w:type="pct"/>
            <w:tcBorders>
              <w:top w:val="nil"/>
              <w:left w:val="nil"/>
              <w:bottom w:val="nil"/>
              <w:right w:val="nil"/>
            </w:tcBorders>
            <w:hideMark/>
          </w:tcPr>
          <w:p w14:paraId="2E850FA4"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6.7E-10</w:t>
            </w:r>
          </w:p>
        </w:tc>
        <w:tc>
          <w:tcPr>
            <w:tcW w:w="485" w:type="pct"/>
            <w:tcBorders>
              <w:top w:val="nil"/>
              <w:left w:val="nil"/>
              <w:bottom w:val="nil"/>
              <w:right w:val="nil"/>
            </w:tcBorders>
            <w:hideMark/>
          </w:tcPr>
          <w:p w14:paraId="41B5DD45"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3.0E-10</w:t>
            </w:r>
          </w:p>
        </w:tc>
        <w:tc>
          <w:tcPr>
            <w:tcW w:w="485" w:type="pct"/>
            <w:tcBorders>
              <w:top w:val="nil"/>
              <w:left w:val="nil"/>
              <w:bottom w:val="nil"/>
              <w:right w:val="nil"/>
            </w:tcBorders>
            <w:hideMark/>
          </w:tcPr>
          <w:p w14:paraId="78F67FF9"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1.7E-10</w:t>
            </w:r>
          </w:p>
        </w:tc>
        <w:tc>
          <w:tcPr>
            <w:tcW w:w="485" w:type="pct"/>
            <w:tcBorders>
              <w:top w:val="nil"/>
              <w:left w:val="nil"/>
              <w:bottom w:val="nil"/>
              <w:right w:val="nil"/>
            </w:tcBorders>
            <w:hideMark/>
          </w:tcPr>
          <w:p w14:paraId="2398607B"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1.5E-10</w:t>
            </w:r>
          </w:p>
        </w:tc>
        <w:tc>
          <w:tcPr>
            <w:tcW w:w="486" w:type="pct"/>
            <w:tcBorders>
              <w:top w:val="nil"/>
              <w:left w:val="nil"/>
              <w:bottom w:val="nil"/>
              <w:right w:val="nil"/>
            </w:tcBorders>
            <w:hideMark/>
          </w:tcPr>
          <w:p w14:paraId="27BA0D40"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1.1E-10</w:t>
            </w:r>
          </w:p>
        </w:tc>
      </w:tr>
      <w:tr w:rsidR="00F43D48" w:rsidRPr="00605984" w14:paraId="0CADFB5B" w14:textId="77777777" w:rsidTr="000F593F">
        <w:trPr>
          <w:trHeight w:val="340"/>
        </w:trPr>
        <w:tc>
          <w:tcPr>
            <w:tcW w:w="2087" w:type="pct"/>
            <w:tcBorders>
              <w:top w:val="nil"/>
              <w:left w:val="nil"/>
              <w:bottom w:val="nil"/>
              <w:right w:val="nil"/>
            </w:tcBorders>
            <w:hideMark/>
          </w:tcPr>
          <w:p w14:paraId="04C4BBE3" w14:textId="77777777" w:rsidR="00F43D48" w:rsidRPr="00C47F2F" w:rsidRDefault="00F43D48" w:rsidP="000F593F">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hideMark/>
          </w:tcPr>
          <w:p w14:paraId="0A68AC6A"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1.6E-09</w:t>
            </w:r>
          </w:p>
        </w:tc>
        <w:tc>
          <w:tcPr>
            <w:tcW w:w="485" w:type="pct"/>
            <w:tcBorders>
              <w:top w:val="nil"/>
              <w:left w:val="nil"/>
              <w:bottom w:val="nil"/>
              <w:right w:val="nil"/>
            </w:tcBorders>
            <w:hideMark/>
          </w:tcPr>
          <w:p w14:paraId="6CAB13C8"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1.2E-09</w:t>
            </w:r>
          </w:p>
        </w:tc>
        <w:tc>
          <w:tcPr>
            <w:tcW w:w="485" w:type="pct"/>
            <w:tcBorders>
              <w:top w:val="nil"/>
              <w:left w:val="nil"/>
              <w:bottom w:val="nil"/>
              <w:right w:val="nil"/>
            </w:tcBorders>
            <w:hideMark/>
          </w:tcPr>
          <w:p w14:paraId="7A22BF1D"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6.8E-10</w:t>
            </w:r>
          </w:p>
        </w:tc>
        <w:tc>
          <w:tcPr>
            <w:tcW w:w="485" w:type="pct"/>
            <w:tcBorders>
              <w:top w:val="nil"/>
              <w:left w:val="nil"/>
              <w:bottom w:val="nil"/>
              <w:right w:val="nil"/>
            </w:tcBorders>
            <w:hideMark/>
          </w:tcPr>
          <w:p w14:paraId="220AA543"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4.4E-10</w:t>
            </w:r>
          </w:p>
        </w:tc>
        <w:tc>
          <w:tcPr>
            <w:tcW w:w="485" w:type="pct"/>
            <w:tcBorders>
              <w:top w:val="nil"/>
              <w:left w:val="nil"/>
              <w:bottom w:val="nil"/>
              <w:right w:val="nil"/>
            </w:tcBorders>
            <w:hideMark/>
          </w:tcPr>
          <w:p w14:paraId="0D72BA35"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3.7E-10</w:t>
            </w:r>
          </w:p>
        </w:tc>
        <w:tc>
          <w:tcPr>
            <w:tcW w:w="486" w:type="pct"/>
            <w:tcBorders>
              <w:top w:val="nil"/>
              <w:left w:val="nil"/>
              <w:bottom w:val="nil"/>
              <w:right w:val="nil"/>
            </w:tcBorders>
            <w:hideMark/>
          </w:tcPr>
          <w:p w14:paraId="055E45F2"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3.3E-10</w:t>
            </w:r>
          </w:p>
        </w:tc>
      </w:tr>
      <w:tr w:rsidR="00F43D48" w:rsidRPr="00605984" w14:paraId="36323A7E" w14:textId="77777777" w:rsidTr="000F593F">
        <w:trPr>
          <w:trHeight w:val="340"/>
        </w:trPr>
        <w:tc>
          <w:tcPr>
            <w:tcW w:w="2087" w:type="pct"/>
            <w:tcBorders>
              <w:top w:val="nil"/>
              <w:left w:val="nil"/>
              <w:bottom w:val="single" w:sz="4" w:space="0" w:color="auto"/>
              <w:right w:val="nil"/>
            </w:tcBorders>
            <w:hideMark/>
          </w:tcPr>
          <w:p w14:paraId="09908C82" w14:textId="77777777" w:rsidR="00F43D48" w:rsidRPr="00C47F2F" w:rsidRDefault="00F43D48" w:rsidP="000F593F">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485" w:type="pct"/>
            <w:tcBorders>
              <w:top w:val="nil"/>
              <w:left w:val="nil"/>
              <w:bottom w:val="single" w:sz="4" w:space="0" w:color="auto"/>
              <w:right w:val="nil"/>
            </w:tcBorders>
            <w:hideMark/>
          </w:tcPr>
          <w:p w14:paraId="096AFE6B"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1.8E-09</w:t>
            </w:r>
          </w:p>
        </w:tc>
        <w:tc>
          <w:tcPr>
            <w:tcW w:w="485" w:type="pct"/>
            <w:tcBorders>
              <w:top w:val="nil"/>
              <w:left w:val="nil"/>
              <w:bottom w:val="single" w:sz="4" w:space="0" w:color="auto"/>
              <w:right w:val="nil"/>
            </w:tcBorders>
            <w:hideMark/>
          </w:tcPr>
          <w:p w14:paraId="68AF0245"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1.3E-09</w:t>
            </w:r>
          </w:p>
        </w:tc>
        <w:tc>
          <w:tcPr>
            <w:tcW w:w="485" w:type="pct"/>
            <w:tcBorders>
              <w:top w:val="nil"/>
              <w:left w:val="nil"/>
              <w:bottom w:val="single" w:sz="4" w:space="0" w:color="auto"/>
              <w:right w:val="nil"/>
            </w:tcBorders>
            <w:hideMark/>
          </w:tcPr>
          <w:p w14:paraId="1CF70223"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7.9E-10</w:t>
            </w:r>
          </w:p>
        </w:tc>
        <w:tc>
          <w:tcPr>
            <w:tcW w:w="485" w:type="pct"/>
            <w:tcBorders>
              <w:top w:val="nil"/>
              <w:left w:val="nil"/>
              <w:bottom w:val="single" w:sz="4" w:space="0" w:color="auto"/>
              <w:right w:val="nil"/>
            </w:tcBorders>
            <w:hideMark/>
          </w:tcPr>
          <w:p w14:paraId="4B19AFDD"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5.2E-10</w:t>
            </w:r>
          </w:p>
        </w:tc>
        <w:tc>
          <w:tcPr>
            <w:tcW w:w="485" w:type="pct"/>
            <w:tcBorders>
              <w:top w:val="nil"/>
              <w:left w:val="nil"/>
              <w:bottom w:val="single" w:sz="4" w:space="0" w:color="auto"/>
              <w:right w:val="nil"/>
            </w:tcBorders>
            <w:hideMark/>
          </w:tcPr>
          <w:p w14:paraId="337C7F23"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4.3E-10</w:t>
            </w:r>
          </w:p>
        </w:tc>
        <w:tc>
          <w:tcPr>
            <w:tcW w:w="486" w:type="pct"/>
            <w:tcBorders>
              <w:top w:val="nil"/>
              <w:left w:val="nil"/>
              <w:bottom w:val="single" w:sz="4" w:space="0" w:color="auto"/>
              <w:right w:val="nil"/>
            </w:tcBorders>
            <w:hideMark/>
          </w:tcPr>
          <w:p w14:paraId="4A2630FD"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3.9E-10</w:t>
            </w:r>
          </w:p>
        </w:tc>
      </w:tr>
      <w:tr w:rsidR="00F43D48" w:rsidRPr="00605984" w14:paraId="5E825395" w14:textId="77777777" w:rsidTr="000F593F">
        <w:trPr>
          <w:trHeight w:val="340"/>
        </w:trPr>
        <w:tc>
          <w:tcPr>
            <w:tcW w:w="2087" w:type="pct"/>
            <w:tcBorders>
              <w:top w:val="single" w:sz="4" w:space="0" w:color="auto"/>
              <w:left w:val="nil"/>
              <w:bottom w:val="single" w:sz="4" w:space="0" w:color="auto"/>
              <w:right w:val="nil"/>
            </w:tcBorders>
          </w:tcPr>
          <w:p w14:paraId="3FFAD2C8" w14:textId="77777777" w:rsidR="00F43D48" w:rsidRPr="00C47F2F" w:rsidRDefault="00F43D48" w:rsidP="00C47F2F">
            <w:pPr>
              <w:jc w:val="left"/>
              <w:rPr>
                <w:rFonts w:eastAsiaTheme="minorHAnsi"/>
                <w:noProof/>
                <w:sz w:val="22"/>
                <w:szCs w:val="22"/>
              </w:rPr>
            </w:pPr>
          </w:p>
          <w:p w14:paraId="147528C9" w14:textId="77777777" w:rsidR="00F43D48" w:rsidRPr="00232741" w:rsidRDefault="00F43D48" w:rsidP="00C47F2F">
            <w:pPr>
              <w:pStyle w:val="Table"/>
              <w:rPr>
                <w:noProof/>
                <w:szCs w:val="22"/>
              </w:rPr>
            </w:pPr>
            <w:r w:rsidRPr="00C47F2F">
              <w:rPr>
                <w:noProof/>
                <w:snapToGrid/>
                <w:szCs w:val="22"/>
              </w:rPr>
              <w:t>Ingested materials</w:t>
            </w:r>
          </w:p>
        </w:tc>
        <w:tc>
          <w:tcPr>
            <w:tcW w:w="485" w:type="pct"/>
            <w:tcBorders>
              <w:top w:val="single" w:sz="4" w:space="0" w:color="auto"/>
              <w:left w:val="nil"/>
              <w:bottom w:val="single" w:sz="4" w:space="0" w:color="auto"/>
              <w:right w:val="nil"/>
            </w:tcBorders>
          </w:tcPr>
          <w:p w14:paraId="6DAA7099"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EAE85A8"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84A6369"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68D483C4"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BCFE120" w14:textId="77777777" w:rsidR="00F43D48" w:rsidRPr="00C47F2F" w:rsidRDefault="00F43D48"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30FC6A2F" w14:textId="77777777" w:rsidR="00F43D48" w:rsidRPr="00C47F2F" w:rsidRDefault="00F43D48" w:rsidP="00C47F2F">
            <w:pPr>
              <w:jc w:val="left"/>
              <w:rPr>
                <w:rFonts w:eastAsia="Times New Roman"/>
                <w:noProof/>
                <w:color w:val="000000"/>
                <w:sz w:val="22"/>
                <w:szCs w:val="22"/>
              </w:rPr>
            </w:pPr>
          </w:p>
        </w:tc>
      </w:tr>
      <w:tr w:rsidR="00F43D48" w:rsidRPr="00605984" w14:paraId="749D55BF" w14:textId="77777777" w:rsidTr="000F593F">
        <w:trPr>
          <w:trHeight w:val="340"/>
        </w:trPr>
        <w:tc>
          <w:tcPr>
            <w:tcW w:w="2087" w:type="pct"/>
            <w:tcBorders>
              <w:top w:val="single" w:sz="4" w:space="0" w:color="auto"/>
              <w:left w:val="nil"/>
              <w:bottom w:val="single" w:sz="4" w:space="0" w:color="auto"/>
              <w:right w:val="nil"/>
            </w:tcBorders>
            <w:vAlign w:val="center"/>
            <w:hideMark/>
          </w:tcPr>
          <w:p w14:paraId="48CD520C" w14:textId="77777777" w:rsidR="00F43D48" w:rsidRPr="00C47F2F" w:rsidRDefault="00F43D48" w:rsidP="000F593F">
            <w:pPr>
              <w:jc w:val="left"/>
              <w:rPr>
                <w:rFonts w:eastAsiaTheme="minorHAnsi"/>
                <w:noProof/>
                <w:sz w:val="22"/>
                <w:szCs w:val="22"/>
              </w:rPr>
            </w:pPr>
            <w:r w:rsidRPr="00C47F2F">
              <w:rPr>
                <w:noProof/>
                <w:sz w:val="22"/>
                <w:szCs w:val="22"/>
              </w:rPr>
              <w:t xml:space="preserve"> </w:t>
            </w:r>
            <w:r w:rsidRPr="00C47F2F">
              <w:rPr>
                <w:rFonts w:eastAsia="Times New Roman"/>
                <w:noProof/>
                <w:color w:val="000000"/>
                <w:sz w:val="22"/>
                <w:szCs w:val="22"/>
                <w:lang w:eastAsia="en-GB"/>
              </w:rPr>
              <w:t>All compounds</w:t>
            </w:r>
          </w:p>
        </w:tc>
        <w:tc>
          <w:tcPr>
            <w:tcW w:w="485" w:type="pct"/>
            <w:tcBorders>
              <w:top w:val="single" w:sz="4" w:space="0" w:color="auto"/>
              <w:left w:val="nil"/>
              <w:bottom w:val="single" w:sz="4" w:space="0" w:color="auto"/>
              <w:right w:val="nil"/>
            </w:tcBorders>
            <w:vAlign w:val="center"/>
            <w:hideMark/>
          </w:tcPr>
          <w:p w14:paraId="07D164D0"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7.9E-11</w:t>
            </w:r>
          </w:p>
        </w:tc>
        <w:tc>
          <w:tcPr>
            <w:tcW w:w="485" w:type="pct"/>
            <w:tcBorders>
              <w:top w:val="single" w:sz="4" w:space="0" w:color="auto"/>
              <w:left w:val="nil"/>
              <w:bottom w:val="single" w:sz="4" w:space="0" w:color="auto"/>
              <w:right w:val="nil"/>
            </w:tcBorders>
            <w:vAlign w:val="center"/>
            <w:hideMark/>
          </w:tcPr>
          <w:p w14:paraId="071539DC"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4.6E-11</w:t>
            </w:r>
          </w:p>
        </w:tc>
        <w:tc>
          <w:tcPr>
            <w:tcW w:w="485" w:type="pct"/>
            <w:tcBorders>
              <w:top w:val="single" w:sz="4" w:space="0" w:color="auto"/>
              <w:left w:val="nil"/>
              <w:bottom w:val="single" w:sz="4" w:space="0" w:color="auto"/>
              <w:right w:val="nil"/>
            </w:tcBorders>
            <w:vAlign w:val="center"/>
            <w:hideMark/>
          </w:tcPr>
          <w:p w14:paraId="54596C89"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3.0E-11</w:t>
            </w:r>
          </w:p>
        </w:tc>
        <w:tc>
          <w:tcPr>
            <w:tcW w:w="485" w:type="pct"/>
            <w:tcBorders>
              <w:top w:val="single" w:sz="4" w:space="0" w:color="auto"/>
              <w:left w:val="nil"/>
              <w:bottom w:val="single" w:sz="4" w:space="0" w:color="auto"/>
              <w:right w:val="nil"/>
            </w:tcBorders>
            <w:vAlign w:val="center"/>
            <w:hideMark/>
          </w:tcPr>
          <w:p w14:paraId="05A5A5C8"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2.1E-11</w:t>
            </w:r>
          </w:p>
        </w:tc>
        <w:tc>
          <w:tcPr>
            <w:tcW w:w="485" w:type="pct"/>
            <w:tcBorders>
              <w:top w:val="single" w:sz="4" w:space="0" w:color="auto"/>
              <w:left w:val="nil"/>
              <w:bottom w:val="single" w:sz="4" w:space="0" w:color="auto"/>
              <w:right w:val="nil"/>
            </w:tcBorders>
            <w:vAlign w:val="center"/>
            <w:hideMark/>
          </w:tcPr>
          <w:p w14:paraId="3ED58D3F"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1.4E-11</w:t>
            </w:r>
          </w:p>
        </w:tc>
        <w:tc>
          <w:tcPr>
            <w:tcW w:w="486" w:type="pct"/>
            <w:tcBorders>
              <w:top w:val="single" w:sz="4" w:space="0" w:color="auto"/>
              <w:left w:val="nil"/>
              <w:bottom w:val="single" w:sz="4" w:space="0" w:color="auto"/>
              <w:right w:val="nil"/>
            </w:tcBorders>
            <w:vAlign w:val="center"/>
            <w:hideMark/>
          </w:tcPr>
          <w:p w14:paraId="21988E71"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8.4E-12</w:t>
            </w:r>
          </w:p>
        </w:tc>
      </w:tr>
    </w:tbl>
    <w:p w14:paraId="61AE941B" w14:textId="3BB93B58" w:rsidR="00663AC5" w:rsidRPr="00972C81" w:rsidRDefault="00663AC5">
      <w:pPr>
        <w:widowControl/>
        <w:jc w:val="left"/>
        <w:rPr>
          <w:noProof/>
        </w:rPr>
      </w:pPr>
      <w:r w:rsidRPr="00972C81">
        <w:rPr>
          <w:noProof/>
        </w:rPr>
        <w:br w:type="page"/>
      </w:r>
    </w:p>
    <w:p w14:paraId="0EBB4B15" w14:textId="77777777" w:rsidR="007D1F4D" w:rsidRPr="00972C81" w:rsidRDefault="00DC407D" w:rsidP="00E81109">
      <w:pPr>
        <w:pStyle w:val="1"/>
        <w:rPr>
          <w:noProof/>
        </w:rPr>
      </w:pPr>
      <w:bookmarkStart w:id="198" w:name="_Toc455492630"/>
      <w:bookmarkStart w:id="199" w:name="_Toc455493059"/>
      <w:bookmarkStart w:id="200" w:name="_Toc162630055"/>
      <w:r w:rsidRPr="00972C81">
        <w:rPr>
          <w:noProof/>
        </w:rPr>
        <w:lastRenderedPageBreak/>
        <w:t>Thulium (Z = 69)</w:t>
      </w:r>
      <w:bookmarkEnd w:id="198"/>
      <w:bookmarkEnd w:id="199"/>
      <w:bookmarkEnd w:id="200"/>
    </w:p>
    <w:p w14:paraId="14B529A9" w14:textId="14816812" w:rsidR="000B33B9" w:rsidRPr="00972C81" w:rsidRDefault="000B33B9" w:rsidP="00E81109">
      <w:pPr>
        <w:pStyle w:val="2"/>
        <w:rPr>
          <w:noProof/>
          <w:lang w:val="en-GB"/>
        </w:rPr>
      </w:pPr>
      <w:bookmarkStart w:id="201" w:name="_Toc17467871"/>
      <w:bookmarkStart w:id="202" w:name="_Toc455492632"/>
      <w:bookmarkStart w:id="203" w:name="_Toc455493061"/>
      <w:bookmarkStart w:id="204" w:name="_Toc162630056"/>
      <w:bookmarkEnd w:id="201"/>
      <w:r w:rsidRPr="00972C81">
        <w:rPr>
          <w:noProof/>
          <w:lang w:val="en-GB"/>
        </w:rPr>
        <w:t>Routes of Intake</w:t>
      </w:r>
      <w:bookmarkEnd w:id="202"/>
      <w:bookmarkEnd w:id="203"/>
      <w:bookmarkEnd w:id="204"/>
    </w:p>
    <w:p w14:paraId="33EEEC7F" w14:textId="77777777" w:rsidR="000B33B9" w:rsidRPr="00972C81" w:rsidRDefault="000B33B9" w:rsidP="00C47F2F">
      <w:pPr>
        <w:pStyle w:val="OIRTitre3"/>
        <w:rPr>
          <w:noProof/>
        </w:rPr>
      </w:pPr>
      <w:bookmarkStart w:id="205" w:name="_Toc162630057"/>
      <w:r w:rsidRPr="00972C81">
        <w:rPr>
          <w:noProof/>
        </w:rPr>
        <w:t>Inhalation</w:t>
      </w:r>
      <w:bookmarkEnd w:id="205"/>
    </w:p>
    <w:p w14:paraId="330C15B3" w14:textId="00D52156" w:rsidR="00187747" w:rsidRDefault="000B33B9" w:rsidP="00E81109">
      <w:pPr>
        <w:pStyle w:val="Annalstext"/>
        <w:rPr>
          <w:noProof/>
        </w:rPr>
      </w:pPr>
      <w:r w:rsidRPr="00972C81">
        <w:rPr>
          <w:noProof/>
        </w:rPr>
        <w:t xml:space="preserve">Studies were found on the behaviour of thulium radioisotopes </w:t>
      </w:r>
      <w:r w:rsidR="00BB503E">
        <w:rPr>
          <w:noProof/>
        </w:rPr>
        <w:t>in humans</w:t>
      </w:r>
      <w:r w:rsidRPr="00972C81">
        <w:rPr>
          <w:noProof/>
        </w:rPr>
        <w:t xml:space="preserve"> following accidental inhalation. Information on absorption from the respiratory tract is available from experimental studies of thulium as oxide. </w:t>
      </w:r>
      <w:r w:rsidR="000579A0" w:rsidRPr="00972C81">
        <w:rPr>
          <w:noProof/>
        </w:rPr>
        <w:t xml:space="preserve">For details see Section 15 of </w:t>
      </w:r>
      <w:r w:rsidR="00663AC5" w:rsidRPr="00972C81">
        <w:rPr>
          <w:i/>
          <w:noProof/>
        </w:rPr>
        <w:t>Publication 141</w:t>
      </w:r>
      <w:r w:rsidR="00663AC5" w:rsidRPr="00972C81">
        <w:rPr>
          <w:noProof/>
        </w:rPr>
        <w:t xml:space="preserve"> </w:t>
      </w:r>
      <w:r w:rsidR="00497094" w:rsidRPr="00972C81">
        <w:rPr>
          <w:noProof/>
        </w:rPr>
        <w:fldChar w:fldCharType="begin"/>
      </w:r>
      <w:r w:rsidR="00497094" w:rsidRPr="00972C81">
        <w:rPr>
          <w:noProof/>
        </w:rPr>
        <w:instrText xml:space="preserve"> ADDIN ZOTERO_ITEM CSL_CITATION {"citationID":"sTiSwgHj","properties":{"formattedCitation":"(ICRP,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497094" w:rsidRPr="00972C81">
        <w:rPr>
          <w:noProof/>
        </w:rPr>
        <w:fldChar w:fldCharType="separate"/>
      </w:r>
      <w:r w:rsidR="00BC59C6" w:rsidRPr="00972C81">
        <w:rPr>
          <w:noProof/>
        </w:rPr>
        <w:t>(ICRP, 2019)</w:t>
      </w:r>
      <w:r w:rsidR="00497094" w:rsidRPr="00972C81">
        <w:rPr>
          <w:noProof/>
        </w:rPr>
        <w:fldChar w:fldCharType="end"/>
      </w:r>
      <w:r w:rsidR="00663AC5" w:rsidRPr="00972C81">
        <w:rPr>
          <w:noProof/>
        </w:rPr>
        <w:t xml:space="preserve">. </w:t>
      </w:r>
      <w:r w:rsidR="000579A0" w:rsidRPr="00972C81">
        <w:rPr>
          <w:noProof/>
        </w:rPr>
        <w:t>A</w:t>
      </w:r>
      <w:r w:rsidRPr="00972C81">
        <w:rPr>
          <w:noProof/>
        </w:rPr>
        <w:t xml:space="preserve">bsorption parameter values based on cerium are applied in this document to the other lanthanides. Absorption parameter values and Types, and associated </w:t>
      </w:r>
      <w:r w:rsidRPr="00972C81">
        <w:rPr>
          <w:i/>
          <w:noProof/>
        </w:rPr>
        <w:t>f</w:t>
      </w:r>
      <w:r w:rsidRPr="00972C81">
        <w:rPr>
          <w:noProof/>
          <w:vertAlign w:val="subscript"/>
        </w:rPr>
        <w:t>A</w:t>
      </w:r>
      <w:r w:rsidRPr="00972C81">
        <w:rPr>
          <w:noProof/>
        </w:rPr>
        <w:t xml:space="preserve"> values for particulate forms of lanthanides, including thulium, are given in </w:t>
      </w:r>
      <w:r w:rsidR="00B94D6D" w:rsidRPr="00972C81">
        <w:rPr>
          <w:noProof/>
        </w:rPr>
        <w:fldChar w:fldCharType="begin"/>
      </w:r>
      <w:r w:rsidR="00B94D6D" w:rsidRPr="00972C81">
        <w:rPr>
          <w:noProof/>
        </w:rPr>
        <w:instrText xml:space="preserve"> REF _Ref417994983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1</w:t>
      </w:r>
      <w:r w:rsidR="00B94D6D" w:rsidRPr="00972C81">
        <w:rPr>
          <w:noProof/>
        </w:rPr>
        <w:fldChar w:fldCharType="end"/>
      </w:r>
      <w:r w:rsidR="00B94D6D" w:rsidRPr="00972C81">
        <w:rPr>
          <w:noProof/>
        </w:rPr>
        <w:t xml:space="preserve"> and </w:t>
      </w:r>
      <w:r w:rsidR="00B94D6D" w:rsidRPr="00972C81">
        <w:rPr>
          <w:noProof/>
        </w:rPr>
        <w:fldChar w:fldCharType="begin"/>
      </w:r>
      <w:r w:rsidR="00B94D6D" w:rsidRPr="00972C81">
        <w:rPr>
          <w:noProof/>
        </w:rPr>
        <w:instrText xml:space="preserve"> REF _Ref141784472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B94D6D" w:rsidRPr="00972C81">
        <w:rPr>
          <w:noProof/>
        </w:rPr>
        <w:fldChar w:fldCharType="end"/>
      </w:r>
      <w:r w:rsidR="00B94D6D" w:rsidRPr="00972C81">
        <w:rPr>
          <w:noProof/>
        </w:rPr>
        <w:t xml:space="preserve"> </w:t>
      </w:r>
      <w:r w:rsidRPr="00972C81">
        <w:rPr>
          <w:noProof/>
        </w:rPr>
        <w:t xml:space="preserve">of the </w:t>
      </w:r>
      <w:r w:rsidR="000579A0" w:rsidRPr="00972C81">
        <w:rPr>
          <w:noProof/>
        </w:rPr>
        <w:t>lanthanum S</w:t>
      </w:r>
      <w:r w:rsidRPr="00972C81">
        <w:rPr>
          <w:noProof/>
        </w:rPr>
        <w:t>ection</w:t>
      </w:r>
    </w:p>
    <w:p w14:paraId="7746DC6E" w14:textId="77777777" w:rsidR="00AE7A83" w:rsidRPr="00972C81" w:rsidRDefault="00DC407D" w:rsidP="006F56F9">
      <w:pPr>
        <w:pStyle w:val="3"/>
        <w:rPr>
          <w:noProof/>
        </w:rPr>
      </w:pPr>
      <w:bookmarkStart w:id="206" w:name="_Toc162630058"/>
      <w:r w:rsidRPr="00972C81">
        <w:rPr>
          <w:noProof/>
        </w:rPr>
        <w:t>Ingestion</w:t>
      </w:r>
      <w:bookmarkEnd w:id="206"/>
    </w:p>
    <w:p w14:paraId="1F2EB367" w14:textId="77777777" w:rsidR="00187747" w:rsidRPr="00972C81" w:rsidRDefault="00187747" w:rsidP="00187747">
      <w:pPr>
        <w:pStyle w:val="Annalstext"/>
        <w:rPr>
          <w:noProof/>
        </w:rPr>
      </w:pPr>
      <w:r w:rsidRPr="00972C81">
        <w:rPr>
          <w:i/>
          <w:noProof/>
        </w:rPr>
        <w:t>Adults</w:t>
      </w:r>
      <w:r w:rsidRPr="00972C81">
        <w:rPr>
          <w:noProof/>
        </w:rPr>
        <w:t xml:space="preserve">. In Section 2 of </w:t>
      </w:r>
      <w:r w:rsidRPr="00972C81">
        <w:rPr>
          <w:i/>
          <w:noProof/>
        </w:rPr>
        <w:t>Publication 141</w:t>
      </w:r>
      <w:r w:rsidRPr="00972C81">
        <w:rPr>
          <w:noProof/>
        </w:rPr>
        <w:t xml:space="preserve"> </w:t>
      </w:r>
      <w:r w:rsidRPr="00972C81">
        <w:rPr>
          <w:noProof/>
        </w:rPr>
        <w:fldChar w:fldCharType="begin"/>
      </w:r>
      <w:r w:rsidRPr="00972C81">
        <w:rPr>
          <w:noProof/>
        </w:rPr>
        <w:instrText xml:space="preserve"> ADDIN ZOTERO_ITEM CSL_CITATION {"citationID":"WnSVCUty","properties":{"formattedCitation":"(ICRP,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Pr="00972C81">
        <w:rPr>
          <w:noProof/>
        </w:rPr>
        <w:fldChar w:fldCharType="separate"/>
      </w:r>
      <w:r w:rsidRPr="00972C81">
        <w:rPr>
          <w:noProof/>
        </w:rPr>
        <w:t>(ICRP, 2019)</w:t>
      </w:r>
      <w:r w:rsidRPr="00972C81">
        <w:rPr>
          <w:noProof/>
        </w:rPr>
        <w:fldChar w:fldCharType="end"/>
      </w:r>
      <w:r w:rsidRPr="00972C81">
        <w:rPr>
          <w:noProof/>
        </w:rPr>
        <w:t>, information relating to the gastrointestinal absorption of different lanthanide elements was compared. Their fractional absorption was found to be below 10</w:t>
      </w:r>
      <w:r w:rsidRPr="00972C81">
        <w:rPr>
          <w:noProof/>
          <w:vertAlign w:val="superscript"/>
        </w:rPr>
        <w:t>-3</w:t>
      </w:r>
      <w:r w:rsidRPr="00972C81">
        <w:rPr>
          <w:noProof/>
        </w:rPr>
        <w:t xml:space="preserve"> in most cases and a </w:t>
      </w:r>
      <w:r w:rsidRPr="00972C81">
        <w:rPr>
          <w:i/>
          <w:noProof/>
        </w:rPr>
        <w:t>f</w:t>
      </w:r>
      <w:r w:rsidRPr="00972C81">
        <w:rPr>
          <w:noProof/>
          <w:vertAlign w:val="subscript"/>
        </w:rPr>
        <w:t>A</w:t>
      </w:r>
      <w:r w:rsidRPr="00972C81">
        <w:rPr>
          <w:noProof/>
        </w:rPr>
        <w:t xml:space="preserve"> value 5 × 10</w:t>
      </w:r>
      <w:r w:rsidRPr="00972C81">
        <w:rPr>
          <w:noProof/>
          <w:vertAlign w:val="superscript"/>
        </w:rPr>
        <w:t>–4</w:t>
      </w:r>
      <w:r w:rsidRPr="00972C81">
        <w:rPr>
          <w:noProof/>
        </w:rPr>
        <w:t xml:space="preserve"> was adopted for all lanthanides as a reasonably representative value based on experimental results. For </w:t>
      </w:r>
      <w:r w:rsidRPr="00972C81">
        <w:rPr>
          <w:noProof/>
          <w:color w:val="000000" w:themeColor="text1"/>
          <w:szCs w:val="24"/>
        </w:rPr>
        <w:t>thulium</w:t>
      </w:r>
      <w:r w:rsidRPr="00972C81">
        <w:rPr>
          <w:noProof/>
        </w:rPr>
        <w:t xml:space="preserve">, Section 15 of </w:t>
      </w:r>
      <w:r w:rsidRPr="00972C81">
        <w:rPr>
          <w:i/>
          <w:noProof/>
        </w:rPr>
        <w:t>Publication 141</w:t>
      </w:r>
      <w:r w:rsidRPr="00972C81">
        <w:rPr>
          <w:noProof/>
        </w:rPr>
        <w:t xml:space="preserve"> reported results of animal studies showing fractional absorption to be less than 10</w:t>
      </w:r>
      <w:r w:rsidRPr="00972C81">
        <w:rPr>
          <w:noProof/>
          <w:vertAlign w:val="superscript"/>
        </w:rPr>
        <w:t>-3</w:t>
      </w:r>
      <w:r w:rsidRPr="00972C81">
        <w:rPr>
          <w:noProof/>
        </w:rPr>
        <w:t xml:space="preserve">. The value of </w:t>
      </w:r>
      <w:r w:rsidRPr="00972C81">
        <w:rPr>
          <w:i/>
          <w:noProof/>
        </w:rPr>
        <w:t>f</w:t>
      </w:r>
      <w:r w:rsidRPr="00972C81">
        <w:rPr>
          <w:noProof/>
          <w:vertAlign w:val="subscript"/>
        </w:rPr>
        <w:t>A</w:t>
      </w:r>
      <w:r w:rsidRPr="00972C81">
        <w:rPr>
          <w:noProof/>
        </w:rPr>
        <w:t xml:space="preserve"> = 5 × 10</w:t>
      </w:r>
      <w:r w:rsidRPr="00972C81">
        <w:rPr>
          <w:noProof/>
          <w:vertAlign w:val="superscript"/>
        </w:rPr>
        <w:t>–4</w:t>
      </w:r>
      <w:r w:rsidRPr="00972C81">
        <w:rPr>
          <w:noProof/>
        </w:rPr>
        <w:t xml:space="preserve"> is adopted here for intakes of </w:t>
      </w:r>
      <w:r w:rsidRPr="00972C81">
        <w:rPr>
          <w:noProof/>
          <w:color w:val="000000" w:themeColor="text1"/>
          <w:szCs w:val="24"/>
        </w:rPr>
        <w:t>thulium</w:t>
      </w:r>
      <w:r w:rsidRPr="00972C81">
        <w:rPr>
          <w:noProof/>
        </w:rPr>
        <w:t xml:space="preserve"> by adult members of the public.</w:t>
      </w:r>
    </w:p>
    <w:p w14:paraId="5DA54C36" w14:textId="77777777" w:rsidR="00187747" w:rsidRPr="00972C81" w:rsidRDefault="00187747" w:rsidP="00187747">
      <w:pPr>
        <w:pStyle w:val="Annalstext"/>
        <w:rPr>
          <w:noProof/>
        </w:rPr>
      </w:pPr>
      <w:r w:rsidRPr="00972C81">
        <w:rPr>
          <w:i/>
          <w:noProof/>
        </w:rPr>
        <w:t>Children</w:t>
      </w:r>
      <w:r w:rsidRPr="00972C81">
        <w:rPr>
          <w:noProof/>
        </w:rPr>
        <w:t xml:space="preserve">. The age-dependency of </w:t>
      </w:r>
      <w:r w:rsidRPr="00972C81">
        <w:rPr>
          <w:noProof/>
          <w:color w:val="000000" w:themeColor="text1"/>
          <w:szCs w:val="24"/>
        </w:rPr>
        <w:t>thulium</w:t>
      </w:r>
      <w:r w:rsidRPr="00972C81">
        <w:rPr>
          <w:noProof/>
        </w:rPr>
        <w:t xml:space="preserve"> absorption was not observed. On the basis of the chemical analogy with cerium, the same values of </w:t>
      </w:r>
      <w:r w:rsidRPr="00972C81">
        <w:rPr>
          <w:i/>
          <w:noProof/>
        </w:rPr>
        <w:t>f</w:t>
      </w:r>
      <w:r w:rsidRPr="00972C81">
        <w:rPr>
          <w:noProof/>
          <w:vertAlign w:val="subscript"/>
        </w:rPr>
        <w:t>A</w:t>
      </w:r>
      <w:r w:rsidRPr="00972C81">
        <w:rPr>
          <w:noProof/>
        </w:rPr>
        <w:t xml:space="preserve"> = 5 × 10</w:t>
      </w:r>
      <w:r w:rsidRPr="00972C81">
        <w:rPr>
          <w:noProof/>
          <w:vertAlign w:val="superscript"/>
        </w:rPr>
        <w:t>-3</w:t>
      </w:r>
      <w:r w:rsidRPr="00972C81">
        <w:rPr>
          <w:noProof/>
        </w:rPr>
        <w:t xml:space="preserve"> for 3-month-old infants and 5 × 10</w:t>
      </w:r>
      <w:r w:rsidRPr="00972C81">
        <w:rPr>
          <w:noProof/>
          <w:vertAlign w:val="superscript"/>
        </w:rPr>
        <w:t>-4</w:t>
      </w:r>
      <w:r w:rsidRPr="00972C81">
        <w:rPr>
          <w:noProof/>
        </w:rPr>
        <w:t xml:space="preserve"> for children of 1 year and older are adopted here for </w:t>
      </w:r>
      <w:r w:rsidRPr="00972C81">
        <w:rPr>
          <w:noProof/>
          <w:color w:val="000000" w:themeColor="text1"/>
          <w:szCs w:val="24"/>
        </w:rPr>
        <w:t>thulium</w:t>
      </w:r>
      <w:r w:rsidRPr="00972C81">
        <w:rPr>
          <w:noProof/>
        </w:rPr>
        <w:t>.</w:t>
      </w:r>
      <w:r w:rsidRPr="00972C81" w:rsidDel="00187747">
        <w:rPr>
          <w:noProof/>
        </w:rPr>
        <w:t>.</w:t>
      </w:r>
      <w:r w:rsidRPr="00972C81">
        <w:rPr>
          <w:noProof/>
        </w:rPr>
        <w:t xml:space="preserve">  </w:t>
      </w:r>
    </w:p>
    <w:p w14:paraId="2200030D" w14:textId="77777777" w:rsidR="00AE7A83" w:rsidRPr="00972C81" w:rsidRDefault="00AE7A83" w:rsidP="00E81109">
      <w:pPr>
        <w:pStyle w:val="3"/>
        <w:rPr>
          <w:noProof/>
        </w:rPr>
      </w:pPr>
      <w:bookmarkStart w:id="207" w:name="_Toc162630059"/>
      <w:r w:rsidRPr="00972C81">
        <w:rPr>
          <w:noProof/>
        </w:rPr>
        <w:t>Systemic Distribution, Retention and Excretion</w:t>
      </w:r>
      <w:bookmarkEnd w:id="207"/>
    </w:p>
    <w:p w14:paraId="15F69A3D" w14:textId="77777777" w:rsidR="002E7113" w:rsidRPr="00972C81" w:rsidRDefault="002E7113" w:rsidP="006703A2">
      <w:pPr>
        <w:pStyle w:val="OIRTitre4"/>
      </w:pPr>
      <w:r w:rsidRPr="00972C81">
        <w:t>Summary of biokinetic data</w:t>
      </w:r>
    </w:p>
    <w:p w14:paraId="3087C31E" w14:textId="4C00CF5A" w:rsidR="002E7113" w:rsidRPr="00972C81" w:rsidRDefault="002E7113" w:rsidP="001C4A92">
      <w:pPr>
        <w:pStyle w:val="Annalstext"/>
        <w:rPr>
          <w:noProof/>
        </w:rPr>
      </w:pPr>
      <w:r w:rsidRPr="00972C81">
        <w:rPr>
          <w:noProof/>
        </w:rPr>
        <w:t>The lanthanides terbium, dysprosium, holmium, erbium, thulium, ytterbium, and lutetium showed similar biokinetics in rats</w:t>
      </w:r>
      <w:r w:rsidR="00497094" w:rsidRPr="00972C81">
        <w:rPr>
          <w:noProof/>
        </w:rPr>
        <w:t xml:space="preserve"> </w:t>
      </w:r>
      <w:r w:rsidR="00497094" w:rsidRPr="00972C81">
        <w:rPr>
          <w:noProof/>
        </w:rPr>
        <w:fldChar w:fldCharType="begin"/>
      </w:r>
      <w:r w:rsidR="00612860" w:rsidRPr="00972C81">
        <w:rPr>
          <w:noProof/>
        </w:rPr>
        <w:instrText xml:space="preserve"> ADDIN ZOTERO_ITEM CSL_CITATION {"citationID":"THa9yBOz","properties":{"formattedCitation":"(Ando et al., 1989; Durbin, 1959, 1962; Moskalev et al., 1974)","plainCitation":"(Ando et al., 1989; Durbin, 1959, 1962; Moskalev et al., 1974)","noteIndex":0},"citationItems":[{"id":2345,"uris":["http://zotero.org/groups/2470620/items/G9C65MS5"],"itemData":{"id":2345,"type":"article-journal","archive":"Scopus","container-title":"International Journal of Radiation Applications and Instrumentation.","DOI":"10.1016/0883-2897(89)90216-X","issue":"1","page":"57-80","title":"Relation between the location of elements in the periodic table and various organ-uptake rates","volume":"16","author":[{"family":"Ando","given":"A."},{"family":"Ando","given":"I."},{"family":"Hiraki","given":"T."},{"family":"Hisada","given":"K."}],"issued":{"date-parts":[["1989"]]}}},{"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mammals","volume":"8","author":[{"family":"Durbin","given":"P.W."}],"issued":{"date-parts":[["1962"]]}}},{"id":4757,"uris":["http://zotero.org/groups/2470620/items/GPRMH38F"],"itemData":{"id":4757,"type":"chapter","container-title":"Biological Effects of Radiation from External and Internal Sources. Translated in U.S. Atomic Energy Commission Document AEC-tr-7457","event-place":"Moscow, Russia","publisher":"Medistina","publisher-place":"Moscow, Russia","source":"Google Scholar","title":"Distinctions of distribution in the organism of radioactive isotopes of lanthanide elements","author":[{"family":"Moskalev","given":"Yu I."},{"family":"Zalikin","given":"G. A."},{"family":"Stepanov","given":"V. S."}],"issued":{"date-parts":[["1974"]]}}}],"schema":"https://github.com/citation-style-language/schema/raw/master/csl-citation.json"} </w:instrText>
      </w:r>
      <w:r w:rsidR="00497094" w:rsidRPr="00972C81">
        <w:rPr>
          <w:noProof/>
        </w:rPr>
        <w:fldChar w:fldCharType="separate"/>
      </w:r>
      <w:r w:rsidR="00BC59C6" w:rsidRPr="00972C81">
        <w:rPr>
          <w:noProof/>
        </w:rPr>
        <w:t>(Ando et al., 1989; Durbin, 1959, 1962; Moskalev et al., 1974)</w:t>
      </w:r>
      <w:r w:rsidR="00497094" w:rsidRPr="00972C81">
        <w:rPr>
          <w:noProof/>
        </w:rPr>
        <w:fldChar w:fldCharType="end"/>
      </w:r>
      <w:r w:rsidRPr="00972C81">
        <w:rPr>
          <w:noProof/>
        </w:rPr>
        <w:t>. At 4 d after intramuscular injection, about 60% of the activity entering blood was contained in bone, and 1</w:t>
      </w:r>
      <w:r w:rsidR="00605984" w:rsidRPr="00972C81">
        <w:rPr>
          <w:noProof/>
        </w:rPr>
        <w:t>–</w:t>
      </w:r>
      <w:r w:rsidRPr="00972C81">
        <w:rPr>
          <w:noProof/>
        </w:rPr>
        <w:t xml:space="preserve">7% was contained in the liver </w:t>
      </w:r>
      <w:r w:rsidR="00B407C3" w:rsidRPr="00972C81">
        <w:rPr>
          <w:noProof/>
        </w:rPr>
        <w:fldChar w:fldCharType="begin"/>
      </w:r>
      <w:r w:rsidR="00B407C3" w:rsidRPr="00972C81">
        <w:rPr>
          <w:noProof/>
        </w:rPr>
        <w:instrText xml:space="preserve"> ADDIN ZOTERO_ITEM CSL_CITATION {"citationID":"sawJkvqy","properties":{"formattedCitation":"(Durbin, 1959, 1962)","plainCitation":"(Durbin, 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B407C3" w:rsidRPr="00972C81">
        <w:rPr>
          <w:noProof/>
        </w:rPr>
        <w:fldChar w:fldCharType="separate"/>
      </w:r>
      <w:r w:rsidR="00BC59C6" w:rsidRPr="00972C81">
        <w:rPr>
          <w:noProof/>
        </w:rPr>
        <w:t>(Durbin, 1959, 1962)</w:t>
      </w:r>
      <w:r w:rsidR="00B407C3" w:rsidRPr="00972C81">
        <w:rPr>
          <w:noProof/>
        </w:rPr>
        <w:fldChar w:fldCharType="end"/>
      </w:r>
      <w:r w:rsidRPr="00972C81">
        <w:rPr>
          <w:noProof/>
        </w:rPr>
        <w:t>. Cumulative loss in urine through day 4 amounted to roughly 20% of the amount reaching blood.</w:t>
      </w:r>
    </w:p>
    <w:p w14:paraId="55FE385E" w14:textId="22F0AFF7" w:rsidR="002E7113" w:rsidRPr="00972C81" w:rsidRDefault="002E7113" w:rsidP="001C4A92">
      <w:pPr>
        <w:pStyle w:val="Annalstext"/>
        <w:rPr>
          <w:rFonts w:eastAsia="Times New Roman"/>
          <w:noProof/>
        </w:rPr>
      </w:pPr>
      <w:r w:rsidRPr="00972C81">
        <w:rPr>
          <w:rFonts w:eastAsia="Times New Roman"/>
          <w:noProof/>
        </w:rPr>
        <w:t xml:space="preserve">No information was found regarding the effect of age on the biokinetics of systemic </w:t>
      </w:r>
      <w:r w:rsidRPr="00972C81">
        <w:rPr>
          <w:rFonts w:ascii="Times Roman" w:hAnsi="Times Roman"/>
          <w:noProof/>
        </w:rPr>
        <w:t>thulium.</w:t>
      </w:r>
    </w:p>
    <w:p w14:paraId="6E8750AB" w14:textId="77777777" w:rsidR="002E7113" w:rsidRPr="00972C81" w:rsidRDefault="002E7113" w:rsidP="006703A2">
      <w:pPr>
        <w:pStyle w:val="OIRTitre4"/>
      </w:pPr>
      <w:r w:rsidRPr="00972C81">
        <w:t>Systemic model</w:t>
      </w:r>
    </w:p>
    <w:p w14:paraId="0E8BDBCE" w14:textId="63C6651D" w:rsidR="002E7113" w:rsidRPr="00972C81" w:rsidRDefault="002E7113" w:rsidP="001C4A92">
      <w:pPr>
        <w:pStyle w:val="Annalstext"/>
        <w:rPr>
          <w:noProof/>
        </w:rPr>
      </w:pPr>
      <w:r w:rsidRPr="00972C81">
        <w:rPr>
          <w:noProof/>
        </w:rPr>
        <w:t xml:space="preserve">The model structure shown in </w:t>
      </w:r>
      <w:r w:rsidR="00B407C3" w:rsidRPr="00972C81">
        <w:rPr>
          <w:noProof/>
        </w:rPr>
        <w:fldChar w:fldCharType="begin"/>
      </w:r>
      <w:r w:rsidR="00B407C3" w:rsidRPr="00972C81">
        <w:rPr>
          <w:noProof/>
        </w:rPr>
        <w:instrText xml:space="preserve"> REF _Ref141858180 \h </w:instrText>
      </w:r>
      <w:r w:rsidR="00B407C3" w:rsidRPr="00972C81">
        <w:rPr>
          <w:noProof/>
        </w:rPr>
      </w:r>
      <w:r w:rsidR="00B407C3" w:rsidRPr="00972C81">
        <w:rPr>
          <w:noProof/>
        </w:rPr>
        <w:fldChar w:fldCharType="separate"/>
      </w:r>
      <w:r w:rsidR="00A41AD1" w:rsidRPr="00A41AD1">
        <w:rPr>
          <w:noProof/>
          <w:szCs w:val="24"/>
        </w:rPr>
        <w:t xml:space="preserve">Fig </w:t>
      </w:r>
      <w:r w:rsidR="00A41AD1">
        <w:rPr>
          <w:noProof/>
          <w:szCs w:val="24"/>
        </w:rPr>
        <w:t>3</w:t>
      </w:r>
      <w:r w:rsidR="00A41AD1" w:rsidRPr="00A41AD1">
        <w:rPr>
          <w:noProof/>
          <w:szCs w:val="24"/>
        </w:rPr>
        <w:t>.</w:t>
      </w:r>
      <w:r w:rsidR="00A41AD1">
        <w:rPr>
          <w:noProof/>
          <w:szCs w:val="24"/>
        </w:rPr>
        <w:t>1</w:t>
      </w:r>
      <w:r w:rsidR="00B407C3" w:rsidRPr="00972C81">
        <w:rPr>
          <w:noProof/>
        </w:rPr>
        <w:fldChar w:fldCharType="end"/>
      </w:r>
      <w:r w:rsidR="00605984">
        <w:rPr>
          <w:rFonts w:hint="eastAsia"/>
          <w:noProof/>
          <w:lang w:eastAsia="ko-KR"/>
        </w:rPr>
        <w:t xml:space="preserve"> </w:t>
      </w:r>
      <w:r w:rsidRPr="00972C81">
        <w:rPr>
          <w:noProof/>
        </w:rPr>
        <w:t>of the section on cerium is applied in this report to all lanthanide elements.</w:t>
      </w:r>
    </w:p>
    <w:p w14:paraId="02F16D6B" w14:textId="4D21F0DC" w:rsidR="002E7113" w:rsidRPr="00972C81" w:rsidRDefault="002E7113" w:rsidP="001C4A92">
      <w:pPr>
        <w:pStyle w:val="Annalstext"/>
        <w:rPr>
          <w:rFonts w:eastAsia="Times New Roman"/>
          <w:noProof/>
        </w:rPr>
      </w:pPr>
      <w:r w:rsidRPr="00972C81">
        <w:rPr>
          <w:rFonts w:eastAsia="Times New Roman"/>
          <w:noProof/>
        </w:rPr>
        <w:t xml:space="preserve">A common set of age-specific transfer coefficients is applied to the “holmium group”, consisting of the lanthanide elements </w:t>
      </w:r>
      <w:r w:rsidRPr="00972C81">
        <w:rPr>
          <w:noProof/>
          <w:color w:val="000000" w:themeColor="text1"/>
        </w:rPr>
        <w:t>terbium, dysprosium, holmium, erbium, thulium, ytterbium, and lutetium</w:t>
      </w:r>
      <w:r w:rsidRPr="00972C81">
        <w:rPr>
          <w:rFonts w:eastAsia="Times New Roman"/>
          <w:noProof/>
        </w:rPr>
        <w:t xml:space="preserve">. Transfer coefficients for the holmium group are listed in </w:t>
      </w:r>
      <w:r w:rsidR="00B407C3" w:rsidRPr="00972C81">
        <w:rPr>
          <w:rFonts w:eastAsia="Times New Roman"/>
          <w:noProof/>
        </w:rPr>
        <w:fldChar w:fldCharType="begin"/>
      </w:r>
      <w:r w:rsidR="00B407C3" w:rsidRPr="00972C81">
        <w:rPr>
          <w:rFonts w:eastAsia="Times New Roman"/>
          <w:noProof/>
        </w:rPr>
        <w:instrText xml:space="preserve"> REF _Ref142312953 \h </w:instrText>
      </w:r>
      <w:r w:rsidR="00B407C3" w:rsidRPr="00972C81">
        <w:rPr>
          <w:rFonts w:eastAsia="Times New Roman"/>
          <w:noProof/>
        </w:rPr>
      </w:r>
      <w:r w:rsidR="00B407C3" w:rsidRPr="00972C81">
        <w:rPr>
          <w:rFonts w:eastAsia="Times New Roman"/>
          <w:noProof/>
        </w:rPr>
        <w:fldChar w:fldCharType="separate"/>
      </w:r>
      <w:r w:rsidR="00A41AD1" w:rsidRPr="00972C81">
        <w:rPr>
          <w:noProof/>
        </w:rPr>
        <w:t xml:space="preserve">Table </w:t>
      </w:r>
      <w:r w:rsidR="00A41AD1">
        <w:rPr>
          <w:noProof/>
        </w:rPr>
        <w:t>12</w:t>
      </w:r>
      <w:r w:rsidR="00A41AD1" w:rsidRPr="00972C81">
        <w:rPr>
          <w:noProof/>
        </w:rPr>
        <w:t>.</w:t>
      </w:r>
      <w:r w:rsidR="00A41AD1">
        <w:rPr>
          <w:noProof/>
        </w:rPr>
        <w:t>2</w:t>
      </w:r>
      <w:r w:rsidR="00B407C3" w:rsidRPr="00972C81">
        <w:rPr>
          <w:rFonts w:eastAsia="Times New Roman"/>
          <w:noProof/>
        </w:rPr>
        <w:fldChar w:fldCharType="end"/>
      </w:r>
      <w:r w:rsidRPr="00972C81">
        <w:rPr>
          <w:rFonts w:eastAsia="Times New Roman"/>
          <w:noProof/>
        </w:rPr>
        <w:t xml:space="preserve"> of the section on holmium.</w:t>
      </w:r>
    </w:p>
    <w:p w14:paraId="78E7D835" w14:textId="3A8737AA" w:rsidR="002E7113" w:rsidRPr="00972C81" w:rsidRDefault="002E7113" w:rsidP="006703A2">
      <w:pPr>
        <w:pStyle w:val="OIRTitre4"/>
      </w:pPr>
      <w:r w:rsidRPr="00972C81">
        <w:t>Treatment of radioactive progeny</w:t>
      </w:r>
    </w:p>
    <w:p w14:paraId="5C816D26" w14:textId="0A338CA0" w:rsidR="001E23AC" w:rsidRPr="00972C81" w:rsidRDefault="001E23AC" w:rsidP="001C4A92">
      <w:pPr>
        <w:pStyle w:val="MainTextPreference"/>
        <w:rPr>
          <w:noProof/>
        </w:rPr>
      </w:pPr>
      <w:r w:rsidRPr="00972C81">
        <w:rPr>
          <w:rFonts w:eastAsia="Calibri"/>
          <w:noProof/>
        </w:rPr>
        <w:lastRenderedPageBreak/>
        <w:t>The treatment of radioactive progeny produced in systemic compartments after intake of a radioisotope of t</w:t>
      </w:r>
      <w:r w:rsidR="006044EE" w:rsidRPr="00972C81">
        <w:rPr>
          <w:rFonts w:eastAsia="Calibri"/>
          <w:noProof/>
        </w:rPr>
        <w:t>hul</w:t>
      </w:r>
      <w:r w:rsidRPr="00972C81">
        <w:rPr>
          <w:rFonts w:eastAsia="Calibri"/>
          <w:noProof/>
        </w:rPr>
        <w:t xml:space="preserve">ium is described in Section 15.2.3.3. of </w:t>
      </w:r>
      <w:r w:rsidR="00663AC5" w:rsidRPr="00972C81">
        <w:rPr>
          <w:i/>
          <w:noProof/>
        </w:rPr>
        <w:t>Publication 141</w:t>
      </w:r>
      <w:r w:rsidR="00663AC5" w:rsidRPr="00972C81">
        <w:rPr>
          <w:noProof/>
        </w:rPr>
        <w:t xml:space="preserve"> </w:t>
      </w:r>
      <w:r w:rsidR="00B407C3" w:rsidRPr="00972C81">
        <w:rPr>
          <w:noProof/>
        </w:rPr>
        <w:fldChar w:fldCharType="begin"/>
      </w:r>
      <w:r w:rsidR="00B407C3" w:rsidRPr="00972C81">
        <w:rPr>
          <w:noProof/>
        </w:rPr>
        <w:instrText xml:space="preserve"> ADDIN ZOTERO_ITEM CSL_CITATION {"citationID":"pkhEv3Cb","properties":{"formattedCitation":"(ICRP,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B407C3" w:rsidRPr="00972C81">
        <w:rPr>
          <w:noProof/>
        </w:rPr>
        <w:fldChar w:fldCharType="separate"/>
      </w:r>
      <w:r w:rsidR="00BC59C6" w:rsidRPr="00972C81">
        <w:rPr>
          <w:noProof/>
        </w:rPr>
        <w:t>(ICRP, 2019)</w:t>
      </w:r>
      <w:r w:rsidR="00B407C3" w:rsidRPr="00972C81">
        <w:rPr>
          <w:noProof/>
        </w:rPr>
        <w:fldChar w:fldCharType="end"/>
      </w:r>
      <w:r w:rsidR="00663AC5" w:rsidRPr="00972C81">
        <w:rPr>
          <w:noProof/>
        </w:rPr>
        <w:t>.</w:t>
      </w:r>
    </w:p>
    <w:p w14:paraId="100A1F42" w14:textId="3012D3C5" w:rsidR="00593D1F" w:rsidRPr="00972C81" w:rsidRDefault="00593D1F" w:rsidP="00E81109">
      <w:pPr>
        <w:pStyle w:val="2"/>
        <w:rPr>
          <w:noProof/>
          <w:lang w:val="en-GB"/>
        </w:rPr>
      </w:pPr>
      <w:bookmarkStart w:id="208" w:name="_Toc162630060"/>
      <w:r w:rsidRPr="00972C81">
        <w:rPr>
          <w:noProof/>
          <w:lang w:val="en-GB"/>
        </w:rPr>
        <w:t>Dosimetric data for thulium</w:t>
      </w:r>
      <w:bookmarkEnd w:id="208"/>
    </w:p>
    <w:p w14:paraId="4394DA04" w14:textId="1A360A83" w:rsidR="00F43D48" w:rsidRPr="00972C81" w:rsidRDefault="00F43D48" w:rsidP="00F43D48">
      <w:pPr>
        <w:pStyle w:val="ab"/>
        <w:rPr>
          <w:noProof/>
          <w:sz w:val="24"/>
          <w:szCs w:val="24"/>
        </w:rPr>
      </w:pPr>
      <w:r w:rsidRPr="00972C81">
        <w:rPr>
          <w:noProof/>
          <w:sz w:val="24"/>
          <w:szCs w:val="24"/>
        </w:rPr>
        <w:t>Table 14.1.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171</w:t>
      </w:r>
      <w:r w:rsidRPr="00972C81">
        <w:rPr>
          <w:noProof/>
          <w:sz w:val="24"/>
          <w:szCs w:val="24"/>
        </w:rPr>
        <w:t>Tm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F43D48" w:rsidRPr="00A3213E" w14:paraId="50460212" w14:textId="77777777" w:rsidTr="000F593F">
        <w:trPr>
          <w:trHeight w:val="340"/>
        </w:trPr>
        <w:tc>
          <w:tcPr>
            <w:tcW w:w="2087" w:type="pct"/>
            <w:vMerge w:val="restart"/>
            <w:tcBorders>
              <w:top w:val="single" w:sz="4" w:space="0" w:color="auto"/>
              <w:left w:val="nil"/>
              <w:bottom w:val="single" w:sz="4" w:space="0" w:color="auto"/>
              <w:right w:val="nil"/>
            </w:tcBorders>
            <w:vAlign w:val="bottom"/>
            <w:hideMark/>
          </w:tcPr>
          <w:p w14:paraId="331FB017" w14:textId="77777777" w:rsidR="00605984" w:rsidRPr="00C47F2F" w:rsidRDefault="00F43D48" w:rsidP="006243FB">
            <w:pPr>
              <w:pStyle w:val="af1"/>
              <w:rPr>
                <w:noProof/>
              </w:rPr>
            </w:pPr>
            <w:r w:rsidRPr="00C47F2F">
              <w:rPr>
                <w:noProof/>
              </w:rPr>
              <w:t>Inhaled particulate materials</w:t>
            </w:r>
          </w:p>
          <w:p w14:paraId="39D9BB39" w14:textId="2A221445" w:rsidR="00F43D48" w:rsidRPr="00CC1FB8" w:rsidRDefault="00F43D48" w:rsidP="006243FB">
            <w:pPr>
              <w:pStyle w:val="af1"/>
              <w:rPr>
                <w:noProof/>
              </w:rPr>
            </w:pPr>
            <w:r w:rsidRPr="00C47F2F">
              <w:rPr>
                <w:noProof/>
              </w:rPr>
              <w:t>(1 µm AMAD aerosols)</w:t>
            </w:r>
          </w:p>
        </w:tc>
        <w:tc>
          <w:tcPr>
            <w:tcW w:w="2913" w:type="pct"/>
            <w:gridSpan w:val="6"/>
            <w:tcBorders>
              <w:top w:val="single" w:sz="4" w:space="0" w:color="auto"/>
              <w:left w:val="nil"/>
              <w:bottom w:val="single" w:sz="4" w:space="0" w:color="auto"/>
              <w:right w:val="nil"/>
            </w:tcBorders>
            <w:vAlign w:val="center"/>
            <w:hideMark/>
          </w:tcPr>
          <w:p w14:paraId="70F05DA9" w14:textId="77777777" w:rsidR="00F43D48" w:rsidRPr="00C47F2F" w:rsidRDefault="00F43D48" w:rsidP="000F593F">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F43D48" w:rsidRPr="00605984" w14:paraId="083C6C4B" w14:textId="77777777" w:rsidTr="000F593F">
        <w:trPr>
          <w:trHeight w:val="340"/>
        </w:trPr>
        <w:tc>
          <w:tcPr>
            <w:tcW w:w="2087" w:type="pct"/>
            <w:vMerge/>
            <w:tcBorders>
              <w:top w:val="single" w:sz="4" w:space="0" w:color="auto"/>
              <w:left w:val="nil"/>
              <w:bottom w:val="single" w:sz="4" w:space="0" w:color="auto"/>
              <w:right w:val="nil"/>
            </w:tcBorders>
            <w:vAlign w:val="center"/>
            <w:hideMark/>
          </w:tcPr>
          <w:p w14:paraId="28CA591D" w14:textId="77777777" w:rsidR="00F43D48" w:rsidRPr="00605984" w:rsidRDefault="00F43D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75C96893" w14:textId="5E0FC35C" w:rsidR="00F43D48" w:rsidRPr="00C47F2F" w:rsidRDefault="00F43D48" w:rsidP="000F593F">
            <w:pPr>
              <w:jc w:val="left"/>
              <w:rPr>
                <w:noProof/>
                <w:sz w:val="22"/>
                <w:szCs w:val="22"/>
                <w:lang w:eastAsia="ko-KR"/>
              </w:rPr>
            </w:pPr>
            <w:r w:rsidRPr="00C47F2F">
              <w:rPr>
                <w:noProof/>
                <w:sz w:val="22"/>
                <w:szCs w:val="22"/>
              </w:rPr>
              <w:t>3</w:t>
            </w:r>
            <w:r w:rsidR="00605984" w:rsidRPr="00605984">
              <w:rPr>
                <w:noProof/>
                <w:sz w:val="22"/>
                <w:szCs w:val="22"/>
                <w:lang w:eastAsia="ko-KR"/>
              </w:rPr>
              <w:t xml:space="preserve"> </w:t>
            </w:r>
            <w:r w:rsidRPr="00C47F2F">
              <w:rPr>
                <w:noProof/>
                <w:sz w:val="22"/>
                <w:szCs w:val="22"/>
              </w:rPr>
              <w:t>m</w:t>
            </w:r>
            <w:r w:rsidR="000F593F">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4ABDD4B3" w14:textId="75399FF7" w:rsidR="00F43D48" w:rsidRPr="00C47F2F" w:rsidRDefault="00F43D48" w:rsidP="000F593F">
            <w:pPr>
              <w:jc w:val="left"/>
              <w:rPr>
                <w:noProof/>
                <w:sz w:val="22"/>
                <w:szCs w:val="22"/>
              </w:rPr>
            </w:pPr>
            <w:r w:rsidRPr="00C47F2F">
              <w:rPr>
                <w:noProof/>
                <w:sz w:val="22"/>
                <w:szCs w:val="22"/>
              </w:rPr>
              <w:t>1</w:t>
            </w:r>
            <w:r w:rsidR="00605984" w:rsidRPr="00605984">
              <w:rPr>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6F95B642" w14:textId="54517F98" w:rsidR="00F43D48" w:rsidRPr="00C47F2F" w:rsidRDefault="00F43D48" w:rsidP="000F593F">
            <w:pPr>
              <w:jc w:val="left"/>
              <w:rPr>
                <w:noProof/>
                <w:sz w:val="22"/>
                <w:szCs w:val="22"/>
              </w:rPr>
            </w:pPr>
            <w:r w:rsidRPr="00C47F2F">
              <w:rPr>
                <w:noProof/>
                <w:sz w:val="22"/>
                <w:szCs w:val="22"/>
              </w:rPr>
              <w:t>5</w:t>
            </w:r>
            <w:r w:rsidR="00605984" w:rsidRPr="00605984">
              <w:rPr>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5D7DFD02" w14:textId="7C93E6A5" w:rsidR="00F43D48" w:rsidRPr="00C47F2F" w:rsidRDefault="00F43D48" w:rsidP="000F593F">
            <w:pPr>
              <w:jc w:val="left"/>
              <w:rPr>
                <w:noProof/>
                <w:sz w:val="22"/>
                <w:szCs w:val="22"/>
              </w:rPr>
            </w:pPr>
            <w:r w:rsidRPr="00C47F2F">
              <w:rPr>
                <w:noProof/>
                <w:sz w:val="22"/>
                <w:szCs w:val="22"/>
              </w:rPr>
              <w:t>10</w:t>
            </w:r>
            <w:r w:rsidR="00605984" w:rsidRPr="00605984">
              <w:rPr>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45601975" w14:textId="0F78C14E" w:rsidR="00F43D48" w:rsidRPr="00C47F2F" w:rsidRDefault="00F43D48" w:rsidP="000F593F">
            <w:pPr>
              <w:jc w:val="left"/>
              <w:rPr>
                <w:noProof/>
                <w:sz w:val="22"/>
                <w:szCs w:val="22"/>
              </w:rPr>
            </w:pPr>
            <w:r w:rsidRPr="00C47F2F">
              <w:rPr>
                <w:noProof/>
                <w:sz w:val="22"/>
                <w:szCs w:val="22"/>
              </w:rPr>
              <w:t>15</w:t>
            </w:r>
            <w:r w:rsidR="00605984" w:rsidRPr="00605984">
              <w:rPr>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12BD6E48" w14:textId="77777777" w:rsidR="00F43D48" w:rsidRPr="00C47F2F" w:rsidRDefault="00F43D48" w:rsidP="000F593F">
            <w:pPr>
              <w:jc w:val="left"/>
              <w:rPr>
                <w:noProof/>
                <w:sz w:val="22"/>
                <w:szCs w:val="22"/>
              </w:rPr>
            </w:pPr>
            <w:r w:rsidRPr="00C47F2F">
              <w:rPr>
                <w:noProof/>
                <w:sz w:val="22"/>
                <w:szCs w:val="22"/>
              </w:rPr>
              <w:t>Adult</w:t>
            </w:r>
          </w:p>
        </w:tc>
      </w:tr>
      <w:tr w:rsidR="00F43D48" w:rsidRPr="00605984" w14:paraId="1B62351F" w14:textId="77777777" w:rsidTr="000F593F">
        <w:trPr>
          <w:trHeight w:val="340"/>
        </w:trPr>
        <w:tc>
          <w:tcPr>
            <w:tcW w:w="2087" w:type="pct"/>
            <w:tcBorders>
              <w:top w:val="single" w:sz="4" w:space="0" w:color="auto"/>
              <w:left w:val="nil"/>
              <w:bottom w:val="nil"/>
              <w:right w:val="nil"/>
            </w:tcBorders>
            <w:hideMark/>
          </w:tcPr>
          <w:p w14:paraId="11132C33" w14:textId="77777777" w:rsidR="00F43D48" w:rsidRPr="00C47F2F" w:rsidRDefault="00F43D48" w:rsidP="000F593F">
            <w:pPr>
              <w:jc w:val="left"/>
              <w:rPr>
                <w:noProof/>
                <w:sz w:val="22"/>
                <w:szCs w:val="22"/>
              </w:rPr>
            </w:pPr>
            <w:r w:rsidRPr="00C47F2F">
              <w:rPr>
                <w:rFonts w:eastAsia="Times New Roman"/>
                <w:noProof/>
                <w:color w:val="000000"/>
                <w:sz w:val="22"/>
                <w:szCs w:val="22"/>
              </w:rPr>
              <w:t>Water soluble forms, including chloride and citrate</w:t>
            </w:r>
          </w:p>
        </w:tc>
        <w:tc>
          <w:tcPr>
            <w:tcW w:w="485" w:type="pct"/>
            <w:tcBorders>
              <w:top w:val="single" w:sz="4" w:space="0" w:color="auto"/>
              <w:left w:val="nil"/>
              <w:bottom w:val="nil"/>
              <w:right w:val="nil"/>
            </w:tcBorders>
            <w:hideMark/>
          </w:tcPr>
          <w:p w14:paraId="279367C9"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4.8E-09</w:t>
            </w:r>
          </w:p>
        </w:tc>
        <w:tc>
          <w:tcPr>
            <w:tcW w:w="485" w:type="pct"/>
            <w:tcBorders>
              <w:top w:val="single" w:sz="4" w:space="0" w:color="auto"/>
              <w:left w:val="nil"/>
              <w:bottom w:val="nil"/>
              <w:right w:val="nil"/>
            </w:tcBorders>
            <w:hideMark/>
          </w:tcPr>
          <w:p w14:paraId="5D0159E4"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4.0E-09</w:t>
            </w:r>
          </w:p>
        </w:tc>
        <w:tc>
          <w:tcPr>
            <w:tcW w:w="485" w:type="pct"/>
            <w:tcBorders>
              <w:top w:val="single" w:sz="4" w:space="0" w:color="auto"/>
              <w:left w:val="nil"/>
              <w:bottom w:val="nil"/>
              <w:right w:val="nil"/>
            </w:tcBorders>
            <w:hideMark/>
          </w:tcPr>
          <w:p w14:paraId="17E271CC"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1.8E-09</w:t>
            </w:r>
          </w:p>
        </w:tc>
        <w:tc>
          <w:tcPr>
            <w:tcW w:w="485" w:type="pct"/>
            <w:tcBorders>
              <w:top w:val="single" w:sz="4" w:space="0" w:color="auto"/>
              <w:left w:val="nil"/>
              <w:bottom w:val="nil"/>
              <w:right w:val="nil"/>
            </w:tcBorders>
            <w:hideMark/>
          </w:tcPr>
          <w:p w14:paraId="65345D26"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1.0E-09</w:t>
            </w:r>
          </w:p>
        </w:tc>
        <w:tc>
          <w:tcPr>
            <w:tcW w:w="485" w:type="pct"/>
            <w:tcBorders>
              <w:top w:val="single" w:sz="4" w:space="0" w:color="auto"/>
              <w:left w:val="nil"/>
              <w:bottom w:val="nil"/>
              <w:right w:val="nil"/>
            </w:tcBorders>
            <w:hideMark/>
          </w:tcPr>
          <w:p w14:paraId="24E663EE"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8.3E-10</w:t>
            </w:r>
          </w:p>
        </w:tc>
        <w:tc>
          <w:tcPr>
            <w:tcW w:w="486" w:type="pct"/>
            <w:tcBorders>
              <w:top w:val="single" w:sz="4" w:space="0" w:color="auto"/>
              <w:left w:val="nil"/>
              <w:bottom w:val="nil"/>
              <w:right w:val="nil"/>
            </w:tcBorders>
            <w:hideMark/>
          </w:tcPr>
          <w:p w14:paraId="3594753B"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6.9E-10</w:t>
            </w:r>
          </w:p>
        </w:tc>
      </w:tr>
      <w:tr w:rsidR="00F43D48" w:rsidRPr="00605984" w14:paraId="13578EC5" w14:textId="77777777" w:rsidTr="000F593F">
        <w:trPr>
          <w:trHeight w:val="340"/>
        </w:trPr>
        <w:tc>
          <w:tcPr>
            <w:tcW w:w="2087" w:type="pct"/>
            <w:tcBorders>
              <w:top w:val="nil"/>
              <w:left w:val="nil"/>
              <w:bottom w:val="nil"/>
              <w:right w:val="nil"/>
            </w:tcBorders>
            <w:hideMark/>
          </w:tcPr>
          <w:p w14:paraId="219CB430"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Dioxide</w:t>
            </w:r>
          </w:p>
        </w:tc>
        <w:tc>
          <w:tcPr>
            <w:tcW w:w="485" w:type="pct"/>
            <w:tcBorders>
              <w:top w:val="nil"/>
              <w:left w:val="nil"/>
              <w:bottom w:val="nil"/>
              <w:right w:val="nil"/>
            </w:tcBorders>
            <w:hideMark/>
          </w:tcPr>
          <w:p w14:paraId="13B96BAF"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4.5E-09</w:t>
            </w:r>
          </w:p>
        </w:tc>
        <w:tc>
          <w:tcPr>
            <w:tcW w:w="485" w:type="pct"/>
            <w:tcBorders>
              <w:top w:val="nil"/>
              <w:left w:val="nil"/>
              <w:bottom w:val="nil"/>
              <w:right w:val="nil"/>
            </w:tcBorders>
            <w:hideMark/>
          </w:tcPr>
          <w:p w14:paraId="4B64CEAC"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4.0E-09</w:t>
            </w:r>
          </w:p>
        </w:tc>
        <w:tc>
          <w:tcPr>
            <w:tcW w:w="485" w:type="pct"/>
            <w:tcBorders>
              <w:top w:val="nil"/>
              <w:left w:val="nil"/>
              <w:bottom w:val="nil"/>
              <w:right w:val="nil"/>
            </w:tcBorders>
            <w:hideMark/>
          </w:tcPr>
          <w:p w14:paraId="75597BDD"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2.2E-09</w:t>
            </w:r>
          </w:p>
        </w:tc>
        <w:tc>
          <w:tcPr>
            <w:tcW w:w="485" w:type="pct"/>
            <w:tcBorders>
              <w:top w:val="nil"/>
              <w:left w:val="nil"/>
              <w:bottom w:val="nil"/>
              <w:right w:val="nil"/>
            </w:tcBorders>
            <w:hideMark/>
          </w:tcPr>
          <w:p w14:paraId="04F1D642"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1.4E-09</w:t>
            </w:r>
          </w:p>
        </w:tc>
        <w:tc>
          <w:tcPr>
            <w:tcW w:w="485" w:type="pct"/>
            <w:tcBorders>
              <w:top w:val="nil"/>
              <w:left w:val="nil"/>
              <w:bottom w:val="nil"/>
              <w:right w:val="nil"/>
            </w:tcBorders>
            <w:hideMark/>
          </w:tcPr>
          <w:p w14:paraId="4CB556F3"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1.1E-09</w:t>
            </w:r>
          </w:p>
        </w:tc>
        <w:tc>
          <w:tcPr>
            <w:tcW w:w="486" w:type="pct"/>
            <w:tcBorders>
              <w:top w:val="nil"/>
              <w:left w:val="nil"/>
              <w:bottom w:val="nil"/>
              <w:right w:val="nil"/>
            </w:tcBorders>
            <w:hideMark/>
          </w:tcPr>
          <w:p w14:paraId="63D59239"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1.0E-09</w:t>
            </w:r>
          </w:p>
        </w:tc>
      </w:tr>
      <w:tr w:rsidR="00F43D48" w:rsidRPr="00605984" w14:paraId="0ECDFFAE" w14:textId="77777777" w:rsidTr="000F593F">
        <w:trPr>
          <w:trHeight w:val="340"/>
        </w:trPr>
        <w:tc>
          <w:tcPr>
            <w:tcW w:w="2087" w:type="pct"/>
            <w:tcBorders>
              <w:top w:val="nil"/>
              <w:left w:val="nil"/>
              <w:bottom w:val="nil"/>
              <w:right w:val="nil"/>
            </w:tcBorders>
            <w:hideMark/>
          </w:tcPr>
          <w:p w14:paraId="210CCAEC" w14:textId="77777777" w:rsidR="00F43D48" w:rsidRPr="00C47F2F" w:rsidRDefault="00F43D48" w:rsidP="000F593F">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02D191C9"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5.1E-09</w:t>
            </w:r>
          </w:p>
        </w:tc>
        <w:tc>
          <w:tcPr>
            <w:tcW w:w="485" w:type="pct"/>
            <w:tcBorders>
              <w:top w:val="nil"/>
              <w:left w:val="nil"/>
              <w:bottom w:val="nil"/>
              <w:right w:val="nil"/>
            </w:tcBorders>
            <w:hideMark/>
          </w:tcPr>
          <w:p w14:paraId="3CD27B86"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4.0E-09</w:t>
            </w:r>
          </w:p>
        </w:tc>
        <w:tc>
          <w:tcPr>
            <w:tcW w:w="485" w:type="pct"/>
            <w:tcBorders>
              <w:top w:val="nil"/>
              <w:left w:val="nil"/>
              <w:bottom w:val="nil"/>
              <w:right w:val="nil"/>
            </w:tcBorders>
            <w:hideMark/>
          </w:tcPr>
          <w:p w14:paraId="71D9A3AA"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1.5E-09</w:t>
            </w:r>
          </w:p>
        </w:tc>
        <w:tc>
          <w:tcPr>
            <w:tcW w:w="485" w:type="pct"/>
            <w:tcBorders>
              <w:top w:val="nil"/>
              <w:left w:val="nil"/>
              <w:bottom w:val="nil"/>
              <w:right w:val="nil"/>
            </w:tcBorders>
            <w:hideMark/>
          </w:tcPr>
          <w:p w14:paraId="45689563"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7.4E-10</w:t>
            </w:r>
          </w:p>
        </w:tc>
        <w:tc>
          <w:tcPr>
            <w:tcW w:w="485" w:type="pct"/>
            <w:tcBorders>
              <w:top w:val="nil"/>
              <w:left w:val="nil"/>
              <w:bottom w:val="nil"/>
              <w:right w:val="nil"/>
            </w:tcBorders>
            <w:hideMark/>
          </w:tcPr>
          <w:p w14:paraId="5837CEB4"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6.6E-10</w:t>
            </w:r>
          </w:p>
        </w:tc>
        <w:tc>
          <w:tcPr>
            <w:tcW w:w="486" w:type="pct"/>
            <w:tcBorders>
              <w:top w:val="nil"/>
              <w:left w:val="nil"/>
              <w:bottom w:val="nil"/>
              <w:right w:val="nil"/>
            </w:tcBorders>
            <w:hideMark/>
          </w:tcPr>
          <w:p w14:paraId="7001C420"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4.7E-10</w:t>
            </w:r>
          </w:p>
        </w:tc>
      </w:tr>
      <w:tr w:rsidR="00F43D48" w:rsidRPr="00605984" w14:paraId="447D6A14" w14:textId="77777777" w:rsidTr="000F593F">
        <w:trPr>
          <w:trHeight w:val="340"/>
        </w:trPr>
        <w:tc>
          <w:tcPr>
            <w:tcW w:w="2087" w:type="pct"/>
            <w:tcBorders>
              <w:top w:val="nil"/>
              <w:left w:val="nil"/>
              <w:bottom w:val="nil"/>
              <w:right w:val="nil"/>
            </w:tcBorders>
            <w:hideMark/>
          </w:tcPr>
          <w:p w14:paraId="0FD67A06" w14:textId="77777777" w:rsidR="00F43D48" w:rsidRPr="00C47F2F" w:rsidRDefault="00F43D48" w:rsidP="000F593F">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hideMark/>
          </w:tcPr>
          <w:p w14:paraId="3213FA6B"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4.4E-09</w:t>
            </w:r>
          </w:p>
        </w:tc>
        <w:tc>
          <w:tcPr>
            <w:tcW w:w="485" w:type="pct"/>
            <w:tcBorders>
              <w:top w:val="nil"/>
              <w:left w:val="nil"/>
              <w:bottom w:val="nil"/>
              <w:right w:val="nil"/>
            </w:tcBorders>
            <w:hideMark/>
          </w:tcPr>
          <w:p w14:paraId="437AA43A"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3.7E-09</w:t>
            </w:r>
          </w:p>
        </w:tc>
        <w:tc>
          <w:tcPr>
            <w:tcW w:w="485" w:type="pct"/>
            <w:tcBorders>
              <w:top w:val="nil"/>
              <w:left w:val="nil"/>
              <w:bottom w:val="nil"/>
              <w:right w:val="nil"/>
            </w:tcBorders>
            <w:hideMark/>
          </w:tcPr>
          <w:p w14:paraId="52FB183D"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1.7E-09</w:t>
            </w:r>
          </w:p>
        </w:tc>
        <w:tc>
          <w:tcPr>
            <w:tcW w:w="485" w:type="pct"/>
            <w:tcBorders>
              <w:top w:val="nil"/>
              <w:left w:val="nil"/>
              <w:bottom w:val="nil"/>
              <w:right w:val="nil"/>
            </w:tcBorders>
            <w:hideMark/>
          </w:tcPr>
          <w:p w14:paraId="05DDCDD5"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9.6E-10</w:t>
            </w:r>
          </w:p>
        </w:tc>
        <w:tc>
          <w:tcPr>
            <w:tcW w:w="485" w:type="pct"/>
            <w:tcBorders>
              <w:top w:val="nil"/>
              <w:left w:val="nil"/>
              <w:bottom w:val="nil"/>
              <w:right w:val="nil"/>
            </w:tcBorders>
            <w:hideMark/>
          </w:tcPr>
          <w:p w14:paraId="292E068C"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7.9E-10</w:t>
            </w:r>
          </w:p>
        </w:tc>
        <w:tc>
          <w:tcPr>
            <w:tcW w:w="486" w:type="pct"/>
            <w:tcBorders>
              <w:top w:val="nil"/>
              <w:left w:val="nil"/>
              <w:bottom w:val="nil"/>
              <w:right w:val="nil"/>
            </w:tcBorders>
            <w:hideMark/>
          </w:tcPr>
          <w:p w14:paraId="65BDFC1A"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6.5E-10</w:t>
            </w:r>
          </w:p>
        </w:tc>
      </w:tr>
      <w:tr w:rsidR="00F43D48" w:rsidRPr="00605984" w14:paraId="47290E22" w14:textId="77777777" w:rsidTr="000F593F">
        <w:trPr>
          <w:trHeight w:val="340"/>
        </w:trPr>
        <w:tc>
          <w:tcPr>
            <w:tcW w:w="2087" w:type="pct"/>
            <w:tcBorders>
              <w:top w:val="nil"/>
              <w:left w:val="nil"/>
              <w:bottom w:val="single" w:sz="4" w:space="0" w:color="auto"/>
              <w:right w:val="nil"/>
            </w:tcBorders>
            <w:hideMark/>
          </w:tcPr>
          <w:p w14:paraId="1A5B6C0B" w14:textId="77777777" w:rsidR="00F43D48" w:rsidRPr="00C47F2F" w:rsidRDefault="00F43D48" w:rsidP="000F593F">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485" w:type="pct"/>
            <w:tcBorders>
              <w:top w:val="nil"/>
              <w:left w:val="nil"/>
              <w:bottom w:val="single" w:sz="4" w:space="0" w:color="auto"/>
              <w:right w:val="nil"/>
            </w:tcBorders>
            <w:hideMark/>
          </w:tcPr>
          <w:p w14:paraId="404C8F41"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4.9E-09</w:t>
            </w:r>
          </w:p>
        </w:tc>
        <w:tc>
          <w:tcPr>
            <w:tcW w:w="485" w:type="pct"/>
            <w:tcBorders>
              <w:top w:val="nil"/>
              <w:left w:val="nil"/>
              <w:bottom w:val="single" w:sz="4" w:space="0" w:color="auto"/>
              <w:right w:val="nil"/>
            </w:tcBorders>
            <w:hideMark/>
          </w:tcPr>
          <w:p w14:paraId="54207F5D"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4.5E-09</w:t>
            </w:r>
          </w:p>
        </w:tc>
        <w:tc>
          <w:tcPr>
            <w:tcW w:w="485" w:type="pct"/>
            <w:tcBorders>
              <w:top w:val="nil"/>
              <w:left w:val="nil"/>
              <w:bottom w:val="single" w:sz="4" w:space="0" w:color="auto"/>
              <w:right w:val="nil"/>
            </w:tcBorders>
            <w:hideMark/>
          </w:tcPr>
          <w:p w14:paraId="7DC2E8F3"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2.6E-09</w:t>
            </w:r>
          </w:p>
        </w:tc>
        <w:tc>
          <w:tcPr>
            <w:tcW w:w="485" w:type="pct"/>
            <w:tcBorders>
              <w:top w:val="nil"/>
              <w:left w:val="nil"/>
              <w:bottom w:val="single" w:sz="4" w:space="0" w:color="auto"/>
              <w:right w:val="nil"/>
            </w:tcBorders>
            <w:hideMark/>
          </w:tcPr>
          <w:p w14:paraId="396FAE22"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1.7E-09</w:t>
            </w:r>
          </w:p>
        </w:tc>
        <w:tc>
          <w:tcPr>
            <w:tcW w:w="485" w:type="pct"/>
            <w:tcBorders>
              <w:top w:val="nil"/>
              <w:left w:val="nil"/>
              <w:bottom w:val="single" w:sz="4" w:space="0" w:color="auto"/>
              <w:right w:val="nil"/>
            </w:tcBorders>
            <w:hideMark/>
          </w:tcPr>
          <w:p w14:paraId="0C7831EF"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1.3E-09</w:t>
            </w:r>
          </w:p>
        </w:tc>
        <w:tc>
          <w:tcPr>
            <w:tcW w:w="486" w:type="pct"/>
            <w:tcBorders>
              <w:top w:val="nil"/>
              <w:left w:val="nil"/>
              <w:bottom w:val="single" w:sz="4" w:space="0" w:color="auto"/>
              <w:right w:val="nil"/>
            </w:tcBorders>
            <w:hideMark/>
          </w:tcPr>
          <w:p w14:paraId="7A2060A8"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1.3E-09</w:t>
            </w:r>
          </w:p>
        </w:tc>
      </w:tr>
      <w:tr w:rsidR="00F43D48" w:rsidRPr="00605984" w14:paraId="719036AD" w14:textId="77777777" w:rsidTr="000F593F">
        <w:trPr>
          <w:trHeight w:val="340"/>
        </w:trPr>
        <w:tc>
          <w:tcPr>
            <w:tcW w:w="2087" w:type="pct"/>
            <w:tcBorders>
              <w:top w:val="single" w:sz="4" w:space="0" w:color="auto"/>
              <w:left w:val="nil"/>
              <w:bottom w:val="single" w:sz="4" w:space="0" w:color="auto"/>
              <w:right w:val="nil"/>
            </w:tcBorders>
          </w:tcPr>
          <w:p w14:paraId="0D1006FF" w14:textId="77777777" w:rsidR="00F43D48" w:rsidRPr="00C47F2F" w:rsidRDefault="00F43D48" w:rsidP="00C47F2F">
            <w:pPr>
              <w:jc w:val="left"/>
              <w:rPr>
                <w:rFonts w:eastAsiaTheme="minorHAnsi"/>
                <w:noProof/>
                <w:sz w:val="22"/>
                <w:szCs w:val="22"/>
              </w:rPr>
            </w:pPr>
          </w:p>
          <w:p w14:paraId="3AE9138B" w14:textId="77777777" w:rsidR="00F43D48" w:rsidRPr="00C47F2F" w:rsidRDefault="00F43D48"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1A9F8A19"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7581A94F"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0A493FCD"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72157F1"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1537826F" w14:textId="77777777" w:rsidR="00F43D48" w:rsidRPr="00C47F2F" w:rsidRDefault="00F43D48"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0D93938D" w14:textId="77777777" w:rsidR="00F43D48" w:rsidRPr="00C47F2F" w:rsidRDefault="00F43D48" w:rsidP="00C47F2F">
            <w:pPr>
              <w:jc w:val="left"/>
              <w:rPr>
                <w:rFonts w:eastAsia="Times New Roman"/>
                <w:noProof/>
                <w:color w:val="000000"/>
                <w:sz w:val="22"/>
                <w:szCs w:val="22"/>
              </w:rPr>
            </w:pPr>
          </w:p>
        </w:tc>
      </w:tr>
      <w:tr w:rsidR="00F43D48" w:rsidRPr="00605984" w14:paraId="186B5AE8" w14:textId="77777777" w:rsidTr="000F593F">
        <w:trPr>
          <w:trHeight w:val="340"/>
        </w:trPr>
        <w:tc>
          <w:tcPr>
            <w:tcW w:w="2087" w:type="pct"/>
            <w:tcBorders>
              <w:top w:val="single" w:sz="4" w:space="0" w:color="auto"/>
              <w:left w:val="nil"/>
              <w:bottom w:val="single" w:sz="4" w:space="0" w:color="auto"/>
              <w:right w:val="nil"/>
            </w:tcBorders>
            <w:vAlign w:val="center"/>
            <w:hideMark/>
          </w:tcPr>
          <w:p w14:paraId="448E7C5D" w14:textId="77777777" w:rsidR="00F43D48" w:rsidRPr="00C47F2F" w:rsidRDefault="00F43D48" w:rsidP="000F593F">
            <w:pPr>
              <w:jc w:val="left"/>
              <w:rPr>
                <w:rFonts w:eastAsiaTheme="minorHAnsi"/>
                <w:noProof/>
                <w:sz w:val="22"/>
                <w:szCs w:val="22"/>
              </w:rPr>
            </w:pPr>
            <w:r w:rsidRPr="00C47F2F">
              <w:rPr>
                <w:rFonts w:eastAsia="Times New Roman"/>
                <w:noProof/>
                <w:color w:val="000000"/>
                <w:sz w:val="22"/>
                <w:szCs w:val="22"/>
                <w:lang w:eastAsia="en-GB"/>
              </w:rPr>
              <w:t>All compounds</w:t>
            </w:r>
          </w:p>
        </w:tc>
        <w:tc>
          <w:tcPr>
            <w:tcW w:w="485" w:type="pct"/>
            <w:tcBorders>
              <w:top w:val="single" w:sz="4" w:space="0" w:color="auto"/>
              <w:left w:val="nil"/>
              <w:bottom w:val="single" w:sz="4" w:space="0" w:color="auto"/>
              <w:right w:val="nil"/>
            </w:tcBorders>
            <w:vAlign w:val="center"/>
            <w:hideMark/>
          </w:tcPr>
          <w:p w14:paraId="2945DCD2"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2.3E-10</w:t>
            </w:r>
          </w:p>
        </w:tc>
        <w:tc>
          <w:tcPr>
            <w:tcW w:w="485" w:type="pct"/>
            <w:tcBorders>
              <w:top w:val="single" w:sz="4" w:space="0" w:color="auto"/>
              <w:left w:val="nil"/>
              <w:bottom w:val="single" w:sz="4" w:space="0" w:color="auto"/>
              <w:right w:val="nil"/>
            </w:tcBorders>
            <w:vAlign w:val="center"/>
            <w:hideMark/>
          </w:tcPr>
          <w:p w14:paraId="78352061"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1.8E-11</w:t>
            </w:r>
          </w:p>
        </w:tc>
        <w:tc>
          <w:tcPr>
            <w:tcW w:w="485" w:type="pct"/>
            <w:tcBorders>
              <w:top w:val="single" w:sz="4" w:space="0" w:color="auto"/>
              <w:left w:val="nil"/>
              <w:bottom w:val="single" w:sz="4" w:space="0" w:color="auto"/>
              <w:right w:val="nil"/>
            </w:tcBorders>
            <w:vAlign w:val="center"/>
            <w:hideMark/>
          </w:tcPr>
          <w:p w14:paraId="29281D01"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6.9E-12</w:t>
            </w:r>
          </w:p>
        </w:tc>
        <w:tc>
          <w:tcPr>
            <w:tcW w:w="485" w:type="pct"/>
            <w:tcBorders>
              <w:top w:val="single" w:sz="4" w:space="0" w:color="auto"/>
              <w:left w:val="nil"/>
              <w:bottom w:val="single" w:sz="4" w:space="0" w:color="auto"/>
              <w:right w:val="nil"/>
            </w:tcBorders>
            <w:vAlign w:val="center"/>
            <w:hideMark/>
          </w:tcPr>
          <w:p w14:paraId="02ED7B45"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3.6E-12</w:t>
            </w:r>
          </w:p>
        </w:tc>
        <w:tc>
          <w:tcPr>
            <w:tcW w:w="485" w:type="pct"/>
            <w:tcBorders>
              <w:top w:val="single" w:sz="4" w:space="0" w:color="auto"/>
              <w:left w:val="nil"/>
              <w:bottom w:val="single" w:sz="4" w:space="0" w:color="auto"/>
              <w:right w:val="nil"/>
            </w:tcBorders>
            <w:vAlign w:val="center"/>
            <w:hideMark/>
          </w:tcPr>
          <w:p w14:paraId="6B9EB99D"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2.8E-12</w:t>
            </w:r>
          </w:p>
        </w:tc>
        <w:tc>
          <w:tcPr>
            <w:tcW w:w="486" w:type="pct"/>
            <w:tcBorders>
              <w:top w:val="single" w:sz="4" w:space="0" w:color="auto"/>
              <w:left w:val="nil"/>
              <w:bottom w:val="single" w:sz="4" w:space="0" w:color="auto"/>
              <w:right w:val="nil"/>
            </w:tcBorders>
            <w:vAlign w:val="center"/>
            <w:hideMark/>
          </w:tcPr>
          <w:p w14:paraId="4343BB0B"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2.0E-12</w:t>
            </w:r>
          </w:p>
        </w:tc>
      </w:tr>
    </w:tbl>
    <w:p w14:paraId="6F5DEBFC" w14:textId="77777777" w:rsidR="00593D1F" w:rsidRPr="00605984" w:rsidRDefault="00593D1F" w:rsidP="001C4A92">
      <w:pPr>
        <w:pStyle w:val="MainTextPreference"/>
        <w:rPr>
          <w:noProof/>
        </w:rPr>
      </w:pPr>
    </w:p>
    <w:p w14:paraId="0133078E" w14:textId="0E5FCB61" w:rsidR="00663AC5" w:rsidRPr="00972C81" w:rsidRDefault="00663AC5">
      <w:pPr>
        <w:widowControl/>
        <w:jc w:val="left"/>
        <w:rPr>
          <w:noProof/>
        </w:rPr>
      </w:pPr>
      <w:r w:rsidRPr="00972C81">
        <w:rPr>
          <w:noProof/>
        </w:rPr>
        <w:br w:type="page"/>
      </w:r>
    </w:p>
    <w:p w14:paraId="4EC64100" w14:textId="77777777" w:rsidR="007D1F4D" w:rsidRPr="00972C81" w:rsidRDefault="00DC407D" w:rsidP="00E81109">
      <w:pPr>
        <w:pStyle w:val="1"/>
        <w:rPr>
          <w:noProof/>
        </w:rPr>
      </w:pPr>
      <w:bookmarkStart w:id="209" w:name="_Toc455492635"/>
      <w:bookmarkStart w:id="210" w:name="_Toc455493064"/>
      <w:bookmarkStart w:id="211" w:name="_Toc162630061"/>
      <w:r w:rsidRPr="00972C81">
        <w:rPr>
          <w:noProof/>
        </w:rPr>
        <w:lastRenderedPageBreak/>
        <w:t>Ytterbium (Z = 70)</w:t>
      </w:r>
      <w:bookmarkEnd w:id="209"/>
      <w:bookmarkEnd w:id="210"/>
      <w:bookmarkEnd w:id="211"/>
    </w:p>
    <w:p w14:paraId="0D9FC8B0" w14:textId="3C344D01" w:rsidR="000B33B9" w:rsidRPr="00972C81" w:rsidRDefault="00DC407D" w:rsidP="00E81109">
      <w:pPr>
        <w:pStyle w:val="2"/>
        <w:rPr>
          <w:noProof/>
          <w:lang w:val="en-GB"/>
        </w:rPr>
      </w:pPr>
      <w:bookmarkStart w:id="212" w:name="_Toc17467878"/>
      <w:bookmarkStart w:id="213" w:name="_Toc455492637"/>
      <w:bookmarkStart w:id="214" w:name="_Toc455493066"/>
      <w:bookmarkStart w:id="215" w:name="_Toc162630062"/>
      <w:bookmarkEnd w:id="212"/>
      <w:r w:rsidRPr="00972C81">
        <w:rPr>
          <w:noProof/>
          <w:lang w:val="en-GB"/>
        </w:rPr>
        <w:t>Routes of Intake</w:t>
      </w:r>
      <w:bookmarkEnd w:id="213"/>
      <w:bookmarkEnd w:id="214"/>
      <w:bookmarkEnd w:id="215"/>
    </w:p>
    <w:p w14:paraId="24BE5462" w14:textId="77777777" w:rsidR="000B33B9" w:rsidRPr="00972C81" w:rsidRDefault="00DC407D" w:rsidP="00E81109">
      <w:pPr>
        <w:pStyle w:val="3"/>
        <w:rPr>
          <w:noProof/>
        </w:rPr>
      </w:pPr>
      <w:bookmarkStart w:id="216" w:name="_Toc162630063"/>
      <w:r w:rsidRPr="00972C81">
        <w:rPr>
          <w:noProof/>
        </w:rPr>
        <w:t>Inhalation</w:t>
      </w:r>
      <w:bookmarkEnd w:id="216"/>
    </w:p>
    <w:p w14:paraId="0FBE09B5" w14:textId="0B4210FA" w:rsidR="000B33B9" w:rsidRPr="00972C81" w:rsidRDefault="000B33B9" w:rsidP="001C4A92">
      <w:pPr>
        <w:pStyle w:val="Annalstext"/>
        <w:rPr>
          <w:noProof/>
        </w:rPr>
      </w:pPr>
      <w:r w:rsidRPr="00972C81">
        <w:rPr>
          <w:noProof/>
        </w:rPr>
        <w:t>Information on absorption from the respiratory tract is available from experimental studies of ytterbium, in water-soluble form and as oxide. Ytterbium-169 (half-life 32 d) has often been used as a gamma-e</w:t>
      </w:r>
      <w:r w:rsidR="00DC407D" w:rsidRPr="00972C81">
        <w:rPr>
          <w:noProof/>
        </w:rPr>
        <w:t>mit</w:t>
      </w:r>
      <w:r w:rsidRPr="00972C81">
        <w:rPr>
          <w:noProof/>
        </w:rPr>
        <w:t xml:space="preserve">ting label for relatively insoluble particles (plutonium oxide, fused aluminosilicate) in inhalation experiments. </w:t>
      </w:r>
      <w:r w:rsidR="000579A0" w:rsidRPr="00972C81">
        <w:rPr>
          <w:noProof/>
        </w:rPr>
        <w:t xml:space="preserve">For details see Section 16 of </w:t>
      </w:r>
      <w:r w:rsidR="00663AC5" w:rsidRPr="00972C81">
        <w:rPr>
          <w:i/>
          <w:noProof/>
        </w:rPr>
        <w:t>Publication 141</w:t>
      </w:r>
      <w:r w:rsidR="00663AC5" w:rsidRPr="00972C81">
        <w:rPr>
          <w:noProof/>
        </w:rPr>
        <w:t xml:space="preserve"> </w:t>
      </w:r>
      <w:r w:rsidR="00B407C3" w:rsidRPr="00972C81">
        <w:rPr>
          <w:noProof/>
        </w:rPr>
        <w:fldChar w:fldCharType="begin"/>
      </w:r>
      <w:r w:rsidR="00B407C3" w:rsidRPr="00972C81">
        <w:rPr>
          <w:noProof/>
        </w:rPr>
        <w:instrText xml:space="preserve"> ADDIN ZOTERO_ITEM CSL_CITATION {"citationID":"Jw41lOeg","properties":{"formattedCitation":"(ICRP,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B407C3" w:rsidRPr="00972C81">
        <w:rPr>
          <w:noProof/>
        </w:rPr>
        <w:fldChar w:fldCharType="separate"/>
      </w:r>
      <w:r w:rsidR="00BC59C6" w:rsidRPr="00972C81">
        <w:rPr>
          <w:noProof/>
        </w:rPr>
        <w:t>(ICRP, 2019)</w:t>
      </w:r>
      <w:r w:rsidR="00B407C3" w:rsidRPr="00972C81">
        <w:rPr>
          <w:noProof/>
        </w:rPr>
        <w:fldChar w:fldCharType="end"/>
      </w:r>
      <w:r w:rsidR="00663AC5" w:rsidRPr="00972C81">
        <w:rPr>
          <w:noProof/>
        </w:rPr>
        <w:t xml:space="preserve">. </w:t>
      </w:r>
      <w:r w:rsidR="000579A0" w:rsidRPr="00972C81">
        <w:rPr>
          <w:noProof/>
        </w:rPr>
        <w:t>A</w:t>
      </w:r>
      <w:r w:rsidRPr="00972C81">
        <w:rPr>
          <w:noProof/>
        </w:rPr>
        <w:t xml:space="preserve">bsorption parameter values based on cerium are applied in this document to the other lanthanides. Absorption parameter values and Types, and associated </w:t>
      </w:r>
      <w:r w:rsidRPr="00972C81">
        <w:rPr>
          <w:i/>
          <w:noProof/>
        </w:rPr>
        <w:t>f</w:t>
      </w:r>
      <w:r w:rsidR="00DC407D" w:rsidRPr="00972C81">
        <w:rPr>
          <w:noProof/>
          <w:vertAlign w:val="subscript"/>
        </w:rPr>
        <w:t>A</w:t>
      </w:r>
      <w:r w:rsidR="00DC407D" w:rsidRPr="00972C81">
        <w:rPr>
          <w:noProof/>
        </w:rPr>
        <w:t xml:space="preserve"> values for particulate forms of lanthanides, including ytterbium, are given in </w:t>
      </w:r>
      <w:r w:rsidR="00B94D6D" w:rsidRPr="00972C81">
        <w:rPr>
          <w:noProof/>
        </w:rPr>
        <w:fldChar w:fldCharType="begin"/>
      </w:r>
      <w:r w:rsidR="00B94D6D" w:rsidRPr="00972C81">
        <w:rPr>
          <w:noProof/>
        </w:rPr>
        <w:instrText xml:space="preserve"> REF _Ref417994983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1</w:t>
      </w:r>
      <w:r w:rsidR="00B94D6D" w:rsidRPr="00972C81">
        <w:rPr>
          <w:noProof/>
        </w:rPr>
        <w:fldChar w:fldCharType="end"/>
      </w:r>
      <w:r w:rsidR="00B94D6D" w:rsidRPr="00972C81">
        <w:rPr>
          <w:noProof/>
        </w:rPr>
        <w:t xml:space="preserve"> and </w:t>
      </w:r>
      <w:r w:rsidR="00B94D6D" w:rsidRPr="00972C81">
        <w:rPr>
          <w:noProof/>
        </w:rPr>
        <w:fldChar w:fldCharType="begin"/>
      </w:r>
      <w:r w:rsidR="00B94D6D" w:rsidRPr="00972C81">
        <w:rPr>
          <w:noProof/>
        </w:rPr>
        <w:instrText xml:space="preserve"> REF _Ref141784472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B94D6D" w:rsidRPr="00972C81">
        <w:rPr>
          <w:noProof/>
        </w:rPr>
        <w:fldChar w:fldCharType="end"/>
      </w:r>
      <w:r w:rsidR="00B94D6D" w:rsidRPr="00972C81">
        <w:rPr>
          <w:noProof/>
        </w:rPr>
        <w:t xml:space="preserve"> </w:t>
      </w:r>
      <w:r w:rsidRPr="00972C81">
        <w:rPr>
          <w:noProof/>
        </w:rPr>
        <w:t xml:space="preserve">of the </w:t>
      </w:r>
      <w:r w:rsidR="000579A0" w:rsidRPr="00972C81">
        <w:rPr>
          <w:noProof/>
        </w:rPr>
        <w:t>lanthanum S</w:t>
      </w:r>
      <w:r w:rsidRPr="00972C81">
        <w:rPr>
          <w:noProof/>
        </w:rPr>
        <w:t xml:space="preserve">ection. </w:t>
      </w:r>
    </w:p>
    <w:p w14:paraId="1B87A10F" w14:textId="77777777" w:rsidR="00AE7A83" w:rsidRPr="00972C81" w:rsidRDefault="00DC407D" w:rsidP="00E81109">
      <w:pPr>
        <w:pStyle w:val="3"/>
        <w:rPr>
          <w:noProof/>
        </w:rPr>
      </w:pPr>
      <w:bookmarkStart w:id="217" w:name="_Toc162630064"/>
      <w:r w:rsidRPr="00972C81">
        <w:rPr>
          <w:noProof/>
        </w:rPr>
        <w:t>Ingestion</w:t>
      </w:r>
      <w:bookmarkEnd w:id="217"/>
    </w:p>
    <w:p w14:paraId="055AAEFB" w14:textId="7BDD0009" w:rsidR="00F249F6" w:rsidRPr="00972C81" w:rsidRDefault="00F249F6" w:rsidP="00C47F2F">
      <w:pPr>
        <w:pStyle w:val="Annalstext"/>
        <w:rPr>
          <w:noProof/>
        </w:rPr>
      </w:pPr>
      <w:r w:rsidRPr="00B75FF4">
        <w:rPr>
          <w:i/>
          <w:noProof/>
        </w:rPr>
        <w:t>Adults</w:t>
      </w:r>
      <w:r w:rsidRPr="00972C81">
        <w:rPr>
          <w:noProof/>
        </w:rPr>
        <w:t xml:space="preserve">. In Section 2 of </w:t>
      </w:r>
      <w:r w:rsidR="00663AC5" w:rsidRPr="00B75FF4">
        <w:rPr>
          <w:i/>
          <w:noProof/>
        </w:rPr>
        <w:t>Publication 141</w:t>
      </w:r>
      <w:r w:rsidR="00663AC5" w:rsidRPr="00972C81">
        <w:rPr>
          <w:noProof/>
        </w:rPr>
        <w:t xml:space="preserve"> </w:t>
      </w:r>
      <w:r w:rsidR="00B407C3" w:rsidRPr="00972C81">
        <w:rPr>
          <w:noProof/>
        </w:rPr>
        <w:fldChar w:fldCharType="begin"/>
      </w:r>
      <w:r w:rsidR="00B407C3" w:rsidRPr="00972C81">
        <w:rPr>
          <w:noProof/>
        </w:rPr>
        <w:instrText xml:space="preserve"> ADDIN ZOTERO_ITEM CSL_CITATION {"citationID":"MQOijYUB","properties":{"formattedCitation":"(ICRP,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B407C3" w:rsidRPr="00972C81">
        <w:rPr>
          <w:noProof/>
        </w:rPr>
        <w:fldChar w:fldCharType="separate"/>
      </w:r>
      <w:r w:rsidR="00BC59C6" w:rsidRPr="00972C81">
        <w:rPr>
          <w:noProof/>
        </w:rPr>
        <w:t>(ICRP, 2019)</w:t>
      </w:r>
      <w:r w:rsidR="00B407C3" w:rsidRPr="00972C81">
        <w:rPr>
          <w:noProof/>
        </w:rPr>
        <w:fldChar w:fldCharType="end"/>
      </w:r>
      <w:r w:rsidR="00663AC5" w:rsidRPr="00972C81">
        <w:rPr>
          <w:noProof/>
        </w:rPr>
        <w:t>,</w:t>
      </w:r>
      <w:r w:rsidRPr="00972C81">
        <w:rPr>
          <w:noProof/>
        </w:rPr>
        <w:t xml:space="preserve"> information relating to the gastrointestinal absorption of different lanthanide elements was compared. Their fractional absorption was found to be below 10</w:t>
      </w:r>
      <w:r w:rsidRPr="00B75FF4">
        <w:rPr>
          <w:noProof/>
          <w:vertAlign w:val="superscript"/>
        </w:rPr>
        <w:t>-3</w:t>
      </w:r>
      <w:r w:rsidRPr="00972C81">
        <w:rPr>
          <w:noProof/>
        </w:rPr>
        <w:t xml:space="preserve"> in most cases and a </w:t>
      </w:r>
      <w:r w:rsidRPr="00B75FF4">
        <w:rPr>
          <w:i/>
          <w:noProof/>
        </w:rPr>
        <w:t>f</w:t>
      </w:r>
      <w:r w:rsidRPr="00B75FF4">
        <w:rPr>
          <w:noProof/>
          <w:vertAlign w:val="subscript"/>
        </w:rPr>
        <w:t>A</w:t>
      </w:r>
      <w:r w:rsidRPr="00972C81">
        <w:rPr>
          <w:noProof/>
        </w:rPr>
        <w:t xml:space="preserve"> value 5</w:t>
      </w:r>
      <w:r w:rsidR="00067025" w:rsidRPr="00972C81">
        <w:rPr>
          <w:noProof/>
        </w:rPr>
        <w:t xml:space="preserve"> × </w:t>
      </w:r>
      <w:r w:rsidRPr="00972C81">
        <w:rPr>
          <w:noProof/>
        </w:rPr>
        <w:t>10</w:t>
      </w:r>
      <w:r w:rsidRPr="00B75FF4">
        <w:rPr>
          <w:noProof/>
          <w:vertAlign w:val="superscript"/>
        </w:rPr>
        <w:t>–4</w:t>
      </w:r>
      <w:r w:rsidRPr="00972C81">
        <w:rPr>
          <w:noProof/>
        </w:rPr>
        <w:t xml:space="preserve"> was adopted for all lanthanides as a reasonably representative value based on experimental results. For </w:t>
      </w:r>
      <w:r w:rsidRPr="00B75FF4">
        <w:rPr>
          <w:noProof/>
          <w:color w:val="000000" w:themeColor="text1"/>
          <w:szCs w:val="24"/>
        </w:rPr>
        <w:t>ytterbium</w:t>
      </w:r>
      <w:r w:rsidRPr="00972C81">
        <w:rPr>
          <w:noProof/>
        </w:rPr>
        <w:t xml:space="preserve">, </w:t>
      </w:r>
      <w:r w:rsidRPr="00B75FF4">
        <w:rPr>
          <w:noProof/>
          <w:color w:val="000000" w:themeColor="text1"/>
          <w:szCs w:val="24"/>
        </w:rPr>
        <w:t xml:space="preserve">Moskalev et al. </w:t>
      </w:r>
      <w:r w:rsidR="00B407C3" w:rsidRPr="00B75FF4">
        <w:rPr>
          <w:noProof/>
          <w:color w:val="000000" w:themeColor="text1"/>
          <w:szCs w:val="24"/>
        </w:rPr>
        <w:fldChar w:fldCharType="begin"/>
      </w:r>
      <w:r w:rsidR="00612860" w:rsidRPr="00B75FF4">
        <w:rPr>
          <w:noProof/>
          <w:color w:val="000000" w:themeColor="text1"/>
          <w:szCs w:val="24"/>
        </w:rPr>
        <w:instrText xml:space="preserve"> ADDIN ZOTERO_ITEM CSL_CITATION {"citationID":"P9bbvO32","properties":{"formattedCitation":"(1974)","plainCitation":"(1974)","noteIndex":0},"citationItems":[{"id":4757,"uris":["http://zotero.org/groups/2470620/items/GPRMH38F"],"itemData":{"id":4757,"type":"chapter","container-title":"Biological Effects of Radiation from External and Internal Sources. Translated in U.S. Atomic Energy Commission Document AEC-tr-7457","event-place":"Moscow, Russia","publisher":"Medistina","publisher-place":"Moscow, Russia","source":"Google Scholar","title":"Distinctions of distribution in the organism of radioactive isotopes of lanthanide elements","author":[{"family":"Moskalev","given":"Yu I."},{"family":"Zalikin","given":"G. A."},{"family":"Stepanov","given":"V. S."}],"issued":{"date-parts":[["1974"]]}},"label":"page","suppress-author":true}],"schema":"https://github.com/citation-style-language/schema/raw/master/csl-citation.json"} </w:instrText>
      </w:r>
      <w:r w:rsidR="00B407C3" w:rsidRPr="00B75FF4">
        <w:rPr>
          <w:noProof/>
          <w:color w:val="000000" w:themeColor="text1"/>
          <w:szCs w:val="24"/>
        </w:rPr>
        <w:fldChar w:fldCharType="separate"/>
      </w:r>
      <w:r w:rsidR="00BC59C6" w:rsidRPr="00972C81">
        <w:rPr>
          <w:noProof/>
        </w:rPr>
        <w:t>(1974)</w:t>
      </w:r>
      <w:r w:rsidR="00B407C3" w:rsidRPr="00B75FF4">
        <w:rPr>
          <w:noProof/>
          <w:color w:val="000000" w:themeColor="text1"/>
          <w:szCs w:val="24"/>
        </w:rPr>
        <w:fldChar w:fldCharType="end"/>
      </w:r>
      <w:r w:rsidRPr="00B75FF4">
        <w:rPr>
          <w:noProof/>
          <w:color w:val="000000" w:themeColor="text1"/>
          <w:szCs w:val="24"/>
        </w:rPr>
        <w:t xml:space="preserve"> </w:t>
      </w:r>
      <w:r w:rsidRPr="00972C81">
        <w:rPr>
          <w:noProof/>
        </w:rPr>
        <w:t xml:space="preserve">reported fractional absorption from the </w:t>
      </w:r>
      <w:r w:rsidRPr="00B75FF4">
        <w:rPr>
          <w:noProof/>
          <w:color w:val="000000" w:themeColor="text1"/>
          <w:szCs w:val="24"/>
        </w:rPr>
        <w:t xml:space="preserve">gastrointestinal tract of rats </w:t>
      </w:r>
      <w:r w:rsidRPr="00972C81">
        <w:rPr>
          <w:noProof/>
        </w:rPr>
        <w:t>to be less than 5</w:t>
      </w:r>
      <w:r w:rsidR="00067025" w:rsidRPr="00972C81">
        <w:rPr>
          <w:noProof/>
        </w:rPr>
        <w:t xml:space="preserve"> × </w:t>
      </w:r>
      <w:r w:rsidRPr="00972C81">
        <w:rPr>
          <w:noProof/>
        </w:rPr>
        <w:t>10</w:t>
      </w:r>
      <w:r w:rsidRPr="00B75FF4">
        <w:rPr>
          <w:noProof/>
          <w:vertAlign w:val="superscript"/>
        </w:rPr>
        <w:t>-4</w:t>
      </w:r>
      <w:r w:rsidRPr="00972C81">
        <w:rPr>
          <w:noProof/>
        </w:rPr>
        <w:t xml:space="preserve">. The value of </w:t>
      </w:r>
      <w:r w:rsidRPr="00B75FF4">
        <w:rPr>
          <w:i/>
          <w:noProof/>
        </w:rPr>
        <w:t>f</w:t>
      </w:r>
      <w:r w:rsidRPr="00B75FF4">
        <w:rPr>
          <w:noProof/>
          <w:vertAlign w:val="subscript"/>
        </w:rPr>
        <w:t>A</w:t>
      </w:r>
      <w:r w:rsidRPr="00972C81">
        <w:rPr>
          <w:noProof/>
        </w:rPr>
        <w:t xml:space="preserve"> = 5</w:t>
      </w:r>
      <w:r w:rsidR="00067025" w:rsidRPr="00972C81">
        <w:rPr>
          <w:noProof/>
        </w:rPr>
        <w:t xml:space="preserve"> × </w:t>
      </w:r>
      <w:r w:rsidRPr="00972C81">
        <w:rPr>
          <w:noProof/>
        </w:rPr>
        <w:t>10</w:t>
      </w:r>
      <w:r w:rsidRPr="00B75FF4">
        <w:rPr>
          <w:noProof/>
          <w:vertAlign w:val="superscript"/>
        </w:rPr>
        <w:t>–4</w:t>
      </w:r>
      <w:r w:rsidRPr="00972C81">
        <w:rPr>
          <w:noProof/>
        </w:rPr>
        <w:t xml:space="preserve"> is adopted here for intakes of </w:t>
      </w:r>
      <w:r w:rsidRPr="00B75FF4">
        <w:rPr>
          <w:noProof/>
          <w:color w:val="000000" w:themeColor="text1"/>
          <w:szCs w:val="24"/>
        </w:rPr>
        <w:t>ytterbium</w:t>
      </w:r>
      <w:r w:rsidRPr="00972C81">
        <w:rPr>
          <w:noProof/>
        </w:rPr>
        <w:t xml:space="preserve"> by adult members of the public.</w:t>
      </w:r>
    </w:p>
    <w:p w14:paraId="02F78C35" w14:textId="1E4B2671" w:rsidR="00F249F6" w:rsidRPr="00972C81" w:rsidRDefault="00F249F6" w:rsidP="001C4A92">
      <w:pPr>
        <w:pStyle w:val="Annalstext"/>
        <w:rPr>
          <w:noProof/>
        </w:rPr>
      </w:pPr>
      <w:r w:rsidRPr="00972C81">
        <w:rPr>
          <w:i/>
          <w:noProof/>
        </w:rPr>
        <w:t>Children</w:t>
      </w:r>
      <w:r w:rsidRPr="00972C81">
        <w:rPr>
          <w:noProof/>
        </w:rPr>
        <w:t xml:space="preserve">. The age-dependency of </w:t>
      </w:r>
      <w:r w:rsidRPr="00972C81">
        <w:rPr>
          <w:noProof/>
          <w:color w:val="000000" w:themeColor="text1"/>
          <w:szCs w:val="24"/>
        </w:rPr>
        <w:t>ytterbium</w:t>
      </w:r>
      <w:r w:rsidRPr="00972C81">
        <w:rPr>
          <w:noProof/>
        </w:rPr>
        <w:t xml:space="preserve"> absorption was not observed. On the basis of the chemical analogy with cerium, the same values of </w:t>
      </w:r>
      <w:r w:rsidRPr="00972C81">
        <w:rPr>
          <w:i/>
          <w:noProof/>
        </w:rPr>
        <w:t>f</w:t>
      </w:r>
      <w:r w:rsidRPr="00972C81">
        <w:rPr>
          <w:noProof/>
          <w:vertAlign w:val="subscript"/>
        </w:rPr>
        <w:t>A</w:t>
      </w:r>
      <w:r w:rsidRPr="00972C81">
        <w:rPr>
          <w:noProof/>
        </w:rPr>
        <w:t xml:space="preserve"> = 5</w:t>
      </w:r>
      <w:r w:rsidR="00067025" w:rsidRPr="00972C81">
        <w:rPr>
          <w:noProof/>
        </w:rPr>
        <w:t xml:space="preserve"> × </w:t>
      </w:r>
      <w:r w:rsidRPr="00972C81">
        <w:rPr>
          <w:noProof/>
        </w:rPr>
        <w:t>10</w:t>
      </w:r>
      <w:r w:rsidRPr="00972C81">
        <w:rPr>
          <w:noProof/>
          <w:vertAlign w:val="superscript"/>
        </w:rPr>
        <w:t>-3</w:t>
      </w:r>
      <w:r w:rsidRPr="00972C81">
        <w:rPr>
          <w:noProof/>
        </w:rPr>
        <w:t xml:space="preserve"> for 3-month-old infants and 5</w:t>
      </w:r>
      <w:r w:rsidR="00067025" w:rsidRPr="00972C81">
        <w:rPr>
          <w:noProof/>
        </w:rPr>
        <w:t xml:space="preserve"> × </w:t>
      </w:r>
      <w:r w:rsidRPr="00972C81">
        <w:rPr>
          <w:noProof/>
        </w:rPr>
        <w:t>10</w:t>
      </w:r>
      <w:r w:rsidRPr="00972C81">
        <w:rPr>
          <w:noProof/>
          <w:vertAlign w:val="superscript"/>
        </w:rPr>
        <w:t>-4</w:t>
      </w:r>
      <w:r w:rsidRPr="00972C81">
        <w:rPr>
          <w:noProof/>
        </w:rPr>
        <w:t xml:space="preserve"> for children of 1 year and older are adopted here for </w:t>
      </w:r>
      <w:r w:rsidRPr="00972C81">
        <w:rPr>
          <w:noProof/>
          <w:color w:val="000000" w:themeColor="text1"/>
          <w:szCs w:val="24"/>
        </w:rPr>
        <w:t>ytterbium</w:t>
      </w:r>
      <w:r w:rsidRPr="00972C81">
        <w:rPr>
          <w:noProof/>
        </w:rPr>
        <w:t>.</w:t>
      </w:r>
    </w:p>
    <w:p w14:paraId="0E09A87B" w14:textId="77777777" w:rsidR="00AE7A83" w:rsidRPr="00972C81" w:rsidRDefault="00AE7A83" w:rsidP="00E81109">
      <w:pPr>
        <w:pStyle w:val="3"/>
        <w:rPr>
          <w:noProof/>
        </w:rPr>
      </w:pPr>
      <w:bookmarkStart w:id="218" w:name="_Toc162630065"/>
      <w:r w:rsidRPr="00972C81">
        <w:rPr>
          <w:noProof/>
        </w:rPr>
        <w:t>Systemic Distribution, Retention and Excreti</w:t>
      </w:r>
      <w:r w:rsidR="00593D1F" w:rsidRPr="00972C81">
        <w:rPr>
          <w:noProof/>
        </w:rPr>
        <w:t>on</w:t>
      </w:r>
      <w:bookmarkEnd w:id="218"/>
    </w:p>
    <w:p w14:paraId="00C81C37" w14:textId="77777777" w:rsidR="002F3CE5" w:rsidRPr="00972C81" w:rsidRDefault="002F3CE5" w:rsidP="006703A2">
      <w:pPr>
        <w:pStyle w:val="OIRTitre4"/>
      </w:pPr>
      <w:r w:rsidRPr="00972C81">
        <w:t>Summary of biokinetic data</w:t>
      </w:r>
    </w:p>
    <w:p w14:paraId="17EF18AA" w14:textId="6857586C" w:rsidR="002F3CE5" w:rsidRPr="00972C81" w:rsidRDefault="002F3CE5" w:rsidP="001C4A92">
      <w:pPr>
        <w:pStyle w:val="Annalstext"/>
        <w:rPr>
          <w:noProof/>
        </w:rPr>
      </w:pPr>
      <w:r w:rsidRPr="00972C81">
        <w:rPr>
          <w:noProof/>
        </w:rPr>
        <w:t>The lanthanides terbium, dysprosium, holmium, erbium, thulium, ytterbium, and lutetium showed similar biokinetics in rats</w:t>
      </w:r>
      <w:r w:rsidR="00B407C3" w:rsidRPr="00972C81">
        <w:rPr>
          <w:noProof/>
        </w:rPr>
        <w:t xml:space="preserve"> </w:t>
      </w:r>
      <w:r w:rsidR="00B407C3" w:rsidRPr="00972C81">
        <w:rPr>
          <w:noProof/>
        </w:rPr>
        <w:fldChar w:fldCharType="begin"/>
      </w:r>
      <w:r w:rsidR="00612860" w:rsidRPr="00972C81">
        <w:rPr>
          <w:noProof/>
        </w:rPr>
        <w:instrText xml:space="preserve"> ADDIN ZOTERO_ITEM CSL_CITATION {"citationID":"dl95LlGv","properties":{"formattedCitation":"(Ando et al., 1989; Durbin, 1959, 1962; Moskalev et al., 1974)","plainCitation":"(Ando et al., 1989; Durbin, 1959, 1962; Moskalev et al., 1974)","noteIndex":0},"citationItems":[{"id":2345,"uris":["http://zotero.org/groups/2470620/items/G9C65MS5"],"itemData":{"id":2345,"type":"article-journal","archive":"Scopus","container-title":"International Journal of Radiation Applications and Instrumentation.","DOI":"10.1016/0883-2897(89)90216-X","issue":"1","page":"57-80","title":"Relation between the location of elements in the periodic table and various organ-uptake rates","volume":"16","author":[{"family":"Ando","given":"A."},{"family":"Ando","given":"I."},{"family":"Hiraki","given":"T."},{"family":"Hisada","given":"K."}],"issued":{"date-parts":[["1989"]]}}},{"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mammals","volume":"8","author":[{"family":"Durbin","given":"P.W."}],"issued":{"date-parts":[["1962"]]}}},{"id":4757,"uris":["http://zotero.org/groups/2470620/items/GPRMH38F"],"itemData":{"id":4757,"type":"chapter","container-title":"Biological Effects of Radiation from External and Internal Sources. Translated in U.S. Atomic Energy Commission Document AEC-tr-7457","event-place":"Moscow, Russia","publisher":"Medistina","publisher-place":"Moscow, Russia","source":"Google Scholar","title":"Distinctions of distribution in the organism of radioactive isotopes of lanthanide elements","author":[{"family":"Moskalev","given":"Yu I."},{"family":"Zalikin","given":"G. A."},{"family":"Stepanov","given":"V. S."}],"issued":{"date-parts":[["1974"]]}}}],"schema":"https://github.com/citation-style-language/schema/raw/master/csl-citation.json"} </w:instrText>
      </w:r>
      <w:r w:rsidR="00B407C3" w:rsidRPr="00972C81">
        <w:rPr>
          <w:noProof/>
        </w:rPr>
        <w:fldChar w:fldCharType="separate"/>
      </w:r>
      <w:r w:rsidR="00BC59C6" w:rsidRPr="00972C81">
        <w:rPr>
          <w:noProof/>
        </w:rPr>
        <w:t>(Ando et al., 1989; Durbin, 1959, 1962; Moskalev et al., 1974)</w:t>
      </w:r>
      <w:r w:rsidR="00B407C3" w:rsidRPr="00972C81">
        <w:rPr>
          <w:noProof/>
        </w:rPr>
        <w:fldChar w:fldCharType="end"/>
      </w:r>
      <w:r w:rsidRPr="00972C81">
        <w:rPr>
          <w:noProof/>
        </w:rPr>
        <w:t>. At 4 d after intramuscular injection, about 60% of the activity entering blood was contained in bone, and 1</w:t>
      </w:r>
      <w:r w:rsidR="00605984" w:rsidRPr="00972C81">
        <w:rPr>
          <w:noProof/>
        </w:rPr>
        <w:t>–</w:t>
      </w:r>
      <w:r w:rsidRPr="00972C81">
        <w:rPr>
          <w:noProof/>
        </w:rPr>
        <w:t xml:space="preserve">7% was contained in the liver </w:t>
      </w:r>
      <w:r w:rsidR="00B407C3" w:rsidRPr="00972C81">
        <w:rPr>
          <w:noProof/>
        </w:rPr>
        <w:fldChar w:fldCharType="begin"/>
      </w:r>
      <w:r w:rsidR="00B407C3" w:rsidRPr="00972C81">
        <w:rPr>
          <w:noProof/>
        </w:rPr>
        <w:instrText xml:space="preserve"> ADDIN ZOTERO_ITEM CSL_CITATION {"citationID":"d8WcNXq1","properties":{"formattedCitation":"(Durbin, 1959, 1962)","plainCitation":"(Durbin, 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B407C3" w:rsidRPr="00972C81">
        <w:rPr>
          <w:noProof/>
        </w:rPr>
        <w:fldChar w:fldCharType="separate"/>
      </w:r>
      <w:r w:rsidR="00BC59C6" w:rsidRPr="00972C81">
        <w:rPr>
          <w:noProof/>
        </w:rPr>
        <w:t>(Durbin, 1959, 1962)</w:t>
      </w:r>
      <w:r w:rsidR="00B407C3" w:rsidRPr="00972C81">
        <w:rPr>
          <w:noProof/>
        </w:rPr>
        <w:fldChar w:fldCharType="end"/>
      </w:r>
      <w:r w:rsidRPr="00972C81">
        <w:rPr>
          <w:noProof/>
        </w:rPr>
        <w:t>. Cumulative loss in urine through day 4 amounted to roughly 20% of the amount reaching blood.</w:t>
      </w:r>
    </w:p>
    <w:p w14:paraId="5B02A13C" w14:textId="77777777" w:rsidR="002F3CE5" w:rsidRPr="00972C81" w:rsidRDefault="002F3CE5" w:rsidP="001C4A92">
      <w:pPr>
        <w:pStyle w:val="Annalstext"/>
        <w:rPr>
          <w:rFonts w:eastAsia="Times New Roman"/>
          <w:noProof/>
        </w:rPr>
      </w:pPr>
      <w:r w:rsidRPr="00972C81">
        <w:rPr>
          <w:rFonts w:eastAsia="Times New Roman"/>
          <w:noProof/>
        </w:rPr>
        <w:t xml:space="preserve">No information was found regarding the effect of age on the biokinetics of systemic </w:t>
      </w:r>
      <w:r w:rsidRPr="00972C81">
        <w:rPr>
          <w:rFonts w:ascii="Times Roman" w:hAnsi="Times Roman"/>
          <w:noProof/>
        </w:rPr>
        <w:t>ytterbium.</w:t>
      </w:r>
    </w:p>
    <w:p w14:paraId="378984C1" w14:textId="77777777" w:rsidR="002F3CE5" w:rsidRPr="00972C81" w:rsidRDefault="002F3CE5" w:rsidP="006703A2">
      <w:pPr>
        <w:pStyle w:val="OIRTitre4"/>
      </w:pPr>
      <w:r w:rsidRPr="00972C81">
        <w:t>Systemic model</w:t>
      </w:r>
    </w:p>
    <w:p w14:paraId="49CC3A07" w14:textId="1EF93D54" w:rsidR="002F3CE5" w:rsidRPr="00972C81" w:rsidRDefault="002F3CE5" w:rsidP="001C4A92">
      <w:pPr>
        <w:pStyle w:val="Annalstext"/>
        <w:rPr>
          <w:noProof/>
        </w:rPr>
      </w:pPr>
      <w:r w:rsidRPr="00972C81">
        <w:rPr>
          <w:noProof/>
        </w:rPr>
        <w:t xml:space="preserve">The model structure shown in </w:t>
      </w:r>
      <w:r w:rsidR="00B407C3" w:rsidRPr="00972C81">
        <w:rPr>
          <w:noProof/>
        </w:rPr>
        <w:fldChar w:fldCharType="begin"/>
      </w:r>
      <w:r w:rsidR="00B407C3" w:rsidRPr="00972C81">
        <w:rPr>
          <w:noProof/>
        </w:rPr>
        <w:instrText xml:space="preserve"> REF _Ref141858180 \h </w:instrText>
      </w:r>
      <w:r w:rsidR="00B407C3" w:rsidRPr="00972C81">
        <w:rPr>
          <w:noProof/>
        </w:rPr>
      </w:r>
      <w:r w:rsidR="00B407C3" w:rsidRPr="00972C81">
        <w:rPr>
          <w:noProof/>
        </w:rPr>
        <w:fldChar w:fldCharType="separate"/>
      </w:r>
      <w:r w:rsidR="00A41AD1" w:rsidRPr="00A41AD1">
        <w:rPr>
          <w:noProof/>
          <w:szCs w:val="24"/>
        </w:rPr>
        <w:t xml:space="preserve">Fig </w:t>
      </w:r>
      <w:r w:rsidR="00A41AD1">
        <w:rPr>
          <w:noProof/>
          <w:szCs w:val="24"/>
        </w:rPr>
        <w:t>3</w:t>
      </w:r>
      <w:r w:rsidR="00A41AD1" w:rsidRPr="00A41AD1">
        <w:rPr>
          <w:noProof/>
          <w:szCs w:val="24"/>
        </w:rPr>
        <w:t>.</w:t>
      </w:r>
      <w:r w:rsidR="00A41AD1">
        <w:rPr>
          <w:noProof/>
          <w:szCs w:val="24"/>
        </w:rPr>
        <w:t>1</w:t>
      </w:r>
      <w:r w:rsidR="00B407C3" w:rsidRPr="00972C81">
        <w:rPr>
          <w:noProof/>
        </w:rPr>
        <w:fldChar w:fldCharType="end"/>
      </w:r>
      <w:r w:rsidRPr="00972C81">
        <w:rPr>
          <w:noProof/>
        </w:rPr>
        <w:t xml:space="preserve"> of the section on cerium is applied in this report to all lanthanide elements.</w:t>
      </w:r>
    </w:p>
    <w:p w14:paraId="7EDEE91B" w14:textId="5AB2917C" w:rsidR="002F3CE5" w:rsidRPr="00972C81" w:rsidRDefault="002F3CE5" w:rsidP="001C4A92">
      <w:pPr>
        <w:pStyle w:val="Annalstext"/>
        <w:rPr>
          <w:rFonts w:eastAsia="Times New Roman"/>
          <w:noProof/>
        </w:rPr>
      </w:pPr>
      <w:r w:rsidRPr="00972C81">
        <w:rPr>
          <w:rFonts w:eastAsia="Times New Roman"/>
          <w:noProof/>
        </w:rPr>
        <w:t xml:space="preserve">A common set of age-specific transfer coefficients is applied to the “holmium group”, consisting of the lanthanide elements </w:t>
      </w:r>
      <w:r w:rsidRPr="00972C81">
        <w:rPr>
          <w:noProof/>
          <w:color w:val="000000" w:themeColor="text1"/>
        </w:rPr>
        <w:t>terbium, dysprosium, holmium, erbium, thulium, ytterbium, and lutetium</w:t>
      </w:r>
      <w:r w:rsidRPr="00972C81">
        <w:rPr>
          <w:rFonts w:eastAsia="Times New Roman"/>
          <w:noProof/>
        </w:rPr>
        <w:t xml:space="preserve">. Transfer coefficients for the holmium group are listed in </w:t>
      </w:r>
      <w:r w:rsidR="00B407C3" w:rsidRPr="00972C81">
        <w:rPr>
          <w:rFonts w:eastAsia="Times New Roman"/>
          <w:noProof/>
        </w:rPr>
        <w:fldChar w:fldCharType="begin"/>
      </w:r>
      <w:r w:rsidR="00B407C3" w:rsidRPr="00972C81">
        <w:rPr>
          <w:rFonts w:eastAsia="Times New Roman"/>
          <w:noProof/>
        </w:rPr>
        <w:instrText xml:space="preserve"> REF _Ref142312953 \h </w:instrText>
      </w:r>
      <w:r w:rsidR="00B407C3" w:rsidRPr="00972C81">
        <w:rPr>
          <w:rFonts w:eastAsia="Times New Roman"/>
          <w:noProof/>
        </w:rPr>
      </w:r>
      <w:r w:rsidR="00B407C3" w:rsidRPr="00972C81">
        <w:rPr>
          <w:rFonts w:eastAsia="Times New Roman"/>
          <w:noProof/>
        </w:rPr>
        <w:fldChar w:fldCharType="separate"/>
      </w:r>
      <w:r w:rsidR="00A41AD1" w:rsidRPr="00972C81">
        <w:rPr>
          <w:noProof/>
        </w:rPr>
        <w:t xml:space="preserve">Table </w:t>
      </w:r>
      <w:r w:rsidR="00A41AD1">
        <w:rPr>
          <w:noProof/>
        </w:rPr>
        <w:t>12</w:t>
      </w:r>
      <w:r w:rsidR="00A41AD1" w:rsidRPr="00972C81">
        <w:rPr>
          <w:noProof/>
        </w:rPr>
        <w:t>.</w:t>
      </w:r>
      <w:r w:rsidR="00A41AD1">
        <w:rPr>
          <w:noProof/>
        </w:rPr>
        <w:t>2</w:t>
      </w:r>
      <w:r w:rsidR="00B407C3" w:rsidRPr="00972C81">
        <w:rPr>
          <w:rFonts w:eastAsia="Times New Roman"/>
          <w:noProof/>
        </w:rPr>
        <w:fldChar w:fldCharType="end"/>
      </w:r>
      <w:r w:rsidRPr="00972C81">
        <w:rPr>
          <w:rFonts w:eastAsia="Times New Roman"/>
          <w:noProof/>
        </w:rPr>
        <w:t xml:space="preserve"> of the section on holmium.</w:t>
      </w:r>
    </w:p>
    <w:p w14:paraId="7B89CEDB" w14:textId="77777777" w:rsidR="002F3CE5" w:rsidRPr="00972C81" w:rsidRDefault="002F3CE5" w:rsidP="006703A2">
      <w:pPr>
        <w:pStyle w:val="OIRTitre4"/>
      </w:pPr>
      <w:r w:rsidRPr="00972C81">
        <w:t>Treatment of radioactive progeny</w:t>
      </w:r>
    </w:p>
    <w:p w14:paraId="1327F747" w14:textId="3EF67309" w:rsidR="00593D1F" w:rsidRPr="00972C81" w:rsidRDefault="006220FE" w:rsidP="001C4A92">
      <w:pPr>
        <w:pStyle w:val="Annalstext"/>
        <w:rPr>
          <w:noProof/>
        </w:rPr>
      </w:pPr>
      <w:r w:rsidRPr="00972C81">
        <w:rPr>
          <w:rFonts w:eastAsia="Calibri"/>
          <w:noProof/>
        </w:rPr>
        <w:lastRenderedPageBreak/>
        <w:t xml:space="preserve">The treatment of radioactive progeny produced in systemic compartments after intake of a radioisotope of ytterbium is described in Section 16.2.3.3. of </w:t>
      </w:r>
      <w:r w:rsidR="00663AC5" w:rsidRPr="00972C81">
        <w:rPr>
          <w:i/>
          <w:noProof/>
        </w:rPr>
        <w:t>Publication 141</w:t>
      </w:r>
      <w:r w:rsidR="00663AC5" w:rsidRPr="00972C81">
        <w:rPr>
          <w:noProof/>
        </w:rPr>
        <w:t xml:space="preserve"> </w:t>
      </w:r>
      <w:r w:rsidR="00B407C3" w:rsidRPr="00972C81">
        <w:rPr>
          <w:noProof/>
        </w:rPr>
        <w:fldChar w:fldCharType="begin"/>
      </w:r>
      <w:r w:rsidR="00B407C3" w:rsidRPr="00972C81">
        <w:rPr>
          <w:noProof/>
        </w:rPr>
        <w:instrText xml:space="preserve"> ADDIN ZOTERO_ITEM CSL_CITATION {"citationID":"Y50RE1nH","properties":{"formattedCitation":"(ICRP,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B407C3" w:rsidRPr="00972C81">
        <w:rPr>
          <w:noProof/>
        </w:rPr>
        <w:fldChar w:fldCharType="separate"/>
      </w:r>
      <w:r w:rsidR="00BC59C6" w:rsidRPr="00972C81">
        <w:rPr>
          <w:noProof/>
        </w:rPr>
        <w:t>(ICRP, 2019)</w:t>
      </w:r>
      <w:r w:rsidR="00B407C3" w:rsidRPr="00972C81">
        <w:rPr>
          <w:noProof/>
        </w:rPr>
        <w:fldChar w:fldCharType="end"/>
      </w:r>
      <w:r w:rsidR="00663AC5" w:rsidRPr="00972C81">
        <w:rPr>
          <w:noProof/>
        </w:rPr>
        <w:t>.</w:t>
      </w:r>
    </w:p>
    <w:p w14:paraId="7F460EF8" w14:textId="77777777" w:rsidR="00593D1F" w:rsidRPr="00972C81" w:rsidRDefault="00593D1F" w:rsidP="00E81109">
      <w:pPr>
        <w:pStyle w:val="2"/>
        <w:rPr>
          <w:noProof/>
          <w:lang w:val="en-GB"/>
        </w:rPr>
      </w:pPr>
      <w:bookmarkStart w:id="219" w:name="_Toc162630066"/>
      <w:r w:rsidRPr="00972C81">
        <w:rPr>
          <w:noProof/>
          <w:lang w:val="en-GB"/>
        </w:rPr>
        <w:t>Dosimetric data for ytterbium</w:t>
      </w:r>
      <w:bookmarkEnd w:id="219"/>
    </w:p>
    <w:p w14:paraId="2AD15888" w14:textId="4786A2AA" w:rsidR="00F43D48" w:rsidRPr="00972C81" w:rsidRDefault="00F43D48" w:rsidP="00F43D48">
      <w:pPr>
        <w:pStyle w:val="ab"/>
        <w:rPr>
          <w:noProof/>
          <w:sz w:val="24"/>
          <w:szCs w:val="24"/>
        </w:rPr>
      </w:pPr>
      <w:r w:rsidRPr="00972C81">
        <w:rPr>
          <w:noProof/>
          <w:sz w:val="24"/>
          <w:szCs w:val="24"/>
        </w:rPr>
        <w:t>Table 15.1.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169</w:t>
      </w:r>
      <w:r w:rsidRPr="00972C81">
        <w:rPr>
          <w:noProof/>
          <w:sz w:val="24"/>
          <w:szCs w:val="24"/>
        </w:rPr>
        <w:t>Yb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F43D48" w:rsidRPr="00A3213E" w14:paraId="67EBBF1E" w14:textId="77777777" w:rsidTr="000F593F">
        <w:trPr>
          <w:trHeight w:val="340"/>
        </w:trPr>
        <w:tc>
          <w:tcPr>
            <w:tcW w:w="2087" w:type="pct"/>
            <w:vMerge w:val="restart"/>
            <w:tcBorders>
              <w:top w:val="single" w:sz="4" w:space="0" w:color="auto"/>
              <w:left w:val="nil"/>
              <w:bottom w:val="single" w:sz="4" w:space="0" w:color="auto"/>
              <w:right w:val="nil"/>
            </w:tcBorders>
            <w:vAlign w:val="bottom"/>
            <w:hideMark/>
          </w:tcPr>
          <w:p w14:paraId="44A7F167" w14:textId="77777777" w:rsidR="00605984" w:rsidRPr="00C47F2F" w:rsidRDefault="00F43D48" w:rsidP="00C47F2F">
            <w:pPr>
              <w:pStyle w:val="a5"/>
              <w:tabs>
                <w:tab w:val="clear" w:pos="4153"/>
                <w:tab w:val="clear" w:pos="8306"/>
              </w:tabs>
              <w:jc w:val="left"/>
              <w:rPr>
                <w:noProof/>
                <w:sz w:val="22"/>
                <w:szCs w:val="22"/>
              </w:rPr>
            </w:pPr>
            <w:r w:rsidRPr="00C47F2F">
              <w:rPr>
                <w:noProof/>
                <w:sz w:val="22"/>
                <w:szCs w:val="22"/>
              </w:rPr>
              <w:t>Inhaled particulate materials</w:t>
            </w:r>
          </w:p>
          <w:p w14:paraId="61935E70" w14:textId="0F843750" w:rsidR="00F43D48" w:rsidRPr="00605984" w:rsidRDefault="00F43D48" w:rsidP="00C47F2F">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6D9AD509" w14:textId="77777777" w:rsidR="00F43D48" w:rsidRPr="00C47F2F" w:rsidRDefault="00F43D48" w:rsidP="000F593F">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F43D48" w:rsidRPr="00972C81" w14:paraId="5B4176E9" w14:textId="77777777" w:rsidTr="000F593F">
        <w:trPr>
          <w:trHeight w:val="340"/>
        </w:trPr>
        <w:tc>
          <w:tcPr>
            <w:tcW w:w="2087" w:type="pct"/>
            <w:vMerge/>
            <w:tcBorders>
              <w:top w:val="single" w:sz="4" w:space="0" w:color="auto"/>
              <w:left w:val="nil"/>
              <w:bottom w:val="single" w:sz="4" w:space="0" w:color="auto"/>
              <w:right w:val="nil"/>
            </w:tcBorders>
            <w:vAlign w:val="center"/>
            <w:hideMark/>
          </w:tcPr>
          <w:p w14:paraId="5A0FBDAF" w14:textId="77777777" w:rsidR="00F43D48" w:rsidRPr="00605984" w:rsidRDefault="00F43D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28ECCFF9" w14:textId="50311D92" w:rsidR="00F43D48" w:rsidRPr="00C47F2F" w:rsidRDefault="00F43D48" w:rsidP="000F593F">
            <w:pPr>
              <w:jc w:val="left"/>
              <w:rPr>
                <w:noProof/>
                <w:sz w:val="22"/>
                <w:szCs w:val="22"/>
                <w:lang w:eastAsia="ko-KR"/>
              </w:rPr>
            </w:pPr>
            <w:r w:rsidRPr="00C47F2F">
              <w:rPr>
                <w:noProof/>
                <w:sz w:val="22"/>
                <w:szCs w:val="22"/>
              </w:rPr>
              <w:t>3</w:t>
            </w:r>
            <w:r w:rsidR="00C23664">
              <w:rPr>
                <w:rFonts w:hint="eastAsia"/>
                <w:noProof/>
                <w:sz w:val="22"/>
                <w:szCs w:val="22"/>
                <w:lang w:eastAsia="ko-KR"/>
              </w:rPr>
              <w:t xml:space="preserve"> </w:t>
            </w:r>
            <w:r w:rsidRPr="00C47F2F">
              <w:rPr>
                <w:noProof/>
                <w:sz w:val="22"/>
                <w:szCs w:val="22"/>
              </w:rPr>
              <w:t>m</w:t>
            </w:r>
            <w:r w:rsidR="000F593F">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1FF33E6E" w14:textId="17C5E0B7" w:rsidR="00F43D48" w:rsidRPr="00C47F2F" w:rsidRDefault="00F43D48" w:rsidP="000F593F">
            <w:pPr>
              <w:jc w:val="left"/>
              <w:rPr>
                <w:noProof/>
                <w:sz w:val="22"/>
                <w:szCs w:val="22"/>
              </w:rPr>
            </w:pPr>
            <w:r w:rsidRPr="00C47F2F">
              <w:rPr>
                <w:noProof/>
                <w:sz w:val="22"/>
                <w:szCs w:val="22"/>
              </w:rPr>
              <w:t>1</w:t>
            </w:r>
            <w:r w:rsidR="00C23664">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51AEB390" w14:textId="34E837AF" w:rsidR="00F43D48" w:rsidRPr="00C47F2F" w:rsidRDefault="00F43D48" w:rsidP="000F593F">
            <w:pPr>
              <w:jc w:val="left"/>
              <w:rPr>
                <w:noProof/>
                <w:sz w:val="22"/>
                <w:szCs w:val="22"/>
              </w:rPr>
            </w:pPr>
            <w:r w:rsidRPr="00C47F2F">
              <w:rPr>
                <w:noProof/>
                <w:sz w:val="22"/>
                <w:szCs w:val="22"/>
              </w:rPr>
              <w:t>5</w:t>
            </w:r>
            <w:r w:rsidR="00C23664">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62B7E98" w14:textId="1EAC151F" w:rsidR="00F43D48" w:rsidRPr="00C47F2F" w:rsidRDefault="00F43D48" w:rsidP="000F593F">
            <w:pPr>
              <w:jc w:val="left"/>
              <w:rPr>
                <w:noProof/>
                <w:sz w:val="22"/>
                <w:szCs w:val="22"/>
              </w:rPr>
            </w:pPr>
            <w:r w:rsidRPr="00C47F2F">
              <w:rPr>
                <w:noProof/>
                <w:sz w:val="22"/>
                <w:szCs w:val="22"/>
              </w:rPr>
              <w:t>10</w:t>
            </w:r>
            <w:r w:rsidR="00C23664">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DA45A8C" w14:textId="4B7583A4" w:rsidR="00F43D48" w:rsidRPr="00C47F2F" w:rsidRDefault="00F43D48" w:rsidP="000F593F">
            <w:pPr>
              <w:jc w:val="left"/>
              <w:rPr>
                <w:noProof/>
                <w:sz w:val="22"/>
                <w:szCs w:val="22"/>
              </w:rPr>
            </w:pPr>
            <w:r w:rsidRPr="00C47F2F">
              <w:rPr>
                <w:noProof/>
                <w:sz w:val="22"/>
                <w:szCs w:val="22"/>
              </w:rPr>
              <w:t>15</w:t>
            </w:r>
            <w:r w:rsidR="00C23664">
              <w:rPr>
                <w:rFonts w:hint="eastAsia"/>
                <w:noProof/>
                <w:sz w:val="22"/>
                <w:szCs w:val="22"/>
                <w:lang w:eastAsia="ko-KR"/>
              </w:rPr>
              <w:t xml:space="preserve"> </w:t>
            </w:r>
            <w:r w:rsidRPr="00C47F2F">
              <w:rPr>
                <w:noProof/>
                <w:sz w:val="22"/>
                <w:szCs w:val="22"/>
              </w:rPr>
              <w:t>y</w:t>
            </w:r>
          </w:p>
        </w:tc>
        <w:tc>
          <w:tcPr>
            <w:tcW w:w="487" w:type="pct"/>
            <w:tcBorders>
              <w:top w:val="single" w:sz="4" w:space="0" w:color="auto"/>
              <w:left w:val="nil"/>
              <w:bottom w:val="single" w:sz="4" w:space="0" w:color="auto"/>
              <w:right w:val="nil"/>
            </w:tcBorders>
            <w:vAlign w:val="center"/>
            <w:hideMark/>
          </w:tcPr>
          <w:p w14:paraId="653271B7" w14:textId="77777777" w:rsidR="00F43D48" w:rsidRPr="00C47F2F" w:rsidRDefault="00F43D48" w:rsidP="000F593F">
            <w:pPr>
              <w:jc w:val="left"/>
              <w:rPr>
                <w:noProof/>
                <w:sz w:val="22"/>
                <w:szCs w:val="22"/>
              </w:rPr>
            </w:pPr>
            <w:r w:rsidRPr="00C47F2F">
              <w:rPr>
                <w:noProof/>
                <w:sz w:val="22"/>
                <w:szCs w:val="22"/>
              </w:rPr>
              <w:t>Adult</w:t>
            </w:r>
          </w:p>
        </w:tc>
      </w:tr>
      <w:tr w:rsidR="00F43D48" w:rsidRPr="00972C81" w14:paraId="789426DA" w14:textId="77777777" w:rsidTr="000F593F">
        <w:trPr>
          <w:trHeight w:val="340"/>
        </w:trPr>
        <w:tc>
          <w:tcPr>
            <w:tcW w:w="2087" w:type="pct"/>
            <w:tcBorders>
              <w:top w:val="single" w:sz="4" w:space="0" w:color="auto"/>
              <w:left w:val="nil"/>
              <w:bottom w:val="nil"/>
              <w:right w:val="nil"/>
            </w:tcBorders>
            <w:hideMark/>
          </w:tcPr>
          <w:p w14:paraId="797BA507" w14:textId="77777777" w:rsidR="00F43D48" w:rsidRPr="00C47F2F" w:rsidRDefault="00F43D48" w:rsidP="000F593F">
            <w:pPr>
              <w:jc w:val="left"/>
              <w:rPr>
                <w:noProof/>
                <w:sz w:val="22"/>
                <w:szCs w:val="22"/>
              </w:rPr>
            </w:pPr>
            <w:r w:rsidRPr="00C47F2F">
              <w:rPr>
                <w:rFonts w:eastAsia="Times New Roman"/>
                <w:noProof/>
                <w:color w:val="000000"/>
                <w:sz w:val="22"/>
                <w:szCs w:val="22"/>
              </w:rPr>
              <w:t>Water soluble forms, including chloride and citrate</w:t>
            </w:r>
          </w:p>
        </w:tc>
        <w:tc>
          <w:tcPr>
            <w:tcW w:w="485" w:type="pct"/>
            <w:tcBorders>
              <w:top w:val="single" w:sz="4" w:space="0" w:color="auto"/>
              <w:left w:val="nil"/>
              <w:bottom w:val="nil"/>
              <w:right w:val="nil"/>
            </w:tcBorders>
            <w:hideMark/>
          </w:tcPr>
          <w:p w14:paraId="1776FC53"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6.3E-09</w:t>
            </w:r>
          </w:p>
        </w:tc>
        <w:tc>
          <w:tcPr>
            <w:tcW w:w="485" w:type="pct"/>
            <w:tcBorders>
              <w:top w:val="single" w:sz="4" w:space="0" w:color="auto"/>
              <w:left w:val="nil"/>
              <w:bottom w:val="nil"/>
              <w:right w:val="nil"/>
            </w:tcBorders>
            <w:hideMark/>
          </w:tcPr>
          <w:p w14:paraId="4ABABC84"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4.7E-09</w:t>
            </w:r>
          </w:p>
        </w:tc>
        <w:tc>
          <w:tcPr>
            <w:tcW w:w="485" w:type="pct"/>
            <w:tcBorders>
              <w:top w:val="single" w:sz="4" w:space="0" w:color="auto"/>
              <w:left w:val="nil"/>
              <w:bottom w:val="nil"/>
              <w:right w:val="nil"/>
            </w:tcBorders>
            <w:hideMark/>
          </w:tcPr>
          <w:p w14:paraId="78DEEEEA"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2.4E-09</w:t>
            </w:r>
          </w:p>
        </w:tc>
        <w:tc>
          <w:tcPr>
            <w:tcW w:w="485" w:type="pct"/>
            <w:tcBorders>
              <w:top w:val="single" w:sz="4" w:space="0" w:color="auto"/>
              <w:left w:val="nil"/>
              <w:bottom w:val="nil"/>
              <w:right w:val="nil"/>
            </w:tcBorders>
            <w:hideMark/>
          </w:tcPr>
          <w:p w14:paraId="1B80747B"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1.5E-09</w:t>
            </w:r>
          </w:p>
        </w:tc>
        <w:tc>
          <w:tcPr>
            <w:tcW w:w="485" w:type="pct"/>
            <w:tcBorders>
              <w:top w:val="single" w:sz="4" w:space="0" w:color="auto"/>
              <w:left w:val="nil"/>
              <w:bottom w:val="nil"/>
              <w:right w:val="nil"/>
            </w:tcBorders>
            <w:hideMark/>
          </w:tcPr>
          <w:p w14:paraId="2A0154B2"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1.2E-09</w:t>
            </w:r>
          </w:p>
        </w:tc>
        <w:tc>
          <w:tcPr>
            <w:tcW w:w="487" w:type="pct"/>
            <w:tcBorders>
              <w:top w:val="single" w:sz="4" w:space="0" w:color="auto"/>
              <w:left w:val="nil"/>
              <w:bottom w:val="nil"/>
              <w:right w:val="nil"/>
            </w:tcBorders>
            <w:hideMark/>
          </w:tcPr>
          <w:p w14:paraId="101B0B7B"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1.1E-09</w:t>
            </w:r>
          </w:p>
        </w:tc>
      </w:tr>
      <w:tr w:rsidR="00F43D48" w:rsidRPr="00972C81" w14:paraId="6F2CF027" w14:textId="77777777" w:rsidTr="000F593F">
        <w:trPr>
          <w:trHeight w:val="340"/>
        </w:trPr>
        <w:tc>
          <w:tcPr>
            <w:tcW w:w="2087" w:type="pct"/>
            <w:tcBorders>
              <w:top w:val="nil"/>
              <w:left w:val="nil"/>
              <w:bottom w:val="nil"/>
              <w:right w:val="nil"/>
            </w:tcBorders>
            <w:hideMark/>
          </w:tcPr>
          <w:p w14:paraId="66A369BC"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Dioxide</w:t>
            </w:r>
          </w:p>
        </w:tc>
        <w:tc>
          <w:tcPr>
            <w:tcW w:w="485" w:type="pct"/>
            <w:tcBorders>
              <w:top w:val="nil"/>
              <w:left w:val="nil"/>
              <w:bottom w:val="nil"/>
              <w:right w:val="nil"/>
            </w:tcBorders>
            <w:hideMark/>
          </w:tcPr>
          <w:p w14:paraId="261C4AE8"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7.3E-09</w:t>
            </w:r>
          </w:p>
        </w:tc>
        <w:tc>
          <w:tcPr>
            <w:tcW w:w="485" w:type="pct"/>
            <w:tcBorders>
              <w:top w:val="nil"/>
              <w:left w:val="nil"/>
              <w:bottom w:val="nil"/>
              <w:right w:val="nil"/>
            </w:tcBorders>
            <w:hideMark/>
          </w:tcPr>
          <w:p w14:paraId="2672788E"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5.9E-09</w:t>
            </w:r>
          </w:p>
        </w:tc>
        <w:tc>
          <w:tcPr>
            <w:tcW w:w="485" w:type="pct"/>
            <w:tcBorders>
              <w:top w:val="nil"/>
              <w:left w:val="nil"/>
              <w:bottom w:val="nil"/>
              <w:right w:val="nil"/>
            </w:tcBorders>
            <w:hideMark/>
          </w:tcPr>
          <w:p w14:paraId="1087A400"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3.4E-09</w:t>
            </w:r>
          </w:p>
        </w:tc>
        <w:tc>
          <w:tcPr>
            <w:tcW w:w="485" w:type="pct"/>
            <w:tcBorders>
              <w:top w:val="nil"/>
              <w:left w:val="nil"/>
              <w:bottom w:val="nil"/>
              <w:right w:val="nil"/>
            </w:tcBorders>
            <w:hideMark/>
          </w:tcPr>
          <w:p w14:paraId="3EAB4142"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2.2E-09</w:t>
            </w:r>
          </w:p>
        </w:tc>
        <w:tc>
          <w:tcPr>
            <w:tcW w:w="485" w:type="pct"/>
            <w:tcBorders>
              <w:top w:val="nil"/>
              <w:left w:val="nil"/>
              <w:bottom w:val="nil"/>
              <w:right w:val="nil"/>
            </w:tcBorders>
            <w:hideMark/>
          </w:tcPr>
          <w:p w14:paraId="4AF34FBA"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1.7E-09</w:t>
            </w:r>
          </w:p>
        </w:tc>
        <w:tc>
          <w:tcPr>
            <w:tcW w:w="487" w:type="pct"/>
            <w:tcBorders>
              <w:top w:val="nil"/>
              <w:left w:val="nil"/>
              <w:bottom w:val="nil"/>
              <w:right w:val="nil"/>
            </w:tcBorders>
            <w:hideMark/>
          </w:tcPr>
          <w:p w14:paraId="734668BC"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1.7E-09</w:t>
            </w:r>
          </w:p>
        </w:tc>
      </w:tr>
      <w:tr w:rsidR="00F43D48" w:rsidRPr="00972C81" w14:paraId="0934E5BC" w14:textId="77777777" w:rsidTr="000F593F">
        <w:trPr>
          <w:trHeight w:val="340"/>
        </w:trPr>
        <w:tc>
          <w:tcPr>
            <w:tcW w:w="2087" w:type="pct"/>
            <w:tcBorders>
              <w:top w:val="nil"/>
              <w:left w:val="nil"/>
              <w:bottom w:val="nil"/>
              <w:right w:val="nil"/>
            </w:tcBorders>
            <w:hideMark/>
          </w:tcPr>
          <w:p w14:paraId="2A05EBC0" w14:textId="77777777" w:rsidR="00F43D48" w:rsidRPr="00C47F2F" w:rsidRDefault="00F43D48" w:rsidP="000F593F">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4031E7A9"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5.3E-09</w:t>
            </w:r>
          </w:p>
        </w:tc>
        <w:tc>
          <w:tcPr>
            <w:tcW w:w="485" w:type="pct"/>
            <w:tcBorders>
              <w:top w:val="nil"/>
              <w:left w:val="nil"/>
              <w:bottom w:val="nil"/>
              <w:right w:val="nil"/>
            </w:tcBorders>
            <w:hideMark/>
          </w:tcPr>
          <w:p w14:paraId="5591201A"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3.6E-09</w:t>
            </w:r>
          </w:p>
        </w:tc>
        <w:tc>
          <w:tcPr>
            <w:tcW w:w="485" w:type="pct"/>
            <w:tcBorders>
              <w:top w:val="nil"/>
              <w:left w:val="nil"/>
              <w:bottom w:val="nil"/>
              <w:right w:val="nil"/>
            </w:tcBorders>
            <w:hideMark/>
          </w:tcPr>
          <w:p w14:paraId="3B8959E4"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1.5E-09</w:t>
            </w:r>
          </w:p>
        </w:tc>
        <w:tc>
          <w:tcPr>
            <w:tcW w:w="485" w:type="pct"/>
            <w:tcBorders>
              <w:top w:val="nil"/>
              <w:left w:val="nil"/>
              <w:bottom w:val="nil"/>
              <w:right w:val="nil"/>
            </w:tcBorders>
            <w:hideMark/>
          </w:tcPr>
          <w:p w14:paraId="1F4A4E81"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8.1E-10</w:t>
            </w:r>
          </w:p>
        </w:tc>
        <w:tc>
          <w:tcPr>
            <w:tcW w:w="485" w:type="pct"/>
            <w:tcBorders>
              <w:top w:val="nil"/>
              <w:left w:val="nil"/>
              <w:bottom w:val="nil"/>
              <w:right w:val="nil"/>
            </w:tcBorders>
            <w:hideMark/>
          </w:tcPr>
          <w:p w14:paraId="00B27A11"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6.7E-10</w:t>
            </w:r>
          </w:p>
        </w:tc>
        <w:tc>
          <w:tcPr>
            <w:tcW w:w="487" w:type="pct"/>
            <w:tcBorders>
              <w:top w:val="nil"/>
              <w:left w:val="nil"/>
              <w:bottom w:val="nil"/>
              <w:right w:val="nil"/>
            </w:tcBorders>
            <w:hideMark/>
          </w:tcPr>
          <w:p w14:paraId="5A01916D"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5.3E-10</w:t>
            </w:r>
          </w:p>
        </w:tc>
      </w:tr>
      <w:tr w:rsidR="00F43D48" w:rsidRPr="00972C81" w14:paraId="2E959A88" w14:textId="77777777" w:rsidTr="000F593F">
        <w:trPr>
          <w:trHeight w:val="340"/>
        </w:trPr>
        <w:tc>
          <w:tcPr>
            <w:tcW w:w="2087" w:type="pct"/>
            <w:tcBorders>
              <w:top w:val="nil"/>
              <w:left w:val="nil"/>
              <w:bottom w:val="nil"/>
              <w:right w:val="nil"/>
            </w:tcBorders>
            <w:hideMark/>
          </w:tcPr>
          <w:p w14:paraId="4D5E01C9" w14:textId="77777777" w:rsidR="00F43D48" w:rsidRPr="00C47F2F" w:rsidRDefault="00F43D48" w:rsidP="000F593F">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hideMark/>
          </w:tcPr>
          <w:p w14:paraId="2A776778"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6.7E-09</w:t>
            </w:r>
          </w:p>
        </w:tc>
        <w:tc>
          <w:tcPr>
            <w:tcW w:w="485" w:type="pct"/>
            <w:tcBorders>
              <w:top w:val="nil"/>
              <w:left w:val="nil"/>
              <w:bottom w:val="nil"/>
              <w:right w:val="nil"/>
            </w:tcBorders>
            <w:hideMark/>
          </w:tcPr>
          <w:p w14:paraId="41C92C34"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5.2E-09</w:t>
            </w:r>
          </w:p>
        </w:tc>
        <w:tc>
          <w:tcPr>
            <w:tcW w:w="485" w:type="pct"/>
            <w:tcBorders>
              <w:top w:val="nil"/>
              <w:left w:val="nil"/>
              <w:bottom w:val="nil"/>
              <w:right w:val="nil"/>
            </w:tcBorders>
            <w:hideMark/>
          </w:tcPr>
          <w:p w14:paraId="5DB196EA"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2.8E-09</w:t>
            </w:r>
          </w:p>
        </w:tc>
        <w:tc>
          <w:tcPr>
            <w:tcW w:w="485" w:type="pct"/>
            <w:tcBorders>
              <w:top w:val="nil"/>
              <w:left w:val="nil"/>
              <w:bottom w:val="nil"/>
              <w:right w:val="nil"/>
            </w:tcBorders>
            <w:hideMark/>
          </w:tcPr>
          <w:p w14:paraId="00F7688D"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1.8E-09</w:t>
            </w:r>
          </w:p>
        </w:tc>
        <w:tc>
          <w:tcPr>
            <w:tcW w:w="485" w:type="pct"/>
            <w:tcBorders>
              <w:top w:val="nil"/>
              <w:left w:val="nil"/>
              <w:bottom w:val="nil"/>
              <w:right w:val="nil"/>
            </w:tcBorders>
            <w:hideMark/>
          </w:tcPr>
          <w:p w14:paraId="2E729F06"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1.4E-09</w:t>
            </w:r>
          </w:p>
        </w:tc>
        <w:tc>
          <w:tcPr>
            <w:tcW w:w="487" w:type="pct"/>
            <w:tcBorders>
              <w:top w:val="nil"/>
              <w:left w:val="nil"/>
              <w:bottom w:val="nil"/>
              <w:right w:val="nil"/>
            </w:tcBorders>
            <w:hideMark/>
          </w:tcPr>
          <w:p w14:paraId="7E4B6CB0"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1.4E-09</w:t>
            </w:r>
          </w:p>
        </w:tc>
      </w:tr>
      <w:tr w:rsidR="00F43D48" w:rsidRPr="00972C81" w14:paraId="741EE0DF" w14:textId="77777777" w:rsidTr="000F593F">
        <w:trPr>
          <w:trHeight w:val="340"/>
        </w:trPr>
        <w:tc>
          <w:tcPr>
            <w:tcW w:w="2087" w:type="pct"/>
            <w:tcBorders>
              <w:top w:val="nil"/>
              <w:left w:val="nil"/>
              <w:bottom w:val="single" w:sz="4" w:space="0" w:color="auto"/>
              <w:right w:val="nil"/>
            </w:tcBorders>
            <w:hideMark/>
          </w:tcPr>
          <w:p w14:paraId="3C561592" w14:textId="77777777" w:rsidR="00F43D48" w:rsidRPr="00C47F2F" w:rsidRDefault="00F43D48" w:rsidP="000F593F">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485" w:type="pct"/>
            <w:tcBorders>
              <w:top w:val="nil"/>
              <w:left w:val="nil"/>
              <w:bottom w:val="single" w:sz="4" w:space="0" w:color="auto"/>
              <w:right w:val="nil"/>
            </w:tcBorders>
            <w:hideMark/>
          </w:tcPr>
          <w:p w14:paraId="4D86446D"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7.4E-09</w:t>
            </w:r>
          </w:p>
        </w:tc>
        <w:tc>
          <w:tcPr>
            <w:tcW w:w="485" w:type="pct"/>
            <w:tcBorders>
              <w:top w:val="nil"/>
              <w:left w:val="nil"/>
              <w:bottom w:val="single" w:sz="4" w:space="0" w:color="auto"/>
              <w:right w:val="nil"/>
            </w:tcBorders>
            <w:hideMark/>
          </w:tcPr>
          <w:p w14:paraId="32FBE0E4"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6.0E-09</w:t>
            </w:r>
          </w:p>
        </w:tc>
        <w:tc>
          <w:tcPr>
            <w:tcW w:w="485" w:type="pct"/>
            <w:tcBorders>
              <w:top w:val="nil"/>
              <w:left w:val="nil"/>
              <w:bottom w:val="single" w:sz="4" w:space="0" w:color="auto"/>
              <w:right w:val="nil"/>
            </w:tcBorders>
            <w:hideMark/>
          </w:tcPr>
          <w:p w14:paraId="03EF55C3"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3.4E-09</w:t>
            </w:r>
          </w:p>
        </w:tc>
        <w:tc>
          <w:tcPr>
            <w:tcW w:w="485" w:type="pct"/>
            <w:tcBorders>
              <w:top w:val="nil"/>
              <w:left w:val="nil"/>
              <w:bottom w:val="single" w:sz="4" w:space="0" w:color="auto"/>
              <w:right w:val="nil"/>
            </w:tcBorders>
            <w:hideMark/>
          </w:tcPr>
          <w:p w14:paraId="0FB9BF88"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2.3E-09</w:t>
            </w:r>
          </w:p>
        </w:tc>
        <w:tc>
          <w:tcPr>
            <w:tcW w:w="485" w:type="pct"/>
            <w:tcBorders>
              <w:top w:val="nil"/>
              <w:left w:val="nil"/>
              <w:bottom w:val="single" w:sz="4" w:space="0" w:color="auto"/>
              <w:right w:val="nil"/>
            </w:tcBorders>
            <w:hideMark/>
          </w:tcPr>
          <w:p w14:paraId="63F585E4"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1.8E-09</w:t>
            </w:r>
          </w:p>
        </w:tc>
        <w:tc>
          <w:tcPr>
            <w:tcW w:w="487" w:type="pct"/>
            <w:tcBorders>
              <w:top w:val="nil"/>
              <w:left w:val="nil"/>
              <w:bottom w:val="single" w:sz="4" w:space="0" w:color="auto"/>
              <w:right w:val="nil"/>
            </w:tcBorders>
            <w:hideMark/>
          </w:tcPr>
          <w:p w14:paraId="5D1E7297"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1.7E-09</w:t>
            </w:r>
          </w:p>
        </w:tc>
      </w:tr>
      <w:tr w:rsidR="00F43D48" w:rsidRPr="00972C81" w14:paraId="71D6FD72" w14:textId="77777777" w:rsidTr="000F593F">
        <w:trPr>
          <w:trHeight w:val="340"/>
        </w:trPr>
        <w:tc>
          <w:tcPr>
            <w:tcW w:w="2087" w:type="pct"/>
            <w:tcBorders>
              <w:top w:val="single" w:sz="4" w:space="0" w:color="auto"/>
              <w:left w:val="nil"/>
              <w:bottom w:val="single" w:sz="4" w:space="0" w:color="auto"/>
              <w:right w:val="nil"/>
            </w:tcBorders>
          </w:tcPr>
          <w:p w14:paraId="5FA5B8EE" w14:textId="77777777" w:rsidR="00F43D48" w:rsidRPr="00C47F2F" w:rsidRDefault="00F43D48" w:rsidP="00C47F2F">
            <w:pPr>
              <w:jc w:val="left"/>
              <w:rPr>
                <w:rFonts w:eastAsiaTheme="minorHAnsi"/>
                <w:noProof/>
                <w:sz w:val="22"/>
                <w:szCs w:val="22"/>
              </w:rPr>
            </w:pPr>
          </w:p>
          <w:p w14:paraId="73B46E48" w14:textId="77777777" w:rsidR="00F43D48" w:rsidRPr="00C47F2F" w:rsidRDefault="00F43D48"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6BF7A89B"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170C243E"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7D72196"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233040C6" w14:textId="77777777" w:rsidR="00F43D48" w:rsidRPr="00C47F2F" w:rsidRDefault="00F43D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0D31B823" w14:textId="77777777" w:rsidR="00F43D48" w:rsidRPr="00C47F2F" w:rsidRDefault="00F43D48" w:rsidP="00C47F2F">
            <w:pPr>
              <w:jc w:val="left"/>
              <w:rPr>
                <w:rFonts w:eastAsia="Times New Roman"/>
                <w:noProof/>
                <w:color w:val="000000"/>
                <w:sz w:val="22"/>
                <w:szCs w:val="22"/>
              </w:rPr>
            </w:pPr>
          </w:p>
        </w:tc>
        <w:tc>
          <w:tcPr>
            <w:tcW w:w="487" w:type="pct"/>
            <w:tcBorders>
              <w:top w:val="single" w:sz="4" w:space="0" w:color="auto"/>
              <w:left w:val="nil"/>
              <w:bottom w:val="single" w:sz="4" w:space="0" w:color="auto"/>
              <w:right w:val="nil"/>
            </w:tcBorders>
          </w:tcPr>
          <w:p w14:paraId="4771BFC7" w14:textId="77777777" w:rsidR="00F43D48" w:rsidRPr="00C47F2F" w:rsidRDefault="00F43D48" w:rsidP="00C47F2F">
            <w:pPr>
              <w:jc w:val="left"/>
              <w:rPr>
                <w:rFonts w:eastAsia="Times New Roman"/>
                <w:noProof/>
                <w:color w:val="000000"/>
                <w:sz w:val="22"/>
                <w:szCs w:val="22"/>
              </w:rPr>
            </w:pPr>
          </w:p>
        </w:tc>
      </w:tr>
      <w:tr w:rsidR="00F43D48" w:rsidRPr="00972C81" w14:paraId="5C67A0D4" w14:textId="77777777" w:rsidTr="000F593F">
        <w:trPr>
          <w:trHeight w:val="340"/>
        </w:trPr>
        <w:tc>
          <w:tcPr>
            <w:tcW w:w="2087" w:type="pct"/>
            <w:tcBorders>
              <w:top w:val="single" w:sz="4" w:space="0" w:color="auto"/>
              <w:left w:val="nil"/>
              <w:bottom w:val="single" w:sz="4" w:space="0" w:color="auto"/>
              <w:right w:val="nil"/>
            </w:tcBorders>
            <w:vAlign w:val="center"/>
            <w:hideMark/>
          </w:tcPr>
          <w:p w14:paraId="5FC5FB8B" w14:textId="77777777" w:rsidR="00F43D48" w:rsidRPr="00C47F2F" w:rsidRDefault="00F43D48" w:rsidP="000F593F">
            <w:pPr>
              <w:jc w:val="left"/>
              <w:rPr>
                <w:rFonts w:eastAsiaTheme="minorHAnsi"/>
                <w:noProof/>
                <w:sz w:val="22"/>
                <w:szCs w:val="22"/>
              </w:rPr>
            </w:pPr>
            <w:r w:rsidRPr="00C47F2F">
              <w:rPr>
                <w:rFonts w:eastAsia="Times New Roman"/>
                <w:noProof/>
                <w:color w:val="000000"/>
                <w:sz w:val="22"/>
                <w:szCs w:val="22"/>
                <w:lang w:eastAsia="en-GB"/>
              </w:rPr>
              <w:t>All compounds</w:t>
            </w:r>
          </w:p>
        </w:tc>
        <w:tc>
          <w:tcPr>
            <w:tcW w:w="485" w:type="pct"/>
            <w:tcBorders>
              <w:top w:val="single" w:sz="4" w:space="0" w:color="auto"/>
              <w:left w:val="nil"/>
              <w:bottom w:val="single" w:sz="4" w:space="0" w:color="auto"/>
              <w:right w:val="nil"/>
            </w:tcBorders>
            <w:vAlign w:val="center"/>
            <w:hideMark/>
          </w:tcPr>
          <w:p w14:paraId="494FEA86"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8.4E-10</w:t>
            </w:r>
          </w:p>
        </w:tc>
        <w:tc>
          <w:tcPr>
            <w:tcW w:w="485" w:type="pct"/>
            <w:tcBorders>
              <w:top w:val="single" w:sz="4" w:space="0" w:color="auto"/>
              <w:left w:val="nil"/>
              <w:bottom w:val="single" w:sz="4" w:space="0" w:color="auto"/>
              <w:right w:val="nil"/>
            </w:tcBorders>
            <w:vAlign w:val="center"/>
            <w:hideMark/>
          </w:tcPr>
          <w:p w14:paraId="19E4E728"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6.2E-10</w:t>
            </w:r>
          </w:p>
        </w:tc>
        <w:tc>
          <w:tcPr>
            <w:tcW w:w="485" w:type="pct"/>
            <w:tcBorders>
              <w:top w:val="single" w:sz="4" w:space="0" w:color="auto"/>
              <w:left w:val="nil"/>
              <w:bottom w:val="single" w:sz="4" w:space="0" w:color="auto"/>
              <w:right w:val="nil"/>
            </w:tcBorders>
            <w:vAlign w:val="center"/>
            <w:hideMark/>
          </w:tcPr>
          <w:p w14:paraId="7D84A027"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3.5E-10</w:t>
            </w:r>
          </w:p>
        </w:tc>
        <w:tc>
          <w:tcPr>
            <w:tcW w:w="485" w:type="pct"/>
            <w:tcBorders>
              <w:top w:val="single" w:sz="4" w:space="0" w:color="auto"/>
              <w:left w:val="nil"/>
              <w:bottom w:val="single" w:sz="4" w:space="0" w:color="auto"/>
              <w:right w:val="nil"/>
            </w:tcBorders>
            <w:vAlign w:val="center"/>
            <w:hideMark/>
          </w:tcPr>
          <w:p w14:paraId="6400E1F7"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2.5E-10</w:t>
            </w:r>
          </w:p>
        </w:tc>
        <w:tc>
          <w:tcPr>
            <w:tcW w:w="485" w:type="pct"/>
            <w:tcBorders>
              <w:top w:val="single" w:sz="4" w:space="0" w:color="auto"/>
              <w:left w:val="nil"/>
              <w:bottom w:val="single" w:sz="4" w:space="0" w:color="auto"/>
              <w:right w:val="nil"/>
            </w:tcBorders>
            <w:vAlign w:val="center"/>
            <w:hideMark/>
          </w:tcPr>
          <w:p w14:paraId="10E9ACDB"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1.7E-10</w:t>
            </w:r>
          </w:p>
        </w:tc>
        <w:tc>
          <w:tcPr>
            <w:tcW w:w="487" w:type="pct"/>
            <w:tcBorders>
              <w:top w:val="single" w:sz="4" w:space="0" w:color="auto"/>
              <w:left w:val="nil"/>
              <w:bottom w:val="single" w:sz="4" w:space="0" w:color="auto"/>
              <w:right w:val="nil"/>
            </w:tcBorders>
            <w:vAlign w:val="center"/>
            <w:hideMark/>
          </w:tcPr>
          <w:p w14:paraId="6F990527" w14:textId="77777777" w:rsidR="00F43D48" w:rsidRPr="00C47F2F" w:rsidRDefault="00F43D48" w:rsidP="000F593F">
            <w:pPr>
              <w:jc w:val="left"/>
              <w:rPr>
                <w:rFonts w:eastAsia="Times New Roman"/>
                <w:noProof/>
                <w:color w:val="000000"/>
                <w:sz w:val="22"/>
                <w:szCs w:val="22"/>
              </w:rPr>
            </w:pPr>
            <w:r w:rsidRPr="00C47F2F">
              <w:rPr>
                <w:rFonts w:eastAsia="Times New Roman"/>
                <w:noProof/>
                <w:color w:val="000000"/>
                <w:sz w:val="22"/>
                <w:szCs w:val="22"/>
              </w:rPr>
              <w:t>1.7E-10</w:t>
            </w:r>
          </w:p>
        </w:tc>
      </w:tr>
    </w:tbl>
    <w:p w14:paraId="3DB9386E" w14:textId="3BBE8D49" w:rsidR="00663AC5" w:rsidRPr="00972C81" w:rsidRDefault="00663AC5">
      <w:pPr>
        <w:widowControl/>
        <w:jc w:val="left"/>
        <w:rPr>
          <w:noProof/>
        </w:rPr>
      </w:pPr>
      <w:r w:rsidRPr="00972C81">
        <w:rPr>
          <w:noProof/>
        </w:rPr>
        <w:br w:type="page"/>
      </w:r>
    </w:p>
    <w:p w14:paraId="13B57B07" w14:textId="2DF55CC4" w:rsidR="007D1F4D" w:rsidRPr="00972C81" w:rsidRDefault="00DC407D" w:rsidP="00E81109">
      <w:pPr>
        <w:pStyle w:val="1"/>
        <w:rPr>
          <w:noProof/>
        </w:rPr>
      </w:pPr>
      <w:bookmarkStart w:id="220" w:name="_Toc455492640"/>
      <w:bookmarkStart w:id="221" w:name="_Toc455493069"/>
      <w:bookmarkStart w:id="222" w:name="_Toc162630067"/>
      <w:r w:rsidRPr="00972C81">
        <w:rPr>
          <w:noProof/>
        </w:rPr>
        <w:lastRenderedPageBreak/>
        <w:t>Lutetium (Z = 71)</w:t>
      </w:r>
      <w:bookmarkEnd w:id="220"/>
      <w:bookmarkEnd w:id="221"/>
      <w:bookmarkEnd w:id="222"/>
    </w:p>
    <w:p w14:paraId="3396C777" w14:textId="28762662" w:rsidR="000B33B9" w:rsidRPr="00972C81" w:rsidRDefault="00DC407D" w:rsidP="00E81109">
      <w:pPr>
        <w:pStyle w:val="2"/>
        <w:rPr>
          <w:noProof/>
          <w:lang w:val="en-GB"/>
        </w:rPr>
      </w:pPr>
      <w:bookmarkStart w:id="223" w:name="_Toc17467885"/>
      <w:bookmarkStart w:id="224" w:name="_Toc455492642"/>
      <w:bookmarkStart w:id="225" w:name="_Toc455493071"/>
      <w:bookmarkStart w:id="226" w:name="_Toc162630068"/>
      <w:bookmarkEnd w:id="223"/>
      <w:r w:rsidRPr="00972C81">
        <w:rPr>
          <w:noProof/>
          <w:lang w:val="en-GB"/>
        </w:rPr>
        <w:t>Routes of Intake</w:t>
      </w:r>
      <w:bookmarkEnd w:id="224"/>
      <w:bookmarkEnd w:id="225"/>
      <w:bookmarkEnd w:id="226"/>
    </w:p>
    <w:p w14:paraId="4B601A09" w14:textId="77777777" w:rsidR="000B33B9" w:rsidRPr="00972C81" w:rsidRDefault="00DC407D" w:rsidP="00E81109">
      <w:pPr>
        <w:pStyle w:val="3"/>
        <w:rPr>
          <w:noProof/>
        </w:rPr>
      </w:pPr>
      <w:bookmarkStart w:id="227" w:name="_Toc162630069"/>
      <w:r w:rsidRPr="00972C81">
        <w:rPr>
          <w:noProof/>
        </w:rPr>
        <w:t>Inhalation</w:t>
      </w:r>
      <w:bookmarkEnd w:id="227"/>
    </w:p>
    <w:p w14:paraId="10F965CA" w14:textId="732D6D16" w:rsidR="007D1F4D" w:rsidRPr="00972C81" w:rsidRDefault="000B33B9" w:rsidP="001C4A92">
      <w:pPr>
        <w:pStyle w:val="Annalstext"/>
        <w:rPr>
          <w:noProof/>
        </w:rPr>
      </w:pPr>
      <w:r w:rsidRPr="00972C81">
        <w:rPr>
          <w:noProof/>
        </w:rPr>
        <w:t xml:space="preserve">No reports of experimental studies of lutetium were found. </w:t>
      </w:r>
      <w:r w:rsidR="002D2935" w:rsidRPr="00972C81">
        <w:rPr>
          <w:noProof/>
        </w:rPr>
        <w:t>A</w:t>
      </w:r>
      <w:r w:rsidRPr="00972C81">
        <w:rPr>
          <w:noProof/>
        </w:rPr>
        <w:t xml:space="preserve">bsorption parameter values based on cerium are applied in this document to the other lanthanides. Absorption parameter values and Types, and associated </w:t>
      </w:r>
      <w:r w:rsidRPr="00972C81">
        <w:rPr>
          <w:i/>
          <w:noProof/>
        </w:rPr>
        <w:t>f</w:t>
      </w:r>
      <w:r w:rsidRPr="00972C81">
        <w:rPr>
          <w:noProof/>
          <w:vertAlign w:val="subscript"/>
        </w:rPr>
        <w:t>A</w:t>
      </w:r>
      <w:r w:rsidRPr="00972C81">
        <w:rPr>
          <w:noProof/>
        </w:rPr>
        <w:t xml:space="preserve"> values for particulate forms of lanthanides, including lutetium, are given in </w:t>
      </w:r>
      <w:r w:rsidR="00B94D6D" w:rsidRPr="00972C81">
        <w:rPr>
          <w:noProof/>
        </w:rPr>
        <w:fldChar w:fldCharType="begin"/>
      </w:r>
      <w:r w:rsidR="00B94D6D" w:rsidRPr="00972C81">
        <w:rPr>
          <w:noProof/>
        </w:rPr>
        <w:instrText xml:space="preserve"> REF _Ref417994983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1</w:t>
      </w:r>
      <w:r w:rsidR="00B94D6D" w:rsidRPr="00972C81">
        <w:rPr>
          <w:noProof/>
        </w:rPr>
        <w:fldChar w:fldCharType="end"/>
      </w:r>
      <w:r w:rsidR="00B94D6D" w:rsidRPr="00972C81">
        <w:rPr>
          <w:noProof/>
        </w:rPr>
        <w:t xml:space="preserve"> and </w:t>
      </w:r>
      <w:r w:rsidR="00B94D6D" w:rsidRPr="00972C81">
        <w:rPr>
          <w:noProof/>
        </w:rPr>
        <w:fldChar w:fldCharType="begin"/>
      </w:r>
      <w:r w:rsidR="00B94D6D" w:rsidRPr="00972C81">
        <w:rPr>
          <w:noProof/>
        </w:rPr>
        <w:instrText xml:space="preserve"> REF _Ref141784472 </w:instrText>
      </w:r>
      <w:r w:rsidR="00B94D6D" w:rsidRPr="00972C81">
        <w:rPr>
          <w:noProof/>
        </w:rPr>
        <w:fldChar w:fldCharType="separate"/>
      </w:r>
      <w:r w:rsidR="00A41AD1" w:rsidRPr="00972C81">
        <w:rPr>
          <w:noProof/>
        </w:rPr>
        <w:t xml:space="preserve">Table </w:t>
      </w:r>
      <w:r w:rsidR="00A41AD1">
        <w:rPr>
          <w:noProof/>
        </w:rPr>
        <w:t>2</w:t>
      </w:r>
      <w:r w:rsidR="00A41AD1" w:rsidRPr="00972C81">
        <w:rPr>
          <w:noProof/>
        </w:rPr>
        <w:t>.</w:t>
      </w:r>
      <w:r w:rsidR="00A41AD1">
        <w:rPr>
          <w:noProof/>
        </w:rPr>
        <w:t>2</w:t>
      </w:r>
      <w:r w:rsidR="00B94D6D" w:rsidRPr="00972C81">
        <w:rPr>
          <w:noProof/>
        </w:rPr>
        <w:fldChar w:fldCharType="end"/>
      </w:r>
      <w:r w:rsidR="00B94D6D" w:rsidRPr="00972C81">
        <w:rPr>
          <w:noProof/>
        </w:rPr>
        <w:t xml:space="preserve"> </w:t>
      </w:r>
      <w:r w:rsidRPr="00972C81">
        <w:rPr>
          <w:noProof/>
        </w:rPr>
        <w:t xml:space="preserve">of the </w:t>
      </w:r>
      <w:r w:rsidR="002D2935" w:rsidRPr="00972C81">
        <w:rPr>
          <w:noProof/>
        </w:rPr>
        <w:t>lanthanum S</w:t>
      </w:r>
      <w:r w:rsidRPr="00972C81">
        <w:rPr>
          <w:noProof/>
        </w:rPr>
        <w:t>ection.</w:t>
      </w:r>
    </w:p>
    <w:p w14:paraId="29544A96" w14:textId="77777777" w:rsidR="000B33B9" w:rsidRPr="00972C81" w:rsidRDefault="00DC407D" w:rsidP="00E81109">
      <w:pPr>
        <w:pStyle w:val="3"/>
        <w:rPr>
          <w:noProof/>
        </w:rPr>
      </w:pPr>
      <w:bookmarkStart w:id="228" w:name="_Toc162630070"/>
      <w:r w:rsidRPr="00972C81">
        <w:rPr>
          <w:noProof/>
        </w:rPr>
        <w:t>Ingestion</w:t>
      </w:r>
      <w:bookmarkEnd w:id="228"/>
    </w:p>
    <w:p w14:paraId="21BE2939" w14:textId="3BCC2D16" w:rsidR="00F249F6" w:rsidRPr="00972C81" w:rsidRDefault="00F249F6" w:rsidP="001C4A92">
      <w:pPr>
        <w:pStyle w:val="Annalstext"/>
        <w:rPr>
          <w:noProof/>
        </w:rPr>
      </w:pPr>
      <w:r w:rsidRPr="00972C81">
        <w:rPr>
          <w:i/>
          <w:noProof/>
        </w:rPr>
        <w:t>Adults</w:t>
      </w:r>
      <w:r w:rsidRPr="00972C81">
        <w:rPr>
          <w:noProof/>
        </w:rPr>
        <w:t xml:space="preserve">. In Section 2 of </w:t>
      </w:r>
      <w:r w:rsidR="008278DA" w:rsidRPr="00972C81">
        <w:rPr>
          <w:i/>
          <w:noProof/>
        </w:rPr>
        <w:t>Publication 141</w:t>
      </w:r>
      <w:r w:rsidR="008278DA" w:rsidRPr="00972C81">
        <w:rPr>
          <w:noProof/>
        </w:rPr>
        <w:t xml:space="preserve"> </w:t>
      </w:r>
      <w:r w:rsidR="00B407C3" w:rsidRPr="00972C81">
        <w:rPr>
          <w:noProof/>
        </w:rPr>
        <w:fldChar w:fldCharType="begin"/>
      </w:r>
      <w:r w:rsidR="00B407C3" w:rsidRPr="00972C81">
        <w:rPr>
          <w:noProof/>
        </w:rPr>
        <w:instrText xml:space="preserve"> ADDIN ZOTERO_ITEM CSL_CITATION {"citationID":"YAXMoait","properties":{"formattedCitation":"(ICRP,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B407C3" w:rsidRPr="00972C81">
        <w:rPr>
          <w:noProof/>
        </w:rPr>
        <w:fldChar w:fldCharType="separate"/>
      </w:r>
      <w:r w:rsidR="00BC59C6" w:rsidRPr="00972C81">
        <w:rPr>
          <w:noProof/>
        </w:rPr>
        <w:t>(ICRP, 2019)</w:t>
      </w:r>
      <w:r w:rsidR="00B407C3" w:rsidRPr="00972C81">
        <w:rPr>
          <w:noProof/>
        </w:rPr>
        <w:fldChar w:fldCharType="end"/>
      </w:r>
      <w:r w:rsidR="008278DA" w:rsidRPr="00972C81">
        <w:rPr>
          <w:noProof/>
        </w:rPr>
        <w:t xml:space="preserve">, </w:t>
      </w:r>
      <w:r w:rsidRPr="00972C81">
        <w:rPr>
          <w:noProof/>
        </w:rPr>
        <w:t>information relating to the gastrointestinal absorption of different lanthanide elements was compared. Their fractional absorption was found to be below 10</w:t>
      </w:r>
      <w:r w:rsidRPr="00972C81">
        <w:rPr>
          <w:noProof/>
          <w:vertAlign w:val="superscript"/>
        </w:rPr>
        <w:t>-3</w:t>
      </w:r>
      <w:r w:rsidRPr="00972C81">
        <w:rPr>
          <w:noProof/>
        </w:rPr>
        <w:t xml:space="preserve"> in most cases and a </w:t>
      </w:r>
      <w:r w:rsidRPr="00972C81">
        <w:rPr>
          <w:i/>
          <w:noProof/>
        </w:rPr>
        <w:t>f</w:t>
      </w:r>
      <w:r w:rsidRPr="00972C81">
        <w:rPr>
          <w:noProof/>
          <w:vertAlign w:val="subscript"/>
        </w:rPr>
        <w:t>A</w:t>
      </w:r>
      <w:r w:rsidRPr="00972C81">
        <w:rPr>
          <w:noProof/>
        </w:rPr>
        <w:t xml:space="preserve"> value 5</w:t>
      </w:r>
      <w:r w:rsidR="00067025" w:rsidRPr="00972C81">
        <w:rPr>
          <w:noProof/>
        </w:rPr>
        <w:t xml:space="preserve"> × </w:t>
      </w:r>
      <w:r w:rsidRPr="00972C81">
        <w:rPr>
          <w:noProof/>
        </w:rPr>
        <w:t>10</w:t>
      </w:r>
      <w:r w:rsidRPr="00972C81">
        <w:rPr>
          <w:noProof/>
          <w:vertAlign w:val="superscript"/>
        </w:rPr>
        <w:t>–4</w:t>
      </w:r>
      <w:r w:rsidRPr="00972C81">
        <w:rPr>
          <w:noProof/>
        </w:rPr>
        <w:t xml:space="preserve"> was adopted for all lanthanides as a reasonably representative value based on experimental results. The value of </w:t>
      </w:r>
      <w:r w:rsidRPr="00972C81">
        <w:rPr>
          <w:i/>
          <w:noProof/>
        </w:rPr>
        <w:t>f</w:t>
      </w:r>
      <w:r w:rsidRPr="00972C81">
        <w:rPr>
          <w:noProof/>
          <w:vertAlign w:val="subscript"/>
        </w:rPr>
        <w:t>A</w:t>
      </w:r>
      <w:r w:rsidRPr="00972C81">
        <w:rPr>
          <w:noProof/>
        </w:rPr>
        <w:t xml:space="preserve"> = 5</w:t>
      </w:r>
      <w:r w:rsidR="00067025" w:rsidRPr="00972C81">
        <w:rPr>
          <w:noProof/>
        </w:rPr>
        <w:t xml:space="preserve"> × </w:t>
      </w:r>
      <w:r w:rsidRPr="00972C81">
        <w:rPr>
          <w:noProof/>
        </w:rPr>
        <w:t>10</w:t>
      </w:r>
      <w:r w:rsidRPr="00972C81">
        <w:rPr>
          <w:noProof/>
          <w:vertAlign w:val="superscript"/>
        </w:rPr>
        <w:t>–4</w:t>
      </w:r>
      <w:r w:rsidRPr="00972C81">
        <w:rPr>
          <w:noProof/>
        </w:rPr>
        <w:t xml:space="preserve"> is therefore used here for intakes of </w:t>
      </w:r>
      <w:r w:rsidRPr="00972C81">
        <w:rPr>
          <w:noProof/>
          <w:color w:val="000000" w:themeColor="text1"/>
          <w:szCs w:val="24"/>
        </w:rPr>
        <w:t>lutetium</w:t>
      </w:r>
      <w:r w:rsidRPr="00972C81">
        <w:rPr>
          <w:noProof/>
        </w:rPr>
        <w:t xml:space="preserve"> by adult members of the public.</w:t>
      </w:r>
    </w:p>
    <w:p w14:paraId="129293C0" w14:textId="1A63B3CB" w:rsidR="00F249F6" w:rsidRPr="00972C81" w:rsidRDefault="00F249F6" w:rsidP="001C4A92">
      <w:pPr>
        <w:pStyle w:val="Annalstext"/>
        <w:rPr>
          <w:noProof/>
        </w:rPr>
      </w:pPr>
      <w:r w:rsidRPr="00972C81">
        <w:rPr>
          <w:i/>
          <w:noProof/>
        </w:rPr>
        <w:t>Children</w:t>
      </w:r>
      <w:r w:rsidRPr="00972C81">
        <w:rPr>
          <w:noProof/>
        </w:rPr>
        <w:t xml:space="preserve">. The age-dependency of </w:t>
      </w:r>
      <w:r w:rsidRPr="00972C81">
        <w:rPr>
          <w:noProof/>
          <w:color w:val="000000" w:themeColor="text1"/>
          <w:szCs w:val="24"/>
        </w:rPr>
        <w:t>lutetium</w:t>
      </w:r>
      <w:r w:rsidRPr="00972C81">
        <w:rPr>
          <w:noProof/>
        </w:rPr>
        <w:t xml:space="preserve"> absorption was not observed. On the basis of the chemical analogy with cerium, the same values of </w:t>
      </w:r>
      <w:r w:rsidRPr="00972C81">
        <w:rPr>
          <w:i/>
          <w:noProof/>
        </w:rPr>
        <w:t>f</w:t>
      </w:r>
      <w:r w:rsidRPr="00972C81">
        <w:rPr>
          <w:noProof/>
          <w:vertAlign w:val="subscript"/>
        </w:rPr>
        <w:t>A</w:t>
      </w:r>
      <w:r w:rsidRPr="00972C81">
        <w:rPr>
          <w:noProof/>
        </w:rPr>
        <w:t xml:space="preserve"> = 5</w:t>
      </w:r>
      <w:r w:rsidR="00067025" w:rsidRPr="00972C81">
        <w:rPr>
          <w:noProof/>
        </w:rPr>
        <w:t xml:space="preserve"> × </w:t>
      </w:r>
      <w:r w:rsidRPr="00972C81">
        <w:rPr>
          <w:noProof/>
        </w:rPr>
        <w:t>10</w:t>
      </w:r>
      <w:r w:rsidRPr="00972C81">
        <w:rPr>
          <w:noProof/>
          <w:vertAlign w:val="superscript"/>
        </w:rPr>
        <w:t>-3</w:t>
      </w:r>
      <w:r w:rsidRPr="00972C81">
        <w:rPr>
          <w:noProof/>
        </w:rPr>
        <w:t xml:space="preserve"> for 3-month-old infants and 5</w:t>
      </w:r>
      <w:r w:rsidR="00067025" w:rsidRPr="00972C81">
        <w:rPr>
          <w:noProof/>
        </w:rPr>
        <w:t xml:space="preserve"> × </w:t>
      </w:r>
      <w:r w:rsidRPr="00972C81">
        <w:rPr>
          <w:noProof/>
        </w:rPr>
        <w:t>10</w:t>
      </w:r>
      <w:r w:rsidRPr="00972C81">
        <w:rPr>
          <w:noProof/>
          <w:vertAlign w:val="superscript"/>
        </w:rPr>
        <w:t>-4</w:t>
      </w:r>
      <w:r w:rsidRPr="00972C81">
        <w:rPr>
          <w:noProof/>
        </w:rPr>
        <w:t xml:space="preserve"> for children of 1 year and older are adopted here for </w:t>
      </w:r>
      <w:r w:rsidRPr="00972C81">
        <w:rPr>
          <w:noProof/>
          <w:color w:val="000000" w:themeColor="text1"/>
          <w:szCs w:val="24"/>
        </w:rPr>
        <w:t>lutetium</w:t>
      </w:r>
      <w:r w:rsidRPr="00972C81">
        <w:rPr>
          <w:noProof/>
        </w:rPr>
        <w:t>.</w:t>
      </w:r>
    </w:p>
    <w:p w14:paraId="4F38F111" w14:textId="77777777" w:rsidR="00AE7A83" w:rsidRPr="00972C81" w:rsidRDefault="00AE7A83" w:rsidP="006F56F9">
      <w:pPr>
        <w:pStyle w:val="3"/>
        <w:rPr>
          <w:noProof/>
        </w:rPr>
      </w:pPr>
      <w:bookmarkStart w:id="229" w:name="_Toc162630071"/>
      <w:r w:rsidRPr="00972C81">
        <w:rPr>
          <w:noProof/>
        </w:rPr>
        <w:t>Systemic Distribution, Retention and Excretion</w:t>
      </w:r>
      <w:bookmarkEnd w:id="229"/>
    </w:p>
    <w:p w14:paraId="2BE4720A" w14:textId="77777777" w:rsidR="0073572D" w:rsidRPr="00972C81" w:rsidRDefault="0073572D" w:rsidP="006703A2">
      <w:pPr>
        <w:pStyle w:val="OIRTitre4"/>
      </w:pPr>
      <w:r w:rsidRPr="00972C81">
        <w:t>Summary of biokinetic data</w:t>
      </w:r>
    </w:p>
    <w:p w14:paraId="75F7A845" w14:textId="30BEC93F" w:rsidR="0073572D" w:rsidRPr="00972C81" w:rsidRDefault="0073572D" w:rsidP="001C4A92">
      <w:pPr>
        <w:pStyle w:val="Annalstext"/>
        <w:rPr>
          <w:noProof/>
        </w:rPr>
      </w:pPr>
      <w:r w:rsidRPr="00972C81">
        <w:rPr>
          <w:noProof/>
        </w:rPr>
        <w:t>The lanthanides terbium, dysprosium, holmium, erbium, thulium, ytterbium, and lutetium showed similar biokinetics in rats</w:t>
      </w:r>
      <w:r w:rsidR="00B407C3" w:rsidRPr="00972C81">
        <w:rPr>
          <w:noProof/>
        </w:rPr>
        <w:t xml:space="preserve"> </w:t>
      </w:r>
      <w:r w:rsidR="00B407C3" w:rsidRPr="00972C81">
        <w:rPr>
          <w:noProof/>
        </w:rPr>
        <w:fldChar w:fldCharType="begin"/>
      </w:r>
      <w:r w:rsidR="00612860" w:rsidRPr="00972C81">
        <w:rPr>
          <w:noProof/>
        </w:rPr>
        <w:instrText xml:space="preserve"> ADDIN ZOTERO_ITEM CSL_CITATION {"citationID":"mq5UjcHJ","properties":{"formattedCitation":"(Ando et al., 1989; Durbin, 1959, 1962; Moskalev et al., 1974)","plainCitation":"(Ando et al., 1989; Durbin, 1959, 1962; Moskalev et al., 1974)","noteIndex":0},"citationItems":[{"id":2345,"uris":["http://zotero.org/groups/2470620/items/G9C65MS5"],"itemData":{"id":2345,"type":"article-journal","archive":"Scopus","container-title":"International Journal of Radiation Applications and Instrumentation.","DOI":"10.1016/0883-2897(89)90216-X","issue":"1","page":"57-80","title":"Relation between the location of elements in the periodic table and various organ-uptake rates","volume":"16","author":[{"family":"Ando","given":"A."},{"family":"Ando","given":"I."},{"family":"Hiraki","given":"T."},{"family":"Hisada","given":"K."}],"issued":{"date-parts":[["1989"]]}}},{"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mammals","volume":"8","author":[{"family":"Durbin","given":"P.W."}],"issued":{"date-parts":[["1962"]]}}},{"id":4757,"uris":["http://zotero.org/groups/2470620/items/GPRMH38F"],"itemData":{"id":4757,"type":"chapter","container-title":"Biological Effects of Radiation from External and Internal Sources. Translated in U.S. Atomic Energy Commission Document AEC-tr-7457","event-place":"Moscow, Russia","publisher":"Medistina","publisher-place":"Moscow, Russia","source":"Google Scholar","title":"Distinctions of distribution in the organism of radioactive isotopes of lanthanide elements","author":[{"family":"Moskalev","given":"Yu I."},{"family":"Zalikin","given":"G. A."},{"family":"Stepanov","given":"V. S."}],"issued":{"date-parts":[["1974"]]}}}],"schema":"https://github.com/citation-style-language/schema/raw/master/csl-citation.json"} </w:instrText>
      </w:r>
      <w:r w:rsidR="00B407C3" w:rsidRPr="00972C81">
        <w:rPr>
          <w:noProof/>
        </w:rPr>
        <w:fldChar w:fldCharType="separate"/>
      </w:r>
      <w:r w:rsidR="00BC59C6" w:rsidRPr="00972C81">
        <w:rPr>
          <w:noProof/>
        </w:rPr>
        <w:t>(Ando et al., 1989; Durbin, 1959, 1962; Moskalev et al., 1974)</w:t>
      </w:r>
      <w:r w:rsidR="00B407C3" w:rsidRPr="00972C81">
        <w:rPr>
          <w:noProof/>
        </w:rPr>
        <w:fldChar w:fldCharType="end"/>
      </w:r>
      <w:r w:rsidRPr="00972C81">
        <w:rPr>
          <w:noProof/>
        </w:rPr>
        <w:t>. At 4 d after intramuscular injection, about 60% of the activity entering blood was contained in bone, and 1</w:t>
      </w:r>
      <w:r w:rsidR="00173589" w:rsidRPr="00972C81">
        <w:rPr>
          <w:noProof/>
        </w:rPr>
        <w:t>–</w:t>
      </w:r>
      <w:r w:rsidRPr="00972C81">
        <w:rPr>
          <w:noProof/>
        </w:rPr>
        <w:t xml:space="preserve">7% was contained in the liver </w:t>
      </w:r>
      <w:r w:rsidR="00B407C3" w:rsidRPr="00972C81">
        <w:rPr>
          <w:noProof/>
        </w:rPr>
        <w:fldChar w:fldCharType="begin"/>
      </w:r>
      <w:r w:rsidR="00B407C3" w:rsidRPr="00972C81">
        <w:rPr>
          <w:noProof/>
        </w:rPr>
        <w:instrText xml:space="preserve"> ADDIN ZOTERO_ITEM CSL_CITATION {"citationID":"rC0M1iTH","properties":{"formattedCitation":"(Durbin, 1959, 1962)","plainCitation":"(Durbin, 1959, 1962)","noteIndex":0},"citationItems":[{"id":3923,"uris":["http://zotero.org/groups/2470620/items/WGHAW384"],"itemData":{"id":3923,"type":"article-journal","abstract":"The available data have been reviewed for the biological behavior in rats of high specific-activity radioisotopes of seventy elements. Tracer quantities were administered in single intramuscular injections. Groups of rats were autopsied at various intervals, and tissues and excreta were assayed for radioactivity. Distribution data were arranged according to the grouping of the periodic table of the elements. The anions (including the halogens), the oxygenated or halogenated ions of Groups IV, V and VI, and the transition metals were rapidly eliminated by the kidney. The monovalent alkali metals were distributed almost uniformly in soft tissue with subsequent excretion by the kidney. The bivalent cations, except Hg2+, Cd2+ and UO22+, were deposited primarily in bone mineral and were eliminated slowly in both urine and feces. The tripositive elements of Group III, the lanthanides, and the actinides were deposited in liver and bone. The liver fraction was excreted via the bile without recirculation, while that deposited in bone was turned over at a rate slower than that of normal bone remodelling. The quadrivalent cations such as Zr4+, Th4+ and PuO22+ were deposited almost exclusively in bone and were bound more strongly than the Group III elements. The properties that determine biological behavior are: (a) the oxidation state stable at body pH; (b) the solubility of the stable state; (c) the tendency to be incorporated into organic compounds; and (d) the tendency to associate with specific proteins. © 1959 Health Physics Society.","archive":"Scopus","container-title":"Health Physics","DOI":"10.1097/00004032-195907000-00001","issue":"3","page":"225-238","source":"Scopus","title":"Metabolic characteristics within a chemical family","volume":"2","author":[{"family":"Durbin","given":"P.W."}],"issued":{"date-parts":[["1959"]]}}},{"id":4754,"uris":["http://zotero.org/groups/2470620/items/D374YBDR"],"itemData":{"id":4754,"type":"article-journal","abstract":"The biological behavior of the actinide elements is reviewed, particularly in relation to their chemical properties, and compared to the biological and chemical behavior of the lanthanide elements. An appendix compares the fine structure of the distribution of these elements in bone, as revealed autoradiographically. © 1962 Health Physics Society.","archive":"Scopus","container-title":"Health Physics","DOI":"10.1097/00004032-196212000-00015","ISSN":"0017-9078","issue":"6","language":"English","page":"665-671","source":"Scopus","title":"Distribution of the transuranic elements in mammals","volume":"8","author":[{"family":"Durbin","given":"P.W."}],"issued":{"date-parts":[["1962"]]}}}],"schema":"https://github.com/citation-style-language/schema/raw/master/csl-citation.json"} </w:instrText>
      </w:r>
      <w:r w:rsidR="00B407C3" w:rsidRPr="00972C81">
        <w:rPr>
          <w:noProof/>
        </w:rPr>
        <w:fldChar w:fldCharType="separate"/>
      </w:r>
      <w:r w:rsidR="00BC59C6" w:rsidRPr="00972C81">
        <w:rPr>
          <w:noProof/>
        </w:rPr>
        <w:t>(Durbin, 1959, 1962)</w:t>
      </w:r>
      <w:r w:rsidR="00B407C3" w:rsidRPr="00972C81">
        <w:rPr>
          <w:noProof/>
        </w:rPr>
        <w:fldChar w:fldCharType="end"/>
      </w:r>
      <w:r w:rsidRPr="00972C81">
        <w:rPr>
          <w:noProof/>
        </w:rPr>
        <w:t>. Cumulative loss in urine through day 4 amounted to roughly 20% of the amount reaching blood.</w:t>
      </w:r>
    </w:p>
    <w:p w14:paraId="371C35A5" w14:textId="60A73EC0" w:rsidR="0073572D" w:rsidRPr="00972C81" w:rsidRDefault="0073572D" w:rsidP="001C4A92">
      <w:pPr>
        <w:pStyle w:val="Annalstext"/>
        <w:rPr>
          <w:rFonts w:eastAsia="Times New Roman"/>
          <w:noProof/>
        </w:rPr>
      </w:pPr>
      <w:r w:rsidRPr="00972C81">
        <w:rPr>
          <w:rFonts w:eastAsia="Times New Roman"/>
          <w:noProof/>
        </w:rPr>
        <w:t xml:space="preserve">No information was found regarding the effect of age on the biokinetics of systemic </w:t>
      </w:r>
      <w:r w:rsidRPr="00972C81">
        <w:rPr>
          <w:rFonts w:ascii="Times Roman" w:hAnsi="Times Roman"/>
          <w:noProof/>
        </w:rPr>
        <w:t>lutetium.</w:t>
      </w:r>
    </w:p>
    <w:p w14:paraId="76D23930" w14:textId="400BDBDD" w:rsidR="0073572D" w:rsidRPr="00972C81" w:rsidRDefault="0073572D" w:rsidP="006703A2">
      <w:pPr>
        <w:pStyle w:val="OIRTitre4"/>
      </w:pPr>
      <w:r w:rsidRPr="00972C81">
        <w:t>Systemic model</w:t>
      </w:r>
    </w:p>
    <w:p w14:paraId="79E8CE5C" w14:textId="3B88BDBA" w:rsidR="0073572D" w:rsidRPr="00972C81" w:rsidRDefault="0073572D" w:rsidP="001C4A92">
      <w:pPr>
        <w:pStyle w:val="Annalstext"/>
        <w:rPr>
          <w:noProof/>
        </w:rPr>
      </w:pPr>
      <w:r w:rsidRPr="00972C81">
        <w:rPr>
          <w:noProof/>
        </w:rPr>
        <w:t xml:space="preserve">The model structure shown in </w:t>
      </w:r>
      <w:r w:rsidR="00B407C3" w:rsidRPr="00972C81">
        <w:rPr>
          <w:noProof/>
        </w:rPr>
        <w:fldChar w:fldCharType="begin"/>
      </w:r>
      <w:r w:rsidR="00B407C3" w:rsidRPr="00972C81">
        <w:rPr>
          <w:noProof/>
        </w:rPr>
        <w:instrText xml:space="preserve"> REF _Ref141858180 \h </w:instrText>
      </w:r>
      <w:r w:rsidR="00B407C3" w:rsidRPr="00972C81">
        <w:rPr>
          <w:noProof/>
        </w:rPr>
      </w:r>
      <w:r w:rsidR="00B407C3" w:rsidRPr="00972C81">
        <w:rPr>
          <w:noProof/>
        </w:rPr>
        <w:fldChar w:fldCharType="separate"/>
      </w:r>
      <w:r w:rsidR="00A41AD1" w:rsidRPr="00A41AD1">
        <w:rPr>
          <w:noProof/>
          <w:szCs w:val="24"/>
        </w:rPr>
        <w:t xml:space="preserve">Fig </w:t>
      </w:r>
      <w:r w:rsidR="00A41AD1">
        <w:rPr>
          <w:noProof/>
          <w:szCs w:val="24"/>
        </w:rPr>
        <w:t>3</w:t>
      </w:r>
      <w:r w:rsidR="00A41AD1" w:rsidRPr="00A41AD1">
        <w:rPr>
          <w:noProof/>
          <w:szCs w:val="24"/>
        </w:rPr>
        <w:t>.</w:t>
      </w:r>
      <w:r w:rsidR="00A41AD1">
        <w:rPr>
          <w:noProof/>
          <w:szCs w:val="24"/>
        </w:rPr>
        <w:t>1</w:t>
      </w:r>
      <w:r w:rsidR="00B407C3" w:rsidRPr="00972C81">
        <w:rPr>
          <w:noProof/>
        </w:rPr>
        <w:fldChar w:fldCharType="end"/>
      </w:r>
      <w:r w:rsidRPr="00972C81">
        <w:rPr>
          <w:noProof/>
        </w:rPr>
        <w:t xml:space="preserve"> of the section on cerium is applied in this report to all lanthanide elements.</w:t>
      </w:r>
    </w:p>
    <w:p w14:paraId="37399303" w14:textId="07E35E4B" w:rsidR="0073572D" w:rsidRPr="00972C81" w:rsidRDefault="0073572D" w:rsidP="001C4A92">
      <w:pPr>
        <w:pStyle w:val="Annalstext"/>
        <w:rPr>
          <w:rFonts w:eastAsia="Times New Roman"/>
          <w:noProof/>
        </w:rPr>
      </w:pPr>
      <w:r w:rsidRPr="00972C81">
        <w:rPr>
          <w:rFonts w:eastAsia="Times New Roman"/>
          <w:noProof/>
        </w:rPr>
        <w:t xml:space="preserve">A common set of age-specific transfer coefficients is applied to the “holmium group”, consisting of the lanthanide elements </w:t>
      </w:r>
      <w:r w:rsidRPr="00972C81">
        <w:rPr>
          <w:noProof/>
          <w:color w:val="000000" w:themeColor="text1"/>
        </w:rPr>
        <w:t>terbium, dysprosium, holmium, erbium, thulium, ytterbium, and lutetium</w:t>
      </w:r>
      <w:r w:rsidRPr="00972C81">
        <w:rPr>
          <w:rFonts w:eastAsia="Times New Roman"/>
          <w:noProof/>
        </w:rPr>
        <w:t xml:space="preserve">. Transfer coefficients for the holmium group are listed in </w:t>
      </w:r>
      <w:r w:rsidR="00B407C3" w:rsidRPr="00972C81">
        <w:rPr>
          <w:rFonts w:eastAsia="Times New Roman"/>
          <w:noProof/>
        </w:rPr>
        <w:fldChar w:fldCharType="begin"/>
      </w:r>
      <w:r w:rsidR="00B407C3" w:rsidRPr="00972C81">
        <w:rPr>
          <w:rFonts w:eastAsia="Times New Roman"/>
          <w:noProof/>
        </w:rPr>
        <w:instrText xml:space="preserve"> REF _Ref142312953 \h </w:instrText>
      </w:r>
      <w:r w:rsidR="00B407C3" w:rsidRPr="00972C81">
        <w:rPr>
          <w:rFonts w:eastAsia="Times New Roman"/>
          <w:noProof/>
        </w:rPr>
      </w:r>
      <w:r w:rsidR="00B407C3" w:rsidRPr="00972C81">
        <w:rPr>
          <w:rFonts w:eastAsia="Times New Roman"/>
          <w:noProof/>
        </w:rPr>
        <w:fldChar w:fldCharType="separate"/>
      </w:r>
      <w:r w:rsidR="00A41AD1" w:rsidRPr="00972C81">
        <w:rPr>
          <w:noProof/>
        </w:rPr>
        <w:t xml:space="preserve">Table </w:t>
      </w:r>
      <w:r w:rsidR="00A41AD1">
        <w:rPr>
          <w:noProof/>
        </w:rPr>
        <w:t>12</w:t>
      </w:r>
      <w:r w:rsidR="00A41AD1" w:rsidRPr="00972C81">
        <w:rPr>
          <w:noProof/>
        </w:rPr>
        <w:t>.</w:t>
      </w:r>
      <w:r w:rsidR="00A41AD1">
        <w:rPr>
          <w:noProof/>
        </w:rPr>
        <w:t>2</w:t>
      </w:r>
      <w:r w:rsidR="00B407C3" w:rsidRPr="00972C81">
        <w:rPr>
          <w:rFonts w:eastAsia="Times New Roman"/>
          <w:noProof/>
        </w:rPr>
        <w:fldChar w:fldCharType="end"/>
      </w:r>
      <w:r w:rsidRPr="00972C81">
        <w:rPr>
          <w:rFonts w:eastAsia="Times New Roman"/>
          <w:noProof/>
        </w:rPr>
        <w:t xml:space="preserve"> of the section on holmium.</w:t>
      </w:r>
    </w:p>
    <w:p w14:paraId="70C99CFF" w14:textId="77777777" w:rsidR="0073572D" w:rsidRPr="00972C81" w:rsidRDefault="0073572D" w:rsidP="006703A2">
      <w:pPr>
        <w:pStyle w:val="OIRTitre4"/>
      </w:pPr>
      <w:r w:rsidRPr="00972C81">
        <w:t>Treatment of radioactive progeny</w:t>
      </w:r>
    </w:p>
    <w:p w14:paraId="455892BD" w14:textId="6716BB1B" w:rsidR="006220FE" w:rsidRPr="00972C81" w:rsidRDefault="006220FE" w:rsidP="00E81109">
      <w:pPr>
        <w:pStyle w:val="Annalstext"/>
        <w:rPr>
          <w:noProof/>
        </w:rPr>
      </w:pPr>
      <w:r w:rsidRPr="00972C81">
        <w:rPr>
          <w:rFonts w:eastAsia="Calibri"/>
          <w:noProof/>
        </w:rPr>
        <w:t xml:space="preserve">The treatment of radioactive progeny produced in systemic compartments after </w:t>
      </w:r>
      <w:r w:rsidRPr="00972C81">
        <w:rPr>
          <w:noProof/>
        </w:rPr>
        <w:t>intake</w:t>
      </w:r>
      <w:r w:rsidRPr="00972C81">
        <w:rPr>
          <w:rFonts w:eastAsia="Calibri"/>
          <w:noProof/>
        </w:rPr>
        <w:t xml:space="preserve"> of a radioisotope </w:t>
      </w:r>
      <w:r w:rsidRPr="00972C81">
        <w:rPr>
          <w:noProof/>
        </w:rPr>
        <w:t>of</w:t>
      </w:r>
      <w:r w:rsidRPr="00972C81">
        <w:rPr>
          <w:rFonts w:eastAsia="Calibri"/>
          <w:noProof/>
        </w:rPr>
        <w:t xml:space="preserve"> lutetium is described in Section 17.2.3.3. of </w:t>
      </w:r>
      <w:r w:rsidR="008278DA" w:rsidRPr="00972C81">
        <w:rPr>
          <w:i/>
          <w:noProof/>
        </w:rPr>
        <w:t>Publication 141</w:t>
      </w:r>
      <w:r w:rsidR="008278DA" w:rsidRPr="00972C81">
        <w:rPr>
          <w:noProof/>
        </w:rPr>
        <w:t xml:space="preserve"> </w:t>
      </w:r>
      <w:r w:rsidR="00631B3F" w:rsidRPr="00972C81">
        <w:rPr>
          <w:noProof/>
        </w:rPr>
        <w:fldChar w:fldCharType="begin"/>
      </w:r>
      <w:r w:rsidR="00631B3F" w:rsidRPr="00972C81">
        <w:rPr>
          <w:noProof/>
        </w:rPr>
        <w:instrText xml:space="preserve"> ADDIN ZOTERO_ITEM CSL_CITATION {"citationID":"wsaEnjTs","properties":{"formattedCitation":"(ICRP,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631B3F" w:rsidRPr="00972C81">
        <w:rPr>
          <w:noProof/>
        </w:rPr>
        <w:fldChar w:fldCharType="separate"/>
      </w:r>
      <w:r w:rsidR="00BC59C6" w:rsidRPr="00972C81">
        <w:rPr>
          <w:noProof/>
        </w:rPr>
        <w:t>(ICRP, 2019)</w:t>
      </w:r>
      <w:r w:rsidR="00631B3F" w:rsidRPr="00972C81">
        <w:rPr>
          <w:noProof/>
        </w:rPr>
        <w:fldChar w:fldCharType="end"/>
      </w:r>
      <w:r w:rsidR="008278DA" w:rsidRPr="00972C81">
        <w:rPr>
          <w:noProof/>
        </w:rPr>
        <w:t>.</w:t>
      </w:r>
    </w:p>
    <w:p w14:paraId="331548E3" w14:textId="77777777" w:rsidR="006220FE" w:rsidRPr="00972C81" w:rsidRDefault="006220FE" w:rsidP="001C4A92">
      <w:pPr>
        <w:pStyle w:val="Annalstext"/>
        <w:numPr>
          <w:ilvl w:val="0"/>
          <w:numId w:val="0"/>
        </w:numPr>
        <w:ind w:left="360"/>
        <w:rPr>
          <w:noProof/>
        </w:rPr>
      </w:pPr>
    </w:p>
    <w:p w14:paraId="4917A7D6" w14:textId="77777777" w:rsidR="007D1F4D" w:rsidRPr="00972C81" w:rsidRDefault="00593D1F" w:rsidP="00E81109">
      <w:pPr>
        <w:pStyle w:val="2"/>
        <w:rPr>
          <w:noProof/>
          <w:lang w:val="en-GB"/>
        </w:rPr>
      </w:pPr>
      <w:bookmarkStart w:id="230" w:name="_Toc162630072"/>
      <w:r w:rsidRPr="00972C81">
        <w:rPr>
          <w:noProof/>
          <w:lang w:val="en-GB"/>
        </w:rPr>
        <w:lastRenderedPageBreak/>
        <w:t>Dosimetric data for lutetium</w:t>
      </w:r>
      <w:bookmarkEnd w:id="230"/>
    </w:p>
    <w:p w14:paraId="3E5BD0B3" w14:textId="535B7AF4" w:rsidR="00F43D48" w:rsidRPr="00972C81" w:rsidRDefault="00F43D48" w:rsidP="00F43D48">
      <w:pPr>
        <w:pStyle w:val="ab"/>
        <w:rPr>
          <w:noProof/>
          <w:sz w:val="24"/>
          <w:szCs w:val="24"/>
        </w:rPr>
      </w:pPr>
      <w:bookmarkStart w:id="231" w:name="_Toc455492648"/>
      <w:bookmarkStart w:id="232" w:name="_Toc455493077"/>
      <w:bookmarkStart w:id="233" w:name="_Toc521690390"/>
      <w:bookmarkStart w:id="234" w:name="_Toc430178070"/>
      <w:bookmarkEnd w:id="35"/>
      <w:r w:rsidRPr="00972C81">
        <w:rPr>
          <w:noProof/>
          <w:sz w:val="24"/>
          <w:szCs w:val="24"/>
        </w:rPr>
        <w:t>Table 16.1.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177</w:t>
      </w:r>
      <w:r w:rsidRPr="00972C81">
        <w:rPr>
          <w:noProof/>
          <w:sz w:val="24"/>
          <w:szCs w:val="24"/>
        </w:rPr>
        <w:t>Lu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B44754" w:rsidRPr="00A3213E" w14:paraId="5CF5FAA1" w14:textId="77777777" w:rsidTr="000F593F">
        <w:trPr>
          <w:trHeight w:val="340"/>
        </w:trPr>
        <w:tc>
          <w:tcPr>
            <w:tcW w:w="2087" w:type="pct"/>
            <w:vMerge w:val="restart"/>
            <w:tcBorders>
              <w:top w:val="single" w:sz="4" w:space="0" w:color="auto"/>
              <w:left w:val="nil"/>
              <w:bottom w:val="single" w:sz="4" w:space="0" w:color="auto"/>
              <w:right w:val="nil"/>
            </w:tcBorders>
            <w:vAlign w:val="bottom"/>
            <w:hideMark/>
          </w:tcPr>
          <w:p w14:paraId="139909A0" w14:textId="77777777" w:rsidR="00173589" w:rsidRDefault="00B44754" w:rsidP="00C47F2F">
            <w:pPr>
              <w:pStyle w:val="a5"/>
              <w:tabs>
                <w:tab w:val="clear" w:pos="4153"/>
                <w:tab w:val="clear" w:pos="8306"/>
              </w:tabs>
              <w:jc w:val="left"/>
              <w:rPr>
                <w:noProof/>
                <w:sz w:val="22"/>
                <w:szCs w:val="22"/>
              </w:rPr>
            </w:pPr>
            <w:r w:rsidRPr="00C47F2F">
              <w:rPr>
                <w:noProof/>
                <w:sz w:val="22"/>
                <w:szCs w:val="22"/>
              </w:rPr>
              <w:t xml:space="preserve">Inhaled particulate materials </w:t>
            </w:r>
          </w:p>
          <w:p w14:paraId="21B0784F" w14:textId="61264103" w:rsidR="00B44754" w:rsidRPr="00173589" w:rsidRDefault="00B44754" w:rsidP="00C47F2F">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0A042B18" w14:textId="77777777" w:rsidR="00B44754" w:rsidRPr="00C47F2F" w:rsidRDefault="00B44754" w:rsidP="000F593F">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B44754" w:rsidRPr="00972C81" w14:paraId="5048C939" w14:textId="77777777" w:rsidTr="000F593F">
        <w:trPr>
          <w:trHeight w:val="340"/>
        </w:trPr>
        <w:tc>
          <w:tcPr>
            <w:tcW w:w="2087" w:type="pct"/>
            <w:vMerge/>
            <w:tcBorders>
              <w:top w:val="single" w:sz="4" w:space="0" w:color="auto"/>
              <w:left w:val="nil"/>
              <w:bottom w:val="single" w:sz="4" w:space="0" w:color="auto"/>
              <w:right w:val="nil"/>
            </w:tcBorders>
            <w:vAlign w:val="center"/>
            <w:hideMark/>
          </w:tcPr>
          <w:p w14:paraId="639CD431" w14:textId="77777777" w:rsidR="00B44754" w:rsidRPr="00173589" w:rsidRDefault="00B44754">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1285569D" w14:textId="793BE087" w:rsidR="00B44754" w:rsidRPr="00C47F2F" w:rsidRDefault="00B44754" w:rsidP="000F593F">
            <w:pPr>
              <w:jc w:val="left"/>
              <w:rPr>
                <w:noProof/>
                <w:sz w:val="22"/>
                <w:szCs w:val="22"/>
                <w:lang w:eastAsia="ko-KR"/>
              </w:rPr>
            </w:pPr>
            <w:r w:rsidRPr="00C47F2F">
              <w:rPr>
                <w:noProof/>
                <w:sz w:val="22"/>
                <w:szCs w:val="22"/>
              </w:rPr>
              <w:t>3</w:t>
            </w:r>
            <w:r w:rsidR="00173589">
              <w:rPr>
                <w:rFonts w:hint="eastAsia"/>
                <w:noProof/>
                <w:sz w:val="22"/>
                <w:szCs w:val="22"/>
                <w:lang w:eastAsia="ko-KR"/>
              </w:rPr>
              <w:t xml:space="preserve"> </w:t>
            </w:r>
            <w:r w:rsidRPr="00C47F2F">
              <w:rPr>
                <w:noProof/>
                <w:sz w:val="22"/>
                <w:szCs w:val="22"/>
              </w:rPr>
              <w:t>m</w:t>
            </w:r>
            <w:r w:rsidR="000F593F">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20586D59" w14:textId="400DE90E" w:rsidR="00B44754" w:rsidRPr="00C47F2F" w:rsidRDefault="00B44754" w:rsidP="000F593F">
            <w:pPr>
              <w:jc w:val="left"/>
              <w:rPr>
                <w:noProof/>
                <w:sz w:val="22"/>
                <w:szCs w:val="22"/>
              </w:rPr>
            </w:pPr>
            <w:r w:rsidRPr="00C47F2F">
              <w:rPr>
                <w:noProof/>
                <w:sz w:val="22"/>
                <w:szCs w:val="22"/>
              </w:rPr>
              <w:t>1</w:t>
            </w:r>
            <w:r w:rsidR="0017358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7B67BE87" w14:textId="7C4CBA0E" w:rsidR="00B44754" w:rsidRPr="00C47F2F" w:rsidRDefault="00B44754" w:rsidP="000F593F">
            <w:pPr>
              <w:jc w:val="left"/>
              <w:rPr>
                <w:noProof/>
                <w:sz w:val="22"/>
                <w:szCs w:val="22"/>
              </w:rPr>
            </w:pPr>
            <w:r w:rsidRPr="00C47F2F">
              <w:rPr>
                <w:noProof/>
                <w:sz w:val="22"/>
                <w:szCs w:val="22"/>
              </w:rPr>
              <w:t>5</w:t>
            </w:r>
            <w:r w:rsidR="0017358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56054105" w14:textId="1C33BD5B" w:rsidR="00B44754" w:rsidRPr="00C47F2F" w:rsidRDefault="00B44754" w:rsidP="000F593F">
            <w:pPr>
              <w:jc w:val="left"/>
              <w:rPr>
                <w:noProof/>
                <w:sz w:val="22"/>
                <w:szCs w:val="22"/>
              </w:rPr>
            </w:pPr>
            <w:r w:rsidRPr="00C47F2F">
              <w:rPr>
                <w:noProof/>
                <w:sz w:val="22"/>
                <w:szCs w:val="22"/>
              </w:rPr>
              <w:t>10</w:t>
            </w:r>
            <w:r w:rsidR="0017358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229C3FF3" w14:textId="3AA05DF2" w:rsidR="00B44754" w:rsidRPr="00C47F2F" w:rsidRDefault="00B44754" w:rsidP="000F593F">
            <w:pPr>
              <w:jc w:val="left"/>
              <w:rPr>
                <w:noProof/>
                <w:sz w:val="22"/>
                <w:szCs w:val="22"/>
              </w:rPr>
            </w:pPr>
            <w:r w:rsidRPr="00C47F2F">
              <w:rPr>
                <w:noProof/>
                <w:sz w:val="22"/>
                <w:szCs w:val="22"/>
              </w:rPr>
              <w:t>15</w:t>
            </w:r>
            <w:r w:rsidR="0017358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5F4E0CAA" w14:textId="77777777" w:rsidR="00B44754" w:rsidRPr="00C47F2F" w:rsidRDefault="00B44754" w:rsidP="000F593F">
            <w:pPr>
              <w:jc w:val="left"/>
              <w:rPr>
                <w:noProof/>
                <w:sz w:val="22"/>
                <w:szCs w:val="22"/>
              </w:rPr>
            </w:pPr>
            <w:r w:rsidRPr="00C47F2F">
              <w:rPr>
                <w:noProof/>
                <w:sz w:val="22"/>
                <w:szCs w:val="22"/>
              </w:rPr>
              <w:t>Adult</w:t>
            </w:r>
          </w:p>
        </w:tc>
      </w:tr>
      <w:tr w:rsidR="00B44754" w:rsidRPr="00972C81" w14:paraId="62829AB5" w14:textId="77777777" w:rsidTr="00C47F2F">
        <w:trPr>
          <w:trHeight w:val="340"/>
        </w:trPr>
        <w:tc>
          <w:tcPr>
            <w:tcW w:w="2087" w:type="pct"/>
            <w:tcBorders>
              <w:top w:val="single" w:sz="4" w:space="0" w:color="auto"/>
              <w:left w:val="nil"/>
              <w:bottom w:val="nil"/>
              <w:right w:val="nil"/>
            </w:tcBorders>
            <w:hideMark/>
          </w:tcPr>
          <w:p w14:paraId="135C6607" w14:textId="77777777" w:rsidR="00B44754" w:rsidRPr="00C47F2F" w:rsidRDefault="00B44754" w:rsidP="00C47F2F">
            <w:pPr>
              <w:jc w:val="left"/>
              <w:rPr>
                <w:noProof/>
                <w:sz w:val="22"/>
                <w:szCs w:val="22"/>
              </w:rPr>
            </w:pPr>
            <w:r w:rsidRPr="00C47F2F">
              <w:rPr>
                <w:rFonts w:eastAsia="Times New Roman"/>
                <w:noProof/>
                <w:color w:val="000000"/>
                <w:sz w:val="22"/>
                <w:szCs w:val="22"/>
              </w:rPr>
              <w:t>Water soluble forms, including chloride and citrate</w:t>
            </w:r>
          </w:p>
        </w:tc>
        <w:tc>
          <w:tcPr>
            <w:tcW w:w="485" w:type="pct"/>
            <w:tcBorders>
              <w:top w:val="single" w:sz="4" w:space="0" w:color="auto"/>
              <w:left w:val="nil"/>
              <w:bottom w:val="nil"/>
              <w:right w:val="nil"/>
            </w:tcBorders>
            <w:hideMark/>
          </w:tcPr>
          <w:p w14:paraId="5AC2D79C"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1.5E-09</w:t>
            </w:r>
          </w:p>
        </w:tc>
        <w:tc>
          <w:tcPr>
            <w:tcW w:w="485" w:type="pct"/>
            <w:tcBorders>
              <w:top w:val="single" w:sz="4" w:space="0" w:color="auto"/>
              <w:left w:val="nil"/>
              <w:bottom w:val="nil"/>
              <w:right w:val="nil"/>
            </w:tcBorders>
            <w:hideMark/>
          </w:tcPr>
          <w:p w14:paraId="7FD656EE"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1.2E-09</w:t>
            </w:r>
          </w:p>
        </w:tc>
        <w:tc>
          <w:tcPr>
            <w:tcW w:w="485" w:type="pct"/>
            <w:tcBorders>
              <w:top w:val="single" w:sz="4" w:space="0" w:color="auto"/>
              <w:left w:val="nil"/>
              <w:bottom w:val="nil"/>
              <w:right w:val="nil"/>
            </w:tcBorders>
            <w:hideMark/>
          </w:tcPr>
          <w:p w14:paraId="5CD1F1CE"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6.2E-10</w:t>
            </w:r>
          </w:p>
        </w:tc>
        <w:tc>
          <w:tcPr>
            <w:tcW w:w="485" w:type="pct"/>
            <w:tcBorders>
              <w:top w:val="single" w:sz="4" w:space="0" w:color="auto"/>
              <w:left w:val="nil"/>
              <w:bottom w:val="nil"/>
              <w:right w:val="nil"/>
            </w:tcBorders>
            <w:hideMark/>
          </w:tcPr>
          <w:p w14:paraId="7D3643B9"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4.0E-10</w:t>
            </w:r>
          </w:p>
        </w:tc>
        <w:tc>
          <w:tcPr>
            <w:tcW w:w="485" w:type="pct"/>
            <w:tcBorders>
              <w:top w:val="single" w:sz="4" w:space="0" w:color="auto"/>
              <w:left w:val="nil"/>
              <w:bottom w:val="nil"/>
              <w:right w:val="nil"/>
            </w:tcBorders>
            <w:hideMark/>
          </w:tcPr>
          <w:p w14:paraId="25D112E2"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3.3E-10</w:t>
            </w:r>
          </w:p>
        </w:tc>
        <w:tc>
          <w:tcPr>
            <w:tcW w:w="485" w:type="pct"/>
            <w:tcBorders>
              <w:top w:val="single" w:sz="4" w:space="0" w:color="auto"/>
              <w:left w:val="nil"/>
              <w:bottom w:val="nil"/>
              <w:right w:val="nil"/>
            </w:tcBorders>
            <w:hideMark/>
          </w:tcPr>
          <w:p w14:paraId="60CE398C"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2.9E-10</w:t>
            </w:r>
          </w:p>
        </w:tc>
      </w:tr>
      <w:tr w:rsidR="00B44754" w:rsidRPr="00972C81" w14:paraId="2CED2A1B" w14:textId="77777777" w:rsidTr="00C47F2F">
        <w:trPr>
          <w:trHeight w:val="340"/>
        </w:trPr>
        <w:tc>
          <w:tcPr>
            <w:tcW w:w="2087" w:type="pct"/>
            <w:tcBorders>
              <w:top w:val="nil"/>
              <w:left w:val="nil"/>
              <w:bottom w:val="nil"/>
              <w:right w:val="nil"/>
            </w:tcBorders>
            <w:hideMark/>
          </w:tcPr>
          <w:p w14:paraId="4775EC58"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Dioxide</w:t>
            </w:r>
          </w:p>
        </w:tc>
        <w:tc>
          <w:tcPr>
            <w:tcW w:w="485" w:type="pct"/>
            <w:tcBorders>
              <w:top w:val="nil"/>
              <w:left w:val="nil"/>
              <w:bottom w:val="nil"/>
              <w:right w:val="nil"/>
            </w:tcBorders>
            <w:hideMark/>
          </w:tcPr>
          <w:p w14:paraId="11F8B69A"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2.0E-09</w:t>
            </w:r>
          </w:p>
        </w:tc>
        <w:tc>
          <w:tcPr>
            <w:tcW w:w="485" w:type="pct"/>
            <w:tcBorders>
              <w:top w:val="nil"/>
              <w:left w:val="nil"/>
              <w:bottom w:val="nil"/>
              <w:right w:val="nil"/>
            </w:tcBorders>
            <w:hideMark/>
          </w:tcPr>
          <w:p w14:paraId="0D81E221"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1.5E-09</w:t>
            </w:r>
          </w:p>
        </w:tc>
        <w:tc>
          <w:tcPr>
            <w:tcW w:w="485" w:type="pct"/>
            <w:tcBorders>
              <w:top w:val="nil"/>
              <w:left w:val="nil"/>
              <w:bottom w:val="nil"/>
              <w:right w:val="nil"/>
            </w:tcBorders>
            <w:hideMark/>
          </w:tcPr>
          <w:p w14:paraId="4ACCB799"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8.8E-10</w:t>
            </w:r>
          </w:p>
        </w:tc>
        <w:tc>
          <w:tcPr>
            <w:tcW w:w="485" w:type="pct"/>
            <w:tcBorders>
              <w:top w:val="nil"/>
              <w:left w:val="nil"/>
              <w:bottom w:val="nil"/>
              <w:right w:val="nil"/>
            </w:tcBorders>
            <w:hideMark/>
          </w:tcPr>
          <w:p w14:paraId="2AAC377C"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5.9E-10</w:t>
            </w:r>
          </w:p>
        </w:tc>
        <w:tc>
          <w:tcPr>
            <w:tcW w:w="485" w:type="pct"/>
            <w:tcBorders>
              <w:top w:val="nil"/>
              <w:left w:val="nil"/>
              <w:bottom w:val="nil"/>
              <w:right w:val="nil"/>
            </w:tcBorders>
            <w:hideMark/>
          </w:tcPr>
          <w:p w14:paraId="2BD94DCA"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4.8E-10</w:t>
            </w:r>
          </w:p>
        </w:tc>
        <w:tc>
          <w:tcPr>
            <w:tcW w:w="485" w:type="pct"/>
            <w:tcBorders>
              <w:top w:val="nil"/>
              <w:left w:val="nil"/>
              <w:bottom w:val="nil"/>
              <w:right w:val="nil"/>
            </w:tcBorders>
            <w:hideMark/>
          </w:tcPr>
          <w:p w14:paraId="4A8A0BA2"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4.4E-10</w:t>
            </w:r>
          </w:p>
        </w:tc>
      </w:tr>
      <w:tr w:rsidR="00B44754" w:rsidRPr="00972C81" w14:paraId="6FE2D0A3" w14:textId="77777777" w:rsidTr="00C47F2F">
        <w:trPr>
          <w:trHeight w:val="340"/>
        </w:trPr>
        <w:tc>
          <w:tcPr>
            <w:tcW w:w="2087" w:type="pct"/>
            <w:tcBorders>
              <w:top w:val="nil"/>
              <w:left w:val="nil"/>
              <w:bottom w:val="nil"/>
              <w:right w:val="nil"/>
            </w:tcBorders>
            <w:hideMark/>
          </w:tcPr>
          <w:p w14:paraId="21752900" w14:textId="77777777" w:rsidR="00B44754" w:rsidRPr="00C47F2F" w:rsidRDefault="00B44754" w:rsidP="00C47F2F">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26B29AA7"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1.1E-09</w:t>
            </w:r>
          </w:p>
        </w:tc>
        <w:tc>
          <w:tcPr>
            <w:tcW w:w="485" w:type="pct"/>
            <w:tcBorders>
              <w:top w:val="nil"/>
              <w:left w:val="nil"/>
              <w:bottom w:val="nil"/>
              <w:right w:val="nil"/>
            </w:tcBorders>
            <w:hideMark/>
          </w:tcPr>
          <w:p w14:paraId="2CE3AE3E"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7.9E-10</w:t>
            </w:r>
          </w:p>
        </w:tc>
        <w:tc>
          <w:tcPr>
            <w:tcW w:w="485" w:type="pct"/>
            <w:tcBorders>
              <w:top w:val="nil"/>
              <w:left w:val="nil"/>
              <w:bottom w:val="nil"/>
              <w:right w:val="nil"/>
            </w:tcBorders>
            <w:hideMark/>
          </w:tcPr>
          <w:p w14:paraId="35A0557E"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3.7E-10</w:t>
            </w:r>
          </w:p>
        </w:tc>
        <w:tc>
          <w:tcPr>
            <w:tcW w:w="485" w:type="pct"/>
            <w:tcBorders>
              <w:top w:val="nil"/>
              <w:left w:val="nil"/>
              <w:bottom w:val="nil"/>
              <w:right w:val="nil"/>
            </w:tcBorders>
            <w:hideMark/>
          </w:tcPr>
          <w:p w14:paraId="62FC9BDD"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2.2E-10</w:t>
            </w:r>
          </w:p>
        </w:tc>
        <w:tc>
          <w:tcPr>
            <w:tcW w:w="485" w:type="pct"/>
            <w:tcBorders>
              <w:top w:val="nil"/>
              <w:left w:val="nil"/>
              <w:bottom w:val="nil"/>
              <w:right w:val="nil"/>
            </w:tcBorders>
            <w:hideMark/>
          </w:tcPr>
          <w:p w14:paraId="0FF44601"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1.9E-10</w:t>
            </w:r>
          </w:p>
        </w:tc>
        <w:tc>
          <w:tcPr>
            <w:tcW w:w="485" w:type="pct"/>
            <w:tcBorders>
              <w:top w:val="nil"/>
              <w:left w:val="nil"/>
              <w:bottom w:val="nil"/>
              <w:right w:val="nil"/>
            </w:tcBorders>
            <w:hideMark/>
          </w:tcPr>
          <w:p w14:paraId="292E4A3D"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1.4E-10</w:t>
            </w:r>
          </w:p>
        </w:tc>
      </w:tr>
      <w:tr w:rsidR="00B44754" w:rsidRPr="00972C81" w14:paraId="60717A4C" w14:textId="77777777" w:rsidTr="000F593F">
        <w:trPr>
          <w:trHeight w:val="340"/>
        </w:trPr>
        <w:tc>
          <w:tcPr>
            <w:tcW w:w="2087" w:type="pct"/>
            <w:tcBorders>
              <w:top w:val="nil"/>
              <w:left w:val="nil"/>
              <w:bottom w:val="nil"/>
              <w:right w:val="nil"/>
            </w:tcBorders>
            <w:hideMark/>
          </w:tcPr>
          <w:p w14:paraId="6B6AEC2E" w14:textId="77777777" w:rsidR="00B44754" w:rsidRPr="00C47F2F" w:rsidRDefault="00B44754" w:rsidP="00C47F2F">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hideMark/>
          </w:tcPr>
          <w:p w14:paraId="7FF3A15C"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1.8E-09</w:t>
            </w:r>
          </w:p>
        </w:tc>
        <w:tc>
          <w:tcPr>
            <w:tcW w:w="485" w:type="pct"/>
            <w:tcBorders>
              <w:top w:val="nil"/>
              <w:left w:val="nil"/>
              <w:bottom w:val="nil"/>
              <w:right w:val="nil"/>
            </w:tcBorders>
            <w:hideMark/>
          </w:tcPr>
          <w:p w14:paraId="408241FB"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1.3E-09</w:t>
            </w:r>
          </w:p>
        </w:tc>
        <w:tc>
          <w:tcPr>
            <w:tcW w:w="485" w:type="pct"/>
            <w:tcBorders>
              <w:top w:val="nil"/>
              <w:left w:val="nil"/>
              <w:bottom w:val="nil"/>
              <w:right w:val="nil"/>
            </w:tcBorders>
            <w:hideMark/>
          </w:tcPr>
          <w:p w14:paraId="602A01E3"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7.6E-10</w:t>
            </w:r>
          </w:p>
        </w:tc>
        <w:tc>
          <w:tcPr>
            <w:tcW w:w="485" w:type="pct"/>
            <w:tcBorders>
              <w:top w:val="nil"/>
              <w:left w:val="nil"/>
              <w:bottom w:val="nil"/>
              <w:right w:val="nil"/>
            </w:tcBorders>
            <w:hideMark/>
          </w:tcPr>
          <w:p w14:paraId="46975B26"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5.1E-10</w:t>
            </w:r>
          </w:p>
        </w:tc>
        <w:tc>
          <w:tcPr>
            <w:tcW w:w="485" w:type="pct"/>
            <w:tcBorders>
              <w:top w:val="nil"/>
              <w:left w:val="nil"/>
              <w:bottom w:val="nil"/>
              <w:right w:val="nil"/>
            </w:tcBorders>
            <w:hideMark/>
          </w:tcPr>
          <w:p w14:paraId="37909A0C"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4.2E-10</w:t>
            </w:r>
          </w:p>
        </w:tc>
        <w:tc>
          <w:tcPr>
            <w:tcW w:w="485" w:type="pct"/>
            <w:tcBorders>
              <w:top w:val="nil"/>
              <w:left w:val="nil"/>
              <w:bottom w:val="nil"/>
              <w:right w:val="nil"/>
            </w:tcBorders>
            <w:hideMark/>
          </w:tcPr>
          <w:p w14:paraId="41727EA6"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3.7E-10</w:t>
            </w:r>
          </w:p>
        </w:tc>
      </w:tr>
      <w:tr w:rsidR="00B44754" w:rsidRPr="00972C81" w14:paraId="3D80D25F" w14:textId="77777777" w:rsidTr="000F593F">
        <w:trPr>
          <w:trHeight w:val="340"/>
        </w:trPr>
        <w:tc>
          <w:tcPr>
            <w:tcW w:w="2087" w:type="pct"/>
            <w:tcBorders>
              <w:top w:val="nil"/>
              <w:left w:val="nil"/>
              <w:bottom w:val="single" w:sz="4" w:space="0" w:color="auto"/>
              <w:right w:val="nil"/>
            </w:tcBorders>
            <w:hideMark/>
          </w:tcPr>
          <w:p w14:paraId="7C6DA733" w14:textId="77777777" w:rsidR="00B44754" w:rsidRPr="00C47F2F" w:rsidRDefault="00B44754" w:rsidP="00C47F2F">
            <w:pPr>
              <w:jc w:val="left"/>
              <w:rPr>
                <w:rFonts w:eastAsiaTheme="minorHAnsi"/>
                <w:noProof/>
                <w:sz w:val="22"/>
                <w:szCs w:val="22"/>
              </w:rPr>
            </w:pPr>
            <w:r w:rsidRPr="00C47F2F">
              <w:rPr>
                <w:noProof/>
                <w:sz w:val="22"/>
                <w:szCs w:val="22"/>
              </w:rPr>
              <w:t xml:space="preserve">Type S, </w:t>
            </w:r>
            <w:r w:rsidRPr="00C47F2F">
              <w:rPr>
                <w:rFonts w:eastAsia="Times New Roman"/>
                <w:noProof/>
                <w:color w:val="000000"/>
                <w:sz w:val="22"/>
                <w:szCs w:val="22"/>
              </w:rPr>
              <w:t>Irradiated fuel fragments</w:t>
            </w:r>
          </w:p>
        </w:tc>
        <w:tc>
          <w:tcPr>
            <w:tcW w:w="485" w:type="pct"/>
            <w:tcBorders>
              <w:top w:val="nil"/>
              <w:left w:val="nil"/>
              <w:bottom w:val="single" w:sz="4" w:space="0" w:color="auto"/>
              <w:right w:val="nil"/>
            </w:tcBorders>
            <w:hideMark/>
          </w:tcPr>
          <w:p w14:paraId="15B43775"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2.0E-09</w:t>
            </w:r>
          </w:p>
        </w:tc>
        <w:tc>
          <w:tcPr>
            <w:tcW w:w="485" w:type="pct"/>
            <w:tcBorders>
              <w:top w:val="nil"/>
              <w:left w:val="nil"/>
              <w:bottom w:val="single" w:sz="4" w:space="0" w:color="auto"/>
              <w:right w:val="nil"/>
            </w:tcBorders>
            <w:hideMark/>
          </w:tcPr>
          <w:p w14:paraId="3DC03495"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1.5E-09</w:t>
            </w:r>
          </w:p>
        </w:tc>
        <w:tc>
          <w:tcPr>
            <w:tcW w:w="485" w:type="pct"/>
            <w:tcBorders>
              <w:top w:val="nil"/>
              <w:left w:val="nil"/>
              <w:bottom w:val="single" w:sz="4" w:space="0" w:color="auto"/>
              <w:right w:val="nil"/>
            </w:tcBorders>
            <w:hideMark/>
          </w:tcPr>
          <w:p w14:paraId="11AE10FF"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8.8E-10</w:t>
            </w:r>
          </w:p>
        </w:tc>
        <w:tc>
          <w:tcPr>
            <w:tcW w:w="485" w:type="pct"/>
            <w:tcBorders>
              <w:top w:val="nil"/>
              <w:left w:val="nil"/>
              <w:bottom w:val="single" w:sz="4" w:space="0" w:color="auto"/>
              <w:right w:val="nil"/>
            </w:tcBorders>
            <w:hideMark/>
          </w:tcPr>
          <w:p w14:paraId="5DCECA72"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5.9E-10</w:t>
            </w:r>
          </w:p>
        </w:tc>
        <w:tc>
          <w:tcPr>
            <w:tcW w:w="485" w:type="pct"/>
            <w:tcBorders>
              <w:top w:val="nil"/>
              <w:left w:val="nil"/>
              <w:bottom w:val="single" w:sz="4" w:space="0" w:color="auto"/>
              <w:right w:val="nil"/>
            </w:tcBorders>
            <w:hideMark/>
          </w:tcPr>
          <w:p w14:paraId="61396003"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4.8E-10</w:t>
            </w:r>
          </w:p>
        </w:tc>
        <w:tc>
          <w:tcPr>
            <w:tcW w:w="485" w:type="pct"/>
            <w:tcBorders>
              <w:top w:val="nil"/>
              <w:left w:val="nil"/>
              <w:bottom w:val="single" w:sz="4" w:space="0" w:color="auto"/>
              <w:right w:val="nil"/>
            </w:tcBorders>
            <w:hideMark/>
          </w:tcPr>
          <w:p w14:paraId="712542CE" w14:textId="77777777" w:rsidR="00B44754" w:rsidRPr="00C47F2F" w:rsidRDefault="00B44754" w:rsidP="00C47F2F">
            <w:pPr>
              <w:jc w:val="left"/>
              <w:rPr>
                <w:rFonts w:eastAsia="Times New Roman"/>
                <w:noProof/>
                <w:color w:val="000000"/>
                <w:sz w:val="22"/>
                <w:szCs w:val="22"/>
              </w:rPr>
            </w:pPr>
            <w:r w:rsidRPr="00C47F2F">
              <w:rPr>
                <w:rFonts w:eastAsia="Times New Roman"/>
                <w:noProof/>
                <w:color w:val="000000"/>
                <w:sz w:val="22"/>
                <w:szCs w:val="22"/>
              </w:rPr>
              <w:t>4.4E-10</w:t>
            </w:r>
          </w:p>
        </w:tc>
      </w:tr>
      <w:tr w:rsidR="00B44754" w:rsidRPr="00972C81" w14:paraId="4870440C" w14:textId="77777777" w:rsidTr="000F593F">
        <w:trPr>
          <w:trHeight w:val="340"/>
        </w:trPr>
        <w:tc>
          <w:tcPr>
            <w:tcW w:w="2087" w:type="pct"/>
            <w:tcBorders>
              <w:top w:val="single" w:sz="4" w:space="0" w:color="auto"/>
              <w:left w:val="nil"/>
              <w:bottom w:val="single" w:sz="4" w:space="0" w:color="auto"/>
              <w:right w:val="nil"/>
            </w:tcBorders>
          </w:tcPr>
          <w:p w14:paraId="121351F8" w14:textId="77777777" w:rsidR="00B44754" w:rsidRPr="00C47F2F" w:rsidRDefault="00B44754" w:rsidP="00C47F2F">
            <w:pPr>
              <w:jc w:val="left"/>
              <w:rPr>
                <w:rFonts w:eastAsiaTheme="minorHAnsi"/>
                <w:noProof/>
                <w:sz w:val="22"/>
                <w:szCs w:val="22"/>
              </w:rPr>
            </w:pPr>
          </w:p>
          <w:p w14:paraId="0A3C4734" w14:textId="77777777" w:rsidR="00B44754" w:rsidRPr="00C47F2F" w:rsidRDefault="00B44754"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45843A88" w14:textId="77777777" w:rsidR="00B44754" w:rsidRPr="00C47F2F" w:rsidRDefault="00B44754"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7CC6466C" w14:textId="77777777" w:rsidR="00B44754" w:rsidRPr="00C47F2F" w:rsidRDefault="00B44754"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5D88A753" w14:textId="77777777" w:rsidR="00B44754" w:rsidRPr="00C47F2F" w:rsidRDefault="00B44754"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5E88125D" w14:textId="77777777" w:rsidR="00B44754" w:rsidRPr="00C47F2F" w:rsidRDefault="00B44754"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25355340" w14:textId="77777777" w:rsidR="00B44754" w:rsidRPr="00C47F2F" w:rsidRDefault="00B44754"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09C79372" w14:textId="77777777" w:rsidR="00B44754" w:rsidRPr="00C47F2F" w:rsidRDefault="00B44754" w:rsidP="00C47F2F">
            <w:pPr>
              <w:jc w:val="left"/>
              <w:rPr>
                <w:rFonts w:eastAsia="Times New Roman"/>
                <w:noProof/>
                <w:color w:val="000000"/>
                <w:sz w:val="22"/>
                <w:szCs w:val="22"/>
              </w:rPr>
            </w:pPr>
          </w:p>
        </w:tc>
      </w:tr>
      <w:tr w:rsidR="00B44754" w:rsidRPr="00972C81" w14:paraId="00E2BA6F" w14:textId="77777777" w:rsidTr="000F593F">
        <w:trPr>
          <w:trHeight w:val="340"/>
        </w:trPr>
        <w:tc>
          <w:tcPr>
            <w:tcW w:w="2087" w:type="pct"/>
            <w:tcBorders>
              <w:top w:val="single" w:sz="4" w:space="0" w:color="auto"/>
              <w:left w:val="nil"/>
              <w:bottom w:val="single" w:sz="4" w:space="0" w:color="auto"/>
              <w:right w:val="nil"/>
            </w:tcBorders>
            <w:vAlign w:val="center"/>
            <w:hideMark/>
          </w:tcPr>
          <w:p w14:paraId="15EF4CB7" w14:textId="38A50EEE" w:rsidR="00B44754" w:rsidRPr="00C47F2F" w:rsidRDefault="00B44754" w:rsidP="000F593F">
            <w:pPr>
              <w:jc w:val="left"/>
              <w:rPr>
                <w:rFonts w:eastAsiaTheme="minorHAnsi"/>
                <w:noProof/>
                <w:sz w:val="22"/>
                <w:szCs w:val="22"/>
              </w:rPr>
            </w:pPr>
            <w:r w:rsidRPr="00C47F2F">
              <w:rPr>
                <w:rFonts w:eastAsia="Times New Roman"/>
                <w:noProof/>
                <w:color w:val="000000"/>
                <w:sz w:val="22"/>
                <w:szCs w:val="22"/>
                <w:lang w:eastAsia="en-GB"/>
              </w:rPr>
              <w:t>All compounds</w:t>
            </w:r>
          </w:p>
        </w:tc>
        <w:tc>
          <w:tcPr>
            <w:tcW w:w="485" w:type="pct"/>
            <w:tcBorders>
              <w:top w:val="single" w:sz="4" w:space="0" w:color="auto"/>
              <w:left w:val="nil"/>
              <w:bottom w:val="single" w:sz="4" w:space="0" w:color="auto"/>
              <w:right w:val="nil"/>
            </w:tcBorders>
            <w:vAlign w:val="center"/>
            <w:hideMark/>
          </w:tcPr>
          <w:p w14:paraId="185EBF7B"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2.1E-10</w:t>
            </w:r>
          </w:p>
        </w:tc>
        <w:tc>
          <w:tcPr>
            <w:tcW w:w="485" w:type="pct"/>
            <w:tcBorders>
              <w:top w:val="single" w:sz="4" w:space="0" w:color="auto"/>
              <w:left w:val="nil"/>
              <w:bottom w:val="single" w:sz="4" w:space="0" w:color="auto"/>
              <w:right w:val="nil"/>
            </w:tcBorders>
            <w:vAlign w:val="center"/>
            <w:hideMark/>
          </w:tcPr>
          <w:p w14:paraId="05E4919A"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1.6E-10</w:t>
            </w:r>
          </w:p>
        </w:tc>
        <w:tc>
          <w:tcPr>
            <w:tcW w:w="485" w:type="pct"/>
            <w:tcBorders>
              <w:top w:val="single" w:sz="4" w:space="0" w:color="auto"/>
              <w:left w:val="nil"/>
              <w:bottom w:val="single" w:sz="4" w:space="0" w:color="auto"/>
              <w:right w:val="nil"/>
            </w:tcBorders>
            <w:vAlign w:val="center"/>
            <w:hideMark/>
          </w:tcPr>
          <w:p w14:paraId="2CB2721A"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9.9E-11</w:t>
            </w:r>
          </w:p>
        </w:tc>
        <w:tc>
          <w:tcPr>
            <w:tcW w:w="485" w:type="pct"/>
            <w:tcBorders>
              <w:top w:val="single" w:sz="4" w:space="0" w:color="auto"/>
              <w:left w:val="nil"/>
              <w:bottom w:val="single" w:sz="4" w:space="0" w:color="auto"/>
              <w:right w:val="nil"/>
            </w:tcBorders>
            <w:vAlign w:val="center"/>
            <w:hideMark/>
          </w:tcPr>
          <w:p w14:paraId="54D008EA"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7.1E-11</w:t>
            </w:r>
          </w:p>
        </w:tc>
        <w:tc>
          <w:tcPr>
            <w:tcW w:w="485" w:type="pct"/>
            <w:tcBorders>
              <w:top w:val="single" w:sz="4" w:space="0" w:color="auto"/>
              <w:left w:val="nil"/>
              <w:bottom w:val="single" w:sz="4" w:space="0" w:color="auto"/>
              <w:right w:val="nil"/>
            </w:tcBorders>
            <w:vAlign w:val="center"/>
            <w:hideMark/>
          </w:tcPr>
          <w:p w14:paraId="4BF2DF0F"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4.7E-11</w:t>
            </w:r>
          </w:p>
        </w:tc>
        <w:tc>
          <w:tcPr>
            <w:tcW w:w="485" w:type="pct"/>
            <w:tcBorders>
              <w:top w:val="single" w:sz="4" w:space="0" w:color="auto"/>
              <w:left w:val="nil"/>
              <w:bottom w:val="single" w:sz="4" w:space="0" w:color="auto"/>
              <w:right w:val="nil"/>
            </w:tcBorders>
            <w:vAlign w:val="center"/>
            <w:hideMark/>
          </w:tcPr>
          <w:p w14:paraId="3F642B6D"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3.5E-11</w:t>
            </w:r>
          </w:p>
        </w:tc>
      </w:tr>
    </w:tbl>
    <w:p w14:paraId="34FB6F4A" w14:textId="77777777" w:rsidR="008278DA" w:rsidRPr="00972C81" w:rsidRDefault="008278DA">
      <w:pPr>
        <w:widowControl/>
        <w:jc w:val="left"/>
        <w:rPr>
          <w:rFonts w:ascii="Times Roman" w:hAnsi="Times Roman"/>
          <w:b/>
          <w:caps/>
          <w:noProof/>
          <w:sz w:val="28"/>
          <w:highlight w:val="lightGray"/>
          <w:lang w:eastAsia="en-GB"/>
        </w:rPr>
      </w:pPr>
      <w:r w:rsidRPr="00972C81">
        <w:rPr>
          <w:noProof/>
          <w:highlight w:val="lightGray"/>
        </w:rPr>
        <w:br w:type="page"/>
      </w:r>
    </w:p>
    <w:p w14:paraId="764A645C" w14:textId="76CC23CC" w:rsidR="009821A6" w:rsidRPr="00972C81" w:rsidRDefault="008278DA" w:rsidP="00E81109">
      <w:pPr>
        <w:pStyle w:val="1"/>
        <w:rPr>
          <w:noProof/>
        </w:rPr>
      </w:pPr>
      <w:r w:rsidRPr="00972C81">
        <w:rPr>
          <w:noProof/>
        </w:rPr>
        <w:lastRenderedPageBreak/>
        <w:t xml:space="preserve"> </w:t>
      </w:r>
      <w:bookmarkStart w:id="235" w:name="_Toc162630073"/>
      <w:r w:rsidR="009821A6" w:rsidRPr="00972C81">
        <w:rPr>
          <w:noProof/>
        </w:rPr>
        <w:t>Actinium (Z=89)</w:t>
      </w:r>
      <w:bookmarkEnd w:id="231"/>
      <w:bookmarkEnd w:id="232"/>
      <w:bookmarkEnd w:id="233"/>
      <w:bookmarkEnd w:id="235"/>
    </w:p>
    <w:p w14:paraId="53DBACED" w14:textId="1C9F233C" w:rsidR="009821A6" w:rsidRPr="00972C81" w:rsidRDefault="009821A6" w:rsidP="00E81109">
      <w:pPr>
        <w:pStyle w:val="2"/>
        <w:rPr>
          <w:noProof/>
          <w:lang w:val="en-GB"/>
        </w:rPr>
      </w:pPr>
      <w:bookmarkStart w:id="236" w:name="_Toc17467892"/>
      <w:bookmarkStart w:id="237" w:name="_Toc455492650"/>
      <w:bookmarkStart w:id="238" w:name="_Toc455493079"/>
      <w:bookmarkStart w:id="239" w:name="_Toc521690391"/>
      <w:bookmarkStart w:id="240" w:name="_Toc162630074"/>
      <w:bookmarkEnd w:id="236"/>
      <w:r w:rsidRPr="00972C81">
        <w:rPr>
          <w:noProof/>
          <w:lang w:val="en-GB"/>
        </w:rPr>
        <w:t>Routes of Intake</w:t>
      </w:r>
      <w:bookmarkEnd w:id="237"/>
      <w:bookmarkEnd w:id="238"/>
      <w:bookmarkEnd w:id="239"/>
      <w:bookmarkEnd w:id="240"/>
    </w:p>
    <w:p w14:paraId="03E3F3E8" w14:textId="77777777" w:rsidR="009821A6" w:rsidRPr="00972C81" w:rsidRDefault="009821A6" w:rsidP="00E81109">
      <w:pPr>
        <w:pStyle w:val="3"/>
        <w:rPr>
          <w:noProof/>
        </w:rPr>
      </w:pPr>
      <w:bookmarkStart w:id="241" w:name="_Toc521690392"/>
      <w:bookmarkStart w:id="242" w:name="_Toc162630075"/>
      <w:r w:rsidRPr="00972C81">
        <w:rPr>
          <w:noProof/>
        </w:rPr>
        <w:t>Inhalation</w:t>
      </w:r>
      <w:bookmarkEnd w:id="241"/>
      <w:bookmarkEnd w:id="242"/>
    </w:p>
    <w:p w14:paraId="2AD21CE7" w14:textId="2F3A9655" w:rsidR="009821A6" w:rsidRPr="00972C81" w:rsidRDefault="009821A6" w:rsidP="001C4A92">
      <w:pPr>
        <w:pStyle w:val="Annalstext"/>
        <w:rPr>
          <w:noProof/>
        </w:rPr>
      </w:pPr>
      <w:r w:rsidRPr="00972C81">
        <w:rPr>
          <w:noProof/>
        </w:rPr>
        <w:t xml:space="preserve">Two studies were found in the literature relating to lung retention of actinium (Ac) </w:t>
      </w:r>
      <w:r w:rsidR="00BB503E">
        <w:rPr>
          <w:noProof/>
        </w:rPr>
        <w:t>in humans</w:t>
      </w:r>
      <w:r w:rsidRPr="00972C81">
        <w:rPr>
          <w:noProof/>
        </w:rPr>
        <w:t xml:space="preserve"> following accidental intakes. No experimental studies were found that give information on absorption of actinium from the respiratory tract. For details see Section 19 of </w:t>
      </w:r>
      <w:r w:rsidR="008278DA" w:rsidRPr="00972C81">
        <w:rPr>
          <w:i/>
          <w:noProof/>
        </w:rPr>
        <w:t>Publication 141</w:t>
      </w:r>
      <w:r w:rsidR="008278DA" w:rsidRPr="00972C81">
        <w:rPr>
          <w:noProof/>
        </w:rPr>
        <w:t xml:space="preserve"> </w:t>
      </w:r>
      <w:r w:rsidR="00631B3F" w:rsidRPr="00972C81">
        <w:rPr>
          <w:noProof/>
        </w:rPr>
        <w:fldChar w:fldCharType="begin"/>
      </w:r>
      <w:r w:rsidR="00631B3F" w:rsidRPr="00972C81">
        <w:rPr>
          <w:noProof/>
        </w:rPr>
        <w:instrText xml:space="preserve"> ADDIN ZOTERO_ITEM CSL_CITATION {"citationID":"QABkaG2X","properties":{"formattedCitation":"(ICRP,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631B3F" w:rsidRPr="00972C81">
        <w:rPr>
          <w:noProof/>
        </w:rPr>
        <w:fldChar w:fldCharType="separate"/>
      </w:r>
      <w:r w:rsidR="00BC59C6" w:rsidRPr="00972C81">
        <w:rPr>
          <w:noProof/>
        </w:rPr>
        <w:t>(ICRP, 2019)</w:t>
      </w:r>
      <w:r w:rsidR="00631B3F" w:rsidRPr="00972C81">
        <w:rPr>
          <w:noProof/>
        </w:rPr>
        <w:fldChar w:fldCharType="end"/>
      </w:r>
      <w:r w:rsidRPr="00972C81">
        <w:rPr>
          <w:noProof/>
        </w:rPr>
        <w:t xml:space="preserve">. As noted in Section 18 of </w:t>
      </w:r>
      <w:r w:rsidR="008278DA" w:rsidRPr="00972C81">
        <w:rPr>
          <w:i/>
          <w:noProof/>
        </w:rPr>
        <w:t>Publication 141</w:t>
      </w:r>
      <w:r w:rsidR="008278DA" w:rsidRPr="00972C81">
        <w:rPr>
          <w:noProof/>
        </w:rPr>
        <w:t xml:space="preserve">, </w:t>
      </w:r>
      <w:r w:rsidRPr="00972C81">
        <w:rPr>
          <w:noProof/>
        </w:rPr>
        <w:t xml:space="preserve">the general actinide Section, in the absence of relevant information, absorption parameter values for actinium are based on chemical analogy: values chosen for americium (Section 23 of </w:t>
      </w:r>
      <w:r w:rsidR="008278DA" w:rsidRPr="00972C81">
        <w:rPr>
          <w:i/>
          <w:noProof/>
        </w:rPr>
        <w:t>Publication 141</w:t>
      </w:r>
      <w:r w:rsidRPr="00972C81">
        <w:rPr>
          <w:noProof/>
        </w:rPr>
        <w:t xml:space="preserve">) are applied in this document to actinium.  Absorption parameter values and Types, and associated </w:t>
      </w:r>
      <w:r w:rsidRPr="00972C81">
        <w:rPr>
          <w:i/>
          <w:noProof/>
        </w:rPr>
        <w:t>f</w:t>
      </w:r>
      <w:r w:rsidRPr="00972C81">
        <w:rPr>
          <w:noProof/>
          <w:vertAlign w:val="subscript"/>
        </w:rPr>
        <w:t>A</w:t>
      </w:r>
      <w:r w:rsidRPr="00972C81">
        <w:rPr>
          <w:noProof/>
        </w:rPr>
        <w:t xml:space="preserve"> values for particulate forms of actinium are given in </w:t>
      </w:r>
      <w:r w:rsidR="00631B3F" w:rsidRPr="00972C81">
        <w:rPr>
          <w:noProof/>
        </w:rPr>
        <w:fldChar w:fldCharType="begin"/>
      </w:r>
      <w:r w:rsidR="00631B3F" w:rsidRPr="00972C81">
        <w:rPr>
          <w:noProof/>
        </w:rPr>
        <w:instrText xml:space="preserve"> REF _Ref142410034 \h </w:instrText>
      </w:r>
      <w:r w:rsidR="00631B3F" w:rsidRPr="00972C81">
        <w:rPr>
          <w:noProof/>
        </w:rPr>
      </w:r>
      <w:r w:rsidR="00631B3F" w:rsidRPr="00972C81">
        <w:rPr>
          <w:noProof/>
        </w:rPr>
        <w:fldChar w:fldCharType="separate"/>
      </w:r>
      <w:r w:rsidR="00A41AD1" w:rsidRPr="00A41AD1">
        <w:rPr>
          <w:noProof/>
          <w:szCs w:val="24"/>
        </w:rPr>
        <w:t xml:space="preserve">Table </w:t>
      </w:r>
      <w:r w:rsidR="00A41AD1">
        <w:rPr>
          <w:noProof/>
          <w:szCs w:val="24"/>
        </w:rPr>
        <w:t>17</w:t>
      </w:r>
      <w:r w:rsidR="00A41AD1" w:rsidRPr="00A41AD1">
        <w:rPr>
          <w:noProof/>
          <w:szCs w:val="24"/>
        </w:rPr>
        <w:t>.</w:t>
      </w:r>
      <w:r w:rsidR="00A41AD1">
        <w:rPr>
          <w:noProof/>
          <w:szCs w:val="24"/>
        </w:rPr>
        <w:t>1</w:t>
      </w:r>
      <w:r w:rsidR="00631B3F" w:rsidRPr="00972C81">
        <w:rPr>
          <w:noProof/>
        </w:rPr>
        <w:fldChar w:fldCharType="end"/>
      </w:r>
      <w:r w:rsidRPr="00972C81">
        <w:rPr>
          <w:noProof/>
        </w:rPr>
        <w:t xml:space="preserve"> (taken from Section 19 of </w:t>
      </w:r>
      <w:r w:rsidR="008278DA" w:rsidRPr="00972C81">
        <w:rPr>
          <w:i/>
          <w:noProof/>
        </w:rPr>
        <w:t>Publication 141</w:t>
      </w:r>
      <w:r w:rsidR="008278DA" w:rsidRPr="00972C81">
        <w:rPr>
          <w:noProof/>
        </w:rPr>
        <w:t xml:space="preserve"> (ICRP, 2019)</w:t>
      </w:r>
      <w:r w:rsidRPr="00972C81">
        <w:rPr>
          <w:noProof/>
        </w:rPr>
        <w:t>.</w:t>
      </w:r>
    </w:p>
    <w:p w14:paraId="59AB930C" w14:textId="77777777" w:rsidR="009821A6" w:rsidRPr="00972C81" w:rsidRDefault="009821A6" w:rsidP="009821A6">
      <w:pPr>
        <w:rPr>
          <w:rFonts w:ascii="Times Roman" w:hAnsi="Times Roman"/>
          <w:noProof/>
          <w:color w:val="000000" w:themeColor="text1"/>
        </w:rPr>
      </w:pPr>
    </w:p>
    <w:p w14:paraId="5DE61C93" w14:textId="75A5F47F" w:rsidR="009821A6" w:rsidRPr="00C47F2F" w:rsidRDefault="00631B3F" w:rsidP="00E81109">
      <w:pPr>
        <w:pStyle w:val="ab"/>
        <w:rPr>
          <w:noProof/>
          <w:sz w:val="24"/>
          <w:szCs w:val="24"/>
        </w:rPr>
      </w:pPr>
      <w:bookmarkStart w:id="243" w:name="_Ref142410034"/>
      <w:bookmarkStart w:id="244" w:name="_Ref417999804"/>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Pr>
          <w:noProof/>
          <w:sz w:val="24"/>
          <w:szCs w:val="24"/>
        </w:rPr>
        <w:t>17</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Pr>
          <w:noProof/>
          <w:sz w:val="24"/>
          <w:szCs w:val="24"/>
        </w:rPr>
        <w:t>1</w:t>
      </w:r>
      <w:r w:rsidR="00EA3750" w:rsidRPr="00C47F2F">
        <w:rPr>
          <w:noProof/>
          <w:sz w:val="24"/>
          <w:szCs w:val="24"/>
        </w:rPr>
        <w:fldChar w:fldCharType="end"/>
      </w:r>
      <w:bookmarkEnd w:id="243"/>
      <w:r w:rsidRPr="00C47F2F">
        <w:rPr>
          <w:noProof/>
          <w:sz w:val="24"/>
          <w:szCs w:val="24"/>
        </w:rPr>
        <w:t xml:space="preserve">. </w:t>
      </w:r>
      <w:bookmarkEnd w:id="244"/>
      <w:r w:rsidR="009821A6" w:rsidRPr="00C47F2F">
        <w:rPr>
          <w:noProof/>
          <w:sz w:val="24"/>
          <w:szCs w:val="24"/>
        </w:rPr>
        <w:t xml:space="preserve">Absorption parameter values for inhaled and ingested actinium </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548"/>
        <w:gridCol w:w="445"/>
        <w:gridCol w:w="70"/>
        <w:gridCol w:w="1101"/>
        <w:gridCol w:w="960"/>
        <w:gridCol w:w="213"/>
        <w:gridCol w:w="641"/>
        <w:gridCol w:w="117"/>
        <w:gridCol w:w="415"/>
        <w:gridCol w:w="462"/>
        <w:gridCol w:w="96"/>
        <w:gridCol w:w="614"/>
        <w:gridCol w:w="359"/>
        <w:gridCol w:w="814"/>
        <w:gridCol w:w="1172"/>
      </w:tblGrid>
      <w:tr w:rsidR="004738EF" w:rsidRPr="00972C81" w14:paraId="311EA838" w14:textId="77777777" w:rsidTr="000F593F">
        <w:trPr>
          <w:cantSplit/>
          <w:trHeight w:val="340"/>
        </w:trPr>
        <w:tc>
          <w:tcPr>
            <w:tcW w:w="2284" w:type="pct"/>
            <w:gridSpan w:val="5"/>
            <w:vMerge w:val="restart"/>
            <w:tcBorders>
              <w:top w:val="single" w:sz="4" w:space="0" w:color="auto"/>
              <w:left w:val="nil"/>
              <w:bottom w:val="single" w:sz="4" w:space="0" w:color="auto"/>
              <w:right w:val="nil"/>
            </w:tcBorders>
            <w:vAlign w:val="center"/>
            <w:hideMark/>
          </w:tcPr>
          <w:p w14:paraId="18E7C166" w14:textId="77777777" w:rsidR="004738EF" w:rsidRPr="00C23664" w:rsidRDefault="004738EF" w:rsidP="00173589">
            <w:pPr>
              <w:pStyle w:val="Table"/>
              <w:rPr>
                <w:noProof/>
                <w:szCs w:val="22"/>
              </w:rPr>
            </w:pPr>
            <w:r w:rsidRPr="00C23664">
              <w:rPr>
                <w:noProof/>
                <w:szCs w:val="22"/>
              </w:rPr>
              <w:t>Inhaled particulate materials</w:t>
            </w:r>
          </w:p>
        </w:tc>
        <w:tc>
          <w:tcPr>
            <w:tcW w:w="1616" w:type="pct"/>
            <w:gridSpan w:val="8"/>
            <w:tcBorders>
              <w:top w:val="single" w:sz="4" w:space="0" w:color="auto"/>
              <w:left w:val="nil"/>
              <w:bottom w:val="single" w:sz="4" w:space="0" w:color="auto"/>
              <w:right w:val="nil"/>
            </w:tcBorders>
            <w:vAlign w:val="center"/>
            <w:hideMark/>
          </w:tcPr>
          <w:p w14:paraId="0DF319D5" w14:textId="0242252A" w:rsidR="004738EF" w:rsidRPr="00C23664" w:rsidRDefault="004738EF" w:rsidP="000F593F">
            <w:pPr>
              <w:pStyle w:val="Table"/>
              <w:jc w:val="center"/>
              <w:rPr>
                <w:noProof/>
                <w:szCs w:val="22"/>
                <w:vertAlign w:val="superscript"/>
              </w:rPr>
            </w:pPr>
            <w:r w:rsidRPr="00C23664">
              <w:rPr>
                <w:noProof/>
                <w:szCs w:val="22"/>
              </w:rPr>
              <w:t>Absorption parameter values</w:t>
            </w:r>
            <w:r w:rsidRPr="00C23664">
              <w:rPr>
                <w:noProof/>
                <w:szCs w:val="22"/>
                <w:vertAlign w:val="superscript"/>
              </w:rPr>
              <w:t>*</w:t>
            </w:r>
          </w:p>
        </w:tc>
        <w:tc>
          <w:tcPr>
            <w:tcW w:w="1100" w:type="pct"/>
            <w:gridSpan w:val="2"/>
            <w:vMerge w:val="restart"/>
            <w:tcBorders>
              <w:top w:val="single" w:sz="4" w:space="0" w:color="auto"/>
              <w:left w:val="nil"/>
              <w:bottom w:val="single" w:sz="4" w:space="0" w:color="auto"/>
              <w:right w:val="nil"/>
            </w:tcBorders>
            <w:vAlign w:val="center"/>
            <w:hideMark/>
          </w:tcPr>
          <w:p w14:paraId="4232C790" w14:textId="3E60E94D" w:rsidR="004738EF" w:rsidRPr="00C23664" w:rsidRDefault="004738EF" w:rsidP="000F593F">
            <w:pPr>
              <w:pStyle w:val="Table"/>
              <w:rPr>
                <w:noProof/>
                <w:szCs w:val="22"/>
                <w:vertAlign w:val="superscript"/>
              </w:rPr>
            </w:pPr>
            <w:r w:rsidRPr="00C23664">
              <w:rPr>
                <w:noProof/>
                <w:szCs w:val="22"/>
              </w:rPr>
              <w:t xml:space="preserve">Absorption from the alimentary tract, </w:t>
            </w:r>
            <w:r w:rsidRPr="00C23664">
              <w:rPr>
                <w:i/>
                <w:noProof/>
                <w:szCs w:val="22"/>
              </w:rPr>
              <w:t>f</w:t>
            </w:r>
            <w:r w:rsidRPr="00C23664">
              <w:rPr>
                <w:noProof/>
                <w:szCs w:val="22"/>
                <w:vertAlign w:val="subscript"/>
              </w:rPr>
              <w:t>A</w:t>
            </w:r>
            <w:r w:rsidRPr="00C23664">
              <w:rPr>
                <w:noProof/>
                <w:szCs w:val="22"/>
                <w:vertAlign w:val="superscript"/>
              </w:rPr>
              <w:t>†</w:t>
            </w:r>
          </w:p>
        </w:tc>
      </w:tr>
      <w:tr w:rsidR="00100C52" w:rsidRPr="00972C81" w14:paraId="40039528" w14:textId="77777777" w:rsidTr="000F593F">
        <w:trPr>
          <w:cantSplit/>
          <w:trHeight w:val="340"/>
        </w:trPr>
        <w:tc>
          <w:tcPr>
            <w:tcW w:w="2284" w:type="pct"/>
            <w:gridSpan w:val="5"/>
            <w:vMerge/>
            <w:tcBorders>
              <w:top w:val="single" w:sz="4" w:space="0" w:color="auto"/>
              <w:left w:val="nil"/>
              <w:bottom w:val="single" w:sz="4" w:space="0" w:color="auto"/>
              <w:right w:val="nil"/>
            </w:tcBorders>
            <w:vAlign w:val="center"/>
            <w:hideMark/>
          </w:tcPr>
          <w:p w14:paraId="00283C12" w14:textId="77777777" w:rsidR="004738EF" w:rsidRPr="00C23664" w:rsidRDefault="004738EF" w:rsidP="00E81109">
            <w:pPr>
              <w:pStyle w:val="Table"/>
              <w:rPr>
                <w:noProof/>
                <w:szCs w:val="22"/>
              </w:rPr>
            </w:pPr>
          </w:p>
        </w:tc>
        <w:tc>
          <w:tcPr>
            <w:tcW w:w="538" w:type="pct"/>
            <w:gridSpan w:val="3"/>
            <w:tcBorders>
              <w:top w:val="single" w:sz="4" w:space="0" w:color="auto"/>
              <w:left w:val="nil"/>
              <w:bottom w:val="single" w:sz="4" w:space="0" w:color="auto"/>
              <w:right w:val="nil"/>
            </w:tcBorders>
            <w:vAlign w:val="center"/>
            <w:hideMark/>
          </w:tcPr>
          <w:p w14:paraId="22953C35" w14:textId="77777777" w:rsidR="004738EF" w:rsidRPr="00C23664" w:rsidRDefault="004738EF" w:rsidP="000F593F">
            <w:pPr>
              <w:pStyle w:val="Table"/>
              <w:rPr>
                <w:noProof/>
                <w:szCs w:val="22"/>
              </w:rPr>
            </w:pPr>
            <w:r w:rsidRPr="00C23664">
              <w:rPr>
                <w:i/>
                <w:noProof/>
                <w:szCs w:val="22"/>
              </w:rPr>
              <w:t>f</w:t>
            </w:r>
            <w:r w:rsidRPr="00C23664">
              <w:rPr>
                <w:noProof/>
                <w:szCs w:val="22"/>
                <w:vertAlign w:val="subscript"/>
              </w:rPr>
              <w:t>r</w:t>
            </w:r>
          </w:p>
        </w:tc>
        <w:tc>
          <w:tcPr>
            <w:tcW w:w="539" w:type="pct"/>
            <w:gridSpan w:val="3"/>
            <w:tcBorders>
              <w:top w:val="single" w:sz="4" w:space="0" w:color="auto"/>
              <w:left w:val="nil"/>
              <w:bottom w:val="single" w:sz="4" w:space="0" w:color="auto"/>
              <w:right w:val="nil"/>
            </w:tcBorders>
            <w:vAlign w:val="center"/>
            <w:hideMark/>
          </w:tcPr>
          <w:p w14:paraId="5233838A" w14:textId="77777777" w:rsidR="004738EF" w:rsidRPr="00C23664" w:rsidRDefault="004738EF" w:rsidP="000F593F">
            <w:pPr>
              <w:pStyle w:val="Table"/>
              <w:rPr>
                <w:noProof/>
                <w:szCs w:val="22"/>
              </w:rPr>
            </w:pPr>
            <w:r w:rsidRPr="00C23664">
              <w:rPr>
                <w:i/>
                <w:noProof/>
                <w:szCs w:val="22"/>
              </w:rPr>
              <w:t>s</w:t>
            </w:r>
            <w:r w:rsidRPr="00C23664">
              <w:rPr>
                <w:noProof/>
                <w:szCs w:val="22"/>
                <w:vertAlign w:val="subscript"/>
              </w:rPr>
              <w:t>r</w:t>
            </w:r>
            <w:r w:rsidRPr="00C23664">
              <w:rPr>
                <w:noProof/>
                <w:szCs w:val="22"/>
              </w:rPr>
              <w:t xml:space="preserve"> (d</w:t>
            </w:r>
            <w:r w:rsidRPr="00C23664">
              <w:rPr>
                <w:noProof/>
                <w:szCs w:val="22"/>
                <w:vertAlign w:val="superscript"/>
              </w:rPr>
              <w:t>–1</w:t>
            </w:r>
            <w:r w:rsidRPr="00C23664">
              <w:rPr>
                <w:noProof/>
                <w:szCs w:val="22"/>
              </w:rPr>
              <w:t>)</w:t>
            </w:r>
          </w:p>
        </w:tc>
        <w:tc>
          <w:tcPr>
            <w:tcW w:w="539" w:type="pct"/>
            <w:gridSpan w:val="2"/>
            <w:tcBorders>
              <w:top w:val="single" w:sz="4" w:space="0" w:color="auto"/>
              <w:left w:val="nil"/>
              <w:bottom w:val="single" w:sz="4" w:space="0" w:color="auto"/>
              <w:right w:val="nil"/>
            </w:tcBorders>
            <w:vAlign w:val="center"/>
            <w:hideMark/>
          </w:tcPr>
          <w:p w14:paraId="1D4A1589" w14:textId="77777777" w:rsidR="004738EF" w:rsidRPr="00C23664" w:rsidRDefault="004738EF" w:rsidP="000F593F">
            <w:pPr>
              <w:pStyle w:val="Table"/>
              <w:rPr>
                <w:noProof/>
                <w:szCs w:val="22"/>
              </w:rPr>
            </w:pPr>
            <w:r w:rsidRPr="00C23664">
              <w:rPr>
                <w:i/>
                <w:noProof/>
                <w:szCs w:val="22"/>
              </w:rPr>
              <w:t>s</w:t>
            </w:r>
            <w:r w:rsidRPr="00C23664">
              <w:rPr>
                <w:noProof/>
                <w:szCs w:val="22"/>
                <w:vertAlign w:val="subscript"/>
              </w:rPr>
              <w:t>s</w:t>
            </w:r>
            <w:r w:rsidRPr="00C23664">
              <w:rPr>
                <w:noProof/>
                <w:szCs w:val="22"/>
              </w:rPr>
              <w:t xml:space="preserve"> (d</w:t>
            </w:r>
            <w:r w:rsidRPr="00C23664">
              <w:rPr>
                <w:noProof/>
                <w:szCs w:val="22"/>
                <w:vertAlign w:val="superscript"/>
              </w:rPr>
              <w:t>–1</w:t>
            </w:r>
            <w:r w:rsidRPr="00C23664">
              <w:rPr>
                <w:noProof/>
                <w:szCs w:val="22"/>
              </w:rPr>
              <w:t>)</w:t>
            </w:r>
          </w:p>
        </w:tc>
        <w:tc>
          <w:tcPr>
            <w:tcW w:w="1100" w:type="pct"/>
            <w:gridSpan w:val="2"/>
            <w:vMerge/>
            <w:tcBorders>
              <w:top w:val="single" w:sz="4" w:space="0" w:color="auto"/>
              <w:left w:val="nil"/>
              <w:bottom w:val="single" w:sz="4" w:space="0" w:color="auto"/>
              <w:right w:val="nil"/>
            </w:tcBorders>
            <w:vAlign w:val="center"/>
            <w:hideMark/>
          </w:tcPr>
          <w:p w14:paraId="3E28D86D" w14:textId="77777777" w:rsidR="004738EF" w:rsidRPr="00C23664" w:rsidRDefault="004738EF" w:rsidP="00E81109">
            <w:pPr>
              <w:pStyle w:val="Table"/>
              <w:rPr>
                <w:noProof/>
                <w:szCs w:val="22"/>
                <w:vertAlign w:val="superscript"/>
              </w:rPr>
            </w:pPr>
          </w:p>
        </w:tc>
      </w:tr>
      <w:tr w:rsidR="00100C52" w:rsidRPr="00972C81" w14:paraId="04BE198A" w14:textId="77777777" w:rsidTr="000F593F">
        <w:trPr>
          <w:trHeight w:val="340"/>
        </w:trPr>
        <w:tc>
          <w:tcPr>
            <w:tcW w:w="2284" w:type="pct"/>
            <w:gridSpan w:val="5"/>
            <w:tcBorders>
              <w:top w:val="single" w:sz="4" w:space="0" w:color="auto"/>
              <w:left w:val="nil"/>
              <w:bottom w:val="nil"/>
              <w:right w:val="nil"/>
            </w:tcBorders>
            <w:hideMark/>
          </w:tcPr>
          <w:p w14:paraId="0B06693F" w14:textId="74B63583" w:rsidR="004738EF" w:rsidRPr="00C23664" w:rsidRDefault="004738EF" w:rsidP="000F593F">
            <w:pPr>
              <w:pStyle w:val="Table"/>
              <w:rPr>
                <w:noProof/>
                <w:szCs w:val="22"/>
              </w:rPr>
            </w:pPr>
            <w:r w:rsidRPr="00C23664">
              <w:rPr>
                <w:noProof/>
                <w:szCs w:val="22"/>
              </w:rPr>
              <w:t>Default parameter values</w:t>
            </w:r>
            <w:r w:rsidR="00A5262E" w:rsidRPr="00C23664">
              <w:rPr>
                <w:noProof/>
                <w:szCs w:val="22"/>
                <w:vertAlign w:val="superscript"/>
              </w:rPr>
              <w:t>‡</w:t>
            </w:r>
          </w:p>
        </w:tc>
        <w:tc>
          <w:tcPr>
            <w:tcW w:w="538" w:type="pct"/>
            <w:gridSpan w:val="3"/>
            <w:tcBorders>
              <w:top w:val="single" w:sz="4" w:space="0" w:color="auto"/>
              <w:left w:val="nil"/>
              <w:bottom w:val="nil"/>
              <w:right w:val="nil"/>
            </w:tcBorders>
          </w:tcPr>
          <w:p w14:paraId="1000555B" w14:textId="77777777" w:rsidR="004738EF" w:rsidRPr="00C23664" w:rsidRDefault="004738EF" w:rsidP="000F593F">
            <w:pPr>
              <w:pStyle w:val="Table"/>
              <w:rPr>
                <w:noProof/>
                <w:szCs w:val="22"/>
              </w:rPr>
            </w:pPr>
          </w:p>
        </w:tc>
        <w:tc>
          <w:tcPr>
            <w:tcW w:w="539" w:type="pct"/>
            <w:gridSpan w:val="3"/>
            <w:tcBorders>
              <w:top w:val="single" w:sz="4" w:space="0" w:color="auto"/>
              <w:left w:val="nil"/>
              <w:bottom w:val="nil"/>
              <w:right w:val="nil"/>
            </w:tcBorders>
          </w:tcPr>
          <w:p w14:paraId="77D731C3" w14:textId="77777777" w:rsidR="004738EF" w:rsidRPr="00C23664" w:rsidRDefault="004738EF" w:rsidP="000F593F">
            <w:pPr>
              <w:pStyle w:val="Table"/>
              <w:rPr>
                <w:noProof/>
                <w:szCs w:val="22"/>
              </w:rPr>
            </w:pPr>
          </w:p>
        </w:tc>
        <w:tc>
          <w:tcPr>
            <w:tcW w:w="539" w:type="pct"/>
            <w:gridSpan w:val="2"/>
            <w:tcBorders>
              <w:top w:val="single" w:sz="4" w:space="0" w:color="auto"/>
              <w:left w:val="nil"/>
              <w:bottom w:val="nil"/>
              <w:right w:val="nil"/>
            </w:tcBorders>
          </w:tcPr>
          <w:p w14:paraId="159CFE67" w14:textId="77777777" w:rsidR="004738EF" w:rsidRPr="00C23664" w:rsidRDefault="004738EF" w:rsidP="000F593F">
            <w:pPr>
              <w:pStyle w:val="Table"/>
              <w:rPr>
                <w:noProof/>
                <w:szCs w:val="22"/>
              </w:rPr>
            </w:pPr>
          </w:p>
        </w:tc>
        <w:tc>
          <w:tcPr>
            <w:tcW w:w="1100" w:type="pct"/>
            <w:gridSpan w:val="2"/>
            <w:tcBorders>
              <w:top w:val="single" w:sz="4" w:space="0" w:color="auto"/>
              <w:left w:val="nil"/>
              <w:bottom w:val="nil"/>
              <w:right w:val="nil"/>
            </w:tcBorders>
          </w:tcPr>
          <w:p w14:paraId="42D872EF" w14:textId="77777777" w:rsidR="004738EF" w:rsidRPr="00C23664" w:rsidRDefault="004738EF" w:rsidP="000F593F">
            <w:pPr>
              <w:pStyle w:val="Table"/>
              <w:rPr>
                <w:i/>
                <w:noProof/>
                <w:szCs w:val="22"/>
              </w:rPr>
            </w:pPr>
          </w:p>
        </w:tc>
      </w:tr>
      <w:tr w:rsidR="00100C52" w:rsidRPr="00972C81" w14:paraId="03E3546F" w14:textId="77777777" w:rsidTr="000F593F">
        <w:trPr>
          <w:trHeight w:val="340"/>
        </w:trPr>
        <w:tc>
          <w:tcPr>
            <w:tcW w:w="1142" w:type="pct"/>
            <w:gridSpan w:val="3"/>
            <w:tcBorders>
              <w:top w:val="nil"/>
              <w:left w:val="nil"/>
              <w:bottom w:val="nil"/>
              <w:right w:val="nil"/>
            </w:tcBorders>
            <w:hideMark/>
          </w:tcPr>
          <w:p w14:paraId="0BE66707" w14:textId="77777777" w:rsidR="004738EF" w:rsidRPr="00C23664" w:rsidRDefault="004738EF" w:rsidP="000F593F">
            <w:pPr>
              <w:pStyle w:val="Table"/>
              <w:rPr>
                <w:noProof/>
                <w:szCs w:val="22"/>
              </w:rPr>
            </w:pPr>
            <w:r w:rsidRPr="00C23664">
              <w:rPr>
                <w:noProof/>
                <w:szCs w:val="22"/>
              </w:rPr>
              <w:t>Absorption Type</w:t>
            </w:r>
          </w:p>
        </w:tc>
        <w:tc>
          <w:tcPr>
            <w:tcW w:w="1142" w:type="pct"/>
            <w:gridSpan w:val="2"/>
            <w:tcBorders>
              <w:top w:val="nil"/>
              <w:left w:val="nil"/>
              <w:bottom w:val="nil"/>
              <w:right w:val="nil"/>
            </w:tcBorders>
            <w:hideMark/>
          </w:tcPr>
          <w:p w14:paraId="210B2B3F" w14:textId="77777777" w:rsidR="004738EF" w:rsidRPr="00C23664" w:rsidRDefault="004738EF" w:rsidP="000F593F">
            <w:pPr>
              <w:pStyle w:val="Table"/>
              <w:rPr>
                <w:noProof/>
                <w:szCs w:val="22"/>
              </w:rPr>
            </w:pPr>
            <w:r w:rsidRPr="00C23664">
              <w:rPr>
                <w:noProof/>
                <w:szCs w:val="22"/>
              </w:rPr>
              <w:t>Assigned forms</w:t>
            </w:r>
          </w:p>
        </w:tc>
        <w:tc>
          <w:tcPr>
            <w:tcW w:w="538" w:type="pct"/>
            <w:gridSpan w:val="3"/>
            <w:tcBorders>
              <w:top w:val="nil"/>
              <w:left w:val="nil"/>
              <w:bottom w:val="nil"/>
              <w:right w:val="nil"/>
            </w:tcBorders>
          </w:tcPr>
          <w:p w14:paraId="4486D01A" w14:textId="77777777" w:rsidR="004738EF" w:rsidRPr="00C23664" w:rsidRDefault="004738EF" w:rsidP="000F593F">
            <w:pPr>
              <w:pStyle w:val="Table"/>
              <w:rPr>
                <w:noProof/>
                <w:szCs w:val="22"/>
              </w:rPr>
            </w:pPr>
          </w:p>
        </w:tc>
        <w:tc>
          <w:tcPr>
            <w:tcW w:w="539" w:type="pct"/>
            <w:gridSpan w:val="3"/>
            <w:tcBorders>
              <w:top w:val="nil"/>
              <w:left w:val="nil"/>
              <w:bottom w:val="nil"/>
              <w:right w:val="nil"/>
            </w:tcBorders>
          </w:tcPr>
          <w:p w14:paraId="02EA427A" w14:textId="77777777" w:rsidR="004738EF" w:rsidRPr="00C23664" w:rsidRDefault="004738EF" w:rsidP="000F593F">
            <w:pPr>
              <w:pStyle w:val="Table"/>
              <w:rPr>
                <w:noProof/>
                <w:szCs w:val="22"/>
              </w:rPr>
            </w:pPr>
          </w:p>
        </w:tc>
        <w:tc>
          <w:tcPr>
            <w:tcW w:w="539" w:type="pct"/>
            <w:gridSpan w:val="2"/>
            <w:tcBorders>
              <w:top w:val="nil"/>
              <w:left w:val="nil"/>
              <w:bottom w:val="nil"/>
              <w:right w:val="nil"/>
            </w:tcBorders>
          </w:tcPr>
          <w:p w14:paraId="7004EB4E" w14:textId="77777777" w:rsidR="004738EF" w:rsidRPr="00C23664" w:rsidRDefault="004738EF" w:rsidP="000F593F">
            <w:pPr>
              <w:pStyle w:val="Table"/>
              <w:rPr>
                <w:noProof/>
                <w:szCs w:val="22"/>
              </w:rPr>
            </w:pPr>
          </w:p>
        </w:tc>
        <w:tc>
          <w:tcPr>
            <w:tcW w:w="1100" w:type="pct"/>
            <w:gridSpan w:val="2"/>
            <w:tcBorders>
              <w:top w:val="nil"/>
              <w:left w:val="nil"/>
              <w:bottom w:val="nil"/>
              <w:right w:val="nil"/>
            </w:tcBorders>
          </w:tcPr>
          <w:p w14:paraId="07C3F6E5" w14:textId="77777777" w:rsidR="004738EF" w:rsidRPr="00C23664" w:rsidRDefault="004738EF" w:rsidP="000F593F">
            <w:pPr>
              <w:pStyle w:val="Table"/>
              <w:rPr>
                <w:noProof/>
                <w:szCs w:val="22"/>
              </w:rPr>
            </w:pPr>
          </w:p>
        </w:tc>
      </w:tr>
      <w:tr w:rsidR="004738EF" w:rsidRPr="00972C81" w14:paraId="482E1CEF" w14:textId="77777777" w:rsidTr="000F593F">
        <w:trPr>
          <w:trHeight w:val="340"/>
        </w:trPr>
        <w:tc>
          <w:tcPr>
            <w:tcW w:w="1142" w:type="pct"/>
            <w:gridSpan w:val="3"/>
            <w:tcBorders>
              <w:top w:val="nil"/>
              <w:left w:val="nil"/>
              <w:bottom w:val="nil"/>
              <w:right w:val="nil"/>
            </w:tcBorders>
            <w:hideMark/>
          </w:tcPr>
          <w:p w14:paraId="432AE45D" w14:textId="77777777" w:rsidR="004738EF" w:rsidRPr="00C23664" w:rsidRDefault="004738EF" w:rsidP="000F593F">
            <w:pPr>
              <w:pStyle w:val="Table"/>
              <w:rPr>
                <w:noProof/>
                <w:szCs w:val="22"/>
              </w:rPr>
            </w:pPr>
            <w:r w:rsidRPr="00C23664">
              <w:rPr>
                <w:noProof/>
                <w:szCs w:val="22"/>
              </w:rPr>
              <w:t>F</w:t>
            </w:r>
          </w:p>
        </w:tc>
        <w:tc>
          <w:tcPr>
            <w:tcW w:w="1142" w:type="pct"/>
            <w:gridSpan w:val="2"/>
            <w:tcBorders>
              <w:top w:val="nil"/>
              <w:left w:val="nil"/>
              <w:bottom w:val="nil"/>
              <w:right w:val="nil"/>
            </w:tcBorders>
            <w:hideMark/>
          </w:tcPr>
          <w:p w14:paraId="5F87ACE8" w14:textId="6DA9DAE8" w:rsidR="004738EF" w:rsidRPr="00C23664" w:rsidRDefault="004738EF" w:rsidP="000F593F">
            <w:pPr>
              <w:pStyle w:val="Table"/>
              <w:rPr>
                <w:noProof/>
                <w:szCs w:val="22"/>
              </w:rPr>
            </w:pPr>
            <w:r w:rsidRPr="00C23664">
              <w:rPr>
                <w:rFonts w:ascii="Times Roman" w:hAnsi="Times Roman"/>
                <w:noProof/>
                <w:color w:val="000000" w:themeColor="text1"/>
                <w:szCs w:val="22"/>
              </w:rPr>
              <w:t>Citrate</w:t>
            </w:r>
          </w:p>
        </w:tc>
        <w:tc>
          <w:tcPr>
            <w:tcW w:w="538" w:type="pct"/>
            <w:gridSpan w:val="3"/>
            <w:tcBorders>
              <w:top w:val="nil"/>
              <w:left w:val="nil"/>
              <w:bottom w:val="nil"/>
              <w:right w:val="nil"/>
            </w:tcBorders>
            <w:hideMark/>
          </w:tcPr>
          <w:p w14:paraId="73013A69" w14:textId="37C051BA" w:rsidR="004738EF" w:rsidRPr="00C23664" w:rsidRDefault="004738EF" w:rsidP="000F593F">
            <w:pPr>
              <w:pStyle w:val="Table"/>
              <w:rPr>
                <w:noProof/>
                <w:szCs w:val="22"/>
              </w:rPr>
            </w:pPr>
            <w:r w:rsidRPr="00C23664">
              <w:rPr>
                <w:rFonts w:ascii="Times Roman" w:hAnsi="Times Roman"/>
                <w:noProof/>
                <w:color w:val="000000" w:themeColor="text1"/>
                <w:szCs w:val="22"/>
              </w:rPr>
              <w:t>1</w:t>
            </w:r>
          </w:p>
        </w:tc>
        <w:tc>
          <w:tcPr>
            <w:tcW w:w="539" w:type="pct"/>
            <w:gridSpan w:val="3"/>
            <w:tcBorders>
              <w:top w:val="nil"/>
              <w:left w:val="nil"/>
              <w:bottom w:val="nil"/>
              <w:right w:val="nil"/>
            </w:tcBorders>
            <w:hideMark/>
          </w:tcPr>
          <w:p w14:paraId="112AD133" w14:textId="34A901A3" w:rsidR="004738EF" w:rsidRPr="00C23664" w:rsidRDefault="004738EF" w:rsidP="000F593F">
            <w:pPr>
              <w:pStyle w:val="Table"/>
              <w:rPr>
                <w:noProof/>
                <w:szCs w:val="22"/>
              </w:rPr>
            </w:pPr>
            <w:r w:rsidRPr="00C23664">
              <w:rPr>
                <w:rFonts w:ascii="Times Roman" w:hAnsi="Times Roman"/>
                <w:noProof/>
                <w:color w:val="000000" w:themeColor="text1"/>
                <w:szCs w:val="22"/>
              </w:rPr>
              <w:t>0.4</w:t>
            </w:r>
          </w:p>
        </w:tc>
        <w:tc>
          <w:tcPr>
            <w:tcW w:w="539" w:type="pct"/>
            <w:gridSpan w:val="2"/>
            <w:tcBorders>
              <w:top w:val="nil"/>
              <w:left w:val="nil"/>
              <w:bottom w:val="nil"/>
              <w:right w:val="nil"/>
            </w:tcBorders>
            <w:hideMark/>
          </w:tcPr>
          <w:p w14:paraId="32A8392A" w14:textId="5C8CEA86" w:rsidR="004738EF" w:rsidRPr="00C23664" w:rsidRDefault="004738EF" w:rsidP="000F593F">
            <w:pPr>
              <w:pStyle w:val="Table"/>
              <w:rPr>
                <w:noProof/>
                <w:szCs w:val="22"/>
              </w:rPr>
            </w:pPr>
            <w:r w:rsidRPr="00C23664">
              <w:rPr>
                <w:rFonts w:ascii="Times Roman" w:hAnsi="Times Roman"/>
                <w:noProof/>
                <w:color w:val="000000" w:themeColor="text1"/>
                <w:szCs w:val="22"/>
              </w:rPr>
              <w:t>–</w:t>
            </w:r>
          </w:p>
        </w:tc>
        <w:tc>
          <w:tcPr>
            <w:tcW w:w="1100" w:type="pct"/>
            <w:gridSpan w:val="2"/>
            <w:tcBorders>
              <w:top w:val="nil"/>
              <w:left w:val="nil"/>
              <w:bottom w:val="nil"/>
              <w:right w:val="nil"/>
            </w:tcBorders>
            <w:hideMark/>
          </w:tcPr>
          <w:p w14:paraId="7AA5DD77" w14:textId="0D2FE9FD" w:rsidR="004738EF" w:rsidRPr="00C23664" w:rsidRDefault="004738EF" w:rsidP="000F593F">
            <w:pPr>
              <w:pStyle w:val="Table"/>
              <w:rPr>
                <w:noProof/>
                <w:szCs w:val="22"/>
              </w:rPr>
            </w:pPr>
            <w:r w:rsidRPr="00C23664">
              <w:rPr>
                <w:rFonts w:ascii="Times Roman" w:hAnsi="Times Roman"/>
                <w:noProof/>
                <w:color w:val="000000" w:themeColor="text1"/>
                <w:szCs w:val="22"/>
              </w:rPr>
              <w:t>5 × 10</w:t>
            </w:r>
            <w:r w:rsidRPr="00C23664">
              <w:rPr>
                <w:rFonts w:ascii="Times Roman" w:hAnsi="Times Roman"/>
                <w:noProof/>
                <w:color w:val="000000" w:themeColor="text1"/>
                <w:szCs w:val="22"/>
                <w:vertAlign w:val="superscript"/>
              </w:rPr>
              <w:t>–4</w:t>
            </w:r>
          </w:p>
        </w:tc>
      </w:tr>
      <w:tr w:rsidR="004738EF" w:rsidRPr="00972C81" w14:paraId="1D782B35" w14:textId="77777777" w:rsidTr="000F593F">
        <w:trPr>
          <w:trHeight w:val="340"/>
        </w:trPr>
        <w:tc>
          <w:tcPr>
            <w:tcW w:w="1142" w:type="pct"/>
            <w:gridSpan w:val="3"/>
            <w:tcBorders>
              <w:top w:val="nil"/>
              <w:left w:val="nil"/>
              <w:bottom w:val="nil"/>
              <w:right w:val="nil"/>
            </w:tcBorders>
            <w:hideMark/>
          </w:tcPr>
          <w:p w14:paraId="2C18DCA9" w14:textId="11BD12A3" w:rsidR="004738EF" w:rsidRPr="00C23664" w:rsidRDefault="004738EF" w:rsidP="000F593F">
            <w:pPr>
              <w:pStyle w:val="Table"/>
              <w:rPr>
                <w:noProof/>
                <w:szCs w:val="22"/>
              </w:rPr>
            </w:pPr>
            <w:r w:rsidRPr="00C23664">
              <w:rPr>
                <w:noProof/>
                <w:szCs w:val="22"/>
              </w:rPr>
              <w:t>M</w:t>
            </w:r>
            <w:r w:rsidR="00A5262E" w:rsidRPr="00C23664">
              <w:rPr>
                <w:noProof/>
                <w:szCs w:val="22"/>
                <w:vertAlign w:val="superscript"/>
              </w:rPr>
              <w:t>§</w:t>
            </w:r>
          </w:p>
        </w:tc>
        <w:tc>
          <w:tcPr>
            <w:tcW w:w="1142" w:type="pct"/>
            <w:gridSpan w:val="2"/>
            <w:tcBorders>
              <w:top w:val="nil"/>
              <w:left w:val="nil"/>
              <w:bottom w:val="nil"/>
              <w:right w:val="nil"/>
            </w:tcBorders>
            <w:hideMark/>
          </w:tcPr>
          <w:p w14:paraId="50D5FF15" w14:textId="321F518D" w:rsidR="004738EF" w:rsidRPr="00C23664" w:rsidRDefault="004738EF" w:rsidP="000F593F">
            <w:pPr>
              <w:pStyle w:val="Table"/>
              <w:rPr>
                <w:noProof/>
                <w:szCs w:val="22"/>
                <w:vertAlign w:val="superscript"/>
              </w:rPr>
            </w:pPr>
            <w:r w:rsidRPr="00C23664">
              <w:rPr>
                <w:rFonts w:ascii="Times Roman" w:hAnsi="Times Roman"/>
                <w:noProof/>
                <w:color w:val="000000" w:themeColor="text1"/>
                <w:szCs w:val="22"/>
              </w:rPr>
              <w:t>Chloride, oxide</w:t>
            </w:r>
          </w:p>
        </w:tc>
        <w:tc>
          <w:tcPr>
            <w:tcW w:w="538" w:type="pct"/>
            <w:gridSpan w:val="3"/>
            <w:tcBorders>
              <w:top w:val="nil"/>
              <w:left w:val="nil"/>
              <w:bottom w:val="nil"/>
              <w:right w:val="nil"/>
            </w:tcBorders>
            <w:hideMark/>
          </w:tcPr>
          <w:p w14:paraId="3CA7B19B" w14:textId="67441F8E" w:rsidR="004738EF" w:rsidRPr="00C23664" w:rsidRDefault="004738EF" w:rsidP="000F593F">
            <w:pPr>
              <w:pStyle w:val="Table"/>
              <w:rPr>
                <w:noProof/>
                <w:szCs w:val="22"/>
              </w:rPr>
            </w:pPr>
            <w:r w:rsidRPr="00C23664">
              <w:rPr>
                <w:rFonts w:ascii="Times Roman" w:hAnsi="Times Roman"/>
                <w:noProof/>
                <w:color w:val="000000" w:themeColor="text1"/>
                <w:szCs w:val="22"/>
              </w:rPr>
              <w:t>0.2</w:t>
            </w:r>
          </w:p>
        </w:tc>
        <w:tc>
          <w:tcPr>
            <w:tcW w:w="539" w:type="pct"/>
            <w:gridSpan w:val="3"/>
            <w:tcBorders>
              <w:top w:val="nil"/>
              <w:left w:val="nil"/>
              <w:bottom w:val="nil"/>
              <w:right w:val="nil"/>
            </w:tcBorders>
            <w:hideMark/>
          </w:tcPr>
          <w:p w14:paraId="08554D25" w14:textId="0B6BD15F" w:rsidR="004738EF" w:rsidRPr="00C23664" w:rsidRDefault="004738EF" w:rsidP="000F593F">
            <w:pPr>
              <w:pStyle w:val="Table"/>
              <w:rPr>
                <w:noProof/>
                <w:szCs w:val="22"/>
              </w:rPr>
            </w:pPr>
            <w:r w:rsidRPr="00C23664">
              <w:rPr>
                <w:rFonts w:ascii="Times Roman" w:hAnsi="Times Roman"/>
                <w:noProof/>
                <w:color w:val="000000" w:themeColor="text1"/>
                <w:szCs w:val="22"/>
              </w:rPr>
              <w:t>0.4</w:t>
            </w:r>
          </w:p>
        </w:tc>
        <w:tc>
          <w:tcPr>
            <w:tcW w:w="539" w:type="pct"/>
            <w:gridSpan w:val="2"/>
            <w:tcBorders>
              <w:top w:val="nil"/>
              <w:left w:val="nil"/>
              <w:bottom w:val="nil"/>
              <w:right w:val="nil"/>
            </w:tcBorders>
            <w:hideMark/>
          </w:tcPr>
          <w:p w14:paraId="4B7D4302" w14:textId="7477DB6C" w:rsidR="004738EF" w:rsidRPr="00C23664" w:rsidRDefault="004738EF" w:rsidP="000F593F">
            <w:pPr>
              <w:pStyle w:val="Table"/>
              <w:rPr>
                <w:noProof/>
                <w:szCs w:val="22"/>
              </w:rPr>
            </w:pPr>
            <w:r w:rsidRPr="00C23664">
              <w:rPr>
                <w:rFonts w:ascii="Times Roman" w:hAnsi="Times Roman"/>
                <w:noProof/>
                <w:color w:val="000000" w:themeColor="text1"/>
                <w:szCs w:val="22"/>
              </w:rPr>
              <w:t>0.005</w:t>
            </w:r>
          </w:p>
        </w:tc>
        <w:tc>
          <w:tcPr>
            <w:tcW w:w="1100" w:type="pct"/>
            <w:gridSpan w:val="2"/>
            <w:tcBorders>
              <w:top w:val="nil"/>
              <w:left w:val="nil"/>
              <w:bottom w:val="nil"/>
              <w:right w:val="nil"/>
            </w:tcBorders>
            <w:hideMark/>
          </w:tcPr>
          <w:p w14:paraId="1F8070E8" w14:textId="1D80BEED" w:rsidR="004738EF" w:rsidRPr="00C23664" w:rsidRDefault="004738EF" w:rsidP="000F593F">
            <w:pPr>
              <w:pStyle w:val="Table"/>
              <w:rPr>
                <w:noProof/>
                <w:szCs w:val="22"/>
              </w:rPr>
            </w:pPr>
            <w:r w:rsidRPr="00C23664">
              <w:rPr>
                <w:rFonts w:ascii="Times Roman" w:hAnsi="Times Roman"/>
                <w:noProof/>
                <w:color w:val="000000" w:themeColor="text1"/>
                <w:szCs w:val="22"/>
              </w:rPr>
              <w:t>1 × 10</w:t>
            </w:r>
            <w:r w:rsidRPr="00C23664">
              <w:rPr>
                <w:rFonts w:ascii="Times Roman" w:hAnsi="Times Roman"/>
                <w:noProof/>
                <w:color w:val="000000" w:themeColor="text1"/>
                <w:szCs w:val="22"/>
                <w:vertAlign w:val="superscript"/>
              </w:rPr>
              <w:t>–4</w:t>
            </w:r>
          </w:p>
        </w:tc>
      </w:tr>
      <w:tr w:rsidR="004738EF" w:rsidRPr="00972C81" w14:paraId="4F7A0130" w14:textId="77777777" w:rsidTr="000F593F">
        <w:trPr>
          <w:trHeight w:val="340"/>
        </w:trPr>
        <w:tc>
          <w:tcPr>
            <w:tcW w:w="1142" w:type="pct"/>
            <w:gridSpan w:val="3"/>
            <w:tcBorders>
              <w:top w:val="nil"/>
              <w:left w:val="nil"/>
              <w:bottom w:val="single" w:sz="4" w:space="0" w:color="auto"/>
              <w:right w:val="nil"/>
            </w:tcBorders>
            <w:hideMark/>
          </w:tcPr>
          <w:p w14:paraId="261E4934" w14:textId="77777777" w:rsidR="004738EF" w:rsidRPr="00C23664" w:rsidRDefault="004738EF" w:rsidP="000F593F">
            <w:pPr>
              <w:pStyle w:val="Table"/>
              <w:rPr>
                <w:noProof/>
                <w:szCs w:val="22"/>
              </w:rPr>
            </w:pPr>
            <w:r w:rsidRPr="00C23664">
              <w:rPr>
                <w:noProof/>
                <w:szCs w:val="22"/>
              </w:rPr>
              <w:t>S</w:t>
            </w:r>
          </w:p>
        </w:tc>
        <w:tc>
          <w:tcPr>
            <w:tcW w:w="1142" w:type="pct"/>
            <w:gridSpan w:val="2"/>
            <w:tcBorders>
              <w:top w:val="nil"/>
              <w:left w:val="nil"/>
              <w:bottom w:val="single" w:sz="4" w:space="0" w:color="auto"/>
              <w:right w:val="nil"/>
            </w:tcBorders>
            <w:hideMark/>
          </w:tcPr>
          <w:p w14:paraId="72EB0529" w14:textId="0B5F78CF" w:rsidR="004738EF" w:rsidRPr="00C23664" w:rsidRDefault="004738EF" w:rsidP="000F593F">
            <w:pPr>
              <w:pStyle w:val="Table"/>
              <w:rPr>
                <w:noProof/>
                <w:szCs w:val="22"/>
              </w:rPr>
            </w:pPr>
            <w:r w:rsidRPr="00C23664">
              <w:rPr>
                <w:rFonts w:ascii="Times Roman" w:hAnsi="Times Roman"/>
                <w:noProof/>
                <w:color w:val="000000" w:themeColor="text1"/>
                <w:szCs w:val="22"/>
              </w:rPr>
              <w:t>Actinium associated with plutonium oxide compounds</w:t>
            </w:r>
          </w:p>
        </w:tc>
        <w:tc>
          <w:tcPr>
            <w:tcW w:w="538" w:type="pct"/>
            <w:gridSpan w:val="3"/>
            <w:tcBorders>
              <w:top w:val="nil"/>
              <w:left w:val="nil"/>
              <w:bottom w:val="single" w:sz="4" w:space="0" w:color="auto"/>
              <w:right w:val="nil"/>
            </w:tcBorders>
            <w:hideMark/>
          </w:tcPr>
          <w:p w14:paraId="3D31FBB8" w14:textId="69250BAC" w:rsidR="004738EF" w:rsidRPr="00C23664" w:rsidRDefault="004738EF" w:rsidP="000F593F">
            <w:pPr>
              <w:pStyle w:val="Table"/>
              <w:rPr>
                <w:noProof/>
                <w:szCs w:val="22"/>
              </w:rPr>
            </w:pPr>
            <w:r w:rsidRPr="00C23664">
              <w:rPr>
                <w:rFonts w:ascii="Times Roman" w:hAnsi="Times Roman"/>
                <w:noProof/>
                <w:color w:val="000000" w:themeColor="text1"/>
                <w:szCs w:val="22"/>
              </w:rPr>
              <w:t>0.01</w:t>
            </w:r>
          </w:p>
        </w:tc>
        <w:tc>
          <w:tcPr>
            <w:tcW w:w="539" w:type="pct"/>
            <w:gridSpan w:val="3"/>
            <w:tcBorders>
              <w:top w:val="nil"/>
              <w:left w:val="nil"/>
              <w:bottom w:val="single" w:sz="4" w:space="0" w:color="auto"/>
              <w:right w:val="nil"/>
            </w:tcBorders>
            <w:hideMark/>
          </w:tcPr>
          <w:p w14:paraId="41928534" w14:textId="53ADDB70" w:rsidR="004738EF" w:rsidRPr="00C23664" w:rsidRDefault="004738EF" w:rsidP="000F593F">
            <w:pPr>
              <w:pStyle w:val="Table"/>
              <w:rPr>
                <w:noProof/>
                <w:szCs w:val="22"/>
              </w:rPr>
            </w:pPr>
            <w:r w:rsidRPr="00C23664">
              <w:rPr>
                <w:rFonts w:ascii="Times Roman" w:hAnsi="Times Roman"/>
                <w:noProof/>
                <w:color w:val="000000" w:themeColor="text1"/>
                <w:szCs w:val="22"/>
              </w:rPr>
              <w:t>0.4</w:t>
            </w:r>
          </w:p>
        </w:tc>
        <w:tc>
          <w:tcPr>
            <w:tcW w:w="539" w:type="pct"/>
            <w:gridSpan w:val="2"/>
            <w:tcBorders>
              <w:top w:val="nil"/>
              <w:left w:val="nil"/>
              <w:bottom w:val="single" w:sz="4" w:space="0" w:color="auto"/>
              <w:right w:val="nil"/>
            </w:tcBorders>
            <w:hideMark/>
          </w:tcPr>
          <w:p w14:paraId="2D0D010C" w14:textId="6F294E0E" w:rsidR="004738EF" w:rsidRPr="00C23664" w:rsidRDefault="004738EF" w:rsidP="000F593F">
            <w:pPr>
              <w:pStyle w:val="Table"/>
              <w:rPr>
                <w:noProof/>
                <w:szCs w:val="22"/>
              </w:rPr>
            </w:pPr>
            <w:r w:rsidRPr="00C23664">
              <w:rPr>
                <w:rFonts w:ascii="Times Roman" w:hAnsi="Times Roman"/>
                <w:noProof/>
                <w:color w:val="000000" w:themeColor="text1"/>
                <w:szCs w:val="22"/>
              </w:rPr>
              <w:t>1 × 10</w:t>
            </w:r>
            <w:r w:rsidRPr="00C23664">
              <w:rPr>
                <w:rFonts w:ascii="Times Roman" w:hAnsi="Times Roman"/>
                <w:noProof/>
                <w:color w:val="000000" w:themeColor="text1"/>
                <w:szCs w:val="22"/>
                <w:vertAlign w:val="superscript"/>
              </w:rPr>
              <w:t>–4</w:t>
            </w:r>
          </w:p>
        </w:tc>
        <w:tc>
          <w:tcPr>
            <w:tcW w:w="1100" w:type="pct"/>
            <w:gridSpan w:val="2"/>
            <w:tcBorders>
              <w:top w:val="nil"/>
              <w:left w:val="nil"/>
              <w:bottom w:val="single" w:sz="4" w:space="0" w:color="auto"/>
              <w:right w:val="nil"/>
            </w:tcBorders>
            <w:hideMark/>
          </w:tcPr>
          <w:p w14:paraId="66EDE513" w14:textId="1EA465A0" w:rsidR="004738EF" w:rsidRPr="00C23664" w:rsidRDefault="004738EF" w:rsidP="000F593F">
            <w:pPr>
              <w:pStyle w:val="Table"/>
              <w:rPr>
                <w:noProof/>
                <w:szCs w:val="22"/>
              </w:rPr>
            </w:pPr>
            <w:r w:rsidRPr="00C23664">
              <w:rPr>
                <w:rFonts w:ascii="Times Roman" w:hAnsi="Times Roman"/>
                <w:noProof/>
                <w:color w:val="000000" w:themeColor="text1"/>
                <w:szCs w:val="22"/>
              </w:rPr>
              <w:t>5 × 10</w:t>
            </w:r>
            <w:r w:rsidRPr="00C23664">
              <w:rPr>
                <w:rFonts w:ascii="Times Roman" w:hAnsi="Times Roman"/>
                <w:noProof/>
                <w:color w:val="000000" w:themeColor="text1"/>
                <w:szCs w:val="22"/>
                <w:vertAlign w:val="superscript"/>
              </w:rPr>
              <w:t>–6</w:t>
            </w:r>
          </w:p>
        </w:tc>
      </w:tr>
      <w:tr w:rsidR="00E81109" w:rsidRPr="00972C81" w14:paraId="0447F4C6" w14:textId="77777777" w:rsidTr="000F593F">
        <w:trPr>
          <w:trHeight w:val="340"/>
        </w:trPr>
        <w:tc>
          <w:tcPr>
            <w:tcW w:w="857" w:type="pct"/>
            <w:tcBorders>
              <w:top w:val="single" w:sz="4" w:space="0" w:color="auto"/>
              <w:left w:val="nil"/>
              <w:bottom w:val="nil"/>
              <w:right w:val="nil"/>
            </w:tcBorders>
          </w:tcPr>
          <w:p w14:paraId="168C6EE0" w14:textId="77777777" w:rsidR="004738EF" w:rsidRPr="00C23664" w:rsidRDefault="004738EF" w:rsidP="00E81109">
            <w:pPr>
              <w:pStyle w:val="Table"/>
              <w:rPr>
                <w:noProof/>
                <w:szCs w:val="22"/>
              </w:rPr>
            </w:pPr>
          </w:p>
        </w:tc>
        <w:tc>
          <w:tcPr>
            <w:tcW w:w="1426" w:type="pct"/>
            <w:gridSpan w:val="4"/>
            <w:tcBorders>
              <w:top w:val="single" w:sz="4" w:space="0" w:color="auto"/>
              <w:left w:val="nil"/>
              <w:bottom w:val="nil"/>
              <w:right w:val="nil"/>
            </w:tcBorders>
          </w:tcPr>
          <w:p w14:paraId="24863216" w14:textId="77777777" w:rsidR="004738EF" w:rsidRPr="00C23664" w:rsidRDefault="004738EF" w:rsidP="00173589">
            <w:pPr>
              <w:pStyle w:val="Table"/>
              <w:rPr>
                <w:noProof/>
                <w:szCs w:val="22"/>
              </w:rPr>
            </w:pPr>
          </w:p>
        </w:tc>
        <w:tc>
          <w:tcPr>
            <w:tcW w:w="473" w:type="pct"/>
            <w:gridSpan w:val="2"/>
            <w:tcBorders>
              <w:top w:val="single" w:sz="4" w:space="0" w:color="auto"/>
              <w:left w:val="nil"/>
              <w:bottom w:val="nil"/>
              <w:right w:val="nil"/>
            </w:tcBorders>
          </w:tcPr>
          <w:p w14:paraId="4B3C3DFF" w14:textId="77777777" w:rsidR="004738EF" w:rsidRPr="00C23664" w:rsidRDefault="004738EF" w:rsidP="00173589">
            <w:pPr>
              <w:pStyle w:val="Table"/>
              <w:rPr>
                <w:noProof/>
                <w:szCs w:val="22"/>
              </w:rPr>
            </w:pPr>
          </w:p>
        </w:tc>
        <w:tc>
          <w:tcPr>
            <w:tcW w:w="551" w:type="pct"/>
            <w:gridSpan w:val="3"/>
            <w:tcBorders>
              <w:top w:val="single" w:sz="4" w:space="0" w:color="auto"/>
              <w:left w:val="nil"/>
              <w:bottom w:val="nil"/>
              <w:right w:val="nil"/>
            </w:tcBorders>
          </w:tcPr>
          <w:p w14:paraId="61234ED4" w14:textId="77777777" w:rsidR="004738EF" w:rsidRPr="00C23664" w:rsidRDefault="004738EF" w:rsidP="00173589">
            <w:pPr>
              <w:pStyle w:val="Table"/>
              <w:rPr>
                <w:noProof/>
                <w:szCs w:val="22"/>
              </w:rPr>
            </w:pPr>
          </w:p>
        </w:tc>
        <w:tc>
          <w:tcPr>
            <w:tcW w:w="592" w:type="pct"/>
            <w:gridSpan w:val="3"/>
            <w:tcBorders>
              <w:top w:val="single" w:sz="4" w:space="0" w:color="auto"/>
              <w:left w:val="nil"/>
              <w:bottom w:val="nil"/>
              <w:right w:val="nil"/>
            </w:tcBorders>
          </w:tcPr>
          <w:p w14:paraId="22940A23" w14:textId="77777777" w:rsidR="004738EF" w:rsidRPr="00C23664" w:rsidRDefault="004738EF" w:rsidP="00173589">
            <w:pPr>
              <w:pStyle w:val="Table"/>
              <w:rPr>
                <w:noProof/>
                <w:szCs w:val="22"/>
              </w:rPr>
            </w:pPr>
          </w:p>
        </w:tc>
        <w:tc>
          <w:tcPr>
            <w:tcW w:w="1100" w:type="pct"/>
            <w:gridSpan w:val="2"/>
            <w:tcBorders>
              <w:top w:val="single" w:sz="4" w:space="0" w:color="auto"/>
              <w:left w:val="nil"/>
              <w:bottom w:val="nil"/>
              <w:right w:val="nil"/>
            </w:tcBorders>
          </w:tcPr>
          <w:p w14:paraId="2455A281" w14:textId="77777777" w:rsidR="004738EF" w:rsidRPr="00C23664" w:rsidRDefault="004738EF" w:rsidP="00173589">
            <w:pPr>
              <w:pStyle w:val="Table"/>
              <w:rPr>
                <w:noProof/>
                <w:szCs w:val="22"/>
              </w:rPr>
            </w:pPr>
          </w:p>
        </w:tc>
      </w:tr>
      <w:tr w:rsidR="004738EF" w:rsidRPr="00972C81" w14:paraId="2FE278BD" w14:textId="77777777" w:rsidTr="00C47F2F">
        <w:trPr>
          <w:trHeight w:val="340"/>
        </w:trPr>
        <w:tc>
          <w:tcPr>
            <w:tcW w:w="2284" w:type="pct"/>
            <w:gridSpan w:val="5"/>
            <w:tcBorders>
              <w:top w:val="nil"/>
              <w:left w:val="nil"/>
              <w:bottom w:val="single" w:sz="4" w:space="0" w:color="auto"/>
              <w:right w:val="nil"/>
            </w:tcBorders>
            <w:hideMark/>
          </w:tcPr>
          <w:p w14:paraId="57861576" w14:textId="33D9F3D2" w:rsidR="004738EF" w:rsidRPr="00C23664" w:rsidRDefault="004738EF" w:rsidP="00173589">
            <w:pPr>
              <w:pStyle w:val="Table"/>
              <w:rPr>
                <w:noProof/>
                <w:szCs w:val="22"/>
              </w:rPr>
            </w:pPr>
            <w:r w:rsidRPr="00C23664">
              <w:rPr>
                <w:noProof/>
                <w:szCs w:val="22"/>
              </w:rPr>
              <w:t>Ingested material</w:t>
            </w:r>
            <w:r w:rsidR="00A5262E" w:rsidRPr="00C23664">
              <w:rPr>
                <w:noProof/>
                <w:szCs w:val="22"/>
                <w:vertAlign w:val="superscript"/>
              </w:rPr>
              <w:t>¶</w:t>
            </w:r>
          </w:p>
        </w:tc>
        <w:tc>
          <w:tcPr>
            <w:tcW w:w="473" w:type="pct"/>
            <w:gridSpan w:val="2"/>
            <w:tcBorders>
              <w:top w:val="nil"/>
              <w:left w:val="nil"/>
              <w:bottom w:val="single" w:sz="4" w:space="0" w:color="auto"/>
              <w:right w:val="nil"/>
            </w:tcBorders>
          </w:tcPr>
          <w:p w14:paraId="4DF23F49" w14:textId="77777777" w:rsidR="004738EF" w:rsidRPr="00C23664" w:rsidRDefault="004738EF" w:rsidP="00173589">
            <w:pPr>
              <w:pStyle w:val="Table"/>
              <w:rPr>
                <w:b/>
                <w:noProof/>
                <w:szCs w:val="22"/>
              </w:rPr>
            </w:pPr>
          </w:p>
        </w:tc>
        <w:tc>
          <w:tcPr>
            <w:tcW w:w="551" w:type="pct"/>
            <w:gridSpan w:val="3"/>
            <w:tcBorders>
              <w:top w:val="nil"/>
              <w:left w:val="nil"/>
              <w:bottom w:val="single" w:sz="4" w:space="0" w:color="auto"/>
              <w:right w:val="nil"/>
            </w:tcBorders>
          </w:tcPr>
          <w:p w14:paraId="6172B12E" w14:textId="77777777" w:rsidR="004738EF" w:rsidRPr="00C23664" w:rsidRDefault="004738EF" w:rsidP="00173589">
            <w:pPr>
              <w:pStyle w:val="Table"/>
              <w:rPr>
                <w:b/>
                <w:noProof/>
                <w:szCs w:val="22"/>
              </w:rPr>
            </w:pPr>
          </w:p>
        </w:tc>
        <w:tc>
          <w:tcPr>
            <w:tcW w:w="592" w:type="pct"/>
            <w:gridSpan w:val="3"/>
            <w:tcBorders>
              <w:top w:val="nil"/>
              <w:left w:val="nil"/>
              <w:bottom w:val="single" w:sz="4" w:space="0" w:color="auto"/>
              <w:right w:val="nil"/>
            </w:tcBorders>
          </w:tcPr>
          <w:p w14:paraId="08040D80" w14:textId="77777777" w:rsidR="004738EF" w:rsidRPr="00C23664" w:rsidRDefault="004738EF" w:rsidP="00173589">
            <w:pPr>
              <w:pStyle w:val="Table"/>
              <w:rPr>
                <w:b/>
                <w:noProof/>
                <w:szCs w:val="22"/>
              </w:rPr>
            </w:pPr>
          </w:p>
        </w:tc>
        <w:tc>
          <w:tcPr>
            <w:tcW w:w="1100" w:type="pct"/>
            <w:gridSpan w:val="2"/>
            <w:tcBorders>
              <w:top w:val="nil"/>
              <w:left w:val="nil"/>
              <w:bottom w:val="single" w:sz="4" w:space="0" w:color="auto"/>
              <w:right w:val="nil"/>
            </w:tcBorders>
          </w:tcPr>
          <w:p w14:paraId="1E86AE89" w14:textId="77777777" w:rsidR="004738EF" w:rsidRPr="00C23664" w:rsidRDefault="004738EF" w:rsidP="00173589">
            <w:pPr>
              <w:pStyle w:val="Table"/>
              <w:rPr>
                <w:b/>
                <w:noProof/>
                <w:szCs w:val="22"/>
              </w:rPr>
            </w:pPr>
          </w:p>
        </w:tc>
      </w:tr>
      <w:tr w:rsidR="000F593F" w:rsidRPr="00972C81" w14:paraId="42CEFE1B" w14:textId="77777777" w:rsidTr="000F593F">
        <w:trPr>
          <w:trHeight w:val="340"/>
        </w:trPr>
        <w:tc>
          <w:tcPr>
            <w:tcW w:w="1103" w:type="pct"/>
            <w:gridSpan w:val="2"/>
            <w:vMerge w:val="restart"/>
            <w:tcBorders>
              <w:top w:val="nil"/>
              <w:left w:val="nil"/>
              <w:right w:val="nil"/>
            </w:tcBorders>
            <w:vAlign w:val="center"/>
          </w:tcPr>
          <w:p w14:paraId="1E3EC2A1" w14:textId="77777777" w:rsidR="000F593F" w:rsidRPr="00C23664" w:rsidRDefault="000F593F" w:rsidP="000F593F">
            <w:pPr>
              <w:pStyle w:val="Table"/>
              <w:rPr>
                <w:noProof/>
                <w:szCs w:val="22"/>
              </w:rPr>
            </w:pPr>
            <w:r w:rsidRPr="00C23664">
              <w:rPr>
                <w:noProof/>
                <w:szCs w:val="22"/>
              </w:rPr>
              <w:t>Assigned forms</w:t>
            </w:r>
          </w:p>
        </w:tc>
        <w:tc>
          <w:tcPr>
            <w:tcW w:w="3897" w:type="pct"/>
            <w:gridSpan w:val="13"/>
            <w:tcBorders>
              <w:top w:val="nil"/>
              <w:left w:val="nil"/>
              <w:bottom w:val="single" w:sz="4" w:space="0" w:color="auto"/>
              <w:right w:val="nil"/>
            </w:tcBorders>
            <w:vAlign w:val="center"/>
          </w:tcPr>
          <w:p w14:paraId="68BD5767" w14:textId="3944FD3E" w:rsidR="000F593F" w:rsidRPr="00C23664" w:rsidRDefault="000F593F" w:rsidP="000F593F">
            <w:pPr>
              <w:pStyle w:val="Table"/>
              <w:jc w:val="center"/>
              <w:rPr>
                <w:noProof/>
                <w:szCs w:val="22"/>
              </w:rPr>
            </w:pPr>
            <w:r w:rsidRPr="00C23664">
              <w:rPr>
                <w:noProof/>
                <w:szCs w:val="22"/>
              </w:rPr>
              <w:t xml:space="preserve">Age-dependent absorption from the alimentary tract, </w:t>
            </w:r>
            <w:r w:rsidRPr="00C23664">
              <w:rPr>
                <w:i/>
                <w:noProof/>
                <w:szCs w:val="22"/>
              </w:rPr>
              <w:t>f</w:t>
            </w:r>
            <w:r w:rsidRPr="00C23664">
              <w:rPr>
                <w:noProof/>
                <w:szCs w:val="22"/>
                <w:vertAlign w:val="subscript"/>
              </w:rPr>
              <w:t>A</w:t>
            </w:r>
          </w:p>
        </w:tc>
      </w:tr>
      <w:tr w:rsidR="000F593F" w:rsidRPr="00972C81" w14:paraId="30E3B22F" w14:textId="77777777" w:rsidTr="000F593F">
        <w:trPr>
          <w:trHeight w:val="340"/>
        </w:trPr>
        <w:tc>
          <w:tcPr>
            <w:tcW w:w="1103" w:type="pct"/>
            <w:gridSpan w:val="2"/>
            <w:vMerge/>
            <w:tcBorders>
              <w:left w:val="nil"/>
              <w:bottom w:val="single" w:sz="4" w:space="0" w:color="auto"/>
              <w:right w:val="nil"/>
            </w:tcBorders>
          </w:tcPr>
          <w:p w14:paraId="19F73D09" w14:textId="77777777" w:rsidR="000F593F" w:rsidRPr="00C23664" w:rsidRDefault="000F593F" w:rsidP="00173589">
            <w:pPr>
              <w:pStyle w:val="Table"/>
              <w:rPr>
                <w:noProof/>
                <w:szCs w:val="22"/>
              </w:rPr>
            </w:pPr>
          </w:p>
        </w:tc>
        <w:tc>
          <w:tcPr>
            <w:tcW w:w="649" w:type="pct"/>
            <w:gridSpan w:val="2"/>
            <w:tcBorders>
              <w:top w:val="single" w:sz="4" w:space="0" w:color="auto"/>
              <w:left w:val="nil"/>
              <w:bottom w:val="single" w:sz="4" w:space="0" w:color="auto"/>
              <w:right w:val="nil"/>
            </w:tcBorders>
            <w:vAlign w:val="center"/>
          </w:tcPr>
          <w:p w14:paraId="3CED32F9" w14:textId="166E0CDF" w:rsidR="000F593F" w:rsidRPr="00C23664" w:rsidRDefault="000F593F" w:rsidP="000F593F">
            <w:pPr>
              <w:pStyle w:val="Table"/>
              <w:rPr>
                <w:noProof/>
                <w:szCs w:val="22"/>
              </w:rPr>
            </w:pPr>
            <w:r w:rsidRPr="00C23664">
              <w:rPr>
                <w:noProof/>
                <w:szCs w:val="22"/>
              </w:rPr>
              <w:t>3 mo</w:t>
            </w:r>
          </w:p>
        </w:tc>
        <w:tc>
          <w:tcPr>
            <w:tcW w:w="650" w:type="pct"/>
            <w:gridSpan w:val="2"/>
            <w:tcBorders>
              <w:top w:val="single" w:sz="4" w:space="0" w:color="auto"/>
              <w:left w:val="nil"/>
              <w:bottom w:val="single" w:sz="4" w:space="0" w:color="auto"/>
              <w:right w:val="nil"/>
            </w:tcBorders>
            <w:vAlign w:val="center"/>
          </w:tcPr>
          <w:p w14:paraId="72C956D7" w14:textId="7E5B778F" w:rsidR="000F593F" w:rsidRPr="00C23664" w:rsidRDefault="000F593F" w:rsidP="000F593F">
            <w:pPr>
              <w:pStyle w:val="Table"/>
              <w:rPr>
                <w:noProof/>
                <w:szCs w:val="22"/>
              </w:rPr>
            </w:pPr>
            <w:r w:rsidRPr="00C23664">
              <w:rPr>
                <w:noProof/>
                <w:szCs w:val="22"/>
              </w:rPr>
              <w:t>1 y</w:t>
            </w:r>
          </w:p>
        </w:tc>
        <w:tc>
          <w:tcPr>
            <w:tcW w:w="650" w:type="pct"/>
            <w:gridSpan w:val="3"/>
            <w:tcBorders>
              <w:top w:val="single" w:sz="4" w:space="0" w:color="auto"/>
              <w:left w:val="nil"/>
              <w:bottom w:val="single" w:sz="4" w:space="0" w:color="auto"/>
              <w:right w:val="nil"/>
            </w:tcBorders>
            <w:vAlign w:val="center"/>
          </w:tcPr>
          <w:p w14:paraId="311574E3" w14:textId="4D742DAF" w:rsidR="000F593F" w:rsidRPr="00C23664" w:rsidRDefault="000F593F" w:rsidP="000F593F">
            <w:pPr>
              <w:pStyle w:val="Table"/>
              <w:rPr>
                <w:noProof/>
                <w:szCs w:val="22"/>
              </w:rPr>
            </w:pPr>
            <w:r w:rsidRPr="00C23664">
              <w:rPr>
                <w:noProof/>
                <w:szCs w:val="22"/>
              </w:rPr>
              <w:t>5 y</w:t>
            </w:r>
          </w:p>
        </w:tc>
        <w:tc>
          <w:tcPr>
            <w:tcW w:w="649" w:type="pct"/>
            <w:gridSpan w:val="3"/>
            <w:tcBorders>
              <w:top w:val="single" w:sz="4" w:space="0" w:color="auto"/>
              <w:left w:val="nil"/>
              <w:bottom w:val="single" w:sz="4" w:space="0" w:color="auto"/>
              <w:right w:val="nil"/>
            </w:tcBorders>
            <w:vAlign w:val="center"/>
          </w:tcPr>
          <w:p w14:paraId="1F31E8D5" w14:textId="0902D1C9" w:rsidR="000F593F" w:rsidRPr="00C23664" w:rsidRDefault="000F593F" w:rsidP="000F593F">
            <w:pPr>
              <w:pStyle w:val="Table"/>
              <w:rPr>
                <w:noProof/>
                <w:szCs w:val="22"/>
              </w:rPr>
            </w:pPr>
            <w:r w:rsidRPr="00C23664">
              <w:rPr>
                <w:noProof/>
                <w:szCs w:val="22"/>
              </w:rPr>
              <w:t>10 y</w:t>
            </w:r>
          </w:p>
        </w:tc>
        <w:tc>
          <w:tcPr>
            <w:tcW w:w="650" w:type="pct"/>
            <w:gridSpan w:val="2"/>
            <w:tcBorders>
              <w:top w:val="single" w:sz="4" w:space="0" w:color="auto"/>
              <w:left w:val="nil"/>
              <w:bottom w:val="single" w:sz="4" w:space="0" w:color="auto"/>
              <w:right w:val="nil"/>
            </w:tcBorders>
            <w:vAlign w:val="center"/>
          </w:tcPr>
          <w:p w14:paraId="58BDE7FA" w14:textId="3A27FE14" w:rsidR="000F593F" w:rsidRPr="00C23664" w:rsidRDefault="000F593F" w:rsidP="000F593F">
            <w:pPr>
              <w:pStyle w:val="Table"/>
              <w:rPr>
                <w:noProof/>
                <w:szCs w:val="22"/>
              </w:rPr>
            </w:pPr>
            <w:r w:rsidRPr="00C23664">
              <w:rPr>
                <w:noProof/>
                <w:szCs w:val="22"/>
              </w:rPr>
              <w:t>15 y</w:t>
            </w:r>
          </w:p>
        </w:tc>
        <w:tc>
          <w:tcPr>
            <w:tcW w:w="649" w:type="pct"/>
            <w:tcBorders>
              <w:top w:val="single" w:sz="4" w:space="0" w:color="auto"/>
              <w:left w:val="nil"/>
              <w:bottom w:val="single" w:sz="4" w:space="0" w:color="auto"/>
              <w:right w:val="nil"/>
            </w:tcBorders>
            <w:vAlign w:val="center"/>
          </w:tcPr>
          <w:p w14:paraId="08794F4B" w14:textId="77777777" w:rsidR="000F593F" w:rsidRPr="00C23664" w:rsidRDefault="000F593F" w:rsidP="000F593F">
            <w:pPr>
              <w:pStyle w:val="Table"/>
              <w:rPr>
                <w:noProof/>
                <w:szCs w:val="22"/>
              </w:rPr>
            </w:pPr>
            <w:r w:rsidRPr="00C23664">
              <w:rPr>
                <w:noProof/>
                <w:szCs w:val="22"/>
              </w:rPr>
              <w:t>adult</w:t>
            </w:r>
          </w:p>
        </w:tc>
      </w:tr>
      <w:tr w:rsidR="00100C52" w:rsidRPr="00972C81" w14:paraId="6FB312C0" w14:textId="77777777" w:rsidTr="000F593F">
        <w:trPr>
          <w:trHeight w:val="340"/>
        </w:trPr>
        <w:tc>
          <w:tcPr>
            <w:tcW w:w="1103" w:type="pct"/>
            <w:gridSpan w:val="2"/>
            <w:tcBorders>
              <w:top w:val="single" w:sz="4" w:space="0" w:color="auto"/>
              <w:left w:val="nil"/>
              <w:bottom w:val="single" w:sz="4" w:space="0" w:color="auto"/>
              <w:right w:val="nil"/>
            </w:tcBorders>
            <w:vAlign w:val="center"/>
            <w:hideMark/>
          </w:tcPr>
          <w:p w14:paraId="2A3788EC" w14:textId="260362C2" w:rsidR="004738EF" w:rsidRPr="00C23664" w:rsidRDefault="004738EF" w:rsidP="000F593F">
            <w:pPr>
              <w:pStyle w:val="Table"/>
              <w:rPr>
                <w:noProof/>
                <w:szCs w:val="22"/>
              </w:rPr>
            </w:pPr>
            <w:r w:rsidRPr="00C23664">
              <w:rPr>
                <w:noProof/>
                <w:szCs w:val="22"/>
              </w:rPr>
              <w:t xml:space="preserve">All </w:t>
            </w:r>
            <w:r w:rsidRPr="00C23664">
              <w:rPr>
                <w:rFonts w:ascii="Times Roman" w:hAnsi="Times Roman"/>
                <w:noProof/>
                <w:szCs w:val="22"/>
              </w:rPr>
              <w:t>chemical forms</w:t>
            </w:r>
          </w:p>
        </w:tc>
        <w:tc>
          <w:tcPr>
            <w:tcW w:w="649" w:type="pct"/>
            <w:gridSpan w:val="2"/>
            <w:tcBorders>
              <w:top w:val="single" w:sz="4" w:space="0" w:color="auto"/>
              <w:left w:val="nil"/>
              <w:bottom w:val="single" w:sz="4" w:space="0" w:color="auto"/>
              <w:right w:val="nil"/>
            </w:tcBorders>
            <w:vAlign w:val="center"/>
          </w:tcPr>
          <w:p w14:paraId="2F8C8307" w14:textId="4B6BA1AB" w:rsidR="004738EF" w:rsidRPr="00C23664" w:rsidRDefault="004738EF" w:rsidP="000F593F">
            <w:pPr>
              <w:pStyle w:val="Table"/>
              <w:rPr>
                <w:noProof/>
                <w:szCs w:val="22"/>
              </w:rPr>
            </w:pPr>
            <w:r w:rsidRPr="00C23664">
              <w:rPr>
                <w:noProof/>
                <w:szCs w:val="22"/>
              </w:rPr>
              <w:t>5 × 10</w:t>
            </w:r>
            <w:r w:rsidRPr="00C23664">
              <w:rPr>
                <w:noProof/>
                <w:szCs w:val="22"/>
                <w:vertAlign w:val="superscript"/>
              </w:rPr>
              <w:t>–3</w:t>
            </w:r>
          </w:p>
        </w:tc>
        <w:tc>
          <w:tcPr>
            <w:tcW w:w="650" w:type="pct"/>
            <w:gridSpan w:val="2"/>
            <w:tcBorders>
              <w:top w:val="single" w:sz="4" w:space="0" w:color="auto"/>
              <w:left w:val="nil"/>
              <w:bottom w:val="single" w:sz="4" w:space="0" w:color="auto"/>
              <w:right w:val="nil"/>
            </w:tcBorders>
            <w:vAlign w:val="center"/>
          </w:tcPr>
          <w:p w14:paraId="3C8B6D59" w14:textId="7D574C51" w:rsidR="004738EF" w:rsidRPr="00C23664" w:rsidRDefault="004738EF" w:rsidP="000F593F">
            <w:pPr>
              <w:pStyle w:val="Table"/>
              <w:rPr>
                <w:noProof/>
                <w:szCs w:val="22"/>
              </w:rPr>
            </w:pPr>
            <w:r w:rsidRPr="00C23664">
              <w:rPr>
                <w:noProof/>
                <w:szCs w:val="22"/>
              </w:rPr>
              <w:t>5 × 10</w:t>
            </w:r>
            <w:r w:rsidRPr="00C23664">
              <w:rPr>
                <w:noProof/>
                <w:szCs w:val="22"/>
                <w:vertAlign w:val="superscript"/>
              </w:rPr>
              <w:t>–4</w:t>
            </w:r>
          </w:p>
        </w:tc>
        <w:tc>
          <w:tcPr>
            <w:tcW w:w="650" w:type="pct"/>
            <w:gridSpan w:val="3"/>
            <w:tcBorders>
              <w:top w:val="single" w:sz="4" w:space="0" w:color="auto"/>
              <w:left w:val="nil"/>
              <w:bottom w:val="single" w:sz="4" w:space="0" w:color="auto"/>
              <w:right w:val="nil"/>
            </w:tcBorders>
            <w:vAlign w:val="center"/>
          </w:tcPr>
          <w:p w14:paraId="4BEEC5F3" w14:textId="3E0B61A7" w:rsidR="004738EF" w:rsidRPr="00C23664" w:rsidRDefault="004738EF" w:rsidP="000F593F">
            <w:pPr>
              <w:pStyle w:val="Table"/>
              <w:rPr>
                <w:noProof/>
                <w:szCs w:val="22"/>
              </w:rPr>
            </w:pPr>
            <w:r w:rsidRPr="00C23664">
              <w:rPr>
                <w:noProof/>
                <w:szCs w:val="22"/>
              </w:rPr>
              <w:t>5 × 10</w:t>
            </w:r>
            <w:r w:rsidRPr="00C23664">
              <w:rPr>
                <w:noProof/>
                <w:szCs w:val="22"/>
                <w:vertAlign w:val="superscript"/>
              </w:rPr>
              <w:t>–4</w:t>
            </w:r>
          </w:p>
        </w:tc>
        <w:tc>
          <w:tcPr>
            <w:tcW w:w="649" w:type="pct"/>
            <w:gridSpan w:val="3"/>
            <w:tcBorders>
              <w:top w:val="single" w:sz="4" w:space="0" w:color="auto"/>
              <w:left w:val="nil"/>
              <w:bottom w:val="single" w:sz="4" w:space="0" w:color="auto"/>
              <w:right w:val="nil"/>
            </w:tcBorders>
            <w:vAlign w:val="center"/>
          </w:tcPr>
          <w:p w14:paraId="222CD438" w14:textId="10B5182C" w:rsidR="004738EF" w:rsidRPr="00C23664" w:rsidRDefault="004738EF" w:rsidP="000F593F">
            <w:pPr>
              <w:pStyle w:val="Table"/>
              <w:rPr>
                <w:noProof/>
                <w:szCs w:val="22"/>
              </w:rPr>
            </w:pPr>
            <w:r w:rsidRPr="00C23664">
              <w:rPr>
                <w:noProof/>
                <w:szCs w:val="22"/>
              </w:rPr>
              <w:t>5 × 10</w:t>
            </w:r>
            <w:r w:rsidRPr="00C23664">
              <w:rPr>
                <w:noProof/>
                <w:szCs w:val="22"/>
                <w:vertAlign w:val="superscript"/>
              </w:rPr>
              <w:t>–4</w:t>
            </w:r>
          </w:p>
        </w:tc>
        <w:tc>
          <w:tcPr>
            <w:tcW w:w="650" w:type="pct"/>
            <w:gridSpan w:val="2"/>
            <w:tcBorders>
              <w:top w:val="single" w:sz="4" w:space="0" w:color="auto"/>
              <w:left w:val="nil"/>
              <w:bottom w:val="single" w:sz="4" w:space="0" w:color="auto"/>
              <w:right w:val="nil"/>
            </w:tcBorders>
            <w:vAlign w:val="center"/>
          </w:tcPr>
          <w:p w14:paraId="2CD63320" w14:textId="09C85969" w:rsidR="004738EF" w:rsidRPr="00C23664" w:rsidRDefault="004738EF" w:rsidP="000F593F">
            <w:pPr>
              <w:pStyle w:val="Table"/>
              <w:rPr>
                <w:noProof/>
                <w:szCs w:val="22"/>
              </w:rPr>
            </w:pPr>
            <w:r w:rsidRPr="00C23664">
              <w:rPr>
                <w:noProof/>
                <w:szCs w:val="22"/>
              </w:rPr>
              <w:t>5 × 10</w:t>
            </w:r>
            <w:r w:rsidRPr="00C23664">
              <w:rPr>
                <w:noProof/>
                <w:szCs w:val="22"/>
                <w:vertAlign w:val="superscript"/>
              </w:rPr>
              <w:t>–4</w:t>
            </w:r>
          </w:p>
        </w:tc>
        <w:tc>
          <w:tcPr>
            <w:tcW w:w="649" w:type="pct"/>
            <w:tcBorders>
              <w:top w:val="single" w:sz="4" w:space="0" w:color="auto"/>
              <w:left w:val="nil"/>
              <w:bottom w:val="single" w:sz="4" w:space="0" w:color="auto"/>
              <w:right w:val="nil"/>
            </w:tcBorders>
            <w:vAlign w:val="center"/>
          </w:tcPr>
          <w:p w14:paraId="307410BE" w14:textId="2BB97C27" w:rsidR="004738EF" w:rsidRPr="00C23664" w:rsidRDefault="004738EF" w:rsidP="000F593F">
            <w:pPr>
              <w:pStyle w:val="Table"/>
              <w:rPr>
                <w:noProof/>
                <w:szCs w:val="22"/>
              </w:rPr>
            </w:pPr>
            <w:r w:rsidRPr="00C23664">
              <w:rPr>
                <w:noProof/>
                <w:szCs w:val="22"/>
              </w:rPr>
              <w:t>5 × 10</w:t>
            </w:r>
            <w:r w:rsidRPr="00C23664">
              <w:rPr>
                <w:noProof/>
                <w:szCs w:val="22"/>
                <w:vertAlign w:val="superscript"/>
              </w:rPr>
              <w:t>–4</w:t>
            </w:r>
          </w:p>
        </w:tc>
      </w:tr>
    </w:tbl>
    <w:p w14:paraId="3888A8B3" w14:textId="05DCA103" w:rsidR="009821A6" w:rsidRPr="00972C81" w:rsidRDefault="00631B3F" w:rsidP="00E81109">
      <w:pPr>
        <w:pStyle w:val="Note"/>
        <w:rPr>
          <w:noProof/>
        </w:rPr>
      </w:pPr>
      <w:r w:rsidRPr="00972C81">
        <w:rPr>
          <w:noProof/>
          <w:vertAlign w:val="superscript"/>
        </w:rPr>
        <w:t>*</w:t>
      </w:r>
      <w:r w:rsidR="009821A6" w:rsidRPr="00972C81">
        <w:rPr>
          <w:noProof/>
        </w:rPr>
        <w:t xml:space="preserve">It is assumed that for actinium a bound fraction </w:t>
      </w:r>
      <w:r w:rsidR="009821A6" w:rsidRPr="00972C81">
        <w:rPr>
          <w:i/>
          <w:noProof/>
        </w:rPr>
        <w:t>f</w:t>
      </w:r>
      <w:r w:rsidR="009821A6" w:rsidRPr="00972C81">
        <w:rPr>
          <w:noProof/>
          <w:vertAlign w:val="subscript"/>
        </w:rPr>
        <w:t>b</w:t>
      </w:r>
      <w:r w:rsidR="009821A6" w:rsidRPr="00972C81">
        <w:rPr>
          <w:noProof/>
        </w:rPr>
        <w:t xml:space="preserve"> = 0.002 with an uptake rate </w:t>
      </w:r>
      <w:r w:rsidR="009821A6" w:rsidRPr="00972C81">
        <w:rPr>
          <w:i/>
          <w:noProof/>
        </w:rPr>
        <w:t>s</w:t>
      </w:r>
      <w:r w:rsidR="009821A6" w:rsidRPr="00972C81">
        <w:rPr>
          <w:noProof/>
          <w:vertAlign w:val="subscript"/>
        </w:rPr>
        <w:t>b</w:t>
      </w:r>
      <w:r w:rsidR="009821A6" w:rsidRPr="00972C81">
        <w:rPr>
          <w:noProof/>
        </w:rPr>
        <w:t xml:space="preserve"> = 0 d</w:t>
      </w:r>
      <w:r w:rsidR="009821A6" w:rsidRPr="00972C81">
        <w:rPr>
          <w:noProof/>
          <w:vertAlign w:val="superscript"/>
        </w:rPr>
        <w:t>–1</w:t>
      </w:r>
      <w:r w:rsidR="009821A6" w:rsidRPr="00972C81">
        <w:rPr>
          <w:noProof/>
        </w:rPr>
        <w:t xml:space="preserve"> is applied throughout</w:t>
      </w:r>
      <w:r w:rsidR="009821A6" w:rsidRPr="00972C81">
        <w:rPr>
          <w:noProof/>
          <w:color w:val="1F497D"/>
        </w:rPr>
        <w:t xml:space="preserve"> </w:t>
      </w:r>
      <w:r w:rsidR="009821A6" w:rsidRPr="00972C81">
        <w:rPr>
          <w:noProof/>
        </w:rPr>
        <w:t>the respiratory tract, except in the ET</w:t>
      </w:r>
      <w:r w:rsidR="009821A6" w:rsidRPr="00972C81">
        <w:rPr>
          <w:noProof/>
          <w:vertAlign w:val="subscript"/>
        </w:rPr>
        <w:t>1</w:t>
      </w:r>
      <w:r w:rsidR="009821A6" w:rsidRPr="00972C81">
        <w:rPr>
          <w:noProof/>
        </w:rPr>
        <w:t xml:space="preserve"> region. The values of </w:t>
      </w:r>
      <w:r w:rsidR="009821A6" w:rsidRPr="00972C81">
        <w:rPr>
          <w:i/>
          <w:noProof/>
        </w:rPr>
        <w:t>s</w:t>
      </w:r>
      <w:r w:rsidR="009821A6" w:rsidRPr="00972C81">
        <w:rPr>
          <w:noProof/>
          <w:vertAlign w:val="subscript"/>
        </w:rPr>
        <w:t>r</w:t>
      </w:r>
      <w:r w:rsidR="009821A6" w:rsidRPr="00972C81">
        <w:rPr>
          <w:noProof/>
        </w:rPr>
        <w:t xml:space="preserve"> for Type F, M and S forms of actinium (1 d</w:t>
      </w:r>
      <w:r w:rsidR="009821A6" w:rsidRPr="00972C81">
        <w:rPr>
          <w:noProof/>
          <w:vertAlign w:val="superscript"/>
        </w:rPr>
        <w:t>–1</w:t>
      </w:r>
      <w:r w:rsidR="009821A6" w:rsidRPr="00972C81">
        <w:rPr>
          <w:noProof/>
        </w:rPr>
        <w:t>) are element-specific.</w:t>
      </w:r>
    </w:p>
    <w:p w14:paraId="6DBCB89C" w14:textId="1F374352" w:rsidR="009821A6" w:rsidRPr="00972C81" w:rsidRDefault="004738EF" w:rsidP="00E81109">
      <w:pPr>
        <w:pStyle w:val="Note"/>
        <w:rPr>
          <w:noProof/>
        </w:rPr>
      </w:pPr>
      <w:r w:rsidRPr="00972C81">
        <w:rPr>
          <w:noProof/>
          <w:vertAlign w:val="superscript"/>
        </w:rPr>
        <w:t>†</w:t>
      </w:r>
      <w:r w:rsidR="009821A6" w:rsidRPr="00972C81">
        <w:rPr>
          <w:noProof/>
        </w:rPr>
        <w:t xml:space="preserve">For inhaled material deposited in the respiratory tract and subsequently cleared by particle transport to the alimentary tract, the default </w:t>
      </w:r>
      <w:r w:rsidR="009821A6" w:rsidRPr="00972C81">
        <w:rPr>
          <w:i/>
          <w:noProof/>
        </w:rPr>
        <w:t>f</w:t>
      </w:r>
      <w:r w:rsidR="009821A6" w:rsidRPr="00972C81">
        <w:rPr>
          <w:noProof/>
          <w:vertAlign w:val="subscript"/>
        </w:rPr>
        <w:t>A</w:t>
      </w:r>
      <w:r w:rsidR="009821A6" w:rsidRPr="00972C81">
        <w:rPr>
          <w:noProof/>
        </w:rPr>
        <w:t xml:space="preserve"> values for inhaled materials are applied: </w:t>
      </w:r>
      <w:r w:rsidR="009821A6" w:rsidRPr="00972C81">
        <w:rPr>
          <w:i/>
          <w:noProof/>
        </w:rPr>
        <w:t>i.e.</w:t>
      </w:r>
      <w:r w:rsidR="009821A6" w:rsidRPr="00972C81">
        <w:rPr>
          <w:noProof/>
        </w:rPr>
        <w:t xml:space="preserve">, the product of </w:t>
      </w:r>
      <w:r w:rsidR="009821A6" w:rsidRPr="00972C81">
        <w:rPr>
          <w:i/>
          <w:noProof/>
        </w:rPr>
        <w:t>f</w:t>
      </w:r>
      <w:r w:rsidR="009821A6" w:rsidRPr="00972C81">
        <w:rPr>
          <w:noProof/>
          <w:vertAlign w:val="subscript"/>
        </w:rPr>
        <w:t>r</w:t>
      </w:r>
      <w:r w:rsidR="009821A6" w:rsidRPr="00972C81">
        <w:rPr>
          <w:noProof/>
        </w:rPr>
        <w:t xml:space="preserve"> for the absorption Type (or specific value where given) and the </w:t>
      </w:r>
      <w:r w:rsidR="009821A6" w:rsidRPr="00972C81">
        <w:rPr>
          <w:i/>
          <w:noProof/>
        </w:rPr>
        <w:t>f</w:t>
      </w:r>
      <w:r w:rsidR="009821A6" w:rsidRPr="00972C81">
        <w:rPr>
          <w:noProof/>
          <w:vertAlign w:val="subscript"/>
        </w:rPr>
        <w:t>A</w:t>
      </w:r>
      <w:r w:rsidR="009821A6" w:rsidRPr="00972C81">
        <w:rPr>
          <w:noProof/>
        </w:rPr>
        <w:t xml:space="preserve"> value for ingested soluble forms of actinium </w:t>
      </w:r>
      <w:r w:rsidR="003122AC" w:rsidRPr="00972C81">
        <w:rPr>
          <w:noProof/>
        </w:rPr>
        <w:t>applicable to the age-group of interest (</w:t>
      </w:r>
      <w:r w:rsidR="003122AC" w:rsidRPr="00972C81">
        <w:rPr>
          <w:i/>
          <w:iCs/>
          <w:noProof/>
        </w:rPr>
        <w:t xml:space="preserve">e.g. </w:t>
      </w:r>
      <w:r w:rsidR="009821A6" w:rsidRPr="00972C81">
        <w:rPr>
          <w:noProof/>
        </w:rPr>
        <w:t>5</w:t>
      </w:r>
      <w:r w:rsidR="00067025" w:rsidRPr="00972C81">
        <w:rPr>
          <w:noProof/>
        </w:rPr>
        <w:t xml:space="preserve"> × </w:t>
      </w:r>
      <w:r w:rsidR="009821A6" w:rsidRPr="00972C81">
        <w:rPr>
          <w:noProof/>
        </w:rPr>
        <w:t>10</w:t>
      </w:r>
      <w:r w:rsidR="009821A6" w:rsidRPr="00972C81">
        <w:rPr>
          <w:noProof/>
          <w:vertAlign w:val="superscript"/>
        </w:rPr>
        <w:t>–4</w:t>
      </w:r>
      <w:r w:rsidR="00346F2B" w:rsidRPr="00972C81">
        <w:rPr>
          <w:noProof/>
        </w:rPr>
        <w:t xml:space="preserve"> </w:t>
      </w:r>
      <w:r w:rsidR="003122AC" w:rsidRPr="00972C81">
        <w:rPr>
          <w:noProof/>
        </w:rPr>
        <w:t>for adults</w:t>
      </w:r>
      <w:r w:rsidR="009821A6" w:rsidRPr="00972C81">
        <w:rPr>
          <w:noProof/>
        </w:rPr>
        <w:t>).</w:t>
      </w:r>
    </w:p>
    <w:p w14:paraId="7C0333DA" w14:textId="261E6846" w:rsidR="009821A6" w:rsidRPr="00972C81" w:rsidRDefault="004738EF" w:rsidP="00E81109">
      <w:pPr>
        <w:pStyle w:val="Note"/>
        <w:rPr>
          <w:noProof/>
        </w:rPr>
      </w:pPr>
      <w:r w:rsidRPr="00972C81">
        <w:rPr>
          <w:noProof/>
          <w:vertAlign w:val="superscript"/>
        </w:rPr>
        <w:t>‡</w:t>
      </w:r>
      <w:r w:rsidR="009821A6" w:rsidRPr="00972C81">
        <w:rPr>
          <w:noProof/>
        </w:rPr>
        <w:t>Materials (e.g.</w:t>
      </w:r>
      <w:r w:rsidR="009821A6" w:rsidRPr="00972C81">
        <w:rPr>
          <w:i/>
          <w:noProof/>
        </w:rPr>
        <w:t xml:space="preserve"> </w:t>
      </w:r>
      <w:r w:rsidR="009821A6" w:rsidRPr="00972C81">
        <w:rPr>
          <w:noProof/>
        </w:rPr>
        <w:t xml:space="preserve">chloride) are generally listed here where there is sufficient information to assign to a default absorption Type, but not to give specific parameter values (see Section 23 of </w:t>
      </w:r>
      <w:r w:rsidR="008278DA" w:rsidRPr="00972C81">
        <w:rPr>
          <w:i/>
          <w:noProof/>
        </w:rPr>
        <w:t>Publication 141</w:t>
      </w:r>
      <w:r w:rsidR="008278DA" w:rsidRPr="00972C81">
        <w:rPr>
          <w:noProof/>
        </w:rPr>
        <w:t xml:space="preserve"> (ICRP, 2019)</w:t>
      </w:r>
    </w:p>
    <w:p w14:paraId="21E923B7" w14:textId="77930F58" w:rsidR="009821A6" w:rsidRPr="00972C81" w:rsidRDefault="004738EF" w:rsidP="00E81109">
      <w:pPr>
        <w:pStyle w:val="Note"/>
        <w:rPr>
          <w:noProof/>
        </w:rPr>
      </w:pPr>
      <w:r w:rsidRPr="00972C81">
        <w:rPr>
          <w:noProof/>
          <w:vertAlign w:val="superscript"/>
        </w:rPr>
        <w:t>§</w:t>
      </w:r>
      <w:r w:rsidR="009821A6" w:rsidRPr="00972C81">
        <w:rPr>
          <w:noProof/>
        </w:rPr>
        <w:t>Default Type M is recommended for use in the absence of specific information on which the exposure material can be assigned to an Absorption Type, e.g. if the form is unknown, or if the form is known but there is no information available on the absorption of that form from the respiratory tract.</w:t>
      </w:r>
    </w:p>
    <w:p w14:paraId="080BDE27" w14:textId="54D8205C" w:rsidR="009821A6" w:rsidRPr="00972C81" w:rsidRDefault="004738EF" w:rsidP="00E81109">
      <w:pPr>
        <w:pStyle w:val="Note"/>
        <w:rPr>
          <w:noProof/>
        </w:rPr>
      </w:pPr>
      <w:r w:rsidRPr="00972C81">
        <w:rPr>
          <w:noProof/>
          <w:vertAlign w:val="superscript"/>
        </w:rPr>
        <w:t>¶</w:t>
      </w:r>
      <w:r w:rsidR="009821A6" w:rsidRPr="00972C81">
        <w:rPr>
          <w:noProof/>
        </w:rPr>
        <w:t xml:space="preserve">Activity transferred from systemic compartments into segments of the alimentary tract is assumed to be subject to reabsorption to blood. The default absorption fraction </w:t>
      </w:r>
      <w:r w:rsidR="009821A6" w:rsidRPr="00972C81">
        <w:rPr>
          <w:i/>
          <w:noProof/>
        </w:rPr>
        <w:t>f</w:t>
      </w:r>
      <w:r w:rsidR="009821A6" w:rsidRPr="00972C81">
        <w:rPr>
          <w:noProof/>
          <w:vertAlign w:val="subscript"/>
        </w:rPr>
        <w:t>A</w:t>
      </w:r>
      <w:r w:rsidR="009821A6" w:rsidRPr="00972C81">
        <w:rPr>
          <w:noProof/>
        </w:rPr>
        <w:t xml:space="preserve"> for the secreted activity is the reference</w:t>
      </w:r>
      <w:r w:rsidR="003122AC" w:rsidRPr="00972C81">
        <w:rPr>
          <w:noProof/>
        </w:rPr>
        <w:t xml:space="preserve"> value </w:t>
      </w:r>
      <w:r w:rsidR="009821A6" w:rsidRPr="00972C81">
        <w:rPr>
          <w:noProof/>
        </w:rPr>
        <w:t>for ingestion of the radionuclide</w:t>
      </w:r>
      <w:r w:rsidR="003122AC" w:rsidRPr="00972C81">
        <w:rPr>
          <w:noProof/>
        </w:rPr>
        <w:t xml:space="preserve"> applicable to the age-group of interest (</w:t>
      </w:r>
      <w:r w:rsidR="003122AC" w:rsidRPr="00972C81">
        <w:rPr>
          <w:i/>
          <w:iCs/>
          <w:noProof/>
        </w:rPr>
        <w:t xml:space="preserve">e.g. </w:t>
      </w:r>
      <w:r w:rsidR="003122AC" w:rsidRPr="00972C81">
        <w:rPr>
          <w:noProof/>
        </w:rPr>
        <w:t>5</w:t>
      </w:r>
      <w:r w:rsidR="00067025" w:rsidRPr="00972C81">
        <w:rPr>
          <w:noProof/>
        </w:rPr>
        <w:t xml:space="preserve"> × </w:t>
      </w:r>
      <w:r w:rsidR="003122AC" w:rsidRPr="00972C81">
        <w:rPr>
          <w:noProof/>
        </w:rPr>
        <w:t>10</w:t>
      </w:r>
      <w:r w:rsidR="003122AC" w:rsidRPr="00972C81">
        <w:rPr>
          <w:noProof/>
          <w:vertAlign w:val="superscript"/>
        </w:rPr>
        <w:t>–4</w:t>
      </w:r>
      <w:r w:rsidR="003122AC" w:rsidRPr="00972C81">
        <w:rPr>
          <w:noProof/>
        </w:rPr>
        <w:t xml:space="preserve"> for adults)</w:t>
      </w:r>
      <w:r w:rsidR="009821A6" w:rsidRPr="00972C81">
        <w:rPr>
          <w:noProof/>
        </w:rPr>
        <w:t>.</w:t>
      </w:r>
    </w:p>
    <w:p w14:paraId="22E4E9DA" w14:textId="77777777" w:rsidR="009821A6" w:rsidRPr="00972C81" w:rsidRDefault="009821A6" w:rsidP="009821A6">
      <w:pPr>
        <w:rPr>
          <w:rFonts w:ascii="Times Roman" w:hAnsi="Times Roman"/>
          <w:noProof/>
          <w:color w:val="000000" w:themeColor="text1"/>
        </w:rPr>
      </w:pPr>
    </w:p>
    <w:p w14:paraId="42EC2324" w14:textId="77777777" w:rsidR="009821A6" w:rsidRPr="00972C81" w:rsidRDefault="009821A6" w:rsidP="00E81109">
      <w:pPr>
        <w:pStyle w:val="3"/>
        <w:rPr>
          <w:noProof/>
        </w:rPr>
      </w:pPr>
      <w:bookmarkStart w:id="245" w:name="_Toc521690393"/>
      <w:bookmarkStart w:id="246" w:name="_Toc162630076"/>
      <w:r w:rsidRPr="00972C81">
        <w:rPr>
          <w:noProof/>
        </w:rPr>
        <w:lastRenderedPageBreak/>
        <w:t>Ingestion</w:t>
      </w:r>
      <w:bookmarkEnd w:id="245"/>
      <w:bookmarkEnd w:id="246"/>
    </w:p>
    <w:p w14:paraId="780CF8D6" w14:textId="08B396AE" w:rsidR="009821A6" w:rsidRPr="00972C81" w:rsidRDefault="009821A6" w:rsidP="001C4A92">
      <w:pPr>
        <w:pStyle w:val="Annalstext"/>
        <w:rPr>
          <w:noProof/>
        </w:rPr>
      </w:pPr>
      <w:r w:rsidRPr="00972C81">
        <w:rPr>
          <w:i/>
          <w:noProof/>
        </w:rPr>
        <w:t>Adults.</w:t>
      </w:r>
      <w:r w:rsidRPr="00972C81">
        <w:rPr>
          <w:noProof/>
        </w:rPr>
        <w:t xml:space="preserve"> Early studies by Hamilton </w:t>
      </w:r>
      <w:r w:rsidR="00846062" w:rsidRPr="00972C81">
        <w:rPr>
          <w:noProof/>
        </w:rPr>
        <w:fldChar w:fldCharType="begin"/>
      </w:r>
      <w:r w:rsidR="00846062" w:rsidRPr="00972C81">
        <w:rPr>
          <w:noProof/>
        </w:rPr>
        <w:instrText xml:space="preserve"> ADDIN ZOTERO_ITEM CSL_CITATION {"citationID":"sCmxLTgE","properties":{"formattedCitation":"(1948)","plainCitation":"(1948)","noteIndex":0},"citationItems":[{"id":4862,"uris":["http://zotero.org/groups/2470620/items/CFMZUPLV"],"itemData":{"id":4862,"type":"article-journal","container-title":"Reviews of Modern Physics","issue":"4","note":"publisher: APS","page":"718-728","source":"Google Scholar","title":"The metabolic properties of the fission products and actinide elements","volume":"20","author":[{"family":"Hamilton","given":"Joseph G."}],"issued":{"date-parts":[["1948"]]}},"label":"page","suppress-author":true}],"schema":"https://github.com/citation-style-language/schema/raw/master/csl-citation.json"} </w:instrText>
      </w:r>
      <w:r w:rsidR="00846062" w:rsidRPr="00972C81">
        <w:rPr>
          <w:noProof/>
        </w:rPr>
        <w:fldChar w:fldCharType="separate"/>
      </w:r>
      <w:r w:rsidR="00BC59C6" w:rsidRPr="00972C81">
        <w:rPr>
          <w:noProof/>
        </w:rPr>
        <w:t>(1948)</w:t>
      </w:r>
      <w:r w:rsidR="00846062" w:rsidRPr="00972C81">
        <w:rPr>
          <w:noProof/>
        </w:rPr>
        <w:fldChar w:fldCharType="end"/>
      </w:r>
      <w:r w:rsidRPr="00972C81">
        <w:rPr>
          <w:noProof/>
        </w:rPr>
        <w:t xml:space="preserve"> and by Campbell et al. </w:t>
      </w:r>
      <w:r w:rsidR="00345C8B" w:rsidRPr="00972C81">
        <w:rPr>
          <w:noProof/>
        </w:rPr>
        <w:fldChar w:fldCharType="begin"/>
      </w:r>
      <w:r w:rsidR="00345C8B" w:rsidRPr="00972C81">
        <w:rPr>
          <w:noProof/>
        </w:rPr>
        <w:instrText xml:space="preserve"> ADDIN ZOTERO_ITEM CSL_CITATION {"citationID":"vj8hZk6I","properties":{"formattedCitation":"(1956)","plainCitation":"(1956)","noteIndex":0},"citationItems":[{"id":4865,"uris":["http://zotero.org/groups/2470620/items/LFLJJWNC"],"itemData":{"id":4865,"type":"article-journal","container-title":"Radiation Research","issue":"4","note":"publisher: JSTOR","page":"294–302","source":"Google Scholar","title":"The metabolism of 227Ac and its daughters 227Th and 223Ra by rats","volume":"4","author":[{"family":"Campbell","given":"J. E."},{"family":"Robajdek","given":"E. S."},{"family":"Anthony","given":"D. S."}],"issued":{"date-parts":[["1956"]]}},"label":"page","suppress-author":true}],"schema":"https://github.com/citation-style-language/schema/raw/master/csl-citation.json"} </w:instrText>
      </w:r>
      <w:r w:rsidR="00345C8B" w:rsidRPr="00972C81">
        <w:rPr>
          <w:noProof/>
        </w:rPr>
        <w:fldChar w:fldCharType="separate"/>
      </w:r>
      <w:r w:rsidR="00BC59C6" w:rsidRPr="00972C81">
        <w:rPr>
          <w:noProof/>
        </w:rPr>
        <w:t>(1956)</w:t>
      </w:r>
      <w:r w:rsidR="00345C8B" w:rsidRPr="00972C81">
        <w:rPr>
          <w:noProof/>
        </w:rPr>
        <w:fldChar w:fldCharType="end"/>
      </w:r>
      <w:r w:rsidRPr="00972C81">
        <w:rPr>
          <w:noProof/>
        </w:rPr>
        <w:t xml:space="preserve"> indicated that the fractional absorption of actinium in rats is considerably less than 0.01. In </w:t>
      </w:r>
      <w:r w:rsidRPr="00972C81">
        <w:rPr>
          <w:i/>
          <w:noProof/>
        </w:rPr>
        <w:t>Publications</w:t>
      </w:r>
      <w:r w:rsidRPr="00972C81">
        <w:rPr>
          <w:noProof/>
        </w:rPr>
        <w:t xml:space="preserve"> </w:t>
      </w:r>
      <w:r w:rsidRPr="00972C81">
        <w:rPr>
          <w:i/>
          <w:noProof/>
        </w:rPr>
        <w:t>30</w:t>
      </w:r>
      <w:r w:rsidRPr="00972C81">
        <w:rPr>
          <w:noProof/>
        </w:rPr>
        <w:t xml:space="preserve"> </w:t>
      </w:r>
      <w:r w:rsidR="00345C8B" w:rsidRPr="00972C81">
        <w:rPr>
          <w:noProof/>
        </w:rPr>
        <w:fldChar w:fldCharType="begin"/>
      </w:r>
      <w:r w:rsidR="00345C8B" w:rsidRPr="00972C81">
        <w:rPr>
          <w:noProof/>
        </w:rPr>
        <w:instrText xml:space="preserve"> ADDIN ZOTERO_ITEM CSL_CITATION {"citationID":"gR129XME","properties":{"formattedCitation":"(ICRP, 1981)","plainCitation":"(ICRP, 1981)","noteIndex":0},"citationItems":[{"id":2555,"uris":["http://zotero.org/groups/2470620/items/QCBU7EV5"],"itemData":{"id":2555,"type":"article-journal","container-title":"Annals of the ICRP","issue":"2/3","journalAbbreviation":"Ann. ICRP","language":"et","title":"Limits for intakes of radionuclides by workers. ICRP Publication 30, Part 3","volume":"6","author":[{"literal":"ICRP"}],"issued":{"date-parts":[["1981"]]}}}],"schema":"https://github.com/citation-style-language/schema/raw/master/csl-citation.json"} </w:instrText>
      </w:r>
      <w:r w:rsidR="00345C8B" w:rsidRPr="00972C81">
        <w:rPr>
          <w:noProof/>
        </w:rPr>
        <w:fldChar w:fldCharType="separate"/>
      </w:r>
      <w:r w:rsidR="00BC59C6" w:rsidRPr="00972C81">
        <w:rPr>
          <w:noProof/>
        </w:rPr>
        <w:t>(ICRP, 1981)</w:t>
      </w:r>
      <w:r w:rsidR="00345C8B" w:rsidRPr="00972C81">
        <w:rPr>
          <w:noProof/>
        </w:rPr>
        <w:fldChar w:fldCharType="end"/>
      </w:r>
      <w:r w:rsidRPr="00972C81">
        <w:rPr>
          <w:noProof/>
        </w:rPr>
        <w:t xml:space="preserve"> and </w:t>
      </w:r>
      <w:r w:rsidRPr="00972C81">
        <w:rPr>
          <w:i/>
          <w:noProof/>
        </w:rPr>
        <w:t>48</w:t>
      </w:r>
      <w:r w:rsidRPr="00972C81">
        <w:rPr>
          <w:noProof/>
        </w:rPr>
        <w:t xml:space="preserve"> </w:t>
      </w:r>
      <w:r w:rsidR="00345C8B" w:rsidRPr="00972C81">
        <w:rPr>
          <w:noProof/>
        </w:rPr>
        <w:fldChar w:fldCharType="begin"/>
      </w:r>
      <w:r w:rsidR="00345C8B" w:rsidRPr="00972C81">
        <w:rPr>
          <w:noProof/>
        </w:rPr>
        <w:instrText xml:space="preserve"> ADDIN ZOTERO_ITEM CSL_CITATION {"citationID":"ZOJts1Sw","properties":{"formattedCitation":"(ICRP, 1986)","plainCitation":"(ICRP, 1986)","noteIndex":0},"citationItems":[{"id":4867,"uris":["http://zotero.org/groups/2470620/items/JBT3RHCV"],"itemData":{"id":4867,"type":"article-journal","container-title":"Annals of the ICRP","issue":"2/3","journalAbbreviation":"Ann. ICRP","language":"et","title":"The Metabolism of Plutonium and Related Elements. ICRP Publication 48","volume":"16","author":[{"literal":"ICRP"}],"issued":{"date-parts":[["1986"]]}}}],"schema":"https://github.com/citation-style-language/schema/raw/master/csl-citation.json"} </w:instrText>
      </w:r>
      <w:r w:rsidR="00345C8B" w:rsidRPr="00972C81">
        <w:rPr>
          <w:noProof/>
        </w:rPr>
        <w:fldChar w:fldCharType="separate"/>
      </w:r>
      <w:r w:rsidR="00BC59C6" w:rsidRPr="00972C81">
        <w:rPr>
          <w:noProof/>
        </w:rPr>
        <w:t>(ICRP, 1986)</w:t>
      </w:r>
      <w:r w:rsidR="00345C8B" w:rsidRPr="00972C81">
        <w:rPr>
          <w:noProof/>
        </w:rPr>
        <w:fldChar w:fldCharType="end"/>
      </w:r>
      <w:r w:rsidRPr="00972C81">
        <w:rPr>
          <w:noProof/>
        </w:rPr>
        <w:t xml:space="preserve"> an absorption fraction of 1</w:t>
      </w:r>
      <w:r w:rsidR="00067025" w:rsidRPr="00972C81">
        <w:rPr>
          <w:noProof/>
        </w:rPr>
        <w:t xml:space="preserve"> × </w:t>
      </w:r>
      <w:r w:rsidRPr="00972C81">
        <w:rPr>
          <w:noProof/>
        </w:rPr>
        <w:t>10</w:t>
      </w:r>
      <w:r w:rsidRPr="00972C81">
        <w:rPr>
          <w:noProof/>
          <w:vertAlign w:val="superscript"/>
        </w:rPr>
        <w:t>-3</w:t>
      </w:r>
      <w:r w:rsidRPr="00972C81">
        <w:rPr>
          <w:noProof/>
        </w:rPr>
        <w:t xml:space="preserve"> was recommended for actinium. In </w:t>
      </w:r>
      <w:r w:rsidR="008278DA" w:rsidRPr="00972C81">
        <w:rPr>
          <w:i/>
          <w:noProof/>
        </w:rPr>
        <w:t>Publication 141</w:t>
      </w:r>
      <w:r w:rsidR="008278DA" w:rsidRPr="00972C81">
        <w:rPr>
          <w:noProof/>
        </w:rPr>
        <w:t xml:space="preserve"> </w:t>
      </w:r>
      <w:r w:rsidR="00345C8B" w:rsidRPr="00972C81">
        <w:rPr>
          <w:noProof/>
        </w:rPr>
        <w:fldChar w:fldCharType="begin"/>
      </w:r>
      <w:r w:rsidR="00345C8B" w:rsidRPr="00972C81">
        <w:rPr>
          <w:noProof/>
        </w:rPr>
        <w:instrText xml:space="preserve"> ADDIN ZOTERO_ITEM CSL_CITATION {"citationID":"weQjI7tl","properties":{"formattedCitation":"(ICRP,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345C8B" w:rsidRPr="00972C81">
        <w:rPr>
          <w:noProof/>
        </w:rPr>
        <w:fldChar w:fldCharType="separate"/>
      </w:r>
      <w:r w:rsidR="00BC59C6" w:rsidRPr="00972C81">
        <w:rPr>
          <w:noProof/>
        </w:rPr>
        <w:t>(ICRP, 2019)</w:t>
      </w:r>
      <w:r w:rsidR="00345C8B" w:rsidRPr="00972C81">
        <w:rPr>
          <w:noProof/>
        </w:rPr>
        <w:fldChar w:fldCharType="end"/>
      </w:r>
      <w:r w:rsidRPr="00972C81">
        <w:rPr>
          <w:noProof/>
        </w:rPr>
        <w:t xml:space="preserve">, on the basis of results showing similar low levels of absorption </w:t>
      </w:r>
      <w:r w:rsidR="00BB503E">
        <w:rPr>
          <w:noProof/>
        </w:rPr>
        <w:t>in humans</w:t>
      </w:r>
      <w:r w:rsidRPr="00972C81">
        <w:rPr>
          <w:noProof/>
        </w:rPr>
        <w:t xml:space="preserve"> for five actinide elements (thorium, neptunium, plutonium, americium and curium) and taking account of animal data showing variations in </w:t>
      </w:r>
      <w:r w:rsidRPr="00972C81">
        <w:rPr>
          <w:i/>
          <w:noProof/>
        </w:rPr>
        <w:t>f</w:t>
      </w:r>
      <w:r w:rsidRPr="00972C81">
        <w:rPr>
          <w:noProof/>
          <w:vertAlign w:val="subscript"/>
        </w:rPr>
        <w:t>A</w:t>
      </w:r>
      <w:r w:rsidRPr="00972C81">
        <w:rPr>
          <w:noProof/>
        </w:rPr>
        <w:t xml:space="preserve"> values resulting from differences in chemical forms, it was considered that an appropriate general </w:t>
      </w:r>
      <w:r w:rsidRPr="00972C81">
        <w:rPr>
          <w:i/>
          <w:noProof/>
        </w:rPr>
        <w:t>f</w:t>
      </w:r>
      <w:r w:rsidRPr="00972C81">
        <w:rPr>
          <w:noProof/>
          <w:vertAlign w:val="subscript"/>
        </w:rPr>
        <w:t>A</w:t>
      </w:r>
      <w:r w:rsidRPr="00972C81">
        <w:rPr>
          <w:noProof/>
        </w:rPr>
        <w:t xml:space="preserve"> value for all chemical forms of actinides except uranium was 5</w:t>
      </w:r>
      <w:r w:rsidR="00067025" w:rsidRPr="00972C81">
        <w:rPr>
          <w:noProof/>
        </w:rPr>
        <w:t xml:space="preserve"> × </w:t>
      </w:r>
      <w:r w:rsidRPr="00972C81">
        <w:rPr>
          <w:noProof/>
        </w:rPr>
        <w:t>10</w:t>
      </w:r>
      <w:r w:rsidRPr="00972C81">
        <w:rPr>
          <w:noProof/>
          <w:vertAlign w:val="superscript"/>
        </w:rPr>
        <w:t>-4</w:t>
      </w:r>
      <w:r w:rsidRPr="00972C81">
        <w:rPr>
          <w:noProof/>
        </w:rPr>
        <w:t xml:space="preserve">. The same </w:t>
      </w:r>
      <w:r w:rsidRPr="00972C81">
        <w:rPr>
          <w:i/>
          <w:noProof/>
        </w:rPr>
        <w:t>f</w:t>
      </w:r>
      <w:r w:rsidRPr="00972C81">
        <w:rPr>
          <w:noProof/>
          <w:vertAlign w:val="subscript"/>
        </w:rPr>
        <w:t>A</w:t>
      </w:r>
      <w:r w:rsidRPr="00972C81">
        <w:rPr>
          <w:noProof/>
        </w:rPr>
        <w:t xml:space="preserve"> = 5</w:t>
      </w:r>
      <w:r w:rsidR="00067025" w:rsidRPr="00972C81">
        <w:rPr>
          <w:noProof/>
        </w:rPr>
        <w:t xml:space="preserve"> × </w:t>
      </w:r>
      <w:r w:rsidRPr="00972C81">
        <w:rPr>
          <w:noProof/>
        </w:rPr>
        <w:t>10</w:t>
      </w:r>
      <w:r w:rsidRPr="00972C81">
        <w:rPr>
          <w:noProof/>
          <w:vertAlign w:val="superscript"/>
        </w:rPr>
        <w:t>-4</w:t>
      </w:r>
      <w:r w:rsidRPr="00972C81">
        <w:rPr>
          <w:noProof/>
        </w:rPr>
        <w:t xml:space="preserve"> is recommended here for ingestion of actinium by adult members of the public.</w:t>
      </w:r>
    </w:p>
    <w:p w14:paraId="079F4333" w14:textId="2AB4FD89" w:rsidR="009821A6" w:rsidRPr="00972C81" w:rsidRDefault="009821A6" w:rsidP="001C4A92">
      <w:pPr>
        <w:pStyle w:val="Annalstext"/>
        <w:rPr>
          <w:noProof/>
        </w:rPr>
      </w:pPr>
      <w:r w:rsidRPr="00972C81">
        <w:rPr>
          <w:i/>
          <w:noProof/>
        </w:rPr>
        <w:t>Children.</w:t>
      </w:r>
      <w:r w:rsidRPr="00972C81">
        <w:rPr>
          <w:noProof/>
        </w:rPr>
        <w:t xml:space="preserve"> The age-dependency of actinium absorption was not observed. On the basis of the chemical analogy with the other actinides, the same values of </w:t>
      </w:r>
      <w:r w:rsidRPr="00972C81">
        <w:rPr>
          <w:i/>
          <w:noProof/>
        </w:rPr>
        <w:t>f</w:t>
      </w:r>
      <w:r w:rsidRPr="00972C81">
        <w:rPr>
          <w:noProof/>
          <w:vertAlign w:val="subscript"/>
        </w:rPr>
        <w:t>A</w:t>
      </w:r>
      <w:r w:rsidRPr="00972C81">
        <w:rPr>
          <w:noProof/>
        </w:rPr>
        <w:t xml:space="preserve"> = 0.005 for 3-month-old infants and 5</w:t>
      </w:r>
      <w:r w:rsidR="00067025" w:rsidRPr="00972C81">
        <w:rPr>
          <w:noProof/>
        </w:rPr>
        <w:t xml:space="preserve"> × </w:t>
      </w:r>
      <w:r w:rsidRPr="00972C81">
        <w:rPr>
          <w:noProof/>
        </w:rPr>
        <w:t>10</w:t>
      </w:r>
      <w:r w:rsidRPr="00972C81">
        <w:rPr>
          <w:noProof/>
          <w:vertAlign w:val="superscript"/>
        </w:rPr>
        <w:t>-4</w:t>
      </w:r>
      <w:r w:rsidRPr="00972C81">
        <w:rPr>
          <w:noProof/>
        </w:rPr>
        <w:t xml:space="preserve"> for children of 1 year and older are adopted here for actinium as for thorium, neptunium, plutonium, americium and curium.</w:t>
      </w:r>
    </w:p>
    <w:p w14:paraId="0581D9D7" w14:textId="77777777" w:rsidR="009821A6" w:rsidRPr="00972C81" w:rsidRDefault="009821A6" w:rsidP="00E81109">
      <w:pPr>
        <w:pStyle w:val="3"/>
        <w:rPr>
          <w:noProof/>
        </w:rPr>
      </w:pPr>
      <w:bookmarkStart w:id="247" w:name="_Toc521690394"/>
      <w:bookmarkStart w:id="248" w:name="_Toc162630077"/>
      <w:r w:rsidRPr="00972C81">
        <w:rPr>
          <w:noProof/>
        </w:rPr>
        <w:t>Systemic Distribution, Retention and Excretion</w:t>
      </w:r>
      <w:bookmarkEnd w:id="247"/>
      <w:bookmarkEnd w:id="248"/>
    </w:p>
    <w:p w14:paraId="618EB51E" w14:textId="77777777" w:rsidR="009821A6" w:rsidRPr="00972C81" w:rsidRDefault="009821A6" w:rsidP="006703A2">
      <w:pPr>
        <w:pStyle w:val="OIRTitre4"/>
      </w:pPr>
      <w:bookmarkStart w:id="249" w:name="_Hlk494725232"/>
      <w:r w:rsidRPr="00972C81">
        <w:t>Summary of biokinetic data</w:t>
      </w:r>
    </w:p>
    <w:bookmarkEnd w:id="249"/>
    <w:p w14:paraId="029E777E" w14:textId="1239CCF0" w:rsidR="009821A6" w:rsidRPr="00972C81" w:rsidRDefault="009821A6" w:rsidP="001C4A92">
      <w:pPr>
        <w:pStyle w:val="Annalstext"/>
        <w:rPr>
          <w:noProof/>
        </w:rPr>
      </w:pPr>
      <w:r w:rsidRPr="00972C81">
        <w:rPr>
          <w:noProof/>
        </w:rPr>
        <w:t xml:space="preserve">Biokinetic studies of actinium in rats indicate that its systemic </w:t>
      </w:r>
      <w:r w:rsidR="00BB503E">
        <w:rPr>
          <w:noProof/>
        </w:rPr>
        <w:t>behaviour</w:t>
      </w:r>
      <w:r w:rsidRPr="00972C81">
        <w:rPr>
          <w:noProof/>
        </w:rPr>
        <w:t xml:space="preserve"> is generally consistent with the qualitative pattern found for most other actinide elements. That is, actinium deposits mainly in the skeleton and liver, is a bone surface seeker with tenacious retention in the skeleton, and is only slowly removed from the body. Its systemic biokinetics appears to be broadly similar to that of americium.</w:t>
      </w:r>
    </w:p>
    <w:p w14:paraId="7919C541" w14:textId="7AA1A01F" w:rsidR="009821A6" w:rsidRPr="00972C81" w:rsidRDefault="009821A6" w:rsidP="001C4A92">
      <w:pPr>
        <w:pStyle w:val="Annalstext"/>
        <w:rPr>
          <w:noProof/>
        </w:rPr>
      </w:pPr>
      <w:r w:rsidRPr="00972C81">
        <w:rPr>
          <w:noProof/>
        </w:rPr>
        <w:t>Newton and co-workers</w:t>
      </w:r>
      <w:r w:rsidR="00345C8B" w:rsidRPr="00972C81">
        <w:rPr>
          <w:noProof/>
        </w:rPr>
        <w:t xml:space="preserve"> </w:t>
      </w:r>
      <w:r w:rsidR="00345C8B" w:rsidRPr="00972C81">
        <w:rPr>
          <w:noProof/>
        </w:rPr>
        <w:fldChar w:fldCharType="begin"/>
      </w:r>
      <w:r w:rsidR="00345C8B" w:rsidRPr="00972C81">
        <w:rPr>
          <w:noProof/>
        </w:rPr>
        <w:instrText xml:space="preserve"> ADDIN ZOTERO_ITEM CSL_CITATION {"citationID":"f8Lg9Nfn","properties":{"formattedCitation":"(Newton, 1968; Newton and Brown, 1974)","plainCitation":"(Newton, 1968; Newton and Brown, 1974)","noteIndex":0},"citationItems":[{"id":4868,"uris":["http://zotero.org/groups/2470620/items/XV6L85LK"],"itemData":{"id":4868,"type":"article-journal","container-title":"Health Physics","DOI":"10.1097/00004032-196807000-00002","ISSN":"0017-9078","issue":"1","journalAbbreviation":"Health Phys","language":"eng","note":"PMID: 5743753","page":"11-17","source":"PubMed","title":"A case of accidental inhalation of protactinium-231 and actinium-227","volume":"15","author":[{"family":"Newton","given":"D."}],"issued":{"date-parts":[["1968"]]}}},{"id":4870,"uris":["http://zotero.org/groups/2470620/items/ZHVX4PN3"],"itemData":{"id":4870,"type":"article-journal","container-title":"Health Physics","issue":"5","note":"publisher: LWW","page":"459–467","source":"Google Scholar","title":"The long-term retention of systemic protactinium-231 and actinium-227","volume":"27","author":[{"family":"Newton","given":"D."},{"family":"Brown","given":"D. A."}],"issued":{"date-parts":[["1974"]]}}}],"schema":"https://github.com/citation-style-language/schema/raw/master/csl-citation.json"} </w:instrText>
      </w:r>
      <w:r w:rsidR="00345C8B" w:rsidRPr="00972C81">
        <w:rPr>
          <w:noProof/>
        </w:rPr>
        <w:fldChar w:fldCharType="separate"/>
      </w:r>
      <w:r w:rsidR="00BC59C6" w:rsidRPr="00972C81">
        <w:rPr>
          <w:noProof/>
        </w:rPr>
        <w:t>(Newton, 1968; Newton and Brown, 1974)</w:t>
      </w:r>
      <w:r w:rsidR="00345C8B" w:rsidRPr="00972C81">
        <w:rPr>
          <w:noProof/>
        </w:rPr>
        <w:fldChar w:fldCharType="end"/>
      </w:r>
      <w:r w:rsidRPr="00972C81">
        <w:rPr>
          <w:noProof/>
        </w:rPr>
        <w:t xml:space="preserve"> reported a case of internal exposure to </w:t>
      </w:r>
      <w:r w:rsidRPr="00972C81">
        <w:rPr>
          <w:noProof/>
          <w:vertAlign w:val="superscript"/>
        </w:rPr>
        <w:t>227</w:t>
      </w:r>
      <w:r w:rsidRPr="00972C81">
        <w:rPr>
          <w:noProof/>
        </w:rPr>
        <w:t xml:space="preserve">Ac and </w:t>
      </w:r>
      <w:r w:rsidRPr="00972C81">
        <w:rPr>
          <w:noProof/>
          <w:vertAlign w:val="superscript"/>
        </w:rPr>
        <w:t>231</w:t>
      </w:r>
      <w:r w:rsidRPr="00972C81">
        <w:rPr>
          <w:noProof/>
        </w:rPr>
        <w:t xml:space="preserve">Pa through a puncture wound. An estimated 90% of </w:t>
      </w:r>
      <w:r w:rsidRPr="00972C81">
        <w:rPr>
          <w:noProof/>
          <w:vertAlign w:val="superscript"/>
        </w:rPr>
        <w:t>227</w:t>
      </w:r>
      <w:r w:rsidRPr="00972C81">
        <w:rPr>
          <w:noProof/>
        </w:rPr>
        <w:t>Ac reaching the systemic circulation was retained indefinitely. Three years after the accident, activity appeared to be deposited primarily in bone with some involvement of liver. After 9 y most of the liver content apparently had transferred to the skeleton. During the period 1570</w:t>
      </w:r>
      <w:r w:rsidR="00143A79" w:rsidRPr="00972C81">
        <w:rPr>
          <w:noProof/>
        </w:rPr>
        <w:t>–</w:t>
      </w:r>
      <w:r w:rsidRPr="00972C81">
        <w:rPr>
          <w:noProof/>
        </w:rPr>
        <w:t xml:space="preserve">2330 d after the incident, daily urinary excretion of the </w:t>
      </w:r>
      <w:r w:rsidRPr="00972C81">
        <w:rPr>
          <w:noProof/>
          <w:vertAlign w:val="superscript"/>
        </w:rPr>
        <w:t>231</w:t>
      </w:r>
      <w:r w:rsidRPr="00972C81">
        <w:rPr>
          <w:noProof/>
        </w:rPr>
        <w:t>Pa/</w:t>
      </w:r>
      <w:r w:rsidRPr="00972C81">
        <w:rPr>
          <w:noProof/>
          <w:vertAlign w:val="superscript"/>
        </w:rPr>
        <w:t>227</w:t>
      </w:r>
      <w:r w:rsidRPr="00972C81">
        <w:rPr>
          <w:noProof/>
        </w:rPr>
        <w:t xml:space="preserve">Ac chain member </w:t>
      </w:r>
      <w:r w:rsidRPr="00972C81">
        <w:rPr>
          <w:noProof/>
          <w:vertAlign w:val="superscript"/>
        </w:rPr>
        <w:t>223</w:t>
      </w:r>
      <w:r w:rsidRPr="00972C81">
        <w:rPr>
          <w:noProof/>
        </w:rPr>
        <w:t xml:space="preserve">Ra was approximately 60 times greater than that of </w:t>
      </w:r>
      <w:r w:rsidRPr="00972C81">
        <w:rPr>
          <w:noProof/>
          <w:vertAlign w:val="superscript"/>
        </w:rPr>
        <w:t>231</w:t>
      </w:r>
      <w:r w:rsidRPr="00972C81">
        <w:rPr>
          <w:noProof/>
        </w:rPr>
        <w:t xml:space="preserve">Pa and 150 times greater than that of </w:t>
      </w:r>
      <w:r w:rsidRPr="00972C81">
        <w:rPr>
          <w:noProof/>
          <w:vertAlign w:val="superscript"/>
        </w:rPr>
        <w:t>227</w:t>
      </w:r>
      <w:r w:rsidRPr="00972C81">
        <w:rPr>
          <w:noProof/>
        </w:rPr>
        <w:t xml:space="preserve">Ac. Daily faecal excretion of </w:t>
      </w:r>
      <w:r w:rsidRPr="00972C81">
        <w:rPr>
          <w:noProof/>
          <w:vertAlign w:val="superscript"/>
        </w:rPr>
        <w:t>223</w:t>
      </w:r>
      <w:r w:rsidRPr="00972C81">
        <w:rPr>
          <w:noProof/>
        </w:rPr>
        <w:t xml:space="preserve">Ra during that period was about 1300 times that of </w:t>
      </w:r>
      <w:r w:rsidRPr="00972C81">
        <w:rPr>
          <w:noProof/>
          <w:vertAlign w:val="superscript"/>
        </w:rPr>
        <w:t>231</w:t>
      </w:r>
      <w:r w:rsidRPr="00972C81">
        <w:rPr>
          <w:noProof/>
        </w:rPr>
        <w:t xml:space="preserve">Pa and 2100 times that of </w:t>
      </w:r>
      <w:r w:rsidRPr="00972C81">
        <w:rPr>
          <w:noProof/>
          <w:vertAlign w:val="superscript"/>
        </w:rPr>
        <w:t>227</w:t>
      </w:r>
      <w:r w:rsidRPr="00972C81">
        <w:rPr>
          <w:noProof/>
        </w:rPr>
        <w:t>Ac.</w:t>
      </w:r>
    </w:p>
    <w:p w14:paraId="6CB15979" w14:textId="2588CC5C" w:rsidR="009821A6" w:rsidRPr="00972C81" w:rsidRDefault="009821A6" w:rsidP="001C4A92">
      <w:pPr>
        <w:pStyle w:val="Annalstext"/>
        <w:rPr>
          <w:noProof/>
        </w:rPr>
      </w:pPr>
      <w:r w:rsidRPr="00972C81">
        <w:rPr>
          <w:noProof/>
        </w:rPr>
        <w:t xml:space="preserve">Taylor </w:t>
      </w:r>
      <w:r w:rsidR="00977C55" w:rsidRPr="00972C81">
        <w:rPr>
          <w:noProof/>
        </w:rPr>
        <w:fldChar w:fldCharType="begin"/>
      </w:r>
      <w:r w:rsidR="00977C55" w:rsidRPr="00972C81">
        <w:rPr>
          <w:noProof/>
        </w:rPr>
        <w:instrText xml:space="preserve"> ADDIN ZOTERO_ITEM CSL_CITATION {"citationID":"LyM9Iyfo","properties":{"formattedCitation":"(1970)","plainCitation":"(1970)","noteIndex":0},"citationItems":[{"id":4872,"uris":["http://zotero.org/groups/2470620/items/GXLFJQC2"],"itemData":{"id":4872,"type":"article-journal","container-title":"Health Physics","DOI":"10.1097/00004032-197009000-00004","ISSN":"0017-9078","issue":"3","journalAbbreviation":"Health Phys","language":"eng","note":"PMID: 5512923","page":"411-418","source":"PubMed","title":"The metabolism of actinium in the rat","volume":"19","author":[{"family":"Taylor","given":"D. M."}],"issued":{"date-parts":[["1970",9]]}},"label":"page","suppress-author":true}],"schema":"https://github.com/citation-style-language/schema/raw/master/csl-citation.json"} </w:instrText>
      </w:r>
      <w:r w:rsidR="00977C55" w:rsidRPr="00972C81">
        <w:rPr>
          <w:noProof/>
        </w:rPr>
        <w:fldChar w:fldCharType="separate"/>
      </w:r>
      <w:r w:rsidR="00BC59C6" w:rsidRPr="00972C81">
        <w:rPr>
          <w:noProof/>
        </w:rPr>
        <w:t>(1970)</w:t>
      </w:r>
      <w:r w:rsidR="00977C55" w:rsidRPr="00972C81">
        <w:rPr>
          <w:noProof/>
        </w:rPr>
        <w:fldChar w:fldCharType="end"/>
      </w:r>
      <w:r w:rsidRPr="00972C81">
        <w:rPr>
          <w:noProof/>
        </w:rPr>
        <w:t xml:space="preserve"> studied the biokinetics of </w:t>
      </w:r>
      <w:r w:rsidRPr="00972C81">
        <w:rPr>
          <w:noProof/>
          <w:vertAlign w:val="superscript"/>
        </w:rPr>
        <w:t>227</w:t>
      </w:r>
      <w:r w:rsidRPr="00972C81">
        <w:rPr>
          <w:noProof/>
        </w:rPr>
        <w:t xml:space="preserve">Ac in rats following its intravenous administration in various chemical forms. Similar tissue distributions were observed when </w:t>
      </w:r>
      <w:r w:rsidRPr="00972C81">
        <w:rPr>
          <w:noProof/>
          <w:vertAlign w:val="superscript"/>
        </w:rPr>
        <w:t>227</w:t>
      </w:r>
      <w:r w:rsidRPr="00972C81">
        <w:rPr>
          <w:noProof/>
        </w:rPr>
        <w:t xml:space="preserve">Ac was administered as a complex with serum proteins, as nitrate, or as citrate. At 4 d </w:t>
      </w:r>
      <w:r w:rsidRPr="00972C81">
        <w:rPr>
          <w:noProof/>
          <w:vertAlign w:val="superscript"/>
        </w:rPr>
        <w:t>227</w:t>
      </w:r>
      <w:r w:rsidRPr="00972C81">
        <w:rPr>
          <w:noProof/>
        </w:rPr>
        <w:t>Ac was found mainly in the liver and skeleton, and the kidneys contained about 1.5% of the administered amount. By 189 d the liver content was less than 1% of the content at 4 d. There was little if any net loss from bone during the period 4</w:t>
      </w:r>
      <w:r w:rsidR="00143A79" w:rsidRPr="00972C81">
        <w:rPr>
          <w:noProof/>
        </w:rPr>
        <w:t>–</w:t>
      </w:r>
      <w:r w:rsidRPr="00972C81">
        <w:rPr>
          <w:noProof/>
        </w:rPr>
        <w:t>189 d. Over the first week, cumulative urinary and faecal excretion amount to about 1% and 20%, respectively, of the administered activity.</w:t>
      </w:r>
    </w:p>
    <w:p w14:paraId="6AC25F54" w14:textId="6779F1FC" w:rsidR="009821A6" w:rsidRPr="00972C81" w:rsidRDefault="009821A6" w:rsidP="001C4A92">
      <w:pPr>
        <w:pStyle w:val="Annalstext"/>
        <w:rPr>
          <w:noProof/>
        </w:rPr>
      </w:pPr>
      <w:r w:rsidRPr="00972C81">
        <w:rPr>
          <w:noProof/>
        </w:rPr>
        <w:t xml:space="preserve">Campbell et al. </w:t>
      </w:r>
      <w:r w:rsidR="00977C55" w:rsidRPr="00972C81">
        <w:rPr>
          <w:noProof/>
        </w:rPr>
        <w:fldChar w:fldCharType="begin"/>
      </w:r>
      <w:r w:rsidR="00977C55" w:rsidRPr="00972C81">
        <w:rPr>
          <w:noProof/>
        </w:rPr>
        <w:instrText xml:space="preserve"> ADDIN ZOTERO_ITEM CSL_CITATION {"citationID":"j1DONA3i","properties":{"formattedCitation":"(1956)","plainCitation":"(1956)","noteIndex":0},"citationItems":[{"id":4865,"uris":["http://zotero.org/groups/2470620/items/LFLJJWNC"],"itemData":{"id":4865,"type":"article-journal","container-title":"Radiation Research","issue":"4","note":"publisher: JSTOR","page":"294–302","source":"Google Scholar","title":"The metabolism of 227Ac and its daughters 227Th and 223Ra by rats","volume":"4","author":[{"family":"Campbell","given":"J. E."},{"family":"Robajdek","given":"E. S."},{"family":"Anthony","given":"D. S."}],"issued":{"date-parts":[["1956"]]}},"label":"page","suppress-author":true}],"schema":"https://github.com/citation-style-language/schema/raw/master/csl-citation.json"} </w:instrText>
      </w:r>
      <w:r w:rsidR="00977C55" w:rsidRPr="00972C81">
        <w:rPr>
          <w:noProof/>
        </w:rPr>
        <w:fldChar w:fldCharType="separate"/>
      </w:r>
      <w:r w:rsidR="00BC59C6" w:rsidRPr="00972C81">
        <w:rPr>
          <w:noProof/>
        </w:rPr>
        <w:t>(1956)</w:t>
      </w:r>
      <w:r w:rsidR="00977C55" w:rsidRPr="00972C81">
        <w:rPr>
          <w:noProof/>
        </w:rPr>
        <w:fldChar w:fldCharType="end"/>
      </w:r>
      <w:r w:rsidRPr="00972C81">
        <w:rPr>
          <w:noProof/>
        </w:rPr>
        <w:t xml:space="preserve"> investigated the </w:t>
      </w:r>
      <w:r w:rsidR="00BB503E">
        <w:rPr>
          <w:noProof/>
        </w:rPr>
        <w:t>behaviour</w:t>
      </w:r>
      <w:r w:rsidRPr="00972C81">
        <w:rPr>
          <w:noProof/>
        </w:rPr>
        <w:t xml:space="preserve"> of </w:t>
      </w:r>
      <w:r w:rsidRPr="00972C81">
        <w:rPr>
          <w:noProof/>
          <w:vertAlign w:val="superscript"/>
        </w:rPr>
        <w:t>227</w:t>
      </w:r>
      <w:r w:rsidRPr="00972C81">
        <w:rPr>
          <w:noProof/>
        </w:rPr>
        <w:t xml:space="preserve">Ac and its progeny </w:t>
      </w:r>
      <w:r w:rsidRPr="00972C81">
        <w:rPr>
          <w:noProof/>
          <w:vertAlign w:val="superscript"/>
        </w:rPr>
        <w:t>227</w:t>
      </w:r>
      <w:r w:rsidRPr="00972C81">
        <w:rPr>
          <w:noProof/>
        </w:rPr>
        <w:t xml:space="preserve">Th and </w:t>
      </w:r>
      <w:r w:rsidRPr="00972C81">
        <w:rPr>
          <w:noProof/>
          <w:vertAlign w:val="superscript"/>
        </w:rPr>
        <w:t>223</w:t>
      </w:r>
      <w:r w:rsidRPr="00972C81">
        <w:rPr>
          <w:noProof/>
        </w:rPr>
        <w:t xml:space="preserve">Ra in young adult male rats following administration of </w:t>
      </w:r>
      <w:r w:rsidRPr="00972C81">
        <w:rPr>
          <w:noProof/>
          <w:vertAlign w:val="superscript"/>
        </w:rPr>
        <w:t>227</w:t>
      </w:r>
      <w:r w:rsidRPr="00972C81">
        <w:rPr>
          <w:noProof/>
        </w:rPr>
        <w:t xml:space="preserve">Ac alone or in equilibrium with its progeny by intravenous, intramuscular, and subcutaneous injection; orally via a stomach tube; or by absorption through the skin. The skeleton accumulated roughly half of intravenously administered </w:t>
      </w:r>
      <w:r w:rsidRPr="00972C81">
        <w:rPr>
          <w:noProof/>
          <w:vertAlign w:val="superscript"/>
        </w:rPr>
        <w:t>227</w:t>
      </w:r>
      <w:r w:rsidRPr="00972C81">
        <w:rPr>
          <w:noProof/>
        </w:rPr>
        <w:t xml:space="preserve">Ac. It appeared that activity deposited in the skeleton was not removed. Rats injected with </w:t>
      </w:r>
      <w:r w:rsidRPr="00972C81">
        <w:rPr>
          <w:noProof/>
          <w:vertAlign w:val="superscript"/>
        </w:rPr>
        <w:t>227</w:t>
      </w:r>
      <w:r w:rsidRPr="00972C81">
        <w:rPr>
          <w:noProof/>
        </w:rPr>
        <w:t xml:space="preserve">Ac in equilibrium with its progeny excreted about half of the administered </w:t>
      </w:r>
      <w:r w:rsidRPr="00972C81">
        <w:rPr>
          <w:noProof/>
          <w:vertAlign w:val="superscript"/>
        </w:rPr>
        <w:t>227</w:t>
      </w:r>
      <w:r w:rsidRPr="00972C81">
        <w:rPr>
          <w:noProof/>
        </w:rPr>
        <w:t xml:space="preserve">Ac in three months. The remaining 50% was tenaciously retained in the body. Actinium-227 deposited in the skeleton was not removed, but </w:t>
      </w:r>
      <w:r w:rsidRPr="00972C81">
        <w:rPr>
          <w:noProof/>
          <w:vertAlign w:val="superscript"/>
        </w:rPr>
        <w:t>227</w:t>
      </w:r>
      <w:r w:rsidRPr="00972C81">
        <w:rPr>
          <w:noProof/>
        </w:rPr>
        <w:t xml:space="preserve">Ac deposited in soft tissues </w:t>
      </w:r>
      <w:r w:rsidRPr="00972C81">
        <w:rPr>
          <w:noProof/>
        </w:rPr>
        <w:lastRenderedPageBreak/>
        <w:t xml:space="preserve">was readily excreted. Actinium-227 deposited in the skeleton remained in equilibrium with its progeny, but </w:t>
      </w:r>
      <w:r w:rsidRPr="00972C81">
        <w:rPr>
          <w:noProof/>
          <w:vertAlign w:val="superscript"/>
        </w:rPr>
        <w:t>227</w:t>
      </w:r>
      <w:r w:rsidRPr="00972C81">
        <w:rPr>
          <w:noProof/>
        </w:rPr>
        <w:t xml:space="preserve">Ac deposited in soft tissues was stripped of its progeny. </w:t>
      </w:r>
    </w:p>
    <w:p w14:paraId="3DD01AC4" w14:textId="77777777" w:rsidR="009821A6" w:rsidRPr="00972C81" w:rsidRDefault="009821A6" w:rsidP="001C4A92">
      <w:pPr>
        <w:pStyle w:val="Annalstext"/>
        <w:rPr>
          <w:noProof/>
        </w:rPr>
      </w:pPr>
      <w:r w:rsidRPr="00972C81">
        <w:rPr>
          <w:noProof/>
        </w:rPr>
        <w:t xml:space="preserve">The plasma disappearance pattern of </w:t>
      </w:r>
      <w:r w:rsidRPr="00972C81">
        <w:rPr>
          <w:noProof/>
          <w:vertAlign w:val="superscript"/>
        </w:rPr>
        <w:t>227</w:t>
      </w:r>
      <w:r w:rsidRPr="00972C81">
        <w:rPr>
          <w:noProof/>
        </w:rPr>
        <w:t xml:space="preserve">Ac following intravenous administration to rats is similar to that of americium and curium in the same animal. Clearance was about 90% complete in 50 min and 99% complete in 400 min (Durbin, 2001). At 4 d after intramuscular administration of </w:t>
      </w:r>
      <w:r w:rsidRPr="00972C81">
        <w:rPr>
          <w:noProof/>
          <w:vertAlign w:val="superscript"/>
        </w:rPr>
        <w:t>227</w:t>
      </w:r>
      <w:r w:rsidRPr="00972C81">
        <w:rPr>
          <w:noProof/>
        </w:rPr>
        <w:t>Ac to rats, the contents of liver, skeleton, other tissues, cumulative urine, and cumulative faeces accounted for 27%, 56%, 4%, 5%, and 8%, respectively, of the administered activity. This is broadly similar to the distributions of Am and Cm in the same animals.</w:t>
      </w:r>
    </w:p>
    <w:p w14:paraId="739FB7B4" w14:textId="77777777" w:rsidR="009821A6" w:rsidRPr="00972C81" w:rsidRDefault="009821A6" w:rsidP="001C4A92">
      <w:pPr>
        <w:pStyle w:val="Annalstext"/>
        <w:rPr>
          <w:noProof/>
        </w:rPr>
      </w:pPr>
      <w:r w:rsidRPr="00972C81">
        <w:rPr>
          <w:noProof/>
        </w:rPr>
        <w:t xml:space="preserve">No information was found regarding age dependence in the biokinetics of systemic actinium. </w:t>
      </w:r>
    </w:p>
    <w:p w14:paraId="0160FCF5" w14:textId="77777777" w:rsidR="009821A6" w:rsidRPr="00972C81" w:rsidRDefault="009821A6" w:rsidP="006703A2">
      <w:pPr>
        <w:pStyle w:val="OIRTitre4"/>
      </w:pPr>
      <w:r w:rsidRPr="00972C81">
        <w:t>Systemic model</w:t>
      </w:r>
    </w:p>
    <w:p w14:paraId="0511DD96" w14:textId="77777777" w:rsidR="009821A6" w:rsidRPr="00972C81" w:rsidRDefault="009821A6" w:rsidP="001C4A92">
      <w:pPr>
        <w:pStyle w:val="Annalstext"/>
        <w:rPr>
          <w:noProof/>
        </w:rPr>
      </w:pPr>
      <w:r w:rsidRPr="00972C81">
        <w:rPr>
          <w:noProof/>
        </w:rPr>
        <w:t xml:space="preserve">The systemic model applied in this report to actinium is a slightly modified version of the model for americium described in the americium section. The only difference in the models for actinium and americium is that a non-zero transfer from cortical marrow to cortical bone surface in the americium model is assumed to be specific to americium and its physiological analogue curium and hence is not applied in the actinium model. Rather, actinium depositing in cortical marrow is assumed to transfer to blood with a half-time of 0.25 y, consistent with the generic model for bone-surface-seeking radionuclides. </w:t>
      </w:r>
    </w:p>
    <w:p w14:paraId="196E694B" w14:textId="43EA1C00" w:rsidR="009821A6" w:rsidRDefault="009821A6" w:rsidP="001C4A92">
      <w:pPr>
        <w:pStyle w:val="Annalstext"/>
        <w:rPr>
          <w:noProof/>
        </w:rPr>
      </w:pPr>
      <w:r w:rsidRPr="00972C81">
        <w:rPr>
          <w:noProof/>
        </w:rPr>
        <w:t xml:space="preserve">The structure of the systemic model for actinium is shown in </w:t>
      </w:r>
      <w:r w:rsidR="00977C55" w:rsidRPr="00972C81">
        <w:rPr>
          <w:noProof/>
        </w:rPr>
        <w:fldChar w:fldCharType="begin"/>
      </w:r>
      <w:r w:rsidR="00977C55" w:rsidRPr="00972C81">
        <w:rPr>
          <w:noProof/>
        </w:rPr>
        <w:instrText xml:space="preserve"> REF _Ref142412981 \h </w:instrText>
      </w:r>
      <w:r w:rsidR="00977C55" w:rsidRPr="00972C81">
        <w:rPr>
          <w:noProof/>
        </w:rPr>
      </w:r>
      <w:r w:rsidR="00977C55" w:rsidRPr="00972C81">
        <w:rPr>
          <w:noProof/>
        </w:rPr>
        <w:fldChar w:fldCharType="separate"/>
      </w:r>
      <w:r w:rsidR="00A41AD1" w:rsidRPr="00972C81">
        <w:rPr>
          <w:noProof/>
        </w:rPr>
        <w:t xml:space="preserve">Fig </w:t>
      </w:r>
      <w:r w:rsidR="00A41AD1">
        <w:rPr>
          <w:noProof/>
        </w:rPr>
        <w:t>17</w:t>
      </w:r>
      <w:r w:rsidR="00A41AD1" w:rsidRPr="00972C81">
        <w:rPr>
          <w:noProof/>
        </w:rPr>
        <w:t>.</w:t>
      </w:r>
      <w:r w:rsidR="00A41AD1">
        <w:rPr>
          <w:noProof/>
        </w:rPr>
        <w:t>1</w:t>
      </w:r>
      <w:r w:rsidR="00977C55" w:rsidRPr="00972C81">
        <w:rPr>
          <w:noProof/>
        </w:rPr>
        <w:fldChar w:fldCharType="end"/>
      </w:r>
      <w:r w:rsidRPr="00972C81">
        <w:rPr>
          <w:noProof/>
        </w:rPr>
        <w:t xml:space="preserve"> Parameter values are listed in </w:t>
      </w:r>
      <w:r w:rsidR="00977C55" w:rsidRPr="00972C81">
        <w:rPr>
          <w:noProof/>
        </w:rPr>
        <w:fldChar w:fldCharType="begin"/>
      </w:r>
      <w:r w:rsidR="00977C55" w:rsidRPr="00972C81">
        <w:rPr>
          <w:noProof/>
        </w:rPr>
        <w:instrText xml:space="preserve"> REF _Ref142412995 \h </w:instrText>
      </w:r>
      <w:r w:rsidR="00977C55" w:rsidRPr="00972C81">
        <w:rPr>
          <w:noProof/>
        </w:rPr>
      </w:r>
      <w:r w:rsidR="00977C55" w:rsidRPr="00972C81">
        <w:rPr>
          <w:noProof/>
        </w:rPr>
        <w:fldChar w:fldCharType="separate"/>
      </w:r>
      <w:r w:rsidR="00A41AD1" w:rsidRPr="00972C81">
        <w:rPr>
          <w:noProof/>
        </w:rPr>
        <w:t xml:space="preserve">Table </w:t>
      </w:r>
      <w:r w:rsidR="00A41AD1">
        <w:rPr>
          <w:noProof/>
        </w:rPr>
        <w:t>17</w:t>
      </w:r>
      <w:r w:rsidR="00A41AD1" w:rsidRPr="00972C81">
        <w:rPr>
          <w:noProof/>
        </w:rPr>
        <w:t>.</w:t>
      </w:r>
      <w:r w:rsidR="00A41AD1">
        <w:rPr>
          <w:noProof/>
        </w:rPr>
        <w:t>2</w:t>
      </w:r>
      <w:r w:rsidR="00977C55" w:rsidRPr="00972C81">
        <w:rPr>
          <w:noProof/>
        </w:rPr>
        <w:fldChar w:fldCharType="end"/>
      </w:r>
      <w:r w:rsidRPr="00972C81">
        <w:rPr>
          <w:noProof/>
        </w:rPr>
        <w:t>.</w:t>
      </w:r>
    </w:p>
    <w:p w14:paraId="3149BA39" w14:textId="77777777" w:rsidR="000F593F" w:rsidRPr="00972C81" w:rsidRDefault="000F593F" w:rsidP="000F593F">
      <w:pPr>
        <w:pStyle w:val="Annalstext"/>
        <w:numPr>
          <w:ilvl w:val="0"/>
          <w:numId w:val="0"/>
        </w:numPr>
        <w:ind w:left="284"/>
        <w:rPr>
          <w:noProof/>
        </w:rPr>
      </w:pPr>
    </w:p>
    <w:p w14:paraId="3BCA2A60" w14:textId="0666F006" w:rsidR="009821A6" w:rsidRPr="00972C81" w:rsidRDefault="00A3213E" w:rsidP="006A4B24">
      <w:pPr>
        <w:pStyle w:val="MainTextPreference"/>
        <w:jc w:val="center"/>
        <w:rPr>
          <w:noProof/>
        </w:rPr>
      </w:pPr>
      <w:r>
        <w:rPr>
          <w:noProof/>
        </w:rPr>
        <w:drawing>
          <wp:inline distT="0" distB="0" distL="0" distR="0" wp14:anchorId="3612BFFE" wp14:editId="085C3464">
            <wp:extent cx="4391968" cy="3381375"/>
            <wp:effectExtent l="0" t="0" r="889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9"/>
                    <a:stretch>
                      <a:fillRect/>
                    </a:stretch>
                  </pic:blipFill>
                  <pic:spPr>
                    <a:xfrm>
                      <a:off x="0" y="0"/>
                      <a:ext cx="4402174" cy="3389232"/>
                    </a:xfrm>
                    <a:prstGeom prst="rect">
                      <a:avLst/>
                    </a:prstGeom>
                  </pic:spPr>
                </pic:pic>
              </a:graphicData>
            </a:graphic>
          </wp:inline>
        </w:drawing>
      </w:r>
    </w:p>
    <w:p w14:paraId="061F9643" w14:textId="654D51FB" w:rsidR="009821A6" w:rsidRPr="00972C81" w:rsidRDefault="009821A6" w:rsidP="00A41AD1">
      <w:pPr>
        <w:pStyle w:val="MainTextPreference"/>
        <w:rPr>
          <w:noProof/>
        </w:rPr>
      </w:pPr>
      <w:r w:rsidRPr="00972C81">
        <w:rPr>
          <w:noProof/>
        </w:rPr>
        <w:t xml:space="preserve"> </w:t>
      </w:r>
      <w:bookmarkStart w:id="250" w:name="_Ref142412981"/>
      <w:r w:rsidR="00977C55" w:rsidRPr="00972C81">
        <w:rPr>
          <w:noProof/>
        </w:rPr>
        <w:t xml:space="preserve">Fig </w:t>
      </w:r>
      <w:r w:rsidR="00EA3750" w:rsidRPr="00972C81">
        <w:rPr>
          <w:noProof/>
        </w:rPr>
        <w:fldChar w:fldCharType="begin"/>
      </w:r>
      <w:r w:rsidR="00EA3750" w:rsidRPr="00972C81">
        <w:rPr>
          <w:noProof/>
        </w:rPr>
        <w:instrText xml:space="preserve"> STYLEREF 1 \s </w:instrText>
      </w:r>
      <w:r w:rsidR="00EA3750" w:rsidRPr="00972C81">
        <w:rPr>
          <w:noProof/>
        </w:rPr>
        <w:fldChar w:fldCharType="separate"/>
      </w:r>
      <w:r w:rsidR="00A41AD1">
        <w:rPr>
          <w:noProof/>
        </w:rPr>
        <w:t>17</w:t>
      </w:r>
      <w:r w:rsidR="00EA3750" w:rsidRPr="00972C81">
        <w:rPr>
          <w:noProof/>
        </w:rPr>
        <w:fldChar w:fldCharType="end"/>
      </w:r>
      <w:r w:rsidR="00EA3750" w:rsidRPr="00972C81">
        <w:rPr>
          <w:noProof/>
        </w:rPr>
        <w:t>.</w:t>
      </w:r>
      <w:r w:rsidR="00EA3750" w:rsidRPr="00972C81">
        <w:rPr>
          <w:noProof/>
        </w:rPr>
        <w:fldChar w:fldCharType="begin"/>
      </w:r>
      <w:r w:rsidR="00EA3750" w:rsidRPr="00972C81">
        <w:rPr>
          <w:noProof/>
        </w:rPr>
        <w:instrText xml:space="preserve"> SEQ Figure \* ARABIC \s 1 </w:instrText>
      </w:r>
      <w:r w:rsidR="00EA3750" w:rsidRPr="00972C81">
        <w:rPr>
          <w:noProof/>
        </w:rPr>
        <w:fldChar w:fldCharType="separate"/>
      </w:r>
      <w:r w:rsidR="00A41AD1">
        <w:rPr>
          <w:noProof/>
        </w:rPr>
        <w:t>1</w:t>
      </w:r>
      <w:r w:rsidR="00EA3750" w:rsidRPr="00972C81">
        <w:rPr>
          <w:noProof/>
        </w:rPr>
        <w:fldChar w:fldCharType="end"/>
      </w:r>
      <w:bookmarkEnd w:id="250"/>
      <w:r w:rsidRPr="00972C81">
        <w:rPr>
          <w:noProof/>
        </w:rPr>
        <w:t>. Structure of the systemic model for actinium.</w:t>
      </w:r>
    </w:p>
    <w:p w14:paraId="04D43CDE" w14:textId="77777777" w:rsidR="009821A6" w:rsidRPr="00972C81" w:rsidRDefault="009821A6" w:rsidP="001C4A92">
      <w:pPr>
        <w:pStyle w:val="MainTextPreference"/>
        <w:rPr>
          <w:noProof/>
        </w:rPr>
      </w:pPr>
    </w:p>
    <w:p w14:paraId="4CF1CA80" w14:textId="77777777" w:rsidR="000F593F" w:rsidRDefault="000F593F">
      <w:pPr>
        <w:widowControl/>
        <w:jc w:val="left"/>
        <w:rPr>
          <w:noProof/>
          <w:szCs w:val="24"/>
        </w:rPr>
      </w:pPr>
      <w:bookmarkStart w:id="251" w:name="_Ref142412995"/>
      <w:r>
        <w:rPr>
          <w:noProof/>
          <w:szCs w:val="24"/>
        </w:rPr>
        <w:br w:type="page"/>
      </w:r>
    </w:p>
    <w:p w14:paraId="4D16027E" w14:textId="38D1352D" w:rsidR="009821A6" w:rsidRPr="00C47F2F" w:rsidRDefault="00977C55" w:rsidP="00E81109">
      <w:pPr>
        <w:pStyle w:val="ab"/>
        <w:rPr>
          <w:noProof/>
          <w:sz w:val="24"/>
          <w:szCs w:val="24"/>
        </w:rPr>
      </w:pPr>
      <w:r w:rsidRPr="00C47F2F">
        <w:rPr>
          <w:noProof/>
          <w:sz w:val="24"/>
          <w:szCs w:val="24"/>
        </w:rPr>
        <w:lastRenderedPageBreak/>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17</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2</w:t>
      </w:r>
      <w:r w:rsidR="00EA3750" w:rsidRPr="00C47F2F">
        <w:rPr>
          <w:noProof/>
          <w:sz w:val="24"/>
          <w:szCs w:val="24"/>
        </w:rPr>
        <w:fldChar w:fldCharType="end"/>
      </w:r>
      <w:bookmarkEnd w:id="251"/>
      <w:r w:rsidRPr="00C47F2F">
        <w:rPr>
          <w:noProof/>
          <w:sz w:val="24"/>
          <w:szCs w:val="24"/>
        </w:rPr>
        <w:t>.</w:t>
      </w:r>
      <w:r w:rsidR="009821A6" w:rsidRPr="00C47F2F">
        <w:rPr>
          <w:noProof/>
          <w:sz w:val="24"/>
          <w:szCs w:val="24"/>
        </w:rPr>
        <w:t xml:space="preserve"> Age-specific transfer coefficients for actinium.</w:t>
      </w:r>
    </w:p>
    <w:tbl>
      <w:tblPr>
        <w:tblW w:w="5000" w:type="pct"/>
        <w:tblLayout w:type="fixed"/>
        <w:tblCellMar>
          <w:left w:w="70" w:type="dxa"/>
          <w:right w:w="70" w:type="dxa"/>
        </w:tblCellMar>
        <w:tblLook w:val="06A0" w:firstRow="1" w:lastRow="0" w:firstColumn="1" w:lastColumn="0" w:noHBand="1" w:noVBand="1"/>
      </w:tblPr>
      <w:tblGrid>
        <w:gridCol w:w="3111"/>
        <w:gridCol w:w="986"/>
        <w:gridCol w:w="986"/>
        <w:gridCol w:w="986"/>
        <w:gridCol w:w="986"/>
        <w:gridCol w:w="986"/>
        <w:gridCol w:w="986"/>
      </w:tblGrid>
      <w:tr w:rsidR="00B66951" w:rsidRPr="00972C81" w14:paraId="79BA4C2F" w14:textId="77777777" w:rsidTr="000F593F">
        <w:trPr>
          <w:trHeight w:val="340"/>
        </w:trPr>
        <w:tc>
          <w:tcPr>
            <w:tcW w:w="3111" w:type="dxa"/>
            <w:vMerge w:val="restart"/>
            <w:tcBorders>
              <w:top w:val="single" w:sz="4" w:space="0" w:color="auto"/>
            </w:tcBorders>
            <w:shd w:val="clear" w:color="auto" w:fill="auto"/>
            <w:noWrap/>
            <w:vAlign w:val="center"/>
            <w:hideMark/>
          </w:tcPr>
          <w:p w14:paraId="24FA8F96" w14:textId="035E1CFD" w:rsidR="00B66951" w:rsidRPr="00143A79" w:rsidRDefault="00B66951" w:rsidP="003D2D6F">
            <w:pPr>
              <w:pStyle w:val="Table"/>
              <w:rPr>
                <w:noProof/>
                <w:szCs w:val="22"/>
              </w:rPr>
            </w:pPr>
            <w:r w:rsidRPr="00143A79">
              <w:rPr>
                <w:noProof/>
                <w:szCs w:val="22"/>
              </w:rPr>
              <w:t>Pathway</w:t>
            </w:r>
            <w:r w:rsidR="00A3213E" w:rsidRPr="00A3213E">
              <w:rPr>
                <w:noProof/>
                <w:szCs w:val="22"/>
                <w:vertAlign w:val="superscript"/>
              </w:rPr>
              <w:t>a</w:t>
            </w:r>
          </w:p>
          <w:p w14:paraId="6FDE31D1" w14:textId="624EFE3F" w:rsidR="00B66951" w:rsidRPr="00143A79" w:rsidRDefault="00B66951" w:rsidP="003D2D6F">
            <w:pPr>
              <w:pStyle w:val="Table"/>
              <w:rPr>
                <w:noProof/>
                <w:szCs w:val="22"/>
              </w:rPr>
            </w:pPr>
          </w:p>
        </w:tc>
        <w:tc>
          <w:tcPr>
            <w:tcW w:w="5916" w:type="dxa"/>
            <w:gridSpan w:val="6"/>
            <w:tcBorders>
              <w:top w:val="single" w:sz="4" w:space="0" w:color="auto"/>
              <w:bottom w:val="single" w:sz="4" w:space="0" w:color="auto"/>
            </w:tcBorders>
            <w:shd w:val="clear" w:color="auto" w:fill="auto"/>
            <w:noWrap/>
            <w:vAlign w:val="center"/>
            <w:hideMark/>
          </w:tcPr>
          <w:p w14:paraId="3A2A0979" w14:textId="77777777" w:rsidR="00B66951" w:rsidRPr="00143A79" w:rsidRDefault="00B66951" w:rsidP="000F593F">
            <w:pPr>
              <w:pStyle w:val="Table"/>
              <w:jc w:val="center"/>
              <w:rPr>
                <w:noProof/>
                <w:szCs w:val="22"/>
              </w:rPr>
            </w:pPr>
            <w:r w:rsidRPr="00143A79">
              <w:rPr>
                <w:noProof/>
                <w:szCs w:val="22"/>
              </w:rPr>
              <w:t>Transfer coefficient (d</w:t>
            </w:r>
            <w:r w:rsidRPr="00143A79">
              <w:rPr>
                <w:noProof/>
                <w:szCs w:val="22"/>
                <w:vertAlign w:val="superscript"/>
              </w:rPr>
              <w:t>-1</w:t>
            </w:r>
            <w:r w:rsidRPr="00143A79">
              <w:rPr>
                <w:noProof/>
                <w:szCs w:val="22"/>
              </w:rPr>
              <w:t>)</w:t>
            </w:r>
          </w:p>
        </w:tc>
      </w:tr>
      <w:tr w:rsidR="00B66951" w:rsidRPr="00972C81" w14:paraId="137DD936" w14:textId="77777777" w:rsidTr="000F593F">
        <w:trPr>
          <w:trHeight w:val="340"/>
        </w:trPr>
        <w:tc>
          <w:tcPr>
            <w:tcW w:w="3111" w:type="dxa"/>
            <w:vMerge/>
            <w:tcBorders>
              <w:bottom w:val="single" w:sz="4" w:space="0" w:color="auto"/>
            </w:tcBorders>
            <w:shd w:val="clear" w:color="auto" w:fill="auto"/>
            <w:noWrap/>
            <w:hideMark/>
          </w:tcPr>
          <w:p w14:paraId="7B09901F" w14:textId="594E1EA5" w:rsidR="00B66951" w:rsidRPr="00143A79" w:rsidRDefault="00B66951" w:rsidP="003D2D6F">
            <w:pPr>
              <w:pStyle w:val="Table"/>
              <w:rPr>
                <w:noProof/>
                <w:szCs w:val="22"/>
              </w:rPr>
            </w:pPr>
          </w:p>
        </w:tc>
        <w:tc>
          <w:tcPr>
            <w:tcW w:w="986" w:type="dxa"/>
            <w:tcBorders>
              <w:top w:val="single" w:sz="4" w:space="0" w:color="auto"/>
              <w:bottom w:val="single" w:sz="4" w:space="0" w:color="auto"/>
            </w:tcBorders>
            <w:shd w:val="clear" w:color="auto" w:fill="auto"/>
            <w:noWrap/>
            <w:vAlign w:val="center"/>
            <w:hideMark/>
          </w:tcPr>
          <w:p w14:paraId="38EAE894" w14:textId="77777777" w:rsidR="00B66951" w:rsidRPr="00143A79" w:rsidRDefault="00B66951" w:rsidP="000F593F">
            <w:pPr>
              <w:pStyle w:val="Table"/>
              <w:rPr>
                <w:noProof/>
                <w:szCs w:val="22"/>
              </w:rPr>
            </w:pPr>
            <w:r w:rsidRPr="00143A79">
              <w:rPr>
                <w:noProof/>
                <w:szCs w:val="22"/>
              </w:rPr>
              <w:t>100 d</w:t>
            </w:r>
          </w:p>
        </w:tc>
        <w:tc>
          <w:tcPr>
            <w:tcW w:w="986" w:type="dxa"/>
            <w:tcBorders>
              <w:top w:val="single" w:sz="4" w:space="0" w:color="auto"/>
              <w:bottom w:val="single" w:sz="4" w:space="0" w:color="auto"/>
            </w:tcBorders>
            <w:shd w:val="clear" w:color="auto" w:fill="auto"/>
            <w:noWrap/>
            <w:vAlign w:val="center"/>
            <w:hideMark/>
          </w:tcPr>
          <w:p w14:paraId="26E93E39" w14:textId="77777777" w:rsidR="00B66951" w:rsidRPr="00143A79" w:rsidRDefault="00B66951" w:rsidP="000F593F">
            <w:pPr>
              <w:pStyle w:val="Table"/>
              <w:rPr>
                <w:noProof/>
                <w:szCs w:val="22"/>
              </w:rPr>
            </w:pPr>
            <w:r w:rsidRPr="00143A79">
              <w:rPr>
                <w:noProof/>
                <w:szCs w:val="22"/>
              </w:rPr>
              <w:t>1 y</w:t>
            </w:r>
          </w:p>
        </w:tc>
        <w:tc>
          <w:tcPr>
            <w:tcW w:w="986" w:type="dxa"/>
            <w:tcBorders>
              <w:top w:val="single" w:sz="4" w:space="0" w:color="auto"/>
              <w:bottom w:val="single" w:sz="4" w:space="0" w:color="auto"/>
            </w:tcBorders>
            <w:shd w:val="clear" w:color="auto" w:fill="auto"/>
            <w:noWrap/>
            <w:vAlign w:val="center"/>
            <w:hideMark/>
          </w:tcPr>
          <w:p w14:paraId="5D04DCFC" w14:textId="77777777" w:rsidR="00B66951" w:rsidRPr="00143A79" w:rsidRDefault="00B66951" w:rsidP="000F593F">
            <w:pPr>
              <w:pStyle w:val="Table"/>
              <w:rPr>
                <w:noProof/>
                <w:szCs w:val="22"/>
              </w:rPr>
            </w:pPr>
            <w:r w:rsidRPr="00143A79">
              <w:rPr>
                <w:noProof/>
                <w:szCs w:val="22"/>
              </w:rPr>
              <w:t>5 y</w:t>
            </w:r>
          </w:p>
        </w:tc>
        <w:tc>
          <w:tcPr>
            <w:tcW w:w="986" w:type="dxa"/>
            <w:tcBorders>
              <w:top w:val="single" w:sz="4" w:space="0" w:color="auto"/>
              <w:bottom w:val="single" w:sz="4" w:space="0" w:color="auto"/>
            </w:tcBorders>
            <w:shd w:val="clear" w:color="auto" w:fill="auto"/>
            <w:noWrap/>
            <w:vAlign w:val="center"/>
            <w:hideMark/>
          </w:tcPr>
          <w:p w14:paraId="1E9E85F1" w14:textId="77777777" w:rsidR="00B66951" w:rsidRPr="00143A79" w:rsidRDefault="00B66951" w:rsidP="000F593F">
            <w:pPr>
              <w:pStyle w:val="Table"/>
              <w:rPr>
                <w:noProof/>
                <w:szCs w:val="22"/>
              </w:rPr>
            </w:pPr>
            <w:r w:rsidRPr="00143A79">
              <w:rPr>
                <w:noProof/>
                <w:szCs w:val="22"/>
              </w:rPr>
              <w:t>10 y</w:t>
            </w:r>
          </w:p>
        </w:tc>
        <w:tc>
          <w:tcPr>
            <w:tcW w:w="986" w:type="dxa"/>
            <w:tcBorders>
              <w:top w:val="single" w:sz="4" w:space="0" w:color="auto"/>
              <w:bottom w:val="single" w:sz="4" w:space="0" w:color="auto"/>
            </w:tcBorders>
            <w:shd w:val="clear" w:color="auto" w:fill="auto"/>
            <w:noWrap/>
            <w:vAlign w:val="center"/>
            <w:hideMark/>
          </w:tcPr>
          <w:p w14:paraId="42853296" w14:textId="77777777" w:rsidR="00B66951" w:rsidRPr="00143A79" w:rsidRDefault="00B66951" w:rsidP="000F593F">
            <w:pPr>
              <w:pStyle w:val="Table"/>
              <w:rPr>
                <w:noProof/>
                <w:szCs w:val="22"/>
              </w:rPr>
            </w:pPr>
            <w:r w:rsidRPr="00143A79">
              <w:rPr>
                <w:noProof/>
                <w:szCs w:val="22"/>
              </w:rPr>
              <w:t>15 y</w:t>
            </w:r>
          </w:p>
        </w:tc>
        <w:tc>
          <w:tcPr>
            <w:tcW w:w="986" w:type="dxa"/>
            <w:tcBorders>
              <w:top w:val="single" w:sz="4" w:space="0" w:color="auto"/>
              <w:bottom w:val="single" w:sz="4" w:space="0" w:color="auto"/>
            </w:tcBorders>
            <w:shd w:val="clear" w:color="auto" w:fill="auto"/>
            <w:noWrap/>
            <w:vAlign w:val="center"/>
            <w:hideMark/>
          </w:tcPr>
          <w:p w14:paraId="0AF27BA3" w14:textId="77777777" w:rsidR="00B66951" w:rsidRPr="00143A79" w:rsidRDefault="00B66951" w:rsidP="000F593F">
            <w:pPr>
              <w:pStyle w:val="Table"/>
              <w:rPr>
                <w:noProof/>
                <w:szCs w:val="22"/>
              </w:rPr>
            </w:pPr>
            <w:r w:rsidRPr="00143A79">
              <w:rPr>
                <w:noProof/>
                <w:szCs w:val="22"/>
              </w:rPr>
              <w:t>Adult</w:t>
            </w:r>
          </w:p>
        </w:tc>
      </w:tr>
      <w:tr w:rsidR="00A3213E" w:rsidRPr="00972C81" w14:paraId="1106BB11" w14:textId="77777777" w:rsidTr="000F593F">
        <w:trPr>
          <w:trHeight w:val="340"/>
        </w:trPr>
        <w:tc>
          <w:tcPr>
            <w:tcW w:w="3111" w:type="dxa"/>
            <w:tcBorders>
              <w:top w:val="single" w:sz="4" w:space="0" w:color="auto"/>
            </w:tcBorders>
            <w:shd w:val="clear" w:color="auto" w:fill="auto"/>
            <w:noWrap/>
            <w:vAlign w:val="center"/>
            <w:hideMark/>
          </w:tcPr>
          <w:p w14:paraId="5E029A8C" w14:textId="7316E466" w:rsidR="00A3213E" w:rsidRPr="00A3213E" w:rsidRDefault="00A3213E" w:rsidP="000F593F">
            <w:pPr>
              <w:pStyle w:val="Table"/>
              <w:rPr>
                <w:noProof/>
                <w:sz w:val="20"/>
                <w:szCs w:val="22"/>
              </w:rPr>
            </w:pPr>
            <w:r w:rsidRPr="00A3213E">
              <w:rPr>
                <w:noProof/>
                <w:sz w:val="20"/>
                <w:szCs w:val="22"/>
              </w:rPr>
              <w:t>Blood to Liver 1</w:t>
            </w:r>
          </w:p>
        </w:tc>
        <w:tc>
          <w:tcPr>
            <w:tcW w:w="986" w:type="dxa"/>
            <w:tcBorders>
              <w:top w:val="single" w:sz="4" w:space="0" w:color="auto"/>
            </w:tcBorders>
            <w:shd w:val="clear" w:color="auto" w:fill="auto"/>
            <w:noWrap/>
            <w:vAlign w:val="center"/>
            <w:hideMark/>
          </w:tcPr>
          <w:p w14:paraId="24EFD3F6" w14:textId="77777777" w:rsidR="00A3213E" w:rsidRPr="00C47F2F" w:rsidRDefault="00A3213E" w:rsidP="000F593F">
            <w:pPr>
              <w:pStyle w:val="Table"/>
              <w:rPr>
                <w:noProof/>
                <w:sz w:val="20"/>
                <w:szCs w:val="20"/>
              </w:rPr>
            </w:pPr>
            <w:r w:rsidRPr="00C47F2F">
              <w:rPr>
                <w:noProof/>
                <w:sz w:val="20"/>
                <w:szCs w:val="20"/>
              </w:rPr>
              <w:t>2.33E+00</w:t>
            </w:r>
          </w:p>
        </w:tc>
        <w:tc>
          <w:tcPr>
            <w:tcW w:w="986" w:type="dxa"/>
            <w:tcBorders>
              <w:top w:val="single" w:sz="4" w:space="0" w:color="auto"/>
            </w:tcBorders>
            <w:shd w:val="clear" w:color="auto" w:fill="auto"/>
            <w:noWrap/>
            <w:vAlign w:val="center"/>
            <w:hideMark/>
          </w:tcPr>
          <w:p w14:paraId="1FA35BD0" w14:textId="77777777" w:rsidR="00A3213E" w:rsidRPr="00C47F2F" w:rsidRDefault="00A3213E" w:rsidP="000F593F">
            <w:pPr>
              <w:pStyle w:val="Table"/>
              <w:rPr>
                <w:noProof/>
                <w:sz w:val="20"/>
                <w:szCs w:val="20"/>
              </w:rPr>
            </w:pPr>
            <w:r w:rsidRPr="00C47F2F">
              <w:rPr>
                <w:noProof/>
                <w:sz w:val="20"/>
                <w:szCs w:val="20"/>
              </w:rPr>
              <w:t>2.33E+00</w:t>
            </w:r>
          </w:p>
        </w:tc>
        <w:tc>
          <w:tcPr>
            <w:tcW w:w="986" w:type="dxa"/>
            <w:tcBorders>
              <w:top w:val="single" w:sz="4" w:space="0" w:color="auto"/>
            </w:tcBorders>
            <w:shd w:val="clear" w:color="auto" w:fill="auto"/>
            <w:noWrap/>
            <w:vAlign w:val="center"/>
            <w:hideMark/>
          </w:tcPr>
          <w:p w14:paraId="5905ED10" w14:textId="77777777" w:rsidR="00A3213E" w:rsidRPr="00C47F2F" w:rsidRDefault="00A3213E" w:rsidP="000F593F">
            <w:pPr>
              <w:pStyle w:val="Table"/>
              <w:rPr>
                <w:noProof/>
                <w:sz w:val="20"/>
                <w:szCs w:val="20"/>
              </w:rPr>
            </w:pPr>
            <w:r w:rsidRPr="00C47F2F">
              <w:rPr>
                <w:noProof/>
                <w:sz w:val="20"/>
                <w:szCs w:val="20"/>
              </w:rPr>
              <w:t>6.98E+00</w:t>
            </w:r>
          </w:p>
        </w:tc>
        <w:tc>
          <w:tcPr>
            <w:tcW w:w="986" w:type="dxa"/>
            <w:tcBorders>
              <w:top w:val="single" w:sz="4" w:space="0" w:color="auto"/>
            </w:tcBorders>
            <w:shd w:val="clear" w:color="auto" w:fill="auto"/>
            <w:noWrap/>
            <w:vAlign w:val="center"/>
            <w:hideMark/>
          </w:tcPr>
          <w:p w14:paraId="536468FC" w14:textId="77777777" w:rsidR="00A3213E" w:rsidRPr="00C47F2F" w:rsidRDefault="00A3213E" w:rsidP="000F593F">
            <w:pPr>
              <w:pStyle w:val="Table"/>
              <w:rPr>
                <w:noProof/>
                <w:sz w:val="20"/>
                <w:szCs w:val="20"/>
              </w:rPr>
            </w:pPr>
            <w:r w:rsidRPr="00C47F2F">
              <w:rPr>
                <w:noProof/>
                <w:sz w:val="20"/>
                <w:szCs w:val="20"/>
              </w:rPr>
              <w:t>6.98E+00</w:t>
            </w:r>
          </w:p>
        </w:tc>
        <w:tc>
          <w:tcPr>
            <w:tcW w:w="986" w:type="dxa"/>
            <w:tcBorders>
              <w:top w:val="single" w:sz="4" w:space="0" w:color="auto"/>
            </w:tcBorders>
            <w:shd w:val="clear" w:color="auto" w:fill="auto"/>
            <w:noWrap/>
            <w:vAlign w:val="center"/>
            <w:hideMark/>
          </w:tcPr>
          <w:p w14:paraId="4E1C7425" w14:textId="77777777" w:rsidR="00A3213E" w:rsidRPr="00C47F2F" w:rsidRDefault="00A3213E" w:rsidP="000F593F">
            <w:pPr>
              <w:pStyle w:val="Table"/>
              <w:rPr>
                <w:noProof/>
                <w:sz w:val="20"/>
                <w:szCs w:val="20"/>
              </w:rPr>
            </w:pPr>
            <w:r w:rsidRPr="00C47F2F">
              <w:rPr>
                <w:noProof/>
                <w:sz w:val="20"/>
                <w:szCs w:val="20"/>
              </w:rPr>
              <w:t>6.98E+00</w:t>
            </w:r>
          </w:p>
        </w:tc>
        <w:tc>
          <w:tcPr>
            <w:tcW w:w="986" w:type="dxa"/>
            <w:tcBorders>
              <w:top w:val="single" w:sz="4" w:space="0" w:color="auto"/>
            </w:tcBorders>
            <w:shd w:val="clear" w:color="auto" w:fill="auto"/>
            <w:noWrap/>
            <w:vAlign w:val="center"/>
            <w:hideMark/>
          </w:tcPr>
          <w:p w14:paraId="34A09F29" w14:textId="77777777" w:rsidR="00A3213E" w:rsidRPr="00C47F2F" w:rsidRDefault="00A3213E" w:rsidP="000F593F">
            <w:pPr>
              <w:pStyle w:val="Table"/>
              <w:rPr>
                <w:noProof/>
                <w:sz w:val="20"/>
                <w:szCs w:val="20"/>
              </w:rPr>
            </w:pPr>
            <w:r w:rsidRPr="00C47F2F">
              <w:rPr>
                <w:noProof/>
                <w:sz w:val="20"/>
                <w:szCs w:val="20"/>
              </w:rPr>
              <w:t>1.16E+01</w:t>
            </w:r>
          </w:p>
        </w:tc>
      </w:tr>
      <w:tr w:rsidR="00A3213E" w:rsidRPr="00972C81" w14:paraId="7CD157B9" w14:textId="77777777" w:rsidTr="000F593F">
        <w:trPr>
          <w:trHeight w:val="340"/>
        </w:trPr>
        <w:tc>
          <w:tcPr>
            <w:tcW w:w="3111" w:type="dxa"/>
            <w:shd w:val="clear" w:color="auto" w:fill="auto"/>
            <w:noWrap/>
            <w:vAlign w:val="center"/>
            <w:hideMark/>
          </w:tcPr>
          <w:p w14:paraId="4A43467A" w14:textId="02AEEAB3" w:rsidR="00A3213E" w:rsidRPr="00A3213E" w:rsidRDefault="00A3213E" w:rsidP="000F593F">
            <w:pPr>
              <w:pStyle w:val="Table"/>
              <w:rPr>
                <w:noProof/>
                <w:sz w:val="20"/>
                <w:szCs w:val="22"/>
              </w:rPr>
            </w:pPr>
            <w:r w:rsidRPr="00A3213E">
              <w:rPr>
                <w:noProof/>
                <w:sz w:val="20"/>
                <w:szCs w:val="22"/>
              </w:rPr>
              <w:t>Blood to  ST0</w:t>
            </w:r>
          </w:p>
        </w:tc>
        <w:tc>
          <w:tcPr>
            <w:tcW w:w="986" w:type="dxa"/>
            <w:shd w:val="clear" w:color="auto" w:fill="auto"/>
            <w:noWrap/>
            <w:vAlign w:val="center"/>
            <w:hideMark/>
          </w:tcPr>
          <w:p w14:paraId="11F3A538" w14:textId="77777777" w:rsidR="00A3213E" w:rsidRPr="00C47F2F" w:rsidRDefault="00A3213E" w:rsidP="000F593F">
            <w:pPr>
              <w:pStyle w:val="Table"/>
              <w:rPr>
                <w:noProof/>
                <w:sz w:val="20"/>
                <w:szCs w:val="20"/>
              </w:rPr>
            </w:pPr>
            <w:r w:rsidRPr="00C47F2F">
              <w:rPr>
                <w:noProof/>
                <w:sz w:val="20"/>
                <w:szCs w:val="20"/>
              </w:rPr>
              <w:t>1.00E+01</w:t>
            </w:r>
          </w:p>
        </w:tc>
        <w:tc>
          <w:tcPr>
            <w:tcW w:w="986" w:type="dxa"/>
            <w:shd w:val="clear" w:color="auto" w:fill="auto"/>
            <w:noWrap/>
            <w:vAlign w:val="center"/>
            <w:hideMark/>
          </w:tcPr>
          <w:p w14:paraId="4B16023A" w14:textId="77777777" w:rsidR="00A3213E" w:rsidRPr="00C47F2F" w:rsidRDefault="00A3213E" w:rsidP="000F593F">
            <w:pPr>
              <w:pStyle w:val="Table"/>
              <w:rPr>
                <w:noProof/>
                <w:sz w:val="20"/>
                <w:szCs w:val="20"/>
              </w:rPr>
            </w:pPr>
            <w:r w:rsidRPr="00C47F2F">
              <w:rPr>
                <w:noProof/>
                <w:sz w:val="20"/>
                <w:szCs w:val="20"/>
              </w:rPr>
              <w:t>1.00E+01</w:t>
            </w:r>
          </w:p>
        </w:tc>
        <w:tc>
          <w:tcPr>
            <w:tcW w:w="986" w:type="dxa"/>
            <w:shd w:val="clear" w:color="auto" w:fill="auto"/>
            <w:noWrap/>
            <w:vAlign w:val="center"/>
            <w:hideMark/>
          </w:tcPr>
          <w:p w14:paraId="26603D58" w14:textId="77777777" w:rsidR="00A3213E" w:rsidRPr="00C47F2F" w:rsidRDefault="00A3213E" w:rsidP="000F593F">
            <w:pPr>
              <w:pStyle w:val="Table"/>
              <w:rPr>
                <w:noProof/>
                <w:sz w:val="20"/>
                <w:szCs w:val="20"/>
              </w:rPr>
            </w:pPr>
            <w:r w:rsidRPr="00C47F2F">
              <w:rPr>
                <w:noProof/>
                <w:sz w:val="20"/>
                <w:szCs w:val="20"/>
              </w:rPr>
              <w:t>1.00E+01</w:t>
            </w:r>
          </w:p>
        </w:tc>
        <w:tc>
          <w:tcPr>
            <w:tcW w:w="986" w:type="dxa"/>
            <w:shd w:val="clear" w:color="auto" w:fill="auto"/>
            <w:noWrap/>
            <w:vAlign w:val="center"/>
            <w:hideMark/>
          </w:tcPr>
          <w:p w14:paraId="551E1D61" w14:textId="77777777" w:rsidR="00A3213E" w:rsidRPr="00C47F2F" w:rsidRDefault="00A3213E" w:rsidP="000F593F">
            <w:pPr>
              <w:pStyle w:val="Table"/>
              <w:rPr>
                <w:noProof/>
                <w:sz w:val="20"/>
                <w:szCs w:val="20"/>
              </w:rPr>
            </w:pPr>
            <w:r w:rsidRPr="00C47F2F">
              <w:rPr>
                <w:noProof/>
                <w:sz w:val="20"/>
                <w:szCs w:val="20"/>
              </w:rPr>
              <w:t>1.00E+01</w:t>
            </w:r>
          </w:p>
        </w:tc>
        <w:tc>
          <w:tcPr>
            <w:tcW w:w="986" w:type="dxa"/>
            <w:shd w:val="clear" w:color="auto" w:fill="auto"/>
            <w:noWrap/>
            <w:vAlign w:val="center"/>
            <w:hideMark/>
          </w:tcPr>
          <w:p w14:paraId="7F59E5DB" w14:textId="77777777" w:rsidR="00A3213E" w:rsidRPr="00C47F2F" w:rsidRDefault="00A3213E" w:rsidP="000F593F">
            <w:pPr>
              <w:pStyle w:val="Table"/>
              <w:rPr>
                <w:noProof/>
                <w:sz w:val="20"/>
                <w:szCs w:val="20"/>
              </w:rPr>
            </w:pPr>
            <w:r w:rsidRPr="00C47F2F">
              <w:rPr>
                <w:noProof/>
                <w:sz w:val="20"/>
                <w:szCs w:val="20"/>
              </w:rPr>
              <w:t>1.00E+01</w:t>
            </w:r>
          </w:p>
        </w:tc>
        <w:tc>
          <w:tcPr>
            <w:tcW w:w="986" w:type="dxa"/>
            <w:shd w:val="clear" w:color="auto" w:fill="auto"/>
            <w:noWrap/>
            <w:vAlign w:val="center"/>
            <w:hideMark/>
          </w:tcPr>
          <w:p w14:paraId="36D3F7AC" w14:textId="77777777" w:rsidR="00A3213E" w:rsidRPr="00C47F2F" w:rsidRDefault="00A3213E" w:rsidP="000F593F">
            <w:pPr>
              <w:pStyle w:val="Table"/>
              <w:rPr>
                <w:noProof/>
                <w:sz w:val="20"/>
                <w:szCs w:val="20"/>
              </w:rPr>
            </w:pPr>
            <w:r w:rsidRPr="00C47F2F">
              <w:rPr>
                <w:noProof/>
                <w:sz w:val="20"/>
                <w:szCs w:val="20"/>
              </w:rPr>
              <w:t>1.00E+01</w:t>
            </w:r>
          </w:p>
        </w:tc>
      </w:tr>
      <w:tr w:rsidR="00A3213E" w:rsidRPr="00972C81" w14:paraId="519E5460" w14:textId="77777777" w:rsidTr="000F593F">
        <w:trPr>
          <w:trHeight w:val="340"/>
        </w:trPr>
        <w:tc>
          <w:tcPr>
            <w:tcW w:w="3111" w:type="dxa"/>
            <w:shd w:val="clear" w:color="auto" w:fill="auto"/>
            <w:noWrap/>
            <w:vAlign w:val="center"/>
            <w:hideMark/>
          </w:tcPr>
          <w:p w14:paraId="061F5709" w14:textId="28B442D8" w:rsidR="00A3213E" w:rsidRPr="00A3213E" w:rsidRDefault="00A3213E" w:rsidP="000F593F">
            <w:pPr>
              <w:pStyle w:val="Table"/>
              <w:rPr>
                <w:noProof/>
                <w:sz w:val="20"/>
                <w:szCs w:val="22"/>
              </w:rPr>
            </w:pPr>
            <w:r w:rsidRPr="00A3213E">
              <w:rPr>
                <w:noProof/>
                <w:sz w:val="20"/>
                <w:szCs w:val="22"/>
              </w:rPr>
              <w:t>Blood to  ST1</w:t>
            </w:r>
          </w:p>
        </w:tc>
        <w:tc>
          <w:tcPr>
            <w:tcW w:w="986" w:type="dxa"/>
            <w:shd w:val="clear" w:color="auto" w:fill="auto"/>
            <w:noWrap/>
            <w:vAlign w:val="center"/>
            <w:hideMark/>
          </w:tcPr>
          <w:p w14:paraId="7B5AAD70" w14:textId="77777777" w:rsidR="00A3213E" w:rsidRPr="00C47F2F" w:rsidRDefault="00A3213E" w:rsidP="000F593F">
            <w:pPr>
              <w:pStyle w:val="Table"/>
              <w:rPr>
                <w:noProof/>
                <w:sz w:val="20"/>
                <w:szCs w:val="20"/>
              </w:rPr>
            </w:pPr>
            <w:r w:rsidRPr="00C47F2F">
              <w:rPr>
                <w:noProof/>
                <w:sz w:val="20"/>
                <w:szCs w:val="20"/>
              </w:rPr>
              <w:t>1.67E+00</w:t>
            </w:r>
          </w:p>
        </w:tc>
        <w:tc>
          <w:tcPr>
            <w:tcW w:w="986" w:type="dxa"/>
            <w:shd w:val="clear" w:color="auto" w:fill="auto"/>
            <w:noWrap/>
            <w:vAlign w:val="center"/>
            <w:hideMark/>
          </w:tcPr>
          <w:p w14:paraId="60BC923A" w14:textId="77777777" w:rsidR="00A3213E" w:rsidRPr="00C47F2F" w:rsidRDefault="00A3213E" w:rsidP="000F593F">
            <w:pPr>
              <w:pStyle w:val="Table"/>
              <w:rPr>
                <w:noProof/>
                <w:sz w:val="20"/>
                <w:szCs w:val="20"/>
              </w:rPr>
            </w:pPr>
            <w:r w:rsidRPr="00C47F2F">
              <w:rPr>
                <w:noProof/>
                <w:sz w:val="20"/>
                <w:szCs w:val="20"/>
              </w:rPr>
              <w:t>1.67E+00</w:t>
            </w:r>
          </w:p>
        </w:tc>
        <w:tc>
          <w:tcPr>
            <w:tcW w:w="986" w:type="dxa"/>
            <w:shd w:val="clear" w:color="auto" w:fill="auto"/>
            <w:noWrap/>
            <w:vAlign w:val="center"/>
            <w:hideMark/>
          </w:tcPr>
          <w:p w14:paraId="3D42B4AE" w14:textId="77777777" w:rsidR="00A3213E" w:rsidRPr="00C47F2F" w:rsidRDefault="00A3213E" w:rsidP="000F593F">
            <w:pPr>
              <w:pStyle w:val="Table"/>
              <w:rPr>
                <w:noProof/>
                <w:sz w:val="20"/>
                <w:szCs w:val="20"/>
              </w:rPr>
            </w:pPr>
            <w:r w:rsidRPr="00C47F2F">
              <w:rPr>
                <w:noProof/>
                <w:sz w:val="20"/>
                <w:szCs w:val="20"/>
              </w:rPr>
              <w:t>1.67E+00</w:t>
            </w:r>
          </w:p>
        </w:tc>
        <w:tc>
          <w:tcPr>
            <w:tcW w:w="986" w:type="dxa"/>
            <w:shd w:val="clear" w:color="auto" w:fill="auto"/>
            <w:noWrap/>
            <w:vAlign w:val="center"/>
            <w:hideMark/>
          </w:tcPr>
          <w:p w14:paraId="431A497B" w14:textId="77777777" w:rsidR="00A3213E" w:rsidRPr="00C47F2F" w:rsidRDefault="00A3213E" w:rsidP="000F593F">
            <w:pPr>
              <w:pStyle w:val="Table"/>
              <w:rPr>
                <w:noProof/>
                <w:sz w:val="20"/>
                <w:szCs w:val="20"/>
              </w:rPr>
            </w:pPr>
            <w:r w:rsidRPr="00C47F2F">
              <w:rPr>
                <w:noProof/>
                <w:sz w:val="20"/>
                <w:szCs w:val="20"/>
              </w:rPr>
              <w:t>1.67E+00</w:t>
            </w:r>
          </w:p>
        </w:tc>
        <w:tc>
          <w:tcPr>
            <w:tcW w:w="986" w:type="dxa"/>
            <w:shd w:val="clear" w:color="auto" w:fill="auto"/>
            <w:noWrap/>
            <w:vAlign w:val="center"/>
            <w:hideMark/>
          </w:tcPr>
          <w:p w14:paraId="6281DE74" w14:textId="77777777" w:rsidR="00A3213E" w:rsidRPr="00C47F2F" w:rsidRDefault="00A3213E" w:rsidP="000F593F">
            <w:pPr>
              <w:pStyle w:val="Table"/>
              <w:rPr>
                <w:noProof/>
                <w:sz w:val="20"/>
                <w:szCs w:val="20"/>
              </w:rPr>
            </w:pPr>
            <w:r w:rsidRPr="00C47F2F">
              <w:rPr>
                <w:noProof/>
                <w:sz w:val="20"/>
                <w:szCs w:val="20"/>
              </w:rPr>
              <w:t>1.67E+00</w:t>
            </w:r>
          </w:p>
        </w:tc>
        <w:tc>
          <w:tcPr>
            <w:tcW w:w="986" w:type="dxa"/>
            <w:shd w:val="clear" w:color="auto" w:fill="auto"/>
            <w:noWrap/>
            <w:vAlign w:val="center"/>
            <w:hideMark/>
          </w:tcPr>
          <w:p w14:paraId="2B400220" w14:textId="77777777" w:rsidR="00A3213E" w:rsidRPr="00C47F2F" w:rsidRDefault="00A3213E" w:rsidP="000F593F">
            <w:pPr>
              <w:pStyle w:val="Table"/>
              <w:rPr>
                <w:noProof/>
                <w:sz w:val="20"/>
                <w:szCs w:val="20"/>
              </w:rPr>
            </w:pPr>
            <w:r w:rsidRPr="00C47F2F">
              <w:rPr>
                <w:noProof/>
                <w:sz w:val="20"/>
                <w:szCs w:val="20"/>
              </w:rPr>
              <w:t>1.67E+00</w:t>
            </w:r>
          </w:p>
        </w:tc>
      </w:tr>
      <w:tr w:rsidR="00A3213E" w:rsidRPr="00972C81" w14:paraId="436B0FD6" w14:textId="77777777" w:rsidTr="000F593F">
        <w:trPr>
          <w:trHeight w:val="340"/>
        </w:trPr>
        <w:tc>
          <w:tcPr>
            <w:tcW w:w="3111" w:type="dxa"/>
            <w:shd w:val="clear" w:color="auto" w:fill="auto"/>
            <w:noWrap/>
            <w:vAlign w:val="center"/>
            <w:hideMark/>
          </w:tcPr>
          <w:p w14:paraId="4217BD0B" w14:textId="75F29A9B" w:rsidR="00A3213E" w:rsidRPr="00A3213E" w:rsidRDefault="00A3213E" w:rsidP="000F593F">
            <w:pPr>
              <w:pStyle w:val="Table"/>
              <w:rPr>
                <w:noProof/>
                <w:sz w:val="20"/>
                <w:szCs w:val="22"/>
              </w:rPr>
            </w:pPr>
            <w:r w:rsidRPr="00A3213E">
              <w:rPr>
                <w:noProof/>
                <w:sz w:val="20"/>
                <w:szCs w:val="22"/>
              </w:rPr>
              <w:t>Blood to  ST2</w:t>
            </w:r>
          </w:p>
        </w:tc>
        <w:tc>
          <w:tcPr>
            <w:tcW w:w="986" w:type="dxa"/>
            <w:shd w:val="clear" w:color="auto" w:fill="auto"/>
            <w:noWrap/>
            <w:vAlign w:val="center"/>
            <w:hideMark/>
          </w:tcPr>
          <w:p w14:paraId="23BC247E" w14:textId="77777777" w:rsidR="00A3213E" w:rsidRPr="00C47F2F" w:rsidRDefault="00A3213E" w:rsidP="000F593F">
            <w:pPr>
              <w:pStyle w:val="Table"/>
              <w:rPr>
                <w:noProof/>
                <w:sz w:val="20"/>
                <w:szCs w:val="20"/>
              </w:rPr>
            </w:pPr>
            <w:r w:rsidRPr="00C47F2F">
              <w:rPr>
                <w:noProof/>
                <w:sz w:val="20"/>
                <w:szCs w:val="20"/>
              </w:rPr>
              <w:t>4.66E-01</w:t>
            </w:r>
          </w:p>
        </w:tc>
        <w:tc>
          <w:tcPr>
            <w:tcW w:w="986" w:type="dxa"/>
            <w:shd w:val="clear" w:color="auto" w:fill="auto"/>
            <w:noWrap/>
            <w:vAlign w:val="center"/>
            <w:hideMark/>
          </w:tcPr>
          <w:p w14:paraId="03D0B2EB" w14:textId="77777777" w:rsidR="00A3213E" w:rsidRPr="00C47F2F" w:rsidRDefault="00A3213E" w:rsidP="000F593F">
            <w:pPr>
              <w:pStyle w:val="Table"/>
              <w:rPr>
                <w:noProof/>
                <w:sz w:val="20"/>
                <w:szCs w:val="20"/>
              </w:rPr>
            </w:pPr>
            <w:r w:rsidRPr="00C47F2F">
              <w:rPr>
                <w:noProof/>
                <w:sz w:val="20"/>
                <w:szCs w:val="20"/>
              </w:rPr>
              <w:t>4.66E-01</w:t>
            </w:r>
          </w:p>
        </w:tc>
        <w:tc>
          <w:tcPr>
            <w:tcW w:w="986" w:type="dxa"/>
            <w:shd w:val="clear" w:color="auto" w:fill="auto"/>
            <w:noWrap/>
            <w:vAlign w:val="center"/>
            <w:hideMark/>
          </w:tcPr>
          <w:p w14:paraId="786C9D3C" w14:textId="77777777" w:rsidR="00A3213E" w:rsidRPr="00C47F2F" w:rsidRDefault="00A3213E" w:rsidP="000F593F">
            <w:pPr>
              <w:pStyle w:val="Table"/>
              <w:rPr>
                <w:noProof/>
                <w:sz w:val="20"/>
                <w:szCs w:val="20"/>
              </w:rPr>
            </w:pPr>
            <w:r w:rsidRPr="00C47F2F">
              <w:rPr>
                <w:noProof/>
                <w:sz w:val="20"/>
                <w:szCs w:val="20"/>
              </w:rPr>
              <w:t>4.66E-01</w:t>
            </w:r>
          </w:p>
        </w:tc>
        <w:tc>
          <w:tcPr>
            <w:tcW w:w="986" w:type="dxa"/>
            <w:shd w:val="clear" w:color="auto" w:fill="auto"/>
            <w:noWrap/>
            <w:vAlign w:val="center"/>
            <w:hideMark/>
          </w:tcPr>
          <w:p w14:paraId="79D90C04" w14:textId="77777777" w:rsidR="00A3213E" w:rsidRPr="00C47F2F" w:rsidRDefault="00A3213E" w:rsidP="000F593F">
            <w:pPr>
              <w:pStyle w:val="Table"/>
              <w:rPr>
                <w:noProof/>
                <w:sz w:val="20"/>
                <w:szCs w:val="20"/>
              </w:rPr>
            </w:pPr>
            <w:r w:rsidRPr="00C47F2F">
              <w:rPr>
                <w:noProof/>
                <w:sz w:val="20"/>
                <w:szCs w:val="20"/>
              </w:rPr>
              <w:t>4.66E-01</w:t>
            </w:r>
          </w:p>
        </w:tc>
        <w:tc>
          <w:tcPr>
            <w:tcW w:w="986" w:type="dxa"/>
            <w:shd w:val="clear" w:color="auto" w:fill="auto"/>
            <w:noWrap/>
            <w:vAlign w:val="center"/>
            <w:hideMark/>
          </w:tcPr>
          <w:p w14:paraId="16AEF429" w14:textId="77777777" w:rsidR="00A3213E" w:rsidRPr="00C47F2F" w:rsidRDefault="00A3213E" w:rsidP="000F593F">
            <w:pPr>
              <w:pStyle w:val="Table"/>
              <w:rPr>
                <w:noProof/>
                <w:sz w:val="20"/>
                <w:szCs w:val="20"/>
              </w:rPr>
            </w:pPr>
            <w:r w:rsidRPr="00C47F2F">
              <w:rPr>
                <w:noProof/>
                <w:sz w:val="20"/>
                <w:szCs w:val="20"/>
              </w:rPr>
              <w:t>4.66E-01</w:t>
            </w:r>
          </w:p>
        </w:tc>
        <w:tc>
          <w:tcPr>
            <w:tcW w:w="986" w:type="dxa"/>
            <w:shd w:val="clear" w:color="auto" w:fill="auto"/>
            <w:noWrap/>
            <w:vAlign w:val="center"/>
            <w:hideMark/>
          </w:tcPr>
          <w:p w14:paraId="50D9825D" w14:textId="77777777" w:rsidR="00A3213E" w:rsidRPr="00C47F2F" w:rsidRDefault="00A3213E" w:rsidP="000F593F">
            <w:pPr>
              <w:pStyle w:val="Table"/>
              <w:rPr>
                <w:noProof/>
                <w:sz w:val="20"/>
                <w:szCs w:val="20"/>
              </w:rPr>
            </w:pPr>
            <w:r w:rsidRPr="00C47F2F">
              <w:rPr>
                <w:noProof/>
                <w:sz w:val="20"/>
                <w:szCs w:val="20"/>
              </w:rPr>
              <w:t>4.66E-01</w:t>
            </w:r>
          </w:p>
        </w:tc>
      </w:tr>
      <w:tr w:rsidR="00A3213E" w:rsidRPr="00972C81" w14:paraId="452D5D2C" w14:textId="77777777" w:rsidTr="000F593F">
        <w:trPr>
          <w:trHeight w:val="340"/>
        </w:trPr>
        <w:tc>
          <w:tcPr>
            <w:tcW w:w="3111" w:type="dxa"/>
            <w:shd w:val="clear" w:color="auto" w:fill="auto"/>
            <w:noWrap/>
            <w:vAlign w:val="center"/>
            <w:hideMark/>
          </w:tcPr>
          <w:p w14:paraId="7D4B6DB7" w14:textId="72C9799D" w:rsidR="00A3213E" w:rsidRPr="00A3213E" w:rsidRDefault="00A3213E" w:rsidP="000F593F">
            <w:pPr>
              <w:pStyle w:val="Table"/>
              <w:rPr>
                <w:noProof/>
                <w:sz w:val="20"/>
                <w:szCs w:val="22"/>
              </w:rPr>
            </w:pPr>
            <w:r w:rsidRPr="00A3213E">
              <w:rPr>
                <w:noProof/>
                <w:sz w:val="20"/>
                <w:szCs w:val="22"/>
              </w:rPr>
              <w:t>Blood to Cort bone surf</w:t>
            </w:r>
          </w:p>
        </w:tc>
        <w:tc>
          <w:tcPr>
            <w:tcW w:w="986" w:type="dxa"/>
            <w:shd w:val="clear" w:color="auto" w:fill="auto"/>
            <w:noWrap/>
            <w:vAlign w:val="center"/>
            <w:hideMark/>
          </w:tcPr>
          <w:p w14:paraId="51BCF1AD" w14:textId="77777777" w:rsidR="00A3213E" w:rsidRPr="00C47F2F" w:rsidRDefault="00A3213E" w:rsidP="000F593F">
            <w:pPr>
              <w:pStyle w:val="Table"/>
              <w:rPr>
                <w:noProof/>
                <w:sz w:val="20"/>
                <w:szCs w:val="20"/>
              </w:rPr>
            </w:pPr>
            <w:r w:rsidRPr="00C47F2F">
              <w:rPr>
                <w:noProof/>
                <w:sz w:val="20"/>
                <w:szCs w:val="20"/>
              </w:rPr>
              <w:t>8.15E+00</w:t>
            </w:r>
          </w:p>
        </w:tc>
        <w:tc>
          <w:tcPr>
            <w:tcW w:w="986" w:type="dxa"/>
            <w:shd w:val="clear" w:color="auto" w:fill="auto"/>
            <w:noWrap/>
            <w:vAlign w:val="center"/>
            <w:hideMark/>
          </w:tcPr>
          <w:p w14:paraId="58905EC6" w14:textId="77777777" w:rsidR="00A3213E" w:rsidRPr="00C47F2F" w:rsidRDefault="00A3213E" w:rsidP="000F593F">
            <w:pPr>
              <w:pStyle w:val="Table"/>
              <w:rPr>
                <w:noProof/>
                <w:sz w:val="20"/>
                <w:szCs w:val="20"/>
              </w:rPr>
            </w:pPr>
            <w:r w:rsidRPr="00C47F2F">
              <w:rPr>
                <w:noProof/>
                <w:sz w:val="20"/>
                <w:szCs w:val="20"/>
              </w:rPr>
              <w:t>8.15E+00</w:t>
            </w:r>
          </w:p>
        </w:tc>
        <w:tc>
          <w:tcPr>
            <w:tcW w:w="986" w:type="dxa"/>
            <w:shd w:val="clear" w:color="auto" w:fill="auto"/>
            <w:noWrap/>
            <w:vAlign w:val="center"/>
            <w:hideMark/>
          </w:tcPr>
          <w:p w14:paraId="3590C578" w14:textId="77777777" w:rsidR="00A3213E" w:rsidRPr="00C47F2F" w:rsidRDefault="00A3213E" w:rsidP="000F593F">
            <w:pPr>
              <w:pStyle w:val="Table"/>
              <w:rPr>
                <w:noProof/>
                <w:sz w:val="20"/>
                <w:szCs w:val="20"/>
              </w:rPr>
            </w:pPr>
            <w:r w:rsidRPr="00C47F2F">
              <w:rPr>
                <w:noProof/>
                <w:sz w:val="20"/>
                <w:szCs w:val="20"/>
              </w:rPr>
              <w:t>5.82E+00</w:t>
            </w:r>
          </w:p>
        </w:tc>
        <w:tc>
          <w:tcPr>
            <w:tcW w:w="986" w:type="dxa"/>
            <w:shd w:val="clear" w:color="auto" w:fill="auto"/>
            <w:noWrap/>
            <w:vAlign w:val="center"/>
            <w:hideMark/>
          </w:tcPr>
          <w:p w14:paraId="0DF469E2" w14:textId="77777777" w:rsidR="00A3213E" w:rsidRPr="00C47F2F" w:rsidRDefault="00A3213E" w:rsidP="000F593F">
            <w:pPr>
              <w:pStyle w:val="Table"/>
              <w:rPr>
                <w:noProof/>
                <w:sz w:val="20"/>
                <w:szCs w:val="20"/>
              </w:rPr>
            </w:pPr>
            <w:r w:rsidRPr="00C47F2F">
              <w:rPr>
                <w:noProof/>
                <w:sz w:val="20"/>
                <w:szCs w:val="20"/>
              </w:rPr>
              <w:t>5.82E+00</w:t>
            </w:r>
          </w:p>
        </w:tc>
        <w:tc>
          <w:tcPr>
            <w:tcW w:w="986" w:type="dxa"/>
            <w:shd w:val="clear" w:color="auto" w:fill="auto"/>
            <w:noWrap/>
            <w:vAlign w:val="center"/>
            <w:hideMark/>
          </w:tcPr>
          <w:p w14:paraId="748EBC0B" w14:textId="77777777" w:rsidR="00A3213E" w:rsidRPr="00C47F2F" w:rsidRDefault="00A3213E" w:rsidP="000F593F">
            <w:pPr>
              <w:pStyle w:val="Table"/>
              <w:rPr>
                <w:noProof/>
                <w:sz w:val="20"/>
                <w:szCs w:val="20"/>
              </w:rPr>
            </w:pPr>
            <w:r w:rsidRPr="00C47F2F">
              <w:rPr>
                <w:noProof/>
                <w:sz w:val="20"/>
                <w:szCs w:val="20"/>
              </w:rPr>
              <w:t>5.82E+00</w:t>
            </w:r>
          </w:p>
        </w:tc>
        <w:tc>
          <w:tcPr>
            <w:tcW w:w="986" w:type="dxa"/>
            <w:shd w:val="clear" w:color="auto" w:fill="auto"/>
            <w:noWrap/>
            <w:vAlign w:val="center"/>
            <w:hideMark/>
          </w:tcPr>
          <w:p w14:paraId="22D0F400" w14:textId="77777777" w:rsidR="00A3213E" w:rsidRPr="00C47F2F" w:rsidRDefault="00A3213E" w:rsidP="000F593F">
            <w:pPr>
              <w:pStyle w:val="Table"/>
              <w:rPr>
                <w:noProof/>
                <w:sz w:val="20"/>
                <w:szCs w:val="20"/>
              </w:rPr>
            </w:pPr>
            <w:r w:rsidRPr="00C47F2F">
              <w:rPr>
                <w:noProof/>
                <w:sz w:val="20"/>
                <w:szCs w:val="20"/>
              </w:rPr>
              <w:t>3.49E+00</w:t>
            </w:r>
          </w:p>
        </w:tc>
      </w:tr>
      <w:tr w:rsidR="00A3213E" w:rsidRPr="00972C81" w14:paraId="35D335E0" w14:textId="77777777" w:rsidTr="000F593F">
        <w:trPr>
          <w:trHeight w:val="340"/>
        </w:trPr>
        <w:tc>
          <w:tcPr>
            <w:tcW w:w="3111" w:type="dxa"/>
            <w:shd w:val="clear" w:color="auto" w:fill="auto"/>
            <w:noWrap/>
            <w:vAlign w:val="center"/>
            <w:hideMark/>
          </w:tcPr>
          <w:p w14:paraId="785C2B29" w14:textId="0893C5CA" w:rsidR="00A3213E" w:rsidRPr="00A3213E" w:rsidRDefault="00A3213E" w:rsidP="000F593F">
            <w:pPr>
              <w:pStyle w:val="Table"/>
              <w:rPr>
                <w:noProof/>
                <w:sz w:val="20"/>
                <w:szCs w:val="22"/>
              </w:rPr>
            </w:pPr>
            <w:r w:rsidRPr="00A3213E">
              <w:rPr>
                <w:noProof/>
                <w:sz w:val="20"/>
                <w:szCs w:val="22"/>
              </w:rPr>
              <w:t>Blood to Trab bone surf</w:t>
            </w:r>
          </w:p>
        </w:tc>
        <w:tc>
          <w:tcPr>
            <w:tcW w:w="986" w:type="dxa"/>
            <w:shd w:val="clear" w:color="auto" w:fill="auto"/>
            <w:noWrap/>
            <w:vAlign w:val="center"/>
            <w:hideMark/>
          </w:tcPr>
          <w:p w14:paraId="02F0BD5B" w14:textId="77777777" w:rsidR="00A3213E" w:rsidRPr="00C47F2F" w:rsidRDefault="00A3213E" w:rsidP="000F593F">
            <w:pPr>
              <w:pStyle w:val="Table"/>
              <w:rPr>
                <w:noProof/>
                <w:sz w:val="20"/>
                <w:szCs w:val="20"/>
              </w:rPr>
            </w:pPr>
            <w:r w:rsidRPr="00C47F2F">
              <w:rPr>
                <w:noProof/>
                <w:sz w:val="20"/>
                <w:szCs w:val="20"/>
              </w:rPr>
              <w:t>8.15E+00</w:t>
            </w:r>
          </w:p>
        </w:tc>
        <w:tc>
          <w:tcPr>
            <w:tcW w:w="986" w:type="dxa"/>
            <w:shd w:val="clear" w:color="auto" w:fill="auto"/>
            <w:noWrap/>
            <w:vAlign w:val="center"/>
            <w:hideMark/>
          </w:tcPr>
          <w:p w14:paraId="689D1077" w14:textId="77777777" w:rsidR="00A3213E" w:rsidRPr="00C47F2F" w:rsidRDefault="00A3213E" w:rsidP="000F593F">
            <w:pPr>
              <w:pStyle w:val="Table"/>
              <w:rPr>
                <w:noProof/>
                <w:sz w:val="20"/>
                <w:szCs w:val="20"/>
              </w:rPr>
            </w:pPr>
            <w:r w:rsidRPr="00C47F2F">
              <w:rPr>
                <w:noProof/>
                <w:sz w:val="20"/>
                <w:szCs w:val="20"/>
              </w:rPr>
              <w:t>8.15E+00</w:t>
            </w:r>
          </w:p>
        </w:tc>
        <w:tc>
          <w:tcPr>
            <w:tcW w:w="986" w:type="dxa"/>
            <w:shd w:val="clear" w:color="auto" w:fill="auto"/>
            <w:noWrap/>
            <w:vAlign w:val="center"/>
            <w:hideMark/>
          </w:tcPr>
          <w:p w14:paraId="6C8D9F37" w14:textId="77777777" w:rsidR="00A3213E" w:rsidRPr="00C47F2F" w:rsidRDefault="00A3213E" w:rsidP="000F593F">
            <w:pPr>
              <w:pStyle w:val="Table"/>
              <w:rPr>
                <w:noProof/>
                <w:sz w:val="20"/>
                <w:szCs w:val="20"/>
              </w:rPr>
            </w:pPr>
            <w:r w:rsidRPr="00C47F2F">
              <w:rPr>
                <w:noProof/>
                <w:sz w:val="20"/>
                <w:szCs w:val="20"/>
              </w:rPr>
              <w:t>5.82E+00</w:t>
            </w:r>
          </w:p>
        </w:tc>
        <w:tc>
          <w:tcPr>
            <w:tcW w:w="986" w:type="dxa"/>
            <w:shd w:val="clear" w:color="auto" w:fill="auto"/>
            <w:noWrap/>
            <w:vAlign w:val="center"/>
            <w:hideMark/>
          </w:tcPr>
          <w:p w14:paraId="1021E6BD" w14:textId="77777777" w:rsidR="00A3213E" w:rsidRPr="00C47F2F" w:rsidRDefault="00A3213E" w:rsidP="000F593F">
            <w:pPr>
              <w:pStyle w:val="Table"/>
              <w:rPr>
                <w:noProof/>
                <w:sz w:val="20"/>
                <w:szCs w:val="20"/>
              </w:rPr>
            </w:pPr>
            <w:r w:rsidRPr="00C47F2F">
              <w:rPr>
                <w:noProof/>
                <w:sz w:val="20"/>
                <w:szCs w:val="20"/>
              </w:rPr>
              <w:t>5.82E+00</w:t>
            </w:r>
          </w:p>
        </w:tc>
        <w:tc>
          <w:tcPr>
            <w:tcW w:w="986" w:type="dxa"/>
            <w:shd w:val="clear" w:color="auto" w:fill="auto"/>
            <w:noWrap/>
            <w:vAlign w:val="center"/>
            <w:hideMark/>
          </w:tcPr>
          <w:p w14:paraId="7F9D878B" w14:textId="77777777" w:rsidR="00A3213E" w:rsidRPr="00C47F2F" w:rsidRDefault="00A3213E" w:rsidP="000F593F">
            <w:pPr>
              <w:pStyle w:val="Table"/>
              <w:rPr>
                <w:noProof/>
                <w:sz w:val="20"/>
                <w:szCs w:val="20"/>
              </w:rPr>
            </w:pPr>
            <w:r w:rsidRPr="00C47F2F">
              <w:rPr>
                <w:noProof/>
                <w:sz w:val="20"/>
                <w:szCs w:val="20"/>
              </w:rPr>
              <w:t>5.82E+00</w:t>
            </w:r>
          </w:p>
        </w:tc>
        <w:tc>
          <w:tcPr>
            <w:tcW w:w="986" w:type="dxa"/>
            <w:shd w:val="clear" w:color="auto" w:fill="auto"/>
            <w:noWrap/>
            <w:vAlign w:val="center"/>
            <w:hideMark/>
          </w:tcPr>
          <w:p w14:paraId="5965EA1D" w14:textId="77777777" w:rsidR="00A3213E" w:rsidRPr="00C47F2F" w:rsidRDefault="00A3213E" w:rsidP="000F593F">
            <w:pPr>
              <w:pStyle w:val="Table"/>
              <w:rPr>
                <w:noProof/>
                <w:sz w:val="20"/>
                <w:szCs w:val="20"/>
              </w:rPr>
            </w:pPr>
            <w:r w:rsidRPr="00C47F2F">
              <w:rPr>
                <w:noProof/>
                <w:sz w:val="20"/>
                <w:szCs w:val="20"/>
              </w:rPr>
              <w:t>3.49E+00</w:t>
            </w:r>
          </w:p>
        </w:tc>
      </w:tr>
      <w:tr w:rsidR="00A3213E" w:rsidRPr="00972C81" w14:paraId="2B93EF0A" w14:textId="77777777" w:rsidTr="000F593F">
        <w:trPr>
          <w:trHeight w:val="340"/>
        </w:trPr>
        <w:tc>
          <w:tcPr>
            <w:tcW w:w="3111" w:type="dxa"/>
            <w:shd w:val="clear" w:color="auto" w:fill="auto"/>
            <w:noWrap/>
            <w:vAlign w:val="center"/>
            <w:hideMark/>
          </w:tcPr>
          <w:p w14:paraId="02C695F7" w14:textId="2C52549A" w:rsidR="00A3213E" w:rsidRPr="00A3213E" w:rsidRDefault="00A3213E" w:rsidP="000F593F">
            <w:pPr>
              <w:pStyle w:val="Table"/>
              <w:rPr>
                <w:noProof/>
                <w:sz w:val="20"/>
                <w:szCs w:val="22"/>
              </w:rPr>
            </w:pPr>
            <w:r w:rsidRPr="00A3213E">
              <w:rPr>
                <w:noProof/>
                <w:sz w:val="20"/>
                <w:szCs w:val="22"/>
              </w:rPr>
              <w:t>Blood to Kidneys 1</w:t>
            </w:r>
          </w:p>
        </w:tc>
        <w:tc>
          <w:tcPr>
            <w:tcW w:w="986" w:type="dxa"/>
            <w:shd w:val="clear" w:color="auto" w:fill="auto"/>
            <w:noWrap/>
            <w:vAlign w:val="center"/>
            <w:hideMark/>
          </w:tcPr>
          <w:p w14:paraId="1773D211" w14:textId="77777777" w:rsidR="00A3213E" w:rsidRPr="00C47F2F" w:rsidRDefault="00A3213E" w:rsidP="000F593F">
            <w:pPr>
              <w:pStyle w:val="Table"/>
              <w:rPr>
                <w:noProof/>
                <w:sz w:val="20"/>
                <w:szCs w:val="20"/>
              </w:rPr>
            </w:pPr>
            <w:r w:rsidRPr="00C47F2F">
              <w:rPr>
                <w:noProof/>
                <w:sz w:val="20"/>
                <w:szCs w:val="20"/>
              </w:rPr>
              <w:t>4.66E-01</w:t>
            </w:r>
          </w:p>
        </w:tc>
        <w:tc>
          <w:tcPr>
            <w:tcW w:w="986" w:type="dxa"/>
            <w:shd w:val="clear" w:color="auto" w:fill="auto"/>
            <w:noWrap/>
            <w:vAlign w:val="center"/>
            <w:hideMark/>
          </w:tcPr>
          <w:p w14:paraId="514E8588" w14:textId="77777777" w:rsidR="00A3213E" w:rsidRPr="00C47F2F" w:rsidRDefault="00A3213E" w:rsidP="000F593F">
            <w:pPr>
              <w:pStyle w:val="Table"/>
              <w:rPr>
                <w:noProof/>
                <w:sz w:val="20"/>
                <w:szCs w:val="20"/>
              </w:rPr>
            </w:pPr>
            <w:r w:rsidRPr="00C47F2F">
              <w:rPr>
                <w:noProof/>
                <w:sz w:val="20"/>
                <w:szCs w:val="20"/>
              </w:rPr>
              <w:t>4.66E-01</w:t>
            </w:r>
          </w:p>
        </w:tc>
        <w:tc>
          <w:tcPr>
            <w:tcW w:w="986" w:type="dxa"/>
            <w:shd w:val="clear" w:color="auto" w:fill="auto"/>
            <w:noWrap/>
            <w:vAlign w:val="center"/>
            <w:hideMark/>
          </w:tcPr>
          <w:p w14:paraId="4C659B75" w14:textId="77777777" w:rsidR="00A3213E" w:rsidRPr="00C47F2F" w:rsidRDefault="00A3213E" w:rsidP="000F593F">
            <w:pPr>
              <w:pStyle w:val="Table"/>
              <w:rPr>
                <w:noProof/>
                <w:sz w:val="20"/>
                <w:szCs w:val="20"/>
              </w:rPr>
            </w:pPr>
            <w:r w:rsidRPr="00C47F2F">
              <w:rPr>
                <w:noProof/>
                <w:sz w:val="20"/>
                <w:szCs w:val="20"/>
              </w:rPr>
              <w:t>4.66E-01</w:t>
            </w:r>
          </w:p>
        </w:tc>
        <w:tc>
          <w:tcPr>
            <w:tcW w:w="986" w:type="dxa"/>
            <w:shd w:val="clear" w:color="auto" w:fill="auto"/>
            <w:noWrap/>
            <w:vAlign w:val="center"/>
            <w:hideMark/>
          </w:tcPr>
          <w:p w14:paraId="7109A44E" w14:textId="77777777" w:rsidR="00A3213E" w:rsidRPr="00C47F2F" w:rsidRDefault="00A3213E" w:rsidP="000F593F">
            <w:pPr>
              <w:pStyle w:val="Table"/>
              <w:rPr>
                <w:noProof/>
                <w:sz w:val="20"/>
                <w:szCs w:val="20"/>
              </w:rPr>
            </w:pPr>
            <w:r w:rsidRPr="00C47F2F">
              <w:rPr>
                <w:noProof/>
                <w:sz w:val="20"/>
                <w:szCs w:val="20"/>
              </w:rPr>
              <w:t>4.66E-01</w:t>
            </w:r>
          </w:p>
        </w:tc>
        <w:tc>
          <w:tcPr>
            <w:tcW w:w="986" w:type="dxa"/>
            <w:shd w:val="clear" w:color="auto" w:fill="auto"/>
            <w:noWrap/>
            <w:vAlign w:val="center"/>
            <w:hideMark/>
          </w:tcPr>
          <w:p w14:paraId="19F12525" w14:textId="77777777" w:rsidR="00A3213E" w:rsidRPr="00C47F2F" w:rsidRDefault="00A3213E" w:rsidP="000F593F">
            <w:pPr>
              <w:pStyle w:val="Table"/>
              <w:rPr>
                <w:noProof/>
                <w:sz w:val="20"/>
                <w:szCs w:val="20"/>
              </w:rPr>
            </w:pPr>
            <w:r w:rsidRPr="00C47F2F">
              <w:rPr>
                <w:noProof/>
                <w:sz w:val="20"/>
                <w:szCs w:val="20"/>
              </w:rPr>
              <w:t>4.66E-01</w:t>
            </w:r>
          </w:p>
        </w:tc>
        <w:tc>
          <w:tcPr>
            <w:tcW w:w="986" w:type="dxa"/>
            <w:shd w:val="clear" w:color="auto" w:fill="auto"/>
            <w:noWrap/>
            <w:vAlign w:val="center"/>
            <w:hideMark/>
          </w:tcPr>
          <w:p w14:paraId="532AC9FE" w14:textId="77777777" w:rsidR="00A3213E" w:rsidRPr="00C47F2F" w:rsidRDefault="00A3213E" w:rsidP="000F593F">
            <w:pPr>
              <w:pStyle w:val="Table"/>
              <w:rPr>
                <w:noProof/>
                <w:sz w:val="20"/>
                <w:szCs w:val="20"/>
              </w:rPr>
            </w:pPr>
            <w:r w:rsidRPr="00C47F2F">
              <w:rPr>
                <w:noProof/>
                <w:sz w:val="20"/>
                <w:szCs w:val="20"/>
              </w:rPr>
              <w:t>4.66E-01</w:t>
            </w:r>
          </w:p>
        </w:tc>
      </w:tr>
      <w:tr w:rsidR="00A3213E" w:rsidRPr="00972C81" w14:paraId="338CB7F1" w14:textId="77777777" w:rsidTr="000F593F">
        <w:trPr>
          <w:trHeight w:val="340"/>
        </w:trPr>
        <w:tc>
          <w:tcPr>
            <w:tcW w:w="3111" w:type="dxa"/>
            <w:shd w:val="clear" w:color="auto" w:fill="auto"/>
            <w:noWrap/>
            <w:vAlign w:val="center"/>
            <w:hideMark/>
          </w:tcPr>
          <w:p w14:paraId="65461D56" w14:textId="0995C5A8" w:rsidR="00A3213E" w:rsidRPr="00A3213E" w:rsidRDefault="00A3213E" w:rsidP="000F593F">
            <w:pPr>
              <w:pStyle w:val="Table"/>
              <w:rPr>
                <w:noProof/>
                <w:sz w:val="20"/>
                <w:szCs w:val="22"/>
              </w:rPr>
            </w:pPr>
            <w:r w:rsidRPr="00A3213E">
              <w:rPr>
                <w:noProof/>
                <w:sz w:val="20"/>
                <w:szCs w:val="22"/>
              </w:rPr>
              <w:t>Blood to RC cont</w:t>
            </w:r>
          </w:p>
        </w:tc>
        <w:tc>
          <w:tcPr>
            <w:tcW w:w="986" w:type="dxa"/>
            <w:shd w:val="clear" w:color="auto" w:fill="auto"/>
            <w:noWrap/>
            <w:vAlign w:val="center"/>
            <w:hideMark/>
          </w:tcPr>
          <w:p w14:paraId="4DE049C1" w14:textId="77777777" w:rsidR="00A3213E" w:rsidRPr="00C47F2F" w:rsidRDefault="00A3213E" w:rsidP="000F593F">
            <w:pPr>
              <w:pStyle w:val="Table"/>
              <w:rPr>
                <w:noProof/>
                <w:sz w:val="20"/>
                <w:szCs w:val="20"/>
              </w:rPr>
            </w:pPr>
            <w:r w:rsidRPr="00C47F2F">
              <w:rPr>
                <w:noProof/>
                <w:sz w:val="20"/>
                <w:szCs w:val="20"/>
              </w:rPr>
              <w:t>3.03E-01</w:t>
            </w:r>
          </w:p>
        </w:tc>
        <w:tc>
          <w:tcPr>
            <w:tcW w:w="986" w:type="dxa"/>
            <w:shd w:val="clear" w:color="auto" w:fill="auto"/>
            <w:noWrap/>
            <w:vAlign w:val="center"/>
            <w:hideMark/>
          </w:tcPr>
          <w:p w14:paraId="307A3EF7" w14:textId="77777777" w:rsidR="00A3213E" w:rsidRPr="00C47F2F" w:rsidRDefault="00A3213E" w:rsidP="000F593F">
            <w:pPr>
              <w:pStyle w:val="Table"/>
              <w:rPr>
                <w:noProof/>
                <w:sz w:val="20"/>
                <w:szCs w:val="20"/>
              </w:rPr>
            </w:pPr>
            <w:r w:rsidRPr="00C47F2F">
              <w:rPr>
                <w:noProof/>
                <w:sz w:val="20"/>
                <w:szCs w:val="20"/>
              </w:rPr>
              <w:t>3.03E-01</w:t>
            </w:r>
          </w:p>
        </w:tc>
        <w:tc>
          <w:tcPr>
            <w:tcW w:w="986" w:type="dxa"/>
            <w:shd w:val="clear" w:color="auto" w:fill="auto"/>
            <w:noWrap/>
            <w:vAlign w:val="center"/>
            <w:hideMark/>
          </w:tcPr>
          <w:p w14:paraId="5CCE5901" w14:textId="77777777" w:rsidR="00A3213E" w:rsidRPr="00C47F2F" w:rsidRDefault="00A3213E" w:rsidP="000F593F">
            <w:pPr>
              <w:pStyle w:val="Table"/>
              <w:rPr>
                <w:noProof/>
                <w:sz w:val="20"/>
                <w:szCs w:val="20"/>
              </w:rPr>
            </w:pPr>
            <w:r w:rsidRPr="00C47F2F">
              <w:rPr>
                <w:noProof/>
                <w:sz w:val="20"/>
                <w:szCs w:val="20"/>
              </w:rPr>
              <w:t>3.03E-01</w:t>
            </w:r>
          </w:p>
        </w:tc>
        <w:tc>
          <w:tcPr>
            <w:tcW w:w="986" w:type="dxa"/>
            <w:shd w:val="clear" w:color="auto" w:fill="auto"/>
            <w:noWrap/>
            <w:vAlign w:val="center"/>
            <w:hideMark/>
          </w:tcPr>
          <w:p w14:paraId="73395BF1" w14:textId="77777777" w:rsidR="00A3213E" w:rsidRPr="00C47F2F" w:rsidRDefault="00A3213E" w:rsidP="000F593F">
            <w:pPr>
              <w:pStyle w:val="Table"/>
              <w:rPr>
                <w:noProof/>
                <w:sz w:val="20"/>
                <w:szCs w:val="20"/>
              </w:rPr>
            </w:pPr>
            <w:r w:rsidRPr="00C47F2F">
              <w:rPr>
                <w:noProof/>
                <w:sz w:val="20"/>
                <w:szCs w:val="20"/>
              </w:rPr>
              <w:t>3.03E-01</w:t>
            </w:r>
          </w:p>
        </w:tc>
        <w:tc>
          <w:tcPr>
            <w:tcW w:w="986" w:type="dxa"/>
            <w:shd w:val="clear" w:color="auto" w:fill="auto"/>
            <w:noWrap/>
            <w:vAlign w:val="center"/>
            <w:hideMark/>
          </w:tcPr>
          <w:p w14:paraId="7A8931EB" w14:textId="77777777" w:rsidR="00A3213E" w:rsidRPr="00C47F2F" w:rsidRDefault="00A3213E" w:rsidP="000F593F">
            <w:pPr>
              <w:pStyle w:val="Table"/>
              <w:rPr>
                <w:noProof/>
                <w:sz w:val="20"/>
                <w:szCs w:val="20"/>
              </w:rPr>
            </w:pPr>
            <w:r w:rsidRPr="00C47F2F">
              <w:rPr>
                <w:noProof/>
                <w:sz w:val="20"/>
                <w:szCs w:val="20"/>
              </w:rPr>
              <w:t>3.03E-01</w:t>
            </w:r>
          </w:p>
        </w:tc>
        <w:tc>
          <w:tcPr>
            <w:tcW w:w="986" w:type="dxa"/>
            <w:shd w:val="clear" w:color="auto" w:fill="auto"/>
            <w:noWrap/>
            <w:vAlign w:val="center"/>
            <w:hideMark/>
          </w:tcPr>
          <w:p w14:paraId="7C4D10DC" w14:textId="77777777" w:rsidR="00A3213E" w:rsidRPr="00C47F2F" w:rsidRDefault="00A3213E" w:rsidP="000F593F">
            <w:pPr>
              <w:pStyle w:val="Table"/>
              <w:rPr>
                <w:noProof/>
                <w:sz w:val="20"/>
                <w:szCs w:val="20"/>
              </w:rPr>
            </w:pPr>
            <w:r w:rsidRPr="00C47F2F">
              <w:rPr>
                <w:noProof/>
                <w:sz w:val="20"/>
                <w:szCs w:val="20"/>
              </w:rPr>
              <w:t>3.03E-01</w:t>
            </w:r>
          </w:p>
        </w:tc>
      </w:tr>
      <w:tr w:rsidR="00A3213E" w:rsidRPr="00972C81" w14:paraId="523D6937" w14:textId="77777777" w:rsidTr="000F593F">
        <w:trPr>
          <w:trHeight w:val="340"/>
        </w:trPr>
        <w:tc>
          <w:tcPr>
            <w:tcW w:w="3111" w:type="dxa"/>
            <w:shd w:val="clear" w:color="auto" w:fill="auto"/>
            <w:noWrap/>
            <w:vAlign w:val="center"/>
            <w:hideMark/>
          </w:tcPr>
          <w:p w14:paraId="3879614F" w14:textId="2C398DBE" w:rsidR="00A3213E" w:rsidRPr="00A3213E" w:rsidRDefault="00A3213E" w:rsidP="000F593F">
            <w:pPr>
              <w:pStyle w:val="Table"/>
              <w:rPr>
                <w:noProof/>
                <w:sz w:val="20"/>
                <w:szCs w:val="22"/>
              </w:rPr>
            </w:pPr>
            <w:r w:rsidRPr="00A3213E">
              <w:rPr>
                <w:noProof/>
                <w:sz w:val="20"/>
                <w:szCs w:val="22"/>
              </w:rPr>
              <w:t>Blood to Kidneys 2</w:t>
            </w:r>
          </w:p>
        </w:tc>
        <w:tc>
          <w:tcPr>
            <w:tcW w:w="986" w:type="dxa"/>
            <w:shd w:val="clear" w:color="auto" w:fill="auto"/>
            <w:noWrap/>
            <w:vAlign w:val="center"/>
            <w:hideMark/>
          </w:tcPr>
          <w:p w14:paraId="2396D57D" w14:textId="77777777" w:rsidR="00A3213E" w:rsidRPr="00C47F2F" w:rsidRDefault="00A3213E" w:rsidP="000F593F">
            <w:pPr>
              <w:pStyle w:val="Table"/>
              <w:rPr>
                <w:noProof/>
                <w:sz w:val="20"/>
                <w:szCs w:val="20"/>
              </w:rPr>
            </w:pPr>
            <w:r w:rsidRPr="00C47F2F">
              <w:rPr>
                <w:noProof/>
                <w:sz w:val="20"/>
                <w:szCs w:val="20"/>
              </w:rPr>
              <w:t>1.16E-01</w:t>
            </w:r>
          </w:p>
        </w:tc>
        <w:tc>
          <w:tcPr>
            <w:tcW w:w="986" w:type="dxa"/>
            <w:shd w:val="clear" w:color="auto" w:fill="auto"/>
            <w:noWrap/>
            <w:vAlign w:val="center"/>
            <w:hideMark/>
          </w:tcPr>
          <w:p w14:paraId="6C88E251" w14:textId="77777777" w:rsidR="00A3213E" w:rsidRPr="00C47F2F" w:rsidRDefault="00A3213E" w:rsidP="000F593F">
            <w:pPr>
              <w:pStyle w:val="Table"/>
              <w:rPr>
                <w:noProof/>
                <w:sz w:val="20"/>
                <w:szCs w:val="20"/>
              </w:rPr>
            </w:pPr>
            <w:r w:rsidRPr="00C47F2F">
              <w:rPr>
                <w:noProof/>
                <w:sz w:val="20"/>
                <w:szCs w:val="20"/>
              </w:rPr>
              <w:t>1.16E-01</w:t>
            </w:r>
          </w:p>
        </w:tc>
        <w:tc>
          <w:tcPr>
            <w:tcW w:w="986" w:type="dxa"/>
            <w:shd w:val="clear" w:color="auto" w:fill="auto"/>
            <w:noWrap/>
            <w:vAlign w:val="center"/>
            <w:hideMark/>
          </w:tcPr>
          <w:p w14:paraId="5A5F2952" w14:textId="77777777" w:rsidR="00A3213E" w:rsidRPr="00C47F2F" w:rsidRDefault="00A3213E" w:rsidP="000F593F">
            <w:pPr>
              <w:pStyle w:val="Table"/>
              <w:rPr>
                <w:noProof/>
                <w:sz w:val="20"/>
                <w:szCs w:val="20"/>
              </w:rPr>
            </w:pPr>
            <w:r w:rsidRPr="00C47F2F">
              <w:rPr>
                <w:noProof/>
                <w:sz w:val="20"/>
                <w:szCs w:val="20"/>
              </w:rPr>
              <w:t>1.16E-01</w:t>
            </w:r>
          </w:p>
        </w:tc>
        <w:tc>
          <w:tcPr>
            <w:tcW w:w="986" w:type="dxa"/>
            <w:shd w:val="clear" w:color="auto" w:fill="auto"/>
            <w:noWrap/>
            <w:vAlign w:val="center"/>
            <w:hideMark/>
          </w:tcPr>
          <w:p w14:paraId="0FC11E36" w14:textId="77777777" w:rsidR="00A3213E" w:rsidRPr="00C47F2F" w:rsidRDefault="00A3213E" w:rsidP="000F593F">
            <w:pPr>
              <w:pStyle w:val="Table"/>
              <w:rPr>
                <w:noProof/>
                <w:sz w:val="20"/>
                <w:szCs w:val="20"/>
              </w:rPr>
            </w:pPr>
            <w:r w:rsidRPr="00C47F2F">
              <w:rPr>
                <w:noProof/>
                <w:sz w:val="20"/>
                <w:szCs w:val="20"/>
              </w:rPr>
              <w:t>1.16E-01</w:t>
            </w:r>
          </w:p>
        </w:tc>
        <w:tc>
          <w:tcPr>
            <w:tcW w:w="986" w:type="dxa"/>
            <w:shd w:val="clear" w:color="auto" w:fill="auto"/>
            <w:noWrap/>
            <w:vAlign w:val="center"/>
            <w:hideMark/>
          </w:tcPr>
          <w:p w14:paraId="7EB0B4E9" w14:textId="77777777" w:rsidR="00A3213E" w:rsidRPr="00C47F2F" w:rsidRDefault="00A3213E" w:rsidP="000F593F">
            <w:pPr>
              <w:pStyle w:val="Table"/>
              <w:rPr>
                <w:noProof/>
                <w:sz w:val="20"/>
                <w:szCs w:val="20"/>
              </w:rPr>
            </w:pPr>
            <w:r w:rsidRPr="00C47F2F">
              <w:rPr>
                <w:noProof/>
                <w:sz w:val="20"/>
                <w:szCs w:val="20"/>
              </w:rPr>
              <w:t>1.16E-01</w:t>
            </w:r>
          </w:p>
        </w:tc>
        <w:tc>
          <w:tcPr>
            <w:tcW w:w="986" w:type="dxa"/>
            <w:shd w:val="clear" w:color="auto" w:fill="auto"/>
            <w:noWrap/>
            <w:vAlign w:val="center"/>
            <w:hideMark/>
          </w:tcPr>
          <w:p w14:paraId="5C1950CB" w14:textId="77777777" w:rsidR="00A3213E" w:rsidRPr="00C47F2F" w:rsidRDefault="00A3213E" w:rsidP="000F593F">
            <w:pPr>
              <w:pStyle w:val="Table"/>
              <w:rPr>
                <w:noProof/>
                <w:sz w:val="20"/>
                <w:szCs w:val="20"/>
              </w:rPr>
            </w:pPr>
            <w:r w:rsidRPr="00C47F2F">
              <w:rPr>
                <w:noProof/>
                <w:sz w:val="20"/>
                <w:szCs w:val="20"/>
              </w:rPr>
              <w:t>1.16E-01</w:t>
            </w:r>
          </w:p>
        </w:tc>
      </w:tr>
      <w:tr w:rsidR="00A3213E" w:rsidRPr="00972C81" w14:paraId="410D56F1" w14:textId="77777777" w:rsidTr="000F593F">
        <w:trPr>
          <w:trHeight w:val="340"/>
        </w:trPr>
        <w:tc>
          <w:tcPr>
            <w:tcW w:w="3111" w:type="dxa"/>
            <w:shd w:val="clear" w:color="auto" w:fill="auto"/>
            <w:noWrap/>
            <w:vAlign w:val="center"/>
            <w:hideMark/>
          </w:tcPr>
          <w:p w14:paraId="18FA4B49" w14:textId="04047634" w:rsidR="00A3213E" w:rsidRPr="00A3213E" w:rsidRDefault="00A3213E" w:rsidP="000F593F">
            <w:pPr>
              <w:pStyle w:val="Table"/>
              <w:rPr>
                <w:noProof/>
                <w:sz w:val="20"/>
                <w:szCs w:val="22"/>
              </w:rPr>
            </w:pPr>
            <w:r w:rsidRPr="00A3213E">
              <w:rPr>
                <w:noProof/>
                <w:sz w:val="20"/>
                <w:szCs w:val="22"/>
              </w:rPr>
              <w:t>Blood to Testes</w:t>
            </w:r>
          </w:p>
        </w:tc>
        <w:tc>
          <w:tcPr>
            <w:tcW w:w="986" w:type="dxa"/>
            <w:shd w:val="clear" w:color="auto" w:fill="auto"/>
            <w:noWrap/>
            <w:vAlign w:val="center"/>
            <w:hideMark/>
          </w:tcPr>
          <w:p w14:paraId="5526DD00" w14:textId="77777777" w:rsidR="00A3213E" w:rsidRPr="00C47F2F" w:rsidRDefault="00A3213E" w:rsidP="000F593F">
            <w:pPr>
              <w:pStyle w:val="Table"/>
              <w:rPr>
                <w:noProof/>
                <w:sz w:val="20"/>
                <w:szCs w:val="20"/>
              </w:rPr>
            </w:pPr>
            <w:r w:rsidRPr="00C47F2F">
              <w:rPr>
                <w:noProof/>
                <w:sz w:val="20"/>
                <w:szCs w:val="20"/>
              </w:rPr>
              <w:t>4.70E-04</w:t>
            </w:r>
          </w:p>
        </w:tc>
        <w:tc>
          <w:tcPr>
            <w:tcW w:w="986" w:type="dxa"/>
            <w:shd w:val="clear" w:color="auto" w:fill="auto"/>
            <w:noWrap/>
            <w:vAlign w:val="center"/>
            <w:hideMark/>
          </w:tcPr>
          <w:p w14:paraId="4EF92CA7" w14:textId="77777777" w:rsidR="00A3213E" w:rsidRPr="00C47F2F" w:rsidRDefault="00A3213E" w:rsidP="000F593F">
            <w:pPr>
              <w:pStyle w:val="Table"/>
              <w:rPr>
                <w:noProof/>
                <w:sz w:val="20"/>
                <w:szCs w:val="20"/>
              </w:rPr>
            </w:pPr>
            <w:r w:rsidRPr="00C47F2F">
              <w:rPr>
                <w:noProof/>
                <w:sz w:val="20"/>
                <w:szCs w:val="20"/>
              </w:rPr>
              <w:t>7.00E-04</w:t>
            </w:r>
          </w:p>
        </w:tc>
        <w:tc>
          <w:tcPr>
            <w:tcW w:w="986" w:type="dxa"/>
            <w:shd w:val="clear" w:color="auto" w:fill="auto"/>
            <w:noWrap/>
            <w:vAlign w:val="center"/>
            <w:hideMark/>
          </w:tcPr>
          <w:p w14:paraId="4832F2D6" w14:textId="77777777" w:rsidR="00A3213E" w:rsidRPr="00C47F2F" w:rsidRDefault="00A3213E" w:rsidP="000F593F">
            <w:pPr>
              <w:pStyle w:val="Table"/>
              <w:rPr>
                <w:noProof/>
                <w:sz w:val="20"/>
                <w:szCs w:val="20"/>
              </w:rPr>
            </w:pPr>
            <w:r w:rsidRPr="00C47F2F">
              <w:rPr>
                <w:noProof/>
                <w:sz w:val="20"/>
                <w:szCs w:val="20"/>
              </w:rPr>
              <w:t>7.90E-04</w:t>
            </w:r>
          </w:p>
        </w:tc>
        <w:tc>
          <w:tcPr>
            <w:tcW w:w="986" w:type="dxa"/>
            <w:shd w:val="clear" w:color="auto" w:fill="auto"/>
            <w:noWrap/>
            <w:vAlign w:val="center"/>
            <w:hideMark/>
          </w:tcPr>
          <w:p w14:paraId="659AD25B" w14:textId="77777777" w:rsidR="00A3213E" w:rsidRPr="00C47F2F" w:rsidRDefault="00A3213E" w:rsidP="000F593F">
            <w:pPr>
              <w:pStyle w:val="Table"/>
              <w:rPr>
                <w:noProof/>
                <w:sz w:val="20"/>
                <w:szCs w:val="20"/>
              </w:rPr>
            </w:pPr>
            <w:r w:rsidRPr="00C47F2F">
              <w:rPr>
                <w:noProof/>
                <w:sz w:val="20"/>
                <w:szCs w:val="20"/>
              </w:rPr>
              <w:t>9.30E-04</w:t>
            </w:r>
          </w:p>
        </w:tc>
        <w:tc>
          <w:tcPr>
            <w:tcW w:w="986" w:type="dxa"/>
            <w:shd w:val="clear" w:color="auto" w:fill="auto"/>
            <w:noWrap/>
            <w:vAlign w:val="center"/>
            <w:hideMark/>
          </w:tcPr>
          <w:p w14:paraId="7F84EC5C" w14:textId="77777777" w:rsidR="00A3213E" w:rsidRPr="00C47F2F" w:rsidRDefault="00A3213E" w:rsidP="000F593F">
            <w:pPr>
              <w:pStyle w:val="Table"/>
              <w:rPr>
                <w:noProof/>
                <w:sz w:val="20"/>
                <w:szCs w:val="20"/>
              </w:rPr>
            </w:pPr>
            <w:r w:rsidRPr="00C47F2F">
              <w:rPr>
                <w:noProof/>
                <w:sz w:val="20"/>
                <w:szCs w:val="20"/>
              </w:rPr>
              <w:t>7.50E-03</w:t>
            </w:r>
          </w:p>
        </w:tc>
        <w:tc>
          <w:tcPr>
            <w:tcW w:w="986" w:type="dxa"/>
            <w:shd w:val="clear" w:color="auto" w:fill="auto"/>
            <w:noWrap/>
            <w:vAlign w:val="center"/>
            <w:hideMark/>
          </w:tcPr>
          <w:p w14:paraId="296C7691" w14:textId="77777777" w:rsidR="00A3213E" w:rsidRPr="00C47F2F" w:rsidRDefault="00A3213E" w:rsidP="000F593F">
            <w:pPr>
              <w:pStyle w:val="Table"/>
              <w:rPr>
                <w:noProof/>
                <w:sz w:val="20"/>
                <w:szCs w:val="20"/>
              </w:rPr>
            </w:pPr>
            <w:r w:rsidRPr="00C47F2F">
              <w:rPr>
                <w:noProof/>
                <w:sz w:val="20"/>
                <w:szCs w:val="20"/>
              </w:rPr>
              <w:t>8.20E-03</w:t>
            </w:r>
          </w:p>
        </w:tc>
      </w:tr>
      <w:tr w:rsidR="00A3213E" w:rsidRPr="00972C81" w14:paraId="79C5240A" w14:textId="77777777" w:rsidTr="000F593F">
        <w:trPr>
          <w:trHeight w:val="340"/>
        </w:trPr>
        <w:tc>
          <w:tcPr>
            <w:tcW w:w="3111" w:type="dxa"/>
            <w:shd w:val="clear" w:color="auto" w:fill="auto"/>
            <w:noWrap/>
            <w:vAlign w:val="center"/>
            <w:hideMark/>
          </w:tcPr>
          <w:p w14:paraId="37CD3338" w14:textId="78E5138F" w:rsidR="00A3213E" w:rsidRPr="00A3213E" w:rsidRDefault="00A3213E" w:rsidP="000F593F">
            <w:pPr>
              <w:pStyle w:val="Table"/>
              <w:rPr>
                <w:noProof/>
                <w:sz w:val="20"/>
                <w:szCs w:val="22"/>
              </w:rPr>
            </w:pPr>
            <w:r w:rsidRPr="00A3213E">
              <w:rPr>
                <w:noProof/>
                <w:sz w:val="20"/>
                <w:szCs w:val="22"/>
              </w:rPr>
              <w:t>Blood to Ovaries</w:t>
            </w:r>
          </w:p>
        </w:tc>
        <w:tc>
          <w:tcPr>
            <w:tcW w:w="986" w:type="dxa"/>
            <w:shd w:val="clear" w:color="auto" w:fill="auto"/>
            <w:noWrap/>
            <w:vAlign w:val="center"/>
            <w:hideMark/>
          </w:tcPr>
          <w:p w14:paraId="5632B2C0" w14:textId="77777777" w:rsidR="00A3213E" w:rsidRPr="00C47F2F" w:rsidRDefault="00A3213E" w:rsidP="000F593F">
            <w:pPr>
              <w:pStyle w:val="Table"/>
              <w:rPr>
                <w:noProof/>
                <w:sz w:val="20"/>
                <w:szCs w:val="20"/>
              </w:rPr>
            </w:pPr>
            <w:r w:rsidRPr="00C47F2F">
              <w:rPr>
                <w:noProof/>
                <w:sz w:val="20"/>
                <w:szCs w:val="20"/>
              </w:rPr>
              <w:t>2.80E-04</w:t>
            </w:r>
          </w:p>
        </w:tc>
        <w:tc>
          <w:tcPr>
            <w:tcW w:w="986" w:type="dxa"/>
            <w:shd w:val="clear" w:color="auto" w:fill="auto"/>
            <w:noWrap/>
            <w:vAlign w:val="center"/>
            <w:hideMark/>
          </w:tcPr>
          <w:p w14:paraId="72004D8F" w14:textId="77777777" w:rsidR="00A3213E" w:rsidRPr="00C47F2F" w:rsidRDefault="00A3213E" w:rsidP="000F593F">
            <w:pPr>
              <w:pStyle w:val="Table"/>
              <w:rPr>
                <w:noProof/>
                <w:sz w:val="20"/>
                <w:szCs w:val="20"/>
              </w:rPr>
            </w:pPr>
            <w:r w:rsidRPr="00C47F2F">
              <w:rPr>
                <w:noProof/>
                <w:sz w:val="20"/>
                <w:szCs w:val="20"/>
              </w:rPr>
              <w:t>3.70E-04</w:t>
            </w:r>
          </w:p>
        </w:tc>
        <w:tc>
          <w:tcPr>
            <w:tcW w:w="986" w:type="dxa"/>
            <w:shd w:val="clear" w:color="auto" w:fill="auto"/>
            <w:noWrap/>
            <w:vAlign w:val="center"/>
            <w:hideMark/>
          </w:tcPr>
          <w:p w14:paraId="10AC50AD" w14:textId="77777777" w:rsidR="00A3213E" w:rsidRPr="00C47F2F" w:rsidRDefault="00A3213E" w:rsidP="000F593F">
            <w:pPr>
              <w:pStyle w:val="Table"/>
              <w:rPr>
                <w:noProof/>
                <w:sz w:val="20"/>
                <w:szCs w:val="20"/>
              </w:rPr>
            </w:pPr>
            <w:r w:rsidRPr="00C47F2F">
              <w:rPr>
                <w:noProof/>
                <w:sz w:val="20"/>
                <w:szCs w:val="20"/>
              </w:rPr>
              <w:t>9.30E-04</w:t>
            </w:r>
          </w:p>
        </w:tc>
        <w:tc>
          <w:tcPr>
            <w:tcW w:w="986" w:type="dxa"/>
            <w:shd w:val="clear" w:color="auto" w:fill="auto"/>
            <w:noWrap/>
            <w:vAlign w:val="center"/>
            <w:hideMark/>
          </w:tcPr>
          <w:p w14:paraId="3D9FBBB7" w14:textId="77777777" w:rsidR="00A3213E" w:rsidRPr="00C47F2F" w:rsidRDefault="00A3213E" w:rsidP="000F593F">
            <w:pPr>
              <w:pStyle w:val="Table"/>
              <w:rPr>
                <w:noProof/>
                <w:sz w:val="20"/>
                <w:szCs w:val="20"/>
              </w:rPr>
            </w:pPr>
            <w:r w:rsidRPr="00C47F2F">
              <w:rPr>
                <w:noProof/>
                <w:sz w:val="20"/>
                <w:szCs w:val="20"/>
              </w:rPr>
              <w:t>1.60E-03</w:t>
            </w:r>
          </w:p>
        </w:tc>
        <w:tc>
          <w:tcPr>
            <w:tcW w:w="986" w:type="dxa"/>
            <w:shd w:val="clear" w:color="auto" w:fill="auto"/>
            <w:noWrap/>
            <w:vAlign w:val="center"/>
            <w:hideMark/>
          </w:tcPr>
          <w:p w14:paraId="33F11E2B" w14:textId="77777777" w:rsidR="00A3213E" w:rsidRPr="00C47F2F" w:rsidRDefault="00A3213E" w:rsidP="000F593F">
            <w:pPr>
              <w:pStyle w:val="Table"/>
              <w:rPr>
                <w:noProof/>
                <w:sz w:val="20"/>
                <w:szCs w:val="20"/>
              </w:rPr>
            </w:pPr>
            <w:r w:rsidRPr="00C47F2F">
              <w:rPr>
                <w:noProof/>
                <w:sz w:val="20"/>
                <w:szCs w:val="20"/>
              </w:rPr>
              <w:t>2.80E-03</w:t>
            </w:r>
          </w:p>
        </w:tc>
        <w:tc>
          <w:tcPr>
            <w:tcW w:w="986" w:type="dxa"/>
            <w:shd w:val="clear" w:color="auto" w:fill="auto"/>
            <w:noWrap/>
            <w:vAlign w:val="center"/>
            <w:hideMark/>
          </w:tcPr>
          <w:p w14:paraId="441F246C" w14:textId="77777777" w:rsidR="00A3213E" w:rsidRPr="00C47F2F" w:rsidRDefault="00A3213E" w:rsidP="000F593F">
            <w:pPr>
              <w:pStyle w:val="Table"/>
              <w:rPr>
                <w:noProof/>
                <w:sz w:val="20"/>
                <w:szCs w:val="20"/>
              </w:rPr>
            </w:pPr>
            <w:r w:rsidRPr="00C47F2F">
              <w:rPr>
                <w:noProof/>
                <w:sz w:val="20"/>
                <w:szCs w:val="20"/>
              </w:rPr>
              <w:t>2.60E-03</w:t>
            </w:r>
          </w:p>
        </w:tc>
      </w:tr>
      <w:tr w:rsidR="00A3213E" w:rsidRPr="00972C81" w14:paraId="10F950BB" w14:textId="77777777" w:rsidTr="000F593F">
        <w:trPr>
          <w:trHeight w:val="340"/>
        </w:trPr>
        <w:tc>
          <w:tcPr>
            <w:tcW w:w="3111" w:type="dxa"/>
            <w:shd w:val="clear" w:color="auto" w:fill="auto"/>
            <w:noWrap/>
            <w:vAlign w:val="center"/>
            <w:hideMark/>
          </w:tcPr>
          <w:p w14:paraId="1B04878D" w14:textId="497E19EB" w:rsidR="00A3213E" w:rsidRPr="00A3213E" w:rsidRDefault="00A3213E" w:rsidP="000F593F">
            <w:pPr>
              <w:pStyle w:val="Table"/>
              <w:rPr>
                <w:noProof/>
                <w:sz w:val="20"/>
                <w:szCs w:val="22"/>
              </w:rPr>
            </w:pPr>
            <w:r w:rsidRPr="00A3213E">
              <w:rPr>
                <w:noProof/>
                <w:sz w:val="20"/>
                <w:szCs w:val="22"/>
              </w:rPr>
              <w:t>Blood to Urinary bladder cont</w:t>
            </w:r>
          </w:p>
        </w:tc>
        <w:tc>
          <w:tcPr>
            <w:tcW w:w="986" w:type="dxa"/>
            <w:shd w:val="clear" w:color="auto" w:fill="auto"/>
            <w:noWrap/>
            <w:vAlign w:val="center"/>
            <w:hideMark/>
          </w:tcPr>
          <w:p w14:paraId="17D0DFB4" w14:textId="77777777" w:rsidR="00A3213E" w:rsidRPr="00C47F2F" w:rsidRDefault="00A3213E" w:rsidP="000F593F">
            <w:pPr>
              <w:pStyle w:val="Table"/>
              <w:rPr>
                <w:noProof/>
                <w:sz w:val="20"/>
                <w:szCs w:val="20"/>
              </w:rPr>
            </w:pPr>
            <w:r w:rsidRPr="00C47F2F">
              <w:rPr>
                <w:noProof/>
                <w:sz w:val="20"/>
                <w:szCs w:val="20"/>
              </w:rPr>
              <w:t>1.63E+00</w:t>
            </w:r>
          </w:p>
        </w:tc>
        <w:tc>
          <w:tcPr>
            <w:tcW w:w="986" w:type="dxa"/>
            <w:shd w:val="clear" w:color="auto" w:fill="auto"/>
            <w:noWrap/>
            <w:vAlign w:val="center"/>
            <w:hideMark/>
          </w:tcPr>
          <w:p w14:paraId="4322A7B3" w14:textId="77777777" w:rsidR="00A3213E" w:rsidRPr="00C47F2F" w:rsidRDefault="00A3213E" w:rsidP="000F593F">
            <w:pPr>
              <w:pStyle w:val="Table"/>
              <w:rPr>
                <w:noProof/>
                <w:sz w:val="20"/>
                <w:szCs w:val="20"/>
              </w:rPr>
            </w:pPr>
            <w:r w:rsidRPr="00C47F2F">
              <w:rPr>
                <w:noProof/>
                <w:sz w:val="20"/>
                <w:szCs w:val="20"/>
              </w:rPr>
              <w:t>1.63E+00</w:t>
            </w:r>
          </w:p>
        </w:tc>
        <w:tc>
          <w:tcPr>
            <w:tcW w:w="986" w:type="dxa"/>
            <w:shd w:val="clear" w:color="auto" w:fill="auto"/>
            <w:noWrap/>
            <w:vAlign w:val="center"/>
            <w:hideMark/>
          </w:tcPr>
          <w:p w14:paraId="2388576B" w14:textId="77777777" w:rsidR="00A3213E" w:rsidRPr="00C47F2F" w:rsidRDefault="00A3213E" w:rsidP="000F593F">
            <w:pPr>
              <w:pStyle w:val="Table"/>
              <w:rPr>
                <w:noProof/>
                <w:sz w:val="20"/>
                <w:szCs w:val="20"/>
              </w:rPr>
            </w:pPr>
            <w:r w:rsidRPr="00C47F2F">
              <w:rPr>
                <w:noProof/>
                <w:sz w:val="20"/>
                <w:szCs w:val="20"/>
              </w:rPr>
              <w:t>1.63E+00</w:t>
            </w:r>
          </w:p>
        </w:tc>
        <w:tc>
          <w:tcPr>
            <w:tcW w:w="986" w:type="dxa"/>
            <w:shd w:val="clear" w:color="auto" w:fill="auto"/>
            <w:noWrap/>
            <w:vAlign w:val="center"/>
            <w:hideMark/>
          </w:tcPr>
          <w:p w14:paraId="408E7219" w14:textId="77777777" w:rsidR="00A3213E" w:rsidRPr="00C47F2F" w:rsidRDefault="00A3213E" w:rsidP="000F593F">
            <w:pPr>
              <w:pStyle w:val="Table"/>
              <w:rPr>
                <w:noProof/>
                <w:sz w:val="20"/>
                <w:szCs w:val="20"/>
              </w:rPr>
            </w:pPr>
            <w:r w:rsidRPr="00C47F2F">
              <w:rPr>
                <w:noProof/>
                <w:sz w:val="20"/>
                <w:szCs w:val="20"/>
              </w:rPr>
              <w:t>1.63E+00</w:t>
            </w:r>
          </w:p>
        </w:tc>
        <w:tc>
          <w:tcPr>
            <w:tcW w:w="986" w:type="dxa"/>
            <w:shd w:val="clear" w:color="auto" w:fill="auto"/>
            <w:noWrap/>
            <w:vAlign w:val="center"/>
            <w:hideMark/>
          </w:tcPr>
          <w:p w14:paraId="33BBF4D6" w14:textId="77777777" w:rsidR="00A3213E" w:rsidRPr="00C47F2F" w:rsidRDefault="00A3213E" w:rsidP="000F593F">
            <w:pPr>
              <w:pStyle w:val="Table"/>
              <w:rPr>
                <w:noProof/>
                <w:sz w:val="20"/>
                <w:szCs w:val="20"/>
              </w:rPr>
            </w:pPr>
            <w:r w:rsidRPr="00C47F2F">
              <w:rPr>
                <w:noProof/>
                <w:sz w:val="20"/>
                <w:szCs w:val="20"/>
              </w:rPr>
              <w:t>1.63E+00</w:t>
            </w:r>
          </w:p>
        </w:tc>
        <w:tc>
          <w:tcPr>
            <w:tcW w:w="986" w:type="dxa"/>
            <w:shd w:val="clear" w:color="auto" w:fill="auto"/>
            <w:noWrap/>
            <w:vAlign w:val="center"/>
            <w:hideMark/>
          </w:tcPr>
          <w:p w14:paraId="4CAC81B8" w14:textId="77777777" w:rsidR="00A3213E" w:rsidRPr="00C47F2F" w:rsidRDefault="00A3213E" w:rsidP="000F593F">
            <w:pPr>
              <w:pStyle w:val="Table"/>
              <w:rPr>
                <w:noProof/>
                <w:sz w:val="20"/>
                <w:szCs w:val="20"/>
              </w:rPr>
            </w:pPr>
            <w:r w:rsidRPr="00C47F2F">
              <w:rPr>
                <w:noProof/>
                <w:sz w:val="20"/>
                <w:szCs w:val="20"/>
              </w:rPr>
              <w:t>1.63E+00</w:t>
            </w:r>
          </w:p>
        </w:tc>
      </w:tr>
      <w:tr w:rsidR="00A3213E" w:rsidRPr="00972C81" w14:paraId="31F1247B" w14:textId="77777777" w:rsidTr="000F593F">
        <w:trPr>
          <w:trHeight w:val="340"/>
        </w:trPr>
        <w:tc>
          <w:tcPr>
            <w:tcW w:w="3111" w:type="dxa"/>
            <w:shd w:val="clear" w:color="auto" w:fill="auto"/>
            <w:noWrap/>
            <w:vAlign w:val="center"/>
            <w:hideMark/>
          </w:tcPr>
          <w:p w14:paraId="479AC417" w14:textId="0F686FBC" w:rsidR="00A3213E" w:rsidRPr="00A3213E" w:rsidRDefault="00A3213E" w:rsidP="000F593F">
            <w:pPr>
              <w:pStyle w:val="Table"/>
              <w:rPr>
                <w:noProof/>
                <w:sz w:val="20"/>
                <w:szCs w:val="22"/>
              </w:rPr>
            </w:pPr>
            <w:r w:rsidRPr="00A3213E">
              <w:rPr>
                <w:noProof/>
                <w:sz w:val="20"/>
                <w:szCs w:val="22"/>
              </w:rPr>
              <w:t>Liver 1 to SI  cont</w:t>
            </w:r>
          </w:p>
        </w:tc>
        <w:tc>
          <w:tcPr>
            <w:tcW w:w="986" w:type="dxa"/>
            <w:shd w:val="clear" w:color="auto" w:fill="auto"/>
            <w:noWrap/>
            <w:vAlign w:val="center"/>
            <w:hideMark/>
          </w:tcPr>
          <w:p w14:paraId="17617C00" w14:textId="77777777" w:rsidR="00A3213E" w:rsidRPr="00C47F2F" w:rsidRDefault="00A3213E" w:rsidP="000F593F">
            <w:pPr>
              <w:pStyle w:val="Table"/>
              <w:rPr>
                <w:noProof/>
                <w:sz w:val="20"/>
                <w:szCs w:val="20"/>
              </w:rPr>
            </w:pPr>
            <w:r w:rsidRPr="00C47F2F">
              <w:rPr>
                <w:noProof/>
                <w:sz w:val="20"/>
                <w:szCs w:val="20"/>
              </w:rPr>
              <w:t>6.00E-04</w:t>
            </w:r>
          </w:p>
        </w:tc>
        <w:tc>
          <w:tcPr>
            <w:tcW w:w="986" w:type="dxa"/>
            <w:shd w:val="clear" w:color="auto" w:fill="auto"/>
            <w:noWrap/>
            <w:vAlign w:val="center"/>
            <w:hideMark/>
          </w:tcPr>
          <w:p w14:paraId="11DED715" w14:textId="77777777" w:rsidR="00A3213E" w:rsidRPr="00C47F2F" w:rsidRDefault="00A3213E" w:rsidP="000F593F">
            <w:pPr>
              <w:pStyle w:val="Table"/>
              <w:rPr>
                <w:noProof/>
                <w:sz w:val="20"/>
                <w:szCs w:val="20"/>
              </w:rPr>
            </w:pPr>
            <w:r w:rsidRPr="00C47F2F">
              <w:rPr>
                <w:noProof/>
                <w:sz w:val="20"/>
                <w:szCs w:val="20"/>
              </w:rPr>
              <w:t>6.00E-04</w:t>
            </w:r>
          </w:p>
        </w:tc>
        <w:tc>
          <w:tcPr>
            <w:tcW w:w="986" w:type="dxa"/>
            <w:shd w:val="clear" w:color="auto" w:fill="auto"/>
            <w:noWrap/>
            <w:vAlign w:val="center"/>
            <w:hideMark/>
          </w:tcPr>
          <w:p w14:paraId="2CEDF442" w14:textId="77777777" w:rsidR="00A3213E" w:rsidRPr="00C47F2F" w:rsidRDefault="00A3213E" w:rsidP="000F593F">
            <w:pPr>
              <w:pStyle w:val="Table"/>
              <w:rPr>
                <w:noProof/>
                <w:sz w:val="20"/>
                <w:szCs w:val="20"/>
              </w:rPr>
            </w:pPr>
            <w:r w:rsidRPr="00C47F2F">
              <w:rPr>
                <w:noProof/>
                <w:sz w:val="20"/>
                <w:szCs w:val="20"/>
              </w:rPr>
              <w:t>6.00E-04</w:t>
            </w:r>
          </w:p>
        </w:tc>
        <w:tc>
          <w:tcPr>
            <w:tcW w:w="986" w:type="dxa"/>
            <w:shd w:val="clear" w:color="auto" w:fill="auto"/>
            <w:noWrap/>
            <w:vAlign w:val="center"/>
            <w:hideMark/>
          </w:tcPr>
          <w:p w14:paraId="3FC04139" w14:textId="77777777" w:rsidR="00A3213E" w:rsidRPr="00C47F2F" w:rsidRDefault="00A3213E" w:rsidP="000F593F">
            <w:pPr>
              <w:pStyle w:val="Table"/>
              <w:rPr>
                <w:noProof/>
                <w:sz w:val="20"/>
                <w:szCs w:val="20"/>
              </w:rPr>
            </w:pPr>
            <w:r w:rsidRPr="00C47F2F">
              <w:rPr>
                <w:noProof/>
                <w:sz w:val="20"/>
                <w:szCs w:val="20"/>
              </w:rPr>
              <w:t>6.00E-04</w:t>
            </w:r>
          </w:p>
        </w:tc>
        <w:tc>
          <w:tcPr>
            <w:tcW w:w="986" w:type="dxa"/>
            <w:shd w:val="clear" w:color="auto" w:fill="auto"/>
            <w:noWrap/>
            <w:vAlign w:val="center"/>
            <w:hideMark/>
          </w:tcPr>
          <w:p w14:paraId="4D92F8DB" w14:textId="77777777" w:rsidR="00A3213E" w:rsidRPr="00C47F2F" w:rsidRDefault="00A3213E" w:rsidP="000F593F">
            <w:pPr>
              <w:pStyle w:val="Table"/>
              <w:rPr>
                <w:noProof/>
                <w:sz w:val="20"/>
                <w:szCs w:val="20"/>
              </w:rPr>
            </w:pPr>
            <w:r w:rsidRPr="00C47F2F">
              <w:rPr>
                <w:noProof/>
                <w:sz w:val="20"/>
                <w:szCs w:val="20"/>
              </w:rPr>
              <w:t>6.00E-04</w:t>
            </w:r>
          </w:p>
        </w:tc>
        <w:tc>
          <w:tcPr>
            <w:tcW w:w="986" w:type="dxa"/>
            <w:shd w:val="clear" w:color="auto" w:fill="auto"/>
            <w:noWrap/>
            <w:vAlign w:val="center"/>
            <w:hideMark/>
          </w:tcPr>
          <w:p w14:paraId="1A61B889" w14:textId="77777777" w:rsidR="00A3213E" w:rsidRPr="00C47F2F" w:rsidRDefault="00A3213E" w:rsidP="000F593F">
            <w:pPr>
              <w:pStyle w:val="Table"/>
              <w:rPr>
                <w:noProof/>
                <w:sz w:val="20"/>
                <w:szCs w:val="20"/>
              </w:rPr>
            </w:pPr>
            <w:r w:rsidRPr="00C47F2F">
              <w:rPr>
                <w:noProof/>
                <w:sz w:val="20"/>
                <w:szCs w:val="20"/>
              </w:rPr>
              <w:t>6.00E-04</w:t>
            </w:r>
          </w:p>
        </w:tc>
      </w:tr>
      <w:tr w:rsidR="00A3213E" w:rsidRPr="00972C81" w14:paraId="778ECCBF" w14:textId="77777777" w:rsidTr="000F593F">
        <w:trPr>
          <w:trHeight w:val="340"/>
        </w:trPr>
        <w:tc>
          <w:tcPr>
            <w:tcW w:w="3111" w:type="dxa"/>
            <w:shd w:val="clear" w:color="auto" w:fill="auto"/>
            <w:noWrap/>
            <w:vAlign w:val="center"/>
            <w:hideMark/>
          </w:tcPr>
          <w:p w14:paraId="0B114BD1" w14:textId="0FBBF456" w:rsidR="00A3213E" w:rsidRPr="00A3213E" w:rsidRDefault="00A3213E" w:rsidP="000F593F">
            <w:pPr>
              <w:pStyle w:val="Table"/>
              <w:rPr>
                <w:noProof/>
                <w:sz w:val="20"/>
                <w:szCs w:val="22"/>
              </w:rPr>
            </w:pPr>
            <w:r w:rsidRPr="00A3213E">
              <w:rPr>
                <w:noProof/>
                <w:sz w:val="20"/>
                <w:szCs w:val="22"/>
              </w:rPr>
              <w:t>Liver 1 to Liver 2</w:t>
            </w:r>
          </w:p>
        </w:tc>
        <w:tc>
          <w:tcPr>
            <w:tcW w:w="986" w:type="dxa"/>
            <w:shd w:val="clear" w:color="auto" w:fill="auto"/>
            <w:noWrap/>
            <w:vAlign w:val="center"/>
            <w:hideMark/>
          </w:tcPr>
          <w:p w14:paraId="31964F31" w14:textId="77777777" w:rsidR="00A3213E" w:rsidRPr="00C47F2F" w:rsidRDefault="00A3213E" w:rsidP="000F593F">
            <w:pPr>
              <w:pStyle w:val="Table"/>
              <w:rPr>
                <w:noProof/>
                <w:sz w:val="20"/>
                <w:szCs w:val="20"/>
              </w:rPr>
            </w:pPr>
            <w:r w:rsidRPr="00C47F2F">
              <w:rPr>
                <w:noProof/>
                <w:sz w:val="20"/>
                <w:szCs w:val="20"/>
              </w:rPr>
              <w:t>2.25E-02</w:t>
            </w:r>
          </w:p>
        </w:tc>
        <w:tc>
          <w:tcPr>
            <w:tcW w:w="986" w:type="dxa"/>
            <w:shd w:val="clear" w:color="auto" w:fill="auto"/>
            <w:noWrap/>
            <w:vAlign w:val="center"/>
            <w:hideMark/>
          </w:tcPr>
          <w:p w14:paraId="6E68E277" w14:textId="77777777" w:rsidR="00A3213E" w:rsidRPr="00C47F2F" w:rsidRDefault="00A3213E" w:rsidP="000F593F">
            <w:pPr>
              <w:pStyle w:val="Table"/>
              <w:rPr>
                <w:noProof/>
                <w:sz w:val="20"/>
                <w:szCs w:val="20"/>
              </w:rPr>
            </w:pPr>
            <w:r w:rsidRPr="00C47F2F">
              <w:rPr>
                <w:noProof/>
                <w:sz w:val="20"/>
                <w:szCs w:val="20"/>
              </w:rPr>
              <w:t>2.25E-02</w:t>
            </w:r>
          </w:p>
        </w:tc>
        <w:tc>
          <w:tcPr>
            <w:tcW w:w="986" w:type="dxa"/>
            <w:shd w:val="clear" w:color="auto" w:fill="auto"/>
            <w:noWrap/>
            <w:vAlign w:val="center"/>
            <w:hideMark/>
          </w:tcPr>
          <w:p w14:paraId="48C4DD00" w14:textId="77777777" w:rsidR="00A3213E" w:rsidRPr="00C47F2F" w:rsidRDefault="00A3213E" w:rsidP="000F593F">
            <w:pPr>
              <w:pStyle w:val="Table"/>
              <w:rPr>
                <w:noProof/>
                <w:sz w:val="20"/>
                <w:szCs w:val="20"/>
              </w:rPr>
            </w:pPr>
            <w:r w:rsidRPr="00C47F2F">
              <w:rPr>
                <w:noProof/>
                <w:sz w:val="20"/>
                <w:szCs w:val="20"/>
              </w:rPr>
              <w:t>2.25E-02</w:t>
            </w:r>
          </w:p>
        </w:tc>
        <w:tc>
          <w:tcPr>
            <w:tcW w:w="986" w:type="dxa"/>
            <w:shd w:val="clear" w:color="auto" w:fill="auto"/>
            <w:noWrap/>
            <w:vAlign w:val="center"/>
            <w:hideMark/>
          </w:tcPr>
          <w:p w14:paraId="435F26E3" w14:textId="77777777" w:rsidR="00A3213E" w:rsidRPr="00C47F2F" w:rsidRDefault="00A3213E" w:rsidP="000F593F">
            <w:pPr>
              <w:pStyle w:val="Table"/>
              <w:rPr>
                <w:noProof/>
                <w:sz w:val="20"/>
                <w:szCs w:val="20"/>
              </w:rPr>
            </w:pPr>
            <w:r w:rsidRPr="00C47F2F">
              <w:rPr>
                <w:noProof/>
                <w:sz w:val="20"/>
                <w:szCs w:val="20"/>
              </w:rPr>
              <w:t>2.25E-02</w:t>
            </w:r>
          </w:p>
        </w:tc>
        <w:tc>
          <w:tcPr>
            <w:tcW w:w="986" w:type="dxa"/>
            <w:shd w:val="clear" w:color="auto" w:fill="auto"/>
            <w:noWrap/>
            <w:vAlign w:val="center"/>
            <w:hideMark/>
          </w:tcPr>
          <w:p w14:paraId="34639CCB" w14:textId="77777777" w:rsidR="00A3213E" w:rsidRPr="00C47F2F" w:rsidRDefault="00A3213E" w:rsidP="000F593F">
            <w:pPr>
              <w:pStyle w:val="Table"/>
              <w:rPr>
                <w:noProof/>
                <w:sz w:val="20"/>
                <w:szCs w:val="20"/>
              </w:rPr>
            </w:pPr>
            <w:r w:rsidRPr="00C47F2F">
              <w:rPr>
                <w:noProof/>
                <w:sz w:val="20"/>
                <w:szCs w:val="20"/>
              </w:rPr>
              <w:t>2.25E-02</w:t>
            </w:r>
          </w:p>
        </w:tc>
        <w:tc>
          <w:tcPr>
            <w:tcW w:w="986" w:type="dxa"/>
            <w:shd w:val="clear" w:color="auto" w:fill="auto"/>
            <w:noWrap/>
            <w:vAlign w:val="center"/>
            <w:hideMark/>
          </w:tcPr>
          <w:p w14:paraId="6C82F8C7" w14:textId="77777777" w:rsidR="00A3213E" w:rsidRPr="00C47F2F" w:rsidRDefault="00A3213E" w:rsidP="000F593F">
            <w:pPr>
              <w:pStyle w:val="Table"/>
              <w:rPr>
                <w:noProof/>
                <w:sz w:val="20"/>
                <w:szCs w:val="20"/>
              </w:rPr>
            </w:pPr>
            <w:r w:rsidRPr="00C47F2F">
              <w:rPr>
                <w:noProof/>
                <w:sz w:val="20"/>
                <w:szCs w:val="20"/>
              </w:rPr>
              <w:t>2.25E-02</w:t>
            </w:r>
          </w:p>
        </w:tc>
      </w:tr>
      <w:tr w:rsidR="00A3213E" w:rsidRPr="00972C81" w14:paraId="6515026D" w14:textId="77777777" w:rsidTr="000F593F">
        <w:trPr>
          <w:trHeight w:val="340"/>
        </w:trPr>
        <w:tc>
          <w:tcPr>
            <w:tcW w:w="3111" w:type="dxa"/>
            <w:shd w:val="clear" w:color="auto" w:fill="auto"/>
            <w:noWrap/>
            <w:vAlign w:val="center"/>
            <w:hideMark/>
          </w:tcPr>
          <w:p w14:paraId="3C51AF4D" w14:textId="695497AD" w:rsidR="00A3213E" w:rsidRPr="00A3213E" w:rsidRDefault="00A3213E" w:rsidP="000F593F">
            <w:pPr>
              <w:pStyle w:val="Table"/>
              <w:rPr>
                <w:noProof/>
                <w:sz w:val="20"/>
                <w:szCs w:val="22"/>
              </w:rPr>
            </w:pPr>
            <w:r w:rsidRPr="00A3213E">
              <w:rPr>
                <w:noProof/>
                <w:sz w:val="20"/>
                <w:szCs w:val="22"/>
              </w:rPr>
              <w:t>Liver 2 to Blood</w:t>
            </w:r>
          </w:p>
        </w:tc>
        <w:tc>
          <w:tcPr>
            <w:tcW w:w="986" w:type="dxa"/>
            <w:shd w:val="clear" w:color="auto" w:fill="auto"/>
            <w:noWrap/>
            <w:vAlign w:val="center"/>
            <w:hideMark/>
          </w:tcPr>
          <w:p w14:paraId="24BEF6D0" w14:textId="77777777" w:rsidR="00A3213E" w:rsidRPr="00C47F2F" w:rsidRDefault="00A3213E" w:rsidP="000F593F">
            <w:pPr>
              <w:pStyle w:val="Table"/>
              <w:rPr>
                <w:noProof/>
                <w:sz w:val="20"/>
                <w:szCs w:val="20"/>
              </w:rPr>
            </w:pPr>
            <w:r w:rsidRPr="00C47F2F">
              <w:rPr>
                <w:noProof/>
                <w:sz w:val="20"/>
                <w:szCs w:val="20"/>
              </w:rPr>
              <w:t>1.90E-03</w:t>
            </w:r>
          </w:p>
        </w:tc>
        <w:tc>
          <w:tcPr>
            <w:tcW w:w="986" w:type="dxa"/>
            <w:shd w:val="clear" w:color="auto" w:fill="auto"/>
            <w:noWrap/>
            <w:vAlign w:val="center"/>
            <w:hideMark/>
          </w:tcPr>
          <w:p w14:paraId="4D0F5B3C" w14:textId="77777777" w:rsidR="00A3213E" w:rsidRPr="00C47F2F" w:rsidRDefault="00A3213E" w:rsidP="000F593F">
            <w:pPr>
              <w:pStyle w:val="Table"/>
              <w:rPr>
                <w:noProof/>
                <w:sz w:val="20"/>
                <w:szCs w:val="20"/>
              </w:rPr>
            </w:pPr>
            <w:r w:rsidRPr="00C47F2F">
              <w:rPr>
                <w:noProof/>
                <w:sz w:val="20"/>
                <w:szCs w:val="20"/>
              </w:rPr>
              <w:t>1.90E-03</w:t>
            </w:r>
          </w:p>
        </w:tc>
        <w:tc>
          <w:tcPr>
            <w:tcW w:w="986" w:type="dxa"/>
            <w:shd w:val="clear" w:color="auto" w:fill="auto"/>
            <w:noWrap/>
            <w:vAlign w:val="center"/>
            <w:hideMark/>
          </w:tcPr>
          <w:p w14:paraId="612BE62F" w14:textId="77777777" w:rsidR="00A3213E" w:rsidRPr="00C47F2F" w:rsidRDefault="00A3213E" w:rsidP="000F593F">
            <w:pPr>
              <w:pStyle w:val="Table"/>
              <w:rPr>
                <w:noProof/>
                <w:sz w:val="20"/>
                <w:szCs w:val="20"/>
              </w:rPr>
            </w:pPr>
            <w:r w:rsidRPr="00C47F2F">
              <w:rPr>
                <w:noProof/>
                <w:sz w:val="20"/>
                <w:szCs w:val="20"/>
              </w:rPr>
              <w:t>1.90E-03</w:t>
            </w:r>
          </w:p>
        </w:tc>
        <w:tc>
          <w:tcPr>
            <w:tcW w:w="986" w:type="dxa"/>
            <w:shd w:val="clear" w:color="auto" w:fill="auto"/>
            <w:noWrap/>
            <w:vAlign w:val="center"/>
            <w:hideMark/>
          </w:tcPr>
          <w:p w14:paraId="6C2A8DA9" w14:textId="77777777" w:rsidR="00A3213E" w:rsidRPr="00C47F2F" w:rsidRDefault="00A3213E" w:rsidP="000F593F">
            <w:pPr>
              <w:pStyle w:val="Table"/>
              <w:rPr>
                <w:noProof/>
                <w:sz w:val="20"/>
                <w:szCs w:val="20"/>
              </w:rPr>
            </w:pPr>
            <w:r w:rsidRPr="00C47F2F">
              <w:rPr>
                <w:noProof/>
                <w:sz w:val="20"/>
                <w:szCs w:val="20"/>
              </w:rPr>
              <w:t>1.90E-03</w:t>
            </w:r>
          </w:p>
        </w:tc>
        <w:tc>
          <w:tcPr>
            <w:tcW w:w="986" w:type="dxa"/>
            <w:shd w:val="clear" w:color="auto" w:fill="auto"/>
            <w:noWrap/>
            <w:vAlign w:val="center"/>
            <w:hideMark/>
          </w:tcPr>
          <w:p w14:paraId="37897E83" w14:textId="77777777" w:rsidR="00A3213E" w:rsidRPr="00C47F2F" w:rsidRDefault="00A3213E" w:rsidP="000F593F">
            <w:pPr>
              <w:pStyle w:val="Table"/>
              <w:rPr>
                <w:noProof/>
                <w:sz w:val="20"/>
                <w:szCs w:val="20"/>
              </w:rPr>
            </w:pPr>
            <w:r w:rsidRPr="00C47F2F">
              <w:rPr>
                <w:noProof/>
                <w:sz w:val="20"/>
                <w:szCs w:val="20"/>
              </w:rPr>
              <w:t>1.90E-03</w:t>
            </w:r>
          </w:p>
        </w:tc>
        <w:tc>
          <w:tcPr>
            <w:tcW w:w="986" w:type="dxa"/>
            <w:shd w:val="clear" w:color="auto" w:fill="auto"/>
            <w:noWrap/>
            <w:vAlign w:val="center"/>
            <w:hideMark/>
          </w:tcPr>
          <w:p w14:paraId="30C733A5" w14:textId="77777777" w:rsidR="00A3213E" w:rsidRPr="00C47F2F" w:rsidRDefault="00A3213E" w:rsidP="000F593F">
            <w:pPr>
              <w:pStyle w:val="Table"/>
              <w:rPr>
                <w:noProof/>
                <w:sz w:val="20"/>
                <w:szCs w:val="20"/>
              </w:rPr>
            </w:pPr>
            <w:r w:rsidRPr="00C47F2F">
              <w:rPr>
                <w:noProof/>
                <w:sz w:val="20"/>
                <w:szCs w:val="20"/>
              </w:rPr>
              <w:t>1.90E-03</w:t>
            </w:r>
          </w:p>
        </w:tc>
      </w:tr>
      <w:tr w:rsidR="00A3213E" w:rsidRPr="00972C81" w14:paraId="68819FE9" w14:textId="77777777" w:rsidTr="000F593F">
        <w:trPr>
          <w:trHeight w:val="340"/>
        </w:trPr>
        <w:tc>
          <w:tcPr>
            <w:tcW w:w="3111" w:type="dxa"/>
            <w:shd w:val="clear" w:color="auto" w:fill="auto"/>
            <w:noWrap/>
            <w:vAlign w:val="center"/>
            <w:hideMark/>
          </w:tcPr>
          <w:p w14:paraId="720B065B" w14:textId="0F044F5F" w:rsidR="00A3213E" w:rsidRPr="00A3213E" w:rsidRDefault="00A3213E" w:rsidP="000F593F">
            <w:pPr>
              <w:pStyle w:val="Table"/>
              <w:rPr>
                <w:noProof/>
                <w:sz w:val="20"/>
                <w:szCs w:val="22"/>
              </w:rPr>
            </w:pPr>
            <w:r w:rsidRPr="00A3213E">
              <w:rPr>
                <w:noProof/>
                <w:sz w:val="20"/>
                <w:szCs w:val="22"/>
              </w:rPr>
              <w:t xml:space="preserve"> ST0 to Blood</w:t>
            </w:r>
          </w:p>
        </w:tc>
        <w:tc>
          <w:tcPr>
            <w:tcW w:w="986" w:type="dxa"/>
            <w:shd w:val="clear" w:color="auto" w:fill="auto"/>
            <w:noWrap/>
            <w:vAlign w:val="center"/>
            <w:hideMark/>
          </w:tcPr>
          <w:p w14:paraId="2BFFCD71" w14:textId="77777777" w:rsidR="00A3213E" w:rsidRPr="00C47F2F" w:rsidRDefault="00A3213E" w:rsidP="000F593F">
            <w:pPr>
              <w:pStyle w:val="Table"/>
              <w:rPr>
                <w:noProof/>
                <w:sz w:val="20"/>
                <w:szCs w:val="20"/>
              </w:rPr>
            </w:pPr>
            <w:r w:rsidRPr="00C47F2F">
              <w:rPr>
                <w:noProof/>
                <w:sz w:val="20"/>
                <w:szCs w:val="20"/>
              </w:rPr>
              <w:t>1.39E+00</w:t>
            </w:r>
          </w:p>
        </w:tc>
        <w:tc>
          <w:tcPr>
            <w:tcW w:w="986" w:type="dxa"/>
            <w:shd w:val="clear" w:color="auto" w:fill="auto"/>
            <w:noWrap/>
            <w:vAlign w:val="center"/>
            <w:hideMark/>
          </w:tcPr>
          <w:p w14:paraId="0F792F9C" w14:textId="77777777" w:rsidR="00A3213E" w:rsidRPr="00C47F2F" w:rsidRDefault="00A3213E" w:rsidP="000F593F">
            <w:pPr>
              <w:pStyle w:val="Table"/>
              <w:rPr>
                <w:noProof/>
                <w:sz w:val="20"/>
                <w:szCs w:val="20"/>
              </w:rPr>
            </w:pPr>
            <w:r w:rsidRPr="00C47F2F">
              <w:rPr>
                <w:noProof/>
                <w:sz w:val="20"/>
                <w:szCs w:val="20"/>
              </w:rPr>
              <w:t>1.39E+00</w:t>
            </w:r>
          </w:p>
        </w:tc>
        <w:tc>
          <w:tcPr>
            <w:tcW w:w="986" w:type="dxa"/>
            <w:shd w:val="clear" w:color="auto" w:fill="auto"/>
            <w:noWrap/>
            <w:vAlign w:val="center"/>
            <w:hideMark/>
          </w:tcPr>
          <w:p w14:paraId="3724390E" w14:textId="77777777" w:rsidR="00A3213E" w:rsidRPr="00C47F2F" w:rsidRDefault="00A3213E" w:rsidP="000F593F">
            <w:pPr>
              <w:pStyle w:val="Table"/>
              <w:rPr>
                <w:noProof/>
                <w:sz w:val="20"/>
                <w:szCs w:val="20"/>
              </w:rPr>
            </w:pPr>
            <w:r w:rsidRPr="00C47F2F">
              <w:rPr>
                <w:noProof/>
                <w:sz w:val="20"/>
                <w:szCs w:val="20"/>
              </w:rPr>
              <w:t>1.39E+00</w:t>
            </w:r>
          </w:p>
        </w:tc>
        <w:tc>
          <w:tcPr>
            <w:tcW w:w="986" w:type="dxa"/>
            <w:shd w:val="clear" w:color="auto" w:fill="auto"/>
            <w:noWrap/>
            <w:vAlign w:val="center"/>
            <w:hideMark/>
          </w:tcPr>
          <w:p w14:paraId="03ADAF92" w14:textId="77777777" w:rsidR="00A3213E" w:rsidRPr="00C47F2F" w:rsidRDefault="00A3213E" w:rsidP="000F593F">
            <w:pPr>
              <w:pStyle w:val="Table"/>
              <w:rPr>
                <w:noProof/>
                <w:sz w:val="20"/>
                <w:szCs w:val="20"/>
              </w:rPr>
            </w:pPr>
            <w:r w:rsidRPr="00C47F2F">
              <w:rPr>
                <w:noProof/>
                <w:sz w:val="20"/>
                <w:szCs w:val="20"/>
              </w:rPr>
              <w:t>1.39E+00</w:t>
            </w:r>
          </w:p>
        </w:tc>
        <w:tc>
          <w:tcPr>
            <w:tcW w:w="986" w:type="dxa"/>
            <w:shd w:val="clear" w:color="auto" w:fill="auto"/>
            <w:noWrap/>
            <w:vAlign w:val="center"/>
            <w:hideMark/>
          </w:tcPr>
          <w:p w14:paraId="39353394" w14:textId="77777777" w:rsidR="00A3213E" w:rsidRPr="00C47F2F" w:rsidRDefault="00A3213E" w:rsidP="000F593F">
            <w:pPr>
              <w:pStyle w:val="Table"/>
              <w:rPr>
                <w:noProof/>
                <w:sz w:val="20"/>
                <w:szCs w:val="20"/>
              </w:rPr>
            </w:pPr>
            <w:r w:rsidRPr="00C47F2F">
              <w:rPr>
                <w:noProof/>
                <w:sz w:val="20"/>
                <w:szCs w:val="20"/>
              </w:rPr>
              <w:t>1.39E+00</w:t>
            </w:r>
          </w:p>
        </w:tc>
        <w:tc>
          <w:tcPr>
            <w:tcW w:w="986" w:type="dxa"/>
            <w:shd w:val="clear" w:color="auto" w:fill="auto"/>
            <w:noWrap/>
            <w:vAlign w:val="center"/>
            <w:hideMark/>
          </w:tcPr>
          <w:p w14:paraId="49088FCE" w14:textId="77777777" w:rsidR="00A3213E" w:rsidRPr="00C47F2F" w:rsidRDefault="00A3213E" w:rsidP="000F593F">
            <w:pPr>
              <w:pStyle w:val="Table"/>
              <w:rPr>
                <w:noProof/>
                <w:sz w:val="20"/>
                <w:szCs w:val="20"/>
              </w:rPr>
            </w:pPr>
            <w:r w:rsidRPr="00C47F2F">
              <w:rPr>
                <w:noProof/>
                <w:sz w:val="20"/>
                <w:szCs w:val="20"/>
              </w:rPr>
              <w:t>1.39E+00</w:t>
            </w:r>
          </w:p>
        </w:tc>
      </w:tr>
      <w:tr w:rsidR="00A3213E" w:rsidRPr="00972C81" w14:paraId="483E9D56" w14:textId="77777777" w:rsidTr="000F593F">
        <w:trPr>
          <w:trHeight w:val="340"/>
        </w:trPr>
        <w:tc>
          <w:tcPr>
            <w:tcW w:w="3111" w:type="dxa"/>
            <w:shd w:val="clear" w:color="auto" w:fill="auto"/>
            <w:noWrap/>
            <w:vAlign w:val="center"/>
            <w:hideMark/>
          </w:tcPr>
          <w:p w14:paraId="4FE091D3" w14:textId="5FD0F70F" w:rsidR="00A3213E" w:rsidRPr="00A3213E" w:rsidRDefault="00A3213E" w:rsidP="000F593F">
            <w:pPr>
              <w:pStyle w:val="Table"/>
              <w:rPr>
                <w:noProof/>
                <w:sz w:val="20"/>
                <w:szCs w:val="22"/>
              </w:rPr>
            </w:pPr>
            <w:r w:rsidRPr="00A3213E">
              <w:rPr>
                <w:noProof/>
                <w:sz w:val="20"/>
                <w:szCs w:val="22"/>
              </w:rPr>
              <w:t xml:space="preserve"> ST1 to Blood</w:t>
            </w:r>
          </w:p>
        </w:tc>
        <w:tc>
          <w:tcPr>
            <w:tcW w:w="986" w:type="dxa"/>
            <w:shd w:val="clear" w:color="auto" w:fill="auto"/>
            <w:noWrap/>
            <w:vAlign w:val="center"/>
            <w:hideMark/>
          </w:tcPr>
          <w:p w14:paraId="75471FDE" w14:textId="77777777" w:rsidR="00A3213E" w:rsidRPr="00C47F2F" w:rsidRDefault="00A3213E" w:rsidP="000F593F">
            <w:pPr>
              <w:pStyle w:val="Table"/>
              <w:rPr>
                <w:noProof/>
                <w:sz w:val="20"/>
                <w:szCs w:val="20"/>
              </w:rPr>
            </w:pPr>
            <w:r w:rsidRPr="00C47F2F">
              <w:rPr>
                <w:noProof/>
                <w:sz w:val="20"/>
                <w:szCs w:val="20"/>
              </w:rPr>
              <w:t>1.39E-02</w:t>
            </w:r>
          </w:p>
        </w:tc>
        <w:tc>
          <w:tcPr>
            <w:tcW w:w="986" w:type="dxa"/>
            <w:shd w:val="clear" w:color="auto" w:fill="auto"/>
            <w:noWrap/>
            <w:vAlign w:val="center"/>
            <w:hideMark/>
          </w:tcPr>
          <w:p w14:paraId="449E8E25" w14:textId="77777777" w:rsidR="00A3213E" w:rsidRPr="00C47F2F" w:rsidRDefault="00A3213E" w:rsidP="000F593F">
            <w:pPr>
              <w:pStyle w:val="Table"/>
              <w:rPr>
                <w:noProof/>
                <w:sz w:val="20"/>
                <w:szCs w:val="20"/>
              </w:rPr>
            </w:pPr>
            <w:r w:rsidRPr="00C47F2F">
              <w:rPr>
                <w:noProof/>
                <w:sz w:val="20"/>
                <w:szCs w:val="20"/>
              </w:rPr>
              <w:t>1.39E-02</w:t>
            </w:r>
          </w:p>
        </w:tc>
        <w:tc>
          <w:tcPr>
            <w:tcW w:w="986" w:type="dxa"/>
            <w:shd w:val="clear" w:color="auto" w:fill="auto"/>
            <w:noWrap/>
            <w:vAlign w:val="center"/>
            <w:hideMark/>
          </w:tcPr>
          <w:p w14:paraId="11BFFD15" w14:textId="77777777" w:rsidR="00A3213E" w:rsidRPr="00C47F2F" w:rsidRDefault="00A3213E" w:rsidP="000F593F">
            <w:pPr>
              <w:pStyle w:val="Table"/>
              <w:rPr>
                <w:noProof/>
                <w:sz w:val="20"/>
                <w:szCs w:val="20"/>
              </w:rPr>
            </w:pPr>
            <w:r w:rsidRPr="00C47F2F">
              <w:rPr>
                <w:noProof/>
                <w:sz w:val="20"/>
                <w:szCs w:val="20"/>
              </w:rPr>
              <w:t>1.39E-02</w:t>
            </w:r>
          </w:p>
        </w:tc>
        <w:tc>
          <w:tcPr>
            <w:tcW w:w="986" w:type="dxa"/>
            <w:shd w:val="clear" w:color="auto" w:fill="auto"/>
            <w:noWrap/>
            <w:vAlign w:val="center"/>
            <w:hideMark/>
          </w:tcPr>
          <w:p w14:paraId="0D5CC7BA" w14:textId="77777777" w:rsidR="00A3213E" w:rsidRPr="00C47F2F" w:rsidRDefault="00A3213E" w:rsidP="000F593F">
            <w:pPr>
              <w:pStyle w:val="Table"/>
              <w:rPr>
                <w:noProof/>
                <w:sz w:val="20"/>
                <w:szCs w:val="20"/>
              </w:rPr>
            </w:pPr>
            <w:r w:rsidRPr="00C47F2F">
              <w:rPr>
                <w:noProof/>
                <w:sz w:val="20"/>
                <w:szCs w:val="20"/>
              </w:rPr>
              <w:t>1.39E-02</w:t>
            </w:r>
          </w:p>
        </w:tc>
        <w:tc>
          <w:tcPr>
            <w:tcW w:w="986" w:type="dxa"/>
            <w:shd w:val="clear" w:color="auto" w:fill="auto"/>
            <w:noWrap/>
            <w:vAlign w:val="center"/>
            <w:hideMark/>
          </w:tcPr>
          <w:p w14:paraId="3B66EDC8" w14:textId="77777777" w:rsidR="00A3213E" w:rsidRPr="00C47F2F" w:rsidRDefault="00A3213E" w:rsidP="000F593F">
            <w:pPr>
              <w:pStyle w:val="Table"/>
              <w:rPr>
                <w:noProof/>
                <w:sz w:val="20"/>
                <w:szCs w:val="20"/>
              </w:rPr>
            </w:pPr>
            <w:r w:rsidRPr="00C47F2F">
              <w:rPr>
                <w:noProof/>
                <w:sz w:val="20"/>
                <w:szCs w:val="20"/>
              </w:rPr>
              <w:t>1.39E-02</w:t>
            </w:r>
          </w:p>
        </w:tc>
        <w:tc>
          <w:tcPr>
            <w:tcW w:w="986" w:type="dxa"/>
            <w:shd w:val="clear" w:color="auto" w:fill="auto"/>
            <w:noWrap/>
            <w:vAlign w:val="center"/>
            <w:hideMark/>
          </w:tcPr>
          <w:p w14:paraId="76BCE8DF" w14:textId="77777777" w:rsidR="00A3213E" w:rsidRPr="00C47F2F" w:rsidRDefault="00A3213E" w:rsidP="000F593F">
            <w:pPr>
              <w:pStyle w:val="Table"/>
              <w:rPr>
                <w:noProof/>
                <w:sz w:val="20"/>
                <w:szCs w:val="20"/>
              </w:rPr>
            </w:pPr>
            <w:r w:rsidRPr="00C47F2F">
              <w:rPr>
                <w:noProof/>
                <w:sz w:val="20"/>
                <w:szCs w:val="20"/>
              </w:rPr>
              <w:t>1.39E-02</w:t>
            </w:r>
          </w:p>
        </w:tc>
      </w:tr>
      <w:tr w:rsidR="00A3213E" w:rsidRPr="00972C81" w14:paraId="2B2EDC03" w14:textId="77777777" w:rsidTr="000F593F">
        <w:trPr>
          <w:trHeight w:val="340"/>
        </w:trPr>
        <w:tc>
          <w:tcPr>
            <w:tcW w:w="3111" w:type="dxa"/>
            <w:shd w:val="clear" w:color="auto" w:fill="auto"/>
            <w:noWrap/>
            <w:vAlign w:val="center"/>
            <w:hideMark/>
          </w:tcPr>
          <w:p w14:paraId="2526BC7E" w14:textId="7B600264" w:rsidR="00A3213E" w:rsidRPr="00A3213E" w:rsidRDefault="00A3213E" w:rsidP="000F593F">
            <w:pPr>
              <w:pStyle w:val="Table"/>
              <w:rPr>
                <w:noProof/>
                <w:sz w:val="20"/>
                <w:szCs w:val="22"/>
              </w:rPr>
            </w:pPr>
            <w:r w:rsidRPr="00A3213E">
              <w:rPr>
                <w:noProof/>
                <w:sz w:val="20"/>
                <w:szCs w:val="22"/>
              </w:rPr>
              <w:t xml:space="preserve"> ST2 to Blood</w:t>
            </w:r>
          </w:p>
        </w:tc>
        <w:tc>
          <w:tcPr>
            <w:tcW w:w="986" w:type="dxa"/>
            <w:shd w:val="clear" w:color="auto" w:fill="auto"/>
            <w:noWrap/>
            <w:vAlign w:val="center"/>
            <w:hideMark/>
          </w:tcPr>
          <w:p w14:paraId="5A19F5DA" w14:textId="77777777" w:rsidR="00A3213E" w:rsidRPr="00C47F2F" w:rsidRDefault="00A3213E" w:rsidP="000F593F">
            <w:pPr>
              <w:pStyle w:val="Table"/>
              <w:rPr>
                <w:noProof/>
                <w:sz w:val="20"/>
                <w:szCs w:val="20"/>
              </w:rPr>
            </w:pPr>
            <w:r w:rsidRPr="00C47F2F">
              <w:rPr>
                <w:noProof/>
                <w:sz w:val="20"/>
                <w:szCs w:val="20"/>
              </w:rPr>
              <w:t>1.90E-05</w:t>
            </w:r>
          </w:p>
        </w:tc>
        <w:tc>
          <w:tcPr>
            <w:tcW w:w="986" w:type="dxa"/>
            <w:shd w:val="clear" w:color="auto" w:fill="auto"/>
            <w:noWrap/>
            <w:vAlign w:val="center"/>
            <w:hideMark/>
          </w:tcPr>
          <w:p w14:paraId="30F9A25C" w14:textId="77777777" w:rsidR="00A3213E" w:rsidRPr="00C47F2F" w:rsidRDefault="00A3213E" w:rsidP="000F593F">
            <w:pPr>
              <w:pStyle w:val="Table"/>
              <w:rPr>
                <w:noProof/>
                <w:sz w:val="20"/>
                <w:szCs w:val="20"/>
              </w:rPr>
            </w:pPr>
            <w:r w:rsidRPr="00C47F2F">
              <w:rPr>
                <w:noProof/>
                <w:sz w:val="20"/>
                <w:szCs w:val="20"/>
              </w:rPr>
              <w:t>1.90E-05</w:t>
            </w:r>
          </w:p>
        </w:tc>
        <w:tc>
          <w:tcPr>
            <w:tcW w:w="986" w:type="dxa"/>
            <w:shd w:val="clear" w:color="auto" w:fill="auto"/>
            <w:noWrap/>
            <w:vAlign w:val="center"/>
            <w:hideMark/>
          </w:tcPr>
          <w:p w14:paraId="73D6680E" w14:textId="77777777" w:rsidR="00A3213E" w:rsidRPr="00C47F2F" w:rsidRDefault="00A3213E" w:rsidP="000F593F">
            <w:pPr>
              <w:pStyle w:val="Table"/>
              <w:rPr>
                <w:noProof/>
                <w:sz w:val="20"/>
                <w:szCs w:val="20"/>
              </w:rPr>
            </w:pPr>
            <w:r w:rsidRPr="00C47F2F">
              <w:rPr>
                <w:noProof/>
                <w:sz w:val="20"/>
                <w:szCs w:val="20"/>
              </w:rPr>
              <w:t>1.90E-05</w:t>
            </w:r>
          </w:p>
        </w:tc>
        <w:tc>
          <w:tcPr>
            <w:tcW w:w="986" w:type="dxa"/>
            <w:shd w:val="clear" w:color="auto" w:fill="auto"/>
            <w:noWrap/>
            <w:vAlign w:val="center"/>
            <w:hideMark/>
          </w:tcPr>
          <w:p w14:paraId="0362C99D" w14:textId="77777777" w:rsidR="00A3213E" w:rsidRPr="00C47F2F" w:rsidRDefault="00A3213E" w:rsidP="000F593F">
            <w:pPr>
              <w:pStyle w:val="Table"/>
              <w:rPr>
                <w:noProof/>
                <w:sz w:val="20"/>
                <w:szCs w:val="20"/>
              </w:rPr>
            </w:pPr>
            <w:r w:rsidRPr="00C47F2F">
              <w:rPr>
                <w:noProof/>
                <w:sz w:val="20"/>
                <w:szCs w:val="20"/>
              </w:rPr>
              <w:t>1.90E-05</w:t>
            </w:r>
          </w:p>
        </w:tc>
        <w:tc>
          <w:tcPr>
            <w:tcW w:w="986" w:type="dxa"/>
            <w:shd w:val="clear" w:color="auto" w:fill="auto"/>
            <w:noWrap/>
            <w:vAlign w:val="center"/>
            <w:hideMark/>
          </w:tcPr>
          <w:p w14:paraId="7FDD4E7E" w14:textId="77777777" w:rsidR="00A3213E" w:rsidRPr="00C47F2F" w:rsidRDefault="00A3213E" w:rsidP="000F593F">
            <w:pPr>
              <w:pStyle w:val="Table"/>
              <w:rPr>
                <w:noProof/>
                <w:sz w:val="20"/>
                <w:szCs w:val="20"/>
              </w:rPr>
            </w:pPr>
            <w:r w:rsidRPr="00C47F2F">
              <w:rPr>
                <w:noProof/>
                <w:sz w:val="20"/>
                <w:szCs w:val="20"/>
              </w:rPr>
              <w:t>1.90E-05</w:t>
            </w:r>
          </w:p>
        </w:tc>
        <w:tc>
          <w:tcPr>
            <w:tcW w:w="986" w:type="dxa"/>
            <w:shd w:val="clear" w:color="auto" w:fill="auto"/>
            <w:noWrap/>
            <w:vAlign w:val="center"/>
            <w:hideMark/>
          </w:tcPr>
          <w:p w14:paraId="68193C65" w14:textId="77777777" w:rsidR="00A3213E" w:rsidRPr="00C47F2F" w:rsidRDefault="00A3213E" w:rsidP="000F593F">
            <w:pPr>
              <w:pStyle w:val="Table"/>
              <w:rPr>
                <w:noProof/>
                <w:sz w:val="20"/>
                <w:szCs w:val="20"/>
              </w:rPr>
            </w:pPr>
            <w:r w:rsidRPr="00C47F2F">
              <w:rPr>
                <w:noProof/>
                <w:sz w:val="20"/>
                <w:szCs w:val="20"/>
              </w:rPr>
              <w:t>1.90E-05</w:t>
            </w:r>
          </w:p>
        </w:tc>
      </w:tr>
      <w:tr w:rsidR="00A3213E" w:rsidRPr="00972C81" w14:paraId="7D4B0563" w14:textId="77777777" w:rsidTr="000F593F">
        <w:trPr>
          <w:trHeight w:val="340"/>
        </w:trPr>
        <w:tc>
          <w:tcPr>
            <w:tcW w:w="3111" w:type="dxa"/>
            <w:shd w:val="clear" w:color="auto" w:fill="auto"/>
            <w:noWrap/>
            <w:vAlign w:val="center"/>
            <w:hideMark/>
          </w:tcPr>
          <w:p w14:paraId="3FBB3974" w14:textId="59615339" w:rsidR="00A3213E" w:rsidRPr="00A3213E" w:rsidRDefault="00A3213E" w:rsidP="000F593F">
            <w:pPr>
              <w:pStyle w:val="Table"/>
              <w:rPr>
                <w:noProof/>
                <w:sz w:val="20"/>
                <w:szCs w:val="22"/>
              </w:rPr>
            </w:pPr>
            <w:r w:rsidRPr="00A3213E">
              <w:rPr>
                <w:noProof/>
                <w:sz w:val="20"/>
                <w:szCs w:val="22"/>
              </w:rPr>
              <w:t>Cort marrow to Blood</w:t>
            </w:r>
          </w:p>
        </w:tc>
        <w:tc>
          <w:tcPr>
            <w:tcW w:w="986" w:type="dxa"/>
            <w:shd w:val="clear" w:color="auto" w:fill="auto"/>
            <w:noWrap/>
            <w:vAlign w:val="center"/>
            <w:hideMark/>
          </w:tcPr>
          <w:p w14:paraId="0C97F33B" w14:textId="77777777" w:rsidR="00A3213E" w:rsidRPr="00C47F2F" w:rsidRDefault="00A3213E" w:rsidP="000F593F">
            <w:pPr>
              <w:pStyle w:val="Table"/>
              <w:rPr>
                <w:noProof/>
                <w:sz w:val="20"/>
                <w:szCs w:val="20"/>
              </w:rPr>
            </w:pPr>
            <w:r w:rsidRPr="00C47F2F">
              <w:rPr>
                <w:noProof/>
                <w:sz w:val="20"/>
                <w:szCs w:val="20"/>
              </w:rPr>
              <w:t>7.60E-03</w:t>
            </w:r>
          </w:p>
        </w:tc>
        <w:tc>
          <w:tcPr>
            <w:tcW w:w="986" w:type="dxa"/>
            <w:shd w:val="clear" w:color="auto" w:fill="auto"/>
            <w:noWrap/>
            <w:vAlign w:val="center"/>
            <w:hideMark/>
          </w:tcPr>
          <w:p w14:paraId="3C5ADAFA" w14:textId="77777777" w:rsidR="00A3213E" w:rsidRPr="00C47F2F" w:rsidRDefault="00A3213E" w:rsidP="000F593F">
            <w:pPr>
              <w:pStyle w:val="Table"/>
              <w:rPr>
                <w:noProof/>
                <w:sz w:val="20"/>
                <w:szCs w:val="20"/>
              </w:rPr>
            </w:pPr>
            <w:r w:rsidRPr="00C47F2F">
              <w:rPr>
                <w:noProof/>
                <w:sz w:val="20"/>
                <w:szCs w:val="20"/>
              </w:rPr>
              <w:t>7.60E-03</w:t>
            </w:r>
          </w:p>
        </w:tc>
        <w:tc>
          <w:tcPr>
            <w:tcW w:w="986" w:type="dxa"/>
            <w:shd w:val="clear" w:color="auto" w:fill="auto"/>
            <w:noWrap/>
            <w:vAlign w:val="center"/>
            <w:hideMark/>
          </w:tcPr>
          <w:p w14:paraId="048F79AC" w14:textId="77777777" w:rsidR="00A3213E" w:rsidRPr="00C47F2F" w:rsidRDefault="00A3213E" w:rsidP="000F593F">
            <w:pPr>
              <w:pStyle w:val="Table"/>
              <w:rPr>
                <w:noProof/>
                <w:sz w:val="20"/>
                <w:szCs w:val="20"/>
              </w:rPr>
            </w:pPr>
            <w:r w:rsidRPr="00C47F2F">
              <w:rPr>
                <w:noProof/>
                <w:sz w:val="20"/>
                <w:szCs w:val="20"/>
              </w:rPr>
              <w:t>7.60E-03</w:t>
            </w:r>
          </w:p>
        </w:tc>
        <w:tc>
          <w:tcPr>
            <w:tcW w:w="986" w:type="dxa"/>
            <w:shd w:val="clear" w:color="auto" w:fill="auto"/>
            <w:noWrap/>
            <w:vAlign w:val="center"/>
            <w:hideMark/>
          </w:tcPr>
          <w:p w14:paraId="0F3B6E97" w14:textId="77777777" w:rsidR="00A3213E" w:rsidRPr="00C47F2F" w:rsidRDefault="00A3213E" w:rsidP="000F593F">
            <w:pPr>
              <w:pStyle w:val="Table"/>
              <w:rPr>
                <w:noProof/>
                <w:sz w:val="20"/>
                <w:szCs w:val="20"/>
              </w:rPr>
            </w:pPr>
            <w:r w:rsidRPr="00C47F2F">
              <w:rPr>
                <w:noProof/>
                <w:sz w:val="20"/>
                <w:szCs w:val="20"/>
              </w:rPr>
              <w:t>7.60E-03</w:t>
            </w:r>
          </w:p>
        </w:tc>
        <w:tc>
          <w:tcPr>
            <w:tcW w:w="986" w:type="dxa"/>
            <w:shd w:val="clear" w:color="auto" w:fill="auto"/>
            <w:noWrap/>
            <w:vAlign w:val="center"/>
            <w:hideMark/>
          </w:tcPr>
          <w:p w14:paraId="760E45AF" w14:textId="77777777" w:rsidR="00A3213E" w:rsidRPr="00C47F2F" w:rsidRDefault="00A3213E" w:rsidP="000F593F">
            <w:pPr>
              <w:pStyle w:val="Table"/>
              <w:rPr>
                <w:noProof/>
                <w:sz w:val="20"/>
                <w:szCs w:val="20"/>
              </w:rPr>
            </w:pPr>
            <w:r w:rsidRPr="00C47F2F">
              <w:rPr>
                <w:noProof/>
                <w:sz w:val="20"/>
                <w:szCs w:val="20"/>
              </w:rPr>
              <w:t>7.60E-03</w:t>
            </w:r>
          </w:p>
        </w:tc>
        <w:tc>
          <w:tcPr>
            <w:tcW w:w="986" w:type="dxa"/>
            <w:shd w:val="clear" w:color="auto" w:fill="auto"/>
            <w:noWrap/>
            <w:vAlign w:val="center"/>
            <w:hideMark/>
          </w:tcPr>
          <w:p w14:paraId="1C943892" w14:textId="77777777" w:rsidR="00A3213E" w:rsidRPr="00C47F2F" w:rsidRDefault="00A3213E" w:rsidP="000F593F">
            <w:pPr>
              <w:pStyle w:val="Table"/>
              <w:rPr>
                <w:noProof/>
                <w:sz w:val="20"/>
                <w:szCs w:val="20"/>
              </w:rPr>
            </w:pPr>
            <w:r w:rsidRPr="00C47F2F">
              <w:rPr>
                <w:noProof/>
                <w:sz w:val="20"/>
                <w:szCs w:val="20"/>
              </w:rPr>
              <w:t>7.60E-03</w:t>
            </w:r>
          </w:p>
        </w:tc>
      </w:tr>
      <w:tr w:rsidR="00A3213E" w:rsidRPr="00972C81" w14:paraId="364068A1" w14:textId="77777777" w:rsidTr="000F593F">
        <w:trPr>
          <w:trHeight w:val="340"/>
        </w:trPr>
        <w:tc>
          <w:tcPr>
            <w:tcW w:w="3111" w:type="dxa"/>
            <w:shd w:val="clear" w:color="auto" w:fill="auto"/>
            <w:noWrap/>
            <w:vAlign w:val="center"/>
            <w:hideMark/>
          </w:tcPr>
          <w:p w14:paraId="421AAAB0" w14:textId="12CC72E8" w:rsidR="00A3213E" w:rsidRPr="00A3213E" w:rsidRDefault="00A3213E" w:rsidP="000F593F">
            <w:pPr>
              <w:pStyle w:val="Table"/>
              <w:rPr>
                <w:noProof/>
                <w:sz w:val="20"/>
                <w:szCs w:val="22"/>
              </w:rPr>
            </w:pPr>
            <w:r w:rsidRPr="00A3213E">
              <w:rPr>
                <w:noProof/>
                <w:sz w:val="20"/>
                <w:szCs w:val="22"/>
              </w:rPr>
              <w:t>Cort bone surf to Cort marrow</w:t>
            </w:r>
          </w:p>
        </w:tc>
        <w:tc>
          <w:tcPr>
            <w:tcW w:w="986" w:type="dxa"/>
            <w:shd w:val="clear" w:color="auto" w:fill="auto"/>
            <w:noWrap/>
            <w:vAlign w:val="center"/>
            <w:hideMark/>
          </w:tcPr>
          <w:p w14:paraId="1413085E" w14:textId="77777777" w:rsidR="00A3213E" w:rsidRPr="00C47F2F" w:rsidRDefault="00A3213E" w:rsidP="000F593F">
            <w:pPr>
              <w:pStyle w:val="Table"/>
              <w:rPr>
                <w:noProof/>
                <w:sz w:val="20"/>
                <w:szCs w:val="20"/>
              </w:rPr>
            </w:pPr>
            <w:r w:rsidRPr="00C47F2F">
              <w:rPr>
                <w:noProof/>
                <w:sz w:val="20"/>
                <w:szCs w:val="20"/>
              </w:rPr>
              <w:t>8.22E-03</w:t>
            </w:r>
          </w:p>
        </w:tc>
        <w:tc>
          <w:tcPr>
            <w:tcW w:w="986" w:type="dxa"/>
            <w:shd w:val="clear" w:color="auto" w:fill="auto"/>
            <w:noWrap/>
            <w:vAlign w:val="center"/>
            <w:hideMark/>
          </w:tcPr>
          <w:p w14:paraId="3934BD3D" w14:textId="77777777" w:rsidR="00A3213E" w:rsidRPr="00C47F2F" w:rsidRDefault="00A3213E" w:rsidP="000F593F">
            <w:pPr>
              <w:pStyle w:val="Table"/>
              <w:rPr>
                <w:noProof/>
                <w:sz w:val="20"/>
                <w:szCs w:val="20"/>
              </w:rPr>
            </w:pPr>
            <w:r w:rsidRPr="00C47F2F">
              <w:rPr>
                <w:noProof/>
                <w:sz w:val="20"/>
                <w:szCs w:val="20"/>
              </w:rPr>
              <w:t>2.88E-03</w:t>
            </w:r>
          </w:p>
        </w:tc>
        <w:tc>
          <w:tcPr>
            <w:tcW w:w="986" w:type="dxa"/>
            <w:shd w:val="clear" w:color="auto" w:fill="auto"/>
            <w:noWrap/>
            <w:vAlign w:val="center"/>
            <w:hideMark/>
          </w:tcPr>
          <w:p w14:paraId="374CA4C1" w14:textId="77777777" w:rsidR="00A3213E" w:rsidRPr="00C47F2F" w:rsidRDefault="00A3213E" w:rsidP="000F593F">
            <w:pPr>
              <w:pStyle w:val="Table"/>
              <w:rPr>
                <w:noProof/>
                <w:sz w:val="20"/>
                <w:szCs w:val="20"/>
              </w:rPr>
            </w:pPr>
            <w:r w:rsidRPr="00C47F2F">
              <w:rPr>
                <w:noProof/>
                <w:sz w:val="20"/>
                <w:szCs w:val="20"/>
              </w:rPr>
              <w:t>1.53E-03</w:t>
            </w:r>
          </w:p>
        </w:tc>
        <w:tc>
          <w:tcPr>
            <w:tcW w:w="986" w:type="dxa"/>
            <w:shd w:val="clear" w:color="auto" w:fill="auto"/>
            <w:noWrap/>
            <w:vAlign w:val="center"/>
            <w:hideMark/>
          </w:tcPr>
          <w:p w14:paraId="1259408E" w14:textId="77777777" w:rsidR="00A3213E" w:rsidRPr="00C47F2F" w:rsidRDefault="00A3213E" w:rsidP="000F593F">
            <w:pPr>
              <w:pStyle w:val="Table"/>
              <w:rPr>
                <w:noProof/>
                <w:sz w:val="20"/>
                <w:szCs w:val="20"/>
              </w:rPr>
            </w:pPr>
            <w:r w:rsidRPr="00C47F2F">
              <w:rPr>
                <w:noProof/>
                <w:sz w:val="20"/>
                <w:szCs w:val="20"/>
              </w:rPr>
              <w:t>9.04E-04</w:t>
            </w:r>
          </w:p>
        </w:tc>
        <w:tc>
          <w:tcPr>
            <w:tcW w:w="986" w:type="dxa"/>
            <w:shd w:val="clear" w:color="auto" w:fill="auto"/>
            <w:noWrap/>
            <w:vAlign w:val="center"/>
            <w:hideMark/>
          </w:tcPr>
          <w:p w14:paraId="050E4328" w14:textId="77777777" w:rsidR="00A3213E" w:rsidRPr="00C47F2F" w:rsidRDefault="00A3213E" w:rsidP="000F593F">
            <w:pPr>
              <w:pStyle w:val="Table"/>
              <w:rPr>
                <w:noProof/>
                <w:sz w:val="20"/>
                <w:szCs w:val="20"/>
              </w:rPr>
            </w:pPr>
            <w:r w:rsidRPr="00C47F2F">
              <w:rPr>
                <w:noProof/>
                <w:sz w:val="20"/>
                <w:szCs w:val="20"/>
              </w:rPr>
              <w:t>5.21E-04</w:t>
            </w:r>
          </w:p>
        </w:tc>
        <w:tc>
          <w:tcPr>
            <w:tcW w:w="986" w:type="dxa"/>
            <w:shd w:val="clear" w:color="auto" w:fill="auto"/>
            <w:noWrap/>
            <w:vAlign w:val="center"/>
            <w:hideMark/>
          </w:tcPr>
          <w:p w14:paraId="0F331885" w14:textId="77777777" w:rsidR="00A3213E" w:rsidRPr="00C47F2F" w:rsidRDefault="00A3213E" w:rsidP="000F593F">
            <w:pPr>
              <w:pStyle w:val="Table"/>
              <w:rPr>
                <w:noProof/>
                <w:sz w:val="20"/>
                <w:szCs w:val="20"/>
              </w:rPr>
            </w:pPr>
            <w:r w:rsidRPr="00C47F2F">
              <w:rPr>
                <w:noProof/>
                <w:sz w:val="20"/>
                <w:szCs w:val="20"/>
              </w:rPr>
              <w:t>8.21E-05</w:t>
            </w:r>
          </w:p>
        </w:tc>
      </w:tr>
      <w:tr w:rsidR="00A3213E" w:rsidRPr="00972C81" w14:paraId="7CB620EE" w14:textId="77777777" w:rsidTr="000F593F">
        <w:trPr>
          <w:trHeight w:val="340"/>
        </w:trPr>
        <w:tc>
          <w:tcPr>
            <w:tcW w:w="3111" w:type="dxa"/>
            <w:shd w:val="clear" w:color="auto" w:fill="auto"/>
            <w:noWrap/>
            <w:vAlign w:val="center"/>
            <w:hideMark/>
          </w:tcPr>
          <w:p w14:paraId="5FFAB8CF" w14:textId="486579C7" w:rsidR="00A3213E" w:rsidRPr="00A3213E" w:rsidRDefault="00A3213E" w:rsidP="000F593F">
            <w:pPr>
              <w:pStyle w:val="Table"/>
              <w:rPr>
                <w:noProof/>
                <w:sz w:val="20"/>
                <w:szCs w:val="22"/>
              </w:rPr>
            </w:pPr>
            <w:r w:rsidRPr="00A3213E">
              <w:rPr>
                <w:noProof/>
                <w:sz w:val="20"/>
                <w:szCs w:val="22"/>
              </w:rPr>
              <w:t>Cort bone surf to Cort bone vol</w:t>
            </w:r>
          </w:p>
        </w:tc>
        <w:tc>
          <w:tcPr>
            <w:tcW w:w="986" w:type="dxa"/>
            <w:shd w:val="clear" w:color="auto" w:fill="auto"/>
            <w:noWrap/>
            <w:vAlign w:val="center"/>
            <w:hideMark/>
          </w:tcPr>
          <w:p w14:paraId="3090D29D" w14:textId="77777777" w:rsidR="00A3213E" w:rsidRPr="00C47F2F" w:rsidRDefault="00A3213E" w:rsidP="000F593F">
            <w:pPr>
              <w:pStyle w:val="Table"/>
              <w:rPr>
                <w:noProof/>
                <w:sz w:val="20"/>
                <w:szCs w:val="20"/>
              </w:rPr>
            </w:pPr>
            <w:r w:rsidRPr="00C47F2F">
              <w:rPr>
                <w:noProof/>
                <w:sz w:val="20"/>
                <w:szCs w:val="20"/>
              </w:rPr>
              <w:t>8.22E-03</w:t>
            </w:r>
          </w:p>
        </w:tc>
        <w:tc>
          <w:tcPr>
            <w:tcW w:w="986" w:type="dxa"/>
            <w:shd w:val="clear" w:color="auto" w:fill="auto"/>
            <w:noWrap/>
            <w:vAlign w:val="center"/>
            <w:hideMark/>
          </w:tcPr>
          <w:p w14:paraId="3EEC9CB7" w14:textId="77777777" w:rsidR="00A3213E" w:rsidRPr="00C47F2F" w:rsidRDefault="00A3213E" w:rsidP="000F593F">
            <w:pPr>
              <w:pStyle w:val="Table"/>
              <w:rPr>
                <w:noProof/>
                <w:sz w:val="20"/>
                <w:szCs w:val="20"/>
              </w:rPr>
            </w:pPr>
            <w:r w:rsidRPr="00C47F2F">
              <w:rPr>
                <w:noProof/>
                <w:sz w:val="20"/>
                <w:szCs w:val="20"/>
              </w:rPr>
              <w:t>2.88E-03</w:t>
            </w:r>
          </w:p>
        </w:tc>
        <w:tc>
          <w:tcPr>
            <w:tcW w:w="986" w:type="dxa"/>
            <w:shd w:val="clear" w:color="auto" w:fill="auto"/>
            <w:noWrap/>
            <w:vAlign w:val="center"/>
            <w:hideMark/>
          </w:tcPr>
          <w:p w14:paraId="1644DD7E" w14:textId="77777777" w:rsidR="00A3213E" w:rsidRPr="00C47F2F" w:rsidRDefault="00A3213E" w:rsidP="000F593F">
            <w:pPr>
              <w:pStyle w:val="Table"/>
              <w:rPr>
                <w:noProof/>
                <w:sz w:val="20"/>
                <w:szCs w:val="20"/>
              </w:rPr>
            </w:pPr>
            <w:r w:rsidRPr="00C47F2F">
              <w:rPr>
                <w:noProof/>
                <w:sz w:val="20"/>
                <w:szCs w:val="20"/>
              </w:rPr>
              <w:t>1.53E-03</w:t>
            </w:r>
          </w:p>
        </w:tc>
        <w:tc>
          <w:tcPr>
            <w:tcW w:w="986" w:type="dxa"/>
            <w:shd w:val="clear" w:color="auto" w:fill="auto"/>
            <w:noWrap/>
            <w:vAlign w:val="center"/>
            <w:hideMark/>
          </w:tcPr>
          <w:p w14:paraId="6AF1E969" w14:textId="77777777" w:rsidR="00A3213E" w:rsidRPr="00C47F2F" w:rsidRDefault="00A3213E" w:rsidP="000F593F">
            <w:pPr>
              <w:pStyle w:val="Table"/>
              <w:rPr>
                <w:noProof/>
                <w:sz w:val="20"/>
                <w:szCs w:val="20"/>
              </w:rPr>
            </w:pPr>
            <w:r w:rsidRPr="00C47F2F">
              <w:rPr>
                <w:noProof/>
                <w:sz w:val="20"/>
                <w:szCs w:val="20"/>
              </w:rPr>
              <w:t>9.04E-04</w:t>
            </w:r>
          </w:p>
        </w:tc>
        <w:tc>
          <w:tcPr>
            <w:tcW w:w="986" w:type="dxa"/>
            <w:shd w:val="clear" w:color="auto" w:fill="auto"/>
            <w:noWrap/>
            <w:vAlign w:val="center"/>
            <w:hideMark/>
          </w:tcPr>
          <w:p w14:paraId="5D945BA7" w14:textId="77777777" w:rsidR="00A3213E" w:rsidRPr="00C47F2F" w:rsidRDefault="00A3213E" w:rsidP="000F593F">
            <w:pPr>
              <w:pStyle w:val="Table"/>
              <w:rPr>
                <w:noProof/>
                <w:sz w:val="20"/>
                <w:szCs w:val="20"/>
              </w:rPr>
            </w:pPr>
            <w:r w:rsidRPr="00C47F2F">
              <w:rPr>
                <w:noProof/>
                <w:sz w:val="20"/>
                <w:szCs w:val="20"/>
              </w:rPr>
              <w:t>5.21E-04</w:t>
            </w:r>
          </w:p>
        </w:tc>
        <w:tc>
          <w:tcPr>
            <w:tcW w:w="986" w:type="dxa"/>
            <w:shd w:val="clear" w:color="auto" w:fill="auto"/>
            <w:noWrap/>
            <w:vAlign w:val="center"/>
            <w:hideMark/>
          </w:tcPr>
          <w:p w14:paraId="1F8CEEE9" w14:textId="77777777" w:rsidR="00A3213E" w:rsidRPr="00C47F2F" w:rsidRDefault="00A3213E" w:rsidP="000F593F">
            <w:pPr>
              <w:pStyle w:val="Table"/>
              <w:rPr>
                <w:noProof/>
                <w:sz w:val="20"/>
                <w:szCs w:val="20"/>
              </w:rPr>
            </w:pPr>
            <w:r w:rsidRPr="00C47F2F">
              <w:rPr>
                <w:noProof/>
                <w:sz w:val="20"/>
                <w:szCs w:val="20"/>
              </w:rPr>
              <w:t>4.11E-05</w:t>
            </w:r>
          </w:p>
        </w:tc>
      </w:tr>
      <w:tr w:rsidR="00A3213E" w:rsidRPr="00972C81" w14:paraId="4D77EDC7" w14:textId="77777777" w:rsidTr="000F593F">
        <w:trPr>
          <w:trHeight w:val="340"/>
        </w:trPr>
        <w:tc>
          <w:tcPr>
            <w:tcW w:w="3111" w:type="dxa"/>
            <w:shd w:val="clear" w:color="auto" w:fill="auto"/>
            <w:noWrap/>
            <w:vAlign w:val="center"/>
            <w:hideMark/>
          </w:tcPr>
          <w:p w14:paraId="721A44D1" w14:textId="57550FF2" w:rsidR="00A3213E" w:rsidRPr="00A3213E" w:rsidRDefault="00A3213E" w:rsidP="000F593F">
            <w:pPr>
              <w:pStyle w:val="Table"/>
              <w:rPr>
                <w:noProof/>
                <w:sz w:val="20"/>
                <w:szCs w:val="22"/>
              </w:rPr>
            </w:pPr>
            <w:r w:rsidRPr="00A3213E">
              <w:rPr>
                <w:noProof/>
                <w:sz w:val="20"/>
                <w:szCs w:val="22"/>
              </w:rPr>
              <w:t>Cort bone vol to Cort marrow</w:t>
            </w:r>
          </w:p>
        </w:tc>
        <w:tc>
          <w:tcPr>
            <w:tcW w:w="986" w:type="dxa"/>
            <w:shd w:val="clear" w:color="auto" w:fill="auto"/>
            <w:noWrap/>
            <w:vAlign w:val="center"/>
            <w:hideMark/>
          </w:tcPr>
          <w:p w14:paraId="74CEF797" w14:textId="77777777" w:rsidR="00A3213E" w:rsidRPr="00C47F2F" w:rsidRDefault="00A3213E" w:rsidP="000F593F">
            <w:pPr>
              <w:pStyle w:val="Table"/>
              <w:rPr>
                <w:noProof/>
                <w:sz w:val="20"/>
                <w:szCs w:val="20"/>
              </w:rPr>
            </w:pPr>
            <w:r w:rsidRPr="00C47F2F">
              <w:rPr>
                <w:noProof/>
                <w:sz w:val="20"/>
                <w:szCs w:val="20"/>
              </w:rPr>
              <w:t>8.22E-03</w:t>
            </w:r>
          </w:p>
        </w:tc>
        <w:tc>
          <w:tcPr>
            <w:tcW w:w="986" w:type="dxa"/>
            <w:shd w:val="clear" w:color="auto" w:fill="auto"/>
            <w:noWrap/>
            <w:vAlign w:val="center"/>
            <w:hideMark/>
          </w:tcPr>
          <w:p w14:paraId="42FD4AD3" w14:textId="77777777" w:rsidR="00A3213E" w:rsidRPr="00C47F2F" w:rsidRDefault="00A3213E" w:rsidP="000F593F">
            <w:pPr>
              <w:pStyle w:val="Table"/>
              <w:rPr>
                <w:noProof/>
                <w:sz w:val="20"/>
                <w:szCs w:val="20"/>
              </w:rPr>
            </w:pPr>
            <w:r w:rsidRPr="00C47F2F">
              <w:rPr>
                <w:noProof/>
                <w:sz w:val="20"/>
                <w:szCs w:val="20"/>
              </w:rPr>
              <w:t>2.88E-03</w:t>
            </w:r>
          </w:p>
        </w:tc>
        <w:tc>
          <w:tcPr>
            <w:tcW w:w="986" w:type="dxa"/>
            <w:shd w:val="clear" w:color="auto" w:fill="auto"/>
            <w:noWrap/>
            <w:vAlign w:val="center"/>
            <w:hideMark/>
          </w:tcPr>
          <w:p w14:paraId="0A2C5AF2" w14:textId="77777777" w:rsidR="00A3213E" w:rsidRPr="00C47F2F" w:rsidRDefault="00A3213E" w:rsidP="000F593F">
            <w:pPr>
              <w:pStyle w:val="Table"/>
              <w:rPr>
                <w:noProof/>
                <w:sz w:val="20"/>
                <w:szCs w:val="20"/>
              </w:rPr>
            </w:pPr>
            <w:r w:rsidRPr="00C47F2F">
              <w:rPr>
                <w:noProof/>
                <w:sz w:val="20"/>
                <w:szCs w:val="20"/>
              </w:rPr>
              <w:t>1.53E-03</w:t>
            </w:r>
          </w:p>
        </w:tc>
        <w:tc>
          <w:tcPr>
            <w:tcW w:w="986" w:type="dxa"/>
            <w:shd w:val="clear" w:color="auto" w:fill="auto"/>
            <w:noWrap/>
            <w:vAlign w:val="center"/>
            <w:hideMark/>
          </w:tcPr>
          <w:p w14:paraId="62A9A4AB" w14:textId="77777777" w:rsidR="00A3213E" w:rsidRPr="00C47F2F" w:rsidRDefault="00A3213E" w:rsidP="000F593F">
            <w:pPr>
              <w:pStyle w:val="Table"/>
              <w:rPr>
                <w:noProof/>
                <w:sz w:val="20"/>
                <w:szCs w:val="20"/>
              </w:rPr>
            </w:pPr>
            <w:r w:rsidRPr="00C47F2F">
              <w:rPr>
                <w:noProof/>
                <w:sz w:val="20"/>
                <w:szCs w:val="20"/>
              </w:rPr>
              <w:t>9.04E-04</w:t>
            </w:r>
          </w:p>
        </w:tc>
        <w:tc>
          <w:tcPr>
            <w:tcW w:w="986" w:type="dxa"/>
            <w:shd w:val="clear" w:color="auto" w:fill="auto"/>
            <w:noWrap/>
            <w:vAlign w:val="center"/>
            <w:hideMark/>
          </w:tcPr>
          <w:p w14:paraId="211F1B26" w14:textId="77777777" w:rsidR="00A3213E" w:rsidRPr="00C47F2F" w:rsidRDefault="00A3213E" w:rsidP="000F593F">
            <w:pPr>
              <w:pStyle w:val="Table"/>
              <w:rPr>
                <w:noProof/>
                <w:sz w:val="20"/>
                <w:szCs w:val="20"/>
              </w:rPr>
            </w:pPr>
            <w:r w:rsidRPr="00C47F2F">
              <w:rPr>
                <w:noProof/>
                <w:sz w:val="20"/>
                <w:szCs w:val="20"/>
              </w:rPr>
              <w:t>5.21E-04</w:t>
            </w:r>
          </w:p>
        </w:tc>
        <w:tc>
          <w:tcPr>
            <w:tcW w:w="986" w:type="dxa"/>
            <w:shd w:val="clear" w:color="auto" w:fill="auto"/>
            <w:noWrap/>
            <w:vAlign w:val="center"/>
            <w:hideMark/>
          </w:tcPr>
          <w:p w14:paraId="41615147" w14:textId="77777777" w:rsidR="00A3213E" w:rsidRPr="00C47F2F" w:rsidRDefault="00A3213E" w:rsidP="000F593F">
            <w:pPr>
              <w:pStyle w:val="Table"/>
              <w:rPr>
                <w:noProof/>
                <w:sz w:val="20"/>
                <w:szCs w:val="20"/>
              </w:rPr>
            </w:pPr>
            <w:r w:rsidRPr="00C47F2F">
              <w:rPr>
                <w:noProof/>
                <w:sz w:val="20"/>
                <w:szCs w:val="20"/>
              </w:rPr>
              <w:t>8.21E-05</w:t>
            </w:r>
          </w:p>
        </w:tc>
      </w:tr>
      <w:tr w:rsidR="00A3213E" w:rsidRPr="00972C81" w14:paraId="3E3FCEE7" w14:textId="77777777" w:rsidTr="000F593F">
        <w:trPr>
          <w:trHeight w:val="340"/>
        </w:trPr>
        <w:tc>
          <w:tcPr>
            <w:tcW w:w="3111" w:type="dxa"/>
            <w:shd w:val="clear" w:color="auto" w:fill="auto"/>
            <w:noWrap/>
            <w:vAlign w:val="center"/>
            <w:hideMark/>
          </w:tcPr>
          <w:p w14:paraId="0CE9D518" w14:textId="577B3325" w:rsidR="00A3213E" w:rsidRPr="00A3213E" w:rsidRDefault="00A3213E" w:rsidP="000F593F">
            <w:pPr>
              <w:pStyle w:val="Table"/>
              <w:rPr>
                <w:noProof/>
                <w:sz w:val="20"/>
                <w:szCs w:val="22"/>
              </w:rPr>
            </w:pPr>
            <w:r w:rsidRPr="00A3213E">
              <w:rPr>
                <w:noProof/>
                <w:sz w:val="20"/>
                <w:szCs w:val="22"/>
              </w:rPr>
              <w:t>Trab marrow to Blood</w:t>
            </w:r>
          </w:p>
        </w:tc>
        <w:tc>
          <w:tcPr>
            <w:tcW w:w="986" w:type="dxa"/>
            <w:shd w:val="clear" w:color="auto" w:fill="auto"/>
            <w:noWrap/>
            <w:vAlign w:val="center"/>
            <w:hideMark/>
          </w:tcPr>
          <w:p w14:paraId="01A0BF7B" w14:textId="77777777" w:rsidR="00A3213E" w:rsidRPr="00C47F2F" w:rsidRDefault="00A3213E" w:rsidP="000F593F">
            <w:pPr>
              <w:pStyle w:val="Table"/>
              <w:rPr>
                <w:noProof/>
                <w:sz w:val="20"/>
                <w:szCs w:val="20"/>
              </w:rPr>
            </w:pPr>
            <w:r w:rsidRPr="00C47F2F">
              <w:rPr>
                <w:noProof/>
                <w:sz w:val="20"/>
                <w:szCs w:val="20"/>
              </w:rPr>
              <w:t>7.60E-03</w:t>
            </w:r>
          </w:p>
        </w:tc>
        <w:tc>
          <w:tcPr>
            <w:tcW w:w="986" w:type="dxa"/>
            <w:shd w:val="clear" w:color="auto" w:fill="auto"/>
            <w:noWrap/>
            <w:vAlign w:val="center"/>
            <w:hideMark/>
          </w:tcPr>
          <w:p w14:paraId="0EDE8949" w14:textId="77777777" w:rsidR="00A3213E" w:rsidRPr="00C47F2F" w:rsidRDefault="00A3213E" w:rsidP="000F593F">
            <w:pPr>
              <w:pStyle w:val="Table"/>
              <w:rPr>
                <w:noProof/>
                <w:sz w:val="20"/>
                <w:szCs w:val="20"/>
              </w:rPr>
            </w:pPr>
            <w:r w:rsidRPr="00C47F2F">
              <w:rPr>
                <w:noProof/>
                <w:sz w:val="20"/>
                <w:szCs w:val="20"/>
              </w:rPr>
              <w:t>7.60E-03</w:t>
            </w:r>
          </w:p>
        </w:tc>
        <w:tc>
          <w:tcPr>
            <w:tcW w:w="986" w:type="dxa"/>
            <w:shd w:val="clear" w:color="auto" w:fill="auto"/>
            <w:noWrap/>
            <w:vAlign w:val="center"/>
            <w:hideMark/>
          </w:tcPr>
          <w:p w14:paraId="0A456075" w14:textId="77777777" w:rsidR="00A3213E" w:rsidRPr="00C47F2F" w:rsidRDefault="00A3213E" w:rsidP="000F593F">
            <w:pPr>
              <w:pStyle w:val="Table"/>
              <w:rPr>
                <w:noProof/>
                <w:sz w:val="20"/>
                <w:szCs w:val="20"/>
              </w:rPr>
            </w:pPr>
            <w:r w:rsidRPr="00C47F2F">
              <w:rPr>
                <w:noProof/>
                <w:sz w:val="20"/>
                <w:szCs w:val="20"/>
              </w:rPr>
              <w:t>7.60E-03</w:t>
            </w:r>
          </w:p>
        </w:tc>
        <w:tc>
          <w:tcPr>
            <w:tcW w:w="986" w:type="dxa"/>
            <w:shd w:val="clear" w:color="auto" w:fill="auto"/>
            <w:noWrap/>
            <w:vAlign w:val="center"/>
            <w:hideMark/>
          </w:tcPr>
          <w:p w14:paraId="22922A8E" w14:textId="77777777" w:rsidR="00A3213E" w:rsidRPr="00C47F2F" w:rsidRDefault="00A3213E" w:rsidP="000F593F">
            <w:pPr>
              <w:pStyle w:val="Table"/>
              <w:rPr>
                <w:noProof/>
                <w:sz w:val="20"/>
                <w:szCs w:val="20"/>
              </w:rPr>
            </w:pPr>
            <w:r w:rsidRPr="00C47F2F">
              <w:rPr>
                <w:noProof/>
                <w:sz w:val="20"/>
                <w:szCs w:val="20"/>
              </w:rPr>
              <w:t>7.60E-03</w:t>
            </w:r>
          </w:p>
        </w:tc>
        <w:tc>
          <w:tcPr>
            <w:tcW w:w="986" w:type="dxa"/>
            <w:shd w:val="clear" w:color="auto" w:fill="auto"/>
            <w:noWrap/>
            <w:vAlign w:val="center"/>
            <w:hideMark/>
          </w:tcPr>
          <w:p w14:paraId="5C7754B3" w14:textId="77777777" w:rsidR="00A3213E" w:rsidRPr="00C47F2F" w:rsidRDefault="00A3213E" w:rsidP="000F593F">
            <w:pPr>
              <w:pStyle w:val="Table"/>
              <w:rPr>
                <w:noProof/>
                <w:sz w:val="20"/>
                <w:szCs w:val="20"/>
              </w:rPr>
            </w:pPr>
            <w:r w:rsidRPr="00C47F2F">
              <w:rPr>
                <w:noProof/>
                <w:sz w:val="20"/>
                <w:szCs w:val="20"/>
              </w:rPr>
              <w:t>7.60E-03</w:t>
            </w:r>
          </w:p>
        </w:tc>
        <w:tc>
          <w:tcPr>
            <w:tcW w:w="986" w:type="dxa"/>
            <w:shd w:val="clear" w:color="auto" w:fill="auto"/>
            <w:noWrap/>
            <w:vAlign w:val="center"/>
            <w:hideMark/>
          </w:tcPr>
          <w:p w14:paraId="68F947AE" w14:textId="77777777" w:rsidR="00A3213E" w:rsidRPr="00C47F2F" w:rsidRDefault="00A3213E" w:rsidP="000F593F">
            <w:pPr>
              <w:pStyle w:val="Table"/>
              <w:rPr>
                <w:noProof/>
                <w:sz w:val="20"/>
                <w:szCs w:val="20"/>
              </w:rPr>
            </w:pPr>
            <w:r w:rsidRPr="00C47F2F">
              <w:rPr>
                <w:noProof/>
                <w:sz w:val="20"/>
                <w:szCs w:val="20"/>
              </w:rPr>
              <w:t>7.60E-03</w:t>
            </w:r>
          </w:p>
        </w:tc>
      </w:tr>
      <w:tr w:rsidR="00A3213E" w:rsidRPr="00972C81" w14:paraId="6DA104AD" w14:textId="77777777" w:rsidTr="000F593F">
        <w:trPr>
          <w:trHeight w:val="340"/>
        </w:trPr>
        <w:tc>
          <w:tcPr>
            <w:tcW w:w="3111" w:type="dxa"/>
            <w:shd w:val="clear" w:color="auto" w:fill="auto"/>
            <w:noWrap/>
            <w:vAlign w:val="center"/>
            <w:hideMark/>
          </w:tcPr>
          <w:p w14:paraId="30F154F4" w14:textId="5C576123" w:rsidR="00A3213E" w:rsidRPr="00A3213E" w:rsidRDefault="00A3213E" w:rsidP="000F593F">
            <w:pPr>
              <w:pStyle w:val="Table"/>
              <w:rPr>
                <w:noProof/>
                <w:sz w:val="20"/>
                <w:szCs w:val="22"/>
              </w:rPr>
            </w:pPr>
            <w:r w:rsidRPr="00A3213E">
              <w:rPr>
                <w:noProof/>
                <w:sz w:val="20"/>
                <w:szCs w:val="22"/>
              </w:rPr>
              <w:t>Trab bone surf to Trab marrow</w:t>
            </w:r>
          </w:p>
        </w:tc>
        <w:tc>
          <w:tcPr>
            <w:tcW w:w="986" w:type="dxa"/>
            <w:shd w:val="clear" w:color="auto" w:fill="auto"/>
            <w:noWrap/>
            <w:vAlign w:val="center"/>
            <w:hideMark/>
          </w:tcPr>
          <w:p w14:paraId="3554D0BC" w14:textId="77777777" w:rsidR="00A3213E" w:rsidRPr="00C47F2F" w:rsidRDefault="00A3213E" w:rsidP="000F593F">
            <w:pPr>
              <w:pStyle w:val="Table"/>
              <w:rPr>
                <w:noProof/>
                <w:sz w:val="20"/>
                <w:szCs w:val="20"/>
              </w:rPr>
            </w:pPr>
            <w:r w:rsidRPr="00C47F2F">
              <w:rPr>
                <w:noProof/>
                <w:sz w:val="20"/>
                <w:szCs w:val="20"/>
              </w:rPr>
              <w:t>8.22E-03</w:t>
            </w:r>
          </w:p>
        </w:tc>
        <w:tc>
          <w:tcPr>
            <w:tcW w:w="986" w:type="dxa"/>
            <w:shd w:val="clear" w:color="auto" w:fill="auto"/>
            <w:noWrap/>
            <w:vAlign w:val="center"/>
            <w:hideMark/>
          </w:tcPr>
          <w:p w14:paraId="11D889B3" w14:textId="77777777" w:rsidR="00A3213E" w:rsidRPr="00C47F2F" w:rsidRDefault="00A3213E" w:rsidP="000F593F">
            <w:pPr>
              <w:pStyle w:val="Table"/>
              <w:rPr>
                <w:noProof/>
                <w:sz w:val="20"/>
                <w:szCs w:val="20"/>
              </w:rPr>
            </w:pPr>
            <w:r w:rsidRPr="00C47F2F">
              <w:rPr>
                <w:noProof/>
                <w:sz w:val="20"/>
                <w:szCs w:val="20"/>
              </w:rPr>
              <w:t>2.88E-03</w:t>
            </w:r>
          </w:p>
        </w:tc>
        <w:tc>
          <w:tcPr>
            <w:tcW w:w="986" w:type="dxa"/>
            <w:shd w:val="clear" w:color="auto" w:fill="auto"/>
            <w:noWrap/>
            <w:vAlign w:val="center"/>
            <w:hideMark/>
          </w:tcPr>
          <w:p w14:paraId="3B2763DB" w14:textId="77777777" w:rsidR="00A3213E" w:rsidRPr="00C47F2F" w:rsidRDefault="00A3213E" w:rsidP="000F593F">
            <w:pPr>
              <w:pStyle w:val="Table"/>
              <w:rPr>
                <w:noProof/>
                <w:sz w:val="20"/>
                <w:szCs w:val="20"/>
              </w:rPr>
            </w:pPr>
            <w:r w:rsidRPr="00C47F2F">
              <w:rPr>
                <w:noProof/>
                <w:sz w:val="20"/>
                <w:szCs w:val="20"/>
              </w:rPr>
              <w:t>1.81E-03</w:t>
            </w:r>
          </w:p>
        </w:tc>
        <w:tc>
          <w:tcPr>
            <w:tcW w:w="986" w:type="dxa"/>
            <w:shd w:val="clear" w:color="auto" w:fill="auto"/>
            <w:noWrap/>
            <w:vAlign w:val="center"/>
            <w:hideMark/>
          </w:tcPr>
          <w:p w14:paraId="712E9B80" w14:textId="77777777" w:rsidR="00A3213E" w:rsidRPr="00C47F2F" w:rsidRDefault="00A3213E" w:rsidP="000F593F">
            <w:pPr>
              <w:pStyle w:val="Table"/>
              <w:rPr>
                <w:noProof/>
                <w:sz w:val="20"/>
                <w:szCs w:val="20"/>
              </w:rPr>
            </w:pPr>
            <w:r w:rsidRPr="00C47F2F">
              <w:rPr>
                <w:noProof/>
                <w:sz w:val="20"/>
                <w:szCs w:val="20"/>
              </w:rPr>
              <w:t>1.32E-03</w:t>
            </w:r>
          </w:p>
        </w:tc>
        <w:tc>
          <w:tcPr>
            <w:tcW w:w="986" w:type="dxa"/>
            <w:shd w:val="clear" w:color="auto" w:fill="auto"/>
            <w:noWrap/>
            <w:vAlign w:val="center"/>
            <w:hideMark/>
          </w:tcPr>
          <w:p w14:paraId="241080A0" w14:textId="77777777" w:rsidR="00A3213E" w:rsidRPr="00C47F2F" w:rsidRDefault="00A3213E" w:rsidP="000F593F">
            <w:pPr>
              <w:pStyle w:val="Table"/>
              <w:rPr>
                <w:noProof/>
                <w:sz w:val="20"/>
                <w:szCs w:val="20"/>
              </w:rPr>
            </w:pPr>
            <w:r w:rsidRPr="00C47F2F">
              <w:rPr>
                <w:noProof/>
                <w:sz w:val="20"/>
                <w:szCs w:val="20"/>
              </w:rPr>
              <w:t>9.59E-04</w:t>
            </w:r>
          </w:p>
        </w:tc>
        <w:tc>
          <w:tcPr>
            <w:tcW w:w="986" w:type="dxa"/>
            <w:shd w:val="clear" w:color="auto" w:fill="auto"/>
            <w:noWrap/>
            <w:vAlign w:val="center"/>
            <w:hideMark/>
          </w:tcPr>
          <w:p w14:paraId="28234F2C" w14:textId="77777777" w:rsidR="00A3213E" w:rsidRPr="00C47F2F" w:rsidRDefault="00A3213E" w:rsidP="000F593F">
            <w:pPr>
              <w:pStyle w:val="Table"/>
              <w:rPr>
                <w:noProof/>
                <w:sz w:val="20"/>
                <w:szCs w:val="20"/>
              </w:rPr>
            </w:pPr>
            <w:r w:rsidRPr="00C47F2F">
              <w:rPr>
                <w:noProof/>
                <w:sz w:val="20"/>
                <w:szCs w:val="20"/>
              </w:rPr>
              <w:t>4.93E-04</w:t>
            </w:r>
          </w:p>
        </w:tc>
      </w:tr>
      <w:tr w:rsidR="00A3213E" w:rsidRPr="00972C81" w14:paraId="593A7DE1" w14:textId="77777777" w:rsidTr="000F593F">
        <w:trPr>
          <w:trHeight w:val="340"/>
        </w:trPr>
        <w:tc>
          <w:tcPr>
            <w:tcW w:w="3111" w:type="dxa"/>
            <w:shd w:val="clear" w:color="auto" w:fill="auto"/>
            <w:noWrap/>
            <w:vAlign w:val="center"/>
            <w:hideMark/>
          </w:tcPr>
          <w:p w14:paraId="553D5BCE" w14:textId="06A48A69" w:rsidR="00A3213E" w:rsidRPr="00A3213E" w:rsidRDefault="00A3213E" w:rsidP="000F593F">
            <w:pPr>
              <w:pStyle w:val="Table"/>
              <w:rPr>
                <w:noProof/>
                <w:sz w:val="20"/>
                <w:szCs w:val="22"/>
              </w:rPr>
            </w:pPr>
            <w:r w:rsidRPr="00A3213E">
              <w:rPr>
                <w:noProof/>
                <w:sz w:val="20"/>
                <w:szCs w:val="22"/>
              </w:rPr>
              <w:t>Trab bone surf to Trab bone vol</w:t>
            </w:r>
          </w:p>
        </w:tc>
        <w:tc>
          <w:tcPr>
            <w:tcW w:w="986" w:type="dxa"/>
            <w:shd w:val="clear" w:color="auto" w:fill="auto"/>
            <w:noWrap/>
            <w:vAlign w:val="center"/>
            <w:hideMark/>
          </w:tcPr>
          <w:p w14:paraId="2DF7CA86" w14:textId="77777777" w:rsidR="00A3213E" w:rsidRPr="00C47F2F" w:rsidRDefault="00A3213E" w:rsidP="000F593F">
            <w:pPr>
              <w:pStyle w:val="Table"/>
              <w:rPr>
                <w:noProof/>
                <w:sz w:val="20"/>
                <w:szCs w:val="20"/>
              </w:rPr>
            </w:pPr>
            <w:r w:rsidRPr="00C47F2F">
              <w:rPr>
                <w:noProof/>
                <w:sz w:val="20"/>
                <w:szCs w:val="20"/>
              </w:rPr>
              <w:t>8.22E-03</w:t>
            </w:r>
          </w:p>
        </w:tc>
        <w:tc>
          <w:tcPr>
            <w:tcW w:w="986" w:type="dxa"/>
            <w:shd w:val="clear" w:color="auto" w:fill="auto"/>
            <w:noWrap/>
            <w:vAlign w:val="center"/>
            <w:hideMark/>
          </w:tcPr>
          <w:p w14:paraId="1621449C" w14:textId="77777777" w:rsidR="00A3213E" w:rsidRPr="00C47F2F" w:rsidRDefault="00A3213E" w:rsidP="000F593F">
            <w:pPr>
              <w:pStyle w:val="Table"/>
              <w:rPr>
                <w:noProof/>
                <w:sz w:val="20"/>
                <w:szCs w:val="20"/>
              </w:rPr>
            </w:pPr>
            <w:r w:rsidRPr="00C47F2F">
              <w:rPr>
                <w:noProof/>
                <w:sz w:val="20"/>
                <w:szCs w:val="20"/>
              </w:rPr>
              <w:t>2.88E-03</w:t>
            </w:r>
          </w:p>
        </w:tc>
        <w:tc>
          <w:tcPr>
            <w:tcW w:w="986" w:type="dxa"/>
            <w:shd w:val="clear" w:color="auto" w:fill="auto"/>
            <w:noWrap/>
            <w:vAlign w:val="center"/>
            <w:hideMark/>
          </w:tcPr>
          <w:p w14:paraId="1551C48E" w14:textId="77777777" w:rsidR="00A3213E" w:rsidRPr="00C47F2F" w:rsidRDefault="00A3213E" w:rsidP="000F593F">
            <w:pPr>
              <w:pStyle w:val="Table"/>
              <w:rPr>
                <w:noProof/>
                <w:sz w:val="20"/>
                <w:szCs w:val="20"/>
              </w:rPr>
            </w:pPr>
            <w:r w:rsidRPr="00C47F2F">
              <w:rPr>
                <w:noProof/>
                <w:sz w:val="20"/>
                <w:szCs w:val="20"/>
              </w:rPr>
              <w:t>1.81E-03</w:t>
            </w:r>
          </w:p>
        </w:tc>
        <w:tc>
          <w:tcPr>
            <w:tcW w:w="986" w:type="dxa"/>
            <w:shd w:val="clear" w:color="auto" w:fill="auto"/>
            <w:noWrap/>
            <w:vAlign w:val="center"/>
            <w:hideMark/>
          </w:tcPr>
          <w:p w14:paraId="7CEE31AE" w14:textId="77777777" w:rsidR="00A3213E" w:rsidRPr="00C47F2F" w:rsidRDefault="00A3213E" w:rsidP="000F593F">
            <w:pPr>
              <w:pStyle w:val="Table"/>
              <w:rPr>
                <w:noProof/>
                <w:sz w:val="20"/>
                <w:szCs w:val="20"/>
              </w:rPr>
            </w:pPr>
            <w:r w:rsidRPr="00C47F2F">
              <w:rPr>
                <w:noProof/>
                <w:sz w:val="20"/>
                <w:szCs w:val="20"/>
              </w:rPr>
              <w:t>1.32E-03</w:t>
            </w:r>
          </w:p>
        </w:tc>
        <w:tc>
          <w:tcPr>
            <w:tcW w:w="986" w:type="dxa"/>
            <w:shd w:val="clear" w:color="auto" w:fill="auto"/>
            <w:noWrap/>
            <w:vAlign w:val="center"/>
            <w:hideMark/>
          </w:tcPr>
          <w:p w14:paraId="58F4E5F5" w14:textId="77777777" w:rsidR="00A3213E" w:rsidRPr="00C47F2F" w:rsidRDefault="00A3213E" w:rsidP="000F593F">
            <w:pPr>
              <w:pStyle w:val="Table"/>
              <w:rPr>
                <w:noProof/>
                <w:sz w:val="20"/>
                <w:szCs w:val="20"/>
              </w:rPr>
            </w:pPr>
            <w:r w:rsidRPr="00C47F2F">
              <w:rPr>
                <w:noProof/>
                <w:sz w:val="20"/>
                <w:szCs w:val="20"/>
              </w:rPr>
              <w:t>9.59E-04</w:t>
            </w:r>
          </w:p>
        </w:tc>
        <w:tc>
          <w:tcPr>
            <w:tcW w:w="986" w:type="dxa"/>
            <w:shd w:val="clear" w:color="auto" w:fill="auto"/>
            <w:noWrap/>
            <w:vAlign w:val="center"/>
            <w:hideMark/>
          </w:tcPr>
          <w:p w14:paraId="4626CAAF" w14:textId="77777777" w:rsidR="00A3213E" w:rsidRPr="00C47F2F" w:rsidRDefault="00A3213E" w:rsidP="000F593F">
            <w:pPr>
              <w:pStyle w:val="Table"/>
              <w:rPr>
                <w:noProof/>
                <w:sz w:val="20"/>
                <w:szCs w:val="20"/>
              </w:rPr>
            </w:pPr>
            <w:r w:rsidRPr="00C47F2F">
              <w:rPr>
                <w:noProof/>
                <w:sz w:val="20"/>
                <w:szCs w:val="20"/>
              </w:rPr>
              <w:t>2.47E-04</w:t>
            </w:r>
          </w:p>
        </w:tc>
      </w:tr>
      <w:tr w:rsidR="00A3213E" w:rsidRPr="00972C81" w14:paraId="47BB7B3E" w14:textId="77777777" w:rsidTr="000F593F">
        <w:trPr>
          <w:trHeight w:val="340"/>
        </w:trPr>
        <w:tc>
          <w:tcPr>
            <w:tcW w:w="3111" w:type="dxa"/>
            <w:shd w:val="clear" w:color="auto" w:fill="auto"/>
            <w:noWrap/>
            <w:vAlign w:val="center"/>
            <w:hideMark/>
          </w:tcPr>
          <w:p w14:paraId="33FC0691" w14:textId="5569C265" w:rsidR="00A3213E" w:rsidRPr="00A3213E" w:rsidRDefault="00A3213E" w:rsidP="000F593F">
            <w:pPr>
              <w:pStyle w:val="Table"/>
              <w:rPr>
                <w:noProof/>
                <w:sz w:val="20"/>
                <w:szCs w:val="22"/>
              </w:rPr>
            </w:pPr>
            <w:r w:rsidRPr="00A3213E">
              <w:rPr>
                <w:noProof/>
                <w:sz w:val="20"/>
                <w:szCs w:val="22"/>
              </w:rPr>
              <w:t>Trab bone vol to Trab marrow</w:t>
            </w:r>
          </w:p>
        </w:tc>
        <w:tc>
          <w:tcPr>
            <w:tcW w:w="986" w:type="dxa"/>
            <w:shd w:val="clear" w:color="auto" w:fill="auto"/>
            <w:noWrap/>
            <w:vAlign w:val="center"/>
            <w:hideMark/>
          </w:tcPr>
          <w:p w14:paraId="6694BCBE" w14:textId="77777777" w:rsidR="00A3213E" w:rsidRPr="00C47F2F" w:rsidRDefault="00A3213E" w:rsidP="000F593F">
            <w:pPr>
              <w:pStyle w:val="Table"/>
              <w:rPr>
                <w:noProof/>
                <w:sz w:val="20"/>
                <w:szCs w:val="20"/>
              </w:rPr>
            </w:pPr>
            <w:r w:rsidRPr="00C47F2F">
              <w:rPr>
                <w:noProof/>
                <w:sz w:val="20"/>
                <w:szCs w:val="20"/>
              </w:rPr>
              <w:t>8.22E-03</w:t>
            </w:r>
          </w:p>
        </w:tc>
        <w:tc>
          <w:tcPr>
            <w:tcW w:w="986" w:type="dxa"/>
            <w:shd w:val="clear" w:color="auto" w:fill="auto"/>
            <w:noWrap/>
            <w:vAlign w:val="center"/>
            <w:hideMark/>
          </w:tcPr>
          <w:p w14:paraId="7319BD95" w14:textId="77777777" w:rsidR="00A3213E" w:rsidRPr="00C47F2F" w:rsidRDefault="00A3213E" w:rsidP="000F593F">
            <w:pPr>
              <w:pStyle w:val="Table"/>
              <w:rPr>
                <w:noProof/>
                <w:sz w:val="20"/>
                <w:szCs w:val="20"/>
              </w:rPr>
            </w:pPr>
            <w:r w:rsidRPr="00C47F2F">
              <w:rPr>
                <w:noProof/>
                <w:sz w:val="20"/>
                <w:szCs w:val="20"/>
              </w:rPr>
              <w:t>2.88E-03</w:t>
            </w:r>
          </w:p>
        </w:tc>
        <w:tc>
          <w:tcPr>
            <w:tcW w:w="986" w:type="dxa"/>
            <w:shd w:val="clear" w:color="auto" w:fill="auto"/>
            <w:noWrap/>
            <w:vAlign w:val="center"/>
            <w:hideMark/>
          </w:tcPr>
          <w:p w14:paraId="3D8AE0EF" w14:textId="77777777" w:rsidR="00A3213E" w:rsidRPr="00C47F2F" w:rsidRDefault="00A3213E" w:rsidP="000F593F">
            <w:pPr>
              <w:pStyle w:val="Table"/>
              <w:rPr>
                <w:noProof/>
                <w:sz w:val="20"/>
                <w:szCs w:val="20"/>
              </w:rPr>
            </w:pPr>
            <w:r w:rsidRPr="00C47F2F">
              <w:rPr>
                <w:noProof/>
                <w:sz w:val="20"/>
                <w:szCs w:val="20"/>
              </w:rPr>
              <w:t>1.81E-03</w:t>
            </w:r>
          </w:p>
        </w:tc>
        <w:tc>
          <w:tcPr>
            <w:tcW w:w="986" w:type="dxa"/>
            <w:shd w:val="clear" w:color="auto" w:fill="auto"/>
            <w:noWrap/>
            <w:vAlign w:val="center"/>
            <w:hideMark/>
          </w:tcPr>
          <w:p w14:paraId="13E40891" w14:textId="77777777" w:rsidR="00A3213E" w:rsidRPr="00C47F2F" w:rsidRDefault="00A3213E" w:rsidP="000F593F">
            <w:pPr>
              <w:pStyle w:val="Table"/>
              <w:rPr>
                <w:noProof/>
                <w:sz w:val="20"/>
                <w:szCs w:val="20"/>
              </w:rPr>
            </w:pPr>
            <w:r w:rsidRPr="00C47F2F">
              <w:rPr>
                <w:noProof/>
                <w:sz w:val="20"/>
                <w:szCs w:val="20"/>
              </w:rPr>
              <w:t>1.32E-03</w:t>
            </w:r>
          </w:p>
        </w:tc>
        <w:tc>
          <w:tcPr>
            <w:tcW w:w="986" w:type="dxa"/>
            <w:shd w:val="clear" w:color="auto" w:fill="auto"/>
            <w:noWrap/>
            <w:vAlign w:val="center"/>
            <w:hideMark/>
          </w:tcPr>
          <w:p w14:paraId="2E29710D" w14:textId="77777777" w:rsidR="00A3213E" w:rsidRPr="00C47F2F" w:rsidRDefault="00A3213E" w:rsidP="000F593F">
            <w:pPr>
              <w:pStyle w:val="Table"/>
              <w:rPr>
                <w:noProof/>
                <w:sz w:val="20"/>
                <w:szCs w:val="20"/>
              </w:rPr>
            </w:pPr>
            <w:r w:rsidRPr="00C47F2F">
              <w:rPr>
                <w:noProof/>
                <w:sz w:val="20"/>
                <w:szCs w:val="20"/>
              </w:rPr>
              <w:t>9.59E-04</w:t>
            </w:r>
          </w:p>
        </w:tc>
        <w:tc>
          <w:tcPr>
            <w:tcW w:w="986" w:type="dxa"/>
            <w:shd w:val="clear" w:color="auto" w:fill="auto"/>
            <w:noWrap/>
            <w:vAlign w:val="center"/>
            <w:hideMark/>
          </w:tcPr>
          <w:p w14:paraId="06E2D96A" w14:textId="77777777" w:rsidR="00A3213E" w:rsidRPr="00C47F2F" w:rsidRDefault="00A3213E" w:rsidP="000F593F">
            <w:pPr>
              <w:pStyle w:val="Table"/>
              <w:rPr>
                <w:noProof/>
                <w:sz w:val="20"/>
                <w:szCs w:val="20"/>
              </w:rPr>
            </w:pPr>
            <w:r w:rsidRPr="00C47F2F">
              <w:rPr>
                <w:noProof/>
                <w:sz w:val="20"/>
                <w:szCs w:val="20"/>
              </w:rPr>
              <w:t>4.93E-04</w:t>
            </w:r>
          </w:p>
        </w:tc>
      </w:tr>
      <w:tr w:rsidR="00A3213E" w:rsidRPr="00972C81" w14:paraId="20ED9D42" w14:textId="77777777" w:rsidTr="000F593F">
        <w:trPr>
          <w:trHeight w:val="340"/>
        </w:trPr>
        <w:tc>
          <w:tcPr>
            <w:tcW w:w="3111" w:type="dxa"/>
            <w:shd w:val="clear" w:color="auto" w:fill="auto"/>
            <w:noWrap/>
            <w:vAlign w:val="center"/>
            <w:hideMark/>
          </w:tcPr>
          <w:p w14:paraId="7E73DB27" w14:textId="01D3E498" w:rsidR="00A3213E" w:rsidRPr="00A3213E" w:rsidRDefault="00A3213E" w:rsidP="000F593F">
            <w:pPr>
              <w:pStyle w:val="Table"/>
              <w:rPr>
                <w:noProof/>
                <w:sz w:val="20"/>
                <w:szCs w:val="22"/>
              </w:rPr>
            </w:pPr>
            <w:r w:rsidRPr="00A3213E">
              <w:rPr>
                <w:noProof/>
                <w:sz w:val="20"/>
                <w:szCs w:val="22"/>
              </w:rPr>
              <w:t>Kidneys 1 to Urinary bladder cont</w:t>
            </w:r>
          </w:p>
        </w:tc>
        <w:tc>
          <w:tcPr>
            <w:tcW w:w="986" w:type="dxa"/>
            <w:shd w:val="clear" w:color="auto" w:fill="auto"/>
            <w:noWrap/>
            <w:vAlign w:val="center"/>
            <w:hideMark/>
          </w:tcPr>
          <w:p w14:paraId="3DAB5B02" w14:textId="77777777" w:rsidR="00A3213E" w:rsidRPr="00C47F2F" w:rsidRDefault="00A3213E" w:rsidP="000F593F">
            <w:pPr>
              <w:pStyle w:val="Table"/>
              <w:rPr>
                <w:noProof/>
                <w:sz w:val="20"/>
                <w:szCs w:val="20"/>
              </w:rPr>
            </w:pPr>
            <w:r w:rsidRPr="00C47F2F">
              <w:rPr>
                <w:noProof/>
                <w:sz w:val="20"/>
                <w:szCs w:val="20"/>
              </w:rPr>
              <w:t>9.90E-02</w:t>
            </w:r>
          </w:p>
        </w:tc>
        <w:tc>
          <w:tcPr>
            <w:tcW w:w="986" w:type="dxa"/>
            <w:shd w:val="clear" w:color="auto" w:fill="auto"/>
            <w:noWrap/>
            <w:vAlign w:val="center"/>
            <w:hideMark/>
          </w:tcPr>
          <w:p w14:paraId="71CF2EAB" w14:textId="77777777" w:rsidR="00A3213E" w:rsidRPr="00C47F2F" w:rsidRDefault="00A3213E" w:rsidP="000F593F">
            <w:pPr>
              <w:pStyle w:val="Table"/>
              <w:rPr>
                <w:noProof/>
                <w:sz w:val="20"/>
                <w:szCs w:val="20"/>
              </w:rPr>
            </w:pPr>
            <w:r w:rsidRPr="00C47F2F">
              <w:rPr>
                <w:noProof/>
                <w:sz w:val="20"/>
                <w:szCs w:val="20"/>
              </w:rPr>
              <w:t>9.90E-02</w:t>
            </w:r>
          </w:p>
        </w:tc>
        <w:tc>
          <w:tcPr>
            <w:tcW w:w="986" w:type="dxa"/>
            <w:shd w:val="clear" w:color="auto" w:fill="auto"/>
            <w:noWrap/>
            <w:vAlign w:val="center"/>
            <w:hideMark/>
          </w:tcPr>
          <w:p w14:paraId="343E593F" w14:textId="77777777" w:rsidR="00A3213E" w:rsidRPr="00C47F2F" w:rsidRDefault="00A3213E" w:rsidP="000F593F">
            <w:pPr>
              <w:pStyle w:val="Table"/>
              <w:rPr>
                <w:noProof/>
                <w:sz w:val="20"/>
                <w:szCs w:val="20"/>
              </w:rPr>
            </w:pPr>
            <w:r w:rsidRPr="00C47F2F">
              <w:rPr>
                <w:noProof/>
                <w:sz w:val="20"/>
                <w:szCs w:val="20"/>
              </w:rPr>
              <w:t>9.90E-02</w:t>
            </w:r>
          </w:p>
        </w:tc>
        <w:tc>
          <w:tcPr>
            <w:tcW w:w="986" w:type="dxa"/>
            <w:shd w:val="clear" w:color="auto" w:fill="auto"/>
            <w:noWrap/>
            <w:vAlign w:val="center"/>
            <w:hideMark/>
          </w:tcPr>
          <w:p w14:paraId="56F29AEE" w14:textId="77777777" w:rsidR="00A3213E" w:rsidRPr="00C47F2F" w:rsidRDefault="00A3213E" w:rsidP="000F593F">
            <w:pPr>
              <w:pStyle w:val="Table"/>
              <w:rPr>
                <w:noProof/>
                <w:sz w:val="20"/>
                <w:szCs w:val="20"/>
              </w:rPr>
            </w:pPr>
            <w:r w:rsidRPr="00C47F2F">
              <w:rPr>
                <w:noProof/>
                <w:sz w:val="20"/>
                <w:szCs w:val="20"/>
              </w:rPr>
              <w:t>9.90E-02</w:t>
            </w:r>
          </w:p>
        </w:tc>
        <w:tc>
          <w:tcPr>
            <w:tcW w:w="986" w:type="dxa"/>
            <w:shd w:val="clear" w:color="auto" w:fill="auto"/>
            <w:noWrap/>
            <w:vAlign w:val="center"/>
            <w:hideMark/>
          </w:tcPr>
          <w:p w14:paraId="342E7C85" w14:textId="77777777" w:rsidR="00A3213E" w:rsidRPr="00C47F2F" w:rsidRDefault="00A3213E" w:rsidP="000F593F">
            <w:pPr>
              <w:pStyle w:val="Table"/>
              <w:rPr>
                <w:noProof/>
                <w:sz w:val="20"/>
                <w:szCs w:val="20"/>
              </w:rPr>
            </w:pPr>
            <w:r w:rsidRPr="00C47F2F">
              <w:rPr>
                <w:noProof/>
                <w:sz w:val="20"/>
                <w:szCs w:val="20"/>
              </w:rPr>
              <w:t>9.90E-02</w:t>
            </w:r>
          </w:p>
        </w:tc>
        <w:tc>
          <w:tcPr>
            <w:tcW w:w="986" w:type="dxa"/>
            <w:shd w:val="clear" w:color="auto" w:fill="auto"/>
            <w:noWrap/>
            <w:vAlign w:val="center"/>
            <w:hideMark/>
          </w:tcPr>
          <w:p w14:paraId="766BCEE8" w14:textId="77777777" w:rsidR="00A3213E" w:rsidRPr="00C47F2F" w:rsidRDefault="00A3213E" w:rsidP="000F593F">
            <w:pPr>
              <w:pStyle w:val="Table"/>
              <w:rPr>
                <w:noProof/>
                <w:sz w:val="20"/>
                <w:szCs w:val="20"/>
              </w:rPr>
            </w:pPr>
            <w:r w:rsidRPr="00C47F2F">
              <w:rPr>
                <w:noProof/>
                <w:sz w:val="20"/>
                <w:szCs w:val="20"/>
              </w:rPr>
              <w:t>9.90E-02</w:t>
            </w:r>
          </w:p>
        </w:tc>
      </w:tr>
      <w:tr w:rsidR="00A3213E" w:rsidRPr="00972C81" w14:paraId="5C5AC2ED" w14:textId="77777777" w:rsidTr="000F593F">
        <w:trPr>
          <w:trHeight w:val="340"/>
        </w:trPr>
        <w:tc>
          <w:tcPr>
            <w:tcW w:w="3111" w:type="dxa"/>
            <w:shd w:val="clear" w:color="auto" w:fill="auto"/>
            <w:noWrap/>
            <w:vAlign w:val="center"/>
            <w:hideMark/>
          </w:tcPr>
          <w:p w14:paraId="56B6B3EF" w14:textId="360C9203" w:rsidR="00A3213E" w:rsidRPr="00A3213E" w:rsidRDefault="00A3213E" w:rsidP="000F593F">
            <w:pPr>
              <w:pStyle w:val="Table"/>
              <w:rPr>
                <w:noProof/>
                <w:sz w:val="20"/>
                <w:szCs w:val="22"/>
              </w:rPr>
            </w:pPr>
            <w:r w:rsidRPr="00A3213E">
              <w:rPr>
                <w:noProof/>
                <w:sz w:val="20"/>
                <w:szCs w:val="22"/>
              </w:rPr>
              <w:t>Kidneys 2 to Blood</w:t>
            </w:r>
          </w:p>
        </w:tc>
        <w:tc>
          <w:tcPr>
            <w:tcW w:w="986" w:type="dxa"/>
            <w:shd w:val="clear" w:color="auto" w:fill="auto"/>
            <w:noWrap/>
            <w:vAlign w:val="center"/>
            <w:hideMark/>
          </w:tcPr>
          <w:p w14:paraId="3A21B230" w14:textId="77777777" w:rsidR="00A3213E" w:rsidRPr="00C47F2F" w:rsidRDefault="00A3213E" w:rsidP="000F593F">
            <w:pPr>
              <w:pStyle w:val="Table"/>
              <w:rPr>
                <w:noProof/>
                <w:sz w:val="20"/>
                <w:szCs w:val="20"/>
              </w:rPr>
            </w:pPr>
            <w:r w:rsidRPr="00C47F2F">
              <w:rPr>
                <w:noProof/>
                <w:sz w:val="20"/>
                <w:szCs w:val="20"/>
              </w:rPr>
              <w:t>1.39E-03</w:t>
            </w:r>
          </w:p>
        </w:tc>
        <w:tc>
          <w:tcPr>
            <w:tcW w:w="986" w:type="dxa"/>
            <w:shd w:val="clear" w:color="auto" w:fill="auto"/>
            <w:noWrap/>
            <w:vAlign w:val="center"/>
            <w:hideMark/>
          </w:tcPr>
          <w:p w14:paraId="39BDB786" w14:textId="77777777" w:rsidR="00A3213E" w:rsidRPr="00C47F2F" w:rsidRDefault="00A3213E" w:rsidP="000F593F">
            <w:pPr>
              <w:pStyle w:val="Table"/>
              <w:rPr>
                <w:noProof/>
                <w:sz w:val="20"/>
                <w:szCs w:val="20"/>
              </w:rPr>
            </w:pPr>
            <w:r w:rsidRPr="00C47F2F">
              <w:rPr>
                <w:noProof/>
                <w:sz w:val="20"/>
                <w:szCs w:val="20"/>
              </w:rPr>
              <w:t>1.39E-03</w:t>
            </w:r>
          </w:p>
        </w:tc>
        <w:tc>
          <w:tcPr>
            <w:tcW w:w="986" w:type="dxa"/>
            <w:shd w:val="clear" w:color="auto" w:fill="auto"/>
            <w:noWrap/>
            <w:vAlign w:val="center"/>
            <w:hideMark/>
          </w:tcPr>
          <w:p w14:paraId="3E367296" w14:textId="77777777" w:rsidR="00A3213E" w:rsidRPr="00C47F2F" w:rsidRDefault="00A3213E" w:rsidP="000F593F">
            <w:pPr>
              <w:pStyle w:val="Table"/>
              <w:rPr>
                <w:noProof/>
                <w:sz w:val="20"/>
                <w:szCs w:val="20"/>
              </w:rPr>
            </w:pPr>
            <w:r w:rsidRPr="00C47F2F">
              <w:rPr>
                <w:noProof/>
                <w:sz w:val="20"/>
                <w:szCs w:val="20"/>
              </w:rPr>
              <w:t>1.39E-03</w:t>
            </w:r>
          </w:p>
        </w:tc>
        <w:tc>
          <w:tcPr>
            <w:tcW w:w="986" w:type="dxa"/>
            <w:shd w:val="clear" w:color="auto" w:fill="auto"/>
            <w:noWrap/>
            <w:vAlign w:val="center"/>
            <w:hideMark/>
          </w:tcPr>
          <w:p w14:paraId="49D6B557" w14:textId="77777777" w:rsidR="00A3213E" w:rsidRPr="00C47F2F" w:rsidRDefault="00A3213E" w:rsidP="000F593F">
            <w:pPr>
              <w:pStyle w:val="Table"/>
              <w:rPr>
                <w:noProof/>
                <w:sz w:val="20"/>
                <w:szCs w:val="20"/>
              </w:rPr>
            </w:pPr>
            <w:r w:rsidRPr="00C47F2F">
              <w:rPr>
                <w:noProof/>
                <w:sz w:val="20"/>
                <w:szCs w:val="20"/>
              </w:rPr>
              <w:t>1.39E-03</w:t>
            </w:r>
          </w:p>
        </w:tc>
        <w:tc>
          <w:tcPr>
            <w:tcW w:w="986" w:type="dxa"/>
            <w:shd w:val="clear" w:color="auto" w:fill="auto"/>
            <w:noWrap/>
            <w:vAlign w:val="center"/>
            <w:hideMark/>
          </w:tcPr>
          <w:p w14:paraId="4CF7A412" w14:textId="77777777" w:rsidR="00A3213E" w:rsidRPr="00C47F2F" w:rsidRDefault="00A3213E" w:rsidP="000F593F">
            <w:pPr>
              <w:pStyle w:val="Table"/>
              <w:rPr>
                <w:noProof/>
                <w:sz w:val="20"/>
                <w:szCs w:val="20"/>
              </w:rPr>
            </w:pPr>
            <w:r w:rsidRPr="00C47F2F">
              <w:rPr>
                <w:noProof/>
                <w:sz w:val="20"/>
                <w:szCs w:val="20"/>
              </w:rPr>
              <w:t>1.39E-03</w:t>
            </w:r>
          </w:p>
        </w:tc>
        <w:tc>
          <w:tcPr>
            <w:tcW w:w="986" w:type="dxa"/>
            <w:shd w:val="clear" w:color="auto" w:fill="auto"/>
            <w:noWrap/>
            <w:vAlign w:val="center"/>
            <w:hideMark/>
          </w:tcPr>
          <w:p w14:paraId="535E1BBB" w14:textId="77777777" w:rsidR="00A3213E" w:rsidRPr="00C47F2F" w:rsidRDefault="00A3213E" w:rsidP="000F593F">
            <w:pPr>
              <w:pStyle w:val="Table"/>
              <w:rPr>
                <w:noProof/>
                <w:sz w:val="20"/>
                <w:szCs w:val="20"/>
              </w:rPr>
            </w:pPr>
            <w:r w:rsidRPr="00C47F2F">
              <w:rPr>
                <w:noProof/>
                <w:sz w:val="20"/>
                <w:szCs w:val="20"/>
              </w:rPr>
              <w:t>1.39E-03</w:t>
            </w:r>
          </w:p>
        </w:tc>
      </w:tr>
      <w:tr w:rsidR="00A3213E" w:rsidRPr="00972C81" w14:paraId="639E0DEE" w14:textId="77777777" w:rsidTr="000F593F">
        <w:trPr>
          <w:trHeight w:val="340"/>
        </w:trPr>
        <w:tc>
          <w:tcPr>
            <w:tcW w:w="3111" w:type="dxa"/>
            <w:shd w:val="clear" w:color="auto" w:fill="auto"/>
            <w:noWrap/>
            <w:vAlign w:val="center"/>
            <w:hideMark/>
          </w:tcPr>
          <w:p w14:paraId="20F4F0D1" w14:textId="0BF8F107" w:rsidR="00A3213E" w:rsidRPr="00A3213E" w:rsidRDefault="00A3213E" w:rsidP="000F593F">
            <w:pPr>
              <w:pStyle w:val="Table"/>
              <w:rPr>
                <w:noProof/>
                <w:sz w:val="20"/>
                <w:szCs w:val="22"/>
              </w:rPr>
            </w:pPr>
            <w:r w:rsidRPr="00A3213E">
              <w:rPr>
                <w:noProof/>
                <w:sz w:val="20"/>
                <w:szCs w:val="22"/>
              </w:rPr>
              <w:t>Testes to Blood</w:t>
            </w:r>
          </w:p>
        </w:tc>
        <w:tc>
          <w:tcPr>
            <w:tcW w:w="986" w:type="dxa"/>
            <w:shd w:val="clear" w:color="auto" w:fill="auto"/>
            <w:noWrap/>
            <w:vAlign w:val="center"/>
            <w:hideMark/>
          </w:tcPr>
          <w:p w14:paraId="6FC738EC" w14:textId="77777777" w:rsidR="00A3213E" w:rsidRPr="00C47F2F" w:rsidRDefault="00A3213E" w:rsidP="000F593F">
            <w:pPr>
              <w:pStyle w:val="Table"/>
              <w:rPr>
                <w:noProof/>
                <w:sz w:val="20"/>
                <w:szCs w:val="20"/>
              </w:rPr>
            </w:pPr>
            <w:r w:rsidRPr="00C47F2F">
              <w:rPr>
                <w:noProof/>
                <w:sz w:val="20"/>
                <w:szCs w:val="20"/>
              </w:rPr>
              <w:t>3.80E-04</w:t>
            </w:r>
          </w:p>
        </w:tc>
        <w:tc>
          <w:tcPr>
            <w:tcW w:w="986" w:type="dxa"/>
            <w:shd w:val="clear" w:color="auto" w:fill="auto"/>
            <w:noWrap/>
            <w:vAlign w:val="center"/>
            <w:hideMark/>
          </w:tcPr>
          <w:p w14:paraId="48DF9C03" w14:textId="77777777" w:rsidR="00A3213E" w:rsidRPr="00C47F2F" w:rsidRDefault="00A3213E" w:rsidP="000F593F">
            <w:pPr>
              <w:pStyle w:val="Table"/>
              <w:rPr>
                <w:noProof/>
                <w:sz w:val="20"/>
                <w:szCs w:val="20"/>
              </w:rPr>
            </w:pPr>
            <w:r w:rsidRPr="00C47F2F">
              <w:rPr>
                <w:noProof/>
                <w:sz w:val="20"/>
                <w:szCs w:val="20"/>
              </w:rPr>
              <w:t>3.80E-04</w:t>
            </w:r>
          </w:p>
        </w:tc>
        <w:tc>
          <w:tcPr>
            <w:tcW w:w="986" w:type="dxa"/>
            <w:shd w:val="clear" w:color="auto" w:fill="auto"/>
            <w:noWrap/>
            <w:vAlign w:val="center"/>
            <w:hideMark/>
          </w:tcPr>
          <w:p w14:paraId="4570F6AE" w14:textId="77777777" w:rsidR="00A3213E" w:rsidRPr="00C47F2F" w:rsidRDefault="00A3213E" w:rsidP="000F593F">
            <w:pPr>
              <w:pStyle w:val="Table"/>
              <w:rPr>
                <w:noProof/>
                <w:sz w:val="20"/>
                <w:szCs w:val="20"/>
              </w:rPr>
            </w:pPr>
            <w:r w:rsidRPr="00C47F2F">
              <w:rPr>
                <w:noProof/>
                <w:sz w:val="20"/>
                <w:szCs w:val="20"/>
              </w:rPr>
              <w:t>3.80E-04</w:t>
            </w:r>
          </w:p>
        </w:tc>
        <w:tc>
          <w:tcPr>
            <w:tcW w:w="986" w:type="dxa"/>
            <w:shd w:val="clear" w:color="auto" w:fill="auto"/>
            <w:noWrap/>
            <w:vAlign w:val="center"/>
            <w:hideMark/>
          </w:tcPr>
          <w:p w14:paraId="19B45804" w14:textId="77777777" w:rsidR="00A3213E" w:rsidRPr="00C47F2F" w:rsidRDefault="00A3213E" w:rsidP="000F593F">
            <w:pPr>
              <w:pStyle w:val="Table"/>
              <w:rPr>
                <w:noProof/>
                <w:sz w:val="20"/>
                <w:szCs w:val="20"/>
              </w:rPr>
            </w:pPr>
            <w:r w:rsidRPr="00C47F2F">
              <w:rPr>
                <w:noProof/>
                <w:sz w:val="20"/>
                <w:szCs w:val="20"/>
              </w:rPr>
              <w:t>3.80E-04</w:t>
            </w:r>
          </w:p>
        </w:tc>
        <w:tc>
          <w:tcPr>
            <w:tcW w:w="986" w:type="dxa"/>
            <w:shd w:val="clear" w:color="auto" w:fill="auto"/>
            <w:noWrap/>
            <w:vAlign w:val="center"/>
            <w:hideMark/>
          </w:tcPr>
          <w:p w14:paraId="36A14D06" w14:textId="77777777" w:rsidR="00A3213E" w:rsidRPr="00C47F2F" w:rsidRDefault="00A3213E" w:rsidP="000F593F">
            <w:pPr>
              <w:pStyle w:val="Table"/>
              <w:rPr>
                <w:noProof/>
                <w:sz w:val="20"/>
                <w:szCs w:val="20"/>
              </w:rPr>
            </w:pPr>
            <w:r w:rsidRPr="00C47F2F">
              <w:rPr>
                <w:noProof/>
                <w:sz w:val="20"/>
                <w:szCs w:val="20"/>
              </w:rPr>
              <w:t>3.80E-04</w:t>
            </w:r>
          </w:p>
        </w:tc>
        <w:tc>
          <w:tcPr>
            <w:tcW w:w="986" w:type="dxa"/>
            <w:shd w:val="clear" w:color="auto" w:fill="auto"/>
            <w:noWrap/>
            <w:vAlign w:val="center"/>
            <w:hideMark/>
          </w:tcPr>
          <w:p w14:paraId="6514A22A" w14:textId="77777777" w:rsidR="00A3213E" w:rsidRPr="00C47F2F" w:rsidRDefault="00A3213E" w:rsidP="000F593F">
            <w:pPr>
              <w:pStyle w:val="Table"/>
              <w:rPr>
                <w:noProof/>
                <w:sz w:val="20"/>
                <w:szCs w:val="20"/>
              </w:rPr>
            </w:pPr>
            <w:r w:rsidRPr="00C47F2F">
              <w:rPr>
                <w:noProof/>
                <w:sz w:val="20"/>
                <w:szCs w:val="20"/>
              </w:rPr>
              <w:t>3.80E-04</w:t>
            </w:r>
          </w:p>
        </w:tc>
      </w:tr>
      <w:tr w:rsidR="00A3213E" w:rsidRPr="00972C81" w14:paraId="72300744" w14:textId="77777777" w:rsidTr="000F593F">
        <w:trPr>
          <w:trHeight w:val="340"/>
        </w:trPr>
        <w:tc>
          <w:tcPr>
            <w:tcW w:w="3111" w:type="dxa"/>
            <w:tcBorders>
              <w:bottom w:val="single" w:sz="4" w:space="0" w:color="auto"/>
            </w:tcBorders>
            <w:shd w:val="clear" w:color="auto" w:fill="auto"/>
            <w:noWrap/>
            <w:vAlign w:val="center"/>
            <w:hideMark/>
          </w:tcPr>
          <w:p w14:paraId="41895A26" w14:textId="78F16A5B" w:rsidR="00A3213E" w:rsidRPr="00A3213E" w:rsidRDefault="00A3213E" w:rsidP="000F593F">
            <w:pPr>
              <w:pStyle w:val="Table"/>
              <w:rPr>
                <w:noProof/>
                <w:sz w:val="20"/>
                <w:szCs w:val="22"/>
              </w:rPr>
            </w:pPr>
            <w:r w:rsidRPr="00A3213E">
              <w:rPr>
                <w:noProof/>
                <w:sz w:val="20"/>
                <w:szCs w:val="22"/>
              </w:rPr>
              <w:t>Ovaries to Blood</w:t>
            </w:r>
          </w:p>
        </w:tc>
        <w:tc>
          <w:tcPr>
            <w:tcW w:w="986" w:type="dxa"/>
            <w:tcBorders>
              <w:bottom w:val="single" w:sz="4" w:space="0" w:color="auto"/>
            </w:tcBorders>
            <w:shd w:val="clear" w:color="auto" w:fill="auto"/>
            <w:noWrap/>
            <w:vAlign w:val="center"/>
            <w:hideMark/>
          </w:tcPr>
          <w:p w14:paraId="4D5432DB" w14:textId="77777777" w:rsidR="00A3213E" w:rsidRPr="00C47F2F" w:rsidRDefault="00A3213E" w:rsidP="000F593F">
            <w:pPr>
              <w:pStyle w:val="Table"/>
              <w:rPr>
                <w:noProof/>
                <w:sz w:val="20"/>
                <w:szCs w:val="20"/>
              </w:rPr>
            </w:pPr>
            <w:r w:rsidRPr="00C47F2F">
              <w:rPr>
                <w:noProof/>
                <w:sz w:val="20"/>
                <w:szCs w:val="20"/>
              </w:rPr>
              <w:t>3.80E-04</w:t>
            </w:r>
          </w:p>
        </w:tc>
        <w:tc>
          <w:tcPr>
            <w:tcW w:w="986" w:type="dxa"/>
            <w:tcBorders>
              <w:bottom w:val="single" w:sz="4" w:space="0" w:color="auto"/>
            </w:tcBorders>
            <w:shd w:val="clear" w:color="auto" w:fill="auto"/>
            <w:noWrap/>
            <w:vAlign w:val="center"/>
            <w:hideMark/>
          </w:tcPr>
          <w:p w14:paraId="322FC73D" w14:textId="77777777" w:rsidR="00A3213E" w:rsidRPr="00C47F2F" w:rsidRDefault="00A3213E" w:rsidP="000F593F">
            <w:pPr>
              <w:pStyle w:val="Table"/>
              <w:rPr>
                <w:noProof/>
                <w:sz w:val="20"/>
                <w:szCs w:val="20"/>
              </w:rPr>
            </w:pPr>
            <w:r w:rsidRPr="00C47F2F">
              <w:rPr>
                <w:noProof/>
                <w:sz w:val="20"/>
                <w:szCs w:val="20"/>
              </w:rPr>
              <w:t>3.80E-04</w:t>
            </w:r>
          </w:p>
        </w:tc>
        <w:tc>
          <w:tcPr>
            <w:tcW w:w="986" w:type="dxa"/>
            <w:tcBorders>
              <w:bottom w:val="single" w:sz="4" w:space="0" w:color="auto"/>
            </w:tcBorders>
            <w:shd w:val="clear" w:color="auto" w:fill="auto"/>
            <w:noWrap/>
            <w:vAlign w:val="center"/>
            <w:hideMark/>
          </w:tcPr>
          <w:p w14:paraId="6DFB342B" w14:textId="77777777" w:rsidR="00A3213E" w:rsidRPr="00C47F2F" w:rsidRDefault="00A3213E" w:rsidP="000F593F">
            <w:pPr>
              <w:pStyle w:val="Table"/>
              <w:rPr>
                <w:noProof/>
                <w:sz w:val="20"/>
                <w:szCs w:val="20"/>
              </w:rPr>
            </w:pPr>
            <w:r w:rsidRPr="00C47F2F">
              <w:rPr>
                <w:noProof/>
                <w:sz w:val="20"/>
                <w:szCs w:val="20"/>
              </w:rPr>
              <w:t>3.80E-04</w:t>
            </w:r>
          </w:p>
        </w:tc>
        <w:tc>
          <w:tcPr>
            <w:tcW w:w="986" w:type="dxa"/>
            <w:tcBorders>
              <w:bottom w:val="single" w:sz="4" w:space="0" w:color="auto"/>
            </w:tcBorders>
            <w:shd w:val="clear" w:color="auto" w:fill="auto"/>
            <w:noWrap/>
            <w:vAlign w:val="center"/>
            <w:hideMark/>
          </w:tcPr>
          <w:p w14:paraId="590D3AA0" w14:textId="77777777" w:rsidR="00A3213E" w:rsidRPr="00C47F2F" w:rsidRDefault="00A3213E" w:rsidP="000F593F">
            <w:pPr>
              <w:pStyle w:val="Table"/>
              <w:rPr>
                <w:noProof/>
                <w:sz w:val="20"/>
                <w:szCs w:val="20"/>
              </w:rPr>
            </w:pPr>
            <w:r w:rsidRPr="00C47F2F">
              <w:rPr>
                <w:noProof/>
                <w:sz w:val="20"/>
                <w:szCs w:val="20"/>
              </w:rPr>
              <w:t>3.80E-04</w:t>
            </w:r>
          </w:p>
        </w:tc>
        <w:tc>
          <w:tcPr>
            <w:tcW w:w="986" w:type="dxa"/>
            <w:tcBorders>
              <w:bottom w:val="single" w:sz="4" w:space="0" w:color="auto"/>
            </w:tcBorders>
            <w:shd w:val="clear" w:color="auto" w:fill="auto"/>
            <w:noWrap/>
            <w:vAlign w:val="center"/>
            <w:hideMark/>
          </w:tcPr>
          <w:p w14:paraId="6B8EE044" w14:textId="77777777" w:rsidR="00A3213E" w:rsidRPr="00C47F2F" w:rsidRDefault="00A3213E" w:rsidP="000F593F">
            <w:pPr>
              <w:pStyle w:val="Table"/>
              <w:rPr>
                <w:noProof/>
                <w:sz w:val="20"/>
                <w:szCs w:val="20"/>
              </w:rPr>
            </w:pPr>
            <w:r w:rsidRPr="00C47F2F">
              <w:rPr>
                <w:noProof/>
                <w:sz w:val="20"/>
                <w:szCs w:val="20"/>
              </w:rPr>
              <w:t>3.80E-04</w:t>
            </w:r>
          </w:p>
        </w:tc>
        <w:tc>
          <w:tcPr>
            <w:tcW w:w="986" w:type="dxa"/>
            <w:tcBorders>
              <w:bottom w:val="single" w:sz="4" w:space="0" w:color="auto"/>
            </w:tcBorders>
            <w:shd w:val="clear" w:color="auto" w:fill="auto"/>
            <w:noWrap/>
            <w:vAlign w:val="center"/>
            <w:hideMark/>
          </w:tcPr>
          <w:p w14:paraId="633E903B" w14:textId="77777777" w:rsidR="00A3213E" w:rsidRPr="00C47F2F" w:rsidRDefault="00A3213E" w:rsidP="000F593F">
            <w:pPr>
              <w:pStyle w:val="Table"/>
              <w:rPr>
                <w:noProof/>
                <w:sz w:val="20"/>
                <w:szCs w:val="20"/>
              </w:rPr>
            </w:pPr>
            <w:r w:rsidRPr="00C47F2F">
              <w:rPr>
                <w:noProof/>
                <w:sz w:val="20"/>
                <w:szCs w:val="20"/>
              </w:rPr>
              <w:t>3.80E-04</w:t>
            </w:r>
          </w:p>
        </w:tc>
      </w:tr>
    </w:tbl>
    <w:p w14:paraId="5E764A78" w14:textId="77777777" w:rsidR="00A3213E" w:rsidRPr="006A4B24" w:rsidRDefault="00A3213E" w:rsidP="00A3213E">
      <w:pPr>
        <w:pStyle w:val="MainTextPreference"/>
        <w:rPr>
          <w:noProof/>
          <w:sz w:val="20"/>
        </w:rPr>
      </w:pPr>
      <w:bookmarkStart w:id="252" w:name="_Hlk160442510"/>
      <w:r w:rsidRPr="006A4B24">
        <w:rPr>
          <w:noProof/>
          <w:sz w:val="20"/>
          <w:vertAlign w:val="superscript"/>
        </w:rPr>
        <w:t>a</w:t>
      </w:r>
      <w:r w:rsidRPr="006A4B24">
        <w:rPr>
          <w:noProof/>
          <w:sz w:val="20"/>
        </w:rPr>
        <w:t>Cort = Cortical, Trab = Trabecular, surf = surface, vol = volume, cont = content, RC = Right colon, SI = Small intestine</w:t>
      </w:r>
      <w:bookmarkEnd w:id="252"/>
      <w:r w:rsidRPr="006A4B24">
        <w:rPr>
          <w:noProof/>
          <w:sz w:val="20"/>
        </w:rPr>
        <w:t xml:space="preserve"> </w:t>
      </w:r>
    </w:p>
    <w:p w14:paraId="2C16AF68" w14:textId="77777777" w:rsidR="00A3213E" w:rsidRDefault="00A3213E" w:rsidP="00E52659">
      <w:pPr>
        <w:pStyle w:val="Annalstext"/>
        <w:numPr>
          <w:ilvl w:val="0"/>
          <w:numId w:val="0"/>
        </w:numPr>
        <w:ind w:firstLine="284"/>
      </w:pPr>
    </w:p>
    <w:p w14:paraId="5540BB92" w14:textId="037EA1ED" w:rsidR="009821A6" w:rsidRPr="00972C81" w:rsidRDefault="009821A6" w:rsidP="006703A2">
      <w:pPr>
        <w:pStyle w:val="OIRTitre4"/>
      </w:pPr>
      <w:r w:rsidRPr="00972C81">
        <w:t>Treatment of radioactive progeny</w:t>
      </w:r>
    </w:p>
    <w:p w14:paraId="4EE5F8E9" w14:textId="0FFEE32E" w:rsidR="009821A6" w:rsidRPr="00972C81" w:rsidRDefault="009821A6" w:rsidP="001C4A92">
      <w:pPr>
        <w:pStyle w:val="Annalstext"/>
        <w:rPr>
          <w:noProof/>
        </w:rPr>
      </w:pPr>
      <w:r w:rsidRPr="00972C81">
        <w:rPr>
          <w:rFonts w:eastAsia="Calibri"/>
          <w:noProof/>
        </w:rPr>
        <w:t xml:space="preserve">The treatment of radioactive progeny </w:t>
      </w:r>
      <w:r w:rsidRPr="00972C81">
        <w:rPr>
          <w:noProof/>
        </w:rPr>
        <w:t>produced</w:t>
      </w:r>
      <w:r w:rsidRPr="00972C81">
        <w:rPr>
          <w:rFonts w:eastAsia="Calibri"/>
          <w:noProof/>
        </w:rPr>
        <w:t xml:space="preserve"> in systemic compartments after intake of a radioisotope of actinium is described in Section 18.2.4. of </w:t>
      </w:r>
      <w:r w:rsidR="008278DA" w:rsidRPr="00972C81">
        <w:rPr>
          <w:i/>
          <w:noProof/>
        </w:rPr>
        <w:t>Publication 141</w:t>
      </w:r>
      <w:r w:rsidR="008278DA" w:rsidRPr="00972C81">
        <w:rPr>
          <w:noProof/>
        </w:rPr>
        <w:t xml:space="preserve"> </w:t>
      </w:r>
      <w:r w:rsidR="00977C55" w:rsidRPr="00972C81">
        <w:rPr>
          <w:noProof/>
        </w:rPr>
        <w:fldChar w:fldCharType="begin"/>
      </w:r>
      <w:r w:rsidR="00977C55" w:rsidRPr="00972C81">
        <w:rPr>
          <w:noProof/>
        </w:rPr>
        <w:instrText xml:space="preserve"> ADDIN ZOTERO_ITEM CSL_CITATION {"citationID":"llbzmkUu","properties":{"formattedCitation":"(ICRP,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977C55" w:rsidRPr="00972C81">
        <w:rPr>
          <w:noProof/>
        </w:rPr>
        <w:fldChar w:fldCharType="separate"/>
      </w:r>
      <w:r w:rsidR="00BC59C6" w:rsidRPr="00972C81">
        <w:rPr>
          <w:noProof/>
        </w:rPr>
        <w:t>(ICRP, 2019)</w:t>
      </w:r>
      <w:r w:rsidR="00977C55" w:rsidRPr="00972C81">
        <w:rPr>
          <w:noProof/>
        </w:rPr>
        <w:fldChar w:fldCharType="end"/>
      </w:r>
      <w:r w:rsidR="008278DA" w:rsidRPr="00972C81">
        <w:rPr>
          <w:noProof/>
        </w:rPr>
        <w:t>.</w:t>
      </w:r>
    </w:p>
    <w:p w14:paraId="2524DE06" w14:textId="77777777" w:rsidR="009821A6" w:rsidRPr="00972C81" w:rsidRDefault="009821A6" w:rsidP="00E81109">
      <w:pPr>
        <w:pStyle w:val="2"/>
        <w:rPr>
          <w:noProof/>
          <w:lang w:val="en-GB"/>
        </w:rPr>
      </w:pPr>
      <w:bookmarkStart w:id="253" w:name="_Toc521690395"/>
      <w:bookmarkStart w:id="254" w:name="_Toc162630078"/>
      <w:r w:rsidRPr="00972C81">
        <w:rPr>
          <w:noProof/>
          <w:lang w:val="en-GB"/>
        </w:rPr>
        <w:lastRenderedPageBreak/>
        <w:t>Dosimetric data for actinium</w:t>
      </w:r>
      <w:bookmarkEnd w:id="253"/>
      <w:bookmarkEnd w:id="254"/>
    </w:p>
    <w:p w14:paraId="70E32894" w14:textId="008F0C67" w:rsidR="00B44754" w:rsidRPr="00972C81" w:rsidRDefault="00B44754" w:rsidP="00B44754">
      <w:pPr>
        <w:pStyle w:val="ab"/>
        <w:rPr>
          <w:noProof/>
          <w:sz w:val="24"/>
          <w:szCs w:val="24"/>
        </w:rPr>
      </w:pPr>
      <w:r w:rsidRPr="00972C81">
        <w:rPr>
          <w:noProof/>
          <w:sz w:val="24"/>
          <w:szCs w:val="24"/>
        </w:rPr>
        <w:t>Table 17.3.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228</w:t>
      </w:r>
      <w:r w:rsidRPr="00972C81">
        <w:rPr>
          <w:noProof/>
          <w:sz w:val="24"/>
          <w:szCs w:val="24"/>
        </w:rPr>
        <w:t>Ac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B44754" w:rsidRPr="00A3213E" w14:paraId="5CADEC8B" w14:textId="77777777" w:rsidTr="000F593F">
        <w:trPr>
          <w:trHeight w:val="340"/>
        </w:trPr>
        <w:tc>
          <w:tcPr>
            <w:tcW w:w="2087" w:type="pct"/>
            <w:vMerge w:val="restart"/>
            <w:tcBorders>
              <w:top w:val="single" w:sz="4" w:space="0" w:color="auto"/>
              <w:left w:val="nil"/>
              <w:bottom w:val="single" w:sz="4" w:space="0" w:color="auto"/>
              <w:right w:val="nil"/>
            </w:tcBorders>
            <w:vAlign w:val="bottom"/>
            <w:hideMark/>
          </w:tcPr>
          <w:p w14:paraId="05646CB5" w14:textId="77777777" w:rsidR="00143A79" w:rsidRDefault="00B44754" w:rsidP="00C47F2F">
            <w:pPr>
              <w:pStyle w:val="a5"/>
              <w:tabs>
                <w:tab w:val="clear" w:pos="4153"/>
                <w:tab w:val="clear" w:pos="8306"/>
              </w:tabs>
              <w:jc w:val="left"/>
              <w:rPr>
                <w:noProof/>
                <w:sz w:val="22"/>
                <w:szCs w:val="22"/>
              </w:rPr>
            </w:pPr>
            <w:r w:rsidRPr="00C47F2F">
              <w:rPr>
                <w:noProof/>
                <w:sz w:val="22"/>
                <w:szCs w:val="22"/>
              </w:rPr>
              <w:t>Inhaled particulate materials</w:t>
            </w:r>
          </w:p>
          <w:p w14:paraId="2AAFF7C0" w14:textId="0B7C9E97" w:rsidR="00B44754" w:rsidRPr="00143A79" w:rsidRDefault="00B44754" w:rsidP="00C47F2F">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3BC055F2" w14:textId="77777777" w:rsidR="00B44754" w:rsidRPr="00C47F2F" w:rsidRDefault="00B44754" w:rsidP="000F593F">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B44754" w:rsidRPr="00972C81" w14:paraId="5655B2EE" w14:textId="77777777" w:rsidTr="000F593F">
        <w:trPr>
          <w:trHeight w:val="340"/>
        </w:trPr>
        <w:tc>
          <w:tcPr>
            <w:tcW w:w="2087" w:type="pct"/>
            <w:vMerge/>
            <w:tcBorders>
              <w:top w:val="single" w:sz="4" w:space="0" w:color="auto"/>
              <w:left w:val="nil"/>
              <w:bottom w:val="single" w:sz="4" w:space="0" w:color="auto"/>
              <w:right w:val="nil"/>
            </w:tcBorders>
            <w:vAlign w:val="center"/>
            <w:hideMark/>
          </w:tcPr>
          <w:p w14:paraId="17588337" w14:textId="77777777" w:rsidR="00B44754" w:rsidRPr="00143A79" w:rsidRDefault="00B44754">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39AE8BFB" w14:textId="6E3614A0" w:rsidR="00B44754" w:rsidRPr="00C47F2F" w:rsidRDefault="00B44754" w:rsidP="000F593F">
            <w:pPr>
              <w:jc w:val="left"/>
              <w:rPr>
                <w:noProof/>
                <w:sz w:val="22"/>
                <w:szCs w:val="22"/>
                <w:lang w:eastAsia="ko-KR"/>
              </w:rPr>
            </w:pPr>
            <w:r w:rsidRPr="00C47F2F">
              <w:rPr>
                <w:noProof/>
                <w:sz w:val="22"/>
                <w:szCs w:val="22"/>
              </w:rPr>
              <w:t>3</w:t>
            </w:r>
            <w:r w:rsidR="00143A79">
              <w:rPr>
                <w:rFonts w:hint="eastAsia"/>
                <w:noProof/>
                <w:sz w:val="22"/>
                <w:szCs w:val="22"/>
                <w:lang w:eastAsia="ko-KR"/>
              </w:rPr>
              <w:t xml:space="preserve"> </w:t>
            </w:r>
            <w:r w:rsidRPr="00C47F2F">
              <w:rPr>
                <w:noProof/>
                <w:sz w:val="22"/>
                <w:szCs w:val="22"/>
              </w:rPr>
              <w:t>m</w:t>
            </w:r>
            <w:r w:rsidR="000F593F">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783CDC18" w14:textId="7EE7131E" w:rsidR="00B44754" w:rsidRPr="00C47F2F" w:rsidRDefault="00B44754" w:rsidP="000F593F">
            <w:pPr>
              <w:jc w:val="left"/>
              <w:rPr>
                <w:noProof/>
                <w:sz w:val="22"/>
                <w:szCs w:val="22"/>
              </w:rPr>
            </w:pPr>
            <w:r w:rsidRPr="00C47F2F">
              <w:rPr>
                <w:noProof/>
                <w:sz w:val="22"/>
                <w:szCs w:val="22"/>
              </w:rPr>
              <w:t>1</w:t>
            </w:r>
            <w:r w:rsidR="00143A7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51D48299" w14:textId="081CD549" w:rsidR="00B44754" w:rsidRPr="00C47F2F" w:rsidRDefault="00B44754" w:rsidP="000F593F">
            <w:pPr>
              <w:jc w:val="left"/>
              <w:rPr>
                <w:noProof/>
                <w:sz w:val="22"/>
                <w:szCs w:val="22"/>
              </w:rPr>
            </w:pPr>
            <w:r w:rsidRPr="00C47F2F">
              <w:rPr>
                <w:noProof/>
                <w:sz w:val="22"/>
                <w:szCs w:val="22"/>
              </w:rPr>
              <w:t>5</w:t>
            </w:r>
            <w:r w:rsidR="00143A7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60A3076A" w14:textId="29B5E89E" w:rsidR="00B44754" w:rsidRPr="00C47F2F" w:rsidRDefault="00B44754" w:rsidP="000F593F">
            <w:pPr>
              <w:jc w:val="left"/>
              <w:rPr>
                <w:noProof/>
                <w:sz w:val="22"/>
                <w:szCs w:val="22"/>
              </w:rPr>
            </w:pPr>
            <w:r w:rsidRPr="00C47F2F">
              <w:rPr>
                <w:noProof/>
                <w:sz w:val="22"/>
                <w:szCs w:val="22"/>
              </w:rPr>
              <w:t>10</w:t>
            </w:r>
            <w:r w:rsidR="00143A79">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6960538F" w14:textId="291A645A" w:rsidR="00B44754" w:rsidRPr="00C47F2F" w:rsidRDefault="00B44754" w:rsidP="000F593F">
            <w:pPr>
              <w:jc w:val="left"/>
              <w:rPr>
                <w:noProof/>
                <w:sz w:val="22"/>
                <w:szCs w:val="22"/>
              </w:rPr>
            </w:pPr>
            <w:r w:rsidRPr="00C47F2F">
              <w:rPr>
                <w:noProof/>
                <w:sz w:val="22"/>
                <w:szCs w:val="22"/>
              </w:rPr>
              <w:t>15</w:t>
            </w:r>
            <w:r w:rsidR="00143A79">
              <w:rPr>
                <w:rFonts w:hint="eastAsia"/>
                <w:noProof/>
                <w:sz w:val="22"/>
                <w:szCs w:val="22"/>
                <w:lang w:eastAsia="ko-KR"/>
              </w:rPr>
              <w:t xml:space="preserve"> </w:t>
            </w:r>
            <w:r w:rsidRPr="00C47F2F">
              <w:rPr>
                <w:noProof/>
                <w:sz w:val="22"/>
                <w:szCs w:val="22"/>
              </w:rPr>
              <w:t>y</w:t>
            </w:r>
          </w:p>
        </w:tc>
        <w:tc>
          <w:tcPr>
            <w:tcW w:w="487" w:type="pct"/>
            <w:tcBorders>
              <w:top w:val="single" w:sz="4" w:space="0" w:color="auto"/>
              <w:left w:val="nil"/>
              <w:bottom w:val="single" w:sz="4" w:space="0" w:color="auto"/>
              <w:right w:val="nil"/>
            </w:tcBorders>
            <w:vAlign w:val="center"/>
            <w:hideMark/>
          </w:tcPr>
          <w:p w14:paraId="2F727DED" w14:textId="77777777" w:rsidR="00B44754" w:rsidRPr="00C47F2F" w:rsidRDefault="00B44754" w:rsidP="000F593F">
            <w:pPr>
              <w:jc w:val="left"/>
              <w:rPr>
                <w:noProof/>
                <w:sz w:val="22"/>
                <w:szCs w:val="22"/>
              </w:rPr>
            </w:pPr>
            <w:r w:rsidRPr="00C47F2F">
              <w:rPr>
                <w:noProof/>
                <w:sz w:val="22"/>
                <w:szCs w:val="22"/>
              </w:rPr>
              <w:t>Adult</w:t>
            </w:r>
          </w:p>
        </w:tc>
      </w:tr>
      <w:tr w:rsidR="00B44754" w:rsidRPr="00972C81" w14:paraId="6A697515" w14:textId="77777777" w:rsidTr="000F593F">
        <w:trPr>
          <w:trHeight w:val="340"/>
        </w:trPr>
        <w:tc>
          <w:tcPr>
            <w:tcW w:w="2087" w:type="pct"/>
            <w:tcBorders>
              <w:top w:val="single" w:sz="4" w:space="0" w:color="auto"/>
              <w:left w:val="nil"/>
              <w:bottom w:val="nil"/>
              <w:right w:val="nil"/>
            </w:tcBorders>
            <w:hideMark/>
          </w:tcPr>
          <w:p w14:paraId="30BE3964" w14:textId="77777777" w:rsidR="00B44754" w:rsidRPr="00C47F2F" w:rsidRDefault="00B44754" w:rsidP="000F593F">
            <w:pPr>
              <w:jc w:val="left"/>
              <w:rPr>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lang w:eastAsia="en-GB"/>
              </w:rPr>
              <w:t>Citrate</w:t>
            </w:r>
          </w:p>
        </w:tc>
        <w:tc>
          <w:tcPr>
            <w:tcW w:w="485" w:type="pct"/>
            <w:tcBorders>
              <w:top w:val="single" w:sz="4" w:space="0" w:color="auto"/>
              <w:left w:val="nil"/>
              <w:bottom w:val="nil"/>
              <w:right w:val="nil"/>
            </w:tcBorders>
            <w:hideMark/>
          </w:tcPr>
          <w:p w14:paraId="0CAC7E82"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4.2E-08</w:t>
            </w:r>
          </w:p>
        </w:tc>
        <w:tc>
          <w:tcPr>
            <w:tcW w:w="485" w:type="pct"/>
            <w:tcBorders>
              <w:top w:val="single" w:sz="4" w:space="0" w:color="auto"/>
              <w:left w:val="nil"/>
              <w:bottom w:val="nil"/>
              <w:right w:val="nil"/>
            </w:tcBorders>
            <w:hideMark/>
          </w:tcPr>
          <w:p w14:paraId="507DF826"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3.1E-08</w:t>
            </w:r>
          </w:p>
        </w:tc>
        <w:tc>
          <w:tcPr>
            <w:tcW w:w="485" w:type="pct"/>
            <w:tcBorders>
              <w:top w:val="single" w:sz="4" w:space="0" w:color="auto"/>
              <w:left w:val="nil"/>
              <w:bottom w:val="nil"/>
              <w:right w:val="nil"/>
            </w:tcBorders>
            <w:hideMark/>
          </w:tcPr>
          <w:p w14:paraId="0BA5A91E"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1.4E-08</w:t>
            </w:r>
          </w:p>
        </w:tc>
        <w:tc>
          <w:tcPr>
            <w:tcW w:w="485" w:type="pct"/>
            <w:tcBorders>
              <w:top w:val="single" w:sz="4" w:space="0" w:color="auto"/>
              <w:left w:val="nil"/>
              <w:bottom w:val="nil"/>
              <w:right w:val="nil"/>
            </w:tcBorders>
            <w:hideMark/>
          </w:tcPr>
          <w:p w14:paraId="6D55992C"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6.7E-09</w:t>
            </w:r>
          </w:p>
        </w:tc>
        <w:tc>
          <w:tcPr>
            <w:tcW w:w="485" w:type="pct"/>
            <w:tcBorders>
              <w:top w:val="single" w:sz="4" w:space="0" w:color="auto"/>
              <w:left w:val="nil"/>
              <w:bottom w:val="nil"/>
              <w:right w:val="nil"/>
            </w:tcBorders>
            <w:hideMark/>
          </w:tcPr>
          <w:p w14:paraId="07E20C72"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5.3E-09</w:t>
            </w:r>
          </w:p>
        </w:tc>
        <w:tc>
          <w:tcPr>
            <w:tcW w:w="487" w:type="pct"/>
            <w:tcBorders>
              <w:top w:val="single" w:sz="4" w:space="0" w:color="auto"/>
              <w:left w:val="nil"/>
              <w:bottom w:val="nil"/>
              <w:right w:val="nil"/>
            </w:tcBorders>
            <w:hideMark/>
          </w:tcPr>
          <w:p w14:paraId="060434C7"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3.9E-09</w:t>
            </w:r>
          </w:p>
        </w:tc>
      </w:tr>
      <w:tr w:rsidR="00B44754" w:rsidRPr="00972C81" w14:paraId="4ADD0CCA" w14:textId="77777777" w:rsidTr="000F593F">
        <w:trPr>
          <w:trHeight w:val="340"/>
        </w:trPr>
        <w:tc>
          <w:tcPr>
            <w:tcW w:w="2087" w:type="pct"/>
            <w:tcBorders>
              <w:top w:val="nil"/>
              <w:left w:val="nil"/>
              <w:bottom w:val="nil"/>
              <w:right w:val="nil"/>
            </w:tcBorders>
            <w:hideMark/>
          </w:tcPr>
          <w:p w14:paraId="6ABD88B5" w14:textId="77777777" w:rsidR="00B44754" w:rsidRPr="00C47F2F" w:rsidRDefault="00B44754" w:rsidP="000F593F">
            <w:pPr>
              <w:jc w:val="left"/>
              <w:rPr>
                <w:rFonts w:eastAsiaTheme="minorHAnsi"/>
                <w:noProof/>
                <w:sz w:val="22"/>
                <w:szCs w:val="22"/>
              </w:rPr>
            </w:pPr>
            <w:r w:rsidRPr="00C47F2F">
              <w:rPr>
                <w:noProof/>
                <w:sz w:val="22"/>
                <w:szCs w:val="22"/>
              </w:rPr>
              <w:t xml:space="preserve">Type M, </w:t>
            </w:r>
            <w:r w:rsidRPr="00C47F2F">
              <w:rPr>
                <w:rFonts w:eastAsia="Times New Roman"/>
                <w:noProof/>
                <w:color w:val="000000"/>
                <w:sz w:val="22"/>
                <w:szCs w:val="22"/>
                <w:lang w:eastAsia="en-GB"/>
              </w:rPr>
              <w:t>Chloride, oxide</w:t>
            </w:r>
          </w:p>
        </w:tc>
        <w:tc>
          <w:tcPr>
            <w:tcW w:w="485" w:type="pct"/>
            <w:tcBorders>
              <w:top w:val="nil"/>
              <w:left w:val="nil"/>
              <w:bottom w:val="nil"/>
              <w:right w:val="nil"/>
            </w:tcBorders>
            <w:hideMark/>
          </w:tcPr>
          <w:p w14:paraId="04327F0B"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3.9E-08</w:t>
            </w:r>
          </w:p>
        </w:tc>
        <w:tc>
          <w:tcPr>
            <w:tcW w:w="485" w:type="pct"/>
            <w:tcBorders>
              <w:top w:val="nil"/>
              <w:left w:val="nil"/>
              <w:bottom w:val="nil"/>
              <w:right w:val="nil"/>
            </w:tcBorders>
            <w:hideMark/>
          </w:tcPr>
          <w:p w14:paraId="20408311"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3.3E-08</w:t>
            </w:r>
          </w:p>
        </w:tc>
        <w:tc>
          <w:tcPr>
            <w:tcW w:w="485" w:type="pct"/>
            <w:tcBorders>
              <w:top w:val="nil"/>
              <w:left w:val="nil"/>
              <w:bottom w:val="nil"/>
              <w:right w:val="nil"/>
            </w:tcBorders>
            <w:hideMark/>
          </w:tcPr>
          <w:p w14:paraId="65F0F43F"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1.7E-08</w:t>
            </w:r>
          </w:p>
        </w:tc>
        <w:tc>
          <w:tcPr>
            <w:tcW w:w="485" w:type="pct"/>
            <w:tcBorders>
              <w:top w:val="nil"/>
              <w:left w:val="nil"/>
              <w:bottom w:val="nil"/>
              <w:right w:val="nil"/>
            </w:tcBorders>
            <w:hideMark/>
          </w:tcPr>
          <w:p w14:paraId="67D70341"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9.4E-09</w:t>
            </w:r>
          </w:p>
        </w:tc>
        <w:tc>
          <w:tcPr>
            <w:tcW w:w="485" w:type="pct"/>
            <w:tcBorders>
              <w:top w:val="nil"/>
              <w:left w:val="nil"/>
              <w:bottom w:val="nil"/>
              <w:right w:val="nil"/>
            </w:tcBorders>
            <w:hideMark/>
          </w:tcPr>
          <w:p w14:paraId="3EA4C3CF"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7.3E-09</w:t>
            </w:r>
          </w:p>
        </w:tc>
        <w:tc>
          <w:tcPr>
            <w:tcW w:w="487" w:type="pct"/>
            <w:tcBorders>
              <w:top w:val="nil"/>
              <w:left w:val="nil"/>
              <w:bottom w:val="nil"/>
              <w:right w:val="nil"/>
            </w:tcBorders>
            <w:hideMark/>
          </w:tcPr>
          <w:p w14:paraId="51F8A4F4"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6.2E-09</w:t>
            </w:r>
          </w:p>
        </w:tc>
      </w:tr>
      <w:tr w:rsidR="00B44754" w:rsidRPr="00972C81" w14:paraId="0B69AB93" w14:textId="77777777" w:rsidTr="000F593F">
        <w:trPr>
          <w:trHeight w:val="340"/>
        </w:trPr>
        <w:tc>
          <w:tcPr>
            <w:tcW w:w="2087" w:type="pct"/>
            <w:tcBorders>
              <w:top w:val="nil"/>
              <w:left w:val="nil"/>
              <w:bottom w:val="single" w:sz="4" w:space="0" w:color="auto"/>
              <w:right w:val="nil"/>
            </w:tcBorders>
            <w:hideMark/>
          </w:tcPr>
          <w:p w14:paraId="1D408DA8" w14:textId="77777777" w:rsidR="00B44754" w:rsidRPr="00C47F2F" w:rsidRDefault="00B44754" w:rsidP="000F593F">
            <w:pPr>
              <w:jc w:val="left"/>
              <w:rPr>
                <w:rFonts w:eastAsiaTheme="minorHAnsi"/>
                <w:noProof/>
                <w:sz w:val="22"/>
                <w:szCs w:val="22"/>
              </w:rPr>
            </w:pPr>
            <w:r w:rsidRPr="00C47F2F">
              <w:rPr>
                <w:noProof/>
                <w:sz w:val="22"/>
                <w:szCs w:val="22"/>
              </w:rPr>
              <w:t>Type S, Actinium associated with plutonium oxide compounds</w:t>
            </w:r>
          </w:p>
        </w:tc>
        <w:tc>
          <w:tcPr>
            <w:tcW w:w="485" w:type="pct"/>
            <w:tcBorders>
              <w:top w:val="nil"/>
              <w:left w:val="nil"/>
              <w:bottom w:val="single" w:sz="4" w:space="0" w:color="auto"/>
              <w:right w:val="nil"/>
            </w:tcBorders>
            <w:hideMark/>
          </w:tcPr>
          <w:p w14:paraId="50872B90"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5.1E-08</w:t>
            </w:r>
          </w:p>
        </w:tc>
        <w:tc>
          <w:tcPr>
            <w:tcW w:w="485" w:type="pct"/>
            <w:tcBorders>
              <w:top w:val="nil"/>
              <w:left w:val="nil"/>
              <w:bottom w:val="single" w:sz="4" w:space="0" w:color="auto"/>
              <w:right w:val="nil"/>
            </w:tcBorders>
            <w:hideMark/>
          </w:tcPr>
          <w:p w14:paraId="6C9F22BA"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4.7E-08</w:t>
            </w:r>
          </w:p>
        </w:tc>
        <w:tc>
          <w:tcPr>
            <w:tcW w:w="485" w:type="pct"/>
            <w:tcBorders>
              <w:top w:val="nil"/>
              <w:left w:val="nil"/>
              <w:bottom w:val="single" w:sz="4" w:space="0" w:color="auto"/>
              <w:right w:val="nil"/>
            </w:tcBorders>
            <w:hideMark/>
          </w:tcPr>
          <w:p w14:paraId="30043D98"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2.8E-08</w:t>
            </w:r>
          </w:p>
        </w:tc>
        <w:tc>
          <w:tcPr>
            <w:tcW w:w="485" w:type="pct"/>
            <w:tcBorders>
              <w:top w:val="nil"/>
              <w:left w:val="nil"/>
              <w:bottom w:val="single" w:sz="4" w:space="0" w:color="auto"/>
              <w:right w:val="nil"/>
            </w:tcBorders>
            <w:hideMark/>
          </w:tcPr>
          <w:p w14:paraId="2DBBCC28"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1.8E-08</w:t>
            </w:r>
          </w:p>
        </w:tc>
        <w:tc>
          <w:tcPr>
            <w:tcW w:w="485" w:type="pct"/>
            <w:tcBorders>
              <w:top w:val="nil"/>
              <w:left w:val="nil"/>
              <w:bottom w:val="single" w:sz="4" w:space="0" w:color="auto"/>
              <w:right w:val="nil"/>
            </w:tcBorders>
            <w:hideMark/>
          </w:tcPr>
          <w:p w14:paraId="1893EF81"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1.4E-08</w:t>
            </w:r>
          </w:p>
        </w:tc>
        <w:tc>
          <w:tcPr>
            <w:tcW w:w="487" w:type="pct"/>
            <w:tcBorders>
              <w:top w:val="nil"/>
              <w:left w:val="nil"/>
              <w:bottom w:val="single" w:sz="4" w:space="0" w:color="auto"/>
              <w:right w:val="nil"/>
            </w:tcBorders>
            <w:hideMark/>
          </w:tcPr>
          <w:p w14:paraId="7E57DA96"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1.4E-08</w:t>
            </w:r>
          </w:p>
        </w:tc>
      </w:tr>
      <w:tr w:rsidR="00B44754" w:rsidRPr="00972C81" w14:paraId="6EAFDCC4" w14:textId="77777777" w:rsidTr="000F593F">
        <w:trPr>
          <w:trHeight w:val="340"/>
        </w:trPr>
        <w:tc>
          <w:tcPr>
            <w:tcW w:w="2087" w:type="pct"/>
            <w:tcBorders>
              <w:top w:val="single" w:sz="4" w:space="0" w:color="auto"/>
              <w:left w:val="nil"/>
              <w:bottom w:val="single" w:sz="4" w:space="0" w:color="auto"/>
              <w:right w:val="nil"/>
            </w:tcBorders>
          </w:tcPr>
          <w:p w14:paraId="6FE7DC46" w14:textId="77777777" w:rsidR="00B44754" w:rsidRPr="00C47F2F" w:rsidRDefault="00B44754" w:rsidP="00C47F2F">
            <w:pPr>
              <w:jc w:val="left"/>
              <w:rPr>
                <w:rFonts w:eastAsiaTheme="minorHAnsi"/>
                <w:noProof/>
                <w:sz w:val="22"/>
                <w:szCs w:val="22"/>
              </w:rPr>
            </w:pPr>
          </w:p>
          <w:p w14:paraId="2CFA5A46" w14:textId="77777777" w:rsidR="00B44754" w:rsidRPr="00C47F2F" w:rsidRDefault="00B44754"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1B65F830" w14:textId="77777777" w:rsidR="00B44754" w:rsidRPr="00C47F2F" w:rsidRDefault="00B44754"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1EF0B3A" w14:textId="77777777" w:rsidR="00B44754" w:rsidRPr="00C47F2F" w:rsidRDefault="00B44754"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A8E75FB" w14:textId="77777777" w:rsidR="00B44754" w:rsidRPr="00C47F2F" w:rsidRDefault="00B44754"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0650E3B9" w14:textId="77777777" w:rsidR="00B44754" w:rsidRPr="00C47F2F" w:rsidRDefault="00B44754"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683CD2E6" w14:textId="77777777" w:rsidR="00B44754" w:rsidRPr="00C47F2F" w:rsidRDefault="00B44754" w:rsidP="00C47F2F">
            <w:pPr>
              <w:jc w:val="left"/>
              <w:rPr>
                <w:rFonts w:eastAsia="Times New Roman"/>
                <w:noProof/>
                <w:color w:val="000000"/>
                <w:sz w:val="22"/>
                <w:szCs w:val="22"/>
              </w:rPr>
            </w:pPr>
          </w:p>
        </w:tc>
        <w:tc>
          <w:tcPr>
            <w:tcW w:w="487" w:type="pct"/>
            <w:tcBorders>
              <w:top w:val="single" w:sz="4" w:space="0" w:color="auto"/>
              <w:left w:val="nil"/>
              <w:bottom w:val="single" w:sz="4" w:space="0" w:color="auto"/>
              <w:right w:val="nil"/>
            </w:tcBorders>
          </w:tcPr>
          <w:p w14:paraId="00739F38" w14:textId="77777777" w:rsidR="00B44754" w:rsidRPr="00C47F2F" w:rsidRDefault="00B44754" w:rsidP="00C47F2F">
            <w:pPr>
              <w:jc w:val="left"/>
              <w:rPr>
                <w:rFonts w:eastAsia="Times New Roman"/>
                <w:noProof/>
                <w:color w:val="000000"/>
                <w:sz w:val="22"/>
                <w:szCs w:val="22"/>
              </w:rPr>
            </w:pPr>
          </w:p>
        </w:tc>
      </w:tr>
      <w:tr w:rsidR="00B44754" w:rsidRPr="00972C81" w14:paraId="3897C3EF" w14:textId="77777777" w:rsidTr="000F593F">
        <w:trPr>
          <w:trHeight w:val="340"/>
        </w:trPr>
        <w:tc>
          <w:tcPr>
            <w:tcW w:w="2087" w:type="pct"/>
            <w:tcBorders>
              <w:top w:val="single" w:sz="4" w:space="0" w:color="auto"/>
              <w:left w:val="nil"/>
              <w:bottom w:val="single" w:sz="4" w:space="0" w:color="auto"/>
              <w:right w:val="nil"/>
            </w:tcBorders>
            <w:vAlign w:val="center"/>
            <w:hideMark/>
          </w:tcPr>
          <w:p w14:paraId="6BB53899" w14:textId="77777777" w:rsidR="00B44754" w:rsidRPr="00C47F2F" w:rsidRDefault="00B44754" w:rsidP="000F593F">
            <w:pPr>
              <w:jc w:val="left"/>
              <w:rPr>
                <w:rFonts w:eastAsiaTheme="minorHAnsi"/>
                <w:noProof/>
                <w:sz w:val="22"/>
                <w:szCs w:val="22"/>
              </w:rPr>
            </w:pPr>
            <w:r w:rsidRPr="00C47F2F">
              <w:rPr>
                <w:noProof/>
                <w:sz w:val="22"/>
                <w:szCs w:val="22"/>
              </w:rPr>
              <w:t>All compounds</w:t>
            </w:r>
          </w:p>
        </w:tc>
        <w:tc>
          <w:tcPr>
            <w:tcW w:w="485" w:type="pct"/>
            <w:tcBorders>
              <w:top w:val="single" w:sz="4" w:space="0" w:color="auto"/>
              <w:left w:val="nil"/>
              <w:bottom w:val="single" w:sz="4" w:space="0" w:color="auto"/>
              <w:right w:val="nil"/>
            </w:tcBorders>
            <w:vAlign w:val="center"/>
            <w:hideMark/>
          </w:tcPr>
          <w:p w14:paraId="22493274"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2.6E-09</w:t>
            </w:r>
          </w:p>
        </w:tc>
        <w:tc>
          <w:tcPr>
            <w:tcW w:w="485" w:type="pct"/>
            <w:tcBorders>
              <w:top w:val="single" w:sz="4" w:space="0" w:color="auto"/>
              <w:left w:val="nil"/>
              <w:bottom w:val="single" w:sz="4" w:space="0" w:color="auto"/>
              <w:right w:val="nil"/>
            </w:tcBorders>
            <w:vAlign w:val="center"/>
            <w:hideMark/>
          </w:tcPr>
          <w:p w14:paraId="6D216321"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7.4E-10</w:t>
            </w:r>
          </w:p>
        </w:tc>
        <w:tc>
          <w:tcPr>
            <w:tcW w:w="485" w:type="pct"/>
            <w:tcBorders>
              <w:top w:val="single" w:sz="4" w:space="0" w:color="auto"/>
              <w:left w:val="nil"/>
              <w:bottom w:val="single" w:sz="4" w:space="0" w:color="auto"/>
              <w:right w:val="nil"/>
            </w:tcBorders>
            <w:vAlign w:val="center"/>
            <w:hideMark/>
          </w:tcPr>
          <w:p w14:paraId="34E4E4C5"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4.3E-10</w:t>
            </w:r>
          </w:p>
        </w:tc>
        <w:tc>
          <w:tcPr>
            <w:tcW w:w="485" w:type="pct"/>
            <w:tcBorders>
              <w:top w:val="single" w:sz="4" w:space="0" w:color="auto"/>
              <w:left w:val="nil"/>
              <w:bottom w:val="single" w:sz="4" w:space="0" w:color="auto"/>
              <w:right w:val="nil"/>
            </w:tcBorders>
            <w:vAlign w:val="center"/>
            <w:hideMark/>
          </w:tcPr>
          <w:p w14:paraId="4C29361A"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3.0E-10</w:t>
            </w:r>
          </w:p>
        </w:tc>
        <w:tc>
          <w:tcPr>
            <w:tcW w:w="485" w:type="pct"/>
            <w:tcBorders>
              <w:top w:val="single" w:sz="4" w:space="0" w:color="auto"/>
              <w:left w:val="nil"/>
              <w:bottom w:val="single" w:sz="4" w:space="0" w:color="auto"/>
              <w:right w:val="nil"/>
            </w:tcBorders>
            <w:vAlign w:val="center"/>
            <w:hideMark/>
          </w:tcPr>
          <w:p w14:paraId="640D69CC"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2.0E-10</w:t>
            </w:r>
          </w:p>
        </w:tc>
        <w:tc>
          <w:tcPr>
            <w:tcW w:w="487" w:type="pct"/>
            <w:tcBorders>
              <w:top w:val="single" w:sz="4" w:space="0" w:color="auto"/>
              <w:left w:val="nil"/>
              <w:bottom w:val="single" w:sz="4" w:space="0" w:color="auto"/>
              <w:right w:val="nil"/>
            </w:tcBorders>
            <w:vAlign w:val="center"/>
            <w:hideMark/>
          </w:tcPr>
          <w:p w14:paraId="71A09597" w14:textId="77777777" w:rsidR="00B44754" w:rsidRPr="00C47F2F" w:rsidRDefault="00B44754" w:rsidP="000F593F">
            <w:pPr>
              <w:jc w:val="left"/>
              <w:rPr>
                <w:rFonts w:eastAsia="Times New Roman"/>
                <w:noProof/>
                <w:color w:val="000000"/>
                <w:sz w:val="22"/>
                <w:szCs w:val="22"/>
              </w:rPr>
            </w:pPr>
            <w:r w:rsidRPr="00C47F2F">
              <w:rPr>
                <w:rFonts w:eastAsia="Times New Roman"/>
                <w:noProof/>
                <w:color w:val="000000"/>
                <w:sz w:val="22"/>
                <w:szCs w:val="22"/>
              </w:rPr>
              <w:t>1.6E-10</w:t>
            </w:r>
          </w:p>
        </w:tc>
      </w:tr>
    </w:tbl>
    <w:p w14:paraId="0E1748D6" w14:textId="77777777" w:rsidR="00B44754" w:rsidRPr="00972C81" w:rsidRDefault="00B44754">
      <w:pPr>
        <w:widowControl/>
        <w:jc w:val="left"/>
        <w:rPr>
          <w:noProof/>
        </w:rPr>
      </w:pPr>
    </w:p>
    <w:p w14:paraId="430E495C" w14:textId="2D87A494" w:rsidR="007D1F4D" w:rsidRPr="00972C81" w:rsidRDefault="008278DA" w:rsidP="006802C2">
      <w:pPr>
        <w:pStyle w:val="1"/>
        <w:rPr>
          <w:noProof/>
        </w:rPr>
      </w:pPr>
      <w:r w:rsidRPr="00972C81">
        <w:rPr>
          <w:noProof/>
        </w:rPr>
        <w:br w:type="page"/>
      </w:r>
      <w:bookmarkStart w:id="255" w:name="_Toc162630079"/>
      <w:r w:rsidR="005B5BA0" w:rsidRPr="00972C81">
        <w:rPr>
          <w:noProof/>
        </w:rPr>
        <w:lastRenderedPageBreak/>
        <w:t>Thorium (Z = 90)</w:t>
      </w:r>
      <w:bookmarkEnd w:id="234"/>
      <w:bookmarkEnd w:id="255"/>
    </w:p>
    <w:p w14:paraId="0F12BB09" w14:textId="278A1553" w:rsidR="00797E99" w:rsidRPr="00972C81" w:rsidRDefault="00797E99" w:rsidP="00E81109">
      <w:pPr>
        <w:pStyle w:val="2"/>
        <w:rPr>
          <w:noProof/>
          <w:lang w:val="en-GB"/>
        </w:rPr>
      </w:pPr>
      <w:bookmarkStart w:id="256" w:name="_Toc17467899"/>
      <w:bookmarkStart w:id="257" w:name="_Toc430178072"/>
      <w:bookmarkStart w:id="258" w:name="_Toc162630080"/>
      <w:bookmarkEnd w:id="256"/>
      <w:r w:rsidRPr="00972C81">
        <w:rPr>
          <w:noProof/>
          <w:lang w:val="en-GB"/>
        </w:rPr>
        <w:t>Routes of Intake</w:t>
      </w:r>
      <w:bookmarkEnd w:id="257"/>
      <w:bookmarkEnd w:id="258"/>
    </w:p>
    <w:p w14:paraId="347098D1" w14:textId="77777777" w:rsidR="00797E99" w:rsidRPr="00972C81" w:rsidRDefault="00797E99" w:rsidP="00E81109">
      <w:pPr>
        <w:pStyle w:val="3"/>
        <w:rPr>
          <w:noProof/>
        </w:rPr>
      </w:pPr>
      <w:bookmarkStart w:id="259" w:name="_Toc430178073"/>
      <w:bookmarkStart w:id="260" w:name="_Toc162630081"/>
      <w:r w:rsidRPr="00972C81">
        <w:rPr>
          <w:noProof/>
        </w:rPr>
        <w:t>Inhalation</w:t>
      </w:r>
      <w:bookmarkEnd w:id="259"/>
      <w:bookmarkEnd w:id="260"/>
    </w:p>
    <w:p w14:paraId="3D0EE9B0" w14:textId="57343372" w:rsidR="00B12A9D" w:rsidRPr="00972C81" w:rsidRDefault="00797E99" w:rsidP="001C4A92">
      <w:pPr>
        <w:pStyle w:val="Annalstext"/>
        <w:rPr>
          <w:noProof/>
        </w:rPr>
      </w:pPr>
      <w:r w:rsidRPr="00972C81">
        <w:rPr>
          <w:noProof/>
        </w:rPr>
        <w:t xml:space="preserve">Information is available on the biokinetic behaviour of thorium after deposition of various chemical forms in the respiratory tract after accidental human exposure, and from experimental studies with animals, mainly rats. </w:t>
      </w:r>
      <w:r w:rsidR="00093A52" w:rsidRPr="00972C81">
        <w:rPr>
          <w:noProof/>
        </w:rPr>
        <w:t xml:space="preserve">For details, see Section 14 of </w:t>
      </w:r>
      <w:r w:rsidR="00352617" w:rsidRPr="00972C81">
        <w:rPr>
          <w:i/>
          <w:noProof/>
        </w:rPr>
        <w:t xml:space="preserve">Publication </w:t>
      </w:r>
      <w:r w:rsidR="00F874F8" w:rsidRPr="00972C81">
        <w:rPr>
          <w:i/>
          <w:noProof/>
        </w:rPr>
        <w:t>137</w:t>
      </w:r>
      <w:r w:rsidR="00977C55" w:rsidRPr="00972C81">
        <w:rPr>
          <w:i/>
          <w:noProof/>
        </w:rPr>
        <w:t xml:space="preserve"> </w:t>
      </w:r>
      <w:r w:rsidR="00977C55" w:rsidRPr="00972C81">
        <w:rPr>
          <w:noProof/>
        </w:rPr>
        <w:fldChar w:fldCharType="begin"/>
      </w:r>
      <w:r w:rsidR="00977C55" w:rsidRPr="00972C81">
        <w:rPr>
          <w:noProof/>
        </w:rPr>
        <w:instrText xml:space="preserve"> ADDIN ZOTERO_ITEM CSL_CITATION {"citationID":"Tu4jsp07","properties":{"formattedCitation":"(ICRP, 2017)","plainCitation":"(ICRP, 2017)","noteIndex":0},"citationItems":[{"id":2566,"uris":["http://zotero.org/groups/2470620/items/BYB77JGB"],"itemData":{"id":2566,"type":"article-journal","container-title":"Annals of the ICRP","issue":"3/4","journalAbbreviation":"Ann. ICRP","language":"en","title":"Occupational intakes of radionuclides: Part 3. ICRP Publication 137","volume":"46","author":[{"literal":"ICRP"}],"issued":{"date-parts":[["2017"]]}}}],"schema":"https://github.com/citation-style-language/schema/raw/master/csl-citation.json"} </w:instrText>
      </w:r>
      <w:r w:rsidR="00977C55" w:rsidRPr="00972C81">
        <w:rPr>
          <w:noProof/>
        </w:rPr>
        <w:fldChar w:fldCharType="separate"/>
      </w:r>
      <w:r w:rsidR="00BC59C6" w:rsidRPr="00972C81">
        <w:rPr>
          <w:noProof/>
        </w:rPr>
        <w:t>(ICRP, 2017)</w:t>
      </w:r>
      <w:r w:rsidR="00977C55" w:rsidRPr="00972C81">
        <w:rPr>
          <w:noProof/>
        </w:rPr>
        <w:fldChar w:fldCharType="end"/>
      </w:r>
      <w:r w:rsidR="00093A52" w:rsidRPr="00972C81">
        <w:rPr>
          <w:noProof/>
        </w:rPr>
        <w:t>.</w:t>
      </w:r>
      <w:r w:rsidR="00B12A9D" w:rsidRPr="00972C81">
        <w:rPr>
          <w:noProof/>
        </w:rPr>
        <w:t xml:space="preserve"> </w:t>
      </w:r>
      <w:r w:rsidRPr="00972C81">
        <w:rPr>
          <w:noProof/>
        </w:rPr>
        <w:t xml:space="preserve">Absorption parameter values and Types, and associated </w:t>
      </w:r>
      <w:r w:rsidRPr="00972C81">
        <w:rPr>
          <w:i/>
          <w:noProof/>
        </w:rPr>
        <w:t>f</w:t>
      </w:r>
      <w:r w:rsidRPr="00972C81">
        <w:rPr>
          <w:noProof/>
          <w:vertAlign w:val="subscript"/>
        </w:rPr>
        <w:t>A</w:t>
      </w:r>
      <w:r w:rsidRPr="00972C81">
        <w:rPr>
          <w:noProof/>
        </w:rPr>
        <w:t xml:space="preserve"> values for particulate forms of thorium are given in </w:t>
      </w:r>
      <w:r w:rsidR="00977C55" w:rsidRPr="00972C81">
        <w:rPr>
          <w:noProof/>
        </w:rPr>
        <w:fldChar w:fldCharType="begin"/>
      </w:r>
      <w:r w:rsidR="00977C55" w:rsidRPr="00972C81">
        <w:rPr>
          <w:noProof/>
        </w:rPr>
        <w:instrText xml:space="preserve"> REF _Ref142413495 \h </w:instrText>
      </w:r>
      <w:r w:rsidR="00977C55" w:rsidRPr="00972C81">
        <w:rPr>
          <w:noProof/>
        </w:rPr>
      </w:r>
      <w:r w:rsidR="00977C55" w:rsidRPr="00972C81">
        <w:rPr>
          <w:noProof/>
        </w:rPr>
        <w:fldChar w:fldCharType="separate"/>
      </w:r>
      <w:r w:rsidR="00A41AD1" w:rsidRPr="00972C81">
        <w:rPr>
          <w:noProof/>
        </w:rPr>
        <w:t xml:space="preserve">Table </w:t>
      </w:r>
      <w:r w:rsidR="00A41AD1">
        <w:rPr>
          <w:noProof/>
        </w:rPr>
        <w:t>18</w:t>
      </w:r>
      <w:r w:rsidR="00A41AD1" w:rsidRPr="00972C81">
        <w:rPr>
          <w:noProof/>
        </w:rPr>
        <w:t>.</w:t>
      </w:r>
      <w:r w:rsidR="00A41AD1">
        <w:rPr>
          <w:noProof/>
        </w:rPr>
        <w:t>1</w:t>
      </w:r>
      <w:r w:rsidR="00977C55" w:rsidRPr="00972C81">
        <w:rPr>
          <w:noProof/>
        </w:rPr>
        <w:fldChar w:fldCharType="end"/>
      </w:r>
      <w:r w:rsidR="00977C55" w:rsidRPr="00972C81">
        <w:rPr>
          <w:noProof/>
        </w:rPr>
        <w:t xml:space="preserve"> </w:t>
      </w:r>
      <w:r w:rsidR="006C29E4" w:rsidRPr="00972C81">
        <w:rPr>
          <w:noProof/>
        </w:rPr>
        <w:t xml:space="preserve">(taken from Section 14 of </w:t>
      </w:r>
      <w:r w:rsidR="00352617" w:rsidRPr="00972C81">
        <w:rPr>
          <w:i/>
          <w:noProof/>
        </w:rPr>
        <w:t xml:space="preserve">Publication </w:t>
      </w:r>
      <w:r w:rsidR="00F874F8" w:rsidRPr="00972C81">
        <w:rPr>
          <w:i/>
          <w:noProof/>
        </w:rPr>
        <w:t>137</w:t>
      </w:r>
      <w:r w:rsidR="006C29E4" w:rsidRPr="00972C81">
        <w:rPr>
          <w:noProof/>
        </w:rPr>
        <w:t>)</w:t>
      </w:r>
      <w:r w:rsidRPr="00972C81">
        <w:rPr>
          <w:noProof/>
        </w:rPr>
        <w:t xml:space="preserve">. </w:t>
      </w:r>
    </w:p>
    <w:p w14:paraId="0027CB4D" w14:textId="77777777" w:rsidR="00797E99" w:rsidRPr="00972C81" w:rsidRDefault="00797E99" w:rsidP="001C4A92">
      <w:pPr>
        <w:pStyle w:val="Annalstext"/>
        <w:rPr>
          <w:noProof/>
        </w:rPr>
      </w:pPr>
      <w:r w:rsidRPr="00972C81">
        <w:rPr>
          <w:noProof/>
        </w:rPr>
        <w:t xml:space="preserve">In referring to default types it should be noted that the biokinetic behaviour of thorium is exceptional in that, following deposition of water-soluble forms in the lungs, a minor fraction of the lung deposit is absorbed very rapidly, after which absorption is minimal. This indicates that there are no commonly encountered Type F forms of thorium. </w:t>
      </w:r>
    </w:p>
    <w:p w14:paraId="7E90D68C" w14:textId="77777777" w:rsidR="00797E99" w:rsidRPr="00972C81" w:rsidRDefault="00797E99" w:rsidP="00E81109">
      <w:pPr>
        <w:pStyle w:val="a4"/>
        <w:spacing w:line="240" w:lineRule="auto"/>
        <w:rPr>
          <w:rFonts w:ascii="Times Roman" w:hAnsi="Times Roman"/>
          <w:noProof/>
          <w:sz w:val="24"/>
        </w:rPr>
      </w:pPr>
    </w:p>
    <w:p w14:paraId="1583A723" w14:textId="64E51BE7" w:rsidR="00797E99" w:rsidRPr="00C47F2F" w:rsidRDefault="00977C55" w:rsidP="00E81109">
      <w:pPr>
        <w:pStyle w:val="ab"/>
        <w:rPr>
          <w:b/>
          <w:noProof/>
          <w:sz w:val="24"/>
          <w:szCs w:val="24"/>
        </w:rPr>
      </w:pPr>
      <w:bookmarkStart w:id="261" w:name="_Ref142413495"/>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18</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1</w:t>
      </w:r>
      <w:r w:rsidR="00EA3750" w:rsidRPr="00C47F2F">
        <w:rPr>
          <w:noProof/>
          <w:sz w:val="24"/>
          <w:szCs w:val="24"/>
        </w:rPr>
        <w:fldChar w:fldCharType="end"/>
      </w:r>
      <w:bookmarkEnd w:id="261"/>
      <w:r w:rsidRPr="00C47F2F">
        <w:rPr>
          <w:noProof/>
          <w:sz w:val="24"/>
          <w:szCs w:val="24"/>
        </w:rPr>
        <w:t>.</w:t>
      </w:r>
      <w:r w:rsidR="00797E99" w:rsidRPr="00C47F2F">
        <w:rPr>
          <w:noProof/>
          <w:sz w:val="24"/>
          <w:szCs w:val="24"/>
        </w:rPr>
        <w:t xml:space="preserve"> Absorption parameter values for inhaled and ingested thorium.</w:t>
      </w:r>
    </w:p>
    <w:tbl>
      <w:tblPr>
        <w:tblW w:w="5000" w:type="pct"/>
        <w:tblLayout w:type="fixed"/>
        <w:tblLook w:val="0000" w:firstRow="0" w:lastRow="0" w:firstColumn="0" w:lastColumn="0" w:noHBand="0" w:noVBand="0"/>
      </w:tblPr>
      <w:tblGrid>
        <w:gridCol w:w="1990"/>
        <w:gridCol w:w="746"/>
        <w:gridCol w:w="1244"/>
        <w:gridCol w:w="968"/>
        <w:gridCol w:w="830"/>
        <w:gridCol w:w="139"/>
        <w:gridCol w:w="137"/>
        <w:gridCol w:w="832"/>
        <w:gridCol w:w="135"/>
        <w:gridCol w:w="1107"/>
        <w:gridCol w:w="868"/>
        <w:gridCol w:w="31"/>
      </w:tblGrid>
      <w:tr w:rsidR="00797E99" w:rsidRPr="00C23664" w14:paraId="0CA1F1FC" w14:textId="77777777" w:rsidTr="004B19B0">
        <w:trPr>
          <w:gridAfter w:val="1"/>
          <w:wAfter w:w="17" w:type="pct"/>
          <w:cantSplit/>
          <w:trHeight w:val="340"/>
        </w:trPr>
        <w:tc>
          <w:tcPr>
            <w:tcW w:w="2204" w:type="pct"/>
            <w:gridSpan w:val="3"/>
            <w:vMerge w:val="restart"/>
            <w:tcBorders>
              <w:top w:val="single" w:sz="4" w:space="0" w:color="auto"/>
              <w:bottom w:val="single" w:sz="4" w:space="0" w:color="auto"/>
            </w:tcBorders>
            <w:vAlign w:val="bottom"/>
          </w:tcPr>
          <w:p w14:paraId="76AFB384" w14:textId="77777777" w:rsidR="00797E99" w:rsidRPr="00C23664" w:rsidRDefault="00797E99" w:rsidP="00C23664">
            <w:pPr>
              <w:pStyle w:val="Table"/>
              <w:rPr>
                <w:noProof/>
                <w:szCs w:val="22"/>
              </w:rPr>
            </w:pPr>
            <w:r w:rsidRPr="00C23664">
              <w:rPr>
                <w:noProof/>
                <w:szCs w:val="22"/>
              </w:rPr>
              <w:t>Inhaled particulate materials</w:t>
            </w:r>
          </w:p>
        </w:tc>
        <w:tc>
          <w:tcPr>
            <w:tcW w:w="1610" w:type="pct"/>
            <w:gridSpan w:val="5"/>
            <w:tcBorders>
              <w:top w:val="single" w:sz="4" w:space="0" w:color="auto"/>
              <w:bottom w:val="single" w:sz="4" w:space="0" w:color="auto"/>
            </w:tcBorders>
            <w:vAlign w:val="center"/>
          </w:tcPr>
          <w:p w14:paraId="4D86CBEF" w14:textId="498AFC8D" w:rsidR="00797E99" w:rsidRPr="00C23664" w:rsidRDefault="00797E99" w:rsidP="004B19B0">
            <w:pPr>
              <w:pStyle w:val="Table"/>
              <w:jc w:val="center"/>
              <w:rPr>
                <w:noProof/>
                <w:szCs w:val="22"/>
                <w:vertAlign w:val="superscript"/>
              </w:rPr>
            </w:pPr>
            <w:r w:rsidRPr="00C23664">
              <w:rPr>
                <w:noProof/>
                <w:szCs w:val="22"/>
              </w:rPr>
              <w:t>Absorption parameter values</w:t>
            </w:r>
            <w:r w:rsidR="00977C55" w:rsidRPr="00C23664">
              <w:rPr>
                <w:noProof/>
                <w:szCs w:val="22"/>
                <w:vertAlign w:val="superscript"/>
              </w:rPr>
              <w:t>*</w:t>
            </w:r>
          </w:p>
        </w:tc>
        <w:tc>
          <w:tcPr>
            <w:tcW w:w="1169" w:type="pct"/>
            <w:gridSpan w:val="3"/>
            <w:vMerge w:val="restart"/>
            <w:tcBorders>
              <w:top w:val="single" w:sz="4" w:space="0" w:color="auto"/>
              <w:bottom w:val="single" w:sz="4" w:space="0" w:color="auto"/>
            </w:tcBorders>
            <w:vAlign w:val="center"/>
          </w:tcPr>
          <w:p w14:paraId="474A68C4" w14:textId="0DCED96E" w:rsidR="00797E99" w:rsidRPr="00C23664" w:rsidRDefault="00797E99" w:rsidP="004B19B0">
            <w:pPr>
              <w:pStyle w:val="Table"/>
              <w:rPr>
                <w:noProof/>
                <w:szCs w:val="22"/>
                <w:vertAlign w:val="superscript"/>
              </w:rPr>
            </w:pPr>
            <w:r w:rsidRPr="00C23664">
              <w:rPr>
                <w:noProof/>
                <w:szCs w:val="22"/>
              </w:rPr>
              <w:t xml:space="preserve">Absorption from the alimentary tract, </w:t>
            </w:r>
            <w:r w:rsidRPr="00C23664">
              <w:rPr>
                <w:i/>
                <w:noProof/>
                <w:szCs w:val="22"/>
              </w:rPr>
              <w:t>f</w:t>
            </w:r>
            <w:r w:rsidRPr="00C23664">
              <w:rPr>
                <w:noProof/>
                <w:szCs w:val="22"/>
                <w:vertAlign w:val="subscript"/>
              </w:rPr>
              <w:t>A</w:t>
            </w:r>
            <w:r w:rsidR="00977C55" w:rsidRPr="00C23664">
              <w:rPr>
                <w:noProof/>
                <w:szCs w:val="22"/>
                <w:vertAlign w:val="superscript"/>
              </w:rPr>
              <w:t>†</w:t>
            </w:r>
          </w:p>
        </w:tc>
      </w:tr>
      <w:tr w:rsidR="00797E99" w:rsidRPr="00C23664" w14:paraId="33EFF304" w14:textId="77777777" w:rsidTr="004B19B0">
        <w:trPr>
          <w:gridAfter w:val="1"/>
          <w:wAfter w:w="17" w:type="pct"/>
          <w:cantSplit/>
          <w:trHeight w:val="340"/>
        </w:trPr>
        <w:tc>
          <w:tcPr>
            <w:tcW w:w="2204" w:type="pct"/>
            <w:gridSpan w:val="3"/>
            <w:vMerge/>
            <w:tcBorders>
              <w:top w:val="single" w:sz="4" w:space="0" w:color="auto"/>
              <w:bottom w:val="single" w:sz="4" w:space="0" w:color="auto"/>
            </w:tcBorders>
            <w:vAlign w:val="center"/>
          </w:tcPr>
          <w:p w14:paraId="3BCD0EAA" w14:textId="77777777" w:rsidR="00797E99" w:rsidRPr="00C23664" w:rsidRDefault="00797E99" w:rsidP="00E81109">
            <w:pPr>
              <w:pStyle w:val="Table"/>
              <w:rPr>
                <w:rFonts w:ascii="Times Roman" w:hAnsi="Times Roman"/>
                <w:noProof/>
                <w:szCs w:val="22"/>
              </w:rPr>
            </w:pPr>
          </w:p>
        </w:tc>
        <w:tc>
          <w:tcPr>
            <w:tcW w:w="536" w:type="pct"/>
            <w:tcBorders>
              <w:top w:val="single" w:sz="4" w:space="0" w:color="auto"/>
              <w:bottom w:val="single" w:sz="4" w:space="0" w:color="auto"/>
            </w:tcBorders>
            <w:vAlign w:val="center"/>
          </w:tcPr>
          <w:p w14:paraId="44B8597D" w14:textId="77777777" w:rsidR="00797E99" w:rsidRPr="00C23664" w:rsidRDefault="00797E99" w:rsidP="004B19B0">
            <w:pPr>
              <w:pStyle w:val="Table"/>
              <w:rPr>
                <w:rFonts w:ascii="Times Roman" w:hAnsi="Times Roman"/>
                <w:noProof/>
                <w:szCs w:val="22"/>
              </w:rPr>
            </w:pPr>
            <w:r w:rsidRPr="00C23664">
              <w:rPr>
                <w:rFonts w:ascii="Times Roman" w:hAnsi="Times Roman"/>
                <w:i/>
                <w:noProof/>
                <w:szCs w:val="22"/>
              </w:rPr>
              <w:t>f</w:t>
            </w:r>
            <w:r w:rsidRPr="00C23664">
              <w:rPr>
                <w:rFonts w:ascii="Times Roman" w:hAnsi="Times Roman"/>
                <w:noProof/>
                <w:szCs w:val="22"/>
                <w:vertAlign w:val="subscript"/>
              </w:rPr>
              <w:t>r</w:t>
            </w:r>
          </w:p>
        </w:tc>
        <w:tc>
          <w:tcPr>
            <w:tcW w:w="537" w:type="pct"/>
            <w:gridSpan w:val="2"/>
            <w:tcBorders>
              <w:top w:val="single" w:sz="4" w:space="0" w:color="auto"/>
              <w:bottom w:val="single" w:sz="4" w:space="0" w:color="auto"/>
            </w:tcBorders>
            <w:vAlign w:val="center"/>
          </w:tcPr>
          <w:p w14:paraId="6F4DE00E" w14:textId="77777777" w:rsidR="00797E99" w:rsidRPr="00C23664" w:rsidRDefault="00797E99" w:rsidP="004B19B0">
            <w:pPr>
              <w:pStyle w:val="Table"/>
              <w:rPr>
                <w:rFonts w:ascii="Times Roman" w:hAnsi="Times Roman"/>
                <w:noProof/>
                <w:szCs w:val="22"/>
              </w:rPr>
            </w:pPr>
            <w:r w:rsidRPr="00C23664">
              <w:rPr>
                <w:rFonts w:ascii="Times Roman" w:hAnsi="Times Roman"/>
                <w:i/>
                <w:noProof/>
                <w:szCs w:val="22"/>
              </w:rPr>
              <w:t>s</w:t>
            </w:r>
            <w:r w:rsidRPr="00C23664">
              <w:rPr>
                <w:rFonts w:ascii="Times Roman" w:hAnsi="Times Roman"/>
                <w:noProof/>
                <w:szCs w:val="22"/>
                <w:vertAlign w:val="subscript"/>
              </w:rPr>
              <w:t>r</w:t>
            </w:r>
            <w:r w:rsidRPr="00C23664">
              <w:rPr>
                <w:rFonts w:ascii="Times Roman" w:hAnsi="Times Roman"/>
                <w:noProof/>
                <w:szCs w:val="22"/>
              </w:rPr>
              <w:t xml:space="preserve"> (d</w:t>
            </w:r>
            <w:r w:rsidRPr="00C23664">
              <w:rPr>
                <w:rFonts w:ascii="Times Roman" w:hAnsi="Times Roman"/>
                <w:noProof/>
                <w:szCs w:val="22"/>
                <w:vertAlign w:val="superscript"/>
              </w:rPr>
              <w:t>–1</w:t>
            </w:r>
            <w:r w:rsidRPr="00C23664">
              <w:rPr>
                <w:rFonts w:ascii="Times Roman" w:hAnsi="Times Roman"/>
                <w:noProof/>
                <w:szCs w:val="22"/>
              </w:rPr>
              <w:t>)</w:t>
            </w:r>
          </w:p>
        </w:tc>
        <w:tc>
          <w:tcPr>
            <w:tcW w:w="537" w:type="pct"/>
            <w:gridSpan w:val="2"/>
            <w:tcBorders>
              <w:top w:val="single" w:sz="4" w:space="0" w:color="auto"/>
              <w:bottom w:val="single" w:sz="4" w:space="0" w:color="auto"/>
            </w:tcBorders>
            <w:vAlign w:val="center"/>
          </w:tcPr>
          <w:p w14:paraId="19997C83" w14:textId="77777777" w:rsidR="00797E99" w:rsidRPr="00C23664" w:rsidRDefault="00797E99" w:rsidP="004B19B0">
            <w:pPr>
              <w:pStyle w:val="Table"/>
              <w:rPr>
                <w:rFonts w:ascii="Times Roman" w:hAnsi="Times Roman"/>
                <w:noProof/>
                <w:szCs w:val="22"/>
              </w:rPr>
            </w:pPr>
            <w:r w:rsidRPr="00C23664">
              <w:rPr>
                <w:rFonts w:ascii="Times Roman" w:hAnsi="Times Roman"/>
                <w:i/>
                <w:noProof/>
                <w:szCs w:val="22"/>
              </w:rPr>
              <w:t>s</w:t>
            </w:r>
            <w:r w:rsidRPr="00C23664">
              <w:rPr>
                <w:rFonts w:ascii="Times Roman" w:hAnsi="Times Roman"/>
                <w:noProof/>
                <w:szCs w:val="22"/>
                <w:vertAlign w:val="subscript"/>
              </w:rPr>
              <w:t>s</w:t>
            </w:r>
            <w:r w:rsidRPr="00C23664">
              <w:rPr>
                <w:rFonts w:ascii="Times Roman" w:hAnsi="Times Roman"/>
                <w:noProof/>
                <w:szCs w:val="22"/>
              </w:rPr>
              <w:t xml:space="preserve"> (d</w:t>
            </w:r>
            <w:r w:rsidRPr="00C23664">
              <w:rPr>
                <w:rFonts w:ascii="Times Roman" w:hAnsi="Times Roman"/>
                <w:noProof/>
                <w:szCs w:val="22"/>
                <w:vertAlign w:val="superscript"/>
              </w:rPr>
              <w:t>–1</w:t>
            </w:r>
            <w:r w:rsidRPr="00C23664">
              <w:rPr>
                <w:rFonts w:ascii="Times Roman" w:hAnsi="Times Roman"/>
                <w:noProof/>
                <w:szCs w:val="22"/>
              </w:rPr>
              <w:t>)</w:t>
            </w:r>
          </w:p>
        </w:tc>
        <w:tc>
          <w:tcPr>
            <w:tcW w:w="1169" w:type="pct"/>
            <w:gridSpan w:val="3"/>
            <w:vMerge/>
            <w:tcBorders>
              <w:top w:val="single" w:sz="4" w:space="0" w:color="auto"/>
              <w:bottom w:val="single" w:sz="4" w:space="0" w:color="auto"/>
            </w:tcBorders>
            <w:vAlign w:val="center"/>
          </w:tcPr>
          <w:p w14:paraId="304A7825" w14:textId="77777777" w:rsidR="00797E99" w:rsidRPr="00C23664" w:rsidRDefault="00797E99" w:rsidP="00E81109">
            <w:pPr>
              <w:pStyle w:val="Table"/>
              <w:rPr>
                <w:rFonts w:ascii="Times Roman" w:hAnsi="Times Roman"/>
                <w:noProof/>
                <w:szCs w:val="22"/>
              </w:rPr>
            </w:pPr>
          </w:p>
        </w:tc>
      </w:tr>
      <w:tr w:rsidR="00797E99" w:rsidRPr="00C23664" w14:paraId="545A6F1E" w14:textId="77777777" w:rsidTr="004B19B0">
        <w:trPr>
          <w:gridAfter w:val="1"/>
          <w:wAfter w:w="17" w:type="pct"/>
          <w:cantSplit/>
          <w:trHeight w:val="340"/>
        </w:trPr>
        <w:tc>
          <w:tcPr>
            <w:tcW w:w="2204" w:type="pct"/>
            <w:gridSpan w:val="3"/>
            <w:tcBorders>
              <w:top w:val="single" w:sz="4" w:space="0" w:color="auto"/>
            </w:tcBorders>
          </w:tcPr>
          <w:p w14:paraId="174AB68C" w14:textId="3F65E1D1" w:rsidR="00797E99" w:rsidRPr="00C23664" w:rsidRDefault="00797E99" w:rsidP="004B19B0">
            <w:pPr>
              <w:pStyle w:val="Table"/>
              <w:rPr>
                <w:rFonts w:ascii="Times Roman" w:hAnsi="Times Roman"/>
                <w:noProof/>
                <w:szCs w:val="22"/>
              </w:rPr>
            </w:pPr>
            <w:r w:rsidRPr="00C23664">
              <w:rPr>
                <w:rFonts w:ascii="Times Roman" w:hAnsi="Times Roman"/>
                <w:noProof/>
                <w:szCs w:val="22"/>
              </w:rPr>
              <w:t>Specific parameter values</w:t>
            </w:r>
            <w:r w:rsidR="00977C55" w:rsidRPr="00C23664">
              <w:rPr>
                <w:noProof/>
                <w:szCs w:val="22"/>
                <w:vertAlign w:val="superscript"/>
              </w:rPr>
              <w:t>‡</w:t>
            </w:r>
          </w:p>
        </w:tc>
        <w:tc>
          <w:tcPr>
            <w:tcW w:w="536" w:type="pct"/>
            <w:tcBorders>
              <w:top w:val="single" w:sz="4" w:space="0" w:color="auto"/>
            </w:tcBorders>
          </w:tcPr>
          <w:p w14:paraId="2849E763" w14:textId="77777777" w:rsidR="00797E99" w:rsidRPr="00C23664" w:rsidRDefault="00797E99" w:rsidP="004B19B0">
            <w:pPr>
              <w:pStyle w:val="Table"/>
              <w:rPr>
                <w:rFonts w:ascii="Times Roman" w:hAnsi="Times Roman"/>
                <w:noProof/>
                <w:szCs w:val="22"/>
              </w:rPr>
            </w:pPr>
          </w:p>
        </w:tc>
        <w:tc>
          <w:tcPr>
            <w:tcW w:w="537" w:type="pct"/>
            <w:gridSpan w:val="2"/>
            <w:tcBorders>
              <w:top w:val="single" w:sz="4" w:space="0" w:color="auto"/>
            </w:tcBorders>
          </w:tcPr>
          <w:p w14:paraId="363E823A" w14:textId="77777777" w:rsidR="00797E99" w:rsidRPr="00C23664" w:rsidRDefault="00797E99" w:rsidP="004B19B0">
            <w:pPr>
              <w:pStyle w:val="Table"/>
              <w:rPr>
                <w:rFonts w:ascii="Times Roman" w:hAnsi="Times Roman"/>
                <w:noProof/>
                <w:szCs w:val="22"/>
              </w:rPr>
            </w:pPr>
          </w:p>
        </w:tc>
        <w:tc>
          <w:tcPr>
            <w:tcW w:w="537" w:type="pct"/>
            <w:gridSpan w:val="2"/>
            <w:tcBorders>
              <w:top w:val="single" w:sz="4" w:space="0" w:color="auto"/>
            </w:tcBorders>
          </w:tcPr>
          <w:p w14:paraId="1716CCEE" w14:textId="77777777" w:rsidR="00797E99" w:rsidRPr="00C23664" w:rsidRDefault="00797E99" w:rsidP="004B19B0">
            <w:pPr>
              <w:pStyle w:val="Table"/>
              <w:rPr>
                <w:rFonts w:ascii="Times Roman" w:hAnsi="Times Roman"/>
                <w:noProof/>
                <w:szCs w:val="22"/>
              </w:rPr>
            </w:pPr>
          </w:p>
        </w:tc>
        <w:tc>
          <w:tcPr>
            <w:tcW w:w="1169" w:type="pct"/>
            <w:gridSpan w:val="3"/>
            <w:tcBorders>
              <w:top w:val="single" w:sz="4" w:space="0" w:color="auto"/>
            </w:tcBorders>
          </w:tcPr>
          <w:p w14:paraId="60C0827A" w14:textId="77777777" w:rsidR="00797E99" w:rsidRPr="00C23664" w:rsidRDefault="00797E99" w:rsidP="004B19B0">
            <w:pPr>
              <w:pStyle w:val="Table"/>
              <w:rPr>
                <w:rFonts w:ascii="Times Roman" w:hAnsi="Times Roman"/>
                <w:noProof/>
                <w:szCs w:val="22"/>
              </w:rPr>
            </w:pPr>
          </w:p>
        </w:tc>
      </w:tr>
      <w:tr w:rsidR="00797E99" w:rsidRPr="00C23664" w14:paraId="04563F55" w14:textId="77777777" w:rsidTr="004B19B0">
        <w:trPr>
          <w:gridAfter w:val="1"/>
          <w:wAfter w:w="17" w:type="pct"/>
          <w:cantSplit/>
          <w:trHeight w:val="340"/>
        </w:trPr>
        <w:tc>
          <w:tcPr>
            <w:tcW w:w="2204" w:type="pct"/>
            <w:gridSpan w:val="3"/>
          </w:tcPr>
          <w:p w14:paraId="2C65A1D9" w14:textId="63373574" w:rsidR="00797E99" w:rsidRPr="00C23664" w:rsidRDefault="00797E99" w:rsidP="004B19B0">
            <w:pPr>
              <w:pStyle w:val="Table"/>
              <w:rPr>
                <w:rFonts w:ascii="Times Roman" w:hAnsi="Times Roman"/>
                <w:noProof/>
                <w:szCs w:val="22"/>
              </w:rPr>
            </w:pPr>
            <w:r w:rsidRPr="00C23664">
              <w:rPr>
                <w:rFonts w:ascii="Times Roman" w:hAnsi="Times Roman"/>
                <w:noProof/>
                <w:szCs w:val="22"/>
              </w:rPr>
              <w:t>Water soluble forms, including thorium chloride, citrate, nitrate and sulphate; thorium fluoride</w:t>
            </w:r>
            <w:r w:rsidR="00977C55" w:rsidRPr="00C23664">
              <w:rPr>
                <w:noProof/>
                <w:szCs w:val="22"/>
                <w:vertAlign w:val="superscript"/>
              </w:rPr>
              <w:t>§</w:t>
            </w:r>
          </w:p>
        </w:tc>
        <w:tc>
          <w:tcPr>
            <w:tcW w:w="536" w:type="pct"/>
          </w:tcPr>
          <w:p w14:paraId="51FED467"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0.1</w:t>
            </w:r>
          </w:p>
        </w:tc>
        <w:tc>
          <w:tcPr>
            <w:tcW w:w="537" w:type="pct"/>
            <w:gridSpan w:val="2"/>
          </w:tcPr>
          <w:p w14:paraId="382753B4"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50</w:t>
            </w:r>
          </w:p>
        </w:tc>
        <w:tc>
          <w:tcPr>
            <w:tcW w:w="537" w:type="pct"/>
            <w:gridSpan w:val="2"/>
          </w:tcPr>
          <w:p w14:paraId="57C2E386"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0.005</w:t>
            </w:r>
          </w:p>
        </w:tc>
        <w:tc>
          <w:tcPr>
            <w:tcW w:w="1169" w:type="pct"/>
            <w:gridSpan w:val="3"/>
          </w:tcPr>
          <w:p w14:paraId="6A9F824A" w14:textId="580A98ED" w:rsidR="00797E99" w:rsidRPr="00C23664" w:rsidRDefault="00797E99" w:rsidP="004B19B0">
            <w:pPr>
              <w:pStyle w:val="Table"/>
              <w:rPr>
                <w:rFonts w:ascii="Times Roman" w:hAnsi="Times Roman"/>
                <w:noProof/>
                <w:szCs w:val="22"/>
              </w:rPr>
            </w:pPr>
            <w:r w:rsidRPr="00C23664">
              <w:rPr>
                <w:rFonts w:ascii="Times Roman" w:hAnsi="Times Roman"/>
                <w:noProof/>
                <w:szCs w:val="22"/>
              </w:rPr>
              <w:t>5</w:t>
            </w:r>
            <w:r w:rsidR="00067025" w:rsidRPr="00C23664">
              <w:rPr>
                <w:rFonts w:ascii="Times Roman" w:hAnsi="Times Roman"/>
                <w:noProof/>
                <w:szCs w:val="22"/>
              </w:rPr>
              <w:t xml:space="preserve"> × </w:t>
            </w:r>
            <w:r w:rsidRPr="00C23664">
              <w:rPr>
                <w:rFonts w:ascii="Times Roman" w:hAnsi="Times Roman"/>
                <w:noProof/>
                <w:szCs w:val="22"/>
              </w:rPr>
              <w:t>10</w:t>
            </w:r>
            <w:r w:rsidRPr="00C23664">
              <w:rPr>
                <w:rFonts w:ascii="Times Roman" w:hAnsi="Times Roman"/>
                <w:noProof/>
                <w:szCs w:val="22"/>
                <w:vertAlign w:val="superscript"/>
              </w:rPr>
              <w:t>–5</w:t>
            </w:r>
          </w:p>
        </w:tc>
      </w:tr>
      <w:tr w:rsidR="00797E99" w:rsidRPr="00C23664" w14:paraId="705AEEC9" w14:textId="77777777" w:rsidTr="004B19B0">
        <w:trPr>
          <w:gridAfter w:val="1"/>
          <w:wAfter w:w="17" w:type="pct"/>
          <w:trHeight w:val="340"/>
        </w:trPr>
        <w:tc>
          <w:tcPr>
            <w:tcW w:w="2204" w:type="pct"/>
            <w:gridSpan w:val="3"/>
          </w:tcPr>
          <w:p w14:paraId="7BC84950" w14:textId="77777777" w:rsidR="00797E99" w:rsidRPr="00C23664" w:rsidRDefault="00797E99" w:rsidP="004B19B0">
            <w:pPr>
              <w:pStyle w:val="Table"/>
              <w:rPr>
                <w:rFonts w:ascii="Times Roman" w:hAnsi="Times Roman"/>
                <w:noProof/>
                <w:szCs w:val="22"/>
              </w:rPr>
            </w:pPr>
          </w:p>
        </w:tc>
        <w:tc>
          <w:tcPr>
            <w:tcW w:w="536" w:type="pct"/>
          </w:tcPr>
          <w:p w14:paraId="4DB16D0F" w14:textId="77777777" w:rsidR="00797E99" w:rsidRPr="00C23664" w:rsidRDefault="00797E99" w:rsidP="004B19B0">
            <w:pPr>
              <w:pStyle w:val="Table"/>
              <w:rPr>
                <w:rFonts w:ascii="Times Roman" w:hAnsi="Times Roman"/>
                <w:noProof/>
                <w:szCs w:val="22"/>
              </w:rPr>
            </w:pPr>
          </w:p>
        </w:tc>
        <w:tc>
          <w:tcPr>
            <w:tcW w:w="537" w:type="pct"/>
            <w:gridSpan w:val="2"/>
          </w:tcPr>
          <w:p w14:paraId="2AB1C0FA" w14:textId="77777777" w:rsidR="00797E99" w:rsidRPr="00C23664" w:rsidRDefault="00797E99" w:rsidP="004B19B0">
            <w:pPr>
              <w:pStyle w:val="Table"/>
              <w:rPr>
                <w:rFonts w:ascii="Times Roman" w:hAnsi="Times Roman"/>
                <w:noProof/>
                <w:szCs w:val="22"/>
              </w:rPr>
            </w:pPr>
          </w:p>
        </w:tc>
        <w:tc>
          <w:tcPr>
            <w:tcW w:w="537" w:type="pct"/>
            <w:gridSpan w:val="2"/>
          </w:tcPr>
          <w:p w14:paraId="0044F936" w14:textId="77777777" w:rsidR="00797E99" w:rsidRPr="00C23664" w:rsidRDefault="00797E99" w:rsidP="004B19B0">
            <w:pPr>
              <w:pStyle w:val="Table"/>
              <w:rPr>
                <w:rFonts w:ascii="Times Roman" w:hAnsi="Times Roman"/>
                <w:noProof/>
                <w:szCs w:val="22"/>
              </w:rPr>
            </w:pPr>
          </w:p>
        </w:tc>
        <w:tc>
          <w:tcPr>
            <w:tcW w:w="1169" w:type="pct"/>
            <w:gridSpan w:val="3"/>
          </w:tcPr>
          <w:p w14:paraId="71193D8B" w14:textId="77777777" w:rsidR="00797E99" w:rsidRPr="00C23664" w:rsidRDefault="00797E99" w:rsidP="004B19B0">
            <w:pPr>
              <w:pStyle w:val="Table"/>
              <w:rPr>
                <w:rFonts w:ascii="Times Roman" w:hAnsi="Times Roman"/>
                <w:noProof/>
                <w:szCs w:val="22"/>
              </w:rPr>
            </w:pPr>
          </w:p>
        </w:tc>
      </w:tr>
      <w:tr w:rsidR="00797E99" w:rsidRPr="00C23664" w14:paraId="2E543599" w14:textId="77777777" w:rsidTr="004B19B0">
        <w:trPr>
          <w:gridAfter w:val="1"/>
          <w:wAfter w:w="17" w:type="pct"/>
          <w:trHeight w:val="340"/>
        </w:trPr>
        <w:tc>
          <w:tcPr>
            <w:tcW w:w="2204" w:type="pct"/>
            <w:gridSpan w:val="3"/>
          </w:tcPr>
          <w:p w14:paraId="6B8795D2" w14:textId="0733462B" w:rsidR="00797E99" w:rsidRPr="00C23664" w:rsidRDefault="00797E99" w:rsidP="004B19B0">
            <w:pPr>
              <w:pStyle w:val="Table"/>
              <w:rPr>
                <w:rFonts w:ascii="Times Roman" w:hAnsi="Times Roman"/>
                <w:noProof/>
                <w:szCs w:val="22"/>
              </w:rPr>
            </w:pPr>
            <w:r w:rsidRPr="00C23664">
              <w:rPr>
                <w:rFonts w:ascii="Times Roman" w:hAnsi="Times Roman"/>
                <w:noProof/>
                <w:szCs w:val="22"/>
              </w:rPr>
              <w:t>Default parameter values</w:t>
            </w:r>
            <w:r w:rsidR="0013248F" w:rsidRPr="00C23664">
              <w:rPr>
                <w:noProof/>
                <w:szCs w:val="22"/>
                <w:vertAlign w:val="superscript"/>
              </w:rPr>
              <w:t>¶</w:t>
            </w:r>
          </w:p>
        </w:tc>
        <w:tc>
          <w:tcPr>
            <w:tcW w:w="536" w:type="pct"/>
          </w:tcPr>
          <w:p w14:paraId="4B8B7C6B" w14:textId="77777777" w:rsidR="00797E99" w:rsidRPr="00C23664" w:rsidRDefault="00797E99" w:rsidP="004B19B0">
            <w:pPr>
              <w:pStyle w:val="Table"/>
              <w:rPr>
                <w:rFonts w:ascii="Times Roman" w:hAnsi="Times Roman"/>
                <w:noProof/>
                <w:szCs w:val="22"/>
              </w:rPr>
            </w:pPr>
          </w:p>
        </w:tc>
        <w:tc>
          <w:tcPr>
            <w:tcW w:w="537" w:type="pct"/>
            <w:gridSpan w:val="2"/>
          </w:tcPr>
          <w:p w14:paraId="4130FAB3" w14:textId="77777777" w:rsidR="00797E99" w:rsidRPr="00C23664" w:rsidRDefault="00797E99" w:rsidP="004B19B0">
            <w:pPr>
              <w:pStyle w:val="Table"/>
              <w:rPr>
                <w:rFonts w:ascii="Times Roman" w:hAnsi="Times Roman"/>
                <w:noProof/>
                <w:szCs w:val="22"/>
              </w:rPr>
            </w:pPr>
          </w:p>
        </w:tc>
        <w:tc>
          <w:tcPr>
            <w:tcW w:w="537" w:type="pct"/>
            <w:gridSpan w:val="2"/>
          </w:tcPr>
          <w:p w14:paraId="0F0E791A" w14:textId="77777777" w:rsidR="00797E99" w:rsidRPr="00C23664" w:rsidRDefault="00797E99" w:rsidP="004B19B0">
            <w:pPr>
              <w:pStyle w:val="Table"/>
              <w:rPr>
                <w:rFonts w:ascii="Times Roman" w:hAnsi="Times Roman"/>
                <w:noProof/>
                <w:szCs w:val="22"/>
              </w:rPr>
            </w:pPr>
          </w:p>
        </w:tc>
        <w:tc>
          <w:tcPr>
            <w:tcW w:w="1169" w:type="pct"/>
            <w:gridSpan w:val="3"/>
          </w:tcPr>
          <w:p w14:paraId="39488647" w14:textId="77777777" w:rsidR="00797E99" w:rsidRPr="00C23664" w:rsidRDefault="00797E99" w:rsidP="004B19B0">
            <w:pPr>
              <w:pStyle w:val="Table"/>
              <w:rPr>
                <w:rFonts w:ascii="Times Roman" w:hAnsi="Times Roman"/>
                <w:noProof/>
                <w:szCs w:val="22"/>
              </w:rPr>
            </w:pPr>
          </w:p>
        </w:tc>
      </w:tr>
      <w:tr w:rsidR="00797E99" w:rsidRPr="00C23664" w14:paraId="6FB54534" w14:textId="77777777" w:rsidTr="004B19B0">
        <w:trPr>
          <w:gridAfter w:val="1"/>
          <w:wAfter w:w="17" w:type="pct"/>
          <w:trHeight w:val="340"/>
        </w:trPr>
        <w:tc>
          <w:tcPr>
            <w:tcW w:w="1102" w:type="pct"/>
          </w:tcPr>
          <w:p w14:paraId="6F990652"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Absorption Type</w:t>
            </w:r>
          </w:p>
        </w:tc>
        <w:tc>
          <w:tcPr>
            <w:tcW w:w="1102" w:type="pct"/>
            <w:gridSpan w:val="2"/>
          </w:tcPr>
          <w:p w14:paraId="5C946C87"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Assigned forms</w:t>
            </w:r>
          </w:p>
        </w:tc>
        <w:tc>
          <w:tcPr>
            <w:tcW w:w="536" w:type="pct"/>
          </w:tcPr>
          <w:p w14:paraId="451450E2" w14:textId="77777777" w:rsidR="00797E99" w:rsidRPr="00C23664" w:rsidRDefault="00797E99" w:rsidP="004B19B0">
            <w:pPr>
              <w:pStyle w:val="Table"/>
              <w:rPr>
                <w:rFonts w:ascii="Times Roman" w:hAnsi="Times Roman"/>
                <w:noProof/>
                <w:szCs w:val="22"/>
              </w:rPr>
            </w:pPr>
          </w:p>
        </w:tc>
        <w:tc>
          <w:tcPr>
            <w:tcW w:w="537" w:type="pct"/>
            <w:gridSpan w:val="2"/>
          </w:tcPr>
          <w:p w14:paraId="376FBFC6" w14:textId="77777777" w:rsidR="00797E99" w:rsidRPr="00C23664" w:rsidRDefault="00797E99" w:rsidP="004B19B0">
            <w:pPr>
              <w:pStyle w:val="Table"/>
              <w:rPr>
                <w:rFonts w:ascii="Times Roman" w:hAnsi="Times Roman"/>
                <w:noProof/>
                <w:szCs w:val="22"/>
              </w:rPr>
            </w:pPr>
          </w:p>
        </w:tc>
        <w:tc>
          <w:tcPr>
            <w:tcW w:w="537" w:type="pct"/>
            <w:gridSpan w:val="2"/>
          </w:tcPr>
          <w:p w14:paraId="551CE851" w14:textId="77777777" w:rsidR="00797E99" w:rsidRPr="00C23664" w:rsidRDefault="00797E99" w:rsidP="004B19B0">
            <w:pPr>
              <w:pStyle w:val="Table"/>
              <w:rPr>
                <w:rFonts w:ascii="Times Roman" w:hAnsi="Times Roman"/>
                <w:noProof/>
                <w:szCs w:val="22"/>
              </w:rPr>
            </w:pPr>
          </w:p>
        </w:tc>
        <w:tc>
          <w:tcPr>
            <w:tcW w:w="1169" w:type="pct"/>
            <w:gridSpan w:val="3"/>
          </w:tcPr>
          <w:p w14:paraId="51096003" w14:textId="77777777" w:rsidR="00797E99" w:rsidRPr="00C23664" w:rsidRDefault="00797E99" w:rsidP="004B19B0">
            <w:pPr>
              <w:pStyle w:val="Table"/>
              <w:rPr>
                <w:rFonts w:ascii="Times Roman" w:hAnsi="Times Roman"/>
                <w:noProof/>
                <w:szCs w:val="22"/>
              </w:rPr>
            </w:pPr>
          </w:p>
        </w:tc>
      </w:tr>
      <w:tr w:rsidR="00797E99" w:rsidRPr="00C23664" w14:paraId="009419B9" w14:textId="77777777" w:rsidTr="004B19B0">
        <w:trPr>
          <w:gridAfter w:val="1"/>
          <w:wAfter w:w="17" w:type="pct"/>
          <w:trHeight w:val="340"/>
        </w:trPr>
        <w:tc>
          <w:tcPr>
            <w:tcW w:w="1102" w:type="pct"/>
          </w:tcPr>
          <w:p w14:paraId="182CCE3C"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F</w:t>
            </w:r>
          </w:p>
        </w:tc>
        <w:tc>
          <w:tcPr>
            <w:tcW w:w="1102" w:type="pct"/>
            <w:gridSpan w:val="2"/>
          </w:tcPr>
          <w:p w14:paraId="09F08E78"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 NB: Type F should not be assumed without evidence</w:t>
            </w:r>
          </w:p>
        </w:tc>
        <w:tc>
          <w:tcPr>
            <w:tcW w:w="536" w:type="pct"/>
          </w:tcPr>
          <w:p w14:paraId="6C964DAF"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1</w:t>
            </w:r>
          </w:p>
        </w:tc>
        <w:tc>
          <w:tcPr>
            <w:tcW w:w="537" w:type="pct"/>
            <w:gridSpan w:val="2"/>
          </w:tcPr>
          <w:p w14:paraId="5D2F2656"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50</w:t>
            </w:r>
          </w:p>
        </w:tc>
        <w:tc>
          <w:tcPr>
            <w:tcW w:w="537" w:type="pct"/>
            <w:gridSpan w:val="2"/>
          </w:tcPr>
          <w:p w14:paraId="74DEA381"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w:t>
            </w:r>
          </w:p>
        </w:tc>
        <w:tc>
          <w:tcPr>
            <w:tcW w:w="1169" w:type="pct"/>
            <w:gridSpan w:val="3"/>
          </w:tcPr>
          <w:p w14:paraId="1C338C25" w14:textId="5517A022" w:rsidR="00797E99" w:rsidRPr="00C23664" w:rsidRDefault="00797E99" w:rsidP="004B19B0">
            <w:pPr>
              <w:pStyle w:val="Table"/>
              <w:rPr>
                <w:rFonts w:ascii="Times Roman" w:hAnsi="Times Roman"/>
                <w:noProof/>
                <w:szCs w:val="22"/>
              </w:rPr>
            </w:pPr>
            <w:r w:rsidRPr="00C23664">
              <w:rPr>
                <w:rFonts w:ascii="Times Roman" w:hAnsi="Times Roman"/>
                <w:noProof/>
                <w:szCs w:val="22"/>
              </w:rPr>
              <w:t>5</w:t>
            </w:r>
            <w:r w:rsidR="00067025" w:rsidRPr="00C23664">
              <w:rPr>
                <w:rFonts w:ascii="Times Roman" w:hAnsi="Times Roman"/>
                <w:noProof/>
                <w:szCs w:val="22"/>
              </w:rPr>
              <w:t xml:space="preserve"> × </w:t>
            </w:r>
            <w:r w:rsidRPr="00C23664">
              <w:rPr>
                <w:rFonts w:ascii="Times Roman" w:hAnsi="Times Roman"/>
                <w:noProof/>
                <w:szCs w:val="22"/>
              </w:rPr>
              <w:t>10</w:t>
            </w:r>
            <w:r w:rsidRPr="00C23664">
              <w:rPr>
                <w:rFonts w:ascii="Times Roman" w:hAnsi="Times Roman"/>
                <w:noProof/>
                <w:szCs w:val="22"/>
                <w:vertAlign w:val="superscript"/>
              </w:rPr>
              <w:t>–4</w:t>
            </w:r>
          </w:p>
        </w:tc>
      </w:tr>
      <w:tr w:rsidR="00797E99" w:rsidRPr="00C23664" w14:paraId="780AD05E" w14:textId="77777777" w:rsidTr="004B19B0">
        <w:trPr>
          <w:gridAfter w:val="1"/>
          <w:wAfter w:w="17" w:type="pct"/>
          <w:trHeight w:val="340"/>
        </w:trPr>
        <w:tc>
          <w:tcPr>
            <w:tcW w:w="1102" w:type="pct"/>
          </w:tcPr>
          <w:p w14:paraId="4CAB7D1D" w14:textId="3D73797B" w:rsidR="00797E99" w:rsidRPr="00C23664" w:rsidRDefault="00797E99" w:rsidP="004B19B0">
            <w:pPr>
              <w:pStyle w:val="Table"/>
              <w:rPr>
                <w:rFonts w:ascii="Times Roman" w:hAnsi="Times Roman"/>
                <w:noProof/>
                <w:szCs w:val="22"/>
                <w:vertAlign w:val="superscript"/>
              </w:rPr>
            </w:pPr>
            <w:r w:rsidRPr="00C23664">
              <w:rPr>
                <w:rFonts w:ascii="Times Roman" w:hAnsi="Times Roman"/>
                <w:noProof/>
                <w:szCs w:val="22"/>
              </w:rPr>
              <w:t>M</w:t>
            </w:r>
            <w:r w:rsidR="00977C55" w:rsidRPr="00C23664">
              <w:rPr>
                <w:rFonts w:ascii="Times Roman" w:hAnsi="Times Roman"/>
                <w:noProof/>
                <w:szCs w:val="22"/>
                <w:vertAlign w:val="superscript"/>
              </w:rPr>
              <w:t>**</w:t>
            </w:r>
          </w:p>
        </w:tc>
        <w:tc>
          <w:tcPr>
            <w:tcW w:w="1102" w:type="pct"/>
            <w:gridSpan w:val="2"/>
          </w:tcPr>
          <w:p w14:paraId="69EB9022"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Thorium hydroxide</w:t>
            </w:r>
          </w:p>
        </w:tc>
        <w:tc>
          <w:tcPr>
            <w:tcW w:w="536" w:type="pct"/>
          </w:tcPr>
          <w:p w14:paraId="0D05626A"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0.2</w:t>
            </w:r>
          </w:p>
        </w:tc>
        <w:tc>
          <w:tcPr>
            <w:tcW w:w="537" w:type="pct"/>
            <w:gridSpan w:val="2"/>
          </w:tcPr>
          <w:p w14:paraId="229D2BDD"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3</w:t>
            </w:r>
          </w:p>
        </w:tc>
        <w:tc>
          <w:tcPr>
            <w:tcW w:w="537" w:type="pct"/>
            <w:gridSpan w:val="2"/>
          </w:tcPr>
          <w:p w14:paraId="02A88F56"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0.005</w:t>
            </w:r>
          </w:p>
        </w:tc>
        <w:tc>
          <w:tcPr>
            <w:tcW w:w="1169" w:type="pct"/>
            <w:gridSpan w:val="3"/>
          </w:tcPr>
          <w:p w14:paraId="178F85C0" w14:textId="1208265F" w:rsidR="00797E99" w:rsidRPr="00C23664" w:rsidRDefault="00797E99" w:rsidP="004B19B0">
            <w:pPr>
              <w:pStyle w:val="Table"/>
              <w:rPr>
                <w:rFonts w:ascii="Times Roman" w:hAnsi="Times Roman"/>
                <w:noProof/>
                <w:szCs w:val="22"/>
              </w:rPr>
            </w:pPr>
            <w:r w:rsidRPr="00C23664">
              <w:rPr>
                <w:rFonts w:ascii="Times Roman" w:hAnsi="Times Roman"/>
                <w:noProof/>
                <w:szCs w:val="22"/>
              </w:rPr>
              <w:t>1</w:t>
            </w:r>
            <w:r w:rsidR="00067025" w:rsidRPr="00C23664">
              <w:rPr>
                <w:rFonts w:ascii="Times Roman" w:hAnsi="Times Roman"/>
                <w:noProof/>
                <w:szCs w:val="22"/>
              </w:rPr>
              <w:t xml:space="preserve"> × </w:t>
            </w:r>
            <w:r w:rsidRPr="00C23664">
              <w:rPr>
                <w:rFonts w:ascii="Times Roman" w:hAnsi="Times Roman"/>
                <w:noProof/>
                <w:szCs w:val="22"/>
              </w:rPr>
              <w:t>10</w:t>
            </w:r>
            <w:r w:rsidRPr="00C23664">
              <w:rPr>
                <w:rFonts w:ascii="Times Roman" w:hAnsi="Times Roman"/>
                <w:noProof/>
                <w:szCs w:val="22"/>
                <w:vertAlign w:val="superscript"/>
              </w:rPr>
              <w:t>–4</w:t>
            </w:r>
          </w:p>
        </w:tc>
      </w:tr>
      <w:tr w:rsidR="00797E99" w:rsidRPr="00C23664" w14:paraId="5B88C02E" w14:textId="77777777" w:rsidTr="004B19B0">
        <w:trPr>
          <w:gridAfter w:val="1"/>
          <w:wAfter w:w="17" w:type="pct"/>
          <w:trHeight w:val="340"/>
        </w:trPr>
        <w:tc>
          <w:tcPr>
            <w:tcW w:w="1102" w:type="pct"/>
            <w:tcBorders>
              <w:bottom w:val="single" w:sz="4" w:space="0" w:color="auto"/>
            </w:tcBorders>
          </w:tcPr>
          <w:p w14:paraId="51E8B124" w14:textId="7DB4F8DE" w:rsidR="00797E99" w:rsidRPr="00C23664" w:rsidRDefault="00797E99" w:rsidP="004B19B0">
            <w:pPr>
              <w:pStyle w:val="Table"/>
              <w:rPr>
                <w:rFonts w:ascii="Times Roman" w:hAnsi="Times Roman"/>
                <w:noProof/>
                <w:szCs w:val="22"/>
                <w:vertAlign w:val="superscript"/>
              </w:rPr>
            </w:pPr>
            <w:r w:rsidRPr="00C23664">
              <w:rPr>
                <w:rFonts w:ascii="Times Roman" w:hAnsi="Times Roman"/>
                <w:noProof/>
                <w:szCs w:val="22"/>
              </w:rPr>
              <w:t>S</w:t>
            </w:r>
            <w:r w:rsidR="00977C55" w:rsidRPr="00C23664">
              <w:rPr>
                <w:noProof/>
                <w:szCs w:val="22"/>
                <w:vertAlign w:val="superscript"/>
              </w:rPr>
              <w:t>††</w:t>
            </w:r>
          </w:p>
        </w:tc>
        <w:tc>
          <w:tcPr>
            <w:tcW w:w="1102" w:type="pct"/>
            <w:gridSpan w:val="2"/>
            <w:tcBorders>
              <w:bottom w:val="single" w:sz="4" w:space="0" w:color="auto"/>
            </w:tcBorders>
          </w:tcPr>
          <w:p w14:paraId="66E089D1" w14:textId="77777777" w:rsidR="00797E99" w:rsidRPr="00C23664" w:rsidRDefault="00797E99" w:rsidP="004B19B0">
            <w:pPr>
              <w:pStyle w:val="Table"/>
              <w:rPr>
                <w:rFonts w:ascii="Times Roman" w:hAnsi="Times Roman"/>
                <w:noProof/>
                <w:szCs w:val="22"/>
                <w:vertAlign w:val="superscript"/>
              </w:rPr>
            </w:pPr>
            <w:r w:rsidRPr="00C23664">
              <w:rPr>
                <w:rFonts w:ascii="Times Roman" w:hAnsi="Times Roman"/>
                <w:noProof/>
                <w:szCs w:val="22"/>
              </w:rPr>
              <w:t>Oxide</w:t>
            </w:r>
          </w:p>
        </w:tc>
        <w:tc>
          <w:tcPr>
            <w:tcW w:w="536" w:type="pct"/>
            <w:tcBorders>
              <w:bottom w:val="single" w:sz="4" w:space="0" w:color="auto"/>
            </w:tcBorders>
          </w:tcPr>
          <w:p w14:paraId="4F140BAA"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0.01</w:t>
            </w:r>
          </w:p>
        </w:tc>
        <w:tc>
          <w:tcPr>
            <w:tcW w:w="537" w:type="pct"/>
            <w:gridSpan w:val="2"/>
            <w:tcBorders>
              <w:bottom w:val="single" w:sz="4" w:space="0" w:color="auto"/>
            </w:tcBorders>
          </w:tcPr>
          <w:p w14:paraId="4F105272"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3</w:t>
            </w:r>
          </w:p>
        </w:tc>
        <w:tc>
          <w:tcPr>
            <w:tcW w:w="537" w:type="pct"/>
            <w:gridSpan w:val="2"/>
            <w:tcBorders>
              <w:bottom w:val="single" w:sz="4" w:space="0" w:color="auto"/>
            </w:tcBorders>
          </w:tcPr>
          <w:p w14:paraId="4037C983" w14:textId="77777777" w:rsidR="00797E99" w:rsidRPr="00C23664" w:rsidRDefault="00797E99" w:rsidP="004B19B0">
            <w:pPr>
              <w:pStyle w:val="Table"/>
              <w:rPr>
                <w:rFonts w:ascii="Times Roman" w:hAnsi="Times Roman"/>
                <w:noProof/>
                <w:szCs w:val="22"/>
              </w:rPr>
            </w:pPr>
            <w:r w:rsidRPr="00C23664">
              <w:rPr>
                <w:rFonts w:ascii="Times Roman" w:hAnsi="Times Roman"/>
                <w:noProof/>
                <w:szCs w:val="22"/>
              </w:rPr>
              <w:t>1x10</w:t>
            </w:r>
            <w:r w:rsidRPr="00C23664">
              <w:rPr>
                <w:rFonts w:ascii="Times Roman" w:hAnsi="Times Roman"/>
                <w:noProof/>
                <w:szCs w:val="22"/>
                <w:vertAlign w:val="superscript"/>
              </w:rPr>
              <w:t>-4</w:t>
            </w:r>
          </w:p>
        </w:tc>
        <w:tc>
          <w:tcPr>
            <w:tcW w:w="1169" w:type="pct"/>
            <w:gridSpan w:val="3"/>
            <w:tcBorders>
              <w:bottom w:val="single" w:sz="4" w:space="0" w:color="auto"/>
            </w:tcBorders>
          </w:tcPr>
          <w:p w14:paraId="373A8839" w14:textId="22BC5091" w:rsidR="00797E99" w:rsidRPr="00C23664" w:rsidRDefault="00797E99" w:rsidP="004B19B0">
            <w:pPr>
              <w:pStyle w:val="Table"/>
              <w:rPr>
                <w:rFonts w:ascii="Times Roman" w:hAnsi="Times Roman"/>
                <w:noProof/>
                <w:szCs w:val="22"/>
              </w:rPr>
            </w:pPr>
            <w:r w:rsidRPr="00C23664">
              <w:rPr>
                <w:rFonts w:ascii="Times Roman" w:hAnsi="Times Roman"/>
                <w:noProof/>
                <w:szCs w:val="22"/>
              </w:rPr>
              <w:t>5</w:t>
            </w:r>
            <w:r w:rsidR="00067025" w:rsidRPr="00C23664">
              <w:rPr>
                <w:rFonts w:ascii="Times Roman" w:hAnsi="Times Roman"/>
                <w:noProof/>
                <w:szCs w:val="22"/>
              </w:rPr>
              <w:t xml:space="preserve"> × </w:t>
            </w:r>
            <w:r w:rsidRPr="00C23664">
              <w:rPr>
                <w:rFonts w:ascii="Times Roman" w:hAnsi="Times Roman"/>
                <w:noProof/>
                <w:szCs w:val="22"/>
              </w:rPr>
              <w:t>10</w:t>
            </w:r>
            <w:r w:rsidRPr="00C23664">
              <w:rPr>
                <w:rFonts w:ascii="Times Roman" w:hAnsi="Times Roman"/>
                <w:noProof/>
                <w:szCs w:val="22"/>
                <w:vertAlign w:val="superscript"/>
              </w:rPr>
              <w:t>–6</w:t>
            </w:r>
          </w:p>
        </w:tc>
      </w:tr>
      <w:tr w:rsidR="00797E99" w:rsidRPr="00C23664" w14:paraId="31035253" w14:textId="77777777" w:rsidTr="004B19B0">
        <w:trPr>
          <w:gridAfter w:val="1"/>
          <w:wAfter w:w="17" w:type="pct"/>
          <w:trHeight w:val="340"/>
        </w:trPr>
        <w:tc>
          <w:tcPr>
            <w:tcW w:w="2204" w:type="pct"/>
            <w:gridSpan w:val="3"/>
            <w:tcBorders>
              <w:top w:val="single" w:sz="4" w:space="0" w:color="auto"/>
            </w:tcBorders>
          </w:tcPr>
          <w:p w14:paraId="28419DDF" w14:textId="77777777" w:rsidR="00797E99" w:rsidRPr="00C23664" w:rsidRDefault="00797E99" w:rsidP="00CC1FB8">
            <w:pPr>
              <w:pStyle w:val="Table"/>
              <w:rPr>
                <w:rFonts w:ascii="Times Roman" w:hAnsi="Times Roman"/>
                <w:noProof/>
                <w:szCs w:val="22"/>
              </w:rPr>
            </w:pPr>
          </w:p>
        </w:tc>
        <w:tc>
          <w:tcPr>
            <w:tcW w:w="536" w:type="pct"/>
            <w:tcBorders>
              <w:top w:val="single" w:sz="4" w:space="0" w:color="auto"/>
            </w:tcBorders>
          </w:tcPr>
          <w:p w14:paraId="785242D5" w14:textId="77777777" w:rsidR="00797E99" w:rsidRPr="00C23664" w:rsidRDefault="00797E99" w:rsidP="00CC1FB8">
            <w:pPr>
              <w:pStyle w:val="Table"/>
              <w:rPr>
                <w:rFonts w:ascii="Times Roman" w:hAnsi="Times Roman"/>
                <w:noProof/>
                <w:szCs w:val="22"/>
              </w:rPr>
            </w:pPr>
          </w:p>
        </w:tc>
        <w:tc>
          <w:tcPr>
            <w:tcW w:w="460" w:type="pct"/>
            <w:tcBorders>
              <w:top w:val="single" w:sz="4" w:space="0" w:color="auto"/>
            </w:tcBorders>
          </w:tcPr>
          <w:p w14:paraId="06DAE8E2" w14:textId="77777777" w:rsidR="00797E99" w:rsidRPr="00C23664" w:rsidRDefault="00797E99" w:rsidP="00CC1FB8">
            <w:pPr>
              <w:pStyle w:val="Table"/>
              <w:rPr>
                <w:rFonts w:ascii="Times Roman" w:hAnsi="Times Roman"/>
                <w:noProof/>
                <w:szCs w:val="22"/>
              </w:rPr>
            </w:pPr>
          </w:p>
        </w:tc>
        <w:tc>
          <w:tcPr>
            <w:tcW w:w="614" w:type="pct"/>
            <w:gridSpan w:val="3"/>
            <w:tcBorders>
              <w:top w:val="single" w:sz="4" w:space="0" w:color="auto"/>
            </w:tcBorders>
          </w:tcPr>
          <w:p w14:paraId="1724D130" w14:textId="77777777" w:rsidR="00797E99" w:rsidRPr="00C23664" w:rsidRDefault="00797E99" w:rsidP="00CC1FB8">
            <w:pPr>
              <w:pStyle w:val="Table"/>
              <w:rPr>
                <w:rFonts w:ascii="Times Roman" w:hAnsi="Times Roman"/>
                <w:noProof/>
                <w:szCs w:val="22"/>
              </w:rPr>
            </w:pPr>
          </w:p>
        </w:tc>
        <w:tc>
          <w:tcPr>
            <w:tcW w:w="1169" w:type="pct"/>
            <w:gridSpan w:val="3"/>
            <w:tcBorders>
              <w:top w:val="single" w:sz="4" w:space="0" w:color="auto"/>
            </w:tcBorders>
          </w:tcPr>
          <w:p w14:paraId="7A79E2EB" w14:textId="77777777" w:rsidR="00797E99" w:rsidRPr="00C23664" w:rsidRDefault="00797E99" w:rsidP="00CC1FB8">
            <w:pPr>
              <w:pStyle w:val="Table"/>
              <w:rPr>
                <w:rFonts w:ascii="Times Roman" w:hAnsi="Times Roman"/>
                <w:noProof/>
                <w:szCs w:val="22"/>
              </w:rPr>
            </w:pPr>
          </w:p>
        </w:tc>
      </w:tr>
      <w:tr w:rsidR="00797E99" w:rsidRPr="00C23664" w14:paraId="4402340E" w14:textId="77777777" w:rsidTr="004B19B0">
        <w:trPr>
          <w:gridAfter w:val="1"/>
          <w:wAfter w:w="17" w:type="pct"/>
          <w:trHeight w:val="340"/>
        </w:trPr>
        <w:tc>
          <w:tcPr>
            <w:tcW w:w="2204" w:type="pct"/>
            <w:gridSpan w:val="3"/>
            <w:tcBorders>
              <w:bottom w:val="single" w:sz="4" w:space="0" w:color="auto"/>
            </w:tcBorders>
            <w:vAlign w:val="bottom"/>
          </w:tcPr>
          <w:p w14:paraId="677A04DB" w14:textId="0FD36FD8" w:rsidR="00797E99" w:rsidRPr="00C23664" w:rsidRDefault="00797E99" w:rsidP="004B19B0">
            <w:pPr>
              <w:pStyle w:val="Table"/>
              <w:rPr>
                <w:rFonts w:ascii="Times Roman" w:hAnsi="Times Roman"/>
                <w:noProof/>
                <w:szCs w:val="22"/>
              </w:rPr>
            </w:pPr>
            <w:r w:rsidRPr="00C23664">
              <w:rPr>
                <w:rFonts w:ascii="Times Roman" w:hAnsi="Times Roman"/>
                <w:noProof/>
                <w:szCs w:val="22"/>
              </w:rPr>
              <w:t>Ingested material</w:t>
            </w:r>
            <w:r w:rsidR="00977C55" w:rsidRPr="00C23664">
              <w:rPr>
                <w:noProof/>
                <w:szCs w:val="22"/>
                <w:vertAlign w:val="superscript"/>
              </w:rPr>
              <w:t>‡‡</w:t>
            </w:r>
          </w:p>
        </w:tc>
        <w:tc>
          <w:tcPr>
            <w:tcW w:w="536" w:type="pct"/>
            <w:tcBorders>
              <w:bottom w:val="single" w:sz="4" w:space="0" w:color="auto"/>
            </w:tcBorders>
          </w:tcPr>
          <w:p w14:paraId="4F192312" w14:textId="77777777" w:rsidR="00797E99" w:rsidRPr="00C23664" w:rsidRDefault="00797E99" w:rsidP="00CC1FB8">
            <w:pPr>
              <w:pStyle w:val="Table"/>
              <w:rPr>
                <w:rFonts w:ascii="Times Roman" w:hAnsi="Times Roman"/>
                <w:noProof/>
                <w:szCs w:val="22"/>
              </w:rPr>
            </w:pPr>
          </w:p>
        </w:tc>
        <w:tc>
          <w:tcPr>
            <w:tcW w:w="460" w:type="pct"/>
            <w:tcBorders>
              <w:bottom w:val="single" w:sz="4" w:space="0" w:color="auto"/>
            </w:tcBorders>
          </w:tcPr>
          <w:p w14:paraId="12633765" w14:textId="77777777" w:rsidR="00797E99" w:rsidRPr="00C23664" w:rsidRDefault="00797E99" w:rsidP="00CC1FB8">
            <w:pPr>
              <w:pStyle w:val="Table"/>
              <w:rPr>
                <w:rFonts w:ascii="Times Roman" w:hAnsi="Times Roman"/>
                <w:noProof/>
                <w:szCs w:val="22"/>
              </w:rPr>
            </w:pPr>
          </w:p>
        </w:tc>
        <w:tc>
          <w:tcPr>
            <w:tcW w:w="614" w:type="pct"/>
            <w:gridSpan w:val="3"/>
            <w:tcBorders>
              <w:bottom w:val="single" w:sz="4" w:space="0" w:color="auto"/>
            </w:tcBorders>
          </w:tcPr>
          <w:p w14:paraId="0350C69B" w14:textId="77777777" w:rsidR="00797E99" w:rsidRPr="00C23664" w:rsidRDefault="00797E99" w:rsidP="00CC1FB8">
            <w:pPr>
              <w:pStyle w:val="Table"/>
              <w:rPr>
                <w:rFonts w:ascii="Times Roman" w:hAnsi="Times Roman"/>
                <w:noProof/>
                <w:szCs w:val="22"/>
              </w:rPr>
            </w:pPr>
          </w:p>
        </w:tc>
        <w:tc>
          <w:tcPr>
            <w:tcW w:w="1169" w:type="pct"/>
            <w:gridSpan w:val="3"/>
            <w:tcBorders>
              <w:bottom w:val="single" w:sz="4" w:space="0" w:color="auto"/>
            </w:tcBorders>
          </w:tcPr>
          <w:p w14:paraId="4CDFE287" w14:textId="77777777" w:rsidR="00797E99" w:rsidRPr="00C23664" w:rsidRDefault="00797E99" w:rsidP="00CC1FB8">
            <w:pPr>
              <w:pStyle w:val="Table"/>
              <w:rPr>
                <w:rFonts w:ascii="Times Roman" w:hAnsi="Times Roman"/>
                <w:noProof/>
                <w:szCs w:val="22"/>
              </w:rPr>
            </w:pPr>
          </w:p>
        </w:tc>
      </w:tr>
      <w:tr w:rsidR="004B19B0" w:rsidRPr="00972C81" w14:paraId="3D215070" w14:textId="77777777" w:rsidTr="004B19B0">
        <w:tblPrEx>
          <w:jc w:val="center"/>
          <w:tblBorders>
            <w:top w:val="single" w:sz="4" w:space="0" w:color="auto"/>
            <w:bottom w:val="single" w:sz="4" w:space="0" w:color="auto"/>
            <w:insideH w:val="single" w:sz="4" w:space="0" w:color="auto"/>
          </w:tblBorders>
        </w:tblPrEx>
        <w:trPr>
          <w:trHeight w:val="340"/>
          <w:jc w:val="center"/>
        </w:trPr>
        <w:tc>
          <w:tcPr>
            <w:tcW w:w="1515" w:type="pct"/>
            <w:gridSpan w:val="2"/>
            <w:vMerge w:val="restart"/>
            <w:vAlign w:val="center"/>
          </w:tcPr>
          <w:p w14:paraId="2393D3DB" w14:textId="7B02EF4D" w:rsidR="004B19B0" w:rsidRPr="00C23664" w:rsidRDefault="004B19B0" w:rsidP="004B19B0">
            <w:pPr>
              <w:pStyle w:val="Table"/>
              <w:rPr>
                <w:rFonts w:ascii="Times Roman" w:hAnsi="Times Roman"/>
                <w:noProof/>
                <w:szCs w:val="22"/>
              </w:rPr>
            </w:pPr>
            <w:r w:rsidRPr="00C23664">
              <w:rPr>
                <w:rFonts w:ascii="Times Roman" w:hAnsi="Times Roman"/>
                <w:noProof/>
                <w:szCs w:val="22"/>
              </w:rPr>
              <w:t>Assigned forms</w:t>
            </w:r>
          </w:p>
        </w:tc>
        <w:tc>
          <w:tcPr>
            <w:tcW w:w="3485" w:type="pct"/>
            <w:gridSpan w:val="10"/>
            <w:tcBorders>
              <w:bottom w:val="single" w:sz="4" w:space="0" w:color="auto"/>
              <w:right w:val="nil"/>
            </w:tcBorders>
            <w:vAlign w:val="center"/>
          </w:tcPr>
          <w:p w14:paraId="79333912" w14:textId="08D913CF" w:rsidR="004B19B0" w:rsidRPr="00C23664" w:rsidRDefault="004B19B0" w:rsidP="004B19B0">
            <w:pPr>
              <w:pStyle w:val="Table"/>
              <w:jc w:val="center"/>
              <w:rPr>
                <w:rFonts w:ascii="Times Roman" w:hAnsi="Times Roman"/>
                <w:noProof/>
                <w:szCs w:val="22"/>
              </w:rPr>
            </w:pPr>
            <w:r w:rsidRPr="00C23664">
              <w:rPr>
                <w:rFonts w:ascii="Times Roman" w:hAnsi="Times Roman"/>
                <w:noProof/>
                <w:szCs w:val="22"/>
              </w:rPr>
              <w:t xml:space="preserve">Age-dependent absorption from the alimentary tract, </w:t>
            </w:r>
            <w:r w:rsidRPr="00C23664">
              <w:rPr>
                <w:rFonts w:ascii="Times Roman" w:hAnsi="Times Roman"/>
                <w:i/>
                <w:noProof/>
                <w:szCs w:val="22"/>
              </w:rPr>
              <w:t>f</w:t>
            </w:r>
            <w:r w:rsidRPr="00C23664">
              <w:rPr>
                <w:rFonts w:ascii="Times Roman" w:hAnsi="Times Roman"/>
                <w:noProof/>
                <w:szCs w:val="22"/>
                <w:vertAlign w:val="subscript"/>
              </w:rPr>
              <w:t>A</w:t>
            </w:r>
          </w:p>
        </w:tc>
      </w:tr>
      <w:tr w:rsidR="004B19B0" w:rsidRPr="00972C81" w14:paraId="09C827CC" w14:textId="77777777" w:rsidTr="004B19B0">
        <w:tblPrEx>
          <w:jc w:val="center"/>
          <w:tblBorders>
            <w:top w:val="single" w:sz="4" w:space="0" w:color="auto"/>
            <w:bottom w:val="single" w:sz="4" w:space="0" w:color="auto"/>
            <w:insideH w:val="single" w:sz="4" w:space="0" w:color="auto"/>
          </w:tblBorders>
        </w:tblPrEx>
        <w:trPr>
          <w:trHeight w:val="340"/>
          <w:jc w:val="center"/>
        </w:trPr>
        <w:tc>
          <w:tcPr>
            <w:tcW w:w="1515" w:type="pct"/>
            <w:gridSpan w:val="2"/>
            <w:vMerge/>
            <w:tcBorders>
              <w:bottom w:val="single" w:sz="4" w:space="0" w:color="auto"/>
            </w:tcBorders>
          </w:tcPr>
          <w:p w14:paraId="4217BDEA" w14:textId="77777777" w:rsidR="004B19B0" w:rsidRPr="00C23664" w:rsidRDefault="004B19B0" w:rsidP="00CC1FB8">
            <w:pPr>
              <w:pStyle w:val="Table"/>
              <w:rPr>
                <w:rFonts w:ascii="Times Roman" w:hAnsi="Times Roman"/>
                <w:noProof/>
                <w:szCs w:val="22"/>
              </w:rPr>
            </w:pPr>
          </w:p>
        </w:tc>
        <w:tc>
          <w:tcPr>
            <w:tcW w:w="689" w:type="pct"/>
            <w:tcBorders>
              <w:top w:val="single" w:sz="4" w:space="0" w:color="auto"/>
              <w:bottom w:val="single" w:sz="4" w:space="0" w:color="auto"/>
            </w:tcBorders>
            <w:vAlign w:val="center"/>
          </w:tcPr>
          <w:p w14:paraId="23DDA30F" w14:textId="2F311CCD" w:rsidR="004B19B0" w:rsidRPr="00C23664" w:rsidRDefault="004B19B0" w:rsidP="004B19B0">
            <w:pPr>
              <w:pStyle w:val="Table"/>
              <w:rPr>
                <w:rFonts w:ascii="Times Roman" w:hAnsi="Times Roman"/>
                <w:noProof/>
                <w:szCs w:val="22"/>
              </w:rPr>
            </w:pPr>
            <w:r w:rsidRPr="00C23664">
              <w:rPr>
                <w:rFonts w:ascii="Times Roman" w:hAnsi="Times Roman"/>
                <w:noProof/>
                <w:szCs w:val="22"/>
              </w:rPr>
              <w:t>3 mo</w:t>
            </w:r>
          </w:p>
        </w:tc>
        <w:tc>
          <w:tcPr>
            <w:tcW w:w="536" w:type="pct"/>
            <w:tcBorders>
              <w:top w:val="single" w:sz="4" w:space="0" w:color="auto"/>
              <w:bottom w:val="single" w:sz="4" w:space="0" w:color="auto"/>
            </w:tcBorders>
            <w:vAlign w:val="center"/>
          </w:tcPr>
          <w:p w14:paraId="08C54341" w14:textId="05DD17BD" w:rsidR="004B19B0" w:rsidRPr="00C23664" w:rsidRDefault="004B19B0" w:rsidP="004B19B0">
            <w:pPr>
              <w:pStyle w:val="Table"/>
              <w:rPr>
                <w:rFonts w:ascii="Times Roman" w:hAnsi="Times Roman"/>
                <w:noProof/>
                <w:szCs w:val="22"/>
              </w:rPr>
            </w:pPr>
            <w:r w:rsidRPr="00C23664">
              <w:rPr>
                <w:rFonts w:ascii="Times Roman" w:hAnsi="Times Roman"/>
                <w:noProof/>
                <w:szCs w:val="22"/>
              </w:rPr>
              <w:t>1 y</w:t>
            </w:r>
          </w:p>
        </w:tc>
        <w:tc>
          <w:tcPr>
            <w:tcW w:w="613" w:type="pct"/>
            <w:gridSpan w:val="3"/>
            <w:tcBorders>
              <w:top w:val="single" w:sz="4" w:space="0" w:color="auto"/>
              <w:bottom w:val="single" w:sz="4" w:space="0" w:color="auto"/>
            </w:tcBorders>
            <w:vAlign w:val="center"/>
          </w:tcPr>
          <w:p w14:paraId="12B1CF0F" w14:textId="33FB684F" w:rsidR="004B19B0" w:rsidRPr="00C23664" w:rsidRDefault="004B19B0" w:rsidP="004B19B0">
            <w:pPr>
              <w:pStyle w:val="Table"/>
              <w:rPr>
                <w:rFonts w:ascii="Times Roman" w:hAnsi="Times Roman"/>
                <w:noProof/>
                <w:szCs w:val="22"/>
              </w:rPr>
            </w:pPr>
            <w:r w:rsidRPr="00C23664">
              <w:rPr>
                <w:rFonts w:ascii="Times Roman" w:hAnsi="Times Roman"/>
                <w:noProof/>
                <w:szCs w:val="22"/>
              </w:rPr>
              <w:t>5 y</w:t>
            </w:r>
          </w:p>
        </w:tc>
        <w:tc>
          <w:tcPr>
            <w:tcW w:w="536" w:type="pct"/>
            <w:gridSpan w:val="2"/>
            <w:tcBorders>
              <w:top w:val="single" w:sz="4" w:space="0" w:color="auto"/>
              <w:bottom w:val="single" w:sz="4" w:space="0" w:color="auto"/>
            </w:tcBorders>
            <w:vAlign w:val="center"/>
          </w:tcPr>
          <w:p w14:paraId="4A614000" w14:textId="00844B84" w:rsidR="004B19B0" w:rsidRPr="00C23664" w:rsidRDefault="004B19B0" w:rsidP="004B19B0">
            <w:pPr>
              <w:pStyle w:val="Table"/>
              <w:rPr>
                <w:rFonts w:ascii="Times Roman" w:hAnsi="Times Roman"/>
                <w:noProof/>
                <w:szCs w:val="22"/>
              </w:rPr>
            </w:pPr>
            <w:r w:rsidRPr="00C23664">
              <w:rPr>
                <w:rFonts w:ascii="Times Roman" w:hAnsi="Times Roman"/>
                <w:noProof/>
                <w:szCs w:val="22"/>
              </w:rPr>
              <w:t>10 y</w:t>
            </w:r>
          </w:p>
        </w:tc>
        <w:tc>
          <w:tcPr>
            <w:tcW w:w="613" w:type="pct"/>
            <w:tcBorders>
              <w:top w:val="single" w:sz="4" w:space="0" w:color="auto"/>
              <w:bottom w:val="single" w:sz="4" w:space="0" w:color="auto"/>
            </w:tcBorders>
            <w:vAlign w:val="center"/>
          </w:tcPr>
          <w:p w14:paraId="0FE119C4" w14:textId="472995CE" w:rsidR="004B19B0" w:rsidRPr="00C23664" w:rsidRDefault="004B19B0" w:rsidP="004B19B0">
            <w:pPr>
              <w:pStyle w:val="Table"/>
              <w:rPr>
                <w:rFonts w:ascii="Times Roman" w:hAnsi="Times Roman"/>
                <w:noProof/>
                <w:szCs w:val="22"/>
              </w:rPr>
            </w:pPr>
            <w:r w:rsidRPr="00C23664">
              <w:rPr>
                <w:rFonts w:ascii="Times Roman" w:hAnsi="Times Roman"/>
                <w:noProof/>
                <w:szCs w:val="22"/>
              </w:rPr>
              <w:t>15 y</w:t>
            </w:r>
          </w:p>
        </w:tc>
        <w:tc>
          <w:tcPr>
            <w:tcW w:w="498" w:type="pct"/>
            <w:gridSpan w:val="2"/>
            <w:tcBorders>
              <w:top w:val="single" w:sz="4" w:space="0" w:color="auto"/>
              <w:bottom w:val="single" w:sz="4" w:space="0" w:color="auto"/>
              <w:right w:val="nil"/>
            </w:tcBorders>
            <w:vAlign w:val="center"/>
          </w:tcPr>
          <w:p w14:paraId="49A63EE8" w14:textId="77777777" w:rsidR="004B19B0" w:rsidRPr="00C23664" w:rsidRDefault="004B19B0" w:rsidP="004B19B0">
            <w:pPr>
              <w:pStyle w:val="Table"/>
              <w:rPr>
                <w:rFonts w:ascii="Times Roman" w:hAnsi="Times Roman"/>
                <w:noProof/>
                <w:szCs w:val="22"/>
              </w:rPr>
            </w:pPr>
            <w:r w:rsidRPr="00C23664">
              <w:rPr>
                <w:rFonts w:ascii="Times Roman" w:hAnsi="Times Roman"/>
                <w:noProof/>
                <w:szCs w:val="22"/>
              </w:rPr>
              <w:t>adult</w:t>
            </w:r>
          </w:p>
        </w:tc>
      </w:tr>
      <w:tr w:rsidR="00F70BDF" w:rsidRPr="00972C81" w14:paraId="73937761" w14:textId="77777777" w:rsidTr="004B19B0">
        <w:tblPrEx>
          <w:jc w:val="center"/>
          <w:tblBorders>
            <w:top w:val="single" w:sz="4" w:space="0" w:color="auto"/>
            <w:bottom w:val="single" w:sz="4" w:space="0" w:color="auto"/>
            <w:insideH w:val="single" w:sz="4" w:space="0" w:color="auto"/>
          </w:tblBorders>
        </w:tblPrEx>
        <w:trPr>
          <w:trHeight w:val="340"/>
          <w:jc w:val="center"/>
        </w:trPr>
        <w:tc>
          <w:tcPr>
            <w:tcW w:w="1515" w:type="pct"/>
            <w:gridSpan w:val="2"/>
            <w:tcBorders>
              <w:top w:val="single" w:sz="4" w:space="0" w:color="auto"/>
            </w:tcBorders>
            <w:vAlign w:val="center"/>
          </w:tcPr>
          <w:p w14:paraId="5EAB6498" w14:textId="77777777" w:rsidR="009B0EC9" w:rsidRPr="00C23664" w:rsidRDefault="009215E6" w:rsidP="004B19B0">
            <w:pPr>
              <w:pStyle w:val="Table"/>
              <w:rPr>
                <w:rFonts w:ascii="Times Roman" w:hAnsi="Times Roman"/>
                <w:noProof/>
                <w:szCs w:val="22"/>
              </w:rPr>
            </w:pPr>
            <w:r w:rsidRPr="00C23664">
              <w:rPr>
                <w:rFonts w:ascii="Times Roman" w:hAnsi="Times Roman"/>
                <w:noProof/>
                <w:szCs w:val="22"/>
              </w:rPr>
              <w:t>All chemical forms</w:t>
            </w:r>
          </w:p>
        </w:tc>
        <w:tc>
          <w:tcPr>
            <w:tcW w:w="689" w:type="pct"/>
            <w:tcBorders>
              <w:top w:val="single" w:sz="4" w:space="0" w:color="auto"/>
            </w:tcBorders>
            <w:vAlign w:val="center"/>
          </w:tcPr>
          <w:p w14:paraId="703F10DB" w14:textId="3D76647F" w:rsidR="009B0EC9" w:rsidRPr="00C23664" w:rsidRDefault="009B0EC9" w:rsidP="004B19B0">
            <w:pPr>
              <w:pStyle w:val="Table"/>
              <w:rPr>
                <w:rFonts w:ascii="Times Roman" w:hAnsi="Times Roman"/>
                <w:noProof/>
                <w:szCs w:val="22"/>
              </w:rPr>
            </w:pPr>
            <w:r w:rsidRPr="00C23664">
              <w:rPr>
                <w:rFonts w:ascii="Times Roman" w:hAnsi="Times Roman"/>
                <w:noProof/>
                <w:szCs w:val="22"/>
              </w:rPr>
              <w:t>5</w:t>
            </w:r>
            <w:r w:rsidR="00067025" w:rsidRPr="00C23664">
              <w:rPr>
                <w:rFonts w:ascii="Times Roman" w:hAnsi="Times Roman"/>
                <w:noProof/>
                <w:szCs w:val="22"/>
              </w:rPr>
              <w:t xml:space="preserve"> </w:t>
            </w:r>
            <w:r w:rsidR="00067025" w:rsidRPr="00C23664">
              <w:rPr>
                <w:rFonts w:ascii="Times Roman" w:hAnsi="Times Roman"/>
                <w:noProof/>
                <w:szCs w:val="22"/>
                <w:lang w:eastAsia="fr-FR"/>
              </w:rPr>
              <w:t>×</w:t>
            </w:r>
            <w:r w:rsidR="00067025" w:rsidRPr="00C23664">
              <w:rPr>
                <w:rFonts w:ascii="Times Roman" w:hAnsi="Times Roman"/>
                <w:noProof/>
                <w:szCs w:val="22"/>
              </w:rPr>
              <w:t xml:space="preserve"> </w:t>
            </w:r>
            <w:r w:rsidRPr="00C23664">
              <w:rPr>
                <w:rFonts w:ascii="Times Roman" w:hAnsi="Times Roman"/>
                <w:noProof/>
                <w:szCs w:val="22"/>
              </w:rPr>
              <w:t>10</w:t>
            </w:r>
            <w:r w:rsidRPr="00C23664">
              <w:rPr>
                <w:rFonts w:ascii="Times Roman" w:hAnsi="Times Roman"/>
                <w:noProof/>
                <w:szCs w:val="22"/>
                <w:vertAlign w:val="superscript"/>
              </w:rPr>
              <w:t>-3</w:t>
            </w:r>
          </w:p>
        </w:tc>
        <w:tc>
          <w:tcPr>
            <w:tcW w:w="536" w:type="pct"/>
            <w:tcBorders>
              <w:top w:val="single" w:sz="4" w:space="0" w:color="auto"/>
            </w:tcBorders>
            <w:vAlign w:val="center"/>
          </w:tcPr>
          <w:p w14:paraId="3E768224" w14:textId="01FA2A5E" w:rsidR="009B0EC9" w:rsidRPr="00C23664" w:rsidRDefault="009B0EC9" w:rsidP="004B19B0">
            <w:pPr>
              <w:pStyle w:val="Table"/>
              <w:rPr>
                <w:rFonts w:ascii="Times Roman" w:hAnsi="Times Roman"/>
                <w:noProof/>
                <w:szCs w:val="22"/>
              </w:rPr>
            </w:pPr>
            <w:r w:rsidRPr="00C23664">
              <w:rPr>
                <w:rFonts w:ascii="Times Roman" w:hAnsi="Times Roman"/>
                <w:noProof/>
                <w:szCs w:val="22"/>
              </w:rPr>
              <w:t>5</w:t>
            </w:r>
            <w:r w:rsidR="00067025" w:rsidRPr="00C23664">
              <w:rPr>
                <w:rFonts w:ascii="Times Roman" w:hAnsi="Times Roman"/>
                <w:noProof/>
                <w:szCs w:val="22"/>
              </w:rPr>
              <w:t xml:space="preserve"> × </w:t>
            </w:r>
            <w:r w:rsidRPr="00C23664">
              <w:rPr>
                <w:rFonts w:ascii="Times Roman" w:hAnsi="Times Roman"/>
                <w:noProof/>
                <w:szCs w:val="22"/>
              </w:rPr>
              <w:t>10</w:t>
            </w:r>
            <w:r w:rsidRPr="00C23664">
              <w:rPr>
                <w:rFonts w:ascii="Times Roman" w:hAnsi="Times Roman"/>
                <w:noProof/>
                <w:szCs w:val="22"/>
                <w:vertAlign w:val="superscript"/>
              </w:rPr>
              <w:t>-4</w:t>
            </w:r>
          </w:p>
        </w:tc>
        <w:tc>
          <w:tcPr>
            <w:tcW w:w="613" w:type="pct"/>
            <w:gridSpan w:val="3"/>
            <w:tcBorders>
              <w:top w:val="single" w:sz="4" w:space="0" w:color="auto"/>
            </w:tcBorders>
            <w:vAlign w:val="center"/>
          </w:tcPr>
          <w:p w14:paraId="636B7E29" w14:textId="7537FD89" w:rsidR="009B0EC9" w:rsidRPr="00C23664" w:rsidRDefault="009B0EC9" w:rsidP="004B19B0">
            <w:pPr>
              <w:pStyle w:val="Table"/>
              <w:rPr>
                <w:rFonts w:ascii="Times Roman" w:hAnsi="Times Roman"/>
                <w:noProof/>
                <w:szCs w:val="22"/>
              </w:rPr>
            </w:pPr>
            <w:r w:rsidRPr="00C23664">
              <w:rPr>
                <w:rFonts w:ascii="Times Roman" w:hAnsi="Times Roman"/>
                <w:noProof/>
                <w:szCs w:val="22"/>
              </w:rPr>
              <w:t>5</w:t>
            </w:r>
            <w:r w:rsidR="00067025" w:rsidRPr="00C23664">
              <w:rPr>
                <w:rFonts w:ascii="Times Roman" w:hAnsi="Times Roman"/>
                <w:noProof/>
                <w:szCs w:val="22"/>
              </w:rPr>
              <w:t xml:space="preserve"> × </w:t>
            </w:r>
            <w:r w:rsidRPr="00C23664">
              <w:rPr>
                <w:rFonts w:ascii="Times Roman" w:hAnsi="Times Roman"/>
                <w:noProof/>
                <w:szCs w:val="22"/>
              </w:rPr>
              <w:t>10</w:t>
            </w:r>
            <w:r w:rsidRPr="00C23664">
              <w:rPr>
                <w:rFonts w:ascii="Times Roman" w:hAnsi="Times Roman"/>
                <w:noProof/>
                <w:szCs w:val="22"/>
                <w:vertAlign w:val="superscript"/>
              </w:rPr>
              <w:t>-4</w:t>
            </w:r>
          </w:p>
        </w:tc>
        <w:tc>
          <w:tcPr>
            <w:tcW w:w="536" w:type="pct"/>
            <w:gridSpan w:val="2"/>
            <w:tcBorders>
              <w:top w:val="single" w:sz="4" w:space="0" w:color="auto"/>
            </w:tcBorders>
            <w:vAlign w:val="center"/>
          </w:tcPr>
          <w:p w14:paraId="2DD3D7FE" w14:textId="0006631E" w:rsidR="009B0EC9" w:rsidRPr="00C23664" w:rsidRDefault="009B0EC9" w:rsidP="004B19B0">
            <w:pPr>
              <w:pStyle w:val="Table"/>
              <w:rPr>
                <w:rFonts w:ascii="Times Roman" w:hAnsi="Times Roman"/>
                <w:noProof/>
                <w:szCs w:val="22"/>
              </w:rPr>
            </w:pPr>
            <w:r w:rsidRPr="00C23664">
              <w:rPr>
                <w:rFonts w:ascii="Times Roman" w:hAnsi="Times Roman"/>
                <w:noProof/>
                <w:szCs w:val="22"/>
              </w:rPr>
              <w:t>5</w:t>
            </w:r>
            <w:r w:rsidR="00067025" w:rsidRPr="00C23664">
              <w:rPr>
                <w:rFonts w:ascii="Times Roman" w:hAnsi="Times Roman"/>
                <w:noProof/>
                <w:szCs w:val="22"/>
              </w:rPr>
              <w:t xml:space="preserve"> × </w:t>
            </w:r>
            <w:r w:rsidRPr="00C23664">
              <w:rPr>
                <w:rFonts w:ascii="Times Roman" w:hAnsi="Times Roman"/>
                <w:noProof/>
                <w:szCs w:val="22"/>
              </w:rPr>
              <w:t>10</w:t>
            </w:r>
            <w:r w:rsidRPr="00C23664">
              <w:rPr>
                <w:rFonts w:ascii="Times Roman" w:hAnsi="Times Roman"/>
                <w:noProof/>
                <w:szCs w:val="22"/>
                <w:vertAlign w:val="superscript"/>
              </w:rPr>
              <w:t>-4</w:t>
            </w:r>
          </w:p>
        </w:tc>
        <w:tc>
          <w:tcPr>
            <w:tcW w:w="613" w:type="pct"/>
            <w:tcBorders>
              <w:top w:val="single" w:sz="4" w:space="0" w:color="auto"/>
            </w:tcBorders>
            <w:vAlign w:val="center"/>
          </w:tcPr>
          <w:p w14:paraId="3311F0BC" w14:textId="10152123" w:rsidR="009B0EC9" w:rsidRPr="00C23664" w:rsidRDefault="009B0EC9" w:rsidP="004B19B0">
            <w:pPr>
              <w:pStyle w:val="Table"/>
              <w:rPr>
                <w:rFonts w:ascii="Times Roman" w:hAnsi="Times Roman"/>
                <w:noProof/>
                <w:szCs w:val="22"/>
              </w:rPr>
            </w:pPr>
            <w:r w:rsidRPr="00C23664">
              <w:rPr>
                <w:rFonts w:ascii="Times Roman" w:hAnsi="Times Roman"/>
                <w:noProof/>
                <w:szCs w:val="22"/>
              </w:rPr>
              <w:t>5</w:t>
            </w:r>
            <w:r w:rsidR="00067025" w:rsidRPr="00C23664">
              <w:rPr>
                <w:rFonts w:ascii="Times Roman" w:hAnsi="Times Roman"/>
                <w:noProof/>
                <w:szCs w:val="22"/>
              </w:rPr>
              <w:t xml:space="preserve"> × </w:t>
            </w:r>
            <w:r w:rsidRPr="00C23664">
              <w:rPr>
                <w:rFonts w:ascii="Times Roman" w:hAnsi="Times Roman"/>
                <w:noProof/>
                <w:szCs w:val="22"/>
              </w:rPr>
              <w:t>10</w:t>
            </w:r>
            <w:r w:rsidRPr="00C23664">
              <w:rPr>
                <w:rFonts w:ascii="Times Roman" w:hAnsi="Times Roman"/>
                <w:noProof/>
                <w:szCs w:val="22"/>
                <w:vertAlign w:val="superscript"/>
              </w:rPr>
              <w:t>-4</w:t>
            </w:r>
          </w:p>
        </w:tc>
        <w:tc>
          <w:tcPr>
            <w:tcW w:w="498" w:type="pct"/>
            <w:gridSpan w:val="2"/>
            <w:tcBorders>
              <w:top w:val="single" w:sz="4" w:space="0" w:color="auto"/>
              <w:right w:val="nil"/>
            </w:tcBorders>
            <w:vAlign w:val="center"/>
          </w:tcPr>
          <w:p w14:paraId="524D1E62" w14:textId="15A4E7C7" w:rsidR="009B0EC9" w:rsidRPr="00C23664" w:rsidRDefault="009B0EC9" w:rsidP="004B19B0">
            <w:pPr>
              <w:pStyle w:val="Table"/>
              <w:rPr>
                <w:rFonts w:ascii="Times Roman" w:hAnsi="Times Roman"/>
                <w:noProof/>
                <w:szCs w:val="22"/>
              </w:rPr>
            </w:pPr>
            <w:r w:rsidRPr="00C23664">
              <w:rPr>
                <w:rFonts w:ascii="Times Roman" w:hAnsi="Times Roman"/>
                <w:noProof/>
                <w:szCs w:val="22"/>
              </w:rPr>
              <w:t>5</w:t>
            </w:r>
            <w:r w:rsidR="00067025" w:rsidRPr="00C23664">
              <w:rPr>
                <w:rFonts w:ascii="Times Roman" w:hAnsi="Times Roman"/>
                <w:noProof/>
                <w:szCs w:val="22"/>
              </w:rPr>
              <w:t xml:space="preserve"> × </w:t>
            </w:r>
            <w:r w:rsidRPr="00C23664">
              <w:rPr>
                <w:rFonts w:ascii="Times Roman" w:hAnsi="Times Roman"/>
                <w:noProof/>
                <w:szCs w:val="22"/>
              </w:rPr>
              <w:t>10</w:t>
            </w:r>
            <w:r w:rsidRPr="00C23664">
              <w:rPr>
                <w:rFonts w:ascii="Times Roman" w:hAnsi="Times Roman"/>
                <w:noProof/>
                <w:szCs w:val="22"/>
                <w:vertAlign w:val="superscript"/>
              </w:rPr>
              <w:t>-4</w:t>
            </w:r>
          </w:p>
        </w:tc>
      </w:tr>
    </w:tbl>
    <w:p w14:paraId="7B57C603" w14:textId="416B6323" w:rsidR="00797E99" w:rsidRPr="00972C81" w:rsidRDefault="00977C55" w:rsidP="00E81109">
      <w:pPr>
        <w:pStyle w:val="Note"/>
        <w:rPr>
          <w:noProof/>
        </w:rPr>
      </w:pPr>
      <w:r w:rsidRPr="00972C81">
        <w:rPr>
          <w:noProof/>
          <w:vertAlign w:val="superscript"/>
        </w:rPr>
        <w:t>*</w:t>
      </w:r>
      <w:r w:rsidR="00797E99" w:rsidRPr="00972C81">
        <w:rPr>
          <w:noProof/>
        </w:rPr>
        <w:t xml:space="preserve">It is assumed that for thorium the bound state can be neglected, i.e. </w:t>
      </w:r>
      <w:r w:rsidR="00797E99" w:rsidRPr="00972C81">
        <w:rPr>
          <w:i/>
          <w:noProof/>
        </w:rPr>
        <w:t>f</w:t>
      </w:r>
      <w:r w:rsidR="00797E99" w:rsidRPr="00972C81">
        <w:rPr>
          <w:noProof/>
          <w:vertAlign w:val="subscript"/>
        </w:rPr>
        <w:t>b</w:t>
      </w:r>
      <w:r w:rsidR="00797E99" w:rsidRPr="00972C81">
        <w:rPr>
          <w:noProof/>
        </w:rPr>
        <w:t xml:space="preserve"> = 0.0. The value of </w:t>
      </w:r>
      <w:r w:rsidR="00797E99" w:rsidRPr="00972C81">
        <w:rPr>
          <w:i/>
          <w:noProof/>
        </w:rPr>
        <w:t>s</w:t>
      </w:r>
      <w:r w:rsidR="00797E99" w:rsidRPr="00972C81">
        <w:rPr>
          <w:noProof/>
          <w:vertAlign w:val="subscript"/>
        </w:rPr>
        <w:t>r</w:t>
      </w:r>
      <w:r w:rsidR="00797E99" w:rsidRPr="00972C81">
        <w:rPr>
          <w:noProof/>
        </w:rPr>
        <w:t xml:space="preserve"> for Type F forms of thorium (50 d</w:t>
      </w:r>
      <w:r w:rsidR="00797E99" w:rsidRPr="00972C81">
        <w:rPr>
          <w:noProof/>
          <w:vertAlign w:val="superscript"/>
        </w:rPr>
        <w:t>–1</w:t>
      </w:r>
      <w:r w:rsidR="00797E99" w:rsidRPr="00972C81">
        <w:rPr>
          <w:noProof/>
        </w:rPr>
        <w:t>) is element-specific. The values for Types M and S (3 d</w:t>
      </w:r>
      <w:r w:rsidR="00797E99" w:rsidRPr="00972C81">
        <w:rPr>
          <w:noProof/>
          <w:vertAlign w:val="superscript"/>
        </w:rPr>
        <w:t>–1</w:t>
      </w:r>
      <w:r w:rsidR="00797E99" w:rsidRPr="00972C81">
        <w:rPr>
          <w:noProof/>
        </w:rPr>
        <w:t>) are the general default values.</w:t>
      </w:r>
    </w:p>
    <w:p w14:paraId="71545201" w14:textId="322A7F18" w:rsidR="00797E99" w:rsidRPr="00972C81" w:rsidRDefault="00977C55" w:rsidP="00E81109">
      <w:pPr>
        <w:pStyle w:val="Note"/>
        <w:rPr>
          <w:noProof/>
          <w:lang w:eastAsia="ko-KR"/>
        </w:rPr>
      </w:pPr>
      <w:r w:rsidRPr="00972C81">
        <w:rPr>
          <w:noProof/>
          <w:vertAlign w:val="superscript"/>
        </w:rPr>
        <w:t>†</w:t>
      </w:r>
      <w:r w:rsidR="00797E99" w:rsidRPr="00972C81">
        <w:rPr>
          <w:noProof/>
        </w:rPr>
        <w:t xml:space="preserve">For inhaled material deposited in the respiratory tract and subsequently cleared by particle transport to the alimentary tract, the default </w:t>
      </w:r>
      <w:r w:rsidR="00797E99" w:rsidRPr="00972C81">
        <w:rPr>
          <w:i/>
          <w:noProof/>
        </w:rPr>
        <w:t>f</w:t>
      </w:r>
      <w:r w:rsidR="00797E99" w:rsidRPr="00972C81">
        <w:rPr>
          <w:noProof/>
          <w:vertAlign w:val="subscript"/>
        </w:rPr>
        <w:t>A</w:t>
      </w:r>
      <w:r w:rsidR="00797E99" w:rsidRPr="00972C81">
        <w:rPr>
          <w:noProof/>
        </w:rPr>
        <w:t xml:space="preserve"> values for inhaled materials are applied: i.e. the (rounded) product of </w:t>
      </w:r>
      <w:r w:rsidR="00797E99" w:rsidRPr="00972C81">
        <w:rPr>
          <w:i/>
          <w:noProof/>
        </w:rPr>
        <w:t>f</w:t>
      </w:r>
      <w:r w:rsidR="00797E99" w:rsidRPr="00972C81">
        <w:rPr>
          <w:noProof/>
          <w:vertAlign w:val="subscript"/>
        </w:rPr>
        <w:t>A</w:t>
      </w:r>
      <w:r w:rsidR="00797E99" w:rsidRPr="00972C81">
        <w:rPr>
          <w:noProof/>
        </w:rPr>
        <w:t xml:space="preserve"> for the absorption Type (or specific value where given) and the </w:t>
      </w:r>
      <w:r w:rsidR="00797E99" w:rsidRPr="00972C81">
        <w:rPr>
          <w:i/>
          <w:noProof/>
        </w:rPr>
        <w:t>f</w:t>
      </w:r>
      <w:r w:rsidR="00797E99" w:rsidRPr="00972C81">
        <w:rPr>
          <w:noProof/>
          <w:vertAlign w:val="subscript"/>
        </w:rPr>
        <w:t>A</w:t>
      </w:r>
      <w:r w:rsidR="00797E99" w:rsidRPr="00972C81">
        <w:rPr>
          <w:noProof/>
        </w:rPr>
        <w:t xml:space="preserve"> value for ingested soluble forms of thorium </w:t>
      </w:r>
      <w:r w:rsidR="00605D6F" w:rsidRPr="00972C81">
        <w:rPr>
          <w:noProof/>
        </w:rPr>
        <w:t>applicable to the age-group of interest (</w:t>
      </w:r>
      <w:r w:rsidR="00605D6F" w:rsidRPr="00972C81">
        <w:rPr>
          <w:i/>
          <w:iCs/>
          <w:noProof/>
        </w:rPr>
        <w:t xml:space="preserve">e.g. </w:t>
      </w:r>
      <w:r w:rsidR="00797E99" w:rsidRPr="00972C81">
        <w:rPr>
          <w:noProof/>
        </w:rPr>
        <w:t>5</w:t>
      </w:r>
      <w:r w:rsidR="00067025" w:rsidRPr="00972C81">
        <w:rPr>
          <w:noProof/>
        </w:rPr>
        <w:t xml:space="preserve"> × </w:t>
      </w:r>
      <w:r w:rsidR="00797E99" w:rsidRPr="00972C81">
        <w:rPr>
          <w:noProof/>
        </w:rPr>
        <w:t>10</w:t>
      </w:r>
      <w:r w:rsidR="00797E99" w:rsidRPr="00972C81">
        <w:rPr>
          <w:noProof/>
          <w:vertAlign w:val="superscript"/>
        </w:rPr>
        <w:t>–4</w:t>
      </w:r>
      <w:r w:rsidR="00FF2393" w:rsidRPr="00972C81">
        <w:rPr>
          <w:noProof/>
        </w:rPr>
        <w:t xml:space="preserve"> </w:t>
      </w:r>
      <w:r w:rsidR="00605D6F" w:rsidRPr="00972C81">
        <w:rPr>
          <w:noProof/>
        </w:rPr>
        <w:t>for adults</w:t>
      </w:r>
      <w:r w:rsidR="00CC1FB8">
        <w:rPr>
          <w:rFonts w:hint="eastAsia"/>
          <w:noProof/>
          <w:lang w:eastAsia="ko-KR"/>
        </w:rPr>
        <w:t>).</w:t>
      </w:r>
    </w:p>
    <w:p w14:paraId="4ADAE660" w14:textId="27BE23E7" w:rsidR="00797E99" w:rsidRPr="00972C81" w:rsidRDefault="00977C55" w:rsidP="00E81109">
      <w:pPr>
        <w:pStyle w:val="Note"/>
        <w:rPr>
          <w:noProof/>
        </w:rPr>
      </w:pPr>
      <w:r w:rsidRPr="00972C81">
        <w:rPr>
          <w:noProof/>
          <w:vertAlign w:val="superscript"/>
        </w:rPr>
        <w:t>‡</w:t>
      </w:r>
      <w:r w:rsidR="00797E99" w:rsidRPr="00972C81">
        <w:rPr>
          <w:noProof/>
        </w:rPr>
        <w:t xml:space="preserve">See </w:t>
      </w:r>
      <w:r w:rsidR="00FF2393" w:rsidRPr="00972C81">
        <w:rPr>
          <w:noProof/>
        </w:rPr>
        <w:t xml:space="preserve">Section 14 of </w:t>
      </w:r>
      <w:r w:rsidR="00FF2393" w:rsidRPr="00972C81">
        <w:rPr>
          <w:i/>
          <w:noProof/>
        </w:rPr>
        <w:t>Publication 137</w:t>
      </w:r>
      <w:r w:rsidR="00FF2393" w:rsidRPr="00972C81">
        <w:rPr>
          <w:noProof/>
        </w:rPr>
        <w:t xml:space="preserve"> </w:t>
      </w:r>
      <w:r w:rsidRPr="00972C81">
        <w:rPr>
          <w:noProof/>
        </w:rPr>
        <w:fldChar w:fldCharType="begin"/>
      </w:r>
      <w:r w:rsidRPr="00972C81">
        <w:rPr>
          <w:noProof/>
        </w:rPr>
        <w:instrText xml:space="preserve"> ADDIN ZOTERO_ITEM CSL_CITATION {"citationID":"QUEJhE9L","properties":{"formattedCitation":"(ICRP, 2017)","plainCitation":"(ICRP, 2017)","noteIndex":0},"citationItems":[{"id":2566,"uris":["http://zotero.org/groups/2470620/items/BYB77JGB"],"itemData":{"id":2566,"type":"article-journal","container-title":"Annals of the ICRP","issue":"3/4","journalAbbreviation":"Ann. ICRP","language":"en","title":"Occupational intakes of radionuclides: Part 3. ICRP Publication 137","volume":"46","author":[{"literal":"ICRP"}],"issued":{"date-parts":[["2017"]]}}}],"schema":"https://github.com/citation-style-language/schema/raw/master/csl-citation.json"} </w:instrText>
      </w:r>
      <w:r w:rsidRPr="00972C81">
        <w:rPr>
          <w:noProof/>
        </w:rPr>
        <w:fldChar w:fldCharType="separate"/>
      </w:r>
      <w:r w:rsidR="00BC59C6" w:rsidRPr="00972C81">
        <w:rPr>
          <w:noProof/>
        </w:rPr>
        <w:t>(ICRP, 2017)</w:t>
      </w:r>
      <w:r w:rsidRPr="00972C81">
        <w:rPr>
          <w:noProof/>
        </w:rPr>
        <w:fldChar w:fldCharType="end"/>
      </w:r>
      <w:r w:rsidR="00FF2393" w:rsidRPr="00972C81">
        <w:rPr>
          <w:noProof/>
        </w:rPr>
        <w:t xml:space="preserve"> </w:t>
      </w:r>
      <w:r w:rsidR="00797E99" w:rsidRPr="00972C81">
        <w:rPr>
          <w:noProof/>
        </w:rPr>
        <w:t xml:space="preserve">for summary of information on which parameter values are based, and on ranges of parameter values observed for individual materials. For water soluble forms of thorium specific parameter values are used for dissolution in the lungs, but the default value of </w:t>
      </w:r>
      <w:r w:rsidR="00797E99" w:rsidRPr="00972C81">
        <w:rPr>
          <w:i/>
          <w:noProof/>
        </w:rPr>
        <w:t>f</w:t>
      </w:r>
      <w:r w:rsidR="00797E99" w:rsidRPr="00972C81">
        <w:rPr>
          <w:noProof/>
          <w:vertAlign w:val="subscript"/>
        </w:rPr>
        <w:t>A</w:t>
      </w:r>
      <w:r w:rsidR="00797E99" w:rsidRPr="00972C81">
        <w:rPr>
          <w:noProof/>
        </w:rPr>
        <w:t>.</w:t>
      </w:r>
    </w:p>
    <w:p w14:paraId="4AC4CE03" w14:textId="14B739C0" w:rsidR="00797E99" w:rsidRPr="00972C81" w:rsidRDefault="00977C55" w:rsidP="00E81109">
      <w:pPr>
        <w:pStyle w:val="Note"/>
        <w:rPr>
          <w:noProof/>
        </w:rPr>
      </w:pPr>
      <w:r w:rsidRPr="00972C81">
        <w:rPr>
          <w:noProof/>
          <w:vertAlign w:val="superscript"/>
        </w:rPr>
        <w:t>§</w:t>
      </w:r>
      <w:r w:rsidR="00797E99" w:rsidRPr="00972C81">
        <w:rPr>
          <w:noProof/>
        </w:rPr>
        <w:t>Progeny radionuclides assigned to Type F.</w:t>
      </w:r>
    </w:p>
    <w:p w14:paraId="7B201A75" w14:textId="3C00A188" w:rsidR="00797E99" w:rsidRPr="00972C81" w:rsidRDefault="0013248F" w:rsidP="00E81109">
      <w:pPr>
        <w:pStyle w:val="Note"/>
        <w:rPr>
          <w:noProof/>
        </w:rPr>
      </w:pPr>
      <w:r w:rsidRPr="00972C81">
        <w:rPr>
          <w:noProof/>
          <w:vertAlign w:val="superscript"/>
        </w:rPr>
        <w:lastRenderedPageBreak/>
        <w:t>¶</w:t>
      </w:r>
      <w:r w:rsidR="00797E99" w:rsidRPr="00972C81">
        <w:rPr>
          <w:noProof/>
        </w:rPr>
        <w:t xml:space="preserve">Materials (e.g. thorium hydroxide) are listed here where there is sufficient information to assign to a default absorption Type, but not to give specific parameter values (see </w:t>
      </w:r>
      <w:r w:rsidR="00093A52" w:rsidRPr="00972C81">
        <w:rPr>
          <w:noProof/>
        </w:rPr>
        <w:t xml:space="preserve">Section 14 of </w:t>
      </w:r>
      <w:r w:rsidR="009215E6" w:rsidRPr="00972C81">
        <w:rPr>
          <w:i/>
          <w:noProof/>
        </w:rPr>
        <w:t xml:space="preserve">Publication </w:t>
      </w:r>
      <w:r w:rsidR="00723727" w:rsidRPr="00972C81">
        <w:rPr>
          <w:i/>
          <w:noProof/>
        </w:rPr>
        <w:t>137</w:t>
      </w:r>
      <w:r w:rsidR="009215E6" w:rsidRPr="00972C81">
        <w:rPr>
          <w:noProof/>
        </w:rPr>
        <w:t>, ICRP 2017</w:t>
      </w:r>
      <w:r w:rsidR="00797E99" w:rsidRPr="00972C81">
        <w:rPr>
          <w:noProof/>
        </w:rPr>
        <w:t xml:space="preserve">). </w:t>
      </w:r>
    </w:p>
    <w:p w14:paraId="19A404C0" w14:textId="3D752DBC" w:rsidR="00797E99" w:rsidRPr="00972C81" w:rsidRDefault="00977C55" w:rsidP="00E81109">
      <w:pPr>
        <w:pStyle w:val="Note"/>
        <w:rPr>
          <w:noProof/>
        </w:rPr>
      </w:pPr>
      <w:r w:rsidRPr="00972C81">
        <w:rPr>
          <w:noProof/>
          <w:vertAlign w:val="superscript"/>
        </w:rPr>
        <w:t>**</w:t>
      </w:r>
      <w:r w:rsidR="00797E99" w:rsidRPr="00972C81">
        <w:rPr>
          <w:noProof/>
        </w:rPr>
        <w:t>Progeny radionuclides assigned to Type M.</w:t>
      </w:r>
    </w:p>
    <w:p w14:paraId="4456F22C" w14:textId="5F92691F" w:rsidR="00797E99" w:rsidRPr="00972C81" w:rsidRDefault="00977C55" w:rsidP="00E81109">
      <w:pPr>
        <w:pStyle w:val="Note"/>
        <w:rPr>
          <w:b/>
          <w:i/>
          <w:noProof/>
        </w:rPr>
      </w:pPr>
      <w:r w:rsidRPr="00972C81">
        <w:rPr>
          <w:noProof/>
          <w:vertAlign w:val="superscript"/>
        </w:rPr>
        <w:t>††</w:t>
      </w:r>
      <w:r w:rsidR="00797E99" w:rsidRPr="00972C81">
        <w:rPr>
          <w:noProof/>
        </w:rPr>
        <w:t>Default Type S is recommended for use in the absence of specific information on which the exposure material can be assigned to an Absorption Type, e.g. if the form is unknown, or if the form is known but there is no information available on the absorption of that form from the respiratory tract.</w:t>
      </w:r>
    </w:p>
    <w:p w14:paraId="2DAFDB1E" w14:textId="235A8766" w:rsidR="00797E99" w:rsidRPr="00972C81" w:rsidRDefault="00977C55" w:rsidP="00C47F2F">
      <w:pPr>
        <w:pStyle w:val="Note"/>
        <w:rPr>
          <w:rFonts w:ascii="Times Roman" w:hAnsi="Times Roman"/>
          <w:noProof/>
          <w:szCs w:val="24"/>
        </w:rPr>
      </w:pPr>
      <w:r w:rsidRPr="00972C81">
        <w:rPr>
          <w:noProof/>
          <w:vertAlign w:val="superscript"/>
        </w:rPr>
        <w:t>‡‡</w:t>
      </w:r>
      <w:r w:rsidR="00797E99" w:rsidRPr="00972C81">
        <w:rPr>
          <w:noProof/>
        </w:rPr>
        <w:t xml:space="preserve">Activity transferred from systemic compartments into segments of the alimentary tract is assumed to be subject to reabsorption to blood. The default absorption fraction </w:t>
      </w:r>
      <w:r w:rsidR="00797E99" w:rsidRPr="00972C81">
        <w:rPr>
          <w:i/>
          <w:noProof/>
        </w:rPr>
        <w:t>f</w:t>
      </w:r>
      <w:r w:rsidR="00797E99" w:rsidRPr="00972C81">
        <w:rPr>
          <w:noProof/>
          <w:vertAlign w:val="subscript"/>
        </w:rPr>
        <w:t>A</w:t>
      </w:r>
      <w:r w:rsidR="00797E99" w:rsidRPr="00972C81">
        <w:rPr>
          <w:noProof/>
        </w:rPr>
        <w:t xml:space="preserve"> for the secreted activity is the reference</w:t>
      </w:r>
      <w:r w:rsidR="00605D6F" w:rsidRPr="00972C81">
        <w:rPr>
          <w:noProof/>
        </w:rPr>
        <w:t xml:space="preserve"> value</w:t>
      </w:r>
      <w:r w:rsidR="00797E99" w:rsidRPr="00972C81">
        <w:rPr>
          <w:noProof/>
        </w:rPr>
        <w:t xml:space="preserve"> for ingestion of the radionuclide</w:t>
      </w:r>
      <w:r w:rsidR="00605D6F" w:rsidRPr="00972C81">
        <w:rPr>
          <w:noProof/>
        </w:rPr>
        <w:t xml:space="preserve"> applicable to the age-group of interest (</w:t>
      </w:r>
      <w:r w:rsidR="00605D6F" w:rsidRPr="00972C81">
        <w:rPr>
          <w:i/>
          <w:iCs/>
          <w:noProof/>
        </w:rPr>
        <w:t xml:space="preserve">e.g. </w:t>
      </w:r>
      <w:r w:rsidR="00605D6F" w:rsidRPr="00972C81">
        <w:rPr>
          <w:noProof/>
        </w:rPr>
        <w:t>5</w:t>
      </w:r>
      <w:r w:rsidR="00067025" w:rsidRPr="00972C81">
        <w:rPr>
          <w:noProof/>
        </w:rPr>
        <w:t xml:space="preserve"> × </w:t>
      </w:r>
      <w:r w:rsidR="00605D6F" w:rsidRPr="00972C81">
        <w:rPr>
          <w:noProof/>
        </w:rPr>
        <w:t>10</w:t>
      </w:r>
      <w:r w:rsidR="00605D6F" w:rsidRPr="00972C81">
        <w:rPr>
          <w:noProof/>
          <w:vertAlign w:val="superscript"/>
        </w:rPr>
        <w:t>–4</w:t>
      </w:r>
      <w:r w:rsidR="00605D6F" w:rsidRPr="00972C81">
        <w:rPr>
          <w:noProof/>
        </w:rPr>
        <w:t xml:space="preserve"> for adults)</w:t>
      </w:r>
      <w:r w:rsidR="00797E99" w:rsidRPr="00972C81">
        <w:rPr>
          <w:noProof/>
        </w:rPr>
        <w:t xml:space="preserve">. </w:t>
      </w:r>
      <w:r w:rsidR="00797E99" w:rsidRPr="00972C81">
        <w:rPr>
          <w:rFonts w:ascii="Times Roman" w:hAnsi="Times Roman"/>
          <w:noProof/>
          <w:szCs w:val="24"/>
        </w:rPr>
        <w:tab/>
      </w:r>
    </w:p>
    <w:p w14:paraId="4E75D767" w14:textId="77777777" w:rsidR="009B0EC9" w:rsidRPr="00972C81" w:rsidRDefault="009B0EC9" w:rsidP="00E81109">
      <w:pPr>
        <w:pStyle w:val="3"/>
        <w:rPr>
          <w:noProof/>
        </w:rPr>
      </w:pPr>
      <w:bookmarkStart w:id="262" w:name="_Toc162630082"/>
      <w:r w:rsidRPr="00972C81">
        <w:rPr>
          <w:noProof/>
        </w:rPr>
        <w:t>Ingestion</w:t>
      </w:r>
      <w:bookmarkEnd w:id="262"/>
    </w:p>
    <w:p w14:paraId="19D56B87" w14:textId="706F600E" w:rsidR="009B0EC9" w:rsidRPr="00972C81" w:rsidRDefault="009B0EC9" w:rsidP="001C4A92">
      <w:pPr>
        <w:pStyle w:val="Annalstext"/>
        <w:rPr>
          <w:noProof/>
        </w:rPr>
      </w:pPr>
      <w:r w:rsidRPr="00972C81">
        <w:rPr>
          <w:i/>
          <w:noProof/>
        </w:rPr>
        <w:t>Adults</w:t>
      </w:r>
      <w:r w:rsidRPr="00972C81">
        <w:rPr>
          <w:noProof/>
        </w:rPr>
        <w:t xml:space="preserve">. </w:t>
      </w:r>
      <w:r w:rsidRPr="00972C81">
        <w:rPr>
          <w:bCs/>
          <w:iCs/>
          <w:noProof/>
          <w:lang w:eastAsia="fr-FR"/>
        </w:rPr>
        <w:t>R</w:t>
      </w:r>
      <w:r w:rsidRPr="00972C81">
        <w:rPr>
          <w:noProof/>
          <w:lang w:eastAsia="fr-FR"/>
        </w:rPr>
        <w:t>odent and human volunteer studies indicated fractional absorption values in a range from 5</w:t>
      </w:r>
      <w:r w:rsidR="00067025" w:rsidRPr="00972C81">
        <w:rPr>
          <w:noProof/>
          <w:lang w:eastAsia="fr-FR"/>
        </w:rPr>
        <w:t xml:space="preserve"> × </w:t>
      </w:r>
      <w:r w:rsidRPr="00972C81">
        <w:rPr>
          <w:noProof/>
          <w:lang w:eastAsia="fr-FR"/>
        </w:rPr>
        <w:t>10</w:t>
      </w:r>
      <w:r w:rsidRPr="00972C81">
        <w:rPr>
          <w:noProof/>
          <w:vertAlign w:val="superscript"/>
          <w:lang w:eastAsia="fr-FR"/>
        </w:rPr>
        <w:t>-5</w:t>
      </w:r>
      <w:r w:rsidRPr="00972C81">
        <w:rPr>
          <w:noProof/>
          <w:lang w:eastAsia="fr-FR"/>
        </w:rPr>
        <w:t xml:space="preserve"> to 6</w:t>
      </w:r>
      <w:r w:rsidR="00067025" w:rsidRPr="00972C81">
        <w:rPr>
          <w:noProof/>
          <w:lang w:eastAsia="fr-FR"/>
        </w:rPr>
        <w:t xml:space="preserve"> × </w:t>
      </w:r>
      <w:r w:rsidRPr="00972C81">
        <w:rPr>
          <w:noProof/>
          <w:lang w:eastAsia="fr-FR"/>
        </w:rPr>
        <w:t>10</w:t>
      </w:r>
      <w:r w:rsidRPr="00972C81">
        <w:rPr>
          <w:noProof/>
          <w:vertAlign w:val="superscript"/>
          <w:lang w:eastAsia="fr-FR"/>
        </w:rPr>
        <w:t>-3</w:t>
      </w:r>
      <w:r w:rsidRPr="00972C81">
        <w:rPr>
          <w:noProof/>
          <w:lang w:eastAsia="fr-FR"/>
        </w:rPr>
        <w:t xml:space="preserve"> </w:t>
      </w:r>
      <w:r w:rsidR="00977C55" w:rsidRPr="00972C81">
        <w:rPr>
          <w:noProof/>
          <w:lang w:eastAsia="fr-FR"/>
        </w:rPr>
        <w:fldChar w:fldCharType="begin"/>
      </w:r>
      <w:r w:rsidR="00DD38BF" w:rsidRPr="00972C81">
        <w:rPr>
          <w:noProof/>
          <w:lang w:eastAsia="fr-FR"/>
        </w:rPr>
        <w:instrText xml:space="preserve"> ADDIN ZOTERO_ITEM CSL_CITATION {"citationID":"yPzlN7Fw","properties":{"custom":"(For more details, see Section 14 of {\\i{}Publication 137}, ICRP, 2017)","formattedCitation":"(For more details, see Section 14 of {\\i{}Publication 137}, ICRP, 2017)","plainCitation":"(For more details, see Section 14 of Publication 137, ICRP, 2017)","noteIndex":0},"citationItems":[{"id":2566,"uris":["http://zotero.org/groups/2470620/items/BYB77JGB"],"itemData":{"id":2566,"type":"article-journal","container-title":"Annals of the ICRP","issue":"3/4","journalAbbreviation":"Ann. ICRP","language":"en","title":"Occupational intakes of radionuclides: Part 3. ICRP Publication 137","volume":"46","author":[{"literal":"ICRP"}],"issued":{"date-parts":[["2017"]]}},"prefix":"For more details, see Section 14 of Publication 137, "}],"schema":"https://github.com/citation-style-language/schema/raw/master/csl-citation.json"} </w:instrText>
      </w:r>
      <w:r w:rsidR="00977C55" w:rsidRPr="00972C81">
        <w:rPr>
          <w:noProof/>
          <w:lang w:eastAsia="fr-FR"/>
        </w:rPr>
        <w:fldChar w:fldCharType="separate"/>
      </w:r>
      <w:r w:rsidR="00BC59C6" w:rsidRPr="00972C81">
        <w:rPr>
          <w:noProof/>
          <w:szCs w:val="24"/>
        </w:rPr>
        <w:t xml:space="preserve">(For more details, see Section 14 of </w:t>
      </w:r>
      <w:r w:rsidR="00BC59C6" w:rsidRPr="00972C81">
        <w:rPr>
          <w:i/>
          <w:iCs/>
          <w:noProof/>
          <w:szCs w:val="24"/>
        </w:rPr>
        <w:t>Publication 137</w:t>
      </w:r>
      <w:r w:rsidR="00BC59C6" w:rsidRPr="00972C81">
        <w:rPr>
          <w:noProof/>
          <w:szCs w:val="24"/>
        </w:rPr>
        <w:t>, ICRP, 2017)</w:t>
      </w:r>
      <w:r w:rsidR="00977C55" w:rsidRPr="00972C81">
        <w:rPr>
          <w:noProof/>
          <w:lang w:eastAsia="fr-FR"/>
        </w:rPr>
        <w:fldChar w:fldCharType="end"/>
      </w:r>
      <w:r w:rsidRPr="00972C81">
        <w:rPr>
          <w:noProof/>
          <w:lang w:eastAsia="fr-FR"/>
        </w:rPr>
        <w:t xml:space="preserve">. </w:t>
      </w:r>
      <w:r w:rsidRPr="00972C81">
        <w:rPr>
          <w:noProof/>
        </w:rPr>
        <w:t xml:space="preserve">Estimates of </w:t>
      </w:r>
      <w:r w:rsidR="00E31A20" w:rsidRPr="00972C81">
        <w:rPr>
          <w:noProof/>
        </w:rPr>
        <w:t>thorium</w:t>
      </w:r>
      <w:r w:rsidRPr="00972C81">
        <w:rPr>
          <w:noProof/>
        </w:rPr>
        <w:t xml:space="preserve"> absorption have also been derived by Johnson and Lamothe </w:t>
      </w:r>
      <w:r w:rsidR="00DD38BF" w:rsidRPr="00972C81">
        <w:rPr>
          <w:noProof/>
        </w:rPr>
        <w:fldChar w:fldCharType="begin"/>
      </w:r>
      <w:r w:rsidR="00DD38BF" w:rsidRPr="00972C81">
        <w:rPr>
          <w:noProof/>
        </w:rPr>
        <w:instrText xml:space="preserve"> ADDIN ZOTERO_ITEM CSL_CITATION {"citationID":"MfH0nJBT","properties":{"formattedCitation":"(1989)","plainCitation":"(1989)","noteIndex":0},"citationItems":[{"id":4874,"uris":["http://zotero.org/groups/2470620/items/TGDBFKFC"],"itemData":{"id":4874,"type":"article-journal","abstract":"The available data on inhalation and dietary intake of environmental Th by humans was reviewed. These data, along with reported concentrations of Th in autopsy tissues, were used to estimate the uptake of ingested Th (the f1 factor) from dietary sources. It was concluded that the f1 factor suitable for dietary intake of Th is in the range of 0.001 to 0.01, in contrast to the value of 0.0002 recommended by the International Commission on Radiological Protection for use in occupational exposure situations.","container-title":"Health Physics","DOI":"10.1097/00004032-198902000-00003","ISSN":"0017-9078","issue":"2","journalAbbreviation":"Health Phys","language":"eng","note":"PMID: 2645247","page":"165-168","source":"PubMed","title":"A review of the dietary uptake of Th","volume":"56","author":[{"family":"Johnson","given":"J. R."},{"family":"Lamothe","given":"E. S."}],"issued":{"date-parts":[["1989"]]}},"label":"page","suppress-author":true}],"schema":"https://github.com/citation-style-language/schema/raw/master/csl-citation.json"} </w:instrText>
      </w:r>
      <w:r w:rsidR="00DD38BF" w:rsidRPr="00972C81">
        <w:rPr>
          <w:noProof/>
        </w:rPr>
        <w:fldChar w:fldCharType="separate"/>
      </w:r>
      <w:r w:rsidR="00BC59C6" w:rsidRPr="00972C81">
        <w:rPr>
          <w:noProof/>
        </w:rPr>
        <w:t>(1989)</w:t>
      </w:r>
      <w:r w:rsidR="00DD38BF" w:rsidRPr="00972C81">
        <w:rPr>
          <w:noProof/>
        </w:rPr>
        <w:fldChar w:fldCharType="end"/>
      </w:r>
      <w:r w:rsidRPr="00972C81">
        <w:rPr>
          <w:noProof/>
        </w:rPr>
        <w:t xml:space="preserve"> from human data on skeletal content, dietary intake, estimated inhalation rates and excretion data, giving values of less than 0.001 to 0.01. However, these estimates of absorption are uncertain because they are based on balance studies involving disparate data sources. Dang and Sunta </w:t>
      </w:r>
      <w:r w:rsidR="00DD38BF" w:rsidRPr="00972C81">
        <w:rPr>
          <w:noProof/>
        </w:rPr>
        <w:fldChar w:fldCharType="begin"/>
      </w:r>
      <w:r w:rsidR="00AC3977" w:rsidRPr="00972C81">
        <w:rPr>
          <w:noProof/>
        </w:rPr>
        <w:instrText xml:space="preserve"> ADDIN ZOTERO_ITEM CSL_CITATION {"citationID":"S1DA8a8s","properties":{"formattedCitation":"(1990)","plainCitation":"(1990)","noteIndex":0},"citationItems":[{"id":4876,"uris":["http://zotero.org/groups/2470620/items/GEQL8GS4"],"itemData":{"id":4876,"type":"article-journal","container-title":"Health Physics","ISSN":"0017-9078","issue":"2","journalAbbreviation":"Health Phys","language":"eng","note":"PMID: 2298582","page":"220-222","source":"PubMed","title":"Gastrointestinal absorption factor (f1) for Th from diet","volume":"58","author":[{"family":"Dang","given":"H.S."},{"family":"Sunta","given":"C. M."}],"issued":{"date-parts":[["1990"]]}},"label":"page","suppress-author":true}],"schema":"https://github.com/citation-style-language/schema/raw/master/csl-citation.json"} </w:instrText>
      </w:r>
      <w:r w:rsidR="00DD38BF" w:rsidRPr="00972C81">
        <w:rPr>
          <w:noProof/>
        </w:rPr>
        <w:fldChar w:fldCharType="separate"/>
      </w:r>
      <w:r w:rsidR="00BC59C6" w:rsidRPr="00972C81">
        <w:rPr>
          <w:noProof/>
        </w:rPr>
        <w:t>(1990)</w:t>
      </w:r>
      <w:r w:rsidR="00DD38BF" w:rsidRPr="00972C81">
        <w:rPr>
          <w:noProof/>
        </w:rPr>
        <w:fldChar w:fldCharType="end"/>
      </w:r>
      <w:r w:rsidRPr="00972C81">
        <w:rPr>
          <w:noProof/>
        </w:rPr>
        <w:t xml:space="preserve"> questioned the higher uptake values reported by Johnson and Lamothe </w:t>
      </w:r>
      <w:r w:rsidR="00DD38BF" w:rsidRPr="00972C81">
        <w:rPr>
          <w:noProof/>
        </w:rPr>
        <w:fldChar w:fldCharType="begin"/>
      </w:r>
      <w:r w:rsidR="00DD38BF" w:rsidRPr="00972C81">
        <w:rPr>
          <w:noProof/>
        </w:rPr>
        <w:instrText xml:space="preserve"> ADDIN ZOTERO_ITEM CSL_CITATION {"citationID":"aXpx9nEn","properties":{"formattedCitation":"(1989)","plainCitation":"(1989)","noteIndex":0},"citationItems":[{"id":4874,"uris":["http://zotero.org/groups/2470620/items/TGDBFKFC"],"itemData":{"id":4874,"type":"article-journal","abstract":"The available data on inhalation and dietary intake of environmental Th by humans was reviewed. These data, along with reported concentrations of Th in autopsy tissues, were used to estimate the uptake of ingested Th (the f1 factor) from dietary sources. It was concluded that the f1 factor suitable for dietary intake of Th is in the range of 0.001 to 0.01, in contrast to the value of 0.0002 recommended by the International Commission on Radiological Protection for use in occupational exposure situations.","container-title":"Health Physics","DOI":"10.1097/00004032-198902000-00003","ISSN":"0017-9078","issue":"2","journalAbbreviation":"Health Phys","language":"eng","note":"PMID: 2645247","page":"165-168","source":"PubMed","title":"A review of the dietary uptake of Th","volume":"56","author":[{"family":"Johnson","given":"J. R."},{"family":"Lamothe","given":"E. S."}],"issued":{"date-parts":[["1989"]]}},"label":"page","suppress-author":true}],"schema":"https://github.com/citation-style-language/schema/raw/master/csl-citation.json"} </w:instrText>
      </w:r>
      <w:r w:rsidR="00DD38BF" w:rsidRPr="00972C81">
        <w:rPr>
          <w:noProof/>
        </w:rPr>
        <w:fldChar w:fldCharType="separate"/>
      </w:r>
      <w:r w:rsidR="00BC59C6" w:rsidRPr="00972C81">
        <w:rPr>
          <w:noProof/>
        </w:rPr>
        <w:t>(1989)</w:t>
      </w:r>
      <w:r w:rsidR="00DD38BF" w:rsidRPr="00972C81">
        <w:rPr>
          <w:noProof/>
        </w:rPr>
        <w:fldChar w:fldCharType="end"/>
      </w:r>
      <w:r w:rsidRPr="00972C81">
        <w:rPr>
          <w:noProof/>
        </w:rPr>
        <w:t xml:space="preserve"> and reinterpreted the data used by them to suggest absorption values of about 0.001–0.002. Their own data for </w:t>
      </w:r>
      <w:r w:rsidR="00E31A20" w:rsidRPr="00972C81">
        <w:rPr>
          <w:noProof/>
        </w:rPr>
        <w:t>thorium</w:t>
      </w:r>
      <w:r w:rsidRPr="00972C81">
        <w:rPr>
          <w:noProof/>
        </w:rPr>
        <w:t xml:space="preserve"> concentrations in tissues, body fluids, and daily diet for urban Indian populations suggested values lower than 0.001. Roth et al. </w:t>
      </w:r>
      <w:r w:rsidR="00DD38BF" w:rsidRPr="00972C81">
        <w:rPr>
          <w:noProof/>
        </w:rPr>
        <w:fldChar w:fldCharType="begin"/>
      </w:r>
      <w:r w:rsidR="00DD38BF" w:rsidRPr="00972C81">
        <w:rPr>
          <w:noProof/>
        </w:rPr>
        <w:instrText xml:space="preserve"> ADDIN ZOTERO_ITEM CSL_CITATION {"citationID":"igzTMjeL","properties":{"formattedCitation":"(2005)","plainCitation":"(2005)","noteIndex":0},"citationItems":[{"id":4878,"uris":["http://zotero.org/groups/2470620/items/G849DEEN"],"itemData":{"id":4878,"type":"article-journal","abstract":"The daily urinary excretion of Th (Th) was estimated in 11 adult German subjects who were not exposed occupationally to thorium and its related compounds. Thirty-one urine samples were collected over 24-h periods on different occasions from these subjects and were analyzed using high resolution sector field inductively coupled plasma mass spectrometry (HR-SF-ICP-MS). Using this instrument a limit of detection of 20 pg L for thorium in the reagent blank was achieved. The median (mean) daily urinary thorium excretion was obtained as 1.0 (1.8) ng. This was in good agreement with the mean value of 1.5 ng Th (6 microBq) reported by another group for German population, but is significantly lower in comparison to the daily excretion range of 3.6 to 105 ng reported from other countries. The expected daily urinary excretion of thorium for the adult German population was also calculated by applying the new ICRP biokinetic model of thorium assuming reference intake values. The expected urinary thorium excretion rate for this age group is about 0.1 ng per day. Even if a small contribution from the inhalation is considered, the calculated value will be much lower than the measured values. The reason for the disagreement appears to be the use of a low gastrointestinal absorption factor (f1) of 5 x 10 in the ICRP model. Based on the present study, a higher f1 factor might be proposed separately for dietary incorporated thorium.","container-title":"Health Physics","DOI":"10.1097/01.hp.0000148546.80698.70","ISSN":"0017-9078","issue":"3","journalAbbreviation":"Health Phys","language":"eng","note":"PMID: 15706142","page":"223-228","source":"PubMed","title":"Validating an important aspect of the new ICRP biokinetic model of thorium","volume":"88","author":[{"family":"Roth","given":"P."},{"family":"Höllriegl","given":"V."},{"family":"Li","given":"W. B."},{"family":"Oeh","given":"U."},{"family":"Schramel","given":"P."}],"issued":{"date-parts":[["2005",3]]}},"label":"page","suppress-author":true}],"schema":"https://github.com/citation-style-language/schema/raw/master/csl-citation.json"} </w:instrText>
      </w:r>
      <w:r w:rsidR="00DD38BF" w:rsidRPr="00972C81">
        <w:rPr>
          <w:noProof/>
        </w:rPr>
        <w:fldChar w:fldCharType="separate"/>
      </w:r>
      <w:r w:rsidR="00BC59C6" w:rsidRPr="00972C81">
        <w:rPr>
          <w:noProof/>
        </w:rPr>
        <w:t>(2005)</w:t>
      </w:r>
      <w:r w:rsidR="00DD38BF" w:rsidRPr="00972C81">
        <w:rPr>
          <w:noProof/>
        </w:rPr>
        <w:fldChar w:fldCharType="end"/>
      </w:r>
      <w:r w:rsidRPr="00972C81">
        <w:rPr>
          <w:noProof/>
        </w:rPr>
        <w:t xml:space="preserve"> measured urinary excretion of </w:t>
      </w:r>
      <w:r w:rsidRPr="00972C81">
        <w:rPr>
          <w:noProof/>
          <w:vertAlign w:val="superscript"/>
        </w:rPr>
        <w:t>232</w:t>
      </w:r>
      <w:r w:rsidRPr="00972C81">
        <w:rPr>
          <w:noProof/>
        </w:rPr>
        <w:t xml:space="preserve">Th in 11 adults who were not occupationally exposed. Comparison with reference intake values suggested that absorption was around 0.005. In </w:t>
      </w:r>
      <w:r w:rsidRPr="00972C81">
        <w:rPr>
          <w:i/>
          <w:noProof/>
        </w:rPr>
        <w:t>Publication 30</w:t>
      </w:r>
      <w:r w:rsidRPr="00972C81">
        <w:rPr>
          <w:noProof/>
        </w:rPr>
        <w:t xml:space="preserve"> </w:t>
      </w:r>
      <w:r w:rsidR="00DD38BF" w:rsidRPr="00972C81">
        <w:rPr>
          <w:noProof/>
        </w:rPr>
        <w:fldChar w:fldCharType="begin"/>
      </w:r>
      <w:r w:rsidR="00DD38BF" w:rsidRPr="00972C81">
        <w:rPr>
          <w:noProof/>
        </w:rPr>
        <w:instrText xml:space="preserve"> ADDIN ZOTERO_ITEM CSL_CITATION {"citationID":"rjefA0jp","properties":{"formattedCitation":"(ICRP, 1979)","plainCitation":"(ICRP, 1979)","noteIndex":0},"citationItems":[{"id":2553,"uris":["http://zotero.org/groups/2470620/items/EZPADUX7"],"itemData":{"id":2553,"type":"article-journal","container-title":"Annals of the ICRP","issue":"3/4","journalAbbreviation":"Ann. ICRP","language":"et","title":"Limits for intakes of radionuclides by workers, ICRP Publication 30, Part 1","volume":"2","author":[{"literal":"ICRP"}],"issued":{"date-parts":[["1979"]]}}}],"schema":"https://github.com/citation-style-language/schema/raw/master/csl-citation.json"} </w:instrText>
      </w:r>
      <w:r w:rsidR="00DD38BF" w:rsidRPr="00972C81">
        <w:rPr>
          <w:noProof/>
        </w:rPr>
        <w:fldChar w:fldCharType="separate"/>
      </w:r>
      <w:r w:rsidR="00BC59C6" w:rsidRPr="00972C81">
        <w:rPr>
          <w:noProof/>
        </w:rPr>
        <w:t>(ICRP, 1979)</w:t>
      </w:r>
      <w:r w:rsidR="00DD38BF" w:rsidRPr="00972C81">
        <w:rPr>
          <w:noProof/>
        </w:rPr>
        <w:fldChar w:fldCharType="end"/>
      </w:r>
      <w:r w:rsidRPr="00972C81">
        <w:rPr>
          <w:noProof/>
        </w:rPr>
        <w:t>, an absorption fraction of 2</w:t>
      </w:r>
      <w:r w:rsidR="00067025" w:rsidRPr="00972C81">
        <w:rPr>
          <w:noProof/>
        </w:rPr>
        <w:t xml:space="preserve"> × </w:t>
      </w:r>
      <w:r w:rsidRPr="00972C81">
        <w:rPr>
          <w:noProof/>
        </w:rPr>
        <w:t>10</w:t>
      </w:r>
      <w:r w:rsidRPr="00972C81">
        <w:rPr>
          <w:noProof/>
          <w:vertAlign w:val="superscript"/>
        </w:rPr>
        <w:t>-4</w:t>
      </w:r>
      <w:r w:rsidRPr="00972C81">
        <w:rPr>
          <w:noProof/>
        </w:rPr>
        <w:t xml:space="preserve"> was recommended. In </w:t>
      </w:r>
      <w:r w:rsidRPr="00972C81">
        <w:rPr>
          <w:i/>
          <w:noProof/>
        </w:rPr>
        <w:t xml:space="preserve">Publication 69 </w:t>
      </w:r>
      <w:r w:rsidR="00DD38BF" w:rsidRPr="00972C81">
        <w:rPr>
          <w:noProof/>
        </w:rPr>
        <w:fldChar w:fldCharType="begin"/>
      </w:r>
      <w:r w:rsidR="00DD38BF" w:rsidRPr="00972C81">
        <w:rPr>
          <w:noProof/>
        </w:rPr>
        <w:instrText xml:space="preserve"> ADDIN ZOTERO_ITEM CSL_CITATION {"citationID":"8JIeYpdR","properties":{"formattedCitation":"(ICRP, 1995a)","plainCitation":"(ICRP, 1995a)","noteIndex":0},"citationItems":[{"id":2560,"uris":["http://zotero.org/groups/2470620/items/2Z2UA63Y",["http://zotero.org/groups/2470620/items/2Z2UA63Y"]],"itemData":{"id":2560,"type":"article-journal","container-title":"Annals of the ICRP","issue":"1","language":"en","title":"Age-dependent Doses to Members of the Public from Intake of Radionuclides: Part 3. Ingestion Dose Coefficients, ICRP Publication 69.","volume":"25","author":[{"family":"ICRP","given":""}],"issued":{"date-parts":[["1995"]]}}}],"schema":"https://github.com/citation-style-language/schema/raw/master/csl-citation.json"} </w:instrText>
      </w:r>
      <w:r w:rsidR="00DD38BF" w:rsidRPr="00972C81">
        <w:rPr>
          <w:noProof/>
        </w:rPr>
        <w:fldChar w:fldCharType="separate"/>
      </w:r>
      <w:r w:rsidR="00BC59C6" w:rsidRPr="00972C81">
        <w:rPr>
          <w:noProof/>
        </w:rPr>
        <w:t>(ICRP, 1995a)</w:t>
      </w:r>
      <w:r w:rsidR="00DD38BF" w:rsidRPr="00972C81">
        <w:rPr>
          <w:noProof/>
        </w:rPr>
        <w:fldChar w:fldCharType="end"/>
      </w:r>
      <w:r w:rsidRPr="00972C81">
        <w:rPr>
          <w:noProof/>
        </w:rPr>
        <w:t>, based on chemi</w:t>
      </w:r>
      <w:r w:rsidR="00E31A20" w:rsidRPr="00972C81">
        <w:rPr>
          <w:noProof/>
        </w:rPr>
        <w:t>c</w:t>
      </w:r>
      <w:r w:rsidRPr="00972C81">
        <w:rPr>
          <w:noProof/>
        </w:rPr>
        <w:t>al similarities, a general absorption value of 5</w:t>
      </w:r>
      <w:r w:rsidR="00067025" w:rsidRPr="00972C81">
        <w:rPr>
          <w:noProof/>
        </w:rPr>
        <w:t xml:space="preserve"> × </w:t>
      </w:r>
      <w:r w:rsidRPr="00972C81">
        <w:rPr>
          <w:noProof/>
        </w:rPr>
        <w:t>10</w:t>
      </w:r>
      <w:r w:rsidRPr="00972C81">
        <w:rPr>
          <w:noProof/>
          <w:vertAlign w:val="superscript"/>
        </w:rPr>
        <w:t>-4</w:t>
      </w:r>
      <w:r w:rsidRPr="00972C81">
        <w:rPr>
          <w:noProof/>
        </w:rPr>
        <w:t xml:space="preserve"> was </w:t>
      </w:r>
      <w:r w:rsidR="00E444AF" w:rsidRPr="00972C81">
        <w:rPr>
          <w:noProof/>
        </w:rPr>
        <w:t>recommended</w:t>
      </w:r>
      <w:r w:rsidRPr="00972C81">
        <w:rPr>
          <w:noProof/>
        </w:rPr>
        <w:t xml:space="preserve"> for dietary intake by adults for all actinides other than uranium. The same value of </w:t>
      </w:r>
      <w:r w:rsidRPr="00972C81">
        <w:rPr>
          <w:i/>
          <w:noProof/>
        </w:rPr>
        <w:t>f</w:t>
      </w:r>
      <w:r w:rsidRPr="00972C81">
        <w:rPr>
          <w:noProof/>
          <w:vertAlign w:val="subscript"/>
        </w:rPr>
        <w:t>A</w:t>
      </w:r>
      <w:r w:rsidRPr="00972C81">
        <w:rPr>
          <w:noProof/>
        </w:rPr>
        <w:t xml:space="preserve"> = 5</w:t>
      </w:r>
      <w:r w:rsidR="00067025" w:rsidRPr="00972C81">
        <w:rPr>
          <w:noProof/>
        </w:rPr>
        <w:t xml:space="preserve"> × </w:t>
      </w:r>
      <w:r w:rsidRPr="00972C81">
        <w:rPr>
          <w:noProof/>
        </w:rPr>
        <w:t>10</w:t>
      </w:r>
      <w:r w:rsidRPr="00972C81">
        <w:rPr>
          <w:noProof/>
          <w:vertAlign w:val="superscript"/>
        </w:rPr>
        <w:t>-4</w:t>
      </w:r>
      <w:r w:rsidRPr="00972C81">
        <w:rPr>
          <w:noProof/>
        </w:rPr>
        <w:t xml:space="preserve"> was recommended in </w:t>
      </w:r>
      <w:r w:rsidR="00BF53FF" w:rsidRPr="00972C81">
        <w:rPr>
          <w:i/>
          <w:noProof/>
        </w:rPr>
        <w:t xml:space="preserve">ICRP Publication </w:t>
      </w:r>
      <w:r w:rsidR="00723727" w:rsidRPr="00972C81">
        <w:rPr>
          <w:i/>
          <w:noProof/>
        </w:rPr>
        <w:t>137</w:t>
      </w:r>
      <w:r w:rsidR="00ED3C70" w:rsidRPr="00972C81">
        <w:rPr>
          <w:i/>
          <w:noProof/>
        </w:rPr>
        <w:t xml:space="preserve"> </w:t>
      </w:r>
      <w:r w:rsidR="00DD38BF" w:rsidRPr="00972C81">
        <w:rPr>
          <w:noProof/>
        </w:rPr>
        <w:fldChar w:fldCharType="begin"/>
      </w:r>
      <w:r w:rsidR="00DD38BF" w:rsidRPr="00972C81">
        <w:rPr>
          <w:noProof/>
        </w:rPr>
        <w:instrText xml:space="preserve"> ADDIN ZOTERO_ITEM CSL_CITATION {"citationID":"Sj5X71yN","properties":{"formattedCitation":"(ICRP, 2017)","plainCitation":"(ICRP, 2017)","noteIndex":0},"citationItems":[{"id":2566,"uris":["http://zotero.org/groups/2470620/items/BYB77JGB"],"itemData":{"id":2566,"type":"article-journal","container-title":"Annals of the ICRP","issue":"3/4","journalAbbreviation":"Ann. ICRP","language":"en","title":"Occupational intakes of radionuclides: Part 3. ICRP Publication 137","volume":"46","author":[{"literal":"ICRP"}],"issued":{"date-parts":[["2017"]]}}}],"schema":"https://github.com/citation-style-language/schema/raw/master/csl-citation.json"} </w:instrText>
      </w:r>
      <w:r w:rsidR="00DD38BF" w:rsidRPr="00972C81">
        <w:rPr>
          <w:noProof/>
        </w:rPr>
        <w:fldChar w:fldCharType="separate"/>
      </w:r>
      <w:r w:rsidR="00BC59C6" w:rsidRPr="00972C81">
        <w:rPr>
          <w:noProof/>
        </w:rPr>
        <w:t>(ICRP, 2017)</w:t>
      </w:r>
      <w:r w:rsidR="00DD38BF" w:rsidRPr="00972C81">
        <w:rPr>
          <w:noProof/>
        </w:rPr>
        <w:fldChar w:fldCharType="end"/>
      </w:r>
      <w:r w:rsidRPr="00972C81">
        <w:rPr>
          <w:noProof/>
        </w:rPr>
        <w:t xml:space="preserve"> for all chemical forms of thorium. It is also adopted here for dietary intakes of thorium by adults.</w:t>
      </w:r>
    </w:p>
    <w:p w14:paraId="09511E18" w14:textId="3A30CE4B" w:rsidR="009B0EC9" w:rsidRPr="00972C81" w:rsidRDefault="009215E6" w:rsidP="001C4A92">
      <w:pPr>
        <w:pStyle w:val="Annalstext"/>
        <w:rPr>
          <w:noProof/>
        </w:rPr>
      </w:pPr>
      <w:r w:rsidRPr="00972C81">
        <w:rPr>
          <w:noProof/>
          <w:lang w:eastAsia="fr-FR"/>
        </w:rPr>
        <w:t xml:space="preserve"> </w:t>
      </w:r>
      <w:r w:rsidR="009B0EC9" w:rsidRPr="00972C81">
        <w:rPr>
          <w:bCs/>
          <w:i/>
          <w:iCs/>
          <w:noProof/>
          <w:lang w:eastAsia="fr-FR"/>
        </w:rPr>
        <w:t>Children.</w:t>
      </w:r>
      <w:r w:rsidR="009B0EC9" w:rsidRPr="00972C81">
        <w:rPr>
          <w:b/>
          <w:bCs/>
          <w:i/>
          <w:iCs/>
          <w:noProof/>
          <w:lang w:eastAsia="fr-FR"/>
        </w:rPr>
        <w:t xml:space="preserve"> </w:t>
      </w:r>
      <w:r w:rsidR="009B0EC9" w:rsidRPr="00972C81">
        <w:rPr>
          <w:noProof/>
          <w:lang w:eastAsia="fr-FR"/>
        </w:rPr>
        <w:t xml:space="preserve">With the exception of an experiment of Sullivan </w:t>
      </w:r>
      <w:r w:rsidR="009B0EC9" w:rsidRPr="00972C81">
        <w:rPr>
          <w:bCs/>
          <w:iCs/>
          <w:noProof/>
          <w:lang w:eastAsia="fr-FR"/>
        </w:rPr>
        <w:t>et al.</w:t>
      </w:r>
      <w:r w:rsidR="00DD38BF" w:rsidRPr="00972C81">
        <w:rPr>
          <w:noProof/>
        </w:rPr>
        <w:t xml:space="preserve"> </w:t>
      </w:r>
      <w:r w:rsidR="00DD38BF" w:rsidRPr="00972C81">
        <w:rPr>
          <w:noProof/>
          <w:lang w:eastAsia="fr-FR"/>
        </w:rPr>
        <w:fldChar w:fldCharType="begin"/>
      </w:r>
      <w:r w:rsidR="00DD38BF" w:rsidRPr="00972C81">
        <w:rPr>
          <w:noProof/>
          <w:lang w:eastAsia="fr-FR"/>
        </w:rPr>
        <w:instrText xml:space="preserve"> ADDIN ZOTERO_ITEM CSL_CITATION {"citationID":"y3QV9wCc","properties":{"formattedCitation":"(1983)","plainCitation":"(1983)","noteIndex":0},"citationItems":[{"id":4880,"uris":["http://zotero.org/groups/2470620/items/IAS72TTM"],"itemData":{"id":4880,"type":"article-journal","container-title":"Health Physics","ISSN":"0017-9078","issue":"4","journalAbbreviation":"Health Phys","language":"eng","note":"PMID: 6841106","page":"425-428","source":"PubMed","title":"Absorption of thorium and protactinium from the gastrointestinal tract in adult mice and rats and neonatal rats","volume":"44","author":[{"family":"Sullivan","given":"M. F."},{"family":"Miller","given":"B. M."},{"family":"Ryan","given":"J. L."}],"issued":{"date-parts":[["1983",4]]}},"label":"page","suppress-author":true}],"schema":"https://github.com/citation-style-language/schema/raw/master/csl-citation.json"} </w:instrText>
      </w:r>
      <w:r w:rsidR="00DD38BF" w:rsidRPr="00972C81">
        <w:rPr>
          <w:noProof/>
          <w:lang w:eastAsia="fr-FR"/>
        </w:rPr>
        <w:fldChar w:fldCharType="separate"/>
      </w:r>
      <w:r w:rsidR="00BC59C6" w:rsidRPr="00972C81">
        <w:rPr>
          <w:noProof/>
        </w:rPr>
        <w:t>(1983)</w:t>
      </w:r>
      <w:r w:rsidR="00DD38BF" w:rsidRPr="00972C81">
        <w:rPr>
          <w:noProof/>
          <w:lang w:eastAsia="fr-FR"/>
        </w:rPr>
        <w:fldChar w:fldCharType="end"/>
      </w:r>
      <w:r w:rsidR="009B0EC9" w:rsidRPr="00972C81">
        <w:rPr>
          <w:noProof/>
          <w:lang w:eastAsia="fr-FR"/>
        </w:rPr>
        <w:t xml:space="preserve"> with neonatal rats giving an absorption fraction of 0.01, there appears to be no age-dependent information available on the gastro-intestinal absorption of thorium. Following the general approach of </w:t>
      </w:r>
      <w:r w:rsidR="009B0EC9" w:rsidRPr="00972C81">
        <w:rPr>
          <w:i/>
          <w:noProof/>
          <w:lang w:eastAsia="fr-FR"/>
        </w:rPr>
        <w:t>Publication 56</w:t>
      </w:r>
      <w:r w:rsidR="009B0EC9" w:rsidRPr="00972C81">
        <w:rPr>
          <w:noProof/>
          <w:lang w:eastAsia="fr-FR"/>
        </w:rPr>
        <w:t xml:space="preserve"> </w:t>
      </w:r>
      <w:r w:rsidR="00DD38BF" w:rsidRPr="00972C81">
        <w:rPr>
          <w:noProof/>
          <w:lang w:eastAsia="fr-FR"/>
        </w:rPr>
        <w:fldChar w:fldCharType="begin"/>
      </w:r>
      <w:r w:rsidR="00DD38BF" w:rsidRPr="00972C81">
        <w:rPr>
          <w:noProof/>
          <w:lang w:eastAsia="fr-FR"/>
        </w:rPr>
        <w:instrText xml:space="preserve"> ADDIN ZOTERO_ITEM CSL_CITATION {"citationID":"K7iXhNMC","properties":{"formattedCitation":"(ICRP, 1990)","plainCitation":"(ICRP, 1990)","noteIndex":0},"citationItems":[{"id":3465,"uris":["http://zotero.org/groups/2470620/items/P3QPMZIH",["http://zotero.org/groups/2470620/items/P3QPMZIH"]],"itemData":{"id":3465,"type":"article-journal","container-title":"Annals of the ICRP","issue":"2","title":"Age-dependent Doses to Members of the Public from Intake of Radionuclides - Part 1. ICRP Publication 56","volume":"20","author":[{"literal":"ICRP"}],"issued":{"date-parts":[["1990"]]}}}],"schema":"https://github.com/citation-style-language/schema/raw/master/csl-citation.json"} </w:instrText>
      </w:r>
      <w:r w:rsidR="00DD38BF" w:rsidRPr="00972C81">
        <w:rPr>
          <w:noProof/>
          <w:lang w:eastAsia="fr-FR"/>
        </w:rPr>
        <w:fldChar w:fldCharType="separate"/>
      </w:r>
      <w:r w:rsidR="00BC59C6" w:rsidRPr="00972C81">
        <w:rPr>
          <w:noProof/>
        </w:rPr>
        <w:t>(ICRP, 1990)</w:t>
      </w:r>
      <w:r w:rsidR="00DD38BF" w:rsidRPr="00972C81">
        <w:rPr>
          <w:noProof/>
          <w:lang w:eastAsia="fr-FR"/>
        </w:rPr>
        <w:fldChar w:fldCharType="end"/>
      </w:r>
      <w:r w:rsidR="009B0EC9" w:rsidRPr="00972C81">
        <w:rPr>
          <w:noProof/>
          <w:lang w:eastAsia="fr-FR"/>
        </w:rPr>
        <w:t>, an absorption fraction of 5</w:t>
      </w:r>
      <w:r w:rsidR="00067025" w:rsidRPr="00972C81">
        <w:rPr>
          <w:noProof/>
          <w:lang w:eastAsia="fr-FR"/>
        </w:rPr>
        <w:t xml:space="preserve"> ×</w:t>
      </w:r>
      <w:r w:rsidR="00067025" w:rsidRPr="00972C81">
        <w:rPr>
          <w:noProof/>
        </w:rPr>
        <w:t xml:space="preserve"> </w:t>
      </w:r>
      <w:r w:rsidR="009B0EC9" w:rsidRPr="00972C81">
        <w:rPr>
          <w:noProof/>
          <w:lang w:eastAsia="fr-FR"/>
        </w:rPr>
        <w:t>10</w:t>
      </w:r>
      <w:r w:rsidR="009B0EC9" w:rsidRPr="00972C81">
        <w:rPr>
          <w:noProof/>
          <w:vertAlign w:val="superscript"/>
          <w:lang w:eastAsia="fr-FR"/>
        </w:rPr>
        <w:t>-3</w:t>
      </w:r>
      <w:r w:rsidR="009B0EC9" w:rsidRPr="00972C81">
        <w:rPr>
          <w:noProof/>
          <w:lang w:eastAsia="fr-FR"/>
        </w:rPr>
        <w:t xml:space="preserve"> was recommended by </w:t>
      </w:r>
      <w:r w:rsidR="009B0EC9" w:rsidRPr="00972C81">
        <w:rPr>
          <w:i/>
          <w:noProof/>
          <w:lang w:eastAsia="fr-FR"/>
        </w:rPr>
        <w:t>Publication 69</w:t>
      </w:r>
      <w:r w:rsidR="009B0EC9" w:rsidRPr="00972C81">
        <w:rPr>
          <w:noProof/>
          <w:lang w:eastAsia="fr-FR"/>
        </w:rPr>
        <w:t xml:space="preserve"> for the 3-mo-old infant. The same value of </w:t>
      </w:r>
      <w:r w:rsidR="009B0EC9" w:rsidRPr="00972C81">
        <w:rPr>
          <w:i/>
          <w:noProof/>
          <w:lang w:eastAsia="fr-FR"/>
        </w:rPr>
        <w:t>f</w:t>
      </w:r>
      <w:r w:rsidR="009B0EC9" w:rsidRPr="00972C81">
        <w:rPr>
          <w:noProof/>
          <w:vertAlign w:val="subscript"/>
          <w:lang w:eastAsia="fr-FR"/>
        </w:rPr>
        <w:t>A</w:t>
      </w:r>
      <w:r w:rsidR="009B0EC9" w:rsidRPr="00972C81">
        <w:rPr>
          <w:noProof/>
          <w:lang w:eastAsia="fr-FR"/>
        </w:rPr>
        <w:t xml:space="preserve"> = 5</w:t>
      </w:r>
      <w:r w:rsidR="00067025" w:rsidRPr="00972C81">
        <w:rPr>
          <w:noProof/>
          <w:lang w:eastAsia="fr-FR"/>
        </w:rPr>
        <w:t xml:space="preserve"> ×</w:t>
      </w:r>
      <w:r w:rsidR="00067025" w:rsidRPr="00972C81">
        <w:rPr>
          <w:noProof/>
        </w:rPr>
        <w:t xml:space="preserve"> </w:t>
      </w:r>
      <w:r w:rsidR="009B0EC9" w:rsidRPr="00972C81">
        <w:rPr>
          <w:noProof/>
          <w:lang w:eastAsia="fr-FR"/>
        </w:rPr>
        <w:t>10</w:t>
      </w:r>
      <w:r w:rsidR="009B0EC9" w:rsidRPr="00972C81">
        <w:rPr>
          <w:noProof/>
          <w:vertAlign w:val="superscript"/>
          <w:lang w:eastAsia="fr-FR"/>
        </w:rPr>
        <w:t>-3</w:t>
      </w:r>
      <w:r w:rsidR="009B0EC9" w:rsidRPr="00972C81">
        <w:rPr>
          <w:noProof/>
          <w:lang w:eastAsia="fr-FR"/>
        </w:rPr>
        <w:t xml:space="preserve"> is adopted here for infants. For children of 1 y and older the </w:t>
      </w:r>
      <w:r w:rsidR="009B0EC9" w:rsidRPr="00972C81">
        <w:rPr>
          <w:i/>
          <w:noProof/>
          <w:lang w:eastAsia="fr-FR"/>
        </w:rPr>
        <w:t>f</w:t>
      </w:r>
      <w:r w:rsidR="009B0EC9" w:rsidRPr="00972C81">
        <w:rPr>
          <w:noProof/>
          <w:vertAlign w:val="subscript"/>
          <w:lang w:eastAsia="fr-FR"/>
        </w:rPr>
        <w:t>A</w:t>
      </w:r>
      <w:r w:rsidR="009B0EC9" w:rsidRPr="00972C81">
        <w:rPr>
          <w:noProof/>
          <w:lang w:eastAsia="fr-FR"/>
        </w:rPr>
        <w:t xml:space="preserve"> value for adults of 5</w:t>
      </w:r>
      <w:r w:rsidR="00067025" w:rsidRPr="00972C81">
        <w:rPr>
          <w:noProof/>
          <w:lang w:eastAsia="fr-FR"/>
        </w:rPr>
        <w:t xml:space="preserve"> ×</w:t>
      </w:r>
      <w:r w:rsidR="00067025" w:rsidRPr="00972C81">
        <w:rPr>
          <w:noProof/>
        </w:rPr>
        <w:t xml:space="preserve"> </w:t>
      </w:r>
      <w:r w:rsidR="009B0EC9" w:rsidRPr="00972C81">
        <w:rPr>
          <w:noProof/>
          <w:lang w:eastAsia="fr-FR"/>
        </w:rPr>
        <w:t>10</w:t>
      </w:r>
      <w:r w:rsidR="009B0EC9" w:rsidRPr="00972C81">
        <w:rPr>
          <w:noProof/>
          <w:vertAlign w:val="superscript"/>
          <w:lang w:eastAsia="fr-FR"/>
        </w:rPr>
        <w:t>-4</w:t>
      </w:r>
      <w:r w:rsidR="009B0EC9" w:rsidRPr="00972C81">
        <w:rPr>
          <w:noProof/>
          <w:lang w:eastAsia="fr-FR"/>
        </w:rPr>
        <w:t xml:space="preserve"> is adopted here.</w:t>
      </w:r>
    </w:p>
    <w:p w14:paraId="6F13515F" w14:textId="77777777" w:rsidR="009B0EC9" w:rsidRPr="00972C81" w:rsidRDefault="009B0EC9" w:rsidP="00E81109">
      <w:pPr>
        <w:pStyle w:val="3"/>
        <w:rPr>
          <w:noProof/>
        </w:rPr>
      </w:pPr>
      <w:bookmarkStart w:id="263" w:name="_Toc162630083"/>
      <w:r w:rsidRPr="00972C81">
        <w:rPr>
          <w:noProof/>
        </w:rPr>
        <w:t>Systemic Distribution, Retention and Excretion</w:t>
      </w:r>
      <w:bookmarkEnd w:id="263"/>
    </w:p>
    <w:p w14:paraId="2E75C717" w14:textId="77777777" w:rsidR="0078660D" w:rsidRPr="00972C81" w:rsidRDefault="0078660D" w:rsidP="006703A2">
      <w:pPr>
        <w:pStyle w:val="OIRTitre4"/>
      </w:pPr>
      <w:r w:rsidRPr="00972C81">
        <w:t>Summary of biokinetic data</w:t>
      </w:r>
    </w:p>
    <w:p w14:paraId="776384C2" w14:textId="6AA1C5C9" w:rsidR="0078660D" w:rsidRPr="00972C81" w:rsidRDefault="0078660D" w:rsidP="001C4A92">
      <w:pPr>
        <w:pStyle w:val="Annalstext"/>
        <w:rPr>
          <w:noProof/>
        </w:rPr>
      </w:pPr>
      <w:r w:rsidRPr="00972C81">
        <w:rPr>
          <w:noProof/>
        </w:rPr>
        <w:t xml:space="preserve">Maletskos et al. </w:t>
      </w:r>
      <w:r w:rsidR="00972D5F" w:rsidRPr="00972C81">
        <w:rPr>
          <w:noProof/>
        </w:rPr>
        <w:fldChar w:fldCharType="begin"/>
      </w:r>
      <w:r w:rsidR="003515E3" w:rsidRPr="00972C81">
        <w:rPr>
          <w:noProof/>
        </w:rPr>
        <w:instrText xml:space="preserve"> ADDIN ZOTERO_ITEM CSL_CITATION {"citationID":"fhenKK14","properties":{"formattedCitation":"(1966, 1969)","plainCitation":"(1966, 1969)","noteIndex":0},"citationItems":[{"id":4891,"uris":["http://zotero.org/groups/2470620/items/P57LMKME"],"itemData":{"id":4891,"type":"report","collection-title":"Radium and Mesothorium Poisoning and Dosimetry and Instrumentation Techniques in Applied Radioactivity","event-place":"Cambridge, MA","number":"MIT-952-3","page":"202-317","publisher":"Massachusetts Institute of Technology","publisher-place":"Cambridge, MA","title":"The metabolism of intravenously administered radium and thorium in human beings and the relative absorption from the human gastrointestinal tract of radium and thorium in simulated radium dial paints","author":[{"family":"Maletskos","given":"C.J."},{"family":"Keane","given":"A.T."},{"family":"Telles","given":"N.C."},{"family":"Evans","given":"R.D."}],"issued":{"date-parts":[["1966"]]}},"label":"page","suppress-author":true},{"id":4888,"uris":["http://zotero.org/groups/2470620/items/VCJ9BQB2"],"itemData":{"id":4888,"type":"chapter","container-title":"Delayed Effects of Bone-seeking Radionuclides","edition":"University of Utah Press","event-place":"Salt Lake City, UT","page":"29-49","publisher-place":"Salt Lake City, UT","title":"Retention and absorption of 224Ra and 234Th and some dosimetric considerations of 224Ra in human beings","author":[{"family":"Maletskos","given":"C.J."},{"family":"Keane","given":"A.T."},{"family":"Telles","given":"N.C."},{"family":"Evans","given":"R.D."}],"editor":[{"family":"Mays","given":"C.W."},{"family":"Jee","given":"W.S.S."},{"family":"Lloyd","given":"R.D."},{"family":"Stover","given":"B.J."},{"family":"Dougherty","given":"J.H."},{"family":"Taylor","given":"G.N."}],"issued":{"date-parts":[["1969"]]}},"label":"page","suppress-author":true}],"schema":"https://github.com/citation-style-language/schema/raw/master/csl-citation.json"} </w:instrText>
      </w:r>
      <w:r w:rsidR="00972D5F" w:rsidRPr="00972C81">
        <w:rPr>
          <w:noProof/>
        </w:rPr>
        <w:fldChar w:fldCharType="separate"/>
      </w:r>
      <w:r w:rsidR="00BC59C6" w:rsidRPr="00972C81">
        <w:rPr>
          <w:noProof/>
        </w:rPr>
        <w:t>(1966, 1969)</w:t>
      </w:r>
      <w:r w:rsidR="00972D5F" w:rsidRPr="00972C81">
        <w:rPr>
          <w:noProof/>
        </w:rPr>
        <w:fldChar w:fldCharType="end"/>
      </w:r>
      <w:r w:rsidR="00972D5F" w:rsidRPr="00972C81">
        <w:rPr>
          <w:noProof/>
        </w:rPr>
        <w:t xml:space="preserve"> </w:t>
      </w:r>
      <w:r w:rsidRPr="00972C81">
        <w:rPr>
          <w:noProof/>
        </w:rPr>
        <w:t xml:space="preserve">studied the biokinetics of </w:t>
      </w:r>
      <w:r w:rsidRPr="00972C81">
        <w:rPr>
          <w:noProof/>
          <w:vertAlign w:val="superscript"/>
        </w:rPr>
        <w:t>234</w:t>
      </w:r>
      <w:r w:rsidRPr="00972C81">
        <w:rPr>
          <w:noProof/>
        </w:rPr>
        <w:t>Th following its intravenous administration of citrate into normal human subjects in the age range 63</w:t>
      </w:r>
      <w:r w:rsidR="00CC1FB8" w:rsidRPr="00972C81">
        <w:rPr>
          <w:noProof/>
        </w:rPr>
        <w:t>–</w:t>
      </w:r>
      <w:r w:rsidRPr="00972C81">
        <w:rPr>
          <w:noProof/>
        </w:rPr>
        <w:t>83 y. Thorium initially disappeared from blood with a half</w:t>
      </w:r>
      <w:r w:rsidRPr="00972C81">
        <w:rPr>
          <w:noProof/>
        </w:rPr>
        <w:noBreakHyphen/>
        <w:t>time of a few hours. As an average, about 10% of the injected amount remained in blood after 1 d, 3% after 2 d, 1.5% after 3 d, and 0.3% after 10 d. Whole</w:t>
      </w:r>
      <w:r w:rsidRPr="00972C81">
        <w:rPr>
          <w:noProof/>
        </w:rPr>
        <w:noBreakHyphen/>
        <w:t>body retention was greater than 90% of the injected amount at 3 wk after injection. Cumulative urinary excretion represented about 4.5</w:t>
      </w:r>
      <w:r w:rsidR="00CC1FB8" w:rsidRPr="00972C81">
        <w:rPr>
          <w:noProof/>
        </w:rPr>
        <w:t>–</w:t>
      </w:r>
      <w:r w:rsidRPr="00972C81">
        <w:rPr>
          <w:noProof/>
        </w:rPr>
        <w:t>6% of the injected amount over the first 5 d after injection and an additional 2</w:t>
      </w:r>
      <w:r w:rsidR="00CC1FB8" w:rsidRPr="00972C81">
        <w:rPr>
          <w:noProof/>
        </w:rPr>
        <w:t>–</w:t>
      </w:r>
      <w:r w:rsidRPr="00972C81">
        <w:rPr>
          <w:noProof/>
        </w:rPr>
        <w:t>3% over the next 19 d. Little activity was lost in faeces during the first five days. The ratio of urinary to faecal excretion over the first five days averaged about 12 for the male subjects and 25 for the female subjects. External measurements indicated virtually no biological removal from the body during the period from 3</w:t>
      </w:r>
      <w:r w:rsidR="00CC1FB8" w:rsidRPr="00972C81">
        <w:rPr>
          <w:noProof/>
        </w:rPr>
        <w:t>–</w:t>
      </w:r>
      <w:r w:rsidRPr="00972C81">
        <w:rPr>
          <w:noProof/>
        </w:rPr>
        <w:t>16 wk after injection. There appeared to be no elevated accumulation of thorium in the liver compared with other soft tissues.</w:t>
      </w:r>
    </w:p>
    <w:p w14:paraId="6A4A6C07" w14:textId="02D9CBDE" w:rsidR="0078660D" w:rsidRPr="00972C81" w:rsidRDefault="0078660D" w:rsidP="001C4A92">
      <w:pPr>
        <w:pStyle w:val="Annalstext"/>
        <w:rPr>
          <w:noProof/>
        </w:rPr>
      </w:pPr>
      <w:r w:rsidRPr="00972C81">
        <w:rPr>
          <w:noProof/>
        </w:rPr>
        <w:lastRenderedPageBreak/>
        <w:t>Long</w:t>
      </w:r>
      <w:r w:rsidRPr="00972C81">
        <w:rPr>
          <w:noProof/>
        </w:rPr>
        <w:noBreakHyphen/>
        <w:t xml:space="preserve">term measurements of </w:t>
      </w:r>
      <w:r w:rsidRPr="00972C81">
        <w:rPr>
          <w:noProof/>
          <w:vertAlign w:val="superscript"/>
        </w:rPr>
        <w:t>227</w:t>
      </w:r>
      <w:r w:rsidRPr="00972C81">
        <w:rPr>
          <w:noProof/>
        </w:rPr>
        <w:t xml:space="preserve">Th or </w:t>
      </w:r>
      <w:r w:rsidRPr="00972C81">
        <w:rPr>
          <w:noProof/>
          <w:vertAlign w:val="superscript"/>
        </w:rPr>
        <w:t>228</w:t>
      </w:r>
      <w:r w:rsidRPr="00972C81">
        <w:rPr>
          <w:noProof/>
        </w:rPr>
        <w:t>Th in the bodies and excreta of accidentally exposed workers suggest a minimum biological half</w:t>
      </w:r>
      <w:r w:rsidRPr="00972C81">
        <w:rPr>
          <w:noProof/>
        </w:rPr>
        <w:noBreakHyphen/>
        <w:t>time of 10</w:t>
      </w:r>
      <w:r w:rsidR="00CC1FB8" w:rsidRPr="00972C81">
        <w:rPr>
          <w:noProof/>
        </w:rPr>
        <w:t>–</w:t>
      </w:r>
      <w:r w:rsidRPr="00972C81">
        <w:rPr>
          <w:noProof/>
        </w:rPr>
        <w:t xml:space="preserve">15 y for the total-body content </w:t>
      </w:r>
      <w:r w:rsidR="003515E3" w:rsidRPr="00972C81">
        <w:rPr>
          <w:noProof/>
        </w:rPr>
        <w:fldChar w:fldCharType="begin"/>
      </w:r>
      <w:r w:rsidR="003515E3" w:rsidRPr="00972C81">
        <w:rPr>
          <w:noProof/>
        </w:rPr>
        <w:instrText xml:space="preserve"> ADDIN ZOTERO_ITEM CSL_CITATION {"citationID":"uGKzPHXG","properties":{"formattedCitation":"(Newton et al., 1981; Rundo, 1964)","plainCitation":"(Newton et al., 1981; Rundo, 1964)","noteIndex":0},"citationItems":[{"id":4897,"uris":["http://zotero.org/groups/2470620/items/I2PQ9AB3"],"itemData":{"id":4897,"type":"article-journal","container-title":"Health Physics","DOI":"10.1097/00004032-198103000-00001","issue":"3","page":"291-298","title":"Long-term retention of 228Th following accidental intake","volume":"40","author":[{"family":"Newton","given":"D."},{"family":"Rundo","given":"J."},{"family":"Eakins","given":"J.D."}],"issued":{"date-parts":[["1981"]]}}},{"id":4894,"uris":["http://zotero.org/groups/2470620/items/BE2DVKDR"],"itemData":{"id":4894,"type":"article-journal","container-title":"Assessment of Radioactivity in Man","page":"291-306","title":"Two cases of chronic occupational exposure to radioactive materials","volume":"2","author":[{"family":"Rundo","given":"J."}],"issued":{"date-parts":[["1964"]]}}}],"schema":"https://github.com/citation-style-language/schema/raw/master/csl-citation.json"} </w:instrText>
      </w:r>
      <w:r w:rsidR="003515E3" w:rsidRPr="00972C81">
        <w:rPr>
          <w:noProof/>
        </w:rPr>
        <w:fldChar w:fldCharType="separate"/>
      </w:r>
      <w:r w:rsidR="00BC59C6" w:rsidRPr="00972C81">
        <w:rPr>
          <w:noProof/>
        </w:rPr>
        <w:t>(Newton et al., 1981; Rundo, 1964)</w:t>
      </w:r>
      <w:r w:rsidR="003515E3" w:rsidRPr="00972C81">
        <w:rPr>
          <w:noProof/>
        </w:rPr>
        <w:fldChar w:fldCharType="end"/>
      </w:r>
      <w:r w:rsidRPr="00972C81">
        <w:rPr>
          <w:noProof/>
        </w:rPr>
        <w:t>. Similar measurements on workers chronically exposed to thorium over 1</w:t>
      </w:r>
      <w:r w:rsidR="00CC1FB8" w:rsidRPr="00972C81">
        <w:rPr>
          <w:noProof/>
        </w:rPr>
        <w:t>–</w:t>
      </w:r>
      <w:r w:rsidRPr="00972C81">
        <w:rPr>
          <w:noProof/>
        </w:rPr>
        <w:t xml:space="preserve">3 decades </w:t>
      </w:r>
      <w:r w:rsidR="003515E3" w:rsidRPr="00972C81">
        <w:rPr>
          <w:noProof/>
        </w:rPr>
        <w:fldChar w:fldCharType="begin"/>
      </w:r>
      <w:r w:rsidR="00AC3977" w:rsidRPr="00972C81">
        <w:rPr>
          <w:noProof/>
        </w:rPr>
        <w:instrText xml:space="preserve"> ADDIN ZOTERO_ITEM CSL_CITATION {"citationID":"3DmGPxYU","properties":{"formattedCitation":"(Dang, Jaiswal, et al., 1992)","plainCitation":"(Dang, Jaiswal, et al., 1992)","noteIndex":0},"citationItems":[{"id":4900,"uris":["http://zotero.org/groups/2470620/items/EF67NKJX"],"itemData":{"id":4900,"type":"article-journal","container-title":"Journal of Radioanalytical and Nuclear Chemistry Articles","DOI":"10.1007/BF02037421","issue":"1","page":"55-64","title":"Relevance of ICRP metabolic model of Th in bio-assay monitoring","volume":"156","author":[{"family":"Dang","given":"H.S."},{"family":"Jaiswal","given":"D.D."},{"family":"Murthy","given":"K.B.S."},{"family":"Sharma","given":"R.C."},{"family":"Nambiar","given":"P.P.V.J."},{"family":"Sunta","given":"C.M."}],"issued":{"date-parts":[["1992"]]}}}],"schema":"https://github.com/citation-style-language/schema/raw/master/csl-citation.json"} </w:instrText>
      </w:r>
      <w:r w:rsidR="003515E3" w:rsidRPr="00972C81">
        <w:rPr>
          <w:noProof/>
        </w:rPr>
        <w:fldChar w:fldCharType="separate"/>
      </w:r>
      <w:r w:rsidR="00BC59C6" w:rsidRPr="00972C81">
        <w:rPr>
          <w:noProof/>
        </w:rPr>
        <w:t>(Dang, Jaiswal, et al., 1992)</w:t>
      </w:r>
      <w:r w:rsidR="003515E3" w:rsidRPr="00972C81">
        <w:rPr>
          <w:noProof/>
        </w:rPr>
        <w:fldChar w:fldCharType="end"/>
      </w:r>
      <w:r w:rsidRPr="00972C81">
        <w:rPr>
          <w:noProof/>
        </w:rPr>
        <w:t xml:space="preserve"> suggest that the rate of removal of the systemic burden to urine was less than 1% y</w:t>
      </w:r>
      <w:r w:rsidRPr="00972C81">
        <w:rPr>
          <w:noProof/>
          <w:vertAlign w:val="superscript"/>
        </w:rPr>
        <w:noBreakHyphen/>
        <w:t>1</w:t>
      </w:r>
      <w:r w:rsidRPr="00972C81">
        <w:rPr>
          <w:noProof/>
        </w:rPr>
        <w:t>.</w:t>
      </w:r>
    </w:p>
    <w:p w14:paraId="7B28E7BE" w14:textId="08AB90CA" w:rsidR="0078660D" w:rsidRPr="00972C81" w:rsidRDefault="0078660D" w:rsidP="001C4A92">
      <w:pPr>
        <w:pStyle w:val="Annalstext"/>
        <w:rPr>
          <w:noProof/>
        </w:rPr>
      </w:pPr>
      <w:r w:rsidRPr="00972C81">
        <w:rPr>
          <w:noProof/>
        </w:rPr>
        <w:t>Autopsy measurements on subjects who had worked for 3</w:t>
      </w:r>
      <w:r w:rsidR="00CC1FB8" w:rsidRPr="00972C81">
        <w:rPr>
          <w:noProof/>
        </w:rPr>
        <w:t>–</w:t>
      </w:r>
      <w:r w:rsidRPr="00972C81">
        <w:rPr>
          <w:noProof/>
        </w:rPr>
        <w:t xml:space="preserve">24 y at a thorium refinery several years before death indicated that total thorium activity in bone was about 20 times greater than total activity in the liver based on reference organ masses </w:t>
      </w:r>
      <w:r w:rsidR="00CB292E" w:rsidRPr="00972C81">
        <w:rPr>
          <w:noProof/>
        </w:rPr>
        <w:fldChar w:fldCharType="begin"/>
      </w:r>
      <w:r w:rsidR="00CB292E" w:rsidRPr="00972C81">
        <w:rPr>
          <w:noProof/>
        </w:rPr>
        <w:instrText xml:space="preserve"> ADDIN ZOTERO_ITEM CSL_CITATION {"citationID":"t9wIP9zT","properties":{"formattedCitation":"(Stehney and Lucas, 2000)","plainCitation":"(Stehney and Lucas, 2000)","noteIndex":0},"citationItems":[{"id":4903,"uris":["http://zotero.org/groups/2470620/items/4W8QIG7E"],"itemData":{"id":4903,"type":"article-journal","abstract":"Concentrations of 232Th and activity ratios of 228Th to 232Th and 230Th to 232Th were determined in autopsy samples from five former employees of a thorium refinery. The ranges of 232Th activity concentrations (mBq per gram of wet tissue) were 0.17-94 in lungs, 3.9-1210 in pulmonary lymph nodes, 0.14-1.19 in bones, 0.015-0.68 in liver, 0.97-5.8 in spleen, and 0.009-0.068 in kidneys. These concentrations are 10 to 1,000 times greater than have been reported for persons not occupationally exposed to thorium. In most of the samples, the ratios of 228Th to 232Th and 230Th to 232Th activity at death of the subject were 0.2-0.4 and 0.1-0.2, respectively. 228Th to 228Ra activity ratios (+/- standard errors) of 0.86 +/- 0.11 in lungs and 1.18 +/- 0.13 in lymph nodes of one subject were obtained by calculation from ratios of 228Th to 232Th.","container-title":"Health Physics","DOI":"10.1097/00004032-200001000-00003","ISSN":"0017-9078","issue":"1","journalAbbreviation":"Health Phys","language":"eng","note":"PMID: 10608304","page":"8-14","source":"PubMed","title":"Thorium isotopes in autopsy samples from thorium workers","volume":"78","author":[{"family":"Stehney","given":"A. F."},{"family":"Lucas","given":"H. F."}],"issued":{"date-parts":[["2000",1]]}}}],"schema":"https://github.com/citation-style-language/schema/raw/master/csl-citation.json"} </w:instrText>
      </w:r>
      <w:r w:rsidR="00CB292E" w:rsidRPr="00972C81">
        <w:rPr>
          <w:noProof/>
        </w:rPr>
        <w:fldChar w:fldCharType="separate"/>
      </w:r>
      <w:r w:rsidR="00BC59C6" w:rsidRPr="00972C81">
        <w:rPr>
          <w:noProof/>
        </w:rPr>
        <w:t>(Stehney and Lucas, 2000)</w:t>
      </w:r>
      <w:r w:rsidR="00CB292E" w:rsidRPr="00972C81">
        <w:rPr>
          <w:noProof/>
        </w:rPr>
        <w:fldChar w:fldCharType="end"/>
      </w:r>
      <w:r w:rsidRPr="00972C81">
        <w:rPr>
          <w:noProof/>
        </w:rPr>
        <w:t xml:space="preserve">. The </w:t>
      </w:r>
      <w:r w:rsidRPr="00972C81">
        <w:rPr>
          <w:noProof/>
          <w:vertAlign w:val="superscript"/>
        </w:rPr>
        <w:t>232</w:t>
      </w:r>
      <w:r w:rsidRPr="00972C81">
        <w:rPr>
          <w:noProof/>
        </w:rPr>
        <w:t xml:space="preserve">Th content of the liver averaged roughly 30 times that of the kidneys. In most tissue samples the activity ratios </w:t>
      </w:r>
      <w:r w:rsidRPr="00972C81">
        <w:rPr>
          <w:noProof/>
          <w:vertAlign w:val="superscript"/>
        </w:rPr>
        <w:t>228</w:t>
      </w:r>
      <w:r w:rsidRPr="00972C81">
        <w:rPr>
          <w:noProof/>
        </w:rPr>
        <w:t>Th:</w:t>
      </w:r>
      <w:r w:rsidRPr="00972C81">
        <w:rPr>
          <w:noProof/>
          <w:vertAlign w:val="superscript"/>
        </w:rPr>
        <w:t>232</w:t>
      </w:r>
      <w:r w:rsidRPr="00972C81">
        <w:rPr>
          <w:noProof/>
        </w:rPr>
        <w:t xml:space="preserve">Th and </w:t>
      </w:r>
      <w:r w:rsidRPr="00972C81">
        <w:rPr>
          <w:noProof/>
          <w:vertAlign w:val="superscript"/>
        </w:rPr>
        <w:t>230</w:t>
      </w:r>
      <w:r w:rsidRPr="00972C81">
        <w:rPr>
          <w:noProof/>
        </w:rPr>
        <w:t>Th:</w:t>
      </w:r>
      <w:r w:rsidRPr="00972C81">
        <w:rPr>
          <w:noProof/>
          <w:vertAlign w:val="superscript"/>
        </w:rPr>
        <w:t>232</w:t>
      </w:r>
      <w:r w:rsidRPr="00972C81">
        <w:rPr>
          <w:noProof/>
        </w:rPr>
        <w:t>Th were in the ranges 0.2</w:t>
      </w:r>
      <w:r w:rsidR="00CC1FB8" w:rsidRPr="00972C81">
        <w:rPr>
          <w:noProof/>
        </w:rPr>
        <w:t>–</w:t>
      </w:r>
      <w:r w:rsidRPr="00972C81">
        <w:rPr>
          <w:noProof/>
        </w:rPr>
        <w:t>0.4 and 0.1</w:t>
      </w:r>
      <w:r w:rsidR="00CC1FB8" w:rsidRPr="00972C81">
        <w:rPr>
          <w:noProof/>
        </w:rPr>
        <w:t>–</w:t>
      </w:r>
      <w:r w:rsidRPr="00972C81">
        <w:rPr>
          <w:noProof/>
        </w:rPr>
        <w:t>0.2, respectively.</w:t>
      </w:r>
    </w:p>
    <w:p w14:paraId="5E6EC621" w14:textId="451EF4C1" w:rsidR="0078660D" w:rsidRPr="0034590A" w:rsidRDefault="0078660D" w:rsidP="001C4A92">
      <w:pPr>
        <w:pStyle w:val="Annalstext"/>
        <w:rPr>
          <w:noProof/>
          <w:lang w:val="fr-FR"/>
        </w:rPr>
      </w:pPr>
      <w:r w:rsidRPr="00972C81">
        <w:rPr>
          <w:noProof/>
        </w:rPr>
        <w:t>Measurements of thorium isotopes in autopsy samples from non</w:t>
      </w:r>
      <w:r w:rsidRPr="00972C81">
        <w:rPr>
          <w:noProof/>
        </w:rPr>
        <w:noBreakHyphen/>
        <w:t>occupationally exposed subjects</w:t>
      </w:r>
      <w:r w:rsidR="00B950BB" w:rsidRPr="00972C81">
        <w:rPr>
          <w:noProof/>
        </w:rPr>
        <w:t xml:space="preserve"> </w:t>
      </w:r>
      <w:r w:rsidR="00B950BB" w:rsidRPr="00972C81">
        <w:rPr>
          <w:noProof/>
        </w:rPr>
        <w:fldChar w:fldCharType="begin"/>
      </w:r>
      <w:r w:rsidR="00B950BB" w:rsidRPr="00972C81">
        <w:rPr>
          <w:noProof/>
        </w:rPr>
        <w:instrText xml:space="preserve"> ADDIN ZOTERO_ITEM CSL_CITATION {"citationID":"D0pwMWsP","properties":{"formattedCitation":"(Ibrahim et al., 1983; Singh et al., 1983; Wrenn et al., 1981)","plainCitation":"(Ibrahim et al., 1983; Singh et al., 1983; Wrenn et al., 1981)","noteIndex":0},"citationItems":[{"id":4905,"uris":["http://zotero.org/groups/2470620/items/QF7NRBP8"],"itemData":{"id":4905,"type":"article-journal","container-title":"Health Physics","DOI":"10.1097/00004032-198306001-00018","page":"213-220","title":"Thorium concentration in human tissues from two U.S. Populations","volume":"44","author":[{"family":"Ibrahim","given":"S.A."},{"family":"Wrenn","given":"M.E."},{"family":"Singh","given":"N.P."},{"family":"Cohen","given":"N."},{"family":"Saccomano","given":"G."}],"issued":{"date-parts":[["1983"]]}}},{"id":4908,"uris":["http://zotero.org/groups/2470620/items/9AJ4K2E8"],"itemData":{"id":4908,"type":"article-journal","container-title":"Health Physics","DOI":"10.1097/00004032-198306001-00045","page":"469-476","title":"Plutonium concentration in human tissues: Comparison to thorium","volume":"44","author":[{"family":"Singh","given":"N.P."},{"family":"Wrenn","given":"M.E."},{"family":"Ibrahim","given":"S.A."}],"issued":{"date-parts":[["1983"]]}}},{"id":4911,"uris":["http://zotero.org/groups/2470620/items/DI8G459F"],"itemData":{"id":4911,"type":"report","event-place":"New York, USA","number":"NUREG/CR-1227","publisher":"New York University Medical Center","publisher-place":"New York, USA","title":"Thorium in Human Tissues","author":[{"family":"Wrenn","given":"M.E."},{"family":"Singh","given":"N.P."},{"family":"Cohen","given":"N."},{"family":"Ibrahim","given":"S.A."},{"family":"Saccomanno","given":"G."}],"issued":{"date-parts":[["1981"]]}}}],"schema":"https://github.com/citation-style-language/schema/raw/master/csl-citation.json"} </w:instrText>
      </w:r>
      <w:r w:rsidR="00B950BB" w:rsidRPr="00972C81">
        <w:rPr>
          <w:noProof/>
        </w:rPr>
        <w:fldChar w:fldCharType="separate"/>
      </w:r>
      <w:r w:rsidR="00BC59C6" w:rsidRPr="00972C81">
        <w:rPr>
          <w:noProof/>
        </w:rPr>
        <w:t>(Ibrahim et al., 1983; Singh et al., 1983; Wrenn et al., 1981)</w:t>
      </w:r>
      <w:r w:rsidR="00B950BB" w:rsidRPr="00972C81">
        <w:rPr>
          <w:noProof/>
        </w:rPr>
        <w:fldChar w:fldCharType="end"/>
      </w:r>
      <w:r w:rsidRPr="00972C81">
        <w:rPr>
          <w:noProof/>
        </w:rPr>
        <w:t xml:space="preserve"> indicate that the skeleton typically contains more than three</w:t>
      </w:r>
      <w:r w:rsidRPr="00972C81">
        <w:rPr>
          <w:noProof/>
        </w:rPr>
        <w:noBreakHyphen/>
        <w:t>fourths of the systemic burden during or after chronic exposure to thorium. The reported contents of the liver and kidneys are variable but typically represent about 2</w:t>
      </w:r>
      <w:r w:rsidR="00CC1FB8" w:rsidRPr="00972C81">
        <w:rPr>
          <w:noProof/>
        </w:rPr>
        <w:t>–</w:t>
      </w:r>
      <w:r w:rsidRPr="00972C81">
        <w:rPr>
          <w:noProof/>
        </w:rPr>
        <w:t>4% and 0.3</w:t>
      </w:r>
      <w:r w:rsidR="00CC1FB8" w:rsidRPr="00972C81">
        <w:rPr>
          <w:noProof/>
        </w:rPr>
        <w:t>–</w:t>
      </w:r>
      <w:r w:rsidRPr="00972C81">
        <w:rPr>
          <w:noProof/>
        </w:rPr>
        <w:t xml:space="preserve">1%, respectively, of the systemic burden. These estimates are based on the assumption that muscle, fat, and skin do not accumulate more than 20% of the systemic content, as suggested by data on laboratory animals </w:t>
      </w:r>
      <w:r w:rsidR="00794AFC" w:rsidRPr="00972C81">
        <w:rPr>
          <w:noProof/>
        </w:rPr>
        <w:fldChar w:fldCharType="begin"/>
      </w:r>
      <w:r w:rsidR="00794AFC" w:rsidRPr="00972C81">
        <w:rPr>
          <w:noProof/>
        </w:rPr>
        <w:instrText xml:space="preserve"> ADDIN ZOTERO_ITEM CSL_CITATION {"citationID":"7yd4So7Z","properties":{"formattedCitation":"(Boecker et al., 1963; Larsen et al., 1984; Stover et al., 1960; Thomas et al., 1963; Traikovich, 1970)","plainCitation":"(Boecker et al., 1963; Larsen et al., 1984; Stover et al., 1960; Thomas et al., 1963; Traikovich, 1970)","noteIndex":0},"citationItems":[{"id":4914,"uris":["http://zotero.org/groups/2470620/items/W73F9N4T"],"itemData":{"id":4914,"type":"article-journal","container-title":"Health Physics","DOI":"10.1097/00004032-196302000-00005","issue":"2","page":"165-176","title":"Thorium distribution and excretion studies II. General patterns following inhalation and the effect of the size of the inhaled dose","volume":"9","author":[{"family":"Boecker","given":"B.B."},{"family":"Thomas","given":"R.G."},{"family":"Scott","given":"J.K."}],"issued":{"date-parts":[["1963"]]}}},{"id":4917,"uris":["http://zotero.org/groups/2470620/items/WMUNX9DJ"],"itemData":{"id":4917,"type":"chapter","collection-number":"ANL-83-100-Pt. 2","container-title":"Environmental Research Division Annual Report: July 1982-June 1983","edition":"Argonne National Laboratory","event-place":"Chicago","page":"65-68","publisher-place":"Chicago","title":"Gastrointestinal absorption and distribution of thorium in the mouse","author":[{"family":"Larsen","given":"R.P."},{"family":"Oldham","given":"R.D."},{"family":"Bhattacharyya","given":"M.H."},{"family":"Moretti","given":"E.S."}],"issued":{"date-parts":[["1984"]]}}},{"id":4920,"uris":["http://zotero.org/groups/2470620/items/MF4LKSH6"],"itemData":{"id":4920,"type":"article-journal","contain</w:instrText>
      </w:r>
      <w:r w:rsidR="00794AFC" w:rsidRPr="0034590A">
        <w:rPr>
          <w:noProof/>
          <w:lang w:val="fr-FR"/>
        </w:rPr>
        <w:instrText xml:space="preserve">er-title":"Radiation research","DOI":"10.2307/3571000","page":"657-671","title":"Metabolism of the Th228 decay series in adult beagle dogs. I. Th228 (RdTh).","volume":"12","author":[{"family":"Stover","given":"B.J."},{"family":"Atherton","given":"D.R."},{"family":"Keller","given":"N."},{"family":"Buster","given":"D.S."}],"issued":{"date-parts":[["1960"]]}}},{"id":4923,"uris":["http://zotero.org/groups/2470620/items/XC7IH55L"],"itemData":{"id":4923,"type":"article-journal","container-title":"Health Physics","DOI":"10.1097/00004032-196302000-00004","issue":"2","page":"153-163","title":"Thorium distribution and excretion studies I. Patterns following parenteral administration","volume":"9","author":[{"family":"Thomas","given":"R.G."},{"family":"Lie","given":"R."},{"family":"Scott","given":"J.K."}],"issued":{"date-parts":[["1963"]]}}},{"id":4926,"uris":["http://zotero.org/groups/2470620/items/VY7KAMWB"],"itemData":{"id":4926,"type":"chapter","container-title":"Toxicology of Radioactive Substances, Vol. 4: Thorium-232 and Uranium-238","edition":"Pergamon Press","event-place":"Oxford","publisher-place":"Oxford","title":"Absorption, distribution and excretion of certain soluble compounds of natural thorium","volume":"4","author":[{"family":"Traikovich","given":"M."}],"editor":[{"family":"Letavet","given":"A.A."},{"family":"Kurlyandskaya","given":"E.B."}],"issued":{"date-parts":[["1970"]]}}}],"schema":"https://github.com/citation-style-language/schema/raw/master/csl-citation.json"} </w:instrText>
      </w:r>
      <w:r w:rsidR="00794AFC" w:rsidRPr="00972C81">
        <w:rPr>
          <w:noProof/>
        </w:rPr>
        <w:fldChar w:fldCharType="separate"/>
      </w:r>
      <w:r w:rsidR="00BC59C6" w:rsidRPr="0034590A">
        <w:rPr>
          <w:noProof/>
          <w:lang w:val="fr-FR"/>
        </w:rPr>
        <w:t>(Boecker et al., 1963; Larsen et al., 1984; Stover et al., 1960; Thomas et al., 1963; Traikovich, 1970)</w:t>
      </w:r>
      <w:r w:rsidR="00794AFC" w:rsidRPr="00972C81">
        <w:rPr>
          <w:noProof/>
        </w:rPr>
        <w:fldChar w:fldCharType="end"/>
      </w:r>
      <w:r w:rsidR="00794AFC" w:rsidRPr="0034590A">
        <w:rPr>
          <w:noProof/>
          <w:lang w:val="fr-FR"/>
        </w:rPr>
        <w:t>.</w:t>
      </w:r>
    </w:p>
    <w:p w14:paraId="405F187A" w14:textId="6CB9E997" w:rsidR="0078660D" w:rsidRPr="00972C81" w:rsidRDefault="0078660D" w:rsidP="001C4A92">
      <w:pPr>
        <w:pStyle w:val="Annalstext"/>
        <w:rPr>
          <w:noProof/>
        </w:rPr>
      </w:pPr>
      <w:r w:rsidRPr="00972C81">
        <w:rPr>
          <w:noProof/>
        </w:rPr>
        <w:t xml:space="preserve">Stover et al. </w:t>
      </w:r>
      <w:r w:rsidR="00794AFC" w:rsidRPr="00972C81">
        <w:rPr>
          <w:noProof/>
        </w:rPr>
        <w:fldChar w:fldCharType="begin"/>
      </w:r>
      <w:r w:rsidR="00794AFC" w:rsidRPr="00972C81">
        <w:rPr>
          <w:noProof/>
        </w:rPr>
        <w:instrText xml:space="preserve"> ADDIN ZOTERO_ITEM CSL_CITATION {"citationID":"vq3xM4v0","properties":{"formattedCitation":"(1960)","plainCitation":"(1960)","noteIndex":0},"citationItems":[{"id":4920,"uris":["http://zotero.org/groups/2470620/items/MF4LKSH6"],"itemData":{"id":4920,"type":"article-journal","container-title":"Radiation research","DOI":"10.2307/3571000","page":"657-671","title":"Metabolism of the Th228 decay series in adult beagle dogs. I. Th228 (RdTh).","volume":"12","author":[{"family":"Stover","given":"B.J."},{"family":"Atherton","given":"D.R."},{"family":"Keller","given":"N."},{"family":"Buster","given":"D.S."}],"issued":{"date-parts":[["1960"]]}},"label":"page","suppress-author":true}],"schema":"https://github.com/citation-style-language/schema/raw/master/csl-citation.json"} </w:instrText>
      </w:r>
      <w:r w:rsidR="00794AFC" w:rsidRPr="00972C81">
        <w:rPr>
          <w:noProof/>
        </w:rPr>
        <w:fldChar w:fldCharType="separate"/>
      </w:r>
      <w:r w:rsidR="00BC59C6" w:rsidRPr="00972C81">
        <w:rPr>
          <w:noProof/>
        </w:rPr>
        <w:t>(1960)</w:t>
      </w:r>
      <w:r w:rsidR="00794AFC" w:rsidRPr="00972C81">
        <w:rPr>
          <w:noProof/>
        </w:rPr>
        <w:fldChar w:fldCharType="end"/>
      </w:r>
      <w:r w:rsidRPr="00972C81">
        <w:rPr>
          <w:noProof/>
        </w:rPr>
        <w:t xml:space="preserve"> studied the biological </w:t>
      </w:r>
      <w:r w:rsidR="00BB503E">
        <w:rPr>
          <w:noProof/>
        </w:rPr>
        <w:t>behaviour</w:t>
      </w:r>
      <w:r w:rsidRPr="00972C81">
        <w:rPr>
          <w:noProof/>
        </w:rPr>
        <w:t xml:space="preserve"> of </w:t>
      </w:r>
      <w:r w:rsidRPr="00972C81">
        <w:rPr>
          <w:noProof/>
          <w:vertAlign w:val="superscript"/>
        </w:rPr>
        <w:t>228</w:t>
      </w:r>
      <w:r w:rsidRPr="00972C81">
        <w:rPr>
          <w:noProof/>
        </w:rPr>
        <w:t>Th in adult beagle dogs over a 1300</w:t>
      </w:r>
      <w:r w:rsidRPr="00972C81">
        <w:rPr>
          <w:noProof/>
        </w:rPr>
        <w:noBreakHyphen/>
        <w:t>d period following its intravenous administration. Biological retention was about 88% of the injected amount at 3 wk, 80</w:t>
      </w:r>
      <w:r w:rsidR="00CC1FB8" w:rsidRPr="00972C81">
        <w:rPr>
          <w:noProof/>
        </w:rPr>
        <w:t>–</w:t>
      </w:r>
      <w:r w:rsidRPr="00972C81">
        <w:rPr>
          <w:noProof/>
        </w:rPr>
        <w:t>85% at 3 mo, and 65</w:t>
      </w:r>
      <w:r w:rsidR="00CC1FB8" w:rsidRPr="00972C81">
        <w:rPr>
          <w:noProof/>
        </w:rPr>
        <w:t>–</w:t>
      </w:r>
      <w:r w:rsidRPr="00972C81">
        <w:rPr>
          <w:noProof/>
        </w:rPr>
        <w:t>70% at 2.5 y. The urinary excretion rate was about 4 times the faecal excretion rate in the first few weeks, but the urinary</w:t>
      </w:r>
      <w:r w:rsidRPr="00972C81">
        <w:rPr>
          <w:noProof/>
        </w:rPr>
        <w:noBreakHyphen/>
        <w:t>to</w:t>
      </w:r>
      <w:r w:rsidRPr="00972C81">
        <w:rPr>
          <w:noProof/>
        </w:rPr>
        <w:noBreakHyphen/>
        <w:t>faecal excretion ratio gradually decreased and was close to 1 at 2.5 y after injection. About 70%, 5%, and 3% of injected thorium deposited in the skeleton, liver, and kidneys, respectively. At times greater than 100 d after administration, about 80% of retained thorium was in the skeleton and about 20% was widely distributed in soft tissues, with relatively high concentrations in the liver and kidneys. There was little if any decline in the thorium content of compact bone over 1300 d or in trabecular bone over 800 d, but there was a noticeable decline in activity in trabecular bone over 800</w:t>
      </w:r>
      <w:r w:rsidR="00CC1FB8" w:rsidRPr="00972C81">
        <w:rPr>
          <w:noProof/>
        </w:rPr>
        <w:t>–</w:t>
      </w:r>
      <w:r w:rsidRPr="00972C81">
        <w:rPr>
          <w:noProof/>
        </w:rPr>
        <w:t xml:space="preserve">1300 d after administration. The thorium content of the liver and kidneys declined considerably in the first several months after injection but showed little or no decrease thereafter. Retention of thorium in the kidneys and its rate of urinary excretion at times remote from injection may have been affected by radiation damage at high dosage levels </w:t>
      </w:r>
      <w:r w:rsidR="00794AFC" w:rsidRPr="00972C81">
        <w:rPr>
          <w:noProof/>
        </w:rPr>
        <w:fldChar w:fldCharType="begin"/>
      </w:r>
      <w:r w:rsidR="00794AFC" w:rsidRPr="00972C81">
        <w:rPr>
          <w:noProof/>
        </w:rPr>
        <w:instrText xml:space="preserve"> ADDIN ZOTERO_ITEM CSL_CITATION {"citationID":"FiHKiLJS","properties":{"formattedCitation":"(Stover et al., 1960)","plainCitation":"(Stover et al., 1960)","noteIndex":0},"citationItems":[{"id":4920,"uris":["http://zotero.org/groups/2470620/items/MF4LKSH6"],"itemData":{"id":4920,"type":"article-journal","container-title":"Radiation research","DOI":"10.2307/3571000","page":"657-671","title":"Metabolism of the Th228 decay series in adult beagle dogs. I. Th228 (RdTh).","volume":"12","author":[{"family":"Stover","given":"B.J."},{"family":"Atherton","given":"D.R."},{"family":"Keller","given":"N."},{"family":"Buster","given":"D.S."}],"issued":{"date-parts":[["1960"]]}}}],"schema":"https://github.com/citation-style-language/schema/raw/master/csl-citation.json"} </w:instrText>
      </w:r>
      <w:r w:rsidR="00794AFC" w:rsidRPr="00972C81">
        <w:rPr>
          <w:noProof/>
        </w:rPr>
        <w:fldChar w:fldCharType="separate"/>
      </w:r>
      <w:r w:rsidR="00BC59C6" w:rsidRPr="00972C81">
        <w:rPr>
          <w:noProof/>
        </w:rPr>
        <w:t>(Stover et al., 1960)</w:t>
      </w:r>
      <w:r w:rsidR="00794AFC" w:rsidRPr="00972C81">
        <w:rPr>
          <w:noProof/>
        </w:rPr>
        <w:fldChar w:fldCharType="end"/>
      </w:r>
      <w:r w:rsidRPr="00972C81">
        <w:rPr>
          <w:noProof/>
        </w:rPr>
        <w:t>.</w:t>
      </w:r>
    </w:p>
    <w:p w14:paraId="38A58D09" w14:textId="334340D0" w:rsidR="0078660D" w:rsidRPr="00972C81" w:rsidRDefault="0078660D" w:rsidP="001C4A92">
      <w:pPr>
        <w:pStyle w:val="Annalstext"/>
        <w:rPr>
          <w:noProof/>
        </w:rPr>
      </w:pPr>
      <w:r w:rsidRPr="00972C81">
        <w:rPr>
          <w:noProof/>
        </w:rPr>
        <w:t xml:space="preserve">For tracer levels of thorium administered as the citrate to rats, deposition was considerably greater in bone than other systemic tissues </w:t>
      </w:r>
      <w:r w:rsidR="00794AFC" w:rsidRPr="00972C81">
        <w:rPr>
          <w:noProof/>
        </w:rPr>
        <w:fldChar w:fldCharType="begin"/>
      </w:r>
      <w:r w:rsidR="00794AFC" w:rsidRPr="00972C81">
        <w:rPr>
          <w:noProof/>
        </w:rPr>
        <w:instrText xml:space="preserve"> ADDIN ZOTERO_ITEM CSL_CITATION {"citationID":"MiUEwDJ4","properties":{"formattedCitation":"(Thomas et al., 1963)","plainCitation":"(Thomas et al., 1963)","noteIndex":0},"citationItems":[{"id":4923,"uris":["http://zotero.org/groups/2470620/items/XC7IH55L"],"itemData":{"id":4923,"type":"article-journal","container-title":"Health Physics","DOI":"10.1097/00004032-196302000-00004","issue":"2","page":"153-163","title":"Thorium distribution and excretion studies I. Patterns following parenteral administration","volume":"9","author":[{"family":"Thomas","given":"R.G."},{"family":"Lie","given":"R."},{"family":"Scott","given":"J.K."}],"issued":{"date-parts":[["1963"]]}}}],"schema":"https://github.com/citation-style-language/schema/raw/master/csl-citation.json"} </w:instrText>
      </w:r>
      <w:r w:rsidR="00794AFC" w:rsidRPr="00972C81">
        <w:rPr>
          <w:noProof/>
        </w:rPr>
        <w:fldChar w:fldCharType="separate"/>
      </w:r>
      <w:r w:rsidR="00BC59C6" w:rsidRPr="00972C81">
        <w:rPr>
          <w:noProof/>
        </w:rPr>
        <w:t>(Thomas et al., 1963)</w:t>
      </w:r>
      <w:r w:rsidR="00794AFC" w:rsidRPr="00972C81">
        <w:rPr>
          <w:noProof/>
        </w:rPr>
        <w:fldChar w:fldCharType="end"/>
      </w:r>
      <w:r w:rsidRPr="00972C81">
        <w:rPr>
          <w:noProof/>
        </w:rPr>
        <w:t>. Muscle and pelt accounted for about 20% of the systemic activity at 7</w:t>
      </w:r>
      <w:r w:rsidR="00CC1FB8" w:rsidRPr="00972C81">
        <w:rPr>
          <w:noProof/>
        </w:rPr>
        <w:t>–</w:t>
      </w:r>
      <w:r w:rsidRPr="00972C81">
        <w:rPr>
          <w:noProof/>
        </w:rPr>
        <w:t>54 d post injection.</w:t>
      </w:r>
    </w:p>
    <w:p w14:paraId="727E2D38" w14:textId="7021F650" w:rsidR="0078660D" w:rsidRPr="00972C81" w:rsidRDefault="0078660D" w:rsidP="001C4A92">
      <w:pPr>
        <w:pStyle w:val="Annalstext"/>
        <w:rPr>
          <w:noProof/>
        </w:rPr>
      </w:pPr>
      <w:r w:rsidRPr="00972C81">
        <w:rPr>
          <w:noProof/>
        </w:rPr>
        <w:t xml:space="preserve">Boecker et al. </w:t>
      </w:r>
      <w:r w:rsidR="00794AFC" w:rsidRPr="00972C81">
        <w:rPr>
          <w:noProof/>
        </w:rPr>
        <w:fldChar w:fldCharType="begin"/>
      </w:r>
      <w:r w:rsidR="00794AFC" w:rsidRPr="00972C81">
        <w:rPr>
          <w:noProof/>
        </w:rPr>
        <w:instrText xml:space="preserve"> ADDIN ZOTERO_ITEM CSL_CITATION {"citationID":"XSltjO9o","properties":{"formattedCitation":"(1963)","plainCitation":"(1963)","noteIndex":0},"citationItems":[{"id":4914,"uris":["http://zotero.org/groups/2470620/items/W73F9N4T"],"itemData":{"id":4914,"type":"article-journal","container-title":"Health Physics","DOI":"10.1097/00004032-196302000-00005","issue":"2","page":"165-176","title":"Thorium distribution and excretion studies II. General patterns following inhalation and the effect of the size of the inhaled dose","volume":"9","author":[{"family":"Boecker","given":"B.B."},{"family":"Thomas","given":"R.G."},{"family":"Scott","given":"J.K."}],"issued":{"date-parts":[["1963"]]}},"label":"page","suppress-author":true}],"schema":"https://github.com/citation-style-language/schema/raw/master/csl-citation.json"} </w:instrText>
      </w:r>
      <w:r w:rsidR="00794AFC" w:rsidRPr="00972C81">
        <w:rPr>
          <w:noProof/>
        </w:rPr>
        <w:fldChar w:fldCharType="separate"/>
      </w:r>
      <w:r w:rsidR="00BC59C6" w:rsidRPr="00972C81">
        <w:rPr>
          <w:noProof/>
        </w:rPr>
        <w:t>(1963)</w:t>
      </w:r>
      <w:r w:rsidR="00794AFC" w:rsidRPr="00972C81">
        <w:rPr>
          <w:noProof/>
        </w:rPr>
        <w:fldChar w:fldCharType="end"/>
      </w:r>
      <w:r w:rsidRPr="00972C81">
        <w:rPr>
          <w:noProof/>
        </w:rPr>
        <w:t xml:space="preserve"> found that the level of absorption of thorium to blood and its subsequent pattern of distribution and excretion following acute inhalation by rats did not depend on the initial lung content of inhaled thorium. The absorbed activity was deposited mainly in the skeleton. The liver content at 0</w:t>
      </w:r>
      <w:r w:rsidR="00CC1FB8" w:rsidRPr="00972C81">
        <w:rPr>
          <w:noProof/>
        </w:rPr>
        <w:t>–</w:t>
      </w:r>
      <w:r w:rsidRPr="00972C81">
        <w:rPr>
          <w:noProof/>
        </w:rPr>
        <w:t>40 d was about 15</w:t>
      </w:r>
      <w:r w:rsidR="00CC1FB8" w:rsidRPr="00972C81">
        <w:rPr>
          <w:noProof/>
        </w:rPr>
        <w:t>–</w:t>
      </w:r>
      <w:r w:rsidRPr="00972C81">
        <w:rPr>
          <w:noProof/>
        </w:rPr>
        <w:t>20% of the skeletal content, and the kidney content during that time was about 3% of the skeletal content. The content of pelt and muscle plus connective tissue was about the same as liver. The urinary to faecal excretion ratio increased gradually to a value of about 0.6</w:t>
      </w:r>
      <w:r w:rsidR="00CC1FB8" w:rsidRPr="00972C81">
        <w:rPr>
          <w:noProof/>
        </w:rPr>
        <w:t>–</w:t>
      </w:r>
      <w:r w:rsidRPr="00972C81">
        <w:rPr>
          <w:noProof/>
        </w:rPr>
        <w:t>0.7 at 40</w:t>
      </w:r>
      <w:r w:rsidR="00CC1FB8" w:rsidRPr="00972C81">
        <w:rPr>
          <w:noProof/>
        </w:rPr>
        <w:t>–</w:t>
      </w:r>
      <w:r w:rsidRPr="00972C81">
        <w:rPr>
          <w:noProof/>
        </w:rPr>
        <w:t>50 d post inhalation.</w:t>
      </w:r>
    </w:p>
    <w:p w14:paraId="3B46556C" w14:textId="583A3F4A" w:rsidR="0078660D" w:rsidRPr="00972C81" w:rsidRDefault="0078660D" w:rsidP="001C4A92">
      <w:pPr>
        <w:pStyle w:val="Annalstext"/>
        <w:rPr>
          <w:noProof/>
        </w:rPr>
      </w:pPr>
      <w:r w:rsidRPr="00972C81">
        <w:rPr>
          <w:noProof/>
        </w:rPr>
        <w:t xml:space="preserve">At 3 d after injection of thorium into mice, about 90% of the systemic burden was found in the skeleton, 6% in liver, 4% in kidneys, and 0.1% in reproductive organs </w:t>
      </w:r>
      <w:r w:rsidR="00794AFC" w:rsidRPr="00972C81">
        <w:rPr>
          <w:noProof/>
        </w:rPr>
        <w:fldChar w:fldCharType="begin"/>
      </w:r>
      <w:r w:rsidR="00794AFC" w:rsidRPr="00972C81">
        <w:rPr>
          <w:noProof/>
        </w:rPr>
        <w:instrText xml:space="preserve"> ADDIN ZOTERO_ITEM CSL_CITATION {"citationID":"UJpq4C4W","properties":{"formattedCitation":"(Larsen et al., 1984)","plainCitation":"(Larsen et al., 1984)","noteIndex":0},"citationItems":[{"id":4917,"uris":["http://zotero.org/groups/2470620/items/WMUNX9DJ"],"itemData":{"id":4917,"type":"chapter","collection-number":"ANL-83-100-Pt. 2","container-title":"Environmental Research Division Annual Report: July 1982-June 1983","edition":"Argonne National Laboratory","event-place":"Chicago","page":"65-68","publisher-place":"Chicago","title":"Gastrointestinal absorption and distribution of thorium in the mouse","author":[{"family":"Larsen","given":"R.P."},{"family":"Oldham","given":"R.D."},{"family":"Bhattacharyya","given":"M.H."},{"family":"Moretti","given":"E.S."}],"issued":{"date-parts":[["1984"]]}}}],"schema":"https://github.com/citation-style-language/schema/raw/master/csl-citation.json"} </w:instrText>
      </w:r>
      <w:r w:rsidR="00794AFC" w:rsidRPr="00972C81">
        <w:rPr>
          <w:noProof/>
        </w:rPr>
        <w:fldChar w:fldCharType="separate"/>
      </w:r>
      <w:r w:rsidR="00BC59C6" w:rsidRPr="00972C81">
        <w:rPr>
          <w:noProof/>
        </w:rPr>
        <w:t>(Larsen et al., 1984)</w:t>
      </w:r>
      <w:r w:rsidR="00794AFC" w:rsidRPr="00972C81">
        <w:rPr>
          <w:noProof/>
        </w:rPr>
        <w:fldChar w:fldCharType="end"/>
      </w:r>
      <w:r w:rsidRPr="00972C81">
        <w:rPr>
          <w:noProof/>
        </w:rPr>
        <w:t>. A urinary to faecal excretion ratio of 16 was observed. The systemic distribution of thorium was essentially the same after gastrointestinal absorption as after intravenous injection.</w:t>
      </w:r>
    </w:p>
    <w:p w14:paraId="239B8738" w14:textId="77777777" w:rsidR="0078660D" w:rsidRPr="00972C81" w:rsidRDefault="0078660D" w:rsidP="001C4A92">
      <w:pPr>
        <w:pStyle w:val="Annalstext"/>
        <w:rPr>
          <w:noProof/>
        </w:rPr>
      </w:pPr>
      <w:r w:rsidRPr="00972C81">
        <w:rPr>
          <w:noProof/>
        </w:rPr>
        <w:lastRenderedPageBreak/>
        <w:t xml:space="preserve">No useful information was found regarding the effect of age on the biokinetics of systemic </w:t>
      </w:r>
      <w:r w:rsidRPr="00972C81">
        <w:rPr>
          <w:rFonts w:ascii="Times Roman" w:eastAsiaTheme="minorHAnsi" w:hAnsi="Times Roman" w:cstheme="minorBidi"/>
          <w:noProof/>
          <w:sz w:val="22"/>
          <w:szCs w:val="22"/>
        </w:rPr>
        <w:t>thorium</w:t>
      </w:r>
      <w:r w:rsidRPr="00972C81">
        <w:rPr>
          <w:noProof/>
        </w:rPr>
        <w:t xml:space="preserve">. Based on analogy with other bone-seeking elements, the deposition fraction in bone presumably, is greater at preadult ages than in mature adults. </w:t>
      </w:r>
    </w:p>
    <w:p w14:paraId="5CAABF32" w14:textId="77777777" w:rsidR="0078660D" w:rsidRPr="00972C81" w:rsidRDefault="0078660D" w:rsidP="006703A2">
      <w:pPr>
        <w:pStyle w:val="OIRTitre4"/>
      </w:pPr>
      <w:r w:rsidRPr="00972C81">
        <w:t>Systemic model</w:t>
      </w:r>
    </w:p>
    <w:p w14:paraId="4A34B448" w14:textId="3FB7D5CA" w:rsidR="0078660D" w:rsidRPr="00972C81" w:rsidRDefault="0078660D" w:rsidP="001C4A92">
      <w:pPr>
        <w:pStyle w:val="Annalstext"/>
        <w:rPr>
          <w:noProof/>
        </w:rPr>
      </w:pPr>
      <w:r w:rsidRPr="00972C81">
        <w:rPr>
          <w:noProof/>
        </w:rPr>
        <w:t>The age-specific systemic model for thorium applied in th</w:t>
      </w:r>
      <w:r w:rsidR="00794AFC" w:rsidRPr="00972C81">
        <w:rPr>
          <w:noProof/>
        </w:rPr>
        <w:t xml:space="preserve">is report is the model used in </w:t>
      </w:r>
      <w:r w:rsidRPr="00972C81">
        <w:rPr>
          <w:i/>
          <w:noProof/>
        </w:rPr>
        <w:t>Publication 69</w:t>
      </w:r>
      <w:r w:rsidRPr="00972C81">
        <w:rPr>
          <w:noProof/>
        </w:rPr>
        <w:t xml:space="preserve"> </w:t>
      </w:r>
      <w:r w:rsidR="00794AFC" w:rsidRPr="00972C81">
        <w:rPr>
          <w:noProof/>
        </w:rPr>
        <w:fldChar w:fldCharType="begin"/>
      </w:r>
      <w:r w:rsidR="00794AFC" w:rsidRPr="00972C81">
        <w:rPr>
          <w:noProof/>
        </w:rPr>
        <w:instrText xml:space="preserve"> ADDIN ZOTERO_ITEM CSL_CITATION {"citationID":"Jd45wxVm","properties":{"formattedCitation":"(ICRP, 1995a)","plainCitation":"(ICRP, 1995a)","noteIndex":0},"citationItems":[{"id":2560,"uris":["http://zotero.org/groups/2470620/items/2Z2UA63Y",["http://zotero.org/groups/2470620/items/2Z2UA63Y"]],"itemData":{"id":2560,"type":"article-journal","container-title":"Annals of the ICRP","issue":"1","language":"en","title":"Age-dependent Doses to Members of the Public from Intake of Radionuclides: Part 3. Ingestion Dose Coefficients, ICRP Publication 69.","volume":"25","author":[{"family":"ICRP","given":""}],"issued":{"date-parts":[["1995"]]}}}],"schema":"https://github.com/citation-style-language/schema/raw/master/csl-citation.json"} </w:instrText>
      </w:r>
      <w:r w:rsidR="00794AFC" w:rsidRPr="00972C81">
        <w:rPr>
          <w:noProof/>
        </w:rPr>
        <w:fldChar w:fldCharType="separate"/>
      </w:r>
      <w:r w:rsidR="00BC59C6" w:rsidRPr="00972C81">
        <w:rPr>
          <w:noProof/>
        </w:rPr>
        <w:t>(ICRP, 1995a)</w:t>
      </w:r>
      <w:r w:rsidR="00794AFC" w:rsidRPr="00972C81">
        <w:rPr>
          <w:noProof/>
        </w:rPr>
        <w:fldChar w:fldCharType="end"/>
      </w:r>
      <w:r w:rsidRPr="00972C81">
        <w:rPr>
          <w:noProof/>
        </w:rPr>
        <w:t xml:space="preserve"> with the following modification. The removal half-time from gonads to blood is reduced from 10 y to 5 y, the generic value applied here to the lanthanide and actinide elements. </w:t>
      </w:r>
    </w:p>
    <w:p w14:paraId="6F9F1805" w14:textId="77777777" w:rsidR="0078660D" w:rsidRPr="00972C81" w:rsidRDefault="0078660D" w:rsidP="001C4A92">
      <w:pPr>
        <w:pStyle w:val="Annalstext"/>
        <w:rPr>
          <w:noProof/>
        </w:rPr>
      </w:pPr>
      <w:r w:rsidRPr="00972C81">
        <w:rPr>
          <w:noProof/>
        </w:rPr>
        <w:t xml:space="preserve">The reader is referred to </w:t>
      </w:r>
      <w:r w:rsidRPr="00972C81">
        <w:rPr>
          <w:i/>
          <w:noProof/>
        </w:rPr>
        <w:t>Publication 69</w:t>
      </w:r>
      <w:r w:rsidRPr="00972C81">
        <w:rPr>
          <w:noProof/>
        </w:rPr>
        <w:t xml:space="preserve"> for a detailed description of the model and the rationale for age-specific parameter values. Briefly, the model for adults is based as far as feasible on data for human subjects summarized above. Data for laboratory animals, primary dogs, are used to fill gaps in the data for adult humans. It is assumed on the basis of observations for other bone-seeking elements that the deposition fraction for bone is higher for preadults than for adults. The deposition fraction for bone for all preadult ages is set at 0.8, compared with 0.7 for adults. Deposition in bone is equally divided between cortical and trabecular bone surface. The adult deposition fractions for soft tissues (including liver and kidneys) and excretion pathways are reduced by one-third for pre-adult ages to balance the increase in deposition in bone. </w:t>
      </w:r>
    </w:p>
    <w:p w14:paraId="7648B65D" w14:textId="2A9CBCD3" w:rsidR="0078660D" w:rsidRDefault="0078660D" w:rsidP="001C4A92">
      <w:pPr>
        <w:pStyle w:val="Annalstext"/>
        <w:rPr>
          <w:noProof/>
        </w:rPr>
      </w:pPr>
      <w:r w:rsidRPr="00972C81">
        <w:rPr>
          <w:noProof/>
        </w:rPr>
        <w:t xml:space="preserve">The structure of the systemic model for thorium is shown in </w:t>
      </w:r>
      <w:r w:rsidR="00794AFC" w:rsidRPr="00972C81">
        <w:rPr>
          <w:noProof/>
        </w:rPr>
        <w:fldChar w:fldCharType="begin"/>
      </w:r>
      <w:r w:rsidR="00794AFC" w:rsidRPr="00972C81">
        <w:rPr>
          <w:noProof/>
        </w:rPr>
        <w:instrText xml:space="preserve"> REF _Ref142480603 \h </w:instrText>
      </w:r>
      <w:r w:rsidR="00794AFC" w:rsidRPr="00972C81">
        <w:rPr>
          <w:noProof/>
        </w:rPr>
      </w:r>
      <w:r w:rsidR="00794AFC" w:rsidRPr="00972C81">
        <w:rPr>
          <w:noProof/>
        </w:rPr>
        <w:fldChar w:fldCharType="separate"/>
      </w:r>
      <w:r w:rsidR="00A41AD1" w:rsidRPr="00972C81">
        <w:rPr>
          <w:noProof/>
        </w:rPr>
        <w:t xml:space="preserve">Fig </w:t>
      </w:r>
      <w:r w:rsidR="00A41AD1">
        <w:rPr>
          <w:noProof/>
        </w:rPr>
        <w:t>18</w:t>
      </w:r>
      <w:r w:rsidR="00A41AD1" w:rsidRPr="00972C81">
        <w:rPr>
          <w:noProof/>
        </w:rPr>
        <w:t>.</w:t>
      </w:r>
      <w:r w:rsidR="00A41AD1">
        <w:rPr>
          <w:noProof/>
        </w:rPr>
        <w:t>1</w:t>
      </w:r>
      <w:r w:rsidR="00794AFC" w:rsidRPr="00972C81">
        <w:rPr>
          <w:noProof/>
        </w:rPr>
        <w:fldChar w:fldCharType="end"/>
      </w:r>
      <w:r w:rsidR="00794AFC" w:rsidRPr="00972C81">
        <w:rPr>
          <w:noProof/>
        </w:rPr>
        <w:t xml:space="preserve">. </w:t>
      </w:r>
      <w:r w:rsidRPr="00972C81">
        <w:rPr>
          <w:noProof/>
        </w:rPr>
        <w:t xml:space="preserve">Parameter values are listed in </w:t>
      </w:r>
      <w:r w:rsidR="00794AFC" w:rsidRPr="00972C81">
        <w:rPr>
          <w:noProof/>
        </w:rPr>
        <w:fldChar w:fldCharType="begin"/>
      </w:r>
      <w:r w:rsidR="00794AFC" w:rsidRPr="00972C81">
        <w:rPr>
          <w:noProof/>
        </w:rPr>
        <w:instrText xml:space="preserve"> REF _Ref142480621 \h </w:instrText>
      </w:r>
      <w:r w:rsidR="00794AFC" w:rsidRPr="00972C81">
        <w:rPr>
          <w:noProof/>
        </w:rPr>
      </w:r>
      <w:r w:rsidR="00794AFC" w:rsidRPr="00972C81">
        <w:rPr>
          <w:noProof/>
        </w:rPr>
        <w:fldChar w:fldCharType="separate"/>
      </w:r>
      <w:r w:rsidR="00A41AD1" w:rsidRPr="00972C81">
        <w:rPr>
          <w:noProof/>
        </w:rPr>
        <w:t xml:space="preserve">Table </w:t>
      </w:r>
      <w:r w:rsidR="00A41AD1">
        <w:rPr>
          <w:noProof/>
        </w:rPr>
        <w:t>18</w:t>
      </w:r>
      <w:r w:rsidR="00A41AD1" w:rsidRPr="00972C81">
        <w:rPr>
          <w:noProof/>
        </w:rPr>
        <w:t>.</w:t>
      </w:r>
      <w:r w:rsidR="00A41AD1">
        <w:rPr>
          <w:noProof/>
        </w:rPr>
        <w:t>2</w:t>
      </w:r>
      <w:r w:rsidR="00794AFC" w:rsidRPr="00972C81">
        <w:rPr>
          <w:noProof/>
        </w:rPr>
        <w:fldChar w:fldCharType="end"/>
      </w:r>
      <w:r w:rsidRPr="00972C81">
        <w:rPr>
          <w:noProof/>
        </w:rPr>
        <w:t>.</w:t>
      </w:r>
    </w:p>
    <w:p w14:paraId="193B61F0" w14:textId="77777777" w:rsidR="004B19B0" w:rsidRPr="00972C81" w:rsidRDefault="004B19B0" w:rsidP="004B19B0">
      <w:pPr>
        <w:pStyle w:val="Annalstext"/>
        <w:numPr>
          <w:ilvl w:val="0"/>
          <w:numId w:val="0"/>
        </w:numPr>
        <w:ind w:left="284"/>
        <w:rPr>
          <w:noProof/>
        </w:rPr>
      </w:pPr>
    </w:p>
    <w:p w14:paraId="5E88F1BD" w14:textId="4CD269C6" w:rsidR="0078660D" w:rsidRPr="00972C81" w:rsidRDefault="00A3213E" w:rsidP="006A4B24">
      <w:pPr>
        <w:jc w:val="center"/>
        <w:rPr>
          <w:noProof/>
        </w:rPr>
      </w:pPr>
      <w:r>
        <w:rPr>
          <w:noProof/>
        </w:rPr>
        <w:drawing>
          <wp:inline distT="0" distB="0" distL="0" distR="0" wp14:anchorId="3F30A5AD" wp14:editId="4850A208">
            <wp:extent cx="4379596" cy="3371850"/>
            <wp:effectExtent l="0" t="0" r="190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0"/>
                    <a:stretch>
                      <a:fillRect/>
                    </a:stretch>
                  </pic:blipFill>
                  <pic:spPr>
                    <a:xfrm>
                      <a:off x="0" y="0"/>
                      <a:ext cx="4401587" cy="3388781"/>
                    </a:xfrm>
                    <a:prstGeom prst="rect">
                      <a:avLst/>
                    </a:prstGeom>
                  </pic:spPr>
                </pic:pic>
              </a:graphicData>
            </a:graphic>
          </wp:inline>
        </w:drawing>
      </w:r>
    </w:p>
    <w:p w14:paraId="39D560BD" w14:textId="5A04BEB8" w:rsidR="0078660D" w:rsidRPr="00972C81" w:rsidRDefault="00794AFC" w:rsidP="00A41AD1">
      <w:pPr>
        <w:rPr>
          <w:noProof/>
        </w:rPr>
      </w:pPr>
      <w:bookmarkStart w:id="264" w:name="_Ref142480603"/>
      <w:r w:rsidRPr="00972C81">
        <w:rPr>
          <w:noProof/>
        </w:rPr>
        <w:t xml:space="preserve">Fig </w:t>
      </w:r>
      <w:r w:rsidR="00EA3750" w:rsidRPr="00972C81">
        <w:rPr>
          <w:noProof/>
        </w:rPr>
        <w:fldChar w:fldCharType="begin"/>
      </w:r>
      <w:r w:rsidR="00EA3750" w:rsidRPr="00972C81">
        <w:rPr>
          <w:noProof/>
        </w:rPr>
        <w:instrText xml:space="preserve"> STYLEREF 1 \s </w:instrText>
      </w:r>
      <w:r w:rsidR="00EA3750" w:rsidRPr="00972C81">
        <w:rPr>
          <w:noProof/>
        </w:rPr>
        <w:fldChar w:fldCharType="separate"/>
      </w:r>
      <w:r w:rsidR="00A41AD1">
        <w:rPr>
          <w:noProof/>
        </w:rPr>
        <w:t>18</w:t>
      </w:r>
      <w:r w:rsidR="00EA3750" w:rsidRPr="00972C81">
        <w:rPr>
          <w:noProof/>
        </w:rPr>
        <w:fldChar w:fldCharType="end"/>
      </w:r>
      <w:r w:rsidR="00EA3750" w:rsidRPr="00972C81">
        <w:rPr>
          <w:noProof/>
        </w:rPr>
        <w:t>.</w:t>
      </w:r>
      <w:r w:rsidR="00EA3750" w:rsidRPr="00972C81">
        <w:rPr>
          <w:noProof/>
        </w:rPr>
        <w:fldChar w:fldCharType="begin"/>
      </w:r>
      <w:r w:rsidR="00EA3750" w:rsidRPr="00972C81">
        <w:rPr>
          <w:noProof/>
        </w:rPr>
        <w:instrText xml:space="preserve"> SEQ Figure \* ARABIC \s 1 </w:instrText>
      </w:r>
      <w:r w:rsidR="00EA3750" w:rsidRPr="00972C81">
        <w:rPr>
          <w:noProof/>
        </w:rPr>
        <w:fldChar w:fldCharType="separate"/>
      </w:r>
      <w:r w:rsidR="00A41AD1">
        <w:rPr>
          <w:noProof/>
        </w:rPr>
        <w:t>1</w:t>
      </w:r>
      <w:r w:rsidR="00EA3750" w:rsidRPr="00972C81">
        <w:rPr>
          <w:noProof/>
        </w:rPr>
        <w:fldChar w:fldCharType="end"/>
      </w:r>
      <w:bookmarkEnd w:id="264"/>
      <w:r w:rsidRPr="00972C81">
        <w:rPr>
          <w:noProof/>
        </w:rPr>
        <w:t>.</w:t>
      </w:r>
      <w:r w:rsidR="0078660D" w:rsidRPr="00972C81">
        <w:rPr>
          <w:noProof/>
        </w:rPr>
        <w:t xml:space="preserve"> Structure of the systemic model for thorium.</w:t>
      </w:r>
    </w:p>
    <w:p w14:paraId="551D8EA1" w14:textId="77777777" w:rsidR="008278DA" w:rsidRDefault="008278DA" w:rsidP="00CC1FB8">
      <w:pPr>
        <w:pStyle w:val="a5"/>
        <w:tabs>
          <w:tab w:val="clear" w:pos="4153"/>
          <w:tab w:val="clear" w:pos="8306"/>
        </w:tabs>
        <w:rPr>
          <w:noProof/>
        </w:rPr>
      </w:pPr>
    </w:p>
    <w:p w14:paraId="3AF94209" w14:textId="77777777" w:rsidR="004B19B0" w:rsidRDefault="004B19B0">
      <w:pPr>
        <w:widowControl/>
        <w:jc w:val="left"/>
        <w:rPr>
          <w:noProof/>
          <w:szCs w:val="24"/>
        </w:rPr>
      </w:pPr>
      <w:bookmarkStart w:id="265" w:name="_Ref142480621"/>
      <w:r>
        <w:rPr>
          <w:noProof/>
          <w:szCs w:val="24"/>
        </w:rPr>
        <w:br w:type="page"/>
      </w:r>
    </w:p>
    <w:p w14:paraId="49ED0D19" w14:textId="14772CAA" w:rsidR="0078660D" w:rsidRPr="00C47F2F" w:rsidRDefault="00794AFC" w:rsidP="00E81109">
      <w:pPr>
        <w:pStyle w:val="ab"/>
        <w:rPr>
          <w:rFonts w:ascii="Times Roman" w:hAnsi="Times Roman"/>
          <w:noProof/>
          <w:sz w:val="24"/>
          <w:szCs w:val="24"/>
          <w:lang w:eastAsia="fr-FR"/>
        </w:rPr>
      </w:pPr>
      <w:r w:rsidRPr="00C47F2F">
        <w:rPr>
          <w:noProof/>
          <w:sz w:val="24"/>
          <w:szCs w:val="24"/>
        </w:rPr>
        <w:lastRenderedPageBreak/>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18</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2</w:t>
      </w:r>
      <w:r w:rsidR="00EA3750" w:rsidRPr="00C47F2F">
        <w:rPr>
          <w:noProof/>
          <w:sz w:val="24"/>
          <w:szCs w:val="24"/>
        </w:rPr>
        <w:fldChar w:fldCharType="end"/>
      </w:r>
      <w:bookmarkEnd w:id="265"/>
      <w:r w:rsidRPr="00C47F2F">
        <w:rPr>
          <w:noProof/>
          <w:sz w:val="24"/>
          <w:szCs w:val="24"/>
        </w:rPr>
        <w:t>.</w:t>
      </w:r>
      <w:r w:rsidR="008278DA" w:rsidRPr="00C47F2F">
        <w:rPr>
          <w:noProof/>
          <w:sz w:val="24"/>
          <w:szCs w:val="24"/>
        </w:rPr>
        <w:t xml:space="preserve"> Age-specific transfer coefficients for thorium.</w:t>
      </w:r>
    </w:p>
    <w:tbl>
      <w:tblPr>
        <w:tblW w:w="5000" w:type="pct"/>
        <w:tblLayout w:type="fixed"/>
        <w:tblLook w:val="04A0" w:firstRow="1" w:lastRow="0" w:firstColumn="1" w:lastColumn="0" w:noHBand="0" w:noVBand="1"/>
      </w:tblPr>
      <w:tblGrid>
        <w:gridCol w:w="2956"/>
        <w:gridCol w:w="1011"/>
        <w:gridCol w:w="1012"/>
        <w:gridCol w:w="1012"/>
        <w:gridCol w:w="1012"/>
        <w:gridCol w:w="1012"/>
        <w:gridCol w:w="1012"/>
      </w:tblGrid>
      <w:tr w:rsidR="0078660D" w:rsidRPr="00972C81" w14:paraId="3DC51518" w14:textId="77777777" w:rsidTr="004B19B0">
        <w:trPr>
          <w:trHeight w:val="300"/>
        </w:trPr>
        <w:tc>
          <w:tcPr>
            <w:tcW w:w="2956" w:type="dxa"/>
            <w:vMerge w:val="restart"/>
            <w:tcBorders>
              <w:top w:val="single" w:sz="4" w:space="0" w:color="auto"/>
            </w:tcBorders>
            <w:shd w:val="clear" w:color="auto" w:fill="auto"/>
            <w:noWrap/>
            <w:vAlign w:val="center"/>
          </w:tcPr>
          <w:p w14:paraId="3101C3FB" w14:textId="24C5305E" w:rsidR="0078660D" w:rsidRPr="00CC1FB8" w:rsidRDefault="0078660D" w:rsidP="00932F86">
            <w:pPr>
              <w:pStyle w:val="Table"/>
              <w:rPr>
                <w:noProof/>
                <w:szCs w:val="22"/>
              </w:rPr>
            </w:pPr>
            <w:r w:rsidRPr="00CC1FB8">
              <w:rPr>
                <w:noProof/>
                <w:szCs w:val="22"/>
              </w:rPr>
              <w:t>Pathway</w:t>
            </w:r>
            <w:r w:rsidR="00A3213E" w:rsidRPr="00A3213E">
              <w:rPr>
                <w:noProof/>
                <w:szCs w:val="22"/>
                <w:vertAlign w:val="superscript"/>
              </w:rPr>
              <w:t>a</w:t>
            </w:r>
          </w:p>
        </w:tc>
        <w:tc>
          <w:tcPr>
            <w:tcW w:w="6071" w:type="dxa"/>
            <w:gridSpan w:val="6"/>
            <w:tcBorders>
              <w:top w:val="single" w:sz="4" w:space="0" w:color="auto"/>
              <w:bottom w:val="single" w:sz="4" w:space="0" w:color="auto"/>
            </w:tcBorders>
            <w:shd w:val="clear" w:color="auto" w:fill="auto"/>
            <w:noWrap/>
            <w:vAlign w:val="center"/>
          </w:tcPr>
          <w:p w14:paraId="2BC849D4" w14:textId="77777777" w:rsidR="0078660D" w:rsidRPr="00CC1FB8" w:rsidRDefault="0078660D" w:rsidP="004B19B0">
            <w:pPr>
              <w:pStyle w:val="Table"/>
              <w:jc w:val="center"/>
              <w:rPr>
                <w:noProof/>
                <w:szCs w:val="22"/>
              </w:rPr>
            </w:pPr>
            <w:r w:rsidRPr="00CC1FB8">
              <w:rPr>
                <w:noProof/>
                <w:szCs w:val="22"/>
              </w:rPr>
              <w:t>Transfer coefficient (d</w:t>
            </w:r>
            <w:r w:rsidRPr="00CC1FB8">
              <w:rPr>
                <w:noProof/>
                <w:szCs w:val="22"/>
                <w:vertAlign w:val="superscript"/>
              </w:rPr>
              <w:t>-1</w:t>
            </w:r>
            <w:r w:rsidRPr="00CC1FB8">
              <w:rPr>
                <w:noProof/>
                <w:szCs w:val="22"/>
              </w:rPr>
              <w:t>)</w:t>
            </w:r>
          </w:p>
        </w:tc>
      </w:tr>
      <w:tr w:rsidR="00100C52" w:rsidRPr="00972C81" w14:paraId="59ED42FB" w14:textId="77777777" w:rsidTr="004B19B0">
        <w:trPr>
          <w:trHeight w:val="300"/>
        </w:trPr>
        <w:tc>
          <w:tcPr>
            <w:tcW w:w="2956" w:type="dxa"/>
            <w:vMerge/>
            <w:tcBorders>
              <w:bottom w:val="single" w:sz="4" w:space="0" w:color="auto"/>
            </w:tcBorders>
            <w:shd w:val="clear" w:color="auto" w:fill="auto"/>
            <w:noWrap/>
          </w:tcPr>
          <w:p w14:paraId="4CC713B5" w14:textId="77777777" w:rsidR="0078660D" w:rsidRPr="00CC1FB8" w:rsidRDefault="0078660D" w:rsidP="00E81109">
            <w:pPr>
              <w:pStyle w:val="Table"/>
              <w:rPr>
                <w:noProof/>
                <w:color w:val="000000"/>
                <w:szCs w:val="22"/>
              </w:rPr>
            </w:pPr>
          </w:p>
        </w:tc>
        <w:tc>
          <w:tcPr>
            <w:tcW w:w="1011" w:type="dxa"/>
            <w:tcBorders>
              <w:top w:val="single" w:sz="4" w:space="0" w:color="auto"/>
              <w:bottom w:val="single" w:sz="4" w:space="0" w:color="auto"/>
            </w:tcBorders>
            <w:shd w:val="clear" w:color="auto" w:fill="auto"/>
            <w:noWrap/>
            <w:vAlign w:val="center"/>
          </w:tcPr>
          <w:p w14:paraId="0C4BE65E" w14:textId="77777777" w:rsidR="0078660D" w:rsidRPr="00CC1FB8" w:rsidRDefault="0078660D" w:rsidP="004B19B0">
            <w:pPr>
              <w:pStyle w:val="Table"/>
              <w:rPr>
                <w:noProof/>
                <w:color w:val="000000"/>
                <w:szCs w:val="22"/>
              </w:rPr>
            </w:pPr>
            <w:r w:rsidRPr="00CC1FB8">
              <w:rPr>
                <w:noProof/>
                <w:szCs w:val="22"/>
              </w:rPr>
              <w:t>100 d</w:t>
            </w:r>
          </w:p>
        </w:tc>
        <w:tc>
          <w:tcPr>
            <w:tcW w:w="1012" w:type="dxa"/>
            <w:tcBorders>
              <w:top w:val="single" w:sz="4" w:space="0" w:color="auto"/>
              <w:bottom w:val="single" w:sz="4" w:space="0" w:color="auto"/>
            </w:tcBorders>
            <w:shd w:val="clear" w:color="auto" w:fill="auto"/>
            <w:noWrap/>
            <w:vAlign w:val="center"/>
          </w:tcPr>
          <w:p w14:paraId="56D14EEE" w14:textId="77777777" w:rsidR="0078660D" w:rsidRPr="00CC1FB8" w:rsidRDefault="0078660D" w:rsidP="004B19B0">
            <w:pPr>
              <w:pStyle w:val="Table"/>
              <w:rPr>
                <w:noProof/>
                <w:color w:val="000000"/>
                <w:szCs w:val="22"/>
              </w:rPr>
            </w:pPr>
            <w:r w:rsidRPr="00CC1FB8">
              <w:rPr>
                <w:noProof/>
                <w:szCs w:val="22"/>
              </w:rPr>
              <w:t>1 y</w:t>
            </w:r>
          </w:p>
        </w:tc>
        <w:tc>
          <w:tcPr>
            <w:tcW w:w="1012" w:type="dxa"/>
            <w:tcBorders>
              <w:top w:val="single" w:sz="4" w:space="0" w:color="auto"/>
              <w:bottom w:val="single" w:sz="4" w:space="0" w:color="auto"/>
            </w:tcBorders>
            <w:shd w:val="clear" w:color="auto" w:fill="auto"/>
            <w:noWrap/>
            <w:vAlign w:val="center"/>
          </w:tcPr>
          <w:p w14:paraId="36CDF5CD" w14:textId="77777777" w:rsidR="0078660D" w:rsidRPr="00CC1FB8" w:rsidRDefault="0078660D" w:rsidP="004B19B0">
            <w:pPr>
              <w:pStyle w:val="Table"/>
              <w:rPr>
                <w:noProof/>
                <w:color w:val="000000"/>
                <w:szCs w:val="22"/>
              </w:rPr>
            </w:pPr>
            <w:r w:rsidRPr="00CC1FB8">
              <w:rPr>
                <w:noProof/>
                <w:szCs w:val="22"/>
              </w:rPr>
              <w:t>5 y</w:t>
            </w:r>
          </w:p>
        </w:tc>
        <w:tc>
          <w:tcPr>
            <w:tcW w:w="1012" w:type="dxa"/>
            <w:tcBorders>
              <w:top w:val="single" w:sz="4" w:space="0" w:color="auto"/>
              <w:bottom w:val="single" w:sz="4" w:space="0" w:color="auto"/>
            </w:tcBorders>
            <w:shd w:val="clear" w:color="auto" w:fill="auto"/>
            <w:noWrap/>
            <w:vAlign w:val="center"/>
          </w:tcPr>
          <w:p w14:paraId="165B7E2F" w14:textId="77777777" w:rsidR="0078660D" w:rsidRPr="00CC1FB8" w:rsidRDefault="0078660D" w:rsidP="004B19B0">
            <w:pPr>
              <w:pStyle w:val="Table"/>
              <w:rPr>
                <w:noProof/>
                <w:color w:val="000000"/>
                <w:szCs w:val="22"/>
              </w:rPr>
            </w:pPr>
            <w:r w:rsidRPr="00CC1FB8">
              <w:rPr>
                <w:noProof/>
                <w:szCs w:val="22"/>
              </w:rPr>
              <w:t>10 y</w:t>
            </w:r>
          </w:p>
        </w:tc>
        <w:tc>
          <w:tcPr>
            <w:tcW w:w="1012" w:type="dxa"/>
            <w:tcBorders>
              <w:top w:val="single" w:sz="4" w:space="0" w:color="auto"/>
              <w:bottom w:val="single" w:sz="4" w:space="0" w:color="auto"/>
            </w:tcBorders>
            <w:shd w:val="clear" w:color="auto" w:fill="auto"/>
            <w:noWrap/>
            <w:vAlign w:val="center"/>
          </w:tcPr>
          <w:p w14:paraId="4F049A34" w14:textId="77777777" w:rsidR="0078660D" w:rsidRPr="00CC1FB8" w:rsidRDefault="0078660D" w:rsidP="004B19B0">
            <w:pPr>
              <w:pStyle w:val="Table"/>
              <w:rPr>
                <w:noProof/>
                <w:color w:val="000000"/>
                <w:szCs w:val="22"/>
              </w:rPr>
            </w:pPr>
            <w:r w:rsidRPr="00CC1FB8">
              <w:rPr>
                <w:noProof/>
                <w:szCs w:val="22"/>
              </w:rPr>
              <w:t>15 y</w:t>
            </w:r>
          </w:p>
        </w:tc>
        <w:tc>
          <w:tcPr>
            <w:tcW w:w="1012" w:type="dxa"/>
            <w:tcBorders>
              <w:top w:val="single" w:sz="4" w:space="0" w:color="auto"/>
              <w:bottom w:val="single" w:sz="4" w:space="0" w:color="auto"/>
            </w:tcBorders>
            <w:shd w:val="clear" w:color="auto" w:fill="auto"/>
            <w:noWrap/>
            <w:vAlign w:val="center"/>
          </w:tcPr>
          <w:p w14:paraId="7E9CA184" w14:textId="77777777" w:rsidR="0078660D" w:rsidRPr="00CC1FB8" w:rsidRDefault="0078660D" w:rsidP="004B19B0">
            <w:pPr>
              <w:pStyle w:val="Table"/>
              <w:rPr>
                <w:noProof/>
                <w:color w:val="000000"/>
                <w:szCs w:val="22"/>
              </w:rPr>
            </w:pPr>
            <w:r w:rsidRPr="00CC1FB8">
              <w:rPr>
                <w:noProof/>
                <w:szCs w:val="22"/>
              </w:rPr>
              <w:t>Adult</w:t>
            </w:r>
          </w:p>
        </w:tc>
      </w:tr>
      <w:tr w:rsidR="00A3213E" w:rsidRPr="00972C81" w14:paraId="273FFF59" w14:textId="77777777" w:rsidTr="004B19B0">
        <w:trPr>
          <w:trHeight w:val="340"/>
        </w:trPr>
        <w:tc>
          <w:tcPr>
            <w:tcW w:w="2956" w:type="dxa"/>
            <w:tcBorders>
              <w:top w:val="single" w:sz="4" w:space="0" w:color="auto"/>
            </w:tcBorders>
            <w:shd w:val="clear" w:color="auto" w:fill="auto"/>
            <w:noWrap/>
            <w:vAlign w:val="center"/>
          </w:tcPr>
          <w:p w14:paraId="7E2F84F3" w14:textId="2BE05E08" w:rsidR="00A3213E" w:rsidRPr="00A3213E" w:rsidRDefault="00A3213E" w:rsidP="004B19B0">
            <w:pPr>
              <w:pStyle w:val="Table"/>
              <w:rPr>
                <w:noProof/>
                <w:sz w:val="20"/>
                <w:szCs w:val="22"/>
              </w:rPr>
            </w:pPr>
            <w:r w:rsidRPr="00A3213E">
              <w:rPr>
                <w:noProof/>
                <w:sz w:val="20"/>
                <w:szCs w:val="22"/>
              </w:rPr>
              <w:t>Blood to Liver 1</w:t>
            </w:r>
          </w:p>
        </w:tc>
        <w:tc>
          <w:tcPr>
            <w:tcW w:w="1011" w:type="dxa"/>
            <w:tcBorders>
              <w:top w:val="single" w:sz="4" w:space="0" w:color="auto"/>
            </w:tcBorders>
            <w:shd w:val="clear" w:color="auto" w:fill="auto"/>
            <w:noWrap/>
            <w:vAlign w:val="center"/>
          </w:tcPr>
          <w:p w14:paraId="000C6274" w14:textId="77777777" w:rsidR="00A3213E" w:rsidRPr="00C47F2F" w:rsidRDefault="00A3213E" w:rsidP="004B19B0">
            <w:pPr>
              <w:pStyle w:val="Table"/>
              <w:rPr>
                <w:noProof/>
                <w:sz w:val="20"/>
                <w:szCs w:val="20"/>
              </w:rPr>
            </w:pPr>
            <w:r w:rsidRPr="00C47F2F">
              <w:rPr>
                <w:noProof/>
                <w:sz w:val="20"/>
                <w:szCs w:val="20"/>
              </w:rPr>
              <w:t>6.47E-02</w:t>
            </w:r>
          </w:p>
        </w:tc>
        <w:tc>
          <w:tcPr>
            <w:tcW w:w="1012" w:type="dxa"/>
            <w:tcBorders>
              <w:top w:val="single" w:sz="4" w:space="0" w:color="auto"/>
            </w:tcBorders>
            <w:shd w:val="clear" w:color="auto" w:fill="auto"/>
            <w:noWrap/>
            <w:vAlign w:val="center"/>
          </w:tcPr>
          <w:p w14:paraId="7629BF80" w14:textId="77777777" w:rsidR="00A3213E" w:rsidRPr="00C47F2F" w:rsidRDefault="00A3213E" w:rsidP="004B19B0">
            <w:pPr>
              <w:pStyle w:val="Table"/>
              <w:rPr>
                <w:noProof/>
                <w:sz w:val="20"/>
                <w:szCs w:val="20"/>
              </w:rPr>
            </w:pPr>
            <w:r w:rsidRPr="00C47F2F">
              <w:rPr>
                <w:noProof/>
                <w:sz w:val="20"/>
                <w:szCs w:val="20"/>
              </w:rPr>
              <w:t>6.47E-02</w:t>
            </w:r>
          </w:p>
        </w:tc>
        <w:tc>
          <w:tcPr>
            <w:tcW w:w="1012" w:type="dxa"/>
            <w:tcBorders>
              <w:top w:val="single" w:sz="4" w:space="0" w:color="auto"/>
            </w:tcBorders>
            <w:shd w:val="clear" w:color="auto" w:fill="auto"/>
            <w:noWrap/>
            <w:vAlign w:val="center"/>
          </w:tcPr>
          <w:p w14:paraId="3AA476A8" w14:textId="77777777" w:rsidR="00A3213E" w:rsidRPr="00C47F2F" w:rsidRDefault="00A3213E" w:rsidP="004B19B0">
            <w:pPr>
              <w:pStyle w:val="Table"/>
              <w:rPr>
                <w:noProof/>
                <w:sz w:val="20"/>
                <w:szCs w:val="20"/>
              </w:rPr>
            </w:pPr>
            <w:r w:rsidRPr="00C47F2F">
              <w:rPr>
                <w:noProof/>
                <w:sz w:val="20"/>
                <w:szCs w:val="20"/>
              </w:rPr>
              <w:t>6.47E-02</w:t>
            </w:r>
          </w:p>
        </w:tc>
        <w:tc>
          <w:tcPr>
            <w:tcW w:w="1012" w:type="dxa"/>
            <w:tcBorders>
              <w:top w:val="single" w:sz="4" w:space="0" w:color="auto"/>
            </w:tcBorders>
            <w:shd w:val="clear" w:color="auto" w:fill="auto"/>
            <w:noWrap/>
            <w:vAlign w:val="center"/>
          </w:tcPr>
          <w:p w14:paraId="5268D463" w14:textId="77777777" w:rsidR="00A3213E" w:rsidRPr="00C47F2F" w:rsidRDefault="00A3213E" w:rsidP="004B19B0">
            <w:pPr>
              <w:pStyle w:val="Table"/>
              <w:rPr>
                <w:noProof/>
                <w:sz w:val="20"/>
                <w:szCs w:val="20"/>
              </w:rPr>
            </w:pPr>
            <w:r w:rsidRPr="00C47F2F">
              <w:rPr>
                <w:noProof/>
                <w:sz w:val="20"/>
                <w:szCs w:val="20"/>
              </w:rPr>
              <w:t>6.47E-02</w:t>
            </w:r>
          </w:p>
        </w:tc>
        <w:tc>
          <w:tcPr>
            <w:tcW w:w="1012" w:type="dxa"/>
            <w:tcBorders>
              <w:top w:val="single" w:sz="4" w:space="0" w:color="auto"/>
            </w:tcBorders>
            <w:shd w:val="clear" w:color="auto" w:fill="auto"/>
            <w:noWrap/>
            <w:vAlign w:val="center"/>
          </w:tcPr>
          <w:p w14:paraId="1AA8AD23" w14:textId="77777777" w:rsidR="00A3213E" w:rsidRPr="00C47F2F" w:rsidRDefault="00A3213E" w:rsidP="004B19B0">
            <w:pPr>
              <w:pStyle w:val="Table"/>
              <w:rPr>
                <w:noProof/>
                <w:sz w:val="20"/>
                <w:szCs w:val="20"/>
              </w:rPr>
            </w:pPr>
            <w:r w:rsidRPr="00C47F2F">
              <w:rPr>
                <w:noProof/>
                <w:sz w:val="20"/>
                <w:szCs w:val="20"/>
              </w:rPr>
              <w:t>6.47E-02</w:t>
            </w:r>
          </w:p>
        </w:tc>
        <w:tc>
          <w:tcPr>
            <w:tcW w:w="1012" w:type="dxa"/>
            <w:tcBorders>
              <w:top w:val="single" w:sz="4" w:space="0" w:color="auto"/>
            </w:tcBorders>
            <w:shd w:val="clear" w:color="auto" w:fill="auto"/>
            <w:noWrap/>
            <w:vAlign w:val="center"/>
          </w:tcPr>
          <w:p w14:paraId="5406E304" w14:textId="77777777" w:rsidR="00A3213E" w:rsidRPr="00C47F2F" w:rsidRDefault="00A3213E" w:rsidP="004B19B0">
            <w:pPr>
              <w:pStyle w:val="Table"/>
              <w:rPr>
                <w:noProof/>
                <w:sz w:val="20"/>
                <w:szCs w:val="20"/>
              </w:rPr>
            </w:pPr>
            <w:r w:rsidRPr="00C47F2F">
              <w:rPr>
                <w:noProof/>
                <w:sz w:val="20"/>
                <w:szCs w:val="20"/>
              </w:rPr>
              <w:t>9.70E-02</w:t>
            </w:r>
          </w:p>
        </w:tc>
      </w:tr>
      <w:tr w:rsidR="00A3213E" w:rsidRPr="00972C81" w14:paraId="51F7A2C8" w14:textId="77777777" w:rsidTr="004B19B0">
        <w:trPr>
          <w:trHeight w:val="340"/>
        </w:trPr>
        <w:tc>
          <w:tcPr>
            <w:tcW w:w="2956" w:type="dxa"/>
            <w:shd w:val="clear" w:color="auto" w:fill="auto"/>
            <w:noWrap/>
            <w:vAlign w:val="center"/>
          </w:tcPr>
          <w:p w14:paraId="5D33CC93" w14:textId="3CA79D12" w:rsidR="00A3213E" w:rsidRPr="00A3213E" w:rsidRDefault="00A3213E" w:rsidP="004B19B0">
            <w:pPr>
              <w:pStyle w:val="Table"/>
              <w:rPr>
                <w:noProof/>
                <w:sz w:val="20"/>
                <w:szCs w:val="22"/>
              </w:rPr>
            </w:pPr>
            <w:r w:rsidRPr="00A3213E">
              <w:rPr>
                <w:noProof/>
                <w:sz w:val="20"/>
                <w:szCs w:val="22"/>
              </w:rPr>
              <w:t>Blood to Cort bone surf</w:t>
            </w:r>
          </w:p>
        </w:tc>
        <w:tc>
          <w:tcPr>
            <w:tcW w:w="1011" w:type="dxa"/>
            <w:shd w:val="clear" w:color="auto" w:fill="auto"/>
            <w:noWrap/>
            <w:vAlign w:val="center"/>
          </w:tcPr>
          <w:p w14:paraId="273C1C0A" w14:textId="77777777" w:rsidR="00A3213E" w:rsidRPr="00C47F2F" w:rsidRDefault="00A3213E" w:rsidP="004B19B0">
            <w:pPr>
              <w:pStyle w:val="Table"/>
              <w:rPr>
                <w:noProof/>
                <w:sz w:val="20"/>
                <w:szCs w:val="20"/>
              </w:rPr>
            </w:pPr>
            <w:r w:rsidRPr="00C47F2F">
              <w:rPr>
                <w:noProof/>
                <w:sz w:val="20"/>
                <w:szCs w:val="20"/>
              </w:rPr>
              <w:t>7.76E-01</w:t>
            </w:r>
          </w:p>
        </w:tc>
        <w:tc>
          <w:tcPr>
            <w:tcW w:w="1012" w:type="dxa"/>
            <w:shd w:val="clear" w:color="auto" w:fill="auto"/>
            <w:noWrap/>
            <w:vAlign w:val="center"/>
          </w:tcPr>
          <w:p w14:paraId="480C700B" w14:textId="77777777" w:rsidR="00A3213E" w:rsidRPr="00C47F2F" w:rsidRDefault="00A3213E" w:rsidP="004B19B0">
            <w:pPr>
              <w:pStyle w:val="Table"/>
              <w:rPr>
                <w:noProof/>
                <w:sz w:val="20"/>
                <w:szCs w:val="20"/>
              </w:rPr>
            </w:pPr>
            <w:r w:rsidRPr="00C47F2F">
              <w:rPr>
                <w:noProof/>
                <w:sz w:val="20"/>
                <w:szCs w:val="20"/>
              </w:rPr>
              <w:t>7.76E-01</w:t>
            </w:r>
          </w:p>
        </w:tc>
        <w:tc>
          <w:tcPr>
            <w:tcW w:w="1012" w:type="dxa"/>
            <w:shd w:val="clear" w:color="auto" w:fill="auto"/>
            <w:noWrap/>
            <w:vAlign w:val="center"/>
          </w:tcPr>
          <w:p w14:paraId="2033299E" w14:textId="77777777" w:rsidR="00A3213E" w:rsidRPr="00C47F2F" w:rsidRDefault="00A3213E" w:rsidP="004B19B0">
            <w:pPr>
              <w:pStyle w:val="Table"/>
              <w:rPr>
                <w:noProof/>
                <w:sz w:val="20"/>
                <w:szCs w:val="20"/>
              </w:rPr>
            </w:pPr>
            <w:r w:rsidRPr="00C47F2F">
              <w:rPr>
                <w:noProof/>
                <w:sz w:val="20"/>
                <w:szCs w:val="20"/>
              </w:rPr>
              <w:t>7.76E-01</w:t>
            </w:r>
          </w:p>
        </w:tc>
        <w:tc>
          <w:tcPr>
            <w:tcW w:w="1012" w:type="dxa"/>
            <w:shd w:val="clear" w:color="auto" w:fill="auto"/>
            <w:noWrap/>
            <w:vAlign w:val="center"/>
          </w:tcPr>
          <w:p w14:paraId="65D06125" w14:textId="77777777" w:rsidR="00A3213E" w:rsidRPr="00C47F2F" w:rsidRDefault="00A3213E" w:rsidP="004B19B0">
            <w:pPr>
              <w:pStyle w:val="Table"/>
              <w:rPr>
                <w:noProof/>
                <w:sz w:val="20"/>
                <w:szCs w:val="20"/>
              </w:rPr>
            </w:pPr>
            <w:r w:rsidRPr="00C47F2F">
              <w:rPr>
                <w:noProof/>
                <w:sz w:val="20"/>
                <w:szCs w:val="20"/>
              </w:rPr>
              <w:t>7.76E-01</w:t>
            </w:r>
          </w:p>
        </w:tc>
        <w:tc>
          <w:tcPr>
            <w:tcW w:w="1012" w:type="dxa"/>
            <w:shd w:val="clear" w:color="auto" w:fill="auto"/>
            <w:noWrap/>
            <w:vAlign w:val="center"/>
          </w:tcPr>
          <w:p w14:paraId="062BC4FA" w14:textId="77777777" w:rsidR="00A3213E" w:rsidRPr="00C47F2F" w:rsidRDefault="00A3213E" w:rsidP="004B19B0">
            <w:pPr>
              <w:pStyle w:val="Table"/>
              <w:rPr>
                <w:noProof/>
                <w:sz w:val="20"/>
                <w:szCs w:val="20"/>
              </w:rPr>
            </w:pPr>
            <w:r w:rsidRPr="00C47F2F">
              <w:rPr>
                <w:noProof/>
                <w:sz w:val="20"/>
                <w:szCs w:val="20"/>
              </w:rPr>
              <w:t>7.76E-01</w:t>
            </w:r>
          </w:p>
        </w:tc>
        <w:tc>
          <w:tcPr>
            <w:tcW w:w="1012" w:type="dxa"/>
            <w:shd w:val="clear" w:color="auto" w:fill="auto"/>
            <w:noWrap/>
            <w:vAlign w:val="center"/>
          </w:tcPr>
          <w:p w14:paraId="583059F3" w14:textId="77777777" w:rsidR="00A3213E" w:rsidRPr="00C47F2F" w:rsidRDefault="00A3213E" w:rsidP="004B19B0">
            <w:pPr>
              <w:pStyle w:val="Table"/>
              <w:rPr>
                <w:noProof/>
                <w:sz w:val="20"/>
                <w:szCs w:val="20"/>
              </w:rPr>
            </w:pPr>
            <w:r w:rsidRPr="00C47F2F">
              <w:rPr>
                <w:noProof/>
                <w:sz w:val="20"/>
                <w:szCs w:val="20"/>
              </w:rPr>
              <w:t>6.79E-01</w:t>
            </w:r>
          </w:p>
        </w:tc>
      </w:tr>
      <w:tr w:rsidR="00A3213E" w:rsidRPr="00972C81" w14:paraId="08312C37" w14:textId="77777777" w:rsidTr="004B19B0">
        <w:trPr>
          <w:trHeight w:val="340"/>
        </w:trPr>
        <w:tc>
          <w:tcPr>
            <w:tcW w:w="2956" w:type="dxa"/>
            <w:shd w:val="clear" w:color="auto" w:fill="auto"/>
            <w:noWrap/>
            <w:vAlign w:val="center"/>
          </w:tcPr>
          <w:p w14:paraId="242CB4E4" w14:textId="416E0C01" w:rsidR="00A3213E" w:rsidRPr="00A3213E" w:rsidRDefault="00A3213E" w:rsidP="004B19B0">
            <w:pPr>
              <w:pStyle w:val="Table"/>
              <w:rPr>
                <w:noProof/>
                <w:sz w:val="20"/>
                <w:szCs w:val="22"/>
              </w:rPr>
            </w:pPr>
            <w:r w:rsidRPr="00A3213E">
              <w:rPr>
                <w:noProof/>
                <w:sz w:val="20"/>
                <w:szCs w:val="22"/>
              </w:rPr>
              <w:t>Blood to Trab bone surf</w:t>
            </w:r>
          </w:p>
        </w:tc>
        <w:tc>
          <w:tcPr>
            <w:tcW w:w="1011" w:type="dxa"/>
            <w:shd w:val="clear" w:color="auto" w:fill="auto"/>
            <w:noWrap/>
            <w:vAlign w:val="center"/>
          </w:tcPr>
          <w:p w14:paraId="62244753" w14:textId="77777777" w:rsidR="00A3213E" w:rsidRPr="00C47F2F" w:rsidRDefault="00A3213E" w:rsidP="004B19B0">
            <w:pPr>
              <w:pStyle w:val="Table"/>
              <w:rPr>
                <w:noProof/>
                <w:sz w:val="20"/>
                <w:szCs w:val="20"/>
              </w:rPr>
            </w:pPr>
            <w:r w:rsidRPr="00C47F2F">
              <w:rPr>
                <w:noProof/>
                <w:sz w:val="20"/>
                <w:szCs w:val="20"/>
              </w:rPr>
              <w:t>7.76E-01</w:t>
            </w:r>
          </w:p>
        </w:tc>
        <w:tc>
          <w:tcPr>
            <w:tcW w:w="1012" w:type="dxa"/>
            <w:shd w:val="clear" w:color="auto" w:fill="auto"/>
            <w:noWrap/>
            <w:vAlign w:val="center"/>
          </w:tcPr>
          <w:p w14:paraId="24D11358" w14:textId="77777777" w:rsidR="00A3213E" w:rsidRPr="00C47F2F" w:rsidRDefault="00A3213E" w:rsidP="004B19B0">
            <w:pPr>
              <w:pStyle w:val="Table"/>
              <w:rPr>
                <w:noProof/>
                <w:sz w:val="20"/>
                <w:szCs w:val="20"/>
              </w:rPr>
            </w:pPr>
            <w:r w:rsidRPr="00C47F2F">
              <w:rPr>
                <w:noProof/>
                <w:sz w:val="20"/>
                <w:szCs w:val="20"/>
              </w:rPr>
              <w:t>7.76E-01</w:t>
            </w:r>
          </w:p>
        </w:tc>
        <w:tc>
          <w:tcPr>
            <w:tcW w:w="1012" w:type="dxa"/>
            <w:shd w:val="clear" w:color="auto" w:fill="auto"/>
            <w:noWrap/>
            <w:vAlign w:val="center"/>
          </w:tcPr>
          <w:p w14:paraId="03DFE8CB" w14:textId="77777777" w:rsidR="00A3213E" w:rsidRPr="00C47F2F" w:rsidRDefault="00A3213E" w:rsidP="004B19B0">
            <w:pPr>
              <w:pStyle w:val="Table"/>
              <w:rPr>
                <w:noProof/>
                <w:sz w:val="20"/>
                <w:szCs w:val="20"/>
              </w:rPr>
            </w:pPr>
            <w:r w:rsidRPr="00C47F2F">
              <w:rPr>
                <w:noProof/>
                <w:sz w:val="20"/>
                <w:szCs w:val="20"/>
              </w:rPr>
              <w:t>7.76E-01</w:t>
            </w:r>
          </w:p>
        </w:tc>
        <w:tc>
          <w:tcPr>
            <w:tcW w:w="1012" w:type="dxa"/>
            <w:shd w:val="clear" w:color="auto" w:fill="auto"/>
            <w:noWrap/>
            <w:vAlign w:val="center"/>
          </w:tcPr>
          <w:p w14:paraId="3FF274B6" w14:textId="77777777" w:rsidR="00A3213E" w:rsidRPr="00C47F2F" w:rsidRDefault="00A3213E" w:rsidP="004B19B0">
            <w:pPr>
              <w:pStyle w:val="Table"/>
              <w:rPr>
                <w:noProof/>
                <w:sz w:val="20"/>
                <w:szCs w:val="20"/>
              </w:rPr>
            </w:pPr>
            <w:r w:rsidRPr="00C47F2F">
              <w:rPr>
                <w:noProof/>
                <w:sz w:val="20"/>
                <w:szCs w:val="20"/>
              </w:rPr>
              <w:t>7.76E-01</w:t>
            </w:r>
          </w:p>
        </w:tc>
        <w:tc>
          <w:tcPr>
            <w:tcW w:w="1012" w:type="dxa"/>
            <w:shd w:val="clear" w:color="auto" w:fill="auto"/>
            <w:noWrap/>
            <w:vAlign w:val="center"/>
          </w:tcPr>
          <w:p w14:paraId="53743019" w14:textId="77777777" w:rsidR="00A3213E" w:rsidRPr="00C47F2F" w:rsidRDefault="00A3213E" w:rsidP="004B19B0">
            <w:pPr>
              <w:pStyle w:val="Table"/>
              <w:rPr>
                <w:noProof/>
                <w:sz w:val="20"/>
                <w:szCs w:val="20"/>
              </w:rPr>
            </w:pPr>
            <w:r w:rsidRPr="00C47F2F">
              <w:rPr>
                <w:noProof/>
                <w:sz w:val="20"/>
                <w:szCs w:val="20"/>
              </w:rPr>
              <w:t>7.76E-01</w:t>
            </w:r>
          </w:p>
        </w:tc>
        <w:tc>
          <w:tcPr>
            <w:tcW w:w="1012" w:type="dxa"/>
            <w:shd w:val="clear" w:color="auto" w:fill="auto"/>
            <w:noWrap/>
            <w:vAlign w:val="center"/>
          </w:tcPr>
          <w:p w14:paraId="2B6621F3" w14:textId="77777777" w:rsidR="00A3213E" w:rsidRPr="00C47F2F" w:rsidRDefault="00A3213E" w:rsidP="004B19B0">
            <w:pPr>
              <w:pStyle w:val="Table"/>
              <w:rPr>
                <w:noProof/>
                <w:sz w:val="20"/>
                <w:szCs w:val="20"/>
              </w:rPr>
            </w:pPr>
            <w:r w:rsidRPr="00C47F2F">
              <w:rPr>
                <w:noProof/>
                <w:sz w:val="20"/>
                <w:szCs w:val="20"/>
              </w:rPr>
              <w:t>6.79E-01</w:t>
            </w:r>
          </w:p>
        </w:tc>
      </w:tr>
      <w:tr w:rsidR="00A3213E" w:rsidRPr="00972C81" w14:paraId="4A6C0096" w14:textId="77777777" w:rsidTr="004B19B0">
        <w:trPr>
          <w:trHeight w:val="340"/>
        </w:trPr>
        <w:tc>
          <w:tcPr>
            <w:tcW w:w="2956" w:type="dxa"/>
            <w:shd w:val="clear" w:color="auto" w:fill="auto"/>
            <w:noWrap/>
            <w:vAlign w:val="center"/>
          </w:tcPr>
          <w:p w14:paraId="6179F1A7" w14:textId="6DC6776F" w:rsidR="00A3213E" w:rsidRPr="00A3213E" w:rsidRDefault="00A3213E" w:rsidP="004B19B0">
            <w:pPr>
              <w:pStyle w:val="Table"/>
              <w:rPr>
                <w:noProof/>
                <w:sz w:val="20"/>
                <w:szCs w:val="22"/>
              </w:rPr>
            </w:pPr>
            <w:r w:rsidRPr="00A3213E">
              <w:rPr>
                <w:noProof/>
                <w:sz w:val="20"/>
                <w:szCs w:val="22"/>
              </w:rPr>
              <w:t>Blood to Urinary bladder cont</w:t>
            </w:r>
          </w:p>
        </w:tc>
        <w:tc>
          <w:tcPr>
            <w:tcW w:w="1011" w:type="dxa"/>
            <w:shd w:val="clear" w:color="auto" w:fill="auto"/>
            <w:noWrap/>
            <w:vAlign w:val="center"/>
          </w:tcPr>
          <w:p w14:paraId="1E386BF0" w14:textId="77777777" w:rsidR="00A3213E" w:rsidRPr="00C47F2F" w:rsidRDefault="00A3213E" w:rsidP="004B19B0">
            <w:pPr>
              <w:pStyle w:val="Table"/>
              <w:rPr>
                <w:noProof/>
                <w:sz w:val="20"/>
                <w:szCs w:val="20"/>
              </w:rPr>
            </w:pPr>
            <w:r w:rsidRPr="00C47F2F">
              <w:rPr>
                <w:noProof/>
                <w:sz w:val="20"/>
                <w:szCs w:val="20"/>
              </w:rPr>
              <w:t>7.11E-02</w:t>
            </w:r>
          </w:p>
        </w:tc>
        <w:tc>
          <w:tcPr>
            <w:tcW w:w="1012" w:type="dxa"/>
            <w:shd w:val="clear" w:color="auto" w:fill="auto"/>
            <w:noWrap/>
            <w:vAlign w:val="center"/>
          </w:tcPr>
          <w:p w14:paraId="7591889C" w14:textId="77777777" w:rsidR="00A3213E" w:rsidRPr="00C47F2F" w:rsidRDefault="00A3213E" w:rsidP="004B19B0">
            <w:pPr>
              <w:pStyle w:val="Table"/>
              <w:rPr>
                <w:noProof/>
                <w:sz w:val="20"/>
                <w:szCs w:val="20"/>
              </w:rPr>
            </w:pPr>
            <w:r w:rsidRPr="00C47F2F">
              <w:rPr>
                <w:noProof/>
                <w:sz w:val="20"/>
                <w:szCs w:val="20"/>
              </w:rPr>
              <w:t>7.11E-02</w:t>
            </w:r>
          </w:p>
        </w:tc>
        <w:tc>
          <w:tcPr>
            <w:tcW w:w="1012" w:type="dxa"/>
            <w:shd w:val="clear" w:color="auto" w:fill="auto"/>
            <w:noWrap/>
            <w:vAlign w:val="center"/>
          </w:tcPr>
          <w:p w14:paraId="6B32D23D" w14:textId="77777777" w:rsidR="00A3213E" w:rsidRPr="00C47F2F" w:rsidRDefault="00A3213E" w:rsidP="004B19B0">
            <w:pPr>
              <w:pStyle w:val="Table"/>
              <w:rPr>
                <w:noProof/>
                <w:sz w:val="20"/>
                <w:szCs w:val="20"/>
              </w:rPr>
            </w:pPr>
            <w:r w:rsidRPr="00C47F2F">
              <w:rPr>
                <w:noProof/>
                <w:sz w:val="20"/>
                <w:szCs w:val="20"/>
              </w:rPr>
              <w:t>7.11E-02</w:t>
            </w:r>
          </w:p>
        </w:tc>
        <w:tc>
          <w:tcPr>
            <w:tcW w:w="1012" w:type="dxa"/>
            <w:shd w:val="clear" w:color="auto" w:fill="auto"/>
            <w:noWrap/>
            <w:vAlign w:val="center"/>
          </w:tcPr>
          <w:p w14:paraId="17B85AE2" w14:textId="77777777" w:rsidR="00A3213E" w:rsidRPr="00C47F2F" w:rsidRDefault="00A3213E" w:rsidP="004B19B0">
            <w:pPr>
              <w:pStyle w:val="Table"/>
              <w:rPr>
                <w:noProof/>
                <w:sz w:val="20"/>
                <w:szCs w:val="20"/>
              </w:rPr>
            </w:pPr>
            <w:r w:rsidRPr="00C47F2F">
              <w:rPr>
                <w:noProof/>
                <w:sz w:val="20"/>
                <w:szCs w:val="20"/>
              </w:rPr>
              <w:t>7.11E-02</w:t>
            </w:r>
          </w:p>
        </w:tc>
        <w:tc>
          <w:tcPr>
            <w:tcW w:w="1012" w:type="dxa"/>
            <w:shd w:val="clear" w:color="auto" w:fill="auto"/>
            <w:noWrap/>
            <w:vAlign w:val="center"/>
          </w:tcPr>
          <w:p w14:paraId="16835929" w14:textId="77777777" w:rsidR="00A3213E" w:rsidRPr="00C47F2F" w:rsidRDefault="00A3213E" w:rsidP="004B19B0">
            <w:pPr>
              <w:pStyle w:val="Table"/>
              <w:rPr>
                <w:noProof/>
                <w:sz w:val="20"/>
                <w:szCs w:val="20"/>
              </w:rPr>
            </w:pPr>
            <w:r w:rsidRPr="00C47F2F">
              <w:rPr>
                <w:noProof/>
                <w:sz w:val="20"/>
                <w:szCs w:val="20"/>
              </w:rPr>
              <w:t>7.11E-02</w:t>
            </w:r>
          </w:p>
        </w:tc>
        <w:tc>
          <w:tcPr>
            <w:tcW w:w="1012" w:type="dxa"/>
            <w:shd w:val="clear" w:color="auto" w:fill="auto"/>
            <w:noWrap/>
            <w:vAlign w:val="center"/>
          </w:tcPr>
          <w:p w14:paraId="48003131" w14:textId="77777777" w:rsidR="00A3213E" w:rsidRPr="00C47F2F" w:rsidRDefault="00A3213E" w:rsidP="004B19B0">
            <w:pPr>
              <w:pStyle w:val="Table"/>
              <w:rPr>
                <w:noProof/>
                <w:sz w:val="20"/>
                <w:szCs w:val="20"/>
              </w:rPr>
            </w:pPr>
            <w:r w:rsidRPr="00C47F2F">
              <w:rPr>
                <w:noProof/>
                <w:sz w:val="20"/>
                <w:szCs w:val="20"/>
              </w:rPr>
              <w:t>1.07E-01</w:t>
            </w:r>
          </w:p>
        </w:tc>
      </w:tr>
      <w:tr w:rsidR="00A3213E" w:rsidRPr="00972C81" w14:paraId="3743A04F" w14:textId="77777777" w:rsidTr="004B19B0">
        <w:trPr>
          <w:trHeight w:val="340"/>
        </w:trPr>
        <w:tc>
          <w:tcPr>
            <w:tcW w:w="2956" w:type="dxa"/>
            <w:shd w:val="clear" w:color="auto" w:fill="auto"/>
            <w:noWrap/>
            <w:vAlign w:val="center"/>
          </w:tcPr>
          <w:p w14:paraId="2C5F67E4" w14:textId="56D6A172" w:rsidR="00A3213E" w:rsidRPr="00A3213E" w:rsidRDefault="00A3213E" w:rsidP="004B19B0">
            <w:pPr>
              <w:pStyle w:val="Table"/>
              <w:rPr>
                <w:noProof/>
                <w:sz w:val="20"/>
                <w:szCs w:val="22"/>
              </w:rPr>
            </w:pPr>
            <w:r w:rsidRPr="00A3213E">
              <w:rPr>
                <w:noProof/>
                <w:sz w:val="20"/>
                <w:szCs w:val="22"/>
              </w:rPr>
              <w:t>Blood to Kidneys 1</w:t>
            </w:r>
          </w:p>
        </w:tc>
        <w:tc>
          <w:tcPr>
            <w:tcW w:w="1011" w:type="dxa"/>
            <w:shd w:val="clear" w:color="auto" w:fill="auto"/>
            <w:noWrap/>
            <w:vAlign w:val="center"/>
          </w:tcPr>
          <w:p w14:paraId="632150CB" w14:textId="77777777" w:rsidR="00A3213E" w:rsidRPr="00C47F2F" w:rsidRDefault="00A3213E" w:rsidP="004B19B0">
            <w:pPr>
              <w:pStyle w:val="Table"/>
              <w:rPr>
                <w:noProof/>
                <w:sz w:val="20"/>
                <w:szCs w:val="20"/>
              </w:rPr>
            </w:pPr>
            <w:r w:rsidRPr="00C47F2F">
              <w:rPr>
                <w:noProof/>
                <w:sz w:val="20"/>
                <w:szCs w:val="20"/>
              </w:rPr>
              <w:t>4.53E-02</w:t>
            </w:r>
          </w:p>
        </w:tc>
        <w:tc>
          <w:tcPr>
            <w:tcW w:w="1012" w:type="dxa"/>
            <w:shd w:val="clear" w:color="auto" w:fill="auto"/>
            <w:noWrap/>
            <w:vAlign w:val="center"/>
          </w:tcPr>
          <w:p w14:paraId="10257A14" w14:textId="77777777" w:rsidR="00A3213E" w:rsidRPr="00C47F2F" w:rsidRDefault="00A3213E" w:rsidP="004B19B0">
            <w:pPr>
              <w:pStyle w:val="Table"/>
              <w:rPr>
                <w:noProof/>
                <w:sz w:val="20"/>
                <w:szCs w:val="20"/>
              </w:rPr>
            </w:pPr>
            <w:r w:rsidRPr="00C47F2F">
              <w:rPr>
                <w:noProof/>
                <w:sz w:val="20"/>
                <w:szCs w:val="20"/>
              </w:rPr>
              <w:t>4.53E-02</w:t>
            </w:r>
          </w:p>
        </w:tc>
        <w:tc>
          <w:tcPr>
            <w:tcW w:w="1012" w:type="dxa"/>
            <w:shd w:val="clear" w:color="auto" w:fill="auto"/>
            <w:noWrap/>
            <w:vAlign w:val="center"/>
          </w:tcPr>
          <w:p w14:paraId="08C90E30" w14:textId="77777777" w:rsidR="00A3213E" w:rsidRPr="00C47F2F" w:rsidRDefault="00A3213E" w:rsidP="004B19B0">
            <w:pPr>
              <w:pStyle w:val="Table"/>
              <w:rPr>
                <w:noProof/>
                <w:sz w:val="20"/>
                <w:szCs w:val="20"/>
              </w:rPr>
            </w:pPr>
            <w:r w:rsidRPr="00C47F2F">
              <w:rPr>
                <w:noProof/>
                <w:sz w:val="20"/>
                <w:szCs w:val="20"/>
              </w:rPr>
              <w:t>4.53E-02</w:t>
            </w:r>
          </w:p>
        </w:tc>
        <w:tc>
          <w:tcPr>
            <w:tcW w:w="1012" w:type="dxa"/>
            <w:shd w:val="clear" w:color="auto" w:fill="auto"/>
            <w:noWrap/>
            <w:vAlign w:val="center"/>
          </w:tcPr>
          <w:p w14:paraId="2431EE67" w14:textId="77777777" w:rsidR="00A3213E" w:rsidRPr="00C47F2F" w:rsidRDefault="00A3213E" w:rsidP="004B19B0">
            <w:pPr>
              <w:pStyle w:val="Table"/>
              <w:rPr>
                <w:noProof/>
                <w:sz w:val="20"/>
                <w:szCs w:val="20"/>
              </w:rPr>
            </w:pPr>
            <w:r w:rsidRPr="00C47F2F">
              <w:rPr>
                <w:noProof/>
                <w:sz w:val="20"/>
                <w:szCs w:val="20"/>
              </w:rPr>
              <w:t>4.53E-02</w:t>
            </w:r>
          </w:p>
        </w:tc>
        <w:tc>
          <w:tcPr>
            <w:tcW w:w="1012" w:type="dxa"/>
            <w:shd w:val="clear" w:color="auto" w:fill="auto"/>
            <w:noWrap/>
            <w:vAlign w:val="center"/>
          </w:tcPr>
          <w:p w14:paraId="2A93AA47" w14:textId="77777777" w:rsidR="00A3213E" w:rsidRPr="00C47F2F" w:rsidRDefault="00A3213E" w:rsidP="004B19B0">
            <w:pPr>
              <w:pStyle w:val="Table"/>
              <w:rPr>
                <w:noProof/>
                <w:sz w:val="20"/>
                <w:szCs w:val="20"/>
              </w:rPr>
            </w:pPr>
            <w:r w:rsidRPr="00C47F2F">
              <w:rPr>
                <w:noProof/>
                <w:sz w:val="20"/>
                <w:szCs w:val="20"/>
              </w:rPr>
              <w:t>4.53E-02</w:t>
            </w:r>
          </w:p>
        </w:tc>
        <w:tc>
          <w:tcPr>
            <w:tcW w:w="1012" w:type="dxa"/>
            <w:shd w:val="clear" w:color="auto" w:fill="auto"/>
            <w:noWrap/>
            <w:vAlign w:val="center"/>
          </w:tcPr>
          <w:p w14:paraId="7DF83CDB" w14:textId="77777777" w:rsidR="00A3213E" w:rsidRPr="00C47F2F" w:rsidRDefault="00A3213E" w:rsidP="004B19B0">
            <w:pPr>
              <w:pStyle w:val="Table"/>
              <w:rPr>
                <w:noProof/>
                <w:sz w:val="20"/>
                <w:szCs w:val="20"/>
              </w:rPr>
            </w:pPr>
            <w:r w:rsidRPr="00C47F2F">
              <w:rPr>
                <w:noProof/>
                <w:sz w:val="20"/>
                <w:szCs w:val="20"/>
              </w:rPr>
              <w:t>6.79E-02</w:t>
            </w:r>
          </w:p>
        </w:tc>
      </w:tr>
      <w:tr w:rsidR="00A3213E" w:rsidRPr="00972C81" w14:paraId="39DEB630" w14:textId="77777777" w:rsidTr="004B19B0">
        <w:trPr>
          <w:trHeight w:val="340"/>
        </w:trPr>
        <w:tc>
          <w:tcPr>
            <w:tcW w:w="2956" w:type="dxa"/>
            <w:shd w:val="clear" w:color="auto" w:fill="auto"/>
            <w:noWrap/>
            <w:vAlign w:val="center"/>
          </w:tcPr>
          <w:p w14:paraId="3869CF31" w14:textId="2C02268F" w:rsidR="00A3213E" w:rsidRPr="00A3213E" w:rsidRDefault="00A3213E" w:rsidP="004B19B0">
            <w:pPr>
              <w:pStyle w:val="Table"/>
              <w:rPr>
                <w:noProof/>
                <w:sz w:val="20"/>
                <w:szCs w:val="22"/>
              </w:rPr>
            </w:pPr>
            <w:r w:rsidRPr="00A3213E">
              <w:rPr>
                <w:noProof/>
                <w:sz w:val="20"/>
                <w:szCs w:val="22"/>
              </w:rPr>
              <w:t>Blood to Kidneys 2</w:t>
            </w:r>
          </w:p>
        </w:tc>
        <w:tc>
          <w:tcPr>
            <w:tcW w:w="1011" w:type="dxa"/>
            <w:shd w:val="clear" w:color="auto" w:fill="auto"/>
            <w:noWrap/>
            <w:vAlign w:val="center"/>
          </w:tcPr>
          <w:p w14:paraId="4E3E5222" w14:textId="77777777" w:rsidR="00A3213E" w:rsidRPr="00C47F2F" w:rsidRDefault="00A3213E" w:rsidP="004B19B0">
            <w:pPr>
              <w:pStyle w:val="Table"/>
              <w:rPr>
                <w:noProof/>
                <w:sz w:val="20"/>
                <w:szCs w:val="20"/>
              </w:rPr>
            </w:pPr>
            <w:r w:rsidRPr="00C47F2F">
              <w:rPr>
                <w:noProof/>
                <w:sz w:val="20"/>
                <w:szCs w:val="20"/>
              </w:rPr>
              <w:t>1.29E-02</w:t>
            </w:r>
          </w:p>
        </w:tc>
        <w:tc>
          <w:tcPr>
            <w:tcW w:w="1012" w:type="dxa"/>
            <w:shd w:val="clear" w:color="auto" w:fill="auto"/>
            <w:noWrap/>
            <w:vAlign w:val="center"/>
          </w:tcPr>
          <w:p w14:paraId="47E1B931" w14:textId="77777777" w:rsidR="00A3213E" w:rsidRPr="00C47F2F" w:rsidRDefault="00A3213E" w:rsidP="004B19B0">
            <w:pPr>
              <w:pStyle w:val="Table"/>
              <w:rPr>
                <w:noProof/>
                <w:sz w:val="20"/>
                <w:szCs w:val="20"/>
              </w:rPr>
            </w:pPr>
            <w:r w:rsidRPr="00C47F2F">
              <w:rPr>
                <w:noProof/>
                <w:sz w:val="20"/>
                <w:szCs w:val="20"/>
              </w:rPr>
              <w:t>1.29E-02</w:t>
            </w:r>
          </w:p>
        </w:tc>
        <w:tc>
          <w:tcPr>
            <w:tcW w:w="1012" w:type="dxa"/>
            <w:shd w:val="clear" w:color="auto" w:fill="auto"/>
            <w:noWrap/>
            <w:vAlign w:val="center"/>
          </w:tcPr>
          <w:p w14:paraId="398A7AA5" w14:textId="77777777" w:rsidR="00A3213E" w:rsidRPr="00C47F2F" w:rsidRDefault="00A3213E" w:rsidP="004B19B0">
            <w:pPr>
              <w:pStyle w:val="Table"/>
              <w:rPr>
                <w:noProof/>
                <w:sz w:val="20"/>
                <w:szCs w:val="20"/>
              </w:rPr>
            </w:pPr>
            <w:r w:rsidRPr="00C47F2F">
              <w:rPr>
                <w:noProof/>
                <w:sz w:val="20"/>
                <w:szCs w:val="20"/>
              </w:rPr>
              <w:t>1.29E-02</w:t>
            </w:r>
          </w:p>
        </w:tc>
        <w:tc>
          <w:tcPr>
            <w:tcW w:w="1012" w:type="dxa"/>
            <w:shd w:val="clear" w:color="auto" w:fill="auto"/>
            <w:noWrap/>
            <w:vAlign w:val="center"/>
          </w:tcPr>
          <w:p w14:paraId="108FF0B9" w14:textId="77777777" w:rsidR="00A3213E" w:rsidRPr="00C47F2F" w:rsidRDefault="00A3213E" w:rsidP="004B19B0">
            <w:pPr>
              <w:pStyle w:val="Table"/>
              <w:rPr>
                <w:noProof/>
                <w:sz w:val="20"/>
                <w:szCs w:val="20"/>
              </w:rPr>
            </w:pPr>
            <w:r w:rsidRPr="00C47F2F">
              <w:rPr>
                <w:noProof/>
                <w:sz w:val="20"/>
                <w:szCs w:val="20"/>
              </w:rPr>
              <w:t>1.29E-02</w:t>
            </w:r>
          </w:p>
        </w:tc>
        <w:tc>
          <w:tcPr>
            <w:tcW w:w="1012" w:type="dxa"/>
            <w:shd w:val="clear" w:color="auto" w:fill="auto"/>
            <w:noWrap/>
            <w:vAlign w:val="center"/>
          </w:tcPr>
          <w:p w14:paraId="7D12A871" w14:textId="77777777" w:rsidR="00A3213E" w:rsidRPr="00C47F2F" w:rsidRDefault="00A3213E" w:rsidP="004B19B0">
            <w:pPr>
              <w:pStyle w:val="Table"/>
              <w:rPr>
                <w:noProof/>
                <w:sz w:val="20"/>
                <w:szCs w:val="20"/>
              </w:rPr>
            </w:pPr>
            <w:r w:rsidRPr="00C47F2F">
              <w:rPr>
                <w:noProof/>
                <w:sz w:val="20"/>
                <w:szCs w:val="20"/>
              </w:rPr>
              <w:t>1.29E-02</w:t>
            </w:r>
          </w:p>
        </w:tc>
        <w:tc>
          <w:tcPr>
            <w:tcW w:w="1012" w:type="dxa"/>
            <w:shd w:val="clear" w:color="auto" w:fill="auto"/>
            <w:noWrap/>
            <w:vAlign w:val="center"/>
          </w:tcPr>
          <w:p w14:paraId="4FD502F1" w14:textId="77777777" w:rsidR="00A3213E" w:rsidRPr="00C47F2F" w:rsidRDefault="00A3213E" w:rsidP="004B19B0">
            <w:pPr>
              <w:pStyle w:val="Table"/>
              <w:rPr>
                <w:noProof/>
                <w:sz w:val="20"/>
                <w:szCs w:val="20"/>
              </w:rPr>
            </w:pPr>
            <w:r w:rsidRPr="00C47F2F">
              <w:rPr>
                <w:noProof/>
                <w:sz w:val="20"/>
                <w:szCs w:val="20"/>
              </w:rPr>
              <w:t>1.94E-02</w:t>
            </w:r>
          </w:p>
        </w:tc>
      </w:tr>
      <w:tr w:rsidR="00A3213E" w:rsidRPr="00972C81" w14:paraId="17C22761" w14:textId="77777777" w:rsidTr="004B19B0">
        <w:trPr>
          <w:trHeight w:val="340"/>
        </w:trPr>
        <w:tc>
          <w:tcPr>
            <w:tcW w:w="2956" w:type="dxa"/>
            <w:shd w:val="clear" w:color="auto" w:fill="auto"/>
            <w:noWrap/>
            <w:vAlign w:val="center"/>
          </w:tcPr>
          <w:p w14:paraId="300012B9" w14:textId="07EA3176" w:rsidR="00A3213E" w:rsidRPr="00A3213E" w:rsidRDefault="00A3213E" w:rsidP="004B19B0">
            <w:pPr>
              <w:pStyle w:val="Table"/>
              <w:rPr>
                <w:noProof/>
                <w:sz w:val="20"/>
                <w:szCs w:val="22"/>
              </w:rPr>
            </w:pPr>
            <w:r w:rsidRPr="00A3213E">
              <w:rPr>
                <w:noProof/>
                <w:sz w:val="20"/>
                <w:szCs w:val="22"/>
              </w:rPr>
              <w:t>Blood to Right colon cont</w:t>
            </w:r>
          </w:p>
        </w:tc>
        <w:tc>
          <w:tcPr>
            <w:tcW w:w="1011" w:type="dxa"/>
            <w:shd w:val="clear" w:color="auto" w:fill="auto"/>
            <w:noWrap/>
            <w:vAlign w:val="center"/>
          </w:tcPr>
          <w:p w14:paraId="0DDB2165" w14:textId="77777777" w:rsidR="00A3213E" w:rsidRPr="00C47F2F" w:rsidRDefault="00A3213E" w:rsidP="004B19B0">
            <w:pPr>
              <w:pStyle w:val="Table"/>
              <w:rPr>
                <w:noProof/>
                <w:sz w:val="20"/>
                <w:szCs w:val="20"/>
              </w:rPr>
            </w:pPr>
            <w:r w:rsidRPr="00C47F2F">
              <w:rPr>
                <w:noProof/>
                <w:sz w:val="20"/>
                <w:szCs w:val="20"/>
              </w:rPr>
              <w:t>6.47E-03</w:t>
            </w:r>
          </w:p>
        </w:tc>
        <w:tc>
          <w:tcPr>
            <w:tcW w:w="1012" w:type="dxa"/>
            <w:shd w:val="clear" w:color="auto" w:fill="auto"/>
            <w:noWrap/>
            <w:vAlign w:val="center"/>
          </w:tcPr>
          <w:p w14:paraId="2A9CDF88" w14:textId="77777777" w:rsidR="00A3213E" w:rsidRPr="00C47F2F" w:rsidRDefault="00A3213E" w:rsidP="004B19B0">
            <w:pPr>
              <w:pStyle w:val="Table"/>
              <w:rPr>
                <w:noProof/>
                <w:sz w:val="20"/>
                <w:szCs w:val="20"/>
              </w:rPr>
            </w:pPr>
            <w:r w:rsidRPr="00C47F2F">
              <w:rPr>
                <w:noProof/>
                <w:sz w:val="20"/>
                <w:szCs w:val="20"/>
              </w:rPr>
              <w:t>6.47E-03</w:t>
            </w:r>
          </w:p>
        </w:tc>
        <w:tc>
          <w:tcPr>
            <w:tcW w:w="1012" w:type="dxa"/>
            <w:shd w:val="clear" w:color="auto" w:fill="auto"/>
            <w:noWrap/>
            <w:vAlign w:val="center"/>
          </w:tcPr>
          <w:p w14:paraId="5F3834F4" w14:textId="77777777" w:rsidR="00A3213E" w:rsidRPr="00C47F2F" w:rsidRDefault="00A3213E" w:rsidP="004B19B0">
            <w:pPr>
              <w:pStyle w:val="Table"/>
              <w:rPr>
                <w:noProof/>
                <w:sz w:val="20"/>
                <w:szCs w:val="20"/>
              </w:rPr>
            </w:pPr>
            <w:r w:rsidRPr="00C47F2F">
              <w:rPr>
                <w:noProof/>
                <w:sz w:val="20"/>
                <w:szCs w:val="20"/>
              </w:rPr>
              <w:t>6.47E-03</w:t>
            </w:r>
          </w:p>
        </w:tc>
        <w:tc>
          <w:tcPr>
            <w:tcW w:w="1012" w:type="dxa"/>
            <w:shd w:val="clear" w:color="auto" w:fill="auto"/>
            <w:noWrap/>
            <w:vAlign w:val="center"/>
          </w:tcPr>
          <w:p w14:paraId="0A545899" w14:textId="77777777" w:rsidR="00A3213E" w:rsidRPr="00C47F2F" w:rsidRDefault="00A3213E" w:rsidP="004B19B0">
            <w:pPr>
              <w:pStyle w:val="Table"/>
              <w:rPr>
                <w:noProof/>
                <w:sz w:val="20"/>
                <w:szCs w:val="20"/>
              </w:rPr>
            </w:pPr>
            <w:r w:rsidRPr="00C47F2F">
              <w:rPr>
                <w:noProof/>
                <w:sz w:val="20"/>
                <w:szCs w:val="20"/>
              </w:rPr>
              <w:t>6.47E-03</w:t>
            </w:r>
          </w:p>
        </w:tc>
        <w:tc>
          <w:tcPr>
            <w:tcW w:w="1012" w:type="dxa"/>
            <w:shd w:val="clear" w:color="auto" w:fill="auto"/>
            <w:noWrap/>
            <w:vAlign w:val="center"/>
          </w:tcPr>
          <w:p w14:paraId="60D7A4E5" w14:textId="77777777" w:rsidR="00A3213E" w:rsidRPr="00C47F2F" w:rsidRDefault="00A3213E" w:rsidP="004B19B0">
            <w:pPr>
              <w:pStyle w:val="Table"/>
              <w:rPr>
                <w:noProof/>
                <w:sz w:val="20"/>
                <w:szCs w:val="20"/>
              </w:rPr>
            </w:pPr>
            <w:r w:rsidRPr="00C47F2F">
              <w:rPr>
                <w:noProof/>
                <w:sz w:val="20"/>
                <w:szCs w:val="20"/>
              </w:rPr>
              <w:t>6.47E-03</w:t>
            </w:r>
          </w:p>
        </w:tc>
        <w:tc>
          <w:tcPr>
            <w:tcW w:w="1012" w:type="dxa"/>
            <w:shd w:val="clear" w:color="auto" w:fill="auto"/>
            <w:noWrap/>
            <w:vAlign w:val="center"/>
          </w:tcPr>
          <w:p w14:paraId="4BDDD1B0" w14:textId="77777777" w:rsidR="00A3213E" w:rsidRPr="00C47F2F" w:rsidRDefault="00A3213E" w:rsidP="004B19B0">
            <w:pPr>
              <w:pStyle w:val="Table"/>
              <w:rPr>
                <w:noProof/>
                <w:sz w:val="20"/>
                <w:szCs w:val="20"/>
              </w:rPr>
            </w:pPr>
            <w:r w:rsidRPr="00C47F2F">
              <w:rPr>
                <w:noProof/>
                <w:sz w:val="20"/>
                <w:szCs w:val="20"/>
              </w:rPr>
              <w:t>9.70E-03</w:t>
            </w:r>
          </w:p>
        </w:tc>
      </w:tr>
      <w:tr w:rsidR="00A3213E" w:rsidRPr="00972C81" w14:paraId="06F33DF7" w14:textId="77777777" w:rsidTr="004B19B0">
        <w:trPr>
          <w:trHeight w:val="340"/>
        </w:trPr>
        <w:tc>
          <w:tcPr>
            <w:tcW w:w="2956" w:type="dxa"/>
            <w:shd w:val="clear" w:color="auto" w:fill="auto"/>
            <w:noWrap/>
            <w:vAlign w:val="center"/>
          </w:tcPr>
          <w:p w14:paraId="0E6D70EF" w14:textId="259D1F0C" w:rsidR="00A3213E" w:rsidRPr="00A3213E" w:rsidRDefault="00A3213E" w:rsidP="004B19B0">
            <w:pPr>
              <w:pStyle w:val="Table"/>
              <w:rPr>
                <w:noProof/>
                <w:sz w:val="20"/>
                <w:szCs w:val="22"/>
              </w:rPr>
            </w:pPr>
            <w:r w:rsidRPr="00A3213E">
              <w:rPr>
                <w:noProof/>
                <w:sz w:val="20"/>
                <w:szCs w:val="22"/>
              </w:rPr>
              <w:t>Blood to Testes</w:t>
            </w:r>
          </w:p>
        </w:tc>
        <w:tc>
          <w:tcPr>
            <w:tcW w:w="1011" w:type="dxa"/>
            <w:shd w:val="clear" w:color="auto" w:fill="auto"/>
            <w:noWrap/>
            <w:vAlign w:val="center"/>
          </w:tcPr>
          <w:p w14:paraId="1792393F" w14:textId="77777777" w:rsidR="00A3213E" w:rsidRPr="00C47F2F" w:rsidRDefault="00A3213E" w:rsidP="004B19B0">
            <w:pPr>
              <w:pStyle w:val="Table"/>
              <w:rPr>
                <w:noProof/>
                <w:sz w:val="20"/>
                <w:szCs w:val="20"/>
              </w:rPr>
            </w:pPr>
            <w:r w:rsidRPr="00C47F2F">
              <w:rPr>
                <w:noProof/>
                <w:sz w:val="20"/>
                <w:szCs w:val="20"/>
              </w:rPr>
              <w:t>3.90E-05</w:t>
            </w:r>
          </w:p>
        </w:tc>
        <w:tc>
          <w:tcPr>
            <w:tcW w:w="1012" w:type="dxa"/>
            <w:shd w:val="clear" w:color="auto" w:fill="auto"/>
            <w:noWrap/>
            <w:vAlign w:val="center"/>
          </w:tcPr>
          <w:p w14:paraId="5FAAF71B" w14:textId="77777777" w:rsidR="00A3213E" w:rsidRPr="00C47F2F" w:rsidRDefault="00A3213E" w:rsidP="004B19B0">
            <w:pPr>
              <w:pStyle w:val="Table"/>
              <w:rPr>
                <w:noProof/>
                <w:sz w:val="20"/>
                <w:szCs w:val="20"/>
              </w:rPr>
            </w:pPr>
            <w:r w:rsidRPr="00C47F2F">
              <w:rPr>
                <w:noProof/>
                <w:sz w:val="20"/>
                <w:szCs w:val="20"/>
              </w:rPr>
              <w:t>5.80E-05</w:t>
            </w:r>
          </w:p>
        </w:tc>
        <w:tc>
          <w:tcPr>
            <w:tcW w:w="1012" w:type="dxa"/>
            <w:shd w:val="clear" w:color="auto" w:fill="auto"/>
            <w:noWrap/>
            <w:vAlign w:val="center"/>
          </w:tcPr>
          <w:p w14:paraId="3CD6C31D" w14:textId="77777777" w:rsidR="00A3213E" w:rsidRPr="00C47F2F" w:rsidRDefault="00A3213E" w:rsidP="004B19B0">
            <w:pPr>
              <w:pStyle w:val="Table"/>
              <w:rPr>
                <w:noProof/>
                <w:sz w:val="20"/>
                <w:szCs w:val="20"/>
              </w:rPr>
            </w:pPr>
            <w:r w:rsidRPr="00C47F2F">
              <w:rPr>
                <w:noProof/>
                <w:sz w:val="20"/>
                <w:szCs w:val="20"/>
              </w:rPr>
              <w:t>6.60E-05</w:t>
            </w:r>
          </w:p>
        </w:tc>
        <w:tc>
          <w:tcPr>
            <w:tcW w:w="1012" w:type="dxa"/>
            <w:shd w:val="clear" w:color="auto" w:fill="auto"/>
            <w:noWrap/>
            <w:vAlign w:val="center"/>
          </w:tcPr>
          <w:p w14:paraId="1608167D" w14:textId="77777777" w:rsidR="00A3213E" w:rsidRPr="00C47F2F" w:rsidRDefault="00A3213E" w:rsidP="004B19B0">
            <w:pPr>
              <w:pStyle w:val="Table"/>
              <w:rPr>
                <w:noProof/>
                <w:sz w:val="20"/>
                <w:szCs w:val="20"/>
              </w:rPr>
            </w:pPr>
            <w:r w:rsidRPr="00C47F2F">
              <w:rPr>
                <w:noProof/>
                <w:sz w:val="20"/>
                <w:szCs w:val="20"/>
              </w:rPr>
              <w:t>7.70E-05</w:t>
            </w:r>
          </w:p>
        </w:tc>
        <w:tc>
          <w:tcPr>
            <w:tcW w:w="1012" w:type="dxa"/>
            <w:shd w:val="clear" w:color="auto" w:fill="auto"/>
            <w:noWrap/>
            <w:vAlign w:val="center"/>
          </w:tcPr>
          <w:p w14:paraId="4F5382EA" w14:textId="77777777" w:rsidR="00A3213E" w:rsidRPr="00C47F2F" w:rsidRDefault="00A3213E" w:rsidP="004B19B0">
            <w:pPr>
              <w:pStyle w:val="Table"/>
              <w:rPr>
                <w:noProof/>
                <w:sz w:val="20"/>
                <w:szCs w:val="20"/>
              </w:rPr>
            </w:pPr>
            <w:r w:rsidRPr="00C47F2F">
              <w:rPr>
                <w:noProof/>
                <w:sz w:val="20"/>
                <w:szCs w:val="20"/>
              </w:rPr>
              <w:t>6.20E-04</w:t>
            </w:r>
          </w:p>
        </w:tc>
        <w:tc>
          <w:tcPr>
            <w:tcW w:w="1012" w:type="dxa"/>
            <w:shd w:val="clear" w:color="auto" w:fill="auto"/>
            <w:noWrap/>
            <w:vAlign w:val="center"/>
          </w:tcPr>
          <w:p w14:paraId="51D22C1D" w14:textId="77777777" w:rsidR="00A3213E" w:rsidRPr="00C47F2F" w:rsidRDefault="00A3213E" w:rsidP="004B19B0">
            <w:pPr>
              <w:pStyle w:val="Table"/>
              <w:rPr>
                <w:noProof/>
                <w:sz w:val="20"/>
                <w:szCs w:val="20"/>
              </w:rPr>
            </w:pPr>
            <w:r w:rsidRPr="00C47F2F">
              <w:rPr>
                <w:noProof/>
                <w:sz w:val="20"/>
                <w:szCs w:val="20"/>
              </w:rPr>
              <w:t>6.80E-04</w:t>
            </w:r>
          </w:p>
        </w:tc>
      </w:tr>
      <w:tr w:rsidR="00A3213E" w:rsidRPr="00972C81" w14:paraId="0A691D0C" w14:textId="77777777" w:rsidTr="004B19B0">
        <w:trPr>
          <w:trHeight w:val="340"/>
        </w:trPr>
        <w:tc>
          <w:tcPr>
            <w:tcW w:w="2956" w:type="dxa"/>
            <w:shd w:val="clear" w:color="auto" w:fill="auto"/>
            <w:noWrap/>
            <w:vAlign w:val="center"/>
          </w:tcPr>
          <w:p w14:paraId="3C9CCFA6" w14:textId="3FD33A2E" w:rsidR="00A3213E" w:rsidRPr="00A3213E" w:rsidRDefault="00A3213E" w:rsidP="004B19B0">
            <w:pPr>
              <w:pStyle w:val="Table"/>
              <w:rPr>
                <w:noProof/>
                <w:sz w:val="20"/>
                <w:szCs w:val="22"/>
              </w:rPr>
            </w:pPr>
            <w:r w:rsidRPr="00A3213E">
              <w:rPr>
                <w:noProof/>
                <w:sz w:val="20"/>
                <w:szCs w:val="22"/>
              </w:rPr>
              <w:t>Blood to Ovaries</w:t>
            </w:r>
          </w:p>
        </w:tc>
        <w:tc>
          <w:tcPr>
            <w:tcW w:w="1011" w:type="dxa"/>
            <w:shd w:val="clear" w:color="auto" w:fill="auto"/>
            <w:noWrap/>
            <w:vAlign w:val="center"/>
          </w:tcPr>
          <w:p w14:paraId="66D6DF81" w14:textId="77777777" w:rsidR="00A3213E" w:rsidRPr="00C47F2F" w:rsidRDefault="00A3213E" w:rsidP="004B19B0">
            <w:pPr>
              <w:pStyle w:val="Table"/>
              <w:rPr>
                <w:noProof/>
                <w:sz w:val="20"/>
                <w:szCs w:val="20"/>
              </w:rPr>
            </w:pPr>
            <w:r w:rsidRPr="00C47F2F">
              <w:rPr>
                <w:noProof/>
                <w:sz w:val="20"/>
                <w:szCs w:val="20"/>
              </w:rPr>
              <w:t>2.30E-05</w:t>
            </w:r>
          </w:p>
        </w:tc>
        <w:tc>
          <w:tcPr>
            <w:tcW w:w="1012" w:type="dxa"/>
            <w:shd w:val="clear" w:color="auto" w:fill="auto"/>
            <w:noWrap/>
            <w:vAlign w:val="center"/>
          </w:tcPr>
          <w:p w14:paraId="5C494DA6" w14:textId="77777777" w:rsidR="00A3213E" w:rsidRPr="00C47F2F" w:rsidRDefault="00A3213E" w:rsidP="004B19B0">
            <w:pPr>
              <w:pStyle w:val="Table"/>
              <w:rPr>
                <w:noProof/>
                <w:sz w:val="20"/>
                <w:szCs w:val="20"/>
              </w:rPr>
            </w:pPr>
            <w:r w:rsidRPr="00C47F2F">
              <w:rPr>
                <w:noProof/>
                <w:sz w:val="20"/>
                <w:szCs w:val="20"/>
              </w:rPr>
              <w:t>3.00E-05</w:t>
            </w:r>
          </w:p>
        </w:tc>
        <w:tc>
          <w:tcPr>
            <w:tcW w:w="1012" w:type="dxa"/>
            <w:shd w:val="clear" w:color="auto" w:fill="auto"/>
            <w:noWrap/>
            <w:vAlign w:val="center"/>
          </w:tcPr>
          <w:p w14:paraId="0334C7D4" w14:textId="77777777" w:rsidR="00A3213E" w:rsidRPr="00C47F2F" w:rsidRDefault="00A3213E" w:rsidP="004B19B0">
            <w:pPr>
              <w:pStyle w:val="Table"/>
              <w:rPr>
                <w:noProof/>
                <w:sz w:val="20"/>
                <w:szCs w:val="20"/>
              </w:rPr>
            </w:pPr>
            <w:r w:rsidRPr="00C47F2F">
              <w:rPr>
                <w:noProof/>
                <w:sz w:val="20"/>
                <w:szCs w:val="20"/>
              </w:rPr>
              <w:t>7.60E-05</w:t>
            </w:r>
          </w:p>
        </w:tc>
        <w:tc>
          <w:tcPr>
            <w:tcW w:w="1012" w:type="dxa"/>
            <w:shd w:val="clear" w:color="auto" w:fill="auto"/>
            <w:noWrap/>
            <w:vAlign w:val="center"/>
          </w:tcPr>
          <w:p w14:paraId="1AE2C06C" w14:textId="77777777" w:rsidR="00A3213E" w:rsidRPr="00C47F2F" w:rsidRDefault="00A3213E" w:rsidP="004B19B0">
            <w:pPr>
              <w:pStyle w:val="Table"/>
              <w:rPr>
                <w:noProof/>
                <w:sz w:val="20"/>
                <w:szCs w:val="20"/>
              </w:rPr>
            </w:pPr>
            <w:r w:rsidRPr="00C47F2F">
              <w:rPr>
                <w:noProof/>
                <w:sz w:val="20"/>
                <w:szCs w:val="20"/>
              </w:rPr>
              <w:t>1.30E-04</w:t>
            </w:r>
          </w:p>
        </w:tc>
        <w:tc>
          <w:tcPr>
            <w:tcW w:w="1012" w:type="dxa"/>
            <w:shd w:val="clear" w:color="auto" w:fill="auto"/>
            <w:noWrap/>
            <w:vAlign w:val="center"/>
          </w:tcPr>
          <w:p w14:paraId="07FCAFC1" w14:textId="77777777" w:rsidR="00A3213E" w:rsidRPr="00C47F2F" w:rsidRDefault="00A3213E" w:rsidP="004B19B0">
            <w:pPr>
              <w:pStyle w:val="Table"/>
              <w:rPr>
                <w:noProof/>
                <w:sz w:val="20"/>
                <w:szCs w:val="20"/>
              </w:rPr>
            </w:pPr>
            <w:r w:rsidRPr="00C47F2F">
              <w:rPr>
                <w:noProof/>
                <w:sz w:val="20"/>
                <w:szCs w:val="20"/>
              </w:rPr>
              <w:t>2.30E-04</w:t>
            </w:r>
          </w:p>
        </w:tc>
        <w:tc>
          <w:tcPr>
            <w:tcW w:w="1012" w:type="dxa"/>
            <w:shd w:val="clear" w:color="auto" w:fill="auto"/>
            <w:noWrap/>
            <w:vAlign w:val="center"/>
          </w:tcPr>
          <w:p w14:paraId="03EF324B" w14:textId="77777777" w:rsidR="00A3213E" w:rsidRPr="00C47F2F" w:rsidRDefault="00A3213E" w:rsidP="004B19B0">
            <w:pPr>
              <w:pStyle w:val="Table"/>
              <w:rPr>
                <w:noProof/>
                <w:sz w:val="20"/>
                <w:szCs w:val="20"/>
              </w:rPr>
            </w:pPr>
            <w:r w:rsidRPr="00C47F2F">
              <w:rPr>
                <w:noProof/>
                <w:sz w:val="20"/>
                <w:szCs w:val="20"/>
              </w:rPr>
              <w:t>2.10E-04</w:t>
            </w:r>
          </w:p>
        </w:tc>
      </w:tr>
      <w:tr w:rsidR="00A3213E" w:rsidRPr="00972C81" w14:paraId="41C5ACC1" w14:textId="77777777" w:rsidTr="004B19B0">
        <w:trPr>
          <w:trHeight w:val="340"/>
        </w:trPr>
        <w:tc>
          <w:tcPr>
            <w:tcW w:w="2956" w:type="dxa"/>
            <w:shd w:val="clear" w:color="auto" w:fill="auto"/>
            <w:noWrap/>
            <w:vAlign w:val="center"/>
          </w:tcPr>
          <w:p w14:paraId="7D8C18DE" w14:textId="35EA0EDA" w:rsidR="00A3213E" w:rsidRPr="00A3213E" w:rsidRDefault="00A3213E" w:rsidP="004B19B0">
            <w:pPr>
              <w:pStyle w:val="Table"/>
              <w:rPr>
                <w:noProof/>
                <w:sz w:val="20"/>
                <w:szCs w:val="22"/>
              </w:rPr>
            </w:pPr>
            <w:r w:rsidRPr="00A3213E">
              <w:rPr>
                <w:noProof/>
                <w:sz w:val="20"/>
                <w:szCs w:val="22"/>
              </w:rPr>
              <w:t>Blood to  ST0</w:t>
            </w:r>
          </w:p>
        </w:tc>
        <w:tc>
          <w:tcPr>
            <w:tcW w:w="1011" w:type="dxa"/>
            <w:shd w:val="clear" w:color="auto" w:fill="auto"/>
            <w:noWrap/>
            <w:vAlign w:val="center"/>
          </w:tcPr>
          <w:p w14:paraId="02A2EFBE" w14:textId="77777777" w:rsidR="00A3213E" w:rsidRPr="00C47F2F" w:rsidRDefault="00A3213E" w:rsidP="004B19B0">
            <w:pPr>
              <w:pStyle w:val="Table"/>
              <w:rPr>
                <w:noProof/>
                <w:sz w:val="20"/>
                <w:szCs w:val="20"/>
              </w:rPr>
            </w:pPr>
            <w:r w:rsidRPr="00C47F2F">
              <w:rPr>
                <w:noProof/>
                <w:sz w:val="20"/>
                <w:szCs w:val="20"/>
              </w:rPr>
              <w:t>8.32E-01</w:t>
            </w:r>
          </w:p>
        </w:tc>
        <w:tc>
          <w:tcPr>
            <w:tcW w:w="1012" w:type="dxa"/>
            <w:shd w:val="clear" w:color="auto" w:fill="auto"/>
            <w:noWrap/>
            <w:vAlign w:val="center"/>
          </w:tcPr>
          <w:p w14:paraId="3FD3FF80" w14:textId="77777777" w:rsidR="00A3213E" w:rsidRPr="00C47F2F" w:rsidRDefault="00A3213E" w:rsidP="004B19B0">
            <w:pPr>
              <w:pStyle w:val="Table"/>
              <w:rPr>
                <w:noProof/>
                <w:sz w:val="20"/>
                <w:szCs w:val="20"/>
              </w:rPr>
            </w:pPr>
            <w:r w:rsidRPr="00C47F2F">
              <w:rPr>
                <w:noProof/>
                <w:sz w:val="20"/>
                <w:szCs w:val="20"/>
              </w:rPr>
              <w:t>8.32E-01</w:t>
            </w:r>
          </w:p>
        </w:tc>
        <w:tc>
          <w:tcPr>
            <w:tcW w:w="1012" w:type="dxa"/>
            <w:shd w:val="clear" w:color="auto" w:fill="auto"/>
            <w:noWrap/>
            <w:vAlign w:val="center"/>
          </w:tcPr>
          <w:p w14:paraId="42FDA32D" w14:textId="77777777" w:rsidR="00A3213E" w:rsidRPr="00C47F2F" w:rsidRDefault="00A3213E" w:rsidP="004B19B0">
            <w:pPr>
              <w:pStyle w:val="Table"/>
              <w:rPr>
                <w:noProof/>
                <w:sz w:val="20"/>
                <w:szCs w:val="20"/>
              </w:rPr>
            </w:pPr>
            <w:r w:rsidRPr="00C47F2F">
              <w:rPr>
                <w:noProof/>
                <w:sz w:val="20"/>
                <w:szCs w:val="20"/>
              </w:rPr>
              <w:t>8.32E-01</w:t>
            </w:r>
          </w:p>
        </w:tc>
        <w:tc>
          <w:tcPr>
            <w:tcW w:w="1012" w:type="dxa"/>
            <w:shd w:val="clear" w:color="auto" w:fill="auto"/>
            <w:noWrap/>
            <w:vAlign w:val="center"/>
          </w:tcPr>
          <w:p w14:paraId="1769BF61" w14:textId="77777777" w:rsidR="00A3213E" w:rsidRPr="00C47F2F" w:rsidRDefault="00A3213E" w:rsidP="004B19B0">
            <w:pPr>
              <w:pStyle w:val="Table"/>
              <w:rPr>
                <w:noProof/>
                <w:sz w:val="20"/>
                <w:szCs w:val="20"/>
              </w:rPr>
            </w:pPr>
            <w:r w:rsidRPr="00C47F2F">
              <w:rPr>
                <w:noProof/>
                <w:sz w:val="20"/>
                <w:szCs w:val="20"/>
              </w:rPr>
              <w:t>8.32E-01</w:t>
            </w:r>
          </w:p>
        </w:tc>
        <w:tc>
          <w:tcPr>
            <w:tcW w:w="1012" w:type="dxa"/>
            <w:shd w:val="clear" w:color="auto" w:fill="auto"/>
            <w:noWrap/>
            <w:vAlign w:val="center"/>
          </w:tcPr>
          <w:p w14:paraId="4EDFB166" w14:textId="77777777" w:rsidR="00A3213E" w:rsidRPr="00C47F2F" w:rsidRDefault="00A3213E" w:rsidP="004B19B0">
            <w:pPr>
              <w:pStyle w:val="Table"/>
              <w:rPr>
                <w:noProof/>
                <w:sz w:val="20"/>
                <w:szCs w:val="20"/>
              </w:rPr>
            </w:pPr>
            <w:r w:rsidRPr="00C47F2F">
              <w:rPr>
                <w:noProof/>
                <w:sz w:val="20"/>
                <w:szCs w:val="20"/>
              </w:rPr>
              <w:t>8.32E-01</w:t>
            </w:r>
          </w:p>
        </w:tc>
        <w:tc>
          <w:tcPr>
            <w:tcW w:w="1012" w:type="dxa"/>
            <w:shd w:val="clear" w:color="auto" w:fill="auto"/>
            <w:noWrap/>
            <w:vAlign w:val="center"/>
          </w:tcPr>
          <w:p w14:paraId="76A562A1" w14:textId="77777777" w:rsidR="00A3213E" w:rsidRPr="00C47F2F" w:rsidRDefault="00A3213E" w:rsidP="004B19B0">
            <w:pPr>
              <w:pStyle w:val="Table"/>
              <w:rPr>
                <w:noProof/>
                <w:sz w:val="20"/>
                <w:szCs w:val="20"/>
              </w:rPr>
            </w:pPr>
            <w:r w:rsidRPr="00C47F2F">
              <w:rPr>
                <w:noProof/>
                <w:sz w:val="20"/>
                <w:szCs w:val="20"/>
              </w:rPr>
              <w:t>8.32E-01</w:t>
            </w:r>
          </w:p>
        </w:tc>
      </w:tr>
      <w:tr w:rsidR="00A3213E" w:rsidRPr="00972C81" w14:paraId="0F043C45" w14:textId="77777777" w:rsidTr="004B19B0">
        <w:trPr>
          <w:trHeight w:val="340"/>
        </w:trPr>
        <w:tc>
          <w:tcPr>
            <w:tcW w:w="2956" w:type="dxa"/>
            <w:shd w:val="clear" w:color="auto" w:fill="auto"/>
            <w:noWrap/>
            <w:vAlign w:val="center"/>
          </w:tcPr>
          <w:p w14:paraId="5781421A" w14:textId="4BA205C8" w:rsidR="00A3213E" w:rsidRPr="00A3213E" w:rsidRDefault="00A3213E" w:rsidP="004B19B0">
            <w:pPr>
              <w:pStyle w:val="Table"/>
              <w:rPr>
                <w:noProof/>
                <w:sz w:val="20"/>
                <w:szCs w:val="22"/>
              </w:rPr>
            </w:pPr>
            <w:r w:rsidRPr="00A3213E">
              <w:rPr>
                <w:noProof/>
                <w:sz w:val="20"/>
                <w:szCs w:val="22"/>
              </w:rPr>
              <w:t>Blood to  ST1</w:t>
            </w:r>
          </w:p>
        </w:tc>
        <w:tc>
          <w:tcPr>
            <w:tcW w:w="1011" w:type="dxa"/>
            <w:shd w:val="clear" w:color="auto" w:fill="auto"/>
            <w:noWrap/>
            <w:vAlign w:val="center"/>
          </w:tcPr>
          <w:p w14:paraId="14D1BF0F" w14:textId="77777777" w:rsidR="00A3213E" w:rsidRPr="00C47F2F" w:rsidRDefault="00A3213E" w:rsidP="004B19B0">
            <w:pPr>
              <w:pStyle w:val="Table"/>
              <w:rPr>
                <w:noProof/>
                <w:sz w:val="20"/>
                <w:szCs w:val="20"/>
              </w:rPr>
            </w:pPr>
            <w:r w:rsidRPr="00C47F2F">
              <w:rPr>
                <w:noProof/>
                <w:sz w:val="20"/>
                <w:szCs w:val="20"/>
              </w:rPr>
              <w:t>1.62E-01</w:t>
            </w:r>
          </w:p>
        </w:tc>
        <w:tc>
          <w:tcPr>
            <w:tcW w:w="1012" w:type="dxa"/>
            <w:shd w:val="clear" w:color="auto" w:fill="auto"/>
            <w:noWrap/>
            <w:vAlign w:val="center"/>
          </w:tcPr>
          <w:p w14:paraId="4D9B4D3C" w14:textId="77777777" w:rsidR="00A3213E" w:rsidRPr="00C47F2F" w:rsidRDefault="00A3213E" w:rsidP="004B19B0">
            <w:pPr>
              <w:pStyle w:val="Table"/>
              <w:rPr>
                <w:noProof/>
                <w:sz w:val="20"/>
                <w:szCs w:val="20"/>
              </w:rPr>
            </w:pPr>
            <w:r w:rsidRPr="00C47F2F">
              <w:rPr>
                <w:noProof/>
                <w:sz w:val="20"/>
                <w:szCs w:val="20"/>
              </w:rPr>
              <w:t>1.62E-01</w:t>
            </w:r>
          </w:p>
        </w:tc>
        <w:tc>
          <w:tcPr>
            <w:tcW w:w="1012" w:type="dxa"/>
            <w:shd w:val="clear" w:color="auto" w:fill="auto"/>
            <w:noWrap/>
            <w:vAlign w:val="center"/>
          </w:tcPr>
          <w:p w14:paraId="59EEC5C5" w14:textId="77777777" w:rsidR="00A3213E" w:rsidRPr="00C47F2F" w:rsidRDefault="00A3213E" w:rsidP="004B19B0">
            <w:pPr>
              <w:pStyle w:val="Table"/>
              <w:rPr>
                <w:noProof/>
                <w:sz w:val="20"/>
                <w:szCs w:val="20"/>
              </w:rPr>
            </w:pPr>
            <w:r w:rsidRPr="00C47F2F">
              <w:rPr>
                <w:noProof/>
                <w:sz w:val="20"/>
                <w:szCs w:val="20"/>
              </w:rPr>
              <w:t>1.62E-01</w:t>
            </w:r>
          </w:p>
        </w:tc>
        <w:tc>
          <w:tcPr>
            <w:tcW w:w="1012" w:type="dxa"/>
            <w:shd w:val="clear" w:color="auto" w:fill="auto"/>
            <w:noWrap/>
            <w:vAlign w:val="center"/>
          </w:tcPr>
          <w:p w14:paraId="382601A4" w14:textId="77777777" w:rsidR="00A3213E" w:rsidRPr="00C47F2F" w:rsidRDefault="00A3213E" w:rsidP="004B19B0">
            <w:pPr>
              <w:pStyle w:val="Table"/>
              <w:rPr>
                <w:noProof/>
                <w:sz w:val="20"/>
                <w:szCs w:val="20"/>
              </w:rPr>
            </w:pPr>
            <w:r w:rsidRPr="00C47F2F">
              <w:rPr>
                <w:noProof/>
                <w:sz w:val="20"/>
                <w:szCs w:val="20"/>
              </w:rPr>
              <w:t>1.62E-01</w:t>
            </w:r>
          </w:p>
        </w:tc>
        <w:tc>
          <w:tcPr>
            <w:tcW w:w="1012" w:type="dxa"/>
            <w:shd w:val="clear" w:color="auto" w:fill="auto"/>
            <w:noWrap/>
            <w:vAlign w:val="center"/>
          </w:tcPr>
          <w:p w14:paraId="2519B9B6" w14:textId="77777777" w:rsidR="00A3213E" w:rsidRPr="00C47F2F" w:rsidRDefault="00A3213E" w:rsidP="004B19B0">
            <w:pPr>
              <w:pStyle w:val="Table"/>
              <w:rPr>
                <w:noProof/>
                <w:sz w:val="20"/>
                <w:szCs w:val="20"/>
              </w:rPr>
            </w:pPr>
            <w:r w:rsidRPr="00C47F2F">
              <w:rPr>
                <w:noProof/>
                <w:sz w:val="20"/>
                <w:szCs w:val="20"/>
              </w:rPr>
              <w:t>1.62E-01</w:t>
            </w:r>
          </w:p>
        </w:tc>
        <w:tc>
          <w:tcPr>
            <w:tcW w:w="1012" w:type="dxa"/>
            <w:shd w:val="clear" w:color="auto" w:fill="auto"/>
            <w:noWrap/>
            <w:vAlign w:val="center"/>
          </w:tcPr>
          <w:p w14:paraId="66F63961" w14:textId="77777777" w:rsidR="00A3213E" w:rsidRPr="00C47F2F" w:rsidRDefault="00A3213E" w:rsidP="004B19B0">
            <w:pPr>
              <w:pStyle w:val="Table"/>
              <w:rPr>
                <w:noProof/>
                <w:sz w:val="20"/>
                <w:szCs w:val="20"/>
              </w:rPr>
            </w:pPr>
            <w:r w:rsidRPr="00C47F2F">
              <w:rPr>
                <w:noProof/>
                <w:sz w:val="20"/>
                <w:szCs w:val="20"/>
              </w:rPr>
              <w:t>2.43E-01</w:t>
            </w:r>
          </w:p>
        </w:tc>
      </w:tr>
      <w:tr w:rsidR="00A3213E" w:rsidRPr="00972C81" w14:paraId="046EC340" w14:textId="77777777" w:rsidTr="004B19B0">
        <w:trPr>
          <w:trHeight w:val="340"/>
        </w:trPr>
        <w:tc>
          <w:tcPr>
            <w:tcW w:w="2956" w:type="dxa"/>
            <w:shd w:val="clear" w:color="auto" w:fill="auto"/>
            <w:noWrap/>
            <w:vAlign w:val="center"/>
          </w:tcPr>
          <w:p w14:paraId="3088EA79" w14:textId="1216F5E9" w:rsidR="00A3213E" w:rsidRPr="00A3213E" w:rsidRDefault="00A3213E" w:rsidP="004B19B0">
            <w:pPr>
              <w:pStyle w:val="Table"/>
              <w:rPr>
                <w:noProof/>
                <w:sz w:val="20"/>
                <w:szCs w:val="22"/>
              </w:rPr>
            </w:pPr>
            <w:r w:rsidRPr="00A3213E">
              <w:rPr>
                <w:noProof/>
                <w:sz w:val="20"/>
                <w:szCs w:val="22"/>
              </w:rPr>
              <w:t>Blood to ST2</w:t>
            </w:r>
          </w:p>
        </w:tc>
        <w:tc>
          <w:tcPr>
            <w:tcW w:w="1011" w:type="dxa"/>
            <w:shd w:val="clear" w:color="auto" w:fill="auto"/>
            <w:noWrap/>
            <w:vAlign w:val="center"/>
          </w:tcPr>
          <w:p w14:paraId="0F9801C5" w14:textId="77777777" w:rsidR="00A3213E" w:rsidRPr="00C47F2F" w:rsidRDefault="00A3213E" w:rsidP="004B19B0">
            <w:pPr>
              <w:pStyle w:val="Table"/>
              <w:rPr>
                <w:noProof/>
                <w:sz w:val="20"/>
                <w:szCs w:val="20"/>
              </w:rPr>
            </w:pPr>
            <w:r w:rsidRPr="00C47F2F">
              <w:rPr>
                <w:noProof/>
                <w:sz w:val="20"/>
                <w:szCs w:val="20"/>
              </w:rPr>
              <w:t>2.59E-02</w:t>
            </w:r>
          </w:p>
        </w:tc>
        <w:tc>
          <w:tcPr>
            <w:tcW w:w="1012" w:type="dxa"/>
            <w:shd w:val="clear" w:color="auto" w:fill="auto"/>
            <w:noWrap/>
            <w:vAlign w:val="center"/>
          </w:tcPr>
          <w:p w14:paraId="5588A5ED" w14:textId="77777777" w:rsidR="00A3213E" w:rsidRPr="00C47F2F" w:rsidRDefault="00A3213E" w:rsidP="004B19B0">
            <w:pPr>
              <w:pStyle w:val="Table"/>
              <w:rPr>
                <w:noProof/>
                <w:sz w:val="20"/>
                <w:szCs w:val="20"/>
              </w:rPr>
            </w:pPr>
            <w:r w:rsidRPr="00C47F2F">
              <w:rPr>
                <w:noProof/>
                <w:sz w:val="20"/>
                <w:szCs w:val="20"/>
              </w:rPr>
              <w:t>2.59E-02</w:t>
            </w:r>
          </w:p>
        </w:tc>
        <w:tc>
          <w:tcPr>
            <w:tcW w:w="1012" w:type="dxa"/>
            <w:shd w:val="clear" w:color="auto" w:fill="auto"/>
            <w:noWrap/>
            <w:vAlign w:val="center"/>
          </w:tcPr>
          <w:p w14:paraId="76525A3F" w14:textId="77777777" w:rsidR="00A3213E" w:rsidRPr="00C47F2F" w:rsidRDefault="00A3213E" w:rsidP="004B19B0">
            <w:pPr>
              <w:pStyle w:val="Table"/>
              <w:rPr>
                <w:noProof/>
                <w:sz w:val="20"/>
                <w:szCs w:val="20"/>
              </w:rPr>
            </w:pPr>
            <w:r w:rsidRPr="00C47F2F">
              <w:rPr>
                <w:noProof/>
                <w:sz w:val="20"/>
                <w:szCs w:val="20"/>
              </w:rPr>
              <w:t>2.59E-02</w:t>
            </w:r>
          </w:p>
        </w:tc>
        <w:tc>
          <w:tcPr>
            <w:tcW w:w="1012" w:type="dxa"/>
            <w:shd w:val="clear" w:color="auto" w:fill="auto"/>
            <w:noWrap/>
            <w:vAlign w:val="center"/>
          </w:tcPr>
          <w:p w14:paraId="505D2B55" w14:textId="77777777" w:rsidR="00A3213E" w:rsidRPr="00C47F2F" w:rsidRDefault="00A3213E" w:rsidP="004B19B0">
            <w:pPr>
              <w:pStyle w:val="Table"/>
              <w:rPr>
                <w:noProof/>
                <w:sz w:val="20"/>
                <w:szCs w:val="20"/>
              </w:rPr>
            </w:pPr>
            <w:r w:rsidRPr="00C47F2F">
              <w:rPr>
                <w:noProof/>
                <w:sz w:val="20"/>
                <w:szCs w:val="20"/>
              </w:rPr>
              <w:t>2.59E-02</w:t>
            </w:r>
          </w:p>
        </w:tc>
        <w:tc>
          <w:tcPr>
            <w:tcW w:w="1012" w:type="dxa"/>
            <w:shd w:val="clear" w:color="auto" w:fill="auto"/>
            <w:noWrap/>
            <w:vAlign w:val="center"/>
          </w:tcPr>
          <w:p w14:paraId="21542CE1" w14:textId="77777777" w:rsidR="00A3213E" w:rsidRPr="00C47F2F" w:rsidRDefault="00A3213E" w:rsidP="004B19B0">
            <w:pPr>
              <w:pStyle w:val="Table"/>
              <w:rPr>
                <w:noProof/>
                <w:sz w:val="20"/>
                <w:szCs w:val="20"/>
              </w:rPr>
            </w:pPr>
            <w:r w:rsidRPr="00C47F2F">
              <w:rPr>
                <w:noProof/>
                <w:sz w:val="20"/>
                <w:szCs w:val="20"/>
              </w:rPr>
              <w:t>2.59E-02</w:t>
            </w:r>
          </w:p>
        </w:tc>
        <w:tc>
          <w:tcPr>
            <w:tcW w:w="1012" w:type="dxa"/>
            <w:shd w:val="clear" w:color="auto" w:fill="auto"/>
            <w:noWrap/>
            <w:vAlign w:val="center"/>
          </w:tcPr>
          <w:p w14:paraId="354A74C7" w14:textId="77777777" w:rsidR="00A3213E" w:rsidRPr="00C47F2F" w:rsidRDefault="00A3213E" w:rsidP="004B19B0">
            <w:pPr>
              <w:pStyle w:val="Table"/>
              <w:rPr>
                <w:noProof/>
                <w:sz w:val="20"/>
                <w:szCs w:val="20"/>
              </w:rPr>
            </w:pPr>
            <w:r w:rsidRPr="00C47F2F">
              <w:rPr>
                <w:noProof/>
                <w:sz w:val="20"/>
                <w:szCs w:val="20"/>
              </w:rPr>
              <w:t>3.88E-02</w:t>
            </w:r>
          </w:p>
        </w:tc>
      </w:tr>
      <w:tr w:rsidR="00A3213E" w:rsidRPr="00972C81" w14:paraId="560C44C8" w14:textId="77777777" w:rsidTr="004B19B0">
        <w:trPr>
          <w:trHeight w:val="340"/>
        </w:trPr>
        <w:tc>
          <w:tcPr>
            <w:tcW w:w="2956" w:type="dxa"/>
            <w:shd w:val="clear" w:color="auto" w:fill="auto"/>
            <w:noWrap/>
            <w:vAlign w:val="center"/>
          </w:tcPr>
          <w:p w14:paraId="28451045" w14:textId="026DCF43" w:rsidR="00A3213E" w:rsidRPr="00A3213E" w:rsidRDefault="00A3213E" w:rsidP="004B19B0">
            <w:pPr>
              <w:pStyle w:val="Table"/>
              <w:rPr>
                <w:noProof/>
                <w:sz w:val="20"/>
                <w:szCs w:val="22"/>
              </w:rPr>
            </w:pPr>
            <w:r w:rsidRPr="00A3213E">
              <w:rPr>
                <w:noProof/>
                <w:sz w:val="20"/>
                <w:szCs w:val="22"/>
              </w:rPr>
              <w:t>Liver 1 to Blood</w:t>
            </w:r>
          </w:p>
        </w:tc>
        <w:tc>
          <w:tcPr>
            <w:tcW w:w="1011" w:type="dxa"/>
            <w:shd w:val="clear" w:color="auto" w:fill="auto"/>
            <w:noWrap/>
            <w:vAlign w:val="center"/>
          </w:tcPr>
          <w:p w14:paraId="7C8DEC5F" w14:textId="77777777" w:rsidR="00A3213E" w:rsidRPr="00C47F2F" w:rsidRDefault="00A3213E" w:rsidP="004B19B0">
            <w:pPr>
              <w:pStyle w:val="Table"/>
              <w:rPr>
                <w:noProof/>
                <w:sz w:val="20"/>
                <w:szCs w:val="20"/>
              </w:rPr>
            </w:pPr>
            <w:r w:rsidRPr="00C47F2F">
              <w:rPr>
                <w:noProof/>
                <w:sz w:val="20"/>
                <w:szCs w:val="20"/>
              </w:rPr>
              <w:t>4.75E-04</w:t>
            </w:r>
          </w:p>
        </w:tc>
        <w:tc>
          <w:tcPr>
            <w:tcW w:w="1012" w:type="dxa"/>
            <w:shd w:val="clear" w:color="auto" w:fill="auto"/>
            <w:noWrap/>
            <w:vAlign w:val="center"/>
          </w:tcPr>
          <w:p w14:paraId="6BB1F963" w14:textId="77777777" w:rsidR="00A3213E" w:rsidRPr="00C47F2F" w:rsidRDefault="00A3213E" w:rsidP="004B19B0">
            <w:pPr>
              <w:pStyle w:val="Table"/>
              <w:rPr>
                <w:noProof/>
                <w:sz w:val="20"/>
                <w:szCs w:val="20"/>
              </w:rPr>
            </w:pPr>
            <w:r w:rsidRPr="00C47F2F">
              <w:rPr>
                <w:noProof/>
                <w:sz w:val="20"/>
                <w:szCs w:val="20"/>
              </w:rPr>
              <w:t>4.75E-04</w:t>
            </w:r>
          </w:p>
        </w:tc>
        <w:tc>
          <w:tcPr>
            <w:tcW w:w="1012" w:type="dxa"/>
            <w:shd w:val="clear" w:color="auto" w:fill="auto"/>
            <w:noWrap/>
            <w:vAlign w:val="center"/>
          </w:tcPr>
          <w:p w14:paraId="25B934FE" w14:textId="77777777" w:rsidR="00A3213E" w:rsidRPr="00C47F2F" w:rsidRDefault="00A3213E" w:rsidP="004B19B0">
            <w:pPr>
              <w:pStyle w:val="Table"/>
              <w:rPr>
                <w:noProof/>
                <w:sz w:val="20"/>
                <w:szCs w:val="20"/>
              </w:rPr>
            </w:pPr>
            <w:r w:rsidRPr="00C47F2F">
              <w:rPr>
                <w:noProof/>
                <w:sz w:val="20"/>
                <w:szCs w:val="20"/>
              </w:rPr>
              <w:t>4.75E-04</w:t>
            </w:r>
          </w:p>
        </w:tc>
        <w:tc>
          <w:tcPr>
            <w:tcW w:w="1012" w:type="dxa"/>
            <w:shd w:val="clear" w:color="auto" w:fill="auto"/>
            <w:noWrap/>
            <w:vAlign w:val="center"/>
          </w:tcPr>
          <w:p w14:paraId="4D32A8A6" w14:textId="77777777" w:rsidR="00A3213E" w:rsidRPr="00C47F2F" w:rsidRDefault="00A3213E" w:rsidP="004B19B0">
            <w:pPr>
              <w:pStyle w:val="Table"/>
              <w:rPr>
                <w:noProof/>
                <w:sz w:val="20"/>
                <w:szCs w:val="20"/>
              </w:rPr>
            </w:pPr>
            <w:r w:rsidRPr="00C47F2F">
              <w:rPr>
                <w:noProof/>
                <w:sz w:val="20"/>
                <w:szCs w:val="20"/>
              </w:rPr>
              <w:t>4.75E-04</w:t>
            </w:r>
          </w:p>
        </w:tc>
        <w:tc>
          <w:tcPr>
            <w:tcW w:w="1012" w:type="dxa"/>
            <w:shd w:val="clear" w:color="auto" w:fill="auto"/>
            <w:noWrap/>
            <w:vAlign w:val="center"/>
          </w:tcPr>
          <w:p w14:paraId="2B7CC0DF" w14:textId="77777777" w:rsidR="00A3213E" w:rsidRPr="00C47F2F" w:rsidRDefault="00A3213E" w:rsidP="004B19B0">
            <w:pPr>
              <w:pStyle w:val="Table"/>
              <w:rPr>
                <w:noProof/>
                <w:sz w:val="20"/>
                <w:szCs w:val="20"/>
              </w:rPr>
            </w:pPr>
            <w:r w:rsidRPr="00C47F2F">
              <w:rPr>
                <w:noProof/>
                <w:sz w:val="20"/>
                <w:szCs w:val="20"/>
              </w:rPr>
              <w:t>4.75E-04</w:t>
            </w:r>
          </w:p>
        </w:tc>
        <w:tc>
          <w:tcPr>
            <w:tcW w:w="1012" w:type="dxa"/>
            <w:shd w:val="clear" w:color="auto" w:fill="auto"/>
            <w:noWrap/>
            <w:vAlign w:val="center"/>
          </w:tcPr>
          <w:p w14:paraId="6BFFF94F" w14:textId="77777777" w:rsidR="00A3213E" w:rsidRPr="00C47F2F" w:rsidRDefault="00A3213E" w:rsidP="004B19B0">
            <w:pPr>
              <w:pStyle w:val="Table"/>
              <w:rPr>
                <w:noProof/>
                <w:sz w:val="20"/>
                <w:szCs w:val="20"/>
              </w:rPr>
            </w:pPr>
            <w:r w:rsidRPr="00C47F2F">
              <w:rPr>
                <w:noProof/>
                <w:sz w:val="20"/>
                <w:szCs w:val="20"/>
              </w:rPr>
              <w:t>4.75E-04</w:t>
            </w:r>
          </w:p>
        </w:tc>
      </w:tr>
      <w:tr w:rsidR="00A3213E" w:rsidRPr="00972C81" w14:paraId="2BF06BAC" w14:textId="77777777" w:rsidTr="004B19B0">
        <w:trPr>
          <w:trHeight w:val="340"/>
        </w:trPr>
        <w:tc>
          <w:tcPr>
            <w:tcW w:w="2956" w:type="dxa"/>
            <w:shd w:val="clear" w:color="auto" w:fill="auto"/>
            <w:noWrap/>
            <w:vAlign w:val="center"/>
          </w:tcPr>
          <w:p w14:paraId="2FB79AE1" w14:textId="3AE0F21F" w:rsidR="00A3213E" w:rsidRPr="00A3213E" w:rsidRDefault="00A3213E" w:rsidP="004B19B0">
            <w:pPr>
              <w:pStyle w:val="Table"/>
              <w:rPr>
                <w:noProof/>
                <w:sz w:val="20"/>
                <w:szCs w:val="22"/>
              </w:rPr>
            </w:pPr>
            <w:r w:rsidRPr="00A3213E">
              <w:rPr>
                <w:noProof/>
                <w:sz w:val="20"/>
                <w:szCs w:val="22"/>
              </w:rPr>
              <w:t>Liver 1 to Liver 2</w:t>
            </w:r>
          </w:p>
        </w:tc>
        <w:tc>
          <w:tcPr>
            <w:tcW w:w="1011" w:type="dxa"/>
            <w:shd w:val="clear" w:color="auto" w:fill="auto"/>
            <w:noWrap/>
            <w:vAlign w:val="center"/>
          </w:tcPr>
          <w:p w14:paraId="31BD64A2" w14:textId="77777777" w:rsidR="00A3213E" w:rsidRPr="00C47F2F" w:rsidRDefault="00A3213E" w:rsidP="004B19B0">
            <w:pPr>
              <w:pStyle w:val="Table"/>
              <w:rPr>
                <w:noProof/>
                <w:sz w:val="20"/>
                <w:szCs w:val="20"/>
              </w:rPr>
            </w:pPr>
            <w:r w:rsidRPr="00C47F2F">
              <w:rPr>
                <w:noProof/>
                <w:sz w:val="20"/>
                <w:szCs w:val="20"/>
              </w:rPr>
              <w:t>9.50E-04</w:t>
            </w:r>
          </w:p>
        </w:tc>
        <w:tc>
          <w:tcPr>
            <w:tcW w:w="1012" w:type="dxa"/>
            <w:shd w:val="clear" w:color="auto" w:fill="auto"/>
            <w:noWrap/>
            <w:vAlign w:val="center"/>
          </w:tcPr>
          <w:p w14:paraId="49CA6BD9" w14:textId="77777777" w:rsidR="00A3213E" w:rsidRPr="00C47F2F" w:rsidRDefault="00A3213E" w:rsidP="004B19B0">
            <w:pPr>
              <w:pStyle w:val="Table"/>
              <w:rPr>
                <w:noProof/>
                <w:sz w:val="20"/>
                <w:szCs w:val="20"/>
              </w:rPr>
            </w:pPr>
            <w:r w:rsidRPr="00C47F2F">
              <w:rPr>
                <w:noProof/>
                <w:sz w:val="20"/>
                <w:szCs w:val="20"/>
              </w:rPr>
              <w:t>9.50E-04</w:t>
            </w:r>
          </w:p>
        </w:tc>
        <w:tc>
          <w:tcPr>
            <w:tcW w:w="1012" w:type="dxa"/>
            <w:shd w:val="clear" w:color="auto" w:fill="auto"/>
            <w:noWrap/>
            <w:vAlign w:val="center"/>
          </w:tcPr>
          <w:p w14:paraId="75984B3B" w14:textId="77777777" w:rsidR="00A3213E" w:rsidRPr="00C47F2F" w:rsidRDefault="00A3213E" w:rsidP="004B19B0">
            <w:pPr>
              <w:pStyle w:val="Table"/>
              <w:rPr>
                <w:noProof/>
                <w:sz w:val="20"/>
                <w:szCs w:val="20"/>
              </w:rPr>
            </w:pPr>
            <w:r w:rsidRPr="00C47F2F">
              <w:rPr>
                <w:noProof/>
                <w:sz w:val="20"/>
                <w:szCs w:val="20"/>
              </w:rPr>
              <w:t>9.50E-04</w:t>
            </w:r>
          </w:p>
        </w:tc>
        <w:tc>
          <w:tcPr>
            <w:tcW w:w="1012" w:type="dxa"/>
            <w:shd w:val="clear" w:color="auto" w:fill="auto"/>
            <w:noWrap/>
            <w:vAlign w:val="center"/>
          </w:tcPr>
          <w:p w14:paraId="6E8B09BF" w14:textId="77777777" w:rsidR="00A3213E" w:rsidRPr="00C47F2F" w:rsidRDefault="00A3213E" w:rsidP="004B19B0">
            <w:pPr>
              <w:pStyle w:val="Table"/>
              <w:rPr>
                <w:noProof/>
                <w:sz w:val="20"/>
                <w:szCs w:val="20"/>
              </w:rPr>
            </w:pPr>
            <w:r w:rsidRPr="00C47F2F">
              <w:rPr>
                <w:noProof/>
                <w:sz w:val="20"/>
                <w:szCs w:val="20"/>
              </w:rPr>
              <w:t>9.50E-04</w:t>
            </w:r>
          </w:p>
        </w:tc>
        <w:tc>
          <w:tcPr>
            <w:tcW w:w="1012" w:type="dxa"/>
            <w:shd w:val="clear" w:color="auto" w:fill="auto"/>
            <w:noWrap/>
            <w:vAlign w:val="center"/>
          </w:tcPr>
          <w:p w14:paraId="6701D334" w14:textId="77777777" w:rsidR="00A3213E" w:rsidRPr="00C47F2F" w:rsidRDefault="00A3213E" w:rsidP="004B19B0">
            <w:pPr>
              <w:pStyle w:val="Table"/>
              <w:rPr>
                <w:noProof/>
                <w:sz w:val="20"/>
                <w:szCs w:val="20"/>
              </w:rPr>
            </w:pPr>
            <w:r w:rsidRPr="00C47F2F">
              <w:rPr>
                <w:noProof/>
                <w:sz w:val="20"/>
                <w:szCs w:val="20"/>
              </w:rPr>
              <w:t>9.50E-04</w:t>
            </w:r>
          </w:p>
        </w:tc>
        <w:tc>
          <w:tcPr>
            <w:tcW w:w="1012" w:type="dxa"/>
            <w:shd w:val="clear" w:color="auto" w:fill="auto"/>
            <w:noWrap/>
            <w:vAlign w:val="center"/>
          </w:tcPr>
          <w:p w14:paraId="4C10649B" w14:textId="77777777" w:rsidR="00A3213E" w:rsidRPr="00C47F2F" w:rsidRDefault="00A3213E" w:rsidP="004B19B0">
            <w:pPr>
              <w:pStyle w:val="Table"/>
              <w:rPr>
                <w:noProof/>
                <w:sz w:val="20"/>
                <w:szCs w:val="20"/>
              </w:rPr>
            </w:pPr>
            <w:r w:rsidRPr="00C47F2F">
              <w:rPr>
                <w:noProof/>
                <w:sz w:val="20"/>
                <w:szCs w:val="20"/>
              </w:rPr>
              <w:t>9.50E-04</w:t>
            </w:r>
          </w:p>
        </w:tc>
      </w:tr>
      <w:tr w:rsidR="00A3213E" w:rsidRPr="00972C81" w14:paraId="306084D2" w14:textId="77777777" w:rsidTr="004B19B0">
        <w:trPr>
          <w:trHeight w:val="340"/>
        </w:trPr>
        <w:tc>
          <w:tcPr>
            <w:tcW w:w="2956" w:type="dxa"/>
            <w:shd w:val="clear" w:color="auto" w:fill="auto"/>
            <w:noWrap/>
            <w:vAlign w:val="center"/>
          </w:tcPr>
          <w:p w14:paraId="415F6566" w14:textId="6434C020" w:rsidR="00A3213E" w:rsidRPr="00A3213E" w:rsidRDefault="00A3213E" w:rsidP="004B19B0">
            <w:pPr>
              <w:pStyle w:val="Table"/>
              <w:rPr>
                <w:noProof/>
                <w:sz w:val="20"/>
                <w:szCs w:val="22"/>
              </w:rPr>
            </w:pPr>
            <w:r w:rsidRPr="00A3213E">
              <w:rPr>
                <w:noProof/>
                <w:sz w:val="20"/>
                <w:szCs w:val="22"/>
              </w:rPr>
              <w:t>Liver 1 to SI cont</w:t>
            </w:r>
          </w:p>
        </w:tc>
        <w:tc>
          <w:tcPr>
            <w:tcW w:w="1011" w:type="dxa"/>
            <w:shd w:val="clear" w:color="auto" w:fill="auto"/>
            <w:noWrap/>
            <w:vAlign w:val="center"/>
          </w:tcPr>
          <w:p w14:paraId="03C1D193" w14:textId="77777777" w:rsidR="00A3213E" w:rsidRPr="00C47F2F" w:rsidRDefault="00A3213E" w:rsidP="004B19B0">
            <w:pPr>
              <w:pStyle w:val="Table"/>
              <w:rPr>
                <w:noProof/>
                <w:sz w:val="20"/>
                <w:szCs w:val="20"/>
              </w:rPr>
            </w:pPr>
            <w:r w:rsidRPr="00C47F2F">
              <w:rPr>
                <w:noProof/>
                <w:sz w:val="20"/>
                <w:szCs w:val="20"/>
              </w:rPr>
              <w:t>4.75E-04</w:t>
            </w:r>
          </w:p>
        </w:tc>
        <w:tc>
          <w:tcPr>
            <w:tcW w:w="1012" w:type="dxa"/>
            <w:shd w:val="clear" w:color="auto" w:fill="auto"/>
            <w:noWrap/>
            <w:vAlign w:val="center"/>
          </w:tcPr>
          <w:p w14:paraId="3D91ADDF" w14:textId="77777777" w:rsidR="00A3213E" w:rsidRPr="00C47F2F" w:rsidRDefault="00A3213E" w:rsidP="004B19B0">
            <w:pPr>
              <w:pStyle w:val="Table"/>
              <w:rPr>
                <w:noProof/>
                <w:sz w:val="20"/>
                <w:szCs w:val="20"/>
              </w:rPr>
            </w:pPr>
            <w:r w:rsidRPr="00C47F2F">
              <w:rPr>
                <w:noProof/>
                <w:sz w:val="20"/>
                <w:szCs w:val="20"/>
              </w:rPr>
              <w:t>4.75E-04</w:t>
            </w:r>
          </w:p>
        </w:tc>
        <w:tc>
          <w:tcPr>
            <w:tcW w:w="1012" w:type="dxa"/>
            <w:shd w:val="clear" w:color="auto" w:fill="auto"/>
            <w:noWrap/>
            <w:vAlign w:val="center"/>
          </w:tcPr>
          <w:p w14:paraId="18C82A11" w14:textId="77777777" w:rsidR="00A3213E" w:rsidRPr="00C47F2F" w:rsidRDefault="00A3213E" w:rsidP="004B19B0">
            <w:pPr>
              <w:pStyle w:val="Table"/>
              <w:rPr>
                <w:noProof/>
                <w:sz w:val="20"/>
                <w:szCs w:val="20"/>
              </w:rPr>
            </w:pPr>
            <w:r w:rsidRPr="00C47F2F">
              <w:rPr>
                <w:noProof/>
                <w:sz w:val="20"/>
                <w:szCs w:val="20"/>
              </w:rPr>
              <w:t>4.75E-04</w:t>
            </w:r>
          </w:p>
        </w:tc>
        <w:tc>
          <w:tcPr>
            <w:tcW w:w="1012" w:type="dxa"/>
            <w:shd w:val="clear" w:color="auto" w:fill="auto"/>
            <w:noWrap/>
            <w:vAlign w:val="center"/>
          </w:tcPr>
          <w:p w14:paraId="520290C9" w14:textId="77777777" w:rsidR="00A3213E" w:rsidRPr="00C47F2F" w:rsidRDefault="00A3213E" w:rsidP="004B19B0">
            <w:pPr>
              <w:pStyle w:val="Table"/>
              <w:rPr>
                <w:noProof/>
                <w:sz w:val="20"/>
                <w:szCs w:val="20"/>
              </w:rPr>
            </w:pPr>
            <w:r w:rsidRPr="00C47F2F">
              <w:rPr>
                <w:noProof/>
                <w:sz w:val="20"/>
                <w:szCs w:val="20"/>
              </w:rPr>
              <w:t>4.75E-04</w:t>
            </w:r>
          </w:p>
        </w:tc>
        <w:tc>
          <w:tcPr>
            <w:tcW w:w="1012" w:type="dxa"/>
            <w:shd w:val="clear" w:color="auto" w:fill="auto"/>
            <w:noWrap/>
            <w:vAlign w:val="center"/>
          </w:tcPr>
          <w:p w14:paraId="47795B37" w14:textId="77777777" w:rsidR="00A3213E" w:rsidRPr="00C47F2F" w:rsidRDefault="00A3213E" w:rsidP="004B19B0">
            <w:pPr>
              <w:pStyle w:val="Table"/>
              <w:rPr>
                <w:noProof/>
                <w:sz w:val="20"/>
                <w:szCs w:val="20"/>
              </w:rPr>
            </w:pPr>
            <w:r w:rsidRPr="00C47F2F">
              <w:rPr>
                <w:noProof/>
                <w:sz w:val="20"/>
                <w:szCs w:val="20"/>
              </w:rPr>
              <w:t>4.75E-04</w:t>
            </w:r>
          </w:p>
        </w:tc>
        <w:tc>
          <w:tcPr>
            <w:tcW w:w="1012" w:type="dxa"/>
            <w:shd w:val="clear" w:color="auto" w:fill="auto"/>
            <w:noWrap/>
            <w:vAlign w:val="center"/>
          </w:tcPr>
          <w:p w14:paraId="15AD31E9" w14:textId="77777777" w:rsidR="00A3213E" w:rsidRPr="00C47F2F" w:rsidRDefault="00A3213E" w:rsidP="004B19B0">
            <w:pPr>
              <w:pStyle w:val="Table"/>
              <w:rPr>
                <w:noProof/>
                <w:sz w:val="20"/>
                <w:szCs w:val="20"/>
              </w:rPr>
            </w:pPr>
            <w:r w:rsidRPr="00C47F2F">
              <w:rPr>
                <w:noProof/>
                <w:sz w:val="20"/>
                <w:szCs w:val="20"/>
              </w:rPr>
              <w:t>4.75E-04</w:t>
            </w:r>
          </w:p>
        </w:tc>
      </w:tr>
      <w:tr w:rsidR="00A3213E" w:rsidRPr="00972C81" w14:paraId="4B3175DB" w14:textId="77777777" w:rsidTr="004B19B0">
        <w:trPr>
          <w:trHeight w:val="340"/>
        </w:trPr>
        <w:tc>
          <w:tcPr>
            <w:tcW w:w="2956" w:type="dxa"/>
            <w:shd w:val="clear" w:color="auto" w:fill="auto"/>
            <w:noWrap/>
            <w:vAlign w:val="center"/>
          </w:tcPr>
          <w:p w14:paraId="01D44994" w14:textId="7004E2D2" w:rsidR="00A3213E" w:rsidRPr="00A3213E" w:rsidRDefault="00A3213E" w:rsidP="004B19B0">
            <w:pPr>
              <w:pStyle w:val="Table"/>
              <w:rPr>
                <w:noProof/>
                <w:sz w:val="20"/>
                <w:szCs w:val="22"/>
              </w:rPr>
            </w:pPr>
            <w:r w:rsidRPr="00A3213E">
              <w:rPr>
                <w:noProof/>
                <w:sz w:val="20"/>
                <w:szCs w:val="22"/>
              </w:rPr>
              <w:t>Cort bone surf to Cort marrow</w:t>
            </w:r>
          </w:p>
        </w:tc>
        <w:tc>
          <w:tcPr>
            <w:tcW w:w="1011" w:type="dxa"/>
            <w:shd w:val="clear" w:color="auto" w:fill="auto"/>
            <w:noWrap/>
            <w:vAlign w:val="center"/>
          </w:tcPr>
          <w:p w14:paraId="48176BB6" w14:textId="77777777" w:rsidR="00A3213E" w:rsidRPr="00C47F2F" w:rsidRDefault="00A3213E" w:rsidP="004B19B0">
            <w:pPr>
              <w:pStyle w:val="Table"/>
              <w:rPr>
                <w:noProof/>
                <w:sz w:val="20"/>
                <w:szCs w:val="20"/>
              </w:rPr>
            </w:pPr>
            <w:r w:rsidRPr="00C47F2F">
              <w:rPr>
                <w:noProof/>
                <w:sz w:val="20"/>
                <w:szCs w:val="20"/>
              </w:rPr>
              <w:t>8.22E-03</w:t>
            </w:r>
          </w:p>
        </w:tc>
        <w:tc>
          <w:tcPr>
            <w:tcW w:w="1012" w:type="dxa"/>
            <w:shd w:val="clear" w:color="auto" w:fill="auto"/>
            <w:noWrap/>
            <w:vAlign w:val="center"/>
          </w:tcPr>
          <w:p w14:paraId="458C00C2" w14:textId="77777777" w:rsidR="00A3213E" w:rsidRPr="00C47F2F" w:rsidRDefault="00A3213E" w:rsidP="004B19B0">
            <w:pPr>
              <w:pStyle w:val="Table"/>
              <w:rPr>
                <w:noProof/>
                <w:sz w:val="20"/>
                <w:szCs w:val="20"/>
              </w:rPr>
            </w:pPr>
            <w:r w:rsidRPr="00C47F2F">
              <w:rPr>
                <w:noProof/>
                <w:sz w:val="20"/>
                <w:szCs w:val="20"/>
              </w:rPr>
              <w:t>2.88E-03</w:t>
            </w:r>
          </w:p>
        </w:tc>
        <w:tc>
          <w:tcPr>
            <w:tcW w:w="1012" w:type="dxa"/>
            <w:shd w:val="clear" w:color="auto" w:fill="auto"/>
            <w:noWrap/>
            <w:vAlign w:val="center"/>
          </w:tcPr>
          <w:p w14:paraId="2705E294" w14:textId="77777777" w:rsidR="00A3213E" w:rsidRPr="00C47F2F" w:rsidRDefault="00A3213E" w:rsidP="004B19B0">
            <w:pPr>
              <w:pStyle w:val="Table"/>
              <w:rPr>
                <w:noProof/>
                <w:sz w:val="20"/>
                <w:szCs w:val="20"/>
              </w:rPr>
            </w:pPr>
            <w:r w:rsidRPr="00C47F2F">
              <w:rPr>
                <w:noProof/>
                <w:sz w:val="20"/>
                <w:szCs w:val="20"/>
              </w:rPr>
              <w:t>1.53E-03</w:t>
            </w:r>
          </w:p>
        </w:tc>
        <w:tc>
          <w:tcPr>
            <w:tcW w:w="1012" w:type="dxa"/>
            <w:shd w:val="clear" w:color="auto" w:fill="auto"/>
            <w:noWrap/>
            <w:vAlign w:val="center"/>
          </w:tcPr>
          <w:p w14:paraId="27D201E9" w14:textId="77777777" w:rsidR="00A3213E" w:rsidRPr="00C47F2F" w:rsidRDefault="00A3213E" w:rsidP="004B19B0">
            <w:pPr>
              <w:pStyle w:val="Table"/>
              <w:rPr>
                <w:noProof/>
                <w:sz w:val="20"/>
                <w:szCs w:val="20"/>
              </w:rPr>
            </w:pPr>
            <w:r w:rsidRPr="00C47F2F">
              <w:rPr>
                <w:noProof/>
                <w:sz w:val="20"/>
                <w:szCs w:val="20"/>
              </w:rPr>
              <w:t>9.04E-04</w:t>
            </w:r>
          </w:p>
        </w:tc>
        <w:tc>
          <w:tcPr>
            <w:tcW w:w="1012" w:type="dxa"/>
            <w:shd w:val="clear" w:color="auto" w:fill="auto"/>
            <w:noWrap/>
            <w:vAlign w:val="center"/>
          </w:tcPr>
          <w:p w14:paraId="3EA01FB0" w14:textId="77777777" w:rsidR="00A3213E" w:rsidRPr="00C47F2F" w:rsidRDefault="00A3213E" w:rsidP="004B19B0">
            <w:pPr>
              <w:pStyle w:val="Table"/>
              <w:rPr>
                <w:noProof/>
                <w:sz w:val="20"/>
                <w:szCs w:val="20"/>
              </w:rPr>
            </w:pPr>
            <w:r w:rsidRPr="00C47F2F">
              <w:rPr>
                <w:noProof/>
                <w:sz w:val="20"/>
                <w:szCs w:val="20"/>
              </w:rPr>
              <w:t>5.21E-04</w:t>
            </w:r>
          </w:p>
        </w:tc>
        <w:tc>
          <w:tcPr>
            <w:tcW w:w="1012" w:type="dxa"/>
            <w:shd w:val="clear" w:color="auto" w:fill="auto"/>
            <w:noWrap/>
            <w:vAlign w:val="center"/>
          </w:tcPr>
          <w:p w14:paraId="1FEC66D3" w14:textId="77777777" w:rsidR="00A3213E" w:rsidRPr="00C47F2F" w:rsidRDefault="00A3213E" w:rsidP="004B19B0">
            <w:pPr>
              <w:pStyle w:val="Table"/>
              <w:rPr>
                <w:noProof/>
                <w:sz w:val="20"/>
                <w:szCs w:val="20"/>
              </w:rPr>
            </w:pPr>
            <w:r w:rsidRPr="00C47F2F">
              <w:rPr>
                <w:noProof/>
                <w:sz w:val="20"/>
                <w:szCs w:val="20"/>
              </w:rPr>
              <w:t>8.21E-05</w:t>
            </w:r>
          </w:p>
        </w:tc>
      </w:tr>
      <w:tr w:rsidR="00A3213E" w:rsidRPr="00972C81" w14:paraId="64EC426B" w14:textId="77777777" w:rsidTr="004B19B0">
        <w:trPr>
          <w:trHeight w:val="340"/>
        </w:trPr>
        <w:tc>
          <w:tcPr>
            <w:tcW w:w="2956" w:type="dxa"/>
            <w:shd w:val="clear" w:color="auto" w:fill="auto"/>
            <w:noWrap/>
            <w:vAlign w:val="center"/>
          </w:tcPr>
          <w:p w14:paraId="43833E28" w14:textId="3DC73FFA" w:rsidR="00A3213E" w:rsidRPr="00A3213E" w:rsidRDefault="00A3213E" w:rsidP="004B19B0">
            <w:pPr>
              <w:pStyle w:val="Table"/>
              <w:rPr>
                <w:noProof/>
                <w:sz w:val="20"/>
                <w:szCs w:val="22"/>
              </w:rPr>
            </w:pPr>
            <w:r w:rsidRPr="00A3213E">
              <w:rPr>
                <w:noProof/>
                <w:sz w:val="20"/>
                <w:szCs w:val="22"/>
              </w:rPr>
              <w:t>Cort bone surf to Cort bone vol</w:t>
            </w:r>
          </w:p>
        </w:tc>
        <w:tc>
          <w:tcPr>
            <w:tcW w:w="1011" w:type="dxa"/>
            <w:shd w:val="clear" w:color="auto" w:fill="auto"/>
            <w:noWrap/>
            <w:vAlign w:val="center"/>
          </w:tcPr>
          <w:p w14:paraId="1CF45814" w14:textId="77777777" w:rsidR="00A3213E" w:rsidRPr="00C47F2F" w:rsidRDefault="00A3213E" w:rsidP="004B19B0">
            <w:pPr>
              <w:pStyle w:val="Table"/>
              <w:rPr>
                <w:noProof/>
                <w:sz w:val="20"/>
                <w:szCs w:val="20"/>
              </w:rPr>
            </w:pPr>
            <w:r w:rsidRPr="00C47F2F">
              <w:rPr>
                <w:noProof/>
                <w:sz w:val="20"/>
                <w:szCs w:val="20"/>
              </w:rPr>
              <w:t>8.22E-03</w:t>
            </w:r>
          </w:p>
        </w:tc>
        <w:tc>
          <w:tcPr>
            <w:tcW w:w="1012" w:type="dxa"/>
            <w:shd w:val="clear" w:color="auto" w:fill="auto"/>
            <w:noWrap/>
            <w:vAlign w:val="center"/>
          </w:tcPr>
          <w:p w14:paraId="64E3BF0C" w14:textId="77777777" w:rsidR="00A3213E" w:rsidRPr="00C47F2F" w:rsidRDefault="00A3213E" w:rsidP="004B19B0">
            <w:pPr>
              <w:pStyle w:val="Table"/>
              <w:rPr>
                <w:noProof/>
                <w:sz w:val="20"/>
                <w:szCs w:val="20"/>
              </w:rPr>
            </w:pPr>
            <w:r w:rsidRPr="00C47F2F">
              <w:rPr>
                <w:noProof/>
                <w:sz w:val="20"/>
                <w:szCs w:val="20"/>
              </w:rPr>
              <w:t>2.88E-03</w:t>
            </w:r>
          </w:p>
        </w:tc>
        <w:tc>
          <w:tcPr>
            <w:tcW w:w="1012" w:type="dxa"/>
            <w:shd w:val="clear" w:color="auto" w:fill="auto"/>
            <w:noWrap/>
            <w:vAlign w:val="center"/>
          </w:tcPr>
          <w:p w14:paraId="102509A7" w14:textId="77777777" w:rsidR="00A3213E" w:rsidRPr="00C47F2F" w:rsidRDefault="00A3213E" w:rsidP="004B19B0">
            <w:pPr>
              <w:pStyle w:val="Table"/>
              <w:rPr>
                <w:noProof/>
                <w:sz w:val="20"/>
                <w:szCs w:val="20"/>
              </w:rPr>
            </w:pPr>
            <w:r w:rsidRPr="00C47F2F">
              <w:rPr>
                <w:noProof/>
                <w:sz w:val="20"/>
                <w:szCs w:val="20"/>
              </w:rPr>
              <w:t>1.53E-03</w:t>
            </w:r>
          </w:p>
        </w:tc>
        <w:tc>
          <w:tcPr>
            <w:tcW w:w="1012" w:type="dxa"/>
            <w:shd w:val="clear" w:color="auto" w:fill="auto"/>
            <w:noWrap/>
            <w:vAlign w:val="center"/>
          </w:tcPr>
          <w:p w14:paraId="77EFFA6C" w14:textId="77777777" w:rsidR="00A3213E" w:rsidRPr="00C47F2F" w:rsidRDefault="00A3213E" w:rsidP="004B19B0">
            <w:pPr>
              <w:pStyle w:val="Table"/>
              <w:rPr>
                <w:noProof/>
                <w:sz w:val="20"/>
                <w:szCs w:val="20"/>
              </w:rPr>
            </w:pPr>
            <w:r w:rsidRPr="00C47F2F">
              <w:rPr>
                <w:noProof/>
                <w:sz w:val="20"/>
                <w:szCs w:val="20"/>
              </w:rPr>
              <w:t>9.04E-04</w:t>
            </w:r>
          </w:p>
        </w:tc>
        <w:tc>
          <w:tcPr>
            <w:tcW w:w="1012" w:type="dxa"/>
            <w:shd w:val="clear" w:color="auto" w:fill="auto"/>
            <w:noWrap/>
            <w:vAlign w:val="center"/>
          </w:tcPr>
          <w:p w14:paraId="4C66E843" w14:textId="77777777" w:rsidR="00A3213E" w:rsidRPr="00C47F2F" w:rsidRDefault="00A3213E" w:rsidP="004B19B0">
            <w:pPr>
              <w:pStyle w:val="Table"/>
              <w:rPr>
                <w:noProof/>
                <w:sz w:val="20"/>
                <w:szCs w:val="20"/>
              </w:rPr>
            </w:pPr>
            <w:r w:rsidRPr="00C47F2F">
              <w:rPr>
                <w:noProof/>
                <w:sz w:val="20"/>
                <w:szCs w:val="20"/>
              </w:rPr>
              <w:t>5.21E-04</w:t>
            </w:r>
          </w:p>
        </w:tc>
        <w:tc>
          <w:tcPr>
            <w:tcW w:w="1012" w:type="dxa"/>
            <w:shd w:val="clear" w:color="auto" w:fill="auto"/>
            <w:noWrap/>
            <w:vAlign w:val="center"/>
          </w:tcPr>
          <w:p w14:paraId="22E922E4" w14:textId="77777777" w:rsidR="00A3213E" w:rsidRPr="00C47F2F" w:rsidRDefault="00A3213E" w:rsidP="004B19B0">
            <w:pPr>
              <w:pStyle w:val="Table"/>
              <w:rPr>
                <w:noProof/>
                <w:sz w:val="20"/>
                <w:szCs w:val="20"/>
              </w:rPr>
            </w:pPr>
            <w:r w:rsidRPr="00C47F2F">
              <w:rPr>
                <w:noProof/>
                <w:sz w:val="20"/>
                <w:szCs w:val="20"/>
              </w:rPr>
              <w:t>4.11E-05</w:t>
            </w:r>
          </w:p>
        </w:tc>
      </w:tr>
      <w:tr w:rsidR="00A3213E" w:rsidRPr="00972C81" w14:paraId="14372C30" w14:textId="77777777" w:rsidTr="004B19B0">
        <w:trPr>
          <w:trHeight w:val="340"/>
        </w:trPr>
        <w:tc>
          <w:tcPr>
            <w:tcW w:w="2956" w:type="dxa"/>
            <w:shd w:val="clear" w:color="auto" w:fill="auto"/>
            <w:noWrap/>
            <w:vAlign w:val="center"/>
          </w:tcPr>
          <w:p w14:paraId="56BCE88C" w14:textId="0E5AE1ED" w:rsidR="00A3213E" w:rsidRPr="00A3213E" w:rsidRDefault="00A3213E" w:rsidP="004B19B0">
            <w:pPr>
              <w:pStyle w:val="Table"/>
              <w:rPr>
                <w:noProof/>
                <w:sz w:val="20"/>
                <w:szCs w:val="22"/>
              </w:rPr>
            </w:pPr>
            <w:r w:rsidRPr="00A3213E">
              <w:rPr>
                <w:noProof/>
                <w:sz w:val="20"/>
                <w:szCs w:val="22"/>
              </w:rPr>
              <w:t>Trab bone surf to Trab marrow</w:t>
            </w:r>
          </w:p>
        </w:tc>
        <w:tc>
          <w:tcPr>
            <w:tcW w:w="1011" w:type="dxa"/>
            <w:shd w:val="clear" w:color="auto" w:fill="auto"/>
            <w:noWrap/>
            <w:vAlign w:val="center"/>
          </w:tcPr>
          <w:p w14:paraId="28322F5B" w14:textId="77777777" w:rsidR="00A3213E" w:rsidRPr="00C47F2F" w:rsidRDefault="00A3213E" w:rsidP="004B19B0">
            <w:pPr>
              <w:pStyle w:val="Table"/>
              <w:rPr>
                <w:noProof/>
                <w:sz w:val="20"/>
                <w:szCs w:val="20"/>
              </w:rPr>
            </w:pPr>
            <w:r w:rsidRPr="00C47F2F">
              <w:rPr>
                <w:noProof/>
                <w:sz w:val="20"/>
                <w:szCs w:val="20"/>
              </w:rPr>
              <w:t>8.22E-03</w:t>
            </w:r>
          </w:p>
        </w:tc>
        <w:tc>
          <w:tcPr>
            <w:tcW w:w="1012" w:type="dxa"/>
            <w:shd w:val="clear" w:color="auto" w:fill="auto"/>
            <w:noWrap/>
            <w:vAlign w:val="center"/>
          </w:tcPr>
          <w:p w14:paraId="284F9080" w14:textId="77777777" w:rsidR="00A3213E" w:rsidRPr="00C47F2F" w:rsidRDefault="00A3213E" w:rsidP="004B19B0">
            <w:pPr>
              <w:pStyle w:val="Table"/>
              <w:rPr>
                <w:noProof/>
                <w:sz w:val="20"/>
                <w:szCs w:val="20"/>
              </w:rPr>
            </w:pPr>
            <w:r w:rsidRPr="00C47F2F">
              <w:rPr>
                <w:noProof/>
                <w:sz w:val="20"/>
                <w:szCs w:val="20"/>
              </w:rPr>
              <w:t>2.88E-03</w:t>
            </w:r>
          </w:p>
        </w:tc>
        <w:tc>
          <w:tcPr>
            <w:tcW w:w="1012" w:type="dxa"/>
            <w:shd w:val="clear" w:color="auto" w:fill="auto"/>
            <w:noWrap/>
            <w:vAlign w:val="center"/>
          </w:tcPr>
          <w:p w14:paraId="0F673B32" w14:textId="77777777" w:rsidR="00A3213E" w:rsidRPr="00C47F2F" w:rsidRDefault="00A3213E" w:rsidP="004B19B0">
            <w:pPr>
              <w:pStyle w:val="Table"/>
              <w:rPr>
                <w:noProof/>
                <w:sz w:val="20"/>
                <w:szCs w:val="20"/>
              </w:rPr>
            </w:pPr>
            <w:r w:rsidRPr="00C47F2F">
              <w:rPr>
                <w:noProof/>
                <w:sz w:val="20"/>
                <w:szCs w:val="20"/>
              </w:rPr>
              <w:t>1.81E-03</w:t>
            </w:r>
          </w:p>
        </w:tc>
        <w:tc>
          <w:tcPr>
            <w:tcW w:w="1012" w:type="dxa"/>
            <w:shd w:val="clear" w:color="auto" w:fill="auto"/>
            <w:noWrap/>
            <w:vAlign w:val="center"/>
          </w:tcPr>
          <w:p w14:paraId="0656A597" w14:textId="77777777" w:rsidR="00A3213E" w:rsidRPr="00C47F2F" w:rsidRDefault="00A3213E" w:rsidP="004B19B0">
            <w:pPr>
              <w:pStyle w:val="Table"/>
              <w:rPr>
                <w:noProof/>
                <w:sz w:val="20"/>
                <w:szCs w:val="20"/>
              </w:rPr>
            </w:pPr>
            <w:r w:rsidRPr="00C47F2F">
              <w:rPr>
                <w:noProof/>
                <w:sz w:val="20"/>
                <w:szCs w:val="20"/>
              </w:rPr>
              <w:t>1.32E-03</w:t>
            </w:r>
          </w:p>
        </w:tc>
        <w:tc>
          <w:tcPr>
            <w:tcW w:w="1012" w:type="dxa"/>
            <w:shd w:val="clear" w:color="auto" w:fill="auto"/>
            <w:noWrap/>
            <w:vAlign w:val="center"/>
          </w:tcPr>
          <w:p w14:paraId="451B3CB7" w14:textId="77777777" w:rsidR="00A3213E" w:rsidRPr="00C47F2F" w:rsidRDefault="00A3213E" w:rsidP="004B19B0">
            <w:pPr>
              <w:pStyle w:val="Table"/>
              <w:rPr>
                <w:noProof/>
                <w:sz w:val="20"/>
                <w:szCs w:val="20"/>
              </w:rPr>
            </w:pPr>
            <w:r w:rsidRPr="00C47F2F">
              <w:rPr>
                <w:noProof/>
                <w:sz w:val="20"/>
                <w:szCs w:val="20"/>
              </w:rPr>
              <w:t>9.59E-04</w:t>
            </w:r>
          </w:p>
        </w:tc>
        <w:tc>
          <w:tcPr>
            <w:tcW w:w="1012" w:type="dxa"/>
            <w:shd w:val="clear" w:color="auto" w:fill="auto"/>
            <w:noWrap/>
            <w:vAlign w:val="center"/>
          </w:tcPr>
          <w:p w14:paraId="40F50E6C" w14:textId="77777777" w:rsidR="00A3213E" w:rsidRPr="00C47F2F" w:rsidRDefault="00A3213E" w:rsidP="004B19B0">
            <w:pPr>
              <w:pStyle w:val="Table"/>
              <w:rPr>
                <w:noProof/>
                <w:sz w:val="20"/>
                <w:szCs w:val="20"/>
              </w:rPr>
            </w:pPr>
            <w:r w:rsidRPr="00C47F2F">
              <w:rPr>
                <w:noProof/>
                <w:sz w:val="20"/>
                <w:szCs w:val="20"/>
              </w:rPr>
              <w:t>4.93E-04</w:t>
            </w:r>
          </w:p>
        </w:tc>
      </w:tr>
      <w:tr w:rsidR="00A3213E" w:rsidRPr="00972C81" w14:paraId="69096DFE" w14:textId="77777777" w:rsidTr="004B19B0">
        <w:trPr>
          <w:trHeight w:val="340"/>
        </w:trPr>
        <w:tc>
          <w:tcPr>
            <w:tcW w:w="2956" w:type="dxa"/>
            <w:shd w:val="clear" w:color="auto" w:fill="auto"/>
            <w:noWrap/>
            <w:vAlign w:val="center"/>
          </w:tcPr>
          <w:p w14:paraId="23A6F6F2" w14:textId="611A53A2" w:rsidR="00A3213E" w:rsidRPr="00A3213E" w:rsidRDefault="00A3213E" w:rsidP="004B19B0">
            <w:pPr>
              <w:pStyle w:val="Table"/>
              <w:rPr>
                <w:noProof/>
                <w:sz w:val="20"/>
                <w:szCs w:val="22"/>
              </w:rPr>
            </w:pPr>
            <w:r w:rsidRPr="00A3213E">
              <w:rPr>
                <w:noProof/>
                <w:sz w:val="20"/>
                <w:szCs w:val="22"/>
              </w:rPr>
              <w:t>Trab bone surf to Trab bone vol</w:t>
            </w:r>
          </w:p>
        </w:tc>
        <w:tc>
          <w:tcPr>
            <w:tcW w:w="1011" w:type="dxa"/>
            <w:shd w:val="clear" w:color="auto" w:fill="auto"/>
            <w:noWrap/>
            <w:vAlign w:val="center"/>
          </w:tcPr>
          <w:p w14:paraId="575C5CA8" w14:textId="77777777" w:rsidR="00A3213E" w:rsidRPr="00C47F2F" w:rsidRDefault="00A3213E" w:rsidP="004B19B0">
            <w:pPr>
              <w:pStyle w:val="Table"/>
              <w:rPr>
                <w:noProof/>
                <w:sz w:val="20"/>
                <w:szCs w:val="20"/>
              </w:rPr>
            </w:pPr>
            <w:r w:rsidRPr="00C47F2F">
              <w:rPr>
                <w:noProof/>
                <w:sz w:val="20"/>
                <w:szCs w:val="20"/>
              </w:rPr>
              <w:t>8.22E-03</w:t>
            </w:r>
          </w:p>
        </w:tc>
        <w:tc>
          <w:tcPr>
            <w:tcW w:w="1012" w:type="dxa"/>
            <w:shd w:val="clear" w:color="auto" w:fill="auto"/>
            <w:noWrap/>
            <w:vAlign w:val="center"/>
          </w:tcPr>
          <w:p w14:paraId="0D5B8275" w14:textId="77777777" w:rsidR="00A3213E" w:rsidRPr="00C47F2F" w:rsidRDefault="00A3213E" w:rsidP="004B19B0">
            <w:pPr>
              <w:pStyle w:val="Table"/>
              <w:rPr>
                <w:noProof/>
                <w:sz w:val="20"/>
                <w:szCs w:val="20"/>
              </w:rPr>
            </w:pPr>
            <w:r w:rsidRPr="00C47F2F">
              <w:rPr>
                <w:noProof/>
                <w:sz w:val="20"/>
                <w:szCs w:val="20"/>
              </w:rPr>
              <w:t>2.88E-03</w:t>
            </w:r>
          </w:p>
        </w:tc>
        <w:tc>
          <w:tcPr>
            <w:tcW w:w="1012" w:type="dxa"/>
            <w:shd w:val="clear" w:color="auto" w:fill="auto"/>
            <w:noWrap/>
            <w:vAlign w:val="center"/>
          </w:tcPr>
          <w:p w14:paraId="0AA88BCA" w14:textId="77777777" w:rsidR="00A3213E" w:rsidRPr="00C47F2F" w:rsidRDefault="00A3213E" w:rsidP="004B19B0">
            <w:pPr>
              <w:pStyle w:val="Table"/>
              <w:rPr>
                <w:noProof/>
                <w:sz w:val="20"/>
                <w:szCs w:val="20"/>
              </w:rPr>
            </w:pPr>
            <w:r w:rsidRPr="00C47F2F">
              <w:rPr>
                <w:noProof/>
                <w:sz w:val="20"/>
                <w:szCs w:val="20"/>
              </w:rPr>
              <w:t>1.81E-03</w:t>
            </w:r>
          </w:p>
        </w:tc>
        <w:tc>
          <w:tcPr>
            <w:tcW w:w="1012" w:type="dxa"/>
            <w:shd w:val="clear" w:color="auto" w:fill="auto"/>
            <w:noWrap/>
            <w:vAlign w:val="center"/>
          </w:tcPr>
          <w:p w14:paraId="7F076A38" w14:textId="77777777" w:rsidR="00A3213E" w:rsidRPr="00C47F2F" w:rsidRDefault="00A3213E" w:rsidP="004B19B0">
            <w:pPr>
              <w:pStyle w:val="Table"/>
              <w:rPr>
                <w:noProof/>
                <w:sz w:val="20"/>
                <w:szCs w:val="20"/>
              </w:rPr>
            </w:pPr>
            <w:r w:rsidRPr="00C47F2F">
              <w:rPr>
                <w:noProof/>
                <w:sz w:val="20"/>
                <w:szCs w:val="20"/>
              </w:rPr>
              <w:t>1.32E-03</w:t>
            </w:r>
          </w:p>
        </w:tc>
        <w:tc>
          <w:tcPr>
            <w:tcW w:w="1012" w:type="dxa"/>
            <w:shd w:val="clear" w:color="auto" w:fill="auto"/>
            <w:noWrap/>
            <w:vAlign w:val="center"/>
          </w:tcPr>
          <w:p w14:paraId="5A82DC21" w14:textId="77777777" w:rsidR="00A3213E" w:rsidRPr="00C47F2F" w:rsidRDefault="00A3213E" w:rsidP="004B19B0">
            <w:pPr>
              <w:pStyle w:val="Table"/>
              <w:rPr>
                <w:noProof/>
                <w:sz w:val="20"/>
                <w:szCs w:val="20"/>
              </w:rPr>
            </w:pPr>
            <w:r w:rsidRPr="00C47F2F">
              <w:rPr>
                <w:noProof/>
                <w:sz w:val="20"/>
                <w:szCs w:val="20"/>
              </w:rPr>
              <w:t>9.59E-04</w:t>
            </w:r>
          </w:p>
        </w:tc>
        <w:tc>
          <w:tcPr>
            <w:tcW w:w="1012" w:type="dxa"/>
            <w:shd w:val="clear" w:color="auto" w:fill="auto"/>
            <w:noWrap/>
            <w:vAlign w:val="center"/>
          </w:tcPr>
          <w:p w14:paraId="6943CC81" w14:textId="77777777" w:rsidR="00A3213E" w:rsidRPr="00C47F2F" w:rsidRDefault="00A3213E" w:rsidP="004B19B0">
            <w:pPr>
              <w:pStyle w:val="Table"/>
              <w:rPr>
                <w:noProof/>
                <w:sz w:val="20"/>
                <w:szCs w:val="20"/>
              </w:rPr>
            </w:pPr>
            <w:r w:rsidRPr="00C47F2F">
              <w:rPr>
                <w:noProof/>
                <w:sz w:val="20"/>
                <w:szCs w:val="20"/>
              </w:rPr>
              <w:t>2.47E-04</w:t>
            </w:r>
          </w:p>
        </w:tc>
      </w:tr>
      <w:tr w:rsidR="00A3213E" w:rsidRPr="00972C81" w14:paraId="6B696A67" w14:textId="77777777" w:rsidTr="004B19B0">
        <w:trPr>
          <w:trHeight w:val="340"/>
        </w:trPr>
        <w:tc>
          <w:tcPr>
            <w:tcW w:w="2956" w:type="dxa"/>
            <w:shd w:val="clear" w:color="auto" w:fill="auto"/>
            <w:noWrap/>
            <w:vAlign w:val="center"/>
          </w:tcPr>
          <w:p w14:paraId="29CD9027" w14:textId="152DB947" w:rsidR="00A3213E" w:rsidRPr="00A3213E" w:rsidRDefault="00A3213E" w:rsidP="004B19B0">
            <w:pPr>
              <w:pStyle w:val="Table"/>
              <w:rPr>
                <w:noProof/>
                <w:sz w:val="20"/>
                <w:szCs w:val="22"/>
              </w:rPr>
            </w:pPr>
            <w:r w:rsidRPr="00A3213E">
              <w:rPr>
                <w:noProof/>
                <w:sz w:val="20"/>
                <w:szCs w:val="22"/>
              </w:rPr>
              <w:t>Kidneys 1 to UB cont</w:t>
            </w:r>
          </w:p>
        </w:tc>
        <w:tc>
          <w:tcPr>
            <w:tcW w:w="1011" w:type="dxa"/>
            <w:shd w:val="clear" w:color="auto" w:fill="auto"/>
            <w:noWrap/>
            <w:vAlign w:val="center"/>
          </w:tcPr>
          <w:p w14:paraId="4E1FEAB4" w14:textId="77777777" w:rsidR="00A3213E" w:rsidRPr="00C47F2F" w:rsidRDefault="00A3213E" w:rsidP="004B19B0">
            <w:pPr>
              <w:pStyle w:val="Table"/>
              <w:rPr>
                <w:noProof/>
                <w:sz w:val="20"/>
                <w:szCs w:val="20"/>
              </w:rPr>
            </w:pPr>
            <w:r w:rsidRPr="00C47F2F">
              <w:rPr>
                <w:noProof/>
                <w:sz w:val="20"/>
                <w:szCs w:val="20"/>
              </w:rPr>
              <w:t>4.62E-02</w:t>
            </w:r>
          </w:p>
        </w:tc>
        <w:tc>
          <w:tcPr>
            <w:tcW w:w="1012" w:type="dxa"/>
            <w:shd w:val="clear" w:color="auto" w:fill="auto"/>
            <w:noWrap/>
            <w:vAlign w:val="center"/>
          </w:tcPr>
          <w:p w14:paraId="397BE09F" w14:textId="77777777" w:rsidR="00A3213E" w:rsidRPr="00C47F2F" w:rsidRDefault="00A3213E" w:rsidP="004B19B0">
            <w:pPr>
              <w:pStyle w:val="Table"/>
              <w:rPr>
                <w:noProof/>
                <w:sz w:val="20"/>
                <w:szCs w:val="20"/>
              </w:rPr>
            </w:pPr>
            <w:r w:rsidRPr="00C47F2F">
              <w:rPr>
                <w:noProof/>
                <w:sz w:val="20"/>
                <w:szCs w:val="20"/>
              </w:rPr>
              <w:t>4.62E-02</w:t>
            </w:r>
          </w:p>
        </w:tc>
        <w:tc>
          <w:tcPr>
            <w:tcW w:w="1012" w:type="dxa"/>
            <w:shd w:val="clear" w:color="auto" w:fill="auto"/>
            <w:noWrap/>
            <w:vAlign w:val="center"/>
          </w:tcPr>
          <w:p w14:paraId="6064F672" w14:textId="77777777" w:rsidR="00A3213E" w:rsidRPr="00C47F2F" w:rsidRDefault="00A3213E" w:rsidP="004B19B0">
            <w:pPr>
              <w:pStyle w:val="Table"/>
              <w:rPr>
                <w:noProof/>
                <w:sz w:val="20"/>
                <w:szCs w:val="20"/>
              </w:rPr>
            </w:pPr>
            <w:r w:rsidRPr="00C47F2F">
              <w:rPr>
                <w:noProof/>
                <w:sz w:val="20"/>
                <w:szCs w:val="20"/>
              </w:rPr>
              <w:t>4.62E-02</w:t>
            </w:r>
          </w:p>
        </w:tc>
        <w:tc>
          <w:tcPr>
            <w:tcW w:w="1012" w:type="dxa"/>
            <w:shd w:val="clear" w:color="auto" w:fill="auto"/>
            <w:noWrap/>
            <w:vAlign w:val="center"/>
          </w:tcPr>
          <w:p w14:paraId="1C4F6695" w14:textId="77777777" w:rsidR="00A3213E" w:rsidRPr="00C47F2F" w:rsidRDefault="00A3213E" w:rsidP="004B19B0">
            <w:pPr>
              <w:pStyle w:val="Table"/>
              <w:rPr>
                <w:noProof/>
                <w:sz w:val="20"/>
                <w:szCs w:val="20"/>
              </w:rPr>
            </w:pPr>
            <w:r w:rsidRPr="00C47F2F">
              <w:rPr>
                <w:noProof/>
                <w:sz w:val="20"/>
                <w:szCs w:val="20"/>
              </w:rPr>
              <w:t>4.62E-02</w:t>
            </w:r>
          </w:p>
        </w:tc>
        <w:tc>
          <w:tcPr>
            <w:tcW w:w="1012" w:type="dxa"/>
            <w:shd w:val="clear" w:color="auto" w:fill="auto"/>
            <w:noWrap/>
            <w:vAlign w:val="center"/>
          </w:tcPr>
          <w:p w14:paraId="2D1F1C93" w14:textId="77777777" w:rsidR="00A3213E" w:rsidRPr="00C47F2F" w:rsidRDefault="00A3213E" w:rsidP="004B19B0">
            <w:pPr>
              <w:pStyle w:val="Table"/>
              <w:rPr>
                <w:noProof/>
                <w:sz w:val="20"/>
                <w:szCs w:val="20"/>
              </w:rPr>
            </w:pPr>
            <w:r w:rsidRPr="00C47F2F">
              <w:rPr>
                <w:noProof/>
                <w:sz w:val="20"/>
                <w:szCs w:val="20"/>
              </w:rPr>
              <w:t>4.62E-02</w:t>
            </w:r>
          </w:p>
        </w:tc>
        <w:tc>
          <w:tcPr>
            <w:tcW w:w="1012" w:type="dxa"/>
            <w:shd w:val="clear" w:color="auto" w:fill="auto"/>
            <w:noWrap/>
            <w:vAlign w:val="center"/>
          </w:tcPr>
          <w:p w14:paraId="1D9800F5" w14:textId="77777777" w:rsidR="00A3213E" w:rsidRPr="00C47F2F" w:rsidRDefault="00A3213E" w:rsidP="004B19B0">
            <w:pPr>
              <w:pStyle w:val="Table"/>
              <w:rPr>
                <w:noProof/>
                <w:sz w:val="20"/>
                <w:szCs w:val="20"/>
              </w:rPr>
            </w:pPr>
            <w:r w:rsidRPr="00C47F2F">
              <w:rPr>
                <w:noProof/>
                <w:sz w:val="20"/>
                <w:szCs w:val="20"/>
              </w:rPr>
              <w:t>4.62E-02</w:t>
            </w:r>
          </w:p>
        </w:tc>
      </w:tr>
      <w:tr w:rsidR="00A3213E" w:rsidRPr="00972C81" w14:paraId="39A95E23" w14:textId="77777777" w:rsidTr="004B19B0">
        <w:trPr>
          <w:trHeight w:val="340"/>
        </w:trPr>
        <w:tc>
          <w:tcPr>
            <w:tcW w:w="2956" w:type="dxa"/>
            <w:shd w:val="clear" w:color="auto" w:fill="auto"/>
            <w:noWrap/>
            <w:vAlign w:val="center"/>
          </w:tcPr>
          <w:p w14:paraId="4623E27C" w14:textId="52926944" w:rsidR="00A3213E" w:rsidRPr="00A3213E" w:rsidRDefault="00A3213E" w:rsidP="004B19B0">
            <w:pPr>
              <w:pStyle w:val="Table"/>
              <w:rPr>
                <w:noProof/>
                <w:sz w:val="20"/>
                <w:szCs w:val="22"/>
              </w:rPr>
            </w:pPr>
            <w:r w:rsidRPr="00A3213E">
              <w:rPr>
                <w:noProof/>
                <w:sz w:val="20"/>
                <w:szCs w:val="22"/>
              </w:rPr>
              <w:t>Kidneys 2 to Blood</w:t>
            </w:r>
          </w:p>
        </w:tc>
        <w:tc>
          <w:tcPr>
            <w:tcW w:w="1011" w:type="dxa"/>
            <w:shd w:val="clear" w:color="auto" w:fill="auto"/>
            <w:noWrap/>
            <w:vAlign w:val="center"/>
          </w:tcPr>
          <w:p w14:paraId="69B48CA1" w14:textId="77777777" w:rsidR="00A3213E" w:rsidRPr="00C47F2F" w:rsidRDefault="00A3213E" w:rsidP="004B19B0">
            <w:pPr>
              <w:pStyle w:val="Table"/>
              <w:rPr>
                <w:noProof/>
                <w:sz w:val="20"/>
                <w:szCs w:val="20"/>
              </w:rPr>
            </w:pPr>
            <w:r w:rsidRPr="00C47F2F">
              <w:rPr>
                <w:noProof/>
                <w:sz w:val="20"/>
                <w:szCs w:val="20"/>
              </w:rPr>
              <w:t>3.80E-04</w:t>
            </w:r>
          </w:p>
        </w:tc>
        <w:tc>
          <w:tcPr>
            <w:tcW w:w="1012" w:type="dxa"/>
            <w:shd w:val="clear" w:color="auto" w:fill="auto"/>
            <w:noWrap/>
            <w:vAlign w:val="center"/>
          </w:tcPr>
          <w:p w14:paraId="4E83F7AB" w14:textId="77777777" w:rsidR="00A3213E" w:rsidRPr="00C47F2F" w:rsidRDefault="00A3213E" w:rsidP="004B19B0">
            <w:pPr>
              <w:pStyle w:val="Table"/>
              <w:rPr>
                <w:noProof/>
                <w:sz w:val="20"/>
                <w:szCs w:val="20"/>
              </w:rPr>
            </w:pPr>
            <w:r w:rsidRPr="00C47F2F">
              <w:rPr>
                <w:noProof/>
                <w:sz w:val="20"/>
                <w:szCs w:val="20"/>
              </w:rPr>
              <w:t>3.80E-04</w:t>
            </w:r>
          </w:p>
        </w:tc>
        <w:tc>
          <w:tcPr>
            <w:tcW w:w="1012" w:type="dxa"/>
            <w:shd w:val="clear" w:color="auto" w:fill="auto"/>
            <w:noWrap/>
            <w:vAlign w:val="center"/>
          </w:tcPr>
          <w:p w14:paraId="37C14CA3" w14:textId="77777777" w:rsidR="00A3213E" w:rsidRPr="00C47F2F" w:rsidRDefault="00A3213E" w:rsidP="004B19B0">
            <w:pPr>
              <w:pStyle w:val="Table"/>
              <w:rPr>
                <w:noProof/>
                <w:sz w:val="20"/>
                <w:szCs w:val="20"/>
              </w:rPr>
            </w:pPr>
            <w:r w:rsidRPr="00C47F2F">
              <w:rPr>
                <w:noProof/>
                <w:sz w:val="20"/>
                <w:szCs w:val="20"/>
              </w:rPr>
              <w:t>3.80E-04</w:t>
            </w:r>
          </w:p>
        </w:tc>
        <w:tc>
          <w:tcPr>
            <w:tcW w:w="1012" w:type="dxa"/>
            <w:shd w:val="clear" w:color="auto" w:fill="auto"/>
            <w:noWrap/>
            <w:vAlign w:val="center"/>
          </w:tcPr>
          <w:p w14:paraId="0DA5EA2D" w14:textId="77777777" w:rsidR="00A3213E" w:rsidRPr="00C47F2F" w:rsidRDefault="00A3213E" w:rsidP="004B19B0">
            <w:pPr>
              <w:pStyle w:val="Table"/>
              <w:rPr>
                <w:noProof/>
                <w:sz w:val="20"/>
                <w:szCs w:val="20"/>
              </w:rPr>
            </w:pPr>
            <w:r w:rsidRPr="00C47F2F">
              <w:rPr>
                <w:noProof/>
                <w:sz w:val="20"/>
                <w:szCs w:val="20"/>
              </w:rPr>
              <w:t>3.80E-04</w:t>
            </w:r>
          </w:p>
        </w:tc>
        <w:tc>
          <w:tcPr>
            <w:tcW w:w="1012" w:type="dxa"/>
            <w:shd w:val="clear" w:color="auto" w:fill="auto"/>
            <w:noWrap/>
            <w:vAlign w:val="center"/>
          </w:tcPr>
          <w:p w14:paraId="31157579" w14:textId="77777777" w:rsidR="00A3213E" w:rsidRPr="00C47F2F" w:rsidRDefault="00A3213E" w:rsidP="004B19B0">
            <w:pPr>
              <w:pStyle w:val="Table"/>
              <w:rPr>
                <w:noProof/>
                <w:sz w:val="20"/>
                <w:szCs w:val="20"/>
              </w:rPr>
            </w:pPr>
            <w:r w:rsidRPr="00C47F2F">
              <w:rPr>
                <w:noProof/>
                <w:sz w:val="20"/>
                <w:szCs w:val="20"/>
              </w:rPr>
              <w:t>3.80E-04</w:t>
            </w:r>
          </w:p>
        </w:tc>
        <w:tc>
          <w:tcPr>
            <w:tcW w:w="1012" w:type="dxa"/>
            <w:shd w:val="clear" w:color="auto" w:fill="auto"/>
            <w:noWrap/>
            <w:vAlign w:val="center"/>
          </w:tcPr>
          <w:p w14:paraId="1F48747B" w14:textId="77777777" w:rsidR="00A3213E" w:rsidRPr="00C47F2F" w:rsidRDefault="00A3213E" w:rsidP="004B19B0">
            <w:pPr>
              <w:pStyle w:val="Table"/>
              <w:rPr>
                <w:noProof/>
                <w:sz w:val="20"/>
                <w:szCs w:val="20"/>
              </w:rPr>
            </w:pPr>
            <w:r w:rsidRPr="00C47F2F">
              <w:rPr>
                <w:noProof/>
                <w:sz w:val="20"/>
                <w:szCs w:val="20"/>
              </w:rPr>
              <w:t>3.80E-04</w:t>
            </w:r>
          </w:p>
        </w:tc>
      </w:tr>
      <w:tr w:rsidR="00A3213E" w:rsidRPr="00972C81" w14:paraId="5412BB84" w14:textId="77777777" w:rsidTr="004B19B0">
        <w:trPr>
          <w:trHeight w:val="340"/>
        </w:trPr>
        <w:tc>
          <w:tcPr>
            <w:tcW w:w="2956" w:type="dxa"/>
            <w:shd w:val="clear" w:color="auto" w:fill="auto"/>
            <w:noWrap/>
            <w:vAlign w:val="center"/>
          </w:tcPr>
          <w:p w14:paraId="318D3B2F" w14:textId="2002E9DA" w:rsidR="00A3213E" w:rsidRPr="00A3213E" w:rsidRDefault="00A3213E" w:rsidP="004B19B0">
            <w:pPr>
              <w:pStyle w:val="Table"/>
              <w:rPr>
                <w:noProof/>
                <w:sz w:val="20"/>
                <w:szCs w:val="22"/>
              </w:rPr>
            </w:pPr>
            <w:r w:rsidRPr="00A3213E">
              <w:rPr>
                <w:noProof/>
                <w:sz w:val="20"/>
                <w:szCs w:val="22"/>
              </w:rPr>
              <w:t>Testes to Blood</w:t>
            </w:r>
          </w:p>
        </w:tc>
        <w:tc>
          <w:tcPr>
            <w:tcW w:w="1011" w:type="dxa"/>
            <w:shd w:val="clear" w:color="auto" w:fill="auto"/>
            <w:noWrap/>
            <w:vAlign w:val="center"/>
          </w:tcPr>
          <w:p w14:paraId="12244515" w14:textId="77777777" w:rsidR="00A3213E" w:rsidRPr="00C47F2F" w:rsidRDefault="00A3213E" w:rsidP="004B19B0">
            <w:pPr>
              <w:pStyle w:val="Table"/>
              <w:rPr>
                <w:noProof/>
                <w:sz w:val="20"/>
                <w:szCs w:val="20"/>
              </w:rPr>
            </w:pPr>
            <w:r w:rsidRPr="00C47F2F">
              <w:rPr>
                <w:noProof/>
                <w:sz w:val="20"/>
                <w:szCs w:val="20"/>
              </w:rPr>
              <w:t>3.80E-04</w:t>
            </w:r>
          </w:p>
        </w:tc>
        <w:tc>
          <w:tcPr>
            <w:tcW w:w="1012" w:type="dxa"/>
            <w:shd w:val="clear" w:color="auto" w:fill="auto"/>
            <w:noWrap/>
            <w:vAlign w:val="center"/>
          </w:tcPr>
          <w:p w14:paraId="147AE34A" w14:textId="77777777" w:rsidR="00A3213E" w:rsidRPr="00C47F2F" w:rsidRDefault="00A3213E" w:rsidP="004B19B0">
            <w:pPr>
              <w:pStyle w:val="Table"/>
              <w:rPr>
                <w:noProof/>
                <w:sz w:val="20"/>
                <w:szCs w:val="20"/>
              </w:rPr>
            </w:pPr>
            <w:r w:rsidRPr="00C47F2F">
              <w:rPr>
                <w:noProof/>
                <w:sz w:val="20"/>
                <w:szCs w:val="20"/>
              </w:rPr>
              <w:t>3.80E-04</w:t>
            </w:r>
          </w:p>
        </w:tc>
        <w:tc>
          <w:tcPr>
            <w:tcW w:w="1012" w:type="dxa"/>
            <w:shd w:val="clear" w:color="auto" w:fill="auto"/>
            <w:noWrap/>
            <w:vAlign w:val="center"/>
          </w:tcPr>
          <w:p w14:paraId="496E4B40" w14:textId="77777777" w:rsidR="00A3213E" w:rsidRPr="00C47F2F" w:rsidRDefault="00A3213E" w:rsidP="004B19B0">
            <w:pPr>
              <w:pStyle w:val="Table"/>
              <w:rPr>
                <w:noProof/>
                <w:sz w:val="20"/>
                <w:szCs w:val="20"/>
              </w:rPr>
            </w:pPr>
            <w:r w:rsidRPr="00C47F2F">
              <w:rPr>
                <w:noProof/>
                <w:sz w:val="20"/>
                <w:szCs w:val="20"/>
              </w:rPr>
              <w:t>3.80E-04</w:t>
            </w:r>
          </w:p>
        </w:tc>
        <w:tc>
          <w:tcPr>
            <w:tcW w:w="1012" w:type="dxa"/>
            <w:shd w:val="clear" w:color="auto" w:fill="auto"/>
            <w:noWrap/>
            <w:vAlign w:val="center"/>
          </w:tcPr>
          <w:p w14:paraId="2749A706" w14:textId="77777777" w:rsidR="00A3213E" w:rsidRPr="00C47F2F" w:rsidRDefault="00A3213E" w:rsidP="004B19B0">
            <w:pPr>
              <w:pStyle w:val="Table"/>
              <w:rPr>
                <w:noProof/>
                <w:sz w:val="20"/>
                <w:szCs w:val="20"/>
              </w:rPr>
            </w:pPr>
            <w:r w:rsidRPr="00C47F2F">
              <w:rPr>
                <w:noProof/>
                <w:sz w:val="20"/>
                <w:szCs w:val="20"/>
              </w:rPr>
              <w:t>3.80E-04</w:t>
            </w:r>
          </w:p>
        </w:tc>
        <w:tc>
          <w:tcPr>
            <w:tcW w:w="1012" w:type="dxa"/>
            <w:shd w:val="clear" w:color="auto" w:fill="auto"/>
            <w:noWrap/>
            <w:vAlign w:val="center"/>
          </w:tcPr>
          <w:p w14:paraId="4F9963AD" w14:textId="77777777" w:rsidR="00A3213E" w:rsidRPr="00C47F2F" w:rsidRDefault="00A3213E" w:rsidP="004B19B0">
            <w:pPr>
              <w:pStyle w:val="Table"/>
              <w:rPr>
                <w:noProof/>
                <w:sz w:val="20"/>
                <w:szCs w:val="20"/>
              </w:rPr>
            </w:pPr>
            <w:r w:rsidRPr="00C47F2F">
              <w:rPr>
                <w:noProof/>
                <w:sz w:val="20"/>
                <w:szCs w:val="20"/>
              </w:rPr>
              <w:t>3.80E-04</w:t>
            </w:r>
          </w:p>
        </w:tc>
        <w:tc>
          <w:tcPr>
            <w:tcW w:w="1012" w:type="dxa"/>
            <w:shd w:val="clear" w:color="auto" w:fill="auto"/>
            <w:noWrap/>
            <w:vAlign w:val="center"/>
          </w:tcPr>
          <w:p w14:paraId="4A91BD29" w14:textId="77777777" w:rsidR="00A3213E" w:rsidRPr="00C47F2F" w:rsidRDefault="00A3213E" w:rsidP="004B19B0">
            <w:pPr>
              <w:pStyle w:val="Table"/>
              <w:rPr>
                <w:noProof/>
                <w:sz w:val="20"/>
                <w:szCs w:val="20"/>
              </w:rPr>
            </w:pPr>
            <w:r w:rsidRPr="00C47F2F">
              <w:rPr>
                <w:noProof/>
                <w:sz w:val="20"/>
                <w:szCs w:val="20"/>
              </w:rPr>
              <w:t>3.80E-04</w:t>
            </w:r>
          </w:p>
        </w:tc>
      </w:tr>
      <w:tr w:rsidR="00A3213E" w:rsidRPr="00972C81" w14:paraId="07DC1F45" w14:textId="77777777" w:rsidTr="004B19B0">
        <w:trPr>
          <w:trHeight w:val="340"/>
        </w:trPr>
        <w:tc>
          <w:tcPr>
            <w:tcW w:w="2956" w:type="dxa"/>
            <w:shd w:val="clear" w:color="auto" w:fill="auto"/>
            <w:noWrap/>
            <w:vAlign w:val="center"/>
          </w:tcPr>
          <w:p w14:paraId="6DB086D3" w14:textId="5AC05728" w:rsidR="00A3213E" w:rsidRPr="00A3213E" w:rsidRDefault="00A3213E" w:rsidP="004B19B0">
            <w:pPr>
              <w:pStyle w:val="Table"/>
              <w:rPr>
                <w:noProof/>
                <w:sz w:val="20"/>
                <w:szCs w:val="22"/>
              </w:rPr>
            </w:pPr>
            <w:r w:rsidRPr="00A3213E">
              <w:rPr>
                <w:noProof/>
                <w:sz w:val="20"/>
                <w:szCs w:val="22"/>
              </w:rPr>
              <w:t>Ovaries to Blood</w:t>
            </w:r>
          </w:p>
        </w:tc>
        <w:tc>
          <w:tcPr>
            <w:tcW w:w="1011" w:type="dxa"/>
            <w:shd w:val="clear" w:color="auto" w:fill="auto"/>
            <w:noWrap/>
            <w:vAlign w:val="center"/>
          </w:tcPr>
          <w:p w14:paraId="28313E9F" w14:textId="77777777" w:rsidR="00A3213E" w:rsidRPr="00C47F2F" w:rsidRDefault="00A3213E" w:rsidP="004B19B0">
            <w:pPr>
              <w:pStyle w:val="Table"/>
              <w:rPr>
                <w:noProof/>
                <w:sz w:val="20"/>
                <w:szCs w:val="20"/>
              </w:rPr>
            </w:pPr>
            <w:r w:rsidRPr="00C47F2F">
              <w:rPr>
                <w:noProof/>
                <w:sz w:val="20"/>
                <w:szCs w:val="20"/>
              </w:rPr>
              <w:t>3.80E-04</w:t>
            </w:r>
          </w:p>
        </w:tc>
        <w:tc>
          <w:tcPr>
            <w:tcW w:w="1012" w:type="dxa"/>
            <w:shd w:val="clear" w:color="auto" w:fill="auto"/>
            <w:noWrap/>
            <w:vAlign w:val="center"/>
          </w:tcPr>
          <w:p w14:paraId="043C17E2" w14:textId="77777777" w:rsidR="00A3213E" w:rsidRPr="00C47F2F" w:rsidRDefault="00A3213E" w:rsidP="004B19B0">
            <w:pPr>
              <w:pStyle w:val="Table"/>
              <w:rPr>
                <w:noProof/>
                <w:sz w:val="20"/>
                <w:szCs w:val="20"/>
              </w:rPr>
            </w:pPr>
            <w:r w:rsidRPr="00C47F2F">
              <w:rPr>
                <w:noProof/>
                <w:sz w:val="20"/>
                <w:szCs w:val="20"/>
              </w:rPr>
              <w:t>3.80E-04</w:t>
            </w:r>
          </w:p>
        </w:tc>
        <w:tc>
          <w:tcPr>
            <w:tcW w:w="1012" w:type="dxa"/>
            <w:shd w:val="clear" w:color="auto" w:fill="auto"/>
            <w:noWrap/>
            <w:vAlign w:val="center"/>
          </w:tcPr>
          <w:p w14:paraId="106CDC79" w14:textId="77777777" w:rsidR="00A3213E" w:rsidRPr="00C47F2F" w:rsidRDefault="00A3213E" w:rsidP="004B19B0">
            <w:pPr>
              <w:pStyle w:val="Table"/>
              <w:rPr>
                <w:noProof/>
                <w:sz w:val="20"/>
                <w:szCs w:val="20"/>
              </w:rPr>
            </w:pPr>
            <w:r w:rsidRPr="00C47F2F">
              <w:rPr>
                <w:noProof/>
                <w:sz w:val="20"/>
                <w:szCs w:val="20"/>
              </w:rPr>
              <w:t>3.80E-04</w:t>
            </w:r>
          </w:p>
        </w:tc>
        <w:tc>
          <w:tcPr>
            <w:tcW w:w="1012" w:type="dxa"/>
            <w:shd w:val="clear" w:color="auto" w:fill="auto"/>
            <w:noWrap/>
            <w:vAlign w:val="center"/>
          </w:tcPr>
          <w:p w14:paraId="3B52B73E" w14:textId="77777777" w:rsidR="00A3213E" w:rsidRPr="00C47F2F" w:rsidRDefault="00A3213E" w:rsidP="004B19B0">
            <w:pPr>
              <w:pStyle w:val="Table"/>
              <w:rPr>
                <w:noProof/>
                <w:sz w:val="20"/>
                <w:szCs w:val="20"/>
              </w:rPr>
            </w:pPr>
            <w:r w:rsidRPr="00C47F2F">
              <w:rPr>
                <w:noProof/>
                <w:sz w:val="20"/>
                <w:szCs w:val="20"/>
              </w:rPr>
              <w:t>3.80E-04</w:t>
            </w:r>
          </w:p>
        </w:tc>
        <w:tc>
          <w:tcPr>
            <w:tcW w:w="1012" w:type="dxa"/>
            <w:shd w:val="clear" w:color="auto" w:fill="auto"/>
            <w:noWrap/>
            <w:vAlign w:val="center"/>
          </w:tcPr>
          <w:p w14:paraId="6F4CA295" w14:textId="77777777" w:rsidR="00A3213E" w:rsidRPr="00C47F2F" w:rsidRDefault="00A3213E" w:rsidP="004B19B0">
            <w:pPr>
              <w:pStyle w:val="Table"/>
              <w:rPr>
                <w:noProof/>
                <w:sz w:val="20"/>
                <w:szCs w:val="20"/>
              </w:rPr>
            </w:pPr>
            <w:r w:rsidRPr="00C47F2F">
              <w:rPr>
                <w:noProof/>
                <w:sz w:val="20"/>
                <w:szCs w:val="20"/>
              </w:rPr>
              <w:t>3.80E-04</w:t>
            </w:r>
          </w:p>
        </w:tc>
        <w:tc>
          <w:tcPr>
            <w:tcW w:w="1012" w:type="dxa"/>
            <w:shd w:val="clear" w:color="auto" w:fill="auto"/>
            <w:noWrap/>
            <w:vAlign w:val="center"/>
          </w:tcPr>
          <w:p w14:paraId="6A061EE5" w14:textId="77777777" w:rsidR="00A3213E" w:rsidRPr="00C47F2F" w:rsidRDefault="00A3213E" w:rsidP="004B19B0">
            <w:pPr>
              <w:pStyle w:val="Table"/>
              <w:rPr>
                <w:noProof/>
                <w:sz w:val="20"/>
                <w:szCs w:val="20"/>
              </w:rPr>
            </w:pPr>
            <w:r w:rsidRPr="00C47F2F">
              <w:rPr>
                <w:noProof/>
                <w:sz w:val="20"/>
                <w:szCs w:val="20"/>
              </w:rPr>
              <w:t>3.80E-04</w:t>
            </w:r>
          </w:p>
        </w:tc>
      </w:tr>
      <w:tr w:rsidR="00A3213E" w:rsidRPr="00972C81" w14:paraId="068AC80C" w14:textId="77777777" w:rsidTr="004B19B0">
        <w:trPr>
          <w:trHeight w:val="340"/>
        </w:trPr>
        <w:tc>
          <w:tcPr>
            <w:tcW w:w="2956" w:type="dxa"/>
            <w:shd w:val="clear" w:color="auto" w:fill="auto"/>
            <w:noWrap/>
            <w:vAlign w:val="center"/>
          </w:tcPr>
          <w:p w14:paraId="22A85902" w14:textId="69FD55C1" w:rsidR="00A3213E" w:rsidRPr="00A3213E" w:rsidRDefault="00A3213E" w:rsidP="004B19B0">
            <w:pPr>
              <w:pStyle w:val="Table"/>
              <w:rPr>
                <w:noProof/>
                <w:sz w:val="20"/>
                <w:szCs w:val="22"/>
              </w:rPr>
            </w:pPr>
            <w:r w:rsidRPr="00A3213E">
              <w:rPr>
                <w:noProof/>
                <w:sz w:val="20"/>
                <w:szCs w:val="22"/>
              </w:rPr>
              <w:t xml:space="preserve"> ST0 to Blood</w:t>
            </w:r>
          </w:p>
        </w:tc>
        <w:tc>
          <w:tcPr>
            <w:tcW w:w="1011" w:type="dxa"/>
            <w:shd w:val="clear" w:color="auto" w:fill="auto"/>
            <w:noWrap/>
            <w:vAlign w:val="center"/>
          </w:tcPr>
          <w:p w14:paraId="2F6B6B62" w14:textId="77777777" w:rsidR="00A3213E" w:rsidRPr="00C47F2F" w:rsidRDefault="00A3213E" w:rsidP="004B19B0">
            <w:pPr>
              <w:pStyle w:val="Table"/>
              <w:rPr>
                <w:noProof/>
                <w:sz w:val="20"/>
                <w:szCs w:val="20"/>
              </w:rPr>
            </w:pPr>
            <w:r w:rsidRPr="00C47F2F">
              <w:rPr>
                <w:noProof/>
                <w:sz w:val="20"/>
                <w:szCs w:val="20"/>
              </w:rPr>
              <w:t>4.62E-01</w:t>
            </w:r>
          </w:p>
        </w:tc>
        <w:tc>
          <w:tcPr>
            <w:tcW w:w="1012" w:type="dxa"/>
            <w:shd w:val="clear" w:color="auto" w:fill="auto"/>
            <w:noWrap/>
            <w:vAlign w:val="center"/>
          </w:tcPr>
          <w:p w14:paraId="47035748" w14:textId="77777777" w:rsidR="00A3213E" w:rsidRPr="00C47F2F" w:rsidRDefault="00A3213E" w:rsidP="004B19B0">
            <w:pPr>
              <w:pStyle w:val="Table"/>
              <w:rPr>
                <w:noProof/>
                <w:sz w:val="20"/>
                <w:szCs w:val="20"/>
              </w:rPr>
            </w:pPr>
            <w:r w:rsidRPr="00C47F2F">
              <w:rPr>
                <w:noProof/>
                <w:sz w:val="20"/>
                <w:szCs w:val="20"/>
              </w:rPr>
              <w:t>4.62E-01</w:t>
            </w:r>
          </w:p>
        </w:tc>
        <w:tc>
          <w:tcPr>
            <w:tcW w:w="1012" w:type="dxa"/>
            <w:shd w:val="clear" w:color="auto" w:fill="auto"/>
            <w:noWrap/>
            <w:vAlign w:val="center"/>
          </w:tcPr>
          <w:p w14:paraId="66384656" w14:textId="77777777" w:rsidR="00A3213E" w:rsidRPr="00C47F2F" w:rsidRDefault="00A3213E" w:rsidP="004B19B0">
            <w:pPr>
              <w:pStyle w:val="Table"/>
              <w:rPr>
                <w:noProof/>
                <w:sz w:val="20"/>
                <w:szCs w:val="20"/>
              </w:rPr>
            </w:pPr>
            <w:r w:rsidRPr="00C47F2F">
              <w:rPr>
                <w:noProof/>
                <w:sz w:val="20"/>
                <w:szCs w:val="20"/>
              </w:rPr>
              <w:t>4.62E-01</w:t>
            </w:r>
          </w:p>
        </w:tc>
        <w:tc>
          <w:tcPr>
            <w:tcW w:w="1012" w:type="dxa"/>
            <w:shd w:val="clear" w:color="auto" w:fill="auto"/>
            <w:noWrap/>
            <w:vAlign w:val="center"/>
          </w:tcPr>
          <w:p w14:paraId="17EF41A3" w14:textId="77777777" w:rsidR="00A3213E" w:rsidRPr="00C47F2F" w:rsidRDefault="00A3213E" w:rsidP="004B19B0">
            <w:pPr>
              <w:pStyle w:val="Table"/>
              <w:rPr>
                <w:noProof/>
                <w:sz w:val="20"/>
                <w:szCs w:val="20"/>
              </w:rPr>
            </w:pPr>
            <w:r w:rsidRPr="00C47F2F">
              <w:rPr>
                <w:noProof/>
                <w:sz w:val="20"/>
                <w:szCs w:val="20"/>
              </w:rPr>
              <w:t>4.62E-01</w:t>
            </w:r>
          </w:p>
        </w:tc>
        <w:tc>
          <w:tcPr>
            <w:tcW w:w="1012" w:type="dxa"/>
            <w:shd w:val="clear" w:color="auto" w:fill="auto"/>
            <w:noWrap/>
            <w:vAlign w:val="center"/>
          </w:tcPr>
          <w:p w14:paraId="50B5CF5F" w14:textId="77777777" w:rsidR="00A3213E" w:rsidRPr="00C47F2F" w:rsidRDefault="00A3213E" w:rsidP="004B19B0">
            <w:pPr>
              <w:pStyle w:val="Table"/>
              <w:rPr>
                <w:noProof/>
                <w:sz w:val="20"/>
                <w:szCs w:val="20"/>
              </w:rPr>
            </w:pPr>
            <w:r w:rsidRPr="00C47F2F">
              <w:rPr>
                <w:noProof/>
                <w:sz w:val="20"/>
                <w:szCs w:val="20"/>
              </w:rPr>
              <w:t>4.62E-01</w:t>
            </w:r>
          </w:p>
        </w:tc>
        <w:tc>
          <w:tcPr>
            <w:tcW w:w="1012" w:type="dxa"/>
            <w:shd w:val="clear" w:color="auto" w:fill="auto"/>
            <w:noWrap/>
            <w:vAlign w:val="center"/>
          </w:tcPr>
          <w:p w14:paraId="69E16273" w14:textId="77777777" w:rsidR="00A3213E" w:rsidRPr="00C47F2F" w:rsidRDefault="00A3213E" w:rsidP="004B19B0">
            <w:pPr>
              <w:pStyle w:val="Table"/>
              <w:rPr>
                <w:noProof/>
                <w:sz w:val="20"/>
                <w:szCs w:val="20"/>
              </w:rPr>
            </w:pPr>
            <w:r w:rsidRPr="00C47F2F">
              <w:rPr>
                <w:noProof/>
                <w:sz w:val="20"/>
                <w:szCs w:val="20"/>
              </w:rPr>
              <w:t>4.62E-01</w:t>
            </w:r>
          </w:p>
        </w:tc>
      </w:tr>
      <w:tr w:rsidR="00A3213E" w:rsidRPr="00972C81" w14:paraId="45AE08C1" w14:textId="77777777" w:rsidTr="004B19B0">
        <w:trPr>
          <w:trHeight w:val="340"/>
        </w:trPr>
        <w:tc>
          <w:tcPr>
            <w:tcW w:w="2956" w:type="dxa"/>
            <w:shd w:val="clear" w:color="auto" w:fill="auto"/>
            <w:noWrap/>
            <w:vAlign w:val="center"/>
          </w:tcPr>
          <w:p w14:paraId="152927EA" w14:textId="5C5AD5BA" w:rsidR="00A3213E" w:rsidRPr="00A3213E" w:rsidRDefault="00A3213E" w:rsidP="004B19B0">
            <w:pPr>
              <w:pStyle w:val="Table"/>
              <w:rPr>
                <w:noProof/>
                <w:sz w:val="20"/>
                <w:szCs w:val="22"/>
              </w:rPr>
            </w:pPr>
            <w:r w:rsidRPr="00A3213E">
              <w:rPr>
                <w:noProof/>
                <w:sz w:val="20"/>
                <w:szCs w:val="22"/>
              </w:rPr>
              <w:t xml:space="preserve"> ST1 to Blood</w:t>
            </w:r>
          </w:p>
        </w:tc>
        <w:tc>
          <w:tcPr>
            <w:tcW w:w="1011" w:type="dxa"/>
            <w:shd w:val="clear" w:color="auto" w:fill="auto"/>
            <w:noWrap/>
            <w:vAlign w:val="center"/>
          </w:tcPr>
          <w:p w14:paraId="66ECEE48" w14:textId="77777777" w:rsidR="00A3213E" w:rsidRPr="00C47F2F" w:rsidRDefault="00A3213E" w:rsidP="004B19B0">
            <w:pPr>
              <w:pStyle w:val="Table"/>
              <w:rPr>
                <w:noProof/>
                <w:sz w:val="20"/>
                <w:szCs w:val="20"/>
              </w:rPr>
            </w:pPr>
            <w:r w:rsidRPr="00C47F2F">
              <w:rPr>
                <w:noProof/>
                <w:sz w:val="20"/>
                <w:szCs w:val="20"/>
              </w:rPr>
              <w:t>9.50E-04</w:t>
            </w:r>
          </w:p>
        </w:tc>
        <w:tc>
          <w:tcPr>
            <w:tcW w:w="1012" w:type="dxa"/>
            <w:shd w:val="clear" w:color="auto" w:fill="auto"/>
            <w:noWrap/>
            <w:vAlign w:val="center"/>
          </w:tcPr>
          <w:p w14:paraId="2A7E3BCA" w14:textId="77777777" w:rsidR="00A3213E" w:rsidRPr="00C47F2F" w:rsidRDefault="00A3213E" w:rsidP="004B19B0">
            <w:pPr>
              <w:pStyle w:val="Table"/>
              <w:rPr>
                <w:noProof/>
                <w:sz w:val="20"/>
                <w:szCs w:val="20"/>
              </w:rPr>
            </w:pPr>
            <w:r w:rsidRPr="00C47F2F">
              <w:rPr>
                <w:noProof/>
                <w:sz w:val="20"/>
                <w:szCs w:val="20"/>
              </w:rPr>
              <w:t>9.50E-04</w:t>
            </w:r>
          </w:p>
        </w:tc>
        <w:tc>
          <w:tcPr>
            <w:tcW w:w="1012" w:type="dxa"/>
            <w:shd w:val="clear" w:color="auto" w:fill="auto"/>
            <w:noWrap/>
            <w:vAlign w:val="center"/>
          </w:tcPr>
          <w:p w14:paraId="47C882FC" w14:textId="77777777" w:rsidR="00A3213E" w:rsidRPr="00C47F2F" w:rsidRDefault="00A3213E" w:rsidP="004B19B0">
            <w:pPr>
              <w:pStyle w:val="Table"/>
              <w:rPr>
                <w:noProof/>
                <w:sz w:val="20"/>
                <w:szCs w:val="20"/>
              </w:rPr>
            </w:pPr>
            <w:r w:rsidRPr="00C47F2F">
              <w:rPr>
                <w:noProof/>
                <w:sz w:val="20"/>
                <w:szCs w:val="20"/>
              </w:rPr>
              <w:t>9.50E-04</w:t>
            </w:r>
          </w:p>
        </w:tc>
        <w:tc>
          <w:tcPr>
            <w:tcW w:w="1012" w:type="dxa"/>
            <w:shd w:val="clear" w:color="auto" w:fill="auto"/>
            <w:noWrap/>
            <w:vAlign w:val="center"/>
          </w:tcPr>
          <w:p w14:paraId="7255C5C6" w14:textId="77777777" w:rsidR="00A3213E" w:rsidRPr="00C47F2F" w:rsidRDefault="00A3213E" w:rsidP="004B19B0">
            <w:pPr>
              <w:pStyle w:val="Table"/>
              <w:rPr>
                <w:noProof/>
                <w:sz w:val="20"/>
                <w:szCs w:val="20"/>
              </w:rPr>
            </w:pPr>
            <w:r w:rsidRPr="00C47F2F">
              <w:rPr>
                <w:noProof/>
                <w:sz w:val="20"/>
                <w:szCs w:val="20"/>
              </w:rPr>
              <w:t>9.50E-04</w:t>
            </w:r>
          </w:p>
        </w:tc>
        <w:tc>
          <w:tcPr>
            <w:tcW w:w="1012" w:type="dxa"/>
            <w:shd w:val="clear" w:color="auto" w:fill="auto"/>
            <w:noWrap/>
            <w:vAlign w:val="center"/>
          </w:tcPr>
          <w:p w14:paraId="5F914107" w14:textId="77777777" w:rsidR="00A3213E" w:rsidRPr="00C47F2F" w:rsidRDefault="00A3213E" w:rsidP="004B19B0">
            <w:pPr>
              <w:pStyle w:val="Table"/>
              <w:rPr>
                <w:noProof/>
                <w:sz w:val="20"/>
                <w:szCs w:val="20"/>
              </w:rPr>
            </w:pPr>
            <w:r w:rsidRPr="00C47F2F">
              <w:rPr>
                <w:noProof/>
                <w:sz w:val="20"/>
                <w:szCs w:val="20"/>
              </w:rPr>
              <w:t>9.50E-04</w:t>
            </w:r>
          </w:p>
        </w:tc>
        <w:tc>
          <w:tcPr>
            <w:tcW w:w="1012" w:type="dxa"/>
            <w:shd w:val="clear" w:color="auto" w:fill="auto"/>
            <w:noWrap/>
            <w:vAlign w:val="center"/>
          </w:tcPr>
          <w:p w14:paraId="62788C5F" w14:textId="77777777" w:rsidR="00A3213E" w:rsidRPr="00C47F2F" w:rsidRDefault="00A3213E" w:rsidP="004B19B0">
            <w:pPr>
              <w:pStyle w:val="Table"/>
              <w:rPr>
                <w:noProof/>
                <w:sz w:val="20"/>
                <w:szCs w:val="20"/>
              </w:rPr>
            </w:pPr>
            <w:r w:rsidRPr="00C47F2F">
              <w:rPr>
                <w:noProof/>
                <w:sz w:val="20"/>
                <w:szCs w:val="20"/>
              </w:rPr>
              <w:t>9.50E-04</w:t>
            </w:r>
          </w:p>
        </w:tc>
      </w:tr>
      <w:tr w:rsidR="00A3213E" w:rsidRPr="00972C81" w14:paraId="20B68494" w14:textId="77777777" w:rsidTr="004B19B0">
        <w:trPr>
          <w:trHeight w:val="340"/>
        </w:trPr>
        <w:tc>
          <w:tcPr>
            <w:tcW w:w="2956" w:type="dxa"/>
            <w:shd w:val="clear" w:color="auto" w:fill="auto"/>
            <w:noWrap/>
            <w:vAlign w:val="center"/>
          </w:tcPr>
          <w:p w14:paraId="4092B1B3" w14:textId="03D00A39" w:rsidR="00A3213E" w:rsidRPr="00A3213E" w:rsidRDefault="00A3213E" w:rsidP="004B19B0">
            <w:pPr>
              <w:pStyle w:val="Table"/>
              <w:rPr>
                <w:noProof/>
                <w:sz w:val="20"/>
                <w:szCs w:val="22"/>
              </w:rPr>
            </w:pPr>
            <w:r w:rsidRPr="00A3213E">
              <w:rPr>
                <w:noProof/>
                <w:sz w:val="20"/>
                <w:szCs w:val="22"/>
              </w:rPr>
              <w:t xml:space="preserve"> ST2 to Blood</w:t>
            </w:r>
          </w:p>
        </w:tc>
        <w:tc>
          <w:tcPr>
            <w:tcW w:w="1011" w:type="dxa"/>
            <w:shd w:val="clear" w:color="auto" w:fill="auto"/>
            <w:noWrap/>
            <w:vAlign w:val="center"/>
          </w:tcPr>
          <w:p w14:paraId="56B7F4D8" w14:textId="77777777" w:rsidR="00A3213E" w:rsidRPr="00C47F2F" w:rsidRDefault="00A3213E" w:rsidP="004B19B0">
            <w:pPr>
              <w:pStyle w:val="Table"/>
              <w:rPr>
                <w:noProof/>
                <w:sz w:val="20"/>
                <w:szCs w:val="20"/>
              </w:rPr>
            </w:pPr>
            <w:r w:rsidRPr="00C47F2F">
              <w:rPr>
                <w:noProof/>
                <w:sz w:val="20"/>
                <w:szCs w:val="20"/>
              </w:rPr>
              <w:t>1.90E-05</w:t>
            </w:r>
          </w:p>
        </w:tc>
        <w:tc>
          <w:tcPr>
            <w:tcW w:w="1012" w:type="dxa"/>
            <w:shd w:val="clear" w:color="auto" w:fill="auto"/>
            <w:noWrap/>
            <w:vAlign w:val="center"/>
          </w:tcPr>
          <w:p w14:paraId="6A38F3FC" w14:textId="77777777" w:rsidR="00A3213E" w:rsidRPr="00C47F2F" w:rsidRDefault="00A3213E" w:rsidP="004B19B0">
            <w:pPr>
              <w:pStyle w:val="Table"/>
              <w:rPr>
                <w:noProof/>
                <w:sz w:val="20"/>
                <w:szCs w:val="20"/>
              </w:rPr>
            </w:pPr>
            <w:r w:rsidRPr="00C47F2F">
              <w:rPr>
                <w:noProof/>
                <w:sz w:val="20"/>
                <w:szCs w:val="20"/>
              </w:rPr>
              <w:t>1.90E-05</w:t>
            </w:r>
          </w:p>
        </w:tc>
        <w:tc>
          <w:tcPr>
            <w:tcW w:w="1012" w:type="dxa"/>
            <w:shd w:val="clear" w:color="auto" w:fill="auto"/>
            <w:noWrap/>
            <w:vAlign w:val="center"/>
          </w:tcPr>
          <w:p w14:paraId="25F4EB82" w14:textId="77777777" w:rsidR="00A3213E" w:rsidRPr="00C47F2F" w:rsidRDefault="00A3213E" w:rsidP="004B19B0">
            <w:pPr>
              <w:pStyle w:val="Table"/>
              <w:rPr>
                <w:noProof/>
                <w:sz w:val="20"/>
                <w:szCs w:val="20"/>
              </w:rPr>
            </w:pPr>
            <w:r w:rsidRPr="00C47F2F">
              <w:rPr>
                <w:noProof/>
                <w:sz w:val="20"/>
                <w:szCs w:val="20"/>
              </w:rPr>
              <w:t>1.90E-05</w:t>
            </w:r>
          </w:p>
        </w:tc>
        <w:tc>
          <w:tcPr>
            <w:tcW w:w="1012" w:type="dxa"/>
            <w:shd w:val="clear" w:color="auto" w:fill="auto"/>
            <w:noWrap/>
            <w:vAlign w:val="center"/>
          </w:tcPr>
          <w:p w14:paraId="3FFB8F5A" w14:textId="77777777" w:rsidR="00A3213E" w:rsidRPr="00C47F2F" w:rsidRDefault="00A3213E" w:rsidP="004B19B0">
            <w:pPr>
              <w:pStyle w:val="Table"/>
              <w:rPr>
                <w:noProof/>
                <w:sz w:val="20"/>
                <w:szCs w:val="20"/>
              </w:rPr>
            </w:pPr>
            <w:r w:rsidRPr="00C47F2F">
              <w:rPr>
                <w:noProof/>
                <w:sz w:val="20"/>
                <w:szCs w:val="20"/>
              </w:rPr>
              <w:t>1.90E-05</w:t>
            </w:r>
          </w:p>
        </w:tc>
        <w:tc>
          <w:tcPr>
            <w:tcW w:w="1012" w:type="dxa"/>
            <w:shd w:val="clear" w:color="auto" w:fill="auto"/>
            <w:noWrap/>
            <w:vAlign w:val="center"/>
          </w:tcPr>
          <w:p w14:paraId="30B74138" w14:textId="77777777" w:rsidR="00A3213E" w:rsidRPr="00C47F2F" w:rsidRDefault="00A3213E" w:rsidP="004B19B0">
            <w:pPr>
              <w:pStyle w:val="Table"/>
              <w:rPr>
                <w:noProof/>
                <w:sz w:val="20"/>
                <w:szCs w:val="20"/>
              </w:rPr>
            </w:pPr>
            <w:r w:rsidRPr="00C47F2F">
              <w:rPr>
                <w:noProof/>
                <w:sz w:val="20"/>
                <w:szCs w:val="20"/>
              </w:rPr>
              <w:t>1.90E-05</w:t>
            </w:r>
          </w:p>
        </w:tc>
        <w:tc>
          <w:tcPr>
            <w:tcW w:w="1012" w:type="dxa"/>
            <w:shd w:val="clear" w:color="auto" w:fill="auto"/>
            <w:noWrap/>
            <w:vAlign w:val="center"/>
          </w:tcPr>
          <w:p w14:paraId="014DCCCD" w14:textId="77777777" w:rsidR="00A3213E" w:rsidRPr="00C47F2F" w:rsidRDefault="00A3213E" w:rsidP="004B19B0">
            <w:pPr>
              <w:pStyle w:val="Table"/>
              <w:rPr>
                <w:noProof/>
                <w:sz w:val="20"/>
                <w:szCs w:val="20"/>
              </w:rPr>
            </w:pPr>
            <w:r w:rsidRPr="00C47F2F">
              <w:rPr>
                <w:noProof/>
                <w:sz w:val="20"/>
                <w:szCs w:val="20"/>
              </w:rPr>
              <w:t>1.90E-05</w:t>
            </w:r>
          </w:p>
        </w:tc>
      </w:tr>
      <w:tr w:rsidR="00A3213E" w:rsidRPr="00972C81" w14:paraId="688FB10C" w14:textId="77777777" w:rsidTr="004B19B0">
        <w:trPr>
          <w:trHeight w:val="340"/>
        </w:trPr>
        <w:tc>
          <w:tcPr>
            <w:tcW w:w="2956" w:type="dxa"/>
            <w:shd w:val="clear" w:color="auto" w:fill="auto"/>
            <w:noWrap/>
            <w:vAlign w:val="center"/>
          </w:tcPr>
          <w:p w14:paraId="1508ECC6" w14:textId="25011984" w:rsidR="00A3213E" w:rsidRPr="00A3213E" w:rsidRDefault="00A3213E" w:rsidP="004B19B0">
            <w:pPr>
              <w:pStyle w:val="Table"/>
              <w:rPr>
                <w:noProof/>
                <w:sz w:val="20"/>
                <w:szCs w:val="22"/>
              </w:rPr>
            </w:pPr>
            <w:r w:rsidRPr="00A3213E">
              <w:rPr>
                <w:noProof/>
                <w:sz w:val="20"/>
                <w:szCs w:val="22"/>
              </w:rPr>
              <w:t>Liver 2 to Blood</w:t>
            </w:r>
          </w:p>
        </w:tc>
        <w:tc>
          <w:tcPr>
            <w:tcW w:w="1011" w:type="dxa"/>
            <w:shd w:val="clear" w:color="auto" w:fill="auto"/>
            <w:noWrap/>
            <w:vAlign w:val="center"/>
          </w:tcPr>
          <w:p w14:paraId="12702017" w14:textId="77777777" w:rsidR="00A3213E" w:rsidRPr="00C47F2F" w:rsidRDefault="00A3213E" w:rsidP="004B19B0">
            <w:pPr>
              <w:pStyle w:val="Table"/>
              <w:rPr>
                <w:noProof/>
                <w:sz w:val="20"/>
                <w:szCs w:val="20"/>
              </w:rPr>
            </w:pPr>
            <w:r w:rsidRPr="00C47F2F">
              <w:rPr>
                <w:noProof/>
                <w:sz w:val="20"/>
                <w:szCs w:val="20"/>
              </w:rPr>
              <w:t>2.11E-04</w:t>
            </w:r>
          </w:p>
        </w:tc>
        <w:tc>
          <w:tcPr>
            <w:tcW w:w="1012" w:type="dxa"/>
            <w:shd w:val="clear" w:color="auto" w:fill="auto"/>
            <w:noWrap/>
            <w:vAlign w:val="center"/>
          </w:tcPr>
          <w:p w14:paraId="728BDE5E" w14:textId="77777777" w:rsidR="00A3213E" w:rsidRPr="00C47F2F" w:rsidRDefault="00A3213E" w:rsidP="004B19B0">
            <w:pPr>
              <w:pStyle w:val="Table"/>
              <w:rPr>
                <w:noProof/>
                <w:sz w:val="20"/>
                <w:szCs w:val="20"/>
              </w:rPr>
            </w:pPr>
            <w:r w:rsidRPr="00C47F2F">
              <w:rPr>
                <w:noProof/>
                <w:sz w:val="20"/>
                <w:szCs w:val="20"/>
              </w:rPr>
              <w:t>2.11E-04</w:t>
            </w:r>
          </w:p>
        </w:tc>
        <w:tc>
          <w:tcPr>
            <w:tcW w:w="1012" w:type="dxa"/>
            <w:shd w:val="clear" w:color="auto" w:fill="auto"/>
            <w:noWrap/>
            <w:vAlign w:val="center"/>
          </w:tcPr>
          <w:p w14:paraId="7ADEB3B1" w14:textId="77777777" w:rsidR="00A3213E" w:rsidRPr="00C47F2F" w:rsidRDefault="00A3213E" w:rsidP="004B19B0">
            <w:pPr>
              <w:pStyle w:val="Table"/>
              <w:rPr>
                <w:noProof/>
                <w:sz w:val="20"/>
                <w:szCs w:val="20"/>
              </w:rPr>
            </w:pPr>
            <w:r w:rsidRPr="00C47F2F">
              <w:rPr>
                <w:noProof/>
                <w:sz w:val="20"/>
                <w:szCs w:val="20"/>
              </w:rPr>
              <w:t>2.11E-04</w:t>
            </w:r>
          </w:p>
        </w:tc>
        <w:tc>
          <w:tcPr>
            <w:tcW w:w="1012" w:type="dxa"/>
            <w:shd w:val="clear" w:color="auto" w:fill="auto"/>
            <w:noWrap/>
            <w:vAlign w:val="center"/>
          </w:tcPr>
          <w:p w14:paraId="4CA09957" w14:textId="77777777" w:rsidR="00A3213E" w:rsidRPr="00C47F2F" w:rsidRDefault="00A3213E" w:rsidP="004B19B0">
            <w:pPr>
              <w:pStyle w:val="Table"/>
              <w:rPr>
                <w:noProof/>
                <w:sz w:val="20"/>
                <w:szCs w:val="20"/>
              </w:rPr>
            </w:pPr>
            <w:r w:rsidRPr="00C47F2F">
              <w:rPr>
                <w:noProof/>
                <w:sz w:val="20"/>
                <w:szCs w:val="20"/>
              </w:rPr>
              <w:t>2.11E-04</w:t>
            </w:r>
          </w:p>
        </w:tc>
        <w:tc>
          <w:tcPr>
            <w:tcW w:w="1012" w:type="dxa"/>
            <w:shd w:val="clear" w:color="auto" w:fill="auto"/>
            <w:noWrap/>
            <w:vAlign w:val="center"/>
          </w:tcPr>
          <w:p w14:paraId="48278B2D" w14:textId="77777777" w:rsidR="00A3213E" w:rsidRPr="00C47F2F" w:rsidRDefault="00A3213E" w:rsidP="004B19B0">
            <w:pPr>
              <w:pStyle w:val="Table"/>
              <w:rPr>
                <w:noProof/>
                <w:sz w:val="20"/>
                <w:szCs w:val="20"/>
              </w:rPr>
            </w:pPr>
            <w:r w:rsidRPr="00C47F2F">
              <w:rPr>
                <w:noProof/>
                <w:sz w:val="20"/>
                <w:szCs w:val="20"/>
              </w:rPr>
              <w:t>2.11E-04</w:t>
            </w:r>
          </w:p>
        </w:tc>
        <w:tc>
          <w:tcPr>
            <w:tcW w:w="1012" w:type="dxa"/>
            <w:shd w:val="clear" w:color="auto" w:fill="auto"/>
            <w:noWrap/>
            <w:vAlign w:val="center"/>
          </w:tcPr>
          <w:p w14:paraId="30131EC1" w14:textId="77777777" w:rsidR="00A3213E" w:rsidRPr="00C47F2F" w:rsidRDefault="00A3213E" w:rsidP="004B19B0">
            <w:pPr>
              <w:pStyle w:val="Table"/>
              <w:rPr>
                <w:noProof/>
                <w:sz w:val="20"/>
                <w:szCs w:val="20"/>
              </w:rPr>
            </w:pPr>
            <w:r w:rsidRPr="00C47F2F">
              <w:rPr>
                <w:noProof/>
                <w:sz w:val="20"/>
                <w:szCs w:val="20"/>
              </w:rPr>
              <w:t>2.11E-04</w:t>
            </w:r>
          </w:p>
        </w:tc>
      </w:tr>
      <w:tr w:rsidR="00A3213E" w:rsidRPr="00972C81" w14:paraId="7E631608" w14:textId="77777777" w:rsidTr="004B19B0">
        <w:trPr>
          <w:trHeight w:val="340"/>
        </w:trPr>
        <w:tc>
          <w:tcPr>
            <w:tcW w:w="2956" w:type="dxa"/>
            <w:shd w:val="clear" w:color="auto" w:fill="auto"/>
            <w:noWrap/>
            <w:vAlign w:val="center"/>
          </w:tcPr>
          <w:p w14:paraId="6B87F884" w14:textId="4E3B2996" w:rsidR="00A3213E" w:rsidRPr="00A3213E" w:rsidRDefault="00A3213E" w:rsidP="004B19B0">
            <w:pPr>
              <w:pStyle w:val="Table"/>
              <w:rPr>
                <w:noProof/>
                <w:sz w:val="20"/>
                <w:szCs w:val="22"/>
              </w:rPr>
            </w:pPr>
            <w:r w:rsidRPr="00A3213E">
              <w:rPr>
                <w:noProof/>
                <w:sz w:val="20"/>
                <w:szCs w:val="22"/>
              </w:rPr>
              <w:t>Cort marrow to Blood</w:t>
            </w:r>
          </w:p>
        </w:tc>
        <w:tc>
          <w:tcPr>
            <w:tcW w:w="1011" w:type="dxa"/>
            <w:shd w:val="clear" w:color="auto" w:fill="auto"/>
            <w:noWrap/>
            <w:vAlign w:val="center"/>
          </w:tcPr>
          <w:p w14:paraId="5A55D404" w14:textId="77777777" w:rsidR="00A3213E" w:rsidRPr="00C47F2F" w:rsidRDefault="00A3213E" w:rsidP="004B19B0">
            <w:pPr>
              <w:pStyle w:val="Table"/>
              <w:rPr>
                <w:noProof/>
                <w:sz w:val="20"/>
                <w:szCs w:val="20"/>
              </w:rPr>
            </w:pPr>
            <w:r w:rsidRPr="00C47F2F">
              <w:rPr>
                <w:noProof/>
                <w:sz w:val="20"/>
                <w:szCs w:val="20"/>
              </w:rPr>
              <w:t>7.60E-03</w:t>
            </w:r>
          </w:p>
        </w:tc>
        <w:tc>
          <w:tcPr>
            <w:tcW w:w="1012" w:type="dxa"/>
            <w:shd w:val="clear" w:color="auto" w:fill="auto"/>
            <w:noWrap/>
            <w:vAlign w:val="center"/>
          </w:tcPr>
          <w:p w14:paraId="29B3853B" w14:textId="77777777" w:rsidR="00A3213E" w:rsidRPr="00C47F2F" w:rsidRDefault="00A3213E" w:rsidP="004B19B0">
            <w:pPr>
              <w:pStyle w:val="Table"/>
              <w:rPr>
                <w:noProof/>
                <w:sz w:val="20"/>
                <w:szCs w:val="20"/>
              </w:rPr>
            </w:pPr>
            <w:r w:rsidRPr="00C47F2F">
              <w:rPr>
                <w:noProof/>
                <w:sz w:val="20"/>
                <w:szCs w:val="20"/>
              </w:rPr>
              <w:t>7.60E-03</w:t>
            </w:r>
          </w:p>
        </w:tc>
        <w:tc>
          <w:tcPr>
            <w:tcW w:w="1012" w:type="dxa"/>
            <w:shd w:val="clear" w:color="auto" w:fill="auto"/>
            <w:noWrap/>
            <w:vAlign w:val="center"/>
          </w:tcPr>
          <w:p w14:paraId="670AF1DC" w14:textId="77777777" w:rsidR="00A3213E" w:rsidRPr="00C47F2F" w:rsidRDefault="00A3213E" w:rsidP="004B19B0">
            <w:pPr>
              <w:pStyle w:val="Table"/>
              <w:rPr>
                <w:noProof/>
                <w:sz w:val="20"/>
                <w:szCs w:val="20"/>
              </w:rPr>
            </w:pPr>
            <w:r w:rsidRPr="00C47F2F">
              <w:rPr>
                <w:noProof/>
                <w:sz w:val="20"/>
                <w:szCs w:val="20"/>
              </w:rPr>
              <w:t>7.60E-03</w:t>
            </w:r>
          </w:p>
        </w:tc>
        <w:tc>
          <w:tcPr>
            <w:tcW w:w="1012" w:type="dxa"/>
            <w:shd w:val="clear" w:color="auto" w:fill="auto"/>
            <w:noWrap/>
            <w:vAlign w:val="center"/>
          </w:tcPr>
          <w:p w14:paraId="29ED856D" w14:textId="77777777" w:rsidR="00A3213E" w:rsidRPr="00C47F2F" w:rsidRDefault="00A3213E" w:rsidP="004B19B0">
            <w:pPr>
              <w:pStyle w:val="Table"/>
              <w:rPr>
                <w:noProof/>
                <w:sz w:val="20"/>
                <w:szCs w:val="20"/>
              </w:rPr>
            </w:pPr>
            <w:r w:rsidRPr="00C47F2F">
              <w:rPr>
                <w:noProof/>
                <w:sz w:val="20"/>
                <w:szCs w:val="20"/>
              </w:rPr>
              <w:t>7.60E-03</w:t>
            </w:r>
          </w:p>
        </w:tc>
        <w:tc>
          <w:tcPr>
            <w:tcW w:w="1012" w:type="dxa"/>
            <w:shd w:val="clear" w:color="auto" w:fill="auto"/>
            <w:noWrap/>
            <w:vAlign w:val="center"/>
          </w:tcPr>
          <w:p w14:paraId="18246DC8" w14:textId="77777777" w:rsidR="00A3213E" w:rsidRPr="00C47F2F" w:rsidRDefault="00A3213E" w:rsidP="004B19B0">
            <w:pPr>
              <w:pStyle w:val="Table"/>
              <w:rPr>
                <w:noProof/>
                <w:sz w:val="20"/>
                <w:szCs w:val="20"/>
              </w:rPr>
            </w:pPr>
            <w:r w:rsidRPr="00C47F2F">
              <w:rPr>
                <w:noProof/>
                <w:sz w:val="20"/>
                <w:szCs w:val="20"/>
              </w:rPr>
              <w:t>7.60E-03</w:t>
            </w:r>
          </w:p>
        </w:tc>
        <w:tc>
          <w:tcPr>
            <w:tcW w:w="1012" w:type="dxa"/>
            <w:shd w:val="clear" w:color="auto" w:fill="auto"/>
            <w:noWrap/>
            <w:vAlign w:val="center"/>
          </w:tcPr>
          <w:p w14:paraId="48945A90" w14:textId="77777777" w:rsidR="00A3213E" w:rsidRPr="00C47F2F" w:rsidRDefault="00A3213E" w:rsidP="004B19B0">
            <w:pPr>
              <w:pStyle w:val="Table"/>
              <w:rPr>
                <w:noProof/>
                <w:sz w:val="20"/>
                <w:szCs w:val="20"/>
              </w:rPr>
            </w:pPr>
            <w:r w:rsidRPr="00C47F2F">
              <w:rPr>
                <w:noProof/>
                <w:sz w:val="20"/>
                <w:szCs w:val="20"/>
              </w:rPr>
              <w:t>7.60E-03</w:t>
            </w:r>
          </w:p>
        </w:tc>
      </w:tr>
      <w:tr w:rsidR="00A3213E" w:rsidRPr="00972C81" w14:paraId="16297667" w14:textId="77777777" w:rsidTr="004B19B0">
        <w:trPr>
          <w:trHeight w:val="340"/>
        </w:trPr>
        <w:tc>
          <w:tcPr>
            <w:tcW w:w="2956" w:type="dxa"/>
            <w:shd w:val="clear" w:color="auto" w:fill="auto"/>
            <w:noWrap/>
            <w:vAlign w:val="center"/>
          </w:tcPr>
          <w:p w14:paraId="3A513B4D" w14:textId="68108D2D" w:rsidR="00A3213E" w:rsidRPr="00A3213E" w:rsidRDefault="00A3213E" w:rsidP="004B19B0">
            <w:pPr>
              <w:pStyle w:val="Table"/>
              <w:rPr>
                <w:noProof/>
                <w:sz w:val="20"/>
                <w:szCs w:val="22"/>
              </w:rPr>
            </w:pPr>
            <w:r w:rsidRPr="00A3213E">
              <w:rPr>
                <w:noProof/>
                <w:sz w:val="20"/>
                <w:szCs w:val="22"/>
              </w:rPr>
              <w:t>Cort bone vol to Cort marrow</w:t>
            </w:r>
          </w:p>
        </w:tc>
        <w:tc>
          <w:tcPr>
            <w:tcW w:w="1011" w:type="dxa"/>
            <w:shd w:val="clear" w:color="auto" w:fill="auto"/>
            <w:noWrap/>
            <w:vAlign w:val="center"/>
          </w:tcPr>
          <w:p w14:paraId="595CBF54" w14:textId="77777777" w:rsidR="00A3213E" w:rsidRPr="00C47F2F" w:rsidRDefault="00A3213E" w:rsidP="004B19B0">
            <w:pPr>
              <w:pStyle w:val="Table"/>
              <w:rPr>
                <w:noProof/>
                <w:sz w:val="20"/>
                <w:szCs w:val="20"/>
              </w:rPr>
            </w:pPr>
            <w:r w:rsidRPr="00C47F2F">
              <w:rPr>
                <w:noProof/>
                <w:sz w:val="20"/>
                <w:szCs w:val="20"/>
              </w:rPr>
              <w:t>8.22E-03</w:t>
            </w:r>
          </w:p>
        </w:tc>
        <w:tc>
          <w:tcPr>
            <w:tcW w:w="1012" w:type="dxa"/>
            <w:shd w:val="clear" w:color="auto" w:fill="auto"/>
            <w:noWrap/>
            <w:vAlign w:val="center"/>
          </w:tcPr>
          <w:p w14:paraId="5624E8DC" w14:textId="77777777" w:rsidR="00A3213E" w:rsidRPr="00C47F2F" w:rsidRDefault="00A3213E" w:rsidP="004B19B0">
            <w:pPr>
              <w:pStyle w:val="Table"/>
              <w:rPr>
                <w:noProof/>
                <w:sz w:val="20"/>
                <w:szCs w:val="20"/>
              </w:rPr>
            </w:pPr>
            <w:r w:rsidRPr="00C47F2F">
              <w:rPr>
                <w:noProof/>
                <w:sz w:val="20"/>
                <w:szCs w:val="20"/>
              </w:rPr>
              <w:t>2.88E-03</w:t>
            </w:r>
          </w:p>
        </w:tc>
        <w:tc>
          <w:tcPr>
            <w:tcW w:w="1012" w:type="dxa"/>
            <w:shd w:val="clear" w:color="auto" w:fill="auto"/>
            <w:noWrap/>
            <w:vAlign w:val="center"/>
          </w:tcPr>
          <w:p w14:paraId="6106169D" w14:textId="77777777" w:rsidR="00A3213E" w:rsidRPr="00C47F2F" w:rsidRDefault="00A3213E" w:rsidP="004B19B0">
            <w:pPr>
              <w:pStyle w:val="Table"/>
              <w:rPr>
                <w:noProof/>
                <w:sz w:val="20"/>
                <w:szCs w:val="20"/>
              </w:rPr>
            </w:pPr>
            <w:r w:rsidRPr="00C47F2F">
              <w:rPr>
                <w:noProof/>
                <w:sz w:val="20"/>
                <w:szCs w:val="20"/>
              </w:rPr>
              <w:t>1.53E-03</w:t>
            </w:r>
          </w:p>
        </w:tc>
        <w:tc>
          <w:tcPr>
            <w:tcW w:w="1012" w:type="dxa"/>
            <w:shd w:val="clear" w:color="auto" w:fill="auto"/>
            <w:noWrap/>
            <w:vAlign w:val="center"/>
          </w:tcPr>
          <w:p w14:paraId="419E64F2" w14:textId="77777777" w:rsidR="00A3213E" w:rsidRPr="00C47F2F" w:rsidRDefault="00A3213E" w:rsidP="004B19B0">
            <w:pPr>
              <w:pStyle w:val="Table"/>
              <w:rPr>
                <w:noProof/>
                <w:sz w:val="20"/>
                <w:szCs w:val="20"/>
              </w:rPr>
            </w:pPr>
            <w:r w:rsidRPr="00C47F2F">
              <w:rPr>
                <w:noProof/>
                <w:sz w:val="20"/>
                <w:szCs w:val="20"/>
              </w:rPr>
              <w:t>9.04E-04</w:t>
            </w:r>
          </w:p>
        </w:tc>
        <w:tc>
          <w:tcPr>
            <w:tcW w:w="1012" w:type="dxa"/>
            <w:shd w:val="clear" w:color="auto" w:fill="auto"/>
            <w:noWrap/>
            <w:vAlign w:val="center"/>
          </w:tcPr>
          <w:p w14:paraId="74935E92" w14:textId="77777777" w:rsidR="00A3213E" w:rsidRPr="00C47F2F" w:rsidRDefault="00A3213E" w:rsidP="004B19B0">
            <w:pPr>
              <w:pStyle w:val="Table"/>
              <w:rPr>
                <w:noProof/>
                <w:sz w:val="20"/>
                <w:szCs w:val="20"/>
              </w:rPr>
            </w:pPr>
            <w:r w:rsidRPr="00C47F2F">
              <w:rPr>
                <w:noProof/>
                <w:sz w:val="20"/>
                <w:szCs w:val="20"/>
              </w:rPr>
              <w:t>5.21E-04</w:t>
            </w:r>
          </w:p>
        </w:tc>
        <w:tc>
          <w:tcPr>
            <w:tcW w:w="1012" w:type="dxa"/>
            <w:shd w:val="clear" w:color="auto" w:fill="auto"/>
            <w:noWrap/>
            <w:vAlign w:val="center"/>
          </w:tcPr>
          <w:p w14:paraId="549FEBE4" w14:textId="77777777" w:rsidR="00A3213E" w:rsidRPr="00C47F2F" w:rsidRDefault="00A3213E" w:rsidP="004B19B0">
            <w:pPr>
              <w:pStyle w:val="Table"/>
              <w:rPr>
                <w:noProof/>
                <w:sz w:val="20"/>
                <w:szCs w:val="20"/>
              </w:rPr>
            </w:pPr>
            <w:r w:rsidRPr="00C47F2F">
              <w:rPr>
                <w:noProof/>
                <w:sz w:val="20"/>
                <w:szCs w:val="20"/>
              </w:rPr>
              <w:t>8.21E-05</w:t>
            </w:r>
          </w:p>
        </w:tc>
      </w:tr>
      <w:tr w:rsidR="00A3213E" w:rsidRPr="00972C81" w14:paraId="73A274A0" w14:textId="77777777" w:rsidTr="004B19B0">
        <w:trPr>
          <w:trHeight w:val="340"/>
        </w:trPr>
        <w:tc>
          <w:tcPr>
            <w:tcW w:w="2956" w:type="dxa"/>
            <w:shd w:val="clear" w:color="auto" w:fill="auto"/>
            <w:noWrap/>
            <w:vAlign w:val="center"/>
          </w:tcPr>
          <w:p w14:paraId="4FB00876" w14:textId="7C2CF556" w:rsidR="00A3213E" w:rsidRPr="00A3213E" w:rsidRDefault="00A3213E" w:rsidP="004B19B0">
            <w:pPr>
              <w:pStyle w:val="Table"/>
              <w:rPr>
                <w:noProof/>
                <w:sz w:val="20"/>
                <w:szCs w:val="22"/>
              </w:rPr>
            </w:pPr>
            <w:r w:rsidRPr="00A3213E">
              <w:rPr>
                <w:noProof/>
                <w:sz w:val="20"/>
                <w:szCs w:val="22"/>
              </w:rPr>
              <w:t>Trab marrow to Blood</w:t>
            </w:r>
          </w:p>
        </w:tc>
        <w:tc>
          <w:tcPr>
            <w:tcW w:w="1011" w:type="dxa"/>
            <w:shd w:val="clear" w:color="auto" w:fill="auto"/>
            <w:noWrap/>
            <w:vAlign w:val="center"/>
          </w:tcPr>
          <w:p w14:paraId="2F4175CD" w14:textId="77777777" w:rsidR="00A3213E" w:rsidRPr="00C47F2F" w:rsidRDefault="00A3213E" w:rsidP="004B19B0">
            <w:pPr>
              <w:pStyle w:val="Table"/>
              <w:rPr>
                <w:noProof/>
                <w:sz w:val="20"/>
                <w:szCs w:val="20"/>
              </w:rPr>
            </w:pPr>
            <w:r w:rsidRPr="00C47F2F">
              <w:rPr>
                <w:noProof/>
                <w:sz w:val="20"/>
                <w:szCs w:val="20"/>
              </w:rPr>
              <w:t>7.60E-03</w:t>
            </w:r>
          </w:p>
        </w:tc>
        <w:tc>
          <w:tcPr>
            <w:tcW w:w="1012" w:type="dxa"/>
            <w:shd w:val="clear" w:color="auto" w:fill="auto"/>
            <w:noWrap/>
            <w:vAlign w:val="center"/>
          </w:tcPr>
          <w:p w14:paraId="7D5118A1" w14:textId="77777777" w:rsidR="00A3213E" w:rsidRPr="00C47F2F" w:rsidRDefault="00A3213E" w:rsidP="004B19B0">
            <w:pPr>
              <w:pStyle w:val="Table"/>
              <w:rPr>
                <w:noProof/>
                <w:sz w:val="20"/>
                <w:szCs w:val="20"/>
              </w:rPr>
            </w:pPr>
            <w:r w:rsidRPr="00C47F2F">
              <w:rPr>
                <w:noProof/>
                <w:sz w:val="20"/>
                <w:szCs w:val="20"/>
              </w:rPr>
              <w:t>7.60E-03</w:t>
            </w:r>
          </w:p>
        </w:tc>
        <w:tc>
          <w:tcPr>
            <w:tcW w:w="1012" w:type="dxa"/>
            <w:shd w:val="clear" w:color="auto" w:fill="auto"/>
            <w:noWrap/>
            <w:vAlign w:val="center"/>
          </w:tcPr>
          <w:p w14:paraId="2B2ACC8E" w14:textId="77777777" w:rsidR="00A3213E" w:rsidRPr="00C47F2F" w:rsidRDefault="00A3213E" w:rsidP="004B19B0">
            <w:pPr>
              <w:pStyle w:val="Table"/>
              <w:rPr>
                <w:noProof/>
                <w:sz w:val="20"/>
                <w:szCs w:val="20"/>
              </w:rPr>
            </w:pPr>
            <w:r w:rsidRPr="00C47F2F">
              <w:rPr>
                <w:noProof/>
                <w:sz w:val="20"/>
                <w:szCs w:val="20"/>
              </w:rPr>
              <w:t>7.60E-03</w:t>
            </w:r>
          </w:p>
        </w:tc>
        <w:tc>
          <w:tcPr>
            <w:tcW w:w="1012" w:type="dxa"/>
            <w:shd w:val="clear" w:color="auto" w:fill="auto"/>
            <w:noWrap/>
            <w:vAlign w:val="center"/>
          </w:tcPr>
          <w:p w14:paraId="23F62500" w14:textId="77777777" w:rsidR="00A3213E" w:rsidRPr="00C47F2F" w:rsidRDefault="00A3213E" w:rsidP="004B19B0">
            <w:pPr>
              <w:pStyle w:val="Table"/>
              <w:rPr>
                <w:noProof/>
                <w:sz w:val="20"/>
                <w:szCs w:val="20"/>
              </w:rPr>
            </w:pPr>
            <w:r w:rsidRPr="00C47F2F">
              <w:rPr>
                <w:noProof/>
                <w:sz w:val="20"/>
                <w:szCs w:val="20"/>
              </w:rPr>
              <w:t>7.60E-03</w:t>
            </w:r>
          </w:p>
        </w:tc>
        <w:tc>
          <w:tcPr>
            <w:tcW w:w="1012" w:type="dxa"/>
            <w:shd w:val="clear" w:color="auto" w:fill="auto"/>
            <w:noWrap/>
            <w:vAlign w:val="center"/>
          </w:tcPr>
          <w:p w14:paraId="34F63A6E" w14:textId="77777777" w:rsidR="00A3213E" w:rsidRPr="00C47F2F" w:rsidRDefault="00A3213E" w:rsidP="004B19B0">
            <w:pPr>
              <w:pStyle w:val="Table"/>
              <w:rPr>
                <w:noProof/>
                <w:sz w:val="20"/>
                <w:szCs w:val="20"/>
              </w:rPr>
            </w:pPr>
            <w:r w:rsidRPr="00C47F2F">
              <w:rPr>
                <w:noProof/>
                <w:sz w:val="20"/>
                <w:szCs w:val="20"/>
              </w:rPr>
              <w:t>7.60E-03</w:t>
            </w:r>
          </w:p>
        </w:tc>
        <w:tc>
          <w:tcPr>
            <w:tcW w:w="1012" w:type="dxa"/>
            <w:shd w:val="clear" w:color="auto" w:fill="auto"/>
            <w:noWrap/>
            <w:vAlign w:val="center"/>
          </w:tcPr>
          <w:p w14:paraId="652C6819" w14:textId="77777777" w:rsidR="00A3213E" w:rsidRPr="00C47F2F" w:rsidRDefault="00A3213E" w:rsidP="004B19B0">
            <w:pPr>
              <w:pStyle w:val="Table"/>
              <w:rPr>
                <w:noProof/>
                <w:sz w:val="20"/>
                <w:szCs w:val="20"/>
              </w:rPr>
            </w:pPr>
            <w:r w:rsidRPr="00C47F2F">
              <w:rPr>
                <w:noProof/>
                <w:sz w:val="20"/>
                <w:szCs w:val="20"/>
              </w:rPr>
              <w:t>7.60E-03</w:t>
            </w:r>
          </w:p>
        </w:tc>
      </w:tr>
      <w:tr w:rsidR="00A3213E" w:rsidRPr="00972C81" w14:paraId="7181ADD4" w14:textId="77777777" w:rsidTr="004B19B0">
        <w:trPr>
          <w:trHeight w:val="340"/>
        </w:trPr>
        <w:tc>
          <w:tcPr>
            <w:tcW w:w="2956" w:type="dxa"/>
            <w:tcBorders>
              <w:bottom w:val="single" w:sz="4" w:space="0" w:color="auto"/>
            </w:tcBorders>
            <w:shd w:val="clear" w:color="auto" w:fill="auto"/>
            <w:noWrap/>
            <w:vAlign w:val="center"/>
          </w:tcPr>
          <w:p w14:paraId="3A610D65" w14:textId="44F7AB83" w:rsidR="00A3213E" w:rsidRPr="00A3213E" w:rsidRDefault="00A3213E" w:rsidP="004B19B0">
            <w:pPr>
              <w:pStyle w:val="Table"/>
              <w:rPr>
                <w:noProof/>
                <w:sz w:val="20"/>
                <w:szCs w:val="22"/>
              </w:rPr>
            </w:pPr>
            <w:r w:rsidRPr="00A3213E">
              <w:rPr>
                <w:noProof/>
                <w:sz w:val="20"/>
                <w:szCs w:val="22"/>
              </w:rPr>
              <w:t>Trab bone vol to Trab marrow</w:t>
            </w:r>
          </w:p>
        </w:tc>
        <w:tc>
          <w:tcPr>
            <w:tcW w:w="1011" w:type="dxa"/>
            <w:tcBorders>
              <w:bottom w:val="single" w:sz="4" w:space="0" w:color="auto"/>
            </w:tcBorders>
            <w:shd w:val="clear" w:color="auto" w:fill="auto"/>
            <w:noWrap/>
            <w:vAlign w:val="center"/>
          </w:tcPr>
          <w:p w14:paraId="384BAB7E" w14:textId="77777777" w:rsidR="00A3213E" w:rsidRPr="00C47F2F" w:rsidRDefault="00A3213E" w:rsidP="004B19B0">
            <w:pPr>
              <w:pStyle w:val="Table"/>
              <w:rPr>
                <w:noProof/>
                <w:sz w:val="20"/>
                <w:szCs w:val="20"/>
              </w:rPr>
            </w:pPr>
            <w:r w:rsidRPr="00C47F2F">
              <w:rPr>
                <w:noProof/>
                <w:sz w:val="20"/>
                <w:szCs w:val="20"/>
              </w:rPr>
              <w:t>8.22E-03</w:t>
            </w:r>
          </w:p>
        </w:tc>
        <w:tc>
          <w:tcPr>
            <w:tcW w:w="1012" w:type="dxa"/>
            <w:tcBorders>
              <w:bottom w:val="single" w:sz="4" w:space="0" w:color="auto"/>
            </w:tcBorders>
            <w:shd w:val="clear" w:color="auto" w:fill="auto"/>
            <w:noWrap/>
            <w:vAlign w:val="center"/>
          </w:tcPr>
          <w:p w14:paraId="49FEC568" w14:textId="77777777" w:rsidR="00A3213E" w:rsidRPr="00C47F2F" w:rsidRDefault="00A3213E" w:rsidP="004B19B0">
            <w:pPr>
              <w:pStyle w:val="Table"/>
              <w:rPr>
                <w:noProof/>
                <w:sz w:val="20"/>
                <w:szCs w:val="20"/>
              </w:rPr>
            </w:pPr>
            <w:r w:rsidRPr="00C47F2F">
              <w:rPr>
                <w:noProof/>
                <w:sz w:val="20"/>
                <w:szCs w:val="20"/>
              </w:rPr>
              <w:t>2.88E-03</w:t>
            </w:r>
          </w:p>
        </w:tc>
        <w:tc>
          <w:tcPr>
            <w:tcW w:w="1012" w:type="dxa"/>
            <w:tcBorders>
              <w:bottom w:val="single" w:sz="4" w:space="0" w:color="auto"/>
            </w:tcBorders>
            <w:shd w:val="clear" w:color="auto" w:fill="auto"/>
            <w:noWrap/>
            <w:vAlign w:val="center"/>
          </w:tcPr>
          <w:p w14:paraId="4DE80F4E" w14:textId="77777777" w:rsidR="00A3213E" w:rsidRPr="00C47F2F" w:rsidRDefault="00A3213E" w:rsidP="004B19B0">
            <w:pPr>
              <w:pStyle w:val="Table"/>
              <w:rPr>
                <w:noProof/>
                <w:sz w:val="20"/>
                <w:szCs w:val="20"/>
              </w:rPr>
            </w:pPr>
            <w:r w:rsidRPr="00C47F2F">
              <w:rPr>
                <w:noProof/>
                <w:sz w:val="20"/>
                <w:szCs w:val="20"/>
              </w:rPr>
              <w:t>1.81E-03</w:t>
            </w:r>
          </w:p>
        </w:tc>
        <w:tc>
          <w:tcPr>
            <w:tcW w:w="1012" w:type="dxa"/>
            <w:tcBorders>
              <w:bottom w:val="single" w:sz="4" w:space="0" w:color="auto"/>
            </w:tcBorders>
            <w:shd w:val="clear" w:color="auto" w:fill="auto"/>
            <w:noWrap/>
            <w:vAlign w:val="center"/>
          </w:tcPr>
          <w:p w14:paraId="5AA00C16" w14:textId="77777777" w:rsidR="00A3213E" w:rsidRPr="00C47F2F" w:rsidRDefault="00A3213E" w:rsidP="004B19B0">
            <w:pPr>
              <w:pStyle w:val="Table"/>
              <w:rPr>
                <w:noProof/>
                <w:sz w:val="20"/>
                <w:szCs w:val="20"/>
              </w:rPr>
            </w:pPr>
            <w:r w:rsidRPr="00C47F2F">
              <w:rPr>
                <w:noProof/>
                <w:sz w:val="20"/>
                <w:szCs w:val="20"/>
              </w:rPr>
              <w:t>1.32E-03</w:t>
            </w:r>
          </w:p>
        </w:tc>
        <w:tc>
          <w:tcPr>
            <w:tcW w:w="1012" w:type="dxa"/>
            <w:tcBorders>
              <w:bottom w:val="single" w:sz="4" w:space="0" w:color="auto"/>
            </w:tcBorders>
            <w:shd w:val="clear" w:color="auto" w:fill="auto"/>
            <w:noWrap/>
            <w:vAlign w:val="center"/>
          </w:tcPr>
          <w:p w14:paraId="48FC7F49" w14:textId="77777777" w:rsidR="00A3213E" w:rsidRPr="00C47F2F" w:rsidRDefault="00A3213E" w:rsidP="004B19B0">
            <w:pPr>
              <w:pStyle w:val="Table"/>
              <w:rPr>
                <w:noProof/>
                <w:sz w:val="20"/>
                <w:szCs w:val="20"/>
              </w:rPr>
            </w:pPr>
            <w:r w:rsidRPr="00C47F2F">
              <w:rPr>
                <w:noProof/>
                <w:sz w:val="20"/>
                <w:szCs w:val="20"/>
              </w:rPr>
              <w:t>9.59E-04</w:t>
            </w:r>
          </w:p>
        </w:tc>
        <w:tc>
          <w:tcPr>
            <w:tcW w:w="1012" w:type="dxa"/>
            <w:tcBorders>
              <w:bottom w:val="single" w:sz="4" w:space="0" w:color="auto"/>
            </w:tcBorders>
            <w:shd w:val="clear" w:color="auto" w:fill="auto"/>
            <w:noWrap/>
            <w:vAlign w:val="center"/>
          </w:tcPr>
          <w:p w14:paraId="19ABDE73" w14:textId="77777777" w:rsidR="00A3213E" w:rsidRPr="00C47F2F" w:rsidRDefault="00A3213E" w:rsidP="004B19B0">
            <w:pPr>
              <w:pStyle w:val="Table"/>
              <w:rPr>
                <w:noProof/>
                <w:sz w:val="20"/>
                <w:szCs w:val="20"/>
              </w:rPr>
            </w:pPr>
            <w:r w:rsidRPr="00C47F2F">
              <w:rPr>
                <w:noProof/>
                <w:sz w:val="20"/>
                <w:szCs w:val="20"/>
              </w:rPr>
              <w:t>4.93E-04</w:t>
            </w:r>
          </w:p>
        </w:tc>
      </w:tr>
    </w:tbl>
    <w:p w14:paraId="363E5767" w14:textId="77777777" w:rsidR="00A3213E" w:rsidRPr="006A4B24" w:rsidRDefault="00A3213E" w:rsidP="00A3213E">
      <w:pPr>
        <w:pStyle w:val="MainTextPreference"/>
        <w:rPr>
          <w:noProof/>
          <w:sz w:val="20"/>
          <w:lang w:val="fr-FR"/>
        </w:rPr>
      </w:pPr>
      <w:r w:rsidRPr="006A4B24">
        <w:rPr>
          <w:noProof/>
          <w:sz w:val="20"/>
          <w:vertAlign w:val="superscript"/>
          <w:lang w:val="fr-FR"/>
        </w:rPr>
        <w:t>a</w:t>
      </w:r>
      <w:r w:rsidRPr="006A4B24">
        <w:rPr>
          <w:noProof/>
          <w:sz w:val="20"/>
          <w:lang w:val="fr-FR"/>
        </w:rPr>
        <w:t>Cort = Cortical, Trab = Trabecular, surf = surface, vol = volume, cont = content, SI = Small intestine</w:t>
      </w:r>
    </w:p>
    <w:p w14:paraId="34280BCE" w14:textId="3751517C" w:rsidR="0078660D" w:rsidRPr="00972C81" w:rsidRDefault="0078660D" w:rsidP="006703A2">
      <w:pPr>
        <w:pStyle w:val="OIRTitre4"/>
      </w:pPr>
      <w:r w:rsidRPr="00972C81">
        <w:t>Treatment of radioactive progeny</w:t>
      </w:r>
    </w:p>
    <w:p w14:paraId="618D71D8" w14:textId="408747BA" w:rsidR="0078660D" w:rsidRPr="00972C81" w:rsidRDefault="006220FE" w:rsidP="001C4A92">
      <w:pPr>
        <w:pStyle w:val="Annalstext"/>
        <w:rPr>
          <w:noProof/>
        </w:rPr>
      </w:pPr>
      <w:r w:rsidRPr="00972C81">
        <w:rPr>
          <w:rFonts w:eastAsia="Calibri"/>
          <w:noProof/>
        </w:rPr>
        <w:t xml:space="preserve">The treatment of radioactive progeny produced in systemic compartments after intake of a radioisotope of thorium is described in Section </w:t>
      </w:r>
      <w:r w:rsidR="006044EE" w:rsidRPr="00972C81">
        <w:rPr>
          <w:rFonts w:eastAsia="Calibri"/>
          <w:noProof/>
        </w:rPr>
        <w:t>1</w:t>
      </w:r>
      <w:r w:rsidRPr="00972C81">
        <w:rPr>
          <w:rFonts w:eastAsia="Calibri"/>
          <w:noProof/>
        </w:rPr>
        <w:t xml:space="preserve">4.2.3.3. of </w:t>
      </w:r>
      <w:r w:rsidRPr="00972C81">
        <w:rPr>
          <w:rFonts w:eastAsia="Calibri"/>
          <w:i/>
          <w:noProof/>
        </w:rPr>
        <w:t xml:space="preserve">Publication </w:t>
      </w:r>
      <w:r w:rsidR="006044EE" w:rsidRPr="00972C81">
        <w:rPr>
          <w:rFonts w:eastAsia="Calibri"/>
          <w:i/>
          <w:noProof/>
        </w:rPr>
        <w:t>137</w:t>
      </w:r>
      <w:r w:rsidRPr="00972C81">
        <w:rPr>
          <w:rFonts w:eastAsia="Calibri"/>
          <w:noProof/>
        </w:rPr>
        <w:t xml:space="preserve"> </w:t>
      </w:r>
      <w:r w:rsidR="00794AFC" w:rsidRPr="00972C81">
        <w:rPr>
          <w:rFonts w:eastAsia="Calibri"/>
          <w:noProof/>
        </w:rPr>
        <w:fldChar w:fldCharType="begin"/>
      </w:r>
      <w:r w:rsidR="00794AFC" w:rsidRPr="00972C81">
        <w:rPr>
          <w:rFonts w:eastAsia="Calibri"/>
          <w:noProof/>
        </w:rPr>
        <w:instrText xml:space="preserve"> ADDIN ZOTERO_ITEM CSL_CITATION {"citationID":"uQJFZu7V","properties":{"formattedCitation":"(ICRP, 2017)","plainCitation":"(ICRP, 2017)","noteIndex":0},"citationItems":[{"id":2566,"uris":["http://zotero.org/groups/2470620/items/BYB77JGB"],"itemData":{"id":2566,"type":"article-journal","container-title":"Annals of the ICRP","issue":"3/4","journalAbbreviation":"Ann. ICRP","language":"en","title":"Occupational intakes of radionuclides: Part 3. ICRP Publication 137","volume":"46","author":[{"literal":"ICRP"}],"issued":{"date-parts":[["2017"]]}}}],"schema":"https://github.com/citation-style-language/schema/raw/master/csl-citation.json"} </w:instrText>
      </w:r>
      <w:r w:rsidR="00794AFC" w:rsidRPr="00972C81">
        <w:rPr>
          <w:rFonts w:eastAsia="Calibri"/>
          <w:noProof/>
        </w:rPr>
        <w:fldChar w:fldCharType="separate"/>
      </w:r>
      <w:r w:rsidR="00BC59C6" w:rsidRPr="00972C81">
        <w:rPr>
          <w:noProof/>
        </w:rPr>
        <w:t>(ICRP, 2017)</w:t>
      </w:r>
      <w:r w:rsidR="00794AFC" w:rsidRPr="00972C81">
        <w:rPr>
          <w:rFonts w:eastAsia="Calibri"/>
          <w:noProof/>
        </w:rPr>
        <w:fldChar w:fldCharType="end"/>
      </w:r>
      <w:r w:rsidRPr="00972C81">
        <w:rPr>
          <w:rFonts w:eastAsia="Calibri"/>
          <w:noProof/>
        </w:rPr>
        <w:t xml:space="preserve">.  </w:t>
      </w:r>
    </w:p>
    <w:p w14:paraId="644641BF" w14:textId="77777777" w:rsidR="009B0EC9" w:rsidRPr="00972C81" w:rsidRDefault="009B0EC9" w:rsidP="00E81109">
      <w:pPr>
        <w:pStyle w:val="2"/>
        <w:rPr>
          <w:noProof/>
          <w:lang w:val="en-GB"/>
        </w:rPr>
      </w:pPr>
      <w:bookmarkStart w:id="266" w:name="_Toc162630084"/>
      <w:r w:rsidRPr="00972C81">
        <w:rPr>
          <w:noProof/>
          <w:lang w:val="en-GB"/>
        </w:rPr>
        <w:lastRenderedPageBreak/>
        <w:t>Dosimetric data for thorium</w:t>
      </w:r>
      <w:bookmarkEnd w:id="266"/>
      <w:r w:rsidRPr="00972C81">
        <w:rPr>
          <w:noProof/>
          <w:lang w:val="en-GB"/>
        </w:rPr>
        <w:t xml:space="preserve"> </w:t>
      </w:r>
    </w:p>
    <w:p w14:paraId="7EEAE5C9" w14:textId="7654C5EB" w:rsidR="00B44754" w:rsidRPr="00972C81" w:rsidRDefault="00B44754" w:rsidP="00706487">
      <w:pPr>
        <w:pStyle w:val="ab"/>
        <w:rPr>
          <w:noProof/>
          <w:sz w:val="24"/>
          <w:szCs w:val="24"/>
        </w:rPr>
      </w:pPr>
      <w:r w:rsidRPr="00972C81">
        <w:rPr>
          <w:noProof/>
          <w:sz w:val="24"/>
          <w:szCs w:val="24"/>
        </w:rPr>
        <w:t xml:space="preserve">Table </w:t>
      </w:r>
      <w:r w:rsidR="00706487" w:rsidRPr="00972C81">
        <w:rPr>
          <w:noProof/>
          <w:sz w:val="24"/>
          <w:szCs w:val="24"/>
        </w:rPr>
        <w:t>18</w:t>
      </w:r>
      <w:r w:rsidRPr="00972C81">
        <w:rPr>
          <w:noProof/>
          <w:sz w:val="24"/>
          <w:szCs w:val="24"/>
        </w:rPr>
        <w:t>.</w:t>
      </w:r>
      <w:r w:rsidR="00706487" w:rsidRPr="00972C81">
        <w:rPr>
          <w:noProof/>
          <w:sz w:val="24"/>
          <w:szCs w:val="24"/>
        </w:rPr>
        <w:t>3</w:t>
      </w:r>
      <w:r w:rsidRPr="00972C81">
        <w:rPr>
          <w:noProof/>
          <w:sz w:val="24"/>
          <w:szCs w:val="24"/>
        </w:rPr>
        <w:t>.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229</w:t>
      </w:r>
      <w:r w:rsidRPr="00972C81">
        <w:rPr>
          <w:noProof/>
          <w:sz w:val="24"/>
          <w:szCs w:val="24"/>
        </w:rPr>
        <w:t>Th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8"/>
        <w:gridCol w:w="876"/>
        <w:gridCol w:w="877"/>
        <w:gridCol w:w="877"/>
        <w:gridCol w:w="876"/>
        <w:gridCol w:w="877"/>
        <w:gridCol w:w="876"/>
      </w:tblGrid>
      <w:tr w:rsidR="00706487" w:rsidRPr="00A3213E" w14:paraId="52B9AA03" w14:textId="77777777" w:rsidTr="004B19B0">
        <w:trPr>
          <w:trHeight w:val="340"/>
        </w:trPr>
        <w:tc>
          <w:tcPr>
            <w:tcW w:w="2087" w:type="pct"/>
            <w:vMerge w:val="restart"/>
            <w:tcBorders>
              <w:top w:val="single" w:sz="4" w:space="0" w:color="auto"/>
              <w:left w:val="nil"/>
              <w:bottom w:val="single" w:sz="4" w:space="0" w:color="auto"/>
              <w:right w:val="nil"/>
            </w:tcBorders>
            <w:vAlign w:val="bottom"/>
            <w:hideMark/>
          </w:tcPr>
          <w:p w14:paraId="27F814D6" w14:textId="6EE3D471" w:rsidR="00932F86" w:rsidRPr="00C47F2F" w:rsidRDefault="00706487" w:rsidP="00C47F2F">
            <w:pPr>
              <w:pStyle w:val="a5"/>
              <w:tabs>
                <w:tab w:val="clear" w:pos="4153"/>
                <w:tab w:val="clear" w:pos="8306"/>
              </w:tabs>
              <w:jc w:val="left"/>
              <w:rPr>
                <w:noProof/>
                <w:sz w:val="22"/>
                <w:szCs w:val="22"/>
              </w:rPr>
            </w:pPr>
            <w:r w:rsidRPr="00C47F2F">
              <w:rPr>
                <w:noProof/>
                <w:sz w:val="22"/>
                <w:szCs w:val="22"/>
              </w:rPr>
              <w:t>Inhaled particulate materials</w:t>
            </w:r>
          </w:p>
          <w:p w14:paraId="23340C58" w14:textId="111D3146" w:rsidR="00706487" w:rsidRPr="00232741" w:rsidRDefault="00706487" w:rsidP="00C47F2F">
            <w:pPr>
              <w:pStyle w:val="GlossaryHeadChar"/>
              <w:widowControl w:val="0"/>
              <w:overflowPunct/>
              <w:autoSpaceDE/>
              <w:autoSpaceDN/>
              <w:adjustRightInd/>
              <w:spacing w:before="0" w:after="0"/>
              <w:textAlignment w:val="auto"/>
              <w:rPr>
                <w:noProof/>
                <w:sz w:val="22"/>
                <w:szCs w:val="22"/>
              </w:rPr>
            </w:pPr>
            <w:r w:rsidRPr="00C47F2F">
              <w:rPr>
                <w:rFonts w:eastAsiaTheme="minorEastAsia"/>
                <w:noProof/>
                <w:sz w:val="22"/>
                <w:szCs w:val="22"/>
                <w:lang w:eastAsia="en-US"/>
              </w:rPr>
              <w:t>(1 µm AMAD aerosols)</w:t>
            </w:r>
          </w:p>
        </w:tc>
        <w:tc>
          <w:tcPr>
            <w:tcW w:w="2913" w:type="pct"/>
            <w:gridSpan w:val="6"/>
            <w:tcBorders>
              <w:top w:val="single" w:sz="4" w:space="0" w:color="auto"/>
              <w:left w:val="nil"/>
              <w:bottom w:val="single" w:sz="4" w:space="0" w:color="auto"/>
              <w:right w:val="nil"/>
            </w:tcBorders>
            <w:vAlign w:val="center"/>
            <w:hideMark/>
          </w:tcPr>
          <w:p w14:paraId="1ECA5207" w14:textId="77777777" w:rsidR="00706487" w:rsidRPr="00C47F2F" w:rsidRDefault="00706487" w:rsidP="004B19B0">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706487" w:rsidRPr="00972C81" w14:paraId="3ADF1551" w14:textId="77777777" w:rsidTr="004B19B0">
        <w:trPr>
          <w:trHeight w:val="340"/>
        </w:trPr>
        <w:tc>
          <w:tcPr>
            <w:tcW w:w="2087" w:type="pct"/>
            <w:vMerge/>
            <w:tcBorders>
              <w:top w:val="single" w:sz="4" w:space="0" w:color="auto"/>
              <w:left w:val="nil"/>
              <w:bottom w:val="single" w:sz="4" w:space="0" w:color="auto"/>
              <w:right w:val="nil"/>
            </w:tcBorders>
            <w:vAlign w:val="center"/>
            <w:hideMark/>
          </w:tcPr>
          <w:p w14:paraId="37BC1C44" w14:textId="77777777" w:rsidR="00706487" w:rsidRPr="00932F86" w:rsidRDefault="00706487">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46953B1D" w14:textId="3395708F" w:rsidR="00706487" w:rsidRPr="00C47F2F" w:rsidRDefault="00706487" w:rsidP="004B19B0">
            <w:pPr>
              <w:jc w:val="left"/>
              <w:rPr>
                <w:noProof/>
                <w:sz w:val="22"/>
                <w:szCs w:val="22"/>
                <w:lang w:eastAsia="ko-KR"/>
              </w:rPr>
            </w:pPr>
            <w:r w:rsidRPr="00C47F2F">
              <w:rPr>
                <w:noProof/>
                <w:sz w:val="22"/>
                <w:szCs w:val="22"/>
              </w:rPr>
              <w:t>3</w:t>
            </w:r>
            <w:r w:rsidR="00932F86">
              <w:rPr>
                <w:rFonts w:hint="eastAsia"/>
                <w:noProof/>
                <w:sz w:val="22"/>
                <w:szCs w:val="22"/>
                <w:lang w:eastAsia="ko-KR"/>
              </w:rPr>
              <w:t xml:space="preserve"> </w:t>
            </w:r>
            <w:r w:rsidRPr="00C47F2F">
              <w:rPr>
                <w:noProof/>
                <w:sz w:val="22"/>
                <w:szCs w:val="22"/>
              </w:rPr>
              <w:t>m</w:t>
            </w:r>
            <w:r w:rsidR="004B19B0">
              <w:rPr>
                <w:rFonts w:hint="eastAsia"/>
                <w:noProof/>
                <w:sz w:val="22"/>
                <w:szCs w:val="22"/>
                <w:lang w:eastAsia="ko-KR"/>
              </w:rPr>
              <w:t>o</w:t>
            </w:r>
          </w:p>
        </w:tc>
        <w:tc>
          <w:tcPr>
            <w:tcW w:w="486" w:type="pct"/>
            <w:tcBorders>
              <w:top w:val="single" w:sz="4" w:space="0" w:color="auto"/>
              <w:left w:val="nil"/>
              <w:bottom w:val="single" w:sz="4" w:space="0" w:color="auto"/>
              <w:right w:val="nil"/>
            </w:tcBorders>
            <w:vAlign w:val="center"/>
            <w:hideMark/>
          </w:tcPr>
          <w:p w14:paraId="66099C47" w14:textId="07ED7012" w:rsidR="00706487" w:rsidRPr="00C47F2F" w:rsidRDefault="00706487" w:rsidP="004B19B0">
            <w:pPr>
              <w:jc w:val="left"/>
              <w:rPr>
                <w:noProof/>
                <w:sz w:val="22"/>
                <w:szCs w:val="22"/>
              </w:rPr>
            </w:pPr>
            <w:r w:rsidRPr="00C47F2F">
              <w:rPr>
                <w:noProof/>
                <w:sz w:val="22"/>
                <w:szCs w:val="22"/>
              </w:rPr>
              <w:t>1</w:t>
            </w:r>
            <w:r w:rsidR="00932F86">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19BD3A58" w14:textId="7F18E1F7" w:rsidR="00706487" w:rsidRPr="00C47F2F" w:rsidRDefault="00706487" w:rsidP="004B19B0">
            <w:pPr>
              <w:jc w:val="left"/>
              <w:rPr>
                <w:noProof/>
                <w:sz w:val="22"/>
                <w:szCs w:val="22"/>
              </w:rPr>
            </w:pPr>
            <w:r w:rsidRPr="00C47F2F">
              <w:rPr>
                <w:noProof/>
                <w:sz w:val="22"/>
                <w:szCs w:val="22"/>
              </w:rPr>
              <w:t>5</w:t>
            </w:r>
            <w:r w:rsidR="00932F86">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0B7400B0" w14:textId="22D5DC40" w:rsidR="00706487" w:rsidRPr="00C47F2F" w:rsidRDefault="00706487" w:rsidP="004B19B0">
            <w:pPr>
              <w:jc w:val="left"/>
              <w:rPr>
                <w:noProof/>
                <w:sz w:val="22"/>
                <w:szCs w:val="22"/>
              </w:rPr>
            </w:pPr>
            <w:r w:rsidRPr="00C47F2F">
              <w:rPr>
                <w:noProof/>
                <w:sz w:val="22"/>
                <w:szCs w:val="22"/>
              </w:rPr>
              <w:t>10</w:t>
            </w:r>
            <w:r w:rsidR="00932F86">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7C4B14AF" w14:textId="090AF22F" w:rsidR="00706487" w:rsidRPr="00C47F2F" w:rsidRDefault="00706487" w:rsidP="004B19B0">
            <w:pPr>
              <w:jc w:val="left"/>
              <w:rPr>
                <w:noProof/>
                <w:sz w:val="22"/>
                <w:szCs w:val="22"/>
              </w:rPr>
            </w:pPr>
            <w:r w:rsidRPr="00C47F2F">
              <w:rPr>
                <w:noProof/>
                <w:sz w:val="22"/>
                <w:szCs w:val="22"/>
              </w:rPr>
              <w:t>15</w:t>
            </w:r>
            <w:r w:rsidR="00932F86">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676578FB" w14:textId="77777777" w:rsidR="00706487" w:rsidRPr="00C47F2F" w:rsidRDefault="00706487" w:rsidP="004B19B0">
            <w:pPr>
              <w:jc w:val="left"/>
              <w:rPr>
                <w:noProof/>
                <w:sz w:val="22"/>
                <w:szCs w:val="22"/>
              </w:rPr>
            </w:pPr>
            <w:r w:rsidRPr="00C47F2F">
              <w:rPr>
                <w:noProof/>
                <w:sz w:val="22"/>
                <w:szCs w:val="22"/>
              </w:rPr>
              <w:t>Adult</w:t>
            </w:r>
          </w:p>
        </w:tc>
      </w:tr>
      <w:tr w:rsidR="00706487" w:rsidRPr="00972C81" w14:paraId="1DDDFE6C" w14:textId="77777777" w:rsidTr="004B19B0">
        <w:trPr>
          <w:trHeight w:val="340"/>
        </w:trPr>
        <w:tc>
          <w:tcPr>
            <w:tcW w:w="2087" w:type="pct"/>
            <w:tcBorders>
              <w:top w:val="single" w:sz="4" w:space="0" w:color="auto"/>
              <w:left w:val="nil"/>
              <w:bottom w:val="nil"/>
              <w:right w:val="nil"/>
            </w:tcBorders>
            <w:hideMark/>
          </w:tcPr>
          <w:p w14:paraId="1B419FFE" w14:textId="77777777" w:rsidR="00706487" w:rsidRPr="00C47F2F" w:rsidRDefault="00706487" w:rsidP="004B19B0">
            <w:pPr>
              <w:jc w:val="left"/>
              <w:rPr>
                <w:rFonts w:eastAsia="Times New Roman"/>
                <w:noProof/>
                <w:color w:val="000000"/>
                <w:sz w:val="22"/>
                <w:szCs w:val="22"/>
                <w:lang w:eastAsia="en-GB"/>
              </w:rPr>
            </w:pPr>
            <w:r w:rsidRPr="00C47F2F">
              <w:rPr>
                <w:rFonts w:eastAsia="Times New Roman"/>
                <w:noProof/>
                <w:color w:val="000000"/>
                <w:sz w:val="22"/>
                <w:szCs w:val="22"/>
              </w:rPr>
              <w:t>Water soluble forms, including chloride, citrate, fluoride, nitrate and sulphate</w:t>
            </w:r>
          </w:p>
        </w:tc>
        <w:tc>
          <w:tcPr>
            <w:tcW w:w="485" w:type="pct"/>
            <w:tcBorders>
              <w:top w:val="single" w:sz="4" w:space="0" w:color="auto"/>
              <w:left w:val="nil"/>
              <w:bottom w:val="nil"/>
              <w:right w:val="nil"/>
            </w:tcBorders>
            <w:hideMark/>
          </w:tcPr>
          <w:p w14:paraId="3FA38567"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2.1E-04</w:t>
            </w:r>
          </w:p>
        </w:tc>
        <w:tc>
          <w:tcPr>
            <w:tcW w:w="486" w:type="pct"/>
            <w:tcBorders>
              <w:top w:val="single" w:sz="4" w:space="0" w:color="auto"/>
              <w:left w:val="nil"/>
              <w:bottom w:val="nil"/>
              <w:right w:val="nil"/>
            </w:tcBorders>
            <w:hideMark/>
          </w:tcPr>
          <w:p w14:paraId="7F4187BF"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2.0E-04</w:t>
            </w:r>
          </w:p>
        </w:tc>
        <w:tc>
          <w:tcPr>
            <w:tcW w:w="486" w:type="pct"/>
            <w:tcBorders>
              <w:top w:val="single" w:sz="4" w:space="0" w:color="auto"/>
              <w:left w:val="nil"/>
              <w:bottom w:val="nil"/>
              <w:right w:val="nil"/>
            </w:tcBorders>
            <w:hideMark/>
          </w:tcPr>
          <w:p w14:paraId="1001A798"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1.1E-04</w:t>
            </w:r>
          </w:p>
        </w:tc>
        <w:tc>
          <w:tcPr>
            <w:tcW w:w="485" w:type="pct"/>
            <w:tcBorders>
              <w:top w:val="single" w:sz="4" w:space="0" w:color="auto"/>
              <w:left w:val="nil"/>
              <w:bottom w:val="nil"/>
              <w:right w:val="nil"/>
            </w:tcBorders>
            <w:hideMark/>
          </w:tcPr>
          <w:p w14:paraId="2A8739C7"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7.1E-05</w:t>
            </w:r>
          </w:p>
        </w:tc>
        <w:tc>
          <w:tcPr>
            <w:tcW w:w="486" w:type="pct"/>
            <w:tcBorders>
              <w:top w:val="single" w:sz="4" w:space="0" w:color="auto"/>
              <w:left w:val="nil"/>
              <w:bottom w:val="nil"/>
              <w:right w:val="nil"/>
            </w:tcBorders>
            <w:hideMark/>
          </w:tcPr>
          <w:p w14:paraId="20C04CAE"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5.9E-05</w:t>
            </w:r>
          </w:p>
        </w:tc>
        <w:tc>
          <w:tcPr>
            <w:tcW w:w="486" w:type="pct"/>
            <w:tcBorders>
              <w:top w:val="single" w:sz="4" w:space="0" w:color="auto"/>
              <w:left w:val="nil"/>
              <w:bottom w:val="nil"/>
              <w:right w:val="nil"/>
            </w:tcBorders>
            <w:hideMark/>
          </w:tcPr>
          <w:p w14:paraId="0C4A6A55"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5.4E-05</w:t>
            </w:r>
          </w:p>
        </w:tc>
      </w:tr>
      <w:tr w:rsidR="00706487" w:rsidRPr="00972C81" w14:paraId="0272E700" w14:textId="77777777" w:rsidTr="004B19B0">
        <w:trPr>
          <w:trHeight w:val="340"/>
        </w:trPr>
        <w:tc>
          <w:tcPr>
            <w:tcW w:w="2087" w:type="pct"/>
            <w:tcBorders>
              <w:top w:val="nil"/>
              <w:left w:val="nil"/>
              <w:bottom w:val="nil"/>
              <w:right w:val="nil"/>
            </w:tcBorders>
            <w:hideMark/>
          </w:tcPr>
          <w:p w14:paraId="687629E8" w14:textId="77777777" w:rsidR="00706487" w:rsidRPr="00C47F2F" w:rsidRDefault="00706487" w:rsidP="004B19B0">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18329DB9"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5.3E-04</w:t>
            </w:r>
          </w:p>
        </w:tc>
        <w:tc>
          <w:tcPr>
            <w:tcW w:w="486" w:type="pct"/>
            <w:tcBorders>
              <w:top w:val="nil"/>
              <w:left w:val="nil"/>
              <w:bottom w:val="nil"/>
              <w:right w:val="nil"/>
            </w:tcBorders>
            <w:hideMark/>
          </w:tcPr>
          <w:p w14:paraId="68D98005"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4.5E-04</w:t>
            </w:r>
          </w:p>
        </w:tc>
        <w:tc>
          <w:tcPr>
            <w:tcW w:w="486" w:type="pct"/>
            <w:tcBorders>
              <w:top w:val="nil"/>
              <w:left w:val="nil"/>
              <w:bottom w:val="nil"/>
              <w:right w:val="nil"/>
            </w:tcBorders>
            <w:hideMark/>
          </w:tcPr>
          <w:p w14:paraId="7B113A65"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2.3E-04</w:t>
            </w:r>
          </w:p>
        </w:tc>
        <w:tc>
          <w:tcPr>
            <w:tcW w:w="485" w:type="pct"/>
            <w:tcBorders>
              <w:top w:val="nil"/>
              <w:left w:val="nil"/>
              <w:bottom w:val="nil"/>
              <w:right w:val="nil"/>
            </w:tcBorders>
            <w:hideMark/>
          </w:tcPr>
          <w:p w14:paraId="5EFA3B30"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1.5E-04</w:t>
            </w:r>
          </w:p>
        </w:tc>
        <w:tc>
          <w:tcPr>
            <w:tcW w:w="486" w:type="pct"/>
            <w:tcBorders>
              <w:top w:val="nil"/>
              <w:left w:val="nil"/>
              <w:bottom w:val="nil"/>
              <w:right w:val="nil"/>
            </w:tcBorders>
            <w:hideMark/>
          </w:tcPr>
          <w:p w14:paraId="40BD7C13"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1.1E-04</w:t>
            </w:r>
          </w:p>
        </w:tc>
        <w:tc>
          <w:tcPr>
            <w:tcW w:w="486" w:type="pct"/>
            <w:tcBorders>
              <w:top w:val="nil"/>
              <w:left w:val="nil"/>
              <w:bottom w:val="nil"/>
              <w:right w:val="nil"/>
            </w:tcBorders>
            <w:hideMark/>
          </w:tcPr>
          <w:p w14:paraId="404DC45C"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1.0E-04</w:t>
            </w:r>
          </w:p>
        </w:tc>
      </w:tr>
      <w:tr w:rsidR="00706487" w:rsidRPr="00972C81" w14:paraId="547D5241" w14:textId="77777777" w:rsidTr="004B19B0">
        <w:trPr>
          <w:trHeight w:val="340"/>
        </w:trPr>
        <w:tc>
          <w:tcPr>
            <w:tcW w:w="2087" w:type="pct"/>
            <w:tcBorders>
              <w:top w:val="nil"/>
              <w:left w:val="nil"/>
              <w:bottom w:val="nil"/>
              <w:right w:val="nil"/>
            </w:tcBorders>
            <w:hideMark/>
          </w:tcPr>
          <w:p w14:paraId="0D149BDB" w14:textId="77777777" w:rsidR="00706487" w:rsidRPr="00C47F2F" w:rsidRDefault="00706487" w:rsidP="004B19B0">
            <w:pPr>
              <w:jc w:val="left"/>
              <w:rPr>
                <w:rFonts w:eastAsiaTheme="minorHAnsi"/>
                <w:noProof/>
                <w:sz w:val="22"/>
                <w:szCs w:val="22"/>
              </w:rPr>
            </w:pPr>
            <w:r w:rsidRPr="00C47F2F">
              <w:rPr>
                <w:noProof/>
                <w:sz w:val="22"/>
                <w:szCs w:val="22"/>
              </w:rPr>
              <w:t xml:space="preserve">Type M, </w:t>
            </w:r>
            <w:r w:rsidRPr="00C47F2F">
              <w:rPr>
                <w:rFonts w:eastAsia="Times New Roman"/>
                <w:noProof/>
                <w:color w:val="000000"/>
                <w:sz w:val="22"/>
                <w:szCs w:val="22"/>
                <w:lang w:eastAsia="en-GB"/>
              </w:rPr>
              <w:t>hydroxide</w:t>
            </w:r>
          </w:p>
        </w:tc>
        <w:tc>
          <w:tcPr>
            <w:tcW w:w="485" w:type="pct"/>
            <w:tcBorders>
              <w:top w:val="nil"/>
              <w:left w:val="nil"/>
              <w:bottom w:val="nil"/>
              <w:right w:val="nil"/>
            </w:tcBorders>
            <w:hideMark/>
          </w:tcPr>
          <w:p w14:paraId="6AABE485"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1.9E-04</w:t>
            </w:r>
          </w:p>
        </w:tc>
        <w:tc>
          <w:tcPr>
            <w:tcW w:w="486" w:type="pct"/>
            <w:tcBorders>
              <w:top w:val="nil"/>
              <w:left w:val="nil"/>
              <w:bottom w:val="nil"/>
              <w:right w:val="nil"/>
            </w:tcBorders>
            <w:hideMark/>
          </w:tcPr>
          <w:p w14:paraId="5F6AA97B"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1.8E-04</w:t>
            </w:r>
          </w:p>
        </w:tc>
        <w:tc>
          <w:tcPr>
            <w:tcW w:w="486" w:type="pct"/>
            <w:tcBorders>
              <w:top w:val="nil"/>
              <w:left w:val="nil"/>
              <w:bottom w:val="nil"/>
              <w:right w:val="nil"/>
            </w:tcBorders>
            <w:hideMark/>
          </w:tcPr>
          <w:p w14:paraId="19F4C92C"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1.0E-04</w:t>
            </w:r>
          </w:p>
        </w:tc>
        <w:tc>
          <w:tcPr>
            <w:tcW w:w="485" w:type="pct"/>
            <w:tcBorders>
              <w:top w:val="nil"/>
              <w:left w:val="nil"/>
              <w:bottom w:val="nil"/>
              <w:right w:val="nil"/>
            </w:tcBorders>
            <w:hideMark/>
          </w:tcPr>
          <w:p w14:paraId="5ED66FA1"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6.6E-05</w:t>
            </w:r>
          </w:p>
        </w:tc>
        <w:tc>
          <w:tcPr>
            <w:tcW w:w="486" w:type="pct"/>
            <w:tcBorders>
              <w:top w:val="nil"/>
              <w:left w:val="nil"/>
              <w:bottom w:val="nil"/>
              <w:right w:val="nil"/>
            </w:tcBorders>
            <w:hideMark/>
          </w:tcPr>
          <w:p w14:paraId="63855ABD"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5.6E-05</w:t>
            </w:r>
          </w:p>
        </w:tc>
        <w:tc>
          <w:tcPr>
            <w:tcW w:w="486" w:type="pct"/>
            <w:tcBorders>
              <w:top w:val="nil"/>
              <w:left w:val="nil"/>
              <w:bottom w:val="nil"/>
              <w:right w:val="nil"/>
            </w:tcBorders>
            <w:hideMark/>
          </w:tcPr>
          <w:p w14:paraId="0DF6EA0B"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5.1E-05</w:t>
            </w:r>
          </w:p>
        </w:tc>
      </w:tr>
      <w:tr w:rsidR="00706487" w:rsidRPr="00972C81" w14:paraId="157DFA64" w14:textId="77777777" w:rsidTr="004B19B0">
        <w:trPr>
          <w:trHeight w:val="340"/>
        </w:trPr>
        <w:tc>
          <w:tcPr>
            <w:tcW w:w="2087" w:type="pct"/>
            <w:tcBorders>
              <w:top w:val="nil"/>
              <w:left w:val="nil"/>
              <w:bottom w:val="single" w:sz="4" w:space="0" w:color="auto"/>
              <w:right w:val="nil"/>
            </w:tcBorders>
            <w:hideMark/>
          </w:tcPr>
          <w:p w14:paraId="66C97289" w14:textId="77777777" w:rsidR="00706487" w:rsidRPr="00C47F2F" w:rsidRDefault="00706487" w:rsidP="004B19B0">
            <w:pPr>
              <w:jc w:val="left"/>
              <w:rPr>
                <w:rFonts w:eastAsiaTheme="minorHAnsi"/>
                <w:noProof/>
                <w:sz w:val="22"/>
                <w:szCs w:val="22"/>
              </w:rPr>
            </w:pPr>
            <w:r w:rsidRPr="00C47F2F">
              <w:rPr>
                <w:noProof/>
                <w:sz w:val="22"/>
                <w:szCs w:val="22"/>
              </w:rPr>
              <w:t>Type S, oxide</w:t>
            </w:r>
          </w:p>
        </w:tc>
        <w:tc>
          <w:tcPr>
            <w:tcW w:w="485" w:type="pct"/>
            <w:tcBorders>
              <w:top w:val="nil"/>
              <w:left w:val="nil"/>
              <w:bottom w:val="single" w:sz="4" w:space="0" w:color="auto"/>
              <w:right w:val="nil"/>
            </w:tcBorders>
            <w:hideMark/>
          </w:tcPr>
          <w:p w14:paraId="593BD353"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3.4E-04</w:t>
            </w:r>
          </w:p>
        </w:tc>
        <w:tc>
          <w:tcPr>
            <w:tcW w:w="486" w:type="pct"/>
            <w:tcBorders>
              <w:top w:val="nil"/>
              <w:left w:val="nil"/>
              <w:bottom w:val="single" w:sz="4" w:space="0" w:color="auto"/>
              <w:right w:val="nil"/>
            </w:tcBorders>
            <w:hideMark/>
          </w:tcPr>
          <w:p w14:paraId="67270405"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3.4E-04</w:t>
            </w:r>
          </w:p>
        </w:tc>
        <w:tc>
          <w:tcPr>
            <w:tcW w:w="486" w:type="pct"/>
            <w:tcBorders>
              <w:top w:val="nil"/>
              <w:left w:val="nil"/>
              <w:bottom w:val="single" w:sz="4" w:space="0" w:color="auto"/>
              <w:right w:val="nil"/>
            </w:tcBorders>
            <w:hideMark/>
          </w:tcPr>
          <w:p w14:paraId="5ED23118"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2.5E-04</w:t>
            </w:r>
          </w:p>
        </w:tc>
        <w:tc>
          <w:tcPr>
            <w:tcW w:w="485" w:type="pct"/>
            <w:tcBorders>
              <w:top w:val="nil"/>
              <w:left w:val="nil"/>
              <w:bottom w:val="single" w:sz="4" w:space="0" w:color="auto"/>
              <w:right w:val="nil"/>
            </w:tcBorders>
            <w:hideMark/>
          </w:tcPr>
          <w:p w14:paraId="40B25A88"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1.8E-04</w:t>
            </w:r>
          </w:p>
        </w:tc>
        <w:tc>
          <w:tcPr>
            <w:tcW w:w="486" w:type="pct"/>
            <w:tcBorders>
              <w:top w:val="nil"/>
              <w:left w:val="nil"/>
              <w:bottom w:val="single" w:sz="4" w:space="0" w:color="auto"/>
              <w:right w:val="nil"/>
            </w:tcBorders>
            <w:hideMark/>
          </w:tcPr>
          <w:p w14:paraId="1547F411"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1.8E-04</w:t>
            </w:r>
          </w:p>
        </w:tc>
        <w:tc>
          <w:tcPr>
            <w:tcW w:w="486" w:type="pct"/>
            <w:tcBorders>
              <w:top w:val="nil"/>
              <w:left w:val="nil"/>
              <w:bottom w:val="single" w:sz="4" w:space="0" w:color="auto"/>
              <w:right w:val="nil"/>
            </w:tcBorders>
            <w:hideMark/>
          </w:tcPr>
          <w:p w14:paraId="046AEFCB"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1.8E-04</w:t>
            </w:r>
          </w:p>
        </w:tc>
      </w:tr>
      <w:tr w:rsidR="00706487" w:rsidRPr="00972C81" w14:paraId="459EC53C" w14:textId="77777777" w:rsidTr="004B19B0">
        <w:trPr>
          <w:trHeight w:val="340"/>
        </w:trPr>
        <w:tc>
          <w:tcPr>
            <w:tcW w:w="2087" w:type="pct"/>
            <w:tcBorders>
              <w:top w:val="single" w:sz="4" w:space="0" w:color="auto"/>
              <w:left w:val="nil"/>
              <w:bottom w:val="single" w:sz="4" w:space="0" w:color="auto"/>
              <w:right w:val="nil"/>
            </w:tcBorders>
          </w:tcPr>
          <w:p w14:paraId="1CFB9849" w14:textId="77777777" w:rsidR="00706487" w:rsidRPr="00C47F2F" w:rsidRDefault="00706487" w:rsidP="00C47F2F">
            <w:pPr>
              <w:jc w:val="left"/>
              <w:rPr>
                <w:rFonts w:eastAsiaTheme="minorHAnsi"/>
                <w:noProof/>
                <w:sz w:val="22"/>
                <w:szCs w:val="22"/>
              </w:rPr>
            </w:pPr>
          </w:p>
          <w:p w14:paraId="7B0DE6B5" w14:textId="77777777" w:rsidR="00706487" w:rsidRPr="00C47F2F" w:rsidRDefault="00706487"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5F58A4D0" w14:textId="77777777" w:rsidR="00706487" w:rsidRPr="00C47F2F" w:rsidRDefault="00706487"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66B7B187" w14:textId="77777777" w:rsidR="00706487" w:rsidRPr="00C47F2F" w:rsidRDefault="00706487"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30226C73" w14:textId="77777777" w:rsidR="00706487" w:rsidRPr="00C47F2F" w:rsidRDefault="00706487"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3A73A8A" w14:textId="77777777" w:rsidR="00706487" w:rsidRPr="00C47F2F" w:rsidRDefault="00706487"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317D93E7" w14:textId="77777777" w:rsidR="00706487" w:rsidRPr="00C47F2F" w:rsidRDefault="00706487"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399FE19B" w14:textId="77777777" w:rsidR="00706487" w:rsidRPr="00C47F2F" w:rsidRDefault="00706487" w:rsidP="00C47F2F">
            <w:pPr>
              <w:jc w:val="left"/>
              <w:rPr>
                <w:rFonts w:eastAsia="Times New Roman"/>
                <w:noProof/>
                <w:color w:val="000000"/>
                <w:sz w:val="22"/>
                <w:szCs w:val="22"/>
              </w:rPr>
            </w:pPr>
          </w:p>
        </w:tc>
      </w:tr>
      <w:tr w:rsidR="00706487" w:rsidRPr="00972C81" w14:paraId="76B42947" w14:textId="77777777" w:rsidTr="004B19B0">
        <w:trPr>
          <w:trHeight w:val="340"/>
        </w:trPr>
        <w:tc>
          <w:tcPr>
            <w:tcW w:w="2087" w:type="pct"/>
            <w:tcBorders>
              <w:top w:val="single" w:sz="4" w:space="0" w:color="auto"/>
              <w:left w:val="nil"/>
              <w:bottom w:val="single" w:sz="4" w:space="0" w:color="auto"/>
              <w:right w:val="nil"/>
            </w:tcBorders>
            <w:vAlign w:val="center"/>
            <w:hideMark/>
          </w:tcPr>
          <w:p w14:paraId="77016509" w14:textId="77777777" w:rsidR="00706487" w:rsidRPr="00C47F2F" w:rsidRDefault="00706487" w:rsidP="004B19B0">
            <w:pPr>
              <w:jc w:val="left"/>
              <w:rPr>
                <w:rFonts w:eastAsiaTheme="minorHAnsi"/>
                <w:noProof/>
                <w:sz w:val="22"/>
                <w:szCs w:val="22"/>
              </w:rPr>
            </w:pPr>
            <w:r w:rsidRPr="00C47F2F">
              <w:rPr>
                <w:noProof/>
                <w:sz w:val="22"/>
                <w:szCs w:val="22"/>
              </w:rPr>
              <w:t>All forms</w:t>
            </w:r>
          </w:p>
        </w:tc>
        <w:tc>
          <w:tcPr>
            <w:tcW w:w="485" w:type="pct"/>
            <w:tcBorders>
              <w:top w:val="single" w:sz="4" w:space="0" w:color="auto"/>
              <w:left w:val="nil"/>
              <w:bottom w:val="single" w:sz="4" w:space="0" w:color="auto"/>
              <w:right w:val="nil"/>
            </w:tcBorders>
            <w:vAlign w:val="center"/>
            <w:hideMark/>
          </w:tcPr>
          <w:p w14:paraId="0B8E0D19"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1.1E-05</w:t>
            </w:r>
          </w:p>
        </w:tc>
        <w:tc>
          <w:tcPr>
            <w:tcW w:w="486" w:type="pct"/>
            <w:tcBorders>
              <w:top w:val="single" w:sz="4" w:space="0" w:color="auto"/>
              <w:left w:val="nil"/>
              <w:bottom w:val="single" w:sz="4" w:space="0" w:color="auto"/>
              <w:right w:val="nil"/>
            </w:tcBorders>
            <w:vAlign w:val="center"/>
            <w:hideMark/>
          </w:tcPr>
          <w:p w14:paraId="63993140"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8.9E-07</w:t>
            </w:r>
          </w:p>
        </w:tc>
        <w:tc>
          <w:tcPr>
            <w:tcW w:w="486" w:type="pct"/>
            <w:tcBorders>
              <w:top w:val="single" w:sz="4" w:space="0" w:color="auto"/>
              <w:left w:val="nil"/>
              <w:bottom w:val="single" w:sz="4" w:space="0" w:color="auto"/>
              <w:right w:val="nil"/>
            </w:tcBorders>
            <w:vAlign w:val="center"/>
            <w:hideMark/>
          </w:tcPr>
          <w:p w14:paraId="070354CC"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5.0E-07</w:t>
            </w:r>
          </w:p>
        </w:tc>
        <w:tc>
          <w:tcPr>
            <w:tcW w:w="485" w:type="pct"/>
            <w:tcBorders>
              <w:top w:val="single" w:sz="4" w:space="0" w:color="auto"/>
              <w:left w:val="nil"/>
              <w:bottom w:val="single" w:sz="4" w:space="0" w:color="auto"/>
              <w:right w:val="nil"/>
            </w:tcBorders>
            <w:vAlign w:val="center"/>
            <w:hideMark/>
          </w:tcPr>
          <w:p w14:paraId="25D8C2D8"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3.2E-07</w:t>
            </w:r>
          </w:p>
        </w:tc>
        <w:tc>
          <w:tcPr>
            <w:tcW w:w="486" w:type="pct"/>
            <w:tcBorders>
              <w:top w:val="single" w:sz="4" w:space="0" w:color="auto"/>
              <w:left w:val="nil"/>
              <w:bottom w:val="single" w:sz="4" w:space="0" w:color="auto"/>
              <w:right w:val="nil"/>
            </w:tcBorders>
            <w:vAlign w:val="center"/>
            <w:hideMark/>
          </w:tcPr>
          <w:p w14:paraId="07B79CCF"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2.5E-07</w:t>
            </w:r>
          </w:p>
        </w:tc>
        <w:tc>
          <w:tcPr>
            <w:tcW w:w="486" w:type="pct"/>
            <w:tcBorders>
              <w:top w:val="single" w:sz="4" w:space="0" w:color="auto"/>
              <w:left w:val="nil"/>
              <w:bottom w:val="single" w:sz="4" w:space="0" w:color="auto"/>
              <w:right w:val="nil"/>
            </w:tcBorders>
            <w:vAlign w:val="center"/>
            <w:hideMark/>
          </w:tcPr>
          <w:p w14:paraId="2A07577D"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2.1E-07</w:t>
            </w:r>
          </w:p>
        </w:tc>
      </w:tr>
    </w:tbl>
    <w:p w14:paraId="2C5E4084" w14:textId="77777777" w:rsidR="00B75FF4" w:rsidRPr="00B75FF4" w:rsidRDefault="00B75FF4" w:rsidP="00C47F2F">
      <w:pPr>
        <w:pStyle w:val="GlossaryHeadChar"/>
        <w:overflowPunct/>
        <w:autoSpaceDE/>
        <w:autoSpaceDN/>
        <w:adjustRightInd/>
        <w:spacing w:before="0" w:after="0"/>
        <w:textAlignment w:val="auto"/>
        <w:rPr>
          <w:noProof/>
        </w:rPr>
      </w:pPr>
    </w:p>
    <w:p w14:paraId="1D6C6735" w14:textId="588058D6" w:rsidR="00706487" w:rsidRPr="00972C81" w:rsidRDefault="00706487" w:rsidP="00C47F2F">
      <w:pPr>
        <w:pStyle w:val="GlossaryHeadChar"/>
        <w:rPr>
          <w:noProof/>
          <w:szCs w:val="24"/>
        </w:rPr>
      </w:pPr>
      <w:r w:rsidRPr="00972C81">
        <w:rPr>
          <w:noProof/>
          <w:szCs w:val="24"/>
        </w:rPr>
        <w:t>Table 18.4. Committed effective dose coefficients (Sv Bq</w:t>
      </w:r>
      <w:r w:rsidRPr="00972C81">
        <w:rPr>
          <w:noProof/>
          <w:szCs w:val="24"/>
          <w:vertAlign w:val="superscript"/>
        </w:rPr>
        <w:t>-1</w:t>
      </w:r>
      <w:r w:rsidRPr="00972C81">
        <w:rPr>
          <w:noProof/>
          <w:szCs w:val="24"/>
        </w:rPr>
        <w:t xml:space="preserve">) for the inhalation or ingestion of </w:t>
      </w:r>
      <w:r w:rsidRPr="00972C81">
        <w:rPr>
          <w:noProof/>
          <w:szCs w:val="24"/>
          <w:vertAlign w:val="superscript"/>
        </w:rPr>
        <w:t>230</w:t>
      </w:r>
      <w:r w:rsidRPr="00972C81">
        <w:rPr>
          <w:noProof/>
          <w:szCs w:val="24"/>
        </w:rPr>
        <w:t>Th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8"/>
        <w:gridCol w:w="876"/>
        <w:gridCol w:w="877"/>
        <w:gridCol w:w="877"/>
        <w:gridCol w:w="876"/>
        <w:gridCol w:w="877"/>
        <w:gridCol w:w="876"/>
      </w:tblGrid>
      <w:tr w:rsidR="00706487" w:rsidRPr="00A3213E" w14:paraId="16DDBD69" w14:textId="77777777" w:rsidTr="00C47F2F">
        <w:trPr>
          <w:trHeight w:val="340"/>
        </w:trPr>
        <w:tc>
          <w:tcPr>
            <w:tcW w:w="2087" w:type="pct"/>
            <w:vMerge w:val="restart"/>
            <w:tcBorders>
              <w:top w:val="single" w:sz="4" w:space="0" w:color="auto"/>
              <w:left w:val="nil"/>
              <w:bottom w:val="single" w:sz="4" w:space="0" w:color="auto"/>
              <w:right w:val="nil"/>
            </w:tcBorders>
            <w:vAlign w:val="bottom"/>
            <w:hideMark/>
          </w:tcPr>
          <w:p w14:paraId="34B87D1B" w14:textId="77777777" w:rsidR="00932F86" w:rsidRPr="00C47F2F" w:rsidRDefault="00706487" w:rsidP="00C47F2F">
            <w:pPr>
              <w:pStyle w:val="a5"/>
              <w:tabs>
                <w:tab w:val="clear" w:pos="4153"/>
                <w:tab w:val="clear" w:pos="8306"/>
              </w:tabs>
              <w:jc w:val="left"/>
              <w:rPr>
                <w:noProof/>
                <w:sz w:val="22"/>
                <w:szCs w:val="22"/>
              </w:rPr>
            </w:pPr>
            <w:r w:rsidRPr="00C47F2F">
              <w:rPr>
                <w:noProof/>
                <w:sz w:val="22"/>
                <w:szCs w:val="22"/>
              </w:rPr>
              <w:t>Inhaled particulate materials</w:t>
            </w:r>
          </w:p>
          <w:p w14:paraId="27646E74" w14:textId="54381491" w:rsidR="00706487" w:rsidRPr="00932F86" w:rsidRDefault="00706487" w:rsidP="00C47F2F">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52EE3114" w14:textId="77777777" w:rsidR="00706487" w:rsidRPr="00C47F2F" w:rsidRDefault="00706487" w:rsidP="00932F86">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706487" w:rsidRPr="00972C81" w14:paraId="70D52E87" w14:textId="77777777" w:rsidTr="004B19B0">
        <w:trPr>
          <w:trHeight w:val="340"/>
        </w:trPr>
        <w:tc>
          <w:tcPr>
            <w:tcW w:w="2087" w:type="pct"/>
            <w:vMerge/>
            <w:tcBorders>
              <w:top w:val="single" w:sz="4" w:space="0" w:color="auto"/>
              <w:left w:val="nil"/>
              <w:bottom w:val="single" w:sz="4" w:space="0" w:color="auto"/>
              <w:right w:val="nil"/>
            </w:tcBorders>
            <w:vAlign w:val="center"/>
            <w:hideMark/>
          </w:tcPr>
          <w:p w14:paraId="53B82342" w14:textId="77777777" w:rsidR="00706487" w:rsidRPr="00932F86" w:rsidRDefault="00706487">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5A2D8B11" w14:textId="070BE702" w:rsidR="00706487" w:rsidRPr="00C47F2F" w:rsidRDefault="00706487" w:rsidP="004B19B0">
            <w:pPr>
              <w:jc w:val="left"/>
              <w:rPr>
                <w:noProof/>
                <w:sz w:val="22"/>
                <w:szCs w:val="22"/>
                <w:lang w:eastAsia="ko-KR"/>
              </w:rPr>
            </w:pPr>
            <w:r w:rsidRPr="00C47F2F">
              <w:rPr>
                <w:noProof/>
                <w:sz w:val="22"/>
                <w:szCs w:val="22"/>
              </w:rPr>
              <w:t>3</w:t>
            </w:r>
            <w:r w:rsidR="00932F86" w:rsidRPr="00C47F2F">
              <w:rPr>
                <w:noProof/>
                <w:sz w:val="22"/>
                <w:szCs w:val="22"/>
                <w:lang w:eastAsia="ko-KR"/>
              </w:rPr>
              <w:t xml:space="preserve"> </w:t>
            </w:r>
            <w:r w:rsidRPr="00C47F2F">
              <w:rPr>
                <w:noProof/>
                <w:sz w:val="22"/>
                <w:szCs w:val="22"/>
              </w:rPr>
              <w:t>m</w:t>
            </w:r>
            <w:r w:rsidR="004B19B0">
              <w:rPr>
                <w:rFonts w:hint="eastAsia"/>
                <w:noProof/>
                <w:sz w:val="22"/>
                <w:szCs w:val="22"/>
                <w:lang w:eastAsia="ko-KR"/>
              </w:rPr>
              <w:t>o</w:t>
            </w:r>
          </w:p>
        </w:tc>
        <w:tc>
          <w:tcPr>
            <w:tcW w:w="486" w:type="pct"/>
            <w:tcBorders>
              <w:top w:val="single" w:sz="4" w:space="0" w:color="auto"/>
              <w:left w:val="nil"/>
              <w:bottom w:val="single" w:sz="4" w:space="0" w:color="auto"/>
              <w:right w:val="nil"/>
            </w:tcBorders>
            <w:vAlign w:val="center"/>
            <w:hideMark/>
          </w:tcPr>
          <w:p w14:paraId="203D0131" w14:textId="515F7108" w:rsidR="00706487" w:rsidRPr="00C47F2F" w:rsidRDefault="00706487" w:rsidP="004B19B0">
            <w:pPr>
              <w:jc w:val="left"/>
              <w:rPr>
                <w:noProof/>
                <w:sz w:val="22"/>
                <w:szCs w:val="22"/>
              </w:rPr>
            </w:pPr>
            <w:r w:rsidRPr="00C47F2F">
              <w:rPr>
                <w:noProof/>
                <w:sz w:val="22"/>
                <w:szCs w:val="22"/>
              </w:rPr>
              <w:t>1</w:t>
            </w:r>
            <w:r w:rsidR="00932F86" w:rsidRPr="00C47F2F">
              <w:rPr>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5F636B7F" w14:textId="1F8C8442" w:rsidR="00706487" w:rsidRPr="00C47F2F" w:rsidRDefault="00706487" w:rsidP="004B19B0">
            <w:pPr>
              <w:jc w:val="left"/>
              <w:rPr>
                <w:noProof/>
                <w:sz w:val="22"/>
                <w:szCs w:val="22"/>
              </w:rPr>
            </w:pPr>
            <w:r w:rsidRPr="00C47F2F">
              <w:rPr>
                <w:noProof/>
                <w:sz w:val="22"/>
                <w:szCs w:val="22"/>
              </w:rPr>
              <w:t>5</w:t>
            </w:r>
            <w:r w:rsidR="00932F86" w:rsidRPr="00C47F2F">
              <w:rPr>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041FD7E8" w14:textId="4862FF44" w:rsidR="00706487" w:rsidRPr="00C47F2F" w:rsidRDefault="00706487" w:rsidP="004B19B0">
            <w:pPr>
              <w:jc w:val="left"/>
              <w:rPr>
                <w:noProof/>
                <w:sz w:val="22"/>
                <w:szCs w:val="22"/>
              </w:rPr>
            </w:pPr>
            <w:r w:rsidRPr="00C47F2F">
              <w:rPr>
                <w:noProof/>
                <w:sz w:val="22"/>
                <w:szCs w:val="22"/>
              </w:rPr>
              <w:t>10</w:t>
            </w:r>
            <w:r w:rsidR="00932F86" w:rsidRPr="00C47F2F">
              <w:rPr>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54AAA0EB" w14:textId="21374085" w:rsidR="00706487" w:rsidRPr="00C47F2F" w:rsidRDefault="00706487" w:rsidP="004B19B0">
            <w:pPr>
              <w:jc w:val="left"/>
              <w:rPr>
                <w:noProof/>
                <w:sz w:val="22"/>
                <w:szCs w:val="22"/>
              </w:rPr>
            </w:pPr>
            <w:r w:rsidRPr="00C47F2F">
              <w:rPr>
                <w:noProof/>
                <w:sz w:val="22"/>
                <w:szCs w:val="22"/>
              </w:rPr>
              <w:t>15</w:t>
            </w:r>
            <w:r w:rsidR="00932F86" w:rsidRPr="00C47F2F">
              <w:rPr>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30EC35B5" w14:textId="77777777" w:rsidR="00706487" w:rsidRPr="00C47F2F" w:rsidRDefault="00706487" w:rsidP="004B19B0">
            <w:pPr>
              <w:jc w:val="left"/>
              <w:rPr>
                <w:noProof/>
                <w:sz w:val="22"/>
                <w:szCs w:val="22"/>
              </w:rPr>
            </w:pPr>
            <w:r w:rsidRPr="00C47F2F">
              <w:rPr>
                <w:noProof/>
                <w:sz w:val="22"/>
                <w:szCs w:val="22"/>
              </w:rPr>
              <w:t>Adult</w:t>
            </w:r>
          </w:p>
        </w:tc>
      </w:tr>
      <w:tr w:rsidR="00706487" w:rsidRPr="00972C81" w14:paraId="406168ED" w14:textId="77777777" w:rsidTr="004B19B0">
        <w:trPr>
          <w:trHeight w:val="340"/>
        </w:trPr>
        <w:tc>
          <w:tcPr>
            <w:tcW w:w="2087" w:type="pct"/>
            <w:tcBorders>
              <w:top w:val="single" w:sz="4" w:space="0" w:color="auto"/>
              <w:left w:val="nil"/>
              <w:bottom w:val="nil"/>
              <w:right w:val="nil"/>
            </w:tcBorders>
            <w:hideMark/>
          </w:tcPr>
          <w:p w14:paraId="3D66DFB6" w14:textId="77777777" w:rsidR="00706487" w:rsidRPr="00C47F2F" w:rsidRDefault="00706487" w:rsidP="00C47F2F">
            <w:pPr>
              <w:jc w:val="left"/>
              <w:rPr>
                <w:rFonts w:eastAsia="Times New Roman"/>
                <w:noProof/>
                <w:color w:val="000000"/>
                <w:sz w:val="22"/>
                <w:szCs w:val="22"/>
                <w:lang w:eastAsia="en-GB"/>
              </w:rPr>
            </w:pPr>
            <w:r w:rsidRPr="00C47F2F">
              <w:rPr>
                <w:rFonts w:eastAsia="Times New Roman"/>
                <w:noProof/>
                <w:color w:val="000000"/>
                <w:sz w:val="22"/>
                <w:szCs w:val="22"/>
              </w:rPr>
              <w:t>Water soluble forms, including chloride, citrate, fluoride, nitrate and sulphate</w:t>
            </w:r>
          </w:p>
        </w:tc>
        <w:tc>
          <w:tcPr>
            <w:tcW w:w="485" w:type="pct"/>
            <w:tcBorders>
              <w:top w:val="single" w:sz="4" w:space="0" w:color="auto"/>
              <w:left w:val="nil"/>
              <w:bottom w:val="nil"/>
              <w:right w:val="nil"/>
            </w:tcBorders>
            <w:hideMark/>
          </w:tcPr>
          <w:p w14:paraId="2EA12DE6"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5.0E-05</w:t>
            </w:r>
          </w:p>
        </w:tc>
        <w:tc>
          <w:tcPr>
            <w:tcW w:w="486" w:type="pct"/>
            <w:tcBorders>
              <w:top w:val="single" w:sz="4" w:space="0" w:color="auto"/>
              <w:left w:val="nil"/>
              <w:bottom w:val="nil"/>
              <w:right w:val="nil"/>
            </w:tcBorders>
            <w:hideMark/>
          </w:tcPr>
          <w:p w14:paraId="786A8FCB"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4.6E-05</w:t>
            </w:r>
          </w:p>
        </w:tc>
        <w:tc>
          <w:tcPr>
            <w:tcW w:w="486" w:type="pct"/>
            <w:tcBorders>
              <w:top w:val="single" w:sz="4" w:space="0" w:color="auto"/>
              <w:left w:val="nil"/>
              <w:bottom w:val="nil"/>
              <w:right w:val="nil"/>
            </w:tcBorders>
            <w:hideMark/>
          </w:tcPr>
          <w:p w14:paraId="2B1B4447"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2.7E-05</w:t>
            </w:r>
          </w:p>
        </w:tc>
        <w:tc>
          <w:tcPr>
            <w:tcW w:w="485" w:type="pct"/>
            <w:tcBorders>
              <w:top w:val="single" w:sz="4" w:space="0" w:color="auto"/>
              <w:left w:val="nil"/>
              <w:bottom w:val="nil"/>
              <w:right w:val="nil"/>
            </w:tcBorders>
            <w:hideMark/>
          </w:tcPr>
          <w:p w14:paraId="50171010"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1.8E-05</w:t>
            </w:r>
          </w:p>
        </w:tc>
        <w:tc>
          <w:tcPr>
            <w:tcW w:w="486" w:type="pct"/>
            <w:tcBorders>
              <w:top w:val="single" w:sz="4" w:space="0" w:color="auto"/>
              <w:left w:val="nil"/>
              <w:bottom w:val="nil"/>
              <w:right w:val="nil"/>
            </w:tcBorders>
            <w:hideMark/>
          </w:tcPr>
          <w:p w14:paraId="1FD01F77"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1.6E-05</w:t>
            </w:r>
          </w:p>
        </w:tc>
        <w:tc>
          <w:tcPr>
            <w:tcW w:w="486" w:type="pct"/>
            <w:tcBorders>
              <w:top w:val="single" w:sz="4" w:space="0" w:color="auto"/>
              <w:left w:val="nil"/>
              <w:bottom w:val="nil"/>
              <w:right w:val="nil"/>
            </w:tcBorders>
            <w:hideMark/>
          </w:tcPr>
          <w:p w14:paraId="0E53D00E"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1.5E-05</w:t>
            </w:r>
          </w:p>
        </w:tc>
      </w:tr>
      <w:tr w:rsidR="00706487" w:rsidRPr="00972C81" w14:paraId="62656733" w14:textId="77777777" w:rsidTr="004B19B0">
        <w:trPr>
          <w:trHeight w:val="340"/>
        </w:trPr>
        <w:tc>
          <w:tcPr>
            <w:tcW w:w="2087" w:type="pct"/>
            <w:tcBorders>
              <w:top w:val="nil"/>
              <w:left w:val="nil"/>
              <w:bottom w:val="nil"/>
              <w:right w:val="nil"/>
            </w:tcBorders>
            <w:hideMark/>
          </w:tcPr>
          <w:p w14:paraId="74031CA5" w14:textId="77777777" w:rsidR="00706487" w:rsidRPr="00C47F2F" w:rsidRDefault="00706487" w:rsidP="00C47F2F">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366EC9E6"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1.3E-04</w:t>
            </w:r>
          </w:p>
        </w:tc>
        <w:tc>
          <w:tcPr>
            <w:tcW w:w="486" w:type="pct"/>
            <w:tcBorders>
              <w:top w:val="nil"/>
              <w:left w:val="nil"/>
              <w:bottom w:val="nil"/>
              <w:right w:val="nil"/>
            </w:tcBorders>
            <w:hideMark/>
          </w:tcPr>
          <w:p w14:paraId="53443C05"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1.1E-04</w:t>
            </w:r>
          </w:p>
        </w:tc>
        <w:tc>
          <w:tcPr>
            <w:tcW w:w="486" w:type="pct"/>
            <w:tcBorders>
              <w:top w:val="nil"/>
              <w:left w:val="nil"/>
              <w:bottom w:val="nil"/>
              <w:right w:val="nil"/>
            </w:tcBorders>
            <w:hideMark/>
          </w:tcPr>
          <w:p w14:paraId="7BBF5FE2"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5.9E-05</w:t>
            </w:r>
          </w:p>
        </w:tc>
        <w:tc>
          <w:tcPr>
            <w:tcW w:w="485" w:type="pct"/>
            <w:tcBorders>
              <w:top w:val="nil"/>
              <w:left w:val="nil"/>
              <w:bottom w:val="nil"/>
              <w:right w:val="nil"/>
            </w:tcBorders>
            <w:hideMark/>
          </w:tcPr>
          <w:p w14:paraId="77CE59A8"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3.9E-05</w:t>
            </w:r>
          </w:p>
        </w:tc>
        <w:tc>
          <w:tcPr>
            <w:tcW w:w="486" w:type="pct"/>
            <w:tcBorders>
              <w:top w:val="nil"/>
              <w:left w:val="nil"/>
              <w:bottom w:val="nil"/>
              <w:right w:val="nil"/>
            </w:tcBorders>
            <w:hideMark/>
          </w:tcPr>
          <w:p w14:paraId="42528C46"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3.2E-05</w:t>
            </w:r>
          </w:p>
        </w:tc>
        <w:tc>
          <w:tcPr>
            <w:tcW w:w="486" w:type="pct"/>
            <w:tcBorders>
              <w:top w:val="nil"/>
              <w:left w:val="nil"/>
              <w:bottom w:val="nil"/>
              <w:right w:val="nil"/>
            </w:tcBorders>
            <w:hideMark/>
          </w:tcPr>
          <w:p w14:paraId="73DC3836"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2.8E-05</w:t>
            </w:r>
          </w:p>
        </w:tc>
      </w:tr>
      <w:tr w:rsidR="00706487" w:rsidRPr="00972C81" w14:paraId="4916E41D" w14:textId="77777777" w:rsidTr="004B19B0">
        <w:trPr>
          <w:trHeight w:val="340"/>
        </w:trPr>
        <w:tc>
          <w:tcPr>
            <w:tcW w:w="2087" w:type="pct"/>
            <w:tcBorders>
              <w:top w:val="nil"/>
              <w:left w:val="nil"/>
              <w:bottom w:val="nil"/>
              <w:right w:val="nil"/>
            </w:tcBorders>
            <w:hideMark/>
          </w:tcPr>
          <w:p w14:paraId="67350BD5" w14:textId="77777777" w:rsidR="00706487" w:rsidRPr="00C47F2F" w:rsidRDefault="00706487" w:rsidP="00C47F2F">
            <w:pPr>
              <w:jc w:val="left"/>
              <w:rPr>
                <w:rFonts w:eastAsiaTheme="minorHAnsi"/>
                <w:noProof/>
                <w:sz w:val="22"/>
                <w:szCs w:val="22"/>
              </w:rPr>
            </w:pPr>
            <w:r w:rsidRPr="00C47F2F">
              <w:rPr>
                <w:noProof/>
                <w:sz w:val="22"/>
                <w:szCs w:val="22"/>
              </w:rPr>
              <w:t xml:space="preserve">Type M, </w:t>
            </w:r>
            <w:r w:rsidRPr="00C47F2F">
              <w:rPr>
                <w:rFonts w:eastAsia="Times New Roman"/>
                <w:noProof/>
                <w:color w:val="000000"/>
                <w:sz w:val="22"/>
                <w:szCs w:val="22"/>
                <w:lang w:eastAsia="en-GB"/>
              </w:rPr>
              <w:t>hydroxide</w:t>
            </w:r>
          </w:p>
        </w:tc>
        <w:tc>
          <w:tcPr>
            <w:tcW w:w="485" w:type="pct"/>
            <w:tcBorders>
              <w:top w:val="nil"/>
              <w:left w:val="nil"/>
              <w:bottom w:val="nil"/>
              <w:right w:val="nil"/>
            </w:tcBorders>
            <w:hideMark/>
          </w:tcPr>
          <w:p w14:paraId="7913D154"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4.6E-05</w:t>
            </w:r>
          </w:p>
        </w:tc>
        <w:tc>
          <w:tcPr>
            <w:tcW w:w="486" w:type="pct"/>
            <w:tcBorders>
              <w:top w:val="nil"/>
              <w:left w:val="nil"/>
              <w:bottom w:val="nil"/>
              <w:right w:val="nil"/>
            </w:tcBorders>
            <w:hideMark/>
          </w:tcPr>
          <w:p w14:paraId="08527363"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4.2E-05</w:t>
            </w:r>
          </w:p>
        </w:tc>
        <w:tc>
          <w:tcPr>
            <w:tcW w:w="486" w:type="pct"/>
            <w:tcBorders>
              <w:top w:val="nil"/>
              <w:left w:val="nil"/>
              <w:bottom w:val="nil"/>
              <w:right w:val="nil"/>
            </w:tcBorders>
            <w:hideMark/>
          </w:tcPr>
          <w:p w14:paraId="5E2157C8"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2.5E-05</w:t>
            </w:r>
          </w:p>
        </w:tc>
        <w:tc>
          <w:tcPr>
            <w:tcW w:w="485" w:type="pct"/>
            <w:tcBorders>
              <w:top w:val="nil"/>
              <w:left w:val="nil"/>
              <w:bottom w:val="nil"/>
              <w:right w:val="nil"/>
            </w:tcBorders>
            <w:hideMark/>
          </w:tcPr>
          <w:p w14:paraId="4031840D"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1.7E-05</w:t>
            </w:r>
          </w:p>
        </w:tc>
        <w:tc>
          <w:tcPr>
            <w:tcW w:w="486" w:type="pct"/>
            <w:tcBorders>
              <w:top w:val="nil"/>
              <w:left w:val="nil"/>
              <w:bottom w:val="nil"/>
              <w:right w:val="nil"/>
            </w:tcBorders>
            <w:hideMark/>
          </w:tcPr>
          <w:p w14:paraId="46A3ABE2"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1.5E-05</w:t>
            </w:r>
          </w:p>
        </w:tc>
        <w:tc>
          <w:tcPr>
            <w:tcW w:w="486" w:type="pct"/>
            <w:tcBorders>
              <w:top w:val="nil"/>
              <w:left w:val="nil"/>
              <w:bottom w:val="nil"/>
              <w:right w:val="nil"/>
            </w:tcBorders>
            <w:hideMark/>
          </w:tcPr>
          <w:p w14:paraId="1005C9AE"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1.4E-05</w:t>
            </w:r>
          </w:p>
        </w:tc>
      </w:tr>
      <w:tr w:rsidR="00706487" w:rsidRPr="00972C81" w14:paraId="47BA0034" w14:textId="77777777" w:rsidTr="004B19B0">
        <w:trPr>
          <w:trHeight w:val="340"/>
        </w:trPr>
        <w:tc>
          <w:tcPr>
            <w:tcW w:w="2087" w:type="pct"/>
            <w:tcBorders>
              <w:top w:val="nil"/>
              <w:left w:val="nil"/>
              <w:bottom w:val="single" w:sz="4" w:space="0" w:color="auto"/>
              <w:right w:val="nil"/>
            </w:tcBorders>
            <w:hideMark/>
          </w:tcPr>
          <w:p w14:paraId="0E3A0674" w14:textId="77777777" w:rsidR="00706487" w:rsidRPr="00C47F2F" w:rsidRDefault="00706487" w:rsidP="00C47F2F">
            <w:pPr>
              <w:jc w:val="left"/>
              <w:rPr>
                <w:rFonts w:eastAsiaTheme="minorHAnsi"/>
                <w:noProof/>
                <w:sz w:val="22"/>
                <w:szCs w:val="22"/>
              </w:rPr>
            </w:pPr>
            <w:r w:rsidRPr="00C47F2F">
              <w:rPr>
                <w:noProof/>
                <w:sz w:val="22"/>
                <w:szCs w:val="22"/>
              </w:rPr>
              <w:t>Type S, oxide</w:t>
            </w:r>
          </w:p>
        </w:tc>
        <w:tc>
          <w:tcPr>
            <w:tcW w:w="485" w:type="pct"/>
            <w:tcBorders>
              <w:top w:val="nil"/>
              <w:left w:val="nil"/>
              <w:bottom w:val="single" w:sz="4" w:space="0" w:color="auto"/>
              <w:right w:val="nil"/>
            </w:tcBorders>
            <w:hideMark/>
          </w:tcPr>
          <w:p w14:paraId="6316426A"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5.5E-05</w:t>
            </w:r>
          </w:p>
        </w:tc>
        <w:tc>
          <w:tcPr>
            <w:tcW w:w="486" w:type="pct"/>
            <w:tcBorders>
              <w:top w:val="nil"/>
              <w:left w:val="nil"/>
              <w:bottom w:val="single" w:sz="4" w:space="0" w:color="auto"/>
              <w:right w:val="nil"/>
            </w:tcBorders>
            <w:hideMark/>
          </w:tcPr>
          <w:p w14:paraId="67FED823"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5.4E-05</w:t>
            </w:r>
          </w:p>
        </w:tc>
        <w:tc>
          <w:tcPr>
            <w:tcW w:w="486" w:type="pct"/>
            <w:tcBorders>
              <w:top w:val="nil"/>
              <w:left w:val="nil"/>
              <w:bottom w:val="single" w:sz="4" w:space="0" w:color="auto"/>
              <w:right w:val="nil"/>
            </w:tcBorders>
            <w:hideMark/>
          </w:tcPr>
          <w:p w14:paraId="36B6ABAE"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3.8E-05</w:t>
            </w:r>
          </w:p>
        </w:tc>
        <w:tc>
          <w:tcPr>
            <w:tcW w:w="485" w:type="pct"/>
            <w:tcBorders>
              <w:top w:val="nil"/>
              <w:left w:val="nil"/>
              <w:bottom w:val="single" w:sz="4" w:space="0" w:color="auto"/>
              <w:right w:val="nil"/>
            </w:tcBorders>
            <w:hideMark/>
          </w:tcPr>
          <w:p w14:paraId="18E4FA72"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2.8E-05</w:t>
            </w:r>
          </w:p>
        </w:tc>
        <w:tc>
          <w:tcPr>
            <w:tcW w:w="486" w:type="pct"/>
            <w:tcBorders>
              <w:top w:val="nil"/>
              <w:left w:val="nil"/>
              <w:bottom w:val="single" w:sz="4" w:space="0" w:color="auto"/>
              <w:right w:val="nil"/>
            </w:tcBorders>
            <w:hideMark/>
          </w:tcPr>
          <w:p w14:paraId="23689ECA"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2.7E-05</w:t>
            </w:r>
          </w:p>
        </w:tc>
        <w:tc>
          <w:tcPr>
            <w:tcW w:w="486" w:type="pct"/>
            <w:tcBorders>
              <w:top w:val="nil"/>
              <w:left w:val="nil"/>
              <w:bottom w:val="single" w:sz="4" w:space="0" w:color="auto"/>
              <w:right w:val="nil"/>
            </w:tcBorders>
            <w:hideMark/>
          </w:tcPr>
          <w:p w14:paraId="7FA067C5" w14:textId="77777777" w:rsidR="00706487" w:rsidRPr="00C47F2F" w:rsidRDefault="00706487" w:rsidP="00C47F2F">
            <w:pPr>
              <w:jc w:val="left"/>
              <w:rPr>
                <w:rFonts w:eastAsia="Times New Roman"/>
                <w:noProof/>
                <w:color w:val="000000"/>
                <w:sz w:val="22"/>
                <w:szCs w:val="22"/>
              </w:rPr>
            </w:pPr>
            <w:r w:rsidRPr="00C47F2F">
              <w:rPr>
                <w:rFonts w:eastAsia="Times New Roman"/>
                <w:noProof/>
                <w:color w:val="000000"/>
                <w:sz w:val="22"/>
                <w:szCs w:val="22"/>
              </w:rPr>
              <w:t>2.7E-05</w:t>
            </w:r>
          </w:p>
        </w:tc>
      </w:tr>
      <w:tr w:rsidR="00706487" w:rsidRPr="00972C81" w14:paraId="57504CC0" w14:textId="77777777" w:rsidTr="004B19B0">
        <w:trPr>
          <w:trHeight w:val="340"/>
        </w:trPr>
        <w:tc>
          <w:tcPr>
            <w:tcW w:w="2087" w:type="pct"/>
            <w:tcBorders>
              <w:top w:val="single" w:sz="4" w:space="0" w:color="auto"/>
              <w:left w:val="nil"/>
              <w:bottom w:val="single" w:sz="4" w:space="0" w:color="auto"/>
              <w:right w:val="nil"/>
            </w:tcBorders>
          </w:tcPr>
          <w:p w14:paraId="45A6ACAC" w14:textId="77777777" w:rsidR="00706487" w:rsidRPr="00232741" w:rsidRDefault="00706487" w:rsidP="006243FB">
            <w:pPr>
              <w:pStyle w:val="af1"/>
              <w:rPr>
                <w:noProof/>
              </w:rPr>
            </w:pPr>
          </w:p>
          <w:p w14:paraId="263B1DE6" w14:textId="77777777" w:rsidR="00706487" w:rsidRPr="00C47F2F" w:rsidRDefault="00706487"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44F6CB1C" w14:textId="77777777" w:rsidR="00706487" w:rsidRPr="00C47F2F" w:rsidRDefault="00706487"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4ADAC0BF" w14:textId="77777777" w:rsidR="00706487" w:rsidRPr="00C47F2F" w:rsidRDefault="00706487"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4521357B" w14:textId="77777777" w:rsidR="00706487" w:rsidRPr="00C47F2F" w:rsidRDefault="00706487"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260D7E36" w14:textId="77777777" w:rsidR="00706487" w:rsidRPr="00C47F2F" w:rsidRDefault="00706487"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6EAF9EE1" w14:textId="77777777" w:rsidR="00706487" w:rsidRPr="00C47F2F" w:rsidRDefault="00706487"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626EFF98" w14:textId="77777777" w:rsidR="00706487" w:rsidRPr="00C47F2F" w:rsidRDefault="00706487" w:rsidP="00C47F2F">
            <w:pPr>
              <w:jc w:val="left"/>
              <w:rPr>
                <w:rFonts w:eastAsia="Times New Roman"/>
                <w:noProof/>
                <w:color w:val="000000"/>
                <w:sz w:val="22"/>
                <w:szCs w:val="22"/>
              </w:rPr>
            </w:pPr>
          </w:p>
        </w:tc>
      </w:tr>
      <w:tr w:rsidR="00706487" w:rsidRPr="00972C81" w14:paraId="15415A69" w14:textId="77777777" w:rsidTr="004B19B0">
        <w:trPr>
          <w:trHeight w:val="340"/>
        </w:trPr>
        <w:tc>
          <w:tcPr>
            <w:tcW w:w="2087" w:type="pct"/>
            <w:tcBorders>
              <w:top w:val="single" w:sz="4" w:space="0" w:color="auto"/>
              <w:left w:val="nil"/>
              <w:bottom w:val="single" w:sz="4" w:space="0" w:color="auto"/>
              <w:right w:val="nil"/>
            </w:tcBorders>
            <w:vAlign w:val="center"/>
            <w:hideMark/>
          </w:tcPr>
          <w:p w14:paraId="3E9D361F" w14:textId="77777777" w:rsidR="00706487" w:rsidRPr="00C47F2F" w:rsidRDefault="00706487" w:rsidP="004B19B0">
            <w:pPr>
              <w:jc w:val="left"/>
              <w:rPr>
                <w:rFonts w:eastAsiaTheme="minorHAnsi"/>
                <w:noProof/>
                <w:sz w:val="22"/>
                <w:szCs w:val="22"/>
              </w:rPr>
            </w:pPr>
            <w:r w:rsidRPr="00C47F2F">
              <w:rPr>
                <w:noProof/>
                <w:sz w:val="22"/>
                <w:szCs w:val="22"/>
              </w:rPr>
              <w:t>All forms</w:t>
            </w:r>
          </w:p>
        </w:tc>
        <w:tc>
          <w:tcPr>
            <w:tcW w:w="485" w:type="pct"/>
            <w:tcBorders>
              <w:top w:val="single" w:sz="4" w:space="0" w:color="auto"/>
              <w:left w:val="nil"/>
              <w:bottom w:val="single" w:sz="4" w:space="0" w:color="auto"/>
              <w:right w:val="nil"/>
            </w:tcBorders>
            <w:vAlign w:val="center"/>
            <w:hideMark/>
          </w:tcPr>
          <w:p w14:paraId="30320AF8"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2.5E-06</w:t>
            </w:r>
          </w:p>
        </w:tc>
        <w:tc>
          <w:tcPr>
            <w:tcW w:w="486" w:type="pct"/>
            <w:tcBorders>
              <w:top w:val="single" w:sz="4" w:space="0" w:color="auto"/>
              <w:left w:val="nil"/>
              <w:bottom w:val="single" w:sz="4" w:space="0" w:color="auto"/>
              <w:right w:val="nil"/>
            </w:tcBorders>
            <w:vAlign w:val="center"/>
            <w:hideMark/>
          </w:tcPr>
          <w:p w14:paraId="0ADB9F6B"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2.2E-07</w:t>
            </w:r>
          </w:p>
        </w:tc>
        <w:tc>
          <w:tcPr>
            <w:tcW w:w="486" w:type="pct"/>
            <w:tcBorders>
              <w:top w:val="single" w:sz="4" w:space="0" w:color="auto"/>
              <w:left w:val="nil"/>
              <w:bottom w:val="single" w:sz="4" w:space="0" w:color="auto"/>
              <w:right w:val="nil"/>
            </w:tcBorders>
            <w:vAlign w:val="center"/>
            <w:hideMark/>
          </w:tcPr>
          <w:p w14:paraId="267F7EC0"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1.3E-07</w:t>
            </w:r>
          </w:p>
        </w:tc>
        <w:tc>
          <w:tcPr>
            <w:tcW w:w="485" w:type="pct"/>
            <w:tcBorders>
              <w:top w:val="single" w:sz="4" w:space="0" w:color="auto"/>
              <w:left w:val="nil"/>
              <w:bottom w:val="single" w:sz="4" w:space="0" w:color="auto"/>
              <w:right w:val="nil"/>
            </w:tcBorders>
            <w:vAlign w:val="center"/>
            <w:hideMark/>
          </w:tcPr>
          <w:p w14:paraId="042E4C0B"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8.5E-08</w:t>
            </w:r>
          </w:p>
        </w:tc>
        <w:tc>
          <w:tcPr>
            <w:tcW w:w="486" w:type="pct"/>
            <w:tcBorders>
              <w:top w:val="single" w:sz="4" w:space="0" w:color="auto"/>
              <w:left w:val="nil"/>
              <w:bottom w:val="single" w:sz="4" w:space="0" w:color="auto"/>
              <w:right w:val="nil"/>
            </w:tcBorders>
            <w:vAlign w:val="center"/>
            <w:hideMark/>
          </w:tcPr>
          <w:p w14:paraId="7F27EFA0"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6.9E-08</w:t>
            </w:r>
          </w:p>
        </w:tc>
        <w:tc>
          <w:tcPr>
            <w:tcW w:w="486" w:type="pct"/>
            <w:tcBorders>
              <w:top w:val="single" w:sz="4" w:space="0" w:color="auto"/>
              <w:left w:val="nil"/>
              <w:bottom w:val="single" w:sz="4" w:space="0" w:color="auto"/>
              <w:right w:val="nil"/>
            </w:tcBorders>
            <w:vAlign w:val="center"/>
            <w:hideMark/>
          </w:tcPr>
          <w:p w14:paraId="3A20BEB8"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6.0E-08</w:t>
            </w:r>
          </w:p>
        </w:tc>
      </w:tr>
    </w:tbl>
    <w:p w14:paraId="12E331B5" w14:textId="77777777" w:rsidR="004B19B0" w:rsidRDefault="004B19B0">
      <w:pPr>
        <w:widowControl/>
        <w:jc w:val="left"/>
        <w:rPr>
          <w:noProof/>
          <w:szCs w:val="24"/>
        </w:rPr>
      </w:pPr>
      <w:r>
        <w:rPr>
          <w:noProof/>
          <w:szCs w:val="24"/>
        </w:rPr>
        <w:br w:type="page"/>
      </w:r>
    </w:p>
    <w:p w14:paraId="4A8AC186" w14:textId="18C684D9" w:rsidR="00706487" w:rsidRPr="00972C81" w:rsidRDefault="00706487" w:rsidP="00706487">
      <w:pPr>
        <w:pStyle w:val="ab"/>
        <w:rPr>
          <w:noProof/>
          <w:sz w:val="24"/>
          <w:szCs w:val="24"/>
        </w:rPr>
      </w:pPr>
      <w:r w:rsidRPr="00972C81">
        <w:rPr>
          <w:noProof/>
          <w:sz w:val="24"/>
          <w:szCs w:val="24"/>
        </w:rPr>
        <w:lastRenderedPageBreak/>
        <w:t>Table 18.5.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232</w:t>
      </w:r>
      <w:r w:rsidRPr="00972C81">
        <w:rPr>
          <w:noProof/>
          <w:sz w:val="24"/>
          <w:szCs w:val="24"/>
        </w:rPr>
        <w:t>Th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706487" w:rsidRPr="00A3213E" w14:paraId="3A8ECB6D" w14:textId="77777777" w:rsidTr="004B19B0">
        <w:trPr>
          <w:trHeight w:val="340"/>
        </w:trPr>
        <w:tc>
          <w:tcPr>
            <w:tcW w:w="2087" w:type="pct"/>
            <w:vMerge w:val="restart"/>
            <w:tcBorders>
              <w:top w:val="single" w:sz="4" w:space="0" w:color="auto"/>
              <w:left w:val="nil"/>
              <w:bottom w:val="single" w:sz="4" w:space="0" w:color="auto"/>
              <w:right w:val="nil"/>
            </w:tcBorders>
            <w:vAlign w:val="bottom"/>
            <w:hideMark/>
          </w:tcPr>
          <w:p w14:paraId="67527E15" w14:textId="0679E721" w:rsidR="00932F86" w:rsidRPr="00C47F2F" w:rsidRDefault="00706487" w:rsidP="00B66951">
            <w:pPr>
              <w:pStyle w:val="a5"/>
              <w:tabs>
                <w:tab w:val="clear" w:pos="4153"/>
                <w:tab w:val="clear" w:pos="8306"/>
              </w:tabs>
              <w:jc w:val="left"/>
              <w:rPr>
                <w:noProof/>
                <w:sz w:val="22"/>
                <w:szCs w:val="22"/>
              </w:rPr>
            </w:pPr>
            <w:r w:rsidRPr="00C47F2F">
              <w:rPr>
                <w:noProof/>
                <w:sz w:val="22"/>
                <w:szCs w:val="22"/>
              </w:rPr>
              <w:t>Inhaled particulate materials</w:t>
            </w:r>
          </w:p>
          <w:p w14:paraId="2975C44A" w14:textId="04A27440" w:rsidR="00706487" w:rsidRPr="00932F86" w:rsidRDefault="00706487" w:rsidP="00C47F2F">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25F81D75" w14:textId="77777777" w:rsidR="00706487" w:rsidRPr="00C47F2F" w:rsidRDefault="00706487" w:rsidP="004B19B0">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706487" w:rsidRPr="00972C81" w14:paraId="4780A0E5" w14:textId="77777777" w:rsidTr="004B19B0">
        <w:trPr>
          <w:trHeight w:val="340"/>
        </w:trPr>
        <w:tc>
          <w:tcPr>
            <w:tcW w:w="2087" w:type="pct"/>
            <w:vMerge/>
            <w:tcBorders>
              <w:top w:val="single" w:sz="4" w:space="0" w:color="auto"/>
              <w:left w:val="nil"/>
              <w:bottom w:val="single" w:sz="4" w:space="0" w:color="auto"/>
              <w:right w:val="nil"/>
            </w:tcBorders>
            <w:vAlign w:val="center"/>
            <w:hideMark/>
          </w:tcPr>
          <w:p w14:paraId="131ED7BD" w14:textId="77777777" w:rsidR="00706487" w:rsidRPr="00932F86" w:rsidRDefault="00706487">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2147178C" w14:textId="6EA9EF05" w:rsidR="00706487" w:rsidRPr="00C47F2F" w:rsidRDefault="00706487" w:rsidP="004B19B0">
            <w:pPr>
              <w:jc w:val="left"/>
              <w:rPr>
                <w:noProof/>
                <w:sz w:val="22"/>
                <w:szCs w:val="22"/>
                <w:lang w:eastAsia="ko-KR"/>
              </w:rPr>
            </w:pPr>
            <w:r w:rsidRPr="00C47F2F">
              <w:rPr>
                <w:noProof/>
                <w:sz w:val="22"/>
                <w:szCs w:val="22"/>
              </w:rPr>
              <w:t>3</w:t>
            </w:r>
            <w:r w:rsidR="00932F86" w:rsidRPr="00C47F2F">
              <w:rPr>
                <w:noProof/>
                <w:sz w:val="22"/>
                <w:szCs w:val="22"/>
                <w:lang w:eastAsia="ko-KR"/>
              </w:rPr>
              <w:t xml:space="preserve"> </w:t>
            </w:r>
            <w:r w:rsidRPr="00C47F2F">
              <w:rPr>
                <w:noProof/>
                <w:sz w:val="22"/>
                <w:szCs w:val="22"/>
              </w:rPr>
              <w:t>m</w:t>
            </w:r>
            <w:r w:rsidR="004B19B0">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3F5F1DF1" w14:textId="459327A5" w:rsidR="00706487" w:rsidRPr="00C47F2F" w:rsidRDefault="00706487" w:rsidP="004B19B0">
            <w:pPr>
              <w:jc w:val="left"/>
              <w:rPr>
                <w:noProof/>
                <w:sz w:val="22"/>
                <w:szCs w:val="22"/>
              </w:rPr>
            </w:pPr>
            <w:r w:rsidRPr="00C47F2F">
              <w:rPr>
                <w:noProof/>
                <w:sz w:val="22"/>
                <w:szCs w:val="22"/>
              </w:rPr>
              <w:t>1</w:t>
            </w:r>
            <w:r w:rsidR="00932F86" w:rsidRPr="00C47F2F">
              <w:rPr>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F0C765A" w14:textId="2CE44434" w:rsidR="00706487" w:rsidRPr="00C47F2F" w:rsidRDefault="00706487" w:rsidP="004B19B0">
            <w:pPr>
              <w:jc w:val="left"/>
              <w:rPr>
                <w:noProof/>
                <w:sz w:val="22"/>
                <w:szCs w:val="22"/>
              </w:rPr>
            </w:pPr>
            <w:r w:rsidRPr="00C47F2F">
              <w:rPr>
                <w:noProof/>
                <w:sz w:val="22"/>
                <w:szCs w:val="22"/>
              </w:rPr>
              <w:t>5</w:t>
            </w:r>
            <w:r w:rsidR="00932F86" w:rsidRPr="00C47F2F">
              <w:rPr>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5C251F54" w14:textId="0B37C4C2" w:rsidR="00706487" w:rsidRPr="00C47F2F" w:rsidRDefault="00706487" w:rsidP="004B19B0">
            <w:pPr>
              <w:jc w:val="left"/>
              <w:rPr>
                <w:noProof/>
                <w:sz w:val="22"/>
                <w:szCs w:val="22"/>
              </w:rPr>
            </w:pPr>
            <w:r w:rsidRPr="00C47F2F">
              <w:rPr>
                <w:noProof/>
                <w:sz w:val="22"/>
                <w:szCs w:val="22"/>
              </w:rPr>
              <w:t>10</w:t>
            </w:r>
            <w:r w:rsidR="00932F86" w:rsidRPr="00C47F2F">
              <w:rPr>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172FC20B" w14:textId="4E51EBBB" w:rsidR="00706487" w:rsidRPr="00C47F2F" w:rsidRDefault="00706487" w:rsidP="004B19B0">
            <w:pPr>
              <w:jc w:val="left"/>
              <w:rPr>
                <w:noProof/>
                <w:sz w:val="22"/>
                <w:szCs w:val="22"/>
              </w:rPr>
            </w:pPr>
            <w:r w:rsidRPr="00C47F2F">
              <w:rPr>
                <w:noProof/>
                <w:sz w:val="22"/>
                <w:szCs w:val="22"/>
              </w:rPr>
              <w:t>15</w:t>
            </w:r>
            <w:r w:rsidR="00932F86" w:rsidRPr="00C47F2F">
              <w:rPr>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1E33E263" w14:textId="77777777" w:rsidR="00706487" w:rsidRPr="00C47F2F" w:rsidRDefault="00706487" w:rsidP="004B19B0">
            <w:pPr>
              <w:jc w:val="left"/>
              <w:rPr>
                <w:noProof/>
                <w:sz w:val="22"/>
                <w:szCs w:val="22"/>
              </w:rPr>
            </w:pPr>
            <w:r w:rsidRPr="00C47F2F">
              <w:rPr>
                <w:noProof/>
                <w:sz w:val="22"/>
                <w:szCs w:val="22"/>
              </w:rPr>
              <w:t>Adult</w:t>
            </w:r>
          </w:p>
        </w:tc>
      </w:tr>
      <w:tr w:rsidR="00706487" w:rsidRPr="00972C81" w14:paraId="420D101A" w14:textId="77777777" w:rsidTr="004B19B0">
        <w:trPr>
          <w:trHeight w:val="340"/>
        </w:trPr>
        <w:tc>
          <w:tcPr>
            <w:tcW w:w="2087" w:type="pct"/>
            <w:tcBorders>
              <w:top w:val="single" w:sz="4" w:space="0" w:color="auto"/>
              <w:left w:val="nil"/>
              <w:bottom w:val="nil"/>
              <w:right w:val="nil"/>
            </w:tcBorders>
            <w:hideMark/>
          </w:tcPr>
          <w:p w14:paraId="2CA93C1F" w14:textId="77777777" w:rsidR="00706487" w:rsidRPr="00C47F2F" w:rsidRDefault="00706487" w:rsidP="004B19B0">
            <w:pPr>
              <w:jc w:val="left"/>
              <w:rPr>
                <w:rFonts w:eastAsia="Times New Roman"/>
                <w:noProof/>
                <w:color w:val="000000"/>
                <w:sz w:val="22"/>
                <w:szCs w:val="22"/>
                <w:lang w:eastAsia="en-GB"/>
              </w:rPr>
            </w:pPr>
            <w:r w:rsidRPr="00C47F2F">
              <w:rPr>
                <w:rFonts w:eastAsia="Times New Roman"/>
                <w:noProof/>
                <w:color w:val="000000"/>
                <w:sz w:val="22"/>
                <w:szCs w:val="22"/>
              </w:rPr>
              <w:t>Water soluble forms, including chloride, citrate, fluoride, nitrate and sulphate</w:t>
            </w:r>
          </w:p>
        </w:tc>
        <w:tc>
          <w:tcPr>
            <w:tcW w:w="485" w:type="pct"/>
            <w:tcBorders>
              <w:top w:val="single" w:sz="4" w:space="0" w:color="auto"/>
              <w:left w:val="nil"/>
              <w:bottom w:val="nil"/>
              <w:right w:val="nil"/>
            </w:tcBorders>
            <w:hideMark/>
          </w:tcPr>
          <w:p w14:paraId="73743D50"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5.2E-05</w:t>
            </w:r>
          </w:p>
        </w:tc>
        <w:tc>
          <w:tcPr>
            <w:tcW w:w="485" w:type="pct"/>
            <w:tcBorders>
              <w:top w:val="single" w:sz="4" w:space="0" w:color="auto"/>
              <w:left w:val="nil"/>
              <w:bottom w:val="nil"/>
              <w:right w:val="nil"/>
            </w:tcBorders>
            <w:hideMark/>
          </w:tcPr>
          <w:p w14:paraId="4D610DEA"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4.9E-05</w:t>
            </w:r>
          </w:p>
        </w:tc>
        <w:tc>
          <w:tcPr>
            <w:tcW w:w="485" w:type="pct"/>
            <w:tcBorders>
              <w:top w:val="single" w:sz="4" w:space="0" w:color="auto"/>
              <w:left w:val="nil"/>
              <w:bottom w:val="nil"/>
              <w:right w:val="nil"/>
            </w:tcBorders>
            <w:hideMark/>
          </w:tcPr>
          <w:p w14:paraId="1F5F9A8F"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3.1E-05</w:t>
            </w:r>
          </w:p>
        </w:tc>
        <w:tc>
          <w:tcPr>
            <w:tcW w:w="485" w:type="pct"/>
            <w:tcBorders>
              <w:top w:val="single" w:sz="4" w:space="0" w:color="auto"/>
              <w:left w:val="nil"/>
              <w:bottom w:val="nil"/>
              <w:right w:val="nil"/>
            </w:tcBorders>
            <w:hideMark/>
          </w:tcPr>
          <w:p w14:paraId="31B91D8B"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2.1E-05</w:t>
            </w:r>
          </w:p>
        </w:tc>
        <w:tc>
          <w:tcPr>
            <w:tcW w:w="485" w:type="pct"/>
            <w:tcBorders>
              <w:top w:val="single" w:sz="4" w:space="0" w:color="auto"/>
              <w:left w:val="nil"/>
              <w:bottom w:val="nil"/>
              <w:right w:val="nil"/>
            </w:tcBorders>
            <w:hideMark/>
          </w:tcPr>
          <w:p w14:paraId="25AF1CD0"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1.8E-05</w:t>
            </w:r>
          </w:p>
        </w:tc>
        <w:tc>
          <w:tcPr>
            <w:tcW w:w="486" w:type="pct"/>
            <w:tcBorders>
              <w:top w:val="single" w:sz="4" w:space="0" w:color="auto"/>
              <w:left w:val="nil"/>
              <w:bottom w:val="nil"/>
              <w:right w:val="nil"/>
            </w:tcBorders>
            <w:hideMark/>
          </w:tcPr>
          <w:p w14:paraId="49F11DB2"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1.7E-05</w:t>
            </w:r>
          </w:p>
        </w:tc>
      </w:tr>
      <w:tr w:rsidR="00706487" w:rsidRPr="00972C81" w14:paraId="43168AF0" w14:textId="77777777" w:rsidTr="004B19B0">
        <w:trPr>
          <w:trHeight w:val="340"/>
        </w:trPr>
        <w:tc>
          <w:tcPr>
            <w:tcW w:w="2087" w:type="pct"/>
            <w:tcBorders>
              <w:top w:val="nil"/>
              <w:left w:val="nil"/>
              <w:bottom w:val="nil"/>
              <w:right w:val="nil"/>
            </w:tcBorders>
            <w:hideMark/>
          </w:tcPr>
          <w:p w14:paraId="0A2F9881" w14:textId="77777777" w:rsidR="00706487" w:rsidRPr="00C47F2F" w:rsidRDefault="00706487" w:rsidP="004B19B0">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5EFA4548"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1.3E-04</w:t>
            </w:r>
          </w:p>
        </w:tc>
        <w:tc>
          <w:tcPr>
            <w:tcW w:w="485" w:type="pct"/>
            <w:tcBorders>
              <w:top w:val="nil"/>
              <w:left w:val="nil"/>
              <w:bottom w:val="nil"/>
              <w:right w:val="nil"/>
            </w:tcBorders>
            <w:hideMark/>
          </w:tcPr>
          <w:p w14:paraId="4240D2BE"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1.2E-04</w:t>
            </w:r>
          </w:p>
        </w:tc>
        <w:tc>
          <w:tcPr>
            <w:tcW w:w="485" w:type="pct"/>
            <w:tcBorders>
              <w:top w:val="nil"/>
              <w:left w:val="nil"/>
              <w:bottom w:val="nil"/>
              <w:right w:val="nil"/>
            </w:tcBorders>
            <w:hideMark/>
          </w:tcPr>
          <w:p w14:paraId="4BE198F7"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6.9E-05</w:t>
            </w:r>
          </w:p>
        </w:tc>
        <w:tc>
          <w:tcPr>
            <w:tcW w:w="485" w:type="pct"/>
            <w:tcBorders>
              <w:top w:val="nil"/>
              <w:left w:val="nil"/>
              <w:bottom w:val="nil"/>
              <w:right w:val="nil"/>
            </w:tcBorders>
            <w:hideMark/>
          </w:tcPr>
          <w:p w14:paraId="28B622AF"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4.9E-05</w:t>
            </w:r>
          </w:p>
        </w:tc>
        <w:tc>
          <w:tcPr>
            <w:tcW w:w="485" w:type="pct"/>
            <w:tcBorders>
              <w:top w:val="nil"/>
              <w:left w:val="nil"/>
              <w:bottom w:val="nil"/>
              <w:right w:val="nil"/>
            </w:tcBorders>
            <w:hideMark/>
          </w:tcPr>
          <w:p w14:paraId="6E5D5D14"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3.9E-05</w:t>
            </w:r>
          </w:p>
        </w:tc>
        <w:tc>
          <w:tcPr>
            <w:tcW w:w="486" w:type="pct"/>
            <w:tcBorders>
              <w:top w:val="nil"/>
              <w:left w:val="nil"/>
              <w:bottom w:val="nil"/>
              <w:right w:val="nil"/>
            </w:tcBorders>
            <w:hideMark/>
          </w:tcPr>
          <w:p w14:paraId="0EC8A960"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3.3E-05</w:t>
            </w:r>
          </w:p>
        </w:tc>
      </w:tr>
      <w:tr w:rsidR="00706487" w:rsidRPr="00972C81" w14:paraId="2B070BD6" w14:textId="77777777" w:rsidTr="004B19B0">
        <w:trPr>
          <w:trHeight w:val="340"/>
        </w:trPr>
        <w:tc>
          <w:tcPr>
            <w:tcW w:w="2087" w:type="pct"/>
            <w:tcBorders>
              <w:top w:val="nil"/>
              <w:left w:val="nil"/>
              <w:bottom w:val="nil"/>
              <w:right w:val="nil"/>
            </w:tcBorders>
            <w:hideMark/>
          </w:tcPr>
          <w:p w14:paraId="52DCE277" w14:textId="77777777" w:rsidR="00706487" w:rsidRPr="00C47F2F" w:rsidRDefault="00706487" w:rsidP="004B19B0">
            <w:pPr>
              <w:jc w:val="left"/>
              <w:rPr>
                <w:rFonts w:eastAsiaTheme="minorHAnsi"/>
                <w:noProof/>
                <w:sz w:val="22"/>
                <w:szCs w:val="22"/>
              </w:rPr>
            </w:pPr>
            <w:r w:rsidRPr="00C47F2F">
              <w:rPr>
                <w:noProof/>
                <w:sz w:val="22"/>
                <w:szCs w:val="22"/>
              </w:rPr>
              <w:t xml:space="preserve">Type M, </w:t>
            </w:r>
            <w:r w:rsidRPr="00C47F2F">
              <w:rPr>
                <w:rFonts w:eastAsia="Times New Roman"/>
                <w:noProof/>
                <w:color w:val="000000"/>
                <w:sz w:val="22"/>
                <w:szCs w:val="22"/>
                <w:lang w:eastAsia="en-GB"/>
              </w:rPr>
              <w:t>hydroxide</w:t>
            </w:r>
          </w:p>
        </w:tc>
        <w:tc>
          <w:tcPr>
            <w:tcW w:w="485" w:type="pct"/>
            <w:tcBorders>
              <w:top w:val="nil"/>
              <w:left w:val="nil"/>
              <w:bottom w:val="nil"/>
              <w:right w:val="nil"/>
            </w:tcBorders>
            <w:hideMark/>
          </w:tcPr>
          <w:p w14:paraId="7EE8E1CB"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4.7E-05</w:t>
            </w:r>
          </w:p>
        </w:tc>
        <w:tc>
          <w:tcPr>
            <w:tcW w:w="485" w:type="pct"/>
            <w:tcBorders>
              <w:top w:val="nil"/>
              <w:left w:val="nil"/>
              <w:bottom w:val="nil"/>
              <w:right w:val="nil"/>
            </w:tcBorders>
            <w:hideMark/>
          </w:tcPr>
          <w:p w14:paraId="472B1E89"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4.5E-05</w:t>
            </w:r>
          </w:p>
        </w:tc>
        <w:tc>
          <w:tcPr>
            <w:tcW w:w="485" w:type="pct"/>
            <w:tcBorders>
              <w:top w:val="nil"/>
              <w:left w:val="nil"/>
              <w:bottom w:val="nil"/>
              <w:right w:val="nil"/>
            </w:tcBorders>
            <w:hideMark/>
          </w:tcPr>
          <w:p w14:paraId="5C3F35ED"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2.9E-05</w:t>
            </w:r>
          </w:p>
        </w:tc>
        <w:tc>
          <w:tcPr>
            <w:tcW w:w="485" w:type="pct"/>
            <w:tcBorders>
              <w:top w:val="nil"/>
              <w:left w:val="nil"/>
              <w:bottom w:val="nil"/>
              <w:right w:val="nil"/>
            </w:tcBorders>
            <w:hideMark/>
          </w:tcPr>
          <w:p w14:paraId="00049BDE"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2.0E-05</w:t>
            </w:r>
          </w:p>
        </w:tc>
        <w:tc>
          <w:tcPr>
            <w:tcW w:w="485" w:type="pct"/>
            <w:tcBorders>
              <w:top w:val="nil"/>
              <w:left w:val="nil"/>
              <w:bottom w:val="nil"/>
              <w:right w:val="nil"/>
            </w:tcBorders>
            <w:hideMark/>
          </w:tcPr>
          <w:p w14:paraId="4BDC5429"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1.8E-05</w:t>
            </w:r>
          </w:p>
        </w:tc>
        <w:tc>
          <w:tcPr>
            <w:tcW w:w="486" w:type="pct"/>
            <w:tcBorders>
              <w:top w:val="nil"/>
              <w:left w:val="nil"/>
              <w:bottom w:val="nil"/>
              <w:right w:val="nil"/>
            </w:tcBorders>
            <w:hideMark/>
          </w:tcPr>
          <w:p w14:paraId="5E9591CB"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1.6E-05</w:t>
            </w:r>
          </w:p>
        </w:tc>
      </w:tr>
      <w:tr w:rsidR="00706487" w:rsidRPr="00972C81" w14:paraId="5ACED085" w14:textId="77777777" w:rsidTr="004B19B0">
        <w:trPr>
          <w:trHeight w:val="340"/>
        </w:trPr>
        <w:tc>
          <w:tcPr>
            <w:tcW w:w="2087" w:type="pct"/>
            <w:tcBorders>
              <w:top w:val="nil"/>
              <w:left w:val="nil"/>
              <w:bottom w:val="single" w:sz="4" w:space="0" w:color="auto"/>
              <w:right w:val="nil"/>
            </w:tcBorders>
            <w:hideMark/>
          </w:tcPr>
          <w:p w14:paraId="485DEA95" w14:textId="77777777" w:rsidR="00706487" w:rsidRPr="00C47F2F" w:rsidRDefault="00706487" w:rsidP="004B19B0">
            <w:pPr>
              <w:jc w:val="left"/>
              <w:rPr>
                <w:rFonts w:eastAsiaTheme="minorHAnsi"/>
                <w:noProof/>
                <w:sz w:val="22"/>
                <w:szCs w:val="22"/>
              </w:rPr>
            </w:pPr>
            <w:r w:rsidRPr="00C47F2F">
              <w:rPr>
                <w:noProof/>
                <w:sz w:val="22"/>
                <w:szCs w:val="22"/>
              </w:rPr>
              <w:t>Type S, oxide</w:t>
            </w:r>
          </w:p>
        </w:tc>
        <w:tc>
          <w:tcPr>
            <w:tcW w:w="485" w:type="pct"/>
            <w:tcBorders>
              <w:top w:val="nil"/>
              <w:left w:val="nil"/>
              <w:bottom w:val="single" w:sz="4" w:space="0" w:color="auto"/>
              <w:right w:val="nil"/>
            </w:tcBorders>
            <w:hideMark/>
          </w:tcPr>
          <w:p w14:paraId="55FD27CD"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1.4E-04</w:t>
            </w:r>
          </w:p>
        </w:tc>
        <w:tc>
          <w:tcPr>
            <w:tcW w:w="485" w:type="pct"/>
            <w:tcBorders>
              <w:top w:val="nil"/>
              <w:left w:val="nil"/>
              <w:bottom w:val="single" w:sz="4" w:space="0" w:color="auto"/>
              <w:right w:val="nil"/>
            </w:tcBorders>
            <w:hideMark/>
          </w:tcPr>
          <w:p w14:paraId="6BECBCDC"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1.5E-04</w:t>
            </w:r>
          </w:p>
        </w:tc>
        <w:tc>
          <w:tcPr>
            <w:tcW w:w="485" w:type="pct"/>
            <w:tcBorders>
              <w:top w:val="nil"/>
              <w:left w:val="nil"/>
              <w:bottom w:val="single" w:sz="4" w:space="0" w:color="auto"/>
              <w:right w:val="nil"/>
            </w:tcBorders>
            <w:hideMark/>
          </w:tcPr>
          <w:p w14:paraId="74163882"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1.2E-04</w:t>
            </w:r>
          </w:p>
        </w:tc>
        <w:tc>
          <w:tcPr>
            <w:tcW w:w="485" w:type="pct"/>
            <w:tcBorders>
              <w:top w:val="nil"/>
              <w:left w:val="nil"/>
              <w:bottom w:val="single" w:sz="4" w:space="0" w:color="auto"/>
              <w:right w:val="nil"/>
            </w:tcBorders>
            <w:hideMark/>
          </w:tcPr>
          <w:p w14:paraId="1382C558"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1.0E-04</w:t>
            </w:r>
          </w:p>
        </w:tc>
        <w:tc>
          <w:tcPr>
            <w:tcW w:w="485" w:type="pct"/>
            <w:tcBorders>
              <w:top w:val="nil"/>
              <w:left w:val="nil"/>
              <w:bottom w:val="single" w:sz="4" w:space="0" w:color="auto"/>
              <w:right w:val="nil"/>
            </w:tcBorders>
            <w:hideMark/>
          </w:tcPr>
          <w:p w14:paraId="1AD98D06"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1.1E-04</w:t>
            </w:r>
          </w:p>
        </w:tc>
        <w:tc>
          <w:tcPr>
            <w:tcW w:w="486" w:type="pct"/>
            <w:tcBorders>
              <w:top w:val="nil"/>
              <w:left w:val="nil"/>
              <w:bottom w:val="single" w:sz="4" w:space="0" w:color="auto"/>
              <w:right w:val="nil"/>
            </w:tcBorders>
            <w:hideMark/>
          </w:tcPr>
          <w:p w14:paraId="2703E0AB"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1.1E-04</w:t>
            </w:r>
          </w:p>
        </w:tc>
      </w:tr>
      <w:tr w:rsidR="00706487" w:rsidRPr="00972C81" w14:paraId="5D38B3B4" w14:textId="77777777" w:rsidTr="004B19B0">
        <w:trPr>
          <w:trHeight w:val="340"/>
        </w:trPr>
        <w:tc>
          <w:tcPr>
            <w:tcW w:w="2087" w:type="pct"/>
            <w:tcBorders>
              <w:top w:val="single" w:sz="4" w:space="0" w:color="auto"/>
              <w:left w:val="nil"/>
              <w:bottom w:val="single" w:sz="4" w:space="0" w:color="auto"/>
              <w:right w:val="nil"/>
            </w:tcBorders>
          </w:tcPr>
          <w:p w14:paraId="4B225455" w14:textId="77777777" w:rsidR="00706487" w:rsidRPr="00C47F2F" w:rsidRDefault="00706487" w:rsidP="00C47F2F">
            <w:pPr>
              <w:jc w:val="left"/>
              <w:rPr>
                <w:rFonts w:eastAsiaTheme="minorHAnsi"/>
                <w:noProof/>
                <w:sz w:val="22"/>
                <w:szCs w:val="22"/>
              </w:rPr>
            </w:pPr>
          </w:p>
          <w:p w14:paraId="7F0A2ECC" w14:textId="77777777" w:rsidR="00706487" w:rsidRPr="00C47F2F" w:rsidRDefault="00706487"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44B233DB" w14:textId="77777777" w:rsidR="00706487" w:rsidRPr="00C47F2F" w:rsidRDefault="00706487"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037C3A32" w14:textId="77777777" w:rsidR="00706487" w:rsidRPr="00C47F2F" w:rsidRDefault="00706487"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FD13747" w14:textId="77777777" w:rsidR="00706487" w:rsidRPr="00C47F2F" w:rsidRDefault="00706487"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28427197" w14:textId="77777777" w:rsidR="00706487" w:rsidRPr="00C47F2F" w:rsidRDefault="00706487"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180C7CAF" w14:textId="77777777" w:rsidR="00706487" w:rsidRPr="00C47F2F" w:rsidRDefault="00706487"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3217FC59" w14:textId="77777777" w:rsidR="00706487" w:rsidRPr="00C47F2F" w:rsidRDefault="00706487" w:rsidP="00C47F2F">
            <w:pPr>
              <w:jc w:val="left"/>
              <w:rPr>
                <w:rFonts w:eastAsia="Times New Roman"/>
                <w:noProof/>
                <w:color w:val="000000"/>
                <w:sz w:val="22"/>
                <w:szCs w:val="22"/>
              </w:rPr>
            </w:pPr>
          </w:p>
        </w:tc>
      </w:tr>
      <w:tr w:rsidR="00706487" w:rsidRPr="00972C81" w14:paraId="726C842E" w14:textId="77777777" w:rsidTr="004B19B0">
        <w:trPr>
          <w:trHeight w:val="340"/>
        </w:trPr>
        <w:tc>
          <w:tcPr>
            <w:tcW w:w="2087" w:type="pct"/>
            <w:tcBorders>
              <w:top w:val="single" w:sz="4" w:space="0" w:color="auto"/>
              <w:left w:val="nil"/>
              <w:bottom w:val="single" w:sz="4" w:space="0" w:color="auto"/>
              <w:right w:val="nil"/>
            </w:tcBorders>
            <w:vAlign w:val="center"/>
            <w:hideMark/>
          </w:tcPr>
          <w:p w14:paraId="6352E445" w14:textId="77777777" w:rsidR="00706487" w:rsidRPr="00C47F2F" w:rsidRDefault="00706487" w:rsidP="004B19B0">
            <w:pPr>
              <w:jc w:val="left"/>
              <w:rPr>
                <w:rFonts w:eastAsiaTheme="minorHAnsi"/>
                <w:noProof/>
                <w:sz w:val="22"/>
                <w:szCs w:val="22"/>
              </w:rPr>
            </w:pPr>
            <w:r w:rsidRPr="00C47F2F">
              <w:rPr>
                <w:noProof/>
                <w:sz w:val="22"/>
                <w:szCs w:val="22"/>
              </w:rPr>
              <w:t>All forms</w:t>
            </w:r>
          </w:p>
        </w:tc>
        <w:tc>
          <w:tcPr>
            <w:tcW w:w="485" w:type="pct"/>
            <w:tcBorders>
              <w:top w:val="single" w:sz="4" w:space="0" w:color="auto"/>
              <w:left w:val="nil"/>
              <w:bottom w:val="single" w:sz="4" w:space="0" w:color="auto"/>
              <w:right w:val="nil"/>
            </w:tcBorders>
            <w:vAlign w:val="center"/>
            <w:hideMark/>
          </w:tcPr>
          <w:p w14:paraId="7E0C09C6"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2.7E-06</w:t>
            </w:r>
          </w:p>
        </w:tc>
        <w:tc>
          <w:tcPr>
            <w:tcW w:w="485" w:type="pct"/>
            <w:tcBorders>
              <w:top w:val="single" w:sz="4" w:space="0" w:color="auto"/>
              <w:left w:val="nil"/>
              <w:bottom w:val="single" w:sz="4" w:space="0" w:color="auto"/>
              <w:right w:val="nil"/>
            </w:tcBorders>
            <w:vAlign w:val="center"/>
            <w:hideMark/>
          </w:tcPr>
          <w:p w14:paraId="2EDFE18C"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2.4E-07</w:t>
            </w:r>
          </w:p>
        </w:tc>
        <w:tc>
          <w:tcPr>
            <w:tcW w:w="485" w:type="pct"/>
            <w:tcBorders>
              <w:top w:val="single" w:sz="4" w:space="0" w:color="auto"/>
              <w:left w:val="nil"/>
              <w:bottom w:val="single" w:sz="4" w:space="0" w:color="auto"/>
              <w:right w:val="nil"/>
            </w:tcBorders>
            <w:vAlign w:val="center"/>
            <w:hideMark/>
          </w:tcPr>
          <w:p w14:paraId="5DDC91FF"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1.5E-07</w:t>
            </w:r>
          </w:p>
        </w:tc>
        <w:tc>
          <w:tcPr>
            <w:tcW w:w="485" w:type="pct"/>
            <w:tcBorders>
              <w:top w:val="single" w:sz="4" w:space="0" w:color="auto"/>
              <w:left w:val="nil"/>
              <w:bottom w:val="single" w:sz="4" w:space="0" w:color="auto"/>
              <w:right w:val="nil"/>
            </w:tcBorders>
            <w:vAlign w:val="center"/>
            <w:hideMark/>
          </w:tcPr>
          <w:p w14:paraId="71D9D12E"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1.0E-07</w:t>
            </w:r>
          </w:p>
        </w:tc>
        <w:tc>
          <w:tcPr>
            <w:tcW w:w="485" w:type="pct"/>
            <w:tcBorders>
              <w:top w:val="single" w:sz="4" w:space="0" w:color="auto"/>
              <w:left w:val="nil"/>
              <w:bottom w:val="single" w:sz="4" w:space="0" w:color="auto"/>
              <w:right w:val="nil"/>
            </w:tcBorders>
            <w:vAlign w:val="center"/>
            <w:hideMark/>
          </w:tcPr>
          <w:p w14:paraId="4C3AC0FB"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8.5E-08</w:t>
            </w:r>
          </w:p>
        </w:tc>
        <w:tc>
          <w:tcPr>
            <w:tcW w:w="486" w:type="pct"/>
            <w:tcBorders>
              <w:top w:val="single" w:sz="4" w:space="0" w:color="auto"/>
              <w:left w:val="nil"/>
              <w:bottom w:val="single" w:sz="4" w:space="0" w:color="auto"/>
              <w:right w:val="nil"/>
            </w:tcBorders>
            <w:vAlign w:val="center"/>
            <w:hideMark/>
          </w:tcPr>
          <w:p w14:paraId="050A2CFC"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7.0E-08</w:t>
            </w:r>
          </w:p>
        </w:tc>
      </w:tr>
    </w:tbl>
    <w:p w14:paraId="138683D7" w14:textId="77777777" w:rsidR="00706487" w:rsidRPr="00972C81" w:rsidRDefault="00706487">
      <w:pPr>
        <w:widowControl/>
        <w:jc w:val="left"/>
        <w:rPr>
          <w:noProof/>
        </w:rPr>
      </w:pPr>
    </w:p>
    <w:p w14:paraId="1D24E446" w14:textId="483E3152" w:rsidR="00706487" w:rsidRPr="00972C81" w:rsidRDefault="00706487" w:rsidP="00C47F2F">
      <w:pPr>
        <w:widowControl/>
        <w:jc w:val="left"/>
        <w:rPr>
          <w:noProof/>
          <w:szCs w:val="24"/>
        </w:rPr>
      </w:pPr>
      <w:r w:rsidRPr="00972C81">
        <w:rPr>
          <w:noProof/>
          <w:szCs w:val="24"/>
        </w:rPr>
        <w:t>Table 18.6. Committed effective dose coefficients (Sv Bq</w:t>
      </w:r>
      <w:r w:rsidRPr="00972C81">
        <w:rPr>
          <w:noProof/>
          <w:szCs w:val="24"/>
          <w:vertAlign w:val="superscript"/>
        </w:rPr>
        <w:t>-1</w:t>
      </w:r>
      <w:r w:rsidRPr="00972C81">
        <w:rPr>
          <w:noProof/>
          <w:szCs w:val="24"/>
        </w:rPr>
        <w:t xml:space="preserve">) for the inhalation or ingestion of </w:t>
      </w:r>
      <w:r w:rsidRPr="00972C81">
        <w:rPr>
          <w:noProof/>
          <w:szCs w:val="24"/>
          <w:vertAlign w:val="superscript"/>
        </w:rPr>
        <w:t>234</w:t>
      </w:r>
      <w:r w:rsidRPr="00972C81">
        <w:rPr>
          <w:noProof/>
          <w:szCs w:val="24"/>
        </w:rPr>
        <w:t>Th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68"/>
        <w:gridCol w:w="893"/>
        <w:gridCol w:w="894"/>
        <w:gridCol w:w="894"/>
        <w:gridCol w:w="894"/>
        <w:gridCol w:w="894"/>
        <w:gridCol w:w="890"/>
      </w:tblGrid>
      <w:tr w:rsidR="00706487" w:rsidRPr="00A3213E" w14:paraId="5766C56B" w14:textId="77777777" w:rsidTr="00C47F2F">
        <w:trPr>
          <w:trHeight w:val="340"/>
        </w:trPr>
        <w:tc>
          <w:tcPr>
            <w:tcW w:w="2032" w:type="pct"/>
            <w:vMerge w:val="restart"/>
            <w:tcBorders>
              <w:top w:val="single" w:sz="4" w:space="0" w:color="auto"/>
              <w:left w:val="nil"/>
              <w:bottom w:val="single" w:sz="4" w:space="0" w:color="auto"/>
              <w:right w:val="nil"/>
            </w:tcBorders>
            <w:vAlign w:val="bottom"/>
            <w:hideMark/>
          </w:tcPr>
          <w:p w14:paraId="50FB627F" w14:textId="7E77A931" w:rsidR="00932F86" w:rsidRPr="00C47F2F" w:rsidRDefault="00706487" w:rsidP="00C47F2F">
            <w:pPr>
              <w:pStyle w:val="a5"/>
              <w:tabs>
                <w:tab w:val="clear" w:pos="4153"/>
                <w:tab w:val="clear" w:pos="8306"/>
              </w:tabs>
              <w:jc w:val="left"/>
              <w:rPr>
                <w:noProof/>
                <w:sz w:val="22"/>
                <w:szCs w:val="22"/>
              </w:rPr>
            </w:pPr>
            <w:r w:rsidRPr="00C47F2F">
              <w:rPr>
                <w:noProof/>
                <w:sz w:val="22"/>
                <w:szCs w:val="22"/>
              </w:rPr>
              <w:t>Inhaled particulate materials</w:t>
            </w:r>
          </w:p>
          <w:p w14:paraId="73941242" w14:textId="143BB0D4" w:rsidR="00706487" w:rsidRPr="00932F86" w:rsidRDefault="00706487" w:rsidP="00C47F2F">
            <w:pPr>
              <w:jc w:val="left"/>
              <w:rPr>
                <w:noProof/>
                <w:sz w:val="22"/>
                <w:szCs w:val="22"/>
              </w:rPr>
            </w:pPr>
            <w:r w:rsidRPr="00C47F2F">
              <w:rPr>
                <w:noProof/>
                <w:sz w:val="22"/>
                <w:szCs w:val="22"/>
              </w:rPr>
              <w:t>(1 µm AMAD aerosols)</w:t>
            </w:r>
          </w:p>
        </w:tc>
        <w:tc>
          <w:tcPr>
            <w:tcW w:w="2968" w:type="pct"/>
            <w:gridSpan w:val="6"/>
            <w:tcBorders>
              <w:top w:val="single" w:sz="4" w:space="0" w:color="auto"/>
              <w:left w:val="nil"/>
              <w:bottom w:val="single" w:sz="4" w:space="0" w:color="auto"/>
              <w:right w:val="nil"/>
            </w:tcBorders>
            <w:vAlign w:val="center"/>
            <w:hideMark/>
          </w:tcPr>
          <w:p w14:paraId="128D724E" w14:textId="77777777" w:rsidR="00706487" w:rsidRPr="00C47F2F" w:rsidRDefault="00706487" w:rsidP="00932F86">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B66951" w:rsidRPr="00972C81" w14:paraId="38052AE1" w14:textId="77777777" w:rsidTr="004B19B0">
        <w:trPr>
          <w:trHeight w:val="340"/>
        </w:trPr>
        <w:tc>
          <w:tcPr>
            <w:tcW w:w="2032" w:type="pct"/>
            <w:vMerge/>
            <w:tcBorders>
              <w:top w:val="single" w:sz="4" w:space="0" w:color="auto"/>
              <w:left w:val="nil"/>
              <w:bottom w:val="single" w:sz="4" w:space="0" w:color="auto"/>
              <w:right w:val="nil"/>
            </w:tcBorders>
            <w:vAlign w:val="center"/>
            <w:hideMark/>
          </w:tcPr>
          <w:p w14:paraId="1CB084B9" w14:textId="77777777" w:rsidR="00706487" w:rsidRPr="00932F86" w:rsidRDefault="00706487">
            <w:pPr>
              <w:rPr>
                <w:noProof/>
                <w:sz w:val="22"/>
                <w:szCs w:val="22"/>
                <w:lang w:val="fr-FR"/>
              </w:rPr>
            </w:pPr>
          </w:p>
        </w:tc>
        <w:tc>
          <w:tcPr>
            <w:tcW w:w="495" w:type="pct"/>
            <w:tcBorders>
              <w:top w:val="single" w:sz="4" w:space="0" w:color="auto"/>
              <w:left w:val="nil"/>
              <w:bottom w:val="single" w:sz="4" w:space="0" w:color="auto"/>
              <w:right w:val="nil"/>
            </w:tcBorders>
            <w:vAlign w:val="center"/>
            <w:hideMark/>
          </w:tcPr>
          <w:p w14:paraId="3AE0616F" w14:textId="760E50E9" w:rsidR="00706487" w:rsidRPr="00C47F2F" w:rsidRDefault="00706487" w:rsidP="004B19B0">
            <w:pPr>
              <w:jc w:val="left"/>
              <w:rPr>
                <w:noProof/>
                <w:sz w:val="22"/>
                <w:szCs w:val="22"/>
                <w:lang w:eastAsia="ko-KR"/>
              </w:rPr>
            </w:pPr>
            <w:r w:rsidRPr="00C47F2F">
              <w:rPr>
                <w:noProof/>
                <w:sz w:val="22"/>
                <w:szCs w:val="22"/>
              </w:rPr>
              <w:t>3</w:t>
            </w:r>
            <w:r w:rsidR="00932F86" w:rsidRPr="00C47F2F">
              <w:rPr>
                <w:noProof/>
                <w:sz w:val="22"/>
                <w:szCs w:val="22"/>
                <w:lang w:eastAsia="ko-KR"/>
              </w:rPr>
              <w:t xml:space="preserve"> </w:t>
            </w:r>
            <w:r w:rsidRPr="00C47F2F">
              <w:rPr>
                <w:noProof/>
                <w:sz w:val="22"/>
                <w:szCs w:val="22"/>
              </w:rPr>
              <w:t>m</w:t>
            </w:r>
            <w:r w:rsidR="004B19B0">
              <w:rPr>
                <w:rFonts w:hint="eastAsia"/>
                <w:noProof/>
                <w:sz w:val="22"/>
                <w:szCs w:val="22"/>
                <w:lang w:eastAsia="ko-KR"/>
              </w:rPr>
              <w:t>o</w:t>
            </w:r>
          </w:p>
        </w:tc>
        <w:tc>
          <w:tcPr>
            <w:tcW w:w="495" w:type="pct"/>
            <w:tcBorders>
              <w:top w:val="single" w:sz="4" w:space="0" w:color="auto"/>
              <w:left w:val="nil"/>
              <w:bottom w:val="single" w:sz="4" w:space="0" w:color="auto"/>
              <w:right w:val="nil"/>
            </w:tcBorders>
            <w:vAlign w:val="center"/>
            <w:hideMark/>
          </w:tcPr>
          <w:p w14:paraId="4D06A9F4" w14:textId="68C1C864" w:rsidR="00706487" w:rsidRPr="00C47F2F" w:rsidRDefault="00706487" w:rsidP="004B19B0">
            <w:pPr>
              <w:jc w:val="left"/>
              <w:rPr>
                <w:noProof/>
                <w:sz w:val="22"/>
                <w:szCs w:val="22"/>
              </w:rPr>
            </w:pPr>
            <w:r w:rsidRPr="00C47F2F">
              <w:rPr>
                <w:noProof/>
                <w:sz w:val="22"/>
                <w:szCs w:val="22"/>
              </w:rPr>
              <w:t>1</w:t>
            </w:r>
            <w:r w:rsidR="00932F86" w:rsidRPr="00C47F2F">
              <w:rPr>
                <w:noProof/>
                <w:sz w:val="22"/>
                <w:szCs w:val="22"/>
                <w:lang w:eastAsia="ko-KR"/>
              </w:rPr>
              <w:t xml:space="preserve"> </w:t>
            </w:r>
            <w:r w:rsidRPr="00C47F2F">
              <w:rPr>
                <w:noProof/>
                <w:sz w:val="22"/>
                <w:szCs w:val="22"/>
              </w:rPr>
              <w:t>y</w:t>
            </w:r>
          </w:p>
        </w:tc>
        <w:tc>
          <w:tcPr>
            <w:tcW w:w="495" w:type="pct"/>
            <w:tcBorders>
              <w:top w:val="single" w:sz="4" w:space="0" w:color="auto"/>
              <w:left w:val="nil"/>
              <w:bottom w:val="single" w:sz="4" w:space="0" w:color="auto"/>
              <w:right w:val="nil"/>
            </w:tcBorders>
            <w:vAlign w:val="center"/>
            <w:hideMark/>
          </w:tcPr>
          <w:p w14:paraId="13B2CC30" w14:textId="3FE14A6E" w:rsidR="00706487" w:rsidRPr="00C47F2F" w:rsidRDefault="00706487" w:rsidP="004B19B0">
            <w:pPr>
              <w:jc w:val="left"/>
              <w:rPr>
                <w:noProof/>
                <w:sz w:val="22"/>
                <w:szCs w:val="22"/>
              </w:rPr>
            </w:pPr>
            <w:r w:rsidRPr="00C47F2F">
              <w:rPr>
                <w:noProof/>
                <w:sz w:val="22"/>
                <w:szCs w:val="22"/>
              </w:rPr>
              <w:t>5</w:t>
            </w:r>
            <w:r w:rsidR="00932F86" w:rsidRPr="00C47F2F">
              <w:rPr>
                <w:noProof/>
                <w:sz w:val="22"/>
                <w:szCs w:val="22"/>
                <w:lang w:eastAsia="ko-KR"/>
              </w:rPr>
              <w:t xml:space="preserve"> </w:t>
            </w:r>
            <w:r w:rsidRPr="00C47F2F">
              <w:rPr>
                <w:noProof/>
                <w:sz w:val="22"/>
                <w:szCs w:val="22"/>
              </w:rPr>
              <w:t>y</w:t>
            </w:r>
          </w:p>
        </w:tc>
        <w:tc>
          <w:tcPr>
            <w:tcW w:w="495" w:type="pct"/>
            <w:tcBorders>
              <w:top w:val="single" w:sz="4" w:space="0" w:color="auto"/>
              <w:left w:val="nil"/>
              <w:bottom w:val="single" w:sz="4" w:space="0" w:color="auto"/>
              <w:right w:val="nil"/>
            </w:tcBorders>
            <w:vAlign w:val="center"/>
            <w:hideMark/>
          </w:tcPr>
          <w:p w14:paraId="4D4FF90C" w14:textId="33BB1094" w:rsidR="00706487" w:rsidRPr="00C47F2F" w:rsidRDefault="00706487" w:rsidP="004B19B0">
            <w:pPr>
              <w:jc w:val="left"/>
              <w:rPr>
                <w:noProof/>
                <w:sz w:val="22"/>
                <w:szCs w:val="22"/>
              </w:rPr>
            </w:pPr>
            <w:r w:rsidRPr="00C47F2F">
              <w:rPr>
                <w:noProof/>
                <w:sz w:val="22"/>
                <w:szCs w:val="22"/>
              </w:rPr>
              <w:t>10</w:t>
            </w:r>
            <w:r w:rsidR="00932F86" w:rsidRPr="00C47F2F">
              <w:rPr>
                <w:noProof/>
                <w:sz w:val="22"/>
                <w:szCs w:val="22"/>
                <w:lang w:eastAsia="ko-KR"/>
              </w:rPr>
              <w:t xml:space="preserve"> </w:t>
            </w:r>
            <w:r w:rsidRPr="00C47F2F">
              <w:rPr>
                <w:noProof/>
                <w:sz w:val="22"/>
                <w:szCs w:val="22"/>
              </w:rPr>
              <w:t>y</w:t>
            </w:r>
          </w:p>
        </w:tc>
        <w:tc>
          <w:tcPr>
            <w:tcW w:w="495" w:type="pct"/>
            <w:tcBorders>
              <w:top w:val="single" w:sz="4" w:space="0" w:color="auto"/>
              <w:left w:val="nil"/>
              <w:bottom w:val="single" w:sz="4" w:space="0" w:color="auto"/>
              <w:right w:val="nil"/>
            </w:tcBorders>
            <w:vAlign w:val="center"/>
            <w:hideMark/>
          </w:tcPr>
          <w:p w14:paraId="10121043" w14:textId="36AA3418" w:rsidR="00706487" w:rsidRPr="00C47F2F" w:rsidRDefault="00706487" w:rsidP="004B19B0">
            <w:pPr>
              <w:jc w:val="left"/>
              <w:rPr>
                <w:noProof/>
                <w:sz w:val="22"/>
                <w:szCs w:val="22"/>
              </w:rPr>
            </w:pPr>
            <w:r w:rsidRPr="00C47F2F">
              <w:rPr>
                <w:noProof/>
                <w:sz w:val="22"/>
                <w:szCs w:val="22"/>
              </w:rPr>
              <w:t>15</w:t>
            </w:r>
            <w:r w:rsidR="00932F86" w:rsidRPr="00C47F2F">
              <w:rPr>
                <w:noProof/>
                <w:sz w:val="22"/>
                <w:szCs w:val="22"/>
                <w:lang w:eastAsia="ko-KR"/>
              </w:rPr>
              <w:t xml:space="preserve"> </w:t>
            </w:r>
            <w:r w:rsidRPr="00C47F2F">
              <w:rPr>
                <w:noProof/>
                <w:sz w:val="22"/>
                <w:szCs w:val="22"/>
              </w:rPr>
              <w:t>y</w:t>
            </w:r>
          </w:p>
        </w:tc>
        <w:tc>
          <w:tcPr>
            <w:tcW w:w="495" w:type="pct"/>
            <w:tcBorders>
              <w:top w:val="single" w:sz="4" w:space="0" w:color="auto"/>
              <w:left w:val="nil"/>
              <w:bottom w:val="single" w:sz="4" w:space="0" w:color="auto"/>
              <w:right w:val="nil"/>
            </w:tcBorders>
            <w:vAlign w:val="center"/>
            <w:hideMark/>
          </w:tcPr>
          <w:p w14:paraId="20069815" w14:textId="77777777" w:rsidR="00706487" w:rsidRPr="00C47F2F" w:rsidRDefault="00706487" w:rsidP="004B19B0">
            <w:pPr>
              <w:jc w:val="left"/>
              <w:rPr>
                <w:noProof/>
                <w:sz w:val="22"/>
                <w:szCs w:val="22"/>
              </w:rPr>
            </w:pPr>
            <w:r w:rsidRPr="00C47F2F">
              <w:rPr>
                <w:noProof/>
                <w:sz w:val="22"/>
                <w:szCs w:val="22"/>
              </w:rPr>
              <w:t>Adult</w:t>
            </w:r>
          </w:p>
        </w:tc>
      </w:tr>
      <w:tr w:rsidR="00C05A69" w:rsidRPr="00972C81" w14:paraId="63E118DB" w14:textId="77777777" w:rsidTr="004B19B0">
        <w:trPr>
          <w:trHeight w:val="340"/>
        </w:trPr>
        <w:tc>
          <w:tcPr>
            <w:tcW w:w="2032" w:type="pct"/>
            <w:tcBorders>
              <w:top w:val="single" w:sz="4" w:space="0" w:color="auto"/>
              <w:left w:val="nil"/>
              <w:bottom w:val="nil"/>
              <w:right w:val="nil"/>
            </w:tcBorders>
            <w:hideMark/>
          </w:tcPr>
          <w:p w14:paraId="394ADDFE" w14:textId="77777777" w:rsidR="00706487" w:rsidRPr="00C47F2F" w:rsidRDefault="00706487" w:rsidP="004B19B0">
            <w:pPr>
              <w:jc w:val="left"/>
              <w:rPr>
                <w:rFonts w:eastAsia="Times New Roman"/>
                <w:noProof/>
                <w:color w:val="000000"/>
                <w:sz w:val="22"/>
                <w:szCs w:val="22"/>
                <w:lang w:eastAsia="en-GB"/>
              </w:rPr>
            </w:pPr>
            <w:r w:rsidRPr="00C47F2F">
              <w:rPr>
                <w:rFonts w:eastAsia="Times New Roman"/>
                <w:noProof/>
                <w:color w:val="000000"/>
                <w:sz w:val="22"/>
                <w:szCs w:val="22"/>
              </w:rPr>
              <w:t>Water soluble forms, including chloride, citrate, fluoride, nitrate and sulphate</w:t>
            </w:r>
          </w:p>
        </w:tc>
        <w:tc>
          <w:tcPr>
            <w:tcW w:w="495" w:type="pct"/>
            <w:tcBorders>
              <w:top w:val="single" w:sz="4" w:space="0" w:color="auto"/>
              <w:left w:val="nil"/>
              <w:bottom w:val="nil"/>
              <w:right w:val="nil"/>
            </w:tcBorders>
            <w:hideMark/>
          </w:tcPr>
          <w:p w14:paraId="08333477"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2.1E-08</w:t>
            </w:r>
          </w:p>
        </w:tc>
        <w:tc>
          <w:tcPr>
            <w:tcW w:w="495" w:type="pct"/>
            <w:tcBorders>
              <w:top w:val="single" w:sz="4" w:space="0" w:color="auto"/>
              <w:left w:val="nil"/>
              <w:bottom w:val="nil"/>
              <w:right w:val="nil"/>
            </w:tcBorders>
            <w:hideMark/>
          </w:tcPr>
          <w:p w14:paraId="2F706EE1"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1.7E-08</w:t>
            </w:r>
          </w:p>
        </w:tc>
        <w:tc>
          <w:tcPr>
            <w:tcW w:w="495" w:type="pct"/>
            <w:tcBorders>
              <w:top w:val="single" w:sz="4" w:space="0" w:color="auto"/>
              <w:left w:val="nil"/>
              <w:bottom w:val="nil"/>
              <w:right w:val="nil"/>
            </w:tcBorders>
            <w:hideMark/>
          </w:tcPr>
          <w:p w14:paraId="075A89AE"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9.4E-09</w:t>
            </w:r>
          </w:p>
        </w:tc>
        <w:tc>
          <w:tcPr>
            <w:tcW w:w="495" w:type="pct"/>
            <w:tcBorders>
              <w:top w:val="single" w:sz="4" w:space="0" w:color="auto"/>
              <w:left w:val="nil"/>
              <w:bottom w:val="nil"/>
              <w:right w:val="nil"/>
            </w:tcBorders>
            <w:hideMark/>
          </w:tcPr>
          <w:p w14:paraId="376086D1"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6.0E-09</w:t>
            </w:r>
          </w:p>
        </w:tc>
        <w:tc>
          <w:tcPr>
            <w:tcW w:w="495" w:type="pct"/>
            <w:tcBorders>
              <w:top w:val="single" w:sz="4" w:space="0" w:color="auto"/>
              <w:left w:val="nil"/>
              <w:bottom w:val="nil"/>
              <w:right w:val="nil"/>
            </w:tcBorders>
            <w:hideMark/>
          </w:tcPr>
          <w:p w14:paraId="0D20D905"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4.7E-09</w:t>
            </w:r>
          </w:p>
        </w:tc>
        <w:tc>
          <w:tcPr>
            <w:tcW w:w="495" w:type="pct"/>
            <w:tcBorders>
              <w:top w:val="single" w:sz="4" w:space="0" w:color="auto"/>
              <w:left w:val="nil"/>
              <w:bottom w:val="nil"/>
              <w:right w:val="nil"/>
            </w:tcBorders>
            <w:hideMark/>
          </w:tcPr>
          <w:p w14:paraId="4032472B"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4.4E-09</w:t>
            </w:r>
          </w:p>
        </w:tc>
      </w:tr>
      <w:tr w:rsidR="00706487" w:rsidRPr="00972C81" w14:paraId="4E302E2A" w14:textId="77777777" w:rsidTr="004B19B0">
        <w:trPr>
          <w:trHeight w:val="340"/>
        </w:trPr>
        <w:tc>
          <w:tcPr>
            <w:tcW w:w="2032" w:type="pct"/>
            <w:tcBorders>
              <w:top w:val="nil"/>
              <w:left w:val="nil"/>
              <w:bottom w:val="nil"/>
              <w:right w:val="nil"/>
            </w:tcBorders>
            <w:hideMark/>
          </w:tcPr>
          <w:p w14:paraId="4D837A66" w14:textId="77777777" w:rsidR="00706487" w:rsidRPr="00C47F2F" w:rsidRDefault="00706487" w:rsidP="004B19B0">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95" w:type="pct"/>
            <w:tcBorders>
              <w:top w:val="nil"/>
              <w:left w:val="nil"/>
              <w:bottom w:val="nil"/>
              <w:right w:val="nil"/>
            </w:tcBorders>
            <w:hideMark/>
          </w:tcPr>
          <w:p w14:paraId="47FB8A06"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2.6E-08</w:t>
            </w:r>
          </w:p>
        </w:tc>
        <w:tc>
          <w:tcPr>
            <w:tcW w:w="495" w:type="pct"/>
            <w:tcBorders>
              <w:top w:val="nil"/>
              <w:left w:val="nil"/>
              <w:bottom w:val="nil"/>
              <w:right w:val="nil"/>
            </w:tcBorders>
            <w:hideMark/>
          </w:tcPr>
          <w:p w14:paraId="17EAE265"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2.0E-08</w:t>
            </w:r>
          </w:p>
        </w:tc>
        <w:tc>
          <w:tcPr>
            <w:tcW w:w="495" w:type="pct"/>
            <w:tcBorders>
              <w:top w:val="nil"/>
              <w:left w:val="nil"/>
              <w:bottom w:val="nil"/>
              <w:right w:val="nil"/>
            </w:tcBorders>
            <w:hideMark/>
          </w:tcPr>
          <w:p w14:paraId="28FC0AD8"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7.4E-09</w:t>
            </w:r>
          </w:p>
        </w:tc>
        <w:tc>
          <w:tcPr>
            <w:tcW w:w="495" w:type="pct"/>
            <w:tcBorders>
              <w:top w:val="nil"/>
              <w:left w:val="nil"/>
              <w:bottom w:val="nil"/>
              <w:right w:val="nil"/>
            </w:tcBorders>
            <w:hideMark/>
          </w:tcPr>
          <w:p w14:paraId="6838C540"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3.4E-09</w:t>
            </w:r>
          </w:p>
        </w:tc>
        <w:tc>
          <w:tcPr>
            <w:tcW w:w="495" w:type="pct"/>
            <w:tcBorders>
              <w:top w:val="nil"/>
              <w:left w:val="nil"/>
              <w:bottom w:val="nil"/>
              <w:right w:val="nil"/>
            </w:tcBorders>
            <w:hideMark/>
          </w:tcPr>
          <w:p w14:paraId="64F41EB6"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2.9E-09</w:t>
            </w:r>
          </w:p>
        </w:tc>
        <w:tc>
          <w:tcPr>
            <w:tcW w:w="495" w:type="pct"/>
            <w:tcBorders>
              <w:top w:val="nil"/>
              <w:left w:val="nil"/>
              <w:bottom w:val="nil"/>
              <w:right w:val="nil"/>
            </w:tcBorders>
            <w:hideMark/>
          </w:tcPr>
          <w:p w14:paraId="044B0CA1"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1.5E-09</w:t>
            </w:r>
          </w:p>
        </w:tc>
      </w:tr>
      <w:tr w:rsidR="00706487" w:rsidRPr="00972C81" w14:paraId="0FFACB9F" w14:textId="77777777" w:rsidTr="004B19B0">
        <w:trPr>
          <w:trHeight w:val="340"/>
        </w:trPr>
        <w:tc>
          <w:tcPr>
            <w:tcW w:w="2032" w:type="pct"/>
            <w:tcBorders>
              <w:top w:val="nil"/>
              <w:left w:val="nil"/>
              <w:bottom w:val="nil"/>
              <w:right w:val="nil"/>
            </w:tcBorders>
            <w:hideMark/>
          </w:tcPr>
          <w:p w14:paraId="2967EB82" w14:textId="77777777" w:rsidR="00706487" w:rsidRPr="00C47F2F" w:rsidRDefault="00706487" w:rsidP="004B19B0">
            <w:pPr>
              <w:jc w:val="left"/>
              <w:rPr>
                <w:rFonts w:eastAsiaTheme="minorHAnsi"/>
                <w:noProof/>
                <w:sz w:val="22"/>
                <w:szCs w:val="22"/>
              </w:rPr>
            </w:pPr>
            <w:r w:rsidRPr="00C47F2F">
              <w:rPr>
                <w:noProof/>
                <w:sz w:val="22"/>
                <w:szCs w:val="22"/>
              </w:rPr>
              <w:t xml:space="preserve">Type M, </w:t>
            </w:r>
            <w:r w:rsidRPr="00C47F2F">
              <w:rPr>
                <w:rFonts w:eastAsia="Times New Roman"/>
                <w:noProof/>
                <w:color w:val="000000"/>
                <w:sz w:val="22"/>
                <w:szCs w:val="22"/>
                <w:lang w:eastAsia="en-GB"/>
              </w:rPr>
              <w:t>hydroxide</w:t>
            </w:r>
          </w:p>
        </w:tc>
        <w:tc>
          <w:tcPr>
            <w:tcW w:w="495" w:type="pct"/>
            <w:tcBorders>
              <w:top w:val="nil"/>
              <w:left w:val="nil"/>
              <w:bottom w:val="nil"/>
              <w:right w:val="nil"/>
            </w:tcBorders>
            <w:hideMark/>
          </w:tcPr>
          <w:p w14:paraId="12C2A36F"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1.9E-08</w:t>
            </w:r>
          </w:p>
        </w:tc>
        <w:tc>
          <w:tcPr>
            <w:tcW w:w="495" w:type="pct"/>
            <w:tcBorders>
              <w:top w:val="nil"/>
              <w:left w:val="nil"/>
              <w:bottom w:val="nil"/>
              <w:right w:val="nil"/>
            </w:tcBorders>
            <w:hideMark/>
          </w:tcPr>
          <w:p w14:paraId="50049E8F"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1.6E-08</w:t>
            </w:r>
          </w:p>
        </w:tc>
        <w:tc>
          <w:tcPr>
            <w:tcW w:w="495" w:type="pct"/>
            <w:tcBorders>
              <w:top w:val="nil"/>
              <w:left w:val="nil"/>
              <w:bottom w:val="nil"/>
              <w:right w:val="nil"/>
            </w:tcBorders>
            <w:hideMark/>
          </w:tcPr>
          <w:p w14:paraId="5C43A77E"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8.6E-09</w:t>
            </w:r>
          </w:p>
        </w:tc>
        <w:tc>
          <w:tcPr>
            <w:tcW w:w="495" w:type="pct"/>
            <w:tcBorders>
              <w:top w:val="nil"/>
              <w:left w:val="nil"/>
              <w:bottom w:val="nil"/>
              <w:right w:val="nil"/>
            </w:tcBorders>
            <w:hideMark/>
          </w:tcPr>
          <w:p w14:paraId="2A7D7AEB"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5.5E-09</w:t>
            </w:r>
          </w:p>
        </w:tc>
        <w:tc>
          <w:tcPr>
            <w:tcW w:w="495" w:type="pct"/>
            <w:tcBorders>
              <w:top w:val="nil"/>
              <w:left w:val="nil"/>
              <w:bottom w:val="nil"/>
              <w:right w:val="nil"/>
            </w:tcBorders>
            <w:hideMark/>
          </w:tcPr>
          <w:p w14:paraId="2AE163A9"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4.4E-09</w:t>
            </w:r>
          </w:p>
        </w:tc>
        <w:tc>
          <w:tcPr>
            <w:tcW w:w="495" w:type="pct"/>
            <w:tcBorders>
              <w:top w:val="nil"/>
              <w:left w:val="nil"/>
              <w:bottom w:val="nil"/>
              <w:right w:val="nil"/>
            </w:tcBorders>
            <w:hideMark/>
          </w:tcPr>
          <w:p w14:paraId="23B91F84"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4.0E-09</w:t>
            </w:r>
          </w:p>
        </w:tc>
      </w:tr>
      <w:tr w:rsidR="00706487" w:rsidRPr="00972C81" w14:paraId="431AEDFC" w14:textId="77777777" w:rsidTr="004B19B0">
        <w:trPr>
          <w:trHeight w:val="340"/>
        </w:trPr>
        <w:tc>
          <w:tcPr>
            <w:tcW w:w="2032" w:type="pct"/>
            <w:tcBorders>
              <w:top w:val="nil"/>
              <w:left w:val="nil"/>
              <w:bottom w:val="single" w:sz="4" w:space="0" w:color="auto"/>
              <w:right w:val="nil"/>
            </w:tcBorders>
            <w:hideMark/>
          </w:tcPr>
          <w:p w14:paraId="23623CE0" w14:textId="77777777" w:rsidR="00706487" w:rsidRPr="00C47F2F" w:rsidRDefault="00706487" w:rsidP="004B19B0">
            <w:pPr>
              <w:jc w:val="left"/>
              <w:rPr>
                <w:rFonts w:eastAsiaTheme="minorHAnsi"/>
                <w:noProof/>
                <w:sz w:val="22"/>
                <w:szCs w:val="22"/>
              </w:rPr>
            </w:pPr>
            <w:r w:rsidRPr="00C47F2F">
              <w:rPr>
                <w:noProof/>
                <w:sz w:val="22"/>
                <w:szCs w:val="22"/>
              </w:rPr>
              <w:t>Type S, oxide</w:t>
            </w:r>
          </w:p>
        </w:tc>
        <w:tc>
          <w:tcPr>
            <w:tcW w:w="495" w:type="pct"/>
            <w:tcBorders>
              <w:top w:val="nil"/>
              <w:left w:val="nil"/>
              <w:bottom w:val="single" w:sz="4" w:space="0" w:color="auto"/>
              <w:right w:val="nil"/>
            </w:tcBorders>
            <w:hideMark/>
          </w:tcPr>
          <w:p w14:paraId="0AC61400"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2.2E-08</w:t>
            </w:r>
          </w:p>
        </w:tc>
        <w:tc>
          <w:tcPr>
            <w:tcW w:w="495" w:type="pct"/>
            <w:tcBorders>
              <w:top w:val="nil"/>
              <w:left w:val="nil"/>
              <w:bottom w:val="single" w:sz="4" w:space="0" w:color="auto"/>
              <w:right w:val="nil"/>
            </w:tcBorders>
            <w:hideMark/>
          </w:tcPr>
          <w:p w14:paraId="6BFA076F"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1.8E-08</w:t>
            </w:r>
          </w:p>
        </w:tc>
        <w:tc>
          <w:tcPr>
            <w:tcW w:w="495" w:type="pct"/>
            <w:tcBorders>
              <w:top w:val="nil"/>
              <w:left w:val="nil"/>
              <w:bottom w:val="single" w:sz="4" w:space="0" w:color="auto"/>
              <w:right w:val="nil"/>
            </w:tcBorders>
            <w:hideMark/>
          </w:tcPr>
          <w:p w14:paraId="71FC1971"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1.0E-08</w:t>
            </w:r>
          </w:p>
        </w:tc>
        <w:tc>
          <w:tcPr>
            <w:tcW w:w="495" w:type="pct"/>
            <w:tcBorders>
              <w:top w:val="nil"/>
              <w:left w:val="nil"/>
              <w:bottom w:val="single" w:sz="4" w:space="0" w:color="auto"/>
              <w:right w:val="nil"/>
            </w:tcBorders>
            <w:hideMark/>
          </w:tcPr>
          <w:p w14:paraId="6F690872"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6.9E-09</w:t>
            </w:r>
          </w:p>
        </w:tc>
        <w:tc>
          <w:tcPr>
            <w:tcW w:w="495" w:type="pct"/>
            <w:tcBorders>
              <w:top w:val="nil"/>
              <w:left w:val="nil"/>
              <w:bottom w:val="single" w:sz="4" w:space="0" w:color="auto"/>
              <w:right w:val="nil"/>
            </w:tcBorders>
            <w:hideMark/>
          </w:tcPr>
          <w:p w14:paraId="2B75FC1F"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5.4E-09</w:t>
            </w:r>
          </w:p>
        </w:tc>
        <w:tc>
          <w:tcPr>
            <w:tcW w:w="495" w:type="pct"/>
            <w:tcBorders>
              <w:top w:val="nil"/>
              <w:left w:val="nil"/>
              <w:bottom w:val="single" w:sz="4" w:space="0" w:color="auto"/>
              <w:right w:val="nil"/>
            </w:tcBorders>
            <w:hideMark/>
          </w:tcPr>
          <w:p w14:paraId="6855EABB"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5.2E-09</w:t>
            </w:r>
          </w:p>
        </w:tc>
      </w:tr>
      <w:tr w:rsidR="00706487" w:rsidRPr="00972C81" w14:paraId="5B416AD7" w14:textId="77777777" w:rsidTr="004B19B0">
        <w:trPr>
          <w:trHeight w:val="340"/>
        </w:trPr>
        <w:tc>
          <w:tcPr>
            <w:tcW w:w="2032" w:type="pct"/>
            <w:tcBorders>
              <w:top w:val="single" w:sz="4" w:space="0" w:color="auto"/>
              <w:left w:val="nil"/>
              <w:bottom w:val="single" w:sz="4" w:space="0" w:color="auto"/>
              <w:right w:val="nil"/>
            </w:tcBorders>
          </w:tcPr>
          <w:p w14:paraId="7B28C585" w14:textId="77777777" w:rsidR="00706487" w:rsidRPr="00C47F2F" w:rsidRDefault="00706487" w:rsidP="00C47F2F">
            <w:pPr>
              <w:jc w:val="left"/>
              <w:rPr>
                <w:rFonts w:eastAsiaTheme="minorHAnsi"/>
                <w:noProof/>
                <w:sz w:val="22"/>
                <w:szCs w:val="22"/>
              </w:rPr>
            </w:pPr>
          </w:p>
          <w:p w14:paraId="662E6B83" w14:textId="77777777" w:rsidR="00706487" w:rsidRPr="00C47F2F" w:rsidRDefault="00706487" w:rsidP="00C47F2F">
            <w:pPr>
              <w:jc w:val="left"/>
              <w:rPr>
                <w:noProof/>
                <w:sz w:val="22"/>
                <w:szCs w:val="22"/>
              </w:rPr>
            </w:pPr>
            <w:r w:rsidRPr="00C47F2F">
              <w:rPr>
                <w:noProof/>
                <w:sz w:val="22"/>
                <w:szCs w:val="22"/>
              </w:rPr>
              <w:t>Ingested materials</w:t>
            </w:r>
          </w:p>
        </w:tc>
        <w:tc>
          <w:tcPr>
            <w:tcW w:w="495" w:type="pct"/>
            <w:tcBorders>
              <w:top w:val="single" w:sz="4" w:space="0" w:color="auto"/>
              <w:left w:val="nil"/>
              <w:bottom w:val="single" w:sz="4" w:space="0" w:color="auto"/>
              <w:right w:val="nil"/>
            </w:tcBorders>
          </w:tcPr>
          <w:p w14:paraId="1DDF6585" w14:textId="77777777" w:rsidR="00706487" w:rsidRPr="00C47F2F" w:rsidRDefault="00706487" w:rsidP="00C47F2F">
            <w:pPr>
              <w:jc w:val="left"/>
              <w:rPr>
                <w:rFonts w:eastAsia="Times New Roman"/>
                <w:noProof/>
                <w:color w:val="000000"/>
                <w:sz w:val="22"/>
                <w:szCs w:val="22"/>
              </w:rPr>
            </w:pPr>
          </w:p>
        </w:tc>
        <w:tc>
          <w:tcPr>
            <w:tcW w:w="495" w:type="pct"/>
            <w:tcBorders>
              <w:top w:val="single" w:sz="4" w:space="0" w:color="auto"/>
              <w:left w:val="nil"/>
              <w:bottom w:val="single" w:sz="4" w:space="0" w:color="auto"/>
              <w:right w:val="nil"/>
            </w:tcBorders>
          </w:tcPr>
          <w:p w14:paraId="1E466C7F" w14:textId="77777777" w:rsidR="00706487" w:rsidRPr="00C47F2F" w:rsidRDefault="00706487" w:rsidP="00C47F2F">
            <w:pPr>
              <w:jc w:val="left"/>
              <w:rPr>
                <w:rFonts w:eastAsia="Times New Roman"/>
                <w:noProof/>
                <w:color w:val="000000"/>
                <w:sz w:val="22"/>
                <w:szCs w:val="22"/>
              </w:rPr>
            </w:pPr>
          </w:p>
        </w:tc>
        <w:tc>
          <w:tcPr>
            <w:tcW w:w="495" w:type="pct"/>
            <w:tcBorders>
              <w:top w:val="single" w:sz="4" w:space="0" w:color="auto"/>
              <w:left w:val="nil"/>
              <w:bottom w:val="single" w:sz="4" w:space="0" w:color="auto"/>
              <w:right w:val="nil"/>
            </w:tcBorders>
          </w:tcPr>
          <w:p w14:paraId="0EBCFB10" w14:textId="77777777" w:rsidR="00706487" w:rsidRPr="00C47F2F" w:rsidRDefault="00706487" w:rsidP="00C47F2F">
            <w:pPr>
              <w:jc w:val="left"/>
              <w:rPr>
                <w:rFonts w:eastAsia="Times New Roman"/>
                <w:noProof/>
                <w:color w:val="000000"/>
                <w:sz w:val="22"/>
                <w:szCs w:val="22"/>
              </w:rPr>
            </w:pPr>
          </w:p>
        </w:tc>
        <w:tc>
          <w:tcPr>
            <w:tcW w:w="495" w:type="pct"/>
            <w:tcBorders>
              <w:top w:val="single" w:sz="4" w:space="0" w:color="auto"/>
              <w:left w:val="nil"/>
              <w:bottom w:val="single" w:sz="4" w:space="0" w:color="auto"/>
              <w:right w:val="nil"/>
            </w:tcBorders>
          </w:tcPr>
          <w:p w14:paraId="02F84DC3" w14:textId="77777777" w:rsidR="00706487" w:rsidRPr="00C47F2F" w:rsidRDefault="00706487" w:rsidP="00C47F2F">
            <w:pPr>
              <w:jc w:val="left"/>
              <w:rPr>
                <w:rFonts w:eastAsia="Times New Roman"/>
                <w:noProof/>
                <w:color w:val="000000"/>
                <w:sz w:val="22"/>
                <w:szCs w:val="22"/>
              </w:rPr>
            </w:pPr>
          </w:p>
        </w:tc>
        <w:tc>
          <w:tcPr>
            <w:tcW w:w="495" w:type="pct"/>
            <w:tcBorders>
              <w:top w:val="single" w:sz="4" w:space="0" w:color="auto"/>
              <w:left w:val="nil"/>
              <w:bottom w:val="single" w:sz="4" w:space="0" w:color="auto"/>
              <w:right w:val="nil"/>
            </w:tcBorders>
          </w:tcPr>
          <w:p w14:paraId="0ACBE71E" w14:textId="77777777" w:rsidR="00706487" w:rsidRPr="00C47F2F" w:rsidRDefault="00706487" w:rsidP="00C47F2F">
            <w:pPr>
              <w:jc w:val="left"/>
              <w:rPr>
                <w:rFonts w:eastAsia="Times New Roman"/>
                <w:noProof/>
                <w:color w:val="000000"/>
                <w:sz w:val="22"/>
                <w:szCs w:val="22"/>
              </w:rPr>
            </w:pPr>
          </w:p>
        </w:tc>
        <w:tc>
          <w:tcPr>
            <w:tcW w:w="495" w:type="pct"/>
            <w:tcBorders>
              <w:top w:val="single" w:sz="4" w:space="0" w:color="auto"/>
              <w:left w:val="nil"/>
              <w:bottom w:val="single" w:sz="4" w:space="0" w:color="auto"/>
              <w:right w:val="nil"/>
            </w:tcBorders>
          </w:tcPr>
          <w:p w14:paraId="4B6E22FF" w14:textId="77777777" w:rsidR="00706487" w:rsidRPr="00C47F2F" w:rsidRDefault="00706487" w:rsidP="00C47F2F">
            <w:pPr>
              <w:jc w:val="left"/>
              <w:rPr>
                <w:rFonts w:eastAsia="Times New Roman"/>
                <w:noProof/>
                <w:color w:val="000000"/>
                <w:sz w:val="22"/>
                <w:szCs w:val="22"/>
              </w:rPr>
            </w:pPr>
          </w:p>
        </w:tc>
      </w:tr>
      <w:tr w:rsidR="00706487" w:rsidRPr="00972C81" w14:paraId="49DB3062" w14:textId="77777777" w:rsidTr="004B19B0">
        <w:trPr>
          <w:trHeight w:val="340"/>
        </w:trPr>
        <w:tc>
          <w:tcPr>
            <w:tcW w:w="2032" w:type="pct"/>
            <w:tcBorders>
              <w:top w:val="single" w:sz="4" w:space="0" w:color="auto"/>
              <w:left w:val="nil"/>
              <w:bottom w:val="single" w:sz="4" w:space="0" w:color="auto"/>
              <w:right w:val="nil"/>
            </w:tcBorders>
            <w:vAlign w:val="center"/>
            <w:hideMark/>
          </w:tcPr>
          <w:p w14:paraId="77AC9F55" w14:textId="77777777" w:rsidR="00706487" w:rsidRPr="00C47F2F" w:rsidRDefault="00706487" w:rsidP="004B19B0">
            <w:pPr>
              <w:jc w:val="left"/>
              <w:rPr>
                <w:rFonts w:eastAsiaTheme="minorHAnsi"/>
                <w:noProof/>
                <w:sz w:val="22"/>
                <w:szCs w:val="22"/>
              </w:rPr>
            </w:pPr>
            <w:r w:rsidRPr="00C47F2F">
              <w:rPr>
                <w:noProof/>
                <w:sz w:val="22"/>
                <w:szCs w:val="22"/>
              </w:rPr>
              <w:t>All forms</w:t>
            </w:r>
          </w:p>
        </w:tc>
        <w:tc>
          <w:tcPr>
            <w:tcW w:w="495" w:type="pct"/>
            <w:tcBorders>
              <w:top w:val="single" w:sz="4" w:space="0" w:color="auto"/>
              <w:left w:val="nil"/>
              <w:bottom w:val="single" w:sz="4" w:space="0" w:color="auto"/>
              <w:right w:val="nil"/>
            </w:tcBorders>
            <w:vAlign w:val="center"/>
            <w:hideMark/>
          </w:tcPr>
          <w:p w14:paraId="346968EE"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3.6E-09</w:t>
            </w:r>
          </w:p>
        </w:tc>
        <w:tc>
          <w:tcPr>
            <w:tcW w:w="495" w:type="pct"/>
            <w:tcBorders>
              <w:top w:val="single" w:sz="4" w:space="0" w:color="auto"/>
              <w:left w:val="nil"/>
              <w:bottom w:val="single" w:sz="4" w:space="0" w:color="auto"/>
              <w:right w:val="nil"/>
            </w:tcBorders>
            <w:vAlign w:val="center"/>
            <w:hideMark/>
          </w:tcPr>
          <w:p w14:paraId="4AEB3F69"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2.5E-09</w:t>
            </w:r>
          </w:p>
        </w:tc>
        <w:tc>
          <w:tcPr>
            <w:tcW w:w="495" w:type="pct"/>
            <w:tcBorders>
              <w:top w:val="single" w:sz="4" w:space="0" w:color="auto"/>
              <w:left w:val="nil"/>
              <w:bottom w:val="single" w:sz="4" w:space="0" w:color="auto"/>
              <w:right w:val="nil"/>
            </w:tcBorders>
            <w:vAlign w:val="center"/>
            <w:hideMark/>
          </w:tcPr>
          <w:p w14:paraId="3DEC8DE4"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1.5E-09</w:t>
            </w:r>
          </w:p>
        </w:tc>
        <w:tc>
          <w:tcPr>
            <w:tcW w:w="495" w:type="pct"/>
            <w:tcBorders>
              <w:top w:val="single" w:sz="4" w:space="0" w:color="auto"/>
              <w:left w:val="nil"/>
              <w:bottom w:val="single" w:sz="4" w:space="0" w:color="auto"/>
              <w:right w:val="nil"/>
            </w:tcBorders>
            <w:vAlign w:val="center"/>
            <w:hideMark/>
          </w:tcPr>
          <w:p w14:paraId="370C2923"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1.1E-09</w:t>
            </w:r>
          </w:p>
        </w:tc>
        <w:tc>
          <w:tcPr>
            <w:tcW w:w="495" w:type="pct"/>
            <w:tcBorders>
              <w:top w:val="single" w:sz="4" w:space="0" w:color="auto"/>
              <w:left w:val="nil"/>
              <w:bottom w:val="single" w:sz="4" w:space="0" w:color="auto"/>
              <w:right w:val="nil"/>
            </w:tcBorders>
            <w:vAlign w:val="center"/>
            <w:hideMark/>
          </w:tcPr>
          <w:p w14:paraId="6892FE3A"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6.7E-10</w:t>
            </w:r>
          </w:p>
        </w:tc>
        <w:tc>
          <w:tcPr>
            <w:tcW w:w="495" w:type="pct"/>
            <w:tcBorders>
              <w:top w:val="single" w:sz="4" w:space="0" w:color="auto"/>
              <w:left w:val="nil"/>
              <w:bottom w:val="single" w:sz="4" w:space="0" w:color="auto"/>
              <w:right w:val="nil"/>
            </w:tcBorders>
            <w:vAlign w:val="center"/>
            <w:hideMark/>
          </w:tcPr>
          <w:p w14:paraId="6A2FE117" w14:textId="77777777" w:rsidR="00706487" w:rsidRPr="00C47F2F" w:rsidRDefault="00706487" w:rsidP="004B19B0">
            <w:pPr>
              <w:jc w:val="left"/>
              <w:rPr>
                <w:rFonts w:eastAsia="Times New Roman"/>
                <w:noProof/>
                <w:color w:val="000000"/>
                <w:sz w:val="22"/>
                <w:szCs w:val="22"/>
              </w:rPr>
            </w:pPr>
            <w:r w:rsidRPr="00C47F2F">
              <w:rPr>
                <w:rFonts w:eastAsia="Times New Roman"/>
                <w:noProof/>
                <w:color w:val="000000"/>
                <w:sz w:val="22"/>
                <w:szCs w:val="22"/>
              </w:rPr>
              <w:t>5.9E-10</w:t>
            </w:r>
          </w:p>
        </w:tc>
      </w:tr>
    </w:tbl>
    <w:p w14:paraId="76552A3B" w14:textId="5D33490E" w:rsidR="008278DA" w:rsidRPr="00972C81" w:rsidRDefault="008278DA">
      <w:pPr>
        <w:widowControl/>
        <w:jc w:val="left"/>
        <w:rPr>
          <w:noProof/>
        </w:rPr>
      </w:pPr>
      <w:r w:rsidRPr="00972C81">
        <w:rPr>
          <w:noProof/>
        </w:rPr>
        <w:br w:type="page"/>
      </w:r>
    </w:p>
    <w:p w14:paraId="285013EC" w14:textId="77777777" w:rsidR="007D1F4D" w:rsidRPr="00972C81" w:rsidRDefault="00DC407D" w:rsidP="00E81109">
      <w:pPr>
        <w:pStyle w:val="1"/>
        <w:rPr>
          <w:noProof/>
        </w:rPr>
      </w:pPr>
      <w:bookmarkStart w:id="267" w:name="_Toc455492653"/>
      <w:bookmarkStart w:id="268" w:name="_Toc455493082"/>
      <w:bookmarkStart w:id="269" w:name="_Toc162630085"/>
      <w:bookmarkStart w:id="270" w:name="_Toc430178081"/>
      <w:r w:rsidRPr="00972C81">
        <w:rPr>
          <w:noProof/>
        </w:rPr>
        <w:lastRenderedPageBreak/>
        <w:t>Protactinium (Z=91)</w:t>
      </w:r>
      <w:bookmarkEnd w:id="267"/>
      <w:bookmarkEnd w:id="268"/>
      <w:bookmarkEnd w:id="269"/>
    </w:p>
    <w:p w14:paraId="124CE664" w14:textId="43B5823A" w:rsidR="000B33B9" w:rsidRPr="00972C81" w:rsidRDefault="000B33B9" w:rsidP="00E81109">
      <w:pPr>
        <w:pStyle w:val="2"/>
        <w:rPr>
          <w:noProof/>
          <w:lang w:val="en-GB"/>
        </w:rPr>
      </w:pPr>
      <w:bookmarkStart w:id="271" w:name="_Toc17467906"/>
      <w:bookmarkStart w:id="272" w:name="_Toc455492655"/>
      <w:bookmarkStart w:id="273" w:name="_Toc455493084"/>
      <w:bookmarkStart w:id="274" w:name="_Toc162630086"/>
      <w:bookmarkEnd w:id="271"/>
      <w:r w:rsidRPr="00972C81">
        <w:rPr>
          <w:noProof/>
          <w:lang w:val="en-GB"/>
        </w:rPr>
        <w:t>Routes of Intake</w:t>
      </w:r>
      <w:bookmarkEnd w:id="272"/>
      <w:bookmarkEnd w:id="273"/>
      <w:bookmarkEnd w:id="274"/>
    </w:p>
    <w:p w14:paraId="52176ED4" w14:textId="3DCD3E0C" w:rsidR="000B33B9" w:rsidRPr="00972C81" w:rsidRDefault="000B33B9" w:rsidP="006F56F9">
      <w:pPr>
        <w:pStyle w:val="3"/>
        <w:rPr>
          <w:noProof/>
        </w:rPr>
      </w:pPr>
      <w:bookmarkStart w:id="275" w:name="_Toc162630087"/>
      <w:r w:rsidRPr="00972C81">
        <w:rPr>
          <w:noProof/>
        </w:rPr>
        <w:t>Inhalation</w:t>
      </w:r>
      <w:bookmarkEnd w:id="275"/>
    </w:p>
    <w:p w14:paraId="6F8BC389" w14:textId="66664712" w:rsidR="000B33B9" w:rsidRPr="00972C81" w:rsidRDefault="000B33B9" w:rsidP="001C4A92">
      <w:pPr>
        <w:pStyle w:val="Annalstext"/>
        <w:rPr>
          <w:noProof/>
        </w:rPr>
      </w:pPr>
      <w:r w:rsidRPr="00972C81">
        <w:rPr>
          <w:noProof/>
        </w:rPr>
        <w:t xml:space="preserve">One study was found in the literature relating to lung retention of protactinium (Pa) </w:t>
      </w:r>
      <w:r w:rsidR="00BB503E">
        <w:rPr>
          <w:noProof/>
        </w:rPr>
        <w:t>in humans</w:t>
      </w:r>
      <w:r w:rsidRPr="00972C81">
        <w:rPr>
          <w:noProof/>
        </w:rPr>
        <w:t xml:space="preserve"> following accidental intake. One experimental study was found that gives information on absorption of protactinium from the respiratory tract. </w:t>
      </w:r>
      <w:r w:rsidR="00127B1A" w:rsidRPr="00972C81">
        <w:rPr>
          <w:noProof/>
        </w:rPr>
        <w:t xml:space="preserve">As noted in Section 18 of </w:t>
      </w:r>
      <w:r w:rsidR="008278DA" w:rsidRPr="00972C81">
        <w:rPr>
          <w:i/>
          <w:noProof/>
        </w:rPr>
        <w:t>Publication 141</w:t>
      </w:r>
      <w:r w:rsidR="008278DA" w:rsidRPr="00972C81">
        <w:rPr>
          <w:noProof/>
        </w:rPr>
        <w:t xml:space="preserve"> </w:t>
      </w:r>
      <w:r w:rsidR="00823AA4" w:rsidRPr="00972C81">
        <w:rPr>
          <w:noProof/>
        </w:rPr>
        <w:fldChar w:fldCharType="begin"/>
      </w:r>
      <w:r w:rsidR="00823AA4" w:rsidRPr="00972C81">
        <w:rPr>
          <w:noProof/>
        </w:rPr>
        <w:instrText xml:space="preserve"> ADDIN ZOTERO_ITEM CSL_CITATION {"citationID":"KvIcLdZR","properties":{"formattedCitation":"(ICRP,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823AA4" w:rsidRPr="00972C81">
        <w:rPr>
          <w:noProof/>
        </w:rPr>
        <w:fldChar w:fldCharType="separate"/>
      </w:r>
      <w:r w:rsidR="00BC59C6" w:rsidRPr="00972C81">
        <w:rPr>
          <w:noProof/>
        </w:rPr>
        <w:t>(ICRP, 2019)</w:t>
      </w:r>
      <w:r w:rsidR="00823AA4" w:rsidRPr="00972C81">
        <w:rPr>
          <w:noProof/>
        </w:rPr>
        <w:fldChar w:fldCharType="end"/>
      </w:r>
      <w:r w:rsidR="00127B1A" w:rsidRPr="00972C81">
        <w:rPr>
          <w:noProof/>
        </w:rPr>
        <w:t>, the general actinide Section, as there is so little relevant information available, absorption parameter values for protactinium are based on chemical analogy: values chosen for thorium</w:t>
      </w:r>
      <w:r w:rsidR="00823AA4" w:rsidRPr="00972C81">
        <w:rPr>
          <w:noProof/>
        </w:rPr>
        <w:t xml:space="preserve"> </w:t>
      </w:r>
      <w:r w:rsidR="00823AA4" w:rsidRPr="00972C81">
        <w:rPr>
          <w:noProof/>
        </w:rPr>
        <w:fldChar w:fldCharType="begin"/>
      </w:r>
      <w:r w:rsidR="00823AA4" w:rsidRPr="00972C81">
        <w:rPr>
          <w:noProof/>
        </w:rPr>
        <w:instrText xml:space="preserve"> ADDIN ZOTERO_ITEM CSL_CITATION {"citationID":"mO4iJZUf","properties":{"custom":"(Section 14 of {\\i{}Publication 137}, ICRP, 2017)","formattedCitation":"(Section 14 of {\\i{}Publication 137}, ICRP, 2017)","plainCitation":"(Section 14 of Publication 137, ICRP, 2017)","noteIndex":0},"citationItems":[{"id":2566,"uris":["http://zotero.org/groups/2470620/items/BYB77JGB"],"itemData":{"id":2566,"type":"article-journal","container-title":"Annals of the ICRP","issue":"3/4","journalAbbreviation":"Ann. ICRP","language":"en","title":"Occupational intakes of radionuclides: Part 3. ICRP Publication 137","volume":"46","author":[{"literal":"ICRP"}],"issued":{"date-parts":[["2017"]]}},"prefix":"Section 14 of Publication 137, "}],"schema":"https://github.com/citation-style-language/schema/raw/master/csl-citation.json"} </w:instrText>
      </w:r>
      <w:r w:rsidR="00823AA4" w:rsidRPr="00972C81">
        <w:rPr>
          <w:noProof/>
        </w:rPr>
        <w:fldChar w:fldCharType="separate"/>
      </w:r>
      <w:r w:rsidR="00BC59C6" w:rsidRPr="00972C81">
        <w:rPr>
          <w:noProof/>
          <w:szCs w:val="24"/>
        </w:rPr>
        <w:t xml:space="preserve">(Section 14 of </w:t>
      </w:r>
      <w:r w:rsidR="00BC59C6" w:rsidRPr="00972C81">
        <w:rPr>
          <w:i/>
          <w:iCs/>
          <w:noProof/>
          <w:szCs w:val="24"/>
        </w:rPr>
        <w:t>Publication 137</w:t>
      </w:r>
      <w:r w:rsidR="00BC59C6" w:rsidRPr="00972C81">
        <w:rPr>
          <w:noProof/>
          <w:szCs w:val="24"/>
        </w:rPr>
        <w:t>, ICRP, 2017)</w:t>
      </w:r>
      <w:r w:rsidR="00823AA4" w:rsidRPr="00972C81">
        <w:rPr>
          <w:noProof/>
        </w:rPr>
        <w:fldChar w:fldCharType="end"/>
      </w:r>
      <w:r w:rsidR="00127B1A" w:rsidRPr="00972C81">
        <w:rPr>
          <w:noProof/>
        </w:rPr>
        <w:t xml:space="preserve"> are applied in this document to </w:t>
      </w:r>
      <w:r w:rsidR="002E685D" w:rsidRPr="00972C81">
        <w:rPr>
          <w:noProof/>
        </w:rPr>
        <w:t>prot</w:t>
      </w:r>
      <w:r w:rsidR="00127B1A" w:rsidRPr="00972C81">
        <w:rPr>
          <w:noProof/>
        </w:rPr>
        <w:t xml:space="preserve">actinium. </w:t>
      </w:r>
      <w:r w:rsidRPr="00972C81">
        <w:rPr>
          <w:noProof/>
        </w:rPr>
        <w:t xml:space="preserve">Absorption parameter values and Types, and associated </w:t>
      </w:r>
      <w:r w:rsidRPr="00972C81">
        <w:rPr>
          <w:i/>
          <w:noProof/>
        </w:rPr>
        <w:t>f</w:t>
      </w:r>
      <w:r w:rsidRPr="00972C81">
        <w:rPr>
          <w:noProof/>
          <w:vertAlign w:val="subscript"/>
        </w:rPr>
        <w:t>A</w:t>
      </w:r>
      <w:r w:rsidRPr="00972C81">
        <w:rPr>
          <w:noProof/>
        </w:rPr>
        <w:t xml:space="preserve"> values for particulate forms of protactinium are given in Table </w:t>
      </w:r>
      <w:r w:rsidR="008278DA" w:rsidRPr="00972C81">
        <w:rPr>
          <w:noProof/>
        </w:rPr>
        <w:t>19</w:t>
      </w:r>
      <w:r w:rsidR="0065448E" w:rsidRPr="00972C81">
        <w:rPr>
          <w:noProof/>
        </w:rPr>
        <w:t>.1.</w:t>
      </w:r>
      <w:r w:rsidR="006C29E4" w:rsidRPr="00972C81">
        <w:rPr>
          <w:noProof/>
        </w:rPr>
        <w:t xml:space="preserve"> (taken from Section 14 of </w:t>
      </w:r>
      <w:r w:rsidR="00F92E8B" w:rsidRPr="00972C81">
        <w:rPr>
          <w:i/>
          <w:noProof/>
        </w:rPr>
        <w:t xml:space="preserve">Publication </w:t>
      </w:r>
      <w:r w:rsidR="00723727" w:rsidRPr="00972C81">
        <w:rPr>
          <w:i/>
          <w:noProof/>
        </w:rPr>
        <w:t>137</w:t>
      </w:r>
      <w:r w:rsidR="006C29E4" w:rsidRPr="00972C81">
        <w:rPr>
          <w:noProof/>
        </w:rPr>
        <w:t>)</w:t>
      </w:r>
      <w:r w:rsidRPr="00972C81">
        <w:rPr>
          <w:noProof/>
        </w:rPr>
        <w:t xml:space="preserve">. </w:t>
      </w:r>
    </w:p>
    <w:p w14:paraId="5FD945A5" w14:textId="77777777" w:rsidR="000B33B9" w:rsidRPr="00972C81" w:rsidRDefault="000B33B9" w:rsidP="000B33B9">
      <w:pPr>
        <w:rPr>
          <w:rFonts w:ascii="Times Roman" w:hAnsi="Times Roman"/>
          <w:noProof/>
          <w:color w:val="000000" w:themeColor="text1"/>
        </w:rPr>
      </w:pPr>
    </w:p>
    <w:p w14:paraId="0E5E23D3" w14:textId="4FA2ADB8" w:rsidR="002E685D" w:rsidRPr="00C47F2F" w:rsidRDefault="00823AA4" w:rsidP="00823AA4">
      <w:pPr>
        <w:pStyle w:val="ab"/>
        <w:rPr>
          <w:b/>
          <w:noProof/>
          <w:sz w:val="24"/>
          <w:szCs w:val="24"/>
        </w:rPr>
      </w:pPr>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Pr>
          <w:noProof/>
          <w:sz w:val="24"/>
          <w:szCs w:val="24"/>
        </w:rPr>
        <w:t>19</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Pr>
          <w:noProof/>
          <w:sz w:val="24"/>
          <w:szCs w:val="24"/>
        </w:rPr>
        <w:t>1</w:t>
      </w:r>
      <w:r w:rsidR="00EA3750" w:rsidRPr="00C47F2F">
        <w:rPr>
          <w:noProof/>
          <w:sz w:val="24"/>
          <w:szCs w:val="24"/>
        </w:rPr>
        <w:fldChar w:fldCharType="end"/>
      </w:r>
      <w:r w:rsidRPr="00C47F2F">
        <w:rPr>
          <w:noProof/>
          <w:sz w:val="24"/>
          <w:szCs w:val="24"/>
        </w:rPr>
        <w:t>.</w:t>
      </w:r>
      <w:r w:rsidR="002E685D" w:rsidRPr="00C47F2F">
        <w:rPr>
          <w:noProof/>
          <w:sz w:val="24"/>
          <w:szCs w:val="24"/>
        </w:rPr>
        <w:t xml:space="preserve"> Absorption parameter values for inhaled and ingested protactinium (based on thorium, Section 14 of </w:t>
      </w:r>
      <w:r w:rsidRPr="00C47F2F">
        <w:rPr>
          <w:i/>
          <w:noProof/>
          <w:sz w:val="24"/>
          <w:szCs w:val="24"/>
        </w:rPr>
        <w:t xml:space="preserve">Publication 137, </w:t>
      </w:r>
      <w:r w:rsidR="002E685D" w:rsidRPr="00C47F2F">
        <w:rPr>
          <w:noProof/>
          <w:sz w:val="24"/>
          <w:szCs w:val="24"/>
        </w:rPr>
        <w:t>ICRP, 201</w:t>
      </w:r>
      <w:r w:rsidR="00723727" w:rsidRPr="00C47F2F">
        <w:rPr>
          <w:noProof/>
          <w:sz w:val="24"/>
          <w:szCs w:val="24"/>
        </w:rPr>
        <w:t>7</w:t>
      </w:r>
      <w:r w:rsidR="002E685D" w:rsidRPr="00C47F2F">
        <w:rPr>
          <w:noProof/>
          <w:sz w:val="24"/>
          <w:szCs w:val="24"/>
        </w:rPr>
        <w:t>).</w:t>
      </w:r>
    </w:p>
    <w:tbl>
      <w:tblPr>
        <w:tblW w:w="5000" w:type="pct"/>
        <w:tblLayout w:type="fixed"/>
        <w:tblLook w:val="04A0" w:firstRow="1" w:lastRow="0" w:firstColumn="1" w:lastColumn="0" w:noHBand="0" w:noVBand="1"/>
      </w:tblPr>
      <w:tblGrid>
        <w:gridCol w:w="2116"/>
        <w:gridCol w:w="565"/>
        <w:gridCol w:w="1056"/>
        <w:gridCol w:w="495"/>
        <w:gridCol w:w="563"/>
        <w:gridCol w:w="424"/>
        <w:gridCol w:w="634"/>
        <w:gridCol w:w="213"/>
        <w:gridCol w:w="141"/>
        <w:gridCol w:w="702"/>
        <w:gridCol w:w="285"/>
        <w:gridCol w:w="773"/>
        <w:gridCol w:w="1060"/>
      </w:tblGrid>
      <w:tr w:rsidR="002E685D" w:rsidRPr="00972C81" w14:paraId="08F63EFB" w14:textId="77777777" w:rsidTr="006A73E0">
        <w:trPr>
          <w:cantSplit/>
          <w:trHeight w:val="340"/>
        </w:trPr>
        <w:tc>
          <w:tcPr>
            <w:tcW w:w="2344" w:type="pct"/>
            <w:gridSpan w:val="4"/>
            <w:vMerge w:val="restart"/>
            <w:tcBorders>
              <w:top w:val="single" w:sz="4" w:space="0" w:color="auto"/>
              <w:left w:val="nil"/>
              <w:bottom w:val="single" w:sz="4" w:space="0" w:color="auto"/>
              <w:right w:val="nil"/>
            </w:tcBorders>
            <w:vAlign w:val="bottom"/>
            <w:hideMark/>
          </w:tcPr>
          <w:p w14:paraId="4C90FC77" w14:textId="77777777" w:rsidR="002E685D" w:rsidRPr="00BF102D" w:rsidRDefault="002E685D" w:rsidP="00E81109">
            <w:pPr>
              <w:pStyle w:val="Table"/>
              <w:rPr>
                <w:noProof/>
                <w:szCs w:val="22"/>
              </w:rPr>
            </w:pPr>
            <w:r w:rsidRPr="00BF102D">
              <w:rPr>
                <w:noProof/>
                <w:szCs w:val="22"/>
              </w:rPr>
              <w:t>Inhaled particulate materials</w:t>
            </w:r>
          </w:p>
        </w:tc>
        <w:tc>
          <w:tcPr>
            <w:tcW w:w="1641" w:type="pct"/>
            <w:gridSpan w:val="7"/>
            <w:tcBorders>
              <w:top w:val="single" w:sz="4" w:space="0" w:color="auto"/>
              <w:left w:val="nil"/>
              <w:bottom w:val="single" w:sz="4" w:space="0" w:color="auto"/>
              <w:right w:val="nil"/>
            </w:tcBorders>
            <w:vAlign w:val="center"/>
            <w:hideMark/>
          </w:tcPr>
          <w:p w14:paraId="71323E83" w14:textId="4EF391B7" w:rsidR="002E685D" w:rsidRPr="00BF102D" w:rsidRDefault="002E685D" w:rsidP="006A73E0">
            <w:pPr>
              <w:pStyle w:val="Table"/>
              <w:jc w:val="center"/>
              <w:rPr>
                <w:noProof/>
                <w:szCs w:val="22"/>
                <w:vertAlign w:val="superscript"/>
              </w:rPr>
            </w:pPr>
            <w:r w:rsidRPr="00BF102D">
              <w:rPr>
                <w:noProof/>
                <w:szCs w:val="22"/>
              </w:rPr>
              <w:t>Absorption parameter values</w:t>
            </w:r>
            <w:r w:rsidR="00823AA4" w:rsidRPr="00BF102D">
              <w:rPr>
                <w:noProof/>
                <w:szCs w:val="22"/>
                <w:vertAlign w:val="superscript"/>
              </w:rPr>
              <w:t>*</w:t>
            </w:r>
          </w:p>
        </w:tc>
        <w:tc>
          <w:tcPr>
            <w:tcW w:w="1015" w:type="pct"/>
            <w:gridSpan w:val="2"/>
            <w:vMerge w:val="restart"/>
            <w:tcBorders>
              <w:top w:val="single" w:sz="4" w:space="0" w:color="auto"/>
              <w:left w:val="nil"/>
              <w:bottom w:val="single" w:sz="4" w:space="0" w:color="auto"/>
              <w:right w:val="nil"/>
            </w:tcBorders>
            <w:vAlign w:val="center"/>
            <w:hideMark/>
          </w:tcPr>
          <w:p w14:paraId="2F952D43" w14:textId="722E6CE6" w:rsidR="002E685D" w:rsidRPr="00BF102D" w:rsidRDefault="002E685D" w:rsidP="006A73E0">
            <w:pPr>
              <w:pStyle w:val="Table"/>
              <w:rPr>
                <w:noProof/>
                <w:szCs w:val="22"/>
                <w:vertAlign w:val="superscript"/>
              </w:rPr>
            </w:pPr>
            <w:r w:rsidRPr="00BF102D">
              <w:rPr>
                <w:noProof/>
                <w:szCs w:val="22"/>
              </w:rPr>
              <w:t xml:space="preserve">Absorption from the alimentary tract, </w:t>
            </w:r>
            <w:r w:rsidRPr="00BF102D">
              <w:rPr>
                <w:i/>
                <w:noProof/>
                <w:szCs w:val="22"/>
              </w:rPr>
              <w:t>f</w:t>
            </w:r>
            <w:r w:rsidRPr="00BF102D">
              <w:rPr>
                <w:noProof/>
                <w:szCs w:val="22"/>
                <w:vertAlign w:val="subscript"/>
              </w:rPr>
              <w:t>A</w:t>
            </w:r>
            <w:r w:rsidR="00823AA4" w:rsidRPr="00BF102D">
              <w:rPr>
                <w:noProof/>
                <w:szCs w:val="22"/>
                <w:vertAlign w:val="superscript"/>
              </w:rPr>
              <w:t>†</w:t>
            </w:r>
          </w:p>
        </w:tc>
      </w:tr>
      <w:tr w:rsidR="002E685D" w:rsidRPr="00972C81" w14:paraId="186C6573" w14:textId="77777777" w:rsidTr="006A73E0">
        <w:trPr>
          <w:cantSplit/>
          <w:trHeight w:val="340"/>
        </w:trPr>
        <w:tc>
          <w:tcPr>
            <w:tcW w:w="2344" w:type="pct"/>
            <w:gridSpan w:val="4"/>
            <w:vMerge/>
            <w:tcBorders>
              <w:top w:val="single" w:sz="4" w:space="0" w:color="auto"/>
              <w:left w:val="nil"/>
              <w:bottom w:val="single" w:sz="4" w:space="0" w:color="auto"/>
              <w:right w:val="nil"/>
            </w:tcBorders>
            <w:vAlign w:val="center"/>
            <w:hideMark/>
          </w:tcPr>
          <w:p w14:paraId="69DADC47" w14:textId="77777777" w:rsidR="002E685D" w:rsidRPr="00BF102D" w:rsidRDefault="002E685D" w:rsidP="00E81109">
            <w:pPr>
              <w:pStyle w:val="Table"/>
              <w:rPr>
                <w:rFonts w:ascii="Times Roman" w:hAnsi="Times Roman"/>
                <w:noProof/>
                <w:color w:val="000000" w:themeColor="text1"/>
                <w:szCs w:val="22"/>
              </w:rPr>
            </w:pPr>
          </w:p>
        </w:tc>
        <w:tc>
          <w:tcPr>
            <w:tcW w:w="547" w:type="pct"/>
            <w:gridSpan w:val="2"/>
            <w:tcBorders>
              <w:top w:val="single" w:sz="4" w:space="0" w:color="auto"/>
              <w:left w:val="nil"/>
              <w:bottom w:val="single" w:sz="4" w:space="0" w:color="auto"/>
              <w:right w:val="nil"/>
            </w:tcBorders>
            <w:vAlign w:val="center"/>
            <w:hideMark/>
          </w:tcPr>
          <w:p w14:paraId="0C41795F"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i/>
                <w:noProof/>
                <w:color w:val="000000" w:themeColor="text1"/>
                <w:szCs w:val="22"/>
              </w:rPr>
              <w:t>f</w:t>
            </w:r>
            <w:r w:rsidRPr="00BF102D">
              <w:rPr>
                <w:rFonts w:ascii="Times Roman" w:hAnsi="Times Roman"/>
                <w:noProof/>
                <w:color w:val="000000" w:themeColor="text1"/>
                <w:szCs w:val="22"/>
                <w:vertAlign w:val="subscript"/>
              </w:rPr>
              <w:t>r</w:t>
            </w:r>
          </w:p>
        </w:tc>
        <w:tc>
          <w:tcPr>
            <w:tcW w:w="547" w:type="pct"/>
            <w:gridSpan w:val="3"/>
            <w:tcBorders>
              <w:top w:val="single" w:sz="4" w:space="0" w:color="auto"/>
              <w:left w:val="nil"/>
              <w:bottom w:val="single" w:sz="4" w:space="0" w:color="auto"/>
              <w:right w:val="nil"/>
            </w:tcBorders>
            <w:vAlign w:val="center"/>
            <w:hideMark/>
          </w:tcPr>
          <w:p w14:paraId="46D9E25D"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i/>
                <w:noProof/>
                <w:color w:val="000000" w:themeColor="text1"/>
                <w:szCs w:val="22"/>
              </w:rPr>
              <w:t>s</w:t>
            </w:r>
            <w:r w:rsidRPr="00BF102D">
              <w:rPr>
                <w:rFonts w:ascii="Times Roman" w:hAnsi="Times Roman"/>
                <w:noProof/>
                <w:color w:val="000000" w:themeColor="text1"/>
                <w:szCs w:val="22"/>
                <w:vertAlign w:val="subscript"/>
              </w:rPr>
              <w:t>r</w:t>
            </w:r>
            <w:r w:rsidRPr="00BF102D">
              <w:rPr>
                <w:rFonts w:ascii="Times Roman" w:hAnsi="Times Roman"/>
                <w:noProof/>
                <w:color w:val="000000" w:themeColor="text1"/>
                <w:szCs w:val="22"/>
              </w:rPr>
              <w:t xml:space="preserve"> (d</w:t>
            </w:r>
            <w:r w:rsidRPr="00BF102D">
              <w:rPr>
                <w:rFonts w:ascii="Times Roman" w:hAnsi="Times Roman"/>
                <w:noProof/>
                <w:color w:val="000000" w:themeColor="text1"/>
                <w:szCs w:val="22"/>
                <w:vertAlign w:val="superscript"/>
              </w:rPr>
              <w:t>–1</w:t>
            </w:r>
            <w:r w:rsidRPr="00BF102D">
              <w:rPr>
                <w:rFonts w:ascii="Times Roman" w:hAnsi="Times Roman"/>
                <w:noProof/>
                <w:color w:val="000000" w:themeColor="text1"/>
                <w:szCs w:val="22"/>
              </w:rPr>
              <w:t>)</w:t>
            </w:r>
          </w:p>
        </w:tc>
        <w:tc>
          <w:tcPr>
            <w:tcW w:w="547" w:type="pct"/>
            <w:gridSpan w:val="2"/>
            <w:tcBorders>
              <w:top w:val="single" w:sz="4" w:space="0" w:color="auto"/>
              <w:left w:val="nil"/>
              <w:bottom w:val="single" w:sz="4" w:space="0" w:color="auto"/>
              <w:right w:val="nil"/>
            </w:tcBorders>
            <w:vAlign w:val="center"/>
            <w:hideMark/>
          </w:tcPr>
          <w:p w14:paraId="2FCDF41C"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i/>
                <w:noProof/>
                <w:color w:val="000000" w:themeColor="text1"/>
                <w:szCs w:val="22"/>
              </w:rPr>
              <w:t>s</w:t>
            </w:r>
            <w:r w:rsidRPr="00BF102D">
              <w:rPr>
                <w:rFonts w:ascii="Times Roman" w:hAnsi="Times Roman"/>
                <w:noProof/>
                <w:color w:val="000000" w:themeColor="text1"/>
                <w:szCs w:val="22"/>
                <w:vertAlign w:val="subscript"/>
              </w:rPr>
              <w:t>s</w:t>
            </w:r>
            <w:r w:rsidRPr="00BF102D">
              <w:rPr>
                <w:rFonts w:ascii="Times Roman" w:hAnsi="Times Roman"/>
                <w:noProof/>
                <w:color w:val="000000" w:themeColor="text1"/>
                <w:szCs w:val="22"/>
              </w:rPr>
              <w:t xml:space="preserve"> (d</w:t>
            </w:r>
            <w:r w:rsidRPr="00BF102D">
              <w:rPr>
                <w:rFonts w:ascii="Times Roman" w:hAnsi="Times Roman"/>
                <w:noProof/>
                <w:color w:val="000000" w:themeColor="text1"/>
                <w:szCs w:val="22"/>
                <w:vertAlign w:val="superscript"/>
              </w:rPr>
              <w:t>–1</w:t>
            </w:r>
            <w:r w:rsidRPr="00BF102D">
              <w:rPr>
                <w:rFonts w:ascii="Times Roman" w:hAnsi="Times Roman"/>
                <w:noProof/>
                <w:color w:val="000000" w:themeColor="text1"/>
                <w:szCs w:val="22"/>
              </w:rPr>
              <w:t>)</w:t>
            </w:r>
          </w:p>
        </w:tc>
        <w:tc>
          <w:tcPr>
            <w:tcW w:w="1015" w:type="pct"/>
            <w:gridSpan w:val="2"/>
            <w:vMerge/>
            <w:tcBorders>
              <w:top w:val="single" w:sz="4" w:space="0" w:color="auto"/>
              <w:left w:val="nil"/>
              <w:bottom w:val="single" w:sz="4" w:space="0" w:color="auto"/>
              <w:right w:val="nil"/>
            </w:tcBorders>
            <w:vAlign w:val="center"/>
            <w:hideMark/>
          </w:tcPr>
          <w:p w14:paraId="0B1AA659" w14:textId="77777777" w:rsidR="002E685D" w:rsidRPr="00BF102D" w:rsidRDefault="002E685D" w:rsidP="00E81109">
            <w:pPr>
              <w:pStyle w:val="Table"/>
              <w:rPr>
                <w:rFonts w:ascii="Times Roman" w:hAnsi="Times Roman"/>
                <w:noProof/>
                <w:color w:val="000000" w:themeColor="text1"/>
                <w:szCs w:val="22"/>
                <w:vertAlign w:val="superscript"/>
              </w:rPr>
            </w:pPr>
          </w:p>
        </w:tc>
      </w:tr>
      <w:tr w:rsidR="002E685D" w:rsidRPr="00972C81" w14:paraId="05983B5B" w14:textId="77777777" w:rsidTr="006A73E0">
        <w:trPr>
          <w:cantSplit/>
          <w:trHeight w:val="340"/>
        </w:trPr>
        <w:tc>
          <w:tcPr>
            <w:tcW w:w="2344" w:type="pct"/>
            <w:gridSpan w:val="4"/>
            <w:tcBorders>
              <w:top w:val="single" w:sz="4" w:space="0" w:color="auto"/>
              <w:left w:val="nil"/>
              <w:bottom w:val="nil"/>
              <w:right w:val="nil"/>
            </w:tcBorders>
            <w:hideMark/>
          </w:tcPr>
          <w:p w14:paraId="117C9A56" w14:textId="07F8E2F3"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Specific parameter values</w:t>
            </w:r>
            <w:r w:rsidR="00823AA4" w:rsidRPr="00BF102D">
              <w:rPr>
                <w:noProof/>
                <w:color w:val="000000" w:themeColor="text1"/>
                <w:szCs w:val="22"/>
                <w:vertAlign w:val="superscript"/>
              </w:rPr>
              <w:t>‡</w:t>
            </w:r>
          </w:p>
        </w:tc>
        <w:tc>
          <w:tcPr>
            <w:tcW w:w="547" w:type="pct"/>
            <w:gridSpan w:val="2"/>
            <w:tcBorders>
              <w:top w:val="single" w:sz="4" w:space="0" w:color="auto"/>
              <w:left w:val="nil"/>
              <w:bottom w:val="nil"/>
              <w:right w:val="nil"/>
            </w:tcBorders>
          </w:tcPr>
          <w:p w14:paraId="74399980" w14:textId="77777777" w:rsidR="002E685D" w:rsidRPr="00BF102D" w:rsidRDefault="002E685D" w:rsidP="006A73E0">
            <w:pPr>
              <w:pStyle w:val="Table"/>
              <w:rPr>
                <w:rFonts w:ascii="Times Roman" w:hAnsi="Times Roman"/>
                <w:noProof/>
                <w:color w:val="000000" w:themeColor="text1"/>
                <w:szCs w:val="22"/>
              </w:rPr>
            </w:pPr>
          </w:p>
        </w:tc>
        <w:tc>
          <w:tcPr>
            <w:tcW w:w="547" w:type="pct"/>
            <w:gridSpan w:val="3"/>
            <w:tcBorders>
              <w:top w:val="single" w:sz="4" w:space="0" w:color="auto"/>
              <w:left w:val="nil"/>
              <w:bottom w:val="nil"/>
              <w:right w:val="nil"/>
            </w:tcBorders>
          </w:tcPr>
          <w:p w14:paraId="60C2AF8C" w14:textId="77777777" w:rsidR="002E685D" w:rsidRPr="00BF102D" w:rsidRDefault="002E685D" w:rsidP="006A73E0">
            <w:pPr>
              <w:pStyle w:val="Table"/>
              <w:rPr>
                <w:rFonts w:ascii="Times Roman" w:hAnsi="Times Roman"/>
                <w:noProof/>
                <w:color w:val="000000" w:themeColor="text1"/>
                <w:szCs w:val="22"/>
              </w:rPr>
            </w:pPr>
          </w:p>
        </w:tc>
        <w:tc>
          <w:tcPr>
            <w:tcW w:w="547" w:type="pct"/>
            <w:gridSpan w:val="2"/>
            <w:tcBorders>
              <w:top w:val="single" w:sz="4" w:space="0" w:color="auto"/>
              <w:left w:val="nil"/>
              <w:bottom w:val="nil"/>
              <w:right w:val="nil"/>
            </w:tcBorders>
          </w:tcPr>
          <w:p w14:paraId="27D56501" w14:textId="77777777" w:rsidR="002E685D" w:rsidRPr="00BF102D" w:rsidRDefault="002E685D" w:rsidP="006A73E0">
            <w:pPr>
              <w:pStyle w:val="Table"/>
              <w:rPr>
                <w:rFonts w:ascii="Times Roman" w:hAnsi="Times Roman"/>
                <w:noProof/>
                <w:color w:val="000000" w:themeColor="text1"/>
                <w:szCs w:val="22"/>
              </w:rPr>
            </w:pPr>
          </w:p>
        </w:tc>
        <w:tc>
          <w:tcPr>
            <w:tcW w:w="1015" w:type="pct"/>
            <w:gridSpan w:val="2"/>
            <w:tcBorders>
              <w:top w:val="single" w:sz="4" w:space="0" w:color="auto"/>
              <w:left w:val="nil"/>
              <w:bottom w:val="nil"/>
              <w:right w:val="nil"/>
            </w:tcBorders>
          </w:tcPr>
          <w:p w14:paraId="4090945B" w14:textId="77777777" w:rsidR="002E685D" w:rsidRPr="00BF102D" w:rsidRDefault="002E685D" w:rsidP="006A73E0">
            <w:pPr>
              <w:pStyle w:val="Table"/>
              <w:rPr>
                <w:rFonts w:ascii="Times Roman" w:hAnsi="Times Roman"/>
                <w:noProof/>
                <w:color w:val="000000" w:themeColor="text1"/>
                <w:szCs w:val="22"/>
              </w:rPr>
            </w:pPr>
          </w:p>
        </w:tc>
      </w:tr>
      <w:tr w:rsidR="002E685D" w:rsidRPr="00972C81" w14:paraId="57EAB347" w14:textId="77777777" w:rsidTr="006A73E0">
        <w:trPr>
          <w:cantSplit/>
          <w:trHeight w:val="340"/>
        </w:trPr>
        <w:tc>
          <w:tcPr>
            <w:tcW w:w="2344" w:type="pct"/>
            <w:gridSpan w:val="4"/>
            <w:hideMark/>
          </w:tcPr>
          <w:p w14:paraId="3C29D2CC" w14:textId="6747A520"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Water soluble forms, including chloride, citrate, fluoride, nitrate and sulphate</w:t>
            </w:r>
            <w:r w:rsidR="00823AA4" w:rsidRPr="00BF102D">
              <w:rPr>
                <w:noProof/>
                <w:color w:val="000000" w:themeColor="text1"/>
                <w:szCs w:val="22"/>
                <w:vertAlign w:val="superscript"/>
              </w:rPr>
              <w:t>§</w:t>
            </w:r>
          </w:p>
        </w:tc>
        <w:tc>
          <w:tcPr>
            <w:tcW w:w="547" w:type="pct"/>
            <w:gridSpan w:val="2"/>
            <w:hideMark/>
          </w:tcPr>
          <w:p w14:paraId="2B88B38D"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0.1</w:t>
            </w:r>
          </w:p>
        </w:tc>
        <w:tc>
          <w:tcPr>
            <w:tcW w:w="547" w:type="pct"/>
            <w:gridSpan w:val="3"/>
            <w:hideMark/>
          </w:tcPr>
          <w:p w14:paraId="365D0117"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50</w:t>
            </w:r>
          </w:p>
        </w:tc>
        <w:tc>
          <w:tcPr>
            <w:tcW w:w="547" w:type="pct"/>
            <w:gridSpan w:val="2"/>
            <w:hideMark/>
          </w:tcPr>
          <w:p w14:paraId="28FF932B"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0.005</w:t>
            </w:r>
          </w:p>
        </w:tc>
        <w:tc>
          <w:tcPr>
            <w:tcW w:w="1015" w:type="pct"/>
            <w:gridSpan w:val="2"/>
            <w:hideMark/>
          </w:tcPr>
          <w:p w14:paraId="6FBD9ADB" w14:textId="4296AFF1"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5</w:t>
            </w:r>
            <w:r w:rsidR="00067025" w:rsidRPr="00BF102D">
              <w:rPr>
                <w:rFonts w:ascii="Times Roman" w:hAnsi="Times Roman"/>
                <w:noProof/>
                <w:color w:val="000000" w:themeColor="text1"/>
                <w:szCs w:val="22"/>
              </w:rPr>
              <w:t xml:space="preserve"> × </w:t>
            </w:r>
            <w:r w:rsidRPr="00BF102D">
              <w:rPr>
                <w:rFonts w:ascii="Times Roman" w:hAnsi="Times Roman"/>
                <w:noProof/>
                <w:color w:val="000000" w:themeColor="text1"/>
                <w:szCs w:val="22"/>
              </w:rPr>
              <w:t>10</w:t>
            </w:r>
            <w:r w:rsidRPr="00BF102D">
              <w:rPr>
                <w:rFonts w:ascii="Times Roman" w:hAnsi="Times Roman"/>
                <w:noProof/>
                <w:color w:val="000000" w:themeColor="text1"/>
                <w:szCs w:val="22"/>
                <w:vertAlign w:val="superscript"/>
              </w:rPr>
              <w:t>–5</w:t>
            </w:r>
          </w:p>
        </w:tc>
      </w:tr>
      <w:tr w:rsidR="002E685D" w:rsidRPr="00972C81" w14:paraId="1BAEB738" w14:textId="77777777" w:rsidTr="006A73E0">
        <w:trPr>
          <w:trHeight w:val="340"/>
        </w:trPr>
        <w:tc>
          <w:tcPr>
            <w:tcW w:w="2344" w:type="pct"/>
            <w:gridSpan w:val="4"/>
            <w:tcBorders>
              <w:top w:val="nil"/>
              <w:left w:val="nil"/>
              <w:right w:val="nil"/>
            </w:tcBorders>
          </w:tcPr>
          <w:p w14:paraId="61EC7E09" w14:textId="77777777" w:rsidR="002E685D" w:rsidRPr="00BF102D" w:rsidRDefault="002E685D" w:rsidP="006A73E0">
            <w:pPr>
              <w:pStyle w:val="Table"/>
              <w:rPr>
                <w:rFonts w:ascii="Times Roman" w:hAnsi="Times Roman"/>
                <w:noProof/>
                <w:color w:val="000000" w:themeColor="text1"/>
                <w:szCs w:val="22"/>
              </w:rPr>
            </w:pPr>
          </w:p>
        </w:tc>
        <w:tc>
          <w:tcPr>
            <w:tcW w:w="547" w:type="pct"/>
            <w:gridSpan w:val="2"/>
            <w:tcBorders>
              <w:top w:val="nil"/>
              <w:left w:val="nil"/>
              <w:right w:val="nil"/>
            </w:tcBorders>
          </w:tcPr>
          <w:p w14:paraId="48AC17E7" w14:textId="77777777" w:rsidR="002E685D" w:rsidRPr="00BF102D" w:rsidRDefault="002E685D" w:rsidP="006A73E0">
            <w:pPr>
              <w:pStyle w:val="Table"/>
              <w:rPr>
                <w:rFonts w:ascii="Times Roman" w:hAnsi="Times Roman"/>
                <w:noProof/>
                <w:color w:val="000000" w:themeColor="text1"/>
                <w:szCs w:val="22"/>
              </w:rPr>
            </w:pPr>
          </w:p>
        </w:tc>
        <w:tc>
          <w:tcPr>
            <w:tcW w:w="547" w:type="pct"/>
            <w:gridSpan w:val="3"/>
            <w:tcBorders>
              <w:top w:val="nil"/>
              <w:left w:val="nil"/>
              <w:right w:val="nil"/>
            </w:tcBorders>
          </w:tcPr>
          <w:p w14:paraId="0D1DE3B2" w14:textId="77777777" w:rsidR="002E685D" w:rsidRPr="00BF102D" w:rsidRDefault="002E685D" w:rsidP="006A73E0">
            <w:pPr>
              <w:pStyle w:val="Table"/>
              <w:rPr>
                <w:rFonts w:ascii="Times Roman" w:hAnsi="Times Roman"/>
                <w:noProof/>
                <w:color w:val="000000" w:themeColor="text1"/>
                <w:szCs w:val="22"/>
              </w:rPr>
            </w:pPr>
          </w:p>
        </w:tc>
        <w:tc>
          <w:tcPr>
            <w:tcW w:w="547" w:type="pct"/>
            <w:gridSpan w:val="2"/>
            <w:tcBorders>
              <w:top w:val="nil"/>
              <w:left w:val="nil"/>
              <w:right w:val="nil"/>
            </w:tcBorders>
          </w:tcPr>
          <w:p w14:paraId="4EB4D0EC" w14:textId="77777777" w:rsidR="002E685D" w:rsidRPr="00BF102D" w:rsidRDefault="002E685D" w:rsidP="006A73E0">
            <w:pPr>
              <w:pStyle w:val="Table"/>
              <w:rPr>
                <w:rFonts w:ascii="Times Roman" w:hAnsi="Times Roman"/>
                <w:noProof/>
                <w:color w:val="000000" w:themeColor="text1"/>
                <w:szCs w:val="22"/>
              </w:rPr>
            </w:pPr>
          </w:p>
        </w:tc>
        <w:tc>
          <w:tcPr>
            <w:tcW w:w="1015" w:type="pct"/>
            <w:gridSpan w:val="2"/>
            <w:tcBorders>
              <w:top w:val="nil"/>
              <w:left w:val="nil"/>
              <w:right w:val="nil"/>
            </w:tcBorders>
          </w:tcPr>
          <w:p w14:paraId="09BFBC7D" w14:textId="77777777" w:rsidR="002E685D" w:rsidRPr="00BF102D" w:rsidRDefault="002E685D" w:rsidP="006A73E0">
            <w:pPr>
              <w:pStyle w:val="Table"/>
              <w:rPr>
                <w:rFonts w:ascii="Times Roman" w:hAnsi="Times Roman"/>
                <w:noProof/>
                <w:color w:val="000000" w:themeColor="text1"/>
                <w:szCs w:val="22"/>
              </w:rPr>
            </w:pPr>
          </w:p>
        </w:tc>
      </w:tr>
      <w:tr w:rsidR="002E685D" w:rsidRPr="00972C81" w14:paraId="44B7B096" w14:textId="77777777" w:rsidTr="006A73E0">
        <w:trPr>
          <w:trHeight w:val="340"/>
        </w:trPr>
        <w:tc>
          <w:tcPr>
            <w:tcW w:w="2344" w:type="pct"/>
            <w:gridSpan w:val="4"/>
            <w:tcBorders>
              <w:left w:val="nil"/>
              <w:right w:val="nil"/>
            </w:tcBorders>
            <w:hideMark/>
          </w:tcPr>
          <w:p w14:paraId="18B78E7A" w14:textId="56742E22"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Default parameter values</w:t>
            </w:r>
            <w:r w:rsidR="0013248F" w:rsidRPr="00BF102D">
              <w:rPr>
                <w:noProof/>
                <w:color w:val="000000" w:themeColor="text1"/>
                <w:szCs w:val="22"/>
                <w:vertAlign w:val="superscript"/>
              </w:rPr>
              <w:t>¶</w:t>
            </w:r>
          </w:p>
        </w:tc>
        <w:tc>
          <w:tcPr>
            <w:tcW w:w="547" w:type="pct"/>
            <w:gridSpan w:val="2"/>
          </w:tcPr>
          <w:p w14:paraId="54E19B76" w14:textId="77777777" w:rsidR="002E685D" w:rsidRPr="00BF102D" w:rsidRDefault="002E685D" w:rsidP="006A73E0">
            <w:pPr>
              <w:pStyle w:val="Table"/>
              <w:rPr>
                <w:rFonts w:ascii="Times Roman" w:hAnsi="Times Roman"/>
                <w:noProof/>
                <w:color w:val="000000" w:themeColor="text1"/>
                <w:szCs w:val="22"/>
              </w:rPr>
            </w:pPr>
          </w:p>
        </w:tc>
        <w:tc>
          <w:tcPr>
            <w:tcW w:w="547" w:type="pct"/>
            <w:gridSpan w:val="3"/>
          </w:tcPr>
          <w:p w14:paraId="6E15E018" w14:textId="77777777" w:rsidR="002E685D" w:rsidRPr="00BF102D" w:rsidRDefault="002E685D" w:rsidP="006A73E0">
            <w:pPr>
              <w:pStyle w:val="Table"/>
              <w:rPr>
                <w:rFonts w:ascii="Times Roman" w:hAnsi="Times Roman"/>
                <w:noProof/>
                <w:color w:val="000000" w:themeColor="text1"/>
                <w:szCs w:val="22"/>
              </w:rPr>
            </w:pPr>
          </w:p>
        </w:tc>
        <w:tc>
          <w:tcPr>
            <w:tcW w:w="547" w:type="pct"/>
            <w:gridSpan w:val="2"/>
          </w:tcPr>
          <w:p w14:paraId="5842FDF1" w14:textId="77777777" w:rsidR="002E685D" w:rsidRPr="00BF102D" w:rsidRDefault="002E685D" w:rsidP="006A73E0">
            <w:pPr>
              <w:pStyle w:val="Table"/>
              <w:rPr>
                <w:rFonts w:ascii="Times Roman" w:hAnsi="Times Roman"/>
                <w:noProof/>
                <w:color w:val="000000" w:themeColor="text1"/>
                <w:szCs w:val="22"/>
              </w:rPr>
            </w:pPr>
          </w:p>
        </w:tc>
        <w:tc>
          <w:tcPr>
            <w:tcW w:w="1015" w:type="pct"/>
            <w:gridSpan w:val="2"/>
          </w:tcPr>
          <w:p w14:paraId="1D14DEE5" w14:textId="77777777" w:rsidR="002E685D" w:rsidRPr="00BF102D" w:rsidRDefault="002E685D" w:rsidP="006A73E0">
            <w:pPr>
              <w:pStyle w:val="Table"/>
              <w:rPr>
                <w:rFonts w:ascii="Times Roman" w:hAnsi="Times Roman"/>
                <w:noProof/>
                <w:color w:val="000000" w:themeColor="text1"/>
                <w:szCs w:val="22"/>
              </w:rPr>
            </w:pPr>
          </w:p>
        </w:tc>
      </w:tr>
      <w:tr w:rsidR="002E685D" w:rsidRPr="00972C81" w14:paraId="0D024F5D" w14:textId="77777777" w:rsidTr="006A73E0">
        <w:trPr>
          <w:trHeight w:val="340"/>
        </w:trPr>
        <w:tc>
          <w:tcPr>
            <w:tcW w:w="1172" w:type="pct"/>
            <w:tcBorders>
              <w:left w:val="nil"/>
              <w:bottom w:val="nil"/>
              <w:right w:val="nil"/>
            </w:tcBorders>
            <w:hideMark/>
          </w:tcPr>
          <w:p w14:paraId="55FE4993"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Absorption Type</w:t>
            </w:r>
          </w:p>
        </w:tc>
        <w:tc>
          <w:tcPr>
            <w:tcW w:w="1172" w:type="pct"/>
            <w:gridSpan w:val="3"/>
            <w:tcBorders>
              <w:left w:val="nil"/>
              <w:bottom w:val="nil"/>
              <w:right w:val="nil"/>
            </w:tcBorders>
            <w:hideMark/>
          </w:tcPr>
          <w:p w14:paraId="17597980"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Assigned forms</w:t>
            </w:r>
          </w:p>
        </w:tc>
        <w:tc>
          <w:tcPr>
            <w:tcW w:w="547" w:type="pct"/>
            <w:gridSpan w:val="2"/>
          </w:tcPr>
          <w:p w14:paraId="5E96E8F5" w14:textId="77777777" w:rsidR="002E685D" w:rsidRPr="00BF102D" w:rsidRDefault="002E685D" w:rsidP="006A73E0">
            <w:pPr>
              <w:pStyle w:val="Table"/>
              <w:rPr>
                <w:rFonts w:ascii="Times Roman" w:hAnsi="Times Roman"/>
                <w:noProof/>
                <w:color w:val="000000" w:themeColor="text1"/>
                <w:szCs w:val="22"/>
              </w:rPr>
            </w:pPr>
          </w:p>
        </w:tc>
        <w:tc>
          <w:tcPr>
            <w:tcW w:w="547" w:type="pct"/>
            <w:gridSpan w:val="3"/>
          </w:tcPr>
          <w:p w14:paraId="5E73E774" w14:textId="77777777" w:rsidR="002E685D" w:rsidRPr="00BF102D" w:rsidRDefault="002E685D" w:rsidP="006A73E0">
            <w:pPr>
              <w:pStyle w:val="Table"/>
              <w:rPr>
                <w:rFonts w:ascii="Times Roman" w:hAnsi="Times Roman"/>
                <w:noProof/>
                <w:color w:val="000000" w:themeColor="text1"/>
                <w:szCs w:val="22"/>
              </w:rPr>
            </w:pPr>
          </w:p>
        </w:tc>
        <w:tc>
          <w:tcPr>
            <w:tcW w:w="547" w:type="pct"/>
            <w:gridSpan w:val="2"/>
          </w:tcPr>
          <w:p w14:paraId="1F832EED" w14:textId="77777777" w:rsidR="002E685D" w:rsidRPr="00BF102D" w:rsidRDefault="002E685D" w:rsidP="006A73E0">
            <w:pPr>
              <w:pStyle w:val="Table"/>
              <w:rPr>
                <w:rFonts w:ascii="Times Roman" w:hAnsi="Times Roman"/>
                <w:noProof/>
                <w:color w:val="000000" w:themeColor="text1"/>
                <w:szCs w:val="22"/>
              </w:rPr>
            </w:pPr>
          </w:p>
        </w:tc>
        <w:tc>
          <w:tcPr>
            <w:tcW w:w="1015" w:type="pct"/>
            <w:gridSpan w:val="2"/>
          </w:tcPr>
          <w:p w14:paraId="06ABEF27" w14:textId="77777777" w:rsidR="002E685D" w:rsidRPr="00BF102D" w:rsidRDefault="002E685D" w:rsidP="006A73E0">
            <w:pPr>
              <w:pStyle w:val="Table"/>
              <w:rPr>
                <w:rFonts w:ascii="Times Roman" w:hAnsi="Times Roman"/>
                <w:noProof/>
                <w:color w:val="000000" w:themeColor="text1"/>
                <w:szCs w:val="22"/>
              </w:rPr>
            </w:pPr>
          </w:p>
        </w:tc>
      </w:tr>
      <w:tr w:rsidR="002E685D" w:rsidRPr="00972C81" w14:paraId="15590FA1" w14:textId="77777777" w:rsidTr="006A73E0">
        <w:trPr>
          <w:trHeight w:val="340"/>
        </w:trPr>
        <w:tc>
          <w:tcPr>
            <w:tcW w:w="1172" w:type="pct"/>
            <w:hideMark/>
          </w:tcPr>
          <w:p w14:paraId="2CAB4BFF"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F</w:t>
            </w:r>
          </w:p>
        </w:tc>
        <w:tc>
          <w:tcPr>
            <w:tcW w:w="1172" w:type="pct"/>
            <w:gridSpan w:val="3"/>
            <w:hideMark/>
          </w:tcPr>
          <w:p w14:paraId="428F4BBB"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 NB: Type F should not be assumed without evidence</w:t>
            </w:r>
          </w:p>
        </w:tc>
        <w:tc>
          <w:tcPr>
            <w:tcW w:w="547" w:type="pct"/>
            <w:gridSpan w:val="2"/>
            <w:hideMark/>
          </w:tcPr>
          <w:p w14:paraId="0E591376"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1</w:t>
            </w:r>
          </w:p>
        </w:tc>
        <w:tc>
          <w:tcPr>
            <w:tcW w:w="547" w:type="pct"/>
            <w:gridSpan w:val="3"/>
            <w:hideMark/>
          </w:tcPr>
          <w:p w14:paraId="0A4C5722"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50</w:t>
            </w:r>
          </w:p>
        </w:tc>
        <w:tc>
          <w:tcPr>
            <w:tcW w:w="547" w:type="pct"/>
            <w:gridSpan w:val="2"/>
            <w:hideMark/>
          </w:tcPr>
          <w:p w14:paraId="2DB76ED9"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w:t>
            </w:r>
          </w:p>
        </w:tc>
        <w:tc>
          <w:tcPr>
            <w:tcW w:w="1015" w:type="pct"/>
            <w:gridSpan w:val="2"/>
            <w:hideMark/>
          </w:tcPr>
          <w:p w14:paraId="712436D9" w14:textId="421AA8DD"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5</w:t>
            </w:r>
            <w:r w:rsidR="00067025" w:rsidRPr="00BF102D">
              <w:rPr>
                <w:rFonts w:ascii="Times Roman" w:hAnsi="Times Roman"/>
                <w:noProof/>
                <w:color w:val="000000" w:themeColor="text1"/>
                <w:szCs w:val="22"/>
              </w:rPr>
              <w:t xml:space="preserve"> × </w:t>
            </w:r>
            <w:r w:rsidRPr="00BF102D">
              <w:rPr>
                <w:rFonts w:ascii="Times Roman" w:hAnsi="Times Roman"/>
                <w:noProof/>
                <w:color w:val="000000" w:themeColor="text1"/>
                <w:szCs w:val="22"/>
              </w:rPr>
              <w:t>10</w:t>
            </w:r>
            <w:r w:rsidRPr="00BF102D">
              <w:rPr>
                <w:rFonts w:ascii="Times Roman" w:hAnsi="Times Roman"/>
                <w:noProof/>
                <w:color w:val="000000" w:themeColor="text1"/>
                <w:szCs w:val="22"/>
                <w:vertAlign w:val="superscript"/>
              </w:rPr>
              <w:t>–4</w:t>
            </w:r>
          </w:p>
        </w:tc>
      </w:tr>
      <w:tr w:rsidR="002E685D" w:rsidRPr="00972C81" w14:paraId="20B6C102" w14:textId="77777777" w:rsidTr="006A73E0">
        <w:trPr>
          <w:trHeight w:val="340"/>
        </w:trPr>
        <w:tc>
          <w:tcPr>
            <w:tcW w:w="1172" w:type="pct"/>
            <w:hideMark/>
          </w:tcPr>
          <w:p w14:paraId="14B96371" w14:textId="3CF7815D" w:rsidR="002E685D" w:rsidRPr="00BF102D" w:rsidRDefault="002E685D" w:rsidP="006A73E0">
            <w:pPr>
              <w:pStyle w:val="Table"/>
              <w:rPr>
                <w:rFonts w:ascii="Times Roman" w:hAnsi="Times Roman"/>
                <w:noProof/>
                <w:color w:val="000000" w:themeColor="text1"/>
                <w:szCs w:val="22"/>
                <w:vertAlign w:val="superscript"/>
              </w:rPr>
            </w:pPr>
            <w:r w:rsidRPr="00BF102D">
              <w:rPr>
                <w:rFonts w:ascii="Times Roman" w:hAnsi="Times Roman"/>
                <w:noProof/>
                <w:color w:val="000000" w:themeColor="text1"/>
                <w:szCs w:val="22"/>
              </w:rPr>
              <w:t>M</w:t>
            </w:r>
            <w:r w:rsidR="00823AA4" w:rsidRPr="00BF102D">
              <w:rPr>
                <w:rFonts w:ascii="Times Roman" w:hAnsi="Times Roman"/>
                <w:noProof/>
                <w:color w:val="000000" w:themeColor="text1"/>
                <w:szCs w:val="22"/>
                <w:vertAlign w:val="superscript"/>
              </w:rPr>
              <w:t>**</w:t>
            </w:r>
          </w:p>
        </w:tc>
        <w:tc>
          <w:tcPr>
            <w:tcW w:w="1172" w:type="pct"/>
            <w:gridSpan w:val="3"/>
            <w:hideMark/>
          </w:tcPr>
          <w:p w14:paraId="27289243"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Hydroxide</w:t>
            </w:r>
          </w:p>
        </w:tc>
        <w:tc>
          <w:tcPr>
            <w:tcW w:w="547" w:type="pct"/>
            <w:gridSpan w:val="2"/>
            <w:hideMark/>
          </w:tcPr>
          <w:p w14:paraId="5A7FCE42"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0.2</w:t>
            </w:r>
          </w:p>
        </w:tc>
        <w:tc>
          <w:tcPr>
            <w:tcW w:w="547" w:type="pct"/>
            <w:gridSpan w:val="3"/>
            <w:hideMark/>
          </w:tcPr>
          <w:p w14:paraId="7418A379"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3</w:t>
            </w:r>
          </w:p>
        </w:tc>
        <w:tc>
          <w:tcPr>
            <w:tcW w:w="547" w:type="pct"/>
            <w:gridSpan w:val="2"/>
            <w:hideMark/>
          </w:tcPr>
          <w:p w14:paraId="70444F91"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0.005</w:t>
            </w:r>
          </w:p>
        </w:tc>
        <w:tc>
          <w:tcPr>
            <w:tcW w:w="1015" w:type="pct"/>
            <w:gridSpan w:val="2"/>
            <w:hideMark/>
          </w:tcPr>
          <w:p w14:paraId="07AD5C33" w14:textId="7E2A9E61"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1</w:t>
            </w:r>
            <w:r w:rsidR="00067025" w:rsidRPr="00BF102D">
              <w:rPr>
                <w:rFonts w:ascii="Times Roman" w:hAnsi="Times Roman"/>
                <w:noProof/>
                <w:color w:val="000000" w:themeColor="text1"/>
                <w:szCs w:val="22"/>
              </w:rPr>
              <w:t xml:space="preserve"> × </w:t>
            </w:r>
            <w:r w:rsidRPr="00BF102D">
              <w:rPr>
                <w:rFonts w:ascii="Times Roman" w:hAnsi="Times Roman"/>
                <w:noProof/>
                <w:color w:val="000000" w:themeColor="text1"/>
                <w:szCs w:val="22"/>
              </w:rPr>
              <w:t>10</w:t>
            </w:r>
            <w:r w:rsidRPr="00BF102D">
              <w:rPr>
                <w:rFonts w:ascii="Times Roman" w:hAnsi="Times Roman"/>
                <w:noProof/>
                <w:color w:val="000000" w:themeColor="text1"/>
                <w:szCs w:val="22"/>
                <w:vertAlign w:val="superscript"/>
              </w:rPr>
              <w:t>–4</w:t>
            </w:r>
          </w:p>
        </w:tc>
      </w:tr>
      <w:tr w:rsidR="002E685D" w:rsidRPr="00972C81" w14:paraId="5E7D4B4E" w14:textId="77777777" w:rsidTr="006A73E0">
        <w:trPr>
          <w:trHeight w:val="340"/>
        </w:trPr>
        <w:tc>
          <w:tcPr>
            <w:tcW w:w="1172" w:type="pct"/>
            <w:tcBorders>
              <w:bottom w:val="single" w:sz="4" w:space="0" w:color="auto"/>
            </w:tcBorders>
            <w:hideMark/>
          </w:tcPr>
          <w:p w14:paraId="1E173136" w14:textId="71740086" w:rsidR="002E685D" w:rsidRPr="00BF102D" w:rsidRDefault="002E685D" w:rsidP="006A73E0">
            <w:pPr>
              <w:pStyle w:val="Table"/>
              <w:rPr>
                <w:rFonts w:ascii="Times Roman" w:hAnsi="Times Roman"/>
                <w:noProof/>
                <w:color w:val="000000" w:themeColor="text1"/>
                <w:szCs w:val="22"/>
                <w:vertAlign w:val="superscript"/>
              </w:rPr>
            </w:pPr>
            <w:r w:rsidRPr="00BF102D">
              <w:rPr>
                <w:rFonts w:ascii="Times Roman" w:hAnsi="Times Roman"/>
                <w:noProof/>
                <w:color w:val="000000" w:themeColor="text1"/>
                <w:szCs w:val="22"/>
              </w:rPr>
              <w:t>S</w:t>
            </w:r>
            <w:r w:rsidR="00823AA4" w:rsidRPr="00BF102D">
              <w:rPr>
                <w:noProof/>
                <w:color w:val="000000" w:themeColor="text1"/>
                <w:szCs w:val="22"/>
                <w:vertAlign w:val="superscript"/>
              </w:rPr>
              <w:t>††</w:t>
            </w:r>
          </w:p>
        </w:tc>
        <w:tc>
          <w:tcPr>
            <w:tcW w:w="1172" w:type="pct"/>
            <w:gridSpan w:val="3"/>
            <w:tcBorders>
              <w:bottom w:val="single" w:sz="4" w:space="0" w:color="auto"/>
            </w:tcBorders>
            <w:hideMark/>
          </w:tcPr>
          <w:p w14:paraId="7AC7A307" w14:textId="77777777" w:rsidR="002E685D" w:rsidRPr="00BF102D" w:rsidRDefault="002E685D" w:rsidP="006A73E0">
            <w:pPr>
              <w:pStyle w:val="Table"/>
              <w:rPr>
                <w:rFonts w:ascii="Times Roman" w:hAnsi="Times Roman"/>
                <w:noProof/>
                <w:color w:val="000000" w:themeColor="text1"/>
                <w:szCs w:val="22"/>
                <w:vertAlign w:val="superscript"/>
              </w:rPr>
            </w:pPr>
            <w:r w:rsidRPr="00BF102D">
              <w:rPr>
                <w:rFonts w:ascii="Times Roman" w:hAnsi="Times Roman"/>
                <w:noProof/>
                <w:color w:val="000000" w:themeColor="text1"/>
                <w:szCs w:val="22"/>
              </w:rPr>
              <w:t>Oxide</w:t>
            </w:r>
          </w:p>
        </w:tc>
        <w:tc>
          <w:tcPr>
            <w:tcW w:w="547" w:type="pct"/>
            <w:gridSpan w:val="2"/>
            <w:tcBorders>
              <w:bottom w:val="single" w:sz="4" w:space="0" w:color="auto"/>
            </w:tcBorders>
            <w:hideMark/>
          </w:tcPr>
          <w:p w14:paraId="57C64F82"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0.01</w:t>
            </w:r>
          </w:p>
        </w:tc>
        <w:tc>
          <w:tcPr>
            <w:tcW w:w="547" w:type="pct"/>
            <w:gridSpan w:val="3"/>
            <w:tcBorders>
              <w:bottom w:val="single" w:sz="4" w:space="0" w:color="auto"/>
            </w:tcBorders>
            <w:hideMark/>
          </w:tcPr>
          <w:p w14:paraId="6DE513C0" w14:textId="77777777"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3</w:t>
            </w:r>
          </w:p>
        </w:tc>
        <w:tc>
          <w:tcPr>
            <w:tcW w:w="547" w:type="pct"/>
            <w:gridSpan w:val="2"/>
            <w:tcBorders>
              <w:bottom w:val="single" w:sz="4" w:space="0" w:color="auto"/>
            </w:tcBorders>
            <w:hideMark/>
          </w:tcPr>
          <w:p w14:paraId="0833B1AD" w14:textId="2EEF3B7E"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1</w:t>
            </w:r>
            <w:r w:rsidR="00BF102D" w:rsidRPr="00BF102D">
              <w:rPr>
                <w:rFonts w:ascii="Times Roman" w:hAnsi="Times Roman"/>
                <w:noProof/>
                <w:color w:val="000000" w:themeColor="text1"/>
                <w:szCs w:val="22"/>
              </w:rPr>
              <w:t xml:space="preserve"> × </w:t>
            </w:r>
            <w:r w:rsidRPr="00BF102D">
              <w:rPr>
                <w:rFonts w:ascii="Times Roman" w:hAnsi="Times Roman"/>
                <w:noProof/>
                <w:color w:val="000000" w:themeColor="text1"/>
                <w:szCs w:val="22"/>
              </w:rPr>
              <w:t>10</w:t>
            </w:r>
            <w:r w:rsidRPr="00BF102D">
              <w:rPr>
                <w:rFonts w:ascii="Times Roman" w:hAnsi="Times Roman"/>
                <w:noProof/>
                <w:color w:val="000000" w:themeColor="text1"/>
                <w:szCs w:val="22"/>
                <w:vertAlign w:val="superscript"/>
              </w:rPr>
              <w:t>-4</w:t>
            </w:r>
          </w:p>
        </w:tc>
        <w:tc>
          <w:tcPr>
            <w:tcW w:w="1015" w:type="pct"/>
            <w:gridSpan w:val="2"/>
            <w:tcBorders>
              <w:bottom w:val="single" w:sz="4" w:space="0" w:color="auto"/>
            </w:tcBorders>
            <w:hideMark/>
          </w:tcPr>
          <w:p w14:paraId="4233F651" w14:textId="0A45066D" w:rsidR="002E685D" w:rsidRPr="00BF102D" w:rsidRDefault="002E685D" w:rsidP="006A73E0">
            <w:pPr>
              <w:pStyle w:val="Table"/>
              <w:rPr>
                <w:rFonts w:ascii="Times Roman" w:hAnsi="Times Roman"/>
                <w:noProof/>
                <w:color w:val="000000" w:themeColor="text1"/>
                <w:szCs w:val="22"/>
              </w:rPr>
            </w:pPr>
            <w:r w:rsidRPr="00BF102D">
              <w:rPr>
                <w:rFonts w:ascii="Times Roman" w:hAnsi="Times Roman"/>
                <w:noProof/>
                <w:color w:val="000000" w:themeColor="text1"/>
                <w:szCs w:val="22"/>
              </w:rPr>
              <w:t>5</w:t>
            </w:r>
            <w:r w:rsidR="00067025" w:rsidRPr="00BF102D">
              <w:rPr>
                <w:rFonts w:ascii="Times Roman" w:hAnsi="Times Roman"/>
                <w:noProof/>
                <w:color w:val="000000" w:themeColor="text1"/>
                <w:szCs w:val="22"/>
              </w:rPr>
              <w:t xml:space="preserve"> × </w:t>
            </w:r>
            <w:r w:rsidRPr="00BF102D">
              <w:rPr>
                <w:rFonts w:ascii="Times Roman" w:hAnsi="Times Roman"/>
                <w:noProof/>
                <w:color w:val="000000" w:themeColor="text1"/>
                <w:szCs w:val="22"/>
              </w:rPr>
              <w:t>10</w:t>
            </w:r>
            <w:r w:rsidRPr="00BF102D">
              <w:rPr>
                <w:rFonts w:ascii="Times Roman" w:hAnsi="Times Roman"/>
                <w:noProof/>
                <w:color w:val="000000" w:themeColor="text1"/>
                <w:szCs w:val="22"/>
                <w:vertAlign w:val="superscript"/>
              </w:rPr>
              <w:t>–6</w:t>
            </w:r>
          </w:p>
        </w:tc>
      </w:tr>
      <w:tr w:rsidR="002E685D" w:rsidRPr="00972C81" w14:paraId="724850FC" w14:textId="77777777" w:rsidTr="006A73E0">
        <w:trPr>
          <w:trHeight w:val="340"/>
        </w:trPr>
        <w:tc>
          <w:tcPr>
            <w:tcW w:w="2344" w:type="pct"/>
            <w:gridSpan w:val="4"/>
            <w:tcBorders>
              <w:top w:val="single" w:sz="4" w:space="0" w:color="auto"/>
            </w:tcBorders>
          </w:tcPr>
          <w:p w14:paraId="07BECCED" w14:textId="77777777" w:rsidR="002E685D" w:rsidRPr="00BF102D" w:rsidRDefault="002E685D" w:rsidP="00BF102D">
            <w:pPr>
              <w:pStyle w:val="Table"/>
              <w:rPr>
                <w:rFonts w:ascii="Times Roman" w:hAnsi="Times Roman"/>
                <w:noProof/>
                <w:color w:val="000000" w:themeColor="text1"/>
                <w:szCs w:val="22"/>
              </w:rPr>
            </w:pPr>
          </w:p>
        </w:tc>
        <w:tc>
          <w:tcPr>
            <w:tcW w:w="547" w:type="pct"/>
            <w:gridSpan w:val="2"/>
            <w:tcBorders>
              <w:top w:val="single" w:sz="4" w:space="0" w:color="auto"/>
            </w:tcBorders>
          </w:tcPr>
          <w:p w14:paraId="3DC84E8E" w14:textId="77777777" w:rsidR="002E685D" w:rsidRPr="00BF102D" w:rsidRDefault="002E685D" w:rsidP="00BF102D">
            <w:pPr>
              <w:pStyle w:val="Table"/>
              <w:rPr>
                <w:rFonts w:ascii="Times Roman" w:hAnsi="Times Roman"/>
                <w:noProof/>
                <w:color w:val="000000" w:themeColor="text1"/>
                <w:szCs w:val="22"/>
              </w:rPr>
            </w:pPr>
          </w:p>
        </w:tc>
        <w:tc>
          <w:tcPr>
            <w:tcW w:w="469" w:type="pct"/>
            <w:gridSpan w:val="2"/>
            <w:tcBorders>
              <w:top w:val="single" w:sz="4" w:space="0" w:color="auto"/>
            </w:tcBorders>
          </w:tcPr>
          <w:p w14:paraId="487A68BD" w14:textId="77777777" w:rsidR="002E685D" w:rsidRPr="00BF102D" w:rsidRDefault="002E685D" w:rsidP="00BF102D">
            <w:pPr>
              <w:pStyle w:val="Table"/>
              <w:rPr>
                <w:rFonts w:ascii="Times Roman" w:hAnsi="Times Roman"/>
                <w:noProof/>
                <w:color w:val="000000" w:themeColor="text1"/>
                <w:szCs w:val="22"/>
              </w:rPr>
            </w:pPr>
          </w:p>
        </w:tc>
        <w:tc>
          <w:tcPr>
            <w:tcW w:w="625" w:type="pct"/>
            <w:gridSpan w:val="3"/>
            <w:tcBorders>
              <w:top w:val="single" w:sz="4" w:space="0" w:color="auto"/>
            </w:tcBorders>
          </w:tcPr>
          <w:p w14:paraId="1B10FB9F" w14:textId="77777777" w:rsidR="002E685D" w:rsidRPr="00BF102D" w:rsidRDefault="002E685D" w:rsidP="00BF102D">
            <w:pPr>
              <w:pStyle w:val="Table"/>
              <w:rPr>
                <w:rFonts w:ascii="Times Roman" w:hAnsi="Times Roman"/>
                <w:noProof/>
                <w:color w:val="000000" w:themeColor="text1"/>
                <w:szCs w:val="22"/>
              </w:rPr>
            </w:pPr>
          </w:p>
        </w:tc>
        <w:tc>
          <w:tcPr>
            <w:tcW w:w="1015" w:type="pct"/>
            <w:gridSpan w:val="2"/>
            <w:tcBorders>
              <w:top w:val="single" w:sz="4" w:space="0" w:color="auto"/>
            </w:tcBorders>
          </w:tcPr>
          <w:p w14:paraId="7591B7E2" w14:textId="77777777" w:rsidR="002E685D" w:rsidRPr="00BF102D" w:rsidRDefault="002E685D" w:rsidP="00BF102D">
            <w:pPr>
              <w:pStyle w:val="Table"/>
              <w:rPr>
                <w:rFonts w:ascii="Times Roman" w:hAnsi="Times Roman"/>
                <w:noProof/>
                <w:color w:val="000000" w:themeColor="text1"/>
                <w:szCs w:val="22"/>
              </w:rPr>
            </w:pPr>
          </w:p>
        </w:tc>
      </w:tr>
      <w:tr w:rsidR="002E685D" w:rsidRPr="00972C81" w14:paraId="539D86F5" w14:textId="77777777" w:rsidTr="00C47F2F">
        <w:trPr>
          <w:trHeight w:val="340"/>
        </w:trPr>
        <w:tc>
          <w:tcPr>
            <w:tcW w:w="2344" w:type="pct"/>
            <w:gridSpan w:val="4"/>
            <w:tcBorders>
              <w:left w:val="nil"/>
              <w:bottom w:val="single" w:sz="4" w:space="0" w:color="auto"/>
              <w:right w:val="nil"/>
            </w:tcBorders>
            <w:hideMark/>
          </w:tcPr>
          <w:p w14:paraId="5B57C55D" w14:textId="420AB72A" w:rsidR="002E685D" w:rsidRPr="00BF102D" w:rsidRDefault="002E685D" w:rsidP="00BF102D">
            <w:pPr>
              <w:pStyle w:val="Table"/>
              <w:rPr>
                <w:rFonts w:ascii="Times Roman" w:hAnsi="Times Roman"/>
                <w:noProof/>
                <w:color w:val="000000" w:themeColor="text1"/>
                <w:szCs w:val="22"/>
              </w:rPr>
            </w:pPr>
            <w:r w:rsidRPr="00BF102D">
              <w:rPr>
                <w:rFonts w:ascii="Times Roman" w:hAnsi="Times Roman"/>
                <w:noProof/>
                <w:color w:val="000000" w:themeColor="text1"/>
                <w:szCs w:val="22"/>
              </w:rPr>
              <w:t>Ingested material</w:t>
            </w:r>
            <w:r w:rsidR="00823AA4" w:rsidRPr="00BF102D">
              <w:rPr>
                <w:noProof/>
                <w:color w:val="000000" w:themeColor="text1"/>
                <w:szCs w:val="22"/>
                <w:vertAlign w:val="superscript"/>
              </w:rPr>
              <w:t>‡‡</w:t>
            </w:r>
          </w:p>
        </w:tc>
        <w:tc>
          <w:tcPr>
            <w:tcW w:w="547" w:type="pct"/>
            <w:gridSpan w:val="2"/>
            <w:tcBorders>
              <w:left w:val="nil"/>
              <w:bottom w:val="single" w:sz="4" w:space="0" w:color="auto"/>
              <w:right w:val="nil"/>
            </w:tcBorders>
          </w:tcPr>
          <w:p w14:paraId="513B5754" w14:textId="77777777" w:rsidR="002E685D" w:rsidRPr="00BF102D" w:rsidRDefault="002E685D" w:rsidP="00BF102D">
            <w:pPr>
              <w:pStyle w:val="Table"/>
              <w:rPr>
                <w:rFonts w:ascii="Times Roman" w:hAnsi="Times Roman"/>
                <w:noProof/>
                <w:color w:val="000000" w:themeColor="text1"/>
                <w:szCs w:val="22"/>
              </w:rPr>
            </w:pPr>
          </w:p>
        </w:tc>
        <w:tc>
          <w:tcPr>
            <w:tcW w:w="469" w:type="pct"/>
            <w:gridSpan w:val="2"/>
            <w:tcBorders>
              <w:left w:val="nil"/>
              <w:bottom w:val="single" w:sz="4" w:space="0" w:color="auto"/>
              <w:right w:val="nil"/>
            </w:tcBorders>
          </w:tcPr>
          <w:p w14:paraId="6C92037C" w14:textId="77777777" w:rsidR="002E685D" w:rsidRPr="00BF102D" w:rsidRDefault="002E685D" w:rsidP="00BF102D">
            <w:pPr>
              <w:pStyle w:val="Table"/>
              <w:rPr>
                <w:rFonts w:ascii="Times Roman" w:hAnsi="Times Roman"/>
                <w:noProof/>
                <w:color w:val="000000" w:themeColor="text1"/>
                <w:szCs w:val="22"/>
              </w:rPr>
            </w:pPr>
          </w:p>
        </w:tc>
        <w:tc>
          <w:tcPr>
            <w:tcW w:w="625" w:type="pct"/>
            <w:gridSpan w:val="3"/>
            <w:tcBorders>
              <w:left w:val="nil"/>
              <w:bottom w:val="single" w:sz="4" w:space="0" w:color="auto"/>
              <w:right w:val="nil"/>
            </w:tcBorders>
          </w:tcPr>
          <w:p w14:paraId="389CA14F" w14:textId="77777777" w:rsidR="002E685D" w:rsidRPr="00BF102D" w:rsidRDefault="002E685D" w:rsidP="00BF102D">
            <w:pPr>
              <w:pStyle w:val="Table"/>
              <w:rPr>
                <w:rFonts w:ascii="Times Roman" w:hAnsi="Times Roman"/>
                <w:noProof/>
                <w:color w:val="000000" w:themeColor="text1"/>
                <w:szCs w:val="22"/>
              </w:rPr>
            </w:pPr>
          </w:p>
        </w:tc>
        <w:tc>
          <w:tcPr>
            <w:tcW w:w="1015" w:type="pct"/>
            <w:gridSpan w:val="2"/>
            <w:tcBorders>
              <w:left w:val="nil"/>
              <w:bottom w:val="single" w:sz="4" w:space="0" w:color="auto"/>
              <w:right w:val="nil"/>
            </w:tcBorders>
          </w:tcPr>
          <w:p w14:paraId="6BE537E0" w14:textId="77777777" w:rsidR="002E685D" w:rsidRPr="00BF102D" w:rsidRDefault="002E685D" w:rsidP="00BF102D">
            <w:pPr>
              <w:pStyle w:val="Table"/>
              <w:rPr>
                <w:rFonts w:ascii="Times Roman" w:hAnsi="Times Roman"/>
                <w:noProof/>
                <w:color w:val="000000" w:themeColor="text1"/>
                <w:szCs w:val="22"/>
              </w:rPr>
            </w:pPr>
          </w:p>
        </w:tc>
      </w:tr>
      <w:tr w:rsidR="006A73E0" w:rsidRPr="00972C81" w14:paraId="423DB71D" w14:textId="77777777" w:rsidTr="006A73E0">
        <w:trPr>
          <w:trHeight w:val="340"/>
        </w:trPr>
        <w:tc>
          <w:tcPr>
            <w:tcW w:w="1485" w:type="pct"/>
            <w:gridSpan w:val="2"/>
            <w:vMerge w:val="restart"/>
            <w:tcBorders>
              <w:top w:val="nil"/>
              <w:left w:val="nil"/>
              <w:right w:val="nil"/>
            </w:tcBorders>
            <w:vAlign w:val="center"/>
            <w:hideMark/>
          </w:tcPr>
          <w:p w14:paraId="5D4F4523" w14:textId="09ABBCF4" w:rsidR="006A73E0" w:rsidRPr="00BF102D" w:rsidRDefault="006A73E0" w:rsidP="006A73E0">
            <w:pPr>
              <w:pStyle w:val="Table"/>
              <w:rPr>
                <w:rFonts w:ascii="Times Roman" w:hAnsi="Times Roman"/>
                <w:noProof/>
                <w:color w:val="000000" w:themeColor="text1"/>
                <w:szCs w:val="22"/>
              </w:rPr>
            </w:pPr>
            <w:r w:rsidRPr="00BF102D">
              <w:rPr>
                <w:rFonts w:ascii="Times Roman" w:hAnsi="Times Roman"/>
                <w:noProof/>
                <w:szCs w:val="22"/>
              </w:rPr>
              <w:t>Assigned forms</w:t>
            </w:r>
          </w:p>
        </w:tc>
        <w:tc>
          <w:tcPr>
            <w:tcW w:w="3515" w:type="pct"/>
            <w:gridSpan w:val="11"/>
            <w:tcBorders>
              <w:top w:val="nil"/>
              <w:left w:val="nil"/>
              <w:bottom w:val="single" w:sz="4" w:space="0" w:color="auto"/>
              <w:right w:val="nil"/>
            </w:tcBorders>
            <w:vAlign w:val="center"/>
          </w:tcPr>
          <w:p w14:paraId="64163009" w14:textId="72249B65" w:rsidR="006A73E0" w:rsidRPr="00BF102D" w:rsidRDefault="006A73E0" w:rsidP="006A73E0">
            <w:pPr>
              <w:pStyle w:val="Table"/>
              <w:jc w:val="center"/>
              <w:rPr>
                <w:rFonts w:ascii="Times Roman" w:hAnsi="Times Roman"/>
                <w:noProof/>
                <w:color w:val="000000" w:themeColor="text1"/>
                <w:szCs w:val="22"/>
              </w:rPr>
            </w:pPr>
            <w:r w:rsidRPr="00BF102D">
              <w:rPr>
                <w:rFonts w:ascii="Times Roman" w:hAnsi="Times Roman"/>
                <w:noProof/>
                <w:szCs w:val="22"/>
              </w:rPr>
              <w:t xml:space="preserve">Age-dependent absorption from the alimentary tract, </w:t>
            </w:r>
            <w:r w:rsidRPr="00BF102D">
              <w:rPr>
                <w:rFonts w:ascii="Times Roman" w:hAnsi="Times Roman"/>
                <w:i/>
                <w:noProof/>
                <w:szCs w:val="22"/>
              </w:rPr>
              <w:t>f</w:t>
            </w:r>
            <w:r w:rsidRPr="00BF102D">
              <w:rPr>
                <w:rFonts w:ascii="Times Roman" w:hAnsi="Times Roman"/>
                <w:noProof/>
                <w:szCs w:val="22"/>
                <w:vertAlign w:val="subscript"/>
              </w:rPr>
              <w:t>A</w:t>
            </w:r>
          </w:p>
        </w:tc>
      </w:tr>
      <w:tr w:rsidR="006A73E0" w:rsidRPr="00972C81" w14:paraId="6C85A044" w14:textId="77777777" w:rsidTr="006A73E0">
        <w:trPr>
          <w:trHeight w:val="340"/>
        </w:trPr>
        <w:tc>
          <w:tcPr>
            <w:tcW w:w="1485" w:type="pct"/>
            <w:gridSpan w:val="2"/>
            <w:vMerge/>
            <w:tcBorders>
              <w:left w:val="nil"/>
              <w:bottom w:val="single" w:sz="4" w:space="0" w:color="auto"/>
              <w:right w:val="nil"/>
            </w:tcBorders>
          </w:tcPr>
          <w:p w14:paraId="7E0CAFA4" w14:textId="77777777" w:rsidR="006A73E0" w:rsidRPr="00BF102D" w:rsidRDefault="006A73E0" w:rsidP="00BF102D">
            <w:pPr>
              <w:pStyle w:val="Table"/>
              <w:rPr>
                <w:rFonts w:ascii="Times Roman" w:hAnsi="Times Roman"/>
                <w:noProof/>
                <w:color w:val="000000" w:themeColor="text1"/>
                <w:szCs w:val="22"/>
              </w:rPr>
            </w:pPr>
          </w:p>
        </w:tc>
        <w:tc>
          <w:tcPr>
            <w:tcW w:w="585" w:type="pct"/>
            <w:tcBorders>
              <w:top w:val="single" w:sz="4" w:space="0" w:color="auto"/>
              <w:left w:val="nil"/>
              <w:bottom w:val="single" w:sz="4" w:space="0" w:color="auto"/>
              <w:right w:val="nil"/>
            </w:tcBorders>
            <w:vAlign w:val="center"/>
          </w:tcPr>
          <w:p w14:paraId="1BDD1467" w14:textId="636734CB" w:rsidR="006A73E0" w:rsidRPr="00BF102D" w:rsidRDefault="006A73E0" w:rsidP="006A73E0">
            <w:pPr>
              <w:pStyle w:val="Table"/>
              <w:rPr>
                <w:rFonts w:ascii="Times Roman" w:hAnsi="Times Roman"/>
                <w:noProof/>
                <w:color w:val="000000" w:themeColor="text1"/>
                <w:szCs w:val="22"/>
              </w:rPr>
            </w:pPr>
            <w:r w:rsidRPr="00BF102D">
              <w:rPr>
                <w:rFonts w:ascii="Times Roman" w:hAnsi="Times Roman"/>
                <w:noProof/>
                <w:szCs w:val="22"/>
              </w:rPr>
              <w:t>3 mo</w:t>
            </w:r>
          </w:p>
        </w:tc>
        <w:tc>
          <w:tcPr>
            <w:tcW w:w="586" w:type="pct"/>
            <w:gridSpan w:val="2"/>
            <w:tcBorders>
              <w:top w:val="single" w:sz="4" w:space="0" w:color="auto"/>
              <w:left w:val="nil"/>
              <w:bottom w:val="single" w:sz="4" w:space="0" w:color="auto"/>
              <w:right w:val="nil"/>
            </w:tcBorders>
            <w:vAlign w:val="center"/>
          </w:tcPr>
          <w:p w14:paraId="0B646181" w14:textId="35CD6841" w:rsidR="006A73E0" w:rsidRPr="00BF102D" w:rsidRDefault="006A73E0" w:rsidP="006A73E0">
            <w:pPr>
              <w:pStyle w:val="Table"/>
              <w:rPr>
                <w:rFonts w:ascii="Times Roman" w:hAnsi="Times Roman"/>
                <w:noProof/>
                <w:color w:val="000000" w:themeColor="text1"/>
                <w:szCs w:val="22"/>
              </w:rPr>
            </w:pPr>
            <w:r w:rsidRPr="00BF102D">
              <w:rPr>
                <w:rFonts w:ascii="Times Roman" w:hAnsi="Times Roman"/>
                <w:noProof/>
                <w:szCs w:val="22"/>
              </w:rPr>
              <w:t>1 y</w:t>
            </w:r>
          </w:p>
        </w:tc>
        <w:tc>
          <w:tcPr>
            <w:tcW w:w="586" w:type="pct"/>
            <w:gridSpan w:val="2"/>
            <w:tcBorders>
              <w:top w:val="single" w:sz="4" w:space="0" w:color="auto"/>
              <w:left w:val="nil"/>
              <w:bottom w:val="single" w:sz="4" w:space="0" w:color="auto"/>
              <w:right w:val="nil"/>
            </w:tcBorders>
            <w:vAlign w:val="center"/>
          </w:tcPr>
          <w:p w14:paraId="24FD3A2D" w14:textId="1C0CFCEC" w:rsidR="006A73E0" w:rsidRPr="00BF102D" w:rsidRDefault="006A73E0" w:rsidP="006A73E0">
            <w:pPr>
              <w:pStyle w:val="Table"/>
              <w:rPr>
                <w:rFonts w:ascii="Times Roman" w:hAnsi="Times Roman"/>
                <w:noProof/>
                <w:color w:val="000000" w:themeColor="text1"/>
                <w:szCs w:val="22"/>
              </w:rPr>
            </w:pPr>
            <w:r w:rsidRPr="00BF102D">
              <w:rPr>
                <w:rFonts w:ascii="Times Roman" w:hAnsi="Times Roman"/>
                <w:noProof/>
                <w:szCs w:val="22"/>
              </w:rPr>
              <w:t>5 y</w:t>
            </w:r>
          </w:p>
        </w:tc>
        <w:tc>
          <w:tcPr>
            <w:tcW w:w="585" w:type="pct"/>
            <w:gridSpan w:val="3"/>
            <w:tcBorders>
              <w:top w:val="single" w:sz="4" w:space="0" w:color="auto"/>
              <w:left w:val="nil"/>
              <w:bottom w:val="single" w:sz="4" w:space="0" w:color="auto"/>
              <w:right w:val="nil"/>
            </w:tcBorders>
            <w:vAlign w:val="center"/>
          </w:tcPr>
          <w:p w14:paraId="21AD9F8D" w14:textId="04AF5063" w:rsidR="006A73E0" w:rsidRPr="00BF102D" w:rsidRDefault="006A73E0" w:rsidP="006A73E0">
            <w:pPr>
              <w:pStyle w:val="Table"/>
              <w:rPr>
                <w:rFonts w:ascii="Times Roman" w:hAnsi="Times Roman"/>
                <w:noProof/>
                <w:color w:val="000000" w:themeColor="text1"/>
                <w:szCs w:val="22"/>
              </w:rPr>
            </w:pPr>
            <w:r w:rsidRPr="00BF102D">
              <w:rPr>
                <w:rFonts w:ascii="Times Roman" w:hAnsi="Times Roman"/>
                <w:noProof/>
                <w:szCs w:val="22"/>
              </w:rPr>
              <w:t>10 y</w:t>
            </w:r>
          </w:p>
        </w:tc>
        <w:tc>
          <w:tcPr>
            <w:tcW w:w="586" w:type="pct"/>
            <w:gridSpan w:val="2"/>
            <w:tcBorders>
              <w:top w:val="single" w:sz="4" w:space="0" w:color="auto"/>
              <w:left w:val="nil"/>
              <w:bottom w:val="single" w:sz="4" w:space="0" w:color="auto"/>
              <w:right w:val="nil"/>
            </w:tcBorders>
            <w:vAlign w:val="center"/>
          </w:tcPr>
          <w:p w14:paraId="1CCE977A" w14:textId="00F75577" w:rsidR="006A73E0" w:rsidRPr="00BF102D" w:rsidRDefault="006A73E0" w:rsidP="006A73E0">
            <w:pPr>
              <w:pStyle w:val="Table"/>
              <w:rPr>
                <w:rFonts w:ascii="Times Roman" w:hAnsi="Times Roman"/>
                <w:noProof/>
                <w:color w:val="000000" w:themeColor="text1"/>
                <w:szCs w:val="22"/>
              </w:rPr>
            </w:pPr>
            <w:r w:rsidRPr="00BF102D">
              <w:rPr>
                <w:rFonts w:ascii="Times Roman" w:hAnsi="Times Roman"/>
                <w:noProof/>
                <w:szCs w:val="22"/>
              </w:rPr>
              <w:t>15 y</w:t>
            </w:r>
          </w:p>
        </w:tc>
        <w:tc>
          <w:tcPr>
            <w:tcW w:w="586" w:type="pct"/>
            <w:tcBorders>
              <w:top w:val="single" w:sz="4" w:space="0" w:color="auto"/>
              <w:left w:val="nil"/>
              <w:bottom w:val="single" w:sz="4" w:space="0" w:color="auto"/>
              <w:right w:val="nil"/>
            </w:tcBorders>
            <w:vAlign w:val="center"/>
          </w:tcPr>
          <w:p w14:paraId="2D8F4638" w14:textId="1D725A88" w:rsidR="006A73E0" w:rsidRPr="00BF102D" w:rsidRDefault="006A73E0" w:rsidP="006A73E0">
            <w:pPr>
              <w:pStyle w:val="Table"/>
              <w:rPr>
                <w:rFonts w:ascii="Times Roman" w:hAnsi="Times Roman"/>
                <w:noProof/>
                <w:color w:val="000000" w:themeColor="text1"/>
                <w:szCs w:val="22"/>
              </w:rPr>
            </w:pPr>
            <w:r w:rsidRPr="00BF102D">
              <w:rPr>
                <w:rFonts w:ascii="Times Roman" w:hAnsi="Times Roman"/>
                <w:noProof/>
                <w:szCs w:val="22"/>
              </w:rPr>
              <w:t>adult</w:t>
            </w:r>
          </w:p>
        </w:tc>
      </w:tr>
      <w:tr w:rsidR="00723727" w:rsidRPr="00972C81" w14:paraId="1856BC94" w14:textId="77777777" w:rsidTr="006A73E0">
        <w:trPr>
          <w:trHeight w:val="340"/>
        </w:trPr>
        <w:tc>
          <w:tcPr>
            <w:tcW w:w="1485" w:type="pct"/>
            <w:gridSpan w:val="2"/>
            <w:tcBorders>
              <w:top w:val="single" w:sz="4" w:space="0" w:color="auto"/>
              <w:left w:val="nil"/>
              <w:bottom w:val="single" w:sz="4" w:space="0" w:color="auto"/>
              <w:right w:val="nil"/>
            </w:tcBorders>
            <w:vAlign w:val="center"/>
          </w:tcPr>
          <w:p w14:paraId="5DF26784" w14:textId="3FF77AF8" w:rsidR="00723727" w:rsidRPr="00BF102D" w:rsidRDefault="00723727" w:rsidP="006A73E0">
            <w:pPr>
              <w:pStyle w:val="Table"/>
              <w:rPr>
                <w:rFonts w:ascii="Times Roman" w:hAnsi="Times Roman"/>
                <w:noProof/>
                <w:color w:val="000000" w:themeColor="text1"/>
                <w:szCs w:val="22"/>
              </w:rPr>
            </w:pPr>
            <w:r w:rsidRPr="00BF102D">
              <w:rPr>
                <w:rFonts w:ascii="Times Roman" w:hAnsi="Times Roman"/>
                <w:noProof/>
                <w:szCs w:val="22"/>
              </w:rPr>
              <w:t>All chemical forms</w:t>
            </w:r>
          </w:p>
        </w:tc>
        <w:tc>
          <w:tcPr>
            <w:tcW w:w="585" w:type="pct"/>
            <w:tcBorders>
              <w:top w:val="single" w:sz="4" w:space="0" w:color="auto"/>
              <w:left w:val="nil"/>
              <w:bottom w:val="single" w:sz="4" w:space="0" w:color="auto"/>
              <w:right w:val="nil"/>
            </w:tcBorders>
            <w:vAlign w:val="center"/>
          </w:tcPr>
          <w:p w14:paraId="168D93F9" w14:textId="302190AA" w:rsidR="00723727" w:rsidRPr="00BF102D" w:rsidRDefault="00723727" w:rsidP="006A73E0">
            <w:pPr>
              <w:pStyle w:val="Table"/>
              <w:rPr>
                <w:rFonts w:ascii="Times Roman" w:hAnsi="Times Roman"/>
                <w:noProof/>
                <w:color w:val="000000" w:themeColor="text1"/>
                <w:szCs w:val="22"/>
              </w:rPr>
            </w:pPr>
            <w:r w:rsidRPr="00BF102D">
              <w:rPr>
                <w:rFonts w:ascii="Times Roman" w:hAnsi="Times Roman"/>
                <w:noProof/>
                <w:szCs w:val="22"/>
              </w:rPr>
              <w:t>5</w:t>
            </w:r>
            <w:r w:rsidR="00067025" w:rsidRPr="00BF102D">
              <w:rPr>
                <w:rFonts w:ascii="Times Roman" w:hAnsi="Times Roman"/>
                <w:noProof/>
                <w:szCs w:val="22"/>
              </w:rPr>
              <w:t xml:space="preserve"> </w:t>
            </w:r>
            <w:r w:rsidR="00067025" w:rsidRPr="00BF102D">
              <w:rPr>
                <w:rFonts w:ascii="Times Roman" w:hAnsi="Times Roman"/>
                <w:noProof/>
                <w:szCs w:val="22"/>
                <w:lang w:eastAsia="fr-FR"/>
              </w:rPr>
              <w:t>×</w:t>
            </w:r>
            <w:r w:rsidR="00067025" w:rsidRPr="00BF102D">
              <w:rPr>
                <w:rFonts w:ascii="Times Roman" w:hAnsi="Times Roman"/>
                <w:noProof/>
                <w:szCs w:val="22"/>
              </w:rPr>
              <w:t xml:space="preserve"> </w:t>
            </w:r>
            <w:r w:rsidRPr="00BF102D">
              <w:rPr>
                <w:rFonts w:ascii="Times Roman" w:hAnsi="Times Roman"/>
                <w:noProof/>
                <w:szCs w:val="22"/>
              </w:rPr>
              <w:t>10</w:t>
            </w:r>
            <w:r w:rsidRPr="00BF102D">
              <w:rPr>
                <w:rFonts w:ascii="Times Roman" w:hAnsi="Times Roman"/>
                <w:noProof/>
                <w:szCs w:val="22"/>
                <w:vertAlign w:val="superscript"/>
              </w:rPr>
              <w:t>-3</w:t>
            </w:r>
          </w:p>
        </w:tc>
        <w:tc>
          <w:tcPr>
            <w:tcW w:w="586" w:type="pct"/>
            <w:gridSpan w:val="2"/>
            <w:tcBorders>
              <w:top w:val="single" w:sz="4" w:space="0" w:color="auto"/>
              <w:left w:val="nil"/>
              <w:bottom w:val="single" w:sz="4" w:space="0" w:color="auto"/>
              <w:right w:val="nil"/>
            </w:tcBorders>
            <w:vAlign w:val="center"/>
          </w:tcPr>
          <w:p w14:paraId="5072860E" w14:textId="12B78B66" w:rsidR="00723727" w:rsidRPr="00BF102D" w:rsidRDefault="00723727" w:rsidP="006A73E0">
            <w:pPr>
              <w:pStyle w:val="Table"/>
              <w:rPr>
                <w:rFonts w:ascii="Times Roman" w:hAnsi="Times Roman"/>
                <w:noProof/>
                <w:color w:val="000000" w:themeColor="text1"/>
                <w:szCs w:val="22"/>
              </w:rPr>
            </w:pPr>
            <w:r w:rsidRPr="00BF102D">
              <w:rPr>
                <w:rFonts w:ascii="Times Roman" w:hAnsi="Times Roman"/>
                <w:noProof/>
                <w:szCs w:val="22"/>
              </w:rPr>
              <w:t>5</w:t>
            </w:r>
            <w:r w:rsidR="00067025" w:rsidRPr="00BF102D">
              <w:rPr>
                <w:rFonts w:ascii="Times Roman" w:hAnsi="Times Roman"/>
                <w:noProof/>
                <w:szCs w:val="22"/>
              </w:rPr>
              <w:t xml:space="preserve"> × </w:t>
            </w:r>
            <w:r w:rsidRPr="00BF102D">
              <w:rPr>
                <w:rFonts w:ascii="Times Roman" w:hAnsi="Times Roman"/>
                <w:noProof/>
                <w:szCs w:val="22"/>
              </w:rPr>
              <w:t>10</w:t>
            </w:r>
            <w:r w:rsidRPr="00BF102D">
              <w:rPr>
                <w:rFonts w:ascii="Times Roman" w:hAnsi="Times Roman"/>
                <w:noProof/>
                <w:szCs w:val="22"/>
                <w:vertAlign w:val="superscript"/>
              </w:rPr>
              <w:t>-4</w:t>
            </w:r>
          </w:p>
        </w:tc>
        <w:tc>
          <w:tcPr>
            <w:tcW w:w="586" w:type="pct"/>
            <w:gridSpan w:val="2"/>
            <w:tcBorders>
              <w:top w:val="single" w:sz="4" w:space="0" w:color="auto"/>
              <w:left w:val="nil"/>
              <w:bottom w:val="single" w:sz="4" w:space="0" w:color="auto"/>
              <w:right w:val="nil"/>
            </w:tcBorders>
            <w:vAlign w:val="center"/>
          </w:tcPr>
          <w:p w14:paraId="548DB5AE" w14:textId="266B8007" w:rsidR="00723727" w:rsidRPr="00BF102D" w:rsidRDefault="00723727" w:rsidP="006A73E0">
            <w:pPr>
              <w:pStyle w:val="Table"/>
              <w:rPr>
                <w:rFonts w:ascii="Times Roman" w:hAnsi="Times Roman"/>
                <w:noProof/>
                <w:color w:val="000000" w:themeColor="text1"/>
                <w:szCs w:val="22"/>
              </w:rPr>
            </w:pPr>
            <w:r w:rsidRPr="00BF102D">
              <w:rPr>
                <w:rFonts w:ascii="Times Roman" w:hAnsi="Times Roman"/>
                <w:noProof/>
                <w:szCs w:val="22"/>
              </w:rPr>
              <w:t>5</w:t>
            </w:r>
            <w:r w:rsidR="00067025" w:rsidRPr="00BF102D">
              <w:rPr>
                <w:rFonts w:ascii="Times Roman" w:hAnsi="Times Roman"/>
                <w:noProof/>
                <w:szCs w:val="22"/>
              </w:rPr>
              <w:t xml:space="preserve"> × </w:t>
            </w:r>
            <w:r w:rsidRPr="00BF102D">
              <w:rPr>
                <w:rFonts w:ascii="Times Roman" w:hAnsi="Times Roman"/>
                <w:noProof/>
                <w:szCs w:val="22"/>
              </w:rPr>
              <w:t>10</w:t>
            </w:r>
            <w:r w:rsidRPr="00BF102D">
              <w:rPr>
                <w:rFonts w:ascii="Times Roman" w:hAnsi="Times Roman"/>
                <w:noProof/>
                <w:szCs w:val="22"/>
                <w:vertAlign w:val="superscript"/>
              </w:rPr>
              <w:t>-4</w:t>
            </w:r>
          </w:p>
        </w:tc>
        <w:tc>
          <w:tcPr>
            <w:tcW w:w="585" w:type="pct"/>
            <w:gridSpan w:val="3"/>
            <w:tcBorders>
              <w:top w:val="single" w:sz="4" w:space="0" w:color="auto"/>
              <w:left w:val="nil"/>
              <w:bottom w:val="single" w:sz="4" w:space="0" w:color="auto"/>
              <w:right w:val="nil"/>
            </w:tcBorders>
            <w:vAlign w:val="center"/>
          </w:tcPr>
          <w:p w14:paraId="5B7FB1F2" w14:textId="051B5A53" w:rsidR="00723727" w:rsidRPr="00BF102D" w:rsidRDefault="00723727" w:rsidP="006A73E0">
            <w:pPr>
              <w:pStyle w:val="Table"/>
              <w:rPr>
                <w:rFonts w:ascii="Times Roman" w:hAnsi="Times Roman"/>
                <w:noProof/>
                <w:color w:val="000000" w:themeColor="text1"/>
                <w:szCs w:val="22"/>
              </w:rPr>
            </w:pPr>
            <w:r w:rsidRPr="00BF102D">
              <w:rPr>
                <w:rFonts w:ascii="Times Roman" w:hAnsi="Times Roman"/>
                <w:noProof/>
                <w:szCs w:val="22"/>
              </w:rPr>
              <w:t>5</w:t>
            </w:r>
            <w:r w:rsidR="00067025" w:rsidRPr="00BF102D">
              <w:rPr>
                <w:rFonts w:ascii="Times Roman" w:hAnsi="Times Roman"/>
                <w:noProof/>
                <w:szCs w:val="22"/>
              </w:rPr>
              <w:t xml:space="preserve"> × </w:t>
            </w:r>
            <w:r w:rsidRPr="00BF102D">
              <w:rPr>
                <w:rFonts w:ascii="Times Roman" w:hAnsi="Times Roman"/>
                <w:noProof/>
                <w:szCs w:val="22"/>
              </w:rPr>
              <w:t>10</w:t>
            </w:r>
            <w:r w:rsidRPr="00BF102D">
              <w:rPr>
                <w:rFonts w:ascii="Times Roman" w:hAnsi="Times Roman"/>
                <w:noProof/>
                <w:szCs w:val="22"/>
                <w:vertAlign w:val="superscript"/>
              </w:rPr>
              <w:t>-4</w:t>
            </w:r>
          </w:p>
        </w:tc>
        <w:tc>
          <w:tcPr>
            <w:tcW w:w="586" w:type="pct"/>
            <w:gridSpan w:val="2"/>
            <w:tcBorders>
              <w:top w:val="single" w:sz="4" w:space="0" w:color="auto"/>
              <w:left w:val="nil"/>
              <w:bottom w:val="single" w:sz="4" w:space="0" w:color="auto"/>
              <w:right w:val="nil"/>
            </w:tcBorders>
            <w:vAlign w:val="center"/>
          </w:tcPr>
          <w:p w14:paraId="4CDA73AB" w14:textId="0564C419" w:rsidR="00723727" w:rsidRPr="00BF102D" w:rsidRDefault="00723727" w:rsidP="006A73E0">
            <w:pPr>
              <w:pStyle w:val="Table"/>
              <w:rPr>
                <w:rFonts w:ascii="Times Roman" w:hAnsi="Times Roman"/>
                <w:noProof/>
                <w:color w:val="000000" w:themeColor="text1"/>
                <w:szCs w:val="22"/>
              </w:rPr>
            </w:pPr>
            <w:r w:rsidRPr="00BF102D">
              <w:rPr>
                <w:rFonts w:ascii="Times Roman" w:hAnsi="Times Roman"/>
                <w:noProof/>
                <w:szCs w:val="22"/>
              </w:rPr>
              <w:t>5</w:t>
            </w:r>
            <w:r w:rsidR="00067025" w:rsidRPr="00BF102D">
              <w:rPr>
                <w:rFonts w:ascii="Times Roman" w:hAnsi="Times Roman"/>
                <w:noProof/>
                <w:szCs w:val="22"/>
              </w:rPr>
              <w:t xml:space="preserve"> × </w:t>
            </w:r>
            <w:r w:rsidRPr="00BF102D">
              <w:rPr>
                <w:rFonts w:ascii="Times Roman" w:hAnsi="Times Roman"/>
                <w:noProof/>
                <w:szCs w:val="22"/>
              </w:rPr>
              <w:t>10</w:t>
            </w:r>
            <w:r w:rsidRPr="00BF102D">
              <w:rPr>
                <w:rFonts w:ascii="Times Roman" w:hAnsi="Times Roman"/>
                <w:noProof/>
                <w:szCs w:val="22"/>
                <w:vertAlign w:val="superscript"/>
              </w:rPr>
              <w:t>-4</w:t>
            </w:r>
          </w:p>
        </w:tc>
        <w:tc>
          <w:tcPr>
            <w:tcW w:w="586" w:type="pct"/>
            <w:tcBorders>
              <w:top w:val="single" w:sz="4" w:space="0" w:color="auto"/>
              <w:left w:val="nil"/>
              <w:bottom w:val="single" w:sz="4" w:space="0" w:color="auto"/>
              <w:right w:val="nil"/>
            </w:tcBorders>
            <w:vAlign w:val="center"/>
          </w:tcPr>
          <w:p w14:paraId="5D1F6446" w14:textId="05C3B16D" w:rsidR="00723727" w:rsidRPr="00BF102D" w:rsidRDefault="00723727" w:rsidP="006A73E0">
            <w:pPr>
              <w:pStyle w:val="Table"/>
              <w:rPr>
                <w:rFonts w:ascii="Times Roman" w:hAnsi="Times Roman"/>
                <w:noProof/>
                <w:color w:val="000000" w:themeColor="text1"/>
                <w:szCs w:val="22"/>
              </w:rPr>
            </w:pPr>
            <w:r w:rsidRPr="00BF102D">
              <w:rPr>
                <w:rFonts w:ascii="Times Roman" w:hAnsi="Times Roman"/>
                <w:noProof/>
                <w:szCs w:val="22"/>
              </w:rPr>
              <w:t>5</w:t>
            </w:r>
            <w:r w:rsidR="00067025" w:rsidRPr="00BF102D">
              <w:rPr>
                <w:rFonts w:ascii="Times Roman" w:hAnsi="Times Roman"/>
                <w:noProof/>
                <w:szCs w:val="22"/>
              </w:rPr>
              <w:t xml:space="preserve"> × </w:t>
            </w:r>
            <w:r w:rsidRPr="00BF102D">
              <w:rPr>
                <w:rFonts w:ascii="Times Roman" w:hAnsi="Times Roman"/>
                <w:noProof/>
                <w:szCs w:val="22"/>
              </w:rPr>
              <w:t>10</w:t>
            </w:r>
            <w:r w:rsidRPr="00BF102D">
              <w:rPr>
                <w:rFonts w:ascii="Times Roman" w:hAnsi="Times Roman"/>
                <w:noProof/>
                <w:szCs w:val="22"/>
                <w:vertAlign w:val="superscript"/>
              </w:rPr>
              <w:t>-4</w:t>
            </w:r>
          </w:p>
        </w:tc>
      </w:tr>
    </w:tbl>
    <w:p w14:paraId="54A6B850" w14:textId="75810EB6" w:rsidR="002E685D" w:rsidRPr="00972C81" w:rsidRDefault="00823AA4" w:rsidP="00E81109">
      <w:pPr>
        <w:pStyle w:val="Note"/>
        <w:rPr>
          <w:noProof/>
        </w:rPr>
      </w:pPr>
      <w:r w:rsidRPr="00972C81">
        <w:rPr>
          <w:noProof/>
          <w:vertAlign w:val="superscript"/>
        </w:rPr>
        <w:t>*</w:t>
      </w:r>
      <w:r w:rsidR="002E685D" w:rsidRPr="00972C81">
        <w:rPr>
          <w:noProof/>
        </w:rPr>
        <w:t xml:space="preserve">It is assumed that for protactinium the bound state can be neglected, i.e. </w:t>
      </w:r>
      <w:r w:rsidR="002E685D" w:rsidRPr="00972C81">
        <w:rPr>
          <w:i/>
          <w:noProof/>
        </w:rPr>
        <w:t>f</w:t>
      </w:r>
      <w:r w:rsidR="002E685D" w:rsidRPr="00972C81">
        <w:rPr>
          <w:noProof/>
          <w:vertAlign w:val="subscript"/>
        </w:rPr>
        <w:t>b</w:t>
      </w:r>
      <w:r w:rsidR="002E685D" w:rsidRPr="00972C81">
        <w:rPr>
          <w:noProof/>
        </w:rPr>
        <w:t xml:space="preserve"> = 0.0. The value of </w:t>
      </w:r>
      <w:r w:rsidR="002E685D" w:rsidRPr="00972C81">
        <w:rPr>
          <w:i/>
          <w:noProof/>
        </w:rPr>
        <w:t>s</w:t>
      </w:r>
      <w:r w:rsidR="002E685D" w:rsidRPr="00972C81">
        <w:rPr>
          <w:noProof/>
          <w:vertAlign w:val="subscript"/>
        </w:rPr>
        <w:t>r</w:t>
      </w:r>
      <w:r w:rsidR="002E685D" w:rsidRPr="00972C81">
        <w:rPr>
          <w:noProof/>
        </w:rPr>
        <w:t xml:space="preserve"> for Type F forms of protactinium (50 d</w:t>
      </w:r>
      <w:r w:rsidR="002E685D" w:rsidRPr="00972C81">
        <w:rPr>
          <w:noProof/>
          <w:vertAlign w:val="superscript"/>
        </w:rPr>
        <w:t>–1</w:t>
      </w:r>
      <w:r w:rsidR="002E685D" w:rsidRPr="00972C81">
        <w:rPr>
          <w:noProof/>
        </w:rPr>
        <w:t>) is element-specific. The values for Types M and S (3 d</w:t>
      </w:r>
      <w:r w:rsidR="002E685D" w:rsidRPr="00972C81">
        <w:rPr>
          <w:noProof/>
          <w:vertAlign w:val="superscript"/>
        </w:rPr>
        <w:t>–1</w:t>
      </w:r>
      <w:r w:rsidR="002E685D" w:rsidRPr="00972C81">
        <w:rPr>
          <w:noProof/>
        </w:rPr>
        <w:t>) are the general default values.</w:t>
      </w:r>
    </w:p>
    <w:p w14:paraId="1AF9BAAB" w14:textId="53FCE04C" w:rsidR="002E685D" w:rsidRPr="00972C81" w:rsidRDefault="00823AA4" w:rsidP="00E81109">
      <w:pPr>
        <w:pStyle w:val="Note"/>
        <w:rPr>
          <w:noProof/>
        </w:rPr>
      </w:pPr>
      <w:r w:rsidRPr="00972C81">
        <w:rPr>
          <w:noProof/>
          <w:vertAlign w:val="superscript"/>
        </w:rPr>
        <w:t>†</w:t>
      </w:r>
      <w:r w:rsidR="002E685D" w:rsidRPr="00972C81">
        <w:rPr>
          <w:noProof/>
        </w:rPr>
        <w:t xml:space="preserve">For inhaled material deposited in the respiratory tract and subsequently cleared by particle transport to the alimentary tract, the default </w:t>
      </w:r>
      <w:r w:rsidR="002E685D" w:rsidRPr="00972C81">
        <w:rPr>
          <w:i/>
          <w:noProof/>
        </w:rPr>
        <w:t>f</w:t>
      </w:r>
      <w:r w:rsidR="002E685D" w:rsidRPr="00972C81">
        <w:rPr>
          <w:noProof/>
          <w:vertAlign w:val="subscript"/>
        </w:rPr>
        <w:t>A</w:t>
      </w:r>
      <w:r w:rsidR="002E685D" w:rsidRPr="00972C81">
        <w:rPr>
          <w:noProof/>
        </w:rPr>
        <w:t xml:space="preserve"> values for inhaled materials are applied: i.e. the (rounded) product of </w:t>
      </w:r>
      <w:r w:rsidR="002E685D" w:rsidRPr="00972C81">
        <w:rPr>
          <w:i/>
          <w:noProof/>
        </w:rPr>
        <w:t>f</w:t>
      </w:r>
      <w:r w:rsidR="002E685D" w:rsidRPr="00972C81">
        <w:rPr>
          <w:noProof/>
          <w:vertAlign w:val="subscript"/>
        </w:rPr>
        <w:t>A</w:t>
      </w:r>
      <w:r w:rsidR="002E685D" w:rsidRPr="00972C81">
        <w:rPr>
          <w:noProof/>
        </w:rPr>
        <w:t xml:space="preserve"> for the absorption Type (or specific value where given) and the </w:t>
      </w:r>
      <w:r w:rsidR="002E685D" w:rsidRPr="00972C81">
        <w:rPr>
          <w:i/>
          <w:noProof/>
        </w:rPr>
        <w:t>f</w:t>
      </w:r>
      <w:r w:rsidR="002E685D" w:rsidRPr="00972C81">
        <w:rPr>
          <w:noProof/>
          <w:vertAlign w:val="subscript"/>
        </w:rPr>
        <w:t>A</w:t>
      </w:r>
      <w:r w:rsidR="002E685D" w:rsidRPr="00972C81">
        <w:rPr>
          <w:noProof/>
        </w:rPr>
        <w:t xml:space="preserve"> value for ingested soluble forms of protactinium</w:t>
      </w:r>
      <w:r w:rsidR="00266FF8" w:rsidRPr="00972C81">
        <w:rPr>
          <w:noProof/>
        </w:rPr>
        <w:t xml:space="preserve"> applicable to the age-group of interest (</w:t>
      </w:r>
      <w:r w:rsidR="00266FF8" w:rsidRPr="00972C81">
        <w:rPr>
          <w:i/>
          <w:iCs/>
          <w:noProof/>
        </w:rPr>
        <w:t xml:space="preserve">e.g. </w:t>
      </w:r>
      <w:r w:rsidR="002E685D" w:rsidRPr="00972C81">
        <w:rPr>
          <w:noProof/>
        </w:rPr>
        <w:t>5</w:t>
      </w:r>
      <w:r w:rsidR="00067025" w:rsidRPr="00972C81">
        <w:rPr>
          <w:noProof/>
        </w:rPr>
        <w:t xml:space="preserve"> × </w:t>
      </w:r>
      <w:r w:rsidR="002E685D" w:rsidRPr="00972C81">
        <w:rPr>
          <w:noProof/>
        </w:rPr>
        <w:t>10</w:t>
      </w:r>
      <w:r w:rsidR="002E685D" w:rsidRPr="00972C81">
        <w:rPr>
          <w:noProof/>
          <w:vertAlign w:val="superscript"/>
        </w:rPr>
        <w:t>–4</w:t>
      </w:r>
      <w:r w:rsidR="00266FF8" w:rsidRPr="00972C81">
        <w:rPr>
          <w:noProof/>
        </w:rPr>
        <w:t xml:space="preserve"> for adults</w:t>
      </w:r>
      <w:r w:rsidR="002E685D" w:rsidRPr="00972C81">
        <w:rPr>
          <w:noProof/>
        </w:rPr>
        <w:t>).</w:t>
      </w:r>
    </w:p>
    <w:p w14:paraId="797AF148" w14:textId="762C1473" w:rsidR="002E685D" w:rsidRPr="00972C81" w:rsidRDefault="00823AA4" w:rsidP="00E81109">
      <w:pPr>
        <w:pStyle w:val="Note"/>
        <w:rPr>
          <w:noProof/>
        </w:rPr>
      </w:pPr>
      <w:r w:rsidRPr="00972C81">
        <w:rPr>
          <w:noProof/>
          <w:vertAlign w:val="superscript"/>
        </w:rPr>
        <w:t>‡</w:t>
      </w:r>
      <w:r w:rsidR="002E685D" w:rsidRPr="00972C81">
        <w:rPr>
          <w:noProof/>
        </w:rPr>
        <w:t xml:space="preserve">See Section 14 of </w:t>
      </w:r>
      <w:r w:rsidR="009215E6" w:rsidRPr="00972C81">
        <w:rPr>
          <w:i/>
          <w:noProof/>
        </w:rPr>
        <w:t xml:space="preserve">Publication </w:t>
      </w:r>
      <w:r w:rsidR="00723727" w:rsidRPr="00972C81">
        <w:rPr>
          <w:i/>
          <w:noProof/>
        </w:rPr>
        <w:t>137</w:t>
      </w:r>
      <w:r w:rsidR="00723727" w:rsidRPr="00972C81">
        <w:rPr>
          <w:noProof/>
        </w:rPr>
        <w:t xml:space="preserve"> </w:t>
      </w:r>
      <w:r w:rsidR="009215E6" w:rsidRPr="00972C81">
        <w:rPr>
          <w:noProof/>
        </w:rPr>
        <w:t>(ICRP 2017</w:t>
      </w:r>
      <w:r w:rsidR="002E685D" w:rsidRPr="00972C81">
        <w:rPr>
          <w:noProof/>
        </w:rPr>
        <w:t xml:space="preserve">) for summary of information on which parameter values are based, and on ranges of parameter values observed for individual materials. For water soluble forms of protactinium specific parameter values are used for dissolution in the lungs, but the default value of </w:t>
      </w:r>
      <w:r w:rsidR="002E685D" w:rsidRPr="00972C81">
        <w:rPr>
          <w:i/>
          <w:noProof/>
        </w:rPr>
        <w:t>f</w:t>
      </w:r>
      <w:r w:rsidR="002E685D" w:rsidRPr="00972C81">
        <w:rPr>
          <w:noProof/>
          <w:vertAlign w:val="subscript"/>
        </w:rPr>
        <w:t>A</w:t>
      </w:r>
      <w:r w:rsidR="002E685D" w:rsidRPr="00972C81">
        <w:rPr>
          <w:noProof/>
        </w:rPr>
        <w:t>.</w:t>
      </w:r>
    </w:p>
    <w:p w14:paraId="7C875C13" w14:textId="1FD61AB3" w:rsidR="002E685D" w:rsidRPr="00972C81" w:rsidRDefault="00823AA4" w:rsidP="00E81109">
      <w:pPr>
        <w:pStyle w:val="Note"/>
        <w:rPr>
          <w:noProof/>
        </w:rPr>
      </w:pPr>
      <w:r w:rsidRPr="00972C81">
        <w:rPr>
          <w:noProof/>
          <w:vertAlign w:val="superscript"/>
        </w:rPr>
        <w:lastRenderedPageBreak/>
        <w:t>§</w:t>
      </w:r>
      <w:r w:rsidR="002E685D" w:rsidRPr="00972C81">
        <w:rPr>
          <w:noProof/>
        </w:rPr>
        <w:t>Decay products assigned to Type F.</w:t>
      </w:r>
    </w:p>
    <w:p w14:paraId="6FE44E18" w14:textId="2735A1CC" w:rsidR="002E685D" w:rsidRPr="00972C81" w:rsidRDefault="0013248F" w:rsidP="00E81109">
      <w:pPr>
        <w:pStyle w:val="Note"/>
        <w:rPr>
          <w:noProof/>
        </w:rPr>
      </w:pPr>
      <w:r w:rsidRPr="00972C81">
        <w:rPr>
          <w:noProof/>
          <w:vertAlign w:val="superscript"/>
        </w:rPr>
        <w:t>¶</w:t>
      </w:r>
      <w:r w:rsidR="002E685D" w:rsidRPr="00972C81">
        <w:rPr>
          <w:noProof/>
        </w:rPr>
        <w:t>Materials (e.g. hydroxide) are listed here where there is sufficient information to assign to a default absorption Type, but not to give specific parameter values (see Section 14 of ICRP, 201</w:t>
      </w:r>
      <w:r w:rsidR="00266FF8" w:rsidRPr="00972C81">
        <w:rPr>
          <w:noProof/>
        </w:rPr>
        <w:t>7</w:t>
      </w:r>
      <w:r w:rsidR="002E685D" w:rsidRPr="00972C81">
        <w:rPr>
          <w:noProof/>
        </w:rPr>
        <w:t xml:space="preserve">). </w:t>
      </w:r>
    </w:p>
    <w:p w14:paraId="2494DF0A" w14:textId="5DEAB9AC" w:rsidR="002E685D" w:rsidRPr="00972C81" w:rsidRDefault="00823AA4" w:rsidP="00E81109">
      <w:pPr>
        <w:pStyle w:val="Note"/>
        <w:rPr>
          <w:noProof/>
        </w:rPr>
      </w:pPr>
      <w:r w:rsidRPr="00972C81">
        <w:rPr>
          <w:noProof/>
          <w:vertAlign w:val="superscript"/>
        </w:rPr>
        <w:t>**</w:t>
      </w:r>
      <w:r w:rsidR="002E685D" w:rsidRPr="00972C81">
        <w:rPr>
          <w:noProof/>
        </w:rPr>
        <w:t>Decay products assigned to Type M.</w:t>
      </w:r>
    </w:p>
    <w:p w14:paraId="7E3D40E5" w14:textId="536C5C05" w:rsidR="002E685D" w:rsidRPr="00972C81" w:rsidRDefault="00823AA4" w:rsidP="00E81109">
      <w:pPr>
        <w:pStyle w:val="Note"/>
        <w:rPr>
          <w:b/>
          <w:i/>
          <w:noProof/>
        </w:rPr>
      </w:pPr>
      <w:r w:rsidRPr="00972C81">
        <w:rPr>
          <w:noProof/>
          <w:vertAlign w:val="superscript"/>
        </w:rPr>
        <w:t>††</w:t>
      </w:r>
      <w:r w:rsidR="002E685D" w:rsidRPr="00972C81">
        <w:rPr>
          <w:noProof/>
        </w:rPr>
        <w:t>Default Type S is recommended for use in the absence of specific information on which the exposure material can be assigned to an Absorption Type, e.g. if the form is unknown, or if the form is known but there is no information available on the absorption of that form from the respiratory tract.</w:t>
      </w:r>
    </w:p>
    <w:p w14:paraId="0EEF8F39" w14:textId="636F616F" w:rsidR="002E685D" w:rsidRPr="00972C81" w:rsidRDefault="00823AA4" w:rsidP="00E81109">
      <w:pPr>
        <w:pStyle w:val="Note"/>
        <w:rPr>
          <w:b/>
          <w:i/>
          <w:noProof/>
        </w:rPr>
      </w:pPr>
      <w:r w:rsidRPr="00972C81">
        <w:rPr>
          <w:noProof/>
          <w:vertAlign w:val="superscript"/>
        </w:rPr>
        <w:t>‡‡</w:t>
      </w:r>
      <w:r w:rsidR="002E685D" w:rsidRPr="00972C81">
        <w:rPr>
          <w:noProof/>
        </w:rPr>
        <w:t xml:space="preserve">Activity transferred from systemic compartments into segments of the alimentary tract is assumed to be subject to reabsorption to blood. The default absorption fraction </w:t>
      </w:r>
      <w:r w:rsidR="002E685D" w:rsidRPr="00972C81">
        <w:rPr>
          <w:i/>
          <w:noProof/>
        </w:rPr>
        <w:t>f</w:t>
      </w:r>
      <w:r w:rsidR="002E685D" w:rsidRPr="00972C81">
        <w:rPr>
          <w:noProof/>
          <w:vertAlign w:val="subscript"/>
        </w:rPr>
        <w:t>A</w:t>
      </w:r>
      <w:r w:rsidR="002E685D" w:rsidRPr="00972C81">
        <w:rPr>
          <w:noProof/>
        </w:rPr>
        <w:t xml:space="preserve"> for the secreted activity is the reference</w:t>
      </w:r>
      <w:r w:rsidR="00AC6EA3" w:rsidRPr="00972C81">
        <w:rPr>
          <w:noProof/>
        </w:rPr>
        <w:t xml:space="preserve"> value</w:t>
      </w:r>
      <w:r w:rsidR="002E685D" w:rsidRPr="00972C81">
        <w:rPr>
          <w:noProof/>
        </w:rPr>
        <w:t xml:space="preserve"> for ingestion of the radionuclide</w:t>
      </w:r>
      <w:r w:rsidR="00AC6EA3" w:rsidRPr="00972C81">
        <w:rPr>
          <w:noProof/>
        </w:rPr>
        <w:t xml:space="preserve"> applicable to the age-group of interest (</w:t>
      </w:r>
      <w:r w:rsidR="00AC6EA3" w:rsidRPr="00972C81">
        <w:rPr>
          <w:i/>
          <w:iCs/>
          <w:noProof/>
        </w:rPr>
        <w:t xml:space="preserve">e.g. </w:t>
      </w:r>
      <w:r w:rsidR="00AC6EA3" w:rsidRPr="00972C81">
        <w:rPr>
          <w:noProof/>
        </w:rPr>
        <w:t>5</w:t>
      </w:r>
      <w:r w:rsidR="00067E2E" w:rsidRPr="00972C81">
        <w:rPr>
          <w:noProof/>
        </w:rPr>
        <w:t> × </w:t>
      </w:r>
      <w:r w:rsidR="00AC6EA3" w:rsidRPr="00972C81">
        <w:rPr>
          <w:noProof/>
        </w:rPr>
        <w:t>10</w:t>
      </w:r>
      <w:r w:rsidR="00AC6EA3" w:rsidRPr="00972C81">
        <w:rPr>
          <w:noProof/>
          <w:vertAlign w:val="superscript"/>
        </w:rPr>
        <w:t>-4</w:t>
      </w:r>
      <w:r w:rsidR="00AC6EA3" w:rsidRPr="00972C81">
        <w:rPr>
          <w:noProof/>
        </w:rPr>
        <w:t xml:space="preserve"> for adults)</w:t>
      </w:r>
      <w:r w:rsidR="002E685D" w:rsidRPr="00972C81">
        <w:rPr>
          <w:noProof/>
        </w:rPr>
        <w:t>.</w:t>
      </w:r>
    </w:p>
    <w:p w14:paraId="5998B879" w14:textId="77777777" w:rsidR="002E685D" w:rsidRPr="00972C81" w:rsidRDefault="002E685D" w:rsidP="00E81109">
      <w:pPr>
        <w:pStyle w:val="3"/>
        <w:rPr>
          <w:noProof/>
        </w:rPr>
      </w:pPr>
      <w:bookmarkStart w:id="276" w:name="_Toc162630088"/>
      <w:r w:rsidRPr="00972C81">
        <w:rPr>
          <w:noProof/>
        </w:rPr>
        <w:t>Ingestion</w:t>
      </w:r>
      <w:bookmarkEnd w:id="276"/>
    </w:p>
    <w:p w14:paraId="52E9DFDC" w14:textId="21222BD3" w:rsidR="00E31A20" w:rsidRPr="00972C81" w:rsidRDefault="00E31A20" w:rsidP="001C4A92">
      <w:pPr>
        <w:pStyle w:val="Annalstext"/>
        <w:rPr>
          <w:noProof/>
          <w:color w:val="000000" w:themeColor="text1"/>
        </w:rPr>
      </w:pPr>
      <w:r w:rsidRPr="00972C81">
        <w:rPr>
          <w:i/>
          <w:noProof/>
        </w:rPr>
        <w:t>Adults</w:t>
      </w:r>
      <w:r w:rsidRPr="00972C81">
        <w:rPr>
          <w:noProof/>
        </w:rPr>
        <w:t xml:space="preserve">. The gastro-intestinal absorption of protactinium has been studied in rats and hamsters. The data reviewed in </w:t>
      </w:r>
      <w:r w:rsidRPr="00972C81">
        <w:rPr>
          <w:i/>
          <w:noProof/>
        </w:rPr>
        <w:t>Publications 48</w:t>
      </w:r>
      <w:r w:rsidRPr="00972C81">
        <w:rPr>
          <w:noProof/>
        </w:rPr>
        <w:t xml:space="preserve"> </w:t>
      </w:r>
      <w:r w:rsidR="00823AA4" w:rsidRPr="00972C81">
        <w:rPr>
          <w:noProof/>
        </w:rPr>
        <w:fldChar w:fldCharType="begin"/>
      </w:r>
      <w:r w:rsidR="00823AA4" w:rsidRPr="00972C81">
        <w:rPr>
          <w:noProof/>
        </w:rPr>
        <w:instrText xml:space="preserve"> ADDIN ZOTERO_ITEM CSL_CITATION {"citationID":"kawntAK7","properties":{"formattedCitation":"(ICRP, 1986)","plainCitation":"(ICRP, 1986)","noteIndex":0},"citationItems":[{"id":4867,"uris":["http://zotero.org/groups/2470620/items/JBT3RHCV"],"itemData":{"id":4867,"type":"article-journal","container-title":"Annals of the ICRP","issue":"2/3","journalAbbreviation":"Ann. ICRP","language":"et","title":"The Metabolism of Plutonium and Related Elements. ICRP Publication 48","volume":"16","author":[{"literal":"ICRP"}],"issued":{"date-parts":[["1986"]]}}}],"schema":"https://github.com/citation-style-language/schema/raw/master/csl-citation.json"} </w:instrText>
      </w:r>
      <w:r w:rsidR="00823AA4" w:rsidRPr="00972C81">
        <w:rPr>
          <w:noProof/>
        </w:rPr>
        <w:fldChar w:fldCharType="separate"/>
      </w:r>
      <w:r w:rsidR="00BC59C6" w:rsidRPr="00972C81">
        <w:rPr>
          <w:noProof/>
        </w:rPr>
        <w:t>(ICRP, 1986)</w:t>
      </w:r>
      <w:r w:rsidR="00823AA4" w:rsidRPr="00972C81">
        <w:rPr>
          <w:noProof/>
        </w:rPr>
        <w:fldChar w:fldCharType="end"/>
      </w:r>
      <w:r w:rsidRPr="00972C81">
        <w:rPr>
          <w:noProof/>
        </w:rPr>
        <w:t xml:space="preserve">, </w:t>
      </w:r>
      <w:r w:rsidRPr="00972C81">
        <w:rPr>
          <w:i/>
          <w:noProof/>
        </w:rPr>
        <w:t>100</w:t>
      </w:r>
      <w:r w:rsidRPr="00972C81">
        <w:rPr>
          <w:noProof/>
        </w:rPr>
        <w:t xml:space="preserve"> </w:t>
      </w:r>
      <w:r w:rsidR="00823AA4" w:rsidRPr="00972C81">
        <w:rPr>
          <w:noProof/>
        </w:rPr>
        <w:fldChar w:fldCharType="begin"/>
      </w:r>
      <w:r w:rsidR="00823AA4" w:rsidRPr="00972C81">
        <w:rPr>
          <w:noProof/>
        </w:rPr>
        <w:instrText xml:space="preserve"> ADDIN ZOTERO_ITEM CSL_CITATION {"citationID":"ILJfOgHB","properties":{"formattedCitation":"(ICRP, 2006)","plainCitation":"(ICRP, 2006)","noteIndex":0},"citationItems":[{"id":2564,"uris":["http://zotero.org/groups/2470620/items/9MYKCIRK",["http://zotero.org/groups/2470620/items/9MYKCIRK"]],"itemData":{"id":2564,"type":"article-journal","container-title":"Annals of the ICRP","issue":"1-2","journalAbbreviation":"Ann. ICRP","language":"en","note":"publisher-place: Oxford\npublisher: Pergamon Press","title":"Human alimentary tract model for radiological protection. ICRP Publication 100","volume":"36","author":[{"literal":"ICRP"}],"issued":{"date-parts":[["2006"]]}}}],"schema":"https://github.com/citation-style-language/schema/raw/master/csl-citation.json"} </w:instrText>
      </w:r>
      <w:r w:rsidR="00823AA4" w:rsidRPr="00972C81">
        <w:rPr>
          <w:noProof/>
        </w:rPr>
        <w:fldChar w:fldCharType="separate"/>
      </w:r>
      <w:r w:rsidR="00BC59C6" w:rsidRPr="00972C81">
        <w:rPr>
          <w:noProof/>
        </w:rPr>
        <w:t>(ICRP, 2006)</w:t>
      </w:r>
      <w:r w:rsidR="00823AA4" w:rsidRPr="00972C81">
        <w:rPr>
          <w:noProof/>
        </w:rPr>
        <w:fldChar w:fldCharType="end"/>
      </w:r>
      <w:r w:rsidRPr="00972C81">
        <w:rPr>
          <w:noProof/>
        </w:rPr>
        <w:t xml:space="preserve"> and </w:t>
      </w:r>
      <w:r w:rsidR="008278DA" w:rsidRPr="00972C81">
        <w:rPr>
          <w:i/>
          <w:noProof/>
        </w:rPr>
        <w:t>141</w:t>
      </w:r>
      <w:r w:rsidRPr="00972C81">
        <w:rPr>
          <w:noProof/>
        </w:rPr>
        <w:t xml:space="preserve"> </w:t>
      </w:r>
      <w:r w:rsidR="00823AA4" w:rsidRPr="00972C81">
        <w:rPr>
          <w:noProof/>
        </w:rPr>
        <w:fldChar w:fldCharType="begin"/>
      </w:r>
      <w:r w:rsidR="00823AA4" w:rsidRPr="00972C81">
        <w:rPr>
          <w:noProof/>
        </w:rPr>
        <w:instrText xml:space="preserve"> ADDIN ZOTERO_ITEM CSL_CITATION {"citationID":"UYJr08z0","properties":{"formattedCitation":"(ICRP,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823AA4" w:rsidRPr="00972C81">
        <w:rPr>
          <w:noProof/>
        </w:rPr>
        <w:fldChar w:fldCharType="separate"/>
      </w:r>
      <w:r w:rsidR="00BC59C6" w:rsidRPr="00972C81">
        <w:rPr>
          <w:noProof/>
        </w:rPr>
        <w:t>(ICRP, 2019)</w:t>
      </w:r>
      <w:r w:rsidR="00823AA4" w:rsidRPr="00972C81">
        <w:rPr>
          <w:noProof/>
        </w:rPr>
        <w:fldChar w:fldCharType="end"/>
      </w:r>
      <w:r w:rsidRPr="00972C81">
        <w:rPr>
          <w:noProof/>
        </w:rPr>
        <w:t xml:space="preserve"> indicate a fractional absorption in the range 3</w:t>
      </w:r>
      <w:r w:rsidR="00067025" w:rsidRPr="00972C81">
        <w:rPr>
          <w:noProof/>
        </w:rPr>
        <w:t xml:space="preserve"> × </w:t>
      </w:r>
      <w:r w:rsidRPr="00972C81">
        <w:rPr>
          <w:noProof/>
        </w:rPr>
        <w:t>10</w:t>
      </w:r>
      <w:r w:rsidRPr="00972C81">
        <w:rPr>
          <w:noProof/>
          <w:vertAlign w:val="superscript"/>
        </w:rPr>
        <w:t>-4</w:t>
      </w:r>
      <w:r w:rsidRPr="00972C81">
        <w:rPr>
          <w:noProof/>
        </w:rPr>
        <w:t xml:space="preserve"> to 4</w:t>
      </w:r>
      <w:r w:rsidR="00067025" w:rsidRPr="00972C81">
        <w:rPr>
          <w:noProof/>
        </w:rPr>
        <w:t xml:space="preserve"> × </w:t>
      </w:r>
      <w:r w:rsidRPr="00972C81">
        <w:rPr>
          <w:noProof/>
        </w:rPr>
        <w:t>10</w:t>
      </w:r>
      <w:r w:rsidRPr="00972C81">
        <w:rPr>
          <w:noProof/>
          <w:vertAlign w:val="superscript"/>
        </w:rPr>
        <w:t>-2</w:t>
      </w:r>
      <w:r w:rsidRPr="00972C81">
        <w:rPr>
          <w:noProof/>
        </w:rPr>
        <w:t xml:space="preserve">. </w:t>
      </w:r>
      <w:r w:rsidRPr="00972C81">
        <w:rPr>
          <w:noProof/>
          <w:color w:val="000000" w:themeColor="text1"/>
        </w:rPr>
        <w:t xml:space="preserve">In </w:t>
      </w:r>
      <w:r w:rsidRPr="00972C81">
        <w:rPr>
          <w:i/>
          <w:noProof/>
          <w:color w:val="000000" w:themeColor="text1"/>
        </w:rPr>
        <w:t>Publications 30</w:t>
      </w:r>
      <w:r w:rsidRPr="00972C81">
        <w:rPr>
          <w:noProof/>
          <w:color w:val="000000" w:themeColor="text1"/>
        </w:rPr>
        <w:t xml:space="preserve"> </w:t>
      </w:r>
      <w:r w:rsidR="00823AA4" w:rsidRPr="00972C81">
        <w:rPr>
          <w:noProof/>
          <w:color w:val="000000" w:themeColor="text1"/>
        </w:rPr>
        <w:fldChar w:fldCharType="begin"/>
      </w:r>
      <w:r w:rsidR="00823AA4" w:rsidRPr="00972C81">
        <w:rPr>
          <w:noProof/>
          <w:color w:val="000000" w:themeColor="text1"/>
        </w:rPr>
        <w:instrText xml:space="preserve"> ADDIN ZOTERO_ITEM CSL_CITATION {"citationID":"zIC7pOpZ","properties":{"formattedCitation":"(ICRP, 1981)","plainCitation":"(ICRP, 1981)","noteIndex":0},"citationItems":[{"id":2555,"uris":["http://zotero.org/groups/2470620/items/QCBU7EV5"],"itemData":{"id":2555,"type":"article-journal","container-title":"Annals of the ICRP","issue":"2/3","journalAbbreviation":"Ann. ICRP","language":"et","title":"Limits for intakes of radionuclides by workers. ICRP Publication 30, Part 3","volume":"6","author":[{"literal":"ICRP"}],"issued":{"date-parts":[["1981"]]}}}],"schema":"https://github.com/citation-style-language/schema/raw/master/csl-citation.json"} </w:instrText>
      </w:r>
      <w:r w:rsidR="00823AA4" w:rsidRPr="00972C81">
        <w:rPr>
          <w:noProof/>
          <w:color w:val="000000" w:themeColor="text1"/>
        </w:rPr>
        <w:fldChar w:fldCharType="separate"/>
      </w:r>
      <w:r w:rsidR="00BC59C6" w:rsidRPr="00972C81">
        <w:rPr>
          <w:noProof/>
        </w:rPr>
        <w:t>(ICRP, 1981)</w:t>
      </w:r>
      <w:r w:rsidR="00823AA4" w:rsidRPr="00972C81">
        <w:rPr>
          <w:noProof/>
          <w:color w:val="000000" w:themeColor="text1"/>
        </w:rPr>
        <w:fldChar w:fldCharType="end"/>
      </w:r>
      <w:r w:rsidRPr="00972C81">
        <w:rPr>
          <w:noProof/>
          <w:color w:val="000000" w:themeColor="text1"/>
        </w:rPr>
        <w:t xml:space="preserve"> and </w:t>
      </w:r>
      <w:r w:rsidRPr="00972C81">
        <w:rPr>
          <w:i/>
          <w:noProof/>
          <w:color w:val="000000" w:themeColor="text1"/>
        </w:rPr>
        <w:t>48</w:t>
      </w:r>
      <w:r w:rsidRPr="00972C81">
        <w:rPr>
          <w:noProof/>
          <w:color w:val="000000" w:themeColor="text1"/>
        </w:rPr>
        <w:t xml:space="preserve"> an absorption fraction of 1</w:t>
      </w:r>
      <w:r w:rsidR="00067025" w:rsidRPr="00972C81">
        <w:rPr>
          <w:noProof/>
          <w:color w:val="000000" w:themeColor="text1"/>
        </w:rPr>
        <w:t xml:space="preserve"> × </w:t>
      </w:r>
      <w:r w:rsidRPr="00972C81">
        <w:rPr>
          <w:noProof/>
          <w:color w:val="000000" w:themeColor="text1"/>
        </w:rPr>
        <w:t>10</w:t>
      </w:r>
      <w:r w:rsidRPr="00972C81">
        <w:rPr>
          <w:noProof/>
          <w:color w:val="000000" w:themeColor="text1"/>
          <w:vertAlign w:val="superscript"/>
        </w:rPr>
        <w:t>-3</w:t>
      </w:r>
      <w:r w:rsidRPr="00972C81">
        <w:rPr>
          <w:noProof/>
          <w:color w:val="000000" w:themeColor="text1"/>
        </w:rPr>
        <w:t xml:space="preserve"> was recommended for protactinium. In </w:t>
      </w:r>
      <w:r w:rsidR="00006B07" w:rsidRPr="00972C81">
        <w:rPr>
          <w:i/>
          <w:noProof/>
          <w:color w:val="000000" w:themeColor="text1"/>
        </w:rPr>
        <w:t xml:space="preserve">Publication </w:t>
      </w:r>
      <w:r w:rsidR="008278DA" w:rsidRPr="00972C81">
        <w:rPr>
          <w:i/>
          <w:noProof/>
          <w:color w:val="000000" w:themeColor="text1"/>
        </w:rPr>
        <w:t>141</w:t>
      </w:r>
      <w:r w:rsidRPr="00972C81">
        <w:rPr>
          <w:noProof/>
          <w:color w:val="000000" w:themeColor="text1"/>
        </w:rPr>
        <w:t xml:space="preserve">, </w:t>
      </w:r>
      <w:r w:rsidRPr="00972C81">
        <w:rPr>
          <w:noProof/>
        </w:rPr>
        <w:t xml:space="preserve">on the basis of results showing similar low levels of absorption </w:t>
      </w:r>
      <w:r w:rsidR="00BB503E">
        <w:rPr>
          <w:noProof/>
        </w:rPr>
        <w:t>in humans</w:t>
      </w:r>
      <w:r w:rsidRPr="00972C81">
        <w:rPr>
          <w:noProof/>
        </w:rPr>
        <w:t xml:space="preserve"> for five actinide elements (thorium, neptunium, plutonium, americium and curium) and taking account of animal data showing variations in </w:t>
      </w:r>
      <w:r w:rsidRPr="00972C81">
        <w:rPr>
          <w:i/>
          <w:noProof/>
        </w:rPr>
        <w:t>f</w:t>
      </w:r>
      <w:r w:rsidRPr="00972C81">
        <w:rPr>
          <w:noProof/>
          <w:vertAlign w:val="subscript"/>
        </w:rPr>
        <w:t>A</w:t>
      </w:r>
      <w:r w:rsidRPr="00972C81">
        <w:rPr>
          <w:noProof/>
        </w:rPr>
        <w:t xml:space="preserve"> values resulting from differences in chemical forms, it was considered that an appropriate general </w:t>
      </w:r>
      <w:r w:rsidRPr="00972C81">
        <w:rPr>
          <w:i/>
          <w:noProof/>
        </w:rPr>
        <w:t>f</w:t>
      </w:r>
      <w:r w:rsidRPr="00972C81">
        <w:rPr>
          <w:noProof/>
          <w:vertAlign w:val="subscript"/>
        </w:rPr>
        <w:t>A</w:t>
      </w:r>
      <w:r w:rsidRPr="00972C81">
        <w:rPr>
          <w:noProof/>
        </w:rPr>
        <w:t xml:space="preserve"> value for all chemical forms of actinides except uranium was 5</w:t>
      </w:r>
      <w:r w:rsidR="00067025" w:rsidRPr="00972C81">
        <w:rPr>
          <w:noProof/>
        </w:rPr>
        <w:t xml:space="preserve"> × </w:t>
      </w:r>
      <w:r w:rsidRPr="00972C81">
        <w:rPr>
          <w:noProof/>
        </w:rPr>
        <w:t>10</w:t>
      </w:r>
      <w:r w:rsidRPr="00972C81">
        <w:rPr>
          <w:noProof/>
          <w:vertAlign w:val="superscript"/>
        </w:rPr>
        <w:t>-4</w:t>
      </w:r>
      <w:r w:rsidRPr="00972C81">
        <w:rPr>
          <w:noProof/>
        </w:rPr>
        <w:t xml:space="preserve">. The same </w:t>
      </w:r>
      <w:r w:rsidRPr="00972C81">
        <w:rPr>
          <w:i/>
          <w:noProof/>
        </w:rPr>
        <w:t>f</w:t>
      </w:r>
      <w:r w:rsidRPr="00972C81">
        <w:rPr>
          <w:noProof/>
          <w:vertAlign w:val="subscript"/>
        </w:rPr>
        <w:t>A</w:t>
      </w:r>
      <w:r w:rsidRPr="00972C81">
        <w:rPr>
          <w:noProof/>
        </w:rPr>
        <w:t xml:space="preserve"> = 5</w:t>
      </w:r>
      <w:r w:rsidR="00067025" w:rsidRPr="00972C81">
        <w:rPr>
          <w:noProof/>
        </w:rPr>
        <w:t xml:space="preserve"> × </w:t>
      </w:r>
      <w:r w:rsidRPr="00972C81">
        <w:rPr>
          <w:noProof/>
        </w:rPr>
        <w:t>10</w:t>
      </w:r>
      <w:r w:rsidRPr="00972C81">
        <w:rPr>
          <w:noProof/>
          <w:vertAlign w:val="superscript"/>
        </w:rPr>
        <w:t>-4</w:t>
      </w:r>
      <w:r w:rsidRPr="00972C81">
        <w:rPr>
          <w:noProof/>
        </w:rPr>
        <w:t xml:space="preserve"> is recommended here for ingestion of protactinium by adult members of the public.</w:t>
      </w:r>
    </w:p>
    <w:p w14:paraId="6C460C71" w14:textId="114DAE64" w:rsidR="00E31A20" w:rsidRPr="00972C81" w:rsidRDefault="00E31A20" w:rsidP="001C4A92">
      <w:pPr>
        <w:pStyle w:val="Annalstext"/>
        <w:rPr>
          <w:noProof/>
        </w:rPr>
      </w:pPr>
      <w:r w:rsidRPr="00972C81">
        <w:rPr>
          <w:i/>
          <w:noProof/>
        </w:rPr>
        <w:t>Children</w:t>
      </w:r>
      <w:r w:rsidRPr="00972C81">
        <w:rPr>
          <w:noProof/>
        </w:rPr>
        <w:t xml:space="preserve">. One experiment indicates that absorption in the two-day-old rat is about 100 times greater than in adults </w:t>
      </w:r>
      <w:r w:rsidR="00823AA4" w:rsidRPr="00972C81">
        <w:rPr>
          <w:noProof/>
        </w:rPr>
        <w:fldChar w:fldCharType="begin"/>
      </w:r>
      <w:r w:rsidR="00823AA4" w:rsidRPr="00972C81">
        <w:rPr>
          <w:noProof/>
        </w:rPr>
        <w:instrText xml:space="preserve"> ADDIN ZOTERO_ITEM CSL_CITATION {"citationID":"KKWb6Qnp","properties":{"formattedCitation":"(Sullivan et al., 1983)","plainCitation":"(Sullivan et al., 1983)","noteIndex":0},"citationItems":[{"id":4880,"uris":["http://zotero.org/groups/2470620/items/IAS72TTM"],"itemData":{"id":4880,"type":"article-journal","container-title":"Health Physics","ISSN":"0017-9078","issue":"4","journalAbbreviation":"Health Phys","language":"eng","note":"PMID: 6841106","page":"425-428","source":"PubMed","title":"Absorption of thorium and protactinium from the gastrointestinal tract in adult mice and rats and neonatal rats","volume":"44","author":[{"family":"Sullivan","given":"M. F."},{"family":"Miller","given":"B. M."},{"family":"Ryan","given":"J. L."}],"issued":{"date-parts":[["1983",4]]}}}],"schema":"https://github.com/citation-style-language/schema/raw/master/csl-citation.json"} </w:instrText>
      </w:r>
      <w:r w:rsidR="00823AA4" w:rsidRPr="00972C81">
        <w:rPr>
          <w:noProof/>
        </w:rPr>
        <w:fldChar w:fldCharType="separate"/>
      </w:r>
      <w:r w:rsidR="00BC59C6" w:rsidRPr="00972C81">
        <w:rPr>
          <w:noProof/>
        </w:rPr>
        <w:t>(Sullivan et al., 1983)</w:t>
      </w:r>
      <w:r w:rsidR="00823AA4" w:rsidRPr="00972C81">
        <w:rPr>
          <w:noProof/>
        </w:rPr>
        <w:fldChar w:fldCharType="end"/>
      </w:r>
      <w:r w:rsidRPr="00972C81">
        <w:rPr>
          <w:noProof/>
        </w:rPr>
        <w:t xml:space="preserve">. </w:t>
      </w:r>
      <w:r w:rsidRPr="00972C81">
        <w:rPr>
          <w:noProof/>
          <w:color w:val="000000"/>
        </w:rPr>
        <w:t xml:space="preserve">It is assumed </w:t>
      </w:r>
      <w:r w:rsidRPr="00972C81">
        <w:rPr>
          <w:noProof/>
        </w:rPr>
        <w:t>that</w:t>
      </w:r>
      <w:r w:rsidRPr="00972C81">
        <w:rPr>
          <w:noProof/>
          <w:color w:val="000000"/>
        </w:rPr>
        <w:t>, l</w:t>
      </w:r>
      <w:r w:rsidRPr="00972C81">
        <w:rPr>
          <w:noProof/>
        </w:rPr>
        <w:t xml:space="preserve">ike for plutonium, the increased absorption would probably decrease rapidly during the first few days or weeks of life, adult values being reached by about the time of weaning. The same values of </w:t>
      </w:r>
      <w:r w:rsidRPr="00972C81">
        <w:rPr>
          <w:i/>
          <w:noProof/>
        </w:rPr>
        <w:t>f</w:t>
      </w:r>
      <w:r w:rsidRPr="00972C81">
        <w:rPr>
          <w:noProof/>
          <w:vertAlign w:val="subscript"/>
        </w:rPr>
        <w:t>A</w:t>
      </w:r>
      <w:r w:rsidRPr="00972C81">
        <w:rPr>
          <w:noProof/>
        </w:rPr>
        <w:t xml:space="preserve"> = 5</w:t>
      </w:r>
      <w:r w:rsidR="00067025" w:rsidRPr="00972C81">
        <w:rPr>
          <w:noProof/>
        </w:rPr>
        <w:t xml:space="preserve"> × </w:t>
      </w:r>
      <w:r w:rsidRPr="00972C81">
        <w:rPr>
          <w:noProof/>
        </w:rPr>
        <w:t>10</w:t>
      </w:r>
      <w:r w:rsidRPr="00972C81">
        <w:rPr>
          <w:noProof/>
          <w:vertAlign w:val="superscript"/>
        </w:rPr>
        <w:t>-3</w:t>
      </w:r>
      <w:r w:rsidRPr="00972C81">
        <w:rPr>
          <w:noProof/>
        </w:rPr>
        <w:t xml:space="preserve"> for 3-month-old infants and 5</w:t>
      </w:r>
      <w:r w:rsidR="00067025" w:rsidRPr="00972C81">
        <w:rPr>
          <w:noProof/>
        </w:rPr>
        <w:t xml:space="preserve"> × </w:t>
      </w:r>
      <w:r w:rsidRPr="00972C81">
        <w:rPr>
          <w:noProof/>
        </w:rPr>
        <w:t>10</w:t>
      </w:r>
      <w:r w:rsidRPr="00972C81">
        <w:rPr>
          <w:noProof/>
          <w:vertAlign w:val="superscript"/>
        </w:rPr>
        <w:t>-4</w:t>
      </w:r>
      <w:r w:rsidRPr="00972C81">
        <w:rPr>
          <w:noProof/>
        </w:rPr>
        <w:t xml:space="preserve"> for children of 1 year and older are therefore adopted here for protactinium as for thorium, neptunium, plutonium and americium.</w:t>
      </w:r>
    </w:p>
    <w:p w14:paraId="101E7E79" w14:textId="77777777" w:rsidR="00F92E8B" w:rsidRPr="00972C81" w:rsidRDefault="00F92E8B" w:rsidP="00E81109">
      <w:pPr>
        <w:pStyle w:val="3"/>
        <w:rPr>
          <w:noProof/>
        </w:rPr>
      </w:pPr>
      <w:bookmarkStart w:id="277" w:name="_Toc162630089"/>
      <w:r w:rsidRPr="00972C81">
        <w:rPr>
          <w:noProof/>
        </w:rPr>
        <w:t>Systemic Distribution, Retention and Excretion</w:t>
      </w:r>
      <w:bookmarkEnd w:id="277"/>
    </w:p>
    <w:p w14:paraId="6D9DFBFC" w14:textId="77777777" w:rsidR="006F56F4" w:rsidRPr="00972C81" w:rsidRDefault="006F56F4" w:rsidP="006703A2">
      <w:pPr>
        <w:pStyle w:val="OIRTitre4"/>
      </w:pPr>
      <w:r w:rsidRPr="00972C81">
        <w:t>Summary of biokinetic data</w:t>
      </w:r>
    </w:p>
    <w:p w14:paraId="60D8D4DA" w14:textId="77777777" w:rsidR="006F56F4" w:rsidRPr="00972C81" w:rsidRDefault="006F56F4" w:rsidP="001C4A92">
      <w:pPr>
        <w:pStyle w:val="Annalstext"/>
        <w:rPr>
          <w:noProof/>
        </w:rPr>
      </w:pPr>
      <w:r w:rsidRPr="00972C81">
        <w:rPr>
          <w:noProof/>
        </w:rPr>
        <w:t xml:space="preserve">The systemic behaviour of </w:t>
      </w:r>
      <w:bookmarkStart w:id="278" w:name="_Hlk495066421"/>
      <w:r w:rsidRPr="00972C81">
        <w:rPr>
          <w:noProof/>
        </w:rPr>
        <w:t>protactinium</w:t>
      </w:r>
      <w:bookmarkEnd w:id="278"/>
      <w:r w:rsidRPr="00972C81">
        <w:rPr>
          <w:noProof/>
        </w:rPr>
        <w:t xml:space="preserve"> has been studied mainly in rats and baboons, and follow-up of an occupational exposure. The findings suggest that the systemic behaviour of protactinium is similar to that of thorium. </w:t>
      </w:r>
    </w:p>
    <w:p w14:paraId="08E3DB41" w14:textId="294D3526" w:rsidR="006F56F4" w:rsidRPr="00972C81" w:rsidRDefault="006F56F4" w:rsidP="001C4A92">
      <w:pPr>
        <w:pStyle w:val="Annalstext"/>
        <w:rPr>
          <w:noProof/>
        </w:rPr>
      </w:pPr>
      <w:r w:rsidRPr="00972C81">
        <w:rPr>
          <w:noProof/>
        </w:rPr>
        <w:t xml:space="preserve">Newton and Brown </w:t>
      </w:r>
      <w:r w:rsidR="00823AA4" w:rsidRPr="00972C81">
        <w:rPr>
          <w:noProof/>
        </w:rPr>
        <w:fldChar w:fldCharType="begin"/>
      </w:r>
      <w:r w:rsidR="00823AA4" w:rsidRPr="00972C81">
        <w:rPr>
          <w:noProof/>
        </w:rPr>
        <w:instrText xml:space="preserve"> ADDIN ZOTERO_ITEM CSL_CITATION {"citationID":"Z3V9Rw73","properties":{"formattedCitation":"(1974)","plainCitation":"(1974)","noteIndex":0},"citationItems":[{"id":4870,"uris":["http://zotero.org/groups/2470620/items/ZHVX4PN3"],"itemData":{"id":4870,"type":"article-journal","container-title":"Health Physics","issue":"5","note":"publisher: LWW","page":"459–467","source":"Google Scholar","title":"The long-term retention of systemic protactinium-231 and actinium-227","volume":"27","author":[{"family":"Newton","given":"D."},{"family":"Brown","given":"D. A."}],"issued":{"date-parts":[["1974"]]}},"label":"page","suppress-author":true}],"schema":"https://github.com/citation-style-language/schema/raw/master/csl-citation.json"} </w:instrText>
      </w:r>
      <w:r w:rsidR="00823AA4" w:rsidRPr="00972C81">
        <w:rPr>
          <w:noProof/>
        </w:rPr>
        <w:fldChar w:fldCharType="separate"/>
      </w:r>
      <w:r w:rsidR="00BC59C6" w:rsidRPr="00972C81">
        <w:rPr>
          <w:noProof/>
        </w:rPr>
        <w:t>(1974)</w:t>
      </w:r>
      <w:r w:rsidR="00823AA4" w:rsidRPr="00972C81">
        <w:rPr>
          <w:noProof/>
        </w:rPr>
        <w:fldChar w:fldCharType="end"/>
      </w:r>
      <w:r w:rsidRPr="00972C81">
        <w:rPr>
          <w:noProof/>
        </w:rPr>
        <w:t xml:space="preserve"> studied the </w:t>
      </w:r>
      <w:r w:rsidR="00BB503E">
        <w:rPr>
          <w:noProof/>
        </w:rPr>
        <w:t>behaviour</w:t>
      </w:r>
      <w:r w:rsidRPr="00972C81">
        <w:rPr>
          <w:noProof/>
        </w:rPr>
        <w:t xml:space="preserve"> of </w:t>
      </w:r>
      <w:r w:rsidRPr="00972C81">
        <w:rPr>
          <w:noProof/>
          <w:vertAlign w:val="superscript"/>
        </w:rPr>
        <w:t>231</w:t>
      </w:r>
      <w:r w:rsidRPr="00972C81">
        <w:rPr>
          <w:noProof/>
        </w:rPr>
        <w:t xml:space="preserve">Pa and </w:t>
      </w:r>
      <w:r w:rsidRPr="00972C81">
        <w:rPr>
          <w:rFonts w:cs="Arial"/>
          <w:noProof/>
          <w:vertAlign w:val="superscript"/>
        </w:rPr>
        <w:t>227</w:t>
      </w:r>
      <w:r w:rsidRPr="00972C81">
        <w:rPr>
          <w:rFonts w:cs="Arial"/>
          <w:noProof/>
        </w:rPr>
        <w:t>Ac</w:t>
      </w:r>
      <w:r w:rsidRPr="00972C81">
        <w:rPr>
          <w:noProof/>
        </w:rPr>
        <w:t xml:space="preserve"> in an adult male over a 9-y period following their internal deposition via a puncture wound. The investigators estimated that 70</w:t>
      </w:r>
      <w:r w:rsidR="004A117A" w:rsidRPr="00FE17F7">
        <w:t>–</w:t>
      </w:r>
      <w:r w:rsidRPr="00972C81">
        <w:rPr>
          <w:noProof/>
        </w:rPr>
        <w:t xml:space="preserve">80% of the </w:t>
      </w:r>
      <w:r w:rsidRPr="00972C81">
        <w:rPr>
          <w:noProof/>
          <w:vertAlign w:val="superscript"/>
        </w:rPr>
        <w:t>231</w:t>
      </w:r>
      <w:r w:rsidRPr="00972C81">
        <w:rPr>
          <w:noProof/>
        </w:rPr>
        <w:t>Pa that reached blood was retained with a half-life in the range 70</w:t>
      </w:r>
      <w:r w:rsidR="004A117A">
        <w:rPr>
          <w:noProof/>
        </w:rPr>
        <w:softHyphen/>
      </w:r>
      <w:r w:rsidR="004A117A" w:rsidRPr="00FE17F7">
        <w:t>–</w:t>
      </w:r>
      <w:r w:rsidRPr="00972C81">
        <w:rPr>
          <w:noProof/>
        </w:rPr>
        <w:t>125 y. After 3 y total-body activity was contained mainly in bone, with lower accumulation in the liver. After 9 y the body burden was almost completely contained in the skeleton.</w:t>
      </w:r>
    </w:p>
    <w:p w14:paraId="5E6E1138" w14:textId="5200FD7F" w:rsidR="006F56F4" w:rsidRPr="00972C81" w:rsidRDefault="006F56F4" w:rsidP="001C4A92">
      <w:pPr>
        <w:pStyle w:val="Annalstext"/>
        <w:rPr>
          <w:noProof/>
        </w:rPr>
      </w:pPr>
      <w:r w:rsidRPr="00972C81">
        <w:rPr>
          <w:noProof/>
        </w:rPr>
        <w:t xml:space="preserve">At 24 h after intravenous administration of </w:t>
      </w:r>
      <w:r w:rsidRPr="00972C81">
        <w:rPr>
          <w:noProof/>
          <w:vertAlign w:val="superscript"/>
        </w:rPr>
        <w:t>233</w:t>
      </w:r>
      <w:r w:rsidRPr="00972C81">
        <w:rPr>
          <w:noProof/>
        </w:rPr>
        <w:t xml:space="preserve">Pa in citrate buffer to baboons, the skeleton contained about half of the injected amount </w:t>
      </w:r>
      <w:r w:rsidR="009649CD" w:rsidRPr="00972C81">
        <w:rPr>
          <w:noProof/>
        </w:rPr>
        <w:fldChar w:fldCharType="begin"/>
      </w:r>
      <w:r w:rsidR="000F5D57" w:rsidRPr="00972C81">
        <w:rPr>
          <w:noProof/>
        </w:rPr>
        <w:instrText xml:space="preserve"> ADDIN ZOTERO_ITEM CSL_CITATION {"citationID":"aSX3UPNU","properties":{"formattedCitation":"(Ralston et al., 1986)","plainCitation":"(Ralston et al., 1986)","noteIndex":0},"citationItems":[{"id":4929,"uris":["http://zotero.org/groups/2470620/items/UKC8KWTM"],"itemData":{"id":4929,"type":"chapter","container-title":"Speciation of fission and activation products in the environment","edition":"Elsevier Applied Science Publishers","event-place":"London, UK","publisher-place":"London, UK","source":"Google Scholar","title":"Metabolism and gastrointestinal absorption of neptunium and protactinium in adult baboons","author":[{"family":"Ralston","given":"L. G."},{"family":"Cohen","given":"N."},{"family":"Bhattacharyya","given":"M. H."},{"family":"Larsen","given":"R. P."},{"family":"Ayres","given":"L."},{"family":"Oldham","given":"R. D."},{"family":"Moretti","given":"E. S."}],"editor":[{"family":"Bulman","given":"R.A."},{"family":"Cooper","given":"J.R."}],"issued":{"date-parts":[["1986"]]}}}],"schema":"https://github.com/citation-style-language/schema/raw/master/csl-citation.json"} </w:instrText>
      </w:r>
      <w:r w:rsidR="009649CD" w:rsidRPr="00972C81">
        <w:rPr>
          <w:noProof/>
        </w:rPr>
        <w:fldChar w:fldCharType="separate"/>
      </w:r>
      <w:r w:rsidR="00BC59C6" w:rsidRPr="00972C81">
        <w:rPr>
          <w:noProof/>
        </w:rPr>
        <w:t>(Ralston et al., 1986)</w:t>
      </w:r>
      <w:r w:rsidR="009649CD" w:rsidRPr="00972C81">
        <w:rPr>
          <w:noProof/>
        </w:rPr>
        <w:fldChar w:fldCharType="end"/>
      </w:r>
      <w:r w:rsidRPr="00972C81">
        <w:rPr>
          <w:noProof/>
        </w:rPr>
        <w:t xml:space="preserve">. About 6% of the injected activity was excreted in urine during the first 24 h. By 21 days, when the slowly clearing plasma activity had been reduced to about 2% of the injected, the skeleton and soft tissues contained about 65% and 13%, respectively, of the injected amount. Cumulative urinary and faecal excretion of </w:t>
      </w:r>
      <w:r w:rsidRPr="00972C81">
        <w:rPr>
          <w:noProof/>
          <w:vertAlign w:val="superscript"/>
        </w:rPr>
        <w:t>233</w:t>
      </w:r>
      <w:r w:rsidRPr="00972C81">
        <w:rPr>
          <w:noProof/>
        </w:rPr>
        <w:t>Pa during the first 21 d amount to about 15% and 3%, respectively, of the injected amount.</w:t>
      </w:r>
    </w:p>
    <w:p w14:paraId="2EA73F5E" w14:textId="5DAA70BD" w:rsidR="006F56F4" w:rsidRPr="00972C81" w:rsidRDefault="006F56F4" w:rsidP="001C4A92">
      <w:pPr>
        <w:pStyle w:val="Annalstext"/>
        <w:rPr>
          <w:noProof/>
        </w:rPr>
      </w:pPr>
      <w:r w:rsidRPr="00972C81">
        <w:rPr>
          <w:noProof/>
        </w:rPr>
        <w:t>Following intravenous administration of protactinium to rats, ~99% of injected activity was removed from plasma compartment in 3 d. Plasma clearance was comparable to that of plutonium and much slower than that of neptunium, americium, or curium. At 1</w:t>
      </w:r>
      <w:r w:rsidR="004A117A" w:rsidRPr="00FE17F7">
        <w:t>–</w:t>
      </w:r>
      <w:r w:rsidRPr="00972C81">
        <w:rPr>
          <w:noProof/>
        </w:rPr>
        <w:t xml:space="preserve">7 d the </w:t>
      </w:r>
      <w:r w:rsidRPr="00972C81">
        <w:rPr>
          <w:noProof/>
        </w:rPr>
        <w:lastRenderedPageBreak/>
        <w:t>skeleton contained</w:t>
      </w:r>
      <w:r w:rsidR="004A117A">
        <w:rPr>
          <w:rFonts w:hint="eastAsia"/>
          <w:noProof/>
          <w:lang w:eastAsia="ko-KR"/>
        </w:rPr>
        <w:t xml:space="preserve"> </w:t>
      </w:r>
      <w:r w:rsidRPr="00972C81">
        <w:rPr>
          <w:noProof/>
        </w:rPr>
        <w:t>70</w:t>
      </w:r>
      <w:r w:rsidR="004A117A" w:rsidRPr="00FE17F7">
        <w:t>–</w:t>
      </w:r>
      <w:r w:rsidRPr="00972C81">
        <w:rPr>
          <w:noProof/>
        </w:rPr>
        <w:t>80% and the liver contained 2</w:t>
      </w:r>
      <w:r w:rsidR="004A117A" w:rsidRPr="00FE17F7">
        <w:t>–</w:t>
      </w:r>
      <w:r w:rsidRPr="00972C81">
        <w:rPr>
          <w:noProof/>
        </w:rPr>
        <w:t>3% of the injected amount. The high deposition in the skeleton and low uptake by liver following systemic uptake in rats closely resembled the distribution of thorium</w:t>
      </w:r>
      <w:r w:rsidR="009649CD" w:rsidRPr="00972C81">
        <w:rPr>
          <w:noProof/>
        </w:rPr>
        <w:t xml:space="preserve"> </w:t>
      </w:r>
      <w:r w:rsidR="009649CD" w:rsidRPr="00972C81">
        <w:rPr>
          <w:noProof/>
        </w:rPr>
        <w:fldChar w:fldCharType="begin"/>
      </w:r>
      <w:r w:rsidR="009649CD" w:rsidRPr="00972C81">
        <w:rPr>
          <w:noProof/>
        </w:rPr>
        <w:instrText xml:space="preserve"> ADDIN ZOTERO_ITEM CSL_CITATION {"citationID":"mmjOhB7K","properties":{"formattedCitation":"(Durbin, 2011; Lanz et al., 1946; Schuppler et al., 1988)","plainCitation":"(Durbin, 2011; Lanz et al., 1946; Schuppler et al., 1988)","noteIndex":0},"citationItems":[{"id":4935,"uris":["http://zotero.org/groups/2470620/items/TC3RNTU4"],"itemData":{"id":4935,"type":"chapter","container-title":"The chemistry of the actinide and transactinide elements, 4th edition, Vol. 5","page":"3339–3474","publisher":"Springer","source":"Google Scholar","title":"Actinides in animals and man. Chapter 31","author":[{"family":"Durbin","given":"Patricia W."}],"editor":[{"family":"Morss","given":"L.R."},{"family":"Edelstein","given":"N.M."},{"family":"Fuger","given":"J."},{"family":"Katz","given":"J.J."}],"issued":{"date-parts":[["2011"]]}}},{"id":4932,"uris":["http://zotero.org/groups/2470620/items/6FKVD26W"],"itemData":{"id":4932,"type":"report","number":"USAEC MDDC-648 (CH-3606)","publisher":"US Atomic Energy Commission. Division of Technical Information.","source":"Google Scholar","title":"The metabolism of thorium, protoactinium, and neptunium in the rat","author":[{"family":"Lanz","given":"H."},{"family":"Crowley","given":"J."},{"family":"Hamilton","given":"J. G."},{"family":"Scott","given":"E. G."}],"issued":{"date-parts":[["1946"]]}}},{"id":4933,"uris":["http://zotero.org/groups/2470620/items/CZZ3LXIW"],"itemData":{"id":4933,"type":"article-journal","abstract":"Following intravenous injection into male Sprague-Dawley rats 233Pa, like other elements, deposits predominantly in the skeleton (ca. 70-80 per cent), but unlike Pu and Am the liver deposition of 233Pa is low, about 2-3 per cent between 1 and 7 days. About 99 per cent of the injected 233Pa is lost from the plasma compartment in 3 days, a clearance comparable to that of Pu but much slower than that of Np, Am or Cm. On entering the liver cell cytosol 233Pa is bound rapidly to an unidentified protein of molecular mass 200 kDa and to a protein of 80 kDa, which is probably transferrin. Within a few hours the metal migrates to bind to a protein of greater than 400 kDa which has been tentatively identified as ferritin. Some 233Pa remains bound to small ligands until virtually all the intracellular 233Pa has been deposited in the lysosomes, or to a lesser extent in some other, as yet, unidentified organelles.","container-title":"International Journal of Radiation Biology and Related Studies in Physics, Chemistry, and Medicine","DOI":"10.1080/09553008814552581","ISSN":"0020-7616","issue":"3","journalAbbreviation":"Int J Radiat Biol Relat Stud Phys Chem Med","language":"eng","note":"PMID: 3257957","page":"457-466","source":"PubMed","title":"Biochemical binding and distribution of protactinium-233 in the rat","volume":"53","author":[{"family":"Schuppler","given":"U."},{"family":"Planas-Bohne","given":"F."},{"family":"Taylor","given":"D. M."}],"issued":{"date-parts":[["1988",3]]}}}],"schema":"https://github.com/citation-style-language/schema/raw/master/csl-citation.json"} </w:instrText>
      </w:r>
      <w:r w:rsidR="009649CD" w:rsidRPr="00972C81">
        <w:rPr>
          <w:noProof/>
        </w:rPr>
        <w:fldChar w:fldCharType="separate"/>
      </w:r>
      <w:r w:rsidR="00BC59C6" w:rsidRPr="00972C81">
        <w:rPr>
          <w:noProof/>
        </w:rPr>
        <w:t>(Durbin, 2011; Lanz et al., 1946; Schuppler et al., 1988)</w:t>
      </w:r>
      <w:r w:rsidR="009649CD" w:rsidRPr="00972C81">
        <w:rPr>
          <w:noProof/>
        </w:rPr>
        <w:fldChar w:fldCharType="end"/>
      </w:r>
      <w:r w:rsidRPr="00972C81">
        <w:rPr>
          <w:noProof/>
        </w:rPr>
        <w:t>.</w:t>
      </w:r>
    </w:p>
    <w:p w14:paraId="0F4345D8" w14:textId="11B60C24" w:rsidR="006F56F4" w:rsidRPr="00972C81" w:rsidRDefault="006F56F4" w:rsidP="001C4A92">
      <w:pPr>
        <w:pStyle w:val="Annalstext"/>
        <w:rPr>
          <w:noProof/>
        </w:rPr>
      </w:pPr>
      <w:r w:rsidRPr="00972C81">
        <w:rPr>
          <w:noProof/>
        </w:rPr>
        <w:t xml:space="preserve">Zalikin </w:t>
      </w:r>
      <w:r w:rsidR="00CF187B" w:rsidRPr="00972C81">
        <w:rPr>
          <w:noProof/>
        </w:rPr>
        <w:fldChar w:fldCharType="begin"/>
      </w:r>
      <w:r w:rsidR="000F5D57" w:rsidRPr="00972C81">
        <w:rPr>
          <w:noProof/>
        </w:rPr>
        <w:instrText xml:space="preserve"> ADDIN ZOTERO_ITEM CSL_CITATION {"citationID":"6tY0eWsb","properties":{"formattedCitation":"(1969)","plainCitation":"(1969)","noteIndex":0},"citationItems":[{"id":4937,"uris":["http://zotero.org/groups/2470620/items/YD6L27N8"],"itemData":{"id":4937,"type":"chapter","container-title":"Radioaktivnye izotopy I organizm. Translated in Radioactive isotopes and the body. AEC-tr-7195","page":"136–146","source":"Google Scholar","title":"On the distribution of protactinium-233 in the body of rats","author":[{"family":"Zalikin","given":"G. A."}],"editor":[{"family":"Moskalev","given":"Y.I."}],"issued":{"date-parts":[["1969"]]}},"label":"page","suppress-author":true}],"schema":"https://github.com/citation-style-language/schema/raw/master/csl-citation.json"} </w:instrText>
      </w:r>
      <w:r w:rsidR="00CF187B" w:rsidRPr="00972C81">
        <w:rPr>
          <w:noProof/>
        </w:rPr>
        <w:fldChar w:fldCharType="separate"/>
      </w:r>
      <w:r w:rsidR="00BC59C6" w:rsidRPr="00972C81">
        <w:rPr>
          <w:noProof/>
        </w:rPr>
        <w:t>(1969)</w:t>
      </w:r>
      <w:r w:rsidR="00CF187B" w:rsidRPr="00972C81">
        <w:rPr>
          <w:noProof/>
        </w:rPr>
        <w:fldChar w:fldCharType="end"/>
      </w:r>
      <w:r w:rsidRPr="00972C81">
        <w:rPr>
          <w:noProof/>
        </w:rPr>
        <w:t xml:space="preserve"> investigated the accumulation of </w:t>
      </w:r>
      <w:r w:rsidRPr="00972C81">
        <w:rPr>
          <w:noProof/>
          <w:szCs w:val="24"/>
          <w:vertAlign w:val="superscript"/>
        </w:rPr>
        <w:t>233</w:t>
      </w:r>
      <w:r w:rsidRPr="00972C81">
        <w:rPr>
          <w:noProof/>
          <w:szCs w:val="24"/>
        </w:rPr>
        <w:t>Pa</w:t>
      </w:r>
      <w:r w:rsidRPr="00972C81">
        <w:rPr>
          <w:noProof/>
        </w:rPr>
        <w:t xml:space="preserve"> in tissues of rats during its chronic oral administration. The absorbed activity accumulated primarily in the skeleton. After 150 d of chronic intake the skeleton contained about 10 times as much activity as the liver and about 16 times as much activity as the kidneys.</w:t>
      </w:r>
    </w:p>
    <w:p w14:paraId="4D036223" w14:textId="77777777" w:rsidR="006F56F4" w:rsidRPr="00972C81" w:rsidRDefault="006F56F4" w:rsidP="001C4A92">
      <w:pPr>
        <w:pStyle w:val="Annalstext"/>
        <w:rPr>
          <w:noProof/>
        </w:rPr>
      </w:pPr>
      <w:r w:rsidRPr="00972C81">
        <w:rPr>
          <w:noProof/>
        </w:rPr>
        <w:t xml:space="preserve">No information was found regarding age dependence in the biokinetics of systemic protactinium. </w:t>
      </w:r>
    </w:p>
    <w:p w14:paraId="78E2B2A4" w14:textId="77777777" w:rsidR="006F56F4" w:rsidRPr="00972C81" w:rsidRDefault="006F56F4" w:rsidP="006703A2">
      <w:pPr>
        <w:pStyle w:val="OIRTitre4"/>
      </w:pPr>
      <w:r w:rsidRPr="00972C81">
        <w:t>Systemic model</w:t>
      </w:r>
    </w:p>
    <w:p w14:paraId="1FC621F2" w14:textId="4016C348" w:rsidR="006F56F4" w:rsidRDefault="006F56F4" w:rsidP="001C4A92">
      <w:pPr>
        <w:pStyle w:val="Annalstext"/>
        <w:rPr>
          <w:noProof/>
        </w:rPr>
      </w:pPr>
      <w:r w:rsidRPr="00972C81">
        <w:rPr>
          <w:noProof/>
        </w:rPr>
        <w:t xml:space="preserve">The systemic model for Th described in the thorium section is applied to protactinium. The structure of the systemic model for protactinium is shown in </w:t>
      </w:r>
      <w:r w:rsidR="00CF187B" w:rsidRPr="00972C81">
        <w:rPr>
          <w:noProof/>
        </w:rPr>
        <w:fldChar w:fldCharType="begin"/>
      </w:r>
      <w:r w:rsidR="00CF187B" w:rsidRPr="00972C81">
        <w:rPr>
          <w:noProof/>
        </w:rPr>
        <w:instrText xml:space="preserve"> REF _Ref142482316 \h </w:instrText>
      </w:r>
      <w:r w:rsidR="00CF187B" w:rsidRPr="00972C81">
        <w:rPr>
          <w:noProof/>
        </w:rPr>
      </w:r>
      <w:r w:rsidR="00CF187B" w:rsidRPr="00972C81">
        <w:rPr>
          <w:noProof/>
        </w:rPr>
        <w:fldChar w:fldCharType="separate"/>
      </w:r>
      <w:r w:rsidR="00A41AD1" w:rsidRPr="00972C81">
        <w:rPr>
          <w:noProof/>
        </w:rPr>
        <w:t xml:space="preserve">Fig </w:t>
      </w:r>
      <w:r w:rsidR="00A41AD1">
        <w:rPr>
          <w:noProof/>
        </w:rPr>
        <w:t>19</w:t>
      </w:r>
      <w:r w:rsidR="00A41AD1" w:rsidRPr="00972C81">
        <w:rPr>
          <w:noProof/>
        </w:rPr>
        <w:t>.</w:t>
      </w:r>
      <w:r w:rsidR="00A41AD1">
        <w:rPr>
          <w:noProof/>
        </w:rPr>
        <w:t>1</w:t>
      </w:r>
      <w:r w:rsidR="00CF187B" w:rsidRPr="00972C81">
        <w:rPr>
          <w:noProof/>
        </w:rPr>
        <w:fldChar w:fldCharType="end"/>
      </w:r>
      <w:r w:rsidRPr="00972C81">
        <w:rPr>
          <w:noProof/>
        </w:rPr>
        <w:t xml:space="preserve">. Parameter values are listed in </w:t>
      </w:r>
      <w:r w:rsidR="00CF187B" w:rsidRPr="00972C81">
        <w:rPr>
          <w:noProof/>
        </w:rPr>
        <w:fldChar w:fldCharType="begin"/>
      </w:r>
      <w:r w:rsidR="00CF187B" w:rsidRPr="00972C81">
        <w:rPr>
          <w:noProof/>
        </w:rPr>
        <w:instrText xml:space="preserve"> REF _Ref142482294 \h </w:instrText>
      </w:r>
      <w:r w:rsidR="00CF187B" w:rsidRPr="00972C81">
        <w:rPr>
          <w:noProof/>
        </w:rPr>
      </w:r>
      <w:r w:rsidR="00CF187B" w:rsidRPr="00972C81">
        <w:rPr>
          <w:noProof/>
        </w:rPr>
        <w:fldChar w:fldCharType="separate"/>
      </w:r>
      <w:r w:rsidR="00A41AD1" w:rsidRPr="00A41AD1">
        <w:rPr>
          <w:noProof/>
          <w:szCs w:val="24"/>
        </w:rPr>
        <w:t xml:space="preserve">Table </w:t>
      </w:r>
      <w:r w:rsidR="00A41AD1">
        <w:rPr>
          <w:noProof/>
          <w:szCs w:val="24"/>
        </w:rPr>
        <w:t>19</w:t>
      </w:r>
      <w:r w:rsidR="00A41AD1" w:rsidRPr="00A41AD1">
        <w:rPr>
          <w:noProof/>
          <w:szCs w:val="24"/>
        </w:rPr>
        <w:t>.</w:t>
      </w:r>
      <w:r w:rsidR="00A41AD1">
        <w:rPr>
          <w:noProof/>
          <w:szCs w:val="24"/>
        </w:rPr>
        <w:t>2</w:t>
      </w:r>
      <w:r w:rsidR="00CF187B" w:rsidRPr="00972C81">
        <w:rPr>
          <w:noProof/>
        </w:rPr>
        <w:fldChar w:fldCharType="end"/>
      </w:r>
      <w:r w:rsidRPr="00972C81">
        <w:rPr>
          <w:noProof/>
        </w:rPr>
        <w:t>.</w:t>
      </w:r>
    </w:p>
    <w:p w14:paraId="76C0F487" w14:textId="77777777" w:rsidR="006A73E0" w:rsidRPr="00972C81" w:rsidRDefault="006A73E0" w:rsidP="006A73E0">
      <w:pPr>
        <w:pStyle w:val="Annalstext"/>
        <w:numPr>
          <w:ilvl w:val="0"/>
          <w:numId w:val="0"/>
        </w:numPr>
        <w:ind w:left="284"/>
        <w:rPr>
          <w:noProof/>
        </w:rPr>
      </w:pPr>
    </w:p>
    <w:p w14:paraId="6A30C81B" w14:textId="66117C72" w:rsidR="00A3213E" w:rsidRDefault="00A3213E" w:rsidP="006A4B24">
      <w:pPr>
        <w:jc w:val="center"/>
        <w:rPr>
          <w:noProof/>
        </w:rPr>
      </w:pPr>
      <w:bookmarkStart w:id="279" w:name="_Ref142482316"/>
      <w:bookmarkStart w:id="280" w:name="_Ref142482304"/>
      <w:r>
        <w:rPr>
          <w:noProof/>
        </w:rPr>
        <w:drawing>
          <wp:inline distT="0" distB="0" distL="0" distR="0" wp14:anchorId="47E0000C" wp14:editId="776EB601">
            <wp:extent cx="4379596" cy="3371850"/>
            <wp:effectExtent l="0" t="0" r="190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0"/>
                    <a:stretch>
                      <a:fillRect/>
                    </a:stretch>
                  </pic:blipFill>
                  <pic:spPr>
                    <a:xfrm>
                      <a:off x="0" y="0"/>
                      <a:ext cx="4401587" cy="3388781"/>
                    </a:xfrm>
                    <a:prstGeom prst="rect">
                      <a:avLst/>
                    </a:prstGeom>
                  </pic:spPr>
                </pic:pic>
              </a:graphicData>
            </a:graphic>
          </wp:inline>
        </w:drawing>
      </w:r>
    </w:p>
    <w:p w14:paraId="7CE6A073" w14:textId="48331170" w:rsidR="002E685D" w:rsidRPr="00972C81" w:rsidRDefault="00CF187B" w:rsidP="00A41AD1">
      <w:pPr>
        <w:rPr>
          <w:noProof/>
        </w:rPr>
      </w:pPr>
      <w:r w:rsidRPr="00972C81">
        <w:rPr>
          <w:noProof/>
        </w:rPr>
        <w:t xml:space="preserve">Fig </w:t>
      </w:r>
      <w:r w:rsidR="00EA3750" w:rsidRPr="00972C81">
        <w:rPr>
          <w:noProof/>
        </w:rPr>
        <w:fldChar w:fldCharType="begin"/>
      </w:r>
      <w:r w:rsidR="00EA3750" w:rsidRPr="00972C81">
        <w:rPr>
          <w:noProof/>
        </w:rPr>
        <w:instrText xml:space="preserve"> STYLEREF 1 \s </w:instrText>
      </w:r>
      <w:r w:rsidR="00EA3750" w:rsidRPr="00972C81">
        <w:rPr>
          <w:noProof/>
        </w:rPr>
        <w:fldChar w:fldCharType="separate"/>
      </w:r>
      <w:r w:rsidR="00A41AD1">
        <w:rPr>
          <w:noProof/>
        </w:rPr>
        <w:t>19</w:t>
      </w:r>
      <w:r w:rsidR="00EA3750" w:rsidRPr="00972C81">
        <w:rPr>
          <w:noProof/>
        </w:rPr>
        <w:fldChar w:fldCharType="end"/>
      </w:r>
      <w:r w:rsidR="00EA3750" w:rsidRPr="00972C81">
        <w:rPr>
          <w:noProof/>
        </w:rPr>
        <w:t>.</w:t>
      </w:r>
      <w:r w:rsidR="00EA3750" w:rsidRPr="00972C81">
        <w:rPr>
          <w:noProof/>
        </w:rPr>
        <w:fldChar w:fldCharType="begin"/>
      </w:r>
      <w:r w:rsidR="00EA3750" w:rsidRPr="00972C81">
        <w:rPr>
          <w:noProof/>
        </w:rPr>
        <w:instrText xml:space="preserve"> SEQ Figure \* ARABIC \s 1 </w:instrText>
      </w:r>
      <w:r w:rsidR="00EA3750" w:rsidRPr="00972C81">
        <w:rPr>
          <w:noProof/>
        </w:rPr>
        <w:fldChar w:fldCharType="separate"/>
      </w:r>
      <w:r w:rsidR="00A41AD1">
        <w:rPr>
          <w:noProof/>
        </w:rPr>
        <w:t>1</w:t>
      </w:r>
      <w:r w:rsidR="00EA3750" w:rsidRPr="00972C81">
        <w:rPr>
          <w:noProof/>
        </w:rPr>
        <w:fldChar w:fldCharType="end"/>
      </w:r>
      <w:bookmarkEnd w:id="279"/>
      <w:r w:rsidRPr="00972C81">
        <w:rPr>
          <w:noProof/>
        </w:rPr>
        <w:t xml:space="preserve">. </w:t>
      </w:r>
      <w:r w:rsidR="006F56F4" w:rsidRPr="00972C81">
        <w:rPr>
          <w:noProof/>
        </w:rPr>
        <w:t>Structure of the systemic model for protactinium.</w:t>
      </w:r>
      <w:bookmarkEnd w:id="280"/>
    </w:p>
    <w:p w14:paraId="0385D136" w14:textId="77777777" w:rsidR="006A73E0" w:rsidRDefault="006A73E0">
      <w:pPr>
        <w:widowControl/>
        <w:jc w:val="left"/>
        <w:rPr>
          <w:noProof/>
          <w:szCs w:val="24"/>
        </w:rPr>
      </w:pPr>
      <w:bookmarkStart w:id="281" w:name="_Ref142482294"/>
      <w:r>
        <w:rPr>
          <w:noProof/>
          <w:szCs w:val="24"/>
        </w:rPr>
        <w:br w:type="page"/>
      </w:r>
    </w:p>
    <w:p w14:paraId="58767EB9" w14:textId="1D348959" w:rsidR="006F56F4" w:rsidRPr="00C47F2F" w:rsidRDefault="00CF187B" w:rsidP="00E81109">
      <w:pPr>
        <w:pStyle w:val="ab"/>
        <w:rPr>
          <w:rFonts w:ascii="Times Roman" w:hAnsi="Times Roman"/>
          <w:b/>
          <w:noProof/>
          <w:sz w:val="24"/>
          <w:szCs w:val="24"/>
        </w:rPr>
      </w:pPr>
      <w:r w:rsidRPr="00C47F2F">
        <w:rPr>
          <w:noProof/>
          <w:sz w:val="24"/>
          <w:szCs w:val="24"/>
        </w:rPr>
        <w:lastRenderedPageBreak/>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Pr>
          <w:noProof/>
          <w:sz w:val="24"/>
          <w:szCs w:val="24"/>
        </w:rPr>
        <w:t>19</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Pr>
          <w:noProof/>
          <w:sz w:val="24"/>
          <w:szCs w:val="24"/>
        </w:rPr>
        <w:t>2</w:t>
      </w:r>
      <w:r w:rsidR="00EA3750" w:rsidRPr="00C47F2F">
        <w:rPr>
          <w:noProof/>
          <w:sz w:val="24"/>
          <w:szCs w:val="24"/>
        </w:rPr>
        <w:fldChar w:fldCharType="end"/>
      </w:r>
      <w:bookmarkEnd w:id="281"/>
      <w:r w:rsidRPr="00C47F2F">
        <w:rPr>
          <w:noProof/>
          <w:sz w:val="24"/>
          <w:szCs w:val="24"/>
        </w:rPr>
        <w:t xml:space="preserve">. </w:t>
      </w:r>
      <w:r w:rsidR="007A34D9" w:rsidRPr="00C47F2F">
        <w:rPr>
          <w:noProof/>
          <w:sz w:val="24"/>
          <w:szCs w:val="24"/>
        </w:rPr>
        <w:t>Age-specific transfer coefficients for protactinium.</w:t>
      </w:r>
    </w:p>
    <w:tbl>
      <w:tblPr>
        <w:tblW w:w="5000" w:type="pct"/>
        <w:tblLayout w:type="fixed"/>
        <w:tblLook w:val="04A0" w:firstRow="1" w:lastRow="0" w:firstColumn="1" w:lastColumn="0" w:noHBand="0" w:noVBand="1"/>
      </w:tblPr>
      <w:tblGrid>
        <w:gridCol w:w="3094"/>
        <w:gridCol w:w="988"/>
        <w:gridCol w:w="989"/>
        <w:gridCol w:w="989"/>
        <w:gridCol w:w="989"/>
        <w:gridCol w:w="989"/>
        <w:gridCol w:w="989"/>
      </w:tblGrid>
      <w:tr w:rsidR="0078660D" w:rsidRPr="00972C81" w14:paraId="153162BD" w14:textId="77777777" w:rsidTr="006A73E0">
        <w:trPr>
          <w:trHeight w:val="340"/>
        </w:trPr>
        <w:tc>
          <w:tcPr>
            <w:tcW w:w="3094" w:type="dxa"/>
            <w:vMerge w:val="restart"/>
            <w:tcBorders>
              <w:top w:val="single" w:sz="4" w:space="0" w:color="auto"/>
            </w:tcBorders>
            <w:shd w:val="clear" w:color="auto" w:fill="auto"/>
            <w:noWrap/>
            <w:vAlign w:val="center"/>
          </w:tcPr>
          <w:p w14:paraId="44B51A62" w14:textId="386A4FD0" w:rsidR="0078660D" w:rsidRPr="004A117A" w:rsidRDefault="0078660D" w:rsidP="00BF102D">
            <w:pPr>
              <w:pStyle w:val="Table"/>
              <w:rPr>
                <w:noProof/>
                <w:szCs w:val="22"/>
              </w:rPr>
            </w:pPr>
            <w:r w:rsidRPr="004A117A">
              <w:rPr>
                <w:noProof/>
                <w:szCs w:val="22"/>
              </w:rPr>
              <w:t>Pathway</w:t>
            </w:r>
            <w:r w:rsidR="00A3213E" w:rsidRPr="00A3213E">
              <w:rPr>
                <w:noProof/>
                <w:szCs w:val="22"/>
                <w:vertAlign w:val="superscript"/>
              </w:rPr>
              <w:t>a</w:t>
            </w:r>
          </w:p>
        </w:tc>
        <w:tc>
          <w:tcPr>
            <w:tcW w:w="5933" w:type="dxa"/>
            <w:gridSpan w:val="6"/>
            <w:tcBorders>
              <w:top w:val="single" w:sz="4" w:space="0" w:color="auto"/>
              <w:bottom w:val="single" w:sz="4" w:space="0" w:color="auto"/>
            </w:tcBorders>
            <w:shd w:val="clear" w:color="auto" w:fill="auto"/>
            <w:noWrap/>
            <w:vAlign w:val="center"/>
          </w:tcPr>
          <w:p w14:paraId="72C1F06C" w14:textId="77777777" w:rsidR="0078660D" w:rsidRPr="004A117A" w:rsidRDefault="0078660D" w:rsidP="006A73E0">
            <w:pPr>
              <w:pStyle w:val="Table"/>
              <w:jc w:val="center"/>
              <w:rPr>
                <w:noProof/>
                <w:szCs w:val="22"/>
              </w:rPr>
            </w:pPr>
            <w:r w:rsidRPr="004A117A">
              <w:rPr>
                <w:noProof/>
                <w:szCs w:val="22"/>
              </w:rPr>
              <w:t>Transfer coefficient (d</w:t>
            </w:r>
            <w:r w:rsidRPr="00C47F2F">
              <w:rPr>
                <w:noProof/>
                <w:szCs w:val="22"/>
                <w:vertAlign w:val="superscript"/>
              </w:rPr>
              <w:t>-1</w:t>
            </w:r>
            <w:r w:rsidRPr="004A117A">
              <w:rPr>
                <w:noProof/>
                <w:szCs w:val="22"/>
              </w:rPr>
              <w:t>)</w:t>
            </w:r>
          </w:p>
        </w:tc>
      </w:tr>
      <w:tr w:rsidR="00BF102D" w:rsidRPr="00972C81" w14:paraId="239575E4" w14:textId="77777777" w:rsidTr="006A73E0">
        <w:trPr>
          <w:trHeight w:val="340"/>
        </w:trPr>
        <w:tc>
          <w:tcPr>
            <w:tcW w:w="3094" w:type="dxa"/>
            <w:vMerge/>
            <w:tcBorders>
              <w:bottom w:val="single" w:sz="4" w:space="0" w:color="auto"/>
            </w:tcBorders>
            <w:shd w:val="clear" w:color="auto" w:fill="auto"/>
            <w:noWrap/>
          </w:tcPr>
          <w:p w14:paraId="22A597BF" w14:textId="77777777" w:rsidR="0078660D" w:rsidRPr="004A117A" w:rsidRDefault="0078660D" w:rsidP="00E81109">
            <w:pPr>
              <w:pStyle w:val="Table"/>
              <w:rPr>
                <w:noProof/>
                <w:color w:val="000000"/>
                <w:szCs w:val="22"/>
              </w:rPr>
            </w:pPr>
          </w:p>
        </w:tc>
        <w:tc>
          <w:tcPr>
            <w:tcW w:w="988" w:type="dxa"/>
            <w:tcBorders>
              <w:top w:val="single" w:sz="4" w:space="0" w:color="auto"/>
              <w:bottom w:val="single" w:sz="4" w:space="0" w:color="auto"/>
            </w:tcBorders>
            <w:shd w:val="clear" w:color="auto" w:fill="auto"/>
            <w:noWrap/>
            <w:vAlign w:val="center"/>
          </w:tcPr>
          <w:p w14:paraId="45BB3EDF" w14:textId="77777777" w:rsidR="0078660D" w:rsidRPr="004A117A" w:rsidRDefault="0078660D" w:rsidP="006A73E0">
            <w:pPr>
              <w:pStyle w:val="Table"/>
              <w:rPr>
                <w:noProof/>
                <w:color w:val="000000"/>
                <w:szCs w:val="22"/>
              </w:rPr>
            </w:pPr>
            <w:r w:rsidRPr="004A117A">
              <w:rPr>
                <w:noProof/>
                <w:szCs w:val="22"/>
              </w:rPr>
              <w:t>100 d</w:t>
            </w:r>
          </w:p>
        </w:tc>
        <w:tc>
          <w:tcPr>
            <w:tcW w:w="989" w:type="dxa"/>
            <w:tcBorders>
              <w:top w:val="single" w:sz="4" w:space="0" w:color="auto"/>
              <w:bottom w:val="single" w:sz="4" w:space="0" w:color="auto"/>
            </w:tcBorders>
            <w:shd w:val="clear" w:color="auto" w:fill="auto"/>
            <w:noWrap/>
            <w:vAlign w:val="center"/>
          </w:tcPr>
          <w:p w14:paraId="3B67CB9A" w14:textId="77777777" w:rsidR="0078660D" w:rsidRPr="004A117A" w:rsidRDefault="0078660D" w:rsidP="006A73E0">
            <w:pPr>
              <w:pStyle w:val="Table"/>
              <w:rPr>
                <w:noProof/>
                <w:color w:val="000000"/>
                <w:szCs w:val="22"/>
              </w:rPr>
            </w:pPr>
            <w:r w:rsidRPr="004A117A">
              <w:rPr>
                <w:noProof/>
                <w:szCs w:val="22"/>
              </w:rPr>
              <w:t>1 y</w:t>
            </w:r>
          </w:p>
        </w:tc>
        <w:tc>
          <w:tcPr>
            <w:tcW w:w="989" w:type="dxa"/>
            <w:tcBorders>
              <w:top w:val="single" w:sz="4" w:space="0" w:color="auto"/>
              <w:bottom w:val="single" w:sz="4" w:space="0" w:color="auto"/>
            </w:tcBorders>
            <w:shd w:val="clear" w:color="auto" w:fill="auto"/>
            <w:noWrap/>
            <w:vAlign w:val="center"/>
          </w:tcPr>
          <w:p w14:paraId="17FA9D94" w14:textId="77777777" w:rsidR="0078660D" w:rsidRPr="004A117A" w:rsidRDefault="0078660D" w:rsidP="006A73E0">
            <w:pPr>
              <w:pStyle w:val="Table"/>
              <w:rPr>
                <w:noProof/>
                <w:color w:val="000000"/>
                <w:szCs w:val="22"/>
              </w:rPr>
            </w:pPr>
            <w:r w:rsidRPr="004A117A">
              <w:rPr>
                <w:noProof/>
                <w:szCs w:val="22"/>
              </w:rPr>
              <w:t>5 y</w:t>
            </w:r>
          </w:p>
        </w:tc>
        <w:tc>
          <w:tcPr>
            <w:tcW w:w="989" w:type="dxa"/>
            <w:tcBorders>
              <w:top w:val="single" w:sz="4" w:space="0" w:color="auto"/>
              <w:bottom w:val="single" w:sz="4" w:space="0" w:color="auto"/>
            </w:tcBorders>
            <w:shd w:val="clear" w:color="auto" w:fill="auto"/>
            <w:noWrap/>
            <w:vAlign w:val="center"/>
          </w:tcPr>
          <w:p w14:paraId="047BE6F3" w14:textId="77777777" w:rsidR="0078660D" w:rsidRPr="004A117A" w:rsidRDefault="0078660D" w:rsidP="006A73E0">
            <w:pPr>
              <w:pStyle w:val="Table"/>
              <w:rPr>
                <w:noProof/>
                <w:color w:val="000000"/>
                <w:szCs w:val="22"/>
              </w:rPr>
            </w:pPr>
            <w:r w:rsidRPr="004A117A">
              <w:rPr>
                <w:noProof/>
                <w:szCs w:val="22"/>
              </w:rPr>
              <w:t>10 y</w:t>
            </w:r>
          </w:p>
        </w:tc>
        <w:tc>
          <w:tcPr>
            <w:tcW w:w="989" w:type="dxa"/>
            <w:tcBorders>
              <w:top w:val="single" w:sz="4" w:space="0" w:color="auto"/>
              <w:bottom w:val="single" w:sz="4" w:space="0" w:color="auto"/>
            </w:tcBorders>
            <w:shd w:val="clear" w:color="auto" w:fill="auto"/>
            <w:noWrap/>
            <w:vAlign w:val="center"/>
          </w:tcPr>
          <w:p w14:paraId="2057A3E3" w14:textId="77777777" w:rsidR="0078660D" w:rsidRPr="004A117A" w:rsidRDefault="0078660D" w:rsidP="006A73E0">
            <w:pPr>
              <w:pStyle w:val="Table"/>
              <w:rPr>
                <w:noProof/>
                <w:color w:val="000000"/>
                <w:szCs w:val="22"/>
              </w:rPr>
            </w:pPr>
            <w:r w:rsidRPr="004A117A">
              <w:rPr>
                <w:noProof/>
                <w:szCs w:val="22"/>
              </w:rPr>
              <w:t>15 y</w:t>
            </w:r>
          </w:p>
        </w:tc>
        <w:tc>
          <w:tcPr>
            <w:tcW w:w="989" w:type="dxa"/>
            <w:tcBorders>
              <w:top w:val="single" w:sz="4" w:space="0" w:color="auto"/>
              <w:bottom w:val="single" w:sz="4" w:space="0" w:color="auto"/>
            </w:tcBorders>
            <w:shd w:val="clear" w:color="auto" w:fill="auto"/>
            <w:noWrap/>
            <w:vAlign w:val="center"/>
          </w:tcPr>
          <w:p w14:paraId="5D370A5D" w14:textId="77777777" w:rsidR="0078660D" w:rsidRPr="004A117A" w:rsidRDefault="0078660D" w:rsidP="006A73E0">
            <w:pPr>
              <w:pStyle w:val="Table"/>
              <w:rPr>
                <w:noProof/>
                <w:color w:val="000000"/>
                <w:szCs w:val="22"/>
              </w:rPr>
            </w:pPr>
            <w:r w:rsidRPr="004A117A">
              <w:rPr>
                <w:noProof/>
                <w:szCs w:val="22"/>
              </w:rPr>
              <w:t>Adult</w:t>
            </w:r>
          </w:p>
        </w:tc>
      </w:tr>
      <w:tr w:rsidR="00A3213E" w:rsidRPr="00972C81" w14:paraId="36296E5A" w14:textId="77777777" w:rsidTr="006A73E0">
        <w:trPr>
          <w:trHeight w:val="340"/>
        </w:trPr>
        <w:tc>
          <w:tcPr>
            <w:tcW w:w="3094" w:type="dxa"/>
            <w:tcBorders>
              <w:top w:val="single" w:sz="4" w:space="0" w:color="auto"/>
            </w:tcBorders>
            <w:shd w:val="clear" w:color="auto" w:fill="auto"/>
            <w:noWrap/>
            <w:vAlign w:val="center"/>
          </w:tcPr>
          <w:p w14:paraId="37D87914" w14:textId="5C97CB56" w:rsidR="00A3213E" w:rsidRPr="00A3213E" w:rsidRDefault="00A3213E" w:rsidP="006A73E0">
            <w:pPr>
              <w:pStyle w:val="Table"/>
              <w:rPr>
                <w:noProof/>
                <w:sz w:val="20"/>
                <w:szCs w:val="22"/>
              </w:rPr>
            </w:pPr>
            <w:r w:rsidRPr="00A3213E">
              <w:rPr>
                <w:noProof/>
                <w:sz w:val="20"/>
                <w:szCs w:val="22"/>
              </w:rPr>
              <w:t>Blood to Liver 1</w:t>
            </w:r>
          </w:p>
        </w:tc>
        <w:tc>
          <w:tcPr>
            <w:tcW w:w="988" w:type="dxa"/>
            <w:tcBorders>
              <w:top w:val="single" w:sz="4" w:space="0" w:color="auto"/>
            </w:tcBorders>
            <w:shd w:val="clear" w:color="auto" w:fill="auto"/>
            <w:noWrap/>
            <w:vAlign w:val="center"/>
          </w:tcPr>
          <w:p w14:paraId="06A9D886" w14:textId="77777777" w:rsidR="00A3213E" w:rsidRPr="00C47F2F" w:rsidRDefault="00A3213E" w:rsidP="006A73E0">
            <w:pPr>
              <w:pStyle w:val="Table"/>
              <w:rPr>
                <w:noProof/>
                <w:sz w:val="20"/>
                <w:szCs w:val="20"/>
              </w:rPr>
            </w:pPr>
            <w:r w:rsidRPr="00C47F2F">
              <w:rPr>
                <w:noProof/>
                <w:sz w:val="20"/>
                <w:szCs w:val="20"/>
              </w:rPr>
              <w:t>6.47E-02</w:t>
            </w:r>
          </w:p>
        </w:tc>
        <w:tc>
          <w:tcPr>
            <w:tcW w:w="989" w:type="dxa"/>
            <w:tcBorders>
              <w:top w:val="single" w:sz="4" w:space="0" w:color="auto"/>
            </w:tcBorders>
            <w:shd w:val="clear" w:color="auto" w:fill="auto"/>
            <w:noWrap/>
            <w:vAlign w:val="center"/>
          </w:tcPr>
          <w:p w14:paraId="3CE44181" w14:textId="77777777" w:rsidR="00A3213E" w:rsidRPr="00C47F2F" w:rsidRDefault="00A3213E" w:rsidP="006A73E0">
            <w:pPr>
              <w:pStyle w:val="Table"/>
              <w:rPr>
                <w:noProof/>
                <w:sz w:val="20"/>
                <w:szCs w:val="20"/>
              </w:rPr>
            </w:pPr>
            <w:r w:rsidRPr="00C47F2F">
              <w:rPr>
                <w:noProof/>
                <w:sz w:val="20"/>
                <w:szCs w:val="20"/>
              </w:rPr>
              <w:t>6.47E-02</w:t>
            </w:r>
          </w:p>
        </w:tc>
        <w:tc>
          <w:tcPr>
            <w:tcW w:w="989" w:type="dxa"/>
            <w:tcBorders>
              <w:top w:val="single" w:sz="4" w:space="0" w:color="auto"/>
            </w:tcBorders>
            <w:shd w:val="clear" w:color="auto" w:fill="auto"/>
            <w:noWrap/>
            <w:vAlign w:val="center"/>
          </w:tcPr>
          <w:p w14:paraId="1BB1CDE1" w14:textId="77777777" w:rsidR="00A3213E" w:rsidRPr="00C47F2F" w:rsidRDefault="00A3213E" w:rsidP="006A73E0">
            <w:pPr>
              <w:pStyle w:val="Table"/>
              <w:rPr>
                <w:noProof/>
                <w:sz w:val="20"/>
                <w:szCs w:val="20"/>
              </w:rPr>
            </w:pPr>
            <w:r w:rsidRPr="00C47F2F">
              <w:rPr>
                <w:noProof/>
                <w:sz w:val="20"/>
                <w:szCs w:val="20"/>
              </w:rPr>
              <w:t>6.47E-02</w:t>
            </w:r>
          </w:p>
        </w:tc>
        <w:tc>
          <w:tcPr>
            <w:tcW w:w="989" w:type="dxa"/>
            <w:tcBorders>
              <w:top w:val="single" w:sz="4" w:space="0" w:color="auto"/>
            </w:tcBorders>
            <w:shd w:val="clear" w:color="auto" w:fill="auto"/>
            <w:noWrap/>
            <w:vAlign w:val="center"/>
          </w:tcPr>
          <w:p w14:paraId="0F33E651" w14:textId="77777777" w:rsidR="00A3213E" w:rsidRPr="00C47F2F" w:rsidRDefault="00A3213E" w:rsidP="006A73E0">
            <w:pPr>
              <w:pStyle w:val="Table"/>
              <w:rPr>
                <w:noProof/>
                <w:sz w:val="20"/>
                <w:szCs w:val="20"/>
              </w:rPr>
            </w:pPr>
            <w:r w:rsidRPr="00C47F2F">
              <w:rPr>
                <w:noProof/>
                <w:sz w:val="20"/>
                <w:szCs w:val="20"/>
              </w:rPr>
              <w:t>6.47E-02</w:t>
            </w:r>
          </w:p>
        </w:tc>
        <w:tc>
          <w:tcPr>
            <w:tcW w:w="989" w:type="dxa"/>
            <w:tcBorders>
              <w:top w:val="single" w:sz="4" w:space="0" w:color="auto"/>
            </w:tcBorders>
            <w:shd w:val="clear" w:color="auto" w:fill="auto"/>
            <w:noWrap/>
            <w:vAlign w:val="center"/>
          </w:tcPr>
          <w:p w14:paraId="55176008" w14:textId="77777777" w:rsidR="00A3213E" w:rsidRPr="00C47F2F" w:rsidRDefault="00A3213E" w:rsidP="006A73E0">
            <w:pPr>
              <w:pStyle w:val="Table"/>
              <w:rPr>
                <w:noProof/>
                <w:sz w:val="20"/>
                <w:szCs w:val="20"/>
              </w:rPr>
            </w:pPr>
            <w:r w:rsidRPr="00C47F2F">
              <w:rPr>
                <w:noProof/>
                <w:sz w:val="20"/>
                <w:szCs w:val="20"/>
              </w:rPr>
              <w:t>6.47E-02</w:t>
            </w:r>
          </w:p>
        </w:tc>
        <w:tc>
          <w:tcPr>
            <w:tcW w:w="989" w:type="dxa"/>
            <w:tcBorders>
              <w:top w:val="single" w:sz="4" w:space="0" w:color="auto"/>
            </w:tcBorders>
            <w:shd w:val="clear" w:color="auto" w:fill="auto"/>
            <w:noWrap/>
            <w:vAlign w:val="center"/>
          </w:tcPr>
          <w:p w14:paraId="7CCBEBFE" w14:textId="77777777" w:rsidR="00A3213E" w:rsidRPr="00C47F2F" w:rsidRDefault="00A3213E" w:rsidP="006A73E0">
            <w:pPr>
              <w:pStyle w:val="Table"/>
              <w:rPr>
                <w:noProof/>
                <w:sz w:val="20"/>
                <w:szCs w:val="20"/>
              </w:rPr>
            </w:pPr>
            <w:r w:rsidRPr="00C47F2F">
              <w:rPr>
                <w:noProof/>
                <w:sz w:val="20"/>
                <w:szCs w:val="20"/>
              </w:rPr>
              <w:t>9.70E-02</w:t>
            </w:r>
          </w:p>
        </w:tc>
      </w:tr>
      <w:tr w:rsidR="00A3213E" w:rsidRPr="00972C81" w14:paraId="0E215930" w14:textId="77777777" w:rsidTr="006A73E0">
        <w:trPr>
          <w:trHeight w:val="340"/>
        </w:trPr>
        <w:tc>
          <w:tcPr>
            <w:tcW w:w="3094" w:type="dxa"/>
            <w:shd w:val="clear" w:color="auto" w:fill="auto"/>
            <w:noWrap/>
            <w:vAlign w:val="center"/>
          </w:tcPr>
          <w:p w14:paraId="6E7B4EEE" w14:textId="02115A70" w:rsidR="00A3213E" w:rsidRPr="00A3213E" w:rsidRDefault="00A3213E" w:rsidP="006A73E0">
            <w:pPr>
              <w:pStyle w:val="Table"/>
              <w:rPr>
                <w:noProof/>
                <w:sz w:val="20"/>
                <w:szCs w:val="22"/>
              </w:rPr>
            </w:pPr>
            <w:r w:rsidRPr="00A3213E">
              <w:rPr>
                <w:noProof/>
                <w:sz w:val="20"/>
                <w:szCs w:val="22"/>
              </w:rPr>
              <w:t>Blood to Cort bone surf</w:t>
            </w:r>
          </w:p>
        </w:tc>
        <w:tc>
          <w:tcPr>
            <w:tcW w:w="988" w:type="dxa"/>
            <w:shd w:val="clear" w:color="auto" w:fill="auto"/>
            <w:noWrap/>
            <w:vAlign w:val="center"/>
          </w:tcPr>
          <w:p w14:paraId="0B8FF14E" w14:textId="77777777" w:rsidR="00A3213E" w:rsidRPr="00C47F2F" w:rsidRDefault="00A3213E" w:rsidP="006A73E0">
            <w:pPr>
              <w:pStyle w:val="Table"/>
              <w:rPr>
                <w:noProof/>
                <w:sz w:val="20"/>
                <w:szCs w:val="20"/>
              </w:rPr>
            </w:pPr>
            <w:r w:rsidRPr="00C47F2F">
              <w:rPr>
                <w:noProof/>
                <w:sz w:val="20"/>
                <w:szCs w:val="20"/>
              </w:rPr>
              <w:t>7.76E-01</w:t>
            </w:r>
          </w:p>
        </w:tc>
        <w:tc>
          <w:tcPr>
            <w:tcW w:w="989" w:type="dxa"/>
            <w:shd w:val="clear" w:color="auto" w:fill="auto"/>
            <w:noWrap/>
            <w:vAlign w:val="center"/>
          </w:tcPr>
          <w:p w14:paraId="2C2905F1" w14:textId="77777777" w:rsidR="00A3213E" w:rsidRPr="00C47F2F" w:rsidRDefault="00A3213E" w:rsidP="006A73E0">
            <w:pPr>
              <w:pStyle w:val="Table"/>
              <w:rPr>
                <w:noProof/>
                <w:sz w:val="20"/>
                <w:szCs w:val="20"/>
              </w:rPr>
            </w:pPr>
            <w:r w:rsidRPr="00C47F2F">
              <w:rPr>
                <w:noProof/>
                <w:sz w:val="20"/>
                <w:szCs w:val="20"/>
              </w:rPr>
              <w:t>7.76E-01</w:t>
            </w:r>
          </w:p>
        </w:tc>
        <w:tc>
          <w:tcPr>
            <w:tcW w:w="989" w:type="dxa"/>
            <w:shd w:val="clear" w:color="auto" w:fill="auto"/>
            <w:noWrap/>
            <w:vAlign w:val="center"/>
          </w:tcPr>
          <w:p w14:paraId="3CD5C8C4" w14:textId="77777777" w:rsidR="00A3213E" w:rsidRPr="00C47F2F" w:rsidRDefault="00A3213E" w:rsidP="006A73E0">
            <w:pPr>
              <w:pStyle w:val="Table"/>
              <w:rPr>
                <w:noProof/>
                <w:sz w:val="20"/>
                <w:szCs w:val="20"/>
              </w:rPr>
            </w:pPr>
            <w:r w:rsidRPr="00C47F2F">
              <w:rPr>
                <w:noProof/>
                <w:sz w:val="20"/>
                <w:szCs w:val="20"/>
              </w:rPr>
              <w:t>7.76E-01</w:t>
            </w:r>
          </w:p>
        </w:tc>
        <w:tc>
          <w:tcPr>
            <w:tcW w:w="989" w:type="dxa"/>
            <w:shd w:val="clear" w:color="auto" w:fill="auto"/>
            <w:noWrap/>
            <w:vAlign w:val="center"/>
          </w:tcPr>
          <w:p w14:paraId="7083D55A" w14:textId="77777777" w:rsidR="00A3213E" w:rsidRPr="00C47F2F" w:rsidRDefault="00A3213E" w:rsidP="006A73E0">
            <w:pPr>
              <w:pStyle w:val="Table"/>
              <w:rPr>
                <w:noProof/>
                <w:sz w:val="20"/>
                <w:szCs w:val="20"/>
              </w:rPr>
            </w:pPr>
            <w:r w:rsidRPr="00C47F2F">
              <w:rPr>
                <w:noProof/>
                <w:sz w:val="20"/>
                <w:szCs w:val="20"/>
              </w:rPr>
              <w:t>7.76E-01</w:t>
            </w:r>
          </w:p>
        </w:tc>
        <w:tc>
          <w:tcPr>
            <w:tcW w:w="989" w:type="dxa"/>
            <w:shd w:val="clear" w:color="auto" w:fill="auto"/>
            <w:noWrap/>
            <w:vAlign w:val="center"/>
          </w:tcPr>
          <w:p w14:paraId="0C9CC8D9" w14:textId="77777777" w:rsidR="00A3213E" w:rsidRPr="00C47F2F" w:rsidRDefault="00A3213E" w:rsidP="006A73E0">
            <w:pPr>
              <w:pStyle w:val="Table"/>
              <w:rPr>
                <w:noProof/>
                <w:sz w:val="20"/>
                <w:szCs w:val="20"/>
              </w:rPr>
            </w:pPr>
            <w:r w:rsidRPr="00C47F2F">
              <w:rPr>
                <w:noProof/>
                <w:sz w:val="20"/>
                <w:szCs w:val="20"/>
              </w:rPr>
              <w:t>7.76E-01</w:t>
            </w:r>
          </w:p>
        </w:tc>
        <w:tc>
          <w:tcPr>
            <w:tcW w:w="989" w:type="dxa"/>
            <w:shd w:val="clear" w:color="auto" w:fill="auto"/>
            <w:noWrap/>
            <w:vAlign w:val="center"/>
          </w:tcPr>
          <w:p w14:paraId="75D1D690" w14:textId="77777777" w:rsidR="00A3213E" w:rsidRPr="00C47F2F" w:rsidRDefault="00A3213E" w:rsidP="006A73E0">
            <w:pPr>
              <w:pStyle w:val="Table"/>
              <w:rPr>
                <w:noProof/>
                <w:sz w:val="20"/>
                <w:szCs w:val="20"/>
              </w:rPr>
            </w:pPr>
            <w:r w:rsidRPr="00C47F2F">
              <w:rPr>
                <w:noProof/>
                <w:sz w:val="20"/>
                <w:szCs w:val="20"/>
              </w:rPr>
              <w:t>6.79E-01</w:t>
            </w:r>
          </w:p>
        </w:tc>
      </w:tr>
      <w:tr w:rsidR="00A3213E" w:rsidRPr="00972C81" w14:paraId="0406CB92" w14:textId="77777777" w:rsidTr="006A73E0">
        <w:trPr>
          <w:trHeight w:val="340"/>
        </w:trPr>
        <w:tc>
          <w:tcPr>
            <w:tcW w:w="3094" w:type="dxa"/>
            <w:shd w:val="clear" w:color="auto" w:fill="auto"/>
            <w:noWrap/>
            <w:vAlign w:val="center"/>
          </w:tcPr>
          <w:p w14:paraId="3067381E" w14:textId="6A821016" w:rsidR="00A3213E" w:rsidRPr="00A3213E" w:rsidRDefault="00A3213E" w:rsidP="006A73E0">
            <w:pPr>
              <w:pStyle w:val="Table"/>
              <w:rPr>
                <w:noProof/>
                <w:sz w:val="20"/>
                <w:szCs w:val="22"/>
              </w:rPr>
            </w:pPr>
            <w:r w:rsidRPr="00A3213E">
              <w:rPr>
                <w:noProof/>
                <w:sz w:val="20"/>
                <w:szCs w:val="22"/>
              </w:rPr>
              <w:t>Blood to Trab bone surf</w:t>
            </w:r>
          </w:p>
        </w:tc>
        <w:tc>
          <w:tcPr>
            <w:tcW w:w="988" w:type="dxa"/>
            <w:shd w:val="clear" w:color="auto" w:fill="auto"/>
            <w:noWrap/>
            <w:vAlign w:val="center"/>
          </w:tcPr>
          <w:p w14:paraId="02E09ACA" w14:textId="77777777" w:rsidR="00A3213E" w:rsidRPr="00C47F2F" w:rsidRDefault="00A3213E" w:rsidP="006A73E0">
            <w:pPr>
              <w:pStyle w:val="Table"/>
              <w:rPr>
                <w:noProof/>
                <w:sz w:val="20"/>
                <w:szCs w:val="20"/>
              </w:rPr>
            </w:pPr>
            <w:r w:rsidRPr="00C47F2F">
              <w:rPr>
                <w:noProof/>
                <w:sz w:val="20"/>
                <w:szCs w:val="20"/>
              </w:rPr>
              <w:t>7.76E-01</w:t>
            </w:r>
          </w:p>
        </w:tc>
        <w:tc>
          <w:tcPr>
            <w:tcW w:w="989" w:type="dxa"/>
            <w:shd w:val="clear" w:color="auto" w:fill="auto"/>
            <w:noWrap/>
            <w:vAlign w:val="center"/>
          </w:tcPr>
          <w:p w14:paraId="7D9EDA39" w14:textId="77777777" w:rsidR="00A3213E" w:rsidRPr="00C47F2F" w:rsidRDefault="00A3213E" w:rsidP="006A73E0">
            <w:pPr>
              <w:pStyle w:val="Table"/>
              <w:rPr>
                <w:noProof/>
                <w:sz w:val="20"/>
                <w:szCs w:val="20"/>
              </w:rPr>
            </w:pPr>
            <w:r w:rsidRPr="00C47F2F">
              <w:rPr>
                <w:noProof/>
                <w:sz w:val="20"/>
                <w:szCs w:val="20"/>
              </w:rPr>
              <w:t>7.76E-01</w:t>
            </w:r>
          </w:p>
        </w:tc>
        <w:tc>
          <w:tcPr>
            <w:tcW w:w="989" w:type="dxa"/>
            <w:shd w:val="clear" w:color="auto" w:fill="auto"/>
            <w:noWrap/>
            <w:vAlign w:val="center"/>
          </w:tcPr>
          <w:p w14:paraId="5226A84E" w14:textId="77777777" w:rsidR="00A3213E" w:rsidRPr="00C47F2F" w:rsidRDefault="00A3213E" w:rsidP="006A73E0">
            <w:pPr>
              <w:pStyle w:val="Table"/>
              <w:rPr>
                <w:noProof/>
                <w:sz w:val="20"/>
                <w:szCs w:val="20"/>
              </w:rPr>
            </w:pPr>
            <w:r w:rsidRPr="00C47F2F">
              <w:rPr>
                <w:noProof/>
                <w:sz w:val="20"/>
                <w:szCs w:val="20"/>
              </w:rPr>
              <w:t>7.76E-01</w:t>
            </w:r>
          </w:p>
        </w:tc>
        <w:tc>
          <w:tcPr>
            <w:tcW w:w="989" w:type="dxa"/>
            <w:shd w:val="clear" w:color="auto" w:fill="auto"/>
            <w:noWrap/>
            <w:vAlign w:val="center"/>
          </w:tcPr>
          <w:p w14:paraId="3013A2CF" w14:textId="77777777" w:rsidR="00A3213E" w:rsidRPr="00C47F2F" w:rsidRDefault="00A3213E" w:rsidP="006A73E0">
            <w:pPr>
              <w:pStyle w:val="Table"/>
              <w:rPr>
                <w:noProof/>
                <w:sz w:val="20"/>
                <w:szCs w:val="20"/>
              </w:rPr>
            </w:pPr>
            <w:r w:rsidRPr="00C47F2F">
              <w:rPr>
                <w:noProof/>
                <w:sz w:val="20"/>
                <w:szCs w:val="20"/>
              </w:rPr>
              <w:t>7.76E-01</w:t>
            </w:r>
          </w:p>
        </w:tc>
        <w:tc>
          <w:tcPr>
            <w:tcW w:w="989" w:type="dxa"/>
            <w:shd w:val="clear" w:color="auto" w:fill="auto"/>
            <w:noWrap/>
            <w:vAlign w:val="center"/>
          </w:tcPr>
          <w:p w14:paraId="7C59BD4E" w14:textId="77777777" w:rsidR="00A3213E" w:rsidRPr="00C47F2F" w:rsidRDefault="00A3213E" w:rsidP="006A73E0">
            <w:pPr>
              <w:pStyle w:val="Table"/>
              <w:rPr>
                <w:noProof/>
                <w:sz w:val="20"/>
                <w:szCs w:val="20"/>
              </w:rPr>
            </w:pPr>
            <w:r w:rsidRPr="00C47F2F">
              <w:rPr>
                <w:noProof/>
                <w:sz w:val="20"/>
                <w:szCs w:val="20"/>
              </w:rPr>
              <w:t>7.76E-01</w:t>
            </w:r>
          </w:p>
        </w:tc>
        <w:tc>
          <w:tcPr>
            <w:tcW w:w="989" w:type="dxa"/>
            <w:shd w:val="clear" w:color="auto" w:fill="auto"/>
            <w:noWrap/>
            <w:vAlign w:val="center"/>
          </w:tcPr>
          <w:p w14:paraId="19C05EF0" w14:textId="77777777" w:rsidR="00A3213E" w:rsidRPr="00C47F2F" w:rsidRDefault="00A3213E" w:rsidP="006A73E0">
            <w:pPr>
              <w:pStyle w:val="Table"/>
              <w:rPr>
                <w:noProof/>
                <w:sz w:val="20"/>
                <w:szCs w:val="20"/>
              </w:rPr>
            </w:pPr>
            <w:r w:rsidRPr="00C47F2F">
              <w:rPr>
                <w:noProof/>
                <w:sz w:val="20"/>
                <w:szCs w:val="20"/>
              </w:rPr>
              <w:t>6.79E-01</w:t>
            </w:r>
          </w:p>
        </w:tc>
      </w:tr>
      <w:tr w:rsidR="00A3213E" w:rsidRPr="00972C81" w14:paraId="5ED06516" w14:textId="77777777" w:rsidTr="006A73E0">
        <w:trPr>
          <w:trHeight w:val="340"/>
        </w:trPr>
        <w:tc>
          <w:tcPr>
            <w:tcW w:w="3094" w:type="dxa"/>
            <w:shd w:val="clear" w:color="auto" w:fill="auto"/>
            <w:noWrap/>
            <w:vAlign w:val="center"/>
          </w:tcPr>
          <w:p w14:paraId="13BC643A" w14:textId="6CC42F0C" w:rsidR="00A3213E" w:rsidRPr="00A3213E" w:rsidRDefault="00A3213E" w:rsidP="006A73E0">
            <w:pPr>
              <w:pStyle w:val="Table"/>
              <w:rPr>
                <w:noProof/>
                <w:sz w:val="20"/>
                <w:szCs w:val="22"/>
              </w:rPr>
            </w:pPr>
            <w:r w:rsidRPr="00A3213E">
              <w:rPr>
                <w:noProof/>
                <w:sz w:val="20"/>
                <w:szCs w:val="22"/>
              </w:rPr>
              <w:t>Blood to Urinary bladder cont</w:t>
            </w:r>
          </w:p>
        </w:tc>
        <w:tc>
          <w:tcPr>
            <w:tcW w:w="988" w:type="dxa"/>
            <w:shd w:val="clear" w:color="auto" w:fill="auto"/>
            <w:noWrap/>
            <w:vAlign w:val="center"/>
          </w:tcPr>
          <w:p w14:paraId="3D5DC3C9" w14:textId="77777777" w:rsidR="00A3213E" w:rsidRPr="00C47F2F" w:rsidRDefault="00A3213E" w:rsidP="006A73E0">
            <w:pPr>
              <w:pStyle w:val="Table"/>
              <w:rPr>
                <w:noProof/>
                <w:sz w:val="20"/>
                <w:szCs w:val="20"/>
              </w:rPr>
            </w:pPr>
            <w:r w:rsidRPr="00C47F2F">
              <w:rPr>
                <w:noProof/>
                <w:sz w:val="20"/>
                <w:szCs w:val="20"/>
              </w:rPr>
              <w:t>7.11E-02</w:t>
            </w:r>
          </w:p>
        </w:tc>
        <w:tc>
          <w:tcPr>
            <w:tcW w:w="989" w:type="dxa"/>
            <w:shd w:val="clear" w:color="auto" w:fill="auto"/>
            <w:noWrap/>
            <w:vAlign w:val="center"/>
          </w:tcPr>
          <w:p w14:paraId="512CD122" w14:textId="77777777" w:rsidR="00A3213E" w:rsidRPr="00C47F2F" w:rsidRDefault="00A3213E" w:rsidP="006A73E0">
            <w:pPr>
              <w:pStyle w:val="Table"/>
              <w:rPr>
                <w:noProof/>
                <w:sz w:val="20"/>
                <w:szCs w:val="20"/>
              </w:rPr>
            </w:pPr>
            <w:r w:rsidRPr="00C47F2F">
              <w:rPr>
                <w:noProof/>
                <w:sz w:val="20"/>
                <w:szCs w:val="20"/>
              </w:rPr>
              <w:t>7.11E-02</w:t>
            </w:r>
          </w:p>
        </w:tc>
        <w:tc>
          <w:tcPr>
            <w:tcW w:w="989" w:type="dxa"/>
            <w:shd w:val="clear" w:color="auto" w:fill="auto"/>
            <w:noWrap/>
            <w:vAlign w:val="center"/>
          </w:tcPr>
          <w:p w14:paraId="3F5FDA65" w14:textId="77777777" w:rsidR="00A3213E" w:rsidRPr="00C47F2F" w:rsidRDefault="00A3213E" w:rsidP="006A73E0">
            <w:pPr>
              <w:pStyle w:val="Table"/>
              <w:rPr>
                <w:noProof/>
                <w:sz w:val="20"/>
                <w:szCs w:val="20"/>
              </w:rPr>
            </w:pPr>
            <w:r w:rsidRPr="00C47F2F">
              <w:rPr>
                <w:noProof/>
                <w:sz w:val="20"/>
                <w:szCs w:val="20"/>
              </w:rPr>
              <w:t>7.11E-02</w:t>
            </w:r>
          </w:p>
        </w:tc>
        <w:tc>
          <w:tcPr>
            <w:tcW w:w="989" w:type="dxa"/>
            <w:shd w:val="clear" w:color="auto" w:fill="auto"/>
            <w:noWrap/>
            <w:vAlign w:val="center"/>
          </w:tcPr>
          <w:p w14:paraId="5B4A34C0" w14:textId="77777777" w:rsidR="00A3213E" w:rsidRPr="00C47F2F" w:rsidRDefault="00A3213E" w:rsidP="006A73E0">
            <w:pPr>
              <w:pStyle w:val="Table"/>
              <w:rPr>
                <w:noProof/>
                <w:sz w:val="20"/>
                <w:szCs w:val="20"/>
              </w:rPr>
            </w:pPr>
            <w:r w:rsidRPr="00C47F2F">
              <w:rPr>
                <w:noProof/>
                <w:sz w:val="20"/>
                <w:szCs w:val="20"/>
              </w:rPr>
              <w:t>7.11E-02</w:t>
            </w:r>
          </w:p>
        </w:tc>
        <w:tc>
          <w:tcPr>
            <w:tcW w:w="989" w:type="dxa"/>
            <w:shd w:val="clear" w:color="auto" w:fill="auto"/>
            <w:noWrap/>
            <w:vAlign w:val="center"/>
          </w:tcPr>
          <w:p w14:paraId="48D67E58" w14:textId="77777777" w:rsidR="00A3213E" w:rsidRPr="00C47F2F" w:rsidRDefault="00A3213E" w:rsidP="006A73E0">
            <w:pPr>
              <w:pStyle w:val="Table"/>
              <w:rPr>
                <w:noProof/>
                <w:sz w:val="20"/>
                <w:szCs w:val="20"/>
              </w:rPr>
            </w:pPr>
            <w:r w:rsidRPr="00C47F2F">
              <w:rPr>
                <w:noProof/>
                <w:sz w:val="20"/>
                <w:szCs w:val="20"/>
              </w:rPr>
              <w:t>7.11E-02</w:t>
            </w:r>
          </w:p>
        </w:tc>
        <w:tc>
          <w:tcPr>
            <w:tcW w:w="989" w:type="dxa"/>
            <w:shd w:val="clear" w:color="auto" w:fill="auto"/>
            <w:noWrap/>
            <w:vAlign w:val="center"/>
          </w:tcPr>
          <w:p w14:paraId="67B9D294" w14:textId="77777777" w:rsidR="00A3213E" w:rsidRPr="00C47F2F" w:rsidRDefault="00A3213E" w:rsidP="006A73E0">
            <w:pPr>
              <w:pStyle w:val="Table"/>
              <w:rPr>
                <w:noProof/>
                <w:sz w:val="20"/>
                <w:szCs w:val="20"/>
              </w:rPr>
            </w:pPr>
            <w:r w:rsidRPr="00C47F2F">
              <w:rPr>
                <w:noProof/>
                <w:sz w:val="20"/>
                <w:szCs w:val="20"/>
              </w:rPr>
              <w:t>1.07E-01</w:t>
            </w:r>
          </w:p>
        </w:tc>
      </w:tr>
      <w:tr w:rsidR="00A3213E" w:rsidRPr="00972C81" w14:paraId="052C5C9F" w14:textId="77777777" w:rsidTr="006A73E0">
        <w:trPr>
          <w:trHeight w:val="340"/>
        </w:trPr>
        <w:tc>
          <w:tcPr>
            <w:tcW w:w="3094" w:type="dxa"/>
            <w:shd w:val="clear" w:color="auto" w:fill="auto"/>
            <w:noWrap/>
            <w:vAlign w:val="center"/>
          </w:tcPr>
          <w:p w14:paraId="7BC2D75A" w14:textId="6CCEC85B" w:rsidR="00A3213E" w:rsidRPr="00A3213E" w:rsidRDefault="00A3213E" w:rsidP="006A73E0">
            <w:pPr>
              <w:pStyle w:val="Table"/>
              <w:rPr>
                <w:noProof/>
                <w:sz w:val="20"/>
                <w:szCs w:val="22"/>
              </w:rPr>
            </w:pPr>
            <w:r w:rsidRPr="00A3213E">
              <w:rPr>
                <w:noProof/>
                <w:sz w:val="20"/>
                <w:szCs w:val="22"/>
              </w:rPr>
              <w:t>Blood to Kidneys 1</w:t>
            </w:r>
          </w:p>
        </w:tc>
        <w:tc>
          <w:tcPr>
            <w:tcW w:w="988" w:type="dxa"/>
            <w:shd w:val="clear" w:color="auto" w:fill="auto"/>
            <w:noWrap/>
            <w:vAlign w:val="center"/>
          </w:tcPr>
          <w:p w14:paraId="7CCC9A24" w14:textId="77777777" w:rsidR="00A3213E" w:rsidRPr="00C47F2F" w:rsidRDefault="00A3213E" w:rsidP="006A73E0">
            <w:pPr>
              <w:pStyle w:val="Table"/>
              <w:rPr>
                <w:noProof/>
                <w:sz w:val="20"/>
                <w:szCs w:val="20"/>
              </w:rPr>
            </w:pPr>
            <w:r w:rsidRPr="00C47F2F">
              <w:rPr>
                <w:noProof/>
                <w:sz w:val="20"/>
                <w:szCs w:val="20"/>
              </w:rPr>
              <w:t>4.53E-02</w:t>
            </w:r>
          </w:p>
        </w:tc>
        <w:tc>
          <w:tcPr>
            <w:tcW w:w="989" w:type="dxa"/>
            <w:shd w:val="clear" w:color="auto" w:fill="auto"/>
            <w:noWrap/>
            <w:vAlign w:val="center"/>
          </w:tcPr>
          <w:p w14:paraId="5042606C" w14:textId="77777777" w:rsidR="00A3213E" w:rsidRPr="00C47F2F" w:rsidRDefault="00A3213E" w:rsidP="006A73E0">
            <w:pPr>
              <w:pStyle w:val="Table"/>
              <w:rPr>
                <w:noProof/>
                <w:sz w:val="20"/>
                <w:szCs w:val="20"/>
              </w:rPr>
            </w:pPr>
            <w:r w:rsidRPr="00C47F2F">
              <w:rPr>
                <w:noProof/>
                <w:sz w:val="20"/>
                <w:szCs w:val="20"/>
              </w:rPr>
              <w:t>4.53E-02</w:t>
            </w:r>
          </w:p>
        </w:tc>
        <w:tc>
          <w:tcPr>
            <w:tcW w:w="989" w:type="dxa"/>
            <w:shd w:val="clear" w:color="auto" w:fill="auto"/>
            <w:noWrap/>
            <w:vAlign w:val="center"/>
          </w:tcPr>
          <w:p w14:paraId="1D79E721" w14:textId="77777777" w:rsidR="00A3213E" w:rsidRPr="00C47F2F" w:rsidRDefault="00A3213E" w:rsidP="006A73E0">
            <w:pPr>
              <w:pStyle w:val="Table"/>
              <w:rPr>
                <w:noProof/>
                <w:sz w:val="20"/>
                <w:szCs w:val="20"/>
              </w:rPr>
            </w:pPr>
            <w:r w:rsidRPr="00C47F2F">
              <w:rPr>
                <w:noProof/>
                <w:sz w:val="20"/>
                <w:szCs w:val="20"/>
              </w:rPr>
              <w:t>4.53E-02</w:t>
            </w:r>
          </w:p>
        </w:tc>
        <w:tc>
          <w:tcPr>
            <w:tcW w:w="989" w:type="dxa"/>
            <w:shd w:val="clear" w:color="auto" w:fill="auto"/>
            <w:noWrap/>
            <w:vAlign w:val="center"/>
          </w:tcPr>
          <w:p w14:paraId="68A492EF" w14:textId="77777777" w:rsidR="00A3213E" w:rsidRPr="00C47F2F" w:rsidRDefault="00A3213E" w:rsidP="006A73E0">
            <w:pPr>
              <w:pStyle w:val="Table"/>
              <w:rPr>
                <w:noProof/>
                <w:sz w:val="20"/>
                <w:szCs w:val="20"/>
              </w:rPr>
            </w:pPr>
            <w:r w:rsidRPr="00C47F2F">
              <w:rPr>
                <w:noProof/>
                <w:sz w:val="20"/>
                <w:szCs w:val="20"/>
              </w:rPr>
              <w:t>4.53E-02</w:t>
            </w:r>
          </w:p>
        </w:tc>
        <w:tc>
          <w:tcPr>
            <w:tcW w:w="989" w:type="dxa"/>
            <w:shd w:val="clear" w:color="auto" w:fill="auto"/>
            <w:noWrap/>
            <w:vAlign w:val="center"/>
          </w:tcPr>
          <w:p w14:paraId="0CA5D2A3" w14:textId="77777777" w:rsidR="00A3213E" w:rsidRPr="00C47F2F" w:rsidRDefault="00A3213E" w:rsidP="006A73E0">
            <w:pPr>
              <w:pStyle w:val="Table"/>
              <w:rPr>
                <w:noProof/>
                <w:sz w:val="20"/>
                <w:szCs w:val="20"/>
              </w:rPr>
            </w:pPr>
            <w:r w:rsidRPr="00C47F2F">
              <w:rPr>
                <w:noProof/>
                <w:sz w:val="20"/>
                <w:szCs w:val="20"/>
              </w:rPr>
              <w:t>4.53E-02</w:t>
            </w:r>
          </w:p>
        </w:tc>
        <w:tc>
          <w:tcPr>
            <w:tcW w:w="989" w:type="dxa"/>
            <w:shd w:val="clear" w:color="auto" w:fill="auto"/>
            <w:noWrap/>
            <w:vAlign w:val="center"/>
          </w:tcPr>
          <w:p w14:paraId="508E7BB3" w14:textId="77777777" w:rsidR="00A3213E" w:rsidRPr="00C47F2F" w:rsidRDefault="00A3213E" w:rsidP="006A73E0">
            <w:pPr>
              <w:pStyle w:val="Table"/>
              <w:rPr>
                <w:noProof/>
                <w:sz w:val="20"/>
                <w:szCs w:val="20"/>
              </w:rPr>
            </w:pPr>
            <w:r w:rsidRPr="00C47F2F">
              <w:rPr>
                <w:noProof/>
                <w:sz w:val="20"/>
                <w:szCs w:val="20"/>
              </w:rPr>
              <w:t>6.79E-02</w:t>
            </w:r>
          </w:p>
        </w:tc>
      </w:tr>
      <w:tr w:rsidR="00A3213E" w:rsidRPr="00972C81" w14:paraId="6242D505" w14:textId="77777777" w:rsidTr="006A73E0">
        <w:trPr>
          <w:trHeight w:val="340"/>
        </w:trPr>
        <w:tc>
          <w:tcPr>
            <w:tcW w:w="3094" w:type="dxa"/>
            <w:shd w:val="clear" w:color="auto" w:fill="auto"/>
            <w:noWrap/>
            <w:vAlign w:val="center"/>
          </w:tcPr>
          <w:p w14:paraId="11E9E408" w14:textId="332DB23C" w:rsidR="00A3213E" w:rsidRPr="00A3213E" w:rsidRDefault="00A3213E" w:rsidP="006A73E0">
            <w:pPr>
              <w:pStyle w:val="Table"/>
              <w:rPr>
                <w:noProof/>
                <w:sz w:val="20"/>
                <w:szCs w:val="22"/>
              </w:rPr>
            </w:pPr>
            <w:r w:rsidRPr="00A3213E">
              <w:rPr>
                <w:noProof/>
                <w:sz w:val="20"/>
                <w:szCs w:val="22"/>
              </w:rPr>
              <w:t>Blood to Kidneys 2</w:t>
            </w:r>
          </w:p>
        </w:tc>
        <w:tc>
          <w:tcPr>
            <w:tcW w:w="988" w:type="dxa"/>
            <w:shd w:val="clear" w:color="auto" w:fill="auto"/>
            <w:noWrap/>
            <w:vAlign w:val="center"/>
          </w:tcPr>
          <w:p w14:paraId="54DDB716" w14:textId="77777777" w:rsidR="00A3213E" w:rsidRPr="00C47F2F" w:rsidRDefault="00A3213E" w:rsidP="006A73E0">
            <w:pPr>
              <w:pStyle w:val="Table"/>
              <w:rPr>
                <w:noProof/>
                <w:sz w:val="20"/>
                <w:szCs w:val="20"/>
              </w:rPr>
            </w:pPr>
            <w:r w:rsidRPr="00C47F2F">
              <w:rPr>
                <w:noProof/>
                <w:sz w:val="20"/>
                <w:szCs w:val="20"/>
              </w:rPr>
              <w:t>1.29E-02</w:t>
            </w:r>
          </w:p>
        </w:tc>
        <w:tc>
          <w:tcPr>
            <w:tcW w:w="989" w:type="dxa"/>
            <w:shd w:val="clear" w:color="auto" w:fill="auto"/>
            <w:noWrap/>
            <w:vAlign w:val="center"/>
          </w:tcPr>
          <w:p w14:paraId="58C598F6" w14:textId="77777777" w:rsidR="00A3213E" w:rsidRPr="00C47F2F" w:rsidRDefault="00A3213E" w:rsidP="006A73E0">
            <w:pPr>
              <w:pStyle w:val="Table"/>
              <w:rPr>
                <w:noProof/>
                <w:sz w:val="20"/>
                <w:szCs w:val="20"/>
              </w:rPr>
            </w:pPr>
            <w:r w:rsidRPr="00C47F2F">
              <w:rPr>
                <w:noProof/>
                <w:sz w:val="20"/>
                <w:szCs w:val="20"/>
              </w:rPr>
              <w:t>1.29E-02</w:t>
            </w:r>
          </w:p>
        </w:tc>
        <w:tc>
          <w:tcPr>
            <w:tcW w:w="989" w:type="dxa"/>
            <w:shd w:val="clear" w:color="auto" w:fill="auto"/>
            <w:noWrap/>
            <w:vAlign w:val="center"/>
          </w:tcPr>
          <w:p w14:paraId="2F8A0AA2" w14:textId="77777777" w:rsidR="00A3213E" w:rsidRPr="00C47F2F" w:rsidRDefault="00A3213E" w:rsidP="006A73E0">
            <w:pPr>
              <w:pStyle w:val="Table"/>
              <w:rPr>
                <w:noProof/>
                <w:sz w:val="20"/>
                <w:szCs w:val="20"/>
              </w:rPr>
            </w:pPr>
            <w:r w:rsidRPr="00C47F2F">
              <w:rPr>
                <w:noProof/>
                <w:sz w:val="20"/>
                <w:szCs w:val="20"/>
              </w:rPr>
              <w:t>1.29E-02</w:t>
            </w:r>
          </w:p>
        </w:tc>
        <w:tc>
          <w:tcPr>
            <w:tcW w:w="989" w:type="dxa"/>
            <w:shd w:val="clear" w:color="auto" w:fill="auto"/>
            <w:noWrap/>
            <w:vAlign w:val="center"/>
          </w:tcPr>
          <w:p w14:paraId="5DC6A697" w14:textId="77777777" w:rsidR="00A3213E" w:rsidRPr="00C47F2F" w:rsidRDefault="00A3213E" w:rsidP="006A73E0">
            <w:pPr>
              <w:pStyle w:val="Table"/>
              <w:rPr>
                <w:noProof/>
                <w:sz w:val="20"/>
                <w:szCs w:val="20"/>
              </w:rPr>
            </w:pPr>
            <w:r w:rsidRPr="00C47F2F">
              <w:rPr>
                <w:noProof/>
                <w:sz w:val="20"/>
                <w:szCs w:val="20"/>
              </w:rPr>
              <w:t>1.29E-02</w:t>
            </w:r>
          </w:p>
        </w:tc>
        <w:tc>
          <w:tcPr>
            <w:tcW w:w="989" w:type="dxa"/>
            <w:shd w:val="clear" w:color="auto" w:fill="auto"/>
            <w:noWrap/>
            <w:vAlign w:val="center"/>
          </w:tcPr>
          <w:p w14:paraId="28F1E279" w14:textId="77777777" w:rsidR="00A3213E" w:rsidRPr="00C47F2F" w:rsidRDefault="00A3213E" w:rsidP="006A73E0">
            <w:pPr>
              <w:pStyle w:val="Table"/>
              <w:rPr>
                <w:noProof/>
                <w:sz w:val="20"/>
                <w:szCs w:val="20"/>
              </w:rPr>
            </w:pPr>
            <w:r w:rsidRPr="00C47F2F">
              <w:rPr>
                <w:noProof/>
                <w:sz w:val="20"/>
                <w:szCs w:val="20"/>
              </w:rPr>
              <w:t>1.29E-02</w:t>
            </w:r>
          </w:p>
        </w:tc>
        <w:tc>
          <w:tcPr>
            <w:tcW w:w="989" w:type="dxa"/>
            <w:shd w:val="clear" w:color="auto" w:fill="auto"/>
            <w:noWrap/>
            <w:vAlign w:val="center"/>
          </w:tcPr>
          <w:p w14:paraId="6289F9D9" w14:textId="77777777" w:rsidR="00A3213E" w:rsidRPr="00C47F2F" w:rsidRDefault="00A3213E" w:rsidP="006A73E0">
            <w:pPr>
              <w:pStyle w:val="Table"/>
              <w:rPr>
                <w:noProof/>
                <w:sz w:val="20"/>
                <w:szCs w:val="20"/>
              </w:rPr>
            </w:pPr>
            <w:r w:rsidRPr="00C47F2F">
              <w:rPr>
                <w:noProof/>
                <w:sz w:val="20"/>
                <w:szCs w:val="20"/>
              </w:rPr>
              <w:t>1.94E-02</w:t>
            </w:r>
          </w:p>
        </w:tc>
      </w:tr>
      <w:tr w:rsidR="00A3213E" w:rsidRPr="00972C81" w14:paraId="3DFF2BF5" w14:textId="77777777" w:rsidTr="006A73E0">
        <w:trPr>
          <w:trHeight w:val="340"/>
        </w:trPr>
        <w:tc>
          <w:tcPr>
            <w:tcW w:w="3094" w:type="dxa"/>
            <w:shd w:val="clear" w:color="auto" w:fill="auto"/>
            <w:noWrap/>
            <w:vAlign w:val="center"/>
          </w:tcPr>
          <w:p w14:paraId="38F2FCD4" w14:textId="68774553" w:rsidR="00A3213E" w:rsidRPr="00A3213E" w:rsidRDefault="00A3213E" w:rsidP="006A73E0">
            <w:pPr>
              <w:pStyle w:val="Table"/>
              <w:rPr>
                <w:noProof/>
                <w:sz w:val="20"/>
                <w:szCs w:val="22"/>
              </w:rPr>
            </w:pPr>
            <w:r w:rsidRPr="00A3213E">
              <w:rPr>
                <w:noProof/>
                <w:sz w:val="20"/>
                <w:szCs w:val="22"/>
              </w:rPr>
              <w:t>Blood to Right colon cont</w:t>
            </w:r>
          </w:p>
        </w:tc>
        <w:tc>
          <w:tcPr>
            <w:tcW w:w="988" w:type="dxa"/>
            <w:shd w:val="clear" w:color="auto" w:fill="auto"/>
            <w:noWrap/>
            <w:vAlign w:val="center"/>
          </w:tcPr>
          <w:p w14:paraId="5CDA2CF4" w14:textId="77777777" w:rsidR="00A3213E" w:rsidRPr="00C47F2F" w:rsidRDefault="00A3213E" w:rsidP="006A73E0">
            <w:pPr>
              <w:pStyle w:val="Table"/>
              <w:rPr>
                <w:noProof/>
                <w:sz w:val="20"/>
                <w:szCs w:val="20"/>
              </w:rPr>
            </w:pPr>
            <w:r w:rsidRPr="00C47F2F">
              <w:rPr>
                <w:noProof/>
                <w:sz w:val="20"/>
                <w:szCs w:val="20"/>
              </w:rPr>
              <w:t>6.47E-03</w:t>
            </w:r>
          </w:p>
        </w:tc>
        <w:tc>
          <w:tcPr>
            <w:tcW w:w="989" w:type="dxa"/>
            <w:shd w:val="clear" w:color="auto" w:fill="auto"/>
            <w:noWrap/>
            <w:vAlign w:val="center"/>
          </w:tcPr>
          <w:p w14:paraId="38FB619C" w14:textId="77777777" w:rsidR="00A3213E" w:rsidRPr="00C47F2F" w:rsidRDefault="00A3213E" w:rsidP="006A73E0">
            <w:pPr>
              <w:pStyle w:val="Table"/>
              <w:rPr>
                <w:noProof/>
                <w:sz w:val="20"/>
                <w:szCs w:val="20"/>
              </w:rPr>
            </w:pPr>
            <w:r w:rsidRPr="00C47F2F">
              <w:rPr>
                <w:noProof/>
                <w:sz w:val="20"/>
                <w:szCs w:val="20"/>
              </w:rPr>
              <w:t>6.47E-03</w:t>
            </w:r>
          </w:p>
        </w:tc>
        <w:tc>
          <w:tcPr>
            <w:tcW w:w="989" w:type="dxa"/>
            <w:shd w:val="clear" w:color="auto" w:fill="auto"/>
            <w:noWrap/>
            <w:vAlign w:val="center"/>
          </w:tcPr>
          <w:p w14:paraId="1EDC76C4" w14:textId="77777777" w:rsidR="00A3213E" w:rsidRPr="00C47F2F" w:rsidRDefault="00A3213E" w:rsidP="006A73E0">
            <w:pPr>
              <w:pStyle w:val="Table"/>
              <w:rPr>
                <w:noProof/>
                <w:sz w:val="20"/>
                <w:szCs w:val="20"/>
              </w:rPr>
            </w:pPr>
            <w:r w:rsidRPr="00C47F2F">
              <w:rPr>
                <w:noProof/>
                <w:sz w:val="20"/>
                <w:szCs w:val="20"/>
              </w:rPr>
              <w:t>6.47E-03</w:t>
            </w:r>
          </w:p>
        </w:tc>
        <w:tc>
          <w:tcPr>
            <w:tcW w:w="989" w:type="dxa"/>
            <w:shd w:val="clear" w:color="auto" w:fill="auto"/>
            <w:noWrap/>
            <w:vAlign w:val="center"/>
          </w:tcPr>
          <w:p w14:paraId="0AC4EF8F" w14:textId="77777777" w:rsidR="00A3213E" w:rsidRPr="00C47F2F" w:rsidRDefault="00A3213E" w:rsidP="006A73E0">
            <w:pPr>
              <w:pStyle w:val="Table"/>
              <w:rPr>
                <w:noProof/>
                <w:sz w:val="20"/>
                <w:szCs w:val="20"/>
              </w:rPr>
            </w:pPr>
            <w:r w:rsidRPr="00C47F2F">
              <w:rPr>
                <w:noProof/>
                <w:sz w:val="20"/>
                <w:szCs w:val="20"/>
              </w:rPr>
              <w:t>6.47E-03</w:t>
            </w:r>
          </w:p>
        </w:tc>
        <w:tc>
          <w:tcPr>
            <w:tcW w:w="989" w:type="dxa"/>
            <w:shd w:val="clear" w:color="auto" w:fill="auto"/>
            <w:noWrap/>
            <w:vAlign w:val="center"/>
          </w:tcPr>
          <w:p w14:paraId="4026F6D3" w14:textId="77777777" w:rsidR="00A3213E" w:rsidRPr="00C47F2F" w:rsidRDefault="00A3213E" w:rsidP="006A73E0">
            <w:pPr>
              <w:pStyle w:val="Table"/>
              <w:rPr>
                <w:noProof/>
                <w:sz w:val="20"/>
                <w:szCs w:val="20"/>
              </w:rPr>
            </w:pPr>
            <w:r w:rsidRPr="00C47F2F">
              <w:rPr>
                <w:noProof/>
                <w:sz w:val="20"/>
                <w:szCs w:val="20"/>
              </w:rPr>
              <w:t>6.47E-03</w:t>
            </w:r>
          </w:p>
        </w:tc>
        <w:tc>
          <w:tcPr>
            <w:tcW w:w="989" w:type="dxa"/>
            <w:shd w:val="clear" w:color="auto" w:fill="auto"/>
            <w:noWrap/>
            <w:vAlign w:val="center"/>
          </w:tcPr>
          <w:p w14:paraId="31D7C722" w14:textId="77777777" w:rsidR="00A3213E" w:rsidRPr="00C47F2F" w:rsidRDefault="00A3213E" w:rsidP="006A73E0">
            <w:pPr>
              <w:pStyle w:val="Table"/>
              <w:rPr>
                <w:noProof/>
                <w:sz w:val="20"/>
                <w:szCs w:val="20"/>
              </w:rPr>
            </w:pPr>
            <w:r w:rsidRPr="00C47F2F">
              <w:rPr>
                <w:noProof/>
                <w:sz w:val="20"/>
                <w:szCs w:val="20"/>
              </w:rPr>
              <w:t>9.70E-03</w:t>
            </w:r>
          </w:p>
        </w:tc>
      </w:tr>
      <w:tr w:rsidR="00A3213E" w:rsidRPr="00972C81" w14:paraId="1585B191" w14:textId="77777777" w:rsidTr="006A73E0">
        <w:trPr>
          <w:trHeight w:val="340"/>
        </w:trPr>
        <w:tc>
          <w:tcPr>
            <w:tcW w:w="3094" w:type="dxa"/>
            <w:shd w:val="clear" w:color="auto" w:fill="auto"/>
            <w:noWrap/>
            <w:vAlign w:val="center"/>
          </w:tcPr>
          <w:p w14:paraId="01463039" w14:textId="47971CDA" w:rsidR="00A3213E" w:rsidRPr="00A3213E" w:rsidRDefault="00A3213E" w:rsidP="006A73E0">
            <w:pPr>
              <w:pStyle w:val="Table"/>
              <w:rPr>
                <w:noProof/>
                <w:sz w:val="20"/>
                <w:szCs w:val="22"/>
              </w:rPr>
            </w:pPr>
            <w:r w:rsidRPr="00A3213E">
              <w:rPr>
                <w:noProof/>
                <w:sz w:val="20"/>
                <w:szCs w:val="22"/>
              </w:rPr>
              <w:t>Blood to Testes</w:t>
            </w:r>
          </w:p>
        </w:tc>
        <w:tc>
          <w:tcPr>
            <w:tcW w:w="988" w:type="dxa"/>
            <w:shd w:val="clear" w:color="auto" w:fill="auto"/>
            <w:noWrap/>
            <w:vAlign w:val="center"/>
          </w:tcPr>
          <w:p w14:paraId="7CB4A27E" w14:textId="77777777" w:rsidR="00A3213E" w:rsidRPr="00C47F2F" w:rsidRDefault="00A3213E" w:rsidP="006A73E0">
            <w:pPr>
              <w:pStyle w:val="Table"/>
              <w:rPr>
                <w:noProof/>
                <w:sz w:val="20"/>
                <w:szCs w:val="20"/>
              </w:rPr>
            </w:pPr>
            <w:r w:rsidRPr="00C47F2F">
              <w:rPr>
                <w:noProof/>
                <w:sz w:val="20"/>
                <w:szCs w:val="20"/>
              </w:rPr>
              <w:t>3.90E-05</w:t>
            </w:r>
          </w:p>
        </w:tc>
        <w:tc>
          <w:tcPr>
            <w:tcW w:w="989" w:type="dxa"/>
            <w:shd w:val="clear" w:color="auto" w:fill="auto"/>
            <w:noWrap/>
            <w:vAlign w:val="center"/>
          </w:tcPr>
          <w:p w14:paraId="38CAA6EC" w14:textId="77777777" w:rsidR="00A3213E" w:rsidRPr="00C47F2F" w:rsidRDefault="00A3213E" w:rsidP="006A73E0">
            <w:pPr>
              <w:pStyle w:val="Table"/>
              <w:rPr>
                <w:noProof/>
                <w:sz w:val="20"/>
                <w:szCs w:val="20"/>
              </w:rPr>
            </w:pPr>
            <w:r w:rsidRPr="00C47F2F">
              <w:rPr>
                <w:noProof/>
                <w:sz w:val="20"/>
                <w:szCs w:val="20"/>
              </w:rPr>
              <w:t>5.80E-05</w:t>
            </w:r>
          </w:p>
        </w:tc>
        <w:tc>
          <w:tcPr>
            <w:tcW w:w="989" w:type="dxa"/>
            <w:shd w:val="clear" w:color="auto" w:fill="auto"/>
            <w:noWrap/>
            <w:vAlign w:val="center"/>
          </w:tcPr>
          <w:p w14:paraId="5172875F" w14:textId="77777777" w:rsidR="00A3213E" w:rsidRPr="00C47F2F" w:rsidRDefault="00A3213E" w:rsidP="006A73E0">
            <w:pPr>
              <w:pStyle w:val="Table"/>
              <w:rPr>
                <w:noProof/>
                <w:sz w:val="20"/>
                <w:szCs w:val="20"/>
              </w:rPr>
            </w:pPr>
            <w:r w:rsidRPr="00C47F2F">
              <w:rPr>
                <w:noProof/>
                <w:sz w:val="20"/>
                <w:szCs w:val="20"/>
              </w:rPr>
              <w:t>6.60E-05</w:t>
            </w:r>
          </w:p>
        </w:tc>
        <w:tc>
          <w:tcPr>
            <w:tcW w:w="989" w:type="dxa"/>
            <w:shd w:val="clear" w:color="auto" w:fill="auto"/>
            <w:noWrap/>
            <w:vAlign w:val="center"/>
          </w:tcPr>
          <w:p w14:paraId="31C026F9" w14:textId="77777777" w:rsidR="00A3213E" w:rsidRPr="00C47F2F" w:rsidRDefault="00A3213E" w:rsidP="006A73E0">
            <w:pPr>
              <w:pStyle w:val="Table"/>
              <w:rPr>
                <w:noProof/>
                <w:sz w:val="20"/>
                <w:szCs w:val="20"/>
              </w:rPr>
            </w:pPr>
            <w:r w:rsidRPr="00C47F2F">
              <w:rPr>
                <w:noProof/>
                <w:sz w:val="20"/>
                <w:szCs w:val="20"/>
              </w:rPr>
              <w:t>7.70E-05</w:t>
            </w:r>
          </w:p>
        </w:tc>
        <w:tc>
          <w:tcPr>
            <w:tcW w:w="989" w:type="dxa"/>
            <w:shd w:val="clear" w:color="auto" w:fill="auto"/>
            <w:noWrap/>
            <w:vAlign w:val="center"/>
          </w:tcPr>
          <w:p w14:paraId="33A3E1AB" w14:textId="77777777" w:rsidR="00A3213E" w:rsidRPr="00C47F2F" w:rsidRDefault="00A3213E" w:rsidP="006A73E0">
            <w:pPr>
              <w:pStyle w:val="Table"/>
              <w:rPr>
                <w:noProof/>
                <w:sz w:val="20"/>
                <w:szCs w:val="20"/>
              </w:rPr>
            </w:pPr>
            <w:r w:rsidRPr="00C47F2F">
              <w:rPr>
                <w:noProof/>
                <w:sz w:val="20"/>
                <w:szCs w:val="20"/>
              </w:rPr>
              <w:t>6.20E-04</w:t>
            </w:r>
          </w:p>
        </w:tc>
        <w:tc>
          <w:tcPr>
            <w:tcW w:w="989" w:type="dxa"/>
            <w:shd w:val="clear" w:color="auto" w:fill="auto"/>
            <w:noWrap/>
            <w:vAlign w:val="center"/>
          </w:tcPr>
          <w:p w14:paraId="31153457" w14:textId="77777777" w:rsidR="00A3213E" w:rsidRPr="00C47F2F" w:rsidRDefault="00A3213E" w:rsidP="006A73E0">
            <w:pPr>
              <w:pStyle w:val="Table"/>
              <w:rPr>
                <w:noProof/>
                <w:sz w:val="20"/>
                <w:szCs w:val="20"/>
              </w:rPr>
            </w:pPr>
            <w:r w:rsidRPr="00C47F2F">
              <w:rPr>
                <w:noProof/>
                <w:sz w:val="20"/>
                <w:szCs w:val="20"/>
              </w:rPr>
              <w:t>6.80E-04</w:t>
            </w:r>
          </w:p>
        </w:tc>
      </w:tr>
      <w:tr w:rsidR="00A3213E" w:rsidRPr="00972C81" w14:paraId="32242607" w14:textId="77777777" w:rsidTr="006A73E0">
        <w:trPr>
          <w:trHeight w:val="340"/>
        </w:trPr>
        <w:tc>
          <w:tcPr>
            <w:tcW w:w="3094" w:type="dxa"/>
            <w:shd w:val="clear" w:color="auto" w:fill="auto"/>
            <w:noWrap/>
            <w:vAlign w:val="center"/>
          </w:tcPr>
          <w:p w14:paraId="44F9D7D9" w14:textId="66F3E8F0" w:rsidR="00A3213E" w:rsidRPr="00A3213E" w:rsidRDefault="00A3213E" w:rsidP="006A73E0">
            <w:pPr>
              <w:pStyle w:val="Table"/>
              <w:rPr>
                <w:noProof/>
                <w:sz w:val="20"/>
                <w:szCs w:val="22"/>
              </w:rPr>
            </w:pPr>
            <w:r w:rsidRPr="00A3213E">
              <w:rPr>
                <w:noProof/>
                <w:sz w:val="20"/>
                <w:szCs w:val="22"/>
              </w:rPr>
              <w:t>Blood to Ovaries</w:t>
            </w:r>
          </w:p>
        </w:tc>
        <w:tc>
          <w:tcPr>
            <w:tcW w:w="988" w:type="dxa"/>
            <w:shd w:val="clear" w:color="auto" w:fill="auto"/>
            <w:noWrap/>
            <w:vAlign w:val="center"/>
          </w:tcPr>
          <w:p w14:paraId="3FDA874F" w14:textId="77777777" w:rsidR="00A3213E" w:rsidRPr="00C47F2F" w:rsidRDefault="00A3213E" w:rsidP="006A73E0">
            <w:pPr>
              <w:pStyle w:val="Table"/>
              <w:rPr>
                <w:noProof/>
                <w:sz w:val="20"/>
                <w:szCs w:val="20"/>
              </w:rPr>
            </w:pPr>
            <w:r w:rsidRPr="00C47F2F">
              <w:rPr>
                <w:noProof/>
                <w:sz w:val="20"/>
                <w:szCs w:val="20"/>
              </w:rPr>
              <w:t>2.30E-05</w:t>
            </w:r>
          </w:p>
        </w:tc>
        <w:tc>
          <w:tcPr>
            <w:tcW w:w="989" w:type="dxa"/>
            <w:shd w:val="clear" w:color="auto" w:fill="auto"/>
            <w:noWrap/>
            <w:vAlign w:val="center"/>
          </w:tcPr>
          <w:p w14:paraId="3D85B59F" w14:textId="77777777" w:rsidR="00A3213E" w:rsidRPr="00C47F2F" w:rsidRDefault="00A3213E" w:rsidP="006A73E0">
            <w:pPr>
              <w:pStyle w:val="Table"/>
              <w:rPr>
                <w:noProof/>
                <w:sz w:val="20"/>
                <w:szCs w:val="20"/>
              </w:rPr>
            </w:pPr>
            <w:r w:rsidRPr="00C47F2F">
              <w:rPr>
                <w:noProof/>
                <w:sz w:val="20"/>
                <w:szCs w:val="20"/>
              </w:rPr>
              <w:t>3.00E-05</w:t>
            </w:r>
          </w:p>
        </w:tc>
        <w:tc>
          <w:tcPr>
            <w:tcW w:w="989" w:type="dxa"/>
            <w:shd w:val="clear" w:color="auto" w:fill="auto"/>
            <w:noWrap/>
            <w:vAlign w:val="center"/>
          </w:tcPr>
          <w:p w14:paraId="4D955905" w14:textId="77777777" w:rsidR="00A3213E" w:rsidRPr="00C47F2F" w:rsidRDefault="00A3213E" w:rsidP="006A73E0">
            <w:pPr>
              <w:pStyle w:val="Table"/>
              <w:rPr>
                <w:noProof/>
                <w:sz w:val="20"/>
                <w:szCs w:val="20"/>
              </w:rPr>
            </w:pPr>
            <w:r w:rsidRPr="00C47F2F">
              <w:rPr>
                <w:noProof/>
                <w:sz w:val="20"/>
                <w:szCs w:val="20"/>
              </w:rPr>
              <w:t>7.60E-05</w:t>
            </w:r>
          </w:p>
        </w:tc>
        <w:tc>
          <w:tcPr>
            <w:tcW w:w="989" w:type="dxa"/>
            <w:shd w:val="clear" w:color="auto" w:fill="auto"/>
            <w:noWrap/>
            <w:vAlign w:val="center"/>
          </w:tcPr>
          <w:p w14:paraId="758500DC" w14:textId="77777777" w:rsidR="00A3213E" w:rsidRPr="00C47F2F" w:rsidRDefault="00A3213E" w:rsidP="006A73E0">
            <w:pPr>
              <w:pStyle w:val="Table"/>
              <w:rPr>
                <w:noProof/>
                <w:sz w:val="20"/>
                <w:szCs w:val="20"/>
              </w:rPr>
            </w:pPr>
            <w:r w:rsidRPr="00C47F2F">
              <w:rPr>
                <w:noProof/>
                <w:sz w:val="20"/>
                <w:szCs w:val="20"/>
              </w:rPr>
              <w:t>1.30E-04</w:t>
            </w:r>
          </w:p>
        </w:tc>
        <w:tc>
          <w:tcPr>
            <w:tcW w:w="989" w:type="dxa"/>
            <w:shd w:val="clear" w:color="auto" w:fill="auto"/>
            <w:noWrap/>
            <w:vAlign w:val="center"/>
          </w:tcPr>
          <w:p w14:paraId="0A7EF548" w14:textId="77777777" w:rsidR="00A3213E" w:rsidRPr="00C47F2F" w:rsidRDefault="00A3213E" w:rsidP="006A73E0">
            <w:pPr>
              <w:pStyle w:val="Table"/>
              <w:rPr>
                <w:noProof/>
                <w:sz w:val="20"/>
                <w:szCs w:val="20"/>
              </w:rPr>
            </w:pPr>
            <w:r w:rsidRPr="00C47F2F">
              <w:rPr>
                <w:noProof/>
                <w:sz w:val="20"/>
                <w:szCs w:val="20"/>
              </w:rPr>
              <w:t>2.30E-04</w:t>
            </w:r>
          </w:p>
        </w:tc>
        <w:tc>
          <w:tcPr>
            <w:tcW w:w="989" w:type="dxa"/>
            <w:shd w:val="clear" w:color="auto" w:fill="auto"/>
            <w:noWrap/>
            <w:vAlign w:val="center"/>
          </w:tcPr>
          <w:p w14:paraId="43947A49" w14:textId="77777777" w:rsidR="00A3213E" w:rsidRPr="00C47F2F" w:rsidRDefault="00A3213E" w:rsidP="006A73E0">
            <w:pPr>
              <w:pStyle w:val="Table"/>
              <w:rPr>
                <w:noProof/>
                <w:sz w:val="20"/>
                <w:szCs w:val="20"/>
              </w:rPr>
            </w:pPr>
            <w:r w:rsidRPr="00C47F2F">
              <w:rPr>
                <w:noProof/>
                <w:sz w:val="20"/>
                <w:szCs w:val="20"/>
              </w:rPr>
              <w:t>2.10E-04</w:t>
            </w:r>
          </w:p>
        </w:tc>
      </w:tr>
      <w:tr w:rsidR="00A3213E" w:rsidRPr="00972C81" w14:paraId="357A0648" w14:textId="77777777" w:rsidTr="006A73E0">
        <w:trPr>
          <w:trHeight w:val="340"/>
        </w:trPr>
        <w:tc>
          <w:tcPr>
            <w:tcW w:w="3094" w:type="dxa"/>
            <w:shd w:val="clear" w:color="auto" w:fill="auto"/>
            <w:noWrap/>
            <w:vAlign w:val="center"/>
          </w:tcPr>
          <w:p w14:paraId="2FD39669" w14:textId="3DA1104C" w:rsidR="00A3213E" w:rsidRPr="00A3213E" w:rsidRDefault="00A3213E" w:rsidP="006A73E0">
            <w:pPr>
              <w:pStyle w:val="Table"/>
              <w:rPr>
                <w:noProof/>
                <w:sz w:val="20"/>
                <w:szCs w:val="22"/>
              </w:rPr>
            </w:pPr>
            <w:r w:rsidRPr="00A3213E">
              <w:rPr>
                <w:noProof/>
                <w:sz w:val="20"/>
                <w:szCs w:val="22"/>
              </w:rPr>
              <w:t>Blood to  ST0</w:t>
            </w:r>
          </w:p>
        </w:tc>
        <w:tc>
          <w:tcPr>
            <w:tcW w:w="988" w:type="dxa"/>
            <w:shd w:val="clear" w:color="auto" w:fill="auto"/>
            <w:noWrap/>
            <w:vAlign w:val="center"/>
          </w:tcPr>
          <w:p w14:paraId="633E1900" w14:textId="77777777" w:rsidR="00A3213E" w:rsidRPr="00C47F2F" w:rsidRDefault="00A3213E" w:rsidP="006A73E0">
            <w:pPr>
              <w:pStyle w:val="Table"/>
              <w:rPr>
                <w:noProof/>
                <w:sz w:val="20"/>
                <w:szCs w:val="20"/>
              </w:rPr>
            </w:pPr>
            <w:r w:rsidRPr="00C47F2F">
              <w:rPr>
                <w:noProof/>
                <w:sz w:val="20"/>
                <w:szCs w:val="20"/>
              </w:rPr>
              <w:t>8.32E-01</w:t>
            </w:r>
          </w:p>
        </w:tc>
        <w:tc>
          <w:tcPr>
            <w:tcW w:w="989" w:type="dxa"/>
            <w:shd w:val="clear" w:color="auto" w:fill="auto"/>
            <w:noWrap/>
            <w:vAlign w:val="center"/>
          </w:tcPr>
          <w:p w14:paraId="6052138D" w14:textId="77777777" w:rsidR="00A3213E" w:rsidRPr="00C47F2F" w:rsidRDefault="00A3213E" w:rsidP="006A73E0">
            <w:pPr>
              <w:pStyle w:val="Table"/>
              <w:rPr>
                <w:noProof/>
                <w:sz w:val="20"/>
                <w:szCs w:val="20"/>
              </w:rPr>
            </w:pPr>
            <w:r w:rsidRPr="00C47F2F">
              <w:rPr>
                <w:noProof/>
                <w:sz w:val="20"/>
                <w:szCs w:val="20"/>
              </w:rPr>
              <w:t>8.32E-01</w:t>
            </w:r>
          </w:p>
        </w:tc>
        <w:tc>
          <w:tcPr>
            <w:tcW w:w="989" w:type="dxa"/>
            <w:shd w:val="clear" w:color="auto" w:fill="auto"/>
            <w:noWrap/>
            <w:vAlign w:val="center"/>
          </w:tcPr>
          <w:p w14:paraId="47C50068" w14:textId="77777777" w:rsidR="00A3213E" w:rsidRPr="00C47F2F" w:rsidRDefault="00A3213E" w:rsidP="006A73E0">
            <w:pPr>
              <w:pStyle w:val="Table"/>
              <w:rPr>
                <w:noProof/>
                <w:sz w:val="20"/>
                <w:szCs w:val="20"/>
              </w:rPr>
            </w:pPr>
            <w:r w:rsidRPr="00C47F2F">
              <w:rPr>
                <w:noProof/>
                <w:sz w:val="20"/>
                <w:szCs w:val="20"/>
              </w:rPr>
              <w:t>8.32E-01</w:t>
            </w:r>
          </w:p>
        </w:tc>
        <w:tc>
          <w:tcPr>
            <w:tcW w:w="989" w:type="dxa"/>
            <w:shd w:val="clear" w:color="auto" w:fill="auto"/>
            <w:noWrap/>
            <w:vAlign w:val="center"/>
          </w:tcPr>
          <w:p w14:paraId="6BAD7D1B" w14:textId="77777777" w:rsidR="00A3213E" w:rsidRPr="00C47F2F" w:rsidRDefault="00A3213E" w:rsidP="006A73E0">
            <w:pPr>
              <w:pStyle w:val="Table"/>
              <w:rPr>
                <w:noProof/>
                <w:sz w:val="20"/>
                <w:szCs w:val="20"/>
              </w:rPr>
            </w:pPr>
            <w:r w:rsidRPr="00C47F2F">
              <w:rPr>
                <w:noProof/>
                <w:sz w:val="20"/>
                <w:szCs w:val="20"/>
              </w:rPr>
              <w:t>8.32E-01</w:t>
            </w:r>
          </w:p>
        </w:tc>
        <w:tc>
          <w:tcPr>
            <w:tcW w:w="989" w:type="dxa"/>
            <w:shd w:val="clear" w:color="auto" w:fill="auto"/>
            <w:noWrap/>
            <w:vAlign w:val="center"/>
          </w:tcPr>
          <w:p w14:paraId="79A56127" w14:textId="77777777" w:rsidR="00A3213E" w:rsidRPr="00C47F2F" w:rsidRDefault="00A3213E" w:rsidP="006A73E0">
            <w:pPr>
              <w:pStyle w:val="Table"/>
              <w:rPr>
                <w:noProof/>
                <w:sz w:val="20"/>
                <w:szCs w:val="20"/>
              </w:rPr>
            </w:pPr>
            <w:r w:rsidRPr="00C47F2F">
              <w:rPr>
                <w:noProof/>
                <w:sz w:val="20"/>
                <w:szCs w:val="20"/>
              </w:rPr>
              <w:t>8.32E-01</w:t>
            </w:r>
          </w:p>
        </w:tc>
        <w:tc>
          <w:tcPr>
            <w:tcW w:w="989" w:type="dxa"/>
            <w:shd w:val="clear" w:color="auto" w:fill="auto"/>
            <w:noWrap/>
            <w:vAlign w:val="center"/>
          </w:tcPr>
          <w:p w14:paraId="588D0808" w14:textId="77777777" w:rsidR="00A3213E" w:rsidRPr="00C47F2F" w:rsidRDefault="00A3213E" w:rsidP="006A73E0">
            <w:pPr>
              <w:pStyle w:val="Table"/>
              <w:rPr>
                <w:noProof/>
                <w:sz w:val="20"/>
                <w:szCs w:val="20"/>
              </w:rPr>
            </w:pPr>
            <w:r w:rsidRPr="00C47F2F">
              <w:rPr>
                <w:noProof/>
                <w:sz w:val="20"/>
                <w:szCs w:val="20"/>
              </w:rPr>
              <w:t>8.32E-01</w:t>
            </w:r>
          </w:p>
        </w:tc>
      </w:tr>
      <w:tr w:rsidR="00A3213E" w:rsidRPr="00972C81" w14:paraId="7292C51B" w14:textId="77777777" w:rsidTr="006A73E0">
        <w:trPr>
          <w:trHeight w:val="340"/>
        </w:trPr>
        <w:tc>
          <w:tcPr>
            <w:tcW w:w="3094" w:type="dxa"/>
            <w:shd w:val="clear" w:color="auto" w:fill="auto"/>
            <w:noWrap/>
            <w:vAlign w:val="center"/>
          </w:tcPr>
          <w:p w14:paraId="254FB6CC" w14:textId="4828C77C" w:rsidR="00A3213E" w:rsidRPr="00A3213E" w:rsidRDefault="00A3213E" w:rsidP="006A73E0">
            <w:pPr>
              <w:pStyle w:val="Table"/>
              <w:rPr>
                <w:noProof/>
                <w:sz w:val="20"/>
                <w:szCs w:val="22"/>
              </w:rPr>
            </w:pPr>
            <w:r w:rsidRPr="00A3213E">
              <w:rPr>
                <w:noProof/>
                <w:sz w:val="20"/>
                <w:szCs w:val="22"/>
              </w:rPr>
              <w:t>Blood to  ST1</w:t>
            </w:r>
          </w:p>
        </w:tc>
        <w:tc>
          <w:tcPr>
            <w:tcW w:w="988" w:type="dxa"/>
            <w:shd w:val="clear" w:color="auto" w:fill="auto"/>
            <w:noWrap/>
            <w:vAlign w:val="center"/>
          </w:tcPr>
          <w:p w14:paraId="7E248440" w14:textId="77777777" w:rsidR="00A3213E" w:rsidRPr="00C47F2F" w:rsidRDefault="00A3213E" w:rsidP="006A73E0">
            <w:pPr>
              <w:pStyle w:val="Table"/>
              <w:rPr>
                <w:noProof/>
                <w:sz w:val="20"/>
                <w:szCs w:val="20"/>
              </w:rPr>
            </w:pPr>
            <w:r w:rsidRPr="00C47F2F">
              <w:rPr>
                <w:noProof/>
                <w:sz w:val="20"/>
                <w:szCs w:val="20"/>
              </w:rPr>
              <w:t>1.62E-01</w:t>
            </w:r>
          </w:p>
        </w:tc>
        <w:tc>
          <w:tcPr>
            <w:tcW w:w="989" w:type="dxa"/>
            <w:shd w:val="clear" w:color="auto" w:fill="auto"/>
            <w:noWrap/>
            <w:vAlign w:val="center"/>
          </w:tcPr>
          <w:p w14:paraId="59F28AC7" w14:textId="77777777" w:rsidR="00A3213E" w:rsidRPr="00C47F2F" w:rsidRDefault="00A3213E" w:rsidP="006A73E0">
            <w:pPr>
              <w:pStyle w:val="Table"/>
              <w:rPr>
                <w:noProof/>
                <w:sz w:val="20"/>
                <w:szCs w:val="20"/>
              </w:rPr>
            </w:pPr>
            <w:r w:rsidRPr="00C47F2F">
              <w:rPr>
                <w:noProof/>
                <w:sz w:val="20"/>
                <w:szCs w:val="20"/>
              </w:rPr>
              <w:t>1.62E-01</w:t>
            </w:r>
          </w:p>
        </w:tc>
        <w:tc>
          <w:tcPr>
            <w:tcW w:w="989" w:type="dxa"/>
            <w:shd w:val="clear" w:color="auto" w:fill="auto"/>
            <w:noWrap/>
            <w:vAlign w:val="center"/>
          </w:tcPr>
          <w:p w14:paraId="48C2D3FA" w14:textId="77777777" w:rsidR="00A3213E" w:rsidRPr="00C47F2F" w:rsidRDefault="00A3213E" w:rsidP="006A73E0">
            <w:pPr>
              <w:pStyle w:val="Table"/>
              <w:rPr>
                <w:noProof/>
                <w:sz w:val="20"/>
                <w:szCs w:val="20"/>
              </w:rPr>
            </w:pPr>
            <w:r w:rsidRPr="00C47F2F">
              <w:rPr>
                <w:noProof/>
                <w:sz w:val="20"/>
                <w:szCs w:val="20"/>
              </w:rPr>
              <w:t>1.62E-01</w:t>
            </w:r>
          </w:p>
        </w:tc>
        <w:tc>
          <w:tcPr>
            <w:tcW w:w="989" w:type="dxa"/>
            <w:shd w:val="clear" w:color="auto" w:fill="auto"/>
            <w:noWrap/>
            <w:vAlign w:val="center"/>
          </w:tcPr>
          <w:p w14:paraId="754AF5EF" w14:textId="77777777" w:rsidR="00A3213E" w:rsidRPr="00C47F2F" w:rsidRDefault="00A3213E" w:rsidP="006A73E0">
            <w:pPr>
              <w:pStyle w:val="Table"/>
              <w:rPr>
                <w:noProof/>
                <w:sz w:val="20"/>
                <w:szCs w:val="20"/>
              </w:rPr>
            </w:pPr>
            <w:r w:rsidRPr="00C47F2F">
              <w:rPr>
                <w:noProof/>
                <w:sz w:val="20"/>
                <w:szCs w:val="20"/>
              </w:rPr>
              <w:t>1.62E-01</w:t>
            </w:r>
          </w:p>
        </w:tc>
        <w:tc>
          <w:tcPr>
            <w:tcW w:w="989" w:type="dxa"/>
            <w:shd w:val="clear" w:color="auto" w:fill="auto"/>
            <w:noWrap/>
            <w:vAlign w:val="center"/>
          </w:tcPr>
          <w:p w14:paraId="57C9C30A" w14:textId="77777777" w:rsidR="00A3213E" w:rsidRPr="00C47F2F" w:rsidRDefault="00A3213E" w:rsidP="006A73E0">
            <w:pPr>
              <w:pStyle w:val="Table"/>
              <w:rPr>
                <w:noProof/>
                <w:sz w:val="20"/>
                <w:szCs w:val="20"/>
              </w:rPr>
            </w:pPr>
            <w:r w:rsidRPr="00C47F2F">
              <w:rPr>
                <w:noProof/>
                <w:sz w:val="20"/>
                <w:szCs w:val="20"/>
              </w:rPr>
              <w:t>1.62E-01</w:t>
            </w:r>
          </w:p>
        </w:tc>
        <w:tc>
          <w:tcPr>
            <w:tcW w:w="989" w:type="dxa"/>
            <w:shd w:val="clear" w:color="auto" w:fill="auto"/>
            <w:noWrap/>
            <w:vAlign w:val="center"/>
          </w:tcPr>
          <w:p w14:paraId="724C4227" w14:textId="77777777" w:rsidR="00A3213E" w:rsidRPr="00C47F2F" w:rsidRDefault="00A3213E" w:rsidP="006A73E0">
            <w:pPr>
              <w:pStyle w:val="Table"/>
              <w:rPr>
                <w:noProof/>
                <w:sz w:val="20"/>
                <w:szCs w:val="20"/>
              </w:rPr>
            </w:pPr>
            <w:r w:rsidRPr="00C47F2F">
              <w:rPr>
                <w:noProof/>
                <w:sz w:val="20"/>
                <w:szCs w:val="20"/>
              </w:rPr>
              <w:t>2.43E-01</w:t>
            </w:r>
          </w:p>
        </w:tc>
      </w:tr>
      <w:tr w:rsidR="00A3213E" w:rsidRPr="00972C81" w14:paraId="24C2181C" w14:textId="77777777" w:rsidTr="006A73E0">
        <w:trPr>
          <w:trHeight w:val="340"/>
        </w:trPr>
        <w:tc>
          <w:tcPr>
            <w:tcW w:w="3094" w:type="dxa"/>
            <w:shd w:val="clear" w:color="auto" w:fill="auto"/>
            <w:noWrap/>
            <w:vAlign w:val="center"/>
          </w:tcPr>
          <w:p w14:paraId="03A08F14" w14:textId="5AFCD539" w:rsidR="00A3213E" w:rsidRPr="00A3213E" w:rsidRDefault="00A3213E" w:rsidP="006A73E0">
            <w:pPr>
              <w:pStyle w:val="Table"/>
              <w:rPr>
                <w:noProof/>
                <w:sz w:val="20"/>
                <w:szCs w:val="22"/>
              </w:rPr>
            </w:pPr>
            <w:r w:rsidRPr="00A3213E">
              <w:rPr>
                <w:noProof/>
                <w:sz w:val="20"/>
                <w:szCs w:val="22"/>
              </w:rPr>
              <w:t>Blood to  ST2</w:t>
            </w:r>
          </w:p>
        </w:tc>
        <w:tc>
          <w:tcPr>
            <w:tcW w:w="988" w:type="dxa"/>
            <w:shd w:val="clear" w:color="auto" w:fill="auto"/>
            <w:noWrap/>
            <w:vAlign w:val="center"/>
          </w:tcPr>
          <w:p w14:paraId="419DA5E4" w14:textId="77777777" w:rsidR="00A3213E" w:rsidRPr="00C47F2F" w:rsidRDefault="00A3213E" w:rsidP="006A73E0">
            <w:pPr>
              <w:pStyle w:val="Table"/>
              <w:rPr>
                <w:noProof/>
                <w:sz w:val="20"/>
                <w:szCs w:val="20"/>
              </w:rPr>
            </w:pPr>
            <w:r w:rsidRPr="00C47F2F">
              <w:rPr>
                <w:noProof/>
                <w:sz w:val="20"/>
                <w:szCs w:val="20"/>
              </w:rPr>
              <w:t>2.59E-02</w:t>
            </w:r>
          </w:p>
        </w:tc>
        <w:tc>
          <w:tcPr>
            <w:tcW w:w="989" w:type="dxa"/>
            <w:shd w:val="clear" w:color="auto" w:fill="auto"/>
            <w:noWrap/>
            <w:vAlign w:val="center"/>
          </w:tcPr>
          <w:p w14:paraId="57F1FB6F" w14:textId="77777777" w:rsidR="00A3213E" w:rsidRPr="00C47F2F" w:rsidRDefault="00A3213E" w:rsidP="006A73E0">
            <w:pPr>
              <w:pStyle w:val="Table"/>
              <w:rPr>
                <w:noProof/>
                <w:sz w:val="20"/>
                <w:szCs w:val="20"/>
              </w:rPr>
            </w:pPr>
            <w:r w:rsidRPr="00C47F2F">
              <w:rPr>
                <w:noProof/>
                <w:sz w:val="20"/>
                <w:szCs w:val="20"/>
              </w:rPr>
              <w:t>2.59E-02</w:t>
            </w:r>
          </w:p>
        </w:tc>
        <w:tc>
          <w:tcPr>
            <w:tcW w:w="989" w:type="dxa"/>
            <w:shd w:val="clear" w:color="auto" w:fill="auto"/>
            <w:noWrap/>
            <w:vAlign w:val="center"/>
          </w:tcPr>
          <w:p w14:paraId="7947C8D5" w14:textId="77777777" w:rsidR="00A3213E" w:rsidRPr="00C47F2F" w:rsidRDefault="00A3213E" w:rsidP="006A73E0">
            <w:pPr>
              <w:pStyle w:val="Table"/>
              <w:rPr>
                <w:noProof/>
                <w:sz w:val="20"/>
                <w:szCs w:val="20"/>
              </w:rPr>
            </w:pPr>
            <w:r w:rsidRPr="00C47F2F">
              <w:rPr>
                <w:noProof/>
                <w:sz w:val="20"/>
                <w:szCs w:val="20"/>
              </w:rPr>
              <w:t>2.59E-02</w:t>
            </w:r>
          </w:p>
        </w:tc>
        <w:tc>
          <w:tcPr>
            <w:tcW w:w="989" w:type="dxa"/>
            <w:shd w:val="clear" w:color="auto" w:fill="auto"/>
            <w:noWrap/>
            <w:vAlign w:val="center"/>
          </w:tcPr>
          <w:p w14:paraId="51F088B7" w14:textId="77777777" w:rsidR="00A3213E" w:rsidRPr="00C47F2F" w:rsidRDefault="00A3213E" w:rsidP="006A73E0">
            <w:pPr>
              <w:pStyle w:val="Table"/>
              <w:rPr>
                <w:noProof/>
                <w:sz w:val="20"/>
                <w:szCs w:val="20"/>
              </w:rPr>
            </w:pPr>
            <w:r w:rsidRPr="00C47F2F">
              <w:rPr>
                <w:noProof/>
                <w:sz w:val="20"/>
                <w:szCs w:val="20"/>
              </w:rPr>
              <w:t>2.59E-02</w:t>
            </w:r>
          </w:p>
        </w:tc>
        <w:tc>
          <w:tcPr>
            <w:tcW w:w="989" w:type="dxa"/>
            <w:shd w:val="clear" w:color="auto" w:fill="auto"/>
            <w:noWrap/>
            <w:vAlign w:val="center"/>
          </w:tcPr>
          <w:p w14:paraId="13B9BF8E" w14:textId="77777777" w:rsidR="00A3213E" w:rsidRPr="00C47F2F" w:rsidRDefault="00A3213E" w:rsidP="006A73E0">
            <w:pPr>
              <w:pStyle w:val="Table"/>
              <w:rPr>
                <w:noProof/>
                <w:sz w:val="20"/>
                <w:szCs w:val="20"/>
              </w:rPr>
            </w:pPr>
            <w:r w:rsidRPr="00C47F2F">
              <w:rPr>
                <w:noProof/>
                <w:sz w:val="20"/>
                <w:szCs w:val="20"/>
              </w:rPr>
              <w:t>2.59E-02</w:t>
            </w:r>
          </w:p>
        </w:tc>
        <w:tc>
          <w:tcPr>
            <w:tcW w:w="989" w:type="dxa"/>
            <w:shd w:val="clear" w:color="auto" w:fill="auto"/>
            <w:noWrap/>
            <w:vAlign w:val="center"/>
          </w:tcPr>
          <w:p w14:paraId="57F673B7" w14:textId="77777777" w:rsidR="00A3213E" w:rsidRPr="00C47F2F" w:rsidRDefault="00A3213E" w:rsidP="006A73E0">
            <w:pPr>
              <w:pStyle w:val="Table"/>
              <w:rPr>
                <w:noProof/>
                <w:sz w:val="20"/>
                <w:szCs w:val="20"/>
              </w:rPr>
            </w:pPr>
            <w:r w:rsidRPr="00C47F2F">
              <w:rPr>
                <w:noProof/>
                <w:sz w:val="20"/>
                <w:szCs w:val="20"/>
              </w:rPr>
              <w:t>3.88E-02</w:t>
            </w:r>
          </w:p>
        </w:tc>
      </w:tr>
      <w:tr w:rsidR="00A3213E" w:rsidRPr="00972C81" w14:paraId="0B15A586" w14:textId="77777777" w:rsidTr="006A73E0">
        <w:trPr>
          <w:trHeight w:val="340"/>
        </w:trPr>
        <w:tc>
          <w:tcPr>
            <w:tcW w:w="3094" w:type="dxa"/>
            <w:shd w:val="clear" w:color="auto" w:fill="auto"/>
            <w:noWrap/>
            <w:vAlign w:val="center"/>
          </w:tcPr>
          <w:p w14:paraId="4523C1D7" w14:textId="259FC538" w:rsidR="00A3213E" w:rsidRPr="00A3213E" w:rsidRDefault="00A3213E" w:rsidP="006A73E0">
            <w:pPr>
              <w:pStyle w:val="Table"/>
              <w:rPr>
                <w:noProof/>
                <w:sz w:val="20"/>
                <w:szCs w:val="22"/>
              </w:rPr>
            </w:pPr>
            <w:r w:rsidRPr="00A3213E">
              <w:rPr>
                <w:noProof/>
                <w:sz w:val="20"/>
                <w:szCs w:val="22"/>
              </w:rPr>
              <w:t>Liver 1 to Blood</w:t>
            </w:r>
          </w:p>
        </w:tc>
        <w:tc>
          <w:tcPr>
            <w:tcW w:w="988" w:type="dxa"/>
            <w:shd w:val="clear" w:color="auto" w:fill="auto"/>
            <w:noWrap/>
            <w:vAlign w:val="center"/>
          </w:tcPr>
          <w:p w14:paraId="07D01C84" w14:textId="77777777" w:rsidR="00A3213E" w:rsidRPr="00C47F2F" w:rsidRDefault="00A3213E" w:rsidP="006A73E0">
            <w:pPr>
              <w:pStyle w:val="Table"/>
              <w:rPr>
                <w:noProof/>
                <w:sz w:val="20"/>
                <w:szCs w:val="20"/>
              </w:rPr>
            </w:pPr>
            <w:r w:rsidRPr="00C47F2F">
              <w:rPr>
                <w:noProof/>
                <w:sz w:val="20"/>
                <w:szCs w:val="20"/>
              </w:rPr>
              <w:t>4.75E-04</w:t>
            </w:r>
          </w:p>
        </w:tc>
        <w:tc>
          <w:tcPr>
            <w:tcW w:w="989" w:type="dxa"/>
            <w:shd w:val="clear" w:color="auto" w:fill="auto"/>
            <w:noWrap/>
            <w:vAlign w:val="center"/>
          </w:tcPr>
          <w:p w14:paraId="55E2AB66" w14:textId="77777777" w:rsidR="00A3213E" w:rsidRPr="00C47F2F" w:rsidRDefault="00A3213E" w:rsidP="006A73E0">
            <w:pPr>
              <w:pStyle w:val="Table"/>
              <w:rPr>
                <w:noProof/>
                <w:sz w:val="20"/>
                <w:szCs w:val="20"/>
              </w:rPr>
            </w:pPr>
            <w:r w:rsidRPr="00C47F2F">
              <w:rPr>
                <w:noProof/>
                <w:sz w:val="20"/>
                <w:szCs w:val="20"/>
              </w:rPr>
              <w:t>4.75E-04</w:t>
            </w:r>
          </w:p>
        </w:tc>
        <w:tc>
          <w:tcPr>
            <w:tcW w:w="989" w:type="dxa"/>
            <w:shd w:val="clear" w:color="auto" w:fill="auto"/>
            <w:noWrap/>
            <w:vAlign w:val="center"/>
          </w:tcPr>
          <w:p w14:paraId="73D651C7" w14:textId="77777777" w:rsidR="00A3213E" w:rsidRPr="00C47F2F" w:rsidRDefault="00A3213E" w:rsidP="006A73E0">
            <w:pPr>
              <w:pStyle w:val="Table"/>
              <w:rPr>
                <w:noProof/>
                <w:sz w:val="20"/>
                <w:szCs w:val="20"/>
              </w:rPr>
            </w:pPr>
            <w:r w:rsidRPr="00C47F2F">
              <w:rPr>
                <w:noProof/>
                <w:sz w:val="20"/>
                <w:szCs w:val="20"/>
              </w:rPr>
              <w:t>4.75E-04</w:t>
            </w:r>
          </w:p>
        </w:tc>
        <w:tc>
          <w:tcPr>
            <w:tcW w:w="989" w:type="dxa"/>
            <w:shd w:val="clear" w:color="auto" w:fill="auto"/>
            <w:noWrap/>
            <w:vAlign w:val="center"/>
          </w:tcPr>
          <w:p w14:paraId="000C2473" w14:textId="77777777" w:rsidR="00A3213E" w:rsidRPr="00C47F2F" w:rsidRDefault="00A3213E" w:rsidP="006A73E0">
            <w:pPr>
              <w:pStyle w:val="Table"/>
              <w:rPr>
                <w:noProof/>
                <w:sz w:val="20"/>
                <w:szCs w:val="20"/>
              </w:rPr>
            </w:pPr>
            <w:r w:rsidRPr="00C47F2F">
              <w:rPr>
                <w:noProof/>
                <w:sz w:val="20"/>
                <w:szCs w:val="20"/>
              </w:rPr>
              <w:t>4.75E-04</w:t>
            </w:r>
          </w:p>
        </w:tc>
        <w:tc>
          <w:tcPr>
            <w:tcW w:w="989" w:type="dxa"/>
            <w:shd w:val="clear" w:color="auto" w:fill="auto"/>
            <w:noWrap/>
            <w:vAlign w:val="center"/>
          </w:tcPr>
          <w:p w14:paraId="6CDF0B7E" w14:textId="77777777" w:rsidR="00A3213E" w:rsidRPr="00C47F2F" w:rsidRDefault="00A3213E" w:rsidP="006A73E0">
            <w:pPr>
              <w:pStyle w:val="Table"/>
              <w:rPr>
                <w:noProof/>
                <w:sz w:val="20"/>
                <w:szCs w:val="20"/>
              </w:rPr>
            </w:pPr>
            <w:r w:rsidRPr="00C47F2F">
              <w:rPr>
                <w:noProof/>
                <w:sz w:val="20"/>
                <w:szCs w:val="20"/>
              </w:rPr>
              <w:t>4.75E-04</w:t>
            </w:r>
          </w:p>
        </w:tc>
        <w:tc>
          <w:tcPr>
            <w:tcW w:w="989" w:type="dxa"/>
            <w:shd w:val="clear" w:color="auto" w:fill="auto"/>
            <w:noWrap/>
            <w:vAlign w:val="center"/>
          </w:tcPr>
          <w:p w14:paraId="43C8D810" w14:textId="77777777" w:rsidR="00A3213E" w:rsidRPr="00C47F2F" w:rsidRDefault="00A3213E" w:rsidP="006A73E0">
            <w:pPr>
              <w:pStyle w:val="Table"/>
              <w:rPr>
                <w:noProof/>
                <w:sz w:val="20"/>
                <w:szCs w:val="20"/>
              </w:rPr>
            </w:pPr>
            <w:r w:rsidRPr="00C47F2F">
              <w:rPr>
                <w:noProof/>
                <w:sz w:val="20"/>
                <w:szCs w:val="20"/>
              </w:rPr>
              <w:t>4.75E-04</w:t>
            </w:r>
          </w:p>
        </w:tc>
      </w:tr>
      <w:tr w:rsidR="00A3213E" w:rsidRPr="00972C81" w14:paraId="43E5F161" w14:textId="77777777" w:rsidTr="006A73E0">
        <w:trPr>
          <w:trHeight w:val="340"/>
        </w:trPr>
        <w:tc>
          <w:tcPr>
            <w:tcW w:w="3094" w:type="dxa"/>
            <w:shd w:val="clear" w:color="auto" w:fill="auto"/>
            <w:noWrap/>
            <w:vAlign w:val="center"/>
          </w:tcPr>
          <w:p w14:paraId="587BB2A3" w14:textId="11B15D75" w:rsidR="00A3213E" w:rsidRPr="00A3213E" w:rsidRDefault="00A3213E" w:rsidP="006A73E0">
            <w:pPr>
              <w:pStyle w:val="Table"/>
              <w:rPr>
                <w:noProof/>
                <w:sz w:val="20"/>
                <w:szCs w:val="22"/>
              </w:rPr>
            </w:pPr>
            <w:r w:rsidRPr="00A3213E">
              <w:rPr>
                <w:noProof/>
                <w:sz w:val="20"/>
                <w:szCs w:val="22"/>
              </w:rPr>
              <w:t>Liver 1 to Liver 2</w:t>
            </w:r>
          </w:p>
        </w:tc>
        <w:tc>
          <w:tcPr>
            <w:tcW w:w="988" w:type="dxa"/>
            <w:shd w:val="clear" w:color="auto" w:fill="auto"/>
            <w:noWrap/>
            <w:vAlign w:val="center"/>
          </w:tcPr>
          <w:p w14:paraId="1C80F075" w14:textId="77777777" w:rsidR="00A3213E" w:rsidRPr="00C47F2F" w:rsidRDefault="00A3213E" w:rsidP="006A73E0">
            <w:pPr>
              <w:pStyle w:val="Table"/>
              <w:rPr>
                <w:noProof/>
                <w:sz w:val="20"/>
                <w:szCs w:val="20"/>
              </w:rPr>
            </w:pPr>
            <w:r w:rsidRPr="00C47F2F">
              <w:rPr>
                <w:noProof/>
                <w:sz w:val="20"/>
                <w:szCs w:val="20"/>
              </w:rPr>
              <w:t>9.50E-04</w:t>
            </w:r>
          </w:p>
        </w:tc>
        <w:tc>
          <w:tcPr>
            <w:tcW w:w="989" w:type="dxa"/>
            <w:shd w:val="clear" w:color="auto" w:fill="auto"/>
            <w:noWrap/>
            <w:vAlign w:val="center"/>
          </w:tcPr>
          <w:p w14:paraId="199578CC" w14:textId="77777777" w:rsidR="00A3213E" w:rsidRPr="00C47F2F" w:rsidRDefault="00A3213E" w:rsidP="006A73E0">
            <w:pPr>
              <w:pStyle w:val="Table"/>
              <w:rPr>
                <w:noProof/>
                <w:sz w:val="20"/>
                <w:szCs w:val="20"/>
              </w:rPr>
            </w:pPr>
            <w:r w:rsidRPr="00C47F2F">
              <w:rPr>
                <w:noProof/>
                <w:sz w:val="20"/>
                <w:szCs w:val="20"/>
              </w:rPr>
              <w:t>9.50E-04</w:t>
            </w:r>
          </w:p>
        </w:tc>
        <w:tc>
          <w:tcPr>
            <w:tcW w:w="989" w:type="dxa"/>
            <w:shd w:val="clear" w:color="auto" w:fill="auto"/>
            <w:noWrap/>
            <w:vAlign w:val="center"/>
          </w:tcPr>
          <w:p w14:paraId="1647D7BE" w14:textId="77777777" w:rsidR="00A3213E" w:rsidRPr="00C47F2F" w:rsidRDefault="00A3213E" w:rsidP="006A73E0">
            <w:pPr>
              <w:pStyle w:val="Table"/>
              <w:rPr>
                <w:noProof/>
                <w:sz w:val="20"/>
                <w:szCs w:val="20"/>
              </w:rPr>
            </w:pPr>
            <w:r w:rsidRPr="00C47F2F">
              <w:rPr>
                <w:noProof/>
                <w:sz w:val="20"/>
                <w:szCs w:val="20"/>
              </w:rPr>
              <w:t>9.50E-04</w:t>
            </w:r>
          </w:p>
        </w:tc>
        <w:tc>
          <w:tcPr>
            <w:tcW w:w="989" w:type="dxa"/>
            <w:shd w:val="clear" w:color="auto" w:fill="auto"/>
            <w:noWrap/>
            <w:vAlign w:val="center"/>
          </w:tcPr>
          <w:p w14:paraId="5D2C5F40" w14:textId="77777777" w:rsidR="00A3213E" w:rsidRPr="00C47F2F" w:rsidRDefault="00A3213E" w:rsidP="006A73E0">
            <w:pPr>
              <w:pStyle w:val="Table"/>
              <w:rPr>
                <w:noProof/>
                <w:sz w:val="20"/>
                <w:szCs w:val="20"/>
              </w:rPr>
            </w:pPr>
            <w:r w:rsidRPr="00C47F2F">
              <w:rPr>
                <w:noProof/>
                <w:sz w:val="20"/>
                <w:szCs w:val="20"/>
              </w:rPr>
              <w:t>9.50E-04</w:t>
            </w:r>
          </w:p>
        </w:tc>
        <w:tc>
          <w:tcPr>
            <w:tcW w:w="989" w:type="dxa"/>
            <w:shd w:val="clear" w:color="auto" w:fill="auto"/>
            <w:noWrap/>
            <w:vAlign w:val="center"/>
          </w:tcPr>
          <w:p w14:paraId="0A4F022E" w14:textId="77777777" w:rsidR="00A3213E" w:rsidRPr="00C47F2F" w:rsidRDefault="00A3213E" w:rsidP="006A73E0">
            <w:pPr>
              <w:pStyle w:val="Table"/>
              <w:rPr>
                <w:noProof/>
                <w:sz w:val="20"/>
                <w:szCs w:val="20"/>
              </w:rPr>
            </w:pPr>
            <w:r w:rsidRPr="00C47F2F">
              <w:rPr>
                <w:noProof/>
                <w:sz w:val="20"/>
                <w:szCs w:val="20"/>
              </w:rPr>
              <w:t>9.50E-04</w:t>
            </w:r>
          </w:p>
        </w:tc>
        <w:tc>
          <w:tcPr>
            <w:tcW w:w="989" w:type="dxa"/>
            <w:shd w:val="clear" w:color="auto" w:fill="auto"/>
            <w:noWrap/>
            <w:vAlign w:val="center"/>
          </w:tcPr>
          <w:p w14:paraId="14134FB8" w14:textId="77777777" w:rsidR="00A3213E" w:rsidRPr="00C47F2F" w:rsidRDefault="00A3213E" w:rsidP="006A73E0">
            <w:pPr>
              <w:pStyle w:val="Table"/>
              <w:rPr>
                <w:noProof/>
                <w:sz w:val="20"/>
                <w:szCs w:val="20"/>
              </w:rPr>
            </w:pPr>
            <w:r w:rsidRPr="00C47F2F">
              <w:rPr>
                <w:noProof/>
                <w:sz w:val="20"/>
                <w:szCs w:val="20"/>
              </w:rPr>
              <w:t>9.50E-04</w:t>
            </w:r>
          </w:p>
        </w:tc>
      </w:tr>
      <w:tr w:rsidR="00A3213E" w:rsidRPr="00972C81" w14:paraId="31149A6D" w14:textId="77777777" w:rsidTr="006A73E0">
        <w:trPr>
          <w:trHeight w:val="340"/>
        </w:trPr>
        <w:tc>
          <w:tcPr>
            <w:tcW w:w="3094" w:type="dxa"/>
            <w:shd w:val="clear" w:color="auto" w:fill="auto"/>
            <w:noWrap/>
            <w:vAlign w:val="center"/>
          </w:tcPr>
          <w:p w14:paraId="6769DE2B" w14:textId="2D02CA07" w:rsidR="00A3213E" w:rsidRPr="00A3213E" w:rsidRDefault="00A3213E" w:rsidP="006A73E0">
            <w:pPr>
              <w:pStyle w:val="Table"/>
              <w:rPr>
                <w:noProof/>
                <w:sz w:val="20"/>
                <w:szCs w:val="22"/>
              </w:rPr>
            </w:pPr>
            <w:r w:rsidRPr="00A3213E">
              <w:rPr>
                <w:noProof/>
                <w:sz w:val="20"/>
                <w:szCs w:val="22"/>
              </w:rPr>
              <w:t>Liver 1 to SI cont</w:t>
            </w:r>
          </w:p>
        </w:tc>
        <w:tc>
          <w:tcPr>
            <w:tcW w:w="988" w:type="dxa"/>
            <w:shd w:val="clear" w:color="auto" w:fill="auto"/>
            <w:noWrap/>
            <w:vAlign w:val="center"/>
          </w:tcPr>
          <w:p w14:paraId="637CFFD8" w14:textId="77777777" w:rsidR="00A3213E" w:rsidRPr="00C47F2F" w:rsidRDefault="00A3213E" w:rsidP="006A73E0">
            <w:pPr>
              <w:pStyle w:val="Table"/>
              <w:rPr>
                <w:noProof/>
                <w:sz w:val="20"/>
                <w:szCs w:val="20"/>
              </w:rPr>
            </w:pPr>
            <w:r w:rsidRPr="00C47F2F">
              <w:rPr>
                <w:noProof/>
                <w:sz w:val="20"/>
                <w:szCs w:val="20"/>
              </w:rPr>
              <w:t>4.75E-04</w:t>
            </w:r>
          </w:p>
        </w:tc>
        <w:tc>
          <w:tcPr>
            <w:tcW w:w="989" w:type="dxa"/>
            <w:shd w:val="clear" w:color="auto" w:fill="auto"/>
            <w:noWrap/>
            <w:vAlign w:val="center"/>
          </w:tcPr>
          <w:p w14:paraId="4D6FF4B5" w14:textId="77777777" w:rsidR="00A3213E" w:rsidRPr="00C47F2F" w:rsidRDefault="00A3213E" w:rsidP="006A73E0">
            <w:pPr>
              <w:pStyle w:val="Table"/>
              <w:rPr>
                <w:noProof/>
                <w:sz w:val="20"/>
                <w:szCs w:val="20"/>
              </w:rPr>
            </w:pPr>
            <w:r w:rsidRPr="00C47F2F">
              <w:rPr>
                <w:noProof/>
                <w:sz w:val="20"/>
                <w:szCs w:val="20"/>
              </w:rPr>
              <w:t>4.75E-04</w:t>
            </w:r>
          </w:p>
        </w:tc>
        <w:tc>
          <w:tcPr>
            <w:tcW w:w="989" w:type="dxa"/>
            <w:shd w:val="clear" w:color="auto" w:fill="auto"/>
            <w:noWrap/>
            <w:vAlign w:val="center"/>
          </w:tcPr>
          <w:p w14:paraId="5B0BAB87" w14:textId="77777777" w:rsidR="00A3213E" w:rsidRPr="00C47F2F" w:rsidRDefault="00A3213E" w:rsidP="006A73E0">
            <w:pPr>
              <w:pStyle w:val="Table"/>
              <w:rPr>
                <w:noProof/>
                <w:sz w:val="20"/>
                <w:szCs w:val="20"/>
              </w:rPr>
            </w:pPr>
            <w:r w:rsidRPr="00C47F2F">
              <w:rPr>
                <w:noProof/>
                <w:sz w:val="20"/>
                <w:szCs w:val="20"/>
              </w:rPr>
              <w:t>4.75E-04</w:t>
            </w:r>
          </w:p>
        </w:tc>
        <w:tc>
          <w:tcPr>
            <w:tcW w:w="989" w:type="dxa"/>
            <w:shd w:val="clear" w:color="auto" w:fill="auto"/>
            <w:noWrap/>
            <w:vAlign w:val="center"/>
          </w:tcPr>
          <w:p w14:paraId="69C049D5" w14:textId="77777777" w:rsidR="00A3213E" w:rsidRPr="00C47F2F" w:rsidRDefault="00A3213E" w:rsidP="006A73E0">
            <w:pPr>
              <w:pStyle w:val="Table"/>
              <w:rPr>
                <w:noProof/>
                <w:sz w:val="20"/>
                <w:szCs w:val="20"/>
              </w:rPr>
            </w:pPr>
            <w:r w:rsidRPr="00C47F2F">
              <w:rPr>
                <w:noProof/>
                <w:sz w:val="20"/>
                <w:szCs w:val="20"/>
              </w:rPr>
              <w:t>4.75E-04</w:t>
            </w:r>
          </w:p>
        </w:tc>
        <w:tc>
          <w:tcPr>
            <w:tcW w:w="989" w:type="dxa"/>
            <w:shd w:val="clear" w:color="auto" w:fill="auto"/>
            <w:noWrap/>
            <w:vAlign w:val="center"/>
          </w:tcPr>
          <w:p w14:paraId="10DD70E2" w14:textId="77777777" w:rsidR="00A3213E" w:rsidRPr="00C47F2F" w:rsidRDefault="00A3213E" w:rsidP="006A73E0">
            <w:pPr>
              <w:pStyle w:val="Table"/>
              <w:rPr>
                <w:noProof/>
                <w:sz w:val="20"/>
                <w:szCs w:val="20"/>
              </w:rPr>
            </w:pPr>
            <w:r w:rsidRPr="00C47F2F">
              <w:rPr>
                <w:noProof/>
                <w:sz w:val="20"/>
                <w:szCs w:val="20"/>
              </w:rPr>
              <w:t>4.75E-04</w:t>
            </w:r>
          </w:p>
        </w:tc>
        <w:tc>
          <w:tcPr>
            <w:tcW w:w="989" w:type="dxa"/>
            <w:shd w:val="clear" w:color="auto" w:fill="auto"/>
            <w:noWrap/>
            <w:vAlign w:val="center"/>
          </w:tcPr>
          <w:p w14:paraId="1A405549" w14:textId="77777777" w:rsidR="00A3213E" w:rsidRPr="00C47F2F" w:rsidRDefault="00A3213E" w:rsidP="006A73E0">
            <w:pPr>
              <w:pStyle w:val="Table"/>
              <w:rPr>
                <w:noProof/>
                <w:sz w:val="20"/>
                <w:szCs w:val="20"/>
              </w:rPr>
            </w:pPr>
            <w:r w:rsidRPr="00C47F2F">
              <w:rPr>
                <w:noProof/>
                <w:sz w:val="20"/>
                <w:szCs w:val="20"/>
              </w:rPr>
              <w:t>4.75E-04</w:t>
            </w:r>
          </w:p>
        </w:tc>
      </w:tr>
      <w:tr w:rsidR="00A3213E" w:rsidRPr="00972C81" w14:paraId="40A06540" w14:textId="77777777" w:rsidTr="006A73E0">
        <w:trPr>
          <w:trHeight w:val="340"/>
        </w:trPr>
        <w:tc>
          <w:tcPr>
            <w:tcW w:w="3094" w:type="dxa"/>
            <w:shd w:val="clear" w:color="auto" w:fill="auto"/>
            <w:noWrap/>
            <w:vAlign w:val="center"/>
          </w:tcPr>
          <w:p w14:paraId="7E751751" w14:textId="17F59370" w:rsidR="00A3213E" w:rsidRPr="00A3213E" w:rsidRDefault="00A3213E" w:rsidP="006A73E0">
            <w:pPr>
              <w:pStyle w:val="Table"/>
              <w:rPr>
                <w:noProof/>
                <w:sz w:val="20"/>
                <w:szCs w:val="22"/>
              </w:rPr>
            </w:pPr>
            <w:r w:rsidRPr="00A3213E">
              <w:rPr>
                <w:noProof/>
                <w:sz w:val="20"/>
                <w:szCs w:val="22"/>
              </w:rPr>
              <w:t>Cort bone surf to Cort marrow</w:t>
            </w:r>
          </w:p>
        </w:tc>
        <w:tc>
          <w:tcPr>
            <w:tcW w:w="988" w:type="dxa"/>
            <w:shd w:val="clear" w:color="auto" w:fill="auto"/>
            <w:noWrap/>
            <w:vAlign w:val="center"/>
          </w:tcPr>
          <w:p w14:paraId="6D0C88D1" w14:textId="77777777" w:rsidR="00A3213E" w:rsidRPr="00C47F2F" w:rsidRDefault="00A3213E" w:rsidP="006A73E0">
            <w:pPr>
              <w:pStyle w:val="Table"/>
              <w:rPr>
                <w:noProof/>
                <w:sz w:val="20"/>
                <w:szCs w:val="20"/>
              </w:rPr>
            </w:pPr>
            <w:r w:rsidRPr="00C47F2F">
              <w:rPr>
                <w:noProof/>
                <w:sz w:val="20"/>
                <w:szCs w:val="20"/>
              </w:rPr>
              <w:t>8.22E-03</w:t>
            </w:r>
          </w:p>
        </w:tc>
        <w:tc>
          <w:tcPr>
            <w:tcW w:w="989" w:type="dxa"/>
            <w:shd w:val="clear" w:color="auto" w:fill="auto"/>
            <w:noWrap/>
            <w:vAlign w:val="center"/>
          </w:tcPr>
          <w:p w14:paraId="14E9A6A6" w14:textId="77777777" w:rsidR="00A3213E" w:rsidRPr="00C47F2F" w:rsidRDefault="00A3213E" w:rsidP="006A73E0">
            <w:pPr>
              <w:pStyle w:val="Table"/>
              <w:rPr>
                <w:noProof/>
                <w:sz w:val="20"/>
                <w:szCs w:val="20"/>
              </w:rPr>
            </w:pPr>
            <w:r w:rsidRPr="00C47F2F">
              <w:rPr>
                <w:noProof/>
                <w:sz w:val="20"/>
                <w:szCs w:val="20"/>
              </w:rPr>
              <w:t>2.88E-03</w:t>
            </w:r>
          </w:p>
        </w:tc>
        <w:tc>
          <w:tcPr>
            <w:tcW w:w="989" w:type="dxa"/>
            <w:shd w:val="clear" w:color="auto" w:fill="auto"/>
            <w:noWrap/>
            <w:vAlign w:val="center"/>
          </w:tcPr>
          <w:p w14:paraId="62AAF75C" w14:textId="77777777" w:rsidR="00A3213E" w:rsidRPr="00C47F2F" w:rsidRDefault="00A3213E" w:rsidP="006A73E0">
            <w:pPr>
              <w:pStyle w:val="Table"/>
              <w:rPr>
                <w:noProof/>
                <w:sz w:val="20"/>
                <w:szCs w:val="20"/>
              </w:rPr>
            </w:pPr>
            <w:r w:rsidRPr="00C47F2F">
              <w:rPr>
                <w:noProof/>
                <w:sz w:val="20"/>
                <w:szCs w:val="20"/>
              </w:rPr>
              <w:t>1.53E-03</w:t>
            </w:r>
          </w:p>
        </w:tc>
        <w:tc>
          <w:tcPr>
            <w:tcW w:w="989" w:type="dxa"/>
            <w:shd w:val="clear" w:color="auto" w:fill="auto"/>
            <w:noWrap/>
            <w:vAlign w:val="center"/>
          </w:tcPr>
          <w:p w14:paraId="53E06215" w14:textId="77777777" w:rsidR="00A3213E" w:rsidRPr="00C47F2F" w:rsidRDefault="00A3213E" w:rsidP="006A73E0">
            <w:pPr>
              <w:pStyle w:val="Table"/>
              <w:rPr>
                <w:noProof/>
                <w:sz w:val="20"/>
                <w:szCs w:val="20"/>
              </w:rPr>
            </w:pPr>
            <w:r w:rsidRPr="00C47F2F">
              <w:rPr>
                <w:noProof/>
                <w:sz w:val="20"/>
                <w:szCs w:val="20"/>
              </w:rPr>
              <w:t>9.04E-04</w:t>
            </w:r>
          </w:p>
        </w:tc>
        <w:tc>
          <w:tcPr>
            <w:tcW w:w="989" w:type="dxa"/>
            <w:shd w:val="clear" w:color="auto" w:fill="auto"/>
            <w:noWrap/>
            <w:vAlign w:val="center"/>
          </w:tcPr>
          <w:p w14:paraId="621F9B6A" w14:textId="77777777" w:rsidR="00A3213E" w:rsidRPr="00C47F2F" w:rsidRDefault="00A3213E" w:rsidP="006A73E0">
            <w:pPr>
              <w:pStyle w:val="Table"/>
              <w:rPr>
                <w:noProof/>
                <w:sz w:val="20"/>
                <w:szCs w:val="20"/>
              </w:rPr>
            </w:pPr>
            <w:r w:rsidRPr="00C47F2F">
              <w:rPr>
                <w:noProof/>
                <w:sz w:val="20"/>
                <w:szCs w:val="20"/>
              </w:rPr>
              <w:t>5.21E-04</w:t>
            </w:r>
          </w:p>
        </w:tc>
        <w:tc>
          <w:tcPr>
            <w:tcW w:w="989" w:type="dxa"/>
            <w:shd w:val="clear" w:color="auto" w:fill="auto"/>
            <w:noWrap/>
            <w:vAlign w:val="center"/>
          </w:tcPr>
          <w:p w14:paraId="719A1EE7" w14:textId="77777777" w:rsidR="00A3213E" w:rsidRPr="00C47F2F" w:rsidRDefault="00A3213E" w:rsidP="006A73E0">
            <w:pPr>
              <w:pStyle w:val="Table"/>
              <w:rPr>
                <w:noProof/>
                <w:sz w:val="20"/>
                <w:szCs w:val="20"/>
              </w:rPr>
            </w:pPr>
            <w:r w:rsidRPr="00C47F2F">
              <w:rPr>
                <w:noProof/>
                <w:sz w:val="20"/>
                <w:szCs w:val="20"/>
              </w:rPr>
              <w:t>8.21E-05</w:t>
            </w:r>
          </w:p>
        </w:tc>
      </w:tr>
      <w:tr w:rsidR="00A3213E" w:rsidRPr="00972C81" w14:paraId="47CCDC36" w14:textId="77777777" w:rsidTr="006A73E0">
        <w:trPr>
          <w:trHeight w:val="340"/>
        </w:trPr>
        <w:tc>
          <w:tcPr>
            <w:tcW w:w="3094" w:type="dxa"/>
            <w:shd w:val="clear" w:color="auto" w:fill="auto"/>
            <w:noWrap/>
            <w:vAlign w:val="center"/>
          </w:tcPr>
          <w:p w14:paraId="6459204A" w14:textId="1F94136A" w:rsidR="00A3213E" w:rsidRPr="00A3213E" w:rsidRDefault="00A3213E" w:rsidP="006A73E0">
            <w:pPr>
              <w:pStyle w:val="Table"/>
              <w:rPr>
                <w:noProof/>
                <w:sz w:val="20"/>
                <w:szCs w:val="22"/>
              </w:rPr>
            </w:pPr>
            <w:r w:rsidRPr="00A3213E">
              <w:rPr>
                <w:noProof/>
                <w:sz w:val="20"/>
                <w:szCs w:val="22"/>
              </w:rPr>
              <w:t>Cort bone surf to Cort bone vol</w:t>
            </w:r>
          </w:p>
        </w:tc>
        <w:tc>
          <w:tcPr>
            <w:tcW w:w="988" w:type="dxa"/>
            <w:shd w:val="clear" w:color="auto" w:fill="auto"/>
            <w:noWrap/>
            <w:vAlign w:val="center"/>
          </w:tcPr>
          <w:p w14:paraId="4A38A121" w14:textId="77777777" w:rsidR="00A3213E" w:rsidRPr="00C47F2F" w:rsidRDefault="00A3213E" w:rsidP="006A73E0">
            <w:pPr>
              <w:pStyle w:val="Table"/>
              <w:rPr>
                <w:noProof/>
                <w:sz w:val="20"/>
                <w:szCs w:val="20"/>
              </w:rPr>
            </w:pPr>
            <w:r w:rsidRPr="00C47F2F">
              <w:rPr>
                <w:noProof/>
                <w:sz w:val="20"/>
                <w:szCs w:val="20"/>
              </w:rPr>
              <w:t>8.22E-03</w:t>
            </w:r>
          </w:p>
        </w:tc>
        <w:tc>
          <w:tcPr>
            <w:tcW w:w="989" w:type="dxa"/>
            <w:shd w:val="clear" w:color="auto" w:fill="auto"/>
            <w:noWrap/>
            <w:vAlign w:val="center"/>
          </w:tcPr>
          <w:p w14:paraId="798A5E8E" w14:textId="77777777" w:rsidR="00A3213E" w:rsidRPr="00C47F2F" w:rsidRDefault="00A3213E" w:rsidP="006A73E0">
            <w:pPr>
              <w:pStyle w:val="Table"/>
              <w:rPr>
                <w:noProof/>
                <w:sz w:val="20"/>
                <w:szCs w:val="20"/>
              </w:rPr>
            </w:pPr>
            <w:r w:rsidRPr="00C47F2F">
              <w:rPr>
                <w:noProof/>
                <w:sz w:val="20"/>
                <w:szCs w:val="20"/>
              </w:rPr>
              <w:t>2.88E-03</w:t>
            </w:r>
          </w:p>
        </w:tc>
        <w:tc>
          <w:tcPr>
            <w:tcW w:w="989" w:type="dxa"/>
            <w:shd w:val="clear" w:color="auto" w:fill="auto"/>
            <w:noWrap/>
            <w:vAlign w:val="center"/>
          </w:tcPr>
          <w:p w14:paraId="4C5A592F" w14:textId="77777777" w:rsidR="00A3213E" w:rsidRPr="00C47F2F" w:rsidRDefault="00A3213E" w:rsidP="006A73E0">
            <w:pPr>
              <w:pStyle w:val="Table"/>
              <w:rPr>
                <w:noProof/>
                <w:sz w:val="20"/>
                <w:szCs w:val="20"/>
              </w:rPr>
            </w:pPr>
            <w:r w:rsidRPr="00C47F2F">
              <w:rPr>
                <w:noProof/>
                <w:sz w:val="20"/>
                <w:szCs w:val="20"/>
              </w:rPr>
              <w:t>1.53E-03</w:t>
            </w:r>
          </w:p>
        </w:tc>
        <w:tc>
          <w:tcPr>
            <w:tcW w:w="989" w:type="dxa"/>
            <w:shd w:val="clear" w:color="auto" w:fill="auto"/>
            <w:noWrap/>
            <w:vAlign w:val="center"/>
          </w:tcPr>
          <w:p w14:paraId="411C339F" w14:textId="77777777" w:rsidR="00A3213E" w:rsidRPr="00C47F2F" w:rsidRDefault="00A3213E" w:rsidP="006A73E0">
            <w:pPr>
              <w:pStyle w:val="Table"/>
              <w:rPr>
                <w:noProof/>
                <w:sz w:val="20"/>
                <w:szCs w:val="20"/>
              </w:rPr>
            </w:pPr>
            <w:r w:rsidRPr="00C47F2F">
              <w:rPr>
                <w:noProof/>
                <w:sz w:val="20"/>
                <w:szCs w:val="20"/>
              </w:rPr>
              <w:t>9.04E-04</w:t>
            </w:r>
          </w:p>
        </w:tc>
        <w:tc>
          <w:tcPr>
            <w:tcW w:w="989" w:type="dxa"/>
            <w:shd w:val="clear" w:color="auto" w:fill="auto"/>
            <w:noWrap/>
            <w:vAlign w:val="center"/>
          </w:tcPr>
          <w:p w14:paraId="71F5228A" w14:textId="77777777" w:rsidR="00A3213E" w:rsidRPr="00C47F2F" w:rsidRDefault="00A3213E" w:rsidP="006A73E0">
            <w:pPr>
              <w:pStyle w:val="Table"/>
              <w:rPr>
                <w:noProof/>
                <w:sz w:val="20"/>
                <w:szCs w:val="20"/>
              </w:rPr>
            </w:pPr>
            <w:r w:rsidRPr="00C47F2F">
              <w:rPr>
                <w:noProof/>
                <w:sz w:val="20"/>
                <w:szCs w:val="20"/>
              </w:rPr>
              <w:t>5.21E-04</w:t>
            </w:r>
          </w:p>
        </w:tc>
        <w:tc>
          <w:tcPr>
            <w:tcW w:w="989" w:type="dxa"/>
            <w:shd w:val="clear" w:color="auto" w:fill="auto"/>
            <w:noWrap/>
            <w:vAlign w:val="center"/>
          </w:tcPr>
          <w:p w14:paraId="643B08C8" w14:textId="77777777" w:rsidR="00A3213E" w:rsidRPr="00C47F2F" w:rsidRDefault="00A3213E" w:rsidP="006A73E0">
            <w:pPr>
              <w:pStyle w:val="Table"/>
              <w:rPr>
                <w:noProof/>
                <w:sz w:val="20"/>
                <w:szCs w:val="20"/>
              </w:rPr>
            </w:pPr>
            <w:r w:rsidRPr="00C47F2F">
              <w:rPr>
                <w:noProof/>
                <w:sz w:val="20"/>
                <w:szCs w:val="20"/>
              </w:rPr>
              <w:t>4.11E-05</w:t>
            </w:r>
          </w:p>
        </w:tc>
      </w:tr>
      <w:tr w:rsidR="00A3213E" w:rsidRPr="00972C81" w14:paraId="5D9D0743" w14:textId="77777777" w:rsidTr="006A73E0">
        <w:trPr>
          <w:trHeight w:val="340"/>
        </w:trPr>
        <w:tc>
          <w:tcPr>
            <w:tcW w:w="3094" w:type="dxa"/>
            <w:shd w:val="clear" w:color="auto" w:fill="auto"/>
            <w:noWrap/>
            <w:vAlign w:val="center"/>
          </w:tcPr>
          <w:p w14:paraId="1928F19D" w14:textId="0032BC3C" w:rsidR="00A3213E" w:rsidRPr="00A3213E" w:rsidRDefault="00A3213E" w:rsidP="006A73E0">
            <w:pPr>
              <w:pStyle w:val="Table"/>
              <w:rPr>
                <w:noProof/>
                <w:sz w:val="20"/>
                <w:szCs w:val="22"/>
              </w:rPr>
            </w:pPr>
            <w:r w:rsidRPr="00A3213E">
              <w:rPr>
                <w:noProof/>
                <w:sz w:val="20"/>
                <w:szCs w:val="22"/>
              </w:rPr>
              <w:t>Trab bone surf to Trab marrow</w:t>
            </w:r>
          </w:p>
        </w:tc>
        <w:tc>
          <w:tcPr>
            <w:tcW w:w="988" w:type="dxa"/>
            <w:shd w:val="clear" w:color="auto" w:fill="auto"/>
            <w:noWrap/>
            <w:vAlign w:val="center"/>
          </w:tcPr>
          <w:p w14:paraId="52C9E063" w14:textId="77777777" w:rsidR="00A3213E" w:rsidRPr="00C47F2F" w:rsidRDefault="00A3213E" w:rsidP="006A73E0">
            <w:pPr>
              <w:pStyle w:val="Table"/>
              <w:rPr>
                <w:noProof/>
                <w:sz w:val="20"/>
                <w:szCs w:val="20"/>
              </w:rPr>
            </w:pPr>
            <w:r w:rsidRPr="00C47F2F">
              <w:rPr>
                <w:noProof/>
                <w:sz w:val="20"/>
                <w:szCs w:val="20"/>
              </w:rPr>
              <w:t>8.22E-03</w:t>
            </w:r>
          </w:p>
        </w:tc>
        <w:tc>
          <w:tcPr>
            <w:tcW w:w="989" w:type="dxa"/>
            <w:shd w:val="clear" w:color="auto" w:fill="auto"/>
            <w:noWrap/>
            <w:vAlign w:val="center"/>
          </w:tcPr>
          <w:p w14:paraId="25B21354" w14:textId="77777777" w:rsidR="00A3213E" w:rsidRPr="00C47F2F" w:rsidRDefault="00A3213E" w:rsidP="006A73E0">
            <w:pPr>
              <w:pStyle w:val="Table"/>
              <w:rPr>
                <w:noProof/>
                <w:sz w:val="20"/>
                <w:szCs w:val="20"/>
              </w:rPr>
            </w:pPr>
            <w:r w:rsidRPr="00C47F2F">
              <w:rPr>
                <w:noProof/>
                <w:sz w:val="20"/>
                <w:szCs w:val="20"/>
              </w:rPr>
              <w:t>2.88E-03</w:t>
            </w:r>
          </w:p>
        </w:tc>
        <w:tc>
          <w:tcPr>
            <w:tcW w:w="989" w:type="dxa"/>
            <w:shd w:val="clear" w:color="auto" w:fill="auto"/>
            <w:noWrap/>
            <w:vAlign w:val="center"/>
          </w:tcPr>
          <w:p w14:paraId="3B9C3D6E" w14:textId="77777777" w:rsidR="00A3213E" w:rsidRPr="00C47F2F" w:rsidRDefault="00A3213E" w:rsidP="006A73E0">
            <w:pPr>
              <w:pStyle w:val="Table"/>
              <w:rPr>
                <w:noProof/>
                <w:sz w:val="20"/>
                <w:szCs w:val="20"/>
              </w:rPr>
            </w:pPr>
            <w:r w:rsidRPr="00C47F2F">
              <w:rPr>
                <w:noProof/>
                <w:sz w:val="20"/>
                <w:szCs w:val="20"/>
              </w:rPr>
              <w:t>1.81E-03</w:t>
            </w:r>
          </w:p>
        </w:tc>
        <w:tc>
          <w:tcPr>
            <w:tcW w:w="989" w:type="dxa"/>
            <w:shd w:val="clear" w:color="auto" w:fill="auto"/>
            <w:noWrap/>
            <w:vAlign w:val="center"/>
          </w:tcPr>
          <w:p w14:paraId="73ED7C79" w14:textId="77777777" w:rsidR="00A3213E" w:rsidRPr="00C47F2F" w:rsidRDefault="00A3213E" w:rsidP="006A73E0">
            <w:pPr>
              <w:pStyle w:val="Table"/>
              <w:rPr>
                <w:noProof/>
                <w:sz w:val="20"/>
                <w:szCs w:val="20"/>
              </w:rPr>
            </w:pPr>
            <w:r w:rsidRPr="00C47F2F">
              <w:rPr>
                <w:noProof/>
                <w:sz w:val="20"/>
                <w:szCs w:val="20"/>
              </w:rPr>
              <w:t>1.32E-03</w:t>
            </w:r>
          </w:p>
        </w:tc>
        <w:tc>
          <w:tcPr>
            <w:tcW w:w="989" w:type="dxa"/>
            <w:shd w:val="clear" w:color="auto" w:fill="auto"/>
            <w:noWrap/>
            <w:vAlign w:val="center"/>
          </w:tcPr>
          <w:p w14:paraId="78CD3427" w14:textId="77777777" w:rsidR="00A3213E" w:rsidRPr="00C47F2F" w:rsidRDefault="00A3213E" w:rsidP="006A73E0">
            <w:pPr>
              <w:pStyle w:val="Table"/>
              <w:rPr>
                <w:noProof/>
                <w:sz w:val="20"/>
                <w:szCs w:val="20"/>
              </w:rPr>
            </w:pPr>
            <w:r w:rsidRPr="00C47F2F">
              <w:rPr>
                <w:noProof/>
                <w:sz w:val="20"/>
                <w:szCs w:val="20"/>
              </w:rPr>
              <w:t>9.59E-04</w:t>
            </w:r>
          </w:p>
        </w:tc>
        <w:tc>
          <w:tcPr>
            <w:tcW w:w="989" w:type="dxa"/>
            <w:shd w:val="clear" w:color="auto" w:fill="auto"/>
            <w:noWrap/>
            <w:vAlign w:val="center"/>
          </w:tcPr>
          <w:p w14:paraId="7356A24B" w14:textId="77777777" w:rsidR="00A3213E" w:rsidRPr="00C47F2F" w:rsidRDefault="00A3213E" w:rsidP="006A73E0">
            <w:pPr>
              <w:pStyle w:val="Table"/>
              <w:rPr>
                <w:noProof/>
                <w:sz w:val="20"/>
                <w:szCs w:val="20"/>
              </w:rPr>
            </w:pPr>
            <w:r w:rsidRPr="00C47F2F">
              <w:rPr>
                <w:noProof/>
                <w:sz w:val="20"/>
                <w:szCs w:val="20"/>
              </w:rPr>
              <w:t>4.93E-04</w:t>
            </w:r>
          </w:p>
        </w:tc>
      </w:tr>
      <w:tr w:rsidR="00A3213E" w:rsidRPr="00972C81" w14:paraId="1ECF6277" w14:textId="77777777" w:rsidTr="006A73E0">
        <w:trPr>
          <w:trHeight w:val="340"/>
        </w:trPr>
        <w:tc>
          <w:tcPr>
            <w:tcW w:w="3094" w:type="dxa"/>
            <w:shd w:val="clear" w:color="auto" w:fill="auto"/>
            <w:noWrap/>
            <w:vAlign w:val="center"/>
          </w:tcPr>
          <w:p w14:paraId="6C2C8475" w14:textId="0C672685" w:rsidR="00A3213E" w:rsidRPr="00A3213E" w:rsidRDefault="00A3213E" w:rsidP="006A73E0">
            <w:pPr>
              <w:pStyle w:val="Table"/>
              <w:rPr>
                <w:noProof/>
                <w:sz w:val="20"/>
                <w:szCs w:val="22"/>
              </w:rPr>
            </w:pPr>
            <w:r w:rsidRPr="00A3213E">
              <w:rPr>
                <w:noProof/>
                <w:sz w:val="20"/>
                <w:szCs w:val="22"/>
              </w:rPr>
              <w:t>Trab bone surf to Trab bone vol</w:t>
            </w:r>
          </w:p>
        </w:tc>
        <w:tc>
          <w:tcPr>
            <w:tcW w:w="988" w:type="dxa"/>
            <w:shd w:val="clear" w:color="auto" w:fill="auto"/>
            <w:noWrap/>
            <w:vAlign w:val="center"/>
          </w:tcPr>
          <w:p w14:paraId="02E264A9" w14:textId="77777777" w:rsidR="00A3213E" w:rsidRPr="00C47F2F" w:rsidRDefault="00A3213E" w:rsidP="006A73E0">
            <w:pPr>
              <w:pStyle w:val="Table"/>
              <w:rPr>
                <w:noProof/>
                <w:sz w:val="20"/>
                <w:szCs w:val="20"/>
              </w:rPr>
            </w:pPr>
            <w:r w:rsidRPr="00C47F2F">
              <w:rPr>
                <w:noProof/>
                <w:sz w:val="20"/>
                <w:szCs w:val="20"/>
              </w:rPr>
              <w:t>8.22E-03</w:t>
            </w:r>
          </w:p>
        </w:tc>
        <w:tc>
          <w:tcPr>
            <w:tcW w:w="989" w:type="dxa"/>
            <w:shd w:val="clear" w:color="auto" w:fill="auto"/>
            <w:noWrap/>
            <w:vAlign w:val="center"/>
          </w:tcPr>
          <w:p w14:paraId="423C46F1" w14:textId="77777777" w:rsidR="00A3213E" w:rsidRPr="00C47F2F" w:rsidRDefault="00A3213E" w:rsidP="006A73E0">
            <w:pPr>
              <w:pStyle w:val="Table"/>
              <w:rPr>
                <w:noProof/>
                <w:sz w:val="20"/>
                <w:szCs w:val="20"/>
              </w:rPr>
            </w:pPr>
            <w:r w:rsidRPr="00C47F2F">
              <w:rPr>
                <w:noProof/>
                <w:sz w:val="20"/>
                <w:szCs w:val="20"/>
              </w:rPr>
              <w:t>2.88E-03</w:t>
            </w:r>
          </w:p>
        </w:tc>
        <w:tc>
          <w:tcPr>
            <w:tcW w:w="989" w:type="dxa"/>
            <w:shd w:val="clear" w:color="auto" w:fill="auto"/>
            <w:noWrap/>
            <w:vAlign w:val="center"/>
          </w:tcPr>
          <w:p w14:paraId="1D7A5117" w14:textId="77777777" w:rsidR="00A3213E" w:rsidRPr="00C47F2F" w:rsidRDefault="00A3213E" w:rsidP="006A73E0">
            <w:pPr>
              <w:pStyle w:val="Table"/>
              <w:rPr>
                <w:noProof/>
                <w:sz w:val="20"/>
                <w:szCs w:val="20"/>
              </w:rPr>
            </w:pPr>
            <w:r w:rsidRPr="00C47F2F">
              <w:rPr>
                <w:noProof/>
                <w:sz w:val="20"/>
                <w:szCs w:val="20"/>
              </w:rPr>
              <w:t>1.81E-03</w:t>
            </w:r>
          </w:p>
        </w:tc>
        <w:tc>
          <w:tcPr>
            <w:tcW w:w="989" w:type="dxa"/>
            <w:shd w:val="clear" w:color="auto" w:fill="auto"/>
            <w:noWrap/>
            <w:vAlign w:val="center"/>
          </w:tcPr>
          <w:p w14:paraId="7885990C" w14:textId="77777777" w:rsidR="00A3213E" w:rsidRPr="00C47F2F" w:rsidRDefault="00A3213E" w:rsidP="006A73E0">
            <w:pPr>
              <w:pStyle w:val="Table"/>
              <w:rPr>
                <w:noProof/>
                <w:sz w:val="20"/>
                <w:szCs w:val="20"/>
              </w:rPr>
            </w:pPr>
            <w:r w:rsidRPr="00C47F2F">
              <w:rPr>
                <w:noProof/>
                <w:sz w:val="20"/>
                <w:szCs w:val="20"/>
              </w:rPr>
              <w:t>1.32E-03</w:t>
            </w:r>
          </w:p>
        </w:tc>
        <w:tc>
          <w:tcPr>
            <w:tcW w:w="989" w:type="dxa"/>
            <w:shd w:val="clear" w:color="auto" w:fill="auto"/>
            <w:noWrap/>
            <w:vAlign w:val="center"/>
          </w:tcPr>
          <w:p w14:paraId="384D5C51" w14:textId="77777777" w:rsidR="00A3213E" w:rsidRPr="00C47F2F" w:rsidRDefault="00A3213E" w:rsidP="006A73E0">
            <w:pPr>
              <w:pStyle w:val="Table"/>
              <w:rPr>
                <w:noProof/>
                <w:sz w:val="20"/>
                <w:szCs w:val="20"/>
              </w:rPr>
            </w:pPr>
            <w:r w:rsidRPr="00C47F2F">
              <w:rPr>
                <w:noProof/>
                <w:sz w:val="20"/>
                <w:szCs w:val="20"/>
              </w:rPr>
              <w:t>9.59E-04</w:t>
            </w:r>
          </w:p>
        </w:tc>
        <w:tc>
          <w:tcPr>
            <w:tcW w:w="989" w:type="dxa"/>
            <w:shd w:val="clear" w:color="auto" w:fill="auto"/>
            <w:noWrap/>
            <w:vAlign w:val="center"/>
          </w:tcPr>
          <w:p w14:paraId="0ADB6C1E" w14:textId="77777777" w:rsidR="00A3213E" w:rsidRPr="00C47F2F" w:rsidRDefault="00A3213E" w:rsidP="006A73E0">
            <w:pPr>
              <w:pStyle w:val="Table"/>
              <w:rPr>
                <w:noProof/>
                <w:sz w:val="20"/>
                <w:szCs w:val="20"/>
              </w:rPr>
            </w:pPr>
            <w:r w:rsidRPr="00C47F2F">
              <w:rPr>
                <w:noProof/>
                <w:sz w:val="20"/>
                <w:szCs w:val="20"/>
              </w:rPr>
              <w:t>2.47E-04</w:t>
            </w:r>
          </w:p>
        </w:tc>
      </w:tr>
      <w:tr w:rsidR="00A3213E" w:rsidRPr="00972C81" w14:paraId="314D74F2" w14:textId="77777777" w:rsidTr="006A73E0">
        <w:trPr>
          <w:trHeight w:val="340"/>
        </w:trPr>
        <w:tc>
          <w:tcPr>
            <w:tcW w:w="3094" w:type="dxa"/>
            <w:shd w:val="clear" w:color="auto" w:fill="auto"/>
            <w:noWrap/>
            <w:vAlign w:val="center"/>
          </w:tcPr>
          <w:p w14:paraId="15011F1D" w14:textId="0A8C60B7" w:rsidR="00A3213E" w:rsidRPr="00A3213E" w:rsidRDefault="00A3213E" w:rsidP="006A73E0">
            <w:pPr>
              <w:pStyle w:val="Table"/>
              <w:rPr>
                <w:noProof/>
                <w:sz w:val="20"/>
                <w:szCs w:val="22"/>
              </w:rPr>
            </w:pPr>
            <w:r w:rsidRPr="00A3213E">
              <w:rPr>
                <w:noProof/>
                <w:sz w:val="20"/>
                <w:szCs w:val="22"/>
              </w:rPr>
              <w:t>Kidneys 1 to UB cont</w:t>
            </w:r>
          </w:p>
        </w:tc>
        <w:tc>
          <w:tcPr>
            <w:tcW w:w="988" w:type="dxa"/>
            <w:shd w:val="clear" w:color="auto" w:fill="auto"/>
            <w:noWrap/>
            <w:vAlign w:val="center"/>
          </w:tcPr>
          <w:p w14:paraId="671351A2" w14:textId="77777777" w:rsidR="00A3213E" w:rsidRPr="00C47F2F" w:rsidRDefault="00A3213E" w:rsidP="006A73E0">
            <w:pPr>
              <w:pStyle w:val="Table"/>
              <w:rPr>
                <w:noProof/>
                <w:sz w:val="20"/>
                <w:szCs w:val="20"/>
              </w:rPr>
            </w:pPr>
            <w:r w:rsidRPr="00C47F2F">
              <w:rPr>
                <w:noProof/>
                <w:sz w:val="20"/>
                <w:szCs w:val="20"/>
              </w:rPr>
              <w:t>4.62E-02</w:t>
            </w:r>
          </w:p>
        </w:tc>
        <w:tc>
          <w:tcPr>
            <w:tcW w:w="989" w:type="dxa"/>
            <w:shd w:val="clear" w:color="auto" w:fill="auto"/>
            <w:noWrap/>
            <w:vAlign w:val="center"/>
          </w:tcPr>
          <w:p w14:paraId="6B2F933C" w14:textId="77777777" w:rsidR="00A3213E" w:rsidRPr="00C47F2F" w:rsidRDefault="00A3213E" w:rsidP="006A73E0">
            <w:pPr>
              <w:pStyle w:val="Table"/>
              <w:rPr>
                <w:noProof/>
                <w:sz w:val="20"/>
                <w:szCs w:val="20"/>
              </w:rPr>
            </w:pPr>
            <w:r w:rsidRPr="00C47F2F">
              <w:rPr>
                <w:noProof/>
                <w:sz w:val="20"/>
                <w:szCs w:val="20"/>
              </w:rPr>
              <w:t>4.62E-02</w:t>
            </w:r>
          </w:p>
        </w:tc>
        <w:tc>
          <w:tcPr>
            <w:tcW w:w="989" w:type="dxa"/>
            <w:shd w:val="clear" w:color="auto" w:fill="auto"/>
            <w:noWrap/>
            <w:vAlign w:val="center"/>
          </w:tcPr>
          <w:p w14:paraId="1B304768" w14:textId="77777777" w:rsidR="00A3213E" w:rsidRPr="00C47F2F" w:rsidRDefault="00A3213E" w:rsidP="006A73E0">
            <w:pPr>
              <w:pStyle w:val="Table"/>
              <w:rPr>
                <w:noProof/>
                <w:sz w:val="20"/>
                <w:szCs w:val="20"/>
              </w:rPr>
            </w:pPr>
            <w:r w:rsidRPr="00C47F2F">
              <w:rPr>
                <w:noProof/>
                <w:sz w:val="20"/>
                <w:szCs w:val="20"/>
              </w:rPr>
              <w:t>4.62E-02</w:t>
            </w:r>
          </w:p>
        </w:tc>
        <w:tc>
          <w:tcPr>
            <w:tcW w:w="989" w:type="dxa"/>
            <w:shd w:val="clear" w:color="auto" w:fill="auto"/>
            <w:noWrap/>
            <w:vAlign w:val="center"/>
          </w:tcPr>
          <w:p w14:paraId="263015C2" w14:textId="77777777" w:rsidR="00A3213E" w:rsidRPr="00C47F2F" w:rsidRDefault="00A3213E" w:rsidP="006A73E0">
            <w:pPr>
              <w:pStyle w:val="Table"/>
              <w:rPr>
                <w:noProof/>
                <w:sz w:val="20"/>
                <w:szCs w:val="20"/>
              </w:rPr>
            </w:pPr>
            <w:r w:rsidRPr="00C47F2F">
              <w:rPr>
                <w:noProof/>
                <w:sz w:val="20"/>
                <w:szCs w:val="20"/>
              </w:rPr>
              <w:t>4.62E-02</w:t>
            </w:r>
          </w:p>
        </w:tc>
        <w:tc>
          <w:tcPr>
            <w:tcW w:w="989" w:type="dxa"/>
            <w:shd w:val="clear" w:color="auto" w:fill="auto"/>
            <w:noWrap/>
            <w:vAlign w:val="center"/>
          </w:tcPr>
          <w:p w14:paraId="1DBF7710" w14:textId="77777777" w:rsidR="00A3213E" w:rsidRPr="00C47F2F" w:rsidRDefault="00A3213E" w:rsidP="006A73E0">
            <w:pPr>
              <w:pStyle w:val="Table"/>
              <w:rPr>
                <w:noProof/>
                <w:sz w:val="20"/>
                <w:szCs w:val="20"/>
              </w:rPr>
            </w:pPr>
            <w:r w:rsidRPr="00C47F2F">
              <w:rPr>
                <w:noProof/>
                <w:sz w:val="20"/>
                <w:szCs w:val="20"/>
              </w:rPr>
              <w:t>4.62E-02</w:t>
            </w:r>
          </w:p>
        </w:tc>
        <w:tc>
          <w:tcPr>
            <w:tcW w:w="989" w:type="dxa"/>
            <w:shd w:val="clear" w:color="auto" w:fill="auto"/>
            <w:noWrap/>
            <w:vAlign w:val="center"/>
          </w:tcPr>
          <w:p w14:paraId="55477482" w14:textId="77777777" w:rsidR="00A3213E" w:rsidRPr="00C47F2F" w:rsidRDefault="00A3213E" w:rsidP="006A73E0">
            <w:pPr>
              <w:pStyle w:val="Table"/>
              <w:rPr>
                <w:noProof/>
                <w:sz w:val="20"/>
                <w:szCs w:val="20"/>
              </w:rPr>
            </w:pPr>
            <w:r w:rsidRPr="00C47F2F">
              <w:rPr>
                <w:noProof/>
                <w:sz w:val="20"/>
                <w:szCs w:val="20"/>
              </w:rPr>
              <w:t>4.62E-02</w:t>
            </w:r>
          </w:p>
        </w:tc>
      </w:tr>
      <w:tr w:rsidR="00A3213E" w:rsidRPr="00972C81" w14:paraId="37DDE150" w14:textId="77777777" w:rsidTr="006A73E0">
        <w:trPr>
          <w:trHeight w:val="340"/>
        </w:trPr>
        <w:tc>
          <w:tcPr>
            <w:tcW w:w="3094" w:type="dxa"/>
            <w:shd w:val="clear" w:color="auto" w:fill="auto"/>
            <w:noWrap/>
            <w:vAlign w:val="center"/>
          </w:tcPr>
          <w:p w14:paraId="038C39F7" w14:textId="7B788903" w:rsidR="00A3213E" w:rsidRPr="00A3213E" w:rsidRDefault="00A3213E" w:rsidP="006A73E0">
            <w:pPr>
              <w:pStyle w:val="Table"/>
              <w:rPr>
                <w:noProof/>
                <w:sz w:val="20"/>
                <w:szCs w:val="22"/>
              </w:rPr>
            </w:pPr>
            <w:r w:rsidRPr="00A3213E">
              <w:rPr>
                <w:noProof/>
                <w:sz w:val="20"/>
                <w:szCs w:val="22"/>
              </w:rPr>
              <w:t>Kidneys 2 to Blood</w:t>
            </w:r>
          </w:p>
        </w:tc>
        <w:tc>
          <w:tcPr>
            <w:tcW w:w="988" w:type="dxa"/>
            <w:shd w:val="clear" w:color="auto" w:fill="auto"/>
            <w:noWrap/>
            <w:vAlign w:val="center"/>
          </w:tcPr>
          <w:p w14:paraId="3598683C" w14:textId="77777777" w:rsidR="00A3213E" w:rsidRPr="00C47F2F" w:rsidRDefault="00A3213E" w:rsidP="006A73E0">
            <w:pPr>
              <w:pStyle w:val="Table"/>
              <w:rPr>
                <w:noProof/>
                <w:sz w:val="20"/>
                <w:szCs w:val="20"/>
              </w:rPr>
            </w:pPr>
            <w:r w:rsidRPr="00C47F2F">
              <w:rPr>
                <w:noProof/>
                <w:sz w:val="20"/>
                <w:szCs w:val="20"/>
              </w:rPr>
              <w:t>3.80E-04</w:t>
            </w:r>
          </w:p>
        </w:tc>
        <w:tc>
          <w:tcPr>
            <w:tcW w:w="989" w:type="dxa"/>
            <w:shd w:val="clear" w:color="auto" w:fill="auto"/>
            <w:noWrap/>
            <w:vAlign w:val="center"/>
          </w:tcPr>
          <w:p w14:paraId="32E3A5C8" w14:textId="77777777" w:rsidR="00A3213E" w:rsidRPr="00C47F2F" w:rsidRDefault="00A3213E" w:rsidP="006A73E0">
            <w:pPr>
              <w:pStyle w:val="Table"/>
              <w:rPr>
                <w:noProof/>
                <w:sz w:val="20"/>
                <w:szCs w:val="20"/>
              </w:rPr>
            </w:pPr>
            <w:r w:rsidRPr="00C47F2F">
              <w:rPr>
                <w:noProof/>
                <w:sz w:val="20"/>
                <w:szCs w:val="20"/>
              </w:rPr>
              <w:t>3.80E-04</w:t>
            </w:r>
          </w:p>
        </w:tc>
        <w:tc>
          <w:tcPr>
            <w:tcW w:w="989" w:type="dxa"/>
            <w:shd w:val="clear" w:color="auto" w:fill="auto"/>
            <w:noWrap/>
            <w:vAlign w:val="center"/>
          </w:tcPr>
          <w:p w14:paraId="625BB748" w14:textId="77777777" w:rsidR="00A3213E" w:rsidRPr="00C47F2F" w:rsidRDefault="00A3213E" w:rsidP="006A73E0">
            <w:pPr>
              <w:pStyle w:val="Table"/>
              <w:rPr>
                <w:noProof/>
                <w:sz w:val="20"/>
                <w:szCs w:val="20"/>
              </w:rPr>
            </w:pPr>
            <w:r w:rsidRPr="00C47F2F">
              <w:rPr>
                <w:noProof/>
                <w:sz w:val="20"/>
                <w:szCs w:val="20"/>
              </w:rPr>
              <w:t>3.80E-04</w:t>
            </w:r>
          </w:p>
        </w:tc>
        <w:tc>
          <w:tcPr>
            <w:tcW w:w="989" w:type="dxa"/>
            <w:shd w:val="clear" w:color="auto" w:fill="auto"/>
            <w:noWrap/>
            <w:vAlign w:val="center"/>
          </w:tcPr>
          <w:p w14:paraId="739325E3" w14:textId="77777777" w:rsidR="00A3213E" w:rsidRPr="00C47F2F" w:rsidRDefault="00A3213E" w:rsidP="006A73E0">
            <w:pPr>
              <w:pStyle w:val="Table"/>
              <w:rPr>
                <w:noProof/>
                <w:sz w:val="20"/>
                <w:szCs w:val="20"/>
              </w:rPr>
            </w:pPr>
            <w:r w:rsidRPr="00C47F2F">
              <w:rPr>
                <w:noProof/>
                <w:sz w:val="20"/>
                <w:szCs w:val="20"/>
              </w:rPr>
              <w:t>3.80E-04</w:t>
            </w:r>
          </w:p>
        </w:tc>
        <w:tc>
          <w:tcPr>
            <w:tcW w:w="989" w:type="dxa"/>
            <w:shd w:val="clear" w:color="auto" w:fill="auto"/>
            <w:noWrap/>
            <w:vAlign w:val="center"/>
          </w:tcPr>
          <w:p w14:paraId="6F216268" w14:textId="77777777" w:rsidR="00A3213E" w:rsidRPr="00C47F2F" w:rsidRDefault="00A3213E" w:rsidP="006A73E0">
            <w:pPr>
              <w:pStyle w:val="Table"/>
              <w:rPr>
                <w:noProof/>
                <w:sz w:val="20"/>
                <w:szCs w:val="20"/>
              </w:rPr>
            </w:pPr>
            <w:r w:rsidRPr="00C47F2F">
              <w:rPr>
                <w:noProof/>
                <w:sz w:val="20"/>
                <w:szCs w:val="20"/>
              </w:rPr>
              <w:t>3.80E-04</w:t>
            </w:r>
          </w:p>
        </w:tc>
        <w:tc>
          <w:tcPr>
            <w:tcW w:w="989" w:type="dxa"/>
            <w:shd w:val="clear" w:color="auto" w:fill="auto"/>
            <w:noWrap/>
            <w:vAlign w:val="center"/>
          </w:tcPr>
          <w:p w14:paraId="6EC93407" w14:textId="77777777" w:rsidR="00A3213E" w:rsidRPr="00C47F2F" w:rsidRDefault="00A3213E" w:rsidP="006A73E0">
            <w:pPr>
              <w:pStyle w:val="Table"/>
              <w:rPr>
                <w:noProof/>
                <w:sz w:val="20"/>
                <w:szCs w:val="20"/>
              </w:rPr>
            </w:pPr>
            <w:r w:rsidRPr="00C47F2F">
              <w:rPr>
                <w:noProof/>
                <w:sz w:val="20"/>
                <w:szCs w:val="20"/>
              </w:rPr>
              <w:t>3.80E-04</w:t>
            </w:r>
          </w:p>
        </w:tc>
      </w:tr>
      <w:tr w:rsidR="00A3213E" w:rsidRPr="00972C81" w14:paraId="57761731" w14:textId="77777777" w:rsidTr="006A73E0">
        <w:trPr>
          <w:trHeight w:val="340"/>
        </w:trPr>
        <w:tc>
          <w:tcPr>
            <w:tcW w:w="3094" w:type="dxa"/>
            <w:shd w:val="clear" w:color="auto" w:fill="auto"/>
            <w:noWrap/>
            <w:vAlign w:val="center"/>
          </w:tcPr>
          <w:p w14:paraId="56197BC6" w14:textId="14FA99CE" w:rsidR="00A3213E" w:rsidRPr="00A3213E" w:rsidRDefault="00A3213E" w:rsidP="006A73E0">
            <w:pPr>
              <w:pStyle w:val="Table"/>
              <w:rPr>
                <w:noProof/>
                <w:sz w:val="20"/>
                <w:szCs w:val="22"/>
              </w:rPr>
            </w:pPr>
            <w:r w:rsidRPr="00A3213E">
              <w:rPr>
                <w:noProof/>
                <w:sz w:val="20"/>
                <w:szCs w:val="22"/>
              </w:rPr>
              <w:t>Testes to Blood</w:t>
            </w:r>
          </w:p>
        </w:tc>
        <w:tc>
          <w:tcPr>
            <w:tcW w:w="988" w:type="dxa"/>
            <w:shd w:val="clear" w:color="auto" w:fill="auto"/>
            <w:noWrap/>
            <w:vAlign w:val="center"/>
          </w:tcPr>
          <w:p w14:paraId="2AAE403C" w14:textId="77777777" w:rsidR="00A3213E" w:rsidRPr="00C47F2F" w:rsidRDefault="00A3213E" w:rsidP="006A73E0">
            <w:pPr>
              <w:pStyle w:val="Table"/>
              <w:rPr>
                <w:noProof/>
                <w:sz w:val="20"/>
                <w:szCs w:val="20"/>
              </w:rPr>
            </w:pPr>
            <w:r w:rsidRPr="00C47F2F">
              <w:rPr>
                <w:noProof/>
                <w:sz w:val="20"/>
                <w:szCs w:val="20"/>
              </w:rPr>
              <w:t>3.80E-04</w:t>
            </w:r>
          </w:p>
        </w:tc>
        <w:tc>
          <w:tcPr>
            <w:tcW w:w="989" w:type="dxa"/>
            <w:shd w:val="clear" w:color="auto" w:fill="auto"/>
            <w:noWrap/>
            <w:vAlign w:val="center"/>
          </w:tcPr>
          <w:p w14:paraId="79E30773" w14:textId="77777777" w:rsidR="00A3213E" w:rsidRPr="00C47F2F" w:rsidRDefault="00A3213E" w:rsidP="006A73E0">
            <w:pPr>
              <w:pStyle w:val="Table"/>
              <w:rPr>
                <w:noProof/>
                <w:sz w:val="20"/>
                <w:szCs w:val="20"/>
              </w:rPr>
            </w:pPr>
            <w:r w:rsidRPr="00C47F2F">
              <w:rPr>
                <w:noProof/>
                <w:sz w:val="20"/>
                <w:szCs w:val="20"/>
              </w:rPr>
              <w:t>3.80E-04</w:t>
            </w:r>
          </w:p>
        </w:tc>
        <w:tc>
          <w:tcPr>
            <w:tcW w:w="989" w:type="dxa"/>
            <w:shd w:val="clear" w:color="auto" w:fill="auto"/>
            <w:noWrap/>
            <w:vAlign w:val="center"/>
          </w:tcPr>
          <w:p w14:paraId="15A1B5D3" w14:textId="77777777" w:rsidR="00A3213E" w:rsidRPr="00C47F2F" w:rsidRDefault="00A3213E" w:rsidP="006A73E0">
            <w:pPr>
              <w:pStyle w:val="Table"/>
              <w:rPr>
                <w:noProof/>
                <w:sz w:val="20"/>
                <w:szCs w:val="20"/>
              </w:rPr>
            </w:pPr>
            <w:r w:rsidRPr="00C47F2F">
              <w:rPr>
                <w:noProof/>
                <w:sz w:val="20"/>
                <w:szCs w:val="20"/>
              </w:rPr>
              <w:t>3.80E-04</w:t>
            </w:r>
          </w:p>
        </w:tc>
        <w:tc>
          <w:tcPr>
            <w:tcW w:w="989" w:type="dxa"/>
            <w:shd w:val="clear" w:color="auto" w:fill="auto"/>
            <w:noWrap/>
            <w:vAlign w:val="center"/>
          </w:tcPr>
          <w:p w14:paraId="77C91A78" w14:textId="77777777" w:rsidR="00A3213E" w:rsidRPr="00C47F2F" w:rsidRDefault="00A3213E" w:rsidP="006A73E0">
            <w:pPr>
              <w:pStyle w:val="Table"/>
              <w:rPr>
                <w:noProof/>
                <w:sz w:val="20"/>
                <w:szCs w:val="20"/>
              </w:rPr>
            </w:pPr>
            <w:r w:rsidRPr="00C47F2F">
              <w:rPr>
                <w:noProof/>
                <w:sz w:val="20"/>
                <w:szCs w:val="20"/>
              </w:rPr>
              <w:t>3.80E-04</w:t>
            </w:r>
          </w:p>
        </w:tc>
        <w:tc>
          <w:tcPr>
            <w:tcW w:w="989" w:type="dxa"/>
            <w:shd w:val="clear" w:color="auto" w:fill="auto"/>
            <w:noWrap/>
            <w:vAlign w:val="center"/>
          </w:tcPr>
          <w:p w14:paraId="79095DFC" w14:textId="77777777" w:rsidR="00A3213E" w:rsidRPr="00C47F2F" w:rsidRDefault="00A3213E" w:rsidP="006A73E0">
            <w:pPr>
              <w:pStyle w:val="Table"/>
              <w:rPr>
                <w:noProof/>
                <w:sz w:val="20"/>
                <w:szCs w:val="20"/>
              </w:rPr>
            </w:pPr>
            <w:r w:rsidRPr="00C47F2F">
              <w:rPr>
                <w:noProof/>
                <w:sz w:val="20"/>
                <w:szCs w:val="20"/>
              </w:rPr>
              <w:t>3.80E-04</w:t>
            </w:r>
          </w:p>
        </w:tc>
        <w:tc>
          <w:tcPr>
            <w:tcW w:w="989" w:type="dxa"/>
            <w:shd w:val="clear" w:color="auto" w:fill="auto"/>
            <w:noWrap/>
            <w:vAlign w:val="center"/>
          </w:tcPr>
          <w:p w14:paraId="77677811" w14:textId="77777777" w:rsidR="00A3213E" w:rsidRPr="00C47F2F" w:rsidRDefault="00A3213E" w:rsidP="006A73E0">
            <w:pPr>
              <w:pStyle w:val="Table"/>
              <w:rPr>
                <w:noProof/>
                <w:sz w:val="20"/>
                <w:szCs w:val="20"/>
              </w:rPr>
            </w:pPr>
            <w:r w:rsidRPr="00C47F2F">
              <w:rPr>
                <w:noProof/>
                <w:sz w:val="20"/>
                <w:szCs w:val="20"/>
              </w:rPr>
              <w:t>3.80E-04</w:t>
            </w:r>
          </w:p>
        </w:tc>
      </w:tr>
      <w:tr w:rsidR="00A3213E" w:rsidRPr="00972C81" w14:paraId="1495054E" w14:textId="77777777" w:rsidTr="006A73E0">
        <w:trPr>
          <w:trHeight w:val="340"/>
        </w:trPr>
        <w:tc>
          <w:tcPr>
            <w:tcW w:w="3094" w:type="dxa"/>
            <w:shd w:val="clear" w:color="auto" w:fill="auto"/>
            <w:noWrap/>
            <w:vAlign w:val="center"/>
          </w:tcPr>
          <w:p w14:paraId="686485BF" w14:textId="15894BA4" w:rsidR="00A3213E" w:rsidRPr="00A3213E" w:rsidRDefault="00A3213E" w:rsidP="006A73E0">
            <w:pPr>
              <w:pStyle w:val="Table"/>
              <w:rPr>
                <w:noProof/>
                <w:sz w:val="20"/>
                <w:szCs w:val="22"/>
              </w:rPr>
            </w:pPr>
            <w:r w:rsidRPr="00A3213E">
              <w:rPr>
                <w:noProof/>
                <w:sz w:val="20"/>
                <w:szCs w:val="22"/>
              </w:rPr>
              <w:t>Ovaries to Blood</w:t>
            </w:r>
          </w:p>
        </w:tc>
        <w:tc>
          <w:tcPr>
            <w:tcW w:w="988" w:type="dxa"/>
            <w:shd w:val="clear" w:color="auto" w:fill="auto"/>
            <w:noWrap/>
            <w:vAlign w:val="center"/>
          </w:tcPr>
          <w:p w14:paraId="736BCD25" w14:textId="77777777" w:rsidR="00A3213E" w:rsidRPr="00C47F2F" w:rsidRDefault="00A3213E" w:rsidP="006A73E0">
            <w:pPr>
              <w:pStyle w:val="Table"/>
              <w:rPr>
                <w:noProof/>
                <w:sz w:val="20"/>
                <w:szCs w:val="20"/>
              </w:rPr>
            </w:pPr>
            <w:r w:rsidRPr="00C47F2F">
              <w:rPr>
                <w:noProof/>
                <w:sz w:val="20"/>
                <w:szCs w:val="20"/>
              </w:rPr>
              <w:t>3.80E-04</w:t>
            </w:r>
          </w:p>
        </w:tc>
        <w:tc>
          <w:tcPr>
            <w:tcW w:w="989" w:type="dxa"/>
            <w:shd w:val="clear" w:color="auto" w:fill="auto"/>
            <w:noWrap/>
            <w:vAlign w:val="center"/>
          </w:tcPr>
          <w:p w14:paraId="09A9FFB4" w14:textId="77777777" w:rsidR="00A3213E" w:rsidRPr="00C47F2F" w:rsidRDefault="00A3213E" w:rsidP="006A73E0">
            <w:pPr>
              <w:pStyle w:val="Table"/>
              <w:rPr>
                <w:noProof/>
                <w:sz w:val="20"/>
                <w:szCs w:val="20"/>
              </w:rPr>
            </w:pPr>
            <w:r w:rsidRPr="00C47F2F">
              <w:rPr>
                <w:noProof/>
                <w:sz w:val="20"/>
                <w:szCs w:val="20"/>
              </w:rPr>
              <w:t>3.80E-04</w:t>
            </w:r>
          </w:p>
        </w:tc>
        <w:tc>
          <w:tcPr>
            <w:tcW w:w="989" w:type="dxa"/>
            <w:shd w:val="clear" w:color="auto" w:fill="auto"/>
            <w:noWrap/>
            <w:vAlign w:val="center"/>
          </w:tcPr>
          <w:p w14:paraId="59C34839" w14:textId="77777777" w:rsidR="00A3213E" w:rsidRPr="00C47F2F" w:rsidRDefault="00A3213E" w:rsidP="006A73E0">
            <w:pPr>
              <w:pStyle w:val="Table"/>
              <w:rPr>
                <w:noProof/>
                <w:sz w:val="20"/>
                <w:szCs w:val="20"/>
              </w:rPr>
            </w:pPr>
            <w:r w:rsidRPr="00C47F2F">
              <w:rPr>
                <w:noProof/>
                <w:sz w:val="20"/>
                <w:szCs w:val="20"/>
              </w:rPr>
              <w:t>3.80E-04</w:t>
            </w:r>
          </w:p>
        </w:tc>
        <w:tc>
          <w:tcPr>
            <w:tcW w:w="989" w:type="dxa"/>
            <w:shd w:val="clear" w:color="auto" w:fill="auto"/>
            <w:noWrap/>
            <w:vAlign w:val="center"/>
          </w:tcPr>
          <w:p w14:paraId="33B69683" w14:textId="77777777" w:rsidR="00A3213E" w:rsidRPr="00C47F2F" w:rsidRDefault="00A3213E" w:rsidP="006A73E0">
            <w:pPr>
              <w:pStyle w:val="Table"/>
              <w:rPr>
                <w:noProof/>
                <w:sz w:val="20"/>
                <w:szCs w:val="20"/>
              </w:rPr>
            </w:pPr>
            <w:r w:rsidRPr="00C47F2F">
              <w:rPr>
                <w:noProof/>
                <w:sz w:val="20"/>
                <w:szCs w:val="20"/>
              </w:rPr>
              <w:t>3.80E-04</w:t>
            </w:r>
          </w:p>
        </w:tc>
        <w:tc>
          <w:tcPr>
            <w:tcW w:w="989" w:type="dxa"/>
            <w:shd w:val="clear" w:color="auto" w:fill="auto"/>
            <w:noWrap/>
            <w:vAlign w:val="center"/>
          </w:tcPr>
          <w:p w14:paraId="7EB8F754" w14:textId="77777777" w:rsidR="00A3213E" w:rsidRPr="00C47F2F" w:rsidRDefault="00A3213E" w:rsidP="006A73E0">
            <w:pPr>
              <w:pStyle w:val="Table"/>
              <w:rPr>
                <w:noProof/>
                <w:sz w:val="20"/>
                <w:szCs w:val="20"/>
              </w:rPr>
            </w:pPr>
            <w:r w:rsidRPr="00C47F2F">
              <w:rPr>
                <w:noProof/>
                <w:sz w:val="20"/>
                <w:szCs w:val="20"/>
              </w:rPr>
              <w:t>3.80E-04</w:t>
            </w:r>
          </w:p>
        </w:tc>
        <w:tc>
          <w:tcPr>
            <w:tcW w:w="989" w:type="dxa"/>
            <w:shd w:val="clear" w:color="auto" w:fill="auto"/>
            <w:noWrap/>
            <w:vAlign w:val="center"/>
          </w:tcPr>
          <w:p w14:paraId="18F54642" w14:textId="77777777" w:rsidR="00A3213E" w:rsidRPr="00C47F2F" w:rsidRDefault="00A3213E" w:rsidP="006A73E0">
            <w:pPr>
              <w:pStyle w:val="Table"/>
              <w:rPr>
                <w:noProof/>
                <w:sz w:val="20"/>
                <w:szCs w:val="20"/>
              </w:rPr>
            </w:pPr>
            <w:r w:rsidRPr="00C47F2F">
              <w:rPr>
                <w:noProof/>
                <w:sz w:val="20"/>
                <w:szCs w:val="20"/>
              </w:rPr>
              <w:t>3.80E-04</w:t>
            </w:r>
          </w:p>
        </w:tc>
      </w:tr>
      <w:tr w:rsidR="00A3213E" w:rsidRPr="00972C81" w14:paraId="5CFA26A7" w14:textId="77777777" w:rsidTr="006A73E0">
        <w:trPr>
          <w:trHeight w:val="340"/>
        </w:trPr>
        <w:tc>
          <w:tcPr>
            <w:tcW w:w="3094" w:type="dxa"/>
            <w:shd w:val="clear" w:color="auto" w:fill="auto"/>
            <w:noWrap/>
            <w:vAlign w:val="center"/>
          </w:tcPr>
          <w:p w14:paraId="33F94512" w14:textId="79E66093" w:rsidR="00A3213E" w:rsidRPr="00A3213E" w:rsidRDefault="00A3213E" w:rsidP="006A73E0">
            <w:pPr>
              <w:pStyle w:val="Table"/>
              <w:rPr>
                <w:noProof/>
                <w:sz w:val="20"/>
                <w:szCs w:val="22"/>
              </w:rPr>
            </w:pPr>
            <w:r w:rsidRPr="00A3213E">
              <w:rPr>
                <w:noProof/>
                <w:sz w:val="20"/>
                <w:szCs w:val="22"/>
              </w:rPr>
              <w:t>ST0 to Blood</w:t>
            </w:r>
          </w:p>
        </w:tc>
        <w:tc>
          <w:tcPr>
            <w:tcW w:w="988" w:type="dxa"/>
            <w:shd w:val="clear" w:color="auto" w:fill="auto"/>
            <w:noWrap/>
            <w:vAlign w:val="center"/>
          </w:tcPr>
          <w:p w14:paraId="7CDBA52B" w14:textId="77777777" w:rsidR="00A3213E" w:rsidRPr="00C47F2F" w:rsidRDefault="00A3213E" w:rsidP="006A73E0">
            <w:pPr>
              <w:pStyle w:val="Table"/>
              <w:rPr>
                <w:noProof/>
                <w:sz w:val="20"/>
                <w:szCs w:val="20"/>
              </w:rPr>
            </w:pPr>
            <w:r w:rsidRPr="00C47F2F">
              <w:rPr>
                <w:noProof/>
                <w:sz w:val="20"/>
                <w:szCs w:val="20"/>
              </w:rPr>
              <w:t>4.62E-01</w:t>
            </w:r>
          </w:p>
        </w:tc>
        <w:tc>
          <w:tcPr>
            <w:tcW w:w="989" w:type="dxa"/>
            <w:shd w:val="clear" w:color="auto" w:fill="auto"/>
            <w:noWrap/>
            <w:vAlign w:val="center"/>
          </w:tcPr>
          <w:p w14:paraId="115C5677" w14:textId="77777777" w:rsidR="00A3213E" w:rsidRPr="00C47F2F" w:rsidRDefault="00A3213E" w:rsidP="006A73E0">
            <w:pPr>
              <w:pStyle w:val="Table"/>
              <w:rPr>
                <w:noProof/>
                <w:sz w:val="20"/>
                <w:szCs w:val="20"/>
              </w:rPr>
            </w:pPr>
            <w:r w:rsidRPr="00C47F2F">
              <w:rPr>
                <w:noProof/>
                <w:sz w:val="20"/>
                <w:szCs w:val="20"/>
              </w:rPr>
              <w:t>4.62E-01</w:t>
            </w:r>
          </w:p>
        </w:tc>
        <w:tc>
          <w:tcPr>
            <w:tcW w:w="989" w:type="dxa"/>
            <w:shd w:val="clear" w:color="auto" w:fill="auto"/>
            <w:noWrap/>
            <w:vAlign w:val="center"/>
          </w:tcPr>
          <w:p w14:paraId="1E6DBFAA" w14:textId="77777777" w:rsidR="00A3213E" w:rsidRPr="00C47F2F" w:rsidRDefault="00A3213E" w:rsidP="006A73E0">
            <w:pPr>
              <w:pStyle w:val="Table"/>
              <w:rPr>
                <w:noProof/>
                <w:sz w:val="20"/>
                <w:szCs w:val="20"/>
              </w:rPr>
            </w:pPr>
            <w:r w:rsidRPr="00C47F2F">
              <w:rPr>
                <w:noProof/>
                <w:sz w:val="20"/>
                <w:szCs w:val="20"/>
              </w:rPr>
              <w:t>4.62E-01</w:t>
            </w:r>
          </w:p>
        </w:tc>
        <w:tc>
          <w:tcPr>
            <w:tcW w:w="989" w:type="dxa"/>
            <w:shd w:val="clear" w:color="auto" w:fill="auto"/>
            <w:noWrap/>
            <w:vAlign w:val="center"/>
          </w:tcPr>
          <w:p w14:paraId="735EAB94" w14:textId="77777777" w:rsidR="00A3213E" w:rsidRPr="00C47F2F" w:rsidRDefault="00A3213E" w:rsidP="006A73E0">
            <w:pPr>
              <w:pStyle w:val="Table"/>
              <w:rPr>
                <w:noProof/>
                <w:sz w:val="20"/>
                <w:szCs w:val="20"/>
              </w:rPr>
            </w:pPr>
            <w:r w:rsidRPr="00C47F2F">
              <w:rPr>
                <w:noProof/>
                <w:sz w:val="20"/>
                <w:szCs w:val="20"/>
              </w:rPr>
              <w:t>4.62E-01</w:t>
            </w:r>
          </w:p>
        </w:tc>
        <w:tc>
          <w:tcPr>
            <w:tcW w:w="989" w:type="dxa"/>
            <w:shd w:val="clear" w:color="auto" w:fill="auto"/>
            <w:noWrap/>
            <w:vAlign w:val="center"/>
          </w:tcPr>
          <w:p w14:paraId="11E95045" w14:textId="77777777" w:rsidR="00A3213E" w:rsidRPr="00C47F2F" w:rsidRDefault="00A3213E" w:rsidP="006A73E0">
            <w:pPr>
              <w:pStyle w:val="Table"/>
              <w:rPr>
                <w:noProof/>
                <w:sz w:val="20"/>
                <w:szCs w:val="20"/>
              </w:rPr>
            </w:pPr>
            <w:r w:rsidRPr="00C47F2F">
              <w:rPr>
                <w:noProof/>
                <w:sz w:val="20"/>
                <w:szCs w:val="20"/>
              </w:rPr>
              <w:t>4.62E-01</w:t>
            </w:r>
          </w:p>
        </w:tc>
        <w:tc>
          <w:tcPr>
            <w:tcW w:w="989" w:type="dxa"/>
            <w:shd w:val="clear" w:color="auto" w:fill="auto"/>
            <w:noWrap/>
            <w:vAlign w:val="center"/>
          </w:tcPr>
          <w:p w14:paraId="3EB91227" w14:textId="77777777" w:rsidR="00A3213E" w:rsidRPr="00C47F2F" w:rsidRDefault="00A3213E" w:rsidP="006A73E0">
            <w:pPr>
              <w:pStyle w:val="Table"/>
              <w:rPr>
                <w:noProof/>
                <w:sz w:val="20"/>
                <w:szCs w:val="20"/>
              </w:rPr>
            </w:pPr>
            <w:r w:rsidRPr="00C47F2F">
              <w:rPr>
                <w:noProof/>
                <w:sz w:val="20"/>
                <w:szCs w:val="20"/>
              </w:rPr>
              <w:t>4.62E-01</w:t>
            </w:r>
          </w:p>
        </w:tc>
      </w:tr>
      <w:tr w:rsidR="00A3213E" w:rsidRPr="00972C81" w14:paraId="05525D4E" w14:textId="77777777" w:rsidTr="006A73E0">
        <w:trPr>
          <w:trHeight w:val="340"/>
        </w:trPr>
        <w:tc>
          <w:tcPr>
            <w:tcW w:w="3094" w:type="dxa"/>
            <w:shd w:val="clear" w:color="auto" w:fill="auto"/>
            <w:noWrap/>
            <w:vAlign w:val="center"/>
          </w:tcPr>
          <w:p w14:paraId="03A9AF43" w14:textId="1613D852" w:rsidR="00A3213E" w:rsidRPr="00A3213E" w:rsidRDefault="00A3213E" w:rsidP="006A73E0">
            <w:pPr>
              <w:pStyle w:val="Table"/>
              <w:rPr>
                <w:noProof/>
                <w:sz w:val="20"/>
                <w:szCs w:val="22"/>
              </w:rPr>
            </w:pPr>
            <w:r w:rsidRPr="00A3213E">
              <w:rPr>
                <w:noProof/>
                <w:sz w:val="20"/>
                <w:szCs w:val="22"/>
              </w:rPr>
              <w:t>ST1 to Blood</w:t>
            </w:r>
          </w:p>
        </w:tc>
        <w:tc>
          <w:tcPr>
            <w:tcW w:w="988" w:type="dxa"/>
            <w:shd w:val="clear" w:color="auto" w:fill="auto"/>
            <w:noWrap/>
            <w:vAlign w:val="center"/>
          </w:tcPr>
          <w:p w14:paraId="1FB5419C" w14:textId="77777777" w:rsidR="00A3213E" w:rsidRPr="00C47F2F" w:rsidRDefault="00A3213E" w:rsidP="006A73E0">
            <w:pPr>
              <w:pStyle w:val="Table"/>
              <w:rPr>
                <w:noProof/>
                <w:sz w:val="20"/>
                <w:szCs w:val="20"/>
              </w:rPr>
            </w:pPr>
            <w:r w:rsidRPr="00C47F2F">
              <w:rPr>
                <w:noProof/>
                <w:sz w:val="20"/>
                <w:szCs w:val="20"/>
              </w:rPr>
              <w:t>9.50E-04</w:t>
            </w:r>
          </w:p>
        </w:tc>
        <w:tc>
          <w:tcPr>
            <w:tcW w:w="989" w:type="dxa"/>
            <w:shd w:val="clear" w:color="auto" w:fill="auto"/>
            <w:noWrap/>
            <w:vAlign w:val="center"/>
          </w:tcPr>
          <w:p w14:paraId="07A2ADDB" w14:textId="77777777" w:rsidR="00A3213E" w:rsidRPr="00C47F2F" w:rsidRDefault="00A3213E" w:rsidP="006A73E0">
            <w:pPr>
              <w:pStyle w:val="Table"/>
              <w:rPr>
                <w:noProof/>
                <w:sz w:val="20"/>
                <w:szCs w:val="20"/>
              </w:rPr>
            </w:pPr>
            <w:r w:rsidRPr="00C47F2F">
              <w:rPr>
                <w:noProof/>
                <w:sz w:val="20"/>
                <w:szCs w:val="20"/>
              </w:rPr>
              <w:t>9.50E-04</w:t>
            </w:r>
          </w:p>
        </w:tc>
        <w:tc>
          <w:tcPr>
            <w:tcW w:w="989" w:type="dxa"/>
            <w:shd w:val="clear" w:color="auto" w:fill="auto"/>
            <w:noWrap/>
            <w:vAlign w:val="center"/>
          </w:tcPr>
          <w:p w14:paraId="06F4562C" w14:textId="77777777" w:rsidR="00A3213E" w:rsidRPr="00C47F2F" w:rsidRDefault="00A3213E" w:rsidP="006A73E0">
            <w:pPr>
              <w:pStyle w:val="Table"/>
              <w:rPr>
                <w:noProof/>
                <w:sz w:val="20"/>
                <w:szCs w:val="20"/>
              </w:rPr>
            </w:pPr>
            <w:r w:rsidRPr="00C47F2F">
              <w:rPr>
                <w:noProof/>
                <w:sz w:val="20"/>
                <w:szCs w:val="20"/>
              </w:rPr>
              <w:t>9.50E-04</w:t>
            </w:r>
          </w:p>
        </w:tc>
        <w:tc>
          <w:tcPr>
            <w:tcW w:w="989" w:type="dxa"/>
            <w:shd w:val="clear" w:color="auto" w:fill="auto"/>
            <w:noWrap/>
            <w:vAlign w:val="center"/>
          </w:tcPr>
          <w:p w14:paraId="669A7E85" w14:textId="77777777" w:rsidR="00A3213E" w:rsidRPr="00C47F2F" w:rsidRDefault="00A3213E" w:rsidP="006A73E0">
            <w:pPr>
              <w:pStyle w:val="Table"/>
              <w:rPr>
                <w:noProof/>
                <w:sz w:val="20"/>
                <w:szCs w:val="20"/>
              </w:rPr>
            </w:pPr>
            <w:r w:rsidRPr="00C47F2F">
              <w:rPr>
                <w:noProof/>
                <w:sz w:val="20"/>
                <w:szCs w:val="20"/>
              </w:rPr>
              <w:t>9.50E-04</w:t>
            </w:r>
          </w:p>
        </w:tc>
        <w:tc>
          <w:tcPr>
            <w:tcW w:w="989" w:type="dxa"/>
            <w:shd w:val="clear" w:color="auto" w:fill="auto"/>
            <w:noWrap/>
            <w:vAlign w:val="center"/>
          </w:tcPr>
          <w:p w14:paraId="4FF4986C" w14:textId="77777777" w:rsidR="00A3213E" w:rsidRPr="00C47F2F" w:rsidRDefault="00A3213E" w:rsidP="006A73E0">
            <w:pPr>
              <w:pStyle w:val="Table"/>
              <w:rPr>
                <w:noProof/>
                <w:sz w:val="20"/>
                <w:szCs w:val="20"/>
              </w:rPr>
            </w:pPr>
            <w:r w:rsidRPr="00C47F2F">
              <w:rPr>
                <w:noProof/>
                <w:sz w:val="20"/>
                <w:szCs w:val="20"/>
              </w:rPr>
              <w:t>9.50E-04</w:t>
            </w:r>
          </w:p>
        </w:tc>
        <w:tc>
          <w:tcPr>
            <w:tcW w:w="989" w:type="dxa"/>
            <w:shd w:val="clear" w:color="auto" w:fill="auto"/>
            <w:noWrap/>
            <w:vAlign w:val="center"/>
          </w:tcPr>
          <w:p w14:paraId="7588347C" w14:textId="77777777" w:rsidR="00A3213E" w:rsidRPr="00C47F2F" w:rsidRDefault="00A3213E" w:rsidP="006A73E0">
            <w:pPr>
              <w:pStyle w:val="Table"/>
              <w:rPr>
                <w:noProof/>
                <w:sz w:val="20"/>
                <w:szCs w:val="20"/>
              </w:rPr>
            </w:pPr>
            <w:r w:rsidRPr="00C47F2F">
              <w:rPr>
                <w:noProof/>
                <w:sz w:val="20"/>
                <w:szCs w:val="20"/>
              </w:rPr>
              <w:t>9.50E-04</w:t>
            </w:r>
          </w:p>
        </w:tc>
      </w:tr>
      <w:tr w:rsidR="00A3213E" w:rsidRPr="00972C81" w14:paraId="33D253BA" w14:textId="77777777" w:rsidTr="006A73E0">
        <w:trPr>
          <w:trHeight w:val="340"/>
        </w:trPr>
        <w:tc>
          <w:tcPr>
            <w:tcW w:w="3094" w:type="dxa"/>
            <w:shd w:val="clear" w:color="auto" w:fill="auto"/>
            <w:noWrap/>
            <w:vAlign w:val="center"/>
          </w:tcPr>
          <w:p w14:paraId="43D22E29" w14:textId="125E9171" w:rsidR="00A3213E" w:rsidRPr="00A3213E" w:rsidRDefault="00A3213E" w:rsidP="006A73E0">
            <w:pPr>
              <w:pStyle w:val="Table"/>
              <w:rPr>
                <w:noProof/>
                <w:sz w:val="20"/>
                <w:szCs w:val="22"/>
              </w:rPr>
            </w:pPr>
            <w:r w:rsidRPr="00A3213E">
              <w:rPr>
                <w:noProof/>
                <w:sz w:val="20"/>
                <w:szCs w:val="22"/>
              </w:rPr>
              <w:t>ST2 to Blood</w:t>
            </w:r>
          </w:p>
        </w:tc>
        <w:tc>
          <w:tcPr>
            <w:tcW w:w="988" w:type="dxa"/>
            <w:shd w:val="clear" w:color="auto" w:fill="auto"/>
            <w:noWrap/>
            <w:vAlign w:val="center"/>
          </w:tcPr>
          <w:p w14:paraId="7141B6E7" w14:textId="77777777" w:rsidR="00A3213E" w:rsidRPr="00C47F2F" w:rsidRDefault="00A3213E" w:rsidP="006A73E0">
            <w:pPr>
              <w:pStyle w:val="Table"/>
              <w:rPr>
                <w:noProof/>
                <w:sz w:val="20"/>
                <w:szCs w:val="20"/>
              </w:rPr>
            </w:pPr>
            <w:r w:rsidRPr="00C47F2F">
              <w:rPr>
                <w:noProof/>
                <w:sz w:val="20"/>
                <w:szCs w:val="20"/>
              </w:rPr>
              <w:t>1.90E-05</w:t>
            </w:r>
          </w:p>
        </w:tc>
        <w:tc>
          <w:tcPr>
            <w:tcW w:w="989" w:type="dxa"/>
            <w:shd w:val="clear" w:color="auto" w:fill="auto"/>
            <w:noWrap/>
            <w:vAlign w:val="center"/>
          </w:tcPr>
          <w:p w14:paraId="0112BE39" w14:textId="77777777" w:rsidR="00A3213E" w:rsidRPr="00C47F2F" w:rsidRDefault="00A3213E" w:rsidP="006A73E0">
            <w:pPr>
              <w:pStyle w:val="Table"/>
              <w:rPr>
                <w:noProof/>
                <w:sz w:val="20"/>
                <w:szCs w:val="20"/>
              </w:rPr>
            </w:pPr>
            <w:r w:rsidRPr="00C47F2F">
              <w:rPr>
                <w:noProof/>
                <w:sz w:val="20"/>
                <w:szCs w:val="20"/>
              </w:rPr>
              <w:t>1.90E-05</w:t>
            </w:r>
          </w:p>
        </w:tc>
        <w:tc>
          <w:tcPr>
            <w:tcW w:w="989" w:type="dxa"/>
            <w:shd w:val="clear" w:color="auto" w:fill="auto"/>
            <w:noWrap/>
            <w:vAlign w:val="center"/>
          </w:tcPr>
          <w:p w14:paraId="47183F63" w14:textId="77777777" w:rsidR="00A3213E" w:rsidRPr="00C47F2F" w:rsidRDefault="00A3213E" w:rsidP="006A73E0">
            <w:pPr>
              <w:pStyle w:val="Table"/>
              <w:rPr>
                <w:noProof/>
                <w:sz w:val="20"/>
                <w:szCs w:val="20"/>
              </w:rPr>
            </w:pPr>
            <w:r w:rsidRPr="00C47F2F">
              <w:rPr>
                <w:noProof/>
                <w:sz w:val="20"/>
                <w:szCs w:val="20"/>
              </w:rPr>
              <w:t>1.90E-05</w:t>
            </w:r>
          </w:p>
        </w:tc>
        <w:tc>
          <w:tcPr>
            <w:tcW w:w="989" w:type="dxa"/>
            <w:shd w:val="clear" w:color="auto" w:fill="auto"/>
            <w:noWrap/>
            <w:vAlign w:val="center"/>
          </w:tcPr>
          <w:p w14:paraId="08449907" w14:textId="77777777" w:rsidR="00A3213E" w:rsidRPr="00C47F2F" w:rsidRDefault="00A3213E" w:rsidP="006A73E0">
            <w:pPr>
              <w:pStyle w:val="Table"/>
              <w:rPr>
                <w:noProof/>
                <w:sz w:val="20"/>
                <w:szCs w:val="20"/>
              </w:rPr>
            </w:pPr>
            <w:r w:rsidRPr="00C47F2F">
              <w:rPr>
                <w:noProof/>
                <w:sz w:val="20"/>
                <w:szCs w:val="20"/>
              </w:rPr>
              <w:t>1.90E-05</w:t>
            </w:r>
          </w:p>
        </w:tc>
        <w:tc>
          <w:tcPr>
            <w:tcW w:w="989" w:type="dxa"/>
            <w:shd w:val="clear" w:color="auto" w:fill="auto"/>
            <w:noWrap/>
            <w:vAlign w:val="center"/>
          </w:tcPr>
          <w:p w14:paraId="4AAF5B3D" w14:textId="77777777" w:rsidR="00A3213E" w:rsidRPr="00C47F2F" w:rsidRDefault="00A3213E" w:rsidP="006A73E0">
            <w:pPr>
              <w:pStyle w:val="Table"/>
              <w:rPr>
                <w:noProof/>
                <w:sz w:val="20"/>
                <w:szCs w:val="20"/>
              </w:rPr>
            </w:pPr>
            <w:r w:rsidRPr="00C47F2F">
              <w:rPr>
                <w:noProof/>
                <w:sz w:val="20"/>
                <w:szCs w:val="20"/>
              </w:rPr>
              <w:t>1.90E-05</w:t>
            </w:r>
          </w:p>
        </w:tc>
        <w:tc>
          <w:tcPr>
            <w:tcW w:w="989" w:type="dxa"/>
            <w:shd w:val="clear" w:color="auto" w:fill="auto"/>
            <w:noWrap/>
            <w:vAlign w:val="center"/>
          </w:tcPr>
          <w:p w14:paraId="444C07C1" w14:textId="77777777" w:rsidR="00A3213E" w:rsidRPr="00C47F2F" w:rsidRDefault="00A3213E" w:rsidP="006A73E0">
            <w:pPr>
              <w:pStyle w:val="Table"/>
              <w:rPr>
                <w:noProof/>
                <w:sz w:val="20"/>
                <w:szCs w:val="20"/>
              </w:rPr>
            </w:pPr>
            <w:r w:rsidRPr="00C47F2F">
              <w:rPr>
                <w:noProof/>
                <w:sz w:val="20"/>
                <w:szCs w:val="20"/>
              </w:rPr>
              <w:t>1.90E-05</w:t>
            </w:r>
          </w:p>
        </w:tc>
      </w:tr>
      <w:tr w:rsidR="00A3213E" w:rsidRPr="00972C81" w14:paraId="1E252E4A" w14:textId="77777777" w:rsidTr="006A73E0">
        <w:trPr>
          <w:trHeight w:val="340"/>
        </w:trPr>
        <w:tc>
          <w:tcPr>
            <w:tcW w:w="3094" w:type="dxa"/>
            <w:shd w:val="clear" w:color="auto" w:fill="auto"/>
            <w:noWrap/>
            <w:vAlign w:val="center"/>
          </w:tcPr>
          <w:p w14:paraId="26E2CD87" w14:textId="0863833A" w:rsidR="00A3213E" w:rsidRPr="00A3213E" w:rsidRDefault="00A3213E" w:rsidP="006A73E0">
            <w:pPr>
              <w:pStyle w:val="Table"/>
              <w:rPr>
                <w:noProof/>
                <w:sz w:val="20"/>
                <w:szCs w:val="22"/>
              </w:rPr>
            </w:pPr>
            <w:r w:rsidRPr="00A3213E">
              <w:rPr>
                <w:noProof/>
                <w:sz w:val="20"/>
                <w:szCs w:val="22"/>
              </w:rPr>
              <w:t>Liver 2 to Blood</w:t>
            </w:r>
          </w:p>
        </w:tc>
        <w:tc>
          <w:tcPr>
            <w:tcW w:w="988" w:type="dxa"/>
            <w:shd w:val="clear" w:color="auto" w:fill="auto"/>
            <w:noWrap/>
            <w:vAlign w:val="center"/>
          </w:tcPr>
          <w:p w14:paraId="65F38E68" w14:textId="77777777" w:rsidR="00A3213E" w:rsidRPr="00C47F2F" w:rsidRDefault="00A3213E" w:rsidP="006A73E0">
            <w:pPr>
              <w:pStyle w:val="Table"/>
              <w:rPr>
                <w:noProof/>
                <w:sz w:val="20"/>
                <w:szCs w:val="20"/>
              </w:rPr>
            </w:pPr>
            <w:r w:rsidRPr="00C47F2F">
              <w:rPr>
                <w:noProof/>
                <w:sz w:val="20"/>
                <w:szCs w:val="20"/>
              </w:rPr>
              <w:t>2.11E-04</w:t>
            </w:r>
          </w:p>
        </w:tc>
        <w:tc>
          <w:tcPr>
            <w:tcW w:w="989" w:type="dxa"/>
            <w:shd w:val="clear" w:color="auto" w:fill="auto"/>
            <w:noWrap/>
            <w:vAlign w:val="center"/>
          </w:tcPr>
          <w:p w14:paraId="4BAB07DE" w14:textId="77777777" w:rsidR="00A3213E" w:rsidRPr="00C47F2F" w:rsidRDefault="00A3213E" w:rsidP="006A73E0">
            <w:pPr>
              <w:pStyle w:val="Table"/>
              <w:rPr>
                <w:noProof/>
                <w:sz w:val="20"/>
                <w:szCs w:val="20"/>
              </w:rPr>
            </w:pPr>
            <w:r w:rsidRPr="00C47F2F">
              <w:rPr>
                <w:noProof/>
                <w:sz w:val="20"/>
                <w:szCs w:val="20"/>
              </w:rPr>
              <w:t>2.11E-04</w:t>
            </w:r>
          </w:p>
        </w:tc>
        <w:tc>
          <w:tcPr>
            <w:tcW w:w="989" w:type="dxa"/>
            <w:shd w:val="clear" w:color="auto" w:fill="auto"/>
            <w:noWrap/>
            <w:vAlign w:val="center"/>
          </w:tcPr>
          <w:p w14:paraId="7B59B28D" w14:textId="77777777" w:rsidR="00A3213E" w:rsidRPr="00C47F2F" w:rsidRDefault="00A3213E" w:rsidP="006A73E0">
            <w:pPr>
              <w:pStyle w:val="Table"/>
              <w:rPr>
                <w:noProof/>
                <w:sz w:val="20"/>
                <w:szCs w:val="20"/>
              </w:rPr>
            </w:pPr>
            <w:r w:rsidRPr="00C47F2F">
              <w:rPr>
                <w:noProof/>
                <w:sz w:val="20"/>
                <w:szCs w:val="20"/>
              </w:rPr>
              <w:t>2.11E-04</w:t>
            </w:r>
          </w:p>
        </w:tc>
        <w:tc>
          <w:tcPr>
            <w:tcW w:w="989" w:type="dxa"/>
            <w:shd w:val="clear" w:color="auto" w:fill="auto"/>
            <w:noWrap/>
            <w:vAlign w:val="center"/>
          </w:tcPr>
          <w:p w14:paraId="3B23C26F" w14:textId="77777777" w:rsidR="00A3213E" w:rsidRPr="00C47F2F" w:rsidRDefault="00A3213E" w:rsidP="006A73E0">
            <w:pPr>
              <w:pStyle w:val="Table"/>
              <w:rPr>
                <w:noProof/>
                <w:sz w:val="20"/>
                <w:szCs w:val="20"/>
              </w:rPr>
            </w:pPr>
            <w:r w:rsidRPr="00C47F2F">
              <w:rPr>
                <w:noProof/>
                <w:sz w:val="20"/>
                <w:szCs w:val="20"/>
              </w:rPr>
              <w:t>2.11E-04</w:t>
            </w:r>
          </w:p>
        </w:tc>
        <w:tc>
          <w:tcPr>
            <w:tcW w:w="989" w:type="dxa"/>
            <w:shd w:val="clear" w:color="auto" w:fill="auto"/>
            <w:noWrap/>
            <w:vAlign w:val="center"/>
          </w:tcPr>
          <w:p w14:paraId="65E6F5DD" w14:textId="77777777" w:rsidR="00A3213E" w:rsidRPr="00C47F2F" w:rsidRDefault="00A3213E" w:rsidP="006A73E0">
            <w:pPr>
              <w:pStyle w:val="Table"/>
              <w:rPr>
                <w:noProof/>
                <w:sz w:val="20"/>
                <w:szCs w:val="20"/>
              </w:rPr>
            </w:pPr>
            <w:r w:rsidRPr="00C47F2F">
              <w:rPr>
                <w:noProof/>
                <w:sz w:val="20"/>
                <w:szCs w:val="20"/>
              </w:rPr>
              <w:t>2.11E-04</w:t>
            </w:r>
          </w:p>
        </w:tc>
        <w:tc>
          <w:tcPr>
            <w:tcW w:w="989" w:type="dxa"/>
            <w:shd w:val="clear" w:color="auto" w:fill="auto"/>
            <w:noWrap/>
            <w:vAlign w:val="center"/>
          </w:tcPr>
          <w:p w14:paraId="6872FB72" w14:textId="77777777" w:rsidR="00A3213E" w:rsidRPr="00C47F2F" w:rsidRDefault="00A3213E" w:rsidP="006A73E0">
            <w:pPr>
              <w:pStyle w:val="Table"/>
              <w:rPr>
                <w:noProof/>
                <w:sz w:val="20"/>
                <w:szCs w:val="20"/>
              </w:rPr>
            </w:pPr>
            <w:r w:rsidRPr="00C47F2F">
              <w:rPr>
                <w:noProof/>
                <w:sz w:val="20"/>
                <w:szCs w:val="20"/>
              </w:rPr>
              <w:t>2.11E-04</w:t>
            </w:r>
          </w:p>
        </w:tc>
      </w:tr>
      <w:tr w:rsidR="00A3213E" w:rsidRPr="00972C81" w14:paraId="762ABC09" w14:textId="77777777" w:rsidTr="006A73E0">
        <w:trPr>
          <w:trHeight w:val="340"/>
        </w:trPr>
        <w:tc>
          <w:tcPr>
            <w:tcW w:w="3094" w:type="dxa"/>
            <w:shd w:val="clear" w:color="auto" w:fill="auto"/>
            <w:noWrap/>
            <w:vAlign w:val="center"/>
          </w:tcPr>
          <w:p w14:paraId="136D999D" w14:textId="6958BE60" w:rsidR="00A3213E" w:rsidRPr="00A3213E" w:rsidRDefault="00A3213E" w:rsidP="006A73E0">
            <w:pPr>
              <w:pStyle w:val="Table"/>
              <w:rPr>
                <w:noProof/>
                <w:sz w:val="20"/>
                <w:szCs w:val="22"/>
              </w:rPr>
            </w:pPr>
            <w:r w:rsidRPr="00A3213E">
              <w:rPr>
                <w:noProof/>
                <w:sz w:val="20"/>
                <w:szCs w:val="22"/>
              </w:rPr>
              <w:t>Cort marrow to Blood</w:t>
            </w:r>
          </w:p>
        </w:tc>
        <w:tc>
          <w:tcPr>
            <w:tcW w:w="988" w:type="dxa"/>
            <w:shd w:val="clear" w:color="auto" w:fill="auto"/>
            <w:noWrap/>
            <w:vAlign w:val="center"/>
          </w:tcPr>
          <w:p w14:paraId="6EAACF82" w14:textId="77777777" w:rsidR="00A3213E" w:rsidRPr="00C47F2F" w:rsidRDefault="00A3213E" w:rsidP="006A73E0">
            <w:pPr>
              <w:pStyle w:val="Table"/>
              <w:rPr>
                <w:noProof/>
                <w:sz w:val="20"/>
                <w:szCs w:val="20"/>
              </w:rPr>
            </w:pPr>
            <w:r w:rsidRPr="00C47F2F">
              <w:rPr>
                <w:noProof/>
                <w:sz w:val="20"/>
                <w:szCs w:val="20"/>
              </w:rPr>
              <w:t>7.60E-03</w:t>
            </w:r>
          </w:p>
        </w:tc>
        <w:tc>
          <w:tcPr>
            <w:tcW w:w="989" w:type="dxa"/>
            <w:shd w:val="clear" w:color="auto" w:fill="auto"/>
            <w:noWrap/>
            <w:vAlign w:val="center"/>
          </w:tcPr>
          <w:p w14:paraId="29E7A643" w14:textId="77777777" w:rsidR="00A3213E" w:rsidRPr="00C47F2F" w:rsidRDefault="00A3213E" w:rsidP="006A73E0">
            <w:pPr>
              <w:pStyle w:val="Table"/>
              <w:rPr>
                <w:noProof/>
                <w:sz w:val="20"/>
                <w:szCs w:val="20"/>
              </w:rPr>
            </w:pPr>
            <w:r w:rsidRPr="00C47F2F">
              <w:rPr>
                <w:noProof/>
                <w:sz w:val="20"/>
                <w:szCs w:val="20"/>
              </w:rPr>
              <w:t>7.60E-03</w:t>
            </w:r>
          </w:p>
        </w:tc>
        <w:tc>
          <w:tcPr>
            <w:tcW w:w="989" w:type="dxa"/>
            <w:shd w:val="clear" w:color="auto" w:fill="auto"/>
            <w:noWrap/>
            <w:vAlign w:val="center"/>
          </w:tcPr>
          <w:p w14:paraId="36E231BB" w14:textId="77777777" w:rsidR="00A3213E" w:rsidRPr="00C47F2F" w:rsidRDefault="00A3213E" w:rsidP="006A73E0">
            <w:pPr>
              <w:pStyle w:val="Table"/>
              <w:rPr>
                <w:noProof/>
                <w:sz w:val="20"/>
                <w:szCs w:val="20"/>
              </w:rPr>
            </w:pPr>
            <w:r w:rsidRPr="00C47F2F">
              <w:rPr>
                <w:noProof/>
                <w:sz w:val="20"/>
                <w:szCs w:val="20"/>
              </w:rPr>
              <w:t>7.60E-03</w:t>
            </w:r>
          </w:p>
        </w:tc>
        <w:tc>
          <w:tcPr>
            <w:tcW w:w="989" w:type="dxa"/>
            <w:shd w:val="clear" w:color="auto" w:fill="auto"/>
            <w:noWrap/>
            <w:vAlign w:val="center"/>
          </w:tcPr>
          <w:p w14:paraId="1E9AA129" w14:textId="77777777" w:rsidR="00A3213E" w:rsidRPr="00C47F2F" w:rsidRDefault="00A3213E" w:rsidP="006A73E0">
            <w:pPr>
              <w:pStyle w:val="Table"/>
              <w:rPr>
                <w:noProof/>
                <w:sz w:val="20"/>
                <w:szCs w:val="20"/>
              </w:rPr>
            </w:pPr>
            <w:r w:rsidRPr="00C47F2F">
              <w:rPr>
                <w:noProof/>
                <w:sz w:val="20"/>
                <w:szCs w:val="20"/>
              </w:rPr>
              <w:t>7.60E-03</w:t>
            </w:r>
          </w:p>
        </w:tc>
        <w:tc>
          <w:tcPr>
            <w:tcW w:w="989" w:type="dxa"/>
            <w:shd w:val="clear" w:color="auto" w:fill="auto"/>
            <w:noWrap/>
            <w:vAlign w:val="center"/>
          </w:tcPr>
          <w:p w14:paraId="2D256DA6" w14:textId="77777777" w:rsidR="00A3213E" w:rsidRPr="00C47F2F" w:rsidRDefault="00A3213E" w:rsidP="006A73E0">
            <w:pPr>
              <w:pStyle w:val="Table"/>
              <w:rPr>
                <w:noProof/>
                <w:sz w:val="20"/>
                <w:szCs w:val="20"/>
              </w:rPr>
            </w:pPr>
            <w:r w:rsidRPr="00C47F2F">
              <w:rPr>
                <w:noProof/>
                <w:sz w:val="20"/>
                <w:szCs w:val="20"/>
              </w:rPr>
              <w:t>7.60E-03</w:t>
            </w:r>
          </w:p>
        </w:tc>
        <w:tc>
          <w:tcPr>
            <w:tcW w:w="989" w:type="dxa"/>
            <w:shd w:val="clear" w:color="auto" w:fill="auto"/>
            <w:noWrap/>
            <w:vAlign w:val="center"/>
          </w:tcPr>
          <w:p w14:paraId="0FEC4549" w14:textId="77777777" w:rsidR="00A3213E" w:rsidRPr="00C47F2F" w:rsidRDefault="00A3213E" w:rsidP="006A73E0">
            <w:pPr>
              <w:pStyle w:val="Table"/>
              <w:rPr>
                <w:noProof/>
                <w:sz w:val="20"/>
                <w:szCs w:val="20"/>
              </w:rPr>
            </w:pPr>
            <w:r w:rsidRPr="00C47F2F">
              <w:rPr>
                <w:noProof/>
                <w:sz w:val="20"/>
                <w:szCs w:val="20"/>
              </w:rPr>
              <w:t>7.60E-03</w:t>
            </w:r>
          </w:p>
        </w:tc>
      </w:tr>
      <w:tr w:rsidR="00A3213E" w:rsidRPr="00972C81" w14:paraId="076401AA" w14:textId="77777777" w:rsidTr="006A73E0">
        <w:trPr>
          <w:trHeight w:val="340"/>
        </w:trPr>
        <w:tc>
          <w:tcPr>
            <w:tcW w:w="3094" w:type="dxa"/>
            <w:shd w:val="clear" w:color="auto" w:fill="auto"/>
            <w:noWrap/>
            <w:vAlign w:val="center"/>
          </w:tcPr>
          <w:p w14:paraId="607CA026" w14:textId="7DEDA0DF" w:rsidR="00A3213E" w:rsidRPr="00A3213E" w:rsidRDefault="00A3213E" w:rsidP="006A73E0">
            <w:pPr>
              <w:pStyle w:val="Table"/>
              <w:rPr>
                <w:noProof/>
                <w:sz w:val="20"/>
                <w:szCs w:val="22"/>
              </w:rPr>
            </w:pPr>
            <w:r w:rsidRPr="00A3213E">
              <w:rPr>
                <w:noProof/>
                <w:sz w:val="20"/>
                <w:szCs w:val="22"/>
              </w:rPr>
              <w:t>Cort bone vol to Cort marrow</w:t>
            </w:r>
          </w:p>
        </w:tc>
        <w:tc>
          <w:tcPr>
            <w:tcW w:w="988" w:type="dxa"/>
            <w:shd w:val="clear" w:color="auto" w:fill="auto"/>
            <w:noWrap/>
            <w:vAlign w:val="center"/>
          </w:tcPr>
          <w:p w14:paraId="2818CDD0" w14:textId="77777777" w:rsidR="00A3213E" w:rsidRPr="00C47F2F" w:rsidRDefault="00A3213E" w:rsidP="006A73E0">
            <w:pPr>
              <w:pStyle w:val="Table"/>
              <w:rPr>
                <w:noProof/>
                <w:sz w:val="20"/>
                <w:szCs w:val="20"/>
              </w:rPr>
            </w:pPr>
            <w:r w:rsidRPr="00C47F2F">
              <w:rPr>
                <w:noProof/>
                <w:sz w:val="20"/>
                <w:szCs w:val="20"/>
              </w:rPr>
              <w:t>8.22E-03</w:t>
            </w:r>
          </w:p>
        </w:tc>
        <w:tc>
          <w:tcPr>
            <w:tcW w:w="989" w:type="dxa"/>
            <w:shd w:val="clear" w:color="auto" w:fill="auto"/>
            <w:noWrap/>
            <w:vAlign w:val="center"/>
          </w:tcPr>
          <w:p w14:paraId="5A9C6FA4" w14:textId="77777777" w:rsidR="00A3213E" w:rsidRPr="00C47F2F" w:rsidRDefault="00A3213E" w:rsidP="006A73E0">
            <w:pPr>
              <w:pStyle w:val="Table"/>
              <w:rPr>
                <w:noProof/>
                <w:sz w:val="20"/>
                <w:szCs w:val="20"/>
              </w:rPr>
            </w:pPr>
            <w:r w:rsidRPr="00C47F2F">
              <w:rPr>
                <w:noProof/>
                <w:sz w:val="20"/>
                <w:szCs w:val="20"/>
              </w:rPr>
              <w:t>2.88E-03</w:t>
            </w:r>
          </w:p>
        </w:tc>
        <w:tc>
          <w:tcPr>
            <w:tcW w:w="989" w:type="dxa"/>
            <w:shd w:val="clear" w:color="auto" w:fill="auto"/>
            <w:noWrap/>
            <w:vAlign w:val="center"/>
          </w:tcPr>
          <w:p w14:paraId="3E73C091" w14:textId="77777777" w:rsidR="00A3213E" w:rsidRPr="00C47F2F" w:rsidRDefault="00A3213E" w:rsidP="006A73E0">
            <w:pPr>
              <w:pStyle w:val="Table"/>
              <w:rPr>
                <w:noProof/>
                <w:sz w:val="20"/>
                <w:szCs w:val="20"/>
              </w:rPr>
            </w:pPr>
            <w:r w:rsidRPr="00C47F2F">
              <w:rPr>
                <w:noProof/>
                <w:sz w:val="20"/>
                <w:szCs w:val="20"/>
              </w:rPr>
              <w:t>1.53E-03</w:t>
            </w:r>
          </w:p>
        </w:tc>
        <w:tc>
          <w:tcPr>
            <w:tcW w:w="989" w:type="dxa"/>
            <w:shd w:val="clear" w:color="auto" w:fill="auto"/>
            <w:noWrap/>
            <w:vAlign w:val="center"/>
          </w:tcPr>
          <w:p w14:paraId="79AF5A48" w14:textId="77777777" w:rsidR="00A3213E" w:rsidRPr="00C47F2F" w:rsidRDefault="00A3213E" w:rsidP="006A73E0">
            <w:pPr>
              <w:pStyle w:val="Table"/>
              <w:rPr>
                <w:noProof/>
                <w:sz w:val="20"/>
                <w:szCs w:val="20"/>
              </w:rPr>
            </w:pPr>
            <w:r w:rsidRPr="00C47F2F">
              <w:rPr>
                <w:noProof/>
                <w:sz w:val="20"/>
                <w:szCs w:val="20"/>
              </w:rPr>
              <w:t>9.04E-04</w:t>
            </w:r>
          </w:p>
        </w:tc>
        <w:tc>
          <w:tcPr>
            <w:tcW w:w="989" w:type="dxa"/>
            <w:shd w:val="clear" w:color="auto" w:fill="auto"/>
            <w:noWrap/>
            <w:vAlign w:val="center"/>
          </w:tcPr>
          <w:p w14:paraId="572773AA" w14:textId="77777777" w:rsidR="00A3213E" w:rsidRPr="00C47F2F" w:rsidRDefault="00A3213E" w:rsidP="006A73E0">
            <w:pPr>
              <w:pStyle w:val="Table"/>
              <w:rPr>
                <w:noProof/>
                <w:sz w:val="20"/>
                <w:szCs w:val="20"/>
              </w:rPr>
            </w:pPr>
            <w:r w:rsidRPr="00C47F2F">
              <w:rPr>
                <w:noProof/>
                <w:sz w:val="20"/>
                <w:szCs w:val="20"/>
              </w:rPr>
              <w:t>5.21E-04</w:t>
            </w:r>
          </w:p>
        </w:tc>
        <w:tc>
          <w:tcPr>
            <w:tcW w:w="989" w:type="dxa"/>
            <w:shd w:val="clear" w:color="auto" w:fill="auto"/>
            <w:noWrap/>
            <w:vAlign w:val="center"/>
          </w:tcPr>
          <w:p w14:paraId="1F8D362C" w14:textId="77777777" w:rsidR="00A3213E" w:rsidRPr="00C47F2F" w:rsidRDefault="00A3213E" w:rsidP="006A73E0">
            <w:pPr>
              <w:pStyle w:val="Table"/>
              <w:rPr>
                <w:noProof/>
                <w:sz w:val="20"/>
                <w:szCs w:val="20"/>
              </w:rPr>
            </w:pPr>
            <w:r w:rsidRPr="00C47F2F">
              <w:rPr>
                <w:noProof/>
                <w:sz w:val="20"/>
                <w:szCs w:val="20"/>
              </w:rPr>
              <w:t>8.21E-05</w:t>
            </w:r>
          </w:p>
        </w:tc>
      </w:tr>
      <w:tr w:rsidR="00A3213E" w:rsidRPr="00972C81" w14:paraId="12181856" w14:textId="77777777" w:rsidTr="006A73E0">
        <w:trPr>
          <w:trHeight w:val="340"/>
        </w:trPr>
        <w:tc>
          <w:tcPr>
            <w:tcW w:w="3094" w:type="dxa"/>
            <w:shd w:val="clear" w:color="auto" w:fill="auto"/>
            <w:noWrap/>
            <w:vAlign w:val="center"/>
          </w:tcPr>
          <w:p w14:paraId="22A09BC5" w14:textId="0B86E5C0" w:rsidR="00A3213E" w:rsidRPr="00A3213E" w:rsidRDefault="00A3213E" w:rsidP="006A73E0">
            <w:pPr>
              <w:pStyle w:val="Table"/>
              <w:rPr>
                <w:noProof/>
                <w:sz w:val="20"/>
                <w:szCs w:val="22"/>
              </w:rPr>
            </w:pPr>
            <w:r w:rsidRPr="00A3213E">
              <w:rPr>
                <w:noProof/>
                <w:sz w:val="20"/>
                <w:szCs w:val="22"/>
              </w:rPr>
              <w:t>Trab marrow to Blood</w:t>
            </w:r>
          </w:p>
        </w:tc>
        <w:tc>
          <w:tcPr>
            <w:tcW w:w="988" w:type="dxa"/>
            <w:shd w:val="clear" w:color="auto" w:fill="auto"/>
            <w:noWrap/>
            <w:vAlign w:val="center"/>
          </w:tcPr>
          <w:p w14:paraId="06849336" w14:textId="77777777" w:rsidR="00A3213E" w:rsidRPr="00C47F2F" w:rsidRDefault="00A3213E" w:rsidP="006A73E0">
            <w:pPr>
              <w:pStyle w:val="Table"/>
              <w:rPr>
                <w:noProof/>
                <w:sz w:val="20"/>
                <w:szCs w:val="20"/>
              </w:rPr>
            </w:pPr>
            <w:r w:rsidRPr="00C47F2F">
              <w:rPr>
                <w:noProof/>
                <w:sz w:val="20"/>
                <w:szCs w:val="20"/>
              </w:rPr>
              <w:t>7.60E-03</w:t>
            </w:r>
          </w:p>
        </w:tc>
        <w:tc>
          <w:tcPr>
            <w:tcW w:w="989" w:type="dxa"/>
            <w:shd w:val="clear" w:color="auto" w:fill="auto"/>
            <w:noWrap/>
            <w:vAlign w:val="center"/>
          </w:tcPr>
          <w:p w14:paraId="27102C66" w14:textId="77777777" w:rsidR="00A3213E" w:rsidRPr="00C47F2F" w:rsidRDefault="00A3213E" w:rsidP="006A73E0">
            <w:pPr>
              <w:pStyle w:val="Table"/>
              <w:rPr>
                <w:noProof/>
                <w:sz w:val="20"/>
                <w:szCs w:val="20"/>
              </w:rPr>
            </w:pPr>
            <w:r w:rsidRPr="00C47F2F">
              <w:rPr>
                <w:noProof/>
                <w:sz w:val="20"/>
                <w:szCs w:val="20"/>
              </w:rPr>
              <w:t>7.60E-03</w:t>
            </w:r>
          </w:p>
        </w:tc>
        <w:tc>
          <w:tcPr>
            <w:tcW w:w="989" w:type="dxa"/>
            <w:shd w:val="clear" w:color="auto" w:fill="auto"/>
            <w:noWrap/>
            <w:vAlign w:val="center"/>
          </w:tcPr>
          <w:p w14:paraId="32841E38" w14:textId="77777777" w:rsidR="00A3213E" w:rsidRPr="00C47F2F" w:rsidRDefault="00A3213E" w:rsidP="006A73E0">
            <w:pPr>
              <w:pStyle w:val="Table"/>
              <w:rPr>
                <w:noProof/>
                <w:sz w:val="20"/>
                <w:szCs w:val="20"/>
              </w:rPr>
            </w:pPr>
            <w:r w:rsidRPr="00C47F2F">
              <w:rPr>
                <w:noProof/>
                <w:sz w:val="20"/>
                <w:szCs w:val="20"/>
              </w:rPr>
              <w:t>7.60E-03</w:t>
            </w:r>
          </w:p>
        </w:tc>
        <w:tc>
          <w:tcPr>
            <w:tcW w:w="989" w:type="dxa"/>
            <w:shd w:val="clear" w:color="auto" w:fill="auto"/>
            <w:noWrap/>
            <w:vAlign w:val="center"/>
          </w:tcPr>
          <w:p w14:paraId="11882A08" w14:textId="77777777" w:rsidR="00A3213E" w:rsidRPr="00C47F2F" w:rsidRDefault="00A3213E" w:rsidP="006A73E0">
            <w:pPr>
              <w:pStyle w:val="Table"/>
              <w:rPr>
                <w:noProof/>
                <w:sz w:val="20"/>
                <w:szCs w:val="20"/>
              </w:rPr>
            </w:pPr>
            <w:r w:rsidRPr="00C47F2F">
              <w:rPr>
                <w:noProof/>
                <w:sz w:val="20"/>
                <w:szCs w:val="20"/>
              </w:rPr>
              <w:t>7.60E-03</w:t>
            </w:r>
          </w:p>
        </w:tc>
        <w:tc>
          <w:tcPr>
            <w:tcW w:w="989" w:type="dxa"/>
            <w:shd w:val="clear" w:color="auto" w:fill="auto"/>
            <w:noWrap/>
            <w:vAlign w:val="center"/>
          </w:tcPr>
          <w:p w14:paraId="2FC126A9" w14:textId="77777777" w:rsidR="00A3213E" w:rsidRPr="00C47F2F" w:rsidRDefault="00A3213E" w:rsidP="006A73E0">
            <w:pPr>
              <w:pStyle w:val="Table"/>
              <w:rPr>
                <w:noProof/>
                <w:sz w:val="20"/>
                <w:szCs w:val="20"/>
              </w:rPr>
            </w:pPr>
            <w:r w:rsidRPr="00C47F2F">
              <w:rPr>
                <w:noProof/>
                <w:sz w:val="20"/>
                <w:szCs w:val="20"/>
              </w:rPr>
              <w:t>7.60E-03</w:t>
            </w:r>
          </w:p>
        </w:tc>
        <w:tc>
          <w:tcPr>
            <w:tcW w:w="989" w:type="dxa"/>
            <w:shd w:val="clear" w:color="auto" w:fill="auto"/>
            <w:noWrap/>
            <w:vAlign w:val="center"/>
          </w:tcPr>
          <w:p w14:paraId="1FF4EC40" w14:textId="77777777" w:rsidR="00A3213E" w:rsidRPr="00C47F2F" w:rsidRDefault="00A3213E" w:rsidP="006A73E0">
            <w:pPr>
              <w:pStyle w:val="Table"/>
              <w:rPr>
                <w:noProof/>
                <w:sz w:val="20"/>
                <w:szCs w:val="20"/>
              </w:rPr>
            </w:pPr>
            <w:r w:rsidRPr="00C47F2F">
              <w:rPr>
                <w:noProof/>
                <w:sz w:val="20"/>
                <w:szCs w:val="20"/>
              </w:rPr>
              <w:t>7.60E-03</w:t>
            </w:r>
          </w:p>
        </w:tc>
      </w:tr>
      <w:tr w:rsidR="00A3213E" w:rsidRPr="00972C81" w14:paraId="4EC4E1E4" w14:textId="77777777" w:rsidTr="006A73E0">
        <w:trPr>
          <w:trHeight w:val="340"/>
        </w:trPr>
        <w:tc>
          <w:tcPr>
            <w:tcW w:w="3094" w:type="dxa"/>
            <w:tcBorders>
              <w:bottom w:val="single" w:sz="4" w:space="0" w:color="auto"/>
            </w:tcBorders>
            <w:shd w:val="clear" w:color="auto" w:fill="auto"/>
            <w:noWrap/>
            <w:vAlign w:val="center"/>
          </w:tcPr>
          <w:p w14:paraId="416A60DA" w14:textId="21C3917A" w:rsidR="00A3213E" w:rsidRPr="00A3213E" w:rsidRDefault="00A3213E" w:rsidP="006A73E0">
            <w:pPr>
              <w:pStyle w:val="Table"/>
              <w:rPr>
                <w:noProof/>
                <w:sz w:val="20"/>
                <w:szCs w:val="22"/>
              </w:rPr>
            </w:pPr>
            <w:r w:rsidRPr="00A3213E">
              <w:rPr>
                <w:noProof/>
                <w:sz w:val="20"/>
                <w:szCs w:val="22"/>
              </w:rPr>
              <w:t>Trab bone vol to Trab marrow</w:t>
            </w:r>
          </w:p>
        </w:tc>
        <w:tc>
          <w:tcPr>
            <w:tcW w:w="988" w:type="dxa"/>
            <w:tcBorders>
              <w:bottom w:val="single" w:sz="4" w:space="0" w:color="auto"/>
            </w:tcBorders>
            <w:shd w:val="clear" w:color="auto" w:fill="auto"/>
            <w:noWrap/>
            <w:vAlign w:val="center"/>
          </w:tcPr>
          <w:p w14:paraId="29125B38" w14:textId="77777777" w:rsidR="00A3213E" w:rsidRPr="00C47F2F" w:rsidRDefault="00A3213E" w:rsidP="006A73E0">
            <w:pPr>
              <w:pStyle w:val="Table"/>
              <w:rPr>
                <w:noProof/>
                <w:sz w:val="20"/>
                <w:szCs w:val="20"/>
              </w:rPr>
            </w:pPr>
            <w:r w:rsidRPr="00C47F2F">
              <w:rPr>
                <w:noProof/>
                <w:sz w:val="20"/>
                <w:szCs w:val="20"/>
              </w:rPr>
              <w:t>8.22E-03</w:t>
            </w:r>
          </w:p>
        </w:tc>
        <w:tc>
          <w:tcPr>
            <w:tcW w:w="989" w:type="dxa"/>
            <w:tcBorders>
              <w:bottom w:val="single" w:sz="4" w:space="0" w:color="auto"/>
            </w:tcBorders>
            <w:shd w:val="clear" w:color="auto" w:fill="auto"/>
            <w:noWrap/>
            <w:vAlign w:val="center"/>
          </w:tcPr>
          <w:p w14:paraId="40424CE2" w14:textId="77777777" w:rsidR="00A3213E" w:rsidRPr="00C47F2F" w:rsidRDefault="00A3213E" w:rsidP="006A73E0">
            <w:pPr>
              <w:pStyle w:val="Table"/>
              <w:rPr>
                <w:noProof/>
                <w:sz w:val="20"/>
                <w:szCs w:val="20"/>
              </w:rPr>
            </w:pPr>
            <w:r w:rsidRPr="00C47F2F">
              <w:rPr>
                <w:noProof/>
                <w:sz w:val="20"/>
                <w:szCs w:val="20"/>
              </w:rPr>
              <w:t>2.88E-03</w:t>
            </w:r>
          </w:p>
        </w:tc>
        <w:tc>
          <w:tcPr>
            <w:tcW w:w="989" w:type="dxa"/>
            <w:tcBorders>
              <w:bottom w:val="single" w:sz="4" w:space="0" w:color="auto"/>
            </w:tcBorders>
            <w:shd w:val="clear" w:color="auto" w:fill="auto"/>
            <w:noWrap/>
            <w:vAlign w:val="center"/>
          </w:tcPr>
          <w:p w14:paraId="4A8C5643" w14:textId="77777777" w:rsidR="00A3213E" w:rsidRPr="00C47F2F" w:rsidRDefault="00A3213E" w:rsidP="006A73E0">
            <w:pPr>
              <w:pStyle w:val="Table"/>
              <w:rPr>
                <w:noProof/>
                <w:sz w:val="20"/>
                <w:szCs w:val="20"/>
              </w:rPr>
            </w:pPr>
            <w:r w:rsidRPr="00C47F2F">
              <w:rPr>
                <w:noProof/>
                <w:sz w:val="20"/>
                <w:szCs w:val="20"/>
              </w:rPr>
              <w:t>1.81E-03</w:t>
            </w:r>
          </w:p>
        </w:tc>
        <w:tc>
          <w:tcPr>
            <w:tcW w:w="989" w:type="dxa"/>
            <w:tcBorders>
              <w:bottom w:val="single" w:sz="4" w:space="0" w:color="auto"/>
            </w:tcBorders>
            <w:shd w:val="clear" w:color="auto" w:fill="auto"/>
            <w:noWrap/>
            <w:vAlign w:val="center"/>
          </w:tcPr>
          <w:p w14:paraId="04D63238" w14:textId="77777777" w:rsidR="00A3213E" w:rsidRPr="00C47F2F" w:rsidRDefault="00A3213E" w:rsidP="006A73E0">
            <w:pPr>
              <w:pStyle w:val="Table"/>
              <w:rPr>
                <w:noProof/>
                <w:sz w:val="20"/>
                <w:szCs w:val="20"/>
              </w:rPr>
            </w:pPr>
            <w:r w:rsidRPr="00C47F2F">
              <w:rPr>
                <w:noProof/>
                <w:sz w:val="20"/>
                <w:szCs w:val="20"/>
              </w:rPr>
              <w:t>1.32E-03</w:t>
            </w:r>
          </w:p>
        </w:tc>
        <w:tc>
          <w:tcPr>
            <w:tcW w:w="989" w:type="dxa"/>
            <w:tcBorders>
              <w:bottom w:val="single" w:sz="4" w:space="0" w:color="auto"/>
            </w:tcBorders>
            <w:shd w:val="clear" w:color="auto" w:fill="auto"/>
            <w:noWrap/>
            <w:vAlign w:val="center"/>
          </w:tcPr>
          <w:p w14:paraId="285134B5" w14:textId="77777777" w:rsidR="00A3213E" w:rsidRPr="00C47F2F" w:rsidRDefault="00A3213E" w:rsidP="006A73E0">
            <w:pPr>
              <w:pStyle w:val="Table"/>
              <w:rPr>
                <w:noProof/>
                <w:sz w:val="20"/>
                <w:szCs w:val="20"/>
              </w:rPr>
            </w:pPr>
            <w:r w:rsidRPr="00C47F2F">
              <w:rPr>
                <w:noProof/>
                <w:sz w:val="20"/>
                <w:szCs w:val="20"/>
              </w:rPr>
              <w:t>9.59E-04</w:t>
            </w:r>
          </w:p>
        </w:tc>
        <w:tc>
          <w:tcPr>
            <w:tcW w:w="989" w:type="dxa"/>
            <w:tcBorders>
              <w:bottom w:val="single" w:sz="4" w:space="0" w:color="auto"/>
            </w:tcBorders>
            <w:shd w:val="clear" w:color="auto" w:fill="auto"/>
            <w:noWrap/>
            <w:vAlign w:val="center"/>
          </w:tcPr>
          <w:p w14:paraId="4E5FDD98" w14:textId="77777777" w:rsidR="00A3213E" w:rsidRPr="00C47F2F" w:rsidRDefault="00A3213E" w:rsidP="006A73E0">
            <w:pPr>
              <w:pStyle w:val="Table"/>
              <w:rPr>
                <w:noProof/>
                <w:sz w:val="20"/>
                <w:szCs w:val="20"/>
              </w:rPr>
            </w:pPr>
            <w:r w:rsidRPr="00C47F2F">
              <w:rPr>
                <w:noProof/>
                <w:sz w:val="20"/>
                <w:szCs w:val="20"/>
              </w:rPr>
              <w:t>4.93E-04</w:t>
            </w:r>
          </w:p>
        </w:tc>
      </w:tr>
    </w:tbl>
    <w:p w14:paraId="085FF38D" w14:textId="77777777" w:rsidR="00A3213E" w:rsidRPr="006A4B24" w:rsidRDefault="00A3213E" w:rsidP="006A4B24">
      <w:pPr>
        <w:pStyle w:val="Annalstext"/>
        <w:numPr>
          <w:ilvl w:val="0"/>
          <w:numId w:val="0"/>
        </w:numPr>
        <w:jc w:val="left"/>
        <w:rPr>
          <w:noProof/>
          <w:sz w:val="20"/>
          <w:lang w:val="fr-FR"/>
        </w:rPr>
      </w:pPr>
      <w:r w:rsidRPr="006A4B24">
        <w:rPr>
          <w:noProof/>
          <w:sz w:val="20"/>
          <w:vertAlign w:val="superscript"/>
          <w:lang w:val="fr-FR"/>
        </w:rPr>
        <w:t>a</w:t>
      </w:r>
      <w:r w:rsidRPr="006A4B24">
        <w:rPr>
          <w:noProof/>
          <w:sz w:val="20"/>
          <w:lang w:val="fr-FR"/>
        </w:rPr>
        <w:t>Cort = Cortical, Trab = Trabecular, surf = surface, vol = volume, cont = content, SI = Small intestine</w:t>
      </w:r>
    </w:p>
    <w:p w14:paraId="4DC43909" w14:textId="07D80410" w:rsidR="0078660D" w:rsidRPr="00972C81" w:rsidRDefault="0078660D" w:rsidP="006703A2">
      <w:pPr>
        <w:pStyle w:val="OIRTitre4"/>
      </w:pPr>
      <w:r w:rsidRPr="00972C81">
        <w:t>Treatment of radioactive progeny</w:t>
      </w:r>
    </w:p>
    <w:p w14:paraId="76E24466" w14:textId="019209DA" w:rsidR="0078660D" w:rsidRPr="00972C81" w:rsidRDefault="006044EE" w:rsidP="00E81109">
      <w:pPr>
        <w:pStyle w:val="Annalstext"/>
        <w:rPr>
          <w:noProof/>
        </w:rPr>
      </w:pPr>
      <w:r w:rsidRPr="00972C81">
        <w:rPr>
          <w:noProof/>
        </w:rPr>
        <w:t xml:space="preserve">The treatment of radioactive progeny produced in systemic compartments after intake of a radioisotope of protactinium is described in Section 18.2.4. of </w:t>
      </w:r>
      <w:r w:rsidR="007A34D9" w:rsidRPr="00972C81">
        <w:rPr>
          <w:i/>
          <w:noProof/>
        </w:rPr>
        <w:t>Publication 141</w:t>
      </w:r>
      <w:r w:rsidR="007A34D9" w:rsidRPr="00972C81">
        <w:rPr>
          <w:noProof/>
        </w:rPr>
        <w:t xml:space="preserve"> </w:t>
      </w:r>
      <w:r w:rsidR="00CF187B" w:rsidRPr="00972C81">
        <w:rPr>
          <w:noProof/>
        </w:rPr>
        <w:fldChar w:fldCharType="begin"/>
      </w:r>
      <w:r w:rsidR="00CF187B" w:rsidRPr="00972C81">
        <w:rPr>
          <w:noProof/>
        </w:rPr>
        <w:instrText xml:space="preserve"> ADDIN ZOTERO_ITEM CSL_CITATION {"citationID":"HSW31wDu","properties":{"formattedCitation":"(ICRP,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CF187B" w:rsidRPr="00972C81">
        <w:rPr>
          <w:noProof/>
        </w:rPr>
        <w:fldChar w:fldCharType="separate"/>
      </w:r>
      <w:r w:rsidR="00BC59C6" w:rsidRPr="00972C81">
        <w:rPr>
          <w:noProof/>
        </w:rPr>
        <w:t>(ICRP, 2019)</w:t>
      </w:r>
      <w:r w:rsidR="00CF187B" w:rsidRPr="00972C81">
        <w:rPr>
          <w:noProof/>
        </w:rPr>
        <w:fldChar w:fldCharType="end"/>
      </w:r>
      <w:r w:rsidR="007A34D9" w:rsidRPr="00972C81">
        <w:rPr>
          <w:noProof/>
        </w:rPr>
        <w:t>.</w:t>
      </w:r>
    </w:p>
    <w:p w14:paraId="36A65A55" w14:textId="14960C48" w:rsidR="007A34D9" w:rsidRPr="00972C81" w:rsidRDefault="00F92E8B" w:rsidP="00E81109">
      <w:pPr>
        <w:pStyle w:val="2"/>
        <w:rPr>
          <w:noProof/>
          <w:lang w:val="en-GB"/>
        </w:rPr>
      </w:pPr>
      <w:bookmarkStart w:id="282" w:name="_Toc162630090"/>
      <w:r w:rsidRPr="00972C81">
        <w:rPr>
          <w:noProof/>
          <w:lang w:val="en-GB"/>
        </w:rPr>
        <w:lastRenderedPageBreak/>
        <w:t>Dosimetric data for protactinium</w:t>
      </w:r>
      <w:bookmarkEnd w:id="282"/>
    </w:p>
    <w:p w14:paraId="0AFE549A" w14:textId="7E5B49EC" w:rsidR="00612E32" w:rsidRPr="00972C81" w:rsidRDefault="00612E32" w:rsidP="00612E32">
      <w:pPr>
        <w:pStyle w:val="ab"/>
        <w:rPr>
          <w:noProof/>
          <w:sz w:val="24"/>
          <w:szCs w:val="24"/>
        </w:rPr>
      </w:pPr>
      <w:r w:rsidRPr="00972C81">
        <w:rPr>
          <w:noProof/>
          <w:sz w:val="24"/>
          <w:szCs w:val="24"/>
        </w:rPr>
        <w:t>Table 19.3.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231</w:t>
      </w:r>
      <w:r w:rsidRPr="00972C81">
        <w:rPr>
          <w:noProof/>
          <w:sz w:val="24"/>
          <w:szCs w:val="24"/>
        </w:rPr>
        <w:t>Pa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8"/>
        <w:gridCol w:w="876"/>
        <w:gridCol w:w="877"/>
        <w:gridCol w:w="877"/>
        <w:gridCol w:w="876"/>
        <w:gridCol w:w="877"/>
        <w:gridCol w:w="876"/>
      </w:tblGrid>
      <w:tr w:rsidR="00612E32" w:rsidRPr="00A3213E" w14:paraId="3A116543" w14:textId="77777777" w:rsidTr="006A73E0">
        <w:trPr>
          <w:trHeight w:val="340"/>
        </w:trPr>
        <w:tc>
          <w:tcPr>
            <w:tcW w:w="2087" w:type="pct"/>
            <w:vMerge w:val="restart"/>
            <w:tcBorders>
              <w:top w:val="single" w:sz="4" w:space="0" w:color="auto"/>
              <w:left w:val="nil"/>
              <w:bottom w:val="single" w:sz="4" w:space="0" w:color="auto"/>
              <w:right w:val="nil"/>
            </w:tcBorders>
            <w:vAlign w:val="bottom"/>
            <w:hideMark/>
          </w:tcPr>
          <w:p w14:paraId="7064C75C" w14:textId="55943BAF" w:rsidR="00BF102D" w:rsidRPr="00C47F2F" w:rsidRDefault="00612E32" w:rsidP="00C47F2F">
            <w:pPr>
              <w:pStyle w:val="a5"/>
              <w:tabs>
                <w:tab w:val="clear" w:pos="4153"/>
                <w:tab w:val="clear" w:pos="8306"/>
              </w:tabs>
              <w:jc w:val="left"/>
              <w:rPr>
                <w:noProof/>
                <w:sz w:val="22"/>
                <w:szCs w:val="22"/>
              </w:rPr>
            </w:pPr>
            <w:r w:rsidRPr="00C47F2F">
              <w:rPr>
                <w:noProof/>
                <w:sz w:val="22"/>
                <w:szCs w:val="22"/>
              </w:rPr>
              <w:t>Inhaled particulate materials</w:t>
            </w:r>
          </w:p>
          <w:p w14:paraId="00AEB874" w14:textId="6E954AD5" w:rsidR="00612E32" w:rsidRPr="004A117A" w:rsidRDefault="00612E32" w:rsidP="00C47F2F">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49E6E5F9" w14:textId="77777777" w:rsidR="00612E32" w:rsidRPr="00C47F2F" w:rsidRDefault="00612E32" w:rsidP="006A73E0">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612E32" w:rsidRPr="00972C81" w14:paraId="11575BC6" w14:textId="77777777" w:rsidTr="006A73E0">
        <w:trPr>
          <w:trHeight w:val="340"/>
        </w:trPr>
        <w:tc>
          <w:tcPr>
            <w:tcW w:w="2087" w:type="pct"/>
            <w:vMerge/>
            <w:tcBorders>
              <w:top w:val="single" w:sz="4" w:space="0" w:color="auto"/>
              <w:left w:val="nil"/>
              <w:bottom w:val="single" w:sz="4" w:space="0" w:color="auto"/>
              <w:right w:val="nil"/>
            </w:tcBorders>
            <w:vAlign w:val="center"/>
            <w:hideMark/>
          </w:tcPr>
          <w:p w14:paraId="48669E8B" w14:textId="77777777" w:rsidR="00612E32" w:rsidRPr="004A117A" w:rsidRDefault="00612E32">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23DD2738" w14:textId="1D3690BB" w:rsidR="00612E32" w:rsidRPr="00C47F2F" w:rsidRDefault="00612E32" w:rsidP="006A73E0">
            <w:pPr>
              <w:jc w:val="left"/>
              <w:rPr>
                <w:noProof/>
                <w:sz w:val="22"/>
                <w:szCs w:val="22"/>
                <w:lang w:eastAsia="ko-KR"/>
              </w:rPr>
            </w:pPr>
            <w:r w:rsidRPr="00C47F2F">
              <w:rPr>
                <w:noProof/>
                <w:sz w:val="22"/>
                <w:szCs w:val="22"/>
              </w:rPr>
              <w:t>3</w:t>
            </w:r>
            <w:r w:rsidR="00BF102D" w:rsidRPr="004A117A">
              <w:rPr>
                <w:rFonts w:hint="eastAsia"/>
                <w:noProof/>
                <w:sz w:val="22"/>
                <w:szCs w:val="22"/>
                <w:lang w:eastAsia="ko-KR"/>
              </w:rPr>
              <w:t xml:space="preserve"> </w:t>
            </w:r>
            <w:r w:rsidRPr="00C47F2F">
              <w:rPr>
                <w:noProof/>
                <w:sz w:val="22"/>
                <w:szCs w:val="22"/>
              </w:rPr>
              <w:t>m</w:t>
            </w:r>
            <w:r w:rsidR="006A73E0">
              <w:rPr>
                <w:rFonts w:hint="eastAsia"/>
                <w:noProof/>
                <w:sz w:val="22"/>
                <w:szCs w:val="22"/>
                <w:lang w:eastAsia="ko-KR"/>
              </w:rPr>
              <w:t>o</w:t>
            </w:r>
          </w:p>
        </w:tc>
        <w:tc>
          <w:tcPr>
            <w:tcW w:w="486" w:type="pct"/>
            <w:tcBorders>
              <w:top w:val="single" w:sz="4" w:space="0" w:color="auto"/>
              <w:left w:val="nil"/>
              <w:bottom w:val="single" w:sz="4" w:space="0" w:color="auto"/>
              <w:right w:val="nil"/>
            </w:tcBorders>
            <w:vAlign w:val="center"/>
            <w:hideMark/>
          </w:tcPr>
          <w:p w14:paraId="76365852" w14:textId="387F319E" w:rsidR="00612E32" w:rsidRPr="00C47F2F" w:rsidRDefault="00612E32" w:rsidP="006A73E0">
            <w:pPr>
              <w:jc w:val="left"/>
              <w:rPr>
                <w:noProof/>
                <w:sz w:val="22"/>
                <w:szCs w:val="22"/>
              </w:rPr>
            </w:pPr>
            <w:r w:rsidRPr="00C47F2F">
              <w:rPr>
                <w:noProof/>
                <w:sz w:val="22"/>
                <w:szCs w:val="22"/>
              </w:rPr>
              <w:t>1</w:t>
            </w:r>
            <w:r w:rsidR="00BF102D" w:rsidRPr="004A117A">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1DE73ED9" w14:textId="2B74BC97" w:rsidR="00612E32" w:rsidRPr="00C47F2F" w:rsidRDefault="00612E32" w:rsidP="006A73E0">
            <w:pPr>
              <w:jc w:val="left"/>
              <w:rPr>
                <w:noProof/>
                <w:sz w:val="22"/>
                <w:szCs w:val="22"/>
              </w:rPr>
            </w:pPr>
            <w:r w:rsidRPr="00C47F2F">
              <w:rPr>
                <w:noProof/>
                <w:sz w:val="22"/>
                <w:szCs w:val="22"/>
              </w:rPr>
              <w:t>5</w:t>
            </w:r>
            <w:r w:rsidR="00BF102D" w:rsidRPr="004A117A">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4B62C474" w14:textId="35AE83C9" w:rsidR="00612E32" w:rsidRPr="00C47F2F" w:rsidRDefault="00612E32" w:rsidP="006A73E0">
            <w:pPr>
              <w:jc w:val="left"/>
              <w:rPr>
                <w:noProof/>
                <w:sz w:val="22"/>
                <w:szCs w:val="22"/>
              </w:rPr>
            </w:pPr>
            <w:r w:rsidRPr="00C47F2F">
              <w:rPr>
                <w:noProof/>
                <w:sz w:val="22"/>
                <w:szCs w:val="22"/>
              </w:rPr>
              <w:t>10</w:t>
            </w:r>
            <w:r w:rsidR="00BF102D" w:rsidRPr="004A117A">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271763C5" w14:textId="05A7742A" w:rsidR="00612E32" w:rsidRPr="00C47F2F" w:rsidRDefault="00612E32" w:rsidP="006A73E0">
            <w:pPr>
              <w:jc w:val="left"/>
              <w:rPr>
                <w:noProof/>
                <w:sz w:val="22"/>
                <w:szCs w:val="22"/>
              </w:rPr>
            </w:pPr>
            <w:r w:rsidRPr="00C47F2F">
              <w:rPr>
                <w:noProof/>
                <w:sz w:val="22"/>
                <w:szCs w:val="22"/>
              </w:rPr>
              <w:t>15</w:t>
            </w:r>
            <w:r w:rsidR="00BF102D" w:rsidRPr="004A117A">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475B36EF" w14:textId="77777777" w:rsidR="00612E32" w:rsidRPr="00C47F2F" w:rsidRDefault="00612E32" w:rsidP="006A73E0">
            <w:pPr>
              <w:jc w:val="left"/>
              <w:rPr>
                <w:noProof/>
                <w:sz w:val="22"/>
                <w:szCs w:val="22"/>
              </w:rPr>
            </w:pPr>
            <w:r w:rsidRPr="00C47F2F">
              <w:rPr>
                <w:noProof/>
                <w:sz w:val="22"/>
                <w:szCs w:val="22"/>
              </w:rPr>
              <w:t>Adult</w:t>
            </w:r>
          </w:p>
        </w:tc>
      </w:tr>
      <w:tr w:rsidR="00612E32" w:rsidRPr="00972C81" w14:paraId="5752CA38" w14:textId="77777777" w:rsidTr="006A73E0">
        <w:trPr>
          <w:trHeight w:val="340"/>
        </w:trPr>
        <w:tc>
          <w:tcPr>
            <w:tcW w:w="2087" w:type="pct"/>
            <w:tcBorders>
              <w:top w:val="single" w:sz="4" w:space="0" w:color="auto"/>
              <w:left w:val="nil"/>
              <w:bottom w:val="nil"/>
              <w:right w:val="nil"/>
            </w:tcBorders>
            <w:hideMark/>
          </w:tcPr>
          <w:p w14:paraId="5F687273" w14:textId="77777777" w:rsidR="00612E32" w:rsidRPr="00C47F2F" w:rsidRDefault="00612E32" w:rsidP="006A73E0">
            <w:pPr>
              <w:jc w:val="left"/>
              <w:rPr>
                <w:rFonts w:eastAsia="Times New Roman"/>
                <w:noProof/>
                <w:color w:val="000000"/>
                <w:sz w:val="22"/>
                <w:szCs w:val="22"/>
                <w:lang w:eastAsia="en-GB"/>
              </w:rPr>
            </w:pPr>
            <w:r w:rsidRPr="00C47F2F">
              <w:rPr>
                <w:rFonts w:eastAsia="Times New Roman"/>
                <w:noProof/>
                <w:color w:val="000000"/>
                <w:sz w:val="22"/>
                <w:szCs w:val="22"/>
              </w:rPr>
              <w:t>Water soluble forms, including chloride, citrate, fluoride, nitrate and sulphate</w:t>
            </w:r>
          </w:p>
        </w:tc>
        <w:tc>
          <w:tcPr>
            <w:tcW w:w="485" w:type="pct"/>
            <w:tcBorders>
              <w:top w:val="single" w:sz="4" w:space="0" w:color="auto"/>
              <w:left w:val="nil"/>
              <w:bottom w:val="nil"/>
              <w:right w:val="nil"/>
            </w:tcBorders>
            <w:hideMark/>
          </w:tcPr>
          <w:p w14:paraId="44FB9678" w14:textId="77777777" w:rsidR="00612E32" w:rsidRPr="00C47F2F" w:rsidRDefault="00612E32" w:rsidP="006A73E0">
            <w:pPr>
              <w:pStyle w:val="Default"/>
              <w:widowControl w:val="0"/>
              <w:rPr>
                <w:rFonts w:eastAsia="Times New Roman"/>
                <w:noProof/>
                <w:sz w:val="22"/>
                <w:szCs w:val="22"/>
              </w:rPr>
            </w:pPr>
            <w:r w:rsidRPr="00C47F2F">
              <w:rPr>
                <w:rFonts w:eastAsia="Times New Roman"/>
                <w:noProof/>
                <w:snapToGrid/>
                <w:sz w:val="22"/>
                <w:szCs w:val="22"/>
              </w:rPr>
              <w:t>9.4E-05</w:t>
            </w:r>
          </w:p>
        </w:tc>
        <w:tc>
          <w:tcPr>
            <w:tcW w:w="486" w:type="pct"/>
            <w:tcBorders>
              <w:top w:val="single" w:sz="4" w:space="0" w:color="auto"/>
              <w:left w:val="nil"/>
              <w:bottom w:val="nil"/>
              <w:right w:val="nil"/>
            </w:tcBorders>
            <w:hideMark/>
          </w:tcPr>
          <w:p w14:paraId="02C85AA1"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9.2E-05</w:t>
            </w:r>
          </w:p>
        </w:tc>
        <w:tc>
          <w:tcPr>
            <w:tcW w:w="486" w:type="pct"/>
            <w:tcBorders>
              <w:top w:val="single" w:sz="4" w:space="0" w:color="auto"/>
              <w:left w:val="nil"/>
              <w:bottom w:val="nil"/>
              <w:right w:val="nil"/>
            </w:tcBorders>
            <w:hideMark/>
          </w:tcPr>
          <w:p w14:paraId="5B498E94"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6.3E-05</w:t>
            </w:r>
          </w:p>
        </w:tc>
        <w:tc>
          <w:tcPr>
            <w:tcW w:w="485" w:type="pct"/>
            <w:tcBorders>
              <w:top w:val="single" w:sz="4" w:space="0" w:color="auto"/>
              <w:left w:val="nil"/>
              <w:bottom w:val="nil"/>
              <w:right w:val="nil"/>
            </w:tcBorders>
            <w:hideMark/>
          </w:tcPr>
          <w:p w14:paraId="2FEFB789"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4.7E-05</w:t>
            </w:r>
          </w:p>
        </w:tc>
        <w:tc>
          <w:tcPr>
            <w:tcW w:w="486" w:type="pct"/>
            <w:tcBorders>
              <w:top w:val="single" w:sz="4" w:space="0" w:color="auto"/>
              <w:left w:val="nil"/>
              <w:bottom w:val="nil"/>
              <w:right w:val="nil"/>
            </w:tcBorders>
            <w:hideMark/>
          </w:tcPr>
          <w:p w14:paraId="1A60BF3D"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4.3E-05</w:t>
            </w:r>
          </w:p>
        </w:tc>
        <w:tc>
          <w:tcPr>
            <w:tcW w:w="486" w:type="pct"/>
            <w:tcBorders>
              <w:top w:val="single" w:sz="4" w:space="0" w:color="auto"/>
              <w:left w:val="nil"/>
              <w:bottom w:val="nil"/>
              <w:right w:val="nil"/>
            </w:tcBorders>
            <w:hideMark/>
          </w:tcPr>
          <w:p w14:paraId="0C95510B"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4.0E-05</w:t>
            </w:r>
          </w:p>
        </w:tc>
      </w:tr>
      <w:tr w:rsidR="00612E32" w:rsidRPr="00972C81" w14:paraId="27073F27" w14:textId="77777777" w:rsidTr="006A73E0">
        <w:trPr>
          <w:trHeight w:val="340"/>
        </w:trPr>
        <w:tc>
          <w:tcPr>
            <w:tcW w:w="2087" w:type="pct"/>
            <w:tcBorders>
              <w:top w:val="nil"/>
              <w:left w:val="nil"/>
              <w:bottom w:val="nil"/>
              <w:right w:val="nil"/>
            </w:tcBorders>
            <w:hideMark/>
          </w:tcPr>
          <w:p w14:paraId="1E249B2A" w14:textId="77777777" w:rsidR="00612E32" w:rsidRPr="00C47F2F" w:rsidRDefault="00612E32" w:rsidP="006A73E0">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7D616568"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2.5E-04</w:t>
            </w:r>
          </w:p>
        </w:tc>
        <w:tc>
          <w:tcPr>
            <w:tcW w:w="486" w:type="pct"/>
            <w:tcBorders>
              <w:top w:val="nil"/>
              <w:left w:val="nil"/>
              <w:bottom w:val="nil"/>
              <w:right w:val="nil"/>
            </w:tcBorders>
            <w:hideMark/>
          </w:tcPr>
          <w:p w14:paraId="1C7C4E1B"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2.3E-04</w:t>
            </w:r>
          </w:p>
        </w:tc>
        <w:tc>
          <w:tcPr>
            <w:tcW w:w="486" w:type="pct"/>
            <w:tcBorders>
              <w:top w:val="nil"/>
              <w:left w:val="nil"/>
              <w:bottom w:val="nil"/>
              <w:right w:val="nil"/>
            </w:tcBorders>
            <w:hideMark/>
          </w:tcPr>
          <w:p w14:paraId="67CD1715"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1.5E-04</w:t>
            </w:r>
          </w:p>
        </w:tc>
        <w:tc>
          <w:tcPr>
            <w:tcW w:w="485" w:type="pct"/>
            <w:tcBorders>
              <w:top w:val="nil"/>
              <w:left w:val="nil"/>
              <w:bottom w:val="nil"/>
              <w:right w:val="nil"/>
            </w:tcBorders>
            <w:hideMark/>
          </w:tcPr>
          <w:p w14:paraId="41FB6016"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1.1E-04</w:t>
            </w:r>
          </w:p>
        </w:tc>
        <w:tc>
          <w:tcPr>
            <w:tcW w:w="486" w:type="pct"/>
            <w:tcBorders>
              <w:top w:val="nil"/>
              <w:left w:val="nil"/>
              <w:bottom w:val="nil"/>
              <w:right w:val="nil"/>
            </w:tcBorders>
            <w:hideMark/>
          </w:tcPr>
          <w:p w14:paraId="63A21590"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9.5E-05</w:t>
            </w:r>
          </w:p>
        </w:tc>
        <w:tc>
          <w:tcPr>
            <w:tcW w:w="486" w:type="pct"/>
            <w:tcBorders>
              <w:top w:val="nil"/>
              <w:left w:val="nil"/>
              <w:bottom w:val="nil"/>
              <w:right w:val="nil"/>
            </w:tcBorders>
            <w:hideMark/>
          </w:tcPr>
          <w:p w14:paraId="5C2232E4"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8.7E-05</w:t>
            </w:r>
          </w:p>
        </w:tc>
      </w:tr>
      <w:tr w:rsidR="00612E32" w:rsidRPr="00972C81" w14:paraId="6737E17D" w14:textId="77777777" w:rsidTr="006A73E0">
        <w:trPr>
          <w:trHeight w:val="340"/>
        </w:trPr>
        <w:tc>
          <w:tcPr>
            <w:tcW w:w="2087" w:type="pct"/>
            <w:tcBorders>
              <w:top w:val="nil"/>
              <w:left w:val="nil"/>
              <w:bottom w:val="nil"/>
              <w:right w:val="nil"/>
            </w:tcBorders>
            <w:hideMark/>
          </w:tcPr>
          <w:p w14:paraId="5C0E8B57" w14:textId="77777777" w:rsidR="00612E32" w:rsidRPr="00C47F2F" w:rsidRDefault="00612E32" w:rsidP="006A73E0">
            <w:pPr>
              <w:jc w:val="left"/>
              <w:rPr>
                <w:rFonts w:eastAsiaTheme="minorHAnsi"/>
                <w:noProof/>
                <w:sz w:val="22"/>
                <w:szCs w:val="22"/>
              </w:rPr>
            </w:pPr>
            <w:r w:rsidRPr="00C47F2F">
              <w:rPr>
                <w:noProof/>
                <w:sz w:val="22"/>
                <w:szCs w:val="22"/>
              </w:rPr>
              <w:t xml:space="preserve">Type M, </w:t>
            </w:r>
            <w:r w:rsidRPr="00C47F2F">
              <w:rPr>
                <w:rFonts w:eastAsia="Times New Roman"/>
                <w:noProof/>
                <w:color w:val="000000"/>
                <w:sz w:val="22"/>
                <w:szCs w:val="22"/>
                <w:lang w:eastAsia="en-GB"/>
              </w:rPr>
              <w:t>hydroxide</w:t>
            </w:r>
          </w:p>
        </w:tc>
        <w:tc>
          <w:tcPr>
            <w:tcW w:w="485" w:type="pct"/>
            <w:tcBorders>
              <w:top w:val="nil"/>
              <w:left w:val="nil"/>
              <w:bottom w:val="nil"/>
              <w:right w:val="nil"/>
            </w:tcBorders>
            <w:hideMark/>
          </w:tcPr>
          <w:p w14:paraId="35047015"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8.6E-05</w:t>
            </w:r>
          </w:p>
        </w:tc>
        <w:tc>
          <w:tcPr>
            <w:tcW w:w="486" w:type="pct"/>
            <w:tcBorders>
              <w:top w:val="nil"/>
              <w:left w:val="nil"/>
              <w:bottom w:val="nil"/>
              <w:right w:val="nil"/>
            </w:tcBorders>
            <w:hideMark/>
          </w:tcPr>
          <w:p w14:paraId="064CA98D"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8.4E-05</w:t>
            </w:r>
          </w:p>
        </w:tc>
        <w:tc>
          <w:tcPr>
            <w:tcW w:w="486" w:type="pct"/>
            <w:tcBorders>
              <w:top w:val="nil"/>
              <w:left w:val="nil"/>
              <w:bottom w:val="nil"/>
              <w:right w:val="nil"/>
            </w:tcBorders>
            <w:hideMark/>
          </w:tcPr>
          <w:p w14:paraId="46114A7B"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5.9E-05</w:t>
            </w:r>
          </w:p>
        </w:tc>
        <w:tc>
          <w:tcPr>
            <w:tcW w:w="485" w:type="pct"/>
            <w:tcBorders>
              <w:top w:val="nil"/>
              <w:left w:val="nil"/>
              <w:bottom w:val="nil"/>
              <w:right w:val="nil"/>
            </w:tcBorders>
            <w:hideMark/>
          </w:tcPr>
          <w:p w14:paraId="20633CBC"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4.4E-05</w:t>
            </w:r>
          </w:p>
        </w:tc>
        <w:tc>
          <w:tcPr>
            <w:tcW w:w="486" w:type="pct"/>
            <w:tcBorders>
              <w:top w:val="nil"/>
              <w:left w:val="nil"/>
              <w:bottom w:val="nil"/>
              <w:right w:val="nil"/>
            </w:tcBorders>
            <w:hideMark/>
          </w:tcPr>
          <w:p w14:paraId="1A1DA8EE"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4.1E-05</w:t>
            </w:r>
          </w:p>
        </w:tc>
        <w:tc>
          <w:tcPr>
            <w:tcW w:w="486" w:type="pct"/>
            <w:tcBorders>
              <w:top w:val="nil"/>
              <w:left w:val="nil"/>
              <w:bottom w:val="nil"/>
              <w:right w:val="nil"/>
            </w:tcBorders>
            <w:hideMark/>
          </w:tcPr>
          <w:p w14:paraId="7EE66183"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3.9E-05</w:t>
            </w:r>
          </w:p>
        </w:tc>
      </w:tr>
      <w:tr w:rsidR="00612E32" w:rsidRPr="00972C81" w14:paraId="3DDC27BD" w14:textId="77777777" w:rsidTr="006A73E0">
        <w:trPr>
          <w:trHeight w:val="340"/>
        </w:trPr>
        <w:tc>
          <w:tcPr>
            <w:tcW w:w="2087" w:type="pct"/>
            <w:tcBorders>
              <w:top w:val="nil"/>
              <w:left w:val="nil"/>
              <w:bottom w:val="single" w:sz="4" w:space="0" w:color="auto"/>
              <w:right w:val="nil"/>
            </w:tcBorders>
            <w:hideMark/>
          </w:tcPr>
          <w:p w14:paraId="65D25ED6" w14:textId="77777777" w:rsidR="00612E32" w:rsidRPr="00C47F2F" w:rsidRDefault="00612E32" w:rsidP="006A73E0">
            <w:pPr>
              <w:jc w:val="left"/>
              <w:rPr>
                <w:rFonts w:eastAsiaTheme="minorHAnsi"/>
                <w:noProof/>
                <w:sz w:val="22"/>
                <w:szCs w:val="22"/>
              </w:rPr>
            </w:pPr>
            <w:r w:rsidRPr="00C47F2F">
              <w:rPr>
                <w:noProof/>
                <w:sz w:val="22"/>
                <w:szCs w:val="22"/>
              </w:rPr>
              <w:t>Type S, oxide</w:t>
            </w:r>
          </w:p>
        </w:tc>
        <w:tc>
          <w:tcPr>
            <w:tcW w:w="485" w:type="pct"/>
            <w:tcBorders>
              <w:top w:val="nil"/>
              <w:left w:val="nil"/>
              <w:bottom w:val="single" w:sz="4" w:space="0" w:color="auto"/>
              <w:right w:val="nil"/>
            </w:tcBorders>
            <w:hideMark/>
          </w:tcPr>
          <w:p w14:paraId="528D1D32"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1.3E-04</w:t>
            </w:r>
          </w:p>
        </w:tc>
        <w:tc>
          <w:tcPr>
            <w:tcW w:w="486" w:type="pct"/>
            <w:tcBorders>
              <w:top w:val="nil"/>
              <w:left w:val="nil"/>
              <w:bottom w:val="single" w:sz="4" w:space="0" w:color="auto"/>
              <w:right w:val="nil"/>
            </w:tcBorders>
            <w:hideMark/>
          </w:tcPr>
          <w:p w14:paraId="0AA5DEC2"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1.4E-04</w:t>
            </w:r>
          </w:p>
        </w:tc>
        <w:tc>
          <w:tcPr>
            <w:tcW w:w="486" w:type="pct"/>
            <w:tcBorders>
              <w:top w:val="nil"/>
              <w:left w:val="nil"/>
              <w:bottom w:val="single" w:sz="4" w:space="0" w:color="auto"/>
              <w:right w:val="nil"/>
            </w:tcBorders>
            <w:hideMark/>
          </w:tcPr>
          <w:p w14:paraId="185F78EB"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1.1E-04</w:t>
            </w:r>
          </w:p>
        </w:tc>
        <w:tc>
          <w:tcPr>
            <w:tcW w:w="485" w:type="pct"/>
            <w:tcBorders>
              <w:top w:val="nil"/>
              <w:left w:val="nil"/>
              <w:bottom w:val="single" w:sz="4" w:space="0" w:color="auto"/>
              <w:right w:val="nil"/>
            </w:tcBorders>
            <w:hideMark/>
          </w:tcPr>
          <w:p w14:paraId="21AE8AF1"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9.1E-05</w:t>
            </w:r>
          </w:p>
        </w:tc>
        <w:tc>
          <w:tcPr>
            <w:tcW w:w="486" w:type="pct"/>
            <w:tcBorders>
              <w:top w:val="nil"/>
              <w:left w:val="nil"/>
              <w:bottom w:val="single" w:sz="4" w:space="0" w:color="auto"/>
              <w:right w:val="nil"/>
            </w:tcBorders>
            <w:hideMark/>
          </w:tcPr>
          <w:p w14:paraId="40150289"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9.1E-05</w:t>
            </w:r>
          </w:p>
        </w:tc>
        <w:tc>
          <w:tcPr>
            <w:tcW w:w="486" w:type="pct"/>
            <w:tcBorders>
              <w:top w:val="nil"/>
              <w:left w:val="nil"/>
              <w:bottom w:val="single" w:sz="4" w:space="0" w:color="auto"/>
              <w:right w:val="nil"/>
            </w:tcBorders>
            <w:hideMark/>
          </w:tcPr>
          <w:p w14:paraId="010F2A73"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9.1E-05</w:t>
            </w:r>
          </w:p>
        </w:tc>
      </w:tr>
      <w:tr w:rsidR="00612E32" w:rsidRPr="00972C81" w14:paraId="39BFE259" w14:textId="77777777" w:rsidTr="006A73E0">
        <w:trPr>
          <w:trHeight w:val="340"/>
        </w:trPr>
        <w:tc>
          <w:tcPr>
            <w:tcW w:w="2087" w:type="pct"/>
            <w:tcBorders>
              <w:top w:val="single" w:sz="4" w:space="0" w:color="auto"/>
              <w:left w:val="nil"/>
              <w:bottom w:val="single" w:sz="4" w:space="0" w:color="auto"/>
              <w:right w:val="nil"/>
            </w:tcBorders>
          </w:tcPr>
          <w:p w14:paraId="41ED4CB6" w14:textId="77777777" w:rsidR="00612E32" w:rsidRPr="00C47F2F" w:rsidRDefault="00612E32" w:rsidP="00C47F2F">
            <w:pPr>
              <w:jc w:val="left"/>
              <w:rPr>
                <w:rFonts w:eastAsiaTheme="minorHAnsi"/>
                <w:noProof/>
                <w:sz w:val="22"/>
                <w:szCs w:val="22"/>
              </w:rPr>
            </w:pPr>
          </w:p>
          <w:p w14:paraId="47A4B942" w14:textId="77777777" w:rsidR="00612E32" w:rsidRPr="00C47F2F" w:rsidRDefault="00612E32"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1563FC56" w14:textId="77777777" w:rsidR="00612E32" w:rsidRPr="00C47F2F" w:rsidRDefault="00612E32"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37D41D2D" w14:textId="77777777" w:rsidR="00612E32" w:rsidRPr="00C47F2F" w:rsidRDefault="00612E32"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5F700816" w14:textId="77777777" w:rsidR="00612E32" w:rsidRPr="00C47F2F" w:rsidRDefault="00612E32"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67F30B6E" w14:textId="77777777" w:rsidR="00612E32" w:rsidRPr="00C47F2F" w:rsidRDefault="00612E32"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720A7A30" w14:textId="77777777" w:rsidR="00612E32" w:rsidRPr="00C47F2F" w:rsidRDefault="00612E32"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16FE6D9D" w14:textId="77777777" w:rsidR="00612E32" w:rsidRPr="00C47F2F" w:rsidRDefault="00612E32" w:rsidP="00C47F2F">
            <w:pPr>
              <w:jc w:val="left"/>
              <w:rPr>
                <w:rFonts w:eastAsia="Times New Roman"/>
                <w:noProof/>
                <w:color w:val="000000"/>
                <w:sz w:val="22"/>
                <w:szCs w:val="22"/>
              </w:rPr>
            </w:pPr>
          </w:p>
        </w:tc>
      </w:tr>
      <w:tr w:rsidR="00612E32" w:rsidRPr="00972C81" w14:paraId="64CBBC85" w14:textId="77777777" w:rsidTr="006A73E0">
        <w:trPr>
          <w:trHeight w:val="340"/>
        </w:trPr>
        <w:tc>
          <w:tcPr>
            <w:tcW w:w="2087" w:type="pct"/>
            <w:tcBorders>
              <w:top w:val="single" w:sz="4" w:space="0" w:color="auto"/>
              <w:left w:val="nil"/>
              <w:bottom w:val="single" w:sz="4" w:space="0" w:color="auto"/>
              <w:right w:val="nil"/>
            </w:tcBorders>
            <w:vAlign w:val="center"/>
            <w:hideMark/>
          </w:tcPr>
          <w:p w14:paraId="115B40A9" w14:textId="77777777" w:rsidR="00612E32" w:rsidRPr="00C47F2F" w:rsidRDefault="00612E32" w:rsidP="006A73E0">
            <w:pPr>
              <w:jc w:val="left"/>
              <w:rPr>
                <w:rFonts w:eastAsiaTheme="minorHAnsi"/>
                <w:noProof/>
                <w:sz w:val="22"/>
                <w:szCs w:val="22"/>
              </w:rPr>
            </w:pPr>
            <w:r w:rsidRPr="00C47F2F">
              <w:rPr>
                <w:noProof/>
                <w:sz w:val="22"/>
                <w:szCs w:val="22"/>
              </w:rPr>
              <w:t>All forms</w:t>
            </w:r>
          </w:p>
        </w:tc>
        <w:tc>
          <w:tcPr>
            <w:tcW w:w="485" w:type="pct"/>
            <w:tcBorders>
              <w:top w:val="single" w:sz="4" w:space="0" w:color="auto"/>
              <w:left w:val="nil"/>
              <w:bottom w:val="single" w:sz="4" w:space="0" w:color="auto"/>
              <w:right w:val="nil"/>
            </w:tcBorders>
            <w:vAlign w:val="center"/>
            <w:hideMark/>
          </w:tcPr>
          <w:p w14:paraId="74CC3C14"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5.1E-06</w:t>
            </w:r>
          </w:p>
        </w:tc>
        <w:tc>
          <w:tcPr>
            <w:tcW w:w="486" w:type="pct"/>
            <w:tcBorders>
              <w:top w:val="single" w:sz="4" w:space="0" w:color="auto"/>
              <w:left w:val="nil"/>
              <w:bottom w:val="single" w:sz="4" w:space="0" w:color="auto"/>
              <w:right w:val="nil"/>
            </w:tcBorders>
            <w:vAlign w:val="center"/>
            <w:hideMark/>
          </w:tcPr>
          <w:p w14:paraId="5A29BD4E"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4.6E-07</w:t>
            </w:r>
          </w:p>
        </w:tc>
        <w:tc>
          <w:tcPr>
            <w:tcW w:w="486" w:type="pct"/>
            <w:tcBorders>
              <w:top w:val="single" w:sz="4" w:space="0" w:color="auto"/>
              <w:left w:val="nil"/>
              <w:bottom w:val="single" w:sz="4" w:space="0" w:color="auto"/>
              <w:right w:val="nil"/>
            </w:tcBorders>
            <w:vAlign w:val="center"/>
            <w:hideMark/>
          </w:tcPr>
          <w:p w14:paraId="0E5044DD"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3.2E-07</w:t>
            </w:r>
          </w:p>
        </w:tc>
        <w:tc>
          <w:tcPr>
            <w:tcW w:w="485" w:type="pct"/>
            <w:tcBorders>
              <w:top w:val="single" w:sz="4" w:space="0" w:color="auto"/>
              <w:left w:val="nil"/>
              <w:bottom w:val="single" w:sz="4" w:space="0" w:color="auto"/>
              <w:right w:val="nil"/>
            </w:tcBorders>
            <w:vAlign w:val="center"/>
            <w:hideMark/>
          </w:tcPr>
          <w:p w14:paraId="386E7880"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2.4E-07</w:t>
            </w:r>
          </w:p>
        </w:tc>
        <w:tc>
          <w:tcPr>
            <w:tcW w:w="486" w:type="pct"/>
            <w:tcBorders>
              <w:top w:val="single" w:sz="4" w:space="0" w:color="auto"/>
              <w:left w:val="nil"/>
              <w:bottom w:val="single" w:sz="4" w:space="0" w:color="auto"/>
              <w:right w:val="nil"/>
            </w:tcBorders>
            <w:vAlign w:val="center"/>
            <w:hideMark/>
          </w:tcPr>
          <w:p w14:paraId="01119268"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2.1E-07</w:t>
            </w:r>
          </w:p>
        </w:tc>
        <w:tc>
          <w:tcPr>
            <w:tcW w:w="486" w:type="pct"/>
            <w:tcBorders>
              <w:top w:val="single" w:sz="4" w:space="0" w:color="auto"/>
              <w:left w:val="nil"/>
              <w:bottom w:val="single" w:sz="4" w:space="0" w:color="auto"/>
              <w:right w:val="nil"/>
            </w:tcBorders>
            <w:vAlign w:val="center"/>
            <w:hideMark/>
          </w:tcPr>
          <w:p w14:paraId="1A2A5356"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1.8E-07</w:t>
            </w:r>
          </w:p>
        </w:tc>
      </w:tr>
    </w:tbl>
    <w:p w14:paraId="12CF6A8F" w14:textId="32C28C9B" w:rsidR="00612E32" w:rsidRPr="00972C81" w:rsidRDefault="00E04D11" w:rsidP="00C47F2F">
      <w:pPr>
        <w:pStyle w:val="GlossaryHeadChar"/>
        <w:rPr>
          <w:noProof/>
          <w:szCs w:val="24"/>
        </w:rPr>
      </w:pPr>
      <w:r w:rsidRPr="00B75FF4">
        <w:rPr>
          <w:noProof/>
        </w:rPr>
        <w:br w:type="page"/>
      </w:r>
      <w:r w:rsidR="00612E32" w:rsidRPr="00972C81">
        <w:rPr>
          <w:noProof/>
          <w:szCs w:val="24"/>
        </w:rPr>
        <w:lastRenderedPageBreak/>
        <w:t>Table 19.4. Committed effective dose coefficients (Sv Bq</w:t>
      </w:r>
      <w:r w:rsidR="00612E32" w:rsidRPr="00972C81">
        <w:rPr>
          <w:noProof/>
          <w:szCs w:val="24"/>
          <w:vertAlign w:val="superscript"/>
        </w:rPr>
        <w:t>-1</w:t>
      </w:r>
      <w:r w:rsidR="00612E32" w:rsidRPr="00972C81">
        <w:rPr>
          <w:noProof/>
          <w:szCs w:val="24"/>
        </w:rPr>
        <w:t xml:space="preserve">) for the inhalation or ingestion of </w:t>
      </w:r>
      <w:r w:rsidR="00612E32" w:rsidRPr="00972C81">
        <w:rPr>
          <w:noProof/>
          <w:szCs w:val="24"/>
          <w:vertAlign w:val="superscript"/>
        </w:rPr>
        <w:t>233</w:t>
      </w:r>
      <w:r w:rsidR="00612E32" w:rsidRPr="00972C81">
        <w:rPr>
          <w:noProof/>
          <w:szCs w:val="24"/>
        </w:rPr>
        <w:t>Pa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8"/>
        <w:gridCol w:w="876"/>
        <w:gridCol w:w="877"/>
        <w:gridCol w:w="877"/>
        <w:gridCol w:w="876"/>
        <w:gridCol w:w="877"/>
        <w:gridCol w:w="876"/>
      </w:tblGrid>
      <w:tr w:rsidR="00612E32" w:rsidRPr="00A3213E" w14:paraId="1BB42EC1" w14:textId="77777777" w:rsidTr="006A73E0">
        <w:trPr>
          <w:trHeight w:val="340"/>
        </w:trPr>
        <w:tc>
          <w:tcPr>
            <w:tcW w:w="2087" w:type="pct"/>
            <w:vMerge w:val="restart"/>
            <w:tcBorders>
              <w:top w:val="single" w:sz="4" w:space="0" w:color="auto"/>
              <w:left w:val="nil"/>
              <w:bottom w:val="single" w:sz="4" w:space="0" w:color="auto"/>
              <w:right w:val="nil"/>
            </w:tcBorders>
            <w:vAlign w:val="bottom"/>
            <w:hideMark/>
          </w:tcPr>
          <w:p w14:paraId="2D5A026C" w14:textId="6C98DC97" w:rsidR="00E661B6" w:rsidRPr="00C47F2F" w:rsidRDefault="00612E32" w:rsidP="00C47F2F">
            <w:pPr>
              <w:pStyle w:val="a5"/>
              <w:tabs>
                <w:tab w:val="clear" w:pos="4153"/>
                <w:tab w:val="clear" w:pos="8306"/>
              </w:tabs>
              <w:jc w:val="left"/>
              <w:rPr>
                <w:noProof/>
                <w:sz w:val="22"/>
                <w:szCs w:val="22"/>
              </w:rPr>
            </w:pPr>
            <w:r w:rsidRPr="00C47F2F">
              <w:rPr>
                <w:noProof/>
                <w:sz w:val="22"/>
                <w:szCs w:val="22"/>
              </w:rPr>
              <w:t>Inhaled particulate materials</w:t>
            </w:r>
          </w:p>
          <w:p w14:paraId="136598A2" w14:textId="2C2F4AEC" w:rsidR="00612E32" w:rsidRPr="00E661B6" w:rsidRDefault="00612E32" w:rsidP="00C47F2F">
            <w:pPr>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3B9D46DC" w14:textId="77777777" w:rsidR="00612E32" w:rsidRPr="00C47F2F" w:rsidRDefault="00612E32" w:rsidP="006A73E0">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612E32" w:rsidRPr="00972C81" w14:paraId="1D9EA1F5" w14:textId="77777777" w:rsidTr="00360747">
        <w:trPr>
          <w:trHeight w:val="340"/>
        </w:trPr>
        <w:tc>
          <w:tcPr>
            <w:tcW w:w="2087" w:type="pct"/>
            <w:vMerge/>
            <w:tcBorders>
              <w:top w:val="single" w:sz="4" w:space="0" w:color="auto"/>
              <w:left w:val="nil"/>
              <w:bottom w:val="single" w:sz="4" w:space="0" w:color="auto"/>
              <w:right w:val="nil"/>
            </w:tcBorders>
            <w:vAlign w:val="center"/>
            <w:hideMark/>
          </w:tcPr>
          <w:p w14:paraId="6A726ADE" w14:textId="77777777" w:rsidR="00612E32" w:rsidRPr="00E661B6" w:rsidRDefault="00612E32">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427AAECD" w14:textId="08C50240" w:rsidR="00612E32" w:rsidRPr="00C47F2F" w:rsidRDefault="00612E32" w:rsidP="006A73E0">
            <w:pPr>
              <w:jc w:val="left"/>
              <w:rPr>
                <w:noProof/>
                <w:sz w:val="22"/>
                <w:szCs w:val="22"/>
                <w:lang w:eastAsia="ko-KR"/>
              </w:rPr>
            </w:pPr>
            <w:r w:rsidRPr="00C47F2F">
              <w:rPr>
                <w:noProof/>
                <w:sz w:val="22"/>
                <w:szCs w:val="22"/>
              </w:rPr>
              <w:t>3</w:t>
            </w:r>
            <w:r w:rsidR="00E661B6">
              <w:rPr>
                <w:rFonts w:hint="eastAsia"/>
                <w:noProof/>
                <w:sz w:val="22"/>
                <w:szCs w:val="22"/>
                <w:lang w:eastAsia="ko-KR"/>
              </w:rPr>
              <w:t xml:space="preserve"> </w:t>
            </w:r>
            <w:r w:rsidRPr="00C47F2F">
              <w:rPr>
                <w:noProof/>
                <w:sz w:val="22"/>
                <w:szCs w:val="22"/>
              </w:rPr>
              <w:t>m</w:t>
            </w:r>
            <w:r w:rsidR="006A73E0">
              <w:rPr>
                <w:rFonts w:hint="eastAsia"/>
                <w:noProof/>
                <w:sz w:val="22"/>
                <w:szCs w:val="22"/>
                <w:lang w:eastAsia="ko-KR"/>
              </w:rPr>
              <w:t>o</w:t>
            </w:r>
          </w:p>
        </w:tc>
        <w:tc>
          <w:tcPr>
            <w:tcW w:w="486" w:type="pct"/>
            <w:tcBorders>
              <w:top w:val="single" w:sz="4" w:space="0" w:color="auto"/>
              <w:left w:val="nil"/>
              <w:bottom w:val="single" w:sz="4" w:space="0" w:color="auto"/>
              <w:right w:val="nil"/>
            </w:tcBorders>
            <w:vAlign w:val="center"/>
            <w:hideMark/>
          </w:tcPr>
          <w:p w14:paraId="7790B461" w14:textId="6E484683" w:rsidR="00612E32" w:rsidRPr="00C47F2F" w:rsidRDefault="00612E32" w:rsidP="006A73E0">
            <w:pPr>
              <w:jc w:val="left"/>
              <w:rPr>
                <w:noProof/>
                <w:sz w:val="22"/>
                <w:szCs w:val="22"/>
                <w:lang w:eastAsia="ko-KR"/>
              </w:rPr>
            </w:pPr>
            <w:r w:rsidRPr="00C47F2F">
              <w:rPr>
                <w:noProof/>
                <w:sz w:val="22"/>
                <w:szCs w:val="22"/>
              </w:rPr>
              <w:t>1</w:t>
            </w:r>
            <w:r w:rsidR="00E661B6">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0564D924" w14:textId="63312695" w:rsidR="00612E32" w:rsidRPr="00C47F2F" w:rsidRDefault="00612E32" w:rsidP="006A73E0">
            <w:pPr>
              <w:jc w:val="left"/>
              <w:rPr>
                <w:noProof/>
                <w:sz w:val="22"/>
                <w:szCs w:val="22"/>
              </w:rPr>
            </w:pPr>
            <w:r w:rsidRPr="00C47F2F">
              <w:rPr>
                <w:noProof/>
                <w:sz w:val="22"/>
                <w:szCs w:val="22"/>
              </w:rPr>
              <w:t>5</w:t>
            </w:r>
            <w:r w:rsidR="00E661B6">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08EADCC6" w14:textId="14D8D185" w:rsidR="00612E32" w:rsidRPr="00C47F2F" w:rsidRDefault="00612E32" w:rsidP="006A73E0">
            <w:pPr>
              <w:jc w:val="left"/>
              <w:rPr>
                <w:noProof/>
                <w:sz w:val="22"/>
                <w:szCs w:val="22"/>
              </w:rPr>
            </w:pPr>
            <w:r w:rsidRPr="00C47F2F">
              <w:rPr>
                <w:noProof/>
                <w:sz w:val="22"/>
                <w:szCs w:val="22"/>
              </w:rPr>
              <w:t>10</w:t>
            </w:r>
            <w:r w:rsidR="00E661B6">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35244F3A" w14:textId="73BF0245" w:rsidR="00612E32" w:rsidRPr="00C47F2F" w:rsidRDefault="00612E32" w:rsidP="006A73E0">
            <w:pPr>
              <w:jc w:val="left"/>
              <w:rPr>
                <w:noProof/>
                <w:sz w:val="22"/>
                <w:szCs w:val="22"/>
              </w:rPr>
            </w:pPr>
            <w:r w:rsidRPr="00C47F2F">
              <w:rPr>
                <w:noProof/>
                <w:sz w:val="22"/>
                <w:szCs w:val="22"/>
              </w:rPr>
              <w:t>15</w:t>
            </w:r>
            <w:r w:rsidR="00E661B6">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4D003FDB" w14:textId="77777777" w:rsidR="00612E32" w:rsidRPr="00C47F2F" w:rsidRDefault="00612E32" w:rsidP="006A73E0">
            <w:pPr>
              <w:jc w:val="left"/>
              <w:rPr>
                <w:noProof/>
                <w:sz w:val="22"/>
                <w:szCs w:val="22"/>
              </w:rPr>
            </w:pPr>
            <w:r w:rsidRPr="00C47F2F">
              <w:rPr>
                <w:noProof/>
                <w:sz w:val="22"/>
                <w:szCs w:val="22"/>
              </w:rPr>
              <w:t>Adult</w:t>
            </w:r>
          </w:p>
        </w:tc>
      </w:tr>
      <w:tr w:rsidR="00612E32" w:rsidRPr="00972C81" w14:paraId="775B15B2" w14:textId="77777777" w:rsidTr="00360747">
        <w:trPr>
          <w:trHeight w:val="340"/>
        </w:trPr>
        <w:tc>
          <w:tcPr>
            <w:tcW w:w="2087" w:type="pct"/>
            <w:tcBorders>
              <w:top w:val="single" w:sz="4" w:space="0" w:color="auto"/>
              <w:left w:val="nil"/>
              <w:bottom w:val="nil"/>
              <w:right w:val="nil"/>
            </w:tcBorders>
            <w:hideMark/>
          </w:tcPr>
          <w:p w14:paraId="69B7EEF8" w14:textId="77777777" w:rsidR="00612E32" w:rsidRPr="00C47F2F" w:rsidRDefault="00612E32" w:rsidP="006A73E0">
            <w:pPr>
              <w:jc w:val="left"/>
              <w:rPr>
                <w:rFonts w:eastAsia="Times New Roman"/>
                <w:noProof/>
                <w:color w:val="000000"/>
                <w:sz w:val="22"/>
                <w:szCs w:val="22"/>
                <w:lang w:eastAsia="en-GB"/>
              </w:rPr>
            </w:pPr>
            <w:r w:rsidRPr="00C47F2F">
              <w:rPr>
                <w:rFonts w:eastAsia="Times New Roman"/>
                <w:noProof/>
                <w:color w:val="000000"/>
                <w:sz w:val="22"/>
                <w:szCs w:val="22"/>
              </w:rPr>
              <w:t>Water soluble forms, including chloride, citrate, fluoride, nitrate and sulphate</w:t>
            </w:r>
          </w:p>
        </w:tc>
        <w:tc>
          <w:tcPr>
            <w:tcW w:w="485" w:type="pct"/>
            <w:tcBorders>
              <w:top w:val="single" w:sz="4" w:space="0" w:color="auto"/>
              <w:left w:val="nil"/>
              <w:bottom w:val="nil"/>
              <w:right w:val="nil"/>
            </w:tcBorders>
            <w:hideMark/>
          </w:tcPr>
          <w:p w14:paraId="50579E6C"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7.7E-09</w:t>
            </w:r>
          </w:p>
        </w:tc>
        <w:tc>
          <w:tcPr>
            <w:tcW w:w="486" w:type="pct"/>
            <w:tcBorders>
              <w:top w:val="single" w:sz="4" w:space="0" w:color="auto"/>
              <w:left w:val="nil"/>
              <w:bottom w:val="nil"/>
              <w:right w:val="nil"/>
            </w:tcBorders>
            <w:hideMark/>
          </w:tcPr>
          <w:p w14:paraId="4C657884"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6.1E-09</w:t>
            </w:r>
          </w:p>
        </w:tc>
        <w:tc>
          <w:tcPr>
            <w:tcW w:w="486" w:type="pct"/>
            <w:tcBorders>
              <w:top w:val="single" w:sz="4" w:space="0" w:color="auto"/>
              <w:left w:val="nil"/>
              <w:bottom w:val="nil"/>
              <w:right w:val="nil"/>
            </w:tcBorders>
            <w:hideMark/>
          </w:tcPr>
          <w:p w14:paraId="6BCD2D47"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3.2E-09</w:t>
            </w:r>
          </w:p>
        </w:tc>
        <w:tc>
          <w:tcPr>
            <w:tcW w:w="485" w:type="pct"/>
            <w:tcBorders>
              <w:top w:val="single" w:sz="4" w:space="0" w:color="auto"/>
              <w:left w:val="nil"/>
              <w:bottom w:val="nil"/>
              <w:right w:val="nil"/>
            </w:tcBorders>
            <w:hideMark/>
          </w:tcPr>
          <w:p w14:paraId="394EE804"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2.1E-09</w:t>
            </w:r>
          </w:p>
        </w:tc>
        <w:tc>
          <w:tcPr>
            <w:tcW w:w="486" w:type="pct"/>
            <w:tcBorders>
              <w:top w:val="single" w:sz="4" w:space="0" w:color="auto"/>
              <w:left w:val="nil"/>
              <w:bottom w:val="nil"/>
              <w:right w:val="nil"/>
            </w:tcBorders>
            <w:hideMark/>
          </w:tcPr>
          <w:p w14:paraId="2327B899"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1.6E-09</w:t>
            </w:r>
          </w:p>
        </w:tc>
        <w:tc>
          <w:tcPr>
            <w:tcW w:w="486" w:type="pct"/>
            <w:tcBorders>
              <w:top w:val="single" w:sz="4" w:space="0" w:color="auto"/>
              <w:left w:val="nil"/>
              <w:bottom w:val="nil"/>
              <w:right w:val="nil"/>
            </w:tcBorders>
            <w:hideMark/>
          </w:tcPr>
          <w:p w14:paraId="45E18293"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1.5E-09</w:t>
            </w:r>
          </w:p>
        </w:tc>
      </w:tr>
      <w:tr w:rsidR="00612E32" w:rsidRPr="00972C81" w14:paraId="1C0DE3A8" w14:textId="77777777" w:rsidTr="00360747">
        <w:trPr>
          <w:trHeight w:val="340"/>
        </w:trPr>
        <w:tc>
          <w:tcPr>
            <w:tcW w:w="2087" w:type="pct"/>
            <w:tcBorders>
              <w:top w:val="nil"/>
              <w:left w:val="nil"/>
              <w:bottom w:val="nil"/>
              <w:right w:val="nil"/>
            </w:tcBorders>
            <w:hideMark/>
          </w:tcPr>
          <w:p w14:paraId="7C5C34C3" w14:textId="77777777" w:rsidR="00612E32" w:rsidRPr="00C47F2F" w:rsidRDefault="00612E32" w:rsidP="006A73E0">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rPr>
              <w:t>— NB: Type F should not be assumed without evidence</w:t>
            </w:r>
          </w:p>
        </w:tc>
        <w:tc>
          <w:tcPr>
            <w:tcW w:w="485" w:type="pct"/>
            <w:tcBorders>
              <w:top w:val="nil"/>
              <w:left w:val="nil"/>
              <w:bottom w:val="nil"/>
              <w:right w:val="nil"/>
            </w:tcBorders>
            <w:hideMark/>
          </w:tcPr>
          <w:p w14:paraId="78611AA4"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1.0E-08</w:t>
            </w:r>
          </w:p>
        </w:tc>
        <w:tc>
          <w:tcPr>
            <w:tcW w:w="486" w:type="pct"/>
            <w:tcBorders>
              <w:top w:val="nil"/>
              <w:left w:val="nil"/>
              <w:bottom w:val="nil"/>
              <w:right w:val="nil"/>
            </w:tcBorders>
            <w:hideMark/>
          </w:tcPr>
          <w:p w14:paraId="404804E2"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6.9E-09</w:t>
            </w:r>
          </w:p>
        </w:tc>
        <w:tc>
          <w:tcPr>
            <w:tcW w:w="486" w:type="pct"/>
            <w:tcBorders>
              <w:top w:val="nil"/>
              <w:left w:val="nil"/>
              <w:bottom w:val="nil"/>
              <w:right w:val="nil"/>
            </w:tcBorders>
            <w:hideMark/>
          </w:tcPr>
          <w:p w14:paraId="25F01CF5"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2.4E-09</w:t>
            </w:r>
          </w:p>
        </w:tc>
        <w:tc>
          <w:tcPr>
            <w:tcW w:w="485" w:type="pct"/>
            <w:tcBorders>
              <w:top w:val="nil"/>
              <w:left w:val="nil"/>
              <w:bottom w:val="nil"/>
              <w:right w:val="nil"/>
            </w:tcBorders>
            <w:hideMark/>
          </w:tcPr>
          <w:p w14:paraId="0793A817"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1.1E-09</w:t>
            </w:r>
          </w:p>
        </w:tc>
        <w:tc>
          <w:tcPr>
            <w:tcW w:w="486" w:type="pct"/>
            <w:tcBorders>
              <w:top w:val="nil"/>
              <w:left w:val="nil"/>
              <w:bottom w:val="nil"/>
              <w:right w:val="nil"/>
            </w:tcBorders>
            <w:hideMark/>
          </w:tcPr>
          <w:p w14:paraId="46A43FF7"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9.4E-10</w:t>
            </w:r>
          </w:p>
        </w:tc>
        <w:tc>
          <w:tcPr>
            <w:tcW w:w="486" w:type="pct"/>
            <w:tcBorders>
              <w:top w:val="nil"/>
              <w:left w:val="nil"/>
              <w:bottom w:val="nil"/>
              <w:right w:val="nil"/>
            </w:tcBorders>
            <w:hideMark/>
          </w:tcPr>
          <w:p w14:paraId="2636B6C1"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5.8E-10</w:t>
            </w:r>
          </w:p>
        </w:tc>
      </w:tr>
      <w:tr w:rsidR="00612E32" w:rsidRPr="00972C81" w14:paraId="1D92B2F6" w14:textId="77777777" w:rsidTr="00360747">
        <w:trPr>
          <w:trHeight w:val="340"/>
        </w:trPr>
        <w:tc>
          <w:tcPr>
            <w:tcW w:w="2087" w:type="pct"/>
            <w:tcBorders>
              <w:top w:val="nil"/>
              <w:left w:val="nil"/>
              <w:bottom w:val="nil"/>
              <w:right w:val="nil"/>
            </w:tcBorders>
            <w:hideMark/>
          </w:tcPr>
          <w:p w14:paraId="5BE359D4" w14:textId="77777777" w:rsidR="00612E32" w:rsidRPr="00C47F2F" w:rsidRDefault="00612E32" w:rsidP="006A73E0">
            <w:pPr>
              <w:jc w:val="left"/>
              <w:rPr>
                <w:rFonts w:eastAsiaTheme="minorHAnsi"/>
                <w:noProof/>
                <w:sz w:val="22"/>
                <w:szCs w:val="22"/>
              </w:rPr>
            </w:pPr>
            <w:r w:rsidRPr="00C47F2F">
              <w:rPr>
                <w:noProof/>
                <w:sz w:val="22"/>
                <w:szCs w:val="22"/>
              </w:rPr>
              <w:t xml:space="preserve">Type M, </w:t>
            </w:r>
            <w:r w:rsidRPr="00C47F2F">
              <w:rPr>
                <w:rFonts w:eastAsia="Times New Roman"/>
                <w:noProof/>
                <w:color w:val="000000"/>
                <w:sz w:val="22"/>
                <w:szCs w:val="22"/>
                <w:lang w:eastAsia="en-GB"/>
              </w:rPr>
              <w:t>hydroxide</w:t>
            </w:r>
          </w:p>
        </w:tc>
        <w:tc>
          <w:tcPr>
            <w:tcW w:w="485" w:type="pct"/>
            <w:tcBorders>
              <w:top w:val="nil"/>
              <w:left w:val="nil"/>
              <w:bottom w:val="nil"/>
              <w:right w:val="nil"/>
            </w:tcBorders>
            <w:hideMark/>
          </w:tcPr>
          <w:p w14:paraId="3BFA03E4"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7.1E-09</w:t>
            </w:r>
          </w:p>
        </w:tc>
        <w:tc>
          <w:tcPr>
            <w:tcW w:w="486" w:type="pct"/>
            <w:tcBorders>
              <w:top w:val="nil"/>
              <w:left w:val="nil"/>
              <w:bottom w:val="nil"/>
              <w:right w:val="nil"/>
            </w:tcBorders>
            <w:hideMark/>
          </w:tcPr>
          <w:p w14:paraId="01740E8F"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5.5E-09</w:t>
            </w:r>
          </w:p>
        </w:tc>
        <w:tc>
          <w:tcPr>
            <w:tcW w:w="486" w:type="pct"/>
            <w:tcBorders>
              <w:top w:val="nil"/>
              <w:left w:val="nil"/>
              <w:bottom w:val="nil"/>
              <w:right w:val="nil"/>
            </w:tcBorders>
            <w:hideMark/>
          </w:tcPr>
          <w:p w14:paraId="5C5F376C"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3.0E-09</w:t>
            </w:r>
          </w:p>
        </w:tc>
        <w:tc>
          <w:tcPr>
            <w:tcW w:w="485" w:type="pct"/>
            <w:tcBorders>
              <w:top w:val="nil"/>
              <w:left w:val="nil"/>
              <w:bottom w:val="nil"/>
              <w:right w:val="nil"/>
            </w:tcBorders>
            <w:hideMark/>
          </w:tcPr>
          <w:p w14:paraId="4BDE2245"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1.9E-09</w:t>
            </w:r>
          </w:p>
        </w:tc>
        <w:tc>
          <w:tcPr>
            <w:tcW w:w="486" w:type="pct"/>
            <w:tcBorders>
              <w:top w:val="nil"/>
              <w:left w:val="nil"/>
              <w:bottom w:val="nil"/>
              <w:right w:val="nil"/>
            </w:tcBorders>
            <w:hideMark/>
          </w:tcPr>
          <w:p w14:paraId="23D595EC"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1.5E-09</w:t>
            </w:r>
          </w:p>
        </w:tc>
        <w:tc>
          <w:tcPr>
            <w:tcW w:w="486" w:type="pct"/>
            <w:tcBorders>
              <w:top w:val="nil"/>
              <w:left w:val="nil"/>
              <w:bottom w:val="nil"/>
              <w:right w:val="nil"/>
            </w:tcBorders>
            <w:hideMark/>
          </w:tcPr>
          <w:p w14:paraId="53E544F1"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1.4E-09</w:t>
            </w:r>
          </w:p>
        </w:tc>
      </w:tr>
      <w:tr w:rsidR="00612E32" w:rsidRPr="00972C81" w14:paraId="164F97E6" w14:textId="77777777" w:rsidTr="00360747">
        <w:trPr>
          <w:trHeight w:val="340"/>
        </w:trPr>
        <w:tc>
          <w:tcPr>
            <w:tcW w:w="2087" w:type="pct"/>
            <w:tcBorders>
              <w:top w:val="nil"/>
              <w:left w:val="nil"/>
              <w:bottom w:val="single" w:sz="4" w:space="0" w:color="auto"/>
              <w:right w:val="nil"/>
            </w:tcBorders>
            <w:hideMark/>
          </w:tcPr>
          <w:p w14:paraId="1FE83FF1" w14:textId="77777777" w:rsidR="00612E32" w:rsidRPr="00C47F2F" w:rsidRDefault="00612E32" w:rsidP="006A73E0">
            <w:pPr>
              <w:jc w:val="left"/>
              <w:rPr>
                <w:rFonts w:eastAsiaTheme="minorHAnsi"/>
                <w:noProof/>
                <w:sz w:val="22"/>
                <w:szCs w:val="22"/>
              </w:rPr>
            </w:pPr>
            <w:r w:rsidRPr="00C47F2F">
              <w:rPr>
                <w:noProof/>
                <w:sz w:val="22"/>
                <w:szCs w:val="22"/>
              </w:rPr>
              <w:t>Type S, oxide</w:t>
            </w:r>
          </w:p>
        </w:tc>
        <w:tc>
          <w:tcPr>
            <w:tcW w:w="485" w:type="pct"/>
            <w:tcBorders>
              <w:top w:val="nil"/>
              <w:left w:val="nil"/>
              <w:bottom w:val="single" w:sz="4" w:space="0" w:color="auto"/>
              <w:right w:val="nil"/>
            </w:tcBorders>
            <w:hideMark/>
          </w:tcPr>
          <w:p w14:paraId="2BE9B959"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7.8E-09</w:t>
            </w:r>
          </w:p>
        </w:tc>
        <w:tc>
          <w:tcPr>
            <w:tcW w:w="486" w:type="pct"/>
            <w:tcBorders>
              <w:top w:val="nil"/>
              <w:left w:val="nil"/>
              <w:bottom w:val="single" w:sz="4" w:space="0" w:color="auto"/>
              <w:right w:val="nil"/>
            </w:tcBorders>
            <w:hideMark/>
          </w:tcPr>
          <w:p w14:paraId="40785908"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6.3E-09</w:t>
            </w:r>
          </w:p>
        </w:tc>
        <w:tc>
          <w:tcPr>
            <w:tcW w:w="486" w:type="pct"/>
            <w:tcBorders>
              <w:top w:val="nil"/>
              <w:left w:val="nil"/>
              <w:bottom w:val="single" w:sz="4" w:space="0" w:color="auto"/>
              <w:right w:val="nil"/>
            </w:tcBorders>
            <w:hideMark/>
          </w:tcPr>
          <w:p w14:paraId="63FC6F9B"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3.6E-09</w:t>
            </w:r>
          </w:p>
        </w:tc>
        <w:tc>
          <w:tcPr>
            <w:tcW w:w="485" w:type="pct"/>
            <w:tcBorders>
              <w:top w:val="nil"/>
              <w:left w:val="nil"/>
              <w:bottom w:val="single" w:sz="4" w:space="0" w:color="auto"/>
              <w:right w:val="nil"/>
            </w:tcBorders>
            <w:hideMark/>
          </w:tcPr>
          <w:p w14:paraId="66527622"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2.4E-09</w:t>
            </w:r>
          </w:p>
        </w:tc>
        <w:tc>
          <w:tcPr>
            <w:tcW w:w="486" w:type="pct"/>
            <w:tcBorders>
              <w:top w:val="nil"/>
              <w:left w:val="nil"/>
              <w:bottom w:val="single" w:sz="4" w:space="0" w:color="auto"/>
              <w:right w:val="nil"/>
            </w:tcBorders>
            <w:hideMark/>
          </w:tcPr>
          <w:p w14:paraId="048AD49E"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1.8E-09</w:t>
            </w:r>
          </w:p>
        </w:tc>
        <w:tc>
          <w:tcPr>
            <w:tcW w:w="486" w:type="pct"/>
            <w:tcBorders>
              <w:top w:val="nil"/>
              <w:left w:val="nil"/>
              <w:bottom w:val="single" w:sz="4" w:space="0" w:color="auto"/>
              <w:right w:val="nil"/>
            </w:tcBorders>
            <w:hideMark/>
          </w:tcPr>
          <w:p w14:paraId="5D0B51D7"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1.8E-09</w:t>
            </w:r>
          </w:p>
        </w:tc>
      </w:tr>
      <w:tr w:rsidR="00612E32" w:rsidRPr="00972C81" w14:paraId="3F843E0F" w14:textId="77777777" w:rsidTr="00360747">
        <w:trPr>
          <w:trHeight w:val="340"/>
        </w:trPr>
        <w:tc>
          <w:tcPr>
            <w:tcW w:w="2087" w:type="pct"/>
            <w:tcBorders>
              <w:top w:val="single" w:sz="4" w:space="0" w:color="auto"/>
              <w:left w:val="nil"/>
              <w:bottom w:val="single" w:sz="4" w:space="0" w:color="auto"/>
              <w:right w:val="nil"/>
            </w:tcBorders>
          </w:tcPr>
          <w:p w14:paraId="06831086" w14:textId="77777777" w:rsidR="00612E32" w:rsidRPr="00C47F2F" w:rsidRDefault="00612E32" w:rsidP="00C47F2F">
            <w:pPr>
              <w:jc w:val="left"/>
              <w:rPr>
                <w:rFonts w:eastAsiaTheme="minorHAnsi"/>
                <w:noProof/>
                <w:sz w:val="22"/>
                <w:szCs w:val="22"/>
              </w:rPr>
            </w:pPr>
          </w:p>
          <w:p w14:paraId="6D1DA078" w14:textId="77777777" w:rsidR="00612E32" w:rsidRPr="00C47F2F" w:rsidRDefault="00612E32"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24A219DA" w14:textId="77777777" w:rsidR="00612E32" w:rsidRPr="00C47F2F" w:rsidRDefault="00612E32"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79C67637" w14:textId="77777777" w:rsidR="00612E32" w:rsidRPr="00C47F2F" w:rsidRDefault="00612E32"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4DB21AC2" w14:textId="77777777" w:rsidR="00612E32" w:rsidRPr="00C47F2F" w:rsidRDefault="00612E32"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4B96B34" w14:textId="77777777" w:rsidR="00612E32" w:rsidRPr="00C47F2F" w:rsidRDefault="00612E32"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185284DB" w14:textId="77777777" w:rsidR="00612E32" w:rsidRPr="00C47F2F" w:rsidRDefault="00612E32"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30BF8CAB" w14:textId="77777777" w:rsidR="00612E32" w:rsidRPr="00C47F2F" w:rsidRDefault="00612E32" w:rsidP="00C47F2F">
            <w:pPr>
              <w:jc w:val="left"/>
              <w:rPr>
                <w:rFonts w:eastAsia="Times New Roman"/>
                <w:noProof/>
                <w:color w:val="000000"/>
                <w:sz w:val="22"/>
                <w:szCs w:val="22"/>
              </w:rPr>
            </w:pPr>
          </w:p>
        </w:tc>
      </w:tr>
      <w:tr w:rsidR="00612E32" w:rsidRPr="00972C81" w14:paraId="6030E1FF" w14:textId="77777777" w:rsidTr="00360747">
        <w:trPr>
          <w:trHeight w:val="340"/>
        </w:trPr>
        <w:tc>
          <w:tcPr>
            <w:tcW w:w="2087" w:type="pct"/>
            <w:tcBorders>
              <w:top w:val="single" w:sz="4" w:space="0" w:color="auto"/>
              <w:left w:val="nil"/>
              <w:bottom w:val="single" w:sz="4" w:space="0" w:color="auto"/>
              <w:right w:val="nil"/>
            </w:tcBorders>
            <w:vAlign w:val="center"/>
            <w:hideMark/>
          </w:tcPr>
          <w:p w14:paraId="4F4D994B" w14:textId="77777777" w:rsidR="00612E32" w:rsidRPr="00C47F2F" w:rsidRDefault="00612E32" w:rsidP="006A73E0">
            <w:pPr>
              <w:jc w:val="left"/>
              <w:rPr>
                <w:rFonts w:eastAsiaTheme="minorHAnsi"/>
                <w:noProof/>
                <w:sz w:val="22"/>
                <w:szCs w:val="22"/>
              </w:rPr>
            </w:pPr>
            <w:r w:rsidRPr="00C47F2F">
              <w:rPr>
                <w:noProof/>
                <w:sz w:val="22"/>
                <w:szCs w:val="22"/>
              </w:rPr>
              <w:t>All forms</w:t>
            </w:r>
          </w:p>
        </w:tc>
        <w:tc>
          <w:tcPr>
            <w:tcW w:w="485" w:type="pct"/>
            <w:tcBorders>
              <w:top w:val="single" w:sz="4" w:space="0" w:color="auto"/>
              <w:left w:val="nil"/>
              <w:bottom w:val="single" w:sz="4" w:space="0" w:color="auto"/>
              <w:right w:val="nil"/>
            </w:tcBorders>
            <w:vAlign w:val="center"/>
            <w:hideMark/>
          </w:tcPr>
          <w:p w14:paraId="6EFEB5E6"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7.5E-10</w:t>
            </w:r>
          </w:p>
        </w:tc>
        <w:tc>
          <w:tcPr>
            <w:tcW w:w="486" w:type="pct"/>
            <w:tcBorders>
              <w:top w:val="single" w:sz="4" w:space="0" w:color="auto"/>
              <w:left w:val="nil"/>
              <w:bottom w:val="single" w:sz="4" w:space="0" w:color="auto"/>
              <w:right w:val="nil"/>
            </w:tcBorders>
            <w:vAlign w:val="center"/>
            <w:hideMark/>
          </w:tcPr>
          <w:p w14:paraId="3C9528B9"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5.0E-10</w:t>
            </w:r>
          </w:p>
        </w:tc>
        <w:tc>
          <w:tcPr>
            <w:tcW w:w="486" w:type="pct"/>
            <w:tcBorders>
              <w:top w:val="single" w:sz="4" w:space="0" w:color="auto"/>
              <w:left w:val="nil"/>
              <w:bottom w:val="single" w:sz="4" w:space="0" w:color="auto"/>
              <w:right w:val="nil"/>
            </w:tcBorders>
            <w:vAlign w:val="center"/>
            <w:hideMark/>
          </w:tcPr>
          <w:p w14:paraId="414817E6"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2.9E-10</w:t>
            </w:r>
          </w:p>
        </w:tc>
        <w:tc>
          <w:tcPr>
            <w:tcW w:w="485" w:type="pct"/>
            <w:tcBorders>
              <w:top w:val="single" w:sz="4" w:space="0" w:color="auto"/>
              <w:left w:val="nil"/>
              <w:bottom w:val="single" w:sz="4" w:space="0" w:color="auto"/>
              <w:right w:val="nil"/>
            </w:tcBorders>
            <w:vAlign w:val="center"/>
            <w:hideMark/>
          </w:tcPr>
          <w:p w14:paraId="05C9B277"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2.1E-10</w:t>
            </w:r>
          </w:p>
        </w:tc>
        <w:tc>
          <w:tcPr>
            <w:tcW w:w="486" w:type="pct"/>
            <w:tcBorders>
              <w:top w:val="single" w:sz="4" w:space="0" w:color="auto"/>
              <w:left w:val="nil"/>
              <w:bottom w:val="single" w:sz="4" w:space="0" w:color="auto"/>
              <w:right w:val="nil"/>
            </w:tcBorders>
            <w:vAlign w:val="center"/>
            <w:hideMark/>
          </w:tcPr>
          <w:p w14:paraId="25D045E4"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1.4E-10</w:t>
            </w:r>
          </w:p>
        </w:tc>
        <w:tc>
          <w:tcPr>
            <w:tcW w:w="486" w:type="pct"/>
            <w:tcBorders>
              <w:top w:val="single" w:sz="4" w:space="0" w:color="auto"/>
              <w:left w:val="nil"/>
              <w:bottom w:val="single" w:sz="4" w:space="0" w:color="auto"/>
              <w:right w:val="nil"/>
            </w:tcBorders>
            <w:vAlign w:val="center"/>
            <w:hideMark/>
          </w:tcPr>
          <w:p w14:paraId="4215FA52" w14:textId="77777777" w:rsidR="00612E32" w:rsidRPr="00C47F2F" w:rsidRDefault="00612E32" w:rsidP="006A73E0">
            <w:pPr>
              <w:jc w:val="left"/>
              <w:rPr>
                <w:rFonts w:eastAsia="Times New Roman"/>
                <w:noProof/>
                <w:color w:val="000000"/>
                <w:sz w:val="22"/>
                <w:szCs w:val="22"/>
              </w:rPr>
            </w:pPr>
            <w:r w:rsidRPr="00C47F2F">
              <w:rPr>
                <w:rFonts w:eastAsia="Times New Roman"/>
                <w:noProof/>
                <w:color w:val="000000"/>
                <w:sz w:val="22"/>
                <w:szCs w:val="22"/>
              </w:rPr>
              <w:t>1.2E-10</w:t>
            </w:r>
          </w:p>
        </w:tc>
      </w:tr>
    </w:tbl>
    <w:p w14:paraId="09B58AAF" w14:textId="03018EA5" w:rsidR="00F92E8B" w:rsidRPr="00972C81" w:rsidRDefault="007A34D9" w:rsidP="00612E32">
      <w:pPr>
        <w:pStyle w:val="ab"/>
        <w:rPr>
          <w:b/>
          <w:noProof/>
          <w:sz w:val="28"/>
          <w:szCs w:val="24"/>
          <w:lang w:eastAsia="en-GB"/>
        </w:rPr>
      </w:pPr>
      <w:r w:rsidRPr="00972C81">
        <w:rPr>
          <w:noProof/>
        </w:rPr>
        <w:br w:type="page"/>
      </w:r>
    </w:p>
    <w:p w14:paraId="7B48EBA7" w14:textId="77777777" w:rsidR="007D1F4D" w:rsidRPr="00972C81" w:rsidRDefault="005B5BA0" w:rsidP="00E81109">
      <w:pPr>
        <w:pStyle w:val="1"/>
        <w:rPr>
          <w:noProof/>
        </w:rPr>
      </w:pPr>
      <w:bookmarkStart w:id="283" w:name="_Toc162630091"/>
      <w:r w:rsidRPr="00972C81">
        <w:rPr>
          <w:noProof/>
        </w:rPr>
        <w:lastRenderedPageBreak/>
        <w:t>Uranium (Z = 92)</w:t>
      </w:r>
      <w:bookmarkEnd w:id="270"/>
      <w:bookmarkEnd w:id="283"/>
    </w:p>
    <w:p w14:paraId="10B68F63" w14:textId="2FB4F08B" w:rsidR="00797E99" w:rsidRPr="00972C81" w:rsidRDefault="00797E99" w:rsidP="00E81109">
      <w:pPr>
        <w:pStyle w:val="2"/>
        <w:rPr>
          <w:noProof/>
          <w:lang w:val="en-GB"/>
        </w:rPr>
      </w:pPr>
      <w:bookmarkStart w:id="284" w:name="_Toc17467913"/>
      <w:bookmarkStart w:id="285" w:name="_Toc430178083"/>
      <w:bookmarkStart w:id="286" w:name="_Toc162630092"/>
      <w:bookmarkEnd w:id="284"/>
      <w:r w:rsidRPr="00972C81">
        <w:rPr>
          <w:noProof/>
          <w:lang w:val="en-GB"/>
        </w:rPr>
        <w:t>Routes of Intake</w:t>
      </w:r>
      <w:bookmarkEnd w:id="285"/>
      <w:bookmarkEnd w:id="286"/>
    </w:p>
    <w:p w14:paraId="22F06621" w14:textId="77777777" w:rsidR="00797E99" w:rsidRPr="00972C81" w:rsidRDefault="00797E99" w:rsidP="00E81109">
      <w:pPr>
        <w:pStyle w:val="3"/>
        <w:rPr>
          <w:noProof/>
        </w:rPr>
      </w:pPr>
      <w:r w:rsidRPr="00972C81">
        <w:rPr>
          <w:noProof/>
        </w:rPr>
        <w:t xml:space="preserve"> </w:t>
      </w:r>
      <w:bookmarkStart w:id="287" w:name="_Toc430178084"/>
      <w:bookmarkStart w:id="288" w:name="_Toc162630093"/>
      <w:r w:rsidRPr="00972C81">
        <w:rPr>
          <w:noProof/>
        </w:rPr>
        <w:t>Inhalation</w:t>
      </w:r>
      <w:bookmarkEnd w:id="287"/>
      <w:bookmarkEnd w:id="288"/>
      <w:r w:rsidRPr="00972C81">
        <w:rPr>
          <w:noProof/>
        </w:rPr>
        <w:t xml:space="preserve"> </w:t>
      </w:r>
    </w:p>
    <w:p w14:paraId="1601EC27" w14:textId="7D5575D1" w:rsidR="00797E99" w:rsidRPr="00972C81" w:rsidRDefault="00797E99" w:rsidP="001C4A92">
      <w:pPr>
        <w:pStyle w:val="Annalstext"/>
        <w:rPr>
          <w:noProof/>
        </w:rPr>
      </w:pPr>
      <w:r w:rsidRPr="00972C81">
        <w:rPr>
          <w:noProof/>
        </w:rPr>
        <w:t>There is extensive information available on the behaviour of uranium after deposition in the respiratory tract from animal experiments (mainly in rats), in</w:t>
      </w:r>
      <w:r w:rsidR="002E0769" w:rsidRPr="00972C81">
        <w:rPr>
          <w:noProof/>
        </w:rPr>
        <w:t>-</w:t>
      </w:r>
      <w:r w:rsidRPr="00972C81">
        <w:rPr>
          <w:noProof/>
        </w:rPr>
        <w:t xml:space="preserve">vitro dissolution studies, and some accidental human intakes. </w:t>
      </w:r>
      <w:r w:rsidR="002E0769" w:rsidRPr="00972C81">
        <w:rPr>
          <w:noProof/>
        </w:rPr>
        <w:t xml:space="preserve">For details see Section 15 of </w:t>
      </w:r>
      <w:r w:rsidR="00352617" w:rsidRPr="00972C81">
        <w:rPr>
          <w:i/>
          <w:noProof/>
        </w:rPr>
        <w:t xml:space="preserve">Publication </w:t>
      </w:r>
      <w:r w:rsidR="00351356" w:rsidRPr="00972C81">
        <w:rPr>
          <w:i/>
          <w:noProof/>
        </w:rPr>
        <w:t>137</w:t>
      </w:r>
      <w:r w:rsidR="00352617" w:rsidRPr="00972C81">
        <w:rPr>
          <w:noProof/>
        </w:rPr>
        <w:t xml:space="preserve"> </w:t>
      </w:r>
      <w:r w:rsidR="00517F8E" w:rsidRPr="00972C81">
        <w:rPr>
          <w:noProof/>
        </w:rPr>
        <w:fldChar w:fldCharType="begin"/>
      </w:r>
      <w:r w:rsidR="00517F8E" w:rsidRPr="00972C81">
        <w:rPr>
          <w:noProof/>
        </w:rPr>
        <w:instrText xml:space="preserve"> ADDIN ZOTERO_ITEM CSL_CITATION {"citationID":"iBI4vMMc","properties":{"formattedCitation":"(ICRP, 2017)","plainCitation":"(ICRP, 2017)","noteIndex":0},"citationItems":[{"id":2566,"uris":["http://zotero.org/groups/2470620/items/BYB77JGB"],"itemData":{"id":2566,"type":"article-journal","container-title":"Annals of the ICRP","issue":"3/4","journalAbbreviation":"Ann. ICRP","language":"en","title":"Occupational intakes of radionuclides: Part 3. ICRP Publication 137","volume":"46","author":[{"literal":"ICRP"}],"issued":{"date-parts":[["2017"]]}}}],"schema":"https://github.com/citation-style-language/schema/raw/master/csl-citation.json"} </w:instrText>
      </w:r>
      <w:r w:rsidR="00517F8E" w:rsidRPr="00972C81">
        <w:rPr>
          <w:noProof/>
        </w:rPr>
        <w:fldChar w:fldCharType="separate"/>
      </w:r>
      <w:r w:rsidR="00BC59C6" w:rsidRPr="00972C81">
        <w:rPr>
          <w:noProof/>
        </w:rPr>
        <w:t>(ICRP, 2017)</w:t>
      </w:r>
      <w:r w:rsidR="00517F8E" w:rsidRPr="00972C81">
        <w:rPr>
          <w:noProof/>
        </w:rPr>
        <w:fldChar w:fldCharType="end"/>
      </w:r>
      <w:r w:rsidR="002E0769" w:rsidRPr="00972C81">
        <w:rPr>
          <w:noProof/>
        </w:rPr>
        <w:t xml:space="preserve">. </w:t>
      </w:r>
      <w:r w:rsidRPr="00972C81">
        <w:rPr>
          <w:noProof/>
        </w:rPr>
        <w:t xml:space="preserve">Absorption parameter values and Types, and associated </w:t>
      </w:r>
      <w:r w:rsidRPr="00972C81">
        <w:rPr>
          <w:i/>
          <w:noProof/>
        </w:rPr>
        <w:t>f</w:t>
      </w:r>
      <w:r w:rsidRPr="00972C81">
        <w:rPr>
          <w:noProof/>
          <w:vertAlign w:val="subscript"/>
        </w:rPr>
        <w:t>A</w:t>
      </w:r>
      <w:r w:rsidRPr="00972C81">
        <w:rPr>
          <w:noProof/>
        </w:rPr>
        <w:t xml:space="preserve"> values for particulate forms of uranium are given in </w:t>
      </w:r>
      <w:r w:rsidR="00883312" w:rsidRPr="00972C81">
        <w:rPr>
          <w:noProof/>
        </w:rPr>
        <w:fldChar w:fldCharType="begin"/>
      </w:r>
      <w:r w:rsidR="00883312" w:rsidRPr="00972C81">
        <w:rPr>
          <w:noProof/>
        </w:rPr>
        <w:instrText xml:space="preserve"> REF _Ref331680965 \h  \* MERGEFORMAT </w:instrText>
      </w:r>
      <w:r w:rsidR="00883312" w:rsidRPr="00972C81">
        <w:rPr>
          <w:noProof/>
        </w:rPr>
      </w:r>
      <w:r w:rsidR="00883312" w:rsidRPr="00972C81">
        <w:rPr>
          <w:noProof/>
        </w:rPr>
        <w:fldChar w:fldCharType="separate"/>
      </w:r>
      <w:r w:rsidR="00A41AD1" w:rsidRPr="00972C81">
        <w:rPr>
          <w:noProof/>
        </w:rPr>
        <w:t xml:space="preserve">Table </w:t>
      </w:r>
      <w:r w:rsidR="00A41AD1">
        <w:rPr>
          <w:noProof/>
        </w:rPr>
        <w:t>20</w:t>
      </w:r>
      <w:r w:rsidR="00A41AD1" w:rsidRPr="00972C81">
        <w:rPr>
          <w:noProof/>
        </w:rPr>
        <w:t>.</w:t>
      </w:r>
      <w:r w:rsidR="00A41AD1">
        <w:rPr>
          <w:noProof/>
        </w:rPr>
        <w:t>1</w:t>
      </w:r>
      <w:r w:rsidR="00A41AD1" w:rsidRPr="00972C81">
        <w:rPr>
          <w:noProof/>
        </w:rPr>
        <w:t xml:space="preserve">. </w:t>
      </w:r>
      <w:r w:rsidR="00883312" w:rsidRPr="00972C81">
        <w:rPr>
          <w:noProof/>
        </w:rPr>
        <w:fldChar w:fldCharType="end"/>
      </w:r>
      <w:r w:rsidR="006C29E4" w:rsidRPr="00972C81">
        <w:rPr>
          <w:noProof/>
        </w:rPr>
        <w:t xml:space="preserve">(taken from Section 15 of </w:t>
      </w:r>
      <w:r w:rsidR="00352617" w:rsidRPr="00972C81">
        <w:rPr>
          <w:i/>
          <w:noProof/>
        </w:rPr>
        <w:t xml:space="preserve">Publication </w:t>
      </w:r>
      <w:r w:rsidR="00351356" w:rsidRPr="00972C81">
        <w:rPr>
          <w:i/>
          <w:noProof/>
        </w:rPr>
        <w:t>137</w:t>
      </w:r>
      <w:r w:rsidR="006C29E4" w:rsidRPr="00972C81">
        <w:rPr>
          <w:noProof/>
        </w:rPr>
        <w:t>)</w:t>
      </w:r>
      <w:r w:rsidRPr="00972C81">
        <w:rPr>
          <w:noProof/>
        </w:rPr>
        <w:t xml:space="preserve">. </w:t>
      </w:r>
    </w:p>
    <w:p w14:paraId="77FD59B7" w14:textId="77777777" w:rsidR="00797E99" w:rsidRPr="00972C81" w:rsidRDefault="00797E99" w:rsidP="00E81109">
      <w:pPr>
        <w:rPr>
          <w:rFonts w:ascii="Times Roman" w:hAnsi="Times Roman"/>
          <w:noProof/>
        </w:rPr>
      </w:pPr>
    </w:p>
    <w:p w14:paraId="4D67B10C" w14:textId="3E6037B0" w:rsidR="00797E99" w:rsidRPr="00C47F2F" w:rsidRDefault="00517F8E" w:rsidP="00E81109">
      <w:pPr>
        <w:pStyle w:val="ab"/>
        <w:rPr>
          <w:noProof/>
          <w:sz w:val="24"/>
          <w:szCs w:val="24"/>
        </w:rPr>
      </w:pPr>
      <w:bookmarkStart w:id="289" w:name="_Ref331680965"/>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20</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1</w:t>
      </w:r>
      <w:r w:rsidR="00EA3750" w:rsidRPr="00C47F2F">
        <w:rPr>
          <w:noProof/>
          <w:sz w:val="24"/>
          <w:szCs w:val="24"/>
        </w:rPr>
        <w:fldChar w:fldCharType="end"/>
      </w:r>
      <w:r w:rsidRPr="00C47F2F">
        <w:rPr>
          <w:noProof/>
          <w:sz w:val="24"/>
          <w:szCs w:val="24"/>
        </w:rPr>
        <w:t xml:space="preserve">. </w:t>
      </w:r>
      <w:bookmarkEnd w:id="289"/>
      <w:r w:rsidR="00797E99" w:rsidRPr="00C47F2F">
        <w:rPr>
          <w:noProof/>
          <w:sz w:val="24"/>
          <w:szCs w:val="24"/>
        </w:rPr>
        <w:t>Absorption parameter values for inhaled and ingested uranium.</w:t>
      </w:r>
    </w:p>
    <w:tbl>
      <w:tblPr>
        <w:tblW w:w="5000" w:type="pct"/>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700"/>
        <w:gridCol w:w="993"/>
        <w:gridCol w:w="1195"/>
        <w:gridCol w:w="455"/>
        <w:gridCol w:w="572"/>
        <w:gridCol w:w="296"/>
        <w:gridCol w:w="58"/>
        <w:gridCol w:w="673"/>
        <w:gridCol w:w="137"/>
        <w:gridCol w:w="116"/>
        <w:gridCol w:w="775"/>
        <w:gridCol w:w="264"/>
        <w:gridCol w:w="764"/>
        <w:gridCol w:w="1029"/>
      </w:tblGrid>
      <w:tr w:rsidR="00F322AB" w:rsidRPr="00972C81" w14:paraId="53CCCD86" w14:textId="77777777" w:rsidTr="0096390F">
        <w:trPr>
          <w:cantSplit/>
          <w:trHeight w:val="340"/>
          <w:jc w:val="center"/>
        </w:trPr>
        <w:tc>
          <w:tcPr>
            <w:tcW w:w="2406" w:type="pct"/>
            <w:gridSpan w:val="4"/>
            <w:vMerge w:val="restart"/>
            <w:vAlign w:val="bottom"/>
          </w:tcPr>
          <w:p w14:paraId="6B1356C6" w14:textId="77777777" w:rsidR="00F322AB" w:rsidRPr="004A117A" w:rsidRDefault="00F322AB" w:rsidP="00E81109">
            <w:pPr>
              <w:pStyle w:val="Table"/>
              <w:rPr>
                <w:noProof/>
                <w:szCs w:val="22"/>
              </w:rPr>
            </w:pPr>
            <w:r w:rsidRPr="004A117A">
              <w:rPr>
                <w:noProof/>
                <w:szCs w:val="22"/>
              </w:rPr>
              <w:t>Inhaled particulate materials</w:t>
            </w:r>
          </w:p>
        </w:tc>
        <w:tc>
          <w:tcPr>
            <w:tcW w:w="1600" w:type="pct"/>
            <w:gridSpan w:val="8"/>
            <w:vAlign w:val="center"/>
          </w:tcPr>
          <w:p w14:paraId="5FF4DAFF" w14:textId="77777777" w:rsidR="00F322AB" w:rsidRPr="004A117A" w:rsidRDefault="00F322AB" w:rsidP="0096390F">
            <w:pPr>
              <w:pStyle w:val="Table"/>
              <w:jc w:val="center"/>
              <w:rPr>
                <w:noProof/>
                <w:szCs w:val="22"/>
                <w:vertAlign w:val="superscript"/>
              </w:rPr>
            </w:pPr>
            <w:r w:rsidRPr="004A117A">
              <w:rPr>
                <w:noProof/>
                <w:szCs w:val="22"/>
              </w:rPr>
              <w:t>Absorption parameter values</w:t>
            </w:r>
            <w:r w:rsidRPr="004A117A">
              <w:rPr>
                <w:noProof/>
                <w:szCs w:val="22"/>
                <w:vertAlign w:val="superscript"/>
              </w:rPr>
              <w:t>*</w:t>
            </w:r>
          </w:p>
        </w:tc>
        <w:tc>
          <w:tcPr>
            <w:tcW w:w="994" w:type="pct"/>
            <w:gridSpan w:val="2"/>
            <w:vMerge w:val="restart"/>
            <w:vAlign w:val="center"/>
          </w:tcPr>
          <w:p w14:paraId="4F824639" w14:textId="77777777" w:rsidR="00F322AB" w:rsidRPr="004A117A" w:rsidRDefault="00F322AB" w:rsidP="0096390F">
            <w:pPr>
              <w:pStyle w:val="Table"/>
              <w:rPr>
                <w:noProof/>
                <w:szCs w:val="22"/>
              </w:rPr>
            </w:pPr>
            <w:r w:rsidRPr="004A117A">
              <w:rPr>
                <w:noProof/>
                <w:szCs w:val="22"/>
              </w:rPr>
              <w:t xml:space="preserve">Absorption from the alimentary tract, </w:t>
            </w:r>
            <w:r w:rsidRPr="004A117A">
              <w:rPr>
                <w:i/>
                <w:noProof/>
                <w:szCs w:val="22"/>
              </w:rPr>
              <w:t>f</w:t>
            </w:r>
            <w:r w:rsidRPr="004A117A">
              <w:rPr>
                <w:noProof/>
                <w:szCs w:val="22"/>
                <w:vertAlign w:val="subscript"/>
              </w:rPr>
              <w:t xml:space="preserve">A </w:t>
            </w:r>
            <w:r w:rsidRPr="004A117A">
              <w:rPr>
                <w:noProof/>
                <w:szCs w:val="22"/>
                <w:vertAlign w:val="superscript"/>
              </w:rPr>
              <w:t>§</w:t>
            </w:r>
          </w:p>
        </w:tc>
      </w:tr>
      <w:tr w:rsidR="00F322AB" w:rsidRPr="00972C81" w14:paraId="02330DA6" w14:textId="77777777" w:rsidTr="0096390F">
        <w:trPr>
          <w:cantSplit/>
          <w:trHeight w:val="340"/>
          <w:jc w:val="center"/>
        </w:trPr>
        <w:tc>
          <w:tcPr>
            <w:tcW w:w="2406" w:type="pct"/>
            <w:gridSpan w:val="4"/>
            <w:vMerge/>
            <w:tcBorders>
              <w:bottom w:val="single" w:sz="4" w:space="0" w:color="auto"/>
            </w:tcBorders>
            <w:vAlign w:val="bottom"/>
          </w:tcPr>
          <w:p w14:paraId="72F57F31" w14:textId="77777777" w:rsidR="00F322AB" w:rsidRPr="004A117A" w:rsidRDefault="00F322AB" w:rsidP="00E81109">
            <w:pPr>
              <w:pStyle w:val="Table"/>
              <w:rPr>
                <w:noProof/>
                <w:szCs w:val="22"/>
              </w:rPr>
            </w:pPr>
          </w:p>
        </w:tc>
        <w:tc>
          <w:tcPr>
            <w:tcW w:w="513" w:type="pct"/>
            <w:gridSpan w:val="3"/>
            <w:tcBorders>
              <w:bottom w:val="single" w:sz="4" w:space="0" w:color="auto"/>
            </w:tcBorders>
            <w:vAlign w:val="center"/>
          </w:tcPr>
          <w:p w14:paraId="4F1D821F" w14:textId="77777777" w:rsidR="00F322AB" w:rsidRPr="004A117A" w:rsidRDefault="00F322AB" w:rsidP="0096390F">
            <w:pPr>
              <w:pStyle w:val="Table"/>
              <w:rPr>
                <w:noProof/>
                <w:szCs w:val="22"/>
              </w:rPr>
            </w:pPr>
            <w:r w:rsidRPr="004A117A">
              <w:rPr>
                <w:i/>
                <w:noProof/>
                <w:szCs w:val="22"/>
              </w:rPr>
              <w:t>f</w:t>
            </w:r>
            <w:r w:rsidRPr="004A117A">
              <w:rPr>
                <w:noProof/>
                <w:szCs w:val="22"/>
                <w:vertAlign w:val="subscript"/>
              </w:rPr>
              <w:t>r</w:t>
            </w:r>
          </w:p>
        </w:tc>
        <w:tc>
          <w:tcPr>
            <w:tcW w:w="513" w:type="pct"/>
            <w:gridSpan w:val="3"/>
            <w:tcBorders>
              <w:bottom w:val="single" w:sz="4" w:space="0" w:color="auto"/>
            </w:tcBorders>
            <w:vAlign w:val="center"/>
          </w:tcPr>
          <w:p w14:paraId="3A15BAC0" w14:textId="77777777" w:rsidR="00F322AB" w:rsidRPr="004A117A" w:rsidRDefault="00F322AB" w:rsidP="0096390F">
            <w:pPr>
              <w:pStyle w:val="Table"/>
              <w:rPr>
                <w:noProof/>
                <w:szCs w:val="22"/>
              </w:rPr>
            </w:pPr>
            <w:r w:rsidRPr="004A117A">
              <w:rPr>
                <w:i/>
                <w:noProof/>
                <w:szCs w:val="22"/>
              </w:rPr>
              <w:t>s</w:t>
            </w:r>
            <w:r w:rsidRPr="004A117A">
              <w:rPr>
                <w:noProof/>
                <w:szCs w:val="22"/>
                <w:vertAlign w:val="subscript"/>
              </w:rPr>
              <w:t>r</w:t>
            </w:r>
            <w:r w:rsidRPr="004A117A">
              <w:rPr>
                <w:noProof/>
                <w:szCs w:val="22"/>
              </w:rPr>
              <w:t xml:space="preserve"> (d</w:t>
            </w:r>
            <w:r w:rsidRPr="004A117A">
              <w:rPr>
                <w:noProof/>
                <w:szCs w:val="22"/>
                <w:vertAlign w:val="superscript"/>
              </w:rPr>
              <w:t>–1</w:t>
            </w:r>
            <w:r w:rsidRPr="004A117A">
              <w:rPr>
                <w:noProof/>
                <w:szCs w:val="22"/>
              </w:rPr>
              <w:t>)</w:t>
            </w:r>
          </w:p>
        </w:tc>
        <w:tc>
          <w:tcPr>
            <w:tcW w:w="574" w:type="pct"/>
            <w:gridSpan w:val="2"/>
            <w:tcBorders>
              <w:bottom w:val="single" w:sz="4" w:space="0" w:color="auto"/>
            </w:tcBorders>
            <w:vAlign w:val="center"/>
          </w:tcPr>
          <w:p w14:paraId="6EAA2945" w14:textId="77777777" w:rsidR="00F322AB" w:rsidRPr="004A117A" w:rsidRDefault="00F322AB" w:rsidP="0096390F">
            <w:pPr>
              <w:pStyle w:val="Table"/>
              <w:rPr>
                <w:noProof/>
                <w:szCs w:val="22"/>
              </w:rPr>
            </w:pPr>
            <w:r w:rsidRPr="004A117A">
              <w:rPr>
                <w:i/>
                <w:noProof/>
                <w:szCs w:val="22"/>
              </w:rPr>
              <w:t>s</w:t>
            </w:r>
            <w:r w:rsidRPr="004A117A">
              <w:rPr>
                <w:noProof/>
                <w:szCs w:val="22"/>
                <w:vertAlign w:val="subscript"/>
              </w:rPr>
              <w:t>s</w:t>
            </w:r>
            <w:r w:rsidRPr="004A117A">
              <w:rPr>
                <w:noProof/>
                <w:szCs w:val="22"/>
              </w:rPr>
              <w:t xml:space="preserve"> (d</w:t>
            </w:r>
            <w:r w:rsidRPr="004A117A">
              <w:rPr>
                <w:noProof/>
                <w:szCs w:val="22"/>
                <w:vertAlign w:val="superscript"/>
              </w:rPr>
              <w:t>–1</w:t>
            </w:r>
            <w:r w:rsidRPr="004A117A">
              <w:rPr>
                <w:noProof/>
                <w:szCs w:val="22"/>
              </w:rPr>
              <w:t>)</w:t>
            </w:r>
          </w:p>
        </w:tc>
        <w:tc>
          <w:tcPr>
            <w:tcW w:w="994" w:type="pct"/>
            <w:gridSpan w:val="2"/>
            <w:vMerge/>
            <w:tcBorders>
              <w:bottom w:val="single" w:sz="4" w:space="0" w:color="auto"/>
            </w:tcBorders>
            <w:vAlign w:val="bottom"/>
          </w:tcPr>
          <w:p w14:paraId="10FE2DE3" w14:textId="77777777" w:rsidR="00F322AB" w:rsidRPr="004A117A" w:rsidRDefault="00F322AB" w:rsidP="00E81109">
            <w:pPr>
              <w:pStyle w:val="Table"/>
              <w:rPr>
                <w:noProof/>
                <w:szCs w:val="22"/>
              </w:rPr>
            </w:pPr>
          </w:p>
        </w:tc>
      </w:tr>
      <w:tr w:rsidR="00F322AB" w:rsidRPr="00972C81" w14:paraId="06BBA73D" w14:textId="77777777" w:rsidTr="0096390F">
        <w:trPr>
          <w:trHeight w:val="340"/>
          <w:jc w:val="center"/>
        </w:trPr>
        <w:tc>
          <w:tcPr>
            <w:tcW w:w="2406" w:type="pct"/>
            <w:gridSpan w:val="4"/>
            <w:tcBorders>
              <w:bottom w:val="nil"/>
            </w:tcBorders>
          </w:tcPr>
          <w:p w14:paraId="7B9F44E9" w14:textId="77777777" w:rsidR="00F322AB" w:rsidRPr="004A117A" w:rsidRDefault="00F322AB" w:rsidP="0096390F">
            <w:pPr>
              <w:pStyle w:val="Table"/>
              <w:rPr>
                <w:noProof/>
                <w:szCs w:val="22"/>
                <w:vertAlign w:val="superscript"/>
              </w:rPr>
            </w:pPr>
            <w:r w:rsidRPr="004A117A">
              <w:rPr>
                <w:noProof/>
                <w:szCs w:val="22"/>
              </w:rPr>
              <w:t>Specific parameter values</w:t>
            </w:r>
            <w:r w:rsidRPr="004A117A">
              <w:rPr>
                <w:noProof/>
                <w:szCs w:val="22"/>
                <w:vertAlign w:val="superscript"/>
              </w:rPr>
              <w:t>†</w:t>
            </w:r>
          </w:p>
        </w:tc>
        <w:tc>
          <w:tcPr>
            <w:tcW w:w="513" w:type="pct"/>
            <w:gridSpan w:val="3"/>
            <w:tcBorders>
              <w:bottom w:val="nil"/>
            </w:tcBorders>
          </w:tcPr>
          <w:p w14:paraId="282393E9" w14:textId="77777777" w:rsidR="00F322AB" w:rsidRPr="004A117A" w:rsidRDefault="00F322AB" w:rsidP="0096390F">
            <w:pPr>
              <w:pStyle w:val="Table"/>
              <w:rPr>
                <w:noProof/>
                <w:szCs w:val="22"/>
              </w:rPr>
            </w:pPr>
          </w:p>
        </w:tc>
        <w:tc>
          <w:tcPr>
            <w:tcW w:w="513" w:type="pct"/>
            <w:gridSpan w:val="3"/>
            <w:tcBorders>
              <w:bottom w:val="nil"/>
            </w:tcBorders>
          </w:tcPr>
          <w:p w14:paraId="77EE2663" w14:textId="77777777" w:rsidR="00F322AB" w:rsidRPr="004A117A" w:rsidRDefault="00F322AB" w:rsidP="0096390F">
            <w:pPr>
              <w:pStyle w:val="Table"/>
              <w:rPr>
                <w:noProof/>
                <w:szCs w:val="22"/>
              </w:rPr>
            </w:pPr>
          </w:p>
        </w:tc>
        <w:tc>
          <w:tcPr>
            <w:tcW w:w="574" w:type="pct"/>
            <w:gridSpan w:val="2"/>
            <w:tcBorders>
              <w:bottom w:val="nil"/>
            </w:tcBorders>
          </w:tcPr>
          <w:p w14:paraId="06438E84" w14:textId="77777777" w:rsidR="00F322AB" w:rsidRPr="004A117A" w:rsidRDefault="00F322AB" w:rsidP="0096390F">
            <w:pPr>
              <w:pStyle w:val="Table"/>
              <w:rPr>
                <w:noProof/>
                <w:szCs w:val="22"/>
              </w:rPr>
            </w:pPr>
          </w:p>
        </w:tc>
        <w:tc>
          <w:tcPr>
            <w:tcW w:w="994" w:type="pct"/>
            <w:gridSpan w:val="2"/>
            <w:tcBorders>
              <w:bottom w:val="nil"/>
            </w:tcBorders>
          </w:tcPr>
          <w:p w14:paraId="68BF1CAA" w14:textId="77777777" w:rsidR="00F322AB" w:rsidRPr="004A117A" w:rsidRDefault="00F322AB" w:rsidP="0096390F">
            <w:pPr>
              <w:pStyle w:val="Table"/>
              <w:rPr>
                <w:noProof/>
                <w:szCs w:val="22"/>
              </w:rPr>
            </w:pPr>
          </w:p>
        </w:tc>
      </w:tr>
      <w:tr w:rsidR="00F322AB" w:rsidRPr="00972C81" w14:paraId="3B9E499B" w14:textId="77777777" w:rsidTr="0096390F">
        <w:trPr>
          <w:trHeight w:val="866"/>
          <w:jc w:val="center"/>
        </w:trPr>
        <w:tc>
          <w:tcPr>
            <w:tcW w:w="2406" w:type="pct"/>
            <w:gridSpan w:val="4"/>
            <w:tcBorders>
              <w:top w:val="nil"/>
              <w:bottom w:val="nil"/>
            </w:tcBorders>
          </w:tcPr>
          <w:p w14:paraId="2C963048" w14:textId="77777777" w:rsidR="00F322AB" w:rsidRPr="004A117A" w:rsidRDefault="00F322AB" w:rsidP="0096390F">
            <w:pPr>
              <w:pStyle w:val="Table"/>
              <w:rPr>
                <w:noProof/>
                <w:szCs w:val="22"/>
              </w:rPr>
            </w:pPr>
            <w:r w:rsidRPr="004A117A">
              <w:rPr>
                <w:noProof/>
                <w:szCs w:val="22"/>
              </w:rPr>
              <w:t>Intermediate Type F/M: uranyl nitrate UO</w:t>
            </w:r>
            <w:r w:rsidRPr="004A117A">
              <w:rPr>
                <w:noProof/>
                <w:szCs w:val="22"/>
                <w:vertAlign w:val="subscript"/>
              </w:rPr>
              <w:t>2</w:t>
            </w:r>
            <w:r w:rsidRPr="004A117A">
              <w:rPr>
                <w:noProof/>
                <w:szCs w:val="22"/>
              </w:rPr>
              <w:t>(NO</w:t>
            </w:r>
            <w:r w:rsidRPr="004A117A">
              <w:rPr>
                <w:noProof/>
                <w:szCs w:val="22"/>
                <w:vertAlign w:val="subscript"/>
              </w:rPr>
              <w:t>3</w:t>
            </w:r>
            <w:r w:rsidRPr="004A117A">
              <w:rPr>
                <w:noProof/>
                <w:szCs w:val="22"/>
              </w:rPr>
              <w:t>)</w:t>
            </w:r>
            <w:r w:rsidRPr="004A117A">
              <w:rPr>
                <w:noProof/>
                <w:szCs w:val="22"/>
                <w:vertAlign w:val="subscript"/>
              </w:rPr>
              <w:t>2</w:t>
            </w:r>
            <w:r w:rsidRPr="004A117A">
              <w:rPr>
                <w:noProof/>
                <w:szCs w:val="22"/>
              </w:rPr>
              <w:t>; uranium peroxide hydrate UO</w:t>
            </w:r>
            <w:r w:rsidRPr="004A117A">
              <w:rPr>
                <w:noProof/>
                <w:szCs w:val="22"/>
                <w:vertAlign w:val="subscript"/>
              </w:rPr>
              <w:t>4</w:t>
            </w:r>
            <w:r w:rsidRPr="004A117A">
              <w:rPr>
                <w:noProof/>
                <w:szCs w:val="22"/>
              </w:rPr>
              <w:t>; ammonium diuranate; uranium trioxide UO</w:t>
            </w:r>
            <w:r w:rsidRPr="004A117A">
              <w:rPr>
                <w:noProof/>
                <w:szCs w:val="22"/>
                <w:vertAlign w:val="subscript"/>
              </w:rPr>
              <w:t>3</w:t>
            </w:r>
          </w:p>
        </w:tc>
        <w:tc>
          <w:tcPr>
            <w:tcW w:w="513" w:type="pct"/>
            <w:gridSpan w:val="3"/>
            <w:tcBorders>
              <w:top w:val="nil"/>
              <w:bottom w:val="nil"/>
            </w:tcBorders>
          </w:tcPr>
          <w:p w14:paraId="18C6F6B3" w14:textId="77777777" w:rsidR="00F322AB" w:rsidRPr="004A117A" w:rsidRDefault="00F322AB" w:rsidP="0096390F">
            <w:pPr>
              <w:pStyle w:val="Table"/>
              <w:rPr>
                <w:noProof/>
                <w:szCs w:val="22"/>
              </w:rPr>
            </w:pPr>
            <w:r w:rsidRPr="004A117A">
              <w:rPr>
                <w:noProof/>
                <w:szCs w:val="22"/>
              </w:rPr>
              <w:t>0.8</w:t>
            </w:r>
          </w:p>
        </w:tc>
        <w:tc>
          <w:tcPr>
            <w:tcW w:w="513" w:type="pct"/>
            <w:gridSpan w:val="3"/>
            <w:tcBorders>
              <w:top w:val="nil"/>
              <w:bottom w:val="nil"/>
            </w:tcBorders>
          </w:tcPr>
          <w:p w14:paraId="23F301E1" w14:textId="77777777" w:rsidR="00F322AB" w:rsidRPr="004A117A" w:rsidRDefault="00F322AB" w:rsidP="0096390F">
            <w:pPr>
              <w:pStyle w:val="Table"/>
              <w:rPr>
                <w:noProof/>
                <w:szCs w:val="22"/>
              </w:rPr>
            </w:pPr>
            <w:r w:rsidRPr="004A117A">
              <w:rPr>
                <w:noProof/>
                <w:szCs w:val="22"/>
              </w:rPr>
              <w:t>1</w:t>
            </w:r>
          </w:p>
        </w:tc>
        <w:tc>
          <w:tcPr>
            <w:tcW w:w="574" w:type="pct"/>
            <w:gridSpan w:val="2"/>
            <w:tcBorders>
              <w:top w:val="nil"/>
              <w:bottom w:val="nil"/>
            </w:tcBorders>
          </w:tcPr>
          <w:p w14:paraId="3C9BC7D7" w14:textId="77777777" w:rsidR="00F322AB" w:rsidRPr="004A117A" w:rsidRDefault="00F322AB" w:rsidP="0096390F">
            <w:pPr>
              <w:pStyle w:val="Table"/>
              <w:rPr>
                <w:noProof/>
                <w:szCs w:val="22"/>
              </w:rPr>
            </w:pPr>
            <w:r w:rsidRPr="004A117A">
              <w:rPr>
                <w:noProof/>
                <w:szCs w:val="22"/>
              </w:rPr>
              <w:t>0.01</w:t>
            </w:r>
          </w:p>
        </w:tc>
        <w:tc>
          <w:tcPr>
            <w:tcW w:w="994" w:type="pct"/>
            <w:gridSpan w:val="2"/>
            <w:tcBorders>
              <w:top w:val="nil"/>
              <w:bottom w:val="nil"/>
            </w:tcBorders>
          </w:tcPr>
          <w:p w14:paraId="3F4E584D" w14:textId="77777777" w:rsidR="00F322AB" w:rsidRPr="004A117A" w:rsidRDefault="00F322AB" w:rsidP="0096390F">
            <w:pPr>
              <w:pStyle w:val="Table"/>
              <w:rPr>
                <w:noProof/>
                <w:szCs w:val="22"/>
              </w:rPr>
            </w:pPr>
            <w:r w:rsidRPr="004A117A">
              <w:rPr>
                <w:noProof/>
                <w:szCs w:val="22"/>
              </w:rPr>
              <w:t>0.016</w:t>
            </w:r>
          </w:p>
        </w:tc>
      </w:tr>
      <w:tr w:rsidR="00F322AB" w:rsidRPr="00972C81" w14:paraId="35871AEB" w14:textId="77777777" w:rsidTr="0096390F">
        <w:trPr>
          <w:trHeight w:val="580"/>
          <w:jc w:val="center"/>
        </w:trPr>
        <w:tc>
          <w:tcPr>
            <w:tcW w:w="2406" w:type="pct"/>
            <w:gridSpan w:val="4"/>
            <w:tcBorders>
              <w:top w:val="nil"/>
              <w:bottom w:val="nil"/>
            </w:tcBorders>
          </w:tcPr>
          <w:p w14:paraId="427A8BA9" w14:textId="77777777" w:rsidR="00F322AB" w:rsidRPr="004A117A" w:rsidRDefault="00F322AB" w:rsidP="0096390F">
            <w:pPr>
              <w:pStyle w:val="Table"/>
              <w:rPr>
                <w:noProof/>
                <w:szCs w:val="22"/>
              </w:rPr>
            </w:pPr>
            <w:r w:rsidRPr="004A117A">
              <w:rPr>
                <w:noProof/>
                <w:szCs w:val="22"/>
              </w:rPr>
              <w:t>Intermediate Type M/S: uranium octoxide U</w:t>
            </w:r>
            <w:r w:rsidRPr="004A117A">
              <w:rPr>
                <w:noProof/>
                <w:szCs w:val="22"/>
                <w:vertAlign w:val="subscript"/>
              </w:rPr>
              <w:t>3</w:t>
            </w:r>
            <w:r w:rsidRPr="004A117A">
              <w:rPr>
                <w:noProof/>
                <w:szCs w:val="22"/>
              </w:rPr>
              <w:t>O</w:t>
            </w:r>
            <w:r w:rsidRPr="004A117A">
              <w:rPr>
                <w:noProof/>
                <w:szCs w:val="22"/>
                <w:vertAlign w:val="subscript"/>
              </w:rPr>
              <w:t>8</w:t>
            </w:r>
            <w:r w:rsidRPr="004A117A">
              <w:rPr>
                <w:noProof/>
                <w:szCs w:val="22"/>
              </w:rPr>
              <w:t>; uranium dioxide UO</w:t>
            </w:r>
            <w:r w:rsidRPr="004A117A">
              <w:rPr>
                <w:noProof/>
                <w:szCs w:val="22"/>
                <w:vertAlign w:val="subscript"/>
              </w:rPr>
              <w:t>2</w:t>
            </w:r>
          </w:p>
        </w:tc>
        <w:tc>
          <w:tcPr>
            <w:tcW w:w="513" w:type="pct"/>
            <w:gridSpan w:val="3"/>
            <w:tcBorders>
              <w:top w:val="nil"/>
              <w:bottom w:val="nil"/>
            </w:tcBorders>
          </w:tcPr>
          <w:p w14:paraId="724CAFC1" w14:textId="77777777" w:rsidR="00F322AB" w:rsidRPr="004A117A" w:rsidRDefault="00F322AB" w:rsidP="0096390F">
            <w:pPr>
              <w:pStyle w:val="Table"/>
              <w:rPr>
                <w:noProof/>
                <w:szCs w:val="22"/>
              </w:rPr>
            </w:pPr>
            <w:r w:rsidRPr="004A117A">
              <w:rPr>
                <w:noProof/>
                <w:szCs w:val="22"/>
              </w:rPr>
              <w:t>0.03</w:t>
            </w:r>
          </w:p>
        </w:tc>
        <w:tc>
          <w:tcPr>
            <w:tcW w:w="513" w:type="pct"/>
            <w:gridSpan w:val="3"/>
            <w:tcBorders>
              <w:top w:val="nil"/>
              <w:bottom w:val="nil"/>
            </w:tcBorders>
          </w:tcPr>
          <w:p w14:paraId="02FF6565" w14:textId="77777777" w:rsidR="00F322AB" w:rsidRPr="004A117A" w:rsidRDefault="00F322AB" w:rsidP="0096390F">
            <w:pPr>
              <w:pStyle w:val="Table"/>
              <w:rPr>
                <w:noProof/>
                <w:szCs w:val="22"/>
              </w:rPr>
            </w:pPr>
            <w:r w:rsidRPr="004A117A">
              <w:rPr>
                <w:noProof/>
                <w:szCs w:val="22"/>
              </w:rPr>
              <w:t>1</w:t>
            </w:r>
          </w:p>
        </w:tc>
        <w:tc>
          <w:tcPr>
            <w:tcW w:w="574" w:type="pct"/>
            <w:gridSpan w:val="2"/>
            <w:tcBorders>
              <w:top w:val="nil"/>
              <w:bottom w:val="nil"/>
            </w:tcBorders>
          </w:tcPr>
          <w:p w14:paraId="1AE184EC" w14:textId="76D1866F" w:rsidR="00F322AB" w:rsidRPr="004A117A" w:rsidRDefault="00F322AB" w:rsidP="0096390F">
            <w:pPr>
              <w:pStyle w:val="Table"/>
              <w:rPr>
                <w:noProof/>
                <w:szCs w:val="22"/>
              </w:rPr>
            </w:pPr>
            <w:r w:rsidRPr="004A117A">
              <w:rPr>
                <w:noProof/>
                <w:szCs w:val="22"/>
              </w:rPr>
              <w:t>5</w:t>
            </w:r>
            <w:r w:rsidR="00067025" w:rsidRPr="004A117A">
              <w:rPr>
                <w:noProof/>
                <w:szCs w:val="22"/>
              </w:rPr>
              <w:t xml:space="preserve"> × </w:t>
            </w:r>
            <w:r w:rsidRPr="004A117A">
              <w:rPr>
                <w:noProof/>
                <w:szCs w:val="22"/>
              </w:rPr>
              <w:t>10</w:t>
            </w:r>
            <w:r w:rsidRPr="004A117A">
              <w:rPr>
                <w:noProof/>
                <w:szCs w:val="22"/>
                <w:vertAlign w:val="superscript"/>
              </w:rPr>
              <w:t>-4</w:t>
            </w:r>
          </w:p>
        </w:tc>
        <w:tc>
          <w:tcPr>
            <w:tcW w:w="994" w:type="pct"/>
            <w:gridSpan w:val="2"/>
            <w:tcBorders>
              <w:top w:val="nil"/>
              <w:bottom w:val="nil"/>
            </w:tcBorders>
          </w:tcPr>
          <w:p w14:paraId="58B5122D" w14:textId="5F1F5984" w:rsidR="00F322AB" w:rsidRPr="004A117A" w:rsidRDefault="00F322AB" w:rsidP="0096390F">
            <w:pPr>
              <w:pStyle w:val="Table"/>
              <w:rPr>
                <w:noProof/>
                <w:szCs w:val="22"/>
              </w:rPr>
            </w:pPr>
            <w:r w:rsidRPr="004A117A">
              <w:rPr>
                <w:noProof/>
                <w:szCs w:val="22"/>
              </w:rPr>
              <w:t>6</w:t>
            </w:r>
            <w:r w:rsidR="00067025" w:rsidRPr="004A117A">
              <w:rPr>
                <w:noProof/>
                <w:szCs w:val="22"/>
              </w:rPr>
              <w:t xml:space="preserve"> × </w:t>
            </w:r>
            <w:r w:rsidRPr="004A117A">
              <w:rPr>
                <w:noProof/>
                <w:szCs w:val="22"/>
              </w:rPr>
              <w:t>10</w:t>
            </w:r>
            <w:r w:rsidRPr="004A117A">
              <w:rPr>
                <w:noProof/>
                <w:szCs w:val="22"/>
                <w:vertAlign w:val="superscript"/>
              </w:rPr>
              <w:t>-4</w:t>
            </w:r>
          </w:p>
        </w:tc>
      </w:tr>
      <w:tr w:rsidR="00F322AB" w:rsidRPr="00972C81" w14:paraId="11DF8FF4" w14:textId="77777777" w:rsidTr="0096390F">
        <w:trPr>
          <w:trHeight w:val="340"/>
          <w:jc w:val="center"/>
        </w:trPr>
        <w:tc>
          <w:tcPr>
            <w:tcW w:w="2406" w:type="pct"/>
            <w:gridSpan w:val="4"/>
            <w:tcBorders>
              <w:top w:val="nil"/>
              <w:bottom w:val="nil"/>
            </w:tcBorders>
          </w:tcPr>
          <w:p w14:paraId="1B2089A8" w14:textId="77777777" w:rsidR="00F322AB" w:rsidRPr="004A117A" w:rsidRDefault="00F322AB" w:rsidP="0096390F">
            <w:pPr>
              <w:pStyle w:val="Table"/>
              <w:rPr>
                <w:noProof/>
                <w:szCs w:val="22"/>
              </w:rPr>
            </w:pPr>
            <w:r w:rsidRPr="004A117A">
              <w:rPr>
                <w:noProof/>
                <w:szCs w:val="22"/>
              </w:rPr>
              <w:t>Uranium aluminide UAl</w:t>
            </w:r>
            <w:r w:rsidRPr="004A117A">
              <w:rPr>
                <w:noProof/>
                <w:szCs w:val="22"/>
                <w:vertAlign w:val="subscript"/>
              </w:rPr>
              <w:t>X</w:t>
            </w:r>
          </w:p>
        </w:tc>
        <w:tc>
          <w:tcPr>
            <w:tcW w:w="513" w:type="pct"/>
            <w:gridSpan w:val="3"/>
            <w:tcBorders>
              <w:top w:val="nil"/>
              <w:bottom w:val="nil"/>
            </w:tcBorders>
          </w:tcPr>
          <w:p w14:paraId="4A4DB52B" w14:textId="77777777" w:rsidR="00F322AB" w:rsidRPr="0096390F" w:rsidRDefault="00F322AB" w:rsidP="0096390F">
            <w:pPr>
              <w:pStyle w:val="Table"/>
              <w:rPr>
                <w:noProof/>
                <w:szCs w:val="22"/>
              </w:rPr>
            </w:pPr>
            <w:r w:rsidRPr="0096390F">
              <w:rPr>
                <w:noProof/>
                <w:szCs w:val="22"/>
              </w:rPr>
              <w:t>ǂ</w:t>
            </w:r>
          </w:p>
        </w:tc>
        <w:tc>
          <w:tcPr>
            <w:tcW w:w="513" w:type="pct"/>
            <w:gridSpan w:val="3"/>
            <w:tcBorders>
              <w:top w:val="nil"/>
              <w:bottom w:val="nil"/>
            </w:tcBorders>
          </w:tcPr>
          <w:p w14:paraId="222C02DF" w14:textId="77777777" w:rsidR="00F322AB" w:rsidRPr="0096390F" w:rsidRDefault="00F322AB" w:rsidP="0096390F">
            <w:pPr>
              <w:pStyle w:val="Table"/>
              <w:rPr>
                <w:noProof/>
                <w:szCs w:val="22"/>
              </w:rPr>
            </w:pPr>
            <w:r w:rsidRPr="0096390F">
              <w:rPr>
                <w:noProof/>
                <w:szCs w:val="22"/>
              </w:rPr>
              <w:t>ǂ</w:t>
            </w:r>
          </w:p>
        </w:tc>
        <w:tc>
          <w:tcPr>
            <w:tcW w:w="574" w:type="pct"/>
            <w:gridSpan w:val="2"/>
            <w:tcBorders>
              <w:top w:val="nil"/>
              <w:bottom w:val="nil"/>
            </w:tcBorders>
          </w:tcPr>
          <w:p w14:paraId="0D76ED19" w14:textId="77777777" w:rsidR="00F322AB" w:rsidRPr="0096390F" w:rsidRDefault="00F322AB" w:rsidP="0096390F">
            <w:pPr>
              <w:pStyle w:val="Table"/>
              <w:rPr>
                <w:noProof/>
                <w:szCs w:val="22"/>
              </w:rPr>
            </w:pPr>
            <w:r w:rsidRPr="0096390F">
              <w:rPr>
                <w:noProof/>
                <w:szCs w:val="22"/>
              </w:rPr>
              <w:t>ǂ</w:t>
            </w:r>
          </w:p>
        </w:tc>
        <w:tc>
          <w:tcPr>
            <w:tcW w:w="994" w:type="pct"/>
            <w:gridSpan w:val="2"/>
            <w:tcBorders>
              <w:top w:val="nil"/>
              <w:bottom w:val="nil"/>
            </w:tcBorders>
          </w:tcPr>
          <w:p w14:paraId="26728185" w14:textId="77777777" w:rsidR="00F322AB" w:rsidRPr="004A117A" w:rsidRDefault="00F322AB" w:rsidP="0096390F">
            <w:pPr>
              <w:pStyle w:val="Table"/>
              <w:rPr>
                <w:noProof/>
                <w:szCs w:val="22"/>
              </w:rPr>
            </w:pPr>
            <w:r w:rsidRPr="004A117A">
              <w:rPr>
                <w:noProof/>
                <w:szCs w:val="22"/>
              </w:rPr>
              <w:t>0.002</w:t>
            </w:r>
          </w:p>
        </w:tc>
      </w:tr>
      <w:tr w:rsidR="00F322AB" w:rsidRPr="00972C81" w14:paraId="3EB23D71" w14:textId="77777777" w:rsidTr="0096390F">
        <w:trPr>
          <w:trHeight w:val="340"/>
          <w:jc w:val="center"/>
        </w:trPr>
        <w:tc>
          <w:tcPr>
            <w:tcW w:w="2406" w:type="pct"/>
            <w:gridSpan w:val="4"/>
            <w:tcBorders>
              <w:top w:val="nil"/>
              <w:bottom w:val="nil"/>
            </w:tcBorders>
          </w:tcPr>
          <w:p w14:paraId="48A245CD" w14:textId="77777777" w:rsidR="00F322AB" w:rsidRPr="004A117A" w:rsidRDefault="00F322AB" w:rsidP="0096390F">
            <w:pPr>
              <w:pStyle w:val="Table"/>
              <w:rPr>
                <w:noProof/>
                <w:szCs w:val="22"/>
              </w:rPr>
            </w:pPr>
          </w:p>
        </w:tc>
        <w:tc>
          <w:tcPr>
            <w:tcW w:w="513" w:type="pct"/>
            <w:gridSpan w:val="3"/>
            <w:tcBorders>
              <w:top w:val="nil"/>
              <w:bottom w:val="nil"/>
            </w:tcBorders>
          </w:tcPr>
          <w:p w14:paraId="145CB23A" w14:textId="77777777" w:rsidR="00F322AB" w:rsidRPr="004A117A" w:rsidRDefault="00F322AB" w:rsidP="0096390F">
            <w:pPr>
              <w:pStyle w:val="Table"/>
              <w:rPr>
                <w:noProof/>
                <w:szCs w:val="22"/>
              </w:rPr>
            </w:pPr>
          </w:p>
        </w:tc>
        <w:tc>
          <w:tcPr>
            <w:tcW w:w="513" w:type="pct"/>
            <w:gridSpan w:val="3"/>
            <w:tcBorders>
              <w:top w:val="nil"/>
              <w:bottom w:val="nil"/>
            </w:tcBorders>
          </w:tcPr>
          <w:p w14:paraId="432E0C00" w14:textId="77777777" w:rsidR="00F322AB" w:rsidRPr="004A117A" w:rsidRDefault="00F322AB" w:rsidP="0096390F">
            <w:pPr>
              <w:pStyle w:val="Table"/>
              <w:rPr>
                <w:noProof/>
                <w:szCs w:val="22"/>
              </w:rPr>
            </w:pPr>
          </w:p>
        </w:tc>
        <w:tc>
          <w:tcPr>
            <w:tcW w:w="574" w:type="pct"/>
            <w:gridSpan w:val="2"/>
            <w:tcBorders>
              <w:top w:val="nil"/>
              <w:bottom w:val="nil"/>
            </w:tcBorders>
          </w:tcPr>
          <w:p w14:paraId="588F26ED" w14:textId="77777777" w:rsidR="00F322AB" w:rsidRPr="004A117A" w:rsidRDefault="00F322AB" w:rsidP="0096390F">
            <w:pPr>
              <w:pStyle w:val="Table"/>
              <w:rPr>
                <w:noProof/>
                <w:szCs w:val="22"/>
              </w:rPr>
            </w:pPr>
          </w:p>
        </w:tc>
        <w:tc>
          <w:tcPr>
            <w:tcW w:w="994" w:type="pct"/>
            <w:gridSpan w:val="2"/>
            <w:tcBorders>
              <w:top w:val="nil"/>
              <w:bottom w:val="nil"/>
            </w:tcBorders>
          </w:tcPr>
          <w:p w14:paraId="06D54484" w14:textId="77777777" w:rsidR="00F322AB" w:rsidRPr="004A117A" w:rsidRDefault="00F322AB" w:rsidP="0096390F">
            <w:pPr>
              <w:pStyle w:val="Table"/>
              <w:rPr>
                <w:noProof/>
                <w:szCs w:val="22"/>
              </w:rPr>
            </w:pPr>
          </w:p>
        </w:tc>
      </w:tr>
      <w:tr w:rsidR="00F322AB" w:rsidRPr="00972C81" w14:paraId="461166DF" w14:textId="77777777" w:rsidTr="0096390F">
        <w:trPr>
          <w:trHeight w:val="340"/>
          <w:jc w:val="center"/>
        </w:trPr>
        <w:tc>
          <w:tcPr>
            <w:tcW w:w="2406" w:type="pct"/>
            <w:gridSpan w:val="4"/>
            <w:tcBorders>
              <w:top w:val="nil"/>
              <w:bottom w:val="nil"/>
            </w:tcBorders>
          </w:tcPr>
          <w:p w14:paraId="56EBE873" w14:textId="50BA0D45" w:rsidR="00F322AB" w:rsidRPr="004A117A" w:rsidRDefault="00F322AB" w:rsidP="0096390F">
            <w:pPr>
              <w:pStyle w:val="Table"/>
              <w:rPr>
                <w:noProof/>
                <w:szCs w:val="22"/>
                <w:vertAlign w:val="superscript"/>
              </w:rPr>
            </w:pPr>
            <w:r w:rsidRPr="004A117A">
              <w:rPr>
                <w:noProof/>
                <w:szCs w:val="22"/>
              </w:rPr>
              <w:t>Default parameter values</w:t>
            </w:r>
            <w:r w:rsidR="00517F8E" w:rsidRPr="004A117A">
              <w:rPr>
                <w:noProof/>
                <w:szCs w:val="22"/>
                <w:vertAlign w:val="superscript"/>
              </w:rPr>
              <w:t xml:space="preserve">§, </w:t>
            </w:r>
            <w:r w:rsidRPr="004A117A">
              <w:rPr>
                <w:noProof/>
                <w:szCs w:val="22"/>
                <w:vertAlign w:val="superscript"/>
              </w:rPr>
              <w:t>¶</w:t>
            </w:r>
          </w:p>
        </w:tc>
        <w:tc>
          <w:tcPr>
            <w:tcW w:w="513" w:type="pct"/>
            <w:gridSpan w:val="3"/>
            <w:tcBorders>
              <w:top w:val="nil"/>
              <w:bottom w:val="nil"/>
            </w:tcBorders>
          </w:tcPr>
          <w:p w14:paraId="334159CC" w14:textId="77777777" w:rsidR="00F322AB" w:rsidRPr="004A117A" w:rsidRDefault="00F322AB" w:rsidP="0096390F">
            <w:pPr>
              <w:pStyle w:val="Table"/>
              <w:rPr>
                <w:noProof/>
                <w:szCs w:val="22"/>
              </w:rPr>
            </w:pPr>
          </w:p>
        </w:tc>
        <w:tc>
          <w:tcPr>
            <w:tcW w:w="513" w:type="pct"/>
            <w:gridSpan w:val="3"/>
            <w:tcBorders>
              <w:top w:val="nil"/>
              <w:bottom w:val="nil"/>
            </w:tcBorders>
          </w:tcPr>
          <w:p w14:paraId="6D1EAEAA" w14:textId="77777777" w:rsidR="00F322AB" w:rsidRPr="004A117A" w:rsidRDefault="00F322AB" w:rsidP="0096390F">
            <w:pPr>
              <w:pStyle w:val="Table"/>
              <w:rPr>
                <w:noProof/>
                <w:szCs w:val="22"/>
              </w:rPr>
            </w:pPr>
          </w:p>
        </w:tc>
        <w:tc>
          <w:tcPr>
            <w:tcW w:w="574" w:type="pct"/>
            <w:gridSpan w:val="2"/>
            <w:tcBorders>
              <w:top w:val="nil"/>
              <w:bottom w:val="nil"/>
            </w:tcBorders>
          </w:tcPr>
          <w:p w14:paraId="4D1F9B81" w14:textId="77777777" w:rsidR="00F322AB" w:rsidRPr="004A117A" w:rsidRDefault="00F322AB" w:rsidP="0096390F">
            <w:pPr>
              <w:pStyle w:val="Table"/>
              <w:rPr>
                <w:noProof/>
                <w:szCs w:val="22"/>
              </w:rPr>
            </w:pPr>
          </w:p>
        </w:tc>
        <w:tc>
          <w:tcPr>
            <w:tcW w:w="994" w:type="pct"/>
            <w:gridSpan w:val="2"/>
            <w:tcBorders>
              <w:top w:val="nil"/>
              <w:bottom w:val="nil"/>
            </w:tcBorders>
          </w:tcPr>
          <w:p w14:paraId="509D8558" w14:textId="77777777" w:rsidR="00F322AB" w:rsidRPr="004A117A" w:rsidRDefault="00F322AB" w:rsidP="0096390F">
            <w:pPr>
              <w:pStyle w:val="Table"/>
              <w:rPr>
                <w:noProof/>
                <w:szCs w:val="22"/>
              </w:rPr>
            </w:pPr>
          </w:p>
        </w:tc>
      </w:tr>
      <w:tr w:rsidR="00F322AB" w:rsidRPr="00972C81" w14:paraId="37BE4202" w14:textId="77777777" w:rsidTr="0096390F">
        <w:trPr>
          <w:trHeight w:val="340"/>
          <w:jc w:val="center"/>
        </w:trPr>
        <w:tc>
          <w:tcPr>
            <w:tcW w:w="942" w:type="pct"/>
            <w:tcBorders>
              <w:top w:val="nil"/>
              <w:bottom w:val="nil"/>
            </w:tcBorders>
          </w:tcPr>
          <w:p w14:paraId="24A4540D" w14:textId="77777777" w:rsidR="00F322AB" w:rsidRPr="004A117A" w:rsidRDefault="00F322AB" w:rsidP="0096390F">
            <w:pPr>
              <w:pStyle w:val="Table"/>
              <w:rPr>
                <w:noProof/>
                <w:szCs w:val="22"/>
              </w:rPr>
            </w:pPr>
            <w:r w:rsidRPr="004A117A">
              <w:rPr>
                <w:noProof/>
                <w:szCs w:val="22"/>
              </w:rPr>
              <w:t>Absorption type</w:t>
            </w:r>
          </w:p>
        </w:tc>
        <w:tc>
          <w:tcPr>
            <w:tcW w:w="1464" w:type="pct"/>
            <w:gridSpan w:val="3"/>
            <w:tcBorders>
              <w:top w:val="nil"/>
              <w:bottom w:val="nil"/>
            </w:tcBorders>
          </w:tcPr>
          <w:p w14:paraId="4F3944CC" w14:textId="77777777" w:rsidR="00F322AB" w:rsidRPr="004A117A" w:rsidRDefault="00F322AB" w:rsidP="0096390F">
            <w:pPr>
              <w:pStyle w:val="Table"/>
              <w:rPr>
                <w:noProof/>
                <w:szCs w:val="22"/>
              </w:rPr>
            </w:pPr>
            <w:r w:rsidRPr="004A117A">
              <w:rPr>
                <w:noProof/>
                <w:szCs w:val="22"/>
              </w:rPr>
              <w:t>Assigned forms</w:t>
            </w:r>
          </w:p>
        </w:tc>
        <w:tc>
          <w:tcPr>
            <w:tcW w:w="513" w:type="pct"/>
            <w:gridSpan w:val="3"/>
            <w:tcBorders>
              <w:top w:val="nil"/>
              <w:bottom w:val="nil"/>
            </w:tcBorders>
          </w:tcPr>
          <w:p w14:paraId="63112A49" w14:textId="77777777" w:rsidR="00F322AB" w:rsidRPr="004A117A" w:rsidRDefault="00F322AB" w:rsidP="0096390F">
            <w:pPr>
              <w:pStyle w:val="Table"/>
              <w:rPr>
                <w:noProof/>
                <w:szCs w:val="22"/>
              </w:rPr>
            </w:pPr>
          </w:p>
        </w:tc>
        <w:tc>
          <w:tcPr>
            <w:tcW w:w="513" w:type="pct"/>
            <w:gridSpan w:val="3"/>
            <w:tcBorders>
              <w:top w:val="nil"/>
              <w:bottom w:val="nil"/>
            </w:tcBorders>
          </w:tcPr>
          <w:p w14:paraId="24902D1B" w14:textId="77777777" w:rsidR="00F322AB" w:rsidRPr="004A117A" w:rsidRDefault="00F322AB" w:rsidP="0096390F">
            <w:pPr>
              <w:pStyle w:val="Table"/>
              <w:rPr>
                <w:noProof/>
                <w:szCs w:val="22"/>
              </w:rPr>
            </w:pPr>
          </w:p>
        </w:tc>
        <w:tc>
          <w:tcPr>
            <w:tcW w:w="574" w:type="pct"/>
            <w:gridSpan w:val="2"/>
            <w:tcBorders>
              <w:top w:val="nil"/>
              <w:bottom w:val="nil"/>
            </w:tcBorders>
          </w:tcPr>
          <w:p w14:paraId="4A1F1E94" w14:textId="77777777" w:rsidR="00F322AB" w:rsidRPr="004A117A" w:rsidRDefault="00F322AB" w:rsidP="0096390F">
            <w:pPr>
              <w:pStyle w:val="Table"/>
              <w:rPr>
                <w:noProof/>
                <w:szCs w:val="22"/>
              </w:rPr>
            </w:pPr>
          </w:p>
        </w:tc>
        <w:tc>
          <w:tcPr>
            <w:tcW w:w="994" w:type="pct"/>
            <w:gridSpan w:val="2"/>
            <w:tcBorders>
              <w:top w:val="nil"/>
              <w:bottom w:val="nil"/>
            </w:tcBorders>
          </w:tcPr>
          <w:p w14:paraId="26E4EF54" w14:textId="77777777" w:rsidR="00F322AB" w:rsidRPr="004A117A" w:rsidRDefault="00F322AB" w:rsidP="0096390F">
            <w:pPr>
              <w:pStyle w:val="Table"/>
              <w:rPr>
                <w:noProof/>
                <w:szCs w:val="22"/>
              </w:rPr>
            </w:pPr>
          </w:p>
        </w:tc>
      </w:tr>
      <w:tr w:rsidR="00F322AB" w:rsidRPr="00972C81" w14:paraId="1CBAA055" w14:textId="77777777" w:rsidTr="0096390F">
        <w:trPr>
          <w:trHeight w:val="862"/>
          <w:jc w:val="center"/>
        </w:trPr>
        <w:tc>
          <w:tcPr>
            <w:tcW w:w="942" w:type="pct"/>
            <w:tcBorders>
              <w:top w:val="nil"/>
              <w:bottom w:val="nil"/>
            </w:tcBorders>
          </w:tcPr>
          <w:p w14:paraId="18F70E10" w14:textId="77777777" w:rsidR="00F322AB" w:rsidRPr="004A117A" w:rsidRDefault="00F322AB" w:rsidP="0096390F">
            <w:pPr>
              <w:pStyle w:val="Table"/>
              <w:rPr>
                <w:noProof/>
                <w:szCs w:val="22"/>
              </w:rPr>
            </w:pPr>
            <w:r w:rsidRPr="004A117A">
              <w:rPr>
                <w:noProof/>
                <w:szCs w:val="22"/>
              </w:rPr>
              <w:t>F</w:t>
            </w:r>
          </w:p>
        </w:tc>
        <w:tc>
          <w:tcPr>
            <w:tcW w:w="1464" w:type="pct"/>
            <w:gridSpan w:val="3"/>
            <w:tcBorders>
              <w:top w:val="nil"/>
              <w:bottom w:val="nil"/>
            </w:tcBorders>
          </w:tcPr>
          <w:p w14:paraId="58E32C4A" w14:textId="77777777" w:rsidR="00F322AB" w:rsidRPr="004A117A" w:rsidRDefault="00F322AB" w:rsidP="0096390F">
            <w:pPr>
              <w:pStyle w:val="Table"/>
              <w:rPr>
                <w:noProof/>
                <w:szCs w:val="22"/>
              </w:rPr>
            </w:pPr>
            <w:r w:rsidRPr="004A117A">
              <w:rPr>
                <w:noProof/>
                <w:szCs w:val="22"/>
              </w:rPr>
              <w:t>Uranium hexafluoride, UF</w:t>
            </w:r>
            <w:r w:rsidRPr="004A117A">
              <w:rPr>
                <w:noProof/>
                <w:szCs w:val="22"/>
                <w:vertAlign w:val="subscript"/>
              </w:rPr>
              <w:t>6</w:t>
            </w:r>
            <w:r w:rsidRPr="004A117A">
              <w:rPr>
                <w:noProof/>
                <w:szCs w:val="22"/>
              </w:rPr>
              <w:t>; uranyl tri-butyl-phosphate</w:t>
            </w:r>
          </w:p>
        </w:tc>
        <w:tc>
          <w:tcPr>
            <w:tcW w:w="513" w:type="pct"/>
            <w:gridSpan w:val="3"/>
            <w:tcBorders>
              <w:top w:val="nil"/>
              <w:bottom w:val="nil"/>
            </w:tcBorders>
          </w:tcPr>
          <w:p w14:paraId="1E2700BB" w14:textId="77777777" w:rsidR="00F322AB" w:rsidRPr="004A117A" w:rsidRDefault="00F322AB" w:rsidP="0096390F">
            <w:pPr>
              <w:pStyle w:val="Table"/>
              <w:rPr>
                <w:noProof/>
                <w:szCs w:val="22"/>
              </w:rPr>
            </w:pPr>
            <w:r w:rsidRPr="004A117A">
              <w:rPr>
                <w:noProof/>
                <w:szCs w:val="22"/>
              </w:rPr>
              <w:t>1</w:t>
            </w:r>
          </w:p>
        </w:tc>
        <w:tc>
          <w:tcPr>
            <w:tcW w:w="513" w:type="pct"/>
            <w:gridSpan w:val="3"/>
            <w:tcBorders>
              <w:top w:val="nil"/>
              <w:bottom w:val="nil"/>
            </w:tcBorders>
          </w:tcPr>
          <w:p w14:paraId="5953C459" w14:textId="77777777" w:rsidR="00F322AB" w:rsidRPr="004A117A" w:rsidRDefault="00F322AB" w:rsidP="0096390F">
            <w:pPr>
              <w:pStyle w:val="Table"/>
              <w:rPr>
                <w:noProof/>
                <w:szCs w:val="22"/>
              </w:rPr>
            </w:pPr>
            <w:r w:rsidRPr="004A117A">
              <w:rPr>
                <w:noProof/>
                <w:szCs w:val="22"/>
              </w:rPr>
              <w:t>10</w:t>
            </w:r>
          </w:p>
        </w:tc>
        <w:tc>
          <w:tcPr>
            <w:tcW w:w="574" w:type="pct"/>
            <w:gridSpan w:val="2"/>
            <w:tcBorders>
              <w:top w:val="nil"/>
              <w:bottom w:val="nil"/>
            </w:tcBorders>
          </w:tcPr>
          <w:p w14:paraId="7DA06FEE" w14:textId="77777777" w:rsidR="00F322AB" w:rsidRPr="004A117A" w:rsidRDefault="00F322AB" w:rsidP="0096390F">
            <w:pPr>
              <w:pStyle w:val="Table"/>
              <w:rPr>
                <w:noProof/>
                <w:szCs w:val="22"/>
              </w:rPr>
            </w:pPr>
            <w:r w:rsidRPr="004A117A">
              <w:rPr>
                <w:noProof/>
                <w:szCs w:val="22"/>
              </w:rPr>
              <w:t>-</w:t>
            </w:r>
          </w:p>
        </w:tc>
        <w:tc>
          <w:tcPr>
            <w:tcW w:w="994" w:type="pct"/>
            <w:gridSpan w:val="2"/>
            <w:tcBorders>
              <w:top w:val="nil"/>
              <w:bottom w:val="nil"/>
            </w:tcBorders>
          </w:tcPr>
          <w:p w14:paraId="0EF3095B" w14:textId="77777777" w:rsidR="00F322AB" w:rsidRPr="004A117A" w:rsidRDefault="00F322AB" w:rsidP="0096390F">
            <w:pPr>
              <w:pStyle w:val="Table"/>
              <w:rPr>
                <w:noProof/>
                <w:szCs w:val="22"/>
              </w:rPr>
            </w:pPr>
            <w:r w:rsidRPr="004A117A">
              <w:rPr>
                <w:noProof/>
                <w:szCs w:val="22"/>
              </w:rPr>
              <w:t>0.02</w:t>
            </w:r>
          </w:p>
        </w:tc>
      </w:tr>
      <w:tr w:rsidR="00F322AB" w:rsidRPr="00972C81" w14:paraId="44A971B9" w14:textId="77777777" w:rsidTr="0096390F">
        <w:trPr>
          <w:trHeight w:val="1285"/>
          <w:jc w:val="center"/>
        </w:trPr>
        <w:tc>
          <w:tcPr>
            <w:tcW w:w="942" w:type="pct"/>
            <w:tcBorders>
              <w:top w:val="nil"/>
              <w:bottom w:val="nil"/>
            </w:tcBorders>
          </w:tcPr>
          <w:p w14:paraId="3EA5A02A" w14:textId="77777777" w:rsidR="00F322AB" w:rsidRPr="004A117A" w:rsidRDefault="00F322AB" w:rsidP="0096390F">
            <w:pPr>
              <w:pStyle w:val="Table"/>
              <w:rPr>
                <w:noProof/>
                <w:szCs w:val="22"/>
                <w:vertAlign w:val="superscript"/>
              </w:rPr>
            </w:pPr>
            <w:r w:rsidRPr="004A117A">
              <w:rPr>
                <w:noProof/>
                <w:szCs w:val="22"/>
              </w:rPr>
              <w:t>M</w:t>
            </w:r>
            <w:r w:rsidRPr="004A117A">
              <w:rPr>
                <w:noProof/>
                <w:szCs w:val="22"/>
                <w:vertAlign w:val="superscript"/>
              </w:rPr>
              <w:t>**</w:t>
            </w:r>
          </w:p>
        </w:tc>
        <w:tc>
          <w:tcPr>
            <w:tcW w:w="1464" w:type="pct"/>
            <w:gridSpan w:val="3"/>
            <w:tcBorders>
              <w:top w:val="nil"/>
              <w:bottom w:val="nil"/>
            </w:tcBorders>
          </w:tcPr>
          <w:p w14:paraId="72FE4971" w14:textId="77777777" w:rsidR="00F322AB" w:rsidRPr="004A117A" w:rsidRDefault="00F322AB" w:rsidP="0096390F">
            <w:pPr>
              <w:pStyle w:val="Table"/>
              <w:rPr>
                <w:noProof/>
                <w:szCs w:val="22"/>
              </w:rPr>
            </w:pPr>
            <w:r w:rsidRPr="004A117A">
              <w:rPr>
                <w:noProof/>
                <w:szCs w:val="22"/>
              </w:rPr>
              <w:t>Uranyl acetylacetonate; UF</w:t>
            </w:r>
            <w:r w:rsidRPr="004A117A">
              <w:rPr>
                <w:noProof/>
                <w:szCs w:val="22"/>
                <w:vertAlign w:val="subscript"/>
              </w:rPr>
              <w:t>4</w:t>
            </w:r>
            <w:r w:rsidRPr="004A117A">
              <w:rPr>
                <w:noProof/>
                <w:szCs w:val="22"/>
              </w:rPr>
              <w:t>; depleted uranium aerosols from use of kinetic energy penetrators; vaporised U metal</w:t>
            </w:r>
            <w:r w:rsidRPr="004A117A">
              <w:rPr>
                <w:rStyle w:val="af2"/>
                <w:rFonts w:ascii="Times Roman" w:hAnsi="Times Roman"/>
                <w:noProof/>
                <w:vanish/>
                <w:sz w:val="22"/>
                <w:szCs w:val="22"/>
              </w:rPr>
              <w:t>, UF</w:t>
            </w:r>
            <w:r w:rsidRPr="004A117A">
              <w:rPr>
                <w:rStyle w:val="af2"/>
                <w:rFonts w:ascii="Times Roman" w:hAnsi="Times Roman"/>
                <w:noProof/>
                <w:vanish/>
                <w:sz w:val="22"/>
                <w:szCs w:val="22"/>
                <w:vertAlign w:val="subscript"/>
              </w:rPr>
              <w:t>4</w:t>
            </w:r>
          </w:p>
        </w:tc>
        <w:tc>
          <w:tcPr>
            <w:tcW w:w="513" w:type="pct"/>
            <w:gridSpan w:val="3"/>
            <w:tcBorders>
              <w:top w:val="nil"/>
              <w:bottom w:val="nil"/>
            </w:tcBorders>
          </w:tcPr>
          <w:p w14:paraId="20545A41" w14:textId="77777777" w:rsidR="00F322AB" w:rsidRPr="004A117A" w:rsidRDefault="00F322AB" w:rsidP="0096390F">
            <w:pPr>
              <w:pStyle w:val="Table"/>
              <w:rPr>
                <w:noProof/>
                <w:szCs w:val="22"/>
              </w:rPr>
            </w:pPr>
            <w:r w:rsidRPr="004A117A">
              <w:rPr>
                <w:noProof/>
                <w:szCs w:val="22"/>
              </w:rPr>
              <w:t>0.2</w:t>
            </w:r>
          </w:p>
        </w:tc>
        <w:tc>
          <w:tcPr>
            <w:tcW w:w="513" w:type="pct"/>
            <w:gridSpan w:val="3"/>
            <w:tcBorders>
              <w:top w:val="nil"/>
              <w:bottom w:val="nil"/>
            </w:tcBorders>
          </w:tcPr>
          <w:p w14:paraId="5F174029" w14:textId="77777777" w:rsidR="00F322AB" w:rsidRPr="004A117A" w:rsidRDefault="00F322AB" w:rsidP="0096390F">
            <w:pPr>
              <w:pStyle w:val="Table"/>
              <w:rPr>
                <w:noProof/>
                <w:szCs w:val="22"/>
              </w:rPr>
            </w:pPr>
            <w:r w:rsidRPr="004A117A">
              <w:rPr>
                <w:noProof/>
                <w:szCs w:val="22"/>
              </w:rPr>
              <w:t>3</w:t>
            </w:r>
          </w:p>
        </w:tc>
        <w:tc>
          <w:tcPr>
            <w:tcW w:w="574" w:type="pct"/>
            <w:gridSpan w:val="2"/>
            <w:tcBorders>
              <w:top w:val="nil"/>
              <w:bottom w:val="nil"/>
            </w:tcBorders>
          </w:tcPr>
          <w:p w14:paraId="1A0548DA" w14:textId="77777777" w:rsidR="00F322AB" w:rsidRPr="004A117A" w:rsidRDefault="00F322AB" w:rsidP="0096390F">
            <w:pPr>
              <w:pStyle w:val="Table"/>
              <w:rPr>
                <w:noProof/>
                <w:szCs w:val="22"/>
              </w:rPr>
            </w:pPr>
            <w:r w:rsidRPr="004A117A">
              <w:rPr>
                <w:noProof/>
                <w:szCs w:val="22"/>
              </w:rPr>
              <w:t>0.005</w:t>
            </w:r>
          </w:p>
        </w:tc>
        <w:tc>
          <w:tcPr>
            <w:tcW w:w="994" w:type="pct"/>
            <w:gridSpan w:val="2"/>
            <w:tcBorders>
              <w:top w:val="nil"/>
              <w:bottom w:val="nil"/>
            </w:tcBorders>
          </w:tcPr>
          <w:p w14:paraId="57C89282" w14:textId="77777777" w:rsidR="00F322AB" w:rsidRPr="004A117A" w:rsidRDefault="00F322AB" w:rsidP="0096390F">
            <w:pPr>
              <w:pStyle w:val="Table"/>
              <w:rPr>
                <w:noProof/>
                <w:szCs w:val="22"/>
              </w:rPr>
            </w:pPr>
            <w:r w:rsidRPr="004A117A">
              <w:rPr>
                <w:noProof/>
                <w:szCs w:val="22"/>
              </w:rPr>
              <w:t>0.004</w:t>
            </w:r>
          </w:p>
        </w:tc>
      </w:tr>
      <w:tr w:rsidR="00F322AB" w:rsidRPr="00972C81" w14:paraId="03EA6AA8" w14:textId="77777777" w:rsidTr="0096390F">
        <w:trPr>
          <w:trHeight w:val="340"/>
          <w:jc w:val="center"/>
        </w:trPr>
        <w:tc>
          <w:tcPr>
            <w:tcW w:w="942" w:type="pct"/>
            <w:tcBorders>
              <w:top w:val="nil"/>
              <w:bottom w:val="single" w:sz="4" w:space="0" w:color="auto"/>
            </w:tcBorders>
          </w:tcPr>
          <w:p w14:paraId="337CA0A6" w14:textId="77777777" w:rsidR="00F322AB" w:rsidRPr="004A117A" w:rsidRDefault="00F322AB" w:rsidP="0096390F">
            <w:pPr>
              <w:pStyle w:val="Table"/>
              <w:rPr>
                <w:noProof/>
                <w:szCs w:val="22"/>
              </w:rPr>
            </w:pPr>
            <w:r w:rsidRPr="004A117A">
              <w:rPr>
                <w:noProof/>
                <w:szCs w:val="22"/>
              </w:rPr>
              <w:t>S</w:t>
            </w:r>
          </w:p>
        </w:tc>
        <w:tc>
          <w:tcPr>
            <w:tcW w:w="1464" w:type="pct"/>
            <w:gridSpan w:val="3"/>
            <w:tcBorders>
              <w:top w:val="nil"/>
              <w:bottom w:val="single" w:sz="4" w:space="0" w:color="auto"/>
            </w:tcBorders>
          </w:tcPr>
          <w:p w14:paraId="4F2BBCFF" w14:textId="77777777" w:rsidR="00F322AB" w:rsidRPr="004A117A" w:rsidRDefault="00F322AB" w:rsidP="0096390F">
            <w:pPr>
              <w:pStyle w:val="Table"/>
              <w:rPr>
                <w:noProof/>
                <w:szCs w:val="22"/>
              </w:rPr>
            </w:pPr>
            <w:r w:rsidRPr="004A117A">
              <w:rPr>
                <w:noProof/>
                <w:szCs w:val="22"/>
              </w:rPr>
              <w:t>—</w:t>
            </w:r>
          </w:p>
        </w:tc>
        <w:tc>
          <w:tcPr>
            <w:tcW w:w="513" w:type="pct"/>
            <w:gridSpan w:val="3"/>
            <w:tcBorders>
              <w:top w:val="nil"/>
              <w:bottom w:val="single" w:sz="4" w:space="0" w:color="auto"/>
            </w:tcBorders>
          </w:tcPr>
          <w:p w14:paraId="5BFE616B" w14:textId="77777777" w:rsidR="00F322AB" w:rsidRPr="004A117A" w:rsidRDefault="00F322AB" w:rsidP="0096390F">
            <w:pPr>
              <w:pStyle w:val="Table"/>
              <w:rPr>
                <w:noProof/>
                <w:szCs w:val="22"/>
              </w:rPr>
            </w:pPr>
            <w:r w:rsidRPr="004A117A">
              <w:rPr>
                <w:noProof/>
                <w:szCs w:val="22"/>
              </w:rPr>
              <w:t>0.01</w:t>
            </w:r>
          </w:p>
        </w:tc>
        <w:tc>
          <w:tcPr>
            <w:tcW w:w="513" w:type="pct"/>
            <w:gridSpan w:val="3"/>
            <w:tcBorders>
              <w:top w:val="nil"/>
              <w:bottom w:val="single" w:sz="4" w:space="0" w:color="auto"/>
            </w:tcBorders>
          </w:tcPr>
          <w:p w14:paraId="48EC3D75" w14:textId="77777777" w:rsidR="00F322AB" w:rsidRPr="004A117A" w:rsidRDefault="00F322AB" w:rsidP="0096390F">
            <w:pPr>
              <w:pStyle w:val="Table"/>
              <w:rPr>
                <w:noProof/>
                <w:szCs w:val="22"/>
              </w:rPr>
            </w:pPr>
            <w:r w:rsidRPr="004A117A">
              <w:rPr>
                <w:noProof/>
                <w:szCs w:val="22"/>
              </w:rPr>
              <w:t>3</w:t>
            </w:r>
          </w:p>
        </w:tc>
        <w:tc>
          <w:tcPr>
            <w:tcW w:w="574" w:type="pct"/>
            <w:gridSpan w:val="2"/>
            <w:tcBorders>
              <w:top w:val="nil"/>
              <w:bottom w:val="single" w:sz="4" w:space="0" w:color="auto"/>
            </w:tcBorders>
          </w:tcPr>
          <w:p w14:paraId="29FE8773" w14:textId="0C9BF4A0" w:rsidR="00F322AB" w:rsidRPr="004A117A" w:rsidRDefault="00F322AB" w:rsidP="0096390F">
            <w:pPr>
              <w:pStyle w:val="Table"/>
              <w:rPr>
                <w:noProof/>
                <w:szCs w:val="22"/>
              </w:rPr>
            </w:pPr>
            <w:r w:rsidRPr="004A117A">
              <w:rPr>
                <w:noProof/>
                <w:szCs w:val="22"/>
              </w:rPr>
              <w:t>1</w:t>
            </w:r>
            <w:r w:rsidR="00067025" w:rsidRPr="004A117A">
              <w:rPr>
                <w:noProof/>
                <w:szCs w:val="22"/>
              </w:rPr>
              <w:t xml:space="preserve"> × </w:t>
            </w:r>
            <w:r w:rsidRPr="004A117A">
              <w:rPr>
                <w:noProof/>
                <w:szCs w:val="22"/>
              </w:rPr>
              <w:t>10</w:t>
            </w:r>
            <w:r w:rsidRPr="004A117A">
              <w:rPr>
                <w:noProof/>
                <w:szCs w:val="22"/>
                <w:vertAlign w:val="superscript"/>
              </w:rPr>
              <w:t>-4</w:t>
            </w:r>
          </w:p>
        </w:tc>
        <w:tc>
          <w:tcPr>
            <w:tcW w:w="994" w:type="pct"/>
            <w:gridSpan w:val="2"/>
            <w:tcBorders>
              <w:top w:val="nil"/>
              <w:bottom w:val="single" w:sz="4" w:space="0" w:color="auto"/>
            </w:tcBorders>
          </w:tcPr>
          <w:p w14:paraId="249F075E" w14:textId="56044875" w:rsidR="00F322AB" w:rsidRPr="004A117A" w:rsidRDefault="00F322AB" w:rsidP="0096390F">
            <w:pPr>
              <w:pStyle w:val="Table"/>
              <w:rPr>
                <w:noProof/>
                <w:szCs w:val="22"/>
              </w:rPr>
            </w:pPr>
            <w:r w:rsidRPr="004A117A">
              <w:rPr>
                <w:noProof/>
                <w:szCs w:val="22"/>
              </w:rPr>
              <w:t>2</w:t>
            </w:r>
            <w:r w:rsidR="00067025" w:rsidRPr="004A117A">
              <w:rPr>
                <w:noProof/>
                <w:szCs w:val="22"/>
              </w:rPr>
              <w:t xml:space="preserve"> × </w:t>
            </w:r>
            <w:r w:rsidRPr="004A117A">
              <w:rPr>
                <w:noProof/>
                <w:szCs w:val="22"/>
              </w:rPr>
              <w:t>10</w:t>
            </w:r>
            <w:r w:rsidRPr="004A117A">
              <w:rPr>
                <w:noProof/>
                <w:szCs w:val="22"/>
                <w:vertAlign w:val="superscript"/>
              </w:rPr>
              <w:t>-4</w:t>
            </w:r>
          </w:p>
        </w:tc>
      </w:tr>
      <w:tr w:rsidR="00F322AB" w:rsidRPr="00972C81" w14:paraId="436BF948" w14:textId="77777777" w:rsidTr="0096390F">
        <w:trPr>
          <w:trHeight w:val="340"/>
          <w:jc w:val="center"/>
        </w:trPr>
        <w:tc>
          <w:tcPr>
            <w:tcW w:w="2406" w:type="pct"/>
            <w:gridSpan w:val="4"/>
            <w:tcBorders>
              <w:top w:val="single" w:sz="4" w:space="0" w:color="auto"/>
              <w:bottom w:val="nil"/>
            </w:tcBorders>
          </w:tcPr>
          <w:p w14:paraId="530A69C6" w14:textId="77777777" w:rsidR="00F322AB" w:rsidRPr="004A117A" w:rsidRDefault="00F322AB" w:rsidP="00E81109">
            <w:pPr>
              <w:pStyle w:val="Table"/>
              <w:rPr>
                <w:noProof/>
                <w:szCs w:val="22"/>
              </w:rPr>
            </w:pPr>
          </w:p>
        </w:tc>
        <w:tc>
          <w:tcPr>
            <w:tcW w:w="481" w:type="pct"/>
            <w:gridSpan w:val="2"/>
            <w:tcBorders>
              <w:top w:val="single" w:sz="4" w:space="0" w:color="auto"/>
              <w:bottom w:val="nil"/>
            </w:tcBorders>
          </w:tcPr>
          <w:p w14:paraId="5188BA5A" w14:textId="77777777" w:rsidR="00F322AB" w:rsidRPr="004A117A" w:rsidRDefault="00F322AB" w:rsidP="00E81109">
            <w:pPr>
              <w:pStyle w:val="Table"/>
              <w:rPr>
                <w:noProof/>
                <w:szCs w:val="22"/>
              </w:rPr>
            </w:pPr>
          </w:p>
        </w:tc>
        <w:tc>
          <w:tcPr>
            <w:tcW w:w="481" w:type="pct"/>
            <w:gridSpan w:val="3"/>
            <w:tcBorders>
              <w:top w:val="single" w:sz="4" w:space="0" w:color="auto"/>
              <w:bottom w:val="nil"/>
            </w:tcBorders>
          </w:tcPr>
          <w:p w14:paraId="0561FE58" w14:textId="77777777" w:rsidR="00F322AB" w:rsidRPr="004A117A" w:rsidRDefault="00F322AB" w:rsidP="00E81109">
            <w:pPr>
              <w:pStyle w:val="Table"/>
              <w:rPr>
                <w:noProof/>
                <w:szCs w:val="22"/>
              </w:rPr>
            </w:pPr>
          </w:p>
        </w:tc>
        <w:tc>
          <w:tcPr>
            <w:tcW w:w="639" w:type="pct"/>
            <w:gridSpan w:val="3"/>
            <w:tcBorders>
              <w:top w:val="single" w:sz="4" w:space="0" w:color="auto"/>
              <w:bottom w:val="nil"/>
            </w:tcBorders>
          </w:tcPr>
          <w:p w14:paraId="1B671BCF" w14:textId="77777777" w:rsidR="00F322AB" w:rsidRPr="004A117A" w:rsidRDefault="00F322AB" w:rsidP="00E81109">
            <w:pPr>
              <w:pStyle w:val="Table"/>
              <w:rPr>
                <w:noProof/>
                <w:szCs w:val="22"/>
              </w:rPr>
            </w:pPr>
          </w:p>
        </w:tc>
        <w:tc>
          <w:tcPr>
            <w:tcW w:w="994" w:type="pct"/>
            <w:gridSpan w:val="2"/>
            <w:tcBorders>
              <w:top w:val="single" w:sz="4" w:space="0" w:color="auto"/>
              <w:bottom w:val="nil"/>
            </w:tcBorders>
          </w:tcPr>
          <w:p w14:paraId="5DA2A39F" w14:textId="77777777" w:rsidR="00F322AB" w:rsidRPr="004A117A" w:rsidRDefault="00F322AB" w:rsidP="00E81109">
            <w:pPr>
              <w:pStyle w:val="Table"/>
              <w:rPr>
                <w:noProof/>
                <w:szCs w:val="22"/>
              </w:rPr>
            </w:pPr>
          </w:p>
        </w:tc>
      </w:tr>
      <w:tr w:rsidR="00F322AB" w:rsidRPr="00972C81" w14:paraId="197AA5EB" w14:textId="77777777" w:rsidTr="0096390F">
        <w:trPr>
          <w:trHeight w:val="340"/>
          <w:jc w:val="center"/>
        </w:trPr>
        <w:tc>
          <w:tcPr>
            <w:tcW w:w="2406" w:type="pct"/>
            <w:gridSpan w:val="4"/>
            <w:tcBorders>
              <w:top w:val="nil"/>
              <w:bottom w:val="single" w:sz="4" w:space="0" w:color="auto"/>
            </w:tcBorders>
          </w:tcPr>
          <w:p w14:paraId="204715ED" w14:textId="77777777" w:rsidR="00F322AB" w:rsidRPr="004A117A" w:rsidRDefault="00F322AB" w:rsidP="00E81109">
            <w:pPr>
              <w:pStyle w:val="Table"/>
              <w:rPr>
                <w:noProof/>
                <w:szCs w:val="22"/>
              </w:rPr>
            </w:pPr>
            <w:r w:rsidRPr="004A117A">
              <w:rPr>
                <w:noProof/>
                <w:szCs w:val="22"/>
              </w:rPr>
              <w:t>Ingested materials</w:t>
            </w:r>
            <w:r w:rsidRPr="004A117A">
              <w:rPr>
                <w:noProof/>
                <w:szCs w:val="22"/>
                <w:vertAlign w:val="superscript"/>
              </w:rPr>
              <w:t>††</w:t>
            </w:r>
          </w:p>
        </w:tc>
        <w:tc>
          <w:tcPr>
            <w:tcW w:w="481" w:type="pct"/>
            <w:gridSpan w:val="2"/>
            <w:tcBorders>
              <w:top w:val="nil"/>
              <w:bottom w:val="single" w:sz="4" w:space="0" w:color="auto"/>
            </w:tcBorders>
          </w:tcPr>
          <w:p w14:paraId="6220E59C" w14:textId="77777777" w:rsidR="00F322AB" w:rsidRPr="004A117A" w:rsidRDefault="00F322AB" w:rsidP="00E81109">
            <w:pPr>
              <w:pStyle w:val="Table"/>
              <w:rPr>
                <w:noProof/>
                <w:szCs w:val="22"/>
              </w:rPr>
            </w:pPr>
          </w:p>
        </w:tc>
        <w:tc>
          <w:tcPr>
            <w:tcW w:w="481" w:type="pct"/>
            <w:gridSpan w:val="3"/>
            <w:tcBorders>
              <w:top w:val="nil"/>
              <w:bottom w:val="single" w:sz="4" w:space="0" w:color="auto"/>
            </w:tcBorders>
          </w:tcPr>
          <w:p w14:paraId="23157A93" w14:textId="77777777" w:rsidR="00F322AB" w:rsidRPr="004A117A" w:rsidRDefault="00F322AB" w:rsidP="00E81109">
            <w:pPr>
              <w:pStyle w:val="Table"/>
              <w:rPr>
                <w:noProof/>
                <w:szCs w:val="22"/>
              </w:rPr>
            </w:pPr>
          </w:p>
        </w:tc>
        <w:tc>
          <w:tcPr>
            <w:tcW w:w="639" w:type="pct"/>
            <w:gridSpan w:val="3"/>
            <w:tcBorders>
              <w:top w:val="nil"/>
              <w:bottom w:val="single" w:sz="4" w:space="0" w:color="auto"/>
            </w:tcBorders>
          </w:tcPr>
          <w:p w14:paraId="0A0C1845" w14:textId="77777777" w:rsidR="00F322AB" w:rsidRPr="004A117A" w:rsidRDefault="00F322AB" w:rsidP="00E81109">
            <w:pPr>
              <w:pStyle w:val="Table"/>
              <w:rPr>
                <w:noProof/>
                <w:szCs w:val="22"/>
              </w:rPr>
            </w:pPr>
          </w:p>
        </w:tc>
        <w:tc>
          <w:tcPr>
            <w:tcW w:w="994" w:type="pct"/>
            <w:gridSpan w:val="2"/>
            <w:tcBorders>
              <w:top w:val="nil"/>
              <w:bottom w:val="single" w:sz="4" w:space="0" w:color="auto"/>
            </w:tcBorders>
          </w:tcPr>
          <w:p w14:paraId="0D0BD1C2" w14:textId="77777777" w:rsidR="00F322AB" w:rsidRPr="004A117A" w:rsidRDefault="00F322AB" w:rsidP="00E81109">
            <w:pPr>
              <w:pStyle w:val="Table"/>
              <w:rPr>
                <w:noProof/>
                <w:szCs w:val="22"/>
              </w:rPr>
            </w:pPr>
          </w:p>
        </w:tc>
      </w:tr>
      <w:tr w:rsidR="0096390F" w:rsidRPr="00972C81" w14:paraId="1ADE2734" w14:textId="77777777" w:rsidTr="0096390F">
        <w:trPr>
          <w:trHeight w:val="340"/>
          <w:jc w:val="center"/>
        </w:trPr>
        <w:tc>
          <w:tcPr>
            <w:tcW w:w="1492" w:type="pct"/>
            <w:gridSpan w:val="2"/>
            <w:vMerge w:val="restart"/>
            <w:tcBorders>
              <w:top w:val="single" w:sz="4" w:space="0" w:color="auto"/>
            </w:tcBorders>
            <w:vAlign w:val="center"/>
          </w:tcPr>
          <w:p w14:paraId="113BE2D1" w14:textId="5B54A7A7" w:rsidR="0096390F" w:rsidRPr="004A117A" w:rsidRDefault="0096390F" w:rsidP="0096390F">
            <w:pPr>
              <w:pStyle w:val="Table"/>
              <w:rPr>
                <w:noProof/>
                <w:szCs w:val="22"/>
              </w:rPr>
            </w:pPr>
            <w:r w:rsidRPr="004A117A">
              <w:rPr>
                <w:rFonts w:ascii="Times Roman" w:hAnsi="Times Roman"/>
                <w:noProof/>
                <w:szCs w:val="22"/>
              </w:rPr>
              <w:t>Assigned forms</w:t>
            </w:r>
          </w:p>
        </w:tc>
        <w:tc>
          <w:tcPr>
            <w:tcW w:w="3508" w:type="pct"/>
            <w:gridSpan w:val="12"/>
            <w:tcBorders>
              <w:top w:val="single" w:sz="4" w:space="0" w:color="auto"/>
              <w:bottom w:val="single" w:sz="4" w:space="0" w:color="auto"/>
            </w:tcBorders>
            <w:vAlign w:val="center"/>
          </w:tcPr>
          <w:p w14:paraId="6FB5572C" w14:textId="59B091F3" w:rsidR="0096390F" w:rsidRPr="004A117A" w:rsidRDefault="0096390F" w:rsidP="0096390F">
            <w:pPr>
              <w:pStyle w:val="Table"/>
              <w:jc w:val="center"/>
              <w:rPr>
                <w:noProof/>
                <w:szCs w:val="22"/>
              </w:rPr>
            </w:pPr>
            <w:r w:rsidRPr="004A117A">
              <w:rPr>
                <w:rFonts w:ascii="Times Roman" w:hAnsi="Times Roman"/>
                <w:noProof/>
                <w:szCs w:val="22"/>
              </w:rPr>
              <w:t xml:space="preserve">Age-dependent absorption from the alimentary tract, </w:t>
            </w:r>
            <w:r w:rsidRPr="004A117A">
              <w:rPr>
                <w:rFonts w:ascii="Times Roman" w:hAnsi="Times Roman"/>
                <w:i/>
                <w:noProof/>
                <w:szCs w:val="22"/>
              </w:rPr>
              <w:t>f</w:t>
            </w:r>
            <w:r w:rsidRPr="004A117A">
              <w:rPr>
                <w:rFonts w:ascii="Times Roman" w:hAnsi="Times Roman"/>
                <w:noProof/>
                <w:szCs w:val="22"/>
                <w:vertAlign w:val="subscript"/>
              </w:rPr>
              <w:t>A</w:t>
            </w:r>
          </w:p>
        </w:tc>
      </w:tr>
      <w:tr w:rsidR="0096390F" w:rsidRPr="00972C81" w14:paraId="12B72B80" w14:textId="77777777" w:rsidTr="0096390F">
        <w:trPr>
          <w:trHeight w:val="340"/>
          <w:jc w:val="center"/>
        </w:trPr>
        <w:tc>
          <w:tcPr>
            <w:tcW w:w="1492" w:type="pct"/>
            <w:gridSpan w:val="2"/>
            <w:vMerge/>
            <w:tcBorders>
              <w:bottom w:val="single" w:sz="4" w:space="0" w:color="auto"/>
            </w:tcBorders>
          </w:tcPr>
          <w:p w14:paraId="5792B5CE" w14:textId="5B96F70A" w:rsidR="0096390F" w:rsidRPr="004A117A" w:rsidRDefault="0096390F" w:rsidP="00E81109">
            <w:pPr>
              <w:pStyle w:val="Table"/>
              <w:rPr>
                <w:noProof/>
                <w:szCs w:val="22"/>
              </w:rPr>
            </w:pPr>
          </w:p>
        </w:tc>
        <w:tc>
          <w:tcPr>
            <w:tcW w:w="662" w:type="pct"/>
            <w:tcBorders>
              <w:top w:val="single" w:sz="4" w:space="0" w:color="auto"/>
              <w:bottom w:val="single" w:sz="4" w:space="0" w:color="auto"/>
            </w:tcBorders>
            <w:vAlign w:val="center"/>
          </w:tcPr>
          <w:p w14:paraId="3E943180" w14:textId="13152E15" w:rsidR="0096390F" w:rsidRPr="004A117A" w:rsidRDefault="0096390F" w:rsidP="0096390F">
            <w:pPr>
              <w:pStyle w:val="Table"/>
              <w:rPr>
                <w:noProof/>
                <w:szCs w:val="22"/>
              </w:rPr>
            </w:pPr>
            <w:r w:rsidRPr="004A117A">
              <w:rPr>
                <w:rFonts w:ascii="Times Roman" w:hAnsi="Times Roman"/>
                <w:noProof/>
                <w:szCs w:val="22"/>
              </w:rPr>
              <w:t>3 mo</w:t>
            </w:r>
          </w:p>
        </w:tc>
        <w:tc>
          <w:tcPr>
            <w:tcW w:w="569" w:type="pct"/>
            <w:gridSpan w:val="2"/>
            <w:tcBorders>
              <w:top w:val="single" w:sz="4" w:space="0" w:color="auto"/>
              <w:bottom w:val="single" w:sz="4" w:space="0" w:color="auto"/>
            </w:tcBorders>
            <w:vAlign w:val="center"/>
          </w:tcPr>
          <w:p w14:paraId="563BD377" w14:textId="4381044B" w:rsidR="0096390F" w:rsidRPr="004A117A" w:rsidRDefault="0096390F" w:rsidP="0096390F">
            <w:pPr>
              <w:pStyle w:val="Table"/>
              <w:rPr>
                <w:noProof/>
                <w:szCs w:val="22"/>
              </w:rPr>
            </w:pPr>
            <w:r w:rsidRPr="004A117A">
              <w:rPr>
                <w:rFonts w:ascii="Times Roman" w:hAnsi="Times Roman"/>
                <w:noProof/>
                <w:szCs w:val="22"/>
              </w:rPr>
              <w:t>1 y</w:t>
            </w:r>
          </w:p>
        </w:tc>
        <w:tc>
          <w:tcPr>
            <w:tcW w:w="569" w:type="pct"/>
            <w:gridSpan w:val="3"/>
            <w:tcBorders>
              <w:top w:val="single" w:sz="4" w:space="0" w:color="auto"/>
              <w:bottom w:val="single" w:sz="4" w:space="0" w:color="auto"/>
            </w:tcBorders>
            <w:vAlign w:val="center"/>
          </w:tcPr>
          <w:p w14:paraId="502C5F83" w14:textId="23917193" w:rsidR="0096390F" w:rsidRPr="004A117A" w:rsidRDefault="0096390F" w:rsidP="0096390F">
            <w:pPr>
              <w:pStyle w:val="Table"/>
              <w:rPr>
                <w:noProof/>
                <w:szCs w:val="22"/>
              </w:rPr>
            </w:pPr>
            <w:r w:rsidRPr="004A117A">
              <w:rPr>
                <w:rFonts w:ascii="Times Roman" w:hAnsi="Times Roman"/>
                <w:noProof/>
                <w:szCs w:val="22"/>
              </w:rPr>
              <w:t>5 y</w:t>
            </w:r>
          </w:p>
        </w:tc>
        <w:tc>
          <w:tcPr>
            <w:tcW w:w="569" w:type="pct"/>
            <w:gridSpan w:val="3"/>
            <w:tcBorders>
              <w:top w:val="single" w:sz="4" w:space="0" w:color="auto"/>
              <w:bottom w:val="single" w:sz="4" w:space="0" w:color="auto"/>
            </w:tcBorders>
            <w:vAlign w:val="center"/>
          </w:tcPr>
          <w:p w14:paraId="5158F1EA" w14:textId="6572EBE6" w:rsidR="0096390F" w:rsidRPr="004A117A" w:rsidRDefault="0096390F" w:rsidP="0096390F">
            <w:pPr>
              <w:pStyle w:val="Table"/>
              <w:rPr>
                <w:noProof/>
                <w:szCs w:val="22"/>
              </w:rPr>
            </w:pPr>
            <w:r w:rsidRPr="004A117A">
              <w:rPr>
                <w:rFonts w:ascii="Times Roman" w:hAnsi="Times Roman"/>
                <w:noProof/>
                <w:szCs w:val="22"/>
              </w:rPr>
              <w:t>10 y</w:t>
            </w:r>
          </w:p>
        </w:tc>
        <w:tc>
          <w:tcPr>
            <w:tcW w:w="569" w:type="pct"/>
            <w:gridSpan w:val="2"/>
            <w:tcBorders>
              <w:top w:val="single" w:sz="4" w:space="0" w:color="auto"/>
              <w:bottom w:val="single" w:sz="4" w:space="0" w:color="auto"/>
            </w:tcBorders>
            <w:vAlign w:val="center"/>
          </w:tcPr>
          <w:p w14:paraId="5C45893B" w14:textId="247FD663" w:rsidR="0096390F" w:rsidRPr="004A117A" w:rsidRDefault="0096390F" w:rsidP="0096390F">
            <w:pPr>
              <w:pStyle w:val="Table"/>
              <w:rPr>
                <w:noProof/>
                <w:szCs w:val="22"/>
              </w:rPr>
            </w:pPr>
            <w:r w:rsidRPr="004A117A">
              <w:rPr>
                <w:rFonts w:ascii="Times Roman" w:hAnsi="Times Roman"/>
                <w:noProof/>
                <w:szCs w:val="22"/>
              </w:rPr>
              <w:t>15 y</w:t>
            </w:r>
          </w:p>
        </w:tc>
        <w:tc>
          <w:tcPr>
            <w:tcW w:w="570" w:type="pct"/>
            <w:tcBorders>
              <w:top w:val="single" w:sz="4" w:space="0" w:color="auto"/>
              <w:bottom w:val="single" w:sz="4" w:space="0" w:color="auto"/>
            </w:tcBorders>
            <w:vAlign w:val="center"/>
          </w:tcPr>
          <w:p w14:paraId="18410DB2" w14:textId="6219D386" w:rsidR="0096390F" w:rsidRPr="004A117A" w:rsidRDefault="0096390F" w:rsidP="0096390F">
            <w:pPr>
              <w:pStyle w:val="Table"/>
              <w:rPr>
                <w:noProof/>
                <w:szCs w:val="22"/>
              </w:rPr>
            </w:pPr>
            <w:r w:rsidRPr="004A117A">
              <w:rPr>
                <w:rFonts w:ascii="Times Roman" w:hAnsi="Times Roman"/>
                <w:noProof/>
                <w:szCs w:val="22"/>
              </w:rPr>
              <w:t>adult</w:t>
            </w:r>
          </w:p>
        </w:tc>
      </w:tr>
      <w:tr w:rsidR="00141BB9" w:rsidRPr="00972C81" w14:paraId="31E8DE52" w14:textId="77777777" w:rsidTr="0096390F">
        <w:trPr>
          <w:trHeight w:val="650"/>
          <w:jc w:val="center"/>
        </w:trPr>
        <w:tc>
          <w:tcPr>
            <w:tcW w:w="1492" w:type="pct"/>
            <w:gridSpan w:val="2"/>
            <w:tcBorders>
              <w:top w:val="single" w:sz="4" w:space="0" w:color="auto"/>
              <w:bottom w:val="nil"/>
            </w:tcBorders>
          </w:tcPr>
          <w:p w14:paraId="2244567F" w14:textId="55D45A2B" w:rsidR="00141BB9" w:rsidRPr="004A117A" w:rsidRDefault="004C5D1E" w:rsidP="0096390F">
            <w:pPr>
              <w:pStyle w:val="Table"/>
              <w:rPr>
                <w:noProof/>
                <w:szCs w:val="22"/>
              </w:rPr>
            </w:pPr>
            <w:r w:rsidRPr="004A117A">
              <w:rPr>
                <w:rFonts w:ascii="Times Roman" w:hAnsi="Times Roman"/>
                <w:noProof/>
                <w:szCs w:val="22"/>
              </w:rPr>
              <w:t>Soluble forms (Type F), U in diet</w:t>
            </w:r>
          </w:p>
        </w:tc>
        <w:tc>
          <w:tcPr>
            <w:tcW w:w="662" w:type="pct"/>
            <w:tcBorders>
              <w:top w:val="single" w:sz="4" w:space="0" w:color="auto"/>
              <w:bottom w:val="nil"/>
            </w:tcBorders>
          </w:tcPr>
          <w:p w14:paraId="18F53001" w14:textId="74D7442D" w:rsidR="00141BB9" w:rsidRPr="004A117A" w:rsidRDefault="004C5D1E" w:rsidP="0096390F">
            <w:pPr>
              <w:pStyle w:val="Table"/>
              <w:rPr>
                <w:noProof/>
                <w:szCs w:val="22"/>
              </w:rPr>
            </w:pPr>
            <w:r w:rsidRPr="004A117A">
              <w:rPr>
                <w:noProof/>
                <w:szCs w:val="22"/>
              </w:rPr>
              <w:t>0.1</w:t>
            </w:r>
          </w:p>
        </w:tc>
        <w:tc>
          <w:tcPr>
            <w:tcW w:w="569" w:type="pct"/>
            <w:gridSpan w:val="2"/>
            <w:tcBorders>
              <w:top w:val="single" w:sz="4" w:space="0" w:color="auto"/>
              <w:bottom w:val="nil"/>
            </w:tcBorders>
          </w:tcPr>
          <w:p w14:paraId="113F5BE6" w14:textId="015F6930" w:rsidR="00141BB9" w:rsidRPr="004A117A" w:rsidRDefault="004C5D1E" w:rsidP="0096390F">
            <w:pPr>
              <w:pStyle w:val="Table"/>
              <w:rPr>
                <w:noProof/>
                <w:szCs w:val="22"/>
              </w:rPr>
            </w:pPr>
            <w:r w:rsidRPr="004A117A">
              <w:rPr>
                <w:noProof/>
                <w:szCs w:val="22"/>
              </w:rPr>
              <w:t>0.05</w:t>
            </w:r>
          </w:p>
        </w:tc>
        <w:tc>
          <w:tcPr>
            <w:tcW w:w="569" w:type="pct"/>
            <w:gridSpan w:val="3"/>
            <w:tcBorders>
              <w:top w:val="single" w:sz="4" w:space="0" w:color="auto"/>
              <w:bottom w:val="nil"/>
            </w:tcBorders>
          </w:tcPr>
          <w:p w14:paraId="46B54F9C" w14:textId="44530D0F" w:rsidR="00141BB9" w:rsidRPr="004A117A" w:rsidRDefault="004C5D1E" w:rsidP="0096390F">
            <w:pPr>
              <w:pStyle w:val="Table"/>
              <w:rPr>
                <w:noProof/>
                <w:szCs w:val="22"/>
              </w:rPr>
            </w:pPr>
            <w:r w:rsidRPr="004A117A">
              <w:rPr>
                <w:noProof/>
                <w:szCs w:val="22"/>
              </w:rPr>
              <w:t>0.05</w:t>
            </w:r>
          </w:p>
        </w:tc>
        <w:tc>
          <w:tcPr>
            <w:tcW w:w="569" w:type="pct"/>
            <w:gridSpan w:val="3"/>
            <w:tcBorders>
              <w:top w:val="single" w:sz="4" w:space="0" w:color="auto"/>
              <w:bottom w:val="nil"/>
            </w:tcBorders>
          </w:tcPr>
          <w:p w14:paraId="34BBF155" w14:textId="510C775F" w:rsidR="00141BB9" w:rsidRPr="004A117A" w:rsidRDefault="004C5D1E" w:rsidP="0096390F">
            <w:pPr>
              <w:pStyle w:val="Table"/>
              <w:rPr>
                <w:noProof/>
                <w:szCs w:val="22"/>
              </w:rPr>
            </w:pPr>
            <w:r w:rsidRPr="004A117A">
              <w:rPr>
                <w:noProof/>
                <w:szCs w:val="22"/>
              </w:rPr>
              <w:t>0.03</w:t>
            </w:r>
          </w:p>
        </w:tc>
        <w:tc>
          <w:tcPr>
            <w:tcW w:w="569" w:type="pct"/>
            <w:gridSpan w:val="2"/>
            <w:tcBorders>
              <w:top w:val="single" w:sz="4" w:space="0" w:color="auto"/>
              <w:bottom w:val="nil"/>
            </w:tcBorders>
          </w:tcPr>
          <w:p w14:paraId="292625AB" w14:textId="664C4B0E" w:rsidR="00141BB9" w:rsidRPr="004A117A" w:rsidRDefault="004C5D1E" w:rsidP="0096390F">
            <w:pPr>
              <w:pStyle w:val="Table"/>
              <w:rPr>
                <w:noProof/>
                <w:szCs w:val="22"/>
              </w:rPr>
            </w:pPr>
            <w:r w:rsidRPr="004A117A">
              <w:rPr>
                <w:noProof/>
                <w:szCs w:val="22"/>
              </w:rPr>
              <w:t>0.03</w:t>
            </w:r>
          </w:p>
        </w:tc>
        <w:tc>
          <w:tcPr>
            <w:tcW w:w="570" w:type="pct"/>
            <w:tcBorders>
              <w:top w:val="single" w:sz="4" w:space="0" w:color="auto"/>
              <w:bottom w:val="nil"/>
            </w:tcBorders>
          </w:tcPr>
          <w:p w14:paraId="32B70288" w14:textId="4EE707D0" w:rsidR="00141BB9" w:rsidRPr="004A117A" w:rsidRDefault="004C5D1E" w:rsidP="0096390F">
            <w:pPr>
              <w:pStyle w:val="Table"/>
              <w:rPr>
                <w:noProof/>
                <w:szCs w:val="22"/>
              </w:rPr>
            </w:pPr>
            <w:r w:rsidRPr="004A117A">
              <w:rPr>
                <w:noProof/>
                <w:szCs w:val="22"/>
              </w:rPr>
              <w:t>0.02</w:t>
            </w:r>
          </w:p>
        </w:tc>
      </w:tr>
      <w:tr w:rsidR="00141BB9" w:rsidRPr="00972C81" w14:paraId="4BB74B08" w14:textId="77777777" w:rsidTr="0096390F">
        <w:trPr>
          <w:trHeight w:val="340"/>
          <w:jc w:val="center"/>
        </w:trPr>
        <w:tc>
          <w:tcPr>
            <w:tcW w:w="1492" w:type="pct"/>
            <w:gridSpan w:val="2"/>
            <w:tcBorders>
              <w:top w:val="nil"/>
              <w:bottom w:val="single" w:sz="4" w:space="0" w:color="auto"/>
            </w:tcBorders>
          </w:tcPr>
          <w:p w14:paraId="75085FC8" w14:textId="7D5CA264" w:rsidR="00141BB9" w:rsidRPr="004A117A" w:rsidRDefault="004C5D1E" w:rsidP="0096390F">
            <w:pPr>
              <w:pStyle w:val="Table"/>
              <w:rPr>
                <w:noProof/>
                <w:szCs w:val="22"/>
              </w:rPr>
            </w:pPr>
            <w:r w:rsidRPr="004A117A">
              <w:rPr>
                <w:noProof/>
                <w:szCs w:val="22"/>
              </w:rPr>
              <w:t>Relatively insoluble forms (as assigned to</w:t>
            </w:r>
            <w:r w:rsidR="00517F8E" w:rsidRPr="004A117A">
              <w:rPr>
                <w:noProof/>
                <w:szCs w:val="22"/>
              </w:rPr>
              <w:t xml:space="preserve"> </w:t>
            </w:r>
            <w:r w:rsidRPr="004A117A">
              <w:rPr>
                <w:noProof/>
                <w:szCs w:val="22"/>
              </w:rPr>
              <w:t>Types M and S for inhalation)</w:t>
            </w:r>
          </w:p>
        </w:tc>
        <w:tc>
          <w:tcPr>
            <w:tcW w:w="662" w:type="pct"/>
            <w:tcBorders>
              <w:top w:val="nil"/>
            </w:tcBorders>
          </w:tcPr>
          <w:p w14:paraId="2ABB2F52" w14:textId="124C74F3" w:rsidR="00141BB9" w:rsidRPr="004A117A" w:rsidRDefault="004C5D1E" w:rsidP="0096390F">
            <w:pPr>
              <w:pStyle w:val="Table"/>
              <w:rPr>
                <w:noProof/>
                <w:szCs w:val="22"/>
              </w:rPr>
            </w:pPr>
            <w:r w:rsidRPr="004A117A">
              <w:rPr>
                <w:noProof/>
                <w:szCs w:val="22"/>
              </w:rPr>
              <w:t>0.01</w:t>
            </w:r>
          </w:p>
        </w:tc>
        <w:tc>
          <w:tcPr>
            <w:tcW w:w="569" w:type="pct"/>
            <w:gridSpan w:val="2"/>
            <w:tcBorders>
              <w:top w:val="nil"/>
            </w:tcBorders>
          </w:tcPr>
          <w:p w14:paraId="6A132DDC" w14:textId="262C7335" w:rsidR="00141BB9" w:rsidRPr="004A117A" w:rsidRDefault="004C5D1E" w:rsidP="0096390F">
            <w:pPr>
              <w:pStyle w:val="Table"/>
              <w:rPr>
                <w:noProof/>
                <w:szCs w:val="22"/>
              </w:rPr>
            </w:pPr>
            <w:r w:rsidRPr="004A117A">
              <w:rPr>
                <w:noProof/>
                <w:szCs w:val="22"/>
              </w:rPr>
              <w:t>0.005</w:t>
            </w:r>
          </w:p>
        </w:tc>
        <w:tc>
          <w:tcPr>
            <w:tcW w:w="569" w:type="pct"/>
            <w:gridSpan w:val="3"/>
            <w:tcBorders>
              <w:top w:val="nil"/>
            </w:tcBorders>
          </w:tcPr>
          <w:p w14:paraId="7CD33F4A" w14:textId="3C626794" w:rsidR="00141BB9" w:rsidRPr="004A117A" w:rsidRDefault="004C5D1E" w:rsidP="0096390F">
            <w:pPr>
              <w:pStyle w:val="Table"/>
              <w:rPr>
                <w:noProof/>
                <w:szCs w:val="22"/>
              </w:rPr>
            </w:pPr>
            <w:r w:rsidRPr="004A117A">
              <w:rPr>
                <w:noProof/>
                <w:szCs w:val="22"/>
              </w:rPr>
              <w:t>0.005</w:t>
            </w:r>
          </w:p>
        </w:tc>
        <w:tc>
          <w:tcPr>
            <w:tcW w:w="569" w:type="pct"/>
            <w:gridSpan w:val="3"/>
            <w:tcBorders>
              <w:top w:val="nil"/>
            </w:tcBorders>
          </w:tcPr>
          <w:p w14:paraId="4F2FE913" w14:textId="2E84EC1A" w:rsidR="00141BB9" w:rsidRPr="004A117A" w:rsidRDefault="004C5D1E" w:rsidP="0096390F">
            <w:pPr>
              <w:pStyle w:val="Table"/>
              <w:rPr>
                <w:noProof/>
                <w:szCs w:val="22"/>
              </w:rPr>
            </w:pPr>
            <w:r w:rsidRPr="004A117A">
              <w:rPr>
                <w:noProof/>
                <w:szCs w:val="22"/>
              </w:rPr>
              <w:t>0.003</w:t>
            </w:r>
          </w:p>
        </w:tc>
        <w:tc>
          <w:tcPr>
            <w:tcW w:w="569" w:type="pct"/>
            <w:gridSpan w:val="2"/>
            <w:tcBorders>
              <w:top w:val="nil"/>
            </w:tcBorders>
          </w:tcPr>
          <w:p w14:paraId="7C0D6D05" w14:textId="4D16B42C" w:rsidR="00141BB9" w:rsidRPr="004A117A" w:rsidRDefault="004C5D1E" w:rsidP="0096390F">
            <w:pPr>
              <w:pStyle w:val="Table"/>
              <w:rPr>
                <w:noProof/>
                <w:szCs w:val="22"/>
              </w:rPr>
            </w:pPr>
            <w:r w:rsidRPr="004A117A">
              <w:rPr>
                <w:noProof/>
                <w:szCs w:val="22"/>
              </w:rPr>
              <w:t>0.003</w:t>
            </w:r>
          </w:p>
        </w:tc>
        <w:tc>
          <w:tcPr>
            <w:tcW w:w="570" w:type="pct"/>
            <w:tcBorders>
              <w:top w:val="nil"/>
            </w:tcBorders>
          </w:tcPr>
          <w:p w14:paraId="5D4F7138" w14:textId="0D048411" w:rsidR="00141BB9" w:rsidRPr="004A117A" w:rsidRDefault="004C5D1E" w:rsidP="0096390F">
            <w:pPr>
              <w:pStyle w:val="Table"/>
              <w:rPr>
                <w:noProof/>
                <w:szCs w:val="22"/>
              </w:rPr>
            </w:pPr>
            <w:r w:rsidRPr="004A117A">
              <w:rPr>
                <w:noProof/>
                <w:szCs w:val="22"/>
              </w:rPr>
              <w:t>0.002</w:t>
            </w:r>
          </w:p>
        </w:tc>
      </w:tr>
    </w:tbl>
    <w:p w14:paraId="2E43B324" w14:textId="77777777" w:rsidR="00F322AB" w:rsidRPr="00972C81" w:rsidRDefault="00F322AB" w:rsidP="00E81109">
      <w:pPr>
        <w:pStyle w:val="Note"/>
        <w:rPr>
          <w:noProof/>
        </w:rPr>
      </w:pPr>
      <w:r w:rsidRPr="00972C81">
        <w:rPr>
          <w:noProof/>
          <w:vertAlign w:val="superscript"/>
        </w:rPr>
        <w:t>*</w:t>
      </w:r>
      <w:r w:rsidRPr="00972C81">
        <w:rPr>
          <w:noProof/>
        </w:rPr>
        <w:t xml:space="preserve">It is assumed that the bound state can be neglected for uranium, i.e. </w:t>
      </w:r>
      <w:r w:rsidRPr="00972C81">
        <w:rPr>
          <w:i/>
          <w:noProof/>
        </w:rPr>
        <w:t>f</w:t>
      </w:r>
      <w:r w:rsidRPr="00972C81">
        <w:rPr>
          <w:noProof/>
          <w:vertAlign w:val="subscript"/>
        </w:rPr>
        <w:t>b</w:t>
      </w:r>
      <w:r w:rsidRPr="00972C81">
        <w:rPr>
          <w:noProof/>
        </w:rPr>
        <w:t xml:space="preserve">=0.0. The value of </w:t>
      </w:r>
      <w:r w:rsidRPr="00972C81">
        <w:rPr>
          <w:i/>
          <w:noProof/>
        </w:rPr>
        <w:t>s</w:t>
      </w:r>
      <w:r w:rsidRPr="00972C81">
        <w:rPr>
          <w:noProof/>
          <w:vertAlign w:val="subscript"/>
        </w:rPr>
        <w:t>r</w:t>
      </w:r>
      <w:r w:rsidRPr="00972C81">
        <w:rPr>
          <w:noProof/>
        </w:rPr>
        <w:t xml:space="preserve"> for Type F forms of uranium (10 d</w:t>
      </w:r>
      <w:r w:rsidRPr="00972C81">
        <w:rPr>
          <w:noProof/>
          <w:vertAlign w:val="superscript"/>
        </w:rPr>
        <w:t>–1</w:t>
      </w:r>
      <w:r w:rsidRPr="00972C81">
        <w:rPr>
          <w:noProof/>
        </w:rPr>
        <w:t>) is element-specific. The values for Types M and S (3 d</w:t>
      </w:r>
      <w:r w:rsidRPr="00972C81">
        <w:rPr>
          <w:noProof/>
          <w:vertAlign w:val="superscript"/>
        </w:rPr>
        <w:t>–1</w:t>
      </w:r>
      <w:r w:rsidRPr="00972C81">
        <w:rPr>
          <w:noProof/>
        </w:rPr>
        <w:t>) are the general default values.</w:t>
      </w:r>
    </w:p>
    <w:p w14:paraId="763C2D6A" w14:textId="65CEDA20" w:rsidR="00F322AB" w:rsidRPr="00972C81" w:rsidRDefault="00F322AB" w:rsidP="00E81109">
      <w:pPr>
        <w:pStyle w:val="Note"/>
        <w:rPr>
          <w:noProof/>
        </w:rPr>
      </w:pPr>
      <w:r w:rsidRPr="00972C81">
        <w:rPr>
          <w:noProof/>
          <w:vertAlign w:val="superscript"/>
        </w:rPr>
        <w:lastRenderedPageBreak/>
        <w:t>†</w:t>
      </w:r>
      <w:r w:rsidR="00B67EDC" w:rsidRPr="00972C81">
        <w:rPr>
          <w:noProof/>
        </w:rPr>
        <w:t xml:space="preserve">See Section 15 of </w:t>
      </w:r>
      <w:r w:rsidR="00B67EDC" w:rsidRPr="00972C81">
        <w:rPr>
          <w:i/>
          <w:noProof/>
        </w:rPr>
        <w:t>Publication 137</w:t>
      </w:r>
      <w:r w:rsidR="00B67EDC" w:rsidRPr="00972C81">
        <w:rPr>
          <w:noProof/>
        </w:rPr>
        <w:t xml:space="preserve"> </w:t>
      </w:r>
      <w:r w:rsidR="00517F8E" w:rsidRPr="00972C81">
        <w:rPr>
          <w:noProof/>
        </w:rPr>
        <w:fldChar w:fldCharType="begin"/>
      </w:r>
      <w:r w:rsidR="00517F8E" w:rsidRPr="00972C81">
        <w:rPr>
          <w:noProof/>
        </w:rPr>
        <w:instrText xml:space="preserve"> ADDIN ZOTERO_ITEM CSL_CITATION {"citationID":"AY53gM3z","properties":{"formattedCitation":"(ICRP, 2017)","plainCitation":"(ICRP, 2017)","noteIndex":0},"citationItems":[{"id":2566,"uris":["http://zotero.org/groups/2470620/items/BYB77JGB"],"itemData":{"id":2566,"type":"article-journal","container-title":"Annals of the ICRP","issue":"3/4","journalAbbreviation":"Ann. ICRP","language":"en","title":"Occupational intakes of radionuclides: Part 3. ICRP Publication 137","volume":"46","author":[{"literal":"ICRP"}],"issued":{"date-parts":[["2017"]]}}}],"schema":"https://github.com/citation-style-language/schema/raw/master/csl-citation.json"} </w:instrText>
      </w:r>
      <w:r w:rsidR="00517F8E" w:rsidRPr="00972C81">
        <w:rPr>
          <w:noProof/>
        </w:rPr>
        <w:fldChar w:fldCharType="separate"/>
      </w:r>
      <w:r w:rsidR="00BC59C6" w:rsidRPr="00972C81">
        <w:rPr>
          <w:noProof/>
        </w:rPr>
        <w:t>(ICRP, 2017)</w:t>
      </w:r>
      <w:r w:rsidR="00517F8E" w:rsidRPr="00972C81">
        <w:rPr>
          <w:noProof/>
        </w:rPr>
        <w:fldChar w:fldCharType="end"/>
      </w:r>
      <w:r w:rsidR="00B67EDC" w:rsidRPr="00972C81">
        <w:rPr>
          <w:noProof/>
        </w:rPr>
        <w:t xml:space="preserve"> for summary of information on which parameter values are based, and on ranges of parameter values observed for individual materials. For uranium specific parameter values are used for dissolution in the lungs, and in most cases, where information is available, for absorption from the alimentary tract. However, for ammonium diuranate, the default value of </w:t>
      </w:r>
      <w:r w:rsidR="00B67EDC" w:rsidRPr="00972C81">
        <w:rPr>
          <w:i/>
          <w:noProof/>
        </w:rPr>
        <w:t>f</w:t>
      </w:r>
      <w:r w:rsidR="00B67EDC" w:rsidRPr="00972C81">
        <w:rPr>
          <w:noProof/>
          <w:vertAlign w:val="subscript"/>
        </w:rPr>
        <w:t>A</w:t>
      </w:r>
      <w:r w:rsidR="00B67EDC" w:rsidRPr="00972C81">
        <w:rPr>
          <w:noProof/>
        </w:rPr>
        <w:t xml:space="preserve"> is used</w:t>
      </w:r>
      <w:r w:rsidRPr="00972C81">
        <w:rPr>
          <w:noProof/>
        </w:rPr>
        <w:t xml:space="preserve"> (Footnote §).</w:t>
      </w:r>
    </w:p>
    <w:p w14:paraId="7DA72454" w14:textId="45CAC865" w:rsidR="00F322AB" w:rsidRPr="00972C81" w:rsidRDefault="00F322AB" w:rsidP="00517F8E">
      <w:pPr>
        <w:pStyle w:val="Note"/>
        <w:rPr>
          <w:noProof/>
        </w:rPr>
      </w:pPr>
      <w:r w:rsidRPr="00972C81">
        <w:rPr>
          <w:noProof/>
          <w:vertAlign w:val="superscript"/>
        </w:rPr>
        <w:t>ǂ</w:t>
      </w:r>
      <w:r w:rsidR="00141BB9" w:rsidRPr="00972C81">
        <w:rPr>
          <w:noProof/>
        </w:rPr>
        <w:t xml:space="preserve"> Section 15 of </w:t>
      </w:r>
      <w:r w:rsidR="00141BB9" w:rsidRPr="00972C81">
        <w:rPr>
          <w:i/>
          <w:noProof/>
        </w:rPr>
        <w:t>Publication</w:t>
      </w:r>
      <w:r w:rsidR="00141BB9" w:rsidRPr="00972C81">
        <w:rPr>
          <w:noProof/>
        </w:rPr>
        <w:t xml:space="preserve"> 137 </w:t>
      </w:r>
      <w:r w:rsidR="00517F8E" w:rsidRPr="00972C81">
        <w:rPr>
          <w:noProof/>
        </w:rPr>
        <w:fldChar w:fldCharType="begin"/>
      </w:r>
      <w:r w:rsidR="00517F8E" w:rsidRPr="00972C81">
        <w:rPr>
          <w:noProof/>
        </w:rPr>
        <w:instrText xml:space="preserve"> ADDIN ZOTERO_ITEM CSL_CITATION {"citationID":"gOHbLp2e","properties":{"formattedCitation":"(ICRP, 2017)","plainCitation":"(ICRP, 2017)","noteIndex":0},"citationItems":[{"id":2566,"uris":["http://zotero.org/groups/2470620/items/BYB77JGB"],"itemData":{"id":2566,"type":"article-journal","container-title":"Annals of the ICRP","issue":"3/4","journalAbbreviation":"Ann. ICRP","language":"en","title":"Occupational intakes of radionuclides: Part 3. ICRP Publication 137","volume":"46","author":[{"literal":"ICRP"}],"issued":{"date-parts":[["2017"]]}}}],"schema":"https://github.com/citation-style-language/schema/raw/master/csl-citation.json"} </w:instrText>
      </w:r>
      <w:r w:rsidR="00517F8E" w:rsidRPr="00972C81">
        <w:rPr>
          <w:noProof/>
        </w:rPr>
        <w:fldChar w:fldCharType="separate"/>
      </w:r>
      <w:r w:rsidR="00BC59C6" w:rsidRPr="00972C81">
        <w:rPr>
          <w:noProof/>
        </w:rPr>
        <w:t>(ICRP, 2017)</w:t>
      </w:r>
      <w:r w:rsidR="00517F8E" w:rsidRPr="00972C81">
        <w:rPr>
          <w:noProof/>
        </w:rPr>
        <w:fldChar w:fldCharType="end"/>
      </w:r>
      <w:r w:rsidRPr="00972C81">
        <w:rPr>
          <w:noProof/>
        </w:rPr>
        <w:t xml:space="preserve">: </w:t>
      </w:r>
      <w:r w:rsidRPr="00972C81">
        <w:rPr>
          <w:i/>
          <w:noProof/>
        </w:rPr>
        <w:t>s</w:t>
      </w:r>
      <w:r w:rsidRPr="00972C81">
        <w:rPr>
          <w:noProof/>
          <w:vertAlign w:val="subscript"/>
        </w:rPr>
        <w:t>p</w:t>
      </w:r>
      <w:r w:rsidRPr="00972C81">
        <w:rPr>
          <w:noProof/>
        </w:rPr>
        <w:t>=1</w:t>
      </w:r>
      <w:r w:rsidR="007E0EBA" w:rsidRPr="004A117A">
        <w:rPr>
          <w:noProof/>
          <w:sz w:val="22"/>
          <w:szCs w:val="22"/>
        </w:rPr>
        <w:t>×</w:t>
      </w:r>
      <w:r w:rsidRPr="00972C81">
        <w:rPr>
          <w:noProof/>
        </w:rPr>
        <w:t>10</w:t>
      </w:r>
      <w:r w:rsidRPr="00972C81">
        <w:rPr>
          <w:noProof/>
          <w:vertAlign w:val="superscript"/>
        </w:rPr>
        <w:t xml:space="preserve">-4 </w:t>
      </w:r>
      <w:r w:rsidRPr="00972C81">
        <w:rPr>
          <w:noProof/>
        </w:rPr>
        <w:t>d</w:t>
      </w:r>
      <w:r w:rsidRPr="00972C81">
        <w:rPr>
          <w:noProof/>
          <w:vertAlign w:val="superscript"/>
        </w:rPr>
        <w:t>–1</w:t>
      </w:r>
      <w:r w:rsidRPr="00972C81">
        <w:rPr>
          <w:noProof/>
        </w:rPr>
        <w:t xml:space="preserve">, </w:t>
      </w:r>
      <w:r w:rsidRPr="00972C81">
        <w:rPr>
          <w:i/>
          <w:noProof/>
        </w:rPr>
        <w:t>s</w:t>
      </w:r>
      <w:r w:rsidRPr="00972C81">
        <w:rPr>
          <w:noProof/>
          <w:vertAlign w:val="subscript"/>
        </w:rPr>
        <w:t>pt</w:t>
      </w:r>
      <w:r w:rsidRPr="00972C81">
        <w:rPr>
          <w:noProof/>
        </w:rPr>
        <w:t>=0.004</w:t>
      </w:r>
      <w:r w:rsidRPr="00972C81">
        <w:rPr>
          <w:noProof/>
          <w:vertAlign w:val="superscript"/>
        </w:rPr>
        <w:t xml:space="preserve"> </w:t>
      </w:r>
      <w:r w:rsidRPr="00972C81">
        <w:rPr>
          <w:noProof/>
        </w:rPr>
        <w:t>d</w:t>
      </w:r>
      <w:r w:rsidRPr="00972C81">
        <w:rPr>
          <w:noProof/>
          <w:vertAlign w:val="superscript"/>
        </w:rPr>
        <w:t>–1</w:t>
      </w:r>
      <w:r w:rsidRPr="00972C81">
        <w:rPr>
          <w:noProof/>
        </w:rPr>
        <w:t xml:space="preserve">, </w:t>
      </w:r>
      <w:r w:rsidRPr="00972C81">
        <w:rPr>
          <w:i/>
          <w:noProof/>
        </w:rPr>
        <w:t>s</w:t>
      </w:r>
      <w:r w:rsidRPr="00972C81">
        <w:rPr>
          <w:noProof/>
          <w:vertAlign w:val="subscript"/>
        </w:rPr>
        <w:t>t</w:t>
      </w:r>
      <w:r w:rsidRPr="00972C81">
        <w:rPr>
          <w:noProof/>
        </w:rPr>
        <w:t>=0.004</w:t>
      </w:r>
      <w:r w:rsidRPr="00972C81">
        <w:rPr>
          <w:noProof/>
          <w:vertAlign w:val="superscript"/>
        </w:rPr>
        <w:t xml:space="preserve"> </w:t>
      </w:r>
      <w:r w:rsidRPr="00972C81">
        <w:rPr>
          <w:noProof/>
        </w:rPr>
        <w:t>d</w:t>
      </w:r>
      <w:r w:rsidRPr="00972C81">
        <w:rPr>
          <w:noProof/>
          <w:vertAlign w:val="superscript"/>
        </w:rPr>
        <w:t>–1</w:t>
      </w:r>
      <w:r w:rsidRPr="00972C81">
        <w:rPr>
          <w:noProof/>
        </w:rPr>
        <w:t xml:space="preserve">, with </w:t>
      </w:r>
      <w:r w:rsidRPr="00972C81">
        <w:rPr>
          <w:i/>
          <w:noProof/>
        </w:rPr>
        <w:t>f</w:t>
      </w:r>
      <w:r w:rsidRPr="00972C81">
        <w:rPr>
          <w:noProof/>
          <w:vertAlign w:val="subscript"/>
        </w:rPr>
        <w:t>A</w:t>
      </w:r>
      <w:r w:rsidRPr="00972C81">
        <w:rPr>
          <w:noProof/>
        </w:rPr>
        <w:t xml:space="preserve"> taken to be 0.002.</w:t>
      </w:r>
    </w:p>
    <w:p w14:paraId="1029AF38" w14:textId="0B2661E2" w:rsidR="00F322AB" w:rsidRPr="00972C81" w:rsidRDefault="00F322AB" w:rsidP="00E81109">
      <w:pPr>
        <w:pStyle w:val="Note"/>
        <w:rPr>
          <w:noProof/>
        </w:rPr>
      </w:pPr>
      <w:r w:rsidRPr="00972C81">
        <w:rPr>
          <w:noProof/>
          <w:vertAlign w:val="superscript"/>
        </w:rPr>
        <w:t>§</w:t>
      </w:r>
      <w:r w:rsidRPr="00972C81">
        <w:rPr>
          <w:noProof/>
        </w:rPr>
        <w:t xml:space="preserve">For inhaled material deposited in the respiratory tract and subsequently cleared by particle transport to the alimentary tract, the default </w:t>
      </w:r>
      <w:r w:rsidRPr="00972C81">
        <w:rPr>
          <w:i/>
          <w:noProof/>
        </w:rPr>
        <w:t>f</w:t>
      </w:r>
      <w:r w:rsidRPr="00972C81">
        <w:rPr>
          <w:noProof/>
          <w:vertAlign w:val="subscript"/>
        </w:rPr>
        <w:t>A</w:t>
      </w:r>
      <w:r w:rsidRPr="00972C81">
        <w:rPr>
          <w:noProof/>
        </w:rPr>
        <w:t xml:space="preserve"> values for inhaled materials are applied; i.e. the (rounded) product of </w:t>
      </w:r>
      <w:r w:rsidRPr="00972C81">
        <w:rPr>
          <w:i/>
          <w:noProof/>
        </w:rPr>
        <w:t>f</w:t>
      </w:r>
      <w:r w:rsidRPr="00972C81">
        <w:rPr>
          <w:noProof/>
          <w:vertAlign w:val="subscript"/>
        </w:rPr>
        <w:t>r</w:t>
      </w:r>
      <w:r w:rsidRPr="00972C81">
        <w:rPr>
          <w:noProof/>
        </w:rPr>
        <w:t xml:space="preserve"> for the absorption type (or specific value where given) and the </w:t>
      </w:r>
      <w:r w:rsidRPr="00972C81">
        <w:rPr>
          <w:i/>
          <w:noProof/>
        </w:rPr>
        <w:t>f</w:t>
      </w:r>
      <w:r w:rsidRPr="00972C81">
        <w:rPr>
          <w:noProof/>
          <w:vertAlign w:val="subscript"/>
        </w:rPr>
        <w:t>A</w:t>
      </w:r>
      <w:r w:rsidRPr="00972C81">
        <w:rPr>
          <w:noProof/>
        </w:rPr>
        <w:t xml:space="preserve"> value for ingested soluble forms of uranium</w:t>
      </w:r>
      <w:r w:rsidR="009C40E6" w:rsidRPr="00972C81">
        <w:rPr>
          <w:noProof/>
        </w:rPr>
        <w:t xml:space="preserve"> applicable to the age-group of interest (</w:t>
      </w:r>
      <w:r w:rsidR="009C40E6" w:rsidRPr="00972C81">
        <w:rPr>
          <w:i/>
          <w:iCs/>
          <w:noProof/>
        </w:rPr>
        <w:t xml:space="preserve">e.g. </w:t>
      </w:r>
      <w:r w:rsidRPr="00972C81">
        <w:rPr>
          <w:noProof/>
        </w:rPr>
        <w:t>0.02</w:t>
      </w:r>
      <w:r w:rsidR="009C40E6" w:rsidRPr="00972C81">
        <w:rPr>
          <w:noProof/>
        </w:rPr>
        <w:t xml:space="preserve"> for adults</w:t>
      </w:r>
      <w:r w:rsidRPr="00972C81">
        <w:rPr>
          <w:noProof/>
        </w:rPr>
        <w:t>).</w:t>
      </w:r>
    </w:p>
    <w:p w14:paraId="2A339ED5" w14:textId="77777777" w:rsidR="00F322AB" w:rsidRPr="00972C81" w:rsidRDefault="00F322AB" w:rsidP="00E81109">
      <w:pPr>
        <w:pStyle w:val="Note"/>
        <w:rPr>
          <w:noProof/>
        </w:rPr>
      </w:pPr>
      <w:r w:rsidRPr="00972C81">
        <w:rPr>
          <w:noProof/>
          <w:vertAlign w:val="superscript"/>
        </w:rPr>
        <w:t>¶</w:t>
      </w:r>
      <w:r w:rsidRPr="00972C81">
        <w:rPr>
          <w:noProof/>
        </w:rPr>
        <w:t>Materials (e.g. UF</w:t>
      </w:r>
      <w:r w:rsidRPr="00972C81">
        <w:rPr>
          <w:noProof/>
          <w:vertAlign w:val="subscript"/>
        </w:rPr>
        <w:t>6</w:t>
      </w:r>
      <w:r w:rsidRPr="00972C81">
        <w:rPr>
          <w:noProof/>
        </w:rPr>
        <w:t xml:space="preserve">) are listed here where there is sufficient information to assign to a default absorption type, but not to give specific parameter values (see text). </w:t>
      </w:r>
    </w:p>
    <w:p w14:paraId="196120A8" w14:textId="77777777" w:rsidR="00F322AB" w:rsidRPr="00972C81" w:rsidRDefault="00F322AB" w:rsidP="00E81109">
      <w:pPr>
        <w:pStyle w:val="Note"/>
        <w:rPr>
          <w:noProof/>
          <w:sz w:val="20"/>
        </w:rPr>
      </w:pPr>
      <w:r w:rsidRPr="00972C81">
        <w:rPr>
          <w:noProof/>
          <w:sz w:val="20"/>
          <w:vertAlign w:val="superscript"/>
        </w:rPr>
        <w:t>**</w:t>
      </w:r>
      <w:r w:rsidRPr="00972C81">
        <w:rPr>
          <w:noProof/>
          <w:sz w:val="20"/>
        </w:rPr>
        <w:t>Default Type M is recommended for use in the absence of specific information on which the exposure material can be assigned to an absorption type; for example,</w:t>
      </w:r>
      <w:r w:rsidRPr="00972C81">
        <w:rPr>
          <w:i/>
          <w:noProof/>
          <w:sz w:val="20"/>
        </w:rPr>
        <w:t xml:space="preserve"> </w:t>
      </w:r>
      <w:r w:rsidRPr="00972C81">
        <w:rPr>
          <w:noProof/>
          <w:sz w:val="20"/>
        </w:rPr>
        <w:t>if the form is unknown, or if the form is known but there is no information available on the absorption of that form from the respiratory tract.</w:t>
      </w:r>
    </w:p>
    <w:p w14:paraId="3E2E8740" w14:textId="69BCACA8" w:rsidR="00F322AB" w:rsidRPr="00972C81" w:rsidRDefault="00F322AB" w:rsidP="00E81109">
      <w:pPr>
        <w:pStyle w:val="Note"/>
        <w:rPr>
          <w:noProof/>
        </w:rPr>
      </w:pPr>
      <w:r w:rsidRPr="00972C81">
        <w:rPr>
          <w:noProof/>
          <w:vertAlign w:val="superscript"/>
        </w:rPr>
        <w:t>††</w:t>
      </w:r>
      <w:r w:rsidRPr="00972C81">
        <w:rPr>
          <w:noProof/>
        </w:rPr>
        <w:t xml:space="preserve">Activity transferred from systemic compartments into segments of the alimentary tract is assumed to be subject to re-absorption to blood. The default absorption fraction </w:t>
      </w:r>
      <w:r w:rsidRPr="00972C81">
        <w:rPr>
          <w:i/>
          <w:noProof/>
        </w:rPr>
        <w:t>f</w:t>
      </w:r>
      <w:r w:rsidRPr="00972C81">
        <w:rPr>
          <w:noProof/>
          <w:vertAlign w:val="subscript"/>
        </w:rPr>
        <w:t>A</w:t>
      </w:r>
      <w:r w:rsidRPr="00972C81">
        <w:rPr>
          <w:noProof/>
        </w:rPr>
        <w:t xml:space="preserve"> for the secreted activity is the highest value for any form of the radionuclide </w:t>
      </w:r>
      <w:r w:rsidR="009C40E6" w:rsidRPr="00972C81">
        <w:rPr>
          <w:noProof/>
        </w:rPr>
        <w:t>applicable to the age-group of interest (</w:t>
      </w:r>
      <w:r w:rsidR="009C40E6" w:rsidRPr="00972C81">
        <w:rPr>
          <w:i/>
          <w:iCs/>
          <w:noProof/>
        </w:rPr>
        <w:t xml:space="preserve">e.g. </w:t>
      </w:r>
      <w:r w:rsidRPr="00972C81">
        <w:rPr>
          <w:noProof/>
        </w:rPr>
        <w:t>0.02</w:t>
      </w:r>
      <w:r w:rsidR="009C40E6" w:rsidRPr="00972C81">
        <w:rPr>
          <w:noProof/>
        </w:rPr>
        <w:t xml:space="preserve"> for adults</w:t>
      </w:r>
      <w:r w:rsidRPr="00972C81">
        <w:rPr>
          <w:noProof/>
        </w:rPr>
        <w:t xml:space="preserve">). </w:t>
      </w:r>
    </w:p>
    <w:p w14:paraId="3005328E" w14:textId="77777777" w:rsidR="00F92E8B" w:rsidRPr="00972C81" w:rsidRDefault="00F92E8B" w:rsidP="00E81109">
      <w:pPr>
        <w:pStyle w:val="3"/>
        <w:rPr>
          <w:noProof/>
        </w:rPr>
      </w:pPr>
      <w:bookmarkStart w:id="290" w:name="_Toc162630094"/>
      <w:r w:rsidRPr="00972C81">
        <w:rPr>
          <w:noProof/>
        </w:rPr>
        <w:t>Ingestion</w:t>
      </w:r>
      <w:bookmarkEnd w:id="290"/>
    </w:p>
    <w:p w14:paraId="52713D56" w14:textId="242C915E" w:rsidR="00E31A20" w:rsidRPr="00972C81" w:rsidRDefault="00E31A20" w:rsidP="001C4A92">
      <w:pPr>
        <w:pStyle w:val="Annalstext"/>
        <w:rPr>
          <w:noProof/>
        </w:rPr>
      </w:pPr>
      <w:r w:rsidRPr="00972C81">
        <w:rPr>
          <w:i/>
          <w:noProof/>
        </w:rPr>
        <w:t xml:space="preserve">Adults. </w:t>
      </w:r>
      <w:r w:rsidRPr="00972C81">
        <w:rPr>
          <w:noProof/>
        </w:rPr>
        <w:t>Information on the absorption of uranium i</w:t>
      </w:r>
      <w:r w:rsidR="00097D23" w:rsidRPr="00972C81">
        <w:rPr>
          <w:noProof/>
        </w:rPr>
        <w:t>s available from studies involv</w:t>
      </w:r>
      <w:r w:rsidRPr="00972C81">
        <w:rPr>
          <w:noProof/>
        </w:rPr>
        <w:t>ing direct measurements of absorption in human volunteers, dietary balance data for several different human groups, and measurements of</w:t>
      </w:r>
      <w:r w:rsidR="00097D23" w:rsidRPr="00972C81">
        <w:rPr>
          <w:noProof/>
        </w:rPr>
        <w:t xml:space="preserve"> absorption in a variety of lab</w:t>
      </w:r>
      <w:r w:rsidRPr="00972C81">
        <w:rPr>
          <w:noProof/>
        </w:rPr>
        <w:t xml:space="preserve">oratory animals. Data have been reviewed by Wrenn </w:t>
      </w:r>
      <w:r w:rsidRPr="00972C81">
        <w:rPr>
          <w:iCs/>
          <w:noProof/>
        </w:rPr>
        <w:t xml:space="preserve">et al. </w:t>
      </w:r>
      <w:r w:rsidR="00097D23" w:rsidRPr="00972C81">
        <w:rPr>
          <w:iCs/>
          <w:noProof/>
        </w:rPr>
        <w:fldChar w:fldCharType="begin"/>
      </w:r>
      <w:r w:rsidR="00097D23" w:rsidRPr="00972C81">
        <w:rPr>
          <w:iCs/>
          <w:noProof/>
        </w:rPr>
        <w:instrText xml:space="preserve"> ADDIN ZOTERO_ITEM CSL_CITATION {"citationID":"KwrFv8Uy","properties":{"formattedCitation":"(1985)","plainCitation":"(1985)","noteIndex":0},"citationItems":[{"id":4938,"uris":["http://zotero.org/groups/2470620/items/8F9Y2E6R"],"itemData":{"id":4938,"type":"article-journal","abstract":"The literature on metabolism of U and Ra for man relevant to deriving drinking water standards has been reviewed and summarized. Radium is well understood, but significant gaps remain in our knowledge about U metabolism. Limits should be based on an equilibrium model where a constant relationship between intake and organ burden is established, using the best and most likely metabolic parameters. For the skeleton we conclude that the best estimate of skeletal burden expressed in days equivalent intake are 25 days for 226Ra, 10 days for 228Ra, and 0.3 days for 224Ra. For long-lived isotopes of U, we chose 11 days, with a range between 1 and 35 days. The committee believes that intake of natural U in water should be limited by considerations of toxicity to the kidney, and we believe that the metabolic model of Spoor and Hursh with a modified gastrointestinal (GI) absorption (1.4%) should be used to infer kidney content. Our review and analysis of the world literature leads us to believe the average human GI absorption of U is most likely 1-2% and is probably reasonably independent of age or the mass of U ingested. Using a safety factor of 50-150, the committee recommends a limit of U in water of 100 micrograms/l in order to limit toxic effects in the kidney. One hundred micrograms/liter is equivalent to 67 pCi/l of long-lived alpha-emitting natural U isotopes. Further research into the distribution of U in the human body is desirable, especially at natural levels in kidney and skeleton, the time-dependent pharmacokinetics of U in animals, the GI absorption of U in man from water and food, toxicological and U distribution studies in animals under conditions of chronic oral U intake, and metabolic model error propagation.","container-title":"Health Physics","DOI":"10.1097/00004032-198505000-00004","ISSN":"0017-9078","issue":"5","journalAbbreviation":"Health Phys","language":"eng","note":"PMID: 3988524","page":"601-633","source":"PubMed","title":"Metabolism of ingested U and Ra","volume":"48","author":[{"family":"Wrenn","given":"M. E."},{"family":"Durbin","given":"P. W."},{"family":"Howard","given":"B."},{"family":"Lipsztein","given":"J."},{"family":"Rundo","given":"J."},{"family":"Still","given":"E. T."},{"family":"Willis","given":"D. L."}],"issued":{"date-parts":[["1985",5]]}},"label":"page","suppress-author":true}],"schema":"https://github.com/citation-style-language/schema/raw/master/csl-citation.json"} </w:instrText>
      </w:r>
      <w:r w:rsidR="00097D23" w:rsidRPr="00972C81">
        <w:rPr>
          <w:iCs/>
          <w:noProof/>
        </w:rPr>
        <w:fldChar w:fldCharType="separate"/>
      </w:r>
      <w:r w:rsidR="00BC59C6" w:rsidRPr="00972C81">
        <w:rPr>
          <w:noProof/>
        </w:rPr>
        <w:t>(1985)</w:t>
      </w:r>
      <w:r w:rsidR="00097D23" w:rsidRPr="00972C81">
        <w:rPr>
          <w:iCs/>
          <w:noProof/>
        </w:rPr>
        <w:fldChar w:fldCharType="end"/>
      </w:r>
      <w:r w:rsidRPr="00972C81">
        <w:rPr>
          <w:iCs/>
          <w:noProof/>
        </w:rPr>
        <w:t>,</w:t>
      </w:r>
      <w:r w:rsidRPr="00972C81">
        <w:rPr>
          <w:i/>
          <w:iCs/>
          <w:noProof/>
        </w:rPr>
        <w:t xml:space="preserve"> </w:t>
      </w:r>
      <w:r w:rsidRPr="00972C81">
        <w:rPr>
          <w:noProof/>
        </w:rPr>
        <w:t xml:space="preserve">Harrison </w:t>
      </w:r>
      <w:r w:rsidR="00097D23" w:rsidRPr="00972C81">
        <w:rPr>
          <w:noProof/>
        </w:rPr>
        <w:fldChar w:fldCharType="begin"/>
      </w:r>
      <w:r w:rsidR="00097D23" w:rsidRPr="00972C81">
        <w:rPr>
          <w:noProof/>
        </w:rPr>
        <w:instrText xml:space="preserve"> ADDIN ZOTERO_ITEM CSL_CITATION {"citationID":"VLfiWnw7","properties":{"formattedCitation":"(1991)","plainCitation":"(1991)","noteIndex":0},"citationItems":[{"id":4940,"uris":["http://zotero.org/groups/2470620/items/4HZA9KYZ"],"itemData":{"id":4940,"type":"article-journal","abstract":"The greatest uncertainty in dose estimates for the ingestion of long-lived, alpha-emitting isotopes of the actinide elements is in the values used for their fractional absorption from the gastrointestinal tract (f1 values). Recent years have seen a large increase in the available data on actinide absorption. Human data are reviewed here, together with animal data, to illustrate the effect on absorption of chemical form, incorporation into food materials, fasting and other dietary factors, and age at ingestion. The f1 values recommended by the International Commission on Radiological Protection, by an Expert Group of the Nuclear Energy Agency and by the National Radiological Protection Board are discussed.","container-title":"The Science of the Total Environment","DOI":"10.1016/0048-9697(91)90373-m","ISSN":"0048-9697","journalAbbreviation":"Sci Total Environ","language":"eng","note":"PMID: 1648260","page":"43-60","source":"PubMed","title":"The gastrointestinal absorption of the actinide elements","volume":"100 Spec No","author":[{"family":"Harrison","given":"J. D."}],"issued":{"date-parts":[["1991",3]]}},"label":"page","suppress-author":true}],"schema":"https://github.com/citation-style-language/schema/raw/master/csl-citation.json"} </w:instrText>
      </w:r>
      <w:r w:rsidR="00097D23" w:rsidRPr="00972C81">
        <w:rPr>
          <w:noProof/>
        </w:rPr>
        <w:fldChar w:fldCharType="separate"/>
      </w:r>
      <w:r w:rsidR="00BC59C6" w:rsidRPr="00972C81">
        <w:rPr>
          <w:noProof/>
        </w:rPr>
        <w:t>(1991)</w:t>
      </w:r>
      <w:r w:rsidR="00097D23" w:rsidRPr="00972C81">
        <w:rPr>
          <w:noProof/>
        </w:rPr>
        <w:fldChar w:fldCharType="end"/>
      </w:r>
      <w:r w:rsidRPr="00972C81">
        <w:rPr>
          <w:noProof/>
        </w:rPr>
        <w:t xml:space="preserve">, Leggett and Harrison </w:t>
      </w:r>
      <w:r w:rsidR="00097D23" w:rsidRPr="00972C81">
        <w:rPr>
          <w:noProof/>
        </w:rPr>
        <w:fldChar w:fldCharType="begin"/>
      </w:r>
      <w:r w:rsidR="00097D23" w:rsidRPr="00972C81">
        <w:rPr>
          <w:noProof/>
        </w:rPr>
        <w:instrText xml:space="preserve"> ADDIN ZOTERO_ITEM CSL_CITATION {"citationID":"B2Dug4wJ","properties":{"formattedCitation":"(1995)","plainCitation":"(1995)","noteIndex":0},"citationItems":[{"id":4942,"uris":["http://zotero.org/groups/2470620/items/5YIGCSNF"],"itemData":{"id":4942,"type":"article-journal","abstract":"This paper provides a review and reanalysis of data relating to gastrointestinal (GI) uptake of uranium in humans. Estimates of GI uptake of uranium in adult humans have been derived from results of three controlled experimental studies involving short-term oral intake of an elevated quantity of uranium in fluids, from a controlled balance study conducted in a metabolic research ward of a hospital, and from a variety of environmental studies in which urinary uranium could be related to total intake or total excretion of this element in the same population. For controlled studies, uptake values range from less than 0.1% to about 6% for individual subjects, with central values for different studies falling in the range 1-2.4%. Environmental studies yield central estimates in the range 0.3-3.2%. Expressed as a percentage of total intake of uranium in food and fluids, average GI uptake of uranium in adult humans appears to be about 1-1.5%. Limited intake and excretion data for environmentally exposed human subjects &gt; or = 5 y of age do not reveal important differences with age in uranium uptake, but more definitive information is needed for children. More information is also needed to determine whether fractional uptake of uranium increases with decreasing levels of intake and whether uptake from drinking water is substantially higher than uptake from food. Data for laboratory animals indicate that fractional uptake of uranium depends strongly on the chemical form ingested and the length of time since the last intake of food.","container-title":"Health Physics","DOI":"10.1097/00004032-199504000-00005","ISSN":"0017-9078","issue":"4","journalAbbreviation":"Health Phys","language":"eng","note":"PMID: 7883560","page":"484-498","source":"PubMed","title":"Fractional absorption of ingested uranium in humans","volume":"68","author":[{"family":"Leggett","given":"R. W."},{"family":"Harrison","given":"J. D."}],"issued":{"date-parts":[["1995",4]]}},"label":"page","suppress-author":true}],"schema":"https://github.com/citation-style-language/schema/raw/master/csl-citation.json"} </w:instrText>
      </w:r>
      <w:r w:rsidR="00097D23" w:rsidRPr="00972C81">
        <w:rPr>
          <w:noProof/>
        </w:rPr>
        <w:fldChar w:fldCharType="separate"/>
      </w:r>
      <w:r w:rsidR="00BC59C6" w:rsidRPr="00972C81">
        <w:rPr>
          <w:noProof/>
        </w:rPr>
        <w:t>(1995)</w:t>
      </w:r>
      <w:r w:rsidR="00097D23" w:rsidRPr="00972C81">
        <w:rPr>
          <w:noProof/>
        </w:rPr>
        <w:fldChar w:fldCharType="end"/>
      </w:r>
      <w:r w:rsidRPr="00972C81">
        <w:rPr>
          <w:noProof/>
        </w:rPr>
        <w:t xml:space="preserve">, Davesne and Blanchardon </w:t>
      </w:r>
      <w:r w:rsidR="00097D23" w:rsidRPr="00972C81">
        <w:rPr>
          <w:noProof/>
        </w:rPr>
        <w:fldChar w:fldCharType="begin"/>
      </w:r>
      <w:r w:rsidR="00097D23" w:rsidRPr="00972C81">
        <w:rPr>
          <w:noProof/>
        </w:rPr>
        <w:instrText xml:space="preserve"> ADDIN ZOTERO_ITEM CSL_CITATION {"citationID":"5KvNLn0V","properties":{"formattedCitation":"(2014)","plainCitation":"(2014)","noteIndex":0},"citationItems":[{"id":4944,"uris":["http://zotero.org/groups/2470620/items/H8F9RLKM"],"itemData":{"id":4944,"type":"article-journal","archive_location":"24467327","container-title":"International Journal of Radiation Biology","DOI":"10.3109/09553002.2014.886796","issue":"11","page":"975-988","title":"Physico-chemical characteristics of uranium compounds: A review","volume":"90","author":[{"family":"Davesne","given":"Estelle"},{"family":"Blanchardon","given":"Eric"}],"issued":{"date-parts":[["2014"]]}},"label":"page","suppress-author":true}],"schema":"https://github.com/citation-style-language/schema/raw/master/csl-citation.json"} </w:instrText>
      </w:r>
      <w:r w:rsidR="00097D23" w:rsidRPr="00972C81">
        <w:rPr>
          <w:noProof/>
        </w:rPr>
        <w:fldChar w:fldCharType="separate"/>
      </w:r>
      <w:r w:rsidR="00BC59C6" w:rsidRPr="00972C81">
        <w:rPr>
          <w:noProof/>
        </w:rPr>
        <w:t>(2014)</w:t>
      </w:r>
      <w:r w:rsidR="00097D23" w:rsidRPr="00972C81">
        <w:rPr>
          <w:noProof/>
        </w:rPr>
        <w:fldChar w:fldCharType="end"/>
      </w:r>
      <w:r w:rsidRPr="00972C81">
        <w:rPr>
          <w:noProof/>
        </w:rPr>
        <w:t xml:space="preserve">, and in </w:t>
      </w:r>
      <w:r w:rsidRPr="00972C81">
        <w:rPr>
          <w:i/>
          <w:noProof/>
        </w:rPr>
        <w:t>Publications 69</w:t>
      </w:r>
      <w:r w:rsidRPr="00972C81">
        <w:rPr>
          <w:noProof/>
        </w:rPr>
        <w:t xml:space="preserve">, </w:t>
      </w:r>
      <w:r w:rsidRPr="00972C81">
        <w:rPr>
          <w:i/>
          <w:noProof/>
        </w:rPr>
        <w:t>100</w:t>
      </w:r>
      <w:r w:rsidRPr="00972C81">
        <w:rPr>
          <w:noProof/>
        </w:rPr>
        <w:t xml:space="preserve"> and </w:t>
      </w:r>
      <w:r w:rsidR="00141BB9" w:rsidRPr="00972C81">
        <w:rPr>
          <w:i/>
          <w:noProof/>
        </w:rPr>
        <w:t>137</w:t>
      </w:r>
      <w:r w:rsidRPr="00972C81">
        <w:rPr>
          <w:noProof/>
        </w:rPr>
        <w:t xml:space="preserve"> </w:t>
      </w:r>
      <w:r w:rsidR="00097D23" w:rsidRPr="00972C81">
        <w:rPr>
          <w:noProof/>
        </w:rPr>
        <w:fldChar w:fldCharType="begin"/>
      </w:r>
      <w:r w:rsidR="00097D23" w:rsidRPr="00972C81">
        <w:rPr>
          <w:noProof/>
        </w:rPr>
        <w:instrText xml:space="preserve"> ADDIN ZOTERO_ITEM CSL_CITATION {"citationID":"1I1hxJ3C","properties":{"formattedCitation":"(ICRP, 1995a, 2006, 2017)","plainCitation":"(ICRP, 1995a, 2006, 2017)","noteIndex":0},"citationItems":[{"id":2560,"uris":["http://zotero.org/groups/2470620/items/2Z2UA63Y",["http://zotero.org/groups/2470620/items/2Z2UA63Y"]],"itemData":{"id":2560,"type":"article-journal","container-title":"Annals of the ICRP","issue":"1","language":"en","title":"Age-dependent Doses to Members of the Public from Intake of Radionuclides: Part 3. Ingestion Dose Coefficients, ICRP Publication 69.","volume":"25","author":[{"family":"ICRP","given":""}],"issued":{"date-parts":[["1995"]]}},"label":"page"},{"id":2564,"uris":["http://zotero.org/groups/2470620/items/9MYKCIRK",["http://zotero.org/groups/2470620/items/9MYKCIRK"]],"itemData":{"id":2564,"type":"article-journal","container-title":"Annals of the ICRP","issue":"1-2","journalAbbreviation":"Ann. ICRP","language":"en","note":"publisher-place: Oxford\npublisher: Pergamon Press","title":"Human alimentary tract model for radiological protection. ICRP Publication 100","volume":"36","author":[{"literal":"ICRP"}],"issued":{"date-parts":[["2006"]]}},"label":"page"},{"id":2566,"uris":["http://zotero.org/groups/2470620/items/BYB77JGB"],"itemData":{"id":2566,"type":"article-journal","container-title":"Annals of the ICRP","issue":"3/4","journalAbbreviation":"Ann. ICRP","language":"en","title":"Occupational intakes of radionuclides: Part 3. ICRP Publication 137","volume":"46","author":[{"literal":"ICRP"}],"issued":{"date-parts":[["2017"]]}},"label":"page"}],"schema":"https://github.com/citation-style-language/schema/raw/master/csl-citation.json"} </w:instrText>
      </w:r>
      <w:r w:rsidR="00097D23" w:rsidRPr="00972C81">
        <w:rPr>
          <w:noProof/>
        </w:rPr>
        <w:fldChar w:fldCharType="separate"/>
      </w:r>
      <w:r w:rsidR="00BC59C6" w:rsidRPr="00972C81">
        <w:rPr>
          <w:noProof/>
        </w:rPr>
        <w:t>(ICRP, 1995a, 2006, 2017)</w:t>
      </w:r>
      <w:r w:rsidR="00097D23" w:rsidRPr="00972C81">
        <w:rPr>
          <w:noProof/>
        </w:rPr>
        <w:fldChar w:fldCharType="end"/>
      </w:r>
      <w:r w:rsidRPr="00972C81">
        <w:rPr>
          <w:noProof/>
        </w:rPr>
        <w:t>.</w:t>
      </w:r>
    </w:p>
    <w:p w14:paraId="5D4AFE95" w14:textId="78A329DB" w:rsidR="00E31A20" w:rsidRPr="00972C81" w:rsidRDefault="00E31A20" w:rsidP="001C4A92">
      <w:pPr>
        <w:pStyle w:val="Annalstext"/>
        <w:rPr>
          <w:noProof/>
          <w:spacing w:val="1"/>
        </w:rPr>
      </w:pPr>
      <w:r w:rsidRPr="00972C81">
        <w:rPr>
          <w:noProof/>
        </w:rPr>
        <w:t xml:space="preserve">In the first controlled human study involving more than one subject, Hursh et al. </w:t>
      </w:r>
      <w:r w:rsidR="00097D23" w:rsidRPr="00972C81">
        <w:rPr>
          <w:noProof/>
        </w:rPr>
        <w:fldChar w:fldCharType="begin"/>
      </w:r>
      <w:r w:rsidR="00097D23" w:rsidRPr="00972C81">
        <w:rPr>
          <w:noProof/>
        </w:rPr>
        <w:instrText xml:space="preserve"> ADDIN ZOTERO_ITEM CSL_CITATION {"citationID":"u5r5Cqcl","properties":{"formattedCitation":"(1969)","plainCitation":"(1969)","noteIndex":0},"citationItems":[{"id":4945,"uris":["http://zotero.org/groups/2470620/items/SIQUKTTF"],"itemData":{"id":4945,"type":"article-journal","container-title":"Health Physics","ISSN":"0017-9078","issue":"4","journalAbbreviation":"Health Phys","language":"eng","note":"PMID: 5344473","page":"619-621","source":"PubMed","title":"Oral ingestion of uranium by man","volume":"17","author":[{"family":"Hursh","given":"J. B."},{"family":"Neuman","given":"W. R."},{"family":"Toribara","given":"T."},{"family":"Wilson","given":"H."},{"family":"Waterhouse","given":"C."}],"issued":{"date-parts":[["1969",10]]}},"label":"page","suppress-author":true}],"schema":"https://github.com/citation-style-language/schema/raw/master/csl-citation.json"} </w:instrText>
      </w:r>
      <w:r w:rsidR="00097D23" w:rsidRPr="00972C81">
        <w:rPr>
          <w:noProof/>
        </w:rPr>
        <w:fldChar w:fldCharType="separate"/>
      </w:r>
      <w:r w:rsidR="00BC59C6" w:rsidRPr="00972C81">
        <w:rPr>
          <w:noProof/>
        </w:rPr>
        <w:t>(1969)</w:t>
      </w:r>
      <w:r w:rsidR="00097D23" w:rsidRPr="00972C81">
        <w:rPr>
          <w:noProof/>
        </w:rPr>
        <w:fldChar w:fldCharType="end"/>
      </w:r>
      <w:r w:rsidRPr="00972C81">
        <w:rPr>
          <w:noProof/>
        </w:rPr>
        <w:t xml:space="preserve"> administered uranyl nitrate dissolved in Coca-Cola to four hospital patients. The data obtained </w:t>
      </w:r>
      <w:r w:rsidRPr="00972C81">
        <w:rPr>
          <w:noProof/>
          <w:spacing w:val="1"/>
        </w:rPr>
        <w:t>were taken to suggest absorption in the range of 0.005–0.05. Leggett and Harrison (1995) interpreted the data as suggesting absorption of 0.004, 0.01, 0.02, and 0.06 for the four subjects.</w:t>
      </w:r>
      <w:r w:rsidRPr="00972C81">
        <w:rPr>
          <w:noProof/>
          <w:color w:val="000066"/>
          <w:spacing w:val="1"/>
        </w:rPr>
        <w:t xml:space="preserve"> </w:t>
      </w:r>
      <w:r w:rsidRPr="00972C81">
        <w:rPr>
          <w:noProof/>
          <w:spacing w:val="1"/>
        </w:rPr>
        <w:t xml:space="preserve">Wrenn et al. </w:t>
      </w:r>
      <w:r w:rsidR="00FE25FE" w:rsidRPr="00972C81">
        <w:rPr>
          <w:noProof/>
          <w:spacing w:val="1"/>
        </w:rPr>
        <w:fldChar w:fldCharType="begin"/>
      </w:r>
      <w:r w:rsidR="00FE25FE" w:rsidRPr="00972C81">
        <w:rPr>
          <w:noProof/>
          <w:spacing w:val="1"/>
        </w:rPr>
        <w:instrText xml:space="preserve"> ADDIN ZOTERO_ITEM CSL_CITATION {"citationID":"QiQnXYbm","properties":{"formattedCitation":"(1989)","plainCitation":"(1989)","noteIndex":0},"citationItems":[{"id":4947,"uris":["http://zotero.org/groups/2470620/items/GMFS73GP"],"itemData":{"id":4947,"type":"article-journal","container-title":"Radiat Prot Dosimetry","issue":"1/4","page":"119-122","title":"Gastrointestinal absorption of soluble uranium from drinking water by man","volume":"26","author":[{"family":"Wrenn","given":"M. E."},{"family":"Singh","given":"N.P."},{"family":"Ruth","given":"H."},{"family":"Rallison","given":"M.L."},{"family":"Burleigh","given":"D.P."}],"issued":{"date-parts":[["1989"]]}},"label":"page","suppress-author":true}],"schema":"https://github.com/citation-style-language/schema/raw/master/csl-citation.json"} </w:instrText>
      </w:r>
      <w:r w:rsidR="00FE25FE" w:rsidRPr="00972C81">
        <w:rPr>
          <w:noProof/>
          <w:spacing w:val="1"/>
        </w:rPr>
        <w:fldChar w:fldCharType="separate"/>
      </w:r>
      <w:r w:rsidR="00BC59C6" w:rsidRPr="00972C81">
        <w:rPr>
          <w:noProof/>
        </w:rPr>
        <w:t>(1989)</w:t>
      </w:r>
      <w:r w:rsidR="00FE25FE" w:rsidRPr="00972C81">
        <w:rPr>
          <w:noProof/>
          <w:spacing w:val="1"/>
        </w:rPr>
        <w:fldChar w:fldCharType="end"/>
      </w:r>
      <w:r w:rsidRPr="00972C81">
        <w:rPr>
          <w:noProof/>
          <w:spacing w:val="1"/>
        </w:rPr>
        <w:t xml:space="preserve"> estimated absorption in 12 normal healthy adult volunteers given drinking water high in uranium. On the basis that 40–60% of absorbed uranium was excreted in the urine in the first 3 days, Leggett and Harrison </w:t>
      </w:r>
      <w:r w:rsidR="00FE25FE" w:rsidRPr="00972C81">
        <w:rPr>
          <w:noProof/>
          <w:spacing w:val="1"/>
        </w:rPr>
        <w:fldChar w:fldCharType="begin"/>
      </w:r>
      <w:r w:rsidR="00FE25FE" w:rsidRPr="00972C81">
        <w:rPr>
          <w:noProof/>
          <w:spacing w:val="1"/>
        </w:rPr>
        <w:instrText xml:space="preserve"> ADDIN ZOTERO_ITEM CSL_CITATION {"citationID":"JOdGpnxe","properties":{"formattedCitation":"(1995)","plainCitation":"(1995)","noteIndex":0},"citationItems":[{"id":4942,"uris":["http://zotero.org/groups/2470620/items/5YIGCSNF"],"itemData":{"id":4942,"type":"article-journal","abstract":"This paper provides a review and reanalysis of data relating to gastrointestinal (GI) uptake of uranium in humans. Estimates of GI uptake of uranium in adult humans have been derived from results of three controlled experimental studies involving short-term oral intake of an elevated quantity of uranium in fluids, from a controlled balance study conducted in a metabolic research ward of a hospital, and from a variety of environmental studies in which urinary uranium could be related to total intake or total excretion of this element in the same population. For controlled studies, uptake values range from less than 0.1% to about 6% for individual subjects, with central values for different studies falling in the range 1-2.4%. Environmental studies yield central estimates in the range 0.3-3.2%. Expressed as a percentage of total intake of uranium in food and fluids, average GI uptake of uranium in adult humans appears to be about 1-1.5%. Limited intake and excretion data for environmentally exposed human subjects &gt; or = 5 y of age do not reveal important differences with age in uranium uptake, but more definitive information is needed for children. More information is also needed to determine whether fractional uptake of uranium increases with decreasing levels of intake and whether uptake from drinking water is substantially higher than uptake from food. Data for laboratory animals indicate that fractional uptake of uranium depends strongly on the chemical form ingested and the length of time since the last intake of food.","container-title":"Health Physics","DOI":"10.1097/00004032-199504000-00005","ISSN":"0017-9078","issue":"4","journalAbbreviation":"Health Phys","language":"eng","note":"PMID: 7883560","page":"484-498","source":"PubMed","title":"Fractional absorption of ingested uranium in humans","volume":"68","author":[{"family":"Leggett","given":"R. W."},{"family":"Harrison","given":"J. D."}],"issued":{"date-parts":[["1995",4]]}},"label":"page","suppress-author":true}],"schema":"https://github.com/citation-style-language/schema/raw/master/csl-citation.json"} </w:instrText>
      </w:r>
      <w:r w:rsidR="00FE25FE" w:rsidRPr="00972C81">
        <w:rPr>
          <w:noProof/>
          <w:spacing w:val="1"/>
        </w:rPr>
        <w:fldChar w:fldCharType="separate"/>
      </w:r>
      <w:r w:rsidR="00BC59C6" w:rsidRPr="00972C81">
        <w:rPr>
          <w:noProof/>
        </w:rPr>
        <w:t>(1995)</w:t>
      </w:r>
      <w:r w:rsidR="00FE25FE" w:rsidRPr="00972C81">
        <w:rPr>
          <w:noProof/>
          <w:spacing w:val="1"/>
        </w:rPr>
        <w:fldChar w:fldCharType="end"/>
      </w:r>
      <w:r w:rsidRPr="00972C81">
        <w:rPr>
          <w:noProof/>
          <w:spacing w:val="1"/>
        </w:rPr>
        <w:t xml:space="preserve"> concluded that mean absorption was 0.01–0.015, maximum absorption was in the range of 0.02–0.04, and that six subjects absorbed less than 2.5</w:t>
      </w:r>
      <w:r w:rsidR="00067025" w:rsidRPr="00972C81">
        <w:rPr>
          <w:noProof/>
          <w:spacing w:val="1"/>
        </w:rPr>
        <w:t xml:space="preserve"> × </w:t>
      </w:r>
      <w:r w:rsidRPr="00972C81">
        <w:rPr>
          <w:noProof/>
          <w:spacing w:val="1"/>
        </w:rPr>
        <w:t>10</w:t>
      </w:r>
      <w:r w:rsidRPr="00972C81">
        <w:rPr>
          <w:noProof/>
          <w:spacing w:val="1"/>
          <w:vertAlign w:val="superscript"/>
        </w:rPr>
        <w:t>-3</w:t>
      </w:r>
      <w:r w:rsidRPr="00972C81">
        <w:rPr>
          <w:noProof/>
          <w:spacing w:val="1"/>
        </w:rPr>
        <w:t xml:space="preserve">. Harduin et al. </w:t>
      </w:r>
      <w:r w:rsidR="00FE25FE" w:rsidRPr="00972C81">
        <w:rPr>
          <w:noProof/>
          <w:spacing w:val="1"/>
        </w:rPr>
        <w:fldChar w:fldCharType="begin"/>
      </w:r>
      <w:r w:rsidR="00FE25FE" w:rsidRPr="00972C81">
        <w:rPr>
          <w:noProof/>
          <w:spacing w:val="1"/>
        </w:rPr>
        <w:instrText xml:space="preserve"> ADDIN ZOTERO_ITEM CSL_CITATION {"citationID":"g142dhJ9","properties":{"formattedCitation":"(1994)","plainCitation":"(1994)","noteIndex":0},"citationItems":[{"id":4948,"uris":["http://zotero.org/groups/2470620/items/2P5CIA5Y"],"itemData":{"id":4948,"type":"article-journal","container-title":"Radiat Prot Dosimetry","issue":"1-4","page":"245-248","title":"Uptake and urinary excretion of uranium after oral administration in man","volume":"53","author":[{"family":"Harduin","given":"J.C."},{"family":"Royer","given":"Ph."},{"family":"Piechowski","given":"J."}],"issued":{"date-parts":[["1994"]]}},"label":"page","suppress-author":true}],"schema":"https://github.com/citation-style-language/schema/raw/master/csl-citation.json"} </w:instrText>
      </w:r>
      <w:r w:rsidR="00FE25FE" w:rsidRPr="00972C81">
        <w:rPr>
          <w:noProof/>
          <w:spacing w:val="1"/>
        </w:rPr>
        <w:fldChar w:fldCharType="separate"/>
      </w:r>
      <w:r w:rsidR="00BC59C6" w:rsidRPr="00972C81">
        <w:rPr>
          <w:noProof/>
        </w:rPr>
        <w:t>(1994)</w:t>
      </w:r>
      <w:r w:rsidR="00FE25FE" w:rsidRPr="00972C81">
        <w:rPr>
          <w:noProof/>
          <w:spacing w:val="1"/>
        </w:rPr>
        <w:fldChar w:fldCharType="end"/>
      </w:r>
      <w:r w:rsidRPr="00972C81">
        <w:rPr>
          <w:noProof/>
          <w:spacing w:val="1"/>
        </w:rPr>
        <w:t xml:space="preserve"> reported results for the absorption of uranium from drinking water either administered on 1 day or over 15 days. The data for acute administration suggested absorption of 0.005–0.05 with an average value of 0.015– 0.02. The data for 15-day administration suggested absorption of 0.003–0.02 and average absorption of 0.01–0.015. Karpas et al. </w:t>
      </w:r>
      <w:r w:rsidR="00FE25FE" w:rsidRPr="00972C81">
        <w:rPr>
          <w:noProof/>
          <w:spacing w:val="1"/>
        </w:rPr>
        <w:fldChar w:fldCharType="begin"/>
      </w:r>
      <w:r w:rsidR="00FE25FE" w:rsidRPr="00972C81">
        <w:rPr>
          <w:noProof/>
          <w:spacing w:val="1"/>
        </w:rPr>
        <w:instrText xml:space="preserve"> ADDIN ZOTERO_ITEM CSL_CITATION {"citationID":"ftoFERju","properties":{"formattedCitation":"(1998)","plainCitation":"(1998)","noteIndex":0},"citationItems":[{"id":4951,"uris":["http://zotero.org/groups/2470620/items/SFT6G9HD"],"itemData":{"id":4951,"type":"article-journal","abstract":"The uptake of uranium, ingested as a soluble compound, was studied by monitoring the uranium level in urine by inductively coupled plasma mass spectrometry and through measurement of an isotopic tracer. The high sensitivity of this method allows measurement of uranium levels in urine samples from each voiding, therefore more detailed biokinetic studies are possible. To simulate low \"acute intake,\" five volunteers with \"normal\" levels (5-15 ng L(-1)) of uranium in urine ingested a grapefruit drink spiked with 100 microg of uranium (235U/238U = 0.245%) as uranyl nitrate, and the level of uranium in their urine after ingestion was monitored. Two techniques were applied to estimate the extent of exposure: a) uranium levels above the normal level for each volunteer; and b) the deviation from natural isotopic ratio. Results were normalized relative to the creatinine concentration, which served as an indicator of urine dilution, to reduce effects due to diurnal changes. The results clearly indicate that currently accepted bio-kinetic models overestimate the time between ingestion of dissolved uranium and its excretion in urine, the maximum of which was found to be around 6-10 h. The uptake fraction was in agreement with recent studies, i.e., 0.1-0.5% of the ingested uranium for four of the subjects but above 1.5% for the fifth, and well below the 5% reported in International Commission on Radiation Protection Publication 54. Finally, partial results from the isotope dilution study indicate that uranium absorbed through the intestine interchanges with uranium retained in body organs. The time scale of this process is quite short, and the acute exposure led to a minimum in the isotopic ratio within hours, while recovery back to natural abundance due to low chronic exposure takes several days.","container-title":"Health Physics","DOI":"10.1097/00004032-199803000-00006","ISSN":"0017-9078","issue":"3","journalAbbreviation":"Health Phys","language":"eng","note":"PMID: 9482599","page":"337-345","source":"PubMed","title":"Uptake of ingested uranium after low \"acute intake\"","volume":"74","author":[{"family":"Karpas","given":"Z."},{"family":"Lorber","given":"A."},{"family":"Elish","given":"E."},{"family":"Kol","given":"R."},{"family":"Roiz","given":"Y."},{"family":"Marko","given":"R."},{"family":"Katorza","given":"E."},{"family":"Halicz","given":"L."},{"family":"Riondato","given":"J."},{"family":"Vanhaecke","given":"F."},{"family":"Moens","given":"L."}],"issued":{"date-parts":[["1998",3]]}},"label":"page","suppress-author":true}],"schema":"https://github.com/citation-style-language/schema/raw/master/csl-citation.json"} </w:instrText>
      </w:r>
      <w:r w:rsidR="00FE25FE" w:rsidRPr="00972C81">
        <w:rPr>
          <w:noProof/>
          <w:spacing w:val="1"/>
        </w:rPr>
        <w:fldChar w:fldCharType="separate"/>
      </w:r>
      <w:r w:rsidR="00BC59C6" w:rsidRPr="00972C81">
        <w:rPr>
          <w:noProof/>
        </w:rPr>
        <w:t>(1998)</w:t>
      </w:r>
      <w:r w:rsidR="00FE25FE" w:rsidRPr="00972C81">
        <w:rPr>
          <w:noProof/>
          <w:spacing w:val="1"/>
        </w:rPr>
        <w:fldChar w:fldCharType="end"/>
      </w:r>
      <w:r w:rsidRPr="00972C81">
        <w:rPr>
          <w:noProof/>
          <w:spacing w:val="1"/>
        </w:rPr>
        <w:t xml:space="preserve"> studied the uptake of uranium in five volunteers having ingested low levels of uranyl nitrate in grapefruit drink. The results of urine monitoring indicated fractional absorption in the range 0.001</w:t>
      </w:r>
      <w:r w:rsidR="007E0EBA" w:rsidRPr="00972C81">
        <w:rPr>
          <w:noProof/>
          <w:spacing w:val="1"/>
        </w:rPr>
        <w:t>–</w:t>
      </w:r>
      <w:r w:rsidRPr="00972C81">
        <w:rPr>
          <w:noProof/>
          <w:spacing w:val="1"/>
        </w:rPr>
        <w:t>0.005 for four subjects and 0.016 for the fifth.</w:t>
      </w:r>
    </w:p>
    <w:p w14:paraId="21157B03" w14:textId="01DC709F" w:rsidR="00E31A20" w:rsidRPr="00972C81" w:rsidRDefault="00E31A20" w:rsidP="001C4A92">
      <w:pPr>
        <w:pStyle w:val="Annalstext"/>
        <w:rPr>
          <w:noProof/>
        </w:rPr>
      </w:pPr>
      <w:r w:rsidRPr="00972C81">
        <w:rPr>
          <w:noProof/>
        </w:rPr>
        <w:t xml:space="preserve">A number of dietary balance studies have indicated mean absorption values in the range of 0.003–0.04 </w:t>
      </w:r>
      <w:r w:rsidR="00DB63BF" w:rsidRPr="00972C81">
        <w:rPr>
          <w:noProof/>
        </w:rPr>
        <w:fldChar w:fldCharType="begin"/>
      </w:r>
      <w:r w:rsidR="00AC3977" w:rsidRPr="00972C81">
        <w:rPr>
          <w:noProof/>
        </w:rPr>
        <w:instrText xml:space="preserve"> ADDIN ZOTERO_ITEM CSL_CITATION {"citationID":"6SmihicR","properties":{"formattedCitation":"(Chen et al., 2011; Dang, Pullat, et al., 1992; Karpas et al., 2005; Larsen and Orlandini, 1984; Leggett and Harrison, 1995; Spencer et al., 1990; Tolmachev et al., 2006; Wrenn et al., 1989; Yamamoto et al., 1974; Zamora et al., 2002)","plainCitation":"(Chen et al., 2011; Dang, Pullat, et al., 1992; Karpas et al., 2005; Larsen and Orlandini, 1984; Leggett and Harrison, 1995; Spencer et al., 1990; Tolmachev et al., 2006; Wrenn et al., 1989; Yamamoto et al., 1974; Zamora et al., 2002)","noteIndex":0},"citationItems":[{"id":4967,"uris":["http://zotero.org/groups/2470620/items/FMJTR79T"],"itemData":{"id":4967,"type":"article-journal","abstract":"Uranium is ubiquitously found in drinking water and food. The gastrointestinal tract absorption fraction (f(1)) is an important parameter in risk assessment of uranium burdens from ingestion. Although absorption of uranium from ingestion has been studied extensively in the past, human data concerning children and adults are still limited. In a previous study based on measurements of uranium concentration in 73 bone-ash samples collected by Health Canada, the absorption fractions for uranium ingestion were determined to be 0.093 ± 0.113 for infants, and 0.050 ± 0.032 for young children ranging from 1 to 7 y of age. To extend the study, a total of 69 bone-ash samples were selected for children and adults ranging from 7 to 25 y of age and residing in the same Canadian community that is known to have an elevated level of uranium in its drinking water supply. For each bone-ash sample, the total uranium concentration was measured by inductively coupled plasma mass spectrometry. To solve uranium transfer in the biokinetic model for uranium given in International Commission of Radiological Protection (ICRP) Publication 69 with estimated daily uranium intake, the program WinSAAM v3.0.1 was used. The absorption fractions were determined to be 0.030 ± 0.022 for children (7-18 y) and 0.021 ± 0.015 for adults (18-25 y). For anyone more than 18 y of age, the estimated f(1) value for uranium agree well with the ICRP recommended value of 0.02.","container-title":"Radiation Protection Dosimetry","DOI":"10.1093/rpd/ncq436","ISSN":"1742-3406","issue":"1-4","journalAbbreviation":"Radiat Prot Dosimetry","language":"eng","note":"PMID: 21123245","page":"379-383","source":"PubMed","title":"Estimation of uranium GI absorption fractions for children and adults","volume":"144","author":[{"family":"Chen","given":"J."},{"family":"Lariviere","given":"D."},{"family":"Timmins","given":"R."},{"family":"Verdecchia","given":"K."}],"issued":{"date-parts":[["2011",3]]}}},{"id":4960,"uris":["http://zotero.org/groups/2470620/items/VP7L9HVX"],"itemData":{"id":4960,"type":"article-journal","abstract":"A method was developed to determine the concentration of uranium (238U) in urine. This method involved preconcentration of uranium from urine with calcium phosphate neutron activation followed by simple radiochemical separation. Using this method, it was possible to detect 0.2 ng of 238U. The average and geometric mean concentration of uranium found in urine of subjects from a normal background environment was 12.8 and 9.4 ng L-1, respectively. The concentration of uranium in the urine and the daily intake of uranium by the same population was used to arrive at the gastrointestinal absorption factor (f1) for uranium incorporated in the diet. The f1 factor was estimated to be 1.6%.","container-title":"Health Physics","DOI":"10.1097/00004032-199206000-00010","ISSN":"0017-9078","issue":"6","journalAbbreviation":"Health Phys","language":"eng","note":"PMID: 1628989","page":"562-566","source":"PubMed","title":"Determining the normal concentration of uranium in urine and application of the data to its biokinetics","volume":"62","author":[{"family":"Dang","given":"H.S."},{"family":"Pullat","given":"V.R."},{"family":"Pillai","given":"K.C."}],"issued":{"date-parts":[["1992"]]}},"label":"page"},{"id":4963,"uris":["http://zotero.org/groups/2470620/items/8E78AZ4S"],"itemData":{"id":4963,"type":"article-journal","abstract":"The concentration of uranium in urine, hair, and nails due to continuous exposure through ingestion of drinking water was studied. The study population consisted of 205 individuals living in 134 different households in southern Finland where drinking water is supplied from private drilled wells. The population was selected to include a broad range of uranium daily intake from drinking water (0.03-2,775 microg d). The uranium content in drinking water, urine (overnight collection), hair and nails was determined by ICPMS. Uranium in urine was corrected for the matrix effects by use of thallium as an internal standard and adjusted by creatinine normalization. Hair and toenail samples were rinsed to remove external contamination prior to acid digestion and analysis. The uranium content in all excretion pathways was correlated with the uranium intake, particularly at elevated levels (&gt; or =10 microg d) where drinking water was the major source of exposure to uranium. The median of the individual uranium absorption factors for urine, hair, and toenails were fu=0.003, fh=0.003, and fn=4 x 10, respectively. The association between the different bioassays was examined. The absorption factor, f1, was calculated for the population with an intake above 10 microg d and was below 0.01 for 72% of the study persons (range 0.0002 to 0.070). No statistically significant difference in f1 values was found between women and men. However, the absorption factor was higher among younger (&lt; 60 y) than older (&gt; or =60 y) subjects and among people with a lower exposure (below 100 microg d) than among those that ingest over 100 microg d.","archive_location":"15706143","container-title":"Health Phys","ISSN":"0017-9078 (Print) 0017-9078 (Linking)","issue":"3","journalAbbreviation":"Health physics","language":"eng","page":"229-42","title":"Urine, hair, and nails as indicators for ingestion of uranium in drinking water","volume":"88","author":[{"family":"Karpas","given":"Z."},{"family":"Paz-Tal","given":"O."},{"family":"Lorber","given":"A."},{"family":"Salonen","given":"L."},{"family":"Komulainen","given":"H."},{"family":"Auvinen","given":"A."},{"family":"Saha","given":"H."},{"family":"Kurttio","given":"P."}],"issued":{"date-parts":[["2005",3]]}}},{"id":4957,"uris":["http://zotero.org/groups/2470620/items/TY9WY88J"],"itemData":{"id":4957,"type":"report","collection-title":"Environmental Research Division Annual Report, July 1982 - June 1983","number":"ANL-83-100-Pt.2","page":"46–50","publisher":"Argonne National Laboratory","source":"Google Scholar","title":"Gastrointestinal absorption of uranium in man","author":[{"family":"Larsen","given":"R. P."},{"family":"Orlandini","given":"K. A."}],"issued":{"date-parts":[["1984"]]}}},{"id":4942,"uris":["http://zotero.org/groups/2470620/items/5YIGCSNF"],"itemData":{"id":4942,"type":"article-journal","abstract":"This paper provides a review and reanalysis of data relating to gastrointestinal (GI) uptake of uranium in humans. Estimates of GI uptake of uranium in adult humans have been derived from results of three controlled experimental studies involving short-term oral intake of an elevated quantity of uranium in fluids, from a controlled balance study conducted in a metabolic research ward of a hospital, and from a variety of environmental studies in which urinary uranium could be related to total intake or total excretion of this element in the same population. For controlled studies, uptake values range from less than 0.1% to about 6% for individual subjects, with central values for different studies falling in the range 1-2.4%. Environmental studies yield central estimates in the range 0.3-3.2%. Expressed as a percentage of total intake of uranium in food and fluids, average GI uptake of uranium in adult humans appears to be about 1-1.5%. Limited intake and excretion data for environmentally exposed human subjects &gt; or = 5 y of age do not reveal important differences with age in uranium uptake, but more definitive information is needed for children. More information is also needed to determine whether fractional uptake of uranium increases with decreasing levels of intake and whether uptake from drinking water is substantially higher than uptake from food. Data for laboratory animals indicate that fractional uptake of uranium depends strongly on the chemical form ingested and the length of time since the last intake of food.","container-title":"Health Physics","DOI":"10.1097/00004032-199504000-00005","ISSN":"0017-9078","issue":"4","journalAbbreviation":"Health Phys","language":"eng","note":"PMID: 7883560","page":"484-498","source":"PubMed","title":"Fractional absorption of ingested uranium in humans","volume":"68","author":[{"family":"Leggett","given":"R. W."},{"family":"Harrison","given":"J. D."}],"issued":{"date-parts":[["1995",4]]}}},{"id":4958,"uris":["http://zotero.org/groups/2470620/items/PEEP22LQ"],"itemData":{"id":4958,"type":"article-journal","abstract":"The normal dietary and fluid intake and urinary and fecal excretion of 234U and 238U were determined in humans under strictly controlled conditions in the Metabolic Research Ward at Hines Hospital. These values formed the basis of the metabolic balances of these uranium isotopes. The major pathway of 234U and of 238U excretion was via the intestine while the urinary 234U and 238U were very low, averaging 2% of the total excretion. The uranium balances were roughly in equilibrium. These data were used in combination with measurements of tissue concentrations of uranium from nonoccupationally exposed humans to calculate steady-state uptake factors for environmental exposure to uranium isotopes during baseline conditions of a normal dietary intake.","archive_location":"2236501","container-title":"Radiat Res","ISSN":"0033-7587 (Print) 0033-7587 (Linking)","issue":"1","journalAbbreviation":"Radiation research","language":"eng","page":"90-5","title":"Measured intake and excretion patterns of naturally occurring 234U, 238U, and calcium in humans","volume":"124","author":[{"family":"Spencer","given":"H."},{"family":"Osis","given":"D."},{"family":"Fisenne","given":"I. M."},{"family":"Perry","given":"P. M."},{"family":"Harley","given":"N. H."}],"issued":{"date-parts":[["1990",10]]}}},{"id":4965,"uris":["http://zotero.org/groups/2470620/items/3723QMBH"],"itemData":{"id":4965,"type":"article-journal","abstract":"A study was undertaken to investigate uranium concentrations in urine samples for unexposed Japanese individuals and to evaluate uranium daily excretion. Uranium concentrations were measured with inductively coupled plasma mass spectrometry after microwave-assisted digestion and online separation using the UTEVA extraction chromatographic resin. The concentrations ranged from 0.8 to 35.6 ng of uranium per liter of urine (median 4.5 ng L(-1)). Urinary uranium was normalized relative to the creatinine concentration in order to compensate for the degree of urine dilution. Creatinine-normalized values ranged from 1.2 to 17.8 ng of uranium per gram of creatinine (median 7.4 ng g(-1) creatinine). These results corresponded to the lower end of urinary uranium reported for unexposed populations. The level of daily excreted uranium was calculated as 6.45 ng d(-1) (median value) using ICRP recommended values for 24-h creatinine excretion. These data along with literature data on uranium dietary intake for Japanese populations were used to estimate the uranium gastrointestinal absorption fraction (f(1)). The median f(1) value was calculated to be 0.007. Statistical analysis was done to investigate statistical differences and relationships between the studied variables.","container-title":"Health Physics","DOI":"10.1097/01.HP.0000203311.85873.61","ISSN":"0017-9078","issue":"2","journalAbbreviation":"Health Phys","language":"eng","note":"PMID: 16832195","page":"144-153","source":"PubMed","title":"Concentration and daily excretion of uranium in urine of Japanese","volume":"91","author":[{"family":"Tolmachev","given":"Sergei"},{"family":"Kuwabara","given":"Jun"},{"family":"Noguchi","given":"Hiroshi"}],"issued":{"date-parts":[["2006",8]]}}},{"id":4947,"uris":["http://zotero.org/groups/2470620/items/GMFS73GP"],"itemData":{"id":4947,"type":"article-journal","container-title":"Radiat Prot Dosimetry","issue":"1/4","page":"119-122","title":"Gastrointestinal absorption of soluble uranium from drinking water by man","volume":"26","author":[{"family":"Wrenn","given":"M. E."},{"family":"Singh","given":"N.P."},{"family":"Ruth","given":"H."},{"family":"Rallison","given":"M.L."},{"family":"Burleigh","given":"D.P."}],"issued":{"date-parts":[["1989"]]}}},{"id":4953,"uris":["http://zotero.org/groups/2470620/items/GW2ARX8Y"],"itemData":{"id":4953,"type":"article-journal","abstract":"Uranium contents of daily diets and of human urine are examined from inhabitants around a uranium mine and its refinery (Ten-no and Nakatsugo hamlets, Kamisaibara Village, Okayama Pref.). Those from Ukainishi and Tomiyoshi areas (Mitsu and Tsudaka Town, Okayama Pref.) are served as controls. The daily diet and human urine was randomly collected in each area. Uranium was assayed by solid fluorimetry after ashing. The means of uranium contents in diet from Ten-no and Nakatsugo were 4.55 and 2.86 µg/day/person, respectively, while the means from control areas were 1.02 (Ukainishi) and 0.86 (Tomiyoshi) µg/day/person. Urinary uranium levels from Ten-no and Nakatsugo were 0.14 and 0.07 µg/day/person, respectively, while it was 0.01 µg/day/person in both control areas. No seasonal variations were observed in both dietary and urinary uranium of two test areas nor those of control areas. © 1974, Journal of Radiation Research Editorial Committee. All rights reserved.","archive":"Scopus","container-title":"Journal of Radiation Research","DOI":"10.1269/jrr.15.156","ISSN":"0449-3060","issue":"3","language":"English","page":"156-162","source":"Scopus","title":"Studies on Environmental Contamination by Uranium: 5. Uranium Contents in Daily Diet and in Human Urine from Several Populations around a Uranium Mine in Okayama Prefecture","title-short":"Studies on Environmental Contamination by Uranium","volume":"15","author":[{"family":"Yamamoto","given":"T."},{"family":"Yunoki","given":"E."},{"family":"Yamakawa","given":"M."},{"family":"Shimizu","given":"M."},{"family":"Nukada","given":"K."}],"issued":{"date-parts":[["1974"]]}}},{"id":4962,"uris":["http://zotero.org/groups/2470620/items/8JNTWWY3"],"itemData":{"id":4962,"type":"article-journal","container-title":"Health Phys","issue":"1","note":"section: 35","page":"35-45","title":"Gastrointestinal absorption of uranium in humans","volume":"83","author":[{"family":"Zamora","given":"M.L"},{"family":"Zielinski","given":"J.M."},{"family":"Meyerhof","given":"D.P."},{"family":"Tracy","given":"B.L."}],"issued":{"date-parts":[["2002"]]}}}],"schema":"https://github.com/citation-style-language/schema/raw/master/csl-citation.json"} </w:instrText>
      </w:r>
      <w:r w:rsidR="00DB63BF" w:rsidRPr="00972C81">
        <w:rPr>
          <w:noProof/>
        </w:rPr>
        <w:fldChar w:fldCharType="separate"/>
      </w:r>
      <w:r w:rsidR="00BC59C6" w:rsidRPr="00972C81">
        <w:rPr>
          <w:noProof/>
        </w:rPr>
        <w:t>(Chen et al., 2011; Dang, Pullat, et al., 1992; Karpas et al., 2005; Larsen and Orlandini, 1984; Leggett and Harrison, 1995; Spencer et al., 1990; Tolmachev et al., 2006; Wrenn et al., 1989; Yamamoto et al., 1974; Zamora et al., 2002)</w:t>
      </w:r>
      <w:r w:rsidR="00DB63BF" w:rsidRPr="00972C81">
        <w:rPr>
          <w:noProof/>
        </w:rPr>
        <w:fldChar w:fldCharType="end"/>
      </w:r>
      <w:r w:rsidRPr="00972C81">
        <w:rPr>
          <w:noProof/>
        </w:rPr>
        <w:t>, in reasonable agreement with central values of 0.001–0.02 from con</w:t>
      </w:r>
      <w:r w:rsidRPr="00972C81">
        <w:rPr>
          <w:noProof/>
        </w:rPr>
        <w:softHyphen/>
        <w:t xml:space="preserve">trolled studies on human volunteers. Yamamoto et al. </w:t>
      </w:r>
      <w:r w:rsidR="00DB63BF" w:rsidRPr="00972C81">
        <w:rPr>
          <w:noProof/>
        </w:rPr>
        <w:fldChar w:fldCharType="begin"/>
      </w:r>
      <w:r w:rsidR="00DB63BF" w:rsidRPr="00972C81">
        <w:rPr>
          <w:noProof/>
        </w:rPr>
        <w:instrText xml:space="preserve"> ADDIN ZOTERO_ITEM CSL_CITATION {"citationID":"t8hmyTPQ","properties":{"formattedCitation":"(1974)","plainCitation":"(1974)","noteIndex":0},"citationItems":[{"id":4953,"uris":["http://zotero.org/groups/2470620/items/GW2ARX8Y"],"itemData":{"id":4953,"type":"article-journal","abstract":"Uranium contents of daily diets and of human urine are examined from inhabitants around a uranium mine and its refinery (Ten-no and Nakatsugo hamlets, Kamisaibara Village, Okayama Pref.). Those from Ukainishi and Tomiyoshi areas (Mitsu and Tsudaka Town, Okayama Pref.) are served as controls. The daily diet and human urine was randomly collected in each area. Uranium was assayed by solid fluorimetry after ashing. The means of uranium contents in diet from Ten-no and Nakatsugo were 4.55 and 2.86 µg/day/person, respectively, while the means from control areas were 1.02 (Ukainishi) and 0.86 (Tomiyoshi) µg/day/person. Urinary uranium levels from Ten-no and Nakatsugo were 0.14 and 0.07 µg/day/person, respectively, while it was 0.01 µg/day/person in both control areas. No seasonal variations were observed in both dietary and urinary uranium of two test areas nor those of control areas. © 1974, Journal of Radiation Research Editorial Committee. All rights reserved.","archive":"Scopus","container-title":"Journal of Radiation Research","DOI":"10.1269/jrr.15.156","ISSN":"0449-3060","issue":"3","language":"English","page":"156-162","source":"Scopus","title":"Studies on Environmental Contamination by Uranium: 5. Uranium Contents in Daily Diet and in Human Urine from Several Populations around a Uranium Mine in Okayama Prefecture","title-short":"Studies on Environmental Contamination by Uranium","volume":"15","author":[{"family":"Yamamoto","given":"T."},{"family":"Yunoki","given":"E."},{"family":"Yamakawa","given":"M."},{"family":"Shimizu","given":"M."},{"family":"Nukada","given":"K."}],"issued":{"date-parts":[["1974"]]}},"label":"page","suppress-author":true}],"schema":"https://github.com/citation-style-language/schema/raw/master/csl-citation.json"} </w:instrText>
      </w:r>
      <w:r w:rsidR="00DB63BF" w:rsidRPr="00972C81">
        <w:rPr>
          <w:noProof/>
        </w:rPr>
        <w:fldChar w:fldCharType="separate"/>
      </w:r>
      <w:r w:rsidR="00BC59C6" w:rsidRPr="00972C81">
        <w:rPr>
          <w:noProof/>
        </w:rPr>
        <w:t>(1974)</w:t>
      </w:r>
      <w:r w:rsidR="00DB63BF" w:rsidRPr="00972C81">
        <w:rPr>
          <w:noProof/>
        </w:rPr>
        <w:fldChar w:fldCharType="end"/>
      </w:r>
      <w:r w:rsidRPr="00972C81">
        <w:rPr>
          <w:noProof/>
        </w:rPr>
        <w:t xml:space="preserve"> measured uranium in food, drink and urine samples from non-occupationally exposed inhabitants of two Japanese villages located near uranium mines and mills and two control villages with low levels of environmental uranium. The ratio of urinary excretion to dietary intake indicated fractional absorptions around 0.01 for the two control villages and 0.02 and </w:t>
      </w:r>
      <w:r w:rsidRPr="00972C81">
        <w:rPr>
          <w:noProof/>
        </w:rPr>
        <w:lastRenderedPageBreak/>
        <w:t xml:space="preserve">0.03 for the two villages located near uranium facilities. Larsen and Orlandini </w:t>
      </w:r>
      <w:r w:rsidR="00DB63BF" w:rsidRPr="00972C81">
        <w:rPr>
          <w:noProof/>
        </w:rPr>
        <w:fldChar w:fldCharType="begin"/>
      </w:r>
      <w:r w:rsidR="00DB63BF" w:rsidRPr="00972C81">
        <w:rPr>
          <w:noProof/>
        </w:rPr>
        <w:instrText xml:space="preserve"> ADDIN ZOTERO_ITEM CSL_CITATION {"citationID":"ZhghnthZ","properties":{"formattedCitation":"(1984)","plainCitation":"(1984)","noteIndex":0},"citationItems":[{"id":4957,"uris":["http://zotero.org/groups/2470620/items/TY9WY88J"],"itemData":{"id":4957,"type":"report","collection-title":"Environmental Research Division Annual Report, July 1982 - June 1983","number":"ANL-83-100-Pt.2","page":"46–50","publisher":"Argonne National Laboratory","source":"Google Scholar","title":"Gastrointestinal absorption of uranium in man","author":[{"family":"Larsen","given":"R. P."},{"family":"Orlandini","given":"K. A."}],"issued":{"date-parts":[["1984"]]}},"label":"page","suppress-author":true}],"schema":"https://github.com/citation-style-language/schema/raw/master/csl-citation.json"} </w:instrText>
      </w:r>
      <w:r w:rsidR="00DB63BF" w:rsidRPr="00972C81">
        <w:rPr>
          <w:noProof/>
        </w:rPr>
        <w:fldChar w:fldCharType="separate"/>
      </w:r>
      <w:r w:rsidR="00BC59C6" w:rsidRPr="00972C81">
        <w:rPr>
          <w:noProof/>
        </w:rPr>
        <w:t>(1984)</w:t>
      </w:r>
      <w:r w:rsidR="00DB63BF" w:rsidRPr="00972C81">
        <w:rPr>
          <w:noProof/>
        </w:rPr>
        <w:fldChar w:fldCharType="end"/>
      </w:r>
      <w:r w:rsidRPr="00972C81">
        <w:rPr>
          <w:noProof/>
        </w:rPr>
        <w:t xml:space="preserve"> measured daily excretion of uranium in two subjects whose drinking water had a high </w:t>
      </w:r>
      <w:r w:rsidRPr="00972C81">
        <w:rPr>
          <w:noProof/>
          <w:vertAlign w:val="superscript"/>
        </w:rPr>
        <w:t>234</w:t>
      </w:r>
      <w:r w:rsidRPr="00972C81">
        <w:rPr>
          <w:noProof/>
        </w:rPr>
        <w:t xml:space="preserve">U to </w:t>
      </w:r>
      <w:r w:rsidRPr="00972C81">
        <w:rPr>
          <w:noProof/>
          <w:vertAlign w:val="superscript"/>
        </w:rPr>
        <w:t>238</w:t>
      </w:r>
      <w:r w:rsidRPr="00972C81">
        <w:rPr>
          <w:noProof/>
        </w:rPr>
        <w:t>U activity ratio. Combining estimated intake and urinary excretion data for the two isotopes gives a range in absorption of 0.004</w:t>
      </w:r>
      <w:r w:rsidR="007E0EBA" w:rsidRPr="00972C81">
        <w:rPr>
          <w:noProof/>
          <w:spacing w:val="1"/>
        </w:rPr>
        <w:t>–</w:t>
      </w:r>
      <w:r w:rsidRPr="00972C81">
        <w:rPr>
          <w:noProof/>
        </w:rPr>
        <w:t xml:space="preserve">0.007. Spencer </w:t>
      </w:r>
      <w:r w:rsidRPr="00972C81">
        <w:rPr>
          <w:iCs/>
          <w:noProof/>
        </w:rPr>
        <w:t>et al</w:t>
      </w:r>
      <w:r w:rsidRPr="00972C81">
        <w:rPr>
          <w:i/>
          <w:iCs/>
          <w:noProof/>
        </w:rPr>
        <w:t xml:space="preserve">. </w:t>
      </w:r>
      <w:r w:rsidR="00DB63BF" w:rsidRPr="00972C81">
        <w:rPr>
          <w:noProof/>
        </w:rPr>
        <w:fldChar w:fldCharType="begin"/>
      </w:r>
      <w:r w:rsidR="00DB63BF" w:rsidRPr="00972C81">
        <w:rPr>
          <w:noProof/>
        </w:rPr>
        <w:instrText xml:space="preserve"> ADDIN ZOTERO_ITEM CSL_CITATION {"citationID":"1mIYMh3m","properties":{"formattedCitation":"(1990)","plainCitation":"(1990)","noteIndex":0},"citationItems":[{"id":4958,"uris":["http://zotero.org/groups/2470620/items/PEEP22LQ"],"itemData":{"id":4958,"type":"article-journal","abstract":"The normal dietary and fluid intake and urinary and fecal excretion of 234U and 238U were determined in humans under strictly controlled conditions in the Metabolic Research Ward at Hines Hospital. These values formed the basis of the metabolic balances of these uranium isotopes. The major pathway of 234U and of 238U excretion was via the intestine while the urinary 234U and 238U were very low, averaging 2% of the total excretion. The uranium balances were roughly in equilibrium. These data were used in combination with measurements of tissue concentrations of uranium from nonoccupationally exposed humans to calculate steady-state uptake factors for environmental exposure to uranium isotopes during baseline conditions of a normal dietary intake.","archive_location":"2236501","container-title":"Radiat Res","ISSN":"0033-7587 (Print) 0033-7587 (Linking)","issue":"1","journalAbbreviation":"Radiation research","language":"eng","page":"90-5","title":"Measured intake and excretion patterns of naturally occurring 234U, 238U, and calcium in humans","volume":"124","author":[{"family":"Spencer","given":"H."},{"family":"Osis","given":"D."},{"family":"Fisenne","given":"I. M."},{"family":"Perry","given":"P. M."},{"family":"Harley","given":"N. H."}],"issued":{"date-parts":[["1990",10]]}},"label":"page","suppress-author":true}],"schema":"https://github.com/citation-style-language/schema/raw/master/csl-citation.json"} </w:instrText>
      </w:r>
      <w:r w:rsidR="00DB63BF" w:rsidRPr="00972C81">
        <w:rPr>
          <w:noProof/>
        </w:rPr>
        <w:fldChar w:fldCharType="separate"/>
      </w:r>
      <w:r w:rsidR="00BC59C6" w:rsidRPr="00972C81">
        <w:rPr>
          <w:noProof/>
        </w:rPr>
        <w:t>(1990)</w:t>
      </w:r>
      <w:r w:rsidR="00DB63BF" w:rsidRPr="00972C81">
        <w:rPr>
          <w:noProof/>
        </w:rPr>
        <w:fldChar w:fldCharType="end"/>
      </w:r>
      <w:r w:rsidRPr="00972C81">
        <w:rPr>
          <w:noProof/>
        </w:rPr>
        <w:t xml:space="preserve"> determined uranium intake and excretion in four adult male subjects in a metabolism ward. The data were interpreted as suggesting that absorption of uranium from food was negligible while absorption from water was about 0.05. Their conclusion has been questioned, however </w:t>
      </w:r>
      <w:r w:rsidR="00DB63BF" w:rsidRPr="00972C81">
        <w:rPr>
          <w:noProof/>
        </w:rPr>
        <w:fldChar w:fldCharType="begin"/>
      </w:r>
      <w:r w:rsidR="00DB63BF" w:rsidRPr="00972C81">
        <w:rPr>
          <w:noProof/>
        </w:rPr>
        <w:instrText xml:space="preserve"> ADDIN ZOTERO_ITEM CSL_CITATION {"citationID":"g2lfAXMS","properties":{"formattedCitation":"(Leggett and Harrison, 1995)","plainCitation":"(Leggett and Harrison, 1995)","noteIndex":0},"citationItems":[{"id":4942,"uris":["http://zotero.org/groups/2470620/items/5YIGCSNF"],"itemData":{"id":4942,"type":"article-journal","abstract":"This paper provides a review and reanalysis of data relating to gastrointestinal (GI) uptake of uranium in humans. Estimates of GI uptake of uranium in adult humans have been derived from results of three controlled experimental studies involving short-term oral intake of an elevated quantity of uranium in fluids, from a controlled balance study conducted in a metabolic research ward of a hospital, and from a variety of environmental studies in which urinary uranium could be related to total intake or total excretion of this element in the same population. For controlled studies, uptake values range from less than 0.1% to about 6% for individual subjects, with central values for different studies falling in the range 1-2.4%. Environmental studies yield central estimates in the range 0.3-3.2%. Expressed as a percentage of total intake of uranium in food and fluids, average GI uptake of uranium in adult humans appears to be about 1-1.5%. Limited intake and excretion data for environmentally exposed human subjects &gt; or = 5 y of age do not reveal important differences with age in uranium uptake, but more definitive information is needed for children. More information is also needed to determine whether fractional uptake of uranium increases with decreasing levels of intake and whether uptake from drinking water is substantially higher than uptake from food. Data for laboratory animals indicate that fractional uptake of uranium depends strongly on the chemical form ingested and the length of time since the last intake of food.","container-title":"Health Physics","DOI":"10.1097/00004032-199504000-00005","ISSN":"0017-9078","issue":"4","journalAbbreviation":"Health Phys","language":"eng","note":"PMID: 7883560","page":"484-498","source":"PubMed","title":"Fractional absorption of ingested uranium in humans","volume":"68","author":[{"family":"Leggett","given":"R. W."},{"family":"Harrison","given":"J. D."}],"issued":{"date-parts":[["1995",4]]}}}],"schema":"https://github.com/citation-style-language/schema/raw/master/csl-citation.json"} </w:instrText>
      </w:r>
      <w:r w:rsidR="00DB63BF" w:rsidRPr="00972C81">
        <w:rPr>
          <w:noProof/>
        </w:rPr>
        <w:fldChar w:fldCharType="separate"/>
      </w:r>
      <w:r w:rsidR="00BC59C6" w:rsidRPr="00972C81">
        <w:rPr>
          <w:noProof/>
        </w:rPr>
        <w:t>(Leggett and Harrison, 1995)</w:t>
      </w:r>
      <w:r w:rsidR="00DB63BF" w:rsidRPr="00972C81">
        <w:rPr>
          <w:noProof/>
        </w:rPr>
        <w:fldChar w:fldCharType="end"/>
      </w:r>
      <w:r w:rsidRPr="00972C81">
        <w:rPr>
          <w:noProof/>
        </w:rPr>
        <w:t>. On the assumption that all ingested uranium is equally available for absorption, the data indicate mean absorption of 0.015 (range of 0.005</w:t>
      </w:r>
      <w:r w:rsidR="007E0EBA" w:rsidRPr="00972C81">
        <w:rPr>
          <w:noProof/>
          <w:spacing w:val="1"/>
        </w:rPr>
        <w:t>–</w:t>
      </w:r>
      <w:r w:rsidRPr="00972C81">
        <w:rPr>
          <w:noProof/>
        </w:rPr>
        <w:softHyphen/>
        <w:t xml:space="preserve">0.026). Dang et al </w:t>
      </w:r>
      <w:r w:rsidR="00DB63BF" w:rsidRPr="00972C81">
        <w:rPr>
          <w:noProof/>
        </w:rPr>
        <w:fldChar w:fldCharType="begin"/>
      </w:r>
      <w:r w:rsidR="00DB63BF" w:rsidRPr="00972C81">
        <w:rPr>
          <w:noProof/>
        </w:rPr>
        <w:instrText xml:space="preserve"> ADDIN ZOTERO_ITEM CSL_CITATION {"citationID":"9iN5T4Fh","properties":{"formattedCitation":"(1992)","plainCitation":"(1992)","noteIndex":0},"citationItems":[{"id":4960,"uris":["http://zotero.org/groups/2470620/items/VP7L9HVX"],"itemData":{"id":4960,"type":"article-journal","abstract":"A method was developed to determine the concentration of uranium (238U) in urine. This method involved preconcentration of uranium from urine with calcium phosphate neutron activation followed by simple radiochemical separation. Using this method, it was possible to detect 0.2 ng of 238U. The average and geometric mean concentration of uranium found in urine of subjects from a normal background environment was 12.8 and 9.4 ng L-1, respectively. The concentration of uranium in the urine and the daily intake of uranium by the same population was used to arrive at the gastrointestinal absorption factor (f1) for uranium incorporated in the diet. The f1 factor was estimated to be 1.6%.","container-title":"Health Physics","DOI":"10.1097/00004032-199206000-00010","ISSN":"0017-9078","issue":"6","journalAbbreviation":"Health Phys","language":"eng","note":"PMID: 1628989","page":"562-566","source":"PubMed","title":"Determining the normal concentration of uranium in urine and application of the data to its biokinetics","volume":"62","author":[{"family":"Dang","given":"H.S."},{"family":"Pullat","given":"V.R."},{"family":"Pillai","given":"K.C."}],"issued":{"date-parts":[["1992"]]}},"label":"page","suppress-author":true}],"schema":"https://github.com/citation-style-language/schema/raw/master/csl-citation.json"} </w:instrText>
      </w:r>
      <w:r w:rsidR="00DB63BF" w:rsidRPr="00972C81">
        <w:rPr>
          <w:noProof/>
        </w:rPr>
        <w:fldChar w:fldCharType="separate"/>
      </w:r>
      <w:r w:rsidR="00BC59C6" w:rsidRPr="00972C81">
        <w:rPr>
          <w:noProof/>
        </w:rPr>
        <w:t>(1992)</w:t>
      </w:r>
      <w:r w:rsidR="00DB63BF" w:rsidRPr="00972C81">
        <w:rPr>
          <w:noProof/>
        </w:rPr>
        <w:fldChar w:fldCharType="end"/>
      </w:r>
      <w:r w:rsidRPr="00972C81">
        <w:rPr>
          <w:noProof/>
        </w:rPr>
        <w:t xml:space="preserve"> studied the fractional absorption of uranium for an urban Indian population of about 20 individuals aged 30 to 55 y, ingesting 0.25 to 1.0 µg of uranium in daily food and drinking water. The</w:t>
      </w:r>
      <w:r w:rsidR="00141BB9" w:rsidRPr="00972C81">
        <w:rPr>
          <w:noProof/>
        </w:rPr>
        <w:t>y</w:t>
      </w:r>
      <w:r w:rsidRPr="00972C81">
        <w:rPr>
          <w:noProof/>
        </w:rPr>
        <w:t xml:space="preserve"> estimated that the mean absorption fraction was 0.016. In another </w:t>
      </w:r>
      <w:r w:rsidRPr="00972C81">
        <w:rPr>
          <w:i/>
          <w:noProof/>
        </w:rPr>
        <w:t>in situ</w:t>
      </w:r>
      <w:r w:rsidRPr="00972C81">
        <w:rPr>
          <w:noProof/>
        </w:rPr>
        <w:t xml:space="preserve"> study, the gastro-intestinal absorption factor was determined for 50 participants ingesting uranium at natural levels in drinking water and food. The participants, ranged in age from 13 to 87 y, were selected from either a Canadian area with naturally high (2</w:t>
      </w:r>
      <w:r w:rsidR="0096390F" w:rsidRPr="00972C81">
        <w:rPr>
          <w:noProof/>
          <w:spacing w:val="1"/>
        </w:rPr>
        <w:t>–</w:t>
      </w:r>
      <w:r w:rsidRPr="00972C81">
        <w:rPr>
          <w:noProof/>
        </w:rPr>
        <w:t>780 µg L</w:t>
      </w:r>
      <w:r w:rsidRPr="00972C81">
        <w:rPr>
          <w:noProof/>
          <w:vertAlign w:val="superscript"/>
        </w:rPr>
        <w:t>-1</w:t>
      </w:r>
      <w:r w:rsidRPr="00972C81">
        <w:rPr>
          <w:noProof/>
        </w:rPr>
        <w:t>) or low (&lt;1µg L</w:t>
      </w:r>
      <w:r w:rsidRPr="00972C81">
        <w:rPr>
          <w:noProof/>
          <w:vertAlign w:val="superscript"/>
        </w:rPr>
        <w:t>-1</w:t>
      </w:r>
      <w:r w:rsidRPr="00972C81">
        <w:rPr>
          <w:noProof/>
        </w:rPr>
        <w:t xml:space="preserve">) uranium levels. The absorption fractions were in a range from 0.001 to 0.06, with a median of 0.009 </w:t>
      </w:r>
      <w:r w:rsidR="00DB63BF" w:rsidRPr="00972C81">
        <w:rPr>
          <w:noProof/>
        </w:rPr>
        <w:fldChar w:fldCharType="begin"/>
      </w:r>
      <w:r w:rsidR="00DB63BF" w:rsidRPr="00972C81">
        <w:rPr>
          <w:noProof/>
        </w:rPr>
        <w:instrText xml:space="preserve"> ADDIN ZOTERO_ITEM CSL_CITATION {"citationID":"zUUbg77P","properties":{"formattedCitation":"(Zamora et al., 2002)","plainCitation":"(Zamora et al., 2002)","noteIndex":0},"citationItems":[{"id":4962,"uris":["http://zotero.org/groups/2470620/items/8JNTWWY3"],"itemData":{"id":4962,"type":"article-journal","container-title":"Health Phys","issue":"1","note":"section: 35","page":"35-45","title":"Gastrointestinal absorption of uranium in humans","volume":"83","author":[{"family":"Zamora","given":"M.L"},{"family":"Zielinski","given":"J.M."},{"family":"Meyerhof","given":"D.P."},{"family":"Tracy","given":"B.L."}],"issued":{"date-parts":[["2002"]]}}}],"schema":"https://github.com/citation-style-language/schema/raw/master/csl-citation.json"} </w:instrText>
      </w:r>
      <w:r w:rsidR="00DB63BF" w:rsidRPr="00972C81">
        <w:rPr>
          <w:noProof/>
        </w:rPr>
        <w:fldChar w:fldCharType="separate"/>
      </w:r>
      <w:r w:rsidR="00BC59C6" w:rsidRPr="00972C81">
        <w:rPr>
          <w:noProof/>
        </w:rPr>
        <w:t>(Zamora et al., 2002)</w:t>
      </w:r>
      <w:r w:rsidR="00DB63BF" w:rsidRPr="00972C81">
        <w:rPr>
          <w:noProof/>
        </w:rPr>
        <w:fldChar w:fldCharType="end"/>
      </w:r>
      <w:r w:rsidRPr="00972C81">
        <w:rPr>
          <w:noProof/>
        </w:rPr>
        <w:t xml:space="preserve">. These values were not gender sensitive and independent of age at the time of the study, duration of exposure and total uranium intake. Karpas et al. </w:t>
      </w:r>
      <w:r w:rsidR="00DB63BF" w:rsidRPr="00972C81">
        <w:rPr>
          <w:noProof/>
        </w:rPr>
        <w:fldChar w:fldCharType="begin"/>
      </w:r>
      <w:r w:rsidR="00DB63BF" w:rsidRPr="00972C81">
        <w:rPr>
          <w:noProof/>
        </w:rPr>
        <w:instrText xml:space="preserve"> ADDIN ZOTERO_ITEM CSL_CITATION {"citationID":"1vAJPmE1","properties":{"formattedCitation":"(2005)","plainCitation":"(2005)","noteIndex":0},"citationItems":[{"id":4963,"uris":["http://zotero.org/groups/2470620/items/8E78AZ4S"],"itemData":{"id":4963,"type":"article-journal","abstract":"The concentration of uranium in urine, hair, and nails due to continuous exposure through ingestion of drinking water was studied. The study population consisted of 205 individuals living in 134 different households in southern Finland where drinking water is supplied from private drilled wells. The population was selected to include a broad range of uranium daily intake from drinking water (0.03-2,775 microg d). The uranium content in drinking water, urine (overnight collection), hair and nails was determined by ICPMS. Uranium in urine was corrected for the matrix effects by use of thallium as an internal standard and adjusted by creatinine normalization. Hair and toenail samples were rinsed to remove external contamination prior to acid digestion and analysis. The uranium content in all excretion pathways was correlated with the uranium intake, particularly at elevated levels (&gt; or =10 microg d) where drinking water was the major source of exposure to uranium. The median of the individual uranium absorption factors for urine, hair, and toenails were fu=0.003, fh=0.003, and fn=4 x 10, respectively. The association between the different bioassays was examined. The absorption factor, f1, was calculated for the population with an intake above 10 microg d and was below 0.01 for 72% of the study persons (range 0.0002 to 0.070). No statistically significant difference in f1 values was found between women and men. However, the absorption factor was higher among younger (&lt; 60 y) than older (&gt; or =60 y) subjects and among people with a lower exposure (below 100 microg d) than among those that ingest over 100 microg d.","archive_location":"15706143","container-title":"Health Phys","ISSN":"0017-9078 (Print) 0017-9078 (Linking)","issue":"3","journalAbbreviation":"Health physics","language":"eng","page":"229-42","title":"Urine, hair, and nails as indicators for ingestion of uranium in drinking water","volume":"88","author":[{"family":"Karpas","given":"Z."},{"family":"Paz-Tal","given":"O."},{"family":"Lorber","given":"A."},{"family":"Salonen","given":"L."},{"family":"Komulainen","given":"H."},{"family":"Auvinen","given":"A."},{"family":"Saha","given":"H."},{"family":"Kurttio","given":"P."}],"issued":{"date-parts":[["2005",3]]}},"label":"page","suppress-author":true}],"schema":"https://github.com/citation-style-language/schema/raw/master/csl-citation.json"} </w:instrText>
      </w:r>
      <w:r w:rsidR="00DB63BF" w:rsidRPr="00972C81">
        <w:rPr>
          <w:noProof/>
        </w:rPr>
        <w:fldChar w:fldCharType="separate"/>
      </w:r>
      <w:r w:rsidR="00BC59C6" w:rsidRPr="00972C81">
        <w:rPr>
          <w:noProof/>
        </w:rPr>
        <w:t>(2005)</w:t>
      </w:r>
      <w:r w:rsidR="00DB63BF" w:rsidRPr="00972C81">
        <w:rPr>
          <w:noProof/>
        </w:rPr>
        <w:fldChar w:fldCharType="end"/>
      </w:r>
      <w:r w:rsidRPr="00972C81">
        <w:rPr>
          <w:noProof/>
        </w:rPr>
        <w:t xml:space="preserve"> measured uranium in the urine, hair, nails and drinking water of 205 individuals from southern Finland. They estimated an absorption fraction of about 0.004 (range 0.0002 to 0.07) for individuals with an intake above 10 µg.d</w:t>
      </w:r>
      <w:r w:rsidRPr="00972C81">
        <w:rPr>
          <w:noProof/>
          <w:vertAlign w:val="superscript"/>
        </w:rPr>
        <w:t>-1</w:t>
      </w:r>
      <w:r w:rsidRPr="00972C81">
        <w:rPr>
          <w:noProof/>
        </w:rPr>
        <w:t>. No statistical difference was found between women and men but the fractional absorption was higher among people below 60 y of age or with an exposure lower than 100 µg.d</w:t>
      </w:r>
      <w:r w:rsidRPr="00972C81">
        <w:rPr>
          <w:noProof/>
          <w:vertAlign w:val="superscript"/>
        </w:rPr>
        <w:t>-1</w:t>
      </w:r>
      <w:r w:rsidRPr="00972C81">
        <w:rPr>
          <w:noProof/>
        </w:rPr>
        <w:t xml:space="preserve">. Tolmachev et al. </w:t>
      </w:r>
      <w:r w:rsidR="00DB63BF" w:rsidRPr="00972C81">
        <w:rPr>
          <w:noProof/>
        </w:rPr>
        <w:fldChar w:fldCharType="begin"/>
      </w:r>
      <w:r w:rsidR="00DB63BF" w:rsidRPr="00972C81">
        <w:rPr>
          <w:noProof/>
        </w:rPr>
        <w:instrText xml:space="preserve"> ADDIN ZOTERO_ITEM CSL_CITATION {"citationID":"giB1OvcC","properties":{"formattedCitation":"(2006)","plainCitation":"(2006)","noteIndex":0},"citationItems":[{"id":4965,"uris":["http://zotero.org/groups/2470620/items/3723QMBH"],"itemData":{"id":4965,"type":"article-journal","abstract":"A study was undertaken to investigate uranium concentrations in urine samples for unexposed Japanese individuals and to evaluate uranium daily excretion. Uranium concentrations were measured with inductively coupled plasma mass spectrometry after microwave-assisted digestion and online separation using the UTEVA extraction chromatographic resin. The concentrations ranged from 0.8 to 35.6 ng of uranium per liter of urine (median 4.5 ng L(-1)). Urinary uranium was normalized relative to the creatinine concentration in order to compensate for the degree of urine dilution. Creatinine-normalized values ranged from 1.2 to 17.8 ng of uranium per gram of creatinine (median 7.4 ng g(-1) creatinine). These results corresponded to the lower end of urinary uranium reported for unexposed populations. The level of daily excreted uranium was calculated as 6.45 ng d(-1) (median value) using ICRP recommended values for 24-h creatinine excretion. These data along with literature data on uranium dietary intake for Japanese populations were used to estimate the uranium gastrointestinal absorption fraction (f(1)). The median f(1) value was calculated to be 0.007. Statistical analysis was done to investigate statistical differences and relationships between the studied variables.","container-title":"Health Physics","DOI":"10.1097/01.HP.0000203311.85873.61","ISSN":"0017-9078","issue":"2","journalAbbreviation":"Health Phys","language":"eng","note":"PMID: 16832195","page":"144-153","source":"PubMed","title":"Concentration and daily excretion of uranium in urine of Japanese","volume":"91","author":[{"family":"Tolmachev","given":"Sergei"},{"family":"Kuwabara","given":"Jun"},{"family":"Noguchi","given":"Hiroshi"}],"issued":{"date-parts":[["2006",8]]}},"label":"page","suppress-author":true}],"schema":"https://github.com/citation-style-language/schema/raw/master/csl-citation.json"} </w:instrText>
      </w:r>
      <w:r w:rsidR="00DB63BF" w:rsidRPr="00972C81">
        <w:rPr>
          <w:noProof/>
        </w:rPr>
        <w:fldChar w:fldCharType="separate"/>
      </w:r>
      <w:r w:rsidR="00BC59C6" w:rsidRPr="00972C81">
        <w:rPr>
          <w:noProof/>
        </w:rPr>
        <w:t>(2006)</w:t>
      </w:r>
      <w:r w:rsidR="00DB63BF" w:rsidRPr="00972C81">
        <w:rPr>
          <w:noProof/>
        </w:rPr>
        <w:fldChar w:fldCharType="end"/>
      </w:r>
      <w:r w:rsidRPr="00972C81">
        <w:rPr>
          <w:noProof/>
        </w:rPr>
        <w:t xml:space="preserve"> estimated a mean absorption fraction of 0.009 (range 0.002 to 0.03) based on the measurement of 168 spot urine samples from Japanese volunteers with no known exposure to uranium and on literature data of uranium dietary intake for Japanese populations. Chen et al. </w:t>
      </w:r>
      <w:r w:rsidR="00DB63BF" w:rsidRPr="00972C81">
        <w:rPr>
          <w:noProof/>
        </w:rPr>
        <w:fldChar w:fldCharType="begin"/>
      </w:r>
      <w:r w:rsidR="00DB63BF" w:rsidRPr="00972C81">
        <w:rPr>
          <w:noProof/>
        </w:rPr>
        <w:instrText xml:space="preserve"> ADDIN ZOTERO_ITEM CSL_CITATION {"citationID":"9CMDEl6Z","properties":{"formattedCitation":"(2011)","plainCitation":"(2011)","noteIndex":0},"citationItems":[{"id":4967,"uris":["http://zotero.org/groups/2470620/items/FMJTR79T"],"itemData":{"id":4967,"type":"article-journal","abstract":"Uranium is ubiquitously found in drinking water and food. The gastrointestinal tract absorption fraction (f(1)) is an important parameter in risk assessment of uranium burdens from ingestion. Although absorption of uranium from ingestion has been studied extensively in the past, human data concerning children and adults are still limited. In a previous study based on measurements of uranium concentration in 73 bone-ash samples collected by Health Canada, the absorption fractions for uranium ingestion were determined to be 0.093 ± 0.113 for infants, and 0.050 ± 0.032 for young children ranging from 1 to 7 y of age. To extend the study, a total of 69 bone-ash samples were selected for children and adults ranging from 7 to 25 y of age and residing in the same Canadian community that is known to have an elevated level of uranium in its drinking water supply. For each bone-ash sample, the total uranium concentration was measured by inductively coupled plasma mass spectrometry. To solve uranium transfer in the biokinetic model for uranium given in International Commission of Radiological Protection (ICRP) Publication 69 with estimated daily uranium intake, the program WinSAAM v3.0.1 was used. The absorption fractions were determined to be 0.030 ± 0.022 for children (7-18 y) and 0.021 ± 0.015 for adults (18-25 y). For anyone more than 18 y of age, the estimated f(1) value for uranium agree well with the ICRP recommended value of 0.02.","container-title":"Radiation Protection Dosimetry","DOI":"10.1093/rpd/ncq436","ISSN":"1742-3406","issue":"1-4","journalAbbreviation":"Radiat Prot Dosimetry","language":"eng","note":"PMID: 21123245","page":"379-383","source":"PubMed","title":"Estimation of uranium GI absorption fractions for children and adults","volume":"144","author":[{"family":"Chen","given":"J."},{"family":"Lariviere","given":"D."},{"family":"Timmins","given":"R."},{"family":"Verdecchia","given":"K."}],"issued":{"date-parts":[["2011",3]]}},"label":"page","suppress-author":true}],"schema":"https://github.com/citation-style-language/schema/raw/master/csl-citation.json"} </w:instrText>
      </w:r>
      <w:r w:rsidR="00DB63BF" w:rsidRPr="00972C81">
        <w:rPr>
          <w:noProof/>
        </w:rPr>
        <w:fldChar w:fldCharType="separate"/>
      </w:r>
      <w:r w:rsidR="00BC59C6" w:rsidRPr="00972C81">
        <w:rPr>
          <w:noProof/>
        </w:rPr>
        <w:t>(2011)</w:t>
      </w:r>
      <w:r w:rsidR="00DB63BF" w:rsidRPr="00972C81">
        <w:rPr>
          <w:noProof/>
        </w:rPr>
        <w:fldChar w:fldCharType="end"/>
      </w:r>
      <w:r w:rsidRPr="00972C81">
        <w:rPr>
          <w:noProof/>
        </w:rPr>
        <w:t xml:space="preserve"> measured uranium in bone samples from Canadian children and adults aged 7 to 25 y. They evaluated intakes for these individuals based on uranium in diet data obtained by Zamora et al </w:t>
      </w:r>
      <w:r w:rsidR="00DB63BF" w:rsidRPr="00972C81">
        <w:rPr>
          <w:noProof/>
        </w:rPr>
        <w:fldChar w:fldCharType="begin"/>
      </w:r>
      <w:r w:rsidR="00DB63BF" w:rsidRPr="00972C81">
        <w:rPr>
          <w:noProof/>
        </w:rPr>
        <w:instrText xml:space="preserve"> ADDIN ZOTERO_ITEM CSL_CITATION {"citationID":"kk10QgXM","properties":{"formattedCitation":"(2002)","plainCitation":"(2002)","noteIndex":0},"citationItems":[{"id":4962,"uris":["http://zotero.org/groups/2470620/items/8JNTWWY3"],"itemData":{"id":4962,"type":"article-journal","container-title":"Health Phys","issue":"1","note":"section: 35","page":"35-45","title":"Gastrointestinal absorption of uranium in humans","volume":"83","author":[{"family":"Zamora","given":"M.L"},{"family":"Zielinski","given":"J.M."},{"family":"Meyerhof","given":"D.P."},{"family":"Tracy","given":"B.L."}],"issued":{"date-parts":[["2002"]]}},"label":"page","suppress-author":true}],"schema":"https://github.com/citation-style-language/schema/raw/master/csl-citation.json"} </w:instrText>
      </w:r>
      <w:r w:rsidR="00DB63BF" w:rsidRPr="00972C81">
        <w:rPr>
          <w:noProof/>
        </w:rPr>
        <w:fldChar w:fldCharType="separate"/>
      </w:r>
      <w:r w:rsidR="00BC59C6" w:rsidRPr="00972C81">
        <w:rPr>
          <w:noProof/>
        </w:rPr>
        <w:t>(2002)</w:t>
      </w:r>
      <w:r w:rsidR="00DB63BF" w:rsidRPr="00972C81">
        <w:rPr>
          <w:noProof/>
        </w:rPr>
        <w:fldChar w:fldCharType="end"/>
      </w:r>
      <w:r w:rsidRPr="00972C81">
        <w:rPr>
          <w:noProof/>
        </w:rPr>
        <w:t xml:space="preserve">, records of uranium measurement in drinking water and estimates of daily food and water consumption. Applying the age-dependent biokinetic model for uranium of </w:t>
      </w:r>
      <w:r w:rsidRPr="00972C81">
        <w:rPr>
          <w:i/>
          <w:noProof/>
        </w:rPr>
        <w:t>Publication 69</w:t>
      </w:r>
      <w:r w:rsidRPr="00972C81">
        <w:rPr>
          <w:noProof/>
        </w:rPr>
        <w:t>, they estimated an absorption fraction of 0.02 +/- 0.015 (mean +/- standard deviation, range 0.005</w:t>
      </w:r>
      <w:r w:rsidR="007E0EBA" w:rsidRPr="00972C81">
        <w:rPr>
          <w:noProof/>
          <w:spacing w:val="1"/>
        </w:rPr>
        <w:t>–</w:t>
      </w:r>
      <w:r w:rsidRPr="00972C81">
        <w:rPr>
          <w:noProof/>
        </w:rPr>
        <w:t>0.07 from 35 samples) for adults aged 18–25 y.</w:t>
      </w:r>
    </w:p>
    <w:p w14:paraId="501CF69C" w14:textId="17A3EB69" w:rsidR="00E31A20" w:rsidRPr="00972C81" w:rsidRDefault="00E31A20" w:rsidP="001C4A92">
      <w:pPr>
        <w:pStyle w:val="Annalstext"/>
        <w:rPr>
          <w:noProof/>
        </w:rPr>
      </w:pPr>
      <w:r w:rsidRPr="00972C81">
        <w:rPr>
          <w:noProof/>
        </w:rPr>
        <w:t xml:space="preserve">Measurements of uranium absorption have been made in rats, hamsters, rabbits, dogs and baboons </w:t>
      </w:r>
      <w:r w:rsidR="00AC3977" w:rsidRPr="00972C81">
        <w:rPr>
          <w:noProof/>
        </w:rPr>
        <w:fldChar w:fldCharType="begin"/>
      </w:r>
      <w:r w:rsidR="00AC3977" w:rsidRPr="00972C81">
        <w:rPr>
          <w:noProof/>
        </w:rPr>
        <w:instrText xml:space="preserve"> ADDIN ZOTERO_ITEM CSL_CITATION {"citationID":"65EOxoCx","properties":{"custom":"(reviewed by Davesne and Blanchardon, 2014; Harrison, 1991; Leggett and Harrison, 1995; Wrenn et al., 1985)","formattedCitation":"(reviewed by Davesne and Blanchardon, 2014; Harrison, 1991; Leggett and Harrison, 1995; Wrenn et al., 1985)","plainCitation":"(reviewed by Davesne and Blanchardon, 2014; Harrison, 1991; Leggett and Harrison, 1995; Wrenn et al., 1985)","noteIndex":0},"citationItems":[{"id":4944,"uris":["http://zotero.org/groups/2470620/items/H8F9RLKM"],"itemData":{"id":4944,"type":"article-journal","archive_location":"24467327","container-title":"International Journal of Radiation Biology","DOI":"10.3109/09553002.2014.886796","issue":"11","page":"975-988","title":"Physico-chemical characteristics of uranium compounds: A review","volume":"90","author":[{"family":"Davesne","given":"Estelle"},{"family":"Blanchardon","given":"Eric"}],"issued":{"date-parts":[["2014"]]}},"label":"page"},{"id":4940,"uris":["http://zotero.org/groups/2470620/items/4HZA9KYZ"],"itemData":{"id":4940,"type":"article-journal","abstract":"The greatest uncertainty in dose estimates for the ingestion of long-lived, alpha-emitting isotopes of the actinide elements is in the values used for their fractional absorption from the gastrointestinal tract (f1 values). Recent years have seen a large increase in the available data on actinide absorption. Human data are reviewed here, together with animal data, to illustrate the effect on absorption of chemical form, incorporation into food materials, fasting and other dietary factors, and age at ingestion. The f1 values recommended by the International Commission on Radiological Protection, by an Expert Group of the Nuclear Energy Agency and by the National Radiological Protection Board are discussed.","container-title":"The Science of the Total Environment","DOI":"10.1016/0048-9697(91)90373-m","ISSN":"0048-9697","journalAbbreviation":"Sci Total Environ","language":"eng","note":"PMID: 1648260","page":"43-60","source":"PubMed","title":"The gastrointestinal absorption of the actinide elements","volume":"100 Spec No","author":[{"family":"Harrison","given":"J. D."}],"issued":{"date-parts":[["1991",3]]}},"label":"page"},{"id":4942,"uris":["http://zotero.org/groups/2470620/items/5YIGCSNF"],"itemData":{"id":4942,"type":"article-journal","abstract":"This paper provides a review and reanalysis of data relating to gastrointestinal (GI) uptake of uranium in humans. Estimates of GI uptake of uranium in adult humans have been derived from results of three controlled experimental studies involving short-term oral intake of an elevated quantity of uranium in fluids, from a controlled balance study conducted in a metabolic research ward of a hospital, and from a variety of environmental studies in which urinary uranium could be related to total intake or total excretion of this element in the same population. For controlled studies, uptake values range from less than 0.1% to about 6% for individual subjects, with central values for different studies falling in the range 1-2.4%. Environmental studies yield central estimates in the range 0.3-3.2%. Expressed as a percentage of total intake of uranium in food and fluids, average GI uptake of uranium in adult humans appears to be about 1-1.5%. Limited intake and excretion data for environmentally exposed human subjects &gt; or = 5 y of age do not reveal important differences with age in uranium uptake, but more definitive information is needed for children. More information is also needed to determine whether fractional uptake of uranium increases with decreasing levels of intake and whether uptake from drinking water is substantially higher than uptake from food. Data for laboratory animals indicate that fractional uptake of uranium depends strongly on the chemical form ingested and the length of time since the last intake of food.","container-title":"Health Physics","DOI":"10.1097/00004032-199504000-00005","ISSN":"0017-9078","issue":"4","journalAbbreviation":"Health Phys","language":"eng","note":"PMID: 7883560","page":"484-498","source":"PubMed","title":"Fractional absorption of ingested uranium in humans","volume":"68","author":[{"family":"Leggett","given":"R. W."},{"family":"Harrison","given":"J. D."}],"issued":{"date-parts":[["1995",4]]}},"label":"page"},{"id":4938,"uris":["http://zotero.org/groups/2470620/items/8F9Y2E6R"],"itemData":{"id":4938,"type":"article-journal","abstract":"The literature on metabolism of U and Ra for man relevant to deriving drinking water standards has been reviewed and summarized. Radium is well understood, but significant gaps remain in our knowledge about U metabolism. Limits should be based on an equilibrium model where a constant relationship between intake and organ burden is established, using the best and most likely metabolic parameters. For the skeleton we conclude that the best estimate of skeletal burden expressed in days equivalent intake are 25 days for 226Ra, 10 days for 228Ra, and 0.3 days for 224Ra. For long-lived isotopes of U, we chose 11 days, with a range between 1 and 35 days. The committee believes that intake of natural U in water should be limited by considerations of toxicity to the kidney, and we believe that the metabolic model of Spoor and Hursh with a modified gastrointestinal (GI) absorption (1.4%) should be used to infer kidney content. Our review and analysis of the world literature leads us to believe the average human GI absorption of U is most likely 1-2% and is probably reasonably independent of age or the mass of U ingested. Using a safety factor of 50-150, the committee recommends a limit of U in water of 100 micrograms/l in order to limit toxic effects in the kidney. One hundred micrograms/liter is equivalent to 67 pCi/l of long-lived alpha-emitting natural U isotopes. Further research into the distribution of U in the human body is desirable, especially at natural levels in kidney and skeleton, the time-dependent pharmacokinetics of U in animals, the GI absorption of U in man from water and food, toxicological and U distribution studies in animals under conditions of chronic oral U intake, and metabolic model error propagation.","container-title":"Health Physics","DOI":"10.1097/00004032-198505000-00004","ISSN":"0017-9078","issue":"5","journalAbbreviation":"Health Phys","language":"eng","note":"PMID: 3988524","page":"601-633","source":"PubMed","title":"Metabolism of ingested U and Ra","volume":"48","author":[{"family":"Wrenn","given":"M. E."},{"family":"Durbin","given":"P. W."},{"family":"Howard","given":"B."},{"family":"Lipsztein","given":"J."},{"family":"Rundo","given":"J."},{"family":"Still","given":"E. T."},{"family":"Willis","given":"D. L."}],"issued":{"date-parts":[["1985",5]]}},"label":"page"}],"schema":"https://github.com/citation-style-language/schema/raw/master/csl-citation.json"} </w:instrText>
      </w:r>
      <w:r w:rsidR="00AC3977" w:rsidRPr="00972C81">
        <w:rPr>
          <w:noProof/>
        </w:rPr>
        <w:fldChar w:fldCharType="separate"/>
      </w:r>
      <w:r w:rsidR="00BC59C6" w:rsidRPr="00972C81">
        <w:rPr>
          <w:noProof/>
        </w:rPr>
        <w:t>(reviewed by Davesne and Blanchardon, 2014; Harrison, 1991; Leggett and Harrison, 1995; Wrenn et al., 1985)</w:t>
      </w:r>
      <w:r w:rsidR="00AC3977" w:rsidRPr="00972C81">
        <w:rPr>
          <w:noProof/>
        </w:rPr>
        <w:fldChar w:fldCharType="end"/>
      </w:r>
      <w:r w:rsidRPr="00972C81">
        <w:rPr>
          <w:noProof/>
        </w:rPr>
        <w:t xml:space="preserve">. A number of studies have shown that absorption is substantially greater in fasted than fed animals. For example, Bhattacharyya </w:t>
      </w:r>
      <w:r w:rsidRPr="00972C81">
        <w:rPr>
          <w:iCs/>
          <w:noProof/>
        </w:rPr>
        <w:t>et al</w:t>
      </w:r>
      <w:r w:rsidRPr="00972C81">
        <w:rPr>
          <w:i/>
          <w:iCs/>
          <w:noProof/>
        </w:rPr>
        <w:t xml:space="preserve">. </w:t>
      </w:r>
      <w:r w:rsidR="00AC3977" w:rsidRPr="00972C81">
        <w:rPr>
          <w:noProof/>
        </w:rPr>
        <w:fldChar w:fldCharType="begin"/>
      </w:r>
      <w:r w:rsidR="00AC3977" w:rsidRPr="00972C81">
        <w:rPr>
          <w:noProof/>
        </w:rPr>
        <w:instrText xml:space="preserve"> ADDIN ZOTERO_ITEM CSL_CITATION {"citationID":"WAhwL5gL","properties":{"formattedCitation":"(1989)","plainCitation":"(1989)","noteIndex":0},"citationItems":[{"id":4969,"uris":["http://zotero.org/groups/2470620/items/9ZFUVPEW"],"itemData":{"id":4969,"type":"article-journal","abstract":"Gastrointestinal (GI) absorption values of plutonium and uranium were determined in fed and fasted adult baboons and mice. For both baboons and mice, the GI absorptions of plutonium and uranium were 10 to 20 times higher in 24 h fasted animals than in fed ones. For plutonium, GI absorption values in baboons were almost identical to those in mice for both fed and fasted conditions (~0.2% in fasted animals; 0.01% in fed animals), and values for fed animals agreed with estimates for humans. For uranium, GI absorption values in fed and fasted baboons were 6 to 7 times higher than those in mice, and agreed well with those in fed and fasted humans. For one baboon that was not given its morning meal plutonium absorption 2 h after the start of the active phase was the same as that in the 24 h fasted animals. In contrast, for baboons that received a morning meal plutonium absorption did not rise to the value of 24 h fasted baboons even 8 h after the meal. We conclude that GI absorption values for plutonium and uranium in adult baboons are good estimates of the values in humans and that the values for the fasted condition should be used to set standards for oral exposure of persons in the workplace.","archive":"Scopus","container-title":"Radiation Protection Dosimetry","DOI":"10.1093/rpd/26.1-4.159","ISSN":"0144-8420","issue":"1-4","language":"English","page":"159-165","source":"Scopus","title":"Gastrointestinal absorption of plutonium and uranium in fed and fasted adult baboons and mice: Application to humans","title-short":"Gastrointestinal absorption of plutonium and uranium in fed and fasted adult baboons and mice","volume":"26","author":[{"family":"Bhattacharyya","given":"M.H."},{"family":"Larsen","given":"R.P."},{"family":"Cohen","given":"N."},{"family":"Ralston","given":"L.G."},{"family":"Moretti","given":"E.S."},{"family":"Oldham","given":"R.D."},{"family":"Ayres","given":"L."}],"issued":{"date-parts":[["1989"]]}},"label":"page","suppress-author":true}],"schema":"https://github.com/citation-style-language/schema/raw/master/csl-citation.json"} </w:instrText>
      </w:r>
      <w:r w:rsidR="00AC3977" w:rsidRPr="00972C81">
        <w:rPr>
          <w:noProof/>
        </w:rPr>
        <w:fldChar w:fldCharType="separate"/>
      </w:r>
      <w:r w:rsidR="00BC59C6" w:rsidRPr="00972C81">
        <w:rPr>
          <w:noProof/>
        </w:rPr>
        <w:t>(1989)</w:t>
      </w:r>
      <w:r w:rsidR="00AC3977" w:rsidRPr="00972C81">
        <w:rPr>
          <w:noProof/>
        </w:rPr>
        <w:fldChar w:fldCharType="end"/>
      </w:r>
      <w:r w:rsidRPr="00972C81">
        <w:rPr>
          <w:noProof/>
        </w:rPr>
        <w:t xml:space="preserve"> found that uptake was increased by an order of magnitude in mice and baboons deprived of food for 24 h prior to uranium administration. The values obtained for absorption in mice were 7</w:t>
      </w:r>
      <w:r w:rsidR="00067025" w:rsidRPr="00972C81">
        <w:rPr>
          <w:noProof/>
        </w:rPr>
        <w:t xml:space="preserve"> × </w:t>
      </w:r>
      <w:r w:rsidRPr="00972C81">
        <w:rPr>
          <w:noProof/>
        </w:rPr>
        <w:t>10</w:t>
      </w:r>
      <w:r w:rsidRPr="00972C81">
        <w:rPr>
          <w:noProof/>
          <w:vertAlign w:val="superscript"/>
        </w:rPr>
        <w:t>-4</w:t>
      </w:r>
      <w:r w:rsidRPr="00972C81">
        <w:rPr>
          <w:noProof/>
        </w:rPr>
        <w:t xml:space="preserve"> in fed animals and 0.008 after fasting, with corresponding values for baboons of 0.005 and 0.045. Animal studies provide information on the relative uptake of uranium ingested in different chemical forms. Absorption generally decreases with decreasing solubility of the compound, being greatest for uranium ingested as UO</w:t>
      </w:r>
      <w:r w:rsidRPr="00972C81">
        <w:rPr>
          <w:noProof/>
          <w:vertAlign w:val="subscript"/>
        </w:rPr>
        <w:t>2</w:t>
      </w:r>
      <w:r w:rsidRPr="00972C81">
        <w:rPr>
          <w:noProof/>
        </w:rPr>
        <w:t>(NO</w:t>
      </w:r>
      <w:r w:rsidRPr="00972C81">
        <w:rPr>
          <w:noProof/>
          <w:vertAlign w:val="subscript"/>
        </w:rPr>
        <w:t>3</w:t>
      </w:r>
      <w:r w:rsidRPr="00972C81">
        <w:rPr>
          <w:noProof/>
        </w:rPr>
        <w:t>)</w:t>
      </w:r>
      <w:r w:rsidRPr="00972C81">
        <w:rPr>
          <w:noProof/>
          <w:vertAlign w:val="subscript"/>
        </w:rPr>
        <w:t>2</w:t>
      </w:r>
      <w:r w:rsidRPr="00972C81">
        <w:rPr>
          <w:noProof/>
        </w:rPr>
        <w:t>∙6H</w:t>
      </w:r>
      <w:r w:rsidRPr="00972C81">
        <w:rPr>
          <w:noProof/>
          <w:vertAlign w:val="subscript"/>
        </w:rPr>
        <w:t>2</w:t>
      </w:r>
      <w:r w:rsidRPr="00972C81">
        <w:rPr>
          <w:noProof/>
        </w:rPr>
        <w:t>O, U-TBP, UO</w:t>
      </w:r>
      <w:r w:rsidRPr="00972C81">
        <w:rPr>
          <w:noProof/>
          <w:vertAlign w:val="subscript"/>
        </w:rPr>
        <w:t>2</w:t>
      </w:r>
      <w:r w:rsidRPr="00972C81">
        <w:rPr>
          <w:noProof/>
        </w:rPr>
        <w:t>F</w:t>
      </w:r>
      <w:r w:rsidRPr="00972C81">
        <w:rPr>
          <w:noProof/>
          <w:vertAlign w:val="subscript"/>
        </w:rPr>
        <w:t>2</w:t>
      </w:r>
      <w:r w:rsidRPr="00972C81">
        <w:rPr>
          <w:noProof/>
        </w:rPr>
        <w:t xml:space="preserve"> or Na</w:t>
      </w:r>
      <w:r w:rsidRPr="00972C81">
        <w:rPr>
          <w:noProof/>
          <w:vertAlign w:val="subscript"/>
        </w:rPr>
        <w:t>2</w:t>
      </w:r>
      <w:r w:rsidRPr="00972C81">
        <w:rPr>
          <w:noProof/>
        </w:rPr>
        <w:t>U</w:t>
      </w:r>
      <w:r w:rsidRPr="00972C81">
        <w:rPr>
          <w:noProof/>
          <w:vertAlign w:val="subscript"/>
        </w:rPr>
        <w:t>2</w:t>
      </w:r>
      <w:r w:rsidRPr="00972C81">
        <w:rPr>
          <w:noProof/>
        </w:rPr>
        <w:t>O</w:t>
      </w:r>
      <w:r w:rsidRPr="00972C81">
        <w:rPr>
          <w:noProof/>
          <w:vertAlign w:val="subscript"/>
        </w:rPr>
        <w:t>7</w:t>
      </w:r>
      <w:r w:rsidRPr="00972C81">
        <w:rPr>
          <w:noProof/>
        </w:rPr>
        <w:t>, roughly half as great for UO</w:t>
      </w:r>
      <w:r w:rsidRPr="00972C81">
        <w:rPr>
          <w:noProof/>
          <w:vertAlign w:val="subscript"/>
        </w:rPr>
        <w:t>4</w:t>
      </w:r>
      <w:r w:rsidRPr="00972C81">
        <w:rPr>
          <w:noProof/>
        </w:rPr>
        <w:t xml:space="preserve"> or UO</w:t>
      </w:r>
      <w:r w:rsidRPr="00972C81">
        <w:rPr>
          <w:noProof/>
          <w:vertAlign w:val="subscript"/>
        </w:rPr>
        <w:t>3</w:t>
      </w:r>
      <w:r w:rsidRPr="00972C81">
        <w:rPr>
          <w:noProof/>
        </w:rPr>
        <w:t>, and one to two orders of magnitude lower for UCl</w:t>
      </w:r>
      <w:r w:rsidRPr="00972C81">
        <w:rPr>
          <w:noProof/>
          <w:vertAlign w:val="subscript"/>
        </w:rPr>
        <w:t>4</w:t>
      </w:r>
      <w:r w:rsidRPr="00972C81">
        <w:rPr>
          <w:noProof/>
        </w:rPr>
        <w:t>, U</w:t>
      </w:r>
      <w:r w:rsidRPr="00972C81">
        <w:rPr>
          <w:noProof/>
          <w:vertAlign w:val="subscript"/>
        </w:rPr>
        <w:t>3</w:t>
      </w:r>
      <w:r w:rsidRPr="00972C81">
        <w:rPr>
          <w:noProof/>
        </w:rPr>
        <w:t>O</w:t>
      </w:r>
      <w:r w:rsidRPr="00972C81">
        <w:rPr>
          <w:noProof/>
          <w:vertAlign w:val="subscript"/>
        </w:rPr>
        <w:t>8</w:t>
      </w:r>
      <w:r w:rsidRPr="00972C81">
        <w:rPr>
          <w:noProof/>
        </w:rPr>
        <w:t>, UO</w:t>
      </w:r>
      <w:r w:rsidRPr="00972C81">
        <w:rPr>
          <w:noProof/>
          <w:vertAlign w:val="subscript"/>
        </w:rPr>
        <w:t>2</w:t>
      </w:r>
      <w:r w:rsidRPr="00972C81">
        <w:rPr>
          <w:noProof/>
        </w:rPr>
        <w:t xml:space="preserve"> and UF</w:t>
      </w:r>
      <w:r w:rsidRPr="00972C81">
        <w:rPr>
          <w:noProof/>
          <w:vertAlign w:val="subscript"/>
        </w:rPr>
        <w:t>4</w:t>
      </w:r>
      <w:r w:rsidRPr="00972C81">
        <w:rPr>
          <w:noProof/>
        </w:rPr>
        <w:t>.</w:t>
      </w:r>
    </w:p>
    <w:p w14:paraId="022D9452" w14:textId="32CFADDD" w:rsidR="00E31A20" w:rsidRPr="00972C81" w:rsidRDefault="00E31A20" w:rsidP="001C4A92">
      <w:pPr>
        <w:pStyle w:val="Annalstext"/>
        <w:rPr>
          <w:noProof/>
        </w:rPr>
      </w:pPr>
      <w:r w:rsidRPr="00972C81">
        <w:rPr>
          <w:noProof/>
        </w:rPr>
        <w:t xml:space="preserve">Studies comparing the time course of the retention and excretion of uranium after oral and intravenous administration suggest that some retention in the intestinal wall may occur, either during a period of prolonged absorption, or temporarily prior to loss into the gut lumen </w:t>
      </w:r>
      <w:r w:rsidR="00AC3977" w:rsidRPr="00972C81">
        <w:rPr>
          <w:noProof/>
        </w:rPr>
        <w:fldChar w:fldCharType="begin"/>
      </w:r>
      <w:r w:rsidR="00AC3977" w:rsidRPr="00972C81">
        <w:rPr>
          <w:noProof/>
        </w:rPr>
        <w:instrText xml:space="preserve"> ADDIN ZOTERO_ITEM CSL_CITATION {"citationID":"oDUSGZDk","properties":{"formattedCitation":"(ICRP, 2006)","plainCitation":"(ICRP, 2006)","noteIndex":0},"citationItems":[{"id":2564,"uris":["http://zotero.org/groups/2470620/items/9MYKCIRK",["http://zotero.org/groups/2470620/items/9MYKCIRK"]],"itemData":{"id":2564,"type":"article-journal","container-title":"Annals of the ICRP","issue":"1-2","journalAbbreviation":"Ann. ICRP","language":"en","note":"publisher-place: Oxford\npublisher: Pergamon Press","title":"Human alimentary tract model for radiological protection. ICRP Publication 100","volume":"36","author":[{"literal":"ICRP"}],"issued":{"date-parts":[["2006"]]}}}],"schema":"https://github.com/citation-style-language/schema/raw/master/csl-citation.json"} </w:instrText>
      </w:r>
      <w:r w:rsidR="00AC3977" w:rsidRPr="00972C81">
        <w:rPr>
          <w:noProof/>
        </w:rPr>
        <w:fldChar w:fldCharType="separate"/>
      </w:r>
      <w:r w:rsidR="00BC59C6" w:rsidRPr="00972C81">
        <w:rPr>
          <w:noProof/>
        </w:rPr>
        <w:t>(ICRP, 2006)</w:t>
      </w:r>
      <w:r w:rsidR="00AC3977" w:rsidRPr="00972C81">
        <w:rPr>
          <w:noProof/>
        </w:rPr>
        <w:fldChar w:fldCharType="end"/>
      </w:r>
      <w:r w:rsidRPr="00972C81">
        <w:rPr>
          <w:noProof/>
        </w:rPr>
        <w:t>. Urinary excretion data from uranium ab</w:t>
      </w:r>
      <w:r w:rsidR="00AC3977" w:rsidRPr="00972C81">
        <w:rPr>
          <w:noProof/>
        </w:rPr>
        <w:t>sorption studies on human volun</w:t>
      </w:r>
      <w:r w:rsidRPr="00972C81">
        <w:rPr>
          <w:noProof/>
        </w:rPr>
        <w:t>teers</w:t>
      </w:r>
      <w:r w:rsidRPr="00972C81">
        <w:rPr>
          <w:noProof/>
          <w:color w:val="000066"/>
        </w:rPr>
        <w:t xml:space="preserve"> </w:t>
      </w:r>
      <w:r w:rsidR="00AC3977" w:rsidRPr="00972C81">
        <w:rPr>
          <w:noProof/>
          <w:color w:val="000066"/>
        </w:rPr>
        <w:fldChar w:fldCharType="begin"/>
      </w:r>
      <w:r w:rsidR="00AC3977" w:rsidRPr="00972C81">
        <w:rPr>
          <w:noProof/>
          <w:color w:val="000066"/>
        </w:rPr>
        <w:instrText xml:space="preserve"> ADDIN ZOTERO_ITEM CSL_CITATION {"citationID":"Ej6w8h5F","properties":{"formattedCitation":"(Harduin et al., 1994; Wrenn et al., 1989)","plainCitation":"(Harduin et al., 1994; Wrenn et al., 1989)","noteIndex":0},"citationItems":[{"id":4948,"uris":["http://zotero.org/groups/2470620/items/2P5CIA5Y"],"itemData":{"id":4948,"type":"article-journal","container-title":"Radiat Prot Dosimetry","issue":"1-4","page":"245-248","title":"Uptake and urinary excretion of uranium after oral administration in man","volume":"53","author":[{"family":"Harduin","given":"J.C."},{"family":"Royer","given":"Ph."},{"family":"Piechowski","given":"J."}],"issued":{"date-parts":[["1994"]]}}},{"id":4947,"uris":["http://zotero.org/groups/2470620/items/GMFS73GP"],"itemData":{"id":4947,"type":"article-journal","container-title":"Radiat Prot Dosimetry","issue":"1/4","page":"119-122","title":"Gastrointestinal absorption of soluble uranium from drinking water by man","volume":"26","author":[{"family":"Wrenn","given":"M. E."},{"family":"Singh","given":"N.P."},{"family":"Ruth","given":"H."},{"family":"Rallison","given":"M.L."},{"family":"Burleigh","given":"D.P."}],"issued":{"date-parts":[["1989"]]}}}],"schema":"https://github.com/citation-style-language/schema/raw/master/csl-citation.json"} </w:instrText>
      </w:r>
      <w:r w:rsidR="00AC3977" w:rsidRPr="00972C81">
        <w:rPr>
          <w:noProof/>
          <w:color w:val="000066"/>
        </w:rPr>
        <w:fldChar w:fldCharType="separate"/>
      </w:r>
      <w:r w:rsidR="00BC59C6" w:rsidRPr="00972C81">
        <w:rPr>
          <w:noProof/>
        </w:rPr>
        <w:t>(Harduin et al., 1994; Wrenn et al., 1989)</w:t>
      </w:r>
      <w:r w:rsidR="00AC3977" w:rsidRPr="00972C81">
        <w:rPr>
          <w:noProof/>
          <w:color w:val="000066"/>
        </w:rPr>
        <w:fldChar w:fldCharType="end"/>
      </w:r>
      <w:r w:rsidR="00AC3977" w:rsidRPr="00972C81">
        <w:rPr>
          <w:noProof/>
          <w:color w:val="000066"/>
        </w:rPr>
        <w:t xml:space="preserve"> </w:t>
      </w:r>
      <w:r w:rsidRPr="00972C81">
        <w:rPr>
          <w:noProof/>
        </w:rPr>
        <w:t xml:space="preserve">and baboon data </w:t>
      </w:r>
      <w:r w:rsidR="00AC3977" w:rsidRPr="00972C81">
        <w:rPr>
          <w:noProof/>
        </w:rPr>
        <w:fldChar w:fldCharType="begin"/>
      </w:r>
      <w:r w:rsidR="00AC3977" w:rsidRPr="00972C81">
        <w:rPr>
          <w:noProof/>
        </w:rPr>
        <w:instrText xml:space="preserve"> ADDIN ZOTERO_ITEM CSL_CITATION {"citationID":"FeczjnBa","properties":{"formattedCitation":"(Larsen and Orlandini, 1984)","plainCitation":"(Larsen and Orlandini, 1984)","noteIndex":0},"citationItems":[{"id":4957,"uris":["http://zotero.org/groups/2470620/items/TY9WY88J"],"itemData":{"id":4957,"type":"report","collection-title":"Environmental Research Division Annual Report, July 1982 - June 1983","number":"ANL-83-100-Pt.2","page":"46–50","publisher":"Argonne National Laboratory","source":"Google Scholar","title":"Gastrointestinal absorption of uranium in man","author":[{"family":"Larsen","given":"R. P."},{"family":"Orlandini","given":"K. A."}],"issued":{"date-parts":[["1984"]]}}}],"schema":"https://github.com/citation-style-language/schema/raw/master/csl-citation.json"} </w:instrText>
      </w:r>
      <w:r w:rsidR="00AC3977" w:rsidRPr="00972C81">
        <w:rPr>
          <w:noProof/>
        </w:rPr>
        <w:fldChar w:fldCharType="separate"/>
      </w:r>
      <w:r w:rsidR="00BC59C6" w:rsidRPr="00972C81">
        <w:rPr>
          <w:noProof/>
        </w:rPr>
        <w:t>(Larsen and Orlandini, 1984)</w:t>
      </w:r>
      <w:r w:rsidR="00AC3977" w:rsidRPr="00972C81">
        <w:rPr>
          <w:noProof/>
        </w:rPr>
        <w:fldChar w:fldCharType="end"/>
      </w:r>
      <w:r w:rsidRPr="00972C81">
        <w:rPr>
          <w:noProof/>
        </w:rPr>
        <w:t xml:space="preserve"> are consistent with the assumption that uranium passes through the intestinal wall with a half-time of 1–3 days and behaves the same as directly injected uranium once it reaches blood. However, </w:t>
      </w:r>
      <w:r w:rsidRPr="00972C81">
        <w:rPr>
          <w:noProof/>
        </w:rPr>
        <w:lastRenderedPageBreak/>
        <w:t xml:space="preserve">since it is assumed that absorption and temporary retention is confined to the villi, no dose will be delivered from alpha-emitting isotopes of uranium to epithelial stem cells at a depth of 130– 150 µm in the crypts </w:t>
      </w:r>
      <w:r w:rsidR="00AC3977" w:rsidRPr="00972C81">
        <w:rPr>
          <w:noProof/>
        </w:rPr>
        <w:fldChar w:fldCharType="begin"/>
      </w:r>
      <w:r w:rsidR="00AC3977" w:rsidRPr="00972C81">
        <w:rPr>
          <w:noProof/>
        </w:rPr>
        <w:instrText xml:space="preserve"> ADDIN ZOTERO_ITEM CSL_CITATION {"citationID":"oLUcFuCi","properties":{"formattedCitation":"(ICRP, 2006)","plainCitation":"(ICRP, 2006)","noteIndex":0},"citationItems":[{"id":2564,"uris":["http://zotero.org/groups/2470620/items/9MYKCIRK",["http://zotero.org/groups/2470620/items/9MYKCIRK"]],"itemData":{"id":2564,"type":"article-journal","container-title":"Annals of the ICRP","issue":"1-2","journalAbbreviation":"Ann. ICRP","language":"en","note":"publisher-place: Oxford\npublisher: Pergamon Press","title":"Human alimentary tract model for radiological protection. ICRP Publication 100","volume":"36","author":[{"literal":"ICRP"}],"issued":{"date-parts":[["2006"]]}}}],"schema":"https://github.com/citation-style-language/schema/raw/master/csl-citation.json"} </w:instrText>
      </w:r>
      <w:r w:rsidR="00AC3977" w:rsidRPr="00972C81">
        <w:rPr>
          <w:noProof/>
        </w:rPr>
        <w:fldChar w:fldCharType="separate"/>
      </w:r>
      <w:r w:rsidR="00BC59C6" w:rsidRPr="00972C81">
        <w:rPr>
          <w:noProof/>
        </w:rPr>
        <w:t>(ICRP, 2006)</w:t>
      </w:r>
      <w:r w:rsidR="00AC3977" w:rsidRPr="00972C81">
        <w:rPr>
          <w:noProof/>
        </w:rPr>
        <w:fldChar w:fldCharType="end"/>
      </w:r>
      <w:r w:rsidRPr="00972C81">
        <w:rPr>
          <w:noProof/>
        </w:rPr>
        <w:t>.</w:t>
      </w:r>
    </w:p>
    <w:p w14:paraId="299FB281" w14:textId="3236D2C2" w:rsidR="00E31A20" w:rsidRPr="00972C81" w:rsidRDefault="00E31A20" w:rsidP="001C4A92">
      <w:pPr>
        <w:pStyle w:val="Annalstext"/>
        <w:rPr>
          <w:noProof/>
        </w:rPr>
      </w:pPr>
      <w:r w:rsidRPr="00972C81">
        <w:rPr>
          <w:iCs/>
          <w:noProof/>
        </w:rPr>
        <w:t>In</w:t>
      </w:r>
      <w:r w:rsidRPr="00972C81">
        <w:rPr>
          <w:i/>
          <w:iCs/>
          <w:noProof/>
        </w:rPr>
        <w:t xml:space="preserve"> Publication 30 </w:t>
      </w:r>
      <w:r w:rsidR="00AC3977" w:rsidRPr="00972C81">
        <w:rPr>
          <w:noProof/>
        </w:rPr>
        <w:fldChar w:fldCharType="begin"/>
      </w:r>
      <w:r w:rsidR="00AC3977" w:rsidRPr="00972C81">
        <w:rPr>
          <w:noProof/>
        </w:rPr>
        <w:instrText xml:space="preserve"> ADDIN ZOTERO_ITEM CSL_CITATION {"citationID":"719m3AZg","properties":{"formattedCitation":"(ICRP, 1979)","plainCitation":"(ICRP, 1979)","noteIndex":0},"citationItems":[{"id":2553,"uris":["http://zotero.org/groups/2470620/items/EZPADUX7"],"itemData":{"id":2553,"type":"article-journal","container-title":"Annals of the ICRP","issue":"3/4","journalAbbreviation":"Ann. ICRP","language":"et","title":"Limits for intakes of radionuclides by workers, ICRP Publication 30, Part 1","volume":"2","author":[{"literal":"ICRP"}],"issued":{"date-parts":[["1979"]]}}}],"schema":"https://github.com/citation-style-language/schema/raw/master/csl-citation.json"} </w:instrText>
      </w:r>
      <w:r w:rsidR="00AC3977" w:rsidRPr="00972C81">
        <w:rPr>
          <w:noProof/>
        </w:rPr>
        <w:fldChar w:fldCharType="separate"/>
      </w:r>
      <w:r w:rsidR="00BC59C6" w:rsidRPr="00972C81">
        <w:rPr>
          <w:noProof/>
        </w:rPr>
        <w:t>(ICRP, 1979)</w:t>
      </w:r>
      <w:r w:rsidR="00AC3977" w:rsidRPr="00972C81">
        <w:rPr>
          <w:noProof/>
        </w:rPr>
        <w:fldChar w:fldCharType="end"/>
      </w:r>
      <w:r w:rsidRPr="00972C81">
        <w:rPr>
          <w:noProof/>
        </w:rPr>
        <w:t xml:space="preserve"> an absorption fraction of 0.05 was recommended for inorganic forms of uranium, relying mainly on the human data reported by Hursh </w:t>
      </w:r>
      <w:r w:rsidRPr="00972C81">
        <w:rPr>
          <w:iCs/>
          <w:noProof/>
        </w:rPr>
        <w:t>et al.</w:t>
      </w:r>
      <w:r w:rsidRPr="00972C81">
        <w:rPr>
          <w:i/>
          <w:iCs/>
          <w:noProof/>
        </w:rPr>
        <w:t xml:space="preserve"> </w:t>
      </w:r>
      <w:r w:rsidR="00AC3977" w:rsidRPr="00972C81">
        <w:rPr>
          <w:noProof/>
        </w:rPr>
        <w:fldChar w:fldCharType="begin"/>
      </w:r>
      <w:r w:rsidR="00AC3977" w:rsidRPr="00972C81">
        <w:rPr>
          <w:noProof/>
        </w:rPr>
        <w:instrText xml:space="preserve"> ADDIN ZOTERO_ITEM CSL_CITATION {"citationID":"FDgvuzGn","properties":{"formattedCitation":"(1969)","plainCitation":"(1969)","noteIndex":0},"citationItems":[{"id":4945,"uris":["http://zotero.org/groups/2470620/items/SIQUKTTF"],"itemData":{"id":4945,"type":"article-journal","container-title":"Health Physics","ISSN":"0017-9078","issue":"4","journalAbbreviation":"Health Phys","language":"eng","note":"PMID: 5344473","page":"619-621","source":"PubMed","title":"Oral ingestion of uranium by man","volume":"17","author":[{"family":"Hursh","given":"J. B."},{"family":"Neuman","given":"W. R."},{"family":"Toribara","given":"T."},{"family":"Wilson","given":"H."},{"family":"Waterhouse","given":"C."}],"issued":{"date-parts":[["1969",10]]}},"label":"page","suppress-author":true}],"schema":"https://github.com/citation-style-language/schema/raw/master/csl-citation.json"} </w:instrText>
      </w:r>
      <w:r w:rsidR="00AC3977" w:rsidRPr="00972C81">
        <w:rPr>
          <w:noProof/>
        </w:rPr>
        <w:fldChar w:fldCharType="separate"/>
      </w:r>
      <w:r w:rsidR="00BC59C6" w:rsidRPr="00972C81">
        <w:rPr>
          <w:noProof/>
        </w:rPr>
        <w:t>(1969)</w:t>
      </w:r>
      <w:r w:rsidR="00AC3977" w:rsidRPr="00972C81">
        <w:rPr>
          <w:noProof/>
        </w:rPr>
        <w:fldChar w:fldCharType="end"/>
      </w:r>
      <w:r w:rsidRPr="00972C81">
        <w:rPr>
          <w:noProof/>
        </w:rPr>
        <w:t xml:space="preserve">. In </w:t>
      </w:r>
      <w:r w:rsidRPr="00972C81">
        <w:rPr>
          <w:i/>
          <w:noProof/>
        </w:rPr>
        <w:t>Publication 69</w:t>
      </w:r>
      <w:r w:rsidRPr="00972C81">
        <w:rPr>
          <w:noProof/>
        </w:rPr>
        <w:t xml:space="preserve"> </w:t>
      </w:r>
      <w:r w:rsidR="00AC3977" w:rsidRPr="00972C81">
        <w:rPr>
          <w:noProof/>
        </w:rPr>
        <w:fldChar w:fldCharType="begin"/>
      </w:r>
      <w:r w:rsidR="00AC3977" w:rsidRPr="00972C81">
        <w:rPr>
          <w:noProof/>
        </w:rPr>
        <w:instrText xml:space="preserve"> ADDIN ZOTERO_ITEM CSL_CITATION {"citationID":"ToTWB2Ny","properties":{"formattedCitation":"(ICRP, 1995a)","plainCitation":"(ICRP, 1995a)","noteIndex":0},"citationItems":[{"id":2560,"uris":["http://zotero.org/groups/2470620/items/2Z2UA63Y",["http://zotero.org/groups/2470620/items/2Z2UA63Y"]],"itemData":{"id":2560,"type":"article-journal","container-title":"Annals of the ICRP","issue":"1","language":"en","title":"Age-dependent Doses to Members of the Public from Intake of Radionuclides: Part 3. Ingestion Dose Coefficients, ICRP Publication 69.","volume":"25","author":[{"family":"ICRP","given":""}],"issued":{"date-parts":[["1995"]]}}}],"schema":"https://github.com/citation-style-language/schema/raw/master/csl-citation.json"} </w:instrText>
      </w:r>
      <w:r w:rsidR="00AC3977" w:rsidRPr="00972C81">
        <w:rPr>
          <w:noProof/>
        </w:rPr>
        <w:fldChar w:fldCharType="separate"/>
      </w:r>
      <w:r w:rsidR="00BC59C6" w:rsidRPr="00972C81">
        <w:rPr>
          <w:noProof/>
        </w:rPr>
        <w:t>(ICRP, 1995a)</w:t>
      </w:r>
      <w:r w:rsidR="00AC3977" w:rsidRPr="00972C81">
        <w:rPr>
          <w:noProof/>
        </w:rPr>
        <w:fldChar w:fldCharType="end"/>
      </w:r>
      <w:r w:rsidRPr="00972C81">
        <w:rPr>
          <w:noProof/>
        </w:rPr>
        <w:t xml:space="preserve">, an absorption fraction of 0.02 was recommended for dietary intakes of uranium on the basis of human data as reviewed by Wrenn et al. </w:t>
      </w:r>
      <w:r w:rsidR="00AC3977" w:rsidRPr="00972C81">
        <w:rPr>
          <w:noProof/>
        </w:rPr>
        <w:fldChar w:fldCharType="begin"/>
      </w:r>
      <w:r w:rsidR="00AC3977" w:rsidRPr="00972C81">
        <w:rPr>
          <w:noProof/>
        </w:rPr>
        <w:instrText xml:space="preserve"> ADDIN ZOTERO_ITEM CSL_CITATION {"citationID":"fOdQw5vE","properties":{"formattedCitation":"(1985)","plainCitation":"(1985)","noteIndex":0},"citationItems":[{"id":4938,"uris":["http://zotero.org/groups/2470620/items/8F9Y2E6R"],"itemData":{"id":4938,"type":"article-journal","abstract":"The literature on metabolism of U and Ra for man relevant to deriving drinking water standards has been reviewed and summarized. Radium is well understood, but significant gaps remain in our knowledge about U metabolism. Limits should be based on an equilibrium model where a constant relationship between intake and organ burden is established, using the best and most likely metabolic parameters. For the skeleton we conclude that the best estimate of skeletal burden expressed in days equivalent intake are 25 days for 226Ra, 10 days for 228Ra, and 0.3 days for 224Ra. For long-lived isotopes of U, we chose 11 days, with a range between 1 and 35 days. The committee believes that intake of natural U in water should be limited by considerations of toxicity to the kidney, and we believe that the metabolic model of Spoor and Hursh with a modified gastrointestinal (GI) absorption (1.4%) should be used to infer kidney content. Our review and analysis of the world literature leads us to believe the average human GI absorption of U is most likely 1-2% and is probably reasonably independent of age or the mass of U ingested. Using a safety factor of 50-150, the committee recommends a limit of U in water of 100 micrograms/l in order to limit toxic effects in the kidney. One hundred micrograms/liter is equivalent to 67 pCi/l of long-lived alpha-emitting natural U isotopes. Further research into the distribution of U in the human body is desirable, especially at natural levels in kidney and skeleton, the time-dependent pharmacokinetics of U in animals, the GI absorption of U in man from water and food, toxicological and U distribution studies in animals under conditions of chronic oral U intake, and metabolic model error propagation.","container-title":"Health Physics","DOI":"10.1097/00004032-198505000-00004","ISSN":"0017-9078","issue":"5","journalAbbreviation":"Health Phys","language":"eng","note":"PMID: 3988524","page":"601-633","source":"PubMed","title":"Metabolism of ingested U and Ra","volume":"48","author":[{"family":"Wrenn","given":"M. E."},{"family":"Durbin","given":"P. W."},{"family":"Howard","given":"B."},{"family":"Lipsztein","given":"J."},{"family":"Rundo","given":"J."},{"family":"Still","given":"E. T."},{"family":"Willis","given":"D. L."}],"issued":{"date-parts":[["1985",5]]}},"label":"page","suppress-author":true}],"schema":"https://github.com/citation-style-language/schema/raw/master/csl-citation.json"} </w:instrText>
      </w:r>
      <w:r w:rsidR="00AC3977" w:rsidRPr="00972C81">
        <w:rPr>
          <w:noProof/>
        </w:rPr>
        <w:fldChar w:fldCharType="separate"/>
      </w:r>
      <w:r w:rsidR="00BC59C6" w:rsidRPr="00972C81">
        <w:rPr>
          <w:noProof/>
        </w:rPr>
        <w:t>(1985)</w:t>
      </w:r>
      <w:r w:rsidR="00AC3977" w:rsidRPr="00972C81">
        <w:rPr>
          <w:noProof/>
        </w:rPr>
        <w:fldChar w:fldCharType="end"/>
      </w:r>
      <w:r w:rsidRPr="00972C81">
        <w:rPr>
          <w:noProof/>
        </w:rPr>
        <w:t xml:space="preserve">, Harrison </w:t>
      </w:r>
      <w:r w:rsidR="00AC3977" w:rsidRPr="00972C81">
        <w:rPr>
          <w:noProof/>
        </w:rPr>
        <w:fldChar w:fldCharType="begin"/>
      </w:r>
      <w:r w:rsidR="00AC3977" w:rsidRPr="00972C81">
        <w:rPr>
          <w:noProof/>
        </w:rPr>
        <w:instrText xml:space="preserve"> ADDIN ZOTERO_ITEM CSL_CITATION {"citationID":"lthG27lP","properties":{"formattedCitation":"(1991)","plainCitation":"(1991)","noteIndex":0},"citationItems":[{"id":4940,"uris":["http://zotero.org/groups/2470620/items/4HZA9KYZ"],"itemData":{"id":4940,"type":"article-journal","abstract":"The greatest uncertainty in dose estimates for the ingestion of long-lived, alpha-emitting isotopes of the actinide elements is in the values used for their fractional absorption from the gastrointestinal tract (f1 values). Recent years have seen a large increase in the available data on actinide absorption. Human data are reviewed here, together with animal data, to illustrate the effect on absorption of chemical form, incorporation into food materials, fasting and other dietary factors, and age at ingestion. The f1 values recommended by the International Commission on Radiological Protection, by an Expert Group of the Nuclear Energy Agency and by the National Radiological Protection Board are discussed.","container-title":"The Science of the Total Environment","DOI":"10.1016/0048-9697(91)90373-m","ISSN":"0048-9697","journalAbbreviation":"Sci Total Environ","language":"eng","note":"PMID: 1648260","page":"43-60","source":"PubMed","title":"The gastrointestinal absorption of the actinide elements","volume":"100 Spec No","author":[{"family":"Harrison","given":"J. D."}],"issued":{"date-parts":[["1991",3]]}},"label":"page","suppress-author":true}],"schema":"https://github.com/citation-style-language/schema/raw/master/csl-citation.json"} </w:instrText>
      </w:r>
      <w:r w:rsidR="00AC3977" w:rsidRPr="00972C81">
        <w:rPr>
          <w:noProof/>
        </w:rPr>
        <w:fldChar w:fldCharType="separate"/>
      </w:r>
      <w:r w:rsidR="00BC59C6" w:rsidRPr="00972C81">
        <w:rPr>
          <w:noProof/>
        </w:rPr>
        <w:t>(1991)</w:t>
      </w:r>
      <w:r w:rsidR="00AC3977" w:rsidRPr="00972C81">
        <w:rPr>
          <w:noProof/>
        </w:rPr>
        <w:fldChar w:fldCharType="end"/>
      </w:r>
      <w:r w:rsidRPr="00972C81">
        <w:rPr>
          <w:noProof/>
        </w:rPr>
        <w:t xml:space="preserve"> and Leggett and Harrison </w:t>
      </w:r>
      <w:r w:rsidR="00AC3977" w:rsidRPr="00972C81">
        <w:rPr>
          <w:noProof/>
        </w:rPr>
        <w:fldChar w:fldCharType="begin"/>
      </w:r>
      <w:r w:rsidR="00AC3977" w:rsidRPr="00972C81">
        <w:rPr>
          <w:noProof/>
        </w:rPr>
        <w:instrText xml:space="preserve"> ADDIN ZOTERO_ITEM CSL_CITATION {"citationID":"2ON9DZJQ","properties":{"formattedCitation":"(1995)","plainCitation":"(1995)","noteIndex":0},"citationItems":[{"id":4942,"uris":["http://zotero.org/groups/2470620/items/5YIGCSNF"],"itemData":{"id":4942,"type":"article-journal","abstract":"This paper provides a review and reanalysis of data relating to gastrointestinal (GI) uptake of uranium in humans. Estimates of GI uptake of uranium in adult humans have been derived from results of three controlled experimental studies involving short-term oral intake of an elevated quantity of uranium in fluids, from a controlled balance study conducted in a metabolic research ward of a hospital, and from a variety of environmental studies in which urinary uranium could be related to total intake or total excretion of this element in the same population. For controlled studies, uptake values range from less than 0.1% to about 6% for individual subjects, with central values for different studies falling in the range 1-2.4%. Environmental studies yield central estimates in the range 0.3-3.2%. Expressed as a percentage of total intake of uranium in food and fluids, average GI uptake of uranium in adult humans appears to be about 1-1.5%. Limited intake and excretion data for environmentally exposed human subjects &gt; or = 5 y of age do not reveal important differences with age in uranium uptake, but more definitive information is needed for children. More information is also needed to determine whether fractional uptake of uranium increases with decreasing levels of intake and whether uptake from drinking water is substantially higher than uptake from food. Data for laboratory animals indicate that fractional uptake of uranium depends strongly on the chemical form ingested and the length of time since the last intake of food.","container-title":"Health Physics","DOI":"10.1097/00004032-199504000-00005","ISSN":"0017-9078","issue":"4","journalAbbreviation":"Health Phys","language":"eng","note":"PMID: 7883560","page":"484-498","source":"PubMed","title":"Fractional absorption of ingested uranium in humans","volume":"68","author":[{"family":"Leggett","given":"R. W."},{"family":"Harrison","given":"J. D."}],"issued":{"date-parts":[["1995",4]]}},"label":"page","suppress-author":true}],"schema":"https://github.com/citation-style-language/schema/raw/master/csl-citation.json"} </w:instrText>
      </w:r>
      <w:r w:rsidR="00AC3977" w:rsidRPr="00972C81">
        <w:rPr>
          <w:noProof/>
        </w:rPr>
        <w:fldChar w:fldCharType="separate"/>
      </w:r>
      <w:r w:rsidR="00BC59C6" w:rsidRPr="00972C81">
        <w:rPr>
          <w:noProof/>
        </w:rPr>
        <w:t>(1995)</w:t>
      </w:r>
      <w:r w:rsidR="00AC3977" w:rsidRPr="00972C81">
        <w:rPr>
          <w:noProof/>
        </w:rPr>
        <w:fldChar w:fldCharType="end"/>
      </w:r>
      <w:r w:rsidRPr="00972C81">
        <w:rPr>
          <w:noProof/>
        </w:rPr>
        <w:t xml:space="preserve">. In </w:t>
      </w:r>
      <w:r w:rsidR="00141BB9" w:rsidRPr="00972C81">
        <w:rPr>
          <w:i/>
          <w:noProof/>
        </w:rPr>
        <w:t>Publication 137</w:t>
      </w:r>
      <w:r w:rsidRPr="00972C81">
        <w:rPr>
          <w:noProof/>
        </w:rPr>
        <w:t xml:space="preserve"> </w:t>
      </w:r>
      <w:r w:rsidR="00AC3977" w:rsidRPr="00972C81">
        <w:rPr>
          <w:noProof/>
        </w:rPr>
        <w:fldChar w:fldCharType="begin"/>
      </w:r>
      <w:r w:rsidR="00AC3977" w:rsidRPr="00972C81">
        <w:rPr>
          <w:noProof/>
        </w:rPr>
        <w:instrText xml:space="preserve"> ADDIN ZOTERO_ITEM CSL_CITATION {"citationID":"k3FkyvhP","properties":{"formattedCitation":"(ICRP, 2017)","plainCitation":"(ICRP, 2017)","noteIndex":0},"citationItems":[{"id":2566,"uris":["http://zotero.org/groups/2470620/items/BYB77JGB"],"itemData":{"id":2566,"type":"article-journal","container-title":"Annals of the ICRP","issue":"3/4","journalAbbreviation":"Ann. ICRP","language":"en","title":"Occupational intakes of radionuclides: Part 3. ICRP Publication 137","volume":"46","author":[{"literal":"ICRP"}],"issued":{"date-parts":[["2017"]]}}}],"schema":"https://github.com/citation-style-language/schema/raw/master/csl-citation.json"} </w:instrText>
      </w:r>
      <w:r w:rsidR="00AC3977" w:rsidRPr="00972C81">
        <w:rPr>
          <w:noProof/>
        </w:rPr>
        <w:fldChar w:fldCharType="separate"/>
      </w:r>
      <w:r w:rsidR="00BC59C6" w:rsidRPr="00972C81">
        <w:rPr>
          <w:noProof/>
        </w:rPr>
        <w:t>(ICRP, 2017)</w:t>
      </w:r>
      <w:r w:rsidR="00AC3977" w:rsidRPr="00972C81">
        <w:rPr>
          <w:noProof/>
        </w:rPr>
        <w:fldChar w:fldCharType="end"/>
      </w:r>
      <w:r w:rsidRPr="00972C81">
        <w:rPr>
          <w:noProof/>
        </w:rPr>
        <w:t xml:space="preserve"> an </w:t>
      </w:r>
      <w:r w:rsidRPr="00972C81">
        <w:rPr>
          <w:i/>
          <w:noProof/>
        </w:rPr>
        <w:t>f</w:t>
      </w:r>
      <w:r w:rsidRPr="00972C81">
        <w:rPr>
          <w:noProof/>
          <w:vertAlign w:val="subscript"/>
        </w:rPr>
        <w:t>A</w:t>
      </w:r>
      <w:r w:rsidRPr="00972C81">
        <w:rPr>
          <w:noProof/>
        </w:rPr>
        <w:t xml:space="preserve"> value of 0.002 was recommended for relatively insoluble compounds (e.g. UO</w:t>
      </w:r>
      <w:r w:rsidRPr="00972C81">
        <w:rPr>
          <w:noProof/>
          <w:vertAlign w:val="subscript"/>
        </w:rPr>
        <w:t>2</w:t>
      </w:r>
      <w:r w:rsidRPr="00972C81">
        <w:rPr>
          <w:noProof/>
        </w:rPr>
        <w:t>, U</w:t>
      </w:r>
      <w:r w:rsidRPr="00972C81">
        <w:rPr>
          <w:noProof/>
          <w:vertAlign w:val="subscript"/>
        </w:rPr>
        <w:t>3</w:t>
      </w:r>
      <w:r w:rsidRPr="00972C81">
        <w:rPr>
          <w:noProof/>
        </w:rPr>
        <w:t>O</w:t>
      </w:r>
      <w:r w:rsidRPr="00972C81">
        <w:rPr>
          <w:noProof/>
          <w:vertAlign w:val="subscript"/>
        </w:rPr>
        <w:t>8</w:t>
      </w:r>
      <w:r w:rsidRPr="00972C81">
        <w:rPr>
          <w:noProof/>
        </w:rPr>
        <w:t xml:space="preserve">) and an </w:t>
      </w:r>
      <w:r w:rsidRPr="00972C81">
        <w:rPr>
          <w:i/>
          <w:noProof/>
        </w:rPr>
        <w:t>f</w:t>
      </w:r>
      <w:r w:rsidRPr="00972C81">
        <w:rPr>
          <w:noProof/>
          <w:vertAlign w:val="subscript"/>
        </w:rPr>
        <w:t>A</w:t>
      </w:r>
      <w:r w:rsidRPr="00972C81">
        <w:rPr>
          <w:noProof/>
        </w:rPr>
        <w:t xml:space="preserve"> value of 0.02 was recommended for all other more soluble chemical forms. In view of the latest studies by Dang et al. </w:t>
      </w:r>
      <w:r w:rsidR="00AC3977" w:rsidRPr="00972C81">
        <w:rPr>
          <w:noProof/>
        </w:rPr>
        <w:fldChar w:fldCharType="begin"/>
      </w:r>
      <w:r w:rsidR="00AC3977" w:rsidRPr="00972C81">
        <w:rPr>
          <w:noProof/>
        </w:rPr>
        <w:instrText xml:space="preserve"> ADDIN ZOTERO_ITEM CSL_CITATION {"citationID":"PerYNOop","properties":{"formattedCitation":"(1992)","plainCitation":"(1992)","noteIndex":0},"citationItems":[{"id":4960,"uris":["http://zotero.org/groups/2470620/items/VP7L9HVX"],"itemData":{"id":4960,"type":"article-journal","abstract":"A method was developed to determine the concentration of uranium (238U) in urine. This method involved preconcentration of uranium from urine with calcium phosphate neutron activation followed by simple radiochemical separation. Using this method, it was possible to detect 0.2 ng of 238U. The average and geometric mean concentration of uranium found in urine of subjects from a normal background environment was 12.8 and 9.4 ng L-1, respectively. The concentration of uranium in the urine and the daily intake of uranium by the same population was used to arrive at the gastrointestinal absorption factor (f1) for uranium incorporated in the diet. The f1 factor was estimated to be 1.6%.","container-title":"Health Physics","DOI":"10.1097/00004032-199206000-00010","ISSN":"0017-9078","issue":"6","journalAbbreviation":"Health Phys","language":"eng","note":"PMID: 1628989","page":"562-566","source":"PubMed","title":"Determining the normal concentration of uranium in urine and application of the data to its biokinetics","volume":"62","author":[{"family":"Dang","given":"H.S."},{"family":"Pullat","given":"V.R."},{"family":"Pillai","given":"K.C."}],"issued":{"date-parts":[["1992"]]}},"label":"page","suppress-author":true}],"schema":"https://github.com/citation-style-language/schema/raw/master/csl-citation.json"} </w:instrText>
      </w:r>
      <w:r w:rsidR="00AC3977" w:rsidRPr="00972C81">
        <w:rPr>
          <w:noProof/>
        </w:rPr>
        <w:fldChar w:fldCharType="separate"/>
      </w:r>
      <w:r w:rsidR="00BC59C6" w:rsidRPr="00972C81">
        <w:rPr>
          <w:noProof/>
        </w:rPr>
        <w:t>(1992)</w:t>
      </w:r>
      <w:r w:rsidR="00AC3977" w:rsidRPr="00972C81">
        <w:rPr>
          <w:noProof/>
        </w:rPr>
        <w:fldChar w:fldCharType="end"/>
      </w:r>
      <w:r w:rsidRPr="00972C81">
        <w:rPr>
          <w:noProof/>
        </w:rPr>
        <w:t xml:space="preserve">, Karpas et al. </w:t>
      </w:r>
      <w:r w:rsidR="00AC3977" w:rsidRPr="00972C81">
        <w:rPr>
          <w:noProof/>
        </w:rPr>
        <w:fldChar w:fldCharType="begin"/>
      </w:r>
      <w:r w:rsidR="00AC3977" w:rsidRPr="00972C81">
        <w:rPr>
          <w:noProof/>
        </w:rPr>
        <w:instrText xml:space="preserve"> ADDIN ZOTERO_ITEM CSL_CITATION {"citationID":"pu8VpUNm","properties":{"formattedCitation":"(1998, 2005)","plainCitation":"(1998, 2005)","noteIndex":0},"citationItems":[{"id":4951,"uris":["http://zotero.org/groups/2470620/items/SFT6G9HD"],"itemData":{"id":4951,"type":"article-journal","abstract":"The uptake of uranium, ingested as a soluble compound, was studied by monitoring the uranium level in urine by inductively coupled plasma mass spectrometry and through measurement of an isotopic tracer. The high sensitivity of this method allows measurement of uranium levels in urine samples from each voiding, therefore more detailed biokinetic studies are possible. To simulate low \"acute intake,\" five volunteers with \"normal\" levels (5-15 ng L(-1)) of uranium in urine ingested a grapefruit drink spiked with 100 microg of uranium (235U/238U = 0.245%) as uranyl nitrate, and the level of uranium in their urine after ingestion was monitored. Two techniques were applied to estimate the extent of exposure: a) uranium levels above the normal level for each volunteer; and b) the deviation from natural isotopic ratio. Results were normalized relative to the creatinine concentration, which served as an indicator of urine dilution, to reduce effects due to diurnal changes. The results clearly indicate that currently accepted bio-kinetic models overestimate the time between ingestion of dissolved uranium and its excretion in urine, the maximum of which was found to be around 6-10 h. The uptake fraction was in agreement with recent studies, i.e., 0.1-0.5% of the ingested uranium for four of the subjects but above 1.5% for the fifth, and well below the 5% reported in International Commission on Radiation Protection Publication 54. Finally, partial results from the isotope dilution study indicate that uranium absorbed through the intestine interchanges with uranium retained in body organs. The time scale of this process is quite short, and the acute exposure led to a minimum in the isotopic ratio within hours, while recovery back to natural abundance due to low chronic exposure takes several days.","container-title":"Health Physics","DOI":"10.1097/00004032-199803000-00006","ISSN":"0017-9078","issue":"3","journalAbbreviation":"Health Phys","language":"eng","note":"PMID: 9482599","page":"337-345","source":"PubMed","title":"Uptake of ingested uranium after low \"acute intake\"","volume":"74","author":[{"family":"Karpas","given":"Z."},{"family":"Lorber","given":"A."},{"family":"Elish","given":"E."},{"family":"Kol","given":"R."},{"family":"Roiz","given":"Y."},{"family":"Marko","given":"R."},{"family":"Katorza","given":"E."},{"family":"Halicz","given":"L."},{"family":"Riondato","given":"J."},{"family":"Vanhaecke","given":"F."},{"family":"Moens","given":"L."}],"issued":{"date-parts":[["1998",3]]}},"label":"page","suppress-author":true},{"id":4963,"uris":["http://zotero.org/groups/2470620/items/8E78AZ4S"],"itemData":{"id":4963,"type":"article-journal","abstract":"The concentration of uranium in urine, hair, and nails due to continuous exposure through ingestion of drinking water was studied. The study population consisted of 205 individuals living in 134 different households in southern Finland where drinking water is supplied from private drilled wells. The population was selected to include a broad range of uranium daily intake from drinking water (0.03-2,775 microg d). The uranium content in drinking water, urine (overnight collection), hair and nails was determined by ICPMS. Uranium in urine was corrected for the matrix effects by use of thallium as an internal standard and adjusted by creatinine normalization. Hair and toenail samples were rinsed to remove external contamination prior to acid digestion and analysis. The uranium content in all excretion pathways was correlated with the uranium intake, particularly at elevated lev</w:instrText>
      </w:r>
      <w:r w:rsidR="00AC3977" w:rsidRPr="0034590A">
        <w:rPr>
          <w:noProof/>
          <w:lang w:val="fr-FR"/>
        </w:rPr>
        <w:instrText xml:space="preserve">els (&gt; or =10 microg d) where drinking water was the major source of exposure to uranium. The median of the individual uranium absorption factors for urine, hair, and toenails were fu=0.003, fh=0.003, and fn=4 x 10, respectively. The association between the different bioassays was examined. The absorption factor, f1, was calculated for the population with an intake above 10 microg d and was below 0.01 for 72% of the study persons (range 0.0002 to 0.070). No statistically significant difference in f1 values was found between women and men. However, the absorption factor was higher among younger (&lt; 60 y) than older (&gt; or =60 y) subjects and among people with a lower exposure (below 100 microg d) than among those that ingest over 100 microg d.","archive_location":"15706143","container-title":"Health Phys","ISSN":"0017-9078 (Print) 0017-9078 (Linking)","issue":"3","journalAbbreviation":"Health physics","language":"eng","page":"229-42","title":"Urine, hair, and nails as indicators for ingestion of uranium in drinking water","volume":"88","author":[{"family":"Karpas","given":"Z."},{"family":"Paz-Tal","given":"O."},{"family":"Lorber","given":"A."},{"family":"Salonen","given":"L."},{"family":"Komulainen","given":"H."},{"family":"Auvinen","given":"A."},{"family":"Saha","given":"H."},{"family":"Kurttio","given":"P."}],"issued":{"date-parts":[["2005",3]]}},"label":"page","suppress-author":true}],"schema":"https://github.com/citation-style-language/schema/raw/master/csl-citation.json"} </w:instrText>
      </w:r>
      <w:r w:rsidR="00AC3977" w:rsidRPr="00972C81">
        <w:rPr>
          <w:noProof/>
        </w:rPr>
        <w:fldChar w:fldCharType="separate"/>
      </w:r>
      <w:r w:rsidR="00BC59C6" w:rsidRPr="0034590A">
        <w:rPr>
          <w:noProof/>
          <w:lang w:val="fr-FR"/>
        </w:rPr>
        <w:t>(1998, 2005)</w:t>
      </w:r>
      <w:r w:rsidR="00AC3977" w:rsidRPr="00972C81">
        <w:rPr>
          <w:noProof/>
        </w:rPr>
        <w:fldChar w:fldCharType="end"/>
      </w:r>
      <w:r w:rsidRPr="0034590A">
        <w:rPr>
          <w:noProof/>
          <w:lang w:val="fr-FR"/>
        </w:rPr>
        <w:t xml:space="preserve">, Zamora et al </w:t>
      </w:r>
      <w:r w:rsidR="00AC3977" w:rsidRPr="00972C81">
        <w:rPr>
          <w:noProof/>
        </w:rPr>
        <w:fldChar w:fldCharType="begin"/>
      </w:r>
      <w:r w:rsidR="00AC3977" w:rsidRPr="0034590A">
        <w:rPr>
          <w:noProof/>
          <w:lang w:val="fr-FR"/>
        </w:rPr>
        <w:instrText xml:space="preserve"> ADDIN ZOTERO_ITEM CSL_CITATION {"citationID":"APOGWOlS","properties":{"formattedCitation":"(2002)","plainCitation":"(2002)","noteIndex":0},"citationItems":[{"id":4962,"uris":["http://zotero.org/groups/2470620/items/8JNTWWY3"],"itemData":{"id":4962,"type":"article-journal","container-title":"Health Phys","issue":"1","note":"section: 35","page":"35-45","title":"Gastrointestinal absorption of uranium in humans","volume":"83","author":[{"family":"Zamora","given":"M.L"},{"family":"Zielinski","given":"J.M."},{"family":"Meyerhof","given":"D.P."},{"family":"Tracy","given":"B.L."}],"issued":{"date-parts":[["2002"]]}},"label":"page","suppress-author":true}],"schema":"https://github.com/citation-style-language/schema/raw/master/csl-citation.json"} </w:instrText>
      </w:r>
      <w:r w:rsidR="00AC3977" w:rsidRPr="00972C81">
        <w:rPr>
          <w:noProof/>
        </w:rPr>
        <w:fldChar w:fldCharType="separate"/>
      </w:r>
      <w:r w:rsidR="00BC59C6" w:rsidRPr="0034590A">
        <w:rPr>
          <w:noProof/>
          <w:lang w:val="fr-FR"/>
        </w:rPr>
        <w:t>(2002)</w:t>
      </w:r>
      <w:r w:rsidR="00AC3977" w:rsidRPr="00972C81">
        <w:rPr>
          <w:noProof/>
        </w:rPr>
        <w:fldChar w:fldCharType="end"/>
      </w:r>
      <w:r w:rsidRPr="0034590A">
        <w:rPr>
          <w:noProof/>
          <w:lang w:val="fr-FR"/>
        </w:rPr>
        <w:t xml:space="preserve">, Tolmachev et al. </w:t>
      </w:r>
      <w:r w:rsidR="00AC3977" w:rsidRPr="00972C81">
        <w:rPr>
          <w:noProof/>
        </w:rPr>
        <w:fldChar w:fldCharType="begin"/>
      </w:r>
      <w:r w:rsidR="00AC3977" w:rsidRPr="0034590A">
        <w:rPr>
          <w:noProof/>
          <w:lang w:val="fr-FR"/>
        </w:rPr>
        <w:instrText xml:space="preserve"> ADDIN ZOTERO_ITEM CSL_CITATION {"citationID":"IAwPerAu","properties":{"formattedCitation":"(2006)","plainCitation":"(2006)","noteIndex":0},"citationItems":[{"id":4965,"uris":["http://zotero.org/groups/2470620/items/3723QMBH"],"itemData":{"id":4965,"type":"article-journal","abstract":"A study was undertaken to investigate uranium concentrations in urine samples for unexposed Japanese individuals and to evaluate uranium daily excretion. Uranium concentrations were measured with inductively coupled plasma mass spectrometry after microwave-assisted digestion and online separation using the UTEVA extraction chromatographic resin. The concentrations ranged from 0.8 to 35.6 ng of uranium per liter of urine (median 4.5 ng L(-1)). Urinary uranium was normalized relative to the creatinine concentration in order to compensate for the degree of urine dilution. Creatinine-normalized values ranged from 1.2 to 17.8 ng of uranium per gram of creatinine (median 7.4 ng g(-1) creatinine). These results corresponded to the lower end of urinary uranium reported for unexposed populations. The level of daily excreted uranium was calculated as 6.45 ng d(-1) (median value) using ICRP recommended values for 24-h creatinine excretion. These data along with literature data on uranium dietary intake for Japanese populations were used to estimate the uranium gastrointestinal absorption fraction (f(1)). The median f(1) value was calculated to be 0.007. Statistical analysis was done to investigate statistical differences and relationships between the studied variables.","container-title":"Health Physics","DOI":"10.1097/01.HP.0000203311.85873.61","ISSN":"0017-9078","issue":"2","journalAbbreviation":"Health Phys","language":"eng","note":"PMID: 16832195","page":"144-153","source":"PubMed","title":"Concentration and daily excretion of uranium in urine of Japanese","volume":"91","author":[{"family":"Tolmachev","given":"Sergei"},{"family":"Kuwabara","given":"Jun"},{"family":"Noguchi","given":"Hiroshi"}],"issued":{"date-parts":[["2006",8]]}},"label":"page","suppress-author":true}],"schema":"https://github.com/citation-style-language/schema/raw/master/csl-citation.json"} </w:instrText>
      </w:r>
      <w:r w:rsidR="00AC3977" w:rsidRPr="00972C81">
        <w:rPr>
          <w:noProof/>
        </w:rPr>
        <w:fldChar w:fldCharType="separate"/>
      </w:r>
      <w:r w:rsidR="00BC59C6" w:rsidRPr="0034590A">
        <w:rPr>
          <w:noProof/>
          <w:lang w:val="fr-FR"/>
        </w:rPr>
        <w:t>(2006)</w:t>
      </w:r>
      <w:r w:rsidR="00AC3977" w:rsidRPr="00972C81">
        <w:rPr>
          <w:noProof/>
        </w:rPr>
        <w:fldChar w:fldCharType="end"/>
      </w:r>
      <w:r w:rsidRPr="0034590A">
        <w:rPr>
          <w:noProof/>
          <w:lang w:val="fr-FR"/>
        </w:rPr>
        <w:t xml:space="preserve"> and Chen et al. </w:t>
      </w:r>
      <w:r w:rsidR="00AC3977" w:rsidRPr="00972C81">
        <w:rPr>
          <w:noProof/>
        </w:rPr>
        <w:fldChar w:fldCharType="begin"/>
      </w:r>
      <w:r w:rsidR="00AC3977" w:rsidRPr="0034590A">
        <w:rPr>
          <w:noProof/>
          <w:lang w:val="fr-FR"/>
        </w:rPr>
        <w:instrText xml:space="preserve"> ADDIN ZOTERO_ITEM CSL_CITATION {"citationID":"iWwDBjpx","properties":{"formattedCitation":"(2011)","plainCitation":"(2011)","noteIndex":0},"citationItems":[{"id":4967,"uris":["http://zotero.org/groups/2470620/items/FMJTR79T"],"itemData":{"id":4967,"type":"article-journal","abstract":"Uranium is ubiquitously found in drinking water and food. The gastrointestinal tract absorption fraction (f(1)) is an important parameter in risk assessment of uranium burdens from ingestion. Although absorption of uranium from ingestion has been studied extensively in the past, human data concerning children and adults are still limited. In a previous study based on measurements of uranium concentration in 73 bone-ash samples collected by Health Canada, the absorption fractions for uranium ingestion were determined to be 0.093 ± 0.113 for infants, and 0.050 ± 0.032 for young children ranging </w:instrText>
      </w:r>
      <w:r w:rsidR="00AC3977" w:rsidRPr="006A409D">
        <w:rPr>
          <w:noProof/>
          <w:lang w:val="en-CA"/>
        </w:rPr>
        <w:instrText xml:space="preserve">from 1 to 7 y of age. To extend the study, a total of 69 bone-ash samples were selected for children and adults ranging from 7 to 25 y of age and residing in the same Canadian community that is known to have an elevated level of uranium in its drinking water supply. For each bone-ash sample, the total uranium concentration was measured by inductively coupled plasma mass spectrometry. To solve uranium transfer in the biokinetic model for uranium given in International Commission of Radiological Protection (ICRP) Publication 69 with estimated daily uranium intake, the program WinSAAM </w:instrText>
      </w:r>
      <w:r w:rsidR="00AC3977" w:rsidRPr="00972C81">
        <w:rPr>
          <w:noProof/>
        </w:rPr>
        <w:instrText xml:space="preserve">v3.0.1 was used. The absorption fractions were determined to be 0.030 ± 0.022 for children (7-18 y) and 0.021 ± 0.015 for adults (18-25 y). For anyone more than 18 y of age, the estimated f(1) value for uranium agree well with the ICRP recommended value of 0.02.","container-title":"Radiation Protection Dosimetry","DOI":"10.1093/rpd/ncq436","ISSN":"1742-3406","issue":"1-4","journalAbbreviation":"Radiat Prot Dosimetry","language":"eng","note":"PMID: 21123245","page":"379-383","source":"PubMed","title":"Estimation of uranium GI absorption fractions for children and adults","volume":"144","author":[{"family":"Chen","given":"J."},{"family":"Lariviere","given":"D."},{"family":"Timmins","given":"R."},{"family":"Verdecchia","given":"K."}],"issued":{"date-parts":[["2011",3]]}},"label":"page","suppress-author":true}],"schema":"https://github.com/citation-style-language/schema/raw/master/csl-citation.json"} </w:instrText>
      </w:r>
      <w:r w:rsidR="00AC3977" w:rsidRPr="00972C81">
        <w:rPr>
          <w:noProof/>
        </w:rPr>
        <w:fldChar w:fldCharType="separate"/>
      </w:r>
      <w:r w:rsidR="00BC59C6" w:rsidRPr="00972C81">
        <w:rPr>
          <w:noProof/>
        </w:rPr>
        <w:t>(2011)</w:t>
      </w:r>
      <w:r w:rsidR="00AC3977" w:rsidRPr="00972C81">
        <w:rPr>
          <w:noProof/>
        </w:rPr>
        <w:fldChar w:fldCharType="end"/>
      </w:r>
      <w:r w:rsidRPr="00972C81">
        <w:rPr>
          <w:noProof/>
        </w:rPr>
        <w:t>, indicating central values of fractional absorption in a range 0.004</w:t>
      </w:r>
      <w:r w:rsidR="007E0EBA" w:rsidRPr="00972C81">
        <w:rPr>
          <w:noProof/>
          <w:spacing w:val="1"/>
        </w:rPr>
        <w:t>–</w:t>
      </w:r>
      <w:r w:rsidRPr="00972C81">
        <w:rPr>
          <w:noProof/>
        </w:rPr>
        <w:t xml:space="preserve">0.02, and of the recent review by Davesne and Blanchardon </w:t>
      </w:r>
      <w:r w:rsidR="00AC3977" w:rsidRPr="00972C81">
        <w:rPr>
          <w:noProof/>
        </w:rPr>
        <w:fldChar w:fldCharType="begin"/>
      </w:r>
      <w:r w:rsidR="00AC3977" w:rsidRPr="00972C81">
        <w:rPr>
          <w:noProof/>
        </w:rPr>
        <w:instrText xml:space="preserve"> ADDIN ZOTERO_ITEM CSL_CITATION {"citationID":"adBE6eP9","properties":{"formattedCitation":"(2014)","plainCitation":"(2014)","noteIndex":0},"citationItems":[{"id":4944,"uris":["http://zotero.org/groups/2470620/items/H8F9RLKM"],"itemData":{"id":4944,"type":"article-journal","archive_location":"24467327","container-title":"International Journal of Radiation Biology","DOI":"10.3109/09553002.2014.886796","issue":"11","page":"975-988","title":"Physico-chemical characteristics of uranium compounds: A review","volume":"90","author":[{"family":"Davesne","given":"Estelle"},{"family":"Blanchardon","given":"Eric"}],"issued":{"date-parts":[["2014"]]}},"label":"page","suppress-author":true}],"schema":"https://github.com/citation-style-language/schema/raw/master/csl-citation.json"} </w:instrText>
      </w:r>
      <w:r w:rsidR="00AC3977" w:rsidRPr="00972C81">
        <w:rPr>
          <w:noProof/>
        </w:rPr>
        <w:fldChar w:fldCharType="separate"/>
      </w:r>
      <w:r w:rsidR="00BC59C6" w:rsidRPr="00972C81">
        <w:rPr>
          <w:noProof/>
        </w:rPr>
        <w:t>(2014)</w:t>
      </w:r>
      <w:r w:rsidR="00AC3977" w:rsidRPr="00972C81">
        <w:rPr>
          <w:noProof/>
        </w:rPr>
        <w:fldChar w:fldCharType="end"/>
      </w:r>
      <w:r w:rsidRPr="00972C81">
        <w:rPr>
          <w:noProof/>
        </w:rPr>
        <w:t xml:space="preserve"> reporting a median value of fractional absorption from water and food of 0.01, the value of 0.02 appears as a reasonably conservative estimate of the fractional absorption of uranium in diet. An </w:t>
      </w:r>
      <w:r w:rsidRPr="00972C81">
        <w:rPr>
          <w:i/>
          <w:noProof/>
        </w:rPr>
        <w:t>f</w:t>
      </w:r>
      <w:r w:rsidRPr="00972C81">
        <w:rPr>
          <w:noProof/>
          <w:vertAlign w:val="subscript"/>
        </w:rPr>
        <w:t>A</w:t>
      </w:r>
      <w:r w:rsidRPr="00972C81">
        <w:rPr>
          <w:noProof/>
        </w:rPr>
        <w:t xml:space="preserve"> = 0.02 is therefore adopted here for dietary intakes of uranium by adult members of the public.</w:t>
      </w:r>
    </w:p>
    <w:p w14:paraId="1F7F19CF" w14:textId="7C402527" w:rsidR="00E31A20" w:rsidRPr="00972C81" w:rsidRDefault="00E31A20" w:rsidP="001C4A92">
      <w:pPr>
        <w:pStyle w:val="Annalstext"/>
        <w:rPr>
          <w:noProof/>
        </w:rPr>
      </w:pPr>
      <w:r w:rsidRPr="00972C81">
        <w:rPr>
          <w:i/>
          <w:noProof/>
        </w:rPr>
        <w:t xml:space="preserve">Children. </w:t>
      </w:r>
      <w:r w:rsidRPr="00972C81">
        <w:rPr>
          <w:noProof/>
        </w:rPr>
        <w:t xml:space="preserve">Limited data on the absorption of uranium in children from 5 y of age suggested that uptake did not vary substantially with age </w:t>
      </w:r>
      <w:r w:rsidR="00326CC5" w:rsidRPr="00972C81">
        <w:rPr>
          <w:noProof/>
        </w:rPr>
        <w:fldChar w:fldCharType="begin"/>
      </w:r>
      <w:r w:rsidR="00326CC5" w:rsidRPr="00972C81">
        <w:rPr>
          <w:noProof/>
        </w:rPr>
        <w:instrText xml:space="preserve"> ADDIN ZOTERO_ITEM CSL_CITATION {"citationID":"minKeQWU","properties":{"formattedCitation":"(Leggett and Harrison, 1995; Limson Zamora et al., 1992; Sviatkina and Novikov, 1975)","plainCitation":"(Leggett and Harrison, 1995; Limson Zamora et al., 1992; Sviatkina and Novikov, 1975)","noteIndex":0},"citationItems":[{"id":4942,"uris":["http://zotero.org/groups/2470620/items/5YIGCSNF"],"itemData":{"id":4942,"type":"article-journal","abstract":"This paper provides a review and reanalysis of data relating to gastrointestinal (GI) uptake of uranium in humans. Estimates of GI uptake of uranium in adult humans have been derived from results of three controlled experimental studies involving short-term oral intake of an elevated quantity of uranium in fluids, from a controlled balance study conducted in a metabolic research ward of a hospital, and from a variety of environmental studies in which urinary uranium could be related to total intake or total excretion of this element in the same population. For controlled studies, uptake values range from less than 0.1% to about 6% for individual subjects, with central values for different studies falling in the range 1-2.4%. Environmental studies yield central estimates in the range 0.3-3.2%. Expressed as a percentage of total intake of uranium in food and fluids, average GI uptake of uranium in adult humans appears to be about 1-1.5%. Limited intake and excretion data for environmentally exposed human subjects &gt; or = 5 y of age do not reveal important differences with age in uranium uptake, but more definitive information is needed for children. More information is also needed to determine whether fractional uptake of uranium increases with decreasing levels of intake and whether uptake from drinking water is substantially higher than uptake from food. Data for laboratory animals indicate that fractional uptake of uranium depends strongly on the chemical form ingested and the length of time since the last intake of food.","container-title":"Health Physics","DOI":"10.1097/00004032-199504000-00005","ISSN":"0017-9078","issue":"4","journalAbbreviation":"Health Phys","language":"eng","note":"PMID: 7883560","page":"484-498","source":"PubMed","title":"Fractional absorption of ingested uranium in humans","volume":"68","author":[{"family":"Leggett","given":"R. W."},{"family":"Harrison","given":"J. D."}],"issued":{"date-parts":[["1995",4]]}}},{"id":4975,"uris":["http://zotero.org/groups/2470620/items/PIGWESER"],"itemData":{"id":4975,"type":"article-journal","container-title":"Proceedings of the 8Th International Congress of the IRPA","page":"1085-1088","title":"Study of the human urinary excretion of chronically ingested uranium insights on the gastrointestinal absorption factor","volume":"2","author":[{"family":"Limson Zamora","given":"M.L."},{"family":"Zielinski","given":"J."},{"family":"Falcomer","given":"R."}],"issued":{"date-parts":[["1992"]]}}},{"id":4972,"uris":["http://zotero.org/groups/2470620/items/FTRL2U2A"],"itemData":{"id":4972,"type":"article-journal","container-title":"Gigiena i sanitariia","issue":"1","page":"43-45","title":"The problem of absorption of natural uranium in the human gastrointestinal tract","title-short":"K voprosu o vsasyvanii prirodnogo urana v zheludochno-kishechnom trakte cheloveka","author":[{"family":"Sviatkina","given":"N.S."},{"family":"Novikov","given":"I.V."}],"issued":{"date-parts":[["1975"]]}}}],"schema":"https://github.com/citation-style-language/schema/raw/master/csl-citation.json"} </w:instrText>
      </w:r>
      <w:r w:rsidR="00326CC5" w:rsidRPr="00972C81">
        <w:rPr>
          <w:noProof/>
        </w:rPr>
        <w:fldChar w:fldCharType="separate"/>
      </w:r>
      <w:r w:rsidR="00BC59C6" w:rsidRPr="00972C81">
        <w:rPr>
          <w:noProof/>
        </w:rPr>
        <w:t>(Leggett and Harrison, 1995; Limson Zamora et al., 1992; Sviatkina and Novikov, 1975)</w:t>
      </w:r>
      <w:r w:rsidR="00326CC5" w:rsidRPr="00972C81">
        <w:rPr>
          <w:noProof/>
        </w:rPr>
        <w:fldChar w:fldCharType="end"/>
      </w:r>
      <w:r w:rsidRPr="00972C81">
        <w:rPr>
          <w:noProof/>
        </w:rPr>
        <w:t xml:space="preserve">. However, estimates were based on the assumption that subjects are in uranium balance and hence could underestimate uptake in rapidly growing children who may be expected to show net retention of uranium. From the measurement of bone samples and a survey of dietary intake, Chen et al. </w:t>
      </w:r>
      <w:r w:rsidR="00D8547B" w:rsidRPr="00972C81">
        <w:rPr>
          <w:noProof/>
        </w:rPr>
        <w:fldChar w:fldCharType="begin"/>
      </w:r>
      <w:r w:rsidR="00D8547B" w:rsidRPr="00972C81">
        <w:rPr>
          <w:noProof/>
        </w:rPr>
        <w:instrText xml:space="preserve"> ADDIN ZOTERO_ITEM CSL_CITATION {"citationID":"kNqrUoNv","properties":{"formattedCitation":"(2011)","plainCitation":"(2011)","noteIndex":0},"citationItems":[{"id":4967,"uris":["http://zotero.org/groups/2470620/items/FMJTR79T"],"itemData":{"id":4967,"type":"article-journal","abstract":"Uranium is ubiquitously found in drinking water and food. The gastrointestinal tract absorption fraction (f(1)) is an important parameter in risk assessment of uranium burdens from ingestion. Although absorption of uranium from ingestion has been studied extensively in the past, human data concerning children and adults are still limited. In a previous study based on measurements of uranium concentration in 73 bone-ash samples collected by Health Canada, the absorption fractions for uranium ingestion were determined to be 0.093 ± 0.113 for infants, and 0.050 ± 0.032 for young children ranging from 1 to 7 y of age. To extend the study, a total of 69 bone-ash samples were selected for children and adults ranging from 7 to 25 y of age and residing in the same Canadian community that is known to have an elevated level of uranium in its drinking water supply. For each bone-ash sample, the total uranium concentration was measured by inductively coupled plasma mass spectrometry. To solve uranium transfer in the biokinetic model for uranium given in International Commission of Radiological Protection (ICRP) Publication 69 with estimated daily uranium intake, the program WinSAAM v3.0.1 was used. The absorption fractions were determined to be 0.030 ± 0.022 for children (7-18 y) and 0.021 ± 0.015 for adults (18-25 y). For anyone more than 18 y of age, the estimated f(1) value for uranium agree well with the ICRP recommended value of 0.02.","container-title":"Radiation Protection Dosimetry","DOI":"10.1093/rpd/ncq436","ISSN":"1742-3406","issue":"1-4","journalAbbreviation":"Radiat Prot Dosimetry","language":"eng","note":"PMID: 21123245","page":"379-383","source":"PubMed","title":"Estimation of uranium GI absorption fractions for children and adults","volume":"144","author":[{"family":"Chen","given":"J."},{"family":"Lariviere","given":"D."},{"family":"Timmins","given":"R."},{"family":"Verdecchia","given":"K."}],"issued":{"date-parts":[["2011",3]]}},"label":"page","suppress-author":true}],"schema":"https://github.com/citation-style-language/schema/raw/master/csl-citation.json"} </w:instrText>
      </w:r>
      <w:r w:rsidR="00D8547B" w:rsidRPr="00972C81">
        <w:rPr>
          <w:noProof/>
        </w:rPr>
        <w:fldChar w:fldCharType="separate"/>
      </w:r>
      <w:r w:rsidR="00BC59C6" w:rsidRPr="00972C81">
        <w:rPr>
          <w:noProof/>
        </w:rPr>
        <w:t>(2011)</w:t>
      </w:r>
      <w:r w:rsidR="00D8547B" w:rsidRPr="00972C81">
        <w:rPr>
          <w:noProof/>
        </w:rPr>
        <w:fldChar w:fldCharType="end"/>
      </w:r>
      <w:r w:rsidRPr="00972C81">
        <w:rPr>
          <w:noProof/>
        </w:rPr>
        <w:t xml:space="preserve"> estimated mean absorption fractions of 0.09 +/- 0.1 (from 24 bone samples), 0.05 +/- 0.03 (from 25 bone samples), 0.03 +/- 0.02 (range 0.01 - 0.08 from 16 bone samples), and 0.03 +/- 0.02, (range 0.001</w:t>
      </w:r>
      <w:r w:rsidR="007E0EBA" w:rsidRPr="00972C81">
        <w:rPr>
          <w:noProof/>
          <w:spacing w:val="1"/>
        </w:rPr>
        <w:t>–</w:t>
      </w:r>
      <w:r w:rsidRPr="00972C81">
        <w:rPr>
          <w:noProof/>
        </w:rPr>
        <w:t>0.07 from 18 bone samples) for children of age under 12 mo, 1 to 7 y, 7 to 12 y, and 12 to 18 y respectively.</w:t>
      </w:r>
    </w:p>
    <w:p w14:paraId="6A0DE25A" w14:textId="42CB4696" w:rsidR="00E31A20" w:rsidRPr="00972C81" w:rsidRDefault="00E31A20" w:rsidP="001C4A92">
      <w:pPr>
        <w:pStyle w:val="Annalstext"/>
        <w:rPr>
          <w:noProof/>
        </w:rPr>
      </w:pPr>
      <w:r w:rsidRPr="00972C81">
        <w:rPr>
          <w:noProof/>
        </w:rPr>
        <w:t xml:space="preserve">Increased absorption of uranium has been demonstrated in neonatal rats and pigs </w:t>
      </w:r>
      <w:r w:rsidR="00D8547B" w:rsidRPr="00972C81">
        <w:rPr>
          <w:noProof/>
        </w:rPr>
        <w:fldChar w:fldCharType="begin"/>
      </w:r>
      <w:r w:rsidR="00F4369C" w:rsidRPr="00972C81">
        <w:rPr>
          <w:noProof/>
        </w:rPr>
        <w:instrText xml:space="preserve"> ADDIN ZOTERO_ITEM CSL_CITATION {"citationID":"Twr0U1Fx","properties":{"formattedCitation":"(Sullivan, 1980a; Sullivan and Gorham, 1982)","plainCitation":"(Sullivan, 1980a; Sullivan and Gorham, 1982)","noteIndex":0},"citationItems":[{"id":4984,"uris":["http://zotero.org/groups/2470620/items/TBYTTCP3"],"itemData":{"id":4984,"type":"article-journal","container-title":"Health Physics","DOI":"10.1097/00004032-198002000-00005","issue":"2","page":"173-185","title":"Absorption of actinide elements from the gastrointestinal tract of neonatal animals","volume":"38","author":[{"family":"Sullivan","given":"M.F."}],"issued":{"date-parts":[["1980"]]}}},{"id":4987,"uris":["http://zotero.org/groups/2470620/items/H967I9UG"],"itemData":{"id":4987,"type":"article-journal","container-title":"Health Physics","DOI":"10.1097/00004032-198210000-00005","issue":"4","page":"509-519","title":"Further studies on the absorption of actinide elements from the gastrointestinal tract of neonatal animals","volume":"43","author":[{"family":"Sullivan","given":"M.F."},{"family":"Gorham","given":"L.S."}],"issued":{"date-parts":[["1982"]]}}}],"schema":"https://github.com/citation-style-language/schema/raw/master/csl-citation.json"} </w:instrText>
      </w:r>
      <w:r w:rsidR="00D8547B" w:rsidRPr="00972C81">
        <w:rPr>
          <w:noProof/>
        </w:rPr>
        <w:fldChar w:fldCharType="separate"/>
      </w:r>
      <w:r w:rsidR="00F4369C" w:rsidRPr="00972C81">
        <w:rPr>
          <w:noProof/>
        </w:rPr>
        <w:t>(Sullivan, 1980a; Sullivan and Gorham, 1982)</w:t>
      </w:r>
      <w:r w:rsidR="00D8547B" w:rsidRPr="00972C81">
        <w:rPr>
          <w:noProof/>
        </w:rPr>
        <w:fldChar w:fldCharType="end"/>
      </w:r>
      <w:r w:rsidRPr="00972C81">
        <w:rPr>
          <w:noProof/>
        </w:rPr>
        <w:t>. Absorption in 2-d-old rats given uranium nitrate was estimated at about 0.01</w:t>
      </w:r>
      <w:r w:rsidR="007E0EBA" w:rsidRPr="00972C81">
        <w:rPr>
          <w:noProof/>
          <w:spacing w:val="1"/>
        </w:rPr>
        <w:t>–</w:t>
      </w:r>
      <w:r w:rsidRPr="00972C81">
        <w:rPr>
          <w:noProof/>
        </w:rPr>
        <w:t>0.07, two orders of magnitude greater than for adults. In pigs given uranium nitrate on the first day after birth, retention in the skeleton 7 d later accounted for about 30% of the administered uranium. Particularly high absorption in pigs is consistent with the high permeability of the gut in this species to the absorption of intact immunoglobulins in milk, occurring during the first 1</w:t>
      </w:r>
      <w:r w:rsidR="007E0EBA" w:rsidRPr="00972C81">
        <w:rPr>
          <w:noProof/>
          <w:spacing w:val="1"/>
        </w:rPr>
        <w:t>–</w:t>
      </w:r>
      <w:r w:rsidRPr="00972C81">
        <w:rPr>
          <w:noProof/>
        </w:rPr>
        <w:t xml:space="preserve">2 d of life </w:t>
      </w:r>
      <w:r w:rsidR="00D8547B" w:rsidRPr="00972C81">
        <w:rPr>
          <w:noProof/>
        </w:rPr>
        <w:fldChar w:fldCharType="begin"/>
      </w:r>
      <w:r w:rsidR="00D8547B" w:rsidRPr="00972C81">
        <w:rPr>
          <w:noProof/>
        </w:rPr>
        <w:instrText xml:space="preserve"> ADDIN ZOTERO_ITEM CSL_CITATION {"citationID":"ph0lRvWZ","properties":{"formattedCitation":"(Brambell, 1970)","plainCitation":"(Brambell, 1970)","noteIndex":0},"citationItems":[{"id":4990,"uris":["http://zotero.org/groups/2470620/items/2HJLPURM"],"itemData":{"id":4990,"type":"article-journal","container-title":"Frontiers of Biology","page":"20-41","title":"The transmission of passive immunity from mother to young","volume":"18","author":[{"family":"Brambell","given":"F.W.R."}],"issued":{"date-parts":[["1970"]]}}}],"schema":"https://github.com/citation-style-language/schema/raw/master/csl-citation.json"} </w:instrText>
      </w:r>
      <w:r w:rsidR="00D8547B" w:rsidRPr="00972C81">
        <w:rPr>
          <w:noProof/>
        </w:rPr>
        <w:fldChar w:fldCharType="separate"/>
      </w:r>
      <w:r w:rsidR="00BC59C6" w:rsidRPr="00972C81">
        <w:rPr>
          <w:noProof/>
        </w:rPr>
        <w:t>(Brambell, 1970)</w:t>
      </w:r>
      <w:r w:rsidR="00D8547B" w:rsidRPr="00972C81">
        <w:rPr>
          <w:noProof/>
        </w:rPr>
        <w:fldChar w:fldCharType="end"/>
      </w:r>
      <w:r w:rsidRPr="00972C81">
        <w:rPr>
          <w:noProof/>
        </w:rPr>
        <w:t>.</w:t>
      </w:r>
    </w:p>
    <w:p w14:paraId="31B193D4" w14:textId="469AD0F2" w:rsidR="00E31A20" w:rsidRPr="00972C81" w:rsidRDefault="00E31A20" w:rsidP="001C4A92">
      <w:pPr>
        <w:pStyle w:val="Annalstext"/>
        <w:rPr>
          <w:noProof/>
        </w:rPr>
      </w:pPr>
      <w:r w:rsidRPr="00972C81">
        <w:rPr>
          <w:noProof/>
        </w:rPr>
        <w:t xml:space="preserve">In the absence of quantitative information on human infants, absorption fractions of 0.04 for the 3-mo old and 0.02 for children of 1 y and older were recommended in </w:t>
      </w:r>
      <w:r w:rsidRPr="00972C81">
        <w:rPr>
          <w:i/>
          <w:noProof/>
        </w:rPr>
        <w:t>Publication 69</w:t>
      </w:r>
      <w:r w:rsidRPr="00972C81">
        <w:rPr>
          <w:noProof/>
        </w:rPr>
        <w:t xml:space="preserve">. On the basis of the data reported by Chen et al </w:t>
      </w:r>
      <w:r w:rsidR="00D8547B" w:rsidRPr="00972C81">
        <w:rPr>
          <w:noProof/>
        </w:rPr>
        <w:fldChar w:fldCharType="begin"/>
      </w:r>
      <w:r w:rsidR="00D8547B" w:rsidRPr="00972C81">
        <w:rPr>
          <w:noProof/>
        </w:rPr>
        <w:instrText xml:space="preserve"> ADDIN ZOTERO_ITEM CSL_CITATION {"citationID":"lqphLvoT","properties":{"formattedCitation":"(2011)","plainCitation":"(2011)","noteIndex":0},"citationItems":[{"id":4967,"uris":["http://zotero.org/groups/2470620/items/FMJTR79T"],"itemData":{"id":4967,"type":"article-journal","abstract":"Uranium is ubiquitously found in drinking water and food. The gastrointestinal tract absorption fraction (f(1)) is an important parameter in risk assessment of uranium burdens from ingestion. Although absorption of uranium from ingestion has been studied extensively in the past, human data concerning children and adults are still limited. In a previous study based on measurements of uranium concentration in 73 bone-ash samples collected by Health Canada, the absorption fractions for uranium ingestion were determined to be 0.093 ± 0.113 for infants, and 0.050 ± 0.032 for young children ranging from 1 to 7 y of age. To extend the study, a total of 69 bone-ash samples were selected for children and adults ranging from 7 to 25 y of age and residing in the same Canadian community that is known to have an elevated level of uranium in its drinking water supply. For each bone-ash sample, the total uranium concentration was measured by inductively coupled plasma mass spectrometry. To solve uranium transfer in the biokinetic model for uranium given in International Commission of Radiological Protection (ICRP) Publication 69 with estimated daily uranium intake, the program WinSAAM v3.0.1 was used. The absorption fractions were determined to be 0.030 ± 0.022 for children (7-18 y) and 0.021 ± 0.015 for adults (18-25 y). For anyone more than 18 y of age, the estimated f(1) value for uranium agree well with the ICRP recommended value of 0.02.","container-title":"Radiation Protection Dosimetry","DOI":"10.1093/rpd/ncq436","ISSN":"1742-3406","issue":"1-4","journalAbbreviation":"Radiat Prot Dosimetry","language":"eng","note":"PMID: 21123245","page":"379-383","source":"PubMed","title":"Estimation of uranium GI absorption fractions for children and adults","volume":"144","author":[{"family":"Chen","given":"J."},{"family":"Lariviere","given":"D."},{"family":"Timmins","given":"R."},{"family":"Verdecchia","given":"K."}],"issued":{"date-parts":[["2011",3]]}},"label":"page","suppress-author":true}],"schema":"https://github.com/citation-style-language/schema/raw/master/csl-citation.json"} </w:instrText>
      </w:r>
      <w:r w:rsidR="00D8547B" w:rsidRPr="00972C81">
        <w:rPr>
          <w:noProof/>
        </w:rPr>
        <w:fldChar w:fldCharType="separate"/>
      </w:r>
      <w:r w:rsidR="00BC59C6" w:rsidRPr="00972C81">
        <w:rPr>
          <w:noProof/>
        </w:rPr>
        <w:t>(2011)</w:t>
      </w:r>
      <w:r w:rsidR="00D8547B" w:rsidRPr="00972C81">
        <w:rPr>
          <w:noProof/>
        </w:rPr>
        <w:fldChar w:fldCharType="end"/>
      </w:r>
      <w:r w:rsidRPr="00972C81">
        <w:rPr>
          <w:noProof/>
        </w:rPr>
        <w:t xml:space="preserve">, values of </w:t>
      </w:r>
      <w:r w:rsidRPr="00972C81">
        <w:rPr>
          <w:i/>
          <w:noProof/>
        </w:rPr>
        <w:t>f</w:t>
      </w:r>
      <w:r w:rsidRPr="00972C81">
        <w:rPr>
          <w:noProof/>
          <w:vertAlign w:val="subscript"/>
        </w:rPr>
        <w:t>A</w:t>
      </w:r>
      <w:r w:rsidRPr="00972C81">
        <w:rPr>
          <w:noProof/>
        </w:rPr>
        <w:t xml:space="preserve"> = 0.1 for the 3-mo old infant, </w:t>
      </w:r>
      <w:r w:rsidRPr="00972C81">
        <w:rPr>
          <w:i/>
          <w:noProof/>
        </w:rPr>
        <w:t>f</w:t>
      </w:r>
      <w:r w:rsidRPr="00972C81">
        <w:rPr>
          <w:noProof/>
          <w:vertAlign w:val="subscript"/>
        </w:rPr>
        <w:t>A</w:t>
      </w:r>
      <w:r w:rsidRPr="00972C81">
        <w:rPr>
          <w:noProof/>
        </w:rPr>
        <w:t xml:space="preserve"> = 0.05 for the 1 y and 5 y old children and </w:t>
      </w:r>
      <w:r w:rsidRPr="00972C81">
        <w:rPr>
          <w:i/>
          <w:noProof/>
        </w:rPr>
        <w:t>f</w:t>
      </w:r>
      <w:r w:rsidRPr="00972C81">
        <w:rPr>
          <w:noProof/>
          <w:vertAlign w:val="subscript"/>
        </w:rPr>
        <w:t>A</w:t>
      </w:r>
      <w:r w:rsidRPr="00972C81">
        <w:rPr>
          <w:noProof/>
        </w:rPr>
        <w:t xml:space="preserve"> = 0.03 for the 10 y and 15 y old children are adopted here</w:t>
      </w:r>
      <w:r w:rsidR="004C5D1E" w:rsidRPr="00972C81">
        <w:rPr>
          <w:noProof/>
        </w:rPr>
        <w:t xml:space="preserve"> for ingestion of uranium in diet</w:t>
      </w:r>
      <w:r w:rsidRPr="00972C81">
        <w:rPr>
          <w:noProof/>
        </w:rPr>
        <w:t>.</w:t>
      </w:r>
      <w:r w:rsidR="004C5D1E" w:rsidRPr="00972C81">
        <w:rPr>
          <w:noProof/>
        </w:rPr>
        <w:t xml:space="preserve"> Ten times lower values are retained for ingestion of relatively insoluble forms of uranium ingested by children.</w:t>
      </w:r>
    </w:p>
    <w:p w14:paraId="2CE205C8" w14:textId="77777777" w:rsidR="00F92E8B" w:rsidRPr="00972C81" w:rsidRDefault="00F92E8B" w:rsidP="00E81109">
      <w:pPr>
        <w:pStyle w:val="3"/>
        <w:rPr>
          <w:noProof/>
        </w:rPr>
      </w:pPr>
      <w:bookmarkStart w:id="291" w:name="_Toc162630095"/>
      <w:r w:rsidRPr="00972C81">
        <w:rPr>
          <w:noProof/>
        </w:rPr>
        <w:t>Systemic Distribution, Retention and Excretion</w:t>
      </w:r>
      <w:bookmarkEnd w:id="291"/>
    </w:p>
    <w:p w14:paraId="7695DCEA" w14:textId="77777777" w:rsidR="006B178F" w:rsidRPr="00972C81" w:rsidRDefault="006B178F" w:rsidP="006703A2">
      <w:pPr>
        <w:pStyle w:val="OIRTitre4"/>
      </w:pPr>
      <w:r w:rsidRPr="00972C81">
        <w:t>Summary of biokinetic data</w:t>
      </w:r>
    </w:p>
    <w:p w14:paraId="6E48E814" w14:textId="02506B31" w:rsidR="006B178F" w:rsidRPr="00972C81" w:rsidRDefault="006B178F" w:rsidP="001C4A92">
      <w:pPr>
        <w:pStyle w:val="Annalstext"/>
        <w:rPr>
          <w:noProof/>
        </w:rPr>
      </w:pPr>
      <w:bookmarkStart w:id="292" w:name="_Hlk495128274"/>
      <w:r w:rsidRPr="00972C81">
        <w:rPr>
          <w:noProof/>
        </w:rPr>
        <w:t xml:space="preserve">The most direct information on the biokinetics of systemic uranium comes from three studies on human subjects who were intravenously injected with uranium isotopes and followed for periods varying from a few days to 1.5 y after injection. The Boston study </w:t>
      </w:r>
      <w:r w:rsidR="00557D38" w:rsidRPr="00972C81">
        <w:rPr>
          <w:noProof/>
        </w:rPr>
        <w:fldChar w:fldCharType="begin"/>
      </w:r>
      <w:r w:rsidR="00AD3BB3" w:rsidRPr="00972C81">
        <w:rPr>
          <w:noProof/>
        </w:rPr>
        <w:instrText xml:space="preserve"> ADDIN ZOTERO_ITEM CSL_CITATION {"citationID":"O3uknfPo","properties":{"formattedCitation":"(Bernard and Struxness, 1957; Leggett, 1994; Luessenhop et al., 1958; Struxness et al., 1956)","plainCitation":"(Bernard and Struxness, 1957; Leggett, 1994; Luessenhop et al., 1958; Struxness et al., 1956)","noteIndex":0},"citationItems":[{"id":4999,"uris":["http://zotero.org/groups/2470620/items/NUH6TIZU"],"itemData":{"id":4999,"type":"report","event-place":"Tennessee","number":"ORNL 2304","publisher":"Oak Ridge National Laboratory","publisher-place":"Tennessee","title":"A study of the distribution and excretion of uranium in man. An Interim Report.","author":[{"family":"Bernard","given":"S.R."},{"family":"Struxness","given":"E.G."}],"issued":{"date-parts":[["1957"]]}}},{"id":4993,"uris":["http://zotero.org/groups/2470620/items/TQ6B3ATK"],"itemData":{"id":4993,"type":"article-journal","abstract":"In an effort motivated largely by the Chernobyl nuclear accident, the International Commission on Radiological Protection (ICRP) is developing age-specific biokinetic models and dose coefficients for environmentally important radionuclides. This paper describes the ICRP’s age-specific biokinetic model for uranium. The model is constructed within a physiologically based framework originally developed for application to the alkaline earth elements but sufficiently general to apply to the larger class of bone-volume-seeking elements. Transfer rates for a reference adult are based mainly on: 1. measurements of uranium in blood and excreta of several human subjects who were intravenously injected with uranium; 2. postmortem measurements of uranium in tissues of some of those subjects; 3. postmortem measurements of uranium in tissues of occupationally and non-occupationally exposed subjects; 4. data on baboons, dogs, and smaller laboratory animals exposed to uranium for experimental purposes; and 5. consideration of the physiological processes thought to control retention and translocation of uranium in the body. Transfer rates for the adult are extended to children by application of a set of generic assumptions applied by the ICRP to calcium-like elements. These assumptions were derived mainly from observations of the age-specific biokinetics of the alkaline earth elements and lead in humans and laboratory animals but are consistent with available agespecific biokinetic data on uranium. © 1994 Health Physics Society Pergamon Press plc.","archive":"Scopus","container-title":"Health Physics","DOI":"10.1097/00004032-199412000-00002","ISSN":"0017-9078","issue":"6","language":"English","page":"589-610","source":"Scopus","title":"Basis for the ICRP’s age-specific biokinetic model for uranium","volume":"67","author":[{"family":"Leggett","given":"R.W."}],"issued":{"date-parts":[["1994"]]}}},{"id":5002,"uris":["http://zotero.org/groups/2470620/items/P585FR6S"],"itemData":{"id":5002,"type":"article-journal","container-title":"The American journal of roentgenology, radium therapy, and nuclear medicine","issue":"1","page":"83-100","title":"The toxicity in man of hexavalent uranium following intravenous administration","volume":"79","author":[{"family":"Luessenhop","given":"A.J."},{"family":"Gallimore","given":"J.C."},{"family":"Sweet","given":"W.H."},{"family":"Struxness","given":"E.G."},{"family":"Robinson","given":"J."}],"issued":{"date-parts":[["1958"]]}}},{"id":4996,"uris":["http://zotero.org/groups/2470620/items/U2CKWN3C"],"itemData":{"id":4996,"type":"paper-conference","container-title":"Proceedings of the International Conference on the Peaceful Uses of Atomic Energy 8 Aug. 1955-20 Aug. 1955","event-place":"New York","page":"186-196","publisher":"United Nations","publisher-place":"New York","title":"The distribution and excretion of hexavalent uranium in man","volume":"10","author":[{"family":"Struxness","given":"E.G."},{"family":"Luessenhop","given":"A.J."},{"family":"Bernard","given":"S.R."},{"family":"Gallimore","given":"J.C."}],"issued":{"date-parts":[["1956"]]}}}],"schema":"https://github.com/citation-style-language/schema/raw/master/csl-citation.json"} </w:instrText>
      </w:r>
      <w:r w:rsidR="00557D38" w:rsidRPr="00972C81">
        <w:rPr>
          <w:noProof/>
        </w:rPr>
        <w:fldChar w:fldCharType="separate"/>
      </w:r>
      <w:r w:rsidR="00BC59C6" w:rsidRPr="00972C81">
        <w:rPr>
          <w:noProof/>
        </w:rPr>
        <w:t>(Bernard and Struxness, 1957; Leggett, 1994; Luessenhop et al., 1958; Struxness et al., 1956)</w:t>
      </w:r>
      <w:r w:rsidR="00557D38" w:rsidRPr="00972C81">
        <w:rPr>
          <w:noProof/>
        </w:rPr>
        <w:fldChar w:fldCharType="end"/>
      </w:r>
      <w:r w:rsidR="00D8547B" w:rsidRPr="00972C81">
        <w:rPr>
          <w:noProof/>
        </w:rPr>
        <w:t xml:space="preserve"> </w:t>
      </w:r>
      <w:r w:rsidRPr="00972C81">
        <w:rPr>
          <w:noProof/>
        </w:rPr>
        <w:t>involved at least 11 comatose patients, ages 26</w:t>
      </w:r>
      <w:r w:rsidR="007E0EBA" w:rsidRPr="00972C81">
        <w:rPr>
          <w:noProof/>
          <w:spacing w:val="1"/>
        </w:rPr>
        <w:t>–</w:t>
      </w:r>
      <w:r w:rsidRPr="00972C81">
        <w:rPr>
          <w:noProof/>
        </w:rPr>
        <w:t xml:space="preserve">63 y, in the terminal phases of diseases of the central nervous system. A study by Bassett et al. </w:t>
      </w:r>
      <w:r w:rsidR="00557D38" w:rsidRPr="00972C81">
        <w:rPr>
          <w:noProof/>
        </w:rPr>
        <w:fldChar w:fldCharType="begin"/>
      </w:r>
      <w:r w:rsidR="00557D38" w:rsidRPr="00972C81">
        <w:rPr>
          <w:noProof/>
        </w:rPr>
        <w:instrText xml:space="preserve"> ADDIN ZOTERO_ITEM CSL_CITATION {"citationID":"PGbd1FPa","properties":{"formattedCitation":"(1948)","plainCitation":"(1948)","noteIndex":0},"citationItems":[{"id":5005,"uris":["http://zotero.org/groups/2470620/items/NLLBAYUN"],"itemData":{"id":5005,"type":"report","event-place":"Rochester, New York,","number":"UR-37","publisher-place":"Rochester, New York,","title":"The Excretion of Hexavalent Uranium Following Intravenous Administration. II. Studies on Human Subjects","author":[{"family":"Bassett","given":"S.H."},{"family":"Frankel","given":"A."},{"family":"Cedars","given":"N."},{"family":"Van Alstine","given":"H."},{"family":"Waterhouse","given":"C."},{"family":"Cusson","given":"K."}],"issued":{"date-parts":[["1948"]]}},"label":"page","suppress-author":true}],"schema":"https://github.com/citation-style-language/schema/raw/master/csl-citation.json"} </w:instrText>
      </w:r>
      <w:r w:rsidR="00557D38" w:rsidRPr="00972C81">
        <w:rPr>
          <w:noProof/>
        </w:rPr>
        <w:fldChar w:fldCharType="separate"/>
      </w:r>
      <w:r w:rsidR="00BC59C6" w:rsidRPr="00972C81">
        <w:rPr>
          <w:noProof/>
        </w:rPr>
        <w:t>(1948)</w:t>
      </w:r>
      <w:r w:rsidR="00557D38" w:rsidRPr="00972C81">
        <w:rPr>
          <w:noProof/>
        </w:rPr>
        <w:fldChar w:fldCharType="end"/>
      </w:r>
      <w:r w:rsidRPr="00972C81">
        <w:rPr>
          <w:noProof/>
        </w:rPr>
        <w:t xml:space="preserve"> involved six ambulatory hospital </w:t>
      </w:r>
      <w:r w:rsidRPr="00972C81">
        <w:rPr>
          <w:noProof/>
        </w:rPr>
        <w:lastRenderedPageBreak/>
        <w:t>patients, ages 24</w:t>
      </w:r>
      <w:r w:rsidR="007E0EBA" w:rsidRPr="00972C81">
        <w:rPr>
          <w:noProof/>
          <w:spacing w:val="1"/>
        </w:rPr>
        <w:t>–</w:t>
      </w:r>
      <w:r w:rsidRPr="00972C81">
        <w:rPr>
          <w:noProof/>
        </w:rPr>
        <w:t xml:space="preserve">61 y, with diseases that were not immediately life threatening. A study by </w:t>
      </w:r>
      <w:r w:rsidR="00CC508E" w:rsidRPr="00972C81">
        <w:rPr>
          <w:noProof/>
        </w:rPr>
        <w:t xml:space="preserve">Tannenbaum </w:t>
      </w:r>
      <w:r w:rsidRPr="00972C81">
        <w:rPr>
          <w:noProof/>
        </w:rPr>
        <w:t xml:space="preserve">et al. </w:t>
      </w:r>
      <w:r w:rsidR="00CC508E" w:rsidRPr="00972C81">
        <w:rPr>
          <w:noProof/>
        </w:rPr>
        <w:fldChar w:fldCharType="begin"/>
      </w:r>
      <w:r w:rsidR="00CC508E" w:rsidRPr="00972C81">
        <w:rPr>
          <w:noProof/>
        </w:rPr>
        <w:instrText xml:space="preserve"> ADDIN ZOTERO_ITEM CSL_CITATION {"citationID":"xlsZzepA","properties":{"formattedCitation":"(1964)","plainCitation":"(1964)","noteIndex":0},"citationItems":[{"id":5011,"uris":["http://zotero.org/groups/2470620/items/PFPPVZNR"],"itemData":{"id":5011,"type":"paper-conference","container-title":"Nucl. Sci. Abstr.","event-place":"San Francisco, CA","event-title":"46th meeting of the endocrine society","page":"439","publisher-place":"San Francisco, CA","title":"Abstract 22: Skeletal retention of uranium in man","volume":"20","author":[{"family":"Tannenbaum","given":"A."},{"family":"Terepka","given":"A.R."},{"family":"Toribara","given":"T.Y."},{"family":"Neuman","given":"W.F."}],"issued":{"date-parts":[["1964"]]}},"label":"page","suppress-author":true}],"schema":"https://github.com/citation-style-language/schema/raw/master/csl-citation.json"} </w:instrText>
      </w:r>
      <w:r w:rsidR="00CC508E" w:rsidRPr="00972C81">
        <w:rPr>
          <w:noProof/>
        </w:rPr>
        <w:fldChar w:fldCharType="separate"/>
      </w:r>
      <w:r w:rsidR="00BC59C6" w:rsidRPr="00972C81">
        <w:rPr>
          <w:noProof/>
        </w:rPr>
        <w:t>(1964)</w:t>
      </w:r>
      <w:r w:rsidR="00CC508E" w:rsidRPr="00972C81">
        <w:rPr>
          <w:noProof/>
        </w:rPr>
        <w:fldChar w:fldCharType="end"/>
      </w:r>
      <w:r w:rsidRPr="00972C81">
        <w:rPr>
          <w:noProof/>
        </w:rPr>
        <w:t xml:space="preserve"> </w:t>
      </w:r>
      <w:r w:rsidR="00CC508E" w:rsidRPr="00972C81">
        <w:rPr>
          <w:noProof/>
        </w:rPr>
        <w:fldChar w:fldCharType="begin"/>
      </w:r>
      <w:r w:rsidR="00CC508E" w:rsidRPr="00972C81">
        <w:rPr>
          <w:noProof/>
        </w:rPr>
        <w:instrText xml:space="preserve"> ADDIN ZOTERO_ITEM CSL_CITATION {"citationID":"qPvzL7Aa","properties":{"formattedCitation":"(also see Hursh and Spoor, 1973)","plainCitation":"(also see Hursh and Spoor, 1973)","noteIndex":0},"citationItems":[{"id":5008,"uris":["http://zotero.org/groups/2470620/items/AJZYZICM"],"itemData":{"id":5008,"type":"article-journal","container-title":"Handbook of Experimental Pharmacology","page":"197-239","title":"Data on man","volume":"36","author":[{"family":"Hursh","given":"J.B."},{"family":"Spoor","given":"N.L."}],"issued":{"date-parts":[["1973"]]}},"label":"page","prefix":"also see"}],"schema":"https://github.com/citation-style-language/schema/raw/master/csl-citation.json"} </w:instrText>
      </w:r>
      <w:r w:rsidR="00CC508E" w:rsidRPr="00972C81">
        <w:rPr>
          <w:noProof/>
        </w:rPr>
        <w:fldChar w:fldCharType="separate"/>
      </w:r>
      <w:r w:rsidR="00BC59C6" w:rsidRPr="00972C81">
        <w:rPr>
          <w:noProof/>
        </w:rPr>
        <w:t>(also see Hursh and Spoor, 1973)</w:t>
      </w:r>
      <w:r w:rsidR="00CC508E" w:rsidRPr="00972C81">
        <w:rPr>
          <w:noProof/>
        </w:rPr>
        <w:fldChar w:fldCharType="end"/>
      </w:r>
      <w:r w:rsidRPr="00972C81">
        <w:rPr>
          <w:noProof/>
        </w:rPr>
        <w:t xml:space="preserve"> involved three control patients and seven patients with various bone disorders. The rate of urinary excretion of uranium was determined in all three studies. Blood clearance of u</w:t>
      </w:r>
      <w:r w:rsidR="007E6BB1">
        <w:rPr>
          <w:noProof/>
        </w:rPr>
        <w:t>r</w:t>
      </w:r>
      <w:r w:rsidRPr="00972C81">
        <w:rPr>
          <w:noProof/>
        </w:rPr>
        <w:t>anium was studied in the Boston study and the study by Bassett and coworkers. The time-dependent distribution of uranium in tissues was examined by autopsy measurement in patients in the Boston study dying from 2.5 to 566 d post injection. Data from these studies indicate that 50</w:t>
      </w:r>
      <w:r w:rsidR="007E0EBA" w:rsidRPr="00972C81">
        <w:rPr>
          <w:noProof/>
          <w:spacing w:val="1"/>
        </w:rPr>
        <w:t>–</w:t>
      </w:r>
      <w:r w:rsidRPr="00972C81">
        <w:rPr>
          <w:noProof/>
        </w:rPr>
        <w:t>80% or more of uranium entering blood is excreted in urine during the first 24 h, and 60</w:t>
      </w:r>
      <w:r w:rsidR="007E0EBA" w:rsidRPr="00972C81">
        <w:rPr>
          <w:noProof/>
          <w:spacing w:val="1"/>
        </w:rPr>
        <w:t>–</w:t>
      </w:r>
      <w:r w:rsidRPr="00972C81">
        <w:rPr>
          <w:noProof/>
        </w:rPr>
        <w:t>90% or more is excreted in urine during the first week. Highest concentrations of the retained activity are found in kidneys and bone.</w:t>
      </w:r>
    </w:p>
    <w:p w14:paraId="4FD0750D" w14:textId="71B4057D" w:rsidR="006B178F" w:rsidRPr="00972C81" w:rsidRDefault="006B178F" w:rsidP="001C4A92">
      <w:pPr>
        <w:pStyle w:val="Annalstext"/>
        <w:rPr>
          <w:noProof/>
        </w:rPr>
      </w:pPr>
      <w:r w:rsidRPr="00972C81">
        <w:rPr>
          <w:noProof/>
        </w:rPr>
        <w:t xml:space="preserve">Post-mortem measurements of uranium in tissues of occupationally and environmentally exposed subjects </w:t>
      </w:r>
      <w:r w:rsidR="004B4D81" w:rsidRPr="00972C81">
        <w:rPr>
          <w:noProof/>
        </w:rPr>
        <w:fldChar w:fldCharType="begin"/>
      </w:r>
      <w:r w:rsidR="004B4D81" w:rsidRPr="00972C81">
        <w:rPr>
          <w:noProof/>
        </w:rPr>
        <w:instrText xml:space="preserve"> ADDIN ZOTERO_ITEM CSL_CITATION {"citationID":"NkA5atko","properties":{"formattedCitation":"(Campbell et al., 1975; Donoghue et al., 1972; Fisenne and Welford, 1986; Igarashi et al., 1985; Kathren et al., 1989; Roberts et al., 1977; Russell and Kathren, 2004; Singh et al., 1987; Singh, Lewis, et al., 1986; Singh, Wrenn, et al., 1986)","plainCitation":"(Campbell et al., 1975; Donoghue et al., 1972; Fisenne and Welford, 1986; Igarashi et al., 1985; Kathren et al., 1989; Roberts et al., 1977; Russell and Kathren, 2004; Singh et al., 1987; Singh, Lewis, et al., 1986; Singh, Wrenn, et al., 1986)","noteIndex":0},"citationItems":[{"id":5014,"uris":["http://zotero.org/groups/2470620/items/QEYB72RX"],"itemData":{"id":5014,"type":"paper-conference","container-title":"Conference on Occupational Health Experience with Uranium","event-place":"Arlington VA","page":"324-350","publisher":"US ERDA","publisher-place":"Arlington VA","title":"Uranium in the tissue of occupationally exposed workers","volume":"93","author":[{"family":"Campbell","given":"Evan E."},{"family":"McInroy","given":"James F."},{"family":"Schulte","given":"H.F."}],"issued":{"date-parts":[["1975"]]}}},{"id":5017,"uris":["http://zotero.org/groups/2470620/items/JWEG68ZM"],"itemData":{"id":5017,"type":"article-journal","container-title":"British journal of industrial medicine","DOI":"10.1136/oem.29.1.81","issue":"1","page":"81-89","title":"Human exposure to natural uranium. A case history and analytical results from some postmortem tissues.","volume":"29","author":[{"family":"Donoghue","given":"J.K."},{"family":"Dyson","given":"E.D."},{"family":"Hislop","given":"J.S."},{"family":"Leach","given":"A.M."},{"family":"Spoor","given":"N.L."}],"issued":{"date-parts":[["1972"]]}}},{"id":5020,"uris":["http://zotero.org/groups/2470620/items/2CEHUKPS"],"itemData":{"id":5020,"type":"article-journal","container-title":"Health Physics","DOI":"10.1097/00004032-198606000-00004","issue":"6","page":"739-746","title":"Natural U concentrations in soft tissues and bone of New York City residents","volume":"50","author":[{"family":"Fisenne","given":"I.M."},{"family":"Welford","given":"G.A."}],"issued":{"date-parts":[["1986"]]}}},{"id":5023,"uris":["http://zotero.org/groups/2470620/items/7A6MSLCG"],"itemData":{"id":5023,"type":"article-journal","container-title":"Health Physics","DOI":"10.1097/00004032-198511000-00004","issue":"5","page":"707-712","title":"Determination of U in Japanese human tissues by the fission track method","volume":"49","author":[{"family":"Igarashi","given":"Y."},{"family":"Yamakawa","given":"A."},{"family":"Seki","given":"R."},{"family":"Ikeda","given":"N."}],"issued":{"date-parts":[["1985"]]}}},{"id":5026,"uris":["http://zotero.org/groups/2470620/items/5CPK8UCI"],"itemData":{"id":5026,"type":"article-journal","container-title":"Health Physics","DOI":"10.1097/00004032-198907000-00002","issue":"1","page":"17-21","title":"Uranium in the tissues of an occupationally exposed individual","volume":"57","author":[{"family":"Kathren","given":"R.L."},{"family":"McLnroy","given":"J.F."},{"family":"Moore","given":"R.H."},{"family":"Dietert","given":"S.E."}],"issued":{"date-parts":[["1989"]]}}},{"id":5029,"uris":["http://zotero.org/groups/2470620/items/2HNLWP42"],"itemData":{"id":5029,"type":"article-journal","container-title":"Health Physics","issue":"5","page":"435-437","title":"Confirmation of in vivo uranium in chest survey by analysis of autopsy specimens","volume":"32","author":[{"family":"Roberts","given":"A.M."},{"family":"Coulston","given":"D.J."},{"family":"Bates","given":"T.H."}],"issued":{"date-parts":[["1977"]]}}},{"id":5044,"uris":["http://zotero.org/groups/2470620/items/5V6KRUML"],"itemData":{"id":5044,"type":"article-journal","abstract":"This report describes a whole body donation from a person with a documented occupational intake of uranium. USTUR Case 1002 was an adult male who died from an acute cerebellar infarct at the age of 83. He worked as a power operator, utility operator, and metal operator for 28 years in a facility that processed and handled radioactive materials. Although he suffered a number of burns from hot metal and acids, cuts, abrasions, and puncture wounds during his many years of work, there were no corresponding health physics or medical records to indicate that these occurrences needed or required excision or decontamination due to the suspicion of the deposition of radioactive material. Over the course of his employment, USTUR Case 1002 submitted numerous urine samples for uranium, plutonium, and fission product analysis. The highest single uranium value measured during this time period was approximately 30 microg L(-1) recorded during the second year of his employment. A urinary bioassay sample taken before termination of employment measured 4.3 microg L(-1). The mean urinary uranium concentration per liter per year calculated from the employee's bioassay records covering the first eleven years of monitoring averaged less than 3 microg L(-1). The ratio of 234/238U activity in the lung tissue was about 1, the same as that found in natural uranium. The highest concentration of uranium was found in a tracheobronchial lymph node. The uranium content in the various tissues of the body followed a rank order lung &gt; skeleton &gt; liver &gt; kidney. Concentration of uranium in the kidney tissue was approximately 1.98 ng g(-1), about 3 orders of magnitude less than the generally accepted threshold level for permanent kidney damage of 3 microg U g(-1) and roughly equal to the 1.4 ng g(-1) reported for Reference Man. The autopsy disclosed findings not uncommon in the aged: severe atherosclerosis, areas of sclerotic kidney glomeruli with stromal fibrous scarring, and moderate to severe arterionephrosclerosis. Lung sections contained parenchymal areas of acute vascular congestion and a mild degree of anthracosis.","container-title":"Health Physics","DOI":"10.1097/00004032-200403000-00004","ISSN":"0017-9078","issue":"3","journalAbbreviation":"Health Phys","language":"eng","note":"PMID: 14982228","page":"273-284","source":"PubMed","title":"Uranium deposition and retention in a USTUR whole body case","volume":"86","author":[{"family":"Russell","given":"J. J."},{"family":"Kathren","given":"R. L."}],"issued":{"date-parts":[["2004",3]]}}},{"id":5035,"uris":["http://zotero.org/groups/2470620/items/AP599VT2"],"itemData":{"id":5035,"type":"article-journal","container-title":"Health Physics","DOI":"10.1097/00004032-198709000-00005","issue":"3","page":"261-265","title":"Concentrations of alpha-emitting isotopes of U and Th in uranium miners' and millers' tissues","volume":"53","author":[{"family":"Singh","given":"N.P."},{"family":"Bennett","given":"D.D."},{"family":"Wrenn","given":"M.E."},{"family":"Saccomanno","given":"G."}],"issued":{"date-parts":[["1987"]]}}},{"id":5032,"uris":["http://zotero.org/groups/2470620/items/6GG4T6WE"],"itemData":{"id":5032,"type":"article-journal","container-title":"Health Physics","issue":"S1","page":"S83","title":"Uranium in Human Tissues of Colorado, Pennsylvania and Utah Populations","volume":"50","author":[{"family":"Singh","given":"N.P."},{"family":"Lewis","given":"L.L."},{"family":"Wrenn","given":"M.E."}],"issued":{"date-parts":[["1986"]]}}},{"id":5041,"uris":["http://zotero.org/groups/2470620/items/RVWSMDTB"],"itemData":{"id":5041,"type":"article-journal","abstract":"The results of these analyses of dog lung tissue by three different laboratories, using different analytical techniques, indicate generally good agreement between laboratories. The activity ratios from all three laboratories indicated that a state of near equilibrium exists between the 234U and 238U isotopes, even though a statistically significant difference exists between the Los Alamos and Pacific Northwest Laboratories values; this difference is only 5%. For the 230Th/234U ratio, there were no statistically significant differences between any of the laboratories. A faily large disequilibrium between the Th and U isotopes was observed, which suggests that U is cleared from dog lungs at a faster rate than Th. This contrasts with previously reported data on U miners' lungs (Si81;Wr83), where 230Th/234U activity ratios are equal on the average. This difference in the equilibrium between human and experimental animals is clearly not from a difference in radiochemical methods.","archive":"Scopus","container-title":"Health Physics","ISSN":"0017-9078","issue":"2","language":"English","page":"292-297","source":"Scopus","title":"Ratios of 234U, 238U and 230Th in dog lungs exposed to U ore dust: An interlaboratory comparison","title-short":"Ratios of 234U, 238U and 230Th in dog lungs exposed to U ore dust","volume":"50","author":[{"family":"Singh","given":"N.P."},{"family":"Wrenn","given":"M.E."},{"family":"McInroy","given":"J.F."}],"issued":{"date-parts":[["1986"]]}}}],"schema":"https://github.com/citation-style-language/schema/raw/master/csl-citation.json"} </w:instrText>
      </w:r>
      <w:r w:rsidR="004B4D81" w:rsidRPr="00972C81">
        <w:rPr>
          <w:noProof/>
        </w:rPr>
        <w:fldChar w:fldCharType="separate"/>
      </w:r>
      <w:r w:rsidR="00BC59C6" w:rsidRPr="00972C81">
        <w:rPr>
          <w:noProof/>
        </w:rPr>
        <w:t>(Campbell et al., 1975; Donoghue et al., 1972; Fisenne and Welford, 1986; Igarashi et al., 1985; Kathren et al., 1989; Roberts et al., 1977; Russell and Kathren, 2004; Singh et al., 1987; Singh, Lewis, et al., 1986; Singh, Wrenn, et al., 1986)</w:t>
      </w:r>
      <w:r w:rsidR="004B4D81" w:rsidRPr="00972C81">
        <w:rPr>
          <w:noProof/>
        </w:rPr>
        <w:fldChar w:fldCharType="end"/>
      </w:r>
      <w:r w:rsidR="00CC508E" w:rsidRPr="00972C81">
        <w:rPr>
          <w:noProof/>
        </w:rPr>
        <w:t xml:space="preserve"> </w:t>
      </w:r>
      <w:r w:rsidRPr="00972C81">
        <w:rPr>
          <w:noProof/>
        </w:rPr>
        <w:t>provide information on the long</w:t>
      </w:r>
      <w:r w:rsidRPr="00972C81">
        <w:rPr>
          <w:noProof/>
        </w:rPr>
        <w:noBreakHyphen/>
        <w:t>term distribution of uranium in the human body. The collective data indicate that the skeleton typically contains 15</w:t>
      </w:r>
      <w:r w:rsidR="007E0EBA" w:rsidRPr="00972C81">
        <w:rPr>
          <w:noProof/>
          <w:spacing w:val="1"/>
        </w:rPr>
        <w:t>–</w:t>
      </w:r>
      <w:r w:rsidRPr="00972C81">
        <w:rPr>
          <w:noProof/>
        </w:rPr>
        <w:t>50 (median, ~30) times as much uranium as the liver, and the kidneys typically contain 0.2</w:t>
      </w:r>
      <w:r w:rsidR="007E0EBA" w:rsidRPr="00972C81">
        <w:rPr>
          <w:noProof/>
          <w:spacing w:val="1"/>
        </w:rPr>
        <w:t>–</w:t>
      </w:r>
      <w:r w:rsidRPr="00972C81">
        <w:rPr>
          <w:noProof/>
        </w:rPr>
        <w:t xml:space="preserve">0.6 (median, ~0.5) times as much uranium as the liver at times remote from the start of exposure. </w:t>
      </w:r>
    </w:p>
    <w:p w14:paraId="7DF41DB0" w14:textId="21110B08" w:rsidR="006B178F" w:rsidRPr="00972C81" w:rsidRDefault="006B178F" w:rsidP="001C4A92">
      <w:pPr>
        <w:pStyle w:val="Annalstext"/>
        <w:rPr>
          <w:noProof/>
        </w:rPr>
      </w:pPr>
      <w:r w:rsidRPr="00972C81">
        <w:rPr>
          <w:noProof/>
        </w:rPr>
        <w:t xml:space="preserve">The biokinetics of uranium has been studied in baboons, dogs, rabbits, rats, mice, monkeys, sheep, and other animal species </w:t>
      </w:r>
      <w:r w:rsidR="00AD3BB3" w:rsidRPr="00972C81">
        <w:rPr>
          <w:noProof/>
        </w:rPr>
        <w:fldChar w:fldCharType="begin"/>
      </w:r>
      <w:r w:rsidR="00AD3BB3" w:rsidRPr="00972C81">
        <w:rPr>
          <w:noProof/>
        </w:rPr>
        <w:instrText xml:space="preserve"> ADDIN ZOTERO_ITEM CSL_CITATION {"citationID":"BfNWGPob","properties":{"formattedCitation":"(see reviews by Durbin, 1984; ICRP, 1995a; Leggett, 1994)","plainCitation":"(see reviews by Durbin, 1984; ICRP, 1995a; Leggett, 1994)","noteIndex":0},"citationItems":[{"id":5046,"uris":["http://zotero.org/groups/2470620/items/P54LXZ7P"],"itemData":{"id":5046,"type":"paper-conference","container-title":"Proceedings of a colloquium: Biokinetics and analysis of uranium in man. 8-9 Aug. 1984","event-place":"Richland, USA","page":"F1-F65","publisher":"United States Uranium Registry/Hanford Environmental Health Foundation","publisher-place":"Richland, USA","title":"Metabolic models for uranium","volume":"USUR-05 HEHF-47, Document No:PB86-203080","author":[{"family":"Durbin","given":"P.W."}],"issued":{"date-parts":[["1984"]]}},"label":"page","prefix":"see reviews by "},{"id":2560,"uris":["http://zotero.org/groups/2470620/items/2Z2UA63Y",["http://zotero.org/groups/2470620/items/2Z2UA63Y"]],"itemData":{"id":2560,"type":"article-journal","container-title":"Annals of the ICRP","issue":"1","language":"en","title":"Age-dependent Doses to Members of the Public from Intake of Radionuclides: Part 3. Ingestion Dose Coefficients, ICRP Publication 69.","volume":"25","author":[{"family":"ICRP","given":""}],"issued":{"date-parts":[["1995"]]}}},{"id":4993,"uris":["http://zotero.org/groups/2470620/items/TQ6B3ATK"],"itemData":{"id":4993,"type":"article-journal","abstract":"In an effort motivated largely by the Chernobyl nuclear accident, the International Commission on Radiological Protection (ICRP) is developing age-specific biokinetic models and dose coefficients for environmentally important radionuclides. This paper describes the ICRP’s age-specific biokinetic model for uranium. The model is constructed within a physiologically based framework originally developed for application to the alkaline earth elements but sufficiently general to apply to the larger class of bone-volume-seeking elements. Transfer rates for a reference adult are based mainly on: 1. measurements of uranium in blood and excreta of several human subjects who were intravenously injected with uranium; 2. postmortem measurements of uranium in tissues of some of those subjects; 3. postmortem measurements of uranium in tissues of occupationally and non-occupationally exposed subjects; 4. data on baboons, dogs, and smaller laboratory animals exposed to uranium for experimental purposes; and 5. consideration of the physiological processes thought to control retention and translocation of uranium in the body. Transfer rates for the adult are extended to children by application of a set of generic assumptions applied by the ICRP to calcium-like elements. These assumptions were derived mainly from observations of the age-specific biokinetics of the alkaline earth elements and lead in humans and laboratory animals but are consistent with available agespecific biokinetic data on uranium. © 1994 Health Physics Society Pergamon Press plc.","archive":"Scopus","container-title":"Health Physics","DOI":"10.1097/00004032-199412000-00002","ISSN":"0017-9078","issue":"6","language":"English","page":"589-610","source":"Scopus","title":"Basis for the ICRP’s age-specific biokinetic model for uranium","volume":"67","author":[{"family":"Leggett","given":"R.W."}],"issued":{"date-parts":[["1994"]]}}}],"schema":"https://github.com/citation-style-language/schema/raw/master/csl-citation.json"} </w:instrText>
      </w:r>
      <w:r w:rsidR="00AD3BB3" w:rsidRPr="00972C81">
        <w:rPr>
          <w:noProof/>
        </w:rPr>
        <w:fldChar w:fldCharType="separate"/>
      </w:r>
      <w:r w:rsidR="00BC59C6" w:rsidRPr="00972C81">
        <w:rPr>
          <w:noProof/>
        </w:rPr>
        <w:t>(see reviews by Durbin, 1984; ICRP, 1995a; Leggett, 1994)</w:t>
      </w:r>
      <w:r w:rsidR="00AD3BB3" w:rsidRPr="00972C81">
        <w:rPr>
          <w:noProof/>
        </w:rPr>
        <w:fldChar w:fldCharType="end"/>
      </w:r>
      <w:r w:rsidR="00AD3BB3" w:rsidRPr="00972C81">
        <w:rPr>
          <w:noProof/>
        </w:rPr>
        <w:t xml:space="preserve"> </w:t>
      </w:r>
      <w:r w:rsidRPr="00972C81">
        <w:rPr>
          <w:noProof/>
        </w:rPr>
        <w:t xml:space="preserve">. These data can be used to fill gaps in information for humans. </w:t>
      </w:r>
    </w:p>
    <w:p w14:paraId="11356185" w14:textId="22437F6D" w:rsidR="006B178F" w:rsidRPr="00972C81" w:rsidRDefault="006B178F" w:rsidP="001C4A92">
      <w:pPr>
        <w:pStyle w:val="Annalstext"/>
        <w:rPr>
          <w:noProof/>
        </w:rPr>
      </w:pPr>
      <w:r w:rsidRPr="00972C81">
        <w:rPr>
          <w:noProof/>
        </w:rPr>
        <w:t>Th</w:t>
      </w:r>
      <w:r w:rsidR="00AD3BB3" w:rsidRPr="00972C81">
        <w:rPr>
          <w:noProof/>
        </w:rPr>
        <w:t>e</w:t>
      </w:r>
      <w:r w:rsidRPr="00972C81">
        <w:rPr>
          <w:noProof/>
        </w:rPr>
        <w:t xml:space="preserve"> skeletal </w:t>
      </w:r>
      <w:r w:rsidR="00BB503E">
        <w:rPr>
          <w:noProof/>
        </w:rPr>
        <w:t>behaviour</w:t>
      </w:r>
      <w:r w:rsidRPr="00972C81">
        <w:rPr>
          <w:noProof/>
        </w:rPr>
        <w:t xml:space="preserve"> of uranium is in some ways qualitatively similar to that of the alkaline earths. It is known that UO</w:t>
      </w:r>
      <w:r w:rsidRPr="00972C81">
        <w:rPr>
          <w:noProof/>
          <w:vertAlign w:val="subscript"/>
        </w:rPr>
        <w:t>2</w:t>
      </w:r>
      <w:r w:rsidRPr="00972C81">
        <w:rPr>
          <w:noProof/>
          <w:vertAlign w:val="superscript"/>
        </w:rPr>
        <w:t>2+</w:t>
      </w:r>
      <w:r w:rsidRPr="00972C81">
        <w:rPr>
          <w:noProof/>
        </w:rPr>
        <w:t xml:space="preserve"> exchanges with Ca</w:t>
      </w:r>
      <w:r w:rsidRPr="00972C81">
        <w:rPr>
          <w:noProof/>
          <w:vertAlign w:val="superscript"/>
        </w:rPr>
        <w:t>2+</w:t>
      </w:r>
      <w:r w:rsidRPr="00972C81">
        <w:rPr>
          <w:noProof/>
        </w:rPr>
        <w:t xml:space="preserve"> on the surfaces of bone mineral although it apparently does not participate in crystal formation. Like the alkaline earths, uranium initially deposits on all bone surfaces but is highly concentrated in areas of growth. Perhaps depending on species-dependent microscopic structure of bone, uranium may gradually diffuse into bone volume. This has been observed in dogs </w:t>
      </w:r>
      <w:r w:rsidR="00AD3BB3" w:rsidRPr="00972C81">
        <w:rPr>
          <w:noProof/>
        </w:rPr>
        <w:fldChar w:fldCharType="begin"/>
      </w:r>
      <w:r w:rsidR="00AD3BB3" w:rsidRPr="00972C81">
        <w:rPr>
          <w:noProof/>
        </w:rPr>
        <w:instrText xml:space="preserve"> ADDIN ZOTERO_ITEM CSL_CITATION {"citationID":"ylvWz9IU","properties":{"formattedCitation":"(Rowland and Farnham, 1969; Stevens et al., 1980)","plainCitation":"(Rowland and Farnham, 1969; Stevens et al., 1980)","noteIndex":0},"citationItems":[{"id":5047,"uris":["http://zotero.org/groups/2470620/items/YII5GH3J"],"itemData":{"id":5047,"type":"article-journal","abstract":"Quantitative autoradiography was employed to study the distribution of two isotopes of uranium in the bones of dogs. 232U or 233U was injected intravenously as the nitrate into adult dogs, and the animals were sacrificed serially at times ranging from 2 to 72 days after injection. The femora and tibia were taken at the time of sacrifice for autoradiographic analysis. The results showed that at 2 days after injection, the uranium had a distribution pattern very similar to that seen with plutonium, i.e., it was localized on bone surfaces. By 6 days, however, a diffuse distribution of this element was present. Seventy-two days after isotope administration the distribution pattern was remarkably like that of calcium, with intense hot spots over the growth regions and a diffuse distribution throughout all of the pre-existing bone. © 1969 Health Physics Society.","archive":"Scopus","container-title":"Health Physics","DOI":"10.1097/00004032-196907000-00015","ISSN":"0017-9078","issue":"1","language":"English","page":"139-144","source":"Scopus","title":"The deposition of uranium in bone","volume":"17","author":[{"family":"Rowland","given":"R.E."},{"family":"Farnham","given":"J.E."}],"issued":{"date-parts":[["1969"]]}}},{"id":5050,"uris":["http://zotero.org/groups/2470620/items/3RN24Q7L"],"itemData":{"id":5050,"type":"article-journal","abstract":"The distribution, retention, and excretion of 233U were measured in seven beagles injected intravenously with 2.8 μCi 233U(VI)/kg (~3 mg/dog) in citrate buffer and sacrificed at times ranging from 1 to 726 days postinjection (PI). The concentration of U in plasma decreased rapidly, and for the first 24 hr PI could be described by a triphasic exponential equation with half-times of 0.92, 46, and 315 min. The uranium in the blood at 5 min PI was present as either a protein (transferrin-albumin) or a carbonate/bicarbonate complex. Up to 60% of the injected U was excreted during the first day, most of it in the urine. Whole-body retention was 17% at 7 days, 10% at 94 days, 7.6% at 1 year, and less than 5% at 2 years PI. At 1 day PI, the liver contained 1.1% of the injected U and its subcellular distribution was similar to that seen with Pu(IV). At 1 day PI, 7.7% of the U was found in the skeleton; this amount decreased with a biological half-life of 883 days. Initially, U was deposited nonuniformly on bone surfaces with areas of intense hot spots adjacent to areas with intermediate and low concentrations. At later times redistribution and/or diffusion of U into the bone volume produced a deposition pattern intermediate to that of 239Pu (surface) and 226Ra (volume). The heterogeneity of surface deposits persisted, and isolated segments of the trabecular bone showed intensive surface deposits at times greater than 1 year PI. Twenty-two percent of the injected U was found in the kidneys at 1 day PI with high concentrations localized in the proximal tubules. The initially high concentration of U in this organ was correlated with extnsive diuresis and a persistent elevation in blood urea nitrogen. Damage to proximal tubules was attributed primarily to chemical toxicity but was aggravated by simultaneous α irradiation. It is postulated that the deposition of U on trabecular endosteal surfaces will induce osteosarcoma(s) following prolonged exposure to 233U or 232U.","archive":"Scopus","container-title":"Radiation Research","DOI":"10.2307/3575263","ISSN":"0033-7587","issue":"1","language":"English","page":"109-126","source":"Scopus","title":"The distribution and retention of hexavalent 233U in the beagle","volume":"83","author":[{"family":"Stevens","given":"W."},{"family":"Bruenger","given":"F.W."},{"family":"Atherton","given":"D.R."},{"family":"Smith","given":"J.M."},{"family":"Taylor","given":"G.N."}],"issued":{"date-parts":[["1980"]]}}}],"schema":"https://github.com/citation-style-language/schema/raw/master/csl-citation.json"} </w:instrText>
      </w:r>
      <w:r w:rsidR="00AD3BB3" w:rsidRPr="00972C81">
        <w:rPr>
          <w:noProof/>
        </w:rPr>
        <w:fldChar w:fldCharType="separate"/>
      </w:r>
      <w:r w:rsidR="00BC59C6" w:rsidRPr="00972C81">
        <w:rPr>
          <w:noProof/>
        </w:rPr>
        <w:t>(Rowland and Farnham, 1969; Stevens et al., 1980)</w:t>
      </w:r>
      <w:r w:rsidR="00AD3BB3" w:rsidRPr="00972C81">
        <w:rPr>
          <w:noProof/>
        </w:rPr>
        <w:fldChar w:fldCharType="end"/>
      </w:r>
      <w:r w:rsidR="00AD3BB3" w:rsidRPr="00972C81">
        <w:rPr>
          <w:noProof/>
        </w:rPr>
        <w:t xml:space="preserve"> </w:t>
      </w:r>
      <w:r w:rsidRPr="00972C81">
        <w:rPr>
          <w:noProof/>
        </w:rPr>
        <w:t xml:space="preserve">but not in rats </w:t>
      </w:r>
      <w:r w:rsidR="00463C85" w:rsidRPr="00972C81">
        <w:rPr>
          <w:noProof/>
        </w:rPr>
        <w:fldChar w:fldCharType="begin"/>
      </w:r>
      <w:r w:rsidR="00463C85" w:rsidRPr="00972C81">
        <w:rPr>
          <w:noProof/>
        </w:rPr>
        <w:instrText xml:space="preserve"> ADDIN ZOTERO_ITEM CSL_CITATION {"citationID":"Fq3uCmMy","properties":{"formattedCitation":"(Priest et al., 1982)","plainCitation":"(Priest et al., 1982)","noteIndex":0},"citationItems":[{"id":5053,"uris":["http://zotero.org/groups/2470620/items/VWYHW2MN"],"itemData":{"id":5053,"type":"article-journal","abstract":"The distribution and retention of intravenously injected hexavalent uranium-233 in the skeleton of the female rat has been investigated using a variety of autoradiographic and radiochemical techniques. These showed that approximately one third of the injected uranium is deposited in the skeleton where it is retained with an initial biological half-time of </w:instrText>
      </w:r>
      <w:r w:rsidR="00463C85" w:rsidRPr="00972C81">
        <w:rPr>
          <w:rFonts w:ascii="Cambria Math" w:hAnsi="Cambria Math" w:cs="Cambria Math"/>
          <w:noProof/>
        </w:rPr>
        <w:instrText>∼</w:instrText>
      </w:r>
      <w:r w:rsidR="00463C85" w:rsidRPr="00972C81">
        <w:rPr>
          <w:noProof/>
        </w:rPr>
        <w:instrText xml:space="preserve">40 days. The studies also showed that: 1 Uranium is initially deposited onto all types of bone surface, but preferentially onto those that are accreting. 2 Uranium is deposited in the calcifying zones of skeletal cartilage. 3 Bone accretion results in the burial of surface deposits of uranium. 4 Bone resorption causes the removal of uranium from surfaces. 5 Resorbed uranium is not retained by osteoclasts and macrophages in the bone marrow. 6 Uranium removed from bone surfaces enters the bloodstream where most is either redeposited in bone or excreted via the kidneys. 7 The recycling of resorbed uranium within the skeleton tends to produce a uniform level of uranium contamination throughout mineralized bone. These results are taken to indicate that uranium deposition in bone shares characteristics in common with both the ‘volume-seeking radionuclides' typified by the alkaline earth elements and with the ‘bone surface-seeking radionuclides' typified by plutonium. © 1982, Sage Publications. All rights reserved.","archive":"Scopus","container-title":"Human &amp; Experimental Toxicology","DOI":"10.1177/096032718200100202","ISSN":"0960-3271","issue":"2","language":"English","page":"97-114","source":"Scopus","title":"Uranium in Bone: Metabolic and Autoradiographic Studies in the Rat","title-short":"Uranium in Bone","volume":"1","author":[{"family":"Priest","given":"N.D."},{"family":"Howells","given":"G.R."},{"family":"Green","given":"D."},{"family":"Haines","given":"J.W."}],"issued":{"date-parts":[["1982"]]}}}],"schema":"https://github.com/citation-style-language/schema/raw/master/csl-citation.json"} </w:instrText>
      </w:r>
      <w:r w:rsidR="00463C85" w:rsidRPr="00972C81">
        <w:rPr>
          <w:noProof/>
        </w:rPr>
        <w:fldChar w:fldCharType="separate"/>
      </w:r>
      <w:r w:rsidR="00BC59C6" w:rsidRPr="00972C81">
        <w:rPr>
          <w:noProof/>
        </w:rPr>
        <w:t>(Priest et al., 1982)</w:t>
      </w:r>
      <w:r w:rsidR="00463C85" w:rsidRPr="00972C81">
        <w:rPr>
          <w:noProof/>
        </w:rPr>
        <w:fldChar w:fldCharType="end"/>
      </w:r>
      <w:r w:rsidRPr="00972C81">
        <w:rPr>
          <w:noProof/>
        </w:rPr>
        <w:t xml:space="preserve"> or mice </w:t>
      </w:r>
      <w:r w:rsidR="00463C85" w:rsidRPr="00972C81">
        <w:rPr>
          <w:noProof/>
        </w:rPr>
        <w:fldChar w:fldCharType="begin"/>
      </w:r>
      <w:r w:rsidR="00463C85" w:rsidRPr="00972C81">
        <w:rPr>
          <w:noProof/>
        </w:rPr>
        <w:instrText xml:space="preserve"> ADDIN ZOTERO_ITEM CSL_CITATION {"citationID":"4VZaw5Xg","properties":{"formattedCitation":"(Kisieleski et al., 1952)","plainCitation":"(Kisieleski et al., 1952)","noteIndex":0},"citationItems":[{"id":5056,"uris":["http://zotero.org/groups/2470620/items/EDBUBBDM"],"itemData":{"id":5056,"type":"article-journal","container-title":"The Journal of pharmacology and experimental therapeutics","issue":"4","page":"459-467","title":"The metabolism of uranium233 in mice.","volume":"104","author":[{"family":"Kisieleski","given":"W.E."},{"family":"Faraghan","given":"W.G."},{"family":"Norris","given":"W.P."},{"family":"Arnold","given":"J.S."}],"issued":{"date-parts":[["1952"]]}}}],"schema":"https://github.com/citation-style-language/schema/raw/master/csl-citation.json"} </w:instrText>
      </w:r>
      <w:r w:rsidR="00463C85" w:rsidRPr="00972C81">
        <w:rPr>
          <w:noProof/>
        </w:rPr>
        <w:fldChar w:fldCharType="separate"/>
      </w:r>
      <w:r w:rsidR="00BC59C6" w:rsidRPr="00972C81">
        <w:rPr>
          <w:noProof/>
        </w:rPr>
        <w:t>(Kisieleski et al., 1952)</w:t>
      </w:r>
      <w:r w:rsidR="00463C85" w:rsidRPr="00972C81">
        <w:rPr>
          <w:noProof/>
        </w:rPr>
        <w:fldChar w:fldCharType="end"/>
      </w:r>
      <w:r w:rsidRPr="00972C81">
        <w:rPr>
          <w:noProof/>
        </w:rPr>
        <w:t>. Also like the alkaline earths, a substantial portion of uranium depositing in bone returns to plasma by processes that occur much more rapidly than bone restructuring. Data for the subjects of the Boston study indicate that 80</w:t>
      </w:r>
      <w:r w:rsidR="007E0EBA" w:rsidRPr="00972C81">
        <w:rPr>
          <w:noProof/>
          <w:spacing w:val="1"/>
        </w:rPr>
        <w:t>–</w:t>
      </w:r>
      <w:r w:rsidRPr="00972C81">
        <w:rPr>
          <w:noProof/>
        </w:rPr>
        <w:t>90% of the original skeletal deposition was lost from bone over the first 1.5 y.</w:t>
      </w:r>
    </w:p>
    <w:p w14:paraId="17D98A46" w14:textId="03BAF7C7" w:rsidR="006B178F" w:rsidRPr="00972C81" w:rsidRDefault="006B178F" w:rsidP="001C4A92">
      <w:pPr>
        <w:pStyle w:val="Annalstext"/>
        <w:rPr>
          <w:noProof/>
        </w:rPr>
      </w:pPr>
      <w:r w:rsidRPr="00972C81">
        <w:rPr>
          <w:noProof/>
        </w:rPr>
        <w:t xml:space="preserve">Neuman et al. </w:t>
      </w:r>
      <w:r w:rsidR="00463C85" w:rsidRPr="00972C81">
        <w:rPr>
          <w:noProof/>
        </w:rPr>
        <w:fldChar w:fldCharType="begin"/>
      </w:r>
      <w:r w:rsidR="00463C85" w:rsidRPr="00972C81">
        <w:rPr>
          <w:noProof/>
        </w:rPr>
        <w:instrText xml:space="preserve"> ADDIN ZOTERO_ITEM CSL_CITATION {"citationID":"U405oTgJ","properties":{"formattedCitation":"(1948)","plainCitation":"(1948)","noteIndex":0},"citationItems":[{"id":5059,"uris":["http://zotero.org/groups/2470620/items/8Q92XBSE"],"itemData":{"id":5059,"type":"article-journal","container-title":"The Journal of biological chemistry","issue":"2","page":"737-748","title":"The distribution and excretion of injected uranium","volume":"173","author":[{"family":"Neuman","given":"W.F."},{"family":"Fleming","given":"R.W."},{"family":"Dounce","given":"A.L."},{"family":"Carlson","given":"A.B."},{"family":"O'Leary","given":"J."},{"family":"Mulryan","given":"B."}],"issued":{"date-parts":[["1948"]]}},"label":"page","suppress-author":true}],"schema":"https://github.com/citation-style-language/schema/raw/master/csl-citation.json"} </w:instrText>
      </w:r>
      <w:r w:rsidR="00463C85" w:rsidRPr="00972C81">
        <w:rPr>
          <w:noProof/>
        </w:rPr>
        <w:fldChar w:fldCharType="separate"/>
      </w:r>
      <w:r w:rsidR="00BC59C6" w:rsidRPr="00972C81">
        <w:rPr>
          <w:noProof/>
        </w:rPr>
        <w:t>(1948)</w:t>
      </w:r>
      <w:r w:rsidR="00463C85" w:rsidRPr="00972C81">
        <w:rPr>
          <w:noProof/>
        </w:rPr>
        <w:fldChar w:fldCharType="end"/>
      </w:r>
      <w:r w:rsidRPr="00972C81">
        <w:rPr>
          <w:noProof/>
        </w:rPr>
        <w:t xml:space="preserve"> studied the biokinetics of uranium in 200-rats following intravenous administration of uranium nitrate. They found that a consistently greater amount accumulated in bones of males than of females, suggesting a physiological factor related to sex was involved in bone deposition of uranium. Subsequent studies revealed that the factor in question was age rather than sex. Male rats of weight 200 g were 9 weeks of age, while females were about 16 weeks old. Because of a greater rate of bone growth at 9 weeks, the males deposited greater </w:t>
      </w:r>
      <w:bookmarkEnd w:id="292"/>
      <w:r w:rsidRPr="00972C81">
        <w:rPr>
          <w:noProof/>
        </w:rPr>
        <w:t>quantities of uranium in the skeleton.</w:t>
      </w:r>
    </w:p>
    <w:p w14:paraId="3E4B48DF" w14:textId="77777777" w:rsidR="006B178F" w:rsidRPr="00972C81" w:rsidRDefault="006B178F" w:rsidP="006703A2">
      <w:pPr>
        <w:pStyle w:val="OIRTitre4"/>
      </w:pPr>
      <w:r w:rsidRPr="00972C81">
        <w:t>Systemic model</w:t>
      </w:r>
    </w:p>
    <w:p w14:paraId="0EF2F1E3" w14:textId="62B51D6D" w:rsidR="006B178F" w:rsidRPr="00972C81" w:rsidRDefault="006B178F" w:rsidP="001C4A92">
      <w:pPr>
        <w:pStyle w:val="Annalstext"/>
        <w:rPr>
          <w:noProof/>
        </w:rPr>
      </w:pPr>
      <w:r w:rsidRPr="00972C81">
        <w:rPr>
          <w:noProof/>
        </w:rPr>
        <w:t xml:space="preserve">The age-specific systemic model for uranium applied in this report is the model used in </w:t>
      </w:r>
      <w:r w:rsidRPr="00972C81">
        <w:rPr>
          <w:i/>
          <w:noProof/>
        </w:rPr>
        <w:t>Publication 69</w:t>
      </w:r>
      <w:r w:rsidRPr="00972C81">
        <w:rPr>
          <w:noProof/>
        </w:rPr>
        <w:t xml:space="preserve"> </w:t>
      </w:r>
      <w:r w:rsidR="008D04F1" w:rsidRPr="00972C81">
        <w:rPr>
          <w:noProof/>
        </w:rPr>
        <w:fldChar w:fldCharType="begin"/>
      </w:r>
      <w:r w:rsidR="008D04F1" w:rsidRPr="00972C81">
        <w:rPr>
          <w:noProof/>
        </w:rPr>
        <w:instrText xml:space="preserve"> ADDIN ZOTERO_ITEM CSL_CITATION {"citationID":"yaNOHnJ0","properties":{"formattedCitation":"(ICRP, 1995a)","plainCitation":"(ICRP, 1995a)","noteIndex":0},"citationItems":[{"id":2560,"uris":["http://zotero.org/groups/2470620/items/2Z2UA63Y",["http://zotero.org/groups/2470620/items/2Z2UA63Y"]],"itemData":{"id":2560,"type":"article-journal","container-title":"Annals of the ICRP","issue":"1","language":"en","title":"Age-dependent Doses to Members of the Public from Intake of Radionuclides: Part 3. Ingestion Dose Coefficients, ICRP Publication 69.","volume":"25","author":[{"family":"ICRP","given":""}],"issued":{"date-parts":[["1995"]]}}}],"schema":"https://github.com/citation-style-language/schema/raw/master/csl-citation.json"} </w:instrText>
      </w:r>
      <w:r w:rsidR="008D04F1" w:rsidRPr="00972C81">
        <w:rPr>
          <w:noProof/>
        </w:rPr>
        <w:fldChar w:fldCharType="separate"/>
      </w:r>
      <w:r w:rsidR="00BC59C6" w:rsidRPr="00972C81">
        <w:rPr>
          <w:noProof/>
        </w:rPr>
        <w:t>(ICRP, 1995a)</w:t>
      </w:r>
      <w:r w:rsidR="008D04F1" w:rsidRPr="00972C81">
        <w:rPr>
          <w:noProof/>
        </w:rPr>
        <w:fldChar w:fldCharType="end"/>
      </w:r>
      <w:r w:rsidRPr="00972C81">
        <w:rPr>
          <w:noProof/>
        </w:rPr>
        <w:t xml:space="preserve">. The parameter values for adult member of the public are the same as those applied in </w:t>
      </w:r>
      <w:r w:rsidR="008D04F1" w:rsidRPr="00972C81">
        <w:rPr>
          <w:i/>
          <w:noProof/>
        </w:rPr>
        <w:t>Publication 137</w:t>
      </w:r>
      <w:r w:rsidRPr="00972C81">
        <w:rPr>
          <w:noProof/>
        </w:rPr>
        <w:t xml:space="preserve"> to workers</w:t>
      </w:r>
      <w:r w:rsidR="008D04F1" w:rsidRPr="00972C81">
        <w:rPr>
          <w:noProof/>
        </w:rPr>
        <w:t xml:space="preserve"> </w:t>
      </w:r>
      <w:r w:rsidR="008D04F1" w:rsidRPr="00972C81">
        <w:rPr>
          <w:noProof/>
        </w:rPr>
        <w:fldChar w:fldCharType="begin"/>
      </w:r>
      <w:r w:rsidR="008D04F1" w:rsidRPr="00972C81">
        <w:rPr>
          <w:noProof/>
        </w:rPr>
        <w:instrText xml:space="preserve"> ADDIN ZOTERO_ITEM CSL_CITATION {"citationID":"kZaeRtvr","properties":{"formattedCitation":"(ICRP, 2017)","plainCitation":"(ICRP, 2017)","noteIndex":0},"citationItems":[{"id":2566,"uris":["http://zotero.org/groups/2470620/items/BYB77JGB"],"itemData":{"id":2566,"type":"article-journal","container-title":"Annals of the ICRP","issue":"3/4","journalAbbreviation":"Ann. ICRP","language":"en","title":"Occupational intakes of radionuclides: Part 3. ICRP Publication 137","volume":"46","author":[{"literal":"ICRP"}],"issued":{"date-parts":[["2017"]]}}}],"schema":"https://github.com/citation-style-language/schema/raw/master/csl-citation.json"} </w:instrText>
      </w:r>
      <w:r w:rsidR="008D04F1" w:rsidRPr="00972C81">
        <w:rPr>
          <w:noProof/>
        </w:rPr>
        <w:fldChar w:fldCharType="separate"/>
      </w:r>
      <w:r w:rsidR="00BC59C6" w:rsidRPr="00972C81">
        <w:rPr>
          <w:noProof/>
        </w:rPr>
        <w:t>(ICRP, 2017)</w:t>
      </w:r>
      <w:r w:rsidR="008D04F1" w:rsidRPr="00972C81">
        <w:rPr>
          <w:noProof/>
        </w:rPr>
        <w:fldChar w:fldCharType="end"/>
      </w:r>
      <w:r w:rsidRPr="00972C81">
        <w:rPr>
          <w:noProof/>
        </w:rPr>
        <w:t xml:space="preserve">. </w:t>
      </w:r>
    </w:p>
    <w:p w14:paraId="531396CE" w14:textId="60D276E6" w:rsidR="006B178F" w:rsidRPr="00972C81" w:rsidRDefault="006B178F" w:rsidP="001C4A92">
      <w:pPr>
        <w:pStyle w:val="Annalstext"/>
        <w:rPr>
          <w:noProof/>
        </w:rPr>
      </w:pPr>
      <w:r w:rsidRPr="00972C81">
        <w:rPr>
          <w:noProof/>
        </w:rPr>
        <w:t xml:space="preserve">The reader is referred to </w:t>
      </w:r>
      <w:r w:rsidRPr="00972C81">
        <w:rPr>
          <w:i/>
          <w:noProof/>
        </w:rPr>
        <w:t>Publication 69</w:t>
      </w:r>
      <w:r w:rsidRPr="00972C81">
        <w:rPr>
          <w:noProof/>
        </w:rPr>
        <w:t xml:space="preserve"> for a detailed description of the model and the rationale for parameter values. Briefly, the model for adults is based largely on data for human subjects summarized above, together with the generic skeletal model for bone-volume seeking radionuclides. Data for laboratory animals including primates and dogs are used to fill gaps in the data for adult humans. Based on general similarities in the skeletal behaviours of uranium and the alkaline earth elements, the age-specific deposition fraction for bone is assumed to be </w:t>
      </w:r>
      <w:r w:rsidRPr="00972C81">
        <w:rPr>
          <w:noProof/>
        </w:rPr>
        <w:lastRenderedPageBreak/>
        <w:t xml:space="preserve">proportional to the age-specific deposition fractions for the alkaline earth elements (see the section on calcium). For preadult ages the deposition fractions for soft tissues and excretion pathways are reduced uniformly from the values for adults to accommodate the higher deposition fractions in bone compared with adults. The removal half-time from bone surface and exchangeable bone volume compartments is assumed to be independent of age. The removal half-time from bone volume compartments to blood are reference age-specific bone turnover rates </w:t>
      </w:r>
      <w:r w:rsidR="008D04F1" w:rsidRPr="00972C81">
        <w:rPr>
          <w:noProof/>
        </w:rPr>
        <w:fldChar w:fldCharType="begin"/>
      </w:r>
      <w:r w:rsidR="008D04F1" w:rsidRPr="00972C81">
        <w:rPr>
          <w:noProof/>
        </w:rPr>
        <w:instrText xml:space="preserve"> ADDIN ZOTERO_ITEM CSL_CITATION {"citationID":"lb7ChC8y","properties":{"formattedCitation":"(ICRP,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8D04F1" w:rsidRPr="00972C81">
        <w:rPr>
          <w:noProof/>
        </w:rPr>
        <w:fldChar w:fldCharType="separate"/>
      </w:r>
      <w:r w:rsidR="00BC59C6" w:rsidRPr="00972C81">
        <w:rPr>
          <w:noProof/>
        </w:rPr>
        <w:t>(ICRP, 2002)</w:t>
      </w:r>
      <w:r w:rsidR="008D04F1" w:rsidRPr="00972C81">
        <w:rPr>
          <w:noProof/>
        </w:rPr>
        <w:fldChar w:fldCharType="end"/>
      </w:r>
      <w:r w:rsidRPr="00972C81">
        <w:rPr>
          <w:noProof/>
        </w:rPr>
        <w:t>. Removal half-times from soft-tissue compartments are assumed to be independent of age.</w:t>
      </w:r>
    </w:p>
    <w:p w14:paraId="1559EFC7" w14:textId="69F15BAA" w:rsidR="006B178F" w:rsidRPr="00972C81" w:rsidRDefault="006B178F" w:rsidP="001C4A92">
      <w:pPr>
        <w:pStyle w:val="Annalstext"/>
        <w:rPr>
          <w:noProof/>
        </w:rPr>
      </w:pPr>
      <w:r w:rsidRPr="00972C81">
        <w:rPr>
          <w:noProof/>
        </w:rPr>
        <w:t xml:space="preserve">The structure of the systemic model for uranium is shown in </w:t>
      </w:r>
      <w:r w:rsidR="008D04F1" w:rsidRPr="00972C81">
        <w:rPr>
          <w:noProof/>
        </w:rPr>
        <w:fldChar w:fldCharType="begin"/>
      </w:r>
      <w:r w:rsidR="008D04F1" w:rsidRPr="00972C81">
        <w:rPr>
          <w:noProof/>
        </w:rPr>
        <w:instrText xml:space="preserve"> REF _Ref143094375 \h </w:instrText>
      </w:r>
      <w:r w:rsidR="008D04F1" w:rsidRPr="00972C81">
        <w:rPr>
          <w:noProof/>
        </w:rPr>
      </w:r>
      <w:r w:rsidR="008D04F1" w:rsidRPr="00972C81">
        <w:rPr>
          <w:noProof/>
        </w:rPr>
        <w:fldChar w:fldCharType="separate"/>
      </w:r>
      <w:r w:rsidR="00A41AD1" w:rsidRPr="00972C81">
        <w:rPr>
          <w:noProof/>
        </w:rPr>
        <w:t xml:space="preserve">Fig </w:t>
      </w:r>
      <w:r w:rsidR="00A41AD1">
        <w:rPr>
          <w:noProof/>
        </w:rPr>
        <w:t>20</w:t>
      </w:r>
      <w:r w:rsidR="00A41AD1" w:rsidRPr="00972C81">
        <w:rPr>
          <w:noProof/>
        </w:rPr>
        <w:t>.</w:t>
      </w:r>
      <w:r w:rsidR="00A41AD1">
        <w:rPr>
          <w:noProof/>
        </w:rPr>
        <w:t>1</w:t>
      </w:r>
      <w:r w:rsidR="008D04F1" w:rsidRPr="00972C81">
        <w:rPr>
          <w:noProof/>
        </w:rPr>
        <w:fldChar w:fldCharType="end"/>
      </w:r>
      <w:r w:rsidRPr="00972C81">
        <w:rPr>
          <w:noProof/>
        </w:rPr>
        <w:t xml:space="preserve">. Parameter values are listed in </w:t>
      </w:r>
      <w:r w:rsidR="008D04F1" w:rsidRPr="00972C81">
        <w:rPr>
          <w:noProof/>
        </w:rPr>
        <w:fldChar w:fldCharType="begin"/>
      </w:r>
      <w:r w:rsidR="008D04F1" w:rsidRPr="00972C81">
        <w:rPr>
          <w:noProof/>
        </w:rPr>
        <w:instrText xml:space="preserve"> REF _Ref143094386 \h </w:instrText>
      </w:r>
      <w:r w:rsidR="008D04F1" w:rsidRPr="00972C81">
        <w:rPr>
          <w:noProof/>
        </w:rPr>
      </w:r>
      <w:r w:rsidR="008D04F1" w:rsidRPr="00972C81">
        <w:rPr>
          <w:noProof/>
        </w:rPr>
        <w:fldChar w:fldCharType="separate"/>
      </w:r>
      <w:r w:rsidR="00A41AD1" w:rsidRPr="00972C81">
        <w:rPr>
          <w:noProof/>
        </w:rPr>
        <w:t xml:space="preserve">Table </w:t>
      </w:r>
      <w:r w:rsidR="00A41AD1">
        <w:rPr>
          <w:noProof/>
        </w:rPr>
        <w:t>20</w:t>
      </w:r>
      <w:r w:rsidR="00A41AD1" w:rsidRPr="00972C81">
        <w:rPr>
          <w:noProof/>
        </w:rPr>
        <w:t>.</w:t>
      </w:r>
      <w:r w:rsidR="00A41AD1">
        <w:rPr>
          <w:noProof/>
        </w:rPr>
        <w:t>2</w:t>
      </w:r>
      <w:r w:rsidR="008D04F1" w:rsidRPr="00972C81">
        <w:rPr>
          <w:noProof/>
        </w:rPr>
        <w:fldChar w:fldCharType="end"/>
      </w:r>
      <w:r w:rsidRPr="00972C81">
        <w:rPr>
          <w:noProof/>
        </w:rPr>
        <w:t>.</w:t>
      </w:r>
    </w:p>
    <w:p w14:paraId="4261DB23" w14:textId="77777777" w:rsidR="006B178F" w:rsidRPr="00972C81" w:rsidRDefault="006B178F" w:rsidP="00134489">
      <w:pPr>
        <w:rPr>
          <w:noProof/>
        </w:rPr>
      </w:pPr>
    </w:p>
    <w:p w14:paraId="3F20A29C" w14:textId="145D62EB" w:rsidR="006B178F" w:rsidRPr="00972C81" w:rsidRDefault="00A3213E" w:rsidP="006B178F">
      <w:pPr>
        <w:jc w:val="center"/>
        <w:rPr>
          <w:noProof/>
        </w:rPr>
      </w:pPr>
      <w:r>
        <w:rPr>
          <w:noProof/>
        </w:rPr>
        <w:drawing>
          <wp:inline distT="0" distB="0" distL="0" distR="0" wp14:anchorId="5DA8933B" wp14:editId="272531AD">
            <wp:extent cx="4038600" cy="3109317"/>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1"/>
                    <a:stretch>
                      <a:fillRect/>
                    </a:stretch>
                  </pic:blipFill>
                  <pic:spPr>
                    <a:xfrm>
                      <a:off x="0" y="0"/>
                      <a:ext cx="4043875" cy="3113378"/>
                    </a:xfrm>
                    <a:prstGeom prst="rect">
                      <a:avLst/>
                    </a:prstGeom>
                  </pic:spPr>
                </pic:pic>
              </a:graphicData>
            </a:graphic>
          </wp:inline>
        </w:drawing>
      </w:r>
    </w:p>
    <w:p w14:paraId="385FBEA6" w14:textId="020189A7" w:rsidR="001200FD" w:rsidRPr="00972C81" w:rsidRDefault="008D04F1" w:rsidP="001200FD">
      <w:pPr>
        <w:pStyle w:val="ab"/>
        <w:rPr>
          <w:noProof/>
        </w:rPr>
      </w:pPr>
      <w:bookmarkStart w:id="293" w:name="_Ref143094375"/>
      <w:r w:rsidRPr="00C47F2F">
        <w:rPr>
          <w:noProof/>
          <w:sz w:val="24"/>
          <w:szCs w:val="24"/>
        </w:rPr>
        <w:t xml:space="preserve">Fig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20</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Figure \* ARABIC \s 1 </w:instrText>
      </w:r>
      <w:r w:rsidR="00EA3750" w:rsidRPr="00C47F2F">
        <w:rPr>
          <w:noProof/>
          <w:sz w:val="24"/>
          <w:szCs w:val="24"/>
        </w:rPr>
        <w:fldChar w:fldCharType="separate"/>
      </w:r>
      <w:r w:rsidR="00A41AD1" w:rsidRPr="00C47F2F">
        <w:rPr>
          <w:noProof/>
          <w:sz w:val="24"/>
          <w:szCs w:val="24"/>
        </w:rPr>
        <w:t>1</w:t>
      </w:r>
      <w:r w:rsidR="00EA3750" w:rsidRPr="00C47F2F">
        <w:rPr>
          <w:noProof/>
          <w:sz w:val="24"/>
          <w:szCs w:val="24"/>
        </w:rPr>
        <w:fldChar w:fldCharType="end"/>
      </w:r>
      <w:bookmarkEnd w:id="293"/>
      <w:r w:rsidRPr="00C47F2F">
        <w:rPr>
          <w:noProof/>
          <w:sz w:val="24"/>
          <w:szCs w:val="24"/>
        </w:rPr>
        <w:t>.</w:t>
      </w:r>
      <w:r w:rsidR="006B178F" w:rsidRPr="00C47F2F">
        <w:rPr>
          <w:noProof/>
          <w:sz w:val="24"/>
          <w:szCs w:val="24"/>
        </w:rPr>
        <w:t xml:space="preserve"> Structure of the systemic model for uranium.</w:t>
      </w:r>
      <w:bookmarkStart w:id="294" w:name="_Hlk160430191"/>
      <w:r w:rsidR="001200FD">
        <w:rPr>
          <w:noProof/>
        </w:rPr>
        <w:t xml:space="preserve"> RBC = Red blood cells, Exch = Exchangeable, Nonexch = Nonexchangeable, </w:t>
      </w:r>
    </w:p>
    <w:p w14:paraId="2874F983" w14:textId="77777777" w:rsidR="0096390F" w:rsidRDefault="0096390F">
      <w:pPr>
        <w:widowControl/>
        <w:jc w:val="left"/>
        <w:rPr>
          <w:noProof/>
          <w:szCs w:val="24"/>
        </w:rPr>
      </w:pPr>
      <w:bookmarkStart w:id="295" w:name="_Ref143094386"/>
      <w:bookmarkEnd w:id="294"/>
      <w:r>
        <w:rPr>
          <w:noProof/>
          <w:szCs w:val="24"/>
        </w:rPr>
        <w:br w:type="page"/>
      </w:r>
    </w:p>
    <w:p w14:paraId="20AFB547" w14:textId="23E1CCA7" w:rsidR="006B178F" w:rsidRPr="00C47F2F" w:rsidRDefault="008D04F1" w:rsidP="00E81109">
      <w:pPr>
        <w:pStyle w:val="ab"/>
        <w:rPr>
          <w:rFonts w:ascii="Times Roman" w:hAnsi="Times Roman"/>
          <w:noProof/>
          <w:sz w:val="24"/>
          <w:szCs w:val="24"/>
          <w:lang w:eastAsia="fr-FR"/>
        </w:rPr>
      </w:pPr>
      <w:r w:rsidRPr="00C47F2F">
        <w:rPr>
          <w:noProof/>
          <w:sz w:val="24"/>
          <w:szCs w:val="24"/>
        </w:rPr>
        <w:lastRenderedPageBreak/>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20</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2</w:t>
      </w:r>
      <w:r w:rsidR="00EA3750" w:rsidRPr="00C47F2F">
        <w:rPr>
          <w:noProof/>
          <w:sz w:val="24"/>
          <w:szCs w:val="24"/>
        </w:rPr>
        <w:fldChar w:fldCharType="end"/>
      </w:r>
      <w:bookmarkEnd w:id="295"/>
      <w:r w:rsidRPr="00C47F2F">
        <w:rPr>
          <w:noProof/>
          <w:sz w:val="24"/>
          <w:szCs w:val="24"/>
        </w:rPr>
        <w:t>.</w:t>
      </w:r>
      <w:r w:rsidR="007A34D9" w:rsidRPr="00C47F2F">
        <w:rPr>
          <w:noProof/>
          <w:sz w:val="24"/>
          <w:szCs w:val="24"/>
        </w:rPr>
        <w:t xml:space="preserve"> Age-specific transfer coefficients for uranium.</w:t>
      </w:r>
    </w:p>
    <w:tbl>
      <w:tblPr>
        <w:tblW w:w="5000" w:type="pct"/>
        <w:tblLayout w:type="fixed"/>
        <w:tblCellMar>
          <w:right w:w="57" w:type="dxa"/>
        </w:tblCellMar>
        <w:tblLook w:val="04A0" w:firstRow="1" w:lastRow="0" w:firstColumn="1" w:lastColumn="0" w:noHBand="0" w:noVBand="1"/>
      </w:tblPr>
      <w:tblGrid>
        <w:gridCol w:w="3119"/>
        <w:gridCol w:w="984"/>
        <w:gridCol w:w="985"/>
        <w:gridCol w:w="985"/>
        <w:gridCol w:w="984"/>
        <w:gridCol w:w="985"/>
        <w:gridCol w:w="985"/>
      </w:tblGrid>
      <w:tr w:rsidR="006B178F" w:rsidRPr="00972C81" w14:paraId="57800F9B" w14:textId="77777777" w:rsidTr="0096390F">
        <w:trPr>
          <w:trHeight w:val="340"/>
        </w:trPr>
        <w:tc>
          <w:tcPr>
            <w:tcW w:w="3119" w:type="dxa"/>
            <w:vMerge w:val="restart"/>
            <w:tcBorders>
              <w:top w:val="single" w:sz="4" w:space="0" w:color="auto"/>
            </w:tcBorders>
            <w:shd w:val="clear" w:color="auto" w:fill="auto"/>
            <w:noWrap/>
          </w:tcPr>
          <w:p w14:paraId="39E6177E" w14:textId="77777777" w:rsidR="006B178F" w:rsidRPr="00972C81" w:rsidRDefault="006B178F" w:rsidP="00E81109">
            <w:pPr>
              <w:pStyle w:val="Table"/>
              <w:rPr>
                <w:noProof/>
              </w:rPr>
            </w:pPr>
          </w:p>
          <w:p w14:paraId="4B200E12" w14:textId="2245819E" w:rsidR="006B178F" w:rsidRPr="00972C81" w:rsidRDefault="006B178F" w:rsidP="00E81109">
            <w:pPr>
              <w:pStyle w:val="Table"/>
              <w:rPr>
                <w:noProof/>
              </w:rPr>
            </w:pPr>
            <w:r w:rsidRPr="00972C81">
              <w:rPr>
                <w:noProof/>
              </w:rPr>
              <w:t>Pathway</w:t>
            </w:r>
            <w:r w:rsidR="001200FD" w:rsidRPr="001200FD">
              <w:rPr>
                <w:noProof/>
                <w:vertAlign w:val="superscript"/>
              </w:rPr>
              <w:t>a</w:t>
            </w:r>
          </w:p>
        </w:tc>
        <w:tc>
          <w:tcPr>
            <w:tcW w:w="5908" w:type="dxa"/>
            <w:gridSpan w:val="6"/>
            <w:tcBorders>
              <w:top w:val="single" w:sz="4" w:space="0" w:color="auto"/>
              <w:bottom w:val="single" w:sz="4" w:space="0" w:color="auto"/>
            </w:tcBorders>
            <w:shd w:val="clear" w:color="auto" w:fill="auto"/>
            <w:noWrap/>
          </w:tcPr>
          <w:p w14:paraId="27C8A574" w14:textId="77777777" w:rsidR="006B178F" w:rsidRPr="00972C81" w:rsidRDefault="006B178F" w:rsidP="00C47F2F">
            <w:pPr>
              <w:pStyle w:val="Table"/>
              <w:jc w:val="center"/>
              <w:rPr>
                <w:noProof/>
              </w:rPr>
            </w:pPr>
            <w:r w:rsidRPr="00972C81">
              <w:rPr>
                <w:noProof/>
              </w:rPr>
              <w:t>Transfer coefficient (d</w:t>
            </w:r>
            <w:r w:rsidRPr="0034590A">
              <w:rPr>
                <w:noProof/>
                <w:vertAlign w:val="superscript"/>
              </w:rPr>
              <w:t>-1</w:t>
            </w:r>
            <w:r w:rsidRPr="00972C81">
              <w:rPr>
                <w:noProof/>
              </w:rPr>
              <w:t>)</w:t>
            </w:r>
          </w:p>
        </w:tc>
      </w:tr>
      <w:tr w:rsidR="00100C52" w:rsidRPr="00972C81" w14:paraId="58EA45BC" w14:textId="77777777" w:rsidTr="0096390F">
        <w:trPr>
          <w:trHeight w:val="340"/>
        </w:trPr>
        <w:tc>
          <w:tcPr>
            <w:tcW w:w="3119" w:type="dxa"/>
            <w:vMerge/>
            <w:tcBorders>
              <w:bottom w:val="single" w:sz="4" w:space="0" w:color="auto"/>
            </w:tcBorders>
            <w:shd w:val="clear" w:color="auto" w:fill="auto"/>
            <w:noWrap/>
          </w:tcPr>
          <w:p w14:paraId="66E39D8D" w14:textId="77777777" w:rsidR="006B178F" w:rsidRPr="00972C81" w:rsidRDefault="006B178F" w:rsidP="00E81109">
            <w:pPr>
              <w:pStyle w:val="Table"/>
              <w:rPr>
                <w:noProof/>
                <w:color w:val="000000"/>
              </w:rPr>
            </w:pPr>
          </w:p>
        </w:tc>
        <w:tc>
          <w:tcPr>
            <w:tcW w:w="984" w:type="dxa"/>
            <w:tcBorders>
              <w:top w:val="single" w:sz="4" w:space="0" w:color="auto"/>
              <w:bottom w:val="single" w:sz="4" w:space="0" w:color="auto"/>
            </w:tcBorders>
            <w:shd w:val="clear" w:color="auto" w:fill="auto"/>
            <w:noWrap/>
          </w:tcPr>
          <w:p w14:paraId="452007CF" w14:textId="77777777" w:rsidR="006B178F" w:rsidRPr="00972C81" w:rsidRDefault="006B178F" w:rsidP="00E81109">
            <w:pPr>
              <w:pStyle w:val="Table"/>
              <w:rPr>
                <w:noProof/>
                <w:color w:val="000000"/>
              </w:rPr>
            </w:pPr>
            <w:r w:rsidRPr="00972C81">
              <w:rPr>
                <w:noProof/>
              </w:rPr>
              <w:t>100 d</w:t>
            </w:r>
          </w:p>
        </w:tc>
        <w:tc>
          <w:tcPr>
            <w:tcW w:w="985" w:type="dxa"/>
            <w:tcBorders>
              <w:top w:val="single" w:sz="4" w:space="0" w:color="auto"/>
              <w:bottom w:val="single" w:sz="4" w:space="0" w:color="auto"/>
            </w:tcBorders>
            <w:shd w:val="clear" w:color="auto" w:fill="auto"/>
            <w:noWrap/>
          </w:tcPr>
          <w:p w14:paraId="78D86504" w14:textId="77777777" w:rsidR="006B178F" w:rsidRPr="00972C81" w:rsidRDefault="006B178F" w:rsidP="00E81109">
            <w:pPr>
              <w:pStyle w:val="Table"/>
              <w:rPr>
                <w:noProof/>
                <w:color w:val="000000"/>
              </w:rPr>
            </w:pPr>
            <w:r w:rsidRPr="00972C81">
              <w:rPr>
                <w:noProof/>
              </w:rPr>
              <w:t>1 y</w:t>
            </w:r>
          </w:p>
        </w:tc>
        <w:tc>
          <w:tcPr>
            <w:tcW w:w="985" w:type="dxa"/>
            <w:tcBorders>
              <w:top w:val="single" w:sz="4" w:space="0" w:color="auto"/>
              <w:bottom w:val="single" w:sz="4" w:space="0" w:color="auto"/>
            </w:tcBorders>
            <w:shd w:val="clear" w:color="auto" w:fill="auto"/>
            <w:noWrap/>
          </w:tcPr>
          <w:p w14:paraId="20A83BF9" w14:textId="77777777" w:rsidR="006B178F" w:rsidRPr="00972C81" w:rsidRDefault="006B178F" w:rsidP="00E81109">
            <w:pPr>
              <w:pStyle w:val="Table"/>
              <w:rPr>
                <w:noProof/>
                <w:color w:val="000000"/>
              </w:rPr>
            </w:pPr>
            <w:r w:rsidRPr="00972C81">
              <w:rPr>
                <w:noProof/>
              </w:rPr>
              <w:t>5 y</w:t>
            </w:r>
          </w:p>
        </w:tc>
        <w:tc>
          <w:tcPr>
            <w:tcW w:w="984" w:type="dxa"/>
            <w:tcBorders>
              <w:top w:val="single" w:sz="4" w:space="0" w:color="auto"/>
              <w:bottom w:val="single" w:sz="4" w:space="0" w:color="auto"/>
            </w:tcBorders>
            <w:shd w:val="clear" w:color="auto" w:fill="auto"/>
            <w:noWrap/>
          </w:tcPr>
          <w:p w14:paraId="71117A20" w14:textId="77777777" w:rsidR="006B178F" w:rsidRPr="00972C81" w:rsidRDefault="006B178F" w:rsidP="00E81109">
            <w:pPr>
              <w:pStyle w:val="Table"/>
              <w:rPr>
                <w:noProof/>
                <w:color w:val="000000"/>
              </w:rPr>
            </w:pPr>
            <w:r w:rsidRPr="00972C81">
              <w:rPr>
                <w:noProof/>
              </w:rPr>
              <w:t>10 y</w:t>
            </w:r>
          </w:p>
        </w:tc>
        <w:tc>
          <w:tcPr>
            <w:tcW w:w="985" w:type="dxa"/>
            <w:tcBorders>
              <w:top w:val="single" w:sz="4" w:space="0" w:color="auto"/>
              <w:bottom w:val="single" w:sz="4" w:space="0" w:color="auto"/>
            </w:tcBorders>
            <w:shd w:val="clear" w:color="auto" w:fill="auto"/>
            <w:noWrap/>
          </w:tcPr>
          <w:p w14:paraId="46870015" w14:textId="77777777" w:rsidR="006B178F" w:rsidRPr="00972C81" w:rsidRDefault="006B178F" w:rsidP="00E81109">
            <w:pPr>
              <w:pStyle w:val="Table"/>
              <w:rPr>
                <w:noProof/>
                <w:color w:val="000000"/>
              </w:rPr>
            </w:pPr>
            <w:r w:rsidRPr="00972C81">
              <w:rPr>
                <w:noProof/>
              </w:rPr>
              <w:t>15 y</w:t>
            </w:r>
          </w:p>
        </w:tc>
        <w:tc>
          <w:tcPr>
            <w:tcW w:w="985" w:type="dxa"/>
            <w:tcBorders>
              <w:top w:val="single" w:sz="4" w:space="0" w:color="auto"/>
              <w:bottom w:val="single" w:sz="4" w:space="0" w:color="auto"/>
            </w:tcBorders>
            <w:shd w:val="clear" w:color="auto" w:fill="auto"/>
            <w:noWrap/>
          </w:tcPr>
          <w:p w14:paraId="441AF308" w14:textId="77777777" w:rsidR="006B178F" w:rsidRPr="00972C81" w:rsidRDefault="006B178F" w:rsidP="00E81109">
            <w:pPr>
              <w:pStyle w:val="Table"/>
              <w:rPr>
                <w:noProof/>
                <w:color w:val="000000"/>
              </w:rPr>
            </w:pPr>
            <w:r w:rsidRPr="00972C81">
              <w:rPr>
                <w:noProof/>
              </w:rPr>
              <w:t>Adult</w:t>
            </w:r>
          </w:p>
        </w:tc>
      </w:tr>
      <w:tr w:rsidR="001200FD" w:rsidRPr="00972C81" w14:paraId="029DBB5B" w14:textId="77777777" w:rsidTr="0096390F">
        <w:trPr>
          <w:trHeight w:val="340"/>
        </w:trPr>
        <w:tc>
          <w:tcPr>
            <w:tcW w:w="3119" w:type="dxa"/>
            <w:tcBorders>
              <w:top w:val="single" w:sz="4" w:space="0" w:color="auto"/>
            </w:tcBorders>
            <w:shd w:val="clear" w:color="auto" w:fill="auto"/>
            <w:noWrap/>
            <w:vAlign w:val="center"/>
          </w:tcPr>
          <w:p w14:paraId="2E82103E" w14:textId="79EEBB62" w:rsidR="001200FD" w:rsidRPr="001200FD" w:rsidRDefault="001200FD" w:rsidP="0096390F">
            <w:pPr>
              <w:pStyle w:val="Table"/>
              <w:rPr>
                <w:noProof/>
                <w:sz w:val="20"/>
                <w:szCs w:val="22"/>
              </w:rPr>
            </w:pPr>
            <w:r w:rsidRPr="001200FD">
              <w:rPr>
                <w:noProof/>
                <w:sz w:val="20"/>
                <w:szCs w:val="22"/>
              </w:rPr>
              <w:t>Plasma to  ST0</w:t>
            </w:r>
          </w:p>
        </w:tc>
        <w:tc>
          <w:tcPr>
            <w:tcW w:w="984" w:type="dxa"/>
            <w:tcBorders>
              <w:top w:val="single" w:sz="4" w:space="0" w:color="auto"/>
            </w:tcBorders>
            <w:shd w:val="clear" w:color="auto" w:fill="auto"/>
            <w:noWrap/>
            <w:vAlign w:val="center"/>
          </w:tcPr>
          <w:p w14:paraId="4EB5F749" w14:textId="77777777" w:rsidR="001200FD" w:rsidRPr="00C47F2F" w:rsidRDefault="001200FD" w:rsidP="0096390F">
            <w:pPr>
              <w:pStyle w:val="Table"/>
              <w:rPr>
                <w:noProof/>
                <w:sz w:val="20"/>
                <w:szCs w:val="20"/>
              </w:rPr>
            </w:pPr>
            <w:r w:rsidRPr="00C47F2F">
              <w:rPr>
                <w:noProof/>
                <w:sz w:val="20"/>
                <w:szCs w:val="20"/>
              </w:rPr>
              <w:t>1.05E+01</w:t>
            </w:r>
          </w:p>
        </w:tc>
        <w:tc>
          <w:tcPr>
            <w:tcW w:w="985" w:type="dxa"/>
            <w:tcBorders>
              <w:top w:val="single" w:sz="4" w:space="0" w:color="auto"/>
            </w:tcBorders>
            <w:shd w:val="clear" w:color="auto" w:fill="auto"/>
            <w:noWrap/>
            <w:vAlign w:val="center"/>
          </w:tcPr>
          <w:p w14:paraId="35DC806A" w14:textId="77777777" w:rsidR="001200FD" w:rsidRPr="00C47F2F" w:rsidRDefault="001200FD" w:rsidP="0096390F">
            <w:pPr>
              <w:pStyle w:val="Table"/>
              <w:rPr>
                <w:noProof/>
                <w:sz w:val="20"/>
                <w:szCs w:val="20"/>
              </w:rPr>
            </w:pPr>
            <w:r w:rsidRPr="00C47F2F">
              <w:rPr>
                <w:noProof/>
                <w:sz w:val="20"/>
                <w:szCs w:val="20"/>
              </w:rPr>
              <w:t>1.05E+01</w:t>
            </w:r>
          </w:p>
        </w:tc>
        <w:tc>
          <w:tcPr>
            <w:tcW w:w="985" w:type="dxa"/>
            <w:tcBorders>
              <w:top w:val="single" w:sz="4" w:space="0" w:color="auto"/>
            </w:tcBorders>
            <w:shd w:val="clear" w:color="auto" w:fill="auto"/>
            <w:noWrap/>
            <w:vAlign w:val="center"/>
          </w:tcPr>
          <w:p w14:paraId="673734A1" w14:textId="77777777" w:rsidR="001200FD" w:rsidRPr="00C47F2F" w:rsidRDefault="001200FD" w:rsidP="0096390F">
            <w:pPr>
              <w:pStyle w:val="Table"/>
              <w:rPr>
                <w:noProof/>
                <w:sz w:val="20"/>
                <w:szCs w:val="20"/>
              </w:rPr>
            </w:pPr>
            <w:r w:rsidRPr="00C47F2F">
              <w:rPr>
                <w:noProof/>
                <w:sz w:val="20"/>
                <w:szCs w:val="20"/>
              </w:rPr>
              <w:t>1.05E+01</w:t>
            </w:r>
          </w:p>
        </w:tc>
        <w:tc>
          <w:tcPr>
            <w:tcW w:w="984" w:type="dxa"/>
            <w:tcBorders>
              <w:top w:val="single" w:sz="4" w:space="0" w:color="auto"/>
            </w:tcBorders>
            <w:shd w:val="clear" w:color="auto" w:fill="auto"/>
            <w:noWrap/>
            <w:vAlign w:val="center"/>
          </w:tcPr>
          <w:p w14:paraId="4BEAE153" w14:textId="77777777" w:rsidR="001200FD" w:rsidRPr="00C47F2F" w:rsidRDefault="001200FD" w:rsidP="0096390F">
            <w:pPr>
              <w:pStyle w:val="Table"/>
              <w:rPr>
                <w:noProof/>
                <w:sz w:val="20"/>
                <w:szCs w:val="20"/>
              </w:rPr>
            </w:pPr>
            <w:r w:rsidRPr="00C47F2F">
              <w:rPr>
                <w:noProof/>
                <w:sz w:val="20"/>
                <w:szCs w:val="20"/>
              </w:rPr>
              <w:t>1.05E+01</w:t>
            </w:r>
          </w:p>
        </w:tc>
        <w:tc>
          <w:tcPr>
            <w:tcW w:w="985" w:type="dxa"/>
            <w:tcBorders>
              <w:top w:val="single" w:sz="4" w:space="0" w:color="auto"/>
            </w:tcBorders>
            <w:shd w:val="clear" w:color="auto" w:fill="auto"/>
            <w:noWrap/>
            <w:vAlign w:val="center"/>
          </w:tcPr>
          <w:p w14:paraId="0CD30905" w14:textId="77777777" w:rsidR="001200FD" w:rsidRPr="00C47F2F" w:rsidRDefault="001200FD" w:rsidP="0096390F">
            <w:pPr>
              <w:pStyle w:val="Table"/>
              <w:rPr>
                <w:noProof/>
                <w:sz w:val="20"/>
                <w:szCs w:val="20"/>
              </w:rPr>
            </w:pPr>
            <w:r w:rsidRPr="00C47F2F">
              <w:rPr>
                <w:noProof/>
                <w:sz w:val="20"/>
                <w:szCs w:val="20"/>
              </w:rPr>
              <w:t>1.05E+01</w:t>
            </w:r>
          </w:p>
        </w:tc>
        <w:tc>
          <w:tcPr>
            <w:tcW w:w="985" w:type="dxa"/>
            <w:tcBorders>
              <w:top w:val="single" w:sz="4" w:space="0" w:color="auto"/>
            </w:tcBorders>
            <w:shd w:val="clear" w:color="auto" w:fill="auto"/>
            <w:noWrap/>
            <w:vAlign w:val="center"/>
          </w:tcPr>
          <w:p w14:paraId="170DAC75" w14:textId="77777777" w:rsidR="001200FD" w:rsidRPr="00C47F2F" w:rsidRDefault="001200FD" w:rsidP="0096390F">
            <w:pPr>
              <w:pStyle w:val="Table"/>
              <w:rPr>
                <w:noProof/>
                <w:sz w:val="20"/>
                <w:szCs w:val="20"/>
              </w:rPr>
            </w:pPr>
            <w:r w:rsidRPr="00C47F2F">
              <w:rPr>
                <w:noProof/>
                <w:sz w:val="20"/>
                <w:szCs w:val="20"/>
              </w:rPr>
              <w:t>1.05E+01</w:t>
            </w:r>
          </w:p>
        </w:tc>
      </w:tr>
      <w:tr w:rsidR="001200FD" w:rsidRPr="00972C81" w14:paraId="544A9F8D" w14:textId="77777777" w:rsidTr="0096390F">
        <w:trPr>
          <w:trHeight w:val="340"/>
        </w:trPr>
        <w:tc>
          <w:tcPr>
            <w:tcW w:w="3119" w:type="dxa"/>
            <w:shd w:val="clear" w:color="auto" w:fill="auto"/>
            <w:noWrap/>
            <w:vAlign w:val="center"/>
          </w:tcPr>
          <w:p w14:paraId="78294408" w14:textId="3B649493" w:rsidR="001200FD" w:rsidRPr="001200FD" w:rsidRDefault="001200FD" w:rsidP="0096390F">
            <w:pPr>
              <w:pStyle w:val="Table"/>
              <w:rPr>
                <w:noProof/>
                <w:sz w:val="20"/>
                <w:szCs w:val="22"/>
              </w:rPr>
            </w:pPr>
            <w:r w:rsidRPr="001200FD">
              <w:rPr>
                <w:noProof/>
                <w:sz w:val="20"/>
                <w:szCs w:val="22"/>
              </w:rPr>
              <w:t>Plasma to RBC</w:t>
            </w:r>
          </w:p>
        </w:tc>
        <w:tc>
          <w:tcPr>
            <w:tcW w:w="984" w:type="dxa"/>
            <w:shd w:val="clear" w:color="auto" w:fill="auto"/>
            <w:noWrap/>
            <w:vAlign w:val="center"/>
          </w:tcPr>
          <w:p w14:paraId="6223ED07" w14:textId="77777777" w:rsidR="001200FD" w:rsidRPr="00C47F2F" w:rsidRDefault="001200FD" w:rsidP="0096390F">
            <w:pPr>
              <w:pStyle w:val="Table"/>
              <w:rPr>
                <w:noProof/>
                <w:sz w:val="20"/>
                <w:szCs w:val="20"/>
              </w:rPr>
            </w:pPr>
            <w:r w:rsidRPr="00C47F2F">
              <w:rPr>
                <w:noProof/>
                <w:sz w:val="20"/>
                <w:szCs w:val="20"/>
              </w:rPr>
              <w:t>1.59E-01</w:t>
            </w:r>
          </w:p>
        </w:tc>
        <w:tc>
          <w:tcPr>
            <w:tcW w:w="985" w:type="dxa"/>
            <w:shd w:val="clear" w:color="auto" w:fill="auto"/>
            <w:noWrap/>
            <w:vAlign w:val="center"/>
          </w:tcPr>
          <w:p w14:paraId="17491B8F" w14:textId="77777777" w:rsidR="001200FD" w:rsidRPr="00C47F2F" w:rsidRDefault="001200FD" w:rsidP="0096390F">
            <w:pPr>
              <w:pStyle w:val="Table"/>
              <w:rPr>
                <w:noProof/>
                <w:sz w:val="20"/>
                <w:szCs w:val="20"/>
              </w:rPr>
            </w:pPr>
            <w:r w:rsidRPr="00C47F2F">
              <w:rPr>
                <w:noProof/>
                <w:sz w:val="20"/>
                <w:szCs w:val="20"/>
              </w:rPr>
              <w:t>2.10E-01</w:t>
            </w:r>
          </w:p>
        </w:tc>
        <w:tc>
          <w:tcPr>
            <w:tcW w:w="985" w:type="dxa"/>
            <w:shd w:val="clear" w:color="auto" w:fill="auto"/>
            <w:noWrap/>
            <w:vAlign w:val="center"/>
          </w:tcPr>
          <w:p w14:paraId="6AB2F3A5" w14:textId="77777777" w:rsidR="001200FD" w:rsidRPr="00C47F2F" w:rsidRDefault="001200FD" w:rsidP="0096390F">
            <w:pPr>
              <w:pStyle w:val="Table"/>
              <w:rPr>
                <w:noProof/>
                <w:sz w:val="20"/>
                <w:szCs w:val="20"/>
              </w:rPr>
            </w:pPr>
            <w:r w:rsidRPr="00C47F2F">
              <w:rPr>
                <w:noProof/>
                <w:sz w:val="20"/>
                <w:szCs w:val="20"/>
              </w:rPr>
              <w:t>2.19E-01</w:t>
            </w:r>
          </w:p>
        </w:tc>
        <w:tc>
          <w:tcPr>
            <w:tcW w:w="984" w:type="dxa"/>
            <w:shd w:val="clear" w:color="auto" w:fill="auto"/>
            <w:noWrap/>
            <w:vAlign w:val="center"/>
          </w:tcPr>
          <w:p w14:paraId="6E39F1B5" w14:textId="77777777" w:rsidR="001200FD" w:rsidRPr="00C47F2F" w:rsidRDefault="001200FD" w:rsidP="0096390F">
            <w:pPr>
              <w:pStyle w:val="Table"/>
              <w:rPr>
                <w:noProof/>
                <w:sz w:val="20"/>
                <w:szCs w:val="20"/>
              </w:rPr>
            </w:pPr>
            <w:r w:rsidRPr="00C47F2F">
              <w:rPr>
                <w:noProof/>
                <w:sz w:val="20"/>
                <w:szCs w:val="20"/>
              </w:rPr>
              <w:t>1.91E-01</w:t>
            </w:r>
          </w:p>
        </w:tc>
        <w:tc>
          <w:tcPr>
            <w:tcW w:w="985" w:type="dxa"/>
            <w:shd w:val="clear" w:color="auto" w:fill="auto"/>
            <w:noWrap/>
            <w:vAlign w:val="center"/>
          </w:tcPr>
          <w:p w14:paraId="3FFA94C1" w14:textId="77777777" w:rsidR="001200FD" w:rsidRPr="00C47F2F" w:rsidRDefault="001200FD" w:rsidP="0096390F">
            <w:pPr>
              <w:pStyle w:val="Table"/>
              <w:rPr>
                <w:noProof/>
                <w:sz w:val="20"/>
                <w:szCs w:val="20"/>
              </w:rPr>
            </w:pPr>
            <w:r w:rsidRPr="00C47F2F">
              <w:rPr>
                <w:noProof/>
                <w:sz w:val="20"/>
                <w:szCs w:val="20"/>
              </w:rPr>
              <w:t>1.60E-01</w:t>
            </w:r>
          </w:p>
        </w:tc>
        <w:tc>
          <w:tcPr>
            <w:tcW w:w="985" w:type="dxa"/>
            <w:shd w:val="clear" w:color="auto" w:fill="auto"/>
            <w:noWrap/>
            <w:vAlign w:val="center"/>
          </w:tcPr>
          <w:p w14:paraId="0B298E74" w14:textId="77777777" w:rsidR="001200FD" w:rsidRPr="00C47F2F" w:rsidRDefault="001200FD" w:rsidP="0096390F">
            <w:pPr>
              <w:pStyle w:val="Table"/>
              <w:rPr>
                <w:noProof/>
                <w:sz w:val="20"/>
                <w:szCs w:val="20"/>
              </w:rPr>
            </w:pPr>
            <w:r w:rsidRPr="00C47F2F">
              <w:rPr>
                <w:noProof/>
                <w:sz w:val="20"/>
                <w:szCs w:val="20"/>
              </w:rPr>
              <w:t>2.45E-01</w:t>
            </w:r>
          </w:p>
        </w:tc>
      </w:tr>
      <w:tr w:rsidR="001200FD" w:rsidRPr="00972C81" w14:paraId="71F33494" w14:textId="77777777" w:rsidTr="0096390F">
        <w:trPr>
          <w:trHeight w:val="340"/>
        </w:trPr>
        <w:tc>
          <w:tcPr>
            <w:tcW w:w="3119" w:type="dxa"/>
            <w:shd w:val="clear" w:color="auto" w:fill="auto"/>
            <w:noWrap/>
            <w:vAlign w:val="center"/>
          </w:tcPr>
          <w:p w14:paraId="4DD7D2E4" w14:textId="14FAF702" w:rsidR="001200FD" w:rsidRPr="001200FD" w:rsidRDefault="001200FD" w:rsidP="0096390F">
            <w:pPr>
              <w:pStyle w:val="Table"/>
              <w:rPr>
                <w:noProof/>
                <w:sz w:val="20"/>
                <w:szCs w:val="22"/>
              </w:rPr>
            </w:pPr>
            <w:r w:rsidRPr="001200FD">
              <w:rPr>
                <w:noProof/>
                <w:sz w:val="20"/>
                <w:szCs w:val="22"/>
              </w:rPr>
              <w:t>Plasma to Urinary bladder cont</w:t>
            </w:r>
          </w:p>
        </w:tc>
        <w:tc>
          <w:tcPr>
            <w:tcW w:w="984" w:type="dxa"/>
            <w:shd w:val="clear" w:color="auto" w:fill="auto"/>
            <w:noWrap/>
            <w:vAlign w:val="center"/>
          </w:tcPr>
          <w:p w14:paraId="6BC25988" w14:textId="77777777" w:rsidR="001200FD" w:rsidRPr="00C47F2F" w:rsidRDefault="001200FD" w:rsidP="0096390F">
            <w:pPr>
              <w:pStyle w:val="Table"/>
              <w:rPr>
                <w:noProof/>
                <w:sz w:val="20"/>
                <w:szCs w:val="20"/>
              </w:rPr>
            </w:pPr>
            <w:r w:rsidRPr="00C47F2F">
              <w:rPr>
                <w:noProof/>
                <w:sz w:val="20"/>
                <w:szCs w:val="20"/>
              </w:rPr>
              <w:t>9.99E+00</w:t>
            </w:r>
          </w:p>
        </w:tc>
        <w:tc>
          <w:tcPr>
            <w:tcW w:w="985" w:type="dxa"/>
            <w:shd w:val="clear" w:color="auto" w:fill="auto"/>
            <w:noWrap/>
            <w:vAlign w:val="center"/>
          </w:tcPr>
          <w:p w14:paraId="19F1950B" w14:textId="77777777" w:rsidR="001200FD" w:rsidRPr="00C47F2F" w:rsidRDefault="001200FD" w:rsidP="0096390F">
            <w:pPr>
              <w:pStyle w:val="Table"/>
              <w:rPr>
                <w:noProof/>
                <w:sz w:val="20"/>
                <w:szCs w:val="20"/>
              </w:rPr>
            </w:pPr>
            <w:r w:rsidRPr="00C47F2F">
              <w:rPr>
                <w:noProof/>
                <w:sz w:val="20"/>
                <w:szCs w:val="20"/>
              </w:rPr>
              <w:t>1.33E+01</w:t>
            </w:r>
          </w:p>
        </w:tc>
        <w:tc>
          <w:tcPr>
            <w:tcW w:w="985" w:type="dxa"/>
            <w:shd w:val="clear" w:color="auto" w:fill="auto"/>
            <w:noWrap/>
            <w:vAlign w:val="center"/>
          </w:tcPr>
          <w:p w14:paraId="63EF8A5B" w14:textId="77777777" w:rsidR="001200FD" w:rsidRPr="00C47F2F" w:rsidRDefault="001200FD" w:rsidP="0096390F">
            <w:pPr>
              <w:pStyle w:val="Table"/>
              <w:rPr>
                <w:noProof/>
                <w:sz w:val="20"/>
                <w:szCs w:val="20"/>
              </w:rPr>
            </w:pPr>
            <w:r w:rsidRPr="00C47F2F">
              <w:rPr>
                <w:noProof/>
                <w:sz w:val="20"/>
                <w:szCs w:val="20"/>
              </w:rPr>
              <w:t>1.38E+01</w:t>
            </w:r>
          </w:p>
        </w:tc>
        <w:tc>
          <w:tcPr>
            <w:tcW w:w="984" w:type="dxa"/>
            <w:shd w:val="clear" w:color="auto" w:fill="auto"/>
            <w:noWrap/>
            <w:vAlign w:val="center"/>
          </w:tcPr>
          <w:p w14:paraId="779BAA35" w14:textId="77777777" w:rsidR="001200FD" w:rsidRPr="00C47F2F" w:rsidRDefault="001200FD" w:rsidP="0096390F">
            <w:pPr>
              <w:pStyle w:val="Table"/>
              <w:rPr>
                <w:noProof/>
                <w:sz w:val="20"/>
                <w:szCs w:val="20"/>
              </w:rPr>
            </w:pPr>
            <w:r w:rsidRPr="00C47F2F">
              <w:rPr>
                <w:noProof/>
                <w:sz w:val="20"/>
                <w:szCs w:val="20"/>
              </w:rPr>
              <w:t>1.21E+01</w:t>
            </w:r>
          </w:p>
        </w:tc>
        <w:tc>
          <w:tcPr>
            <w:tcW w:w="985" w:type="dxa"/>
            <w:shd w:val="clear" w:color="auto" w:fill="auto"/>
            <w:noWrap/>
            <w:vAlign w:val="center"/>
          </w:tcPr>
          <w:p w14:paraId="29DDBBB3" w14:textId="77777777" w:rsidR="001200FD" w:rsidRPr="00C47F2F" w:rsidRDefault="001200FD" w:rsidP="0096390F">
            <w:pPr>
              <w:pStyle w:val="Table"/>
              <w:rPr>
                <w:noProof/>
                <w:sz w:val="20"/>
                <w:szCs w:val="20"/>
              </w:rPr>
            </w:pPr>
            <w:r w:rsidRPr="00C47F2F">
              <w:rPr>
                <w:noProof/>
                <w:sz w:val="20"/>
                <w:szCs w:val="20"/>
              </w:rPr>
              <w:t>1.01E+01</w:t>
            </w:r>
          </w:p>
        </w:tc>
        <w:tc>
          <w:tcPr>
            <w:tcW w:w="985" w:type="dxa"/>
            <w:shd w:val="clear" w:color="auto" w:fill="auto"/>
            <w:noWrap/>
            <w:vAlign w:val="center"/>
          </w:tcPr>
          <w:p w14:paraId="3A769307" w14:textId="77777777" w:rsidR="001200FD" w:rsidRPr="00C47F2F" w:rsidRDefault="001200FD" w:rsidP="0096390F">
            <w:pPr>
              <w:pStyle w:val="Table"/>
              <w:rPr>
                <w:noProof/>
                <w:sz w:val="20"/>
                <w:szCs w:val="20"/>
              </w:rPr>
            </w:pPr>
            <w:r w:rsidRPr="00C47F2F">
              <w:rPr>
                <w:noProof/>
                <w:sz w:val="20"/>
                <w:szCs w:val="20"/>
              </w:rPr>
              <w:t>1.54E+01</w:t>
            </w:r>
          </w:p>
        </w:tc>
      </w:tr>
      <w:tr w:rsidR="001200FD" w:rsidRPr="00972C81" w14:paraId="2162C022" w14:textId="77777777" w:rsidTr="0096390F">
        <w:trPr>
          <w:trHeight w:val="340"/>
        </w:trPr>
        <w:tc>
          <w:tcPr>
            <w:tcW w:w="3119" w:type="dxa"/>
            <w:shd w:val="clear" w:color="auto" w:fill="auto"/>
            <w:noWrap/>
            <w:vAlign w:val="center"/>
          </w:tcPr>
          <w:p w14:paraId="1A350515" w14:textId="6A0BCAD7" w:rsidR="001200FD" w:rsidRPr="001200FD" w:rsidRDefault="001200FD" w:rsidP="0096390F">
            <w:pPr>
              <w:pStyle w:val="Table"/>
              <w:rPr>
                <w:noProof/>
                <w:sz w:val="20"/>
                <w:szCs w:val="22"/>
              </w:rPr>
            </w:pPr>
            <w:r w:rsidRPr="001200FD">
              <w:rPr>
                <w:noProof/>
                <w:sz w:val="20"/>
                <w:szCs w:val="22"/>
              </w:rPr>
              <w:t>Plasma to Kidneys 1</w:t>
            </w:r>
          </w:p>
        </w:tc>
        <w:tc>
          <w:tcPr>
            <w:tcW w:w="984" w:type="dxa"/>
            <w:shd w:val="clear" w:color="auto" w:fill="auto"/>
            <w:noWrap/>
            <w:vAlign w:val="center"/>
          </w:tcPr>
          <w:p w14:paraId="7F10BF15" w14:textId="77777777" w:rsidR="001200FD" w:rsidRPr="00C47F2F" w:rsidRDefault="001200FD" w:rsidP="0096390F">
            <w:pPr>
              <w:pStyle w:val="Table"/>
              <w:rPr>
                <w:noProof/>
                <w:sz w:val="20"/>
                <w:szCs w:val="20"/>
              </w:rPr>
            </w:pPr>
            <w:r w:rsidRPr="00C47F2F">
              <w:rPr>
                <w:noProof/>
                <w:sz w:val="20"/>
                <w:szCs w:val="20"/>
              </w:rPr>
              <w:t>1.90E+00</w:t>
            </w:r>
          </w:p>
        </w:tc>
        <w:tc>
          <w:tcPr>
            <w:tcW w:w="985" w:type="dxa"/>
            <w:shd w:val="clear" w:color="auto" w:fill="auto"/>
            <w:noWrap/>
            <w:vAlign w:val="center"/>
          </w:tcPr>
          <w:p w14:paraId="407F7B45" w14:textId="77777777" w:rsidR="001200FD" w:rsidRPr="00C47F2F" w:rsidRDefault="001200FD" w:rsidP="0096390F">
            <w:pPr>
              <w:pStyle w:val="Table"/>
              <w:rPr>
                <w:noProof/>
                <w:sz w:val="20"/>
                <w:szCs w:val="20"/>
              </w:rPr>
            </w:pPr>
            <w:r w:rsidRPr="00C47F2F">
              <w:rPr>
                <w:noProof/>
                <w:sz w:val="20"/>
                <w:szCs w:val="20"/>
              </w:rPr>
              <w:t>2.52E+00</w:t>
            </w:r>
          </w:p>
        </w:tc>
        <w:tc>
          <w:tcPr>
            <w:tcW w:w="985" w:type="dxa"/>
            <w:shd w:val="clear" w:color="auto" w:fill="auto"/>
            <w:noWrap/>
            <w:vAlign w:val="center"/>
          </w:tcPr>
          <w:p w14:paraId="75A8DC75" w14:textId="77777777" w:rsidR="001200FD" w:rsidRPr="00C47F2F" w:rsidRDefault="001200FD" w:rsidP="0096390F">
            <w:pPr>
              <w:pStyle w:val="Table"/>
              <w:rPr>
                <w:noProof/>
                <w:sz w:val="20"/>
                <w:szCs w:val="20"/>
              </w:rPr>
            </w:pPr>
            <w:r w:rsidRPr="00C47F2F">
              <w:rPr>
                <w:noProof/>
                <w:sz w:val="20"/>
                <w:szCs w:val="20"/>
              </w:rPr>
              <w:t>2.63E+00</w:t>
            </w:r>
          </w:p>
        </w:tc>
        <w:tc>
          <w:tcPr>
            <w:tcW w:w="984" w:type="dxa"/>
            <w:shd w:val="clear" w:color="auto" w:fill="auto"/>
            <w:noWrap/>
            <w:vAlign w:val="center"/>
          </w:tcPr>
          <w:p w14:paraId="6A1E5EE6" w14:textId="77777777" w:rsidR="001200FD" w:rsidRPr="00C47F2F" w:rsidRDefault="001200FD" w:rsidP="0096390F">
            <w:pPr>
              <w:pStyle w:val="Table"/>
              <w:rPr>
                <w:noProof/>
                <w:sz w:val="20"/>
                <w:szCs w:val="20"/>
              </w:rPr>
            </w:pPr>
            <w:r w:rsidRPr="00C47F2F">
              <w:rPr>
                <w:noProof/>
                <w:sz w:val="20"/>
                <w:szCs w:val="20"/>
              </w:rPr>
              <w:t>2.30E+00</w:t>
            </w:r>
          </w:p>
        </w:tc>
        <w:tc>
          <w:tcPr>
            <w:tcW w:w="985" w:type="dxa"/>
            <w:shd w:val="clear" w:color="auto" w:fill="auto"/>
            <w:noWrap/>
            <w:vAlign w:val="center"/>
          </w:tcPr>
          <w:p w14:paraId="2A2B9B10" w14:textId="77777777" w:rsidR="001200FD" w:rsidRPr="00C47F2F" w:rsidRDefault="001200FD" w:rsidP="0096390F">
            <w:pPr>
              <w:pStyle w:val="Table"/>
              <w:rPr>
                <w:noProof/>
                <w:sz w:val="20"/>
                <w:szCs w:val="20"/>
              </w:rPr>
            </w:pPr>
            <w:r w:rsidRPr="00C47F2F">
              <w:rPr>
                <w:noProof/>
                <w:sz w:val="20"/>
                <w:szCs w:val="20"/>
              </w:rPr>
              <w:t>1.92E+00</w:t>
            </w:r>
          </w:p>
        </w:tc>
        <w:tc>
          <w:tcPr>
            <w:tcW w:w="985" w:type="dxa"/>
            <w:shd w:val="clear" w:color="auto" w:fill="auto"/>
            <w:noWrap/>
            <w:vAlign w:val="center"/>
          </w:tcPr>
          <w:p w14:paraId="65E871CD" w14:textId="77777777" w:rsidR="001200FD" w:rsidRPr="00C47F2F" w:rsidRDefault="001200FD" w:rsidP="0096390F">
            <w:pPr>
              <w:pStyle w:val="Table"/>
              <w:rPr>
                <w:noProof/>
                <w:sz w:val="20"/>
                <w:szCs w:val="20"/>
              </w:rPr>
            </w:pPr>
            <w:r w:rsidRPr="00C47F2F">
              <w:rPr>
                <w:noProof/>
                <w:sz w:val="20"/>
                <w:szCs w:val="20"/>
              </w:rPr>
              <w:t>2.94E+00</w:t>
            </w:r>
          </w:p>
        </w:tc>
      </w:tr>
      <w:tr w:rsidR="001200FD" w:rsidRPr="00972C81" w14:paraId="653DA12F" w14:textId="77777777" w:rsidTr="0096390F">
        <w:trPr>
          <w:trHeight w:val="340"/>
        </w:trPr>
        <w:tc>
          <w:tcPr>
            <w:tcW w:w="3119" w:type="dxa"/>
            <w:shd w:val="clear" w:color="auto" w:fill="auto"/>
            <w:noWrap/>
            <w:vAlign w:val="center"/>
          </w:tcPr>
          <w:p w14:paraId="64719916" w14:textId="5D25A6C9" w:rsidR="001200FD" w:rsidRPr="001200FD" w:rsidRDefault="001200FD" w:rsidP="0096390F">
            <w:pPr>
              <w:pStyle w:val="Table"/>
              <w:rPr>
                <w:noProof/>
                <w:sz w:val="20"/>
                <w:szCs w:val="22"/>
              </w:rPr>
            </w:pPr>
            <w:r w:rsidRPr="001200FD">
              <w:rPr>
                <w:noProof/>
                <w:sz w:val="20"/>
                <w:szCs w:val="22"/>
              </w:rPr>
              <w:t>Plasma to Kidneys 2</w:t>
            </w:r>
          </w:p>
        </w:tc>
        <w:tc>
          <w:tcPr>
            <w:tcW w:w="984" w:type="dxa"/>
            <w:shd w:val="clear" w:color="auto" w:fill="auto"/>
            <w:noWrap/>
            <w:vAlign w:val="center"/>
          </w:tcPr>
          <w:p w14:paraId="750ADECB" w14:textId="77777777" w:rsidR="001200FD" w:rsidRPr="00C47F2F" w:rsidRDefault="001200FD" w:rsidP="0096390F">
            <w:pPr>
              <w:pStyle w:val="Table"/>
              <w:rPr>
                <w:noProof/>
                <w:sz w:val="20"/>
                <w:szCs w:val="20"/>
              </w:rPr>
            </w:pPr>
            <w:r w:rsidRPr="00C47F2F">
              <w:rPr>
                <w:noProof/>
                <w:sz w:val="20"/>
                <w:szCs w:val="20"/>
              </w:rPr>
              <w:t>7.90E-03</w:t>
            </w:r>
          </w:p>
        </w:tc>
        <w:tc>
          <w:tcPr>
            <w:tcW w:w="985" w:type="dxa"/>
            <w:shd w:val="clear" w:color="auto" w:fill="auto"/>
            <w:noWrap/>
            <w:vAlign w:val="center"/>
          </w:tcPr>
          <w:p w14:paraId="3D1210FA" w14:textId="77777777" w:rsidR="001200FD" w:rsidRPr="00C47F2F" w:rsidRDefault="001200FD" w:rsidP="0096390F">
            <w:pPr>
              <w:pStyle w:val="Table"/>
              <w:rPr>
                <w:noProof/>
                <w:sz w:val="20"/>
                <w:szCs w:val="20"/>
              </w:rPr>
            </w:pPr>
            <w:r w:rsidRPr="00C47F2F">
              <w:rPr>
                <w:noProof/>
                <w:sz w:val="20"/>
                <w:szCs w:val="20"/>
              </w:rPr>
              <w:t>1.05E-02</w:t>
            </w:r>
          </w:p>
        </w:tc>
        <w:tc>
          <w:tcPr>
            <w:tcW w:w="985" w:type="dxa"/>
            <w:shd w:val="clear" w:color="auto" w:fill="auto"/>
            <w:noWrap/>
            <w:vAlign w:val="center"/>
          </w:tcPr>
          <w:p w14:paraId="79220AA1" w14:textId="77777777" w:rsidR="001200FD" w:rsidRPr="00C47F2F" w:rsidRDefault="001200FD" w:rsidP="0096390F">
            <w:pPr>
              <w:pStyle w:val="Table"/>
              <w:rPr>
                <w:noProof/>
                <w:sz w:val="20"/>
                <w:szCs w:val="20"/>
              </w:rPr>
            </w:pPr>
            <w:r w:rsidRPr="00C47F2F">
              <w:rPr>
                <w:noProof/>
                <w:sz w:val="20"/>
                <w:szCs w:val="20"/>
              </w:rPr>
              <w:t>1.10E-02</w:t>
            </w:r>
          </w:p>
        </w:tc>
        <w:tc>
          <w:tcPr>
            <w:tcW w:w="984" w:type="dxa"/>
            <w:shd w:val="clear" w:color="auto" w:fill="auto"/>
            <w:noWrap/>
            <w:vAlign w:val="center"/>
          </w:tcPr>
          <w:p w14:paraId="29FEAB17" w14:textId="77777777" w:rsidR="001200FD" w:rsidRPr="00C47F2F" w:rsidRDefault="001200FD" w:rsidP="0096390F">
            <w:pPr>
              <w:pStyle w:val="Table"/>
              <w:rPr>
                <w:noProof/>
                <w:sz w:val="20"/>
                <w:szCs w:val="20"/>
              </w:rPr>
            </w:pPr>
            <w:r w:rsidRPr="00C47F2F">
              <w:rPr>
                <w:noProof/>
                <w:sz w:val="20"/>
                <w:szCs w:val="20"/>
              </w:rPr>
              <w:t>9.60E-03</w:t>
            </w:r>
          </w:p>
        </w:tc>
        <w:tc>
          <w:tcPr>
            <w:tcW w:w="985" w:type="dxa"/>
            <w:shd w:val="clear" w:color="auto" w:fill="auto"/>
            <w:noWrap/>
            <w:vAlign w:val="center"/>
          </w:tcPr>
          <w:p w14:paraId="29F65AB6" w14:textId="77777777" w:rsidR="001200FD" w:rsidRPr="00C47F2F" w:rsidRDefault="001200FD" w:rsidP="0096390F">
            <w:pPr>
              <w:pStyle w:val="Table"/>
              <w:rPr>
                <w:noProof/>
                <w:sz w:val="20"/>
                <w:szCs w:val="20"/>
              </w:rPr>
            </w:pPr>
            <w:r w:rsidRPr="00C47F2F">
              <w:rPr>
                <w:noProof/>
                <w:sz w:val="20"/>
                <w:szCs w:val="20"/>
              </w:rPr>
              <w:t>8.00E-03</w:t>
            </w:r>
          </w:p>
        </w:tc>
        <w:tc>
          <w:tcPr>
            <w:tcW w:w="985" w:type="dxa"/>
            <w:shd w:val="clear" w:color="auto" w:fill="auto"/>
            <w:noWrap/>
            <w:vAlign w:val="center"/>
          </w:tcPr>
          <w:p w14:paraId="6B02CB49" w14:textId="77777777" w:rsidR="001200FD" w:rsidRPr="00C47F2F" w:rsidRDefault="001200FD" w:rsidP="0096390F">
            <w:pPr>
              <w:pStyle w:val="Table"/>
              <w:rPr>
                <w:noProof/>
                <w:sz w:val="20"/>
                <w:szCs w:val="20"/>
              </w:rPr>
            </w:pPr>
            <w:r w:rsidRPr="00C47F2F">
              <w:rPr>
                <w:noProof/>
                <w:sz w:val="20"/>
                <w:szCs w:val="20"/>
              </w:rPr>
              <w:t>1.22E-02</w:t>
            </w:r>
          </w:p>
        </w:tc>
      </w:tr>
      <w:tr w:rsidR="001200FD" w:rsidRPr="00972C81" w14:paraId="7914E7EA" w14:textId="77777777" w:rsidTr="0096390F">
        <w:trPr>
          <w:trHeight w:val="340"/>
        </w:trPr>
        <w:tc>
          <w:tcPr>
            <w:tcW w:w="3119" w:type="dxa"/>
            <w:shd w:val="clear" w:color="auto" w:fill="auto"/>
            <w:noWrap/>
            <w:vAlign w:val="center"/>
          </w:tcPr>
          <w:p w14:paraId="085D770C" w14:textId="2471E3AE" w:rsidR="001200FD" w:rsidRPr="001200FD" w:rsidRDefault="001200FD" w:rsidP="0096390F">
            <w:pPr>
              <w:pStyle w:val="Table"/>
              <w:rPr>
                <w:noProof/>
                <w:sz w:val="20"/>
                <w:szCs w:val="22"/>
              </w:rPr>
            </w:pPr>
            <w:r w:rsidRPr="001200FD">
              <w:rPr>
                <w:noProof/>
                <w:sz w:val="20"/>
                <w:szCs w:val="22"/>
              </w:rPr>
              <w:t>Plasma to Right colon cont</w:t>
            </w:r>
          </w:p>
        </w:tc>
        <w:tc>
          <w:tcPr>
            <w:tcW w:w="984" w:type="dxa"/>
            <w:shd w:val="clear" w:color="auto" w:fill="auto"/>
            <w:noWrap/>
            <w:vAlign w:val="center"/>
          </w:tcPr>
          <w:p w14:paraId="04ACBB37" w14:textId="77777777" w:rsidR="001200FD" w:rsidRPr="00C47F2F" w:rsidRDefault="001200FD" w:rsidP="0096390F">
            <w:pPr>
              <w:pStyle w:val="Table"/>
              <w:rPr>
                <w:noProof/>
                <w:sz w:val="20"/>
                <w:szCs w:val="20"/>
              </w:rPr>
            </w:pPr>
            <w:r w:rsidRPr="00C47F2F">
              <w:rPr>
                <w:noProof/>
                <w:sz w:val="20"/>
                <w:szCs w:val="20"/>
              </w:rPr>
              <w:t>7.90E-02</w:t>
            </w:r>
          </w:p>
        </w:tc>
        <w:tc>
          <w:tcPr>
            <w:tcW w:w="985" w:type="dxa"/>
            <w:shd w:val="clear" w:color="auto" w:fill="auto"/>
            <w:noWrap/>
            <w:vAlign w:val="center"/>
          </w:tcPr>
          <w:p w14:paraId="7196D4C4" w14:textId="77777777" w:rsidR="001200FD" w:rsidRPr="00C47F2F" w:rsidRDefault="001200FD" w:rsidP="0096390F">
            <w:pPr>
              <w:pStyle w:val="Table"/>
              <w:rPr>
                <w:noProof/>
                <w:sz w:val="20"/>
                <w:szCs w:val="20"/>
              </w:rPr>
            </w:pPr>
            <w:r w:rsidRPr="00C47F2F">
              <w:rPr>
                <w:noProof/>
                <w:sz w:val="20"/>
                <w:szCs w:val="20"/>
              </w:rPr>
              <w:t>1.05E-01</w:t>
            </w:r>
          </w:p>
        </w:tc>
        <w:tc>
          <w:tcPr>
            <w:tcW w:w="985" w:type="dxa"/>
            <w:shd w:val="clear" w:color="auto" w:fill="auto"/>
            <w:noWrap/>
            <w:vAlign w:val="center"/>
          </w:tcPr>
          <w:p w14:paraId="426D4E5A" w14:textId="77777777" w:rsidR="001200FD" w:rsidRPr="00C47F2F" w:rsidRDefault="001200FD" w:rsidP="0096390F">
            <w:pPr>
              <w:pStyle w:val="Table"/>
              <w:rPr>
                <w:noProof/>
                <w:sz w:val="20"/>
                <w:szCs w:val="20"/>
              </w:rPr>
            </w:pPr>
            <w:r w:rsidRPr="00C47F2F">
              <w:rPr>
                <w:noProof/>
                <w:sz w:val="20"/>
                <w:szCs w:val="20"/>
              </w:rPr>
              <w:t>1.10E-01</w:t>
            </w:r>
          </w:p>
        </w:tc>
        <w:tc>
          <w:tcPr>
            <w:tcW w:w="984" w:type="dxa"/>
            <w:shd w:val="clear" w:color="auto" w:fill="auto"/>
            <w:noWrap/>
            <w:vAlign w:val="center"/>
          </w:tcPr>
          <w:p w14:paraId="7663A2CA" w14:textId="77777777" w:rsidR="001200FD" w:rsidRPr="00C47F2F" w:rsidRDefault="001200FD" w:rsidP="0096390F">
            <w:pPr>
              <w:pStyle w:val="Table"/>
              <w:rPr>
                <w:noProof/>
                <w:sz w:val="20"/>
                <w:szCs w:val="20"/>
              </w:rPr>
            </w:pPr>
            <w:r w:rsidRPr="00C47F2F">
              <w:rPr>
                <w:noProof/>
                <w:sz w:val="20"/>
                <w:szCs w:val="20"/>
              </w:rPr>
              <w:t>9.60E-02</w:t>
            </w:r>
          </w:p>
        </w:tc>
        <w:tc>
          <w:tcPr>
            <w:tcW w:w="985" w:type="dxa"/>
            <w:shd w:val="clear" w:color="auto" w:fill="auto"/>
            <w:noWrap/>
            <w:vAlign w:val="center"/>
          </w:tcPr>
          <w:p w14:paraId="67692640" w14:textId="77777777" w:rsidR="001200FD" w:rsidRPr="00C47F2F" w:rsidRDefault="001200FD" w:rsidP="0096390F">
            <w:pPr>
              <w:pStyle w:val="Table"/>
              <w:rPr>
                <w:noProof/>
                <w:sz w:val="20"/>
                <w:szCs w:val="20"/>
              </w:rPr>
            </w:pPr>
            <w:r w:rsidRPr="00C47F2F">
              <w:rPr>
                <w:noProof/>
                <w:sz w:val="20"/>
                <w:szCs w:val="20"/>
              </w:rPr>
              <w:t>8.00E-02</w:t>
            </w:r>
          </w:p>
        </w:tc>
        <w:tc>
          <w:tcPr>
            <w:tcW w:w="985" w:type="dxa"/>
            <w:shd w:val="clear" w:color="auto" w:fill="auto"/>
            <w:noWrap/>
            <w:vAlign w:val="center"/>
          </w:tcPr>
          <w:p w14:paraId="47ED63A7" w14:textId="77777777" w:rsidR="001200FD" w:rsidRPr="00C47F2F" w:rsidRDefault="001200FD" w:rsidP="0096390F">
            <w:pPr>
              <w:pStyle w:val="Table"/>
              <w:rPr>
                <w:noProof/>
                <w:sz w:val="20"/>
                <w:szCs w:val="20"/>
              </w:rPr>
            </w:pPr>
            <w:r w:rsidRPr="00C47F2F">
              <w:rPr>
                <w:noProof/>
                <w:sz w:val="20"/>
                <w:szCs w:val="20"/>
              </w:rPr>
              <w:t>1.22E-01</w:t>
            </w:r>
          </w:p>
        </w:tc>
      </w:tr>
      <w:tr w:rsidR="001200FD" w:rsidRPr="00972C81" w14:paraId="26BB5310" w14:textId="77777777" w:rsidTr="0096390F">
        <w:trPr>
          <w:trHeight w:val="340"/>
        </w:trPr>
        <w:tc>
          <w:tcPr>
            <w:tcW w:w="3119" w:type="dxa"/>
            <w:shd w:val="clear" w:color="auto" w:fill="auto"/>
            <w:noWrap/>
            <w:vAlign w:val="center"/>
          </w:tcPr>
          <w:p w14:paraId="3211EB94" w14:textId="4B32BD1F" w:rsidR="001200FD" w:rsidRPr="001200FD" w:rsidRDefault="001200FD" w:rsidP="0096390F">
            <w:pPr>
              <w:pStyle w:val="Table"/>
              <w:rPr>
                <w:noProof/>
                <w:sz w:val="20"/>
                <w:szCs w:val="22"/>
              </w:rPr>
            </w:pPr>
            <w:r w:rsidRPr="001200FD">
              <w:rPr>
                <w:noProof/>
                <w:sz w:val="20"/>
                <w:szCs w:val="22"/>
              </w:rPr>
              <w:t>Plasma to Liver 1</w:t>
            </w:r>
          </w:p>
        </w:tc>
        <w:tc>
          <w:tcPr>
            <w:tcW w:w="984" w:type="dxa"/>
            <w:shd w:val="clear" w:color="auto" w:fill="auto"/>
            <w:noWrap/>
            <w:vAlign w:val="center"/>
          </w:tcPr>
          <w:p w14:paraId="74875212" w14:textId="77777777" w:rsidR="001200FD" w:rsidRPr="00C47F2F" w:rsidRDefault="001200FD" w:rsidP="0096390F">
            <w:pPr>
              <w:pStyle w:val="Table"/>
              <w:rPr>
                <w:noProof/>
                <w:sz w:val="20"/>
                <w:szCs w:val="20"/>
              </w:rPr>
            </w:pPr>
            <w:r w:rsidRPr="00C47F2F">
              <w:rPr>
                <w:noProof/>
                <w:sz w:val="20"/>
                <w:szCs w:val="20"/>
              </w:rPr>
              <w:t>2.38E-01</w:t>
            </w:r>
          </w:p>
        </w:tc>
        <w:tc>
          <w:tcPr>
            <w:tcW w:w="985" w:type="dxa"/>
            <w:shd w:val="clear" w:color="auto" w:fill="auto"/>
            <w:noWrap/>
            <w:vAlign w:val="center"/>
          </w:tcPr>
          <w:p w14:paraId="06647D6B" w14:textId="77777777" w:rsidR="001200FD" w:rsidRPr="00C47F2F" w:rsidRDefault="001200FD" w:rsidP="0096390F">
            <w:pPr>
              <w:pStyle w:val="Table"/>
              <w:rPr>
                <w:noProof/>
                <w:sz w:val="20"/>
                <w:szCs w:val="20"/>
              </w:rPr>
            </w:pPr>
            <w:r w:rsidRPr="00C47F2F">
              <w:rPr>
                <w:noProof/>
                <w:sz w:val="20"/>
                <w:szCs w:val="20"/>
              </w:rPr>
              <w:t>3.16E-01</w:t>
            </w:r>
          </w:p>
        </w:tc>
        <w:tc>
          <w:tcPr>
            <w:tcW w:w="985" w:type="dxa"/>
            <w:shd w:val="clear" w:color="auto" w:fill="auto"/>
            <w:noWrap/>
            <w:vAlign w:val="center"/>
          </w:tcPr>
          <w:p w14:paraId="582C3588" w14:textId="77777777" w:rsidR="001200FD" w:rsidRPr="00C47F2F" w:rsidRDefault="001200FD" w:rsidP="0096390F">
            <w:pPr>
              <w:pStyle w:val="Table"/>
              <w:rPr>
                <w:noProof/>
                <w:sz w:val="20"/>
                <w:szCs w:val="20"/>
              </w:rPr>
            </w:pPr>
            <w:r w:rsidRPr="00C47F2F">
              <w:rPr>
                <w:noProof/>
                <w:sz w:val="20"/>
                <w:szCs w:val="20"/>
              </w:rPr>
              <w:t>3.29E-01</w:t>
            </w:r>
          </w:p>
        </w:tc>
        <w:tc>
          <w:tcPr>
            <w:tcW w:w="984" w:type="dxa"/>
            <w:shd w:val="clear" w:color="auto" w:fill="auto"/>
            <w:noWrap/>
            <w:vAlign w:val="center"/>
          </w:tcPr>
          <w:p w14:paraId="330E7D12" w14:textId="77777777" w:rsidR="001200FD" w:rsidRPr="00C47F2F" w:rsidRDefault="001200FD" w:rsidP="0096390F">
            <w:pPr>
              <w:pStyle w:val="Table"/>
              <w:rPr>
                <w:noProof/>
                <w:sz w:val="20"/>
                <w:szCs w:val="20"/>
              </w:rPr>
            </w:pPr>
            <w:r w:rsidRPr="00C47F2F">
              <w:rPr>
                <w:noProof/>
                <w:sz w:val="20"/>
                <w:szCs w:val="20"/>
              </w:rPr>
              <w:t>2.87E-01</w:t>
            </w:r>
          </w:p>
        </w:tc>
        <w:tc>
          <w:tcPr>
            <w:tcW w:w="985" w:type="dxa"/>
            <w:shd w:val="clear" w:color="auto" w:fill="auto"/>
            <w:noWrap/>
            <w:vAlign w:val="center"/>
          </w:tcPr>
          <w:p w14:paraId="4DE0ED23" w14:textId="77777777" w:rsidR="001200FD" w:rsidRPr="00C47F2F" w:rsidRDefault="001200FD" w:rsidP="0096390F">
            <w:pPr>
              <w:pStyle w:val="Table"/>
              <w:rPr>
                <w:noProof/>
                <w:sz w:val="20"/>
                <w:szCs w:val="20"/>
              </w:rPr>
            </w:pPr>
            <w:r w:rsidRPr="00C47F2F">
              <w:rPr>
                <w:noProof/>
                <w:sz w:val="20"/>
                <w:szCs w:val="20"/>
              </w:rPr>
              <w:t>2.40E-01</w:t>
            </w:r>
          </w:p>
        </w:tc>
        <w:tc>
          <w:tcPr>
            <w:tcW w:w="985" w:type="dxa"/>
            <w:shd w:val="clear" w:color="auto" w:fill="auto"/>
            <w:noWrap/>
            <w:vAlign w:val="center"/>
          </w:tcPr>
          <w:p w14:paraId="48F62A23" w14:textId="77777777" w:rsidR="001200FD" w:rsidRPr="00C47F2F" w:rsidRDefault="001200FD" w:rsidP="0096390F">
            <w:pPr>
              <w:pStyle w:val="Table"/>
              <w:rPr>
                <w:noProof/>
                <w:sz w:val="20"/>
                <w:szCs w:val="20"/>
              </w:rPr>
            </w:pPr>
            <w:r w:rsidRPr="00C47F2F">
              <w:rPr>
                <w:noProof/>
                <w:sz w:val="20"/>
                <w:szCs w:val="20"/>
              </w:rPr>
              <w:t>3.67E-01</w:t>
            </w:r>
          </w:p>
        </w:tc>
      </w:tr>
      <w:tr w:rsidR="001200FD" w:rsidRPr="00972C81" w14:paraId="3E0770BE" w14:textId="77777777" w:rsidTr="0096390F">
        <w:trPr>
          <w:trHeight w:val="340"/>
        </w:trPr>
        <w:tc>
          <w:tcPr>
            <w:tcW w:w="3119" w:type="dxa"/>
            <w:shd w:val="clear" w:color="auto" w:fill="auto"/>
            <w:noWrap/>
            <w:vAlign w:val="center"/>
          </w:tcPr>
          <w:p w14:paraId="7B6E5830" w14:textId="0F7F5E46" w:rsidR="001200FD" w:rsidRPr="001200FD" w:rsidRDefault="001200FD" w:rsidP="0096390F">
            <w:pPr>
              <w:pStyle w:val="Table"/>
              <w:rPr>
                <w:noProof/>
                <w:sz w:val="20"/>
                <w:szCs w:val="22"/>
              </w:rPr>
            </w:pPr>
            <w:r w:rsidRPr="001200FD">
              <w:rPr>
                <w:noProof/>
                <w:sz w:val="20"/>
                <w:szCs w:val="22"/>
              </w:rPr>
              <w:t>Plasma to  ST1</w:t>
            </w:r>
          </w:p>
        </w:tc>
        <w:tc>
          <w:tcPr>
            <w:tcW w:w="984" w:type="dxa"/>
            <w:shd w:val="clear" w:color="auto" w:fill="auto"/>
            <w:noWrap/>
            <w:vAlign w:val="center"/>
          </w:tcPr>
          <w:p w14:paraId="533A1F4D" w14:textId="77777777" w:rsidR="001200FD" w:rsidRPr="00C47F2F" w:rsidRDefault="001200FD" w:rsidP="0096390F">
            <w:pPr>
              <w:pStyle w:val="Table"/>
              <w:rPr>
                <w:noProof/>
                <w:sz w:val="20"/>
                <w:szCs w:val="20"/>
              </w:rPr>
            </w:pPr>
            <w:r w:rsidRPr="00C47F2F">
              <w:rPr>
                <w:noProof/>
                <w:sz w:val="20"/>
                <w:szCs w:val="20"/>
              </w:rPr>
              <w:t>1.05E+00</w:t>
            </w:r>
          </w:p>
        </w:tc>
        <w:tc>
          <w:tcPr>
            <w:tcW w:w="985" w:type="dxa"/>
            <w:shd w:val="clear" w:color="auto" w:fill="auto"/>
            <w:noWrap/>
            <w:vAlign w:val="center"/>
          </w:tcPr>
          <w:p w14:paraId="77CF9C2B" w14:textId="77777777" w:rsidR="001200FD" w:rsidRPr="00C47F2F" w:rsidRDefault="001200FD" w:rsidP="0096390F">
            <w:pPr>
              <w:pStyle w:val="Table"/>
              <w:rPr>
                <w:noProof/>
                <w:sz w:val="20"/>
                <w:szCs w:val="20"/>
              </w:rPr>
            </w:pPr>
            <w:r w:rsidRPr="00C47F2F">
              <w:rPr>
                <w:noProof/>
                <w:sz w:val="20"/>
                <w:szCs w:val="20"/>
              </w:rPr>
              <w:t>1.40E+00</w:t>
            </w:r>
          </w:p>
        </w:tc>
        <w:tc>
          <w:tcPr>
            <w:tcW w:w="985" w:type="dxa"/>
            <w:shd w:val="clear" w:color="auto" w:fill="auto"/>
            <w:noWrap/>
            <w:vAlign w:val="center"/>
          </w:tcPr>
          <w:p w14:paraId="72A71D99" w14:textId="77777777" w:rsidR="001200FD" w:rsidRPr="00C47F2F" w:rsidRDefault="001200FD" w:rsidP="0096390F">
            <w:pPr>
              <w:pStyle w:val="Table"/>
              <w:rPr>
                <w:noProof/>
                <w:sz w:val="20"/>
                <w:szCs w:val="20"/>
              </w:rPr>
            </w:pPr>
            <w:r w:rsidRPr="00C47F2F">
              <w:rPr>
                <w:noProof/>
                <w:sz w:val="20"/>
                <w:szCs w:val="20"/>
              </w:rPr>
              <w:t>1.46E+00</w:t>
            </w:r>
          </w:p>
        </w:tc>
        <w:tc>
          <w:tcPr>
            <w:tcW w:w="984" w:type="dxa"/>
            <w:shd w:val="clear" w:color="auto" w:fill="auto"/>
            <w:noWrap/>
            <w:vAlign w:val="center"/>
          </w:tcPr>
          <w:p w14:paraId="102759B7" w14:textId="77777777" w:rsidR="001200FD" w:rsidRPr="00C47F2F" w:rsidRDefault="001200FD" w:rsidP="0096390F">
            <w:pPr>
              <w:pStyle w:val="Table"/>
              <w:rPr>
                <w:noProof/>
                <w:sz w:val="20"/>
                <w:szCs w:val="20"/>
              </w:rPr>
            </w:pPr>
            <w:r w:rsidRPr="00C47F2F">
              <w:rPr>
                <w:noProof/>
                <w:sz w:val="20"/>
                <w:szCs w:val="20"/>
              </w:rPr>
              <w:t>1.27E+00</w:t>
            </w:r>
          </w:p>
        </w:tc>
        <w:tc>
          <w:tcPr>
            <w:tcW w:w="985" w:type="dxa"/>
            <w:shd w:val="clear" w:color="auto" w:fill="auto"/>
            <w:noWrap/>
            <w:vAlign w:val="center"/>
          </w:tcPr>
          <w:p w14:paraId="50A980F2" w14:textId="77777777" w:rsidR="001200FD" w:rsidRPr="00C47F2F" w:rsidRDefault="001200FD" w:rsidP="0096390F">
            <w:pPr>
              <w:pStyle w:val="Table"/>
              <w:rPr>
                <w:noProof/>
                <w:sz w:val="20"/>
                <w:szCs w:val="20"/>
              </w:rPr>
            </w:pPr>
            <w:r w:rsidRPr="00C47F2F">
              <w:rPr>
                <w:noProof/>
                <w:sz w:val="20"/>
                <w:szCs w:val="20"/>
              </w:rPr>
              <w:t>1.07E+00</w:t>
            </w:r>
          </w:p>
        </w:tc>
        <w:tc>
          <w:tcPr>
            <w:tcW w:w="985" w:type="dxa"/>
            <w:shd w:val="clear" w:color="auto" w:fill="auto"/>
            <w:noWrap/>
            <w:vAlign w:val="center"/>
          </w:tcPr>
          <w:p w14:paraId="11C497FD" w14:textId="77777777" w:rsidR="001200FD" w:rsidRPr="00C47F2F" w:rsidRDefault="001200FD" w:rsidP="0096390F">
            <w:pPr>
              <w:pStyle w:val="Table"/>
              <w:rPr>
                <w:noProof/>
                <w:sz w:val="20"/>
                <w:szCs w:val="20"/>
              </w:rPr>
            </w:pPr>
            <w:r w:rsidRPr="00C47F2F">
              <w:rPr>
                <w:noProof/>
                <w:sz w:val="20"/>
                <w:szCs w:val="20"/>
              </w:rPr>
              <w:t>1.63E+00</w:t>
            </w:r>
          </w:p>
        </w:tc>
      </w:tr>
      <w:tr w:rsidR="001200FD" w:rsidRPr="00972C81" w14:paraId="6404C382" w14:textId="77777777" w:rsidTr="0096390F">
        <w:trPr>
          <w:trHeight w:val="340"/>
        </w:trPr>
        <w:tc>
          <w:tcPr>
            <w:tcW w:w="3119" w:type="dxa"/>
            <w:shd w:val="clear" w:color="auto" w:fill="auto"/>
            <w:noWrap/>
            <w:vAlign w:val="center"/>
          </w:tcPr>
          <w:p w14:paraId="3E7D0CD4" w14:textId="376DE79D" w:rsidR="001200FD" w:rsidRPr="001200FD" w:rsidRDefault="001200FD" w:rsidP="0096390F">
            <w:pPr>
              <w:pStyle w:val="Table"/>
              <w:rPr>
                <w:noProof/>
                <w:sz w:val="20"/>
                <w:szCs w:val="22"/>
              </w:rPr>
            </w:pPr>
            <w:r w:rsidRPr="001200FD">
              <w:rPr>
                <w:noProof/>
                <w:sz w:val="20"/>
                <w:szCs w:val="22"/>
              </w:rPr>
              <w:t>Plasma to  ST2</w:t>
            </w:r>
          </w:p>
        </w:tc>
        <w:tc>
          <w:tcPr>
            <w:tcW w:w="984" w:type="dxa"/>
            <w:shd w:val="clear" w:color="auto" w:fill="auto"/>
            <w:noWrap/>
            <w:vAlign w:val="center"/>
          </w:tcPr>
          <w:p w14:paraId="5E61F8C1" w14:textId="77777777" w:rsidR="001200FD" w:rsidRPr="00C47F2F" w:rsidRDefault="001200FD" w:rsidP="0096390F">
            <w:pPr>
              <w:pStyle w:val="Table"/>
              <w:rPr>
                <w:noProof/>
                <w:sz w:val="20"/>
                <w:szCs w:val="20"/>
              </w:rPr>
            </w:pPr>
            <w:r w:rsidRPr="00C47F2F">
              <w:rPr>
                <w:noProof/>
                <w:sz w:val="20"/>
                <w:szCs w:val="20"/>
              </w:rPr>
              <w:t>4.76E-02</w:t>
            </w:r>
          </w:p>
        </w:tc>
        <w:tc>
          <w:tcPr>
            <w:tcW w:w="985" w:type="dxa"/>
            <w:shd w:val="clear" w:color="auto" w:fill="auto"/>
            <w:noWrap/>
            <w:vAlign w:val="center"/>
          </w:tcPr>
          <w:p w14:paraId="6F90F8D9" w14:textId="77777777" w:rsidR="001200FD" w:rsidRPr="00C47F2F" w:rsidRDefault="001200FD" w:rsidP="0096390F">
            <w:pPr>
              <w:pStyle w:val="Table"/>
              <w:rPr>
                <w:noProof/>
                <w:sz w:val="20"/>
                <w:szCs w:val="20"/>
              </w:rPr>
            </w:pPr>
            <w:r w:rsidRPr="00C47F2F">
              <w:rPr>
                <w:noProof/>
                <w:sz w:val="20"/>
                <w:szCs w:val="20"/>
              </w:rPr>
              <w:t>6.31E-02</w:t>
            </w:r>
          </w:p>
        </w:tc>
        <w:tc>
          <w:tcPr>
            <w:tcW w:w="985" w:type="dxa"/>
            <w:shd w:val="clear" w:color="auto" w:fill="auto"/>
            <w:noWrap/>
            <w:vAlign w:val="center"/>
          </w:tcPr>
          <w:p w14:paraId="27A79CE3" w14:textId="77777777" w:rsidR="001200FD" w:rsidRPr="00C47F2F" w:rsidRDefault="001200FD" w:rsidP="0096390F">
            <w:pPr>
              <w:pStyle w:val="Table"/>
              <w:rPr>
                <w:noProof/>
                <w:sz w:val="20"/>
                <w:szCs w:val="20"/>
              </w:rPr>
            </w:pPr>
            <w:r w:rsidRPr="00C47F2F">
              <w:rPr>
                <w:noProof/>
                <w:sz w:val="20"/>
                <w:szCs w:val="20"/>
              </w:rPr>
              <w:t>6.57E-02</w:t>
            </w:r>
          </w:p>
        </w:tc>
        <w:tc>
          <w:tcPr>
            <w:tcW w:w="984" w:type="dxa"/>
            <w:shd w:val="clear" w:color="auto" w:fill="auto"/>
            <w:noWrap/>
            <w:vAlign w:val="center"/>
          </w:tcPr>
          <w:p w14:paraId="643A7446" w14:textId="77777777" w:rsidR="001200FD" w:rsidRPr="00C47F2F" w:rsidRDefault="001200FD" w:rsidP="0096390F">
            <w:pPr>
              <w:pStyle w:val="Table"/>
              <w:rPr>
                <w:noProof/>
                <w:sz w:val="20"/>
                <w:szCs w:val="20"/>
              </w:rPr>
            </w:pPr>
            <w:r w:rsidRPr="00C47F2F">
              <w:rPr>
                <w:noProof/>
                <w:sz w:val="20"/>
                <w:szCs w:val="20"/>
              </w:rPr>
              <w:t>5.74E-02</w:t>
            </w:r>
          </w:p>
        </w:tc>
        <w:tc>
          <w:tcPr>
            <w:tcW w:w="985" w:type="dxa"/>
            <w:shd w:val="clear" w:color="auto" w:fill="auto"/>
            <w:noWrap/>
            <w:vAlign w:val="center"/>
          </w:tcPr>
          <w:p w14:paraId="318B8A08" w14:textId="77777777" w:rsidR="001200FD" w:rsidRPr="00C47F2F" w:rsidRDefault="001200FD" w:rsidP="0096390F">
            <w:pPr>
              <w:pStyle w:val="Table"/>
              <w:rPr>
                <w:noProof/>
                <w:sz w:val="20"/>
                <w:szCs w:val="20"/>
              </w:rPr>
            </w:pPr>
            <w:r w:rsidRPr="00C47F2F">
              <w:rPr>
                <w:noProof/>
                <w:sz w:val="20"/>
                <w:szCs w:val="20"/>
              </w:rPr>
              <w:t>4.81E-02</w:t>
            </w:r>
          </w:p>
        </w:tc>
        <w:tc>
          <w:tcPr>
            <w:tcW w:w="985" w:type="dxa"/>
            <w:shd w:val="clear" w:color="auto" w:fill="auto"/>
            <w:noWrap/>
            <w:vAlign w:val="center"/>
          </w:tcPr>
          <w:p w14:paraId="513B1E43" w14:textId="77777777" w:rsidR="001200FD" w:rsidRPr="00C47F2F" w:rsidRDefault="001200FD" w:rsidP="0096390F">
            <w:pPr>
              <w:pStyle w:val="Table"/>
              <w:rPr>
                <w:noProof/>
                <w:sz w:val="20"/>
                <w:szCs w:val="20"/>
              </w:rPr>
            </w:pPr>
            <w:r w:rsidRPr="00C47F2F">
              <w:rPr>
                <w:noProof/>
                <w:sz w:val="20"/>
                <w:szCs w:val="20"/>
              </w:rPr>
              <w:t>7.35E-02</w:t>
            </w:r>
          </w:p>
        </w:tc>
      </w:tr>
      <w:tr w:rsidR="001200FD" w:rsidRPr="00972C81" w14:paraId="4356D759" w14:textId="77777777" w:rsidTr="0096390F">
        <w:trPr>
          <w:trHeight w:val="340"/>
        </w:trPr>
        <w:tc>
          <w:tcPr>
            <w:tcW w:w="3119" w:type="dxa"/>
            <w:shd w:val="clear" w:color="auto" w:fill="auto"/>
            <w:noWrap/>
            <w:vAlign w:val="center"/>
          </w:tcPr>
          <w:p w14:paraId="25CD43E5" w14:textId="5B8C8F4F" w:rsidR="001200FD" w:rsidRPr="001200FD" w:rsidRDefault="001200FD" w:rsidP="0096390F">
            <w:pPr>
              <w:pStyle w:val="Table"/>
              <w:rPr>
                <w:noProof/>
                <w:sz w:val="20"/>
                <w:szCs w:val="22"/>
              </w:rPr>
            </w:pPr>
            <w:r w:rsidRPr="001200FD">
              <w:rPr>
                <w:noProof/>
                <w:sz w:val="20"/>
                <w:szCs w:val="22"/>
              </w:rPr>
              <w:t>Plasma to Trab bone surf</w:t>
            </w:r>
          </w:p>
        </w:tc>
        <w:tc>
          <w:tcPr>
            <w:tcW w:w="984" w:type="dxa"/>
            <w:shd w:val="clear" w:color="auto" w:fill="auto"/>
            <w:noWrap/>
            <w:vAlign w:val="center"/>
          </w:tcPr>
          <w:p w14:paraId="4EB270B9" w14:textId="77777777" w:rsidR="001200FD" w:rsidRPr="00C47F2F" w:rsidRDefault="001200FD" w:rsidP="0096390F">
            <w:pPr>
              <w:pStyle w:val="Table"/>
              <w:rPr>
                <w:noProof/>
                <w:sz w:val="20"/>
                <w:szCs w:val="20"/>
              </w:rPr>
            </w:pPr>
            <w:r w:rsidRPr="00C47F2F">
              <w:rPr>
                <w:noProof/>
                <w:sz w:val="20"/>
                <w:szCs w:val="20"/>
              </w:rPr>
              <w:t>2.20E+00</w:t>
            </w:r>
          </w:p>
        </w:tc>
        <w:tc>
          <w:tcPr>
            <w:tcW w:w="985" w:type="dxa"/>
            <w:shd w:val="clear" w:color="auto" w:fill="auto"/>
            <w:noWrap/>
            <w:vAlign w:val="center"/>
          </w:tcPr>
          <w:p w14:paraId="2E9B3C74" w14:textId="77777777" w:rsidR="001200FD" w:rsidRPr="00C47F2F" w:rsidRDefault="001200FD" w:rsidP="0096390F">
            <w:pPr>
              <w:pStyle w:val="Table"/>
              <w:rPr>
                <w:noProof/>
                <w:sz w:val="20"/>
                <w:szCs w:val="20"/>
              </w:rPr>
            </w:pPr>
            <w:r w:rsidRPr="00C47F2F">
              <w:rPr>
                <w:noProof/>
                <w:sz w:val="20"/>
                <w:szCs w:val="20"/>
              </w:rPr>
              <w:t>1.32E+00</w:t>
            </w:r>
          </w:p>
        </w:tc>
        <w:tc>
          <w:tcPr>
            <w:tcW w:w="985" w:type="dxa"/>
            <w:shd w:val="clear" w:color="auto" w:fill="auto"/>
            <w:noWrap/>
            <w:vAlign w:val="center"/>
          </w:tcPr>
          <w:p w14:paraId="146B006A" w14:textId="77777777" w:rsidR="001200FD" w:rsidRPr="00C47F2F" w:rsidRDefault="001200FD" w:rsidP="0096390F">
            <w:pPr>
              <w:pStyle w:val="Table"/>
              <w:rPr>
                <w:noProof/>
                <w:sz w:val="20"/>
                <w:szCs w:val="20"/>
              </w:rPr>
            </w:pPr>
            <w:r w:rsidRPr="00C47F2F">
              <w:rPr>
                <w:noProof/>
                <w:sz w:val="20"/>
                <w:szCs w:val="20"/>
              </w:rPr>
              <w:t>1.31E+00</w:t>
            </w:r>
          </w:p>
        </w:tc>
        <w:tc>
          <w:tcPr>
            <w:tcW w:w="984" w:type="dxa"/>
            <w:shd w:val="clear" w:color="auto" w:fill="auto"/>
            <w:noWrap/>
            <w:vAlign w:val="center"/>
          </w:tcPr>
          <w:p w14:paraId="67FBA6EA" w14:textId="77777777" w:rsidR="001200FD" w:rsidRPr="00C47F2F" w:rsidRDefault="001200FD" w:rsidP="0096390F">
            <w:pPr>
              <w:pStyle w:val="Table"/>
              <w:rPr>
                <w:noProof/>
                <w:sz w:val="20"/>
                <w:szCs w:val="20"/>
              </w:rPr>
            </w:pPr>
            <w:r w:rsidRPr="00C47F2F">
              <w:rPr>
                <w:noProof/>
                <w:sz w:val="20"/>
                <w:szCs w:val="20"/>
              </w:rPr>
              <w:t>2.07E+00</w:t>
            </w:r>
          </w:p>
        </w:tc>
        <w:tc>
          <w:tcPr>
            <w:tcW w:w="985" w:type="dxa"/>
            <w:shd w:val="clear" w:color="auto" w:fill="auto"/>
            <w:noWrap/>
            <w:vAlign w:val="center"/>
          </w:tcPr>
          <w:p w14:paraId="3C3F58FE" w14:textId="77777777" w:rsidR="001200FD" w:rsidRPr="00C47F2F" w:rsidRDefault="001200FD" w:rsidP="0096390F">
            <w:pPr>
              <w:pStyle w:val="Table"/>
              <w:rPr>
                <w:noProof/>
                <w:sz w:val="20"/>
                <w:szCs w:val="20"/>
              </w:rPr>
            </w:pPr>
            <w:r w:rsidRPr="00C47F2F">
              <w:rPr>
                <w:noProof/>
                <w:sz w:val="20"/>
                <w:szCs w:val="20"/>
              </w:rPr>
              <w:t>3.03E+00</w:t>
            </w:r>
          </w:p>
        </w:tc>
        <w:tc>
          <w:tcPr>
            <w:tcW w:w="985" w:type="dxa"/>
            <w:shd w:val="clear" w:color="auto" w:fill="auto"/>
            <w:noWrap/>
            <w:vAlign w:val="center"/>
          </w:tcPr>
          <w:p w14:paraId="6545D705" w14:textId="77777777" w:rsidR="001200FD" w:rsidRPr="00C47F2F" w:rsidRDefault="001200FD" w:rsidP="0096390F">
            <w:pPr>
              <w:pStyle w:val="Table"/>
              <w:rPr>
                <w:noProof/>
                <w:sz w:val="20"/>
                <w:szCs w:val="20"/>
              </w:rPr>
            </w:pPr>
            <w:r w:rsidRPr="00C47F2F">
              <w:rPr>
                <w:noProof/>
                <w:sz w:val="20"/>
                <w:szCs w:val="20"/>
              </w:rPr>
              <w:t>2.04E+00</w:t>
            </w:r>
          </w:p>
        </w:tc>
      </w:tr>
      <w:tr w:rsidR="001200FD" w:rsidRPr="00972C81" w14:paraId="266BBE7A" w14:textId="77777777" w:rsidTr="0096390F">
        <w:trPr>
          <w:trHeight w:val="340"/>
        </w:trPr>
        <w:tc>
          <w:tcPr>
            <w:tcW w:w="3119" w:type="dxa"/>
            <w:shd w:val="clear" w:color="auto" w:fill="auto"/>
            <w:noWrap/>
            <w:vAlign w:val="center"/>
          </w:tcPr>
          <w:p w14:paraId="759046D3" w14:textId="1CA49369" w:rsidR="001200FD" w:rsidRPr="001200FD" w:rsidRDefault="001200FD" w:rsidP="0096390F">
            <w:pPr>
              <w:pStyle w:val="Table"/>
              <w:rPr>
                <w:noProof/>
                <w:sz w:val="20"/>
                <w:szCs w:val="22"/>
              </w:rPr>
            </w:pPr>
            <w:r w:rsidRPr="001200FD">
              <w:rPr>
                <w:noProof/>
                <w:sz w:val="20"/>
                <w:szCs w:val="22"/>
              </w:rPr>
              <w:t>Plasma to Cort bone surf</w:t>
            </w:r>
          </w:p>
        </w:tc>
        <w:tc>
          <w:tcPr>
            <w:tcW w:w="984" w:type="dxa"/>
            <w:shd w:val="clear" w:color="auto" w:fill="auto"/>
            <w:noWrap/>
            <w:vAlign w:val="center"/>
          </w:tcPr>
          <w:p w14:paraId="3AF9F028" w14:textId="77777777" w:rsidR="001200FD" w:rsidRPr="00C47F2F" w:rsidRDefault="001200FD" w:rsidP="0096390F">
            <w:pPr>
              <w:pStyle w:val="Table"/>
              <w:rPr>
                <w:noProof/>
                <w:sz w:val="20"/>
                <w:szCs w:val="20"/>
              </w:rPr>
            </w:pPr>
            <w:r w:rsidRPr="00C47F2F">
              <w:rPr>
                <w:noProof/>
                <w:sz w:val="20"/>
                <w:szCs w:val="20"/>
              </w:rPr>
              <w:t>8.82E+00</w:t>
            </w:r>
          </w:p>
        </w:tc>
        <w:tc>
          <w:tcPr>
            <w:tcW w:w="985" w:type="dxa"/>
            <w:shd w:val="clear" w:color="auto" w:fill="auto"/>
            <w:noWrap/>
            <w:vAlign w:val="center"/>
          </w:tcPr>
          <w:p w14:paraId="217F10C4" w14:textId="77777777" w:rsidR="001200FD" w:rsidRPr="00C47F2F" w:rsidRDefault="001200FD" w:rsidP="0096390F">
            <w:pPr>
              <w:pStyle w:val="Table"/>
              <w:rPr>
                <w:noProof/>
                <w:sz w:val="20"/>
                <w:szCs w:val="20"/>
              </w:rPr>
            </w:pPr>
            <w:r w:rsidRPr="00C47F2F">
              <w:rPr>
                <w:noProof/>
                <w:sz w:val="20"/>
                <w:szCs w:val="20"/>
              </w:rPr>
              <w:t>5.29E+00</w:t>
            </w:r>
          </w:p>
        </w:tc>
        <w:tc>
          <w:tcPr>
            <w:tcW w:w="985" w:type="dxa"/>
            <w:shd w:val="clear" w:color="auto" w:fill="auto"/>
            <w:noWrap/>
            <w:vAlign w:val="center"/>
          </w:tcPr>
          <w:p w14:paraId="22B2E7B4" w14:textId="77777777" w:rsidR="001200FD" w:rsidRPr="00C47F2F" w:rsidRDefault="001200FD" w:rsidP="0096390F">
            <w:pPr>
              <w:pStyle w:val="Table"/>
              <w:rPr>
                <w:noProof/>
                <w:sz w:val="20"/>
                <w:szCs w:val="20"/>
              </w:rPr>
            </w:pPr>
            <w:r w:rsidRPr="00C47F2F">
              <w:rPr>
                <w:noProof/>
                <w:sz w:val="20"/>
                <w:szCs w:val="20"/>
              </w:rPr>
              <w:t>4.57E+00</w:t>
            </w:r>
          </w:p>
        </w:tc>
        <w:tc>
          <w:tcPr>
            <w:tcW w:w="984" w:type="dxa"/>
            <w:shd w:val="clear" w:color="auto" w:fill="auto"/>
            <w:noWrap/>
            <w:vAlign w:val="center"/>
          </w:tcPr>
          <w:p w14:paraId="446F9638" w14:textId="77777777" w:rsidR="001200FD" w:rsidRPr="00C47F2F" w:rsidRDefault="001200FD" w:rsidP="0096390F">
            <w:pPr>
              <w:pStyle w:val="Table"/>
              <w:rPr>
                <w:noProof/>
                <w:sz w:val="20"/>
                <w:szCs w:val="20"/>
              </w:rPr>
            </w:pPr>
            <w:r w:rsidRPr="00C47F2F">
              <w:rPr>
                <w:noProof/>
                <w:sz w:val="20"/>
                <w:szCs w:val="20"/>
              </w:rPr>
              <w:t>6.16E+00</w:t>
            </w:r>
          </w:p>
        </w:tc>
        <w:tc>
          <w:tcPr>
            <w:tcW w:w="985" w:type="dxa"/>
            <w:shd w:val="clear" w:color="auto" w:fill="auto"/>
            <w:noWrap/>
            <w:vAlign w:val="center"/>
          </w:tcPr>
          <w:p w14:paraId="07E2B42B" w14:textId="77777777" w:rsidR="001200FD" w:rsidRPr="00C47F2F" w:rsidRDefault="001200FD" w:rsidP="0096390F">
            <w:pPr>
              <w:pStyle w:val="Table"/>
              <w:rPr>
                <w:noProof/>
                <w:sz w:val="20"/>
                <w:szCs w:val="20"/>
              </w:rPr>
            </w:pPr>
            <w:r w:rsidRPr="00C47F2F">
              <w:rPr>
                <w:noProof/>
                <w:sz w:val="20"/>
                <w:szCs w:val="20"/>
              </w:rPr>
              <w:t>7.84E+00</w:t>
            </w:r>
          </w:p>
        </w:tc>
        <w:tc>
          <w:tcPr>
            <w:tcW w:w="985" w:type="dxa"/>
            <w:shd w:val="clear" w:color="auto" w:fill="auto"/>
            <w:noWrap/>
            <w:vAlign w:val="center"/>
          </w:tcPr>
          <w:p w14:paraId="1F269696" w14:textId="77777777" w:rsidR="001200FD" w:rsidRPr="00C47F2F" w:rsidRDefault="001200FD" w:rsidP="0096390F">
            <w:pPr>
              <w:pStyle w:val="Table"/>
              <w:rPr>
                <w:noProof/>
                <w:sz w:val="20"/>
                <w:szCs w:val="20"/>
              </w:rPr>
            </w:pPr>
            <w:r w:rsidRPr="00C47F2F">
              <w:rPr>
                <w:noProof/>
                <w:sz w:val="20"/>
                <w:szCs w:val="20"/>
              </w:rPr>
              <w:t>1.63E+00</w:t>
            </w:r>
          </w:p>
        </w:tc>
      </w:tr>
      <w:tr w:rsidR="001200FD" w:rsidRPr="00972C81" w14:paraId="31FB4D59" w14:textId="77777777" w:rsidTr="0096390F">
        <w:trPr>
          <w:trHeight w:val="340"/>
        </w:trPr>
        <w:tc>
          <w:tcPr>
            <w:tcW w:w="3119" w:type="dxa"/>
            <w:shd w:val="clear" w:color="auto" w:fill="auto"/>
            <w:noWrap/>
            <w:vAlign w:val="center"/>
          </w:tcPr>
          <w:p w14:paraId="0E771AD3" w14:textId="70B7EBF9" w:rsidR="001200FD" w:rsidRPr="001200FD" w:rsidRDefault="001200FD" w:rsidP="0096390F">
            <w:pPr>
              <w:pStyle w:val="Table"/>
              <w:rPr>
                <w:noProof/>
                <w:sz w:val="20"/>
                <w:szCs w:val="22"/>
              </w:rPr>
            </w:pPr>
            <w:r w:rsidRPr="001200FD">
              <w:rPr>
                <w:noProof/>
                <w:sz w:val="20"/>
                <w:szCs w:val="22"/>
              </w:rPr>
              <w:t>ST0 to Plasma</w:t>
            </w:r>
          </w:p>
        </w:tc>
        <w:tc>
          <w:tcPr>
            <w:tcW w:w="984" w:type="dxa"/>
            <w:shd w:val="clear" w:color="auto" w:fill="auto"/>
            <w:noWrap/>
            <w:vAlign w:val="center"/>
          </w:tcPr>
          <w:p w14:paraId="0A4CD597" w14:textId="77777777" w:rsidR="001200FD" w:rsidRPr="00C47F2F" w:rsidRDefault="001200FD" w:rsidP="0096390F">
            <w:pPr>
              <w:pStyle w:val="Table"/>
              <w:rPr>
                <w:noProof/>
                <w:sz w:val="20"/>
                <w:szCs w:val="20"/>
              </w:rPr>
            </w:pPr>
            <w:r w:rsidRPr="00C47F2F">
              <w:rPr>
                <w:noProof/>
                <w:sz w:val="20"/>
                <w:szCs w:val="20"/>
              </w:rPr>
              <w:t>8.32E+00</w:t>
            </w:r>
          </w:p>
        </w:tc>
        <w:tc>
          <w:tcPr>
            <w:tcW w:w="985" w:type="dxa"/>
            <w:shd w:val="clear" w:color="auto" w:fill="auto"/>
            <w:noWrap/>
            <w:vAlign w:val="center"/>
          </w:tcPr>
          <w:p w14:paraId="40AAB987" w14:textId="77777777" w:rsidR="001200FD" w:rsidRPr="00C47F2F" w:rsidRDefault="001200FD" w:rsidP="0096390F">
            <w:pPr>
              <w:pStyle w:val="Table"/>
              <w:rPr>
                <w:noProof/>
                <w:sz w:val="20"/>
                <w:szCs w:val="20"/>
              </w:rPr>
            </w:pPr>
            <w:r w:rsidRPr="00C47F2F">
              <w:rPr>
                <w:noProof/>
                <w:sz w:val="20"/>
                <w:szCs w:val="20"/>
              </w:rPr>
              <w:t>8.32E+00</w:t>
            </w:r>
          </w:p>
        </w:tc>
        <w:tc>
          <w:tcPr>
            <w:tcW w:w="985" w:type="dxa"/>
            <w:shd w:val="clear" w:color="auto" w:fill="auto"/>
            <w:noWrap/>
            <w:vAlign w:val="center"/>
          </w:tcPr>
          <w:p w14:paraId="709C484E" w14:textId="77777777" w:rsidR="001200FD" w:rsidRPr="00C47F2F" w:rsidRDefault="001200FD" w:rsidP="0096390F">
            <w:pPr>
              <w:pStyle w:val="Table"/>
              <w:rPr>
                <w:noProof/>
                <w:sz w:val="20"/>
                <w:szCs w:val="20"/>
              </w:rPr>
            </w:pPr>
            <w:r w:rsidRPr="00C47F2F">
              <w:rPr>
                <w:noProof/>
                <w:sz w:val="20"/>
                <w:szCs w:val="20"/>
              </w:rPr>
              <w:t>8.32E+00</w:t>
            </w:r>
          </w:p>
        </w:tc>
        <w:tc>
          <w:tcPr>
            <w:tcW w:w="984" w:type="dxa"/>
            <w:shd w:val="clear" w:color="auto" w:fill="auto"/>
            <w:noWrap/>
            <w:vAlign w:val="center"/>
          </w:tcPr>
          <w:p w14:paraId="368ED77D" w14:textId="77777777" w:rsidR="001200FD" w:rsidRPr="00C47F2F" w:rsidRDefault="001200FD" w:rsidP="0096390F">
            <w:pPr>
              <w:pStyle w:val="Table"/>
              <w:rPr>
                <w:noProof/>
                <w:sz w:val="20"/>
                <w:szCs w:val="20"/>
              </w:rPr>
            </w:pPr>
            <w:r w:rsidRPr="00C47F2F">
              <w:rPr>
                <w:noProof/>
                <w:sz w:val="20"/>
                <w:szCs w:val="20"/>
              </w:rPr>
              <w:t>8.32E+00</w:t>
            </w:r>
          </w:p>
        </w:tc>
        <w:tc>
          <w:tcPr>
            <w:tcW w:w="985" w:type="dxa"/>
            <w:shd w:val="clear" w:color="auto" w:fill="auto"/>
            <w:noWrap/>
            <w:vAlign w:val="center"/>
          </w:tcPr>
          <w:p w14:paraId="20EDB9B1" w14:textId="77777777" w:rsidR="001200FD" w:rsidRPr="00C47F2F" w:rsidRDefault="001200FD" w:rsidP="0096390F">
            <w:pPr>
              <w:pStyle w:val="Table"/>
              <w:rPr>
                <w:noProof/>
                <w:sz w:val="20"/>
                <w:szCs w:val="20"/>
              </w:rPr>
            </w:pPr>
            <w:r w:rsidRPr="00C47F2F">
              <w:rPr>
                <w:noProof/>
                <w:sz w:val="20"/>
                <w:szCs w:val="20"/>
              </w:rPr>
              <w:t>8.32E+00</w:t>
            </w:r>
          </w:p>
        </w:tc>
        <w:tc>
          <w:tcPr>
            <w:tcW w:w="985" w:type="dxa"/>
            <w:shd w:val="clear" w:color="auto" w:fill="auto"/>
            <w:noWrap/>
            <w:vAlign w:val="center"/>
          </w:tcPr>
          <w:p w14:paraId="5AF988A0" w14:textId="77777777" w:rsidR="001200FD" w:rsidRPr="00C47F2F" w:rsidRDefault="001200FD" w:rsidP="0096390F">
            <w:pPr>
              <w:pStyle w:val="Table"/>
              <w:rPr>
                <w:noProof/>
                <w:sz w:val="20"/>
                <w:szCs w:val="20"/>
              </w:rPr>
            </w:pPr>
            <w:r w:rsidRPr="00C47F2F">
              <w:rPr>
                <w:noProof/>
                <w:sz w:val="20"/>
                <w:szCs w:val="20"/>
              </w:rPr>
              <w:t>8.32E+00</w:t>
            </w:r>
          </w:p>
        </w:tc>
      </w:tr>
      <w:tr w:rsidR="001200FD" w:rsidRPr="00972C81" w14:paraId="2DB323DD" w14:textId="77777777" w:rsidTr="0096390F">
        <w:trPr>
          <w:trHeight w:val="340"/>
        </w:trPr>
        <w:tc>
          <w:tcPr>
            <w:tcW w:w="3119" w:type="dxa"/>
            <w:shd w:val="clear" w:color="auto" w:fill="auto"/>
            <w:noWrap/>
            <w:vAlign w:val="center"/>
          </w:tcPr>
          <w:p w14:paraId="10D32667" w14:textId="52B26575" w:rsidR="001200FD" w:rsidRPr="001200FD" w:rsidRDefault="001200FD" w:rsidP="0096390F">
            <w:pPr>
              <w:pStyle w:val="Table"/>
              <w:rPr>
                <w:noProof/>
                <w:sz w:val="20"/>
                <w:szCs w:val="22"/>
              </w:rPr>
            </w:pPr>
            <w:r w:rsidRPr="001200FD">
              <w:rPr>
                <w:noProof/>
                <w:sz w:val="20"/>
                <w:szCs w:val="22"/>
              </w:rPr>
              <w:t>RBC to Plasma</w:t>
            </w:r>
          </w:p>
        </w:tc>
        <w:tc>
          <w:tcPr>
            <w:tcW w:w="984" w:type="dxa"/>
            <w:shd w:val="clear" w:color="auto" w:fill="auto"/>
            <w:noWrap/>
            <w:vAlign w:val="center"/>
          </w:tcPr>
          <w:p w14:paraId="0F74F372" w14:textId="77777777" w:rsidR="001200FD" w:rsidRPr="00C47F2F" w:rsidRDefault="001200FD" w:rsidP="0096390F">
            <w:pPr>
              <w:pStyle w:val="Table"/>
              <w:rPr>
                <w:noProof/>
                <w:sz w:val="20"/>
                <w:szCs w:val="20"/>
              </w:rPr>
            </w:pPr>
            <w:r w:rsidRPr="00C47F2F">
              <w:rPr>
                <w:noProof/>
                <w:sz w:val="20"/>
                <w:szCs w:val="20"/>
              </w:rPr>
              <w:t>3.47E-01</w:t>
            </w:r>
          </w:p>
        </w:tc>
        <w:tc>
          <w:tcPr>
            <w:tcW w:w="985" w:type="dxa"/>
            <w:shd w:val="clear" w:color="auto" w:fill="auto"/>
            <w:noWrap/>
            <w:vAlign w:val="center"/>
          </w:tcPr>
          <w:p w14:paraId="14AC0E78" w14:textId="77777777" w:rsidR="001200FD" w:rsidRPr="00C47F2F" w:rsidRDefault="001200FD" w:rsidP="0096390F">
            <w:pPr>
              <w:pStyle w:val="Table"/>
              <w:rPr>
                <w:noProof/>
                <w:sz w:val="20"/>
                <w:szCs w:val="20"/>
              </w:rPr>
            </w:pPr>
            <w:r w:rsidRPr="00C47F2F">
              <w:rPr>
                <w:noProof/>
                <w:sz w:val="20"/>
                <w:szCs w:val="20"/>
              </w:rPr>
              <w:t>3.47E-01</w:t>
            </w:r>
          </w:p>
        </w:tc>
        <w:tc>
          <w:tcPr>
            <w:tcW w:w="985" w:type="dxa"/>
            <w:shd w:val="clear" w:color="auto" w:fill="auto"/>
            <w:noWrap/>
            <w:vAlign w:val="center"/>
          </w:tcPr>
          <w:p w14:paraId="27B3D1F5" w14:textId="77777777" w:rsidR="001200FD" w:rsidRPr="00C47F2F" w:rsidRDefault="001200FD" w:rsidP="0096390F">
            <w:pPr>
              <w:pStyle w:val="Table"/>
              <w:rPr>
                <w:noProof/>
                <w:sz w:val="20"/>
                <w:szCs w:val="20"/>
              </w:rPr>
            </w:pPr>
            <w:r w:rsidRPr="00C47F2F">
              <w:rPr>
                <w:noProof/>
                <w:sz w:val="20"/>
                <w:szCs w:val="20"/>
              </w:rPr>
              <w:t>3.47E-01</w:t>
            </w:r>
          </w:p>
        </w:tc>
        <w:tc>
          <w:tcPr>
            <w:tcW w:w="984" w:type="dxa"/>
            <w:shd w:val="clear" w:color="auto" w:fill="auto"/>
            <w:noWrap/>
            <w:vAlign w:val="center"/>
          </w:tcPr>
          <w:p w14:paraId="388A7EF8" w14:textId="77777777" w:rsidR="001200FD" w:rsidRPr="00C47F2F" w:rsidRDefault="001200FD" w:rsidP="0096390F">
            <w:pPr>
              <w:pStyle w:val="Table"/>
              <w:rPr>
                <w:noProof/>
                <w:sz w:val="20"/>
                <w:szCs w:val="20"/>
              </w:rPr>
            </w:pPr>
            <w:r w:rsidRPr="00C47F2F">
              <w:rPr>
                <w:noProof/>
                <w:sz w:val="20"/>
                <w:szCs w:val="20"/>
              </w:rPr>
              <w:t>3.47E-01</w:t>
            </w:r>
          </w:p>
        </w:tc>
        <w:tc>
          <w:tcPr>
            <w:tcW w:w="985" w:type="dxa"/>
            <w:shd w:val="clear" w:color="auto" w:fill="auto"/>
            <w:noWrap/>
            <w:vAlign w:val="center"/>
          </w:tcPr>
          <w:p w14:paraId="3435B734" w14:textId="77777777" w:rsidR="001200FD" w:rsidRPr="00C47F2F" w:rsidRDefault="001200FD" w:rsidP="0096390F">
            <w:pPr>
              <w:pStyle w:val="Table"/>
              <w:rPr>
                <w:noProof/>
                <w:sz w:val="20"/>
                <w:szCs w:val="20"/>
              </w:rPr>
            </w:pPr>
            <w:r w:rsidRPr="00C47F2F">
              <w:rPr>
                <w:noProof/>
                <w:sz w:val="20"/>
                <w:szCs w:val="20"/>
              </w:rPr>
              <w:t>3.47E-01</w:t>
            </w:r>
          </w:p>
        </w:tc>
        <w:tc>
          <w:tcPr>
            <w:tcW w:w="985" w:type="dxa"/>
            <w:shd w:val="clear" w:color="auto" w:fill="auto"/>
            <w:noWrap/>
            <w:vAlign w:val="center"/>
          </w:tcPr>
          <w:p w14:paraId="0BC207D5" w14:textId="77777777" w:rsidR="001200FD" w:rsidRPr="00C47F2F" w:rsidRDefault="001200FD" w:rsidP="0096390F">
            <w:pPr>
              <w:pStyle w:val="Table"/>
              <w:rPr>
                <w:noProof/>
                <w:sz w:val="20"/>
                <w:szCs w:val="20"/>
              </w:rPr>
            </w:pPr>
            <w:r w:rsidRPr="00C47F2F">
              <w:rPr>
                <w:noProof/>
                <w:sz w:val="20"/>
                <w:szCs w:val="20"/>
              </w:rPr>
              <w:t>3.47E-01</w:t>
            </w:r>
          </w:p>
        </w:tc>
      </w:tr>
      <w:tr w:rsidR="001200FD" w:rsidRPr="00972C81" w14:paraId="4F705F88" w14:textId="77777777" w:rsidTr="0096390F">
        <w:trPr>
          <w:trHeight w:val="340"/>
        </w:trPr>
        <w:tc>
          <w:tcPr>
            <w:tcW w:w="3119" w:type="dxa"/>
            <w:shd w:val="clear" w:color="auto" w:fill="auto"/>
            <w:noWrap/>
            <w:vAlign w:val="center"/>
          </w:tcPr>
          <w:p w14:paraId="4C739293" w14:textId="73CAFA3A" w:rsidR="001200FD" w:rsidRPr="001200FD" w:rsidRDefault="001200FD" w:rsidP="0096390F">
            <w:pPr>
              <w:pStyle w:val="Table"/>
              <w:rPr>
                <w:noProof/>
                <w:sz w:val="20"/>
                <w:szCs w:val="22"/>
              </w:rPr>
            </w:pPr>
            <w:r w:rsidRPr="001200FD">
              <w:rPr>
                <w:noProof/>
                <w:sz w:val="20"/>
                <w:szCs w:val="22"/>
              </w:rPr>
              <w:t>Kidneys 1 to Urinary bladder cont</w:t>
            </w:r>
          </w:p>
        </w:tc>
        <w:tc>
          <w:tcPr>
            <w:tcW w:w="984" w:type="dxa"/>
            <w:shd w:val="clear" w:color="auto" w:fill="auto"/>
            <w:noWrap/>
            <w:vAlign w:val="center"/>
          </w:tcPr>
          <w:p w14:paraId="08CB0193" w14:textId="77777777" w:rsidR="001200FD" w:rsidRPr="00C47F2F" w:rsidRDefault="001200FD" w:rsidP="0096390F">
            <w:pPr>
              <w:pStyle w:val="Table"/>
              <w:rPr>
                <w:noProof/>
                <w:sz w:val="20"/>
                <w:szCs w:val="20"/>
              </w:rPr>
            </w:pPr>
            <w:r w:rsidRPr="00C47F2F">
              <w:rPr>
                <w:noProof/>
                <w:sz w:val="20"/>
                <w:szCs w:val="20"/>
              </w:rPr>
              <w:t>9.90E-02</w:t>
            </w:r>
          </w:p>
        </w:tc>
        <w:tc>
          <w:tcPr>
            <w:tcW w:w="985" w:type="dxa"/>
            <w:shd w:val="clear" w:color="auto" w:fill="auto"/>
            <w:noWrap/>
            <w:vAlign w:val="center"/>
          </w:tcPr>
          <w:p w14:paraId="6F0814A7" w14:textId="77777777" w:rsidR="001200FD" w:rsidRPr="00C47F2F" w:rsidRDefault="001200FD" w:rsidP="0096390F">
            <w:pPr>
              <w:pStyle w:val="Table"/>
              <w:rPr>
                <w:noProof/>
                <w:sz w:val="20"/>
                <w:szCs w:val="20"/>
              </w:rPr>
            </w:pPr>
            <w:r w:rsidRPr="00C47F2F">
              <w:rPr>
                <w:noProof/>
                <w:sz w:val="20"/>
                <w:szCs w:val="20"/>
              </w:rPr>
              <w:t>9.90E-02</w:t>
            </w:r>
          </w:p>
        </w:tc>
        <w:tc>
          <w:tcPr>
            <w:tcW w:w="985" w:type="dxa"/>
            <w:shd w:val="clear" w:color="auto" w:fill="auto"/>
            <w:noWrap/>
            <w:vAlign w:val="center"/>
          </w:tcPr>
          <w:p w14:paraId="240D49F9" w14:textId="77777777" w:rsidR="001200FD" w:rsidRPr="00C47F2F" w:rsidRDefault="001200FD" w:rsidP="0096390F">
            <w:pPr>
              <w:pStyle w:val="Table"/>
              <w:rPr>
                <w:noProof/>
                <w:sz w:val="20"/>
                <w:szCs w:val="20"/>
              </w:rPr>
            </w:pPr>
            <w:r w:rsidRPr="00C47F2F">
              <w:rPr>
                <w:noProof/>
                <w:sz w:val="20"/>
                <w:szCs w:val="20"/>
              </w:rPr>
              <w:t>9.90E-02</w:t>
            </w:r>
          </w:p>
        </w:tc>
        <w:tc>
          <w:tcPr>
            <w:tcW w:w="984" w:type="dxa"/>
            <w:shd w:val="clear" w:color="auto" w:fill="auto"/>
            <w:noWrap/>
            <w:vAlign w:val="center"/>
          </w:tcPr>
          <w:p w14:paraId="2CDBA050" w14:textId="77777777" w:rsidR="001200FD" w:rsidRPr="00C47F2F" w:rsidRDefault="001200FD" w:rsidP="0096390F">
            <w:pPr>
              <w:pStyle w:val="Table"/>
              <w:rPr>
                <w:noProof/>
                <w:sz w:val="20"/>
                <w:szCs w:val="20"/>
              </w:rPr>
            </w:pPr>
            <w:r w:rsidRPr="00C47F2F">
              <w:rPr>
                <w:noProof/>
                <w:sz w:val="20"/>
                <w:szCs w:val="20"/>
              </w:rPr>
              <w:t>9.90E-02</w:t>
            </w:r>
          </w:p>
        </w:tc>
        <w:tc>
          <w:tcPr>
            <w:tcW w:w="985" w:type="dxa"/>
            <w:shd w:val="clear" w:color="auto" w:fill="auto"/>
            <w:noWrap/>
            <w:vAlign w:val="center"/>
          </w:tcPr>
          <w:p w14:paraId="00A1E227" w14:textId="77777777" w:rsidR="001200FD" w:rsidRPr="00C47F2F" w:rsidRDefault="001200FD" w:rsidP="0096390F">
            <w:pPr>
              <w:pStyle w:val="Table"/>
              <w:rPr>
                <w:noProof/>
                <w:sz w:val="20"/>
                <w:szCs w:val="20"/>
              </w:rPr>
            </w:pPr>
            <w:r w:rsidRPr="00C47F2F">
              <w:rPr>
                <w:noProof/>
                <w:sz w:val="20"/>
                <w:szCs w:val="20"/>
              </w:rPr>
              <w:t>9.90E-02</w:t>
            </w:r>
          </w:p>
        </w:tc>
        <w:tc>
          <w:tcPr>
            <w:tcW w:w="985" w:type="dxa"/>
            <w:shd w:val="clear" w:color="auto" w:fill="auto"/>
            <w:noWrap/>
            <w:vAlign w:val="center"/>
          </w:tcPr>
          <w:p w14:paraId="5D6D9169" w14:textId="77777777" w:rsidR="001200FD" w:rsidRPr="00C47F2F" w:rsidRDefault="001200FD" w:rsidP="0096390F">
            <w:pPr>
              <w:pStyle w:val="Table"/>
              <w:rPr>
                <w:noProof/>
                <w:sz w:val="20"/>
                <w:szCs w:val="20"/>
              </w:rPr>
            </w:pPr>
            <w:r w:rsidRPr="00C47F2F">
              <w:rPr>
                <w:noProof/>
                <w:sz w:val="20"/>
                <w:szCs w:val="20"/>
              </w:rPr>
              <w:t>9.90E-02</w:t>
            </w:r>
          </w:p>
        </w:tc>
      </w:tr>
      <w:tr w:rsidR="001200FD" w:rsidRPr="00972C81" w14:paraId="79F89935" w14:textId="77777777" w:rsidTr="0096390F">
        <w:trPr>
          <w:trHeight w:val="340"/>
        </w:trPr>
        <w:tc>
          <w:tcPr>
            <w:tcW w:w="3119" w:type="dxa"/>
            <w:shd w:val="clear" w:color="auto" w:fill="auto"/>
            <w:noWrap/>
            <w:vAlign w:val="center"/>
          </w:tcPr>
          <w:p w14:paraId="250DC969" w14:textId="72DEC0D1" w:rsidR="001200FD" w:rsidRPr="001200FD" w:rsidRDefault="001200FD" w:rsidP="0096390F">
            <w:pPr>
              <w:pStyle w:val="Table"/>
              <w:rPr>
                <w:noProof/>
                <w:sz w:val="20"/>
                <w:szCs w:val="22"/>
              </w:rPr>
            </w:pPr>
            <w:r w:rsidRPr="001200FD">
              <w:rPr>
                <w:noProof/>
                <w:sz w:val="20"/>
                <w:szCs w:val="22"/>
              </w:rPr>
              <w:t>Kidneys 2 to Plasma</w:t>
            </w:r>
          </w:p>
        </w:tc>
        <w:tc>
          <w:tcPr>
            <w:tcW w:w="984" w:type="dxa"/>
            <w:shd w:val="clear" w:color="auto" w:fill="auto"/>
            <w:noWrap/>
            <w:vAlign w:val="center"/>
          </w:tcPr>
          <w:p w14:paraId="1CF4954B" w14:textId="77777777" w:rsidR="001200FD" w:rsidRPr="00C47F2F" w:rsidRDefault="001200FD" w:rsidP="0096390F">
            <w:pPr>
              <w:pStyle w:val="Table"/>
              <w:rPr>
                <w:noProof/>
                <w:sz w:val="20"/>
                <w:szCs w:val="20"/>
              </w:rPr>
            </w:pPr>
            <w:r w:rsidRPr="00C47F2F">
              <w:rPr>
                <w:noProof/>
                <w:sz w:val="20"/>
                <w:szCs w:val="20"/>
              </w:rPr>
              <w:t>3.80E-04</w:t>
            </w:r>
          </w:p>
        </w:tc>
        <w:tc>
          <w:tcPr>
            <w:tcW w:w="985" w:type="dxa"/>
            <w:shd w:val="clear" w:color="auto" w:fill="auto"/>
            <w:noWrap/>
            <w:vAlign w:val="center"/>
          </w:tcPr>
          <w:p w14:paraId="6E10110C" w14:textId="77777777" w:rsidR="001200FD" w:rsidRPr="00C47F2F" w:rsidRDefault="001200FD" w:rsidP="0096390F">
            <w:pPr>
              <w:pStyle w:val="Table"/>
              <w:rPr>
                <w:noProof/>
                <w:sz w:val="20"/>
                <w:szCs w:val="20"/>
              </w:rPr>
            </w:pPr>
            <w:r w:rsidRPr="00C47F2F">
              <w:rPr>
                <w:noProof/>
                <w:sz w:val="20"/>
                <w:szCs w:val="20"/>
              </w:rPr>
              <w:t>3.80E-04</w:t>
            </w:r>
          </w:p>
        </w:tc>
        <w:tc>
          <w:tcPr>
            <w:tcW w:w="985" w:type="dxa"/>
            <w:shd w:val="clear" w:color="auto" w:fill="auto"/>
            <w:noWrap/>
            <w:vAlign w:val="center"/>
          </w:tcPr>
          <w:p w14:paraId="796AD90A" w14:textId="77777777" w:rsidR="001200FD" w:rsidRPr="00C47F2F" w:rsidRDefault="001200FD" w:rsidP="0096390F">
            <w:pPr>
              <w:pStyle w:val="Table"/>
              <w:rPr>
                <w:noProof/>
                <w:sz w:val="20"/>
                <w:szCs w:val="20"/>
              </w:rPr>
            </w:pPr>
            <w:r w:rsidRPr="00C47F2F">
              <w:rPr>
                <w:noProof/>
                <w:sz w:val="20"/>
                <w:szCs w:val="20"/>
              </w:rPr>
              <w:t>3.80E-04</w:t>
            </w:r>
          </w:p>
        </w:tc>
        <w:tc>
          <w:tcPr>
            <w:tcW w:w="984" w:type="dxa"/>
            <w:shd w:val="clear" w:color="auto" w:fill="auto"/>
            <w:noWrap/>
            <w:vAlign w:val="center"/>
          </w:tcPr>
          <w:p w14:paraId="13155331" w14:textId="77777777" w:rsidR="001200FD" w:rsidRPr="00C47F2F" w:rsidRDefault="001200FD" w:rsidP="0096390F">
            <w:pPr>
              <w:pStyle w:val="Table"/>
              <w:rPr>
                <w:noProof/>
                <w:sz w:val="20"/>
                <w:szCs w:val="20"/>
              </w:rPr>
            </w:pPr>
            <w:r w:rsidRPr="00C47F2F">
              <w:rPr>
                <w:noProof/>
                <w:sz w:val="20"/>
                <w:szCs w:val="20"/>
              </w:rPr>
              <w:t>3.80E-04</w:t>
            </w:r>
          </w:p>
        </w:tc>
        <w:tc>
          <w:tcPr>
            <w:tcW w:w="985" w:type="dxa"/>
            <w:shd w:val="clear" w:color="auto" w:fill="auto"/>
            <w:noWrap/>
            <w:vAlign w:val="center"/>
          </w:tcPr>
          <w:p w14:paraId="34252A56" w14:textId="77777777" w:rsidR="001200FD" w:rsidRPr="00C47F2F" w:rsidRDefault="001200FD" w:rsidP="0096390F">
            <w:pPr>
              <w:pStyle w:val="Table"/>
              <w:rPr>
                <w:noProof/>
                <w:sz w:val="20"/>
                <w:szCs w:val="20"/>
              </w:rPr>
            </w:pPr>
            <w:r w:rsidRPr="00C47F2F">
              <w:rPr>
                <w:noProof/>
                <w:sz w:val="20"/>
                <w:szCs w:val="20"/>
              </w:rPr>
              <w:t>3.80E-04</w:t>
            </w:r>
          </w:p>
        </w:tc>
        <w:tc>
          <w:tcPr>
            <w:tcW w:w="985" w:type="dxa"/>
            <w:shd w:val="clear" w:color="auto" w:fill="auto"/>
            <w:noWrap/>
            <w:vAlign w:val="center"/>
          </w:tcPr>
          <w:p w14:paraId="10D5ED2D" w14:textId="77777777" w:rsidR="001200FD" w:rsidRPr="00C47F2F" w:rsidRDefault="001200FD" w:rsidP="0096390F">
            <w:pPr>
              <w:pStyle w:val="Table"/>
              <w:rPr>
                <w:noProof/>
                <w:sz w:val="20"/>
                <w:szCs w:val="20"/>
              </w:rPr>
            </w:pPr>
            <w:r w:rsidRPr="00C47F2F">
              <w:rPr>
                <w:noProof/>
                <w:sz w:val="20"/>
                <w:szCs w:val="20"/>
              </w:rPr>
              <w:t>3.80E-04</w:t>
            </w:r>
          </w:p>
        </w:tc>
      </w:tr>
      <w:tr w:rsidR="001200FD" w:rsidRPr="00972C81" w14:paraId="6E83744E" w14:textId="77777777" w:rsidTr="0096390F">
        <w:trPr>
          <w:trHeight w:val="340"/>
        </w:trPr>
        <w:tc>
          <w:tcPr>
            <w:tcW w:w="3119" w:type="dxa"/>
            <w:shd w:val="clear" w:color="auto" w:fill="auto"/>
            <w:noWrap/>
            <w:vAlign w:val="center"/>
          </w:tcPr>
          <w:p w14:paraId="511A797E" w14:textId="6EF45C16" w:rsidR="001200FD" w:rsidRPr="001200FD" w:rsidRDefault="001200FD" w:rsidP="0096390F">
            <w:pPr>
              <w:pStyle w:val="Table"/>
              <w:rPr>
                <w:noProof/>
                <w:sz w:val="20"/>
                <w:szCs w:val="22"/>
              </w:rPr>
            </w:pPr>
            <w:r w:rsidRPr="001200FD">
              <w:rPr>
                <w:noProof/>
                <w:sz w:val="20"/>
                <w:szCs w:val="22"/>
              </w:rPr>
              <w:t>Liver 1 to Plasma</w:t>
            </w:r>
          </w:p>
        </w:tc>
        <w:tc>
          <w:tcPr>
            <w:tcW w:w="984" w:type="dxa"/>
            <w:shd w:val="clear" w:color="auto" w:fill="auto"/>
            <w:noWrap/>
            <w:vAlign w:val="center"/>
          </w:tcPr>
          <w:p w14:paraId="7FB3BE8C" w14:textId="77777777" w:rsidR="001200FD" w:rsidRPr="00C47F2F" w:rsidRDefault="001200FD" w:rsidP="0096390F">
            <w:pPr>
              <w:pStyle w:val="Table"/>
              <w:rPr>
                <w:noProof/>
                <w:sz w:val="20"/>
                <w:szCs w:val="20"/>
              </w:rPr>
            </w:pPr>
            <w:r w:rsidRPr="00C47F2F">
              <w:rPr>
                <w:noProof/>
                <w:sz w:val="20"/>
                <w:szCs w:val="20"/>
              </w:rPr>
              <w:t>9.20E-02</w:t>
            </w:r>
          </w:p>
        </w:tc>
        <w:tc>
          <w:tcPr>
            <w:tcW w:w="985" w:type="dxa"/>
            <w:shd w:val="clear" w:color="auto" w:fill="auto"/>
            <w:noWrap/>
            <w:vAlign w:val="center"/>
          </w:tcPr>
          <w:p w14:paraId="2DA1F0A7" w14:textId="77777777" w:rsidR="001200FD" w:rsidRPr="00C47F2F" w:rsidRDefault="001200FD" w:rsidP="0096390F">
            <w:pPr>
              <w:pStyle w:val="Table"/>
              <w:rPr>
                <w:noProof/>
                <w:sz w:val="20"/>
                <w:szCs w:val="20"/>
              </w:rPr>
            </w:pPr>
            <w:r w:rsidRPr="00C47F2F">
              <w:rPr>
                <w:noProof/>
                <w:sz w:val="20"/>
                <w:szCs w:val="20"/>
              </w:rPr>
              <w:t>9.20E-02</w:t>
            </w:r>
          </w:p>
        </w:tc>
        <w:tc>
          <w:tcPr>
            <w:tcW w:w="985" w:type="dxa"/>
            <w:shd w:val="clear" w:color="auto" w:fill="auto"/>
            <w:noWrap/>
            <w:vAlign w:val="center"/>
          </w:tcPr>
          <w:p w14:paraId="389A10CF" w14:textId="77777777" w:rsidR="001200FD" w:rsidRPr="00C47F2F" w:rsidRDefault="001200FD" w:rsidP="0096390F">
            <w:pPr>
              <w:pStyle w:val="Table"/>
              <w:rPr>
                <w:noProof/>
                <w:sz w:val="20"/>
                <w:szCs w:val="20"/>
              </w:rPr>
            </w:pPr>
            <w:r w:rsidRPr="00C47F2F">
              <w:rPr>
                <w:noProof/>
                <w:sz w:val="20"/>
                <w:szCs w:val="20"/>
              </w:rPr>
              <w:t>9.20E-02</w:t>
            </w:r>
          </w:p>
        </w:tc>
        <w:tc>
          <w:tcPr>
            <w:tcW w:w="984" w:type="dxa"/>
            <w:shd w:val="clear" w:color="auto" w:fill="auto"/>
            <w:noWrap/>
            <w:vAlign w:val="center"/>
          </w:tcPr>
          <w:p w14:paraId="09839C62" w14:textId="77777777" w:rsidR="001200FD" w:rsidRPr="00C47F2F" w:rsidRDefault="001200FD" w:rsidP="0096390F">
            <w:pPr>
              <w:pStyle w:val="Table"/>
              <w:rPr>
                <w:noProof/>
                <w:sz w:val="20"/>
                <w:szCs w:val="20"/>
              </w:rPr>
            </w:pPr>
            <w:r w:rsidRPr="00C47F2F">
              <w:rPr>
                <w:noProof/>
                <w:sz w:val="20"/>
                <w:szCs w:val="20"/>
              </w:rPr>
              <w:t>9.20E-02</w:t>
            </w:r>
          </w:p>
        </w:tc>
        <w:tc>
          <w:tcPr>
            <w:tcW w:w="985" w:type="dxa"/>
            <w:shd w:val="clear" w:color="auto" w:fill="auto"/>
            <w:noWrap/>
            <w:vAlign w:val="center"/>
          </w:tcPr>
          <w:p w14:paraId="19132482" w14:textId="77777777" w:rsidR="001200FD" w:rsidRPr="00C47F2F" w:rsidRDefault="001200FD" w:rsidP="0096390F">
            <w:pPr>
              <w:pStyle w:val="Table"/>
              <w:rPr>
                <w:noProof/>
                <w:sz w:val="20"/>
                <w:szCs w:val="20"/>
              </w:rPr>
            </w:pPr>
            <w:r w:rsidRPr="00C47F2F">
              <w:rPr>
                <w:noProof/>
                <w:sz w:val="20"/>
                <w:szCs w:val="20"/>
              </w:rPr>
              <w:t>9.20E-02</w:t>
            </w:r>
          </w:p>
        </w:tc>
        <w:tc>
          <w:tcPr>
            <w:tcW w:w="985" w:type="dxa"/>
            <w:shd w:val="clear" w:color="auto" w:fill="auto"/>
            <w:noWrap/>
            <w:vAlign w:val="center"/>
          </w:tcPr>
          <w:p w14:paraId="0E6C5EF4" w14:textId="77777777" w:rsidR="001200FD" w:rsidRPr="00C47F2F" w:rsidRDefault="001200FD" w:rsidP="0096390F">
            <w:pPr>
              <w:pStyle w:val="Table"/>
              <w:rPr>
                <w:noProof/>
                <w:sz w:val="20"/>
                <w:szCs w:val="20"/>
              </w:rPr>
            </w:pPr>
            <w:r w:rsidRPr="00C47F2F">
              <w:rPr>
                <w:noProof/>
                <w:sz w:val="20"/>
                <w:szCs w:val="20"/>
              </w:rPr>
              <w:t>9.20E-02</w:t>
            </w:r>
          </w:p>
        </w:tc>
      </w:tr>
      <w:tr w:rsidR="001200FD" w:rsidRPr="00972C81" w14:paraId="4801E5CC" w14:textId="77777777" w:rsidTr="0096390F">
        <w:trPr>
          <w:trHeight w:val="340"/>
        </w:trPr>
        <w:tc>
          <w:tcPr>
            <w:tcW w:w="3119" w:type="dxa"/>
            <w:shd w:val="clear" w:color="auto" w:fill="auto"/>
            <w:noWrap/>
            <w:vAlign w:val="center"/>
          </w:tcPr>
          <w:p w14:paraId="4411C0FB" w14:textId="027DE59B" w:rsidR="001200FD" w:rsidRPr="001200FD" w:rsidRDefault="001200FD" w:rsidP="0096390F">
            <w:pPr>
              <w:pStyle w:val="Table"/>
              <w:rPr>
                <w:noProof/>
                <w:sz w:val="20"/>
                <w:szCs w:val="22"/>
              </w:rPr>
            </w:pPr>
            <w:r w:rsidRPr="001200FD">
              <w:rPr>
                <w:noProof/>
                <w:sz w:val="20"/>
                <w:szCs w:val="22"/>
              </w:rPr>
              <w:t>Liver 1 to Liver 2</w:t>
            </w:r>
          </w:p>
        </w:tc>
        <w:tc>
          <w:tcPr>
            <w:tcW w:w="984" w:type="dxa"/>
            <w:shd w:val="clear" w:color="auto" w:fill="auto"/>
            <w:noWrap/>
            <w:vAlign w:val="center"/>
          </w:tcPr>
          <w:p w14:paraId="7825458E" w14:textId="77777777" w:rsidR="001200FD" w:rsidRPr="00C47F2F" w:rsidRDefault="001200FD" w:rsidP="0096390F">
            <w:pPr>
              <w:pStyle w:val="Table"/>
              <w:rPr>
                <w:noProof/>
                <w:sz w:val="20"/>
                <w:szCs w:val="20"/>
              </w:rPr>
            </w:pPr>
            <w:r w:rsidRPr="00C47F2F">
              <w:rPr>
                <w:noProof/>
                <w:sz w:val="20"/>
                <w:szCs w:val="20"/>
              </w:rPr>
              <w:t>6.93E-03</w:t>
            </w:r>
          </w:p>
        </w:tc>
        <w:tc>
          <w:tcPr>
            <w:tcW w:w="985" w:type="dxa"/>
            <w:shd w:val="clear" w:color="auto" w:fill="auto"/>
            <w:noWrap/>
            <w:vAlign w:val="center"/>
          </w:tcPr>
          <w:p w14:paraId="48EA59C3" w14:textId="77777777" w:rsidR="001200FD" w:rsidRPr="00C47F2F" w:rsidRDefault="001200FD" w:rsidP="0096390F">
            <w:pPr>
              <w:pStyle w:val="Table"/>
              <w:rPr>
                <w:noProof/>
                <w:sz w:val="20"/>
                <w:szCs w:val="20"/>
              </w:rPr>
            </w:pPr>
            <w:r w:rsidRPr="00C47F2F">
              <w:rPr>
                <w:noProof/>
                <w:sz w:val="20"/>
                <w:szCs w:val="20"/>
              </w:rPr>
              <w:t>6.93E-03</w:t>
            </w:r>
          </w:p>
        </w:tc>
        <w:tc>
          <w:tcPr>
            <w:tcW w:w="985" w:type="dxa"/>
            <w:shd w:val="clear" w:color="auto" w:fill="auto"/>
            <w:noWrap/>
            <w:vAlign w:val="center"/>
          </w:tcPr>
          <w:p w14:paraId="61826D5F" w14:textId="77777777" w:rsidR="001200FD" w:rsidRPr="00C47F2F" w:rsidRDefault="001200FD" w:rsidP="0096390F">
            <w:pPr>
              <w:pStyle w:val="Table"/>
              <w:rPr>
                <w:noProof/>
                <w:sz w:val="20"/>
                <w:szCs w:val="20"/>
              </w:rPr>
            </w:pPr>
            <w:r w:rsidRPr="00C47F2F">
              <w:rPr>
                <w:noProof/>
                <w:sz w:val="20"/>
                <w:szCs w:val="20"/>
              </w:rPr>
              <w:t>6.93E-03</w:t>
            </w:r>
          </w:p>
        </w:tc>
        <w:tc>
          <w:tcPr>
            <w:tcW w:w="984" w:type="dxa"/>
            <w:shd w:val="clear" w:color="auto" w:fill="auto"/>
            <w:noWrap/>
            <w:vAlign w:val="center"/>
          </w:tcPr>
          <w:p w14:paraId="63AAC60D" w14:textId="77777777" w:rsidR="001200FD" w:rsidRPr="00C47F2F" w:rsidRDefault="001200FD" w:rsidP="0096390F">
            <w:pPr>
              <w:pStyle w:val="Table"/>
              <w:rPr>
                <w:noProof/>
                <w:sz w:val="20"/>
                <w:szCs w:val="20"/>
              </w:rPr>
            </w:pPr>
            <w:r w:rsidRPr="00C47F2F">
              <w:rPr>
                <w:noProof/>
                <w:sz w:val="20"/>
                <w:szCs w:val="20"/>
              </w:rPr>
              <w:t>6.93E-03</w:t>
            </w:r>
          </w:p>
        </w:tc>
        <w:tc>
          <w:tcPr>
            <w:tcW w:w="985" w:type="dxa"/>
            <w:shd w:val="clear" w:color="auto" w:fill="auto"/>
            <w:noWrap/>
            <w:vAlign w:val="center"/>
          </w:tcPr>
          <w:p w14:paraId="297CDA2F" w14:textId="77777777" w:rsidR="001200FD" w:rsidRPr="00C47F2F" w:rsidRDefault="001200FD" w:rsidP="0096390F">
            <w:pPr>
              <w:pStyle w:val="Table"/>
              <w:rPr>
                <w:noProof/>
                <w:sz w:val="20"/>
                <w:szCs w:val="20"/>
              </w:rPr>
            </w:pPr>
            <w:r w:rsidRPr="00C47F2F">
              <w:rPr>
                <w:noProof/>
                <w:sz w:val="20"/>
                <w:szCs w:val="20"/>
              </w:rPr>
              <w:t>6.93E-03</w:t>
            </w:r>
          </w:p>
        </w:tc>
        <w:tc>
          <w:tcPr>
            <w:tcW w:w="985" w:type="dxa"/>
            <w:shd w:val="clear" w:color="auto" w:fill="auto"/>
            <w:noWrap/>
            <w:vAlign w:val="center"/>
          </w:tcPr>
          <w:p w14:paraId="35CB0169" w14:textId="77777777" w:rsidR="001200FD" w:rsidRPr="00C47F2F" w:rsidRDefault="001200FD" w:rsidP="0096390F">
            <w:pPr>
              <w:pStyle w:val="Table"/>
              <w:rPr>
                <w:noProof/>
                <w:sz w:val="20"/>
                <w:szCs w:val="20"/>
              </w:rPr>
            </w:pPr>
            <w:r w:rsidRPr="00C47F2F">
              <w:rPr>
                <w:noProof/>
                <w:sz w:val="20"/>
                <w:szCs w:val="20"/>
              </w:rPr>
              <w:t>6.93E-03</w:t>
            </w:r>
          </w:p>
        </w:tc>
      </w:tr>
      <w:tr w:rsidR="001200FD" w:rsidRPr="00972C81" w14:paraId="1A07387E" w14:textId="77777777" w:rsidTr="0096390F">
        <w:trPr>
          <w:trHeight w:val="340"/>
        </w:trPr>
        <w:tc>
          <w:tcPr>
            <w:tcW w:w="3119" w:type="dxa"/>
            <w:shd w:val="clear" w:color="auto" w:fill="auto"/>
            <w:noWrap/>
            <w:vAlign w:val="center"/>
          </w:tcPr>
          <w:p w14:paraId="0BD995FC" w14:textId="5AE49E93" w:rsidR="001200FD" w:rsidRPr="001200FD" w:rsidRDefault="001200FD" w:rsidP="0096390F">
            <w:pPr>
              <w:pStyle w:val="Table"/>
              <w:rPr>
                <w:noProof/>
                <w:sz w:val="20"/>
                <w:szCs w:val="22"/>
              </w:rPr>
            </w:pPr>
            <w:r w:rsidRPr="001200FD">
              <w:rPr>
                <w:noProof/>
                <w:sz w:val="20"/>
                <w:szCs w:val="22"/>
              </w:rPr>
              <w:t>ST1 to Plasma</w:t>
            </w:r>
          </w:p>
        </w:tc>
        <w:tc>
          <w:tcPr>
            <w:tcW w:w="984" w:type="dxa"/>
            <w:shd w:val="clear" w:color="auto" w:fill="auto"/>
            <w:noWrap/>
            <w:vAlign w:val="center"/>
          </w:tcPr>
          <w:p w14:paraId="355B93FA" w14:textId="77777777" w:rsidR="001200FD" w:rsidRPr="00C47F2F" w:rsidRDefault="001200FD" w:rsidP="0096390F">
            <w:pPr>
              <w:pStyle w:val="Table"/>
              <w:rPr>
                <w:noProof/>
                <w:sz w:val="20"/>
                <w:szCs w:val="20"/>
              </w:rPr>
            </w:pPr>
            <w:r w:rsidRPr="00C47F2F">
              <w:rPr>
                <w:noProof/>
                <w:sz w:val="20"/>
                <w:szCs w:val="20"/>
              </w:rPr>
              <w:t>3.47E-02</w:t>
            </w:r>
          </w:p>
        </w:tc>
        <w:tc>
          <w:tcPr>
            <w:tcW w:w="985" w:type="dxa"/>
            <w:shd w:val="clear" w:color="auto" w:fill="auto"/>
            <w:noWrap/>
            <w:vAlign w:val="center"/>
          </w:tcPr>
          <w:p w14:paraId="1548B6D7" w14:textId="77777777" w:rsidR="001200FD" w:rsidRPr="00C47F2F" w:rsidRDefault="001200FD" w:rsidP="0096390F">
            <w:pPr>
              <w:pStyle w:val="Table"/>
              <w:rPr>
                <w:noProof/>
                <w:sz w:val="20"/>
                <w:szCs w:val="20"/>
              </w:rPr>
            </w:pPr>
            <w:r w:rsidRPr="00C47F2F">
              <w:rPr>
                <w:noProof/>
                <w:sz w:val="20"/>
                <w:szCs w:val="20"/>
              </w:rPr>
              <w:t>3.47E-02</w:t>
            </w:r>
          </w:p>
        </w:tc>
        <w:tc>
          <w:tcPr>
            <w:tcW w:w="985" w:type="dxa"/>
            <w:shd w:val="clear" w:color="auto" w:fill="auto"/>
            <w:noWrap/>
            <w:vAlign w:val="center"/>
          </w:tcPr>
          <w:p w14:paraId="219B017E" w14:textId="77777777" w:rsidR="001200FD" w:rsidRPr="00C47F2F" w:rsidRDefault="001200FD" w:rsidP="0096390F">
            <w:pPr>
              <w:pStyle w:val="Table"/>
              <w:rPr>
                <w:noProof/>
                <w:sz w:val="20"/>
                <w:szCs w:val="20"/>
              </w:rPr>
            </w:pPr>
            <w:r w:rsidRPr="00C47F2F">
              <w:rPr>
                <w:noProof/>
                <w:sz w:val="20"/>
                <w:szCs w:val="20"/>
              </w:rPr>
              <w:t>3.47E-02</w:t>
            </w:r>
          </w:p>
        </w:tc>
        <w:tc>
          <w:tcPr>
            <w:tcW w:w="984" w:type="dxa"/>
            <w:shd w:val="clear" w:color="auto" w:fill="auto"/>
            <w:noWrap/>
            <w:vAlign w:val="center"/>
          </w:tcPr>
          <w:p w14:paraId="5294F8C4" w14:textId="77777777" w:rsidR="001200FD" w:rsidRPr="00C47F2F" w:rsidRDefault="001200FD" w:rsidP="0096390F">
            <w:pPr>
              <w:pStyle w:val="Table"/>
              <w:rPr>
                <w:noProof/>
                <w:sz w:val="20"/>
                <w:szCs w:val="20"/>
              </w:rPr>
            </w:pPr>
            <w:r w:rsidRPr="00C47F2F">
              <w:rPr>
                <w:noProof/>
                <w:sz w:val="20"/>
                <w:szCs w:val="20"/>
              </w:rPr>
              <w:t>3.47E-02</w:t>
            </w:r>
          </w:p>
        </w:tc>
        <w:tc>
          <w:tcPr>
            <w:tcW w:w="985" w:type="dxa"/>
            <w:shd w:val="clear" w:color="auto" w:fill="auto"/>
            <w:noWrap/>
            <w:vAlign w:val="center"/>
          </w:tcPr>
          <w:p w14:paraId="381867AC" w14:textId="77777777" w:rsidR="001200FD" w:rsidRPr="00C47F2F" w:rsidRDefault="001200FD" w:rsidP="0096390F">
            <w:pPr>
              <w:pStyle w:val="Table"/>
              <w:rPr>
                <w:noProof/>
                <w:sz w:val="20"/>
                <w:szCs w:val="20"/>
              </w:rPr>
            </w:pPr>
            <w:r w:rsidRPr="00C47F2F">
              <w:rPr>
                <w:noProof/>
                <w:sz w:val="20"/>
                <w:szCs w:val="20"/>
              </w:rPr>
              <w:t>3.47E-02</w:t>
            </w:r>
          </w:p>
        </w:tc>
        <w:tc>
          <w:tcPr>
            <w:tcW w:w="985" w:type="dxa"/>
            <w:shd w:val="clear" w:color="auto" w:fill="auto"/>
            <w:noWrap/>
            <w:vAlign w:val="center"/>
          </w:tcPr>
          <w:p w14:paraId="1B4DFD9D" w14:textId="77777777" w:rsidR="001200FD" w:rsidRPr="00C47F2F" w:rsidRDefault="001200FD" w:rsidP="0096390F">
            <w:pPr>
              <w:pStyle w:val="Table"/>
              <w:rPr>
                <w:noProof/>
                <w:sz w:val="20"/>
                <w:szCs w:val="20"/>
              </w:rPr>
            </w:pPr>
            <w:r w:rsidRPr="00C47F2F">
              <w:rPr>
                <w:noProof/>
                <w:sz w:val="20"/>
                <w:szCs w:val="20"/>
              </w:rPr>
              <w:t>3.47E-02</w:t>
            </w:r>
          </w:p>
        </w:tc>
      </w:tr>
      <w:tr w:rsidR="001200FD" w:rsidRPr="00972C81" w14:paraId="1F37B34C" w14:textId="77777777" w:rsidTr="0096390F">
        <w:trPr>
          <w:trHeight w:val="340"/>
        </w:trPr>
        <w:tc>
          <w:tcPr>
            <w:tcW w:w="3119" w:type="dxa"/>
            <w:shd w:val="clear" w:color="auto" w:fill="auto"/>
            <w:noWrap/>
            <w:vAlign w:val="center"/>
          </w:tcPr>
          <w:p w14:paraId="220F060D" w14:textId="0FA455A2" w:rsidR="001200FD" w:rsidRPr="001200FD" w:rsidRDefault="001200FD" w:rsidP="0096390F">
            <w:pPr>
              <w:pStyle w:val="Table"/>
              <w:rPr>
                <w:noProof/>
                <w:sz w:val="20"/>
                <w:szCs w:val="22"/>
              </w:rPr>
            </w:pPr>
            <w:r w:rsidRPr="001200FD">
              <w:rPr>
                <w:noProof/>
                <w:sz w:val="20"/>
                <w:szCs w:val="22"/>
              </w:rPr>
              <w:t>ST2 to Plasma</w:t>
            </w:r>
          </w:p>
        </w:tc>
        <w:tc>
          <w:tcPr>
            <w:tcW w:w="984" w:type="dxa"/>
            <w:shd w:val="clear" w:color="auto" w:fill="auto"/>
            <w:noWrap/>
            <w:vAlign w:val="center"/>
          </w:tcPr>
          <w:p w14:paraId="3567F71E" w14:textId="77777777" w:rsidR="001200FD" w:rsidRPr="00C47F2F" w:rsidRDefault="001200FD" w:rsidP="0096390F">
            <w:pPr>
              <w:pStyle w:val="Table"/>
              <w:rPr>
                <w:noProof/>
                <w:sz w:val="20"/>
                <w:szCs w:val="20"/>
              </w:rPr>
            </w:pPr>
            <w:r w:rsidRPr="00C47F2F">
              <w:rPr>
                <w:noProof/>
                <w:sz w:val="20"/>
                <w:szCs w:val="20"/>
              </w:rPr>
              <w:t>1.90E-05</w:t>
            </w:r>
          </w:p>
        </w:tc>
        <w:tc>
          <w:tcPr>
            <w:tcW w:w="985" w:type="dxa"/>
            <w:shd w:val="clear" w:color="auto" w:fill="auto"/>
            <w:noWrap/>
            <w:vAlign w:val="center"/>
          </w:tcPr>
          <w:p w14:paraId="707FFDEE" w14:textId="77777777" w:rsidR="001200FD" w:rsidRPr="00C47F2F" w:rsidRDefault="001200FD" w:rsidP="0096390F">
            <w:pPr>
              <w:pStyle w:val="Table"/>
              <w:rPr>
                <w:noProof/>
                <w:sz w:val="20"/>
                <w:szCs w:val="20"/>
              </w:rPr>
            </w:pPr>
            <w:r w:rsidRPr="00C47F2F">
              <w:rPr>
                <w:noProof/>
                <w:sz w:val="20"/>
                <w:szCs w:val="20"/>
              </w:rPr>
              <w:t>1.90E-05</w:t>
            </w:r>
          </w:p>
        </w:tc>
        <w:tc>
          <w:tcPr>
            <w:tcW w:w="985" w:type="dxa"/>
            <w:shd w:val="clear" w:color="auto" w:fill="auto"/>
            <w:noWrap/>
            <w:vAlign w:val="center"/>
          </w:tcPr>
          <w:p w14:paraId="793D90F6" w14:textId="77777777" w:rsidR="001200FD" w:rsidRPr="00C47F2F" w:rsidRDefault="001200FD" w:rsidP="0096390F">
            <w:pPr>
              <w:pStyle w:val="Table"/>
              <w:rPr>
                <w:noProof/>
                <w:sz w:val="20"/>
                <w:szCs w:val="20"/>
              </w:rPr>
            </w:pPr>
            <w:r w:rsidRPr="00C47F2F">
              <w:rPr>
                <w:noProof/>
                <w:sz w:val="20"/>
                <w:szCs w:val="20"/>
              </w:rPr>
              <w:t>1.90E-05</w:t>
            </w:r>
          </w:p>
        </w:tc>
        <w:tc>
          <w:tcPr>
            <w:tcW w:w="984" w:type="dxa"/>
            <w:shd w:val="clear" w:color="auto" w:fill="auto"/>
            <w:noWrap/>
            <w:vAlign w:val="center"/>
          </w:tcPr>
          <w:p w14:paraId="49EF3729" w14:textId="77777777" w:rsidR="001200FD" w:rsidRPr="00C47F2F" w:rsidRDefault="001200FD" w:rsidP="0096390F">
            <w:pPr>
              <w:pStyle w:val="Table"/>
              <w:rPr>
                <w:noProof/>
                <w:sz w:val="20"/>
                <w:szCs w:val="20"/>
              </w:rPr>
            </w:pPr>
            <w:r w:rsidRPr="00C47F2F">
              <w:rPr>
                <w:noProof/>
                <w:sz w:val="20"/>
                <w:szCs w:val="20"/>
              </w:rPr>
              <w:t>1.90E-05</w:t>
            </w:r>
          </w:p>
        </w:tc>
        <w:tc>
          <w:tcPr>
            <w:tcW w:w="985" w:type="dxa"/>
            <w:shd w:val="clear" w:color="auto" w:fill="auto"/>
            <w:noWrap/>
            <w:vAlign w:val="center"/>
          </w:tcPr>
          <w:p w14:paraId="7923FB3B" w14:textId="77777777" w:rsidR="001200FD" w:rsidRPr="00C47F2F" w:rsidRDefault="001200FD" w:rsidP="0096390F">
            <w:pPr>
              <w:pStyle w:val="Table"/>
              <w:rPr>
                <w:noProof/>
                <w:sz w:val="20"/>
                <w:szCs w:val="20"/>
              </w:rPr>
            </w:pPr>
            <w:r w:rsidRPr="00C47F2F">
              <w:rPr>
                <w:noProof/>
                <w:sz w:val="20"/>
                <w:szCs w:val="20"/>
              </w:rPr>
              <w:t>1.90E-05</w:t>
            </w:r>
          </w:p>
        </w:tc>
        <w:tc>
          <w:tcPr>
            <w:tcW w:w="985" w:type="dxa"/>
            <w:shd w:val="clear" w:color="auto" w:fill="auto"/>
            <w:noWrap/>
            <w:vAlign w:val="center"/>
          </w:tcPr>
          <w:p w14:paraId="7469F061" w14:textId="77777777" w:rsidR="001200FD" w:rsidRPr="00C47F2F" w:rsidRDefault="001200FD" w:rsidP="0096390F">
            <w:pPr>
              <w:pStyle w:val="Table"/>
              <w:rPr>
                <w:noProof/>
                <w:sz w:val="20"/>
                <w:szCs w:val="20"/>
              </w:rPr>
            </w:pPr>
            <w:r w:rsidRPr="00C47F2F">
              <w:rPr>
                <w:noProof/>
                <w:sz w:val="20"/>
                <w:szCs w:val="20"/>
              </w:rPr>
              <w:t>1.90E-05</w:t>
            </w:r>
          </w:p>
        </w:tc>
      </w:tr>
      <w:tr w:rsidR="001200FD" w:rsidRPr="00972C81" w14:paraId="276B37E2" w14:textId="77777777" w:rsidTr="0096390F">
        <w:trPr>
          <w:trHeight w:val="340"/>
        </w:trPr>
        <w:tc>
          <w:tcPr>
            <w:tcW w:w="3119" w:type="dxa"/>
            <w:shd w:val="clear" w:color="auto" w:fill="auto"/>
            <w:noWrap/>
            <w:vAlign w:val="center"/>
          </w:tcPr>
          <w:p w14:paraId="36E64067" w14:textId="6BBFB6AC" w:rsidR="001200FD" w:rsidRPr="001200FD" w:rsidRDefault="001200FD" w:rsidP="0096390F">
            <w:pPr>
              <w:pStyle w:val="Table"/>
              <w:rPr>
                <w:noProof/>
                <w:sz w:val="20"/>
                <w:szCs w:val="22"/>
              </w:rPr>
            </w:pPr>
            <w:r w:rsidRPr="001200FD">
              <w:rPr>
                <w:noProof/>
                <w:sz w:val="20"/>
                <w:szCs w:val="22"/>
              </w:rPr>
              <w:t>Trab bone surfto Plasma</w:t>
            </w:r>
          </w:p>
        </w:tc>
        <w:tc>
          <w:tcPr>
            <w:tcW w:w="984" w:type="dxa"/>
            <w:shd w:val="clear" w:color="auto" w:fill="auto"/>
            <w:noWrap/>
            <w:vAlign w:val="center"/>
          </w:tcPr>
          <w:p w14:paraId="3A41886F" w14:textId="77777777" w:rsidR="001200FD" w:rsidRPr="00C47F2F" w:rsidRDefault="001200FD" w:rsidP="0096390F">
            <w:pPr>
              <w:pStyle w:val="Table"/>
              <w:rPr>
                <w:noProof/>
                <w:sz w:val="20"/>
                <w:szCs w:val="20"/>
              </w:rPr>
            </w:pPr>
            <w:r w:rsidRPr="00C47F2F">
              <w:rPr>
                <w:noProof/>
                <w:sz w:val="20"/>
                <w:szCs w:val="20"/>
              </w:rPr>
              <w:t>6.93E-02</w:t>
            </w:r>
          </w:p>
        </w:tc>
        <w:tc>
          <w:tcPr>
            <w:tcW w:w="985" w:type="dxa"/>
            <w:shd w:val="clear" w:color="auto" w:fill="auto"/>
            <w:noWrap/>
            <w:vAlign w:val="center"/>
          </w:tcPr>
          <w:p w14:paraId="7F1BDC11" w14:textId="77777777" w:rsidR="001200FD" w:rsidRPr="00C47F2F" w:rsidRDefault="001200FD" w:rsidP="0096390F">
            <w:pPr>
              <w:pStyle w:val="Table"/>
              <w:rPr>
                <w:noProof/>
                <w:sz w:val="20"/>
                <w:szCs w:val="20"/>
              </w:rPr>
            </w:pPr>
            <w:r w:rsidRPr="00C47F2F">
              <w:rPr>
                <w:noProof/>
                <w:sz w:val="20"/>
                <w:szCs w:val="20"/>
              </w:rPr>
              <w:t>6.93E-02</w:t>
            </w:r>
          </w:p>
        </w:tc>
        <w:tc>
          <w:tcPr>
            <w:tcW w:w="985" w:type="dxa"/>
            <w:shd w:val="clear" w:color="auto" w:fill="auto"/>
            <w:noWrap/>
            <w:vAlign w:val="center"/>
          </w:tcPr>
          <w:p w14:paraId="6AD67EE5" w14:textId="77777777" w:rsidR="001200FD" w:rsidRPr="00C47F2F" w:rsidRDefault="001200FD" w:rsidP="0096390F">
            <w:pPr>
              <w:pStyle w:val="Table"/>
              <w:rPr>
                <w:noProof/>
                <w:sz w:val="20"/>
                <w:szCs w:val="20"/>
              </w:rPr>
            </w:pPr>
            <w:r w:rsidRPr="00C47F2F">
              <w:rPr>
                <w:noProof/>
                <w:sz w:val="20"/>
                <w:szCs w:val="20"/>
              </w:rPr>
              <w:t>6.93E-02</w:t>
            </w:r>
          </w:p>
        </w:tc>
        <w:tc>
          <w:tcPr>
            <w:tcW w:w="984" w:type="dxa"/>
            <w:shd w:val="clear" w:color="auto" w:fill="auto"/>
            <w:noWrap/>
            <w:vAlign w:val="center"/>
          </w:tcPr>
          <w:p w14:paraId="41CF07A9" w14:textId="77777777" w:rsidR="001200FD" w:rsidRPr="00C47F2F" w:rsidRDefault="001200FD" w:rsidP="0096390F">
            <w:pPr>
              <w:pStyle w:val="Table"/>
              <w:rPr>
                <w:noProof/>
                <w:sz w:val="20"/>
                <w:szCs w:val="20"/>
              </w:rPr>
            </w:pPr>
            <w:r w:rsidRPr="00C47F2F">
              <w:rPr>
                <w:noProof/>
                <w:sz w:val="20"/>
                <w:szCs w:val="20"/>
              </w:rPr>
              <w:t>6.93E-02</w:t>
            </w:r>
          </w:p>
        </w:tc>
        <w:tc>
          <w:tcPr>
            <w:tcW w:w="985" w:type="dxa"/>
            <w:shd w:val="clear" w:color="auto" w:fill="auto"/>
            <w:noWrap/>
            <w:vAlign w:val="center"/>
          </w:tcPr>
          <w:p w14:paraId="3E65AA99" w14:textId="77777777" w:rsidR="001200FD" w:rsidRPr="00C47F2F" w:rsidRDefault="001200FD" w:rsidP="0096390F">
            <w:pPr>
              <w:pStyle w:val="Table"/>
              <w:rPr>
                <w:noProof/>
                <w:sz w:val="20"/>
                <w:szCs w:val="20"/>
              </w:rPr>
            </w:pPr>
            <w:r w:rsidRPr="00C47F2F">
              <w:rPr>
                <w:noProof/>
                <w:sz w:val="20"/>
                <w:szCs w:val="20"/>
              </w:rPr>
              <w:t>6.93E-02</w:t>
            </w:r>
          </w:p>
        </w:tc>
        <w:tc>
          <w:tcPr>
            <w:tcW w:w="985" w:type="dxa"/>
            <w:shd w:val="clear" w:color="auto" w:fill="auto"/>
            <w:noWrap/>
            <w:vAlign w:val="center"/>
          </w:tcPr>
          <w:p w14:paraId="5D4E7F01" w14:textId="77777777" w:rsidR="001200FD" w:rsidRPr="00C47F2F" w:rsidRDefault="001200FD" w:rsidP="0096390F">
            <w:pPr>
              <w:pStyle w:val="Table"/>
              <w:rPr>
                <w:noProof/>
                <w:sz w:val="20"/>
                <w:szCs w:val="20"/>
              </w:rPr>
            </w:pPr>
            <w:r w:rsidRPr="00C47F2F">
              <w:rPr>
                <w:noProof/>
                <w:sz w:val="20"/>
                <w:szCs w:val="20"/>
              </w:rPr>
              <w:t>6.93E-02</w:t>
            </w:r>
          </w:p>
        </w:tc>
      </w:tr>
      <w:tr w:rsidR="001200FD" w:rsidRPr="00972C81" w14:paraId="6B5B8853" w14:textId="77777777" w:rsidTr="0096390F">
        <w:trPr>
          <w:trHeight w:val="340"/>
        </w:trPr>
        <w:tc>
          <w:tcPr>
            <w:tcW w:w="3119" w:type="dxa"/>
            <w:shd w:val="clear" w:color="auto" w:fill="auto"/>
            <w:noWrap/>
            <w:vAlign w:val="center"/>
          </w:tcPr>
          <w:p w14:paraId="574BAFDE" w14:textId="2543142C" w:rsidR="001200FD" w:rsidRPr="001200FD" w:rsidRDefault="001200FD" w:rsidP="0096390F">
            <w:pPr>
              <w:pStyle w:val="Table"/>
              <w:rPr>
                <w:noProof/>
                <w:sz w:val="20"/>
                <w:szCs w:val="22"/>
              </w:rPr>
            </w:pPr>
            <w:r w:rsidRPr="001200FD">
              <w:rPr>
                <w:noProof/>
                <w:sz w:val="20"/>
                <w:szCs w:val="22"/>
              </w:rPr>
              <w:t xml:space="preserve">Trab bone surf to Exch trab bone vol </w:t>
            </w:r>
          </w:p>
        </w:tc>
        <w:tc>
          <w:tcPr>
            <w:tcW w:w="984" w:type="dxa"/>
            <w:shd w:val="clear" w:color="auto" w:fill="auto"/>
            <w:noWrap/>
            <w:vAlign w:val="center"/>
          </w:tcPr>
          <w:p w14:paraId="0DA6BE87" w14:textId="77777777" w:rsidR="001200FD" w:rsidRPr="00C47F2F" w:rsidRDefault="001200FD" w:rsidP="0096390F">
            <w:pPr>
              <w:pStyle w:val="Table"/>
              <w:rPr>
                <w:noProof/>
                <w:sz w:val="20"/>
                <w:szCs w:val="20"/>
              </w:rPr>
            </w:pPr>
            <w:r w:rsidRPr="00C47F2F">
              <w:rPr>
                <w:noProof/>
                <w:sz w:val="20"/>
                <w:szCs w:val="20"/>
              </w:rPr>
              <w:t>6.93E-02</w:t>
            </w:r>
          </w:p>
        </w:tc>
        <w:tc>
          <w:tcPr>
            <w:tcW w:w="985" w:type="dxa"/>
            <w:shd w:val="clear" w:color="auto" w:fill="auto"/>
            <w:noWrap/>
            <w:vAlign w:val="center"/>
          </w:tcPr>
          <w:p w14:paraId="50E80394" w14:textId="77777777" w:rsidR="001200FD" w:rsidRPr="00C47F2F" w:rsidRDefault="001200FD" w:rsidP="0096390F">
            <w:pPr>
              <w:pStyle w:val="Table"/>
              <w:rPr>
                <w:noProof/>
                <w:sz w:val="20"/>
                <w:szCs w:val="20"/>
              </w:rPr>
            </w:pPr>
            <w:r w:rsidRPr="00C47F2F">
              <w:rPr>
                <w:noProof/>
                <w:sz w:val="20"/>
                <w:szCs w:val="20"/>
              </w:rPr>
              <w:t>6.93E-02</w:t>
            </w:r>
          </w:p>
        </w:tc>
        <w:tc>
          <w:tcPr>
            <w:tcW w:w="985" w:type="dxa"/>
            <w:shd w:val="clear" w:color="auto" w:fill="auto"/>
            <w:noWrap/>
            <w:vAlign w:val="center"/>
          </w:tcPr>
          <w:p w14:paraId="6FDE29FE" w14:textId="77777777" w:rsidR="001200FD" w:rsidRPr="00C47F2F" w:rsidRDefault="001200FD" w:rsidP="0096390F">
            <w:pPr>
              <w:pStyle w:val="Table"/>
              <w:rPr>
                <w:noProof/>
                <w:sz w:val="20"/>
                <w:szCs w:val="20"/>
              </w:rPr>
            </w:pPr>
            <w:r w:rsidRPr="00C47F2F">
              <w:rPr>
                <w:noProof/>
                <w:sz w:val="20"/>
                <w:szCs w:val="20"/>
              </w:rPr>
              <w:t>6.93E-02</w:t>
            </w:r>
          </w:p>
        </w:tc>
        <w:tc>
          <w:tcPr>
            <w:tcW w:w="984" w:type="dxa"/>
            <w:shd w:val="clear" w:color="auto" w:fill="auto"/>
            <w:noWrap/>
            <w:vAlign w:val="center"/>
          </w:tcPr>
          <w:p w14:paraId="38FDDE53" w14:textId="77777777" w:rsidR="001200FD" w:rsidRPr="00C47F2F" w:rsidRDefault="001200FD" w:rsidP="0096390F">
            <w:pPr>
              <w:pStyle w:val="Table"/>
              <w:rPr>
                <w:noProof/>
                <w:sz w:val="20"/>
                <w:szCs w:val="20"/>
              </w:rPr>
            </w:pPr>
            <w:r w:rsidRPr="00C47F2F">
              <w:rPr>
                <w:noProof/>
                <w:sz w:val="20"/>
                <w:szCs w:val="20"/>
              </w:rPr>
              <w:t>6.93E-02</w:t>
            </w:r>
          </w:p>
        </w:tc>
        <w:tc>
          <w:tcPr>
            <w:tcW w:w="985" w:type="dxa"/>
            <w:shd w:val="clear" w:color="auto" w:fill="auto"/>
            <w:noWrap/>
            <w:vAlign w:val="center"/>
          </w:tcPr>
          <w:p w14:paraId="7E46E2F3" w14:textId="77777777" w:rsidR="001200FD" w:rsidRPr="00C47F2F" w:rsidRDefault="001200FD" w:rsidP="0096390F">
            <w:pPr>
              <w:pStyle w:val="Table"/>
              <w:rPr>
                <w:noProof/>
                <w:sz w:val="20"/>
                <w:szCs w:val="20"/>
              </w:rPr>
            </w:pPr>
            <w:r w:rsidRPr="00C47F2F">
              <w:rPr>
                <w:noProof/>
                <w:sz w:val="20"/>
                <w:szCs w:val="20"/>
              </w:rPr>
              <w:t>6.93E-02</w:t>
            </w:r>
          </w:p>
        </w:tc>
        <w:tc>
          <w:tcPr>
            <w:tcW w:w="985" w:type="dxa"/>
            <w:shd w:val="clear" w:color="auto" w:fill="auto"/>
            <w:noWrap/>
            <w:vAlign w:val="center"/>
          </w:tcPr>
          <w:p w14:paraId="007D8B74" w14:textId="77777777" w:rsidR="001200FD" w:rsidRPr="00C47F2F" w:rsidRDefault="001200FD" w:rsidP="0096390F">
            <w:pPr>
              <w:pStyle w:val="Table"/>
              <w:rPr>
                <w:noProof/>
                <w:sz w:val="20"/>
                <w:szCs w:val="20"/>
              </w:rPr>
            </w:pPr>
            <w:r w:rsidRPr="00C47F2F">
              <w:rPr>
                <w:noProof/>
                <w:sz w:val="20"/>
                <w:szCs w:val="20"/>
              </w:rPr>
              <w:t>6.93E-02</w:t>
            </w:r>
          </w:p>
        </w:tc>
      </w:tr>
      <w:tr w:rsidR="001200FD" w:rsidRPr="00972C81" w14:paraId="73EEECBB" w14:textId="77777777" w:rsidTr="0096390F">
        <w:trPr>
          <w:trHeight w:val="340"/>
        </w:trPr>
        <w:tc>
          <w:tcPr>
            <w:tcW w:w="3119" w:type="dxa"/>
            <w:shd w:val="clear" w:color="auto" w:fill="auto"/>
            <w:noWrap/>
            <w:vAlign w:val="center"/>
          </w:tcPr>
          <w:p w14:paraId="3189D848" w14:textId="02D98639" w:rsidR="001200FD" w:rsidRPr="001200FD" w:rsidRDefault="001200FD" w:rsidP="0096390F">
            <w:pPr>
              <w:pStyle w:val="Table"/>
              <w:rPr>
                <w:noProof/>
                <w:sz w:val="20"/>
                <w:szCs w:val="22"/>
              </w:rPr>
            </w:pPr>
            <w:r w:rsidRPr="001200FD">
              <w:rPr>
                <w:noProof/>
                <w:sz w:val="20"/>
                <w:szCs w:val="22"/>
              </w:rPr>
              <w:t>Cort bone surf to Plasma</w:t>
            </w:r>
          </w:p>
        </w:tc>
        <w:tc>
          <w:tcPr>
            <w:tcW w:w="984" w:type="dxa"/>
            <w:shd w:val="clear" w:color="auto" w:fill="auto"/>
            <w:noWrap/>
            <w:vAlign w:val="center"/>
          </w:tcPr>
          <w:p w14:paraId="103B1867" w14:textId="77777777" w:rsidR="001200FD" w:rsidRPr="00C47F2F" w:rsidRDefault="001200FD" w:rsidP="0096390F">
            <w:pPr>
              <w:pStyle w:val="Table"/>
              <w:rPr>
                <w:noProof/>
                <w:sz w:val="20"/>
                <w:szCs w:val="20"/>
              </w:rPr>
            </w:pPr>
            <w:r w:rsidRPr="00C47F2F">
              <w:rPr>
                <w:noProof/>
                <w:sz w:val="20"/>
                <w:szCs w:val="20"/>
              </w:rPr>
              <w:t>6.93E-02</w:t>
            </w:r>
          </w:p>
        </w:tc>
        <w:tc>
          <w:tcPr>
            <w:tcW w:w="985" w:type="dxa"/>
            <w:shd w:val="clear" w:color="auto" w:fill="auto"/>
            <w:noWrap/>
            <w:vAlign w:val="center"/>
          </w:tcPr>
          <w:p w14:paraId="4623DD84" w14:textId="77777777" w:rsidR="001200FD" w:rsidRPr="00C47F2F" w:rsidRDefault="001200FD" w:rsidP="0096390F">
            <w:pPr>
              <w:pStyle w:val="Table"/>
              <w:rPr>
                <w:noProof/>
                <w:sz w:val="20"/>
                <w:szCs w:val="20"/>
              </w:rPr>
            </w:pPr>
            <w:r w:rsidRPr="00C47F2F">
              <w:rPr>
                <w:noProof/>
                <w:sz w:val="20"/>
                <w:szCs w:val="20"/>
              </w:rPr>
              <w:t>6.93E-02</w:t>
            </w:r>
          </w:p>
        </w:tc>
        <w:tc>
          <w:tcPr>
            <w:tcW w:w="985" w:type="dxa"/>
            <w:shd w:val="clear" w:color="auto" w:fill="auto"/>
            <w:noWrap/>
            <w:vAlign w:val="center"/>
          </w:tcPr>
          <w:p w14:paraId="68F5F056" w14:textId="77777777" w:rsidR="001200FD" w:rsidRPr="00C47F2F" w:rsidRDefault="001200FD" w:rsidP="0096390F">
            <w:pPr>
              <w:pStyle w:val="Table"/>
              <w:rPr>
                <w:noProof/>
                <w:sz w:val="20"/>
                <w:szCs w:val="20"/>
              </w:rPr>
            </w:pPr>
            <w:r w:rsidRPr="00C47F2F">
              <w:rPr>
                <w:noProof/>
                <w:sz w:val="20"/>
                <w:szCs w:val="20"/>
              </w:rPr>
              <w:t>6.93E-02</w:t>
            </w:r>
          </w:p>
        </w:tc>
        <w:tc>
          <w:tcPr>
            <w:tcW w:w="984" w:type="dxa"/>
            <w:shd w:val="clear" w:color="auto" w:fill="auto"/>
            <w:noWrap/>
            <w:vAlign w:val="center"/>
          </w:tcPr>
          <w:p w14:paraId="3E11F5D9" w14:textId="77777777" w:rsidR="001200FD" w:rsidRPr="00C47F2F" w:rsidRDefault="001200FD" w:rsidP="0096390F">
            <w:pPr>
              <w:pStyle w:val="Table"/>
              <w:rPr>
                <w:noProof/>
                <w:sz w:val="20"/>
                <w:szCs w:val="20"/>
              </w:rPr>
            </w:pPr>
            <w:r w:rsidRPr="00C47F2F">
              <w:rPr>
                <w:noProof/>
                <w:sz w:val="20"/>
                <w:szCs w:val="20"/>
              </w:rPr>
              <w:t>6.93E-02</w:t>
            </w:r>
          </w:p>
        </w:tc>
        <w:tc>
          <w:tcPr>
            <w:tcW w:w="985" w:type="dxa"/>
            <w:shd w:val="clear" w:color="auto" w:fill="auto"/>
            <w:noWrap/>
            <w:vAlign w:val="center"/>
          </w:tcPr>
          <w:p w14:paraId="5211612B" w14:textId="77777777" w:rsidR="001200FD" w:rsidRPr="00C47F2F" w:rsidRDefault="001200FD" w:rsidP="0096390F">
            <w:pPr>
              <w:pStyle w:val="Table"/>
              <w:rPr>
                <w:noProof/>
                <w:sz w:val="20"/>
                <w:szCs w:val="20"/>
              </w:rPr>
            </w:pPr>
            <w:r w:rsidRPr="00C47F2F">
              <w:rPr>
                <w:noProof/>
                <w:sz w:val="20"/>
                <w:szCs w:val="20"/>
              </w:rPr>
              <w:t>6.93E-02</w:t>
            </w:r>
          </w:p>
        </w:tc>
        <w:tc>
          <w:tcPr>
            <w:tcW w:w="985" w:type="dxa"/>
            <w:shd w:val="clear" w:color="auto" w:fill="auto"/>
            <w:noWrap/>
            <w:vAlign w:val="center"/>
          </w:tcPr>
          <w:p w14:paraId="7FC99891" w14:textId="77777777" w:rsidR="001200FD" w:rsidRPr="00C47F2F" w:rsidRDefault="001200FD" w:rsidP="0096390F">
            <w:pPr>
              <w:pStyle w:val="Table"/>
              <w:rPr>
                <w:noProof/>
                <w:sz w:val="20"/>
                <w:szCs w:val="20"/>
              </w:rPr>
            </w:pPr>
            <w:r w:rsidRPr="00C47F2F">
              <w:rPr>
                <w:noProof/>
                <w:sz w:val="20"/>
                <w:szCs w:val="20"/>
              </w:rPr>
              <w:t>6.93E-02</w:t>
            </w:r>
          </w:p>
        </w:tc>
      </w:tr>
      <w:tr w:rsidR="001200FD" w:rsidRPr="00972C81" w14:paraId="1BDB2D96" w14:textId="77777777" w:rsidTr="0096390F">
        <w:trPr>
          <w:trHeight w:val="340"/>
        </w:trPr>
        <w:tc>
          <w:tcPr>
            <w:tcW w:w="3119" w:type="dxa"/>
            <w:shd w:val="clear" w:color="auto" w:fill="auto"/>
            <w:noWrap/>
            <w:vAlign w:val="center"/>
          </w:tcPr>
          <w:p w14:paraId="2FFCBE17" w14:textId="67477DCA" w:rsidR="001200FD" w:rsidRPr="001200FD" w:rsidRDefault="001200FD" w:rsidP="0096390F">
            <w:pPr>
              <w:pStyle w:val="Table"/>
              <w:rPr>
                <w:noProof/>
                <w:sz w:val="20"/>
                <w:szCs w:val="22"/>
              </w:rPr>
            </w:pPr>
            <w:r w:rsidRPr="001200FD">
              <w:rPr>
                <w:noProof/>
                <w:sz w:val="20"/>
                <w:szCs w:val="22"/>
              </w:rPr>
              <w:t>Cort bone surf to Exch cort vol</w:t>
            </w:r>
          </w:p>
        </w:tc>
        <w:tc>
          <w:tcPr>
            <w:tcW w:w="984" w:type="dxa"/>
            <w:shd w:val="clear" w:color="auto" w:fill="auto"/>
            <w:noWrap/>
            <w:vAlign w:val="center"/>
          </w:tcPr>
          <w:p w14:paraId="0E155173" w14:textId="77777777" w:rsidR="001200FD" w:rsidRPr="00C47F2F" w:rsidRDefault="001200FD" w:rsidP="0096390F">
            <w:pPr>
              <w:pStyle w:val="Table"/>
              <w:rPr>
                <w:noProof/>
                <w:sz w:val="20"/>
                <w:szCs w:val="20"/>
              </w:rPr>
            </w:pPr>
            <w:r w:rsidRPr="00C47F2F">
              <w:rPr>
                <w:noProof/>
                <w:sz w:val="20"/>
                <w:szCs w:val="20"/>
              </w:rPr>
              <w:t>6.93E-02</w:t>
            </w:r>
          </w:p>
        </w:tc>
        <w:tc>
          <w:tcPr>
            <w:tcW w:w="985" w:type="dxa"/>
            <w:shd w:val="clear" w:color="auto" w:fill="auto"/>
            <w:noWrap/>
            <w:vAlign w:val="center"/>
          </w:tcPr>
          <w:p w14:paraId="62E25B21" w14:textId="77777777" w:rsidR="001200FD" w:rsidRPr="00C47F2F" w:rsidRDefault="001200FD" w:rsidP="0096390F">
            <w:pPr>
              <w:pStyle w:val="Table"/>
              <w:rPr>
                <w:noProof/>
                <w:sz w:val="20"/>
                <w:szCs w:val="20"/>
              </w:rPr>
            </w:pPr>
            <w:r w:rsidRPr="00C47F2F">
              <w:rPr>
                <w:noProof/>
                <w:sz w:val="20"/>
                <w:szCs w:val="20"/>
              </w:rPr>
              <w:t>6.93E-02</w:t>
            </w:r>
          </w:p>
        </w:tc>
        <w:tc>
          <w:tcPr>
            <w:tcW w:w="985" w:type="dxa"/>
            <w:shd w:val="clear" w:color="auto" w:fill="auto"/>
            <w:noWrap/>
            <w:vAlign w:val="center"/>
          </w:tcPr>
          <w:p w14:paraId="20CEDD3A" w14:textId="77777777" w:rsidR="001200FD" w:rsidRPr="00C47F2F" w:rsidRDefault="001200FD" w:rsidP="0096390F">
            <w:pPr>
              <w:pStyle w:val="Table"/>
              <w:rPr>
                <w:noProof/>
                <w:sz w:val="20"/>
                <w:szCs w:val="20"/>
              </w:rPr>
            </w:pPr>
            <w:r w:rsidRPr="00C47F2F">
              <w:rPr>
                <w:noProof/>
                <w:sz w:val="20"/>
                <w:szCs w:val="20"/>
              </w:rPr>
              <w:t>6.93E-02</w:t>
            </w:r>
          </w:p>
        </w:tc>
        <w:tc>
          <w:tcPr>
            <w:tcW w:w="984" w:type="dxa"/>
            <w:shd w:val="clear" w:color="auto" w:fill="auto"/>
            <w:noWrap/>
            <w:vAlign w:val="center"/>
          </w:tcPr>
          <w:p w14:paraId="3B09C48D" w14:textId="77777777" w:rsidR="001200FD" w:rsidRPr="00C47F2F" w:rsidRDefault="001200FD" w:rsidP="0096390F">
            <w:pPr>
              <w:pStyle w:val="Table"/>
              <w:rPr>
                <w:noProof/>
                <w:sz w:val="20"/>
                <w:szCs w:val="20"/>
              </w:rPr>
            </w:pPr>
            <w:r w:rsidRPr="00C47F2F">
              <w:rPr>
                <w:noProof/>
                <w:sz w:val="20"/>
                <w:szCs w:val="20"/>
              </w:rPr>
              <w:t>6.93E-02</w:t>
            </w:r>
          </w:p>
        </w:tc>
        <w:tc>
          <w:tcPr>
            <w:tcW w:w="985" w:type="dxa"/>
            <w:shd w:val="clear" w:color="auto" w:fill="auto"/>
            <w:noWrap/>
            <w:vAlign w:val="center"/>
          </w:tcPr>
          <w:p w14:paraId="00C61DD5" w14:textId="77777777" w:rsidR="001200FD" w:rsidRPr="00C47F2F" w:rsidRDefault="001200FD" w:rsidP="0096390F">
            <w:pPr>
              <w:pStyle w:val="Table"/>
              <w:rPr>
                <w:noProof/>
                <w:sz w:val="20"/>
                <w:szCs w:val="20"/>
              </w:rPr>
            </w:pPr>
            <w:r w:rsidRPr="00C47F2F">
              <w:rPr>
                <w:noProof/>
                <w:sz w:val="20"/>
                <w:szCs w:val="20"/>
              </w:rPr>
              <w:t>6.93E-02</w:t>
            </w:r>
          </w:p>
        </w:tc>
        <w:tc>
          <w:tcPr>
            <w:tcW w:w="985" w:type="dxa"/>
            <w:shd w:val="clear" w:color="auto" w:fill="auto"/>
            <w:noWrap/>
            <w:vAlign w:val="center"/>
          </w:tcPr>
          <w:p w14:paraId="4B73283B" w14:textId="77777777" w:rsidR="001200FD" w:rsidRPr="00C47F2F" w:rsidRDefault="001200FD" w:rsidP="0096390F">
            <w:pPr>
              <w:pStyle w:val="Table"/>
              <w:rPr>
                <w:noProof/>
                <w:sz w:val="20"/>
                <w:szCs w:val="20"/>
              </w:rPr>
            </w:pPr>
            <w:r w:rsidRPr="00C47F2F">
              <w:rPr>
                <w:noProof/>
                <w:sz w:val="20"/>
                <w:szCs w:val="20"/>
              </w:rPr>
              <w:t>6.93E-02</w:t>
            </w:r>
          </w:p>
        </w:tc>
      </w:tr>
      <w:tr w:rsidR="001200FD" w:rsidRPr="00972C81" w14:paraId="58F60197" w14:textId="77777777" w:rsidTr="0096390F">
        <w:trPr>
          <w:trHeight w:val="340"/>
        </w:trPr>
        <w:tc>
          <w:tcPr>
            <w:tcW w:w="3119" w:type="dxa"/>
            <w:shd w:val="clear" w:color="auto" w:fill="auto"/>
            <w:noWrap/>
            <w:vAlign w:val="center"/>
          </w:tcPr>
          <w:p w14:paraId="4270A3BE" w14:textId="063BD0E9" w:rsidR="001200FD" w:rsidRPr="001200FD" w:rsidRDefault="001200FD" w:rsidP="0096390F">
            <w:pPr>
              <w:pStyle w:val="Table"/>
              <w:rPr>
                <w:noProof/>
                <w:sz w:val="20"/>
                <w:szCs w:val="22"/>
              </w:rPr>
            </w:pPr>
            <w:r w:rsidRPr="001200FD">
              <w:rPr>
                <w:noProof/>
                <w:sz w:val="20"/>
                <w:szCs w:val="22"/>
              </w:rPr>
              <w:t>Liver 2 to Plasma</w:t>
            </w:r>
          </w:p>
        </w:tc>
        <w:tc>
          <w:tcPr>
            <w:tcW w:w="984" w:type="dxa"/>
            <w:shd w:val="clear" w:color="auto" w:fill="auto"/>
            <w:noWrap/>
            <w:vAlign w:val="center"/>
          </w:tcPr>
          <w:p w14:paraId="7646781A" w14:textId="77777777" w:rsidR="001200FD" w:rsidRPr="00C47F2F" w:rsidRDefault="001200FD" w:rsidP="0096390F">
            <w:pPr>
              <w:pStyle w:val="Table"/>
              <w:rPr>
                <w:noProof/>
                <w:sz w:val="20"/>
                <w:szCs w:val="20"/>
              </w:rPr>
            </w:pPr>
            <w:r w:rsidRPr="00C47F2F">
              <w:rPr>
                <w:noProof/>
                <w:sz w:val="20"/>
                <w:szCs w:val="20"/>
              </w:rPr>
              <w:t>1.90E-04</w:t>
            </w:r>
          </w:p>
        </w:tc>
        <w:tc>
          <w:tcPr>
            <w:tcW w:w="985" w:type="dxa"/>
            <w:shd w:val="clear" w:color="auto" w:fill="auto"/>
            <w:noWrap/>
            <w:vAlign w:val="center"/>
          </w:tcPr>
          <w:p w14:paraId="087A739C" w14:textId="77777777" w:rsidR="001200FD" w:rsidRPr="00C47F2F" w:rsidRDefault="001200FD" w:rsidP="0096390F">
            <w:pPr>
              <w:pStyle w:val="Table"/>
              <w:rPr>
                <w:noProof/>
                <w:sz w:val="20"/>
                <w:szCs w:val="20"/>
              </w:rPr>
            </w:pPr>
            <w:r w:rsidRPr="00C47F2F">
              <w:rPr>
                <w:noProof/>
                <w:sz w:val="20"/>
                <w:szCs w:val="20"/>
              </w:rPr>
              <w:t>1.90E-04</w:t>
            </w:r>
          </w:p>
        </w:tc>
        <w:tc>
          <w:tcPr>
            <w:tcW w:w="985" w:type="dxa"/>
            <w:shd w:val="clear" w:color="auto" w:fill="auto"/>
            <w:noWrap/>
            <w:vAlign w:val="center"/>
          </w:tcPr>
          <w:p w14:paraId="5CB1EC61" w14:textId="77777777" w:rsidR="001200FD" w:rsidRPr="00C47F2F" w:rsidRDefault="001200FD" w:rsidP="0096390F">
            <w:pPr>
              <w:pStyle w:val="Table"/>
              <w:rPr>
                <w:noProof/>
                <w:sz w:val="20"/>
                <w:szCs w:val="20"/>
              </w:rPr>
            </w:pPr>
            <w:r w:rsidRPr="00C47F2F">
              <w:rPr>
                <w:noProof/>
                <w:sz w:val="20"/>
                <w:szCs w:val="20"/>
              </w:rPr>
              <w:t>1.90E-04</w:t>
            </w:r>
          </w:p>
        </w:tc>
        <w:tc>
          <w:tcPr>
            <w:tcW w:w="984" w:type="dxa"/>
            <w:shd w:val="clear" w:color="auto" w:fill="auto"/>
            <w:noWrap/>
            <w:vAlign w:val="center"/>
          </w:tcPr>
          <w:p w14:paraId="30C634BC" w14:textId="77777777" w:rsidR="001200FD" w:rsidRPr="00C47F2F" w:rsidRDefault="001200FD" w:rsidP="0096390F">
            <w:pPr>
              <w:pStyle w:val="Table"/>
              <w:rPr>
                <w:noProof/>
                <w:sz w:val="20"/>
                <w:szCs w:val="20"/>
              </w:rPr>
            </w:pPr>
            <w:r w:rsidRPr="00C47F2F">
              <w:rPr>
                <w:noProof/>
                <w:sz w:val="20"/>
                <w:szCs w:val="20"/>
              </w:rPr>
              <w:t>1.90E-04</w:t>
            </w:r>
          </w:p>
        </w:tc>
        <w:tc>
          <w:tcPr>
            <w:tcW w:w="985" w:type="dxa"/>
            <w:shd w:val="clear" w:color="auto" w:fill="auto"/>
            <w:noWrap/>
            <w:vAlign w:val="center"/>
          </w:tcPr>
          <w:p w14:paraId="3EE1CE90" w14:textId="77777777" w:rsidR="001200FD" w:rsidRPr="00C47F2F" w:rsidRDefault="001200FD" w:rsidP="0096390F">
            <w:pPr>
              <w:pStyle w:val="Table"/>
              <w:rPr>
                <w:noProof/>
                <w:sz w:val="20"/>
                <w:szCs w:val="20"/>
              </w:rPr>
            </w:pPr>
            <w:r w:rsidRPr="00C47F2F">
              <w:rPr>
                <w:noProof/>
                <w:sz w:val="20"/>
                <w:szCs w:val="20"/>
              </w:rPr>
              <w:t>1.90E-04</w:t>
            </w:r>
          </w:p>
        </w:tc>
        <w:tc>
          <w:tcPr>
            <w:tcW w:w="985" w:type="dxa"/>
            <w:shd w:val="clear" w:color="auto" w:fill="auto"/>
            <w:noWrap/>
            <w:vAlign w:val="center"/>
          </w:tcPr>
          <w:p w14:paraId="77BE41FA" w14:textId="77777777" w:rsidR="001200FD" w:rsidRPr="00C47F2F" w:rsidRDefault="001200FD" w:rsidP="0096390F">
            <w:pPr>
              <w:pStyle w:val="Table"/>
              <w:rPr>
                <w:noProof/>
                <w:sz w:val="20"/>
                <w:szCs w:val="20"/>
              </w:rPr>
            </w:pPr>
            <w:r w:rsidRPr="00C47F2F">
              <w:rPr>
                <w:noProof/>
                <w:sz w:val="20"/>
                <w:szCs w:val="20"/>
              </w:rPr>
              <w:t>1.90E-04</w:t>
            </w:r>
          </w:p>
        </w:tc>
      </w:tr>
      <w:tr w:rsidR="001200FD" w:rsidRPr="00972C81" w14:paraId="1A341E3A" w14:textId="77777777" w:rsidTr="0096390F">
        <w:trPr>
          <w:trHeight w:val="340"/>
        </w:trPr>
        <w:tc>
          <w:tcPr>
            <w:tcW w:w="3119" w:type="dxa"/>
            <w:shd w:val="clear" w:color="auto" w:fill="auto"/>
            <w:noWrap/>
            <w:vAlign w:val="center"/>
          </w:tcPr>
          <w:p w14:paraId="70A7DBBD" w14:textId="4BB11D6A" w:rsidR="001200FD" w:rsidRPr="001200FD" w:rsidRDefault="001200FD" w:rsidP="0096390F">
            <w:pPr>
              <w:pStyle w:val="Table"/>
              <w:rPr>
                <w:noProof/>
                <w:sz w:val="20"/>
                <w:szCs w:val="22"/>
              </w:rPr>
            </w:pPr>
            <w:r w:rsidRPr="001200FD">
              <w:rPr>
                <w:noProof/>
                <w:sz w:val="20"/>
                <w:szCs w:val="22"/>
              </w:rPr>
              <w:t>Nonexch trab vol to Plasma</w:t>
            </w:r>
          </w:p>
        </w:tc>
        <w:tc>
          <w:tcPr>
            <w:tcW w:w="984" w:type="dxa"/>
            <w:shd w:val="clear" w:color="auto" w:fill="auto"/>
            <w:noWrap/>
            <w:vAlign w:val="center"/>
          </w:tcPr>
          <w:p w14:paraId="72A5D259" w14:textId="77777777" w:rsidR="001200FD" w:rsidRPr="00C47F2F" w:rsidRDefault="001200FD" w:rsidP="0096390F">
            <w:pPr>
              <w:pStyle w:val="Table"/>
              <w:rPr>
                <w:noProof/>
                <w:sz w:val="20"/>
                <w:szCs w:val="20"/>
              </w:rPr>
            </w:pPr>
            <w:r w:rsidRPr="00C47F2F">
              <w:rPr>
                <w:noProof/>
                <w:sz w:val="20"/>
                <w:szCs w:val="20"/>
              </w:rPr>
              <w:t>8.22E-03</w:t>
            </w:r>
          </w:p>
        </w:tc>
        <w:tc>
          <w:tcPr>
            <w:tcW w:w="985" w:type="dxa"/>
            <w:shd w:val="clear" w:color="auto" w:fill="auto"/>
            <w:noWrap/>
            <w:vAlign w:val="center"/>
          </w:tcPr>
          <w:p w14:paraId="5E83A7BA" w14:textId="77777777" w:rsidR="001200FD" w:rsidRPr="00C47F2F" w:rsidRDefault="001200FD" w:rsidP="0096390F">
            <w:pPr>
              <w:pStyle w:val="Table"/>
              <w:rPr>
                <w:noProof/>
                <w:sz w:val="20"/>
                <w:szCs w:val="20"/>
              </w:rPr>
            </w:pPr>
            <w:r w:rsidRPr="00C47F2F">
              <w:rPr>
                <w:noProof/>
                <w:sz w:val="20"/>
                <w:szCs w:val="20"/>
              </w:rPr>
              <w:t>2.88E-03</w:t>
            </w:r>
          </w:p>
        </w:tc>
        <w:tc>
          <w:tcPr>
            <w:tcW w:w="985" w:type="dxa"/>
            <w:shd w:val="clear" w:color="auto" w:fill="auto"/>
            <w:noWrap/>
            <w:vAlign w:val="center"/>
          </w:tcPr>
          <w:p w14:paraId="7BC66D19" w14:textId="77777777" w:rsidR="001200FD" w:rsidRPr="00C47F2F" w:rsidRDefault="001200FD" w:rsidP="0096390F">
            <w:pPr>
              <w:pStyle w:val="Table"/>
              <w:rPr>
                <w:noProof/>
                <w:sz w:val="20"/>
                <w:szCs w:val="20"/>
              </w:rPr>
            </w:pPr>
            <w:r w:rsidRPr="00C47F2F">
              <w:rPr>
                <w:noProof/>
                <w:sz w:val="20"/>
                <w:szCs w:val="20"/>
              </w:rPr>
              <w:t>1.81E-03</w:t>
            </w:r>
          </w:p>
        </w:tc>
        <w:tc>
          <w:tcPr>
            <w:tcW w:w="984" w:type="dxa"/>
            <w:shd w:val="clear" w:color="auto" w:fill="auto"/>
            <w:noWrap/>
            <w:vAlign w:val="center"/>
          </w:tcPr>
          <w:p w14:paraId="065452D2" w14:textId="77777777" w:rsidR="001200FD" w:rsidRPr="00C47F2F" w:rsidRDefault="001200FD" w:rsidP="0096390F">
            <w:pPr>
              <w:pStyle w:val="Table"/>
              <w:rPr>
                <w:noProof/>
                <w:sz w:val="20"/>
                <w:szCs w:val="20"/>
              </w:rPr>
            </w:pPr>
            <w:r w:rsidRPr="00C47F2F">
              <w:rPr>
                <w:noProof/>
                <w:sz w:val="20"/>
                <w:szCs w:val="20"/>
              </w:rPr>
              <w:t>1.32E-03</w:t>
            </w:r>
          </w:p>
        </w:tc>
        <w:tc>
          <w:tcPr>
            <w:tcW w:w="985" w:type="dxa"/>
            <w:shd w:val="clear" w:color="auto" w:fill="auto"/>
            <w:noWrap/>
            <w:vAlign w:val="center"/>
          </w:tcPr>
          <w:p w14:paraId="6BF9E3A1" w14:textId="77777777" w:rsidR="001200FD" w:rsidRPr="00C47F2F" w:rsidRDefault="001200FD" w:rsidP="0096390F">
            <w:pPr>
              <w:pStyle w:val="Table"/>
              <w:rPr>
                <w:noProof/>
                <w:sz w:val="20"/>
                <w:szCs w:val="20"/>
              </w:rPr>
            </w:pPr>
            <w:r w:rsidRPr="00C47F2F">
              <w:rPr>
                <w:noProof/>
                <w:sz w:val="20"/>
                <w:szCs w:val="20"/>
              </w:rPr>
              <w:t>9.59E-04</w:t>
            </w:r>
          </w:p>
        </w:tc>
        <w:tc>
          <w:tcPr>
            <w:tcW w:w="985" w:type="dxa"/>
            <w:shd w:val="clear" w:color="auto" w:fill="auto"/>
            <w:noWrap/>
            <w:vAlign w:val="center"/>
          </w:tcPr>
          <w:p w14:paraId="6C9E912B" w14:textId="77777777" w:rsidR="001200FD" w:rsidRPr="00C47F2F" w:rsidRDefault="001200FD" w:rsidP="0096390F">
            <w:pPr>
              <w:pStyle w:val="Table"/>
              <w:rPr>
                <w:noProof/>
                <w:sz w:val="20"/>
                <w:szCs w:val="20"/>
              </w:rPr>
            </w:pPr>
            <w:r w:rsidRPr="00C47F2F">
              <w:rPr>
                <w:noProof/>
                <w:sz w:val="20"/>
                <w:szCs w:val="20"/>
              </w:rPr>
              <w:t>4.93E-04</w:t>
            </w:r>
          </w:p>
        </w:tc>
      </w:tr>
      <w:tr w:rsidR="001200FD" w:rsidRPr="00972C81" w14:paraId="2F57ADAA" w14:textId="77777777" w:rsidTr="0096390F">
        <w:trPr>
          <w:trHeight w:val="340"/>
        </w:trPr>
        <w:tc>
          <w:tcPr>
            <w:tcW w:w="3119" w:type="dxa"/>
            <w:shd w:val="clear" w:color="auto" w:fill="auto"/>
            <w:noWrap/>
            <w:vAlign w:val="center"/>
          </w:tcPr>
          <w:p w14:paraId="5C78576F" w14:textId="0C7AF28B" w:rsidR="001200FD" w:rsidRPr="001200FD" w:rsidRDefault="001200FD" w:rsidP="0096390F">
            <w:pPr>
              <w:pStyle w:val="Table"/>
              <w:rPr>
                <w:noProof/>
                <w:sz w:val="20"/>
                <w:szCs w:val="22"/>
              </w:rPr>
            </w:pPr>
            <w:r w:rsidRPr="001200FD">
              <w:rPr>
                <w:noProof/>
                <w:sz w:val="20"/>
                <w:szCs w:val="22"/>
              </w:rPr>
              <w:t>Nonexch cort vol to Plasma</w:t>
            </w:r>
          </w:p>
        </w:tc>
        <w:tc>
          <w:tcPr>
            <w:tcW w:w="984" w:type="dxa"/>
            <w:shd w:val="clear" w:color="auto" w:fill="auto"/>
            <w:noWrap/>
            <w:vAlign w:val="center"/>
          </w:tcPr>
          <w:p w14:paraId="0FBF184A" w14:textId="77777777" w:rsidR="001200FD" w:rsidRPr="00C47F2F" w:rsidRDefault="001200FD" w:rsidP="0096390F">
            <w:pPr>
              <w:pStyle w:val="Table"/>
              <w:rPr>
                <w:noProof/>
                <w:sz w:val="20"/>
                <w:szCs w:val="20"/>
              </w:rPr>
            </w:pPr>
            <w:r w:rsidRPr="00C47F2F">
              <w:rPr>
                <w:noProof/>
                <w:sz w:val="20"/>
                <w:szCs w:val="20"/>
              </w:rPr>
              <w:t>8.22E-03</w:t>
            </w:r>
          </w:p>
        </w:tc>
        <w:tc>
          <w:tcPr>
            <w:tcW w:w="985" w:type="dxa"/>
            <w:shd w:val="clear" w:color="auto" w:fill="auto"/>
            <w:noWrap/>
            <w:vAlign w:val="center"/>
          </w:tcPr>
          <w:p w14:paraId="311395FE" w14:textId="77777777" w:rsidR="001200FD" w:rsidRPr="00C47F2F" w:rsidRDefault="001200FD" w:rsidP="0096390F">
            <w:pPr>
              <w:pStyle w:val="Table"/>
              <w:rPr>
                <w:noProof/>
                <w:sz w:val="20"/>
                <w:szCs w:val="20"/>
              </w:rPr>
            </w:pPr>
            <w:r w:rsidRPr="00C47F2F">
              <w:rPr>
                <w:noProof/>
                <w:sz w:val="20"/>
                <w:szCs w:val="20"/>
              </w:rPr>
              <w:t>2.88E-03</w:t>
            </w:r>
          </w:p>
        </w:tc>
        <w:tc>
          <w:tcPr>
            <w:tcW w:w="985" w:type="dxa"/>
            <w:shd w:val="clear" w:color="auto" w:fill="auto"/>
            <w:noWrap/>
            <w:vAlign w:val="center"/>
          </w:tcPr>
          <w:p w14:paraId="576DF336" w14:textId="77777777" w:rsidR="001200FD" w:rsidRPr="00C47F2F" w:rsidRDefault="001200FD" w:rsidP="0096390F">
            <w:pPr>
              <w:pStyle w:val="Table"/>
              <w:rPr>
                <w:noProof/>
                <w:sz w:val="20"/>
                <w:szCs w:val="20"/>
              </w:rPr>
            </w:pPr>
            <w:r w:rsidRPr="00C47F2F">
              <w:rPr>
                <w:noProof/>
                <w:sz w:val="20"/>
                <w:szCs w:val="20"/>
              </w:rPr>
              <w:t>1.53E-03</w:t>
            </w:r>
          </w:p>
        </w:tc>
        <w:tc>
          <w:tcPr>
            <w:tcW w:w="984" w:type="dxa"/>
            <w:shd w:val="clear" w:color="auto" w:fill="auto"/>
            <w:noWrap/>
            <w:vAlign w:val="center"/>
          </w:tcPr>
          <w:p w14:paraId="30183277" w14:textId="77777777" w:rsidR="001200FD" w:rsidRPr="00C47F2F" w:rsidRDefault="001200FD" w:rsidP="0096390F">
            <w:pPr>
              <w:pStyle w:val="Table"/>
              <w:rPr>
                <w:noProof/>
                <w:sz w:val="20"/>
                <w:szCs w:val="20"/>
              </w:rPr>
            </w:pPr>
            <w:r w:rsidRPr="00C47F2F">
              <w:rPr>
                <w:noProof/>
                <w:sz w:val="20"/>
                <w:szCs w:val="20"/>
              </w:rPr>
              <w:t>9.04E-04</w:t>
            </w:r>
          </w:p>
        </w:tc>
        <w:tc>
          <w:tcPr>
            <w:tcW w:w="985" w:type="dxa"/>
            <w:shd w:val="clear" w:color="auto" w:fill="auto"/>
            <w:noWrap/>
            <w:vAlign w:val="center"/>
          </w:tcPr>
          <w:p w14:paraId="2B54BC86" w14:textId="77777777" w:rsidR="001200FD" w:rsidRPr="00C47F2F" w:rsidRDefault="001200FD" w:rsidP="0096390F">
            <w:pPr>
              <w:pStyle w:val="Table"/>
              <w:rPr>
                <w:noProof/>
                <w:sz w:val="20"/>
                <w:szCs w:val="20"/>
              </w:rPr>
            </w:pPr>
            <w:r w:rsidRPr="00C47F2F">
              <w:rPr>
                <w:noProof/>
                <w:sz w:val="20"/>
                <w:szCs w:val="20"/>
              </w:rPr>
              <w:t>5.21E-04</w:t>
            </w:r>
          </w:p>
        </w:tc>
        <w:tc>
          <w:tcPr>
            <w:tcW w:w="985" w:type="dxa"/>
            <w:shd w:val="clear" w:color="auto" w:fill="auto"/>
            <w:noWrap/>
            <w:vAlign w:val="center"/>
          </w:tcPr>
          <w:p w14:paraId="6CD12A7B" w14:textId="77777777" w:rsidR="001200FD" w:rsidRPr="00C47F2F" w:rsidRDefault="001200FD" w:rsidP="0096390F">
            <w:pPr>
              <w:pStyle w:val="Table"/>
              <w:rPr>
                <w:noProof/>
                <w:sz w:val="20"/>
                <w:szCs w:val="20"/>
              </w:rPr>
            </w:pPr>
            <w:r w:rsidRPr="00C47F2F">
              <w:rPr>
                <w:noProof/>
                <w:sz w:val="20"/>
                <w:szCs w:val="20"/>
              </w:rPr>
              <w:t>8.21E-05</w:t>
            </w:r>
          </w:p>
        </w:tc>
      </w:tr>
      <w:tr w:rsidR="001200FD" w:rsidRPr="00972C81" w14:paraId="15C0F1E2" w14:textId="77777777" w:rsidTr="0096390F">
        <w:trPr>
          <w:trHeight w:val="340"/>
        </w:trPr>
        <w:tc>
          <w:tcPr>
            <w:tcW w:w="3119" w:type="dxa"/>
            <w:shd w:val="clear" w:color="auto" w:fill="auto"/>
            <w:noWrap/>
            <w:vAlign w:val="center"/>
          </w:tcPr>
          <w:p w14:paraId="51AE2BB2" w14:textId="0D68C87B" w:rsidR="001200FD" w:rsidRPr="001200FD" w:rsidRDefault="001200FD" w:rsidP="0096390F">
            <w:pPr>
              <w:pStyle w:val="Table"/>
              <w:rPr>
                <w:noProof/>
                <w:sz w:val="20"/>
                <w:szCs w:val="22"/>
              </w:rPr>
            </w:pPr>
            <w:r w:rsidRPr="001200FD">
              <w:rPr>
                <w:noProof/>
                <w:sz w:val="20"/>
                <w:szCs w:val="22"/>
              </w:rPr>
              <w:t>Exch trab vol to Trab bone surf</w:t>
            </w:r>
          </w:p>
        </w:tc>
        <w:tc>
          <w:tcPr>
            <w:tcW w:w="984" w:type="dxa"/>
            <w:shd w:val="clear" w:color="auto" w:fill="auto"/>
            <w:noWrap/>
            <w:vAlign w:val="center"/>
          </w:tcPr>
          <w:p w14:paraId="21CF3CCF" w14:textId="77777777" w:rsidR="001200FD" w:rsidRPr="00C47F2F" w:rsidRDefault="001200FD" w:rsidP="0096390F">
            <w:pPr>
              <w:pStyle w:val="Table"/>
              <w:rPr>
                <w:noProof/>
                <w:sz w:val="20"/>
                <w:szCs w:val="20"/>
              </w:rPr>
            </w:pPr>
            <w:r w:rsidRPr="00C47F2F">
              <w:rPr>
                <w:noProof/>
                <w:sz w:val="20"/>
                <w:szCs w:val="20"/>
              </w:rPr>
              <w:t>1.73E-02</w:t>
            </w:r>
          </w:p>
        </w:tc>
        <w:tc>
          <w:tcPr>
            <w:tcW w:w="985" w:type="dxa"/>
            <w:shd w:val="clear" w:color="auto" w:fill="auto"/>
            <w:noWrap/>
            <w:vAlign w:val="center"/>
          </w:tcPr>
          <w:p w14:paraId="265C8F51" w14:textId="77777777" w:rsidR="001200FD" w:rsidRPr="00C47F2F" w:rsidRDefault="001200FD" w:rsidP="0096390F">
            <w:pPr>
              <w:pStyle w:val="Table"/>
              <w:rPr>
                <w:noProof/>
                <w:sz w:val="20"/>
                <w:szCs w:val="20"/>
              </w:rPr>
            </w:pPr>
            <w:r w:rsidRPr="00C47F2F">
              <w:rPr>
                <w:noProof/>
                <w:sz w:val="20"/>
                <w:szCs w:val="20"/>
              </w:rPr>
              <w:t>1.73E-02</w:t>
            </w:r>
          </w:p>
        </w:tc>
        <w:tc>
          <w:tcPr>
            <w:tcW w:w="985" w:type="dxa"/>
            <w:shd w:val="clear" w:color="auto" w:fill="auto"/>
            <w:noWrap/>
            <w:vAlign w:val="center"/>
          </w:tcPr>
          <w:p w14:paraId="47F2E028" w14:textId="77777777" w:rsidR="001200FD" w:rsidRPr="00C47F2F" w:rsidRDefault="001200FD" w:rsidP="0096390F">
            <w:pPr>
              <w:pStyle w:val="Table"/>
              <w:rPr>
                <w:noProof/>
                <w:sz w:val="20"/>
                <w:szCs w:val="20"/>
              </w:rPr>
            </w:pPr>
            <w:r w:rsidRPr="00C47F2F">
              <w:rPr>
                <w:noProof/>
                <w:sz w:val="20"/>
                <w:szCs w:val="20"/>
              </w:rPr>
              <w:t>1.73E-02</w:t>
            </w:r>
          </w:p>
        </w:tc>
        <w:tc>
          <w:tcPr>
            <w:tcW w:w="984" w:type="dxa"/>
            <w:shd w:val="clear" w:color="auto" w:fill="auto"/>
            <w:noWrap/>
            <w:vAlign w:val="center"/>
          </w:tcPr>
          <w:p w14:paraId="4B8E2E2E" w14:textId="77777777" w:rsidR="001200FD" w:rsidRPr="00C47F2F" w:rsidRDefault="001200FD" w:rsidP="0096390F">
            <w:pPr>
              <w:pStyle w:val="Table"/>
              <w:rPr>
                <w:noProof/>
                <w:sz w:val="20"/>
                <w:szCs w:val="20"/>
              </w:rPr>
            </w:pPr>
            <w:r w:rsidRPr="00C47F2F">
              <w:rPr>
                <w:noProof/>
                <w:sz w:val="20"/>
                <w:szCs w:val="20"/>
              </w:rPr>
              <w:t>1.73E-02</w:t>
            </w:r>
          </w:p>
        </w:tc>
        <w:tc>
          <w:tcPr>
            <w:tcW w:w="985" w:type="dxa"/>
            <w:shd w:val="clear" w:color="auto" w:fill="auto"/>
            <w:noWrap/>
            <w:vAlign w:val="center"/>
          </w:tcPr>
          <w:p w14:paraId="288E77C6" w14:textId="77777777" w:rsidR="001200FD" w:rsidRPr="00C47F2F" w:rsidRDefault="001200FD" w:rsidP="0096390F">
            <w:pPr>
              <w:pStyle w:val="Table"/>
              <w:rPr>
                <w:noProof/>
                <w:sz w:val="20"/>
                <w:szCs w:val="20"/>
              </w:rPr>
            </w:pPr>
            <w:r w:rsidRPr="00C47F2F">
              <w:rPr>
                <w:noProof/>
                <w:sz w:val="20"/>
                <w:szCs w:val="20"/>
              </w:rPr>
              <w:t>1.73E-02</w:t>
            </w:r>
          </w:p>
        </w:tc>
        <w:tc>
          <w:tcPr>
            <w:tcW w:w="985" w:type="dxa"/>
            <w:shd w:val="clear" w:color="auto" w:fill="auto"/>
            <w:noWrap/>
            <w:vAlign w:val="center"/>
          </w:tcPr>
          <w:p w14:paraId="7C95B155" w14:textId="77777777" w:rsidR="001200FD" w:rsidRPr="00C47F2F" w:rsidRDefault="001200FD" w:rsidP="0096390F">
            <w:pPr>
              <w:pStyle w:val="Table"/>
              <w:rPr>
                <w:noProof/>
                <w:sz w:val="20"/>
                <w:szCs w:val="20"/>
              </w:rPr>
            </w:pPr>
            <w:r w:rsidRPr="00C47F2F">
              <w:rPr>
                <w:noProof/>
                <w:sz w:val="20"/>
                <w:szCs w:val="20"/>
              </w:rPr>
              <w:t>1.73E-02</w:t>
            </w:r>
          </w:p>
        </w:tc>
      </w:tr>
      <w:tr w:rsidR="001200FD" w:rsidRPr="00972C81" w14:paraId="3A514CD3" w14:textId="77777777" w:rsidTr="0096390F">
        <w:trPr>
          <w:trHeight w:val="340"/>
        </w:trPr>
        <w:tc>
          <w:tcPr>
            <w:tcW w:w="3119" w:type="dxa"/>
            <w:shd w:val="clear" w:color="auto" w:fill="auto"/>
            <w:noWrap/>
            <w:vAlign w:val="center"/>
          </w:tcPr>
          <w:p w14:paraId="260C2313" w14:textId="2F9A95B9" w:rsidR="001200FD" w:rsidRPr="001200FD" w:rsidRDefault="001200FD" w:rsidP="0096390F">
            <w:pPr>
              <w:pStyle w:val="Table"/>
              <w:rPr>
                <w:noProof/>
                <w:sz w:val="20"/>
                <w:szCs w:val="22"/>
              </w:rPr>
            </w:pPr>
            <w:r w:rsidRPr="001200FD">
              <w:rPr>
                <w:noProof/>
                <w:sz w:val="20"/>
                <w:szCs w:val="22"/>
              </w:rPr>
              <w:t>Exch trab vol to Nonexch cort vol</w:t>
            </w:r>
          </w:p>
        </w:tc>
        <w:tc>
          <w:tcPr>
            <w:tcW w:w="984" w:type="dxa"/>
            <w:shd w:val="clear" w:color="auto" w:fill="auto"/>
            <w:noWrap/>
            <w:vAlign w:val="center"/>
          </w:tcPr>
          <w:p w14:paraId="3AAA5DAE" w14:textId="77777777" w:rsidR="001200FD" w:rsidRPr="00C47F2F" w:rsidRDefault="001200FD" w:rsidP="0096390F">
            <w:pPr>
              <w:pStyle w:val="Table"/>
              <w:rPr>
                <w:noProof/>
                <w:sz w:val="20"/>
                <w:szCs w:val="20"/>
              </w:rPr>
            </w:pPr>
            <w:r w:rsidRPr="00C47F2F">
              <w:rPr>
                <w:noProof/>
                <w:sz w:val="20"/>
                <w:szCs w:val="20"/>
              </w:rPr>
              <w:t>5.78E-03</w:t>
            </w:r>
          </w:p>
        </w:tc>
        <w:tc>
          <w:tcPr>
            <w:tcW w:w="985" w:type="dxa"/>
            <w:shd w:val="clear" w:color="auto" w:fill="auto"/>
            <w:noWrap/>
            <w:vAlign w:val="center"/>
          </w:tcPr>
          <w:p w14:paraId="34D8A485" w14:textId="77777777" w:rsidR="001200FD" w:rsidRPr="00C47F2F" w:rsidRDefault="001200FD" w:rsidP="0096390F">
            <w:pPr>
              <w:pStyle w:val="Table"/>
              <w:rPr>
                <w:noProof/>
                <w:sz w:val="20"/>
                <w:szCs w:val="20"/>
              </w:rPr>
            </w:pPr>
            <w:r w:rsidRPr="00C47F2F">
              <w:rPr>
                <w:noProof/>
                <w:sz w:val="20"/>
                <w:szCs w:val="20"/>
              </w:rPr>
              <w:t>5.78E-03</w:t>
            </w:r>
          </w:p>
        </w:tc>
        <w:tc>
          <w:tcPr>
            <w:tcW w:w="985" w:type="dxa"/>
            <w:shd w:val="clear" w:color="auto" w:fill="auto"/>
            <w:noWrap/>
            <w:vAlign w:val="center"/>
          </w:tcPr>
          <w:p w14:paraId="762C40A7" w14:textId="77777777" w:rsidR="001200FD" w:rsidRPr="00C47F2F" w:rsidRDefault="001200FD" w:rsidP="0096390F">
            <w:pPr>
              <w:pStyle w:val="Table"/>
              <w:rPr>
                <w:noProof/>
                <w:sz w:val="20"/>
                <w:szCs w:val="20"/>
              </w:rPr>
            </w:pPr>
            <w:r w:rsidRPr="00C47F2F">
              <w:rPr>
                <w:noProof/>
                <w:sz w:val="20"/>
                <w:szCs w:val="20"/>
              </w:rPr>
              <w:t>5.78E-03</w:t>
            </w:r>
          </w:p>
        </w:tc>
        <w:tc>
          <w:tcPr>
            <w:tcW w:w="984" w:type="dxa"/>
            <w:shd w:val="clear" w:color="auto" w:fill="auto"/>
            <w:noWrap/>
            <w:vAlign w:val="center"/>
          </w:tcPr>
          <w:p w14:paraId="1AB94BAB" w14:textId="77777777" w:rsidR="001200FD" w:rsidRPr="00C47F2F" w:rsidRDefault="001200FD" w:rsidP="0096390F">
            <w:pPr>
              <w:pStyle w:val="Table"/>
              <w:rPr>
                <w:noProof/>
                <w:sz w:val="20"/>
                <w:szCs w:val="20"/>
              </w:rPr>
            </w:pPr>
            <w:r w:rsidRPr="00C47F2F">
              <w:rPr>
                <w:noProof/>
                <w:sz w:val="20"/>
                <w:szCs w:val="20"/>
              </w:rPr>
              <w:t>5.78E-03</w:t>
            </w:r>
          </w:p>
        </w:tc>
        <w:tc>
          <w:tcPr>
            <w:tcW w:w="985" w:type="dxa"/>
            <w:shd w:val="clear" w:color="auto" w:fill="auto"/>
            <w:noWrap/>
            <w:vAlign w:val="center"/>
          </w:tcPr>
          <w:p w14:paraId="5198A27B" w14:textId="77777777" w:rsidR="001200FD" w:rsidRPr="00C47F2F" w:rsidRDefault="001200FD" w:rsidP="0096390F">
            <w:pPr>
              <w:pStyle w:val="Table"/>
              <w:rPr>
                <w:noProof/>
                <w:sz w:val="20"/>
                <w:szCs w:val="20"/>
              </w:rPr>
            </w:pPr>
            <w:r w:rsidRPr="00C47F2F">
              <w:rPr>
                <w:noProof/>
                <w:sz w:val="20"/>
                <w:szCs w:val="20"/>
              </w:rPr>
              <w:t>5.78E-03</w:t>
            </w:r>
          </w:p>
        </w:tc>
        <w:tc>
          <w:tcPr>
            <w:tcW w:w="985" w:type="dxa"/>
            <w:shd w:val="clear" w:color="auto" w:fill="auto"/>
            <w:noWrap/>
            <w:vAlign w:val="center"/>
          </w:tcPr>
          <w:p w14:paraId="679E2DD6" w14:textId="77777777" w:rsidR="001200FD" w:rsidRPr="00C47F2F" w:rsidRDefault="001200FD" w:rsidP="0096390F">
            <w:pPr>
              <w:pStyle w:val="Table"/>
              <w:rPr>
                <w:noProof/>
                <w:sz w:val="20"/>
                <w:szCs w:val="20"/>
              </w:rPr>
            </w:pPr>
            <w:r w:rsidRPr="00C47F2F">
              <w:rPr>
                <w:noProof/>
                <w:sz w:val="20"/>
                <w:szCs w:val="20"/>
              </w:rPr>
              <w:t>5.78E-03</w:t>
            </w:r>
          </w:p>
        </w:tc>
      </w:tr>
      <w:tr w:rsidR="001200FD" w:rsidRPr="00972C81" w14:paraId="07BC5BE5" w14:textId="77777777" w:rsidTr="0096390F">
        <w:trPr>
          <w:trHeight w:val="340"/>
        </w:trPr>
        <w:tc>
          <w:tcPr>
            <w:tcW w:w="3119" w:type="dxa"/>
            <w:shd w:val="clear" w:color="auto" w:fill="auto"/>
            <w:noWrap/>
            <w:vAlign w:val="center"/>
          </w:tcPr>
          <w:p w14:paraId="5BFD0B93" w14:textId="27D61ADD" w:rsidR="001200FD" w:rsidRPr="001200FD" w:rsidRDefault="001200FD" w:rsidP="0096390F">
            <w:pPr>
              <w:pStyle w:val="Table"/>
              <w:rPr>
                <w:noProof/>
                <w:sz w:val="20"/>
                <w:szCs w:val="22"/>
              </w:rPr>
            </w:pPr>
            <w:r w:rsidRPr="001200FD">
              <w:rPr>
                <w:noProof/>
                <w:sz w:val="20"/>
                <w:szCs w:val="22"/>
              </w:rPr>
              <w:t>Exch cort vol to Cort bone surf</w:t>
            </w:r>
          </w:p>
        </w:tc>
        <w:tc>
          <w:tcPr>
            <w:tcW w:w="984" w:type="dxa"/>
            <w:shd w:val="clear" w:color="auto" w:fill="auto"/>
            <w:noWrap/>
            <w:vAlign w:val="center"/>
          </w:tcPr>
          <w:p w14:paraId="15B1E6D7" w14:textId="77777777" w:rsidR="001200FD" w:rsidRPr="00C47F2F" w:rsidRDefault="001200FD" w:rsidP="0096390F">
            <w:pPr>
              <w:pStyle w:val="Table"/>
              <w:rPr>
                <w:noProof/>
                <w:sz w:val="20"/>
                <w:szCs w:val="20"/>
              </w:rPr>
            </w:pPr>
            <w:r w:rsidRPr="00C47F2F">
              <w:rPr>
                <w:noProof/>
                <w:sz w:val="20"/>
                <w:szCs w:val="20"/>
              </w:rPr>
              <w:t>1.73E-02</w:t>
            </w:r>
          </w:p>
        </w:tc>
        <w:tc>
          <w:tcPr>
            <w:tcW w:w="985" w:type="dxa"/>
            <w:shd w:val="clear" w:color="auto" w:fill="auto"/>
            <w:noWrap/>
            <w:vAlign w:val="center"/>
          </w:tcPr>
          <w:p w14:paraId="64F170D0" w14:textId="77777777" w:rsidR="001200FD" w:rsidRPr="00C47F2F" w:rsidRDefault="001200FD" w:rsidP="0096390F">
            <w:pPr>
              <w:pStyle w:val="Table"/>
              <w:rPr>
                <w:noProof/>
                <w:sz w:val="20"/>
                <w:szCs w:val="20"/>
              </w:rPr>
            </w:pPr>
            <w:r w:rsidRPr="00C47F2F">
              <w:rPr>
                <w:noProof/>
                <w:sz w:val="20"/>
                <w:szCs w:val="20"/>
              </w:rPr>
              <w:t>1.73E-02</w:t>
            </w:r>
          </w:p>
        </w:tc>
        <w:tc>
          <w:tcPr>
            <w:tcW w:w="985" w:type="dxa"/>
            <w:shd w:val="clear" w:color="auto" w:fill="auto"/>
            <w:noWrap/>
            <w:vAlign w:val="center"/>
          </w:tcPr>
          <w:p w14:paraId="1D81C9EF" w14:textId="77777777" w:rsidR="001200FD" w:rsidRPr="00C47F2F" w:rsidRDefault="001200FD" w:rsidP="0096390F">
            <w:pPr>
              <w:pStyle w:val="Table"/>
              <w:rPr>
                <w:noProof/>
                <w:sz w:val="20"/>
                <w:szCs w:val="20"/>
              </w:rPr>
            </w:pPr>
            <w:r w:rsidRPr="00C47F2F">
              <w:rPr>
                <w:noProof/>
                <w:sz w:val="20"/>
                <w:szCs w:val="20"/>
              </w:rPr>
              <w:t>1.73E-02</w:t>
            </w:r>
          </w:p>
        </w:tc>
        <w:tc>
          <w:tcPr>
            <w:tcW w:w="984" w:type="dxa"/>
            <w:shd w:val="clear" w:color="auto" w:fill="auto"/>
            <w:noWrap/>
            <w:vAlign w:val="center"/>
          </w:tcPr>
          <w:p w14:paraId="172C9EA8" w14:textId="77777777" w:rsidR="001200FD" w:rsidRPr="00C47F2F" w:rsidRDefault="001200FD" w:rsidP="0096390F">
            <w:pPr>
              <w:pStyle w:val="Table"/>
              <w:rPr>
                <w:noProof/>
                <w:sz w:val="20"/>
                <w:szCs w:val="20"/>
              </w:rPr>
            </w:pPr>
            <w:r w:rsidRPr="00C47F2F">
              <w:rPr>
                <w:noProof/>
                <w:sz w:val="20"/>
                <w:szCs w:val="20"/>
              </w:rPr>
              <w:t>1.73E-02</w:t>
            </w:r>
          </w:p>
        </w:tc>
        <w:tc>
          <w:tcPr>
            <w:tcW w:w="985" w:type="dxa"/>
            <w:shd w:val="clear" w:color="auto" w:fill="auto"/>
            <w:noWrap/>
            <w:vAlign w:val="center"/>
          </w:tcPr>
          <w:p w14:paraId="25CF5BCA" w14:textId="77777777" w:rsidR="001200FD" w:rsidRPr="00C47F2F" w:rsidRDefault="001200FD" w:rsidP="0096390F">
            <w:pPr>
              <w:pStyle w:val="Table"/>
              <w:rPr>
                <w:noProof/>
                <w:sz w:val="20"/>
                <w:szCs w:val="20"/>
              </w:rPr>
            </w:pPr>
            <w:r w:rsidRPr="00C47F2F">
              <w:rPr>
                <w:noProof/>
                <w:sz w:val="20"/>
                <w:szCs w:val="20"/>
              </w:rPr>
              <w:t>1.73E-02</w:t>
            </w:r>
          </w:p>
        </w:tc>
        <w:tc>
          <w:tcPr>
            <w:tcW w:w="985" w:type="dxa"/>
            <w:shd w:val="clear" w:color="auto" w:fill="auto"/>
            <w:noWrap/>
            <w:vAlign w:val="center"/>
          </w:tcPr>
          <w:p w14:paraId="1F01162C" w14:textId="77777777" w:rsidR="001200FD" w:rsidRPr="00C47F2F" w:rsidRDefault="001200FD" w:rsidP="0096390F">
            <w:pPr>
              <w:pStyle w:val="Table"/>
              <w:rPr>
                <w:noProof/>
                <w:sz w:val="20"/>
                <w:szCs w:val="20"/>
              </w:rPr>
            </w:pPr>
            <w:r w:rsidRPr="00C47F2F">
              <w:rPr>
                <w:noProof/>
                <w:sz w:val="20"/>
                <w:szCs w:val="20"/>
              </w:rPr>
              <w:t>1.73E-02</w:t>
            </w:r>
          </w:p>
        </w:tc>
      </w:tr>
      <w:tr w:rsidR="001200FD" w:rsidRPr="00972C81" w14:paraId="66BB59E6" w14:textId="77777777" w:rsidTr="0096390F">
        <w:trPr>
          <w:trHeight w:val="340"/>
        </w:trPr>
        <w:tc>
          <w:tcPr>
            <w:tcW w:w="3119" w:type="dxa"/>
            <w:tcBorders>
              <w:bottom w:val="single" w:sz="4" w:space="0" w:color="auto"/>
            </w:tcBorders>
            <w:shd w:val="clear" w:color="auto" w:fill="auto"/>
            <w:noWrap/>
            <w:vAlign w:val="center"/>
          </w:tcPr>
          <w:p w14:paraId="601E25B9" w14:textId="09A7F8E8" w:rsidR="001200FD" w:rsidRPr="001200FD" w:rsidRDefault="001200FD" w:rsidP="0096390F">
            <w:pPr>
              <w:pStyle w:val="Table"/>
              <w:rPr>
                <w:noProof/>
                <w:sz w:val="20"/>
                <w:szCs w:val="22"/>
              </w:rPr>
            </w:pPr>
            <w:r w:rsidRPr="001200FD">
              <w:rPr>
                <w:noProof/>
                <w:sz w:val="20"/>
                <w:szCs w:val="22"/>
              </w:rPr>
              <w:t xml:space="preserve">Exch cort vol to Nonexch cort vol </w:t>
            </w:r>
          </w:p>
        </w:tc>
        <w:tc>
          <w:tcPr>
            <w:tcW w:w="984" w:type="dxa"/>
            <w:tcBorders>
              <w:bottom w:val="single" w:sz="4" w:space="0" w:color="auto"/>
            </w:tcBorders>
            <w:shd w:val="clear" w:color="auto" w:fill="auto"/>
            <w:noWrap/>
            <w:vAlign w:val="center"/>
          </w:tcPr>
          <w:p w14:paraId="7F9A199F" w14:textId="77777777" w:rsidR="001200FD" w:rsidRPr="00C47F2F" w:rsidRDefault="001200FD" w:rsidP="0096390F">
            <w:pPr>
              <w:pStyle w:val="Table"/>
              <w:rPr>
                <w:noProof/>
                <w:sz w:val="20"/>
                <w:szCs w:val="20"/>
              </w:rPr>
            </w:pPr>
            <w:r w:rsidRPr="00C47F2F">
              <w:rPr>
                <w:noProof/>
                <w:sz w:val="20"/>
                <w:szCs w:val="20"/>
              </w:rPr>
              <w:t>5.78E-03</w:t>
            </w:r>
          </w:p>
        </w:tc>
        <w:tc>
          <w:tcPr>
            <w:tcW w:w="985" w:type="dxa"/>
            <w:tcBorders>
              <w:bottom w:val="single" w:sz="4" w:space="0" w:color="auto"/>
            </w:tcBorders>
            <w:shd w:val="clear" w:color="auto" w:fill="auto"/>
            <w:noWrap/>
            <w:vAlign w:val="center"/>
          </w:tcPr>
          <w:p w14:paraId="55D5ECC9" w14:textId="77777777" w:rsidR="001200FD" w:rsidRPr="00C47F2F" w:rsidRDefault="001200FD" w:rsidP="0096390F">
            <w:pPr>
              <w:pStyle w:val="Table"/>
              <w:rPr>
                <w:noProof/>
                <w:sz w:val="20"/>
                <w:szCs w:val="20"/>
              </w:rPr>
            </w:pPr>
            <w:r w:rsidRPr="00C47F2F">
              <w:rPr>
                <w:noProof/>
                <w:sz w:val="20"/>
                <w:szCs w:val="20"/>
              </w:rPr>
              <w:t>5.78E-03</w:t>
            </w:r>
          </w:p>
        </w:tc>
        <w:tc>
          <w:tcPr>
            <w:tcW w:w="985" w:type="dxa"/>
            <w:tcBorders>
              <w:bottom w:val="single" w:sz="4" w:space="0" w:color="auto"/>
            </w:tcBorders>
            <w:shd w:val="clear" w:color="auto" w:fill="auto"/>
            <w:noWrap/>
            <w:vAlign w:val="center"/>
          </w:tcPr>
          <w:p w14:paraId="0AE9B6CF" w14:textId="77777777" w:rsidR="001200FD" w:rsidRPr="00C47F2F" w:rsidRDefault="001200FD" w:rsidP="0096390F">
            <w:pPr>
              <w:pStyle w:val="Table"/>
              <w:rPr>
                <w:noProof/>
                <w:sz w:val="20"/>
                <w:szCs w:val="20"/>
              </w:rPr>
            </w:pPr>
            <w:r w:rsidRPr="00C47F2F">
              <w:rPr>
                <w:noProof/>
                <w:sz w:val="20"/>
                <w:szCs w:val="20"/>
              </w:rPr>
              <w:t>5.78E-03</w:t>
            </w:r>
          </w:p>
        </w:tc>
        <w:tc>
          <w:tcPr>
            <w:tcW w:w="984" w:type="dxa"/>
            <w:tcBorders>
              <w:bottom w:val="single" w:sz="4" w:space="0" w:color="auto"/>
            </w:tcBorders>
            <w:shd w:val="clear" w:color="auto" w:fill="auto"/>
            <w:noWrap/>
            <w:vAlign w:val="center"/>
          </w:tcPr>
          <w:p w14:paraId="4316EA3B" w14:textId="77777777" w:rsidR="001200FD" w:rsidRPr="00C47F2F" w:rsidRDefault="001200FD" w:rsidP="0096390F">
            <w:pPr>
              <w:pStyle w:val="Table"/>
              <w:rPr>
                <w:noProof/>
                <w:sz w:val="20"/>
                <w:szCs w:val="20"/>
              </w:rPr>
            </w:pPr>
            <w:r w:rsidRPr="00C47F2F">
              <w:rPr>
                <w:noProof/>
                <w:sz w:val="20"/>
                <w:szCs w:val="20"/>
              </w:rPr>
              <w:t>5.78E-03</w:t>
            </w:r>
          </w:p>
        </w:tc>
        <w:tc>
          <w:tcPr>
            <w:tcW w:w="985" w:type="dxa"/>
            <w:tcBorders>
              <w:bottom w:val="single" w:sz="4" w:space="0" w:color="auto"/>
            </w:tcBorders>
            <w:shd w:val="clear" w:color="auto" w:fill="auto"/>
            <w:noWrap/>
            <w:vAlign w:val="center"/>
          </w:tcPr>
          <w:p w14:paraId="6124BAC4" w14:textId="77777777" w:rsidR="001200FD" w:rsidRPr="00C47F2F" w:rsidRDefault="001200FD" w:rsidP="0096390F">
            <w:pPr>
              <w:pStyle w:val="Table"/>
              <w:rPr>
                <w:noProof/>
                <w:sz w:val="20"/>
                <w:szCs w:val="20"/>
              </w:rPr>
            </w:pPr>
            <w:r w:rsidRPr="00C47F2F">
              <w:rPr>
                <w:noProof/>
                <w:sz w:val="20"/>
                <w:szCs w:val="20"/>
              </w:rPr>
              <w:t>5.78E-03</w:t>
            </w:r>
          </w:p>
        </w:tc>
        <w:tc>
          <w:tcPr>
            <w:tcW w:w="985" w:type="dxa"/>
            <w:tcBorders>
              <w:bottom w:val="single" w:sz="4" w:space="0" w:color="auto"/>
            </w:tcBorders>
            <w:shd w:val="clear" w:color="auto" w:fill="auto"/>
            <w:noWrap/>
            <w:vAlign w:val="center"/>
          </w:tcPr>
          <w:p w14:paraId="591DC92B" w14:textId="77777777" w:rsidR="001200FD" w:rsidRPr="00C47F2F" w:rsidRDefault="001200FD" w:rsidP="0096390F">
            <w:pPr>
              <w:pStyle w:val="Table"/>
              <w:rPr>
                <w:noProof/>
                <w:sz w:val="20"/>
                <w:szCs w:val="20"/>
              </w:rPr>
            </w:pPr>
            <w:r w:rsidRPr="00C47F2F">
              <w:rPr>
                <w:noProof/>
                <w:sz w:val="20"/>
                <w:szCs w:val="20"/>
              </w:rPr>
              <w:t>5.78E-03</w:t>
            </w:r>
          </w:p>
        </w:tc>
      </w:tr>
    </w:tbl>
    <w:p w14:paraId="70D7E8D2" w14:textId="77777777" w:rsidR="001200FD" w:rsidRPr="006A4B24" w:rsidRDefault="001200FD" w:rsidP="001200FD">
      <w:pPr>
        <w:pStyle w:val="MainTextPreference"/>
        <w:rPr>
          <w:noProof/>
          <w:sz w:val="20"/>
        </w:rPr>
      </w:pPr>
      <w:r w:rsidRPr="006A4B24">
        <w:rPr>
          <w:noProof/>
          <w:sz w:val="20"/>
          <w:vertAlign w:val="superscript"/>
        </w:rPr>
        <w:t>a</w:t>
      </w:r>
      <w:r w:rsidRPr="006A4B24">
        <w:rPr>
          <w:noProof/>
          <w:sz w:val="20"/>
        </w:rPr>
        <w:t>RBC = Red blood cells, Exch = Exchangeable, Nonexch = Nonexchangeable, Cort = Cortical, Trab = Trabecular, surf = surface, vol = volume, cont = content</w:t>
      </w:r>
    </w:p>
    <w:p w14:paraId="4AA710DD" w14:textId="253366CF" w:rsidR="006B178F" w:rsidRPr="00972C81" w:rsidRDefault="006B178F" w:rsidP="006703A2">
      <w:pPr>
        <w:pStyle w:val="OIRTitre4"/>
      </w:pPr>
      <w:r w:rsidRPr="00972C81">
        <w:t>Treatment of radioactive progeny</w:t>
      </w:r>
    </w:p>
    <w:p w14:paraId="3B60485D" w14:textId="095494E5" w:rsidR="006044EE" w:rsidRPr="00972C81" w:rsidRDefault="006044EE" w:rsidP="001C4A92">
      <w:pPr>
        <w:pStyle w:val="Annalstext"/>
        <w:rPr>
          <w:noProof/>
        </w:rPr>
      </w:pPr>
      <w:r w:rsidRPr="00972C81">
        <w:rPr>
          <w:rFonts w:eastAsia="Calibri"/>
          <w:noProof/>
        </w:rPr>
        <w:t xml:space="preserve">The </w:t>
      </w:r>
      <w:r w:rsidRPr="00972C81">
        <w:rPr>
          <w:noProof/>
        </w:rPr>
        <w:t>treatment</w:t>
      </w:r>
      <w:r w:rsidRPr="00972C81">
        <w:rPr>
          <w:rFonts w:eastAsia="Calibri"/>
          <w:noProof/>
        </w:rPr>
        <w:t xml:space="preserve"> of radioactive progeny produced in systemic compartments after intake of a radioisotope of uranium is described in Section 15.3.3. of </w:t>
      </w:r>
      <w:r w:rsidRPr="00972C81">
        <w:rPr>
          <w:rFonts w:eastAsia="Calibri"/>
          <w:i/>
          <w:noProof/>
        </w:rPr>
        <w:t>Publication 137</w:t>
      </w:r>
      <w:r w:rsidRPr="00972C81">
        <w:rPr>
          <w:rFonts w:eastAsia="Calibri"/>
          <w:noProof/>
        </w:rPr>
        <w:t xml:space="preserve"> </w:t>
      </w:r>
      <w:r w:rsidR="008D04F1" w:rsidRPr="00972C81">
        <w:rPr>
          <w:rFonts w:eastAsia="Calibri"/>
          <w:noProof/>
        </w:rPr>
        <w:fldChar w:fldCharType="begin"/>
      </w:r>
      <w:r w:rsidR="008D04F1" w:rsidRPr="00972C81">
        <w:rPr>
          <w:rFonts w:eastAsia="Calibri"/>
          <w:noProof/>
        </w:rPr>
        <w:instrText xml:space="preserve"> ADDIN ZOTERO_ITEM CSL_CITATION {"citationID":"4XA4yMWv","properties":{"formattedCitation":"(ICRP, 2017)","plainCitation":"(ICRP, 2017)","noteIndex":0},"citationItems":[{"id":2566,"uris":["http://zotero.org/groups/2470620/items/BYB77JGB"],"itemData":{"id":2566,"type":"article-journal","container-title":"Annals of the ICRP","issue":"3/4","journalAbbreviation":"Ann. ICRP","language":"en","title":"Occupational intakes of radionuclides: Part 3. ICRP Publication 137","volume":"46","author":[{"literal":"ICRP"}],"issued":{"date-parts":[["2017"]]}}}],"schema":"https://github.com/citation-style-language/schema/raw/master/csl-citation.json"} </w:instrText>
      </w:r>
      <w:r w:rsidR="008D04F1" w:rsidRPr="00972C81">
        <w:rPr>
          <w:rFonts w:eastAsia="Calibri"/>
          <w:noProof/>
        </w:rPr>
        <w:fldChar w:fldCharType="separate"/>
      </w:r>
      <w:r w:rsidR="00BC59C6" w:rsidRPr="00972C81">
        <w:rPr>
          <w:noProof/>
        </w:rPr>
        <w:t>(ICRP, 2017)</w:t>
      </w:r>
      <w:r w:rsidR="008D04F1" w:rsidRPr="00972C81">
        <w:rPr>
          <w:rFonts w:eastAsia="Calibri"/>
          <w:noProof/>
        </w:rPr>
        <w:fldChar w:fldCharType="end"/>
      </w:r>
      <w:r w:rsidRPr="00972C81">
        <w:rPr>
          <w:rFonts w:eastAsia="Calibri"/>
          <w:noProof/>
        </w:rPr>
        <w:t xml:space="preserve">.  </w:t>
      </w:r>
    </w:p>
    <w:p w14:paraId="2788D8C6" w14:textId="4EB8CD27" w:rsidR="007A34D9" w:rsidRPr="00972C81" w:rsidRDefault="00E31A20" w:rsidP="00E81109">
      <w:pPr>
        <w:pStyle w:val="2"/>
        <w:rPr>
          <w:noProof/>
          <w:lang w:val="en-GB"/>
        </w:rPr>
      </w:pPr>
      <w:bookmarkStart w:id="296" w:name="_Toc162630096"/>
      <w:r w:rsidRPr="00972C81">
        <w:rPr>
          <w:noProof/>
          <w:lang w:val="en-GB"/>
        </w:rPr>
        <w:lastRenderedPageBreak/>
        <w:t>Dosimetric data for uranium</w:t>
      </w:r>
      <w:bookmarkEnd w:id="296"/>
    </w:p>
    <w:p w14:paraId="2E44E484" w14:textId="413A0C3B" w:rsidR="00612E32" w:rsidRPr="00972C81" w:rsidRDefault="00612E32" w:rsidP="00612E32">
      <w:pPr>
        <w:pStyle w:val="ab"/>
        <w:rPr>
          <w:noProof/>
          <w:sz w:val="24"/>
          <w:szCs w:val="24"/>
        </w:rPr>
      </w:pPr>
      <w:r w:rsidRPr="00972C81">
        <w:rPr>
          <w:noProof/>
          <w:sz w:val="24"/>
          <w:szCs w:val="24"/>
        </w:rPr>
        <w:t>Table 20.3.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234</w:t>
      </w:r>
      <w:r w:rsidRPr="00972C81">
        <w:rPr>
          <w:noProof/>
          <w:sz w:val="24"/>
          <w:szCs w:val="24"/>
        </w:rPr>
        <w:t>U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612E32" w:rsidRPr="00A3213E" w14:paraId="3C959BE9" w14:textId="77777777" w:rsidTr="0096390F">
        <w:trPr>
          <w:trHeight w:val="340"/>
        </w:trPr>
        <w:tc>
          <w:tcPr>
            <w:tcW w:w="2087" w:type="pct"/>
            <w:vMerge w:val="restart"/>
            <w:tcBorders>
              <w:top w:val="single" w:sz="4" w:space="0" w:color="auto"/>
              <w:left w:val="nil"/>
              <w:bottom w:val="single" w:sz="4" w:space="0" w:color="auto"/>
              <w:right w:val="nil"/>
            </w:tcBorders>
            <w:vAlign w:val="bottom"/>
            <w:hideMark/>
          </w:tcPr>
          <w:p w14:paraId="22A44FED" w14:textId="5D89CAA3" w:rsidR="00CB3E51" w:rsidRDefault="00612E32" w:rsidP="00CB3E51">
            <w:pPr>
              <w:pStyle w:val="a5"/>
              <w:tabs>
                <w:tab w:val="clear" w:pos="4153"/>
                <w:tab w:val="clear" w:pos="8306"/>
              </w:tabs>
              <w:jc w:val="left"/>
              <w:rPr>
                <w:noProof/>
                <w:sz w:val="22"/>
                <w:szCs w:val="22"/>
              </w:rPr>
            </w:pPr>
            <w:r w:rsidRPr="00C47F2F">
              <w:rPr>
                <w:noProof/>
                <w:sz w:val="22"/>
                <w:szCs w:val="22"/>
              </w:rPr>
              <w:t>Inhaled particulate materials</w:t>
            </w:r>
          </w:p>
          <w:p w14:paraId="67A25E9C" w14:textId="1EB1B61E" w:rsidR="00612E32" w:rsidRPr="00CB3E51" w:rsidRDefault="00612E32" w:rsidP="00C47F2F">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5B148094" w14:textId="77777777" w:rsidR="00612E32" w:rsidRPr="00C47F2F" w:rsidRDefault="00612E32" w:rsidP="0096390F">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612E32" w:rsidRPr="00972C81" w14:paraId="66BA181D" w14:textId="77777777" w:rsidTr="0096390F">
        <w:trPr>
          <w:trHeight w:val="340"/>
        </w:trPr>
        <w:tc>
          <w:tcPr>
            <w:tcW w:w="2087" w:type="pct"/>
            <w:vMerge/>
            <w:tcBorders>
              <w:top w:val="single" w:sz="4" w:space="0" w:color="auto"/>
              <w:left w:val="nil"/>
              <w:bottom w:val="single" w:sz="4" w:space="0" w:color="auto"/>
              <w:right w:val="nil"/>
            </w:tcBorders>
            <w:vAlign w:val="center"/>
            <w:hideMark/>
          </w:tcPr>
          <w:p w14:paraId="528B13EF" w14:textId="77777777" w:rsidR="00612E32" w:rsidRPr="00CB3E51" w:rsidRDefault="00612E32">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3C888CF1" w14:textId="0CA30ED4" w:rsidR="00612E32" w:rsidRPr="00C47F2F" w:rsidRDefault="00612E32" w:rsidP="0096390F">
            <w:pPr>
              <w:jc w:val="left"/>
              <w:rPr>
                <w:noProof/>
                <w:sz w:val="22"/>
                <w:szCs w:val="22"/>
                <w:lang w:eastAsia="ko-KR"/>
              </w:rPr>
            </w:pPr>
            <w:r w:rsidRPr="00C47F2F">
              <w:rPr>
                <w:noProof/>
                <w:sz w:val="22"/>
                <w:szCs w:val="22"/>
              </w:rPr>
              <w:t>3</w:t>
            </w:r>
            <w:r w:rsidR="00CB3E51">
              <w:rPr>
                <w:rFonts w:hint="eastAsia"/>
                <w:noProof/>
                <w:sz w:val="22"/>
                <w:szCs w:val="22"/>
                <w:lang w:eastAsia="ko-KR"/>
              </w:rPr>
              <w:t xml:space="preserve"> </w:t>
            </w:r>
            <w:r w:rsidRPr="00C47F2F">
              <w:rPr>
                <w:noProof/>
                <w:sz w:val="22"/>
                <w:szCs w:val="22"/>
              </w:rPr>
              <w:t>m</w:t>
            </w:r>
            <w:r w:rsidR="0096390F">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5D93E093" w14:textId="222F72C9" w:rsidR="00612E32" w:rsidRPr="00C47F2F" w:rsidRDefault="00612E32" w:rsidP="0096390F">
            <w:pPr>
              <w:jc w:val="left"/>
              <w:rPr>
                <w:noProof/>
                <w:sz w:val="22"/>
                <w:szCs w:val="22"/>
              </w:rPr>
            </w:pPr>
            <w:r w:rsidRPr="00C47F2F">
              <w:rPr>
                <w:noProof/>
                <w:sz w:val="22"/>
                <w:szCs w:val="22"/>
              </w:rPr>
              <w:t>1</w:t>
            </w:r>
            <w:r w:rsidR="00CB3E51">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0D1B5E3E" w14:textId="64CFDB9A" w:rsidR="00612E32" w:rsidRPr="00C47F2F" w:rsidRDefault="00612E32" w:rsidP="0096390F">
            <w:pPr>
              <w:jc w:val="left"/>
              <w:rPr>
                <w:noProof/>
                <w:sz w:val="22"/>
                <w:szCs w:val="22"/>
              </w:rPr>
            </w:pPr>
            <w:r w:rsidRPr="00C47F2F">
              <w:rPr>
                <w:noProof/>
                <w:sz w:val="22"/>
                <w:szCs w:val="22"/>
              </w:rPr>
              <w:t>5</w:t>
            </w:r>
            <w:r w:rsidR="00CB3E51">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6DFB2725" w14:textId="181E5158" w:rsidR="00612E32" w:rsidRPr="00C47F2F" w:rsidRDefault="00612E32" w:rsidP="0096390F">
            <w:pPr>
              <w:jc w:val="left"/>
              <w:rPr>
                <w:noProof/>
                <w:sz w:val="22"/>
                <w:szCs w:val="22"/>
              </w:rPr>
            </w:pPr>
            <w:r w:rsidRPr="00C47F2F">
              <w:rPr>
                <w:noProof/>
                <w:sz w:val="22"/>
                <w:szCs w:val="22"/>
              </w:rPr>
              <w:t>10</w:t>
            </w:r>
            <w:r w:rsidR="00CB3E51">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5719A03D" w14:textId="3A120785" w:rsidR="00612E32" w:rsidRPr="00C47F2F" w:rsidRDefault="00612E32" w:rsidP="0096390F">
            <w:pPr>
              <w:jc w:val="left"/>
              <w:rPr>
                <w:noProof/>
                <w:sz w:val="22"/>
                <w:szCs w:val="22"/>
              </w:rPr>
            </w:pPr>
            <w:r w:rsidRPr="00C47F2F">
              <w:rPr>
                <w:noProof/>
                <w:sz w:val="22"/>
                <w:szCs w:val="22"/>
              </w:rPr>
              <w:t>15</w:t>
            </w:r>
            <w:r w:rsidR="00CB3E51">
              <w:rPr>
                <w:rFonts w:hint="eastAsia"/>
                <w:noProof/>
                <w:sz w:val="22"/>
                <w:szCs w:val="22"/>
                <w:lang w:eastAsia="ko-KR"/>
              </w:rPr>
              <w:t xml:space="preserve"> </w:t>
            </w:r>
            <w:r w:rsidRPr="00C47F2F">
              <w:rPr>
                <w:noProof/>
                <w:sz w:val="22"/>
                <w:szCs w:val="22"/>
              </w:rPr>
              <w:t>y</w:t>
            </w:r>
          </w:p>
        </w:tc>
        <w:tc>
          <w:tcPr>
            <w:tcW w:w="487" w:type="pct"/>
            <w:tcBorders>
              <w:top w:val="single" w:sz="4" w:space="0" w:color="auto"/>
              <w:left w:val="nil"/>
              <w:bottom w:val="single" w:sz="4" w:space="0" w:color="auto"/>
              <w:right w:val="nil"/>
            </w:tcBorders>
            <w:vAlign w:val="center"/>
            <w:hideMark/>
          </w:tcPr>
          <w:p w14:paraId="0D253049" w14:textId="77777777" w:rsidR="00612E32" w:rsidRPr="00C47F2F" w:rsidRDefault="00612E32" w:rsidP="0096390F">
            <w:pPr>
              <w:jc w:val="left"/>
              <w:rPr>
                <w:noProof/>
                <w:sz w:val="22"/>
                <w:szCs w:val="22"/>
              </w:rPr>
            </w:pPr>
            <w:r w:rsidRPr="00C47F2F">
              <w:rPr>
                <w:noProof/>
                <w:sz w:val="22"/>
                <w:szCs w:val="22"/>
              </w:rPr>
              <w:t>Adult</w:t>
            </w:r>
          </w:p>
        </w:tc>
      </w:tr>
      <w:tr w:rsidR="00612E32" w:rsidRPr="00972C81" w14:paraId="212DCD0D" w14:textId="77777777" w:rsidTr="0096390F">
        <w:trPr>
          <w:trHeight w:val="340"/>
        </w:trPr>
        <w:tc>
          <w:tcPr>
            <w:tcW w:w="2087" w:type="pct"/>
            <w:tcBorders>
              <w:top w:val="single" w:sz="4" w:space="0" w:color="auto"/>
              <w:left w:val="nil"/>
              <w:bottom w:val="nil"/>
              <w:right w:val="nil"/>
            </w:tcBorders>
            <w:vAlign w:val="center"/>
            <w:hideMark/>
          </w:tcPr>
          <w:p w14:paraId="0C3C0833" w14:textId="77777777" w:rsidR="00612E32" w:rsidRPr="00C47F2F" w:rsidRDefault="00612E32" w:rsidP="0096390F">
            <w:pPr>
              <w:jc w:val="left"/>
              <w:rPr>
                <w:noProof/>
                <w:color w:val="000000"/>
                <w:sz w:val="22"/>
                <w:szCs w:val="22"/>
              </w:rPr>
            </w:pPr>
            <w:r w:rsidRPr="00C47F2F">
              <w:rPr>
                <w:rFonts w:eastAsia="Times New Roman"/>
                <w:noProof/>
                <w:color w:val="000000"/>
                <w:sz w:val="22"/>
                <w:szCs w:val="22"/>
              </w:rPr>
              <w:t>Type FM</w:t>
            </w:r>
          </w:p>
        </w:tc>
        <w:tc>
          <w:tcPr>
            <w:tcW w:w="485" w:type="pct"/>
            <w:tcBorders>
              <w:top w:val="single" w:sz="4" w:space="0" w:color="auto"/>
              <w:left w:val="nil"/>
              <w:bottom w:val="nil"/>
              <w:right w:val="nil"/>
            </w:tcBorders>
            <w:vAlign w:val="center"/>
            <w:hideMark/>
          </w:tcPr>
          <w:p w14:paraId="76134312"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2.9E-06</w:t>
            </w:r>
          </w:p>
        </w:tc>
        <w:tc>
          <w:tcPr>
            <w:tcW w:w="485" w:type="pct"/>
            <w:tcBorders>
              <w:top w:val="single" w:sz="4" w:space="0" w:color="auto"/>
              <w:left w:val="nil"/>
              <w:bottom w:val="nil"/>
              <w:right w:val="nil"/>
            </w:tcBorders>
            <w:vAlign w:val="center"/>
            <w:hideMark/>
          </w:tcPr>
          <w:p w14:paraId="5C0112BB"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2.2E-06</w:t>
            </w:r>
          </w:p>
        </w:tc>
        <w:tc>
          <w:tcPr>
            <w:tcW w:w="485" w:type="pct"/>
            <w:tcBorders>
              <w:top w:val="single" w:sz="4" w:space="0" w:color="auto"/>
              <w:left w:val="nil"/>
              <w:bottom w:val="nil"/>
              <w:right w:val="nil"/>
            </w:tcBorders>
            <w:vAlign w:val="center"/>
            <w:hideMark/>
          </w:tcPr>
          <w:p w14:paraId="30388041"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1.3E-06</w:t>
            </w:r>
          </w:p>
        </w:tc>
        <w:tc>
          <w:tcPr>
            <w:tcW w:w="485" w:type="pct"/>
            <w:tcBorders>
              <w:top w:val="single" w:sz="4" w:space="0" w:color="auto"/>
              <w:left w:val="nil"/>
              <w:bottom w:val="nil"/>
              <w:right w:val="nil"/>
            </w:tcBorders>
            <w:vAlign w:val="center"/>
            <w:hideMark/>
          </w:tcPr>
          <w:p w14:paraId="029CFBCF"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9.2E-07</w:t>
            </w:r>
          </w:p>
        </w:tc>
        <w:tc>
          <w:tcPr>
            <w:tcW w:w="485" w:type="pct"/>
            <w:tcBorders>
              <w:top w:val="single" w:sz="4" w:space="0" w:color="auto"/>
              <w:left w:val="nil"/>
              <w:bottom w:val="nil"/>
              <w:right w:val="nil"/>
            </w:tcBorders>
            <w:vAlign w:val="center"/>
            <w:hideMark/>
          </w:tcPr>
          <w:p w14:paraId="5B74DE88"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8.0E-07</w:t>
            </w:r>
          </w:p>
        </w:tc>
        <w:tc>
          <w:tcPr>
            <w:tcW w:w="487" w:type="pct"/>
            <w:tcBorders>
              <w:top w:val="single" w:sz="4" w:space="0" w:color="auto"/>
              <w:left w:val="nil"/>
              <w:bottom w:val="nil"/>
              <w:right w:val="nil"/>
            </w:tcBorders>
            <w:vAlign w:val="center"/>
            <w:hideMark/>
          </w:tcPr>
          <w:p w14:paraId="2D89F94D"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7.0E-07</w:t>
            </w:r>
          </w:p>
        </w:tc>
      </w:tr>
      <w:tr w:rsidR="00612E32" w:rsidRPr="00972C81" w14:paraId="20C7885A" w14:textId="77777777" w:rsidTr="0096390F">
        <w:trPr>
          <w:trHeight w:val="340"/>
        </w:trPr>
        <w:tc>
          <w:tcPr>
            <w:tcW w:w="2087" w:type="pct"/>
            <w:tcBorders>
              <w:top w:val="nil"/>
              <w:left w:val="nil"/>
              <w:bottom w:val="nil"/>
              <w:right w:val="nil"/>
            </w:tcBorders>
            <w:vAlign w:val="center"/>
            <w:hideMark/>
          </w:tcPr>
          <w:p w14:paraId="75202989" w14:textId="77777777" w:rsidR="00612E32" w:rsidRPr="00C47F2F" w:rsidRDefault="00612E32" w:rsidP="0096390F">
            <w:pPr>
              <w:jc w:val="left"/>
              <w:rPr>
                <w:rFonts w:eastAsiaTheme="minorHAnsi"/>
                <w:noProof/>
                <w:color w:val="000000"/>
                <w:sz w:val="22"/>
                <w:szCs w:val="22"/>
              </w:rPr>
            </w:pPr>
            <w:r w:rsidRPr="00C47F2F">
              <w:rPr>
                <w:rFonts w:eastAsia="Times New Roman"/>
                <w:noProof/>
                <w:color w:val="000000"/>
                <w:sz w:val="22"/>
                <w:szCs w:val="22"/>
                <w:lang w:eastAsia="en-GB"/>
              </w:rPr>
              <w:t>Type MS</w:t>
            </w:r>
          </w:p>
        </w:tc>
        <w:tc>
          <w:tcPr>
            <w:tcW w:w="485" w:type="pct"/>
            <w:tcBorders>
              <w:top w:val="nil"/>
              <w:left w:val="nil"/>
              <w:bottom w:val="nil"/>
              <w:right w:val="nil"/>
            </w:tcBorders>
            <w:vAlign w:val="center"/>
            <w:hideMark/>
          </w:tcPr>
          <w:p w14:paraId="6DE6675A"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3.0E-05</w:t>
            </w:r>
          </w:p>
        </w:tc>
        <w:tc>
          <w:tcPr>
            <w:tcW w:w="485" w:type="pct"/>
            <w:tcBorders>
              <w:top w:val="nil"/>
              <w:left w:val="nil"/>
              <w:bottom w:val="nil"/>
              <w:right w:val="nil"/>
            </w:tcBorders>
            <w:vAlign w:val="center"/>
            <w:hideMark/>
          </w:tcPr>
          <w:p w14:paraId="3B17C7D4"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2.8E-05</w:t>
            </w:r>
          </w:p>
        </w:tc>
        <w:tc>
          <w:tcPr>
            <w:tcW w:w="485" w:type="pct"/>
            <w:tcBorders>
              <w:top w:val="nil"/>
              <w:left w:val="nil"/>
              <w:bottom w:val="nil"/>
              <w:right w:val="nil"/>
            </w:tcBorders>
            <w:vAlign w:val="center"/>
            <w:hideMark/>
          </w:tcPr>
          <w:p w14:paraId="1A59EBA8"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1.7E-05</w:t>
            </w:r>
          </w:p>
        </w:tc>
        <w:tc>
          <w:tcPr>
            <w:tcW w:w="485" w:type="pct"/>
            <w:tcBorders>
              <w:top w:val="nil"/>
              <w:left w:val="nil"/>
              <w:bottom w:val="nil"/>
              <w:right w:val="nil"/>
            </w:tcBorders>
            <w:vAlign w:val="center"/>
            <w:hideMark/>
          </w:tcPr>
          <w:p w14:paraId="06B24521"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1.1E-05</w:t>
            </w:r>
          </w:p>
        </w:tc>
        <w:tc>
          <w:tcPr>
            <w:tcW w:w="485" w:type="pct"/>
            <w:tcBorders>
              <w:top w:val="nil"/>
              <w:left w:val="nil"/>
              <w:bottom w:val="nil"/>
              <w:right w:val="nil"/>
            </w:tcBorders>
            <w:vAlign w:val="center"/>
            <w:hideMark/>
          </w:tcPr>
          <w:p w14:paraId="0012C634"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9.2E-06</w:t>
            </w:r>
          </w:p>
        </w:tc>
        <w:tc>
          <w:tcPr>
            <w:tcW w:w="487" w:type="pct"/>
            <w:tcBorders>
              <w:top w:val="nil"/>
              <w:left w:val="nil"/>
              <w:bottom w:val="nil"/>
              <w:right w:val="nil"/>
            </w:tcBorders>
            <w:vAlign w:val="center"/>
            <w:hideMark/>
          </w:tcPr>
          <w:p w14:paraId="6B4A69BE"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9.1E-06</w:t>
            </w:r>
          </w:p>
        </w:tc>
      </w:tr>
      <w:tr w:rsidR="00612E32" w:rsidRPr="00972C81" w14:paraId="5F7EB6DC" w14:textId="77777777" w:rsidTr="0096390F">
        <w:trPr>
          <w:trHeight w:val="340"/>
        </w:trPr>
        <w:tc>
          <w:tcPr>
            <w:tcW w:w="2087" w:type="pct"/>
            <w:tcBorders>
              <w:top w:val="nil"/>
              <w:left w:val="nil"/>
              <w:bottom w:val="nil"/>
              <w:right w:val="nil"/>
            </w:tcBorders>
            <w:vAlign w:val="center"/>
            <w:hideMark/>
          </w:tcPr>
          <w:p w14:paraId="21C69C38" w14:textId="77777777" w:rsidR="00612E32" w:rsidRPr="00C47F2F" w:rsidRDefault="00612E32" w:rsidP="0096390F">
            <w:pPr>
              <w:jc w:val="left"/>
              <w:rPr>
                <w:rFonts w:eastAsiaTheme="minorHAnsi"/>
                <w:noProof/>
                <w:color w:val="000000"/>
                <w:sz w:val="22"/>
                <w:szCs w:val="22"/>
              </w:rPr>
            </w:pPr>
            <w:r w:rsidRPr="00C47F2F">
              <w:rPr>
                <w:noProof/>
                <w:color w:val="000000"/>
                <w:sz w:val="22"/>
                <w:szCs w:val="22"/>
              </w:rPr>
              <w:t>UAlx</w:t>
            </w:r>
          </w:p>
        </w:tc>
        <w:tc>
          <w:tcPr>
            <w:tcW w:w="485" w:type="pct"/>
            <w:tcBorders>
              <w:top w:val="nil"/>
              <w:left w:val="nil"/>
              <w:bottom w:val="nil"/>
              <w:right w:val="nil"/>
            </w:tcBorders>
            <w:vAlign w:val="center"/>
            <w:hideMark/>
          </w:tcPr>
          <w:p w14:paraId="5B63DAAC"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1.9E-05</w:t>
            </w:r>
          </w:p>
        </w:tc>
        <w:tc>
          <w:tcPr>
            <w:tcW w:w="485" w:type="pct"/>
            <w:tcBorders>
              <w:top w:val="nil"/>
              <w:left w:val="nil"/>
              <w:bottom w:val="nil"/>
              <w:right w:val="nil"/>
            </w:tcBorders>
            <w:vAlign w:val="center"/>
            <w:hideMark/>
          </w:tcPr>
          <w:p w14:paraId="20C8D985"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1.7E-05</w:t>
            </w:r>
          </w:p>
        </w:tc>
        <w:tc>
          <w:tcPr>
            <w:tcW w:w="485" w:type="pct"/>
            <w:tcBorders>
              <w:top w:val="nil"/>
              <w:left w:val="nil"/>
              <w:bottom w:val="nil"/>
              <w:right w:val="nil"/>
            </w:tcBorders>
            <w:vAlign w:val="center"/>
            <w:hideMark/>
          </w:tcPr>
          <w:p w14:paraId="544D7F68"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1.0E-05</w:t>
            </w:r>
          </w:p>
        </w:tc>
        <w:tc>
          <w:tcPr>
            <w:tcW w:w="485" w:type="pct"/>
            <w:tcBorders>
              <w:top w:val="nil"/>
              <w:left w:val="nil"/>
              <w:bottom w:val="nil"/>
              <w:right w:val="nil"/>
            </w:tcBorders>
            <w:vAlign w:val="center"/>
            <w:hideMark/>
          </w:tcPr>
          <w:p w14:paraId="3C1DAC8C"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6.6E-06</w:t>
            </w:r>
          </w:p>
        </w:tc>
        <w:tc>
          <w:tcPr>
            <w:tcW w:w="485" w:type="pct"/>
            <w:tcBorders>
              <w:top w:val="nil"/>
              <w:left w:val="nil"/>
              <w:bottom w:val="nil"/>
              <w:right w:val="nil"/>
            </w:tcBorders>
            <w:vAlign w:val="center"/>
            <w:hideMark/>
          </w:tcPr>
          <w:p w14:paraId="597142B0"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5.2E-06</w:t>
            </w:r>
          </w:p>
        </w:tc>
        <w:tc>
          <w:tcPr>
            <w:tcW w:w="487" w:type="pct"/>
            <w:tcBorders>
              <w:top w:val="nil"/>
              <w:left w:val="nil"/>
              <w:bottom w:val="nil"/>
              <w:right w:val="nil"/>
            </w:tcBorders>
            <w:vAlign w:val="center"/>
            <w:hideMark/>
          </w:tcPr>
          <w:p w14:paraId="69182CE2"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4.9E-06</w:t>
            </w:r>
          </w:p>
        </w:tc>
      </w:tr>
      <w:tr w:rsidR="00612E32" w:rsidRPr="00972C81" w14:paraId="587D491B" w14:textId="77777777" w:rsidTr="0096390F">
        <w:trPr>
          <w:trHeight w:val="340"/>
        </w:trPr>
        <w:tc>
          <w:tcPr>
            <w:tcW w:w="2087" w:type="pct"/>
            <w:tcBorders>
              <w:top w:val="nil"/>
              <w:left w:val="nil"/>
              <w:bottom w:val="nil"/>
              <w:right w:val="nil"/>
            </w:tcBorders>
            <w:vAlign w:val="center"/>
            <w:hideMark/>
          </w:tcPr>
          <w:p w14:paraId="1B3A112E" w14:textId="77777777" w:rsidR="00612E32" w:rsidRPr="00C47F2F" w:rsidRDefault="00612E32" w:rsidP="0096390F">
            <w:pPr>
              <w:jc w:val="left"/>
              <w:rPr>
                <w:rFonts w:eastAsia="Times New Roman"/>
                <w:noProof/>
                <w:color w:val="000000"/>
                <w:sz w:val="22"/>
                <w:szCs w:val="22"/>
              </w:rPr>
            </w:pPr>
            <w:r w:rsidRPr="00C47F2F">
              <w:rPr>
                <w:noProof/>
                <w:color w:val="000000"/>
                <w:sz w:val="22"/>
                <w:szCs w:val="22"/>
              </w:rPr>
              <w:t>Type F</w:t>
            </w:r>
          </w:p>
        </w:tc>
        <w:tc>
          <w:tcPr>
            <w:tcW w:w="485" w:type="pct"/>
            <w:tcBorders>
              <w:top w:val="nil"/>
              <w:left w:val="nil"/>
              <w:bottom w:val="nil"/>
              <w:right w:val="nil"/>
            </w:tcBorders>
            <w:vAlign w:val="center"/>
            <w:hideMark/>
          </w:tcPr>
          <w:p w14:paraId="1DB1E3D6"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1.3E-06</w:t>
            </w:r>
          </w:p>
        </w:tc>
        <w:tc>
          <w:tcPr>
            <w:tcW w:w="485" w:type="pct"/>
            <w:tcBorders>
              <w:top w:val="nil"/>
              <w:left w:val="nil"/>
              <w:bottom w:val="nil"/>
              <w:right w:val="nil"/>
            </w:tcBorders>
            <w:vAlign w:val="center"/>
            <w:hideMark/>
          </w:tcPr>
          <w:p w14:paraId="4C7E3F37"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8.7E-07</w:t>
            </w:r>
          </w:p>
        </w:tc>
        <w:tc>
          <w:tcPr>
            <w:tcW w:w="485" w:type="pct"/>
            <w:tcBorders>
              <w:top w:val="nil"/>
              <w:left w:val="nil"/>
              <w:bottom w:val="nil"/>
              <w:right w:val="nil"/>
            </w:tcBorders>
            <w:vAlign w:val="center"/>
            <w:hideMark/>
          </w:tcPr>
          <w:p w14:paraId="224BFCD8"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5.5E-07</w:t>
            </w:r>
          </w:p>
        </w:tc>
        <w:tc>
          <w:tcPr>
            <w:tcW w:w="485" w:type="pct"/>
            <w:tcBorders>
              <w:top w:val="nil"/>
              <w:left w:val="nil"/>
              <w:bottom w:val="nil"/>
              <w:right w:val="nil"/>
            </w:tcBorders>
            <w:vAlign w:val="center"/>
            <w:hideMark/>
          </w:tcPr>
          <w:p w14:paraId="582FB878"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4.1E-07</w:t>
            </w:r>
          </w:p>
        </w:tc>
        <w:tc>
          <w:tcPr>
            <w:tcW w:w="485" w:type="pct"/>
            <w:tcBorders>
              <w:top w:val="nil"/>
              <w:left w:val="nil"/>
              <w:bottom w:val="nil"/>
              <w:right w:val="nil"/>
            </w:tcBorders>
            <w:vAlign w:val="center"/>
            <w:hideMark/>
          </w:tcPr>
          <w:p w14:paraId="39C4B0CE"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4.0E-07</w:t>
            </w:r>
          </w:p>
        </w:tc>
        <w:tc>
          <w:tcPr>
            <w:tcW w:w="487" w:type="pct"/>
            <w:tcBorders>
              <w:top w:val="nil"/>
              <w:left w:val="nil"/>
              <w:bottom w:val="nil"/>
              <w:right w:val="nil"/>
            </w:tcBorders>
            <w:vAlign w:val="center"/>
            <w:hideMark/>
          </w:tcPr>
          <w:p w14:paraId="49BFA72D"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3.1E-07</w:t>
            </w:r>
          </w:p>
        </w:tc>
      </w:tr>
      <w:tr w:rsidR="00612E32" w:rsidRPr="00972C81" w14:paraId="75DD6FA3" w14:textId="77777777" w:rsidTr="0096390F">
        <w:trPr>
          <w:trHeight w:val="340"/>
        </w:trPr>
        <w:tc>
          <w:tcPr>
            <w:tcW w:w="2087" w:type="pct"/>
            <w:tcBorders>
              <w:top w:val="nil"/>
              <w:left w:val="nil"/>
              <w:bottom w:val="nil"/>
              <w:right w:val="nil"/>
            </w:tcBorders>
            <w:vAlign w:val="center"/>
            <w:hideMark/>
          </w:tcPr>
          <w:p w14:paraId="596A6FE4" w14:textId="77777777" w:rsidR="00612E32" w:rsidRPr="00C47F2F" w:rsidRDefault="00612E32" w:rsidP="0096390F">
            <w:pPr>
              <w:jc w:val="left"/>
              <w:rPr>
                <w:rFonts w:eastAsia="Times New Roman"/>
                <w:noProof/>
                <w:color w:val="000000"/>
                <w:sz w:val="22"/>
                <w:szCs w:val="22"/>
                <w:lang w:eastAsia="en-GB"/>
              </w:rPr>
            </w:pPr>
            <w:r w:rsidRPr="00C47F2F">
              <w:rPr>
                <w:noProof/>
                <w:color w:val="000000"/>
                <w:sz w:val="22"/>
                <w:szCs w:val="22"/>
              </w:rPr>
              <w:t>Type M</w:t>
            </w:r>
          </w:p>
        </w:tc>
        <w:tc>
          <w:tcPr>
            <w:tcW w:w="485" w:type="pct"/>
            <w:tcBorders>
              <w:top w:val="nil"/>
              <w:left w:val="nil"/>
              <w:bottom w:val="nil"/>
              <w:right w:val="nil"/>
            </w:tcBorders>
            <w:vAlign w:val="center"/>
            <w:hideMark/>
          </w:tcPr>
          <w:p w14:paraId="63536AEC"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9.7E-06</w:t>
            </w:r>
          </w:p>
        </w:tc>
        <w:tc>
          <w:tcPr>
            <w:tcW w:w="485" w:type="pct"/>
            <w:tcBorders>
              <w:top w:val="nil"/>
              <w:left w:val="nil"/>
              <w:bottom w:val="nil"/>
              <w:right w:val="nil"/>
            </w:tcBorders>
            <w:vAlign w:val="center"/>
            <w:hideMark/>
          </w:tcPr>
          <w:p w14:paraId="1239CB8F"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8.3E-06</w:t>
            </w:r>
          </w:p>
        </w:tc>
        <w:tc>
          <w:tcPr>
            <w:tcW w:w="485" w:type="pct"/>
            <w:tcBorders>
              <w:top w:val="nil"/>
              <w:left w:val="nil"/>
              <w:bottom w:val="nil"/>
              <w:right w:val="nil"/>
            </w:tcBorders>
            <w:vAlign w:val="center"/>
            <w:hideMark/>
          </w:tcPr>
          <w:p w14:paraId="4E42EF09"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4.9E-06</w:t>
            </w:r>
          </w:p>
        </w:tc>
        <w:tc>
          <w:tcPr>
            <w:tcW w:w="485" w:type="pct"/>
            <w:tcBorders>
              <w:top w:val="nil"/>
              <w:left w:val="nil"/>
              <w:bottom w:val="nil"/>
              <w:right w:val="nil"/>
            </w:tcBorders>
            <w:vAlign w:val="center"/>
            <w:hideMark/>
          </w:tcPr>
          <w:p w14:paraId="78D90E0C"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3.2E-06</w:t>
            </w:r>
          </w:p>
        </w:tc>
        <w:tc>
          <w:tcPr>
            <w:tcW w:w="485" w:type="pct"/>
            <w:tcBorders>
              <w:top w:val="nil"/>
              <w:left w:val="nil"/>
              <w:bottom w:val="nil"/>
              <w:right w:val="nil"/>
            </w:tcBorders>
            <w:vAlign w:val="center"/>
            <w:hideMark/>
          </w:tcPr>
          <w:p w14:paraId="39FCE423"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2.6E-06</w:t>
            </w:r>
          </w:p>
        </w:tc>
        <w:tc>
          <w:tcPr>
            <w:tcW w:w="487" w:type="pct"/>
            <w:tcBorders>
              <w:top w:val="nil"/>
              <w:left w:val="nil"/>
              <w:bottom w:val="nil"/>
              <w:right w:val="nil"/>
            </w:tcBorders>
            <w:vAlign w:val="center"/>
            <w:hideMark/>
          </w:tcPr>
          <w:p w14:paraId="35C8DD45"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2.4E-06</w:t>
            </w:r>
          </w:p>
        </w:tc>
      </w:tr>
      <w:tr w:rsidR="00612E32" w:rsidRPr="00972C81" w14:paraId="5835F52E" w14:textId="77777777" w:rsidTr="0096390F">
        <w:trPr>
          <w:trHeight w:val="340"/>
        </w:trPr>
        <w:tc>
          <w:tcPr>
            <w:tcW w:w="2087" w:type="pct"/>
            <w:tcBorders>
              <w:top w:val="nil"/>
              <w:left w:val="nil"/>
              <w:bottom w:val="single" w:sz="4" w:space="0" w:color="auto"/>
              <w:right w:val="nil"/>
            </w:tcBorders>
            <w:vAlign w:val="center"/>
            <w:hideMark/>
          </w:tcPr>
          <w:p w14:paraId="4B10BCAC" w14:textId="77777777" w:rsidR="00612E32" w:rsidRPr="00C47F2F" w:rsidRDefault="00612E32" w:rsidP="0096390F">
            <w:pPr>
              <w:jc w:val="left"/>
              <w:rPr>
                <w:rFonts w:eastAsiaTheme="minorHAnsi"/>
                <w:noProof/>
                <w:color w:val="000000"/>
                <w:sz w:val="22"/>
                <w:szCs w:val="22"/>
              </w:rPr>
            </w:pPr>
            <w:r w:rsidRPr="00C47F2F">
              <w:rPr>
                <w:noProof/>
                <w:color w:val="000000"/>
                <w:sz w:val="22"/>
                <w:szCs w:val="22"/>
              </w:rPr>
              <w:t>Type S</w:t>
            </w:r>
          </w:p>
        </w:tc>
        <w:tc>
          <w:tcPr>
            <w:tcW w:w="485" w:type="pct"/>
            <w:tcBorders>
              <w:top w:val="nil"/>
              <w:left w:val="nil"/>
              <w:bottom w:val="single" w:sz="4" w:space="0" w:color="auto"/>
              <w:right w:val="nil"/>
            </w:tcBorders>
            <w:vAlign w:val="center"/>
            <w:hideMark/>
          </w:tcPr>
          <w:p w14:paraId="5C22E115"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5.0E-05</w:t>
            </w:r>
          </w:p>
        </w:tc>
        <w:tc>
          <w:tcPr>
            <w:tcW w:w="485" w:type="pct"/>
            <w:tcBorders>
              <w:top w:val="nil"/>
              <w:left w:val="nil"/>
              <w:bottom w:val="single" w:sz="4" w:space="0" w:color="auto"/>
              <w:right w:val="nil"/>
            </w:tcBorders>
            <w:vAlign w:val="center"/>
            <w:hideMark/>
          </w:tcPr>
          <w:p w14:paraId="4121D139"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4.9E-05</w:t>
            </w:r>
          </w:p>
        </w:tc>
        <w:tc>
          <w:tcPr>
            <w:tcW w:w="485" w:type="pct"/>
            <w:tcBorders>
              <w:top w:val="nil"/>
              <w:left w:val="nil"/>
              <w:bottom w:val="single" w:sz="4" w:space="0" w:color="auto"/>
              <w:right w:val="nil"/>
            </w:tcBorders>
            <w:vAlign w:val="center"/>
            <w:hideMark/>
          </w:tcPr>
          <w:p w14:paraId="49645571"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3.4E-05</w:t>
            </w:r>
          </w:p>
        </w:tc>
        <w:tc>
          <w:tcPr>
            <w:tcW w:w="485" w:type="pct"/>
            <w:tcBorders>
              <w:top w:val="nil"/>
              <w:left w:val="nil"/>
              <w:bottom w:val="single" w:sz="4" w:space="0" w:color="auto"/>
              <w:right w:val="nil"/>
            </w:tcBorders>
            <w:vAlign w:val="center"/>
            <w:hideMark/>
          </w:tcPr>
          <w:p w14:paraId="292EB2CF"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2.5E-05</w:t>
            </w:r>
          </w:p>
        </w:tc>
        <w:tc>
          <w:tcPr>
            <w:tcW w:w="485" w:type="pct"/>
            <w:tcBorders>
              <w:top w:val="nil"/>
              <w:left w:val="nil"/>
              <w:bottom w:val="single" w:sz="4" w:space="0" w:color="auto"/>
              <w:right w:val="nil"/>
            </w:tcBorders>
            <w:vAlign w:val="center"/>
            <w:hideMark/>
          </w:tcPr>
          <w:p w14:paraId="7F8E721B"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2.4E-05</w:t>
            </w:r>
          </w:p>
        </w:tc>
        <w:tc>
          <w:tcPr>
            <w:tcW w:w="487" w:type="pct"/>
            <w:tcBorders>
              <w:top w:val="nil"/>
              <w:left w:val="nil"/>
              <w:bottom w:val="single" w:sz="4" w:space="0" w:color="auto"/>
              <w:right w:val="nil"/>
            </w:tcBorders>
            <w:vAlign w:val="center"/>
            <w:hideMark/>
          </w:tcPr>
          <w:p w14:paraId="16BC7DE2"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2.4E-05</w:t>
            </w:r>
          </w:p>
        </w:tc>
      </w:tr>
      <w:tr w:rsidR="00612E32" w:rsidRPr="00972C81" w14:paraId="6564AD1E" w14:textId="77777777" w:rsidTr="0096390F">
        <w:trPr>
          <w:trHeight w:val="340"/>
        </w:trPr>
        <w:tc>
          <w:tcPr>
            <w:tcW w:w="2087" w:type="pct"/>
            <w:tcBorders>
              <w:top w:val="single" w:sz="4" w:space="0" w:color="auto"/>
              <w:left w:val="nil"/>
              <w:bottom w:val="single" w:sz="4" w:space="0" w:color="auto"/>
              <w:right w:val="nil"/>
            </w:tcBorders>
            <w:vAlign w:val="center"/>
          </w:tcPr>
          <w:p w14:paraId="290BDAC0" w14:textId="77777777" w:rsidR="00612E32" w:rsidRPr="00C47F2F" w:rsidRDefault="00612E32">
            <w:pPr>
              <w:rPr>
                <w:rFonts w:eastAsiaTheme="minorHAnsi"/>
                <w:noProof/>
                <w:sz w:val="22"/>
                <w:szCs w:val="22"/>
              </w:rPr>
            </w:pPr>
          </w:p>
          <w:p w14:paraId="46D3C6F3" w14:textId="77777777" w:rsidR="00612E32" w:rsidRPr="00C47F2F" w:rsidRDefault="00612E32">
            <w:pPr>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vAlign w:val="center"/>
          </w:tcPr>
          <w:p w14:paraId="458431E4" w14:textId="77777777" w:rsidR="00612E32" w:rsidRPr="00C47F2F" w:rsidRDefault="00612E32">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7B7ADAF4" w14:textId="77777777" w:rsidR="00612E32" w:rsidRPr="00C47F2F" w:rsidRDefault="00612E32">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332ECEC2" w14:textId="77777777" w:rsidR="00612E32" w:rsidRPr="00C47F2F" w:rsidRDefault="00612E32">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25BEB5BB" w14:textId="77777777" w:rsidR="00612E32" w:rsidRPr="00C47F2F" w:rsidRDefault="00612E32">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204E84D4" w14:textId="77777777" w:rsidR="00612E32" w:rsidRPr="00C47F2F" w:rsidRDefault="00612E32">
            <w:pPr>
              <w:jc w:val="center"/>
              <w:rPr>
                <w:rFonts w:eastAsia="Times New Roman"/>
                <w:noProof/>
                <w:color w:val="000000"/>
                <w:sz w:val="22"/>
                <w:szCs w:val="22"/>
              </w:rPr>
            </w:pPr>
          </w:p>
        </w:tc>
        <w:tc>
          <w:tcPr>
            <w:tcW w:w="487" w:type="pct"/>
            <w:tcBorders>
              <w:top w:val="single" w:sz="4" w:space="0" w:color="auto"/>
              <w:left w:val="nil"/>
              <w:bottom w:val="single" w:sz="4" w:space="0" w:color="auto"/>
              <w:right w:val="nil"/>
            </w:tcBorders>
            <w:vAlign w:val="center"/>
          </w:tcPr>
          <w:p w14:paraId="7F4A6DD6" w14:textId="77777777" w:rsidR="00612E32" w:rsidRPr="00C47F2F" w:rsidRDefault="00612E32">
            <w:pPr>
              <w:jc w:val="center"/>
              <w:rPr>
                <w:rFonts w:eastAsia="Times New Roman"/>
                <w:noProof/>
                <w:color w:val="000000"/>
                <w:sz w:val="22"/>
                <w:szCs w:val="22"/>
              </w:rPr>
            </w:pPr>
          </w:p>
        </w:tc>
      </w:tr>
      <w:tr w:rsidR="00612E32" w:rsidRPr="00972C81" w14:paraId="21443E93" w14:textId="77777777" w:rsidTr="0096390F">
        <w:trPr>
          <w:trHeight w:val="340"/>
        </w:trPr>
        <w:tc>
          <w:tcPr>
            <w:tcW w:w="2087" w:type="pct"/>
            <w:tcBorders>
              <w:top w:val="single" w:sz="4" w:space="0" w:color="auto"/>
              <w:left w:val="nil"/>
              <w:bottom w:val="nil"/>
              <w:right w:val="nil"/>
            </w:tcBorders>
            <w:vAlign w:val="center"/>
            <w:hideMark/>
          </w:tcPr>
          <w:p w14:paraId="625233D5" w14:textId="77777777" w:rsidR="00612E32" w:rsidRPr="00C47F2F" w:rsidRDefault="00612E32" w:rsidP="0096390F">
            <w:pPr>
              <w:jc w:val="left"/>
              <w:rPr>
                <w:rFonts w:eastAsiaTheme="minorHAnsi"/>
                <w:noProof/>
                <w:sz w:val="22"/>
                <w:szCs w:val="22"/>
              </w:rPr>
            </w:pPr>
            <w:r w:rsidRPr="00C47F2F">
              <w:rPr>
                <w:noProof/>
                <w:sz w:val="22"/>
                <w:szCs w:val="22"/>
              </w:rPr>
              <w:t>Soluble forms</w:t>
            </w:r>
          </w:p>
        </w:tc>
        <w:tc>
          <w:tcPr>
            <w:tcW w:w="485" w:type="pct"/>
            <w:tcBorders>
              <w:top w:val="single" w:sz="4" w:space="0" w:color="auto"/>
              <w:left w:val="nil"/>
              <w:bottom w:val="nil"/>
              <w:right w:val="nil"/>
            </w:tcBorders>
            <w:vAlign w:val="center"/>
            <w:hideMark/>
          </w:tcPr>
          <w:p w14:paraId="069B6DB7"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7.0E-07</w:t>
            </w:r>
          </w:p>
        </w:tc>
        <w:tc>
          <w:tcPr>
            <w:tcW w:w="485" w:type="pct"/>
            <w:tcBorders>
              <w:top w:val="single" w:sz="4" w:space="0" w:color="auto"/>
              <w:left w:val="nil"/>
              <w:bottom w:val="nil"/>
              <w:right w:val="nil"/>
            </w:tcBorders>
            <w:vAlign w:val="center"/>
            <w:hideMark/>
          </w:tcPr>
          <w:p w14:paraId="13CCB836"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2.4E-07</w:t>
            </w:r>
          </w:p>
        </w:tc>
        <w:tc>
          <w:tcPr>
            <w:tcW w:w="485" w:type="pct"/>
            <w:tcBorders>
              <w:top w:val="single" w:sz="4" w:space="0" w:color="auto"/>
              <w:left w:val="nil"/>
              <w:bottom w:val="nil"/>
              <w:right w:val="nil"/>
            </w:tcBorders>
            <w:vAlign w:val="center"/>
            <w:hideMark/>
          </w:tcPr>
          <w:p w14:paraId="2FC3A1F8"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1.6E-07</w:t>
            </w:r>
          </w:p>
        </w:tc>
        <w:tc>
          <w:tcPr>
            <w:tcW w:w="485" w:type="pct"/>
            <w:tcBorders>
              <w:top w:val="single" w:sz="4" w:space="0" w:color="auto"/>
              <w:left w:val="nil"/>
              <w:bottom w:val="nil"/>
              <w:right w:val="nil"/>
            </w:tcBorders>
            <w:vAlign w:val="center"/>
            <w:hideMark/>
          </w:tcPr>
          <w:p w14:paraId="7F298354"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7.5E-08</w:t>
            </w:r>
          </w:p>
        </w:tc>
        <w:tc>
          <w:tcPr>
            <w:tcW w:w="485" w:type="pct"/>
            <w:tcBorders>
              <w:top w:val="single" w:sz="4" w:space="0" w:color="auto"/>
              <w:left w:val="nil"/>
              <w:bottom w:val="nil"/>
              <w:right w:val="nil"/>
            </w:tcBorders>
            <w:vAlign w:val="center"/>
            <w:hideMark/>
          </w:tcPr>
          <w:p w14:paraId="76A01E5B"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6.8E-08</w:t>
            </w:r>
          </w:p>
        </w:tc>
        <w:tc>
          <w:tcPr>
            <w:tcW w:w="487" w:type="pct"/>
            <w:tcBorders>
              <w:top w:val="single" w:sz="4" w:space="0" w:color="auto"/>
              <w:left w:val="nil"/>
              <w:bottom w:val="nil"/>
              <w:right w:val="nil"/>
            </w:tcBorders>
            <w:vAlign w:val="center"/>
            <w:hideMark/>
          </w:tcPr>
          <w:p w14:paraId="77B9782D"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3.5E-08</w:t>
            </w:r>
          </w:p>
        </w:tc>
      </w:tr>
      <w:tr w:rsidR="00612E32" w:rsidRPr="00972C81" w14:paraId="0401A439" w14:textId="77777777" w:rsidTr="0096390F">
        <w:trPr>
          <w:trHeight w:val="340"/>
        </w:trPr>
        <w:tc>
          <w:tcPr>
            <w:tcW w:w="2087" w:type="pct"/>
            <w:tcBorders>
              <w:top w:val="nil"/>
              <w:left w:val="nil"/>
              <w:bottom w:val="single" w:sz="4" w:space="0" w:color="auto"/>
              <w:right w:val="nil"/>
            </w:tcBorders>
            <w:vAlign w:val="center"/>
            <w:hideMark/>
          </w:tcPr>
          <w:p w14:paraId="52215A5A" w14:textId="77777777" w:rsidR="00612E32" w:rsidRPr="00C47F2F" w:rsidRDefault="00612E32" w:rsidP="0096390F">
            <w:pPr>
              <w:jc w:val="left"/>
              <w:rPr>
                <w:rFonts w:eastAsiaTheme="minorHAnsi"/>
                <w:noProof/>
                <w:sz w:val="22"/>
                <w:szCs w:val="22"/>
              </w:rPr>
            </w:pPr>
            <w:r w:rsidRPr="00C47F2F">
              <w:rPr>
                <w:noProof/>
                <w:sz w:val="22"/>
                <w:szCs w:val="22"/>
              </w:rPr>
              <w:t>Relatively insoluble forms</w:t>
            </w:r>
          </w:p>
        </w:tc>
        <w:tc>
          <w:tcPr>
            <w:tcW w:w="485" w:type="pct"/>
            <w:tcBorders>
              <w:top w:val="nil"/>
              <w:left w:val="nil"/>
              <w:bottom w:val="single" w:sz="4" w:space="0" w:color="auto"/>
              <w:right w:val="nil"/>
            </w:tcBorders>
            <w:vAlign w:val="center"/>
            <w:hideMark/>
          </w:tcPr>
          <w:p w14:paraId="64941D70"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7.0E-08</w:t>
            </w:r>
          </w:p>
        </w:tc>
        <w:tc>
          <w:tcPr>
            <w:tcW w:w="485" w:type="pct"/>
            <w:tcBorders>
              <w:top w:val="nil"/>
              <w:left w:val="nil"/>
              <w:bottom w:val="single" w:sz="4" w:space="0" w:color="auto"/>
              <w:right w:val="nil"/>
            </w:tcBorders>
            <w:vAlign w:val="center"/>
            <w:hideMark/>
          </w:tcPr>
          <w:p w14:paraId="213A3D5D"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2.4E-08</w:t>
            </w:r>
          </w:p>
        </w:tc>
        <w:tc>
          <w:tcPr>
            <w:tcW w:w="485" w:type="pct"/>
            <w:tcBorders>
              <w:top w:val="nil"/>
              <w:left w:val="nil"/>
              <w:bottom w:val="single" w:sz="4" w:space="0" w:color="auto"/>
              <w:right w:val="nil"/>
            </w:tcBorders>
            <w:vAlign w:val="center"/>
            <w:hideMark/>
          </w:tcPr>
          <w:p w14:paraId="5250CCEF"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1.6E-08</w:t>
            </w:r>
          </w:p>
        </w:tc>
        <w:tc>
          <w:tcPr>
            <w:tcW w:w="485" w:type="pct"/>
            <w:tcBorders>
              <w:top w:val="nil"/>
              <w:left w:val="nil"/>
              <w:bottom w:val="single" w:sz="4" w:space="0" w:color="auto"/>
              <w:right w:val="nil"/>
            </w:tcBorders>
            <w:vAlign w:val="center"/>
            <w:hideMark/>
          </w:tcPr>
          <w:p w14:paraId="00D2D6DA"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7.5E-09</w:t>
            </w:r>
          </w:p>
        </w:tc>
        <w:tc>
          <w:tcPr>
            <w:tcW w:w="485" w:type="pct"/>
            <w:tcBorders>
              <w:top w:val="nil"/>
              <w:left w:val="nil"/>
              <w:bottom w:val="single" w:sz="4" w:space="0" w:color="auto"/>
              <w:right w:val="nil"/>
            </w:tcBorders>
            <w:vAlign w:val="center"/>
            <w:hideMark/>
          </w:tcPr>
          <w:p w14:paraId="33891D7F"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6.8E-09</w:t>
            </w:r>
          </w:p>
        </w:tc>
        <w:tc>
          <w:tcPr>
            <w:tcW w:w="487" w:type="pct"/>
            <w:tcBorders>
              <w:top w:val="nil"/>
              <w:left w:val="nil"/>
              <w:bottom w:val="single" w:sz="4" w:space="0" w:color="auto"/>
              <w:right w:val="nil"/>
            </w:tcBorders>
            <w:vAlign w:val="center"/>
            <w:hideMark/>
          </w:tcPr>
          <w:p w14:paraId="2E3D62BC"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3.5E-09</w:t>
            </w:r>
          </w:p>
        </w:tc>
      </w:tr>
    </w:tbl>
    <w:p w14:paraId="3552F57F" w14:textId="77777777" w:rsidR="0096390F" w:rsidRDefault="0096390F" w:rsidP="00C47F2F">
      <w:pPr>
        <w:widowControl/>
        <w:jc w:val="left"/>
        <w:rPr>
          <w:noProof/>
          <w:szCs w:val="24"/>
        </w:rPr>
      </w:pPr>
    </w:p>
    <w:p w14:paraId="57CC7E59" w14:textId="6EA46F69" w:rsidR="00612E32" w:rsidRPr="00972C81" w:rsidRDefault="00612E32" w:rsidP="00C47F2F">
      <w:pPr>
        <w:widowControl/>
        <w:jc w:val="left"/>
        <w:rPr>
          <w:noProof/>
          <w:szCs w:val="24"/>
        </w:rPr>
      </w:pPr>
      <w:r w:rsidRPr="00972C81">
        <w:rPr>
          <w:noProof/>
          <w:szCs w:val="24"/>
        </w:rPr>
        <w:t>Table 20.4. Committed effective dose coefficients (Sv Bq</w:t>
      </w:r>
      <w:r w:rsidRPr="00972C81">
        <w:rPr>
          <w:noProof/>
          <w:szCs w:val="24"/>
          <w:vertAlign w:val="superscript"/>
        </w:rPr>
        <w:t>-1</w:t>
      </w:r>
      <w:r w:rsidRPr="00972C81">
        <w:rPr>
          <w:noProof/>
          <w:szCs w:val="24"/>
        </w:rPr>
        <w:t xml:space="preserve">) for the inhalation or ingestion of </w:t>
      </w:r>
      <w:r w:rsidRPr="00972C81">
        <w:rPr>
          <w:noProof/>
          <w:szCs w:val="24"/>
          <w:vertAlign w:val="superscript"/>
        </w:rPr>
        <w:t>235</w:t>
      </w:r>
      <w:r w:rsidRPr="00972C81">
        <w:rPr>
          <w:noProof/>
          <w:szCs w:val="24"/>
        </w:rPr>
        <w:t>U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8"/>
        <w:gridCol w:w="876"/>
        <w:gridCol w:w="877"/>
        <w:gridCol w:w="877"/>
        <w:gridCol w:w="876"/>
        <w:gridCol w:w="877"/>
        <w:gridCol w:w="876"/>
      </w:tblGrid>
      <w:tr w:rsidR="00612E32" w:rsidRPr="00A3213E" w14:paraId="353A48A5" w14:textId="77777777" w:rsidTr="0096390F">
        <w:trPr>
          <w:trHeight w:val="340"/>
        </w:trPr>
        <w:tc>
          <w:tcPr>
            <w:tcW w:w="2087" w:type="pct"/>
            <w:vMerge w:val="restart"/>
            <w:tcBorders>
              <w:top w:val="single" w:sz="4" w:space="0" w:color="auto"/>
              <w:left w:val="nil"/>
              <w:bottom w:val="single" w:sz="4" w:space="0" w:color="auto"/>
              <w:right w:val="nil"/>
            </w:tcBorders>
            <w:vAlign w:val="bottom"/>
            <w:hideMark/>
          </w:tcPr>
          <w:p w14:paraId="67C336B9" w14:textId="6263E506" w:rsidR="00CB3E51" w:rsidRPr="00C47F2F" w:rsidRDefault="00612E32">
            <w:pPr>
              <w:pStyle w:val="a5"/>
              <w:tabs>
                <w:tab w:val="clear" w:pos="4153"/>
                <w:tab w:val="clear" w:pos="8306"/>
              </w:tabs>
              <w:rPr>
                <w:noProof/>
                <w:sz w:val="22"/>
                <w:szCs w:val="22"/>
              </w:rPr>
            </w:pPr>
            <w:r w:rsidRPr="00C47F2F">
              <w:rPr>
                <w:noProof/>
                <w:sz w:val="22"/>
                <w:szCs w:val="22"/>
              </w:rPr>
              <w:t>Inhaled particulate materials</w:t>
            </w:r>
          </w:p>
          <w:p w14:paraId="63BFD664" w14:textId="61111799" w:rsidR="00612E32" w:rsidRPr="00CB3E51" w:rsidRDefault="00612E32" w:rsidP="00C47F2F">
            <w:pPr>
              <w:pStyle w:val="a5"/>
              <w:tabs>
                <w:tab w:val="clear" w:pos="4153"/>
                <w:tab w:val="clear" w:pos="8306"/>
              </w:tabs>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5190A5ED" w14:textId="77777777" w:rsidR="00612E32" w:rsidRPr="00C47F2F" w:rsidRDefault="00612E32" w:rsidP="0096390F">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612E32" w:rsidRPr="00972C81" w14:paraId="1D458259" w14:textId="77777777" w:rsidTr="0096390F">
        <w:trPr>
          <w:trHeight w:val="340"/>
        </w:trPr>
        <w:tc>
          <w:tcPr>
            <w:tcW w:w="2087" w:type="pct"/>
            <w:vMerge/>
            <w:tcBorders>
              <w:top w:val="single" w:sz="4" w:space="0" w:color="auto"/>
              <w:left w:val="nil"/>
              <w:bottom w:val="single" w:sz="4" w:space="0" w:color="auto"/>
              <w:right w:val="nil"/>
            </w:tcBorders>
            <w:vAlign w:val="center"/>
            <w:hideMark/>
          </w:tcPr>
          <w:p w14:paraId="1801A9BA" w14:textId="77777777" w:rsidR="00612E32" w:rsidRPr="00CB3E51" w:rsidRDefault="00612E32">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12D8F880" w14:textId="7A66BF3F" w:rsidR="00612E32" w:rsidRPr="00C47F2F" w:rsidRDefault="00612E32" w:rsidP="0096390F">
            <w:pPr>
              <w:jc w:val="left"/>
              <w:rPr>
                <w:noProof/>
                <w:sz w:val="22"/>
                <w:szCs w:val="22"/>
                <w:lang w:eastAsia="ko-KR"/>
              </w:rPr>
            </w:pPr>
            <w:r w:rsidRPr="00C47F2F">
              <w:rPr>
                <w:noProof/>
                <w:sz w:val="22"/>
                <w:szCs w:val="22"/>
              </w:rPr>
              <w:t>3</w:t>
            </w:r>
            <w:r w:rsidR="00CB3E51">
              <w:rPr>
                <w:rFonts w:hint="eastAsia"/>
                <w:noProof/>
                <w:sz w:val="22"/>
                <w:szCs w:val="22"/>
                <w:lang w:eastAsia="ko-KR"/>
              </w:rPr>
              <w:t xml:space="preserve"> </w:t>
            </w:r>
            <w:r w:rsidRPr="00C47F2F">
              <w:rPr>
                <w:noProof/>
                <w:sz w:val="22"/>
                <w:szCs w:val="22"/>
              </w:rPr>
              <w:t>m</w:t>
            </w:r>
            <w:r w:rsidR="0096390F">
              <w:rPr>
                <w:rFonts w:hint="eastAsia"/>
                <w:noProof/>
                <w:sz w:val="22"/>
                <w:szCs w:val="22"/>
                <w:lang w:eastAsia="ko-KR"/>
              </w:rPr>
              <w:t>o</w:t>
            </w:r>
          </w:p>
        </w:tc>
        <w:tc>
          <w:tcPr>
            <w:tcW w:w="486" w:type="pct"/>
            <w:tcBorders>
              <w:top w:val="single" w:sz="4" w:space="0" w:color="auto"/>
              <w:left w:val="nil"/>
              <w:bottom w:val="single" w:sz="4" w:space="0" w:color="auto"/>
              <w:right w:val="nil"/>
            </w:tcBorders>
            <w:vAlign w:val="center"/>
            <w:hideMark/>
          </w:tcPr>
          <w:p w14:paraId="28C1F542" w14:textId="5A977193" w:rsidR="00612E32" w:rsidRPr="00C47F2F" w:rsidRDefault="00612E32" w:rsidP="0096390F">
            <w:pPr>
              <w:jc w:val="left"/>
              <w:rPr>
                <w:noProof/>
                <w:sz w:val="22"/>
                <w:szCs w:val="22"/>
              </w:rPr>
            </w:pPr>
            <w:r w:rsidRPr="00C47F2F">
              <w:rPr>
                <w:noProof/>
                <w:sz w:val="22"/>
                <w:szCs w:val="22"/>
              </w:rPr>
              <w:t>1</w:t>
            </w:r>
            <w:r w:rsidR="00CB3E51">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33EAA5A4" w14:textId="344506DF" w:rsidR="00612E32" w:rsidRPr="00C47F2F" w:rsidRDefault="00612E32" w:rsidP="0096390F">
            <w:pPr>
              <w:jc w:val="left"/>
              <w:rPr>
                <w:noProof/>
                <w:sz w:val="22"/>
                <w:szCs w:val="22"/>
              </w:rPr>
            </w:pPr>
            <w:r w:rsidRPr="00C47F2F">
              <w:rPr>
                <w:noProof/>
                <w:sz w:val="22"/>
                <w:szCs w:val="22"/>
              </w:rPr>
              <w:t>5</w:t>
            </w:r>
            <w:r w:rsidR="00CB3E51">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4BE1550D" w14:textId="73DB3426" w:rsidR="00612E32" w:rsidRPr="00C47F2F" w:rsidRDefault="00612E32" w:rsidP="0096390F">
            <w:pPr>
              <w:jc w:val="left"/>
              <w:rPr>
                <w:noProof/>
                <w:sz w:val="22"/>
                <w:szCs w:val="22"/>
              </w:rPr>
            </w:pPr>
            <w:r w:rsidRPr="00C47F2F">
              <w:rPr>
                <w:noProof/>
                <w:sz w:val="22"/>
                <w:szCs w:val="22"/>
              </w:rPr>
              <w:t>10</w:t>
            </w:r>
            <w:r w:rsidR="00CB3E51">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1E88B0B6" w14:textId="1A2C7E71" w:rsidR="00612E32" w:rsidRPr="00C47F2F" w:rsidRDefault="00612E32" w:rsidP="0096390F">
            <w:pPr>
              <w:jc w:val="left"/>
              <w:rPr>
                <w:noProof/>
                <w:sz w:val="22"/>
                <w:szCs w:val="22"/>
              </w:rPr>
            </w:pPr>
            <w:r w:rsidRPr="00C47F2F">
              <w:rPr>
                <w:noProof/>
                <w:sz w:val="22"/>
                <w:szCs w:val="22"/>
              </w:rPr>
              <w:t>15</w:t>
            </w:r>
            <w:r w:rsidR="00CB3E51">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7CEFF98D" w14:textId="77777777" w:rsidR="00612E32" w:rsidRPr="00C47F2F" w:rsidRDefault="00612E32" w:rsidP="0096390F">
            <w:pPr>
              <w:jc w:val="left"/>
              <w:rPr>
                <w:noProof/>
                <w:sz w:val="22"/>
                <w:szCs w:val="22"/>
              </w:rPr>
            </w:pPr>
            <w:r w:rsidRPr="00C47F2F">
              <w:rPr>
                <w:noProof/>
                <w:sz w:val="22"/>
                <w:szCs w:val="22"/>
              </w:rPr>
              <w:t>Adult</w:t>
            </w:r>
          </w:p>
        </w:tc>
      </w:tr>
      <w:tr w:rsidR="00612E32" w:rsidRPr="00972C81" w14:paraId="566E7215" w14:textId="77777777" w:rsidTr="0096390F">
        <w:trPr>
          <w:trHeight w:val="340"/>
        </w:trPr>
        <w:tc>
          <w:tcPr>
            <w:tcW w:w="2087" w:type="pct"/>
            <w:tcBorders>
              <w:top w:val="single" w:sz="4" w:space="0" w:color="auto"/>
              <w:left w:val="nil"/>
              <w:bottom w:val="nil"/>
              <w:right w:val="nil"/>
            </w:tcBorders>
            <w:vAlign w:val="center"/>
            <w:hideMark/>
          </w:tcPr>
          <w:p w14:paraId="0EA64802" w14:textId="77777777" w:rsidR="00612E32" w:rsidRPr="00C47F2F" w:rsidRDefault="00612E32" w:rsidP="0096390F">
            <w:pPr>
              <w:jc w:val="left"/>
              <w:rPr>
                <w:noProof/>
                <w:color w:val="000000"/>
                <w:sz w:val="22"/>
                <w:szCs w:val="22"/>
              </w:rPr>
            </w:pPr>
            <w:r w:rsidRPr="00C47F2F">
              <w:rPr>
                <w:rFonts w:eastAsia="Times New Roman"/>
                <w:noProof/>
                <w:color w:val="000000"/>
                <w:sz w:val="22"/>
                <w:szCs w:val="22"/>
              </w:rPr>
              <w:t>Type FM</w:t>
            </w:r>
          </w:p>
        </w:tc>
        <w:tc>
          <w:tcPr>
            <w:tcW w:w="485" w:type="pct"/>
            <w:tcBorders>
              <w:top w:val="single" w:sz="4" w:space="0" w:color="auto"/>
              <w:left w:val="nil"/>
              <w:bottom w:val="nil"/>
              <w:right w:val="nil"/>
            </w:tcBorders>
            <w:vAlign w:val="center"/>
            <w:hideMark/>
          </w:tcPr>
          <w:p w14:paraId="1C2526A2"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2.6E-06</w:t>
            </w:r>
          </w:p>
        </w:tc>
        <w:tc>
          <w:tcPr>
            <w:tcW w:w="486" w:type="pct"/>
            <w:tcBorders>
              <w:top w:val="single" w:sz="4" w:space="0" w:color="auto"/>
              <w:left w:val="nil"/>
              <w:bottom w:val="nil"/>
              <w:right w:val="nil"/>
            </w:tcBorders>
            <w:vAlign w:val="center"/>
            <w:hideMark/>
          </w:tcPr>
          <w:p w14:paraId="5847C747"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2.0E-06</w:t>
            </w:r>
          </w:p>
        </w:tc>
        <w:tc>
          <w:tcPr>
            <w:tcW w:w="486" w:type="pct"/>
            <w:tcBorders>
              <w:top w:val="single" w:sz="4" w:space="0" w:color="auto"/>
              <w:left w:val="nil"/>
              <w:bottom w:val="nil"/>
              <w:right w:val="nil"/>
            </w:tcBorders>
            <w:vAlign w:val="center"/>
            <w:hideMark/>
          </w:tcPr>
          <w:p w14:paraId="54B4D1FF"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1.2E-06</w:t>
            </w:r>
          </w:p>
        </w:tc>
        <w:tc>
          <w:tcPr>
            <w:tcW w:w="485" w:type="pct"/>
            <w:tcBorders>
              <w:top w:val="single" w:sz="4" w:space="0" w:color="auto"/>
              <w:left w:val="nil"/>
              <w:bottom w:val="nil"/>
              <w:right w:val="nil"/>
            </w:tcBorders>
            <w:vAlign w:val="center"/>
            <w:hideMark/>
          </w:tcPr>
          <w:p w14:paraId="37E9105C"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8.4E-07</w:t>
            </w:r>
          </w:p>
        </w:tc>
        <w:tc>
          <w:tcPr>
            <w:tcW w:w="486" w:type="pct"/>
            <w:tcBorders>
              <w:top w:val="single" w:sz="4" w:space="0" w:color="auto"/>
              <w:left w:val="nil"/>
              <w:bottom w:val="nil"/>
              <w:right w:val="nil"/>
            </w:tcBorders>
            <w:vAlign w:val="center"/>
            <w:hideMark/>
          </w:tcPr>
          <w:p w14:paraId="03256268"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7.3E-07</w:t>
            </w:r>
          </w:p>
        </w:tc>
        <w:tc>
          <w:tcPr>
            <w:tcW w:w="486" w:type="pct"/>
            <w:tcBorders>
              <w:top w:val="single" w:sz="4" w:space="0" w:color="auto"/>
              <w:left w:val="nil"/>
              <w:bottom w:val="nil"/>
              <w:right w:val="nil"/>
            </w:tcBorders>
            <w:vAlign w:val="center"/>
            <w:hideMark/>
          </w:tcPr>
          <w:p w14:paraId="4C3CE01C"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6.4E-07</w:t>
            </w:r>
          </w:p>
        </w:tc>
      </w:tr>
      <w:tr w:rsidR="00612E32" w:rsidRPr="00972C81" w14:paraId="74682E9C" w14:textId="77777777" w:rsidTr="0096390F">
        <w:trPr>
          <w:trHeight w:val="340"/>
        </w:trPr>
        <w:tc>
          <w:tcPr>
            <w:tcW w:w="2087" w:type="pct"/>
            <w:tcBorders>
              <w:top w:val="nil"/>
              <w:left w:val="nil"/>
              <w:bottom w:val="nil"/>
              <w:right w:val="nil"/>
            </w:tcBorders>
            <w:vAlign w:val="center"/>
            <w:hideMark/>
          </w:tcPr>
          <w:p w14:paraId="661B6D4A" w14:textId="77777777" w:rsidR="00612E32" w:rsidRPr="00C47F2F" w:rsidRDefault="00612E32" w:rsidP="0096390F">
            <w:pPr>
              <w:jc w:val="left"/>
              <w:rPr>
                <w:rFonts w:eastAsiaTheme="minorHAnsi"/>
                <w:noProof/>
                <w:color w:val="000000"/>
                <w:sz w:val="22"/>
                <w:szCs w:val="22"/>
              </w:rPr>
            </w:pPr>
            <w:r w:rsidRPr="00C47F2F">
              <w:rPr>
                <w:rFonts w:eastAsia="Times New Roman"/>
                <w:noProof/>
                <w:color w:val="000000"/>
                <w:sz w:val="22"/>
                <w:szCs w:val="22"/>
                <w:lang w:eastAsia="en-GB"/>
              </w:rPr>
              <w:t>Type MS</w:t>
            </w:r>
          </w:p>
        </w:tc>
        <w:tc>
          <w:tcPr>
            <w:tcW w:w="485" w:type="pct"/>
            <w:tcBorders>
              <w:top w:val="nil"/>
              <w:left w:val="nil"/>
              <w:bottom w:val="nil"/>
              <w:right w:val="nil"/>
            </w:tcBorders>
            <w:vAlign w:val="center"/>
            <w:hideMark/>
          </w:tcPr>
          <w:p w14:paraId="453C8BAC"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2.7E-05</w:t>
            </w:r>
          </w:p>
        </w:tc>
        <w:tc>
          <w:tcPr>
            <w:tcW w:w="486" w:type="pct"/>
            <w:tcBorders>
              <w:top w:val="nil"/>
              <w:left w:val="nil"/>
              <w:bottom w:val="nil"/>
              <w:right w:val="nil"/>
            </w:tcBorders>
            <w:vAlign w:val="center"/>
            <w:hideMark/>
          </w:tcPr>
          <w:p w14:paraId="3EC70C84"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2.5E-05</w:t>
            </w:r>
          </w:p>
        </w:tc>
        <w:tc>
          <w:tcPr>
            <w:tcW w:w="486" w:type="pct"/>
            <w:tcBorders>
              <w:top w:val="nil"/>
              <w:left w:val="nil"/>
              <w:bottom w:val="nil"/>
              <w:right w:val="nil"/>
            </w:tcBorders>
            <w:vAlign w:val="center"/>
            <w:hideMark/>
          </w:tcPr>
          <w:p w14:paraId="75380548"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1.6E-05</w:t>
            </w:r>
          </w:p>
        </w:tc>
        <w:tc>
          <w:tcPr>
            <w:tcW w:w="485" w:type="pct"/>
            <w:tcBorders>
              <w:top w:val="nil"/>
              <w:left w:val="nil"/>
              <w:bottom w:val="nil"/>
              <w:right w:val="nil"/>
            </w:tcBorders>
            <w:vAlign w:val="center"/>
            <w:hideMark/>
          </w:tcPr>
          <w:p w14:paraId="012F997D"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1.0E-05</w:t>
            </w:r>
          </w:p>
        </w:tc>
        <w:tc>
          <w:tcPr>
            <w:tcW w:w="486" w:type="pct"/>
            <w:tcBorders>
              <w:top w:val="nil"/>
              <w:left w:val="nil"/>
              <w:bottom w:val="nil"/>
              <w:right w:val="nil"/>
            </w:tcBorders>
            <w:vAlign w:val="center"/>
            <w:hideMark/>
          </w:tcPr>
          <w:p w14:paraId="1A200D7B"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8.4E-06</w:t>
            </w:r>
          </w:p>
        </w:tc>
        <w:tc>
          <w:tcPr>
            <w:tcW w:w="486" w:type="pct"/>
            <w:tcBorders>
              <w:top w:val="nil"/>
              <w:left w:val="nil"/>
              <w:bottom w:val="nil"/>
              <w:right w:val="nil"/>
            </w:tcBorders>
            <w:vAlign w:val="center"/>
            <w:hideMark/>
          </w:tcPr>
          <w:p w14:paraId="5AB1DC95"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8.3E-06</w:t>
            </w:r>
          </w:p>
        </w:tc>
      </w:tr>
      <w:tr w:rsidR="00612E32" w:rsidRPr="00972C81" w14:paraId="36B37C19" w14:textId="77777777" w:rsidTr="0096390F">
        <w:trPr>
          <w:trHeight w:val="340"/>
        </w:trPr>
        <w:tc>
          <w:tcPr>
            <w:tcW w:w="2087" w:type="pct"/>
            <w:tcBorders>
              <w:top w:val="nil"/>
              <w:left w:val="nil"/>
              <w:bottom w:val="nil"/>
              <w:right w:val="nil"/>
            </w:tcBorders>
            <w:vAlign w:val="center"/>
            <w:hideMark/>
          </w:tcPr>
          <w:p w14:paraId="5BD0FD2C" w14:textId="77777777" w:rsidR="00612E32" w:rsidRPr="00C47F2F" w:rsidRDefault="00612E32" w:rsidP="0096390F">
            <w:pPr>
              <w:jc w:val="left"/>
              <w:rPr>
                <w:rFonts w:eastAsiaTheme="minorHAnsi"/>
                <w:noProof/>
                <w:color w:val="000000"/>
                <w:sz w:val="22"/>
                <w:szCs w:val="22"/>
              </w:rPr>
            </w:pPr>
            <w:r w:rsidRPr="00C47F2F">
              <w:rPr>
                <w:noProof/>
                <w:color w:val="000000"/>
                <w:sz w:val="22"/>
                <w:szCs w:val="22"/>
              </w:rPr>
              <w:t>UAlx</w:t>
            </w:r>
          </w:p>
        </w:tc>
        <w:tc>
          <w:tcPr>
            <w:tcW w:w="485" w:type="pct"/>
            <w:tcBorders>
              <w:top w:val="nil"/>
              <w:left w:val="nil"/>
              <w:bottom w:val="nil"/>
              <w:right w:val="nil"/>
            </w:tcBorders>
            <w:vAlign w:val="center"/>
            <w:hideMark/>
          </w:tcPr>
          <w:p w14:paraId="7B8D6D67"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1.8E-05</w:t>
            </w:r>
          </w:p>
        </w:tc>
        <w:tc>
          <w:tcPr>
            <w:tcW w:w="486" w:type="pct"/>
            <w:tcBorders>
              <w:top w:val="nil"/>
              <w:left w:val="nil"/>
              <w:bottom w:val="nil"/>
              <w:right w:val="nil"/>
            </w:tcBorders>
            <w:vAlign w:val="center"/>
            <w:hideMark/>
          </w:tcPr>
          <w:p w14:paraId="7BAB0240"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1.6E-05</w:t>
            </w:r>
          </w:p>
        </w:tc>
        <w:tc>
          <w:tcPr>
            <w:tcW w:w="486" w:type="pct"/>
            <w:tcBorders>
              <w:top w:val="nil"/>
              <w:left w:val="nil"/>
              <w:bottom w:val="nil"/>
              <w:right w:val="nil"/>
            </w:tcBorders>
            <w:vAlign w:val="center"/>
            <w:hideMark/>
          </w:tcPr>
          <w:p w14:paraId="6A823893"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9.4E-06</w:t>
            </w:r>
          </w:p>
        </w:tc>
        <w:tc>
          <w:tcPr>
            <w:tcW w:w="485" w:type="pct"/>
            <w:tcBorders>
              <w:top w:val="nil"/>
              <w:left w:val="nil"/>
              <w:bottom w:val="nil"/>
              <w:right w:val="nil"/>
            </w:tcBorders>
            <w:vAlign w:val="center"/>
            <w:hideMark/>
          </w:tcPr>
          <w:p w14:paraId="20C14BD3"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6.1E-06</w:t>
            </w:r>
          </w:p>
        </w:tc>
        <w:tc>
          <w:tcPr>
            <w:tcW w:w="486" w:type="pct"/>
            <w:tcBorders>
              <w:top w:val="nil"/>
              <w:left w:val="nil"/>
              <w:bottom w:val="nil"/>
              <w:right w:val="nil"/>
            </w:tcBorders>
            <w:vAlign w:val="center"/>
            <w:hideMark/>
          </w:tcPr>
          <w:p w14:paraId="3286B120"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4.8E-06</w:t>
            </w:r>
          </w:p>
        </w:tc>
        <w:tc>
          <w:tcPr>
            <w:tcW w:w="486" w:type="pct"/>
            <w:tcBorders>
              <w:top w:val="nil"/>
              <w:left w:val="nil"/>
              <w:bottom w:val="nil"/>
              <w:right w:val="nil"/>
            </w:tcBorders>
            <w:vAlign w:val="center"/>
            <w:hideMark/>
          </w:tcPr>
          <w:p w14:paraId="7445D96F"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4.5E-06</w:t>
            </w:r>
          </w:p>
        </w:tc>
      </w:tr>
      <w:tr w:rsidR="00612E32" w:rsidRPr="00972C81" w14:paraId="651B03E2" w14:textId="77777777" w:rsidTr="0096390F">
        <w:trPr>
          <w:trHeight w:val="340"/>
        </w:trPr>
        <w:tc>
          <w:tcPr>
            <w:tcW w:w="2087" w:type="pct"/>
            <w:tcBorders>
              <w:top w:val="nil"/>
              <w:left w:val="nil"/>
              <w:bottom w:val="nil"/>
              <w:right w:val="nil"/>
            </w:tcBorders>
            <w:vAlign w:val="center"/>
            <w:hideMark/>
          </w:tcPr>
          <w:p w14:paraId="1EAC9FD4" w14:textId="77777777" w:rsidR="00612E32" w:rsidRPr="00C47F2F" w:rsidRDefault="00612E32" w:rsidP="0096390F">
            <w:pPr>
              <w:jc w:val="left"/>
              <w:rPr>
                <w:rFonts w:eastAsia="Times New Roman"/>
                <w:noProof/>
                <w:color w:val="000000"/>
                <w:sz w:val="22"/>
                <w:szCs w:val="22"/>
              </w:rPr>
            </w:pPr>
            <w:r w:rsidRPr="00C47F2F">
              <w:rPr>
                <w:noProof/>
                <w:color w:val="000000"/>
                <w:sz w:val="22"/>
                <w:szCs w:val="22"/>
              </w:rPr>
              <w:t>Type F</w:t>
            </w:r>
          </w:p>
        </w:tc>
        <w:tc>
          <w:tcPr>
            <w:tcW w:w="485" w:type="pct"/>
            <w:tcBorders>
              <w:top w:val="nil"/>
              <w:left w:val="nil"/>
              <w:bottom w:val="nil"/>
              <w:right w:val="nil"/>
            </w:tcBorders>
            <w:vAlign w:val="center"/>
            <w:hideMark/>
          </w:tcPr>
          <w:p w14:paraId="5F7C4C33"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1.2E-06</w:t>
            </w:r>
          </w:p>
        </w:tc>
        <w:tc>
          <w:tcPr>
            <w:tcW w:w="486" w:type="pct"/>
            <w:tcBorders>
              <w:top w:val="nil"/>
              <w:left w:val="nil"/>
              <w:bottom w:val="nil"/>
              <w:right w:val="nil"/>
            </w:tcBorders>
            <w:vAlign w:val="center"/>
            <w:hideMark/>
          </w:tcPr>
          <w:p w14:paraId="3E84259B"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7.9E-07</w:t>
            </w:r>
          </w:p>
        </w:tc>
        <w:tc>
          <w:tcPr>
            <w:tcW w:w="486" w:type="pct"/>
            <w:tcBorders>
              <w:top w:val="nil"/>
              <w:left w:val="nil"/>
              <w:bottom w:val="nil"/>
              <w:right w:val="nil"/>
            </w:tcBorders>
            <w:vAlign w:val="center"/>
            <w:hideMark/>
          </w:tcPr>
          <w:p w14:paraId="6EA3866B"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5.0E-07</w:t>
            </w:r>
          </w:p>
        </w:tc>
        <w:tc>
          <w:tcPr>
            <w:tcW w:w="485" w:type="pct"/>
            <w:tcBorders>
              <w:top w:val="nil"/>
              <w:left w:val="nil"/>
              <w:bottom w:val="nil"/>
              <w:right w:val="nil"/>
            </w:tcBorders>
            <w:vAlign w:val="center"/>
            <w:hideMark/>
          </w:tcPr>
          <w:p w14:paraId="1268B248"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3.8E-07</w:t>
            </w:r>
          </w:p>
        </w:tc>
        <w:tc>
          <w:tcPr>
            <w:tcW w:w="486" w:type="pct"/>
            <w:tcBorders>
              <w:top w:val="nil"/>
              <w:left w:val="nil"/>
              <w:bottom w:val="nil"/>
              <w:right w:val="nil"/>
            </w:tcBorders>
            <w:vAlign w:val="center"/>
            <w:hideMark/>
          </w:tcPr>
          <w:p w14:paraId="558C2DED"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3.6E-07</w:t>
            </w:r>
          </w:p>
        </w:tc>
        <w:tc>
          <w:tcPr>
            <w:tcW w:w="486" w:type="pct"/>
            <w:tcBorders>
              <w:top w:val="nil"/>
              <w:left w:val="nil"/>
              <w:bottom w:val="nil"/>
              <w:right w:val="nil"/>
            </w:tcBorders>
            <w:vAlign w:val="center"/>
            <w:hideMark/>
          </w:tcPr>
          <w:p w14:paraId="7DCAB8A8"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2.9E-07</w:t>
            </w:r>
          </w:p>
        </w:tc>
      </w:tr>
      <w:tr w:rsidR="00612E32" w:rsidRPr="00972C81" w14:paraId="5E04DEDF" w14:textId="77777777" w:rsidTr="0096390F">
        <w:trPr>
          <w:trHeight w:val="340"/>
        </w:trPr>
        <w:tc>
          <w:tcPr>
            <w:tcW w:w="2087" w:type="pct"/>
            <w:tcBorders>
              <w:top w:val="nil"/>
              <w:left w:val="nil"/>
              <w:bottom w:val="nil"/>
              <w:right w:val="nil"/>
            </w:tcBorders>
            <w:vAlign w:val="center"/>
            <w:hideMark/>
          </w:tcPr>
          <w:p w14:paraId="5870E2DF" w14:textId="77777777" w:rsidR="00612E32" w:rsidRPr="00C47F2F" w:rsidRDefault="00612E32" w:rsidP="0096390F">
            <w:pPr>
              <w:jc w:val="left"/>
              <w:rPr>
                <w:rFonts w:eastAsia="Times New Roman"/>
                <w:noProof/>
                <w:color w:val="000000"/>
                <w:sz w:val="22"/>
                <w:szCs w:val="22"/>
                <w:lang w:eastAsia="en-GB"/>
              </w:rPr>
            </w:pPr>
            <w:r w:rsidRPr="00C47F2F">
              <w:rPr>
                <w:noProof/>
                <w:color w:val="000000"/>
                <w:sz w:val="22"/>
                <w:szCs w:val="22"/>
              </w:rPr>
              <w:t>Type M</w:t>
            </w:r>
          </w:p>
        </w:tc>
        <w:tc>
          <w:tcPr>
            <w:tcW w:w="485" w:type="pct"/>
            <w:tcBorders>
              <w:top w:val="nil"/>
              <w:left w:val="nil"/>
              <w:bottom w:val="nil"/>
              <w:right w:val="nil"/>
            </w:tcBorders>
            <w:vAlign w:val="center"/>
            <w:hideMark/>
          </w:tcPr>
          <w:p w14:paraId="7DBC62D2"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8.9E-06</w:t>
            </w:r>
          </w:p>
        </w:tc>
        <w:tc>
          <w:tcPr>
            <w:tcW w:w="486" w:type="pct"/>
            <w:tcBorders>
              <w:top w:val="nil"/>
              <w:left w:val="nil"/>
              <w:bottom w:val="nil"/>
              <w:right w:val="nil"/>
            </w:tcBorders>
            <w:vAlign w:val="center"/>
            <w:hideMark/>
          </w:tcPr>
          <w:p w14:paraId="3F27FC03"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7.7E-06</w:t>
            </w:r>
          </w:p>
        </w:tc>
        <w:tc>
          <w:tcPr>
            <w:tcW w:w="486" w:type="pct"/>
            <w:tcBorders>
              <w:top w:val="nil"/>
              <w:left w:val="nil"/>
              <w:bottom w:val="nil"/>
              <w:right w:val="nil"/>
            </w:tcBorders>
            <w:vAlign w:val="center"/>
            <w:hideMark/>
          </w:tcPr>
          <w:p w14:paraId="7BFBE451"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4.5E-06</w:t>
            </w:r>
          </w:p>
        </w:tc>
        <w:tc>
          <w:tcPr>
            <w:tcW w:w="485" w:type="pct"/>
            <w:tcBorders>
              <w:top w:val="nil"/>
              <w:left w:val="nil"/>
              <w:bottom w:val="nil"/>
              <w:right w:val="nil"/>
            </w:tcBorders>
            <w:vAlign w:val="center"/>
            <w:hideMark/>
          </w:tcPr>
          <w:p w14:paraId="0972E07B"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3.0E-06</w:t>
            </w:r>
          </w:p>
        </w:tc>
        <w:tc>
          <w:tcPr>
            <w:tcW w:w="486" w:type="pct"/>
            <w:tcBorders>
              <w:top w:val="nil"/>
              <w:left w:val="nil"/>
              <w:bottom w:val="nil"/>
              <w:right w:val="nil"/>
            </w:tcBorders>
            <w:vAlign w:val="center"/>
            <w:hideMark/>
          </w:tcPr>
          <w:p w14:paraId="171A7546"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2.4E-06</w:t>
            </w:r>
          </w:p>
        </w:tc>
        <w:tc>
          <w:tcPr>
            <w:tcW w:w="486" w:type="pct"/>
            <w:tcBorders>
              <w:top w:val="nil"/>
              <w:left w:val="nil"/>
              <w:bottom w:val="nil"/>
              <w:right w:val="nil"/>
            </w:tcBorders>
            <w:vAlign w:val="center"/>
            <w:hideMark/>
          </w:tcPr>
          <w:p w14:paraId="6D11C6CF"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2.2E-06</w:t>
            </w:r>
          </w:p>
        </w:tc>
      </w:tr>
      <w:tr w:rsidR="00612E32" w:rsidRPr="00972C81" w14:paraId="0BF77899" w14:textId="77777777" w:rsidTr="0096390F">
        <w:trPr>
          <w:trHeight w:val="340"/>
        </w:trPr>
        <w:tc>
          <w:tcPr>
            <w:tcW w:w="2087" w:type="pct"/>
            <w:tcBorders>
              <w:top w:val="nil"/>
              <w:left w:val="nil"/>
              <w:bottom w:val="single" w:sz="4" w:space="0" w:color="auto"/>
              <w:right w:val="nil"/>
            </w:tcBorders>
            <w:vAlign w:val="center"/>
            <w:hideMark/>
          </w:tcPr>
          <w:p w14:paraId="7BE6EB99" w14:textId="77777777" w:rsidR="00612E32" w:rsidRPr="00C47F2F" w:rsidRDefault="00612E32" w:rsidP="0096390F">
            <w:pPr>
              <w:jc w:val="left"/>
              <w:rPr>
                <w:rFonts w:eastAsiaTheme="minorHAnsi"/>
                <w:noProof/>
                <w:color w:val="000000"/>
                <w:sz w:val="22"/>
                <w:szCs w:val="22"/>
              </w:rPr>
            </w:pPr>
            <w:r w:rsidRPr="00C47F2F">
              <w:rPr>
                <w:noProof/>
                <w:color w:val="000000"/>
                <w:sz w:val="22"/>
                <w:szCs w:val="22"/>
              </w:rPr>
              <w:t>Type S</w:t>
            </w:r>
          </w:p>
        </w:tc>
        <w:tc>
          <w:tcPr>
            <w:tcW w:w="485" w:type="pct"/>
            <w:tcBorders>
              <w:top w:val="nil"/>
              <w:left w:val="nil"/>
              <w:bottom w:val="single" w:sz="4" w:space="0" w:color="auto"/>
              <w:right w:val="nil"/>
            </w:tcBorders>
            <w:vAlign w:val="center"/>
            <w:hideMark/>
          </w:tcPr>
          <w:p w14:paraId="64E93D92"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4.6E-05</w:t>
            </w:r>
          </w:p>
        </w:tc>
        <w:tc>
          <w:tcPr>
            <w:tcW w:w="486" w:type="pct"/>
            <w:tcBorders>
              <w:top w:val="nil"/>
              <w:left w:val="nil"/>
              <w:bottom w:val="single" w:sz="4" w:space="0" w:color="auto"/>
              <w:right w:val="nil"/>
            </w:tcBorders>
            <w:vAlign w:val="center"/>
            <w:hideMark/>
          </w:tcPr>
          <w:p w14:paraId="62EC06F1"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4.5E-05</w:t>
            </w:r>
          </w:p>
        </w:tc>
        <w:tc>
          <w:tcPr>
            <w:tcW w:w="486" w:type="pct"/>
            <w:tcBorders>
              <w:top w:val="nil"/>
              <w:left w:val="nil"/>
              <w:bottom w:val="single" w:sz="4" w:space="0" w:color="auto"/>
              <w:right w:val="nil"/>
            </w:tcBorders>
            <w:vAlign w:val="center"/>
            <w:hideMark/>
          </w:tcPr>
          <w:p w14:paraId="13D343E3"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3.2E-05</w:t>
            </w:r>
          </w:p>
        </w:tc>
        <w:tc>
          <w:tcPr>
            <w:tcW w:w="485" w:type="pct"/>
            <w:tcBorders>
              <w:top w:val="nil"/>
              <w:left w:val="nil"/>
              <w:bottom w:val="single" w:sz="4" w:space="0" w:color="auto"/>
              <w:right w:val="nil"/>
            </w:tcBorders>
            <w:vAlign w:val="center"/>
            <w:hideMark/>
          </w:tcPr>
          <w:p w14:paraId="2AE02A5E"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2.3E-05</w:t>
            </w:r>
          </w:p>
        </w:tc>
        <w:tc>
          <w:tcPr>
            <w:tcW w:w="486" w:type="pct"/>
            <w:tcBorders>
              <w:top w:val="nil"/>
              <w:left w:val="nil"/>
              <w:bottom w:val="single" w:sz="4" w:space="0" w:color="auto"/>
              <w:right w:val="nil"/>
            </w:tcBorders>
            <w:vAlign w:val="center"/>
            <w:hideMark/>
          </w:tcPr>
          <w:p w14:paraId="74C615E3"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2.2E-05</w:t>
            </w:r>
          </w:p>
        </w:tc>
        <w:tc>
          <w:tcPr>
            <w:tcW w:w="486" w:type="pct"/>
            <w:tcBorders>
              <w:top w:val="nil"/>
              <w:left w:val="nil"/>
              <w:bottom w:val="single" w:sz="4" w:space="0" w:color="auto"/>
              <w:right w:val="nil"/>
            </w:tcBorders>
            <w:vAlign w:val="center"/>
            <w:hideMark/>
          </w:tcPr>
          <w:p w14:paraId="6E429914"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2.2E-05</w:t>
            </w:r>
          </w:p>
        </w:tc>
      </w:tr>
      <w:tr w:rsidR="00612E32" w:rsidRPr="00972C81" w14:paraId="67DB924E" w14:textId="77777777" w:rsidTr="0096390F">
        <w:trPr>
          <w:trHeight w:val="340"/>
        </w:trPr>
        <w:tc>
          <w:tcPr>
            <w:tcW w:w="2087" w:type="pct"/>
            <w:tcBorders>
              <w:top w:val="single" w:sz="4" w:space="0" w:color="auto"/>
              <w:left w:val="nil"/>
              <w:bottom w:val="single" w:sz="4" w:space="0" w:color="auto"/>
              <w:right w:val="nil"/>
            </w:tcBorders>
            <w:vAlign w:val="center"/>
          </w:tcPr>
          <w:p w14:paraId="2FDA4173" w14:textId="77777777" w:rsidR="00612E32" w:rsidRPr="00C47F2F" w:rsidRDefault="00612E32">
            <w:pPr>
              <w:rPr>
                <w:rFonts w:eastAsiaTheme="minorHAnsi"/>
                <w:noProof/>
                <w:sz w:val="22"/>
                <w:szCs w:val="22"/>
              </w:rPr>
            </w:pPr>
          </w:p>
          <w:p w14:paraId="630DB7A2" w14:textId="77777777" w:rsidR="00612E32" w:rsidRPr="00C47F2F" w:rsidRDefault="00612E32">
            <w:pPr>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vAlign w:val="center"/>
          </w:tcPr>
          <w:p w14:paraId="204AC068" w14:textId="77777777" w:rsidR="00612E32" w:rsidRPr="00C47F2F" w:rsidRDefault="00612E32">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6EC4279A" w14:textId="77777777" w:rsidR="00612E32" w:rsidRPr="00C47F2F" w:rsidRDefault="00612E32">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76302645" w14:textId="77777777" w:rsidR="00612E32" w:rsidRPr="00C47F2F" w:rsidRDefault="00612E32">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3039117D" w14:textId="77777777" w:rsidR="00612E32" w:rsidRPr="00C47F2F" w:rsidRDefault="00612E32">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1860BBF5" w14:textId="77777777" w:rsidR="00612E32" w:rsidRPr="00C47F2F" w:rsidRDefault="00612E32">
            <w:pPr>
              <w:jc w:val="center"/>
              <w:rPr>
                <w:rFonts w:eastAsia="Times New Roman"/>
                <w:noProof/>
                <w:color w:val="000000"/>
                <w:sz w:val="22"/>
                <w:szCs w:val="22"/>
              </w:rPr>
            </w:pPr>
          </w:p>
        </w:tc>
        <w:tc>
          <w:tcPr>
            <w:tcW w:w="488" w:type="pct"/>
            <w:tcBorders>
              <w:top w:val="single" w:sz="4" w:space="0" w:color="auto"/>
              <w:left w:val="nil"/>
              <w:bottom w:val="single" w:sz="4" w:space="0" w:color="auto"/>
              <w:right w:val="nil"/>
            </w:tcBorders>
            <w:vAlign w:val="center"/>
          </w:tcPr>
          <w:p w14:paraId="52176DC9" w14:textId="77777777" w:rsidR="00612E32" w:rsidRPr="00C47F2F" w:rsidRDefault="00612E32">
            <w:pPr>
              <w:jc w:val="center"/>
              <w:rPr>
                <w:rFonts w:eastAsia="Times New Roman"/>
                <w:noProof/>
                <w:color w:val="000000"/>
                <w:sz w:val="22"/>
                <w:szCs w:val="22"/>
              </w:rPr>
            </w:pPr>
          </w:p>
        </w:tc>
      </w:tr>
      <w:tr w:rsidR="00612E32" w:rsidRPr="00972C81" w14:paraId="3642C57A" w14:textId="77777777" w:rsidTr="0096390F">
        <w:trPr>
          <w:trHeight w:val="340"/>
        </w:trPr>
        <w:tc>
          <w:tcPr>
            <w:tcW w:w="2087" w:type="pct"/>
            <w:tcBorders>
              <w:top w:val="single" w:sz="4" w:space="0" w:color="auto"/>
              <w:left w:val="nil"/>
              <w:bottom w:val="nil"/>
              <w:right w:val="nil"/>
            </w:tcBorders>
            <w:vAlign w:val="center"/>
            <w:hideMark/>
          </w:tcPr>
          <w:p w14:paraId="6D88B5D1" w14:textId="77777777" w:rsidR="00612E32" w:rsidRPr="00C47F2F" w:rsidRDefault="00612E32" w:rsidP="0096390F">
            <w:pPr>
              <w:jc w:val="left"/>
              <w:rPr>
                <w:rFonts w:eastAsiaTheme="minorHAnsi"/>
                <w:noProof/>
                <w:sz w:val="22"/>
                <w:szCs w:val="22"/>
              </w:rPr>
            </w:pPr>
            <w:r w:rsidRPr="00C47F2F">
              <w:rPr>
                <w:noProof/>
                <w:sz w:val="22"/>
                <w:szCs w:val="22"/>
              </w:rPr>
              <w:t>Soluble forms</w:t>
            </w:r>
          </w:p>
        </w:tc>
        <w:tc>
          <w:tcPr>
            <w:tcW w:w="485" w:type="pct"/>
            <w:tcBorders>
              <w:top w:val="single" w:sz="4" w:space="0" w:color="auto"/>
              <w:left w:val="nil"/>
              <w:bottom w:val="nil"/>
              <w:right w:val="nil"/>
            </w:tcBorders>
            <w:vAlign w:val="center"/>
            <w:hideMark/>
          </w:tcPr>
          <w:p w14:paraId="30B3F9F4"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6.4E-07</w:t>
            </w:r>
          </w:p>
        </w:tc>
        <w:tc>
          <w:tcPr>
            <w:tcW w:w="485" w:type="pct"/>
            <w:tcBorders>
              <w:top w:val="single" w:sz="4" w:space="0" w:color="auto"/>
              <w:left w:val="nil"/>
              <w:bottom w:val="nil"/>
              <w:right w:val="nil"/>
            </w:tcBorders>
            <w:vAlign w:val="center"/>
            <w:hideMark/>
          </w:tcPr>
          <w:p w14:paraId="0388D631"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2.2E-07</w:t>
            </w:r>
          </w:p>
        </w:tc>
        <w:tc>
          <w:tcPr>
            <w:tcW w:w="485" w:type="pct"/>
            <w:tcBorders>
              <w:top w:val="single" w:sz="4" w:space="0" w:color="auto"/>
              <w:left w:val="nil"/>
              <w:bottom w:val="nil"/>
              <w:right w:val="nil"/>
            </w:tcBorders>
            <w:vAlign w:val="center"/>
            <w:hideMark/>
          </w:tcPr>
          <w:p w14:paraId="338DD365"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1.4E-07</w:t>
            </w:r>
          </w:p>
        </w:tc>
        <w:tc>
          <w:tcPr>
            <w:tcW w:w="485" w:type="pct"/>
            <w:tcBorders>
              <w:top w:val="single" w:sz="4" w:space="0" w:color="auto"/>
              <w:left w:val="nil"/>
              <w:bottom w:val="nil"/>
              <w:right w:val="nil"/>
            </w:tcBorders>
            <w:vAlign w:val="center"/>
            <w:hideMark/>
          </w:tcPr>
          <w:p w14:paraId="62F38901"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6.8E-08</w:t>
            </w:r>
          </w:p>
        </w:tc>
        <w:tc>
          <w:tcPr>
            <w:tcW w:w="485" w:type="pct"/>
            <w:tcBorders>
              <w:top w:val="single" w:sz="4" w:space="0" w:color="auto"/>
              <w:left w:val="nil"/>
              <w:bottom w:val="nil"/>
              <w:right w:val="nil"/>
            </w:tcBorders>
            <w:vAlign w:val="center"/>
            <w:hideMark/>
          </w:tcPr>
          <w:p w14:paraId="33DBD7DC"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6.2E-08</w:t>
            </w:r>
          </w:p>
        </w:tc>
        <w:tc>
          <w:tcPr>
            <w:tcW w:w="488" w:type="pct"/>
            <w:tcBorders>
              <w:top w:val="single" w:sz="4" w:space="0" w:color="auto"/>
              <w:left w:val="nil"/>
              <w:bottom w:val="nil"/>
              <w:right w:val="nil"/>
            </w:tcBorders>
            <w:vAlign w:val="center"/>
            <w:hideMark/>
          </w:tcPr>
          <w:p w14:paraId="13F4ED5D"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3.2E-08</w:t>
            </w:r>
          </w:p>
        </w:tc>
      </w:tr>
      <w:tr w:rsidR="00612E32" w:rsidRPr="00972C81" w14:paraId="2BB64358" w14:textId="77777777" w:rsidTr="0096390F">
        <w:trPr>
          <w:trHeight w:val="340"/>
        </w:trPr>
        <w:tc>
          <w:tcPr>
            <w:tcW w:w="2087" w:type="pct"/>
            <w:tcBorders>
              <w:top w:val="nil"/>
              <w:left w:val="nil"/>
              <w:bottom w:val="single" w:sz="4" w:space="0" w:color="auto"/>
              <w:right w:val="nil"/>
            </w:tcBorders>
            <w:vAlign w:val="center"/>
            <w:hideMark/>
          </w:tcPr>
          <w:p w14:paraId="3A9EB81B" w14:textId="77777777" w:rsidR="00612E32" w:rsidRPr="00C47F2F" w:rsidRDefault="00612E32" w:rsidP="0096390F">
            <w:pPr>
              <w:jc w:val="left"/>
              <w:rPr>
                <w:rFonts w:eastAsiaTheme="minorHAnsi"/>
                <w:noProof/>
                <w:sz w:val="22"/>
                <w:szCs w:val="22"/>
              </w:rPr>
            </w:pPr>
            <w:r w:rsidRPr="00C47F2F">
              <w:rPr>
                <w:noProof/>
                <w:sz w:val="22"/>
                <w:szCs w:val="22"/>
              </w:rPr>
              <w:t>Relatively insoluble forms</w:t>
            </w:r>
          </w:p>
        </w:tc>
        <w:tc>
          <w:tcPr>
            <w:tcW w:w="485" w:type="pct"/>
            <w:tcBorders>
              <w:top w:val="nil"/>
              <w:left w:val="nil"/>
              <w:bottom w:val="single" w:sz="4" w:space="0" w:color="auto"/>
              <w:right w:val="nil"/>
            </w:tcBorders>
            <w:vAlign w:val="center"/>
            <w:hideMark/>
          </w:tcPr>
          <w:p w14:paraId="7609B507"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6.4E-08</w:t>
            </w:r>
          </w:p>
        </w:tc>
        <w:tc>
          <w:tcPr>
            <w:tcW w:w="485" w:type="pct"/>
            <w:tcBorders>
              <w:top w:val="nil"/>
              <w:left w:val="nil"/>
              <w:bottom w:val="single" w:sz="4" w:space="0" w:color="auto"/>
              <w:right w:val="nil"/>
            </w:tcBorders>
            <w:vAlign w:val="center"/>
            <w:hideMark/>
          </w:tcPr>
          <w:p w14:paraId="6D72C9D9"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2.2E-08</w:t>
            </w:r>
          </w:p>
        </w:tc>
        <w:tc>
          <w:tcPr>
            <w:tcW w:w="485" w:type="pct"/>
            <w:tcBorders>
              <w:top w:val="nil"/>
              <w:left w:val="nil"/>
              <w:bottom w:val="single" w:sz="4" w:space="0" w:color="auto"/>
              <w:right w:val="nil"/>
            </w:tcBorders>
            <w:vAlign w:val="center"/>
            <w:hideMark/>
          </w:tcPr>
          <w:p w14:paraId="67B670DB"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1.4E-08</w:t>
            </w:r>
          </w:p>
        </w:tc>
        <w:tc>
          <w:tcPr>
            <w:tcW w:w="485" w:type="pct"/>
            <w:tcBorders>
              <w:top w:val="nil"/>
              <w:left w:val="nil"/>
              <w:bottom w:val="single" w:sz="4" w:space="0" w:color="auto"/>
              <w:right w:val="nil"/>
            </w:tcBorders>
            <w:vAlign w:val="center"/>
            <w:hideMark/>
          </w:tcPr>
          <w:p w14:paraId="5D147878"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7.0E-09</w:t>
            </w:r>
          </w:p>
        </w:tc>
        <w:tc>
          <w:tcPr>
            <w:tcW w:w="485" w:type="pct"/>
            <w:tcBorders>
              <w:top w:val="nil"/>
              <w:left w:val="nil"/>
              <w:bottom w:val="single" w:sz="4" w:space="0" w:color="auto"/>
              <w:right w:val="nil"/>
            </w:tcBorders>
            <w:vAlign w:val="center"/>
            <w:hideMark/>
          </w:tcPr>
          <w:p w14:paraId="755E778C"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6.3E-09</w:t>
            </w:r>
          </w:p>
        </w:tc>
        <w:tc>
          <w:tcPr>
            <w:tcW w:w="488" w:type="pct"/>
            <w:tcBorders>
              <w:top w:val="nil"/>
              <w:left w:val="nil"/>
              <w:bottom w:val="single" w:sz="4" w:space="0" w:color="auto"/>
              <w:right w:val="nil"/>
            </w:tcBorders>
            <w:vAlign w:val="center"/>
            <w:hideMark/>
          </w:tcPr>
          <w:p w14:paraId="441D1B8A" w14:textId="77777777" w:rsidR="00612E32" w:rsidRPr="00C47F2F" w:rsidRDefault="00612E32" w:rsidP="0096390F">
            <w:pPr>
              <w:jc w:val="left"/>
              <w:rPr>
                <w:rFonts w:eastAsia="Times New Roman"/>
                <w:noProof/>
                <w:color w:val="000000"/>
                <w:sz w:val="22"/>
                <w:szCs w:val="22"/>
              </w:rPr>
            </w:pPr>
            <w:r w:rsidRPr="00C47F2F">
              <w:rPr>
                <w:rFonts w:eastAsia="Times New Roman"/>
                <w:noProof/>
                <w:color w:val="000000"/>
                <w:sz w:val="22"/>
                <w:szCs w:val="22"/>
              </w:rPr>
              <w:t>3.3E-09</w:t>
            </w:r>
          </w:p>
        </w:tc>
      </w:tr>
    </w:tbl>
    <w:p w14:paraId="2F6A8119" w14:textId="77777777" w:rsidR="00612E32" w:rsidRPr="00972C81" w:rsidRDefault="00612E32" w:rsidP="007A34D9">
      <w:pPr>
        <w:widowControl/>
        <w:jc w:val="left"/>
        <w:rPr>
          <w:noProof/>
        </w:rPr>
      </w:pPr>
    </w:p>
    <w:p w14:paraId="6433DAF4" w14:textId="77777777" w:rsidR="0096390F" w:rsidRDefault="0096390F">
      <w:pPr>
        <w:widowControl/>
        <w:jc w:val="left"/>
        <w:rPr>
          <w:noProof/>
          <w:szCs w:val="24"/>
        </w:rPr>
      </w:pPr>
      <w:r>
        <w:rPr>
          <w:noProof/>
          <w:szCs w:val="24"/>
        </w:rPr>
        <w:br w:type="page"/>
      </w:r>
    </w:p>
    <w:p w14:paraId="0BCD90AD" w14:textId="4D8436B7" w:rsidR="005C2848" w:rsidRPr="00972C81" w:rsidRDefault="005C2848" w:rsidP="005C2848">
      <w:pPr>
        <w:pStyle w:val="ab"/>
        <w:rPr>
          <w:noProof/>
          <w:sz w:val="24"/>
          <w:szCs w:val="24"/>
        </w:rPr>
      </w:pPr>
      <w:r w:rsidRPr="00972C81">
        <w:rPr>
          <w:noProof/>
          <w:sz w:val="24"/>
          <w:szCs w:val="24"/>
        </w:rPr>
        <w:lastRenderedPageBreak/>
        <w:t>Table 20.5.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238</w:t>
      </w:r>
      <w:r w:rsidRPr="00972C81">
        <w:rPr>
          <w:noProof/>
          <w:sz w:val="24"/>
          <w:szCs w:val="24"/>
        </w:rPr>
        <w:t>U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8"/>
        <w:gridCol w:w="876"/>
        <w:gridCol w:w="877"/>
        <w:gridCol w:w="877"/>
        <w:gridCol w:w="876"/>
        <w:gridCol w:w="877"/>
        <w:gridCol w:w="876"/>
      </w:tblGrid>
      <w:tr w:rsidR="005C2848" w:rsidRPr="00A3213E" w14:paraId="19AA2A72" w14:textId="77777777" w:rsidTr="0096390F">
        <w:trPr>
          <w:trHeight w:val="340"/>
        </w:trPr>
        <w:tc>
          <w:tcPr>
            <w:tcW w:w="2087" w:type="pct"/>
            <w:vMerge w:val="restart"/>
            <w:tcBorders>
              <w:top w:val="single" w:sz="4" w:space="0" w:color="auto"/>
              <w:left w:val="nil"/>
              <w:bottom w:val="single" w:sz="4" w:space="0" w:color="auto"/>
              <w:right w:val="nil"/>
            </w:tcBorders>
            <w:vAlign w:val="bottom"/>
          </w:tcPr>
          <w:p w14:paraId="2AE8E348" w14:textId="77777777" w:rsidR="005C2848" w:rsidRPr="00CB3E51" w:rsidRDefault="005C2848" w:rsidP="006243FB">
            <w:pPr>
              <w:pStyle w:val="af1"/>
              <w:rPr>
                <w:noProof/>
              </w:rPr>
            </w:pPr>
          </w:p>
          <w:p w14:paraId="3C708FAF" w14:textId="77777777" w:rsidR="00CB3E51" w:rsidRPr="00232741" w:rsidRDefault="005C2848" w:rsidP="006243FB">
            <w:pPr>
              <w:pStyle w:val="af1"/>
              <w:rPr>
                <w:noProof/>
              </w:rPr>
            </w:pPr>
            <w:r w:rsidRPr="00C47F2F">
              <w:rPr>
                <w:noProof/>
              </w:rPr>
              <w:t>Inhaled particulate materials</w:t>
            </w:r>
          </w:p>
          <w:p w14:paraId="436414B4" w14:textId="2D55F3CB" w:rsidR="005C2848" w:rsidRPr="00C47F2F" w:rsidRDefault="005C2848" w:rsidP="00C47F2F">
            <w:pPr>
              <w:pStyle w:val="a5"/>
              <w:tabs>
                <w:tab w:val="clear" w:pos="4153"/>
                <w:tab w:val="clear" w:pos="8306"/>
              </w:tabs>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717B138E" w14:textId="77777777" w:rsidR="005C2848" w:rsidRPr="00C47F2F" w:rsidRDefault="005C2848" w:rsidP="0096390F">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5C2848" w:rsidRPr="00972C81" w14:paraId="6EDC11EA" w14:textId="77777777" w:rsidTr="0096390F">
        <w:trPr>
          <w:trHeight w:val="340"/>
        </w:trPr>
        <w:tc>
          <w:tcPr>
            <w:tcW w:w="2087" w:type="pct"/>
            <w:vMerge/>
            <w:tcBorders>
              <w:top w:val="single" w:sz="4" w:space="0" w:color="auto"/>
              <w:left w:val="nil"/>
              <w:bottom w:val="single" w:sz="4" w:space="0" w:color="auto"/>
              <w:right w:val="nil"/>
            </w:tcBorders>
            <w:vAlign w:val="center"/>
            <w:hideMark/>
          </w:tcPr>
          <w:p w14:paraId="302B14A2" w14:textId="77777777" w:rsidR="005C2848" w:rsidRPr="00CB3E51" w:rsidRDefault="005C28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7FC34DAF" w14:textId="53695AC6" w:rsidR="005C2848" w:rsidRPr="00C47F2F" w:rsidRDefault="005C2848" w:rsidP="0096390F">
            <w:pPr>
              <w:jc w:val="left"/>
              <w:rPr>
                <w:noProof/>
                <w:sz w:val="22"/>
                <w:szCs w:val="22"/>
                <w:lang w:eastAsia="ko-KR"/>
              </w:rPr>
            </w:pPr>
            <w:r w:rsidRPr="00C47F2F">
              <w:rPr>
                <w:noProof/>
                <w:sz w:val="22"/>
                <w:szCs w:val="22"/>
              </w:rPr>
              <w:t>3</w:t>
            </w:r>
            <w:r w:rsidR="00CB3E51">
              <w:rPr>
                <w:rFonts w:hint="eastAsia"/>
                <w:noProof/>
                <w:sz w:val="22"/>
                <w:szCs w:val="22"/>
                <w:lang w:eastAsia="ko-KR"/>
              </w:rPr>
              <w:t xml:space="preserve"> </w:t>
            </w:r>
            <w:r w:rsidRPr="00C47F2F">
              <w:rPr>
                <w:noProof/>
                <w:sz w:val="22"/>
                <w:szCs w:val="22"/>
              </w:rPr>
              <w:t>m</w:t>
            </w:r>
            <w:r w:rsidR="0096390F">
              <w:rPr>
                <w:rFonts w:hint="eastAsia"/>
                <w:noProof/>
                <w:sz w:val="22"/>
                <w:szCs w:val="22"/>
                <w:lang w:eastAsia="ko-KR"/>
              </w:rPr>
              <w:t>o</w:t>
            </w:r>
          </w:p>
        </w:tc>
        <w:tc>
          <w:tcPr>
            <w:tcW w:w="486" w:type="pct"/>
            <w:tcBorders>
              <w:top w:val="single" w:sz="4" w:space="0" w:color="auto"/>
              <w:left w:val="nil"/>
              <w:bottom w:val="single" w:sz="4" w:space="0" w:color="auto"/>
              <w:right w:val="nil"/>
            </w:tcBorders>
            <w:vAlign w:val="center"/>
            <w:hideMark/>
          </w:tcPr>
          <w:p w14:paraId="028833AE" w14:textId="10D06031" w:rsidR="005C2848" w:rsidRPr="00C47F2F" w:rsidRDefault="005C2848" w:rsidP="0096390F">
            <w:pPr>
              <w:jc w:val="left"/>
              <w:rPr>
                <w:noProof/>
                <w:sz w:val="22"/>
                <w:szCs w:val="22"/>
              </w:rPr>
            </w:pPr>
            <w:r w:rsidRPr="00C47F2F">
              <w:rPr>
                <w:noProof/>
                <w:sz w:val="22"/>
                <w:szCs w:val="22"/>
              </w:rPr>
              <w:t>1</w:t>
            </w:r>
            <w:r w:rsidR="00CB3E51">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3E334C7D" w14:textId="2671094F" w:rsidR="005C2848" w:rsidRPr="00C47F2F" w:rsidRDefault="005C2848" w:rsidP="0096390F">
            <w:pPr>
              <w:jc w:val="left"/>
              <w:rPr>
                <w:noProof/>
                <w:sz w:val="22"/>
                <w:szCs w:val="22"/>
              </w:rPr>
            </w:pPr>
            <w:r w:rsidRPr="00C47F2F">
              <w:rPr>
                <w:noProof/>
                <w:sz w:val="22"/>
                <w:szCs w:val="22"/>
              </w:rPr>
              <w:t>5</w:t>
            </w:r>
            <w:r w:rsidR="00CB3E51">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510A2CAE" w14:textId="0EAA0CE3" w:rsidR="005C2848" w:rsidRPr="00C47F2F" w:rsidRDefault="005C2848" w:rsidP="0096390F">
            <w:pPr>
              <w:jc w:val="left"/>
              <w:rPr>
                <w:noProof/>
                <w:sz w:val="22"/>
                <w:szCs w:val="22"/>
              </w:rPr>
            </w:pPr>
            <w:r w:rsidRPr="00C47F2F">
              <w:rPr>
                <w:noProof/>
                <w:sz w:val="22"/>
                <w:szCs w:val="22"/>
              </w:rPr>
              <w:t>10</w:t>
            </w:r>
            <w:r w:rsidR="00CB3E51">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0E60F4D1" w14:textId="133EC3F8" w:rsidR="005C2848" w:rsidRPr="00C47F2F" w:rsidRDefault="005C2848" w:rsidP="0096390F">
            <w:pPr>
              <w:jc w:val="left"/>
              <w:rPr>
                <w:noProof/>
                <w:sz w:val="22"/>
                <w:szCs w:val="22"/>
              </w:rPr>
            </w:pPr>
            <w:r w:rsidRPr="00C47F2F">
              <w:rPr>
                <w:noProof/>
                <w:sz w:val="22"/>
                <w:szCs w:val="22"/>
              </w:rPr>
              <w:t>15</w:t>
            </w:r>
            <w:r w:rsidR="00CB3E51">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389CB517" w14:textId="77777777" w:rsidR="005C2848" w:rsidRPr="00C47F2F" w:rsidRDefault="005C2848" w:rsidP="0096390F">
            <w:pPr>
              <w:jc w:val="left"/>
              <w:rPr>
                <w:noProof/>
                <w:sz w:val="22"/>
                <w:szCs w:val="22"/>
              </w:rPr>
            </w:pPr>
            <w:r w:rsidRPr="00C47F2F">
              <w:rPr>
                <w:noProof/>
                <w:sz w:val="22"/>
                <w:szCs w:val="22"/>
              </w:rPr>
              <w:t>Adult</w:t>
            </w:r>
          </w:p>
        </w:tc>
      </w:tr>
      <w:tr w:rsidR="005C2848" w:rsidRPr="00972C81" w14:paraId="7330DE7D" w14:textId="77777777" w:rsidTr="0096390F">
        <w:trPr>
          <w:trHeight w:val="340"/>
        </w:trPr>
        <w:tc>
          <w:tcPr>
            <w:tcW w:w="2087" w:type="pct"/>
            <w:tcBorders>
              <w:top w:val="single" w:sz="4" w:space="0" w:color="auto"/>
              <w:left w:val="nil"/>
              <w:bottom w:val="nil"/>
              <w:right w:val="nil"/>
            </w:tcBorders>
            <w:vAlign w:val="center"/>
            <w:hideMark/>
          </w:tcPr>
          <w:p w14:paraId="0BA820B1" w14:textId="77777777" w:rsidR="005C2848" w:rsidRPr="00C47F2F" w:rsidRDefault="005C2848" w:rsidP="0096390F">
            <w:pPr>
              <w:jc w:val="left"/>
              <w:rPr>
                <w:noProof/>
                <w:color w:val="000000"/>
                <w:sz w:val="22"/>
                <w:szCs w:val="22"/>
              </w:rPr>
            </w:pPr>
            <w:r w:rsidRPr="00C47F2F">
              <w:rPr>
                <w:rFonts w:eastAsia="Times New Roman"/>
                <w:noProof/>
                <w:color w:val="000000"/>
                <w:sz w:val="22"/>
                <w:szCs w:val="22"/>
              </w:rPr>
              <w:t>Type FM</w:t>
            </w:r>
          </w:p>
        </w:tc>
        <w:tc>
          <w:tcPr>
            <w:tcW w:w="485" w:type="pct"/>
            <w:tcBorders>
              <w:top w:val="single" w:sz="4" w:space="0" w:color="auto"/>
              <w:left w:val="nil"/>
              <w:bottom w:val="nil"/>
              <w:right w:val="nil"/>
            </w:tcBorders>
            <w:vAlign w:val="center"/>
            <w:hideMark/>
          </w:tcPr>
          <w:p w14:paraId="4BFAE251"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2.5E-06</w:t>
            </w:r>
          </w:p>
        </w:tc>
        <w:tc>
          <w:tcPr>
            <w:tcW w:w="486" w:type="pct"/>
            <w:tcBorders>
              <w:top w:val="single" w:sz="4" w:space="0" w:color="auto"/>
              <w:left w:val="nil"/>
              <w:bottom w:val="nil"/>
              <w:right w:val="nil"/>
            </w:tcBorders>
            <w:vAlign w:val="center"/>
            <w:hideMark/>
          </w:tcPr>
          <w:p w14:paraId="72C92A38"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1.9E-06</w:t>
            </w:r>
          </w:p>
        </w:tc>
        <w:tc>
          <w:tcPr>
            <w:tcW w:w="486" w:type="pct"/>
            <w:tcBorders>
              <w:top w:val="single" w:sz="4" w:space="0" w:color="auto"/>
              <w:left w:val="nil"/>
              <w:bottom w:val="nil"/>
              <w:right w:val="nil"/>
            </w:tcBorders>
            <w:vAlign w:val="center"/>
            <w:hideMark/>
          </w:tcPr>
          <w:p w14:paraId="2A659CA8"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1.2E-06</w:t>
            </w:r>
          </w:p>
        </w:tc>
        <w:tc>
          <w:tcPr>
            <w:tcW w:w="485" w:type="pct"/>
            <w:tcBorders>
              <w:top w:val="single" w:sz="4" w:space="0" w:color="auto"/>
              <w:left w:val="nil"/>
              <w:bottom w:val="nil"/>
              <w:right w:val="nil"/>
            </w:tcBorders>
            <w:vAlign w:val="center"/>
            <w:hideMark/>
          </w:tcPr>
          <w:p w14:paraId="1737ABAE"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8.0E-07</w:t>
            </w:r>
          </w:p>
        </w:tc>
        <w:tc>
          <w:tcPr>
            <w:tcW w:w="486" w:type="pct"/>
            <w:tcBorders>
              <w:top w:val="single" w:sz="4" w:space="0" w:color="auto"/>
              <w:left w:val="nil"/>
              <w:bottom w:val="nil"/>
              <w:right w:val="nil"/>
            </w:tcBorders>
            <w:vAlign w:val="center"/>
            <w:hideMark/>
          </w:tcPr>
          <w:p w14:paraId="4DC1F319"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7.0E-07</w:t>
            </w:r>
          </w:p>
        </w:tc>
        <w:tc>
          <w:tcPr>
            <w:tcW w:w="486" w:type="pct"/>
            <w:tcBorders>
              <w:top w:val="single" w:sz="4" w:space="0" w:color="auto"/>
              <w:left w:val="nil"/>
              <w:bottom w:val="nil"/>
              <w:right w:val="nil"/>
            </w:tcBorders>
            <w:vAlign w:val="center"/>
            <w:hideMark/>
          </w:tcPr>
          <w:p w14:paraId="2497EB76"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6.1E-07</w:t>
            </w:r>
          </w:p>
        </w:tc>
      </w:tr>
      <w:tr w:rsidR="005C2848" w:rsidRPr="00972C81" w14:paraId="62AC8C47" w14:textId="77777777" w:rsidTr="0096390F">
        <w:trPr>
          <w:trHeight w:val="340"/>
        </w:trPr>
        <w:tc>
          <w:tcPr>
            <w:tcW w:w="2087" w:type="pct"/>
            <w:tcBorders>
              <w:top w:val="nil"/>
              <w:left w:val="nil"/>
              <w:bottom w:val="nil"/>
              <w:right w:val="nil"/>
            </w:tcBorders>
            <w:vAlign w:val="center"/>
            <w:hideMark/>
          </w:tcPr>
          <w:p w14:paraId="34D44C55" w14:textId="77777777" w:rsidR="005C2848" w:rsidRPr="00C47F2F" w:rsidRDefault="005C2848" w:rsidP="0096390F">
            <w:pPr>
              <w:jc w:val="left"/>
              <w:rPr>
                <w:rFonts w:eastAsiaTheme="minorHAnsi"/>
                <w:noProof/>
                <w:color w:val="000000"/>
                <w:sz w:val="22"/>
                <w:szCs w:val="22"/>
              </w:rPr>
            </w:pPr>
            <w:r w:rsidRPr="00C47F2F">
              <w:rPr>
                <w:rFonts w:eastAsia="Times New Roman"/>
                <w:noProof/>
                <w:color w:val="000000"/>
                <w:sz w:val="22"/>
                <w:szCs w:val="22"/>
                <w:lang w:eastAsia="en-GB"/>
              </w:rPr>
              <w:t>Type MS</w:t>
            </w:r>
          </w:p>
        </w:tc>
        <w:tc>
          <w:tcPr>
            <w:tcW w:w="485" w:type="pct"/>
            <w:tcBorders>
              <w:top w:val="nil"/>
              <w:left w:val="nil"/>
              <w:bottom w:val="nil"/>
              <w:right w:val="nil"/>
            </w:tcBorders>
            <w:vAlign w:val="center"/>
            <w:hideMark/>
          </w:tcPr>
          <w:p w14:paraId="4F813A83"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2.6E-05</w:t>
            </w:r>
          </w:p>
        </w:tc>
        <w:tc>
          <w:tcPr>
            <w:tcW w:w="486" w:type="pct"/>
            <w:tcBorders>
              <w:top w:val="nil"/>
              <w:left w:val="nil"/>
              <w:bottom w:val="nil"/>
              <w:right w:val="nil"/>
            </w:tcBorders>
            <w:vAlign w:val="center"/>
            <w:hideMark/>
          </w:tcPr>
          <w:p w14:paraId="2BAE8111"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2.4E-05</w:t>
            </w:r>
          </w:p>
        </w:tc>
        <w:tc>
          <w:tcPr>
            <w:tcW w:w="486" w:type="pct"/>
            <w:tcBorders>
              <w:top w:val="nil"/>
              <w:left w:val="nil"/>
              <w:bottom w:val="nil"/>
              <w:right w:val="nil"/>
            </w:tcBorders>
            <w:vAlign w:val="center"/>
            <w:hideMark/>
          </w:tcPr>
          <w:p w14:paraId="609A3BF8"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1.5E-05</w:t>
            </w:r>
          </w:p>
        </w:tc>
        <w:tc>
          <w:tcPr>
            <w:tcW w:w="485" w:type="pct"/>
            <w:tcBorders>
              <w:top w:val="nil"/>
              <w:left w:val="nil"/>
              <w:bottom w:val="nil"/>
              <w:right w:val="nil"/>
            </w:tcBorders>
            <w:vAlign w:val="center"/>
            <w:hideMark/>
          </w:tcPr>
          <w:p w14:paraId="17FB8E49"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9.7E-06</w:t>
            </w:r>
          </w:p>
        </w:tc>
        <w:tc>
          <w:tcPr>
            <w:tcW w:w="486" w:type="pct"/>
            <w:tcBorders>
              <w:top w:val="nil"/>
              <w:left w:val="nil"/>
              <w:bottom w:val="nil"/>
              <w:right w:val="nil"/>
            </w:tcBorders>
            <w:vAlign w:val="center"/>
            <w:hideMark/>
          </w:tcPr>
          <w:p w14:paraId="288E3D4B"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8.0E-06</w:t>
            </w:r>
          </w:p>
        </w:tc>
        <w:tc>
          <w:tcPr>
            <w:tcW w:w="486" w:type="pct"/>
            <w:tcBorders>
              <w:top w:val="nil"/>
              <w:left w:val="nil"/>
              <w:bottom w:val="nil"/>
              <w:right w:val="nil"/>
            </w:tcBorders>
            <w:vAlign w:val="center"/>
            <w:hideMark/>
          </w:tcPr>
          <w:p w14:paraId="73D2379E"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7.9E-06</w:t>
            </w:r>
          </w:p>
        </w:tc>
      </w:tr>
      <w:tr w:rsidR="005C2848" w:rsidRPr="00972C81" w14:paraId="40511AB2" w14:textId="77777777" w:rsidTr="0096390F">
        <w:trPr>
          <w:trHeight w:val="340"/>
        </w:trPr>
        <w:tc>
          <w:tcPr>
            <w:tcW w:w="2087" w:type="pct"/>
            <w:tcBorders>
              <w:top w:val="nil"/>
              <w:left w:val="nil"/>
              <w:bottom w:val="nil"/>
              <w:right w:val="nil"/>
            </w:tcBorders>
            <w:vAlign w:val="center"/>
            <w:hideMark/>
          </w:tcPr>
          <w:p w14:paraId="108E5E95" w14:textId="77777777" w:rsidR="005C2848" w:rsidRPr="00C47F2F" w:rsidRDefault="005C2848" w:rsidP="0096390F">
            <w:pPr>
              <w:jc w:val="left"/>
              <w:rPr>
                <w:rFonts w:eastAsiaTheme="minorHAnsi"/>
                <w:noProof/>
                <w:color w:val="000000"/>
                <w:sz w:val="22"/>
                <w:szCs w:val="22"/>
              </w:rPr>
            </w:pPr>
            <w:r w:rsidRPr="00C47F2F">
              <w:rPr>
                <w:noProof/>
                <w:color w:val="000000"/>
                <w:sz w:val="22"/>
                <w:szCs w:val="22"/>
              </w:rPr>
              <w:t>UAlx</w:t>
            </w:r>
          </w:p>
        </w:tc>
        <w:tc>
          <w:tcPr>
            <w:tcW w:w="485" w:type="pct"/>
            <w:tcBorders>
              <w:top w:val="nil"/>
              <w:left w:val="nil"/>
              <w:bottom w:val="nil"/>
              <w:right w:val="nil"/>
            </w:tcBorders>
            <w:vAlign w:val="center"/>
            <w:hideMark/>
          </w:tcPr>
          <w:p w14:paraId="40CF24FD"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1.7E-05</w:t>
            </w:r>
          </w:p>
        </w:tc>
        <w:tc>
          <w:tcPr>
            <w:tcW w:w="486" w:type="pct"/>
            <w:tcBorders>
              <w:top w:val="nil"/>
              <w:left w:val="nil"/>
              <w:bottom w:val="nil"/>
              <w:right w:val="nil"/>
            </w:tcBorders>
            <w:vAlign w:val="center"/>
            <w:hideMark/>
          </w:tcPr>
          <w:p w14:paraId="65CAD3DA"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1.5E-05</w:t>
            </w:r>
          </w:p>
        </w:tc>
        <w:tc>
          <w:tcPr>
            <w:tcW w:w="486" w:type="pct"/>
            <w:tcBorders>
              <w:top w:val="nil"/>
              <w:left w:val="nil"/>
              <w:bottom w:val="nil"/>
              <w:right w:val="nil"/>
            </w:tcBorders>
            <w:vAlign w:val="center"/>
            <w:hideMark/>
          </w:tcPr>
          <w:p w14:paraId="312E3926"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8.9E-06</w:t>
            </w:r>
          </w:p>
        </w:tc>
        <w:tc>
          <w:tcPr>
            <w:tcW w:w="485" w:type="pct"/>
            <w:tcBorders>
              <w:top w:val="nil"/>
              <w:left w:val="nil"/>
              <w:bottom w:val="nil"/>
              <w:right w:val="nil"/>
            </w:tcBorders>
            <w:vAlign w:val="center"/>
            <w:hideMark/>
          </w:tcPr>
          <w:p w14:paraId="5553304F"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5.8E-06</w:t>
            </w:r>
          </w:p>
        </w:tc>
        <w:tc>
          <w:tcPr>
            <w:tcW w:w="486" w:type="pct"/>
            <w:tcBorders>
              <w:top w:val="nil"/>
              <w:left w:val="nil"/>
              <w:bottom w:val="nil"/>
              <w:right w:val="nil"/>
            </w:tcBorders>
            <w:vAlign w:val="center"/>
            <w:hideMark/>
          </w:tcPr>
          <w:p w14:paraId="737127CE"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4.5E-06</w:t>
            </w:r>
          </w:p>
        </w:tc>
        <w:tc>
          <w:tcPr>
            <w:tcW w:w="486" w:type="pct"/>
            <w:tcBorders>
              <w:top w:val="nil"/>
              <w:left w:val="nil"/>
              <w:bottom w:val="nil"/>
              <w:right w:val="nil"/>
            </w:tcBorders>
            <w:vAlign w:val="center"/>
            <w:hideMark/>
          </w:tcPr>
          <w:p w14:paraId="5710F342"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4.3E-06</w:t>
            </w:r>
          </w:p>
        </w:tc>
      </w:tr>
      <w:tr w:rsidR="005C2848" w:rsidRPr="00972C81" w14:paraId="7C292797" w14:textId="77777777" w:rsidTr="0096390F">
        <w:trPr>
          <w:trHeight w:val="340"/>
        </w:trPr>
        <w:tc>
          <w:tcPr>
            <w:tcW w:w="2087" w:type="pct"/>
            <w:tcBorders>
              <w:top w:val="nil"/>
              <w:left w:val="nil"/>
              <w:bottom w:val="nil"/>
              <w:right w:val="nil"/>
            </w:tcBorders>
            <w:vAlign w:val="center"/>
            <w:hideMark/>
          </w:tcPr>
          <w:p w14:paraId="0279F1D7" w14:textId="77777777" w:rsidR="005C2848" w:rsidRPr="00C47F2F" w:rsidRDefault="005C2848" w:rsidP="0096390F">
            <w:pPr>
              <w:jc w:val="left"/>
              <w:rPr>
                <w:rFonts w:eastAsia="Times New Roman"/>
                <w:noProof/>
                <w:color w:val="000000"/>
                <w:sz w:val="22"/>
                <w:szCs w:val="22"/>
              </w:rPr>
            </w:pPr>
            <w:r w:rsidRPr="00C47F2F">
              <w:rPr>
                <w:noProof/>
                <w:color w:val="000000"/>
                <w:sz w:val="22"/>
                <w:szCs w:val="22"/>
              </w:rPr>
              <w:t>Type F</w:t>
            </w:r>
          </w:p>
        </w:tc>
        <w:tc>
          <w:tcPr>
            <w:tcW w:w="485" w:type="pct"/>
            <w:tcBorders>
              <w:top w:val="nil"/>
              <w:left w:val="nil"/>
              <w:bottom w:val="nil"/>
              <w:right w:val="nil"/>
            </w:tcBorders>
            <w:vAlign w:val="center"/>
            <w:hideMark/>
          </w:tcPr>
          <w:p w14:paraId="1B3F6A0C"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1.2E-06</w:t>
            </w:r>
          </w:p>
        </w:tc>
        <w:tc>
          <w:tcPr>
            <w:tcW w:w="486" w:type="pct"/>
            <w:tcBorders>
              <w:top w:val="nil"/>
              <w:left w:val="nil"/>
              <w:bottom w:val="nil"/>
              <w:right w:val="nil"/>
            </w:tcBorders>
            <w:vAlign w:val="center"/>
            <w:hideMark/>
          </w:tcPr>
          <w:p w14:paraId="6AD416E4"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7.6E-07</w:t>
            </w:r>
          </w:p>
        </w:tc>
        <w:tc>
          <w:tcPr>
            <w:tcW w:w="486" w:type="pct"/>
            <w:tcBorders>
              <w:top w:val="nil"/>
              <w:left w:val="nil"/>
              <w:bottom w:val="nil"/>
              <w:right w:val="nil"/>
            </w:tcBorders>
            <w:vAlign w:val="center"/>
            <w:hideMark/>
          </w:tcPr>
          <w:p w14:paraId="657F1313"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4.8E-07</w:t>
            </w:r>
          </w:p>
        </w:tc>
        <w:tc>
          <w:tcPr>
            <w:tcW w:w="485" w:type="pct"/>
            <w:tcBorders>
              <w:top w:val="nil"/>
              <w:left w:val="nil"/>
              <w:bottom w:val="nil"/>
              <w:right w:val="nil"/>
            </w:tcBorders>
            <w:vAlign w:val="center"/>
            <w:hideMark/>
          </w:tcPr>
          <w:p w14:paraId="570BAF9F"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3.6E-07</w:t>
            </w:r>
          </w:p>
        </w:tc>
        <w:tc>
          <w:tcPr>
            <w:tcW w:w="486" w:type="pct"/>
            <w:tcBorders>
              <w:top w:val="nil"/>
              <w:left w:val="nil"/>
              <w:bottom w:val="nil"/>
              <w:right w:val="nil"/>
            </w:tcBorders>
            <w:vAlign w:val="center"/>
            <w:hideMark/>
          </w:tcPr>
          <w:p w14:paraId="765D39EE"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3.5E-07</w:t>
            </w:r>
          </w:p>
        </w:tc>
        <w:tc>
          <w:tcPr>
            <w:tcW w:w="486" w:type="pct"/>
            <w:tcBorders>
              <w:top w:val="nil"/>
              <w:left w:val="nil"/>
              <w:bottom w:val="nil"/>
              <w:right w:val="nil"/>
            </w:tcBorders>
            <w:vAlign w:val="center"/>
            <w:hideMark/>
          </w:tcPr>
          <w:p w14:paraId="71845120"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2.8E-07</w:t>
            </w:r>
          </w:p>
        </w:tc>
      </w:tr>
      <w:tr w:rsidR="005C2848" w:rsidRPr="00972C81" w14:paraId="78D92D42" w14:textId="77777777" w:rsidTr="0096390F">
        <w:trPr>
          <w:trHeight w:val="340"/>
        </w:trPr>
        <w:tc>
          <w:tcPr>
            <w:tcW w:w="2087" w:type="pct"/>
            <w:tcBorders>
              <w:top w:val="nil"/>
              <w:left w:val="nil"/>
              <w:bottom w:val="nil"/>
              <w:right w:val="nil"/>
            </w:tcBorders>
            <w:vAlign w:val="center"/>
            <w:hideMark/>
          </w:tcPr>
          <w:p w14:paraId="51E0CC82" w14:textId="77777777" w:rsidR="005C2848" w:rsidRPr="00C47F2F" w:rsidRDefault="005C2848" w:rsidP="0096390F">
            <w:pPr>
              <w:jc w:val="left"/>
              <w:rPr>
                <w:rFonts w:eastAsia="Times New Roman"/>
                <w:noProof/>
                <w:color w:val="000000"/>
                <w:sz w:val="22"/>
                <w:szCs w:val="22"/>
                <w:lang w:eastAsia="en-GB"/>
              </w:rPr>
            </w:pPr>
            <w:r w:rsidRPr="00C47F2F">
              <w:rPr>
                <w:noProof/>
                <w:color w:val="000000"/>
                <w:sz w:val="22"/>
                <w:szCs w:val="22"/>
              </w:rPr>
              <w:t>Type M</w:t>
            </w:r>
          </w:p>
        </w:tc>
        <w:tc>
          <w:tcPr>
            <w:tcW w:w="485" w:type="pct"/>
            <w:tcBorders>
              <w:top w:val="nil"/>
              <w:left w:val="nil"/>
              <w:bottom w:val="nil"/>
              <w:right w:val="nil"/>
            </w:tcBorders>
            <w:vAlign w:val="center"/>
            <w:hideMark/>
          </w:tcPr>
          <w:p w14:paraId="38126C6C"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8.4E-06</w:t>
            </w:r>
          </w:p>
        </w:tc>
        <w:tc>
          <w:tcPr>
            <w:tcW w:w="486" w:type="pct"/>
            <w:tcBorders>
              <w:top w:val="nil"/>
              <w:left w:val="nil"/>
              <w:bottom w:val="nil"/>
              <w:right w:val="nil"/>
            </w:tcBorders>
            <w:vAlign w:val="center"/>
            <w:hideMark/>
          </w:tcPr>
          <w:p w14:paraId="35D632DE"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7.3E-06</w:t>
            </w:r>
          </w:p>
        </w:tc>
        <w:tc>
          <w:tcPr>
            <w:tcW w:w="486" w:type="pct"/>
            <w:tcBorders>
              <w:top w:val="nil"/>
              <w:left w:val="nil"/>
              <w:bottom w:val="nil"/>
              <w:right w:val="nil"/>
            </w:tcBorders>
            <w:vAlign w:val="center"/>
            <w:hideMark/>
          </w:tcPr>
          <w:p w14:paraId="756A3AFF"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4.3E-06</w:t>
            </w:r>
          </w:p>
        </w:tc>
        <w:tc>
          <w:tcPr>
            <w:tcW w:w="485" w:type="pct"/>
            <w:tcBorders>
              <w:top w:val="nil"/>
              <w:left w:val="nil"/>
              <w:bottom w:val="nil"/>
              <w:right w:val="nil"/>
            </w:tcBorders>
            <w:vAlign w:val="center"/>
            <w:hideMark/>
          </w:tcPr>
          <w:p w14:paraId="07664C5D"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2.8E-06</w:t>
            </w:r>
          </w:p>
        </w:tc>
        <w:tc>
          <w:tcPr>
            <w:tcW w:w="486" w:type="pct"/>
            <w:tcBorders>
              <w:top w:val="nil"/>
              <w:left w:val="nil"/>
              <w:bottom w:val="nil"/>
              <w:right w:val="nil"/>
            </w:tcBorders>
            <w:vAlign w:val="center"/>
            <w:hideMark/>
          </w:tcPr>
          <w:p w14:paraId="7A8C4BD8"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2.2E-06</w:t>
            </w:r>
          </w:p>
        </w:tc>
        <w:tc>
          <w:tcPr>
            <w:tcW w:w="486" w:type="pct"/>
            <w:tcBorders>
              <w:top w:val="nil"/>
              <w:left w:val="nil"/>
              <w:bottom w:val="nil"/>
              <w:right w:val="nil"/>
            </w:tcBorders>
            <w:vAlign w:val="center"/>
            <w:hideMark/>
          </w:tcPr>
          <w:p w14:paraId="7346A948"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2.1E-06</w:t>
            </w:r>
          </w:p>
        </w:tc>
      </w:tr>
      <w:tr w:rsidR="005C2848" w:rsidRPr="00972C81" w14:paraId="658E7805" w14:textId="77777777" w:rsidTr="0096390F">
        <w:trPr>
          <w:trHeight w:val="340"/>
        </w:trPr>
        <w:tc>
          <w:tcPr>
            <w:tcW w:w="2087" w:type="pct"/>
            <w:tcBorders>
              <w:top w:val="nil"/>
              <w:left w:val="nil"/>
              <w:bottom w:val="single" w:sz="4" w:space="0" w:color="auto"/>
              <w:right w:val="nil"/>
            </w:tcBorders>
            <w:vAlign w:val="center"/>
            <w:hideMark/>
          </w:tcPr>
          <w:p w14:paraId="3EAA31CA" w14:textId="77777777" w:rsidR="005C2848" w:rsidRPr="00C47F2F" w:rsidRDefault="005C2848" w:rsidP="0096390F">
            <w:pPr>
              <w:jc w:val="left"/>
              <w:rPr>
                <w:rFonts w:eastAsiaTheme="minorHAnsi"/>
                <w:noProof/>
                <w:color w:val="000000"/>
                <w:sz w:val="22"/>
                <w:szCs w:val="22"/>
              </w:rPr>
            </w:pPr>
            <w:r w:rsidRPr="00C47F2F">
              <w:rPr>
                <w:noProof/>
                <w:color w:val="000000"/>
                <w:sz w:val="22"/>
                <w:szCs w:val="22"/>
              </w:rPr>
              <w:t>Type S</w:t>
            </w:r>
          </w:p>
        </w:tc>
        <w:tc>
          <w:tcPr>
            <w:tcW w:w="485" w:type="pct"/>
            <w:tcBorders>
              <w:top w:val="nil"/>
              <w:left w:val="nil"/>
              <w:bottom w:val="single" w:sz="4" w:space="0" w:color="auto"/>
              <w:right w:val="nil"/>
            </w:tcBorders>
            <w:vAlign w:val="center"/>
            <w:hideMark/>
          </w:tcPr>
          <w:p w14:paraId="2244F31E"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4.4E-05</w:t>
            </w:r>
          </w:p>
        </w:tc>
        <w:tc>
          <w:tcPr>
            <w:tcW w:w="486" w:type="pct"/>
            <w:tcBorders>
              <w:top w:val="nil"/>
              <w:left w:val="nil"/>
              <w:bottom w:val="single" w:sz="4" w:space="0" w:color="auto"/>
              <w:right w:val="nil"/>
            </w:tcBorders>
            <w:vAlign w:val="center"/>
            <w:hideMark/>
          </w:tcPr>
          <w:p w14:paraId="4A2F8C7B"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4.3E-05</w:t>
            </w:r>
          </w:p>
        </w:tc>
        <w:tc>
          <w:tcPr>
            <w:tcW w:w="486" w:type="pct"/>
            <w:tcBorders>
              <w:top w:val="nil"/>
              <w:left w:val="nil"/>
              <w:bottom w:val="single" w:sz="4" w:space="0" w:color="auto"/>
              <w:right w:val="nil"/>
            </w:tcBorders>
            <w:vAlign w:val="center"/>
            <w:hideMark/>
          </w:tcPr>
          <w:p w14:paraId="1D2D2892"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3.0E-05</w:t>
            </w:r>
          </w:p>
        </w:tc>
        <w:tc>
          <w:tcPr>
            <w:tcW w:w="485" w:type="pct"/>
            <w:tcBorders>
              <w:top w:val="nil"/>
              <w:left w:val="nil"/>
              <w:bottom w:val="single" w:sz="4" w:space="0" w:color="auto"/>
              <w:right w:val="nil"/>
            </w:tcBorders>
            <w:vAlign w:val="center"/>
            <w:hideMark/>
          </w:tcPr>
          <w:p w14:paraId="687A335E"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2.2E-05</w:t>
            </w:r>
          </w:p>
        </w:tc>
        <w:tc>
          <w:tcPr>
            <w:tcW w:w="486" w:type="pct"/>
            <w:tcBorders>
              <w:top w:val="nil"/>
              <w:left w:val="nil"/>
              <w:bottom w:val="single" w:sz="4" w:space="0" w:color="auto"/>
              <w:right w:val="nil"/>
            </w:tcBorders>
            <w:vAlign w:val="center"/>
            <w:hideMark/>
          </w:tcPr>
          <w:p w14:paraId="33117E2F"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2.1E-05</w:t>
            </w:r>
          </w:p>
        </w:tc>
        <w:tc>
          <w:tcPr>
            <w:tcW w:w="486" w:type="pct"/>
            <w:tcBorders>
              <w:top w:val="nil"/>
              <w:left w:val="nil"/>
              <w:bottom w:val="single" w:sz="4" w:space="0" w:color="auto"/>
              <w:right w:val="nil"/>
            </w:tcBorders>
            <w:vAlign w:val="center"/>
            <w:hideMark/>
          </w:tcPr>
          <w:p w14:paraId="41228D2B"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2.1E-05</w:t>
            </w:r>
          </w:p>
        </w:tc>
      </w:tr>
      <w:tr w:rsidR="005C2848" w:rsidRPr="00972C81" w14:paraId="09CBA199" w14:textId="77777777" w:rsidTr="0096390F">
        <w:trPr>
          <w:trHeight w:val="340"/>
        </w:trPr>
        <w:tc>
          <w:tcPr>
            <w:tcW w:w="2087" w:type="pct"/>
            <w:tcBorders>
              <w:top w:val="single" w:sz="4" w:space="0" w:color="auto"/>
              <w:left w:val="nil"/>
              <w:bottom w:val="single" w:sz="4" w:space="0" w:color="auto"/>
              <w:right w:val="nil"/>
            </w:tcBorders>
            <w:vAlign w:val="center"/>
          </w:tcPr>
          <w:p w14:paraId="259F4A02" w14:textId="77777777" w:rsidR="005C2848" w:rsidRPr="00C47F2F" w:rsidRDefault="005C2848">
            <w:pPr>
              <w:rPr>
                <w:rFonts w:eastAsiaTheme="minorHAnsi"/>
                <w:noProof/>
                <w:sz w:val="22"/>
                <w:szCs w:val="22"/>
              </w:rPr>
            </w:pPr>
          </w:p>
          <w:p w14:paraId="6AE701AB" w14:textId="77777777" w:rsidR="005C2848" w:rsidRPr="00C47F2F" w:rsidRDefault="005C2848">
            <w:pPr>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vAlign w:val="center"/>
          </w:tcPr>
          <w:p w14:paraId="3B38003F" w14:textId="77777777" w:rsidR="005C2848" w:rsidRPr="00C47F2F" w:rsidRDefault="005C2848">
            <w:pPr>
              <w:jc w:val="center"/>
              <w:rPr>
                <w:rFonts w:eastAsia="Times New Roman"/>
                <w:noProof/>
                <w:color w:val="000000"/>
                <w:sz w:val="22"/>
                <w:szCs w:val="22"/>
              </w:rPr>
            </w:pPr>
          </w:p>
        </w:tc>
        <w:tc>
          <w:tcPr>
            <w:tcW w:w="486" w:type="pct"/>
            <w:tcBorders>
              <w:top w:val="single" w:sz="4" w:space="0" w:color="auto"/>
              <w:left w:val="nil"/>
              <w:bottom w:val="single" w:sz="4" w:space="0" w:color="auto"/>
              <w:right w:val="nil"/>
            </w:tcBorders>
            <w:vAlign w:val="center"/>
          </w:tcPr>
          <w:p w14:paraId="6E6E45EE" w14:textId="77777777" w:rsidR="005C2848" w:rsidRPr="00C47F2F" w:rsidRDefault="005C2848">
            <w:pPr>
              <w:jc w:val="center"/>
              <w:rPr>
                <w:rFonts w:eastAsia="Times New Roman"/>
                <w:noProof/>
                <w:color w:val="000000"/>
                <w:sz w:val="22"/>
                <w:szCs w:val="22"/>
              </w:rPr>
            </w:pPr>
          </w:p>
        </w:tc>
        <w:tc>
          <w:tcPr>
            <w:tcW w:w="486" w:type="pct"/>
            <w:tcBorders>
              <w:top w:val="single" w:sz="4" w:space="0" w:color="auto"/>
              <w:left w:val="nil"/>
              <w:bottom w:val="single" w:sz="4" w:space="0" w:color="auto"/>
              <w:right w:val="nil"/>
            </w:tcBorders>
            <w:vAlign w:val="center"/>
          </w:tcPr>
          <w:p w14:paraId="177D9B86" w14:textId="77777777" w:rsidR="005C2848" w:rsidRPr="00C47F2F" w:rsidRDefault="005C2848">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48C4120F" w14:textId="77777777" w:rsidR="005C2848" w:rsidRPr="00C47F2F" w:rsidRDefault="005C2848">
            <w:pPr>
              <w:jc w:val="center"/>
              <w:rPr>
                <w:rFonts w:eastAsia="Times New Roman"/>
                <w:noProof/>
                <w:color w:val="000000"/>
                <w:sz w:val="22"/>
                <w:szCs w:val="22"/>
              </w:rPr>
            </w:pPr>
          </w:p>
        </w:tc>
        <w:tc>
          <w:tcPr>
            <w:tcW w:w="486" w:type="pct"/>
            <w:tcBorders>
              <w:top w:val="single" w:sz="4" w:space="0" w:color="auto"/>
              <w:left w:val="nil"/>
              <w:bottom w:val="single" w:sz="4" w:space="0" w:color="auto"/>
              <w:right w:val="nil"/>
            </w:tcBorders>
            <w:vAlign w:val="center"/>
          </w:tcPr>
          <w:p w14:paraId="24F5B400" w14:textId="77777777" w:rsidR="005C2848" w:rsidRPr="00C47F2F" w:rsidRDefault="005C2848">
            <w:pPr>
              <w:jc w:val="center"/>
              <w:rPr>
                <w:rFonts w:eastAsia="Times New Roman"/>
                <w:noProof/>
                <w:color w:val="000000"/>
                <w:sz w:val="22"/>
                <w:szCs w:val="22"/>
              </w:rPr>
            </w:pPr>
          </w:p>
        </w:tc>
        <w:tc>
          <w:tcPr>
            <w:tcW w:w="486" w:type="pct"/>
            <w:tcBorders>
              <w:top w:val="single" w:sz="4" w:space="0" w:color="auto"/>
              <w:left w:val="nil"/>
              <w:bottom w:val="single" w:sz="4" w:space="0" w:color="auto"/>
              <w:right w:val="nil"/>
            </w:tcBorders>
            <w:vAlign w:val="center"/>
          </w:tcPr>
          <w:p w14:paraId="010722B8" w14:textId="77777777" w:rsidR="005C2848" w:rsidRPr="00C47F2F" w:rsidRDefault="005C2848">
            <w:pPr>
              <w:jc w:val="center"/>
              <w:rPr>
                <w:rFonts w:eastAsia="Times New Roman"/>
                <w:noProof/>
                <w:color w:val="000000"/>
                <w:sz w:val="22"/>
                <w:szCs w:val="22"/>
              </w:rPr>
            </w:pPr>
          </w:p>
        </w:tc>
      </w:tr>
      <w:tr w:rsidR="005C2848" w:rsidRPr="00972C81" w14:paraId="59F25004" w14:textId="77777777" w:rsidTr="0096390F">
        <w:trPr>
          <w:trHeight w:val="340"/>
        </w:trPr>
        <w:tc>
          <w:tcPr>
            <w:tcW w:w="2087" w:type="pct"/>
            <w:tcBorders>
              <w:top w:val="single" w:sz="4" w:space="0" w:color="auto"/>
              <w:left w:val="nil"/>
              <w:bottom w:val="nil"/>
              <w:right w:val="nil"/>
            </w:tcBorders>
            <w:vAlign w:val="center"/>
            <w:hideMark/>
          </w:tcPr>
          <w:p w14:paraId="64031943" w14:textId="77777777" w:rsidR="005C2848" w:rsidRPr="00C47F2F" w:rsidRDefault="005C2848" w:rsidP="0096390F">
            <w:pPr>
              <w:jc w:val="left"/>
              <w:rPr>
                <w:rFonts w:eastAsiaTheme="minorHAnsi"/>
                <w:noProof/>
                <w:sz w:val="22"/>
                <w:szCs w:val="22"/>
              </w:rPr>
            </w:pPr>
            <w:r w:rsidRPr="00C47F2F">
              <w:rPr>
                <w:noProof/>
                <w:sz w:val="22"/>
                <w:szCs w:val="22"/>
              </w:rPr>
              <w:t>Soluble forms</w:t>
            </w:r>
          </w:p>
        </w:tc>
        <w:tc>
          <w:tcPr>
            <w:tcW w:w="485" w:type="pct"/>
            <w:tcBorders>
              <w:top w:val="single" w:sz="4" w:space="0" w:color="auto"/>
              <w:left w:val="nil"/>
              <w:bottom w:val="nil"/>
              <w:right w:val="nil"/>
            </w:tcBorders>
            <w:vAlign w:val="center"/>
            <w:hideMark/>
          </w:tcPr>
          <w:p w14:paraId="65ED0AE6"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6.1E-07</w:t>
            </w:r>
          </w:p>
        </w:tc>
        <w:tc>
          <w:tcPr>
            <w:tcW w:w="486" w:type="pct"/>
            <w:tcBorders>
              <w:top w:val="single" w:sz="4" w:space="0" w:color="auto"/>
              <w:left w:val="nil"/>
              <w:bottom w:val="nil"/>
              <w:right w:val="nil"/>
            </w:tcBorders>
            <w:vAlign w:val="center"/>
            <w:hideMark/>
          </w:tcPr>
          <w:p w14:paraId="51C7FCC2"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2.1E-07</w:t>
            </w:r>
          </w:p>
        </w:tc>
        <w:tc>
          <w:tcPr>
            <w:tcW w:w="486" w:type="pct"/>
            <w:tcBorders>
              <w:top w:val="single" w:sz="4" w:space="0" w:color="auto"/>
              <w:left w:val="nil"/>
              <w:bottom w:val="nil"/>
              <w:right w:val="nil"/>
            </w:tcBorders>
            <w:vAlign w:val="center"/>
            <w:hideMark/>
          </w:tcPr>
          <w:p w14:paraId="00388B34"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1.4E-07</w:t>
            </w:r>
          </w:p>
        </w:tc>
        <w:tc>
          <w:tcPr>
            <w:tcW w:w="485" w:type="pct"/>
            <w:tcBorders>
              <w:top w:val="single" w:sz="4" w:space="0" w:color="auto"/>
              <w:left w:val="nil"/>
              <w:bottom w:val="nil"/>
              <w:right w:val="nil"/>
            </w:tcBorders>
            <w:vAlign w:val="center"/>
            <w:hideMark/>
          </w:tcPr>
          <w:p w14:paraId="1440EC83"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6.6E-08</w:t>
            </w:r>
          </w:p>
        </w:tc>
        <w:tc>
          <w:tcPr>
            <w:tcW w:w="486" w:type="pct"/>
            <w:tcBorders>
              <w:top w:val="single" w:sz="4" w:space="0" w:color="auto"/>
              <w:left w:val="nil"/>
              <w:bottom w:val="nil"/>
              <w:right w:val="nil"/>
            </w:tcBorders>
            <w:vAlign w:val="center"/>
            <w:hideMark/>
          </w:tcPr>
          <w:p w14:paraId="19BE0DEC"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6.0E-08</w:t>
            </w:r>
          </w:p>
        </w:tc>
        <w:tc>
          <w:tcPr>
            <w:tcW w:w="486" w:type="pct"/>
            <w:tcBorders>
              <w:top w:val="single" w:sz="4" w:space="0" w:color="auto"/>
              <w:left w:val="nil"/>
              <w:bottom w:val="nil"/>
              <w:right w:val="nil"/>
            </w:tcBorders>
            <w:vAlign w:val="center"/>
            <w:hideMark/>
          </w:tcPr>
          <w:p w14:paraId="2B28DEA6"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3.1E-08</w:t>
            </w:r>
          </w:p>
        </w:tc>
      </w:tr>
      <w:tr w:rsidR="005C2848" w:rsidRPr="00972C81" w14:paraId="1F1D3272" w14:textId="77777777" w:rsidTr="0096390F">
        <w:trPr>
          <w:trHeight w:val="340"/>
        </w:trPr>
        <w:tc>
          <w:tcPr>
            <w:tcW w:w="2087" w:type="pct"/>
            <w:tcBorders>
              <w:top w:val="nil"/>
              <w:left w:val="nil"/>
              <w:bottom w:val="single" w:sz="4" w:space="0" w:color="auto"/>
              <w:right w:val="nil"/>
            </w:tcBorders>
            <w:vAlign w:val="center"/>
            <w:hideMark/>
          </w:tcPr>
          <w:p w14:paraId="3FF480F8" w14:textId="77777777" w:rsidR="005C2848" w:rsidRPr="00C47F2F" w:rsidRDefault="005C2848" w:rsidP="0096390F">
            <w:pPr>
              <w:jc w:val="left"/>
              <w:rPr>
                <w:rFonts w:eastAsiaTheme="minorHAnsi"/>
                <w:noProof/>
                <w:sz w:val="22"/>
                <w:szCs w:val="22"/>
              </w:rPr>
            </w:pPr>
            <w:r w:rsidRPr="00C47F2F">
              <w:rPr>
                <w:noProof/>
                <w:sz w:val="22"/>
                <w:szCs w:val="22"/>
              </w:rPr>
              <w:t>Relatively insoluble forms</w:t>
            </w:r>
          </w:p>
        </w:tc>
        <w:tc>
          <w:tcPr>
            <w:tcW w:w="485" w:type="pct"/>
            <w:tcBorders>
              <w:top w:val="nil"/>
              <w:left w:val="nil"/>
              <w:bottom w:val="single" w:sz="4" w:space="0" w:color="auto"/>
              <w:right w:val="nil"/>
            </w:tcBorders>
            <w:vAlign w:val="center"/>
            <w:hideMark/>
          </w:tcPr>
          <w:p w14:paraId="220489EE"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6.1E-08</w:t>
            </w:r>
          </w:p>
        </w:tc>
        <w:tc>
          <w:tcPr>
            <w:tcW w:w="486" w:type="pct"/>
            <w:tcBorders>
              <w:top w:val="nil"/>
              <w:left w:val="nil"/>
              <w:bottom w:val="single" w:sz="4" w:space="0" w:color="auto"/>
              <w:right w:val="nil"/>
            </w:tcBorders>
            <w:vAlign w:val="center"/>
            <w:hideMark/>
          </w:tcPr>
          <w:p w14:paraId="232C2F27"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2.1E-08</w:t>
            </w:r>
          </w:p>
        </w:tc>
        <w:tc>
          <w:tcPr>
            <w:tcW w:w="486" w:type="pct"/>
            <w:tcBorders>
              <w:top w:val="nil"/>
              <w:left w:val="nil"/>
              <w:bottom w:val="single" w:sz="4" w:space="0" w:color="auto"/>
              <w:right w:val="nil"/>
            </w:tcBorders>
            <w:vAlign w:val="center"/>
            <w:hideMark/>
          </w:tcPr>
          <w:p w14:paraId="7119ADC7"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1.4E-08</w:t>
            </w:r>
          </w:p>
        </w:tc>
        <w:tc>
          <w:tcPr>
            <w:tcW w:w="485" w:type="pct"/>
            <w:tcBorders>
              <w:top w:val="nil"/>
              <w:left w:val="nil"/>
              <w:bottom w:val="single" w:sz="4" w:space="0" w:color="auto"/>
              <w:right w:val="nil"/>
            </w:tcBorders>
            <w:vAlign w:val="center"/>
            <w:hideMark/>
          </w:tcPr>
          <w:p w14:paraId="012C977E"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6.6E-09</w:t>
            </w:r>
          </w:p>
        </w:tc>
        <w:tc>
          <w:tcPr>
            <w:tcW w:w="486" w:type="pct"/>
            <w:tcBorders>
              <w:top w:val="nil"/>
              <w:left w:val="nil"/>
              <w:bottom w:val="single" w:sz="4" w:space="0" w:color="auto"/>
              <w:right w:val="nil"/>
            </w:tcBorders>
            <w:vAlign w:val="center"/>
            <w:hideMark/>
          </w:tcPr>
          <w:p w14:paraId="26BC7B57"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6.1E-09</w:t>
            </w:r>
          </w:p>
        </w:tc>
        <w:tc>
          <w:tcPr>
            <w:tcW w:w="486" w:type="pct"/>
            <w:tcBorders>
              <w:top w:val="nil"/>
              <w:left w:val="nil"/>
              <w:bottom w:val="single" w:sz="4" w:space="0" w:color="auto"/>
              <w:right w:val="nil"/>
            </w:tcBorders>
            <w:vAlign w:val="center"/>
            <w:hideMark/>
          </w:tcPr>
          <w:p w14:paraId="27D485C9" w14:textId="77777777" w:rsidR="005C2848" w:rsidRPr="00C47F2F" w:rsidRDefault="005C2848" w:rsidP="0096390F">
            <w:pPr>
              <w:jc w:val="left"/>
              <w:rPr>
                <w:rFonts w:eastAsia="Times New Roman"/>
                <w:noProof/>
                <w:color w:val="000000"/>
                <w:sz w:val="22"/>
                <w:szCs w:val="22"/>
              </w:rPr>
            </w:pPr>
            <w:r w:rsidRPr="00C47F2F">
              <w:rPr>
                <w:rFonts w:eastAsia="Times New Roman"/>
                <w:noProof/>
                <w:color w:val="000000"/>
                <w:sz w:val="22"/>
                <w:szCs w:val="22"/>
              </w:rPr>
              <w:t>3.1E-09</w:t>
            </w:r>
          </w:p>
        </w:tc>
      </w:tr>
    </w:tbl>
    <w:p w14:paraId="339DFB27" w14:textId="62A357C1" w:rsidR="00E31A20" w:rsidRPr="00972C81" w:rsidRDefault="007A34D9" w:rsidP="007A34D9">
      <w:pPr>
        <w:widowControl/>
        <w:jc w:val="left"/>
        <w:rPr>
          <w:b/>
          <w:noProof/>
          <w:sz w:val="28"/>
          <w:szCs w:val="24"/>
          <w:lang w:eastAsia="en-GB"/>
        </w:rPr>
      </w:pPr>
      <w:r w:rsidRPr="00972C81">
        <w:rPr>
          <w:noProof/>
        </w:rPr>
        <w:br w:type="page"/>
      </w:r>
    </w:p>
    <w:p w14:paraId="68720906" w14:textId="77777777" w:rsidR="007D1F4D" w:rsidRPr="00972C81" w:rsidRDefault="00DC407D" w:rsidP="00E81109">
      <w:pPr>
        <w:pStyle w:val="1"/>
        <w:rPr>
          <w:noProof/>
        </w:rPr>
      </w:pPr>
      <w:bookmarkStart w:id="297" w:name="_Toc455492658"/>
      <w:bookmarkStart w:id="298" w:name="_Toc455493087"/>
      <w:bookmarkStart w:id="299" w:name="_Toc162630097"/>
      <w:r w:rsidRPr="00972C81">
        <w:rPr>
          <w:noProof/>
        </w:rPr>
        <w:lastRenderedPageBreak/>
        <w:t>Neptunium (Z=93)</w:t>
      </w:r>
      <w:bookmarkEnd w:id="297"/>
      <w:bookmarkEnd w:id="298"/>
      <w:bookmarkEnd w:id="299"/>
    </w:p>
    <w:p w14:paraId="6438B149" w14:textId="3CF4BFCC" w:rsidR="00EB348A" w:rsidRPr="00972C81" w:rsidRDefault="00EB348A" w:rsidP="00E81109">
      <w:pPr>
        <w:pStyle w:val="2"/>
        <w:rPr>
          <w:noProof/>
          <w:lang w:val="en-GB"/>
        </w:rPr>
      </w:pPr>
      <w:bookmarkStart w:id="300" w:name="_Toc17467920"/>
      <w:bookmarkStart w:id="301" w:name="_Toc455492660"/>
      <w:bookmarkStart w:id="302" w:name="_Toc455493089"/>
      <w:bookmarkStart w:id="303" w:name="_Toc162630098"/>
      <w:bookmarkEnd w:id="300"/>
      <w:r w:rsidRPr="00972C81">
        <w:rPr>
          <w:noProof/>
          <w:lang w:val="en-GB"/>
        </w:rPr>
        <w:t>Routes of Intake</w:t>
      </w:r>
      <w:bookmarkEnd w:id="301"/>
      <w:bookmarkEnd w:id="302"/>
      <w:bookmarkEnd w:id="303"/>
    </w:p>
    <w:p w14:paraId="18F5C78A" w14:textId="17F88348" w:rsidR="00EB348A" w:rsidRPr="00972C81" w:rsidRDefault="00EB348A" w:rsidP="006F56F9">
      <w:pPr>
        <w:pStyle w:val="3"/>
        <w:rPr>
          <w:noProof/>
        </w:rPr>
      </w:pPr>
      <w:bookmarkStart w:id="304" w:name="_Toc162630099"/>
      <w:r w:rsidRPr="00972C81">
        <w:rPr>
          <w:noProof/>
        </w:rPr>
        <w:t>Inhalation</w:t>
      </w:r>
      <w:bookmarkEnd w:id="304"/>
    </w:p>
    <w:p w14:paraId="51DF156D" w14:textId="44F6B22C" w:rsidR="00EB348A" w:rsidRPr="00972C81" w:rsidRDefault="00EB348A" w:rsidP="00E81109">
      <w:pPr>
        <w:pStyle w:val="Annalstext"/>
        <w:rPr>
          <w:noProof/>
        </w:rPr>
      </w:pPr>
      <w:r w:rsidRPr="00972C81">
        <w:rPr>
          <w:noProof/>
        </w:rPr>
        <w:t xml:space="preserve">No studies were found in the literature relating to lung retention of neptunium (Np) </w:t>
      </w:r>
      <w:r w:rsidR="00BB503E">
        <w:rPr>
          <w:noProof/>
        </w:rPr>
        <w:t>in humans</w:t>
      </w:r>
      <w:r w:rsidRPr="00972C81">
        <w:rPr>
          <w:noProof/>
        </w:rPr>
        <w:t xml:space="preserve"> following accidental intakes other than environmental exposure to nuclear weapons fallout. Information on absorption from the respiratory tract is available from experimental studies with neptunium in several chemical forms including nitrate and oxide. </w:t>
      </w:r>
      <w:r w:rsidR="00A758BD" w:rsidRPr="00972C81">
        <w:rPr>
          <w:noProof/>
        </w:rPr>
        <w:t xml:space="preserve">For details see Section 21 of </w:t>
      </w:r>
      <w:r w:rsidR="007A34D9" w:rsidRPr="00972C81">
        <w:rPr>
          <w:i/>
          <w:noProof/>
        </w:rPr>
        <w:t>Publication 141</w:t>
      </w:r>
      <w:r w:rsidR="007A34D9" w:rsidRPr="00972C81">
        <w:rPr>
          <w:noProof/>
        </w:rPr>
        <w:t xml:space="preserve"> </w:t>
      </w:r>
      <w:r w:rsidR="00B02F6B" w:rsidRPr="00972C81">
        <w:rPr>
          <w:noProof/>
        </w:rPr>
        <w:fldChar w:fldCharType="begin"/>
      </w:r>
      <w:r w:rsidR="00B02F6B" w:rsidRPr="00972C81">
        <w:rPr>
          <w:noProof/>
        </w:rPr>
        <w:instrText xml:space="preserve"> ADDIN ZOTERO_ITEM CSL_CITATION {"citationID":"TTaeN3Rz","properties":{"formattedCitation":"(ICRP,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B02F6B" w:rsidRPr="00972C81">
        <w:rPr>
          <w:noProof/>
        </w:rPr>
        <w:fldChar w:fldCharType="separate"/>
      </w:r>
      <w:r w:rsidR="00BC59C6" w:rsidRPr="00972C81">
        <w:rPr>
          <w:noProof/>
        </w:rPr>
        <w:t>(ICRP, 2019)</w:t>
      </w:r>
      <w:r w:rsidR="00B02F6B" w:rsidRPr="00972C81">
        <w:rPr>
          <w:noProof/>
        </w:rPr>
        <w:fldChar w:fldCharType="end"/>
      </w:r>
      <w:r w:rsidR="00A758BD" w:rsidRPr="00972C81">
        <w:rPr>
          <w:noProof/>
        </w:rPr>
        <w:t xml:space="preserve">. </w:t>
      </w:r>
      <w:r w:rsidRPr="00972C81">
        <w:rPr>
          <w:noProof/>
        </w:rPr>
        <w:t xml:space="preserve">Absorption parameter values and Types, and associated </w:t>
      </w:r>
      <w:r w:rsidRPr="00972C81">
        <w:rPr>
          <w:i/>
          <w:noProof/>
        </w:rPr>
        <w:t>f</w:t>
      </w:r>
      <w:r w:rsidRPr="00972C81">
        <w:rPr>
          <w:noProof/>
          <w:vertAlign w:val="subscript"/>
        </w:rPr>
        <w:t>A</w:t>
      </w:r>
      <w:r w:rsidRPr="00972C81">
        <w:rPr>
          <w:noProof/>
        </w:rPr>
        <w:t xml:space="preserve"> values for particulate forms of neptunium are given in </w:t>
      </w:r>
      <w:r w:rsidR="00B02F6B" w:rsidRPr="00972C81">
        <w:rPr>
          <w:noProof/>
        </w:rPr>
        <w:fldChar w:fldCharType="begin"/>
      </w:r>
      <w:r w:rsidR="00B02F6B" w:rsidRPr="00972C81">
        <w:rPr>
          <w:noProof/>
        </w:rPr>
        <w:instrText xml:space="preserve"> REF _Ref143592434 \h </w:instrText>
      </w:r>
      <w:r w:rsidR="00B02F6B" w:rsidRPr="00972C81">
        <w:rPr>
          <w:noProof/>
        </w:rPr>
      </w:r>
      <w:r w:rsidR="00B02F6B" w:rsidRPr="00972C81">
        <w:rPr>
          <w:noProof/>
        </w:rPr>
        <w:fldChar w:fldCharType="separate"/>
      </w:r>
      <w:r w:rsidR="00A41AD1" w:rsidRPr="00972C81">
        <w:rPr>
          <w:noProof/>
        </w:rPr>
        <w:t xml:space="preserve">Table </w:t>
      </w:r>
      <w:r w:rsidR="00A41AD1">
        <w:rPr>
          <w:noProof/>
        </w:rPr>
        <w:t>21</w:t>
      </w:r>
      <w:r w:rsidR="00A41AD1" w:rsidRPr="00972C81">
        <w:rPr>
          <w:noProof/>
        </w:rPr>
        <w:t>.</w:t>
      </w:r>
      <w:r w:rsidR="00A41AD1">
        <w:rPr>
          <w:noProof/>
        </w:rPr>
        <w:t>1</w:t>
      </w:r>
      <w:r w:rsidR="00B02F6B" w:rsidRPr="00972C81">
        <w:rPr>
          <w:noProof/>
        </w:rPr>
        <w:fldChar w:fldCharType="end"/>
      </w:r>
      <w:r w:rsidR="006C29E4" w:rsidRPr="00972C81">
        <w:rPr>
          <w:noProof/>
        </w:rPr>
        <w:t xml:space="preserve"> (taken from Section 21 of </w:t>
      </w:r>
      <w:bookmarkStart w:id="305" w:name="_Ref425514090"/>
      <w:r w:rsidR="007A34D9" w:rsidRPr="00972C81">
        <w:rPr>
          <w:i/>
          <w:noProof/>
        </w:rPr>
        <w:t>Publication 141</w:t>
      </w:r>
      <w:r w:rsidR="007A34D9" w:rsidRPr="00972C81">
        <w:rPr>
          <w:noProof/>
        </w:rPr>
        <w:t>).</w:t>
      </w:r>
    </w:p>
    <w:p w14:paraId="4268DD25" w14:textId="77777777" w:rsidR="007A34D9" w:rsidRPr="00972C81" w:rsidRDefault="007A34D9" w:rsidP="001C4A92">
      <w:pPr>
        <w:pStyle w:val="Annalstext"/>
        <w:numPr>
          <w:ilvl w:val="0"/>
          <w:numId w:val="0"/>
        </w:numPr>
        <w:ind w:left="142"/>
        <w:rPr>
          <w:noProof/>
        </w:rPr>
      </w:pPr>
    </w:p>
    <w:p w14:paraId="7645DBF9" w14:textId="065B3C5C" w:rsidR="00EB348A" w:rsidRPr="00C47F2F" w:rsidRDefault="00B02F6B" w:rsidP="00E81109">
      <w:pPr>
        <w:pStyle w:val="ab"/>
        <w:rPr>
          <w:b/>
          <w:noProof/>
          <w:sz w:val="24"/>
          <w:szCs w:val="24"/>
        </w:rPr>
      </w:pPr>
      <w:bookmarkStart w:id="306" w:name="_Ref143592434"/>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21</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1</w:t>
      </w:r>
      <w:r w:rsidR="00EA3750" w:rsidRPr="00C47F2F">
        <w:rPr>
          <w:noProof/>
          <w:sz w:val="24"/>
          <w:szCs w:val="24"/>
        </w:rPr>
        <w:fldChar w:fldCharType="end"/>
      </w:r>
      <w:bookmarkEnd w:id="305"/>
      <w:bookmarkEnd w:id="306"/>
      <w:r w:rsidR="00EB348A" w:rsidRPr="00C47F2F">
        <w:rPr>
          <w:noProof/>
          <w:sz w:val="24"/>
          <w:szCs w:val="24"/>
        </w:rPr>
        <w:t xml:space="preserve">. Absorption parameter values for inhaled and ingested neptunium. </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63"/>
        <w:gridCol w:w="435"/>
        <w:gridCol w:w="1103"/>
        <w:gridCol w:w="327"/>
        <w:gridCol w:w="776"/>
        <w:gridCol w:w="204"/>
        <w:gridCol w:w="67"/>
        <w:gridCol w:w="834"/>
        <w:gridCol w:w="63"/>
        <w:gridCol w:w="16"/>
        <w:gridCol w:w="982"/>
        <w:gridCol w:w="42"/>
        <w:gridCol w:w="1105"/>
        <w:gridCol w:w="1110"/>
      </w:tblGrid>
      <w:tr w:rsidR="00EB348A" w:rsidRPr="00972C81" w14:paraId="08F4F8D6" w14:textId="77777777" w:rsidTr="0019583E">
        <w:trPr>
          <w:cantSplit/>
          <w:trHeight w:val="340"/>
        </w:trPr>
        <w:tc>
          <w:tcPr>
            <w:tcW w:w="2120" w:type="pct"/>
            <w:gridSpan w:val="4"/>
            <w:vMerge w:val="restart"/>
            <w:tcBorders>
              <w:top w:val="single" w:sz="4" w:space="0" w:color="auto"/>
              <w:left w:val="nil"/>
              <w:bottom w:val="single" w:sz="4" w:space="0" w:color="auto"/>
              <w:right w:val="nil"/>
            </w:tcBorders>
            <w:vAlign w:val="bottom"/>
            <w:hideMark/>
          </w:tcPr>
          <w:p w14:paraId="7114D671" w14:textId="77777777" w:rsidR="00EB348A" w:rsidRPr="00CB3E51" w:rsidRDefault="00EB348A" w:rsidP="00E81109">
            <w:pPr>
              <w:pStyle w:val="Table"/>
              <w:rPr>
                <w:noProof/>
                <w:szCs w:val="22"/>
              </w:rPr>
            </w:pPr>
            <w:r w:rsidRPr="00CB3E51">
              <w:rPr>
                <w:noProof/>
                <w:szCs w:val="22"/>
              </w:rPr>
              <w:t>Inhaled particulate materials</w:t>
            </w:r>
          </w:p>
        </w:tc>
        <w:tc>
          <w:tcPr>
            <w:tcW w:w="1630" w:type="pct"/>
            <w:gridSpan w:val="7"/>
            <w:tcBorders>
              <w:top w:val="single" w:sz="4" w:space="0" w:color="auto"/>
              <w:left w:val="nil"/>
              <w:bottom w:val="single" w:sz="4" w:space="0" w:color="auto"/>
              <w:right w:val="nil"/>
            </w:tcBorders>
            <w:vAlign w:val="center"/>
            <w:hideMark/>
          </w:tcPr>
          <w:p w14:paraId="477397F9" w14:textId="73DCCD19" w:rsidR="00EB348A" w:rsidRPr="00CB3E51" w:rsidRDefault="00EB348A" w:rsidP="00084FF8">
            <w:pPr>
              <w:pStyle w:val="Table"/>
              <w:jc w:val="center"/>
              <w:rPr>
                <w:noProof/>
                <w:szCs w:val="22"/>
              </w:rPr>
            </w:pPr>
            <w:r w:rsidRPr="00CB3E51">
              <w:rPr>
                <w:noProof/>
                <w:szCs w:val="22"/>
              </w:rPr>
              <w:t>Absorption parameter values</w:t>
            </w:r>
            <w:r w:rsidR="0013248F" w:rsidRPr="00CB3E51">
              <w:rPr>
                <w:noProof/>
                <w:szCs w:val="22"/>
                <w:vertAlign w:val="superscript"/>
              </w:rPr>
              <w:t>*</w:t>
            </w:r>
          </w:p>
        </w:tc>
        <w:tc>
          <w:tcPr>
            <w:tcW w:w="1250" w:type="pct"/>
            <w:gridSpan w:val="3"/>
            <w:vMerge w:val="restart"/>
            <w:tcBorders>
              <w:top w:val="single" w:sz="4" w:space="0" w:color="auto"/>
              <w:left w:val="nil"/>
              <w:bottom w:val="single" w:sz="4" w:space="0" w:color="auto"/>
              <w:right w:val="nil"/>
            </w:tcBorders>
            <w:vAlign w:val="center"/>
            <w:hideMark/>
          </w:tcPr>
          <w:p w14:paraId="389A0D17" w14:textId="3467031C" w:rsidR="00EB348A" w:rsidRPr="00CB3E51" w:rsidRDefault="00EB348A" w:rsidP="00084FF8">
            <w:pPr>
              <w:pStyle w:val="Table"/>
              <w:rPr>
                <w:noProof/>
                <w:szCs w:val="22"/>
                <w:vertAlign w:val="superscript"/>
              </w:rPr>
            </w:pPr>
            <w:r w:rsidRPr="00CB3E51">
              <w:rPr>
                <w:noProof/>
                <w:szCs w:val="22"/>
              </w:rPr>
              <w:t xml:space="preserve">Absorption from the alimentary tract, </w:t>
            </w:r>
            <w:r w:rsidRPr="00CB3E51">
              <w:rPr>
                <w:i/>
                <w:noProof/>
                <w:szCs w:val="22"/>
              </w:rPr>
              <w:t>f</w:t>
            </w:r>
            <w:r w:rsidRPr="00CB3E51">
              <w:rPr>
                <w:noProof/>
                <w:szCs w:val="22"/>
                <w:vertAlign w:val="subscript"/>
              </w:rPr>
              <w:t>A</w:t>
            </w:r>
            <w:r w:rsidR="0013248F" w:rsidRPr="00CB3E51">
              <w:rPr>
                <w:noProof/>
                <w:szCs w:val="22"/>
                <w:vertAlign w:val="superscript"/>
              </w:rPr>
              <w:t>†</w:t>
            </w:r>
          </w:p>
        </w:tc>
      </w:tr>
      <w:tr w:rsidR="00EB348A" w:rsidRPr="00972C81" w14:paraId="56991062" w14:textId="77777777" w:rsidTr="0019583E">
        <w:trPr>
          <w:cantSplit/>
          <w:trHeight w:val="340"/>
        </w:trPr>
        <w:tc>
          <w:tcPr>
            <w:tcW w:w="2120" w:type="pct"/>
            <w:gridSpan w:val="4"/>
            <w:vMerge/>
            <w:tcBorders>
              <w:top w:val="single" w:sz="4" w:space="0" w:color="auto"/>
              <w:left w:val="nil"/>
              <w:bottom w:val="single" w:sz="4" w:space="0" w:color="auto"/>
              <w:right w:val="nil"/>
            </w:tcBorders>
            <w:vAlign w:val="center"/>
            <w:hideMark/>
          </w:tcPr>
          <w:p w14:paraId="38FAD62D" w14:textId="77777777" w:rsidR="00EB348A" w:rsidRPr="00CB3E51" w:rsidRDefault="00EB348A" w:rsidP="00E81109">
            <w:pPr>
              <w:pStyle w:val="Table"/>
              <w:rPr>
                <w:rFonts w:ascii="Times Roman" w:hAnsi="Times Roman"/>
                <w:noProof/>
                <w:color w:val="000000" w:themeColor="text1"/>
                <w:szCs w:val="22"/>
              </w:rPr>
            </w:pPr>
          </w:p>
        </w:tc>
        <w:tc>
          <w:tcPr>
            <w:tcW w:w="543" w:type="pct"/>
            <w:gridSpan w:val="2"/>
            <w:tcBorders>
              <w:top w:val="single" w:sz="4" w:space="0" w:color="auto"/>
              <w:left w:val="nil"/>
              <w:bottom w:val="single" w:sz="4" w:space="0" w:color="auto"/>
              <w:right w:val="nil"/>
            </w:tcBorders>
            <w:vAlign w:val="center"/>
            <w:hideMark/>
          </w:tcPr>
          <w:p w14:paraId="09F74B2D"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i/>
                <w:noProof/>
                <w:color w:val="000000" w:themeColor="text1"/>
                <w:szCs w:val="22"/>
              </w:rPr>
              <w:t>f</w:t>
            </w:r>
            <w:r w:rsidRPr="00CB3E51">
              <w:rPr>
                <w:rFonts w:ascii="Times Roman" w:hAnsi="Times Roman"/>
                <w:noProof/>
                <w:color w:val="000000" w:themeColor="text1"/>
                <w:szCs w:val="22"/>
                <w:vertAlign w:val="subscript"/>
              </w:rPr>
              <w:t>r</w:t>
            </w:r>
          </w:p>
        </w:tc>
        <w:tc>
          <w:tcPr>
            <w:tcW w:w="543" w:type="pct"/>
            <w:gridSpan w:val="4"/>
            <w:tcBorders>
              <w:top w:val="single" w:sz="4" w:space="0" w:color="auto"/>
              <w:left w:val="nil"/>
              <w:bottom w:val="single" w:sz="4" w:space="0" w:color="auto"/>
              <w:right w:val="nil"/>
            </w:tcBorders>
            <w:vAlign w:val="center"/>
            <w:hideMark/>
          </w:tcPr>
          <w:p w14:paraId="6F0BB41E"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i/>
                <w:noProof/>
                <w:color w:val="000000" w:themeColor="text1"/>
                <w:szCs w:val="22"/>
              </w:rPr>
              <w:t>s</w:t>
            </w:r>
            <w:r w:rsidRPr="00CB3E51">
              <w:rPr>
                <w:rFonts w:ascii="Times Roman" w:hAnsi="Times Roman"/>
                <w:noProof/>
                <w:color w:val="000000" w:themeColor="text1"/>
                <w:szCs w:val="22"/>
                <w:vertAlign w:val="subscript"/>
              </w:rPr>
              <w:t>r</w:t>
            </w:r>
            <w:r w:rsidRPr="00CB3E51">
              <w:rPr>
                <w:rFonts w:ascii="Times Roman" w:hAnsi="Times Roman"/>
                <w:noProof/>
                <w:color w:val="000000" w:themeColor="text1"/>
                <w:szCs w:val="22"/>
              </w:rPr>
              <w:t xml:space="preserve"> (d</w:t>
            </w:r>
            <w:r w:rsidRPr="00CB3E51">
              <w:rPr>
                <w:rFonts w:ascii="Times Roman" w:hAnsi="Times Roman"/>
                <w:noProof/>
                <w:color w:val="000000" w:themeColor="text1"/>
                <w:szCs w:val="22"/>
                <w:vertAlign w:val="superscript"/>
              </w:rPr>
              <w:t>–1</w:t>
            </w:r>
            <w:r w:rsidRPr="00CB3E51">
              <w:rPr>
                <w:rFonts w:ascii="Times Roman" w:hAnsi="Times Roman"/>
                <w:noProof/>
                <w:color w:val="000000" w:themeColor="text1"/>
                <w:szCs w:val="22"/>
              </w:rPr>
              <w:t>)</w:t>
            </w:r>
          </w:p>
        </w:tc>
        <w:tc>
          <w:tcPr>
            <w:tcW w:w="544" w:type="pct"/>
            <w:tcBorders>
              <w:top w:val="single" w:sz="4" w:space="0" w:color="auto"/>
              <w:left w:val="nil"/>
              <w:bottom w:val="single" w:sz="4" w:space="0" w:color="auto"/>
              <w:right w:val="nil"/>
            </w:tcBorders>
            <w:vAlign w:val="center"/>
            <w:hideMark/>
          </w:tcPr>
          <w:p w14:paraId="2F09DAA3"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i/>
                <w:noProof/>
                <w:color w:val="000000" w:themeColor="text1"/>
                <w:szCs w:val="22"/>
              </w:rPr>
              <w:t>s</w:t>
            </w:r>
            <w:r w:rsidRPr="00CB3E51">
              <w:rPr>
                <w:rFonts w:ascii="Times Roman" w:hAnsi="Times Roman"/>
                <w:noProof/>
                <w:color w:val="000000" w:themeColor="text1"/>
                <w:szCs w:val="22"/>
                <w:vertAlign w:val="subscript"/>
              </w:rPr>
              <w:t>s</w:t>
            </w:r>
            <w:r w:rsidRPr="00CB3E51">
              <w:rPr>
                <w:rFonts w:ascii="Times Roman" w:hAnsi="Times Roman"/>
                <w:noProof/>
                <w:color w:val="000000" w:themeColor="text1"/>
                <w:szCs w:val="22"/>
              </w:rPr>
              <w:t xml:space="preserve"> (d</w:t>
            </w:r>
            <w:r w:rsidRPr="00CB3E51">
              <w:rPr>
                <w:rFonts w:ascii="Times Roman" w:hAnsi="Times Roman"/>
                <w:noProof/>
                <w:color w:val="000000" w:themeColor="text1"/>
                <w:szCs w:val="22"/>
                <w:vertAlign w:val="superscript"/>
              </w:rPr>
              <w:t>–1</w:t>
            </w:r>
            <w:r w:rsidRPr="00CB3E51">
              <w:rPr>
                <w:rFonts w:ascii="Times Roman" w:hAnsi="Times Roman"/>
                <w:noProof/>
                <w:color w:val="000000" w:themeColor="text1"/>
                <w:szCs w:val="22"/>
              </w:rPr>
              <w:t>)</w:t>
            </w:r>
          </w:p>
        </w:tc>
        <w:tc>
          <w:tcPr>
            <w:tcW w:w="1250" w:type="pct"/>
            <w:gridSpan w:val="3"/>
            <w:vMerge/>
            <w:tcBorders>
              <w:top w:val="single" w:sz="4" w:space="0" w:color="auto"/>
              <w:left w:val="nil"/>
              <w:bottom w:val="single" w:sz="4" w:space="0" w:color="auto"/>
              <w:right w:val="nil"/>
            </w:tcBorders>
            <w:vAlign w:val="center"/>
            <w:hideMark/>
          </w:tcPr>
          <w:p w14:paraId="28155CE2" w14:textId="77777777" w:rsidR="00EB348A" w:rsidRPr="00CB3E51" w:rsidRDefault="00EB348A" w:rsidP="00E81109">
            <w:pPr>
              <w:pStyle w:val="Table"/>
              <w:rPr>
                <w:rFonts w:ascii="Times Roman" w:hAnsi="Times Roman"/>
                <w:noProof/>
                <w:color w:val="000000" w:themeColor="text1"/>
                <w:szCs w:val="22"/>
                <w:vertAlign w:val="superscript"/>
              </w:rPr>
            </w:pPr>
          </w:p>
        </w:tc>
      </w:tr>
      <w:tr w:rsidR="00E81109" w:rsidRPr="00972C81" w14:paraId="384EDC5C" w14:textId="77777777" w:rsidTr="0019583E">
        <w:trPr>
          <w:trHeight w:val="340"/>
        </w:trPr>
        <w:tc>
          <w:tcPr>
            <w:tcW w:w="2120" w:type="pct"/>
            <w:gridSpan w:val="4"/>
            <w:tcBorders>
              <w:top w:val="single" w:sz="4" w:space="0" w:color="auto"/>
              <w:left w:val="nil"/>
              <w:bottom w:val="nil"/>
              <w:right w:val="nil"/>
            </w:tcBorders>
            <w:hideMark/>
          </w:tcPr>
          <w:p w14:paraId="491667FA" w14:textId="663BE5FA"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Specific parameter values</w:t>
            </w:r>
            <w:r w:rsidR="0013248F" w:rsidRPr="00CB3E51">
              <w:rPr>
                <w:noProof/>
                <w:color w:val="000000" w:themeColor="text1"/>
                <w:szCs w:val="22"/>
                <w:vertAlign w:val="superscript"/>
              </w:rPr>
              <w:t>‡</w:t>
            </w:r>
          </w:p>
        </w:tc>
        <w:tc>
          <w:tcPr>
            <w:tcW w:w="543" w:type="pct"/>
            <w:gridSpan w:val="2"/>
            <w:tcBorders>
              <w:top w:val="nil"/>
              <w:left w:val="nil"/>
              <w:bottom w:val="nil"/>
              <w:right w:val="nil"/>
            </w:tcBorders>
          </w:tcPr>
          <w:p w14:paraId="7B9FBCA1" w14:textId="77777777" w:rsidR="00EB348A" w:rsidRPr="00CB3E51" w:rsidRDefault="00EB348A" w:rsidP="00084FF8">
            <w:pPr>
              <w:pStyle w:val="Table"/>
              <w:rPr>
                <w:rFonts w:ascii="Times Roman" w:hAnsi="Times Roman"/>
                <w:noProof/>
                <w:color w:val="000000" w:themeColor="text1"/>
                <w:szCs w:val="22"/>
              </w:rPr>
            </w:pPr>
          </w:p>
        </w:tc>
        <w:tc>
          <w:tcPr>
            <w:tcW w:w="543" w:type="pct"/>
            <w:gridSpan w:val="4"/>
            <w:tcBorders>
              <w:top w:val="nil"/>
              <w:left w:val="nil"/>
              <w:bottom w:val="nil"/>
              <w:right w:val="nil"/>
            </w:tcBorders>
          </w:tcPr>
          <w:p w14:paraId="3A147263" w14:textId="77777777" w:rsidR="00EB348A" w:rsidRPr="00CB3E51" w:rsidRDefault="00EB348A" w:rsidP="00084FF8">
            <w:pPr>
              <w:pStyle w:val="Table"/>
              <w:rPr>
                <w:rFonts w:ascii="Times Roman" w:hAnsi="Times Roman"/>
                <w:noProof/>
                <w:color w:val="000000" w:themeColor="text1"/>
                <w:szCs w:val="22"/>
              </w:rPr>
            </w:pPr>
          </w:p>
        </w:tc>
        <w:tc>
          <w:tcPr>
            <w:tcW w:w="544" w:type="pct"/>
            <w:tcBorders>
              <w:top w:val="nil"/>
              <w:left w:val="nil"/>
              <w:bottom w:val="nil"/>
              <w:right w:val="nil"/>
            </w:tcBorders>
          </w:tcPr>
          <w:p w14:paraId="3D750A38" w14:textId="77777777" w:rsidR="00EB348A" w:rsidRPr="00CB3E51" w:rsidRDefault="00EB348A" w:rsidP="00084FF8">
            <w:pPr>
              <w:pStyle w:val="Table"/>
              <w:rPr>
                <w:rFonts w:ascii="Times Roman" w:hAnsi="Times Roman"/>
                <w:noProof/>
                <w:color w:val="000000" w:themeColor="text1"/>
                <w:szCs w:val="22"/>
              </w:rPr>
            </w:pPr>
          </w:p>
        </w:tc>
        <w:tc>
          <w:tcPr>
            <w:tcW w:w="1250" w:type="pct"/>
            <w:gridSpan w:val="3"/>
            <w:tcBorders>
              <w:top w:val="nil"/>
              <w:left w:val="nil"/>
              <w:bottom w:val="nil"/>
              <w:right w:val="nil"/>
            </w:tcBorders>
          </w:tcPr>
          <w:p w14:paraId="4E15E068" w14:textId="77777777" w:rsidR="00EB348A" w:rsidRPr="00CB3E51" w:rsidRDefault="00EB348A" w:rsidP="00084FF8">
            <w:pPr>
              <w:pStyle w:val="Table"/>
              <w:rPr>
                <w:rFonts w:ascii="Times Roman" w:hAnsi="Times Roman"/>
                <w:noProof/>
                <w:color w:val="000000" w:themeColor="text1"/>
                <w:szCs w:val="22"/>
              </w:rPr>
            </w:pPr>
          </w:p>
        </w:tc>
      </w:tr>
      <w:tr w:rsidR="00EB348A" w:rsidRPr="00972C81" w14:paraId="5E25ECCF" w14:textId="77777777" w:rsidTr="0019583E">
        <w:trPr>
          <w:trHeight w:val="340"/>
        </w:trPr>
        <w:tc>
          <w:tcPr>
            <w:tcW w:w="2120" w:type="pct"/>
            <w:gridSpan w:val="4"/>
            <w:tcBorders>
              <w:top w:val="nil"/>
              <w:left w:val="nil"/>
              <w:bottom w:val="nil"/>
              <w:right w:val="nil"/>
            </w:tcBorders>
            <w:hideMark/>
          </w:tcPr>
          <w:p w14:paraId="44688273"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Neptunium nitrate</w:t>
            </w:r>
          </w:p>
        </w:tc>
        <w:tc>
          <w:tcPr>
            <w:tcW w:w="543" w:type="pct"/>
            <w:gridSpan w:val="2"/>
            <w:tcBorders>
              <w:top w:val="nil"/>
              <w:left w:val="nil"/>
              <w:bottom w:val="nil"/>
              <w:right w:val="nil"/>
            </w:tcBorders>
            <w:hideMark/>
          </w:tcPr>
          <w:p w14:paraId="78614520"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0.7</w:t>
            </w:r>
          </w:p>
        </w:tc>
        <w:tc>
          <w:tcPr>
            <w:tcW w:w="543" w:type="pct"/>
            <w:gridSpan w:val="4"/>
            <w:tcBorders>
              <w:top w:val="nil"/>
              <w:left w:val="nil"/>
              <w:bottom w:val="nil"/>
              <w:right w:val="nil"/>
            </w:tcBorders>
            <w:hideMark/>
          </w:tcPr>
          <w:p w14:paraId="46A5C42D"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30</w:t>
            </w:r>
          </w:p>
        </w:tc>
        <w:tc>
          <w:tcPr>
            <w:tcW w:w="544" w:type="pct"/>
            <w:tcBorders>
              <w:top w:val="nil"/>
              <w:left w:val="nil"/>
              <w:bottom w:val="nil"/>
              <w:right w:val="nil"/>
            </w:tcBorders>
            <w:hideMark/>
          </w:tcPr>
          <w:p w14:paraId="6063CD62"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0.005</w:t>
            </w:r>
          </w:p>
        </w:tc>
        <w:tc>
          <w:tcPr>
            <w:tcW w:w="1250" w:type="pct"/>
            <w:gridSpan w:val="3"/>
            <w:tcBorders>
              <w:top w:val="nil"/>
              <w:left w:val="nil"/>
              <w:bottom w:val="nil"/>
              <w:right w:val="nil"/>
            </w:tcBorders>
            <w:hideMark/>
          </w:tcPr>
          <w:p w14:paraId="6FCB1D0A" w14:textId="22F293F2"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3.5</w:t>
            </w:r>
            <w:r w:rsidR="00067025" w:rsidRPr="00CB3E51">
              <w:rPr>
                <w:rFonts w:ascii="Times Roman" w:hAnsi="Times Roman"/>
                <w:noProof/>
                <w:color w:val="000000" w:themeColor="text1"/>
                <w:szCs w:val="22"/>
              </w:rPr>
              <w:t xml:space="preserve"> × </w:t>
            </w:r>
            <w:r w:rsidRPr="00CB3E51">
              <w:rPr>
                <w:rFonts w:ascii="Times Roman" w:hAnsi="Times Roman"/>
                <w:noProof/>
                <w:color w:val="000000" w:themeColor="text1"/>
                <w:szCs w:val="22"/>
              </w:rPr>
              <w:t>10</w:t>
            </w:r>
            <w:r w:rsidRPr="00CB3E51">
              <w:rPr>
                <w:rFonts w:ascii="Times Roman" w:hAnsi="Times Roman"/>
                <w:noProof/>
                <w:color w:val="000000" w:themeColor="text1"/>
                <w:szCs w:val="22"/>
                <w:vertAlign w:val="superscript"/>
              </w:rPr>
              <w:t>–4</w:t>
            </w:r>
          </w:p>
        </w:tc>
      </w:tr>
      <w:tr w:rsidR="00EB348A" w:rsidRPr="00972C81" w14:paraId="5DB31A7F" w14:textId="77777777" w:rsidTr="0019583E">
        <w:trPr>
          <w:trHeight w:val="340"/>
        </w:trPr>
        <w:tc>
          <w:tcPr>
            <w:tcW w:w="2120" w:type="pct"/>
            <w:gridSpan w:val="4"/>
            <w:tcBorders>
              <w:top w:val="nil"/>
              <w:left w:val="nil"/>
              <w:bottom w:val="nil"/>
              <w:right w:val="nil"/>
            </w:tcBorders>
          </w:tcPr>
          <w:p w14:paraId="6FFABBDB" w14:textId="77777777" w:rsidR="00EB348A" w:rsidRPr="00CB3E51" w:rsidRDefault="00EB348A" w:rsidP="00084FF8">
            <w:pPr>
              <w:pStyle w:val="Table"/>
              <w:rPr>
                <w:rFonts w:ascii="Times Roman" w:hAnsi="Times Roman"/>
                <w:noProof/>
                <w:color w:val="000000" w:themeColor="text1"/>
                <w:szCs w:val="22"/>
              </w:rPr>
            </w:pPr>
          </w:p>
        </w:tc>
        <w:tc>
          <w:tcPr>
            <w:tcW w:w="543" w:type="pct"/>
            <w:gridSpan w:val="2"/>
            <w:tcBorders>
              <w:top w:val="nil"/>
              <w:left w:val="nil"/>
              <w:bottom w:val="nil"/>
              <w:right w:val="nil"/>
            </w:tcBorders>
          </w:tcPr>
          <w:p w14:paraId="0105A7AA" w14:textId="77777777" w:rsidR="00EB348A" w:rsidRPr="00CB3E51" w:rsidRDefault="00EB348A" w:rsidP="00084FF8">
            <w:pPr>
              <w:pStyle w:val="Table"/>
              <w:rPr>
                <w:rFonts w:ascii="Times Roman" w:hAnsi="Times Roman"/>
                <w:noProof/>
                <w:color w:val="000000" w:themeColor="text1"/>
                <w:szCs w:val="22"/>
              </w:rPr>
            </w:pPr>
          </w:p>
        </w:tc>
        <w:tc>
          <w:tcPr>
            <w:tcW w:w="543" w:type="pct"/>
            <w:gridSpan w:val="4"/>
            <w:tcBorders>
              <w:top w:val="nil"/>
              <w:left w:val="nil"/>
              <w:bottom w:val="nil"/>
              <w:right w:val="nil"/>
            </w:tcBorders>
          </w:tcPr>
          <w:p w14:paraId="50FDD5D6" w14:textId="77777777" w:rsidR="00EB348A" w:rsidRPr="00CB3E51" w:rsidRDefault="00EB348A" w:rsidP="00084FF8">
            <w:pPr>
              <w:pStyle w:val="Table"/>
              <w:rPr>
                <w:rFonts w:ascii="Times Roman" w:hAnsi="Times Roman"/>
                <w:noProof/>
                <w:color w:val="000000" w:themeColor="text1"/>
                <w:szCs w:val="22"/>
              </w:rPr>
            </w:pPr>
          </w:p>
        </w:tc>
        <w:tc>
          <w:tcPr>
            <w:tcW w:w="544" w:type="pct"/>
            <w:tcBorders>
              <w:top w:val="nil"/>
              <w:left w:val="nil"/>
              <w:bottom w:val="nil"/>
              <w:right w:val="nil"/>
            </w:tcBorders>
          </w:tcPr>
          <w:p w14:paraId="35014B9C" w14:textId="77777777" w:rsidR="00EB348A" w:rsidRPr="00CB3E51" w:rsidRDefault="00EB348A" w:rsidP="00084FF8">
            <w:pPr>
              <w:pStyle w:val="Table"/>
              <w:rPr>
                <w:rFonts w:ascii="Times Roman" w:hAnsi="Times Roman"/>
                <w:noProof/>
                <w:color w:val="000000" w:themeColor="text1"/>
                <w:szCs w:val="22"/>
              </w:rPr>
            </w:pPr>
          </w:p>
        </w:tc>
        <w:tc>
          <w:tcPr>
            <w:tcW w:w="1250" w:type="pct"/>
            <w:gridSpan w:val="3"/>
            <w:tcBorders>
              <w:top w:val="nil"/>
              <w:left w:val="nil"/>
              <w:bottom w:val="nil"/>
              <w:right w:val="nil"/>
            </w:tcBorders>
          </w:tcPr>
          <w:p w14:paraId="0DBE6EF3" w14:textId="77777777" w:rsidR="00EB348A" w:rsidRPr="00CB3E51" w:rsidRDefault="00EB348A" w:rsidP="00084FF8">
            <w:pPr>
              <w:pStyle w:val="Table"/>
              <w:rPr>
                <w:rFonts w:ascii="Times Roman" w:hAnsi="Times Roman"/>
                <w:noProof/>
                <w:color w:val="000000" w:themeColor="text1"/>
                <w:szCs w:val="22"/>
              </w:rPr>
            </w:pPr>
          </w:p>
        </w:tc>
      </w:tr>
      <w:tr w:rsidR="00EB348A" w:rsidRPr="00972C81" w14:paraId="26ED53FF" w14:textId="77777777" w:rsidTr="0019583E">
        <w:trPr>
          <w:trHeight w:val="340"/>
        </w:trPr>
        <w:tc>
          <w:tcPr>
            <w:tcW w:w="2120" w:type="pct"/>
            <w:gridSpan w:val="4"/>
            <w:tcBorders>
              <w:top w:val="nil"/>
              <w:left w:val="nil"/>
              <w:bottom w:val="nil"/>
              <w:right w:val="nil"/>
            </w:tcBorders>
            <w:hideMark/>
          </w:tcPr>
          <w:p w14:paraId="3B0C5925" w14:textId="752A0CE2"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Default parameter values</w:t>
            </w:r>
            <w:r w:rsidR="0013248F" w:rsidRPr="00CB3E51">
              <w:rPr>
                <w:noProof/>
                <w:color w:val="000000" w:themeColor="text1"/>
                <w:szCs w:val="22"/>
                <w:vertAlign w:val="superscript"/>
              </w:rPr>
              <w:t>§</w:t>
            </w:r>
          </w:p>
        </w:tc>
        <w:tc>
          <w:tcPr>
            <w:tcW w:w="543" w:type="pct"/>
            <w:gridSpan w:val="2"/>
            <w:tcBorders>
              <w:top w:val="nil"/>
              <w:left w:val="nil"/>
              <w:bottom w:val="nil"/>
              <w:right w:val="nil"/>
            </w:tcBorders>
          </w:tcPr>
          <w:p w14:paraId="63C4C691" w14:textId="77777777" w:rsidR="00EB348A" w:rsidRPr="00CB3E51" w:rsidRDefault="00EB348A" w:rsidP="00084FF8">
            <w:pPr>
              <w:pStyle w:val="Table"/>
              <w:rPr>
                <w:rFonts w:ascii="Times Roman" w:hAnsi="Times Roman"/>
                <w:noProof/>
                <w:color w:val="000000" w:themeColor="text1"/>
                <w:szCs w:val="22"/>
              </w:rPr>
            </w:pPr>
          </w:p>
        </w:tc>
        <w:tc>
          <w:tcPr>
            <w:tcW w:w="543" w:type="pct"/>
            <w:gridSpan w:val="4"/>
            <w:tcBorders>
              <w:top w:val="nil"/>
              <w:left w:val="nil"/>
              <w:bottom w:val="nil"/>
              <w:right w:val="nil"/>
            </w:tcBorders>
          </w:tcPr>
          <w:p w14:paraId="0F02989F" w14:textId="77777777" w:rsidR="00EB348A" w:rsidRPr="00CB3E51" w:rsidRDefault="00EB348A" w:rsidP="00084FF8">
            <w:pPr>
              <w:pStyle w:val="Table"/>
              <w:rPr>
                <w:rFonts w:ascii="Times Roman" w:hAnsi="Times Roman"/>
                <w:noProof/>
                <w:color w:val="000000" w:themeColor="text1"/>
                <w:szCs w:val="22"/>
              </w:rPr>
            </w:pPr>
          </w:p>
        </w:tc>
        <w:tc>
          <w:tcPr>
            <w:tcW w:w="544" w:type="pct"/>
            <w:tcBorders>
              <w:top w:val="nil"/>
              <w:left w:val="nil"/>
              <w:bottom w:val="nil"/>
              <w:right w:val="nil"/>
            </w:tcBorders>
          </w:tcPr>
          <w:p w14:paraId="71A5CD79" w14:textId="77777777" w:rsidR="00EB348A" w:rsidRPr="00CB3E51" w:rsidRDefault="00EB348A" w:rsidP="00084FF8">
            <w:pPr>
              <w:pStyle w:val="Table"/>
              <w:rPr>
                <w:rFonts w:ascii="Times Roman" w:hAnsi="Times Roman"/>
                <w:noProof/>
                <w:color w:val="000000" w:themeColor="text1"/>
                <w:szCs w:val="22"/>
              </w:rPr>
            </w:pPr>
          </w:p>
        </w:tc>
        <w:tc>
          <w:tcPr>
            <w:tcW w:w="1250" w:type="pct"/>
            <w:gridSpan w:val="3"/>
            <w:tcBorders>
              <w:top w:val="nil"/>
              <w:left w:val="nil"/>
              <w:bottom w:val="nil"/>
              <w:right w:val="nil"/>
            </w:tcBorders>
          </w:tcPr>
          <w:p w14:paraId="00C88044" w14:textId="77777777" w:rsidR="00EB348A" w:rsidRPr="00CB3E51" w:rsidRDefault="00EB348A" w:rsidP="00084FF8">
            <w:pPr>
              <w:pStyle w:val="Table"/>
              <w:rPr>
                <w:rFonts w:ascii="Times Roman" w:hAnsi="Times Roman"/>
                <w:noProof/>
                <w:color w:val="000000" w:themeColor="text1"/>
                <w:szCs w:val="22"/>
              </w:rPr>
            </w:pPr>
          </w:p>
        </w:tc>
      </w:tr>
      <w:tr w:rsidR="00EB348A" w:rsidRPr="00972C81" w14:paraId="63CE8947" w14:textId="77777777" w:rsidTr="0019583E">
        <w:trPr>
          <w:trHeight w:val="340"/>
        </w:trPr>
        <w:tc>
          <w:tcPr>
            <w:tcW w:w="1087" w:type="pct"/>
            <w:tcBorders>
              <w:top w:val="nil"/>
              <w:left w:val="nil"/>
              <w:bottom w:val="nil"/>
              <w:right w:val="nil"/>
            </w:tcBorders>
            <w:hideMark/>
          </w:tcPr>
          <w:p w14:paraId="79BC2651"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Absorption Type</w:t>
            </w:r>
          </w:p>
        </w:tc>
        <w:tc>
          <w:tcPr>
            <w:tcW w:w="1033" w:type="pct"/>
            <w:gridSpan w:val="3"/>
            <w:tcBorders>
              <w:top w:val="nil"/>
              <w:left w:val="nil"/>
              <w:bottom w:val="nil"/>
              <w:right w:val="nil"/>
            </w:tcBorders>
            <w:hideMark/>
          </w:tcPr>
          <w:p w14:paraId="4216DE1C"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Assigned forms</w:t>
            </w:r>
          </w:p>
        </w:tc>
        <w:tc>
          <w:tcPr>
            <w:tcW w:w="543" w:type="pct"/>
            <w:gridSpan w:val="2"/>
            <w:tcBorders>
              <w:top w:val="nil"/>
              <w:left w:val="nil"/>
              <w:bottom w:val="nil"/>
              <w:right w:val="nil"/>
            </w:tcBorders>
          </w:tcPr>
          <w:p w14:paraId="0253B0F7" w14:textId="77777777" w:rsidR="00EB348A" w:rsidRPr="00CB3E51" w:rsidRDefault="00EB348A" w:rsidP="00084FF8">
            <w:pPr>
              <w:pStyle w:val="Table"/>
              <w:rPr>
                <w:rFonts w:ascii="Times Roman" w:hAnsi="Times Roman"/>
                <w:noProof/>
                <w:color w:val="000000" w:themeColor="text1"/>
                <w:szCs w:val="22"/>
              </w:rPr>
            </w:pPr>
          </w:p>
        </w:tc>
        <w:tc>
          <w:tcPr>
            <w:tcW w:w="543" w:type="pct"/>
            <w:gridSpan w:val="4"/>
            <w:tcBorders>
              <w:top w:val="nil"/>
              <w:left w:val="nil"/>
              <w:bottom w:val="nil"/>
              <w:right w:val="nil"/>
            </w:tcBorders>
          </w:tcPr>
          <w:p w14:paraId="5FB8B092" w14:textId="77777777" w:rsidR="00EB348A" w:rsidRPr="00CB3E51" w:rsidRDefault="00EB348A" w:rsidP="00084FF8">
            <w:pPr>
              <w:pStyle w:val="Table"/>
              <w:rPr>
                <w:rFonts w:ascii="Times Roman" w:hAnsi="Times Roman"/>
                <w:noProof/>
                <w:color w:val="000000" w:themeColor="text1"/>
                <w:szCs w:val="22"/>
              </w:rPr>
            </w:pPr>
          </w:p>
        </w:tc>
        <w:tc>
          <w:tcPr>
            <w:tcW w:w="544" w:type="pct"/>
            <w:tcBorders>
              <w:top w:val="nil"/>
              <w:left w:val="nil"/>
              <w:bottom w:val="nil"/>
              <w:right w:val="nil"/>
            </w:tcBorders>
          </w:tcPr>
          <w:p w14:paraId="4B5ABDC3" w14:textId="77777777" w:rsidR="00EB348A" w:rsidRPr="00CB3E51" w:rsidRDefault="00EB348A" w:rsidP="00084FF8">
            <w:pPr>
              <w:pStyle w:val="Table"/>
              <w:rPr>
                <w:rFonts w:ascii="Times Roman" w:hAnsi="Times Roman"/>
                <w:noProof/>
                <w:color w:val="000000" w:themeColor="text1"/>
                <w:szCs w:val="22"/>
              </w:rPr>
            </w:pPr>
          </w:p>
        </w:tc>
        <w:tc>
          <w:tcPr>
            <w:tcW w:w="1250" w:type="pct"/>
            <w:gridSpan w:val="3"/>
            <w:tcBorders>
              <w:top w:val="nil"/>
              <w:left w:val="nil"/>
              <w:bottom w:val="nil"/>
              <w:right w:val="nil"/>
            </w:tcBorders>
          </w:tcPr>
          <w:p w14:paraId="732EC1D2" w14:textId="77777777" w:rsidR="00EB348A" w:rsidRPr="00CB3E51" w:rsidRDefault="00EB348A" w:rsidP="00084FF8">
            <w:pPr>
              <w:pStyle w:val="Table"/>
              <w:rPr>
                <w:rFonts w:ascii="Times Roman" w:hAnsi="Times Roman"/>
                <w:noProof/>
                <w:color w:val="000000" w:themeColor="text1"/>
                <w:szCs w:val="22"/>
              </w:rPr>
            </w:pPr>
          </w:p>
        </w:tc>
      </w:tr>
      <w:tr w:rsidR="00EB348A" w:rsidRPr="00972C81" w14:paraId="6F55888D" w14:textId="77777777" w:rsidTr="0019583E">
        <w:trPr>
          <w:trHeight w:val="340"/>
        </w:trPr>
        <w:tc>
          <w:tcPr>
            <w:tcW w:w="1087" w:type="pct"/>
            <w:tcBorders>
              <w:top w:val="nil"/>
              <w:left w:val="nil"/>
              <w:bottom w:val="nil"/>
              <w:right w:val="nil"/>
            </w:tcBorders>
            <w:hideMark/>
          </w:tcPr>
          <w:p w14:paraId="05754987"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F</w:t>
            </w:r>
          </w:p>
        </w:tc>
        <w:tc>
          <w:tcPr>
            <w:tcW w:w="1033" w:type="pct"/>
            <w:gridSpan w:val="3"/>
            <w:tcBorders>
              <w:top w:val="nil"/>
              <w:left w:val="nil"/>
              <w:bottom w:val="nil"/>
              <w:right w:val="nil"/>
            </w:tcBorders>
            <w:hideMark/>
          </w:tcPr>
          <w:p w14:paraId="7F92869F"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w:t>
            </w:r>
          </w:p>
        </w:tc>
        <w:tc>
          <w:tcPr>
            <w:tcW w:w="543" w:type="pct"/>
            <w:gridSpan w:val="2"/>
            <w:tcBorders>
              <w:top w:val="nil"/>
              <w:left w:val="nil"/>
              <w:bottom w:val="nil"/>
              <w:right w:val="nil"/>
            </w:tcBorders>
            <w:hideMark/>
          </w:tcPr>
          <w:p w14:paraId="33438603"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1</w:t>
            </w:r>
          </w:p>
        </w:tc>
        <w:tc>
          <w:tcPr>
            <w:tcW w:w="543" w:type="pct"/>
            <w:gridSpan w:val="4"/>
            <w:tcBorders>
              <w:top w:val="nil"/>
              <w:left w:val="nil"/>
              <w:bottom w:val="nil"/>
              <w:right w:val="nil"/>
            </w:tcBorders>
            <w:hideMark/>
          </w:tcPr>
          <w:p w14:paraId="4078EB7E"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30</w:t>
            </w:r>
          </w:p>
        </w:tc>
        <w:tc>
          <w:tcPr>
            <w:tcW w:w="544" w:type="pct"/>
            <w:tcBorders>
              <w:top w:val="nil"/>
              <w:left w:val="nil"/>
              <w:bottom w:val="nil"/>
              <w:right w:val="nil"/>
            </w:tcBorders>
          </w:tcPr>
          <w:p w14:paraId="79EF28C5" w14:textId="77777777" w:rsidR="00EB348A" w:rsidRPr="00CB3E51" w:rsidRDefault="00EB348A" w:rsidP="00084FF8">
            <w:pPr>
              <w:pStyle w:val="Table"/>
              <w:rPr>
                <w:rFonts w:ascii="Times Roman" w:hAnsi="Times Roman"/>
                <w:noProof/>
                <w:color w:val="000000" w:themeColor="text1"/>
                <w:szCs w:val="22"/>
              </w:rPr>
            </w:pPr>
          </w:p>
        </w:tc>
        <w:tc>
          <w:tcPr>
            <w:tcW w:w="1250" w:type="pct"/>
            <w:gridSpan w:val="3"/>
            <w:tcBorders>
              <w:top w:val="nil"/>
              <w:left w:val="nil"/>
              <w:bottom w:val="nil"/>
              <w:right w:val="nil"/>
            </w:tcBorders>
            <w:hideMark/>
          </w:tcPr>
          <w:p w14:paraId="66FC1243" w14:textId="693D3D60"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5</w:t>
            </w:r>
            <w:r w:rsidR="00067025" w:rsidRPr="00CB3E51">
              <w:rPr>
                <w:rFonts w:ascii="Times Roman" w:hAnsi="Times Roman"/>
                <w:noProof/>
                <w:color w:val="000000" w:themeColor="text1"/>
                <w:szCs w:val="22"/>
              </w:rPr>
              <w:t xml:space="preserve"> × </w:t>
            </w:r>
            <w:r w:rsidRPr="00CB3E51">
              <w:rPr>
                <w:rFonts w:ascii="Times Roman" w:hAnsi="Times Roman"/>
                <w:noProof/>
                <w:color w:val="000000" w:themeColor="text1"/>
                <w:szCs w:val="22"/>
              </w:rPr>
              <w:t>10</w:t>
            </w:r>
            <w:r w:rsidRPr="00CB3E51">
              <w:rPr>
                <w:rFonts w:ascii="Times Roman" w:hAnsi="Times Roman"/>
                <w:noProof/>
                <w:color w:val="000000" w:themeColor="text1"/>
                <w:szCs w:val="22"/>
                <w:vertAlign w:val="superscript"/>
              </w:rPr>
              <w:t>–4</w:t>
            </w:r>
          </w:p>
        </w:tc>
      </w:tr>
      <w:tr w:rsidR="00EB348A" w:rsidRPr="00972C81" w14:paraId="144CB3ED" w14:textId="77777777" w:rsidTr="0019583E">
        <w:trPr>
          <w:trHeight w:val="340"/>
        </w:trPr>
        <w:tc>
          <w:tcPr>
            <w:tcW w:w="1087" w:type="pct"/>
            <w:tcBorders>
              <w:top w:val="nil"/>
              <w:left w:val="nil"/>
              <w:bottom w:val="nil"/>
              <w:right w:val="nil"/>
            </w:tcBorders>
            <w:hideMark/>
          </w:tcPr>
          <w:p w14:paraId="3F647EDC" w14:textId="5A6BDFA2" w:rsidR="00EB348A" w:rsidRPr="00CB3E51" w:rsidRDefault="00EB348A" w:rsidP="00084FF8">
            <w:pPr>
              <w:pStyle w:val="Table"/>
              <w:rPr>
                <w:rFonts w:ascii="Times Roman" w:hAnsi="Times Roman"/>
                <w:noProof/>
                <w:szCs w:val="22"/>
              </w:rPr>
            </w:pPr>
            <w:r w:rsidRPr="00CB3E51">
              <w:rPr>
                <w:rFonts w:ascii="Times Roman" w:hAnsi="Times Roman"/>
                <w:noProof/>
                <w:szCs w:val="22"/>
              </w:rPr>
              <w:t>M</w:t>
            </w:r>
            <w:r w:rsidR="0013248F" w:rsidRPr="00CB3E51">
              <w:rPr>
                <w:noProof/>
                <w:szCs w:val="22"/>
                <w:vertAlign w:val="superscript"/>
              </w:rPr>
              <w:t>¶</w:t>
            </w:r>
          </w:p>
        </w:tc>
        <w:tc>
          <w:tcPr>
            <w:tcW w:w="1033" w:type="pct"/>
            <w:gridSpan w:val="3"/>
            <w:tcBorders>
              <w:top w:val="nil"/>
              <w:left w:val="nil"/>
              <w:bottom w:val="nil"/>
              <w:right w:val="nil"/>
            </w:tcBorders>
            <w:hideMark/>
          </w:tcPr>
          <w:p w14:paraId="0D639EA8" w14:textId="77777777" w:rsidR="00EB348A" w:rsidRPr="00CB3E51" w:rsidRDefault="00EB348A" w:rsidP="00084FF8">
            <w:pPr>
              <w:pStyle w:val="Table"/>
              <w:rPr>
                <w:rFonts w:ascii="Times Roman" w:hAnsi="Times Roman"/>
                <w:noProof/>
                <w:szCs w:val="22"/>
              </w:rPr>
            </w:pPr>
            <w:r w:rsidRPr="00CB3E51">
              <w:rPr>
                <w:rFonts w:ascii="Times Roman" w:hAnsi="Times Roman"/>
                <w:noProof/>
                <w:szCs w:val="22"/>
              </w:rPr>
              <w:t>Neptunium citrate, oxalate</w:t>
            </w:r>
          </w:p>
        </w:tc>
        <w:tc>
          <w:tcPr>
            <w:tcW w:w="543" w:type="pct"/>
            <w:gridSpan w:val="2"/>
            <w:tcBorders>
              <w:top w:val="nil"/>
              <w:left w:val="nil"/>
              <w:bottom w:val="nil"/>
              <w:right w:val="nil"/>
            </w:tcBorders>
            <w:hideMark/>
          </w:tcPr>
          <w:p w14:paraId="41CA599D" w14:textId="77777777" w:rsidR="00EB348A" w:rsidRPr="00CB3E51" w:rsidRDefault="00EB348A" w:rsidP="00084FF8">
            <w:pPr>
              <w:pStyle w:val="Table"/>
              <w:rPr>
                <w:rFonts w:ascii="Times Roman" w:hAnsi="Times Roman"/>
                <w:noProof/>
                <w:szCs w:val="22"/>
              </w:rPr>
            </w:pPr>
            <w:r w:rsidRPr="00CB3E51">
              <w:rPr>
                <w:rFonts w:ascii="Times Roman" w:hAnsi="Times Roman"/>
                <w:noProof/>
                <w:szCs w:val="22"/>
              </w:rPr>
              <w:t>0.2</w:t>
            </w:r>
          </w:p>
        </w:tc>
        <w:tc>
          <w:tcPr>
            <w:tcW w:w="543" w:type="pct"/>
            <w:gridSpan w:val="4"/>
            <w:tcBorders>
              <w:top w:val="nil"/>
              <w:left w:val="nil"/>
              <w:bottom w:val="nil"/>
              <w:right w:val="nil"/>
            </w:tcBorders>
            <w:hideMark/>
          </w:tcPr>
          <w:p w14:paraId="0ADCB9ED" w14:textId="77777777" w:rsidR="00EB348A" w:rsidRPr="00CB3E51" w:rsidRDefault="00EB348A" w:rsidP="00084FF8">
            <w:pPr>
              <w:pStyle w:val="Table"/>
              <w:rPr>
                <w:rFonts w:ascii="Times Roman" w:hAnsi="Times Roman"/>
                <w:noProof/>
                <w:szCs w:val="22"/>
              </w:rPr>
            </w:pPr>
            <w:r w:rsidRPr="00CB3E51">
              <w:rPr>
                <w:rFonts w:ascii="Times Roman" w:hAnsi="Times Roman"/>
                <w:noProof/>
                <w:szCs w:val="22"/>
              </w:rPr>
              <w:t>3</w:t>
            </w:r>
          </w:p>
        </w:tc>
        <w:tc>
          <w:tcPr>
            <w:tcW w:w="544" w:type="pct"/>
            <w:tcBorders>
              <w:top w:val="nil"/>
              <w:left w:val="nil"/>
              <w:bottom w:val="nil"/>
              <w:right w:val="nil"/>
            </w:tcBorders>
            <w:hideMark/>
          </w:tcPr>
          <w:p w14:paraId="50D55D10" w14:textId="77777777" w:rsidR="00EB348A" w:rsidRPr="00CB3E51" w:rsidRDefault="00EB348A" w:rsidP="00084FF8">
            <w:pPr>
              <w:pStyle w:val="Table"/>
              <w:rPr>
                <w:rFonts w:ascii="Times Roman" w:hAnsi="Times Roman"/>
                <w:noProof/>
                <w:szCs w:val="22"/>
              </w:rPr>
            </w:pPr>
            <w:r w:rsidRPr="00CB3E51">
              <w:rPr>
                <w:rFonts w:ascii="Times Roman" w:hAnsi="Times Roman"/>
                <w:noProof/>
                <w:szCs w:val="22"/>
              </w:rPr>
              <w:t>0.005</w:t>
            </w:r>
          </w:p>
        </w:tc>
        <w:tc>
          <w:tcPr>
            <w:tcW w:w="1250" w:type="pct"/>
            <w:gridSpan w:val="3"/>
            <w:tcBorders>
              <w:top w:val="nil"/>
              <w:left w:val="nil"/>
              <w:bottom w:val="nil"/>
              <w:right w:val="nil"/>
            </w:tcBorders>
            <w:hideMark/>
          </w:tcPr>
          <w:p w14:paraId="24600FD9" w14:textId="776F2795" w:rsidR="00EB348A" w:rsidRPr="00CB3E51" w:rsidRDefault="00EB348A" w:rsidP="00084FF8">
            <w:pPr>
              <w:pStyle w:val="Table"/>
              <w:rPr>
                <w:rFonts w:ascii="Times Roman" w:hAnsi="Times Roman"/>
                <w:noProof/>
                <w:szCs w:val="22"/>
              </w:rPr>
            </w:pPr>
            <w:r w:rsidRPr="00CB3E51">
              <w:rPr>
                <w:rFonts w:ascii="Times Roman" w:hAnsi="Times Roman"/>
                <w:noProof/>
                <w:szCs w:val="22"/>
              </w:rPr>
              <w:t>1</w:t>
            </w:r>
            <w:r w:rsidR="00067025" w:rsidRPr="00CB3E51">
              <w:rPr>
                <w:rFonts w:ascii="Times Roman" w:hAnsi="Times Roman"/>
                <w:noProof/>
                <w:szCs w:val="22"/>
              </w:rPr>
              <w:t xml:space="preserve"> × </w:t>
            </w:r>
            <w:r w:rsidRPr="00CB3E51">
              <w:rPr>
                <w:rFonts w:ascii="Times Roman" w:hAnsi="Times Roman"/>
                <w:noProof/>
                <w:szCs w:val="22"/>
              </w:rPr>
              <w:t>10</w:t>
            </w:r>
            <w:r w:rsidRPr="00CB3E51">
              <w:rPr>
                <w:rFonts w:ascii="Times Roman" w:hAnsi="Times Roman"/>
                <w:noProof/>
                <w:szCs w:val="22"/>
                <w:vertAlign w:val="superscript"/>
              </w:rPr>
              <w:t>–4</w:t>
            </w:r>
          </w:p>
        </w:tc>
      </w:tr>
      <w:tr w:rsidR="00EB348A" w:rsidRPr="00972C81" w14:paraId="3714C26A" w14:textId="77777777" w:rsidTr="0019583E">
        <w:trPr>
          <w:trHeight w:val="340"/>
        </w:trPr>
        <w:tc>
          <w:tcPr>
            <w:tcW w:w="1087" w:type="pct"/>
            <w:tcBorders>
              <w:top w:val="nil"/>
              <w:left w:val="nil"/>
              <w:bottom w:val="single" w:sz="4" w:space="0" w:color="auto"/>
              <w:right w:val="nil"/>
            </w:tcBorders>
            <w:hideMark/>
          </w:tcPr>
          <w:p w14:paraId="5D9F587F"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S</w:t>
            </w:r>
          </w:p>
        </w:tc>
        <w:tc>
          <w:tcPr>
            <w:tcW w:w="1033" w:type="pct"/>
            <w:gridSpan w:val="3"/>
            <w:tcBorders>
              <w:top w:val="nil"/>
              <w:left w:val="nil"/>
              <w:bottom w:val="single" w:sz="4" w:space="0" w:color="auto"/>
              <w:right w:val="nil"/>
            </w:tcBorders>
            <w:hideMark/>
          </w:tcPr>
          <w:p w14:paraId="4512F254"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Neptunium dioxide</w:t>
            </w:r>
          </w:p>
        </w:tc>
        <w:tc>
          <w:tcPr>
            <w:tcW w:w="543" w:type="pct"/>
            <w:gridSpan w:val="2"/>
            <w:tcBorders>
              <w:top w:val="nil"/>
              <w:left w:val="nil"/>
              <w:bottom w:val="single" w:sz="4" w:space="0" w:color="auto"/>
              <w:right w:val="nil"/>
            </w:tcBorders>
            <w:hideMark/>
          </w:tcPr>
          <w:p w14:paraId="02E75377"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0.01</w:t>
            </w:r>
          </w:p>
        </w:tc>
        <w:tc>
          <w:tcPr>
            <w:tcW w:w="543" w:type="pct"/>
            <w:gridSpan w:val="4"/>
            <w:tcBorders>
              <w:top w:val="nil"/>
              <w:left w:val="nil"/>
              <w:bottom w:val="single" w:sz="4" w:space="0" w:color="auto"/>
              <w:right w:val="nil"/>
            </w:tcBorders>
            <w:hideMark/>
          </w:tcPr>
          <w:p w14:paraId="7F79B2A0" w14:textId="77777777"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3</w:t>
            </w:r>
          </w:p>
        </w:tc>
        <w:tc>
          <w:tcPr>
            <w:tcW w:w="544" w:type="pct"/>
            <w:tcBorders>
              <w:top w:val="nil"/>
              <w:left w:val="nil"/>
              <w:bottom w:val="single" w:sz="4" w:space="0" w:color="auto"/>
              <w:right w:val="nil"/>
            </w:tcBorders>
            <w:hideMark/>
          </w:tcPr>
          <w:p w14:paraId="7AC69F62" w14:textId="7E4E883F"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1</w:t>
            </w:r>
            <w:r w:rsidR="00067025" w:rsidRPr="00CB3E51">
              <w:rPr>
                <w:rFonts w:ascii="Times Roman" w:hAnsi="Times Roman"/>
                <w:noProof/>
                <w:color w:val="000000" w:themeColor="text1"/>
                <w:szCs w:val="22"/>
              </w:rPr>
              <w:t xml:space="preserve"> × </w:t>
            </w:r>
            <w:r w:rsidRPr="00CB3E51">
              <w:rPr>
                <w:rFonts w:ascii="Times Roman" w:hAnsi="Times Roman"/>
                <w:noProof/>
                <w:color w:val="000000" w:themeColor="text1"/>
                <w:szCs w:val="22"/>
              </w:rPr>
              <w:t>10</w:t>
            </w:r>
            <w:r w:rsidRPr="00CB3E51">
              <w:rPr>
                <w:rFonts w:ascii="Times Roman" w:hAnsi="Times Roman"/>
                <w:noProof/>
                <w:color w:val="000000" w:themeColor="text1"/>
                <w:szCs w:val="22"/>
                <w:vertAlign w:val="superscript"/>
              </w:rPr>
              <w:t>–4</w:t>
            </w:r>
          </w:p>
        </w:tc>
        <w:tc>
          <w:tcPr>
            <w:tcW w:w="1250" w:type="pct"/>
            <w:gridSpan w:val="3"/>
            <w:tcBorders>
              <w:top w:val="nil"/>
              <w:left w:val="nil"/>
              <w:bottom w:val="single" w:sz="4" w:space="0" w:color="auto"/>
              <w:right w:val="nil"/>
            </w:tcBorders>
            <w:hideMark/>
          </w:tcPr>
          <w:p w14:paraId="30DD5BBA" w14:textId="25CDC250" w:rsidR="00EB348A" w:rsidRPr="00CB3E51" w:rsidRDefault="00EB348A" w:rsidP="00084FF8">
            <w:pPr>
              <w:pStyle w:val="Table"/>
              <w:rPr>
                <w:rFonts w:ascii="Times Roman" w:hAnsi="Times Roman"/>
                <w:noProof/>
                <w:color w:val="000000" w:themeColor="text1"/>
                <w:szCs w:val="22"/>
              </w:rPr>
            </w:pPr>
            <w:r w:rsidRPr="00CB3E51">
              <w:rPr>
                <w:rFonts w:ascii="Times Roman" w:hAnsi="Times Roman"/>
                <w:noProof/>
                <w:color w:val="000000" w:themeColor="text1"/>
                <w:szCs w:val="22"/>
              </w:rPr>
              <w:t>5</w:t>
            </w:r>
            <w:r w:rsidR="00067025" w:rsidRPr="00CB3E51">
              <w:rPr>
                <w:rFonts w:ascii="Times Roman" w:hAnsi="Times Roman"/>
                <w:noProof/>
                <w:color w:val="000000" w:themeColor="text1"/>
                <w:szCs w:val="22"/>
              </w:rPr>
              <w:t xml:space="preserve"> × </w:t>
            </w:r>
            <w:r w:rsidRPr="00CB3E51">
              <w:rPr>
                <w:rFonts w:ascii="Times Roman" w:hAnsi="Times Roman"/>
                <w:noProof/>
                <w:color w:val="000000" w:themeColor="text1"/>
                <w:szCs w:val="22"/>
              </w:rPr>
              <w:t>10</w:t>
            </w:r>
            <w:r w:rsidRPr="00CB3E51">
              <w:rPr>
                <w:rFonts w:ascii="Times Roman" w:hAnsi="Times Roman"/>
                <w:noProof/>
                <w:color w:val="000000" w:themeColor="text1"/>
                <w:szCs w:val="22"/>
                <w:vertAlign w:val="superscript"/>
              </w:rPr>
              <w:t>–6</w:t>
            </w:r>
          </w:p>
        </w:tc>
      </w:tr>
      <w:tr w:rsidR="00EB348A" w:rsidRPr="00972C81" w14:paraId="43C0DE4B" w14:textId="77777777" w:rsidTr="0019583E">
        <w:trPr>
          <w:trHeight w:val="340"/>
        </w:trPr>
        <w:tc>
          <w:tcPr>
            <w:tcW w:w="2120" w:type="pct"/>
            <w:gridSpan w:val="4"/>
            <w:tcBorders>
              <w:top w:val="single" w:sz="4" w:space="0" w:color="auto"/>
              <w:left w:val="nil"/>
              <w:bottom w:val="nil"/>
              <w:right w:val="nil"/>
            </w:tcBorders>
          </w:tcPr>
          <w:p w14:paraId="3273402A" w14:textId="77777777" w:rsidR="00EB348A" w:rsidRPr="00CB3E51" w:rsidRDefault="00EB348A" w:rsidP="00E81109">
            <w:pPr>
              <w:pStyle w:val="Table"/>
              <w:rPr>
                <w:rFonts w:ascii="Times Roman" w:hAnsi="Times Roman"/>
                <w:noProof/>
                <w:color w:val="000000" w:themeColor="text1"/>
                <w:szCs w:val="22"/>
              </w:rPr>
            </w:pPr>
          </w:p>
        </w:tc>
        <w:tc>
          <w:tcPr>
            <w:tcW w:w="580" w:type="pct"/>
            <w:gridSpan w:val="3"/>
            <w:tcBorders>
              <w:top w:val="single" w:sz="4" w:space="0" w:color="auto"/>
              <w:left w:val="nil"/>
              <w:bottom w:val="nil"/>
              <w:right w:val="nil"/>
            </w:tcBorders>
          </w:tcPr>
          <w:p w14:paraId="0A715511" w14:textId="77777777" w:rsidR="00EB348A" w:rsidRPr="00CB3E51" w:rsidRDefault="00EB348A" w:rsidP="00E81109">
            <w:pPr>
              <w:pStyle w:val="Table"/>
              <w:rPr>
                <w:rFonts w:ascii="Times Roman" w:hAnsi="Times Roman"/>
                <w:noProof/>
                <w:color w:val="000000" w:themeColor="text1"/>
                <w:szCs w:val="22"/>
              </w:rPr>
            </w:pPr>
          </w:p>
        </w:tc>
        <w:tc>
          <w:tcPr>
            <w:tcW w:w="497" w:type="pct"/>
            <w:gridSpan w:val="2"/>
            <w:tcBorders>
              <w:top w:val="single" w:sz="4" w:space="0" w:color="auto"/>
              <w:left w:val="nil"/>
              <w:bottom w:val="nil"/>
              <w:right w:val="nil"/>
            </w:tcBorders>
          </w:tcPr>
          <w:p w14:paraId="38D91D6E" w14:textId="77777777" w:rsidR="00EB348A" w:rsidRPr="00CB3E51" w:rsidRDefault="00EB348A" w:rsidP="00E81109">
            <w:pPr>
              <w:pStyle w:val="Table"/>
              <w:rPr>
                <w:rFonts w:ascii="Times Roman" w:hAnsi="Times Roman"/>
                <w:noProof/>
                <w:color w:val="000000" w:themeColor="text1"/>
                <w:szCs w:val="22"/>
              </w:rPr>
            </w:pPr>
          </w:p>
        </w:tc>
        <w:tc>
          <w:tcPr>
            <w:tcW w:w="553" w:type="pct"/>
            <w:gridSpan w:val="2"/>
            <w:tcBorders>
              <w:top w:val="single" w:sz="4" w:space="0" w:color="auto"/>
              <w:left w:val="nil"/>
              <w:bottom w:val="nil"/>
              <w:right w:val="nil"/>
            </w:tcBorders>
          </w:tcPr>
          <w:p w14:paraId="7C4ADDE6" w14:textId="77777777" w:rsidR="00EB348A" w:rsidRPr="00CB3E51" w:rsidRDefault="00EB348A" w:rsidP="00E81109">
            <w:pPr>
              <w:pStyle w:val="Table"/>
              <w:rPr>
                <w:rFonts w:ascii="Times Roman" w:hAnsi="Times Roman"/>
                <w:noProof/>
                <w:color w:val="000000" w:themeColor="text1"/>
                <w:szCs w:val="22"/>
              </w:rPr>
            </w:pPr>
          </w:p>
        </w:tc>
        <w:tc>
          <w:tcPr>
            <w:tcW w:w="1250" w:type="pct"/>
            <w:gridSpan w:val="3"/>
            <w:tcBorders>
              <w:top w:val="single" w:sz="4" w:space="0" w:color="auto"/>
              <w:left w:val="nil"/>
              <w:bottom w:val="nil"/>
              <w:right w:val="nil"/>
            </w:tcBorders>
          </w:tcPr>
          <w:p w14:paraId="5F2FB1B2" w14:textId="77777777" w:rsidR="00EB348A" w:rsidRPr="00CB3E51" w:rsidRDefault="00EB348A" w:rsidP="00E81109">
            <w:pPr>
              <w:pStyle w:val="Table"/>
              <w:rPr>
                <w:rFonts w:ascii="Times Roman" w:hAnsi="Times Roman"/>
                <w:noProof/>
                <w:color w:val="000000" w:themeColor="text1"/>
                <w:szCs w:val="22"/>
              </w:rPr>
            </w:pPr>
          </w:p>
        </w:tc>
      </w:tr>
      <w:tr w:rsidR="00EB348A" w:rsidRPr="00972C81" w14:paraId="5F319615" w14:textId="77777777" w:rsidTr="0019583E">
        <w:trPr>
          <w:trHeight w:val="340"/>
        </w:trPr>
        <w:tc>
          <w:tcPr>
            <w:tcW w:w="2120" w:type="pct"/>
            <w:gridSpan w:val="4"/>
            <w:tcBorders>
              <w:top w:val="nil"/>
              <w:left w:val="nil"/>
              <w:bottom w:val="single" w:sz="4" w:space="0" w:color="auto"/>
              <w:right w:val="nil"/>
            </w:tcBorders>
            <w:vAlign w:val="bottom"/>
            <w:hideMark/>
          </w:tcPr>
          <w:p w14:paraId="591CBAE9" w14:textId="75481C0A" w:rsidR="00EB348A" w:rsidRPr="00CB3E51" w:rsidRDefault="00EB348A" w:rsidP="0019583E">
            <w:pPr>
              <w:pStyle w:val="Table"/>
              <w:rPr>
                <w:rFonts w:ascii="Times Roman" w:hAnsi="Times Roman"/>
                <w:noProof/>
                <w:color w:val="000000" w:themeColor="text1"/>
                <w:szCs w:val="22"/>
              </w:rPr>
            </w:pPr>
            <w:r w:rsidRPr="00CB3E51">
              <w:rPr>
                <w:rFonts w:ascii="Times Roman" w:hAnsi="Times Roman"/>
                <w:noProof/>
                <w:color w:val="000000" w:themeColor="text1"/>
                <w:szCs w:val="22"/>
              </w:rPr>
              <w:t>Ingested materials</w:t>
            </w:r>
            <w:r w:rsidR="0013248F" w:rsidRPr="00CB3E51">
              <w:rPr>
                <w:rFonts w:ascii="Times Roman" w:hAnsi="Times Roman"/>
                <w:noProof/>
                <w:color w:val="000000" w:themeColor="text1"/>
                <w:szCs w:val="22"/>
                <w:vertAlign w:val="superscript"/>
              </w:rPr>
              <w:t>**</w:t>
            </w:r>
          </w:p>
        </w:tc>
        <w:tc>
          <w:tcPr>
            <w:tcW w:w="580" w:type="pct"/>
            <w:gridSpan w:val="3"/>
            <w:tcBorders>
              <w:top w:val="nil"/>
              <w:left w:val="nil"/>
              <w:bottom w:val="single" w:sz="4" w:space="0" w:color="auto"/>
              <w:right w:val="nil"/>
            </w:tcBorders>
          </w:tcPr>
          <w:p w14:paraId="3E3B6A6A" w14:textId="77777777" w:rsidR="00EB348A" w:rsidRPr="00CB3E51" w:rsidRDefault="00EB348A" w:rsidP="00E81109">
            <w:pPr>
              <w:pStyle w:val="Table"/>
              <w:rPr>
                <w:rFonts w:ascii="Times Roman" w:hAnsi="Times Roman"/>
                <w:noProof/>
                <w:color w:val="000000" w:themeColor="text1"/>
                <w:szCs w:val="22"/>
              </w:rPr>
            </w:pPr>
          </w:p>
        </w:tc>
        <w:tc>
          <w:tcPr>
            <w:tcW w:w="497" w:type="pct"/>
            <w:gridSpan w:val="2"/>
            <w:tcBorders>
              <w:top w:val="nil"/>
              <w:left w:val="nil"/>
              <w:bottom w:val="single" w:sz="4" w:space="0" w:color="auto"/>
              <w:right w:val="nil"/>
            </w:tcBorders>
          </w:tcPr>
          <w:p w14:paraId="086E4252" w14:textId="77777777" w:rsidR="00EB348A" w:rsidRPr="00CB3E51" w:rsidRDefault="00EB348A" w:rsidP="00E81109">
            <w:pPr>
              <w:pStyle w:val="Table"/>
              <w:rPr>
                <w:rFonts w:ascii="Times Roman" w:hAnsi="Times Roman"/>
                <w:noProof/>
                <w:color w:val="000000" w:themeColor="text1"/>
                <w:szCs w:val="22"/>
              </w:rPr>
            </w:pPr>
          </w:p>
        </w:tc>
        <w:tc>
          <w:tcPr>
            <w:tcW w:w="553" w:type="pct"/>
            <w:gridSpan w:val="2"/>
            <w:tcBorders>
              <w:top w:val="nil"/>
              <w:left w:val="nil"/>
              <w:bottom w:val="single" w:sz="4" w:space="0" w:color="auto"/>
              <w:right w:val="nil"/>
            </w:tcBorders>
          </w:tcPr>
          <w:p w14:paraId="08F30727" w14:textId="77777777" w:rsidR="00EB348A" w:rsidRPr="00CB3E51" w:rsidRDefault="00EB348A" w:rsidP="00E81109">
            <w:pPr>
              <w:pStyle w:val="Table"/>
              <w:rPr>
                <w:rFonts w:ascii="Times Roman" w:hAnsi="Times Roman"/>
                <w:noProof/>
                <w:color w:val="000000" w:themeColor="text1"/>
                <w:szCs w:val="22"/>
              </w:rPr>
            </w:pPr>
          </w:p>
        </w:tc>
        <w:tc>
          <w:tcPr>
            <w:tcW w:w="1250" w:type="pct"/>
            <w:gridSpan w:val="3"/>
            <w:tcBorders>
              <w:top w:val="nil"/>
              <w:left w:val="nil"/>
              <w:bottom w:val="single" w:sz="4" w:space="0" w:color="auto"/>
              <w:right w:val="nil"/>
            </w:tcBorders>
          </w:tcPr>
          <w:p w14:paraId="6E6621F5" w14:textId="77777777" w:rsidR="00EB348A" w:rsidRPr="00CB3E51" w:rsidRDefault="00EB348A" w:rsidP="00E81109">
            <w:pPr>
              <w:pStyle w:val="Table"/>
              <w:rPr>
                <w:rFonts w:ascii="Times Roman" w:hAnsi="Times Roman"/>
                <w:noProof/>
                <w:color w:val="000000" w:themeColor="text1"/>
                <w:szCs w:val="22"/>
              </w:rPr>
            </w:pPr>
          </w:p>
        </w:tc>
      </w:tr>
      <w:tr w:rsidR="0019583E" w:rsidRPr="00972C81" w14:paraId="4B0EA103" w14:textId="77777777" w:rsidTr="0019583E">
        <w:tblPrEx>
          <w:jc w:val="center"/>
          <w:tblLook w:val="0000" w:firstRow="0" w:lastRow="0" w:firstColumn="0" w:lastColumn="0" w:noHBand="0" w:noVBand="0"/>
        </w:tblPrEx>
        <w:trPr>
          <w:trHeight w:val="340"/>
          <w:jc w:val="center"/>
        </w:trPr>
        <w:tc>
          <w:tcPr>
            <w:tcW w:w="1328" w:type="pct"/>
            <w:gridSpan w:val="2"/>
            <w:vMerge w:val="restart"/>
            <w:vAlign w:val="center"/>
          </w:tcPr>
          <w:p w14:paraId="0C579AFE" w14:textId="77777777" w:rsidR="0019583E" w:rsidRPr="00CB3E51" w:rsidRDefault="0019583E" w:rsidP="0019583E">
            <w:pPr>
              <w:pStyle w:val="Table"/>
              <w:rPr>
                <w:rFonts w:ascii="Times Roman" w:hAnsi="Times Roman"/>
                <w:noProof/>
                <w:szCs w:val="22"/>
              </w:rPr>
            </w:pPr>
            <w:r w:rsidRPr="00CB3E51">
              <w:rPr>
                <w:rFonts w:ascii="Times Roman" w:hAnsi="Times Roman"/>
                <w:noProof/>
                <w:szCs w:val="22"/>
              </w:rPr>
              <w:t>Assigned forms</w:t>
            </w:r>
          </w:p>
        </w:tc>
        <w:tc>
          <w:tcPr>
            <w:tcW w:w="3672" w:type="pct"/>
            <w:gridSpan w:val="12"/>
            <w:tcBorders>
              <w:bottom w:val="single" w:sz="4" w:space="0" w:color="auto"/>
            </w:tcBorders>
            <w:vAlign w:val="center"/>
          </w:tcPr>
          <w:p w14:paraId="17E1C350" w14:textId="5EF8F609" w:rsidR="0019583E" w:rsidRPr="00CB3E51" w:rsidRDefault="0019583E" w:rsidP="0019583E">
            <w:pPr>
              <w:pStyle w:val="Table"/>
              <w:jc w:val="center"/>
              <w:rPr>
                <w:rFonts w:ascii="Times Roman" w:hAnsi="Times Roman"/>
                <w:noProof/>
                <w:szCs w:val="22"/>
              </w:rPr>
            </w:pPr>
            <w:r w:rsidRPr="00CB3E51">
              <w:rPr>
                <w:rFonts w:ascii="Times Roman" w:hAnsi="Times Roman"/>
                <w:noProof/>
                <w:szCs w:val="22"/>
              </w:rPr>
              <w:t xml:space="preserve">Age-dependent absorption from the alimentary tract, </w:t>
            </w:r>
            <w:r w:rsidRPr="00CB3E51">
              <w:rPr>
                <w:rFonts w:ascii="Times Roman" w:hAnsi="Times Roman"/>
                <w:i/>
                <w:noProof/>
                <w:szCs w:val="22"/>
              </w:rPr>
              <w:t>f</w:t>
            </w:r>
            <w:r w:rsidRPr="00CB3E51">
              <w:rPr>
                <w:rFonts w:ascii="Times Roman" w:hAnsi="Times Roman"/>
                <w:noProof/>
                <w:szCs w:val="22"/>
                <w:vertAlign w:val="subscript"/>
              </w:rPr>
              <w:t>A</w:t>
            </w:r>
          </w:p>
        </w:tc>
      </w:tr>
      <w:tr w:rsidR="0019583E" w:rsidRPr="00972C81" w14:paraId="14E5A57A" w14:textId="77777777" w:rsidTr="0019583E">
        <w:tblPrEx>
          <w:jc w:val="center"/>
          <w:tblLook w:val="0000" w:firstRow="0" w:lastRow="0" w:firstColumn="0" w:lastColumn="0" w:noHBand="0" w:noVBand="0"/>
        </w:tblPrEx>
        <w:trPr>
          <w:trHeight w:val="340"/>
          <w:jc w:val="center"/>
        </w:trPr>
        <w:tc>
          <w:tcPr>
            <w:tcW w:w="1328" w:type="pct"/>
            <w:gridSpan w:val="2"/>
            <w:vMerge/>
            <w:tcBorders>
              <w:top w:val="single" w:sz="4" w:space="0" w:color="auto"/>
              <w:bottom w:val="single" w:sz="4" w:space="0" w:color="auto"/>
            </w:tcBorders>
          </w:tcPr>
          <w:p w14:paraId="0B43DED6" w14:textId="77777777" w:rsidR="0019583E" w:rsidRPr="00CB3E51" w:rsidRDefault="0019583E" w:rsidP="00E81109">
            <w:pPr>
              <w:pStyle w:val="Table"/>
              <w:rPr>
                <w:rFonts w:ascii="Times Roman" w:hAnsi="Times Roman"/>
                <w:noProof/>
                <w:szCs w:val="22"/>
              </w:rPr>
            </w:pPr>
          </w:p>
        </w:tc>
        <w:tc>
          <w:tcPr>
            <w:tcW w:w="611" w:type="pct"/>
            <w:tcBorders>
              <w:top w:val="single" w:sz="4" w:space="0" w:color="auto"/>
              <w:bottom w:val="single" w:sz="4" w:space="0" w:color="auto"/>
            </w:tcBorders>
            <w:vAlign w:val="center"/>
          </w:tcPr>
          <w:p w14:paraId="45C87D0D" w14:textId="1157D657" w:rsidR="0019583E" w:rsidRPr="00CB3E51" w:rsidRDefault="0019583E" w:rsidP="0019583E">
            <w:pPr>
              <w:pStyle w:val="Table"/>
              <w:rPr>
                <w:rFonts w:ascii="Times Roman" w:hAnsi="Times Roman"/>
                <w:noProof/>
                <w:szCs w:val="22"/>
              </w:rPr>
            </w:pPr>
            <w:r w:rsidRPr="00CB3E51">
              <w:rPr>
                <w:rFonts w:ascii="Times Roman" w:hAnsi="Times Roman"/>
                <w:noProof/>
                <w:szCs w:val="22"/>
              </w:rPr>
              <w:t>3 mo</w:t>
            </w:r>
          </w:p>
        </w:tc>
        <w:tc>
          <w:tcPr>
            <w:tcW w:w="611" w:type="pct"/>
            <w:gridSpan w:val="2"/>
            <w:tcBorders>
              <w:top w:val="single" w:sz="4" w:space="0" w:color="auto"/>
              <w:bottom w:val="single" w:sz="4" w:space="0" w:color="auto"/>
            </w:tcBorders>
            <w:vAlign w:val="center"/>
          </w:tcPr>
          <w:p w14:paraId="3772363D" w14:textId="4400D6C3" w:rsidR="0019583E" w:rsidRPr="00CB3E51" w:rsidRDefault="0019583E" w:rsidP="0019583E">
            <w:pPr>
              <w:pStyle w:val="Table"/>
              <w:rPr>
                <w:rFonts w:ascii="Times Roman" w:hAnsi="Times Roman"/>
                <w:noProof/>
                <w:szCs w:val="22"/>
              </w:rPr>
            </w:pPr>
            <w:r w:rsidRPr="00CB3E51">
              <w:rPr>
                <w:rFonts w:ascii="Times Roman" w:hAnsi="Times Roman"/>
                <w:noProof/>
                <w:szCs w:val="22"/>
              </w:rPr>
              <w:t>1 y</w:t>
            </w:r>
          </w:p>
        </w:tc>
        <w:tc>
          <w:tcPr>
            <w:tcW w:w="612" w:type="pct"/>
            <w:gridSpan w:val="3"/>
            <w:tcBorders>
              <w:top w:val="single" w:sz="4" w:space="0" w:color="auto"/>
              <w:bottom w:val="single" w:sz="4" w:space="0" w:color="auto"/>
            </w:tcBorders>
            <w:vAlign w:val="center"/>
          </w:tcPr>
          <w:p w14:paraId="339785D2" w14:textId="337FA47E" w:rsidR="0019583E" w:rsidRPr="00CB3E51" w:rsidRDefault="0019583E" w:rsidP="0019583E">
            <w:pPr>
              <w:pStyle w:val="Table"/>
              <w:rPr>
                <w:rFonts w:ascii="Times Roman" w:hAnsi="Times Roman"/>
                <w:noProof/>
                <w:szCs w:val="22"/>
              </w:rPr>
            </w:pPr>
            <w:r w:rsidRPr="00CB3E51">
              <w:rPr>
                <w:rFonts w:ascii="Times Roman" w:hAnsi="Times Roman"/>
                <w:noProof/>
                <w:szCs w:val="22"/>
              </w:rPr>
              <w:t>5 y</w:t>
            </w:r>
          </w:p>
        </w:tc>
        <w:tc>
          <w:tcPr>
            <w:tcW w:w="611" w:type="pct"/>
            <w:gridSpan w:val="4"/>
            <w:tcBorders>
              <w:top w:val="single" w:sz="4" w:space="0" w:color="auto"/>
              <w:bottom w:val="single" w:sz="4" w:space="0" w:color="auto"/>
            </w:tcBorders>
            <w:vAlign w:val="center"/>
          </w:tcPr>
          <w:p w14:paraId="56F5A3F4" w14:textId="3ED24733" w:rsidR="0019583E" w:rsidRPr="00CB3E51" w:rsidRDefault="0019583E" w:rsidP="0019583E">
            <w:pPr>
              <w:pStyle w:val="Table"/>
              <w:rPr>
                <w:rFonts w:ascii="Times Roman" w:hAnsi="Times Roman"/>
                <w:noProof/>
                <w:szCs w:val="22"/>
              </w:rPr>
            </w:pPr>
            <w:r w:rsidRPr="00CB3E51">
              <w:rPr>
                <w:rFonts w:ascii="Times Roman" w:hAnsi="Times Roman"/>
                <w:noProof/>
                <w:szCs w:val="22"/>
              </w:rPr>
              <w:t xml:space="preserve">10 </w:t>
            </w:r>
            <w:r>
              <w:rPr>
                <w:rFonts w:ascii="Times Roman" w:hAnsi="Times Roman" w:hint="eastAsia"/>
                <w:noProof/>
                <w:szCs w:val="22"/>
                <w:lang w:eastAsia="ko-KR"/>
              </w:rPr>
              <w:t>y</w:t>
            </w:r>
          </w:p>
        </w:tc>
        <w:tc>
          <w:tcPr>
            <w:tcW w:w="612" w:type="pct"/>
            <w:tcBorders>
              <w:top w:val="single" w:sz="4" w:space="0" w:color="auto"/>
              <w:bottom w:val="single" w:sz="4" w:space="0" w:color="auto"/>
            </w:tcBorders>
            <w:vAlign w:val="center"/>
          </w:tcPr>
          <w:p w14:paraId="289F993D" w14:textId="6B7535F9" w:rsidR="0019583E" w:rsidRPr="00CB3E51" w:rsidRDefault="0019583E" w:rsidP="0019583E">
            <w:pPr>
              <w:pStyle w:val="Table"/>
              <w:rPr>
                <w:rFonts w:ascii="Times Roman" w:hAnsi="Times Roman"/>
                <w:noProof/>
                <w:szCs w:val="22"/>
              </w:rPr>
            </w:pPr>
            <w:r w:rsidRPr="00CB3E51">
              <w:rPr>
                <w:rFonts w:ascii="Times Roman" w:hAnsi="Times Roman"/>
                <w:noProof/>
                <w:szCs w:val="22"/>
              </w:rPr>
              <w:t>15 y</w:t>
            </w:r>
          </w:p>
        </w:tc>
        <w:tc>
          <w:tcPr>
            <w:tcW w:w="615" w:type="pct"/>
            <w:tcBorders>
              <w:top w:val="single" w:sz="4" w:space="0" w:color="auto"/>
              <w:bottom w:val="single" w:sz="4" w:space="0" w:color="auto"/>
            </w:tcBorders>
            <w:vAlign w:val="center"/>
          </w:tcPr>
          <w:p w14:paraId="0DC68B96" w14:textId="77777777" w:rsidR="0019583E" w:rsidRPr="00CB3E51" w:rsidRDefault="0019583E" w:rsidP="0019583E">
            <w:pPr>
              <w:pStyle w:val="Table"/>
              <w:rPr>
                <w:rFonts w:ascii="Times Roman" w:hAnsi="Times Roman"/>
                <w:noProof/>
                <w:szCs w:val="22"/>
              </w:rPr>
            </w:pPr>
            <w:r w:rsidRPr="00CB3E51">
              <w:rPr>
                <w:rFonts w:ascii="Times Roman" w:hAnsi="Times Roman"/>
                <w:noProof/>
                <w:szCs w:val="22"/>
              </w:rPr>
              <w:t>adult</w:t>
            </w:r>
          </w:p>
        </w:tc>
      </w:tr>
      <w:tr w:rsidR="00995C18" w:rsidRPr="00972C81" w14:paraId="025C089D" w14:textId="77777777" w:rsidTr="0019583E">
        <w:tblPrEx>
          <w:jc w:val="center"/>
          <w:tblLook w:val="0000" w:firstRow="0" w:lastRow="0" w:firstColumn="0" w:lastColumn="0" w:noHBand="0" w:noVBand="0"/>
        </w:tblPrEx>
        <w:trPr>
          <w:trHeight w:val="340"/>
          <w:jc w:val="center"/>
        </w:trPr>
        <w:tc>
          <w:tcPr>
            <w:tcW w:w="1328" w:type="pct"/>
            <w:gridSpan w:val="2"/>
            <w:tcBorders>
              <w:top w:val="single" w:sz="4" w:space="0" w:color="auto"/>
            </w:tcBorders>
            <w:vAlign w:val="center"/>
          </w:tcPr>
          <w:p w14:paraId="490A04B3" w14:textId="77777777" w:rsidR="00F92E8B" w:rsidRPr="00CB3E51" w:rsidRDefault="00F92E8B" w:rsidP="0019583E">
            <w:pPr>
              <w:pStyle w:val="Table"/>
              <w:rPr>
                <w:rFonts w:ascii="Times Roman" w:hAnsi="Times Roman"/>
                <w:noProof/>
                <w:szCs w:val="22"/>
              </w:rPr>
            </w:pPr>
            <w:r w:rsidRPr="00CB3E51">
              <w:rPr>
                <w:rFonts w:ascii="Times Roman" w:hAnsi="Times Roman"/>
                <w:noProof/>
                <w:szCs w:val="22"/>
              </w:rPr>
              <w:t>All forms</w:t>
            </w:r>
          </w:p>
        </w:tc>
        <w:tc>
          <w:tcPr>
            <w:tcW w:w="611" w:type="pct"/>
            <w:tcBorders>
              <w:top w:val="single" w:sz="4" w:space="0" w:color="auto"/>
            </w:tcBorders>
            <w:vAlign w:val="center"/>
          </w:tcPr>
          <w:p w14:paraId="20631687" w14:textId="6A689D4C" w:rsidR="00F92E8B" w:rsidRPr="00CB3E51" w:rsidRDefault="00F92E8B" w:rsidP="0019583E">
            <w:pPr>
              <w:pStyle w:val="Table"/>
              <w:rPr>
                <w:rFonts w:ascii="Times Roman" w:hAnsi="Times Roman"/>
                <w:noProof/>
                <w:szCs w:val="22"/>
              </w:rPr>
            </w:pPr>
            <w:r w:rsidRPr="00CB3E51">
              <w:rPr>
                <w:rFonts w:ascii="Times Roman" w:hAnsi="Times Roman"/>
                <w:noProof/>
                <w:szCs w:val="22"/>
              </w:rPr>
              <w:t>5</w:t>
            </w:r>
            <w:r w:rsidR="00067025" w:rsidRPr="00CB3E51">
              <w:rPr>
                <w:rFonts w:ascii="Times Roman" w:hAnsi="Times Roman"/>
                <w:noProof/>
                <w:szCs w:val="22"/>
              </w:rPr>
              <w:t xml:space="preserve"> × </w:t>
            </w:r>
            <w:r w:rsidRPr="00CB3E51">
              <w:rPr>
                <w:rFonts w:ascii="Times Roman" w:hAnsi="Times Roman"/>
                <w:noProof/>
                <w:szCs w:val="22"/>
              </w:rPr>
              <w:t>10</w:t>
            </w:r>
            <w:r w:rsidRPr="00CB3E51">
              <w:rPr>
                <w:rFonts w:ascii="Times Roman" w:hAnsi="Times Roman"/>
                <w:noProof/>
                <w:szCs w:val="22"/>
                <w:vertAlign w:val="superscript"/>
              </w:rPr>
              <w:t>-3</w:t>
            </w:r>
          </w:p>
        </w:tc>
        <w:tc>
          <w:tcPr>
            <w:tcW w:w="611" w:type="pct"/>
            <w:gridSpan w:val="2"/>
            <w:tcBorders>
              <w:top w:val="single" w:sz="4" w:space="0" w:color="auto"/>
            </w:tcBorders>
            <w:vAlign w:val="center"/>
          </w:tcPr>
          <w:p w14:paraId="1464082C" w14:textId="4A675B94" w:rsidR="00F92E8B" w:rsidRPr="00CB3E51" w:rsidRDefault="00F92E8B" w:rsidP="0019583E">
            <w:pPr>
              <w:pStyle w:val="Table"/>
              <w:rPr>
                <w:rFonts w:ascii="Times Roman" w:hAnsi="Times Roman"/>
                <w:noProof/>
                <w:szCs w:val="22"/>
              </w:rPr>
            </w:pPr>
            <w:r w:rsidRPr="00CB3E51">
              <w:rPr>
                <w:rFonts w:ascii="Times Roman" w:hAnsi="Times Roman"/>
                <w:noProof/>
                <w:szCs w:val="22"/>
              </w:rPr>
              <w:t>5</w:t>
            </w:r>
            <w:r w:rsidR="00067025" w:rsidRPr="00CB3E51">
              <w:rPr>
                <w:rFonts w:ascii="Times Roman" w:hAnsi="Times Roman"/>
                <w:noProof/>
                <w:szCs w:val="22"/>
              </w:rPr>
              <w:t xml:space="preserve"> × </w:t>
            </w:r>
            <w:r w:rsidRPr="00CB3E51">
              <w:rPr>
                <w:rFonts w:ascii="Times Roman" w:hAnsi="Times Roman"/>
                <w:noProof/>
                <w:szCs w:val="22"/>
              </w:rPr>
              <w:t>10</w:t>
            </w:r>
            <w:r w:rsidRPr="00CB3E51">
              <w:rPr>
                <w:rFonts w:ascii="Times Roman" w:hAnsi="Times Roman"/>
                <w:noProof/>
                <w:szCs w:val="22"/>
                <w:vertAlign w:val="superscript"/>
              </w:rPr>
              <w:t>-4</w:t>
            </w:r>
          </w:p>
        </w:tc>
        <w:tc>
          <w:tcPr>
            <w:tcW w:w="612" w:type="pct"/>
            <w:gridSpan w:val="3"/>
            <w:tcBorders>
              <w:top w:val="single" w:sz="4" w:space="0" w:color="auto"/>
            </w:tcBorders>
            <w:vAlign w:val="center"/>
          </w:tcPr>
          <w:p w14:paraId="5C9A2C44" w14:textId="7A3116FA" w:rsidR="00F92E8B" w:rsidRPr="00CB3E51" w:rsidRDefault="00F92E8B" w:rsidP="0019583E">
            <w:pPr>
              <w:pStyle w:val="Table"/>
              <w:rPr>
                <w:rFonts w:ascii="Times Roman" w:hAnsi="Times Roman"/>
                <w:noProof/>
                <w:szCs w:val="22"/>
              </w:rPr>
            </w:pPr>
            <w:r w:rsidRPr="00CB3E51">
              <w:rPr>
                <w:rFonts w:ascii="Times Roman" w:hAnsi="Times Roman"/>
                <w:noProof/>
                <w:szCs w:val="22"/>
              </w:rPr>
              <w:t>5</w:t>
            </w:r>
            <w:r w:rsidR="00067025" w:rsidRPr="00CB3E51">
              <w:rPr>
                <w:rFonts w:ascii="Times Roman" w:hAnsi="Times Roman"/>
                <w:noProof/>
                <w:szCs w:val="22"/>
              </w:rPr>
              <w:t xml:space="preserve"> × </w:t>
            </w:r>
            <w:r w:rsidRPr="00CB3E51">
              <w:rPr>
                <w:rFonts w:ascii="Times Roman" w:hAnsi="Times Roman"/>
                <w:noProof/>
                <w:szCs w:val="22"/>
              </w:rPr>
              <w:t>10</w:t>
            </w:r>
            <w:r w:rsidRPr="00CB3E51">
              <w:rPr>
                <w:rFonts w:ascii="Times Roman" w:hAnsi="Times Roman"/>
                <w:noProof/>
                <w:szCs w:val="22"/>
                <w:vertAlign w:val="superscript"/>
              </w:rPr>
              <w:t>-4</w:t>
            </w:r>
          </w:p>
        </w:tc>
        <w:tc>
          <w:tcPr>
            <w:tcW w:w="611" w:type="pct"/>
            <w:gridSpan w:val="4"/>
            <w:tcBorders>
              <w:top w:val="single" w:sz="4" w:space="0" w:color="auto"/>
            </w:tcBorders>
            <w:vAlign w:val="center"/>
          </w:tcPr>
          <w:p w14:paraId="21A113F5" w14:textId="484B6955" w:rsidR="00F92E8B" w:rsidRPr="00CB3E51" w:rsidRDefault="00F92E8B" w:rsidP="0019583E">
            <w:pPr>
              <w:pStyle w:val="Table"/>
              <w:rPr>
                <w:rFonts w:ascii="Times Roman" w:hAnsi="Times Roman"/>
                <w:noProof/>
                <w:szCs w:val="22"/>
              </w:rPr>
            </w:pPr>
            <w:r w:rsidRPr="00CB3E51">
              <w:rPr>
                <w:rFonts w:ascii="Times Roman" w:hAnsi="Times Roman"/>
                <w:noProof/>
                <w:szCs w:val="22"/>
              </w:rPr>
              <w:t>5</w:t>
            </w:r>
            <w:r w:rsidR="00067025" w:rsidRPr="00CB3E51">
              <w:rPr>
                <w:rFonts w:ascii="Times Roman" w:hAnsi="Times Roman"/>
                <w:noProof/>
                <w:szCs w:val="22"/>
              </w:rPr>
              <w:t xml:space="preserve"> × </w:t>
            </w:r>
            <w:r w:rsidRPr="00CB3E51">
              <w:rPr>
                <w:rFonts w:ascii="Times Roman" w:hAnsi="Times Roman"/>
                <w:noProof/>
                <w:szCs w:val="22"/>
              </w:rPr>
              <w:t>10</w:t>
            </w:r>
            <w:r w:rsidRPr="00CB3E51">
              <w:rPr>
                <w:rFonts w:ascii="Times Roman" w:hAnsi="Times Roman"/>
                <w:noProof/>
                <w:szCs w:val="22"/>
                <w:vertAlign w:val="superscript"/>
              </w:rPr>
              <w:t>-4</w:t>
            </w:r>
          </w:p>
        </w:tc>
        <w:tc>
          <w:tcPr>
            <w:tcW w:w="612" w:type="pct"/>
            <w:tcBorders>
              <w:top w:val="single" w:sz="4" w:space="0" w:color="auto"/>
            </w:tcBorders>
            <w:vAlign w:val="center"/>
          </w:tcPr>
          <w:p w14:paraId="3B875D05" w14:textId="1014CD1B" w:rsidR="00F92E8B" w:rsidRPr="00CB3E51" w:rsidRDefault="00F92E8B" w:rsidP="0019583E">
            <w:pPr>
              <w:pStyle w:val="Table"/>
              <w:rPr>
                <w:rFonts w:ascii="Times Roman" w:hAnsi="Times Roman"/>
                <w:noProof/>
                <w:szCs w:val="22"/>
              </w:rPr>
            </w:pPr>
            <w:r w:rsidRPr="00CB3E51">
              <w:rPr>
                <w:rFonts w:ascii="Times Roman" w:hAnsi="Times Roman"/>
                <w:noProof/>
                <w:szCs w:val="22"/>
              </w:rPr>
              <w:t>5</w:t>
            </w:r>
            <w:r w:rsidR="00067025" w:rsidRPr="00CB3E51">
              <w:rPr>
                <w:rFonts w:ascii="Times Roman" w:hAnsi="Times Roman"/>
                <w:noProof/>
                <w:szCs w:val="22"/>
              </w:rPr>
              <w:t xml:space="preserve"> × </w:t>
            </w:r>
            <w:r w:rsidRPr="00CB3E51">
              <w:rPr>
                <w:rFonts w:ascii="Times Roman" w:hAnsi="Times Roman"/>
                <w:noProof/>
                <w:szCs w:val="22"/>
              </w:rPr>
              <w:t>10</w:t>
            </w:r>
            <w:r w:rsidRPr="00CB3E51">
              <w:rPr>
                <w:rFonts w:ascii="Times Roman" w:hAnsi="Times Roman"/>
                <w:noProof/>
                <w:szCs w:val="22"/>
                <w:vertAlign w:val="superscript"/>
              </w:rPr>
              <w:t>-4</w:t>
            </w:r>
          </w:p>
        </w:tc>
        <w:tc>
          <w:tcPr>
            <w:tcW w:w="615" w:type="pct"/>
            <w:tcBorders>
              <w:top w:val="single" w:sz="4" w:space="0" w:color="auto"/>
            </w:tcBorders>
            <w:vAlign w:val="center"/>
          </w:tcPr>
          <w:p w14:paraId="53085970" w14:textId="090D3584" w:rsidR="00F92E8B" w:rsidRPr="00CB3E51" w:rsidRDefault="00F92E8B" w:rsidP="0019583E">
            <w:pPr>
              <w:pStyle w:val="Table"/>
              <w:rPr>
                <w:rFonts w:ascii="Times Roman" w:hAnsi="Times Roman"/>
                <w:noProof/>
                <w:szCs w:val="22"/>
              </w:rPr>
            </w:pPr>
            <w:r w:rsidRPr="00CB3E51">
              <w:rPr>
                <w:rFonts w:ascii="Times Roman" w:hAnsi="Times Roman"/>
                <w:noProof/>
                <w:szCs w:val="22"/>
              </w:rPr>
              <w:t>5</w:t>
            </w:r>
            <w:r w:rsidR="00067025" w:rsidRPr="00CB3E51">
              <w:rPr>
                <w:rFonts w:ascii="Times Roman" w:hAnsi="Times Roman"/>
                <w:noProof/>
                <w:szCs w:val="22"/>
              </w:rPr>
              <w:t xml:space="preserve"> × </w:t>
            </w:r>
            <w:r w:rsidRPr="00CB3E51">
              <w:rPr>
                <w:rFonts w:ascii="Times Roman" w:hAnsi="Times Roman"/>
                <w:noProof/>
                <w:szCs w:val="22"/>
              </w:rPr>
              <w:t>10</w:t>
            </w:r>
            <w:r w:rsidRPr="00CB3E51">
              <w:rPr>
                <w:rFonts w:ascii="Times Roman" w:hAnsi="Times Roman"/>
                <w:noProof/>
                <w:szCs w:val="22"/>
                <w:vertAlign w:val="superscript"/>
              </w:rPr>
              <w:t>-4</w:t>
            </w:r>
          </w:p>
        </w:tc>
      </w:tr>
    </w:tbl>
    <w:p w14:paraId="1FC32A3B" w14:textId="2F0D553D" w:rsidR="00EB348A" w:rsidRPr="00972C81" w:rsidRDefault="0013248F" w:rsidP="00E81109">
      <w:pPr>
        <w:pStyle w:val="Note"/>
        <w:rPr>
          <w:noProof/>
        </w:rPr>
      </w:pPr>
      <w:r w:rsidRPr="00972C81">
        <w:rPr>
          <w:noProof/>
          <w:vertAlign w:val="superscript"/>
        </w:rPr>
        <w:t>*</w:t>
      </w:r>
      <w:r w:rsidR="00EB348A" w:rsidRPr="00972C81">
        <w:rPr>
          <w:noProof/>
        </w:rPr>
        <w:t xml:space="preserve">It is assumed that for neptunium the bound state can be neglected, i.e., </w:t>
      </w:r>
      <w:r w:rsidR="00EB348A" w:rsidRPr="00972C81">
        <w:rPr>
          <w:i/>
          <w:noProof/>
        </w:rPr>
        <w:t>f</w:t>
      </w:r>
      <w:r w:rsidR="00EB348A" w:rsidRPr="00972C81">
        <w:rPr>
          <w:noProof/>
          <w:vertAlign w:val="subscript"/>
        </w:rPr>
        <w:t>b</w:t>
      </w:r>
      <w:r w:rsidR="00EB348A" w:rsidRPr="00972C81">
        <w:rPr>
          <w:noProof/>
        </w:rPr>
        <w:t xml:space="preserve"> = 0.0. The value of </w:t>
      </w:r>
      <w:r w:rsidR="00EB348A" w:rsidRPr="00972C81">
        <w:rPr>
          <w:i/>
          <w:noProof/>
        </w:rPr>
        <w:t>s</w:t>
      </w:r>
      <w:r w:rsidR="00EB348A" w:rsidRPr="00972C81">
        <w:rPr>
          <w:noProof/>
          <w:vertAlign w:val="subscript"/>
        </w:rPr>
        <w:t>r</w:t>
      </w:r>
      <w:r w:rsidR="00EB348A" w:rsidRPr="00972C81">
        <w:rPr>
          <w:noProof/>
        </w:rPr>
        <w:t xml:space="preserve"> for Type F forms of neptunium (30 d</w:t>
      </w:r>
      <w:r w:rsidR="00EB348A" w:rsidRPr="00972C81">
        <w:rPr>
          <w:noProof/>
          <w:vertAlign w:val="superscript"/>
        </w:rPr>
        <w:t>–1</w:t>
      </w:r>
      <w:r w:rsidR="00EB348A" w:rsidRPr="00972C81">
        <w:rPr>
          <w:noProof/>
        </w:rPr>
        <w:t>) is element-specific (although numerically equal to the general default value). The values for Types M and S (3 d</w:t>
      </w:r>
      <w:r w:rsidR="00EB348A" w:rsidRPr="00972C81">
        <w:rPr>
          <w:noProof/>
          <w:vertAlign w:val="superscript"/>
        </w:rPr>
        <w:t>–1</w:t>
      </w:r>
      <w:r w:rsidR="00EB348A" w:rsidRPr="00972C81">
        <w:rPr>
          <w:noProof/>
        </w:rPr>
        <w:t>) are the general default values.</w:t>
      </w:r>
    </w:p>
    <w:p w14:paraId="1D37DFF2" w14:textId="47C5010C" w:rsidR="00EB348A" w:rsidRPr="00972C81" w:rsidRDefault="0013248F" w:rsidP="00E81109">
      <w:pPr>
        <w:pStyle w:val="Note"/>
        <w:rPr>
          <w:noProof/>
        </w:rPr>
      </w:pPr>
      <w:r w:rsidRPr="00972C81">
        <w:rPr>
          <w:noProof/>
          <w:vertAlign w:val="superscript"/>
        </w:rPr>
        <w:t>†</w:t>
      </w:r>
      <w:r w:rsidR="00EB348A" w:rsidRPr="00972C81">
        <w:rPr>
          <w:noProof/>
        </w:rPr>
        <w:t xml:space="preserve">For inhaled material deposited in the respiratory tract and subsequently cleared by particle transport to the alimentary tract, the default </w:t>
      </w:r>
      <w:r w:rsidR="00EB348A" w:rsidRPr="00972C81">
        <w:rPr>
          <w:i/>
          <w:noProof/>
        </w:rPr>
        <w:t>f</w:t>
      </w:r>
      <w:r w:rsidR="00EB348A" w:rsidRPr="00972C81">
        <w:rPr>
          <w:noProof/>
          <w:vertAlign w:val="subscript"/>
        </w:rPr>
        <w:t>A</w:t>
      </w:r>
      <w:r w:rsidR="00EB348A" w:rsidRPr="00972C81">
        <w:rPr>
          <w:noProof/>
        </w:rPr>
        <w:t xml:space="preserve"> values for inhaled materials are applied: </w:t>
      </w:r>
      <w:r w:rsidR="00EB348A" w:rsidRPr="00972C81">
        <w:rPr>
          <w:i/>
          <w:noProof/>
        </w:rPr>
        <w:t>i.e.</w:t>
      </w:r>
      <w:r w:rsidR="00EB348A" w:rsidRPr="00972C81">
        <w:rPr>
          <w:noProof/>
        </w:rPr>
        <w:t xml:space="preserve">, the (rounded) product of </w:t>
      </w:r>
      <w:r w:rsidR="00EB348A" w:rsidRPr="00972C81">
        <w:rPr>
          <w:i/>
          <w:noProof/>
        </w:rPr>
        <w:t>f</w:t>
      </w:r>
      <w:r w:rsidR="00EB348A" w:rsidRPr="00972C81">
        <w:rPr>
          <w:noProof/>
          <w:vertAlign w:val="subscript"/>
        </w:rPr>
        <w:t>r</w:t>
      </w:r>
      <w:r w:rsidR="00EB348A" w:rsidRPr="00972C81">
        <w:rPr>
          <w:noProof/>
        </w:rPr>
        <w:t xml:space="preserve"> for the absorption Type and the </w:t>
      </w:r>
      <w:r w:rsidR="00EB348A" w:rsidRPr="00972C81">
        <w:rPr>
          <w:i/>
          <w:noProof/>
        </w:rPr>
        <w:t>f</w:t>
      </w:r>
      <w:r w:rsidR="00EB348A" w:rsidRPr="00972C81">
        <w:rPr>
          <w:noProof/>
          <w:vertAlign w:val="subscript"/>
        </w:rPr>
        <w:t>A</w:t>
      </w:r>
      <w:r w:rsidR="00EB348A" w:rsidRPr="00972C81">
        <w:rPr>
          <w:noProof/>
        </w:rPr>
        <w:t xml:space="preserve"> value for ingested soluble forms of neptunium</w:t>
      </w:r>
      <w:r w:rsidR="009C40E6" w:rsidRPr="00972C81">
        <w:rPr>
          <w:noProof/>
        </w:rPr>
        <w:t xml:space="preserve"> applicable to the age-group of interest (</w:t>
      </w:r>
      <w:r w:rsidR="009C40E6" w:rsidRPr="00972C81">
        <w:rPr>
          <w:i/>
          <w:iCs/>
          <w:noProof/>
        </w:rPr>
        <w:t xml:space="preserve">e.g. </w:t>
      </w:r>
      <w:r w:rsidR="00EB348A" w:rsidRPr="00972C81">
        <w:rPr>
          <w:noProof/>
        </w:rPr>
        <w:t>5</w:t>
      </w:r>
      <w:r w:rsidR="00067025" w:rsidRPr="00972C81">
        <w:rPr>
          <w:noProof/>
        </w:rPr>
        <w:t xml:space="preserve"> × </w:t>
      </w:r>
      <w:r w:rsidR="00EB348A" w:rsidRPr="00972C81">
        <w:rPr>
          <w:noProof/>
        </w:rPr>
        <w:t>10</w:t>
      </w:r>
      <w:r w:rsidR="00EB348A" w:rsidRPr="00972C81">
        <w:rPr>
          <w:noProof/>
          <w:vertAlign w:val="superscript"/>
        </w:rPr>
        <w:t>–4</w:t>
      </w:r>
      <w:r w:rsidR="009C40E6" w:rsidRPr="00972C81">
        <w:rPr>
          <w:noProof/>
        </w:rPr>
        <w:t xml:space="preserve"> for adults</w:t>
      </w:r>
      <w:r w:rsidR="00EB348A" w:rsidRPr="00972C81">
        <w:rPr>
          <w:noProof/>
        </w:rPr>
        <w:t xml:space="preserve">). </w:t>
      </w:r>
    </w:p>
    <w:p w14:paraId="03970E79" w14:textId="6B1ECEA2" w:rsidR="00EB348A" w:rsidRPr="00972C81" w:rsidRDefault="0013248F" w:rsidP="00E81109">
      <w:pPr>
        <w:pStyle w:val="Note"/>
        <w:rPr>
          <w:noProof/>
        </w:rPr>
      </w:pPr>
      <w:r w:rsidRPr="00972C81">
        <w:rPr>
          <w:noProof/>
          <w:vertAlign w:val="superscript"/>
        </w:rPr>
        <w:t>‡</w:t>
      </w:r>
      <w:r w:rsidR="00EB348A" w:rsidRPr="00972C81">
        <w:rPr>
          <w:noProof/>
        </w:rPr>
        <w:t xml:space="preserve">See </w:t>
      </w:r>
      <w:r w:rsidR="00A758BD" w:rsidRPr="00972C81">
        <w:rPr>
          <w:noProof/>
        </w:rPr>
        <w:t xml:space="preserve">Section 21 of </w:t>
      </w:r>
      <w:r w:rsidR="00300462" w:rsidRPr="00972C81">
        <w:rPr>
          <w:i/>
          <w:noProof/>
        </w:rPr>
        <w:t xml:space="preserve">Publication </w:t>
      </w:r>
      <w:r w:rsidR="00D13F12" w:rsidRPr="00972C81">
        <w:rPr>
          <w:i/>
          <w:noProof/>
        </w:rPr>
        <w:t>141</w:t>
      </w:r>
      <w:r w:rsidR="00300462" w:rsidRPr="00972C81">
        <w:rPr>
          <w:noProof/>
        </w:rPr>
        <w:t xml:space="preserve"> </w:t>
      </w:r>
      <w:r w:rsidRPr="00972C81">
        <w:rPr>
          <w:noProof/>
        </w:rPr>
        <w:fldChar w:fldCharType="begin"/>
      </w:r>
      <w:r w:rsidRPr="00972C81">
        <w:rPr>
          <w:noProof/>
        </w:rPr>
        <w:instrText xml:space="preserve"> ADDIN ZOTERO_ITEM CSL_CITATION {"citationID":"08Vvg9mO","properties":{"formattedCitation":"(ICRP,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Pr="00972C81">
        <w:rPr>
          <w:noProof/>
        </w:rPr>
        <w:fldChar w:fldCharType="separate"/>
      </w:r>
      <w:r w:rsidR="00BC59C6" w:rsidRPr="00972C81">
        <w:rPr>
          <w:noProof/>
        </w:rPr>
        <w:t>(ICRP, 2019)</w:t>
      </w:r>
      <w:r w:rsidRPr="00972C81">
        <w:rPr>
          <w:noProof/>
        </w:rPr>
        <w:fldChar w:fldCharType="end"/>
      </w:r>
      <w:r w:rsidR="00A758BD" w:rsidRPr="00972C81">
        <w:rPr>
          <w:noProof/>
        </w:rPr>
        <w:t xml:space="preserve"> </w:t>
      </w:r>
      <w:r w:rsidR="00EB348A" w:rsidRPr="00972C81">
        <w:rPr>
          <w:noProof/>
        </w:rPr>
        <w:t xml:space="preserve">for summary of information on which parameter values are based, and on ranges of parameter values observed in different studies. For neptunium nitrate, specific parameter values are used for dissolution in the lungs, but a default value of </w:t>
      </w:r>
      <w:r w:rsidR="00EB348A" w:rsidRPr="00972C81">
        <w:rPr>
          <w:i/>
          <w:noProof/>
        </w:rPr>
        <w:t>f</w:t>
      </w:r>
      <w:r w:rsidR="00EB348A" w:rsidRPr="00972C81">
        <w:rPr>
          <w:noProof/>
          <w:vertAlign w:val="subscript"/>
        </w:rPr>
        <w:t>A</w:t>
      </w:r>
      <w:r w:rsidR="00EB348A" w:rsidRPr="00972C81">
        <w:rPr>
          <w:noProof/>
        </w:rPr>
        <w:t xml:space="preserve"> (footnote </w:t>
      </w:r>
      <w:r w:rsidRPr="00972C81">
        <w:rPr>
          <w:noProof/>
          <w:vertAlign w:val="superscript"/>
        </w:rPr>
        <w:t>†</w:t>
      </w:r>
      <w:r w:rsidR="00EB348A" w:rsidRPr="00972C81">
        <w:rPr>
          <w:noProof/>
        </w:rPr>
        <w:t>).</w:t>
      </w:r>
    </w:p>
    <w:p w14:paraId="5512FD57" w14:textId="0741E3B0" w:rsidR="00EB348A" w:rsidRPr="00972C81" w:rsidRDefault="0013248F" w:rsidP="00E81109">
      <w:pPr>
        <w:pStyle w:val="Note"/>
        <w:rPr>
          <w:noProof/>
        </w:rPr>
      </w:pPr>
      <w:r w:rsidRPr="00972C81">
        <w:rPr>
          <w:noProof/>
          <w:vertAlign w:val="superscript"/>
        </w:rPr>
        <w:t>§</w:t>
      </w:r>
      <w:r w:rsidR="00EB348A" w:rsidRPr="00972C81">
        <w:rPr>
          <w:noProof/>
        </w:rPr>
        <w:t xml:space="preserve">Materials (e.g. neptunium citrate) are generally listed here where there is sufficient information to assign to a default absorption Type, but not to give specific parameter values (see </w:t>
      </w:r>
      <w:r w:rsidR="00A758BD" w:rsidRPr="00972C81">
        <w:rPr>
          <w:noProof/>
        </w:rPr>
        <w:t xml:space="preserve">Section 21 of ICRP, </w:t>
      </w:r>
      <w:r w:rsidR="00995C18" w:rsidRPr="00972C81">
        <w:rPr>
          <w:noProof/>
        </w:rPr>
        <w:t>20</w:t>
      </w:r>
      <w:r w:rsidR="00D13F12" w:rsidRPr="00972C81">
        <w:rPr>
          <w:noProof/>
        </w:rPr>
        <w:t>19</w:t>
      </w:r>
      <w:r w:rsidR="00EB348A" w:rsidRPr="00972C81">
        <w:rPr>
          <w:noProof/>
        </w:rPr>
        <w:t xml:space="preserve">). </w:t>
      </w:r>
    </w:p>
    <w:p w14:paraId="548DD416" w14:textId="0FAE74CF" w:rsidR="00EB348A" w:rsidRPr="00972C81" w:rsidRDefault="0013248F" w:rsidP="00E81109">
      <w:pPr>
        <w:pStyle w:val="Note"/>
        <w:rPr>
          <w:noProof/>
        </w:rPr>
      </w:pPr>
      <w:r w:rsidRPr="00972C81">
        <w:rPr>
          <w:noProof/>
          <w:vertAlign w:val="superscript"/>
        </w:rPr>
        <w:t>¶</w:t>
      </w:r>
      <w:r w:rsidR="00EB348A" w:rsidRPr="00972C81">
        <w:rPr>
          <w:noProof/>
        </w:rPr>
        <w:t>Default Type M is recommended for use in the absence of specific information on which the exposure material can be assigned to an Absorption Type, e.g. if the form is unknown, or if the form is known but there is no information available on the absorption of that form from the respiratory tract.</w:t>
      </w:r>
    </w:p>
    <w:p w14:paraId="600E35E5" w14:textId="683F9F2D" w:rsidR="00EB348A" w:rsidRPr="00972C81" w:rsidRDefault="0013248F" w:rsidP="00E81109">
      <w:pPr>
        <w:pStyle w:val="Note"/>
        <w:rPr>
          <w:noProof/>
        </w:rPr>
      </w:pPr>
      <w:r w:rsidRPr="00972C81">
        <w:rPr>
          <w:noProof/>
          <w:vertAlign w:val="superscript"/>
        </w:rPr>
        <w:lastRenderedPageBreak/>
        <w:t>**</w:t>
      </w:r>
      <w:r w:rsidR="00EB348A" w:rsidRPr="00972C81">
        <w:rPr>
          <w:noProof/>
        </w:rPr>
        <w:t xml:space="preserve">Activity transferred from systemic compartments into segments of the alimentary tract is assumed to be subject to reabsorption to blood. The default absorption fraction </w:t>
      </w:r>
      <w:r w:rsidR="00DC407D" w:rsidRPr="00972C81">
        <w:rPr>
          <w:i/>
          <w:noProof/>
        </w:rPr>
        <w:t>f</w:t>
      </w:r>
      <w:r w:rsidR="00DC407D" w:rsidRPr="00972C81">
        <w:rPr>
          <w:noProof/>
          <w:vertAlign w:val="subscript"/>
        </w:rPr>
        <w:t>A</w:t>
      </w:r>
      <w:r w:rsidR="00EB348A" w:rsidRPr="00972C81">
        <w:rPr>
          <w:noProof/>
        </w:rPr>
        <w:t xml:space="preserve"> for the secreted activity is the reference</w:t>
      </w:r>
      <w:r w:rsidR="009C40E6" w:rsidRPr="00972C81">
        <w:rPr>
          <w:noProof/>
        </w:rPr>
        <w:t xml:space="preserve"> value</w:t>
      </w:r>
      <w:r w:rsidR="00EB348A" w:rsidRPr="00972C81">
        <w:rPr>
          <w:noProof/>
        </w:rPr>
        <w:t xml:space="preserve"> for ingestion of the radionuclide</w:t>
      </w:r>
      <w:r w:rsidR="009C40E6" w:rsidRPr="00972C81">
        <w:rPr>
          <w:noProof/>
        </w:rPr>
        <w:t xml:space="preserve"> applicable to the age-group of interest (</w:t>
      </w:r>
      <w:r w:rsidR="009C40E6" w:rsidRPr="00972C81">
        <w:rPr>
          <w:i/>
          <w:iCs/>
          <w:noProof/>
        </w:rPr>
        <w:t xml:space="preserve">e.g. </w:t>
      </w:r>
      <w:r w:rsidR="009C40E6" w:rsidRPr="00972C81">
        <w:rPr>
          <w:noProof/>
        </w:rPr>
        <w:t>5</w:t>
      </w:r>
      <w:r w:rsidR="00067025" w:rsidRPr="00972C81">
        <w:rPr>
          <w:noProof/>
        </w:rPr>
        <w:t xml:space="preserve"> × </w:t>
      </w:r>
      <w:r w:rsidR="009C40E6" w:rsidRPr="00972C81">
        <w:rPr>
          <w:noProof/>
        </w:rPr>
        <w:t>10</w:t>
      </w:r>
      <w:r w:rsidR="009C40E6" w:rsidRPr="00972C81">
        <w:rPr>
          <w:noProof/>
          <w:vertAlign w:val="superscript"/>
        </w:rPr>
        <w:t>-4</w:t>
      </w:r>
      <w:r w:rsidR="009C40E6" w:rsidRPr="00972C81">
        <w:rPr>
          <w:noProof/>
        </w:rPr>
        <w:t xml:space="preserve"> for adults)</w:t>
      </w:r>
      <w:r w:rsidR="00EB348A" w:rsidRPr="00972C81">
        <w:rPr>
          <w:noProof/>
        </w:rPr>
        <w:t>.</w:t>
      </w:r>
    </w:p>
    <w:p w14:paraId="50AFE568" w14:textId="77777777" w:rsidR="00F92E8B" w:rsidRPr="00972C81" w:rsidRDefault="00F92E8B" w:rsidP="006F56F9">
      <w:pPr>
        <w:pStyle w:val="3"/>
        <w:rPr>
          <w:noProof/>
        </w:rPr>
      </w:pPr>
      <w:bookmarkStart w:id="307" w:name="_Toc162630100"/>
      <w:r w:rsidRPr="00972C81">
        <w:rPr>
          <w:noProof/>
        </w:rPr>
        <w:t>Ingestion</w:t>
      </w:r>
      <w:bookmarkEnd w:id="307"/>
    </w:p>
    <w:p w14:paraId="07009B14" w14:textId="6B8859A2" w:rsidR="00F92E8B" w:rsidRPr="00972C81" w:rsidRDefault="00F92E8B" w:rsidP="001C4A92">
      <w:pPr>
        <w:pStyle w:val="Annalstext"/>
        <w:rPr>
          <w:noProof/>
        </w:rPr>
      </w:pPr>
      <w:r w:rsidRPr="00972C81">
        <w:rPr>
          <w:i/>
          <w:noProof/>
        </w:rPr>
        <w:t>Adults</w:t>
      </w:r>
      <w:r w:rsidRPr="00972C81">
        <w:rPr>
          <w:noProof/>
        </w:rPr>
        <w:t>. The gastrointestinal absorption of neptunium is influenced by its initial chemical form, mass and oxidation state. A human volunteer study indicated fractional absorption in the range 1</w:t>
      </w:r>
      <w:r w:rsidR="00FE3C4F" w:rsidRPr="00972C81">
        <w:rPr>
          <w:noProof/>
          <w:spacing w:val="1"/>
        </w:rPr>
        <w:t>–</w:t>
      </w:r>
      <w:r w:rsidRPr="00972C81">
        <w:rPr>
          <w:noProof/>
        </w:rPr>
        <w:t>3</w:t>
      </w:r>
      <w:r w:rsidR="00067025" w:rsidRPr="00972C81">
        <w:rPr>
          <w:noProof/>
        </w:rPr>
        <w:t xml:space="preserve"> × </w:t>
      </w:r>
      <w:r w:rsidRPr="00972C81">
        <w:rPr>
          <w:noProof/>
        </w:rPr>
        <w:t>10</w:t>
      </w:r>
      <w:r w:rsidRPr="00972C81">
        <w:rPr>
          <w:noProof/>
          <w:vertAlign w:val="superscript"/>
        </w:rPr>
        <w:t>-4</w:t>
      </w:r>
      <w:r w:rsidRPr="00972C81">
        <w:rPr>
          <w:noProof/>
        </w:rPr>
        <w:t xml:space="preserve"> of ingested neptunium citrate </w:t>
      </w:r>
      <w:r w:rsidR="00BC59C6" w:rsidRPr="00972C81">
        <w:rPr>
          <w:noProof/>
        </w:rPr>
        <w:fldChar w:fldCharType="begin"/>
      </w:r>
      <w:r w:rsidR="00BC59C6" w:rsidRPr="00972C81">
        <w:rPr>
          <w:noProof/>
        </w:rPr>
        <w:instrText xml:space="preserve"> ADDIN ZOTERO_ITEM CSL_CITATION {"citationID":"8zo8jh4c","properties":{"formattedCitation":"(Popplewell et al., 1991)","plainCitation":"(Popplewell et al., 1991)","noteIndex":0},"citationItems":[{"id":5062,"uris":["http://zotero.org/groups/2470620/items/6NIVAIKZ"],"itemData":{"id":5062,"type":"article-journal","abstract":"The gastrointestinal absorption of Np and Cm has been determined in five male adult volunteers. The Np and Cm, which were in citrate solution, were taken with food. An initial experiment with each individual determined the fraction of each element excreted in the urine following intravenous administration. Subsequently, the results for urinary excretion for the two routes of administration were used to calculate the fractional absorption (f1) of ingested Np and Cm. The mean f1 values were: Np (2.0 +/- 0.2) X 10(-4), range (1.2-2.9) X 10(-4), and Cm (1.7 +/- 0.3) X 10(-4), range (0.95-3.0) X 10(-4), the quoted uncertainties being the standard error of the means. Currently, the International Commission on Radiological Protection recommends a value of 10(-3) for both elements. Cumulative urinary excretion over 1 wk after intravenous injection accounted for about 20%-40% of administered Np and 7%-10% of Cm. At the conclusion of the experiment, the total committed effective dose equivalent for each volunteer was calculated to be in the range 130-250 microSv, based on the individual f1 values, and, in some cases, a knowledge of the rate of clearance of 239Np through the gut as measured by whole-body counting.","container-title":"Health Physics","DOI":"10.1097/00004032-199106000-00005","ISSN":"0017-9078","issue":"6","journalAbbreviation":"Health Phys","language":"eng","note":"PMID: 2032834","page":"797-805","source":"PubMed","title":"Gastrointestinal absorption of neptunium and curium in humans","volume":"60","author":[{"family":"Popplewell","given":"D. S."},{"family":"Harrison","given":"J. D."},{"family":"Ham","given":"G. J."}],"issued":{"date-parts":[["1991",6]]}}}],"schema":"https://github.com/citation-style-language/schema/raw/master/csl-citation.json"} </w:instrText>
      </w:r>
      <w:r w:rsidR="00BC59C6" w:rsidRPr="00972C81">
        <w:rPr>
          <w:noProof/>
        </w:rPr>
        <w:fldChar w:fldCharType="separate"/>
      </w:r>
      <w:r w:rsidR="00BC59C6" w:rsidRPr="00972C81">
        <w:rPr>
          <w:noProof/>
        </w:rPr>
        <w:t>(Popplewell et al., 1991)</w:t>
      </w:r>
      <w:r w:rsidR="00BC59C6" w:rsidRPr="00972C81">
        <w:rPr>
          <w:noProof/>
        </w:rPr>
        <w:fldChar w:fldCharType="end"/>
      </w:r>
      <w:r w:rsidRPr="00972C81">
        <w:rPr>
          <w:noProof/>
        </w:rPr>
        <w:t>. Animal data depend on the administered quantity of neptunium, with observed absorption fractions from 3</w:t>
      </w:r>
      <w:r w:rsidR="00067025" w:rsidRPr="00972C81">
        <w:rPr>
          <w:noProof/>
        </w:rPr>
        <w:t xml:space="preserve"> × </w:t>
      </w:r>
      <w:r w:rsidRPr="00972C81">
        <w:rPr>
          <w:noProof/>
        </w:rPr>
        <w:t>10</w:t>
      </w:r>
      <w:r w:rsidRPr="00972C81">
        <w:rPr>
          <w:noProof/>
          <w:vertAlign w:val="superscript"/>
        </w:rPr>
        <w:t>-4</w:t>
      </w:r>
      <w:r w:rsidRPr="00972C81">
        <w:rPr>
          <w:noProof/>
        </w:rPr>
        <w:t xml:space="preserve"> to 2</w:t>
      </w:r>
      <w:r w:rsidR="00067025" w:rsidRPr="00972C81">
        <w:rPr>
          <w:noProof/>
        </w:rPr>
        <w:t xml:space="preserve"> × </w:t>
      </w:r>
      <w:r w:rsidRPr="00972C81">
        <w:rPr>
          <w:noProof/>
        </w:rPr>
        <w:t>10</w:t>
      </w:r>
      <w:r w:rsidRPr="00972C81">
        <w:rPr>
          <w:noProof/>
          <w:vertAlign w:val="superscript"/>
        </w:rPr>
        <w:t>-3</w:t>
      </w:r>
      <w:r w:rsidRPr="00972C81">
        <w:rPr>
          <w:noProof/>
        </w:rPr>
        <w:t xml:space="preserve"> for administered quantities of 0.5 ng to 13 µg. I</w:t>
      </w:r>
      <w:r w:rsidRPr="00972C81">
        <w:rPr>
          <w:noProof/>
          <w:color w:val="000000"/>
          <w:lang w:eastAsia="fr-FR"/>
        </w:rPr>
        <w:t>n baboons, when the hydroxy acid and vitamin content is raised with a fruit diet, an increase in total absorption is observed. Fasting causes marked increase in the absorption of neptunium.</w:t>
      </w:r>
      <w:r w:rsidRPr="00972C81">
        <w:rPr>
          <w:noProof/>
        </w:rPr>
        <w:t xml:space="preserve"> (For more details see Annex D of</w:t>
      </w:r>
      <w:r w:rsidR="00BC59C6" w:rsidRPr="00972C81">
        <w:rPr>
          <w:noProof/>
        </w:rPr>
        <w:t xml:space="preserve"> </w:t>
      </w:r>
      <w:r w:rsidR="00BC59C6" w:rsidRPr="00972C81">
        <w:rPr>
          <w:i/>
          <w:noProof/>
        </w:rPr>
        <w:t>Publication 100</w:t>
      </w:r>
      <w:r w:rsidR="00BC59C6" w:rsidRPr="00972C81">
        <w:rPr>
          <w:noProof/>
        </w:rPr>
        <w:t xml:space="preserve"> </w:t>
      </w:r>
      <w:r w:rsidR="00BC59C6" w:rsidRPr="00972C81">
        <w:rPr>
          <w:noProof/>
        </w:rPr>
        <w:fldChar w:fldCharType="begin"/>
      </w:r>
      <w:r w:rsidR="000F5D57" w:rsidRPr="00972C81">
        <w:rPr>
          <w:noProof/>
        </w:rPr>
        <w:instrText xml:space="preserve"> ADDIN ZOTERO_ITEM CSL_CITATION {"citationID":"anqop4s54k","properties":{"formattedCitation":"(ICRP, 2006)","plainCitation":"(ICRP, 2006)","noteIndex":0},"citationItems":[{"id":2564,"uris":["http://zotero.org/groups/2470620/items/9MYKCIRK",["http://zotero.org/groups/2470620/items/9MYKCIRK"]],"itemData":{"id":2564,"type":"article-journal","container-title":"Annals of the ICRP","issue":"1-2","journalAbbreviation":"Ann. ICRP","language":"en","note":"publisher-place: Oxford\npublisher: Pergamon Press","title":"Human alimentary tract model for radiological protection. ICRP Publication 100","volume":"36","author":[{"literal":"ICRP"}],"issued":{"date-parts":[["2006"]]}}}],"schema":"https://github.com/citation-style-language/schema/raw/master/csl-citation.json"} </w:instrText>
      </w:r>
      <w:r w:rsidR="00BC59C6" w:rsidRPr="00972C81">
        <w:rPr>
          <w:noProof/>
        </w:rPr>
        <w:fldChar w:fldCharType="separate"/>
      </w:r>
      <w:r w:rsidR="000F5D57" w:rsidRPr="00972C81">
        <w:rPr>
          <w:noProof/>
          <w:szCs w:val="24"/>
        </w:rPr>
        <w:t>(ICRP, 2006)</w:t>
      </w:r>
      <w:r w:rsidR="00BC59C6" w:rsidRPr="00972C81">
        <w:rPr>
          <w:noProof/>
        </w:rPr>
        <w:fldChar w:fldCharType="end"/>
      </w:r>
      <w:r w:rsidRPr="00972C81">
        <w:rPr>
          <w:noProof/>
        </w:rPr>
        <w:t xml:space="preserve"> and Section 21 of </w:t>
      </w:r>
      <w:r w:rsidR="007A34D9" w:rsidRPr="00972C81">
        <w:rPr>
          <w:i/>
          <w:noProof/>
        </w:rPr>
        <w:t>Publication 141</w:t>
      </w:r>
      <w:r w:rsidR="007A34D9" w:rsidRPr="00972C81">
        <w:rPr>
          <w:noProof/>
        </w:rPr>
        <w:t xml:space="preserve"> </w:t>
      </w:r>
      <w:r w:rsidR="00BC59C6" w:rsidRPr="00972C81">
        <w:rPr>
          <w:noProof/>
        </w:rPr>
        <w:fldChar w:fldCharType="begin"/>
      </w:r>
      <w:r w:rsidR="000F5D57" w:rsidRPr="00972C81">
        <w:rPr>
          <w:noProof/>
        </w:rPr>
        <w:instrText xml:space="preserve"> ADDIN ZOTERO_ITEM CSL_CITATION {"citationID":"a1f660bjntl","properties":{"formattedCitation":"(ICRP,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BC59C6" w:rsidRPr="00972C81">
        <w:rPr>
          <w:noProof/>
        </w:rPr>
        <w:fldChar w:fldCharType="separate"/>
      </w:r>
      <w:r w:rsidR="000F5D57" w:rsidRPr="00972C81">
        <w:rPr>
          <w:noProof/>
          <w:szCs w:val="24"/>
        </w:rPr>
        <w:t>(ICRP, 2019)</w:t>
      </w:r>
      <w:r w:rsidR="00BC59C6" w:rsidRPr="00972C81">
        <w:rPr>
          <w:noProof/>
        </w:rPr>
        <w:fldChar w:fldCharType="end"/>
      </w:r>
      <w:r w:rsidRPr="00972C81">
        <w:rPr>
          <w:noProof/>
        </w:rPr>
        <w:t xml:space="preserve">. In </w:t>
      </w:r>
      <w:r w:rsidRPr="00972C81">
        <w:rPr>
          <w:i/>
          <w:noProof/>
        </w:rPr>
        <w:t>Publication 30</w:t>
      </w:r>
      <w:r w:rsidRPr="00972C81">
        <w:rPr>
          <w:noProof/>
        </w:rPr>
        <w:t xml:space="preserve"> </w:t>
      </w:r>
      <w:r w:rsidR="00BC59C6" w:rsidRPr="00972C81">
        <w:rPr>
          <w:noProof/>
        </w:rPr>
        <w:fldChar w:fldCharType="begin"/>
      </w:r>
      <w:r w:rsidR="000F5D57" w:rsidRPr="00972C81">
        <w:rPr>
          <w:noProof/>
        </w:rPr>
        <w:instrText xml:space="preserve"> ADDIN ZOTERO_ITEM CSL_CITATION {"citationID":"aa3iet2tpg","properties":{"formattedCitation":"(ICRP, 1980)","plainCitation":"(ICRP, 1980)","noteIndex":0},"citationItems":[{"id":2554,"uris":["http://zotero.org/groups/2470620/items/DPAFDBQY"],"itemData":{"id":2554,"type":"article-journal","container-title":"Annals of the ICRP","issue":"3/4","journalAbbreviation":"Ann. ICRP","language":"en","title":"Limits for intakes of radionuclides by workers. ICRP Publication 30, Part 2","volume":"4","author":[{"literal":"ICRP"}],"issued":{"date-parts":[["1980"]]}}}],"schema":"https://github.com/citation-style-language/schema/raw/master/csl-citation.json"} </w:instrText>
      </w:r>
      <w:r w:rsidR="00BC59C6" w:rsidRPr="00972C81">
        <w:rPr>
          <w:noProof/>
        </w:rPr>
        <w:fldChar w:fldCharType="separate"/>
      </w:r>
      <w:r w:rsidR="000F5D57" w:rsidRPr="00972C81">
        <w:rPr>
          <w:noProof/>
          <w:szCs w:val="24"/>
        </w:rPr>
        <w:t>(ICRP, 1980)</w:t>
      </w:r>
      <w:r w:rsidR="00BC59C6" w:rsidRPr="00972C81">
        <w:rPr>
          <w:noProof/>
        </w:rPr>
        <w:fldChar w:fldCharType="end"/>
      </w:r>
      <w:r w:rsidRPr="00972C81">
        <w:rPr>
          <w:noProof/>
        </w:rPr>
        <w:t>, the absorption fraction was taken to be 1</w:t>
      </w:r>
      <w:r w:rsidR="00067025" w:rsidRPr="00972C81">
        <w:rPr>
          <w:noProof/>
        </w:rPr>
        <w:t xml:space="preserve"> × </w:t>
      </w:r>
      <w:r w:rsidRPr="00972C81">
        <w:rPr>
          <w:noProof/>
        </w:rPr>
        <w:t>10</w:t>
      </w:r>
      <w:r w:rsidRPr="00972C81">
        <w:rPr>
          <w:noProof/>
          <w:vertAlign w:val="superscript"/>
        </w:rPr>
        <w:t>-2</w:t>
      </w:r>
      <w:r w:rsidRPr="00972C81">
        <w:rPr>
          <w:noProof/>
        </w:rPr>
        <w:t xml:space="preserve"> based on measurements on rats given high masses of </w:t>
      </w:r>
      <w:r w:rsidRPr="00972C81">
        <w:rPr>
          <w:noProof/>
          <w:vertAlign w:val="superscript"/>
        </w:rPr>
        <w:t>237</w:t>
      </w:r>
      <w:r w:rsidRPr="00972C81">
        <w:rPr>
          <w:noProof/>
        </w:rPr>
        <w:t xml:space="preserve">Np. In </w:t>
      </w:r>
      <w:r w:rsidRPr="00972C81">
        <w:rPr>
          <w:i/>
          <w:noProof/>
        </w:rPr>
        <w:t>Publication 48</w:t>
      </w:r>
      <w:r w:rsidRPr="00972C81">
        <w:rPr>
          <w:noProof/>
        </w:rPr>
        <w:t xml:space="preserve"> </w:t>
      </w:r>
      <w:r w:rsidR="00BC59C6" w:rsidRPr="00972C81">
        <w:rPr>
          <w:noProof/>
        </w:rPr>
        <w:fldChar w:fldCharType="begin"/>
      </w:r>
      <w:r w:rsidR="000F5D57" w:rsidRPr="00972C81">
        <w:rPr>
          <w:noProof/>
        </w:rPr>
        <w:instrText xml:space="preserve"> ADDIN ZOTERO_ITEM CSL_CITATION {"citationID":"a8ruug2lcr","properties":{"formattedCitation":"(ICRP, 1986)","plainCitation":"(ICRP, 1986)","noteIndex":0},"citationItems":[{"id":4867,"uris":["http://zotero.org/groups/2470620/items/JBT3RHCV"],"itemData":{"id":4867,"type":"article-journal","container-title":"Annals of the ICRP","issue":"2/3","journalAbbreviation":"Ann. ICRP","language":"et","title":"The Metabolism of Plutonium and Related Elements. ICRP Publication 48","volume":"16","author":[{"literal":"ICRP"}],"issued":{"date-parts":[["1986"]]}}}],"schema":"https://github.com/citation-style-language/schema/raw/master/csl-citation.json"} </w:instrText>
      </w:r>
      <w:r w:rsidR="00BC59C6" w:rsidRPr="00972C81">
        <w:rPr>
          <w:noProof/>
        </w:rPr>
        <w:fldChar w:fldCharType="separate"/>
      </w:r>
      <w:r w:rsidR="000F5D57" w:rsidRPr="00972C81">
        <w:rPr>
          <w:noProof/>
          <w:szCs w:val="24"/>
        </w:rPr>
        <w:t>(ICRP, 1986)</w:t>
      </w:r>
      <w:r w:rsidR="00BC59C6" w:rsidRPr="00972C81">
        <w:rPr>
          <w:noProof/>
        </w:rPr>
        <w:fldChar w:fldCharType="end"/>
      </w:r>
      <w:r w:rsidRPr="00972C81">
        <w:rPr>
          <w:noProof/>
        </w:rPr>
        <w:t>, the effect of mass was discussed and a general value for actinides of 10</w:t>
      </w:r>
      <w:r w:rsidRPr="00972C81">
        <w:rPr>
          <w:noProof/>
          <w:vertAlign w:val="superscript"/>
        </w:rPr>
        <w:t>-3</w:t>
      </w:r>
      <w:r w:rsidRPr="00972C81">
        <w:rPr>
          <w:noProof/>
        </w:rPr>
        <w:t xml:space="preserve"> was applied to neptunium. This value was also </w:t>
      </w:r>
      <w:r w:rsidR="00E444AF" w:rsidRPr="00972C81">
        <w:rPr>
          <w:noProof/>
        </w:rPr>
        <w:t>recommended</w:t>
      </w:r>
      <w:r w:rsidRPr="00972C81">
        <w:rPr>
          <w:noProof/>
        </w:rPr>
        <w:t xml:space="preserve"> in </w:t>
      </w:r>
      <w:r w:rsidRPr="00972C81">
        <w:rPr>
          <w:i/>
          <w:noProof/>
        </w:rPr>
        <w:t>Publication 56</w:t>
      </w:r>
      <w:r w:rsidRPr="00972C81">
        <w:rPr>
          <w:noProof/>
        </w:rPr>
        <w:t xml:space="preserve"> </w:t>
      </w:r>
      <w:r w:rsidR="00BC59C6" w:rsidRPr="00972C81">
        <w:rPr>
          <w:noProof/>
        </w:rPr>
        <w:fldChar w:fldCharType="begin"/>
      </w:r>
      <w:r w:rsidR="000F5D57" w:rsidRPr="00972C81">
        <w:rPr>
          <w:noProof/>
        </w:rPr>
        <w:instrText xml:space="preserve"> ADDIN ZOTERO_ITEM CSL_CITATION {"citationID":"a2m7291ikka","properties":{"formattedCitation":"(ICRP, 1990)","plainCitation":"(ICRP, 1990)","noteIndex":0},"citationItems":[{"id":3465,"uris":["http://zotero.org/groups/2470620/items/P3QPMZIH",["http://zotero.org/groups/2470620/items/P3QPMZIH"]],"itemData":{"id":3465,"type":"article-journal","container-title":"Annals of the ICRP","issue":"2","title":"Age-dependent Doses to Members of the Public from Intake of Radionuclides - Part 1. ICRP Publication 56","volume":"20","author":[{"literal":"ICRP"}],"issued":{"date-parts":[["1990"]]}}}],"schema":"https://github.com/citation-style-language/schema/raw/master/csl-citation.json"} </w:instrText>
      </w:r>
      <w:r w:rsidR="00BC59C6" w:rsidRPr="00972C81">
        <w:rPr>
          <w:noProof/>
        </w:rPr>
        <w:fldChar w:fldCharType="separate"/>
      </w:r>
      <w:r w:rsidR="000F5D57" w:rsidRPr="00972C81">
        <w:rPr>
          <w:noProof/>
          <w:szCs w:val="24"/>
        </w:rPr>
        <w:t>(ICRP, 1990)</w:t>
      </w:r>
      <w:r w:rsidR="00BC59C6" w:rsidRPr="00972C81">
        <w:rPr>
          <w:noProof/>
        </w:rPr>
        <w:fldChar w:fldCharType="end"/>
      </w:r>
      <w:r w:rsidRPr="00972C81">
        <w:rPr>
          <w:noProof/>
        </w:rPr>
        <w:t xml:space="preserve">. In </w:t>
      </w:r>
      <w:r w:rsidRPr="00972C81">
        <w:rPr>
          <w:i/>
          <w:noProof/>
        </w:rPr>
        <w:t>Publication 67</w:t>
      </w:r>
      <w:r w:rsidRPr="00972C81">
        <w:rPr>
          <w:noProof/>
        </w:rPr>
        <w:t xml:space="preserve"> </w:t>
      </w:r>
      <w:r w:rsidR="00BC59C6" w:rsidRPr="00972C81">
        <w:rPr>
          <w:noProof/>
        </w:rPr>
        <w:fldChar w:fldCharType="begin"/>
      </w:r>
      <w:r w:rsidR="000F5D57" w:rsidRPr="00972C81">
        <w:rPr>
          <w:noProof/>
        </w:rPr>
        <w:instrText xml:space="preserve"> ADDIN ZOTERO_ITEM CSL_CITATION {"citationID":"ajjlg3gi7m","properties":{"formattedCitation":"(ICRP, 1993)","plainCitation":"(ICRP, 1993)","noteIndex":0},"citationItems":[{"id":2558,"uris":["http://zotero.org/groups/2470620/items/NGGW5NK4",["http://zotero.org/groups/2470620/items/NGGW5NK4"]],"itemData":{"id":2558,"type":"article-journal","container-title":"Annals of the ICRP","issue":"3/4","journalAbbreviation":"Ann. ICRP","language":"en","title":"Age dependent doses to members of the public from intake of radionuclides: Part 2, Ingestion dose coefficients. ICRP Publication 67","volume":"23","author":[{"literal":"ICRP"}],"issued":{"date-parts":[["1993"]]}}}],"schema":"https://github.com/citation-style-language/schema/raw/master/csl-citation.json"} </w:instrText>
      </w:r>
      <w:r w:rsidR="00BC59C6" w:rsidRPr="00972C81">
        <w:rPr>
          <w:noProof/>
        </w:rPr>
        <w:fldChar w:fldCharType="separate"/>
      </w:r>
      <w:r w:rsidR="000F5D57" w:rsidRPr="00972C81">
        <w:rPr>
          <w:noProof/>
          <w:szCs w:val="24"/>
        </w:rPr>
        <w:t>(ICRP, 1993)</w:t>
      </w:r>
      <w:r w:rsidR="00BC59C6" w:rsidRPr="00972C81">
        <w:rPr>
          <w:noProof/>
        </w:rPr>
        <w:fldChar w:fldCharType="end"/>
      </w:r>
      <w:r w:rsidRPr="00972C81">
        <w:rPr>
          <w:noProof/>
        </w:rPr>
        <w:t xml:space="preserve"> and in</w:t>
      </w:r>
      <w:r w:rsidR="007A34D9" w:rsidRPr="00972C81">
        <w:rPr>
          <w:i/>
          <w:noProof/>
        </w:rPr>
        <w:t xml:space="preserve"> Publication 141</w:t>
      </w:r>
      <w:r w:rsidR="007A34D9" w:rsidRPr="00972C81">
        <w:rPr>
          <w:noProof/>
        </w:rPr>
        <w:t xml:space="preserve"> </w:t>
      </w:r>
      <w:r w:rsidR="00BC59C6" w:rsidRPr="00972C81">
        <w:rPr>
          <w:noProof/>
        </w:rPr>
        <w:fldChar w:fldCharType="begin"/>
      </w:r>
      <w:r w:rsidR="000F5D57" w:rsidRPr="00972C81">
        <w:rPr>
          <w:noProof/>
        </w:rPr>
        <w:instrText xml:space="preserve"> ADDIN ZOTERO_ITEM CSL_CITATION {"citationID":"aekiuh8uvf","properties":{"formattedCitation":"(ICRP,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BC59C6" w:rsidRPr="00972C81">
        <w:rPr>
          <w:noProof/>
        </w:rPr>
        <w:fldChar w:fldCharType="separate"/>
      </w:r>
      <w:r w:rsidR="000F5D57" w:rsidRPr="00972C81">
        <w:rPr>
          <w:noProof/>
          <w:szCs w:val="24"/>
        </w:rPr>
        <w:t>(ICRP, 2019)</w:t>
      </w:r>
      <w:r w:rsidR="00BC59C6" w:rsidRPr="00972C81">
        <w:rPr>
          <w:noProof/>
        </w:rPr>
        <w:fldChar w:fldCharType="end"/>
      </w:r>
      <w:r w:rsidR="007A34D9" w:rsidRPr="00972C81">
        <w:rPr>
          <w:noProof/>
        </w:rPr>
        <w:t>,</w:t>
      </w:r>
      <w:r w:rsidRPr="00972C81">
        <w:rPr>
          <w:noProof/>
        </w:rPr>
        <w:t xml:space="preserve"> a general value of </w:t>
      </w:r>
      <w:r w:rsidRPr="00972C81">
        <w:rPr>
          <w:i/>
          <w:noProof/>
        </w:rPr>
        <w:t>f</w:t>
      </w:r>
      <w:r w:rsidRPr="00972C81">
        <w:rPr>
          <w:noProof/>
          <w:vertAlign w:val="subscript"/>
        </w:rPr>
        <w:t xml:space="preserve">A </w:t>
      </w:r>
      <w:r w:rsidRPr="00972C81">
        <w:rPr>
          <w:noProof/>
        </w:rPr>
        <w:t>= 5</w:t>
      </w:r>
      <w:r w:rsidR="00067025" w:rsidRPr="00972C81">
        <w:rPr>
          <w:noProof/>
        </w:rPr>
        <w:t xml:space="preserve"> × </w:t>
      </w:r>
      <w:r w:rsidRPr="00972C81">
        <w:rPr>
          <w:noProof/>
        </w:rPr>
        <w:t>10</w:t>
      </w:r>
      <w:r w:rsidRPr="00972C81">
        <w:rPr>
          <w:noProof/>
          <w:vertAlign w:val="superscript"/>
        </w:rPr>
        <w:t>-4</w:t>
      </w:r>
      <w:r w:rsidRPr="00972C81">
        <w:rPr>
          <w:noProof/>
        </w:rPr>
        <w:t xml:space="preserve"> based on the available database was recommended for all actinides other than uranium and applied to all chemical forms of neptunium. This value </w:t>
      </w:r>
      <w:r w:rsidRPr="00972C81">
        <w:rPr>
          <w:i/>
          <w:noProof/>
        </w:rPr>
        <w:t>f</w:t>
      </w:r>
      <w:r w:rsidRPr="00972C81">
        <w:rPr>
          <w:noProof/>
          <w:vertAlign w:val="subscript"/>
        </w:rPr>
        <w:t xml:space="preserve">A </w:t>
      </w:r>
      <w:r w:rsidRPr="00972C81">
        <w:rPr>
          <w:noProof/>
        </w:rPr>
        <w:t>= 5</w:t>
      </w:r>
      <w:r w:rsidR="00067025" w:rsidRPr="00972C81">
        <w:rPr>
          <w:noProof/>
        </w:rPr>
        <w:t xml:space="preserve"> × </w:t>
      </w:r>
      <w:r w:rsidRPr="00972C81">
        <w:rPr>
          <w:noProof/>
        </w:rPr>
        <w:t>10</w:t>
      </w:r>
      <w:r w:rsidRPr="00972C81">
        <w:rPr>
          <w:noProof/>
          <w:vertAlign w:val="superscript"/>
        </w:rPr>
        <w:t>-4</w:t>
      </w:r>
      <w:r w:rsidRPr="00972C81">
        <w:rPr>
          <w:noProof/>
        </w:rPr>
        <w:t xml:space="preserve"> is also adopted here for intakes of neptunium by adults.</w:t>
      </w:r>
    </w:p>
    <w:p w14:paraId="5D2E70CE" w14:textId="68E37EFB" w:rsidR="00F92E8B" w:rsidRPr="00972C81" w:rsidRDefault="00F92E8B" w:rsidP="001C4A92">
      <w:pPr>
        <w:pStyle w:val="Annalstext"/>
        <w:rPr>
          <w:noProof/>
        </w:rPr>
      </w:pPr>
      <w:r w:rsidRPr="00972C81">
        <w:rPr>
          <w:i/>
          <w:noProof/>
        </w:rPr>
        <w:t xml:space="preserve">Children. </w:t>
      </w:r>
      <w:r w:rsidRPr="00972C81">
        <w:rPr>
          <w:noProof/>
        </w:rPr>
        <w:t>The absorption of neptunium in rodents was observed to decrease by two orders of magnitude from weaning to maturity</w:t>
      </w:r>
      <w:r w:rsidR="00945CA0" w:rsidRPr="00972C81">
        <w:rPr>
          <w:noProof/>
        </w:rPr>
        <w:t xml:space="preserve"> </w:t>
      </w:r>
      <w:r w:rsidR="00945CA0" w:rsidRPr="00972C81">
        <w:rPr>
          <w:noProof/>
        </w:rPr>
        <w:fldChar w:fldCharType="begin"/>
      </w:r>
      <w:r w:rsidR="000F5D57" w:rsidRPr="00972C81">
        <w:rPr>
          <w:noProof/>
        </w:rPr>
        <w:instrText xml:space="preserve"> ADDIN ZOTERO_ITEM CSL_CITATION {"citationID":"a25mcj5atqv","properties":{"formattedCitation":"(David and Harrison, 1984; Sullivan et al., 1984)","plainCitation":"(David and Harrison, 1984; Sullivan et al., 1984)","noteIndex":0},"citationItems":[{"id":5064,"uris":["http://zotero.org/groups/2470620/items/M7W5SBKW"],"itemData":{"id":5064,"type":"article-journal","abstract":"Hamsters aged 1, 4, 7, 22 and 30 days were given oral doses of either plutonium-239 citrate or americium-241 nitrate. The values of gastrointestinal absorption obtained were 3.5, 1.4, 0.04, 0.007 and 0.003 per cent, respectively, for plutonium and 4.5, 1.7, 0.5, 0.006 and 0.02 per cent, respectively, for americium, compared with values in adults of 0.01 per cent for plutonium and 0.05 per cent for americium. The absorption of neptunium was measured in hamsters aged 2 and 4 days and values of 2.3 and 1.7 per cent, respectively, were obtained for 239Np as the nitrate and 5.5 and 2.1 per cent, respectively, for 239Np as the bicarbonate compared with the values in adults of 0.02 per cent for both chemical forms. Thus, the absorption of plutonium, americium and neptunium at 1-2 days of age was about 100 times greater than in adults. The results for plutonium and americium show that absorption decreased rapidly with age over the suckling period. The values of absorption obtained at the time of weaning at 22 days were lower than in adults.","container-title":"International Journal of Radiation Biology and Related Studies in Physics, Chemistry, and Medicine","DOI":"10.1080/09553008414551401","ISSN":"0020-7616","issue":"3","journalAbbreviation":"Int J Radiat Biol Relat Stud Phys Chem Med","language":"eng","note":"PMID: 6386722","page":"279-286","source":"PubMed","title":"The absorption of ingested neptunium, plutonium and americium in newborn hamsters","volume":"46","author":[{"family":"David","given":"A. J."},{"family":"Harrison","given":"J. D."}],"issued":{"date-parts":[["1984",9]]}}},{"id":3554,"uris":["http://zotero.org/groups/2470620/items/HM4HUZHK"],"itemData":{"id":3554,"type":"article-journal","abstract":"Neptunium-237(V) nitrate was administered by gavage to groups of fed or fasted adult and 5-day-old rats. Some groups also received the oxidants quinhydrone or ferric iron, and others received the reducing agent ferrous iron. Adult mice received ferric or ferrous iron and 235Np. When the adult rats were killed at 7 days after gavage, measurements showed that, compared with rats that were fed, a 24-hr fast caused a fivefold increase in 237Np absorption and retention. Both quinhydrone and ferric iron caused an even greater increase in absorption in both fed and fasted rats. Ferrous iron, on the other hand, decreased absorption in fasted rats to values lower than those obtained in fed rats. Similar results were obtained in mice treated with 235Np and either ferric or ferrous iron. The highest absorption obtained after gavage of ferric iron to fasted rats and mice was about two orders of magnitude higher than the value obtained in animals that were fed before gavage. The effects of ferric and ferrous iron on neptunium absorption by neonatal rats were similar to their effects on adult animals but of lesser magnitude. These results are consistent with the hypothesis that Np(V), when given in small mass quantities to fed animals, is reduced in the gastrointestinal tract to Np(IV), which is less well absorbed than Np(V).","archive":"Scopus","container-title":"Radiation Research","DOI":"10.2307/3576415","issue":"3","page":"519-526","source":"Scopus","title":"Effects of fasting and/or oxidizing and reducing agents on absorption of neptunium from the gastrointestinal tract of mice and adult or neonatal rats","volume":"100","author":[{"family":"Sullivan","given":"M.F."},{"family":"Ruemmler","given":"P.S."},{"family":"Ryan","given":"J.L."}],"issued":{"date-parts":[["1984"]]}}}],"schema":"https://github.com/citation-style-language/schema/raw/master/csl-citation.json"} </w:instrText>
      </w:r>
      <w:r w:rsidR="00945CA0" w:rsidRPr="00972C81">
        <w:rPr>
          <w:noProof/>
        </w:rPr>
        <w:fldChar w:fldCharType="separate"/>
      </w:r>
      <w:r w:rsidR="000F5D57" w:rsidRPr="00972C81">
        <w:rPr>
          <w:noProof/>
          <w:szCs w:val="24"/>
        </w:rPr>
        <w:t>(David and Harrison, 1984; Sullivan et al., 1984)</w:t>
      </w:r>
      <w:r w:rsidR="00945CA0" w:rsidRPr="00972C81">
        <w:rPr>
          <w:noProof/>
        </w:rPr>
        <w:fldChar w:fldCharType="end"/>
      </w:r>
      <w:r w:rsidRPr="00972C81">
        <w:rPr>
          <w:noProof/>
        </w:rPr>
        <w:t>. Studies on baboons also suggested that gastrointestinal absorption of neptunium in infants may be as much as two orders of magnitude greater than in adults but indicate that absorption may decrease to 3</w:t>
      </w:r>
      <w:r w:rsidR="00FE3C4F" w:rsidRPr="00972C81">
        <w:rPr>
          <w:noProof/>
          <w:spacing w:val="1"/>
        </w:rPr>
        <w:t>–</w:t>
      </w:r>
      <w:r w:rsidRPr="00972C81">
        <w:rPr>
          <w:noProof/>
        </w:rPr>
        <w:t xml:space="preserve">5 times adult levels within a few days or weeks. Absorption appeared to fall to around adult values by approximately 5–6 months of age </w:t>
      </w:r>
      <w:r w:rsidR="00527C56" w:rsidRPr="00972C81">
        <w:rPr>
          <w:noProof/>
        </w:rPr>
        <w:fldChar w:fldCharType="begin"/>
      </w:r>
      <w:r w:rsidR="000F5D57" w:rsidRPr="00972C81">
        <w:rPr>
          <w:noProof/>
        </w:rPr>
        <w:instrText xml:space="preserve"> ADDIN ZOTERO_ITEM CSL_CITATION {"citationID":"am7e5fc8kf","properties":{"formattedCitation":"(Lataillade et al., 1992; M\\uc0\\u233{}tivier et al., 1987)","plainCitation":"(Lataillade et al., 1992; Métivier et al., 1987)","noteIndex":0},"citationItems":[{"id":5068,"uris":["http://zotero.org/groups/2470620/items/2SMHQLDK"],"itemData":{"id":5068,"type":"report","event-place":"Gif-sur-Yvette, France","number":"CEA-R-5598","publisher":"CEA","publisher-place":"Gif-sur-Yvette, France","source":"Google Scholar","title":"Absorption gastrointestinale du plutonium et du neptunium chez le singe babouin nouveau-né","author":[{"family":"Lataillade","given":"Ghislaine"},{"family":"Fritsch","given":"Paul"},{"family":"Duserre","given":"Claude"},{"family":"Rateau","given":"Gérard"},{"family":"Verry","given":"Monique"},{"family":"Metivier","given":"Henri"}],"issued":{"date-parts":[["1992"]]}}},{"id":5066,"uris":["http://zotero.org/groups/2470620/items/A9A2J2GG"],"itemData":{"id":5066,"type":"chapter","container-title":"Age-related Factors in Radionuclide Metabolism and Dosimetry","event-place":"Dordrecht","note":"publisher: Martinus Nijhoff Publishers Dordrecht","page":"21–26","publisher":"Martinus Nijhoff Publishers","publisher-place":"Dordrecht","source":"Google Scholar","title":"Gastrointestinal transfer of neptunium (V) in newborn baboons: preliminary results","title-short":"Gastrointestinal transfer of neptunium (V) in newborn baboons","author":[{"family":"Métivier","given":"H."},{"family":"Duserre","given":"C."},{"family":"Jouniaux","given":"B."},{"family":"Fritsch","given":"P."},{"family":"Lataillade","given":"G."},{"family":"Masse","given":"R."}],"editor":[{"family":"Gerber","given":"G.B."},{"family":"Métivier","given":"H."},{"family":"Smith","given":"H."}],"issued":{"date-parts":[["1987"]]}}}],"schema":"https://github.com/citation-style-language/schema/raw/master/csl-citation.json"} </w:instrText>
      </w:r>
      <w:r w:rsidR="00527C56" w:rsidRPr="00972C81">
        <w:rPr>
          <w:noProof/>
        </w:rPr>
        <w:fldChar w:fldCharType="separate"/>
      </w:r>
      <w:r w:rsidR="000F5D57" w:rsidRPr="00972C81">
        <w:rPr>
          <w:noProof/>
          <w:szCs w:val="24"/>
        </w:rPr>
        <w:t>(Lataillade et al., 1992; Métivier et al., 1987)</w:t>
      </w:r>
      <w:r w:rsidR="00527C56" w:rsidRPr="00972C81">
        <w:rPr>
          <w:noProof/>
        </w:rPr>
        <w:fldChar w:fldCharType="end"/>
      </w:r>
      <w:r w:rsidRPr="00972C81">
        <w:rPr>
          <w:noProof/>
        </w:rPr>
        <w:t xml:space="preserve">. In </w:t>
      </w:r>
      <w:r w:rsidRPr="00972C81">
        <w:rPr>
          <w:i/>
          <w:noProof/>
        </w:rPr>
        <w:t>Publication 56</w:t>
      </w:r>
      <w:r w:rsidRPr="00972C81">
        <w:rPr>
          <w:noProof/>
        </w:rPr>
        <w:t>, an absorption fraction of 10</w:t>
      </w:r>
      <w:r w:rsidRPr="00972C81">
        <w:rPr>
          <w:noProof/>
          <w:vertAlign w:val="superscript"/>
        </w:rPr>
        <w:t>-2</w:t>
      </w:r>
      <w:r w:rsidRPr="00972C81">
        <w:rPr>
          <w:noProof/>
        </w:rPr>
        <w:t xml:space="preserve"> was recommended as an average for the first year of life and a value of 10</w:t>
      </w:r>
      <w:r w:rsidRPr="00972C81">
        <w:rPr>
          <w:noProof/>
          <w:vertAlign w:val="superscript"/>
        </w:rPr>
        <w:t>-3</w:t>
      </w:r>
      <w:r w:rsidRPr="00972C81">
        <w:rPr>
          <w:noProof/>
        </w:rPr>
        <w:t xml:space="preserve"> for all succeeding years. The values of </w:t>
      </w:r>
      <w:r w:rsidRPr="00972C81">
        <w:rPr>
          <w:i/>
          <w:noProof/>
        </w:rPr>
        <w:t>f</w:t>
      </w:r>
      <w:r w:rsidRPr="00972C81">
        <w:rPr>
          <w:noProof/>
          <w:vertAlign w:val="subscript"/>
        </w:rPr>
        <w:t>A</w:t>
      </w:r>
      <w:r w:rsidRPr="00972C81">
        <w:rPr>
          <w:noProof/>
        </w:rPr>
        <w:t xml:space="preserve"> = 5</w:t>
      </w:r>
      <w:r w:rsidR="00067025" w:rsidRPr="00972C81">
        <w:rPr>
          <w:noProof/>
        </w:rPr>
        <w:t xml:space="preserve"> × </w:t>
      </w:r>
      <w:r w:rsidRPr="00972C81">
        <w:rPr>
          <w:noProof/>
        </w:rPr>
        <w:t>10</w:t>
      </w:r>
      <w:r w:rsidRPr="00972C81">
        <w:rPr>
          <w:noProof/>
          <w:vertAlign w:val="superscript"/>
        </w:rPr>
        <w:t>-3</w:t>
      </w:r>
      <w:r w:rsidRPr="00972C81">
        <w:rPr>
          <w:noProof/>
        </w:rPr>
        <w:t xml:space="preserve"> for 3-month-old infant</w:t>
      </w:r>
      <w:r w:rsidR="00E31A20" w:rsidRPr="00972C81">
        <w:rPr>
          <w:noProof/>
        </w:rPr>
        <w:t>s</w:t>
      </w:r>
      <w:r w:rsidRPr="00972C81">
        <w:rPr>
          <w:noProof/>
        </w:rPr>
        <w:t xml:space="preserve"> and </w:t>
      </w:r>
      <w:r w:rsidRPr="00972C81">
        <w:rPr>
          <w:i/>
          <w:noProof/>
        </w:rPr>
        <w:t>f</w:t>
      </w:r>
      <w:r w:rsidRPr="00972C81">
        <w:rPr>
          <w:noProof/>
          <w:vertAlign w:val="subscript"/>
        </w:rPr>
        <w:t>A</w:t>
      </w:r>
      <w:r w:rsidRPr="00972C81">
        <w:rPr>
          <w:noProof/>
        </w:rPr>
        <w:t xml:space="preserve"> = 5</w:t>
      </w:r>
      <w:r w:rsidR="00067025" w:rsidRPr="00972C81">
        <w:rPr>
          <w:noProof/>
        </w:rPr>
        <w:t xml:space="preserve"> × </w:t>
      </w:r>
      <w:r w:rsidRPr="00972C81">
        <w:rPr>
          <w:noProof/>
        </w:rPr>
        <w:t>10</w:t>
      </w:r>
      <w:r w:rsidRPr="00972C81">
        <w:rPr>
          <w:noProof/>
          <w:vertAlign w:val="superscript"/>
        </w:rPr>
        <w:t>-4</w:t>
      </w:r>
      <w:r w:rsidRPr="00972C81">
        <w:rPr>
          <w:noProof/>
        </w:rPr>
        <w:t xml:space="preserve"> for older children are adopted here.</w:t>
      </w:r>
    </w:p>
    <w:p w14:paraId="79592833" w14:textId="77777777" w:rsidR="00F92E8B" w:rsidRPr="00972C81" w:rsidRDefault="00F92E8B" w:rsidP="006F56F9">
      <w:pPr>
        <w:pStyle w:val="3"/>
        <w:rPr>
          <w:noProof/>
        </w:rPr>
      </w:pPr>
      <w:bookmarkStart w:id="308" w:name="_Toc162630101"/>
      <w:r w:rsidRPr="00972C81">
        <w:rPr>
          <w:noProof/>
        </w:rPr>
        <w:t>Systemic Distribution, Retention and Excretion</w:t>
      </w:r>
      <w:bookmarkEnd w:id="308"/>
    </w:p>
    <w:p w14:paraId="0B078D2D" w14:textId="77777777" w:rsidR="00D776FB" w:rsidRPr="00972C81" w:rsidRDefault="00D776FB" w:rsidP="006703A2">
      <w:pPr>
        <w:pStyle w:val="OIRTitre4"/>
      </w:pPr>
      <w:r w:rsidRPr="00972C81">
        <w:t>Summary of biokinetic data</w:t>
      </w:r>
    </w:p>
    <w:p w14:paraId="3BBFA4D4" w14:textId="6661F96A" w:rsidR="00D776FB" w:rsidRPr="00972C81" w:rsidRDefault="00D776FB" w:rsidP="001C4A92">
      <w:pPr>
        <w:pStyle w:val="Annalstext"/>
        <w:rPr>
          <w:noProof/>
        </w:rPr>
      </w:pPr>
      <w:r w:rsidRPr="00972C81">
        <w:rPr>
          <w:noProof/>
        </w:rPr>
        <w:t xml:space="preserve">Urinary </w:t>
      </w:r>
      <w:r w:rsidRPr="00972C81">
        <w:rPr>
          <w:noProof/>
          <w:vertAlign w:val="superscript"/>
        </w:rPr>
        <w:t>239</w:t>
      </w:r>
      <w:r w:rsidRPr="00972C81">
        <w:rPr>
          <w:noProof/>
        </w:rPr>
        <w:t>Np was measured in five healthy adult male human subjects over 9</w:t>
      </w:r>
      <w:r w:rsidR="00FE3C4F" w:rsidRPr="00972C81">
        <w:rPr>
          <w:noProof/>
          <w:spacing w:val="1"/>
        </w:rPr>
        <w:t>–</w:t>
      </w:r>
      <w:r w:rsidRPr="00972C81">
        <w:rPr>
          <w:noProof/>
        </w:rPr>
        <w:t xml:space="preserve">10 days following intravenous injection of this radionuclide in citrate solution </w:t>
      </w:r>
      <w:r w:rsidR="00527C56" w:rsidRPr="00972C81">
        <w:rPr>
          <w:noProof/>
        </w:rPr>
        <w:fldChar w:fldCharType="begin"/>
      </w:r>
      <w:r w:rsidR="000F5D57" w:rsidRPr="00972C81">
        <w:rPr>
          <w:noProof/>
        </w:rPr>
        <w:instrText xml:space="preserve"> ADDIN ZOTERO_ITEM CSL_CITATION {"citationID":"a1n6opm66ml","properties":{"formattedCitation":"(Popplewell et al., 1991)","plainCitation":"(Popplewell et al., 1991)","noteIndex":0},"citationItems":[{"id":5062,"uris":["http://zotero.org/groups/2470620/items/6NIVAIKZ"],"itemData":{"id":5062,"type":"article-journal","abstract":"The gastrointestinal absorption of Np and Cm has been determined in five male adult volunteers. The Np and Cm, which were in citrate solution, were taken with food. An initial experiment with each individual determined the fraction of each element excreted in the urine following intravenous administration. Subsequently, the results for urinary excretion for the two routes of administration were used to calculate the fractional absorption (f1) of ingested Np and Cm. The mean f1 values were: Np (2.0 +/- 0.2) X 10(-4), range (1.2-2.9) X 10(-4), and Cm (1.7 +/- 0.3) X 10(-4), range (0.95-3.0) X 10(-4), the quoted uncertainties being the standard error of the means. Currently, the International Commission on Radiological Protection recommends a value of 10(-3) for both elements. Cumulative urinary excretion over 1 wk after intravenous injection accounted for about 20%-40% of administered Np and 7%-10% of Cm. At the conclusion of the experiment, the total committed effective dose equivalent for each volunteer was calculated to be in the range 130-250 microSv, based on the individual f1 values, and, in some cases, a knowledge of the rate of clearance of 239Np through the gut as measured by whole-body counting.","container-title":"Health Physics","DOI":"10.1097/00004032-199106000-00005","ISSN":"0017-9078","issue":"6","journalAbbreviation":"Health Phys","language":"eng","note":"PMID: 2032834","page":"797-805","source":"PubMed","title":"Gastrointestinal absorption of neptunium and curium in humans","volume":"60","author":[{"family":"Popplewell","given":"D. S."},{"family":"Harrison","given":"J. D."},{"family":"Ham","given":"G. J."}],"issued":{"date-parts":[["1991",6]]}}}],"schema":"https://github.com/citation-style-language/schema/raw/master/csl-citation.json"} </w:instrText>
      </w:r>
      <w:r w:rsidR="00527C56" w:rsidRPr="00972C81">
        <w:rPr>
          <w:noProof/>
        </w:rPr>
        <w:fldChar w:fldCharType="separate"/>
      </w:r>
      <w:r w:rsidR="000F5D57" w:rsidRPr="00972C81">
        <w:rPr>
          <w:noProof/>
          <w:szCs w:val="24"/>
        </w:rPr>
        <w:t>(Popplewell et al., 1991)</w:t>
      </w:r>
      <w:r w:rsidR="00527C56" w:rsidRPr="00972C81">
        <w:rPr>
          <w:noProof/>
        </w:rPr>
        <w:fldChar w:fldCharType="end"/>
      </w:r>
      <w:r w:rsidRPr="00972C81">
        <w:rPr>
          <w:noProof/>
        </w:rPr>
        <w:t xml:space="preserve">. Cumulative urinary excretion during this period represented 23–42% of administered </w:t>
      </w:r>
      <w:r w:rsidRPr="00972C81">
        <w:rPr>
          <w:noProof/>
          <w:vertAlign w:val="superscript"/>
        </w:rPr>
        <w:t>237</w:t>
      </w:r>
      <w:r w:rsidRPr="00972C81">
        <w:rPr>
          <w:noProof/>
        </w:rPr>
        <w:t>Np.</w:t>
      </w:r>
    </w:p>
    <w:p w14:paraId="5CDB5C4A" w14:textId="73758F1A" w:rsidR="00D776FB" w:rsidRPr="00972C81" w:rsidRDefault="00D776FB" w:rsidP="001C4A92">
      <w:pPr>
        <w:pStyle w:val="Annalstext"/>
        <w:rPr>
          <w:noProof/>
        </w:rPr>
      </w:pPr>
      <w:r w:rsidRPr="00972C81">
        <w:rPr>
          <w:noProof/>
        </w:rPr>
        <w:t xml:space="preserve">The systemic behaviour of neptunium has been investigated in baboons </w:t>
      </w:r>
      <w:r w:rsidR="00DB4551" w:rsidRPr="00972C81">
        <w:rPr>
          <w:noProof/>
        </w:rPr>
        <w:fldChar w:fldCharType="begin"/>
      </w:r>
      <w:r w:rsidR="000F5D57" w:rsidRPr="00972C81">
        <w:rPr>
          <w:noProof/>
        </w:rPr>
        <w:instrText xml:space="preserve"> ADDIN ZOTERO_ITEM CSL_CITATION {"citationID":"a2mgm93htfl","properties":{"formattedCitation":"(Cohen, 1987; Ralston et al., 1986)","plainCitation":"(Cohen, 1987; Ralston et al., 1986)","noteIndex":0},"citationItems":[{"id":5069,"uris":["http://zotero.org/groups/2470620/items/VGUQ7YN5"],"itemData":{"id":5069,"type":"report","event-place":"Washington, DC","number":"COO-3382-23. DOE/EV/03382-T1","publisher":"US Department of Energy","publisher-place":"Washington, DC","source":"Google Scholar","title":"Radioactivity Studies. Final Report","author":[{"family":"Cohen","given":"N."}],"issued":{"date-parts":[["1987"]]}}},{"id":4929,"uris":["http://zotero.org/groups/2470620/items/UKC8KWTM"],"itemData":{"id":4929,"type":"chapter","container-title":"Speciation of fission and activation products in the environment","edition":"Elsevier Applied Science Publishers","event-place":"London, UK","publisher-place":"London, UK","source":"Google Scholar","title":"Metabolism and gastrointestinal absorption of neptunium and protactinium in adult baboons","author":[{"family":"Ralston","given":"L. G."},{"family":"Cohen","given":"N."},{"family":"Bhattacharyya","given":"M. H."},{"family":"Larsen","given":"R. P."},{"family":"Ayres","given":"L."},{"family":"Oldham","given":"R. D."},{"family":"Moretti","given":"E. S."}],"editor":[{"family":"Bulman","given":"R.A."},{"family":"Cooper","given":"J.R."}],"issued":{"date-parts":[["1986"]]}}}],"schema":"https://github.com/citation-style-language/schema/raw/master/csl-citation.json"} </w:instrText>
      </w:r>
      <w:r w:rsidR="00DB4551" w:rsidRPr="00972C81">
        <w:rPr>
          <w:noProof/>
        </w:rPr>
        <w:fldChar w:fldCharType="separate"/>
      </w:r>
      <w:r w:rsidR="000F5D57" w:rsidRPr="00972C81">
        <w:rPr>
          <w:noProof/>
          <w:szCs w:val="24"/>
        </w:rPr>
        <w:t>(Cohen, 1987; Ralston et al., 198</w:t>
      </w:r>
      <w:r w:rsidR="000F5D57" w:rsidRPr="00A3213E">
        <w:rPr>
          <w:noProof/>
          <w:szCs w:val="24"/>
          <w:lang w:val="fr-FR"/>
        </w:rPr>
        <w:t>6)</w:t>
      </w:r>
      <w:r w:rsidR="00DB4551" w:rsidRPr="00972C81">
        <w:rPr>
          <w:noProof/>
        </w:rPr>
        <w:fldChar w:fldCharType="end"/>
      </w:r>
      <w:r w:rsidRPr="00A3213E">
        <w:rPr>
          <w:noProof/>
          <w:lang w:val="fr-FR"/>
        </w:rPr>
        <w:t>, monkeys</w:t>
      </w:r>
      <w:r w:rsidR="00DB4551" w:rsidRPr="00A3213E">
        <w:rPr>
          <w:noProof/>
          <w:lang w:val="fr-FR"/>
        </w:rPr>
        <w:t xml:space="preserve"> </w:t>
      </w:r>
      <w:r w:rsidR="00E45155" w:rsidRPr="00972C81">
        <w:rPr>
          <w:noProof/>
        </w:rPr>
        <w:fldChar w:fldCharType="begin"/>
      </w:r>
      <w:r w:rsidR="000F5D57" w:rsidRPr="00A3213E">
        <w:rPr>
          <w:noProof/>
          <w:lang w:val="fr-FR"/>
        </w:rPr>
        <w:instrText xml:space="preserve"> ADDIN ZOTERO_ITEM CSL_CITATION {"citationID":"alr70kquvl","properties":{"formattedCitation":"(Durbin et al., 1987, 1989)","plainCitation":"(Durbin et al., 1987, 1989)","noteIndex":0},"citationItems":[{"id":5070,"uris":["http://zotero.org/groups/2470620/items/KFA7UKE8"],"itemData":{"id":5070,"type":"report","collection-title":"Biology and medicine division annual report 1986","event-place":"Berkeley, California","number":"LBL-22300","publisher":"Lawrence Berkeley Laboratory, Univ. of California","publisher-place":"Berkeley, California","source":"Google Scholar","title":"Initial distribution of neptunium-237 in a monkey","author":[{"family":"Durbin","given":"P. W."},{"family":"Jeung","given":"N."},{"family":"Bucher","given":"J. J."}],"issued":{"date-parts":[["1987"]]}}},{"id":5071,"uris":["http://zotero.org/groups/2470620/items/5EHPF6FE"],"itemData":{"id":5071,"type":"paper-conference","container-title":"Thirty-fourth Annual Meeting of the Health Physics Society","event-place":"Albuquerque, New Mexico","page":"25–29","publisher-place":"Albuquerque, New Mexico","source":"Google Scholar","title":"Distribution and excretion of neptunium in an adult cynomolgus monkey two years after intramuscular injection of 237 NpO 2 NO 3","author":[{"family":"Durbin","given":"P. W."},{"family":"Schmidt","given":"C. T."},{"family":"Jeung","given":"N."}],"iss</w:instrText>
      </w:r>
      <w:r w:rsidR="000F5D57" w:rsidRPr="0034590A">
        <w:rPr>
          <w:noProof/>
          <w:lang w:val="fr-FR"/>
        </w:rPr>
        <w:instrText xml:space="preserve">ued":{"date-parts":[["1989"]]}}}],"schema":"https://github.com/citation-style-language/schema/raw/master/csl-citation.json"} </w:instrText>
      </w:r>
      <w:r w:rsidR="00E45155" w:rsidRPr="00972C81">
        <w:rPr>
          <w:noProof/>
        </w:rPr>
        <w:fldChar w:fldCharType="separate"/>
      </w:r>
      <w:r w:rsidR="000F5D57" w:rsidRPr="0034590A">
        <w:rPr>
          <w:noProof/>
          <w:szCs w:val="24"/>
          <w:lang w:val="fr-FR"/>
        </w:rPr>
        <w:t>(Durbin et al., 1987, 1989)</w:t>
      </w:r>
      <w:r w:rsidR="00E45155" w:rsidRPr="00972C81">
        <w:rPr>
          <w:noProof/>
        </w:rPr>
        <w:fldChar w:fldCharType="end"/>
      </w:r>
      <w:r w:rsidRPr="0034590A">
        <w:rPr>
          <w:noProof/>
          <w:lang w:val="fr-FR"/>
        </w:rPr>
        <w:t xml:space="preserve">, tamarins </w:t>
      </w:r>
      <w:r w:rsidR="00E45155" w:rsidRPr="00972C81">
        <w:rPr>
          <w:noProof/>
        </w:rPr>
        <w:fldChar w:fldCharType="begin"/>
      </w:r>
      <w:r w:rsidR="000F5D57" w:rsidRPr="0034590A">
        <w:rPr>
          <w:noProof/>
          <w:lang w:val="fr-FR"/>
        </w:rPr>
        <w:instrText xml:space="preserve"> ADDIN ZOTERO_ITEM CSL_CITATION {"citationID":"a1j4s89tfbv","properties":{"formattedCitation":"(Cohen, 1987)","plainCitation":"(Cohen, 1987)","noteIndex":0},"citationItems":[{"id":5069,"uris":["http://zotero.org/groups/2470620/items/VGUQ7YN5"],"itemData":{"id":5069,"type":"report","event-place":"Washington, DC","number":"COO-3382-23. DOE/EV/03382-T1","publisher":"US Department of Energy","publisher-place":"Washington, DC","source":"Google Scholar","title":"Radioactivity Studies. Final Report","author":[{"family":"Cohen","given":"N."}],"issued":{"date-parts":[["1987"]]}}}],"schema":"https://github.com/citation-style-language/schema/raw/master/csl-citation.json"} </w:instrText>
      </w:r>
      <w:r w:rsidR="00E45155" w:rsidRPr="00972C81">
        <w:rPr>
          <w:noProof/>
        </w:rPr>
        <w:fldChar w:fldCharType="separate"/>
      </w:r>
      <w:r w:rsidR="000F5D57" w:rsidRPr="0034590A">
        <w:rPr>
          <w:noProof/>
          <w:szCs w:val="24"/>
          <w:lang w:val="fr-FR"/>
        </w:rPr>
        <w:t>(Cohen, 1987)</w:t>
      </w:r>
      <w:r w:rsidR="00E45155" w:rsidRPr="00972C81">
        <w:rPr>
          <w:noProof/>
        </w:rPr>
        <w:fldChar w:fldCharType="end"/>
      </w:r>
      <w:r w:rsidRPr="0034590A">
        <w:rPr>
          <w:noProof/>
          <w:lang w:val="fr-FR"/>
        </w:rPr>
        <w:t xml:space="preserve">, swine </w:t>
      </w:r>
      <w:r w:rsidR="00E45155" w:rsidRPr="00972C81">
        <w:rPr>
          <w:noProof/>
        </w:rPr>
        <w:fldChar w:fldCharType="begin"/>
      </w:r>
      <w:r w:rsidR="000F5D57" w:rsidRPr="0034590A">
        <w:rPr>
          <w:noProof/>
          <w:lang w:val="fr-FR"/>
        </w:rPr>
        <w:instrText xml:space="preserve"> ADDIN ZOTERO_ITEM CSL_CITATION {"citationID":"a2l438hueem","properties":{"formattedCitation":"(Sullivan and Gorham, 1982)","plainCitation":"(Sullivan and Gorham, 1982)","noteIndex":0},"citationItems":[{"id":4987,"uris":["http://zotero.org/groups/2470620/items/H967I9UG"],"itemData":{"id":4987,"type":"article-journal","container-title":"Health Physics","DOI":"10.1097/00004032-198210000-00005","issue":"4","page":"509-519","title":"Further studies on the absorption of actinide elements from the gastrointestinal tract of neonatal animals","volume":"43","author":[{"family":"Sullivan","given":"M.F."},{"family":"Gorham","given":"L.S."}],"issued":{"date-parts":[["1982"]]}}}],"schema":"https://github.com/citation-style-language/schema/raw/master/csl-citation.json"} </w:instrText>
      </w:r>
      <w:r w:rsidR="00E45155" w:rsidRPr="00972C81">
        <w:rPr>
          <w:noProof/>
        </w:rPr>
        <w:fldChar w:fldCharType="separate"/>
      </w:r>
      <w:r w:rsidR="000F5D57" w:rsidRPr="0034590A">
        <w:rPr>
          <w:noProof/>
          <w:szCs w:val="24"/>
          <w:lang w:val="fr-FR"/>
        </w:rPr>
        <w:t>(Sullivan and Gorham, 1982)</w:t>
      </w:r>
      <w:r w:rsidR="00E45155" w:rsidRPr="00972C81">
        <w:rPr>
          <w:noProof/>
        </w:rPr>
        <w:fldChar w:fldCharType="end"/>
      </w:r>
      <w:r w:rsidRPr="0034590A">
        <w:rPr>
          <w:noProof/>
          <w:lang w:val="fr-FR"/>
        </w:rPr>
        <w:t xml:space="preserve">, rabbits </w:t>
      </w:r>
      <w:r w:rsidR="00E45155" w:rsidRPr="00972C81">
        <w:rPr>
          <w:noProof/>
        </w:rPr>
        <w:fldChar w:fldCharType="begin"/>
      </w:r>
      <w:r w:rsidR="000F5D57" w:rsidRPr="0034590A">
        <w:rPr>
          <w:noProof/>
          <w:lang w:val="fr-FR"/>
        </w:rPr>
        <w:instrText xml:space="preserve"> ADDIN ZOTERO_ITEM CSL_CITATION {"citationID":"a4mg61avvb","properties":{"formattedCitation":"(Buldakov et al., 1972)","plainCitation":"(Buldakov et al., 1972)","noteIndex":0},"citationItems":[{"id":5072,"uris":["http://zotero.org/groups/2470620/items/AIDBLDFZ"],"itemData":{"id":5072,"type":"chapter","container-title":"Biological effects of radiation from external and internal sources","event-place":"Moscow, Russia","note":"page: 359–367\ncontainer-title: Biological Effects of Radiation from External and Internal Sources","page":"359-367","publisher":"Meditsina","publisher-place":"Moscow, Russia","source":"Google Scholar","title":"Subcutaneous administration of transuranic elements (neptunium 237, plutonium 239, and americium 241)","author":[{"family":"Buldakov","given":"L. A."},{"family":"Nifatov","given":"A. P."},{"family":"Filippova","given":"L. G."},{"family":"Khalturin","given":"G. V."}],"editor":[{"family":"Moskalev","given":"Y.I."},{"family":"Kalistratova","given":"V.S."}],"issued":{"date-parts":[["1972"]]}}}],"schema":"https://github.com/citation-style-language/schema/raw/master/csl-citation.json"} </w:instrText>
      </w:r>
      <w:r w:rsidR="00E45155" w:rsidRPr="00972C81">
        <w:rPr>
          <w:noProof/>
        </w:rPr>
        <w:fldChar w:fldCharType="separate"/>
      </w:r>
      <w:r w:rsidR="000F5D57" w:rsidRPr="0034590A">
        <w:rPr>
          <w:noProof/>
          <w:szCs w:val="24"/>
          <w:lang w:val="fr-FR"/>
        </w:rPr>
        <w:t>(Buldakov et al., 1972)</w:t>
      </w:r>
      <w:r w:rsidR="00E45155" w:rsidRPr="00972C81">
        <w:rPr>
          <w:noProof/>
        </w:rPr>
        <w:fldChar w:fldCharType="end"/>
      </w:r>
      <w:r w:rsidRPr="0034590A">
        <w:rPr>
          <w:noProof/>
          <w:lang w:val="fr-FR"/>
        </w:rPr>
        <w:t>, and rodents</w:t>
      </w:r>
      <w:r w:rsidR="00E45155" w:rsidRPr="0034590A">
        <w:rPr>
          <w:noProof/>
          <w:lang w:val="fr-FR"/>
        </w:rPr>
        <w:t xml:space="preserve"> </w:t>
      </w:r>
      <w:r w:rsidR="00DE08EF" w:rsidRPr="00972C81">
        <w:rPr>
          <w:noProof/>
        </w:rPr>
        <w:fldChar w:fldCharType="begin"/>
      </w:r>
      <w:r w:rsidR="00612860" w:rsidRPr="0034590A">
        <w:rPr>
          <w:noProof/>
          <w:lang w:val="fr-FR"/>
        </w:rPr>
        <w:instrText xml:space="preserve"> ADDIN ZOTERO_ITEM CSL_CITATION {"citationID":"a15qhq38961","properties":{"formattedCitation":"(Ballou et al., 1962; Lyubchanskiy and Levdik, 1972; Morin et al., 1973; Moskalev et al., 1972; Paquet et al., 1996, 2000; Ramounet et al., 1998; Sontag et al., 1997; Volf and Wirth, 1986; Wirth and Vol</w:instrText>
      </w:r>
      <w:r w:rsidR="00612860" w:rsidRPr="00972C81">
        <w:rPr>
          <w:noProof/>
        </w:rPr>
        <w:instrText>f, 1984)","plainCitation":"(Ballou et al., 1962; Lyubchanskiy and Levdik, 1972; Morin et al., 1973; Moskalev et al., 1972; Paquet et al., 1996, 2000; Ramounet et al., 1998; Sontag et al., 1997; Volf and Wirth, 1986; Wirth and Volf, 1984)","noteIndex":0},"citationItems":[{"id":5073,"uris":["http://zotero.org/groups/2470620/items/BW3VPV4K"],"itemData":{"id":5073,"type":"article-journal","container-title":"Health Physics","DOI":"10.1097/00004032-196212000-00018","ISSN":"0017-9078","journalAbbreviation":"Health Phys","language":"eng","note":"PMID: 13966181","page":"685-688","source":"PubMed","title":"Studies with neptunium in the rat","volume":"8","author":[{"family":"Ballou","given":"J. E."},{"family":"Bair","given":"W. J."},{"family":"Case","given":"A. C."},{"family":"Thompson","given":"R. C."}],"issued":{"date-parts":[["1962",12]]}}},{"id":5076,"uris":["http://zotero.org/groups/2470620/items/DLL2F8QS"],"itemData":{"id":5076,"type":"chapter","container-title":"Biological Effects of Radiation from External and Internal Sources. Translated in U.S. Atomic Energy Commission Document AEC-tr-7457","event-place":"Moscow, Russia","page":"204-214","publisher":"Meditsina","publisher-place":"Moscow, Russia","source":"Google Scholar","title":"Neptunium 237 Metabolism after inhalation thereof","author":[{"family":"Lyubchanskiy","given":"E.R."},{"family":"Levdik","given":"T.I."}],"editor":[{"family":"Moskalev","given":"Y.I."},{"family":"Kalistratova","given":"V.S."}],"issued":{"date-parts":[["1972"]]}}},{"id":5077,"uris":["http://zotero.org/groups/2470620/items/YBASK2VU"],"itemData":{"id":5077,"type":"article-journal","container-title":"Health Physics","DOI":"10.1097/00004032-197303000-00006","ISSN":"0017-9078","issue":"3","journalAbbreviation":"Health Phys","language":"eng","note":"PMID: 4691639","page":"311-315","source":"PubMed","title":"The behavior of 237 Np in the rat","volume":"24","author":[{"family":"Morin","given":"M."},{"family":"Nenot","given":"J. C."},{"family":"Lafuma","given":"J."}],"issued":{"date-parts":[["1973",3]]}}},{"id":5075,"uris":["http://zotero.org/groups/2470620/items/2T8S8R4M"],"itemData":{"id":5075,"type":"chapter","container-title":"Biological Effects of Radiation from External and Internal Sources. Translated in U.S. Atomic Energy Commission Document AEC-tr-7457","event-place":"Moscow, Russia","page":"330-341","publisher":"Meditsina","publisher-place":"Moscow, Russia","source":"Google Scholar","title":"Distribution and biological effects of neptunium-237","author":[{"family":"Moskalev","given":"Yu I."},{"family":"Zalikin","given":"G. A."},{"family":"Stepanov","given":"V. S."}],"editor":[{"family":"Moskalev","given":"Y.I."},{"family":"Kalistratova","given":"V.S."}],"issued":{"date-parts":[["1972"]]}}},{"id":5083,"uris":["http://zotero.org/groups/2470620/items/6FGRUIQV"],"itemData":{"id":5083,"type":"article-journal","abstract":"The present investigation was aimed at establishing the distribution of neptunium in blood and liver cells as a function of the mass and chemical form of the radionuclide injected. Four groups of rats received intravenous injections of 237Np(V), 237Np(IV), 239Np(V) or 239Np(IV). Twenty-four hours after injection of the radionuclide, subcellular structures of the liver were separated by ultracentrifugation and serum and liver cytosol were subjected to gel permeation chromatography. The intracellular distribution of neptunium in liver depends on the mass of the radionuclide injected; the relative specific activity for 237Np compared to 239Np was 2 in nuclei and 0.5-0.9 in cytosol. By contrast, the initial chemical form of the radionuclide has no significant effect on its intracellular distribution. In cytosol, neptunium was bound mainly by two proteins of molecular weight 450 and 200 kDa, respectively. The former was identified as ferritin, but the latter remains unidentified. In this compartment, no effect of mass or chemical form was seen. In blood, the bulk of the radionuclide was bound to transferrin whatever the mass and initial chemical form injected.","container-title":"Radiation Research","ISSN":"0033-7587","issue":"3","journalAbbreviation":"Radiat Res","language":"eng","note":"PMID: 8752309","page":"306-312","source":"PubMed","title":"The effect of the mass and initial chemical form of neptunium on its molecular associations in blood and liver","volume":"146","author":[{"family":"Paquet","given":"F."},{"family":"Ramounet","given":"B."},{"family":"Métivier","given":"H."},{"family":"Taylor","given":"D. M."}],"issued":{"date-parts":[["1996",9]]}}},{"id":5085,"uris":["http://zotero.org/groups/2470620/items/ANJ7WNWY"],"itemData":{"id":5085,"type":"article-journal","abstract":"PURPOSE: The ligand 3,4,3-Li(1,2-HOPO) was tested for Np removal after intramuscular injection of 237Np nitrate in rats.\nMATERIALS AND METHODS: Two experiments were performed, one with simultaneous injection of neptunium and LIHOPO at dosages ranging from 3 to 200 micromol kg(-1) and the other with delayed administration of LIHOPO 30 micromol kg(-1) from 5 min to 30 min after Np injection.\nRESULTS: The data obtained after simultaneous injections showed that the ligand dosage effectiveness was not linear and depended on the tissues being considered. For bones, the best results were obtained with 200 micromol kg(-1) LIHOPO, where retention was reduced to 11% of controls. Maximum efficacies for removal in liver and kidney were obtained with 30 micromol kg(-1) LIHOPO, where retention was reduced to 39% and 1.6% of controls, respectively. At higher dosages, LIHOPO seemed to have a reverse effect on these tissues, demonstrated by a significant accumulation of the radionuclide. The delayed administration of LIHOPO dramatically decreased its efficacy. When administered 5 min after Np, LIHOPO was still efficient (60%, 37%, 7% of controls in bone, liver, kidneys, respectively) but not when treatment was delayed to 30 min.\nCONCLUSIONS: These results demonstrated that LIHOPO was able to complex Np at the wound site but not after translocation to blood.","container-title":"International Journal of Radiation Biology","DOI":"10.1080/095530000139078","ISSN":"0955-3002","issue":"1","journalAbbreviation":"Int J Radiat Biol","language":"eng","note":"PMID: 10665964","page":"113-117","source":"PubMed","title":"Efficacy of 3,4,3-LIHOPO for reducing neptunium retention in the rat after simulated wound contamination","volume":"76","author":[{"family":"Paquet","given":"F."},{"family":"Montègue","given":"B."},{"family":"Ansoborlo","given":"E."},{"family":"Hengé-Napoli","given":"M. H."},{"family":"Houpert","given":"P."},{"family":"Durbin","given":"P. W."},{"family":"Raymond","given":"K. N."}],"issued":{"date-parts":[["2000",1]]}}},{"id":5087,"uris":["http://zotero.org/groups/2470620/items/N5GI3RXN"],"itemData":{"id":5087,"type":"article-journal","container-title":"Journal of alloys and compounds","note":"publisher: Elsevier","page":"103–105","source":"Google Scholar","title":"Early biokinetics of actinides after intravenous administration of soluble forms of Pu (IV), Np (IV) and Np (V)","volume":"271","author":[{"family":"Ramounet","given":"B."},{"family":"Matton","given":"S."},{"family":"Grillon","given":"G."},{"family":"Fritsch","given":"P."}],"issued":{"date-parts":[["1998"]]}}},{"id":5089,"uris":["http://zotero.org/groups/2470620/items/VBQDVKJA"],"itemData":{"id":5089,"type":"article-journal","abstract":"Female Sprague-Dawley rats, 10-12-week old and weighing about 240 g, were injected intravenously with 237Np-nitrate. In the toxicological study 77 rats served as controls and 28 rats per group received single doses of 5.2 and 26 kBq, respectively, per kg body weight. In addition, 12 rats of each injection level, sacrificed at defined points in time, were used for dosimetric studies. During the whole life-span the body weight and 237Np whole body-content of each animal were recorded. After death a detailed pathological examination was made of each animal in the cronical study. One day after injection 48% of the injected activity was in the skeleton, 9.3% in the liver, 3% in the kidneys and 4.4% in the rest of the organs. Whereas in all organs the activity decreased very fast, the half-life in the skeleton was about 1400 days. The bodyweights were comparable in the three groups, but the life span decreased from 800 days (control group) to 644 days after injection (26 kBq kg-1 body weight group). The main lesions in the female rats were mammary tumors (73%) and pituitary gland tumors (52%). With increasing activity the incidence of pituary gland tumors decreased and that of osteosarcomas increased from 1.3% (control group) to 32% (26 kBq kg-1 body weight group), whereas the remaining lesions showed no influence on the activity.","container-title":"Human &amp; Experimental Toxicology","DOI":"10.1177/096032719701600204","ISSN":"0960-3271","issue":"2","journalAbbreviation":"Hum Exp Toxicol","language":"eng","note":"PMID: 9051413","page":"89-100","source":"PubMed","title":"Dosimetry and pathology of 237Np in female rats","volume":"16","author":[{"family":"Sontag","given":"W."},{"family":"Wirth","given":"R."},{"family":"Luz","given":"A."},{"family":"Schäffer","given":"E."},{"family":"Volf","given":"V."}],"issued":{"date-parts":[["1997",2]]}}},{"id":5081,"uris":["http://zotero.org/groups/2470620/items/V8Y6MFW8"],"itemData":{"id":5081,"type":"article-journal","abstract":"It was demonstrated in rats that it is possible to reduce the retention of 239Np in all body tissues by an early combined treatment with small doses of DTPA and DFOA. The content of 239Np can be decreased in soft tissues even if treatment is delayed. Promptly administered LICAM(C) proved more effective than the above chelate combination in reducing 239Np retention in the bones but increased that in the muscles and especially in the kidneys. This side effect of LICAM(C) could be partly prevented by simultaneous treatment with DTPA.","container-title":"International Journal of Radiation Biology and Related Studies in Physics, Chemistry, and Medicine","DOI":"10.1080/09553008614551371","ISSN":"0020-7616","issue":"6","journalAbbreviation":"Int J Radiat Biol Relat Stud Phys Chem Med","language":"eng","note":"PMID: 3491804","page":"955-959","source":"PubMed","title":"Effective chelation therapy after incorporation of neptunium-239 in rats","volume":"50","author":[{"family":"Volf","given":"V."},{"family":"Wirth","given":"R."}],"issued":{"date-parts":[["1986",12]]}}},{"id":5079,"uris":["http://zotero.org/groups/2470620/items/7G4LHIBM"],"itemData":{"id":5079,"type":"article-journal","abstract":"This interim report summarizes the results of observations during the first year after a single injection of 237Np nitrate (0.2 or 1.0 mg/kg body weight) into adult female rats and further preliminary data obtained with young animals. The retention of 237Np was followed by whole body counting and serial sacrifice of groups of animals. The retention data could be fitted to three-component exponentia</w:instrText>
      </w:r>
      <w:r w:rsidR="00612860" w:rsidRPr="0034590A">
        <w:rPr>
          <w:noProof/>
          <w:lang w:val="fr-FR"/>
        </w:rPr>
        <w:instrText xml:space="preserve">l equations which show no major differences between the two 237Np dose levels. The half-times and extrapolated initial fractions calculated from the first two exponential terms indicate that one fraction, representing about 40 per cent of the injected 237Np was excreted within the first 5 days and an additional 15 per cent within the first 5 months, while the rest was excreted with a half-time of about 3.5 years. This final long term component is assumed to indicate the rate of loss of 237Np from the skeletal compartment. In young animals both whole-body and skeletal retention of 237Np during the first 5 months of observation was about 50 per cent higher than in the adults. Several soft tissue tumours, mostly mammary tumours, have appeared to approximately the same extent in both control and 237Np treated adult rats but no osteosarcomas were detected up to 15 months after injection of 237Np.","container-title":"International Journal of Radiation Biology and Related Studies in Physics, Chemistry, and Medicine","DOI":"10.1080/09553008414552021","ISSN":"0020-7616","issue":"6","journalAbbreviation":"Int J Radiat Biol Relat Stud Phys Chem Med","language":"eng","note":"PMID: 6335500","page":"787-792","source":"PubMed","title":"Long term retention of 237Np in rats","volume":"46","author":[{"family":"Wirth","given":"R."},{"family":"Volf","given":"V."}],"issued":{"date-parts":[["1984",12]]}}}],"schema":"https://github.com/citation-style-language/schema/raw/master/csl-citation.json"} </w:instrText>
      </w:r>
      <w:r w:rsidR="00DE08EF" w:rsidRPr="00972C81">
        <w:rPr>
          <w:noProof/>
        </w:rPr>
        <w:fldChar w:fldCharType="separate"/>
      </w:r>
      <w:r w:rsidR="000F5D57" w:rsidRPr="0034590A">
        <w:rPr>
          <w:noProof/>
          <w:szCs w:val="24"/>
          <w:lang w:val="fr-FR"/>
        </w:rPr>
        <w:t>(Ballou et al., 1962; Lyubchanskiy and Levdik, 1972; Morin et al., 1973; Moskalev et al., 1972; Paquet et al., 1996, 2000; Ramounet et al., 1998; Sontag et al., 1997; Volf and Wirth, 1986; Wirth and Volf, 1984)</w:t>
      </w:r>
      <w:r w:rsidR="00DE08EF" w:rsidRPr="00972C81">
        <w:rPr>
          <w:noProof/>
        </w:rPr>
        <w:fldChar w:fldCharType="end"/>
      </w:r>
      <w:r w:rsidRPr="0034590A">
        <w:rPr>
          <w:noProof/>
          <w:lang w:val="fr-FR"/>
        </w:rPr>
        <w:t xml:space="preserve">. </w:t>
      </w:r>
      <w:r w:rsidRPr="00972C81">
        <w:rPr>
          <w:noProof/>
        </w:rPr>
        <w:t>Results of animal studies indicate the following typical initial distribution of neptunium in adults: about half of absorbed or injected neptunium is deposited in the skeleton, 10% or less is deposited in the liver, about 5% is deposited in kidneys and other soft tissues, a small percentage is excreted in feces, and the remainder is rapidly excreted in urine.</w:t>
      </w:r>
    </w:p>
    <w:p w14:paraId="7F265C70" w14:textId="1E1E5EC8" w:rsidR="00D776FB" w:rsidRPr="00972C81" w:rsidRDefault="00D776FB" w:rsidP="001C4A92">
      <w:pPr>
        <w:pStyle w:val="Annalstext"/>
        <w:rPr>
          <w:noProof/>
        </w:rPr>
      </w:pPr>
      <w:r w:rsidRPr="00972C81">
        <w:rPr>
          <w:noProof/>
        </w:rPr>
        <w:t xml:space="preserve">The externally viewed removal half-time of neptunium from the liver is no more than a few weeks in mice and rats and a few months in non-human primates </w:t>
      </w:r>
      <w:r w:rsidR="00DE08EF" w:rsidRPr="00972C81">
        <w:rPr>
          <w:noProof/>
        </w:rPr>
        <w:fldChar w:fldCharType="begin"/>
      </w:r>
      <w:r w:rsidR="000F5D57" w:rsidRPr="00972C81">
        <w:rPr>
          <w:noProof/>
        </w:rPr>
        <w:instrText xml:space="preserve"> ADDIN ZOTERO_ITEM CSL_CITATION {"citationID":"a1aco5c5otq","properties":{"formattedCitation":"(Cohen, 1987; Durbin et al., 1989)","plainCitation":"(Cohen, 1987; Durbin et al., 1989)","noteIndex":0},"citationItems":[{"id":5069,"uris":["http://zotero.org/groups/2470620/items/VGUQ7YN5"],"itemData":{"id":5069,"type":"report","event-place":"Washington, DC","number":"COO-3382-23. DOE/EV/03382-T1","publisher":"US Department of Energy","publisher-place":"Washington, DC","source":"Google Scholar","title":"Radioactivity Studies. Final Report","author":[{"family":"Cohen","given":"N."}],"issued":{"date-parts":[["1987"]]}}},{"id":5071,"uris":["http://zotero.org/groups/2470620/items/5EHPF6FE"],"itemData":{"id":5071,"type":"paper-conference","container-title":"Thirty-fourth Annual Meeting of the Health Physics Society","event-place":"Albuquerque, New Mexico","page":"25–29","publisher-place":"Albuquerque, New Mexico","source":"Google Scholar","title":"Distribution and excretion of neptunium in an adult cynomolgus monkey two years after intramuscular injection of 237 NpO 2 NO 3","author":[{"family":"Durbin","given":"P. W."},{"family":"Schmidt","given":"C. T."},{"family":"Jeung","given":"N."}],"issued":{"date-parts":[["1989"]]}}}],"schema":"https://github.com/citation-style-language/schema/raw/master/csl-citation.json"} </w:instrText>
      </w:r>
      <w:r w:rsidR="00DE08EF" w:rsidRPr="00972C81">
        <w:rPr>
          <w:noProof/>
        </w:rPr>
        <w:fldChar w:fldCharType="separate"/>
      </w:r>
      <w:r w:rsidR="000F5D57" w:rsidRPr="00972C81">
        <w:rPr>
          <w:noProof/>
          <w:szCs w:val="24"/>
        </w:rPr>
        <w:t>(Cohen, 1987; Durbin et al., 1989)</w:t>
      </w:r>
      <w:r w:rsidR="00DE08EF" w:rsidRPr="00972C81">
        <w:rPr>
          <w:noProof/>
        </w:rPr>
        <w:fldChar w:fldCharType="end"/>
      </w:r>
      <w:r w:rsidRPr="00972C81">
        <w:rPr>
          <w:noProof/>
        </w:rPr>
        <w:t xml:space="preserve">, but these animals generally lose actinides from the liver at a much greater rate </w:t>
      </w:r>
      <w:r w:rsidRPr="00972C81">
        <w:rPr>
          <w:noProof/>
        </w:rPr>
        <w:lastRenderedPageBreak/>
        <w:t xml:space="preserve">than do humans. Data for rabbits injected subcutaneously with neptunium </w:t>
      </w:r>
      <w:r w:rsidR="00DE08EF" w:rsidRPr="00972C81">
        <w:rPr>
          <w:noProof/>
        </w:rPr>
        <w:fldChar w:fldCharType="begin"/>
      </w:r>
      <w:r w:rsidR="000F5D57" w:rsidRPr="00972C81">
        <w:rPr>
          <w:noProof/>
        </w:rPr>
        <w:instrText xml:space="preserve"> ADDIN ZOTERO_ITEM CSL_CITATION {"citationID":"a25obc890sr","properties":{"formattedCitation":"(Buldakov et al., 1972)","plainCitation":"(Buldakov et al., 1972)","noteIndex":0},"citationItems":[{"id":5072,"uris":["http://zotero.org/groups/2470620/items/AIDBLDFZ"],"itemData":{"id":5072,"type":"chapter","container-title":"Biological effects of radiation from external and internal sources","event-place":"Moscow, Russia","note":"page: 359–367\ncontainer-title: Biological Effects of Radiation from External and Internal Sources","page":"359-367","publisher":"Meditsina","publisher-place":"Moscow, Russia","source":"Google Scholar","title":"Subcutaneous administration of transuranic elements (neptunium 237, plutonium 239, and americium 241)","author":[{"family":"Buldakov","given":"L. A."},{"family":"Nifatov","given":"A. P."},{"family":"Filippova","given":"L. G."},{"family":"Khalturin","given":"G. V."}],"editor":[{"family":"Moskalev","given":"Y.I."},{"family":"Kalistratova","given":"V.S."}],"issued":{"date-parts":[["1972"]]}}}],"schema":"https://github.com/citation-style-language/schema/raw/master/csl-citation.json"} </w:instrText>
      </w:r>
      <w:r w:rsidR="00DE08EF" w:rsidRPr="00972C81">
        <w:rPr>
          <w:noProof/>
        </w:rPr>
        <w:fldChar w:fldCharType="separate"/>
      </w:r>
      <w:r w:rsidR="000F5D57" w:rsidRPr="00972C81">
        <w:rPr>
          <w:noProof/>
          <w:szCs w:val="24"/>
        </w:rPr>
        <w:t>(Buldakov et al., 1972)</w:t>
      </w:r>
      <w:r w:rsidR="00DE08EF" w:rsidRPr="00972C81">
        <w:rPr>
          <w:noProof/>
        </w:rPr>
        <w:fldChar w:fldCharType="end"/>
      </w:r>
      <w:r w:rsidRPr="00972C81">
        <w:rPr>
          <w:noProof/>
        </w:rPr>
        <w:t xml:space="preserve"> are consistent with a rate of loss from liver to blood on the order of 0.5–1.0 y</w:t>
      </w:r>
      <w:r w:rsidRPr="00972C81">
        <w:rPr>
          <w:noProof/>
          <w:color w:val="000000" w:themeColor="text1"/>
          <w:vertAlign w:val="superscript"/>
        </w:rPr>
        <w:t>–</w:t>
      </w:r>
      <w:r w:rsidRPr="00972C81">
        <w:rPr>
          <w:noProof/>
          <w:vertAlign w:val="superscript"/>
        </w:rPr>
        <w:t>1</w:t>
      </w:r>
      <w:r w:rsidRPr="00972C81">
        <w:rPr>
          <w:noProof/>
        </w:rPr>
        <w:t xml:space="preserve">. Comparative environmental and human autopsy data for </w:t>
      </w:r>
      <w:r w:rsidRPr="00972C81">
        <w:rPr>
          <w:noProof/>
          <w:vertAlign w:val="superscript"/>
        </w:rPr>
        <w:t>237</w:t>
      </w:r>
      <w:r w:rsidRPr="00972C81">
        <w:rPr>
          <w:noProof/>
        </w:rPr>
        <w:t xml:space="preserve">Np and </w:t>
      </w:r>
      <w:r w:rsidRPr="00972C81">
        <w:rPr>
          <w:noProof/>
          <w:vertAlign w:val="superscript"/>
        </w:rPr>
        <w:t>239</w:t>
      </w:r>
      <w:r w:rsidRPr="00972C81">
        <w:rPr>
          <w:noProof/>
        </w:rPr>
        <w:t xml:space="preserve">Pu </w:t>
      </w:r>
      <w:r w:rsidR="00DE08EF" w:rsidRPr="00972C81">
        <w:rPr>
          <w:noProof/>
        </w:rPr>
        <w:fldChar w:fldCharType="begin"/>
      </w:r>
      <w:r w:rsidR="000F5D57" w:rsidRPr="00972C81">
        <w:rPr>
          <w:noProof/>
        </w:rPr>
        <w:instrText xml:space="preserve"> ADDIN ZOTERO_ITEM CSL_CITATION {"citationID":"ajjetol680","properties":{"formattedCitation":"(Efurd et al., 1984, 1986)","plainCitation":"(Efurd et al., 1984, 1986)","noteIndex":0},"citationItems":[{"id":5093,"uris":["http://zotero.org/groups/2470620/items/T8SX5MHG"],"itemData":{"id":5093,"type":"article-journal","container-title":"Health Physics","ISSN":"0017-9078","issue":"5","journalAbbreviation":"Health Phys","language":"eng","note":"PMID: 6511421","page":"786-787","source":"PubMed","title":"An estimate of 237Np production during atmospheric testing","volume":"47","author":[{"family":"Efurd","given":"D. W."},{"family":"Knobeloch","given":"G. W."},{"family":"Perrin","given":"R. E."},{"family":"Barr","given":"D. W."}],"issued":{"date-parts":[["1984",11]]}}},{"id":5091,"uris":["http://zotero.org/groups/2470620/items/V9GXQJTY"],"itemData":{"id":5091,"type":"article-journal","container-title":"Health Physics","ISSN":"0017-9078","issue":"5","journalAbbreviation":"Health Phys","language":"eng","note":"PMID: 3771228","page":"665-666","source":"PubMed","title":"Neptunium-237 in human tissue samples","volume":"51","author":[{"family":"Efurd","given":"D. W."},{"family":"Perrin","given":"R. E."},{"family":"McInroy","given":"J. F."}],"issued":{"date-parts":[["1986",11]]}}}],"schema":"https://github.com/citation-style-language/schema/raw/master/csl-citation.json"} </w:instrText>
      </w:r>
      <w:r w:rsidR="00DE08EF" w:rsidRPr="00972C81">
        <w:rPr>
          <w:noProof/>
        </w:rPr>
        <w:fldChar w:fldCharType="separate"/>
      </w:r>
      <w:r w:rsidR="000F5D57" w:rsidRPr="00972C81">
        <w:rPr>
          <w:noProof/>
          <w:szCs w:val="24"/>
        </w:rPr>
        <w:t>(Efurd et al., 1984, 1986)</w:t>
      </w:r>
      <w:r w:rsidR="00DE08EF" w:rsidRPr="00972C81">
        <w:rPr>
          <w:noProof/>
        </w:rPr>
        <w:fldChar w:fldCharType="end"/>
      </w:r>
      <w:r w:rsidRPr="00972C81">
        <w:rPr>
          <w:noProof/>
        </w:rPr>
        <w:t xml:space="preserve"> are consistent with the assumption that neptunium is removed at a faster rate than plutonium from the human liver.</w:t>
      </w:r>
    </w:p>
    <w:p w14:paraId="29791A7F" w14:textId="25D2DEBD" w:rsidR="00D776FB" w:rsidRPr="00972C81" w:rsidRDefault="00D776FB" w:rsidP="001C4A92">
      <w:pPr>
        <w:pStyle w:val="Annalstext"/>
        <w:rPr>
          <w:noProof/>
        </w:rPr>
      </w:pPr>
      <w:r w:rsidRPr="00972C81">
        <w:rPr>
          <w:noProof/>
        </w:rPr>
        <w:t xml:space="preserve">The </w:t>
      </w:r>
      <w:r w:rsidR="00BB503E">
        <w:rPr>
          <w:noProof/>
        </w:rPr>
        <w:t>behaviour</w:t>
      </w:r>
      <w:r w:rsidRPr="00972C81">
        <w:rPr>
          <w:noProof/>
        </w:rPr>
        <w:t xml:space="preserve"> of neptunium in the skeleton appears to be similar to that of other actinide elements, excluding uranium. Neptunium is deposited on bone surfaces, and formation of aggregates in bone marrow following bone remodeling is evident </w:t>
      </w:r>
      <w:r w:rsidR="00DE08EF" w:rsidRPr="00972C81">
        <w:rPr>
          <w:noProof/>
        </w:rPr>
        <w:fldChar w:fldCharType="begin"/>
      </w:r>
      <w:r w:rsidR="000F5D57" w:rsidRPr="00972C81">
        <w:rPr>
          <w:noProof/>
        </w:rPr>
        <w:instrText xml:space="preserve"> ADDIN ZOTERO_ITEM CSL_CITATION {"citationID":"ah8t05duf2","properties":{"formattedCitation":"(NCRP, 1988; Nenot et al., 1972)","plainCitation":"(NCRP, 1988; Nenot et al., 1972)","noteIndex":0},"citationItems":[{"id":5097,"uris":["http://zotero.org/groups/2470620/items/PWHKS83N"],"itemData":{"id":5097,"type":"report","event-place":"Bethesda","number":"NCRP Report No. 90","publisher":"National Council on Radiation Protection and Measurements (NCRP)","publisher-place":"Bethesda","title":"Neptunium: Radiation protection considerations. NCRP Report No. 90","author":[{"family":"NCRP","given":""}],"issued":{"date-parts":[["1988"]]}}},{"id":5095,"uris":["http://zotero.org/groups/2470620/items/WPJEH53B"],"itemData":{"id":5095,"type":"article-journal","container-title":"Health Physics","DOI":"10.1097/00004032-197206000-00019","ISSN":"0017-9078","issue":"6","journalAbbreviation":"Health Phys","language":"eng","note":"PMID: 5083996","page":"657-665","source":"PubMed","title":"An experimental comparative study of the behaviour of 237 Np, 238 Pu, 239 Pu, 241 Am and 242 Cm in bone","volume":"22","author":[{"family":"Nenot","given":"J. C."},{"family":"Masse","given":"R."},{"family":"Morin","given":"M."},{"family":"Lafuma","given":"J."}],"issued":{"date-parts":[["1972",6]]}}}],"schema":"https://github.com/citation-style-language/schema/raw/master/csl-citation.json"} </w:instrText>
      </w:r>
      <w:r w:rsidR="00DE08EF" w:rsidRPr="00972C81">
        <w:rPr>
          <w:noProof/>
        </w:rPr>
        <w:fldChar w:fldCharType="separate"/>
      </w:r>
      <w:r w:rsidR="000F5D57" w:rsidRPr="00972C81">
        <w:rPr>
          <w:noProof/>
          <w:szCs w:val="24"/>
        </w:rPr>
        <w:t>(NCRP, 1988; Nenot et al., 1972)</w:t>
      </w:r>
      <w:r w:rsidR="00DE08EF" w:rsidRPr="00972C81">
        <w:rPr>
          <w:noProof/>
        </w:rPr>
        <w:fldChar w:fldCharType="end"/>
      </w:r>
      <w:r w:rsidRPr="00972C81">
        <w:rPr>
          <w:noProof/>
        </w:rPr>
        <w:t xml:space="preserve">. The division between trabecular and cortical portions of the skeleton is closer to that of americium and alkaline earth elements than that of plutonium. </w:t>
      </w:r>
    </w:p>
    <w:p w14:paraId="0D0D4B2C" w14:textId="4A26203B" w:rsidR="00D776FB" w:rsidRPr="00972C81" w:rsidRDefault="00D776FB" w:rsidP="001C4A92">
      <w:pPr>
        <w:pStyle w:val="Annalstext"/>
        <w:rPr>
          <w:noProof/>
        </w:rPr>
      </w:pPr>
      <w:r w:rsidRPr="00972C81">
        <w:rPr>
          <w:noProof/>
        </w:rPr>
        <w:t xml:space="preserve">Following intravenous administration of </w:t>
      </w:r>
      <w:r w:rsidRPr="00972C81">
        <w:rPr>
          <w:noProof/>
          <w:vertAlign w:val="superscript"/>
        </w:rPr>
        <w:t>237</w:t>
      </w:r>
      <w:r w:rsidRPr="00972C81">
        <w:rPr>
          <w:noProof/>
        </w:rPr>
        <w:t xml:space="preserve">Np nitrate to rats, whole-body and skeletal retention during the first 5 months were about 50% higher in young rats than in adults </w:t>
      </w:r>
      <w:r w:rsidR="00DE08EF" w:rsidRPr="00972C81">
        <w:rPr>
          <w:noProof/>
        </w:rPr>
        <w:fldChar w:fldCharType="begin"/>
      </w:r>
      <w:r w:rsidR="000F5D57" w:rsidRPr="00972C81">
        <w:rPr>
          <w:noProof/>
        </w:rPr>
        <w:instrText xml:space="preserve"> ADDIN ZOTERO_ITEM CSL_CITATION {"citationID":"ah06knjesa","properties":{"formattedCitation":"(Wirth and Volf, 1984)","plainCitation":"(Wirth and Volf, 1984)","noteIndex":0},"citationItems":[{"id":5079,"uris":["http://zotero.org/groups/2470620/items/7G4LHIBM"],"itemData":{"id":5079,"type":"article-journal","abstract":"This interim report summarizes the results of observations during the first year after a single injection of 237Np nitrate (0.2 or 1.0 mg/kg body weight) into adult female rats and further preliminary data obtained with young animals. The retention of 237Np was followed by whole body counting and serial sacrifice of groups of animals. The retention data could be fitted to three-component exponential equations which show no major differences between the two 237Np dose levels. The half-times and extrapolated initial fractions calculated from the first two exponential terms indicate that one fraction, representing about 40 per cent of the injected 237Np was excreted within the first 5 days and an additional 15 per cent within the first 5 months, while the rest was excreted with a half-time of about 3.5 years. This final long term component is assumed to indicate the rate of loss of 237Np from the skeletal compartment. In young animals both whole-body and skeletal retention of 237Np during the first 5 months of observation was about 50 per cent higher than in the adults. Several soft tissue tumours, mostly mammary tumours, have appeared to approximately the same extent in both control and 237Np treated adult rats but no osteosarcomas were detected up to 15 months after injection of 237Np.","container-title":"International Journal of Radiation Biology and Related Studies in Physics, Chemistry, and Medicine","DOI":"10.1080/09553008414552021","ISSN":"0020-7616","issue":"6","journalAbbreviation":"Int J Radiat Biol Relat Stud Phys Chem Med","language":"eng","note":"PMID: 6335500","page":"787-792","source":"PubMed","title":"Long term retention of 237Np in rats","volume":"46","author":[{"family":"Wirth","given":"R."},{"family":"Volf","given":"V."}],"issued":{"date-parts":[["1984",12]]}}}],"schema":"https://github.com/citation-style-language/schema/raw/master/csl-citation.json"} </w:instrText>
      </w:r>
      <w:r w:rsidR="00DE08EF" w:rsidRPr="00972C81">
        <w:rPr>
          <w:noProof/>
        </w:rPr>
        <w:fldChar w:fldCharType="separate"/>
      </w:r>
      <w:r w:rsidR="000F5D57" w:rsidRPr="00972C81">
        <w:rPr>
          <w:noProof/>
          <w:szCs w:val="24"/>
        </w:rPr>
        <w:t>(Wirth and Volf, 1984)</w:t>
      </w:r>
      <w:r w:rsidR="00DE08EF" w:rsidRPr="00972C81">
        <w:rPr>
          <w:noProof/>
        </w:rPr>
        <w:fldChar w:fldCharType="end"/>
      </w:r>
      <w:r w:rsidRPr="00972C81">
        <w:rPr>
          <w:noProof/>
        </w:rPr>
        <w:t>.</w:t>
      </w:r>
    </w:p>
    <w:p w14:paraId="3B486AD6" w14:textId="3B58A549" w:rsidR="00D776FB" w:rsidRPr="00972C81" w:rsidRDefault="00D776FB" w:rsidP="00C47F2F">
      <w:pPr>
        <w:pStyle w:val="Annalstext"/>
        <w:rPr>
          <w:noProof/>
        </w:rPr>
      </w:pPr>
      <w:r w:rsidRPr="00972C81">
        <w:rPr>
          <w:noProof/>
        </w:rPr>
        <w:t xml:space="preserve">The tissue distribution of </w:t>
      </w:r>
      <w:r w:rsidRPr="00B75FF4">
        <w:rPr>
          <w:noProof/>
          <w:vertAlign w:val="superscript"/>
        </w:rPr>
        <w:t>239</w:t>
      </w:r>
      <w:r w:rsidRPr="00972C81">
        <w:rPr>
          <w:noProof/>
        </w:rPr>
        <w:t xml:space="preserve">Np was determined at 4 d after oral administration of </w:t>
      </w:r>
      <w:r w:rsidRPr="00B75FF4">
        <w:rPr>
          <w:noProof/>
          <w:vertAlign w:val="superscript"/>
        </w:rPr>
        <w:t>239</w:t>
      </w:r>
      <w:r w:rsidRPr="00972C81">
        <w:rPr>
          <w:noProof/>
        </w:rPr>
        <w:t xml:space="preserve">Np nitrate to baboons of age 17 h to 26 d, and results were compared with previous findings for adult baboons </w:t>
      </w:r>
      <w:r w:rsidR="00F0311D" w:rsidRPr="00972C81">
        <w:rPr>
          <w:noProof/>
        </w:rPr>
        <w:fldChar w:fldCharType="begin"/>
      </w:r>
      <w:r w:rsidR="000F5D57" w:rsidRPr="00972C81">
        <w:rPr>
          <w:noProof/>
        </w:rPr>
        <w:instrText xml:space="preserve"> ADDIN ZOTERO_ITEM CSL_CITATION {"citationID":"a1p7pqqop4c","properties":{"formattedCitation":"(M\\uc0\\u233{}tivier et al., 1987)","plainCitation":"(Métivier et al., 1987)","noteIndex":0},"citationItems":[{"id":5066,"uris":["http://zotero.org/groups/2470620/items/A9A2J2GG"],"itemData":{"id":5066,"type":"chapter","container-title":"Age-related Factors in Radionuclide Metabolism and Dosimetry","event-place":"Dordrecht","note":"publisher: Martinus Nijhoff Publishers Dordrecht","page":"21–26","publisher":"Martinus Nijhoff Publishers","publisher-place":"Dordrecht","source":"Google Scholar","title":"Gastrointestinal transfer of neptunium (V) in newborn baboons: preliminary results","title-short":"Gastrointestinal transfer of neptunium (V) in newborn baboons","author":[{"family":"Métivier","given":"H."},{"family":"Duserre","given":"C."},{"family":"Jouniaux","given":"B."},{"family":"Fritsch","given":"P."},{"family":"Lataillade","given":"G."},{"family":"Masse","given":"R."}],"editor":[{"family":"Gerber","given":"G.B."},{"family":"Métivier","given":"H."},{"family":"Smith","given":"H."}],"issued":{"date-parts":[["1987"]]}}}],"schema":"https://github.com/citation-style-language/schema/raw/master/csl-citation.json"} </w:instrText>
      </w:r>
      <w:r w:rsidR="00F0311D" w:rsidRPr="00972C81">
        <w:rPr>
          <w:noProof/>
        </w:rPr>
        <w:fldChar w:fldCharType="separate"/>
      </w:r>
      <w:r w:rsidR="000F5D57" w:rsidRPr="00B75FF4">
        <w:rPr>
          <w:noProof/>
          <w:szCs w:val="24"/>
        </w:rPr>
        <w:t>(Métivier et al., 1987)</w:t>
      </w:r>
      <w:r w:rsidR="00F0311D" w:rsidRPr="00972C81">
        <w:rPr>
          <w:noProof/>
        </w:rPr>
        <w:fldChar w:fldCharType="end"/>
      </w:r>
      <w:r w:rsidRPr="00972C81">
        <w:rPr>
          <w:noProof/>
        </w:rPr>
        <w:t xml:space="preserve">. The skeleton to liver ratio in the infant baboons increased with age at intake, from roughly the adult value (31.5 </w:t>
      </w:r>
      <w:r w:rsidRPr="00B75FF4">
        <w:rPr>
          <w:rFonts w:cs="Times"/>
          <w:noProof/>
        </w:rPr>
        <w:t>±</w:t>
      </w:r>
      <w:r w:rsidRPr="00972C81">
        <w:rPr>
          <w:noProof/>
        </w:rPr>
        <w:t xml:space="preserve"> 9.9) for intake ages 17 h to 4d to ~1.7 times the adult for intake ages 15</w:t>
      </w:r>
      <w:r w:rsidR="00FE3C4F" w:rsidRPr="00972C81">
        <w:rPr>
          <w:noProof/>
          <w:spacing w:val="1"/>
        </w:rPr>
        <w:t>–</w:t>
      </w:r>
      <w:r w:rsidRPr="00972C81">
        <w:rPr>
          <w:noProof/>
        </w:rPr>
        <w:t xml:space="preserve">26 d.  </w:t>
      </w:r>
    </w:p>
    <w:p w14:paraId="64375D78" w14:textId="77777777" w:rsidR="00D776FB" w:rsidRPr="00972C81" w:rsidRDefault="00D776FB" w:rsidP="006703A2">
      <w:pPr>
        <w:pStyle w:val="OIRTitre4"/>
      </w:pPr>
      <w:r w:rsidRPr="00972C81">
        <w:t>Systemic model</w:t>
      </w:r>
    </w:p>
    <w:p w14:paraId="7F48A95E" w14:textId="31096B9F" w:rsidR="00D776FB" w:rsidRPr="00972C81" w:rsidRDefault="00D776FB" w:rsidP="001C4A92">
      <w:pPr>
        <w:pStyle w:val="Annalstext"/>
        <w:rPr>
          <w:noProof/>
        </w:rPr>
      </w:pPr>
      <w:r w:rsidRPr="00972C81">
        <w:rPr>
          <w:noProof/>
        </w:rPr>
        <w:t xml:space="preserve">The age-specific systemic model for thorium applied in this report is the model used in </w:t>
      </w:r>
      <w:r w:rsidRPr="00972C81">
        <w:rPr>
          <w:i/>
          <w:noProof/>
        </w:rPr>
        <w:t>Publication 67</w:t>
      </w:r>
      <w:r w:rsidRPr="00972C81">
        <w:rPr>
          <w:noProof/>
        </w:rPr>
        <w:t xml:space="preserve"> </w:t>
      </w:r>
      <w:r w:rsidR="00F0311D" w:rsidRPr="00972C81">
        <w:rPr>
          <w:noProof/>
        </w:rPr>
        <w:fldChar w:fldCharType="begin"/>
      </w:r>
      <w:r w:rsidR="000F5D57" w:rsidRPr="00972C81">
        <w:rPr>
          <w:noProof/>
        </w:rPr>
        <w:instrText xml:space="preserve"> ADDIN ZOTERO_ITEM CSL_CITATION {"citationID":"a167hmsa7g4","properties":{"formattedCitation":"(ICRP, 1993)","plainCitation":"(ICRP, 1993)","noteIndex":0},"citationItems":[{"id":2558,"uris":["http://zotero.org/groups/2470620/items/NGGW5NK4",["http://zotero.org/groups/2470620/items/NGGW5NK4"]],"itemData":{"id":2558,"type":"article-journal","container-title":"Annals of the ICRP","issue":"3/4","journalAbbreviation":"Ann. ICRP","language":"en","title":"Age dependent doses to members of the public from intake of radionuclides: Part 2, Ingestion dose coefficients. ICRP Publication 67","volume":"23","author":[{"literal":"ICRP"}],"issued":{"date-parts":[["1993"]]}}}],"schema":"https://github.com/citation-style-language/schema/raw/master/csl-citation.json"} </w:instrText>
      </w:r>
      <w:r w:rsidR="00F0311D" w:rsidRPr="00972C81">
        <w:rPr>
          <w:noProof/>
        </w:rPr>
        <w:fldChar w:fldCharType="separate"/>
      </w:r>
      <w:r w:rsidR="000F5D57" w:rsidRPr="00972C81">
        <w:rPr>
          <w:noProof/>
          <w:szCs w:val="24"/>
        </w:rPr>
        <w:t>(ICRP, 1993)</w:t>
      </w:r>
      <w:r w:rsidR="00F0311D" w:rsidRPr="00972C81">
        <w:rPr>
          <w:noProof/>
        </w:rPr>
        <w:fldChar w:fldCharType="end"/>
      </w:r>
      <w:r w:rsidRPr="00972C81">
        <w:rPr>
          <w:noProof/>
        </w:rPr>
        <w:t xml:space="preserve"> with the following modification. The removal half-time from gonads to blood is reduced from 10 y to 5 y, the generic value applied here to the lanthanide and actinide elements. </w:t>
      </w:r>
    </w:p>
    <w:p w14:paraId="22B6D816" w14:textId="52C9A268" w:rsidR="00D776FB" w:rsidRPr="00972C81" w:rsidRDefault="00D776FB" w:rsidP="001C4A92">
      <w:pPr>
        <w:pStyle w:val="Annalstext"/>
        <w:rPr>
          <w:noProof/>
        </w:rPr>
      </w:pPr>
      <w:r w:rsidRPr="00972C81">
        <w:rPr>
          <w:noProof/>
        </w:rPr>
        <w:t xml:space="preserve">The reader is referred to </w:t>
      </w:r>
      <w:r w:rsidRPr="00972C81">
        <w:rPr>
          <w:i/>
          <w:noProof/>
        </w:rPr>
        <w:t>Publication 67</w:t>
      </w:r>
      <w:r w:rsidRPr="00972C81">
        <w:rPr>
          <w:noProof/>
        </w:rPr>
        <w:t xml:space="preserve"> for a detailed description of the model and the rationale for age-specific parameter values. Briefly, the model for adults was based largely on data for laboratory animals but was required to reproduce human data when available (e.g., urinary excretion data. Extension of the transfer coefficients to preadult ages are based on age-specific data for neptunium in baboons and rats, and the consistent findings for other actinide elements. It is assumed that the deposition fraction for bone is higher for preadults than for adults. Bone deposition fractions are 0.7 for ages 100 d and 1 y, 0.5 for ages 5</w:t>
      </w:r>
      <w:r w:rsidR="007A0A2C" w:rsidRPr="00972C81">
        <w:rPr>
          <w:noProof/>
          <w:spacing w:val="1"/>
        </w:rPr>
        <w:t>–</w:t>
      </w:r>
      <w:r w:rsidRPr="00972C81">
        <w:rPr>
          <w:noProof/>
        </w:rPr>
        <w:t>15 y, and 0.45 for adults. Deposition in the liver and urinary bladder contents are assumed to be reduced at preadult ages due to greater competition from the skeleton.</w:t>
      </w:r>
    </w:p>
    <w:p w14:paraId="3887D47B" w14:textId="7BB022EE" w:rsidR="00D776FB" w:rsidRPr="00972C81" w:rsidRDefault="00D776FB" w:rsidP="001C4A92">
      <w:pPr>
        <w:pStyle w:val="Annalstext"/>
        <w:rPr>
          <w:noProof/>
        </w:rPr>
      </w:pPr>
      <w:r w:rsidRPr="00972C81">
        <w:rPr>
          <w:noProof/>
        </w:rPr>
        <w:t xml:space="preserve">The structure of the systemic model for neptunium is shown in </w:t>
      </w:r>
      <w:r w:rsidR="00D62E76" w:rsidRPr="00972C81">
        <w:rPr>
          <w:noProof/>
        </w:rPr>
        <w:fldChar w:fldCharType="begin"/>
      </w:r>
      <w:r w:rsidR="00D62E76" w:rsidRPr="00972C81">
        <w:rPr>
          <w:noProof/>
        </w:rPr>
        <w:instrText xml:space="preserve"> REF _Ref143597537 \h </w:instrText>
      </w:r>
      <w:r w:rsidR="00D62E76" w:rsidRPr="00972C81">
        <w:rPr>
          <w:noProof/>
        </w:rPr>
      </w:r>
      <w:r w:rsidR="00D62E76" w:rsidRPr="00972C81">
        <w:rPr>
          <w:noProof/>
        </w:rPr>
        <w:fldChar w:fldCharType="separate"/>
      </w:r>
      <w:r w:rsidR="00A41AD1" w:rsidRPr="00972C81">
        <w:rPr>
          <w:noProof/>
        </w:rPr>
        <w:t xml:space="preserve">Fig </w:t>
      </w:r>
      <w:r w:rsidR="00A41AD1">
        <w:rPr>
          <w:noProof/>
        </w:rPr>
        <w:t>21</w:t>
      </w:r>
      <w:r w:rsidR="00A41AD1" w:rsidRPr="00972C81">
        <w:rPr>
          <w:noProof/>
        </w:rPr>
        <w:t>.</w:t>
      </w:r>
      <w:r w:rsidR="00A41AD1">
        <w:rPr>
          <w:noProof/>
        </w:rPr>
        <w:t>1</w:t>
      </w:r>
      <w:r w:rsidR="00D62E76" w:rsidRPr="00972C81">
        <w:rPr>
          <w:noProof/>
        </w:rPr>
        <w:fldChar w:fldCharType="end"/>
      </w:r>
      <w:r w:rsidRPr="00972C81">
        <w:rPr>
          <w:noProof/>
        </w:rPr>
        <w:t xml:space="preserve">. Parameter values are listed in </w:t>
      </w:r>
      <w:r w:rsidR="00D62E76" w:rsidRPr="00972C81">
        <w:rPr>
          <w:noProof/>
        </w:rPr>
        <w:fldChar w:fldCharType="begin"/>
      </w:r>
      <w:r w:rsidR="00D62E76" w:rsidRPr="00972C81">
        <w:rPr>
          <w:noProof/>
        </w:rPr>
        <w:instrText xml:space="preserve"> REF _Ref143597517 \h </w:instrText>
      </w:r>
      <w:r w:rsidR="00D62E76" w:rsidRPr="00972C81">
        <w:rPr>
          <w:noProof/>
        </w:rPr>
      </w:r>
      <w:r w:rsidR="00D62E76" w:rsidRPr="00972C81">
        <w:rPr>
          <w:noProof/>
        </w:rPr>
        <w:fldChar w:fldCharType="separate"/>
      </w:r>
      <w:r w:rsidR="00A41AD1" w:rsidRPr="00972C81">
        <w:rPr>
          <w:noProof/>
        </w:rPr>
        <w:t xml:space="preserve">Table </w:t>
      </w:r>
      <w:r w:rsidR="00A41AD1">
        <w:rPr>
          <w:noProof/>
        </w:rPr>
        <w:t>21</w:t>
      </w:r>
      <w:r w:rsidR="00A41AD1" w:rsidRPr="00972C81">
        <w:rPr>
          <w:noProof/>
        </w:rPr>
        <w:t>.</w:t>
      </w:r>
      <w:r w:rsidR="00A41AD1">
        <w:rPr>
          <w:noProof/>
        </w:rPr>
        <w:t>2</w:t>
      </w:r>
      <w:r w:rsidR="00D62E76" w:rsidRPr="00972C81">
        <w:rPr>
          <w:noProof/>
        </w:rPr>
        <w:fldChar w:fldCharType="end"/>
      </w:r>
      <w:r w:rsidRPr="00972C81">
        <w:rPr>
          <w:noProof/>
        </w:rPr>
        <w:t>.</w:t>
      </w:r>
    </w:p>
    <w:p w14:paraId="4DEF3B5D" w14:textId="77777777" w:rsidR="00D776FB" w:rsidRPr="00972C81" w:rsidRDefault="00D776FB" w:rsidP="00134489">
      <w:pPr>
        <w:rPr>
          <w:noProof/>
        </w:rPr>
      </w:pPr>
    </w:p>
    <w:p w14:paraId="3B43E945" w14:textId="66C360A5" w:rsidR="001200FD" w:rsidRDefault="001200FD" w:rsidP="006A4B24">
      <w:pPr>
        <w:jc w:val="center"/>
        <w:rPr>
          <w:noProof/>
        </w:rPr>
      </w:pPr>
      <w:bookmarkStart w:id="309" w:name="_Ref143597537"/>
      <w:r>
        <w:rPr>
          <w:noProof/>
        </w:rPr>
        <w:lastRenderedPageBreak/>
        <w:drawing>
          <wp:inline distT="0" distB="0" distL="0" distR="0" wp14:anchorId="705F77C0" wp14:editId="5718B8C9">
            <wp:extent cx="3830129" cy="2948814"/>
            <wp:effectExtent l="0" t="0" r="0" b="444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2"/>
                    <a:stretch>
                      <a:fillRect/>
                    </a:stretch>
                  </pic:blipFill>
                  <pic:spPr>
                    <a:xfrm>
                      <a:off x="0" y="0"/>
                      <a:ext cx="3842511" cy="2958347"/>
                    </a:xfrm>
                    <a:prstGeom prst="rect">
                      <a:avLst/>
                    </a:prstGeom>
                  </pic:spPr>
                </pic:pic>
              </a:graphicData>
            </a:graphic>
          </wp:inline>
        </w:drawing>
      </w:r>
    </w:p>
    <w:p w14:paraId="4333D71F" w14:textId="5B648B61" w:rsidR="00D776FB" w:rsidRPr="00972C81" w:rsidRDefault="00D62E76" w:rsidP="00C47F2F">
      <w:pPr>
        <w:rPr>
          <w:noProof/>
        </w:rPr>
      </w:pPr>
      <w:r w:rsidRPr="00972C81">
        <w:rPr>
          <w:noProof/>
        </w:rPr>
        <w:t xml:space="preserve">Fig </w:t>
      </w:r>
      <w:r w:rsidR="00EA3750" w:rsidRPr="00972C81">
        <w:rPr>
          <w:noProof/>
        </w:rPr>
        <w:fldChar w:fldCharType="begin"/>
      </w:r>
      <w:r w:rsidR="00EA3750" w:rsidRPr="00972C81">
        <w:rPr>
          <w:noProof/>
        </w:rPr>
        <w:instrText xml:space="preserve"> STYLEREF 1 \s </w:instrText>
      </w:r>
      <w:r w:rsidR="00EA3750" w:rsidRPr="00972C81">
        <w:rPr>
          <w:noProof/>
        </w:rPr>
        <w:fldChar w:fldCharType="separate"/>
      </w:r>
      <w:r w:rsidR="00A41AD1">
        <w:rPr>
          <w:noProof/>
        </w:rPr>
        <w:t>21</w:t>
      </w:r>
      <w:r w:rsidR="00EA3750" w:rsidRPr="00972C81">
        <w:rPr>
          <w:noProof/>
        </w:rPr>
        <w:fldChar w:fldCharType="end"/>
      </w:r>
      <w:r w:rsidR="00EA3750" w:rsidRPr="00972C81">
        <w:rPr>
          <w:noProof/>
        </w:rPr>
        <w:t>.</w:t>
      </w:r>
      <w:r w:rsidR="00EA3750" w:rsidRPr="00972C81">
        <w:rPr>
          <w:noProof/>
        </w:rPr>
        <w:fldChar w:fldCharType="begin"/>
      </w:r>
      <w:r w:rsidR="00EA3750" w:rsidRPr="00972C81">
        <w:rPr>
          <w:noProof/>
        </w:rPr>
        <w:instrText xml:space="preserve"> SEQ Figure \* ARABIC \s 1 </w:instrText>
      </w:r>
      <w:r w:rsidR="00EA3750" w:rsidRPr="00972C81">
        <w:rPr>
          <w:noProof/>
        </w:rPr>
        <w:fldChar w:fldCharType="separate"/>
      </w:r>
      <w:r w:rsidR="00A41AD1">
        <w:rPr>
          <w:noProof/>
        </w:rPr>
        <w:t>1</w:t>
      </w:r>
      <w:r w:rsidR="00EA3750" w:rsidRPr="00972C81">
        <w:rPr>
          <w:noProof/>
        </w:rPr>
        <w:fldChar w:fldCharType="end"/>
      </w:r>
      <w:bookmarkEnd w:id="309"/>
      <w:r w:rsidRPr="00972C81">
        <w:rPr>
          <w:noProof/>
        </w:rPr>
        <w:t>.</w:t>
      </w:r>
      <w:r w:rsidR="00D776FB" w:rsidRPr="00972C81">
        <w:rPr>
          <w:noProof/>
        </w:rPr>
        <w:t xml:space="preserve"> Structure of the systemic model for neptunium.</w:t>
      </w:r>
    </w:p>
    <w:p w14:paraId="1F76BEC5" w14:textId="77777777" w:rsidR="007A34D9" w:rsidRPr="00972C81" w:rsidRDefault="007A34D9" w:rsidP="00D776FB">
      <w:pPr>
        <w:rPr>
          <w:noProof/>
        </w:rPr>
      </w:pPr>
    </w:p>
    <w:p w14:paraId="36D0ABC9" w14:textId="0601A39C" w:rsidR="00D776FB" w:rsidRPr="00C47F2F" w:rsidRDefault="00D62E76" w:rsidP="00E81109">
      <w:pPr>
        <w:pStyle w:val="ab"/>
        <w:rPr>
          <w:rFonts w:ascii="Times Roman" w:hAnsi="Times Roman"/>
          <w:noProof/>
          <w:sz w:val="24"/>
          <w:szCs w:val="24"/>
          <w:lang w:eastAsia="fr-FR"/>
        </w:rPr>
      </w:pPr>
      <w:bookmarkStart w:id="310" w:name="_Ref143597517"/>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21</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2</w:t>
      </w:r>
      <w:r w:rsidR="00EA3750" w:rsidRPr="00C47F2F">
        <w:rPr>
          <w:noProof/>
          <w:sz w:val="24"/>
          <w:szCs w:val="24"/>
        </w:rPr>
        <w:fldChar w:fldCharType="end"/>
      </w:r>
      <w:bookmarkEnd w:id="310"/>
      <w:r w:rsidRPr="00C47F2F">
        <w:rPr>
          <w:noProof/>
          <w:sz w:val="24"/>
          <w:szCs w:val="24"/>
        </w:rPr>
        <w:t>.</w:t>
      </w:r>
      <w:r w:rsidR="007A34D9" w:rsidRPr="00C47F2F">
        <w:rPr>
          <w:noProof/>
          <w:sz w:val="24"/>
          <w:szCs w:val="24"/>
        </w:rPr>
        <w:t xml:space="preserve"> Age-specific transfer coefficients for neptunium.</w:t>
      </w:r>
    </w:p>
    <w:tbl>
      <w:tblPr>
        <w:tblW w:w="5000" w:type="pct"/>
        <w:tblLayout w:type="fixed"/>
        <w:tblLook w:val="04A0" w:firstRow="1" w:lastRow="0" w:firstColumn="1" w:lastColumn="0" w:noHBand="0" w:noVBand="1"/>
      </w:tblPr>
      <w:tblGrid>
        <w:gridCol w:w="3131"/>
        <w:gridCol w:w="968"/>
        <w:gridCol w:w="986"/>
        <w:gridCol w:w="969"/>
        <w:gridCol w:w="1033"/>
        <w:gridCol w:w="971"/>
        <w:gridCol w:w="969"/>
      </w:tblGrid>
      <w:tr w:rsidR="00D776FB" w:rsidRPr="00972C81" w14:paraId="0824E111" w14:textId="77777777" w:rsidTr="0019583E">
        <w:trPr>
          <w:trHeight w:val="340"/>
        </w:trPr>
        <w:tc>
          <w:tcPr>
            <w:tcW w:w="3131" w:type="dxa"/>
            <w:vMerge w:val="restart"/>
            <w:tcBorders>
              <w:top w:val="single" w:sz="4" w:space="0" w:color="auto"/>
            </w:tcBorders>
            <w:shd w:val="clear" w:color="auto" w:fill="auto"/>
            <w:noWrap/>
          </w:tcPr>
          <w:p w14:paraId="01A7C0C9" w14:textId="77777777" w:rsidR="00D776FB" w:rsidRPr="00972C81" w:rsidRDefault="00D776FB" w:rsidP="00E81109">
            <w:pPr>
              <w:pStyle w:val="Table"/>
              <w:rPr>
                <w:noProof/>
              </w:rPr>
            </w:pPr>
          </w:p>
          <w:p w14:paraId="1B9B9ABD" w14:textId="0E3AA25B" w:rsidR="00D776FB" w:rsidRPr="00972C81" w:rsidRDefault="00D776FB" w:rsidP="00E81109">
            <w:pPr>
              <w:pStyle w:val="Table"/>
              <w:rPr>
                <w:noProof/>
              </w:rPr>
            </w:pPr>
            <w:r w:rsidRPr="00972C81">
              <w:rPr>
                <w:noProof/>
              </w:rPr>
              <w:t>Pathway</w:t>
            </w:r>
            <w:r w:rsidR="001200FD" w:rsidRPr="001200FD">
              <w:rPr>
                <w:noProof/>
                <w:vertAlign w:val="superscript"/>
              </w:rPr>
              <w:t>a</w:t>
            </w:r>
          </w:p>
        </w:tc>
        <w:tc>
          <w:tcPr>
            <w:tcW w:w="5896" w:type="dxa"/>
            <w:gridSpan w:val="6"/>
            <w:tcBorders>
              <w:top w:val="single" w:sz="4" w:space="0" w:color="auto"/>
              <w:bottom w:val="single" w:sz="4" w:space="0" w:color="auto"/>
            </w:tcBorders>
            <w:shd w:val="clear" w:color="auto" w:fill="auto"/>
            <w:noWrap/>
          </w:tcPr>
          <w:p w14:paraId="3B8C1596" w14:textId="77777777" w:rsidR="00D776FB" w:rsidRPr="00972C81" w:rsidRDefault="00D776FB" w:rsidP="00C47F2F">
            <w:pPr>
              <w:pStyle w:val="Table"/>
              <w:jc w:val="center"/>
              <w:rPr>
                <w:noProof/>
              </w:rPr>
            </w:pPr>
            <w:r w:rsidRPr="00972C81">
              <w:rPr>
                <w:noProof/>
              </w:rPr>
              <w:t>Transfer coefficient (d</w:t>
            </w:r>
            <w:r w:rsidRPr="00C47F2F">
              <w:rPr>
                <w:noProof/>
                <w:vertAlign w:val="superscript"/>
              </w:rPr>
              <w:t>-1</w:t>
            </w:r>
            <w:r w:rsidRPr="00972C81">
              <w:rPr>
                <w:noProof/>
              </w:rPr>
              <w:t>)</w:t>
            </w:r>
          </w:p>
        </w:tc>
      </w:tr>
      <w:tr w:rsidR="00100C52" w:rsidRPr="00972C81" w14:paraId="7934CD07" w14:textId="77777777" w:rsidTr="0019583E">
        <w:trPr>
          <w:trHeight w:val="340"/>
        </w:trPr>
        <w:tc>
          <w:tcPr>
            <w:tcW w:w="3131" w:type="dxa"/>
            <w:vMerge/>
            <w:tcBorders>
              <w:bottom w:val="single" w:sz="4" w:space="0" w:color="auto"/>
            </w:tcBorders>
            <w:shd w:val="clear" w:color="auto" w:fill="auto"/>
            <w:noWrap/>
          </w:tcPr>
          <w:p w14:paraId="09DB0293" w14:textId="77777777" w:rsidR="00D776FB" w:rsidRPr="00972C81" w:rsidRDefault="00D776FB" w:rsidP="00E81109">
            <w:pPr>
              <w:pStyle w:val="Table"/>
              <w:rPr>
                <w:noProof/>
                <w:color w:val="000000"/>
              </w:rPr>
            </w:pPr>
          </w:p>
        </w:tc>
        <w:tc>
          <w:tcPr>
            <w:tcW w:w="968" w:type="dxa"/>
            <w:tcBorders>
              <w:top w:val="single" w:sz="4" w:space="0" w:color="auto"/>
              <w:bottom w:val="single" w:sz="4" w:space="0" w:color="auto"/>
            </w:tcBorders>
            <w:shd w:val="clear" w:color="auto" w:fill="auto"/>
            <w:noWrap/>
          </w:tcPr>
          <w:p w14:paraId="31FE7A20" w14:textId="77777777" w:rsidR="00D776FB" w:rsidRPr="00972C81" w:rsidRDefault="00D776FB" w:rsidP="00E81109">
            <w:pPr>
              <w:pStyle w:val="Table"/>
              <w:rPr>
                <w:noProof/>
                <w:color w:val="000000"/>
              </w:rPr>
            </w:pPr>
            <w:r w:rsidRPr="00972C81">
              <w:rPr>
                <w:noProof/>
              </w:rPr>
              <w:t>100 d</w:t>
            </w:r>
          </w:p>
        </w:tc>
        <w:tc>
          <w:tcPr>
            <w:tcW w:w="986" w:type="dxa"/>
            <w:tcBorders>
              <w:top w:val="single" w:sz="4" w:space="0" w:color="auto"/>
              <w:bottom w:val="single" w:sz="4" w:space="0" w:color="auto"/>
            </w:tcBorders>
            <w:shd w:val="clear" w:color="auto" w:fill="auto"/>
            <w:noWrap/>
          </w:tcPr>
          <w:p w14:paraId="0A9FE45C" w14:textId="77777777" w:rsidR="00D776FB" w:rsidRPr="00972C81" w:rsidRDefault="00D776FB" w:rsidP="00E81109">
            <w:pPr>
              <w:pStyle w:val="Table"/>
              <w:rPr>
                <w:noProof/>
                <w:color w:val="000000"/>
              </w:rPr>
            </w:pPr>
            <w:r w:rsidRPr="00972C81">
              <w:rPr>
                <w:noProof/>
              </w:rPr>
              <w:t>1 y</w:t>
            </w:r>
          </w:p>
        </w:tc>
        <w:tc>
          <w:tcPr>
            <w:tcW w:w="969" w:type="dxa"/>
            <w:tcBorders>
              <w:top w:val="single" w:sz="4" w:space="0" w:color="auto"/>
              <w:bottom w:val="single" w:sz="4" w:space="0" w:color="auto"/>
            </w:tcBorders>
            <w:shd w:val="clear" w:color="auto" w:fill="auto"/>
            <w:noWrap/>
          </w:tcPr>
          <w:p w14:paraId="330862E2" w14:textId="77777777" w:rsidR="00D776FB" w:rsidRPr="00972C81" w:rsidRDefault="00D776FB" w:rsidP="00E81109">
            <w:pPr>
              <w:pStyle w:val="Table"/>
              <w:rPr>
                <w:noProof/>
                <w:color w:val="000000"/>
              </w:rPr>
            </w:pPr>
            <w:r w:rsidRPr="00972C81">
              <w:rPr>
                <w:noProof/>
              </w:rPr>
              <w:t>5 y</w:t>
            </w:r>
          </w:p>
        </w:tc>
        <w:tc>
          <w:tcPr>
            <w:tcW w:w="1033" w:type="dxa"/>
            <w:tcBorders>
              <w:top w:val="single" w:sz="4" w:space="0" w:color="auto"/>
              <w:bottom w:val="single" w:sz="4" w:space="0" w:color="auto"/>
            </w:tcBorders>
            <w:shd w:val="clear" w:color="auto" w:fill="auto"/>
            <w:noWrap/>
          </w:tcPr>
          <w:p w14:paraId="63C63A30" w14:textId="77777777" w:rsidR="00D776FB" w:rsidRPr="00972C81" w:rsidRDefault="00D776FB" w:rsidP="00E81109">
            <w:pPr>
              <w:pStyle w:val="Table"/>
              <w:rPr>
                <w:noProof/>
                <w:color w:val="000000"/>
              </w:rPr>
            </w:pPr>
            <w:r w:rsidRPr="00972C81">
              <w:rPr>
                <w:noProof/>
              </w:rPr>
              <w:t>10 y</w:t>
            </w:r>
          </w:p>
        </w:tc>
        <w:tc>
          <w:tcPr>
            <w:tcW w:w="971" w:type="dxa"/>
            <w:tcBorders>
              <w:top w:val="single" w:sz="4" w:space="0" w:color="auto"/>
              <w:bottom w:val="single" w:sz="4" w:space="0" w:color="auto"/>
            </w:tcBorders>
            <w:shd w:val="clear" w:color="auto" w:fill="auto"/>
            <w:noWrap/>
          </w:tcPr>
          <w:p w14:paraId="46B32538" w14:textId="77777777" w:rsidR="00D776FB" w:rsidRPr="00972C81" w:rsidRDefault="00D776FB" w:rsidP="00E81109">
            <w:pPr>
              <w:pStyle w:val="Table"/>
              <w:rPr>
                <w:noProof/>
                <w:color w:val="000000"/>
              </w:rPr>
            </w:pPr>
            <w:r w:rsidRPr="00972C81">
              <w:rPr>
                <w:noProof/>
              </w:rPr>
              <w:t>15 y</w:t>
            </w:r>
          </w:p>
        </w:tc>
        <w:tc>
          <w:tcPr>
            <w:tcW w:w="969" w:type="dxa"/>
            <w:tcBorders>
              <w:top w:val="single" w:sz="4" w:space="0" w:color="auto"/>
              <w:bottom w:val="single" w:sz="4" w:space="0" w:color="auto"/>
            </w:tcBorders>
            <w:shd w:val="clear" w:color="auto" w:fill="auto"/>
            <w:noWrap/>
          </w:tcPr>
          <w:p w14:paraId="61A7B0C1" w14:textId="77777777" w:rsidR="00D776FB" w:rsidRPr="00972C81" w:rsidRDefault="00D776FB" w:rsidP="00E81109">
            <w:pPr>
              <w:pStyle w:val="Table"/>
              <w:rPr>
                <w:noProof/>
                <w:color w:val="000000"/>
              </w:rPr>
            </w:pPr>
            <w:r w:rsidRPr="00972C81">
              <w:rPr>
                <w:noProof/>
              </w:rPr>
              <w:t>Adult</w:t>
            </w:r>
          </w:p>
        </w:tc>
      </w:tr>
      <w:tr w:rsidR="001200FD" w:rsidRPr="00972C81" w14:paraId="07B5CF85" w14:textId="77777777" w:rsidTr="0019583E">
        <w:trPr>
          <w:trHeight w:val="340"/>
        </w:trPr>
        <w:tc>
          <w:tcPr>
            <w:tcW w:w="3131" w:type="dxa"/>
            <w:tcBorders>
              <w:top w:val="single" w:sz="4" w:space="0" w:color="auto"/>
            </w:tcBorders>
            <w:shd w:val="clear" w:color="auto" w:fill="auto"/>
            <w:noWrap/>
            <w:vAlign w:val="center"/>
          </w:tcPr>
          <w:p w14:paraId="79AA7B7A" w14:textId="30EDEB8A" w:rsidR="001200FD" w:rsidRPr="001200FD" w:rsidRDefault="001200FD" w:rsidP="0019583E">
            <w:pPr>
              <w:pStyle w:val="Table"/>
              <w:rPr>
                <w:noProof/>
                <w:sz w:val="20"/>
                <w:szCs w:val="22"/>
              </w:rPr>
            </w:pPr>
            <w:r w:rsidRPr="001200FD">
              <w:rPr>
                <w:noProof/>
                <w:sz w:val="20"/>
                <w:szCs w:val="22"/>
              </w:rPr>
              <w:t>Blood to Liver 1</w:t>
            </w:r>
          </w:p>
        </w:tc>
        <w:tc>
          <w:tcPr>
            <w:tcW w:w="968" w:type="dxa"/>
            <w:tcBorders>
              <w:top w:val="single" w:sz="4" w:space="0" w:color="auto"/>
            </w:tcBorders>
            <w:shd w:val="clear" w:color="auto" w:fill="auto"/>
            <w:noWrap/>
            <w:vAlign w:val="center"/>
          </w:tcPr>
          <w:p w14:paraId="1C4FF3C7" w14:textId="77777777" w:rsidR="001200FD" w:rsidRPr="00C47F2F" w:rsidRDefault="001200FD" w:rsidP="0019583E">
            <w:pPr>
              <w:pStyle w:val="Table"/>
              <w:rPr>
                <w:noProof/>
                <w:sz w:val="20"/>
                <w:szCs w:val="20"/>
              </w:rPr>
            </w:pPr>
            <w:r w:rsidRPr="00C47F2F">
              <w:rPr>
                <w:noProof/>
                <w:sz w:val="20"/>
                <w:szCs w:val="20"/>
              </w:rPr>
              <w:t>5.82E-02</w:t>
            </w:r>
          </w:p>
        </w:tc>
        <w:tc>
          <w:tcPr>
            <w:tcW w:w="986" w:type="dxa"/>
            <w:tcBorders>
              <w:top w:val="single" w:sz="4" w:space="0" w:color="auto"/>
            </w:tcBorders>
            <w:shd w:val="clear" w:color="auto" w:fill="auto"/>
            <w:noWrap/>
            <w:vAlign w:val="center"/>
          </w:tcPr>
          <w:p w14:paraId="4247E7E5" w14:textId="77777777" w:rsidR="001200FD" w:rsidRPr="00C47F2F" w:rsidRDefault="001200FD" w:rsidP="0019583E">
            <w:pPr>
              <w:pStyle w:val="Table"/>
              <w:rPr>
                <w:noProof/>
                <w:sz w:val="20"/>
                <w:szCs w:val="20"/>
              </w:rPr>
            </w:pPr>
            <w:r w:rsidRPr="00C47F2F">
              <w:rPr>
                <w:noProof/>
                <w:sz w:val="20"/>
                <w:szCs w:val="20"/>
              </w:rPr>
              <w:t>5.82E-02</w:t>
            </w:r>
          </w:p>
        </w:tc>
        <w:tc>
          <w:tcPr>
            <w:tcW w:w="969" w:type="dxa"/>
            <w:tcBorders>
              <w:top w:val="single" w:sz="4" w:space="0" w:color="auto"/>
            </w:tcBorders>
            <w:shd w:val="clear" w:color="auto" w:fill="auto"/>
            <w:noWrap/>
            <w:vAlign w:val="center"/>
          </w:tcPr>
          <w:p w14:paraId="5B98046C" w14:textId="77777777" w:rsidR="001200FD" w:rsidRPr="00C47F2F" w:rsidRDefault="001200FD" w:rsidP="0019583E">
            <w:pPr>
              <w:pStyle w:val="Table"/>
              <w:rPr>
                <w:noProof/>
                <w:sz w:val="20"/>
                <w:szCs w:val="20"/>
              </w:rPr>
            </w:pPr>
            <w:r w:rsidRPr="00C47F2F">
              <w:rPr>
                <w:noProof/>
                <w:sz w:val="20"/>
                <w:szCs w:val="20"/>
              </w:rPr>
              <w:t>9.70E-02</w:t>
            </w:r>
          </w:p>
        </w:tc>
        <w:tc>
          <w:tcPr>
            <w:tcW w:w="1033" w:type="dxa"/>
            <w:tcBorders>
              <w:top w:val="single" w:sz="4" w:space="0" w:color="auto"/>
            </w:tcBorders>
            <w:shd w:val="clear" w:color="auto" w:fill="auto"/>
            <w:noWrap/>
            <w:vAlign w:val="center"/>
          </w:tcPr>
          <w:p w14:paraId="71EE80F8" w14:textId="77777777" w:rsidR="001200FD" w:rsidRPr="00C47F2F" w:rsidRDefault="001200FD" w:rsidP="0019583E">
            <w:pPr>
              <w:pStyle w:val="Table"/>
              <w:rPr>
                <w:noProof/>
                <w:sz w:val="20"/>
                <w:szCs w:val="20"/>
              </w:rPr>
            </w:pPr>
            <w:r w:rsidRPr="00C47F2F">
              <w:rPr>
                <w:noProof/>
                <w:sz w:val="20"/>
                <w:szCs w:val="20"/>
              </w:rPr>
              <w:t>9.70E-02</w:t>
            </w:r>
          </w:p>
        </w:tc>
        <w:tc>
          <w:tcPr>
            <w:tcW w:w="971" w:type="dxa"/>
            <w:tcBorders>
              <w:top w:val="single" w:sz="4" w:space="0" w:color="auto"/>
            </w:tcBorders>
            <w:shd w:val="clear" w:color="auto" w:fill="auto"/>
            <w:noWrap/>
            <w:vAlign w:val="center"/>
          </w:tcPr>
          <w:p w14:paraId="65D68CD9" w14:textId="77777777" w:rsidR="001200FD" w:rsidRPr="00C47F2F" w:rsidRDefault="001200FD" w:rsidP="0019583E">
            <w:pPr>
              <w:pStyle w:val="Table"/>
              <w:rPr>
                <w:noProof/>
                <w:sz w:val="20"/>
                <w:szCs w:val="20"/>
              </w:rPr>
            </w:pPr>
            <w:r w:rsidRPr="00C47F2F">
              <w:rPr>
                <w:noProof/>
                <w:sz w:val="20"/>
                <w:szCs w:val="20"/>
              </w:rPr>
              <w:t>9.70E-02</w:t>
            </w:r>
          </w:p>
        </w:tc>
        <w:tc>
          <w:tcPr>
            <w:tcW w:w="969" w:type="dxa"/>
            <w:tcBorders>
              <w:top w:val="single" w:sz="4" w:space="0" w:color="auto"/>
            </w:tcBorders>
            <w:shd w:val="clear" w:color="auto" w:fill="auto"/>
            <w:noWrap/>
            <w:vAlign w:val="center"/>
          </w:tcPr>
          <w:p w14:paraId="72E64A1A" w14:textId="77777777" w:rsidR="001200FD" w:rsidRPr="00C47F2F" w:rsidRDefault="001200FD" w:rsidP="0019583E">
            <w:pPr>
              <w:pStyle w:val="Table"/>
              <w:rPr>
                <w:noProof/>
                <w:sz w:val="20"/>
                <w:szCs w:val="20"/>
              </w:rPr>
            </w:pPr>
            <w:r w:rsidRPr="00C47F2F">
              <w:rPr>
                <w:noProof/>
                <w:sz w:val="20"/>
                <w:szCs w:val="20"/>
              </w:rPr>
              <w:t>1.94E-01</w:t>
            </w:r>
          </w:p>
        </w:tc>
      </w:tr>
      <w:tr w:rsidR="001200FD" w:rsidRPr="00972C81" w14:paraId="28A1A499" w14:textId="77777777" w:rsidTr="0019583E">
        <w:trPr>
          <w:trHeight w:val="340"/>
        </w:trPr>
        <w:tc>
          <w:tcPr>
            <w:tcW w:w="3131" w:type="dxa"/>
            <w:shd w:val="clear" w:color="auto" w:fill="auto"/>
            <w:noWrap/>
            <w:vAlign w:val="center"/>
          </w:tcPr>
          <w:p w14:paraId="64E6CF65" w14:textId="551BA29F" w:rsidR="001200FD" w:rsidRPr="001200FD" w:rsidRDefault="001200FD" w:rsidP="0019583E">
            <w:pPr>
              <w:pStyle w:val="Table"/>
              <w:rPr>
                <w:noProof/>
                <w:sz w:val="20"/>
                <w:szCs w:val="22"/>
              </w:rPr>
            </w:pPr>
            <w:r w:rsidRPr="001200FD">
              <w:rPr>
                <w:noProof/>
                <w:sz w:val="20"/>
                <w:szCs w:val="22"/>
              </w:rPr>
              <w:t>Blood to Cort bone surf</w:t>
            </w:r>
          </w:p>
        </w:tc>
        <w:tc>
          <w:tcPr>
            <w:tcW w:w="968" w:type="dxa"/>
            <w:shd w:val="clear" w:color="auto" w:fill="auto"/>
            <w:noWrap/>
            <w:vAlign w:val="center"/>
          </w:tcPr>
          <w:p w14:paraId="05AF4ABC" w14:textId="77777777" w:rsidR="001200FD" w:rsidRPr="00C47F2F" w:rsidRDefault="001200FD" w:rsidP="0019583E">
            <w:pPr>
              <w:pStyle w:val="Table"/>
              <w:rPr>
                <w:noProof/>
                <w:sz w:val="20"/>
                <w:szCs w:val="20"/>
              </w:rPr>
            </w:pPr>
            <w:r w:rsidRPr="00C47F2F">
              <w:rPr>
                <w:noProof/>
                <w:sz w:val="20"/>
                <w:szCs w:val="20"/>
              </w:rPr>
              <w:t>8.83E-01</w:t>
            </w:r>
          </w:p>
        </w:tc>
        <w:tc>
          <w:tcPr>
            <w:tcW w:w="986" w:type="dxa"/>
            <w:shd w:val="clear" w:color="auto" w:fill="auto"/>
            <w:noWrap/>
            <w:vAlign w:val="center"/>
          </w:tcPr>
          <w:p w14:paraId="30D2B722" w14:textId="77777777" w:rsidR="001200FD" w:rsidRPr="00C47F2F" w:rsidRDefault="001200FD" w:rsidP="0019583E">
            <w:pPr>
              <w:pStyle w:val="Table"/>
              <w:rPr>
                <w:noProof/>
                <w:sz w:val="20"/>
                <w:szCs w:val="20"/>
              </w:rPr>
            </w:pPr>
            <w:r w:rsidRPr="00C47F2F">
              <w:rPr>
                <w:noProof/>
                <w:sz w:val="20"/>
                <w:szCs w:val="20"/>
              </w:rPr>
              <w:t>8.83E-01</w:t>
            </w:r>
          </w:p>
        </w:tc>
        <w:tc>
          <w:tcPr>
            <w:tcW w:w="969" w:type="dxa"/>
            <w:shd w:val="clear" w:color="auto" w:fill="auto"/>
            <w:noWrap/>
            <w:vAlign w:val="center"/>
          </w:tcPr>
          <w:p w14:paraId="1EC86CF8" w14:textId="77777777" w:rsidR="001200FD" w:rsidRPr="00C47F2F" w:rsidRDefault="001200FD" w:rsidP="0019583E">
            <w:pPr>
              <w:pStyle w:val="Table"/>
              <w:rPr>
                <w:noProof/>
                <w:sz w:val="20"/>
                <w:szCs w:val="20"/>
              </w:rPr>
            </w:pPr>
            <w:r w:rsidRPr="00C47F2F">
              <w:rPr>
                <w:noProof/>
                <w:sz w:val="20"/>
                <w:szCs w:val="20"/>
              </w:rPr>
              <w:t>6.41E-01</w:t>
            </w:r>
          </w:p>
        </w:tc>
        <w:tc>
          <w:tcPr>
            <w:tcW w:w="1033" w:type="dxa"/>
            <w:shd w:val="clear" w:color="auto" w:fill="auto"/>
            <w:noWrap/>
            <w:vAlign w:val="center"/>
          </w:tcPr>
          <w:p w14:paraId="0A0922DD" w14:textId="77777777" w:rsidR="001200FD" w:rsidRPr="00C47F2F" w:rsidRDefault="001200FD" w:rsidP="0019583E">
            <w:pPr>
              <w:pStyle w:val="Table"/>
              <w:rPr>
                <w:noProof/>
                <w:sz w:val="20"/>
                <w:szCs w:val="20"/>
              </w:rPr>
            </w:pPr>
            <w:r w:rsidRPr="00C47F2F">
              <w:rPr>
                <w:noProof/>
                <w:sz w:val="20"/>
                <w:szCs w:val="20"/>
              </w:rPr>
              <w:t>6.41E-01</w:t>
            </w:r>
          </w:p>
        </w:tc>
        <w:tc>
          <w:tcPr>
            <w:tcW w:w="971" w:type="dxa"/>
            <w:shd w:val="clear" w:color="auto" w:fill="auto"/>
            <w:noWrap/>
            <w:vAlign w:val="center"/>
          </w:tcPr>
          <w:p w14:paraId="1B8B37AD" w14:textId="77777777" w:rsidR="001200FD" w:rsidRPr="00C47F2F" w:rsidRDefault="001200FD" w:rsidP="0019583E">
            <w:pPr>
              <w:pStyle w:val="Table"/>
              <w:rPr>
                <w:noProof/>
                <w:sz w:val="20"/>
                <w:szCs w:val="20"/>
              </w:rPr>
            </w:pPr>
            <w:r w:rsidRPr="00C47F2F">
              <w:rPr>
                <w:noProof/>
                <w:sz w:val="20"/>
                <w:szCs w:val="20"/>
              </w:rPr>
              <w:t>6.41E-01</w:t>
            </w:r>
          </w:p>
        </w:tc>
        <w:tc>
          <w:tcPr>
            <w:tcW w:w="969" w:type="dxa"/>
            <w:shd w:val="clear" w:color="auto" w:fill="auto"/>
            <w:noWrap/>
            <w:vAlign w:val="center"/>
          </w:tcPr>
          <w:p w14:paraId="46E3B4F3" w14:textId="77777777" w:rsidR="001200FD" w:rsidRPr="00C47F2F" w:rsidRDefault="001200FD" w:rsidP="0019583E">
            <w:pPr>
              <w:pStyle w:val="Table"/>
              <w:rPr>
                <w:noProof/>
                <w:sz w:val="20"/>
                <w:szCs w:val="20"/>
              </w:rPr>
            </w:pPr>
            <w:r w:rsidRPr="00C47F2F">
              <w:rPr>
                <w:noProof/>
                <w:sz w:val="20"/>
                <w:szCs w:val="20"/>
              </w:rPr>
              <w:t>3.93E-01</w:t>
            </w:r>
          </w:p>
        </w:tc>
      </w:tr>
      <w:tr w:rsidR="001200FD" w:rsidRPr="00972C81" w14:paraId="00611718" w14:textId="77777777" w:rsidTr="0019583E">
        <w:trPr>
          <w:trHeight w:val="340"/>
        </w:trPr>
        <w:tc>
          <w:tcPr>
            <w:tcW w:w="3131" w:type="dxa"/>
            <w:shd w:val="clear" w:color="auto" w:fill="auto"/>
            <w:noWrap/>
            <w:vAlign w:val="center"/>
          </w:tcPr>
          <w:p w14:paraId="5C343EA6" w14:textId="02737979" w:rsidR="001200FD" w:rsidRPr="001200FD" w:rsidRDefault="001200FD" w:rsidP="0019583E">
            <w:pPr>
              <w:pStyle w:val="Table"/>
              <w:rPr>
                <w:noProof/>
                <w:sz w:val="20"/>
                <w:szCs w:val="22"/>
              </w:rPr>
            </w:pPr>
            <w:r w:rsidRPr="001200FD">
              <w:rPr>
                <w:noProof/>
                <w:sz w:val="20"/>
                <w:szCs w:val="22"/>
              </w:rPr>
              <w:t>Blood to Trab bone surf</w:t>
            </w:r>
          </w:p>
        </w:tc>
        <w:tc>
          <w:tcPr>
            <w:tcW w:w="968" w:type="dxa"/>
            <w:shd w:val="clear" w:color="auto" w:fill="auto"/>
            <w:noWrap/>
            <w:vAlign w:val="center"/>
          </w:tcPr>
          <w:p w14:paraId="5B544191" w14:textId="77777777" w:rsidR="001200FD" w:rsidRPr="00C47F2F" w:rsidRDefault="001200FD" w:rsidP="0019583E">
            <w:pPr>
              <w:pStyle w:val="Table"/>
              <w:rPr>
                <w:noProof/>
                <w:sz w:val="20"/>
                <w:szCs w:val="20"/>
              </w:rPr>
            </w:pPr>
            <w:r w:rsidRPr="00C47F2F">
              <w:rPr>
                <w:noProof/>
                <w:sz w:val="20"/>
                <w:szCs w:val="20"/>
              </w:rPr>
              <w:t>4.76E-01</w:t>
            </w:r>
          </w:p>
        </w:tc>
        <w:tc>
          <w:tcPr>
            <w:tcW w:w="986" w:type="dxa"/>
            <w:shd w:val="clear" w:color="auto" w:fill="auto"/>
            <w:noWrap/>
            <w:vAlign w:val="center"/>
          </w:tcPr>
          <w:p w14:paraId="4A643AA8" w14:textId="77777777" w:rsidR="001200FD" w:rsidRPr="00C47F2F" w:rsidRDefault="001200FD" w:rsidP="0019583E">
            <w:pPr>
              <w:pStyle w:val="Table"/>
              <w:rPr>
                <w:noProof/>
                <w:sz w:val="20"/>
                <w:szCs w:val="20"/>
              </w:rPr>
            </w:pPr>
            <w:r w:rsidRPr="00C47F2F">
              <w:rPr>
                <w:noProof/>
                <w:sz w:val="20"/>
                <w:szCs w:val="20"/>
              </w:rPr>
              <w:t>4.76E-01</w:t>
            </w:r>
          </w:p>
        </w:tc>
        <w:tc>
          <w:tcPr>
            <w:tcW w:w="969" w:type="dxa"/>
            <w:shd w:val="clear" w:color="auto" w:fill="auto"/>
            <w:noWrap/>
            <w:vAlign w:val="center"/>
          </w:tcPr>
          <w:p w14:paraId="022B16DA" w14:textId="77777777" w:rsidR="001200FD" w:rsidRPr="00C47F2F" w:rsidRDefault="001200FD" w:rsidP="0019583E">
            <w:pPr>
              <w:pStyle w:val="Table"/>
              <w:rPr>
                <w:noProof/>
                <w:sz w:val="20"/>
                <w:szCs w:val="20"/>
              </w:rPr>
            </w:pPr>
            <w:r w:rsidRPr="00C47F2F">
              <w:rPr>
                <w:noProof/>
                <w:sz w:val="20"/>
                <w:szCs w:val="20"/>
              </w:rPr>
              <w:t>5.24E-01</w:t>
            </w:r>
          </w:p>
        </w:tc>
        <w:tc>
          <w:tcPr>
            <w:tcW w:w="1033" w:type="dxa"/>
            <w:shd w:val="clear" w:color="auto" w:fill="auto"/>
            <w:noWrap/>
            <w:vAlign w:val="center"/>
          </w:tcPr>
          <w:p w14:paraId="4A18582D" w14:textId="77777777" w:rsidR="001200FD" w:rsidRPr="00C47F2F" w:rsidRDefault="001200FD" w:rsidP="0019583E">
            <w:pPr>
              <w:pStyle w:val="Table"/>
              <w:rPr>
                <w:noProof/>
                <w:sz w:val="20"/>
                <w:szCs w:val="20"/>
              </w:rPr>
            </w:pPr>
            <w:r w:rsidRPr="00C47F2F">
              <w:rPr>
                <w:noProof/>
                <w:sz w:val="20"/>
                <w:szCs w:val="20"/>
              </w:rPr>
              <w:t>5.24E-01</w:t>
            </w:r>
          </w:p>
        </w:tc>
        <w:tc>
          <w:tcPr>
            <w:tcW w:w="971" w:type="dxa"/>
            <w:shd w:val="clear" w:color="auto" w:fill="auto"/>
            <w:noWrap/>
            <w:vAlign w:val="center"/>
          </w:tcPr>
          <w:p w14:paraId="22FB8BEC" w14:textId="77777777" w:rsidR="001200FD" w:rsidRPr="00C47F2F" w:rsidRDefault="001200FD" w:rsidP="0019583E">
            <w:pPr>
              <w:pStyle w:val="Table"/>
              <w:rPr>
                <w:noProof/>
                <w:sz w:val="20"/>
                <w:szCs w:val="20"/>
              </w:rPr>
            </w:pPr>
            <w:r w:rsidRPr="00C47F2F">
              <w:rPr>
                <w:noProof/>
                <w:sz w:val="20"/>
                <w:szCs w:val="20"/>
              </w:rPr>
              <w:t>5.24E-01</w:t>
            </w:r>
          </w:p>
        </w:tc>
        <w:tc>
          <w:tcPr>
            <w:tcW w:w="969" w:type="dxa"/>
            <w:shd w:val="clear" w:color="auto" w:fill="auto"/>
            <w:noWrap/>
            <w:vAlign w:val="center"/>
          </w:tcPr>
          <w:p w14:paraId="2733917C" w14:textId="77777777" w:rsidR="001200FD" w:rsidRPr="00C47F2F" w:rsidRDefault="001200FD" w:rsidP="0019583E">
            <w:pPr>
              <w:pStyle w:val="Table"/>
              <w:rPr>
                <w:noProof/>
                <w:sz w:val="20"/>
                <w:szCs w:val="20"/>
              </w:rPr>
            </w:pPr>
            <w:r w:rsidRPr="00C47F2F">
              <w:rPr>
                <w:noProof/>
                <w:sz w:val="20"/>
                <w:szCs w:val="20"/>
              </w:rPr>
              <w:t>4.80E-01</w:t>
            </w:r>
          </w:p>
        </w:tc>
      </w:tr>
      <w:tr w:rsidR="001200FD" w:rsidRPr="00972C81" w14:paraId="3D798D98" w14:textId="77777777" w:rsidTr="0019583E">
        <w:trPr>
          <w:trHeight w:val="340"/>
        </w:trPr>
        <w:tc>
          <w:tcPr>
            <w:tcW w:w="3131" w:type="dxa"/>
            <w:shd w:val="clear" w:color="auto" w:fill="auto"/>
            <w:noWrap/>
            <w:vAlign w:val="center"/>
          </w:tcPr>
          <w:p w14:paraId="27BFAD6A" w14:textId="7B8C45E7" w:rsidR="001200FD" w:rsidRPr="001200FD" w:rsidRDefault="001200FD" w:rsidP="0019583E">
            <w:pPr>
              <w:pStyle w:val="Table"/>
              <w:rPr>
                <w:noProof/>
                <w:sz w:val="20"/>
                <w:szCs w:val="22"/>
              </w:rPr>
            </w:pPr>
            <w:r w:rsidRPr="001200FD">
              <w:rPr>
                <w:noProof/>
                <w:sz w:val="20"/>
                <w:szCs w:val="22"/>
              </w:rPr>
              <w:t>Blood to Urinary bladder cont</w:t>
            </w:r>
          </w:p>
        </w:tc>
        <w:tc>
          <w:tcPr>
            <w:tcW w:w="968" w:type="dxa"/>
            <w:shd w:val="clear" w:color="auto" w:fill="auto"/>
            <w:noWrap/>
            <w:vAlign w:val="center"/>
          </w:tcPr>
          <w:p w14:paraId="7F6C901A" w14:textId="77777777" w:rsidR="001200FD" w:rsidRPr="00C47F2F" w:rsidRDefault="001200FD" w:rsidP="0019583E">
            <w:pPr>
              <w:pStyle w:val="Table"/>
              <w:rPr>
                <w:noProof/>
                <w:sz w:val="20"/>
                <w:szCs w:val="20"/>
              </w:rPr>
            </w:pPr>
            <w:r w:rsidRPr="00C47F2F">
              <w:rPr>
                <w:noProof/>
                <w:sz w:val="20"/>
                <w:szCs w:val="20"/>
              </w:rPr>
              <w:t>2.72E-01</w:t>
            </w:r>
          </w:p>
        </w:tc>
        <w:tc>
          <w:tcPr>
            <w:tcW w:w="986" w:type="dxa"/>
            <w:shd w:val="clear" w:color="auto" w:fill="auto"/>
            <w:noWrap/>
            <w:vAlign w:val="center"/>
          </w:tcPr>
          <w:p w14:paraId="02E12072" w14:textId="77777777" w:rsidR="001200FD" w:rsidRPr="00C47F2F" w:rsidRDefault="001200FD" w:rsidP="0019583E">
            <w:pPr>
              <w:pStyle w:val="Table"/>
              <w:rPr>
                <w:noProof/>
                <w:sz w:val="20"/>
                <w:szCs w:val="20"/>
              </w:rPr>
            </w:pPr>
            <w:r w:rsidRPr="00C47F2F">
              <w:rPr>
                <w:noProof/>
                <w:sz w:val="20"/>
                <w:szCs w:val="20"/>
              </w:rPr>
              <w:t>2.72E-01</w:t>
            </w:r>
          </w:p>
        </w:tc>
        <w:tc>
          <w:tcPr>
            <w:tcW w:w="969" w:type="dxa"/>
            <w:shd w:val="clear" w:color="auto" w:fill="auto"/>
            <w:noWrap/>
            <w:vAlign w:val="center"/>
          </w:tcPr>
          <w:p w14:paraId="11A67794" w14:textId="77777777" w:rsidR="001200FD" w:rsidRPr="00C47F2F" w:rsidRDefault="001200FD" w:rsidP="0019583E">
            <w:pPr>
              <w:pStyle w:val="Table"/>
              <w:rPr>
                <w:noProof/>
                <w:sz w:val="20"/>
                <w:szCs w:val="20"/>
              </w:rPr>
            </w:pPr>
            <w:r w:rsidRPr="00C47F2F">
              <w:rPr>
                <w:noProof/>
                <w:sz w:val="20"/>
                <w:szCs w:val="20"/>
              </w:rPr>
              <w:t>4.27E-01</w:t>
            </w:r>
          </w:p>
        </w:tc>
        <w:tc>
          <w:tcPr>
            <w:tcW w:w="1033" w:type="dxa"/>
            <w:shd w:val="clear" w:color="auto" w:fill="auto"/>
            <w:noWrap/>
            <w:vAlign w:val="center"/>
          </w:tcPr>
          <w:p w14:paraId="3A462B28" w14:textId="77777777" w:rsidR="001200FD" w:rsidRPr="00C47F2F" w:rsidRDefault="001200FD" w:rsidP="0019583E">
            <w:pPr>
              <w:pStyle w:val="Table"/>
              <w:rPr>
                <w:noProof/>
                <w:sz w:val="20"/>
                <w:szCs w:val="20"/>
              </w:rPr>
            </w:pPr>
            <w:r w:rsidRPr="00C47F2F">
              <w:rPr>
                <w:noProof/>
                <w:sz w:val="20"/>
                <w:szCs w:val="20"/>
              </w:rPr>
              <w:t>4.27E-01</w:t>
            </w:r>
          </w:p>
        </w:tc>
        <w:tc>
          <w:tcPr>
            <w:tcW w:w="971" w:type="dxa"/>
            <w:shd w:val="clear" w:color="auto" w:fill="auto"/>
            <w:noWrap/>
            <w:vAlign w:val="center"/>
          </w:tcPr>
          <w:p w14:paraId="30F26577" w14:textId="77777777" w:rsidR="001200FD" w:rsidRPr="00C47F2F" w:rsidRDefault="001200FD" w:rsidP="0019583E">
            <w:pPr>
              <w:pStyle w:val="Table"/>
              <w:rPr>
                <w:noProof/>
                <w:sz w:val="20"/>
                <w:szCs w:val="20"/>
              </w:rPr>
            </w:pPr>
            <w:r w:rsidRPr="00C47F2F">
              <w:rPr>
                <w:noProof/>
                <w:sz w:val="20"/>
                <w:szCs w:val="20"/>
              </w:rPr>
              <w:t>4.27E-01</w:t>
            </w:r>
          </w:p>
        </w:tc>
        <w:tc>
          <w:tcPr>
            <w:tcW w:w="969" w:type="dxa"/>
            <w:shd w:val="clear" w:color="auto" w:fill="auto"/>
            <w:noWrap/>
            <w:vAlign w:val="center"/>
          </w:tcPr>
          <w:p w14:paraId="5E2B4817" w14:textId="77777777" w:rsidR="001200FD" w:rsidRPr="00C47F2F" w:rsidRDefault="001200FD" w:rsidP="0019583E">
            <w:pPr>
              <w:pStyle w:val="Table"/>
              <w:rPr>
                <w:noProof/>
                <w:sz w:val="20"/>
                <w:szCs w:val="20"/>
              </w:rPr>
            </w:pPr>
            <w:r w:rsidRPr="00C47F2F">
              <w:rPr>
                <w:noProof/>
                <w:sz w:val="20"/>
                <w:szCs w:val="20"/>
              </w:rPr>
              <w:t>6.21E-01</w:t>
            </w:r>
          </w:p>
        </w:tc>
      </w:tr>
      <w:tr w:rsidR="001200FD" w:rsidRPr="00972C81" w14:paraId="4E7E2CB4" w14:textId="77777777" w:rsidTr="0019583E">
        <w:trPr>
          <w:trHeight w:val="340"/>
        </w:trPr>
        <w:tc>
          <w:tcPr>
            <w:tcW w:w="3131" w:type="dxa"/>
            <w:shd w:val="clear" w:color="auto" w:fill="auto"/>
            <w:noWrap/>
            <w:vAlign w:val="center"/>
          </w:tcPr>
          <w:p w14:paraId="7B39E7FE" w14:textId="16BFD734" w:rsidR="001200FD" w:rsidRPr="001200FD" w:rsidRDefault="001200FD" w:rsidP="0019583E">
            <w:pPr>
              <w:pStyle w:val="Table"/>
              <w:rPr>
                <w:noProof/>
                <w:sz w:val="20"/>
                <w:szCs w:val="22"/>
              </w:rPr>
            </w:pPr>
            <w:r w:rsidRPr="001200FD">
              <w:rPr>
                <w:noProof/>
                <w:sz w:val="20"/>
                <w:szCs w:val="22"/>
              </w:rPr>
              <w:t>Blood to Kidneys 1</w:t>
            </w:r>
          </w:p>
        </w:tc>
        <w:tc>
          <w:tcPr>
            <w:tcW w:w="968" w:type="dxa"/>
            <w:shd w:val="clear" w:color="auto" w:fill="auto"/>
            <w:noWrap/>
            <w:vAlign w:val="center"/>
          </w:tcPr>
          <w:p w14:paraId="7785EB10" w14:textId="77777777" w:rsidR="001200FD" w:rsidRPr="00C47F2F" w:rsidRDefault="001200FD" w:rsidP="0019583E">
            <w:pPr>
              <w:pStyle w:val="Table"/>
              <w:rPr>
                <w:noProof/>
                <w:sz w:val="20"/>
                <w:szCs w:val="20"/>
              </w:rPr>
            </w:pPr>
            <w:r w:rsidRPr="00C47F2F">
              <w:rPr>
                <w:noProof/>
                <w:sz w:val="20"/>
                <w:szCs w:val="20"/>
              </w:rPr>
              <w:t>2.91E-02</w:t>
            </w:r>
          </w:p>
        </w:tc>
        <w:tc>
          <w:tcPr>
            <w:tcW w:w="986" w:type="dxa"/>
            <w:shd w:val="clear" w:color="auto" w:fill="auto"/>
            <w:noWrap/>
            <w:vAlign w:val="center"/>
          </w:tcPr>
          <w:p w14:paraId="6797C550" w14:textId="77777777" w:rsidR="001200FD" w:rsidRPr="00C47F2F" w:rsidRDefault="001200FD" w:rsidP="0019583E">
            <w:pPr>
              <w:pStyle w:val="Table"/>
              <w:rPr>
                <w:noProof/>
                <w:sz w:val="20"/>
                <w:szCs w:val="20"/>
              </w:rPr>
            </w:pPr>
            <w:r w:rsidRPr="00C47F2F">
              <w:rPr>
                <w:noProof/>
                <w:sz w:val="20"/>
                <w:szCs w:val="20"/>
              </w:rPr>
              <w:t>2.91E-02</w:t>
            </w:r>
          </w:p>
        </w:tc>
        <w:tc>
          <w:tcPr>
            <w:tcW w:w="969" w:type="dxa"/>
            <w:shd w:val="clear" w:color="auto" w:fill="auto"/>
            <w:noWrap/>
            <w:vAlign w:val="center"/>
          </w:tcPr>
          <w:p w14:paraId="44797BAF" w14:textId="77777777" w:rsidR="001200FD" w:rsidRPr="00C47F2F" w:rsidRDefault="001200FD" w:rsidP="0019583E">
            <w:pPr>
              <w:pStyle w:val="Table"/>
              <w:rPr>
                <w:noProof/>
                <w:sz w:val="20"/>
                <w:szCs w:val="20"/>
              </w:rPr>
            </w:pPr>
            <w:r w:rsidRPr="00C47F2F">
              <w:rPr>
                <w:noProof/>
                <w:sz w:val="20"/>
                <w:szCs w:val="20"/>
              </w:rPr>
              <w:t>2.91E-02</w:t>
            </w:r>
          </w:p>
        </w:tc>
        <w:tc>
          <w:tcPr>
            <w:tcW w:w="1033" w:type="dxa"/>
            <w:shd w:val="clear" w:color="auto" w:fill="auto"/>
            <w:noWrap/>
            <w:vAlign w:val="center"/>
          </w:tcPr>
          <w:p w14:paraId="038AB874" w14:textId="77777777" w:rsidR="001200FD" w:rsidRPr="00C47F2F" w:rsidRDefault="001200FD" w:rsidP="0019583E">
            <w:pPr>
              <w:pStyle w:val="Table"/>
              <w:rPr>
                <w:noProof/>
                <w:sz w:val="20"/>
                <w:szCs w:val="20"/>
              </w:rPr>
            </w:pPr>
            <w:r w:rsidRPr="00C47F2F">
              <w:rPr>
                <w:noProof/>
                <w:sz w:val="20"/>
                <w:szCs w:val="20"/>
              </w:rPr>
              <w:t>2.91E-02</w:t>
            </w:r>
          </w:p>
        </w:tc>
        <w:tc>
          <w:tcPr>
            <w:tcW w:w="971" w:type="dxa"/>
            <w:shd w:val="clear" w:color="auto" w:fill="auto"/>
            <w:noWrap/>
            <w:vAlign w:val="center"/>
          </w:tcPr>
          <w:p w14:paraId="7BD2DF60" w14:textId="77777777" w:rsidR="001200FD" w:rsidRPr="00C47F2F" w:rsidRDefault="001200FD" w:rsidP="0019583E">
            <w:pPr>
              <w:pStyle w:val="Table"/>
              <w:rPr>
                <w:noProof/>
                <w:sz w:val="20"/>
                <w:szCs w:val="20"/>
              </w:rPr>
            </w:pPr>
            <w:r w:rsidRPr="00C47F2F">
              <w:rPr>
                <w:noProof/>
                <w:sz w:val="20"/>
                <w:szCs w:val="20"/>
              </w:rPr>
              <w:t>2.91E-02</w:t>
            </w:r>
          </w:p>
        </w:tc>
        <w:tc>
          <w:tcPr>
            <w:tcW w:w="969" w:type="dxa"/>
            <w:shd w:val="clear" w:color="auto" w:fill="auto"/>
            <w:noWrap/>
            <w:vAlign w:val="center"/>
          </w:tcPr>
          <w:p w14:paraId="63D070A4" w14:textId="77777777" w:rsidR="001200FD" w:rsidRPr="00C47F2F" w:rsidRDefault="001200FD" w:rsidP="0019583E">
            <w:pPr>
              <w:pStyle w:val="Table"/>
              <w:rPr>
                <w:noProof/>
                <w:sz w:val="20"/>
                <w:szCs w:val="20"/>
              </w:rPr>
            </w:pPr>
            <w:r w:rsidRPr="00C47F2F">
              <w:rPr>
                <w:noProof/>
                <w:sz w:val="20"/>
                <w:szCs w:val="20"/>
              </w:rPr>
              <w:t>2.91E-02</w:t>
            </w:r>
          </w:p>
        </w:tc>
      </w:tr>
      <w:tr w:rsidR="001200FD" w:rsidRPr="00972C81" w14:paraId="4D67B703" w14:textId="77777777" w:rsidTr="0019583E">
        <w:trPr>
          <w:trHeight w:val="340"/>
        </w:trPr>
        <w:tc>
          <w:tcPr>
            <w:tcW w:w="3131" w:type="dxa"/>
            <w:shd w:val="clear" w:color="auto" w:fill="auto"/>
            <w:noWrap/>
            <w:vAlign w:val="center"/>
          </w:tcPr>
          <w:p w14:paraId="5985C929" w14:textId="6456546A" w:rsidR="001200FD" w:rsidRPr="001200FD" w:rsidRDefault="001200FD" w:rsidP="0019583E">
            <w:pPr>
              <w:pStyle w:val="Table"/>
              <w:rPr>
                <w:noProof/>
                <w:sz w:val="20"/>
                <w:szCs w:val="22"/>
              </w:rPr>
            </w:pPr>
            <w:r w:rsidRPr="001200FD">
              <w:rPr>
                <w:noProof/>
                <w:sz w:val="20"/>
                <w:szCs w:val="22"/>
              </w:rPr>
              <w:t>Blood to Kidneys 2</w:t>
            </w:r>
          </w:p>
        </w:tc>
        <w:tc>
          <w:tcPr>
            <w:tcW w:w="968" w:type="dxa"/>
            <w:shd w:val="clear" w:color="auto" w:fill="auto"/>
            <w:noWrap/>
            <w:vAlign w:val="center"/>
          </w:tcPr>
          <w:p w14:paraId="7C830694" w14:textId="77777777" w:rsidR="001200FD" w:rsidRPr="00C47F2F" w:rsidRDefault="001200FD" w:rsidP="0019583E">
            <w:pPr>
              <w:pStyle w:val="Table"/>
              <w:rPr>
                <w:noProof/>
                <w:sz w:val="20"/>
                <w:szCs w:val="20"/>
              </w:rPr>
            </w:pPr>
            <w:r w:rsidRPr="00C47F2F">
              <w:rPr>
                <w:noProof/>
                <w:sz w:val="20"/>
                <w:szCs w:val="20"/>
              </w:rPr>
              <w:t>9.70E-03</w:t>
            </w:r>
          </w:p>
        </w:tc>
        <w:tc>
          <w:tcPr>
            <w:tcW w:w="986" w:type="dxa"/>
            <w:shd w:val="clear" w:color="auto" w:fill="auto"/>
            <w:noWrap/>
            <w:vAlign w:val="center"/>
          </w:tcPr>
          <w:p w14:paraId="49A0500E" w14:textId="77777777" w:rsidR="001200FD" w:rsidRPr="00C47F2F" w:rsidRDefault="001200FD" w:rsidP="0019583E">
            <w:pPr>
              <w:pStyle w:val="Table"/>
              <w:rPr>
                <w:noProof/>
                <w:sz w:val="20"/>
                <w:szCs w:val="20"/>
              </w:rPr>
            </w:pPr>
            <w:r w:rsidRPr="00C47F2F">
              <w:rPr>
                <w:noProof/>
                <w:sz w:val="20"/>
                <w:szCs w:val="20"/>
              </w:rPr>
              <w:t>9.70E-03</w:t>
            </w:r>
          </w:p>
        </w:tc>
        <w:tc>
          <w:tcPr>
            <w:tcW w:w="969" w:type="dxa"/>
            <w:shd w:val="clear" w:color="auto" w:fill="auto"/>
            <w:noWrap/>
            <w:vAlign w:val="center"/>
          </w:tcPr>
          <w:p w14:paraId="262BFF55" w14:textId="77777777" w:rsidR="001200FD" w:rsidRPr="00C47F2F" w:rsidRDefault="001200FD" w:rsidP="0019583E">
            <w:pPr>
              <w:pStyle w:val="Table"/>
              <w:rPr>
                <w:noProof/>
                <w:sz w:val="20"/>
                <w:szCs w:val="20"/>
              </w:rPr>
            </w:pPr>
            <w:r w:rsidRPr="00C47F2F">
              <w:rPr>
                <w:noProof/>
                <w:sz w:val="20"/>
                <w:szCs w:val="20"/>
              </w:rPr>
              <w:t>9.70E-03</w:t>
            </w:r>
          </w:p>
        </w:tc>
        <w:tc>
          <w:tcPr>
            <w:tcW w:w="1033" w:type="dxa"/>
            <w:shd w:val="clear" w:color="auto" w:fill="auto"/>
            <w:noWrap/>
            <w:vAlign w:val="center"/>
          </w:tcPr>
          <w:p w14:paraId="00EF15FB" w14:textId="77777777" w:rsidR="001200FD" w:rsidRPr="00C47F2F" w:rsidRDefault="001200FD" w:rsidP="0019583E">
            <w:pPr>
              <w:pStyle w:val="Table"/>
              <w:rPr>
                <w:noProof/>
                <w:sz w:val="20"/>
                <w:szCs w:val="20"/>
              </w:rPr>
            </w:pPr>
            <w:r w:rsidRPr="00C47F2F">
              <w:rPr>
                <w:noProof/>
                <w:sz w:val="20"/>
                <w:szCs w:val="20"/>
              </w:rPr>
              <w:t>9.70E-03</w:t>
            </w:r>
          </w:p>
        </w:tc>
        <w:tc>
          <w:tcPr>
            <w:tcW w:w="971" w:type="dxa"/>
            <w:shd w:val="clear" w:color="auto" w:fill="auto"/>
            <w:noWrap/>
            <w:vAlign w:val="center"/>
          </w:tcPr>
          <w:p w14:paraId="6F2AF734" w14:textId="77777777" w:rsidR="001200FD" w:rsidRPr="00C47F2F" w:rsidRDefault="001200FD" w:rsidP="0019583E">
            <w:pPr>
              <w:pStyle w:val="Table"/>
              <w:rPr>
                <w:noProof/>
                <w:sz w:val="20"/>
                <w:szCs w:val="20"/>
              </w:rPr>
            </w:pPr>
            <w:r w:rsidRPr="00C47F2F">
              <w:rPr>
                <w:noProof/>
                <w:sz w:val="20"/>
                <w:szCs w:val="20"/>
              </w:rPr>
              <w:t>9.70E-03</w:t>
            </w:r>
          </w:p>
        </w:tc>
        <w:tc>
          <w:tcPr>
            <w:tcW w:w="969" w:type="dxa"/>
            <w:shd w:val="clear" w:color="auto" w:fill="auto"/>
            <w:noWrap/>
            <w:vAlign w:val="center"/>
          </w:tcPr>
          <w:p w14:paraId="5E5A687F" w14:textId="77777777" w:rsidR="001200FD" w:rsidRPr="00C47F2F" w:rsidRDefault="001200FD" w:rsidP="0019583E">
            <w:pPr>
              <w:pStyle w:val="Table"/>
              <w:rPr>
                <w:noProof/>
                <w:sz w:val="20"/>
                <w:szCs w:val="20"/>
              </w:rPr>
            </w:pPr>
            <w:r w:rsidRPr="00C47F2F">
              <w:rPr>
                <w:noProof/>
                <w:sz w:val="20"/>
                <w:szCs w:val="20"/>
              </w:rPr>
              <w:t>9.70E-03</w:t>
            </w:r>
          </w:p>
        </w:tc>
      </w:tr>
      <w:tr w:rsidR="001200FD" w:rsidRPr="00972C81" w14:paraId="00B5CB7A" w14:textId="77777777" w:rsidTr="0019583E">
        <w:trPr>
          <w:trHeight w:val="340"/>
        </w:trPr>
        <w:tc>
          <w:tcPr>
            <w:tcW w:w="3131" w:type="dxa"/>
            <w:shd w:val="clear" w:color="auto" w:fill="auto"/>
            <w:noWrap/>
            <w:vAlign w:val="center"/>
          </w:tcPr>
          <w:p w14:paraId="1EE4D6FE" w14:textId="6847079D" w:rsidR="001200FD" w:rsidRPr="001200FD" w:rsidRDefault="001200FD" w:rsidP="0019583E">
            <w:pPr>
              <w:pStyle w:val="Table"/>
              <w:rPr>
                <w:noProof/>
                <w:sz w:val="20"/>
                <w:szCs w:val="22"/>
              </w:rPr>
            </w:pPr>
            <w:r w:rsidRPr="001200FD">
              <w:rPr>
                <w:noProof/>
                <w:sz w:val="20"/>
                <w:szCs w:val="22"/>
              </w:rPr>
              <w:t>Blood to Right colon cont</w:t>
            </w:r>
          </w:p>
        </w:tc>
        <w:tc>
          <w:tcPr>
            <w:tcW w:w="968" w:type="dxa"/>
            <w:shd w:val="clear" w:color="auto" w:fill="auto"/>
            <w:noWrap/>
            <w:vAlign w:val="center"/>
          </w:tcPr>
          <w:p w14:paraId="4C188D23" w14:textId="77777777" w:rsidR="001200FD" w:rsidRPr="00C47F2F" w:rsidRDefault="001200FD" w:rsidP="0019583E">
            <w:pPr>
              <w:pStyle w:val="Table"/>
              <w:rPr>
                <w:noProof/>
                <w:sz w:val="20"/>
                <w:szCs w:val="20"/>
              </w:rPr>
            </w:pPr>
            <w:r w:rsidRPr="00C47F2F">
              <w:rPr>
                <w:noProof/>
                <w:sz w:val="20"/>
                <w:szCs w:val="20"/>
              </w:rPr>
              <w:t>1.36E-02</w:t>
            </w:r>
          </w:p>
        </w:tc>
        <w:tc>
          <w:tcPr>
            <w:tcW w:w="986" w:type="dxa"/>
            <w:shd w:val="clear" w:color="auto" w:fill="auto"/>
            <w:noWrap/>
            <w:vAlign w:val="center"/>
          </w:tcPr>
          <w:p w14:paraId="64EB60C3" w14:textId="77777777" w:rsidR="001200FD" w:rsidRPr="00C47F2F" w:rsidRDefault="001200FD" w:rsidP="0019583E">
            <w:pPr>
              <w:pStyle w:val="Table"/>
              <w:rPr>
                <w:noProof/>
                <w:sz w:val="20"/>
                <w:szCs w:val="20"/>
              </w:rPr>
            </w:pPr>
            <w:r w:rsidRPr="00C47F2F">
              <w:rPr>
                <w:noProof/>
                <w:sz w:val="20"/>
                <w:szCs w:val="20"/>
              </w:rPr>
              <w:t>1.36E-02</w:t>
            </w:r>
          </w:p>
        </w:tc>
        <w:tc>
          <w:tcPr>
            <w:tcW w:w="969" w:type="dxa"/>
            <w:shd w:val="clear" w:color="auto" w:fill="auto"/>
            <w:noWrap/>
            <w:vAlign w:val="center"/>
          </w:tcPr>
          <w:p w14:paraId="34EC0C01" w14:textId="77777777" w:rsidR="001200FD" w:rsidRPr="00C47F2F" w:rsidRDefault="001200FD" w:rsidP="0019583E">
            <w:pPr>
              <w:pStyle w:val="Table"/>
              <w:rPr>
                <w:noProof/>
                <w:sz w:val="20"/>
                <w:szCs w:val="20"/>
              </w:rPr>
            </w:pPr>
            <w:r w:rsidRPr="00C47F2F">
              <w:rPr>
                <w:noProof/>
                <w:sz w:val="20"/>
                <w:szCs w:val="20"/>
              </w:rPr>
              <w:t>1.36E-02</w:t>
            </w:r>
          </w:p>
        </w:tc>
        <w:tc>
          <w:tcPr>
            <w:tcW w:w="1033" w:type="dxa"/>
            <w:shd w:val="clear" w:color="auto" w:fill="auto"/>
            <w:noWrap/>
            <w:vAlign w:val="center"/>
          </w:tcPr>
          <w:p w14:paraId="5E95632B" w14:textId="77777777" w:rsidR="001200FD" w:rsidRPr="00C47F2F" w:rsidRDefault="001200FD" w:rsidP="0019583E">
            <w:pPr>
              <w:pStyle w:val="Table"/>
              <w:rPr>
                <w:noProof/>
                <w:sz w:val="20"/>
                <w:szCs w:val="20"/>
              </w:rPr>
            </w:pPr>
            <w:r w:rsidRPr="00C47F2F">
              <w:rPr>
                <w:noProof/>
                <w:sz w:val="20"/>
                <w:szCs w:val="20"/>
              </w:rPr>
              <w:t>1.36E-02</w:t>
            </w:r>
          </w:p>
        </w:tc>
        <w:tc>
          <w:tcPr>
            <w:tcW w:w="971" w:type="dxa"/>
            <w:shd w:val="clear" w:color="auto" w:fill="auto"/>
            <w:noWrap/>
            <w:vAlign w:val="center"/>
          </w:tcPr>
          <w:p w14:paraId="240A5C8A" w14:textId="77777777" w:rsidR="001200FD" w:rsidRPr="00C47F2F" w:rsidRDefault="001200FD" w:rsidP="0019583E">
            <w:pPr>
              <w:pStyle w:val="Table"/>
              <w:rPr>
                <w:noProof/>
                <w:sz w:val="20"/>
                <w:szCs w:val="20"/>
              </w:rPr>
            </w:pPr>
            <w:r w:rsidRPr="00C47F2F">
              <w:rPr>
                <w:noProof/>
                <w:sz w:val="20"/>
                <w:szCs w:val="20"/>
              </w:rPr>
              <w:t>1.36E-02</w:t>
            </w:r>
          </w:p>
        </w:tc>
        <w:tc>
          <w:tcPr>
            <w:tcW w:w="969" w:type="dxa"/>
            <w:shd w:val="clear" w:color="auto" w:fill="auto"/>
            <w:noWrap/>
            <w:vAlign w:val="center"/>
          </w:tcPr>
          <w:p w14:paraId="3C8CCD89" w14:textId="77777777" w:rsidR="001200FD" w:rsidRPr="00C47F2F" w:rsidRDefault="001200FD" w:rsidP="0019583E">
            <w:pPr>
              <w:pStyle w:val="Table"/>
              <w:rPr>
                <w:noProof/>
                <w:sz w:val="20"/>
                <w:szCs w:val="20"/>
              </w:rPr>
            </w:pPr>
            <w:r w:rsidRPr="00C47F2F">
              <w:rPr>
                <w:noProof/>
                <w:sz w:val="20"/>
                <w:szCs w:val="20"/>
              </w:rPr>
              <w:t>1.36E-02</w:t>
            </w:r>
          </w:p>
        </w:tc>
      </w:tr>
      <w:tr w:rsidR="001200FD" w:rsidRPr="00972C81" w14:paraId="40E98A0F" w14:textId="77777777" w:rsidTr="0019583E">
        <w:trPr>
          <w:trHeight w:val="340"/>
        </w:trPr>
        <w:tc>
          <w:tcPr>
            <w:tcW w:w="3131" w:type="dxa"/>
            <w:shd w:val="clear" w:color="auto" w:fill="auto"/>
            <w:noWrap/>
            <w:vAlign w:val="center"/>
          </w:tcPr>
          <w:p w14:paraId="594BBE77" w14:textId="6A68F5F2" w:rsidR="001200FD" w:rsidRPr="001200FD" w:rsidRDefault="001200FD" w:rsidP="0019583E">
            <w:pPr>
              <w:pStyle w:val="Table"/>
              <w:rPr>
                <w:noProof/>
                <w:sz w:val="20"/>
                <w:szCs w:val="22"/>
              </w:rPr>
            </w:pPr>
            <w:r w:rsidRPr="001200FD">
              <w:rPr>
                <w:noProof/>
                <w:sz w:val="20"/>
                <w:szCs w:val="22"/>
              </w:rPr>
              <w:t>Blood to Testes</w:t>
            </w:r>
          </w:p>
        </w:tc>
        <w:tc>
          <w:tcPr>
            <w:tcW w:w="968" w:type="dxa"/>
            <w:shd w:val="clear" w:color="auto" w:fill="auto"/>
            <w:noWrap/>
            <w:vAlign w:val="center"/>
          </w:tcPr>
          <w:p w14:paraId="49D6CF72" w14:textId="77777777" w:rsidR="001200FD" w:rsidRPr="00C47F2F" w:rsidRDefault="001200FD" w:rsidP="0019583E">
            <w:pPr>
              <w:pStyle w:val="Table"/>
              <w:rPr>
                <w:noProof/>
                <w:sz w:val="20"/>
                <w:szCs w:val="20"/>
              </w:rPr>
            </w:pPr>
            <w:r w:rsidRPr="00C47F2F">
              <w:rPr>
                <w:noProof/>
                <w:sz w:val="20"/>
                <w:szCs w:val="20"/>
              </w:rPr>
              <w:t>3.90E-05</w:t>
            </w:r>
          </w:p>
        </w:tc>
        <w:tc>
          <w:tcPr>
            <w:tcW w:w="986" w:type="dxa"/>
            <w:shd w:val="clear" w:color="auto" w:fill="auto"/>
            <w:noWrap/>
            <w:vAlign w:val="center"/>
          </w:tcPr>
          <w:p w14:paraId="50E12327" w14:textId="77777777" w:rsidR="001200FD" w:rsidRPr="00C47F2F" w:rsidRDefault="001200FD" w:rsidP="0019583E">
            <w:pPr>
              <w:pStyle w:val="Table"/>
              <w:rPr>
                <w:noProof/>
                <w:sz w:val="20"/>
                <w:szCs w:val="20"/>
              </w:rPr>
            </w:pPr>
            <w:r w:rsidRPr="00C47F2F">
              <w:rPr>
                <w:noProof/>
                <w:sz w:val="20"/>
                <w:szCs w:val="20"/>
              </w:rPr>
              <w:t>5.80E-05</w:t>
            </w:r>
          </w:p>
        </w:tc>
        <w:tc>
          <w:tcPr>
            <w:tcW w:w="969" w:type="dxa"/>
            <w:shd w:val="clear" w:color="auto" w:fill="auto"/>
            <w:noWrap/>
            <w:vAlign w:val="center"/>
          </w:tcPr>
          <w:p w14:paraId="680E67BB" w14:textId="77777777" w:rsidR="001200FD" w:rsidRPr="00C47F2F" w:rsidRDefault="001200FD" w:rsidP="0019583E">
            <w:pPr>
              <w:pStyle w:val="Table"/>
              <w:rPr>
                <w:noProof/>
                <w:sz w:val="20"/>
                <w:szCs w:val="20"/>
              </w:rPr>
            </w:pPr>
            <w:r w:rsidRPr="00C47F2F">
              <w:rPr>
                <w:noProof/>
                <w:sz w:val="20"/>
                <w:szCs w:val="20"/>
              </w:rPr>
              <w:t>6.60E-05</w:t>
            </w:r>
          </w:p>
        </w:tc>
        <w:tc>
          <w:tcPr>
            <w:tcW w:w="1033" w:type="dxa"/>
            <w:shd w:val="clear" w:color="auto" w:fill="auto"/>
            <w:noWrap/>
            <w:vAlign w:val="center"/>
          </w:tcPr>
          <w:p w14:paraId="0BAE659A" w14:textId="77777777" w:rsidR="001200FD" w:rsidRPr="00C47F2F" w:rsidRDefault="001200FD" w:rsidP="0019583E">
            <w:pPr>
              <w:pStyle w:val="Table"/>
              <w:rPr>
                <w:noProof/>
                <w:sz w:val="20"/>
                <w:szCs w:val="20"/>
              </w:rPr>
            </w:pPr>
            <w:r w:rsidRPr="00C47F2F">
              <w:rPr>
                <w:noProof/>
                <w:sz w:val="20"/>
                <w:szCs w:val="20"/>
              </w:rPr>
              <w:t>7.80E-05</w:t>
            </w:r>
          </w:p>
        </w:tc>
        <w:tc>
          <w:tcPr>
            <w:tcW w:w="971" w:type="dxa"/>
            <w:shd w:val="clear" w:color="auto" w:fill="auto"/>
            <w:noWrap/>
            <w:vAlign w:val="center"/>
          </w:tcPr>
          <w:p w14:paraId="3C7C714E" w14:textId="77777777" w:rsidR="001200FD" w:rsidRPr="00C47F2F" w:rsidRDefault="001200FD" w:rsidP="0019583E">
            <w:pPr>
              <w:pStyle w:val="Table"/>
              <w:rPr>
                <w:noProof/>
                <w:sz w:val="20"/>
                <w:szCs w:val="20"/>
              </w:rPr>
            </w:pPr>
            <w:r w:rsidRPr="00C47F2F">
              <w:rPr>
                <w:noProof/>
                <w:sz w:val="20"/>
                <w:szCs w:val="20"/>
              </w:rPr>
              <w:t>6.20E-04</w:t>
            </w:r>
          </w:p>
        </w:tc>
        <w:tc>
          <w:tcPr>
            <w:tcW w:w="969" w:type="dxa"/>
            <w:shd w:val="clear" w:color="auto" w:fill="auto"/>
            <w:noWrap/>
            <w:vAlign w:val="center"/>
          </w:tcPr>
          <w:p w14:paraId="0D138532" w14:textId="77777777" w:rsidR="001200FD" w:rsidRPr="00C47F2F" w:rsidRDefault="001200FD" w:rsidP="0019583E">
            <w:pPr>
              <w:pStyle w:val="Table"/>
              <w:rPr>
                <w:noProof/>
                <w:sz w:val="20"/>
                <w:szCs w:val="20"/>
              </w:rPr>
            </w:pPr>
            <w:r w:rsidRPr="00C47F2F">
              <w:rPr>
                <w:noProof/>
                <w:sz w:val="20"/>
                <w:szCs w:val="20"/>
              </w:rPr>
              <w:t>6.80E-04</w:t>
            </w:r>
          </w:p>
        </w:tc>
      </w:tr>
      <w:tr w:rsidR="001200FD" w:rsidRPr="00972C81" w14:paraId="7A112B8C" w14:textId="77777777" w:rsidTr="0019583E">
        <w:trPr>
          <w:trHeight w:val="340"/>
        </w:trPr>
        <w:tc>
          <w:tcPr>
            <w:tcW w:w="3131" w:type="dxa"/>
            <w:shd w:val="clear" w:color="auto" w:fill="auto"/>
            <w:noWrap/>
            <w:vAlign w:val="center"/>
          </w:tcPr>
          <w:p w14:paraId="5A623272" w14:textId="1CA6AC1F" w:rsidR="001200FD" w:rsidRPr="001200FD" w:rsidRDefault="001200FD" w:rsidP="0019583E">
            <w:pPr>
              <w:pStyle w:val="Table"/>
              <w:rPr>
                <w:noProof/>
                <w:sz w:val="20"/>
                <w:szCs w:val="22"/>
              </w:rPr>
            </w:pPr>
            <w:r w:rsidRPr="001200FD">
              <w:rPr>
                <w:noProof/>
                <w:sz w:val="20"/>
                <w:szCs w:val="22"/>
              </w:rPr>
              <w:t>Blood to Ovaries</w:t>
            </w:r>
          </w:p>
        </w:tc>
        <w:tc>
          <w:tcPr>
            <w:tcW w:w="968" w:type="dxa"/>
            <w:shd w:val="clear" w:color="auto" w:fill="auto"/>
            <w:noWrap/>
            <w:vAlign w:val="center"/>
          </w:tcPr>
          <w:p w14:paraId="043626D2" w14:textId="77777777" w:rsidR="001200FD" w:rsidRPr="00C47F2F" w:rsidRDefault="001200FD" w:rsidP="0019583E">
            <w:pPr>
              <w:pStyle w:val="Table"/>
              <w:rPr>
                <w:noProof/>
                <w:sz w:val="20"/>
                <w:szCs w:val="20"/>
              </w:rPr>
            </w:pPr>
            <w:r w:rsidRPr="00C47F2F">
              <w:rPr>
                <w:noProof/>
                <w:sz w:val="20"/>
                <w:szCs w:val="20"/>
              </w:rPr>
              <w:t>2.30E-05</w:t>
            </w:r>
          </w:p>
        </w:tc>
        <w:tc>
          <w:tcPr>
            <w:tcW w:w="986" w:type="dxa"/>
            <w:shd w:val="clear" w:color="auto" w:fill="auto"/>
            <w:noWrap/>
            <w:vAlign w:val="center"/>
          </w:tcPr>
          <w:p w14:paraId="2C7BECE1" w14:textId="77777777" w:rsidR="001200FD" w:rsidRPr="00C47F2F" w:rsidRDefault="001200FD" w:rsidP="0019583E">
            <w:pPr>
              <w:pStyle w:val="Table"/>
              <w:rPr>
                <w:noProof/>
                <w:sz w:val="20"/>
                <w:szCs w:val="20"/>
              </w:rPr>
            </w:pPr>
            <w:r w:rsidRPr="00C47F2F">
              <w:rPr>
                <w:noProof/>
                <w:sz w:val="20"/>
                <w:szCs w:val="20"/>
              </w:rPr>
              <w:t>3.10E-05</w:t>
            </w:r>
          </w:p>
        </w:tc>
        <w:tc>
          <w:tcPr>
            <w:tcW w:w="969" w:type="dxa"/>
            <w:shd w:val="clear" w:color="auto" w:fill="auto"/>
            <w:noWrap/>
            <w:vAlign w:val="center"/>
          </w:tcPr>
          <w:p w14:paraId="293B3C1F" w14:textId="77777777" w:rsidR="001200FD" w:rsidRPr="00C47F2F" w:rsidRDefault="001200FD" w:rsidP="0019583E">
            <w:pPr>
              <w:pStyle w:val="Table"/>
              <w:rPr>
                <w:noProof/>
                <w:sz w:val="20"/>
                <w:szCs w:val="20"/>
              </w:rPr>
            </w:pPr>
            <w:r w:rsidRPr="00C47F2F">
              <w:rPr>
                <w:noProof/>
                <w:sz w:val="20"/>
                <w:szCs w:val="20"/>
              </w:rPr>
              <w:t>7.80E-05</w:t>
            </w:r>
          </w:p>
        </w:tc>
        <w:tc>
          <w:tcPr>
            <w:tcW w:w="1033" w:type="dxa"/>
            <w:shd w:val="clear" w:color="auto" w:fill="auto"/>
            <w:noWrap/>
            <w:vAlign w:val="center"/>
          </w:tcPr>
          <w:p w14:paraId="607E3692" w14:textId="77777777" w:rsidR="001200FD" w:rsidRPr="00C47F2F" w:rsidRDefault="001200FD" w:rsidP="0019583E">
            <w:pPr>
              <w:pStyle w:val="Table"/>
              <w:rPr>
                <w:noProof/>
                <w:sz w:val="20"/>
                <w:szCs w:val="20"/>
              </w:rPr>
            </w:pPr>
            <w:r w:rsidRPr="00C47F2F">
              <w:rPr>
                <w:noProof/>
                <w:sz w:val="20"/>
                <w:szCs w:val="20"/>
              </w:rPr>
              <w:t>1.40E-04</w:t>
            </w:r>
          </w:p>
        </w:tc>
        <w:tc>
          <w:tcPr>
            <w:tcW w:w="971" w:type="dxa"/>
            <w:shd w:val="clear" w:color="auto" w:fill="auto"/>
            <w:noWrap/>
            <w:vAlign w:val="center"/>
          </w:tcPr>
          <w:p w14:paraId="6500598D" w14:textId="77777777" w:rsidR="001200FD" w:rsidRPr="00C47F2F" w:rsidRDefault="001200FD" w:rsidP="0019583E">
            <w:pPr>
              <w:pStyle w:val="Table"/>
              <w:rPr>
                <w:noProof/>
                <w:sz w:val="20"/>
                <w:szCs w:val="20"/>
              </w:rPr>
            </w:pPr>
            <w:r w:rsidRPr="00C47F2F">
              <w:rPr>
                <w:noProof/>
                <w:sz w:val="20"/>
                <w:szCs w:val="20"/>
              </w:rPr>
              <w:t>2.30E-04</w:t>
            </w:r>
          </w:p>
        </w:tc>
        <w:tc>
          <w:tcPr>
            <w:tcW w:w="969" w:type="dxa"/>
            <w:shd w:val="clear" w:color="auto" w:fill="auto"/>
            <w:noWrap/>
            <w:vAlign w:val="center"/>
          </w:tcPr>
          <w:p w14:paraId="5978603F" w14:textId="77777777" w:rsidR="001200FD" w:rsidRPr="00C47F2F" w:rsidRDefault="001200FD" w:rsidP="0019583E">
            <w:pPr>
              <w:pStyle w:val="Table"/>
              <w:rPr>
                <w:noProof/>
                <w:sz w:val="20"/>
                <w:szCs w:val="20"/>
              </w:rPr>
            </w:pPr>
            <w:r w:rsidRPr="00C47F2F">
              <w:rPr>
                <w:noProof/>
                <w:sz w:val="20"/>
                <w:szCs w:val="20"/>
              </w:rPr>
              <w:t>2.10E-04</w:t>
            </w:r>
          </w:p>
        </w:tc>
      </w:tr>
      <w:tr w:rsidR="001200FD" w:rsidRPr="00972C81" w14:paraId="5F06763C" w14:textId="77777777" w:rsidTr="0019583E">
        <w:trPr>
          <w:trHeight w:val="340"/>
        </w:trPr>
        <w:tc>
          <w:tcPr>
            <w:tcW w:w="3131" w:type="dxa"/>
            <w:shd w:val="clear" w:color="auto" w:fill="auto"/>
            <w:noWrap/>
            <w:vAlign w:val="center"/>
          </w:tcPr>
          <w:p w14:paraId="7FC091D1" w14:textId="6544F279" w:rsidR="001200FD" w:rsidRPr="001200FD" w:rsidRDefault="001200FD" w:rsidP="0019583E">
            <w:pPr>
              <w:pStyle w:val="Table"/>
              <w:rPr>
                <w:noProof/>
                <w:sz w:val="20"/>
                <w:szCs w:val="22"/>
              </w:rPr>
            </w:pPr>
            <w:r w:rsidRPr="001200FD">
              <w:rPr>
                <w:noProof/>
                <w:sz w:val="20"/>
                <w:szCs w:val="22"/>
              </w:rPr>
              <w:t>Blood to  ST0</w:t>
            </w:r>
          </w:p>
        </w:tc>
        <w:tc>
          <w:tcPr>
            <w:tcW w:w="968" w:type="dxa"/>
            <w:shd w:val="clear" w:color="auto" w:fill="auto"/>
            <w:noWrap/>
            <w:vAlign w:val="center"/>
          </w:tcPr>
          <w:p w14:paraId="19A6F7CA" w14:textId="77777777" w:rsidR="001200FD" w:rsidRPr="00C47F2F" w:rsidRDefault="001200FD" w:rsidP="0019583E">
            <w:pPr>
              <w:pStyle w:val="Table"/>
              <w:rPr>
                <w:noProof/>
                <w:sz w:val="20"/>
                <w:szCs w:val="20"/>
              </w:rPr>
            </w:pPr>
            <w:r w:rsidRPr="00C47F2F">
              <w:rPr>
                <w:noProof/>
                <w:sz w:val="20"/>
                <w:szCs w:val="20"/>
              </w:rPr>
              <w:t>8.32E-01</w:t>
            </w:r>
          </w:p>
        </w:tc>
        <w:tc>
          <w:tcPr>
            <w:tcW w:w="986" w:type="dxa"/>
            <w:shd w:val="clear" w:color="auto" w:fill="auto"/>
            <w:noWrap/>
            <w:vAlign w:val="center"/>
          </w:tcPr>
          <w:p w14:paraId="357CB369" w14:textId="77777777" w:rsidR="001200FD" w:rsidRPr="00C47F2F" w:rsidRDefault="001200FD" w:rsidP="0019583E">
            <w:pPr>
              <w:pStyle w:val="Table"/>
              <w:rPr>
                <w:noProof/>
                <w:sz w:val="20"/>
                <w:szCs w:val="20"/>
              </w:rPr>
            </w:pPr>
            <w:r w:rsidRPr="00C47F2F">
              <w:rPr>
                <w:noProof/>
                <w:sz w:val="20"/>
                <w:szCs w:val="20"/>
              </w:rPr>
              <w:t>8.32E-01</w:t>
            </w:r>
          </w:p>
        </w:tc>
        <w:tc>
          <w:tcPr>
            <w:tcW w:w="969" w:type="dxa"/>
            <w:shd w:val="clear" w:color="auto" w:fill="auto"/>
            <w:noWrap/>
            <w:vAlign w:val="center"/>
          </w:tcPr>
          <w:p w14:paraId="0BFB9160" w14:textId="77777777" w:rsidR="001200FD" w:rsidRPr="00C47F2F" w:rsidRDefault="001200FD" w:rsidP="0019583E">
            <w:pPr>
              <w:pStyle w:val="Table"/>
              <w:rPr>
                <w:noProof/>
                <w:sz w:val="20"/>
                <w:szCs w:val="20"/>
              </w:rPr>
            </w:pPr>
            <w:r w:rsidRPr="00C47F2F">
              <w:rPr>
                <w:noProof/>
                <w:sz w:val="20"/>
                <w:szCs w:val="20"/>
              </w:rPr>
              <w:t>8.32E-01</w:t>
            </w:r>
          </w:p>
        </w:tc>
        <w:tc>
          <w:tcPr>
            <w:tcW w:w="1033" w:type="dxa"/>
            <w:shd w:val="clear" w:color="auto" w:fill="auto"/>
            <w:noWrap/>
            <w:vAlign w:val="center"/>
          </w:tcPr>
          <w:p w14:paraId="4D04B544" w14:textId="77777777" w:rsidR="001200FD" w:rsidRPr="00C47F2F" w:rsidRDefault="001200FD" w:rsidP="0019583E">
            <w:pPr>
              <w:pStyle w:val="Table"/>
              <w:rPr>
                <w:noProof/>
                <w:sz w:val="20"/>
                <w:szCs w:val="20"/>
              </w:rPr>
            </w:pPr>
            <w:r w:rsidRPr="00C47F2F">
              <w:rPr>
                <w:noProof/>
                <w:sz w:val="20"/>
                <w:szCs w:val="20"/>
              </w:rPr>
              <w:t>8.32E-01</w:t>
            </w:r>
          </w:p>
        </w:tc>
        <w:tc>
          <w:tcPr>
            <w:tcW w:w="971" w:type="dxa"/>
            <w:shd w:val="clear" w:color="auto" w:fill="auto"/>
            <w:noWrap/>
            <w:vAlign w:val="center"/>
          </w:tcPr>
          <w:p w14:paraId="48AABDAE" w14:textId="77777777" w:rsidR="001200FD" w:rsidRPr="00C47F2F" w:rsidRDefault="001200FD" w:rsidP="0019583E">
            <w:pPr>
              <w:pStyle w:val="Table"/>
              <w:rPr>
                <w:noProof/>
                <w:sz w:val="20"/>
                <w:szCs w:val="20"/>
              </w:rPr>
            </w:pPr>
            <w:r w:rsidRPr="00C47F2F">
              <w:rPr>
                <w:noProof/>
                <w:sz w:val="20"/>
                <w:szCs w:val="20"/>
              </w:rPr>
              <w:t>8.32E-01</w:t>
            </w:r>
          </w:p>
        </w:tc>
        <w:tc>
          <w:tcPr>
            <w:tcW w:w="969" w:type="dxa"/>
            <w:shd w:val="clear" w:color="auto" w:fill="auto"/>
            <w:noWrap/>
            <w:vAlign w:val="center"/>
          </w:tcPr>
          <w:p w14:paraId="593B9D18" w14:textId="77777777" w:rsidR="001200FD" w:rsidRPr="00C47F2F" w:rsidRDefault="001200FD" w:rsidP="0019583E">
            <w:pPr>
              <w:pStyle w:val="Table"/>
              <w:rPr>
                <w:noProof/>
                <w:sz w:val="20"/>
                <w:szCs w:val="20"/>
              </w:rPr>
            </w:pPr>
            <w:r w:rsidRPr="00C47F2F">
              <w:rPr>
                <w:noProof/>
                <w:sz w:val="20"/>
                <w:szCs w:val="20"/>
              </w:rPr>
              <w:t>8.32E-01</w:t>
            </w:r>
          </w:p>
        </w:tc>
      </w:tr>
      <w:tr w:rsidR="001200FD" w:rsidRPr="00972C81" w14:paraId="2D5265B7" w14:textId="77777777" w:rsidTr="0019583E">
        <w:trPr>
          <w:trHeight w:val="340"/>
        </w:trPr>
        <w:tc>
          <w:tcPr>
            <w:tcW w:w="3131" w:type="dxa"/>
            <w:shd w:val="clear" w:color="auto" w:fill="auto"/>
            <w:noWrap/>
            <w:vAlign w:val="center"/>
          </w:tcPr>
          <w:p w14:paraId="15F2D7CE" w14:textId="0B45FD90" w:rsidR="001200FD" w:rsidRPr="001200FD" w:rsidRDefault="001200FD" w:rsidP="0019583E">
            <w:pPr>
              <w:pStyle w:val="Table"/>
              <w:rPr>
                <w:noProof/>
                <w:sz w:val="20"/>
                <w:szCs w:val="22"/>
              </w:rPr>
            </w:pPr>
            <w:r w:rsidRPr="001200FD">
              <w:rPr>
                <w:noProof/>
                <w:sz w:val="20"/>
                <w:szCs w:val="22"/>
              </w:rPr>
              <w:t>Blood to  ST1</w:t>
            </w:r>
          </w:p>
        </w:tc>
        <w:tc>
          <w:tcPr>
            <w:tcW w:w="968" w:type="dxa"/>
            <w:shd w:val="clear" w:color="auto" w:fill="auto"/>
            <w:noWrap/>
            <w:vAlign w:val="center"/>
          </w:tcPr>
          <w:p w14:paraId="204DC4EB" w14:textId="77777777" w:rsidR="001200FD" w:rsidRPr="00C47F2F" w:rsidRDefault="001200FD" w:rsidP="0019583E">
            <w:pPr>
              <w:pStyle w:val="Table"/>
              <w:rPr>
                <w:noProof/>
                <w:sz w:val="20"/>
                <w:szCs w:val="20"/>
              </w:rPr>
            </w:pPr>
            <w:r w:rsidRPr="00C47F2F">
              <w:rPr>
                <w:noProof/>
                <w:sz w:val="20"/>
                <w:szCs w:val="20"/>
              </w:rPr>
              <w:t>1.61E-01</w:t>
            </w:r>
          </w:p>
        </w:tc>
        <w:tc>
          <w:tcPr>
            <w:tcW w:w="986" w:type="dxa"/>
            <w:shd w:val="clear" w:color="auto" w:fill="auto"/>
            <w:noWrap/>
            <w:vAlign w:val="center"/>
          </w:tcPr>
          <w:p w14:paraId="62881EFF" w14:textId="77777777" w:rsidR="001200FD" w:rsidRPr="00C47F2F" w:rsidRDefault="001200FD" w:rsidP="0019583E">
            <w:pPr>
              <w:pStyle w:val="Table"/>
              <w:rPr>
                <w:noProof/>
                <w:sz w:val="20"/>
                <w:szCs w:val="20"/>
              </w:rPr>
            </w:pPr>
            <w:r w:rsidRPr="00C47F2F">
              <w:rPr>
                <w:noProof/>
                <w:sz w:val="20"/>
                <w:szCs w:val="20"/>
              </w:rPr>
              <w:t>1.61E-01</w:t>
            </w:r>
          </w:p>
        </w:tc>
        <w:tc>
          <w:tcPr>
            <w:tcW w:w="969" w:type="dxa"/>
            <w:shd w:val="clear" w:color="auto" w:fill="auto"/>
            <w:noWrap/>
            <w:vAlign w:val="center"/>
          </w:tcPr>
          <w:p w14:paraId="1B19FC3F" w14:textId="77777777" w:rsidR="001200FD" w:rsidRPr="00C47F2F" w:rsidRDefault="001200FD" w:rsidP="0019583E">
            <w:pPr>
              <w:pStyle w:val="Table"/>
              <w:rPr>
                <w:noProof/>
                <w:sz w:val="20"/>
                <w:szCs w:val="20"/>
              </w:rPr>
            </w:pPr>
            <w:r w:rsidRPr="00C47F2F">
              <w:rPr>
                <w:noProof/>
                <w:sz w:val="20"/>
                <w:szCs w:val="20"/>
              </w:rPr>
              <w:t>1.61E-01</w:t>
            </w:r>
          </w:p>
        </w:tc>
        <w:tc>
          <w:tcPr>
            <w:tcW w:w="1033" w:type="dxa"/>
            <w:shd w:val="clear" w:color="auto" w:fill="auto"/>
            <w:noWrap/>
            <w:vAlign w:val="center"/>
          </w:tcPr>
          <w:p w14:paraId="4EEECE09" w14:textId="77777777" w:rsidR="001200FD" w:rsidRPr="00C47F2F" w:rsidRDefault="001200FD" w:rsidP="0019583E">
            <w:pPr>
              <w:pStyle w:val="Table"/>
              <w:rPr>
                <w:noProof/>
                <w:sz w:val="20"/>
                <w:szCs w:val="20"/>
              </w:rPr>
            </w:pPr>
            <w:r w:rsidRPr="00C47F2F">
              <w:rPr>
                <w:noProof/>
                <w:sz w:val="20"/>
                <w:szCs w:val="20"/>
              </w:rPr>
              <w:t>1.61E-01</w:t>
            </w:r>
          </w:p>
        </w:tc>
        <w:tc>
          <w:tcPr>
            <w:tcW w:w="971" w:type="dxa"/>
            <w:shd w:val="clear" w:color="auto" w:fill="auto"/>
            <w:noWrap/>
            <w:vAlign w:val="center"/>
          </w:tcPr>
          <w:p w14:paraId="3A62FE3F" w14:textId="77777777" w:rsidR="001200FD" w:rsidRPr="00C47F2F" w:rsidRDefault="001200FD" w:rsidP="0019583E">
            <w:pPr>
              <w:pStyle w:val="Table"/>
              <w:rPr>
                <w:noProof/>
                <w:sz w:val="20"/>
                <w:szCs w:val="20"/>
              </w:rPr>
            </w:pPr>
            <w:r w:rsidRPr="00C47F2F">
              <w:rPr>
                <w:noProof/>
                <w:sz w:val="20"/>
                <w:szCs w:val="20"/>
              </w:rPr>
              <w:t>1.61E-01</w:t>
            </w:r>
          </w:p>
        </w:tc>
        <w:tc>
          <w:tcPr>
            <w:tcW w:w="969" w:type="dxa"/>
            <w:shd w:val="clear" w:color="auto" w:fill="auto"/>
            <w:noWrap/>
            <w:vAlign w:val="center"/>
          </w:tcPr>
          <w:p w14:paraId="02C07B9A" w14:textId="77777777" w:rsidR="001200FD" w:rsidRPr="00C47F2F" w:rsidRDefault="001200FD" w:rsidP="0019583E">
            <w:pPr>
              <w:pStyle w:val="Table"/>
              <w:rPr>
                <w:noProof/>
                <w:sz w:val="20"/>
                <w:szCs w:val="20"/>
              </w:rPr>
            </w:pPr>
            <w:r w:rsidRPr="00C47F2F">
              <w:rPr>
                <w:noProof/>
                <w:sz w:val="20"/>
                <w:szCs w:val="20"/>
              </w:rPr>
              <w:t>1.61E-01</w:t>
            </w:r>
          </w:p>
        </w:tc>
      </w:tr>
      <w:tr w:rsidR="001200FD" w:rsidRPr="00972C81" w14:paraId="26A0F121" w14:textId="77777777" w:rsidTr="0019583E">
        <w:trPr>
          <w:trHeight w:val="340"/>
        </w:trPr>
        <w:tc>
          <w:tcPr>
            <w:tcW w:w="3131" w:type="dxa"/>
            <w:shd w:val="clear" w:color="auto" w:fill="auto"/>
            <w:noWrap/>
            <w:vAlign w:val="center"/>
          </w:tcPr>
          <w:p w14:paraId="4D14DBBF" w14:textId="5694DF2A" w:rsidR="001200FD" w:rsidRPr="001200FD" w:rsidRDefault="001200FD" w:rsidP="0019583E">
            <w:pPr>
              <w:pStyle w:val="Table"/>
              <w:rPr>
                <w:noProof/>
                <w:sz w:val="20"/>
                <w:szCs w:val="22"/>
              </w:rPr>
            </w:pPr>
            <w:r w:rsidRPr="001200FD">
              <w:rPr>
                <w:noProof/>
                <w:sz w:val="20"/>
                <w:szCs w:val="22"/>
              </w:rPr>
              <w:t>Blood to  ST2</w:t>
            </w:r>
          </w:p>
        </w:tc>
        <w:tc>
          <w:tcPr>
            <w:tcW w:w="968" w:type="dxa"/>
            <w:shd w:val="clear" w:color="auto" w:fill="auto"/>
            <w:noWrap/>
            <w:vAlign w:val="center"/>
          </w:tcPr>
          <w:p w14:paraId="343F1D0F" w14:textId="77777777" w:rsidR="001200FD" w:rsidRPr="00C47F2F" w:rsidRDefault="001200FD" w:rsidP="0019583E">
            <w:pPr>
              <w:pStyle w:val="Table"/>
              <w:rPr>
                <w:noProof/>
                <w:sz w:val="20"/>
                <w:szCs w:val="20"/>
              </w:rPr>
            </w:pPr>
            <w:r w:rsidRPr="00C47F2F">
              <w:rPr>
                <w:noProof/>
                <w:sz w:val="20"/>
                <w:szCs w:val="20"/>
              </w:rPr>
              <w:t>3.88E-02</w:t>
            </w:r>
          </w:p>
        </w:tc>
        <w:tc>
          <w:tcPr>
            <w:tcW w:w="986" w:type="dxa"/>
            <w:shd w:val="clear" w:color="auto" w:fill="auto"/>
            <w:noWrap/>
            <w:vAlign w:val="center"/>
          </w:tcPr>
          <w:p w14:paraId="744A86C9" w14:textId="77777777" w:rsidR="001200FD" w:rsidRPr="00C47F2F" w:rsidRDefault="001200FD" w:rsidP="0019583E">
            <w:pPr>
              <w:pStyle w:val="Table"/>
              <w:rPr>
                <w:noProof/>
                <w:sz w:val="20"/>
                <w:szCs w:val="20"/>
              </w:rPr>
            </w:pPr>
            <w:r w:rsidRPr="00C47F2F">
              <w:rPr>
                <w:noProof/>
                <w:sz w:val="20"/>
                <w:szCs w:val="20"/>
              </w:rPr>
              <w:t>3.88E-02</w:t>
            </w:r>
          </w:p>
        </w:tc>
        <w:tc>
          <w:tcPr>
            <w:tcW w:w="969" w:type="dxa"/>
            <w:shd w:val="clear" w:color="auto" w:fill="auto"/>
            <w:noWrap/>
            <w:vAlign w:val="center"/>
          </w:tcPr>
          <w:p w14:paraId="6A21D204" w14:textId="77777777" w:rsidR="001200FD" w:rsidRPr="00C47F2F" w:rsidRDefault="001200FD" w:rsidP="0019583E">
            <w:pPr>
              <w:pStyle w:val="Table"/>
              <w:rPr>
                <w:noProof/>
                <w:sz w:val="20"/>
                <w:szCs w:val="20"/>
              </w:rPr>
            </w:pPr>
            <w:r w:rsidRPr="00C47F2F">
              <w:rPr>
                <w:noProof/>
                <w:sz w:val="20"/>
                <w:szCs w:val="20"/>
              </w:rPr>
              <w:t>3.88E-02</w:t>
            </w:r>
          </w:p>
        </w:tc>
        <w:tc>
          <w:tcPr>
            <w:tcW w:w="1033" w:type="dxa"/>
            <w:shd w:val="clear" w:color="auto" w:fill="auto"/>
            <w:noWrap/>
            <w:vAlign w:val="center"/>
          </w:tcPr>
          <w:p w14:paraId="2E82CD2E" w14:textId="77777777" w:rsidR="001200FD" w:rsidRPr="00C47F2F" w:rsidRDefault="001200FD" w:rsidP="0019583E">
            <w:pPr>
              <w:pStyle w:val="Table"/>
              <w:rPr>
                <w:noProof/>
                <w:sz w:val="20"/>
                <w:szCs w:val="20"/>
              </w:rPr>
            </w:pPr>
            <w:r w:rsidRPr="00C47F2F">
              <w:rPr>
                <w:noProof/>
                <w:sz w:val="20"/>
                <w:szCs w:val="20"/>
              </w:rPr>
              <w:t>3.88E-02</w:t>
            </w:r>
          </w:p>
        </w:tc>
        <w:tc>
          <w:tcPr>
            <w:tcW w:w="971" w:type="dxa"/>
            <w:shd w:val="clear" w:color="auto" w:fill="auto"/>
            <w:noWrap/>
            <w:vAlign w:val="center"/>
          </w:tcPr>
          <w:p w14:paraId="6B061C80" w14:textId="77777777" w:rsidR="001200FD" w:rsidRPr="00C47F2F" w:rsidRDefault="001200FD" w:rsidP="0019583E">
            <w:pPr>
              <w:pStyle w:val="Table"/>
              <w:rPr>
                <w:noProof/>
                <w:sz w:val="20"/>
                <w:szCs w:val="20"/>
              </w:rPr>
            </w:pPr>
            <w:r w:rsidRPr="00C47F2F">
              <w:rPr>
                <w:noProof/>
                <w:sz w:val="20"/>
                <w:szCs w:val="20"/>
              </w:rPr>
              <w:t>3.88E-02</w:t>
            </w:r>
          </w:p>
        </w:tc>
        <w:tc>
          <w:tcPr>
            <w:tcW w:w="969" w:type="dxa"/>
            <w:shd w:val="clear" w:color="auto" w:fill="auto"/>
            <w:noWrap/>
            <w:vAlign w:val="center"/>
          </w:tcPr>
          <w:p w14:paraId="64803C94" w14:textId="77777777" w:rsidR="001200FD" w:rsidRPr="00C47F2F" w:rsidRDefault="001200FD" w:rsidP="0019583E">
            <w:pPr>
              <w:pStyle w:val="Table"/>
              <w:rPr>
                <w:noProof/>
                <w:sz w:val="20"/>
                <w:szCs w:val="20"/>
              </w:rPr>
            </w:pPr>
            <w:r w:rsidRPr="00C47F2F">
              <w:rPr>
                <w:noProof/>
                <w:sz w:val="20"/>
                <w:szCs w:val="20"/>
              </w:rPr>
              <w:t>3.88E-02</w:t>
            </w:r>
          </w:p>
        </w:tc>
      </w:tr>
      <w:tr w:rsidR="001200FD" w:rsidRPr="00972C81" w14:paraId="43E39D87" w14:textId="77777777" w:rsidTr="0019583E">
        <w:trPr>
          <w:trHeight w:val="340"/>
        </w:trPr>
        <w:tc>
          <w:tcPr>
            <w:tcW w:w="3131" w:type="dxa"/>
            <w:shd w:val="clear" w:color="auto" w:fill="auto"/>
            <w:noWrap/>
            <w:vAlign w:val="center"/>
          </w:tcPr>
          <w:p w14:paraId="074F4008" w14:textId="0F8A1BEB" w:rsidR="001200FD" w:rsidRPr="001200FD" w:rsidRDefault="001200FD" w:rsidP="0019583E">
            <w:pPr>
              <w:pStyle w:val="Table"/>
              <w:rPr>
                <w:noProof/>
                <w:sz w:val="20"/>
                <w:szCs w:val="22"/>
              </w:rPr>
            </w:pPr>
            <w:r w:rsidRPr="001200FD">
              <w:rPr>
                <w:noProof/>
                <w:sz w:val="20"/>
                <w:szCs w:val="22"/>
              </w:rPr>
              <w:t>Liver 1 to Liver 2</w:t>
            </w:r>
          </w:p>
        </w:tc>
        <w:tc>
          <w:tcPr>
            <w:tcW w:w="968" w:type="dxa"/>
            <w:shd w:val="clear" w:color="auto" w:fill="auto"/>
            <w:noWrap/>
            <w:vAlign w:val="center"/>
          </w:tcPr>
          <w:p w14:paraId="06581980" w14:textId="77777777" w:rsidR="001200FD" w:rsidRPr="00C47F2F" w:rsidRDefault="001200FD" w:rsidP="0019583E">
            <w:pPr>
              <w:pStyle w:val="Table"/>
              <w:rPr>
                <w:noProof/>
                <w:sz w:val="20"/>
                <w:szCs w:val="20"/>
              </w:rPr>
            </w:pPr>
            <w:r w:rsidRPr="00C47F2F">
              <w:rPr>
                <w:noProof/>
                <w:sz w:val="20"/>
                <w:szCs w:val="20"/>
              </w:rPr>
              <w:t>1.77E-03</w:t>
            </w:r>
          </w:p>
        </w:tc>
        <w:tc>
          <w:tcPr>
            <w:tcW w:w="986" w:type="dxa"/>
            <w:shd w:val="clear" w:color="auto" w:fill="auto"/>
            <w:noWrap/>
            <w:vAlign w:val="center"/>
          </w:tcPr>
          <w:p w14:paraId="7CD6E584" w14:textId="77777777" w:rsidR="001200FD" w:rsidRPr="00C47F2F" w:rsidRDefault="001200FD" w:rsidP="0019583E">
            <w:pPr>
              <w:pStyle w:val="Table"/>
              <w:rPr>
                <w:noProof/>
                <w:sz w:val="20"/>
                <w:szCs w:val="20"/>
              </w:rPr>
            </w:pPr>
            <w:r w:rsidRPr="00C47F2F">
              <w:rPr>
                <w:noProof/>
                <w:sz w:val="20"/>
                <w:szCs w:val="20"/>
              </w:rPr>
              <w:t>1.77E-03</w:t>
            </w:r>
          </w:p>
        </w:tc>
        <w:tc>
          <w:tcPr>
            <w:tcW w:w="969" w:type="dxa"/>
            <w:shd w:val="clear" w:color="auto" w:fill="auto"/>
            <w:noWrap/>
            <w:vAlign w:val="center"/>
          </w:tcPr>
          <w:p w14:paraId="5B2FE4A0" w14:textId="77777777" w:rsidR="001200FD" w:rsidRPr="00C47F2F" w:rsidRDefault="001200FD" w:rsidP="0019583E">
            <w:pPr>
              <w:pStyle w:val="Table"/>
              <w:rPr>
                <w:noProof/>
                <w:sz w:val="20"/>
                <w:szCs w:val="20"/>
              </w:rPr>
            </w:pPr>
            <w:r w:rsidRPr="00C47F2F">
              <w:rPr>
                <w:noProof/>
                <w:sz w:val="20"/>
                <w:szCs w:val="20"/>
              </w:rPr>
              <w:t>1.77E-03</w:t>
            </w:r>
          </w:p>
        </w:tc>
        <w:tc>
          <w:tcPr>
            <w:tcW w:w="1033" w:type="dxa"/>
            <w:shd w:val="clear" w:color="auto" w:fill="auto"/>
            <w:noWrap/>
            <w:vAlign w:val="center"/>
          </w:tcPr>
          <w:p w14:paraId="5762A8B6" w14:textId="77777777" w:rsidR="001200FD" w:rsidRPr="00C47F2F" w:rsidRDefault="001200FD" w:rsidP="0019583E">
            <w:pPr>
              <w:pStyle w:val="Table"/>
              <w:rPr>
                <w:noProof/>
                <w:sz w:val="20"/>
                <w:szCs w:val="20"/>
              </w:rPr>
            </w:pPr>
            <w:r w:rsidRPr="00C47F2F">
              <w:rPr>
                <w:noProof/>
                <w:sz w:val="20"/>
                <w:szCs w:val="20"/>
              </w:rPr>
              <w:t>1.77E-03</w:t>
            </w:r>
          </w:p>
        </w:tc>
        <w:tc>
          <w:tcPr>
            <w:tcW w:w="971" w:type="dxa"/>
            <w:shd w:val="clear" w:color="auto" w:fill="auto"/>
            <w:noWrap/>
            <w:vAlign w:val="center"/>
          </w:tcPr>
          <w:p w14:paraId="7EEF3F1B" w14:textId="77777777" w:rsidR="001200FD" w:rsidRPr="00C47F2F" w:rsidRDefault="001200FD" w:rsidP="0019583E">
            <w:pPr>
              <w:pStyle w:val="Table"/>
              <w:rPr>
                <w:noProof/>
                <w:sz w:val="20"/>
                <w:szCs w:val="20"/>
              </w:rPr>
            </w:pPr>
            <w:r w:rsidRPr="00C47F2F">
              <w:rPr>
                <w:noProof/>
                <w:sz w:val="20"/>
                <w:szCs w:val="20"/>
              </w:rPr>
              <w:t>1.77E-03</w:t>
            </w:r>
          </w:p>
        </w:tc>
        <w:tc>
          <w:tcPr>
            <w:tcW w:w="969" w:type="dxa"/>
            <w:shd w:val="clear" w:color="auto" w:fill="auto"/>
            <w:noWrap/>
            <w:vAlign w:val="center"/>
          </w:tcPr>
          <w:p w14:paraId="3B54EBB7" w14:textId="77777777" w:rsidR="001200FD" w:rsidRPr="00C47F2F" w:rsidRDefault="001200FD" w:rsidP="0019583E">
            <w:pPr>
              <w:pStyle w:val="Table"/>
              <w:rPr>
                <w:noProof/>
                <w:sz w:val="20"/>
                <w:szCs w:val="20"/>
              </w:rPr>
            </w:pPr>
            <w:r w:rsidRPr="00C47F2F">
              <w:rPr>
                <w:noProof/>
                <w:sz w:val="20"/>
                <w:szCs w:val="20"/>
              </w:rPr>
              <w:t>1.77E-03</w:t>
            </w:r>
          </w:p>
        </w:tc>
      </w:tr>
      <w:tr w:rsidR="001200FD" w:rsidRPr="00972C81" w14:paraId="35779205" w14:textId="77777777" w:rsidTr="0019583E">
        <w:trPr>
          <w:trHeight w:val="340"/>
        </w:trPr>
        <w:tc>
          <w:tcPr>
            <w:tcW w:w="3131" w:type="dxa"/>
            <w:shd w:val="clear" w:color="auto" w:fill="auto"/>
            <w:noWrap/>
            <w:vAlign w:val="center"/>
          </w:tcPr>
          <w:p w14:paraId="0E1F19EA" w14:textId="66E0694E" w:rsidR="001200FD" w:rsidRPr="001200FD" w:rsidRDefault="001200FD" w:rsidP="0019583E">
            <w:pPr>
              <w:pStyle w:val="Table"/>
              <w:rPr>
                <w:noProof/>
                <w:sz w:val="20"/>
                <w:szCs w:val="22"/>
              </w:rPr>
            </w:pPr>
            <w:r w:rsidRPr="001200FD">
              <w:rPr>
                <w:noProof/>
                <w:sz w:val="20"/>
                <w:szCs w:val="22"/>
              </w:rPr>
              <w:t>Liver 1 to Small intestine cont</w:t>
            </w:r>
          </w:p>
        </w:tc>
        <w:tc>
          <w:tcPr>
            <w:tcW w:w="968" w:type="dxa"/>
            <w:shd w:val="clear" w:color="auto" w:fill="auto"/>
            <w:noWrap/>
            <w:vAlign w:val="center"/>
          </w:tcPr>
          <w:p w14:paraId="5A31DFA0" w14:textId="77777777" w:rsidR="001200FD" w:rsidRPr="00C47F2F" w:rsidRDefault="001200FD" w:rsidP="0019583E">
            <w:pPr>
              <w:pStyle w:val="Table"/>
              <w:rPr>
                <w:noProof/>
                <w:sz w:val="20"/>
                <w:szCs w:val="20"/>
              </w:rPr>
            </w:pPr>
            <w:r w:rsidRPr="00C47F2F">
              <w:rPr>
                <w:noProof/>
                <w:sz w:val="20"/>
                <w:szCs w:val="20"/>
              </w:rPr>
              <w:t>1.33E-04</w:t>
            </w:r>
          </w:p>
        </w:tc>
        <w:tc>
          <w:tcPr>
            <w:tcW w:w="986" w:type="dxa"/>
            <w:shd w:val="clear" w:color="auto" w:fill="auto"/>
            <w:noWrap/>
            <w:vAlign w:val="center"/>
          </w:tcPr>
          <w:p w14:paraId="465CF11D" w14:textId="77777777" w:rsidR="001200FD" w:rsidRPr="00C47F2F" w:rsidRDefault="001200FD" w:rsidP="0019583E">
            <w:pPr>
              <w:pStyle w:val="Table"/>
              <w:rPr>
                <w:noProof/>
                <w:sz w:val="20"/>
                <w:szCs w:val="20"/>
              </w:rPr>
            </w:pPr>
            <w:r w:rsidRPr="00C47F2F">
              <w:rPr>
                <w:noProof/>
                <w:sz w:val="20"/>
                <w:szCs w:val="20"/>
              </w:rPr>
              <w:t>1.33E-04</w:t>
            </w:r>
          </w:p>
        </w:tc>
        <w:tc>
          <w:tcPr>
            <w:tcW w:w="969" w:type="dxa"/>
            <w:shd w:val="clear" w:color="auto" w:fill="auto"/>
            <w:noWrap/>
            <w:vAlign w:val="center"/>
          </w:tcPr>
          <w:p w14:paraId="769AC644" w14:textId="77777777" w:rsidR="001200FD" w:rsidRPr="00C47F2F" w:rsidRDefault="001200FD" w:rsidP="0019583E">
            <w:pPr>
              <w:pStyle w:val="Table"/>
              <w:rPr>
                <w:noProof/>
                <w:sz w:val="20"/>
                <w:szCs w:val="20"/>
              </w:rPr>
            </w:pPr>
            <w:r w:rsidRPr="00C47F2F">
              <w:rPr>
                <w:noProof/>
                <w:sz w:val="20"/>
                <w:szCs w:val="20"/>
              </w:rPr>
              <w:t>1.33E-04</w:t>
            </w:r>
          </w:p>
        </w:tc>
        <w:tc>
          <w:tcPr>
            <w:tcW w:w="1033" w:type="dxa"/>
            <w:shd w:val="clear" w:color="auto" w:fill="auto"/>
            <w:noWrap/>
            <w:vAlign w:val="center"/>
          </w:tcPr>
          <w:p w14:paraId="2AB50BA7" w14:textId="77777777" w:rsidR="001200FD" w:rsidRPr="00C47F2F" w:rsidRDefault="001200FD" w:rsidP="0019583E">
            <w:pPr>
              <w:pStyle w:val="Table"/>
              <w:rPr>
                <w:noProof/>
                <w:sz w:val="20"/>
                <w:szCs w:val="20"/>
              </w:rPr>
            </w:pPr>
            <w:r w:rsidRPr="00C47F2F">
              <w:rPr>
                <w:noProof/>
                <w:sz w:val="20"/>
                <w:szCs w:val="20"/>
              </w:rPr>
              <w:t>1.33E-04</w:t>
            </w:r>
          </w:p>
        </w:tc>
        <w:tc>
          <w:tcPr>
            <w:tcW w:w="971" w:type="dxa"/>
            <w:shd w:val="clear" w:color="auto" w:fill="auto"/>
            <w:noWrap/>
            <w:vAlign w:val="center"/>
          </w:tcPr>
          <w:p w14:paraId="7E8CBD30" w14:textId="77777777" w:rsidR="001200FD" w:rsidRPr="00C47F2F" w:rsidRDefault="001200FD" w:rsidP="0019583E">
            <w:pPr>
              <w:pStyle w:val="Table"/>
              <w:rPr>
                <w:noProof/>
                <w:sz w:val="20"/>
                <w:szCs w:val="20"/>
              </w:rPr>
            </w:pPr>
            <w:r w:rsidRPr="00C47F2F">
              <w:rPr>
                <w:noProof/>
                <w:sz w:val="20"/>
                <w:szCs w:val="20"/>
              </w:rPr>
              <w:t>1.33E-04</w:t>
            </w:r>
          </w:p>
        </w:tc>
        <w:tc>
          <w:tcPr>
            <w:tcW w:w="969" w:type="dxa"/>
            <w:shd w:val="clear" w:color="auto" w:fill="auto"/>
            <w:noWrap/>
            <w:vAlign w:val="center"/>
          </w:tcPr>
          <w:p w14:paraId="7842CB20" w14:textId="77777777" w:rsidR="001200FD" w:rsidRPr="00C47F2F" w:rsidRDefault="001200FD" w:rsidP="0019583E">
            <w:pPr>
              <w:pStyle w:val="Table"/>
              <w:rPr>
                <w:noProof/>
                <w:sz w:val="20"/>
                <w:szCs w:val="20"/>
              </w:rPr>
            </w:pPr>
            <w:r w:rsidRPr="00C47F2F">
              <w:rPr>
                <w:noProof/>
                <w:sz w:val="20"/>
                <w:szCs w:val="20"/>
              </w:rPr>
              <w:t>1.33E-04</w:t>
            </w:r>
          </w:p>
        </w:tc>
      </w:tr>
      <w:tr w:rsidR="001200FD" w:rsidRPr="00972C81" w14:paraId="48F5CD44" w14:textId="77777777" w:rsidTr="0019583E">
        <w:trPr>
          <w:trHeight w:val="340"/>
        </w:trPr>
        <w:tc>
          <w:tcPr>
            <w:tcW w:w="3131" w:type="dxa"/>
            <w:shd w:val="clear" w:color="auto" w:fill="auto"/>
            <w:noWrap/>
            <w:vAlign w:val="center"/>
          </w:tcPr>
          <w:p w14:paraId="4729AC59" w14:textId="631FB849" w:rsidR="001200FD" w:rsidRPr="001200FD" w:rsidRDefault="001200FD" w:rsidP="0019583E">
            <w:pPr>
              <w:pStyle w:val="Table"/>
              <w:rPr>
                <w:noProof/>
                <w:sz w:val="20"/>
                <w:szCs w:val="22"/>
              </w:rPr>
            </w:pPr>
            <w:r w:rsidRPr="001200FD">
              <w:rPr>
                <w:noProof/>
                <w:sz w:val="20"/>
                <w:szCs w:val="22"/>
              </w:rPr>
              <w:t>Cort bone surf to Cort marrow</w:t>
            </w:r>
          </w:p>
        </w:tc>
        <w:tc>
          <w:tcPr>
            <w:tcW w:w="968" w:type="dxa"/>
            <w:shd w:val="clear" w:color="auto" w:fill="auto"/>
            <w:noWrap/>
            <w:vAlign w:val="center"/>
          </w:tcPr>
          <w:p w14:paraId="24C5A6B4" w14:textId="77777777" w:rsidR="001200FD" w:rsidRPr="00C47F2F" w:rsidRDefault="001200FD" w:rsidP="0019583E">
            <w:pPr>
              <w:pStyle w:val="Table"/>
              <w:rPr>
                <w:noProof/>
                <w:sz w:val="20"/>
                <w:szCs w:val="20"/>
              </w:rPr>
            </w:pPr>
            <w:r w:rsidRPr="00C47F2F">
              <w:rPr>
                <w:noProof/>
                <w:sz w:val="20"/>
                <w:szCs w:val="20"/>
              </w:rPr>
              <w:t>8.22E-03</w:t>
            </w:r>
          </w:p>
        </w:tc>
        <w:tc>
          <w:tcPr>
            <w:tcW w:w="986" w:type="dxa"/>
            <w:shd w:val="clear" w:color="auto" w:fill="auto"/>
            <w:noWrap/>
            <w:vAlign w:val="center"/>
          </w:tcPr>
          <w:p w14:paraId="4D990F19" w14:textId="77777777" w:rsidR="001200FD" w:rsidRPr="00C47F2F" w:rsidRDefault="001200FD" w:rsidP="0019583E">
            <w:pPr>
              <w:pStyle w:val="Table"/>
              <w:rPr>
                <w:noProof/>
                <w:sz w:val="20"/>
                <w:szCs w:val="20"/>
              </w:rPr>
            </w:pPr>
            <w:r w:rsidRPr="00C47F2F">
              <w:rPr>
                <w:noProof/>
                <w:sz w:val="20"/>
                <w:szCs w:val="20"/>
              </w:rPr>
              <w:t>2.88E-03</w:t>
            </w:r>
          </w:p>
        </w:tc>
        <w:tc>
          <w:tcPr>
            <w:tcW w:w="969" w:type="dxa"/>
            <w:shd w:val="clear" w:color="auto" w:fill="auto"/>
            <w:noWrap/>
            <w:vAlign w:val="center"/>
          </w:tcPr>
          <w:p w14:paraId="03E50568" w14:textId="77777777" w:rsidR="001200FD" w:rsidRPr="00C47F2F" w:rsidRDefault="001200FD" w:rsidP="0019583E">
            <w:pPr>
              <w:pStyle w:val="Table"/>
              <w:rPr>
                <w:noProof/>
                <w:sz w:val="20"/>
                <w:szCs w:val="20"/>
              </w:rPr>
            </w:pPr>
            <w:r w:rsidRPr="00C47F2F">
              <w:rPr>
                <w:noProof/>
                <w:sz w:val="20"/>
                <w:szCs w:val="20"/>
              </w:rPr>
              <w:t>1.53E-03</w:t>
            </w:r>
          </w:p>
        </w:tc>
        <w:tc>
          <w:tcPr>
            <w:tcW w:w="1033" w:type="dxa"/>
            <w:shd w:val="clear" w:color="auto" w:fill="auto"/>
            <w:noWrap/>
            <w:vAlign w:val="center"/>
          </w:tcPr>
          <w:p w14:paraId="040D19A9" w14:textId="77777777" w:rsidR="001200FD" w:rsidRPr="00C47F2F" w:rsidRDefault="001200FD" w:rsidP="0019583E">
            <w:pPr>
              <w:pStyle w:val="Table"/>
              <w:rPr>
                <w:noProof/>
                <w:sz w:val="20"/>
                <w:szCs w:val="20"/>
              </w:rPr>
            </w:pPr>
            <w:r w:rsidRPr="00C47F2F">
              <w:rPr>
                <w:noProof/>
                <w:sz w:val="20"/>
                <w:szCs w:val="20"/>
              </w:rPr>
              <w:t>9.04E-04</w:t>
            </w:r>
          </w:p>
        </w:tc>
        <w:tc>
          <w:tcPr>
            <w:tcW w:w="971" w:type="dxa"/>
            <w:shd w:val="clear" w:color="auto" w:fill="auto"/>
            <w:noWrap/>
            <w:vAlign w:val="center"/>
          </w:tcPr>
          <w:p w14:paraId="059E28B0" w14:textId="77777777" w:rsidR="001200FD" w:rsidRPr="00C47F2F" w:rsidRDefault="001200FD" w:rsidP="0019583E">
            <w:pPr>
              <w:pStyle w:val="Table"/>
              <w:rPr>
                <w:noProof/>
                <w:sz w:val="20"/>
                <w:szCs w:val="20"/>
              </w:rPr>
            </w:pPr>
            <w:r w:rsidRPr="00C47F2F">
              <w:rPr>
                <w:noProof/>
                <w:sz w:val="20"/>
                <w:szCs w:val="20"/>
              </w:rPr>
              <w:t>5.21E-04</w:t>
            </w:r>
          </w:p>
        </w:tc>
        <w:tc>
          <w:tcPr>
            <w:tcW w:w="969" w:type="dxa"/>
            <w:shd w:val="clear" w:color="auto" w:fill="auto"/>
            <w:noWrap/>
            <w:vAlign w:val="center"/>
          </w:tcPr>
          <w:p w14:paraId="1F8B9592" w14:textId="77777777" w:rsidR="001200FD" w:rsidRPr="00C47F2F" w:rsidRDefault="001200FD" w:rsidP="0019583E">
            <w:pPr>
              <w:pStyle w:val="Table"/>
              <w:rPr>
                <w:noProof/>
                <w:sz w:val="20"/>
                <w:szCs w:val="20"/>
              </w:rPr>
            </w:pPr>
            <w:r w:rsidRPr="00C47F2F">
              <w:rPr>
                <w:noProof/>
                <w:sz w:val="20"/>
                <w:szCs w:val="20"/>
              </w:rPr>
              <w:t>8.21E-05</w:t>
            </w:r>
          </w:p>
        </w:tc>
      </w:tr>
      <w:tr w:rsidR="001200FD" w:rsidRPr="00972C81" w14:paraId="63A5DA5A" w14:textId="77777777" w:rsidTr="0019583E">
        <w:trPr>
          <w:trHeight w:val="340"/>
        </w:trPr>
        <w:tc>
          <w:tcPr>
            <w:tcW w:w="3131" w:type="dxa"/>
            <w:shd w:val="clear" w:color="auto" w:fill="auto"/>
            <w:noWrap/>
            <w:vAlign w:val="center"/>
          </w:tcPr>
          <w:p w14:paraId="18D091A2" w14:textId="01E4D050" w:rsidR="001200FD" w:rsidRPr="001200FD" w:rsidRDefault="001200FD" w:rsidP="0019583E">
            <w:pPr>
              <w:pStyle w:val="Table"/>
              <w:rPr>
                <w:noProof/>
                <w:sz w:val="20"/>
                <w:szCs w:val="22"/>
              </w:rPr>
            </w:pPr>
            <w:r w:rsidRPr="001200FD">
              <w:rPr>
                <w:noProof/>
                <w:sz w:val="20"/>
                <w:szCs w:val="22"/>
              </w:rPr>
              <w:t>Cort bone surf to Cort bone vol</w:t>
            </w:r>
          </w:p>
        </w:tc>
        <w:tc>
          <w:tcPr>
            <w:tcW w:w="968" w:type="dxa"/>
            <w:shd w:val="clear" w:color="auto" w:fill="auto"/>
            <w:noWrap/>
            <w:vAlign w:val="center"/>
          </w:tcPr>
          <w:p w14:paraId="146FA4DC" w14:textId="77777777" w:rsidR="001200FD" w:rsidRPr="00C47F2F" w:rsidRDefault="001200FD" w:rsidP="0019583E">
            <w:pPr>
              <w:pStyle w:val="Table"/>
              <w:rPr>
                <w:noProof/>
                <w:sz w:val="20"/>
                <w:szCs w:val="20"/>
              </w:rPr>
            </w:pPr>
            <w:r w:rsidRPr="00C47F2F">
              <w:rPr>
                <w:noProof/>
                <w:sz w:val="20"/>
                <w:szCs w:val="20"/>
              </w:rPr>
              <w:t>8.22E-03</w:t>
            </w:r>
          </w:p>
        </w:tc>
        <w:tc>
          <w:tcPr>
            <w:tcW w:w="986" w:type="dxa"/>
            <w:shd w:val="clear" w:color="auto" w:fill="auto"/>
            <w:noWrap/>
            <w:vAlign w:val="center"/>
          </w:tcPr>
          <w:p w14:paraId="1A143775" w14:textId="77777777" w:rsidR="001200FD" w:rsidRPr="00C47F2F" w:rsidRDefault="001200FD" w:rsidP="0019583E">
            <w:pPr>
              <w:pStyle w:val="Table"/>
              <w:rPr>
                <w:noProof/>
                <w:sz w:val="20"/>
                <w:szCs w:val="20"/>
              </w:rPr>
            </w:pPr>
            <w:r w:rsidRPr="00C47F2F">
              <w:rPr>
                <w:noProof/>
                <w:sz w:val="20"/>
                <w:szCs w:val="20"/>
              </w:rPr>
              <w:t>2.88E-03</w:t>
            </w:r>
          </w:p>
        </w:tc>
        <w:tc>
          <w:tcPr>
            <w:tcW w:w="969" w:type="dxa"/>
            <w:shd w:val="clear" w:color="auto" w:fill="auto"/>
            <w:noWrap/>
            <w:vAlign w:val="center"/>
          </w:tcPr>
          <w:p w14:paraId="14A04B70" w14:textId="77777777" w:rsidR="001200FD" w:rsidRPr="00C47F2F" w:rsidRDefault="001200FD" w:rsidP="0019583E">
            <w:pPr>
              <w:pStyle w:val="Table"/>
              <w:rPr>
                <w:noProof/>
                <w:sz w:val="20"/>
                <w:szCs w:val="20"/>
              </w:rPr>
            </w:pPr>
            <w:r w:rsidRPr="00C47F2F">
              <w:rPr>
                <w:noProof/>
                <w:sz w:val="20"/>
                <w:szCs w:val="20"/>
              </w:rPr>
              <w:t>1.53E-03</w:t>
            </w:r>
          </w:p>
        </w:tc>
        <w:tc>
          <w:tcPr>
            <w:tcW w:w="1033" w:type="dxa"/>
            <w:shd w:val="clear" w:color="auto" w:fill="auto"/>
            <w:noWrap/>
            <w:vAlign w:val="center"/>
          </w:tcPr>
          <w:p w14:paraId="647AC98C" w14:textId="77777777" w:rsidR="001200FD" w:rsidRPr="00C47F2F" w:rsidRDefault="001200FD" w:rsidP="0019583E">
            <w:pPr>
              <w:pStyle w:val="Table"/>
              <w:rPr>
                <w:noProof/>
                <w:sz w:val="20"/>
                <w:szCs w:val="20"/>
              </w:rPr>
            </w:pPr>
            <w:r w:rsidRPr="00C47F2F">
              <w:rPr>
                <w:noProof/>
                <w:sz w:val="20"/>
                <w:szCs w:val="20"/>
              </w:rPr>
              <w:t>9.04E-04</w:t>
            </w:r>
          </w:p>
        </w:tc>
        <w:tc>
          <w:tcPr>
            <w:tcW w:w="971" w:type="dxa"/>
            <w:shd w:val="clear" w:color="auto" w:fill="auto"/>
            <w:noWrap/>
            <w:vAlign w:val="center"/>
          </w:tcPr>
          <w:p w14:paraId="5592F319" w14:textId="77777777" w:rsidR="001200FD" w:rsidRPr="00C47F2F" w:rsidRDefault="001200FD" w:rsidP="0019583E">
            <w:pPr>
              <w:pStyle w:val="Table"/>
              <w:rPr>
                <w:noProof/>
                <w:sz w:val="20"/>
                <w:szCs w:val="20"/>
              </w:rPr>
            </w:pPr>
            <w:r w:rsidRPr="00C47F2F">
              <w:rPr>
                <w:noProof/>
                <w:sz w:val="20"/>
                <w:szCs w:val="20"/>
              </w:rPr>
              <w:t>5.21E-04</w:t>
            </w:r>
          </w:p>
        </w:tc>
        <w:tc>
          <w:tcPr>
            <w:tcW w:w="969" w:type="dxa"/>
            <w:shd w:val="clear" w:color="auto" w:fill="auto"/>
            <w:noWrap/>
            <w:vAlign w:val="center"/>
          </w:tcPr>
          <w:p w14:paraId="0184EDDD" w14:textId="77777777" w:rsidR="001200FD" w:rsidRPr="00C47F2F" w:rsidRDefault="001200FD" w:rsidP="0019583E">
            <w:pPr>
              <w:pStyle w:val="Table"/>
              <w:rPr>
                <w:noProof/>
                <w:sz w:val="20"/>
                <w:szCs w:val="20"/>
              </w:rPr>
            </w:pPr>
            <w:r w:rsidRPr="00C47F2F">
              <w:rPr>
                <w:noProof/>
                <w:sz w:val="20"/>
                <w:szCs w:val="20"/>
              </w:rPr>
              <w:t>4.11E-05</w:t>
            </w:r>
          </w:p>
        </w:tc>
      </w:tr>
      <w:tr w:rsidR="001200FD" w:rsidRPr="00972C81" w14:paraId="40DDEB3B" w14:textId="77777777" w:rsidTr="0019583E">
        <w:trPr>
          <w:trHeight w:val="340"/>
        </w:trPr>
        <w:tc>
          <w:tcPr>
            <w:tcW w:w="3131" w:type="dxa"/>
            <w:shd w:val="clear" w:color="auto" w:fill="auto"/>
            <w:noWrap/>
            <w:vAlign w:val="center"/>
          </w:tcPr>
          <w:p w14:paraId="6CB688D5" w14:textId="3784DEE7" w:rsidR="001200FD" w:rsidRPr="001200FD" w:rsidRDefault="001200FD" w:rsidP="0019583E">
            <w:pPr>
              <w:pStyle w:val="Table"/>
              <w:rPr>
                <w:noProof/>
                <w:sz w:val="20"/>
                <w:szCs w:val="22"/>
              </w:rPr>
            </w:pPr>
            <w:r w:rsidRPr="001200FD">
              <w:rPr>
                <w:noProof/>
                <w:sz w:val="20"/>
                <w:szCs w:val="22"/>
              </w:rPr>
              <w:t>Trab bone surf to Trab marrow</w:t>
            </w:r>
          </w:p>
        </w:tc>
        <w:tc>
          <w:tcPr>
            <w:tcW w:w="968" w:type="dxa"/>
            <w:shd w:val="clear" w:color="auto" w:fill="auto"/>
            <w:noWrap/>
            <w:vAlign w:val="center"/>
          </w:tcPr>
          <w:p w14:paraId="31AC4C64" w14:textId="77777777" w:rsidR="001200FD" w:rsidRPr="00C47F2F" w:rsidRDefault="001200FD" w:rsidP="0019583E">
            <w:pPr>
              <w:pStyle w:val="Table"/>
              <w:rPr>
                <w:noProof/>
                <w:sz w:val="20"/>
                <w:szCs w:val="20"/>
              </w:rPr>
            </w:pPr>
            <w:r w:rsidRPr="00C47F2F">
              <w:rPr>
                <w:noProof/>
                <w:sz w:val="20"/>
                <w:szCs w:val="20"/>
              </w:rPr>
              <w:t>8.22E-03</w:t>
            </w:r>
          </w:p>
        </w:tc>
        <w:tc>
          <w:tcPr>
            <w:tcW w:w="986" w:type="dxa"/>
            <w:shd w:val="clear" w:color="auto" w:fill="auto"/>
            <w:noWrap/>
            <w:vAlign w:val="center"/>
          </w:tcPr>
          <w:p w14:paraId="39FB594B" w14:textId="77777777" w:rsidR="001200FD" w:rsidRPr="00C47F2F" w:rsidRDefault="001200FD" w:rsidP="0019583E">
            <w:pPr>
              <w:pStyle w:val="Table"/>
              <w:rPr>
                <w:noProof/>
                <w:sz w:val="20"/>
                <w:szCs w:val="20"/>
              </w:rPr>
            </w:pPr>
            <w:r w:rsidRPr="00C47F2F">
              <w:rPr>
                <w:noProof/>
                <w:sz w:val="20"/>
                <w:szCs w:val="20"/>
              </w:rPr>
              <w:t>2.88E-03</w:t>
            </w:r>
          </w:p>
        </w:tc>
        <w:tc>
          <w:tcPr>
            <w:tcW w:w="969" w:type="dxa"/>
            <w:shd w:val="clear" w:color="auto" w:fill="auto"/>
            <w:noWrap/>
            <w:vAlign w:val="center"/>
          </w:tcPr>
          <w:p w14:paraId="7A9D583A" w14:textId="77777777" w:rsidR="001200FD" w:rsidRPr="00C47F2F" w:rsidRDefault="001200FD" w:rsidP="0019583E">
            <w:pPr>
              <w:pStyle w:val="Table"/>
              <w:rPr>
                <w:noProof/>
                <w:sz w:val="20"/>
                <w:szCs w:val="20"/>
              </w:rPr>
            </w:pPr>
            <w:r w:rsidRPr="00C47F2F">
              <w:rPr>
                <w:noProof/>
                <w:sz w:val="20"/>
                <w:szCs w:val="20"/>
              </w:rPr>
              <w:t>1.81E-03</w:t>
            </w:r>
          </w:p>
        </w:tc>
        <w:tc>
          <w:tcPr>
            <w:tcW w:w="1033" w:type="dxa"/>
            <w:shd w:val="clear" w:color="auto" w:fill="auto"/>
            <w:noWrap/>
            <w:vAlign w:val="center"/>
          </w:tcPr>
          <w:p w14:paraId="014E9BF1" w14:textId="77777777" w:rsidR="001200FD" w:rsidRPr="00C47F2F" w:rsidRDefault="001200FD" w:rsidP="0019583E">
            <w:pPr>
              <w:pStyle w:val="Table"/>
              <w:rPr>
                <w:noProof/>
                <w:sz w:val="20"/>
                <w:szCs w:val="20"/>
              </w:rPr>
            </w:pPr>
            <w:r w:rsidRPr="00C47F2F">
              <w:rPr>
                <w:noProof/>
                <w:sz w:val="20"/>
                <w:szCs w:val="20"/>
              </w:rPr>
              <w:t>1.32E-03</w:t>
            </w:r>
          </w:p>
        </w:tc>
        <w:tc>
          <w:tcPr>
            <w:tcW w:w="971" w:type="dxa"/>
            <w:shd w:val="clear" w:color="auto" w:fill="auto"/>
            <w:noWrap/>
            <w:vAlign w:val="center"/>
          </w:tcPr>
          <w:p w14:paraId="3FC10B32" w14:textId="77777777" w:rsidR="001200FD" w:rsidRPr="00C47F2F" w:rsidRDefault="001200FD" w:rsidP="0019583E">
            <w:pPr>
              <w:pStyle w:val="Table"/>
              <w:rPr>
                <w:noProof/>
                <w:sz w:val="20"/>
                <w:szCs w:val="20"/>
              </w:rPr>
            </w:pPr>
            <w:r w:rsidRPr="00C47F2F">
              <w:rPr>
                <w:noProof/>
                <w:sz w:val="20"/>
                <w:szCs w:val="20"/>
              </w:rPr>
              <w:t>9.59E-04</w:t>
            </w:r>
          </w:p>
        </w:tc>
        <w:tc>
          <w:tcPr>
            <w:tcW w:w="969" w:type="dxa"/>
            <w:shd w:val="clear" w:color="auto" w:fill="auto"/>
            <w:noWrap/>
            <w:vAlign w:val="center"/>
          </w:tcPr>
          <w:p w14:paraId="6BD7622B" w14:textId="77777777" w:rsidR="001200FD" w:rsidRPr="00C47F2F" w:rsidRDefault="001200FD" w:rsidP="0019583E">
            <w:pPr>
              <w:pStyle w:val="Table"/>
              <w:rPr>
                <w:noProof/>
                <w:sz w:val="20"/>
                <w:szCs w:val="20"/>
              </w:rPr>
            </w:pPr>
            <w:r w:rsidRPr="00C47F2F">
              <w:rPr>
                <w:noProof/>
                <w:sz w:val="20"/>
                <w:szCs w:val="20"/>
              </w:rPr>
              <w:t>4.93E-04</w:t>
            </w:r>
          </w:p>
        </w:tc>
      </w:tr>
      <w:tr w:rsidR="001200FD" w:rsidRPr="00972C81" w14:paraId="572AC211" w14:textId="77777777" w:rsidTr="0019583E">
        <w:trPr>
          <w:trHeight w:val="340"/>
        </w:trPr>
        <w:tc>
          <w:tcPr>
            <w:tcW w:w="3131" w:type="dxa"/>
            <w:shd w:val="clear" w:color="auto" w:fill="auto"/>
            <w:noWrap/>
            <w:vAlign w:val="center"/>
          </w:tcPr>
          <w:p w14:paraId="1C960795" w14:textId="5758F803" w:rsidR="001200FD" w:rsidRPr="001200FD" w:rsidRDefault="001200FD" w:rsidP="0019583E">
            <w:pPr>
              <w:pStyle w:val="Table"/>
              <w:rPr>
                <w:noProof/>
                <w:sz w:val="20"/>
                <w:szCs w:val="22"/>
              </w:rPr>
            </w:pPr>
            <w:r w:rsidRPr="001200FD">
              <w:rPr>
                <w:noProof/>
                <w:sz w:val="20"/>
                <w:szCs w:val="22"/>
              </w:rPr>
              <w:t>Trab bone surf to Trab bone vol</w:t>
            </w:r>
          </w:p>
        </w:tc>
        <w:tc>
          <w:tcPr>
            <w:tcW w:w="968" w:type="dxa"/>
            <w:shd w:val="clear" w:color="auto" w:fill="auto"/>
            <w:noWrap/>
            <w:vAlign w:val="center"/>
          </w:tcPr>
          <w:p w14:paraId="42ADAE1A" w14:textId="77777777" w:rsidR="001200FD" w:rsidRPr="00C47F2F" w:rsidRDefault="001200FD" w:rsidP="0019583E">
            <w:pPr>
              <w:pStyle w:val="Table"/>
              <w:rPr>
                <w:noProof/>
                <w:sz w:val="20"/>
                <w:szCs w:val="20"/>
              </w:rPr>
            </w:pPr>
            <w:r w:rsidRPr="00C47F2F">
              <w:rPr>
                <w:noProof/>
                <w:sz w:val="20"/>
                <w:szCs w:val="20"/>
              </w:rPr>
              <w:t>8.22E-03</w:t>
            </w:r>
          </w:p>
        </w:tc>
        <w:tc>
          <w:tcPr>
            <w:tcW w:w="986" w:type="dxa"/>
            <w:shd w:val="clear" w:color="auto" w:fill="auto"/>
            <w:noWrap/>
            <w:vAlign w:val="center"/>
          </w:tcPr>
          <w:p w14:paraId="1BFD0685" w14:textId="77777777" w:rsidR="001200FD" w:rsidRPr="00C47F2F" w:rsidRDefault="001200FD" w:rsidP="0019583E">
            <w:pPr>
              <w:pStyle w:val="Table"/>
              <w:rPr>
                <w:noProof/>
                <w:sz w:val="20"/>
                <w:szCs w:val="20"/>
              </w:rPr>
            </w:pPr>
            <w:r w:rsidRPr="00C47F2F">
              <w:rPr>
                <w:noProof/>
                <w:sz w:val="20"/>
                <w:szCs w:val="20"/>
              </w:rPr>
              <w:t>2.88E-03</w:t>
            </w:r>
          </w:p>
        </w:tc>
        <w:tc>
          <w:tcPr>
            <w:tcW w:w="969" w:type="dxa"/>
            <w:shd w:val="clear" w:color="auto" w:fill="auto"/>
            <w:noWrap/>
            <w:vAlign w:val="center"/>
          </w:tcPr>
          <w:p w14:paraId="54EFE572" w14:textId="77777777" w:rsidR="001200FD" w:rsidRPr="00C47F2F" w:rsidRDefault="001200FD" w:rsidP="0019583E">
            <w:pPr>
              <w:pStyle w:val="Table"/>
              <w:rPr>
                <w:noProof/>
                <w:sz w:val="20"/>
                <w:szCs w:val="20"/>
              </w:rPr>
            </w:pPr>
            <w:r w:rsidRPr="00C47F2F">
              <w:rPr>
                <w:noProof/>
                <w:sz w:val="20"/>
                <w:szCs w:val="20"/>
              </w:rPr>
              <w:t>1.81E-03</w:t>
            </w:r>
          </w:p>
        </w:tc>
        <w:tc>
          <w:tcPr>
            <w:tcW w:w="1033" w:type="dxa"/>
            <w:shd w:val="clear" w:color="auto" w:fill="auto"/>
            <w:noWrap/>
            <w:vAlign w:val="center"/>
          </w:tcPr>
          <w:p w14:paraId="12422B0C" w14:textId="77777777" w:rsidR="001200FD" w:rsidRPr="00C47F2F" w:rsidRDefault="001200FD" w:rsidP="0019583E">
            <w:pPr>
              <w:pStyle w:val="Table"/>
              <w:rPr>
                <w:noProof/>
                <w:sz w:val="20"/>
                <w:szCs w:val="20"/>
              </w:rPr>
            </w:pPr>
            <w:r w:rsidRPr="00C47F2F">
              <w:rPr>
                <w:noProof/>
                <w:sz w:val="20"/>
                <w:szCs w:val="20"/>
              </w:rPr>
              <w:t>1.32E-03</w:t>
            </w:r>
          </w:p>
        </w:tc>
        <w:tc>
          <w:tcPr>
            <w:tcW w:w="971" w:type="dxa"/>
            <w:shd w:val="clear" w:color="auto" w:fill="auto"/>
            <w:noWrap/>
            <w:vAlign w:val="center"/>
          </w:tcPr>
          <w:p w14:paraId="0F7A1CAA" w14:textId="77777777" w:rsidR="001200FD" w:rsidRPr="00C47F2F" w:rsidRDefault="001200FD" w:rsidP="0019583E">
            <w:pPr>
              <w:pStyle w:val="Table"/>
              <w:rPr>
                <w:noProof/>
                <w:sz w:val="20"/>
                <w:szCs w:val="20"/>
              </w:rPr>
            </w:pPr>
            <w:r w:rsidRPr="00C47F2F">
              <w:rPr>
                <w:noProof/>
                <w:sz w:val="20"/>
                <w:szCs w:val="20"/>
              </w:rPr>
              <w:t>9.59E-04</w:t>
            </w:r>
          </w:p>
        </w:tc>
        <w:tc>
          <w:tcPr>
            <w:tcW w:w="969" w:type="dxa"/>
            <w:shd w:val="clear" w:color="auto" w:fill="auto"/>
            <w:noWrap/>
            <w:vAlign w:val="center"/>
          </w:tcPr>
          <w:p w14:paraId="5AAA6D2A" w14:textId="77777777" w:rsidR="001200FD" w:rsidRPr="00C47F2F" w:rsidRDefault="001200FD" w:rsidP="0019583E">
            <w:pPr>
              <w:pStyle w:val="Table"/>
              <w:rPr>
                <w:noProof/>
                <w:sz w:val="20"/>
                <w:szCs w:val="20"/>
              </w:rPr>
            </w:pPr>
            <w:r w:rsidRPr="00C47F2F">
              <w:rPr>
                <w:noProof/>
                <w:sz w:val="20"/>
                <w:szCs w:val="20"/>
              </w:rPr>
              <w:t>2.47E-04</w:t>
            </w:r>
          </w:p>
        </w:tc>
      </w:tr>
      <w:tr w:rsidR="001200FD" w:rsidRPr="00972C81" w14:paraId="032B2503" w14:textId="77777777" w:rsidTr="0019583E">
        <w:trPr>
          <w:trHeight w:val="340"/>
        </w:trPr>
        <w:tc>
          <w:tcPr>
            <w:tcW w:w="3131" w:type="dxa"/>
            <w:shd w:val="clear" w:color="auto" w:fill="auto"/>
            <w:noWrap/>
            <w:vAlign w:val="center"/>
          </w:tcPr>
          <w:p w14:paraId="1E63EFE7" w14:textId="3456CF19" w:rsidR="001200FD" w:rsidRPr="001200FD" w:rsidRDefault="001200FD" w:rsidP="0019583E">
            <w:pPr>
              <w:pStyle w:val="Table"/>
              <w:rPr>
                <w:noProof/>
                <w:sz w:val="20"/>
                <w:szCs w:val="22"/>
              </w:rPr>
            </w:pPr>
            <w:r w:rsidRPr="001200FD">
              <w:rPr>
                <w:noProof/>
                <w:sz w:val="20"/>
                <w:szCs w:val="22"/>
              </w:rPr>
              <w:t>Kidneys 1 to Urinary bladder cont</w:t>
            </w:r>
          </w:p>
        </w:tc>
        <w:tc>
          <w:tcPr>
            <w:tcW w:w="968" w:type="dxa"/>
            <w:shd w:val="clear" w:color="auto" w:fill="auto"/>
            <w:noWrap/>
            <w:vAlign w:val="center"/>
          </w:tcPr>
          <w:p w14:paraId="7AF72FB4" w14:textId="77777777" w:rsidR="001200FD" w:rsidRPr="00C47F2F" w:rsidRDefault="001200FD" w:rsidP="0019583E">
            <w:pPr>
              <w:pStyle w:val="Table"/>
              <w:rPr>
                <w:noProof/>
                <w:sz w:val="20"/>
                <w:szCs w:val="20"/>
              </w:rPr>
            </w:pPr>
            <w:r w:rsidRPr="00C47F2F">
              <w:rPr>
                <w:noProof/>
                <w:sz w:val="20"/>
                <w:szCs w:val="20"/>
              </w:rPr>
              <w:t>4.95E-02</w:t>
            </w:r>
          </w:p>
        </w:tc>
        <w:tc>
          <w:tcPr>
            <w:tcW w:w="986" w:type="dxa"/>
            <w:shd w:val="clear" w:color="auto" w:fill="auto"/>
            <w:noWrap/>
            <w:vAlign w:val="center"/>
          </w:tcPr>
          <w:p w14:paraId="77EE14D5" w14:textId="77777777" w:rsidR="001200FD" w:rsidRPr="00C47F2F" w:rsidRDefault="001200FD" w:rsidP="0019583E">
            <w:pPr>
              <w:pStyle w:val="Table"/>
              <w:rPr>
                <w:noProof/>
                <w:sz w:val="20"/>
                <w:szCs w:val="20"/>
              </w:rPr>
            </w:pPr>
            <w:r w:rsidRPr="00C47F2F">
              <w:rPr>
                <w:noProof/>
                <w:sz w:val="20"/>
                <w:szCs w:val="20"/>
              </w:rPr>
              <w:t>4.95E-02</w:t>
            </w:r>
          </w:p>
        </w:tc>
        <w:tc>
          <w:tcPr>
            <w:tcW w:w="969" w:type="dxa"/>
            <w:shd w:val="clear" w:color="auto" w:fill="auto"/>
            <w:noWrap/>
            <w:vAlign w:val="center"/>
          </w:tcPr>
          <w:p w14:paraId="03A226BE" w14:textId="77777777" w:rsidR="001200FD" w:rsidRPr="00C47F2F" w:rsidRDefault="001200FD" w:rsidP="0019583E">
            <w:pPr>
              <w:pStyle w:val="Table"/>
              <w:rPr>
                <w:noProof/>
                <w:sz w:val="20"/>
                <w:szCs w:val="20"/>
              </w:rPr>
            </w:pPr>
            <w:r w:rsidRPr="00C47F2F">
              <w:rPr>
                <w:noProof/>
                <w:sz w:val="20"/>
                <w:szCs w:val="20"/>
              </w:rPr>
              <w:t>4.95E-02</w:t>
            </w:r>
          </w:p>
        </w:tc>
        <w:tc>
          <w:tcPr>
            <w:tcW w:w="1033" w:type="dxa"/>
            <w:shd w:val="clear" w:color="auto" w:fill="auto"/>
            <w:noWrap/>
            <w:vAlign w:val="center"/>
          </w:tcPr>
          <w:p w14:paraId="7EB50822" w14:textId="77777777" w:rsidR="001200FD" w:rsidRPr="00C47F2F" w:rsidRDefault="001200FD" w:rsidP="0019583E">
            <w:pPr>
              <w:pStyle w:val="Table"/>
              <w:rPr>
                <w:noProof/>
                <w:sz w:val="20"/>
                <w:szCs w:val="20"/>
              </w:rPr>
            </w:pPr>
            <w:r w:rsidRPr="00C47F2F">
              <w:rPr>
                <w:noProof/>
                <w:sz w:val="20"/>
                <w:szCs w:val="20"/>
              </w:rPr>
              <w:t>4.95E-02</w:t>
            </w:r>
          </w:p>
        </w:tc>
        <w:tc>
          <w:tcPr>
            <w:tcW w:w="971" w:type="dxa"/>
            <w:shd w:val="clear" w:color="auto" w:fill="auto"/>
            <w:noWrap/>
            <w:vAlign w:val="center"/>
          </w:tcPr>
          <w:p w14:paraId="0205FAA3" w14:textId="77777777" w:rsidR="001200FD" w:rsidRPr="00C47F2F" w:rsidRDefault="001200FD" w:rsidP="0019583E">
            <w:pPr>
              <w:pStyle w:val="Table"/>
              <w:rPr>
                <w:noProof/>
                <w:sz w:val="20"/>
                <w:szCs w:val="20"/>
              </w:rPr>
            </w:pPr>
            <w:r w:rsidRPr="00C47F2F">
              <w:rPr>
                <w:noProof/>
                <w:sz w:val="20"/>
                <w:szCs w:val="20"/>
              </w:rPr>
              <w:t>4.95E-02</w:t>
            </w:r>
          </w:p>
        </w:tc>
        <w:tc>
          <w:tcPr>
            <w:tcW w:w="969" w:type="dxa"/>
            <w:shd w:val="clear" w:color="auto" w:fill="auto"/>
            <w:noWrap/>
            <w:vAlign w:val="center"/>
          </w:tcPr>
          <w:p w14:paraId="3A6D037A" w14:textId="77777777" w:rsidR="001200FD" w:rsidRPr="00C47F2F" w:rsidRDefault="001200FD" w:rsidP="0019583E">
            <w:pPr>
              <w:pStyle w:val="Table"/>
              <w:rPr>
                <w:noProof/>
                <w:sz w:val="20"/>
                <w:szCs w:val="20"/>
              </w:rPr>
            </w:pPr>
            <w:r w:rsidRPr="00C47F2F">
              <w:rPr>
                <w:noProof/>
                <w:sz w:val="20"/>
                <w:szCs w:val="20"/>
              </w:rPr>
              <w:t>4.95E-02</w:t>
            </w:r>
          </w:p>
        </w:tc>
      </w:tr>
      <w:tr w:rsidR="001200FD" w:rsidRPr="00972C81" w14:paraId="77867343" w14:textId="77777777" w:rsidTr="0019583E">
        <w:trPr>
          <w:trHeight w:val="340"/>
        </w:trPr>
        <w:tc>
          <w:tcPr>
            <w:tcW w:w="3131" w:type="dxa"/>
            <w:shd w:val="clear" w:color="auto" w:fill="auto"/>
            <w:noWrap/>
            <w:vAlign w:val="center"/>
          </w:tcPr>
          <w:p w14:paraId="2937855C" w14:textId="0780A5E0" w:rsidR="001200FD" w:rsidRPr="001200FD" w:rsidRDefault="001200FD" w:rsidP="0019583E">
            <w:pPr>
              <w:pStyle w:val="Table"/>
              <w:rPr>
                <w:noProof/>
                <w:sz w:val="20"/>
                <w:szCs w:val="22"/>
              </w:rPr>
            </w:pPr>
            <w:r w:rsidRPr="001200FD">
              <w:rPr>
                <w:noProof/>
                <w:sz w:val="20"/>
                <w:szCs w:val="22"/>
              </w:rPr>
              <w:t>Kidneys 2 to Blood</w:t>
            </w:r>
          </w:p>
        </w:tc>
        <w:tc>
          <w:tcPr>
            <w:tcW w:w="968" w:type="dxa"/>
            <w:shd w:val="clear" w:color="auto" w:fill="auto"/>
            <w:noWrap/>
            <w:vAlign w:val="center"/>
          </w:tcPr>
          <w:p w14:paraId="5203E6C6" w14:textId="77777777" w:rsidR="001200FD" w:rsidRPr="00C47F2F" w:rsidRDefault="001200FD" w:rsidP="0019583E">
            <w:pPr>
              <w:pStyle w:val="Table"/>
              <w:rPr>
                <w:noProof/>
                <w:sz w:val="20"/>
                <w:szCs w:val="20"/>
              </w:rPr>
            </w:pPr>
            <w:r w:rsidRPr="00C47F2F">
              <w:rPr>
                <w:noProof/>
                <w:sz w:val="20"/>
                <w:szCs w:val="20"/>
              </w:rPr>
              <w:t>1.39E-03</w:t>
            </w:r>
          </w:p>
        </w:tc>
        <w:tc>
          <w:tcPr>
            <w:tcW w:w="986" w:type="dxa"/>
            <w:shd w:val="clear" w:color="auto" w:fill="auto"/>
            <w:noWrap/>
            <w:vAlign w:val="center"/>
          </w:tcPr>
          <w:p w14:paraId="7AB92E4A" w14:textId="77777777" w:rsidR="001200FD" w:rsidRPr="00C47F2F" w:rsidRDefault="001200FD" w:rsidP="0019583E">
            <w:pPr>
              <w:pStyle w:val="Table"/>
              <w:rPr>
                <w:noProof/>
                <w:sz w:val="20"/>
                <w:szCs w:val="20"/>
              </w:rPr>
            </w:pPr>
            <w:r w:rsidRPr="00C47F2F">
              <w:rPr>
                <w:noProof/>
                <w:sz w:val="20"/>
                <w:szCs w:val="20"/>
              </w:rPr>
              <w:t>1.39E-03</w:t>
            </w:r>
          </w:p>
        </w:tc>
        <w:tc>
          <w:tcPr>
            <w:tcW w:w="969" w:type="dxa"/>
            <w:shd w:val="clear" w:color="auto" w:fill="auto"/>
            <w:noWrap/>
            <w:vAlign w:val="center"/>
          </w:tcPr>
          <w:p w14:paraId="2D31D075" w14:textId="77777777" w:rsidR="001200FD" w:rsidRPr="00C47F2F" w:rsidRDefault="001200FD" w:rsidP="0019583E">
            <w:pPr>
              <w:pStyle w:val="Table"/>
              <w:rPr>
                <w:noProof/>
                <w:sz w:val="20"/>
                <w:szCs w:val="20"/>
              </w:rPr>
            </w:pPr>
            <w:r w:rsidRPr="00C47F2F">
              <w:rPr>
                <w:noProof/>
                <w:sz w:val="20"/>
                <w:szCs w:val="20"/>
              </w:rPr>
              <w:t>1.39E-03</w:t>
            </w:r>
          </w:p>
        </w:tc>
        <w:tc>
          <w:tcPr>
            <w:tcW w:w="1033" w:type="dxa"/>
            <w:shd w:val="clear" w:color="auto" w:fill="auto"/>
            <w:noWrap/>
            <w:vAlign w:val="center"/>
          </w:tcPr>
          <w:p w14:paraId="6B16F0D8" w14:textId="77777777" w:rsidR="001200FD" w:rsidRPr="00C47F2F" w:rsidRDefault="001200FD" w:rsidP="0019583E">
            <w:pPr>
              <w:pStyle w:val="Table"/>
              <w:rPr>
                <w:noProof/>
                <w:sz w:val="20"/>
                <w:szCs w:val="20"/>
              </w:rPr>
            </w:pPr>
            <w:r w:rsidRPr="00C47F2F">
              <w:rPr>
                <w:noProof/>
                <w:sz w:val="20"/>
                <w:szCs w:val="20"/>
              </w:rPr>
              <w:t>1.39E-03</w:t>
            </w:r>
          </w:p>
        </w:tc>
        <w:tc>
          <w:tcPr>
            <w:tcW w:w="971" w:type="dxa"/>
            <w:shd w:val="clear" w:color="auto" w:fill="auto"/>
            <w:noWrap/>
            <w:vAlign w:val="center"/>
          </w:tcPr>
          <w:p w14:paraId="6A226E3A" w14:textId="77777777" w:rsidR="001200FD" w:rsidRPr="00C47F2F" w:rsidRDefault="001200FD" w:rsidP="0019583E">
            <w:pPr>
              <w:pStyle w:val="Table"/>
              <w:rPr>
                <w:noProof/>
                <w:sz w:val="20"/>
                <w:szCs w:val="20"/>
              </w:rPr>
            </w:pPr>
            <w:r w:rsidRPr="00C47F2F">
              <w:rPr>
                <w:noProof/>
                <w:sz w:val="20"/>
                <w:szCs w:val="20"/>
              </w:rPr>
              <w:t>1.39E-03</w:t>
            </w:r>
          </w:p>
        </w:tc>
        <w:tc>
          <w:tcPr>
            <w:tcW w:w="969" w:type="dxa"/>
            <w:shd w:val="clear" w:color="auto" w:fill="auto"/>
            <w:noWrap/>
            <w:vAlign w:val="center"/>
          </w:tcPr>
          <w:p w14:paraId="45EB8627" w14:textId="77777777" w:rsidR="001200FD" w:rsidRPr="00C47F2F" w:rsidRDefault="001200FD" w:rsidP="0019583E">
            <w:pPr>
              <w:pStyle w:val="Table"/>
              <w:rPr>
                <w:noProof/>
                <w:sz w:val="20"/>
                <w:szCs w:val="20"/>
              </w:rPr>
            </w:pPr>
            <w:r w:rsidRPr="00C47F2F">
              <w:rPr>
                <w:noProof/>
                <w:sz w:val="20"/>
                <w:szCs w:val="20"/>
              </w:rPr>
              <w:t>1.39E-03</w:t>
            </w:r>
          </w:p>
        </w:tc>
      </w:tr>
      <w:tr w:rsidR="001200FD" w:rsidRPr="00972C81" w14:paraId="51FE8AC9" w14:textId="77777777" w:rsidTr="0019583E">
        <w:trPr>
          <w:trHeight w:val="340"/>
        </w:trPr>
        <w:tc>
          <w:tcPr>
            <w:tcW w:w="3131" w:type="dxa"/>
            <w:shd w:val="clear" w:color="auto" w:fill="auto"/>
            <w:noWrap/>
            <w:vAlign w:val="center"/>
          </w:tcPr>
          <w:p w14:paraId="7C00BD29" w14:textId="51515018" w:rsidR="001200FD" w:rsidRPr="001200FD" w:rsidRDefault="001200FD" w:rsidP="0019583E">
            <w:pPr>
              <w:pStyle w:val="Table"/>
              <w:rPr>
                <w:noProof/>
                <w:sz w:val="20"/>
                <w:szCs w:val="22"/>
              </w:rPr>
            </w:pPr>
            <w:r w:rsidRPr="001200FD">
              <w:rPr>
                <w:noProof/>
                <w:sz w:val="20"/>
                <w:szCs w:val="22"/>
              </w:rPr>
              <w:t>Testes to Blood</w:t>
            </w:r>
          </w:p>
        </w:tc>
        <w:tc>
          <w:tcPr>
            <w:tcW w:w="968" w:type="dxa"/>
            <w:shd w:val="clear" w:color="auto" w:fill="auto"/>
            <w:noWrap/>
            <w:vAlign w:val="center"/>
          </w:tcPr>
          <w:p w14:paraId="4365B66B" w14:textId="77777777" w:rsidR="001200FD" w:rsidRPr="00C47F2F" w:rsidRDefault="001200FD" w:rsidP="0019583E">
            <w:pPr>
              <w:pStyle w:val="Table"/>
              <w:rPr>
                <w:noProof/>
                <w:sz w:val="20"/>
                <w:szCs w:val="20"/>
              </w:rPr>
            </w:pPr>
            <w:r w:rsidRPr="00C47F2F">
              <w:rPr>
                <w:noProof/>
                <w:sz w:val="20"/>
                <w:szCs w:val="20"/>
              </w:rPr>
              <w:t>3.80E-04</w:t>
            </w:r>
          </w:p>
        </w:tc>
        <w:tc>
          <w:tcPr>
            <w:tcW w:w="986" w:type="dxa"/>
            <w:shd w:val="clear" w:color="auto" w:fill="auto"/>
            <w:noWrap/>
            <w:vAlign w:val="center"/>
          </w:tcPr>
          <w:p w14:paraId="30140FB2" w14:textId="77777777" w:rsidR="001200FD" w:rsidRPr="00C47F2F" w:rsidRDefault="001200FD" w:rsidP="0019583E">
            <w:pPr>
              <w:pStyle w:val="Table"/>
              <w:rPr>
                <w:noProof/>
                <w:sz w:val="20"/>
                <w:szCs w:val="20"/>
              </w:rPr>
            </w:pPr>
            <w:r w:rsidRPr="00C47F2F">
              <w:rPr>
                <w:noProof/>
                <w:sz w:val="20"/>
                <w:szCs w:val="20"/>
              </w:rPr>
              <w:t>3.80E-04</w:t>
            </w:r>
          </w:p>
        </w:tc>
        <w:tc>
          <w:tcPr>
            <w:tcW w:w="969" w:type="dxa"/>
            <w:shd w:val="clear" w:color="auto" w:fill="auto"/>
            <w:noWrap/>
            <w:vAlign w:val="center"/>
          </w:tcPr>
          <w:p w14:paraId="0CAAFDED" w14:textId="77777777" w:rsidR="001200FD" w:rsidRPr="00C47F2F" w:rsidRDefault="001200FD" w:rsidP="0019583E">
            <w:pPr>
              <w:pStyle w:val="Table"/>
              <w:rPr>
                <w:noProof/>
                <w:sz w:val="20"/>
                <w:szCs w:val="20"/>
              </w:rPr>
            </w:pPr>
            <w:r w:rsidRPr="00C47F2F">
              <w:rPr>
                <w:noProof/>
                <w:sz w:val="20"/>
                <w:szCs w:val="20"/>
              </w:rPr>
              <w:t>3.80E-04</w:t>
            </w:r>
          </w:p>
        </w:tc>
        <w:tc>
          <w:tcPr>
            <w:tcW w:w="1033" w:type="dxa"/>
            <w:shd w:val="clear" w:color="auto" w:fill="auto"/>
            <w:noWrap/>
            <w:vAlign w:val="center"/>
          </w:tcPr>
          <w:p w14:paraId="16DC33E8" w14:textId="77777777" w:rsidR="001200FD" w:rsidRPr="00C47F2F" w:rsidRDefault="001200FD" w:rsidP="0019583E">
            <w:pPr>
              <w:pStyle w:val="Table"/>
              <w:rPr>
                <w:noProof/>
                <w:sz w:val="20"/>
                <w:szCs w:val="20"/>
              </w:rPr>
            </w:pPr>
            <w:r w:rsidRPr="00C47F2F">
              <w:rPr>
                <w:noProof/>
                <w:sz w:val="20"/>
                <w:szCs w:val="20"/>
              </w:rPr>
              <w:t>3.80E-04</w:t>
            </w:r>
          </w:p>
        </w:tc>
        <w:tc>
          <w:tcPr>
            <w:tcW w:w="971" w:type="dxa"/>
            <w:shd w:val="clear" w:color="auto" w:fill="auto"/>
            <w:noWrap/>
            <w:vAlign w:val="center"/>
          </w:tcPr>
          <w:p w14:paraId="18C017B6" w14:textId="77777777" w:rsidR="001200FD" w:rsidRPr="00C47F2F" w:rsidRDefault="001200FD" w:rsidP="0019583E">
            <w:pPr>
              <w:pStyle w:val="Table"/>
              <w:rPr>
                <w:noProof/>
                <w:sz w:val="20"/>
                <w:szCs w:val="20"/>
              </w:rPr>
            </w:pPr>
            <w:r w:rsidRPr="00C47F2F">
              <w:rPr>
                <w:noProof/>
                <w:sz w:val="20"/>
                <w:szCs w:val="20"/>
              </w:rPr>
              <w:t>3.80E-04</w:t>
            </w:r>
          </w:p>
        </w:tc>
        <w:tc>
          <w:tcPr>
            <w:tcW w:w="969" w:type="dxa"/>
            <w:shd w:val="clear" w:color="auto" w:fill="auto"/>
            <w:noWrap/>
            <w:vAlign w:val="center"/>
          </w:tcPr>
          <w:p w14:paraId="1C5A5F16" w14:textId="77777777" w:rsidR="001200FD" w:rsidRPr="00C47F2F" w:rsidRDefault="001200FD" w:rsidP="0019583E">
            <w:pPr>
              <w:pStyle w:val="Table"/>
              <w:rPr>
                <w:noProof/>
                <w:sz w:val="20"/>
                <w:szCs w:val="20"/>
              </w:rPr>
            </w:pPr>
            <w:r w:rsidRPr="00C47F2F">
              <w:rPr>
                <w:noProof/>
                <w:sz w:val="20"/>
                <w:szCs w:val="20"/>
              </w:rPr>
              <w:t>3.80E-04</w:t>
            </w:r>
          </w:p>
        </w:tc>
      </w:tr>
      <w:tr w:rsidR="001200FD" w:rsidRPr="00972C81" w14:paraId="312FB574" w14:textId="77777777" w:rsidTr="0019583E">
        <w:trPr>
          <w:trHeight w:val="340"/>
        </w:trPr>
        <w:tc>
          <w:tcPr>
            <w:tcW w:w="3131" w:type="dxa"/>
            <w:shd w:val="clear" w:color="auto" w:fill="auto"/>
            <w:noWrap/>
            <w:vAlign w:val="center"/>
          </w:tcPr>
          <w:p w14:paraId="2D1F18E9" w14:textId="71B03C77" w:rsidR="001200FD" w:rsidRPr="001200FD" w:rsidRDefault="001200FD" w:rsidP="0019583E">
            <w:pPr>
              <w:pStyle w:val="Table"/>
              <w:rPr>
                <w:noProof/>
                <w:sz w:val="20"/>
                <w:szCs w:val="22"/>
              </w:rPr>
            </w:pPr>
            <w:r w:rsidRPr="001200FD">
              <w:rPr>
                <w:noProof/>
                <w:sz w:val="20"/>
                <w:szCs w:val="22"/>
              </w:rPr>
              <w:t>Ovaries to Blood</w:t>
            </w:r>
          </w:p>
        </w:tc>
        <w:tc>
          <w:tcPr>
            <w:tcW w:w="968" w:type="dxa"/>
            <w:shd w:val="clear" w:color="auto" w:fill="auto"/>
            <w:noWrap/>
            <w:vAlign w:val="center"/>
          </w:tcPr>
          <w:p w14:paraId="1D0B7EF5" w14:textId="77777777" w:rsidR="001200FD" w:rsidRPr="00C47F2F" w:rsidRDefault="001200FD" w:rsidP="0019583E">
            <w:pPr>
              <w:pStyle w:val="Table"/>
              <w:rPr>
                <w:noProof/>
                <w:sz w:val="20"/>
                <w:szCs w:val="20"/>
              </w:rPr>
            </w:pPr>
            <w:r w:rsidRPr="00C47F2F">
              <w:rPr>
                <w:noProof/>
                <w:sz w:val="20"/>
                <w:szCs w:val="20"/>
              </w:rPr>
              <w:t>3.80E-04</w:t>
            </w:r>
          </w:p>
        </w:tc>
        <w:tc>
          <w:tcPr>
            <w:tcW w:w="986" w:type="dxa"/>
            <w:shd w:val="clear" w:color="auto" w:fill="auto"/>
            <w:noWrap/>
            <w:vAlign w:val="center"/>
          </w:tcPr>
          <w:p w14:paraId="5D124E73" w14:textId="77777777" w:rsidR="001200FD" w:rsidRPr="00C47F2F" w:rsidRDefault="001200FD" w:rsidP="0019583E">
            <w:pPr>
              <w:pStyle w:val="Table"/>
              <w:rPr>
                <w:noProof/>
                <w:sz w:val="20"/>
                <w:szCs w:val="20"/>
              </w:rPr>
            </w:pPr>
            <w:r w:rsidRPr="00C47F2F">
              <w:rPr>
                <w:noProof/>
                <w:sz w:val="20"/>
                <w:szCs w:val="20"/>
              </w:rPr>
              <w:t>3.80E-04</w:t>
            </w:r>
          </w:p>
        </w:tc>
        <w:tc>
          <w:tcPr>
            <w:tcW w:w="969" w:type="dxa"/>
            <w:shd w:val="clear" w:color="auto" w:fill="auto"/>
            <w:noWrap/>
            <w:vAlign w:val="center"/>
          </w:tcPr>
          <w:p w14:paraId="22587CA1" w14:textId="77777777" w:rsidR="001200FD" w:rsidRPr="00C47F2F" w:rsidRDefault="001200FD" w:rsidP="0019583E">
            <w:pPr>
              <w:pStyle w:val="Table"/>
              <w:rPr>
                <w:noProof/>
                <w:sz w:val="20"/>
                <w:szCs w:val="20"/>
              </w:rPr>
            </w:pPr>
            <w:r w:rsidRPr="00C47F2F">
              <w:rPr>
                <w:noProof/>
                <w:sz w:val="20"/>
                <w:szCs w:val="20"/>
              </w:rPr>
              <w:t>3.80E-04</w:t>
            </w:r>
          </w:p>
        </w:tc>
        <w:tc>
          <w:tcPr>
            <w:tcW w:w="1033" w:type="dxa"/>
            <w:shd w:val="clear" w:color="auto" w:fill="auto"/>
            <w:noWrap/>
            <w:vAlign w:val="center"/>
          </w:tcPr>
          <w:p w14:paraId="37B1E0B7" w14:textId="77777777" w:rsidR="001200FD" w:rsidRPr="00C47F2F" w:rsidRDefault="001200FD" w:rsidP="0019583E">
            <w:pPr>
              <w:pStyle w:val="Table"/>
              <w:rPr>
                <w:noProof/>
                <w:sz w:val="20"/>
                <w:szCs w:val="20"/>
              </w:rPr>
            </w:pPr>
            <w:r w:rsidRPr="00C47F2F">
              <w:rPr>
                <w:noProof/>
                <w:sz w:val="20"/>
                <w:szCs w:val="20"/>
              </w:rPr>
              <w:t>3.80E-04</w:t>
            </w:r>
          </w:p>
        </w:tc>
        <w:tc>
          <w:tcPr>
            <w:tcW w:w="971" w:type="dxa"/>
            <w:shd w:val="clear" w:color="auto" w:fill="auto"/>
            <w:noWrap/>
            <w:vAlign w:val="center"/>
          </w:tcPr>
          <w:p w14:paraId="3E06971C" w14:textId="77777777" w:rsidR="001200FD" w:rsidRPr="00C47F2F" w:rsidRDefault="001200FD" w:rsidP="0019583E">
            <w:pPr>
              <w:pStyle w:val="Table"/>
              <w:rPr>
                <w:noProof/>
                <w:sz w:val="20"/>
                <w:szCs w:val="20"/>
              </w:rPr>
            </w:pPr>
            <w:r w:rsidRPr="00C47F2F">
              <w:rPr>
                <w:noProof/>
                <w:sz w:val="20"/>
                <w:szCs w:val="20"/>
              </w:rPr>
              <w:t>3.80E-04</w:t>
            </w:r>
          </w:p>
        </w:tc>
        <w:tc>
          <w:tcPr>
            <w:tcW w:w="969" w:type="dxa"/>
            <w:shd w:val="clear" w:color="auto" w:fill="auto"/>
            <w:noWrap/>
            <w:vAlign w:val="center"/>
          </w:tcPr>
          <w:p w14:paraId="1DDFE3B7" w14:textId="77777777" w:rsidR="001200FD" w:rsidRPr="00C47F2F" w:rsidRDefault="001200FD" w:rsidP="0019583E">
            <w:pPr>
              <w:pStyle w:val="Table"/>
              <w:rPr>
                <w:noProof/>
                <w:sz w:val="20"/>
                <w:szCs w:val="20"/>
              </w:rPr>
            </w:pPr>
            <w:r w:rsidRPr="00C47F2F">
              <w:rPr>
                <w:noProof/>
                <w:sz w:val="20"/>
                <w:szCs w:val="20"/>
              </w:rPr>
              <w:t>3.80E-04</w:t>
            </w:r>
          </w:p>
        </w:tc>
      </w:tr>
      <w:tr w:rsidR="001200FD" w:rsidRPr="00972C81" w14:paraId="6635C44C" w14:textId="77777777" w:rsidTr="0019583E">
        <w:trPr>
          <w:trHeight w:val="340"/>
        </w:trPr>
        <w:tc>
          <w:tcPr>
            <w:tcW w:w="3131" w:type="dxa"/>
            <w:shd w:val="clear" w:color="auto" w:fill="auto"/>
            <w:noWrap/>
            <w:vAlign w:val="center"/>
          </w:tcPr>
          <w:p w14:paraId="0E50F20B" w14:textId="28DF9C02" w:rsidR="001200FD" w:rsidRPr="001200FD" w:rsidRDefault="001200FD" w:rsidP="0019583E">
            <w:pPr>
              <w:pStyle w:val="Table"/>
              <w:rPr>
                <w:noProof/>
                <w:sz w:val="20"/>
                <w:szCs w:val="22"/>
              </w:rPr>
            </w:pPr>
            <w:r w:rsidRPr="001200FD">
              <w:rPr>
                <w:noProof/>
                <w:sz w:val="20"/>
                <w:szCs w:val="22"/>
              </w:rPr>
              <w:lastRenderedPageBreak/>
              <w:t xml:space="preserve"> ST0 to Blood</w:t>
            </w:r>
          </w:p>
        </w:tc>
        <w:tc>
          <w:tcPr>
            <w:tcW w:w="968" w:type="dxa"/>
            <w:shd w:val="clear" w:color="auto" w:fill="auto"/>
            <w:noWrap/>
            <w:vAlign w:val="center"/>
          </w:tcPr>
          <w:p w14:paraId="52624DBC" w14:textId="77777777" w:rsidR="001200FD" w:rsidRPr="00C47F2F" w:rsidRDefault="001200FD" w:rsidP="0019583E">
            <w:pPr>
              <w:pStyle w:val="Table"/>
              <w:rPr>
                <w:noProof/>
                <w:sz w:val="20"/>
                <w:szCs w:val="20"/>
              </w:rPr>
            </w:pPr>
            <w:r w:rsidRPr="00C47F2F">
              <w:rPr>
                <w:noProof/>
                <w:sz w:val="20"/>
                <w:szCs w:val="20"/>
              </w:rPr>
              <w:t>6.93E-01</w:t>
            </w:r>
          </w:p>
        </w:tc>
        <w:tc>
          <w:tcPr>
            <w:tcW w:w="986" w:type="dxa"/>
            <w:shd w:val="clear" w:color="auto" w:fill="auto"/>
            <w:noWrap/>
            <w:vAlign w:val="center"/>
          </w:tcPr>
          <w:p w14:paraId="204D18EA" w14:textId="77777777" w:rsidR="001200FD" w:rsidRPr="00C47F2F" w:rsidRDefault="001200FD" w:rsidP="0019583E">
            <w:pPr>
              <w:pStyle w:val="Table"/>
              <w:rPr>
                <w:noProof/>
                <w:sz w:val="20"/>
                <w:szCs w:val="20"/>
              </w:rPr>
            </w:pPr>
            <w:r w:rsidRPr="00C47F2F">
              <w:rPr>
                <w:noProof/>
                <w:sz w:val="20"/>
                <w:szCs w:val="20"/>
              </w:rPr>
              <w:t>6.93E-01</w:t>
            </w:r>
          </w:p>
        </w:tc>
        <w:tc>
          <w:tcPr>
            <w:tcW w:w="969" w:type="dxa"/>
            <w:shd w:val="clear" w:color="auto" w:fill="auto"/>
            <w:noWrap/>
            <w:vAlign w:val="center"/>
          </w:tcPr>
          <w:p w14:paraId="48C186E6" w14:textId="77777777" w:rsidR="001200FD" w:rsidRPr="00C47F2F" w:rsidRDefault="001200FD" w:rsidP="0019583E">
            <w:pPr>
              <w:pStyle w:val="Table"/>
              <w:rPr>
                <w:noProof/>
                <w:sz w:val="20"/>
                <w:szCs w:val="20"/>
              </w:rPr>
            </w:pPr>
            <w:r w:rsidRPr="00C47F2F">
              <w:rPr>
                <w:noProof/>
                <w:sz w:val="20"/>
                <w:szCs w:val="20"/>
              </w:rPr>
              <w:t>6.93E-01</w:t>
            </w:r>
          </w:p>
        </w:tc>
        <w:tc>
          <w:tcPr>
            <w:tcW w:w="1033" w:type="dxa"/>
            <w:shd w:val="clear" w:color="auto" w:fill="auto"/>
            <w:noWrap/>
            <w:vAlign w:val="center"/>
          </w:tcPr>
          <w:p w14:paraId="436100BE" w14:textId="77777777" w:rsidR="001200FD" w:rsidRPr="00C47F2F" w:rsidRDefault="001200FD" w:rsidP="0019583E">
            <w:pPr>
              <w:pStyle w:val="Table"/>
              <w:rPr>
                <w:noProof/>
                <w:sz w:val="20"/>
                <w:szCs w:val="20"/>
              </w:rPr>
            </w:pPr>
            <w:r w:rsidRPr="00C47F2F">
              <w:rPr>
                <w:noProof/>
                <w:sz w:val="20"/>
                <w:szCs w:val="20"/>
              </w:rPr>
              <w:t>6.93E-01</w:t>
            </w:r>
          </w:p>
        </w:tc>
        <w:tc>
          <w:tcPr>
            <w:tcW w:w="971" w:type="dxa"/>
            <w:shd w:val="clear" w:color="auto" w:fill="auto"/>
            <w:noWrap/>
            <w:vAlign w:val="center"/>
          </w:tcPr>
          <w:p w14:paraId="7B665508" w14:textId="77777777" w:rsidR="001200FD" w:rsidRPr="00C47F2F" w:rsidRDefault="001200FD" w:rsidP="0019583E">
            <w:pPr>
              <w:pStyle w:val="Table"/>
              <w:rPr>
                <w:noProof/>
                <w:sz w:val="20"/>
                <w:szCs w:val="20"/>
              </w:rPr>
            </w:pPr>
            <w:r w:rsidRPr="00C47F2F">
              <w:rPr>
                <w:noProof/>
                <w:sz w:val="20"/>
                <w:szCs w:val="20"/>
              </w:rPr>
              <w:t>6.93E-01</w:t>
            </w:r>
          </w:p>
        </w:tc>
        <w:tc>
          <w:tcPr>
            <w:tcW w:w="969" w:type="dxa"/>
            <w:shd w:val="clear" w:color="auto" w:fill="auto"/>
            <w:noWrap/>
            <w:vAlign w:val="center"/>
          </w:tcPr>
          <w:p w14:paraId="1FD91635" w14:textId="77777777" w:rsidR="001200FD" w:rsidRPr="00C47F2F" w:rsidRDefault="001200FD" w:rsidP="0019583E">
            <w:pPr>
              <w:pStyle w:val="Table"/>
              <w:rPr>
                <w:noProof/>
                <w:sz w:val="20"/>
                <w:szCs w:val="20"/>
              </w:rPr>
            </w:pPr>
            <w:r w:rsidRPr="00C47F2F">
              <w:rPr>
                <w:noProof/>
                <w:sz w:val="20"/>
                <w:szCs w:val="20"/>
              </w:rPr>
              <w:t>6.93E-01</w:t>
            </w:r>
          </w:p>
        </w:tc>
      </w:tr>
      <w:tr w:rsidR="001200FD" w:rsidRPr="00972C81" w14:paraId="51A90975" w14:textId="77777777" w:rsidTr="0019583E">
        <w:trPr>
          <w:trHeight w:val="340"/>
        </w:trPr>
        <w:tc>
          <w:tcPr>
            <w:tcW w:w="3131" w:type="dxa"/>
            <w:shd w:val="clear" w:color="auto" w:fill="auto"/>
            <w:noWrap/>
            <w:vAlign w:val="center"/>
          </w:tcPr>
          <w:p w14:paraId="37B877AB" w14:textId="73568156" w:rsidR="001200FD" w:rsidRPr="001200FD" w:rsidRDefault="001200FD" w:rsidP="0019583E">
            <w:pPr>
              <w:pStyle w:val="Table"/>
              <w:rPr>
                <w:noProof/>
                <w:sz w:val="20"/>
                <w:szCs w:val="22"/>
              </w:rPr>
            </w:pPr>
            <w:r w:rsidRPr="001200FD">
              <w:rPr>
                <w:noProof/>
                <w:sz w:val="20"/>
                <w:szCs w:val="22"/>
              </w:rPr>
              <w:t xml:space="preserve"> ST1 to Blood</w:t>
            </w:r>
          </w:p>
        </w:tc>
        <w:tc>
          <w:tcPr>
            <w:tcW w:w="968" w:type="dxa"/>
            <w:shd w:val="clear" w:color="auto" w:fill="auto"/>
            <w:noWrap/>
            <w:vAlign w:val="center"/>
          </w:tcPr>
          <w:p w14:paraId="3AD3AFB7" w14:textId="77777777" w:rsidR="001200FD" w:rsidRPr="00C47F2F" w:rsidRDefault="001200FD" w:rsidP="0019583E">
            <w:pPr>
              <w:pStyle w:val="Table"/>
              <w:rPr>
                <w:noProof/>
                <w:sz w:val="20"/>
                <w:szCs w:val="20"/>
              </w:rPr>
            </w:pPr>
            <w:r w:rsidRPr="00C47F2F">
              <w:rPr>
                <w:noProof/>
                <w:sz w:val="20"/>
                <w:szCs w:val="20"/>
              </w:rPr>
              <w:t>6.93E-03</w:t>
            </w:r>
          </w:p>
        </w:tc>
        <w:tc>
          <w:tcPr>
            <w:tcW w:w="986" w:type="dxa"/>
            <w:shd w:val="clear" w:color="auto" w:fill="auto"/>
            <w:noWrap/>
            <w:vAlign w:val="center"/>
          </w:tcPr>
          <w:p w14:paraId="6608DC17" w14:textId="77777777" w:rsidR="001200FD" w:rsidRPr="00C47F2F" w:rsidRDefault="001200FD" w:rsidP="0019583E">
            <w:pPr>
              <w:pStyle w:val="Table"/>
              <w:rPr>
                <w:noProof/>
                <w:sz w:val="20"/>
                <w:szCs w:val="20"/>
              </w:rPr>
            </w:pPr>
            <w:r w:rsidRPr="00C47F2F">
              <w:rPr>
                <w:noProof/>
                <w:sz w:val="20"/>
                <w:szCs w:val="20"/>
              </w:rPr>
              <w:t>6.93E-03</w:t>
            </w:r>
          </w:p>
        </w:tc>
        <w:tc>
          <w:tcPr>
            <w:tcW w:w="969" w:type="dxa"/>
            <w:shd w:val="clear" w:color="auto" w:fill="auto"/>
            <w:noWrap/>
            <w:vAlign w:val="center"/>
          </w:tcPr>
          <w:p w14:paraId="7CF04BAC" w14:textId="77777777" w:rsidR="001200FD" w:rsidRPr="00C47F2F" w:rsidRDefault="001200FD" w:rsidP="0019583E">
            <w:pPr>
              <w:pStyle w:val="Table"/>
              <w:rPr>
                <w:noProof/>
                <w:sz w:val="20"/>
                <w:szCs w:val="20"/>
              </w:rPr>
            </w:pPr>
            <w:r w:rsidRPr="00C47F2F">
              <w:rPr>
                <w:noProof/>
                <w:sz w:val="20"/>
                <w:szCs w:val="20"/>
              </w:rPr>
              <w:t>6.93E-03</w:t>
            </w:r>
          </w:p>
        </w:tc>
        <w:tc>
          <w:tcPr>
            <w:tcW w:w="1033" w:type="dxa"/>
            <w:shd w:val="clear" w:color="auto" w:fill="auto"/>
            <w:noWrap/>
            <w:vAlign w:val="center"/>
          </w:tcPr>
          <w:p w14:paraId="29940636" w14:textId="77777777" w:rsidR="001200FD" w:rsidRPr="00C47F2F" w:rsidRDefault="001200FD" w:rsidP="0019583E">
            <w:pPr>
              <w:pStyle w:val="Table"/>
              <w:rPr>
                <w:noProof/>
                <w:sz w:val="20"/>
                <w:szCs w:val="20"/>
              </w:rPr>
            </w:pPr>
            <w:r w:rsidRPr="00C47F2F">
              <w:rPr>
                <w:noProof/>
                <w:sz w:val="20"/>
                <w:szCs w:val="20"/>
              </w:rPr>
              <w:t>6.93E-03</w:t>
            </w:r>
          </w:p>
        </w:tc>
        <w:tc>
          <w:tcPr>
            <w:tcW w:w="971" w:type="dxa"/>
            <w:shd w:val="clear" w:color="auto" w:fill="auto"/>
            <w:noWrap/>
            <w:vAlign w:val="center"/>
          </w:tcPr>
          <w:p w14:paraId="2EBF21B5" w14:textId="77777777" w:rsidR="001200FD" w:rsidRPr="00C47F2F" w:rsidRDefault="001200FD" w:rsidP="0019583E">
            <w:pPr>
              <w:pStyle w:val="Table"/>
              <w:rPr>
                <w:noProof/>
                <w:sz w:val="20"/>
                <w:szCs w:val="20"/>
              </w:rPr>
            </w:pPr>
            <w:r w:rsidRPr="00C47F2F">
              <w:rPr>
                <w:noProof/>
                <w:sz w:val="20"/>
                <w:szCs w:val="20"/>
              </w:rPr>
              <w:t>6.93E-03</w:t>
            </w:r>
          </w:p>
        </w:tc>
        <w:tc>
          <w:tcPr>
            <w:tcW w:w="969" w:type="dxa"/>
            <w:shd w:val="clear" w:color="auto" w:fill="auto"/>
            <w:noWrap/>
            <w:vAlign w:val="center"/>
          </w:tcPr>
          <w:p w14:paraId="757CD94B" w14:textId="77777777" w:rsidR="001200FD" w:rsidRPr="00C47F2F" w:rsidRDefault="001200FD" w:rsidP="0019583E">
            <w:pPr>
              <w:pStyle w:val="Table"/>
              <w:rPr>
                <w:noProof/>
                <w:sz w:val="20"/>
                <w:szCs w:val="20"/>
              </w:rPr>
            </w:pPr>
            <w:r w:rsidRPr="00C47F2F">
              <w:rPr>
                <w:noProof/>
                <w:sz w:val="20"/>
                <w:szCs w:val="20"/>
              </w:rPr>
              <w:t>6.93E-03</w:t>
            </w:r>
          </w:p>
        </w:tc>
      </w:tr>
      <w:tr w:rsidR="001200FD" w:rsidRPr="00972C81" w14:paraId="4E74E5C0" w14:textId="77777777" w:rsidTr="0019583E">
        <w:trPr>
          <w:trHeight w:val="340"/>
        </w:trPr>
        <w:tc>
          <w:tcPr>
            <w:tcW w:w="3131" w:type="dxa"/>
            <w:shd w:val="clear" w:color="auto" w:fill="auto"/>
            <w:noWrap/>
            <w:vAlign w:val="center"/>
          </w:tcPr>
          <w:p w14:paraId="5CDCA70B" w14:textId="770EFF32" w:rsidR="001200FD" w:rsidRPr="001200FD" w:rsidRDefault="001200FD" w:rsidP="0019583E">
            <w:pPr>
              <w:pStyle w:val="Table"/>
              <w:rPr>
                <w:noProof/>
                <w:sz w:val="20"/>
                <w:szCs w:val="22"/>
              </w:rPr>
            </w:pPr>
            <w:r w:rsidRPr="001200FD">
              <w:rPr>
                <w:noProof/>
                <w:sz w:val="20"/>
                <w:szCs w:val="22"/>
              </w:rPr>
              <w:t xml:space="preserve"> ST2 to Blood</w:t>
            </w:r>
          </w:p>
        </w:tc>
        <w:tc>
          <w:tcPr>
            <w:tcW w:w="968" w:type="dxa"/>
            <w:shd w:val="clear" w:color="auto" w:fill="auto"/>
            <w:noWrap/>
            <w:vAlign w:val="center"/>
          </w:tcPr>
          <w:p w14:paraId="18012D29" w14:textId="77777777" w:rsidR="001200FD" w:rsidRPr="00C47F2F" w:rsidRDefault="001200FD" w:rsidP="0019583E">
            <w:pPr>
              <w:pStyle w:val="Table"/>
              <w:rPr>
                <w:noProof/>
                <w:sz w:val="20"/>
                <w:szCs w:val="20"/>
              </w:rPr>
            </w:pPr>
            <w:r w:rsidRPr="00C47F2F">
              <w:rPr>
                <w:noProof/>
                <w:sz w:val="20"/>
                <w:szCs w:val="20"/>
              </w:rPr>
              <w:t>1.90E-05</w:t>
            </w:r>
          </w:p>
        </w:tc>
        <w:tc>
          <w:tcPr>
            <w:tcW w:w="986" w:type="dxa"/>
            <w:shd w:val="clear" w:color="auto" w:fill="auto"/>
            <w:noWrap/>
            <w:vAlign w:val="center"/>
          </w:tcPr>
          <w:p w14:paraId="002E4169" w14:textId="77777777" w:rsidR="001200FD" w:rsidRPr="00C47F2F" w:rsidRDefault="001200FD" w:rsidP="0019583E">
            <w:pPr>
              <w:pStyle w:val="Table"/>
              <w:rPr>
                <w:noProof/>
                <w:sz w:val="20"/>
                <w:szCs w:val="20"/>
              </w:rPr>
            </w:pPr>
            <w:r w:rsidRPr="00C47F2F">
              <w:rPr>
                <w:noProof/>
                <w:sz w:val="20"/>
                <w:szCs w:val="20"/>
              </w:rPr>
              <w:t>1.90E-05</w:t>
            </w:r>
          </w:p>
        </w:tc>
        <w:tc>
          <w:tcPr>
            <w:tcW w:w="969" w:type="dxa"/>
            <w:shd w:val="clear" w:color="auto" w:fill="auto"/>
            <w:noWrap/>
            <w:vAlign w:val="center"/>
          </w:tcPr>
          <w:p w14:paraId="098FFF83" w14:textId="77777777" w:rsidR="001200FD" w:rsidRPr="00C47F2F" w:rsidRDefault="001200FD" w:rsidP="0019583E">
            <w:pPr>
              <w:pStyle w:val="Table"/>
              <w:rPr>
                <w:noProof/>
                <w:sz w:val="20"/>
                <w:szCs w:val="20"/>
              </w:rPr>
            </w:pPr>
            <w:r w:rsidRPr="00C47F2F">
              <w:rPr>
                <w:noProof/>
                <w:sz w:val="20"/>
                <w:szCs w:val="20"/>
              </w:rPr>
              <w:t>1.90E-05</w:t>
            </w:r>
          </w:p>
        </w:tc>
        <w:tc>
          <w:tcPr>
            <w:tcW w:w="1033" w:type="dxa"/>
            <w:shd w:val="clear" w:color="auto" w:fill="auto"/>
            <w:noWrap/>
            <w:vAlign w:val="center"/>
          </w:tcPr>
          <w:p w14:paraId="7449F810" w14:textId="77777777" w:rsidR="001200FD" w:rsidRPr="00C47F2F" w:rsidRDefault="001200FD" w:rsidP="0019583E">
            <w:pPr>
              <w:pStyle w:val="Table"/>
              <w:rPr>
                <w:noProof/>
                <w:sz w:val="20"/>
                <w:szCs w:val="20"/>
              </w:rPr>
            </w:pPr>
            <w:r w:rsidRPr="00C47F2F">
              <w:rPr>
                <w:noProof/>
                <w:sz w:val="20"/>
                <w:szCs w:val="20"/>
              </w:rPr>
              <w:t>1.90E-05</w:t>
            </w:r>
          </w:p>
        </w:tc>
        <w:tc>
          <w:tcPr>
            <w:tcW w:w="971" w:type="dxa"/>
            <w:shd w:val="clear" w:color="auto" w:fill="auto"/>
            <w:noWrap/>
            <w:vAlign w:val="center"/>
          </w:tcPr>
          <w:p w14:paraId="54BE8439" w14:textId="77777777" w:rsidR="001200FD" w:rsidRPr="00C47F2F" w:rsidRDefault="001200FD" w:rsidP="0019583E">
            <w:pPr>
              <w:pStyle w:val="Table"/>
              <w:rPr>
                <w:noProof/>
                <w:sz w:val="20"/>
                <w:szCs w:val="20"/>
              </w:rPr>
            </w:pPr>
            <w:r w:rsidRPr="00C47F2F">
              <w:rPr>
                <w:noProof/>
                <w:sz w:val="20"/>
                <w:szCs w:val="20"/>
              </w:rPr>
              <w:t>1.90E-05</w:t>
            </w:r>
          </w:p>
        </w:tc>
        <w:tc>
          <w:tcPr>
            <w:tcW w:w="969" w:type="dxa"/>
            <w:shd w:val="clear" w:color="auto" w:fill="auto"/>
            <w:noWrap/>
            <w:vAlign w:val="center"/>
          </w:tcPr>
          <w:p w14:paraId="2BE36A61" w14:textId="77777777" w:rsidR="001200FD" w:rsidRPr="00C47F2F" w:rsidRDefault="001200FD" w:rsidP="0019583E">
            <w:pPr>
              <w:pStyle w:val="Table"/>
              <w:rPr>
                <w:noProof/>
                <w:sz w:val="20"/>
                <w:szCs w:val="20"/>
              </w:rPr>
            </w:pPr>
            <w:r w:rsidRPr="00C47F2F">
              <w:rPr>
                <w:noProof/>
                <w:sz w:val="20"/>
                <w:szCs w:val="20"/>
              </w:rPr>
              <w:t>1.90E-05</w:t>
            </w:r>
          </w:p>
        </w:tc>
      </w:tr>
      <w:tr w:rsidR="001200FD" w:rsidRPr="00972C81" w14:paraId="58B0A18D" w14:textId="77777777" w:rsidTr="0019583E">
        <w:trPr>
          <w:trHeight w:val="340"/>
        </w:trPr>
        <w:tc>
          <w:tcPr>
            <w:tcW w:w="3131" w:type="dxa"/>
            <w:shd w:val="clear" w:color="auto" w:fill="auto"/>
            <w:noWrap/>
            <w:vAlign w:val="center"/>
          </w:tcPr>
          <w:p w14:paraId="759EE0C5" w14:textId="470B2A58" w:rsidR="001200FD" w:rsidRPr="001200FD" w:rsidRDefault="001200FD" w:rsidP="0019583E">
            <w:pPr>
              <w:pStyle w:val="Table"/>
              <w:rPr>
                <w:noProof/>
                <w:sz w:val="20"/>
                <w:szCs w:val="22"/>
              </w:rPr>
            </w:pPr>
            <w:r w:rsidRPr="001200FD">
              <w:rPr>
                <w:noProof/>
                <w:sz w:val="20"/>
                <w:szCs w:val="22"/>
              </w:rPr>
              <w:t>Liver 2 to Blood</w:t>
            </w:r>
          </w:p>
        </w:tc>
        <w:tc>
          <w:tcPr>
            <w:tcW w:w="968" w:type="dxa"/>
            <w:shd w:val="clear" w:color="auto" w:fill="auto"/>
            <w:noWrap/>
            <w:vAlign w:val="center"/>
          </w:tcPr>
          <w:p w14:paraId="6B21E697" w14:textId="77777777" w:rsidR="001200FD" w:rsidRPr="00C47F2F" w:rsidRDefault="001200FD" w:rsidP="0019583E">
            <w:pPr>
              <w:pStyle w:val="Table"/>
              <w:rPr>
                <w:noProof/>
                <w:sz w:val="20"/>
                <w:szCs w:val="20"/>
              </w:rPr>
            </w:pPr>
            <w:r w:rsidRPr="00C47F2F">
              <w:rPr>
                <w:noProof/>
                <w:sz w:val="20"/>
                <w:szCs w:val="20"/>
              </w:rPr>
              <w:t>1.90E-03</w:t>
            </w:r>
          </w:p>
        </w:tc>
        <w:tc>
          <w:tcPr>
            <w:tcW w:w="986" w:type="dxa"/>
            <w:shd w:val="clear" w:color="auto" w:fill="auto"/>
            <w:noWrap/>
            <w:vAlign w:val="center"/>
          </w:tcPr>
          <w:p w14:paraId="0E9826D2" w14:textId="77777777" w:rsidR="001200FD" w:rsidRPr="00C47F2F" w:rsidRDefault="001200FD" w:rsidP="0019583E">
            <w:pPr>
              <w:pStyle w:val="Table"/>
              <w:rPr>
                <w:noProof/>
                <w:sz w:val="20"/>
                <w:szCs w:val="20"/>
              </w:rPr>
            </w:pPr>
            <w:r w:rsidRPr="00C47F2F">
              <w:rPr>
                <w:noProof/>
                <w:sz w:val="20"/>
                <w:szCs w:val="20"/>
              </w:rPr>
              <w:t>1.90E-03</w:t>
            </w:r>
          </w:p>
        </w:tc>
        <w:tc>
          <w:tcPr>
            <w:tcW w:w="969" w:type="dxa"/>
            <w:shd w:val="clear" w:color="auto" w:fill="auto"/>
            <w:noWrap/>
            <w:vAlign w:val="center"/>
          </w:tcPr>
          <w:p w14:paraId="7E15F26B" w14:textId="77777777" w:rsidR="001200FD" w:rsidRPr="00C47F2F" w:rsidRDefault="001200FD" w:rsidP="0019583E">
            <w:pPr>
              <w:pStyle w:val="Table"/>
              <w:rPr>
                <w:noProof/>
                <w:sz w:val="20"/>
                <w:szCs w:val="20"/>
              </w:rPr>
            </w:pPr>
            <w:r w:rsidRPr="00C47F2F">
              <w:rPr>
                <w:noProof/>
                <w:sz w:val="20"/>
                <w:szCs w:val="20"/>
              </w:rPr>
              <w:t>1.90E-03</w:t>
            </w:r>
          </w:p>
        </w:tc>
        <w:tc>
          <w:tcPr>
            <w:tcW w:w="1033" w:type="dxa"/>
            <w:shd w:val="clear" w:color="auto" w:fill="auto"/>
            <w:noWrap/>
            <w:vAlign w:val="center"/>
          </w:tcPr>
          <w:p w14:paraId="2B01F28D" w14:textId="77777777" w:rsidR="001200FD" w:rsidRPr="00C47F2F" w:rsidRDefault="001200FD" w:rsidP="0019583E">
            <w:pPr>
              <w:pStyle w:val="Table"/>
              <w:rPr>
                <w:noProof/>
                <w:sz w:val="20"/>
                <w:szCs w:val="20"/>
              </w:rPr>
            </w:pPr>
            <w:r w:rsidRPr="00C47F2F">
              <w:rPr>
                <w:noProof/>
                <w:sz w:val="20"/>
                <w:szCs w:val="20"/>
              </w:rPr>
              <w:t>1.90E-03</w:t>
            </w:r>
          </w:p>
        </w:tc>
        <w:tc>
          <w:tcPr>
            <w:tcW w:w="971" w:type="dxa"/>
            <w:shd w:val="clear" w:color="auto" w:fill="auto"/>
            <w:noWrap/>
            <w:vAlign w:val="center"/>
          </w:tcPr>
          <w:p w14:paraId="04C2D27C" w14:textId="77777777" w:rsidR="001200FD" w:rsidRPr="00C47F2F" w:rsidRDefault="001200FD" w:rsidP="0019583E">
            <w:pPr>
              <w:pStyle w:val="Table"/>
              <w:rPr>
                <w:noProof/>
                <w:sz w:val="20"/>
                <w:szCs w:val="20"/>
              </w:rPr>
            </w:pPr>
            <w:r w:rsidRPr="00C47F2F">
              <w:rPr>
                <w:noProof/>
                <w:sz w:val="20"/>
                <w:szCs w:val="20"/>
              </w:rPr>
              <w:t>1.90E-03</w:t>
            </w:r>
          </w:p>
        </w:tc>
        <w:tc>
          <w:tcPr>
            <w:tcW w:w="969" w:type="dxa"/>
            <w:shd w:val="clear" w:color="auto" w:fill="auto"/>
            <w:noWrap/>
            <w:vAlign w:val="center"/>
          </w:tcPr>
          <w:p w14:paraId="4111888F" w14:textId="77777777" w:rsidR="001200FD" w:rsidRPr="00C47F2F" w:rsidRDefault="001200FD" w:rsidP="0019583E">
            <w:pPr>
              <w:pStyle w:val="Table"/>
              <w:rPr>
                <w:noProof/>
                <w:sz w:val="20"/>
                <w:szCs w:val="20"/>
              </w:rPr>
            </w:pPr>
            <w:r w:rsidRPr="00C47F2F">
              <w:rPr>
                <w:noProof/>
                <w:sz w:val="20"/>
                <w:szCs w:val="20"/>
              </w:rPr>
              <w:t>1.90E-03</w:t>
            </w:r>
          </w:p>
        </w:tc>
      </w:tr>
      <w:tr w:rsidR="001200FD" w:rsidRPr="00972C81" w14:paraId="4B35AD2C" w14:textId="77777777" w:rsidTr="0019583E">
        <w:trPr>
          <w:trHeight w:val="340"/>
        </w:trPr>
        <w:tc>
          <w:tcPr>
            <w:tcW w:w="3131" w:type="dxa"/>
            <w:shd w:val="clear" w:color="auto" w:fill="auto"/>
            <w:noWrap/>
            <w:vAlign w:val="center"/>
          </w:tcPr>
          <w:p w14:paraId="0B3282A1" w14:textId="2F049B9F" w:rsidR="001200FD" w:rsidRPr="001200FD" w:rsidRDefault="001200FD" w:rsidP="0019583E">
            <w:pPr>
              <w:pStyle w:val="Table"/>
              <w:rPr>
                <w:noProof/>
                <w:sz w:val="20"/>
                <w:szCs w:val="22"/>
              </w:rPr>
            </w:pPr>
            <w:r w:rsidRPr="001200FD">
              <w:rPr>
                <w:noProof/>
                <w:sz w:val="20"/>
                <w:szCs w:val="22"/>
              </w:rPr>
              <w:t>Cort marrow to Blood</w:t>
            </w:r>
          </w:p>
        </w:tc>
        <w:tc>
          <w:tcPr>
            <w:tcW w:w="968" w:type="dxa"/>
            <w:shd w:val="clear" w:color="auto" w:fill="auto"/>
            <w:noWrap/>
            <w:vAlign w:val="center"/>
          </w:tcPr>
          <w:p w14:paraId="2BCA1D40" w14:textId="77777777" w:rsidR="001200FD" w:rsidRPr="00C47F2F" w:rsidRDefault="001200FD" w:rsidP="0019583E">
            <w:pPr>
              <w:pStyle w:val="Table"/>
              <w:rPr>
                <w:noProof/>
                <w:sz w:val="20"/>
                <w:szCs w:val="20"/>
              </w:rPr>
            </w:pPr>
            <w:r w:rsidRPr="00C47F2F">
              <w:rPr>
                <w:noProof/>
                <w:sz w:val="20"/>
                <w:szCs w:val="20"/>
              </w:rPr>
              <w:t>7.60E-03</w:t>
            </w:r>
          </w:p>
        </w:tc>
        <w:tc>
          <w:tcPr>
            <w:tcW w:w="986" w:type="dxa"/>
            <w:shd w:val="clear" w:color="auto" w:fill="auto"/>
            <w:noWrap/>
            <w:vAlign w:val="center"/>
          </w:tcPr>
          <w:p w14:paraId="03D0F406" w14:textId="77777777" w:rsidR="001200FD" w:rsidRPr="00C47F2F" w:rsidRDefault="001200FD" w:rsidP="0019583E">
            <w:pPr>
              <w:pStyle w:val="Table"/>
              <w:rPr>
                <w:noProof/>
                <w:sz w:val="20"/>
                <w:szCs w:val="20"/>
              </w:rPr>
            </w:pPr>
            <w:r w:rsidRPr="00C47F2F">
              <w:rPr>
                <w:noProof/>
                <w:sz w:val="20"/>
                <w:szCs w:val="20"/>
              </w:rPr>
              <w:t>7.60E-03</w:t>
            </w:r>
          </w:p>
        </w:tc>
        <w:tc>
          <w:tcPr>
            <w:tcW w:w="969" w:type="dxa"/>
            <w:shd w:val="clear" w:color="auto" w:fill="auto"/>
            <w:noWrap/>
            <w:vAlign w:val="center"/>
          </w:tcPr>
          <w:p w14:paraId="022E4082" w14:textId="77777777" w:rsidR="001200FD" w:rsidRPr="00C47F2F" w:rsidRDefault="001200FD" w:rsidP="0019583E">
            <w:pPr>
              <w:pStyle w:val="Table"/>
              <w:rPr>
                <w:noProof/>
                <w:sz w:val="20"/>
                <w:szCs w:val="20"/>
              </w:rPr>
            </w:pPr>
            <w:r w:rsidRPr="00C47F2F">
              <w:rPr>
                <w:noProof/>
                <w:sz w:val="20"/>
                <w:szCs w:val="20"/>
              </w:rPr>
              <w:t>7.60E-03</w:t>
            </w:r>
          </w:p>
        </w:tc>
        <w:tc>
          <w:tcPr>
            <w:tcW w:w="1033" w:type="dxa"/>
            <w:shd w:val="clear" w:color="auto" w:fill="auto"/>
            <w:noWrap/>
            <w:vAlign w:val="center"/>
          </w:tcPr>
          <w:p w14:paraId="436D62CA" w14:textId="77777777" w:rsidR="001200FD" w:rsidRPr="00C47F2F" w:rsidRDefault="001200FD" w:rsidP="0019583E">
            <w:pPr>
              <w:pStyle w:val="Table"/>
              <w:rPr>
                <w:noProof/>
                <w:sz w:val="20"/>
                <w:szCs w:val="20"/>
              </w:rPr>
            </w:pPr>
            <w:r w:rsidRPr="00C47F2F">
              <w:rPr>
                <w:noProof/>
                <w:sz w:val="20"/>
                <w:szCs w:val="20"/>
              </w:rPr>
              <w:t>7.60E-03</w:t>
            </w:r>
          </w:p>
        </w:tc>
        <w:tc>
          <w:tcPr>
            <w:tcW w:w="971" w:type="dxa"/>
            <w:shd w:val="clear" w:color="auto" w:fill="auto"/>
            <w:noWrap/>
            <w:vAlign w:val="center"/>
          </w:tcPr>
          <w:p w14:paraId="5673B5A0" w14:textId="77777777" w:rsidR="001200FD" w:rsidRPr="00C47F2F" w:rsidRDefault="001200FD" w:rsidP="0019583E">
            <w:pPr>
              <w:pStyle w:val="Table"/>
              <w:rPr>
                <w:noProof/>
                <w:sz w:val="20"/>
                <w:szCs w:val="20"/>
              </w:rPr>
            </w:pPr>
            <w:r w:rsidRPr="00C47F2F">
              <w:rPr>
                <w:noProof/>
                <w:sz w:val="20"/>
                <w:szCs w:val="20"/>
              </w:rPr>
              <w:t>7.60E-03</w:t>
            </w:r>
          </w:p>
        </w:tc>
        <w:tc>
          <w:tcPr>
            <w:tcW w:w="969" w:type="dxa"/>
            <w:shd w:val="clear" w:color="auto" w:fill="auto"/>
            <w:noWrap/>
            <w:vAlign w:val="center"/>
          </w:tcPr>
          <w:p w14:paraId="300BAE97" w14:textId="77777777" w:rsidR="001200FD" w:rsidRPr="00C47F2F" w:rsidRDefault="001200FD" w:rsidP="0019583E">
            <w:pPr>
              <w:pStyle w:val="Table"/>
              <w:rPr>
                <w:noProof/>
                <w:sz w:val="20"/>
                <w:szCs w:val="20"/>
              </w:rPr>
            </w:pPr>
            <w:r w:rsidRPr="00C47F2F">
              <w:rPr>
                <w:noProof/>
                <w:sz w:val="20"/>
                <w:szCs w:val="20"/>
              </w:rPr>
              <w:t>7.60E-03</w:t>
            </w:r>
          </w:p>
        </w:tc>
      </w:tr>
      <w:tr w:rsidR="001200FD" w:rsidRPr="00972C81" w14:paraId="0AB8E3E0" w14:textId="77777777" w:rsidTr="0019583E">
        <w:trPr>
          <w:trHeight w:val="340"/>
        </w:trPr>
        <w:tc>
          <w:tcPr>
            <w:tcW w:w="3131" w:type="dxa"/>
            <w:shd w:val="clear" w:color="auto" w:fill="auto"/>
            <w:noWrap/>
            <w:vAlign w:val="center"/>
          </w:tcPr>
          <w:p w14:paraId="6541546A" w14:textId="5A7D07CE" w:rsidR="001200FD" w:rsidRPr="001200FD" w:rsidRDefault="001200FD" w:rsidP="0019583E">
            <w:pPr>
              <w:pStyle w:val="Table"/>
              <w:rPr>
                <w:noProof/>
                <w:sz w:val="20"/>
                <w:szCs w:val="22"/>
              </w:rPr>
            </w:pPr>
            <w:r w:rsidRPr="001200FD">
              <w:rPr>
                <w:noProof/>
                <w:sz w:val="20"/>
                <w:szCs w:val="22"/>
              </w:rPr>
              <w:t>Cort bone vol to Cort marrow</w:t>
            </w:r>
          </w:p>
        </w:tc>
        <w:tc>
          <w:tcPr>
            <w:tcW w:w="968" w:type="dxa"/>
            <w:shd w:val="clear" w:color="auto" w:fill="auto"/>
            <w:noWrap/>
            <w:vAlign w:val="center"/>
          </w:tcPr>
          <w:p w14:paraId="165041C6" w14:textId="77777777" w:rsidR="001200FD" w:rsidRPr="00C47F2F" w:rsidRDefault="001200FD" w:rsidP="0019583E">
            <w:pPr>
              <w:pStyle w:val="Table"/>
              <w:rPr>
                <w:noProof/>
                <w:sz w:val="20"/>
                <w:szCs w:val="20"/>
              </w:rPr>
            </w:pPr>
            <w:r w:rsidRPr="00C47F2F">
              <w:rPr>
                <w:noProof/>
                <w:sz w:val="20"/>
                <w:szCs w:val="20"/>
              </w:rPr>
              <w:t>8.22E-03</w:t>
            </w:r>
          </w:p>
        </w:tc>
        <w:tc>
          <w:tcPr>
            <w:tcW w:w="986" w:type="dxa"/>
            <w:shd w:val="clear" w:color="auto" w:fill="auto"/>
            <w:noWrap/>
            <w:vAlign w:val="center"/>
          </w:tcPr>
          <w:p w14:paraId="1FF8058D" w14:textId="77777777" w:rsidR="001200FD" w:rsidRPr="00C47F2F" w:rsidRDefault="001200FD" w:rsidP="0019583E">
            <w:pPr>
              <w:pStyle w:val="Table"/>
              <w:rPr>
                <w:noProof/>
                <w:sz w:val="20"/>
                <w:szCs w:val="20"/>
              </w:rPr>
            </w:pPr>
            <w:r w:rsidRPr="00C47F2F">
              <w:rPr>
                <w:noProof/>
                <w:sz w:val="20"/>
                <w:szCs w:val="20"/>
              </w:rPr>
              <w:t>2.88E-03</w:t>
            </w:r>
          </w:p>
        </w:tc>
        <w:tc>
          <w:tcPr>
            <w:tcW w:w="969" w:type="dxa"/>
            <w:shd w:val="clear" w:color="auto" w:fill="auto"/>
            <w:noWrap/>
            <w:vAlign w:val="center"/>
          </w:tcPr>
          <w:p w14:paraId="08F9A3AE" w14:textId="77777777" w:rsidR="001200FD" w:rsidRPr="00C47F2F" w:rsidRDefault="001200FD" w:rsidP="0019583E">
            <w:pPr>
              <w:pStyle w:val="Table"/>
              <w:rPr>
                <w:noProof/>
                <w:sz w:val="20"/>
                <w:szCs w:val="20"/>
              </w:rPr>
            </w:pPr>
            <w:r w:rsidRPr="00C47F2F">
              <w:rPr>
                <w:noProof/>
                <w:sz w:val="20"/>
                <w:szCs w:val="20"/>
              </w:rPr>
              <w:t>1.53E-03</w:t>
            </w:r>
          </w:p>
        </w:tc>
        <w:tc>
          <w:tcPr>
            <w:tcW w:w="1033" w:type="dxa"/>
            <w:shd w:val="clear" w:color="auto" w:fill="auto"/>
            <w:noWrap/>
            <w:vAlign w:val="center"/>
          </w:tcPr>
          <w:p w14:paraId="6C08F930" w14:textId="77777777" w:rsidR="001200FD" w:rsidRPr="00C47F2F" w:rsidRDefault="001200FD" w:rsidP="0019583E">
            <w:pPr>
              <w:pStyle w:val="Table"/>
              <w:rPr>
                <w:noProof/>
                <w:sz w:val="20"/>
                <w:szCs w:val="20"/>
              </w:rPr>
            </w:pPr>
            <w:r w:rsidRPr="00C47F2F">
              <w:rPr>
                <w:noProof/>
                <w:sz w:val="20"/>
                <w:szCs w:val="20"/>
              </w:rPr>
              <w:t>9.04E-04</w:t>
            </w:r>
          </w:p>
        </w:tc>
        <w:tc>
          <w:tcPr>
            <w:tcW w:w="971" w:type="dxa"/>
            <w:shd w:val="clear" w:color="auto" w:fill="auto"/>
            <w:noWrap/>
            <w:vAlign w:val="center"/>
          </w:tcPr>
          <w:p w14:paraId="2F4CA25F" w14:textId="77777777" w:rsidR="001200FD" w:rsidRPr="00C47F2F" w:rsidRDefault="001200FD" w:rsidP="0019583E">
            <w:pPr>
              <w:pStyle w:val="Table"/>
              <w:rPr>
                <w:noProof/>
                <w:sz w:val="20"/>
                <w:szCs w:val="20"/>
              </w:rPr>
            </w:pPr>
            <w:r w:rsidRPr="00C47F2F">
              <w:rPr>
                <w:noProof/>
                <w:sz w:val="20"/>
                <w:szCs w:val="20"/>
              </w:rPr>
              <w:t>5.21E-04</w:t>
            </w:r>
          </w:p>
        </w:tc>
        <w:tc>
          <w:tcPr>
            <w:tcW w:w="969" w:type="dxa"/>
            <w:shd w:val="clear" w:color="auto" w:fill="auto"/>
            <w:noWrap/>
            <w:vAlign w:val="center"/>
          </w:tcPr>
          <w:p w14:paraId="29FDDAA0" w14:textId="77777777" w:rsidR="001200FD" w:rsidRPr="00C47F2F" w:rsidRDefault="001200FD" w:rsidP="0019583E">
            <w:pPr>
              <w:pStyle w:val="Table"/>
              <w:rPr>
                <w:noProof/>
                <w:sz w:val="20"/>
                <w:szCs w:val="20"/>
              </w:rPr>
            </w:pPr>
            <w:r w:rsidRPr="00C47F2F">
              <w:rPr>
                <w:noProof/>
                <w:sz w:val="20"/>
                <w:szCs w:val="20"/>
              </w:rPr>
              <w:t>8.21E-05</w:t>
            </w:r>
          </w:p>
        </w:tc>
      </w:tr>
      <w:tr w:rsidR="001200FD" w:rsidRPr="00972C81" w14:paraId="6678E8A4" w14:textId="77777777" w:rsidTr="0019583E">
        <w:trPr>
          <w:trHeight w:val="340"/>
        </w:trPr>
        <w:tc>
          <w:tcPr>
            <w:tcW w:w="3131" w:type="dxa"/>
            <w:shd w:val="clear" w:color="auto" w:fill="auto"/>
            <w:noWrap/>
            <w:vAlign w:val="center"/>
          </w:tcPr>
          <w:p w14:paraId="720AC13E" w14:textId="0AAB35A7" w:rsidR="001200FD" w:rsidRPr="001200FD" w:rsidRDefault="001200FD" w:rsidP="0019583E">
            <w:pPr>
              <w:pStyle w:val="Table"/>
              <w:rPr>
                <w:noProof/>
                <w:sz w:val="20"/>
                <w:szCs w:val="22"/>
              </w:rPr>
            </w:pPr>
            <w:r w:rsidRPr="001200FD">
              <w:rPr>
                <w:noProof/>
                <w:sz w:val="20"/>
                <w:szCs w:val="22"/>
              </w:rPr>
              <w:t>Trab marrow to Blood</w:t>
            </w:r>
          </w:p>
        </w:tc>
        <w:tc>
          <w:tcPr>
            <w:tcW w:w="968" w:type="dxa"/>
            <w:shd w:val="clear" w:color="auto" w:fill="auto"/>
            <w:noWrap/>
            <w:vAlign w:val="center"/>
          </w:tcPr>
          <w:p w14:paraId="21A4628F" w14:textId="77777777" w:rsidR="001200FD" w:rsidRPr="00C47F2F" w:rsidRDefault="001200FD" w:rsidP="0019583E">
            <w:pPr>
              <w:pStyle w:val="Table"/>
              <w:rPr>
                <w:noProof/>
                <w:sz w:val="20"/>
                <w:szCs w:val="20"/>
              </w:rPr>
            </w:pPr>
            <w:r w:rsidRPr="00C47F2F">
              <w:rPr>
                <w:noProof/>
                <w:sz w:val="20"/>
                <w:szCs w:val="20"/>
              </w:rPr>
              <w:t>7.60E-03</w:t>
            </w:r>
          </w:p>
        </w:tc>
        <w:tc>
          <w:tcPr>
            <w:tcW w:w="986" w:type="dxa"/>
            <w:shd w:val="clear" w:color="auto" w:fill="auto"/>
            <w:noWrap/>
            <w:vAlign w:val="center"/>
          </w:tcPr>
          <w:p w14:paraId="3A65C52B" w14:textId="77777777" w:rsidR="001200FD" w:rsidRPr="00C47F2F" w:rsidRDefault="001200FD" w:rsidP="0019583E">
            <w:pPr>
              <w:pStyle w:val="Table"/>
              <w:rPr>
                <w:noProof/>
                <w:sz w:val="20"/>
                <w:szCs w:val="20"/>
              </w:rPr>
            </w:pPr>
            <w:r w:rsidRPr="00C47F2F">
              <w:rPr>
                <w:noProof/>
                <w:sz w:val="20"/>
                <w:szCs w:val="20"/>
              </w:rPr>
              <w:t>7.60E-03</w:t>
            </w:r>
          </w:p>
        </w:tc>
        <w:tc>
          <w:tcPr>
            <w:tcW w:w="969" w:type="dxa"/>
            <w:shd w:val="clear" w:color="auto" w:fill="auto"/>
            <w:noWrap/>
            <w:vAlign w:val="center"/>
          </w:tcPr>
          <w:p w14:paraId="6D49C574" w14:textId="77777777" w:rsidR="001200FD" w:rsidRPr="00C47F2F" w:rsidRDefault="001200FD" w:rsidP="0019583E">
            <w:pPr>
              <w:pStyle w:val="Table"/>
              <w:rPr>
                <w:noProof/>
                <w:sz w:val="20"/>
                <w:szCs w:val="20"/>
              </w:rPr>
            </w:pPr>
            <w:r w:rsidRPr="00C47F2F">
              <w:rPr>
                <w:noProof/>
                <w:sz w:val="20"/>
                <w:szCs w:val="20"/>
              </w:rPr>
              <w:t>7.60E-03</w:t>
            </w:r>
          </w:p>
        </w:tc>
        <w:tc>
          <w:tcPr>
            <w:tcW w:w="1033" w:type="dxa"/>
            <w:shd w:val="clear" w:color="auto" w:fill="auto"/>
            <w:noWrap/>
            <w:vAlign w:val="center"/>
          </w:tcPr>
          <w:p w14:paraId="4228F43E" w14:textId="77777777" w:rsidR="001200FD" w:rsidRPr="00C47F2F" w:rsidRDefault="001200FD" w:rsidP="0019583E">
            <w:pPr>
              <w:pStyle w:val="Table"/>
              <w:rPr>
                <w:noProof/>
                <w:sz w:val="20"/>
                <w:szCs w:val="20"/>
              </w:rPr>
            </w:pPr>
            <w:r w:rsidRPr="00C47F2F">
              <w:rPr>
                <w:noProof/>
                <w:sz w:val="20"/>
                <w:szCs w:val="20"/>
              </w:rPr>
              <w:t>7.60E-03</w:t>
            </w:r>
          </w:p>
        </w:tc>
        <w:tc>
          <w:tcPr>
            <w:tcW w:w="971" w:type="dxa"/>
            <w:shd w:val="clear" w:color="auto" w:fill="auto"/>
            <w:noWrap/>
            <w:vAlign w:val="center"/>
          </w:tcPr>
          <w:p w14:paraId="382EC72A" w14:textId="77777777" w:rsidR="001200FD" w:rsidRPr="00C47F2F" w:rsidRDefault="001200FD" w:rsidP="0019583E">
            <w:pPr>
              <w:pStyle w:val="Table"/>
              <w:rPr>
                <w:noProof/>
                <w:sz w:val="20"/>
                <w:szCs w:val="20"/>
              </w:rPr>
            </w:pPr>
            <w:r w:rsidRPr="00C47F2F">
              <w:rPr>
                <w:noProof/>
                <w:sz w:val="20"/>
                <w:szCs w:val="20"/>
              </w:rPr>
              <w:t>7.60E-03</w:t>
            </w:r>
          </w:p>
        </w:tc>
        <w:tc>
          <w:tcPr>
            <w:tcW w:w="969" w:type="dxa"/>
            <w:shd w:val="clear" w:color="auto" w:fill="auto"/>
            <w:noWrap/>
            <w:vAlign w:val="center"/>
          </w:tcPr>
          <w:p w14:paraId="759B6B86" w14:textId="77777777" w:rsidR="001200FD" w:rsidRPr="00C47F2F" w:rsidRDefault="001200FD" w:rsidP="0019583E">
            <w:pPr>
              <w:pStyle w:val="Table"/>
              <w:rPr>
                <w:noProof/>
                <w:sz w:val="20"/>
                <w:szCs w:val="20"/>
              </w:rPr>
            </w:pPr>
            <w:r w:rsidRPr="00C47F2F">
              <w:rPr>
                <w:noProof/>
                <w:sz w:val="20"/>
                <w:szCs w:val="20"/>
              </w:rPr>
              <w:t>7.60E-03</w:t>
            </w:r>
          </w:p>
        </w:tc>
      </w:tr>
      <w:tr w:rsidR="001200FD" w:rsidRPr="00972C81" w14:paraId="1A15DCCF" w14:textId="77777777" w:rsidTr="0019583E">
        <w:trPr>
          <w:trHeight w:val="340"/>
        </w:trPr>
        <w:tc>
          <w:tcPr>
            <w:tcW w:w="3131" w:type="dxa"/>
            <w:tcBorders>
              <w:bottom w:val="single" w:sz="4" w:space="0" w:color="auto"/>
            </w:tcBorders>
            <w:shd w:val="clear" w:color="auto" w:fill="auto"/>
            <w:noWrap/>
            <w:vAlign w:val="center"/>
          </w:tcPr>
          <w:p w14:paraId="4781CA3F" w14:textId="637D65C6" w:rsidR="001200FD" w:rsidRPr="001200FD" w:rsidRDefault="001200FD" w:rsidP="0019583E">
            <w:pPr>
              <w:pStyle w:val="Table"/>
              <w:rPr>
                <w:noProof/>
                <w:sz w:val="20"/>
                <w:szCs w:val="22"/>
              </w:rPr>
            </w:pPr>
            <w:r w:rsidRPr="001200FD">
              <w:rPr>
                <w:noProof/>
                <w:sz w:val="20"/>
                <w:szCs w:val="22"/>
              </w:rPr>
              <w:t>Trab bone vol to Trab marrow</w:t>
            </w:r>
          </w:p>
        </w:tc>
        <w:tc>
          <w:tcPr>
            <w:tcW w:w="968" w:type="dxa"/>
            <w:tcBorders>
              <w:bottom w:val="single" w:sz="4" w:space="0" w:color="auto"/>
            </w:tcBorders>
            <w:shd w:val="clear" w:color="auto" w:fill="auto"/>
            <w:noWrap/>
            <w:vAlign w:val="center"/>
          </w:tcPr>
          <w:p w14:paraId="5938B797" w14:textId="77777777" w:rsidR="001200FD" w:rsidRPr="00C47F2F" w:rsidRDefault="001200FD" w:rsidP="0019583E">
            <w:pPr>
              <w:pStyle w:val="Table"/>
              <w:rPr>
                <w:noProof/>
                <w:sz w:val="20"/>
                <w:szCs w:val="20"/>
              </w:rPr>
            </w:pPr>
            <w:r w:rsidRPr="00C47F2F">
              <w:rPr>
                <w:noProof/>
                <w:sz w:val="20"/>
                <w:szCs w:val="20"/>
              </w:rPr>
              <w:t>8.22E-03</w:t>
            </w:r>
          </w:p>
        </w:tc>
        <w:tc>
          <w:tcPr>
            <w:tcW w:w="986" w:type="dxa"/>
            <w:tcBorders>
              <w:bottom w:val="single" w:sz="4" w:space="0" w:color="auto"/>
            </w:tcBorders>
            <w:shd w:val="clear" w:color="auto" w:fill="auto"/>
            <w:noWrap/>
            <w:vAlign w:val="center"/>
          </w:tcPr>
          <w:p w14:paraId="6FE7FA7D" w14:textId="77777777" w:rsidR="001200FD" w:rsidRPr="00C47F2F" w:rsidRDefault="001200FD" w:rsidP="0019583E">
            <w:pPr>
              <w:pStyle w:val="Table"/>
              <w:rPr>
                <w:noProof/>
                <w:sz w:val="20"/>
                <w:szCs w:val="20"/>
              </w:rPr>
            </w:pPr>
            <w:r w:rsidRPr="00C47F2F">
              <w:rPr>
                <w:noProof/>
                <w:sz w:val="20"/>
                <w:szCs w:val="20"/>
              </w:rPr>
              <w:t>2.88E-03</w:t>
            </w:r>
          </w:p>
        </w:tc>
        <w:tc>
          <w:tcPr>
            <w:tcW w:w="969" w:type="dxa"/>
            <w:tcBorders>
              <w:bottom w:val="single" w:sz="4" w:space="0" w:color="auto"/>
            </w:tcBorders>
            <w:shd w:val="clear" w:color="auto" w:fill="auto"/>
            <w:noWrap/>
            <w:vAlign w:val="center"/>
          </w:tcPr>
          <w:p w14:paraId="3181770F" w14:textId="77777777" w:rsidR="001200FD" w:rsidRPr="00C47F2F" w:rsidRDefault="001200FD" w:rsidP="0019583E">
            <w:pPr>
              <w:pStyle w:val="Table"/>
              <w:rPr>
                <w:noProof/>
                <w:sz w:val="20"/>
                <w:szCs w:val="20"/>
              </w:rPr>
            </w:pPr>
            <w:r w:rsidRPr="00C47F2F">
              <w:rPr>
                <w:noProof/>
                <w:sz w:val="20"/>
                <w:szCs w:val="20"/>
              </w:rPr>
              <w:t>1.81E-03</w:t>
            </w:r>
          </w:p>
        </w:tc>
        <w:tc>
          <w:tcPr>
            <w:tcW w:w="1033" w:type="dxa"/>
            <w:tcBorders>
              <w:bottom w:val="single" w:sz="4" w:space="0" w:color="auto"/>
            </w:tcBorders>
            <w:shd w:val="clear" w:color="auto" w:fill="auto"/>
            <w:noWrap/>
            <w:vAlign w:val="center"/>
          </w:tcPr>
          <w:p w14:paraId="4EC158A2" w14:textId="77777777" w:rsidR="001200FD" w:rsidRPr="00C47F2F" w:rsidRDefault="001200FD" w:rsidP="0019583E">
            <w:pPr>
              <w:pStyle w:val="Table"/>
              <w:rPr>
                <w:noProof/>
                <w:sz w:val="20"/>
                <w:szCs w:val="20"/>
              </w:rPr>
            </w:pPr>
            <w:r w:rsidRPr="00C47F2F">
              <w:rPr>
                <w:noProof/>
                <w:sz w:val="20"/>
                <w:szCs w:val="20"/>
              </w:rPr>
              <w:t>1.32E-03</w:t>
            </w:r>
          </w:p>
        </w:tc>
        <w:tc>
          <w:tcPr>
            <w:tcW w:w="971" w:type="dxa"/>
            <w:tcBorders>
              <w:bottom w:val="single" w:sz="4" w:space="0" w:color="auto"/>
            </w:tcBorders>
            <w:shd w:val="clear" w:color="auto" w:fill="auto"/>
            <w:noWrap/>
            <w:vAlign w:val="center"/>
          </w:tcPr>
          <w:p w14:paraId="6A72250D" w14:textId="77777777" w:rsidR="001200FD" w:rsidRPr="00C47F2F" w:rsidRDefault="001200FD" w:rsidP="0019583E">
            <w:pPr>
              <w:pStyle w:val="Table"/>
              <w:rPr>
                <w:noProof/>
                <w:sz w:val="20"/>
                <w:szCs w:val="20"/>
              </w:rPr>
            </w:pPr>
            <w:r w:rsidRPr="00C47F2F">
              <w:rPr>
                <w:noProof/>
                <w:sz w:val="20"/>
                <w:szCs w:val="20"/>
              </w:rPr>
              <w:t>9.59E-04</w:t>
            </w:r>
          </w:p>
        </w:tc>
        <w:tc>
          <w:tcPr>
            <w:tcW w:w="969" w:type="dxa"/>
            <w:tcBorders>
              <w:bottom w:val="single" w:sz="4" w:space="0" w:color="auto"/>
            </w:tcBorders>
            <w:shd w:val="clear" w:color="auto" w:fill="auto"/>
            <w:noWrap/>
            <w:vAlign w:val="center"/>
          </w:tcPr>
          <w:p w14:paraId="38045AA2" w14:textId="77777777" w:rsidR="001200FD" w:rsidRPr="00C47F2F" w:rsidRDefault="001200FD" w:rsidP="0019583E">
            <w:pPr>
              <w:pStyle w:val="Table"/>
              <w:rPr>
                <w:noProof/>
                <w:sz w:val="20"/>
                <w:szCs w:val="20"/>
              </w:rPr>
            </w:pPr>
            <w:r w:rsidRPr="00C47F2F">
              <w:rPr>
                <w:noProof/>
                <w:sz w:val="20"/>
                <w:szCs w:val="20"/>
              </w:rPr>
              <w:t>4.93E-04</w:t>
            </w:r>
          </w:p>
        </w:tc>
      </w:tr>
    </w:tbl>
    <w:p w14:paraId="6FEA24D3" w14:textId="77777777" w:rsidR="001200FD" w:rsidRPr="0019583E" w:rsidRDefault="001200FD" w:rsidP="001200FD">
      <w:pPr>
        <w:rPr>
          <w:noProof/>
          <w:sz w:val="20"/>
          <w:lang w:val="fr-FR"/>
        </w:rPr>
      </w:pPr>
      <w:r w:rsidRPr="0019583E">
        <w:rPr>
          <w:noProof/>
          <w:sz w:val="20"/>
          <w:vertAlign w:val="superscript"/>
          <w:lang w:val="fr-FR"/>
        </w:rPr>
        <w:t>a</w:t>
      </w:r>
      <w:r w:rsidRPr="0019583E">
        <w:rPr>
          <w:noProof/>
          <w:sz w:val="20"/>
          <w:lang w:val="fr-FR"/>
        </w:rPr>
        <w:t xml:space="preserve">Cort = Cortical, Trab = Trabecular, surf = surface, vol = volume, cont = content </w:t>
      </w:r>
    </w:p>
    <w:p w14:paraId="222ED5AB" w14:textId="6244986F" w:rsidR="00D776FB" w:rsidRPr="00972C81" w:rsidRDefault="00D776FB" w:rsidP="006703A2">
      <w:pPr>
        <w:pStyle w:val="OIRTitre4"/>
      </w:pPr>
      <w:r w:rsidRPr="00972C81">
        <w:t>Treatment of radioactive progeny</w:t>
      </w:r>
    </w:p>
    <w:p w14:paraId="151C66AA" w14:textId="4C6905A5" w:rsidR="00D776FB" w:rsidRPr="00972C81" w:rsidRDefault="006044EE" w:rsidP="00E81109">
      <w:pPr>
        <w:pStyle w:val="Annalstext"/>
        <w:rPr>
          <w:noProof/>
        </w:rPr>
      </w:pPr>
      <w:r w:rsidRPr="00972C81">
        <w:rPr>
          <w:rFonts w:eastAsia="Calibri"/>
          <w:noProof/>
        </w:rPr>
        <w:t>The treatment of radioactive progeny produced in systemic compartments after intake of a radioisotope of neptunium</w:t>
      </w:r>
      <w:r w:rsidR="00D62E76" w:rsidRPr="00972C81">
        <w:rPr>
          <w:rFonts w:eastAsia="Calibri"/>
          <w:noProof/>
        </w:rPr>
        <w:t xml:space="preserve"> is described in Section 18.2.4</w:t>
      </w:r>
      <w:r w:rsidRPr="00972C81">
        <w:rPr>
          <w:rFonts w:eastAsia="Calibri"/>
          <w:noProof/>
        </w:rPr>
        <w:t xml:space="preserve"> of </w:t>
      </w:r>
      <w:r w:rsidR="007A34D9" w:rsidRPr="00972C81">
        <w:rPr>
          <w:i/>
          <w:noProof/>
        </w:rPr>
        <w:t>Publication 141</w:t>
      </w:r>
      <w:r w:rsidR="007A34D9" w:rsidRPr="00972C81">
        <w:rPr>
          <w:noProof/>
        </w:rPr>
        <w:t xml:space="preserve"> </w:t>
      </w:r>
      <w:r w:rsidR="00D62E76" w:rsidRPr="00972C81">
        <w:rPr>
          <w:noProof/>
        </w:rPr>
        <w:fldChar w:fldCharType="begin"/>
      </w:r>
      <w:r w:rsidR="000F5D57" w:rsidRPr="00972C81">
        <w:rPr>
          <w:noProof/>
        </w:rPr>
        <w:instrText xml:space="preserve"> ADDIN ZOTERO_ITEM CSL_CITATION {"citationID":"a288g3ou894","properties":{"formattedCitation":"(ICRP,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D62E76" w:rsidRPr="00972C81">
        <w:rPr>
          <w:noProof/>
        </w:rPr>
        <w:fldChar w:fldCharType="separate"/>
      </w:r>
      <w:r w:rsidR="000F5D57" w:rsidRPr="00972C81">
        <w:rPr>
          <w:noProof/>
          <w:szCs w:val="24"/>
        </w:rPr>
        <w:t>(ICRP, 2019)</w:t>
      </w:r>
      <w:r w:rsidR="00D62E76" w:rsidRPr="00972C81">
        <w:rPr>
          <w:noProof/>
        </w:rPr>
        <w:fldChar w:fldCharType="end"/>
      </w:r>
      <w:r w:rsidR="007A34D9" w:rsidRPr="00972C81">
        <w:rPr>
          <w:noProof/>
        </w:rPr>
        <w:t>.</w:t>
      </w:r>
    </w:p>
    <w:p w14:paraId="6FFF5C57" w14:textId="77777777" w:rsidR="00547200" w:rsidRPr="00972C81" w:rsidRDefault="00547200" w:rsidP="00E81109">
      <w:pPr>
        <w:pStyle w:val="2"/>
        <w:rPr>
          <w:noProof/>
          <w:lang w:val="en-GB"/>
        </w:rPr>
      </w:pPr>
      <w:bookmarkStart w:id="311" w:name="_Toc162630102"/>
      <w:r w:rsidRPr="00972C81">
        <w:rPr>
          <w:noProof/>
          <w:lang w:val="en-GB"/>
        </w:rPr>
        <w:t>Dosimetric data for neptunium</w:t>
      </w:r>
      <w:bookmarkEnd w:id="311"/>
    </w:p>
    <w:p w14:paraId="27D91082" w14:textId="794FA5F6" w:rsidR="005C2848" w:rsidRPr="00972C81" w:rsidRDefault="005C2848" w:rsidP="005C2848">
      <w:pPr>
        <w:pStyle w:val="ab"/>
        <w:rPr>
          <w:noProof/>
          <w:sz w:val="24"/>
          <w:szCs w:val="24"/>
        </w:rPr>
      </w:pPr>
      <w:r w:rsidRPr="00972C81">
        <w:rPr>
          <w:noProof/>
          <w:sz w:val="24"/>
          <w:szCs w:val="24"/>
        </w:rPr>
        <w:t>Table 21.3.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237</w:t>
      </w:r>
      <w:r w:rsidRPr="00972C81">
        <w:rPr>
          <w:noProof/>
          <w:sz w:val="24"/>
          <w:szCs w:val="24"/>
        </w:rPr>
        <w:t>Np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5C2848" w:rsidRPr="00A3213E" w14:paraId="07DCC537" w14:textId="77777777" w:rsidTr="0019583E">
        <w:trPr>
          <w:trHeight w:val="283"/>
        </w:trPr>
        <w:tc>
          <w:tcPr>
            <w:tcW w:w="2087" w:type="pct"/>
            <w:vMerge w:val="restart"/>
            <w:tcBorders>
              <w:top w:val="single" w:sz="4" w:space="0" w:color="auto"/>
              <w:left w:val="nil"/>
              <w:bottom w:val="single" w:sz="4" w:space="0" w:color="auto"/>
              <w:right w:val="nil"/>
            </w:tcBorders>
            <w:vAlign w:val="bottom"/>
            <w:hideMark/>
          </w:tcPr>
          <w:p w14:paraId="28476EE7" w14:textId="77777777" w:rsidR="007A0A2C" w:rsidRPr="00C47F2F" w:rsidRDefault="005C2848" w:rsidP="00C47F2F">
            <w:pPr>
              <w:pStyle w:val="a5"/>
              <w:tabs>
                <w:tab w:val="clear" w:pos="4153"/>
                <w:tab w:val="clear" w:pos="8306"/>
              </w:tabs>
              <w:jc w:val="left"/>
              <w:rPr>
                <w:noProof/>
                <w:sz w:val="22"/>
                <w:szCs w:val="22"/>
              </w:rPr>
            </w:pPr>
            <w:r w:rsidRPr="00C47F2F">
              <w:rPr>
                <w:noProof/>
                <w:sz w:val="22"/>
                <w:szCs w:val="22"/>
              </w:rPr>
              <w:t>Inhaled particulate materials</w:t>
            </w:r>
          </w:p>
          <w:p w14:paraId="21FFA51E" w14:textId="2A5703EA" w:rsidR="005C2848" w:rsidRPr="007A0A2C" w:rsidRDefault="005C2848" w:rsidP="00C47F2F">
            <w:pPr>
              <w:pStyle w:val="a5"/>
              <w:tabs>
                <w:tab w:val="clear" w:pos="4153"/>
                <w:tab w:val="clear" w:pos="8306"/>
              </w:tabs>
              <w:jc w:val="left"/>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676E270B" w14:textId="77777777" w:rsidR="005C2848" w:rsidRPr="00C47F2F" w:rsidRDefault="005C2848" w:rsidP="0019583E">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5C2848" w:rsidRPr="00972C81" w14:paraId="5E18BDD8" w14:textId="77777777" w:rsidTr="0019583E">
        <w:trPr>
          <w:trHeight w:val="283"/>
        </w:trPr>
        <w:tc>
          <w:tcPr>
            <w:tcW w:w="2087" w:type="pct"/>
            <w:vMerge/>
            <w:tcBorders>
              <w:top w:val="single" w:sz="4" w:space="0" w:color="auto"/>
              <w:left w:val="nil"/>
              <w:bottom w:val="single" w:sz="4" w:space="0" w:color="auto"/>
              <w:right w:val="nil"/>
            </w:tcBorders>
            <w:vAlign w:val="center"/>
            <w:hideMark/>
          </w:tcPr>
          <w:p w14:paraId="3B8677E4" w14:textId="77777777" w:rsidR="005C2848" w:rsidRPr="007A0A2C" w:rsidRDefault="005C28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30B24669" w14:textId="4A6C772C" w:rsidR="005C2848" w:rsidRPr="00C47F2F" w:rsidRDefault="005C2848" w:rsidP="0019583E">
            <w:pPr>
              <w:jc w:val="left"/>
              <w:rPr>
                <w:noProof/>
                <w:sz w:val="22"/>
                <w:szCs w:val="22"/>
                <w:lang w:eastAsia="ko-KR"/>
              </w:rPr>
            </w:pPr>
            <w:r w:rsidRPr="00C47F2F">
              <w:rPr>
                <w:noProof/>
                <w:sz w:val="22"/>
                <w:szCs w:val="22"/>
              </w:rPr>
              <w:t>3</w:t>
            </w:r>
            <w:r w:rsidR="007A0A2C">
              <w:rPr>
                <w:rFonts w:hint="eastAsia"/>
                <w:noProof/>
                <w:sz w:val="22"/>
                <w:szCs w:val="22"/>
                <w:lang w:eastAsia="ko-KR"/>
              </w:rPr>
              <w:t xml:space="preserve"> </w:t>
            </w:r>
            <w:r w:rsidRPr="00C47F2F">
              <w:rPr>
                <w:noProof/>
                <w:sz w:val="22"/>
                <w:szCs w:val="22"/>
              </w:rPr>
              <w:t>m</w:t>
            </w:r>
            <w:r w:rsidR="0019583E">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42440927" w14:textId="06CA4C8C" w:rsidR="005C2848" w:rsidRPr="00C47F2F" w:rsidRDefault="005C2848" w:rsidP="0019583E">
            <w:pPr>
              <w:jc w:val="left"/>
              <w:rPr>
                <w:noProof/>
                <w:sz w:val="22"/>
                <w:szCs w:val="22"/>
              </w:rPr>
            </w:pPr>
            <w:r w:rsidRPr="00C47F2F">
              <w:rPr>
                <w:noProof/>
                <w:sz w:val="22"/>
                <w:szCs w:val="22"/>
              </w:rPr>
              <w:t>1</w:t>
            </w:r>
            <w:r w:rsidR="007A0A2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4720034C" w14:textId="64971221" w:rsidR="005C2848" w:rsidRPr="00C47F2F" w:rsidRDefault="005C2848" w:rsidP="0019583E">
            <w:pPr>
              <w:jc w:val="left"/>
              <w:rPr>
                <w:noProof/>
                <w:sz w:val="22"/>
                <w:szCs w:val="22"/>
              </w:rPr>
            </w:pPr>
            <w:r w:rsidRPr="00C47F2F">
              <w:rPr>
                <w:noProof/>
                <w:sz w:val="22"/>
                <w:szCs w:val="22"/>
              </w:rPr>
              <w:t>5</w:t>
            </w:r>
            <w:r w:rsidR="007A0A2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22B4431" w14:textId="4B9B1C23" w:rsidR="005C2848" w:rsidRPr="00C47F2F" w:rsidRDefault="005C2848" w:rsidP="0019583E">
            <w:pPr>
              <w:jc w:val="left"/>
              <w:rPr>
                <w:noProof/>
                <w:sz w:val="22"/>
                <w:szCs w:val="22"/>
              </w:rPr>
            </w:pPr>
            <w:r w:rsidRPr="00C47F2F">
              <w:rPr>
                <w:noProof/>
                <w:sz w:val="22"/>
                <w:szCs w:val="22"/>
              </w:rPr>
              <w:t>10</w:t>
            </w:r>
            <w:r w:rsidR="007A0A2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40E3CD83" w14:textId="4113244F" w:rsidR="005C2848" w:rsidRPr="00C47F2F" w:rsidRDefault="005C2848" w:rsidP="0019583E">
            <w:pPr>
              <w:jc w:val="left"/>
              <w:rPr>
                <w:noProof/>
                <w:sz w:val="22"/>
                <w:szCs w:val="22"/>
              </w:rPr>
            </w:pPr>
            <w:r w:rsidRPr="00C47F2F">
              <w:rPr>
                <w:noProof/>
                <w:sz w:val="22"/>
                <w:szCs w:val="22"/>
              </w:rPr>
              <w:t>15</w:t>
            </w:r>
            <w:r w:rsidR="007A0A2C">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7E4FFFE4" w14:textId="77777777" w:rsidR="005C2848" w:rsidRPr="00C47F2F" w:rsidRDefault="005C2848" w:rsidP="0019583E">
            <w:pPr>
              <w:jc w:val="left"/>
              <w:rPr>
                <w:noProof/>
                <w:sz w:val="22"/>
                <w:szCs w:val="22"/>
              </w:rPr>
            </w:pPr>
            <w:r w:rsidRPr="00C47F2F">
              <w:rPr>
                <w:noProof/>
                <w:sz w:val="22"/>
                <w:szCs w:val="22"/>
              </w:rPr>
              <w:t>Adult</w:t>
            </w:r>
          </w:p>
        </w:tc>
      </w:tr>
      <w:tr w:rsidR="005C2848" w:rsidRPr="00972C81" w14:paraId="6FBD65DC" w14:textId="77777777" w:rsidTr="0019583E">
        <w:trPr>
          <w:trHeight w:val="283"/>
        </w:trPr>
        <w:tc>
          <w:tcPr>
            <w:tcW w:w="2087" w:type="pct"/>
            <w:tcBorders>
              <w:top w:val="single" w:sz="4" w:space="0" w:color="auto"/>
              <w:left w:val="nil"/>
              <w:bottom w:val="nil"/>
              <w:right w:val="nil"/>
            </w:tcBorders>
            <w:vAlign w:val="center"/>
            <w:hideMark/>
          </w:tcPr>
          <w:p w14:paraId="7637F696" w14:textId="77777777" w:rsidR="005C2848" w:rsidRPr="00C47F2F" w:rsidRDefault="005C2848" w:rsidP="0019583E">
            <w:pPr>
              <w:jc w:val="left"/>
              <w:rPr>
                <w:rFonts w:eastAsia="Times New Roman"/>
                <w:noProof/>
                <w:color w:val="000000"/>
                <w:sz w:val="22"/>
                <w:szCs w:val="22"/>
                <w:lang w:eastAsia="en-GB"/>
              </w:rPr>
            </w:pPr>
            <w:r w:rsidRPr="00C47F2F">
              <w:rPr>
                <w:rFonts w:eastAsia="Times New Roman"/>
                <w:noProof/>
                <w:color w:val="000000"/>
                <w:sz w:val="22"/>
                <w:szCs w:val="22"/>
              </w:rPr>
              <w:t>Neptunium nitrate</w:t>
            </w:r>
          </w:p>
        </w:tc>
        <w:tc>
          <w:tcPr>
            <w:tcW w:w="485" w:type="pct"/>
            <w:tcBorders>
              <w:top w:val="single" w:sz="4" w:space="0" w:color="auto"/>
              <w:left w:val="nil"/>
              <w:bottom w:val="nil"/>
              <w:right w:val="nil"/>
            </w:tcBorders>
            <w:vAlign w:val="center"/>
            <w:hideMark/>
          </w:tcPr>
          <w:p w14:paraId="5BFBC0A4"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5.3E-05</w:t>
            </w:r>
          </w:p>
        </w:tc>
        <w:tc>
          <w:tcPr>
            <w:tcW w:w="485" w:type="pct"/>
            <w:tcBorders>
              <w:top w:val="single" w:sz="4" w:space="0" w:color="auto"/>
              <w:left w:val="nil"/>
              <w:bottom w:val="nil"/>
              <w:right w:val="nil"/>
            </w:tcBorders>
            <w:vAlign w:val="center"/>
            <w:hideMark/>
          </w:tcPr>
          <w:p w14:paraId="641A3FFF"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4.5E-05</w:t>
            </w:r>
          </w:p>
        </w:tc>
        <w:tc>
          <w:tcPr>
            <w:tcW w:w="485" w:type="pct"/>
            <w:tcBorders>
              <w:top w:val="single" w:sz="4" w:space="0" w:color="auto"/>
              <w:left w:val="nil"/>
              <w:bottom w:val="nil"/>
              <w:right w:val="nil"/>
            </w:tcBorders>
            <w:vAlign w:val="center"/>
            <w:hideMark/>
          </w:tcPr>
          <w:p w14:paraId="5E161378"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2.2E-05</w:t>
            </w:r>
          </w:p>
        </w:tc>
        <w:tc>
          <w:tcPr>
            <w:tcW w:w="485" w:type="pct"/>
            <w:tcBorders>
              <w:top w:val="single" w:sz="4" w:space="0" w:color="auto"/>
              <w:left w:val="nil"/>
              <w:bottom w:val="nil"/>
              <w:right w:val="nil"/>
            </w:tcBorders>
            <w:vAlign w:val="center"/>
            <w:hideMark/>
          </w:tcPr>
          <w:p w14:paraId="0FF5C9C6"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1.4E-05</w:t>
            </w:r>
          </w:p>
        </w:tc>
        <w:tc>
          <w:tcPr>
            <w:tcW w:w="485" w:type="pct"/>
            <w:tcBorders>
              <w:top w:val="single" w:sz="4" w:space="0" w:color="auto"/>
              <w:left w:val="nil"/>
              <w:bottom w:val="nil"/>
              <w:right w:val="nil"/>
            </w:tcBorders>
            <w:vAlign w:val="center"/>
            <w:hideMark/>
          </w:tcPr>
          <w:p w14:paraId="634A68F9"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1.2E-05</w:t>
            </w:r>
          </w:p>
        </w:tc>
        <w:tc>
          <w:tcPr>
            <w:tcW w:w="486" w:type="pct"/>
            <w:tcBorders>
              <w:top w:val="single" w:sz="4" w:space="0" w:color="auto"/>
              <w:left w:val="nil"/>
              <w:bottom w:val="nil"/>
              <w:right w:val="nil"/>
            </w:tcBorders>
            <w:vAlign w:val="center"/>
            <w:hideMark/>
          </w:tcPr>
          <w:p w14:paraId="38AA1391"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1.1E-05</w:t>
            </w:r>
          </w:p>
        </w:tc>
      </w:tr>
      <w:tr w:rsidR="005C2848" w:rsidRPr="00972C81" w14:paraId="7B862705" w14:textId="77777777" w:rsidTr="0019583E">
        <w:trPr>
          <w:trHeight w:val="283"/>
        </w:trPr>
        <w:tc>
          <w:tcPr>
            <w:tcW w:w="2087" w:type="pct"/>
            <w:tcBorders>
              <w:top w:val="nil"/>
              <w:left w:val="nil"/>
              <w:bottom w:val="nil"/>
              <w:right w:val="nil"/>
            </w:tcBorders>
            <w:vAlign w:val="center"/>
            <w:hideMark/>
          </w:tcPr>
          <w:p w14:paraId="4FF98E00" w14:textId="77777777" w:rsidR="005C2848" w:rsidRPr="00C47F2F" w:rsidRDefault="005C2848" w:rsidP="0019583E">
            <w:pPr>
              <w:jc w:val="left"/>
              <w:rPr>
                <w:rFonts w:eastAsiaTheme="minorHAnsi"/>
                <w:noProof/>
                <w:color w:val="000000"/>
                <w:sz w:val="22"/>
                <w:szCs w:val="22"/>
              </w:rPr>
            </w:pPr>
            <w:r w:rsidRPr="00C47F2F">
              <w:rPr>
                <w:noProof/>
                <w:color w:val="000000"/>
                <w:sz w:val="22"/>
                <w:szCs w:val="22"/>
              </w:rPr>
              <w:t>Type F</w:t>
            </w:r>
          </w:p>
        </w:tc>
        <w:tc>
          <w:tcPr>
            <w:tcW w:w="485" w:type="pct"/>
            <w:tcBorders>
              <w:top w:val="nil"/>
              <w:left w:val="nil"/>
              <w:bottom w:val="nil"/>
              <w:right w:val="nil"/>
            </w:tcBorders>
            <w:vAlign w:val="center"/>
            <w:hideMark/>
          </w:tcPr>
          <w:p w14:paraId="33C97130"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6.4E-05</w:t>
            </w:r>
          </w:p>
        </w:tc>
        <w:tc>
          <w:tcPr>
            <w:tcW w:w="485" w:type="pct"/>
            <w:tcBorders>
              <w:top w:val="nil"/>
              <w:left w:val="nil"/>
              <w:bottom w:val="nil"/>
              <w:right w:val="nil"/>
            </w:tcBorders>
            <w:vAlign w:val="center"/>
            <w:hideMark/>
          </w:tcPr>
          <w:p w14:paraId="52081A73"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5.3E-05</w:t>
            </w:r>
          </w:p>
        </w:tc>
        <w:tc>
          <w:tcPr>
            <w:tcW w:w="485" w:type="pct"/>
            <w:tcBorders>
              <w:top w:val="nil"/>
              <w:left w:val="nil"/>
              <w:bottom w:val="nil"/>
              <w:right w:val="nil"/>
            </w:tcBorders>
            <w:vAlign w:val="center"/>
            <w:hideMark/>
          </w:tcPr>
          <w:p w14:paraId="1BEB89B8"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2.5E-05</w:t>
            </w:r>
          </w:p>
        </w:tc>
        <w:tc>
          <w:tcPr>
            <w:tcW w:w="485" w:type="pct"/>
            <w:tcBorders>
              <w:top w:val="nil"/>
              <w:left w:val="nil"/>
              <w:bottom w:val="nil"/>
              <w:right w:val="nil"/>
            </w:tcBorders>
            <w:vAlign w:val="center"/>
            <w:hideMark/>
          </w:tcPr>
          <w:p w14:paraId="360F0673"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1.6E-05</w:t>
            </w:r>
          </w:p>
        </w:tc>
        <w:tc>
          <w:tcPr>
            <w:tcW w:w="485" w:type="pct"/>
            <w:tcBorders>
              <w:top w:val="nil"/>
              <w:left w:val="nil"/>
              <w:bottom w:val="nil"/>
              <w:right w:val="nil"/>
            </w:tcBorders>
            <w:vAlign w:val="center"/>
            <w:hideMark/>
          </w:tcPr>
          <w:p w14:paraId="797742DD"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1.4E-05</w:t>
            </w:r>
          </w:p>
        </w:tc>
        <w:tc>
          <w:tcPr>
            <w:tcW w:w="486" w:type="pct"/>
            <w:tcBorders>
              <w:top w:val="nil"/>
              <w:left w:val="nil"/>
              <w:bottom w:val="nil"/>
              <w:right w:val="nil"/>
            </w:tcBorders>
            <w:vAlign w:val="center"/>
            <w:hideMark/>
          </w:tcPr>
          <w:p w14:paraId="6F4D175C"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1.3E-05</w:t>
            </w:r>
          </w:p>
        </w:tc>
      </w:tr>
      <w:tr w:rsidR="005C2848" w:rsidRPr="00972C81" w14:paraId="39AFF3CF" w14:textId="77777777" w:rsidTr="0019583E">
        <w:trPr>
          <w:trHeight w:val="283"/>
        </w:trPr>
        <w:tc>
          <w:tcPr>
            <w:tcW w:w="2087" w:type="pct"/>
            <w:tcBorders>
              <w:top w:val="nil"/>
              <w:left w:val="nil"/>
              <w:bottom w:val="nil"/>
              <w:right w:val="nil"/>
            </w:tcBorders>
            <w:vAlign w:val="center"/>
            <w:hideMark/>
          </w:tcPr>
          <w:p w14:paraId="6493DBBB" w14:textId="77777777" w:rsidR="005C2848" w:rsidRPr="00C47F2F" w:rsidRDefault="005C2848" w:rsidP="0019583E">
            <w:pPr>
              <w:jc w:val="left"/>
              <w:rPr>
                <w:rFonts w:eastAsiaTheme="minorHAnsi"/>
                <w:noProof/>
                <w:sz w:val="22"/>
                <w:szCs w:val="22"/>
              </w:rPr>
            </w:pPr>
            <w:r w:rsidRPr="00C47F2F">
              <w:rPr>
                <w:noProof/>
                <w:sz w:val="22"/>
                <w:szCs w:val="22"/>
              </w:rPr>
              <w:t xml:space="preserve">Type M, </w:t>
            </w:r>
            <w:r w:rsidRPr="00C47F2F">
              <w:rPr>
                <w:rFonts w:eastAsia="Times New Roman"/>
                <w:noProof/>
                <w:color w:val="000000"/>
                <w:sz w:val="22"/>
                <w:szCs w:val="22"/>
                <w:lang w:eastAsia="en-GB"/>
              </w:rPr>
              <w:t>neptunium citrate, oxalate</w:t>
            </w:r>
          </w:p>
        </w:tc>
        <w:tc>
          <w:tcPr>
            <w:tcW w:w="485" w:type="pct"/>
            <w:tcBorders>
              <w:top w:val="nil"/>
              <w:left w:val="nil"/>
              <w:bottom w:val="nil"/>
              <w:right w:val="nil"/>
            </w:tcBorders>
            <w:vAlign w:val="center"/>
            <w:hideMark/>
          </w:tcPr>
          <w:p w14:paraId="17618AF3"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3.1E-05</w:t>
            </w:r>
          </w:p>
        </w:tc>
        <w:tc>
          <w:tcPr>
            <w:tcW w:w="485" w:type="pct"/>
            <w:tcBorders>
              <w:top w:val="nil"/>
              <w:left w:val="nil"/>
              <w:bottom w:val="nil"/>
              <w:right w:val="nil"/>
            </w:tcBorders>
            <w:vAlign w:val="center"/>
            <w:hideMark/>
          </w:tcPr>
          <w:p w14:paraId="141C42FA"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2.8E-05</w:t>
            </w:r>
          </w:p>
        </w:tc>
        <w:tc>
          <w:tcPr>
            <w:tcW w:w="485" w:type="pct"/>
            <w:tcBorders>
              <w:top w:val="nil"/>
              <w:left w:val="nil"/>
              <w:bottom w:val="nil"/>
              <w:right w:val="nil"/>
            </w:tcBorders>
            <w:vAlign w:val="center"/>
            <w:hideMark/>
          </w:tcPr>
          <w:p w14:paraId="1B423B3A"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1.5E-05</w:t>
            </w:r>
          </w:p>
        </w:tc>
        <w:tc>
          <w:tcPr>
            <w:tcW w:w="485" w:type="pct"/>
            <w:tcBorders>
              <w:top w:val="nil"/>
              <w:left w:val="nil"/>
              <w:bottom w:val="nil"/>
              <w:right w:val="nil"/>
            </w:tcBorders>
            <w:vAlign w:val="center"/>
            <w:hideMark/>
          </w:tcPr>
          <w:p w14:paraId="56E6E1B5"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9.8E-06</w:t>
            </w:r>
          </w:p>
        </w:tc>
        <w:tc>
          <w:tcPr>
            <w:tcW w:w="485" w:type="pct"/>
            <w:tcBorders>
              <w:top w:val="nil"/>
              <w:left w:val="nil"/>
              <w:bottom w:val="nil"/>
              <w:right w:val="nil"/>
            </w:tcBorders>
            <w:vAlign w:val="center"/>
            <w:hideMark/>
          </w:tcPr>
          <w:p w14:paraId="726DBB16"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8.7E-06</w:t>
            </w:r>
          </w:p>
        </w:tc>
        <w:tc>
          <w:tcPr>
            <w:tcW w:w="486" w:type="pct"/>
            <w:tcBorders>
              <w:top w:val="nil"/>
              <w:left w:val="nil"/>
              <w:bottom w:val="nil"/>
              <w:right w:val="nil"/>
            </w:tcBorders>
            <w:vAlign w:val="center"/>
            <w:hideMark/>
          </w:tcPr>
          <w:p w14:paraId="76AF2F21"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8.2E-06</w:t>
            </w:r>
          </w:p>
        </w:tc>
      </w:tr>
      <w:tr w:rsidR="005C2848" w:rsidRPr="00972C81" w14:paraId="37F4F3A4" w14:textId="77777777" w:rsidTr="0019583E">
        <w:trPr>
          <w:trHeight w:val="283"/>
        </w:trPr>
        <w:tc>
          <w:tcPr>
            <w:tcW w:w="2087" w:type="pct"/>
            <w:tcBorders>
              <w:top w:val="nil"/>
              <w:left w:val="nil"/>
              <w:bottom w:val="single" w:sz="4" w:space="0" w:color="auto"/>
              <w:right w:val="nil"/>
            </w:tcBorders>
            <w:vAlign w:val="center"/>
            <w:hideMark/>
          </w:tcPr>
          <w:p w14:paraId="2E29188D" w14:textId="77777777" w:rsidR="005C2848" w:rsidRPr="00C47F2F" w:rsidRDefault="005C2848" w:rsidP="0019583E">
            <w:pPr>
              <w:jc w:val="left"/>
              <w:rPr>
                <w:rFonts w:eastAsiaTheme="minorHAnsi"/>
                <w:noProof/>
                <w:sz w:val="22"/>
                <w:szCs w:val="22"/>
              </w:rPr>
            </w:pPr>
            <w:r w:rsidRPr="00C47F2F">
              <w:rPr>
                <w:noProof/>
                <w:sz w:val="22"/>
                <w:szCs w:val="22"/>
              </w:rPr>
              <w:t>Type S, neptunium dioxide</w:t>
            </w:r>
          </w:p>
        </w:tc>
        <w:tc>
          <w:tcPr>
            <w:tcW w:w="485" w:type="pct"/>
            <w:tcBorders>
              <w:top w:val="nil"/>
              <w:left w:val="nil"/>
              <w:bottom w:val="single" w:sz="4" w:space="0" w:color="auto"/>
              <w:right w:val="nil"/>
            </w:tcBorders>
            <w:vAlign w:val="center"/>
            <w:hideMark/>
          </w:tcPr>
          <w:p w14:paraId="799FB695"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5.3E-05</w:t>
            </w:r>
          </w:p>
        </w:tc>
        <w:tc>
          <w:tcPr>
            <w:tcW w:w="485" w:type="pct"/>
            <w:tcBorders>
              <w:top w:val="nil"/>
              <w:left w:val="nil"/>
              <w:bottom w:val="single" w:sz="4" w:space="0" w:color="auto"/>
              <w:right w:val="nil"/>
            </w:tcBorders>
            <w:vAlign w:val="center"/>
            <w:hideMark/>
          </w:tcPr>
          <w:p w14:paraId="7F2C5867"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5.2E-05</w:t>
            </w:r>
          </w:p>
        </w:tc>
        <w:tc>
          <w:tcPr>
            <w:tcW w:w="485" w:type="pct"/>
            <w:tcBorders>
              <w:top w:val="nil"/>
              <w:left w:val="nil"/>
              <w:bottom w:val="single" w:sz="4" w:space="0" w:color="auto"/>
              <w:right w:val="nil"/>
            </w:tcBorders>
            <w:vAlign w:val="center"/>
            <w:hideMark/>
          </w:tcPr>
          <w:p w14:paraId="6348655F"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3.7E-05</w:t>
            </w:r>
          </w:p>
        </w:tc>
        <w:tc>
          <w:tcPr>
            <w:tcW w:w="485" w:type="pct"/>
            <w:tcBorders>
              <w:top w:val="nil"/>
              <w:left w:val="nil"/>
              <w:bottom w:val="single" w:sz="4" w:space="0" w:color="auto"/>
              <w:right w:val="nil"/>
            </w:tcBorders>
            <w:vAlign w:val="center"/>
            <w:hideMark/>
          </w:tcPr>
          <w:p w14:paraId="6B65D463"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2.7E-05</w:t>
            </w:r>
          </w:p>
        </w:tc>
        <w:tc>
          <w:tcPr>
            <w:tcW w:w="485" w:type="pct"/>
            <w:tcBorders>
              <w:top w:val="nil"/>
              <w:left w:val="nil"/>
              <w:bottom w:val="single" w:sz="4" w:space="0" w:color="auto"/>
              <w:right w:val="nil"/>
            </w:tcBorders>
            <w:vAlign w:val="center"/>
            <w:hideMark/>
          </w:tcPr>
          <w:p w14:paraId="3C91C2DD"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2.6E-05</w:t>
            </w:r>
          </w:p>
        </w:tc>
        <w:tc>
          <w:tcPr>
            <w:tcW w:w="486" w:type="pct"/>
            <w:tcBorders>
              <w:top w:val="nil"/>
              <w:left w:val="nil"/>
              <w:bottom w:val="single" w:sz="4" w:space="0" w:color="auto"/>
              <w:right w:val="nil"/>
            </w:tcBorders>
            <w:vAlign w:val="center"/>
            <w:hideMark/>
          </w:tcPr>
          <w:p w14:paraId="3EED7D83"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2.6E-05</w:t>
            </w:r>
          </w:p>
        </w:tc>
      </w:tr>
      <w:tr w:rsidR="005C2848" w:rsidRPr="00972C81" w14:paraId="78D852E4" w14:textId="77777777" w:rsidTr="0019583E">
        <w:trPr>
          <w:trHeight w:val="283"/>
        </w:trPr>
        <w:tc>
          <w:tcPr>
            <w:tcW w:w="2087" w:type="pct"/>
            <w:tcBorders>
              <w:top w:val="single" w:sz="4" w:space="0" w:color="auto"/>
              <w:left w:val="nil"/>
              <w:bottom w:val="single" w:sz="4" w:space="0" w:color="auto"/>
              <w:right w:val="nil"/>
            </w:tcBorders>
            <w:vAlign w:val="center"/>
          </w:tcPr>
          <w:p w14:paraId="4B33A761" w14:textId="77777777" w:rsidR="005C2848" w:rsidRPr="00C47F2F" w:rsidRDefault="005C2848">
            <w:pPr>
              <w:rPr>
                <w:rFonts w:eastAsiaTheme="minorHAnsi"/>
                <w:noProof/>
                <w:sz w:val="22"/>
                <w:szCs w:val="22"/>
              </w:rPr>
            </w:pPr>
          </w:p>
          <w:p w14:paraId="17A9150C" w14:textId="77777777" w:rsidR="005C2848" w:rsidRPr="00C47F2F" w:rsidRDefault="005C2848">
            <w:pPr>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vAlign w:val="center"/>
          </w:tcPr>
          <w:p w14:paraId="4C993AE9" w14:textId="77777777" w:rsidR="005C2848" w:rsidRPr="00C47F2F" w:rsidRDefault="005C2848">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2D75D669" w14:textId="77777777" w:rsidR="005C2848" w:rsidRPr="00C47F2F" w:rsidRDefault="005C2848">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1CAF44DA" w14:textId="77777777" w:rsidR="005C2848" w:rsidRPr="00C47F2F" w:rsidRDefault="005C2848">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0AF11659" w14:textId="77777777" w:rsidR="005C2848" w:rsidRPr="00C47F2F" w:rsidRDefault="005C2848">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5DF2FBD1" w14:textId="77777777" w:rsidR="005C2848" w:rsidRPr="00C47F2F" w:rsidRDefault="005C2848">
            <w:pPr>
              <w:jc w:val="center"/>
              <w:rPr>
                <w:rFonts w:eastAsia="Times New Roman"/>
                <w:noProof/>
                <w:color w:val="000000"/>
                <w:sz w:val="22"/>
                <w:szCs w:val="22"/>
              </w:rPr>
            </w:pPr>
          </w:p>
        </w:tc>
        <w:tc>
          <w:tcPr>
            <w:tcW w:w="486" w:type="pct"/>
            <w:tcBorders>
              <w:top w:val="single" w:sz="4" w:space="0" w:color="auto"/>
              <w:left w:val="nil"/>
              <w:bottom w:val="single" w:sz="4" w:space="0" w:color="auto"/>
              <w:right w:val="nil"/>
            </w:tcBorders>
            <w:vAlign w:val="center"/>
          </w:tcPr>
          <w:p w14:paraId="4DB37690" w14:textId="77777777" w:rsidR="005C2848" w:rsidRPr="00C47F2F" w:rsidRDefault="005C2848">
            <w:pPr>
              <w:jc w:val="center"/>
              <w:rPr>
                <w:rFonts w:eastAsia="Times New Roman"/>
                <w:noProof/>
                <w:color w:val="000000"/>
                <w:sz w:val="22"/>
                <w:szCs w:val="22"/>
              </w:rPr>
            </w:pPr>
          </w:p>
        </w:tc>
      </w:tr>
      <w:tr w:rsidR="005C2848" w:rsidRPr="00972C81" w14:paraId="34D7AAF6" w14:textId="77777777" w:rsidTr="0019583E">
        <w:trPr>
          <w:trHeight w:val="283"/>
        </w:trPr>
        <w:tc>
          <w:tcPr>
            <w:tcW w:w="2087" w:type="pct"/>
            <w:tcBorders>
              <w:top w:val="single" w:sz="4" w:space="0" w:color="auto"/>
              <w:left w:val="nil"/>
              <w:bottom w:val="single" w:sz="4" w:space="0" w:color="auto"/>
              <w:right w:val="nil"/>
            </w:tcBorders>
            <w:vAlign w:val="center"/>
            <w:hideMark/>
          </w:tcPr>
          <w:p w14:paraId="1DF0FA34" w14:textId="77777777" w:rsidR="005C2848" w:rsidRPr="00C47F2F" w:rsidRDefault="005C2848" w:rsidP="0019583E">
            <w:pPr>
              <w:jc w:val="left"/>
              <w:rPr>
                <w:rFonts w:eastAsiaTheme="minorHAnsi"/>
                <w:noProof/>
                <w:sz w:val="22"/>
                <w:szCs w:val="22"/>
              </w:rPr>
            </w:pPr>
            <w:r w:rsidRPr="00C47F2F">
              <w:rPr>
                <w:noProof/>
                <w:sz w:val="22"/>
                <w:szCs w:val="22"/>
              </w:rPr>
              <w:t>All chemical forms</w:t>
            </w:r>
          </w:p>
        </w:tc>
        <w:tc>
          <w:tcPr>
            <w:tcW w:w="485" w:type="pct"/>
            <w:tcBorders>
              <w:top w:val="single" w:sz="4" w:space="0" w:color="auto"/>
              <w:left w:val="nil"/>
              <w:bottom w:val="single" w:sz="4" w:space="0" w:color="auto"/>
              <w:right w:val="nil"/>
            </w:tcBorders>
            <w:vAlign w:val="center"/>
            <w:hideMark/>
          </w:tcPr>
          <w:p w14:paraId="40BB5CA8"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1.5E-06</w:t>
            </w:r>
          </w:p>
        </w:tc>
        <w:tc>
          <w:tcPr>
            <w:tcW w:w="485" w:type="pct"/>
            <w:tcBorders>
              <w:top w:val="single" w:sz="4" w:space="0" w:color="auto"/>
              <w:left w:val="nil"/>
              <w:bottom w:val="single" w:sz="4" w:space="0" w:color="auto"/>
              <w:right w:val="nil"/>
            </w:tcBorders>
            <w:vAlign w:val="center"/>
            <w:hideMark/>
          </w:tcPr>
          <w:p w14:paraId="6EDE629C"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1.3E-07</w:t>
            </w:r>
          </w:p>
        </w:tc>
        <w:tc>
          <w:tcPr>
            <w:tcW w:w="485" w:type="pct"/>
            <w:tcBorders>
              <w:top w:val="single" w:sz="4" w:space="0" w:color="auto"/>
              <w:left w:val="nil"/>
              <w:bottom w:val="single" w:sz="4" w:space="0" w:color="auto"/>
              <w:right w:val="nil"/>
            </w:tcBorders>
            <w:vAlign w:val="center"/>
            <w:hideMark/>
          </w:tcPr>
          <w:p w14:paraId="6479E2BF"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6.2E-08</w:t>
            </w:r>
          </w:p>
        </w:tc>
        <w:tc>
          <w:tcPr>
            <w:tcW w:w="485" w:type="pct"/>
            <w:tcBorders>
              <w:top w:val="single" w:sz="4" w:space="0" w:color="auto"/>
              <w:left w:val="nil"/>
              <w:bottom w:val="single" w:sz="4" w:space="0" w:color="auto"/>
              <w:right w:val="nil"/>
            </w:tcBorders>
            <w:vAlign w:val="center"/>
            <w:hideMark/>
          </w:tcPr>
          <w:p w14:paraId="32FC9EC4"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4.1E-08</w:t>
            </w:r>
          </w:p>
        </w:tc>
        <w:tc>
          <w:tcPr>
            <w:tcW w:w="485" w:type="pct"/>
            <w:tcBorders>
              <w:top w:val="single" w:sz="4" w:space="0" w:color="auto"/>
              <w:left w:val="nil"/>
              <w:bottom w:val="single" w:sz="4" w:space="0" w:color="auto"/>
              <w:right w:val="nil"/>
            </w:tcBorders>
            <w:vAlign w:val="center"/>
            <w:hideMark/>
          </w:tcPr>
          <w:p w14:paraId="206395D4"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3.5E-08</w:t>
            </w:r>
          </w:p>
        </w:tc>
        <w:tc>
          <w:tcPr>
            <w:tcW w:w="486" w:type="pct"/>
            <w:tcBorders>
              <w:top w:val="single" w:sz="4" w:space="0" w:color="auto"/>
              <w:left w:val="nil"/>
              <w:bottom w:val="single" w:sz="4" w:space="0" w:color="auto"/>
              <w:right w:val="nil"/>
            </w:tcBorders>
            <w:vAlign w:val="center"/>
            <w:hideMark/>
          </w:tcPr>
          <w:p w14:paraId="2777AA94"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3.0E-08</w:t>
            </w:r>
          </w:p>
        </w:tc>
      </w:tr>
    </w:tbl>
    <w:p w14:paraId="14B74417" w14:textId="77777777" w:rsidR="005C2848" w:rsidRPr="00972C81" w:rsidRDefault="005C2848" w:rsidP="00E81109">
      <w:pPr>
        <w:widowControl/>
        <w:jc w:val="left"/>
        <w:rPr>
          <w:noProof/>
        </w:rPr>
      </w:pPr>
    </w:p>
    <w:p w14:paraId="38AB987E" w14:textId="3E83FEC9" w:rsidR="005C2848" w:rsidRPr="00972C81" w:rsidRDefault="005C2848" w:rsidP="005C2848">
      <w:pPr>
        <w:pStyle w:val="ab"/>
        <w:rPr>
          <w:noProof/>
          <w:sz w:val="24"/>
          <w:szCs w:val="24"/>
        </w:rPr>
      </w:pPr>
      <w:r w:rsidRPr="00972C81">
        <w:rPr>
          <w:noProof/>
          <w:sz w:val="24"/>
          <w:szCs w:val="24"/>
        </w:rPr>
        <w:t>Table 21.4.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239</w:t>
      </w:r>
      <w:r w:rsidRPr="00972C81">
        <w:rPr>
          <w:noProof/>
          <w:sz w:val="24"/>
          <w:szCs w:val="24"/>
        </w:rPr>
        <w:t>Np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5C2848" w:rsidRPr="00A3213E" w14:paraId="1202E456" w14:textId="77777777" w:rsidTr="0019583E">
        <w:trPr>
          <w:trHeight w:val="283"/>
        </w:trPr>
        <w:tc>
          <w:tcPr>
            <w:tcW w:w="2087" w:type="pct"/>
            <w:vMerge w:val="restart"/>
            <w:tcBorders>
              <w:top w:val="single" w:sz="4" w:space="0" w:color="auto"/>
              <w:left w:val="nil"/>
              <w:bottom w:val="single" w:sz="4" w:space="0" w:color="auto"/>
              <w:right w:val="nil"/>
            </w:tcBorders>
            <w:vAlign w:val="bottom"/>
            <w:hideMark/>
          </w:tcPr>
          <w:p w14:paraId="0B301253" w14:textId="77777777" w:rsidR="007A0A2C" w:rsidRPr="00C47F2F" w:rsidRDefault="005C2848">
            <w:pPr>
              <w:pStyle w:val="a5"/>
              <w:tabs>
                <w:tab w:val="clear" w:pos="4153"/>
                <w:tab w:val="clear" w:pos="8306"/>
              </w:tabs>
              <w:rPr>
                <w:noProof/>
                <w:sz w:val="22"/>
                <w:szCs w:val="22"/>
              </w:rPr>
            </w:pPr>
            <w:r w:rsidRPr="00C47F2F">
              <w:rPr>
                <w:noProof/>
                <w:sz w:val="22"/>
                <w:szCs w:val="22"/>
              </w:rPr>
              <w:t>Inhaled particulate materials</w:t>
            </w:r>
          </w:p>
          <w:p w14:paraId="1412F8DC" w14:textId="673DE991" w:rsidR="005C2848" w:rsidRPr="007A0A2C" w:rsidRDefault="005C2848" w:rsidP="00C47F2F">
            <w:pPr>
              <w:pStyle w:val="a5"/>
              <w:tabs>
                <w:tab w:val="clear" w:pos="4153"/>
                <w:tab w:val="clear" w:pos="8306"/>
              </w:tabs>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36E1DDB3" w14:textId="77777777" w:rsidR="005C2848" w:rsidRPr="00C47F2F" w:rsidRDefault="005C2848" w:rsidP="0019583E">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5C2848" w:rsidRPr="00972C81" w14:paraId="589EA880" w14:textId="77777777" w:rsidTr="0019583E">
        <w:trPr>
          <w:trHeight w:val="283"/>
        </w:trPr>
        <w:tc>
          <w:tcPr>
            <w:tcW w:w="2087" w:type="pct"/>
            <w:vMerge/>
            <w:tcBorders>
              <w:top w:val="single" w:sz="4" w:space="0" w:color="auto"/>
              <w:left w:val="nil"/>
              <w:bottom w:val="single" w:sz="4" w:space="0" w:color="auto"/>
              <w:right w:val="nil"/>
            </w:tcBorders>
            <w:vAlign w:val="center"/>
            <w:hideMark/>
          </w:tcPr>
          <w:p w14:paraId="13FE7596" w14:textId="77777777" w:rsidR="005C2848" w:rsidRPr="007A0A2C" w:rsidRDefault="005C28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23F1B3C4" w14:textId="02651D65" w:rsidR="005C2848" w:rsidRPr="00232741" w:rsidRDefault="005C2848" w:rsidP="0019583E">
            <w:pPr>
              <w:pStyle w:val="TabFiglegends"/>
              <w:widowControl w:val="0"/>
              <w:jc w:val="left"/>
              <w:rPr>
                <w:noProof/>
                <w:szCs w:val="22"/>
                <w:lang w:eastAsia="ko-KR"/>
              </w:rPr>
            </w:pPr>
            <w:r w:rsidRPr="00C47F2F">
              <w:rPr>
                <w:noProof/>
                <w:szCs w:val="22"/>
                <w:lang w:eastAsia="en-US"/>
              </w:rPr>
              <w:t>3</w:t>
            </w:r>
            <w:r w:rsidR="007A0A2C">
              <w:rPr>
                <w:rFonts w:hint="eastAsia"/>
                <w:noProof/>
                <w:szCs w:val="22"/>
                <w:lang w:eastAsia="ko-KR"/>
              </w:rPr>
              <w:t xml:space="preserve"> </w:t>
            </w:r>
            <w:r w:rsidRPr="00C47F2F">
              <w:rPr>
                <w:noProof/>
                <w:szCs w:val="22"/>
                <w:lang w:eastAsia="en-US"/>
              </w:rPr>
              <w:t>m</w:t>
            </w:r>
            <w:r w:rsidR="0019583E">
              <w:rPr>
                <w:rFonts w:hint="eastAsia"/>
                <w:noProof/>
                <w:szCs w:val="22"/>
                <w:lang w:eastAsia="ko-KR"/>
              </w:rPr>
              <w:t>o</w:t>
            </w:r>
          </w:p>
        </w:tc>
        <w:tc>
          <w:tcPr>
            <w:tcW w:w="485" w:type="pct"/>
            <w:tcBorders>
              <w:top w:val="single" w:sz="4" w:space="0" w:color="auto"/>
              <w:left w:val="nil"/>
              <w:bottom w:val="single" w:sz="4" w:space="0" w:color="auto"/>
              <w:right w:val="nil"/>
            </w:tcBorders>
            <w:vAlign w:val="center"/>
            <w:hideMark/>
          </w:tcPr>
          <w:p w14:paraId="0A8A297E" w14:textId="0EA48E07" w:rsidR="005C2848" w:rsidRPr="00C47F2F" w:rsidRDefault="005C2848" w:rsidP="0019583E">
            <w:pPr>
              <w:jc w:val="left"/>
              <w:rPr>
                <w:noProof/>
                <w:sz w:val="22"/>
                <w:szCs w:val="22"/>
              </w:rPr>
            </w:pPr>
            <w:r w:rsidRPr="00C47F2F">
              <w:rPr>
                <w:noProof/>
                <w:sz w:val="22"/>
                <w:szCs w:val="22"/>
              </w:rPr>
              <w:t>1</w:t>
            </w:r>
            <w:r w:rsidR="007A0A2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71667E98" w14:textId="34054927" w:rsidR="005C2848" w:rsidRPr="00C47F2F" w:rsidRDefault="005C2848" w:rsidP="0019583E">
            <w:pPr>
              <w:jc w:val="left"/>
              <w:rPr>
                <w:noProof/>
                <w:sz w:val="22"/>
                <w:szCs w:val="22"/>
              </w:rPr>
            </w:pPr>
            <w:r w:rsidRPr="00C47F2F">
              <w:rPr>
                <w:noProof/>
                <w:sz w:val="22"/>
                <w:szCs w:val="22"/>
              </w:rPr>
              <w:t>5</w:t>
            </w:r>
            <w:r w:rsidR="007A0A2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0413736D" w14:textId="5549FF39" w:rsidR="005C2848" w:rsidRPr="00C47F2F" w:rsidRDefault="005C2848" w:rsidP="0019583E">
            <w:pPr>
              <w:jc w:val="left"/>
              <w:rPr>
                <w:noProof/>
                <w:sz w:val="22"/>
                <w:szCs w:val="22"/>
              </w:rPr>
            </w:pPr>
            <w:r w:rsidRPr="00C47F2F">
              <w:rPr>
                <w:noProof/>
                <w:sz w:val="22"/>
                <w:szCs w:val="22"/>
              </w:rPr>
              <w:t>10</w:t>
            </w:r>
            <w:r w:rsidR="007A0A2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793FC6C7" w14:textId="6F2331E1" w:rsidR="005C2848" w:rsidRPr="00C47F2F" w:rsidRDefault="005C2848" w:rsidP="0019583E">
            <w:pPr>
              <w:jc w:val="left"/>
              <w:rPr>
                <w:noProof/>
                <w:sz w:val="22"/>
                <w:szCs w:val="22"/>
              </w:rPr>
            </w:pPr>
            <w:r w:rsidRPr="00C47F2F">
              <w:rPr>
                <w:noProof/>
                <w:sz w:val="22"/>
                <w:szCs w:val="22"/>
              </w:rPr>
              <w:t>15</w:t>
            </w:r>
            <w:r w:rsidR="007A0A2C">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1EB9CA9D" w14:textId="77777777" w:rsidR="005C2848" w:rsidRPr="00C47F2F" w:rsidRDefault="005C2848" w:rsidP="0019583E">
            <w:pPr>
              <w:jc w:val="left"/>
              <w:rPr>
                <w:noProof/>
                <w:sz w:val="22"/>
                <w:szCs w:val="22"/>
              </w:rPr>
            </w:pPr>
            <w:r w:rsidRPr="00C47F2F">
              <w:rPr>
                <w:noProof/>
                <w:sz w:val="22"/>
                <w:szCs w:val="22"/>
              </w:rPr>
              <w:t>Adult</w:t>
            </w:r>
          </w:p>
        </w:tc>
      </w:tr>
      <w:tr w:rsidR="005C2848" w:rsidRPr="00972C81" w14:paraId="7E745A76" w14:textId="77777777" w:rsidTr="0019583E">
        <w:trPr>
          <w:trHeight w:val="283"/>
        </w:trPr>
        <w:tc>
          <w:tcPr>
            <w:tcW w:w="2087" w:type="pct"/>
            <w:tcBorders>
              <w:top w:val="single" w:sz="4" w:space="0" w:color="auto"/>
              <w:left w:val="nil"/>
              <w:bottom w:val="nil"/>
              <w:right w:val="nil"/>
            </w:tcBorders>
            <w:vAlign w:val="center"/>
            <w:hideMark/>
          </w:tcPr>
          <w:p w14:paraId="59B30A91" w14:textId="77777777" w:rsidR="005C2848" w:rsidRPr="00C47F2F" w:rsidRDefault="005C2848" w:rsidP="0019583E">
            <w:pPr>
              <w:jc w:val="left"/>
              <w:rPr>
                <w:rFonts w:eastAsia="Times New Roman"/>
                <w:noProof/>
                <w:color w:val="000000"/>
                <w:sz w:val="22"/>
                <w:szCs w:val="22"/>
                <w:lang w:eastAsia="en-GB"/>
              </w:rPr>
            </w:pPr>
            <w:r w:rsidRPr="00C47F2F">
              <w:rPr>
                <w:rFonts w:eastAsia="Times New Roman"/>
                <w:noProof/>
                <w:color w:val="000000"/>
                <w:sz w:val="22"/>
                <w:szCs w:val="22"/>
              </w:rPr>
              <w:t>Neptunium nitrate</w:t>
            </w:r>
          </w:p>
        </w:tc>
        <w:tc>
          <w:tcPr>
            <w:tcW w:w="485" w:type="pct"/>
            <w:tcBorders>
              <w:top w:val="single" w:sz="4" w:space="0" w:color="auto"/>
              <w:left w:val="nil"/>
              <w:bottom w:val="nil"/>
              <w:right w:val="nil"/>
            </w:tcBorders>
            <w:vAlign w:val="center"/>
            <w:hideMark/>
          </w:tcPr>
          <w:p w14:paraId="44A9553C"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1.3E-09</w:t>
            </w:r>
          </w:p>
        </w:tc>
        <w:tc>
          <w:tcPr>
            <w:tcW w:w="485" w:type="pct"/>
            <w:tcBorders>
              <w:top w:val="single" w:sz="4" w:space="0" w:color="auto"/>
              <w:left w:val="nil"/>
              <w:bottom w:val="nil"/>
              <w:right w:val="nil"/>
            </w:tcBorders>
            <w:vAlign w:val="center"/>
            <w:hideMark/>
          </w:tcPr>
          <w:p w14:paraId="2F37C29A"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9.3E-10</w:t>
            </w:r>
          </w:p>
        </w:tc>
        <w:tc>
          <w:tcPr>
            <w:tcW w:w="485" w:type="pct"/>
            <w:tcBorders>
              <w:top w:val="single" w:sz="4" w:space="0" w:color="auto"/>
              <w:left w:val="nil"/>
              <w:bottom w:val="nil"/>
              <w:right w:val="nil"/>
            </w:tcBorders>
            <w:vAlign w:val="center"/>
            <w:hideMark/>
          </w:tcPr>
          <w:p w14:paraId="093165B1"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4.8E-10</w:t>
            </w:r>
          </w:p>
        </w:tc>
        <w:tc>
          <w:tcPr>
            <w:tcW w:w="485" w:type="pct"/>
            <w:tcBorders>
              <w:top w:val="single" w:sz="4" w:space="0" w:color="auto"/>
              <w:left w:val="nil"/>
              <w:bottom w:val="nil"/>
              <w:right w:val="nil"/>
            </w:tcBorders>
            <w:vAlign w:val="center"/>
            <w:hideMark/>
          </w:tcPr>
          <w:p w14:paraId="4716DF50"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3.1E-10</w:t>
            </w:r>
          </w:p>
        </w:tc>
        <w:tc>
          <w:tcPr>
            <w:tcW w:w="485" w:type="pct"/>
            <w:tcBorders>
              <w:top w:val="single" w:sz="4" w:space="0" w:color="auto"/>
              <w:left w:val="nil"/>
              <w:bottom w:val="nil"/>
              <w:right w:val="nil"/>
            </w:tcBorders>
            <w:vAlign w:val="center"/>
            <w:hideMark/>
          </w:tcPr>
          <w:p w14:paraId="5381D9C0"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2.4E-10</w:t>
            </w:r>
          </w:p>
        </w:tc>
        <w:tc>
          <w:tcPr>
            <w:tcW w:w="486" w:type="pct"/>
            <w:tcBorders>
              <w:top w:val="single" w:sz="4" w:space="0" w:color="auto"/>
              <w:left w:val="nil"/>
              <w:bottom w:val="nil"/>
              <w:right w:val="nil"/>
            </w:tcBorders>
            <w:vAlign w:val="center"/>
            <w:hideMark/>
          </w:tcPr>
          <w:p w14:paraId="378B84D9"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2.1E-10</w:t>
            </w:r>
          </w:p>
        </w:tc>
      </w:tr>
      <w:tr w:rsidR="005C2848" w:rsidRPr="00972C81" w14:paraId="08A6BDE2" w14:textId="77777777" w:rsidTr="0019583E">
        <w:trPr>
          <w:trHeight w:val="283"/>
        </w:trPr>
        <w:tc>
          <w:tcPr>
            <w:tcW w:w="2087" w:type="pct"/>
            <w:tcBorders>
              <w:top w:val="nil"/>
              <w:left w:val="nil"/>
              <w:bottom w:val="nil"/>
              <w:right w:val="nil"/>
            </w:tcBorders>
            <w:vAlign w:val="center"/>
            <w:hideMark/>
          </w:tcPr>
          <w:p w14:paraId="50BF54B5" w14:textId="77777777" w:rsidR="005C2848" w:rsidRPr="00C47F2F" w:rsidRDefault="005C2848" w:rsidP="0019583E">
            <w:pPr>
              <w:jc w:val="left"/>
              <w:rPr>
                <w:rFonts w:eastAsiaTheme="minorHAnsi"/>
                <w:noProof/>
                <w:color w:val="000000"/>
                <w:sz w:val="22"/>
                <w:szCs w:val="22"/>
              </w:rPr>
            </w:pPr>
            <w:r w:rsidRPr="00C47F2F">
              <w:rPr>
                <w:noProof/>
                <w:color w:val="000000"/>
                <w:sz w:val="22"/>
                <w:szCs w:val="22"/>
              </w:rPr>
              <w:t>Type F</w:t>
            </w:r>
          </w:p>
        </w:tc>
        <w:tc>
          <w:tcPr>
            <w:tcW w:w="485" w:type="pct"/>
            <w:tcBorders>
              <w:top w:val="nil"/>
              <w:left w:val="nil"/>
              <w:bottom w:val="nil"/>
              <w:right w:val="nil"/>
            </w:tcBorders>
            <w:vAlign w:val="center"/>
            <w:hideMark/>
          </w:tcPr>
          <w:p w14:paraId="572176B3"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9.3E-10</w:t>
            </w:r>
          </w:p>
        </w:tc>
        <w:tc>
          <w:tcPr>
            <w:tcW w:w="485" w:type="pct"/>
            <w:tcBorders>
              <w:top w:val="nil"/>
              <w:left w:val="nil"/>
              <w:bottom w:val="nil"/>
              <w:right w:val="nil"/>
            </w:tcBorders>
            <w:vAlign w:val="center"/>
            <w:hideMark/>
          </w:tcPr>
          <w:p w14:paraId="39D38DCA"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6.6E-10</w:t>
            </w:r>
          </w:p>
        </w:tc>
        <w:tc>
          <w:tcPr>
            <w:tcW w:w="485" w:type="pct"/>
            <w:tcBorders>
              <w:top w:val="nil"/>
              <w:left w:val="nil"/>
              <w:bottom w:val="nil"/>
              <w:right w:val="nil"/>
            </w:tcBorders>
            <w:vAlign w:val="center"/>
            <w:hideMark/>
          </w:tcPr>
          <w:p w14:paraId="03F35348"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2.9E-10</w:t>
            </w:r>
          </w:p>
        </w:tc>
        <w:tc>
          <w:tcPr>
            <w:tcW w:w="485" w:type="pct"/>
            <w:tcBorders>
              <w:top w:val="nil"/>
              <w:left w:val="nil"/>
              <w:bottom w:val="nil"/>
              <w:right w:val="nil"/>
            </w:tcBorders>
            <w:vAlign w:val="center"/>
            <w:hideMark/>
          </w:tcPr>
          <w:p w14:paraId="28CE9CEB"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1.7E-10</w:t>
            </w:r>
          </w:p>
        </w:tc>
        <w:tc>
          <w:tcPr>
            <w:tcW w:w="485" w:type="pct"/>
            <w:tcBorders>
              <w:top w:val="nil"/>
              <w:left w:val="nil"/>
              <w:bottom w:val="nil"/>
              <w:right w:val="nil"/>
            </w:tcBorders>
            <w:vAlign w:val="center"/>
            <w:hideMark/>
          </w:tcPr>
          <w:p w14:paraId="196699D9"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1.3E-10</w:t>
            </w:r>
          </w:p>
        </w:tc>
        <w:tc>
          <w:tcPr>
            <w:tcW w:w="486" w:type="pct"/>
            <w:tcBorders>
              <w:top w:val="nil"/>
              <w:left w:val="nil"/>
              <w:bottom w:val="nil"/>
              <w:right w:val="nil"/>
            </w:tcBorders>
            <w:vAlign w:val="center"/>
            <w:hideMark/>
          </w:tcPr>
          <w:p w14:paraId="1028CF56"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9.9E-11</w:t>
            </w:r>
          </w:p>
        </w:tc>
      </w:tr>
      <w:tr w:rsidR="005C2848" w:rsidRPr="00972C81" w14:paraId="412B4FFE" w14:textId="77777777" w:rsidTr="0019583E">
        <w:trPr>
          <w:trHeight w:val="283"/>
        </w:trPr>
        <w:tc>
          <w:tcPr>
            <w:tcW w:w="2087" w:type="pct"/>
            <w:tcBorders>
              <w:top w:val="nil"/>
              <w:left w:val="nil"/>
              <w:bottom w:val="nil"/>
              <w:right w:val="nil"/>
            </w:tcBorders>
            <w:vAlign w:val="center"/>
            <w:hideMark/>
          </w:tcPr>
          <w:p w14:paraId="7FCF3DF2" w14:textId="77777777" w:rsidR="005C2848" w:rsidRPr="00C47F2F" w:rsidRDefault="005C2848" w:rsidP="0019583E">
            <w:pPr>
              <w:jc w:val="left"/>
              <w:rPr>
                <w:rFonts w:eastAsiaTheme="minorHAnsi"/>
                <w:noProof/>
                <w:sz w:val="22"/>
                <w:szCs w:val="22"/>
              </w:rPr>
            </w:pPr>
            <w:r w:rsidRPr="00C47F2F">
              <w:rPr>
                <w:noProof/>
                <w:sz w:val="22"/>
                <w:szCs w:val="22"/>
              </w:rPr>
              <w:t xml:space="preserve">Type M, </w:t>
            </w:r>
            <w:r w:rsidRPr="00C47F2F">
              <w:rPr>
                <w:rFonts w:eastAsia="Times New Roman"/>
                <w:noProof/>
                <w:color w:val="000000"/>
                <w:sz w:val="22"/>
                <w:szCs w:val="22"/>
                <w:lang w:eastAsia="en-GB"/>
              </w:rPr>
              <w:t>neptunium citrate, oxalate</w:t>
            </w:r>
          </w:p>
        </w:tc>
        <w:tc>
          <w:tcPr>
            <w:tcW w:w="485" w:type="pct"/>
            <w:tcBorders>
              <w:top w:val="nil"/>
              <w:left w:val="nil"/>
              <w:bottom w:val="nil"/>
              <w:right w:val="nil"/>
            </w:tcBorders>
            <w:vAlign w:val="center"/>
            <w:hideMark/>
          </w:tcPr>
          <w:p w14:paraId="4C886B9E"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1.9E-09</w:t>
            </w:r>
          </w:p>
        </w:tc>
        <w:tc>
          <w:tcPr>
            <w:tcW w:w="485" w:type="pct"/>
            <w:tcBorders>
              <w:top w:val="nil"/>
              <w:left w:val="nil"/>
              <w:bottom w:val="nil"/>
              <w:right w:val="nil"/>
            </w:tcBorders>
            <w:vAlign w:val="center"/>
            <w:hideMark/>
          </w:tcPr>
          <w:p w14:paraId="28956C3C"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1.4E-09</w:t>
            </w:r>
          </w:p>
        </w:tc>
        <w:tc>
          <w:tcPr>
            <w:tcW w:w="485" w:type="pct"/>
            <w:tcBorders>
              <w:top w:val="nil"/>
              <w:left w:val="nil"/>
              <w:bottom w:val="nil"/>
              <w:right w:val="nil"/>
            </w:tcBorders>
            <w:vAlign w:val="center"/>
            <w:hideMark/>
          </w:tcPr>
          <w:p w14:paraId="0765F97D"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8.1E-10</w:t>
            </w:r>
          </w:p>
        </w:tc>
        <w:tc>
          <w:tcPr>
            <w:tcW w:w="485" w:type="pct"/>
            <w:tcBorders>
              <w:top w:val="nil"/>
              <w:left w:val="nil"/>
              <w:bottom w:val="nil"/>
              <w:right w:val="nil"/>
            </w:tcBorders>
            <w:vAlign w:val="center"/>
            <w:hideMark/>
          </w:tcPr>
          <w:p w14:paraId="6E20F305"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5.5E-10</w:t>
            </w:r>
          </w:p>
        </w:tc>
        <w:tc>
          <w:tcPr>
            <w:tcW w:w="485" w:type="pct"/>
            <w:tcBorders>
              <w:top w:val="nil"/>
              <w:left w:val="nil"/>
              <w:bottom w:val="nil"/>
              <w:right w:val="nil"/>
            </w:tcBorders>
            <w:vAlign w:val="center"/>
            <w:hideMark/>
          </w:tcPr>
          <w:p w14:paraId="0117F304"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4.5E-10</w:t>
            </w:r>
          </w:p>
        </w:tc>
        <w:tc>
          <w:tcPr>
            <w:tcW w:w="486" w:type="pct"/>
            <w:tcBorders>
              <w:top w:val="nil"/>
              <w:left w:val="nil"/>
              <w:bottom w:val="nil"/>
              <w:right w:val="nil"/>
            </w:tcBorders>
            <w:vAlign w:val="center"/>
            <w:hideMark/>
          </w:tcPr>
          <w:p w14:paraId="0ED29F06"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4.0E-10</w:t>
            </w:r>
          </w:p>
        </w:tc>
      </w:tr>
      <w:tr w:rsidR="005C2848" w:rsidRPr="00972C81" w14:paraId="7ABBE247" w14:textId="77777777" w:rsidTr="0019583E">
        <w:trPr>
          <w:trHeight w:val="283"/>
        </w:trPr>
        <w:tc>
          <w:tcPr>
            <w:tcW w:w="2087" w:type="pct"/>
            <w:tcBorders>
              <w:top w:val="nil"/>
              <w:left w:val="nil"/>
              <w:bottom w:val="single" w:sz="4" w:space="0" w:color="auto"/>
              <w:right w:val="nil"/>
            </w:tcBorders>
            <w:vAlign w:val="center"/>
            <w:hideMark/>
          </w:tcPr>
          <w:p w14:paraId="35A8AC10" w14:textId="77777777" w:rsidR="005C2848" w:rsidRPr="00C47F2F" w:rsidRDefault="005C2848" w:rsidP="0019583E">
            <w:pPr>
              <w:jc w:val="left"/>
              <w:rPr>
                <w:rFonts w:eastAsiaTheme="minorHAnsi"/>
                <w:noProof/>
                <w:sz w:val="22"/>
                <w:szCs w:val="22"/>
              </w:rPr>
            </w:pPr>
            <w:r w:rsidRPr="00C47F2F">
              <w:rPr>
                <w:noProof/>
                <w:sz w:val="22"/>
                <w:szCs w:val="22"/>
              </w:rPr>
              <w:t>Type S, neptunium dioxide</w:t>
            </w:r>
          </w:p>
        </w:tc>
        <w:tc>
          <w:tcPr>
            <w:tcW w:w="485" w:type="pct"/>
            <w:tcBorders>
              <w:top w:val="nil"/>
              <w:left w:val="nil"/>
              <w:bottom w:val="single" w:sz="4" w:space="0" w:color="auto"/>
              <w:right w:val="nil"/>
            </w:tcBorders>
            <w:vAlign w:val="center"/>
            <w:hideMark/>
          </w:tcPr>
          <w:p w14:paraId="22DDA972"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2.1E-09</w:t>
            </w:r>
          </w:p>
        </w:tc>
        <w:tc>
          <w:tcPr>
            <w:tcW w:w="485" w:type="pct"/>
            <w:tcBorders>
              <w:top w:val="nil"/>
              <w:left w:val="nil"/>
              <w:bottom w:val="single" w:sz="4" w:space="0" w:color="auto"/>
              <w:right w:val="nil"/>
            </w:tcBorders>
            <w:vAlign w:val="center"/>
            <w:hideMark/>
          </w:tcPr>
          <w:p w14:paraId="2CBA46C4"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1.6E-09</w:t>
            </w:r>
          </w:p>
        </w:tc>
        <w:tc>
          <w:tcPr>
            <w:tcW w:w="485" w:type="pct"/>
            <w:tcBorders>
              <w:top w:val="nil"/>
              <w:left w:val="nil"/>
              <w:bottom w:val="single" w:sz="4" w:space="0" w:color="auto"/>
              <w:right w:val="nil"/>
            </w:tcBorders>
            <w:vAlign w:val="center"/>
            <w:hideMark/>
          </w:tcPr>
          <w:p w14:paraId="0139AA91"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9.3E-10</w:t>
            </w:r>
          </w:p>
        </w:tc>
        <w:tc>
          <w:tcPr>
            <w:tcW w:w="485" w:type="pct"/>
            <w:tcBorders>
              <w:top w:val="nil"/>
              <w:left w:val="nil"/>
              <w:bottom w:val="single" w:sz="4" w:space="0" w:color="auto"/>
              <w:right w:val="nil"/>
            </w:tcBorders>
            <w:vAlign w:val="center"/>
            <w:hideMark/>
          </w:tcPr>
          <w:p w14:paraId="1C513C98"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6.3E-10</w:t>
            </w:r>
          </w:p>
        </w:tc>
        <w:tc>
          <w:tcPr>
            <w:tcW w:w="485" w:type="pct"/>
            <w:tcBorders>
              <w:top w:val="nil"/>
              <w:left w:val="nil"/>
              <w:bottom w:val="single" w:sz="4" w:space="0" w:color="auto"/>
              <w:right w:val="nil"/>
            </w:tcBorders>
            <w:vAlign w:val="center"/>
            <w:hideMark/>
          </w:tcPr>
          <w:p w14:paraId="738E445F"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5.2E-10</w:t>
            </w:r>
          </w:p>
        </w:tc>
        <w:tc>
          <w:tcPr>
            <w:tcW w:w="486" w:type="pct"/>
            <w:tcBorders>
              <w:top w:val="nil"/>
              <w:left w:val="nil"/>
              <w:bottom w:val="single" w:sz="4" w:space="0" w:color="auto"/>
              <w:right w:val="nil"/>
            </w:tcBorders>
            <w:vAlign w:val="center"/>
            <w:hideMark/>
          </w:tcPr>
          <w:p w14:paraId="33E1DBD9"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4.7E-10</w:t>
            </w:r>
          </w:p>
        </w:tc>
      </w:tr>
      <w:tr w:rsidR="005C2848" w:rsidRPr="00972C81" w14:paraId="4001733F" w14:textId="77777777" w:rsidTr="0019583E">
        <w:trPr>
          <w:trHeight w:val="283"/>
        </w:trPr>
        <w:tc>
          <w:tcPr>
            <w:tcW w:w="2087" w:type="pct"/>
            <w:tcBorders>
              <w:top w:val="single" w:sz="4" w:space="0" w:color="auto"/>
              <w:left w:val="nil"/>
              <w:bottom w:val="single" w:sz="4" w:space="0" w:color="auto"/>
              <w:right w:val="nil"/>
            </w:tcBorders>
            <w:vAlign w:val="center"/>
          </w:tcPr>
          <w:p w14:paraId="14E4C4D1" w14:textId="77777777" w:rsidR="005C2848" w:rsidRPr="00C47F2F" w:rsidRDefault="005C2848">
            <w:pPr>
              <w:rPr>
                <w:rFonts w:eastAsiaTheme="minorHAnsi"/>
                <w:noProof/>
                <w:sz w:val="22"/>
                <w:szCs w:val="22"/>
              </w:rPr>
            </w:pPr>
          </w:p>
          <w:p w14:paraId="275F45B1" w14:textId="77777777" w:rsidR="005C2848" w:rsidRPr="00C47F2F" w:rsidRDefault="005C2848">
            <w:pPr>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vAlign w:val="center"/>
          </w:tcPr>
          <w:p w14:paraId="0D0160E2" w14:textId="77777777" w:rsidR="005C2848" w:rsidRPr="00C47F2F" w:rsidRDefault="005C2848">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08EE7FD1" w14:textId="77777777" w:rsidR="005C2848" w:rsidRPr="00C47F2F" w:rsidRDefault="005C2848">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40AA33DE" w14:textId="77777777" w:rsidR="005C2848" w:rsidRPr="00C47F2F" w:rsidRDefault="005C2848">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5C94954D" w14:textId="77777777" w:rsidR="005C2848" w:rsidRPr="00C47F2F" w:rsidRDefault="005C2848">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4B309A04" w14:textId="77777777" w:rsidR="005C2848" w:rsidRPr="00C47F2F" w:rsidRDefault="005C2848">
            <w:pPr>
              <w:jc w:val="center"/>
              <w:rPr>
                <w:rFonts w:eastAsia="Times New Roman"/>
                <w:noProof/>
                <w:color w:val="000000"/>
                <w:sz w:val="22"/>
                <w:szCs w:val="22"/>
              </w:rPr>
            </w:pPr>
          </w:p>
        </w:tc>
        <w:tc>
          <w:tcPr>
            <w:tcW w:w="486" w:type="pct"/>
            <w:tcBorders>
              <w:top w:val="single" w:sz="4" w:space="0" w:color="auto"/>
              <w:left w:val="nil"/>
              <w:bottom w:val="single" w:sz="4" w:space="0" w:color="auto"/>
              <w:right w:val="nil"/>
            </w:tcBorders>
            <w:vAlign w:val="center"/>
          </w:tcPr>
          <w:p w14:paraId="22916CA3" w14:textId="77777777" w:rsidR="005C2848" w:rsidRPr="00C47F2F" w:rsidRDefault="005C2848">
            <w:pPr>
              <w:jc w:val="center"/>
              <w:rPr>
                <w:rFonts w:eastAsia="Times New Roman"/>
                <w:noProof/>
                <w:color w:val="000000"/>
                <w:sz w:val="22"/>
                <w:szCs w:val="22"/>
              </w:rPr>
            </w:pPr>
          </w:p>
        </w:tc>
      </w:tr>
      <w:tr w:rsidR="005C2848" w:rsidRPr="00972C81" w14:paraId="22DE98F7" w14:textId="77777777" w:rsidTr="0019583E">
        <w:trPr>
          <w:trHeight w:val="283"/>
        </w:trPr>
        <w:tc>
          <w:tcPr>
            <w:tcW w:w="2087" w:type="pct"/>
            <w:tcBorders>
              <w:top w:val="single" w:sz="4" w:space="0" w:color="auto"/>
              <w:left w:val="nil"/>
              <w:bottom w:val="single" w:sz="4" w:space="0" w:color="auto"/>
              <w:right w:val="nil"/>
            </w:tcBorders>
            <w:vAlign w:val="center"/>
            <w:hideMark/>
          </w:tcPr>
          <w:p w14:paraId="12AEFD0C" w14:textId="77777777" w:rsidR="005C2848" w:rsidRPr="00C47F2F" w:rsidRDefault="005C2848" w:rsidP="0019583E">
            <w:pPr>
              <w:jc w:val="left"/>
              <w:rPr>
                <w:rFonts w:eastAsiaTheme="minorHAnsi"/>
                <w:noProof/>
                <w:sz w:val="22"/>
                <w:szCs w:val="22"/>
              </w:rPr>
            </w:pPr>
            <w:r w:rsidRPr="00C47F2F">
              <w:rPr>
                <w:noProof/>
                <w:sz w:val="22"/>
                <w:szCs w:val="22"/>
              </w:rPr>
              <w:t>All chemical forms</w:t>
            </w:r>
          </w:p>
        </w:tc>
        <w:tc>
          <w:tcPr>
            <w:tcW w:w="485" w:type="pct"/>
            <w:tcBorders>
              <w:top w:val="single" w:sz="4" w:space="0" w:color="auto"/>
              <w:left w:val="nil"/>
              <w:bottom w:val="single" w:sz="4" w:space="0" w:color="auto"/>
              <w:right w:val="nil"/>
            </w:tcBorders>
            <w:vAlign w:val="center"/>
            <w:hideMark/>
          </w:tcPr>
          <w:p w14:paraId="5E2E81EF"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4.3E-10</w:t>
            </w:r>
          </w:p>
        </w:tc>
        <w:tc>
          <w:tcPr>
            <w:tcW w:w="485" w:type="pct"/>
            <w:tcBorders>
              <w:top w:val="single" w:sz="4" w:space="0" w:color="auto"/>
              <w:left w:val="nil"/>
              <w:bottom w:val="single" w:sz="4" w:space="0" w:color="auto"/>
              <w:right w:val="nil"/>
            </w:tcBorders>
            <w:vAlign w:val="center"/>
            <w:hideMark/>
          </w:tcPr>
          <w:p w14:paraId="393BA017"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3.7E-10</w:t>
            </w:r>
          </w:p>
        </w:tc>
        <w:tc>
          <w:tcPr>
            <w:tcW w:w="485" w:type="pct"/>
            <w:tcBorders>
              <w:top w:val="single" w:sz="4" w:space="0" w:color="auto"/>
              <w:left w:val="nil"/>
              <w:bottom w:val="single" w:sz="4" w:space="0" w:color="auto"/>
              <w:right w:val="nil"/>
            </w:tcBorders>
            <w:vAlign w:val="center"/>
            <w:hideMark/>
          </w:tcPr>
          <w:p w14:paraId="3F796C45"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2.1E-10</w:t>
            </w:r>
          </w:p>
        </w:tc>
        <w:tc>
          <w:tcPr>
            <w:tcW w:w="485" w:type="pct"/>
            <w:tcBorders>
              <w:top w:val="single" w:sz="4" w:space="0" w:color="auto"/>
              <w:left w:val="nil"/>
              <w:bottom w:val="single" w:sz="4" w:space="0" w:color="auto"/>
              <w:right w:val="nil"/>
            </w:tcBorders>
            <w:vAlign w:val="center"/>
            <w:hideMark/>
          </w:tcPr>
          <w:p w14:paraId="303B6BB5"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1.6E-10</w:t>
            </w:r>
          </w:p>
        </w:tc>
        <w:tc>
          <w:tcPr>
            <w:tcW w:w="485" w:type="pct"/>
            <w:tcBorders>
              <w:top w:val="single" w:sz="4" w:space="0" w:color="auto"/>
              <w:left w:val="nil"/>
              <w:bottom w:val="single" w:sz="4" w:space="0" w:color="auto"/>
              <w:right w:val="nil"/>
            </w:tcBorders>
            <w:vAlign w:val="center"/>
            <w:hideMark/>
          </w:tcPr>
          <w:p w14:paraId="729FD405"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1.0E-10</w:t>
            </w:r>
          </w:p>
        </w:tc>
        <w:tc>
          <w:tcPr>
            <w:tcW w:w="486" w:type="pct"/>
            <w:tcBorders>
              <w:top w:val="single" w:sz="4" w:space="0" w:color="auto"/>
              <w:left w:val="nil"/>
              <w:bottom w:val="single" w:sz="4" w:space="0" w:color="auto"/>
              <w:right w:val="nil"/>
            </w:tcBorders>
            <w:vAlign w:val="center"/>
            <w:hideMark/>
          </w:tcPr>
          <w:p w14:paraId="7895B8C7" w14:textId="77777777" w:rsidR="005C2848" w:rsidRPr="00C47F2F" w:rsidRDefault="005C2848" w:rsidP="0019583E">
            <w:pPr>
              <w:jc w:val="left"/>
              <w:rPr>
                <w:rFonts w:eastAsia="Times New Roman"/>
                <w:noProof/>
                <w:color w:val="000000"/>
                <w:sz w:val="22"/>
                <w:szCs w:val="22"/>
              </w:rPr>
            </w:pPr>
            <w:r w:rsidRPr="00C47F2F">
              <w:rPr>
                <w:rFonts w:eastAsia="Times New Roman"/>
                <w:noProof/>
                <w:color w:val="000000"/>
                <w:sz w:val="22"/>
                <w:szCs w:val="22"/>
              </w:rPr>
              <w:t>8.5E-11</w:t>
            </w:r>
          </w:p>
        </w:tc>
      </w:tr>
    </w:tbl>
    <w:p w14:paraId="54B16238" w14:textId="4D365D68" w:rsidR="007D1F4D" w:rsidRPr="00972C81" w:rsidRDefault="00D62E76" w:rsidP="007A0A2C">
      <w:pPr>
        <w:pStyle w:val="1"/>
        <w:rPr>
          <w:noProof/>
        </w:rPr>
      </w:pPr>
      <w:r w:rsidRPr="00972C81">
        <w:rPr>
          <w:noProof/>
        </w:rPr>
        <w:br w:type="page"/>
      </w:r>
      <w:bookmarkStart w:id="312" w:name="_Toc455492663"/>
      <w:bookmarkStart w:id="313" w:name="_Toc455493092"/>
      <w:bookmarkStart w:id="314" w:name="_Toc162630103"/>
      <w:r w:rsidR="00DC407D" w:rsidRPr="00972C81">
        <w:rPr>
          <w:noProof/>
        </w:rPr>
        <w:lastRenderedPageBreak/>
        <w:t>Plutonium (Z=94)</w:t>
      </w:r>
      <w:bookmarkEnd w:id="312"/>
      <w:bookmarkEnd w:id="313"/>
      <w:bookmarkEnd w:id="314"/>
    </w:p>
    <w:p w14:paraId="2AEA3CE5" w14:textId="77B7FEA4" w:rsidR="00EB348A" w:rsidRPr="00972C81" w:rsidRDefault="00EB348A" w:rsidP="00E81109">
      <w:pPr>
        <w:pStyle w:val="2"/>
        <w:rPr>
          <w:noProof/>
          <w:lang w:val="en-GB"/>
        </w:rPr>
      </w:pPr>
      <w:bookmarkStart w:id="315" w:name="_Toc17467927"/>
      <w:bookmarkStart w:id="316" w:name="_Toc455492665"/>
      <w:bookmarkStart w:id="317" w:name="_Toc455493094"/>
      <w:bookmarkStart w:id="318" w:name="_Toc162630104"/>
      <w:bookmarkEnd w:id="315"/>
      <w:r w:rsidRPr="00972C81">
        <w:rPr>
          <w:noProof/>
          <w:lang w:val="en-GB"/>
        </w:rPr>
        <w:t>Routes of Intake</w:t>
      </w:r>
      <w:bookmarkEnd w:id="316"/>
      <w:bookmarkEnd w:id="317"/>
      <w:bookmarkEnd w:id="318"/>
    </w:p>
    <w:p w14:paraId="5E606FBE" w14:textId="4D969BA6" w:rsidR="00EB348A" w:rsidRPr="00972C81" w:rsidRDefault="00EB348A" w:rsidP="006F56F9">
      <w:pPr>
        <w:pStyle w:val="3"/>
        <w:rPr>
          <w:noProof/>
        </w:rPr>
      </w:pPr>
      <w:bookmarkStart w:id="319" w:name="_Toc162630105"/>
      <w:r w:rsidRPr="00972C81">
        <w:rPr>
          <w:noProof/>
        </w:rPr>
        <w:t>Inhalation</w:t>
      </w:r>
      <w:bookmarkEnd w:id="319"/>
    </w:p>
    <w:p w14:paraId="29CD74FF" w14:textId="38F01097" w:rsidR="00EB348A" w:rsidRPr="00972C81" w:rsidRDefault="00EB348A" w:rsidP="00E81109">
      <w:pPr>
        <w:pStyle w:val="Annalstext"/>
        <w:rPr>
          <w:noProof/>
        </w:rPr>
      </w:pPr>
      <w:r w:rsidRPr="00972C81">
        <w:rPr>
          <w:noProof/>
        </w:rPr>
        <w:t>There is extensive information available on the behaviour of plutonium after deposition in the respiratory tract from animal experiments (mainly in rats, dogs and baboons), in-vitro</w:t>
      </w:r>
      <w:r w:rsidRPr="00972C81">
        <w:rPr>
          <w:i/>
          <w:noProof/>
        </w:rPr>
        <w:t xml:space="preserve"> </w:t>
      </w:r>
      <w:r w:rsidRPr="00972C81">
        <w:rPr>
          <w:noProof/>
        </w:rPr>
        <w:t>dissolution studies, some accidental human intakes, and one human volunteer study</w:t>
      </w:r>
      <w:r w:rsidR="00A758BD" w:rsidRPr="00972C81">
        <w:rPr>
          <w:noProof/>
        </w:rPr>
        <w:t xml:space="preserve">. </w:t>
      </w:r>
      <w:r w:rsidR="009D78C5" w:rsidRPr="00972C81">
        <w:rPr>
          <w:noProof/>
        </w:rPr>
        <w:t xml:space="preserve">For details see Section 22 of </w:t>
      </w:r>
      <w:r w:rsidR="007A34D9" w:rsidRPr="00972C81">
        <w:rPr>
          <w:i/>
          <w:noProof/>
        </w:rPr>
        <w:t>Publication 141</w:t>
      </w:r>
      <w:r w:rsidR="007A34D9" w:rsidRPr="00972C81">
        <w:rPr>
          <w:noProof/>
        </w:rPr>
        <w:t xml:space="preserve"> </w:t>
      </w:r>
      <w:r w:rsidR="00E31258" w:rsidRPr="00972C81">
        <w:rPr>
          <w:noProof/>
        </w:rPr>
        <w:fldChar w:fldCharType="begin"/>
      </w:r>
      <w:r w:rsidR="00AD573C" w:rsidRPr="00972C81">
        <w:rPr>
          <w:noProof/>
        </w:rPr>
        <w:instrText xml:space="preserve"> ADDIN ZOTERO_ITEM CSL_CITATION {"citationID":"a265mebl1se","properties":{"formattedCitation":"(ICRP,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E31258" w:rsidRPr="00972C81">
        <w:rPr>
          <w:noProof/>
        </w:rPr>
        <w:fldChar w:fldCharType="separate"/>
      </w:r>
      <w:r w:rsidR="00AD573C" w:rsidRPr="00972C81">
        <w:rPr>
          <w:noProof/>
          <w:szCs w:val="24"/>
        </w:rPr>
        <w:t>(ICRP, 2019)</w:t>
      </w:r>
      <w:r w:rsidR="00E31258" w:rsidRPr="00972C81">
        <w:rPr>
          <w:noProof/>
        </w:rPr>
        <w:fldChar w:fldCharType="end"/>
      </w:r>
      <w:r w:rsidR="009D78C5" w:rsidRPr="00972C81">
        <w:rPr>
          <w:noProof/>
        </w:rPr>
        <w:t xml:space="preserve">. </w:t>
      </w:r>
      <w:r w:rsidRPr="00972C81">
        <w:rPr>
          <w:noProof/>
          <w:szCs w:val="24"/>
        </w:rPr>
        <w:t xml:space="preserve">Absorption parameter values and Types, and associated </w:t>
      </w:r>
      <w:r w:rsidRPr="00972C81">
        <w:rPr>
          <w:i/>
          <w:noProof/>
          <w:szCs w:val="24"/>
        </w:rPr>
        <w:t>f</w:t>
      </w:r>
      <w:r w:rsidRPr="00972C81">
        <w:rPr>
          <w:noProof/>
          <w:szCs w:val="24"/>
          <w:vertAlign w:val="subscript"/>
        </w:rPr>
        <w:t>A</w:t>
      </w:r>
      <w:r w:rsidRPr="00972C81">
        <w:rPr>
          <w:noProof/>
          <w:szCs w:val="24"/>
        </w:rPr>
        <w:t xml:space="preserve"> values for particulate forms of plutonium are given in </w:t>
      </w:r>
      <w:r w:rsidR="00E31258" w:rsidRPr="00972C81">
        <w:rPr>
          <w:noProof/>
          <w:szCs w:val="24"/>
        </w:rPr>
        <w:fldChar w:fldCharType="begin"/>
      </w:r>
      <w:r w:rsidR="00E31258" w:rsidRPr="00972C81">
        <w:rPr>
          <w:noProof/>
          <w:szCs w:val="24"/>
        </w:rPr>
        <w:instrText xml:space="preserve"> REF _Ref143677824 \h </w:instrText>
      </w:r>
      <w:r w:rsidR="00E31258" w:rsidRPr="00972C81">
        <w:rPr>
          <w:noProof/>
          <w:szCs w:val="24"/>
        </w:rPr>
      </w:r>
      <w:r w:rsidR="00E31258" w:rsidRPr="00972C81">
        <w:rPr>
          <w:noProof/>
          <w:szCs w:val="24"/>
        </w:rPr>
        <w:fldChar w:fldCharType="separate"/>
      </w:r>
      <w:r w:rsidR="00A41AD1" w:rsidRPr="00972C81">
        <w:rPr>
          <w:noProof/>
        </w:rPr>
        <w:t xml:space="preserve">Table </w:t>
      </w:r>
      <w:r w:rsidR="00A41AD1">
        <w:rPr>
          <w:noProof/>
        </w:rPr>
        <w:t>22</w:t>
      </w:r>
      <w:r w:rsidR="00A41AD1" w:rsidRPr="00972C81">
        <w:rPr>
          <w:noProof/>
        </w:rPr>
        <w:t>.</w:t>
      </w:r>
      <w:r w:rsidR="00A41AD1">
        <w:rPr>
          <w:noProof/>
        </w:rPr>
        <w:t>1</w:t>
      </w:r>
      <w:r w:rsidR="00E31258" w:rsidRPr="00972C81">
        <w:rPr>
          <w:noProof/>
          <w:szCs w:val="24"/>
        </w:rPr>
        <w:fldChar w:fldCharType="end"/>
      </w:r>
      <w:r w:rsidR="00E31258" w:rsidRPr="00972C81">
        <w:rPr>
          <w:noProof/>
          <w:szCs w:val="24"/>
        </w:rPr>
        <w:t xml:space="preserve"> </w:t>
      </w:r>
      <w:r w:rsidR="006C29E4" w:rsidRPr="00972C81">
        <w:rPr>
          <w:noProof/>
          <w:szCs w:val="24"/>
        </w:rPr>
        <w:t xml:space="preserve">(taken from Section 22 of </w:t>
      </w:r>
      <w:r w:rsidR="007A34D9" w:rsidRPr="00972C81">
        <w:rPr>
          <w:i/>
          <w:noProof/>
        </w:rPr>
        <w:t>Publication 141</w:t>
      </w:r>
      <w:r w:rsidR="007A34D9" w:rsidRPr="00972C81">
        <w:rPr>
          <w:noProof/>
        </w:rPr>
        <w:t>).</w:t>
      </w:r>
    </w:p>
    <w:p w14:paraId="4A0E2C4F" w14:textId="77777777" w:rsidR="00B94D04" w:rsidRPr="00972C81" w:rsidRDefault="00B94D04" w:rsidP="00E81109">
      <w:pPr>
        <w:rPr>
          <w:rFonts w:ascii="Times Roman" w:hAnsi="Times Roman"/>
          <w:noProof/>
        </w:rPr>
      </w:pPr>
    </w:p>
    <w:p w14:paraId="1CC6AC17" w14:textId="69BACF03" w:rsidR="00B94D04" w:rsidRPr="00C47F2F" w:rsidRDefault="00E31258" w:rsidP="00E81109">
      <w:pPr>
        <w:pStyle w:val="ab"/>
        <w:rPr>
          <w:b/>
          <w:noProof/>
          <w:sz w:val="24"/>
          <w:szCs w:val="24"/>
        </w:rPr>
      </w:pPr>
      <w:bookmarkStart w:id="320" w:name="_Ref143677824"/>
      <w:bookmarkStart w:id="321" w:name="OLE_LINK1"/>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22</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1</w:t>
      </w:r>
      <w:r w:rsidR="00EA3750" w:rsidRPr="00C47F2F">
        <w:rPr>
          <w:noProof/>
          <w:sz w:val="24"/>
          <w:szCs w:val="24"/>
        </w:rPr>
        <w:fldChar w:fldCharType="end"/>
      </w:r>
      <w:bookmarkEnd w:id="320"/>
      <w:r w:rsidRPr="00C47F2F">
        <w:rPr>
          <w:noProof/>
          <w:sz w:val="24"/>
          <w:szCs w:val="24"/>
        </w:rPr>
        <w:t>.</w:t>
      </w:r>
      <w:r w:rsidR="00B94D04" w:rsidRPr="00C47F2F">
        <w:rPr>
          <w:noProof/>
          <w:sz w:val="24"/>
          <w:szCs w:val="24"/>
        </w:rPr>
        <w:t xml:space="preserve"> Absorption parameter values for inhaled and ingested plutonium</w:t>
      </w:r>
      <w:bookmarkEnd w:id="321"/>
      <w:r w:rsidR="00B94D04" w:rsidRPr="00C47F2F">
        <w:rPr>
          <w:noProof/>
          <w:sz w:val="24"/>
          <w:szCs w:val="24"/>
        </w:rPr>
        <w:t>.</w:t>
      </w:r>
    </w:p>
    <w:tbl>
      <w:tblPr>
        <w:tblW w:w="9317"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843"/>
        <w:gridCol w:w="927"/>
        <w:gridCol w:w="1199"/>
        <w:gridCol w:w="668"/>
        <w:gridCol w:w="324"/>
        <w:gridCol w:w="576"/>
        <w:gridCol w:w="700"/>
        <w:gridCol w:w="200"/>
        <w:gridCol w:w="934"/>
        <w:gridCol w:w="176"/>
        <w:gridCol w:w="816"/>
        <w:gridCol w:w="954"/>
      </w:tblGrid>
      <w:tr w:rsidR="00B94D04" w:rsidRPr="00972C81" w14:paraId="2C6DA54D" w14:textId="77777777" w:rsidTr="0021254F">
        <w:trPr>
          <w:cantSplit/>
          <w:trHeight w:val="340"/>
        </w:trPr>
        <w:tc>
          <w:tcPr>
            <w:tcW w:w="4637" w:type="dxa"/>
            <w:gridSpan w:val="4"/>
            <w:vMerge w:val="restart"/>
            <w:vAlign w:val="bottom"/>
          </w:tcPr>
          <w:p w14:paraId="0CC4BC96" w14:textId="77777777" w:rsidR="00B94D04" w:rsidRPr="001A0F7C" w:rsidRDefault="00B94D04" w:rsidP="00E81109">
            <w:pPr>
              <w:pStyle w:val="Table"/>
              <w:rPr>
                <w:noProof/>
                <w:szCs w:val="22"/>
              </w:rPr>
            </w:pPr>
            <w:r w:rsidRPr="001A0F7C">
              <w:rPr>
                <w:noProof/>
                <w:szCs w:val="22"/>
              </w:rPr>
              <w:t>Inhaled particulate materials</w:t>
            </w:r>
          </w:p>
        </w:tc>
        <w:tc>
          <w:tcPr>
            <w:tcW w:w="2910" w:type="dxa"/>
            <w:gridSpan w:val="6"/>
            <w:vAlign w:val="center"/>
          </w:tcPr>
          <w:p w14:paraId="72836BE1" w14:textId="1F4E8DAB" w:rsidR="00B94D04" w:rsidRPr="001A0F7C" w:rsidRDefault="00B94D04" w:rsidP="00093286">
            <w:pPr>
              <w:pStyle w:val="Table"/>
              <w:jc w:val="center"/>
              <w:rPr>
                <w:noProof/>
                <w:szCs w:val="22"/>
                <w:vertAlign w:val="superscript"/>
              </w:rPr>
            </w:pPr>
            <w:r w:rsidRPr="001A0F7C">
              <w:rPr>
                <w:noProof/>
                <w:szCs w:val="22"/>
              </w:rPr>
              <w:t>Absorption parameter values</w:t>
            </w:r>
            <w:r w:rsidR="00E31258" w:rsidRPr="001A0F7C">
              <w:rPr>
                <w:noProof/>
                <w:szCs w:val="22"/>
                <w:vertAlign w:val="superscript"/>
              </w:rPr>
              <w:t>*</w:t>
            </w:r>
          </w:p>
        </w:tc>
        <w:tc>
          <w:tcPr>
            <w:tcW w:w="1770" w:type="dxa"/>
            <w:gridSpan w:val="2"/>
            <w:vMerge w:val="restart"/>
            <w:vAlign w:val="center"/>
          </w:tcPr>
          <w:p w14:paraId="36CE8914" w14:textId="2597BC13" w:rsidR="00B94D04" w:rsidRPr="001A0F7C" w:rsidRDefault="00B94D04" w:rsidP="00093286">
            <w:pPr>
              <w:pStyle w:val="Table"/>
              <w:rPr>
                <w:noProof/>
                <w:szCs w:val="22"/>
                <w:vertAlign w:val="superscript"/>
              </w:rPr>
            </w:pPr>
            <w:r w:rsidRPr="001A0F7C">
              <w:rPr>
                <w:noProof/>
                <w:szCs w:val="22"/>
              </w:rPr>
              <w:t xml:space="preserve">Absorption from the alimentary tract, </w:t>
            </w:r>
            <w:r w:rsidRPr="001A0F7C">
              <w:rPr>
                <w:i/>
                <w:noProof/>
                <w:szCs w:val="22"/>
              </w:rPr>
              <w:t>f</w:t>
            </w:r>
            <w:r w:rsidRPr="001A0F7C">
              <w:rPr>
                <w:noProof/>
                <w:szCs w:val="22"/>
                <w:vertAlign w:val="subscript"/>
              </w:rPr>
              <w:t>A</w:t>
            </w:r>
            <w:r w:rsidR="002A302F" w:rsidRPr="001A0F7C">
              <w:rPr>
                <w:noProof/>
                <w:szCs w:val="22"/>
                <w:vertAlign w:val="superscript"/>
              </w:rPr>
              <w:t>**</w:t>
            </w:r>
          </w:p>
        </w:tc>
      </w:tr>
      <w:tr w:rsidR="00B94D04" w:rsidRPr="00972C81" w14:paraId="62CC77B5" w14:textId="77777777" w:rsidTr="0021254F">
        <w:trPr>
          <w:cantSplit/>
          <w:trHeight w:val="340"/>
        </w:trPr>
        <w:tc>
          <w:tcPr>
            <w:tcW w:w="4637" w:type="dxa"/>
            <w:gridSpan w:val="4"/>
            <w:vMerge/>
            <w:tcBorders>
              <w:bottom w:val="single" w:sz="4" w:space="0" w:color="auto"/>
            </w:tcBorders>
            <w:vAlign w:val="bottom"/>
          </w:tcPr>
          <w:p w14:paraId="056B3712" w14:textId="77777777" w:rsidR="00B94D04" w:rsidRPr="001A0F7C" w:rsidRDefault="00B94D04" w:rsidP="00E81109">
            <w:pPr>
              <w:pStyle w:val="Table"/>
              <w:rPr>
                <w:noProof/>
                <w:color w:val="000000" w:themeColor="text1"/>
                <w:szCs w:val="22"/>
              </w:rPr>
            </w:pPr>
          </w:p>
        </w:tc>
        <w:tc>
          <w:tcPr>
            <w:tcW w:w="900" w:type="dxa"/>
            <w:gridSpan w:val="2"/>
            <w:tcBorders>
              <w:bottom w:val="single" w:sz="4" w:space="0" w:color="auto"/>
            </w:tcBorders>
            <w:vAlign w:val="center"/>
          </w:tcPr>
          <w:p w14:paraId="7D2C5493" w14:textId="77777777" w:rsidR="00B94D04" w:rsidRPr="001A0F7C" w:rsidRDefault="00B94D04" w:rsidP="00093286">
            <w:pPr>
              <w:pStyle w:val="Table"/>
              <w:rPr>
                <w:noProof/>
                <w:color w:val="000000" w:themeColor="text1"/>
                <w:szCs w:val="22"/>
              </w:rPr>
            </w:pPr>
            <w:r w:rsidRPr="001A0F7C">
              <w:rPr>
                <w:i/>
                <w:noProof/>
                <w:color w:val="000000" w:themeColor="text1"/>
                <w:szCs w:val="22"/>
              </w:rPr>
              <w:t>f</w:t>
            </w:r>
            <w:r w:rsidRPr="001A0F7C">
              <w:rPr>
                <w:noProof/>
                <w:color w:val="000000" w:themeColor="text1"/>
                <w:szCs w:val="22"/>
                <w:vertAlign w:val="subscript"/>
              </w:rPr>
              <w:t>r</w:t>
            </w:r>
          </w:p>
        </w:tc>
        <w:tc>
          <w:tcPr>
            <w:tcW w:w="900" w:type="dxa"/>
            <w:gridSpan w:val="2"/>
            <w:tcBorders>
              <w:bottom w:val="single" w:sz="4" w:space="0" w:color="auto"/>
            </w:tcBorders>
            <w:vAlign w:val="center"/>
          </w:tcPr>
          <w:p w14:paraId="28B57D98" w14:textId="77777777" w:rsidR="00B94D04" w:rsidRPr="001A0F7C" w:rsidRDefault="00B94D04" w:rsidP="00093286">
            <w:pPr>
              <w:pStyle w:val="Table"/>
              <w:rPr>
                <w:noProof/>
                <w:color w:val="000000" w:themeColor="text1"/>
                <w:szCs w:val="22"/>
              </w:rPr>
            </w:pPr>
            <w:r w:rsidRPr="001A0F7C">
              <w:rPr>
                <w:i/>
                <w:noProof/>
                <w:color w:val="000000" w:themeColor="text1"/>
                <w:szCs w:val="22"/>
              </w:rPr>
              <w:t>s</w:t>
            </w:r>
            <w:r w:rsidRPr="001A0F7C">
              <w:rPr>
                <w:noProof/>
                <w:color w:val="000000" w:themeColor="text1"/>
                <w:szCs w:val="22"/>
                <w:vertAlign w:val="subscript"/>
              </w:rPr>
              <w:t>r</w:t>
            </w:r>
            <w:r w:rsidRPr="001A0F7C">
              <w:rPr>
                <w:noProof/>
                <w:color w:val="000000" w:themeColor="text1"/>
                <w:szCs w:val="22"/>
              </w:rPr>
              <w:t xml:space="preserve"> (d</w:t>
            </w:r>
            <w:r w:rsidRPr="001A0F7C">
              <w:rPr>
                <w:noProof/>
                <w:color w:val="000000" w:themeColor="text1"/>
                <w:szCs w:val="22"/>
                <w:vertAlign w:val="superscript"/>
              </w:rPr>
              <w:t>–1</w:t>
            </w:r>
            <w:r w:rsidRPr="001A0F7C">
              <w:rPr>
                <w:noProof/>
                <w:color w:val="000000" w:themeColor="text1"/>
                <w:szCs w:val="22"/>
              </w:rPr>
              <w:t>)</w:t>
            </w:r>
          </w:p>
        </w:tc>
        <w:tc>
          <w:tcPr>
            <w:tcW w:w="1110" w:type="dxa"/>
            <w:gridSpan w:val="2"/>
            <w:tcBorders>
              <w:bottom w:val="single" w:sz="4" w:space="0" w:color="auto"/>
            </w:tcBorders>
            <w:vAlign w:val="center"/>
          </w:tcPr>
          <w:p w14:paraId="55A0032A" w14:textId="77777777" w:rsidR="00B94D04" w:rsidRPr="001A0F7C" w:rsidRDefault="00B94D04" w:rsidP="00093286">
            <w:pPr>
              <w:pStyle w:val="Table"/>
              <w:rPr>
                <w:noProof/>
                <w:color w:val="000000" w:themeColor="text1"/>
                <w:szCs w:val="22"/>
              </w:rPr>
            </w:pPr>
            <w:r w:rsidRPr="001A0F7C">
              <w:rPr>
                <w:i/>
                <w:noProof/>
                <w:color w:val="000000" w:themeColor="text1"/>
                <w:szCs w:val="22"/>
              </w:rPr>
              <w:t>s</w:t>
            </w:r>
            <w:r w:rsidRPr="001A0F7C">
              <w:rPr>
                <w:noProof/>
                <w:color w:val="000000" w:themeColor="text1"/>
                <w:szCs w:val="22"/>
                <w:vertAlign w:val="subscript"/>
              </w:rPr>
              <w:t>s</w:t>
            </w:r>
            <w:r w:rsidRPr="001A0F7C">
              <w:rPr>
                <w:noProof/>
                <w:color w:val="000000" w:themeColor="text1"/>
                <w:szCs w:val="22"/>
              </w:rPr>
              <w:t xml:space="preserve"> (d</w:t>
            </w:r>
            <w:r w:rsidRPr="001A0F7C">
              <w:rPr>
                <w:noProof/>
                <w:color w:val="000000" w:themeColor="text1"/>
                <w:szCs w:val="22"/>
                <w:vertAlign w:val="superscript"/>
              </w:rPr>
              <w:t>–1</w:t>
            </w:r>
            <w:r w:rsidRPr="001A0F7C">
              <w:rPr>
                <w:noProof/>
                <w:color w:val="000000" w:themeColor="text1"/>
                <w:szCs w:val="22"/>
              </w:rPr>
              <w:t>)</w:t>
            </w:r>
          </w:p>
        </w:tc>
        <w:tc>
          <w:tcPr>
            <w:tcW w:w="1770" w:type="dxa"/>
            <w:gridSpan w:val="2"/>
            <w:vMerge/>
            <w:tcBorders>
              <w:bottom w:val="single" w:sz="4" w:space="0" w:color="auto"/>
            </w:tcBorders>
            <w:vAlign w:val="bottom"/>
          </w:tcPr>
          <w:p w14:paraId="76A63F04" w14:textId="77777777" w:rsidR="00B94D04" w:rsidRPr="001A0F7C" w:rsidRDefault="00B94D04" w:rsidP="00E81109">
            <w:pPr>
              <w:pStyle w:val="Table"/>
              <w:rPr>
                <w:noProof/>
                <w:color w:val="000000" w:themeColor="text1"/>
                <w:szCs w:val="22"/>
              </w:rPr>
            </w:pPr>
          </w:p>
        </w:tc>
      </w:tr>
      <w:tr w:rsidR="00B94D04" w:rsidRPr="00972C81" w14:paraId="27686D5E" w14:textId="77777777" w:rsidTr="0021254F">
        <w:trPr>
          <w:trHeight w:val="340"/>
        </w:trPr>
        <w:tc>
          <w:tcPr>
            <w:tcW w:w="4637" w:type="dxa"/>
            <w:gridSpan w:val="4"/>
            <w:tcBorders>
              <w:bottom w:val="nil"/>
            </w:tcBorders>
          </w:tcPr>
          <w:p w14:paraId="59195350" w14:textId="0E327EFF" w:rsidR="00B94D04" w:rsidRPr="001A0F7C" w:rsidRDefault="00B94D04" w:rsidP="00093286">
            <w:pPr>
              <w:pStyle w:val="Table"/>
              <w:rPr>
                <w:noProof/>
                <w:color w:val="000000" w:themeColor="text1"/>
                <w:szCs w:val="22"/>
              </w:rPr>
            </w:pPr>
            <w:r w:rsidRPr="001A0F7C">
              <w:rPr>
                <w:noProof/>
                <w:color w:val="000000" w:themeColor="text1"/>
                <w:szCs w:val="22"/>
              </w:rPr>
              <w:t>Specific parameter values</w:t>
            </w:r>
            <w:r w:rsidR="00E31258" w:rsidRPr="001A0F7C">
              <w:rPr>
                <w:noProof/>
                <w:color w:val="000000" w:themeColor="text1"/>
                <w:szCs w:val="22"/>
                <w:vertAlign w:val="superscript"/>
              </w:rPr>
              <w:t>†</w:t>
            </w:r>
          </w:p>
        </w:tc>
        <w:tc>
          <w:tcPr>
            <w:tcW w:w="900" w:type="dxa"/>
            <w:gridSpan w:val="2"/>
            <w:tcBorders>
              <w:bottom w:val="nil"/>
            </w:tcBorders>
          </w:tcPr>
          <w:p w14:paraId="3B9E07DE" w14:textId="77777777" w:rsidR="00B94D04" w:rsidRPr="001A0F7C" w:rsidRDefault="00B94D04" w:rsidP="00093286">
            <w:pPr>
              <w:pStyle w:val="Table"/>
              <w:rPr>
                <w:noProof/>
                <w:color w:val="000000" w:themeColor="text1"/>
                <w:szCs w:val="22"/>
              </w:rPr>
            </w:pPr>
          </w:p>
        </w:tc>
        <w:tc>
          <w:tcPr>
            <w:tcW w:w="900" w:type="dxa"/>
            <w:gridSpan w:val="2"/>
            <w:tcBorders>
              <w:bottom w:val="nil"/>
            </w:tcBorders>
          </w:tcPr>
          <w:p w14:paraId="38A0A764" w14:textId="77777777" w:rsidR="00B94D04" w:rsidRPr="001A0F7C" w:rsidRDefault="00B94D04" w:rsidP="00093286">
            <w:pPr>
              <w:pStyle w:val="Table"/>
              <w:rPr>
                <w:noProof/>
                <w:color w:val="000000" w:themeColor="text1"/>
                <w:szCs w:val="22"/>
              </w:rPr>
            </w:pPr>
          </w:p>
        </w:tc>
        <w:tc>
          <w:tcPr>
            <w:tcW w:w="1110" w:type="dxa"/>
            <w:gridSpan w:val="2"/>
            <w:tcBorders>
              <w:bottom w:val="nil"/>
            </w:tcBorders>
          </w:tcPr>
          <w:p w14:paraId="064275B5" w14:textId="77777777" w:rsidR="00B94D04" w:rsidRPr="001A0F7C" w:rsidRDefault="00B94D04" w:rsidP="00093286">
            <w:pPr>
              <w:pStyle w:val="Table"/>
              <w:rPr>
                <w:noProof/>
                <w:color w:val="000000" w:themeColor="text1"/>
                <w:szCs w:val="22"/>
              </w:rPr>
            </w:pPr>
          </w:p>
        </w:tc>
        <w:tc>
          <w:tcPr>
            <w:tcW w:w="1770" w:type="dxa"/>
            <w:gridSpan w:val="2"/>
            <w:tcBorders>
              <w:bottom w:val="nil"/>
            </w:tcBorders>
          </w:tcPr>
          <w:p w14:paraId="3EAA5415" w14:textId="77777777" w:rsidR="00B94D04" w:rsidRPr="001A0F7C" w:rsidRDefault="00B94D04" w:rsidP="00093286">
            <w:pPr>
              <w:pStyle w:val="Table"/>
              <w:rPr>
                <w:noProof/>
                <w:color w:val="000000" w:themeColor="text1"/>
                <w:szCs w:val="22"/>
              </w:rPr>
            </w:pPr>
          </w:p>
        </w:tc>
      </w:tr>
      <w:tr w:rsidR="00B94D04" w:rsidRPr="00972C81" w14:paraId="0EE6518D" w14:textId="77777777" w:rsidTr="0021254F">
        <w:trPr>
          <w:trHeight w:val="340"/>
        </w:trPr>
        <w:tc>
          <w:tcPr>
            <w:tcW w:w="4637" w:type="dxa"/>
            <w:gridSpan w:val="4"/>
            <w:tcBorders>
              <w:top w:val="nil"/>
              <w:bottom w:val="nil"/>
            </w:tcBorders>
          </w:tcPr>
          <w:p w14:paraId="6C386A6A" w14:textId="77777777" w:rsidR="00B94D04" w:rsidRPr="001A0F7C" w:rsidRDefault="00B94D04" w:rsidP="00093286">
            <w:pPr>
              <w:pStyle w:val="Table"/>
              <w:rPr>
                <w:noProof/>
                <w:color w:val="000000" w:themeColor="text1"/>
                <w:szCs w:val="22"/>
              </w:rPr>
            </w:pPr>
            <w:r w:rsidRPr="001A0F7C">
              <w:rPr>
                <w:noProof/>
                <w:color w:val="000000" w:themeColor="text1"/>
                <w:szCs w:val="22"/>
              </w:rPr>
              <w:t>Plutonium nitrate, Pu(NO</w:t>
            </w:r>
            <w:r w:rsidRPr="001A0F7C">
              <w:rPr>
                <w:noProof/>
                <w:color w:val="000000" w:themeColor="text1"/>
                <w:szCs w:val="22"/>
                <w:vertAlign w:val="subscript"/>
              </w:rPr>
              <w:t>3</w:t>
            </w:r>
            <w:r w:rsidRPr="001A0F7C">
              <w:rPr>
                <w:noProof/>
                <w:color w:val="000000" w:themeColor="text1"/>
                <w:szCs w:val="22"/>
              </w:rPr>
              <w:t>)</w:t>
            </w:r>
            <w:r w:rsidRPr="001A0F7C">
              <w:rPr>
                <w:noProof/>
                <w:color w:val="000000" w:themeColor="text1"/>
                <w:szCs w:val="22"/>
                <w:vertAlign w:val="subscript"/>
              </w:rPr>
              <w:t>4</w:t>
            </w:r>
          </w:p>
        </w:tc>
        <w:tc>
          <w:tcPr>
            <w:tcW w:w="900" w:type="dxa"/>
            <w:gridSpan w:val="2"/>
            <w:tcBorders>
              <w:top w:val="nil"/>
              <w:bottom w:val="nil"/>
            </w:tcBorders>
          </w:tcPr>
          <w:p w14:paraId="4B575859" w14:textId="77777777" w:rsidR="00B94D04" w:rsidRPr="001A0F7C" w:rsidRDefault="00B94D04" w:rsidP="00093286">
            <w:pPr>
              <w:pStyle w:val="Table"/>
              <w:rPr>
                <w:noProof/>
                <w:color w:val="000000" w:themeColor="text1"/>
                <w:szCs w:val="22"/>
              </w:rPr>
            </w:pPr>
            <w:r w:rsidRPr="001A0F7C">
              <w:rPr>
                <w:noProof/>
                <w:color w:val="000000" w:themeColor="text1"/>
                <w:szCs w:val="22"/>
              </w:rPr>
              <w:t>0.2</w:t>
            </w:r>
          </w:p>
        </w:tc>
        <w:tc>
          <w:tcPr>
            <w:tcW w:w="900" w:type="dxa"/>
            <w:gridSpan w:val="2"/>
            <w:tcBorders>
              <w:top w:val="nil"/>
              <w:bottom w:val="nil"/>
            </w:tcBorders>
          </w:tcPr>
          <w:p w14:paraId="70E52146" w14:textId="77777777" w:rsidR="00B94D04" w:rsidRPr="001A0F7C" w:rsidRDefault="00B94D04" w:rsidP="00093286">
            <w:pPr>
              <w:pStyle w:val="Table"/>
              <w:rPr>
                <w:noProof/>
                <w:color w:val="000000" w:themeColor="text1"/>
                <w:szCs w:val="22"/>
              </w:rPr>
            </w:pPr>
            <w:r w:rsidRPr="001A0F7C">
              <w:rPr>
                <w:noProof/>
                <w:color w:val="000000" w:themeColor="text1"/>
                <w:szCs w:val="22"/>
              </w:rPr>
              <w:t>0.4</w:t>
            </w:r>
          </w:p>
        </w:tc>
        <w:tc>
          <w:tcPr>
            <w:tcW w:w="1110" w:type="dxa"/>
            <w:gridSpan w:val="2"/>
            <w:tcBorders>
              <w:top w:val="nil"/>
              <w:bottom w:val="nil"/>
            </w:tcBorders>
          </w:tcPr>
          <w:p w14:paraId="213A7D8E" w14:textId="77777777" w:rsidR="00B94D04" w:rsidRPr="001A0F7C" w:rsidRDefault="00B94D04" w:rsidP="00093286">
            <w:pPr>
              <w:pStyle w:val="Table"/>
              <w:rPr>
                <w:noProof/>
                <w:color w:val="000000" w:themeColor="text1"/>
                <w:szCs w:val="22"/>
              </w:rPr>
            </w:pPr>
            <w:r w:rsidRPr="001A0F7C">
              <w:rPr>
                <w:noProof/>
                <w:color w:val="000000" w:themeColor="text1"/>
                <w:szCs w:val="22"/>
              </w:rPr>
              <w:t>0.002</w:t>
            </w:r>
          </w:p>
        </w:tc>
        <w:tc>
          <w:tcPr>
            <w:tcW w:w="1770" w:type="dxa"/>
            <w:gridSpan w:val="2"/>
            <w:tcBorders>
              <w:top w:val="nil"/>
              <w:bottom w:val="nil"/>
            </w:tcBorders>
          </w:tcPr>
          <w:p w14:paraId="5BEF85A1" w14:textId="77777777" w:rsidR="00B94D04" w:rsidRPr="001A0F7C" w:rsidRDefault="00B94D04" w:rsidP="00093286">
            <w:pPr>
              <w:pStyle w:val="Table"/>
              <w:rPr>
                <w:noProof/>
                <w:color w:val="000000" w:themeColor="text1"/>
                <w:szCs w:val="22"/>
              </w:rPr>
            </w:pPr>
            <w:r w:rsidRPr="001A0F7C">
              <w:rPr>
                <w:noProof/>
                <w:color w:val="000000" w:themeColor="text1"/>
                <w:szCs w:val="22"/>
              </w:rPr>
              <w:t>1 × 10</w:t>
            </w:r>
            <w:r w:rsidRPr="001A0F7C">
              <w:rPr>
                <w:noProof/>
                <w:color w:val="000000" w:themeColor="text1"/>
                <w:szCs w:val="22"/>
                <w:vertAlign w:val="superscript"/>
              </w:rPr>
              <w:t>-4</w:t>
            </w:r>
          </w:p>
        </w:tc>
      </w:tr>
      <w:tr w:rsidR="00B94D04" w:rsidRPr="00972C81" w14:paraId="37E2F045" w14:textId="77777777" w:rsidTr="0021254F">
        <w:trPr>
          <w:trHeight w:val="340"/>
        </w:trPr>
        <w:tc>
          <w:tcPr>
            <w:tcW w:w="4637" w:type="dxa"/>
            <w:gridSpan w:val="4"/>
            <w:tcBorders>
              <w:top w:val="nil"/>
              <w:bottom w:val="nil"/>
            </w:tcBorders>
          </w:tcPr>
          <w:p w14:paraId="34D33C74" w14:textId="1ED6EAE4" w:rsidR="00B94D04" w:rsidRPr="001A0F7C" w:rsidRDefault="00B94D04" w:rsidP="00093286">
            <w:pPr>
              <w:pStyle w:val="Table"/>
              <w:rPr>
                <w:noProof/>
                <w:color w:val="000000" w:themeColor="text1"/>
                <w:szCs w:val="22"/>
              </w:rPr>
            </w:pPr>
          </w:p>
        </w:tc>
        <w:tc>
          <w:tcPr>
            <w:tcW w:w="900" w:type="dxa"/>
            <w:gridSpan w:val="2"/>
            <w:tcBorders>
              <w:top w:val="nil"/>
              <w:bottom w:val="nil"/>
            </w:tcBorders>
          </w:tcPr>
          <w:p w14:paraId="26C30AC1" w14:textId="35FDEF24" w:rsidR="00B94D04" w:rsidRPr="001A0F7C" w:rsidRDefault="00B94D04" w:rsidP="00093286">
            <w:pPr>
              <w:pStyle w:val="Table"/>
              <w:rPr>
                <w:noProof/>
                <w:color w:val="000000" w:themeColor="text1"/>
                <w:szCs w:val="22"/>
              </w:rPr>
            </w:pPr>
          </w:p>
        </w:tc>
        <w:tc>
          <w:tcPr>
            <w:tcW w:w="900" w:type="dxa"/>
            <w:gridSpan w:val="2"/>
            <w:tcBorders>
              <w:top w:val="nil"/>
              <w:bottom w:val="nil"/>
            </w:tcBorders>
          </w:tcPr>
          <w:p w14:paraId="23805513" w14:textId="69CC0866" w:rsidR="00B94D04" w:rsidRPr="001A0F7C" w:rsidRDefault="00B94D04" w:rsidP="00093286">
            <w:pPr>
              <w:pStyle w:val="Table"/>
              <w:rPr>
                <w:noProof/>
                <w:color w:val="000000" w:themeColor="text1"/>
                <w:szCs w:val="22"/>
              </w:rPr>
            </w:pPr>
          </w:p>
        </w:tc>
        <w:tc>
          <w:tcPr>
            <w:tcW w:w="1110" w:type="dxa"/>
            <w:gridSpan w:val="2"/>
            <w:tcBorders>
              <w:top w:val="nil"/>
              <w:bottom w:val="nil"/>
            </w:tcBorders>
          </w:tcPr>
          <w:p w14:paraId="0D4C6DE8" w14:textId="536B2677" w:rsidR="00B94D04" w:rsidRPr="001A0F7C" w:rsidRDefault="00B94D04" w:rsidP="00093286">
            <w:pPr>
              <w:pStyle w:val="Table"/>
              <w:rPr>
                <w:noProof/>
                <w:color w:val="000000" w:themeColor="text1"/>
                <w:szCs w:val="22"/>
              </w:rPr>
            </w:pPr>
          </w:p>
        </w:tc>
        <w:tc>
          <w:tcPr>
            <w:tcW w:w="1770" w:type="dxa"/>
            <w:gridSpan w:val="2"/>
            <w:tcBorders>
              <w:top w:val="nil"/>
              <w:bottom w:val="nil"/>
            </w:tcBorders>
          </w:tcPr>
          <w:p w14:paraId="48211301" w14:textId="7AFE636F" w:rsidR="00B94D04" w:rsidRPr="001A0F7C" w:rsidRDefault="00B94D04" w:rsidP="00093286">
            <w:pPr>
              <w:pStyle w:val="Table"/>
              <w:rPr>
                <w:noProof/>
                <w:color w:val="000000" w:themeColor="text1"/>
                <w:szCs w:val="22"/>
              </w:rPr>
            </w:pPr>
          </w:p>
        </w:tc>
      </w:tr>
      <w:tr w:rsidR="00B94D04" w:rsidRPr="00972C81" w14:paraId="37A8AF04" w14:textId="77777777" w:rsidTr="0021254F">
        <w:trPr>
          <w:trHeight w:val="340"/>
        </w:trPr>
        <w:tc>
          <w:tcPr>
            <w:tcW w:w="4637" w:type="dxa"/>
            <w:gridSpan w:val="4"/>
            <w:tcBorders>
              <w:top w:val="nil"/>
              <w:bottom w:val="nil"/>
            </w:tcBorders>
          </w:tcPr>
          <w:p w14:paraId="182857EB" w14:textId="34CA4C6A" w:rsidR="00B94D04" w:rsidRPr="001A0F7C" w:rsidRDefault="002A302F" w:rsidP="00093286">
            <w:pPr>
              <w:pStyle w:val="Table"/>
              <w:rPr>
                <w:noProof/>
                <w:color w:val="000000" w:themeColor="text1"/>
                <w:szCs w:val="22"/>
              </w:rPr>
            </w:pPr>
            <w:r w:rsidRPr="001A0F7C">
              <w:rPr>
                <w:noProof/>
                <w:color w:val="000000" w:themeColor="text1"/>
                <w:szCs w:val="22"/>
                <w:vertAlign w:val="superscript"/>
              </w:rPr>
              <w:t>239</w:t>
            </w:r>
            <w:r w:rsidRPr="001A0F7C">
              <w:rPr>
                <w:noProof/>
                <w:color w:val="000000" w:themeColor="text1"/>
                <w:szCs w:val="22"/>
              </w:rPr>
              <w:t>Pu</w:t>
            </w:r>
            <w:r w:rsidR="00B94D04" w:rsidRPr="001A0F7C">
              <w:rPr>
                <w:noProof/>
                <w:color w:val="000000" w:themeColor="text1"/>
                <w:szCs w:val="22"/>
              </w:rPr>
              <w:t xml:space="preserve"> dioxide</w:t>
            </w:r>
            <w:r w:rsidRPr="001A0F7C">
              <w:rPr>
                <w:noProof/>
                <w:color w:val="000000" w:themeColor="text1"/>
                <w:szCs w:val="22"/>
                <w:vertAlign w:val="superscript"/>
              </w:rPr>
              <w:t>‡</w:t>
            </w:r>
            <w:r w:rsidR="00B94D04" w:rsidRPr="001A0F7C">
              <w:rPr>
                <w:noProof/>
                <w:color w:val="000000" w:themeColor="text1"/>
                <w:szCs w:val="22"/>
              </w:rPr>
              <w:t xml:space="preserve">, </w:t>
            </w:r>
            <w:r w:rsidR="00B94D04" w:rsidRPr="001A0F7C">
              <w:rPr>
                <w:noProof/>
                <w:color w:val="000000" w:themeColor="text1"/>
                <w:szCs w:val="22"/>
                <w:vertAlign w:val="superscript"/>
              </w:rPr>
              <w:t>239</w:t>
            </w:r>
            <w:r w:rsidR="00B94D04" w:rsidRPr="001A0F7C">
              <w:rPr>
                <w:noProof/>
                <w:color w:val="000000" w:themeColor="text1"/>
                <w:szCs w:val="22"/>
              </w:rPr>
              <w:t>PuO</w:t>
            </w:r>
            <w:r w:rsidR="00B94D04" w:rsidRPr="001A0F7C">
              <w:rPr>
                <w:noProof/>
                <w:color w:val="000000" w:themeColor="text1"/>
                <w:szCs w:val="22"/>
                <w:vertAlign w:val="subscript"/>
              </w:rPr>
              <w:t>2</w:t>
            </w:r>
            <w:r w:rsidR="009D78C5" w:rsidRPr="001A0F7C">
              <w:rPr>
                <w:noProof/>
                <w:color w:val="000000" w:themeColor="text1"/>
                <w:szCs w:val="22"/>
              </w:rPr>
              <w:t>;</w:t>
            </w:r>
            <w:r w:rsidR="00B94D04" w:rsidRPr="001A0F7C">
              <w:rPr>
                <w:noProof/>
                <w:color w:val="000000" w:themeColor="text1"/>
                <w:szCs w:val="22"/>
              </w:rPr>
              <w:t xml:space="preserve"> </w:t>
            </w:r>
            <w:r w:rsidRPr="001A0F7C">
              <w:rPr>
                <w:noProof/>
                <w:color w:val="000000" w:themeColor="text1"/>
                <w:szCs w:val="22"/>
              </w:rPr>
              <w:t>p</w:t>
            </w:r>
            <w:r w:rsidR="009D78C5" w:rsidRPr="001A0F7C">
              <w:rPr>
                <w:noProof/>
                <w:color w:val="000000" w:themeColor="text1"/>
                <w:szCs w:val="22"/>
              </w:rPr>
              <w:t>lutonium in mi</w:t>
            </w:r>
            <w:r w:rsidRPr="001A0F7C">
              <w:rPr>
                <w:noProof/>
                <w:color w:val="000000" w:themeColor="text1"/>
                <w:szCs w:val="22"/>
              </w:rPr>
              <w:t>xed oxide [</w:t>
            </w:r>
            <w:r w:rsidR="009D78C5" w:rsidRPr="001A0F7C">
              <w:rPr>
                <w:noProof/>
                <w:color w:val="000000" w:themeColor="text1"/>
                <w:szCs w:val="22"/>
              </w:rPr>
              <w:t>(UO</w:t>
            </w:r>
            <w:r w:rsidR="009D78C5" w:rsidRPr="001A0F7C">
              <w:rPr>
                <w:noProof/>
                <w:color w:val="000000" w:themeColor="text1"/>
                <w:szCs w:val="22"/>
                <w:vertAlign w:val="subscript"/>
              </w:rPr>
              <w:t>2</w:t>
            </w:r>
            <w:r w:rsidR="009D78C5" w:rsidRPr="001A0F7C">
              <w:rPr>
                <w:noProof/>
                <w:color w:val="000000" w:themeColor="text1"/>
                <w:szCs w:val="22"/>
              </w:rPr>
              <w:t xml:space="preserve"> + PuO</w:t>
            </w:r>
            <w:r w:rsidR="009D78C5" w:rsidRPr="001A0F7C">
              <w:rPr>
                <w:noProof/>
                <w:color w:val="000000" w:themeColor="text1"/>
                <w:szCs w:val="22"/>
                <w:vertAlign w:val="subscript"/>
              </w:rPr>
              <w:t>2</w:t>
            </w:r>
            <w:r w:rsidR="009D78C5" w:rsidRPr="001A0F7C">
              <w:rPr>
                <w:noProof/>
                <w:color w:val="000000" w:themeColor="text1"/>
                <w:szCs w:val="22"/>
              </w:rPr>
              <w:t>) or (U,Pu)O</w:t>
            </w:r>
            <w:r w:rsidR="009D78C5" w:rsidRPr="001A0F7C">
              <w:rPr>
                <w:noProof/>
                <w:color w:val="000000" w:themeColor="text1"/>
                <w:szCs w:val="22"/>
                <w:vertAlign w:val="subscript"/>
              </w:rPr>
              <w:t>2</w:t>
            </w:r>
            <w:r w:rsidRPr="001A0F7C">
              <w:rPr>
                <w:noProof/>
                <w:color w:val="000000" w:themeColor="text1"/>
                <w:szCs w:val="22"/>
              </w:rPr>
              <w:t>]</w:t>
            </w:r>
          </w:p>
        </w:tc>
        <w:tc>
          <w:tcPr>
            <w:tcW w:w="900" w:type="dxa"/>
            <w:gridSpan w:val="2"/>
            <w:tcBorders>
              <w:top w:val="nil"/>
              <w:bottom w:val="nil"/>
            </w:tcBorders>
          </w:tcPr>
          <w:p w14:paraId="5EC18578" w14:textId="77777777" w:rsidR="00B94D04" w:rsidRPr="001A0F7C" w:rsidRDefault="00B94D04" w:rsidP="00093286">
            <w:pPr>
              <w:pStyle w:val="Table"/>
              <w:rPr>
                <w:noProof/>
                <w:color w:val="000000" w:themeColor="text1"/>
                <w:szCs w:val="22"/>
              </w:rPr>
            </w:pPr>
            <w:r w:rsidRPr="001A0F7C">
              <w:rPr>
                <w:noProof/>
                <w:color w:val="000000" w:themeColor="text1"/>
                <w:szCs w:val="22"/>
              </w:rPr>
              <w:t>0.004</w:t>
            </w:r>
          </w:p>
        </w:tc>
        <w:tc>
          <w:tcPr>
            <w:tcW w:w="900" w:type="dxa"/>
            <w:gridSpan w:val="2"/>
            <w:tcBorders>
              <w:top w:val="nil"/>
              <w:bottom w:val="nil"/>
            </w:tcBorders>
          </w:tcPr>
          <w:p w14:paraId="412A4827" w14:textId="77777777" w:rsidR="00B94D04" w:rsidRPr="001A0F7C" w:rsidRDefault="00B94D04" w:rsidP="00093286">
            <w:pPr>
              <w:pStyle w:val="Table"/>
              <w:rPr>
                <w:noProof/>
                <w:color w:val="000000" w:themeColor="text1"/>
                <w:szCs w:val="22"/>
              </w:rPr>
            </w:pPr>
            <w:r w:rsidRPr="001A0F7C">
              <w:rPr>
                <w:noProof/>
                <w:color w:val="000000" w:themeColor="text1"/>
                <w:szCs w:val="22"/>
              </w:rPr>
              <w:t>0.4</w:t>
            </w:r>
          </w:p>
        </w:tc>
        <w:tc>
          <w:tcPr>
            <w:tcW w:w="1110" w:type="dxa"/>
            <w:gridSpan w:val="2"/>
            <w:tcBorders>
              <w:top w:val="nil"/>
              <w:bottom w:val="nil"/>
            </w:tcBorders>
          </w:tcPr>
          <w:p w14:paraId="0E1EC7CE" w14:textId="77777777" w:rsidR="00B94D04" w:rsidRPr="001A0F7C" w:rsidRDefault="00B94D04" w:rsidP="00093286">
            <w:pPr>
              <w:pStyle w:val="Table"/>
              <w:rPr>
                <w:noProof/>
                <w:color w:val="000000" w:themeColor="text1"/>
                <w:szCs w:val="22"/>
              </w:rPr>
            </w:pPr>
            <w:r w:rsidRPr="001A0F7C">
              <w:rPr>
                <w:noProof/>
                <w:color w:val="000000" w:themeColor="text1"/>
                <w:szCs w:val="22"/>
              </w:rPr>
              <w:t>1 × 10</w:t>
            </w:r>
            <w:r w:rsidRPr="001A0F7C">
              <w:rPr>
                <w:noProof/>
                <w:color w:val="000000" w:themeColor="text1"/>
                <w:szCs w:val="22"/>
                <w:vertAlign w:val="superscript"/>
              </w:rPr>
              <w:t>-5</w:t>
            </w:r>
          </w:p>
        </w:tc>
        <w:tc>
          <w:tcPr>
            <w:tcW w:w="1770" w:type="dxa"/>
            <w:gridSpan w:val="2"/>
            <w:tcBorders>
              <w:top w:val="nil"/>
              <w:bottom w:val="nil"/>
            </w:tcBorders>
          </w:tcPr>
          <w:p w14:paraId="4DE3CFD3" w14:textId="1A6FEE73" w:rsidR="00B94D04" w:rsidRPr="001A0F7C" w:rsidRDefault="003D2DB1" w:rsidP="00093286">
            <w:pPr>
              <w:pStyle w:val="Table"/>
              <w:rPr>
                <w:noProof/>
                <w:color w:val="000000" w:themeColor="text1"/>
                <w:szCs w:val="22"/>
              </w:rPr>
            </w:pPr>
            <w:r w:rsidRPr="001A0F7C">
              <w:rPr>
                <w:noProof/>
                <w:color w:val="000000" w:themeColor="text1"/>
                <w:szCs w:val="22"/>
              </w:rPr>
              <w:t>2</w:t>
            </w:r>
            <w:r w:rsidR="00B94D04" w:rsidRPr="001A0F7C">
              <w:rPr>
                <w:noProof/>
                <w:color w:val="000000" w:themeColor="text1"/>
                <w:szCs w:val="22"/>
              </w:rPr>
              <w:t xml:space="preserve"> × 10</w:t>
            </w:r>
            <w:r w:rsidR="00B94D04" w:rsidRPr="001A0F7C">
              <w:rPr>
                <w:noProof/>
                <w:color w:val="000000" w:themeColor="text1"/>
                <w:szCs w:val="22"/>
                <w:vertAlign w:val="superscript"/>
              </w:rPr>
              <w:t>-</w:t>
            </w:r>
            <w:r w:rsidRPr="001A0F7C">
              <w:rPr>
                <w:noProof/>
                <w:color w:val="000000" w:themeColor="text1"/>
                <w:szCs w:val="22"/>
                <w:vertAlign w:val="superscript"/>
              </w:rPr>
              <w:t>6</w:t>
            </w:r>
          </w:p>
        </w:tc>
      </w:tr>
      <w:tr w:rsidR="00B94D04" w:rsidRPr="00972C81" w14:paraId="27A9356B" w14:textId="77777777" w:rsidTr="0021254F">
        <w:trPr>
          <w:trHeight w:val="340"/>
        </w:trPr>
        <w:tc>
          <w:tcPr>
            <w:tcW w:w="4637" w:type="dxa"/>
            <w:gridSpan w:val="4"/>
            <w:tcBorders>
              <w:top w:val="nil"/>
              <w:bottom w:val="nil"/>
            </w:tcBorders>
          </w:tcPr>
          <w:p w14:paraId="2C92E021" w14:textId="4FE23E7F" w:rsidR="00B94D04" w:rsidRPr="001A0F7C" w:rsidRDefault="002A302F" w:rsidP="00093286">
            <w:pPr>
              <w:pStyle w:val="Table"/>
              <w:rPr>
                <w:noProof/>
                <w:color w:val="000000" w:themeColor="text1"/>
                <w:szCs w:val="22"/>
              </w:rPr>
            </w:pPr>
            <w:r w:rsidRPr="001A0F7C">
              <w:rPr>
                <w:noProof/>
                <w:color w:val="000000" w:themeColor="text1"/>
                <w:szCs w:val="22"/>
                <w:vertAlign w:val="superscript"/>
              </w:rPr>
              <w:t>238</w:t>
            </w:r>
            <w:r w:rsidRPr="001A0F7C">
              <w:rPr>
                <w:noProof/>
                <w:color w:val="000000" w:themeColor="text1"/>
                <w:szCs w:val="22"/>
              </w:rPr>
              <w:t xml:space="preserve">Pu </w:t>
            </w:r>
            <w:r w:rsidR="00B94D04" w:rsidRPr="001A0F7C">
              <w:rPr>
                <w:noProof/>
                <w:color w:val="000000" w:themeColor="text1"/>
                <w:szCs w:val="22"/>
              </w:rPr>
              <w:t>dioxide,</w:t>
            </w:r>
            <w:r w:rsidR="00B94D04" w:rsidRPr="001A0F7C">
              <w:rPr>
                <w:noProof/>
                <w:color w:val="000000" w:themeColor="text1"/>
                <w:szCs w:val="22"/>
                <w:vertAlign w:val="superscript"/>
              </w:rPr>
              <w:t xml:space="preserve"> 238</w:t>
            </w:r>
            <w:r w:rsidR="00B94D04" w:rsidRPr="001A0F7C">
              <w:rPr>
                <w:noProof/>
                <w:color w:val="000000" w:themeColor="text1"/>
                <w:szCs w:val="22"/>
              </w:rPr>
              <w:t>PuO</w:t>
            </w:r>
            <w:r w:rsidR="00B94D04" w:rsidRPr="001A0F7C">
              <w:rPr>
                <w:noProof/>
                <w:color w:val="000000" w:themeColor="text1"/>
                <w:szCs w:val="22"/>
                <w:vertAlign w:val="subscript"/>
              </w:rPr>
              <w:t>2</w:t>
            </w:r>
            <w:r w:rsidR="00B94D04" w:rsidRPr="001A0F7C">
              <w:rPr>
                <w:noProof/>
                <w:color w:val="000000" w:themeColor="text1"/>
                <w:szCs w:val="22"/>
              </w:rPr>
              <w:t xml:space="preserve"> ceramic</w:t>
            </w:r>
          </w:p>
        </w:tc>
        <w:tc>
          <w:tcPr>
            <w:tcW w:w="900" w:type="dxa"/>
            <w:gridSpan w:val="2"/>
            <w:tcBorders>
              <w:top w:val="nil"/>
              <w:bottom w:val="nil"/>
            </w:tcBorders>
          </w:tcPr>
          <w:p w14:paraId="19AD1F2B" w14:textId="35846C9F" w:rsidR="00B94D04" w:rsidRPr="00093286" w:rsidRDefault="00E31258" w:rsidP="00093286">
            <w:pPr>
              <w:pStyle w:val="Table"/>
              <w:rPr>
                <w:noProof/>
                <w:color w:val="000000" w:themeColor="text1"/>
                <w:szCs w:val="22"/>
              </w:rPr>
            </w:pPr>
            <w:r w:rsidRPr="00093286">
              <w:rPr>
                <w:noProof/>
                <w:color w:val="000000" w:themeColor="text1"/>
                <w:szCs w:val="22"/>
              </w:rPr>
              <w:t>§</w:t>
            </w:r>
          </w:p>
        </w:tc>
        <w:tc>
          <w:tcPr>
            <w:tcW w:w="900" w:type="dxa"/>
            <w:gridSpan w:val="2"/>
            <w:tcBorders>
              <w:top w:val="nil"/>
              <w:bottom w:val="nil"/>
            </w:tcBorders>
          </w:tcPr>
          <w:p w14:paraId="21916B8C" w14:textId="3447EB7A" w:rsidR="00B94D04" w:rsidRPr="00093286" w:rsidRDefault="00E31258" w:rsidP="00093286">
            <w:pPr>
              <w:pStyle w:val="Table"/>
              <w:rPr>
                <w:noProof/>
                <w:color w:val="000000" w:themeColor="text1"/>
                <w:szCs w:val="22"/>
              </w:rPr>
            </w:pPr>
            <w:r w:rsidRPr="00093286">
              <w:rPr>
                <w:noProof/>
                <w:color w:val="000000" w:themeColor="text1"/>
                <w:szCs w:val="22"/>
              </w:rPr>
              <w:t>§</w:t>
            </w:r>
          </w:p>
        </w:tc>
        <w:tc>
          <w:tcPr>
            <w:tcW w:w="1110" w:type="dxa"/>
            <w:gridSpan w:val="2"/>
            <w:tcBorders>
              <w:top w:val="nil"/>
              <w:bottom w:val="nil"/>
            </w:tcBorders>
          </w:tcPr>
          <w:p w14:paraId="62D792CE" w14:textId="46216762" w:rsidR="00B94D04" w:rsidRPr="00093286" w:rsidRDefault="00E31258" w:rsidP="00093286">
            <w:pPr>
              <w:pStyle w:val="Table"/>
              <w:rPr>
                <w:noProof/>
                <w:color w:val="000000" w:themeColor="text1"/>
                <w:szCs w:val="22"/>
              </w:rPr>
            </w:pPr>
            <w:r w:rsidRPr="00093286">
              <w:rPr>
                <w:noProof/>
                <w:color w:val="000000" w:themeColor="text1"/>
                <w:szCs w:val="22"/>
              </w:rPr>
              <w:t>§</w:t>
            </w:r>
          </w:p>
        </w:tc>
        <w:tc>
          <w:tcPr>
            <w:tcW w:w="1770" w:type="dxa"/>
            <w:gridSpan w:val="2"/>
            <w:tcBorders>
              <w:top w:val="nil"/>
              <w:bottom w:val="nil"/>
            </w:tcBorders>
          </w:tcPr>
          <w:p w14:paraId="0327C47A" w14:textId="77777777" w:rsidR="00B94D04" w:rsidRPr="001A0F7C" w:rsidRDefault="00B94D04" w:rsidP="00093286">
            <w:pPr>
              <w:pStyle w:val="Table"/>
              <w:rPr>
                <w:noProof/>
                <w:color w:val="000000" w:themeColor="text1"/>
                <w:szCs w:val="22"/>
              </w:rPr>
            </w:pPr>
            <w:r w:rsidRPr="001A0F7C">
              <w:rPr>
                <w:noProof/>
                <w:color w:val="000000" w:themeColor="text1"/>
                <w:szCs w:val="22"/>
              </w:rPr>
              <w:t>5 × 10</w:t>
            </w:r>
            <w:r w:rsidRPr="001A0F7C">
              <w:rPr>
                <w:noProof/>
                <w:color w:val="000000" w:themeColor="text1"/>
                <w:szCs w:val="22"/>
                <w:vertAlign w:val="superscript"/>
              </w:rPr>
              <w:t>-8</w:t>
            </w:r>
          </w:p>
        </w:tc>
      </w:tr>
      <w:tr w:rsidR="00E31258" w:rsidRPr="00972C81" w14:paraId="69210508" w14:textId="77777777" w:rsidTr="0021254F">
        <w:trPr>
          <w:trHeight w:val="340"/>
        </w:trPr>
        <w:tc>
          <w:tcPr>
            <w:tcW w:w="4637" w:type="dxa"/>
            <w:gridSpan w:val="4"/>
            <w:tcBorders>
              <w:top w:val="nil"/>
              <w:bottom w:val="nil"/>
            </w:tcBorders>
          </w:tcPr>
          <w:p w14:paraId="21730D16" w14:textId="0A88000F" w:rsidR="00E31258" w:rsidRPr="001A0F7C" w:rsidRDefault="002A302F" w:rsidP="00093286">
            <w:pPr>
              <w:pStyle w:val="Table"/>
              <w:rPr>
                <w:noProof/>
                <w:color w:val="000000" w:themeColor="text1"/>
                <w:szCs w:val="22"/>
                <w:vertAlign w:val="superscript"/>
                <w:lang w:val="fr-FR"/>
              </w:rPr>
            </w:pPr>
            <w:r w:rsidRPr="001A0F7C">
              <w:rPr>
                <w:noProof/>
                <w:color w:val="000000" w:themeColor="text1"/>
                <w:szCs w:val="22"/>
                <w:vertAlign w:val="superscript"/>
                <w:lang w:val="fr-FR"/>
              </w:rPr>
              <w:t>238</w:t>
            </w:r>
            <w:r w:rsidRPr="001A0F7C">
              <w:rPr>
                <w:noProof/>
                <w:color w:val="000000" w:themeColor="text1"/>
                <w:szCs w:val="22"/>
                <w:lang w:val="fr-FR"/>
              </w:rPr>
              <w:t xml:space="preserve">Pu </w:t>
            </w:r>
            <w:r w:rsidR="00E31258" w:rsidRPr="001A0F7C">
              <w:rPr>
                <w:noProof/>
                <w:color w:val="000000" w:themeColor="text1"/>
                <w:szCs w:val="22"/>
                <w:lang w:val="fr-FR"/>
              </w:rPr>
              <w:t>dioxide,</w:t>
            </w:r>
            <w:r w:rsidR="00E31258" w:rsidRPr="001A0F7C">
              <w:rPr>
                <w:noProof/>
                <w:color w:val="000000" w:themeColor="text1"/>
                <w:szCs w:val="22"/>
                <w:vertAlign w:val="superscript"/>
                <w:lang w:val="fr-FR"/>
              </w:rPr>
              <w:t xml:space="preserve"> 238</w:t>
            </w:r>
            <w:r w:rsidR="00E31258" w:rsidRPr="001A0F7C">
              <w:rPr>
                <w:noProof/>
                <w:color w:val="000000" w:themeColor="text1"/>
                <w:szCs w:val="22"/>
                <w:lang w:val="fr-FR"/>
              </w:rPr>
              <w:t>PuO</w:t>
            </w:r>
            <w:r w:rsidR="00E31258" w:rsidRPr="001A0F7C">
              <w:rPr>
                <w:noProof/>
                <w:color w:val="000000" w:themeColor="text1"/>
                <w:szCs w:val="22"/>
                <w:vertAlign w:val="subscript"/>
                <w:lang w:val="fr-FR"/>
              </w:rPr>
              <w:t>2</w:t>
            </w:r>
            <w:r w:rsidR="00E31258" w:rsidRPr="001A0F7C">
              <w:rPr>
                <w:noProof/>
                <w:color w:val="000000" w:themeColor="text1"/>
                <w:szCs w:val="22"/>
                <w:lang w:val="fr-FR"/>
              </w:rPr>
              <w:t xml:space="preserve"> non-ceramic</w:t>
            </w:r>
          </w:p>
        </w:tc>
        <w:tc>
          <w:tcPr>
            <w:tcW w:w="900" w:type="dxa"/>
            <w:gridSpan w:val="2"/>
            <w:tcBorders>
              <w:top w:val="nil"/>
              <w:bottom w:val="nil"/>
            </w:tcBorders>
          </w:tcPr>
          <w:p w14:paraId="55C9CCD9" w14:textId="1E76F0AE" w:rsidR="00E31258" w:rsidRPr="00093286" w:rsidRDefault="00E31258" w:rsidP="00093286">
            <w:pPr>
              <w:pStyle w:val="Table"/>
              <w:rPr>
                <w:noProof/>
                <w:color w:val="000000" w:themeColor="text1"/>
                <w:szCs w:val="22"/>
              </w:rPr>
            </w:pPr>
            <w:r w:rsidRPr="00093286">
              <w:rPr>
                <w:noProof/>
                <w:color w:val="000000" w:themeColor="text1"/>
                <w:szCs w:val="22"/>
              </w:rPr>
              <w:t>¶</w:t>
            </w:r>
          </w:p>
        </w:tc>
        <w:tc>
          <w:tcPr>
            <w:tcW w:w="900" w:type="dxa"/>
            <w:gridSpan w:val="2"/>
            <w:tcBorders>
              <w:top w:val="nil"/>
              <w:bottom w:val="nil"/>
            </w:tcBorders>
          </w:tcPr>
          <w:p w14:paraId="39C48217" w14:textId="53FC03A6" w:rsidR="00E31258" w:rsidRPr="00093286" w:rsidRDefault="00E31258" w:rsidP="00093286">
            <w:pPr>
              <w:pStyle w:val="Table"/>
              <w:rPr>
                <w:noProof/>
                <w:color w:val="000000" w:themeColor="text1"/>
                <w:szCs w:val="22"/>
              </w:rPr>
            </w:pPr>
            <w:r w:rsidRPr="00093286">
              <w:rPr>
                <w:noProof/>
                <w:color w:val="000000" w:themeColor="text1"/>
                <w:szCs w:val="22"/>
              </w:rPr>
              <w:t>¶</w:t>
            </w:r>
          </w:p>
        </w:tc>
        <w:tc>
          <w:tcPr>
            <w:tcW w:w="1110" w:type="dxa"/>
            <w:gridSpan w:val="2"/>
            <w:tcBorders>
              <w:top w:val="nil"/>
              <w:bottom w:val="nil"/>
            </w:tcBorders>
          </w:tcPr>
          <w:p w14:paraId="42BF7D5A" w14:textId="0624D93D" w:rsidR="00E31258" w:rsidRPr="00093286" w:rsidRDefault="00E31258" w:rsidP="00093286">
            <w:pPr>
              <w:pStyle w:val="Table"/>
              <w:rPr>
                <w:noProof/>
                <w:color w:val="000000" w:themeColor="text1"/>
                <w:szCs w:val="22"/>
              </w:rPr>
            </w:pPr>
            <w:r w:rsidRPr="00093286">
              <w:rPr>
                <w:noProof/>
                <w:color w:val="000000" w:themeColor="text1"/>
                <w:szCs w:val="22"/>
              </w:rPr>
              <w:t>¶</w:t>
            </w:r>
          </w:p>
        </w:tc>
        <w:tc>
          <w:tcPr>
            <w:tcW w:w="1770" w:type="dxa"/>
            <w:gridSpan w:val="2"/>
            <w:tcBorders>
              <w:top w:val="nil"/>
              <w:bottom w:val="nil"/>
            </w:tcBorders>
          </w:tcPr>
          <w:p w14:paraId="4738CD19" w14:textId="77777777" w:rsidR="00E31258" w:rsidRPr="001A0F7C" w:rsidRDefault="00E31258" w:rsidP="00093286">
            <w:pPr>
              <w:pStyle w:val="Table"/>
              <w:rPr>
                <w:noProof/>
                <w:color w:val="000000" w:themeColor="text1"/>
                <w:szCs w:val="22"/>
              </w:rPr>
            </w:pPr>
            <w:r w:rsidRPr="001A0F7C">
              <w:rPr>
                <w:noProof/>
                <w:color w:val="000000" w:themeColor="text1"/>
                <w:szCs w:val="22"/>
              </w:rPr>
              <w:t>1 × 10</w:t>
            </w:r>
            <w:r w:rsidRPr="001A0F7C">
              <w:rPr>
                <w:noProof/>
                <w:color w:val="000000" w:themeColor="text1"/>
                <w:szCs w:val="22"/>
                <w:vertAlign w:val="superscript"/>
              </w:rPr>
              <w:t>-5</w:t>
            </w:r>
          </w:p>
        </w:tc>
      </w:tr>
      <w:tr w:rsidR="00B94D04" w:rsidRPr="00972C81" w14:paraId="7C486DB9" w14:textId="77777777" w:rsidTr="0021254F">
        <w:trPr>
          <w:trHeight w:val="340"/>
        </w:trPr>
        <w:tc>
          <w:tcPr>
            <w:tcW w:w="4637" w:type="dxa"/>
            <w:gridSpan w:val="4"/>
            <w:tcBorders>
              <w:top w:val="nil"/>
              <w:bottom w:val="nil"/>
            </w:tcBorders>
          </w:tcPr>
          <w:p w14:paraId="32CAF2A7" w14:textId="77777777" w:rsidR="00B94D04" w:rsidRPr="001A0F7C" w:rsidRDefault="00B94D04" w:rsidP="00093286">
            <w:pPr>
              <w:pStyle w:val="Table"/>
              <w:rPr>
                <w:noProof/>
                <w:color w:val="000000" w:themeColor="text1"/>
                <w:szCs w:val="22"/>
                <w:lang w:val="fr-FR"/>
              </w:rPr>
            </w:pPr>
            <w:r w:rsidRPr="001A0F7C">
              <w:rPr>
                <w:noProof/>
                <w:color w:val="000000" w:themeColor="text1"/>
                <w:szCs w:val="22"/>
                <w:lang w:val="fr-FR"/>
              </w:rPr>
              <w:t>Plutonium dioxide 1-nm nanoparticles, 1-nm PuO</w:t>
            </w:r>
            <w:r w:rsidRPr="001A0F7C">
              <w:rPr>
                <w:noProof/>
                <w:color w:val="000000" w:themeColor="text1"/>
                <w:szCs w:val="22"/>
                <w:vertAlign w:val="subscript"/>
                <w:lang w:val="fr-FR"/>
              </w:rPr>
              <w:t>2</w:t>
            </w:r>
          </w:p>
        </w:tc>
        <w:tc>
          <w:tcPr>
            <w:tcW w:w="900" w:type="dxa"/>
            <w:gridSpan w:val="2"/>
            <w:tcBorders>
              <w:top w:val="nil"/>
              <w:bottom w:val="nil"/>
            </w:tcBorders>
          </w:tcPr>
          <w:p w14:paraId="2ECBB5FA" w14:textId="77777777" w:rsidR="00B94D04" w:rsidRPr="001A0F7C" w:rsidRDefault="00B94D04" w:rsidP="00093286">
            <w:pPr>
              <w:pStyle w:val="Table"/>
              <w:rPr>
                <w:noProof/>
                <w:color w:val="000000" w:themeColor="text1"/>
                <w:szCs w:val="22"/>
              </w:rPr>
            </w:pPr>
            <w:r w:rsidRPr="001A0F7C">
              <w:rPr>
                <w:noProof/>
                <w:color w:val="000000" w:themeColor="text1"/>
                <w:szCs w:val="22"/>
              </w:rPr>
              <w:t>0.7</w:t>
            </w:r>
          </w:p>
        </w:tc>
        <w:tc>
          <w:tcPr>
            <w:tcW w:w="900" w:type="dxa"/>
            <w:gridSpan w:val="2"/>
            <w:tcBorders>
              <w:top w:val="nil"/>
              <w:bottom w:val="nil"/>
            </w:tcBorders>
          </w:tcPr>
          <w:p w14:paraId="58111255" w14:textId="531B6494" w:rsidR="00B94D04" w:rsidRPr="001A0F7C" w:rsidRDefault="003D2DB1" w:rsidP="00093286">
            <w:pPr>
              <w:pStyle w:val="Table"/>
              <w:rPr>
                <w:noProof/>
                <w:color w:val="000000" w:themeColor="text1"/>
                <w:szCs w:val="22"/>
              </w:rPr>
            </w:pPr>
            <w:r w:rsidRPr="001A0F7C">
              <w:rPr>
                <w:noProof/>
                <w:color w:val="000000" w:themeColor="text1"/>
                <w:szCs w:val="22"/>
              </w:rPr>
              <w:t>0.4</w:t>
            </w:r>
          </w:p>
        </w:tc>
        <w:tc>
          <w:tcPr>
            <w:tcW w:w="1110" w:type="dxa"/>
            <w:gridSpan w:val="2"/>
            <w:tcBorders>
              <w:top w:val="nil"/>
              <w:bottom w:val="nil"/>
            </w:tcBorders>
          </w:tcPr>
          <w:p w14:paraId="21F930E8" w14:textId="77777777" w:rsidR="00B94D04" w:rsidRPr="001A0F7C" w:rsidRDefault="00B94D04" w:rsidP="00093286">
            <w:pPr>
              <w:pStyle w:val="Table"/>
              <w:rPr>
                <w:noProof/>
                <w:color w:val="000000" w:themeColor="text1"/>
                <w:szCs w:val="22"/>
              </w:rPr>
            </w:pPr>
            <w:r w:rsidRPr="001A0F7C">
              <w:rPr>
                <w:noProof/>
                <w:color w:val="000000" w:themeColor="text1"/>
                <w:szCs w:val="22"/>
              </w:rPr>
              <w:t>0.005</w:t>
            </w:r>
          </w:p>
        </w:tc>
        <w:tc>
          <w:tcPr>
            <w:tcW w:w="1770" w:type="dxa"/>
            <w:gridSpan w:val="2"/>
            <w:tcBorders>
              <w:top w:val="nil"/>
              <w:bottom w:val="nil"/>
            </w:tcBorders>
          </w:tcPr>
          <w:p w14:paraId="6FD5E894" w14:textId="5CEE6173" w:rsidR="00B94D04" w:rsidRPr="001A0F7C" w:rsidRDefault="003D2DB1" w:rsidP="00093286">
            <w:pPr>
              <w:pStyle w:val="Table"/>
              <w:rPr>
                <w:noProof/>
                <w:color w:val="000000" w:themeColor="text1"/>
                <w:szCs w:val="22"/>
              </w:rPr>
            </w:pPr>
            <w:r w:rsidRPr="001A0F7C">
              <w:rPr>
                <w:noProof/>
                <w:color w:val="000000" w:themeColor="text1"/>
                <w:szCs w:val="22"/>
              </w:rPr>
              <w:t>3.5</w:t>
            </w:r>
            <w:r w:rsidR="00B94D04" w:rsidRPr="001A0F7C">
              <w:rPr>
                <w:noProof/>
                <w:color w:val="000000" w:themeColor="text1"/>
                <w:szCs w:val="22"/>
              </w:rPr>
              <w:t xml:space="preserve"> × 10</w:t>
            </w:r>
            <w:r w:rsidR="00B94D04" w:rsidRPr="001A0F7C">
              <w:rPr>
                <w:noProof/>
                <w:color w:val="000000" w:themeColor="text1"/>
                <w:szCs w:val="22"/>
                <w:vertAlign w:val="superscript"/>
              </w:rPr>
              <w:t>-4</w:t>
            </w:r>
          </w:p>
        </w:tc>
      </w:tr>
      <w:tr w:rsidR="00E31258" w:rsidRPr="00972C81" w14:paraId="761BA6C2" w14:textId="77777777" w:rsidTr="0021254F">
        <w:trPr>
          <w:trHeight w:val="340"/>
        </w:trPr>
        <w:tc>
          <w:tcPr>
            <w:tcW w:w="4637" w:type="dxa"/>
            <w:gridSpan w:val="4"/>
            <w:tcBorders>
              <w:top w:val="nil"/>
              <w:bottom w:val="nil"/>
            </w:tcBorders>
          </w:tcPr>
          <w:p w14:paraId="46B98217" w14:textId="77777777" w:rsidR="00E31258" w:rsidRPr="001A0F7C" w:rsidRDefault="00E31258" w:rsidP="00093286">
            <w:pPr>
              <w:pStyle w:val="Table"/>
              <w:rPr>
                <w:noProof/>
                <w:color w:val="000000" w:themeColor="text1"/>
                <w:szCs w:val="22"/>
              </w:rPr>
            </w:pPr>
          </w:p>
        </w:tc>
        <w:tc>
          <w:tcPr>
            <w:tcW w:w="900" w:type="dxa"/>
            <w:gridSpan w:val="2"/>
            <w:tcBorders>
              <w:top w:val="nil"/>
              <w:bottom w:val="nil"/>
            </w:tcBorders>
          </w:tcPr>
          <w:p w14:paraId="55C09135" w14:textId="77777777" w:rsidR="00E31258" w:rsidRPr="001A0F7C" w:rsidRDefault="00E31258" w:rsidP="00093286">
            <w:pPr>
              <w:pStyle w:val="Table"/>
              <w:rPr>
                <w:noProof/>
                <w:color w:val="000000" w:themeColor="text1"/>
                <w:szCs w:val="22"/>
              </w:rPr>
            </w:pPr>
          </w:p>
        </w:tc>
        <w:tc>
          <w:tcPr>
            <w:tcW w:w="900" w:type="dxa"/>
            <w:gridSpan w:val="2"/>
            <w:tcBorders>
              <w:top w:val="nil"/>
              <w:bottom w:val="nil"/>
            </w:tcBorders>
          </w:tcPr>
          <w:p w14:paraId="578F8AD3" w14:textId="77777777" w:rsidR="00E31258" w:rsidRPr="001A0F7C" w:rsidRDefault="00E31258" w:rsidP="00093286">
            <w:pPr>
              <w:pStyle w:val="Table"/>
              <w:rPr>
                <w:noProof/>
                <w:color w:val="000000" w:themeColor="text1"/>
                <w:szCs w:val="22"/>
              </w:rPr>
            </w:pPr>
          </w:p>
        </w:tc>
        <w:tc>
          <w:tcPr>
            <w:tcW w:w="1110" w:type="dxa"/>
            <w:gridSpan w:val="2"/>
            <w:tcBorders>
              <w:top w:val="nil"/>
              <w:bottom w:val="nil"/>
            </w:tcBorders>
          </w:tcPr>
          <w:p w14:paraId="38CDA20F" w14:textId="77777777" w:rsidR="00E31258" w:rsidRPr="001A0F7C" w:rsidRDefault="00E31258" w:rsidP="00093286">
            <w:pPr>
              <w:pStyle w:val="Table"/>
              <w:rPr>
                <w:noProof/>
                <w:color w:val="000000" w:themeColor="text1"/>
                <w:szCs w:val="22"/>
              </w:rPr>
            </w:pPr>
          </w:p>
        </w:tc>
        <w:tc>
          <w:tcPr>
            <w:tcW w:w="1770" w:type="dxa"/>
            <w:gridSpan w:val="2"/>
            <w:tcBorders>
              <w:top w:val="nil"/>
              <w:bottom w:val="nil"/>
            </w:tcBorders>
          </w:tcPr>
          <w:p w14:paraId="43CEF862" w14:textId="77777777" w:rsidR="00E31258" w:rsidRPr="001A0F7C" w:rsidRDefault="00E31258" w:rsidP="00093286">
            <w:pPr>
              <w:pStyle w:val="Table"/>
              <w:rPr>
                <w:noProof/>
                <w:color w:val="000000" w:themeColor="text1"/>
                <w:szCs w:val="22"/>
              </w:rPr>
            </w:pPr>
          </w:p>
        </w:tc>
      </w:tr>
      <w:tr w:rsidR="00B94D04" w:rsidRPr="00972C81" w14:paraId="6CC9E005" w14:textId="77777777" w:rsidTr="0021254F">
        <w:trPr>
          <w:trHeight w:val="340"/>
        </w:trPr>
        <w:tc>
          <w:tcPr>
            <w:tcW w:w="4637" w:type="dxa"/>
            <w:gridSpan w:val="4"/>
            <w:tcBorders>
              <w:top w:val="nil"/>
              <w:bottom w:val="nil"/>
            </w:tcBorders>
          </w:tcPr>
          <w:p w14:paraId="01A64B12" w14:textId="2074C01E" w:rsidR="00B94D04" w:rsidRPr="001A0F7C" w:rsidRDefault="00B94D04" w:rsidP="00093286">
            <w:pPr>
              <w:pStyle w:val="Table"/>
              <w:rPr>
                <w:noProof/>
                <w:color w:val="000000" w:themeColor="text1"/>
                <w:szCs w:val="22"/>
              </w:rPr>
            </w:pPr>
            <w:r w:rsidRPr="001A0F7C">
              <w:rPr>
                <w:noProof/>
                <w:color w:val="000000" w:themeColor="text1"/>
                <w:szCs w:val="22"/>
              </w:rPr>
              <w:t>Default parameter values</w:t>
            </w:r>
            <w:r w:rsidR="00E31258" w:rsidRPr="001A0F7C">
              <w:rPr>
                <w:noProof/>
                <w:color w:val="000000" w:themeColor="text1"/>
                <w:szCs w:val="22"/>
                <w:vertAlign w:val="superscript"/>
              </w:rPr>
              <w:t>††</w:t>
            </w:r>
          </w:p>
        </w:tc>
        <w:tc>
          <w:tcPr>
            <w:tcW w:w="900" w:type="dxa"/>
            <w:gridSpan w:val="2"/>
            <w:tcBorders>
              <w:top w:val="nil"/>
              <w:bottom w:val="nil"/>
            </w:tcBorders>
          </w:tcPr>
          <w:p w14:paraId="639AA490" w14:textId="77777777" w:rsidR="00B94D04" w:rsidRPr="001A0F7C" w:rsidRDefault="00B94D04" w:rsidP="00093286">
            <w:pPr>
              <w:pStyle w:val="Table"/>
              <w:rPr>
                <w:noProof/>
                <w:color w:val="000000" w:themeColor="text1"/>
                <w:szCs w:val="22"/>
              </w:rPr>
            </w:pPr>
          </w:p>
        </w:tc>
        <w:tc>
          <w:tcPr>
            <w:tcW w:w="900" w:type="dxa"/>
            <w:gridSpan w:val="2"/>
            <w:tcBorders>
              <w:top w:val="nil"/>
              <w:bottom w:val="nil"/>
            </w:tcBorders>
          </w:tcPr>
          <w:p w14:paraId="3EA81CE7" w14:textId="77777777" w:rsidR="00B94D04" w:rsidRPr="001A0F7C" w:rsidRDefault="00B94D04" w:rsidP="00093286">
            <w:pPr>
              <w:pStyle w:val="Table"/>
              <w:rPr>
                <w:noProof/>
                <w:color w:val="000000" w:themeColor="text1"/>
                <w:szCs w:val="22"/>
              </w:rPr>
            </w:pPr>
          </w:p>
        </w:tc>
        <w:tc>
          <w:tcPr>
            <w:tcW w:w="1110" w:type="dxa"/>
            <w:gridSpan w:val="2"/>
            <w:tcBorders>
              <w:top w:val="nil"/>
              <w:bottom w:val="nil"/>
            </w:tcBorders>
          </w:tcPr>
          <w:p w14:paraId="5269A122" w14:textId="77777777" w:rsidR="00B94D04" w:rsidRPr="001A0F7C" w:rsidRDefault="00B94D04" w:rsidP="00093286">
            <w:pPr>
              <w:pStyle w:val="Table"/>
              <w:rPr>
                <w:noProof/>
                <w:color w:val="000000" w:themeColor="text1"/>
                <w:szCs w:val="22"/>
              </w:rPr>
            </w:pPr>
          </w:p>
        </w:tc>
        <w:tc>
          <w:tcPr>
            <w:tcW w:w="1770" w:type="dxa"/>
            <w:gridSpan w:val="2"/>
            <w:tcBorders>
              <w:top w:val="nil"/>
              <w:bottom w:val="nil"/>
            </w:tcBorders>
          </w:tcPr>
          <w:p w14:paraId="39577FAD" w14:textId="77777777" w:rsidR="00B94D04" w:rsidRPr="001A0F7C" w:rsidRDefault="00B94D04" w:rsidP="00093286">
            <w:pPr>
              <w:pStyle w:val="Table"/>
              <w:rPr>
                <w:noProof/>
                <w:color w:val="000000" w:themeColor="text1"/>
                <w:szCs w:val="22"/>
              </w:rPr>
            </w:pPr>
          </w:p>
        </w:tc>
      </w:tr>
      <w:tr w:rsidR="00B94D04" w:rsidRPr="00972C81" w14:paraId="131DC8AC" w14:textId="77777777" w:rsidTr="0021254F">
        <w:trPr>
          <w:trHeight w:val="340"/>
        </w:trPr>
        <w:tc>
          <w:tcPr>
            <w:tcW w:w="1843" w:type="dxa"/>
            <w:tcBorders>
              <w:top w:val="nil"/>
              <w:bottom w:val="nil"/>
            </w:tcBorders>
          </w:tcPr>
          <w:p w14:paraId="17A4074C" w14:textId="77777777" w:rsidR="00B94D04" w:rsidRPr="001A0F7C" w:rsidRDefault="00B94D04" w:rsidP="00093286">
            <w:pPr>
              <w:pStyle w:val="Table"/>
              <w:rPr>
                <w:noProof/>
                <w:color w:val="000000" w:themeColor="text1"/>
                <w:szCs w:val="22"/>
              </w:rPr>
            </w:pPr>
            <w:r w:rsidRPr="001A0F7C">
              <w:rPr>
                <w:noProof/>
                <w:color w:val="000000" w:themeColor="text1"/>
                <w:szCs w:val="22"/>
              </w:rPr>
              <w:t>Absorption Type</w:t>
            </w:r>
          </w:p>
        </w:tc>
        <w:tc>
          <w:tcPr>
            <w:tcW w:w="2794" w:type="dxa"/>
            <w:gridSpan w:val="3"/>
            <w:tcBorders>
              <w:top w:val="nil"/>
              <w:bottom w:val="nil"/>
            </w:tcBorders>
          </w:tcPr>
          <w:p w14:paraId="0AB89C3F" w14:textId="77777777" w:rsidR="00B94D04" w:rsidRPr="001A0F7C" w:rsidRDefault="00B94D04" w:rsidP="00093286">
            <w:pPr>
              <w:pStyle w:val="Table"/>
              <w:rPr>
                <w:noProof/>
                <w:color w:val="000000" w:themeColor="text1"/>
                <w:szCs w:val="22"/>
              </w:rPr>
            </w:pPr>
            <w:r w:rsidRPr="001A0F7C">
              <w:rPr>
                <w:noProof/>
                <w:color w:val="000000" w:themeColor="text1"/>
                <w:szCs w:val="22"/>
              </w:rPr>
              <w:t>Assigned forms</w:t>
            </w:r>
          </w:p>
        </w:tc>
        <w:tc>
          <w:tcPr>
            <w:tcW w:w="900" w:type="dxa"/>
            <w:gridSpan w:val="2"/>
            <w:tcBorders>
              <w:top w:val="nil"/>
              <w:bottom w:val="nil"/>
            </w:tcBorders>
          </w:tcPr>
          <w:p w14:paraId="674EC1C0" w14:textId="77777777" w:rsidR="00B94D04" w:rsidRPr="001A0F7C" w:rsidRDefault="00B94D04" w:rsidP="00093286">
            <w:pPr>
              <w:pStyle w:val="Table"/>
              <w:rPr>
                <w:noProof/>
                <w:color w:val="000000" w:themeColor="text1"/>
                <w:szCs w:val="22"/>
              </w:rPr>
            </w:pPr>
          </w:p>
        </w:tc>
        <w:tc>
          <w:tcPr>
            <w:tcW w:w="900" w:type="dxa"/>
            <w:gridSpan w:val="2"/>
            <w:tcBorders>
              <w:top w:val="nil"/>
              <w:bottom w:val="nil"/>
            </w:tcBorders>
          </w:tcPr>
          <w:p w14:paraId="536BCAAD" w14:textId="77777777" w:rsidR="00B94D04" w:rsidRPr="001A0F7C" w:rsidRDefault="00B94D04" w:rsidP="00093286">
            <w:pPr>
              <w:pStyle w:val="Table"/>
              <w:rPr>
                <w:noProof/>
                <w:color w:val="000000" w:themeColor="text1"/>
                <w:szCs w:val="22"/>
              </w:rPr>
            </w:pPr>
          </w:p>
        </w:tc>
        <w:tc>
          <w:tcPr>
            <w:tcW w:w="1110" w:type="dxa"/>
            <w:gridSpan w:val="2"/>
            <w:tcBorders>
              <w:top w:val="nil"/>
              <w:bottom w:val="nil"/>
            </w:tcBorders>
          </w:tcPr>
          <w:p w14:paraId="694B2636" w14:textId="77777777" w:rsidR="00B94D04" w:rsidRPr="001A0F7C" w:rsidRDefault="00B94D04" w:rsidP="00093286">
            <w:pPr>
              <w:pStyle w:val="Table"/>
              <w:rPr>
                <w:noProof/>
                <w:color w:val="000000" w:themeColor="text1"/>
                <w:szCs w:val="22"/>
              </w:rPr>
            </w:pPr>
          </w:p>
        </w:tc>
        <w:tc>
          <w:tcPr>
            <w:tcW w:w="1770" w:type="dxa"/>
            <w:gridSpan w:val="2"/>
            <w:tcBorders>
              <w:top w:val="nil"/>
              <w:bottom w:val="nil"/>
            </w:tcBorders>
          </w:tcPr>
          <w:p w14:paraId="0305DDE2" w14:textId="77777777" w:rsidR="00B94D04" w:rsidRPr="001A0F7C" w:rsidRDefault="00B94D04" w:rsidP="00093286">
            <w:pPr>
              <w:pStyle w:val="Table"/>
              <w:rPr>
                <w:noProof/>
                <w:color w:val="000000" w:themeColor="text1"/>
                <w:szCs w:val="22"/>
              </w:rPr>
            </w:pPr>
          </w:p>
        </w:tc>
      </w:tr>
      <w:tr w:rsidR="00B94D04" w:rsidRPr="00972C81" w14:paraId="65776AB8" w14:textId="77777777" w:rsidTr="0021254F">
        <w:trPr>
          <w:trHeight w:val="340"/>
        </w:trPr>
        <w:tc>
          <w:tcPr>
            <w:tcW w:w="1843" w:type="dxa"/>
            <w:tcBorders>
              <w:top w:val="nil"/>
              <w:bottom w:val="nil"/>
            </w:tcBorders>
          </w:tcPr>
          <w:p w14:paraId="78A83058" w14:textId="77777777" w:rsidR="00B94D04" w:rsidRPr="001A0F7C" w:rsidRDefault="00B94D04" w:rsidP="00093286">
            <w:pPr>
              <w:pStyle w:val="Table"/>
              <w:rPr>
                <w:noProof/>
                <w:color w:val="000000" w:themeColor="text1"/>
                <w:szCs w:val="22"/>
              </w:rPr>
            </w:pPr>
            <w:r w:rsidRPr="001A0F7C">
              <w:rPr>
                <w:noProof/>
                <w:color w:val="000000" w:themeColor="text1"/>
                <w:szCs w:val="22"/>
              </w:rPr>
              <w:t>F</w:t>
            </w:r>
          </w:p>
        </w:tc>
        <w:tc>
          <w:tcPr>
            <w:tcW w:w="2794" w:type="dxa"/>
            <w:gridSpan w:val="3"/>
            <w:tcBorders>
              <w:top w:val="nil"/>
              <w:bottom w:val="nil"/>
            </w:tcBorders>
          </w:tcPr>
          <w:p w14:paraId="6753AA36" w14:textId="77777777" w:rsidR="00B94D04" w:rsidRPr="001A0F7C" w:rsidRDefault="00B94D04" w:rsidP="00093286">
            <w:pPr>
              <w:pStyle w:val="Table"/>
              <w:rPr>
                <w:noProof/>
                <w:color w:val="000000" w:themeColor="text1"/>
                <w:szCs w:val="22"/>
              </w:rPr>
            </w:pPr>
            <w:r w:rsidRPr="001A0F7C">
              <w:rPr>
                <w:noProof/>
                <w:color w:val="000000" w:themeColor="text1"/>
                <w:szCs w:val="22"/>
              </w:rPr>
              <w:t>—</w:t>
            </w:r>
          </w:p>
        </w:tc>
        <w:tc>
          <w:tcPr>
            <w:tcW w:w="900" w:type="dxa"/>
            <w:gridSpan w:val="2"/>
            <w:tcBorders>
              <w:top w:val="nil"/>
              <w:bottom w:val="nil"/>
            </w:tcBorders>
          </w:tcPr>
          <w:p w14:paraId="0FB5B868" w14:textId="77777777" w:rsidR="00B94D04" w:rsidRPr="001A0F7C" w:rsidRDefault="00B94D04" w:rsidP="00093286">
            <w:pPr>
              <w:pStyle w:val="Table"/>
              <w:rPr>
                <w:noProof/>
                <w:color w:val="000000" w:themeColor="text1"/>
                <w:szCs w:val="22"/>
              </w:rPr>
            </w:pPr>
            <w:r w:rsidRPr="001A0F7C">
              <w:rPr>
                <w:noProof/>
                <w:color w:val="000000" w:themeColor="text1"/>
                <w:szCs w:val="22"/>
              </w:rPr>
              <w:t>1</w:t>
            </w:r>
          </w:p>
        </w:tc>
        <w:tc>
          <w:tcPr>
            <w:tcW w:w="900" w:type="dxa"/>
            <w:gridSpan w:val="2"/>
            <w:tcBorders>
              <w:top w:val="nil"/>
              <w:bottom w:val="nil"/>
            </w:tcBorders>
          </w:tcPr>
          <w:p w14:paraId="497018A4" w14:textId="77777777" w:rsidR="00B94D04" w:rsidRPr="001A0F7C" w:rsidRDefault="00B94D04" w:rsidP="00093286">
            <w:pPr>
              <w:pStyle w:val="Table"/>
              <w:rPr>
                <w:noProof/>
                <w:color w:val="000000" w:themeColor="text1"/>
                <w:szCs w:val="22"/>
              </w:rPr>
            </w:pPr>
            <w:r w:rsidRPr="001A0F7C">
              <w:rPr>
                <w:noProof/>
                <w:color w:val="000000" w:themeColor="text1"/>
                <w:szCs w:val="22"/>
              </w:rPr>
              <w:t>0.4</w:t>
            </w:r>
          </w:p>
        </w:tc>
        <w:tc>
          <w:tcPr>
            <w:tcW w:w="1110" w:type="dxa"/>
            <w:gridSpan w:val="2"/>
            <w:tcBorders>
              <w:top w:val="nil"/>
              <w:bottom w:val="nil"/>
            </w:tcBorders>
          </w:tcPr>
          <w:p w14:paraId="6C6E2185" w14:textId="77777777" w:rsidR="00B94D04" w:rsidRPr="001A0F7C" w:rsidRDefault="00B94D04" w:rsidP="00093286">
            <w:pPr>
              <w:pStyle w:val="Table"/>
              <w:rPr>
                <w:noProof/>
                <w:color w:val="000000" w:themeColor="text1"/>
                <w:szCs w:val="22"/>
              </w:rPr>
            </w:pPr>
            <w:r w:rsidRPr="001A0F7C">
              <w:rPr>
                <w:noProof/>
                <w:color w:val="000000" w:themeColor="text1"/>
                <w:szCs w:val="22"/>
              </w:rPr>
              <w:t>—</w:t>
            </w:r>
          </w:p>
        </w:tc>
        <w:tc>
          <w:tcPr>
            <w:tcW w:w="1770" w:type="dxa"/>
            <w:gridSpan w:val="2"/>
            <w:tcBorders>
              <w:top w:val="nil"/>
              <w:bottom w:val="nil"/>
            </w:tcBorders>
          </w:tcPr>
          <w:p w14:paraId="5808D244" w14:textId="401D50E5" w:rsidR="00B94D04" w:rsidRPr="001A0F7C" w:rsidRDefault="003D2DB1" w:rsidP="00093286">
            <w:pPr>
              <w:pStyle w:val="Table"/>
              <w:rPr>
                <w:noProof/>
                <w:color w:val="000000" w:themeColor="text1"/>
                <w:szCs w:val="22"/>
              </w:rPr>
            </w:pPr>
            <w:r w:rsidRPr="001A0F7C">
              <w:rPr>
                <w:noProof/>
                <w:color w:val="000000" w:themeColor="text1"/>
                <w:szCs w:val="22"/>
              </w:rPr>
              <w:t>5</w:t>
            </w:r>
            <w:r w:rsidR="00B94D04" w:rsidRPr="001A0F7C">
              <w:rPr>
                <w:noProof/>
                <w:color w:val="000000" w:themeColor="text1"/>
                <w:szCs w:val="22"/>
              </w:rPr>
              <w:t xml:space="preserve"> × 10</w:t>
            </w:r>
            <w:r w:rsidR="00B94D04" w:rsidRPr="001A0F7C">
              <w:rPr>
                <w:noProof/>
                <w:color w:val="000000" w:themeColor="text1"/>
                <w:szCs w:val="22"/>
                <w:vertAlign w:val="superscript"/>
              </w:rPr>
              <w:t>-4</w:t>
            </w:r>
          </w:p>
        </w:tc>
      </w:tr>
      <w:tr w:rsidR="00B94D04" w:rsidRPr="00972C81" w14:paraId="52710A0D" w14:textId="77777777" w:rsidTr="0021254F">
        <w:trPr>
          <w:trHeight w:val="340"/>
        </w:trPr>
        <w:tc>
          <w:tcPr>
            <w:tcW w:w="1843" w:type="dxa"/>
            <w:tcBorders>
              <w:top w:val="nil"/>
              <w:bottom w:val="nil"/>
            </w:tcBorders>
          </w:tcPr>
          <w:p w14:paraId="314603E4" w14:textId="6F83CCC1" w:rsidR="00B94D04" w:rsidRPr="001A0F7C" w:rsidRDefault="00B94D04" w:rsidP="00093286">
            <w:pPr>
              <w:pStyle w:val="Table"/>
              <w:rPr>
                <w:noProof/>
                <w:color w:val="000000" w:themeColor="text1"/>
                <w:szCs w:val="22"/>
                <w:vertAlign w:val="superscript"/>
              </w:rPr>
            </w:pPr>
            <w:r w:rsidRPr="001A0F7C">
              <w:rPr>
                <w:noProof/>
                <w:color w:val="000000" w:themeColor="text1"/>
                <w:szCs w:val="22"/>
              </w:rPr>
              <w:t>M</w:t>
            </w:r>
            <w:r w:rsidR="00E31258" w:rsidRPr="001A0F7C">
              <w:rPr>
                <w:noProof/>
                <w:color w:val="000000" w:themeColor="text1"/>
                <w:szCs w:val="22"/>
                <w:vertAlign w:val="superscript"/>
              </w:rPr>
              <w:t>‡</w:t>
            </w:r>
            <w:r w:rsidR="00C822C6" w:rsidRPr="001A0F7C">
              <w:rPr>
                <w:noProof/>
                <w:color w:val="000000" w:themeColor="text1"/>
                <w:szCs w:val="22"/>
                <w:vertAlign w:val="superscript"/>
              </w:rPr>
              <w:t>‡</w:t>
            </w:r>
          </w:p>
        </w:tc>
        <w:tc>
          <w:tcPr>
            <w:tcW w:w="2794" w:type="dxa"/>
            <w:gridSpan w:val="3"/>
            <w:tcBorders>
              <w:top w:val="nil"/>
              <w:bottom w:val="nil"/>
            </w:tcBorders>
          </w:tcPr>
          <w:p w14:paraId="660FFCA5" w14:textId="2B6BCB2E" w:rsidR="00B94D04" w:rsidRPr="001A0F7C" w:rsidRDefault="00B94D04" w:rsidP="00093286">
            <w:pPr>
              <w:pStyle w:val="Table"/>
              <w:rPr>
                <w:noProof/>
                <w:color w:val="000000" w:themeColor="text1"/>
                <w:szCs w:val="22"/>
                <w:vertAlign w:val="superscript"/>
                <w:lang w:val="fr-FR"/>
              </w:rPr>
            </w:pPr>
            <w:r w:rsidRPr="001A0F7C">
              <w:rPr>
                <w:noProof/>
                <w:color w:val="000000" w:themeColor="text1"/>
                <w:szCs w:val="22"/>
                <w:lang w:val="fr-FR"/>
              </w:rPr>
              <w:t>Plutonium citrate</w:t>
            </w:r>
            <w:r w:rsidR="003D2DB1" w:rsidRPr="001A0F7C">
              <w:rPr>
                <w:noProof/>
                <w:color w:val="000000" w:themeColor="text1"/>
                <w:szCs w:val="22"/>
                <w:lang w:val="fr-FR"/>
              </w:rPr>
              <w:t>; Plutonium tri-butyl-phosphate (Pu-TBP) ; Plutonium chloride (PuCl</w:t>
            </w:r>
            <w:r w:rsidR="003D2DB1" w:rsidRPr="001A0F7C">
              <w:rPr>
                <w:noProof/>
                <w:color w:val="000000" w:themeColor="text1"/>
                <w:szCs w:val="22"/>
                <w:vertAlign w:val="subscript"/>
                <w:lang w:val="fr-FR"/>
              </w:rPr>
              <w:t>3</w:t>
            </w:r>
            <w:r w:rsidR="003D2DB1" w:rsidRPr="001A0F7C">
              <w:rPr>
                <w:noProof/>
                <w:color w:val="000000" w:themeColor="text1"/>
                <w:szCs w:val="22"/>
                <w:lang w:val="fr-FR"/>
              </w:rPr>
              <w:t>)</w:t>
            </w:r>
          </w:p>
        </w:tc>
        <w:tc>
          <w:tcPr>
            <w:tcW w:w="900" w:type="dxa"/>
            <w:gridSpan w:val="2"/>
            <w:tcBorders>
              <w:top w:val="nil"/>
              <w:bottom w:val="nil"/>
            </w:tcBorders>
          </w:tcPr>
          <w:p w14:paraId="0E5C3656" w14:textId="77777777" w:rsidR="00B94D04" w:rsidRPr="001A0F7C" w:rsidRDefault="00B94D04" w:rsidP="00093286">
            <w:pPr>
              <w:pStyle w:val="Table"/>
              <w:rPr>
                <w:noProof/>
                <w:color w:val="000000" w:themeColor="text1"/>
                <w:szCs w:val="22"/>
              </w:rPr>
            </w:pPr>
            <w:r w:rsidRPr="001A0F7C">
              <w:rPr>
                <w:noProof/>
                <w:color w:val="000000" w:themeColor="text1"/>
                <w:szCs w:val="22"/>
              </w:rPr>
              <w:t>0.2</w:t>
            </w:r>
          </w:p>
        </w:tc>
        <w:tc>
          <w:tcPr>
            <w:tcW w:w="900" w:type="dxa"/>
            <w:gridSpan w:val="2"/>
            <w:tcBorders>
              <w:top w:val="nil"/>
              <w:bottom w:val="nil"/>
            </w:tcBorders>
          </w:tcPr>
          <w:p w14:paraId="029D4668" w14:textId="77777777" w:rsidR="00B94D04" w:rsidRPr="001A0F7C" w:rsidRDefault="00B94D04" w:rsidP="00093286">
            <w:pPr>
              <w:pStyle w:val="Table"/>
              <w:rPr>
                <w:noProof/>
                <w:color w:val="000000" w:themeColor="text1"/>
                <w:szCs w:val="22"/>
              </w:rPr>
            </w:pPr>
            <w:r w:rsidRPr="001A0F7C">
              <w:rPr>
                <w:noProof/>
                <w:color w:val="000000" w:themeColor="text1"/>
                <w:szCs w:val="22"/>
              </w:rPr>
              <w:t>0.4</w:t>
            </w:r>
          </w:p>
        </w:tc>
        <w:tc>
          <w:tcPr>
            <w:tcW w:w="1110" w:type="dxa"/>
            <w:gridSpan w:val="2"/>
            <w:tcBorders>
              <w:top w:val="nil"/>
              <w:bottom w:val="nil"/>
            </w:tcBorders>
          </w:tcPr>
          <w:p w14:paraId="66A2A9FE" w14:textId="77777777" w:rsidR="00B94D04" w:rsidRPr="001A0F7C" w:rsidRDefault="00B94D04" w:rsidP="00093286">
            <w:pPr>
              <w:pStyle w:val="Table"/>
              <w:rPr>
                <w:noProof/>
                <w:color w:val="000000" w:themeColor="text1"/>
                <w:szCs w:val="22"/>
              </w:rPr>
            </w:pPr>
            <w:r w:rsidRPr="001A0F7C">
              <w:rPr>
                <w:noProof/>
                <w:color w:val="000000" w:themeColor="text1"/>
                <w:szCs w:val="22"/>
              </w:rPr>
              <w:t>0.005</w:t>
            </w:r>
          </w:p>
        </w:tc>
        <w:tc>
          <w:tcPr>
            <w:tcW w:w="1770" w:type="dxa"/>
            <w:gridSpan w:val="2"/>
            <w:tcBorders>
              <w:top w:val="nil"/>
              <w:bottom w:val="nil"/>
            </w:tcBorders>
          </w:tcPr>
          <w:p w14:paraId="0960678C" w14:textId="24678D72" w:rsidR="00B94D04" w:rsidRPr="001A0F7C" w:rsidRDefault="003D2DB1" w:rsidP="00093286">
            <w:pPr>
              <w:pStyle w:val="Table"/>
              <w:rPr>
                <w:noProof/>
                <w:color w:val="000000" w:themeColor="text1"/>
                <w:szCs w:val="22"/>
              </w:rPr>
            </w:pPr>
            <w:r w:rsidRPr="001A0F7C">
              <w:rPr>
                <w:noProof/>
                <w:color w:val="000000" w:themeColor="text1"/>
                <w:szCs w:val="22"/>
              </w:rPr>
              <w:t xml:space="preserve">1 </w:t>
            </w:r>
            <w:r w:rsidR="00B94D04" w:rsidRPr="001A0F7C">
              <w:rPr>
                <w:noProof/>
                <w:color w:val="000000" w:themeColor="text1"/>
                <w:szCs w:val="22"/>
              </w:rPr>
              <w:t>× 10</w:t>
            </w:r>
            <w:r w:rsidR="00B94D04" w:rsidRPr="001A0F7C">
              <w:rPr>
                <w:noProof/>
                <w:color w:val="000000" w:themeColor="text1"/>
                <w:szCs w:val="22"/>
                <w:vertAlign w:val="superscript"/>
              </w:rPr>
              <w:t>-</w:t>
            </w:r>
            <w:r w:rsidRPr="001A0F7C">
              <w:rPr>
                <w:noProof/>
                <w:color w:val="000000" w:themeColor="text1"/>
                <w:szCs w:val="22"/>
                <w:vertAlign w:val="superscript"/>
              </w:rPr>
              <w:t>4</w:t>
            </w:r>
          </w:p>
        </w:tc>
      </w:tr>
      <w:tr w:rsidR="00B94D04" w:rsidRPr="00972C81" w14:paraId="248AFF26" w14:textId="77777777" w:rsidTr="0021254F">
        <w:trPr>
          <w:trHeight w:val="340"/>
        </w:trPr>
        <w:tc>
          <w:tcPr>
            <w:tcW w:w="1843" w:type="dxa"/>
            <w:tcBorders>
              <w:top w:val="nil"/>
              <w:bottom w:val="single" w:sz="4" w:space="0" w:color="auto"/>
            </w:tcBorders>
          </w:tcPr>
          <w:p w14:paraId="559B644C" w14:textId="77777777" w:rsidR="00B94D04" w:rsidRPr="001A0F7C" w:rsidRDefault="00B94D04" w:rsidP="00093286">
            <w:pPr>
              <w:pStyle w:val="Table"/>
              <w:rPr>
                <w:noProof/>
                <w:color w:val="000000" w:themeColor="text1"/>
                <w:szCs w:val="22"/>
              </w:rPr>
            </w:pPr>
            <w:r w:rsidRPr="001A0F7C">
              <w:rPr>
                <w:noProof/>
                <w:color w:val="000000" w:themeColor="text1"/>
                <w:szCs w:val="22"/>
              </w:rPr>
              <w:t>S</w:t>
            </w:r>
          </w:p>
        </w:tc>
        <w:tc>
          <w:tcPr>
            <w:tcW w:w="2794" w:type="dxa"/>
            <w:gridSpan w:val="3"/>
            <w:tcBorders>
              <w:top w:val="nil"/>
              <w:bottom w:val="single" w:sz="4" w:space="0" w:color="auto"/>
            </w:tcBorders>
          </w:tcPr>
          <w:p w14:paraId="45638DB4" w14:textId="77777777" w:rsidR="00B94D04" w:rsidRPr="001A0F7C" w:rsidRDefault="00B94D04" w:rsidP="00093286">
            <w:pPr>
              <w:pStyle w:val="Table"/>
              <w:rPr>
                <w:noProof/>
                <w:color w:val="000000" w:themeColor="text1"/>
                <w:szCs w:val="22"/>
              </w:rPr>
            </w:pPr>
            <w:r w:rsidRPr="001A0F7C">
              <w:rPr>
                <w:noProof/>
                <w:color w:val="000000" w:themeColor="text1"/>
                <w:szCs w:val="22"/>
              </w:rPr>
              <w:t>—</w:t>
            </w:r>
          </w:p>
        </w:tc>
        <w:tc>
          <w:tcPr>
            <w:tcW w:w="900" w:type="dxa"/>
            <w:gridSpan w:val="2"/>
            <w:tcBorders>
              <w:top w:val="nil"/>
              <w:bottom w:val="single" w:sz="4" w:space="0" w:color="auto"/>
            </w:tcBorders>
          </w:tcPr>
          <w:p w14:paraId="174000EB" w14:textId="77777777" w:rsidR="00B94D04" w:rsidRPr="001A0F7C" w:rsidRDefault="00B94D04" w:rsidP="00093286">
            <w:pPr>
              <w:pStyle w:val="Table"/>
              <w:rPr>
                <w:noProof/>
                <w:color w:val="000000" w:themeColor="text1"/>
                <w:szCs w:val="22"/>
              </w:rPr>
            </w:pPr>
            <w:r w:rsidRPr="001A0F7C">
              <w:rPr>
                <w:noProof/>
                <w:color w:val="000000" w:themeColor="text1"/>
                <w:szCs w:val="22"/>
              </w:rPr>
              <w:t>0.01</w:t>
            </w:r>
          </w:p>
        </w:tc>
        <w:tc>
          <w:tcPr>
            <w:tcW w:w="900" w:type="dxa"/>
            <w:gridSpan w:val="2"/>
            <w:tcBorders>
              <w:top w:val="nil"/>
              <w:bottom w:val="single" w:sz="4" w:space="0" w:color="auto"/>
            </w:tcBorders>
          </w:tcPr>
          <w:p w14:paraId="0D6FF8A3" w14:textId="77777777" w:rsidR="00B94D04" w:rsidRPr="001A0F7C" w:rsidRDefault="00B94D04" w:rsidP="00093286">
            <w:pPr>
              <w:pStyle w:val="Table"/>
              <w:rPr>
                <w:noProof/>
                <w:color w:val="000000" w:themeColor="text1"/>
                <w:szCs w:val="22"/>
              </w:rPr>
            </w:pPr>
            <w:r w:rsidRPr="001A0F7C">
              <w:rPr>
                <w:noProof/>
                <w:color w:val="000000" w:themeColor="text1"/>
                <w:szCs w:val="22"/>
              </w:rPr>
              <w:t>0.4</w:t>
            </w:r>
          </w:p>
        </w:tc>
        <w:tc>
          <w:tcPr>
            <w:tcW w:w="1110" w:type="dxa"/>
            <w:gridSpan w:val="2"/>
            <w:tcBorders>
              <w:top w:val="nil"/>
              <w:bottom w:val="single" w:sz="4" w:space="0" w:color="auto"/>
            </w:tcBorders>
          </w:tcPr>
          <w:p w14:paraId="1BA240B6" w14:textId="77777777" w:rsidR="00B94D04" w:rsidRPr="001A0F7C" w:rsidRDefault="00B94D04" w:rsidP="00093286">
            <w:pPr>
              <w:pStyle w:val="Table"/>
              <w:rPr>
                <w:noProof/>
                <w:color w:val="000000" w:themeColor="text1"/>
                <w:szCs w:val="22"/>
              </w:rPr>
            </w:pPr>
            <w:r w:rsidRPr="001A0F7C">
              <w:rPr>
                <w:noProof/>
                <w:color w:val="000000" w:themeColor="text1"/>
                <w:szCs w:val="22"/>
              </w:rPr>
              <w:t>1 × 10</w:t>
            </w:r>
            <w:r w:rsidRPr="001A0F7C">
              <w:rPr>
                <w:noProof/>
                <w:color w:val="000000" w:themeColor="text1"/>
                <w:szCs w:val="22"/>
                <w:vertAlign w:val="superscript"/>
              </w:rPr>
              <w:t>-4</w:t>
            </w:r>
          </w:p>
        </w:tc>
        <w:tc>
          <w:tcPr>
            <w:tcW w:w="1770" w:type="dxa"/>
            <w:gridSpan w:val="2"/>
            <w:tcBorders>
              <w:top w:val="nil"/>
              <w:bottom w:val="single" w:sz="4" w:space="0" w:color="auto"/>
            </w:tcBorders>
          </w:tcPr>
          <w:p w14:paraId="3A994223" w14:textId="33AA1406" w:rsidR="00B94D04" w:rsidRPr="001A0F7C" w:rsidRDefault="003D2DB1" w:rsidP="00093286">
            <w:pPr>
              <w:pStyle w:val="Table"/>
              <w:rPr>
                <w:noProof/>
                <w:color w:val="000000" w:themeColor="text1"/>
                <w:szCs w:val="22"/>
              </w:rPr>
            </w:pPr>
            <w:r w:rsidRPr="001A0F7C">
              <w:rPr>
                <w:noProof/>
                <w:color w:val="000000" w:themeColor="text1"/>
                <w:szCs w:val="22"/>
              </w:rPr>
              <w:t>5</w:t>
            </w:r>
            <w:r w:rsidR="00B94D04" w:rsidRPr="001A0F7C">
              <w:rPr>
                <w:noProof/>
                <w:color w:val="000000" w:themeColor="text1"/>
                <w:szCs w:val="22"/>
              </w:rPr>
              <w:t xml:space="preserve"> × 10</w:t>
            </w:r>
            <w:r w:rsidR="00B94D04" w:rsidRPr="001A0F7C">
              <w:rPr>
                <w:noProof/>
                <w:color w:val="000000" w:themeColor="text1"/>
                <w:szCs w:val="22"/>
                <w:vertAlign w:val="superscript"/>
              </w:rPr>
              <w:t>-6</w:t>
            </w:r>
          </w:p>
        </w:tc>
      </w:tr>
      <w:tr w:rsidR="00B94D04" w:rsidRPr="00972C81" w14:paraId="0242D01D" w14:textId="77777777" w:rsidTr="0021254F">
        <w:trPr>
          <w:trHeight w:val="340"/>
        </w:trPr>
        <w:tc>
          <w:tcPr>
            <w:tcW w:w="4637" w:type="dxa"/>
            <w:gridSpan w:val="4"/>
            <w:tcBorders>
              <w:top w:val="single" w:sz="4" w:space="0" w:color="auto"/>
              <w:bottom w:val="nil"/>
            </w:tcBorders>
          </w:tcPr>
          <w:p w14:paraId="036B24C2" w14:textId="77777777" w:rsidR="00B94D04" w:rsidRPr="001A0F7C" w:rsidRDefault="00B94D04" w:rsidP="00E81109">
            <w:pPr>
              <w:pStyle w:val="Table"/>
              <w:rPr>
                <w:noProof/>
                <w:color w:val="000000" w:themeColor="text1"/>
                <w:szCs w:val="22"/>
              </w:rPr>
            </w:pPr>
          </w:p>
        </w:tc>
        <w:tc>
          <w:tcPr>
            <w:tcW w:w="900" w:type="dxa"/>
            <w:gridSpan w:val="2"/>
            <w:tcBorders>
              <w:top w:val="single" w:sz="4" w:space="0" w:color="auto"/>
              <w:bottom w:val="nil"/>
            </w:tcBorders>
          </w:tcPr>
          <w:p w14:paraId="406DD2AF" w14:textId="77777777" w:rsidR="00B94D04" w:rsidRPr="001A0F7C" w:rsidRDefault="00B94D04" w:rsidP="00E81109">
            <w:pPr>
              <w:pStyle w:val="Table"/>
              <w:rPr>
                <w:noProof/>
                <w:color w:val="000000" w:themeColor="text1"/>
                <w:szCs w:val="22"/>
              </w:rPr>
            </w:pPr>
          </w:p>
        </w:tc>
        <w:tc>
          <w:tcPr>
            <w:tcW w:w="900" w:type="dxa"/>
            <w:gridSpan w:val="2"/>
            <w:tcBorders>
              <w:top w:val="single" w:sz="4" w:space="0" w:color="auto"/>
              <w:bottom w:val="nil"/>
            </w:tcBorders>
          </w:tcPr>
          <w:p w14:paraId="503863DB" w14:textId="77777777" w:rsidR="00B94D04" w:rsidRPr="001A0F7C" w:rsidRDefault="00B94D04" w:rsidP="00E81109">
            <w:pPr>
              <w:pStyle w:val="Table"/>
              <w:rPr>
                <w:noProof/>
                <w:color w:val="000000" w:themeColor="text1"/>
                <w:szCs w:val="22"/>
              </w:rPr>
            </w:pPr>
          </w:p>
        </w:tc>
        <w:tc>
          <w:tcPr>
            <w:tcW w:w="1110" w:type="dxa"/>
            <w:gridSpan w:val="2"/>
            <w:tcBorders>
              <w:top w:val="single" w:sz="4" w:space="0" w:color="auto"/>
              <w:bottom w:val="nil"/>
            </w:tcBorders>
          </w:tcPr>
          <w:p w14:paraId="1E5BB20F" w14:textId="77777777" w:rsidR="00B94D04" w:rsidRPr="001A0F7C" w:rsidRDefault="00B94D04" w:rsidP="00E81109">
            <w:pPr>
              <w:pStyle w:val="Table"/>
              <w:rPr>
                <w:noProof/>
                <w:color w:val="000000" w:themeColor="text1"/>
                <w:szCs w:val="22"/>
              </w:rPr>
            </w:pPr>
          </w:p>
        </w:tc>
        <w:tc>
          <w:tcPr>
            <w:tcW w:w="1770" w:type="dxa"/>
            <w:gridSpan w:val="2"/>
            <w:tcBorders>
              <w:top w:val="single" w:sz="4" w:space="0" w:color="auto"/>
              <w:bottom w:val="nil"/>
            </w:tcBorders>
          </w:tcPr>
          <w:p w14:paraId="3ECAB9B3" w14:textId="77777777" w:rsidR="00B94D04" w:rsidRPr="001A0F7C" w:rsidRDefault="00B94D04" w:rsidP="00E81109">
            <w:pPr>
              <w:pStyle w:val="Table"/>
              <w:rPr>
                <w:noProof/>
                <w:color w:val="000000" w:themeColor="text1"/>
                <w:szCs w:val="22"/>
              </w:rPr>
            </w:pPr>
          </w:p>
        </w:tc>
      </w:tr>
      <w:tr w:rsidR="00B94D04" w:rsidRPr="00972C81" w14:paraId="7E83C091" w14:textId="77777777" w:rsidTr="0021254F">
        <w:trPr>
          <w:trHeight w:val="340"/>
        </w:trPr>
        <w:tc>
          <w:tcPr>
            <w:tcW w:w="4637" w:type="dxa"/>
            <w:gridSpan w:val="4"/>
            <w:tcBorders>
              <w:top w:val="nil"/>
              <w:bottom w:val="single" w:sz="4" w:space="0" w:color="auto"/>
            </w:tcBorders>
          </w:tcPr>
          <w:p w14:paraId="583691F8" w14:textId="405395B1" w:rsidR="00B94D04" w:rsidRPr="001A0F7C" w:rsidRDefault="00B94D04" w:rsidP="00E81109">
            <w:pPr>
              <w:pStyle w:val="Table"/>
              <w:rPr>
                <w:noProof/>
                <w:color w:val="000000" w:themeColor="text1"/>
                <w:szCs w:val="22"/>
                <w:vertAlign w:val="superscript"/>
              </w:rPr>
            </w:pPr>
            <w:r w:rsidRPr="001A0F7C">
              <w:rPr>
                <w:noProof/>
                <w:color w:val="000000" w:themeColor="text1"/>
                <w:szCs w:val="22"/>
              </w:rPr>
              <w:t>Ingested materials</w:t>
            </w:r>
            <w:r w:rsidR="00E31258" w:rsidRPr="001A0F7C">
              <w:rPr>
                <w:noProof/>
                <w:color w:val="000000" w:themeColor="text1"/>
                <w:szCs w:val="22"/>
                <w:vertAlign w:val="superscript"/>
              </w:rPr>
              <w:t>§</w:t>
            </w:r>
            <w:r w:rsidR="00C822C6" w:rsidRPr="001A0F7C">
              <w:rPr>
                <w:noProof/>
                <w:color w:val="000000" w:themeColor="text1"/>
                <w:szCs w:val="22"/>
                <w:vertAlign w:val="superscript"/>
              </w:rPr>
              <w:t>§</w:t>
            </w:r>
          </w:p>
        </w:tc>
        <w:tc>
          <w:tcPr>
            <w:tcW w:w="900" w:type="dxa"/>
            <w:gridSpan w:val="2"/>
            <w:tcBorders>
              <w:top w:val="nil"/>
              <w:bottom w:val="single" w:sz="4" w:space="0" w:color="auto"/>
            </w:tcBorders>
          </w:tcPr>
          <w:p w14:paraId="408AC218" w14:textId="77777777" w:rsidR="00B94D04" w:rsidRPr="001A0F7C" w:rsidRDefault="00B94D04" w:rsidP="00E81109">
            <w:pPr>
              <w:pStyle w:val="Table"/>
              <w:rPr>
                <w:noProof/>
                <w:color w:val="000000" w:themeColor="text1"/>
                <w:szCs w:val="22"/>
              </w:rPr>
            </w:pPr>
          </w:p>
        </w:tc>
        <w:tc>
          <w:tcPr>
            <w:tcW w:w="900" w:type="dxa"/>
            <w:gridSpan w:val="2"/>
            <w:tcBorders>
              <w:top w:val="nil"/>
              <w:bottom w:val="single" w:sz="4" w:space="0" w:color="auto"/>
            </w:tcBorders>
          </w:tcPr>
          <w:p w14:paraId="2644EBE3" w14:textId="77777777" w:rsidR="00B94D04" w:rsidRPr="001A0F7C" w:rsidRDefault="00B94D04" w:rsidP="00E81109">
            <w:pPr>
              <w:pStyle w:val="Table"/>
              <w:rPr>
                <w:noProof/>
                <w:color w:val="000000" w:themeColor="text1"/>
                <w:szCs w:val="22"/>
              </w:rPr>
            </w:pPr>
          </w:p>
        </w:tc>
        <w:tc>
          <w:tcPr>
            <w:tcW w:w="1110" w:type="dxa"/>
            <w:gridSpan w:val="2"/>
            <w:tcBorders>
              <w:top w:val="nil"/>
              <w:bottom w:val="single" w:sz="4" w:space="0" w:color="auto"/>
            </w:tcBorders>
          </w:tcPr>
          <w:p w14:paraId="3D1A1CC9" w14:textId="77777777" w:rsidR="00B94D04" w:rsidRPr="001A0F7C" w:rsidRDefault="00B94D04" w:rsidP="00E81109">
            <w:pPr>
              <w:pStyle w:val="Table"/>
              <w:rPr>
                <w:noProof/>
                <w:color w:val="000000" w:themeColor="text1"/>
                <w:szCs w:val="22"/>
              </w:rPr>
            </w:pPr>
          </w:p>
        </w:tc>
        <w:tc>
          <w:tcPr>
            <w:tcW w:w="1770" w:type="dxa"/>
            <w:gridSpan w:val="2"/>
            <w:tcBorders>
              <w:top w:val="nil"/>
              <w:bottom w:val="single" w:sz="4" w:space="0" w:color="auto"/>
            </w:tcBorders>
          </w:tcPr>
          <w:p w14:paraId="2DCF2323" w14:textId="77777777" w:rsidR="00B94D04" w:rsidRPr="001A0F7C" w:rsidRDefault="00B94D04" w:rsidP="00E81109">
            <w:pPr>
              <w:pStyle w:val="Table"/>
              <w:rPr>
                <w:noProof/>
                <w:color w:val="000000" w:themeColor="text1"/>
                <w:szCs w:val="22"/>
              </w:rPr>
            </w:pPr>
          </w:p>
        </w:tc>
      </w:tr>
      <w:tr w:rsidR="0021254F" w:rsidRPr="00972C81" w14:paraId="6F58508F" w14:textId="77777777" w:rsidTr="0021254F">
        <w:tblPrEx>
          <w:jc w:val="center"/>
        </w:tblPrEx>
        <w:trPr>
          <w:trHeight w:val="340"/>
          <w:jc w:val="center"/>
        </w:trPr>
        <w:tc>
          <w:tcPr>
            <w:tcW w:w="2770" w:type="dxa"/>
            <w:gridSpan w:val="2"/>
            <w:vMerge w:val="restart"/>
            <w:vAlign w:val="center"/>
          </w:tcPr>
          <w:p w14:paraId="1F7F6620" w14:textId="77777777" w:rsidR="0021254F" w:rsidRPr="001A0F7C" w:rsidRDefault="0021254F" w:rsidP="0021254F">
            <w:pPr>
              <w:pStyle w:val="Table"/>
              <w:ind w:left="32"/>
              <w:rPr>
                <w:noProof/>
                <w:szCs w:val="22"/>
              </w:rPr>
            </w:pPr>
            <w:r w:rsidRPr="001A0F7C">
              <w:rPr>
                <w:noProof/>
                <w:szCs w:val="22"/>
              </w:rPr>
              <w:t>Assigned forms</w:t>
            </w:r>
          </w:p>
        </w:tc>
        <w:tc>
          <w:tcPr>
            <w:tcW w:w="6547" w:type="dxa"/>
            <w:gridSpan w:val="10"/>
            <w:tcBorders>
              <w:bottom w:val="single" w:sz="4" w:space="0" w:color="auto"/>
            </w:tcBorders>
            <w:vAlign w:val="center"/>
          </w:tcPr>
          <w:p w14:paraId="757D9F61" w14:textId="1001BB10" w:rsidR="0021254F" w:rsidRPr="001A0F7C" w:rsidRDefault="0021254F" w:rsidP="0021254F">
            <w:pPr>
              <w:pStyle w:val="Table"/>
              <w:jc w:val="center"/>
              <w:rPr>
                <w:noProof/>
                <w:szCs w:val="22"/>
              </w:rPr>
            </w:pPr>
            <w:r w:rsidRPr="001A0F7C">
              <w:rPr>
                <w:noProof/>
                <w:szCs w:val="22"/>
              </w:rPr>
              <w:t xml:space="preserve">Age-dependent absorption from the alimentary tract, </w:t>
            </w:r>
            <w:r w:rsidRPr="001A0F7C">
              <w:rPr>
                <w:i/>
                <w:noProof/>
                <w:szCs w:val="22"/>
              </w:rPr>
              <w:t>f</w:t>
            </w:r>
            <w:r w:rsidRPr="001A0F7C">
              <w:rPr>
                <w:noProof/>
                <w:szCs w:val="22"/>
                <w:vertAlign w:val="subscript"/>
              </w:rPr>
              <w:t>A</w:t>
            </w:r>
          </w:p>
        </w:tc>
      </w:tr>
      <w:tr w:rsidR="0021254F" w:rsidRPr="00972C81" w14:paraId="0484A860" w14:textId="77777777" w:rsidTr="0021254F">
        <w:tblPrEx>
          <w:jc w:val="center"/>
        </w:tblPrEx>
        <w:trPr>
          <w:trHeight w:val="340"/>
          <w:jc w:val="center"/>
        </w:trPr>
        <w:tc>
          <w:tcPr>
            <w:tcW w:w="2770" w:type="dxa"/>
            <w:gridSpan w:val="2"/>
            <w:vMerge/>
            <w:tcBorders>
              <w:top w:val="single" w:sz="4" w:space="0" w:color="auto"/>
              <w:bottom w:val="single" w:sz="4" w:space="0" w:color="auto"/>
            </w:tcBorders>
          </w:tcPr>
          <w:p w14:paraId="2A1775C3" w14:textId="77777777" w:rsidR="0021254F" w:rsidRPr="001A0F7C" w:rsidRDefault="0021254F" w:rsidP="00E81109">
            <w:pPr>
              <w:pStyle w:val="Table"/>
              <w:rPr>
                <w:noProof/>
                <w:szCs w:val="22"/>
              </w:rPr>
            </w:pPr>
          </w:p>
        </w:tc>
        <w:tc>
          <w:tcPr>
            <w:tcW w:w="1199" w:type="dxa"/>
            <w:tcBorders>
              <w:top w:val="single" w:sz="4" w:space="0" w:color="auto"/>
              <w:bottom w:val="single" w:sz="4" w:space="0" w:color="auto"/>
            </w:tcBorders>
            <w:vAlign w:val="center"/>
          </w:tcPr>
          <w:p w14:paraId="610D7E66" w14:textId="65054C59" w:rsidR="0021254F" w:rsidRPr="001A0F7C" w:rsidRDefault="0021254F" w:rsidP="0021254F">
            <w:pPr>
              <w:pStyle w:val="Table"/>
              <w:rPr>
                <w:noProof/>
                <w:szCs w:val="22"/>
              </w:rPr>
            </w:pPr>
            <w:r w:rsidRPr="001A0F7C">
              <w:rPr>
                <w:noProof/>
                <w:szCs w:val="22"/>
              </w:rPr>
              <w:t>3 mo</w:t>
            </w:r>
          </w:p>
        </w:tc>
        <w:tc>
          <w:tcPr>
            <w:tcW w:w="992" w:type="dxa"/>
            <w:gridSpan w:val="2"/>
            <w:tcBorders>
              <w:top w:val="single" w:sz="4" w:space="0" w:color="auto"/>
              <w:bottom w:val="single" w:sz="4" w:space="0" w:color="auto"/>
            </w:tcBorders>
            <w:vAlign w:val="center"/>
          </w:tcPr>
          <w:p w14:paraId="5DB6F09C" w14:textId="784A6FD7" w:rsidR="0021254F" w:rsidRPr="001A0F7C" w:rsidRDefault="0021254F" w:rsidP="0021254F">
            <w:pPr>
              <w:pStyle w:val="Table"/>
              <w:rPr>
                <w:noProof/>
                <w:szCs w:val="22"/>
              </w:rPr>
            </w:pPr>
            <w:r w:rsidRPr="001A0F7C">
              <w:rPr>
                <w:noProof/>
                <w:szCs w:val="22"/>
              </w:rPr>
              <w:t>1 y</w:t>
            </w:r>
          </w:p>
        </w:tc>
        <w:tc>
          <w:tcPr>
            <w:tcW w:w="1276" w:type="dxa"/>
            <w:gridSpan w:val="2"/>
            <w:tcBorders>
              <w:top w:val="single" w:sz="4" w:space="0" w:color="auto"/>
              <w:bottom w:val="single" w:sz="4" w:space="0" w:color="auto"/>
            </w:tcBorders>
            <w:vAlign w:val="center"/>
          </w:tcPr>
          <w:p w14:paraId="4E397D8B" w14:textId="0EAD6A50" w:rsidR="0021254F" w:rsidRPr="001A0F7C" w:rsidRDefault="0021254F" w:rsidP="0021254F">
            <w:pPr>
              <w:pStyle w:val="Table"/>
              <w:rPr>
                <w:noProof/>
                <w:szCs w:val="22"/>
              </w:rPr>
            </w:pPr>
            <w:r w:rsidRPr="001A0F7C">
              <w:rPr>
                <w:noProof/>
                <w:szCs w:val="22"/>
              </w:rPr>
              <w:t xml:space="preserve"> 5 y</w:t>
            </w:r>
          </w:p>
        </w:tc>
        <w:tc>
          <w:tcPr>
            <w:tcW w:w="1134" w:type="dxa"/>
            <w:gridSpan w:val="2"/>
            <w:tcBorders>
              <w:top w:val="single" w:sz="4" w:space="0" w:color="auto"/>
              <w:bottom w:val="single" w:sz="4" w:space="0" w:color="auto"/>
            </w:tcBorders>
            <w:vAlign w:val="center"/>
          </w:tcPr>
          <w:p w14:paraId="0E92146B" w14:textId="3032485A" w:rsidR="0021254F" w:rsidRPr="001A0F7C" w:rsidRDefault="0021254F" w:rsidP="0021254F">
            <w:pPr>
              <w:pStyle w:val="Table"/>
              <w:rPr>
                <w:noProof/>
                <w:szCs w:val="22"/>
              </w:rPr>
            </w:pPr>
            <w:r w:rsidRPr="001A0F7C">
              <w:rPr>
                <w:noProof/>
                <w:szCs w:val="22"/>
              </w:rPr>
              <w:t>10 y</w:t>
            </w:r>
          </w:p>
        </w:tc>
        <w:tc>
          <w:tcPr>
            <w:tcW w:w="992" w:type="dxa"/>
            <w:gridSpan w:val="2"/>
            <w:tcBorders>
              <w:top w:val="single" w:sz="4" w:space="0" w:color="auto"/>
              <w:bottom w:val="single" w:sz="4" w:space="0" w:color="auto"/>
            </w:tcBorders>
            <w:vAlign w:val="center"/>
          </w:tcPr>
          <w:p w14:paraId="1525F4F6" w14:textId="77C04FB4" w:rsidR="0021254F" w:rsidRPr="001A0F7C" w:rsidRDefault="0021254F" w:rsidP="0021254F">
            <w:pPr>
              <w:pStyle w:val="Table"/>
              <w:rPr>
                <w:noProof/>
                <w:szCs w:val="22"/>
              </w:rPr>
            </w:pPr>
            <w:r w:rsidRPr="001A0F7C">
              <w:rPr>
                <w:noProof/>
                <w:szCs w:val="22"/>
              </w:rPr>
              <w:t>15 y</w:t>
            </w:r>
          </w:p>
        </w:tc>
        <w:tc>
          <w:tcPr>
            <w:tcW w:w="954" w:type="dxa"/>
            <w:tcBorders>
              <w:top w:val="single" w:sz="4" w:space="0" w:color="auto"/>
              <w:bottom w:val="single" w:sz="4" w:space="0" w:color="auto"/>
            </w:tcBorders>
            <w:vAlign w:val="center"/>
          </w:tcPr>
          <w:p w14:paraId="6C333BA9" w14:textId="77777777" w:rsidR="0021254F" w:rsidRPr="001A0F7C" w:rsidRDefault="0021254F" w:rsidP="0021254F">
            <w:pPr>
              <w:pStyle w:val="Table"/>
              <w:rPr>
                <w:noProof/>
                <w:szCs w:val="22"/>
              </w:rPr>
            </w:pPr>
            <w:r w:rsidRPr="001A0F7C">
              <w:rPr>
                <w:noProof/>
                <w:szCs w:val="22"/>
              </w:rPr>
              <w:t>adult</w:t>
            </w:r>
          </w:p>
        </w:tc>
      </w:tr>
      <w:tr w:rsidR="003D2DB1" w:rsidRPr="00972C81" w14:paraId="2FCE8259" w14:textId="77777777" w:rsidTr="0021254F">
        <w:tblPrEx>
          <w:jc w:val="center"/>
        </w:tblPrEx>
        <w:trPr>
          <w:trHeight w:val="912"/>
          <w:jc w:val="center"/>
        </w:trPr>
        <w:tc>
          <w:tcPr>
            <w:tcW w:w="2770" w:type="dxa"/>
            <w:gridSpan w:val="2"/>
            <w:tcBorders>
              <w:top w:val="single" w:sz="4" w:space="0" w:color="auto"/>
              <w:bottom w:val="nil"/>
            </w:tcBorders>
          </w:tcPr>
          <w:p w14:paraId="28AA9FCB" w14:textId="4EF34104" w:rsidR="00BC6366" w:rsidRPr="001A0F7C" w:rsidRDefault="00BC6366" w:rsidP="0021254F">
            <w:pPr>
              <w:pStyle w:val="Table"/>
              <w:rPr>
                <w:noProof/>
                <w:szCs w:val="22"/>
              </w:rPr>
            </w:pPr>
            <w:r w:rsidRPr="001A0F7C">
              <w:rPr>
                <w:noProof/>
                <w:color w:val="000000" w:themeColor="text1"/>
                <w:szCs w:val="22"/>
              </w:rPr>
              <w:t>Soluble forms (nitrate, chloride, bicarbonates,..)</w:t>
            </w:r>
            <w:r w:rsidR="005C7325" w:rsidRPr="001A0F7C">
              <w:rPr>
                <w:noProof/>
                <w:color w:val="000000" w:themeColor="text1"/>
                <w:szCs w:val="22"/>
              </w:rPr>
              <w:t xml:space="preserve"> and plutonium in food</w:t>
            </w:r>
          </w:p>
        </w:tc>
        <w:tc>
          <w:tcPr>
            <w:tcW w:w="1199" w:type="dxa"/>
            <w:tcBorders>
              <w:top w:val="single" w:sz="4" w:space="0" w:color="auto"/>
              <w:bottom w:val="nil"/>
            </w:tcBorders>
          </w:tcPr>
          <w:p w14:paraId="34C0EB37" w14:textId="1ECEFA35" w:rsidR="00BC6366" w:rsidRPr="001A0F7C" w:rsidRDefault="005C7325" w:rsidP="0021254F">
            <w:pPr>
              <w:pStyle w:val="Table"/>
              <w:rPr>
                <w:noProof/>
                <w:szCs w:val="22"/>
              </w:rPr>
            </w:pPr>
            <w:r w:rsidRPr="001A0F7C">
              <w:rPr>
                <w:noProof/>
                <w:color w:val="000000" w:themeColor="text1"/>
                <w:szCs w:val="22"/>
              </w:rPr>
              <w:t xml:space="preserve">5 </w:t>
            </w:r>
            <w:r w:rsidR="00AE7A83" w:rsidRPr="001A0F7C">
              <w:rPr>
                <w:noProof/>
                <w:color w:val="000000" w:themeColor="text1"/>
                <w:szCs w:val="22"/>
              </w:rPr>
              <w:t>× 10</w:t>
            </w:r>
            <w:r w:rsidR="00AE7A83" w:rsidRPr="001A0F7C">
              <w:rPr>
                <w:noProof/>
                <w:color w:val="000000" w:themeColor="text1"/>
                <w:szCs w:val="22"/>
                <w:vertAlign w:val="superscript"/>
              </w:rPr>
              <w:t>-3</w:t>
            </w:r>
          </w:p>
        </w:tc>
        <w:tc>
          <w:tcPr>
            <w:tcW w:w="992" w:type="dxa"/>
            <w:gridSpan w:val="2"/>
            <w:tcBorders>
              <w:top w:val="single" w:sz="4" w:space="0" w:color="auto"/>
              <w:bottom w:val="nil"/>
            </w:tcBorders>
          </w:tcPr>
          <w:p w14:paraId="680C66DC" w14:textId="0561766F" w:rsidR="00BC6366" w:rsidRPr="001A0F7C" w:rsidRDefault="005C7325" w:rsidP="0021254F">
            <w:pPr>
              <w:pStyle w:val="Table"/>
              <w:rPr>
                <w:noProof/>
                <w:szCs w:val="22"/>
              </w:rPr>
            </w:pPr>
            <w:r w:rsidRPr="001A0F7C">
              <w:rPr>
                <w:noProof/>
                <w:color w:val="000000" w:themeColor="text1"/>
                <w:szCs w:val="22"/>
              </w:rPr>
              <w:t xml:space="preserve">5 </w:t>
            </w:r>
            <w:r w:rsidR="00AE7A83" w:rsidRPr="001A0F7C">
              <w:rPr>
                <w:noProof/>
                <w:color w:val="000000" w:themeColor="text1"/>
                <w:szCs w:val="22"/>
              </w:rPr>
              <w:t>× 10</w:t>
            </w:r>
            <w:r w:rsidR="00AE7A83" w:rsidRPr="001A0F7C">
              <w:rPr>
                <w:noProof/>
                <w:color w:val="000000" w:themeColor="text1"/>
                <w:szCs w:val="22"/>
                <w:vertAlign w:val="superscript"/>
              </w:rPr>
              <w:t>-4</w:t>
            </w:r>
          </w:p>
        </w:tc>
        <w:tc>
          <w:tcPr>
            <w:tcW w:w="1276" w:type="dxa"/>
            <w:gridSpan w:val="2"/>
            <w:tcBorders>
              <w:top w:val="single" w:sz="4" w:space="0" w:color="auto"/>
              <w:bottom w:val="nil"/>
            </w:tcBorders>
          </w:tcPr>
          <w:p w14:paraId="3ED2E382" w14:textId="07093620" w:rsidR="00BC6366" w:rsidRPr="001A0F7C" w:rsidRDefault="005C7325" w:rsidP="0021254F">
            <w:pPr>
              <w:pStyle w:val="Table"/>
              <w:rPr>
                <w:noProof/>
                <w:szCs w:val="22"/>
              </w:rPr>
            </w:pPr>
            <w:r w:rsidRPr="001A0F7C">
              <w:rPr>
                <w:noProof/>
                <w:color w:val="000000" w:themeColor="text1"/>
                <w:szCs w:val="22"/>
              </w:rPr>
              <w:t xml:space="preserve">5 </w:t>
            </w:r>
            <w:r w:rsidR="00AE7A83" w:rsidRPr="001A0F7C">
              <w:rPr>
                <w:noProof/>
                <w:color w:val="000000" w:themeColor="text1"/>
                <w:szCs w:val="22"/>
              </w:rPr>
              <w:t>× 10</w:t>
            </w:r>
            <w:r w:rsidR="00AE7A83" w:rsidRPr="001A0F7C">
              <w:rPr>
                <w:noProof/>
                <w:color w:val="000000" w:themeColor="text1"/>
                <w:szCs w:val="22"/>
                <w:vertAlign w:val="superscript"/>
              </w:rPr>
              <w:t>-4</w:t>
            </w:r>
          </w:p>
        </w:tc>
        <w:tc>
          <w:tcPr>
            <w:tcW w:w="1134" w:type="dxa"/>
            <w:gridSpan w:val="2"/>
            <w:tcBorders>
              <w:top w:val="single" w:sz="4" w:space="0" w:color="auto"/>
              <w:bottom w:val="nil"/>
            </w:tcBorders>
          </w:tcPr>
          <w:p w14:paraId="3B6EC70C" w14:textId="076E2D24" w:rsidR="00BC6366" w:rsidRPr="001A0F7C" w:rsidRDefault="005C7325" w:rsidP="0021254F">
            <w:pPr>
              <w:pStyle w:val="Table"/>
              <w:rPr>
                <w:noProof/>
                <w:szCs w:val="22"/>
              </w:rPr>
            </w:pPr>
            <w:r w:rsidRPr="001A0F7C">
              <w:rPr>
                <w:noProof/>
                <w:color w:val="000000" w:themeColor="text1"/>
                <w:szCs w:val="22"/>
              </w:rPr>
              <w:t xml:space="preserve">5 </w:t>
            </w:r>
            <w:r w:rsidR="00AE7A83" w:rsidRPr="001A0F7C">
              <w:rPr>
                <w:noProof/>
                <w:color w:val="000000" w:themeColor="text1"/>
                <w:szCs w:val="22"/>
              </w:rPr>
              <w:t>× 10</w:t>
            </w:r>
            <w:r w:rsidR="00AE7A83" w:rsidRPr="001A0F7C">
              <w:rPr>
                <w:noProof/>
                <w:color w:val="000000" w:themeColor="text1"/>
                <w:szCs w:val="22"/>
                <w:vertAlign w:val="superscript"/>
              </w:rPr>
              <w:t>-4</w:t>
            </w:r>
          </w:p>
        </w:tc>
        <w:tc>
          <w:tcPr>
            <w:tcW w:w="992" w:type="dxa"/>
            <w:gridSpan w:val="2"/>
            <w:tcBorders>
              <w:top w:val="single" w:sz="4" w:space="0" w:color="auto"/>
              <w:bottom w:val="nil"/>
            </w:tcBorders>
          </w:tcPr>
          <w:p w14:paraId="23D6E284" w14:textId="28C66471" w:rsidR="00BC6366" w:rsidRPr="001A0F7C" w:rsidRDefault="005C7325" w:rsidP="0021254F">
            <w:pPr>
              <w:pStyle w:val="Table"/>
              <w:rPr>
                <w:noProof/>
                <w:szCs w:val="22"/>
              </w:rPr>
            </w:pPr>
            <w:r w:rsidRPr="001A0F7C">
              <w:rPr>
                <w:noProof/>
                <w:color w:val="000000" w:themeColor="text1"/>
                <w:szCs w:val="22"/>
              </w:rPr>
              <w:t xml:space="preserve">5 </w:t>
            </w:r>
            <w:r w:rsidR="00AE7A83" w:rsidRPr="001A0F7C">
              <w:rPr>
                <w:noProof/>
                <w:color w:val="000000" w:themeColor="text1"/>
                <w:szCs w:val="22"/>
              </w:rPr>
              <w:t>× 10</w:t>
            </w:r>
            <w:r w:rsidR="00AE7A83" w:rsidRPr="001A0F7C">
              <w:rPr>
                <w:noProof/>
                <w:color w:val="000000" w:themeColor="text1"/>
                <w:szCs w:val="22"/>
                <w:vertAlign w:val="superscript"/>
              </w:rPr>
              <w:t>-4</w:t>
            </w:r>
          </w:p>
        </w:tc>
        <w:tc>
          <w:tcPr>
            <w:tcW w:w="954" w:type="dxa"/>
            <w:tcBorders>
              <w:top w:val="single" w:sz="4" w:space="0" w:color="auto"/>
              <w:bottom w:val="nil"/>
            </w:tcBorders>
          </w:tcPr>
          <w:p w14:paraId="05BC9C8D" w14:textId="5E081CE3" w:rsidR="00BC6366" w:rsidRPr="001A0F7C" w:rsidRDefault="00F4631B" w:rsidP="0021254F">
            <w:pPr>
              <w:pStyle w:val="Table"/>
              <w:rPr>
                <w:noProof/>
                <w:szCs w:val="22"/>
              </w:rPr>
            </w:pPr>
            <w:r w:rsidRPr="001A0F7C">
              <w:rPr>
                <w:noProof/>
                <w:color w:val="000000" w:themeColor="text1"/>
                <w:szCs w:val="22"/>
              </w:rPr>
              <w:t xml:space="preserve">5 </w:t>
            </w:r>
            <w:r w:rsidR="00BC6366" w:rsidRPr="001A0F7C">
              <w:rPr>
                <w:noProof/>
                <w:color w:val="000000" w:themeColor="text1"/>
                <w:szCs w:val="22"/>
              </w:rPr>
              <w:t>× 10</w:t>
            </w:r>
            <w:r w:rsidR="00BC6366" w:rsidRPr="001A0F7C">
              <w:rPr>
                <w:noProof/>
                <w:color w:val="000000" w:themeColor="text1"/>
                <w:szCs w:val="22"/>
                <w:vertAlign w:val="superscript"/>
              </w:rPr>
              <w:t>-4</w:t>
            </w:r>
          </w:p>
        </w:tc>
      </w:tr>
      <w:tr w:rsidR="003D2DB1" w:rsidRPr="00972C81" w14:paraId="3EBA5C6C" w14:textId="77777777" w:rsidTr="0021254F">
        <w:tblPrEx>
          <w:jc w:val="center"/>
        </w:tblPrEx>
        <w:trPr>
          <w:trHeight w:val="340"/>
          <w:jc w:val="center"/>
        </w:trPr>
        <w:tc>
          <w:tcPr>
            <w:tcW w:w="2770" w:type="dxa"/>
            <w:gridSpan w:val="2"/>
            <w:tcBorders>
              <w:top w:val="nil"/>
            </w:tcBorders>
          </w:tcPr>
          <w:p w14:paraId="206B61DB" w14:textId="77777777" w:rsidR="00BC6366" w:rsidRPr="001A0F7C" w:rsidRDefault="00BC6366" w:rsidP="0021254F">
            <w:pPr>
              <w:pStyle w:val="Table"/>
              <w:rPr>
                <w:noProof/>
                <w:szCs w:val="22"/>
              </w:rPr>
            </w:pPr>
            <w:r w:rsidRPr="001A0F7C">
              <w:rPr>
                <w:noProof/>
                <w:color w:val="000000" w:themeColor="text1"/>
                <w:szCs w:val="22"/>
              </w:rPr>
              <w:t>Insoluble forms (oxides, ..)</w:t>
            </w:r>
          </w:p>
        </w:tc>
        <w:tc>
          <w:tcPr>
            <w:tcW w:w="1199" w:type="dxa"/>
            <w:tcBorders>
              <w:top w:val="nil"/>
            </w:tcBorders>
          </w:tcPr>
          <w:p w14:paraId="5295DA03" w14:textId="77777777" w:rsidR="00BC6366" w:rsidRPr="001A0F7C" w:rsidRDefault="00AE7A83" w:rsidP="0021254F">
            <w:pPr>
              <w:pStyle w:val="Table"/>
              <w:rPr>
                <w:noProof/>
                <w:szCs w:val="22"/>
              </w:rPr>
            </w:pPr>
            <w:r w:rsidRPr="001A0F7C">
              <w:rPr>
                <w:noProof/>
                <w:color w:val="000000" w:themeColor="text1"/>
                <w:szCs w:val="22"/>
              </w:rPr>
              <w:t>1 × 10</w:t>
            </w:r>
            <w:r w:rsidRPr="001A0F7C">
              <w:rPr>
                <w:noProof/>
                <w:color w:val="000000" w:themeColor="text1"/>
                <w:szCs w:val="22"/>
                <w:vertAlign w:val="superscript"/>
              </w:rPr>
              <w:t>-4</w:t>
            </w:r>
          </w:p>
        </w:tc>
        <w:tc>
          <w:tcPr>
            <w:tcW w:w="992" w:type="dxa"/>
            <w:gridSpan w:val="2"/>
            <w:tcBorders>
              <w:top w:val="nil"/>
            </w:tcBorders>
          </w:tcPr>
          <w:p w14:paraId="59D97B8E" w14:textId="77777777" w:rsidR="00BC6366" w:rsidRPr="001A0F7C" w:rsidRDefault="00AE7A83" w:rsidP="0021254F">
            <w:pPr>
              <w:pStyle w:val="Table"/>
              <w:rPr>
                <w:noProof/>
                <w:szCs w:val="22"/>
              </w:rPr>
            </w:pPr>
            <w:r w:rsidRPr="001A0F7C">
              <w:rPr>
                <w:noProof/>
                <w:color w:val="000000" w:themeColor="text1"/>
                <w:szCs w:val="22"/>
              </w:rPr>
              <w:t>1 × 10</w:t>
            </w:r>
            <w:r w:rsidRPr="001A0F7C">
              <w:rPr>
                <w:noProof/>
                <w:color w:val="000000" w:themeColor="text1"/>
                <w:szCs w:val="22"/>
                <w:vertAlign w:val="superscript"/>
              </w:rPr>
              <w:t>-5</w:t>
            </w:r>
          </w:p>
        </w:tc>
        <w:tc>
          <w:tcPr>
            <w:tcW w:w="1276" w:type="dxa"/>
            <w:gridSpan w:val="2"/>
            <w:tcBorders>
              <w:top w:val="nil"/>
            </w:tcBorders>
          </w:tcPr>
          <w:p w14:paraId="0765E7F5" w14:textId="77777777" w:rsidR="00BC6366" w:rsidRPr="001A0F7C" w:rsidRDefault="00AE7A83" w:rsidP="0021254F">
            <w:pPr>
              <w:pStyle w:val="Table"/>
              <w:rPr>
                <w:noProof/>
                <w:szCs w:val="22"/>
              </w:rPr>
            </w:pPr>
            <w:r w:rsidRPr="001A0F7C">
              <w:rPr>
                <w:noProof/>
                <w:color w:val="000000" w:themeColor="text1"/>
                <w:szCs w:val="22"/>
              </w:rPr>
              <w:t>1 × 10</w:t>
            </w:r>
            <w:r w:rsidRPr="001A0F7C">
              <w:rPr>
                <w:noProof/>
                <w:color w:val="000000" w:themeColor="text1"/>
                <w:szCs w:val="22"/>
                <w:vertAlign w:val="superscript"/>
              </w:rPr>
              <w:t>-5</w:t>
            </w:r>
          </w:p>
        </w:tc>
        <w:tc>
          <w:tcPr>
            <w:tcW w:w="1134" w:type="dxa"/>
            <w:gridSpan w:val="2"/>
            <w:tcBorders>
              <w:top w:val="nil"/>
            </w:tcBorders>
          </w:tcPr>
          <w:p w14:paraId="6B804EA9" w14:textId="77777777" w:rsidR="00BC6366" w:rsidRPr="001A0F7C" w:rsidRDefault="00AE7A83" w:rsidP="0021254F">
            <w:pPr>
              <w:pStyle w:val="Table"/>
              <w:rPr>
                <w:noProof/>
                <w:szCs w:val="22"/>
              </w:rPr>
            </w:pPr>
            <w:r w:rsidRPr="001A0F7C">
              <w:rPr>
                <w:noProof/>
                <w:color w:val="000000" w:themeColor="text1"/>
                <w:szCs w:val="22"/>
              </w:rPr>
              <w:t>1 × 10</w:t>
            </w:r>
            <w:r w:rsidRPr="001A0F7C">
              <w:rPr>
                <w:noProof/>
                <w:color w:val="000000" w:themeColor="text1"/>
                <w:szCs w:val="22"/>
                <w:vertAlign w:val="superscript"/>
              </w:rPr>
              <w:t>-5</w:t>
            </w:r>
          </w:p>
        </w:tc>
        <w:tc>
          <w:tcPr>
            <w:tcW w:w="992" w:type="dxa"/>
            <w:gridSpan w:val="2"/>
            <w:tcBorders>
              <w:top w:val="nil"/>
            </w:tcBorders>
          </w:tcPr>
          <w:p w14:paraId="34568D20" w14:textId="77777777" w:rsidR="00BC6366" w:rsidRPr="001A0F7C" w:rsidRDefault="00AE7A83" w:rsidP="0021254F">
            <w:pPr>
              <w:pStyle w:val="Table"/>
              <w:rPr>
                <w:noProof/>
                <w:szCs w:val="22"/>
              </w:rPr>
            </w:pPr>
            <w:r w:rsidRPr="001A0F7C">
              <w:rPr>
                <w:noProof/>
                <w:color w:val="000000" w:themeColor="text1"/>
                <w:szCs w:val="22"/>
              </w:rPr>
              <w:t>1 × 10</w:t>
            </w:r>
            <w:r w:rsidRPr="001A0F7C">
              <w:rPr>
                <w:noProof/>
                <w:color w:val="000000" w:themeColor="text1"/>
                <w:szCs w:val="22"/>
                <w:vertAlign w:val="superscript"/>
              </w:rPr>
              <w:t>-5</w:t>
            </w:r>
          </w:p>
        </w:tc>
        <w:tc>
          <w:tcPr>
            <w:tcW w:w="954" w:type="dxa"/>
            <w:tcBorders>
              <w:top w:val="nil"/>
            </w:tcBorders>
          </w:tcPr>
          <w:p w14:paraId="7770D578" w14:textId="77777777" w:rsidR="00BC6366" w:rsidRPr="001A0F7C" w:rsidRDefault="00BC6366" w:rsidP="0021254F">
            <w:pPr>
              <w:pStyle w:val="Table"/>
              <w:rPr>
                <w:noProof/>
                <w:szCs w:val="22"/>
              </w:rPr>
            </w:pPr>
            <w:r w:rsidRPr="001A0F7C">
              <w:rPr>
                <w:noProof/>
                <w:color w:val="000000" w:themeColor="text1"/>
                <w:szCs w:val="22"/>
              </w:rPr>
              <w:t>1 × 10</w:t>
            </w:r>
            <w:r w:rsidRPr="001A0F7C">
              <w:rPr>
                <w:noProof/>
                <w:color w:val="000000" w:themeColor="text1"/>
                <w:szCs w:val="22"/>
                <w:vertAlign w:val="superscript"/>
              </w:rPr>
              <w:t>-5</w:t>
            </w:r>
          </w:p>
        </w:tc>
      </w:tr>
    </w:tbl>
    <w:p w14:paraId="3D83B356" w14:textId="30444AA4" w:rsidR="00B94D04" w:rsidRPr="00C47F2F" w:rsidRDefault="00C822C6" w:rsidP="00E81109">
      <w:pPr>
        <w:pStyle w:val="Note"/>
        <w:rPr>
          <w:noProof/>
          <w:sz w:val="20"/>
          <w:szCs w:val="20"/>
        </w:rPr>
      </w:pPr>
      <w:r w:rsidRPr="00C47F2F">
        <w:rPr>
          <w:noProof/>
          <w:sz w:val="20"/>
          <w:szCs w:val="20"/>
          <w:vertAlign w:val="superscript"/>
        </w:rPr>
        <w:t>*</w:t>
      </w:r>
      <w:r w:rsidR="00B94D04" w:rsidRPr="00C47F2F">
        <w:rPr>
          <w:noProof/>
          <w:sz w:val="20"/>
          <w:szCs w:val="20"/>
        </w:rPr>
        <w:t xml:space="preserve">It is assumed that for plutonium a bound fraction </w:t>
      </w:r>
      <w:r w:rsidR="00B94D04" w:rsidRPr="00C47F2F">
        <w:rPr>
          <w:i/>
          <w:noProof/>
          <w:sz w:val="20"/>
          <w:szCs w:val="20"/>
        </w:rPr>
        <w:t>f</w:t>
      </w:r>
      <w:r w:rsidR="00B94D04" w:rsidRPr="00C47F2F">
        <w:rPr>
          <w:noProof/>
          <w:sz w:val="20"/>
          <w:szCs w:val="20"/>
          <w:vertAlign w:val="subscript"/>
        </w:rPr>
        <w:t>b</w:t>
      </w:r>
      <w:r w:rsidR="00B94D04" w:rsidRPr="00C47F2F">
        <w:rPr>
          <w:noProof/>
          <w:sz w:val="20"/>
          <w:szCs w:val="20"/>
        </w:rPr>
        <w:t xml:space="preserve"> = 0.002 with an uptake rate </w:t>
      </w:r>
      <w:r w:rsidR="00B94D04" w:rsidRPr="00C47F2F">
        <w:rPr>
          <w:i/>
          <w:noProof/>
          <w:sz w:val="20"/>
          <w:szCs w:val="20"/>
        </w:rPr>
        <w:t>s</w:t>
      </w:r>
      <w:r w:rsidR="00B94D04" w:rsidRPr="00C47F2F">
        <w:rPr>
          <w:noProof/>
          <w:sz w:val="20"/>
          <w:szCs w:val="20"/>
          <w:vertAlign w:val="subscript"/>
        </w:rPr>
        <w:t>b</w:t>
      </w:r>
      <w:r w:rsidR="00B94D04" w:rsidRPr="00C47F2F">
        <w:rPr>
          <w:noProof/>
          <w:sz w:val="20"/>
          <w:szCs w:val="20"/>
        </w:rPr>
        <w:t xml:space="preserve"> = 0 d</w:t>
      </w:r>
      <w:r w:rsidR="00B94D04" w:rsidRPr="00C47F2F">
        <w:rPr>
          <w:noProof/>
          <w:sz w:val="20"/>
          <w:szCs w:val="20"/>
          <w:vertAlign w:val="superscript"/>
        </w:rPr>
        <w:t>–1</w:t>
      </w:r>
      <w:r w:rsidR="00B94D04" w:rsidRPr="00C47F2F">
        <w:rPr>
          <w:noProof/>
          <w:sz w:val="20"/>
          <w:szCs w:val="20"/>
        </w:rPr>
        <w:t xml:space="preserve"> is applied throughout the respiratory tract, except in the ET</w:t>
      </w:r>
      <w:r w:rsidR="00B94D04" w:rsidRPr="00C47F2F">
        <w:rPr>
          <w:noProof/>
          <w:sz w:val="20"/>
          <w:szCs w:val="20"/>
          <w:vertAlign w:val="subscript"/>
        </w:rPr>
        <w:t>1</w:t>
      </w:r>
      <w:r w:rsidR="00B94D04" w:rsidRPr="00C47F2F">
        <w:rPr>
          <w:noProof/>
          <w:sz w:val="20"/>
          <w:szCs w:val="20"/>
        </w:rPr>
        <w:t xml:space="preserve"> region. The values of </w:t>
      </w:r>
      <w:r w:rsidR="00B94D04" w:rsidRPr="00C47F2F">
        <w:rPr>
          <w:i/>
          <w:noProof/>
          <w:sz w:val="20"/>
          <w:szCs w:val="20"/>
        </w:rPr>
        <w:t>s</w:t>
      </w:r>
      <w:r w:rsidR="00B94D04" w:rsidRPr="00C47F2F">
        <w:rPr>
          <w:noProof/>
          <w:sz w:val="20"/>
          <w:szCs w:val="20"/>
          <w:vertAlign w:val="subscript"/>
        </w:rPr>
        <w:t>r</w:t>
      </w:r>
      <w:r w:rsidR="00B94D04" w:rsidRPr="00C47F2F">
        <w:rPr>
          <w:noProof/>
          <w:sz w:val="20"/>
          <w:szCs w:val="20"/>
        </w:rPr>
        <w:t xml:space="preserve"> for Type F, M and S forms of plutonium (0.4 d</w:t>
      </w:r>
      <w:r w:rsidR="00B94D04" w:rsidRPr="00C47F2F">
        <w:rPr>
          <w:noProof/>
          <w:sz w:val="20"/>
          <w:szCs w:val="20"/>
          <w:vertAlign w:val="superscript"/>
        </w:rPr>
        <w:t>–1</w:t>
      </w:r>
      <w:r w:rsidR="00B94D04" w:rsidRPr="00C47F2F">
        <w:rPr>
          <w:noProof/>
          <w:sz w:val="20"/>
          <w:szCs w:val="20"/>
        </w:rPr>
        <w:t>) are element-specific.</w:t>
      </w:r>
    </w:p>
    <w:p w14:paraId="0083AE5B" w14:textId="5B7D79EC" w:rsidR="00B94D04" w:rsidRPr="00C47F2F" w:rsidRDefault="00C822C6" w:rsidP="00E81109">
      <w:pPr>
        <w:pStyle w:val="Note"/>
        <w:rPr>
          <w:noProof/>
          <w:sz w:val="20"/>
          <w:szCs w:val="20"/>
        </w:rPr>
      </w:pPr>
      <w:r w:rsidRPr="00C47F2F">
        <w:rPr>
          <w:noProof/>
          <w:sz w:val="20"/>
          <w:szCs w:val="20"/>
          <w:vertAlign w:val="superscript"/>
        </w:rPr>
        <w:lastRenderedPageBreak/>
        <w:t>†</w:t>
      </w:r>
      <w:r w:rsidR="00B94D04" w:rsidRPr="00C47F2F">
        <w:rPr>
          <w:noProof/>
          <w:sz w:val="20"/>
          <w:szCs w:val="20"/>
        </w:rPr>
        <w:t xml:space="preserve">See </w:t>
      </w:r>
      <w:r w:rsidR="009D78C5" w:rsidRPr="00C47F2F">
        <w:rPr>
          <w:noProof/>
          <w:sz w:val="20"/>
          <w:szCs w:val="20"/>
        </w:rPr>
        <w:t xml:space="preserve">Section 22 of </w:t>
      </w:r>
      <w:r w:rsidR="00300462" w:rsidRPr="00C47F2F">
        <w:rPr>
          <w:i/>
          <w:noProof/>
          <w:sz w:val="20"/>
          <w:szCs w:val="20"/>
        </w:rPr>
        <w:t xml:space="preserve">Publication </w:t>
      </w:r>
      <w:r w:rsidR="007A34D9" w:rsidRPr="00C47F2F">
        <w:rPr>
          <w:i/>
          <w:noProof/>
          <w:sz w:val="20"/>
          <w:szCs w:val="20"/>
        </w:rPr>
        <w:t>141</w:t>
      </w:r>
      <w:r w:rsidR="007A34D9" w:rsidRPr="00C47F2F">
        <w:rPr>
          <w:noProof/>
          <w:sz w:val="20"/>
          <w:szCs w:val="20"/>
        </w:rPr>
        <w:t xml:space="preserve"> </w:t>
      </w:r>
      <w:r w:rsidR="002A302F" w:rsidRPr="00C47F2F">
        <w:rPr>
          <w:noProof/>
          <w:sz w:val="20"/>
          <w:szCs w:val="20"/>
        </w:rPr>
        <w:fldChar w:fldCharType="begin"/>
      </w:r>
      <w:r w:rsidR="00AD573C" w:rsidRPr="00C47F2F">
        <w:rPr>
          <w:noProof/>
          <w:sz w:val="20"/>
          <w:szCs w:val="20"/>
        </w:rPr>
        <w:instrText xml:space="preserve"> ADDIN ZOTERO_ITEM CSL_CITATION {"citationID":"aooae4t5fr","properties":{"formattedCitation":"(ICRP,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2A302F" w:rsidRPr="00C47F2F">
        <w:rPr>
          <w:noProof/>
          <w:sz w:val="20"/>
          <w:szCs w:val="20"/>
        </w:rPr>
        <w:fldChar w:fldCharType="separate"/>
      </w:r>
      <w:r w:rsidR="00AD573C" w:rsidRPr="00C47F2F">
        <w:rPr>
          <w:noProof/>
          <w:sz w:val="20"/>
          <w:szCs w:val="20"/>
        </w:rPr>
        <w:t>(ICRP, 2019)</w:t>
      </w:r>
      <w:r w:rsidR="002A302F" w:rsidRPr="00C47F2F">
        <w:rPr>
          <w:noProof/>
          <w:sz w:val="20"/>
          <w:szCs w:val="20"/>
        </w:rPr>
        <w:fldChar w:fldCharType="end"/>
      </w:r>
      <w:r w:rsidR="009D78C5" w:rsidRPr="00C47F2F">
        <w:rPr>
          <w:noProof/>
          <w:sz w:val="20"/>
          <w:szCs w:val="20"/>
        </w:rPr>
        <w:t xml:space="preserve"> </w:t>
      </w:r>
      <w:r w:rsidR="00B94D04" w:rsidRPr="00C47F2F">
        <w:rPr>
          <w:noProof/>
          <w:sz w:val="20"/>
          <w:szCs w:val="20"/>
        </w:rPr>
        <w:t xml:space="preserve">for summary of information on which parameter values are based, and on ranges of parameter values observed for individual materials. For plutonium specific parameter values are used for dissolution in the lungs, and in most cases, where information is available, for absorption from the alimentary tract. However, for plutonium dioxide nanoparticles, the default value of </w:t>
      </w:r>
      <w:r w:rsidR="00B94D04" w:rsidRPr="00C47F2F">
        <w:rPr>
          <w:i/>
          <w:noProof/>
          <w:sz w:val="20"/>
          <w:szCs w:val="20"/>
        </w:rPr>
        <w:t>f</w:t>
      </w:r>
      <w:r w:rsidR="00B94D04" w:rsidRPr="00C47F2F">
        <w:rPr>
          <w:noProof/>
          <w:sz w:val="20"/>
          <w:szCs w:val="20"/>
          <w:vertAlign w:val="subscript"/>
        </w:rPr>
        <w:t>A</w:t>
      </w:r>
      <w:r w:rsidR="00B94D04" w:rsidRPr="00C47F2F">
        <w:rPr>
          <w:noProof/>
          <w:sz w:val="20"/>
          <w:szCs w:val="20"/>
        </w:rPr>
        <w:t xml:space="preserve"> is used (footnote </w:t>
      </w:r>
      <w:r w:rsidR="003A4843" w:rsidRPr="00C47F2F">
        <w:rPr>
          <w:noProof/>
          <w:sz w:val="20"/>
          <w:szCs w:val="20"/>
          <w:vertAlign w:val="superscript"/>
        </w:rPr>
        <w:t>**</w:t>
      </w:r>
      <w:r w:rsidR="00B94D04" w:rsidRPr="00C47F2F">
        <w:rPr>
          <w:noProof/>
          <w:sz w:val="20"/>
          <w:szCs w:val="20"/>
        </w:rPr>
        <w:t>).</w:t>
      </w:r>
    </w:p>
    <w:p w14:paraId="56C490CE" w14:textId="77BB430C" w:rsidR="00B94D04" w:rsidRPr="00C47F2F" w:rsidRDefault="00C822C6" w:rsidP="00E81109">
      <w:pPr>
        <w:pStyle w:val="Note"/>
        <w:rPr>
          <w:noProof/>
          <w:sz w:val="20"/>
          <w:szCs w:val="20"/>
        </w:rPr>
      </w:pPr>
      <w:r w:rsidRPr="00C47F2F">
        <w:rPr>
          <w:noProof/>
          <w:sz w:val="20"/>
          <w:szCs w:val="20"/>
          <w:vertAlign w:val="superscript"/>
        </w:rPr>
        <w:t>‡</w:t>
      </w:r>
      <w:r w:rsidR="00B94D04" w:rsidRPr="00C47F2F">
        <w:rPr>
          <w:noProof/>
          <w:sz w:val="20"/>
          <w:szCs w:val="20"/>
        </w:rPr>
        <w:t xml:space="preserve">Plutonium in the dioxide form used in the production of nuclear fuel is predominantly </w:t>
      </w:r>
      <w:r w:rsidR="00B94D04" w:rsidRPr="00C47F2F">
        <w:rPr>
          <w:noProof/>
          <w:sz w:val="20"/>
          <w:szCs w:val="20"/>
          <w:vertAlign w:val="superscript"/>
        </w:rPr>
        <w:t>239</w:t>
      </w:r>
      <w:r w:rsidR="00B94D04" w:rsidRPr="00C47F2F">
        <w:rPr>
          <w:noProof/>
          <w:sz w:val="20"/>
          <w:szCs w:val="20"/>
        </w:rPr>
        <w:t xml:space="preserve">Pu by activity, and for simplicity is here termed </w:t>
      </w:r>
      <w:r w:rsidR="00B94D04" w:rsidRPr="00C47F2F">
        <w:rPr>
          <w:noProof/>
          <w:sz w:val="20"/>
          <w:szCs w:val="20"/>
          <w:vertAlign w:val="superscript"/>
        </w:rPr>
        <w:t>239</w:t>
      </w:r>
      <w:r w:rsidR="00B94D04" w:rsidRPr="00C47F2F">
        <w:rPr>
          <w:noProof/>
          <w:sz w:val="20"/>
          <w:szCs w:val="20"/>
        </w:rPr>
        <w:t>PuO</w:t>
      </w:r>
      <w:r w:rsidR="00B94D04" w:rsidRPr="00C47F2F">
        <w:rPr>
          <w:noProof/>
          <w:sz w:val="20"/>
          <w:szCs w:val="20"/>
          <w:vertAlign w:val="subscript"/>
        </w:rPr>
        <w:t>2</w:t>
      </w:r>
      <w:r w:rsidR="00B94D04" w:rsidRPr="00C47F2F">
        <w:rPr>
          <w:noProof/>
          <w:sz w:val="20"/>
          <w:szCs w:val="20"/>
        </w:rPr>
        <w:t xml:space="preserve">. It may, however, contain varying amounts of other isotopes, notably: </w:t>
      </w:r>
      <w:r w:rsidR="00B94D04" w:rsidRPr="00C47F2F">
        <w:rPr>
          <w:noProof/>
          <w:sz w:val="20"/>
          <w:szCs w:val="20"/>
          <w:vertAlign w:val="superscript"/>
        </w:rPr>
        <w:t>238</w:t>
      </w:r>
      <w:r w:rsidR="00B94D04" w:rsidRPr="00C47F2F">
        <w:rPr>
          <w:noProof/>
          <w:sz w:val="20"/>
          <w:szCs w:val="20"/>
        </w:rPr>
        <w:t xml:space="preserve">Pu, </w:t>
      </w:r>
      <w:r w:rsidR="00B94D04" w:rsidRPr="00C47F2F">
        <w:rPr>
          <w:noProof/>
          <w:sz w:val="20"/>
          <w:szCs w:val="20"/>
          <w:vertAlign w:val="superscript"/>
        </w:rPr>
        <w:t>240</w:t>
      </w:r>
      <w:r w:rsidR="00B94D04" w:rsidRPr="00C47F2F">
        <w:rPr>
          <w:noProof/>
          <w:sz w:val="20"/>
          <w:szCs w:val="20"/>
        </w:rPr>
        <w:t xml:space="preserve">Pu, </w:t>
      </w:r>
      <w:r w:rsidR="00B94D04" w:rsidRPr="00C47F2F">
        <w:rPr>
          <w:noProof/>
          <w:sz w:val="20"/>
          <w:szCs w:val="20"/>
          <w:vertAlign w:val="superscript"/>
        </w:rPr>
        <w:t>241</w:t>
      </w:r>
      <w:r w:rsidR="00B94D04" w:rsidRPr="00C47F2F">
        <w:rPr>
          <w:noProof/>
          <w:sz w:val="20"/>
          <w:szCs w:val="20"/>
        </w:rPr>
        <w:t xml:space="preserve">Pu and </w:t>
      </w:r>
      <w:r w:rsidR="00B94D04" w:rsidRPr="00C47F2F">
        <w:rPr>
          <w:noProof/>
          <w:sz w:val="20"/>
          <w:szCs w:val="20"/>
          <w:vertAlign w:val="superscript"/>
        </w:rPr>
        <w:t>242</w:t>
      </w:r>
      <w:r w:rsidR="00B94D04" w:rsidRPr="00C47F2F">
        <w:rPr>
          <w:noProof/>
          <w:sz w:val="20"/>
          <w:szCs w:val="20"/>
        </w:rPr>
        <w:t>Pu.</w:t>
      </w:r>
    </w:p>
    <w:p w14:paraId="4DF40E12" w14:textId="763E58EB" w:rsidR="00B94D04" w:rsidRPr="00C47F2F" w:rsidRDefault="00C822C6" w:rsidP="00E81109">
      <w:pPr>
        <w:pStyle w:val="Note"/>
        <w:rPr>
          <w:noProof/>
          <w:sz w:val="20"/>
          <w:szCs w:val="20"/>
        </w:rPr>
      </w:pPr>
      <w:r w:rsidRPr="00C47F2F">
        <w:rPr>
          <w:noProof/>
          <w:sz w:val="20"/>
          <w:szCs w:val="20"/>
          <w:vertAlign w:val="superscript"/>
        </w:rPr>
        <w:t>§</w:t>
      </w:r>
      <w:r w:rsidR="00B94D04" w:rsidRPr="00C47F2F">
        <w:rPr>
          <w:noProof/>
          <w:sz w:val="20"/>
          <w:szCs w:val="20"/>
        </w:rPr>
        <w:t xml:space="preserve">See </w:t>
      </w:r>
      <w:r w:rsidR="009D78C5" w:rsidRPr="00C47F2F">
        <w:rPr>
          <w:noProof/>
          <w:sz w:val="20"/>
          <w:szCs w:val="20"/>
        </w:rPr>
        <w:t xml:space="preserve">Section 22 of </w:t>
      </w:r>
      <w:r w:rsidR="007A34D9" w:rsidRPr="00C47F2F">
        <w:rPr>
          <w:i/>
          <w:noProof/>
          <w:sz w:val="20"/>
          <w:szCs w:val="20"/>
        </w:rPr>
        <w:t>Publication 141</w:t>
      </w:r>
      <w:r w:rsidR="003A4843" w:rsidRPr="00C47F2F">
        <w:rPr>
          <w:i/>
          <w:noProof/>
          <w:sz w:val="20"/>
          <w:szCs w:val="20"/>
        </w:rPr>
        <w:t>:</w:t>
      </w:r>
      <w:r w:rsidR="007A34D9" w:rsidRPr="00C47F2F">
        <w:rPr>
          <w:noProof/>
          <w:sz w:val="20"/>
          <w:szCs w:val="20"/>
        </w:rPr>
        <w:t xml:space="preserve"> </w:t>
      </w:r>
      <w:r w:rsidR="00B94D04" w:rsidRPr="00C47F2F">
        <w:rPr>
          <w:i/>
          <w:noProof/>
          <w:sz w:val="20"/>
          <w:szCs w:val="20"/>
        </w:rPr>
        <w:t>s</w:t>
      </w:r>
      <w:r w:rsidR="00B94D04" w:rsidRPr="00C47F2F">
        <w:rPr>
          <w:noProof/>
          <w:sz w:val="20"/>
          <w:szCs w:val="20"/>
          <w:vertAlign w:val="subscript"/>
        </w:rPr>
        <w:t>p</w:t>
      </w:r>
      <w:r w:rsidR="00B94D04" w:rsidRPr="00C47F2F">
        <w:rPr>
          <w:noProof/>
          <w:sz w:val="20"/>
          <w:szCs w:val="20"/>
        </w:rPr>
        <w:t xml:space="preserve"> = 1</w:t>
      </w:r>
      <w:r w:rsidR="00067025" w:rsidRPr="00C47F2F">
        <w:rPr>
          <w:noProof/>
          <w:sz w:val="20"/>
          <w:szCs w:val="20"/>
        </w:rPr>
        <w:t xml:space="preserve"> × </w:t>
      </w:r>
      <w:r w:rsidR="00B94D04" w:rsidRPr="00C47F2F">
        <w:rPr>
          <w:noProof/>
          <w:sz w:val="20"/>
          <w:szCs w:val="20"/>
        </w:rPr>
        <w:t>10</w:t>
      </w:r>
      <w:r w:rsidR="00B94D04" w:rsidRPr="00C47F2F">
        <w:rPr>
          <w:noProof/>
          <w:sz w:val="20"/>
          <w:szCs w:val="20"/>
          <w:vertAlign w:val="superscript"/>
        </w:rPr>
        <w:t>–6</w:t>
      </w:r>
      <w:r w:rsidR="00B94D04" w:rsidRPr="00C47F2F">
        <w:rPr>
          <w:noProof/>
          <w:sz w:val="20"/>
          <w:szCs w:val="20"/>
        </w:rPr>
        <w:t xml:space="preserve"> d</w:t>
      </w:r>
      <w:r w:rsidR="00B94D04" w:rsidRPr="00C47F2F">
        <w:rPr>
          <w:noProof/>
          <w:sz w:val="20"/>
          <w:szCs w:val="20"/>
          <w:vertAlign w:val="superscript"/>
        </w:rPr>
        <w:t>–1</w:t>
      </w:r>
      <w:r w:rsidR="00B94D04" w:rsidRPr="00C47F2F">
        <w:rPr>
          <w:noProof/>
          <w:sz w:val="20"/>
          <w:szCs w:val="20"/>
        </w:rPr>
        <w:t xml:space="preserve">, </w:t>
      </w:r>
      <w:r w:rsidR="00B94D04" w:rsidRPr="00C47F2F">
        <w:rPr>
          <w:i/>
          <w:noProof/>
          <w:sz w:val="20"/>
          <w:szCs w:val="20"/>
        </w:rPr>
        <w:t>s</w:t>
      </w:r>
      <w:r w:rsidR="00B94D04" w:rsidRPr="00C47F2F">
        <w:rPr>
          <w:noProof/>
          <w:sz w:val="20"/>
          <w:szCs w:val="20"/>
          <w:vertAlign w:val="subscript"/>
        </w:rPr>
        <w:t>pt</w:t>
      </w:r>
      <w:r w:rsidR="00B94D04" w:rsidRPr="00C47F2F">
        <w:rPr>
          <w:noProof/>
          <w:sz w:val="20"/>
          <w:szCs w:val="20"/>
        </w:rPr>
        <w:t xml:space="preserve"> = 0.0026 d</w:t>
      </w:r>
      <w:r w:rsidR="00B94D04" w:rsidRPr="00C47F2F">
        <w:rPr>
          <w:noProof/>
          <w:sz w:val="20"/>
          <w:szCs w:val="20"/>
          <w:vertAlign w:val="superscript"/>
        </w:rPr>
        <w:t>–1</w:t>
      </w:r>
      <w:r w:rsidR="00B94D04" w:rsidRPr="00C47F2F">
        <w:rPr>
          <w:noProof/>
          <w:sz w:val="20"/>
          <w:szCs w:val="20"/>
        </w:rPr>
        <w:t xml:space="preserve">, </w:t>
      </w:r>
      <w:r w:rsidR="00B94D04" w:rsidRPr="00C47F2F">
        <w:rPr>
          <w:i/>
          <w:noProof/>
          <w:sz w:val="20"/>
          <w:szCs w:val="20"/>
        </w:rPr>
        <w:t>s</w:t>
      </w:r>
      <w:r w:rsidR="00B94D04" w:rsidRPr="00C47F2F">
        <w:rPr>
          <w:noProof/>
          <w:sz w:val="20"/>
          <w:szCs w:val="20"/>
          <w:vertAlign w:val="subscript"/>
        </w:rPr>
        <w:t>t</w:t>
      </w:r>
      <w:r w:rsidR="00B94D04" w:rsidRPr="00C47F2F">
        <w:rPr>
          <w:noProof/>
          <w:sz w:val="20"/>
          <w:szCs w:val="20"/>
        </w:rPr>
        <w:t xml:space="preserve"> = 6</w:t>
      </w:r>
      <w:r w:rsidR="00067025" w:rsidRPr="00C47F2F">
        <w:rPr>
          <w:noProof/>
          <w:sz w:val="20"/>
          <w:szCs w:val="20"/>
        </w:rPr>
        <w:t xml:space="preserve"> × </w:t>
      </w:r>
      <w:r w:rsidR="00B94D04" w:rsidRPr="00C47F2F">
        <w:rPr>
          <w:noProof/>
          <w:sz w:val="20"/>
          <w:szCs w:val="20"/>
        </w:rPr>
        <w:t>10</w:t>
      </w:r>
      <w:r w:rsidR="00B94D04" w:rsidRPr="00C47F2F">
        <w:rPr>
          <w:noProof/>
          <w:sz w:val="20"/>
          <w:szCs w:val="20"/>
          <w:vertAlign w:val="superscript"/>
        </w:rPr>
        <w:t>–4</w:t>
      </w:r>
      <w:r w:rsidR="00B94D04" w:rsidRPr="00C47F2F">
        <w:rPr>
          <w:noProof/>
          <w:sz w:val="20"/>
          <w:szCs w:val="20"/>
        </w:rPr>
        <w:t xml:space="preserve"> d</w:t>
      </w:r>
      <w:r w:rsidR="00B94D04" w:rsidRPr="00C47F2F">
        <w:rPr>
          <w:noProof/>
          <w:sz w:val="20"/>
          <w:szCs w:val="20"/>
          <w:vertAlign w:val="superscript"/>
        </w:rPr>
        <w:t>–1</w:t>
      </w:r>
      <w:r w:rsidR="00B94D04" w:rsidRPr="00C47F2F">
        <w:rPr>
          <w:noProof/>
          <w:sz w:val="20"/>
          <w:szCs w:val="20"/>
        </w:rPr>
        <w:t xml:space="preserve"> with </w:t>
      </w:r>
      <w:r w:rsidR="00B94D04" w:rsidRPr="00C47F2F">
        <w:rPr>
          <w:i/>
          <w:noProof/>
          <w:sz w:val="20"/>
          <w:szCs w:val="20"/>
        </w:rPr>
        <w:t>f</w:t>
      </w:r>
      <w:r w:rsidR="00B94D04" w:rsidRPr="00C47F2F">
        <w:rPr>
          <w:noProof/>
          <w:sz w:val="20"/>
          <w:szCs w:val="20"/>
          <w:vertAlign w:val="subscript"/>
        </w:rPr>
        <w:t>A</w:t>
      </w:r>
      <w:r w:rsidR="00B94D04" w:rsidRPr="00C47F2F">
        <w:rPr>
          <w:noProof/>
          <w:sz w:val="20"/>
          <w:szCs w:val="20"/>
        </w:rPr>
        <w:t xml:space="preserve"> = 5</w:t>
      </w:r>
      <w:r w:rsidR="00067025" w:rsidRPr="00C47F2F">
        <w:rPr>
          <w:noProof/>
          <w:sz w:val="20"/>
          <w:szCs w:val="20"/>
        </w:rPr>
        <w:t xml:space="preserve"> × </w:t>
      </w:r>
      <w:r w:rsidR="00B94D04" w:rsidRPr="00C47F2F">
        <w:rPr>
          <w:noProof/>
          <w:sz w:val="20"/>
          <w:szCs w:val="20"/>
        </w:rPr>
        <w:t>10</w:t>
      </w:r>
      <w:r w:rsidR="00B94D04" w:rsidRPr="00C47F2F">
        <w:rPr>
          <w:noProof/>
          <w:sz w:val="20"/>
          <w:szCs w:val="20"/>
          <w:vertAlign w:val="superscript"/>
        </w:rPr>
        <w:t>–8</w:t>
      </w:r>
      <w:r w:rsidR="00B94D04" w:rsidRPr="00C47F2F">
        <w:rPr>
          <w:noProof/>
          <w:sz w:val="20"/>
          <w:szCs w:val="20"/>
        </w:rPr>
        <w:t>, for ceramic forms.</w:t>
      </w:r>
    </w:p>
    <w:p w14:paraId="26CCA8AD" w14:textId="33366CDD" w:rsidR="00B94D04" w:rsidRPr="00C47F2F" w:rsidRDefault="00C822C6" w:rsidP="00E81109">
      <w:pPr>
        <w:pStyle w:val="Note"/>
        <w:rPr>
          <w:noProof/>
          <w:sz w:val="20"/>
          <w:szCs w:val="20"/>
        </w:rPr>
      </w:pPr>
      <w:r w:rsidRPr="00C47F2F">
        <w:rPr>
          <w:noProof/>
          <w:sz w:val="20"/>
          <w:szCs w:val="20"/>
          <w:vertAlign w:val="superscript"/>
        </w:rPr>
        <w:t>¶</w:t>
      </w:r>
      <w:r w:rsidR="00B94D04" w:rsidRPr="00C47F2F">
        <w:rPr>
          <w:noProof/>
          <w:sz w:val="20"/>
          <w:szCs w:val="20"/>
        </w:rPr>
        <w:t xml:space="preserve">See </w:t>
      </w:r>
      <w:r w:rsidR="009D78C5" w:rsidRPr="00C47F2F">
        <w:rPr>
          <w:noProof/>
          <w:sz w:val="20"/>
          <w:szCs w:val="20"/>
        </w:rPr>
        <w:t xml:space="preserve">Section 22 of </w:t>
      </w:r>
      <w:r w:rsidR="007A34D9" w:rsidRPr="00C47F2F">
        <w:rPr>
          <w:i/>
          <w:noProof/>
          <w:sz w:val="20"/>
          <w:szCs w:val="20"/>
        </w:rPr>
        <w:t>Publication 141</w:t>
      </w:r>
      <w:r w:rsidR="00B94D04" w:rsidRPr="00C47F2F">
        <w:rPr>
          <w:noProof/>
          <w:sz w:val="20"/>
          <w:szCs w:val="20"/>
        </w:rPr>
        <w:t xml:space="preserve">: </w:t>
      </w:r>
      <w:r w:rsidR="00B94D04" w:rsidRPr="00C47F2F">
        <w:rPr>
          <w:i/>
          <w:noProof/>
          <w:sz w:val="20"/>
          <w:szCs w:val="20"/>
        </w:rPr>
        <w:t>s</w:t>
      </w:r>
      <w:r w:rsidR="00B94D04" w:rsidRPr="00C47F2F">
        <w:rPr>
          <w:noProof/>
          <w:sz w:val="20"/>
          <w:szCs w:val="20"/>
          <w:vertAlign w:val="subscript"/>
        </w:rPr>
        <w:t>p</w:t>
      </w:r>
      <w:r w:rsidR="00B94D04" w:rsidRPr="00C47F2F">
        <w:rPr>
          <w:noProof/>
          <w:sz w:val="20"/>
          <w:szCs w:val="20"/>
        </w:rPr>
        <w:t xml:space="preserve"> = 0.001 d</w:t>
      </w:r>
      <w:r w:rsidR="00B94D04" w:rsidRPr="00C47F2F">
        <w:rPr>
          <w:noProof/>
          <w:sz w:val="20"/>
          <w:szCs w:val="20"/>
          <w:vertAlign w:val="superscript"/>
        </w:rPr>
        <w:t>–1</w:t>
      </w:r>
      <w:r w:rsidR="00B94D04" w:rsidRPr="00C47F2F">
        <w:rPr>
          <w:noProof/>
          <w:sz w:val="20"/>
          <w:szCs w:val="20"/>
        </w:rPr>
        <w:t xml:space="preserve">, </w:t>
      </w:r>
      <w:r w:rsidR="00B94D04" w:rsidRPr="00C47F2F">
        <w:rPr>
          <w:i/>
          <w:noProof/>
          <w:sz w:val="20"/>
          <w:szCs w:val="20"/>
        </w:rPr>
        <w:t>s</w:t>
      </w:r>
      <w:r w:rsidR="00B94D04" w:rsidRPr="00C47F2F">
        <w:rPr>
          <w:noProof/>
          <w:sz w:val="20"/>
          <w:szCs w:val="20"/>
          <w:vertAlign w:val="subscript"/>
        </w:rPr>
        <w:t>pt</w:t>
      </w:r>
      <w:r w:rsidR="00B94D04" w:rsidRPr="00C47F2F">
        <w:rPr>
          <w:noProof/>
          <w:sz w:val="20"/>
          <w:szCs w:val="20"/>
        </w:rPr>
        <w:t xml:space="preserve"> = 0.008 d</w:t>
      </w:r>
      <w:r w:rsidR="00B94D04" w:rsidRPr="00C47F2F">
        <w:rPr>
          <w:noProof/>
          <w:sz w:val="20"/>
          <w:szCs w:val="20"/>
          <w:vertAlign w:val="superscript"/>
        </w:rPr>
        <w:t>–1</w:t>
      </w:r>
      <w:r w:rsidR="00B94D04" w:rsidRPr="00C47F2F">
        <w:rPr>
          <w:noProof/>
          <w:sz w:val="20"/>
          <w:szCs w:val="20"/>
        </w:rPr>
        <w:t xml:space="preserve">, </w:t>
      </w:r>
      <w:r w:rsidR="00B94D04" w:rsidRPr="00C47F2F">
        <w:rPr>
          <w:i/>
          <w:noProof/>
          <w:sz w:val="20"/>
          <w:szCs w:val="20"/>
        </w:rPr>
        <w:t>s</w:t>
      </w:r>
      <w:r w:rsidR="00B94D04" w:rsidRPr="00C47F2F">
        <w:rPr>
          <w:noProof/>
          <w:sz w:val="20"/>
          <w:szCs w:val="20"/>
          <w:vertAlign w:val="subscript"/>
        </w:rPr>
        <w:t>t</w:t>
      </w:r>
      <w:r w:rsidR="00B94D04" w:rsidRPr="00C47F2F">
        <w:rPr>
          <w:noProof/>
          <w:sz w:val="20"/>
          <w:szCs w:val="20"/>
        </w:rPr>
        <w:t xml:space="preserve"> = 0.004 d</w:t>
      </w:r>
      <w:r w:rsidR="00B94D04" w:rsidRPr="00C47F2F">
        <w:rPr>
          <w:noProof/>
          <w:sz w:val="20"/>
          <w:szCs w:val="20"/>
          <w:vertAlign w:val="superscript"/>
        </w:rPr>
        <w:t>–1</w:t>
      </w:r>
      <w:r w:rsidR="00B94D04" w:rsidRPr="00C47F2F">
        <w:rPr>
          <w:noProof/>
          <w:sz w:val="20"/>
          <w:szCs w:val="20"/>
        </w:rPr>
        <w:t xml:space="preserve"> with </w:t>
      </w:r>
      <w:r w:rsidR="00B94D04" w:rsidRPr="00C47F2F">
        <w:rPr>
          <w:i/>
          <w:noProof/>
          <w:sz w:val="20"/>
          <w:szCs w:val="20"/>
        </w:rPr>
        <w:t>f</w:t>
      </w:r>
      <w:r w:rsidR="00B94D04" w:rsidRPr="00C47F2F">
        <w:rPr>
          <w:noProof/>
          <w:sz w:val="20"/>
          <w:szCs w:val="20"/>
          <w:vertAlign w:val="subscript"/>
        </w:rPr>
        <w:t>A</w:t>
      </w:r>
      <w:r w:rsidR="00B94D04" w:rsidRPr="00C47F2F">
        <w:rPr>
          <w:noProof/>
          <w:sz w:val="20"/>
          <w:szCs w:val="20"/>
        </w:rPr>
        <w:t xml:space="preserve"> = 1</w:t>
      </w:r>
      <w:r w:rsidR="00067025" w:rsidRPr="00C47F2F">
        <w:rPr>
          <w:noProof/>
          <w:sz w:val="20"/>
          <w:szCs w:val="20"/>
        </w:rPr>
        <w:t xml:space="preserve"> × </w:t>
      </w:r>
      <w:r w:rsidR="00B94D04" w:rsidRPr="00C47F2F">
        <w:rPr>
          <w:noProof/>
          <w:sz w:val="20"/>
          <w:szCs w:val="20"/>
        </w:rPr>
        <w:t>10</w:t>
      </w:r>
      <w:r w:rsidR="00B94D04" w:rsidRPr="00C47F2F">
        <w:rPr>
          <w:noProof/>
          <w:sz w:val="20"/>
          <w:szCs w:val="20"/>
          <w:vertAlign w:val="superscript"/>
        </w:rPr>
        <w:t>–5</w:t>
      </w:r>
      <w:r w:rsidR="00B94D04" w:rsidRPr="00C47F2F">
        <w:rPr>
          <w:noProof/>
          <w:sz w:val="20"/>
          <w:szCs w:val="20"/>
        </w:rPr>
        <w:t>, for non-ceramic forms.</w:t>
      </w:r>
    </w:p>
    <w:p w14:paraId="146FAA0D" w14:textId="1A185377" w:rsidR="00B94D04" w:rsidRPr="00C47F2F" w:rsidRDefault="00C822C6" w:rsidP="00E81109">
      <w:pPr>
        <w:pStyle w:val="Note"/>
        <w:rPr>
          <w:noProof/>
          <w:sz w:val="20"/>
          <w:szCs w:val="20"/>
        </w:rPr>
      </w:pPr>
      <w:r w:rsidRPr="00C47F2F">
        <w:rPr>
          <w:noProof/>
          <w:sz w:val="20"/>
          <w:szCs w:val="20"/>
          <w:vertAlign w:val="superscript"/>
        </w:rPr>
        <w:t>**</w:t>
      </w:r>
      <w:r w:rsidR="00B94D04" w:rsidRPr="00C47F2F">
        <w:rPr>
          <w:noProof/>
          <w:sz w:val="20"/>
          <w:szCs w:val="20"/>
        </w:rPr>
        <w:t xml:space="preserve">For inhaled material deposited in the respiratory tract and subsequent cleared by particle transport to the alimentary tract, the default </w:t>
      </w:r>
      <w:r w:rsidR="00B94D04" w:rsidRPr="00C47F2F">
        <w:rPr>
          <w:i/>
          <w:noProof/>
          <w:sz w:val="20"/>
          <w:szCs w:val="20"/>
        </w:rPr>
        <w:t>f</w:t>
      </w:r>
      <w:r w:rsidR="00B94D04" w:rsidRPr="00C47F2F">
        <w:rPr>
          <w:noProof/>
          <w:sz w:val="20"/>
          <w:szCs w:val="20"/>
          <w:vertAlign w:val="subscript"/>
        </w:rPr>
        <w:t>A</w:t>
      </w:r>
      <w:r w:rsidR="00B94D04" w:rsidRPr="00C47F2F">
        <w:rPr>
          <w:noProof/>
          <w:sz w:val="20"/>
          <w:szCs w:val="20"/>
        </w:rPr>
        <w:t xml:space="preserve"> values for inhaled materials are applied: </w:t>
      </w:r>
      <w:r w:rsidR="00B94D04" w:rsidRPr="00C47F2F">
        <w:rPr>
          <w:i/>
          <w:noProof/>
          <w:sz w:val="20"/>
          <w:szCs w:val="20"/>
        </w:rPr>
        <w:t>i.e.</w:t>
      </w:r>
      <w:r w:rsidR="00B94D04" w:rsidRPr="00C47F2F">
        <w:rPr>
          <w:noProof/>
          <w:sz w:val="20"/>
          <w:szCs w:val="20"/>
        </w:rPr>
        <w:t xml:space="preserve">, the (rounded) product of </w:t>
      </w:r>
      <w:r w:rsidR="00B94D04" w:rsidRPr="00C47F2F">
        <w:rPr>
          <w:i/>
          <w:noProof/>
          <w:sz w:val="20"/>
          <w:szCs w:val="20"/>
        </w:rPr>
        <w:t>f</w:t>
      </w:r>
      <w:r w:rsidR="00B94D04" w:rsidRPr="00C47F2F">
        <w:rPr>
          <w:noProof/>
          <w:sz w:val="20"/>
          <w:szCs w:val="20"/>
          <w:vertAlign w:val="subscript"/>
        </w:rPr>
        <w:t>r</w:t>
      </w:r>
      <w:r w:rsidR="00B94D04" w:rsidRPr="00C47F2F">
        <w:rPr>
          <w:noProof/>
          <w:sz w:val="20"/>
          <w:szCs w:val="20"/>
        </w:rPr>
        <w:t xml:space="preserve"> for the absorption Type (or specific value where given) and the </w:t>
      </w:r>
      <w:r w:rsidR="00B94D04" w:rsidRPr="00C47F2F">
        <w:rPr>
          <w:i/>
          <w:noProof/>
          <w:sz w:val="20"/>
          <w:szCs w:val="20"/>
        </w:rPr>
        <w:t>f</w:t>
      </w:r>
      <w:r w:rsidR="00B94D04" w:rsidRPr="00C47F2F">
        <w:rPr>
          <w:noProof/>
          <w:sz w:val="20"/>
          <w:szCs w:val="20"/>
          <w:vertAlign w:val="subscript"/>
        </w:rPr>
        <w:t>A</w:t>
      </w:r>
      <w:r w:rsidR="00B94D04" w:rsidRPr="00C47F2F">
        <w:rPr>
          <w:noProof/>
          <w:sz w:val="20"/>
          <w:szCs w:val="20"/>
        </w:rPr>
        <w:t xml:space="preserve"> value for ingested soluble forms of plutonium </w:t>
      </w:r>
      <w:r w:rsidR="00DF541B" w:rsidRPr="00C47F2F">
        <w:rPr>
          <w:noProof/>
          <w:sz w:val="20"/>
          <w:szCs w:val="20"/>
        </w:rPr>
        <w:t>applicable to the age-group of interest (</w:t>
      </w:r>
      <w:r w:rsidR="00DF541B" w:rsidRPr="00C47F2F">
        <w:rPr>
          <w:i/>
          <w:iCs/>
          <w:noProof/>
          <w:sz w:val="20"/>
          <w:szCs w:val="20"/>
        </w:rPr>
        <w:t xml:space="preserve">e.g. </w:t>
      </w:r>
      <w:r w:rsidR="00F4631B" w:rsidRPr="00C47F2F">
        <w:rPr>
          <w:noProof/>
          <w:sz w:val="20"/>
          <w:szCs w:val="20"/>
        </w:rPr>
        <w:t>5</w:t>
      </w:r>
      <w:r w:rsidR="00067025" w:rsidRPr="00C47F2F">
        <w:rPr>
          <w:noProof/>
          <w:sz w:val="20"/>
          <w:szCs w:val="20"/>
        </w:rPr>
        <w:t xml:space="preserve"> × </w:t>
      </w:r>
      <w:r w:rsidR="00B94D04" w:rsidRPr="00C47F2F">
        <w:rPr>
          <w:noProof/>
          <w:sz w:val="20"/>
          <w:szCs w:val="20"/>
        </w:rPr>
        <w:t>10</w:t>
      </w:r>
      <w:r w:rsidR="00B94D04" w:rsidRPr="00C47F2F">
        <w:rPr>
          <w:noProof/>
          <w:sz w:val="20"/>
          <w:szCs w:val="20"/>
          <w:vertAlign w:val="superscript"/>
        </w:rPr>
        <w:t>–4</w:t>
      </w:r>
      <w:r w:rsidR="007870EC" w:rsidRPr="00C47F2F">
        <w:rPr>
          <w:noProof/>
          <w:sz w:val="20"/>
          <w:szCs w:val="20"/>
        </w:rPr>
        <w:t xml:space="preserve"> for adults</w:t>
      </w:r>
      <w:r w:rsidR="00B94D04" w:rsidRPr="00C47F2F">
        <w:rPr>
          <w:noProof/>
          <w:sz w:val="20"/>
          <w:szCs w:val="20"/>
        </w:rPr>
        <w:t>).</w:t>
      </w:r>
    </w:p>
    <w:p w14:paraId="1ADB66DA" w14:textId="7BCE1E8F" w:rsidR="00B94D04" w:rsidRPr="00C47F2F" w:rsidRDefault="00C822C6" w:rsidP="00E81109">
      <w:pPr>
        <w:pStyle w:val="Note"/>
        <w:rPr>
          <w:noProof/>
          <w:sz w:val="20"/>
          <w:szCs w:val="20"/>
        </w:rPr>
      </w:pPr>
      <w:r w:rsidRPr="00C47F2F">
        <w:rPr>
          <w:noProof/>
          <w:sz w:val="20"/>
          <w:szCs w:val="20"/>
          <w:vertAlign w:val="superscript"/>
        </w:rPr>
        <w:t>††</w:t>
      </w:r>
      <w:r w:rsidR="00B94D04" w:rsidRPr="00C47F2F">
        <w:rPr>
          <w:noProof/>
          <w:sz w:val="20"/>
          <w:szCs w:val="20"/>
        </w:rPr>
        <w:t xml:space="preserve">Materials (e.g. plutonium citrate) are generally listed here where there is sufficient information to assign to a default absorption Type, but not to give specific parameter values (see </w:t>
      </w:r>
      <w:r w:rsidR="009D78C5" w:rsidRPr="00C47F2F">
        <w:rPr>
          <w:noProof/>
          <w:sz w:val="20"/>
          <w:szCs w:val="20"/>
        </w:rPr>
        <w:t xml:space="preserve">Section 22 of </w:t>
      </w:r>
      <w:r w:rsidR="007A34D9" w:rsidRPr="00C47F2F">
        <w:rPr>
          <w:i/>
          <w:noProof/>
          <w:sz w:val="20"/>
          <w:szCs w:val="20"/>
        </w:rPr>
        <w:t>Publication 141</w:t>
      </w:r>
      <w:r w:rsidR="00B94D04" w:rsidRPr="00C47F2F">
        <w:rPr>
          <w:noProof/>
          <w:sz w:val="20"/>
          <w:szCs w:val="20"/>
        </w:rPr>
        <w:t xml:space="preserve">. </w:t>
      </w:r>
    </w:p>
    <w:p w14:paraId="6E058086" w14:textId="2D775D12" w:rsidR="00B94D04" w:rsidRPr="00C47F2F" w:rsidRDefault="002A302F" w:rsidP="00E81109">
      <w:pPr>
        <w:pStyle w:val="Note"/>
        <w:rPr>
          <w:noProof/>
          <w:sz w:val="20"/>
          <w:szCs w:val="20"/>
        </w:rPr>
      </w:pPr>
      <w:r w:rsidRPr="00C47F2F">
        <w:rPr>
          <w:noProof/>
          <w:sz w:val="20"/>
          <w:szCs w:val="20"/>
          <w:vertAlign w:val="superscript"/>
        </w:rPr>
        <w:t>‡‡</w:t>
      </w:r>
      <w:r w:rsidR="00B94D04" w:rsidRPr="00C47F2F">
        <w:rPr>
          <w:noProof/>
          <w:sz w:val="20"/>
          <w:szCs w:val="20"/>
        </w:rPr>
        <w:t>Default Type M is recommended for use in the absence of specific information on which the exposure material can be assigned to an Absorption Type, e.g. if the form is unknown, or if the form is known but there is no information available on the absorption of that form from the respiratory tract.</w:t>
      </w:r>
    </w:p>
    <w:p w14:paraId="642091E2" w14:textId="1F959C1C" w:rsidR="009D78C5" w:rsidRPr="00C47F2F" w:rsidRDefault="002A302F" w:rsidP="00E81109">
      <w:pPr>
        <w:pStyle w:val="Note"/>
        <w:rPr>
          <w:noProof/>
          <w:sz w:val="20"/>
          <w:szCs w:val="20"/>
        </w:rPr>
      </w:pPr>
      <w:r w:rsidRPr="00C47F2F">
        <w:rPr>
          <w:noProof/>
          <w:sz w:val="20"/>
          <w:szCs w:val="20"/>
          <w:vertAlign w:val="superscript"/>
        </w:rPr>
        <w:t>§§</w:t>
      </w:r>
      <w:r w:rsidR="00BE754E" w:rsidRPr="00C47F2F">
        <w:rPr>
          <w:noProof/>
          <w:sz w:val="20"/>
          <w:szCs w:val="20"/>
        </w:rPr>
        <w:t xml:space="preserve">Activity transferred from systemic compartments into segments of the alimentary tract is assumed to be subject to reabsorption to blood. The default absorption fraction </w:t>
      </w:r>
      <w:r w:rsidR="00BE754E" w:rsidRPr="00C47F2F">
        <w:rPr>
          <w:i/>
          <w:noProof/>
          <w:sz w:val="20"/>
          <w:szCs w:val="20"/>
        </w:rPr>
        <w:t>f</w:t>
      </w:r>
      <w:r w:rsidR="00BE754E" w:rsidRPr="00C47F2F">
        <w:rPr>
          <w:noProof/>
          <w:sz w:val="20"/>
          <w:szCs w:val="20"/>
          <w:vertAlign w:val="subscript"/>
        </w:rPr>
        <w:t>A</w:t>
      </w:r>
      <w:r w:rsidR="00BE754E" w:rsidRPr="00C47F2F">
        <w:rPr>
          <w:noProof/>
          <w:sz w:val="20"/>
          <w:szCs w:val="20"/>
        </w:rPr>
        <w:t xml:space="preserve"> f</w:t>
      </w:r>
      <w:r w:rsidRPr="00C47F2F">
        <w:rPr>
          <w:noProof/>
          <w:sz w:val="20"/>
          <w:szCs w:val="20"/>
        </w:rPr>
        <w:t xml:space="preserve">or the secreted activity is </w:t>
      </w:r>
      <w:r w:rsidR="007870EC" w:rsidRPr="00C47F2F">
        <w:rPr>
          <w:noProof/>
          <w:sz w:val="20"/>
          <w:szCs w:val="20"/>
        </w:rPr>
        <w:t>the highest value for ingestion of the radionuclide applicable to the age-group of interest (e.g. 5</w:t>
      </w:r>
      <w:r w:rsidR="00067025" w:rsidRPr="00C47F2F">
        <w:rPr>
          <w:noProof/>
          <w:sz w:val="20"/>
          <w:szCs w:val="20"/>
        </w:rPr>
        <w:t xml:space="preserve"> × </w:t>
      </w:r>
      <w:r w:rsidR="007870EC" w:rsidRPr="00C47F2F">
        <w:rPr>
          <w:noProof/>
          <w:sz w:val="20"/>
          <w:szCs w:val="20"/>
        </w:rPr>
        <w:t>10</w:t>
      </w:r>
      <w:r w:rsidR="007870EC" w:rsidRPr="00C47F2F">
        <w:rPr>
          <w:noProof/>
          <w:sz w:val="20"/>
          <w:szCs w:val="20"/>
          <w:vertAlign w:val="superscript"/>
        </w:rPr>
        <w:t>–4</w:t>
      </w:r>
      <w:r w:rsidR="007870EC" w:rsidRPr="00C47F2F">
        <w:rPr>
          <w:noProof/>
          <w:sz w:val="20"/>
          <w:szCs w:val="20"/>
        </w:rPr>
        <w:t xml:space="preserve"> for adults). </w:t>
      </w:r>
    </w:p>
    <w:p w14:paraId="77C095CB" w14:textId="77777777" w:rsidR="00B94D04" w:rsidRPr="00972C81" w:rsidRDefault="00DC407D" w:rsidP="00E81109">
      <w:pPr>
        <w:pStyle w:val="3"/>
        <w:rPr>
          <w:noProof/>
        </w:rPr>
      </w:pPr>
      <w:bookmarkStart w:id="322" w:name="_Toc162630106"/>
      <w:r w:rsidRPr="00972C81">
        <w:rPr>
          <w:noProof/>
        </w:rPr>
        <w:t>Ingestion</w:t>
      </w:r>
      <w:bookmarkEnd w:id="322"/>
    </w:p>
    <w:p w14:paraId="323F72A6" w14:textId="359DFC45" w:rsidR="00AE7A83" w:rsidRPr="00972C81" w:rsidRDefault="00AE7A83" w:rsidP="001C4A92">
      <w:pPr>
        <w:pStyle w:val="Annalstext"/>
        <w:rPr>
          <w:noProof/>
          <w:szCs w:val="24"/>
          <w:lang w:eastAsia="fr-FR"/>
        </w:rPr>
      </w:pPr>
      <w:r w:rsidRPr="00972C81">
        <w:rPr>
          <w:i/>
          <w:noProof/>
        </w:rPr>
        <w:t>Adults</w:t>
      </w:r>
      <w:r w:rsidRPr="00972C81">
        <w:rPr>
          <w:noProof/>
        </w:rPr>
        <w:t xml:space="preserve">. Popplewell et al </w:t>
      </w:r>
      <w:r w:rsidR="00F77351" w:rsidRPr="00972C81">
        <w:rPr>
          <w:noProof/>
        </w:rPr>
        <w:fldChar w:fldCharType="begin"/>
      </w:r>
      <w:r w:rsidR="00AD573C" w:rsidRPr="00972C81">
        <w:rPr>
          <w:noProof/>
        </w:rPr>
        <w:instrText xml:space="preserve"> ADDIN ZOTERO_ITEM CSL_CITATION {"citationID":"a15me3gkf8i","properties":{"formattedCitation":"(1994)","plainCitation":"(1994)","noteIndex":0},"citationItems":[{"id":5098,"uris":["http://zotero.org/groups/2470620/items/H7ZSYEKH"],"itemData":{"id":5098,"type":"article-journal","container-title":"Radiation protection dosimetry","issue":"1-4","note":"publisher: Oxford University Press","page":"241–244","source":"Google Scholar","title":"Transfer of plutonium across the human gut and its urinary excretion","volume":"53","author":[{"family":"Popplewell","given":"D. S."},{"family":"Ham","given":"G. J."},{"family":"McCarthy","given":"W."},{"family":"Lands","given":"C."}],"issued":{"date-parts":[["1994"]]}},"label":"page","suppress-author":true}],"schema":"https://github.com/citation-style-language/schema/raw/master/csl-citation.json"} </w:instrText>
      </w:r>
      <w:r w:rsidR="00F77351" w:rsidRPr="00972C81">
        <w:rPr>
          <w:noProof/>
        </w:rPr>
        <w:fldChar w:fldCharType="separate"/>
      </w:r>
      <w:r w:rsidR="00AD573C" w:rsidRPr="00972C81">
        <w:rPr>
          <w:noProof/>
          <w:szCs w:val="24"/>
        </w:rPr>
        <w:t>(1994)</w:t>
      </w:r>
      <w:r w:rsidR="00F77351" w:rsidRPr="00972C81">
        <w:rPr>
          <w:noProof/>
        </w:rPr>
        <w:fldChar w:fldCharType="end"/>
      </w:r>
      <w:r w:rsidRPr="00972C81">
        <w:rPr>
          <w:noProof/>
        </w:rPr>
        <w:t xml:space="preserve"> and Ham and Harrison </w:t>
      </w:r>
      <w:r w:rsidR="00F77351" w:rsidRPr="00972C81">
        <w:rPr>
          <w:noProof/>
        </w:rPr>
        <w:fldChar w:fldCharType="begin"/>
      </w:r>
      <w:r w:rsidR="00AD573C" w:rsidRPr="00972C81">
        <w:rPr>
          <w:noProof/>
        </w:rPr>
        <w:instrText xml:space="preserve"> ADDIN ZOTERO_ITEM CSL_CITATION {"citationID":"a2fg0kj91pu","properties":{"formattedCitation":"(2000)","plainCitation":"(2000)","noteIndex":0},"citationItems":[{"id":5100,"uris":["http://zotero.org/groups/2470620/items/LKGS84WJ"],"itemData":{"id":5100,"type":"article-journal","container-title":"Radiation protection dosimetry","issue":"4","note":"publisher: Oxford University Press","page":"267–272","source":"Google Scholar","title":"The gastrointestinal absorption and urinary excretion of plutonium in male volunteers","volume":"87","author":[{"family":"Ham","given":"G. J."},{"family":"Harrison","given":"J. D."}],"issued":{"date-parts":[["2000"]]}},"label":"page","suppress-author":true}],"schema":"https://github.com/citation-style-language/schema/raw/master/csl-citation.json"} </w:instrText>
      </w:r>
      <w:r w:rsidR="00F77351" w:rsidRPr="00972C81">
        <w:rPr>
          <w:noProof/>
        </w:rPr>
        <w:fldChar w:fldCharType="separate"/>
      </w:r>
      <w:r w:rsidR="00AD573C" w:rsidRPr="00972C81">
        <w:rPr>
          <w:noProof/>
          <w:szCs w:val="24"/>
        </w:rPr>
        <w:t>(2000)</w:t>
      </w:r>
      <w:r w:rsidR="00F77351" w:rsidRPr="00972C81">
        <w:rPr>
          <w:noProof/>
        </w:rPr>
        <w:fldChar w:fldCharType="end"/>
      </w:r>
      <w:r w:rsidRPr="00972C81">
        <w:rPr>
          <w:noProof/>
        </w:rPr>
        <w:t xml:space="preserve"> measured the absorption of </w:t>
      </w:r>
      <w:r w:rsidRPr="00972C81">
        <w:rPr>
          <w:noProof/>
          <w:vertAlign w:val="superscript"/>
        </w:rPr>
        <w:t>244</w:t>
      </w:r>
      <w:r w:rsidRPr="00972C81">
        <w:rPr>
          <w:noProof/>
        </w:rPr>
        <w:t>Pu administered in citrate solution with a mid-day meal to five volunteers. The values obtained were in the range of 10</w:t>
      </w:r>
      <w:r w:rsidRPr="00972C81">
        <w:rPr>
          <w:noProof/>
          <w:vertAlign w:val="superscript"/>
        </w:rPr>
        <w:noBreakHyphen/>
        <w:t>4</w:t>
      </w:r>
      <w:r w:rsidRPr="00972C81">
        <w:rPr>
          <w:noProof/>
        </w:rPr>
        <w:t xml:space="preserve"> to 10</w:t>
      </w:r>
      <w:r w:rsidRPr="00972C81">
        <w:rPr>
          <w:noProof/>
          <w:vertAlign w:val="superscript"/>
        </w:rPr>
        <w:t>-3</w:t>
      </w:r>
      <w:r w:rsidRPr="00972C81">
        <w:rPr>
          <w:noProof/>
        </w:rPr>
        <w:t>, with a mean value of 6</w:t>
      </w:r>
      <w:r w:rsidR="00067025" w:rsidRPr="00972C81">
        <w:rPr>
          <w:noProof/>
        </w:rPr>
        <w:t xml:space="preserve"> × </w:t>
      </w:r>
      <w:r w:rsidRPr="00972C81">
        <w:rPr>
          <w:noProof/>
        </w:rPr>
        <w:t>10</w:t>
      </w:r>
      <w:r w:rsidRPr="00972C81">
        <w:rPr>
          <w:noProof/>
          <w:vertAlign w:val="superscript"/>
        </w:rPr>
        <w:t>-4</w:t>
      </w:r>
      <w:r w:rsidRPr="00972C81">
        <w:rPr>
          <w:noProof/>
        </w:rPr>
        <w:t xml:space="preserve">. </w:t>
      </w:r>
      <w:r w:rsidRPr="00972C81">
        <w:rPr>
          <w:noProof/>
          <w:szCs w:val="24"/>
          <w:lang w:eastAsia="fr-FR"/>
        </w:rPr>
        <w:t xml:space="preserve">The absorption of fallout plutonium from reindeer meat was measured by Mussalo-Rauhamaa et al. </w:t>
      </w:r>
      <w:r w:rsidR="00F77351" w:rsidRPr="00972C81">
        <w:rPr>
          <w:noProof/>
          <w:szCs w:val="24"/>
          <w:lang w:eastAsia="fr-FR"/>
        </w:rPr>
        <w:fldChar w:fldCharType="begin"/>
      </w:r>
      <w:r w:rsidR="00AD573C" w:rsidRPr="00972C81">
        <w:rPr>
          <w:noProof/>
          <w:szCs w:val="24"/>
          <w:lang w:eastAsia="fr-FR"/>
        </w:rPr>
        <w:instrText xml:space="preserve"> ADDIN ZOTERO_ITEM CSL_CITATION {"citationID":"a22vn2v6ejv","properties":{"formattedCitation":"(1984)","plainCitation":"(1984)","noteIndex":0},"citationItems":[{"id":5102,"uris":["http://zotero.org/groups/2470620/items/HEF6YT6C"],"itemData":{"id":5102,"type":"article-journal","abstract":"The plutonium body burden of five male Lapps was determined through radiochemical analysis of bone, liver and lung samples, and compared with the body burden of male southern Finns. Tissue burdens of plutonium were found equal in the Lapps and southern Finns. The mean content of 239,240Pu in bone (ribs), liver and lung of the Lapps was 0.045, 0.42 and 0.033 pCi/kg wet wt (1.7, 15.5, 1.2 mBq/kg), respectively. The average body burden of plutonium in the Lapps was 1.1 pCi (41 mBq). The 137Cs, 90Sr, 210Po and 210Pb contents of tissue samples were analyzed to estimate the amount of reindeer tissue consumed by the Lapps studied. The 137Cs content in liver and lung of the Lapps was, on the average, 2160 and 1180 pCi/kg wet wt (79.9 and 43.7 Bq/kg), respectively. In southern Finns both liver and lung content of 137Cs was less than 50 pCi wet wt (less than 1.9 Bq/kg). For 210Po, the liver and lung values were 86.2 and 8.2 pCi/kg wet wt (3.2 and 0.3 Bq/kg) in the Lapps and 15.4 and 3.9 pCi/kg wet wt (0.6 and 0.1 Bq/kg) in southern Finns, respectively. The inhalation intake of 239,240Pu of male Lapps during the period 1954-1978 was about 13 pCi (0.48 Bq) and that of southern Finns about 18 pCi (0.67 Bq). The estimated values for dietary intake were 535 pCi (19.7 Bq) and 36 pCi (1.3 Bq), respectively. The fractional absorption factor of 239,240Pu from the GI tract of man was estimated to be (8-9) X 10(-4), which is somewhat higher than that presently suggested by the ICRP for soluble plutonium compounds (1 X 10(-4)).","container-title":"Health Physics","DOI":"10.1097/00004032-198403000-00006","ISSN":"0017-9078","issue":"3","journalAbbreviation":"Health Phys","language":"eng","note":"PMID: 6698783","page":"549-559","source":"PubMed","title":"Plutonium in Finnish Lapps--an estimate of the gastrointestinal absorption of plutonium by man based on a comparison of the plutonium content of Lapps and southern Finns","volume":"46","author":[{"family":"Mussalo-Rauhamaa","given":"H."},{"family":"Jaakkola","given":"T."},{"family":"Miettinen","given":"J. K."},{"family":"Laiho","given":"K."}],"issued":{"date-parts":[["1984",3]]}},"label":"page","suppress-author":true}],"schema":"https://github.com/citation-style-language/schema/raw/master/csl-citation.json"} </w:instrText>
      </w:r>
      <w:r w:rsidR="00F77351" w:rsidRPr="00972C81">
        <w:rPr>
          <w:noProof/>
          <w:szCs w:val="24"/>
          <w:lang w:eastAsia="fr-FR"/>
        </w:rPr>
        <w:fldChar w:fldCharType="separate"/>
      </w:r>
      <w:r w:rsidR="00AD573C" w:rsidRPr="00972C81">
        <w:rPr>
          <w:noProof/>
          <w:szCs w:val="24"/>
        </w:rPr>
        <w:t>(1984)</w:t>
      </w:r>
      <w:r w:rsidR="00F77351" w:rsidRPr="00972C81">
        <w:rPr>
          <w:noProof/>
          <w:szCs w:val="24"/>
          <w:lang w:eastAsia="fr-FR"/>
        </w:rPr>
        <w:fldChar w:fldCharType="end"/>
      </w:r>
      <w:r w:rsidRPr="00972C81">
        <w:rPr>
          <w:noProof/>
          <w:szCs w:val="24"/>
          <w:lang w:eastAsia="fr-FR"/>
        </w:rPr>
        <w:t>. An absorption fraction of 8</w:t>
      </w:r>
      <w:r w:rsidR="00067025" w:rsidRPr="00972C81">
        <w:rPr>
          <w:noProof/>
          <w:szCs w:val="24"/>
          <w:lang w:eastAsia="fr-FR"/>
        </w:rPr>
        <w:t xml:space="preserve"> × </w:t>
      </w:r>
      <w:r w:rsidRPr="00972C81">
        <w:rPr>
          <w:noProof/>
          <w:szCs w:val="24"/>
          <w:lang w:eastAsia="fr-FR"/>
        </w:rPr>
        <w:t>10</w:t>
      </w:r>
      <w:r w:rsidRPr="00972C81">
        <w:rPr>
          <w:noProof/>
          <w:szCs w:val="24"/>
          <w:vertAlign w:val="superscript"/>
          <w:lang w:eastAsia="fr-FR"/>
        </w:rPr>
        <w:t>-4</w:t>
      </w:r>
      <w:r w:rsidRPr="00972C81">
        <w:rPr>
          <w:noProof/>
          <w:szCs w:val="24"/>
          <w:lang w:eastAsia="fr-FR"/>
        </w:rPr>
        <w:t xml:space="preserve"> was obtained by comparing the ratio of body content to dietary intake of </w:t>
      </w:r>
      <w:r w:rsidRPr="00972C81">
        <w:rPr>
          <w:noProof/>
          <w:szCs w:val="24"/>
          <w:vertAlign w:val="superscript"/>
          <w:lang w:eastAsia="fr-FR"/>
        </w:rPr>
        <w:t>239/240</w:t>
      </w:r>
      <w:r w:rsidRPr="00972C81">
        <w:rPr>
          <w:noProof/>
          <w:szCs w:val="24"/>
          <w:lang w:eastAsia="fr-FR"/>
        </w:rPr>
        <w:t xml:space="preserve">Pu in persons who had lived in Lappland or the urban areas of southern Finland. Combining the results of two separate studies, in each of which the urinary excretion of </w:t>
      </w:r>
      <w:r w:rsidRPr="00972C81">
        <w:rPr>
          <w:noProof/>
          <w:szCs w:val="24"/>
          <w:vertAlign w:val="superscript"/>
          <w:lang w:eastAsia="fr-FR"/>
        </w:rPr>
        <w:t>239/240</w:t>
      </w:r>
      <w:r w:rsidRPr="00972C81">
        <w:rPr>
          <w:noProof/>
          <w:szCs w:val="24"/>
          <w:lang w:eastAsia="fr-FR"/>
        </w:rPr>
        <w:t xml:space="preserve">Pu and </w:t>
      </w:r>
      <w:r w:rsidRPr="00972C81">
        <w:rPr>
          <w:noProof/>
          <w:szCs w:val="24"/>
          <w:vertAlign w:val="superscript"/>
          <w:lang w:eastAsia="fr-FR"/>
        </w:rPr>
        <w:t>241</w:t>
      </w:r>
      <w:r w:rsidRPr="00972C81">
        <w:rPr>
          <w:noProof/>
          <w:szCs w:val="24"/>
          <w:lang w:eastAsia="fr-FR"/>
        </w:rPr>
        <w:t xml:space="preserve">Am was </w:t>
      </w:r>
      <w:r w:rsidRPr="00972C81">
        <w:rPr>
          <w:bCs/>
          <w:noProof/>
          <w:szCs w:val="24"/>
          <w:lang w:eastAsia="fr-FR"/>
        </w:rPr>
        <w:t>measured</w:t>
      </w:r>
      <w:r w:rsidRPr="00972C81">
        <w:rPr>
          <w:b/>
          <w:bCs/>
          <w:noProof/>
          <w:szCs w:val="24"/>
          <w:lang w:eastAsia="fr-FR"/>
        </w:rPr>
        <w:t xml:space="preserve"> </w:t>
      </w:r>
      <w:r w:rsidRPr="00972C81">
        <w:rPr>
          <w:noProof/>
          <w:szCs w:val="24"/>
          <w:lang w:eastAsia="fr-FR"/>
        </w:rPr>
        <w:t xml:space="preserve">in six men and two women after consumption of winkles from Cumbria, UK </w:t>
      </w:r>
      <w:r w:rsidR="00EE3295" w:rsidRPr="00972C81">
        <w:rPr>
          <w:noProof/>
          <w:szCs w:val="24"/>
          <w:lang w:eastAsia="fr-FR"/>
        </w:rPr>
        <w:fldChar w:fldCharType="begin"/>
      </w:r>
      <w:r w:rsidR="00AD573C" w:rsidRPr="00972C81">
        <w:rPr>
          <w:noProof/>
          <w:szCs w:val="24"/>
          <w:lang w:eastAsia="fr-FR"/>
        </w:rPr>
        <w:instrText xml:space="preserve"> ADDIN ZOTERO_ITEM CSL_CITATION {"citationID":"a1t2j2nf4hm","properties":{"formattedCitation":"(Hunt et al., 1986, 1989, 1990)","plainCitation":"(Hunt et al., 1986, 1989, 1990)","noteIndex":0},"citationItems":[{"id":5104,"uris":["http://zotero.org/groups/2470620/items/9QG6HYWZ"],"itemData":{"id":5104,"type":"article-journal","abstract":"Data on gut transfer factors for environmental forms of radionuclides are essential for estimates of public radiation exposures following ingestion, and thus in decisions on controlling waste discharges. Dose estimates for transuranic nuclides are particularly sensitive to uncertainties stemming from gut transfer data being related to non-environmental forms and/or derived from animal experiments. We have measured human gut transfer factors for plutonium and americium in two experiments using marine foods obtained near Sellafield, Cumbria. Firstly, the urine of volunteer members of the critical group of shellfish consumers was analysed for transuranics and the results related to their consumption rates. Secondly, remotely-based volunteers ate single quantities of shellfish obtained near Sellafield, and their urine was analysed. An overall result for the gut transfer factor for environmental plutonium of 0.8 X 10(-4) indicates no need to increase the value of 1 X 10(-4), currently used by the International Commission on Radiological Protection (ICRP) for soluble forms. Results for americium show that the ICRP value of 5 X 10(-4) is maximising, and that a value of 1 X 10(-4) would be supportable. The results from the study of critical group members provide confidence in our habits survey techniques and reassurance that there are no significant pathways for intake of transuranics by these people that have not been recognised.","container-title":"The Science of the Total Environment","DOI":"10.1016/0048-9697(86)90094-x","ISSN":"0048-9697","issue":"1-2","journalAbbreviation":"Sci Total Environ","language":"eng","note":"PMID: 3749873","page":"89-109","source":"PubMed","title":"Transfer of environmental plutonium and americium across the human gut","volume":"53","author":[{"family":"Hunt","given":"G. J."},{"family":"Leonard","given":"D. R."},{"family":"Lovett","given":"M. B."}],"issued":{"date-parts":[["1986",8]]}}},{"id":5108,"uris":["http://zotero.org/groups/2470620/items/SAGLR9U8"],"itemData":{"id":5108,"type":"article-journal","container-title":"Radiol. Prot. Bull.","language":"eng","page":"7","title":"Transfer of environmental plutonium and americium across the human gut","volume":"106","author":[{"family":"Hunt","given":"G. J."},{"family":"Leonard","given":"D. R."},{"family":"Lovett","given":"M. B."}],"issued":{"date-parts":[["1989"]]}}},{"id":5106,"uris":["http://zotero.org/groups/2470620/items/PDDRD8DG"],"itemData":{"id":5106,"type":"article-journal","abstract":"A follow-up to our previous study is described on human gut transfer factors for plutonium and americium in winkles harvested from the shoreline near the British Nuclear Fuels plc Sellafield reprocessing plant. Six male and two female adult volunteers ate single quantities of shellfish; samples of their urine before and after consumption were analysed. As in the previous study, the plutonium and americium excreted were difficult to detect, and counting times of approximately 8 weeks were employed. Results are presented in detail to allow further interpretation, but preliminary assessment has been carried out on the basis of published data for excretion following transfer to blood. The mean and range obtained for the gut transfer for plutonium was 1.3 (0.2-3.2) x 10(-4); for americium the result was 0.8 (0.4-1.7) x 10(-4). Combined with the results of the previous study when interpreted on the same basis, the results were 1.7 (0.2-4.9) x 10(-4) and 0.9 (0.3-2.8) x 10(-4), respectively. No significant evidence was revealed in this study for differences in gut transfer between males and females, nor for seasonal differences, e.g. due to differences in form of incorporation of actinides in shellfish. For realistic assessments of doses due to shellfish consumption near Sellafield, to assess compliance with criteria recommended by the International Commission on Radiological Protection (ICRP), a suitable value for the gut transfer factor of both plutonium and americium might be 2 x 10(-4). A value of 5 x 10(-4) would appear to be cautious.","container-title":"The Science of the Total Environment","DOI":"10.1016/0048-9697(90)90199-5","ISSN":"0048-9697","journalAbbreviation":"Sci Total Environ","language":"eng","note":"PMID: 2305242","page":"273-282","source":"PubMed","title":"Transfer of environmental plutonium and americium across the human gut: a second study","title-short":"Transfer of environmental plutonium and americium across the human gut","volume":"90","author":[{"family":"Hunt","given":"G. J."},{"family":"Leonard","given":"D. R."},{"family":"Lovett","given":"M. B."}],"issued":{"date-parts":[["1990",1]]}}}],"schema":"https://github.com/citation-style-language/schema/raw/master/csl-citation.json"} </w:instrText>
      </w:r>
      <w:r w:rsidR="00EE3295" w:rsidRPr="00972C81">
        <w:rPr>
          <w:noProof/>
          <w:szCs w:val="24"/>
          <w:lang w:eastAsia="fr-FR"/>
        </w:rPr>
        <w:fldChar w:fldCharType="separate"/>
      </w:r>
      <w:r w:rsidR="00AD573C" w:rsidRPr="00972C81">
        <w:rPr>
          <w:noProof/>
          <w:szCs w:val="24"/>
        </w:rPr>
        <w:t>(Hunt et al., 1986, 1989, 1990)</w:t>
      </w:r>
      <w:r w:rsidR="00EE3295" w:rsidRPr="00972C81">
        <w:rPr>
          <w:noProof/>
          <w:szCs w:val="24"/>
          <w:lang w:eastAsia="fr-FR"/>
        </w:rPr>
        <w:fldChar w:fldCharType="end"/>
      </w:r>
      <w:r w:rsidRPr="00972C81">
        <w:rPr>
          <w:noProof/>
          <w:szCs w:val="24"/>
          <w:lang w:eastAsia="fr-FR"/>
        </w:rPr>
        <w:t>,</w:t>
      </w:r>
      <w:r w:rsidR="001100A3" w:rsidRPr="00972C81">
        <w:rPr>
          <w:noProof/>
          <w:szCs w:val="24"/>
          <w:lang w:eastAsia="fr-FR"/>
        </w:rPr>
        <w:t xml:space="preserve"> the estimated absorption fraction</w:t>
      </w:r>
      <w:r w:rsidRPr="00972C81">
        <w:rPr>
          <w:noProof/>
          <w:szCs w:val="24"/>
          <w:lang w:eastAsia="fr-FR"/>
        </w:rPr>
        <w:t xml:space="preserve"> was 2</w:t>
      </w:r>
      <w:r w:rsidR="00067025" w:rsidRPr="00972C81">
        <w:rPr>
          <w:noProof/>
          <w:szCs w:val="24"/>
          <w:lang w:eastAsia="fr-FR"/>
        </w:rPr>
        <w:t xml:space="preserve"> × </w:t>
      </w:r>
      <w:r w:rsidRPr="00972C81">
        <w:rPr>
          <w:noProof/>
          <w:szCs w:val="24"/>
          <w:lang w:eastAsia="fr-FR"/>
        </w:rPr>
        <w:t>10</w:t>
      </w:r>
      <w:r w:rsidRPr="00972C81">
        <w:rPr>
          <w:noProof/>
          <w:szCs w:val="24"/>
          <w:vertAlign w:val="superscript"/>
          <w:lang w:eastAsia="fr-FR"/>
        </w:rPr>
        <w:t>-4</w:t>
      </w:r>
      <w:r w:rsidRPr="00972C81">
        <w:rPr>
          <w:noProof/>
          <w:szCs w:val="24"/>
          <w:lang w:eastAsia="fr-FR"/>
        </w:rPr>
        <w:t xml:space="preserve"> (range 2</w:t>
      </w:r>
      <w:r w:rsidR="00067025" w:rsidRPr="00972C81">
        <w:rPr>
          <w:noProof/>
          <w:szCs w:val="24"/>
          <w:lang w:eastAsia="fr-FR"/>
        </w:rPr>
        <w:t xml:space="preserve"> × </w:t>
      </w:r>
      <w:r w:rsidRPr="00972C81">
        <w:rPr>
          <w:noProof/>
          <w:szCs w:val="24"/>
          <w:lang w:eastAsia="fr-FR"/>
        </w:rPr>
        <w:t>10</w:t>
      </w:r>
      <w:r w:rsidRPr="00972C81">
        <w:rPr>
          <w:noProof/>
          <w:szCs w:val="24"/>
          <w:vertAlign w:val="superscript"/>
          <w:lang w:eastAsia="fr-FR"/>
        </w:rPr>
        <w:t>-5</w:t>
      </w:r>
      <w:r w:rsidRPr="00972C81">
        <w:rPr>
          <w:noProof/>
          <w:szCs w:val="24"/>
          <w:lang w:eastAsia="fr-FR"/>
        </w:rPr>
        <w:t xml:space="preserve"> to 4.9</w:t>
      </w:r>
      <w:r w:rsidR="00067025" w:rsidRPr="00972C81">
        <w:rPr>
          <w:noProof/>
          <w:szCs w:val="24"/>
          <w:lang w:eastAsia="fr-FR"/>
        </w:rPr>
        <w:t xml:space="preserve"> × </w:t>
      </w:r>
      <w:r w:rsidRPr="00972C81">
        <w:rPr>
          <w:noProof/>
          <w:szCs w:val="24"/>
          <w:lang w:eastAsia="fr-FR"/>
        </w:rPr>
        <w:t>10</w:t>
      </w:r>
      <w:r w:rsidRPr="00972C81">
        <w:rPr>
          <w:noProof/>
          <w:szCs w:val="24"/>
          <w:vertAlign w:val="superscript"/>
          <w:lang w:eastAsia="fr-FR"/>
        </w:rPr>
        <w:t>-4</w:t>
      </w:r>
      <w:r w:rsidRPr="00972C81">
        <w:rPr>
          <w:noProof/>
          <w:szCs w:val="24"/>
          <w:lang w:eastAsia="fr-FR"/>
        </w:rPr>
        <w:t xml:space="preserve">) for plutonium. A similar volunteer study involved 5 males and 1 female who ate cockles from Cumbria </w:t>
      </w:r>
      <w:r w:rsidR="00EE3295" w:rsidRPr="00972C81">
        <w:rPr>
          <w:noProof/>
          <w:szCs w:val="24"/>
          <w:lang w:eastAsia="fr-FR"/>
        </w:rPr>
        <w:fldChar w:fldCharType="begin"/>
      </w:r>
      <w:r w:rsidR="00AD573C" w:rsidRPr="00972C81">
        <w:rPr>
          <w:noProof/>
          <w:szCs w:val="24"/>
          <w:lang w:eastAsia="fr-FR"/>
        </w:rPr>
        <w:instrText xml:space="preserve"> ADDIN ZOTERO_ITEM CSL_CITATION {"citationID":"a25to5t93gm","properties":{"formattedCitation":"(Hunt, 1998)","plainCitation":"(Hunt, 1998)","noteIndex":0},"citationItems":[{"id":3868,"uris":["http://zotero.org/groups/2470620/items/6DSEGLDD"],"itemData":{"id":3868,"type":"article-journal","abstract":"Our previous studies have indicated lower values of the gut transfer factor ('f1 values') for plutonium and americium in winkles (Littorina littorea) than adopted by ICRP. The present study was undertaken primarily to investigate whether this observation extends to other species. Samples of cockles (Cerastoderma edule) from Ravenglass, Cumbria were eaten by volunteers who provided 24 h samples of urine and faeces. Urine samples indicated f1 values for cockles which were higher than for winkles; for plutonium these ranged overall up to 7 x 10-4 with an arithmetic mean in the range (2-3) x 10-4, and for americium up to 2.6 x 10-4 with an arithmetic mean of 1.2 x 10-4. Limited data based on volunteers eating cockles from the Solway suggest that f1 values for americium may be greater at distance from Sellafield. The measured values compare with 5 x 10-4 used by the ICRP for environmental forms of both elements, which would appear to provide adequate protection when calculating doses from Cumbrian cockles. Data for other nuclides were obtained by analysing faecal samples from the volunteers who ate the Ravenglass cockles. Cobalt-60 showed an f1 value in the region of 0.2, twice the value currently used by ICRP. For 137Cs, variabilities were indicated in the range 0.08 to 0.43, within the ICRP value of f1 = 1.0. Technetium-99 gave f1 values up to about 0.6, in reasonable conformity with the ICRP value of 0.5.","archive":"Scopus","container-title":"Journal of Radiological Protection","DOI":"10.1088/0952-4746/18/2/005","issue":"2","page":"101-109","source":"Scopus","title":"Transfer across the human gut of environmental plutonium, americium, cobalt, caesium and technetium: Studies with cockles (Cerastoderma edule) from the Irish Sea","title-short":"Transfer across the human gut of environmental plutonium, americium, cobalt, caesium and technetium","volume":"18","author":[{"family":"Hunt","given":"G.J."}],"issued":{"date-parts":[["1998"]]}}}],"schema":"https://github.com/citation-style-language/schema/raw/master/csl-citation.json"} </w:instrText>
      </w:r>
      <w:r w:rsidR="00EE3295" w:rsidRPr="00972C81">
        <w:rPr>
          <w:noProof/>
          <w:szCs w:val="24"/>
          <w:lang w:eastAsia="fr-FR"/>
        </w:rPr>
        <w:fldChar w:fldCharType="separate"/>
      </w:r>
      <w:r w:rsidR="00AD573C" w:rsidRPr="00972C81">
        <w:rPr>
          <w:noProof/>
          <w:szCs w:val="24"/>
        </w:rPr>
        <w:t>(Hunt, 1998)</w:t>
      </w:r>
      <w:r w:rsidR="00EE3295" w:rsidRPr="00972C81">
        <w:rPr>
          <w:noProof/>
          <w:szCs w:val="24"/>
          <w:lang w:eastAsia="fr-FR"/>
        </w:rPr>
        <w:fldChar w:fldCharType="end"/>
      </w:r>
      <w:r w:rsidRPr="00972C81">
        <w:rPr>
          <w:noProof/>
          <w:szCs w:val="24"/>
          <w:lang w:eastAsia="fr-FR"/>
        </w:rPr>
        <w:t xml:space="preserve"> and provided absorption fractions in the order of 2-3</w:t>
      </w:r>
      <w:r w:rsidR="00067025" w:rsidRPr="00972C81">
        <w:rPr>
          <w:noProof/>
          <w:szCs w:val="24"/>
          <w:lang w:eastAsia="fr-FR"/>
        </w:rPr>
        <w:t xml:space="preserve"> × </w:t>
      </w:r>
      <w:r w:rsidRPr="00972C81">
        <w:rPr>
          <w:noProof/>
          <w:szCs w:val="24"/>
          <w:lang w:eastAsia="fr-FR"/>
        </w:rPr>
        <w:t>10</w:t>
      </w:r>
      <w:r w:rsidRPr="00972C81">
        <w:rPr>
          <w:noProof/>
          <w:szCs w:val="24"/>
          <w:vertAlign w:val="superscript"/>
          <w:lang w:eastAsia="fr-FR"/>
        </w:rPr>
        <w:t>-4</w:t>
      </w:r>
      <w:r w:rsidRPr="00972C81">
        <w:rPr>
          <w:noProof/>
          <w:szCs w:val="24"/>
          <w:lang w:eastAsia="fr-FR"/>
        </w:rPr>
        <w:t xml:space="preserve"> (range 0–7</w:t>
      </w:r>
      <w:r w:rsidR="00067025" w:rsidRPr="00972C81">
        <w:rPr>
          <w:noProof/>
          <w:szCs w:val="24"/>
          <w:lang w:eastAsia="fr-FR"/>
        </w:rPr>
        <w:t xml:space="preserve"> × </w:t>
      </w:r>
      <w:r w:rsidRPr="00972C81">
        <w:rPr>
          <w:noProof/>
          <w:szCs w:val="24"/>
          <w:lang w:eastAsia="fr-FR"/>
        </w:rPr>
        <w:t>10</w:t>
      </w:r>
      <w:r w:rsidRPr="00972C81">
        <w:rPr>
          <w:noProof/>
          <w:szCs w:val="24"/>
          <w:vertAlign w:val="superscript"/>
          <w:lang w:eastAsia="fr-FR"/>
        </w:rPr>
        <w:t>-4</w:t>
      </w:r>
      <w:r w:rsidRPr="00972C81">
        <w:rPr>
          <w:noProof/>
          <w:szCs w:val="24"/>
          <w:lang w:eastAsia="fr-FR"/>
        </w:rPr>
        <w:t>).</w:t>
      </w:r>
    </w:p>
    <w:p w14:paraId="6A8B6F0B" w14:textId="7F7D96E3" w:rsidR="00AE7A83" w:rsidRPr="00972C81" w:rsidRDefault="00AE7A83" w:rsidP="001C4A92">
      <w:pPr>
        <w:pStyle w:val="Annalstext"/>
        <w:rPr>
          <w:strike/>
          <w:noProof/>
        </w:rPr>
      </w:pPr>
      <w:r w:rsidRPr="00972C81">
        <w:rPr>
          <w:noProof/>
        </w:rPr>
        <w:t xml:space="preserve">Animal data on the absorption of </w:t>
      </w:r>
      <w:r w:rsidR="001100A3" w:rsidRPr="00972C81">
        <w:rPr>
          <w:noProof/>
        </w:rPr>
        <w:t>plutonium</w:t>
      </w:r>
      <w:r w:rsidRPr="00972C81">
        <w:rPr>
          <w:noProof/>
        </w:rPr>
        <w:t xml:space="preserve"> in species including rodents, pigs, dogs and primates was extensively reviewed in </w:t>
      </w:r>
      <w:r w:rsidRPr="00972C81">
        <w:rPr>
          <w:i/>
          <w:noProof/>
        </w:rPr>
        <w:t>Publications 48</w:t>
      </w:r>
      <w:r w:rsidRPr="00972C81">
        <w:rPr>
          <w:noProof/>
        </w:rPr>
        <w:t xml:space="preserve"> </w:t>
      </w:r>
      <w:r w:rsidR="00EE3295" w:rsidRPr="00972C81">
        <w:rPr>
          <w:noProof/>
        </w:rPr>
        <w:fldChar w:fldCharType="begin"/>
      </w:r>
      <w:r w:rsidR="00AD573C" w:rsidRPr="00972C81">
        <w:rPr>
          <w:noProof/>
        </w:rPr>
        <w:instrText xml:space="preserve"> ADDIN ZOTERO_ITEM CSL_CITATION {"citationID":"a221jn8tgrh","properties":{"formattedCitation":"(ICRP, 1986)","plainCitation":"(ICRP, 1986)","noteIndex":0},"citationItems":[{"id":4867,"uris":["http://zotero.org/groups/2470620/items/JBT3RHCV"],"itemData":{"id":4867,"type":"article-journal","container-title":"Annals of the ICRP","issue":"2/3","journalAbbreviation":"Ann. ICRP","language":"et","title":"The Metabolism of Plutonium and Related Elements. ICRP Publication 48","volume":"16","author":[{"literal":"ICRP"}],"issued":{"date-parts":[["1986"]]}}}],"schema":"https://github.com/citation-style-language/schema/raw/master/csl-citation.json"} </w:instrText>
      </w:r>
      <w:r w:rsidR="00EE3295" w:rsidRPr="00972C81">
        <w:rPr>
          <w:noProof/>
        </w:rPr>
        <w:fldChar w:fldCharType="separate"/>
      </w:r>
      <w:r w:rsidR="00AD573C" w:rsidRPr="00972C81">
        <w:rPr>
          <w:noProof/>
          <w:szCs w:val="24"/>
        </w:rPr>
        <w:t>(ICRP, 1986)</w:t>
      </w:r>
      <w:r w:rsidR="00EE3295" w:rsidRPr="00972C81">
        <w:rPr>
          <w:noProof/>
        </w:rPr>
        <w:fldChar w:fldCharType="end"/>
      </w:r>
      <w:r w:rsidRPr="00972C81">
        <w:rPr>
          <w:noProof/>
        </w:rPr>
        <w:t xml:space="preserve"> and </w:t>
      </w:r>
      <w:r w:rsidRPr="00972C81">
        <w:rPr>
          <w:i/>
          <w:noProof/>
        </w:rPr>
        <w:t>100</w:t>
      </w:r>
      <w:r w:rsidRPr="00972C81">
        <w:rPr>
          <w:noProof/>
        </w:rPr>
        <w:t xml:space="preserve"> </w:t>
      </w:r>
      <w:r w:rsidR="00EE3295" w:rsidRPr="00972C81">
        <w:rPr>
          <w:noProof/>
        </w:rPr>
        <w:fldChar w:fldCharType="begin"/>
      </w:r>
      <w:r w:rsidR="00AD573C" w:rsidRPr="00972C81">
        <w:rPr>
          <w:noProof/>
        </w:rPr>
        <w:instrText xml:space="preserve"> ADDIN ZOTERO_ITEM CSL_CITATION {"citationID":"a1spftf26ll","properties":{"formattedCitation":"(ICRP, 2006)","plainCitation":"(ICRP, 2006)","noteIndex":0},"citationItems":[{"id":2564,"uris":["http://zotero.org/groups/2470620/items/9MYKCIRK",["http://zotero.org/groups/2470620/items/9MYKCIRK"]],"itemData":{"id":2564,"type":"article-journal","container-title":"Annals of the ICRP","issue":"1-2","journalAbbreviation":"Ann. ICRP","language":"en","note":"publisher-place: Oxford\npublisher: Pergamon Press","title":"Human alimentary tract model for radiological protection. ICRP Publication 100","volume":"36","author":[{"literal":"ICRP"}],"issued":{"date-parts":[["2006"]]}}}],"schema":"https://github.com/citation-style-language/schema/raw/master/csl-citation.json"} </w:instrText>
      </w:r>
      <w:r w:rsidR="00EE3295" w:rsidRPr="00972C81">
        <w:rPr>
          <w:noProof/>
        </w:rPr>
        <w:fldChar w:fldCharType="separate"/>
      </w:r>
      <w:r w:rsidR="00AD573C" w:rsidRPr="00972C81">
        <w:rPr>
          <w:noProof/>
          <w:szCs w:val="24"/>
        </w:rPr>
        <w:t>(ICRP, 2006)</w:t>
      </w:r>
      <w:r w:rsidR="00EE3295" w:rsidRPr="00972C81">
        <w:rPr>
          <w:noProof/>
        </w:rPr>
        <w:fldChar w:fldCharType="end"/>
      </w:r>
      <w:r w:rsidRPr="00972C81">
        <w:rPr>
          <w:noProof/>
        </w:rPr>
        <w:t xml:space="preserve"> and by Harrison </w:t>
      </w:r>
      <w:r w:rsidR="00EE3295" w:rsidRPr="00972C81">
        <w:rPr>
          <w:noProof/>
        </w:rPr>
        <w:fldChar w:fldCharType="begin"/>
      </w:r>
      <w:r w:rsidR="00AD573C" w:rsidRPr="00972C81">
        <w:rPr>
          <w:noProof/>
        </w:rPr>
        <w:instrText xml:space="preserve"> ADDIN ZOTERO_ITEM CSL_CITATION {"citationID":"anbaj3qbck","properties":{"formattedCitation":"(1983, 1991)","plainCitation":"(1983, 1991)","noteIndex":0},"citationItems":[{"id":5109,"uris":["http://zotero.org/groups/2470620/items/SNKSXUM4"],"itemData":{"id":5109,"type":"article-journal","container-title":"Radiation protection dosimetry","issue":"1","note":"publisher: Oxford University Press","page":"19–35","source":"Google Scholar","title":"The gastrointestinal absorption of plutonium, americium and curium","volume":"5","author":[{"family":"Harrison","given":"J. D."}],"issued":{"date-parts":[["1983"]]}},"label":"page","suppress-author":true},{"id":4940,"uris":["http://zotero.org/groups/2470620/items/4HZA9KYZ"],"itemData":{"id":4940,"type":"article-journal","abstract":"The greatest uncertainty in dose estimates for the ingestion of long-lived, alpha-emitting isotopes of the actinide elements is in the values used for their fractional absorption from the gastrointestinal tract (f1 values). Recent years have seen a large increase in the available data on actinide absorption. Human data are reviewed here, together with animal data, to illustrate the effect on absorption of chemical form, incorporation into food materials, fasting and other dietary factors, and age at ingestion. The f1 values recommended by the International Commission on Radiological Protection, by an Expert Group of the Nuclear Energy Agency and by the National Radiological Protection Board are discussed.","container-title":"The Science of the Total Environment","DOI":"10.1016/0048-9697(91)90373-m","ISSN":"0048-9697","journalAbbreviation":"Sci Total Environ","language":"eng","note":"PMID: 1648260","page":"43-60","source":"PubMed","title":"The gastrointestinal absorption of the actinide elements","volume":"100 Spec No","author":[{"family":"Harrison","given":"J. D."}],"issued":{"date-parts":[["1991",3]]}},"label":"page","suppress-author":true}],"schema":"https://github.com/citation-style-language/schema/raw/master/csl-citation.json"} </w:instrText>
      </w:r>
      <w:r w:rsidR="00EE3295" w:rsidRPr="00972C81">
        <w:rPr>
          <w:noProof/>
        </w:rPr>
        <w:fldChar w:fldCharType="separate"/>
      </w:r>
      <w:r w:rsidR="00AD573C" w:rsidRPr="00972C81">
        <w:rPr>
          <w:noProof/>
          <w:szCs w:val="24"/>
        </w:rPr>
        <w:t>(1983, 1991)</w:t>
      </w:r>
      <w:r w:rsidR="00EE3295" w:rsidRPr="00972C81">
        <w:rPr>
          <w:noProof/>
        </w:rPr>
        <w:fldChar w:fldCharType="end"/>
      </w:r>
      <w:r w:rsidRPr="00972C81">
        <w:rPr>
          <w:noProof/>
        </w:rPr>
        <w:t xml:space="preserve">, and they were summarized in </w:t>
      </w:r>
      <w:r w:rsidR="007A34D9" w:rsidRPr="00972C81">
        <w:rPr>
          <w:i/>
          <w:noProof/>
        </w:rPr>
        <w:t>Publication 141</w:t>
      </w:r>
      <w:r w:rsidR="007A34D9" w:rsidRPr="00972C81">
        <w:rPr>
          <w:noProof/>
        </w:rPr>
        <w:t xml:space="preserve"> </w:t>
      </w:r>
      <w:r w:rsidR="00EE3295" w:rsidRPr="00972C81">
        <w:rPr>
          <w:noProof/>
        </w:rPr>
        <w:fldChar w:fldCharType="begin"/>
      </w:r>
      <w:r w:rsidR="00AD573C" w:rsidRPr="00972C81">
        <w:rPr>
          <w:noProof/>
        </w:rPr>
        <w:instrText xml:space="preserve"> ADDIN ZOTERO_ITEM CSL_CITATION {"citationID":"a1k4h4k98gp","properties":{"formattedCitation":"(ICRP,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EE3295" w:rsidRPr="00972C81">
        <w:rPr>
          <w:noProof/>
        </w:rPr>
        <w:fldChar w:fldCharType="separate"/>
      </w:r>
      <w:r w:rsidR="00AD573C" w:rsidRPr="00972C81">
        <w:rPr>
          <w:noProof/>
          <w:szCs w:val="24"/>
        </w:rPr>
        <w:t>(ICRP, 2019)</w:t>
      </w:r>
      <w:r w:rsidR="00EE3295" w:rsidRPr="00972C81">
        <w:rPr>
          <w:noProof/>
        </w:rPr>
        <w:fldChar w:fldCharType="end"/>
      </w:r>
      <w:r w:rsidRPr="00972C81">
        <w:rPr>
          <w:noProof/>
        </w:rPr>
        <w:t>. The ingested chemical form is an important factor affecting absorption. The lowest values obtained are for the oxide, ranging from about 3</w:t>
      </w:r>
      <w:r w:rsidR="00067025" w:rsidRPr="00972C81">
        <w:rPr>
          <w:noProof/>
        </w:rPr>
        <w:t xml:space="preserve"> × </w:t>
      </w:r>
      <w:r w:rsidRPr="00972C81">
        <w:rPr>
          <w:noProof/>
        </w:rPr>
        <w:t>10</w:t>
      </w:r>
      <w:r w:rsidRPr="00972C81">
        <w:rPr>
          <w:noProof/>
          <w:vertAlign w:val="superscript"/>
        </w:rPr>
        <w:t>-8</w:t>
      </w:r>
      <w:r w:rsidRPr="00972C81">
        <w:rPr>
          <w:noProof/>
        </w:rPr>
        <w:t xml:space="preserve"> to about 2</w:t>
      </w:r>
      <w:r w:rsidR="00067025" w:rsidRPr="00972C81">
        <w:rPr>
          <w:noProof/>
        </w:rPr>
        <w:t xml:space="preserve"> × </w:t>
      </w:r>
      <w:r w:rsidRPr="00972C81">
        <w:rPr>
          <w:noProof/>
        </w:rPr>
        <w:t>10</w:t>
      </w:r>
      <w:r w:rsidRPr="00972C81">
        <w:rPr>
          <w:noProof/>
          <w:vertAlign w:val="superscript"/>
        </w:rPr>
        <w:t>-4</w:t>
      </w:r>
      <w:r w:rsidRPr="00972C81">
        <w:rPr>
          <w:noProof/>
        </w:rPr>
        <w:t xml:space="preserve">. The range of most values of uptake for </w:t>
      </w:r>
      <w:r w:rsidR="001100A3" w:rsidRPr="00972C81">
        <w:rPr>
          <w:noProof/>
        </w:rPr>
        <w:t xml:space="preserve">plutonium </w:t>
      </w:r>
      <w:r w:rsidRPr="00972C81">
        <w:rPr>
          <w:noProof/>
        </w:rPr>
        <w:t>administered to animals as the nitrate, chloride or bicarbonate is between 10</w:t>
      </w:r>
      <w:r w:rsidRPr="00972C81">
        <w:rPr>
          <w:noProof/>
          <w:vertAlign w:val="superscript"/>
        </w:rPr>
        <w:t xml:space="preserve">-5 </w:t>
      </w:r>
      <w:r w:rsidRPr="00972C81">
        <w:rPr>
          <w:noProof/>
        </w:rPr>
        <w:t>and 10</w:t>
      </w:r>
      <w:r w:rsidRPr="00972C81">
        <w:rPr>
          <w:noProof/>
          <w:vertAlign w:val="superscript"/>
        </w:rPr>
        <w:t>-4</w:t>
      </w:r>
      <w:r w:rsidRPr="00972C81">
        <w:rPr>
          <w:noProof/>
        </w:rPr>
        <w:t xml:space="preserve">. </w:t>
      </w:r>
      <w:r w:rsidRPr="00972C81">
        <w:rPr>
          <w:noProof/>
          <w:szCs w:val="24"/>
          <w:lang w:eastAsia="fr-FR"/>
        </w:rPr>
        <w:t xml:space="preserve">The greatly expanded body of data on the absorption of plutonium from the gastrointestinal tract indicates that absorption is influenced by the mass ingested, by its initial oxidation state, by fasting, by incorporation into foodstuffs, by complexing anions, such as citrate and DTPA, and by a variety of other factors. </w:t>
      </w:r>
      <w:r w:rsidRPr="00972C81">
        <w:rPr>
          <w:noProof/>
        </w:rPr>
        <w:t xml:space="preserve">Fasting has been shown to increase absorption by up to an order of magnitude. </w:t>
      </w:r>
      <w:r w:rsidRPr="00972C81">
        <w:rPr>
          <w:noProof/>
          <w:szCs w:val="24"/>
          <w:lang w:eastAsia="fr-FR"/>
        </w:rPr>
        <w:t>A milk diet and a calcium, iron, vitamin D, or zinc deficient diet have been seen to increase absorption in animals.</w:t>
      </w:r>
      <w:r w:rsidRPr="00972C81">
        <w:rPr>
          <w:noProof/>
        </w:rPr>
        <w:t xml:space="preserve"> The absorption of Pu administered to animals as organic complexes or incorporated into food materials is generally greater than for inorganic forms. However</w:t>
      </w:r>
      <w:r w:rsidR="008762E0" w:rsidRPr="00972C81">
        <w:rPr>
          <w:noProof/>
        </w:rPr>
        <w:t>,</w:t>
      </w:r>
      <w:r w:rsidRPr="00972C81">
        <w:rPr>
          <w:noProof/>
        </w:rPr>
        <w:t xml:space="preserve"> </w:t>
      </w:r>
      <w:r w:rsidR="00300462" w:rsidRPr="00972C81">
        <w:rPr>
          <w:noProof/>
          <w:szCs w:val="24"/>
          <w:lang w:eastAsia="fr-FR"/>
        </w:rPr>
        <w:t xml:space="preserve">the available data </w:t>
      </w:r>
      <w:r w:rsidRPr="00972C81">
        <w:rPr>
          <w:noProof/>
          <w:szCs w:val="24"/>
          <w:lang w:eastAsia="fr-FR"/>
        </w:rPr>
        <w:t xml:space="preserve">allow no clear conclusion about the magnitude of the influence of biological incorporation into food on the absorption of plutonium </w:t>
      </w:r>
      <w:r w:rsidR="00EE3295" w:rsidRPr="00972C81">
        <w:rPr>
          <w:noProof/>
        </w:rPr>
        <w:fldChar w:fldCharType="begin"/>
      </w:r>
      <w:r w:rsidR="00AD573C" w:rsidRPr="00972C81">
        <w:rPr>
          <w:noProof/>
        </w:rPr>
        <w:instrText xml:space="preserve"> ADDIN ZOTERO_ITEM CSL_CITATION {"citationID":"alkj8eqvmc","properties":{"formattedCitation":"(ICRP, 1986)","plainCitation":"(ICRP, 1986)","noteIndex":0},"citationItems":[{"id":4867,"uris":["http://zotero.org/groups/2470620/items/JBT3RHCV"],"itemData":{"id":4867,"type":"article-journal","container-title":"Annals of the ICRP","issue":"2/3","journalAbbreviation":"Ann. ICRP","language":"et","title":"The Metabolism of Plutonium and Related Elements. ICRP Publication 48","volume":"16","author":[{"literal":"ICRP"}],"issued":{"date-parts":[["1986"]]}}}],"schema":"https://github.com/citation-style-language/schema/raw/master/csl-citation.json"} </w:instrText>
      </w:r>
      <w:r w:rsidR="00EE3295" w:rsidRPr="00972C81">
        <w:rPr>
          <w:noProof/>
        </w:rPr>
        <w:fldChar w:fldCharType="separate"/>
      </w:r>
      <w:r w:rsidR="00AD573C" w:rsidRPr="00972C81">
        <w:rPr>
          <w:noProof/>
          <w:szCs w:val="24"/>
        </w:rPr>
        <w:t>(ICRP, 1986)</w:t>
      </w:r>
      <w:r w:rsidR="00EE3295" w:rsidRPr="00972C81">
        <w:rPr>
          <w:noProof/>
        </w:rPr>
        <w:fldChar w:fldCharType="end"/>
      </w:r>
      <w:r w:rsidRPr="00972C81">
        <w:rPr>
          <w:noProof/>
          <w:szCs w:val="24"/>
          <w:lang w:eastAsia="fr-FR"/>
        </w:rPr>
        <w:t>.</w:t>
      </w:r>
    </w:p>
    <w:p w14:paraId="0144DB92" w14:textId="339983B0" w:rsidR="00300462" w:rsidRPr="00972C81" w:rsidRDefault="00AE7A83" w:rsidP="001C4A92">
      <w:pPr>
        <w:pStyle w:val="Annalstext"/>
        <w:rPr>
          <w:noProof/>
          <w:szCs w:val="24"/>
        </w:rPr>
      </w:pPr>
      <w:r w:rsidRPr="00972C81">
        <w:rPr>
          <w:i/>
          <w:noProof/>
        </w:rPr>
        <w:lastRenderedPageBreak/>
        <w:t xml:space="preserve">In Publication 30 </w:t>
      </w:r>
      <w:r w:rsidR="00EE3295" w:rsidRPr="00972C81">
        <w:rPr>
          <w:noProof/>
        </w:rPr>
        <w:fldChar w:fldCharType="begin"/>
      </w:r>
      <w:r w:rsidR="00AD573C" w:rsidRPr="00972C81">
        <w:rPr>
          <w:noProof/>
        </w:rPr>
        <w:instrText xml:space="preserve"> ADDIN ZOTERO_ITEM CSL_CITATION {"citationID":"a1ohjldub99","properties":{"formattedCitation":"(ICRP, 1979)","plainCitation":"(ICRP, 1979)","noteIndex":0},"citationItems":[{"id":2553,"uris":["http://zotero.org/groups/2470620/items/EZPADUX7"],"itemData":{"id":2553,"type":"article-journal","container-title":"Annals of the ICRP","issue":"3/4","journalAbbreviation":"Ann. ICRP","language":"et","title":"Limits for intakes of radionuclides by workers, ICRP Publication 30, Part 1","volume":"2","author":[{"literal":"ICRP"}],"issued":{"date-parts":[["1979"]]}}}],"schema":"https://github.com/citation-style-language/schema/raw/master/csl-citation.json"} </w:instrText>
      </w:r>
      <w:r w:rsidR="00EE3295" w:rsidRPr="00972C81">
        <w:rPr>
          <w:noProof/>
        </w:rPr>
        <w:fldChar w:fldCharType="separate"/>
      </w:r>
      <w:r w:rsidR="00AD573C" w:rsidRPr="00972C81">
        <w:rPr>
          <w:noProof/>
          <w:szCs w:val="24"/>
        </w:rPr>
        <w:t>(ICRP, 1979)</w:t>
      </w:r>
      <w:r w:rsidR="00EE3295" w:rsidRPr="00972C81">
        <w:rPr>
          <w:noProof/>
        </w:rPr>
        <w:fldChar w:fldCharType="end"/>
      </w:r>
      <w:r w:rsidRPr="00972C81">
        <w:rPr>
          <w:noProof/>
        </w:rPr>
        <w:t>, the recommended absorption fractions were 10</w:t>
      </w:r>
      <w:r w:rsidRPr="00972C81">
        <w:rPr>
          <w:noProof/>
          <w:vertAlign w:val="superscript"/>
        </w:rPr>
        <w:t>-5</w:t>
      </w:r>
      <w:r w:rsidRPr="00972C81">
        <w:rPr>
          <w:noProof/>
        </w:rPr>
        <w:t xml:space="preserve"> for</w:t>
      </w:r>
      <w:r w:rsidRPr="00972C81">
        <w:rPr>
          <w:noProof/>
          <w:color w:val="000000" w:themeColor="text1"/>
        </w:rPr>
        <w:t xml:space="preserve"> oxides and hydroxides and 10</w:t>
      </w:r>
      <w:r w:rsidRPr="00972C81">
        <w:rPr>
          <w:noProof/>
          <w:color w:val="000000" w:themeColor="text1"/>
          <w:vertAlign w:val="superscript"/>
        </w:rPr>
        <w:t>-4</w:t>
      </w:r>
      <w:r w:rsidRPr="00972C81">
        <w:rPr>
          <w:noProof/>
          <w:color w:val="000000" w:themeColor="text1"/>
        </w:rPr>
        <w:t xml:space="preserve"> for all other forms. </w:t>
      </w:r>
      <w:r w:rsidRPr="00972C81">
        <w:rPr>
          <w:noProof/>
          <w:szCs w:val="24"/>
          <w:lang w:eastAsia="fr-FR"/>
        </w:rPr>
        <w:t xml:space="preserve">In </w:t>
      </w:r>
      <w:r w:rsidRPr="00972C81">
        <w:rPr>
          <w:i/>
          <w:iCs/>
          <w:noProof/>
          <w:szCs w:val="24"/>
          <w:lang w:eastAsia="fr-FR"/>
        </w:rPr>
        <w:t xml:space="preserve">ICRP Publication 48 </w:t>
      </w:r>
      <w:r w:rsidR="00EE3295" w:rsidRPr="00972C81">
        <w:rPr>
          <w:noProof/>
          <w:szCs w:val="24"/>
          <w:lang w:eastAsia="fr-FR"/>
        </w:rPr>
        <w:fldChar w:fldCharType="begin"/>
      </w:r>
      <w:r w:rsidR="00AD573C" w:rsidRPr="00972C81">
        <w:rPr>
          <w:noProof/>
          <w:szCs w:val="24"/>
          <w:lang w:eastAsia="fr-FR"/>
        </w:rPr>
        <w:instrText xml:space="preserve"> ADDIN ZOTERO_ITEM CSL_CITATION {"citationID":"a1kimhaco1e","properties":{"formattedCitation":"(ICRP, 1986)","plainCitation":"(ICRP, 1986)","noteIndex":0},"citationItems":[{"id":4867,"uris":["http://zotero.org/groups/2470620/items/JBT3RHCV"],"itemData":{"id":4867,"type":"article-journal","container-title":"Annals of the ICRP","issue":"2/3","journalAbbreviation":"Ann. ICRP","language":"et","title":"The Metabolism of Plutonium and Related Elements. ICRP Publication 48","volume":"16","author":[{"literal":"ICRP"}],"issued":{"date-parts":[["1986"]]}}}],"schema":"https://github.com/citation-style-language/schema/raw/master/csl-citation.json"} </w:instrText>
      </w:r>
      <w:r w:rsidR="00EE3295" w:rsidRPr="00972C81">
        <w:rPr>
          <w:noProof/>
          <w:szCs w:val="24"/>
          <w:lang w:eastAsia="fr-FR"/>
        </w:rPr>
        <w:fldChar w:fldCharType="separate"/>
      </w:r>
      <w:r w:rsidR="00AD573C" w:rsidRPr="00972C81">
        <w:rPr>
          <w:noProof/>
          <w:szCs w:val="24"/>
        </w:rPr>
        <w:t>(ICRP, 1986)</w:t>
      </w:r>
      <w:r w:rsidR="00EE3295" w:rsidRPr="00972C81">
        <w:rPr>
          <w:noProof/>
          <w:szCs w:val="24"/>
          <w:lang w:eastAsia="fr-FR"/>
        </w:rPr>
        <w:fldChar w:fldCharType="end"/>
      </w:r>
      <w:r w:rsidRPr="00972C81">
        <w:rPr>
          <w:noProof/>
          <w:szCs w:val="24"/>
          <w:lang w:eastAsia="fr-FR"/>
        </w:rPr>
        <w:t xml:space="preserve"> the gastrointestinal absorption of plutonium was extensively reviewed. It was concluded that an absorption fraction of 10</w:t>
      </w:r>
      <w:r w:rsidRPr="00972C81">
        <w:rPr>
          <w:noProof/>
          <w:szCs w:val="24"/>
          <w:vertAlign w:val="superscript"/>
          <w:lang w:eastAsia="fr-FR"/>
        </w:rPr>
        <w:t>-3</w:t>
      </w:r>
      <w:r w:rsidRPr="00972C81">
        <w:rPr>
          <w:noProof/>
          <w:szCs w:val="24"/>
          <w:lang w:eastAsia="fr-FR"/>
        </w:rPr>
        <w:t xml:space="preserve"> would provide an adequate margin of safety for ingestion of unknown forms or mixed compounds of plutonium by adult humans. The same value was used in </w:t>
      </w:r>
      <w:r w:rsidRPr="00972C81">
        <w:rPr>
          <w:i/>
          <w:noProof/>
          <w:szCs w:val="24"/>
          <w:lang w:eastAsia="fr-FR"/>
        </w:rPr>
        <w:t>Publication 56</w:t>
      </w:r>
      <w:r w:rsidRPr="00972C81">
        <w:rPr>
          <w:noProof/>
          <w:szCs w:val="24"/>
          <w:lang w:eastAsia="fr-FR"/>
        </w:rPr>
        <w:t xml:space="preserve"> </w:t>
      </w:r>
      <w:r w:rsidR="00EE3295" w:rsidRPr="00972C81">
        <w:rPr>
          <w:noProof/>
          <w:szCs w:val="24"/>
          <w:lang w:eastAsia="fr-FR"/>
        </w:rPr>
        <w:fldChar w:fldCharType="begin"/>
      </w:r>
      <w:r w:rsidR="00AD573C" w:rsidRPr="00972C81">
        <w:rPr>
          <w:noProof/>
          <w:szCs w:val="24"/>
          <w:lang w:eastAsia="fr-FR"/>
        </w:rPr>
        <w:instrText xml:space="preserve"> ADDIN ZOTERO_ITEM CSL_CITATION {"citationID":"a1cous8j2bm","properties":{"formattedCitation":"(ICRP, 1990)","plainCitation":"(ICRP, 1990)","noteIndex":0},"citationItems":[{"id":3465,"uris":["http://zotero.org/groups/2470620/items/P3QPMZIH",["http://zotero.org/groups/2470620/items/P3QPMZIH"]],"itemData":{"id":3465,"type":"article-journal","container-title":"Annals of the ICRP","issue":"2","title":"Age-dependent Doses to Members of the Public from Intake of Radionuclides - Part 1. ICRP Publication 56","volume":"20","author":[{"literal":"ICRP"}],"issued":{"date-parts":[["1990"]]}}}],"schema":"https://github.com/citation-style-language/schema/raw/master/csl-citation.json"} </w:instrText>
      </w:r>
      <w:r w:rsidR="00EE3295" w:rsidRPr="00972C81">
        <w:rPr>
          <w:noProof/>
          <w:szCs w:val="24"/>
          <w:lang w:eastAsia="fr-FR"/>
        </w:rPr>
        <w:fldChar w:fldCharType="separate"/>
      </w:r>
      <w:r w:rsidR="00AD573C" w:rsidRPr="00972C81">
        <w:rPr>
          <w:noProof/>
          <w:szCs w:val="24"/>
        </w:rPr>
        <w:t>(ICRP, 1990)</w:t>
      </w:r>
      <w:r w:rsidR="00EE3295" w:rsidRPr="00972C81">
        <w:rPr>
          <w:noProof/>
          <w:szCs w:val="24"/>
          <w:lang w:eastAsia="fr-FR"/>
        </w:rPr>
        <w:fldChar w:fldCharType="end"/>
      </w:r>
      <w:r w:rsidRPr="00972C81">
        <w:rPr>
          <w:noProof/>
          <w:szCs w:val="24"/>
          <w:lang w:eastAsia="fr-FR"/>
        </w:rPr>
        <w:t>. On the basis of results from human studies and taking account of animal data showing wide variations in fractional absorption, an absorption fraction for unknown forms of plutonium, including uptake from food, of 5</w:t>
      </w:r>
      <w:r w:rsidR="00067025" w:rsidRPr="00972C81">
        <w:rPr>
          <w:noProof/>
          <w:szCs w:val="24"/>
          <w:lang w:eastAsia="fr-FR"/>
        </w:rPr>
        <w:t xml:space="preserve"> × </w:t>
      </w:r>
      <w:r w:rsidRPr="00972C81">
        <w:rPr>
          <w:noProof/>
          <w:szCs w:val="24"/>
          <w:lang w:eastAsia="fr-FR"/>
        </w:rPr>
        <w:t>10</w:t>
      </w:r>
      <w:r w:rsidRPr="00972C81">
        <w:rPr>
          <w:noProof/>
          <w:szCs w:val="24"/>
          <w:vertAlign w:val="superscript"/>
          <w:lang w:eastAsia="fr-FR"/>
        </w:rPr>
        <w:t>-4</w:t>
      </w:r>
      <w:r w:rsidRPr="00972C81">
        <w:rPr>
          <w:noProof/>
          <w:szCs w:val="24"/>
          <w:lang w:eastAsia="fr-FR"/>
        </w:rPr>
        <w:t xml:space="preserve"> was recommended in </w:t>
      </w:r>
      <w:r w:rsidRPr="00972C81">
        <w:rPr>
          <w:i/>
          <w:noProof/>
          <w:szCs w:val="24"/>
          <w:lang w:eastAsia="fr-FR"/>
        </w:rPr>
        <w:t>Publication 67</w:t>
      </w:r>
      <w:r w:rsidRPr="00972C81">
        <w:rPr>
          <w:noProof/>
          <w:szCs w:val="24"/>
          <w:lang w:eastAsia="fr-FR"/>
        </w:rPr>
        <w:t xml:space="preserve"> </w:t>
      </w:r>
      <w:r w:rsidR="00EE3295" w:rsidRPr="00972C81">
        <w:rPr>
          <w:noProof/>
          <w:szCs w:val="24"/>
          <w:lang w:eastAsia="fr-FR"/>
        </w:rPr>
        <w:fldChar w:fldCharType="begin"/>
      </w:r>
      <w:r w:rsidR="00AD573C" w:rsidRPr="00972C81">
        <w:rPr>
          <w:noProof/>
          <w:szCs w:val="24"/>
          <w:lang w:eastAsia="fr-FR"/>
        </w:rPr>
        <w:instrText xml:space="preserve"> ADDIN ZOTERO_ITEM CSL_CITATION {"citationID":"a203j0plm6u","properties":{"formattedCitation":"(ICRP, 1993)","plainCitation":"(ICRP, 1993)","noteIndex":0},"citationItems":[{"id":2558,"uris":["http://zotero.org/groups/2470620/items/NGGW5NK4",["http://zotero.org/groups/2470620/items/NGGW5NK4"]],"itemData":{"id":2558,"type":"article-journal","container-title":"Annals of the ICRP","issue":"3/4","journalAbbreviation":"Ann. ICRP","language":"en","title":"Age dependent doses to members of the public from intake of radionuclides: Part 2, Ingestion dose coefficients. ICRP Publication 67","volume":"23","author":[{"literal":"ICRP"}],"issued":{"date-parts":[["1993"]]}}}],"schema":"https://github.com/citation-style-language/schema/raw/master/csl-citation.json"} </w:instrText>
      </w:r>
      <w:r w:rsidR="00EE3295" w:rsidRPr="00972C81">
        <w:rPr>
          <w:noProof/>
          <w:szCs w:val="24"/>
          <w:lang w:eastAsia="fr-FR"/>
        </w:rPr>
        <w:fldChar w:fldCharType="separate"/>
      </w:r>
      <w:r w:rsidR="00AD573C" w:rsidRPr="00972C81">
        <w:rPr>
          <w:noProof/>
          <w:szCs w:val="24"/>
        </w:rPr>
        <w:t>(ICRP, 1993)</w:t>
      </w:r>
      <w:r w:rsidR="00EE3295" w:rsidRPr="00972C81">
        <w:rPr>
          <w:noProof/>
          <w:szCs w:val="24"/>
          <w:lang w:eastAsia="fr-FR"/>
        </w:rPr>
        <w:fldChar w:fldCharType="end"/>
      </w:r>
      <w:r w:rsidRPr="00972C81">
        <w:rPr>
          <w:noProof/>
          <w:szCs w:val="24"/>
          <w:lang w:eastAsia="fr-FR"/>
        </w:rPr>
        <w:t xml:space="preserve">. In </w:t>
      </w:r>
      <w:r w:rsidR="007A34D9" w:rsidRPr="00972C81">
        <w:rPr>
          <w:i/>
          <w:noProof/>
        </w:rPr>
        <w:t>Publication 141</w:t>
      </w:r>
      <w:r w:rsidR="007A34D9" w:rsidRPr="00972C81">
        <w:rPr>
          <w:noProof/>
        </w:rPr>
        <w:t xml:space="preserve"> </w:t>
      </w:r>
      <w:r w:rsidR="008140F0" w:rsidRPr="00972C81">
        <w:rPr>
          <w:noProof/>
        </w:rPr>
        <w:fldChar w:fldCharType="begin"/>
      </w:r>
      <w:r w:rsidR="00AD573C" w:rsidRPr="00972C81">
        <w:rPr>
          <w:noProof/>
        </w:rPr>
        <w:instrText xml:space="preserve"> ADDIN ZOTERO_ITEM CSL_CITATION {"citationID":"a1h6ftgasn6","properties":{"formattedCitation":"(ICRP,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8140F0" w:rsidRPr="00972C81">
        <w:rPr>
          <w:noProof/>
        </w:rPr>
        <w:fldChar w:fldCharType="separate"/>
      </w:r>
      <w:r w:rsidR="00AD573C" w:rsidRPr="00972C81">
        <w:rPr>
          <w:noProof/>
          <w:szCs w:val="24"/>
        </w:rPr>
        <w:t>(ICRP, 2019)</w:t>
      </w:r>
      <w:r w:rsidR="008140F0" w:rsidRPr="00972C81">
        <w:rPr>
          <w:noProof/>
        </w:rPr>
        <w:fldChar w:fldCharType="end"/>
      </w:r>
      <w:r w:rsidRPr="00972C81">
        <w:rPr>
          <w:noProof/>
          <w:szCs w:val="24"/>
          <w:lang w:eastAsia="fr-FR"/>
        </w:rPr>
        <w:t xml:space="preserve">, it was considered that the available data provided </w:t>
      </w:r>
      <w:r w:rsidRPr="00972C81">
        <w:rPr>
          <w:noProof/>
          <w:color w:val="000000" w:themeColor="text1"/>
        </w:rPr>
        <w:t>a sufficient basis for the use of a general value of 5</w:t>
      </w:r>
      <w:r w:rsidR="00067025" w:rsidRPr="00972C81">
        <w:rPr>
          <w:noProof/>
          <w:color w:val="000000" w:themeColor="text1"/>
        </w:rPr>
        <w:t xml:space="preserve"> × </w:t>
      </w:r>
      <w:r w:rsidRPr="00972C81">
        <w:rPr>
          <w:noProof/>
          <w:color w:val="000000" w:themeColor="text1"/>
        </w:rPr>
        <w:t>10</w:t>
      </w:r>
      <w:r w:rsidRPr="00972C81">
        <w:rPr>
          <w:noProof/>
          <w:color w:val="000000" w:themeColor="text1"/>
          <w:vertAlign w:val="superscript"/>
        </w:rPr>
        <w:t>-4</w:t>
      </w:r>
      <w:r w:rsidRPr="00972C81">
        <w:rPr>
          <w:noProof/>
          <w:color w:val="000000" w:themeColor="text1"/>
        </w:rPr>
        <w:t xml:space="preserve"> for all actinides other than uranium. The same value of </w:t>
      </w:r>
      <w:r w:rsidRPr="00972C81">
        <w:rPr>
          <w:i/>
          <w:noProof/>
          <w:color w:val="000000" w:themeColor="text1"/>
        </w:rPr>
        <w:t>f</w:t>
      </w:r>
      <w:r w:rsidRPr="00972C81">
        <w:rPr>
          <w:noProof/>
          <w:color w:val="000000" w:themeColor="text1"/>
          <w:vertAlign w:val="subscript"/>
        </w:rPr>
        <w:t>A</w:t>
      </w:r>
      <w:r w:rsidRPr="00972C81">
        <w:rPr>
          <w:noProof/>
          <w:color w:val="000000" w:themeColor="text1"/>
        </w:rPr>
        <w:t xml:space="preserve"> = 5</w:t>
      </w:r>
      <w:r w:rsidR="00067025" w:rsidRPr="00972C81">
        <w:rPr>
          <w:noProof/>
          <w:color w:val="000000" w:themeColor="text1"/>
        </w:rPr>
        <w:t xml:space="preserve"> × </w:t>
      </w:r>
      <w:r w:rsidRPr="00972C81">
        <w:rPr>
          <w:noProof/>
          <w:color w:val="000000" w:themeColor="text1"/>
        </w:rPr>
        <w:t>10</w:t>
      </w:r>
      <w:r w:rsidRPr="00972C81">
        <w:rPr>
          <w:noProof/>
          <w:color w:val="000000" w:themeColor="text1"/>
          <w:vertAlign w:val="superscript"/>
        </w:rPr>
        <w:t>-4</w:t>
      </w:r>
      <w:r w:rsidRPr="00972C81">
        <w:rPr>
          <w:noProof/>
          <w:color w:val="000000" w:themeColor="text1"/>
        </w:rPr>
        <w:t xml:space="preserve"> is adopted here for plutonium ingested in food by adults.</w:t>
      </w:r>
      <w:r w:rsidR="00300462" w:rsidRPr="00972C81">
        <w:rPr>
          <w:noProof/>
          <w:color w:val="000000" w:themeColor="text1"/>
        </w:rPr>
        <w:t xml:space="preserve"> An </w:t>
      </w:r>
      <w:r w:rsidR="00300462" w:rsidRPr="00972C81">
        <w:rPr>
          <w:i/>
          <w:noProof/>
          <w:color w:val="000000" w:themeColor="text1"/>
        </w:rPr>
        <w:t>f</w:t>
      </w:r>
      <w:r w:rsidR="00300462" w:rsidRPr="00972C81">
        <w:rPr>
          <w:noProof/>
          <w:color w:val="000000" w:themeColor="text1"/>
          <w:vertAlign w:val="subscript"/>
        </w:rPr>
        <w:t>A</w:t>
      </w:r>
      <w:r w:rsidR="00300462" w:rsidRPr="00972C81">
        <w:rPr>
          <w:noProof/>
          <w:color w:val="000000" w:themeColor="text1"/>
        </w:rPr>
        <w:t xml:space="preserve"> = </w:t>
      </w:r>
      <w:r w:rsidR="00F4631B" w:rsidRPr="00972C81">
        <w:rPr>
          <w:noProof/>
          <w:color w:val="000000" w:themeColor="text1"/>
        </w:rPr>
        <w:t>5</w:t>
      </w:r>
      <w:r w:rsidR="00067025" w:rsidRPr="00972C81">
        <w:rPr>
          <w:noProof/>
          <w:color w:val="000000" w:themeColor="text1"/>
        </w:rPr>
        <w:t xml:space="preserve"> × </w:t>
      </w:r>
      <w:r w:rsidR="00300462" w:rsidRPr="00972C81">
        <w:rPr>
          <w:noProof/>
          <w:color w:val="000000" w:themeColor="text1"/>
        </w:rPr>
        <w:t>10</w:t>
      </w:r>
      <w:r w:rsidR="00300462" w:rsidRPr="00972C81">
        <w:rPr>
          <w:noProof/>
          <w:color w:val="000000" w:themeColor="text1"/>
          <w:vertAlign w:val="superscript"/>
        </w:rPr>
        <w:t>-4</w:t>
      </w:r>
      <w:r w:rsidR="00300462" w:rsidRPr="00972C81">
        <w:rPr>
          <w:noProof/>
          <w:color w:val="000000" w:themeColor="text1"/>
        </w:rPr>
        <w:t xml:space="preserve"> is </w:t>
      </w:r>
      <w:r w:rsidR="00F4631B" w:rsidRPr="00972C81">
        <w:rPr>
          <w:noProof/>
          <w:color w:val="000000" w:themeColor="text1"/>
        </w:rPr>
        <w:t xml:space="preserve">also </w:t>
      </w:r>
      <w:r w:rsidR="00300462" w:rsidRPr="00972C81">
        <w:rPr>
          <w:noProof/>
          <w:color w:val="000000" w:themeColor="text1"/>
        </w:rPr>
        <w:t xml:space="preserve">adopted for plutonium ingested in other soluble forms and an </w:t>
      </w:r>
      <w:r w:rsidR="00300462" w:rsidRPr="00972C81">
        <w:rPr>
          <w:i/>
          <w:noProof/>
          <w:color w:val="000000" w:themeColor="text1"/>
        </w:rPr>
        <w:t>f</w:t>
      </w:r>
      <w:r w:rsidR="00300462" w:rsidRPr="00972C81">
        <w:rPr>
          <w:noProof/>
          <w:color w:val="000000" w:themeColor="text1"/>
          <w:vertAlign w:val="subscript"/>
        </w:rPr>
        <w:t>A</w:t>
      </w:r>
      <w:r w:rsidR="00300462" w:rsidRPr="00972C81">
        <w:rPr>
          <w:noProof/>
          <w:color w:val="000000" w:themeColor="text1"/>
        </w:rPr>
        <w:t xml:space="preserve"> = 1</w:t>
      </w:r>
      <w:r w:rsidR="00067025" w:rsidRPr="00972C81">
        <w:rPr>
          <w:noProof/>
          <w:color w:val="000000" w:themeColor="text1"/>
        </w:rPr>
        <w:t xml:space="preserve"> × </w:t>
      </w:r>
      <w:r w:rsidR="00300462" w:rsidRPr="00972C81">
        <w:rPr>
          <w:noProof/>
          <w:color w:val="000000" w:themeColor="text1"/>
        </w:rPr>
        <w:t>10</w:t>
      </w:r>
      <w:r w:rsidR="00300462" w:rsidRPr="00972C81">
        <w:rPr>
          <w:noProof/>
          <w:color w:val="000000" w:themeColor="text1"/>
          <w:vertAlign w:val="superscript"/>
        </w:rPr>
        <w:t>-5</w:t>
      </w:r>
      <w:r w:rsidR="00300462" w:rsidRPr="00972C81">
        <w:rPr>
          <w:noProof/>
          <w:color w:val="000000" w:themeColor="text1"/>
        </w:rPr>
        <w:t xml:space="preserve"> is adopted for plutonium ingested in insoluble forms. </w:t>
      </w:r>
    </w:p>
    <w:p w14:paraId="1319E129" w14:textId="166CF045" w:rsidR="00300462" w:rsidRPr="00972C81" w:rsidRDefault="00AE7A83" w:rsidP="001C4A92">
      <w:pPr>
        <w:pStyle w:val="Annalstext"/>
        <w:rPr>
          <w:noProof/>
        </w:rPr>
      </w:pPr>
      <w:r w:rsidRPr="00972C81">
        <w:rPr>
          <w:i/>
          <w:iCs/>
          <w:noProof/>
        </w:rPr>
        <w:t>Children</w:t>
      </w:r>
      <w:r w:rsidRPr="00972C81">
        <w:rPr>
          <w:iCs/>
          <w:noProof/>
        </w:rPr>
        <w:t xml:space="preserve">. </w:t>
      </w:r>
      <w:r w:rsidRPr="00972C81">
        <w:rPr>
          <w:i/>
          <w:noProof/>
        </w:rPr>
        <w:t>Publication 48</w:t>
      </w:r>
      <w:r w:rsidR="008140F0" w:rsidRPr="00972C81">
        <w:rPr>
          <w:noProof/>
          <w:szCs w:val="24"/>
          <w:lang w:eastAsia="fr-FR"/>
        </w:rPr>
        <w:t xml:space="preserve"> </w:t>
      </w:r>
      <w:r w:rsidRPr="00972C81">
        <w:rPr>
          <w:noProof/>
        </w:rPr>
        <w:t xml:space="preserve">reviewed strong experimental evidence to conclude that plutonium absorption from the gastrointestinal tract may be increased by at least an order of magnitude in the human neonate, but that any increased absorption would probably decrease rapidly during the first few days or weeks of life. The age by which absorption of plutonium might decrease to adult levels is not known, but animal studies indicate that adult values may be reached by about the time of weaning. </w:t>
      </w:r>
      <w:r w:rsidRPr="00972C81">
        <w:rPr>
          <w:i/>
          <w:noProof/>
        </w:rPr>
        <w:t>Publication 56</w:t>
      </w:r>
      <w:r w:rsidRPr="00972C81">
        <w:rPr>
          <w:noProof/>
        </w:rPr>
        <w:t xml:space="preserve"> </w:t>
      </w:r>
      <w:r w:rsidR="00E444AF" w:rsidRPr="00972C81">
        <w:rPr>
          <w:noProof/>
        </w:rPr>
        <w:t>recommended</w:t>
      </w:r>
      <w:r w:rsidRPr="00972C81">
        <w:rPr>
          <w:noProof/>
        </w:rPr>
        <w:t xml:space="preserve"> an absorption fraction of 10</w:t>
      </w:r>
      <w:r w:rsidRPr="00972C81">
        <w:rPr>
          <w:noProof/>
          <w:vertAlign w:val="superscript"/>
        </w:rPr>
        <w:t>-2</w:t>
      </w:r>
      <w:r w:rsidRPr="00972C81">
        <w:rPr>
          <w:noProof/>
        </w:rPr>
        <w:t xml:space="preserve"> as an average for the first year of life and 10</w:t>
      </w:r>
      <w:r w:rsidRPr="00972C81">
        <w:rPr>
          <w:noProof/>
          <w:vertAlign w:val="superscript"/>
        </w:rPr>
        <w:t>-3</w:t>
      </w:r>
      <w:r w:rsidRPr="00972C81">
        <w:rPr>
          <w:noProof/>
        </w:rPr>
        <w:t xml:space="preserve"> for all succeeding years. In </w:t>
      </w:r>
      <w:r w:rsidRPr="00972C81">
        <w:rPr>
          <w:i/>
          <w:noProof/>
        </w:rPr>
        <w:t>Publication 67</w:t>
      </w:r>
      <w:r w:rsidRPr="00972C81">
        <w:rPr>
          <w:noProof/>
        </w:rPr>
        <w:t xml:space="preserve">, the lattest human data were taken into account to update the recommended values to </w:t>
      </w:r>
      <w:r w:rsidRPr="00972C81">
        <w:rPr>
          <w:noProof/>
          <w:lang w:eastAsia="fr-FR"/>
        </w:rPr>
        <w:t>5</w:t>
      </w:r>
      <w:r w:rsidR="00067025" w:rsidRPr="00972C81">
        <w:rPr>
          <w:noProof/>
          <w:lang w:eastAsia="fr-FR"/>
        </w:rPr>
        <w:t xml:space="preserve"> × </w:t>
      </w:r>
      <w:r w:rsidRPr="00972C81">
        <w:rPr>
          <w:noProof/>
          <w:lang w:eastAsia="fr-FR"/>
        </w:rPr>
        <w:t>10</w:t>
      </w:r>
      <w:r w:rsidRPr="00972C81">
        <w:rPr>
          <w:noProof/>
          <w:vertAlign w:val="superscript"/>
          <w:lang w:eastAsia="fr-FR"/>
        </w:rPr>
        <w:t>-3</w:t>
      </w:r>
      <w:r w:rsidRPr="00972C81">
        <w:rPr>
          <w:noProof/>
          <w:lang w:eastAsia="fr-FR"/>
        </w:rPr>
        <w:t xml:space="preserve"> for 3-month-old infants and 5</w:t>
      </w:r>
      <w:r w:rsidR="00067025" w:rsidRPr="00972C81">
        <w:rPr>
          <w:noProof/>
          <w:lang w:eastAsia="fr-FR"/>
        </w:rPr>
        <w:t xml:space="preserve"> × </w:t>
      </w:r>
      <w:r w:rsidRPr="00972C81">
        <w:rPr>
          <w:noProof/>
          <w:lang w:eastAsia="fr-FR"/>
        </w:rPr>
        <w:t>10</w:t>
      </w:r>
      <w:r w:rsidRPr="00972C81">
        <w:rPr>
          <w:noProof/>
          <w:vertAlign w:val="superscript"/>
          <w:lang w:eastAsia="fr-FR"/>
        </w:rPr>
        <w:t>-4</w:t>
      </w:r>
      <w:r w:rsidRPr="00972C81">
        <w:rPr>
          <w:noProof/>
          <w:lang w:eastAsia="fr-FR"/>
        </w:rPr>
        <w:t xml:space="preserve"> for children of 1 year and older. </w:t>
      </w:r>
      <w:r w:rsidRPr="0034590A">
        <w:rPr>
          <w:noProof/>
          <w:lang w:val="fr-FR" w:eastAsia="fr-FR"/>
        </w:rPr>
        <w:t xml:space="preserve">Harrison et al. </w:t>
      </w:r>
      <w:r w:rsidR="008140F0" w:rsidRPr="00972C81">
        <w:rPr>
          <w:noProof/>
          <w:lang w:eastAsia="fr-FR"/>
        </w:rPr>
        <w:fldChar w:fldCharType="begin"/>
      </w:r>
      <w:r w:rsidR="00AD573C" w:rsidRPr="0034590A">
        <w:rPr>
          <w:noProof/>
          <w:lang w:val="fr-FR" w:eastAsia="fr-FR"/>
        </w:rPr>
        <w:instrText xml:space="preserve"> ADDIN ZOTERO_ITEM CSL_CITATION {"citationID":"as4625j0ef","properties":{"formattedCitation":"(2001)","plainCitation":"(2001)","noteIndex":0},"citationItems":[{"id":3580,"uris":["http://zotero.org/groups/2470620/items/KCAHWF79"],"itemData":{"id":3580,"type":"article-journal","abstract":"Data on the gastrointestinal absorption of 12 elements have been reviewed. In each case, absorption is expressed as the fraction of the ingested element absorbed to blood, referred to as the f1 value, applying to intakes of unspecified chemical form by average population groups. The level of confidence in individual absorption values has been estimated in terms of lower and upper bounds, A and B, such that there is judged to be roughly a 90% probability that the true central value is no less than A and no greater than B. Ranges are proposed for intakes by adults, 10-year-old children and 3-month-old infants. Uncertainty in f1 values (B/A) ranged from 10% to factors of 100-400. The lowest uncertainties were for the well absorbed elements, H, I and Cs, for which there are good data, and the greatest uncertainties were for less well absorbed elements for which few data are available, particularly Zr and Sb. Ranges were generally wider for children and infants than for adults because of the need to allow for the likelihood of increased absorption with only limited data in support of the proposed values. The largest ranges were for 3-month-old infants, reflective lack of knowledge on the time-course and magnitude of possible increased absorption in the first few months of life. For each age group, ICRP values of absorption tend towards the upper bound of the ranges, indicating a degree of conservatism in th calculation of ingestion dose coefficients. Examination of the effect of the proposed confidence intervals for f1 values on uncertainties in dose coefficients for ingested radionuclides showed that there was no direct relationship. For some radionuclides, uncertainties in effective dose were small despite large uncertainties in f1 values while for others the uncertainties in effective doses approached the corresponding values for uncertainty in f1 values. These differences reflect the relative contributions to effective dose from cumulative activity in the contents of the alimentary tract, which in many cases is insensitive to uncertainties in f1, and cumulative activity of the absorbed radionuclide in systemic tissues, which is proportional to f1. In general, uncertainties in effective close for children and infants exceeded those in adults as a result of greater uncertainties in f1 values for the younger age groups. However, this effect was reduced in some cases by shorter retention times of absorbed nuclides in body tissues and organs.","archive_location":"11707028","container-title":"Radiat Prot Dosimetry","ISSN":"0144-8420 (Print)","issue":"4","journalAbbreviation":"Radiation protection dosimetry","language":"eng","page":"295-308","title":"Reliability of the ICRP's dose coefficients for members of the public, II. Uncertainties in the absorption of ingested radionuclides and the effect on dose estimates.","volume":"95","author":[{"family":"Harrison","given":"J. D."},{"family":"Leggett","given":"R. W."},{"family":"Nosske","given":"D."},{"family":"Paquet","given":"F."},{"family":"Phipps","given":"D. M."},{"family":"Taylor","given":"D. M."},{"family":"Metivier","given":"H."}],"issued":{"date-parts":[["2001"]]}},"label":"page","suppress-author":true}],"schema":"https://github.com/citation-style-language/schema/raw/master/csl-citation.json"} </w:instrText>
      </w:r>
      <w:r w:rsidR="008140F0" w:rsidRPr="00972C81">
        <w:rPr>
          <w:noProof/>
          <w:lang w:eastAsia="fr-FR"/>
        </w:rPr>
        <w:fldChar w:fldCharType="separate"/>
      </w:r>
      <w:r w:rsidR="00AD573C" w:rsidRPr="0034590A">
        <w:rPr>
          <w:noProof/>
          <w:szCs w:val="24"/>
          <w:lang w:val="fr-FR"/>
        </w:rPr>
        <w:t>(2001)</w:t>
      </w:r>
      <w:r w:rsidR="008140F0" w:rsidRPr="00972C81">
        <w:rPr>
          <w:noProof/>
          <w:lang w:eastAsia="fr-FR"/>
        </w:rPr>
        <w:fldChar w:fldCharType="end"/>
      </w:r>
      <w:r w:rsidRPr="0034590A">
        <w:rPr>
          <w:noProof/>
          <w:lang w:val="fr-FR" w:eastAsia="fr-FR"/>
        </w:rPr>
        <w:t xml:space="preserve"> proposed confidence intervals of 1</w:t>
      </w:r>
      <w:r w:rsidR="00067025" w:rsidRPr="0034590A">
        <w:rPr>
          <w:noProof/>
          <w:lang w:val="fr-FR" w:eastAsia="fr-FR"/>
        </w:rPr>
        <w:t xml:space="preserve"> × </w:t>
      </w:r>
      <w:r w:rsidRPr="0034590A">
        <w:rPr>
          <w:noProof/>
          <w:lang w:val="fr-FR" w:eastAsia="fr-FR"/>
        </w:rPr>
        <w:t>10</w:t>
      </w:r>
      <w:r w:rsidRPr="0034590A">
        <w:rPr>
          <w:noProof/>
          <w:vertAlign w:val="superscript"/>
          <w:lang w:val="fr-FR" w:eastAsia="fr-FR"/>
        </w:rPr>
        <w:t>-4</w:t>
      </w:r>
      <w:r w:rsidRPr="0034590A">
        <w:rPr>
          <w:noProof/>
          <w:lang w:val="fr-FR" w:eastAsia="fr-FR"/>
        </w:rPr>
        <w:t xml:space="preserve"> to 1</w:t>
      </w:r>
      <w:r w:rsidR="00067025" w:rsidRPr="0034590A">
        <w:rPr>
          <w:noProof/>
          <w:lang w:val="fr-FR" w:eastAsia="fr-FR"/>
        </w:rPr>
        <w:t xml:space="preserve"> × </w:t>
      </w:r>
      <w:r w:rsidRPr="0034590A">
        <w:rPr>
          <w:noProof/>
          <w:lang w:val="fr-FR" w:eastAsia="fr-FR"/>
        </w:rPr>
        <w:t>10</w:t>
      </w:r>
      <w:r w:rsidRPr="0034590A">
        <w:rPr>
          <w:noProof/>
          <w:vertAlign w:val="superscript"/>
          <w:lang w:val="fr-FR" w:eastAsia="fr-FR"/>
        </w:rPr>
        <w:t>-3</w:t>
      </w:r>
      <w:r w:rsidRPr="0034590A">
        <w:rPr>
          <w:noProof/>
          <w:lang w:val="fr-FR" w:eastAsia="fr-FR"/>
        </w:rPr>
        <w:t xml:space="preserve"> for adults and children, and 1</w:t>
      </w:r>
      <w:r w:rsidR="00067025" w:rsidRPr="0034590A">
        <w:rPr>
          <w:noProof/>
          <w:lang w:val="fr-FR" w:eastAsia="fr-FR"/>
        </w:rPr>
        <w:t xml:space="preserve"> × </w:t>
      </w:r>
      <w:r w:rsidRPr="0034590A">
        <w:rPr>
          <w:noProof/>
          <w:lang w:val="fr-FR" w:eastAsia="fr-FR"/>
        </w:rPr>
        <w:t>10</w:t>
      </w:r>
      <w:r w:rsidRPr="0034590A">
        <w:rPr>
          <w:noProof/>
          <w:vertAlign w:val="superscript"/>
          <w:lang w:val="fr-FR" w:eastAsia="fr-FR"/>
        </w:rPr>
        <w:t>-4</w:t>
      </w:r>
      <w:r w:rsidRPr="0034590A">
        <w:rPr>
          <w:noProof/>
          <w:lang w:val="fr-FR" w:eastAsia="fr-FR"/>
        </w:rPr>
        <w:t xml:space="preserve"> to 1</w:t>
      </w:r>
      <w:r w:rsidR="00067025" w:rsidRPr="0034590A">
        <w:rPr>
          <w:noProof/>
          <w:lang w:val="fr-FR" w:eastAsia="fr-FR"/>
        </w:rPr>
        <w:t xml:space="preserve"> × </w:t>
      </w:r>
      <w:r w:rsidRPr="0034590A">
        <w:rPr>
          <w:noProof/>
          <w:lang w:val="fr-FR" w:eastAsia="fr-FR"/>
        </w:rPr>
        <w:t>10</w:t>
      </w:r>
      <w:r w:rsidRPr="0034590A">
        <w:rPr>
          <w:noProof/>
          <w:vertAlign w:val="superscript"/>
          <w:lang w:val="fr-FR" w:eastAsia="fr-FR"/>
        </w:rPr>
        <w:t xml:space="preserve">-2 </w:t>
      </w:r>
      <w:r w:rsidRPr="0034590A">
        <w:rPr>
          <w:noProof/>
          <w:lang w:val="fr-FR" w:eastAsia="fr-FR"/>
        </w:rPr>
        <w:t>for 3-month-old infants.</w:t>
      </w:r>
      <w:r w:rsidRPr="0034590A">
        <w:rPr>
          <w:noProof/>
          <w:lang w:val="fr-FR"/>
        </w:rPr>
        <w:t xml:space="preserve"> </w:t>
      </w:r>
      <w:r w:rsidRPr="00972C81">
        <w:rPr>
          <w:noProof/>
          <w:lang w:eastAsia="fr-FR"/>
        </w:rPr>
        <w:t xml:space="preserve">The same values as in </w:t>
      </w:r>
      <w:r w:rsidRPr="00972C81">
        <w:rPr>
          <w:i/>
          <w:noProof/>
          <w:lang w:eastAsia="fr-FR"/>
        </w:rPr>
        <w:t>Publication 67</w:t>
      </w:r>
      <w:r w:rsidRPr="00972C81">
        <w:rPr>
          <w:noProof/>
          <w:lang w:eastAsia="fr-FR"/>
        </w:rPr>
        <w:t xml:space="preserve"> are adopted here for children </w:t>
      </w:r>
      <w:r w:rsidRPr="00972C81">
        <w:rPr>
          <w:i/>
          <w:noProof/>
          <w:lang w:eastAsia="fr-FR"/>
        </w:rPr>
        <w:t>f</w:t>
      </w:r>
      <w:r w:rsidRPr="00972C81">
        <w:rPr>
          <w:noProof/>
          <w:vertAlign w:val="subscript"/>
          <w:lang w:eastAsia="fr-FR"/>
        </w:rPr>
        <w:t>A</w:t>
      </w:r>
      <w:r w:rsidR="00300462" w:rsidRPr="00972C81">
        <w:rPr>
          <w:noProof/>
          <w:lang w:eastAsia="fr-FR"/>
        </w:rPr>
        <w:t xml:space="preserve"> ingesting plutonium in food</w:t>
      </w:r>
      <w:r w:rsidR="005C7325" w:rsidRPr="00972C81">
        <w:rPr>
          <w:noProof/>
          <w:lang w:eastAsia="fr-FR"/>
        </w:rPr>
        <w:t xml:space="preserve"> and f</w:t>
      </w:r>
      <w:r w:rsidR="00300462" w:rsidRPr="00972C81">
        <w:rPr>
          <w:noProof/>
          <w:lang w:eastAsia="fr-FR"/>
        </w:rPr>
        <w:t>or other soluble forms</w:t>
      </w:r>
      <w:r w:rsidR="008762E0" w:rsidRPr="00972C81">
        <w:rPr>
          <w:noProof/>
          <w:lang w:eastAsia="fr-FR"/>
        </w:rPr>
        <w:t>.</w:t>
      </w:r>
      <w:r w:rsidR="00300462" w:rsidRPr="00972C81">
        <w:rPr>
          <w:noProof/>
          <w:lang w:eastAsia="fr-FR"/>
        </w:rPr>
        <w:t xml:space="preserve"> </w:t>
      </w:r>
      <w:r w:rsidR="005C7325" w:rsidRPr="00972C81">
        <w:rPr>
          <w:noProof/>
        </w:rPr>
        <w:t>F</w:t>
      </w:r>
      <w:r w:rsidR="00300462" w:rsidRPr="00972C81">
        <w:rPr>
          <w:noProof/>
        </w:rPr>
        <w:t xml:space="preserve">or insoluble forms, </w:t>
      </w:r>
      <w:r w:rsidR="00300462" w:rsidRPr="00972C81">
        <w:rPr>
          <w:noProof/>
          <w:color w:val="000000" w:themeColor="text1"/>
        </w:rPr>
        <w:t xml:space="preserve">an </w:t>
      </w:r>
      <w:r w:rsidR="00300462" w:rsidRPr="00972C81">
        <w:rPr>
          <w:i/>
          <w:noProof/>
          <w:color w:val="000000" w:themeColor="text1"/>
        </w:rPr>
        <w:t>f</w:t>
      </w:r>
      <w:r w:rsidR="00300462" w:rsidRPr="00972C81">
        <w:rPr>
          <w:noProof/>
          <w:color w:val="000000" w:themeColor="text1"/>
          <w:vertAlign w:val="subscript"/>
        </w:rPr>
        <w:t>A</w:t>
      </w:r>
      <w:r w:rsidR="00300462" w:rsidRPr="00972C81">
        <w:rPr>
          <w:noProof/>
          <w:color w:val="000000" w:themeColor="text1"/>
        </w:rPr>
        <w:t xml:space="preserve"> = 1</w:t>
      </w:r>
      <w:r w:rsidR="00067025" w:rsidRPr="00972C81">
        <w:rPr>
          <w:noProof/>
          <w:color w:val="000000" w:themeColor="text1"/>
        </w:rPr>
        <w:t xml:space="preserve"> × </w:t>
      </w:r>
      <w:r w:rsidR="00300462" w:rsidRPr="00972C81">
        <w:rPr>
          <w:noProof/>
          <w:color w:val="000000" w:themeColor="text1"/>
        </w:rPr>
        <w:t>10</w:t>
      </w:r>
      <w:r w:rsidR="00300462" w:rsidRPr="00972C81">
        <w:rPr>
          <w:noProof/>
          <w:color w:val="000000" w:themeColor="text1"/>
          <w:vertAlign w:val="superscript"/>
        </w:rPr>
        <w:t>-4</w:t>
      </w:r>
      <w:r w:rsidR="00300462" w:rsidRPr="00972C81">
        <w:rPr>
          <w:noProof/>
          <w:color w:val="000000" w:themeColor="text1"/>
        </w:rPr>
        <w:t xml:space="preserve"> is adopted</w:t>
      </w:r>
      <w:r w:rsidR="005C7325" w:rsidRPr="00972C81">
        <w:rPr>
          <w:noProof/>
          <w:color w:val="000000" w:themeColor="text1"/>
        </w:rPr>
        <w:t xml:space="preserve"> for </w:t>
      </w:r>
      <w:r w:rsidR="005C7325" w:rsidRPr="00972C81">
        <w:rPr>
          <w:noProof/>
          <w:lang w:eastAsia="fr-FR"/>
        </w:rPr>
        <w:t>3-month-old infants</w:t>
      </w:r>
      <w:r w:rsidR="008762E0" w:rsidRPr="00972C81">
        <w:rPr>
          <w:noProof/>
          <w:lang w:eastAsia="fr-FR"/>
        </w:rPr>
        <w:t xml:space="preserve"> and an </w:t>
      </w:r>
      <w:r w:rsidR="008762E0" w:rsidRPr="00972C81">
        <w:rPr>
          <w:i/>
          <w:noProof/>
          <w:color w:val="000000" w:themeColor="text1"/>
        </w:rPr>
        <w:t>f</w:t>
      </w:r>
      <w:r w:rsidR="008762E0" w:rsidRPr="00972C81">
        <w:rPr>
          <w:noProof/>
          <w:color w:val="000000" w:themeColor="text1"/>
          <w:vertAlign w:val="subscript"/>
        </w:rPr>
        <w:t>A</w:t>
      </w:r>
      <w:r w:rsidR="008762E0" w:rsidRPr="00972C81">
        <w:rPr>
          <w:noProof/>
          <w:lang w:eastAsia="fr-FR"/>
        </w:rPr>
        <w:t xml:space="preserve"> = 1</w:t>
      </w:r>
      <w:r w:rsidR="00067025" w:rsidRPr="00972C81">
        <w:rPr>
          <w:noProof/>
          <w:lang w:eastAsia="fr-FR"/>
        </w:rPr>
        <w:t xml:space="preserve"> × </w:t>
      </w:r>
      <w:r w:rsidR="008762E0" w:rsidRPr="00972C81">
        <w:rPr>
          <w:noProof/>
          <w:lang w:eastAsia="fr-FR"/>
        </w:rPr>
        <w:t>10</w:t>
      </w:r>
      <w:r w:rsidR="008762E0" w:rsidRPr="00972C81">
        <w:rPr>
          <w:noProof/>
          <w:vertAlign w:val="superscript"/>
          <w:lang w:eastAsia="fr-FR"/>
        </w:rPr>
        <w:t>-5</w:t>
      </w:r>
      <w:r w:rsidR="008762E0" w:rsidRPr="00972C81">
        <w:rPr>
          <w:noProof/>
          <w:lang w:eastAsia="fr-FR"/>
        </w:rPr>
        <w:t xml:space="preserve"> is adopted for older children</w:t>
      </w:r>
      <w:r w:rsidR="00300462" w:rsidRPr="00972C81">
        <w:rPr>
          <w:noProof/>
          <w:color w:val="000000" w:themeColor="text1"/>
        </w:rPr>
        <w:t xml:space="preserve">. </w:t>
      </w:r>
    </w:p>
    <w:p w14:paraId="7E558AF4" w14:textId="77777777" w:rsidR="00AE7A83" w:rsidRPr="00972C81" w:rsidRDefault="00AE7A83" w:rsidP="00E81109">
      <w:pPr>
        <w:pStyle w:val="3"/>
        <w:rPr>
          <w:noProof/>
        </w:rPr>
      </w:pPr>
      <w:bookmarkStart w:id="323" w:name="_Toc162630107"/>
      <w:r w:rsidRPr="00972C81">
        <w:rPr>
          <w:noProof/>
        </w:rPr>
        <w:t>Systemic Distribution, Retention and Excretion</w:t>
      </w:r>
      <w:bookmarkEnd w:id="323"/>
    </w:p>
    <w:p w14:paraId="5D1E4D94" w14:textId="77777777" w:rsidR="0066789F" w:rsidRPr="00972C81" w:rsidRDefault="0066789F" w:rsidP="006703A2">
      <w:pPr>
        <w:pStyle w:val="OIRTitre4"/>
      </w:pPr>
      <w:r w:rsidRPr="00972C81">
        <w:t>Summary of biokinetic data</w:t>
      </w:r>
    </w:p>
    <w:p w14:paraId="6E930AF1" w14:textId="13E68563" w:rsidR="0066789F" w:rsidRPr="00972C81" w:rsidRDefault="0066789F" w:rsidP="001C4A92">
      <w:pPr>
        <w:pStyle w:val="Annalstext"/>
        <w:rPr>
          <w:noProof/>
        </w:rPr>
      </w:pPr>
      <w:r w:rsidRPr="00972C81">
        <w:rPr>
          <w:noProof/>
        </w:rPr>
        <w:t xml:space="preserve">In the mid-1940s, 18 seriously ill persons were injected with tracer amounts of Pu citrate or nitrate to investigate the relation of the systemic burden and excretion rate of Pu </w:t>
      </w:r>
      <w:r w:rsidR="008140F0" w:rsidRPr="00972C81">
        <w:rPr>
          <w:noProof/>
        </w:rPr>
        <w:fldChar w:fldCharType="begin"/>
      </w:r>
      <w:r w:rsidR="00AD573C" w:rsidRPr="00972C81">
        <w:rPr>
          <w:noProof/>
        </w:rPr>
        <w:instrText xml:space="preserve"> ADDIN ZOTERO_ITEM CSL_CITATION {"citationID":"a2p6399009n","properties":{"formattedCitation":"(Langham, 1959; Langham et al., 1950)","plainCitation":"(Langham, 1959; Langham et al., 1950)","noteIndex":0},"citationItems":[{"id":5113,"uris":["http://zotero.org/groups/2470620/items/CMZJKPIJ"],"itemData":{"id":5113,"type":"article-journal","container-title":"Health Physics","DOI":"10.1097/00004032-195904000-00006","ISSN":"0017-9078","journalAbbreviation":"Health Phys","language":"eng","note":"PMID: 14413981","page":"172-185","source":"PubMed","title":"Physiology and toxicology of plutonium-239 and its industrial medical control","volume":"2","author":[{"family":"Langham","given":"W. H."}],"issued":{"date-parts":[["1959",10]]}}},{"id":5115,"uris":["http://zotero.org/groups/2470620/items/TFUL5TUH"],"itemData":{"id":5115,"type":"report","event-place":"Los Alamos, New Mexico","number":"LA-1151","publisher":"Los Alamos Scientific Laboratory","publisher-place":"Los Alamos, New Mexico","source":"Google Scholar","title":"Distribution and excretion of Pu administered to man","author":[{"family":"Langham","given":"W. H."},{"family":"Bassett","given":"S. H."},{"family":"Harris","given":"P. S."},{"family":"Carter","given":"R. E."}],"issued":{"date-parts":[["1950"]]}}}],"schema":"https://github.com/citation-style-language/schema/raw/master/csl-citation.json"} </w:instrText>
      </w:r>
      <w:r w:rsidR="008140F0" w:rsidRPr="00972C81">
        <w:rPr>
          <w:noProof/>
        </w:rPr>
        <w:fldChar w:fldCharType="separate"/>
      </w:r>
      <w:r w:rsidR="00AD573C" w:rsidRPr="00972C81">
        <w:rPr>
          <w:noProof/>
          <w:szCs w:val="24"/>
        </w:rPr>
        <w:t>(Langham, 1959; Langham et al., 1950)</w:t>
      </w:r>
      <w:r w:rsidR="008140F0" w:rsidRPr="00972C81">
        <w:rPr>
          <w:noProof/>
        </w:rPr>
        <w:fldChar w:fldCharType="end"/>
      </w:r>
      <w:r w:rsidRPr="00972C81">
        <w:rPr>
          <w:noProof/>
        </w:rPr>
        <w:t xml:space="preserve">. The life expectancies of the subjects of the “Langham study” were judged to be short at the time of injection, but eight were still alive after 8 y and four survived at least 3 decades </w:t>
      </w:r>
      <w:r w:rsidR="008140F0" w:rsidRPr="00972C81">
        <w:rPr>
          <w:noProof/>
        </w:rPr>
        <w:fldChar w:fldCharType="begin"/>
      </w:r>
      <w:r w:rsidR="00AD573C" w:rsidRPr="00972C81">
        <w:rPr>
          <w:noProof/>
        </w:rPr>
        <w:instrText xml:space="preserve"> ADDIN ZOTERO_ITEM CSL_CITATION {"citationID":"a1flp84fff0","properties":{"formattedCitation":"(Rowland and Durbin, 1976)","plainCitation":"(Rowland and Durbin, 1976)","noteIndex":0},"citationItems":[{"id":5116,"uris":["http://zotero.org/groups/2470620/items/XHS69SGI"],"itemData":{"id":5116,"type":"chapter","container-title":"The Health effects of plutonium and radium","event-place":"Salt Lake City, UT","page":"329-341","publisher":"The J. W. Press","publisher-place":"Salt Lake City, UT","title":"Survival, causes of death, and estimated tissue doses in a group of human beings injected with plutonium","author":[{"family":"Rowland","given":"R. E."},{"family":"Durbin","given":"Patricia W."}],"editor":[{"family":"Jee","given":"W.S.S."}],"issued":{"date-parts":[["1976"]]}}}],"schema":"https://github.com/citation-style-language/schema/raw/master/csl-citation.json"} </w:instrText>
      </w:r>
      <w:r w:rsidR="008140F0" w:rsidRPr="00972C81">
        <w:rPr>
          <w:noProof/>
        </w:rPr>
        <w:fldChar w:fldCharType="separate"/>
      </w:r>
      <w:r w:rsidR="00AD573C" w:rsidRPr="00972C81">
        <w:rPr>
          <w:noProof/>
          <w:szCs w:val="24"/>
        </w:rPr>
        <w:t>(Rowland and Durbin, 1976)</w:t>
      </w:r>
      <w:r w:rsidR="008140F0" w:rsidRPr="00972C81">
        <w:rPr>
          <w:noProof/>
        </w:rPr>
        <w:fldChar w:fldCharType="end"/>
      </w:r>
      <w:r w:rsidRPr="00972C81">
        <w:rPr>
          <w:noProof/>
        </w:rPr>
        <w:t xml:space="preserve">. Measurements of activity in blood and excreta were made frequently during the early weeks after injection, and a few additional excretion measurements were made for two of the subjects through 4.5 y </w:t>
      </w:r>
      <w:r w:rsidR="008140F0" w:rsidRPr="00972C81">
        <w:rPr>
          <w:noProof/>
        </w:rPr>
        <w:fldChar w:fldCharType="begin"/>
      </w:r>
      <w:r w:rsidR="00AD573C" w:rsidRPr="00972C81">
        <w:rPr>
          <w:noProof/>
        </w:rPr>
        <w:instrText xml:space="preserve"> ADDIN ZOTERO_ITEM CSL_CITATION {"citationID":"aqmrkodqd4","properties":{"formattedCitation":"(Durbin, 1972; Langham et al., 1950)","plainCitation":"(Durbin, 1972; Langham et al., 1950)","noteIndex":0},"citationItems":[{"id":5119,"uris":["http://zotero.org/groups/2470620/items/NYEH7HHW"],"itemData":{"id":5119,"type":"chapter","container-title":"Radiobiology of Pu","event-place":"Salt Lake City, UT","page":"469–530","publisher":"J. W. Press","publisher-place":"Salt Lake City, UT","title":"Plutonium in man: A new look at the old data.","author":[{"family":"Durbin","given":"Patricia W."}],"editor":[{"family":"Stover","given":"B.J."},{"family":"Jee","given":"W.S.S."}],"issued":{"date-parts":[["1972"]]}}},{"id":5115,"uris":["http://zotero.org/groups/2470620/items/TFUL5TUH"],"itemData":{"id":5115,"type":"report","event-place":"Los Alamos, New Mexico","number":"LA-1151","publisher":"Los Alamos Scientific Laboratory","publisher-place":"Los Alamos, New Mexico","source":"Google Scholar","title":"Distribution and excretion of Pu administered to man","author":[{"family":"Langham","given":"W. H."},{"family":"Bassett","given":"S. H."},{"family":"Harris","given":"P. S."},{"family":"Carter","given":"R. E."}],"issued":{"date-parts":[["1950"]]}}}],"schema":"https://github.com/citation-style-language/schema/raw/master/csl-citation.json"} </w:instrText>
      </w:r>
      <w:r w:rsidR="008140F0" w:rsidRPr="00972C81">
        <w:rPr>
          <w:noProof/>
        </w:rPr>
        <w:fldChar w:fldCharType="separate"/>
      </w:r>
      <w:r w:rsidR="00AD573C" w:rsidRPr="00972C81">
        <w:rPr>
          <w:noProof/>
          <w:szCs w:val="24"/>
        </w:rPr>
        <w:t>(Durbin, 1972; Langham et al., 1950)</w:t>
      </w:r>
      <w:r w:rsidR="008140F0" w:rsidRPr="00972C81">
        <w:rPr>
          <w:noProof/>
        </w:rPr>
        <w:fldChar w:fldCharType="end"/>
      </w:r>
      <w:r w:rsidRPr="00972C81">
        <w:rPr>
          <w:noProof/>
        </w:rPr>
        <w:t xml:space="preserve">. The concentration of Pu in tissues was determined in samples collected at autopsy from subjects dying in the first 15 months after injection </w:t>
      </w:r>
      <w:r w:rsidR="00C35D22" w:rsidRPr="00972C81">
        <w:rPr>
          <w:noProof/>
        </w:rPr>
        <w:fldChar w:fldCharType="begin"/>
      </w:r>
      <w:r w:rsidR="00AD573C" w:rsidRPr="00972C81">
        <w:rPr>
          <w:noProof/>
        </w:rPr>
        <w:instrText xml:space="preserve"> ADDIN ZOTERO_ITEM CSL_CITATION {"citationID":"PvUhPKM5","properties":{"formattedCitation":"(Durbin, 1972; Langham et al., 1950)","plainCitation":"(Durbin, 1972; Langham et al., 1950)","noteIndex":0},"citationItems":[{"id":5119,"uris":["http://zotero.org/groups/2470620/items/NYEH7HHW"],"itemData":{"id":5119,"type":"chapter","container-title":"Radiobiology of Pu","event-place":"Salt Lake City, UT","page":"469–530","publisher":"J. W. Press","publisher-place":"Salt Lake City, UT","title":"Plutonium in man: A new look at the old data.","author":[{"family":"Durbin","given":"Patricia W."}],"editor":[{"family":"Stover","given":"B.J."},{"family":"Jee","given":"W.S.S."}],"issued":{"date-parts":[["1972"]]}}},{"id":5115,"uris":["http://zotero.org/groups/2470620/items/TFUL5TUH"],"itemData":{"id":5115,"type":"report","event-place":"Los Alamos, New Mexico","number":"LA-1151","publisher":"Los Alamos Scientific Laboratory","publisher-place":"Los Alamos, New Mexico","source":"Google Scholar","title":"Distribution and excretion of Pu administered to man","author":[{"family":"Langham","given":"W. H."},{"family":"Bassett","given":"S. H."},{"family":"Harris","given":"P. S."},{"family":"Carter","given":"R. E."}],"issued":{"date-parts":[["1950"]]}}}],"schema":"https://github.com/citation-style-language/schema/raw/master/csl-citation.json"} </w:instrText>
      </w:r>
      <w:r w:rsidR="00C35D22" w:rsidRPr="00972C81">
        <w:rPr>
          <w:noProof/>
        </w:rPr>
        <w:fldChar w:fldCharType="separate"/>
      </w:r>
      <w:r w:rsidR="00AD573C" w:rsidRPr="00972C81">
        <w:rPr>
          <w:noProof/>
          <w:szCs w:val="24"/>
        </w:rPr>
        <w:t>(Durbin, 1972; Langham et al., 1950)</w:t>
      </w:r>
      <w:r w:rsidR="00C35D22" w:rsidRPr="00972C81">
        <w:rPr>
          <w:noProof/>
        </w:rPr>
        <w:fldChar w:fldCharType="end"/>
      </w:r>
      <w:r w:rsidRPr="00972C81">
        <w:rPr>
          <w:noProof/>
        </w:rPr>
        <w:t xml:space="preserve">. Langham and coworkers estimated on the basis of the autopsy results that on average 66% of Pu entering blood deposited in the skeleton and 23% deposited in the liver. Durbin </w:t>
      </w:r>
      <w:r w:rsidR="00C35D22" w:rsidRPr="00972C81">
        <w:rPr>
          <w:noProof/>
        </w:rPr>
        <w:fldChar w:fldCharType="begin"/>
      </w:r>
      <w:r w:rsidR="00AD573C" w:rsidRPr="00972C81">
        <w:rPr>
          <w:noProof/>
        </w:rPr>
        <w:instrText xml:space="preserve"> ADDIN ZOTERO_ITEM CSL_CITATION {"citationID":"a45ds0325m","properties":{"formattedCitation":"(1972)","plainCitation":"(1972)","noteIndex":0},"citationItems":[{"id":5119,"uris":["http://zotero.org/groups/2470620/items/NYEH7HHW"],"itemData":{"id":5119,"type":"chapter","container-title":"Radiobiology of Pu","event-place":"Salt Lake City, UT","page":"469–530","publisher":"J. W. Press","publisher-place":"Salt Lake City, UT","title":"Plutonium in man: A new look at the old data.","author":[{"family":"Durbin","given":"Patricia W."}],"editor":[{"family":"Stover","given":"B.J."},{"family":"Jee","given":"W.S.S."}],"issued":{"date-parts":[["1972"]]}},"label":"page","suppress-author":true}],"schema":"https://github.com/citation-style-language/schema/raw/master/csl-citation.json"} </w:instrText>
      </w:r>
      <w:r w:rsidR="00C35D22" w:rsidRPr="00972C81">
        <w:rPr>
          <w:noProof/>
        </w:rPr>
        <w:fldChar w:fldCharType="separate"/>
      </w:r>
      <w:r w:rsidR="00AD573C" w:rsidRPr="00972C81">
        <w:rPr>
          <w:noProof/>
          <w:szCs w:val="24"/>
        </w:rPr>
        <w:t>(1972)</w:t>
      </w:r>
      <w:r w:rsidR="00C35D22" w:rsidRPr="00972C81">
        <w:rPr>
          <w:noProof/>
        </w:rPr>
        <w:fldChar w:fldCharType="end"/>
      </w:r>
      <w:r w:rsidRPr="00972C81">
        <w:rPr>
          <w:noProof/>
        </w:rPr>
        <w:t xml:space="preserve"> reanalysed the data to account for the non-uniformity of Pu in bone samples and estimated that about 50% of the systemic burden was contained in the skeleton and 30% was contained in the liver at 4</w:t>
      </w:r>
      <w:r w:rsidR="00ED641A" w:rsidRPr="00972C81">
        <w:rPr>
          <w:noProof/>
          <w:szCs w:val="24"/>
          <w:lang w:eastAsia="fr-FR"/>
        </w:rPr>
        <w:t>–</w:t>
      </w:r>
      <w:r w:rsidRPr="00972C81">
        <w:rPr>
          <w:noProof/>
        </w:rPr>
        <w:t xml:space="preserve">457 d after injection. </w:t>
      </w:r>
    </w:p>
    <w:p w14:paraId="1B4C8A7D" w14:textId="13B51C7C" w:rsidR="0066789F" w:rsidRPr="00972C81" w:rsidRDefault="0066789F" w:rsidP="001C4A92">
      <w:pPr>
        <w:pStyle w:val="Annalstext"/>
        <w:rPr>
          <w:noProof/>
          <w:color w:val="000000"/>
          <w:szCs w:val="32"/>
        </w:rPr>
      </w:pPr>
      <w:r w:rsidRPr="00972C81">
        <w:rPr>
          <w:noProof/>
        </w:rPr>
        <w:t xml:space="preserve">Excretion data from the Langham study were used by ICRP as the primary basis for bioassay models (e.g. power functions or sums of exponential terms) for Pu until the 1990s, when the systemic model of </w:t>
      </w:r>
      <w:r w:rsidRPr="00972C81">
        <w:rPr>
          <w:i/>
          <w:noProof/>
        </w:rPr>
        <w:t>Publication 67</w:t>
      </w:r>
      <w:r w:rsidRPr="00972C81">
        <w:rPr>
          <w:noProof/>
        </w:rPr>
        <w:t xml:space="preserve"> was adopted as both a dosimetric and bioassay model </w:t>
      </w:r>
      <w:r w:rsidR="00C35D22" w:rsidRPr="00972C81">
        <w:rPr>
          <w:noProof/>
        </w:rPr>
        <w:fldChar w:fldCharType="begin"/>
      </w:r>
      <w:r w:rsidR="00AD573C" w:rsidRPr="00972C81">
        <w:rPr>
          <w:noProof/>
        </w:rPr>
        <w:instrText xml:space="preserve"> ADDIN ZOTERO_ITEM CSL_CITATION {"citationID":"a7uj836r6s","properties":{"formattedCitation":"(ICRP, 1993, 1997)","plainCitation":"(ICRP, 1993, 1997)","noteIndex":0},"citationItems":[{"id":2558,"uris":["http://zotero.org/groups/2470620/items/NGGW5NK4",["http://zotero.org/groups/2470620/items/NGGW5NK4"]],"itemData":{"id":2558,"type":"article-journal","container-title":"Annals of the ICRP","issue":"3/4","journalAbbreviation":"Ann. ICRP","language":"en","title":"Age dependent doses to members of the public from intake of radionuclides: Part 2, Ingestion dose coefficients. ICRP Publication 67","volume":"23","author":[{"literal":"ICRP"}],"issued":{"date-parts":[["1993"]]}},"label":"page"},{"id":3118,"uris":["http://zotero.org/groups/2470620/items/98SIMGUU"],"itemData":{"id":3118,"type":"article-journal","container-title":"Annals of the ICRP","ISSN":"ICRP Publication 78","issue":"3/4","title":"Individual monitoring for internal exposure of workers. ICRP Publication 78","volume":"27","author":[{"literal":"ICRP"}],"issued":{"date-parts":[["1997"]]}},"label":"page"}],"schema":"https://github.com/citation-style-language/schema/raw/master/csl-citation.json"} </w:instrText>
      </w:r>
      <w:r w:rsidR="00C35D22" w:rsidRPr="00972C81">
        <w:rPr>
          <w:noProof/>
        </w:rPr>
        <w:fldChar w:fldCharType="separate"/>
      </w:r>
      <w:r w:rsidR="00AD573C" w:rsidRPr="00972C81">
        <w:rPr>
          <w:noProof/>
          <w:szCs w:val="24"/>
        </w:rPr>
        <w:t>(ICRP, 1993, 1997)</w:t>
      </w:r>
      <w:r w:rsidR="00C35D22" w:rsidRPr="00972C81">
        <w:rPr>
          <w:noProof/>
        </w:rPr>
        <w:fldChar w:fldCharType="end"/>
      </w:r>
      <w:r w:rsidRPr="00972C81">
        <w:rPr>
          <w:noProof/>
        </w:rPr>
        <w:t xml:space="preserve">. </w:t>
      </w:r>
      <w:r w:rsidRPr="00972C81">
        <w:rPr>
          <w:noProof/>
          <w:color w:val="000000"/>
          <w:szCs w:val="12"/>
        </w:rPr>
        <w:t xml:space="preserve">Parameter values of the </w:t>
      </w:r>
      <w:r w:rsidRPr="00972C81">
        <w:rPr>
          <w:i/>
          <w:noProof/>
          <w:color w:val="000000"/>
          <w:szCs w:val="12"/>
        </w:rPr>
        <w:t>Publication 67</w:t>
      </w:r>
      <w:r w:rsidRPr="00972C81">
        <w:rPr>
          <w:noProof/>
          <w:color w:val="000000"/>
          <w:szCs w:val="12"/>
        </w:rPr>
        <w:t xml:space="preserve"> model describing the short- and intermediate-term </w:t>
      </w:r>
      <w:r w:rsidR="00BB503E">
        <w:rPr>
          <w:noProof/>
          <w:color w:val="000000"/>
          <w:szCs w:val="12"/>
        </w:rPr>
        <w:t>behaviour</w:t>
      </w:r>
      <w:r w:rsidRPr="00972C81">
        <w:rPr>
          <w:noProof/>
          <w:color w:val="000000"/>
          <w:szCs w:val="12"/>
        </w:rPr>
        <w:t xml:space="preserve"> of Pu, including its urinary and faecal excretion rates and </w:t>
      </w:r>
      <w:r w:rsidRPr="00972C81">
        <w:rPr>
          <w:noProof/>
          <w:color w:val="000000"/>
          <w:szCs w:val="12"/>
        </w:rPr>
        <w:lastRenderedPageBreak/>
        <w:t xml:space="preserve">initial division between bone and liver, were heavily influenced by data from the Langham study. However, </w:t>
      </w:r>
      <w:r w:rsidRPr="00972C81">
        <w:rPr>
          <w:noProof/>
          <w:color w:val="000000"/>
          <w:szCs w:val="32"/>
        </w:rPr>
        <w:t xml:space="preserve">modeling of the long-term distribution and excretion of Pu was guided largely by excretion and autopsy data for Pu workers </w:t>
      </w:r>
      <w:bookmarkStart w:id="324" w:name="_Hlk495258523"/>
      <w:r w:rsidR="00902F78" w:rsidRPr="00972C81">
        <w:rPr>
          <w:noProof/>
          <w:color w:val="000000"/>
          <w:szCs w:val="32"/>
        </w:rPr>
        <w:fldChar w:fldCharType="begin"/>
      </w:r>
      <w:r w:rsidR="00AD573C" w:rsidRPr="00972C81">
        <w:rPr>
          <w:noProof/>
          <w:color w:val="000000"/>
          <w:szCs w:val="32"/>
        </w:rPr>
        <w:instrText xml:space="preserve"> ADDIN ZOTERO_ITEM CSL_CITATION {"citationID":"a2b9o6aphdh","properties":{"formattedCitation":"(Kathren et al., 1988; Kathren and McInroy, 1991; Leggett, 1985; Leggett and Eckerman, 1987; McInroy et al., 1989; McInroy and Kathren, 1990)","plainCitation":"(Kathren et al., 1988; Kathren and McInroy, 1991; Leggett, 1985; Leggett and Eckerman, 1987; McInroy et al., 1989; McInroy and Kathren, 1990)","noteIndex":0},"citationItems":[{"id":5123,"uris":["http://zotero.org/groups/2470620/items/FT7R9NKK"],"itemData":{"id":5123,"type":"article-journal","abstract":"The content of 238Pu, 239Pu and 241Am in the liver and skeleton was estimated from radiochemical analysis of human liver and bone samples obtained at autopsy from former actinide workers whose occupational histories were suggestive of chronic inhalation exposures, with minor skin contamination and wounds documented in a few individuals. For times estimated to be several years to a few decades post intake, 75.8 +/- 15.3% of the total 241Am in the skeleton and liver was found in the skeleton (25 cases) as compared with 63.4 +/- 24.1% for 238Pu (36 cases) and 53.2 +/- 18.2% for 239Pu (43 cases). These differences are significant at the 95% confidence level. Of these cases, 34 included data on both 238Pu and 239Pu and were divided into high and low activity subgroups. The difference in the fractionation of the two Pu isotopes was apparent only in the low activity subgroup, suggesting that the difference observed between the Pu isotopes may be an artifact of the data. The different partitioning of these three nuclides suggests that the ALIs for 238Pu and 241Am may be high by about 25-50% if only the dose to bone is considered and may be high by 12-13%, based on the weighted committed dose equivalent in target organs or tissues.","container-title":"Health Physics","DOI":"10.1097/00004032-198802000-00007","ISSN":"0017-9078","issue":"2","journalAbbreviation":"Health Phys","language":"eng","note":"PMID: 3338916","page":"181-188","source":"PubMed","title":"Partitioning of 238Pu, 239Pu and 241Am in skeleton and liver of U.S. Transuranium Registry autopsy cases","volume":"54","author":[{"family":"Kathren","given":"R. L."},{"family":"McInroy","given":"J. F."},{"family":"Reichert","given":"M. M."},{"family":"Swint","given":"M. J."}],"issued":{"date-parts":[["1988",2]]}}},{"id":5125,"uris":["http://zotero.org/groups/2470620/items/D8YKXP72"],"itemData":{"id":5125,"type":"article-journal","abstract":"The systemic deposition of (239 + 240)Pu was determined by postmortem radiochemical analysis of the tissues from five whole-body donors to the United States Transuranium Registry (USTR). All were males with intakes typically occurring many years prior to death. The postmortem radiochemical results were compared with estimates of systemic deposition made with 13 different biokinetic models using urinary excretion data obtained during life. In general, estimates made with older biokinetic models were severalfold greater than those obtained from radiochemical analysis of the tissues. For all five cases, agreement within a factor of two with the tissue analysis results was obtained with two of the biokinetic models evaluated: the Langham power function model as modified by Leggett and Eckerman and the two compartment exponential model proposed in ICRP Publication Nos. 19 and 30.","container-title":"Health Physics","DOI":"10.1097/00004032-199104000-00001","ISSN":"0017-9078","issue":"4","journalAbbreviation":"Health Phys","language":"eng","note":"PMID: 2001943","page":"481-488","source":"PubMed","title":"Comparison of systemic plutonium deposition estimates from urinalysis and autopsy data in five whole-body donors","volume":"60","author":[{"family":"Kathren","given":"R. L."},{"family":"McInroy","given":"J. F."}],"issued":{"date-parts":[["1991",4]]}}},{"id":4553,"uris":["http://zotero.org/groups/2470620/items/9WWVXXAJ"],"itemData":{"id":4553,"type":"article-journal","abstract":"A model is developed to describe retention, translocation, and excretion of Pu that has reached the blood stream of an adult human. Emphasis has been placed on depicting the processes that govern the behavior of Pu in the body, particularly its retention in the skeleton and liver and its removal in urine and feces. Plutonium-specific information, primarily from animal studies, is used for identifying these processes. Suggested parameter values for soluble Pu are based mainly on information for humans, including general physiological and anatomical information about the compartments involved as well as data on Pu in humans. With appropriate modifications in some of the rate constants, the model is applicable to other actinides and to insoluble forms of Pu. © 1985 Health Physics Society Pergamon Press Ltd.","archive":"Scopus","container-title":"Health Physics","DOI":"10.1097/00004032-198512000-00007","issue":"6","page":"1115-1138","source":"Scopus","title":"A model of the retention, translocation and excretion of systemic Pu","volume":"49","author":[{"family":"Leggett","given":"R.W."}],"issued":{"date-parts":[["1985"]]}}},{"id":5121,"uris":["http://zotero.org/groups/2470620/items/W6LZQ86J"],"itemData":{"id":5121,"type":"article-journal","abstract":"It is generally agreed that Langham's model for urinary excretion of Pu substantially overestimates the systemic burden several years after exposure. Improved estimates can be derived from information obtained since the development of that model, including comparative urine and autopsy data for occupationally exposed persons; reanalyzed and updated data for human subjects injected with Pu; and a large body of general physiological and Pu-specific information on the processes governing the behavior of Pu in the body. We examine modeling approaches based on each of these sets of information and show that the three approaches yield fairly consistent estimates of the urinary excretion rate over three decades after contamination of blood. Estimates from the various approaches are unified to obtain a single set of predicted urinary excretion rates that, in effect, is based on all three bodies of information. A simple method is described for using these excretion rates to estimate intakes and systemic burdens of Pu.","container-title":"Health Physics","DOI":"10.1097/00004032-198703000-00008","ISSN":"0017-9078","issue":"3","journalAbbreviation":"Health Phys","language":"eng","note":"PMID: 3818299","page":"337-346","source":"PubMed","title":"A method for estimating the systemic burden of Pu from urinalyses","volume":"52","author":[{"family":"Leggett","given":"R. W."},{"family":"Eckerman","given":"K. F."}],"issued":{"date-parts":[["1987",3]]}}},{"id":5127,"uris":["http://zotero.org/groups/2470620/items/NRDZ5BVU"],"itemData":{"id":5127,"type":"article-journal","container-title":"Radiation Protection Dosimetry","issue":"1-4","note":"publisher: Oxford University Press","page":"151–158","source":"Google Scholar","title":"Distribution of plutonium and americium in whole bodies donated to the United States Transuranium Registry","volume":"26","author":[{"family":"McInroy","given":"J. F."},{"family":"Kathren","given":"R. L."},{"family":"Swint","given":"M. J."}],"issued":{"date-parts":[["1989"]]}}},{"id":5129,"uris":["http://zotero.org/groups/2470620/items/SDWL4KBH"],"itemData":{"id":5129,"type":"article-journal","container-title":"Radiation protection dosimetry","issue":"4","note":"publisher: Oxford University Press","page":"245–252","source":"Google Scholar","title":"Plutonium content in marrow and mineralised bone in an occupationally exposed person","volume":"32","author":[{"family":"McInroy","given":"J. F."},{"family":"Kathren","given":"R. L."}],"issued":{"date-parts":[["1990"]]}}}],"schema":"https://github.com/citation-style-language/schema/raw/master/csl-citation.json"} </w:instrText>
      </w:r>
      <w:r w:rsidR="00902F78" w:rsidRPr="00972C81">
        <w:rPr>
          <w:noProof/>
          <w:color w:val="000000"/>
          <w:szCs w:val="32"/>
        </w:rPr>
        <w:fldChar w:fldCharType="separate"/>
      </w:r>
      <w:r w:rsidR="00AD573C" w:rsidRPr="00972C81">
        <w:rPr>
          <w:noProof/>
          <w:szCs w:val="24"/>
        </w:rPr>
        <w:t>(Kathren et al., 1988; Kathren and McInroy, 1991; Leggett, 1985; Leggett and Eckerman, 1987; McInroy et al., 1989; McInroy and Kathren, 1990)</w:t>
      </w:r>
      <w:r w:rsidR="00902F78" w:rsidRPr="00972C81">
        <w:rPr>
          <w:noProof/>
          <w:color w:val="000000"/>
          <w:szCs w:val="32"/>
        </w:rPr>
        <w:fldChar w:fldCharType="end"/>
      </w:r>
      <w:r w:rsidRPr="00972C81">
        <w:rPr>
          <w:noProof/>
        </w:rPr>
        <w:t xml:space="preserve">, </w:t>
      </w:r>
      <w:bookmarkEnd w:id="324"/>
      <w:r w:rsidRPr="00972C81">
        <w:rPr>
          <w:noProof/>
        </w:rPr>
        <w:t>which differed greatly from projections based on the Langham data with regard to long-term urinary and faecal excretion rates.</w:t>
      </w:r>
    </w:p>
    <w:p w14:paraId="072A432A" w14:textId="2BC2793A" w:rsidR="0066789F" w:rsidRPr="00972C81" w:rsidRDefault="0066789F" w:rsidP="001C4A92">
      <w:pPr>
        <w:pStyle w:val="Annalstext"/>
        <w:rPr>
          <w:noProof/>
          <w:szCs w:val="32"/>
        </w:rPr>
      </w:pPr>
      <w:r w:rsidRPr="00972C81">
        <w:rPr>
          <w:noProof/>
        </w:rPr>
        <w:t xml:space="preserve">Much additional excretion and autopsy data for Pu workers have been published since the completion of </w:t>
      </w:r>
      <w:r w:rsidRPr="00972C81">
        <w:rPr>
          <w:i/>
          <w:noProof/>
        </w:rPr>
        <w:t>Publication 67</w:t>
      </w:r>
      <w:r w:rsidR="00902F78" w:rsidRPr="00972C81">
        <w:rPr>
          <w:i/>
          <w:noProof/>
        </w:rPr>
        <w:t xml:space="preserve"> </w:t>
      </w:r>
      <w:r w:rsidR="00AD573C" w:rsidRPr="00972C81">
        <w:rPr>
          <w:i/>
          <w:noProof/>
        </w:rPr>
        <w:fldChar w:fldCharType="begin"/>
      </w:r>
      <w:r w:rsidR="007A033C" w:rsidRPr="00972C81">
        <w:rPr>
          <w:i/>
          <w:noProof/>
        </w:rPr>
        <w:instrText xml:space="preserve"> ADDIN ZOTERO_ITEM CSL_CITATION {"citationID":"a65c72e07h","properties":{"custom":"({\\i{}e.g.} Ehrhart and Filipy, 2001; Filipy, 2001, 2003; James and Brooks, 2006; Khokhryakov et al., 1994, 2000; Suslova et al., 1996, 2002, 2009, 2012)","formattedCitation":"({\\i{}e.g.} Ehrhart and Filipy, 2001; Filipy, 2001, 2003; James and Brooks, 2006; Khokhryakov et al., 1994, 2000; Suslova et al., 1996, 2002, 2009, 2012)","plainCitation":"(e.g. Ehrhart and Filipy, 2001; Filipy, 2001, 2003; James and Brooks, 2006; Khokhryakov et al., 1994, 2000; Suslova et al., 1996, 2002, 2009, 2012)","noteIndex":0},"citationItems":[{"id":5143,"uris":["http://zotero.org/groups/2470620/items/HIIKJFCI"],"itemData":{"id":5143,"type":"report","event-place":"Pullman, WA","number":"USTUR-0177-01","publisher":"United States Tranuranium and Uranium Registries","publisher-place":"Pullman, WA","source":"Google Scholar","title":"USTUR Annual Report for February 1, 2000 through January 31, 2001","author":[{"family":"Ehrhart","given":"S. M."},{"family":"Filipy","given":"R. E."}],"issued":{"date-parts":[["2001"]]}},"label":"page","prefix":"e.g."},{"id":5144,"uris":["http://zotero.org/groups/2470620/items/YVSXF4P9"],"itemData":{"id":5144,"type":"chapter","container-title":"USTUR Annual Report for February 1, 2000 through January 31, 2001, USTUR-0177-01","event-place":"Pullman, WA","page":"12-17","publisher":"United States Tranuranium and Uranium Registries","publisher-place":"Pullman, WA","source":"Google Scholar","title":"Analyses of whole body donations","author":[{"family":"Filipy","given":"R. E."}],"issued":{"date-parts":[["2001"]]}},"label":"page"},{"id":5145,"uris":["http://zotero.org/groups/2470620/items/2UVP6C58"],"itemData":{"id":5145,"type":"chapter","container-title":"USTUR annual report for the period February 1, 2002 – January 31, 2003","event-place":"Pullman, WA","page":"32-35","publisher":"United States Tranuranium and Uranium Registries","publisher-place":"Pullman, WA","source":"Google Scholar","title":"Estimation of actinide body burdens on the basis of tissue samples collected at autopsy","author":[{"family":"Filipy","given":"R. E."}],"issued":{"date-parts":[["2003"]]}},"label":"page"},{"id":5146,"uris":["http://zotero.org/groups/2470620/items/D6IHB3GM"],"itemData":{"id":5146,"type":"paper-conference","container-title":"Proceedings of the 4th JAEA/US EPA Workshop on Radiation Risk Assessment","event-place":"Tokai-mura, Japan","page":"2007–002","publisher":"Tokai Research and Development Center, JAEA","publisher-place":"Tokai-mura, Japan","source":"Google Scholar","title":"The United States Transuranium and Uranium Registries (USTUR): learning from plutonium and uranium workers","title-short":"The United States Transuranium and Uranium Registries (USTUR)","author":[{"family":"James","given":"A. C."},{"family":"Brooks","given":"B. G."}],"issued":{"date-parts":[["2006"]]}},"label":"page"},{"id":5131,"uris":["http://zotero.org/groups/2470620/items/YYQNFLSQ"],"itemData":{"id":5131,"type":"article-journal","container-title":"Radiation protection dosimetry","issue":"1-4","note":"publisher: Oxford University Press","page":"235–239","source":"Google Scholar","title":"Plutonium excretion model for the healthy man","volume":"53","author":[{"family":"Khokhryakov","given":"V. F."},{"family":"Menshikh","given":"Z. S."},{"family":"Suslova","given":"K. G."},{"family":"Kudryavtseva","given":"T. I."},{"family":"Tokarskaya","given":"Z. B."},{"family":"Romanov","given":"S. A."}],"issued":{"date-parts":[["1994"]]}},"label":"page"},{"id":5133,"uris":["http://zotero.org/groups/2470620/items/AZCNSWUJ"],"itemData":{"id":5133,"type":"article-journal","abstract":"The United States Transuranium and Uranium Registries (USTUR) and the Dosimetry Registry of the Mayak Industrial Association (DRMIA) have been independently collecting tissues at autopsy of plutonium workers in their respective countries for nearly 30 y. The tissues are analyzed radiochemically and the analytical data are used to develop, modify, or refine biokinetic models that describe the depositions and translocations of plutonium and transplutonium elements in the human body. The purpose of this collaborative research project is to combine the unique information on humans, gathered by the two Registries, into a joint database and perform analyses of the data. A series of project tasks are directly concerned with dosimetry in Mayak workers and involve biokinetic modeling for actinide elements. Transportability coefficients derived from in-vitro solubility measurements of actinide-containing aerosols (as measured by the DRMIA) were related to specific workplaces within Mayak facilities. The transportability coefficients of inhaled aerosols significantly affected the translocation rates of plutonium from the respiratory tract to the systemic circulation. Parameters for a simplified lung model, used by Branch No. 1, Federal Research Center Institute of Biophysics (FIB-1) and the Mayak Production Association for dose assessment at long times after inhalation of plutonium-containing aerosols, were developed on the basis of joint USTUR and DRMIA data. This model has separate sets of deposition and transfer parameters for three aerosol transportability groups, allowing work histories of the workers to be considered in the dose-assessment process. FIB-1 biokinetic models were extended to include the distributions of actinide elements in systemic organs of workers, and a relationship between the health of individual workers and plutonium distribution in tissues was determined. Workers who suffered from liver diseases generally had a smaller fraction of systemic plutonium in the liver at death and a larger fraction in the skeleton than did relatively healthy workers. Also, the fraction of total systemic plutonium excreted per day was significantly greater for workers with liver diseases than for relatively healthy workers. These observations could have a considerable effect on organ dosimetry in health-impaired workers whose dose assessments were based solely on urinary excretion rates. A comparison of this model to other biokinetic models, such as those published by the International Commission for Radiological Protection, is currently underway as is the documentation of uncertainty estimates associated with the model.","container-title":"Health Physics","DOI":"10.1097/00004032-200007000-00011","ISSN":"0017-9078","issue":"1","journalAbbreviation":"Health Phys","language":"eng","note":"PMID: 10855779","page":"63-71","source":"PubMed","title":"Metabolism and dosimetry of actinide elements in occupationally-exposed personnel of Russia and the United States: a summary progress report","title-short":"Metabolism and dosimetry of actinide elements in occupationally-exposed personnel of Russia and the United States","volume":"79","author":[{"family":"Khokhryakov","given":"V. F."},{"family":"Suslova","given":"K. G."},{"family":"Filipy","given":"R. E."},{"family":"Alldredge","given":"J. R."},{"family":"Aladova","given":"E. E."},{"family":"Glover","given":"S. E."},{"family":"Vostrotin","given":"V. V."}],"issued":{"date-parts":[["2000",7]]}},"label":"page"},{"id":5141,"uris":["http://zotero.org/groups/2470620/items/92XRAILM"],"itemData":{"id":5141,"type":"article-journal","container-title":"Radiation protection dosimetry","issue":"1","note":"publisher: Oxford University Press","page":"13–22","source":"Google Scholar","title":"Comparison of the dosimetry registry of the Mayak Industrial Association and the United States Transuranium and Uranium Registries: a preliminary report","title-short":"Comparison of the dosimetry registry of the Mayak Industrial Association and the United States Transuranium and Uranium Registries","volume":"67","author":[{"family":"Suslova","given":"K. G."},{"family":"Filipy","given":"R. E."},{"family":"Khokhryakov","given":"V. F."},{"family":"Romanov","given":"S. A."},{"family":"Kathren","given":"R. L."}],"issued":{"date-parts":[["1996"]]}},"label":"page"},{"id":5139,"uris":["http://zotero.org/groups/2470620/items/QUGFCBX4"],"itemData":{"id":5139,"type":"article-journal","abstract":"The systemic distribution of plutonium was determined for \"healthy\" workers who chronically inhaled plutonium at the radiochemical plants of the Mayak Production Association. The data were obtained by radiochemical analysis of soft tissues and bones samples collected upon autopsy of 120 workers who died from acute coronary diseases and accidents. The soft tissue samples were wet-ashed using nitric acid and hydrogen peroxide. Bone samples were ashed in a muffle furnace at 500 degrees C. Plutonium was extracted on anionite and coprecipitated with bismuth phosphate. The precipitation was blended with ZnS powder, and the alpha-activity was measured by ZnS solid scintillation counting in a low-background alpha radiometer. Twenty-five years after the beginning of inhalation exposures, the average percentage of plutonium in the skeleton and liver was 50% and 42% of systemic burden, respectively. A multivariate regression was used to quantify the effects of exposure time, \"transportability\" of the various compounds, plutonium body content, and age on systemic plutonium distribution. The early retention of plutonium in the liver is assumed to be greater than that in the skeleton. The initial distribution of plutonium between the liver and the skeleton, immediately after entering the circulatory system, was 50:38%, respectively. With time, the fraction of plutonium found in the liver decreased, while the fraction in the skeleton increased at a rate of 0.5% y(-1) of systemic deposition. Exposure time had a greater effect on the relative retention of plutonium in the main organs when compared to age. The statistical estimates that characterized the relative plutonium distribution were less stable for the liver than for the skeleton, likely due to the slower turnover of skeletal tissues and the retention of plutonium in bone.","container-title":"Health Physics","DOI":"10.1097/00004032-200204000-00002","ISSN":"0017-9078","issue":"4","journalAbbreviation":"Health Phys","language":"eng","note":"PMID: 11906132","page":"432-444","source":"PubMed","title":"Extrapulmonary organ distribution of plutonium in healthy workers exposed by chronic inhalation at the Mayak production association","volume":"82","author":[{"family":"Suslova","given":"K. G."},{"family":"Khokhryakov","given":"V. F."},{"family":"Tokarskaya","given":"Z. B."},{"family":"Nifatov","given":"A. P."},{"family":"Krahenbuhl","given":"M. P."},{"family":"Miller","given":"S. C."}],"issued":{"date-parts":[["2002",4]]}},"label":"page"},{"id":5137,"uris":["http://zotero.org/groups/2470620/items/QFFV4FPV"],"itemData":{"id":5137,"type":"article-journal","abstract":"The purpose of this study was to determine the effects of smoking and lung health on the pulmonary and extrapulmonary retention after inhalation of different chemical forms of plutonium with different solubilities in workers from the Mayak Production Association (Ozersk, Russia). Samples of lung, pulmonary lymph nodes, liver and skeleton were obtained from 800 workers who died between 1962-2000. The chemical form of plutonium aerosols, smoking history and presence of lung disease were determined. In workers with normal lung status, all plutonium chemical classes were about equally distributed between the lung parenchyma and pulmonary lymph nodes. The more insoluble chemical forms of plutonium had a greater retention in pulmonary than systemic tissues regardless of smoking history or lung health status. A history of smoking did, however, result in a significantly greater retention of less soluble chemical forms of plutonium in pulmonary tissues of workers with no lung disease. In workers with lung disease, smoking did not significantly influence the terminal organ retention of the different chemical forms of plutonium. These initial data can be used to modify dosimetry and biokinetics models used for estimating radiation risks from plutonium in humans.","container-title":"Radiation Research","DOI":"10.1667/0033-7587-171.3.302","ISSN":"0033-7587","issue":"3","journalAbbreviation":"Radiat Res","language":"eng","note":"PMID: 19267557","page":"302-309","source":"PubMed","title":"The effects of smoking and lung health on the organ retention of different plutonium compounds in the Mayak PA workers","volume":"171","author":[{"family":"Suslova","given":"K. G."},{"family":"Sokolova","given":"A. B."},{"family":"Krahenbuhl","given":"M. P."},{"family":"Miller","given":"S. C."}],"issued":{"date-parts":[["2009",3]]}},"label":"page"},{"id":5150,"uris":["http://zotero.org/groups/2470620/items/GWUK7HY4"],"itemData":{"id":5150,"type":"article-journal","abstract":"The alpha spectrometry measurements of specific activity of 238Pu and 239Pu in urine from bioassay examinations of 1,013 workers employed at the radiochemical and plutonium production facilities of the Mayak Production Association and in autopsy specimens of lung, liver, and skeleton from 85 former nuclear workers who died between 1974-2009, are summarized.The accumulation fraction of 238Pu in the body and excreta has not changed with time in workers involved in production of weapons-grade plutonium production (e.g., the plutonium production facility and the former radiochemical facility). The accumulation fraction of 238Pu in individuals exposed to plutonium isotopes at the newer Spent Nuclear Fuel Reprocessing Plant ranged from 0.13% up to 27.5% based on the autopsy data. No statistically significant differences between 238Pu and 239Pu in distribution by the main organs of plutonium deposition were found in the Mayak workers. Based on the bioassay data,the fraction of 238Pu activity in urine is on average 38-69% of the total activity of 238Pu and 239Pu, which correlates with the isotopic composition in workplace air sampled at the Spent Nuclear Fuel Reprocessing Plant. In view of the higher specific activity of 238Pu, the contribution of 238Pu to the total internal dose, particularly in the skeleton and liver, might be expected to continue to increase, and continued surveillance is recommended.","container-title":"Health Physics","DOI":"10.1097/hp.0b013e3182348ad4","ISSN":"1538-5159","issue":"3","journalAbbreviation":"Health Phys","language":"eng","note":"PMID: 22420016","page":"243-250","source":"PubMed","title":"238Pu: accumulation, tissue distribution, and excretion in Mayak workers after exposure to plutonium aerosols","title-short":"238Pu","volume":"102","author":[{"family":"Suslova","given":"Klara G."},{"family":"Sokolova","given":"Alexandra B."},{"family":"Khokhryakov","given":"Viktor V."},{"family":"Miller","given":"Scott C."}],"issued":{"date-parts":[["2012",3]]}},"label":"page"}],"schema":"https://github.com/citation-style-language/schema/raw/master/csl-citation.json"} </w:instrText>
      </w:r>
      <w:r w:rsidR="00AD573C" w:rsidRPr="00972C81">
        <w:rPr>
          <w:i/>
          <w:noProof/>
        </w:rPr>
        <w:fldChar w:fldCharType="separate"/>
      </w:r>
      <w:r w:rsidR="007A033C" w:rsidRPr="00972C81">
        <w:rPr>
          <w:noProof/>
          <w:szCs w:val="24"/>
        </w:rPr>
        <w:t>(</w:t>
      </w:r>
      <w:r w:rsidR="007A033C" w:rsidRPr="00972C81">
        <w:rPr>
          <w:i/>
          <w:iCs/>
          <w:noProof/>
          <w:szCs w:val="24"/>
        </w:rPr>
        <w:t>e.g.</w:t>
      </w:r>
      <w:r w:rsidR="007A033C" w:rsidRPr="00972C81">
        <w:rPr>
          <w:noProof/>
          <w:szCs w:val="24"/>
        </w:rPr>
        <w:t xml:space="preserve"> Ehrhart and Filipy, 2001; Filipy, 2001, 2003; James and Brooks, 2006; Khokhryakov et al., 1994, 2000; Suslova et al., 1996, 2002, 2009, 2012)</w:t>
      </w:r>
      <w:r w:rsidR="00AD573C" w:rsidRPr="00972C81">
        <w:rPr>
          <w:i/>
          <w:noProof/>
        </w:rPr>
        <w:fldChar w:fldCharType="end"/>
      </w:r>
      <w:r w:rsidRPr="00972C81">
        <w:rPr>
          <w:noProof/>
        </w:rPr>
        <w:t xml:space="preserve"> Post-1993 information on the systemic </w:t>
      </w:r>
      <w:r w:rsidR="00BB503E">
        <w:rPr>
          <w:noProof/>
        </w:rPr>
        <w:t>behaviour</w:t>
      </w:r>
      <w:r w:rsidRPr="00972C81">
        <w:rPr>
          <w:noProof/>
        </w:rPr>
        <w:t xml:space="preserve"> of Pu also includes results of two studies involving intravenous administration of Pu isotopes to healthy volunteers. One of the studies, initiated at the Harwell Laboratory in Great Britain, involved six adult </w:t>
      </w:r>
      <w:r w:rsidRPr="00972C81">
        <w:rPr>
          <w:noProof/>
          <w:szCs w:val="32"/>
        </w:rPr>
        <w:t xml:space="preserve">males and six adult females </w:t>
      </w:r>
      <w:r w:rsidR="00436201" w:rsidRPr="00972C81">
        <w:rPr>
          <w:noProof/>
          <w:szCs w:val="32"/>
        </w:rPr>
        <w:fldChar w:fldCharType="begin"/>
      </w:r>
      <w:r w:rsidR="007A033C" w:rsidRPr="00972C81">
        <w:rPr>
          <w:noProof/>
          <w:szCs w:val="32"/>
        </w:rPr>
        <w:instrText xml:space="preserve"> ADDIN ZOTERO_ITEM CSL_CITATION {"citationID":"a1or5t4caou","properties":{"formattedCitation":"(Newton et al., 1998; Talbot et al., 1993, 1997; Warner et al., 1994)","plainCitation":"(Newton et al., 1998; Talbot et al., 1993, 1997; Warner et al., 1994)","noteIndex":0},"citationItems":[{"id":5158,"uris":["http://zotero.org/groups/2470620/items/XCMXZ8WR"],"itemData":{"id":5158,"type":"article-journal","container-title":"Radiation protection dosimetry","issue":"4","note":"publisher: Oxford University Press","page":"385–395","source":"Google Scholar","title":"Uptake of plutonium by the human liver","volume":"80","author":[{"family":"Newton","given":"D."},{"family":"Talbot","given":"R. J."},{"family":"Kang","given":"C."},{"family":"Warner","given":"A. J."}],"issued":{"date-parts":[["1998"]]}}},{"id":5153,"uris":["http://zotero.org/groups/2470620/items/KUBYEJME"],"itemData":{"id":5153,"type":"article-journal","abstract":"The metabolism of plutonium has been studied following intravenous injection of 237Pu as Pu (IV) citrate into two healthy male volunteers. Measurements of the tracer in samples of blood and excreta were made by gamma-ray spectrometry, and patterns of organ uptake were investigated through serial measurements with a scintillation counter viewing the liver and selected skeletal sites. Excretion in urine and feces measured during the first 3 wk accorded closely with the patterns deduced by Durbin from the report of Langham et al. on patients injected with 239Pu. However, concentrations in blood were roughly twice those suggested by Durbin during most of the 14 d covered by our measurements. In one subject, the liver deposit increased to a plateau after about 21 d, at roughly 55% of the injection; in the other, the increase was prolonged, reaching about 70% after several months.","container-title":"Health Physics","DOI":"10.1097/00004032-199307000-00006","ISSN":"0017-9078","issue":"1","journalAbbreviation":"Health Phys","language":"eng","note":"PMID: 8505229","page":"41-46","source":"PubMed","title":"Metabolism of injected plutonium in two healthy men","volume":"65","author":[{"family":"Talbot","given":"R. J."},{"family":"Newton","given":"D."},{"family":"Warner","given":"A. J."}],"issued":{"date-parts":[["1993",7]]}}},{"id":5152,"uris":["http://zotero.org/groups/2470620/items/52VVP56P"],"itemData":{"id":5152,"type":"article-journal","container-title":"Radiation protection dosimetry","issue":"2","note":"publisher: Oxford University Press","page":"107–121","source":"Google Scholar","title":"Sex-related differences in the human metabolism of plutonium","volume":"71","author":[{"family":"Talbot","given":"R. J."},{"family":"Newton","given":"D."},{"family":"Dmitriev","given":"S. N."}],"issued":{"date-parts":[["1997"]]}}},{"id":5156,"uris":["http://zotero.org/groups/2470620/items/YVCGRQPM"],"itemData":{"id":5156,"type":"article-journal","container-title":"Radiation protection dosimetry","issue":"1","note":"publisher: Oxford University Press","page":"61–63","source":"Google Scholar","title":"Deposition of plutonium in human testes","volume":"55","author":[{"family":"Warner","given":"A. J."},{"family":"Talbot","given":"R. J."},{"family":"Newton","given":"D."}],"issued":{"date-parts":[["1994"]]}}}],"schema":"https://github.com/citation-style-language/schema/raw/master/csl-citation.json"} </w:instrText>
      </w:r>
      <w:r w:rsidR="00436201" w:rsidRPr="00972C81">
        <w:rPr>
          <w:noProof/>
          <w:szCs w:val="32"/>
        </w:rPr>
        <w:fldChar w:fldCharType="separate"/>
      </w:r>
      <w:r w:rsidR="007A033C" w:rsidRPr="00972C81">
        <w:rPr>
          <w:noProof/>
          <w:szCs w:val="24"/>
        </w:rPr>
        <w:t>(Newton et al., 1998; Talbot et al., 1993, 1997; Warner et al., 1994)</w:t>
      </w:r>
      <w:r w:rsidR="00436201" w:rsidRPr="00972C81">
        <w:rPr>
          <w:noProof/>
          <w:szCs w:val="32"/>
        </w:rPr>
        <w:fldChar w:fldCharType="end"/>
      </w:r>
      <w:r w:rsidRPr="00972C81">
        <w:rPr>
          <w:noProof/>
          <w:szCs w:val="32"/>
        </w:rPr>
        <w:t xml:space="preserve">. The other, conducted at the </w:t>
      </w:r>
      <w:r w:rsidRPr="00972C81">
        <w:rPr>
          <w:noProof/>
        </w:rPr>
        <w:t xml:space="preserve">National Radiological Protection Board (NRPB) in Great Britain, involved five adult males </w:t>
      </w:r>
      <w:r w:rsidR="00436201" w:rsidRPr="00972C81">
        <w:rPr>
          <w:noProof/>
        </w:rPr>
        <w:fldChar w:fldCharType="begin"/>
      </w:r>
      <w:r w:rsidR="007A033C" w:rsidRPr="00972C81">
        <w:rPr>
          <w:noProof/>
        </w:rPr>
        <w:instrText xml:space="preserve"> ADDIN ZOTERO_ITEM CSL_CITATION {"citationID":"a2g4ak9edq9","properties":{"formattedCitation":"(Ham and Harrison, 2000; Popplewell et al., 1994)","plainCitation":"(Ham and Harrison, 2000; Popplewell et al., 1994)","noteIndex":0},"citationItems":[{"id":5100,"uris":["http://zotero.org/groups/2470620/items/LKGS84WJ"],"itemData":{"id":5100,"type":"article-journal","container-title":"Radiation protection dosimetry","issue":"4","note":"publisher: Oxford University Press","page":"267–272","source":"Google Scholar","title":"The gastrointestinal absorption and urinary excretion of plutonium in male volunteers","volume":"87","author":[{"family":"Ham","given":"G. J."},{"family":"Harrison","given":"J. D."}],"issued":{"date-parts":[["2000"]]}}},{"id":5098,"uris":["http://zotero.org/groups/2470620/items/H7ZSYEKH"],"itemData":{"id":5098,"type":"article-journal","container-title":"Radiation protection dosimetry","issue":"1-4","note":"publisher: Oxford University Press","page":"241–244","source":"Google Scholar","title":"Transfer of plutonium across the human gut and its urinary excretion","volume":"53","author":[{"family":"Popplewell","given":"D. S."},{"family":"Ham","given":"G. J."},{"family":"McCarthy","given":"W."},{"family":"Lands","given":"C."}],"issued":{"date-parts":[["1994"]]}}}],"schema":"https://github.com/citation-style-language/schema/raw/master/csl-citation.json"} </w:instrText>
      </w:r>
      <w:r w:rsidR="00436201" w:rsidRPr="00972C81">
        <w:rPr>
          <w:noProof/>
        </w:rPr>
        <w:fldChar w:fldCharType="separate"/>
      </w:r>
      <w:r w:rsidR="007A033C" w:rsidRPr="00972C81">
        <w:rPr>
          <w:noProof/>
          <w:szCs w:val="24"/>
        </w:rPr>
        <w:t>(Ham and Harrison, 2000; Popplewell et al., 1994)</w:t>
      </w:r>
      <w:r w:rsidR="00436201" w:rsidRPr="00972C81">
        <w:rPr>
          <w:noProof/>
        </w:rPr>
        <w:fldChar w:fldCharType="end"/>
      </w:r>
      <w:r w:rsidRPr="00972C81">
        <w:rPr>
          <w:noProof/>
        </w:rPr>
        <w:t xml:space="preserve">. </w:t>
      </w:r>
      <w:r w:rsidRPr="00972C81">
        <w:rPr>
          <w:noProof/>
          <w:szCs w:val="32"/>
        </w:rPr>
        <w:t xml:space="preserve">Data from the Harwell study include measurements of urinary and fecal excretion rates up to 5 y, the concentration of Pu in blood up to 6 y, external measurements of Pu in the liver for more than a year after injection, and limited measurements on other tissues. In the NRPB subjects, the urinary excretion rate was determined over two decades after injection. </w:t>
      </w:r>
    </w:p>
    <w:p w14:paraId="16629CB3" w14:textId="56BC2AE6" w:rsidR="0066789F" w:rsidRPr="00972C81" w:rsidRDefault="0066789F" w:rsidP="001C4A92">
      <w:pPr>
        <w:pStyle w:val="Annalstext"/>
        <w:rPr>
          <w:noProof/>
          <w:color w:val="000000"/>
          <w:szCs w:val="36"/>
        </w:rPr>
      </w:pPr>
      <w:r w:rsidRPr="00972C81">
        <w:rPr>
          <w:noProof/>
        </w:rPr>
        <w:t xml:space="preserve">Comparisons of the post-1993 data with information underlying the </w:t>
      </w:r>
      <w:r w:rsidRPr="00972C81">
        <w:rPr>
          <w:i/>
          <w:noProof/>
        </w:rPr>
        <w:t>Publication 67</w:t>
      </w:r>
      <w:r w:rsidRPr="00972C81">
        <w:rPr>
          <w:noProof/>
        </w:rPr>
        <w:t xml:space="preserve"> </w:t>
      </w:r>
      <w:r w:rsidR="00436201" w:rsidRPr="00972C81">
        <w:rPr>
          <w:noProof/>
        </w:rPr>
        <w:fldChar w:fldCharType="begin"/>
      </w:r>
      <w:r w:rsidR="007A033C" w:rsidRPr="00972C81">
        <w:rPr>
          <w:noProof/>
        </w:rPr>
        <w:instrText xml:space="preserve"> ADDIN ZOTERO_ITEM CSL_CITATION {"citationID":"a1l9osq9qpe","properties":{"formattedCitation":"(ICRP, 1993)","plainCitation":"(ICRP, 1993)","noteIndex":0},"citationItems":[{"id":2558,"uris":["http://zotero.org/groups/2470620/items/NGGW5NK4",["http://zotero.org/groups/2470620/items/NGGW5NK4"]],"itemData":{"id":2558,"type":"article-journal","container-title":"Annals of the ICRP","issue":"3/4","journalAbbreviation":"Ann. ICRP","language":"en","title":"Age dependent doses to members of the public from intake of radionuclides: Part 2, Ingestion dose coefficients. ICRP Publication 67","volume":"23","author":[{"literal":"ICRP"}],"issued":{"date-parts":[["1993"]]}}}],"schema":"https://github.com/citation-style-language/schema/raw/master/csl-citation.json"} </w:instrText>
      </w:r>
      <w:r w:rsidR="00436201" w:rsidRPr="00972C81">
        <w:rPr>
          <w:noProof/>
        </w:rPr>
        <w:fldChar w:fldCharType="separate"/>
      </w:r>
      <w:r w:rsidR="007A033C" w:rsidRPr="00972C81">
        <w:rPr>
          <w:noProof/>
          <w:szCs w:val="24"/>
        </w:rPr>
        <w:t>(ICRP, 1993)</w:t>
      </w:r>
      <w:r w:rsidR="00436201" w:rsidRPr="00972C81">
        <w:rPr>
          <w:noProof/>
        </w:rPr>
        <w:fldChar w:fldCharType="end"/>
      </w:r>
      <w:r w:rsidRPr="00972C81">
        <w:rPr>
          <w:noProof/>
        </w:rPr>
        <w:t xml:space="preserve"> model show reasonable consistency with regard to blood clearance, total-body retention, daily urinary and faecal excretion, the time-dependent fraction of systemic plutonium in skeleton plus liver, and the long-term division of Pu between skeleton and liver. However, the newer information provides a different picture of certain aspects of the early </w:t>
      </w:r>
      <w:r w:rsidR="00BB503E">
        <w:rPr>
          <w:noProof/>
        </w:rPr>
        <w:t>behaviour</w:t>
      </w:r>
      <w:r w:rsidRPr="00972C81">
        <w:rPr>
          <w:noProof/>
        </w:rPr>
        <w:t xml:space="preserve"> of Pu, most notably the initial division between the liver and skeleton. In the Harwell injection study, peak estimates of the liver content based on external measurements averaged more than 70% of the administered activity, compared with earlier indications that the liver typically accumulates 30% or less of the Pu reaching blood. The expanded set of a</w:t>
      </w:r>
      <w:r w:rsidRPr="00972C81">
        <w:rPr>
          <w:noProof/>
          <w:color w:val="000000"/>
          <w:szCs w:val="36"/>
        </w:rPr>
        <w:t xml:space="preserve">utopsy data for Pu workers indicates that there is considerable variability in the division of activity between the liver and skeleton at all measurement times, with the skeleton containing more Pu than the liver in some cases and less in others </w:t>
      </w:r>
      <w:r w:rsidR="00436201" w:rsidRPr="00972C81">
        <w:rPr>
          <w:noProof/>
          <w:color w:val="000000"/>
          <w:szCs w:val="36"/>
        </w:rPr>
        <w:fldChar w:fldCharType="begin"/>
      </w:r>
      <w:r w:rsidR="007A033C" w:rsidRPr="00972C81">
        <w:rPr>
          <w:noProof/>
          <w:color w:val="000000"/>
          <w:szCs w:val="36"/>
        </w:rPr>
        <w:instrText xml:space="preserve"> ADDIN ZOTERO_ITEM CSL_CITATION {"citationID":"ag7mu2iutf","properties":{"formattedCitation":"(Ehrhart and Filipy, 2001; McInroy et al., 1989; Schofield and Dolphin, 1974; Suslova et al., 1996, 2002)","plainCitation":"(Ehrhart and Filipy, 2001; McInroy et al., 1989; Schofield and Dolphin, 1974; Suslova et al., 1996, 2002)","noteIndex":0},"citationItems":[{"id":5143,"uris":["http://zotero.org/groups/2470620/items/HIIKJFCI"],"itemData":{"id":5143,"type":"report","event-place":"Pullman, WA","number":"USTUR-0177-01","publisher":"United States Tranuranium and Uranium Registries","publisher-place":"Pullman, WA","source":"Google Scholar","title":"USTUR Annual Report for February 1, 2000 through January 31, 2001","author":[{"family":"Ehrhart","given":"S. M."},{"family":"Filipy","given":"R. E."}],"issued":{"date-parts":[["2001"]]}}},{"id":5127,"uris":["http://zotero.org/groups/2470620/items/NRDZ5BVU"],"itemData":{"id":5127,"type":"article-journal","container-title":"Radiation Protection Dosimetry","issue":"1-4","note":"publisher: Oxford University Press","page":"151–158","source":"Google Scholar","title":"Distribution of plutonium and americium in whole bodies donated to the United States Transuranium Registry","volume":"26","author":[{"family":"McInroy","given":"J. F."},{"family":"Kathren","given":"R. L."},{"family":"Swint","given":"M. J."}],"issued":{"date-parts":[["1989"]]}}},{"id":5160,"uris":["http://zotero.org/groups/2470620/items/2P36QY2S"],"itemData":{"id":5160,"type":"article-journal","container-title":"The Annals of Occupational Hygiene","DOI":"10.1093/annhyg/17.2.73","ISSN":"0003-4878","issue":"2","journalAbbreviation":"Ann Occup Hyg","language":"eng","note":"PMID: 4451322","page":"73-83","source":"PubMed","title":"U.K. experience on the medical aspects of radiological protection of workers handling plutonium","volume":"17","author":[{"family":"Schofield","given":"G. B."},{"family":"Dolphin","given":"G. W."}],"issued":{"date-parts":[["1974",12]]}}},{"id":5141,"uris":["http://zotero.org/groups/2470620/items/92XRAILM"],"itemData":{"id":5141,"type":"article-journal","container-title":"Radiation protection dosimetry","issue":"1","note":"publisher: Oxford University Press","page":"13–22","source":"Google Scholar","title":"Comparison of the dosimetry registry of the Mayak Industrial Association and the United States Transuranium and Uranium Registries: a preliminary report","title-short":"Comparison of the dosimetry registry of the Mayak Industrial Association and the United States Transuranium and Uranium Registries","volume":"67","author":[{"family":"Suslova","given":"K. G."},{"family":"Filipy","given":"R. E."},{"family":"Khokhryakov","given":"V. F."},{"family":"Romanov","given":"S. A."},{"family":"Kathren","given":"R. L."}],"issued":{"date-parts":[["1996"]]}}},{"id":5139,"uris":["http://zotero.org/groups/2470620/items/QUGFCBX4"],"itemData":{"id":5139,"type":"article-journal","abstract":"The systemic distribution of plutonium was determined for \"healthy\" workers who chronically inhaled plutonium at the radiochemical plants of the Mayak Production Association. The data were obtained by radiochemical analysis of soft tissues and bones samples collected upon autopsy of 120 workers who died from acute coronary diseases and accidents. The soft tissue samples were wet-ashed using nitric acid and hydrogen peroxide. Bone samples were ashed in a muffle furnace at 500 degrees C. Plutonium was extracted on anionite and coprecipitated with bismuth phosphate. The precipitation was blended with ZnS powder, and the alpha-activity was measured by ZnS solid scintillation counting in a low-background alpha radiometer. Twenty-five years after the beginning of inhalation exposures, the average percentage of plutonium in the skeleton and liver was 50% and 42% of systemic burden, respectively. A multivariate regression was used to quantify the effects of exposure time, \"transportability\" of the various compounds, plutonium body content, and age on systemic plutonium distribution. The early retention of plutonium in the liver is assumed to be greater than that in the skeleton. The initial distribution of plutonium between the liver and the skeleton, immediately after entering the circulatory system, was 50:38%, respectively. With time, the fraction of plutonium found in the liver decreased, while the fraction in the skeleton increased at a rate of 0.5% y(-1) of systemic deposition. Exposure time had a greater effect on the relative retention of plutonium in the main organs when compared to age. The statistical estimates that characterized the relative plutonium distribution were less stable for the liver than for the skeleton, likely due to the slower turnover of skeletal tissues and the retention of plutonium in bone.","container-title":"Health Physics","DOI":"10.1097/00004032-200204000-00002","ISSN":"0017-9078","issue":"4","journalAbbreviation":"Health Phys","language":"eng","note":"PMID: 11906132","page":"432-444","source":"PubMed","title":"Extrapulmonary organ distribution of plutonium in healthy workers exposed by chronic inhalation at the Mayak production association","volume":"82","author":[{"family":"Suslova","given":"K. G."},{"family":"Khokhryakov","given":"V. F."},{"family":"Tokarskaya","given":"Z. B."},{"family":"Nifatov","given":"A. P."},{"family":"Krahenbuhl","given":"M. P."},{"family":"Miller","given":"S. C."}],"issued":{"date-parts":[["2002",4]]}}}],"schema":"https://github.com/citation-style-language/schema/raw/master/csl-citation.json"} </w:instrText>
      </w:r>
      <w:r w:rsidR="00436201" w:rsidRPr="00972C81">
        <w:rPr>
          <w:noProof/>
          <w:color w:val="000000"/>
          <w:szCs w:val="36"/>
        </w:rPr>
        <w:fldChar w:fldCharType="separate"/>
      </w:r>
      <w:r w:rsidR="007A033C" w:rsidRPr="00972C81">
        <w:rPr>
          <w:noProof/>
          <w:szCs w:val="24"/>
        </w:rPr>
        <w:t>(Ehrhart and Filipy, 2001; McInroy et al., 1989; Schofield and Dolphin, 1974; Suslova et al., 1996, 2002)</w:t>
      </w:r>
      <w:r w:rsidR="00436201" w:rsidRPr="00972C81">
        <w:rPr>
          <w:noProof/>
          <w:color w:val="000000"/>
          <w:szCs w:val="36"/>
        </w:rPr>
        <w:fldChar w:fldCharType="end"/>
      </w:r>
      <w:r w:rsidRPr="00972C81">
        <w:rPr>
          <w:noProof/>
          <w:color w:val="000000"/>
          <w:szCs w:val="36"/>
        </w:rPr>
        <w:t>. The central tendencies of the autopsy data indicate, however, that the liver typically is the more important repository soon after exposure and that there is a gradual shift of activity from the liver to the skeleton.</w:t>
      </w:r>
    </w:p>
    <w:p w14:paraId="1DFAADE1" w14:textId="11667488" w:rsidR="0066789F" w:rsidRPr="00972C81" w:rsidRDefault="0066789F" w:rsidP="001C4A92">
      <w:pPr>
        <w:pStyle w:val="Annalstext"/>
        <w:rPr>
          <w:noProof/>
        </w:rPr>
      </w:pPr>
      <w:r w:rsidRPr="00972C81">
        <w:rPr>
          <w:noProof/>
        </w:rPr>
        <w:t xml:space="preserve">The systemic </w:t>
      </w:r>
      <w:r w:rsidR="00BB503E">
        <w:rPr>
          <w:noProof/>
        </w:rPr>
        <w:t>behaviour</w:t>
      </w:r>
      <w:r w:rsidRPr="00972C81">
        <w:rPr>
          <w:noProof/>
        </w:rPr>
        <w:t xml:space="preserve"> of Pu has been studied in a variety of laboratory animals including baboons, monkeys, dogs, swine, rats, mice, hamsters, rabbits, tree shrews, and sheep</w:t>
      </w:r>
      <w:r w:rsidR="00436201" w:rsidRPr="00972C81">
        <w:rPr>
          <w:noProof/>
        </w:rPr>
        <w:t xml:space="preserve"> </w:t>
      </w:r>
      <w:r w:rsidR="008A4789" w:rsidRPr="00972C81">
        <w:rPr>
          <w:noProof/>
        </w:rPr>
        <w:fldChar w:fldCharType="begin"/>
      </w:r>
      <w:r w:rsidR="007A033C" w:rsidRPr="00972C81">
        <w:rPr>
          <w:noProof/>
        </w:rPr>
        <w:instrText xml:space="preserve"> ADDIN ZOTERO_ITEM CSL_CITATION {"citationID":"a1n6966lopq","properties":{"formattedCitation":"(Durbin, 1972, 1975, 2011; Taylor, 1984)","plainCitation":"(Durbin, 1972, 1975, 2011; Taylor, 1984)","noteIndex":0},"citationItems":[{"id":5119,"uris":["http://zotero.org/groups/2470620/items/NYEH7HHW"],"itemData":{"id":5119,"type":"chapter","container-title":"Radiobiology of Pu","event-place":"Salt Lake City, UT","page":"469–530","publisher":"J. W. Press","publisher-place":"Salt Lake City, UT","title":"Plutonium in man: A new look at the old data.","author":[{"family":"Durbin","given":"Patricia W."}],"editor":[{"family":"Stover","given":"B.J."},{"family":"Jee","given":"W.S.S."}],"issued":{"date-parts":[["1972"]]}}},{"id":5162,"uris":["http://zotero.org/groups/2470620/items/VNPG72HY"],"itemData":{"id":5162,"type":"article-journal","container-title":"Health Physics","DOI":"10.1097/00004032-197510000-00006","ISSN":"0017-9078","issue":"4","journalAbbreviation":"Health Phys","language":"eng","note":"PMID: 812846","page":"495-510","source":"PubMed","title":"Plutonium--health implications for man. Plutonium in mammals: influence of plutonium chemistry, route of administration, and physiological status of the animal on initial distribution and long-term metabolism","title-short":"Plutonium--health implications for man. Plutonium in mammals","volume":"29","author":[{"family":"Durbin","given":"P. W."}],"issued":{"date-parts":[["1975",10]]}}},{"id":4935,"uris":["http://zotero.org/groups/2470620/items/TC3RNTU4"],"itemData":{"id":4935,"type":"chapter","container-title":"The chemistry of the actinide and transactinide elements, 4th edition, Vol. 5","page":"3339–3474","publisher":"Springer","source":"Google Scholar","title":"Actinides in animals and man. Chapter 31","author":[{"family":"Durbin","given":"Patricia W."}],"editor":[{"family":"Morss","given":"L.R."},{"family":"Edelstein","given":"N.M."},{"family":"Fuger","given":"J."},{"family":"Katz","given":"J.J."}],"issued":{"date-parts":[["2011"]]}}},{"id":5164,"uris":["http://zotero.org/groups/2470620/items/UGJZ5MP5"],"itemData":{"id":5164,"type":"paper-conference","container-title":"Radiation-risk-protection. Vol. 1","event-place":"Berlin","page":"431-434","publisher":"6th International Radiation Protection Association Congress","publisher-place":"Berlin","source":"Google Scholar","title":"The retention of plutonium and americium in liver: An interspecies comparison","title-short":"The retention of plutonium and americium in liver","author":[{"family":"Taylor","given":"David M."}],"issued":{"date-parts":[["1984"]]}}}],"schema":"https://github.com/citation-style-language/schema/raw/master/csl-citation.json"} </w:instrText>
      </w:r>
      <w:r w:rsidR="008A4789" w:rsidRPr="00972C81">
        <w:rPr>
          <w:noProof/>
        </w:rPr>
        <w:fldChar w:fldCharType="separate"/>
      </w:r>
      <w:r w:rsidR="007A033C" w:rsidRPr="00972C81">
        <w:rPr>
          <w:noProof/>
          <w:szCs w:val="24"/>
        </w:rPr>
        <w:t>(Durbin, 1972, 1975, 2011; Taylor, 1984)</w:t>
      </w:r>
      <w:r w:rsidR="008A4789" w:rsidRPr="00972C81">
        <w:rPr>
          <w:noProof/>
        </w:rPr>
        <w:fldChar w:fldCharType="end"/>
      </w:r>
      <w:r w:rsidRPr="00972C81">
        <w:rPr>
          <w:noProof/>
        </w:rPr>
        <w:t xml:space="preserve">. As is the case for humans, the various animal species generally have shown high deposition and tenacious retention in the skeleton, as well as a high initial concentration in the liver. However, considerable differences among species are seen regarding the residence time of Pu by the liver. For example, the residence time in liver is measured in days, weeks, or months in rats, monkeys, and baboons, but in years or decades in hamsters, dogs, pigs, and humans </w:t>
      </w:r>
      <w:r w:rsidR="008A4789" w:rsidRPr="00972C81">
        <w:rPr>
          <w:noProof/>
        </w:rPr>
        <w:fldChar w:fldCharType="begin"/>
      </w:r>
      <w:r w:rsidR="007A033C" w:rsidRPr="00972C81">
        <w:rPr>
          <w:noProof/>
        </w:rPr>
        <w:instrText xml:space="preserve"> ADDIN ZOTERO_ITEM CSL_CITATION {"citationID":"armll8bb5p","properties":{"formattedCitation":"(Taylor, 1984)","plainCitation":"(Taylor, 1984)","noteIndex":0},"citationItems":[{"id":5164,"uris":["http://zotero.org/groups/2470620/items/UGJZ5MP5"],"itemData":{"id":5164,"type":"paper-conference","container-title":"Radiation-risk-protection. Vol. 1","event-place":"Berlin","page":"431-434","publisher":"6th International Radiation Protection Association Congress","publisher-place":"Berlin","source":"Google Scholar","title":"The retention of plutonium and americium in liver: An interspecies comparison","title-short":"The retention of plutonium and americium in liver","author":[{"family":"Taylor","given":"David M."}],"issued":{"date-parts":[["1984"]]}}}],"schema":"https://github.com/citation-style-language/schema/raw/master/csl-citation.json"} </w:instrText>
      </w:r>
      <w:r w:rsidR="008A4789" w:rsidRPr="00972C81">
        <w:rPr>
          <w:noProof/>
        </w:rPr>
        <w:fldChar w:fldCharType="separate"/>
      </w:r>
      <w:r w:rsidR="007A033C" w:rsidRPr="00972C81">
        <w:rPr>
          <w:noProof/>
          <w:szCs w:val="24"/>
        </w:rPr>
        <w:t>(Taylor, 1984)</w:t>
      </w:r>
      <w:r w:rsidR="008A4789" w:rsidRPr="00972C81">
        <w:rPr>
          <w:noProof/>
        </w:rPr>
        <w:fldChar w:fldCharType="end"/>
      </w:r>
      <w:r w:rsidRPr="00972C81">
        <w:rPr>
          <w:noProof/>
        </w:rPr>
        <w:t xml:space="preserve">. The short retention time in the liver seen </w:t>
      </w:r>
      <w:r w:rsidR="00BB503E">
        <w:rPr>
          <w:noProof/>
        </w:rPr>
        <w:t>in humans</w:t>
      </w:r>
      <w:r w:rsidRPr="00972C81">
        <w:rPr>
          <w:noProof/>
        </w:rPr>
        <w:t>y species appears to be primarily the result of a high rate of biliary secretion of Pu.</w:t>
      </w:r>
    </w:p>
    <w:p w14:paraId="0E83F677" w14:textId="0D97E16A" w:rsidR="0066789F" w:rsidRPr="00972C81" w:rsidRDefault="0066789F" w:rsidP="001C4A92">
      <w:pPr>
        <w:pStyle w:val="Annalstext"/>
        <w:rPr>
          <w:noProof/>
        </w:rPr>
      </w:pPr>
      <w:r w:rsidRPr="00972C81">
        <w:rPr>
          <w:noProof/>
        </w:rPr>
        <w:t xml:space="preserve">Information on variation with age in the biokinetics of plutonium comes mainly from studies of the age-specific </w:t>
      </w:r>
      <w:r w:rsidR="00BB503E">
        <w:rPr>
          <w:noProof/>
        </w:rPr>
        <w:t>behaviour</w:t>
      </w:r>
      <w:r w:rsidRPr="00972C81">
        <w:rPr>
          <w:noProof/>
        </w:rPr>
        <w:t xml:space="preserve"> of plutonium and other actinide elements in laboratory animals. In animals of all ages, about 80</w:t>
      </w:r>
      <w:r w:rsidR="00ED641A" w:rsidRPr="00972C81">
        <w:rPr>
          <w:noProof/>
          <w:szCs w:val="24"/>
          <w:lang w:eastAsia="fr-FR"/>
        </w:rPr>
        <w:t>–</w:t>
      </w:r>
      <w:r w:rsidRPr="00972C81">
        <w:rPr>
          <w:noProof/>
        </w:rPr>
        <w:t xml:space="preserve">90% of the amount entering blood is initially divided between bone and liver. The ratio of the deposition fraction of actinides in bone to that in liver generally is substantially higher in growing animals than in mature animals. For example, the skeletons of beagles injected with </w:t>
      </w:r>
      <w:r w:rsidRPr="00972C81">
        <w:rPr>
          <w:noProof/>
          <w:vertAlign w:val="superscript"/>
        </w:rPr>
        <w:t>239</w:t>
      </w:r>
      <w:r w:rsidRPr="00972C81">
        <w:rPr>
          <w:noProof/>
        </w:rPr>
        <w:t xml:space="preserve">Pu at ages 2 d, 3 mo, 1.5 y, or 5 y contained about 80%, 63%, 46%, and 43%, respectively, of the injected amount at 1 wk after administration </w:t>
      </w:r>
      <w:r w:rsidRPr="00972C81">
        <w:rPr>
          <w:noProof/>
        </w:rPr>
        <w:lastRenderedPageBreak/>
        <w:t>(Bruenger et al., 19</w:t>
      </w:r>
      <w:r w:rsidR="00B53485" w:rsidRPr="00972C81">
        <w:rPr>
          <w:noProof/>
        </w:rPr>
        <w:t>89</w:t>
      </w:r>
      <w:r w:rsidRPr="00972C81">
        <w:rPr>
          <w:noProof/>
        </w:rPr>
        <w:t xml:space="preserve">).  The rate of removal of plutonium in the skeleton depends on the bone turnover rate, which is also substantially higher in growing animals than mature animals. </w:t>
      </w:r>
    </w:p>
    <w:p w14:paraId="483D2861" w14:textId="7A205DD6" w:rsidR="0066789F" w:rsidRPr="00972C81" w:rsidRDefault="0066789F" w:rsidP="006703A2">
      <w:pPr>
        <w:pStyle w:val="OIRTitre4"/>
      </w:pPr>
      <w:r w:rsidRPr="00972C81">
        <w:t>Systemic model</w:t>
      </w:r>
    </w:p>
    <w:p w14:paraId="6D42F15E" w14:textId="0A429E3A" w:rsidR="0066789F" w:rsidRPr="00972C81" w:rsidRDefault="0066789F" w:rsidP="001C4A92">
      <w:pPr>
        <w:pStyle w:val="Annalstext"/>
        <w:rPr>
          <w:noProof/>
          <w:szCs w:val="24"/>
        </w:rPr>
      </w:pPr>
      <w:r w:rsidRPr="00972C81">
        <w:rPr>
          <w:noProof/>
        </w:rPr>
        <w:t xml:space="preserve">The systemic model for workers used in </w:t>
      </w:r>
      <w:r w:rsidR="00C02F08" w:rsidRPr="00972C81">
        <w:rPr>
          <w:i/>
          <w:noProof/>
        </w:rPr>
        <w:t>Publication 141</w:t>
      </w:r>
      <w:r w:rsidR="008A4789" w:rsidRPr="00972C81">
        <w:rPr>
          <w:i/>
          <w:noProof/>
        </w:rPr>
        <w:t xml:space="preserve"> </w:t>
      </w:r>
      <w:r w:rsidR="008A4789" w:rsidRPr="00972C81">
        <w:rPr>
          <w:i/>
          <w:noProof/>
        </w:rPr>
        <w:fldChar w:fldCharType="begin"/>
      </w:r>
      <w:r w:rsidR="007A033C" w:rsidRPr="00972C81">
        <w:rPr>
          <w:i/>
          <w:noProof/>
        </w:rPr>
        <w:instrText xml:space="preserve"> ADDIN ZOTERO_ITEM CSL_CITATION {"citationID":"a4ug3ui5as","properties":{"formattedCitation":"(ICRP,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8A4789" w:rsidRPr="00972C81">
        <w:rPr>
          <w:i/>
          <w:noProof/>
        </w:rPr>
        <w:fldChar w:fldCharType="separate"/>
      </w:r>
      <w:r w:rsidR="007A033C" w:rsidRPr="00972C81">
        <w:rPr>
          <w:noProof/>
          <w:szCs w:val="24"/>
        </w:rPr>
        <w:t>(ICRP, 2019)</w:t>
      </w:r>
      <w:r w:rsidR="008A4789" w:rsidRPr="00972C81">
        <w:rPr>
          <w:i/>
          <w:noProof/>
        </w:rPr>
        <w:fldChar w:fldCharType="end"/>
      </w:r>
      <w:r w:rsidRPr="00972C81">
        <w:rPr>
          <w:noProof/>
        </w:rPr>
        <w:t xml:space="preserve"> is applied here to adult members of the public. The model for adults updates the model applied to adult members of the public in </w:t>
      </w:r>
      <w:r w:rsidRPr="00972C81">
        <w:rPr>
          <w:i/>
          <w:noProof/>
        </w:rPr>
        <w:t>Publication 67</w:t>
      </w:r>
      <w:r w:rsidRPr="00972C81">
        <w:rPr>
          <w:noProof/>
        </w:rPr>
        <w:t xml:space="preserve"> </w:t>
      </w:r>
      <w:r w:rsidR="008A4789" w:rsidRPr="00972C81">
        <w:rPr>
          <w:noProof/>
        </w:rPr>
        <w:fldChar w:fldCharType="begin"/>
      </w:r>
      <w:r w:rsidR="007A033C" w:rsidRPr="00972C81">
        <w:rPr>
          <w:noProof/>
        </w:rPr>
        <w:instrText xml:space="preserve"> ADDIN ZOTERO_ITEM CSL_CITATION {"citationID":"a19p32v6qre","properties":{"formattedCitation":"(ICRP, 1993)","plainCitation":"(ICRP, 1993)","noteIndex":0},"citationItems":[{"id":2558,"uris":["http://zotero.org/groups/2470620/items/NGGW5NK4",["http://zotero.org/groups/2470620/items/NGGW5NK4"]],"itemData":{"id":2558,"type":"article-journal","container-title":"Annals of the ICRP","issue":"3/4","journalAbbreviation":"Ann. ICRP","language":"en","title":"Age dependent doses to members of the public from intake of radionuclides: Part 2, Ingestion dose coefficients. ICRP Publication 67","volume":"23","author":[{"literal":"ICRP"}],"issued":{"date-parts":[["1993"]]}}}],"schema":"https://github.com/citation-style-language/schema/raw/master/csl-citation.json"} </w:instrText>
      </w:r>
      <w:r w:rsidR="008A4789" w:rsidRPr="00972C81">
        <w:rPr>
          <w:noProof/>
        </w:rPr>
        <w:fldChar w:fldCharType="separate"/>
      </w:r>
      <w:r w:rsidR="007A033C" w:rsidRPr="00972C81">
        <w:rPr>
          <w:noProof/>
          <w:szCs w:val="24"/>
        </w:rPr>
        <w:t>(ICRP, 1993)</w:t>
      </w:r>
      <w:r w:rsidR="008A4789" w:rsidRPr="00972C81">
        <w:rPr>
          <w:noProof/>
        </w:rPr>
        <w:fldChar w:fldCharType="end"/>
      </w:r>
      <w:r w:rsidRPr="00972C81">
        <w:rPr>
          <w:noProof/>
        </w:rPr>
        <w:t xml:space="preserve"> and to workers in </w:t>
      </w:r>
      <w:r w:rsidRPr="00972C81">
        <w:rPr>
          <w:i/>
          <w:noProof/>
        </w:rPr>
        <w:t>Publication 68</w:t>
      </w:r>
      <w:r w:rsidRPr="00972C81">
        <w:rPr>
          <w:noProof/>
        </w:rPr>
        <w:t xml:space="preserve"> </w:t>
      </w:r>
      <w:r w:rsidR="008A4789" w:rsidRPr="00972C81">
        <w:rPr>
          <w:noProof/>
        </w:rPr>
        <w:fldChar w:fldCharType="begin"/>
      </w:r>
      <w:r w:rsidR="007A033C" w:rsidRPr="00972C81">
        <w:rPr>
          <w:noProof/>
        </w:rPr>
        <w:instrText xml:space="preserve"> ADDIN ZOTERO_ITEM CSL_CITATION {"citationID":"ali7c0vnvt","properties":{"formattedCitation":"(ICRP, 1994a)","plainCitation":"(ICRP, 1994a)","noteIndex":0},"citationItems":[{"id":2559,"uris":["http://zotero.org/groups/2470620/items/YEDLCQWF"],"itemData":{"id":2559,"type":"article-journal","container-title":"Annals of the ICRP","issue":"4","journalAbbreviation":"Ann. ICRP","language":"en","title":"Dose coefficients for intake of radionuclides by workers. ICRP Publication 68","volume":"24","author":[{"literal":"ICRP"}],"issued":{"date-parts":[["1994"]]}}}],"schema":"https://github.com/citation-style-language/schema/raw/master/csl-citation.json"} </w:instrText>
      </w:r>
      <w:r w:rsidR="008A4789" w:rsidRPr="00972C81">
        <w:rPr>
          <w:noProof/>
        </w:rPr>
        <w:fldChar w:fldCharType="separate"/>
      </w:r>
      <w:r w:rsidR="007A033C" w:rsidRPr="00972C81">
        <w:rPr>
          <w:noProof/>
          <w:szCs w:val="24"/>
        </w:rPr>
        <w:t>(ICRP, 1994a)</w:t>
      </w:r>
      <w:r w:rsidR="008A4789" w:rsidRPr="00972C81">
        <w:rPr>
          <w:noProof/>
        </w:rPr>
        <w:fldChar w:fldCharType="end"/>
      </w:r>
      <w:r w:rsidRPr="00972C81">
        <w:rPr>
          <w:noProof/>
        </w:rPr>
        <w:t xml:space="preserve"> to reflect a su</w:t>
      </w:r>
      <w:r w:rsidRPr="00972C81">
        <w:rPr>
          <w:noProof/>
          <w:szCs w:val="24"/>
        </w:rPr>
        <w:t xml:space="preserve">bstantially expanded database, particularly data from two Pu injection studies involving healthy human subjects and considerably expanded sets of bioassay and autopsy data for Pu workers. </w:t>
      </w:r>
    </w:p>
    <w:p w14:paraId="3C32A513" w14:textId="77777777" w:rsidR="0066789F" w:rsidRPr="00972C81" w:rsidRDefault="0066789F" w:rsidP="001C4A92">
      <w:pPr>
        <w:pStyle w:val="Annalstext"/>
        <w:rPr>
          <w:noProof/>
        </w:rPr>
      </w:pPr>
      <w:r w:rsidRPr="00972C81">
        <w:rPr>
          <w:noProof/>
        </w:rPr>
        <w:t xml:space="preserve">The most important change from the model of </w:t>
      </w:r>
      <w:r w:rsidRPr="00972C81">
        <w:rPr>
          <w:i/>
          <w:noProof/>
        </w:rPr>
        <w:t>Publication 67</w:t>
      </w:r>
      <w:r w:rsidRPr="00972C81">
        <w:rPr>
          <w:noProof/>
        </w:rPr>
        <w:t xml:space="preserve"> concerns the initial distribution of absorbed or injected Pu: </w:t>
      </w:r>
      <w:r w:rsidRPr="00972C81">
        <w:rPr>
          <w:i/>
          <w:noProof/>
        </w:rPr>
        <w:t>Publication 67</w:t>
      </w:r>
      <w:r w:rsidRPr="00972C81">
        <w:rPr>
          <w:noProof/>
        </w:rPr>
        <w:t xml:space="preserve"> assigns deposition fractions of 0.5 and 0.3 to bone and liver, respectively, while the updated model assigns fractions 0.3 and 0.6, respectively, based on the later human injection studies together with central tendencies indicated by autopsy data for Pu workers whose body burdens represented a wide range of times since exposure. </w:t>
      </w:r>
    </w:p>
    <w:p w14:paraId="7DF3A264" w14:textId="46A8EAAA" w:rsidR="0066789F" w:rsidRPr="00972C81" w:rsidRDefault="0066789F" w:rsidP="001C4A92">
      <w:pPr>
        <w:pStyle w:val="Annalstext"/>
        <w:rPr>
          <w:noProof/>
        </w:rPr>
      </w:pPr>
      <w:r w:rsidRPr="00972C81">
        <w:rPr>
          <w:noProof/>
        </w:rPr>
        <w:t xml:space="preserve">The structure of the updated model for Pu is shown in </w:t>
      </w:r>
      <w:r w:rsidR="008A4789" w:rsidRPr="00972C81">
        <w:rPr>
          <w:noProof/>
        </w:rPr>
        <w:fldChar w:fldCharType="begin"/>
      </w:r>
      <w:r w:rsidR="008A4789" w:rsidRPr="00972C81">
        <w:rPr>
          <w:noProof/>
        </w:rPr>
        <w:instrText xml:space="preserve"> REF _Ref143685169 \h </w:instrText>
      </w:r>
      <w:r w:rsidR="008A4789" w:rsidRPr="00972C81">
        <w:rPr>
          <w:noProof/>
        </w:rPr>
      </w:r>
      <w:r w:rsidR="008A4789" w:rsidRPr="00972C81">
        <w:rPr>
          <w:noProof/>
        </w:rPr>
        <w:fldChar w:fldCharType="separate"/>
      </w:r>
      <w:r w:rsidR="00A41AD1" w:rsidRPr="00972C81">
        <w:rPr>
          <w:noProof/>
        </w:rPr>
        <w:t xml:space="preserve">Fig </w:t>
      </w:r>
      <w:r w:rsidR="00A41AD1">
        <w:rPr>
          <w:noProof/>
        </w:rPr>
        <w:t>22</w:t>
      </w:r>
      <w:r w:rsidR="00A41AD1" w:rsidRPr="00972C81">
        <w:rPr>
          <w:noProof/>
        </w:rPr>
        <w:t>.</w:t>
      </w:r>
      <w:r w:rsidR="00A41AD1">
        <w:rPr>
          <w:noProof/>
        </w:rPr>
        <w:t>1</w:t>
      </w:r>
      <w:r w:rsidR="008A4789" w:rsidRPr="00972C81">
        <w:rPr>
          <w:noProof/>
        </w:rPr>
        <w:fldChar w:fldCharType="end"/>
      </w:r>
      <w:r w:rsidRPr="00972C81">
        <w:rPr>
          <w:noProof/>
        </w:rPr>
        <w:t>. A summary of parameter values for adults is given below. Extension of these parameter values to preadult ages is then described.</w:t>
      </w:r>
    </w:p>
    <w:p w14:paraId="5C1F5AD5" w14:textId="3FFD9426" w:rsidR="0066789F" w:rsidRPr="00972C81" w:rsidRDefault="007D7BA2" w:rsidP="00ED641A">
      <w:pPr>
        <w:pStyle w:val="5"/>
        <w:spacing w:before="240" w:after="240"/>
        <w:ind w:left="357" w:hanging="357"/>
        <w:rPr>
          <w:noProof/>
        </w:rPr>
      </w:pPr>
      <w:r w:rsidRPr="00972C81">
        <w:rPr>
          <w:noProof/>
        </w:rPr>
        <w:t>Circulation</w:t>
      </w:r>
    </w:p>
    <w:p w14:paraId="41A6D3C5" w14:textId="2061FBA6" w:rsidR="0066789F" w:rsidRDefault="0066789F" w:rsidP="0034590A">
      <w:pPr>
        <w:pStyle w:val="Annalstext"/>
        <w:rPr>
          <w:noProof/>
        </w:rPr>
      </w:pPr>
      <w:r w:rsidRPr="00972C81">
        <w:rPr>
          <w:iCs/>
          <w:noProof/>
          <w:szCs w:val="32"/>
        </w:rPr>
        <w:t>C</w:t>
      </w:r>
      <w:r w:rsidRPr="00972C81">
        <w:rPr>
          <w:noProof/>
        </w:rPr>
        <w:t>irculating Pu is defined as Pu in blood plus rapid-turnover s</w:t>
      </w:r>
      <w:r w:rsidR="007D7BA2" w:rsidRPr="00972C81">
        <w:rPr>
          <w:noProof/>
        </w:rPr>
        <w:t xml:space="preserve">oft tissues (ST0 in </w:t>
      </w:r>
      <w:r w:rsidR="007D7BA2" w:rsidRPr="00972C81">
        <w:rPr>
          <w:noProof/>
        </w:rPr>
        <w:fldChar w:fldCharType="begin"/>
      </w:r>
      <w:r w:rsidR="007D7BA2" w:rsidRPr="00972C81">
        <w:rPr>
          <w:noProof/>
        </w:rPr>
        <w:instrText xml:space="preserve"> REF _Ref143685169 \h </w:instrText>
      </w:r>
      <w:r w:rsidR="007D7BA2" w:rsidRPr="00972C81">
        <w:rPr>
          <w:noProof/>
        </w:rPr>
      </w:r>
      <w:r w:rsidR="007D7BA2" w:rsidRPr="00972C81">
        <w:rPr>
          <w:noProof/>
        </w:rPr>
        <w:fldChar w:fldCharType="separate"/>
      </w:r>
      <w:r w:rsidR="00A41AD1" w:rsidRPr="00972C81">
        <w:rPr>
          <w:noProof/>
        </w:rPr>
        <w:t xml:space="preserve">Fig </w:t>
      </w:r>
      <w:r w:rsidR="00A41AD1">
        <w:rPr>
          <w:noProof/>
        </w:rPr>
        <w:t>22</w:t>
      </w:r>
      <w:r w:rsidR="00A41AD1" w:rsidRPr="00972C81">
        <w:rPr>
          <w:noProof/>
        </w:rPr>
        <w:t>.</w:t>
      </w:r>
      <w:r w:rsidR="00A41AD1">
        <w:rPr>
          <w:noProof/>
        </w:rPr>
        <w:t>1</w:t>
      </w:r>
      <w:r w:rsidR="007D7BA2" w:rsidRPr="00972C81">
        <w:rPr>
          <w:noProof/>
        </w:rPr>
        <w:fldChar w:fldCharType="end"/>
      </w:r>
      <w:r w:rsidR="007D7BA2" w:rsidRPr="00972C81">
        <w:rPr>
          <w:noProof/>
        </w:rPr>
        <w:t xml:space="preserve">). </w:t>
      </w:r>
      <w:r w:rsidRPr="00972C81">
        <w:rPr>
          <w:noProof/>
        </w:rPr>
        <w:t>Blood consists of two compartments</w:t>
      </w:r>
      <w:r w:rsidRPr="00972C81">
        <w:rPr>
          <w:noProof/>
          <w:szCs w:val="28"/>
        </w:rPr>
        <w:t xml:space="preserve">, Blood 1 and Blood 2.  Blood 2 receives recycled Pu and feeds ST0, Blood 1, and the urinary bladder contents. This provides a physically meaningful way of </w:t>
      </w:r>
      <w:r w:rsidRPr="00972C81">
        <w:rPr>
          <w:noProof/>
        </w:rPr>
        <w:t>implementing the assumption, based on results of human injection studies, that fractional clearance from blood to urine increases for some time after the initial entry of Pu into blood. Specifically, it is assumed that</w:t>
      </w:r>
      <w:r w:rsidR="0034590A">
        <w:rPr>
          <w:noProof/>
        </w:rPr>
        <w:t xml:space="preserve"> t</w:t>
      </w:r>
      <w:r w:rsidRPr="00972C81">
        <w:rPr>
          <w:noProof/>
        </w:rPr>
        <w:t>he initial input to blood distributes rapidly (half-time of 1 min) between a blood compartment called Blood 1 (70%) and a soft tissue compartment called ST0 (30%)</w:t>
      </w:r>
      <w:r w:rsidR="0034590A">
        <w:rPr>
          <w:noProof/>
        </w:rPr>
        <w:t xml:space="preserve">. </w:t>
      </w:r>
      <w:r w:rsidRPr="00972C81">
        <w:rPr>
          <w:noProof/>
        </w:rPr>
        <w:t>Pu leaves Blood 1 with a half-time of 0.9 d.</w:t>
      </w:r>
      <w:r w:rsidR="0034590A">
        <w:rPr>
          <w:noProof/>
        </w:rPr>
        <w:t xml:space="preserve"> </w:t>
      </w:r>
      <w:r w:rsidRPr="00972C81">
        <w:rPr>
          <w:noProof/>
        </w:rPr>
        <w:t>Soft tissue compartment ST0 empties into Blood 1 with a half-time of 7 d</w:t>
      </w:r>
      <w:r w:rsidR="0034590A">
        <w:rPr>
          <w:noProof/>
        </w:rPr>
        <w:t xml:space="preserve">. </w:t>
      </w:r>
      <w:r w:rsidRPr="00972C81">
        <w:rPr>
          <w:noProof/>
        </w:rPr>
        <w:t>All other feeds from tissues back to blood are to Blood 2.</w:t>
      </w:r>
      <w:r w:rsidR="0034590A">
        <w:rPr>
          <w:noProof/>
        </w:rPr>
        <w:t xml:space="preserve"> </w:t>
      </w:r>
      <w:r w:rsidRPr="00972C81">
        <w:rPr>
          <w:noProof/>
        </w:rPr>
        <w:t>Pu is removed from Blood 2 at the rate 100 d</w:t>
      </w:r>
      <w:r w:rsidRPr="0034590A">
        <w:rPr>
          <w:noProof/>
          <w:vertAlign w:val="superscript"/>
        </w:rPr>
        <w:t>-1</w:t>
      </w:r>
      <w:r w:rsidRPr="00972C81">
        <w:rPr>
          <w:noProof/>
        </w:rPr>
        <w:t xml:space="preserve"> (T</w:t>
      </w:r>
      <w:r w:rsidRPr="0034590A">
        <w:rPr>
          <w:noProof/>
          <w:vertAlign w:val="subscript"/>
        </w:rPr>
        <w:t>1/2</w:t>
      </w:r>
      <w:r w:rsidRPr="00972C81">
        <w:rPr>
          <w:noProof/>
        </w:rPr>
        <w:t xml:space="preserve"> ~ 10 min), with 3.5% going to the urinary bladder contents, 0.3</w:t>
      </w:r>
      <w:r w:rsidR="00067025" w:rsidRPr="00972C81">
        <w:rPr>
          <w:noProof/>
        </w:rPr>
        <w:t xml:space="preserve"> × </w:t>
      </w:r>
      <w:r w:rsidRPr="00972C81">
        <w:rPr>
          <w:noProof/>
        </w:rPr>
        <w:t>(100-3.5)% = 28.95% going to ST0, and 0.7</w:t>
      </w:r>
      <w:r w:rsidR="00067025" w:rsidRPr="00972C81">
        <w:rPr>
          <w:noProof/>
        </w:rPr>
        <w:t xml:space="preserve"> </w:t>
      </w:r>
      <w:r w:rsidR="00067025" w:rsidRPr="0034590A">
        <w:rPr>
          <w:noProof/>
          <w:szCs w:val="36"/>
        </w:rPr>
        <w:t>×</w:t>
      </w:r>
      <w:r w:rsidR="00067025" w:rsidRPr="00972C81">
        <w:rPr>
          <w:noProof/>
        </w:rPr>
        <w:t xml:space="preserve"> </w:t>
      </w:r>
      <w:r w:rsidRPr="00972C81">
        <w:rPr>
          <w:noProof/>
        </w:rPr>
        <w:t>(100-3.5)% = 67.55% going to Blood 1.</w:t>
      </w:r>
      <w:r w:rsidR="0034590A">
        <w:rPr>
          <w:noProof/>
        </w:rPr>
        <w:t xml:space="preserve"> </w:t>
      </w:r>
      <w:r w:rsidRPr="00972C81">
        <w:rPr>
          <w:noProof/>
        </w:rPr>
        <w:t xml:space="preserve">In effect, the portion of activity leaving Blood 2 that does not go directly to the urinary bladder contents is assumed to distribute in the same way as the original input to blood. </w:t>
      </w:r>
    </w:p>
    <w:p w14:paraId="40B9331F" w14:textId="77777777" w:rsidR="0034590A" w:rsidRPr="00972C81" w:rsidRDefault="0034590A" w:rsidP="0034590A">
      <w:pPr>
        <w:pStyle w:val="Annalstext"/>
        <w:numPr>
          <w:ilvl w:val="0"/>
          <w:numId w:val="0"/>
        </w:numPr>
        <w:ind w:left="284"/>
        <w:rPr>
          <w:noProof/>
          <w:vanish/>
          <w:color w:val="000066"/>
          <w:sz w:val="28"/>
          <w:szCs w:val="24"/>
        </w:rPr>
      </w:pPr>
    </w:p>
    <w:p w14:paraId="74240412" w14:textId="71879986" w:rsidR="0066789F" w:rsidRPr="00972C81" w:rsidRDefault="007D7BA2" w:rsidP="00ED641A">
      <w:pPr>
        <w:pStyle w:val="5"/>
        <w:spacing w:before="240" w:after="240"/>
        <w:ind w:left="357" w:hanging="357"/>
        <w:rPr>
          <w:noProof/>
        </w:rPr>
      </w:pPr>
      <w:r w:rsidRPr="00972C81">
        <w:rPr>
          <w:noProof/>
        </w:rPr>
        <w:t>Liver and fecal excretion</w:t>
      </w:r>
    </w:p>
    <w:p w14:paraId="24380C15" w14:textId="3046EE1B" w:rsidR="0066789F" w:rsidRPr="00972C81" w:rsidRDefault="0066789F" w:rsidP="001C4A92">
      <w:pPr>
        <w:pStyle w:val="Annalstext"/>
        <w:rPr>
          <w:noProof/>
        </w:rPr>
      </w:pPr>
      <w:r w:rsidRPr="00972C81">
        <w:rPr>
          <w:iCs/>
          <w:noProof/>
        </w:rPr>
        <w:t>R</w:t>
      </w:r>
      <w:r w:rsidRPr="00972C81">
        <w:rPr>
          <w:noProof/>
        </w:rPr>
        <w:t>apid, intermediate and slow phases of removal from the liver are depicted. Plutonium moves from Blood 1 to the rapid-turnover compartment Liver 0. Some Pu entering Liver 0 is lost in bile, but most moves to a compartment within the hepatocytes with intermediate-term retention (Liver 1). Most of the activity lost from Liver 1 goes to Blood 2, but a portion enters reticuloendothelial cells (Liver 2), from which it is slowly lost to Blood 2.  It is assumed that:</w:t>
      </w:r>
    </w:p>
    <w:p w14:paraId="15344657" w14:textId="77777777" w:rsidR="0066789F" w:rsidRPr="00972C81" w:rsidRDefault="0066789F" w:rsidP="00497AFB">
      <w:pPr>
        <w:pStyle w:val="a"/>
        <w:rPr>
          <w:noProof/>
        </w:rPr>
      </w:pPr>
      <w:r w:rsidRPr="00972C81">
        <w:rPr>
          <w:noProof/>
        </w:rPr>
        <w:t>Age-specific: 60% of activity leaving the circulation goes to Liver 0.</w:t>
      </w:r>
    </w:p>
    <w:p w14:paraId="117B40BD" w14:textId="77777777" w:rsidR="0066789F" w:rsidRPr="00972C81" w:rsidRDefault="0066789F" w:rsidP="00497AFB">
      <w:pPr>
        <w:pStyle w:val="a"/>
        <w:rPr>
          <w:noProof/>
        </w:rPr>
      </w:pPr>
      <w:r w:rsidRPr="00972C81">
        <w:rPr>
          <w:noProof/>
        </w:rPr>
        <w:t>For all ages, the removal half-time from Liver 0 is 15 d; 2% goes to the contents of the small intestine and 98% to Liver 1.</w:t>
      </w:r>
    </w:p>
    <w:p w14:paraId="406F50ED" w14:textId="77777777" w:rsidR="0066789F" w:rsidRPr="00972C81" w:rsidRDefault="0066789F" w:rsidP="00497AFB">
      <w:pPr>
        <w:pStyle w:val="a"/>
        <w:rPr>
          <w:noProof/>
        </w:rPr>
      </w:pPr>
      <w:r w:rsidRPr="00972C81">
        <w:rPr>
          <w:noProof/>
        </w:rPr>
        <w:t>For all ages, the removal half-time from Liver 1 is 1 year; 80% goes to Blood 2 and 20% to Liver 2.</w:t>
      </w:r>
    </w:p>
    <w:p w14:paraId="09806BC4" w14:textId="77777777" w:rsidR="0066789F" w:rsidRPr="00972C81" w:rsidRDefault="0066789F" w:rsidP="00497AFB">
      <w:pPr>
        <w:pStyle w:val="a"/>
        <w:rPr>
          <w:noProof/>
        </w:rPr>
      </w:pPr>
      <w:r w:rsidRPr="00972C81">
        <w:rPr>
          <w:noProof/>
        </w:rPr>
        <w:lastRenderedPageBreak/>
        <w:t>For all ages, the removal half-time from Liver 2 to Blood 2 is 15 years.</w:t>
      </w:r>
    </w:p>
    <w:p w14:paraId="1EB3059D" w14:textId="77777777" w:rsidR="0066789F" w:rsidRDefault="0066789F" w:rsidP="00497AFB">
      <w:pPr>
        <w:pStyle w:val="a"/>
        <w:rPr>
          <w:noProof/>
        </w:rPr>
      </w:pPr>
      <w:r w:rsidRPr="00972C81">
        <w:rPr>
          <w:noProof/>
        </w:rPr>
        <w:t>For all ages, 1.5% of Pu leaving the circulation goes to the contents of the upper large intestine.</w:t>
      </w:r>
    </w:p>
    <w:p w14:paraId="2D1A88FC" w14:textId="77777777" w:rsidR="0021254F" w:rsidRPr="00972C81" w:rsidRDefault="0021254F" w:rsidP="0021254F">
      <w:pPr>
        <w:pStyle w:val="a"/>
        <w:numPr>
          <w:ilvl w:val="0"/>
          <w:numId w:val="0"/>
        </w:numPr>
        <w:ind w:left="624"/>
        <w:rPr>
          <w:noProof/>
        </w:rPr>
      </w:pPr>
    </w:p>
    <w:p w14:paraId="43D9A2F4" w14:textId="7A19AF6C" w:rsidR="0066789F" w:rsidRPr="00972C81" w:rsidRDefault="007D7BA2" w:rsidP="00C47F2F">
      <w:pPr>
        <w:pStyle w:val="5"/>
        <w:spacing w:before="240" w:after="240"/>
        <w:ind w:left="357" w:hanging="357"/>
        <w:rPr>
          <w:noProof/>
        </w:rPr>
      </w:pPr>
      <w:r w:rsidRPr="00972C81">
        <w:rPr>
          <w:noProof/>
        </w:rPr>
        <w:t>Bone</w:t>
      </w:r>
    </w:p>
    <w:p w14:paraId="58BDCB68" w14:textId="0F4D3DBD" w:rsidR="0066789F" w:rsidRDefault="0066789F" w:rsidP="001C4A92">
      <w:pPr>
        <w:pStyle w:val="Annalstext"/>
        <w:rPr>
          <w:noProof/>
        </w:rPr>
      </w:pPr>
      <w:r w:rsidRPr="00972C81">
        <w:rPr>
          <w:noProof/>
        </w:rPr>
        <w:t>It is assumed that:</w:t>
      </w:r>
    </w:p>
    <w:p w14:paraId="043139F0" w14:textId="77777777" w:rsidR="0066789F" w:rsidRPr="00972C81" w:rsidRDefault="0066789F" w:rsidP="00497AFB">
      <w:pPr>
        <w:pStyle w:val="a"/>
        <w:rPr>
          <w:noProof/>
        </w:rPr>
      </w:pPr>
      <w:r w:rsidRPr="00972C81">
        <w:rPr>
          <w:noProof/>
        </w:rPr>
        <w:t>Age-specific: 30% of Pu leaving circulation deposits in bone; 18% goes to trabecular bone and 12% to cortical bone.</w:t>
      </w:r>
    </w:p>
    <w:p w14:paraId="6F8867E7" w14:textId="77777777" w:rsidR="0066789F" w:rsidRPr="00972C81" w:rsidRDefault="0066789F" w:rsidP="00497AFB">
      <w:pPr>
        <w:pStyle w:val="a"/>
        <w:rPr>
          <w:noProof/>
        </w:rPr>
      </w:pPr>
      <w:r w:rsidRPr="00972C81">
        <w:rPr>
          <w:noProof/>
        </w:rPr>
        <w:t>90% of the trabecular deposit and 95% of the cortical deposit is on bone surface, with the remainder entering bone volume by depositing in bone-forming sites. These values are applied to all age groups.</w:t>
      </w:r>
    </w:p>
    <w:p w14:paraId="5F070034" w14:textId="466BCB47" w:rsidR="0066789F" w:rsidRPr="00972C81" w:rsidRDefault="0066789F" w:rsidP="00497AFB">
      <w:pPr>
        <w:pStyle w:val="a"/>
        <w:rPr>
          <w:noProof/>
        </w:rPr>
      </w:pPr>
      <w:r w:rsidRPr="00972C81">
        <w:rPr>
          <w:noProof/>
        </w:rPr>
        <w:t xml:space="preserve">Transfer from cortical or trabecular bone surface or volume to cortical marrow is the reference rate of bone remodeling </w:t>
      </w:r>
      <w:r w:rsidR="007D7BA2" w:rsidRPr="00972C81">
        <w:rPr>
          <w:noProof/>
        </w:rPr>
        <w:fldChar w:fldCharType="begin"/>
      </w:r>
      <w:r w:rsidR="007A033C" w:rsidRPr="00972C81">
        <w:rPr>
          <w:noProof/>
        </w:rPr>
        <w:instrText xml:space="preserve"> ADDIN ZOTERO_ITEM CSL_CITATION {"citationID":"albt56hkvc","properties":{"formattedCitation":"(ICRP,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7D7BA2" w:rsidRPr="00972C81">
        <w:rPr>
          <w:noProof/>
        </w:rPr>
        <w:fldChar w:fldCharType="separate"/>
      </w:r>
      <w:r w:rsidR="007A033C" w:rsidRPr="00972C81">
        <w:rPr>
          <w:noProof/>
        </w:rPr>
        <w:t>(ICRP, 2002)</w:t>
      </w:r>
      <w:r w:rsidR="007D7BA2" w:rsidRPr="00972C81">
        <w:rPr>
          <w:noProof/>
        </w:rPr>
        <w:fldChar w:fldCharType="end"/>
      </w:r>
      <w:r w:rsidRPr="00972C81">
        <w:rPr>
          <w:noProof/>
        </w:rPr>
        <w:t xml:space="preserve">, which varies with age for both bone types </w:t>
      </w:r>
      <w:r w:rsidR="007D7BA2" w:rsidRPr="00972C81">
        <w:rPr>
          <w:noProof/>
        </w:rPr>
        <w:fldChar w:fldCharType="begin"/>
      </w:r>
      <w:r w:rsidR="007A033C" w:rsidRPr="00972C81">
        <w:rPr>
          <w:noProof/>
        </w:rPr>
        <w:instrText xml:space="preserve"> ADDIN ZOTERO_ITEM CSL_CITATION {"citationID":"KO8uWsDB","properties":{"formattedCitation":"(ICRP, 2002)","plainCitation":"(ICRP, 2002)","noteIndex":0},"citationItems":[{"id":2562,"uris":["http://zotero.org/groups/2470620/items/SDYJVSEB"],"itemData":{"id":2562,"type":"article-journal","container-title":"Annals of the ICRP","issue":"3-4","journalAbbreviation":"Ann. ICRP","language":"en","title":"Basic anatomical and physiological data for use in radiological protection: reference values. ICRP Publication 89","volume":"32","author":[{"family":"ICRP","given":""}],"issued":{"date-parts":[["2002"]]}}}],"schema":"https://github.com/citation-style-language/schema/raw/master/csl-citation.json"} </w:instrText>
      </w:r>
      <w:r w:rsidR="007D7BA2" w:rsidRPr="00972C81">
        <w:rPr>
          <w:noProof/>
        </w:rPr>
        <w:fldChar w:fldCharType="separate"/>
      </w:r>
      <w:r w:rsidR="007A033C" w:rsidRPr="00972C81">
        <w:rPr>
          <w:noProof/>
        </w:rPr>
        <w:t>(ICRP, 2002)</w:t>
      </w:r>
      <w:r w:rsidR="007D7BA2" w:rsidRPr="00972C81">
        <w:rPr>
          <w:noProof/>
        </w:rPr>
        <w:fldChar w:fldCharType="end"/>
      </w:r>
      <w:r w:rsidRPr="00972C81">
        <w:rPr>
          <w:noProof/>
        </w:rPr>
        <w:t xml:space="preserve">.  </w:t>
      </w:r>
    </w:p>
    <w:p w14:paraId="2A9FAB53" w14:textId="77777777" w:rsidR="0066789F" w:rsidRPr="00972C81" w:rsidRDefault="0066789F" w:rsidP="00497AFB">
      <w:pPr>
        <w:pStyle w:val="a"/>
        <w:rPr>
          <w:noProof/>
        </w:rPr>
      </w:pPr>
      <w:r w:rsidRPr="00972C81">
        <w:rPr>
          <w:noProof/>
        </w:rPr>
        <w:t>The burial rate of surface Pu is one-fourth the reference rate of bone remodeling for both bone types.</w:t>
      </w:r>
    </w:p>
    <w:p w14:paraId="4A7C6039" w14:textId="77777777" w:rsidR="0066789F" w:rsidRDefault="0066789F" w:rsidP="00497AFB">
      <w:pPr>
        <w:pStyle w:val="a"/>
        <w:rPr>
          <w:noProof/>
        </w:rPr>
      </w:pPr>
      <w:r w:rsidRPr="00972C81">
        <w:rPr>
          <w:noProof/>
        </w:rPr>
        <w:t>The removal half-time from bone marrow to Blood 2 is 0.25 y.</w:t>
      </w:r>
    </w:p>
    <w:p w14:paraId="124444E7" w14:textId="77777777" w:rsidR="0021254F" w:rsidRPr="00972C81" w:rsidRDefault="0021254F" w:rsidP="0021254F">
      <w:pPr>
        <w:pStyle w:val="a"/>
        <w:numPr>
          <w:ilvl w:val="0"/>
          <w:numId w:val="0"/>
        </w:numPr>
        <w:ind w:left="624"/>
        <w:rPr>
          <w:noProof/>
        </w:rPr>
      </w:pPr>
    </w:p>
    <w:p w14:paraId="105A1D19" w14:textId="450495C8" w:rsidR="0066789F" w:rsidRPr="00C47F2F" w:rsidRDefault="007D7BA2" w:rsidP="00C47F2F">
      <w:pPr>
        <w:pStyle w:val="5"/>
        <w:spacing w:before="240" w:after="240"/>
        <w:ind w:left="357" w:hanging="357"/>
        <w:rPr>
          <w:noProof/>
        </w:rPr>
      </w:pPr>
      <w:r w:rsidRPr="00972C81">
        <w:rPr>
          <w:noProof/>
        </w:rPr>
        <w:t>Kidneys and urinary excretion</w:t>
      </w:r>
    </w:p>
    <w:p w14:paraId="6561C9E4" w14:textId="5EDDA1EE" w:rsidR="0066789F" w:rsidRPr="00A17609" w:rsidRDefault="0066789F" w:rsidP="00A17609">
      <w:pPr>
        <w:pStyle w:val="Annalstext"/>
        <w:rPr>
          <w:noProof/>
          <w:vanish/>
          <w:szCs w:val="24"/>
        </w:rPr>
      </w:pPr>
      <w:r w:rsidRPr="00C47F2F">
        <w:rPr>
          <w:rFonts w:ascii="Times Roman" w:hAnsi="Times Roman"/>
          <w:noProof/>
          <w:color w:val="000000" w:themeColor="text1"/>
          <w:szCs w:val="24"/>
        </w:rPr>
        <w:t>The model of Publication 67 includes a transfer from the intermediate-term soft-tissue</w:t>
      </w:r>
      <w:r w:rsidRPr="00972C81">
        <w:rPr>
          <w:noProof/>
        </w:rPr>
        <w:t xml:space="preserve"> compartment, ST1, to the urinary path. This transfer was used to model an increase with time in daily urinary clearance of circulating Pu, as observed in human injection studies. In the present model a blood compartment called Blood 2 is used to model a change with time in urinary clearance of circulating Pu. Plutonium that returns to blood from all systemic compartments except the rapid-turnover soft-tissue compartment ST0 is assumed to be cleared to the urinary bladder content at a higher rate than was the initial input of Pu to blood. It is assumed that:</w:t>
      </w:r>
    </w:p>
    <w:p w14:paraId="5729F513" w14:textId="77777777" w:rsidR="0066789F" w:rsidRPr="00972C81" w:rsidRDefault="0066789F" w:rsidP="00E81109">
      <w:pPr>
        <w:pStyle w:val="a"/>
        <w:rPr>
          <w:noProof/>
        </w:rPr>
      </w:pPr>
      <w:r w:rsidRPr="00972C81">
        <w:rPr>
          <w:noProof/>
        </w:rPr>
        <w:t>2% of Pu leaving Blood 1 goes directly to the urinary bladder contents.</w:t>
      </w:r>
    </w:p>
    <w:p w14:paraId="7FABC74B" w14:textId="3EF831D9" w:rsidR="0066789F" w:rsidRPr="00972C81" w:rsidRDefault="0066789F" w:rsidP="00497AFB">
      <w:pPr>
        <w:pStyle w:val="a"/>
        <w:rPr>
          <w:noProof/>
        </w:rPr>
      </w:pPr>
      <w:r w:rsidRPr="00972C81">
        <w:rPr>
          <w:noProof/>
        </w:rPr>
        <w:t>1% of Pu leaving Blood 1 goes to kidneys (Renal tubules in</w:t>
      </w:r>
      <w:r w:rsidR="007D7BA2" w:rsidRPr="00972C81">
        <w:rPr>
          <w:noProof/>
        </w:rPr>
        <w:t xml:space="preserve"> </w:t>
      </w:r>
      <w:r w:rsidR="007D7BA2" w:rsidRPr="00972C81">
        <w:rPr>
          <w:noProof/>
        </w:rPr>
        <w:fldChar w:fldCharType="begin"/>
      </w:r>
      <w:r w:rsidR="007D7BA2" w:rsidRPr="00972C81">
        <w:rPr>
          <w:noProof/>
        </w:rPr>
        <w:instrText xml:space="preserve"> REF _Ref143685169 \h </w:instrText>
      </w:r>
      <w:r w:rsidR="007D7BA2" w:rsidRPr="00972C81">
        <w:rPr>
          <w:noProof/>
        </w:rPr>
      </w:r>
      <w:r w:rsidR="007D7BA2" w:rsidRPr="00972C81">
        <w:rPr>
          <w:noProof/>
        </w:rPr>
        <w:fldChar w:fldCharType="separate"/>
      </w:r>
      <w:r w:rsidR="00A41AD1" w:rsidRPr="00972C81">
        <w:rPr>
          <w:noProof/>
        </w:rPr>
        <w:t xml:space="preserve">Fig </w:t>
      </w:r>
      <w:r w:rsidR="00A41AD1">
        <w:rPr>
          <w:noProof/>
        </w:rPr>
        <w:t>22</w:t>
      </w:r>
      <w:r w:rsidR="00A41AD1" w:rsidRPr="00972C81">
        <w:rPr>
          <w:noProof/>
        </w:rPr>
        <w:t>.</w:t>
      </w:r>
      <w:r w:rsidR="00A41AD1">
        <w:rPr>
          <w:noProof/>
        </w:rPr>
        <w:t>1</w:t>
      </w:r>
      <w:r w:rsidR="007D7BA2" w:rsidRPr="00972C81">
        <w:rPr>
          <w:noProof/>
        </w:rPr>
        <w:fldChar w:fldCharType="end"/>
      </w:r>
      <w:r w:rsidRPr="00972C81">
        <w:rPr>
          <w:noProof/>
        </w:rPr>
        <w:t>) and is removed to the bladder contents with T</w:t>
      </w:r>
      <w:r w:rsidRPr="00972C81">
        <w:rPr>
          <w:noProof/>
          <w:vertAlign w:val="subscript"/>
        </w:rPr>
        <w:t>1/2</w:t>
      </w:r>
      <w:r w:rsidRPr="00972C81">
        <w:rPr>
          <w:noProof/>
        </w:rPr>
        <w:t xml:space="preserve"> = 40 d.</w:t>
      </w:r>
    </w:p>
    <w:p w14:paraId="7C098FF0" w14:textId="77777777" w:rsidR="0066789F" w:rsidRDefault="0066789F" w:rsidP="00497AFB">
      <w:pPr>
        <w:pStyle w:val="a"/>
        <w:rPr>
          <w:noProof/>
        </w:rPr>
      </w:pPr>
      <w:r w:rsidRPr="00972C81">
        <w:rPr>
          <w:noProof/>
        </w:rPr>
        <w:t>0.05% of Pu leaving Blood 1 goes to a long-term kidney compartment (Other kidney) from which it is removed to Blood 2 with a half-time of 15 y.</w:t>
      </w:r>
    </w:p>
    <w:p w14:paraId="2B70DC58" w14:textId="77777777" w:rsidR="00A17609" w:rsidRDefault="00A17609" w:rsidP="00C47F2F">
      <w:pPr>
        <w:pStyle w:val="a"/>
        <w:numPr>
          <w:ilvl w:val="0"/>
          <w:numId w:val="0"/>
        </w:numPr>
        <w:ind w:left="624" w:hanging="340"/>
        <w:rPr>
          <w:noProof/>
        </w:rPr>
      </w:pPr>
    </w:p>
    <w:p w14:paraId="15E3E898" w14:textId="1F29E01E" w:rsidR="0066789F" w:rsidRPr="00972C81" w:rsidRDefault="0066789F" w:rsidP="001C4A92">
      <w:pPr>
        <w:pStyle w:val="Annalstext"/>
        <w:rPr>
          <w:noProof/>
        </w:rPr>
      </w:pPr>
      <w:r w:rsidRPr="00972C81">
        <w:rPr>
          <w:noProof/>
        </w:rPr>
        <w:t xml:space="preserve">As described earlier, 3.5% of Pu leaving Blood 2 (recycled Pu) goes directly to urinary bladder contents. Blood 2 also feeds the urinary bladder contents indirectly, since most of the activity leaving Blood 2 goes to Blood 1. </w:t>
      </w:r>
    </w:p>
    <w:p w14:paraId="1951E17E" w14:textId="10F8B1E2" w:rsidR="0066789F" w:rsidRPr="00972C81" w:rsidRDefault="007D7BA2" w:rsidP="00C47F2F">
      <w:pPr>
        <w:pStyle w:val="5"/>
        <w:spacing w:before="240" w:after="240"/>
        <w:ind w:left="357" w:hanging="357"/>
        <w:rPr>
          <w:noProof/>
        </w:rPr>
      </w:pPr>
      <w:r w:rsidRPr="00972C81">
        <w:rPr>
          <w:noProof/>
        </w:rPr>
        <w:t>Gonads</w:t>
      </w:r>
    </w:p>
    <w:p w14:paraId="47D85BE2" w14:textId="75445684" w:rsidR="0066789F" w:rsidRPr="00972C81" w:rsidRDefault="0066789F" w:rsidP="001C4A92">
      <w:pPr>
        <w:pStyle w:val="Annalstext"/>
        <w:rPr>
          <w:noProof/>
        </w:rPr>
      </w:pPr>
      <w:r w:rsidRPr="00972C81">
        <w:rPr>
          <w:noProof/>
        </w:rPr>
        <w:t xml:space="preserve">Deposition fractions for the testes and ovaries are the same as used in the Pu model of </w:t>
      </w:r>
      <w:r w:rsidRPr="00972C81">
        <w:rPr>
          <w:i/>
          <w:noProof/>
        </w:rPr>
        <w:t>Publication 67</w:t>
      </w:r>
      <w:r w:rsidRPr="00972C81">
        <w:rPr>
          <w:noProof/>
        </w:rPr>
        <w:t>, but the removal half-time from gonads is reduced from 10 y to 5 y based on comparisons of model predictions with updated information for workers and laboratory animals:</w:t>
      </w:r>
    </w:p>
    <w:p w14:paraId="5249D494" w14:textId="77777777" w:rsidR="0066789F" w:rsidRPr="00972C81" w:rsidRDefault="0066789F" w:rsidP="00497AFB">
      <w:pPr>
        <w:pStyle w:val="a"/>
        <w:rPr>
          <w:noProof/>
        </w:rPr>
      </w:pPr>
      <w:r w:rsidRPr="00972C81">
        <w:rPr>
          <w:noProof/>
        </w:rPr>
        <w:t>0.035% of Pu leaving the circulation deposits in the testes.</w:t>
      </w:r>
    </w:p>
    <w:p w14:paraId="756D05AF" w14:textId="77777777" w:rsidR="0066789F" w:rsidRPr="00972C81" w:rsidRDefault="0066789F" w:rsidP="00497AFB">
      <w:pPr>
        <w:pStyle w:val="a"/>
        <w:rPr>
          <w:noProof/>
        </w:rPr>
      </w:pPr>
      <w:r w:rsidRPr="00972C81">
        <w:rPr>
          <w:noProof/>
        </w:rPr>
        <w:lastRenderedPageBreak/>
        <w:t>0.011% of Pu leaving the circulation deposits in the ovaries.</w:t>
      </w:r>
    </w:p>
    <w:p w14:paraId="727FF532" w14:textId="77777777" w:rsidR="0066789F" w:rsidRDefault="0066789F" w:rsidP="00497AFB">
      <w:pPr>
        <w:pStyle w:val="a"/>
        <w:rPr>
          <w:noProof/>
        </w:rPr>
      </w:pPr>
      <w:r w:rsidRPr="00972C81">
        <w:rPr>
          <w:noProof/>
        </w:rPr>
        <w:t>The removal half-time from gonads to Blood 2 is 5 years.</w:t>
      </w:r>
    </w:p>
    <w:p w14:paraId="0253787C" w14:textId="77777777" w:rsidR="0021254F" w:rsidRPr="00972C81" w:rsidRDefault="0021254F" w:rsidP="0021254F">
      <w:pPr>
        <w:pStyle w:val="a"/>
        <w:numPr>
          <w:ilvl w:val="0"/>
          <w:numId w:val="0"/>
        </w:numPr>
        <w:ind w:left="624"/>
        <w:rPr>
          <w:noProof/>
        </w:rPr>
      </w:pPr>
    </w:p>
    <w:p w14:paraId="2296AD8F" w14:textId="2FCCE506" w:rsidR="0066789F" w:rsidRPr="00972C81" w:rsidRDefault="007D7BA2" w:rsidP="00C47F2F">
      <w:pPr>
        <w:pStyle w:val="5"/>
        <w:spacing w:before="240" w:after="240"/>
        <w:ind w:left="357" w:hanging="357"/>
        <w:rPr>
          <w:noProof/>
        </w:rPr>
      </w:pPr>
      <w:r w:rsidRPr="00972C81">
        <w:rPr>
          <w:noProof/>
        </w:rPr>
        <w:t>Other soft tissues</w:t>
      </w:r>
    </w:p>
    <w:p w14:paraId="098CF8DB" w14:textId="77777777" w:rsidR="0066789F" w:rsidRPr="00972C81" w:rsidRDefault="0066789F" w:rsidP="001C4A92">
      <w:pPr>
        <w:pStyle w:val="Annalstext"/>
        <w:rPr>
          <w:noProof/>
        </w:rPr>
      </w:pPr>
      <w:r w:rsidRPr="00972C81">
        <w:rPr>
          <w:noProof/>
        </w:rPr>
        <w:t xml:space="preserve">Parameter values for ST0 were given earlier.  For ST1 and ST2 it is assumed that: </w:t>
      </w:r>
    </w:p>
    <w:p w14:paraId="00339BFD" w14:textId="77777777" w:rsidR="0066789F" w:rsidRPr="00972C81" w:rsidRDefault="0066789F" w:rsidP="00497AFB">
      <w:pPr>
        <w:pStyle w:val="a"/>
        <w:rPr>
          <w:noProof/>
        </w:rPr>
      </w:pPr>
      <w:r w:rsidRPr="00972C81">
        <w:rPr>
          <w:noProof/>
        </w:rPr>
        <w:t>3% of Pu leaving the circulation goes to ST2.</w:t>
      </w:r>
    </w:p>
    <w:p w14:paraId="56F3F5C0" w14:textId="77777777" w:rsidR="0066789F" w:rsidRPr="00972C81" w:rsidRDefault="0066789F" w:rsidP="00497AFB">
      <w:pPr>
        <w:pStyle w:val="a"/>
        <w:rPr>
          <w:rFonts w:ascii="Arial" w:hAnsi="Arial" w:cs="Arial"/>
          <w:noProof/>
          <w:color w:val="000066"/>
          <w:sz w:val="28"/>
        </w:rPr>
      </w:pPr>
      <w:r w:rsidRPr="00972C81">
        <w:rPr>
          <w:noProof/>
        </w:rPr>
        <w:t>The removal half-time from ST2 to Blood 2 is 15 y.</w:t>
      </w:r>
    </w:p>
    <w:p w14:paraId="6827B378" w14:textId="77777777" w:rsidR="0066789F" w:rsidRPr="00972C81" w:rsidRDefault="0066789F" w:rsidP="00497AFB">
      <w:pPr>
        <w:pStyle w:val="a"/>
        <w:rPr>
          <w:rFonts w:ascii="Arial" w:hAnsi="Arial" w:cs="Arial"/>
          <w:noProof/>
          <w:color w:val="000066"/>
          <w:sz w:val="28"/>
        </w:rPr>
      </w:pPr>
      <w:r w:rsidRPr="00972C81">
        <w:rPr>
          <w:noProof/>
        </w:rPr>
        <w:t xml:space="preserve">The balance of Pu leaving the circulation (2.404%, after assignment of all other deposition fractions) goes to ST1.  </w:t>
      </w:r>
    </w:p>
    <w:p w14:paraId="561D0053" w14:textId="77777777" w:rsidR="0066789F" w:rsidRPr="00C47F2F" w:rsidRDefault="0066789F" w:rsidP="00005A23">
      <w:pPr>
        <w:pStyle w:val="a"/>
        <w:rPr>
          <w:rFonts w:ascii="Arial" w:hAnsi="Arial" w:cs="Arial"/>
          <w:noProof/>
          <w:color w:val="000066"/>
          <w:sz w:val="28"/>
        </w:rPr>
      </w:pPr>
      <w:r w:rsidRPr="00972C81">
        <w:rPr>
          <w:noProof/>
        </w:rPr>
        <w:t>The removal half-time from ST1 to Blood 2 is 500 d.</w:t>
      </w:r>
    </w:p>
    <w:p w14:paraId="21822B72" w14:textId="77777777" w:rsidR="00005A23" w:rsidRPr="00C47F2F" w:rsidRDefault="00005A23" w:rsidP="00C47F2F">
      <w:pPr>
        <w:pStyle w:val="a"/>
        <w:numPr>
          <w:ilvl w:val="0"/>
          <w:numId w:val="0"/>
        </w:numPr>
        <w:ind w:left="624"/>
        <w:rPr>
          <w:rFonts w:ascii="Times New Roman" w:hAnsi="Times New Roman"/>
          <w:noProof/>
          <w:color w:val="000066"/>
        </w:rPr>
      </w:pPr>
    </w:p>
    <w:p w14:paraId="38CCB4A8" w14:textId="627ADA50" w:rsidR="0066789F" w:rsidRPr="00C47F2F" w:rsidRDefault="0066789F" w:rsidP="001C4A92">
      <w:pPr>
        <w:pStyle w:val="Annalstext"/>
        <w:rPr>
          <w:rFonts w:eastAsia="Calibri"/>
          <w:noProof/>
        </w:rPr>
      </w:pPr>
      <w:r w:rsidRPr="00972C81">
        <w:rPr>
          <w:rFonts w:eastAsia="Calibri"/>
          <w:noProof/>
        </w:rPr>
        <w:t xml:space="preserve">The extension of transfer coefficients from mature adults to preadult ages is based on assumptions similar to those applied in </w:t>
      </w:r>
      <w:r w:rsidRPr="00972C81">
        <w:rPr>
          <w:i/>
          <w:noProof/>
        </w:rPr>
        <w:t>Publication 67</w:t>
      </w:r>
      <w:r w:rsidRPr="00972C81">
        <w:rPr>
          <w:rFonts w:eastAsia="Calibri"/>
          <w:noProof/>
        </w:rPr>
        <w:t xml:space="preserve">. These assumptions reflect the pattern of change with age in plutonium kinetics observed in laboratory animals, including elevated uptake of plutonium and decreased uptake by liver at preadult ages, compared with adult values. The assumptions that the deposition in the gonads represents 0.001% of outflow from blood per gram of tissue is carried over to preadult ages, resulting in lower deposition fractions in gonads at preadult ages due to relatively smaller masses of sex organs. The generic bone model for bone-surface-seeking radionuclides is applied to plutonium depositing in bone, resulting in faster turnover of the bone deposit at preadult ages due to higher bone turnover rates than in adults. For all ages, bone surface and liver are assumed to receive 90% of plutonium leaving the circulation. </w:t>
      </w:r>
    </w:p>
    <w:p w14:paraId="33DB9991" w14:textId="77777777" w:rsidR="0011465C" w:rsidRPr="00972C81" w:rsidRDefault="0011465C" w:rsidP="00C47F2F">
      <w:pPr>
        <w:pStyle w:val="Annalstext"/>
        <w:numPr>
          <w:ilvl w:val="0"/>
          <w:numId w:val="0"/>
        </w:numPr>
        <w:ind w:firstLine="284"/>
        <w:rPr>
          <w:rFonts w:eastAsia="Calibri"/>
          <w:noProof/>
        </w:rPr>
      </w:pPr>
    </w:p>
    <w:p w14:paraId="6B0E3860" w14:textId="4B5D1843" w:rsidR="0011465C" w:rsidRPr="00972C81" w:rsidRDefault="00F103A8" w:rsidP="0011465C">
      <w:pPr>
        <w:jc w:val="center"/>
        <w:rPr>
          <w:noProof/>
        </w:rPr>
      </w:pPr>
      <w:r>
        <w:rPr>
          <w:noProof/>
        </w:rPr>
        <w:drawing>
          <wp:inline distT="0" distB="0" distL="0" distR="0" wp14:anchorId="4D78AC37" wp14:editId="4DDFB782">
            <wp:extent cx="4485736" cy="3453567"/>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3"/>
                    <a:stretch>
                      <a:fillRect/>
                    </a:stretch>
                  </pic:blipFill>
                  <pic:spPr>
                    <a:xfrm>
                      <a:off x="0" y="0"/>
                      <a:ext cx="4496404" cy="3461780"/>
                    </a:xfrm>
                    <a:prstGeom prst="rect">
                      <a:avLst/>
                    </a:prstGeom>
                  </pic:spPr>
                </pic:pic>
              </a:graphicData>
            </a:graphic>
          </wp:inline>
        </w:drawing>
      </w:r>
    </w:p>
    <w:p w14:paraId="1B95B90F" w14:textId="1D5743C8" w:rsidR="0011465C" w:rsidRPr="00C47F2F" w:rsidRDefault="0011465C" w:rsidP="0011465C">
      <w:pPr>
        <w:pStyle w:val="ab"/>
        <w:rPr>
          <w:noProof/>
          <w:sz w:val="24"/>
          <w:szCs w:val="24"/>
        </w:rPr>
      </w:pPr>
      <w:r w:rsidRPr="00C47F2F">
        <w:rPr>
          <w:noProof/>
          <w:sz w:val="24"/>
          <w:szCs w:val="24"/>
        </w:rPr>
        <w:t xml:space="preserve">Fig </w:t>
      </w:r>
      <w:r w:rsidRPr="00C47F2F">
        <w:rPr>
          <w:noProof/>
          <w:sz w:val="24"/>
          <w:szCs w:val="24"/>
        </w:rPr>
        <w:fldChar w:fldCharType="begin"/>
      </w:r>
      <w:r w:rsidRPr="00C47F2F">
        <w:rPr>
          <w:noProof/>
          <w:sz w:val="24"/>
          <w:szCs w:val="24"/>
        </w:rPr>
        <w:instrText xml:space="preserve"> STYLEREF 1 \s </w:instrText>
      </w:r>
      <w:r w:rsidRPr="00C47F2F">
        <w:rPr>
          <w:noProof/>
          <w:sz w:val="24"/>
          <w:szCs w:val="24"/>
        </w:rPr>
        <w:fldChar w:fldCharType="separate"/>
      </w:r>
      <w:r w:rsidRPr="00C47F2F">
        <w:rPr>
          <w:noProof/>
          <w:sz w:val="24"/>
          <w:szCs w:val="24"/>
        </w:rPr>
        <w:t>22</w:t>
      </w:r>
      <w:r w:rsidRPr="00C47F2F">
        <w:rPr>
          <w:noProof/>
          <w:sz w:val="24"/>
          <w:szCs w:val="24"/>
        </w:rPr>
        <w:fldChar w:fldCharType="end"/>
      </w:r>
      <w:r w:rsidRPr="00C47F2F">
        <w:rPr>
          <w:noProof/>
          <w:sz w:val="24"/>
          <w:szCs w:val="24"/>
        </w:rPr>
        <w:t>.</w:t>
      </w:r>
      <w:r w:rsidRPr="00C47F2F">
        <w:rPr>
          <w:noProof/>
          <w:sz w:val="24"/>
          <w:szCs w:val="24"/>
        </w:rPr>
        <w:fldChar w:fldCharType="begin"/>
      </w:r>
      <w:r w:rsidRPr="00C47F2F">
        <w:rPr>
          <w:noProof/>
          <w:sz w:val="24"/>
          <w:szCs w:val="24"/>
        </w:rPr>
        <w:instrText xml:space="preserve"> SEQ Figure \* ARABIC \s 1 </w:instrText>
      </w:r>
      <w:r w:rsidRPr="00C47F2F">
        <w:rPr>
          <w:noProof/>
          <w:sz w:val="24"/>
          <w:szCs w:val="24"/>
        </w:rPr>
        <w:fldChar w:fldCharType="separate"/>
      </w:r>
      <w:r w:rsidRPr="00C47F2F">
        <w:rPr>
          <w:noProof/>
          <w:sz w:val="24"/>
          <w:szCs w:val="24"/>
        </w:rPr>
        <w:t>1</w:t>
      </w:r>
      <w:r w:rsidRPr="00C47F2F">
        <w:rPr>
          <w:noProof/>
          <w:sz w:val="24"/>
          <w:szCs w:val="24"/>
        </w:rPr>
        <w:fldChar w:fldCharType="end"/>
      </w:r>
      <w:r w:rsidRPr="00C47F2F">
        <w:rPr>
          <w:rFonts w:eastAsia="Times New Roman"/>
          <w:noProof/>
          <w:sz w:val="24"/>
          <w:szCs w:val="24"/>
        </w:rPr>
        <w:t>.</w:t>
      </w:r>
      <w:r w:rsidRPr="00C47F2F">
        <w:rPr>
          <w:noProof/>
          <w:sz w:val="24"/>
          <w:szCs w:val="24"/>
        </w:rPr>
        <w:t xml:space="preserve"> Structure of the model for systemic plutonium.</w:t>
      </w:r>
      <w:r w:rsidR="00F103A8" w:rsidRPr="00F103A8">
        <w:rPr>
          <w:noProof/>
        </w:rPr>
        <w:t xml:space="preserve"> </w:t>
      </w:r>
      <w:r w:rsidR="00F103A8">
        <w:rPr>
          <w:noProof/>
        </w:rPr>
        <w:t xml:space="preserve"> SI = Small intestine, RC = Right colon, LC =Left colon, RS = rectosigmoid colon.</w:t>
      </w:r>
    </w:p>
    <w:p w14:paraId="05D8F9AE" w14:textId="77777777" w:rsidR="0011465C" w:rsidRPr="00C47F2F" w:rsidRDefault="0011465C" w:rsidP="00C47F2F">
      <w:pPr>
        <w:pStyle w:val="Annalstext"/>
        <w:numPr>
          <w:ilvl w:val="0"/>
          <w:numId w:val="0"/>
        </w:numPr>
        <w:ind w:firstLine="284"/>
        <w:rPr>
          <w:rFonts w:eastAsia="Calibri"/>
          <w:noProof/>
        </w:rPr>
      </w:pPr>
    </w:p>
    <w:p w14:paraId="08A3909B" w14:textId="71B48463" w:rsidR="00A17609" w:rsidRPr="00A17609" w:rsidRDefault="0066789F" w:rsidP="00A17609">
      <w:pPr>
        <w:pStyle w:val="Annalstext"/>
        <w:rPr>
          <w:rFonts w:eastAsia="Calibri"/>
          <w:noProof/>
        </w:rPr>
      </w:pPr>
      <w:r w:rsidRPr="00A17609">
        <w:rPr>
          <w:rFonts w:eastAsia="Calibri"/>
          <w:noProof/>
        </w:rPr>
        <w:lastRenderedPageBreak/>
        <w:t xml:space="preserve">For adults it is assumed that trabecular bone receives 60% and cortical bone 40% of the amount depositing in bone. For pre-adults it is assumed that trabecular and cortical bone each receive 50% of the skeletal deposit. For all ages 90% of the trabecular deposit is assigned to bone surface and 10% to bone volume. For all ages, 95% of the trabecular deposit is assigned to bone surface and 5% to bone volume. </w:t>
      </w:r>
    </w:p>
    <w:p w14:paraId="1EE7E812" w14:textId="1D54AEAF" w:rsidR="0066789F" w:rsidRPr="00972C81" w:rsidRDefault="0066789F" w:rsidP="00A17609">
      <w:pPr>
        <w:pStyle w:val="Annalstext"/>
        <w:rPr>
          <w:rFonts w:eastAsia="Calibri"/>
          <w:noProof/>
        </w:rPr>
      </w:pPr>
      <w:r w:rsidRPr="00972C81">
        <w:rPr>
          <w:rFonts w:eastAsia="Calibri"/>
          <w:noProof/>
        </w:rPr>
        <w:t xml:space="preserve">Parameter values in the age-specific model for plutonium that vary with age are listed in </w:t>
      </w:r>
      <w:r w:rsidR="007D7BA2" w:rsidRPr="00972C81">
        <w:rPr>
          <w:rFonts w:eastAsia="Calibri"/>
          <w:noProof/>
        </w:rPr>
        <w:fldChar w:fldCharType="begin"/>
      </w:r>
      <w:r w:rsidR="007D7BA2" w:rsidRPr="00972C81">
        <w:rPr>
          <w:rFonts w:eastAsia="Calibri"/>
          <w:noProof/>
        </w:rPr>
        <w:instrText xml:space="preserve"> REF _Ref143685849 \h </w:instrText>
      </w:r>
      <w:r w:rsidR="007D7BA2" w:rsidRPr="00972C81">
        <w:rPr>
          <w:rFonts w:eastAsia="Calibri"/>
          <w:noProof/>
        </w:rPr>
      </w:r>
      <w:r w:rsidR="007D7BA2" w:rsidRPr="00972C81">
        <w:rPr>
          <w:rFonts w:eastAsia="Calibri"/>
          <w:noProof/>
        </w:rPr>
        <w:fldChar w:fldCharType="separate"/>
      </w:r>
      <w:r w:rsidR="00A41AD1" w:rsidRPr="00972C81">
        <w:rPr>
          <w:noProof/>
        </w:rPr>
        <w:t xml:space="preserve">Table </w:t>
      </w:r>
      <w:r w:rsidR="00A41AD1">
        <w:rPr>
          <w:noProof/>
        </w:rPr>
        <w:t>22</w:t>
      </w:r>
      <w:r w:rsidR="00A41AD1" w:rsidRPr="00972C81">
        <w:rPr>
          <w:noProof/>
        </w:rPr>
        <w:t>.</w:t>
      </w:r>
      <w:r w:rsidR="00A41AD1">
        <w:rPr>
          <w:noProof/>
        </w:rPr>
        <w:t>2</w:t>
      </w:r>
      <w:r w:rsidR="007D7BA2" w:rsidRPr="00972C81">
        <w:rPr>
          <w:rFonts w:eastAsia="Calibri"/>
          <w:noProof/>
        </w:rPr>
        <w:fldChar w:fldCharType="end"/>
      </w:r>
      <w:r w:rsidRPr="00972C81">
        <w:rPr>
          <w:rFonts w:eastAsia="Calibri"/>
          <w:noProof/>
        </w:rPr>
        <w:t xml:space="preserve">. The full set of age-specific transfer coefficients in the model for Pu is given in </w:t>
      </w:r>
      <w:r w:rsidR="007D7BA2" w:rsidRPr="00972C81">
        <w:rPr>
          <w:rFonts w:eastAsia="Calibri"/>
          <w:noProof/>
        </w:rPr>
        <w:fldChar w:fldCharType="begin"/>
      </w:r>
      <w:r w:rsidR="007D7BA2" w:rsidRPr="00972C81">
        <w:rPr>
          <w:rFonts w:eastAsia="Calibri"/>
          <w:noProof/>
        </w:rPr>
        <w:instrText xml:space="preserve"> REF _Ref143685863 \h </w:instrText>
      </w:r>
      <w:r w:rsidR="007D7BA2" w:rsidRPr="00972C81">
        <w:rPr>
          <w:rFonts w:eastAsia="Calibri"/>
          <w:noProof/>
        </w:rPr>
      </w:r>
      <w:r w:rsidR="007D7BA2" w:rsidRPr="00972C81">
        <w:rPr>
          <w:rFonts w:eastAsia="Calibri"/>
          <w:noProof/>
        </w:rPr>
        <w:fldChar w:fldCharType="separate"/>
      </w:r>
      <w:r w:rsidR="00A41AD1" w:rsidRPr="00972C81">
        <w:rPr>
          <w:noProof/>
        </w:rPr>
        <w:t xml:space="preserve">Table </w:t>
      </w:r>
      <w:r w:rsidR="00A41AD1">
        <w:rPr>
          <w:noProof/>
        </w:rPr>
        <w:t>22</w:t>
      </w:r>
      <w:r w:rsidR="00A41AD1" w:rsidRPr="00972C81">
        <w:rPr>
          <w:noProof/>
        </w:rPr>
        <w:t>.</w:t>
      </w:r>
      <w:r w:rsidR="00A41AD1">
        <w:rPr>
          <w:noProof/>
        </w:rPr>
        <w:t>3</w:t>
      </w:r>
      <w:r w:rsidR="007D7BA2" w:rsidRPr="00972C81">
        <w:rPr>
          <w:rFonts w:eastAsia="Calibri"/>
          <w:noProof/>
        </w:rPr>
        <w:fldChar w:fldCharType="end"/>
      </w:r>
      <w:r w:rsidRPr="00972C81">
        <w:rPr>
          <w:rFonts w:eastAsia="Calibri"/>
          <w:noProof/>
        </w:rPr>
        <w:t>.</w:t>
      </w:r>
    </w:p>
    <w:p w14:paraId="32C0A176" w14:textId="77777777" w:rsidR="00AE7A83" w:rsidRPr="00972C81" w:rsidRDefault="00AE7A83" w:rsidP="001C4A92">
      <w:pPr>
        <w:pStyle w:val="MainTextPreference"/>
        <w:rPr>
          <w:noProof/>
        </w:rPr>
      </w:pPr>
    </w:p>
    <w:p w14:paraId="41299A27" w14:textId="07035B99" w:rsidR="00E17523" w:rsidRPr="00C47F2F" w:rsidRDefault="008A4789" w:rsidP="00E81109">
      <w:pPr>
        <w:pStyle w:val="ab"/>
        <w:rPr>
          <w:noProof/>
          <w:sz w:val="24"/>
          <w:szCs w:val="24"/>
        </w:rPr>
      </w:pPr>
      <w:bookmarkStart w:id="325" w:name="_Ref143685849"/>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22</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2</w:t>
      </w:r>
      <w:r w:rsidR="00EA3750" w:rsidRPr="00C47F2F">
        <w:rPr>
          <w:noProof/>
          <w:sz w:val="24"/>
          <w:szCs w:val="24"/>
        </w:rPr>
        <w:fldChar w:fldCharType="end"/>
      </w:r>
      <w:bookmarkEnd w:id="325"/>
      <w:r w:rsidRPr="00C47F2F">
        <w:rPr>
          <w:noProof/>
          <w:sz w:val="24"/>
          <w:szCs w:val="24"/>
        </w:rPr>
        <w:t>.</w:t>
      </w:r>
      <w:r w:rsidR="00EE285F" w:rsidRPr="00C47F2F">
        <w:rPr>
          <w:noProof/>
          <w:sz w:val="24"/>
          <w:szCs w:val="24"/>
        </w:rPr>
        <w:t xml:space="preserve"> Parameter values in the model for systemic plutonium that vary with age.</w:t>
      </w:r>
    </w:p>
    <w:tbl>
      <w:tblPr>
        <w:tblW w:w="5000" w:type="pct"/>
        <w:tblLayout w:type="fixed"/>
        <w:tblLook w:val="04A0" w:firstRow="1" w:lastRow="0" w:firstColumn="1" w:lastColumn="0" w:noHBand="0" w:noVBand="1"/>
      </w:tblPr>
      <w:tblGrid>
        <w:gridCol w:w="3423"/>
        <w:gridCol w:w="934"/>
        <w:gridCol w:w="934"/>
        <w:gridCol w:w="934"/>
        <w:gridCol w:w="934"/>
        <w:gridCol w:w="934"/>
        <w:gridCol w:w="934"/>
      </w:tblGrid>
      <w:tr w:rsidR="0066789F" w:rsidRPr="00972C81" w14:paraId="16F0507B" w14:textId="77777777" w:rsidTr="0021254F">
        <w:trPr>
          <w:trHeight w:val="397"/>
        </w:trPr>
        <w:tc>
          <w:tcPr>
            <w:tcW w:w="3423" w:type="dxa"/>
            <w:vMerge w:val="restart"/>
            <w:tcBorders>
              <w:top w:val="single" w:sz="4" w:space="0" w:color="auto"/>
            </w:tcBorders>
            <w:shd w:val="clear" w:color="auto" w:fill="auto"/>
            <w:noWrap/>
          </w:tcPr>
          <w:p w14:paraId="74F7CFC0" w14:textId="77777777" w:rsidR="0066789F" w:rsidRPr="00A17609" w:rsidRDefault="0066789F" w:rsidP="00E81109">
            <w:pPr>
              <w:pStyle w:val="Table"/>
              <w:rPr>
                <w:noProof/>
                <w:szCs w:val="22"/>
              </w:rPr>
            </w:pPr>
          </w:p>
          <w:p w14:paraId="61E9F61A" w14:textId="77777777" w:rsidR="0066789F" w:rsidRPr="00A17609" w:rsidRDefault="0066789F" w:rsidP="00E81109">
            <w:pPr>
              <w:pStyle w:val="Table"/>
              <w:rPr>
                <w:noProof/>
                <w:szCs w:val="22"/>
              </w:rPr>
            </w:pPr>
            <w:r w:rsidRPr="00A17609">
              <w:rPr>
                <w:noProof/>
                <w:szCs w:val="22"/>
              </w:rPr>
              <w:t xml:space="preserve">Parameter </w:t>
            </w:r>
          </w:p>
        </w:tc>
        <w:tc>
          <w:tcPr>
            <w:tcW w:w="5604" w:type="dxa"/>
            <w:gridSpan w:val="6"/>
            <w:tcBorders>
              <w:top w:val="single" w:sz="4" w:space="0" w:color="auto"/>
              <w:bottom w:val="single" w:sz="4" w:space="0" w:color="auto"/>
            </w:tcBorders>
            <w:shd w:val="clear" w:color="auto" w:fill="auto"/>
            <w:noWrap/>
            <w:vAlign w:val="center"/>
          </w:tcPr>
          <w:p w14:paraId="67933F4D" w14:textId="77777777" w:rsidR="0066789F" w:rsidRPr="00A17609" w:rsidRDefault="0066789F" w:rsidP="0021254F">
            <w:pPr>
              <w:pStyle w:val="Table"/>
              <w:jc w:val="center"/>
              <w:rPr>
                <w:noProof/>
                <w:szCs w:val="22"/>
              </w:rPr>
            </w:pPr>
            <w:r w:rsidRPr="00A17609">
              <w:rPr>
                <w:noProof/>
                <w:szCs w:val="22"/>
              </w:rPr>
              <w:t>Value</w:t>
            </w:r>
          </w:p>
        </w:tc>
      </w:tr>
      <w:tr w:rsidR="00100C52" w:rsidRPr="00972C81" w14:paraId="2C069929" w14:textId="77777777" w:rsidTr="0021254F">
        <w:trPr>
          <w:trHeight w:val="397"/>
        </w:trPr>
        <w:tc>
          <w:tcPr>
            <w:tcW w:w="3423" w:type="dxa"/>
            <w:vMerge/>
            <w:tcBorders>
              <w:bottom w:val="single" w:sz="4" w:space="0" w:color="auto"/>
            </w:tcBorders>
            <w:shd w:val="clear" w:color="auto" w:fill="auto"/>
            <w:noWrap/>
          </w:tcPr>
          <w:p w14:paraId="1C4C3A8E" w14:textId="77777777" w:rsidR="0066789F" w:rsidRPr="00A17609" w:rsidRDefault="0066789F" w:rsidP="00E81109">
            <w:pPr>
              <w:pStyle w:val="Table"/>
              <w:rPr>
                <w:noProof/>
                <w:color w:val="000000"/>
                <w:szCs w:val="22"/>
              </w:rPr>
            </w:pPr>
          </w:p>
        </w:tc>
        <w:tc>
          <w:tcPr>
            <w:tcW w:w="934" w:type="dxa"/>
            <w:tcBorders>
              <w:top w:val="single" w:sz="4" w:space="0" w:color="auto"/>
              <w:bottom w:val="single" w:sz="4" w:space="0" w:color="auto"/>
            </w:tcBorders>
            <w:shd w:val="clear" w:color="auto" w:fill="auto"/>
            <w:noWrap/>
            <w:vAlign w:val="center"/>
          </w:tcPr>
          <w:p w14:paraId="336F1215" w14:textId="77777777" w:rsidR="0066789F" w:rsidRPr="00A17609" w:rsidRDefault="0066789F" w:rsidP="0021254F">
            <w:pPr>
              <w:pStyle w:val="Table"/>
              <w:rPr>
                <w:noProof/>
                <w:color w:val="000000"/>
                <w:szCs w:val="22"/>
              </w:rPr>
            </w:pPr>
            <w:r w:rsidRPr="00A17609">
              <w:rPr>
                <w:noProof/>
                <w:szCs w:val="22"/>
              </w:rPr>
              <w:t>100 d</w:t>
            </w:r>
          </w:p>
        </w:tc>
        <w:tc>
          <w:tcPr>
            <w:tcW w:w="934" w:type="dxa"/>
            <w:tcBorders>
              <w:top w:val="single" w:sz="4" w:space="0" w:color="auto"/>
              <w:bottom w:val="single" w:sz="4" w:space="0" w:color="auto"/>
            </w:tcBorders>
            <w:shd w:val="clear" w:color="auto" w:fill="auto"/>
            <w:noWrap/>
            <w:vAlign w:val="center"/>
          </w:tcPr>
          <w:p w14:paraId="471587D2" w14:textId="77777777" w:rsidR="0066789F" w:rsidRPr="00A17609" w:rsidRDefault="0066789F" w:rsidP="0021254F">
            <w:pPr>
              <w:pStyle w:val="Table"/>
              <w:rPr>
                <w:noProof/>
                <w:color w:val="000000"/>
                <w:szCs w:val="22"/>
              </w:rPr>
            </w:pPr>
            <w:r w:rsidRPr="00A17609">
              <w:rPr>
                <w:noProof/>
                <w:szCs w:val="22"/>
              </w:rPr>
              <w:t>1 y</w:t>
            </w:r>
          </w:p>
        </w:tc>
        <w:tc>
          <w:tcPr>
            <w:tcW w:w="934" w:type="dxa"/>
            <w:tcBorders>
              <w:top w:val="single" w:sz="4" w:space="0" w:color="auto"/>
              <w:bottom w:val="single" w:sz="4" w:space="0" w:color="auto"/>
            </w:tcBorders>
            <w:shd w:val="clear" w:color="auto" w:fill="auto"/>
            <w:noWrap/>
            <w:vAlign w:val="center"/>
          </w:tcPr>
          <w:p w14:paraId="2008551D" w14:textId="77777777" w:rsidR="0066789F" w:rsidRPr="00A17609" w:rsidRDefault="0066789F" w:rsidP="0021254F">
            <w:pPr>
              <w:pStyle w:val="Table"/>
              <w:rPr>
                <w:noProof/>
                <w:color w:val="000000"/>
                <w:szCs w:val="22"/>
              </w:rPr>
            </w:pPr>
            <w:r w:rsidRPr="00A17609">
              <w:rPr>
                <w:noProof/>
                <w:szCs w:val="22"/>
              </w:rPr>
              <w:t>5 y</w:t>
            </w:r>
          </w:p>
        </w:tc>
        <w:tc>
          <w:tcPr>
            <w:tcW w:w="934" w:type="dxa"/>
            <w:tcBorders>
              <w:top w:val="single" w:sz="4" w:space="0" w:color="auto"/>
              <w:bottom w:val="single" w:sz="4" w:space="0" w:color="auto"/>
            </w:tcBorders>
            <w:shd w:val="clear" w:color="auto" w:fill="auto"/>
            <w:noWrap/>
            <w:vAlign w:val="center"/>
          </w:tcPr>
          <w:p w14:paraId="7AB5FA7F" w14:textId="77777777" w:rsidR="0066789F" w:rsidRPr="00A17609" w:rsidRDefault="0066789F" w:rsidP="0021254F">
            <w:pPr>
              <w:pStyle w:val="Table"/>
              <w:rPr>
                <w:noProof/>
                <w:color w:val="000000"/>
                <w:szCs w:val="22"/>
              </w:rPr>
            </w:pPr>
            <w:r w:rsidRPr="00A17609">
              <w:rPr>
                <w:noProof/>
                <w:szCs w:val="22"/>
              </w:rPr>
              <w:t>10 y</w:t>
            </w:r>
          </w:p>
        </w:tc>
        <w:tc>
          <w:tcPr>
            <w:tcW w:w="934" w:type="dxa"/>
            <w:tcBorders>
              <w:top w:val="single" w:sz="4" w:space="0" w:color="auto"/>
              <w:bottom w:val="single" w:sz="4" w:space="0" w:color="auto"/>
            </w:tcBorders>
            <w:shd w:val="clear" w:color="auto" w:fill="auto"/>
            <w:noWrap/>
            <w:vAlign w:val="center"/>
          </w:tcPr>
          <w:p w14:paraId="3257C67C" w14:textId="77777777" w:rsidR="0066789F" w:rsidRPr="00A17609" w:rsidRDefault="0066789F" w:rsidP="0021254F">
            <w:pPr>
              <w:pStyle w:val="Table"/>
              <w:rPr>
                <w:noProof/>
                <w:color w:val="000000"/>
                <w:szCs w:val="22"/>
              </w:rPr>
            </w:pPr>
            <w:r w:rsidRPr="00A17609">
              <w:rPr>
                <w:noProof/>
                <w:szCs w:val="22"/>
              </w:rPr>
              <w:t>15 y</w:t>
            </w:r>
          </w:p>
        </w:tc>
        <w:tc>
          <w:tcPr>
            <w:tcW w:w="934" w:type="dxa"/>
            <w:tcBorders>
              <w:top w:val="single" w:sz="4" w:space="0" w:color="auto"/>
              <w:bottom w:val="single" w:sz="4" w:space="0" w:color="auto"/>
            </w:tcBorders>
            <w:shd w:val="clear" w:color="auto" w:fill="auto"/>
            <w:noWrap/>
            <w:vAlign w:val="center"/>
          </w:tcPr>
          <w:p w14:paraId="6C664F8C" w14:textId="77777777" w:rsidR="0066789F" w:rsidRPr="00A17609" w:rsidRDefault="0066789F" w:rsidP="0021254F">
            <w:pPr>
              <w:pStyle w:val="Table"/>
              <w:rPr>
                <w:noProof/>
                <w:color w:val="000000"/>
                <w:szCs w:val="22"/>
              </w:rPr>
            </w:pPr>
            <w:r w:rsidRPr="00A17609">
              <w:rPr>
                <w:noProof/>
                <w:szCs w:val="22"/>
              </w:rPr>
              <w:t>Adult</w:t>
            </w:r>
          </w:p>
        </w:tc>
      </w:tr>
      <w:tr w:rsidR="00100C52" w:rsidRPr="00972C81" w14:paraId="276D4AF8" w14:textId="77777777" w:rsidTr="0021254F">
        <w:trPr>
          <w:trHeight w:val="397"/>
        </w:trPr>
        <w:tc>
          <w:tcPr>
            <w:tcW w:w="3423" w:type="dxa"/>
            <w:tcBorders>
              <w:top w:val="single" w:sz="4" w:space="0" w:color="auto"/>
            </w:tcBorders>
            <w:shd w:val="clear" w:color="auto" w:fill="auto"/>
            <w:noWrap/>
          </w:tcPr>
          <w:p w14:paraId="142E7192" w14:textId="77777777" w:rsidR="002A0476" w:rsidRPr="00C47F2F" w:rsidRDefault="002A0476" w:rsidP="0021254F">
            <w:pPr>
              <w:pStyle w:val="Table"/>
              <w:rPr>
                <w:noProof/>
                <w:sz w:val="20"/>
                <w:szCs w:val="20"/>
              </w:rPr>
            </w:pPr>
            <w:r w:rsidRPr="00C47F2F">
              <w:rPr>
                <w:noProof/>
                <w:sz w:val="20"/>
                <w:szCs w:val="20"/>
              </w:rPr>
              <w:t>Deposition fraction for trabecular bone</w:t>
            </w:r>
          </w:p>
        </w:tc>
        <w:tc>
          <w:tcPr>
            <w:tcW w:w="934" w:type="dxa"/>
            <w:tcBorders>
              <w:top w:val="single" w:sz="4" w:space="0" w:color="auto"/>
            </w:tcBorders>
            <w:shd w:val="clear" w:color="auto" w:fill="auto"/>
            <w:noWrap/>
            <w:tcMar>
              <w:right w:w="57" w:type="dxa"/>
            </w:tcMar>
          </w:tcPr>
          <w:p w14:paraId="54C79FF1" w14:textId="62DA6798" w:rsidR="002A0476" w:rsidRPr="00C47F2F" w:rsidRDefault="002A0476" w:rsidP="0021254F">
            <w:pPr>
              <w:pStyle w:val="Table"/>
              <w:rPr>
                <w:noProof/>
                <w:sz w:val="20"/>
                <w:szCs w:val="20"/>
              </w:rPr>
            </w:pPr>
            <w:r w:rsidRPr="00C47F2F">
              <w:rPr>
                <w:noProof/>
                <w:sz w:val="20"/>
                <w:szCs w:val="20"/>
              </w:rPr>
              <w:t>3.75E-01</w:t>
            </w:r>
          </w:p>
        </w:tc>
        <w:tc>
          <w:tcPr>
            <w:tcW w:w="934" w:type="dxa"/>
            <w:tcBorders>
              <w:top w:val="single" w:sz="4" w:space="0" w:color="auto"/>
            </w:tcBorders>
            <w:shd w:val="clear" w:color="auto" w:fill="auto"/>
            <w:noWrap/>
            <w:tcMar>
              <w:right w:w="57" w:type="dxa"/>
            </w:tcMar>
          </w:tcPr>
          <w:p w14:paraId="094FB958" w14:textId="6FC51DF7" w:rsidR="002A0476" w:rsidRPr="00C47F2F" w:rsidRDefault="002A0476" w:rsidP="0021254F">
            <w:pPr>
              <w:pStyle w:val="Table"/>
              <w:rPr>
                <w:noProof/>
                <w:sz w:val="20"/>
                <w:szCs w:val="20"/>
              </w:rPr>
            </w:pPr>
            <w:r w:rsidRPr="00C47F2F">
              <w:rPr>
                <w:noProof/>
                <w:sz w:val="20"/>
                <w:szCs w:val="20"/>
              </w:rPr>
              <w:t>3.75E-01</w:t>
            </w:r>
          </w:p>
        </w:tc>
        <w:tc>
          <w:tcPr>
            <w:tcW w:w="934" w:type="dxa"/>
            <w:tcBorders>
              <w:top w:val="single" w:sz="4" w:space="0" w:color="auto"/>
            </w:tcBorders>
            <w:shd w:val="clear" w:color="auto" w:fill="auto"/>
            <w:noWrap/>
            <w:tcMar>
              <w:right w:w="57" w:type="dxa"/>
            </w:tcMar>
          </w:tcPr>
          <w:p w14:paraId="528621CF" w14:textId="781B6E36" w:rsidR="002A0476" w:rsidRPr="00C47F2F" w:rsidRDefault="002A0476" w:rsidP="0021254F">
            <w:pPr>
              <w:pStyle w:val="Table"/>
              <w:rPr>
                <w:noProof/>
                <w:sz w:val="20"/>
                <w:szCs w:val="20"/>
              </w:rPr>
            </w:pPr>
            <w:r w:rsidRPr="00C47F2F">
              <w:rPr>
                <w:noProof/>
                <w:sz w:val="20"/>
                <w:szCs w:val="20"/>
              </w:rPr>
              <w:t>3.00E-01</w:t>
            </w:r>
          </w:p>
        </w:tc>
        <w:tc>
          <w:tcPr>
            <w:tcW w:w="934" w:type="dxa"/>
            <w:tcBorders>
              <w:top w:val="single" w:sz="4" w:space="0" w:color="auto"/>
            </w:tcBorders>
            <w:shd w:val="clear" w:color="auto" w:fill="auto"/>
            <w:noWrap/>
            <w:tcMar>
              <w:right w:w="57" w:type="dxa"/>
            </w:tcMar>
          </w:tcPr>
          <w:p w14:paraId="7ECBEEEB" w14:textId="4F5FF398" w:rsidR="002A0476" w:rsidRPr="00C47F2F" w:rsidRDefault="002A0476" w:rsidP="0021254F">
            <w:pPr>
              <w:pStyle w:val="Table"/>
              <w:rPr>
                <w:noProof/>
                <w:sz w:val="20"/>
                <w:szCs w:val="20"/>
              </w:rPr>
            </w:pPr>
            <w:r w:rsidRPr="00C47F2F">
              <w:rPr>
                <w:noProof/>
                <w:sz w:val="20"/>
                <w:szCs w:val="20"/>
              </w:rPr>
              <w:t>3.00E-01</w:t>
            </w:r>
          </w:p>
        </w:tc>
        <w:tc>
          <w:tcPr>
            <w:tcW w:w="934" w:type="dxa"/>
            <w:tcBorders>
              <w:top w:val="single" w:sz="4" w:space="0" w:color="auto"/>
            </w:tcBorders>
            <w:shd w:val="clear" w:color="auto" w:fill="auto"/>
            <w:noWrap/>
            <w:tcMar>
              <w:right w:w="57" w:type="dxa"/>
            </w:tcMar>
          </w:tcPr>
          <w:p w14:paraId="70999CB6" w14:textId="2F10F04D" w:rsidR="002A0476" w:rsidRPr="00C47F2F" w:rsidRDefault="002A0476" w:rsidP="0021254F">
            <w:pPr>
              <w:pStyle w:val="Table"/>
              <w:rPr>
                <w:noProof/>
                <w:sz w:val="20"/>
                <w:szCs w:val="20"/>
              </w:rPr>
            </w:pPr>
            <w:r w:rsidRPr="00C47F2F">
              <w:rPr>
                <w:noProof/>
                <w:sz w:val="20"/>
                <w:szCs w:val="20"/>
              </w:rPr>
              <w:t>3.00E-01</w:t>
            </w:r>
          </w:p>
        </w:tc>
        <w:tc>
          <w:tcPr>
            <w:tcW w:w="934" w:type="dxa"/>
            <w:tcBorders>
              <w:top w:val="single" w:sz="4" w:space="0" w:color="auto"/>
            </w:tcBorders>
            <w:shd w:val="clear" w:color="auto" w:fill="auto"/>
            <w:noWrap/>
            <w:tcMar>
              <w:right w:w="57" w:type="dxa"/>
            </w:tcMar>
          </w:tcPr>
          <w:p w14:paraId="501DEF2C" w14:textId="37DF8AE5" w:rsidR="002A0476" w:rsidRPr="00C47F2F" w:rsidRDefault="002A0476" w:rsidP="0021254F">
            <w:pPr>
              <w:pStyle w:val="Table"/>
              <w:rPr>
                <w:noProof/>
                <w:sz w:val="20"/>
                <w:szCs w:val="20"/>
              </w:rPr>
            </w:pPr>
            <w:r w:rsidRPr="00C47F2F">
              <w:rPr>
                <w:noProof/>
                <w:sz w:val="20"/>
                <w:szCs w:val="20"/>
              </w:rPr>
              <w:t>1.80E-01</w:t>
            </w:r>
          </w:p>
        </w:tc>
      </w:tr>
      <w:tr w:rsidR="00100C52" w:rsidRPr="00972C81" w14:paraId="33F1B08C" w14:textId="77777777" w:rsidTr="0021254F">
        <w:trPr>
          <w:trHeight w:val="397"/>
        </w:trPr>
        <w:tc>
          <w:tcPr>
            <w:tcW w:w="3423" w:type="dxa"/>
            <w:shd w:val="clear" w:color="auto" w:fill="auto"/>
            <w:noWrap/>
          </w:tcPr>
          <w:p w14:paraId="26E1D9B9" w14:textId="77777777" w:rsidR="002A0476" w:rsidRPr="00C47F2F" w:rsidRDefault="002A0476" w:rsidP="0021254F">
            <w:pPr>
              <w:pStyle w:val="Table"/>
              <w:rPr>
                <w:noProof/>
                <w:sz w:val="20"/>
                <w:szCs w:val="20"/>
              </w:rPr>
            </w:pPr>
            <w:r w:rsidRPr="00C47F2F">
              <w:rPr>
                <w:noProof/>
                <w:sz w:val="20"/>
                <w:szCs w:val="20"/>
              </w:rPr>
              <w:t>Deposition fraction for cortical bone</w:t>
            </w:r>
          </w:p>
        </w:tc>
        <w:tc>
          <w:tcPr>
            <w:tcW w:w="934" w:type="dxa"/>
            <w:shd w:val="clear" w:color="auto" w:fill="auto"/>
            <w:noWrap/>
            <w:tcMar>
              <w:right w:w="57" w:type="dxa"/>
            </w:tcMar>
          </w:tcPr>
          <w:p w14:paraId="416A4894" w14:textId="15E053A1" w:rsidR="002A0476" w:rsidRPr="00C47F2F" w:rsidRDefault="002A0476" w:rsidP="0021254F">
            <w:pPr>
              <w:pStyle w:val="Table"/>
              <w:rPr>
                <w:noProof/>
                <w:sz w:val="20"/>
                <w:szCs w:val="20"/>
              </w:rPr>
            </w:pPr>
            <w:r w:rsidRPr="00C47F2F">
              <w:rPr>
                <w:noProof/>
                <w:sz w:val="20"/>
                <w:szCs w:val="20"/>
              </w:rPr>
              <w:t>3.75E-01</w:t>
            </w:r>
          </w:p>
        </w:tc>
        <w:tc>
          <w:tcPr>
            <w:tcW w:w="934" w:type="dxa"/>
            <w:shd w:val="clear" w:color="auto" w:fill="auto"/>
            <w:noWrap/>
            <w:tcMar>
              <w:right w:w="57" w:type="dxa"/>
            </w:tcMar>
          </w:tcPr>
          <w:p w14:paraId="256F1C5A" w14:textId="59F4F232" w:rsidR="002A0476" w:rsidRPr="00C47F2F" w:rsidRDefault="002A0476" w:rsidP="0021254F">
            <w:pPr>
              <w:pStyle w:val="Table"/>
              <w:rPr>
                <w:noProof/>
                <w:sz w:val="20"/>
                <w:szCs w:val="20"/>
              </w:rPr>
            </w:pPr>
            <w:r w:rsidRPr="00C47F2F">
              <w:rPr>
                <w:noProof/>
                <w:sz w:val="20"/>
                <w:szCs w:val="20"/>
              </w:rPr>
              <w:t>3.75E-01</w:t>
            </w:r>
          </w:p>
        </w:tc>
        <w:tc>
          <w:tcPr>
            <w:tcW w:w="934" w:type="dxa"/>
            <w:shd w:val="clear" w:color="auto" w:fill="auto"/>
            <w:noWrap/>
            <w:tcMar>
              <w:right w:w="57" w:type="dxa"/>
            </w:tcMar>
          </w:tcPr>
          <w:p w14:paraId="329F6038" w14:textId="24FC5689" w:rsidR="002A0476" w:rsidRPr="00C47F2F" w:rsidRDefault="002A0476" w:rsidP="0021254F">
            <w:pPr>
              <w:pStyle w:val="Table"/>
              <w:rPr>
                <w:noProof/>
                <w:sz w:val="20"/>
                <w:szCs w:val="20"/>
              </w:rPr>
            </w:pPr>
            <w:r w:rsidRPr="00C47F2F">
              <w:rPr>
                <w:noProof/>
                <w:sz w:val="20"/>
                <w:szCs w:val="20"/>
              </w:rPr>
              <w:t>3.00E-01</w:t>
            </w:r>
          </w:p>
        </w:tc>
        <w:tc>
          <w:tcPr>
            <w:tcW w:w="934" w:type="dxa"/>
            <w:shd w:val="clear" w:color="auto" w:fill="auto"/>
            <w:noWrap/>
            <w:tcMar>
              <w:right w:w="57" w:type="dxa"/>
            </w:tcMar>
          </w:tcPr>
          <w:p w14:paraId="273B0EAD" w14:textId="7F908E99" w:rsidR="002A0476" w:rsidRPr="00C47F2F" w:rsidRDefault="002A0476" w:rsidP="0021254F">
            <w:pPr>
              <w:pStyle w:val="Table"/>
              <w:rPr>
                <w:noProof/>
                <w:sz w:val="20"/>
                <w:szCs w:val="20"/>
              </w:rPr>
            </w:pPr>
            <w:r w:rsidRPr="00C47F2F">
              <w:rPr>
                <w:noProof/>
                <w:sz w:val="20"/>
                <w:szCs w:val="20"/>
              </w:rPr>
              <w:t>3.00E-01</w:t>
            </w:r>
          </w:p>
        </w:tc>
        <w:tc>
          <w:tcPr>
            <w:tcW w:w="934" w:type="dxa"/>
            <w:shd w:val="clear" w:color="auto" w:fill="auto"/>
            <w:noWrap/>
            <w:tcMar>
              <w:right w:w="57" w:type="dxa"/>
            </w:tcMar>
          </w:tcPr>
          <w:p w14:paraId="1FAEBD85" w14:textId="67BB72B3" w:rsidR="002A0476" w:rsidRPr="00C47F2F" w:rsidRDefault="002A0476" w:rsidP="0021254F">
            <w:pPr>
              <w:pStyle w:val="Table"/>
              <w:rPr>
                <w:noProof/>
                <w:sz w:val="20"/>
                <w:szCs w:val="20"/>
              </w:rPr>
            </w:pPr>
            <w:r w:rsidRPr="00C47F2F">
              <w:rPr>
                <w:noProof/>
                <w:sz w:val="20"/>
                <w:szCs w:val="20"/>
              </w:rPr>
              <w:t>3.00E-01</w:t>
            </w:r>
          </w:p>
        </w:tc>
        <w:tc>
          <w:tcPr>
            <w:tcW w:w="934" w:type="dxa"/>
            <w:shd w:val="clear" w:color="auto" w:fill="auto"/>
            <w:noWrap/>
            <w:tcMar>
              <w:right w:w="57" w:type="dxa"/>
            </w:tcMar>
          </w:tcPr>
          <w:p w14:paraId="0DA9536A" w14:textId="1D2C2541" w:rsidR="002A0476" w:rsidRPr="00C47F2F" w:rsidRDefault="002A0476" w:rsidP="0021254F">
            <w:pPr>
              <w:pStyle w:val="Table"/>
              <w:rPr>
                <w:noProof/>
                <w:sz w:val="20"/>
                <w:szCs w:val="20"/>
              </w:rPr>
            </w:pPr>
            <w:r w:rsidRPr="00C47F2F">
              <w:rPr>
                <w:noProof/>
                <w:sz w:val="20"/>
                <w:szCs w:val="20"/>
              </w:rPr>
              <w:t>1.20E-01</w:t>
            </w:r>
          </w:p>
        </w:tc>
      </w:tr>
      <w:tr w:rsidR="00100C52" w:rsidRPr="00972C81" w14:paraId="6D4E6868" w14:textId="77777777" w:rsidTr="0021254F">
        <w:trPr>
          <w:trHeight w:val="397"/>
        </w:trPr>
        <w:tc>
          <w:tcPr>
            <w:tcW w:w="3423" w:type="dxa"/>
            <w:shd w:val="clear" w:color="auto" w:fill="auto"/>
            <w:noWrap/>
          </w:tcPr>
          <w:p w14:paraId="5A0EB6AF" w14:textId="77777777" w:rsidR="002A0476" w:rsidRPr="00C47F2F" w:rsidRDefault="002A0476" w:rsidP="0021254F">
            <w:pPr>
              <w:pStyle w:val="Table"/>
              <w:rPr>
                <w:noProof/>
                <w:sz w:val="20"/>
                <w:szCs w:val="20"/>
              </w:rPr>
            </w:pPr>
            <w:r w:rsidRPr="00C47F2F">
              <w:rPr>
                <w:noProof/>
                <w:sz w:val="20"/>
                <w:szCs w:val="20"/>
              </w:rPr>
              <w:t>Deposition fraction for liver</w:t>
            </w:r>
          </w:p>
        </w:tc>
        <w:tc>
          <w:tcPr>
            <w:tcW w:w="934" w:type="dxa"/>
            <w:shd w:val="clear" w:color="auto" w:fill="auto"/>
            <w:noWrap/>
            <w:tcMar>
              <w:right w:w="57" w:type="dxa"/>
            </w:tcMar>
          </w:tcPr>
          <w:p w14:paraId="018350E3" w14:textId="419DFB7D" w:rsidR="002A0476" w:rsidRPr="00C47F2F" w:rsidRDefault="002A0476" w:rsidP="0021254F">
            <w:pPr>
              <w:pStyle w:val="Table"/>
              <w:rPr>
                <w:noProof/>
                <w:sz w:val="20"/>
                <w:szCs w:val="20"/>
              </w:rPr>
            </w:pPr>
            <w:r w:rsidRPr="00C47F2F">
              <w:rPr>
                <w:noProof/>
                <w:sz w:val="20"/>
                <w:szCs w:val="20"/>
              </w:rPr>
              <w:t>1.50E-01</w:t>
            </w:r>
          </w:p>
        </w:tc>
        <w:tc>
          <w:tcPr>
            <w:tcW w:w="934" w:type="dxa"/>
            <w:shd w:val="clear" w:color="auto" w:fill="auto"/>
            <w:noWrap/>
            <w:tcMar>
              <w:right w:w="57" w:type="dxa"/>
            </w:tcMar>
          </w:tcPr>
          <w:p w14:paraId="25C2CADD" w14:textId="64C5D22F" w:rsidR="002A0476" w:rsidRPr="00C47F2F" w:rsidRDefault="002A0476" w:rsidP="0021254F">
            <w:pPr>
              <w:pStyle w:val="Table"/>
              <w:rPr>
                <w:noProof/>
                <w:sz w:val="20"/>
                <w:szCs w:val="20"/>
              </w:rPr>
            </w:pPr>
            <w:r w:rsidRPr="00C47F2F">
              <w:rPr>
                <w:noProof/>
                <w:sz w:val="20"/>
                <w:szCs w:val="20"/>
              </w:rPr>
              <w:t>1.50E-01</w:t>
            </w:r>
          </w:p>
        </w:tc>
        <w:tc>
          <w:tcPr>
            <w:tcW w:w="934" w:type="dxa"/>
            <w:shd w:val="clear" w:color="auto" w:fill="auto"/>
            <w:noWrap/>
            <w:tcMar>
              <w:right w:w="57" w:type="dxa"/>
            </w:tcMar>
          </w:tcPr>
          <w:p w14:paraId="3CED552E" w14:textId="141D44DF" w:rsidR="002A0476" w:rsidRPr="00C47F2F" w:rsidRDefault="002A0476" w:rsidP="0021254F">
            <w:pPr>
              <w:pStyle w:val="Table"/>
              <w:rPr>
                <w:noProof/>
                <w:sz w:val="20"/>
                <w:szCs w:val="20"/>
              </w:rPr>
            </w:pPr>
            <w:r w:rsidRPr="00C47F2F">
              <w:rPr>
                <w:noProof/>
                <w:sz w:val="20"/>
                <w:szCs w:val="20"/>
              </w:rPr>
              <w:t>3.00E-01</w:t>
            </w:r>
          </w:p>
        </w:tc>
        <w:tc>
          <w:tcPr>
            <w:tcW w:w="934" w:type="dxa"/>
            <w:shd w:val="clear" w:color="auto" w:fill="auto"/>
            <w:noWrap/>
            <w:tcMar>
              <w:right w:w="57" w:type="dxa"/>
            </w:tcMar>
          </w:tcPr>
          <w:p w14:paraId="77E9A355" w14:textId="41E7D2CA" w:rsidR="002A0476" w:rsidRPr="00C47F2F" w:rsidRDefault="002A0476" w:rsidP="0021254F">
            <w:pPr>
              <w:pStyle w:val="Table"/>
              <w:rPr>
                <w:noProof/>
                <w:sz w:val="20"/>
                <w:szCs w:val="20"/>
              </w:rPr>
            </w:pPr>
            <w:r w:rsidRPr="00C47F2F">
              <w:rPr>
                <w:noProof/>
                <w:sz w:val="20"/>
                <w:szCs w:val="20"/>
              </w:rPr>
              <w:t>3.00E-01</w:t>
            </w:r>
          </w:p>
        </w:tc>
        <w:tc>
          <w:tcPr>
            <w:tcW w:w="934" w:type="dxa"/>
            <w:shd w:val="clear" w:color="auto" w:fill="auto"/>
            <w:noWrap/>
            <w:tcMar>
              <w:right w:w="57" w:type="dxa"/>
            </w:tcMar>
          </w:tcPr>
          <w:p w14:paraId="592BDF66" w14:textId="758E5690" w:rsidR="002A0476" w:rsidRPr="00C47F2F" w:rsidRDefault="002A0476" w:rsidP="0021254F">
            <w:pPr>
              <w:pStyle w:val="Table"/>
              <w:rPr>
                <w:noProof/>
                <w:sz w:val="20"/>
                <w:szCs w:val="20"/>
              </w:rPr>
            </w:pPr>
            <w:r w:rsidRPr="00C47F2F">
              <w:rPr>
                <w:noProof/>
                <w:sz w:val="20"/>
                <w:szCs w:val="20"/>
              </w:rPr>
              <w:t>3.00E-01</w:t>
            </w:r>
          </w:p>
        </w:tc>
        <w:tc>
          <w:tcPr>
            <w:tcW w:w="934" w:type="dxa"/>
            <w:shd w:val="clear" w:color="auto" w:fill="auto"/>
            <w:noWrap/>
            <w:tcMar>
              <w:right w:w="57" w:type="dxa"/>
            </w:tcMar>
          </w:tcPr>
          <w:p w14:paraId="03263F13" w14:textId="709BC194" w:rsidR="002A0476" w:rsidRPr="00C47F2F" w:rsidRDefault="002A0476" w:rsidP="0021254F">
            <w:pPr>
              <w:pStyle w:val="Table"/>
              <w:rPr>
                <w:noProof/>
                <w:sz w:val="20"/>
                <w:szCs w:val="20"/>
              </w:rPr>
            </w:pPr>
            <w:r w:rsidRPr="00C47F2F">
              <w:rPr>
                <w:noProof/>
                <w:sz w:val="20"/>
                <w:szCs w:val="20"/>
              </w:rPr>
              <w:t>6.00E-01</w:t>
            </w:r>
          </w:p>
        </w:tc>
      </w:tr>
      <w:tr w:rsidR="00100C52" w:rsidRPr="00972C81" w14:paraId="613BB6EC" w14:textId="77777777" w:rsidTr="0021254F">
        <w:trPr>
          <w:trHeight w:val="397"/>
        </w:trPr>
        <w:tc>
          <w:tcPr>
            <w:tcW w:w="3423" w:type="dxa"/>
            <w:shd w:val="clear" w:color="auto" w:fill="auto"/>
            <w:noWrap/>
          </w:tcPr>
          <w:p w14:paraId="740859F0" w14:textId="77777777" w:rsidR="002A0476" w:rsidRPr="00C47F2F" w:rsidRDefault="002A0476" w:rsidP="0021254F">
            <w:pPr>
              <w:pStyle w:val="Table"/>
              <w:rPr>
                <w:noProof/>
                <w:sz w:val="20"/>
                <w:szCs w:val="20"/>
              </w:rPr>
            </w:pPr>
            <w:r w:rsidRPr="00C47F2F">
              <w:rPr>
                <w:noProof/>
                <w:sz w:val="20"/>
                <w:szCs w:val="20"/>
              </w:rPr>
              <w:t>Deposition fraction for testes</w:t>
            </w:r>
          </w:p>
        </w:tc>
        <w:tc>
          <w:tcPr>
            <w:tcW w:w="934" w:type="dxa"/>
            <w:shd w:val="clear" w:color="auto" w:fill="auto"/>
            <w:noWrap/>
            <w:tcMar>
              <w:right w:w="57" w:type="dxa"/>
            </w:tcMar>
          </w:tcPr>
          <w:p w14:paraId="7F6F3C34" w14:textId="225E40EE" w:rsidR="002A0476" w:rsidRPr="00C47F2F" w:rsidRDefault="002A0476" w:rsidP="0021254F">
            <w:pPr>
              <w:pStyle w:val="Table"/>
              <w:rPr>
                <w:noProof/>
                <w:sz w:val="20"/>
                <w:szCs w:val="20"/>
              </w:rPr>
            </w:pPr>
            <w:r w:rsidRPr="00C47F2F">
              <w:rPr>
                <w:noProof/>
                <w:sz w:val="20"/>
                <w:szCs w:val="20"/>
              </w:rPr>
              <w:t>2.00E-05</w:t>
            </w:r>
          </w:p>
        </w:tc>
        <w:tc>
          <w:tcPr>
            <w:tcW w:w="934" w:type="dxa"/>
            <w:shd w:val="clear" w:color="auto" w:fill="auto"/>
            <w:noWrap/>
            <w:tcMar>
              <w:right w:w="57" w:type="dxa"/>
            </w:tcMar>
          </w:tcPr>
          <w:p w14:paraId="69658602" w14:textId="14EDAF2C" w:rsidR="002A0476" w:rsidRPr="00C47F2F" w:rsidRDefault="002A0476" w:rsidP="0021254F">
            <w:pPr>
              <w:pStyle w:val="Table"/>
              <w:rPr>
                <w:noProof/>
                <w:sz w:val="20"/>
                <w:szCs w:val="20"/>
              </w:rPr>
            </w:pPr>
            <w:r w:rsidRPr="00C47F2F">
              <w:rPr>
                <w:noProof/>
                <w:sz w:val="20"/>
                <w:szCs w:val="20"/>
              </w:rPr>
              <w:t>3.00E-05</w:t>
            </w:r>
          </w:p>
        </w:tc>
        <w:tc>
          <w:tcPr>
            <w:tcW w:w="934" w:type="dxa"/>
            <w:shd w:val="clear" w:color="auto" w:fill="auto"/>
            <w:noWrap/>
            <w:tcMar>
              <w:right w:w="57" w:type="dxa"/>
            </w:tcMar>
          </w:tcPr>
          <w:p w14:paraId="76D2E2F3" w14:textId="7D65F41C" w:rsidR="002A0476" w:rsidRPr="00C47F2F" w:rsidRDefault="002A0476" w:rsidP="0021254F">
            <w:pPr>
              <w:pStyle w:val="Table"/>
              <w:rPr>
                <w:noProof/>
                <w:sz w:val="20"/>
                <w:szCs w:val="20"/>
              </w:rPr>
            </w:pPr>
            <w:r w:rsidRPr="00C47F2F">
              <w:rPr>
                <w:noProof/>
                <w:sz w:val="20"/>
                <w:szCs w:val="20"/>
              </w:rPr>
              <w:t>3.40E-05</w:t>
            </w:r>
          </w:p>
        </w:tc>
        <w:tc>
          <w:tcPr>
            <w:tcW w:w="934" w:type="dxa"/>
            <w:shd w:val="clear" w:color="auto" w:fill="auto"/>
            <w:noWrap/>
            <w:tcMar>
              <w:right w:w="57" w:type="dxa"/>
            </w:tcMar>
          </w:tcPr>
          <w:p w14:paraId="13597785" w14:textId="4B52E12A" w:rsidR="002A0476" w:rsidRPr="00C47F2F" w:rsidRDefault="002A0476" w:rsidP="0021254F">
            <w:pPr>
              <w:pStyle w:val="Table"/>
              <w:rPr>
                <w:noProof/>
                <w:sz w:val="20"/>
                <w:szCs w:val="20"/>
              </w:rPr>
            </w:pPr>
            <w:r w:rsidRPr="00C47F2F">
              <w:rPr>
                <w:noProof/>
                <w:sz w:val="20"/>
                <w:szCs w:val="20"/>
              </w:rPr>
              <w:t>4.00E-05</w:t>
            </w:r>
          </w:p>
        </w:tc>
        <w:tc>
          <w:tcPr>
            <w:tcW w:w="934" w:type="dxa"/>
            <w:shd w:val="clear" w:color="auto" w:fill="auto"/>
            <w:noWrap/>
            <w:tcMar>
              <w:right w:w="57" w:type="dxa"/>
            </w:tcMar>
          </w:tcPr>
          <w:p w14:paraId="6A4AEABA" w14:textId="4594E000" w:rsidR="002A0476" w:rsidRPr="00C47F2F" w:rsidRDefault="002A0476" w:rsidP="0021254F">
            <w:pPr>
              <w:pStyle w:val="Table"/>
              <w:rPr>
                <w:noProof/>
                <w:sz w:val="20"/>
                <w:szCs w:val="20"/>
              </w:rPr>
            </w:pPr>
            <w:r w:rsidRPr="00C47F2F">
              <w:rPr>
                <w:noProof/>
                <w:sz w:val="20"/>
                <w:szCs w:val="20"/>
              </w:rPr>
              <w:t>3.20E-04</w:t>
            </w:r>
          </w:p>
        </w:tc>
        <w:tc>
          <w:tcPr>
            <w:tcW w:w="934" w:type="dxa"/>
            <w:shd w:val="clear" w:color="auto" w:fill="auto"/>
            <w:noWrap/>
            <w:tcMar>
              <w:right w:w="57" w:type="dxa"/>
            </w:tcMar>
          </w:tcPr>
          <w:p w14:paraId="571BD15D" w14:textId="7B622E5F" w:rsidR="002A0476" w:rsidRPr="00C47F2F" w:rsidRDefault="002A0476" w:rsidP="0021254F">
            <w:pPr>
              <w:pStyle w:val="Table"/>
              <w:rPr>
                <w:noProof/>
                <w:sz w:val="20"/>
                <w:szCs w:val="20"/>
              </w:rPr>
            </w:pPr>
            <w:r w:rsidRPr="00C47F2F">
              <w:rPr>
                <w:noProof/>
                <w:sz w:val="20"/>
                <w:szCs w:val="20"/>
              </w:rPr>
              <w:t>3.50E-04</w:t>
            </w:r>
          </w:p>
        </w:tc>
      </w:tr>
      <w:tr w:rsidR="00100C52" w:rsidRPr="00972C81" w14:paraId="390F8685" w14:textId="77777777" w:rsidTr="0021254F">
        <w:trPr>
          <w:trHeight w:val="397"/>
        </w:trPr>
        <w:tc>
          <w:tcPr>
            <w:tcW w:w="3423" w:type="dxa"/>
            <w:shd w:val="clear" w:color="auto" w:fill="auto"/>
            <w:noWrap/>
          </w:tcPr>
          <w:p w14:paraId="4AE56947" w14:textId="77777777" w:rsidR="002A0476" w:rsidRPr="00C47F2F" w:rsidRDefault="002A0476" w:rsidP="0021254F">
            <w:pPr>
              <w:pStyle w:val="Table"/>
              <w:rPr>
                <w:noProof/>
                <w:sz w:val="20"/>
                <w:szCs w:val="20"/>
              </w:rPr>
            </w:pPr>
            <w:r w:rsidRPr="00C47F2F">
              <w:rPr>
                <w:noProof/>
                <w:sz w:val="20"/>
                <w:szCs w:val="20"/>
              </w:rPr>
              <w:t>Deposition fraction for ovaries</w:t>
            </w:r>
          </w:p>
        </w:tc>
        <w:tc>
          <w:tcPr>
            <w:tcW w:w="934" w:type="dxa"/>
            <w:shd w:val="clear" w:color="auto" w:fill="auto"/>
            <w:noWrap/>
            <w:tcMar>
              <w:right w:w="57" w:type="dxa"/>
            </w:tcMar>
          </w:tcPr>
          <w:p w14:paraId="5E04B80F" w14:textId="0099F292" w:rsidR="002A0476" w:rsidRPr="00C47F2F" w:rsidRDefault="002A0476" w:rsidP="0021254F">
            <w:pPr>
              <w:pStyle w:val="Table"/>
              <w:rPr>
                <w:noProof/>
                <w:sz w:val="20"/>
                <w:szCs w:val="20"/>
              </w:rPr>
            </w:pPr>
            <w:r w:rsidRPr="00C47F2F">
              <w:rPr>
                <w:noProof/>
                <w:sz w:val="20"/>
                <w:szCs w:val="20"/>
              </w:rPr>
              <w:t>1.20E-05</w:t>
            </w:r>
          </w:p>
        </w:tc>
        <w:tc>
          <w:tcPr>
            <w:tcW w:w="934" w:type="dxa"/>
            <w:shd w:val="clear" w:color="auto" w:fill="auto"/>
            <w:noWrap/>
            <w:tcMar>
              <w:right w:w="57" w:type="dxa"/>
            </w:tcMar>
          </w:tcPr>
          <w:p w14:paraId="76160D89" w14:textId="2CFB687D" w:rsidR="002A0476" w:rsidRPr="00C47F2F" w:rsidRDefault="002A0476" w:rsidP="0021254F">
            <w:pPr>
              <w:pStyle w:val="Table"/>
              <w:rPr>
                <w:noProof/>
                <w:sz w:val="20"/>
                <w:szCs w:val="20"/>
              </w:rPr>
            </w:pPr>
            <w:r w:rsidRPr="00C47F2F">
              <w:rPr>
                <w:noProof/>
                <w:sz w:val="20"/>
                <w:szCs w:val="20"/>
              </w:rPr>
              <w:t>1.60E-05</w:t>
            </w:r>
          </w:p>
        </w:tc>
        <w:tc>
          <w:tcPr>
            <w:tcW w:w="934" w:type="dxa"/>
            <w:shd w:val="clear" w:color="auto" w:fill="auto"/>
            <w:noWrap/>
            <w:tcMar>
              <w:right w:w="57" w:type="dxa"/>
            </w:tcMar>
          </w:tcPr>
          <w:p w14:paraId="471224CC" w14:textId="43E445A6" w:rsidR="002A0476" w:rsidRPr="00C47F2F" w:rsidRDefault="002A0476" w:rsidP="0021254F">
            <w:pPr>
              <w:pStyle w:val="Table"/>
              <w:rPr>
                <w:noProof/>
                <w:sz w:val="20"/>
                <w:szCs w:val="20"/>
              </w:rPr>
            </w:pPr>
            <w:r w:rsidRPr="00C47F2F">
              <w:rPr>
                <w:noProof/>
                <w:sz w:val="20"/>
                <w:szCs w:val="20"/>
              </w:rPr>
              <w:t>4.00E-05</w:t>
            </w:r>
          </w:p>
        </w:tc>
        <w:tc>
          <w:tcPr>
            <w:tcW w:w="934" w:type="dxa"/>
            <w:shd w:val="clear" w:color="auto" w:fill="auto"/>
            <w:noWrap/>
            <w:tcMar>
              <w:right w:w="57" w:type="dxa"/>
            </w:tcMar>
          </w:tcPr>
          <w:p w14:paraId="1E1A92D5" w14:textId="2750C62A" w:rsidR="002A0476" w:rsidRPr="00C47F2F" w:rsidRDefault="002A0476" w:rsidP="0021254F">
            <w:pPr>
              <w:pStyle w:val="Table"/>
              <w:rPr>
                <w:noProof/>
                <w:sz w:val="20"/>
                <w:szCs w:val="20"/>
              </w:rPr>
            </w:pPr>
            <w:r w:rsidRPr="00C47F2F">
              <w:rPr>
                <w:noProof/>
                <w:sz w:val="20"/>
                <w:szCs w:val="20"/>
              </w:rPr>
              <w:t>7.00E-05</w:t>
            </w:r>
          </w:p>
        </w:tc>
        <w:tc>
          <w:tcPr>
            <w:tcW w:w="934" w:type="dxa"/>
            <w:shd w:val="clear" w:color="auto" w:fill="auto"/>
            <w:noWrap/>
            <w:tcMar>
              <w:right w:w="57" w:type="dxa"/>
            </w:tcMar>
          </w:tcPr>
          <w:p w14:paraId="7C7FBE5B" w14:textId="60CEF4C0" w:rsidR="002A0476" w:rsidRPr="00C47F2F" w:rsidRDefault="002A0476" w:rsidP="0021254F">
            <w:pPr>
              <w:pStyle w:val="Table"/>
              <w:rPr>
                <w:noProof/>
                <w:sz w:val="20"/>
                <w:szCs w:val="20"/>
              </w:rPr>
            </w:pPr>
            <w:r w:rsidRPr="00C47F2F">
              <w:rPr>
                <w:noProof/>
                <w:sz w:val="20"/>
                <w:szCs w:val="20"/>
              </w:rPr>
              <w:t>1.20E-04</w:t>
            </w:r>
          </w:p>
        </w:tc>
        <w:tc>
          <w:tcPr>
            <w:tcW w:w="934" w:type="dxa"/>
            <w:shd w:val="clear" w:color="auto" w:fill="auto"/>
            <w:noWrap/>
            <w:tcMar>
              <w:right w:w="57" w:type="dxa"/>
            </w:tcMar>
          </w:tcPr>
          <w:p w14:paraId="4BB6A61D" w14:textId="7E904C21" w:rsidR="002A0476" w:rsidRPr="00C47F2F" w:rsidRDefault="002A0476" w:rsidP="0021254F">
            <w:pPr>
              <w:pStyle w:val="Table"/>
              <w:rPr>
                <w:noProof/>
                <w:sz w:val="20"/>
                <w:szCs w:val="20"/>
              </w:rPr>
            </w:pPr>
            <w:r w:rsidRPr="00C47F2F">
              <w:rPr>
                <w:noProof/>
                <w:sz w:val="20"/>
                <w:szCs w:val="20"/>
              </w:rPr>
              <w:t>1.10E-04</w:t>
            </w:r>
          </w:p>
        </w:tc>
      </w:tr>
      <w:tr w:rsidR="00100C52" w:rsidRPr="00972C81" w14:paraId="77896C7F" w14:textId="77777777" w:rsidTr="0021254F">
        <w:trPr>
          <w:trHeight w:val="624"/>
        </w:trPr>
        <w:tc>
          <w:tcPr>
            <w:tcW w:w="3423" w:type="dxa"/>
            <w:shd w:val="clear" w:color="auto" w:fill="auto"/>
            <w:noWrap/>
          </w:tcPr>
          <w:p w14:paraId="23A869F2" w14:textId="77777777" w:rsidR="002A0476" w:rsidRPr="00C47F2F" w:rsidRDefault="002A0476" w:rsidP="0021254F">
            <w:pPr>
              <w:pStyle w:val="Table"/>
              <w:rPr>
                <w:noProof/>
                <w:sz w:val="20"/>
                <w:szCs w:val="20"/>
              </w:rPr>
            </w:pPr>
            <w:r w:rsidRPr="00C47F2F">
              <w:rPr>
                <w:noProof/>
                <w:sz w:val="20"/>
                <w:szCs w:val="20"/>
              </w:rPr>
              <w:t>Transfer rate from trabecular bone surface or volume to blood</w:t>
            </w:r>
          </w:p>
        </w:tc>
        <w:tc>
          <w:tcPr>
            <w:tcW w:w="934" w:type="dxa"/>
            <w:shd w:val="clear" w:color="auto" w:fill="auto"/>
            <w:noWrap/>
            <w:tcMar>
              <w:right w:w="57" w:type="dxa"/>
            </w:tcMar>
          </w:tcPr>
          <w:p w14:paraId="0EF52349" w14:textId="00C57ACA" w:rsidR="002A0476" w:rsidRPr="00C47F2F" w:rsidRDefault="002A0476" w:rsidP="0021254F">
            <w:pPr>
              <w:pStyle w:val="Table"/>
              <w:rPr>
                <w:noProof/>
                <w:sz w:val="20"/>
                <w:szCs w:val="20"/>
              </w:rPr>
            </w:pPr>
            <w:r w:rsidRPr="00C47F2F">
              <w:rPr>
                <w:noProof/>
                <w:sz w:val="20"/>
                <w:szCs w:val="20"/>
              </w:rPr>
              <w:t>8.22E-03</w:t>
            </w:r>
          </w:p>
        </w:tc>
        <w:tc>
          <w:tcPr>
            <w:tcW w:w="934" w:type="dxa"/>
            <w:shd w:val="clear" w:color="auto" w:fill="auto"/>
            <w:noWrap/>
            <w:tcMar>
              <w:right w:w="57" w:type="dxa"/>
            </w:tcMar>
          </w:tcPr>
          <w:p w14:paraId="6D576E19" w14:textId="330440F8" w:rsidR="002A0476" w:rsidRPr="00C47F2F" w:rsidRDefault="002A0476" w:rsidP="0021254F">
            <w:pPr>
              <w:pStyle w:val="Table"/>
              <w:rPr>
                <w:noProof/>
                <w:sz w:val="20"/>
                <w:szCs w:val="20"/>
              </w:rPr>
            </w:pPr>
            <w:r w:rsidRPr="00C47F2F">
              <w:rPr>
                <w:noProof/>
                <w:sz w:val="20"/>
                <w:szCs w:val="20"/>
              </w:rPr>
              <w:t>2.88E-03</w:t>
            </w:r>
          </w:p>
        </w:tc>
        <w:tc>
          <w:tcPr>
            <w:tcW w:w="934" w:type="dxa"/>
            <w:shd w:val="clear" w:color="auto" w:fill="auto"/>
            <w:noWrap/>
            <w:tcMar>
              <w:right w:w="57" w:type="dxa"/>
            </w:tcMar>
          </w:tcPr>
          <w:p w14:paraId="4E27B954" w14:textId="453D3CAA" w:rsidR="002A0476" w:rsidRPr="00C47F2F" w:rsidRDefault="002A0476" w:rsidP="0021254F">
            <w:pPr>
              <w:pStyle w:val="Table"/>
              <w:rPr>
                <w:noProof/>
                <w:sz w:val="20"/>
                <w:szCs w:val="20"/>
              </w:rPr>
            </w:pPr>
            <w:r w:rsidRPr="00C47F2F">
              <w:rPr>
                <w:noProof/>
                <w:sz w:val="20"/>
                <w:szCs w:val="20"/>
              </w:rPr>
              <w:t>1.81E-03</w:t>
            </w:r>
          </w:p>
        </w:tc>
        <w:tc>
          <w:tcPr>
            <w:tcW w:w="934" w:type="dxa"/>
            <w:shd w:val="clear" w:color="auto" w:fill="auto"/>
            <w:noWrap/>
            <w:tcMar>
              <w:right w:w="57" w:type="dxa"/>
            </w:tcMar>
          </w:tcPr>
          <w:p w14:paraId="64FDBC48" w14:textId="594D318A" w:rsidR="002A0476" w:rsidRPr="00C47F2F" w:rsidRDefault="002A0476" w:rsidP="0021254F">
            <w:pPr>
              <w:pStyle w:val="Table"/>
              <w:rPr>
                <w:noProof/>
                <w:sz w:val="20"/>
                <w:szCs w:val="20"/>
              </w:rPr>
            </w:pPr>
            <w:r w:rsidRPr="00C47F2F">
              <w:rPr>
                <w:noProof/>
                <w:sz w:val="20"/>
                <w:szCs w:val="20"/>
              </w:rPr>
              <w:t>1.32E-03</w:t>
            </w:r>
          </w:p>
        </w:tc>
        <w:tc>
          <w:tcPr>
            <w:tcW w:w="934" w:type="dxa"/>
            <w:shd w:val="clear" w:color="auto" w:fill="auto"/>
            <w:noWrap/>
            <w:tcMar>
              <w:right w:w="57" w:type="dxa"/>
            </w:tcMar>
          </w:tcPr>
          <w:p w14:paraId="752CFE27" w14:textId="01727352" w:rsidR="002A0476" w:rsidRPr="00C47F2F" w:rsidRDefault="002A0476" w:rsidP="0021254F">
            <w:pPr>
              <w:pStyle w:val="Table"/>
              <w:rPr>
                <w:noProof/>
                <w:sz w:val="20"/>
                <w:szCs w:val="20"/>
              </w:rPr>
            </w:pPr>
            <w:r w:rsidRPr="00C47F2F">
              <w:rPr>
                <w:noProof/>
                <w:sz w:val="20"/>
                <w:szCs w:val="20"/>
              </w:rPr>
              <w:t>9.59E-04</w:t>
            </w:r>
          </w:p>
        </w:tc>
        <w:tc>
          <w:tcPr>
            <w:tcW w:w="934" w:type="dxa"/>
            <w:shd w:val="clear" w:color="auto" w:fill="auto"/>
            <w:noWrap/>
            <w:tcMar>
              <w:right w:w="57" w:type="dxa"/>
            </w:tcMar>
          </w:tcPr>
          <w:p w14:paraId="5A1F22DD" w14:textId="1EBED1C1" w:rsidR="002A0476" w:rsidRPr="00C47F2F" w:rsidRDefault="002A0476" w:rsidP="0021254F">
            <w:pPr>
              <w:pStyle w:val="Table"/>
              <w:rPr>
                <w:noProof/>
                <w:sz w:val="20"/>
                <w:szCs w:val="20"/>
              </w:rPr>
            </w:pPr>
            <w:r w:rsidRPr="00C47F2F">
              <w:rPr>
                <w:noProof/>
                <w:sz w:val="20"/>
                <w:szCs w:val="20"/>
              </w:rPr>
              <w:t>4.93E-04</w:t>
            </w:r>
          </w:p>
        </w:tc>
      </w:tr>
      <w:tr w:rsidR="00100C52" w:rsidRPr="00972C81" w14:paraId="2DF4A64B" w14:textId="77777777" w:rsidTr="0021254F">
        <w:trPr>
          <w:trHeight w:val="624"/>
        </w:trPr>
        <w:tc>
          <w:tcPr>
            <w:tcW w:w="3423" w:type="dxa"/>
            <w:shd w:val="clear" w:color="auto" w:fill="auto"/>
            <w:noWrap/>
          </w:tcPr>
          <w:p w14:paraId="6E1439C6" w14:textId="77777777" w:rsidR="002A0476" w:rsidRPr="00C47F2F" w:rsidRDefault="002A0476" w:rsidP="0021254F">
            <w:pPr>
              <w:pStyle w:val="Table"/>
              <w:rPr>
                <w:noProof/>
                <w:sz w:val="20"/>
                <w:szCs w:val="20"/>
              </w:rPr>
            </w:pPr>
            <w:r w:rsidRPr="00C47F2F">
              <w:rPr>
                <w:noProof/>
                <w:sz w:val="20"/>
                <w:szCs w:val="20"/>
              </w:rPr>
              <w:t>Transfer rate from cortical bone surface or volume to blood</w:t>
            </w:r>
          </w:p>
        </w:tc>
        <w:tc>
          <w:tcPr>
            <w:tcW w:w="934" w:type="dxa"/>
            <w:shd w:val="clear" w:color="auto" w:fill="auto"/>
            <w:noWrap/>
            <w:tcMar>
              <w:right w:w="57" w:type="dxa"/>
            </w:tcMar>
          </w:tcPr>
          <w:p w14:paraId="18F94184" w14:textId="19819F1A" w:rsidR="002A0476" w:rsidRPr="00C47F2F" w:rsidRDefault="002A0476" w:rsidP="0021254F">
            <w:pPr>
              <w:pStyle w:val="Table"/>
              <w:rPr>
                <w:noProof/>
                <w:sz w:val="20"/>
                <w:szCs w:val="20"/>
              </w:rPr>
            </w:pPr>
            <w:r w:rsidRPr="00C47F2F">
              <w:rPr>
                <w:noProof/>
                <w:sz w:val="20"/>
                <w:szCs w:val="20"/>
              </w:rPr>
              <w:t>8.22E-03</w:t>
            </w:r>
          </w:p>
        </w:tc>
        <w:tc>
          <w:tcPr>
            <w:tcW w:w="934" w:type="dxa"/>
            <w:shd w:val="clear" w:color="auto" w:fill="auto"/>
            <w:noWrap/>
            <w:tcMar>
              <w:right w:w="57" w:type="dxa"/>
            </w:tcMar>
          </w:tcPr>
          <w:p w14:paraId="2D531DAD" w14:textId="1CC15A16" w:rsidR="002A0476" w:rsidRPr="00C47F2F" w:rsidRDefault="002A0476" w:rsidP="0021254F">
            <w:pPr>
              <w:pStyle w:val="Table"/>
              <w:rPr>
                <w:noProof/>
                <w:sz w:val="20"/>
                <w:szCs w:val="20"/>
              </w:rPr>
            </w:pPr>
            <w:r w:rsidRPr="00C47F2F">
              <w:rPr>
                <w:noProof/>
                <w:sz w:val="20"/>
                <w:szCs w:val="20"/>
              </w:rPr>
              <w:t>2.88E-03</w:t>
            </w:r>
          </w:p>
        </w:tc>
        <w:tc>
          <w:tcPr>
            <w:tcW w:w="934" w:type="dxa"/>
            <w:shd w:val="clear" w:color="auto" w:fill="auto"/>
            <w:noWrap/>
            <w:tcMar>
              <w:right w:w="57" w:type="dxa"/>
            </w:tcMar>
          </w:tcPr>
          <w:p w14:paraId="68A63C94" w14:textId="40A9D193" w:rsidR="002A0476" w:rsidRPr="00C47F2F" w:rsidRDefault="002A0476" w:rsidP="0021254F">
            <w:pPr>
              <w:pStyle w:val="Table"/>
              <w:rPr>
                <w:noProof/>
                <w:sz w:val="20"/>
                <w:szCs w:val="20"/>
              </w:rPr>
            </w:pPr>
            <w:r w:rsidRPr="00C47F2F">
              <w:rPr>
                <w:noProof/>
                <w:sz w:val="20"/>
                <w:szCs w:val="20"/>
              </w:rPr>
              <w:t>1.53E-03</w:t>
            </w:r>
          </w:p>
        </w:tc>
        <w:tc>
          <w:tcPr>
            <w:tcW w:w="934" w:type="dxa"/>
            <w:shd w:val="clear" w:color="auto" w:fill="auto"/>
            <w:noWrap/>
            <w:tcMar>
              <w:right w:w="57" w:type="dxa"/>
            </w:tcMar>
          </w:tcPr>
          <w:p w14:paraId="4C6EE596" w14:textId="4DD9D2D9" w:rsidR="002A0476" w:rsidRPr="00C47F2F" w:rsidRDefault="002A0476" w:rsidP="0021254F">
            <w:pPr>
              <w:pStyle w:val="Table"/>
              <w:rPr>
                <w:noProof/>
                <w:sz w:val="20"/>
                <w:szCs w:val="20"/>
              </w:rPr>
            </w:pPr>
            <w:r w:rsidRPr="00C47F2F">
              <w:rPr>
                <w:noProof/>
                <w:sz w:val="20"/>
                <w:szCs w:val="20"/>
              </w:rPr>
              <w:t>9.04E-04</w:t>
            </w:r>
          </w:p>
        </w:tc>
        <w:tc>
          <w:tcPr>
            <w:tcW w:w="934" w:type="dxa"/>
            <w:shd w:val="clear" w:color="auto" w:fill="auto"/>
            <w:noWrap/>
            <w:tcMar>
              <w:right w:w="57" w:type="dxa"/>
            </w:tcMar>
          </w:tcPr>
          <w:p w14:paraId="556A93F1" w14:textId="387ABA48" w:rsidR="002A0476" w:rsidRPr="00C47F2F" w:rsidRDefault="002A0476" w:rsidP="0021254F">
            <w:pPr>
              <w:pStyle w:val="Table"/>
              <w:rPr>
                <w:noProof/>
                <w:sz w:val="20"/>
                <w:szCs w:val="20"/>
              </w:rPr>
            </w:pPr>
            <w:r w:rsidRPr="00C47F2F">
              <w:rPr>
                <w:noProof/>
                <w:sz w:val="20"/>
                <w:szCs w:val="20"/>
              </w:rPr>
              <w:t>5.21E-04</w:t>
            </w:r>
          </w:p>
        </w:tc>
        <w:tc>
          <w:tcPr>
            <w:tcW w:w="934" w:type="dxa"/>
            <w:shd w:val="clear" w:color="auto" w:fill="auto"/>
            <w:noWrap/>
            <w:tcMar>
              <w:right w:w="57" w:type="dxa"/>
            </w:tcMar>
          </w:tcPr>
          <w:p w14:paraId="74BA6654" w14:textId="574921C3" w:rsidR="002A0476" w:rsidRPr="00C47F2F" w:rsidRDefault="002A0476" w:rsidP="0021254F">
            <w:pPr>
              <w:pStyle w:val="Table"/>
              <w:rPr>
                <w:noProof/>
                <w:sz w:val="20"/>
                <w:szCs w:val="20"/>
              </w:rPr>
            </w:pPr>
            <w:r w:rsidRPr="00C47F2F">
              <w:rPr>
                <w:noProof/>
                <w:sz w:val="20"/>
                <w:szCs w:val="20"/>
              </w:rPr>
              <w:t>8.21E-05</w:t>
            </w:r>
          </w:p>
        </w:tc>
      </w:tr>
      <w:tr w:rsidR="00100C52" w:rsidRPr="00972C81" w14:paraId="4B7875E6" w14:textId="77777777" w:rsidTr="0021254F">
        <w:trPr>
          <w:trHeight w:val="624"/>
        </w:trPr>
        <w:tc>
          <w:tcPr>
            <w:tcW w:w="3423" w:type="dxa"/>
            <w:shd w:val="clear" w:color="auto" w:fill="auto"/>
            <w:noWrap/>
          </w:tcPr>
          <w:p w14:paraId="1D9C55CD" w14:textId="77777777" w:rsidR="002A0476" w:rsidRPr="00C47F2F" w:rsidRDefault="002A0476" w:rsidP="0021254F">
            <w:pPr>
              <w:pStyle w:val="Table"/>
              <w:rPr>
                <w:noProof/>
                <w:sz w:val="20"/>
                <w:szCs w:val="20"/>
              </w:rPr>
            </w:pPr>
            <w:r w:rsidRPr="00C47F2F">
              <w:rPr>
                <w:noProof/>
                <w:sz w:val="20"/>
                <w:szCs w:val="20"/>
              </w:rPr>
              <w:t>Transfer rate from trabecular bone surface to trabecular bone volume</w:t>
            </w:r>
          </w:p>
        </w:tc>
        <w:tc>
          <w:tcPr>
            <w:tcW w:w="934" w:type="dxa"/>
            <w:shd w:val="clear" w:color="auto" w:fill="auto"/>
            <w:noWrap/>
            <w:tcMar>
              <w:right w:w="57" w:type="dxa"/>
            </w:tcMar>
          </w:tcPr>
          <w:p w14:paraId="1194690D" w14:textId="2BA12C3A" w:rsidR="002A0476" w:rsidRPr="00C47F2F" w:rsidRDefault="002A0476" w:rsidP="0021254F">
            <w:pPr>
              <w:pStyle w:val="Table"/>
              <w:rPr>
                <w:noProof/>
                <w:sz w:val="20"/>
                <w:szCs w:val="20"/>
              </w:rPr>
            </w:pPr>
            <w:r w:rsidRPr="00C47F2F">
              <w:rPr>
                <w:noProof/>
                <w:sz w:val="20"/>
                <w:szCs w:val="20"/>
              </w:rPr>
              <w:t>8.22E-03</w:t>
            </w:r>
          </w:p>
        </w:tc>
        <w:tc>
          <w:tcPr>
            <w:tcW w:w="934" w:type="dxa"/>
            <w:shd w:val="clear" w:color="auto" w:fill="auto"/>
            <w:noWrap/>
            <w:tcMar>
              <w:right w:w="57" w:type="dxa"/>
            </w:tcMar>
          </w:tcPr>
          <w:p w14:paraId="058EC775" w14:textId="612A869C" w:rsidR="002A0476" w:rsidRPr="00C47F2F" w:rsidRDefault="002A0476" w:rsidP="0021254F">
            <w:pPr>
              <w:pStyle w:val="Table"/>
              <w:rPr>
                <w:noProof/>
                <w:sz w:val="20"/>
                <w:szCs w:val="20"/>
              </w:rPr>
            </w:pPr>
            <w:r w:rsidRPr="00C47F2F">
              <w:rPr>
                <w:noProof/>
                <w:sz w:val="20"/>
                <w:szCs w:val="20"/>
              </w:rPr>
              <w:t>2.88E-03</w:t>
            </w:r>
          </w:p>
        </w:tc>
        <w:tc>
          <w:tcPr>
            <w:tcW w:w="934" w:type="dxa"/>
            <w:shd w:val="clear" w:color="auto" w:fill="auto"/>
            <w:noWrap/>
            <w:tcMar>
              <w:right w:w="57" w:type="dxa"/>
            </w:tcMar>
          </w:tcPr>
          <w:p w14:paraId="51867BAA" w14:textId="377AEAD6" w:rsidR="002A0476" w:rsidRPr="00C47F2F" w:rsidRDefault="002A0476" w:rsidP="0021254F">
            <w:pPr>
              <w:pStyle w:val="Table"/>
              <w:rPr>
                <w:noProof/>
                <w:sz w:val="20"/>
                <w:szCs w:val="20"/>
              </w:rPr>
            </w:pPr>
            <w:r w:rsidRPr="00C47F2F">
              <w:rPr>
                <w:noProof/>
                <w:sz w:val="20"/>
                <w:szCs w:val="20"/>
              </w:rPr>
              <w:t>1.81E-03</w:t>
            </w:r>
          </w:p>
        </w:tc>
        <w:tc>
          <w:tcPr>
            <w:tcW w:w="934" w:type="dxa"/>
            <w:shd w:val="clear" w:color="auto" w:fill="auto"/>
            <w:noWrap/>
            <w:tcMar>
              <w:right w:w="57" w:type="dxa"/>
            </w:tcMar>
          </w:tcPr>
          <w:p w14:paraId="2F431063" w14:textId="018FD742" w:rsidR="002A0476" w:rsidRPr="00C47F2F" w:rsidRDefault="002A0476" w:rsidP="0021254F">
            <w:pPr>
              <w:pStyle w:val="Table"/>
              <w:rPr>
                <w:noProof/>
                <w:sz w:val="20"/>
                <w:szCs w:val="20"/>
              </w:rPr>
            </w:pPr>
            <w:r w:rsidRPr="00C47F2F">
              <w:rPr>
                <w:noProof/>
                <w:sz w:val="20"/>
                <w:szCs w:val="20"/>
              </w:rPr>
              <w:t>1.32E-03</w:t>
            </w:r>
          </w:p>
        </w:tc>
        <w:tc>
          <w:tcPr>
            <w:tcW w:w="934" w:type="dxa"/>
            <w:shd w:val="clear" w:color="auto" w:fill="auto"/>
            <w:noWrap/>
            <w:tcMar>
              <w:right w:w="57" w:type="dxa"/>
            </w:tcMar>
          </w:tcPr>
          <w:p w14:paraId="3AD86175" w14:textId="0641A558" w:rsidR="002A0476" w:rsidRPr="00C47F2F" w:rsidRDefault="002A0476" w:rsidP="0021254F">
            <w:pPr>
              <w:pStyle w:val="Table"/>
              <w:rPr>
                <w:noProof/>
                <w:sz w:val="20"/>
                <w:szCs w:val="20"/>
              </w:rPr>
            </w:pPr>
            <w:r w:rsidRPr="00C47F2F">
              <w:rPr>
                <w:noProof/>
                <w:sz w:val="20"/>
                <w:szCs w:val="20"/>
              </w:rPr>
              <w:t>9.59E-04</w:t>
            </w:r>
          </w:p>
        </w:tc>
        <w:tc>
          <w:tcPr>
            <w:tcW w:w="934" w:type="dxa"/>
            <w:shd w:val="clear" w:color="auto" w:fill="auto"/>
            <w:noWrap/>
            <w:tcMar>
              <w:right w:w="57" w:type="dxa"/>
            </w:tcMar>
          </w:tcPr>
          <w:p w14:paraId="1A1FA7E3" w14:textId="1F70D473" w:rsidR="002A0476" w:rsidRPr="00C47F2F" w:rsidRDefault="002A0476" w:rsidP="0021254F">
            <w:pPr>
              <w:pStyle w:val="Table"/>
              <w:rPr>
                <w:noProof/>
                <w:sz w:val="20"/>
                <w:szCs w:val="20"/>
              </w:rPr>
            </w:pPr>
            <w:r w:rsidRPr="00C47F2F">
              <w:rPr>
                <w:noProof/>
                <w:sz w:val="20"/>
                <w:szCs w:val="20"/>
              </w:rPr>
              <w:t>1.23E-04</w:t>
            </w:r>
          </w:p>
        </w:tc>
      </w:tr>
      <w:tr w:rsidR="00100C52" w:rsidRPr="00972C81" w14:paraId="2AC1986A" w14:textId="77777777" w:rsidTr="0021254F">
        <w:trPr>
          <w:trHeight w:val="624"/>
        </w:trPr>
        <w:tc>
          <w:tcPr>
            <w:tcW w:w="3423" w:type="dxa"/>
            <w:tcBorders>
              <w:bottom w:val="single" w:sz="4" w:space="0" w:color="auto"/>
            </w:tcBorders>
            <w:shd w:val="clear" w:color="auto" w:fill="auto"/>
            <w:noWrap/>
          </w:tcPr>
          <w:p w14:paraId="674FC880" w14:textId="77777777" w:rsidR="002A0476" w:rsidRPr="00C47F2F" w:rsidRDefault="002A0476" w:rsidP="0021254F">
            <w:pPr>
              <w:pStyle w:val="Table"/>
              <w:rPr>
                <w:noProof/>
                <w:sz w:val="20"/>
                <w:szCs w:val="20"/>
              </w:rPr>
            </w:pPr>
            <w:r w:rsidRPr="00C47F2F">
              <w:rPr>
                <w:noProof/>
                <w:sz w:val="20"/>
                <w:szCs w:val="20"/>
              </w:rPr>
              <w:t>Transfer rate from cortical bone surface to cortical bone volume</w:t>
            </w:r>
          </w:p>
        </w:tc>
        <w:tc>
          <w:tcPr>
            <w:tcW w:w="934" w:type="dxa"/>
            <w:tcBorders>
              <w:bottom w:val="single" w:sz="4" w:space="0" w:color="auto"/>
            </w:tcBorders>
            <w:shd w:val="clear" w:color="auto" w:fill="auto"/>
            <w:noWrap/>
            <w:tcMar>
              <w:right w:w="57" w:type="dxa"/>
            </w:tcMar>
          </w:tcPr>
          <w:p w14:paraId="7ACBCF6E" w14:textId="4692F695" w:rsidR="002A0476" w:rsidRPr="00C47F2F" w:rsidRDefault="002A0476" w:rsidP="0021254F">
            <w:pPr>
              <w:pStyle w:val="Table"/>
              <w:rPr>
                <w:noProof/>
                <w:sz w:val="20"/>
                <w:szCs w:val="20"/>
              </w:rPr>
            </w:pPr>
            <w:r w:rsidRPr="00C47F2F">
              <w:rPr>
                <w:noProof/>
                <w:sz w:val="20"/>
                <w:szCs w:val="20"/>
              </w:rPr>
              <w:t>8.22E-03</w:t>
            </w:r>
          </w:p>
        </w:tc>
        <w:tc>
          <w:tcPr>
            <w:tcW w:w="934" w:type="dxa"/>
            <w:tcBorders>
              <w:bottom w:val="single" w:sz="4" w:space="0" w:color="auto"/>
            </w:tcBorders>
            <w:shd w:val="clear" w:color="auto" w:fill="auto"/>
            <w:noWrap/>
            <w:tcMar>
              <w:right w:w="57" w:type="dxa"/>
            </w:tcMar>
          </w:tcPr>
          <w:p w14:paraId="77E1B59B" w14:textId="0F0A9287" w:rsidR="002A0476" w:rsidRPr="00C47F2F" w:rsidRDefault="002A0476" w:rsidP="0021254F">
            <w:pPr>
              <w:pStyle w:val="Table"/>
              <w:rPr>
                <w:noProof/>
                <w:sz w:val="20"/>
                <w:szCs w:val="20"/>
              </w:rPr>
            </w:pPr>
            <w:r w:rsidRPr="00C47F2F">
              <w:rPr>
                <w:noProof/>
                <w:sz w:val="20"/>
                <w:szCs w:val="20"/>
              </w:rPr>
              <w:t>2.88E-03</w:t>
            </w:r>
          </w:p>
        </w:tc>
        <w:tc>
          <w:tcPr>
            <w:tcW w:w="934" w:type="dxa"/>
            <w:tcBorders>
              <w:bottom w:val="single" w:sz="4" w:space="0" w:color="auto"/>
            </w:tcBorders>
            <w:shd w:val="clear" w:color="auto" w:fill="auto"/>
            <w:noWrap/>
            <w:tcMar>
              <w:right w:w="57" w:type="dxa"/>
            </w:tcMar>
          </w:tcPr>
          <w:p w14:paraId="2900E4E2" w14:textId="23A3FF7D" w:rsidR="002A0476" w:rsidRPr="00C47F2F" w:rsidRDefault="002A0476" w:rsidP="0021254F">
            <w:pPr>
              <w:pStyle w:val="Table"/>
              <w:rPr>
                <w:noProof/>
                <w:sz w:val="20"/>
                <w:szCs w:val="20"/>
              </w:rPr>
            </w:pPr>
            <w:r w:rsidRPr="00C47F2F">
              <w:rPr>
                <w:noProof/>
                <w:sz w:val="20"/>
                <w:szCs w:val="20"/>
              </w:rPr>
              <w:t>1.53E-03</w:t>
            </w:r>
          </w:p>
        </w:tc>
        <w:tc>
          <w:tcPr>
            <w:tcW w:w="934" w:type="dxa"/>
            <w:tcBorders>
              <w:bottom w:val="single" w:sz="4" w:space="0" w:color="auto"/>
            </w:tcBorders>
            <w:shd w:val="clear" w:color="auto" w:fill="auto"/>
            <w:noWrap/>
            <w:tcMar>
              <w:right w:w="57" w:type="dxa"/>
            </w:tcMar>
          </w:tcPr>
          <w:p w14:paraId="22598965" w14:textId="658D2BF5" w:rsidR="002A0476" w:rsidRPr="00C47F2F" w:rsidRDefault="002A0476" w:rsidP="0021254F">
            <w:pPr>
              <w:pStyle w:val="Table"/>
              <w:rPr>
                <w:noProof/>
                <w:sz w:val="20"/>
                <w:szCs w:val="20"/>
              </w:rPr>
            </w:pPr>
            <w:r w:rsidRPr="00C47F2F">
              <w:rPr>
                <w:noProof/>
                <w:sz w:val="20"/>
                <w:szCs w:val="20"/>
              </w:rPr>
              <w:t>9.04E-04</w:t>
            </w:r>
          </w:p>
        </w:tc>
        <w:tc>
          <w:tcPr>
            <w:tcW w:w="934" w:type="dxa"/>
            <w:tcBorders>
              <w:bottom w:val="single" w:sz="4" w:space="0" w:color="auto"/>
            </w:tcBorders>
            <w:shd w:val="clear" w:color="auto" w:fill="auto"/>
            <w:noWrap/>
            <w:tcMar>
              <w:right w:w="57" w:type="dxa"/>
            </w:tcMar>
          </w:tcPr>
          <w:p w14:paraId="5FF8B29E" w14:textId="73DC5621" w:rsidR="002A0476" w:rsidRPr="00C47F2F" w:rsidRDefault="002A0476" w:rsidP="0021254F">
            <w:pPr>
              <w:pStyle w:val="Table"/>
              <w:rPr>
                <w:noProof/>
                <w:sz w:val="20"/>
                <w:szCs w:val="20"/>
              </w:rPr>
            </w:pPr>
            <w:r w:rsidRPr="00C47F2F">
              <w:rPr>
                <w:noProof/>
                <w:sz w:val="20"/>
                <w:szCs w:val="20"/>
              </w:rPr>
              <w:t>5.21E-04</w:t>
            </w:r>
          </w:p>
        </w:tc>
        <w:tc>
          <w:tcPr>
            <w:tcW w:w="934" w:type="dxa"/>
            <w:tcBorders>
              <w:bottom w:val="single" w:sz="4" w:space="0" w:color="auto"/>
            </w:tcBorders>
            <w:shd w:val="clear" w:color="auto" w:fill="auto"/>
            <w:noWrap/>
            <w:tcMar>
              <w:right w:w="57" w:type="dxa"/>
            </w:tcMar>
          </w:tcPr>
          <w:p w14:paraId="62E949D0" w14:textId="66E1210E" w:rsidR="002A0476" w:rsidRPr="00C47F2F" w:rsidRDefault="002A0476" w:rsidP="0021254F">
            <w:pPr>
              <w:pStyle w:val="Table"/>
              <w:rPr>
                <w:noProof/>
                <w:sz w:val="20"/>
                <w:szCs w:val="20"/>
              </w:rPr>
            </w:pPr>
            <w:r w:rsidRPr="00C47F2F">
              <w:rPr>
                <w:noProof/>
                <w:sz w:val="20"/>
                <w:szCs w:val="20"/>
              </w:rPr>
              <w:t>2.05E-05</w:t>
            </w:r>
          </w:p>
        </w:tc>
      </w:tr>
    </w:tbl>
    <w:p w14:paraId="2889F643" w14:textId="1EAB957E" w:rsidR="002A0476" w:rsidRPr="00972C81" w:rsidRDefault="002A0476" w:rsidP="002A0476">
      <w:pPr>
        <w:rPr>
          <w:noProof/>
        </w:rPr>
      </w:pPr>
      <w:bookmarkStart w:id="326" w:name="_Ref143685863"/>
    </w:p>
    <w:p w14:paraId="36F3009E" w14:textId="77777777" w:rsidR="0021254F" w:rsidRDefault="0021254F">
      <w:pPr>
        <w:widowControl/>
        <w:jc w:val="left"/>
        <w:rPr>
          <w:noProof/>
          <w:szCs w:val="24"/>
        </w:rPr>
      </w:pPr>
      <w:r>
        <w:rPr>
          <w:noProof/>
          <w:szCs w:val="24"/>
        </w:rPr>
        <w:br w:type="page"/>
      </w:r>
    </w:p>
    <w:p w14:paraId="740FA7FF" w14:textId="6621BA3F" w:rsidR="0066789F" w:rsidRPr="00C47F2F" w:rsidRDefault="007D7BA2" w:rsidP="00E81109">
      <w:pPr>
        <w:pStyle w:val="ab"/>
        <w:rPr>
          <w:noProof/>
          <w:sz w:val="24"/>
          <w:szCs w:val="24"/>
        </w:rPr>
      </w:pPr>
      <w:r w:rsidRPr="00C47F2F">
        <w:rPr>
          <w:noProof/>
          <w:sz w:val="24"/>
          <w:szCs w:val="24"/>
        </w:rPr>
        <w:lastRenderedPageBreak/>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22</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3</w:t>
      </w:r>
      <w:r w:rsidR="00EA3750" w:rsidRPr="00C47F2F">
        <w:rPr>
          <w:noProof/>
          <w:sz w:val="24"/>
          <w:szCs w:val="24"/>
        </w:rPr>
        <w:fldChar w:fldCharType="end"/>
      </w:r>
      <w:bookmarkEnd w:id="326"/>
      <w:r w:rsidRPr="00C47F2F">
        <w:rPr>
          <w:noProof/>
          <w:sz w:val="24"/>
          <w:szCs w:val="24"/>
        </w:rPr>
        <w:t>.</w:t>
      </w:r>
      <w:r w:rsidR="00684B79" w:rsidRPr="00C47F2F">
        <w:rPr>
          <w:noProof/>
          <w:sz w:val="24"/>
          <w:szCs w:val="24"/>
        </w:rPr>
        <w:t xml:space="preserve"> Age-specific transfer coefficients for plutonium.</w:t>
      </w:r>
      <w:r w:rsidR="00F103A8">
        <w:rPr>
          <w:noProof/>
          <w:sz w:val="24"/>
          <w:szCs w:val="24"/>
        </w:rPr>
        <w:t xml:space="preserve"> </w:t>
      </w:r>
      <w:r w:rsidR="00F103A8">
        <w:rPr>
          <w:noProof/>
        </w:rPr>
        <w:t>Absorbed plutonium is assumed to enter Blood 0.</w:t>
      </w:r>
    </w:p>
    <w:tbl>
      <w:tblPr>
        <w:tblW w:w="5000" w:type="pct"/>
        <w:tblLayout w:type="fixed"/>
        <w:tblLook w:val="04A0" w:firstRow="1" w:lastRow="0" w:firstColumn="1" w:lastColumn="0" w:noHBand="0" w:noVBand="1"/>
      </w:tblPr>
      <w:tblGrid>
        <w:gridCol w:w="3000"/>
        <w:gridCol w:w="1003"/>
        <w:gridCol w:w="1006"/>
        <w:gridCol w:w="1004"/>
        <w:gridCol w:w="1006"/>
        <w:gridCol w:w="1004"/>
        <w:gridCol w:w="1004"/>
      </w:tblGrid>
      <w:tr w:rsidR="0066789F" w:rsidRPr="00972C81" w14:paraId="21628A58" w14:textId="77777777" w:rsidTr="0021254F">
        <w:trPr>
          <w:trHeight w:val="300"/>
        </w:trPr>
        <w:tc>
          <w:tcPr>
            <w:tcW w:w="1662" w:type="pct"/>
            <w:vMerge w:val="restart"/>
            <w:tcBorders>
              <w:top w:val="single" w:sz="4" w:space="0" w:color="auto"/>
            </w:tcBorders>
            <w:shd w:val="clear" w:color="auto" w:fill="auto"/>
            <w:noWrap/>
          </w:tcPr>
          <w:p w14:paraId="0AD3FFBA" w14:textId="77777777" w:rsidR="0066789F" w:rsidRPr="00972C81" w:rsidRDefault="0066789F" w:rsidP="00E81109">
            <w:pPr>
              <w:pStyle w:val="Table"/>
              <w:rPr>
                <w:noProof/>
              </w:rPr>
            </w:pPr>
          </w:p>
          <w:p w14:paraId="02063347" w14:textId="6155FC04" w:rsidR="0066789F" w:rsidRPr="00972C81" w:rsidRDefault="0066789F" w:rsidP="00E81109">
            <w:pPr>
              <w:pStyle w:val="Table"/>
              <w:rPr>
                <w:noProof/>
              </w:rPr>
            </w:pPr>
            <w:r w:rsidRPr="00972C81">
              <w:rPr>
                <w:noProof/>
              </w:rPr>
              <w:t>Pathway</w:t>
            </w:r>
            <w:r w:rsidR="00F103A8" w:rsidRPr="00F103A8">
              <w:rPr>
                <w:noProof/>
                <w:vertAlign w:val="superscript"/>
              </w:rPr>
              <w:t>a</w:t>
            </w:r>
          </w:p>
        </w:tc>
        <w:tc>
          <w:tcPr>
            <w:tcW w:w="3338" w:type="pct"/>
            <w:gridSpan w:val="6"/>
            <w:tcBorders>
              <w:top w:val="single" w:sz="4" w:space="0" w:color="auto"/>
              <w:bottom w:val="single" w:sz="4" w:space="0" w:color="auto"/>
            </w:tcBorders>
            <w:shd w:val="clear" w:color="auto" w:fill="auto"/>
            <w:noWrap/>
            <w:vAlign w:val="center"/>
          </w:tcPr>
          <w:p w14:paraId="42E9E0D1" w14:textId="77777777" w:rsidR="0066789F" w:rsidRPr="00972C81" w:rsidRDefault="0066789F" w:rsidP="0021254F">
            <w:pPr>
              <w:pStyle w:val="Table"/>
              <w:jc w:val="center"/>
              <w:rPr>
                <w:noProof/>
              </w:rPr>
            </w:pPr>
            <w:r w:rsidRPr="00972C81">
              <w:rPr>
                <w:noProof/>
              </w:rPr>
              <w:t>Transfer coefficient (d</w:t>
            </w:r>
            <w:r w:rsidRPr="00E2619D">
              <w:rPr>
                <w:noProof/>
                <w:vertAlign w:val="superscript"/>
              </w:rPr>
              <w:t>-1</w:t>
            </w:r>
            <w:r w:rsidRPr="00972C81">
              <w:rPr>
                <w:noProof/>
              </w:rPr>
              <w:t>)</w:t>
            </w:r>
          </w:p>
        </w:tc>
      </w:tr>
      <w:tr w:rsidR="00100C52" w:rsidRPr="00972C81" w14:paraId="1B003BDF" w14:textId="77777777" w:rsidTr="0021254F">
        <w:trPr>
          <w:trHeight w:val="300"/>
        </w:trPr>
        <w:tc>
          <w:tcPr>
            <w:tcW w:w="1662" w:type="pct"/>
            <w:vMerge/>
            <w:tcBorders>
              <w:bottom w:val="single" w:sz="4" w:space="0" w:color="auto"/>
            </w:tcBorders>
            <w:shd w:val="clear" w:color="auto" w:fill="auto"/>
            <w:noWrap/>
          </w:tcPr>
          <w:p w14:paraId="5C622955" w14:textId="77777777" w:rsidR="0066789F" w:rsidRPr="00972C81" w:rsidRDefault="0066789F" w:rsidP="00E81109">
            <w:pPr>
              <w:pStyle w:val="Table"/>
              <w:rPr>
                <w:noProof/>
                <w:color w:val="000000"/>
              </w:rPr>
            </w:pPr>
          </w:p>
        </w:tc>
        <w:tc>
          <w:tcPr>
            <w:tcW w:w="556" w:type="pct"/>
            <w:tcBorders>
              <w:top w:val="single" w:sz="4" w:space="0" w:color="auto"/>
              <w:bottom w:val="single" w:sz="4" w:space="0" w:color="auto"/>
            </w:tcBorders>
            <w:shd w:val="clear" w:color="auto" w:fill="auto"/>
            <w:noWrap/>
            <w:vAlign w:val="center"/>
          </w:tcPr>
          <w:p w14:paraId="3CD89A24" w14:textId="77777777" w:rsidR="0066789F" w:rsidRPr="00972C81" w:rsidRDefault="0066789F" w:rsidP="0021254F">
            <w:pPr>
              <w:pStyle w:val="Table"/>
              <w:rPr>
                <w:noProof/>
                <w:color w:val="000000"/>
              </w:rPr>
            </w:pPr>
            <w:r w:rsidRPr="00972C81">
              <w:rPr>
                <w:noProof/>
              </w:rPr>
              <w:t>100 d</w:t>
            </w:r>
          </w:p>
        </w:tc>
        <w:tc>
          <w:tcPr>
            <w:tcW w:w="557" w:type="pct"/>
            <w:tcBorders>
              <w:top w:val="single" w:sz="4" w:space="0" w:color="auto"/>
              <w:bottom w:val="single" w:sz="4" w:space="0" w:color="auto"/>
            </w:tcBorders>
            <w:shd w:val="clear" w:color="auto" w:fill="auto"/>
            <w:noWrap/>
            <w:vAlign w:val="center"/>
          </w:tcPr>
          <w:p w14:paraId="5C9E1F02" w14:textId="77777777" w:rsidR="0066789F" w:rsidRPr="00972C81" w:rsidRDefault="0066789F" w:rsidP="0021254F">
            <w:pPr>
              <w:pStyle w:val="Table"/>
              <w:rPr>
                <w:noProof/>
                <w:color w:val="000000"/>
              </w:rPr>
            </w:pPr>
            <w:r w:rsidRPr="00972C81">
              <w:rPr>
                <w:noProof/>
              </w:rPr>
              <w:t>1 y</w:t>
            </w:r>
          </w:p>
        </w:tc>
        <w:tc>
          <w:tcPr>
            <w:tcW w:w="556" w:type="pct"/>
            <w:tcBorders>
              <w:top w:val="single" w:sz="4" w:space="0" w:color="auto"/>
              <w:bottom w:val="single" w:sz="4" w:space="0" w:color="auto"/>
            </w:tcBorders>
            <w:shd w:val="clear" w:color="auto" w:fill="auto"/>
            <w:noWrap/>
            <w:vAlign w:val="center"/>
          </w:tcPr>
          <w:p w14:paraId="391877F4" w14:textId="77777777" w:rsidR="0066789F" w:rsidRPr="00972C81" w:rsidRDefault="0066789F" w:rsidP="0021254F">
            <w:pPr>
              <w:pStyle w:val="Table"/>
              <w:rPr>
                <w:noProof/>
                <w:color w:val="000000"/>
              </w:rPr>
            </w:pPr>
            <w:r w:rsidRPr="00972C81">
              <w:rPr>
                <w:noProof/>
              </w:rPr>
              <w:t>5 y</w:t>
            </w:r>
          </w:p>
        </w:tc>
        <w:tc>
          <w:tcPr>
            <w:tcW w:w="557" w:type="pct"/>
            <w:tcBorders>
              <w:top w:val="single" w:sz="4" w:space="0" w:color="auto"/>
              <w:bottom w:val="single" w:sz="4" w:space="0" w:color="auto"/>
            </w:tcBorders>
            <w:shd w:val="clear" w:color="auto" w:fill="auto"/>
            <w:noWrap/>
            <w:vAlign w:val="center"/>
          </w:tcPr>
          <w:p w14:paraId="7ABE9884" w14:textId="77777777" w:rsidR="0066789F" w:rsidRPr="00972C81" w:rsidRDefault="0066789F" w:rsidP="0021254F">
            <w:pPr>
              <w:pStyle w:val="Table"/>
              <w:rPr>
                <w:noProof/>
                <w:color w:val="000000"/>
              </w:rPr>
            </w:pPr>
            <w:r w:rsidRPr="00972C81">
              <w:rPr>
                <w:noProof/>
              </w:rPr>
              <w:t>10 y</w:t>
            </w:r>
          </w:p>
        </w:tc>
        <w:tc>
          <w:tcPr>
            <w:tcW w:w="556" w:type="pct"/>
            <w:tcBorders>
              <w:top w:val="single" w:sz="4" w:space="0" w:color="auto"/>
              <w:bottom w:val="single" w:sz="4" w:space="0" w:color="auto"/>
            </w:tcBorders>
            <w:shd w:val="clear" w:color="auto" w:fill="auto"/>
            <w:noWrap/>
            <w:vAlign w:val="center"/>
          </w:tcPr>
          <w:p w14:paraId="7CEDE7BA" w14:textId="77777777" w:rsidR="0066789F" w:rsidRPr="00972C81" w:rsidRDefault="0066789F" w:rsidP="0021254F">
            <w:pPr>
              <w:pStyle w:val="Table"/>
              <w:rPr>
                <w:noProof/>
                <w:color w:val="000000"/>
              </w:rPr>
            </w:pPr>
            <w:r w:rsidRPr="00972C81">
              <w:rPr>
                <w:noProof/>
              </w:rPr>
              <w:t>15 y</w:t>
            </w:r>
          </w:p>
        </w:tc>
        <w:tc>
          <w:tcPr>
            <w:tcW w:w="557" w:type="pct"/>
            <w:tcBorders>
              <w:top w:val="single" w:sz="4" w:space="0" w:color="auto"/>
              <w:bottom w:val="single" w:sz="4" w:space="0" w:color="auto"/>
            </w:tcBorders>
            <w:shd w:val="clear" w:color="auto" w:fill="auto"/>
            <w:noWrap/>
            <w:vAlign w:val="center"/>
          </w:tcPr>
          <w:p w14:paraId="4DDFBA70" w14:textId="77777777" w:rsidR="0066789F" w:rsidRPr="00972C81" w:rsidRDefault="0066789F" w:rsidP="0021254F">
            <w:pPr>
              <w:pStyle w:val="Table"/>
              <w:rPr>
                <w:noProof/>
                <w:color w:val="000000"/>
              </w:rPr>
            </w:pPr>
            <w:r w:rsidRPr="00972C81">
              <w:rPr>
                <w:noProof/>
              </w:rPr>
              <w:t>Adult</w:t>
            </w:r>
          </w:p>
        </w:tc>
      </w:tr>
      <w:tr w:rsidR="00F103A8" w:rsidRPr="00972C81" w14:paraId="4D62F07F" w14:textId="77777777" w:rsidTr="0021254F">
        <w:trPr>
          <w:trHeight w:val="300"/>
        </w:trPr>
        <w:tc>
          <w:tcPr>
            <w:tcW w:w="1662" w:type="pct"/>
            <w:tcBorders>
              <w:top w:val="single" w:sz="4" w:space="0" w:color="auto"/>
            </w:tcBorders>
            <w:shd w:val="clear" w:color="auto" w:fill="auto"/>
            <w:noWrap/>
            <w:vAlign w:val="center"/>
          </w:tcPr>
          <w:p w14:paraId="7305A40A" w14:textId="14BA7B58" w:rsidR="00F103A8" w:rsidRPr="00F103A8" w:rsidRDefault="00F103A8" w:rsidP="0021254F">
            <w:pPr>
              <w:pStyle w:val="Table"/>
              <w:rPr>
                <w:noProof/>
                <w:sz w:val="20"/>
                <w:szCs w:val="22"/>
              </w:rPr>
            </w:pPr>
            <w:r w:rsidRPr="00F103A8">
              <w:rPr>
                <w:noProof/>
                <w:sz w:val="20"/>
                <w:szCs w:val="22"/>
              </w:rPr>
              <w:t>Blood 0 to  ST0</w:t>
            </w:r>
          </w:p>
        </w:tc>
        <w:tc>
          <w:tcPr>
            <w:tcW w:w="556" w:type="pct"/>
            <w:tcBorders>
              <w:top w:val="single" w:sz="4" w:space="0" w:color="auto"/>
            </w:tcBorders>
            <w:shd w:val="clear" w:color="auto" w:fill="auto"/>
            <w:noWrap/>
            <w:vAlign w:val="center"/>
          </w:tcPr>
          <w:p w14:paraId="3A72FF28" w14:textId="77777777" w:rsidR="00F103A8" w:rsidRPr="00C47F2F" w:rsidRDefault="00F103A8" w:rsidP="0021254F">
            <w:pPr>
              <w:pStyle w:val="Table"/>
              <w:rPr>
                <w:noProof/>
                <w:sz w:val="20"/>
                <w:szCs w:val="20"/>
              </w:rPr>
            </w:pPr>
            <w:r w:rsidRPr="00C47F2F">
              <w:rPr>
                <w:noProof/>
                <w:sz w:val="20"/>
                <w:szCs w:val="20"/>
              </w:rPr>
              <w:t>3.00E+02</w:t>
            </w:r>
          </w:p>
        </w:tc>
        <w:tc>
          <w:tcPr>
            <w:tcW w:w="557" w:type="pct"/>
            <w:tcBorders>
              <w:top w:val="single" w:sz="4" w:space="0" w:color="auto"/>
            </w:tcBorders>
            <w:shd w:val="clear" w:color="auto" w:fill="auto"/>
            <w:noWrap/>
            <w:vAlign w:val="center"/>
          </w:tcPr>
          <w:p w14:paraId="68B36E2E" w14:textId="77777777" w:rsidR="00F103A8" w:rsidRPr="00C47F2F" w:rsidRDefault="00F103A8" w:rsidP="0021254F">
            <w:pPr>
              <w:pStyle w:val="Table"/>
              <w:rPr>
                <w:noProof/>
                <w:sz w:val="20"/>
                <w:szCs w:val="20"/>
              </w:rPr>
            </w:pPr>
            <w:r w:rsidRPr="00C47F2F">
              <w:rPr>
                <w:noProof/>
                <w:sz w:val="20"/>
                <w:szCs w:val="20"/>
              </w:rPr>
              <w:t>3.00E+02</w:t>
            </w:r>
          </w:p>
        </w:tc>
        <w:tc>
          <w:tcPr>
            <w:tcW w:w="556" w:type="pct"/>
            <w:tcBorders>
              <w:top w:val="single" w:sz="4" w:space="0" w:color="auto"/>
            </w:tcBorders>
            <w:shd w:val="clear" w:color="auto" w:fill="auto"/>
            <w:noWrap/>
            <w:vAlign w:val="center"/>
          </w:tcPr>
          <w:p w14:paraId="4696D3F2" w14:textId="77777777" w:rsidR="00F103A8" w:rsidRPr="00C47F2F" w:rsidRDefault="00F103A8" w:rsidP="0021254F">
            <w:pPr>
              <w:pStyle w:val="Table"/>
              <w:rPr>
                <w:noProof/>
                <w:sz w:val="20"/>
                <w:szCs w:val="20"/>
              </w:rPr>
            </w:pPr>
            <w:r w:rsidRPr="00C47F2F">
              <w:rPr>
                <w:noProof/>
                <w:sz w:val="20"/>
                <w:szCs w:val="20"/>
              </w:rPr>
              <w:t>3.00E+02</w:t>
            </w:r>
          </w:p>
        </w:tc>
        <w:tc>
          <w:tcPr>
            <w:tcW w:w="557" w:type="pct"/>
            <w:tcBorders>
              <w:top w:val="single" w:sz="4" w:space="0" w:color="auto"/>
            </w:tcBorders>
            <w:shd w:val="clear" w:color="auto" w:fill="auto"/>
            <w:noWrap/>
            <w:vAlign w:val="center"/>
          </w:tcPr>
          <w:p w14:paraId="234DC0B6" w14:textId="77777777" w:rsidR="00F103A8" w:rsidRPr="00C47F2F" w:rsidRDefault="00F103A8" w:rsidP="0021254F">
            <w:pPr>
              <w:pStyle w:val="Table"/>
              <w:rPr>
                <w:noProof/>
                <w:sz w:val="20"/>
                <w:szCs w:val="20"/>
              </w:rPr>
            </w:pPr>
            <w:r w:rsidRPr="00C47F2F">
              <w:rPr>
                <w:noProof/>
                <w:sz w:val="20"/>
                <w:szCs w:val="20"/>
              </w:rPr>
              <w:t>3.00E+02</w:t>
            </w:r>
          </w:p>
        </w:tc>
        <w:tc>
          <w:tcPr>
            <w:tcW w:w="556" w:type="pct"/>
            <w:tcBorders>
              <w:top w:val="single" w:sz="4" w:space="0" w:color="auto"/>
            </w:tcBorders>
            <w:shd w:val="clear" w:color="auto" w:fill="auto"/>
            <w:noWrap/>
            <w:vAlign w:val="center"/>
          </w:tcPr>
          <w:p w14:paraId="78E6B8C4" w14:textId="77777777" w:rsidR="00F103A8" w:rsidRPr="00C47F2F" w:rsidRDefault="00F103A8" w:rsidP="0021254F">
            <w:pPr>
              <w:pStyle w:val="Table"/>
              <w:rPr>
                <w:noProof/>
                <w:sz w:val="20"/>
                <w:szCs w:val="20"/>
              </w:rPr>
            </w:pPr>
            <w:r w:rsidRPr="00C47F2F">
              <w:rPr>
                <w:noProof/>
                <w:sz w:val="20"/>
                <w:szCs w:val="20"/>
              </w:rPr>
              <w:t>3.00E+02</w:t>
            </w:r>
          </w:p>
        </w:tc>
        <w:tc>
          <w:tcPr>
            <w:tcW w:w="557" w:type="pct"/>
            <w:tcBorders>
              <w:top w:val="single" w:sz="4" w:space="0" w:color="auto"/>
            </w:tcBorders>
            <w:shd w:val="clear" w:color="auto" w:fill="auto"/>
            <w:noWrap/>
            <w:vAlign w:val="center"/>
          </w:tcPr>
          <w:p w14:paraId="464B2F50" w14:textId="77777777" w:rsidR="00F103A8" w:rsidRPr="00C47F2F" w:rsidRDefault="00F103A8" w:rsidP="0021254F">
            <w:pPr>
              <w:pStyle w:val="Table"/>
              <w:rPr>
                <w:noProof/>
                <w:sz w:val="20"/>
                <w:szCs w:val="20"/>
              </w:rPr>
            </w:pPr>
            <w:r w:rsidRPr="00C47F2F">
              <w:rPr>
                <w:noProof/>
                <w:sz w:val="20"/>
                <w:szCs w:val="20"/>
              </w:rPr>
              <w:t>3.00E+02</w:t>
            </w:r>
          </w:p>
        </w:tc>
      </w:tr>
      <w:tr w:rsidR="00F103A8" w:rsidRPr="00972C81" w14:paraId="38D8C4EA" w14:textId="77777777" w:rsidTr="0021254F">
        <w:trPr>
          <w:trHeight w:val="300"/>
        </w:trPr>
        <w:tc>
          <w:tcPr>
            <w:tcW w:w="1662" w:type="pct"/>
            <w:shd w:val="clear" w:color="auto" w:fill="auto"/>
            <w:noWrap/>
            <w:vAlign w:val="center"/>
          </w:tcPr>
          <w:p w14:paraId="67B10935" w14:textId="0584B92A" w:rsidR="00F103A8" w:rsidRPr="00F103A8" w:rsidRDefault="00F103A8" w:rsidP="0021254F">
            <w:pPr>
              <w:pStyle w:val="Table"/>
              <w:rPr>
                <w:noProof/>
                <w:sz w:val="20"/>
                <w:szCs w:val="22"/>
              </w:rPr>
            </w:pPr>
            <w:r w:rsidRPr="00F103A8">
              <w:rPr>
                <w:noProof/>
                <w:sz w:val="20"/>
                <w:szCs w:val="22"/>
              </w:rPr>
              <w:t xml:space="preserve"> 0 to  Blood 1</w:t>
            </w:r>
          </w:p>
        </w:tc>
        <w:tc>
          <w:tcPr>
            <w:tcW w:w="556" w:type="pct"/>
            <w:shd w:val="clear" w:color="auto" w:fill="auto"/>
            <w:noWrap/>
            <w:vAlign w:val="center"/>
          </w:tcPr>
          <w:p w14:paraId="0DBB24A0" w14:textId="77777777" w:rsidR="00F103A8" w:rsidRPr="00C47F2F" w:rsidRDefault="00F103A8" w:rsidP="0021254F">
            <w:pPr>
              <w:pStyle w:val="Table"/>
              <w:rPr>
                <w:noProof/>
                <w:sz w:val="20"/>
                <w:szCs w:val="20"/>
              </w:rPr>
            </w:pPr>
            <w:r w:rsidRPr="00C47F2F">
              <w:rPr>
                <w:noProof/>
                <w:sz w:val="20"/>
                <w:szCs w:val="20"/>
              </w:rPr>
              <w:t>7.00E+02</w:t>
            </w:r>
          </w:p>
        </w:tc>
        <w:tc>
          <w:tcPr>
            <w:tcW w:w="557" w:type="pct"/>
            <w:shd w:val="clear" w:color="auto" w:fill="auto"/>
            <w:noWrap/>
            <w:vAlign w:val="center"/>
          </w:tcPr>
          <w:p w14:paraId="5F78D6F4" w14:textId="77777777" w:rsidR="00F103A8" w:rsidRPr="00C47F2F" w:rsidRDefault="00F103A8" w:rsidP="0021254F">
            <w:pPr>
              <w:pStyle w:val="Table"/>
              <w:rPr>
                <w:noProof/>
                <w:sz w:val="20"/>
                <w:szCs w:val="20"/>
              </w:rPr>
            </w:pPr>
            <w:r w:rsidRPr="00C47F2F">
              <w:rPr>
                <w:noProof/>
                <w:sz w:val="20"/>
                <w:szCs w:val="20"/>
              </w:rPr>
              <w:t>7.00E+02</w:t>
            </w:r>
          </w:p>
        </w:tc>
        <w:tc>
          <w:tcPr>
            <w:tcW w:w="556" w:type="pct"/>
            <w:shd w:val="clear" w:color="auto" w:fill="auto"/>
            <w:noWrap/>
            <w:vAlign w:val="center"/>
          </w:tcPr>
          <w:p w14:paraId="39DB3DC3" w14:textId="77777777" w:rsidR="00F103A8" w:rsidRPr="00C47F2F" w:rsidRDefault="00F103A8" w:rsidP="0021254F">
            <w:pPr>
              <w:pStyle w:val="Table"/>
              <w:rPr>
                <w:noProof/>
                <w:sz w:val="20"/>
                <w:szCs w:val="20"/>
              </w:rPr>
            </w:pPr>
            <w:r w:rsidRPr="00C47F2F">
              <w:rPr>
                <w:noProof/>
                <w:sz w:val="20"/>
                <w:szCs w:val="20"/>
              </w:rPr>
              <w:t>7.00E+02</w:t>
            </w:r>
          </w:p>
        </w:tc>
        <w:tc>
          <w:tcPr>
            <w:tcW w:w="557" w:type="pct"/>
            <w:shd w:val="clear" w:color="auto" w:fill="auto"/>
            <w:noWrap/>
            <w:vAlign w:val="center"/>
          </w:tcPr>
          <w:p w14:paraId="2ADD23A1" w14:textId="77777777" w:rsidR="00F103A8" w:rsidRPr="00C47F2F" w:rsidRDefault="00F103A8" w:rsidP="0021254F">
            <w:pPr>
              <w:pStyle w:val="Table"/>
              <w:rPr>
                <w:noProof/>
                <w:sz w:val="20"/>
                <w:szCs w:val="20"/>
              </w:rPr>
            </w:pPr>
            <w:r w:rsidRPr="00C47F2F">
              <w:rPr>
                <w:noProof/>
                <w:sz w:val="20"/>
                <w:szCs w:val="20"/>
              </w:rPr>
              <w:t>7.00E+02</w:t>
            </w:r>
          </w:p>
        </w:tc>
        <w:tc>
          <w:tcPr>
            <w:tcW w:w="556" w:type="pct"/>
            <w:shd w:val="clear" w:color="auto" w:fill="auto"/>
            <w:noWrap/>
            <w:vAlign w:val="center"/>
          </w:tcPr>
          <w:p w14:paraId="00AC9D67" w14:textId="77777777" w:rsidR="00F103A8" w:rsidRPr="00C47F2F" w:rsidRDefault="00F103A8" w:rsidP="0021254F">
            <w:pPr>
              <w:pStyle w:val="Table"/>
              <w:rPr>
                <w:noProof/>
                <w:sz w:val="20"/>
                <w:szCs w:val="20"/>
              </w:rPr>
            </w:pPr>
            <w:r w:rsidRPr="00C47F2F">
              <w:rPr>
                <w:noProof/>
                <w:sz w:val="20"/>
                <w:szCs w:val="20"/>
              </w:rPr>
              <w:t>7.00E+02</w:t>
            </w:r>
          </w:p>
        </w:tc>
        <w:tc>
          <w:tcPr>
            <w:tcW w:w="557" w:type="pct"/>
            <w:shd w:val="clear" w:color="auto" w:fill="auto"/>
            <w:noWrap/>
            <w:vAlign w:val="center"/>
          </w:tcPr>
          <w:p w14:paraId="791F1796" w14:textId="77777777" w:rsidR="00F103A8" w:rsidRPr="00C47F2F" w:rsidRDefault="00F103A8" w:rsidP="0021254F">
            <w:pPr>
              <w:pStyle w:val="Table"/>
              <w:rPr>
                <w:noProof/>
                <w:sz w:val="20"/>
                <w:szCs w:val="20"/>
              </w:rPr>
            </w:pPr>
            <w:r w:rsidRPr="00C47F2F">
              <w:rPr>
                <w:noProof/>
                <w:sz w:val="20"/>
                <w:szCs w:val="20"/>
              </w:rPr>
              <w:t>7.00E+02</w:t>
            </w:r>
          </w:p>
        </w:tc>
      </w:tr>
      <w:tr w:rsidR="00F103A8" w:rsidRPr="00972C81" w14:paraId="0D4F7743" w14:textId="77777777" w:rsidTr="0021254F">
        <w:trPr>
          <w:trHeight w:val="300"/>
        </w:trPr>
        <w:tc>
          <w:tcPr>
            <w:tcW w:w="1662" w:type="pct"/>
            <w:shd w:val="clear" w:color="auto" w:fill="auto"/>
            <w:noWrap/>
            <w:vAlign w:val="center"/>
          </w:tcPr>
          <w:p w14:paraId="6F0707C4" w14:textId="1C371D57" w:rsidR="00F103A8" w:rsidRPr="00F103A8" w:rsidRDefault="00F103A8" w:rsidP="0021254F">
            <w:pPr>
              <w:pStyle w:val="Table"/>
              <w:rPr>
                <w:noProof/>
                <w:sz w:val="20"/>
                <w:szCs w:val="22"/>
              </w:rPr>
            </w:pPr>
            <w:r w:rsidRPr="00F103A8">
              <w:rPr>
                <w:noProof/>
                <w:sz w:val="20"/>
                <w:szCs w:val="22"/>
              </w:rPr>
              <w:t>Blood 1 to Liver 1</w:t>
            </w:r>
          </w:p>
        </w:tc>
        <w:tc>
          <w:tcPr>
            <w:tcW w:w="556" w:type="pct"/>
            <w:shd w:val="clear" w:color="auto" w:fill="auto"/>
            <w:noWrap/>
            <w:vAlign w:val="center"/>
          </w:tcPr>
          <w:p w14:paraId="7BC1E455" w14:textId="77777777" w:rsidR="00F103A8" w:rsidRPr="00C47F2F" w:rsidRDefault="00F103A8" w:rsidP="0021254F">
            <w:pPr>
              <w:pStyle w:val="Table"/>
              <w:rPr>
                <w:noProof/>
                <w:sz w:val="20"/>
                <w:szCs w:val="20"/>
              </w:rPr>
            </w:pPr>
            <w:r w:rsidRPr="00C47F2F">
              <w:rPr>
                <w:noProof/>
                <w:sz w:val="20"/>
                <w:szCs w:val="20"/>
              </w:rPr>
              <w:t>1.16E-01</w:t>
            </w:r>
          </w:p>
        </w:tc>
        <w:tc>
          <w:tcPr>
            <w:tcW w:w="557" w:type="pct"/>
            <w:shd w:val="clear" w:color="auto" w:fill="auto"/>
            <w:noWrap/>
            <w:vAlign w:val="center"/>
          </w:tcPr>
          <w:p w14:paraId="586193ED" w14:textId="77777777" w:rsidR="00F103A8" w:rsidRPr="00C47F2F" w:rsidRDefault="00F103A8" w:rsidP="0021254F">
            <w:pPr>
              <w:pStyle w:val="Table"/>
              <w:rPr>
                <w:noProof/>
                <w:sz w:val="20"/>
                <w:szCs w:val="20"/>
              </w:rPr>
            </w:pPr>
            <w:r w:rsidRPr="00C47F2F">
              <w:rPr>
                <w:noProof/>
                <w:sz w:val="20"/>
                <w:szCs w:val="20"/>
              </w:rPr>
              <w:t>1.16E-01</w:t>
            </w:r>
          </w:p>
        </w:tc>
        <w:tc>
          <w:tcPr>
            <w:tcW w:w="556" w:type="pct"/>
            <w:shd w:val="clear" w:color="auto" w:fill="auto"/>
            <w:noWrap/>
            <w:vAlign w:val="center"/>
          </w:tcPr>
          <w:p w14:paraId="3274DF76" w14:textId="77777777" w:rsidR="00F103A8" w:rsidRPr="00C47F2F" w:rsidRDefault="00F103A8" w:rsidP="0021254F">
            <w:pPr>
              <w:pStyle w:val="Table"/>
              <w:rPr>
                <w:noProof/>
                <w:sz w:val="20"/>
                <w:szCs w:val="20"/>
              </w:rPr>
            </w:pPr>
            <w:r w:rsidRPr="00C47F2F">
              <w:rPr>
                <w:noProof/>
                <w:sz w:val="20"/>
                <w:szCs w:val="20"/>
              </w:rPr>
              <w:t>2.31E-01</w:t>
            </w:r>
          </w:p>
        </w:tc>
        <w:tc>
          <w:tcPr>
            <w:tcW w:w="557" w:type="pct"/>
            <w:shd w:val="clear" w:color="auto" w:fill="auto"/>
            <w:noWrap/>
            <w:vAlign w:val="center"/>
          </w:tcPr>
          <w:p w14:paraId="48AD8F14" w14:textId="77777777" w:rsidR="00F103A8" w:rsidRPr="00C47F2F" w:rsidRDefault="00F103A8" w:rsidP="0021254F">
            <w:pPr>
              <w:pStyle w:val="Table"/>
              <w:rPr>
                <w:noProof/>
                <w:sz w:val="20"/>
                <w:szCs w:val="20"/>
              </w:rPr>
            </w:pPr>
            <w:r w:rsidRPr="00C47F2F">
              <w:rPr>
                <w:noProof/>
                <w:sz w:val="20"/>
                <w:szCs w:val="20"/>
              </w:rPr>
              <w:t>2.31E-01</w:t>
            </w:r>
          </w:p>
        </w:tc>
        <w:tc>
          <w:tcPr>
            <w:tcW w:w="556" w:type="pct"/>
            <w:shd w:val="clear" w:color="auto" w:fill="auto"/>
            <w:noWrap/>
            <w:vAlign w:val="center"/>
          </w:tcPr>
          <w:p w14:paraId="4556CA9B" w14:textId="77777777" w:rsidR="00F103A8" w:rsidRPr="00C47F2F" w:rsidRDefault="00F103A8" w:rsidP="0021254F">
            <w:pPr>
              <w:pStyle w:val="Table"/>
              <w:rPr>
                <w:noProof/>
                <w:sz w:val="20"/>
                <w:szCs w:val="20"/>
              </w:rPr>
            </w:pPr>
            <w:r w:rsidRPr="00C47F2F">
              <w:rPr>
                <w:noProof/>
                <w:sz w:val="20"/>
                <w:szCs w:val="20"/>
              </w:rPr>
              <w:t>2.31E-01</w:t>
            </w:r>
          </w:p>
        </w:tc>
        <w:tc>
          <w:tcPr>
            <w:tcW w:w="557" w:type="pct"/>
            <w:shd w:val="clear" w:color="auto" w:fill="auto"/>
            <w:noWrap/>
            <w:vAlign w:val="center"/>
          </w:tcPr>
          <w:p w14:paraId="2DA77C12" w14:textId="77777777" w:rsidR="00F103A8" w:rsidRPr="00C47F2F" w:rsidRDefault="00F103A8" w:rsidP="0021254F">
            <w:pPr>
              <w:pStyle w:val="Table"/>
              <w:rPr>
                <w:noProof/>
                <w:sz w:val="20"/>
                <w:szCs w:val="20"/>
              </w:rPr>
            </w:pPr>
            <w:r w:rsidRPr="00C47F2F">
              <w:rPr>
                <w:noProof/>
                <w:sz w:val="20"/>
                <w:szCs w:val="20"/>
              </w:rPr>
              <w:t>4.62E-01</w:t>
            </w:r>
          </w:p>
        </w:tc>
      </w:tr>
      <w:tr w:rsidR="00F103A8" w:rsidRPr="00972C81" w14:paraId="1DFFAECA" w14:textId="77777777" w:rsidTr="0021254F">
        <w:trPr>
          <w:trHeight w:val="300"/>
        </w:trPr>
        <w:tc>
          <w:tcPr>
            <w:tcW w:w="1662" w:type="pct"/>
            <w:shd w:val="clear" w:color="auto" w:fill="auto"/>
            <w:noWrap/>
            <w:vAlign w:val="center"/>
          </w:tcPr>
          <w:p w14:paraId="3C9F0C13" w14:textId="43E39A3C" w:rsidR="00F103A8" w:rsidRPr="00F103A8" w:rsidRDefault="00F103A8" w:rsidP="0021254F">
            <w:pPr>
              <w:pStyle w:val="Table"/>
              <w:rPr>
                <w:noProof/>
                <w:sz w:val="20"/>
                <w:szCs w:val="22"/>
              </w:rPr>
            </w:pPr>
            <w:r w:rsidRPr="00F103A8">
              <w:rPr>
                <w:noProof/>
                <w:sz w:val="20"/>
                <w:szCs w:val="22"/>
              </w:rPr>
              <w:t>Blood 1 to Cort bone surf</w:t>
            </w:r>
          </w:p>
        </w:tc>
        <w:tc>
          <w:tcPr>
            <w:tcW w:w="556" w:type="pct"/>
            <w:shd w:val="clear" w:color="auto" w:fill="auto"/>
            <w:noWrap/>
            <w:vAlign w:val="center"/>
          </w:tcPr>
          <w:p w14:paraId="3C9EFA5D" w14:textId="77777777" w:rsidR="00F103A8" w:rsidRPr="00C47F2F" w:rsidRDefault="00F103A8" w:rsidP="0021254F">
            <w:pPr>
              <w:pStyle w:val="Table"/>
              <w:rPr>
                <w:noProof/>
                <w:sz w:val="20"/>
                <w:szCs w:val="20"/>
              </w:rPr>
            </w:pPr>
            <w:r w:rsidRPr="00C47F2F">
              <w:rPr>
                <w:noProof/>
                <w:sz w:val="20"/>
                <w:szCs w:val="20"/>
              </w:rPr>
              <w:t>2.74E-01</w:t>
            </w:r>
          </w:p>
        </w:tc>
        <w:tc>
          <w:tcPr>
            <w:tcW w:w="557" w:type="pct"/>
            <w:shd w:val="clear" w:color="auto" w:fill="auto"/>
            <w:noWrap/>
            <w:vAlign w:val="center"/>
          </w:tcPr>
          <w:p w14:paraId="39F783DF" w14:textId="77777777" w:rsidR="00F103A8" w:rsidRPr="00C47F2F" w:rsidRDefault="00F103A8" w:rsidP="0021254F">
            <w:pPr>
              <w:pStyle w:val="Table"/>
              <w:rPr>
                <w:noProof/>
                <w:sz w:val="20"/>
                <w:szCs w:val="20"/>
              </w:rPr>
            </w:pPr>
            <w:r w:rsidRPr="00C47F2F">
              <w:rPr>
                <w:noProof/>
                <w:sz w:val="20"/>
                <w:szCs w:val="20"/>
              </w:rPr>
              <w:t>2.74E-01</w:t>
            </w:r>
          </w:p>
        </w:tc>
        <w:tc>
          <w:tcPr>
            <w:tcW w:w="556" w:type="pct"/>
            <w:shd w:val="clear" w:color="auto" w:fill="auto"/>
            <w:noWrap/>
            <w:vAlign w:val="center"/>
          </w:tcPr>
          <w:p w14:paraId="678AE3CB" w14:textId="77777777" w:rsidR="00F103A8" w:rsidRPr="00C47F2F" w:rsidRDefault="00F103A8" w:rsidP="0021254F">
            <w:pPr>
              <w:pStyle w:val="Table"/>
              <w:rPr>
                <w:noProof/>
                <w:sz w:val="20"/>
                <w:szCs w:val="20"/>
              </w:rPr>
            </w:pPr>
            <w:r w:rsidRPr="00C47F2F">
              <w:rPr>
                <w:noProof/>
                <w:sz w:val="20"/>
                <w:szCs w:val="20"/>
              </w:rPr>
              <w:t>2.20E-01</w:t>
            </w:r>
          </w:p>
        </w:tc>
        <w:tc>
          <w:tcPr>
            <w:tcW w:w="557" w:type="pct"/>
            <w:shd w:val="clear" w:color="auto" w:fill="auto"/>
            <w:noWrap/>
            <w:vAlign w:val="center"/>
          </w:tcPr>
          <w:p w14:paraId="5651BE28" w14:textId="77777777" w:rsidR="00F103A8" w:rsidRPr="00C47F2F" w:rsidRDefault="00F103A8" w:rsidP="0021254F">
            <w:pPr>
              <w:pStyle w:val="Table"/>
              <w:rPr>
                <w:noProof/>
                <w:sz w:val="20"/>
                <w:szCs w:val="20"/>
              </w:rPr>
            </w:pPr>
            <w:r w:rsidRPr="00C47F2F">
              <w:rPr>
                <w:noProof/>
                <w:sz w:val="20"/>
                <w:szCs w:val="20"/>
              </w:rPr>
              <w:t>2.20E-01</w:t>
            </w:r>
          </w:p>
        </w:tc>
        <w:tc>
          <w:tcPr>
            <w:tcW w:w="556" w:type="pct"/>
            <w:shd w:val="clear" w:color="auto" w:fill="auto"/>
            <w:noWrap/>
            <w:vAlign w:val="center"/>
          </w:tcPr>
          <w:p w14:paraId="18F8F573" w14:textId="77777777" w:rsidR="00F103A8" w:rsidRPr="00C47F2F" w:rsidRDefault="00F103A8" w:rsidP="0021254F">
            <w:pPr>
              <w:pStyle w:val="Table"/>
              <w:rPr>
                <w:noProof/>
                <w:sz w:val="20"/>
                <w:szCs w:val="20"/>
              </w:rPr>
            </w:pPr>
            <w:r w:rsidRPr="00C47F2F">
              <w:rPr>
                <w:noProof/>
                <w:sz w:val="20"/>
                <w:szCs w:val="20"/>
              </w:rPr>
              <w:t>2.20E-01</w:t>
            </w:r>
          </w:p>
        </w:tc>
        <w:tc>
          <w:tcPr>
            <w:tcW w:w="557" w:type="pct"/>
            <w:shd w:val="clear" w:color="auto" w:fill="auto"/>
            <w:noWrap/>
            <w:vAlign w:val="center"/>
          </w:tcPr>
          <w:p w14:paraId="21ED0C5A" w14:textId="77777777" w:rsidR="00F103A8" w:rsidRPr="00C47F2F" w:rsidRDefault="00F103A8" w:rsidP="0021254F">
            <w:pPr>
              <w:pStyle w:val="Table"/>
              <w:rPr>
                <w:noProof/>
                <w:sz w:val="20"/>
                <w:szCs w:val="20"/>
              </w:rPr>
            </w:pPr>
            <w:r w:rsidRPr="00C47F2F">
              <w:rPr>
                <w:noProof/>
                <w:sz w:val="20"/>
                <w:szCs w:val="20"/>
              </w:rPr>
              <w:t>8.78E-02</w:t>
            </w:r>
          </w:p>
        </w:tc>
      </w:tr>
      <w:tr w:rsidR="00F103A8" w:rsidRPr="00972C81" w14:paraId="2DE433DA" w14:textId="77777777" w:rsidTr="0021254F">
        <w:trPr>
          <w:trHeight w:val="300"/>
        </w:trPr>
        <w:tc>
          <w:tcPr>
            <w:tcW w:w="1662" w:type="pct"/>
            <w:shd w:val="clear" w:color="auto" w:fill="auto"/>
            <w:noWrap/>
            <w:vAlign w:val="center"/>
          </w:tcPr>
          <w:p w14:paraId="74E149E8" w14:textId="6DA35587" w:rsidR="00F103A8" w:rsidRPr="00F103A8" w:rsidRDefault="00F103A8" w:rsidP="0021254F">
            <w:pPr>
              <w:pStyle w:val="Table"/>
              <w:rPr>
                <w:noProof/>
                <w:sz w:val="20"/>
                <w:szCs w:val="22"/>
              </w:rPr>
            </w:pPr>
            <w:r w:rsidRPr="00F103A8">
              <w:rPr>
                <w:noProof/>
                <w:sz w:val="20"/>
                <w:szCs w:val="22"/>
              </w:rPr>
              <w:t>Blood 1 to Cort bone vol</w:t>
            </w:r>
          </w:p>
        </w:tc>
        <w:tc>
          <w:tcPr>
            <w:tcW w:w="556" w:type="pct"/>
            <w:shd w:val="clear" w:color="auto" w:fill="auto"/>
            <w:noWrap/>
            <w:vAlign w:val="center"/>
          </w:tcPr>
          <w:p w14:paraId="01DD30E9" w14:textId="77777777" w:rsidR="00F103A8" w:rsidRPr="00C47F2F" w:rsidRDefault="00F103A8" w:rsidP="0021254F">
            <w:pPr>
              <w:pStyle w:val="Table"/>
              <w:rPr>
                <w:noProof/>
                <w:sz w:val="20"/>
                <w:szCs w:val="20"/>
              </w:rPr>
            </w:pPr>
            <w:r w:rsidRPr="00C47F2F">
              <w:rPr>
                <w:noProof/>
                <w:sz w:val="20"/>
                <w:szCs w:val="20"/>
              </w:rPr>
              <w:t>1.44E-02</w:t>
            </w:r>
          </w:p>
        </w:tc>
        <w:tc>
          <w:tcPr>
            <w:tcW w:w="557" w:type="pct"/>
            <w:shd w:val="clear" w:color="auto" w:fill="auto"/>
            <w:noWrap/>
            <w:vAlign w:val="center"/>
          </w:tcPr>
          <w:p w14:paraId="1DAA1637" w14:textId="77777777" w:rsidR="00F103A8" w:rsidRPr="00C47F2F" w:rsidRDefault="00F103A8" w:rsidP="0021254F">
            <w:pPr>
              <w:pStyle w:val="Table"/>
              <w:rPr>
                <w:noProof/>
                <w:sz w:val="20"/>
                <w:szCs w:val="20"/>
              </w:rPr>
            </w:pPr>
            <w:r w:rsidRPr="00C47F2F">
              <w:rPr>
                <w:noProof/>
                <w:sz w:val="20"/>
                <w:szCs w:val="20"/>
              </w:rPr>
              <w:t>1.44E-02</w:t>
            </w:r>
          </w:p>
        </w:tc>
        <w:tc>
          <w:tcPr>
            <w:tcW w:w="556" w:type="pct"/>
            <w:shd w:val="clear" w:color="auto" w:fill="auto"/>
            <w:noWrap/>
            <w:vAlign w:val="center"/>
          </w:tcPr>
          <w:p w14:paraId="2122FEF9" w14:textId="77777777" w:rsidR="00F103A8" w:rsidRPr="00C47F2F" w:rsidRDefault="00F103A8" w:rsidP="0021254F">
            <w:pPr>
              <w:pStyle w:val="Table"/>
              <w:rPr>
                <w:noProof/>
                <w:sz w:val="20"/>
                <w:szCs w:val="20"/>
              </w:rPr>
            </w:pPr>
            <w:r w:rsidRPr="00C47F2F">
              <w:rPr>
                <w:noProof/>
                <w:sz w:val="20"/>
                <w:szCs w:val="20"/>
              </w:rPr>
              <w:t>1.16E-02</w:t>
            </w:r>
          </w:p>
        </w:tc>
        <w:tc>
          <w:tcPr>
            <w:tcW w:w="557" w:type="pct"/>
            <w:shd w:val="clear" w:color="auto" w:fill="auto"/>
            <w:noWrap/>
            <w:vAlign w:val="center"/>
          </w:tcPr>
          <w:p w14:paraId="569C4968" w14:textId="77777777" w:rsidR="00F103A8" w:rsidRPr="00C47F2F" w:rsidRDefault="00F103A8" w:rsidP="0021254F">
            <w:pPr>
              <w:pStyle w:val="Table"/>
              <w:rPr>
                <w:noProof/>
                <w:sz w:val="20"/>
                <w:szCs w:val="20"/>
              </w:rPr>
            </w:pPr>
            <w:r w:rsidRPr="00C47F2F">
              <w:rPr>
                <w:noProof/>
                <w:sz w:val="20"/>
                <w:szCs w:val="20"/>
              </w:rPr>
              <w:t>1.16E-02</w:t>
            </w:r>
          </w:p>
        </w:tc>
        <w:tc>
          <w:tcPr>
            <w:tcW w:w="556" w:type="pct"/>
            <w:shd w:val="clear" w:color="auto" w:fill="auto"/>
            <w:noWrap/>
            <w:vAlign w:val="center"/>
          </w:tcPr>
          <w:p w14:paraId="44B90867" w14:textId="77777777" w:rsidR="00F103A8" w:rsidRPr="00C47F2F" w:rsidRDefault="00F103A8" w:rsidP="0021254F">
            <w:pPr>
              <w:pStyle w:val="Table"/>
              <w:rPr>
                <w:noProof/>
                <w:sz w:val="20"/>
                <w:szCs w:val="20"/>
              </w:rPr>
            </w:pPr>
            <w:r w:rsidRPr="00C47F2F">
              <w:rPr>
                <w:noProof/>
                <w:sz w:val="20"/>
                <w:szCs w:val="20"/>
              </w:rPr>
              <w:t>1.16E-02</w:t>
            </w:r>
          </w:p>
        </w:tc>
        <w:tc>
          <w:tcPr>
            <w:tcW w:w="557" w:type="pct"/>
            <w:shd w:val="clear" w:color="auto" w:fill="auto"/>
            <w:noWrap/>
            <w:vAlign w:val="center"/>
          </w:tcPr>
          <w:p w14:paraId="0984274C" w14:textId="77777777" w:rsidR="00F103A8" w:rsidRPr="00C47F2F" w:rsidRDefault="00F103A8" w:rsidP="0021254F">
            <w:pPr>
              <w:pStyle w:val="Table"/>
              <w:rPr>
                <w:noProof/>
                <w:sz w:val="20"/>
                <w:szCs w:val="20"/>
              </w:rPr>
            </w:pPr>
            <w:r w:rsidRPr="00C47F2F">
              <w:rPr>
                <w:noProof/>
                <w:sz w:val="20"/>
                <w:szCs w:val="20"/>
              </w:rPr>
              <w:t>4.62E-03</w:t>
            </w:r>
          </w:p>
        </w:tc>
      </w:tr>
      <w:tr w:rsidR="00F103A8" w:rsidRPr="00972C81" w14:paraId="710E56AC" w14:textId="77777777" w:rsidTr="0021254F">
        <w:trPr>
          <w:trHeight w:val="300"/>
        </w:trPr>
        <w:tc>
          <w:tcPr>
            <w:tcW w:w="1662" w:type="pct"/>
            <w:shd w:val="clear" w:color="auto" w:fill="auto"/>
            <w:noWrap/>
            <w:vAlign w:val="center"/>
          </w:tcPr>
          <w:p w14:paraId="26A5F03D" w14:textId="7B484A4A" w:rsidR="00F103A8" w:rsidRPr="00F103A8" w:rsidRDefault="00F103A8" w:rsidP="0021254F">
            <w:pPr>
              <w:pStyle w:val="Table"/>
              <w:rPr>
                <w:noProof/>
                <w:sz w:val="20"/>
                <w:szCs w:val="22"/>
              </w:rPr>
            </w:pPr>
            <w:r w:rsidRPr="00F103A8">
              <w:rPr>
                <w:noProof/>
                <w:sz w:val="20"/>
                <w:szCs w:val="22"/>
              </w:rPr>
              <w:t>Blood 1 to Trab bone surf</w:t>
            </w:r>
          </w:p>
        </w:tc>
        <w:tc>
          <w:tcPr>
            <w:tcW w:w="556" w:type="pct"/>
            <w:shd w:val="clear" w:color="auto" w:fill="auto"/>
            <w:noWrap/>
            <w:vAlign w:val="center"/>
          </w:tcPr>
          <w:p w14:paraId="46FE16EC" w14:textId="77777777" w:rsidR="00F103A8" w:rsidRPr="00C47F2F" w:rsidRDefault="00F103A8" w:rsidP="0021254F">
            <w:pPr>
              <w:pStyle w:val="Table"/>
              <w:rPr>
                <w:noProof/>
                <w:sz w:val="20"/>
                <w:szCs w:val="20"/>
              </w:rPr>
            </w:pPr>
            <w:r w:rsidRPr="00C47F2F">
              <w:rPr>
                <w:noProof/>
                <w:sz w:val="20"/>
                <w:szCs w:val="20"/>
              </w:rPr>
              <w:t>2.60E-01</w:t>
            </w:r>
          </w:p>
        </w:tc>
        <w:tc>
          <w:tcPr>
            <w:tcW w:w="557" w:type="pct"/>
            <w:shd w:val="clear" w:color="auto" w:fill="auto"/>
            <w:noWrap/>
            <w:vAlign w:val="center"/>
          </w:tcPr>
          <w:p w14:paraId="1CC22F82" w14:textId="77777777" w:rsidR="00F103A8" w:rsidRPr="00C47F2F" w:rsidRDefault="00F103A8" w:rsidP="0021254F">
            <w:pPr>
              <w:pStyle w:val="Table"/>
              <w:rPr>
                <w:noProof/>
                <w:sz w:val="20"/>
                <w:szCs w:val="20"/>
              </w:rPr>
            </w:pPr>
            <w:r w:rsidRPr="00C47F2F">
              <w:rPr>
                <w:noProof/>
                <w:sz w:val="20"/>
                <w:szCs w:val="20"/>
              </w:rPr>
              <w:t>2.60E-01</w:t>
            </w:r>
          </w:p>
        </w:tc>
        <w:tc>
          <w:tcPr>
            <w:tcW w:w="556" w:type="pct"/>
            <w:shd w:val="clear" w:color="auto" w:fill="auto"/>
            <w:noWrap/>
            <w:vAlign w:val="center"/>
          </w:tcPr>
          <w:p w14:paraId="60A5448C" w14:textId="77777777" w:rsidR="00F103A8" w:rsidRPr="00C47F2F" w:rsidRDefault="00F103A8" w:rsidP="0021254F">
            <w:pPr>
              <w:pStyle w:val="Table"/>
              <w:rPr>
                <w:noProof/>
                <w:sz w:val="20"/>
                <w:szCs w:val="20"/>
              </w:rPr>
            </w:pPr>
            <w:r w:rsidRPr="00C47F2F">
              <w:rPr>
                <w:noProof/>
                <w:sz w:val="20"/>
                <w:szCs w:val="20"/>
              </w:rPr>
              <w:t>2.08E-01</w:t>
            </w:r>
          </w:p>
        </w:tc>
        <w:tc>
          <w:tcPr>
            <w:tcW w:w="557" w:type="pct"/>
            <w:shd w:val="clear" w:color="auto" w:fill="auto"/>
            <w:noWrap/>
            <w:vAlign w:val="center"/>
          </w:tcPr>
          <w:p w14:paraId="3F43A326" w14:textId="77777777" w:rsidR="00F103A8" w:rsidRPr="00C47F2F" w:rsidRDefault="00F103A8" w:rsidP="0021254F">
            <w:pPr>
              <w:pStyle w:val="Table"/>
              <w:rPr>
                <w:noProof/>
                <w:sz w:val="20"/>
                <w:szCs w:val="20"/>
              </w:rPr>
            </w:pPr>
            <w:r w:rsidRPr="00C47F2F">
              <w:rPr>
                <w:noProof/>
                <w:sz w:val="20"/>
                <w:szCs w:val="20"/>
              </w:rPr>
              <w:t>2.08E-01</w:t>
            </w:r>
          </w:p>
        </w:tc>
        <w:tc>
          <w:tcPr>
            <w:tcW w:w="556" w:type="pct"/>
            <w:shd w:val="clear" w:color="auto" w:fill="auto"/>
            <w:noWrap/>
            <w:vAlign w:val="center"/>
          </w:tcPr>
          <w:p w14:paraId="20D6BF0D" w14:textId="77777777" w:rsidR="00F103A8" w:rsidRPr="00C47F2F" w:rsidRDefault="00F103A8" w:rsidP="0021254F">
            <w:pPr>
              <w:pStyle w:val="Table"/>
              <w:rPr>
                <w:noProof/>
                <w:sz w:val="20"/>
                <w:szCs w:val="20"/>
              </w:rPr>
            </w:pPr>
            <w:r w:rsidRPr="00C47F2F">
              <w:rPr>
                <w:noProof/>
                <w:sz w:val="20"/>
                <w:szCs w:val="20"/>
              </w:rPr>
              <w:t>2.08E-01</w:t>
            </w:r>
          </w:p>
        </w:tc>
        <w:tc>
          <w:tcPr>
            <w:tcW w:w="557" w:type="pct"/>
            <w:shd w:val="clear" w:color="auto" w:fill="auto"/>
            <w:noWrap/>
            <w:vAlign w:val="center"/>
          </w:tcPr>
          <w:p w14:paraId="696C0BD2" w14:textId="77777777" w:rsidR="00F103A8" w:rsidRPr="00C47F2F" w:rsidRDefault="00F103A8" w:rsidP="0021254F">
            <w:pPr>
              <w:pStyle w:val="Table"/>
              <w:rPr>
                <w:noProof/>
                <w:sz w:val="20"/>
                <w:szCs w:val="20"/>
              </w:rPr>
            </w:pPr>
            <w:r w:rsidRPr="00C47F2F">
              <w:rPr>
                <w:noProof/>
                <w:sz w:val="20"/>
                <w:szCs w:val="20"/>
              </w:rPr>
              <w:t>1.25E-01</w:t>
            </w:r>
          </w:p>
        </w:tc>
      </w:tr>
      <w:tr w:rsidR="00F103A8" w:rsidRPr="00972C81" w14:paraId="5AD5EF16" w14:textId="77777777" w:rsidTr="0021254F">
        <w:trPr>
          <w:trHeight w:val="300"/>
        </w:trPr>
        <w:tc>
          <w:tcPr>
            <w:tcW w:w="1662" w:type="pct"/>
            <w:shd w:val="clear" w:color="auto" w:fill="auto"/>
            <w:noWrap/>
            <w:vAlign w:val="center"/>
          </w:tcPr>
          <w:p w14:paraId="4E1FE717" w14:textId="636B57AB" w:rsidR="00F103A8" w:rsidRPr="00F103A8" w:rsidRDefault="00F103A8" w:rsidP="0021254F">
            <w:pPr>
              <w:pStyle w:val="Table"/>
              <w:rPr>
                <w:noProof/>
                <w:sz w:val="20"/>
                <w:szCs w:val="22"/>
              </w:rPr>
            </w:pPr>
            <w:r w:rsidRPr="00F103A8">
              <w:rPr>
                <w:noProof/>
                <w:sz w:val="20"/>
                <w:szCs w:val="22"/>
              </w:rPr>
              <w:t>Blood 1 to Trab bone vol</w:t>
            </w:r>
          </w:p>
        </w:tc>
        <w:tc>
          <w:tcPr>
            <w:tcW w:w="556" w:type="pct"/>
            <w:shd w:val="clear" w:color="auto" w:fill="auto"/>
            <w:noWrap/>
            <w:vAlign w:val="center"/>
          </w:tcPr>
          <w:p w14:paraId="38F138B2" w14:textId="77777777" w:rsidR="00F103A8" w:rsidRPr="00C47F2F" w:rsidRDefault="00F103A8" w:rsidP="0021254F">
            <w:pPr>
              <w:pStyle w:val="Table"/>
              <w:rPr>
                <w:noProof/>
                <w:sz w:val="20"/>
                <w:szCs w:val="20"/>
              </w:rPr>
            </w:pPr>
            <w:r w:rsidRPr="00C47F2F">
              <w:rPr>
                <w:noProof/>
                <w:sz w:val="20"/>
                <w:szCs w:val="20"/>
              </w:rPr>
              <w:t>2.89E-02</w:t>
            </w:r>
          </w:p>
        </w:tc>
        <w:tc>
          <w:tcPr>
            <w:tcW w:w="557" w:type="pct"/>
            <w:shd w:val="clear" w:color="auto" w:fill="auto"/>
            <w:noWrap/>
            <w:vAlign w:val="center"/>
          </w:tcPr>
          <w:p w14:paraId="1918C841" w14:textId="77777777" w:rsidR="00F103A8" w:rsidRPr="00C47F2F" w:rsidRDefault="00F103A8" w:rsidP="0021254F">
            <w:pPr>
              <w:pStyle w:val="Table"/>
              <w:rPr>
                <w:noProof/>
                <w:sz w:val="20"/>
                <w:szCs w:val="20"/>
              </w:rPr>
            </w:pPr>
            <w:r w:rsidRPr="00C47F2F">
              <w:rPr>
                <w:noProof/>
                <w:sz w:val="20"/>
                <w:szCs w:val="20"/>
              </w:rPr>
              <w:t>2.89E-02</w:t>
            </w:r>
          </w:p>
        </w:tc>
        <w:tc>
          <w:tcPr>
            <w:tcW w:w="556" w:type="pct"/>
            <w:shd w:val="clear" w:color="auto" w:fill="auto"/>
            <w:noWrap/>
            <w:vAlign w:val="center"/>
          </w:tcPr>
          <w:p w14:paraId="66C712F1" w14:textId="77777777" w:rsidR="00F103A8" w:rsidRPr="00C47F2F" w:rsidRDefault="00F103A8" w:rsidP="0021254F">
            <w:pPr>
              <w:pStyle w:val="Table"/>
              <w:rPr>
                <w:noProof/>
                <w:sz w:val="20"/>
                <w:szCs w:val="20"/>
              </w:rPr>
            </w:pPr>
            <w:r w:rsidRPr="00C47F2F">
              <w:rPr>
                <w:noProof/>
                <w:sz w:val="20"/>
                <w:szCs w:val="20"/>
              </w:rPr>
              <w:t>2.31E-02</w:t>
            </w:r>
          </w:p>
        </w:tc>
        <w:tc>
          <w:tcPr>
            <w:tcW w:w="557" w:type="pct"/>
            <w:shd w:val="clear" w:color="auto" w:fill="auto"/>
            <w:noWrap/>
            <w:vAlign w:val="center"/>
          </w:tcPr>
          <w:p w14:paraId="7E2EA3A1" w14:textId="77777777" w:rsidR="00F103A8" w:rsidRPr="00C47F2F" w:rsidRDefault="00F103A8" w:rsidP="0021254F">
            <w:pPr>
              <w:pStyle w:val="Table"/>
              <w:rPr>
                <w:noProof/>
                <w:sz w:val="20"/>
                <w:szCs w:val="20"/>
              </w:rPr>
            </w:pPr>
            <w:r w:rsidRPr="00C47F2F">
              <w:rPr>
                <w:noProof/>
                <w:sz w:val="20"/>
                <w:szCs w:val="20"/>
              </w:rPr>
              <w:t>2.31E-02</w:t>
            </w:r>
          </w:p>
        </w:tc>
        <w:tc>
          <w:tcPr>
            <w:tcW w:w="556" w:type="pct"/>
            <w:shd w:val="clear" w:color="auto" w:fill="auto"/>
            <w:noWrap/>
            <w:vAlign w:val="center"/>
          </w:tcPr>
          <w:p w14:paraId="5E484FE6" w14:textId="77777777" w:rsidR="00F103A8" w:rsidRPr="00C47F2F" w:rsidRDefault="00F103A8" w:rsidP="0021254F">
            <w:pPr>
              <w:pStyle w:val="Table"/>
              <w:rPr>
                <w:noProof/>
                <w:sz w:val="20"/>
                <w:szCs w:val="20"/>
              </w:rPr>
            </w:pPr>
            <w:r w:rsidRPr="00C47F2F">
              <w:rPr>
                <w:noProof/>
                <w:sz w:val="20"/>
                <w:szCs w:val="20"/>
              </w:rPr>
              <w:t>2.31E-02</w:t>
            </w:r>
          </w:p>
        </w:tc>
        <w:tc>
          <w:tcPr>
            <w:tcW w:w="557" w:type="pct"/>
            <w:shd w:val="clear" w:color="auto" w:fill="auto"/>
            <w:noWrap/>
            <w:vAlign w:val="center"/>
          </w:tcPr>
          <w:p w14:paraId="172E0080" w14:textId="77777777" w:rsidR="00F103A8" w:rsidRPr="00C47F2F" w:rsidRDefault="00F103A8" w:rsidP="0021254F">
            <w:pPr>
              <w:pStyle w:val="Table"/>
              <w:rPr>
                <w:noProof/>
                <w:sz w:val="20"/>
                <w:szCs w:val="20"/>
              </w:rPr>
            </w:pPr>
            <w:r w:rsidRPr="00C47F2F">
              <w:rPr>
                <w:noProof/>
                <w:sz w:val="20"/>
                <w:szCs w:val="20"/>
              </w:rPr>
              <w:t>1.39E-02</w:t>
            </w:r>
          </w:p>
        </w:tc>
      </w:tr>
      <w:tr w:rsidR="00F103A8" w:rsidRPr="00972C81" w14:paraId="0C9110D9" w14:textId="77777777" w:rsidTr="0021254F">
        <w:trPr>
          <w:trHeight w:val="300"/>
        </w:trPr>
        <w:tc>
          <w:tcPr>
            <w:tcW w:w="1662" w:type="pct"/>
            <w:shd w:val="clear" w:color="auto" w:fill="auto"/>
            <w:noWrap/>
            <w:vAlign w:val="center"/>
          </w:tcPr>
          <w:p w14:paraId="5C420EDC" w14:textId="6B32D305" w:rsidR="00F103A8" w:rsidRPr="00F103A8" w:rsidRDefault="00F103A8" w:rsidP="0021254F">
            <w:pPr>
              <w:pStyle w:val="Table"/>
              <w:rPr>
                <w:noProof/>
                <w:sz w:val="20"/>
                <w:szCs w:val="22"/>
              </w:rPr>
            </w:pPr>
            <w:r w:rsidRPr="00F103A8">
              <w:rPr>
                <w:noProof/>
                <w:sz w:val="20"/>
                <w:szCs w:val="22"/>
              </w:rPr>
              <w:t>Blood 1 to Urinary bladder cont</w:t>
            </w:r>
          </w:p>
        </w:tc>
        <w:tc>
          <w:tcPr>
            <w:tcW w:w="556" w:type="pct"/>
            <w:shd w:val="clear" w:color="auto" w:fill="auto"/>
            <w:noWrap/>
            <w:vAlign w:val="center"/>
          </w:tcPr>
          <w:p w14:paraId="6D40EF07" w14:textId="77777777" w:rsidR="00F103A8" w:rsidRPr="00C47F2F" w:rsidRDefault="00F103A8" w:rsidP="0021254F">
            <w:pPr>
              <w:pStyle w:val="Table"/>
              <w:rPr>
                <w:noProof/>
                <w:sz w:val="20"/>
                <w:szCs w:val="20"/>
              </w:rPr>
            </w:pPr>
            <w:r w:rsidRPr="00C47F2F">
              <w:rPr>
                <w:noProof/>
                <w:sz w:val="20"/>
                <w:szCs w:val="20"/>
              </w:rPr>
              <w:t>1.54E-02</w:t>
            </w:r>
          </w:p>
        </w:tc>
        <w:tc>
          <w:tcPr>
            <w:tcW w:w="557" w:type="pct"/>
            <w:shd w:val="clear" w:color="auto" w:fill="auto"/>
            <w:noWrap/>
            <w:vAlign w:val="center"/>
          </w:tcPr>
          <w:p w14:paraId="6F1EC8F7" w14:textId="77777777" w:rsidR="00F103A8" w:rsidRPr="00C47F2F" w:rsidRDefault="00F103A8" w:rsidP="0021254F">
            <w:pPr>
              <w:pStyle w:val="Table"/>
              <w:rPr>
                <w:noProof/>
                <w:sz w:val="20"/>
                <w:szCs w:val="20"/>
              </w:rPr>
            </w:pPr>
            <w:r w:rsidRPr="00C47F2F">
              <w:rPr>
                <w:noProof/>
                <w:sz w:val="20"/>
                <w:szCs w:val="20"/>
              </w:rPr>
              <w:t>1.54E-02</w:t>
            </w:r>
          </w:p>
        </w:tc>
        <w:tc>
          <w:tcPr>
            <w:tcW w:w="556" w:type="pct"/>
            <w:shd w:val="clear" w:color="auto" w:fill="auto"/>
            <w:noWrap/>
            <w:vAlign w:val="center"/>
          </w:tcPr>
          <w:p w14:paraId="0B109B74" w14:textId="77777777" w:rsidR="00F103A8" w:rsidRPr="00C47F2F" w:rsidRDefault="00F103A8" w:rsidP="0021254F">
            <w:pPr>
              <w:pStyle w:val="Table"/>
              <w:rPr>
                <w:noProof/>
                <w:sz w:val="20"/>
                <w:szCs w:val="20"/>
              </w:rPr>
            </w:pPr>
            <w:r w:rsidRPr="00C47F2F">
              <w:rPr>
                <w:noProof/>
                <w:sz w:val="20"/>
                <w:szCs w:val="20"/>
              </w:rPr>
              <w:t>1.54E-02</w:t>
            </w:r>
          </w:p>
        </w:tc>
        <w:tc>
          <w:tcPr>
            <w:tcW w:w="557" w:type="pct"/>
            <w:shd w:val="clear" w:color="auto" w:fill="auto"/>
            <w:noWrap/>
            <w:vAlign w:val="center"/>
          </w:tcPr>
          <w:p w14:paraId="17285E07" w14:textId="77777777" w:rsidR="00F103A8" w:rsidRPr="00C47F2F" w:rsidRDefault="00F103A8" w:rsidP="0021254F">
            <w:pPr>
              <w:pStyle w:val="Table"/>
              <w:rPr>
                <w:noProof/>
                <w:sz w:val="20"/>
                <w:szCs w:val="20"/>
              </w:rPr>
            </w:pPr>
            <w:r w:rsidRPr="00C47F2F">
              <w:rPr>
                <w:noProof/>
                <w:sz w:val="20"/>
                <w:szCs w:val="20"/>
              </w:rPr>
              <w:t>1.54E-02</w:t>
            </w:r>
          </w:p>
        </w:tc>
        <w:tc>
          <w:tcPr>
            <w:tcW w:w="556" w:type="pct"/>
            <w:shd w:val="clear" w:color="auto" w:fill="auto"/>
            <w:noWrap/>
            <w:vAlign w:val="center"/>
          </w:tcPr>
          <w:p w14:paraId="02ABDE74" w14:textId="77777777" w:rsidR="00F103A8" w:rsidRPr="00C47F2F" w:rsidRDefault="00F103A8" w:rsidP="0021254F">
            <w:pPr>
              <w:pStyle w:val="Table"/>
              <w:rPr>
                <w:noProof/>
                <w:sz w:val="20"/>
                <w:szCs w:val="20"/>
              </w:rPr>
            </w:pPr>
            <w:r w:rsidRPr="00C47F2F">
              <w:rPr>
                <w:noProof/>
                <w:sz w:val="20"/>
                <w:szCs w:val="20"/>
              </w:rPr>
              <w:t>1.54E-02</w:t>
            </w:r>
          </w:p>
        </w:tc>
        <w:tc>
          <w:tcPr>
            <w:tcW w:w="557" w:type="pct"/>
            <w:shd w:val="clear" w:color="auto" w:fill="auto"/>
            <w:noWrap/>
            <w:vAlign w:val="center"/>
          </w:tcPr>
          <w:p w14:paraId="1681CC8E" w14:textId="77777777" w:rsidR="00F103A8" w:rsidRPr="00C47F2F" w:rsidRDefault="00F103A8" w:rsidP="0021254F">
            <w:pPr>
              <w:pStyle w:val="Table"/>
              <w:rPr>
                <w:noProof/>
                <w:sz w:val="20"/>
                <w:szCs w:val="20"/>
              </w:rPr>
            </w:pPr>
            <w:r w:rsidRPr="00C47F2F">
              <w:rPr>
                <w:noProof/>
                <w:sz w:val="20"/>
                <w:szCs w:val="20"/>
              </w:rPr>
              <w:t>1.54E-02</w:t>
            </w:r>
          </w:p>
        </w:tc>
      </w:tr>
      <w:tr w:rsidR="00F103A8" w:rsidRPr="00972C81" w14:paraId="52FDA3A9" w14:textId="77777777" w:rsidTr="0021254F">
        <w:trPr>
          <w:trHeight w:val="300"/>
        </w:trPr>
        <w:tc>
          <w:tcPr>
            <w:tcW w:w="1662" w:type="pct"/>
            <w:shd w:val="clear" w:color="auto" w:fill="auto"/>
            <w:noWrap/>
            <w:vAlign w:val="center"/>
          </w:tcPr>
          <w:p w14:paraId="34401439" w14:textId="1629E8C7" w:rsidR="00F103A8" w:rsidRPr="00F103A8" w:rsidRDefault="00F103A8" w:rsidP="0021254F">
            <w:pPr>
              <w:pStyle w:val="Table"/>
              <w:rPr>
                <w:noProof/>
                <w:sz w:val="20"/>
                <w:szCs w:val="22"/>
              </w:rPr>
            </w:pPr>
            <w:r w:rsidRPr="00F103A8">
              <w:rPr>
                <w:noProof/>
                <w:sz w:val="20"/>
                <w:szCs w:val="22"/>
              </w:rPr>
              <w:t>Blood 1 to Kidneys 1</w:t>
            </w:r>
          </w:p>
        </w:tc>
        <w:tc>
          <w:tcPr>
            <w:tcW w:w="556" w:type="pct"/>
            <w:shd w:val="clear" w:color="auto" w:fill="auto"/>
            <w:noWrap/>
            <w:vAlign w:val="center"/>
          </w:tcPr>
          <w:p w14:paraId="19549BD0" w14:textId="77777777" w:rsidR="00F103A8" w:rsidRPr="00C47F2F" w:rsidRDefault="00F103A8" w:rsidP="0021254F">
            <w:pPr>
              <w:pStyle w:val="Table"/>
              <w:rPr>
                <w:noProof/>
                <w:sz w:val="20"/>
                <w:szCs w:val="20"/>
              </w:rPr>
            </w:pPr>
            <w:r w:rsidRPr="00C47F2F">
              <w:rPr>
                <w:noProof/>
                <w:sz w:val="20"/>
                <w:szCs w:val="20"/>
              </w:rPr>
              <w:t>7.70E-03</w:t>
            </w:r>
          </w:p>
        </w:tc>
        <w:tc>
          <w:tcPr>
            <w:tcW w:w="557" w:type="pct"/>
            <w:shd w:val="clear" w:color="auto" w:fill="auto"/>
            <w:noWrap/>
            <w:vAlign w:val="center"/>
          </w:tcPr>
          <w:p w14:paraId="5DEA2A84" w14:textId="77777777" w:rsidR="00F103A8" w:rsidRPr="00C47F2F" w:rsidRDefault="00F103A8" w:rsidP="0021254F">
            <w:pPr>
              <w:pStyle w:val="Table"/>
              <w:rPr>
                <w:noProof/>
                <w:sz w:val="20"/>
                <w:szCs w:val="20"/>
              </w:rPr>
            </w:pPr>
            <w:r w:rsidRPr="00C47F2F">
              <w:rPr>
                <w:noProof/>
                <w:sz w:val="20"/>
                <w:szCs w:val="20"/>
              </w:rPr>
              <w:t>7.70E-03</w:t>
            </w:r>
          </w:p>
        </w:tc>
        <w:tc>
          <w:tcPr>
            <w:tcW w:w="556" w:type="pct"/>
            <w:shd w:val="clear" w:color="auto" w:fill="auto"/>
            <w:noWrap/>
            <w:vAlign w:val="center"/>
          </w:tcPr>
          <w:p w14:paraId="7B6DED61" w14:textId="77777777" w:rsidR="00F103A8" w:rsidRPr="00C47F2F" w:rsidRDefault="00F103A8" w:rsidP="0021254F">
            <w:pPr>
              <w:pStyle w:val="Table"/>
              <w:rPr>
                <w:noProof/>
                <w:sz w:val="20"/>
                <w:szCs w:val="20"/>
              </w:rPr>
            </w:pPr>
            <w:r w:rsidRPr="00C47F2F">
              <w:rPr>
                <w:noProof/>
                <w:sz w:val="20"/>
                <w:szCs w:val="20"/>
              </w:rPr>
              <w:t>7.70E-03</w:t>
            </w:r>
          </w:p>
        </w:tc>
        <w:tc>
          <w:tcPr>
            <w:tcW w:w="557" w:type="pct"/>
            <w:shd w:val="clear" w:color="auto" w:fill="auto"/>
            <w:noWrap/>
            <w:vAlign w:val="center"/>
          </w:tcPr>
          <w:p w14:paraId="4338A3DD" w14:textId="77777777" w:rsidR="00F103A8" w:rsidRPr="00C47F2F" w:rsidRDefault="00F103A8" w:rsidP="0021254F">
            <w:pPr>
              <w:pStyle w:val="Table"/>
              <w:rPr>
                <w:noProof/>
                <w:sz w:val="20"/>
                <w:szCs w:val="20"/>
              </w:rPr>
            </w:pPr>
            <w:r w:rsidRPr="00C47F2F">
              <w:rPr>
                <w:noProof/>
                <w:sz w:val="20"/>
                <w:szCs w:val="20"/>
              </w:rPr>
              <w:t>7.70E-03</w:t>
            </w:r>
          </w:p>
        </w:tc>
        <w:tc>
          <w:tcPr>
            <w:tcW w:w="556" w:type="pct"/>
            <w:shd w:val="clear" w:color="auto" w:fill="auto"/>
            <w:noWrap/>
            <w:vAlign w:val="center"/>
          </w:tcPr>
          <w:p w14:paraId="6EF33843" w14:textId="77777777" w:rsidR="00F103A8" w:rsidRPr="00C47F2F" w:rsidRDefault="00F103A8" w:rsidP="0021254F">
            <w:pPr>
              <w:pStyle w:val="Table"/>
              <w:rPr>
                <w:noProof/>
                <w:sz w:val="20"/>
                <w:szCs w:val="20"/>
              </w:rPr>
            </w:pPr>
            <w:r w:rsidRPr="00C47F2F">
              <w:rPr>
                <w:noProof/>
                <w:sz w:val="20"/>
                <w:szCs w:val="20"/>
              </w:rPr>
              <w:t>7.70E-03</w:t>
            </w:r>
          </w:p>
        </w:tc>
        <w:tc>
          <w:tcPr>
            <w:tcW w:w="557" w:type="pct"/>
            <w:shd w:val="clear" w:color="auto" w:fill="auto"/>
            <w:noWrap/>
            <w:vAlign w:val="center"/>
          </w:tcPr>
          <w:p w14:paraId="03C26086" w14:textId="77777777" w:rsidR="00F103A8" w:rsidRPr="00C47F2F" w:rsidRDefault="00F103A8" w:rsidP="0021254F">
            <w:pPr>
              <w:pStyle w:val="Table"/>
              <w:rPr>
                <w:noProof/>
                <w:sz w:val="20"/>
                <w:szCs w:val="20"/>
              </w:rPr>
            </w:pPr>
            <w:r w:rsidRPr="00C47F2F">
              <w:rPr>
                <w:noProof/>
                <w:sz w:val="20"/>
                <w:szCs w:val="20"/>
              </w:rPr>
              <w:t>7.70E-03</w:t>
            </w:r>
          </w:p>
        </w:tc>
      </w:tr>
      <w:tr w:rsidR="00F103A8" w:rsidRPr="00972C81" w14:paraId="3D984995" w14:textId="77777777" w:rsidTr="0021254F">
        <w:trPr>
          <w:trHeight w:val="300"/>
        </w:trPr>
        <w:tc>
          <w:tcPr>
            <w:tcW w:w="1662" w:type="pct"/>
            <w:shd w:val="clear" w:color="auto" w:fill="auto"/>
            <w:noWrap/>
            <w:vAlign w:val="center"/>
          </w:tcPr>
          <w:p w14:paraId="677C5FF6" w14:textId="39A66370" w:rsidR="00F103A8" w:rsidRPr="00F103A8" w:rsidRDefault="00F103A8" w:rsidP="0021254F">
            <w:pPr>
              <w:pStyle w:val="Table"/>
              <w:rPr>
                <w:noProof/>
                <w:sz w:val="20"/>
                <w:szCs w:val="22"/>
              </w:rPr>
            </w:pPr>
            <w:r w:rsidRPr="00F103A8">
              <w:rPr>
                <w:noProof/>
                <w:sz w:val="20"/>
                <w:szCs w:val="22"/>
              </w:rPr>
              <w:t>Blood 1 to Kidneys 2</w:t>
            </w:r>
          </w:p>
        </w:tc>
        <w:tc>
          <w:tcPr>
            <w:tcW w:w="556" w:type="pct"/>
            <w:shd w:val="clear" w:color="auto" w:fill="auto"/>
            <w:noWrap/>
            <w:vAlign w:val="center"/>
          </w:tcPr>
          <w:p w14:paraId="297A4AD8" w14:textId="77777777" w:rsidR="00F103A8" w:rsidRPr="00C47F2F" w:rsidRDefault="00F103A8" w:rsidP="0021254F">
            <w:pPr>
              <w:pStyle w:val="Table"/>
              <w:rPr>
                <w:noProof/>
                <w:sz w:val="20"/>
                <w:szCs w:val="20"/>
              </w:rPr>
            </w:pPr>
            <w:r w:rsidRPr="00C47F2F">
              <w:rPr>
                <w:noProof/>
                <w:sz w:val="20"/>
                <w:szCs w:val="20"/>
              </w:rPr>
              <w:t>3.85E-04</w:t>
            </w:r>
          </w:p>
        </w:tc>
        <w:tc>
          <w:tcPr>
            <w:tcW w:w="557" w:type="pct"/>
            <w:shd w:val="clear" w:color="auto" w:fill="auto"/>
            <w:noWrap/>
            <w:vAlign w:val="center"/>
          </w:tcPr>
          <w:p w14:paraId="5395F837" w14:textId="77777777" w:rsidR="00F103A8" w:rsidRPr="00C47F2F" w:rsidRDefault="00F103A8" w:rsidP="0021254F">
            <w:pPr>
              <w:pStyle w:val="Table"/>
              <w:rPr>
                <w:noProof/>
                <w:sz w:val="20"/>
                <w:szCs w:val="20"/>
              </w:rPr>
            </w:pPr>
            <w:r w:rsidRPr="00C47F2F">
              <w:rPr>
                <w:noProof/>
                <w:sz w:val="20"/>
                <w:szCs w:val="20"/>
              </w:rPr>
              <w:t>3.85E-04</w:t>
            </w:r>
          </w:p>
        </w:tc>
        <w:tc>
          <w:tcPr>
            <w:tcW w:w="556" w:type="pct"/>
            <w:shd w:val="clear" w:color="auto" w:fill="auto"/>
            <w:noWrap/>
            <w:vAlign w:val="center"/>
          </w:tcPr>
          <w:p w14:paraId="3B603537" w14:textId="77777777" w:rsidR="00F103A8" w:rsidRPr="00C47F2F" w:rsidRDefault="00F103A8" w:rsidP="0021254F">
            <w:pPr>
              <w:pStyle w:val="Table"/>
              <w:rPr>
                <w:noProof/>
                <w:sz w:val="20"/>
                <w:szCs w:val="20"/>
              </w:rPr>
            </w:pPr>
            <w:r w:rsidRPr="00C47F2F">
              <w:rPr>
                <w:noProof/>
                <w:sz w:val="20"/>
                <w:szCs w:val="20"/>
              </w:rPr>
              <w:t>3.85E-04</w:t>
            </w:r>
          </w:p>
        </w:tc>
        <w:tc>
          <w:tcPr>
            <w:tcW w:w="557" w:type="pct"/>
            <w:shd w:val="clear" w:color="auto" w:fill="auto"/>
            <w:noWrap/>
            <w:vAlign w:val="center"/>
          </w:tcPr>
          <w:p w14:paraId="74E653A6" w14:textId="77777777" w:rsidR="00F103A8" w:rsidRPr="00C47F2F" w:rsidRDefault="00F103A8" w:rsidP="0021254F">
            <w:pPr>
              <w:pStyle w:val="Table"/>
              <w:rPr>
                <w:noProof/>
                <w:sz w:val="20"/>
                <w:szCs w:val="20"/>
              </w:rPr>
            </w:pPr>
            <w:r w:rsidRPr="00C47F2F">
              <w:rPr>
                <w:noProof/>
                <w:sz w:val="20"/>
                <w:szCs w:val="20"/>
              </w:rPr>
              <w:t>3.85E-04</w:t>
            </w:r>
          </w:p>
        </w:tc>
        <w:tc>
          <w:tcPr>
            <w:tcW w:w="556" w:type="pct"/>
            <w:shd w:val="clear" w:color="auto" w:fill="auto"/>
            <w:noWrap/>
            <w:vAlign w:val="center"/>
          </w:tcPr>
          <w:p w14:paraId="4323EAE2" w14:textId="77777777" w:rsidR="00F103A8" w:rsidRPr="00C47F2F" w:rsidRDefault="00F103A8" w:rsidP="0021254F">
            <w:pPr>
              <w:pStyle w:val="Table"/>
              <w:rPr>
                <w:noProof/>
                <w:sz w:val="20"/>
                <w:szCs w:val="20"/>
              </w:rPr>
            </w:pPr>
            <w:r w:rsidRPr="00C47F2F">
              <w:rPr>
                <w:noProof/>
                <w:sz w:val="20"/>
                <w:szCs w:val="20"/>
              </w:rPr>
              <w:t>3.85E-04</w:t>
            </w:r>
          </w:p>
        </w:tc>
        <w:tc>
          <w:tcPr>
            <w:tcW w:w="557" w:type="pct"/>
            <w:shd w:val="clear" w:color="auto" w:fill="auto"/>
            <w:noWrap/>
            <w:vAlign w:val="center"/>
          </w:tcPr>
          <w:p w14:paraId="53F6C960" w14:textId="77777777" w:rsidR="00F103A8" w:rsidRPr="00C47F2F" w:rsidRDefault="00F103A8" w:rsidP="0021254F">
            <w:pPr>
              <w:pStyle w:val="Table"/>
              <w:rPr>
                <w:noProof/>
                <w:sz w:val="20"/>
                <w:szCs w:val="20"/>
              </w:rPr>
            </w:pPr>
            <w:r w:rsidRPr="00C47F2F">
              <w:rPr>
                <w:noProof/>
                <w:sz w:val="20"/>
                <w:szCs w:val="20"/>
              </w:rPr>
              <w:t>3.85E-04</w:t>
            </w:r>
          </w:p>
        </w:tc>
      </w:tr>
      <w:tr w:rsidR="00F103A8" w:rsidRPr="00972C81" w14:paraId="289898A8" w14:textId="77777777" w:rsidTr="0021254F">
        <w:trPr>
          <w:trHeight w:val="300"/>
        </w:trPr>
        <w:tc>
          <w:tcPr>
            <w:tcW w:w="1662" w:type="pct"/>
            <w:shd w:val="clear" w:color="auto" w:fill="auto"/>
            <w:noWrap/>
            <w:vAlign w:val="center"/>
          </w:tcPr>
          <w:p w14:paraId="164BAD93" w14:textId="4EF42C85" w:rsidR="00F103A8" w:rsidRPr="00F103A8" w:rsidRDefault="00F103A8" w:rsidP="0021254F">
            <w:pPr>
              <w:pStyle w:val="Table"/>
              <w:rPr>
                <w:noProof/>
                <w:sz w:val="20"/>
                <w:szCs w:val="22"/>
              </w:rPr>
            </w:pPr>
            <w:r w:rsidRPr="00F103A8">
              <w:rPr>
                <w:noProof/>
                <w:sz w:val="20"/>
                <w:szCs w:val="22"/>
              </w:rPr>
              <w:t xml:space="preserve">Blood 1 to Right colon cont </w:t>
            </w:r>
          </w:p>
        </w:tc>
        <w:tc>
          <w:tcPr>
            <w:tcW w:w="556" w:type="pct"/>
            <w:shd w:val="clear" w:color="auto" w:fill="auto"/>
            <w:noWrap/>
            <w:vAlign w:val="center"/>
          </w:tcPr>
          <w:p w14:paraId="704EAF13" w14:textId="77777777" w:rsidR="00F103A8" w:rsidRPr="00C47F2F" w:rsidRDefault="00F103A8" w:rsidP="0021254F">
            <w:pPr>
              <w:pStyle w:val="Table"/>
              <w:rPr>
                <w:noProof/>
                <w:sz w:val="20"/>
                <w:szCs w:val="20"/>
              </w:rPr>
            </w:pPr>
            <w:r w:rsidRPr="00C47F2F">
              <w:rPr>
                <w:noProof/>
                <w:sz w:val="20"/>
                <w:szCs w:val="20"/>
              </w:rPr>
              <w:t>1.16E-02</w:t>
            </w:r>
          </w:p>
        </w:tc>
        <w:tc>
          <w:tcPr>
            <w:tcW w:w="557" w:type="pct"/>
            <w:shd w:val="clear" w:color="auto" w:fill="auto"/>
            <w:noWrap/>
            <w:vAlign w:val="center"/>
          </w:tcPr>
          <w:p w14:paraId="159F6178" w14:textId="77777777" w:rsidR="00F103A8" w:rsidRPr="00C47F2F" w:rsidRDefault="00F103A8" w:rsidP="0021254F">
            <w:pPr>
              <w:pStyle w:val="Table"/>
              <w:rPr>
                <w:noProof/>
                <w:sz w:val="20"/>
                <w:szCs w:val="20"/>
              </w:rPr>
            </w:pPr>
            <w:r w:rsidRPr="00C47F2F">
              <w:rPr>
                <w:noProof/>
                <w:sz w:val="20"/>
                <w:szCs w:val="20"/>
              </w:rPr>
              <w:t>1.16E-02</w:t>
            </w:r>
          </w:p>
        </w:tc>
        <w:tc>
          <w:tcPr>
            <w:tcW w:w="556" w:type="pct"/>
            <w:shd w:val="clear" w:color="auto" w:fill="auto"/>
            <w:noWrap/>
            <w:vAlign w:val="center"/>
          </w:tcPr>
          <w:p w14:paraId="1E6AEBEC" w14:textId="77777777" w:rsidR="00F103A8" w:rsidRPr="00C47F2F" w:rsidRDefault="00F103A8" w:rsidP="0021254F">
            <w:pPr>
              <w:pStyle w:val="Table"/>
              <w:rPr>
                <w:noProof/>
                <w:sz w:val="20"/>
                <w:szCs w:val="20"/>
              </w:rPr>
            </w:pPr>
            <w:r w:rsidRPr="00C47F2F">
              <w:rPr>
                <w:noProof/>
                <w:sz w:val="20"/>
                <w:szCs w:val="20"/>
              </w:rPr>
              <w:t>1.16E-02</w:t>
            </w:r>
          </w:p>
        </w:tc>
        <w:tc>
          <w:tcPr>
            <w:tcW w:w="557" w:type="pct"/>
            <w:shd w:val="clear" w:color="auto" w:fill="auto"/>
            <w:noWrap/>
            <w:vAlign w:val="center"/>
          </w:tcPr>
          <w:p w14:paraId="06E98079" w14:textId="77777777" w:rsidR="00F103A8" w:rsidRPr="00C47F2F" w:rsidRDefault="00F103A8" w:rsidP="0021254F">
            <w:pPr>
              <w:pStyle w:val="Table"/>
              <w:rPr>
                <w:noProof/>
                <w:sz w:val="20"/>
                <w:szCs w:val="20"/>
              </w:rPr>
            </w:pPr>
            <w:r w:rsidRPr="00C47F2F">
              <w:rPr>
                <w:noProof/>
                <w:sz w:val="20"/>
                <w:szCs w:val="20"/>
              </w:rPr>
              <w:t>1.16E-02</w:t>
            </w:r>
          </w:p>
        </w:tc>
        <w:tc>
          <w:tcPr>
            <w:tcW w:w="556" w:type="pct"/>
            <w:shd w:val="clear" w:color="auto" w:fill="auto"/>
            <w:noWrap/>
            <w:vAlign w:val="center"/>
          </w:tcPr>
          <w:p w14:paraId="46F25D3A" w14:textId="77777777" w:rsidR="00F103A8" w:rsidRPr="00C47F2F" w:rsidRDefault="00F103A8" w:rsidP="0021254F">
            <w:pPr>
              <w:pStyle w:val="Table"/>
              <w:rPr>
                <w:noProof/>
                <w:sz w:val="20"/>
                <w:szCs w:val="20"/>
              </w:rPr>
            </w:pPr>
            <w:r w:rsidRPr="00C47F2F">
              <w:rPr>
                <w:noProof/>
                <w:sz w:val="20"/>
                <w:szCs w:val="20"/>
              </w:rPr>
              <w:t>1.16E-02</w:t>
            </w:r>
          </w:p>
        </w:tc>
        <w:tc>
          <w:tcPr>
            <w:tcW w:w="557" w:type="pct"/>
            <w:shd w:val="clear" w:color="auto" w:fill="auto"/>
            <w:noWrap/>
            <w:vAlign w:val="center"/>
          </w:tcPr>
          <w:p w14:paraId="5AEF478B" w14:textId="77777777" w:rsidR="00F103A8" w:rsidRPr="00C47F2F" w:rsidRDefault="00F103A8" w:rsidP="0021254F">
            <w:pPr>
              <w:pStyle w:val="Table"/>
              <w:rPr>
                <w:noProof/>
                <w:sz w:val="20"/>
                <w:szCs w:val="20"/>
              </w:rPr>
            </w:pPr>
            <w:r w:rsidRPr="00C47F2F">
              <w:rPr>
                <w:noProof/>
                <w:sz w:val="20"/>
                <w:szCs w:val="20"/>
              </w:rPr>
              <w:t>1.16E-02</w:t>
            </w:r>
          </w:p>
        </w:tc>
      </w:tr>
      <w:tr w:rsidR="00F103A8" w:rsidRPr="00972C81" w14:paraId="2D7C12F6" w14:textId="77777777" w:rsidTr="0021254F">
        <w:trPr>
          <w:trHeight w:val="300"/>
        </w:trPr>
        <w:tc>
          <w:tcPr>
            <w:tcW w:w="1662" w:type="pct"/>
            <w:shd w:val="clear" w:color="auto" w:fill="auto"/>
            <w:noWrap/>
            <w:vAlign w:val="center"/>
          </w:tcPr>
          <w:p w14:paraId="012533DC" w14:textId="6D00001E" w:rsidR="00F103A8" w:rsidRPr="00F103A8" w:rsidRDefault="00F103A8" w:rsidP="0021254F">
            <w:pPr>
              <w:pStyle w:val="Table"/>
              <w:rPr>
                <w:noProof/>
                <w:sz w:val="20"/>
                <w:szCs w:val="22"/>
              </w:rPr>
            </w:pPr>
            <w:r w:rsidRPr="00F103A8">
              <w:rPr>
                <w:noProof/>
                <w:sz w:val="20"/>
                <w:szCs w:val="22"/>
              </w:rPr>
              <w:t>Blood 1 to Testes</w:t>
            </w:r>
          </w:p>
        </w:tc>
        <w:tc>
          <w:tcPr>
            <w:tcW w:w="556" w:type="pct"/>
            <w:shd w:val="clear" w:color="auto" w:fill="auto"/>
            <w:noWrap/>
            <w:vAlign w:val="center"/>
          </w:tcPr>
          <w:p w14:paraId="0B4335B3" w14:textId="77777777" w:rsidR="00F103A8" w:rsidRPr="00C47F2F" w:rsidRDefault="00F103A8" w:rsidP="0021254F">
            <w:pPr>
              <w:pStyle w:val="Table"/>
              <w:rPr>
                <w:noProof/>
                <w:sz w:val="20"/>
                <w:szCs w:val="20"/>
              </w:rPr>
            </w:pPr>
            <w:r w:rsidRPr="00C47F2F">
              <w:rPr>
                <w:noProof/>
                <w:sz w:val="20"/>
                <w:szCs w:val="20"/>
              </w:rPr>
              <w:t>1.54E-05</w:t>
            </w:r>
          </w:p>
        </w:tc>
        <w:tc>
          <w:tcPr>
            <w:tcW w:w="557" w:type="pct"/>
            <w:shd w:val="clear" w:color="auto" w:fill="auto"/>
            <w:noWrap/>
            <w:vAlign w:val="center"/>
          </w:tcPr>
          <w:p w14:paraId="2C6FBF0A" w14:textId="77777777" w:rsidR="00F103A8" w:rsidRPr="00C47F2F" w:rsidRDefault="00F103A8" w:rsidP="0021254F">
            <w:pPr>
              <w:pStyle w:val="Table"/>
              <w:rPr>
                <w:noProof/>
                <w:sz w:val="20"/>
                <w:szCs w:val="20"/>
              </w:rPr>
            </w:pPr>
            <w:r w:rsidRPr="00C47F2F">
              <w:rPr>
                <w:noProof/>
                <w:sz w:val="20"/>
                <w:szCs w:val="20"/>
              </w:rPr>
              <w:t>2.31E-05</w:t>
            </w:r>
          </w:p>
        </w:tc>
        <w:tc>
          <w:tcPr>
            <w:tcW w:w="556" w:type="pct"/>
            <w:shd w:val="clear" w:color="auto" w:fill="auto"/>
            <w:noWrap/>
            <w:vAlign w:val="center"/>
          </w:tcPr>
          <w:p w14:paraId="5600ABA6" w14:textId="77777777" w:rsidR="00F103A8" w:rsidRPr="00C47F2F" w:rsidRDefault="00F103A8" w:rsidP="0021254F">
            <w:pPr>
              <w:pStyle w:val="Table"/>
              <w:rPr>
                <w:noProof/>
                <w:sz w:val="20"/>
                <w:szCs w:val="20"/>
              </w:rPr>
            </w:pPr>
            <w:r w:rsidRPr="00C47F2F">
              <w:rPr>
                <w:noProof/>
                <w:sz w:val="20"/>
                <w:szCs w:val="20"/>
              </w:rPr>
              <w:t>2.62E-05</w:t>
            </w:r>
          </w:p>
        </w:tc>
        <w:tc>
          <w:tcPr>
            <w:tcW w:w="557" w:type="pct"/>
            <w:shd w:val="clear" w:color="auto" w:fill="auto"/>
            <w:noWrap/>
            <w:vAlign w:val="center"/>
          </w:tcPr>
          <w:p w14:paraId="72C5ECA9" w14:textId="77777777" w:rsidR="00F103A8" w:rsidRPr="00C47F2F" w:rsidRDefault="00F103A8" w:rsidP="0021254F">
            <w:pPr>
              <w:pStyle w:val="Table"/>
              <w:rPr>
                <w:noProof/>
                <w:sz w:val="20"/>
                <w:szCs w:val="20"/>
              </w:rPr>
            </w:pPr>
            <w:r w:rsidRPr="00C47F2F">
              <w:rPr>
                <w:noProof/>
                <w:sz w:val="20"/>
                <w:szCs w:val="20"/>
              </w:rPr>
              <w:t>3.08E-05</w:t>
            </w:r>
          </w:p>
        </w:tc>
        <w:tc>
          <w:tcPr>
            <w:tcW w:w="556" w:type="pct"/>
            <w:shd w:val="clear" w:color="auto" w:fill="auto"/>
            <w:noWrap/>
            <w:vAlign w:val="center"/>
          </w:tcPr>
          <w:p w14:paraId="2E150076" w14:textId="77777777" w:rsidR="00F103A8" w:rsidRPr="00C47F2F" w:rsidRDefault="00F103A8" w:rsidP="0021254F">
            <w:pPr>
              <w:pStyle w:val="Table"/>
              <w:rPr>
                <w:noProof/>
                <w:sz w:val="20"/>
                <w:szCs w:val="20"/>
              </w:rPr>
            </w:pPr>
            <w:r w:rsidRPr="00C47F2F">
              <w:rPr>
                <w:noProof/>
                <w:sz w:val="20"/>
                <w:szCs w:val="20"/>
              </w:rPr>
              <w:t>2.46E-04</w:t>
            </w:r>
          </w:p>
        </w:tc>
        <w:tc>
          <w:tcPr>
            <w:tcW w:w="557" w:type="pct"/>
            <w:shd w:val="clear" w:color="auto" w:fill="auto"/>
            <w:noWrap/>
            <w:vAlign w:val="center"/>
          </w:tcPr>
          <w:p w14:paraId="76BF8C73" w14:textId="77777777" w:rsidR="00F103A8" w:rsidRPr="00C47F2F" w:rsidRDefault="00F103A8" w:rsidP="0021254F">
            <w:pPr>
              <w:pStyle w:val="Table"/>
              <w:rPr>
                <w:noProof/>
                <w:sz w:val="20"/>
                <w:szCs w:val="20"/>
              </w:rPr>
            </w:pPr>
            <w:r w:rsidRPr="00C47F2F">
              <w:rPr>
                <w:noProof/>
                <w:sz w:val="20"/>
                <w:szCs w:val="20"/>
              </w:rPr>
              <w:t>2.70E-04</w:t>
            </w:r>
          </w:p>
        </w:tc>
      </w:tr>
      <w:tr w:rsidR="00F103A8" w:rsidRPr="00972C81" w14:paraId="068AE6B8" w14:textId="77777777" w:rsidTr="0021254F">
        <w:trPr>
          <w:trHeight w:val="300"/>
        </w:trPr>
        <w:tc>
          <w:tcPr>
            <w:tcW w:w="1662" w:type="pct"/>
            <w:shd w:val="clear" w:color="auto" w:fill="auto"/>
            <w:noWrap/>
            <w:vAlign w:val="center"/>
          </w:tcPr>
          <w:p w14:paraId="0BF03286" w14:textId="1E5FB8F5" w:rsidR="00F103A8" w:rsidRPr="00F103A8" w:rsidRDefault="00F103A8" w:rsidP="0021254F">
            <w:pPr>
              <w:pStyle w:val="Table"/>
              <w:rPr>
                <w:noProof/>
                <w:sz w:val="20"/>
                <w:szCs w:val="22"/>
              </w:rPr>
            </w:pPr>
            <w:r w:rsidRPr="00F103A8">
              <w:rPr>
                <w:noProof/>
                <w:sz w:val="20"/>
                <w:szCs w:val="22"/>
              </w:rPr>
              <w:t>Blood 1 to Ovaries</w:t>
            </w:r>
          </w:p>
        </w:tc>
        <w:tc>
          <w:tcPr>
            <w:tcW w:w="556" w:type="pct"/>
            <w:shd w:val="clear" w:color="auto" w:fill="auto"/>
            <w:noWrap/>
            <w:vAlign w:val="center"/>
          </w:tcPr>
          <w:p w14:paraId="18CEF947" w14:textId="77777777" w:rsidR="00F103A8" w:rsidRPr="00C47F2F" w:rsidRDefault="00F103A8" w:rsidP="0021254F">
            <w:pPr>
              <w:pStyle w:val="Table"/>
              <w:rPr>
                <w:noProof/>
                <w:sz w:val="20"/>
                <w:szCs w:val="20"/>
              </w:rPr>
            </w:pPr>
            <w:r w:rsidRPr="00C47F2F">
              <w:rPr>
                <w:noProof/>
                <w:sz w:val="20"/>
                <w:szCs w:val="20"/>
              </w:rPr>
              <w:t>9.24E-06</w:t>
            </w:r>
          </w:p>
        </w:tc>
        <w:tc>
          <w:tcPr>
            <w:tcW w:w="557" w:type="pct"/>
            <w:shd w:val="clear" w:color="auto" w:fill="auto"/>
            <w:noWrap/>
            <w:vAlign w:val="center"/>
          </w:tcPr>
          <w:p w14:paraId="573DCDEB" w14:textId="77777777" w:rsidR="00F103A8" w:rsidRPr="00C47F2F" w:rsidRDefault="00F103A8" w:rsidP="0021254F">
            <w:pPr>
              <w:pStyle w:val="Table"/>
              <w:rPr>
                <w:noProof/>
                <w:sz w:val="20"/>
                <w:szCs w:val="20"/>
              </w:rPr>
            </w:pPr>
            <w:r w:rsidRPr="00C47F2F">
              <w:rPr>
                <w:noProof/>
                <w:sz w:val="20"/>
                <w:szCs w:val="20"/>
              </w:rPr>
              <w:t>1.23E-05</w:t>
            </w:r>
          </w:p>
        </w:tc>
        <w:tc>
          <w:tcPr>
            <w:tcW w:w="556" w:type="pct"/>
            <w:shd w:val="clear" w:color="auto" w:fill="auto"/>
            <w:noWrap/>
            <w:vAlign w:val="center"/>
          </w:tcPr>
          <w:p w14:paraId="791181E4" w14:textId="77777777" w:rsidR="00F103A8" w:rsidRPr="00C47F2F" w:rsidRDefault="00F103A8" w:rsidP="0021254F">
            <w:pPr>
              <w:pStyle w:val="Table"/>
              <w:rPr>
                <w:noProof/>
                <w:sz w:val="20"/>
                <w:szCs w:val="20"/>
              </w:rPr>
            </w:pPr>
            <w:r w:rsidRPr="00C47F2F">
              <w:rPr>
                <w:noProof/>
                <w:sz w:val="20"/>
                <w:szCs w:val="20"/>
              </w:rPr>
              <w:t>3.08E-05</w:t>
            </w:r>
          </w:p>
        </w:tc>
        <w:tc>
          <w:tcPr>
            <w:tcW w:w="557" w:type="pct"/>
            <w:shd w:val="clear" w:color="auto" w:fill="auto"/>
            <w:noWrap/>
            <w:vAlign w:val="center"/>
          </w:tcPr>
          <w:p w14:paraId="2FB0F9A5" w14:textId="77777777" w:rsidR="00F103A8" w:rsidRPr="00C47F2F" w:rsidRDefault="00F103A8" w:rsidP="0021254F">
            <w:pPr>
              <w:pStyle w:val="Table"/>
              <w:rPr>
                <w:noProof/>
                <w:sz w:val="20"/>
                <w:szCs w:val="20"/>
              </w:rPr>
            </w:pPr>
            <w:r w:rsidRPr="00C47F2F">
              <w:rPr>
                <w:noProof/>
                <w:sz w:val="20"/>
                <w:szCs w:val="20"/>
              </w:rPr>
              <w:t>5.39E-05</w:t>
            </w:r>
          </w:p>
        </w:tc>
        <w:tc>
          <w:tcPr>
            <w:tcW w:w="556" w:type="pct"/>
            <w:shd w:val="clear" w:color="auto" w:fill="auto"/>
            <w:noWrap/>
            <w:vAlign w:val="center"/>
          </w:tcPr>
          <w:p w14:paraId="3366057C" w14:textId="77777777" w:rsidR="00F103A8" w:rsidRPr="00C47F2F" w:rsidRDefault="00F103A8" w:rsidP="0021254F">
            <w:pPr>
              <w:pStyle w:val="Table"/>
              <w:rPr>
                <w:noProof/>
                <w:sz w:val="20"/>
                <w:szCs w:val="20"/>
              </w:rPr>
            </w:pPr>
            <w:r w:rsidRPr="00C47F2F">
              <w:rPr>
                <w:noProof/>
                <w:sz w:val="20"/>
                <w:szCs w:val="20"/>
              </w:rPr>
              <w:t>9.24E-05</w:t>
            </w:r>
          </w:p>
        </w:tc>
        <w:tc>
          <w:tcPr>
            <w:tcW w:w="557" w:type="pct"/>
            <w:shd w:val="clear" w:color="auto" w:fill="auto"/>
            <w:noWrap/>
            <w:vAlign w:val="center"/>
          </w:tcPr>
          <w:p w14:paraId="6BED3804" w14:textId="77777777" w:rsidR="00F103A8" w:rsidRPr="00C47F2F" w:rsidRDefault="00F103A8" w:rsidP="0021254F">
            <w:pPr>
              <w:pStyle w:val="Table"/>
              <w:rPr>
                <w:noProof/>
                <w:sz w:val="20"/>
                <w:szCs w:val="20"/>
              </w:rPr>
            </w:pPr>
            <w:r w:rsidRPr="00C47F2F">
              <w:rPr>
                <w:noProof/>
                <w:sz w:val="20"/>
                <w:szCs w:val="20"/>
              </w:rPr>
              <w:t>8.47E-05</w:t>
            </w:r>
          </w:p>
        </w:tc>
      </w:tr>
      <w:tr w:rsidR="00F103A8" w:rsidRPr="00972C81" w14:paraId="08CF1D86" w14:textId="77777777" w:rsidTr="0021254F">
        <w:trPr>
          <w:trHeight w:val="300"/>
        </w:trPr>
        <w:tc>
          <w:tcPr>
            <w:tcW w:w="1662" w:type="pct"/>
            <w:shd w:val="clear" w:color="auto" w:fill="auto"/>
            <w:noWrap/>
            <w:vAlign w:val="center"/>
          </w:tcPr>
          <w:p w14:paraId="19C1DEAA" w14:textId="1DEDD8EF" w:rsidR="00F103A8" w:rsidRPr="00F103A8" w:rsidRDefault="00F103A8" w:rsidP="0021254F">
            <w:pPr>
              <w:pStyle w:val="Table"/>
              <w:rPr>
                <w:noProof/>
                <w:sz w:val="20"/>
                <w:szCs w:val="22"/>
              </w:rPr>
            </w:pPr>
            <w:r w:rsidRPr="00F103A8">
              <w:rPr>
                <w:noProof/>
                <w:sz w:val="20"/>
                <w:szCs w:val="22"/>
              </w:rPr>
              <w:t>Blood 1 to  ST1</w:t>
            </w:r>
          </w:p>
        </w:tc>
        <w:tc>
          <w:tcPr>
            <w:tcW w:w="556" w:type="pct"/>
            <w:shd w:val="clear" w:color="auto" w:fill="auto"/>
            <w:noWrap/>
            <w:vAlign w:val="center"/>
          </w:tcPr>
          <w:p w14:paraId="3D87CD9D" w14:textId="77777777" w:rsidR="00F103A8" w:rsidRPr="00C47F2F" w:rsidRDefault="00F103A8" w:rsidP="0021254F">
            <w:pPr>
              <w:pStyle w:val="Table"/>
              <w:rPr>
                <w:noProof/>
                <w:sz w:val="20"/>
                <w:szCs w:val="20"/>
              </w:rPr>
            </w:pPr>
            <w:r w:rsidRPr="00C47F2F">
              <w:rPr>
                <w:noProof/>
                <w:sz w:val="20"/>
                <w:szCs w:val="20"/>
              </w:rPr>
              <w:t>1.85E-02</w:t>
            </w:r>
          </w:p>
        </w:tc>
        <w:tc>
          <w:tcPr>
            <w:tcW w:w="557" w:type="pct"/>
            <w:shd w:val="clear" w:color="auto" w:fill="auto"/>
            <w:noWrap/>
            <w:vAlign w:val="center"/>
          </w:tcPr>
          <w:p w14:paraId="1DE7E02C" w14:textId="77777777" w:rsidR="00F103A8" w:rsidRPr="00C47F2F" w:rsidRDefault="00F103A8" w:rsidP="0021254F">
            <w:pPr>
              <w:pStyle w:val="Table"/>
              <w:rPr>
                <w:noProof/>
                <w:sz w:val="20"/>
                <w:szCs w:val="20"/>
              </w:rPr>
            </w:pPr>
            <w:r w:rsidRPr="00C47F2F">
              <w:rPr>
                <w:noProof/>
                <w:sz w:val="20"/>
                <w:szCs w:val="20"/>
              </w:rPr>
              <w:t>1.85E-02</w:t>
            </w:r>
          </w:p>
        </w:tc>
        <w:tc>
          <w:tcPr>
            <w:tcW w:w="556" w:type="pct"/>
            <w:shd w:val="clear" w:color="auto" w:fill="auto"/>
            <w:noWrap/>
            <w:vAlign w:val="center"/>
          </w:tcPr>
          <w:p w14:paraId="638FAD2E" w14:textId="77777777" w:rsidR="00F103A8" w:rsidRPr="00C47F2F" w:rsidRDefault="00F103A8" w:rsidP="0021254F">
            <w:pPr>
              <w:pStyle w:val="Table"/>
              <w:rPr>
                <w:noProof/>
                <w:sz w:val="20"/>
                <w:szCs w:val="20"/>
              </w:rPr>
            </w:pPr>
            <w:r w:rsidRPr="00C47F2F">
              <w:rPr>
                <w:noProof/>
                <w:sz w:val="20"/>
                <w:szCs w:val="20"/>
              </w:rPr>
              <w:t>1.85E-02</w:t>
            </w:r>
          </w:p>
        </w:tc>
        <w:tc>
          <w:tcPr>
            <w:tcW w:w="557" w:type="pct"/>
            <w:shd w:val="clear" w:color="auto" w:fill="auto"/>
            <w:noWrap/>
            <w:vAlign w:val="center"/>
          </w:tcPr>
          <w:p w14:paraId="19F3BC91" w14:textId="77777777" w:rsidR="00F103A8" w:rsidRPr="00C47F2F" w:rsidRDefault="00F103A8" w:rsidP="0021254F">
            <w:pPr>
              <w:pStyle w:val="Table"/>
              <w:rPr>
                <w:noProof/>
                <w:sz w:val="20"/>
                <w:szCs w:val="20"/>
              </w:rPr>
            </w:pPr>
            <w:r w:rsidRPr="00C47F2F">
              <w:rPr>
                <w:noProof/>
                <w:sz w:val="20"/>
                <w:szCs w:val="20"/>
              </w:rPr>
              <w:t>1.85E-02</w:t>
            </w:r>
          </w:p>
        </w:tc>
        <w:tc>
          <w:tcPr>
            <w:tcW w:w="556" w:type="pct"/>
            <w:shd w:val="clear" w:color="auto" w:fill="auto"/>
            <w:noWrap/>
            <w:vAlign w:val="center"/>
          </w:tcPr>
          <w:p w14:paraId="3695CE02" w14:textId="77777777" w:rsidR="00F103A8" w:rsidRPr="00C47F2F" w:rsidRDefault="00F103A8" w:rsidP="0021254F">
            <w:pPr>
              <w:pStyle w:val="Table"/>
              <w:rPr>
                <w:noProof/>
                <w:sz w:val="20"/>
                <w:szCs w:val="20"/>
              </w:rPr>
            </w:pPr>
            <w:r w:rsidRPr="00C47F2F">
              <w:rPr>
                <w:noProof/>
                <w:sz w:val="20"/>
                <w:szCs w:val="20"/>
              </w:rPr>
              <w:t>1.85E-02</w:t>
            </w:r>
          </w:p>
        </w:tc>
        <w:tc>
          <w:tcPr>
            <w:tcW w:w="557" w:type="pct"/>
            <w:shd w:val="clear" w:color="auto" w:fill="auto"/>
            <w:noWrap/>
            <w:vAlign w:val="center"/>
          </w:tcPr>
          <w:p w14:paraId="2C0CF992" w14:textId="77777777" w:rsidR="00F103A8" w:rsidRPr="00C47F2F" w:rsidRDefault="00F103A8" w:rsidP="0021254F">
            <w:pPr>
              <w:pStyle w:val="Table"/>
              <w:rPr>
                <w:noProof/>
                <w:sz w:val="20"/>
                <w:szCs w:val="20"/>
              </w:rPr>
            </w:pPr>
            <w:r w:rsidRPr="00C47F2F">
              <w:rPr>
                <w:noProof/>
                <w:sz w:val="20"/>
                <w:szCs w:val="20"/>
              </w:rPr>
              <w:t>1.85E-02</w:t>
            </w:r>
          </w:p>
        </w:tc>
      </w:tr>
      <w:tr w:rsidR="00F103A8" w:rsidRPr="00972C81" w14:paraId="5C0ECC75" w14:textId="77777777" w:rsidTr="0021254F">
        <w:trPr>
          <w:trHeight w:val="300"/>
        </w:trPr>
        <w:tc>
          <w:tcPr>
            <w:tcW w:w="1662" w:type="pct"/>
            <w:shd w:val="clear" w:color="auto" w:fill="auto"/>
            <w:noWrap/>
            <w:vAlign w:val="center"/>
          </w:tcPr>
          <w:p w14:paraId="0CAC5C19" w14:textId="742A123B" w:rsidR="00F103A8" w:rsidRPr="00F103A8" w:rsidRDefault="00F103A8" w:rsidP="0021254F">
            <w:pPr>
              <w:pStyle w:val="Table"/>
              <w:rPr>
                <w:noProof/>
                <w:sz w:val="20"/>
                <w:szCs w:val="22"/>
              </w:rPr>
            </w:pPr>
            <w:r w:rsidRPr="00F103A8">
              <w:rPr>
                <w:noProof/>
                <w:sz w:val="20"/>
                <w:szCs w:val="22"/>
              </w:rPr>
              <w:t>Blood 1 to  ST2</w:t>
            </w:r>
          </w:p>
        </w:tc>
        <w:tc>
          <w:tcPr>
            <w:tcW w:w="556" w:type="pct"/>
            <w:shd w:val="clear" w:color="auto" w:fill="auto"/>
            <w:noWrap/>
            <w:vAlign w:val="center"/>
          </w:tcPr>
          <w:p w14:paraId="4B55EA52" w14:textId="77777777" w:rsidR="00F103A8" w:rsidRPr="00C47F2F" w:rsidRDefault="00F103A8" w:rsidP="0021254F">
            <w:pPr>
              <w:pStyle w:val="Table"/>
              <w:rPr>
                <w:noProof/>
                <w:sz w:val="20"/>
                <w:szCs w:val="20"/>
              </w:rPr>
            </w:pPr>
            <w:r w:rsidRPr="00C47F2F">
              <w:rPr>
                <w:noProof/>
                <w:sz w:val="20"/>
                <w:szCs w:val="20"/>
              </w:rPr>
              <w:t>2.31E-02</w:t>
            </w:r>
          </w:p>
        </w:tc>
        <w:tc>
          <w:tcPr>
            <w:tcW w:w="557" w:type="pct"/>
            <w:shd w:val="clear" w:color="auto" w:fill="auto"/>
            <w:noWrap/>
            <w:vAlign w:val="center"/>
          </w:tcPr>
          <w:p w14:paraId="3A0B3151" w14:textId="77777777" w:rsidR="00F103A8" w:rsidRPr="00C47F2F" w:rsidRDefault="00F103A8" w:rsidP="0021254F">
            <w:pPr>
              <w:pStyle w:val="Table"/>
              <w:rPr>
                <w:noProof/>
                <w:sz w:val="20"/>
                <w:szCs w:val="20"/>
              </w:rPr>
            </w:pPr>
            <w:r w:rsidRPr="00C47F2F">
              <w:rPr>
                <w:noProof/>
                <w:sz w:val="20"/>
                <w:szCs w:val="20"/>
              </w:rPr>
              <w:t>2.31E-02</w:t>
            </w:r>
          </w:p>
        </w:tc>
        <w:tc>
          <w:tcPr>
            <w:tcW w:w="556" w:type="pct"/>
            <w:shd w:val="clear" w:color="auto" w:fill="auto"/>
            <w:noWrap/>
            <w:vAlign w:val="center"/>
          </w:tcPr>
          <w:p w14:paraId="5A6FCEFC" w14:textId="77777777" w:rsidR="00F103A8" w:rsidRPr="00C47F2F" w:rsidRDefault="00F103A8" w:rsidP="0021254F">
            <w:pPr>
              <w:pStyle w:val="Table"/>
              <w:rPr>
                <w:noProof/>
                <w:sz w:val="20"/>
                <w:szCs w:val="20"/>
              </w:rPr>
            </w:pPr>
            <w:r w:rsidRPr="00C47F2F">
              <w:rPr>
                <w:noProof/>
                <w:sz w:val="20"/>
                <w:szCs w:val="20"/>
              </w:rPr>
              <w:t>2.31E-02</w:t>
            </w:r>
          </w:p>
        </w:tc>
        <w:tc>
          <w:tcPr>
            <w:tcW w:w="557" w:type="pct"/>
            <w:shd w:val="clear" w:color="auto" w:fill="auto"/>
            <w:noWrap/>
            <w:vAlign w:val="center"/>
          </w:tcPr>
          <w:p w14:paraId="0E647C3B" w14:textId="77777777" w:rsidR="00F103A8" w:rsidRPr="00C47F2F" w:rsidRDefault="00F103A8" w:rsidP="0021254F">
            <w:pPr>
              <w:pStyle w:val="Table"/>
              <w:rPr>
                <w:noProof/>
                <w:sz w:val="20"/>
                <w:szCs w:val="20"/>
              </w:rPr>
            </w:pPr>
            <w:r w:rsidRPr="00C47F2F">
              <w:rPr>
                <w:noProof/>
                <w:sz w:val="20"/>
                <w:szCs w:val="20"/>
              </w:rPr>
              <w:t>2.31E-02</w:t>
            </w:r>
          </w:p>
        </w:tc>
        <w:tc>
          <w:tcPr>
            <w:tcW w:w="556" w:type="pct"/>
            <w:shd w:val="clear" w:color="auto" w:fill="auto"/>
            <w:noWrap/>
            <w:vAlign w:val="center"/>
          </w:tcPr>
          <w:p w14:paraId="3FFE9F60" w14:textId="77777777" w:rsidR="00F103A8" w:rsidRPr="00C47F2F" w:rsidRDefault="00F103A8" w:rsidP="0021254F">
            <w:pPr>
              <w:pStyle w:val="Table"/>
              <w:rPr>
                <w:noProof/>
                <w:sz w:val="20"/>
                <w:szCs w:val="20"/>
              </w:rPr>
            </w:pPr>
            <w:r w:rsidRPr="00C47F2F">
              <w:rPr>
                <w:noProof/>
                <w:sz w:val="20"/>
                <w:szCs w:val="20"/>
              </w:rPr>
              <w:t>2.31E-02</w:t>
            </w:r>
          </w:p>
        </w:tc>
        <w:tc>
          <w:tcPr>
            <w:tcW w:w="557" w:type="pct"/>
            <w:shd w:val="clear" w:color="auto" w:fill="auto"/>
            <w:noWrap/>
            <w:vAlign w:val="center"/>
          </w:tcPr>
          <w:p w14:paraId="26350BB4" w14:textId="77777777" w:rsidR="00F103A8" w:rsidRPr="00C47F2F" w:rsidRDefault="00F103A8" w:rsidP="0021254F">
            <w:pPr>
              <w:pStyle w:val="Table"/>
              <w:rPr>
                <w:noProof/>
                <w:sz w:val="20"/>
                <w:szCs w:val="20"/>
              </w:rPr>
            </w:pPr>
            <w:r w:rsidRPr="00C47F2F">
              <w:rPr>
                <w:noProof/>
                <w:sz w:val="20"/>
                <w:szCs w:val="20"/>
              </w:rPr>
              <w:t>2.31E-02</w:t>
            </w:r>
          </w:p>
        </w:tc>
      </w:tr>
      <w:tr w:rsidR="00F103A8" w:rsidRPr="00972C81" w14:paraId="3C50A52C" w14:textId="77777777" w:rsidTr="0021254F">
        <w:trPr>
          <w:trHeight w:val="300"/>
        </w:trPr>
        <w:tc>
          <w:tcPr>
            <w:tcW w:w="1662" w:type="pct"/>
            <w:shd w:val="clear" w:color="auto" w:fill="auto"/>
            <w:noWrap/>
            <w:vAlign w:val="center"/>
          </w:tcPr>
          <w:p w14:paraId="3EC69D10" w14:textId="2460C7B5" w:rsidR="00F103A8" w:rsidRPr="00F103A8" w:rsidRDefault="00F103A8" w:rsidP="0021254F">
            <w:pPr>
              <w:pStyle w:val="Table"/>
              <w:rPr>
                <w:noProof/>
                <w:sz w:val="20"/>
                <w:szCs w:val="22"/>
              </w:rPr>
            </w:pPr>
            <w:r w:rsidRPr="00F103A8">
              <w:rPr>
                <w:noProof/>
                <w:sz w:val="20"/>
                <w:szCs w:val="22"/>
              </w:rPr>
              <w:t>ST0 to Blood 1</w:t>
            </w:r>
          </w:p>
        </w:tc>
        <w:tc>
          <w:tcPr>
            <w:tcW w:w="556" w:type="pct"/>
            <w:shd w:val="clear" w:color="auto" w:fill="auto"/>
            <w:noWrap/>
            <w:vAlign w:val="center"/>
          </w:tcPr>
          <w:p w14:paraId="6484529D" w14:textId="77777777" w:rsidR="00F103A8" w:rsidRPr="00C47F2F" w:rsidRDefault="00F103A8" w:rsidP="0021254F">
            <w:pPr>
              <w:pStyle w:val="Table"/>
              <w:rPr>
                <w:noProof/>
                <w:sz w:val="20"/>
                <w:szCs w:val="20"/>
              </w:rPr>
            </w:pPr>
            <w:r w:rsidRPr="00C47F2F">
              <w:rPr>
                <w:noProof/>
                <w:sz w:val="20"/>
                <w:szCs w:val="20"/>
              </w:rPr>
              <w:t>9.90E-02</w:t>
            </w:r>
          </w:p>
        </w:tc>
        <w:tc>
          <w:tcPr>
            <w:tcW w:w="557" w:type="pct"/>
            <w:shd w:val="clear" w:color="auto" w:fill="auto"/>
            <w:noWrap/>
            <w:vAlign w:val="center"/>
          </w:tcPr>
          <w:p w14:paraId="43624F24" w14:textId="77777777" w:rsidR="00F103A8" w:rsidRPr="00C47F2F" w:rsidRDefault="00F103A8" w:rsidP="0021254F">
            <w:pPr>
              <w:pStyle w:val="Table"/>
              <w:rPr>
                <w:noProof/>
                <w:sz w:val="20"/>
                <w:szCs w:val="20"/>
              </w:rPr>
            </w:pPr>
            <w:r w:rsidRPr="00C47F2F">
              <w:rPr>
                <w:noProof/>
                <w:sz w:val="20"/>
                <w:szCs w:val="20"/>
              </w:rPr>
              <w:t>9.90E-02</w:t>
            </w:r>
          </w:p>
        </w:tc>
        <w:tc>
          <w:tcPr>
            <w:tcW w:w="556" w:type="pct"/>
            <w:shd w:val="clear" w:color="auto" w:fill="auto"/>
            <w:noWrap/>
            <w:vAlign w:val="center"/>
          </w:tcPr>
          <w:p w14:paraId="2D82E674" w14:textId="77777777" w:rsidR="00F103A8" w:rsidRPr="00C47F2F" w:rsidRDefault="00F103A8" w:rsidP="0021254F">
            <w:pPr>
              <w:pStyle w:val="Table"/>
              <w:rPr>
                <w:noProof/>
                <w:sz w:val="20"/>
                <w:szCs w:val="20"/>
              </w:rPr>
            </w:pPr>
            <w:r w:rsidRPr="00C47F2F">
              <w:rPr>
                <w:noProof/>
                <w:sz w:val="20"/>
                <w:szCs w:val="20"/>
              </w:rPr>
              <w:t>9.90E-02</w:t>
            </w:r>
          </w:p>
        </w:tc>
        <w:tc>
          <w:tcPr>
            <w:tcW w:w="557" w:type="pct"/>
            <w:shd w:val="clear" w:color="auto" w:fill="auto"/>
            <w:noWrap/>
            <w:vAlign w:val="center"/>
          </w:tcPr>
          <w:p w14:paraId="11CFC9D5" w14:textId="77777777" w:rsidR="00F103A8" w:rsidRPr="00C47F2F" w:rsidRDefault="00F103A8" w:rsidP="0021254F">
            <w:pPr>
              <w:pStyle w:val="Table"/>
              <w:rPr>
                <w:noProof/>
                <w:sz w:val="20"/>
                <w:szCs w:val="20"/>
              </w:rPr>
            </w:pPr>
            <w:r w:rsidRPr="00C47F2F">
              <w:rPr>
                <w:noProof/>
                <w:sz w:val="20"/>
                <w:szCs w:val="20"/>
              </w:rPr>
              <w:t>9.90E-02</w:t>
            </w:r>
          </w:p>
        </w:tc>
        <w:tc>
          <w:tcPr>
            <w:tcW w:w="556" w:type="pct"/>
            <w:shd w:val="clear" w:color="auto" w:fill="auto"/>
            <w:noWrap/>
            <w:vAlign w:val="center"/>
          </w:tcPr>
          <w:p w14:paraId="6B7EB41D" w14:textId="77777777" w:rsidR="00F103A8" w:rsidRPr="00C47F2F" w:rsidRDefault="00F103A8" w:rsidP="0021254F">
            <w:pPr>
              <w:pStyle w:val="Table"/>
              <w:rPr>
                <w:noProof/>
                <w:sz w:val="20"/>
                <w:szCs w:val="20"/>
              </w:rPr>
            </w:pPr>
            <w:r w:rsidRPr="00C47F2F">
              <w:rPr>
                <w:noProof/>
                <w:sz w:val="20"/>
                <w:szCs w:val="20"/>
              </w:rPr>
              <w:t>9.90E-02</w:t>
            </w:r>
          </w:p>
        </w:tc>
        <w:tc>
          <w:tcPr>
            <w:tcW w:w="557" w:type="pct"/>
            <w:shd w:val="clear" w:color="auto" w:fill="auto"/>
            <w:noWrap/>
            <w:vAlign w:val="center"/>
          </w:tcPr>
          <w:p w14:paraId="76D09E2A" w14:textId="77777777" w:rsidR="00F103A8" w:rsidRPr="00C47F2F" w:rsidRDefault="00F103A8" w:rsidP="0021254F">
            <w:pPr>
              <w:pStyle w:val="Table"/>
              <w:rPr>
                <w:noProof/>
                <w:sz w:val="20"/>
                <w:szCs w:val="20"/>
              </w:rPr>
            </w:pPr>
            <w:r w:rsidRPr="00C47F2F">
              <w:rPr>
                <w:noProof/>
                <w:sz w:val="20"/>
                <w:szCs w:val="20"/>
              </w:rPr>
              <w:t>9.90E-02</w:t>
            </w:r>
          </w:p>
        </w:tc>
      </w:tr>
      <w:tr w:rsidR="00F103A8" w:rsidRPr="00972C81" w14:paraId="1E1865B8" w14:textId="77777777" w:rsidTr="0021254F">
        <w:trPr>
          <w:trHeight w:val="300"/>
        </w:trPr>
        <w:tc>
          <w:tcPr>
            <w:tcW w:w="1662" w:type="pct"/>
            <w:shd w:val="clear" w:color="auto" w:fill="auto"/>
            <w:noWrap/>
            <w:vAlign w:val="center"/>
          </w:tcPr>
          <w:p w14:paraId="7CDD62D2" w14:textId="3105D86F" w:rsidR="00F103A8" w:rsidRPr="00F103A8" w:rsidRDefault="00F103A8" w:rsidP="0021254F">
            <w:pPr>
              <w:pStyle w:val="Table"/>
              <w:rPr>
                <w:noProof/>
                <w:sz w:val="20"/>
                <w:szCs w:val="22"/>
              </w:rPr>
            </w:pPr>
            <w:r w:rsidRPr="00F103A8">
              <w:rPr>
                <w:noProof/>
                <w:sz w:val="20"/>
                <w:szCs w:val="22"/>
              </w:rPr>
              <w:t>Blood 2 to Urinary bladder cont</w:t>
            </w:r>
          </w:p>
        </w:tc>
        <w:tc>
          <w:tcPr>
            <w:tcW w:w="556" w:type="pct"/>
            <w:shd w:val="clear" w:color="auto" w:fill="auto"/>
            <w:noWrap/>
            <w:vAlign w:val="center"/>
          </w:tcPr>
          <w:p w14:paraId="54250A53" w14:textId="77777777" w:rsidR="00F103A8" w:rsidRPr="00C47F2F" w:rsidRDefault="00F103A8" w:rsidP="0021254F">
            <w:pPr>
              <w:pStyle w:val="Table"/>
              <w:rPr>
                <w:noProof/>
                <w:sz w:val="20"/>
                <w:szCs w:val="20"/>
              </w:rPr>
            </w:pPr>
            <w:r w:rsidRPr="00C47F2F">
              <w:rPr>
                <w:noProof/>
                <w:sz w:val="20"/>
                <w:szCs w:val="20"/>
              </w:rPr>
              <w:t>3.50E+00</w:t>
            </w:r>
          </w:p>
        </w:tc>
        <w:tc>
          <w:tcPr>
            <w:tcW w:w="557" w:type="pct"/>
            <w:shd w:val="clear" w:color="auto" w:fill="auto"/>
            <w:noWrap/>
            <w:vAlign w:val="center"/>
          </w:tcPr>
          <w:p w14:paraId="2C09EB8B" w14:textId="77777777" w:rsidR="00F103A8" w:rsidRPr="00C47F2F" w:rsidRDefault="00F103A8" w:rsidP="0021254F">
            <w:pPr>
              <w:pStyle w:val="Table"/>
              <w:rPr>
                <w:noProof/>
                <w:sz w:val="20"/>
                <w:szCs w:val="20"/>
              </w:rPr>
            </w:pPr>
            <w:r w:rsidRPr="00C47F2F">
              <w:rPr>
                <w:noProof/>
                <w:sz w:val="20"/>
                <w:szCs w:val="20"/>
              </w:rPr>
              <w:t>3.50E+00</w:t>
            </w:r>
          </w:p>
        </w:tc>
        <w:tc>
          <w:tcPr>
            <w:tcW w:w="556" w:type="pct"/>
            <w:shd w:val="clear" w:color="auto" w:fill="auto"/>
            <w:noWrap/>
            <w:vAlign w:val="center"/>
          </w:tcPr>
          <w:p w14:paraId="139E01B9" w14:textId="77777777" w:rsidR="00F103A8" w:rsidRPr="00C47F2F" w:rsidRDefault="00F103A8" w:rsidP="0021254F">
            <w:pPr>
              <w:pStyle w:val="Table"/>
              <w:rPr>
                <w:noProof/>
                <w:sz w:val="20"/>
                <w:szCs w:val="20"/>
              </w:rPr>
            </w:pPr>
            <w:r w:rsidRPr="00C47F2F">
              <w:rPr>
                <w:noProof/>
                <w:sz w:val="20"/>
                <w:szCs w:val="20"/>
              </w:rPr>
              <w:t>3.50E+00</w:t>
            </w:r>
          </w:p>
        </w:tc>
        <w:tc>
          <w:tcPr>
            <w:tcW w:w="557" w:type="pct"/>
            <w:shd w:val="clear" w:color="auto" w:fill="auto"/>
            <w:noWrap/>
            <w:vAlign w:val="center"/>
          </w:tcPr>
          <w:p w14:paraId="2FB4E1F6" w14:textId="77777777" w:rsidR="00F103A8" w:rsidRPr="00C47F2F" w:rsidRDefault="00F103A8" w:rsidP="0021254F">
            <w:pPr>
              <w:pStyle w:val="Table"/>
              <w:rPr>
                <w:noProof/>
                <w:sz w:val="20"/>
                <w:szCs w:val="20"/>
              </w:rPr>
            </w:pPr>
            <w:r w:rsidRPr="00C47F2F">
              <w:rPr>
                <w:noProof/>
                <w:sz w:val="20"/>
                <w:szCs w:val="20"/>
              </w:rPr>
              <w:t>3.50E+00</w:t>
            </w:r>
          </w:p>
        </w:tc>
        <w:tc>
          <w:tcPr>
            <w:tcW w:w="556" w:type="pct"/>
            <w:shd w:val="clear" w:color="auto" w:fill="auto"/>
            <w:noWrap/>
            <w:vAlign w:val="center"/>
          </w:tcPr>
          <w:p w14:paraId="494D6658" w14:textId="77777777" w:rsidR="00F103A8" w:rsidRPr="00C47F2F" w:rsidRDefault="00F103A8" w:rsidP="0021254F">
            <w:pPr>
              <w:pStyle w:val="Table"/>
              <w:rPr>
                <w:noProof/>
                <w:sz w:val="20"/>
                <w:szCs w:val="20"/>
              </w:rPr>
            </w:pPr>
            <w:r w:rsidRPr="00C47F2F">
              <w:rPr>
                <w:noProof/>
                <w:sz w:val="20"/>
                <w:szCs w:val="20"/>
              </w:rPr>
              <w:t>3.50E+00</w:t>
            </w:r>
          </w:p>
        </w:tc>
        <w:tc>
          <w:tcPr>
            <w:tcW w:w="557" w:type="pct"/>
            <w:shd w:val="clear" w:color="auto" w:fill="auto"/>
            <w:noWrap/>
            <w:vAlign w:val="center"/>
          </w:tcPr>
          <w:p w14:paraId="395C1EDA" w14:textId="77777777" w:rsidR="00F103A8" w:rsidRPr="00C47F2F" w:rsidRDefault="00F103A8" w:rsidP="0021254F">
            <w:pPr>
              <w:pStyle w:val="Table"/>
              <w:rPr>
                <w:noProof/>
                <w:sz w:val="20"/>
                <w:szCs w:val="20"/>
              </w:rPr>
            </w:pPr>
            <w:r w:rsidRPr="00C47F2F">
              <w:rPr>
                <w:noProof/>
                <w:sz w:val="20"/>
                <w:szCs w:val="20"/>
              </w:rPr>
              <w:t>3.50E+00</w:t>
            </w:r>
          </w:p>
        </w:tc>
      </w:tr>
      <w:tr w:rsidR="00F103A8" w:rsidRPr="00972C81" w14:paraId="07B3C8D0" w14:textId="77777777" w:rsidTr="0021254F">
        <w:trPr>
          <w:trHeight w:val="300"/>
        </w:trPr>
        <w:tc>
          <w:tcPr>
            <w:tcW w:w="1662" w:type="pct"/>
            <w:shd w:val="clear" w:color="auto" w:fill="auto"/>
            <w:noWrap/>
            <w:vAlign w:val="center"/>
          </w:tcPr>
          <w:p w14:paraId="2902F320" w14:textId="479F4AB4" w:rsidR="00F103A8" w:rsidRPr="00F103A8" w:rsidRDefault="00F103A8" w:rsidP="0021254F">
            <w:pPr>
              <w:pStyle w:val="Table"/>
              <w:rPr>
                <w:noProof/>
                <w:sz w:val="20"/>
                <w:szCs w:val="22"/>
              </w:rPr>
            </w:pPr>
            <w:r w:rsidRPr="00F103A8">
              <w:rPr>
                <w:noProof/>
                <w:sz w:val="20"/>
                <w:szCs w:val="22"/>
              </w:rPr>
              <w:t>Blood 2 to Blood 1</w:t>
            </w:r>
          </w:p>
        </w:tc>
        <w:tc>
          <w:tcPr>
            <w:tcW w:w="556" w:type="pct"/>
            <w:shd w:val="clear" w:color="auto" w:fill="auto"/>
            <w:noWrap/>
            <w:vAlign w:val="center"/>
          </w:tcPr>
          <w:p w14:paraId="7135DDB3" w14:textId="77777777" w:rsidR="00F103A8" w:rsidRPr="00C47F2F" w:rsidRDefault="00F103A8" w:rsidP="0021254F">
            <w:pPr>
              <w:pStyle w:val="Table"/>
              <w:rPr>
                <w:noProof/>
                <w:sz w:val="20"/>
                <w:szCs w:val="20"/>
              </w:rPr>
            </w:pPr>
            <w:r w:rsidRPr="00C47F2F">
              <w:rPr>
                <w:noProof/>
                <w:sz w:val="20"/>
                <w:szCs w:val="20"/>
              </w:rPr>
              <w:t>6.76E+01</w:t>
            </w:r>
          </w:p>
        </w:tc>
        <w:tc>
          <w:tcPr>
            <w:tcW w:w="557" w:type="pct"/>
            <w:shd w:val="clear" w:color="auto" w:fill="auto"/>
            <w:noWrap/>
            <w:vAlign w:val="center"/>
          </w:tcPr>
          <w:p w14:paraId="3A871C61" w14:textId="77777777" w:rsidR="00F103A8" w:rsidRPr="00C47F2F" w:rsidRDefault="00F103A8" w:rsidP="0021254F">
            <w:pPr>
              <w:pStyle w:val="Table"/>
              <w:rPr>
                <w:noProof/>
                <w:sz w:val="20"/>
                <w:szCs w:val="20"/>
              </w:rPr>
            </w:pPr>
            <w:r w:rsidRPr="00C47F2F">
              <w:rPr>
                <w:noProof/>
                <w:sz w:val="20"/>
                <w:szCs w:val="20"/>
              </w:rPr>
              <w:t>6.76E+01</w:t>
            </w:r>
          </w:p>
        </w:tc>
        <w:tc>
          <w:tcPr>
            <w:tcW w:w="556" w:type="pct"/>
            <w:shd w:val="clear" w:color="auto" w:fill="auto"/>
            <w:noWrap/>
            <w:vAlign w:val="center"/>
          </w:tcPr>
          <w:p w14:paraId="6C5894EB" w14:textId="77777777" w:rsidR="00F103A8" w:rsidRPr="00C47F2F" w:rsidRDefault="00F103A8" w:rsidP="0021254F">
            <w:pPr>
              <w:pStyle w:val="Table"/>
              <w:rPr>
                <w:noProof/>
                <w:sz w:val="20"/>
                <w:szCs w:val="20"/>
              </w:rPr>
            </w:pPr>
            <w:r w:rsidRPr="00C47F2F">
              <w:rPr>
                <w:noProof/>
                <w:sz w:val="20"/>
                <w:szCs w:val="20"/>
              </w:rPr>
              <w:t>6.76E+01</w:t>
            </w:r>
          </w:p>
        </w:tc>
        <w:tc>
          <w:tcPr>
            <w:tcW w:w="557" w:type="pct"/>
            <w:shd w:val="clear" w:color="auto" w:fill="auto"/>
            <w:noWrap/>
            <w:vAlign w:val="center"/>
          </w:tcPr>
          <w:p w14:paraId="1D55F9DA" w14:textId="77777777" w:rsidR="00F103A8" w:rsidRPr="00C47F2F" w:rsidRDefault="00F103A8" w:rsidP="0021254F">
            <w:pPr>
              <w:pStyle w:val="Table"/>
              <w:rPr>
                <w:noProof/>
                <w:sz w:val="20"/>
                <w:szCs w:val="20"/>
              </w:rPr>
            </w:pPr>
            <w:r w:rsidRPr="00C47F2F">
              <w:rPr>
                <w:noProof/>
                <w:sz w:val="20"/>
                <w:szCs w:val="20"/>
              </w:rPr>
              <w:t>6.76E+01</w:t>
            </w:r>
          </w:p>
        </w:tc>
        <w:tc>
          <w:tcPr>
            <w:tcW w:w="556" w:type="pct"/>
            <w:shd w:val="clear" w:color="auto" w:fill="auto"/>
            <w:noWrap/>
            <w:vAlign w:val="center"/>
          </w:tcPr>
          <w:p w14:paraId="065EEB0D" w14:textId="77777777" w:rsidR="00F103A8" w:rsidRPr="00C47F2F" w:rsidRDefault="00F103A8" w:rsidP="0021254F">
            <w:pPr>
              <w:pStyle w:val="Table"/>
              <w:rPr>
                <w:noProof/>
                <w:sz w:val="20"/>
                <w:szCs w:val="20"/>
              </w:rPr>
            </w:pPr>
            <w:r w:rsidRPr="00C47F2F">
              <w:rPr>
                <w:noProof/>
                <w:sz w:val="20"/>
                <w:szCs w:val="20"/>
              </w:rPr>
              <w:t>6.76E+01</w:t>
            </w:r>
          </w:p>
        </w:tc>
        <w:tc>
          <w:tcPr>
            <w:tcW w:w="557" w:type="pct"/>
            <w:shd w:val="clear" w:color="auto" w:fill="auto"/>
            <w:noWrap/>
            <w:vAlign w:val="center"/>
          </w:tcPr>
          <w:p w14:paraId="026C16D0" w14:textId="77777777" w:rsidR="00F103A8" w:rsidRPr="00C47F2F" w:rsidRDefault="00F103A8" w:rsidP="0021254F">
            <w:pPr>
              <w:pStyle w:val="Table"/>
              <w:rPr>
                <w:noProof/>
                <w:sz w:val="20"/>
                <w:szCs w:val="20"/>
              </w:rPr>
            </w:pPr>
            <w:r w:rsidRPr="00C47F2F">
              <w:rPr>
                <w:noProof/>
                <w:sz w:val="20"/>
                <w:szCs w:val="20"/>
              </w:rPr>
              <w:t>6.76E+01</w:t>
            </w:r>
          </w:p>
        </w:tc>
      </w:tr>
      <w:tr w:rsidR="00F103A8" w:rsidRPr="00972C81" w14:paraId="5C05E5BF" w14:textId="77777777" w:rsidTr="0021254F">
        <w:trPr>
          <w:trHeight w:val="300"/>
        </w:trPr>
        <w:tc>
          <w:tcPr>
            <w:tcW w:w="1662" w:type="pct"/>
            <w:shd w:val="clear" w:color="auto" w:fill="auto"/>
            <w:noWrap/>
            <w:vAlign w:val="center"/>
          </w:tcPr>
          <w:p w14:paraId="172B7D3A" w14:textId="6BC39EED" w:rsidR="00F103A8" w:rsidRPr="00F103A8" w:rsidRDefault="00F103A8" w:rsidP="0021254F">
            <w:pPr>
              <w:pStyle w:val="Table"/>
              <w:rPr>
                <w:noProof/>
                <w:sz w:val="20"/>
                <w:szCs w:val="22"/>
              </w:rPr>
            </w:pPr>
            <w:r w:rsidRPr="00F103A8">
              <w:rPr>
                <w:noProof/>
                <w:sz w:val="20"/>
                <w:szCs w:val="22"/>
              </w:rPr>
              <w:t>Blood 2 to  ST0</w:t>
            </w:r>
          </w:p>
        </w:tc>
        <w:tc>
          <w:tcPr>
            <w:tcW w:w="556" w:type="pct"/>
            <w:shd w:val="clear" w:color="auto" w:fill="auto"/>
            <w:noWrap/>
            <w:vAlign w:val="center"/>
          </w:tcPr>
          <w:p w14:paraId="7A6FE43D" w14:textId="77777777" w:rsidR="00F103A8" w:rsidRPr="00C47F2F" w:rsidRDefault="00F103A8" w:rsidP="0021254F">
            <w:pPr>
              <w:pStyle w:val="Table"/>
              <w:rPr>
                <w:noProof/>
                <w:sz w:val="20"/>
                <w:szCs w:val="20"/>
              </w:rPr>
            </w:pPr>
            <w:r w:rsidRPr="00C47F2F">
              <w:rPr>
                <w:noProof/>
                <w:sz w:val="20"/>
                <w:szCs w:val="20"/>
              </w:rPr>
              <w:t>2.90E+01</w:t>
            </w:r>
          </w:p>
        </w:tc>
        <w:tc>
          <w:tcPr>
            <w:tcW w:w="557" w:type="pct"/>
            <w:shd w:val="clear" w:color="auto" w:fill="auto"/>
            <w:noWrap/>
            <w:vAlign w:val="center"/>
          </w:tcPr>
          <w:p w14:paraId="3193E25F" w14:textId="77777777" w:rsidR="00F103A8" w:rsidRPr="00C47F2F" w:rsidRDefault="00F103A8" w:rsidP="0021254F">
            <w:pPr>
              <w:pStyle w:val="Table"/>
              <w:rPr>
                <w:noProof/>
                <w:sz w:val="20"/>
                <w:szCs w:val="20"/>
              </w:rPr>
            </w:pPr>
            <w:r w:rsidRPr="00C47F2F">
              <w:rPr>
                <w:noProof/>
                <w:sz w:val="20"/>
                <w:szCs w:val="20"/>
              </w:rPr>
              <w:t>2.90E+01</w:t>
            </w:r>
          </w:p>
        </w:tc>
        <w:tc>
          <w:tcPr>
            <w:tcW w:w="556" w:type="pct"/>
            <w:shd w:val="clear" w:color="auto" w:fill="auto"/>
            <w:noWrap/>
            <w:vAlign w:val="center"/>
          </w:tcPr>
          <w:p w14:paraId="11602F74" w14:textId="77777777" w:rsidR="00F103A8" w:rsidRPr="00C47F2F" w:rsidRDefault="00F103A8" w:rsidP="0021254F">
            <w:pPr>
              <w:pStyle w:val="Table"/>
              <w:rPr>
                <w:noProof/>
                <w:sz w:val="20"/>
                <w:szCs w:val="20"/>
              </w:rPr>
            </w:pPr>
            <w:r w:rsidRPr="00C47F2F">
              <w:rPr>
                <w:noProof/>
                <w:sz w:val="20"/>
                <w:szCs w:val="20"/>
              </w:rPr>
              <w:t>2.90E+01</w:t>
            </w:r>
          </w:p>
        </w:tc>
        <w:tc>
          <w:tcPr>
            <w:tcW w:w="557" w:type="pct"/>
            <w:shd w:val="clear" w:color="auto" w:fill="auto"/>
            <w:noWrap/>
            <w:vAlign w:val="center"/>
          </w:tcPr>
          <w:p w14:paraId="32093FEC" w14:textId="77777777" w:rsidR="00F103A8" w:rsidRPr="00C47F2F" w:rsidRDefault="00F103A8" w:rsidP="0021254F">
            <w:pPr>
              <w:pStyle w:val="Table"/>
              <w:rPr>
                <w:noProof/>
                <w:sz w:val="20"/>
                <w:szCs w:val="20"/>
              </w:rPr>
            </w:pPr>
            <w:r w:rsidRPr="00C47F2F">
              <w:rPr>
                <w:noProof/>
                <w:sz w:val="20"/>
                <w:szCs w:val="20"/>
              </w:rPr>
              <w:t>2.90E+01</w:t>
            </w:r>
          </w:p>
        </w:tc>
        <w:tc>
          <w:tcPr>
            <w:tcW w:w="556" w:type="pct"/>
            <w:shd w:val="clear" w:color="auto" w:fill="auto"/>
            <w:noWrap/>
            <w:vAlign w:val="center"/>
          </w:tcPr>
          <w:p w14:paraId="27E5FEDA" w14:textId="77777777" w:rsidR="00F103A8" w:rsidRPr="00C47F2F" w:rsidRDefault="00F103A8" w:rsidP="0021254F">
            <w:pPr>
              <w:pStyle w:val="Table"/>
              <w:rPr>
                <w:noProof/>
                <w:sz w:val="20"/>
                <w:szCs w:val="20"/>
              </w:rPr>
            </w:pPr>
            <w:r w:rsidRPr="00C47F2F">
              <w:rPr>
                <w:noProof/>
                <w:sz w:val="20"/>
                <w:szCs w:val="20"/>
              </w:rPr>
              <w:t>2.90E+01</w:t>
            </w:r>
          </w:p>
        </w:tc>
        <w:tc>
          <w:tcPr>
            <w:tcW w:w="557" w:type="pct"/>
            <w:shd w:val="clear" w:color="auto" w:fill="auto"/>
            <w:noWrap/>
            <w:vAlign w:val="center"/>
          </w:tcPr>
          <w:p w14:paraId="3D6EBAED" w14:textId="77777777" w:rsidR="00F103A8" w:rsidRPr="00C47F2F" w:rsidRDefault="00F103A8" w:rsidP="0021254F">
            <w:pPr>
              <w:pStyle w:val="Table"/>
              <w:rPr>
                <w:noProof/>
                <w:sz w:val="20"/>
                <w:szCs w:val="20"/>
              </w:rPr>
            </w:pPr>
            <w:r w:rsidRPr="00C47F2F">
              <w:rPr>
                <w:noProof/>
                <w:sz w:val="20"/>
                <w:szCs w:val="20"/>
              </w:rPr>
              <w:t>2.90E+01</w:t>
            </w:r>
          </w:p>
        </w:tc>
      </w:tr>
      <w:tr w:rsidR="00F103A8" w:rsidRPr="00972C81" w14:paraId="5951F5BA" w14:textId="77777777" w:rsidTr="0021254F">
        <w:trPr>
          <w:trHeight w:val="300"/>
        </w:trPr>
        <w:tc>
          <w:tcPr>
            <w:tcW w:w="1662" w:type="pct"/>
            <w:shd w:val="clear" w:color="auto" w:fill="auto"/>
            <w:noWrap/>
            <w:vAlign w:val="center"/>
          </w:tcPr>
          <w:p w14:paraId="694BAD72" w14:textId="156E6D1C" w:rsidR="00F103A8" w:rsidRPr="00F103A8" w:rsidRDefault="00F103A8" w:rsidP="0021254F">
            <w:pPr>
              <w:pStyle w:val="Table"/>
              <w:rPr>
                <w:noProof/>
                <w:sz w:val="20"/>
                <w:szCs w:val="22"/>
              </w:rPr>
            </w:pPr>
            <w:r w:rsidRPr="00F103A8">
              <w:rPr>
                <w:noProof/>
                <w:sz w:val="20"/>
                <w:szCs w:val="22"/>
              </w:rPr>
              <w:t>Kidneys 1 to Urinary bladder cont</w:t>
            </w:r>
          </w:p>
        </w:tc>
        <w:tc>
          <w:tcPr>
            <w:tcW w:w="556" w:type="pct"/>
            <w:shd w:val="clear" w:color="auto" w:fill="auto"/>
            <w:noWrap/>
            <w:vAlign w:val="center"/>
          </w:tcPr>
          <w:p w14:paraId="1749DF2F" w14:textId="77777777" w:rsidR="00F103A8" w:rsidRPr="00C47F2F" w:rsidRDefault="00F103A8" w:rsidP="0021254F">
            <w:pPr>
              <w:pStyle w:val="Table"/>
              <w:rPr>
                <w:noProof/>
                <w:sz w:val="20"/>
                <w:szCs w:val="20"/>
              </w:rPr>
            </w:pPr>
            <w:r w:rsidRPr="00C47F2F">
              <w:rPr>
                <w:noProof/>
                <w:sz w:val="20"/>
                <w:szCs w:val="20"/>
              </w:rPr>
              <w:t>1.73E-02</w:t>
            </w:r>
          </w:p>
        </w:tc>
        <w:tc>
          <w:tcPr>
            <w:tcW w:w="557" w:type="pct"/>
            <w:shd w:val="clear" w:color="auto" w:fill="auto"/>
            <w:noWrap/>
            <w:vAlign w:val="center"/>
          </w:tcPr>
          <w:p w14:paraId="0803CFB7" w14:textId="77777777" w:rsidR="00F103A8" w:rsidRPr="00C47F2F" w:rsidRDefault="00F103A8" w:rsidP="0021254F">
            <w:pPr>
              <w:pStyle w:val="Table"/>
              <w:rPr>
                <w:noProof/>
                <w:sz w:val="20"/>
                <w:szCs w:val="20"/>
              </w:rPr>
            </w:pPr>
            <w:r w:rsidRPr="00C47F2F">
              <w:rPr>
                <w:noProof/>
                <w:sz w:val="20"/>
                <w:szCs w:val="20"/>
              </w:rPr>
              <w:t>1.73E-02</w:t>
            </w:r>
          </w:p>
        </w:tc>
        <w:tc>
          <w:tcPr>
            <w:tcW w:w="556" w:type="pct"/>
            <w:shd w:val="clear" w:color="auto" w:fill="auto"/>
            <w:noWrap/>
            <w:vAlign w:val="center"/>
          </w:tcPr>
          <w:p w14:paraId="15445774" w14:textId="77777777" w:rsidR="00F103A8" w:rsidRPr="00C47F2F" w:rsidRDefault="00F103A8" w:rsidP="0021254F">
            <w:pPr>
              <w:pStyle w:val="Table"/>
              <w:rPr>
                <w:noProof/>
                <w:sz w:val="20"/>
                <w:szCs w:val="20"/>
              </w:rPr>
            </w:pPr>
            <w:r w:rsidRPr="00C47F2F">
              <w:rPr>
                <w:noProof/>
                <w:sz w:val="20"/>
                <w:szCs w:val="20"/>
              </w:rPr>
              <w:t>1.73E-02</w:t>
            </w:r>
          </w:p>
        </w:tc>
        <w:tc>
          <w:tcPr>
            <w:tcW w:w="557" w:type="pct"/>
            <w:shd w:val="clear" w:color="auto" w:fill="auto"/>
            <w:noWrap/>
            <w:vAlign w:val="center"/>
          </w:tcPr>
          <w:p w14:paraId="79DBCAEA" w14:textId="77777777" w:rsidR="00F103A8" w:rsidRPr="00C47F2F" w:rsidRDefault="00F103A8" w:rsidP="0021254F">
            <w:pPr>
              <w:pStyle w:val="Table"/>
              <w:rPr>
                <w:noProof/>
                <w:sz w:val="20"/>
                <w:szCs w:val="20"/>
              </w:rPr>
            </w:pPr>
            <w:r w:rsidRPr="00C47F2F">
              <w:rPr>
                <w:noProof/>
                <w:sz w:val="20"/>
                <w:szCs w:val="20"/>
              </w:rPr>
              <w:t>1.73E-02</w:t>
            </w:r>
          </w:p>
        </w:tc>
        <w:tc>
          <w:tcPr>
            <w:tcW w:w="556" w:type="pct"/>
            <w:shd w:val="clear" w:color="auto" w:fill="auto"/>
            <w:noWrap/>
            <w:vAlign w:val="center"/>
          </w:tcPr>
          <w:p w14:paraId="000461AE" w14:textId="77777777" w:rsidR="00F103A8" w:rsidRPr="00C47F2F" w:rsidRDefault="00F103A8" w:rsidP="0021254F">
            <w:pPr>
              <w:pStyle w:val="Table"/>
              <w:rPr>
                <w:noProof/>
                <w:sz w:val="20"/>
                <w:szCs w:val="20"/>
              </w:rPr>
            </w:pPr>
            <w:r w:rsidRPr="00C47F2F">
              <w:rPr>
                <w:noProof/>
                <w:sz w:val="20"/>
                <w:szCs w:val="20"/>
              </w:rPr>
              <w:t>1.73E-02</w:t>
            </w:r>
          </w:p>
        </w:tc>
        <w:tc>
          <w:tcPr>
            <w:tcW w:w="557" w:type="pct"/>
            <w:shd w:val="clear" w:color="auto" w:fill="auto"/>
            <w:noWrap/>
            <w:vAlign w:val="center"/>
          </w:tcPr>
          <w:p w14:paraId="43240EA0" w14:textId="77777777" w:rsidR="00F103A8" w:rsidRPr="00C47F2F" w:rsidRDefault="00F103A8" w:rsidP="0021254F">
            <w:pPr>
              <w:pStyle w:val="Table"/>
              <w:rPr>
                <w:noProof/>
                <w:sz w:val="20"/>
                <w:szCs w:val="20"/>
              </w:rPr>
            </w:pPr>
            <w:r w:rsidRPr="00C47F2F">
              <w:rPr>
                <w:noProof/>
                <w:sz w:val="20"/>
                <w:szCs w:val="20"/>
              </w:rPr>
              <w:t>1.73E-02</w:t>
            </w:r>
          </w:p>
        </w:tc>
      </w:tr>
      <w:tr w:rsidR="00F103A8" w:rsidRPr="00972C81" w14:paraId="272335CD" w14:textId="77777777" w:rsidTr="0021254F">
        <w:trPr>
          <w:trHeight w:val="300"/>
        </w:trPr>
        <w:tc>
          <w:tcPr>
            <w:tcW w:w="1662" w:type="pct"/>
            <w:shd w:val="clear" w:color="auto" w:fill="auto"/>
            <w:noWrap/>
            <w:vAlign w:val="center"/>
          </w:tcPr>
          <w:p w14:paraId="384CD3F6" w14:textId="21D1FCB1" w:rsidR="00F103A8" w:rsidRPr="00F103A8" w:rsidRDefault="00F103A8" w:rsidP="0021254F">
            <w:pPr>
              <w:pStyle w:val="Table"/>
              <w:rPr>
                <w:noProof/>
                <w:sz w:val="20"/>
                <w:szCs w:val="22"/>
              </w:rPr>
            </w:pPr>
            <w:r w:rsidRPr="00F103A8">
              <w:rPr>
                <w:noProof/>
                <w:sz w:val="20"/>
                <w:szCs w:val="22"/>
              </w:rPr>
              <w:t xml:space="preserve">Kidneys 2 to Blood  2  </w:t>
            </w:r>
          </w:p>
        </w:tc>
        <w:tc>
          <w:tcPr>
            <w:tcW w:w="556" w:type="pct"/>
            <w:shd w:val="clear" w:color="auto" w:fill="auto"/>
            <w:noWrap/>
            <w:vAlign w:val="center"/>
          </w:tcPr>
          <w:p w14:paraId="766C53B7" w14:textId="77777777" w:rsidR="00F103A8" w:rsidRPr="00C47F2F" w:rsidRDefault="00F103A8" w:rsidP="0021254F">
            <w:pPr>
              <w:pStyle w:val="Table"/>
              <w:rPr>
                <w:noProof/>
                <w:sz w:val="20"/>
                <w:szCs w:val="20"/>
              </w:rPr>
            </w:pPr>
            <w:r w:rsidRPr="00C47F2F">
              <w:rPr>
                <w:noProof/>
                <w:sz w:val="20"/>
                <w:szCs w:val="20"/>
              </w:rPr>
              <w:t>1.27E-04</w:t>
            </w:r>
          </w:p>
        </w:tc>
        <w:tc>
          <w:tcPr>
            <w:tcW w:w="557" w:type="pct"/>
            <w:shd w:val="clear" w:color="auto" w:fill="auto"/>
            <w:noWrap/>
            <w:vAlign w:val="center"/>
          </w:tcPr>
          <w:p w14:paraId="34D47B08" w14:textId="77777777" w:rsidR="00F103A8" w:rsidRPr="00C47F2F" w:rsidRDefault="00F103A8" w:rsidP="0021254F">
            <w:pPr>
              <w:pStyle w:val="Table"/>
              <w:rPr>
                <w:noProof/>
                <w:sz w:val="20"/>
                <w:szCs w:val="20"/>
              </w:rPr>
            </w:pPr>
            <w:r w:rsidRPr="00C47F2F">
              <w:rPr>
                <w:noProof/>
                <w:sz w:val="20"/>
                <w:szCs w:val="20"/>
              </w:rPr>
              <w:t>1.27E-04</w:t>
            </w:r>
          </w:p>
        </w:tc>
        <w:tc>
          <w:tcPr>
            <w:tcW w:w="556" w:type="pct"/>
            <w:shd w:val="clear" w:color="auto" w:fill="auto"/>
            <w:noWrap/>
            <w:vAlign w:val="center"/>
          </w:tcPr>
          <w:p w14:paraId="5680BCCB" w14:textId="77777777" w:rsidR="00F103A8" w:rsidRPr="00C47F2F" w:rsidRDefault="00F103A8" w:rsidP="0021254F">
            <w:pPr>
              <w:pStyle w:val="Table"/>
              <w:rPr>
                <w:noProof/>
                <w:sz w:val="20"/>
                <w:szCs w:val="20"/>
              </w:rPr>
            </w:pPr>
            <w:r w:rsidRPr="00C47F2F">
              <w:rPr>
                <w:noProof/>
                <w:sz w:val="20"/>
                <w:szCs w:val="20"/>
              </w:rPr>
              <w:t>1.27E-04</w:t>
            </w:r>
          </w:p>
        </w:tc>
        <w:tc>
          <w:tcPr>
            <w:tcW w:w="557" w:type="pct"/>
            <w:shd w:val="clear" w:color="auto" w:fill="auto"/>
            <w:noWrap/>
            <w:vAlign w:val="center"/>
          </w:tcPr>
          <w:p w14:paraId="23D79E40" w14:textId="77777777" w:rsidR="00F103A8" w:rsidRPr="00C47F2F" w:rsidRDefault="00F103A8" w:rsidP="0021254F">
            <w:pPr>
              <w:pStyle w:val="Table"/>
              <w:rPr>
                <w:noProof/>
                <w:sz w:val="20"/>
                <w:szCs w:val="20"/>
              </w:rPr>
            </w:pPr>
            <w:r w:rsidRPr="00C47F2F">
              <w:rPr>
                <w:noProof/>
                <w:sz w:val="20"/>
                <w:szCs w:val="20"/>
              </w:rPr>
              <w:t>1.27E-04</w:t>
            </w:r>
          </w:p>
        </w:tc>
        <w:tc>
          <w:tcPr>
            <w:tcW w:w="556" w:type="pct"/>
            <w:shd w:val="clear" w:color="auto" w:fill="auto"/>
            <w:noWrap/>
            <w:vAlign w:val="center"/>
          </w:tcPr>
          <w:p w14:paraId="21DEC34F" w14:textId="77777777" w:rsidR="00F103A8" w:rsidRPr="00C47F2F" w:rsidRDefault="00F103A8" w:rsidP="0021254F">
            <w:pPr>
              <w:pStyle w:val="Table"/>
              <w:rPr>
                <w:noProof/>
                <w:sz w:val="20"/>
                <w:szCs w:val="20"/>
              </w:rPr>
            </w:pPr>
            <w:r w:rsidRPr="00C47F2F">
              <w:rPr>
                <w:noProof/>
                <w:sz w:val="20"/>
                <w:szCs w:val="20"/>
              </w:rPr>
              <w:t>1.27E-04</w:t>
            </w:r>
          </w:p>
        </w:tc>
        <w:tc>
          <w:tcPr>
            <w:tcW w:w="557" w:type="pct"/>
            <w:shd w:val="clear" w:color="auto" w:fill="auto"/>
            <w:noWrap/>
            <w:vAlign w:val="center"/>
          </w:tcPr>
          <w:p w14:paraId="79F7812B" w14:textId="77777777" w:rsidR="00F103A8" w:rsidRPr="00C47F2F" w:rsidRDefault="00F103A8" w:rsidP="0021254F">
            <w:pPr>
              <w:pStyle w:val="Table"/>
              <w:rPr>
                <w:noProof/>
                <w:sz w:val="20"/>
                <w:szCs w:val="20"/>
              </w:rPr>
            </w:pPr>
            <w:r w:rsidRPr="00C47F2F">
              <w:rPr>
                <w:noProof/>
                <w:sz w:val="20"/>
                <w:szCs w:val="20"/>
              </w:rPr>
              <w:t>1.27E-04</w:t>
            </w:r>
          </w:p>
        </w:tc>
      </w:tr>
      <w:tr w:rsidR="00F103A8" w:rsidRPr="00972C81" w14:paraId="4BF83BA5" w14:textId="77777777" w:rsidTr="0021254F">
        <w:trPr>
          <w:trHeight w:val="300"/>
        </w:trPr>
        <w:tc>
          <w:tcPr>
            <w:tcW w:w="1662" w:type="pct"/>
            <w:shd w:val="clear" w:color="auto" w:fill="auto"/>
            <w:noWrap/>
            <w:vAlign w:val="center"/>
          </w:tcPr>
          <w:p w14:paraId="0CD3B199" w14:textId="60D0D9E7" w:rsidR="00F103A8" w:rsidRPr="00F103A8" w:rsidRDefault="00F103A8" w:rsidP="0021254F">
            <w:pPr>
              <w:pStyle w:val="Table"/>
              <w:rPr>
                <w:noProof/>
                <w:sz w:val="20"/>
                <w:szCs w:val="22"/>
              </w:rPr>
            </w:pPr>
            <w:r w:rsidRPr="00F103A8">
              <w:rPr>
                <w:noProof/>
                <w:sz w:val="20"/>
                <w:szCs w:val="22"/>
              </w:rPr>
              <w:t>ST1 to Blood  2</w:t>
            </w:r>
          </w:p>
        </w:tc>
        <w:tc>
          <w:tcPr>
            <w:tcW w:w="556" w:type="pct"/>
            <w:shd w:val="clear" w:color="auto" w:fill="auto"/>
            <w:noWrap/>
            <w:vAlign w:val="center"/>
          </w:tcPr>
          <w:p w14:paraId="3050EFEF" w14:textId="77777777" w:rsidR="00F103A8" w:rsidRPr="00C47F2F" w:rsidRDefault="00F103A8" w:rsidP="0021254F">
            <w:pPr>
              <w:pStyle w:val="Table"/>
              <w:rPr>
                <w:noProof/>
                <w:sz w:val="20"/>
                <w:szCs w:val="20"/>
              </w:rPr>
            </w:pPr>
            <w:r w:rsidRPr="00C47F2F">
              <w:rPr>
                <w:noProof/>
                <w:sz w:val="20"/>
                <w:szCs w:val="20"/>
              </w:rPr>
              <w:t>1.39E-03</w:t>
            </w:r>
          </w:p>
        </w:tc>
        <w:tc>
          <w:tcPr>
            <w:tcW w:w="557" w:type="pct"/>
            <w:shd w:val="clear" w:color="auto" w:fill="auto"/>
            <w:noWrap/>
            <w:vAlign w:val="center"/>
          </w:tcPr>
          <w:p w14:paraId="2C1163E4" w14:textId="77777777" w:rsidR="00F103A8" w:rsidRPr="00C47F2F" w:rsidRDefault="00F103A8" w:rsidP="0021254F">
            <w:pPr>
              <w:pStyle w:val="Table"/>
              <w:rPr>
                <w:noProof/>
                <w:sz w:val="20"/>
                <w:szCs w:val="20"/>
              </w:rPr>
            </w:pPr>
            <w:r w:rsidRPr="00C47F2F">
              <w:rPr>
                <w:noProof/>
                <w:sz w:val="20"/>
                <w:szCs w:val="20"/>
              </w:rPr>
              <w:t>1.39E-03</w:t>
            </w:r>
          </w:p>
        </w:tc>
        <w:tc>
          <w:tcPr>
            <w:tcW w:w="556" w:type="pct"/>
            <w:shd w:val="clear" w:color="auto" w:fill="auto"/>
            <w:noWrap/>
            <w:vAlign w:val="center"/>
          </w:tcPr>
          <w:p w14:paraId="3231E0EB" w14:textId="77777777" w:rsidR="00F103A8" w:rsidRPr="00C47F2F" w:rsidRDefault="00F103A8" w:rsidP="0021254F">
            <w:pPr>
              <w:pStyle w:val="Table"/>
              <w:rPr>
                <w:noProof/>
                <w:sz w:val="20"/>
                <w:szCs w:val="20"/>
              </w:rPr>
            </w:pPr>
            <w:r w:rsidRPr="00C47F2F">
              <w:rPr>
                <w:noProof/>
                <w:sz w:val="20"/>
                <w:szCs w:val="20"/>
              </w:rPr>
              <w:t>1.39E-03</w:t>
            </w:r>
          </w:p>
        </w:tc>
        <w:tc>
          <w:tcPr>
            <w:tcW w:w="557" w:type="pct"/>
            <w:shd w:val="clear" w:color="auto" w:fill="auto"/>
            <w:noWrap/>
            <w:vAlign w:val="center"/>
          </w:tcPr>
          <w:p w14:paraId="3E8E6EF6" w14:textId="77777777" w:rsidR="00F103A8" w:rsidRPr="00C47F2F" w:rsidRDefault="00F103A8" w:rsidP="0021254F">
            <w:pPr>
              <w:pStyle w:val="Table"/>
              <w:rPr>
                <w:noProof/>
                <w:sz w:val="20"/>
                <w:szCs w:val="20"/>
              </w:rPr>
            </w:pPr>
            <w:r w:rsidRPr="00C47F2F">
              <w:rPr>
                <w:noProof/>
                <w:sz w:val="20"/>
                <w:szCs w:val="20"/>
              </w:rPr>
              <w:t>1.39E-03</w:t>
            </w:r>
          </w:p>
        </w:tc>
        <w:tc>
          <w:tcPr>
            <w:tcW w:w="556" w:type="pct"/>
            <w:shd w:val="clear" w:color="auto" w:fill="auto"/>
            <w:noWrap/>
            <w:vAlign w:val="center"/>
          </w:tcPr>
          <w:p w14:paraId="7943BA2A" w14:textId="77777777" w:rsidR="00F103A8" w:rsidRPr="00C47F2F" w:rsidRDefault="00F103A8" w:rsidP="0021254F">
            <w:pPr>
              <w:pStyle w:val="Table"/>
              <w:rPr>
                <w:noProof/>
                <w:sz w:val="20"/>
                <w:szCs w:val="20"/>
              </w:rPr>
            </w:pPr>
            <w:r w:rsidRPr="00C47F2F">
              <w:rPr>
                <w:noProof/>
                <w:sz w:val="20"/>
                <w:szCs w:val="20"/>
              </w:rPr>
              <w:t>1.39E-03</w:t>
            </w:r>
          </w:p>
        </w:tc>
        <w:tc>
          <w:tcPr>
            <w:tcW w:w="557" w:type="pct"/>
            <w:shd w:val="clear" w:color="auto" w:fill="auto"/>
            <w:noWrap/>
            <w:vAlign w:val="center"/>
          </w:tcPr>
          <w:p w14:paraId="3649E58E" w14:textId="77777777" w:rsidR="00F103A8" w:rsidRPr="00C47F2F" w:rsidRDefault="00F103A8" w:rsidP="0021254F">
            <w:pPr>
              <w:pStyle w:val="Table"/>
              <w:rPr>
                <w:noProof/>
                <w:sz w:val="20"/>
                <w:szCs w:val="20"/>
              </w:rPr>
            </w:pPr>
            <w:r w:rsidRPr="00C47F2F">
              <w:rPr>
                <w:noProof/>
                <w:sz w:val="20"/>
                <w:szCs w:val="20"/>
              </w:rPr>
              <w:t>1.39E-03</w:t>
            </w:r>
          </w:p>
        </w:tc>
      </w:tr>
      <w:tr w:rsidR="00F103A8" w:rsidRPr="00972C81" w14:paraId="18E96A88" w14:textId="77777777" w:rsidTr="0021254F">
        <w:trPr>
          <w:trHeight w:val="300"/>
        </w:trPr>
        <w:tc>
          <w:tcPr>
            <w:tcW w:w="1662" w:type="pct"/>
            <w:shd w:val="clear" w:color="auto" w:fill="auto"/>
            <w:noWrap/>
            <w:vAlign w:val="center"/>
          </w:tcPr>
          <w:p w14:paraId="0D151897" w14:textId="47445AEB" w:rsidR="00F103A8" w:rsidRPr="00F103A8" w:rsidRDefault="00F103A8" w:rsidP="0021254F">
            <w:pPr>
              <w:pStyle w:val="Table"/>
              <w:rPr>
                <w:noProof/>
                <w:sz w:val="20"/>
                <w:szCs w:val="22"/>
              </w:rPr>
            </w:pPr>
            <w:r w:rsidRPr="00F103A8">
              <w:rPr>
                <w:noProof/>
                <w:sz w:val="20"/>
                <w:szCs w:val="22"/>
              </w:rPr>
              <w:t>ST2 to Blood  2</w:t>
            </w:r>
          </w:p>
        </w:tc>
        <w:tc>
          <w:tcPr>
            <w:tcW w:w="556" w:type="pct"/>
            <w:shd w:val="clear" w:color="auto" w:fill="auto"/>
            <w:noWrap/>
            <w:vAlign w:val="center"/>
          </w:tcPr>
          <w:p w14:paraId="7D5CFEB1" w14:textId="77777777" w:rsidR="00F103A8" w:rsidRPr="00C47F2F" w:rsidRDefault="00F103A8" w:rsidP="0021254F">
            <w:pPr>
              <w:pStyle w:val="Table"/>
              <w:rPr>
                <w:noProof/>
                <w:sz w:val="20"/>
                <w:szCs w:val="20"/>
              </w:rPr>
            </w:pPr>
            <w:r w:rsidRPr="00C47F2F">
              <w:rPr>
                <w:noProof/>
                <w:sz w:val="20"/>
                <w:szCs w:val="20"/>
              </w:rPr>
              <w:t>1.27E-04</w:t>
            </w:r>
          </w:p>
        </w:tc>
        <w:tc>
          <w:tcPr>
            <w:tcW w:w="557" w:type="pct"/>
            <w:shd w:val="clear" w:color="auto" w:fill="auto"/>
            <w:noWrap/>
            <w:vAlign w:val="center"/>
          </w:tcPr>
          <w:p w14:paraId="73A3C216" w14:textId="77777777" w:rsidR="00F103A8" w:rsidRPr="00C47F2F" w:rsidRDefault="00F103A8" w:rsidP="0021254F">
            <w:pPr>
              <w:pStyle w:val="Table"/>
              <w:rPr>
                <w:noProof/>
                <w:sz w:val="20"/>
                <w:szCs w:val="20"/>
              </w:rPr>
            </w:pPr>
            <w:r w:rsidRPr="00C47F2F">
              <w:rPr>
                <w:noProof/>
                <w:sz w:val="20"/>
                <w:szCs w:val="20"/>
              </w:rPr>
              <w:t>1.27E-04</w:t>
            </w:r>
          </w:p>
        </w:tc>
        <w:tc>
          <w:tcPr>
            <w:tcW w:w="556" w:type="pct"/>
            <w:shd w:val="clear" w:color="auto" w:fill="auto"/>
            <w:noWrap/>
            <w:vAlign w:val="center"/>
          </w:tcPr>
          <w:p w14:paraId="6C59B482" w14:textId="77777777" w:rsidR="00F103A8" w:rsidRPr="00C47F2F" w:rsidRDefault="00F103A8" w:rsidP="0021254F">
            <w:pPr>
              <w:pStyle w:val="Table"/>
              <w:rPr>
                <w:noProof/>
                <w:sz w:val="20"/>
                <w:szCs w:val="20"/>
              </w:rPr>
            </w:pPr>
            <w:r w:rsidRPr="00C47F2F">
              <w:rPr>
                <w:noProof/>
                <w:sz w:val="20"/>
                <w:szCs w:val="20"/>
              </w:rPr>
              <w:t>1.27E-04</w:t>
            </w:r>
          </w:p>
        </w:tc>
        <w:tc>
          <w:tcPr>
            <w:tcW w:w="557" w:type="pct"/>
            <w:shd w:val="clear" w:color="auto" w:fill="auto"/>
            <w:noWrap/>
            <w:vAlign w:val="center"/>
          </w:tcPr>
          <w:p w14:paraId="486EDC6E" w14:textId="77777777" w:rsidR="00F103A8" w:rsidRPr="00C47F2F" w:rsidRDefault="00F103A8" w:rsidP="0021254F">
            <w:pPr>
              <w:pStyle w:val="Table"/>
              <w:rPr>
                <w:noProof/>
                <w:sz w:val="20"/>
                <w:szCs w:val="20"/>
              </w:rPr>
            </w:pPr>
            <w:r w:rsidRPr="00C47F2F">
              <w:rPr>
                <w:noProof/>
                <w:sz w:val="20"/>
                <w:szCs w:val="20"/>
              </w:rPr>
              <w:t>1.27E-04</w:t>
            </w:r>
          </w:p>
        </w:tc>
        <w:tc>
          <w:tcPr>
            <w:tcW w:w="556" w:type="pct"/>
            <w:shd w:val="clear" w:color="auto" w:fill="auto"/>
            <w:noWrap/>
            <w:vAlign w:val="center"/>
          </w:tcPr>
          <w:p w14:paraId="600B55E1" w14:textId="77777777" w:rsidR="00F103A8" w:rsidRPr="00C47F2F" w:rsidRDefault="00F103A8" w:rsidP="0021254F">
            <w:pPr>
              <w:pStyle w:val="Table"/>
              <w:rPr>
                <w:noProof/>
                <w:sz w:val="20"/>
                <w:szCs w:val="20"/>
              </w:rPr>
            </w:pPr>
            <w:r w:rsidRPr="00C47F2F">
              <w:rPr>
                <w:noProof/>
                <w:sz w:val="20"/>
                <w:szCs w:val="20"/>
              </w:rPr>
              <w:t>1.27E-04</w:t>
            </w:r>
          </w:p>
        </w:tc>
        <w:tc>
          <w:tcPr>
            <w:tcW w:w="557" w:type="pct"/>
            <w:shd w:val="clear" w:color="auto" w:fill="auto"/>
            <w:noWrap/>
            <w:vAlign w:val="center"/>
          </w:tcPr>
          <w:p w14:paraId="2DEA847D" w14:textId="77777777" w:rsidR="00F103A8" w:rsidRPr="00C47F2F" w:rsidRDefault="00F103A8" w:rsidP="0021254F">
            <w:pPr>
              <w:pStyle w:val="Table"/>
              <w:rPr>
                <w:noProof/>
                <w:sz w:val="20"/>
                <w:szCs w:val="20"/>
              </w:rPr>
            </w:pPr>
            <w:r w:rsidRPr="00C47F2F">
              <w:rPr>
                <w:noProof/>
                <w:sz w:val="20"/>
                <w:szCs w:val="20"/>
              </w:rPr>
              <w:t>1.27E-04</w:t>
            </w:r>
          </w:p>
        </w:tc>
      </w:tr>
      <w:tr w:rsidR="00F103A8" w:rsidRPr="00972C81" w14:paraId="17300C91" w14:textId="77777777" w:rsidTr="0021254F">
        <w:trPr>
          <w:trHeight w:val="300"/>
        </w:trPr>
        <w:tc>
          <w:tcPr>
            <w:tcW w:w="1662" w:type="pct"/>
            <w:shd w:val="clear" w:color="auto" w:fill="auto"/>
            <w:noWrap/>
            <w:vAlign w:val="center"/>
          </w:tcPr>
          <w:p w14:paraId="4DA8A2F2" w14:textId="1B8751CD" w:rsidR="00F103A8" w:rsidRPr="00F103A8" w:rsidRDefault="00F103A8" w:rsidP="0021254F">
            <w:pPr>
              <w:pStyle w:val="Table"/>
              <w:rPr>
                <w:noProof/>
                <w:sz w:val="20"/>
                <w:szCs w:val="22"/>
              </w:rPr>
            </w:pPr>
            <w:r w:rsidRPr="00F103A8">
              <w:rPr>
                <w:noProof/>
                <w:sz w:val="20"/>
                <w:szCs w:val="22"/>
              </w:rPr>
              <w:t xml:space="preserve">Liver 1 to SI cont </w:t>
            </w:r>
          </w:p>
        </w:tc>
        <w:tc>
          <w:tcPr>
            <w:tcW w:w="556" w:type="pct"/>
            <w:shd w:val="clear" w:color="auto" w:fill="auto"/>
            <w:noWrap/>
            <w:vAlign w:val="center"/>
          </w:tcPr>
          <w:p w14:paraId="597FF8F3" w14:textId="77777777" w:rsidR="00F103A8" w:rsidRPr="00C47F2F" w:rsidRDefault="00F103A8" w:rsidP="0021254F">
            <w:pPr>
              <w:pStyle w:val="Table"/>
              <w:rPr>
                <w:noProof/>
                <w:sz w:val="20"/>
                <w:szCs w:val="20"/>
              </w:rPr>
            </w:pPr>
            <w:r w:rsidRPr="00C47F2F">
              <w:rPr>
                <w:noProof/>
                <w:sz w:val="20"/>
                <w:szCs w:val="20"/>
              </w:rPr>
              <w:t>9.24E-04</w:t>
            </w:r>
          </w:p>
        </w:tc>
        <w:tc>
          <w:tcPr>
            <w:tcW w:w="557" w:type="pct"/>
            <w:shd w:val="clear" w:color="auto" w:fill="auto"/>
            <w:noWrap/>
            <w:vAlign w:val="center"/>
          </w:tcPr>
          <w:p w14:paraId="1D7E76B8" w14:textId="77777777" w:rsidR="00F103A8" w:rsidRPr="00C47F2F" w:rsidRDefault="00F103A8" w:rsidP="0021254F">
            <w:pPr>
              <w:pStyle w:val="Table"/>
              <w:rPr>
                <w:noProof/>
                <w:sz w:val="20"/>
                <w:szCs w:val="20"/>
              </w:rPr>
            </w:pPr>
            <w:r w:rsidRPr="00C47F2F">
              <w:rPr>
                <w:noProof/>
                <w:sz w:val="20"/>
                <w:szCs w:val="20"/>
              </w:rPr>
              <w:t>9.24E-04</w:t>
            </w:r>
          </w:p>
        </w:tc>
        <w:tc>
          <w:tcPr>
            <w:tcW w:w="556" w:type="pct"/>
            <w:shd w:val="clear" w:color="auto" w:fill="auto"/>
            <w:noWrap/>
            <w:vAlign w:val="center"/>
          </w:tcPr>
          <w:p w14:paraId="179D2EAA" w14:textId="77777777" w:rsidR="00F103A8" w:rsidRPr="00C47F2F" w:rsidRDefault="00F103A8" w:rsidP="0021254F">
            <w:pPr>
              <w:pStyle w:val="Table"/>
              <w:rPr>
                <w:noProof/>
                <w:sz w:val="20"/>
                <w:szCs w:val="20"/>
              </w:rPr>
            </w:pPr>
            <w:r w:rsidRPr="00C47F2F">
              <w:rPr>
                <w:noProof/>
                <w:sz w:val="20"/>
                <w:szCs w:val="20"/>
              </w:rPr>
              <w:t>9.24E-04</w:t>
            </w:r>
          </w:p>
        </w:tc>
        <w:tc>
          <w:tcPr>
            <w:tcW w:w="557" w:type="pct"/>
            <w:shd w:val="clear" w:color="auto" w:fill="auto"/>
            <w:noWrap/>
            <w:vAlign w:val="center"/>
          </w:tcPr>
          <w:p w14:paraId="0413DD9E" w14:textId="77777777" w:rsidR="00F103A8" w:rsidRPr="00C47F2F" w:rsidRDefault="00F103A8" w:rsidP="0021254F">
            <w:pPr>
              <w:pStyle w:val="Table"/>
              <w:rPr>
                <w:noProof/>
                <w:sz w:val="20"/>
                <w:szCs w:val="20"/>
              </w:rPr>
            </w:pPr>
            <w:r w:rsidRPr="00C47F2F">
              <w:rPr>
                <w:noProof/>
                <w:sz w:val="20"/>
                <w:szCs w:val="20"/>
              </w:rPr>
              <w:t>9.24E-04</w:t>
            </w:r>
          </w:p>
        </w:tc>
        <w:tc>
          <w:tcPr>
            <w:tcW w:w="556" w:type="pct"/>
            <w:shd w:val="clear" w:color="auto" w:fill="auto"/>
            <w:noWrap/>
            <w:vAlign w:val="center"/>
          </w:tcPr>
          <w:p w14:paraId="0929B02C" w14:textId="77777777" w:rsidR="00F103A8" w:rsidRPr="00C47F2F" w:rsidRDefault="00F103A8" w:rsidP="0021254F">
            <w:pPr>
              <w:pStyle w:val="Table"/>
              <w:rPr>
                <w:noProof/>
                <w:sz w:val="20"/>
                <w:szCs w:val="20"/>
              </w:rPr>
            </w:pPr>
            <w:r w:rsidRPr="00C47F2F">
              <w:rPr>
                <w:noProof/>
                <w:sz w:val="20"/>
                <w:szCs w:val="20"/>
              </w:rPr>
              <w:t>9.24E-04</w:t>
            </w:r>
          </w:p>
        </w:tc>
        <w:tc>
          <w:tcPr>
            <w:tcW w:w="557" w:type="pct"/>
            <w:shd w:val="clear" w:color="auto" w:fill="auto"/>
            <w:noWrap/>
            <w:vAlign w:val="center"/>
          </w:tcPr>
          <w:p w14:paraId="1F583D30" w14:textId="77777777" w:rsidR="00F103A8" w:rsidRPr="00C47F2F" w:rsidRDefault="00F103A8" w:rsidP="0021254F">
            <w:pPr>
              <w:pStyle w:val="Table"/>
              <w:rPr>
                <w:noProof/>
                <w:sz w:val="20"/>
                <w:szCs w:val="20"/>
              </w:rPr>
            </w:pPr>
            <w:r w:rsidRPr="00C47F2F">
              <w:rPr>
                <w:noProof/>
                <w:sz w:val="20"/>
                <w:szCs w:val="20"/>
              </w:rPr>
              <w:t>9.24E-04</w:t>
            </w:r>
          </w:p>
        </w:tc>
      </w:tr>
      <w:tr w:rsidR="00F103A8" w:rsidRPr="00972C81" w14:paraId="04D2CC3B" w14:textId="77777777" w:rsidTr="0021254F">
        <w:trPr>
          <w:trHeight w:val="300"/>
        </w:trPr>
        <w:tc>
          <w:tcPr>
            <w:tcW w:w="1662" w:type="pct"/>
            <w:shd w:val="clear" w:color="auto" w:fill="auto"/>
            <w:noWrap/>
            <w:vAlign w:val="center"/>
          </w:tcPr>
          <w:p w14:paraId="295EDE02" w14:textId="6046440A" w:rsidR="00F103A8" w:rsidRPr="00F103A8" w:rsidRDefault="00F103A8" w:rsidP="0021254F">
            <w:pPr>
              <w:pStyle w:val="Table"/>
              <w:rPr>
                <w:noProof/>
                <w:sz w:val="20"/>
                <w:szCs w:val="22"/>
              </w:rPr>
            </w:pPr>
            <w:r w:rsidRPr="00F103A8">
              <w:rPr>
                <w:noProof/>
                <w:sz w:val="20"/>
                <w:szCs w:val="22"/>
              </w:rPr>
              <w:t>Liver 1 to Liver 2</w:t>
            </w:r>
          </w:p>
        </w:tc>
        <w:tc>
          <w:tcPr>
            <w:tcW w:w="556" w:type="pct"/>
            <w:shd w:val="clear" w:color="auto" w:fill="auto"/>
            <w:noWrap/>
            <w:vAlign w:val="center"/>
          </w:tcPr>
          <w:p w14:paraId="3777C992" w14:textId="77777777" w:rsidR="00F103A8" w:rsidRPr="00C47F2F" w:rsidRDefault="00F103A8" w:rsidP="0021254F">
            <w:pPr>
              <w:pStyle w:val="Table"/>
              <w:rPr>
                <w:noProof/>
                <w:sz w:val="20"/>
                <w:szCs w:val="20"/>
              </w:rPr>
            </w:pPr>
            <w:r w:rsidRPr="00C47F2F">
              <w:rPr>
                <w:noProof/>
                <w:sz w:val="20"/>
                <w:szCs w:val="20"/>
              </w:rPr>
              <w:t>4.53E-02</w:t>
            </w:r>
          </w:p>
        </w:tc>
        <w:tc>
          <w:tcPr>
            <w:tcW w:w="557" w:type="pct"/>
            <w:shd w:val="clear" w:color="auto" w:fill="auto"/>
            <w:noWrap/>
            <w:vAlign w:val="center"/>
          </w:tcPr>
          <w:p w14:paraId="097CAD86" w14:textId="77777777" w:rsidR="00F103A8" w:rsidRPr="00C47F2F" w:rsidRDefault="00F103A8" w:rsidP="0021254F">
            <w:pPr>
              <w:pStyle w:val="Table"/>
              <w:rPr>
                <w:noProof/>
                <w:sz w:val="20"/>
                <w:szCs w:val="20"/>
              </w:rPr>
            </w:pPr>
            <w:r w:rsidRPr="00C47F2F">
              <w:rPr>
                <w:noProof/>
                <w:sz w:val="20"/>
                <w:szCs w:val="20"/>
              </w:rPr>
              <w:t>4.53E-02</w:t>
            </w:r>
          </w:p>
        </w:tc>
        <w:tc>
          <w:tcPr>
            <w:tcW w:w="556" w:type="pct"/>
            <w:shd w:val="clear" w:color="auto" w:fill="auto"/>
            <w:noWrap/>
            <w:vAlign w:val="center"/>
          </w:tcPr>
          <w:p w14:paraId="0F19AC19" w14:textId="77777777" w:rsidR="00F103A8" w:rsidRPr="00C47F2F" w:rsidRDefault="00F103A8" w:rsidP="0021254F">
            <w:pPr>
              <w:pStyle w:val="Table"/>
              <w:rPr>
                <w:noProof/>
                <w:sz w:val="20"/>
                <w:szCs w:val="20"/>
              </w:rPr>
            </w:pPr>
            <w:r w:rsidRPr="00C47F2F">
              <w:rPr>
                <w:noProof/>
                <w:sz w:val="20"/>
                <w:szCs w:val="20"/>
              </w:rPr>
              <w:t>4.53E-02</w:t>
            </w:r>
          </w:p>
        </w:tc>
        <w:tc>
          <w:tcPr>
            <w:tcW w:w="557" w:type="pct"/>
            <w:shd w:val="clear" w:color="auto" w:fill="auto"/>
            <w:noWrap/>
            <w:vAlign w:val="center"/>
          </w:tcPr>
          <w:p w14:paraId="66EBFA52" w14:textId="77777777" w:rsidR="00F103A8" w:rsidRPr="00C47F2F" w:rsidRDefault="00F103A8" w:rsidP="0021254F">
            <w:pPr>
              <w:pStyle w:val="Table"/>
              <w:rPr>
                <w:noProof/>
                <w:sz w:val="20"/>
                <w:szCs w:val="20"/>
              </w:rPr>
            </w:pPr>
            <w:r w:rsidRPr="00C47F2F">
              <w:rPr>
                <w:noProof/>
                <w:sz w:val="20"/>
                <w:szCs w:val="20"/>
              </w:rPr>
              <w:t>4.53E-02</w:t>
            </w:r>
          </w:p>
        </w:tc>
        <w:tc>
          <w:tcPr>
            <w:tcW w:w="556" w:type="pct"/>
            <w:shd w:val="clear" w:color="auto" w:fill="auto"/>
            <w:noWrap/>
            <w:vAlign w:val="center"/>
          </w:tcPr>
          <w:p w14:paraId="05EF0152" w14:textId="77777777" w:rsidR="00F103A8" w:rsidRPr="00C47F2F" w:rsidRDefault="00F103A8" w:rsidP="0021254F">
            <w:pPr>
              <w:pStyle w:val="Table"/>
              <w:rPr>
                <w:noProof/>
                <w:sz w:val="20"/>
                <w:szCs w:val="20"/>
              </w:rPr>
            </w:pPr>
            <w:r w:rsidRPr="00C47F2F">
              <w:rPr>
                <w:noProof/>
                <w:sz w:val="20"/>
                <w:szCs w:val="20"/>
              </w:rPr>
              <w:t>4.53E-02</w:t>
            </w:r>
          </w:p>
        </w:tc>
        <w:tc>
          <w:tcPr>
            <w:tcW w:w="557" w:type="pct"/>
            <w:shd w:val="clear" w:color="auto" w:fill="auto"/>
            <w:noWrap/>
            <w:vAlign w:val="center"/>
          </w:tcPr>
          <w:p w14:paraId="3D125EFC" w14:textId="77777777" w:rsidR="00F103A8" w:rsidRPr="00C47F2F" w:rsidRDefault="00F103A8" w:rsidP="0021254F">
            <w:pPr>
              <w:pStyle w:val="Table"/>
              <w:rPr>
                <w:noProof/>
                <w:sz w:val="20"/>
                <w:szCs w:val="20"/>
              </w:rPr>
            </w:pPr>
            <w:r w:rsidRPr="00C47F2F">
              <w:rPr>
                <w:noProof/>
                <w:sz w:val="20"/>
                <w:szCs w:val="20"/>
              </w:rPr>
              <w:t>4.53E-02</w:t>
            </w:r>
          </w:p>
        </w:tc>
      </w:tr>
      <w:tr w:rsidR="00F103A8" w:rsidRPr="00972C81" w14:paraId="70B2F9B3" w14:textId="77777777" w:rsidTr="0021254F">
        <w:trPr>
          <w:trHeight w:val="300"/>
        </w:trPr>
        <w:tc>
          <w:tcPr>
            <w:tcW w:w="1662" w:type="pct"/>
            <w:shd w:val="clear" w:color="auto" w:fill="auto"/>
            <w:noWrap/>
            <w:vAlign w:val="center"/>
          </w:tcPr>
          <w:p w14:paraId="25F1AF61" w14:textId="485FD949" w:rsidR="00F103A8" w:rsidRPr="00F103A8" w:rsidRDefault="00F103A8" w:rsidP="0021254F">
            <w:pPr>
              <w:pStyle w:val="Table"/>
              <w:rPr>
                <w:noProof/>
                <w:sz w:val="20"/>
                <w:szCs w:val="22"/>
              </w:rPr>
            </w:pPr>
            <w:r w:rsidRPr="00F103A8">
              <w:rPr>
                <w:noProof/>
                <w:sz w:val="20"/>
                <w:szCs w:val="22"/>
              </w:rPr>
              <w:t>Liver 2 to Blood  2</w:t>
            </w:r>
          </w:p>
        </w:tc>
        <w:tc>
          <w:tcPr>
            <w:tcW w:w="556" w:type="pct"/>
            <w:shd w:val="clear" w:color="auto" w:fill="auto"/>
            <w:noWrap/>
            <w:vAlign w:val="center"/>
          </w:tcPr>
          <w:p w14:paraId="43E1DBB4" w14:textId="77777777" w:rsidR="00F103A8" w:rsidRPr="00C47F2F" w:rsidRDefault="00F103A8" w:rsidP="0021254F">
            <w:pPr>
              <w:pStyle w:val="Table"/>
              <w:rPr>
                <w:noProof/>
                <w:sz w:val="20"/>
                <w:szCs w:val="20"/>
              </w:rPr>
            </w:pPr>
            <w:r w:rsidRPr="00C47F2F">
              <w:rPr>
                <w:noProof/>
                <w:sz w:val="20"/>
                <w:szCs w:val="20"/>
              </w:rPr>
              <w:t>1.52E-03</w:t>
            </w:r>
          </w:p>
        </w:tc>
        <w:tc>
          <w:tcPr>
            <w:tcW w:w="557" w:type="pct"/>
            <w:shd w:val="clear" w:color="auto" w:fill="auto"/>
            <w:noWrap/>
            <w:vAlign w:val="center"/>
          </w:tcPr>
          <w:p w14:paraId="4AB65C76" w14:textId="77777777" w:rsidR="00F103A8" w:rsidRPr="00C47F2F" w:rsidRDefault="00F103A8" w:rsidP="0021254F">
            <w:pPr>
              <w:pStyle w:val="Table"/>
              <w:rPr>
                <w:noProof/>
                <w:sz w:val="20"/>
                <w:szCs w:val="20"/>
              </w:rPr>
            </w:pPr>
            <w:r w:rsidRPr="00C47F2F">
              <w:rPr>
                <w:noProof/>
                <w:sz w:val="20"/>
                <w:szCs w:val="20"/>
              </w:rPr>
              <w:t>1.52E-03</w:t>
            </w:r>
          </w:p>
        </w:tc>
        <w:tc>
          <w:tcPr>
            <w:tcW w:w="556" w:type="pct"/>
            <w:shd w:val="clear" w:color="auto" w:fill="auto"/>
            <w:noWrap/>
            <w:vAlign w:val="center"/>
          </w:tcPr>
          <w:p w14:paraId="5105ED10" w14:textId="77777777" w:rsidR="00F103A8" w:rsidRPr="00C47F2F" w:rsidRDefault="00F103A8" w:rsidP="0021254F">
            <w:pPr>
              <w:pStyle w:val="Table"/>
              <w:rPr>
                <w:noProof/>
                <w:sz w:val="20"/>
                <w:szCs w:val="20"/>
              </w:rPr>
            </w:pPr>
            <w:r w:rsidRPr="00C47F2F">
              <w:rPr>
                <w:noProof/>
                <w:sz w:val="20"/>
                <w:szCs w:val="20"/>
              </w:rPr>
              <w:t>1.52E-03</w:t>
            </w:r>
          </w:p>
        </w:tc>
        <w:tc>
          <w:tcPr>
            <w:tcW w:w="557" w:type="pct"/>
            <w:shd w:val="clear" w:color="auto" w:fill="auto"/>
            <w:noWrap/>
            <w:vAlign w:val="center"/>
          </w:tcPr>
          <w:p w14:paraId="6B64629D" w14:textId="77777777" w:rsidR="00F103A8" w:rsidRPr="00C47F2F" w:rsidRDefault="00F103A8" w:rsidP="0021254F">
            <w:pPr>
              <w:pStyle w:val="Table"/>
              <w:rPr>
                <w:noProof/>
                <w:sz w:val="20"/>
                <w:szCs w:val="20"/>
              </w:rPr>
            </w:pPr>
            <w:r w:rsidRPr="00C47F2F">
              <w:rPr>
                <w:noProof/>
                <w:sz w:val="20"/>
                <w:szCs w:val="20"/>
              </w:rPr>
              <w:t>1.52E-03</w:t>
            </w:r>
          </w:p>
        </w:tc>
        <w:tc>
          <w:tcPr>
            <w:tcW w:w="556" w:type="pct"/>
            <w:shd w:val="clear" w:color="auto" w:fill="auto"/>
            <w:noWrap/>
            <w:vAlign w:val="center"/>
          </w:tcPr>
          <w:p w14:paraId="05281F25" w14:textId="77777777" w:rsidR="00F103A8" w:rsidRPr="00C47F2F" w:rsidRDefault="00F103A8" w:rsidP="0021254F">
            <w:pPr>
              <w:pStyle w:val="Table"/>
              <w:rPr>
                <w:noProof/>
                <w:sz w:val="20"/>
                <w:szCs w:val="20"/>
              </w:rPr>
            </w:pPr>
            <w:r w:rsidRPr="00C47F2F">
              <w:rPr>
                <w:noProof/>
                <w:sz w:val="20"/>
                <w:szCs w:val="20"/>
              </w:rPr>
              <w:t>1.52E-03</w:t>
            </w:r>
          </w:p>
        </w:tc>
        <w:tc>
          <w:tcPr>
            <w:tcW w:w="557" w:type="pct"/>
            <w:shd w:val="clear" w:color="auto" w:fill="auto"/>
            <w:noWrap/>
            <w:vAlign w:val="center"/>
          </w:tcPr>
          <w:p w14:paraId="6F3F7687" w14:textId="77777777" w:rsidR="00F103A8" w:rsidRPr="00C47F2F" w:rsidRDefault="00F103A8" w:rsidP="0021254F">
            <w:pPr>
              <w:pStyle w:val="Table"/>
              <w:rPr>
                <w:noProof/>
                <w:sz w:val="20"/>
                <w:szCs w:val="20"/>
              </w:rPr>
            </w:pPr>
            <w:r w:rsidRPr="00C47F2F">
              <w:rPr>
                <w:noProof/>
                <w:sz w:val="20"/>
                <w:szCs w:val="20"/>
              </w:rPr>
              <w:t>1.52E-03</w:t>
            </w:r>
          </w:p>
        </w:tc>
      </w:tr>
      <w:tr w:rsidR="00F103A8" w:rsidRPr="00972C81" w14:paraId="3E30A450" w14:textId="77777777" w:rsidTr="0021254F">
        <w:trPr>
          <w:trHeight w:val="300"/>
        </w:trPr>
        <w:tc>
          <w:tcPr>
            <w:tcW w:w="1662" w:type="pct"/>
            <w:shd w:val="clear" w:color="auto" w:fill="auto"/>
            <w:noWrap/>
            <w:vAlign w:val="center"/>
          </w:tcPr>
          <w:p w14:paraId="1D222E02" w14:textId="7A287E76" w:rsidR="00F103A8" w:rsidRPr="00F103A8" w:rsidRDefault="00F103A8" w:rsidP="0021254F">
            <w:pPr>
              <w:pStyle w:val="Table"/>
              <w:rPr>
                <w:noProof/>
                <w:sz w:val="20"/>
                <w:szCs w:val="22"/>
              </w:rPr>
            </w:pPr>
            <w:r w:rsidRPr="00F103A8">
              <w:rPr>
                <w:noProof/>
                <w:sz w:val="20"/>
                <w:szCs w:val="22"/>
              </w:rPr>
              <w:t>Liver 2 to Liver 3</w:t>
            </w:r>
          </w:p>
        </w:tc>
        <w:tc>
          <w:tcPr>
            <w:tcW w:w="556" w:type="pct"/>
            <w:shd w:val="clear" w:color="auto" w:fill="auto"/>
            <w:noWrap/>
            <w:vAlign w:val="center"/>
          </w:tcPr>
          <w:p w14:paraId="434BBE72" w14:textId="77777777" w:rsidR="00F103A8" w:rsidRPr="00C47F2F" w:rsidRDefault="00F103A8" w:rsidP="0021254F">
            <w:pPr>
              <w:pStyle w:val="Table"/>
              <w:rPr>
                <w:noProof/>
                <w:sz w:val="20"/>
                <w:szCs w:val="20"/>
              </w:rPr>
            </w:pPr>
            <w:r w:rsidRPr="00C47F2F">
              <w:rPr>
                <w:noProof/>
                <w:sz w:val="20"/>
                <w:szCs w:val="20"/>
              </w:rPr>
              <w:t>3.80E-04</w:t>
            </w:r>
          </w:p>
        </w:tc>
        <w:tc>
          <w:tcPr>
            <w:tcW w:w="557" w:type="pct"/>
            <w:shd w:val="clear" w:color="auto" w:fill="auto"/>
            <w:noWrap/>
            <w:vAlign w:val="center"/>
          </w:tcPr>
          <w:p w14:paraId="4BD5EC56" w14:textId="77777777" w:rsidR="00F103A8" w:rsidRPr="00C47F2F" w:rsidRDefault="00F103A8" w:rsidP="0021254F">
            <w:pPr>
              <w:pStyle w:val="Table"/>
              <w:rPr>
                <w:noProof/>
                <w:sz w:val="20"/>
                <w:szCs w:val="20"/>
              </w:rPr>
            </w:pPr>
            <w:r w:rsidRPr="00C47F2F">
              <w:rPr>
                <w:noProof/>
                <w:sz w:val="20"/>
                <w:szCs w:val="20"/>
              </w:rPr>
              <w:t>3.80E-04</w:t>
            </w:r>
          </w:p>
        </w:tc>
        <w:tc>
          <w:tcPr>
            <w:tcW w:w="556" w:type="pct"/>
            <w:shd w:val="clear" w:color="auto" w:fill="auto"/>
            <w:noWrap/>
            <w:vAlign w:val="center"/>
          </w:tcPr>
          <w:p w14:paraId="68D87FAC" w14:textId="77777777" w:rsidR="00F103A8" w:rsidRPr="00C47F2F" w:rsidRDefault="00F103A8" w:rsidP="0021254F">
            <w:pPr>
              <w:pStyle w:val="Table"/>
              <w:rPr>
                <w:noProof/>
                <w:sz w:val="20"/>
                <w:szCs w:val="20"/>
              </w:rPr>
            </w:pPr>
            <w:r w:rsidRPr="00C47F2F">
              <w:rPr>
                <w:noProof/>
                <w:sz w:val="20"/>
                <w:szCs w:val="20"/>
              </w:rPr>
              <w:t>3.80E-04</w:t>
            </w:r>
          </w:p>
        </w:tc>
        <w:tc>
          <w:tcPr>
            <w:tcW w:w="557" w:type="pct"/>
            <w:shd w:val="clear" w:color="auto" w:fill="auto"/>
            <w:noWrap/>
            <w:vAlign w:val="center"/>
          </w:tcPr>
          <w:p w14:paraId="54A6E0EB" w14:textId="77777777" w:rsidR="00F103A8" w:rsidRPr="00C47F2F" w:rsidRDefault="00F103A8" w:rsidP="0021254F">
            <w:pPr>
              <w:pStyle w:val="Table"/>
              <w:rPr>
                <w:noProof/>
                <w:sz w:val="20"/>
                <w:szCs w:val="20"/>
              </w:rPr>
            </w:pPr>
            <w:r w:rsidRPr="00C47F2F">
              <w:rPr>
                <w:noProof/>
                <w:sz w:val="20"/>
                <w:szCs w:val="20"/>
              </w:rPr>
              <w:t>3.80E-04</w:t>
            </w:r>
          </w:p>
        </w:tc>
        <w:tc>
          <w:tcPr>
            <w:tcW w:w="556" w:type="pct"/>
            <w:shd w:val="clear" w:color="auto" w:fill="auto"/>
            <w:noWrap/>
            <w:vAlign w:val="center"/>
          </w:tcPr>
          <w:p w14:paraId="210F85BE" w14:textId="77777777" w:rsidR="00F103A8" w:rsidRPr="00C47F2F" w:rsidRDefault="00F103A8" w:rsidP="0021254F">
            <w:pPr>
              <w:pStyle w:val="Table"/>
              <w:rPr>
                <w:noProof/>
                <w:sz w:val="20"/>
                <w:szCs w:val="20"/>
              </w:rPr>
            </w:pPr>
            <w:r w:rsidRPr="00C47F2F">
              <w:rPr>
                <w:noProof/>
                <w:sz w:val="20"/>
                <w:szCs w:val="20"/>
              </w:rPr>
              <w:t>3.80E-04</w:t>
            </w:r>
          </w:p>
        </w:tc>
        <w:tc>
          <w:tcPr>
            <w:tcW w:w="557" w:type="pct"/>
            <w:shd w:val="clear" w:color="auto" w:fill="auto"/>
            <w:noWrap/>
            <w:vAlign w:val="center"/>
          </w:tcPr>
          <w:p w14:paraId="6B8A92DA" w14:textId="77777777" w:rsidR="00F103A8" w:rsidRPr="00C47F2F" w:rsidRDefault="00F103A8" w:rsidP="0021254F">
            <w:pPr>
              <w:pStyle w:val="Table"/>
              <w:rPr>
                <w:noProof/>
                <w:sz w:val="20"/>
                <w:szCs w:val="20"/>
              </w:rPr>
            </w:pPr>
            <w:r w:rsidRPr="00C47F2F">
              <w:rPr>
                <w:noProof/>
                <w:sz w:val="20"/>
                <w:szCs w:val="20"/>
              </w:rPr>
              <w:t>3.80E-04</w:t>
            </w:r>
          </w:p>
        </w:tc>
      </w:tr>
      <w:tr w:rsidR="00F103A8" w:rsidRPr="00972C81" w14:paraId="2683EC98" w14:textId="77777777" w:rsidTr="0021254F">
        <w:trPr>
          <w:trHeight w:val="300"/>
        </w:trPr>
        <w:tc>
          <w:tcPr>
            <w:tcW w:w="1662" w:type="pct"/>
            <w:shd w:val="clear" w:color="auto" w:fill="auto"/>
            <w:noWrap/>
            <w:vAlign w:val="center"/>
          </w:tcPr>
          <w:p w14:paraId="6B1C7949" w14:textId="53BB0864" w:rsidR="00F103A8" w:rsidRPr="00F103A8" w:rsidRDefault="00F103A8" w:rsidP="0021254F">
            <w:pPr>
              <w:pStyle w:val="Table"/>
              <w:rPr>
                <w:noProof/>
                <w:sz w:val="20"/>
                <w:szCs w:val="22"/>
              </w:rPr>
            </w:pPr>
            <w:r w:rsidRPr="00F103A8">
              <w:rPr>
                <w:noProof/>
                <w:sz w:val="20"/>
                <w:szCs w:val="22"/>
              </w:rPr>
              <w:t>Liver 3 to Blood  2</w:t>
            </w:r>
          </w:p>
        </w:tc>
        <w:tc>
          <w:tcPr>
            <w:tcW w:w="556" w:type="pct"/>
            <w:shd w:val="clear" w:color="auto" w:fill="auto"/>
            <w:noWrap/>
            <w:vAlign w:val="center"/>
          </w:tcPr>
          <w:p w14:paraId="3E65D8C2" w14:textId="77777777" w:rsidR="00F103A8" w:rsidRPr="00C47F2F" w:rsidRDefault="00F103A8" w:rsidP="0021254F">
            <w:pPr>
              <w:pStyle w:val="Table"/>
              <w:rPr>
                <w:noProof/>
                <w:sz w:val="20"/>
                <w:szCs w:val="20"/>
              </w:rPr>
            </w:pPr>
            <w:r w:rsidRPr="00C47F2F">
              <w:rPr>
                <w:noProof/>
                <w:sz w:val="20"/>
                <w:szCs w:val="20"/>
              </w:rPr>
              <w:t>1.27E-04</w:t>
            </w:r>
          </w:p>
        </w:tc>
        <w:tc>
          <w:tcPr>
            <w:tcW w:w="557" w:type="pct"/>
            <w:shd w:val="clear" w:color="auto" w:fill="auto"/>
            <w:noWrap/>
            <w:vAlign w:val="center"/>
          </w:tcPr>
          <w:p w14:paraId="64397240" w14:textId="77777777" w:rsidR="00F103A8" w:rsidRPr="00C47F2F" w:rsidRDefault="00F103A8" w:rsidP="0021254F">
            <w:pPr>
              <w:pStyle w:val="Table"/>
              <w:rPr>
                <w:noProof/>
                <w:sz w:val="20"/>
                <w:szCs w:val="20"/>
              </w:rPr>
            </w:pPr>
            <w:r w:rsidRPr="00C47F2F">
              <w:rPr>
                <w:noProof/>
                <w:sz w:val="20"/>
                <w:szCs w:val="20"/>
              </w:rPr>
              <w:t>1.27E-04</w:t>
            </w:r>
          </w:p>
        </w:tc>
        <w:tc>
          <w:tcPr>
            <w:tcW w:w="556" w:type="pct"/>
            <w:shd w:val="clear" w:color="auto" w:fill="auto"/>
            <w:noWrap/>
            <w:vAlign w:val="center"/>
          </w:tcPr>
          <w:p w14:paraId="0AE0F10C" w14:textId="77777777" w:rsidR="00F103A8" w:rsidRPr="00C47F2F" w:rsidRDefault="00F103A8" w:rsidP="0021254F">
            <w:pPr>
              <w:pStyle w:val="Table"/>
              <w:rPr>
                <w:noProof/>
                <w:sz w:val="20"/>
                <w:szCs w:val="20"/>
              </w:rPr>
            </w:pPr>
            <w:r w:rsidRPr="00C47F2F">
              <w:rPr>
                <w:noProof/>
                <w:sz w:val="20"/>
                <w:szCs w:val="20"/>
              </w:rPr>
              <w:t>1.27E-04</w:t>
            </w:r>
          </w:p>
        </w:tc>
        <w:tc>
          <w:tcPr>
            <w:tcW w:w="557" w:type="pct"/>
            <w:shd w:val="clear" w:color="auto" w:fill="auto"/>
            <w:noWrap/>
            <w:vAlign w:val="center"/>
          </w:tcPr>
          <w:p w14:paraId="728C0D22" w14:textId="77777777" w:rsidR="00F103A8" w:rsidRPr="00C47F2F" w:rsidRDefault="00F103A8" w:rsidP="0021254F">
            <w:pPr>
              <w:pStyle w:val="Table"/>
              <w:rPr>
                <w:noProof/>
                <w:sz w:val="20"/>
                <w:szCs w:val="20"/>
              </w:rPr>
            </w:pPr>
            <w:r w:rsidRPr="00C47F2F">
              <w:rPr>
                <w:noProof/>
                <w:sz w:val="20"/>
                <w:szCs w:val="20"/>
              </w:rPr>
              <w:t>1.27E-04</w:t>
            </w:r>
          </w:p>
        </w:tc>
        <w:tc>
          <w:tcPr>
            <w:tcW w:w="556" w:type="pct"/>
            <w:shd w:val="clear" w:color="auto" w:fill="auto"/>
            <w:noWrap/>
            <w:vAlign w:val="center"/>
          </w:tcPr>
          <w:p w14:paraId="01E0BEE7" w14:textId="77777777" w:rsidR="00F103A8" w:rsidRPr="00C47F2F" w:rsidRDefault="00F103A8" w:rsidP="0021254F">
            <w:pPr>
              <w:pStyle w:val="Table"/>
              <w:rPr>
                <w:noProof/>
                <w:sz w:val="20"/>
                <w:szCs w:val="20"/>
              </w:rPr>
            </w:pPr>
            <w:r w:rsidRPr="00C47F2F">
              <w:rPr>
                <w:noProof/>
                <w:sz w:val="20"/>
                <w:szCs w:val="20"/>
              </w:rPr>
              <w:t>1.27E-04</w:t>
            </w:r>
          </w:p>
        </w:tc>
        <w:tc>
          <w:tcPr>
            <w:tcW w:w="557" w:type="pct"/>
            <w:shd w:val="clear" w:color="auto" w:fill="auto"/>
            <w:noWrap/>
            <w:vAlign w:val="center"/>
          </w:tcPr>
          <w:p w14:paraId="26084676" w14:textId="77777777" w:rsidR="00F103A8" w:rsidRPr="00C47F2F" w:rsidRDefault="00F103A8" w:rsidP="0021254F">
            <w:pPr>
              <w:pStyle w:val="Table"/>
              <w:rPr>
                <w:noProof/>
                <w:sz w:val="20"/>
                <w:szCs w:val="20"/>
              </w:rPr>
            </w:pPr>
            <w:r w:rsidRPr="00C47F2F">
              <w:rPr>
                <w:noProof/>
                <w:sz w:val="20"/>
                <w:szCs w:val="20"/>
              </w:rPr>
              <w:t>1.27E-04</w:t>
            </w:r>
          </w:p>
        </w:tc>
      </w:tr>
      <w:tr w:rsidR="00F103A8" w:rsidRPr="00972C81" w14:paraId="59EDD4F1" w14:textId="77777777" w:rsidTr="0021254F">
        <w:trPr>
          <w:trHeight w:val="300"/>
        </w:trPr>
        <w:tc>
          <w:tcPr>
            <w:tcW w:w="1662" w:type="pct"/>
            <w:shd w:val="clear" w:color="auto" w:fill="auto"/>
            <w:noWrap/>
            <w:vAlign w:val="center"/>
          </w:tcPr>
          <w:p w14:paraId="2E1857E4" w14:textId="5F4559D8" w:rsidR="00F103A8" w:rsidRPr="00F103A8" w:rsidRDefault="00F103A8" w:rsidP="0021254F">
            <w:pPr>
              <w:pStyle w:val="Table"/>
              <w:rPr>
                <w:noProof/>
                <w:sz w:val="20"/>
                <w:szCs w:val="22"/>
              </w:rPr>
            </w:pPr>
            <w:r w:rsidRPr="00F103A8">
              <w:rPr>
                <w:noProof/>
                <w:sz w:val="20"/>
                <w:szCs w:val="22"/>
              </w:rPr>
              <w:t>Testes to Blood  2</w:t>
            </w:r>
          </w:p>
        </w:tc>
        <w:tc>
          <w:tcPr>
            <w:tcW w:w="556" w:type="pct"/>
            <w:shd w:val="clear" w:color="auto" w:fill="auto"/>
            <w:noWrap/>
            <w:vAlign w:val="center"/>
          </w:tcPr>
          <w:p w14:paraId="76F0830B" w14:textId="77777777" w:rsidR="00F103A8" w:rsidRPr="00C47F2F" w:rsidRDefault="00F103A8" w:rsidP="0021254F">
            <w:pPr>
              <w:pStyle w:val="Table"/>
              <w:rPr>
                <w:noProof/>
                <w:sz w:val="20"/>
                <w:szCs w:val="20"/>
              </w:rPr>
            </w:pPr>
            <w:r w:rsidRPr="00C47F2F">
              <w:rPr>
                <w:noProof/>
                <w:sz w:val="20"/>
                <w:szCs w:val="20"/>
              </w:rPr>
              <w:t>3.80E-04</w:t>
            </w:r>
          </w:p>
        </w:tc>
        <w:tc>
          <w:tcPr>
            <w:tcW w:w="557" w:type="pct"/>
            <w:shd w:val="clear" w:color="auto" w:fill="auto"/>
            <w:noWrap/>
            <w:vAlign w:val="center"/>
          </w:tcPr>
          <w:p w14:paraId="03E02633" w14:textId="77777777" w:rsidR="00F103A8" w:rsidRPr="00C47F2F" w:rsidRDefault="00F103A8" w:rsidP="0021254F">
            <w:pPr>
              <w:pStyle w:val="Table"/>
              <w:rPr>
                <w:noProof/>
                <w:sz w:val="20"/>
                <w:szCs w:val="20"/>
              </w:rPr>
            </w:pPr>
            <w:r w:rsidRPr="00C47F2F">
              <w:rPr>
                <w:noProof/>
                <w:sz w:val="20"/>
                <w:szCs w:val="20"/>
              </w:rPr>
              <w:t>3.80E-04</w:t>
            </w:r>
          </w:p>
        </w:tc>
        <w:tc>
          <w:tcPr>
            <w:tcW w:w="556" w:type="pct"/>
            <w:shd w:val="clear" w:color="auto" w:fill="auto"/>
            <w:noWrap/>
            <w:vAlign w:val="center"/>
          </w:tcPr>
          <w:p w14:paraId="492626E7" w14:textId="77777777" w:rsidR="00F103A8" w:rsidRPr="00C47F2F" w:rsidRDefault="00F103A8" w:rsidP="0021254F">
            <w:pPr>
              <w:pStyle w:val="Table"/>
              <w:rPr>
                <w:noProof/>
                <w:sz w:val="20"/>
                <w:szCs w:val="20"/>
              </w:rPr>
            </w:pPr>
            <w:r w:rsidRPr="00C47F2F">
              <w:rPr>
                <w:noProof/>
                <w:sz w:val="20"/>
                <w:szCs w:val="20"/>
              </w:rPr>
              <w:t>3.80E-04</w:t>
            </w:r>
          </w:p>
        </w:tc>
        <w:tc>
          <w:tcPr>
            <w:tcW w:w="557" w:type="pct"/>
            <w:shd w:val="clear" w:color="auto" w:fill="auto"/>
            <w:noWrap/>
            <w:vAlign w:val="center"/>
          </w:tcPr>
          <w:p w14:paraId="57AF447B" w14:textId="77777777" w:rsidR="00F103A8" w:rsidRPr="00C47F2F" w:rsidRDefault="00F103A8" w:rsidP="0021254F">
            <w:pPr>
              <w:pStyle w:val="Table"/>
              <w:rPr>
                <w:noProof/>
                <w:sz w:val="20"/>
                <w:szCs w:val="20"/>
              </w:rPr>
            </w:pPr>
            <w:r w:rsidRPr="00C47F2F">
              <w:rPr>
                <w:noProof/>
                <w:sz w:val="20"/>
                <w:szCs w:val="20"/>
              </w:rPr>
              <w:t>3.80E-04</w:t>
            </w:r>
          </w:p>
        </w:tc>
        <w:tc>
          <w:tcPr>
            <w:tcW w:w="556" w:type="pct"/>
            <w:shd w:val="clear" w:color="auto" w:fill="auto"/>
            <w:noWrap/>
            <w:vAlign w:val="center"/>
          </w:tcPr>
          <w:p w14:paraId="79E31758" w14:textId="77777777" w:rsidR="00F103A8" w:rsidRPr="00C47F2F" w:rsidRDefault="00F103A8" w:rsidP="0021254F">
            <w:pPr>
              <w:pStyle w:val="Table"/>
              <w:rPr>
                <w:noProof/>
                <w:sz w:val="20"/>
                <w:szCs w:val="20"/>
              </w:rPr>
            </w:pPr>
            <w:r w:rsidRPr="00C47F2F">
              <w:rPr>
                <w:noProof/>
                <w:sz w:val="20"/>
                <w:szCs w:val="20"/>
              </w:rPr>
              <w:t>3.80E-04</w:t>
            </w:r>
          </w:p>
        </w:tc>
        <w:tc>
          <w:tcPr>
            <w:tcW w:w="557" w:type="pct"/>
            <w:shd w:val="clear" w:color="auto" w:fill="auto"/>
            <w:noWrap/>
            <w:vAlign w:val="center"/>
          </w:tcPr>
          <w:p w14:paraId="1803840E" w14:textId="77777777" w:rsidR="00F103A8" w:rsidRPr="00C47F2F" w:rsidRDefault="00F103A8" w:rsidP="0021254F">
            <w:pPr>
              <w:pStyle w:val="Table"/>
              <w:rPr>
                <w:noProof/>
                <w:sz w:val="20"/>
                <w:szCs w:val="20"/>
              </w:rPr>
            </w:pPr>
            <w:r w:rsidRPr="00C47F2F">
              <w:rPr>
                <w:noProof/>
                <w:sz w:val="20"/>
                <w:szCs w:val="20"/>
              </w:rPr>
              <w:t>3.80E-04</w:t>
            </w:r>
          </w:p>
        </w:tc>
      </w:tr>
      <w:tr w:rsidR="00F103A8" w:rsidRPr="00972C81" w14:paraId="5BCE87FF" w14:textId="77777777" w:rsidTr="0021254F">
        <w:trPr>
          <w:trHeight w:val="300"/>
        </w:trPr>
        <w:tc>
          <w:tcPr>
            <w:tcW w:w="1662" w:type="pct"/>
            <w:shd w:val="clear" w:color="auto" w:fill="auto"/>
            <w:noWrap/>
            <w:vAlign w:val="center"/>
          </w:tcPr>
          <w:p w14:paraId="140F02D0" w14:textId="1C3C707D" w:rsidR="00F103A8" w:rsidRPr="00F103A8" w:rsidRDefault="00F103A8" w:rsidP="0021254F">
            <w:pPr>
              <w:pStyle w:val="Table"/>
              <w:rPr>
                <w:noProof/>
                <w:sz w:val="20"/>
                <w:szCs w:val="22"/>
              </w:rPr>
            </w:pPr>
            <w:r w:rsidRPr="00F103A8">
              <w:rPr>
                <w:noProof/>
                <w:sz w:val="20"/>
                <w:szCs w:val="22"/>
              </w:rPr>
              <w:t>Ovaries to Blood  2</w:t>
            </w:r>
          </w:p>
        </w:tc>
        <w:tc>
          <w:tcPr>
            <w:tcW w:w="556" w:type="pct"/>
            <w:shd w:val="clear" w:color="auto" w:fill="auto"/>
            <w:noWrap/>
            <w:vAlign w:val="center"/>
          </w:tcPr>
          <w:p w14:paraId="1EEB9033" w14:textId="77777777" w:rsidR="00F103A8" w:rsidRPr="00C47F2F" w:rsidRDefault="00F103A8" w:rsidP="0021254F">
            <w:pPr>
              <w:pStyle w:val="Table"/>
              <w:rPr>
                <w:noProof/>
                <w:sz w:val="20"/>
                <w:szCs w:val="20"/>
              </w:rPr>
            </w:pPr>
            <w:r w:rsidRPr="00C47F2F">
              <w:rPr>
                <w:noProof/>
                <w:sz w:val="20"/>
                <w:szCs w:val="20"/>
              </w:rPr>
              <w:t>3.80E-04</w:t>
            </w:r>
          </w:p>
        </w:tc>
        <w:tc>
          <w:tcPr>
            <w:tcW w:w="557" w:type="pct"/>
            <w:shd w:val="clear" w:color="auto" w:fill="auto"/>
            <w:noWrap/>
            <w:vAlign w:val="center"/>
          </w:tcPr>
          <w:p w14:paraId="4E07B591" w14:textId="77777777" w:rsidR="00F103A8" w:rsidRPr="00C47F2F" w:rsidRDefault="00F103A8" w:rsidP="0021254F">
            <w:pPr>
              <w:pStyle w:val="Table"/>
              <w:rPr>
                <w:noProof/>
                <w:sz w:val="20"/>
                <w:szCs w:val="20"/>
              </w:rPr>
            </w:pPr>
            <w:r w:rsidRPr="00C47F2F">
              <w:rPr>
                <w:noProof/>
                <w:sz w:val="20"/>
                <w:szCs w:val="20"/>
              </w:rPr>
              <w:t>3.80E-04</w:t>
            </w:r>
          </w:p>
        </w:tc>
        <w:tc>
          <w:tcPr>
            <w:tcW w:w="556" w:type="pct"/>
            <w:shd w:val="clear" w:color="auto" w:fill="auto"/>
            <w:noWrap/>
            <w:vAlign w:val="center"/>
          </w:tcPr>
          <w:p w14:paraId="18CD48A1" w14:textId="77777777" w:rsidR="00F103A8" w:rsidRPr="00C47F2F" w:rsidRDefault="00F103A8" w:rsidP="0021254F">
            <w:pPr>
              <w:pStyle w:val="Table"/>
              <w:rPr>
                <w:noProof/>
                <w:sz w:val="20"/>
                <w:szCs w:val="20"/>
              </w:rPr>
            </w:pPr>
            <w:r w:rsidRPr="00C47F2F">
              <w:rPr>
                <w:noProof/>
                <w:sz w:val="20"/>
                <w:szCs w:val="20"/>
              </w:rPr>
              <w:t>3.80E-04</w:t>
            </w:r>
          </w:p>
        </w:tc>
        <w:tc>
          <w:tcPr>
            <w:tcW w:w="557" w:type="pct"/>
            <w:shd w:val="clear" w:color="auto" w:fill="auto"/>
            <w:noWrap/>
            <w:vAlign w:val="center"/>
          </w:tcPr>
          <w:p w14:paraId="166810DF" w14:textId="77777777" w:rsidR="00F103A8" w:rsidRPr="00C47F2F" w:rsidRDefault="00F103A8" w:rsidP="0021254F">
            <w:pPr>
              <w:pStyle w:val="Table"/>
              <w:rPr>
                <w:noProof/>
                <w:sz w:val="20"/>
                <w:szCs w:val="20"/>
              </w:rPr>
            </w:pPr>
            <w:r w:rsidRPr="00C47F2F">
              <w:rPr>
                <w:noProof/>
                <w:sz w:val="20"/>
                <w:szCs w:val="20"/>
              </w:rPr>
              <w:t>3.80E-04</w:t>
            </w:r>
          </w:p>
        </w:tc>
        <w:tc>
          <w:tcPr>
            <w:tcW w:w="556" w:type="pct"/>
            <w:shd w:val="clear" w:color="auto" w:fill="auto"/>
            <w:noWrap/>
            <w:vAlign w:val="center"/>
          </w:tcPr>
          <w:p w14:paraId="315C0052" w14:textId="77777777" w:rsidR="00F103A8" w:rsidRPr="00C47F2F" w:rsidRDefault="00F103A8" w:rsidP="0021254F">
            <w:pPr>
              <w:pStyle w:val="Table"/>
              <w:rPr>
                <w:noProof/>
                <w:sz w:val="20"/>
                <w:szCs w:val="20"/>
              </w:rPr>
            </w:pPr>
            <w:r w:rsidRPr="00C47F2F">
              <w:rPr>
                <w:noProof/>
                <w:sz w:val="20"/>
                <w:szCs w:val="20"/>
              </w:rPr>
              <w:t>3.80E-04</w:t>
            </w:r>
          </w:p>
        </w:tc>
        <w:tc>
          <w:tcPr>
            <w:tcW w:w="557" w:type="pct"/>
            <w:shd w:val="clear" w:color="auto" w:fill="auto"/>
            <w:noWrap/>
            <w:vAlign w:val="center"/>
          </w:tcPr>
          <w:p w14:paraId="3185244E" w14:textId="77777777" w:rsidR="00F103A8" w:rsidRPr="00C47F2F" w:rsidRDefault="00F103A8" w:rsidP="0021254F">
            <w:pPr>
              <w:pStyle w:val="Table"/>
              <w:rPr>
                <w:noProof/>
                <w:sz w:val="20"/>
                <w:szCs w:val="20"/>
              </w:rPr>
            </w:pPr>
            <w:r w:rsidRPr="00C47F2F">
              <w:rPr>
                <w:noProof/>
                <w:sz w:val="20"/>
                <w:szCs w:val="20"/>
              </w:rPr>
              <w:t>3.80E-04</w:t>
            </w:r>
          </w:p>
        </w:tc>
      </w:tr>
      <w:tr w:rsidR="00F103A8" w:rsidRPr="00972C81" w14:paraId="45AD8291" w14:textId="77777777" w:rsidTr="0021254F">
        <w:trPr>
          <w:trHeight w:val="300"/>
        </w:trPr>
        <w:tc>
          <w:tcPr>
            <w:tcW w:w="1662" w:type="pct"/>
            <w:shd w:val="clear" w:color="auto" w:fill="auto"/>
            <w:noWrap/>
            <w:vAlign w:val="center"/>
          </w:tcPr>
          <w:p w14:paraId="1D441C4D" w14:textId="7C4539CA" w:rsidR="00F103A8" w:rsidRPr="00F103A8" w:rsidRDefault="00F103A8" w:rsidP="0021254F">
            <w:pPr>
              <w:pStyle w:val="Table"/>
              <w:rPr>
                <w:noProof/>
                <w:sz w:val="20"/>
                <w:szCs w:val="22"/>
              </w:rPr>
            </w:pPr>
            <w:r w:rsidRPr="00F103A8">
              <w:rPr>
                <w:noProof/>
                <w:sz w:val="20"/>
                <w:szCs w:val="22"/>
              </w:rPr>
              <w:t>Cort bone surf to Cort marrow</w:t>
            </w:r>
          </w:p>
        </w:tc>
        <w:tc>
          <w:tcPr>
            <w:tcW w:w="556" w:type="pct"/>
            <w:shd w:val="clear" w:color="auto" w:fill="auto"/>
            <w:noWrap/>
            <w:vAlign w:val="center"/>
          </w:tcPr>
          <w:p w14:paraId="58FE8792" w14:textId="77777777" w:rsidR="00F103A8" w:rsidRPr="00C47F2F" w:rsidRDefault="00F103A8" w:rsidP="0021254F">
            <w:pPr>
              <w:pStyle w:val="Table"/>
              <w:rPr>
                <w:noProof/>
                <w:sz w:val="20"/>
                <w:szCs w:val="20"/>
              </w:rPr>
            </w:pPr>
            <w:r w:rsidRPr="00C47F2F">
              <w:rPr>
                <w:noProof/>
                <w:sz w:val="20"/>
                <w:szCs w:val="20"/>
              </w:rPr>
              <w:t>8.22E-03</w:t>
            </w:r>
          </w:p>
        </w:tc>
        <w:tc>
          <w:tcPr>
            <w:tcW w:w="557" w:type="pct"/>
            <w:shd w:val="clear" w:color="auto" w:fill="auto"/>
            <w:noWrap/>
            <w:vAlign w:val="center"/>
          </w:tcPr>
          <w:p w14:paraId="37A3BE76" w14:textId="77777777" w:rsidR="00F103A8" w:rsidRPr="00C47F2F" w:rsidRDefault="00F103A8" w:rsidP="0021254F">
            <w:pPr>
              <w:pStyle w:val="Table"/>
              <w:rPr>
                <w:noProof/>
                <w:sz w:val="20"/>
                <w:szCs w:val="20"/>
              </w:rPr>
            </w:pPr>
            <w:r w:rsidRPr="00C47F2F">
              <w:rPr>
                <w:noProof/>
                <w:sz w:val="20"/>
                <w:szCs w:val="20"/>
              </w:rPr>
              <w:t>2.88E-03</w:t>
            </w:r>
          </w:p>
        </w:tc>
        <w:tc>
          <w:tcPr>
            <w:tcW w:w="556" w:type="pct"/>
            <w:shd w:val="clear" w:color="auto" w:fill="auto"/>
            <w:noWrap/>
            <w:vAlign w:val="center"/>
          </w:tcPr>
          <w:p w14:paraId="1FCE8737" w14:textId="77777777" w:rsidR="00F103A8" w:rsidRPr="00C47F2F" w:rsidRDefault="00F103A8" w:rsidP="0021254F">
            <w:pPr>
              <w:pStyle w:val="Table"/>
              <w:rPr>
                <w:noProof/>
                <w:sz w:val="20"/>
                <w:szCs w:val="20"/>
              </w:rPr>
            </w:pPr>
            <w:r w:rsidRPr="00C47F2F">
              <w:rPr>
                <w:noProof/>
                <w:sz w:val="20"/>
                <w:szCs w:val="20"/>
              </w:rPr>
              <w:t>1.53E-03</w:t>
            </w:r>
          </w:p>
        </w:tc>
        <w:tc>
          <w:tcPr>
            <w:tcW w:w="557" w:type="pct"/>
            <w:shd w:val="clear" w:color="auto" w:fill="auto"/>
            <w:noWrap/>
            <w:vAlign w:val="center"/>
          </w:tcPr>
          <w:p w14:paraId="5126145C" w14:textId="77777777" w:rsidR="00F103A8" w:rsidRPr="00C47F2F" w:rsidRDefault="00F103A8" w:rsidP="0021254F">
            <w:pPr>
              <w:pStyle w:val="Table"/>
              <w:rPr>
                <w:noProof/>
                <w:sz w:val="20"/>
                <w:szCs w:val="20"/>
              </w:rPr>
            </w:pPr>
            <w:r w:rsidRPr="00C47F2F">
              <w:rPr>
                <w:noProof/>
                <w:sz w:val="20"/>
                <w:szCs w:val="20"/>
              </w:rPr>
              <w:t>9.04E-04</w:t>
            </w:r>
          </w:p>
        </w:tc>
        <w:tc>
          <w:tcPr>
            <w:tcW w:w="556" w:type="pct"/>
            <w:shd w:val="clear" w:color="auto" w:fill="auto"/>
            <w:noWrap/>
            <w:vAlign w:val="center"/>
          </w:tcPr>
          <w:p w14:paraId="3CE7DCEC" w14:textId="77777777" w:rsidR="00F103A8" w:rsidRPr="00C47F2F" w:rsidRDefault="00F103A8" w:rsidP="0021254F">
            <w:pPr>
              <w:pStyle w:val="Table"/>
              <w:rPr>
                <w:noProof/>
                <w:sz w:val="20"/>
                <w:szCs w:val="20"/>
              </w:rPr>
            </w:pPr>
            <w:r w:rsidRPr="00C47F2F">
              <w:rPr>
                <w:noProof/>
                <w:sz w:val="20"/>
                <w:szCs w:val="20"/>
              </w:rPr>
              <w:t>5.21E-04</w:t>
            </w:r>
          </w:p>
        </w:tc>
        <w:tc>
          <w:tcPr>
            <w:tcW w:w="557" w:type="pct"/>
            <w:shd w:val="clear" w:color="auto" w:fill="auto"/>
            <w:noWrap/>
            <w:vAlign w:val="center"/>
          </w:tcPr>
          <w:p w14:paraId="261318DC" w14:textId="77777777" w:rsidR="00F103A8" w:rsidRPr="00C47F2F" w:rsidRDefault="00F103A8" w:rsidP="0021254F">
            <w:pPr>
              <w:pStyle w:val="Table"/>
              <w:rPr>
                <w:noProof/>
                <w:sz w:val="20"/>
                <w:szCs w:val="20"/>
              </w:rPr>
            </w:pPr>
            <w:r w:rsidRPr="00C47F2F">
              <w:rPr>
                <w:noProof/>
                <w:sz w:val="20"/>
                <w:szCs w:val="20"/>
              </w:rPr>
              <w:t>8.21E-05</w:t>
            </w:r>
          </w:p>
        </w:tc>
      </w:tr>
      <w:tr w:rsidR="00F103A8" w:rsidRPr="00972C81" w14:paraId="0B5FC379" w14:textId="77777777" w:rsidTr="0021254F">
        <w:trPr>
          <w:trHeight w:val="300"/>
        </w:trPr>
        <w:tc>
          <w:tcPr>
            <w:tcW w:w="1662" w:type="pct"/>
            <w:shd w:val="clear" w:color="auto" w:fill="auto"/>
            <w:noWrap/>
            <w:vAlign w:val="center"/>
          </w:tcPr>
          <w:p w14:paraId="2C76DBEE" w14:textId="18CA9236" w:rsidR="00F103A8" w:rsidRPr="00F103A8" w:rsidRDefault="00F103A8" w:rsidP="0021254F">
            <w:pPr>
              <w:pStyle w:val="Table"/>
              <w:rPr>
                <w:noProof/>
                <w:sz w:val="20"/>
                <w:szCs w:val="22"/>
              </w:rPr>
            </w:pPr>
            <w:r w:rsidRPr="00F103A8">
              <w:rPr>
                <w:noProof/>
                <w:sz w:val="20"/>
                <w:szCs w:val="22"/>
              </w:rPr>
              <w:t>Cort bone surf to Cort bone vol</w:t>
            </w:r>
          </w:p>
        </w:tc>
        <w:tc>
          <w:tcPr>
            <w:tcW w:w="556" w:type="pct"/>
            <w:shd w:val="clear" w:color="auto" w:fill="auto"/>
            <w:noWrap/>
            <w:vAlign w:val="center"/>
          </w:tcPr>
          <w:p w14:paraId="66DFF879" w14:textId="77777777" w:rsidR="00F103A8" w:rsidRPr="00C47F2F" w:rsidRDefault="00F103A8" w:rsidP="0021254F">
            <w:pPr>
              <w:pStyle w:val="Table"/>
              <w:rPr>
                <w:noProof/>
                <w:sz w:val="20"/>
                <w:szCs w:val="20"/>
              </w:rPr>
            </w:pPr>
            <w:r w:rsidRPr="00C47F2F">
              <w:rPr>
                <w:noProof/>
                <w:sz w:val="20"/>
                <w:szCs w:val="20"/>
              </w:rPr>
              <w:t>8.22E-03</w:t>
            </w:r>
          </w:p>
        </w:tc>
        <w:tc>
          <w:tcPr>
            <w:tcW w:w="557" w:type="pct"/>
            <w:shd w:val="clear" w:color="auto" w:fill="auto"/>
            <w:noWrap/>
            <w:vAlign w:val="center"/>
          </w:tcPr>
          <w:p w14:paraId="394C30F2" w14:textId="77777777" w:rsidR="00F103A8" w:rsidRPr="00C47F2F" w:rsidRDefault="00F103A8" w:rsidP="0021254F">
            <w:pPr>
              <w:pStyle w:val="Table"/>
              <w:rPr>
                <w:noProof/>
                <w:sz w:val="20"/>
                <w:szCs w:val="20"/>
              </w:rPr>
            </w:pPr>
            <w:r w:rsidRPr="00C47F2F">
              <w:rPr>
                <w:noProof/>
                <w:sz w:val="20"/>
                <w:szCs w:val="20"/>
              </w:rPr>
              <w:t>2.88E-03</w:t>
            </w:r>
          </w:p>
        </w:tc>
        <w:tc>
          <w:tcPr>
            <w:tcW w:w="556" w:type="pct"/>
            <w:shd w:val="clear" w:color="auto" w:fill="auto"/>
            <w:noWrap/>
            <w:vAlign w:val="center"/>
          </w:tcPr>
          <w:p w14:paraId="3AFE7879" w14:textId="77777777" w:rsidR="00F103A8" w:rsidRPr="00C47F2F" w:rsidRDefault="00F103A8" w:rsidP="0021254F">
            <w:pPr>
              <w:pStyle w:val="Table"/>
              <w:rPr>
                <w:noProof/>
                <w:sz w:val="20"/>
                <w:szCs w:val="20"/>
              </w:rPr>
            </w:pPr>
            <w:r w:rsidRPr="00C47F2F">
              <w:rPr>
                <w:noProof/>
                <w:sz w:val="20"/>
                <w:szCs w:val="20"/>
              </w:rPr>
              <w:t>1.53E-03</w:t>
            </w:r>
          </w:p>
        </w:tc>
        <w:tc>
          <w:tcPr>
            <w:tcW w:w="557" w:type="pct"/>
            <w:shd w:val="clear" w:color="auto" w:fill="auto"/>
            <w:noWrap/>
            <w:vAlign w:val="center"/>
          </w:tcPr>
          <w:p w14:paraId="4F609B83" w14:textId="77777777" w:rsidR="00F103A8" w:rsidRPr="00C47F2F" w:rsidRDefault="00F103A8" w:rsidP="0021254F">
            <w:pPr>
              <w:pStyle w:val="Table"/>
              <w:rPr>
                <w:noProof/>
                <w:sz w:val="20"/>
                <w:szCs w:val="20"/>
              </w:rPr>
            </w:pPr>
            <w:r w:rsidRPr="00C47F2F">
              <w:rPr>
                <w:noProof/>
                <w:sz w:val="20"/>
                <w:szCs w:val="20"/>
              </w:rPr>
              <w:t>9.04E-04</w:t>
            </w:r>
          </w:p>
        </w:tc>
        <w:tc>
          <w:tcPr>
            <w:tcW w:w="556" w:type="pct"/>
            <w:shd w:val="clear" w:color="auto" w:fill="auto"/>
            <w:noWrap/>
            <w:vAlign w:val="center"/>
          </w:tcPr>
          <w:p w14:paraId="483ADD76" w14:textId="77777777" w:rsidR="00F103A8" w:rsidRPr="00C47F2F" w:rsidRDefault="00F103A8" w:rsidP="0021254F">
            <w:pPr>
              <w:pStyle w:val="Table"/>
              <w:rPr>
                <w:noProof/>
                <w:sz w:val="20"/>
                <w:szCs w:val="20"/>
              </w:rPr>
            </w:pPr>
            <w:r w:rsidRPr="00C47F2F">
              <w:rPr>
                <w:noProof/>
                <w:sz w:val="20"/>
                <w:szCs w:val="20"/>
              </w:rPr>
              <w:t>5.21E-04</w:t>
            </w:r>
          </w:p>
        </w:tc>
        <w:tc>
          <w:tcPr>
            <w:tcW w:w="557" w:type="pct"/>
            <w:shd w:val="clear" w:color="auto" w:fill="auto"/>
            <w:noWrap/>
            <w:vAlign w:val="center"/>
          </w:tcPr>
          <w:p w14:paraId="154ECEC9" w14:textId="77777777" w:rsidR="00F103A8" w:rsidRPr="00C47F2F" w:rsidRDefault="00F103A8" w:rsidP="0021254F">
            <w:pPr>
              <w:pStyle w:val="Table"/>
              <w:rPr>
                <w:noProof/>
                <w:sz w:val="20"/>
                <w:szCs w:val="20"/>
              </w:rPr>
            </w:pPr>
            <w:r w:rsidRPr="00C47F2F">
              <w:rPr>
                <w:noProof/>
                <w:sz w:val="20"/>
                <w:szCs w:val="20"/>
              </w:rPr>
              <w:t>2.05E-05</w:t>
            </w:r>
          </w:p>
        </w:tc>
      </w:tr>
      <w:tr w:rsidR="00F103A8" w:rsidRPr="00972C81" w14:paraId="39D5B850" w14:textId="77777777" w:rsidTr="0021254F">
        <w:trPr>
          <w:trHeight w:val="300"/>
        </w:trPr>
        <w:tc>
          <w:tcPr>
            <w:tcW w:w="1662" w:type="pct"/>
            <w:shd w:val="clear" w:color="auto" w:fill="auto"/>
            <w:noWrap/>
            <w:vAlign w:val="center"/>
          </w:tcPr>
          <w:p w14:paraId="73DAB340" w14:textId="7E42C119" w:rsidR="00F103A8" w:rsidRPr="00F103A8" w:rsidRDefault="00F103A8" w:rsidP="0021254F">
            <w:pPr>
              <w:pStyle w:val="Table"/>
              <w:rPr>
                <w:noProof/>
                <w:sz w:val="20"/>
                <w:szCs w:val="22"/>
              </w:rPr>
            </w:pPr>
            <w:r w:rsidRPr="00F103A8">
              <w:rPr>
                <w:noProof/>
                <w:sz w:val="20"/>
                <w:szCs w:val="22"/>
              </w:rPr>
              <w:t>Cort bone vol to Cort marrow</w:t>
            </w:r>
          </w:p>
        </w:tc>
        <w:tc>
          <w:tcPr>
            <w:tcW w:w="556" w:type="pct"/>
            <w:shd w:val="clear" w:color="auto" w:fill="auto"/>
            <w:noWrap/>
            <w:vAlign w:val="center"/>
          </w:tcPr>
          <w:p w14:paraId="281B843B" w14:textId="77777777" w:rsidR="00F103A8" w:rsidRPr="00C47F2F" w:rsidRDefault="00F103A8" w:rsidP="0021254F">
            <w:pPr>
              <w:pStyle w:val="Table"/>
              <w:rPr>
                <w:noProof/>
                <w:sz w:val="20"/>
                <w:szCs w:val="20"/>
              </w:rPr>
            </w:pPr>
            <w:r w:rsidRPr="00C47F2F">
              <w:rPr>
                <w:noProof/>
                <w:sz w:val="20"/>
                <w:szCs w:val="20"/>
              </w:rPr>
              <w:t>8.22E-03</w:t>
            </w:r>
          </w:p>
        </w:tc>
        <w:tc>
          <w:tcPr>
            <w:tcW w:w="557" w:type="pct"/>
            <w:shd w:val="clear" w:color="auto" w:fill="auto"/>
            <w:noWrap/>
            <w:vAlign w:val="center"/>
          </w:tcPr>
          <w:p w14:paraId="42AC8727" w14:textId="77777777" w:rsidR="00F103A8" w:rsidRPr="00C47F2F" w:rsidRDefault="00F103A8" w:rsidP="0021254F">
            <w:pPr>
              <w:pStyle w:val="Table"/>
              <w:rPr>
                <w:noProof/>
                <w:sz w:val="20"/>
                <w:szCs w:val="20"/>
              </w:rPr>
            </w:pPr>
            <w:r w:rsidRPr="00C47F2F">
              <w:rPr>
                <w:noProof/>
                <w:sz w:val="20"/>
                <w:szCs w:val="20"/>
              </w:rPr>
              <w:t>2.88E-03</w:t>
            </w:r>
          </w:p>
        </w:tc>
        <w:tc>
          <w:tcPr>
            <w:tcW w:w="556" w:type="pct"/>
            <w:shd w:val="clear" w:color="auto" w:fill="auto"/>
            <w:noWrap/>
            <w:vAlign w:val="center"/>
          </w:tcPr>
          <w:p w14:paraId="6FC9B417" w14:textId="77777777" w:rsidR="00F103A8" w:rsidRPr="00C47F2F" w:rsidRDefault="00F103A8" w:rsidP="0021254F">
            <w:pPr>
              <w:pStyle w:val="Table"/>
              <w:rPr>
                <w:noProof/>
                <w:sz w:val="20"/>
                <w:szCs w:val="20"/>
              </w:rPr>
            </w:pPr>
            <w:r w:rsidRPr="00C47F2F">
              <w:rPr>
                <w:noProof/>
                <w:sz w:val="20"/>
                <w:szCs w:val="20"/>
              </w:rPr>
              <w:t>1.53E-03</w:t>
            </w:r>
          </w:p>
        </w:tc>
        <w:tc>
          <w:tcPr>
            <w:tcW w:w="557" w:type="pct"/>
            <w:shd w:val="clear" w:color="auto" w:fill="auto"/>
            <w:noWrap/>
            <w:vAlign w:val="center"/>
          </w:tcPr>
          <w:p w14:paraId="280EB6CA" w14:textId="77777777" w:rsidR="00F103A8" w:rsidRPr="00C47F2F" w:rsidRDefault="00F103A8" w:rsidP="0021254F">
            <w:pPr>
              <w:pStyle w:val="Table"/>
              <w:rPr>
                <w:noProof/>
                <w:sz w:val="20"/>
                <w:szCs w:val="20"/>
              </w:rPr>
            </w:pPr>
            <w:r w:rsidRPr="00C47F2F">
              <w:rPr>
                <w:noProof/>
                <w:sz w:val="20"/>
                <w:szCs w:val="20"/>
              </w:rPr>
              <w:t>9.04E-04</w:t>
            </w:r>
          </w:p>
        </w:tc>
        <w:tc>
          <w:tcPr>
            <w:tcW w:w="556" w:type="pct"/>
            <w:shd w:val="clear" w:color="auto" w:fill="auto"/>
            <w:noWrap/>
            <w:vAlign w:val="center"/>
          </w:tcPr>
          <w:p w14:paraId="57873487" w14:textId="77777777" w:rsidR="00F103A8" w:rsidRPr="00C47F2F" w:rsidRDefault="00F103A8" w:rsidP="0021254F">
            <w:pPr>
              <w:pStyle w:val="Table"/>
              <w:rPr>
                <w:noProof/>
                <w:sz w:val="20"/>
                <w:szCs w:val="20"/>
              </w:rPr>
            </w:pPr>
            <w:r w:rsidRPr="00C47F2F">
              <w:rPr>
                <w:noProof/>
                <w:sz w:val="20"/>
                <w:szCs w:val="20"/>
              </w:rPr>
              <w:t>5.21E-04</w:t>
            </w:r>
          </w:p>
        </w:tc>
        <w:tc>
          <w:tcPr>
            <w:tcW w:w="557" w:type="pct"/>
            <w:shd w:val="clear" w:color="auto" w:fill="auto"/>
            <w:noWrap/>
            <w:vAlign w:val="center"/>
          </w:tcPr>
          <w:p w14:paraId="78F71461" w14:textId="77777777" w:rsidR="00F103A8" w:rsidRPr="00C47F2F" w:rsidRDefault="00F103A8" w:rsidP="0021254F">
            <w:pPr>
              <w:pStyle w:val="Table"/>
              <w:rPr>
                <w:noProof/>
                <w:sz w:val="20"/>
                <w:szCs w:val="20"/>
              </w:rPr>
            </w:pPr>
            <w:r w:rsidRPr="00C47F2F">
              <w:rPr>
                <w:noProof/>
                <w:sz w:val="20"/>
                <w:szCs w:val="20"/>
              </w:rPr>
              <w:t>8.21E-05</w:t>
            </w:r>
          </w:p>
        </w:tc>
      </w:tr>
      <w:tr w:rsidR="00F103A8" w:rsidRPr="00972C81" w14:paraId="42DBDA6D" w14:textId="77777777" w:rsidTr="0021254F">
        <w:trPr>
          <w:trHeight w:val="300"/>
        </w:trPr>
        <w:tc>
          <w:tcPr>
            <w:tcW w:w="1662" w:type="pct"/>
            <w:shd w:val="clear" w:color="auto" w:fill="auto"/>
            <w:noWrap/>
            <w:vAlign w:val="center"/>
          </w:tcPr>
          <w:p w14:paraId="570C9E44" w14:textId="55A1975F" w:rsidR="00F103A8" w:rsidRPr="00F103A8" w:rsidRDefault="00F103A8" w:rsidP="0021254F">
            <w:pPr>
              <w:pStyle w:val="Table"/>
              <w:rPr>
                <w:noProof/>
                <w:sz w:val="20"/>
                <w:szCs w:val="22"/>
              </w:rPr>
            </w:pPr>
            <w:r w:rsidRPr="00F103A8">
              <w:rPr>
                <w:noProof/>
                <w:sz w:val="20"/>
                <w:szCs w:val="22"/>
              </w:rPr>
              <w:t>Trab bone surf to Trab marrow</w:t>
            </w:r>
          </w:p>
        </w:tc>
        <w:tc>
          <w:tcPr>
            <w:tcW w:w="556" w:type="pct"/>
            <w:shd w:val="clear" w:color="auto" w:fill="auto"/>
            <w:noWrap/>
            <w:vAlign w:val="center"/>
          </w:tcPr>
          <w:p w14:paraId="1A20824E" w14:textId="77777777" w:rsidR="00F103A8" w:rsidRPr="00C47F2F" w:rsidRDefault="00F103A8" w:rsidP="0021254F">
            <w:pPr>
              <w:pStyle w:val="Table"/>
              <w:rPr>
                <w:noProof/>
                <w:sz w:val="20"/>
                <w:szCs w:val="20"/>
              </w:rPr>
            </w:pPr>
            <w:r w:rsidRPr="00C47F2F">
              <w:rPr>
                <w:noProof/>
                <w:sz w:val="20"/>
                <w:szCs w:val="20"/>
              </w:rPr>
              <w:t>8.22E-03</w:t>
            </w:r>
          </w:p>
        </w:tc>
        <w:tc>
          <w:tcPr>
            <w:tcW w:w="557" w:type="pct"/>
            <w:shd w:val="clear" w:color="auto" w:fill="auto"/>
            <w:noWrap/>
            <w:vAlign w:val="center"/>
          </w:tcPr>
          <w:p w14:paraId="6C339784" w14:textId="77777777" w:rsidR="00F103A8" w:rsidRPr="00C47F2F" w:rsidRDefault="00F103A8" w:rsidP="0021254F">
            <w:pPr>
              <w:pStyle w:val="Table"/>
              <w:rPr>
                <w:noProof/>
                <w:sz w:val="20"/>
                <w:szCs w:val="20"/>
              </w:rPr>
            </w:pPr>
            <w:r w:rsidRPr="00C47F2F">
              <w:rPr>
                <w:noProof/>
                <w:sz w:val="20"/>
                <w:szCs w:val="20"/>
              </w:rPr>
              <w:t>2.88E-03</w:t>
            </w:r>
          </w:p>
        </w:tc>
        <w:tc>
          <w:tcPr>
            <w:tcW w:w="556" w:type="pct"/>
            <w:shd w:val="clear" w:color="auto" w:fill="auto"/>
            <w:noWrap/>
            <w:vAlign w:val="center"/>
          </w:tcPr>
          <w:p w14:paraId="1248911A" w14:textId="77777777" w:rsidR="00F103A8" w:rsidRPr="00C47F2F" w:rsidRDefault="00F103A8" w:rsidP="0021254F">
            <w:pPr>
              <w:pStyle w:val="Table"/>
              <w:rPr>
                <w:noProof/>
                <w:sz w:val="20"/>
                <w:szCs w:val="20"/>
              </w:rPr>
            </w:pPr>
            <w:r w:rsidRPr="00C47F2F">
              <w:rPr>
                <w:noProof/>
                <w:sz w:val="20"/>
                <w:szCs w:val="20"/>
              </w:rPr>
              <w:t>1.81E-03</w:t>
            </w:r>
          </w:p>
        </w:tc>
        <w:tc>
          <w:tcPr>
            <w:tcW w:w="557" w:type="pct"/>
            <w:shd w:val="clear" w:color="auto" w:fill="auto"/>
            <w:noWrap/>
            <w:vAlign w:val="center"/>
          </w:tcPr>
          <w:p w14:paraId="04F34660" w14:textId="77777777" w:rsidR="00F103A8" w:rsidRPr="00C47F2F" w:rsidRDefault="00F103A8" w:rsidP="0021254F">
            <w:pPr>
              <w:pStyle w:val="Table"/>
              <w:rPr>
                <w:noProof/>
                <w:sz w:val="20"/>
                <w:szCs w:val="20"/>
              </w:rPr>
            </w:pPr>
            <w:r w:rsidRPr="00C47F2F">
              <w:rPr>
                <w:noProof/>
                <w:sz w:val="20"/>
                <w:szCs w:val="20"/>
              </w:rPr>
              <w:t>1.32E-03</w:t>
            </w:r>
          </w:p>
        </w:tc>
        <w:tc>
          <w:tcPr>
            <w:tcW w:w="556" w:type="pct"/>
            <w:shd w:val="clear" w:color="auto" w:fill="auto"/>
            <w:noWrap/>
            <w:vAlign w:val="center"/>
          </w:tcPr>
          <w:p w14:paraId="03DF7FA2" w14:textId="77777777" w:rsidR="00F103A8" w:rsidRPr="00C47F2F" w:rsidRDefault="00F103A8" w:rsidP="0021254F">
            <w:pPr>
              <w:pStyle w:val="Table"/>
              <w:rPr>
                <w:noProof/>
                <w:sz w:val="20"/>
                <w:szCs w:val="20"/>
              </w:rPr>
            </w:pPr>
            <w:r w:rsidRPr="00C47F2F">
              <w:rPr>
                <w:noProof/>
                <w:sz w:val="20"/>
                <w:szCs w:val="20"/>
              </w:rPr>
              <w:t>9.59E-04</w:t>
            </w:r>
          </w:p>
        </w:tc>
        <w:tc>
          <w:tcPr>
            <w:tcW w:w="557" w:type="pct"/>
            <w:shd w:val="clear" w:color="auto" w:fill="auto"/>
            <w:noWrap/>
            <w:vAlign w:val="center"/>
          </w:tcPr>
          <w:p w14:paraId="30302A84" w14:textId="77777777" w:rsidR="00F103A8" w:rsidRPr="00C47F2F" w:rsidRDefault="00F103A8" w:rsidP="0021254F">
            <w:pPr>
              <w:pStyle w:val="Table"/>
              <w:rPr>
                <w:noProof/>
                <w:sz w:val="20"/>
                <w:szCs w:val="20"/>
              </w:rPr>
            </w:pPr>
            <w:r w:rsidRPr="00C47F2F">
              <w:rPr>
                <w:noProof/>
                <w:sz w:val="20"/>
                <w:szCs w:val="20"/>
              </w:rPr>
              <w:t>4.93E-04</w:t>
            </w:r>
          </w:p>
        </w:tc>
      </w:tr>
      <w:tr w:rsidR="00F103A8" w:rsidRPr="00972C81" w14:paraId="63BF1A5D" w14:textId="77777777" w:rsidTr="0021254F">
        <w:trPr>
          <w:trHeight w:val="300"/>
        </w:trPr>
        <w:tc>
          <w:tcPr>
            <w:tcW w:w="1662" w:type="pct"/>
            <w:shd w:val="clear" w:color="auto" w:fill="auto"/>
            <w:noWrap/>
            <w:vAlign w:val="center"/>
          </w:tcPr>
          <w:p w14:paraId="07576496" w14:textId="2E1952A2" w:rsidR="00F103A8" w:rsidRPr="00F103A8" w:rsidRDefault="00F103A8" w:rsidP="0021254F">
            <w:pPr>
              <w:pStyle w:val="Table"/>
              <w:rPr>
                <w:noProof/>
                <w:sz w:val="20"/>
                <w:szCs w:val="22"/>
              </w:rPr>
            </w:pPr>
            <w:r w:rsidRPr="00F103A8">
              <w:rPr>
                <w:noProof/>
                <w:sz w:val="20"/>
                <w:szCs w:val="22"/>
              </w:rPr>
              <w:t>Trab bone surf to Trab bone vol</w:t>
            </w:r>
          </w:p>
        </w:tc>
        <w:tc>
          <w:tcPr>
            <w:tcW w:w="556" w:type="pct"/>
            <w:shd w:val="clear" w:color="auto" w:fill="auto"/>
            <w:noWrap/>
            <w:vAlign w:val="center"/>
          </w:tcPr>
          <w:p w14:paraId="3EBA91EE" w14:textId="77777777" w:rsidR="00F103A8" w:rsidRPr="00C47F2F" w:rsidRDefault="00F103A8" w:rsidP="0021254F">
            <w:pPr>
              <w:pStyle w:val="Table"/>
              <w:rPr>
                <w:noProof/>
                <w:sz w:val="20"/>
                <w:szCs w:val="20"/>
              </w:rPr>
            </w:pPr>
            <w:r w:rsidRPr="00C47F2F">
              <w:rPr>
                <w:noProof/>
                <w:sz w:val="20"/>
                <w:szCs w:val="20"/>
              </w:rPr>
              <w:t>8.22E-03</w:t>
            </w:r>
          </w:p>
        </w:tc>
        <w:tc>
          <w:tcPr>
            <w:tcW w:w="557" w:type="pct"/>
            <w:shd w:val="clear" w:color="auto" w:fill="auto"/>
            <w:noWrap/>
            <w:vAlign w:val="center"/>
          </w:tcPr>
          <w:p w14:paraId="167D1D39" w14:textId="77777777" w:rsidR="00F103A8" w:rsidRPr="00C47F2F" w:rsidRDefault="00F103A8" w:rsidP="0021254F">
            <w:pPr>
              <w:pStyle w:val="Table"/>
              <w:rPr>
                <w:noProof/>
                <w:sz w:val="20"/>
                <w:szCs w:val="20"/>
              </w:rPr>
            </w:pPr>
            <w:r w:rsidRPr="00C47F2F">
              <w:rPr>
                <w:noProof/>
                <w:sz w:val="20"/>
                <w:szCs w:val="20"/>
              </w:rPr>
              <w:t>2.88E-03</w:t>
            </w:r>
          </w:p>
        </w:tc>
        <w:tc>
          <w:tcPr>
            <w:tcW w:w="556" w:type="pct"/>
            <w:shd w:val="clear" w:color="auto" w:fill="auto"/>
            <w:noWrap/>
            <w:vAlign w:val="center"/>
          </w:tcPr>
          <w:p w14:paraId="58D6CB4D" w14:textId="77777777" w:rsidR="00F103A8" w:rsidRPr="00C47F2F" w:rsidRDefault="00F103A8" w:rsidP="0021254F">
            <w:pPr>
              <w:pStyle w:val="Table"/>
              <w:rPr>
                <w:noProof/>
                <w:sz w:val="20"/>
                <w:szCs w:val="20"/>
              </w:rPr>
            </w:pPr>
            <w:r w:rsidRPr="00C47F2F">
              <w:rPr>
                <w:noProof/>
                <w:sz w:val="20"/>
                <w:szCs w:val="20"/>
              </w:rPr>
              <w:t>1.81E-03</w:t>
            </w:r>
          </w:p>
        </w:tc>
        <w:tc>
          <w:tcPr>
            <w:tcW w:w="557" w:type="pct"/>
            <w:shd w:val="clear" w:color="auto" w:fill="auto"/>
            <w:noWrap/>
            <w:vAlign w:val="center"/>
          </w:tcPr>
          <w:p w14:paraId="434240A2" w14:textId="77777777" w:rsidR="00F103A8" w:rsidRPr="00C47F2F" w:rsidRDefault="00F103A8" w:rsidP="0021254F">
            <w:pPr>
              <w:pStyle w:val="Table"/>
              <w:rPr>
                <w:noProof/>
                <w:sz w:val="20"/>
                <w:szCs w:val="20"/>
              </w:rPr>
            </w:pPr>
            <w:r w:rsidRPr="00C47F2F">
              <w:rPr>
                <w:noProof/>
                <w:sz w:val="20"/>
                <w:szCs w:val="20"/>
              </w:rPr>
              <w:t>1.32E-03</w:t>
            </w:r>
          </w:p>
        </w:tc>
        <w:tc>
          <w:tcPr>
            <w:tcW w:w="556" w:type="pct"/>
            <w:shd w:val="clear" w:color="auto" w:fill="auto"/>
            <w:noWrap/>
            <w:vAlign w:val="center"/>
          </w:tcPr>
          <w:p w14:paraId="5FB663C3" w14:textId="77777777" w:rsidR="00F103A8" w:rsidRPr="00C47F2F" w:rsidRDefault="00F103A8" w:rsidP="0021254F">
            <w:pPr>
              <w:pStyle w:val="Table"/>
              <w:rPr>
                <w:noProof/>
                <w:sz w:val="20"/>
                <w:szCs w:val="20"/>
              </w:rPr>
            </w:pPr>
            <w:r w:rsidRPr="00C47F2F">
              <w:rPr>
                <w:noProof/>
                <w:sz w:val="20"/>
                <w:szCs w:val="20"/>
              </w:rPr>
              <w:t>9.59E-04</w:t>
            </w:r>
          </w:p>
        </w:tc>
        <w:tc>
          <w:tcPr>
            <w:tcW w:w="557" w:type="pct"/>
            <w:shd w:val="clear" w:color="auto" w:fill="auto"/>
            <w:noWrap/>
            <w:vAlign w:val="center"/>
          </w:tcPr>
          <w:p w14:paraId="731E12AB" w14:textId="77777777" w:rsidR="00F103A8" w:rsidRPr="00C47F2F" w:rsidRDefault="00F103A8" w:rsidP="0021254F">
            <w:pPr>
              <w:pStyle w:val="Table"/>
              <w:rPr>
                <w:noProof/>
                <w:sz w:val="20"/>
                <w:szCs w:val="20"/>
              </w:rPr>
            </w:pPr>
            <w:r w:rsidRPr="00C47F2F">
              <w:rPr>
                <w:noProof/>
                <w:sz w:val="20"/>
                <w:szCs w:val="20"/>
              </w:rPr>
              <w:t>1.23E-04</w:t>
            </w:r>
          </w:p>
        </w:tc>
      </w:tr>
      <w:tr w:rsidR="00F103A8" w:rsidRPr="00972C81" w14:paraId="738A37C2" w14:textId="77777777" w:rsidTr="0021254F">
        <w:trPr>
          <w:trHeight w:val="300"/>
        </w:trPr>
        <w:tc>
          <w:tcPr>
            <w:tcW w:w="1662" w:type="pct"/>
            <w:shd w:val="clear" w:color="auto" w:fill="auto"/>
            <w:noWrap/>
            <w:vAlign w:val="center"/>
          </w:tcPr>
          <w:p w14:paraId="35633F5F" w14:textId="06ECF23C" w:rsidR="00F103A8" w:rsidRPr="00F103A8" w:rsidRDefault="00F103A8" w:rsidP="0021254F">
            <w:pPr>
              <w:pStyle w:val="Table"/>
              <w:rPr>
                <w:noProof/>
                <w:sz w:val="20"/>
                <w:szCs w:val="22"/>
              </w:rPr>
            </w:pPr>
            <w:r w:rsidRPr="00F103A8">
              <w:rPr>
                <w:noProof/>
                <w:sz w:val="20"/>
                <w:szCs w:val="22"/>
              </w:rPr>
              <w:t>Trab bone vol to Trab marrow</w:t>
            </w:r>
          </w:p>
        </w:tc>
        <w:tc>
          <w:tcPr>
            <w:tcW w:w="556" w:type="pct"/>
            <w:shd w:val="clear" w:color="auto" w:fill="auto"/>
            <w:noWrap/>
            <w:vAlign w:val="center"/>
          </w:tcPr>
          <w:p w14:paraId="3B82F455" w14:textId="77777777" w:rsidR="00F103A8" w:rsidRPr="00C47F2F" w:rsidRDefault="00F103A8" w:rsidP="0021254F">
            <w:pPr>
              <w:pStyle w:val="Table"/>
              <w:rPr>
                <w:noProof/>
                <w:sz w:val="20"/>
                <w:szCs w:val="20"/>
              </w:rPr>
            </w:pPr>
            <w:r w:rsidRPr="00C47F2F">
              <w:rPr>
                <w:noProof/>
                <w:sz w:val="20"/>
                <w:szCs w:val="20"/>
              </w:rPr>
              <w:t>8.22E-03</w:t>
            </w:r>
          </w:p>
        </w:tc>
        <w:tc>
          <w:tcPr>
            <w:tcW w:w="557" w:type="pct"/>
            <w:shd w:val="clear" w:color="auto" w:fill="auto"/>
            <w:noWrap/>
            <w:vAlign w:val="center"/>
          </w:tcPr>
          <w:p w14:paraId="29E42C09" w14:textId="77777777" w:rsidR="00F103A8" w:rsidRPr="00C47F2F" w:rsidRDefault="00F103A8" w:rsidP="0021254F">
            <w:pPr>
              <w:pStyle w:val="Table"/>
              <w:rPr>
                <w:noProof/>
                <w:sz w:val="20"/>
                <w:szCs w:val="20"/>
              </w:rPr>
            </w:pPr>
            <w:r w:rsidRPr="00C47F2F">
              <w:rPr>
                <w:noProof/>
                <w:sz w:val="20"/>
                <w:szCs w:val="20"/>
              </w:rPr>
              <w:t>2.88E-03</w:t>
            </w:r>
          </w:p>
        </w:tc>
        <w:tc>
          <w:tcPr>
            <w:tcW w:w="556" w:type="pct"/>
            <w:shd w:val="clear" w:color="auto" w:fill="auto"/>
            <w:noWrap/>
            <w:vAlign w:val="center"/>
          </w:tcPr>
          <w:p w14:paraId="317A0FDD" w14:textId="77777777" w:rsidR="00F103A8" w:rsidRPr="00C47F2F" w:rsidRDefault="00F103A8" w:rsidP="0021254F">
            <w:pPr>
              <w:pStyle w:val="Table"/>
              <w:rPr>
                <w:noProof/>
                <w:sz w:val="20"/>
                <w:szCs w:val="20"/>
              </w:rPr>
            </w:pPr>
            <w:r w:rsidRPr="00C47F2F">
              <w:rPr>
                <w:noProof/>
                <w:sz w:val="20"/>
                <w:szCs w:val="20"/>
              </w:rPr>
              <w:t>1.81E-03</w:t>
            </w:r>
          </w:p>
        </w:tc>
        <w:tc>
          <w:tcPr>
            <w:tcW w:w="557" w:type="pct"/>
            <w:shd w:val="clear" w:color="auto" w:fill="auto"/>
            <w:noWrap/>
            <w:vAlign w:val="center"/>
          </w:tcPr>
          <w:p w14:paraId="32BF6CC6" w14:textId="77777777" w:rsidR="00F103A8" w:rsidRPr="00C47F2F" w:rsidRDefault="00F103A8" w:rsidP="0021254F">
            <w:pPr>
              <w:pStyle w:val="Table"/>
              <w:rPr>
                <w:noProof/>
                <w:sz w:val="20"/>
                <w:szCs w:val="20"/>
              </w:rPr>
            </w:pPr>
            <w:r w:rsidRPr="00C47F2F">
              <w:rPr>
                <w:noProof/>
                <w:sz w:val="20"/>
                <w:szCs w:val="20"/>
              </w:rPr>
              <w:t>1.32E-03</w:t>
            </w:r>
          </w:p>
        </w:tc>
        <w:tc>
          <w:tcPr>
            <w:tcW w:w="556" w:type="pct"/>
            <w:shd w:val="clear" w:color="auto" w:fill="auto"/>
            <w:noWrap/>
            <w:vAlign w:val="center"/>
          </w:tcPr>
          <w:p w14:paraId="74BCB973" w14:textId="77777777" w:rsidR="00F103A8" w:rsidRPr="00C47F2F" w:rsidRDefault="00F103A8" w:rsidP="0021254F">
            <w:pPr>
              <w:pStyle w:val="Table"/>
              <w:rPr>
                <w:noProof/>
                <w:sz w:val="20"/>
                <w:szCs w:val="20"/>
              </w:rPr>
            </w:pPr>
            <w:r w:rsidRPr="00C47F2F">
              <w:rPr>
                <w:noProof/>
                <w:sz w:val="20"/>
                <w:szCs w:val="20"/>
              </w:rPr>
              <w:t>9.59E-04</w:t>
            </w:r>
          </w:p>
        </w:tc>
        <w:tc>
          <w:tcPr>
            <w:tcW w:w="557" w:type="pct"/>
            <w:shd w:val="clear" w:color="auto" w:fill="auto"/>
            <w:noWrap/>
            <w:vAlign w:val="center"/>
          </w:tcPr>
          <w:p w14:paraId="07236299" w14:textId="77777777" w:rsidR="00F103A8" w:rsidRPr="00C47F2F" w:rsidRDefault="00F103A8" w:rsidP="0021254F">
            <w:pPr>
              <w:pStyle w:val="Table"/>
              <w:rPr>
                <w:noProof/>
                <w:sz w:val="20"/>
                <w:szCs w:val="20"/>
              </w:rPr>
            </w:pPr>
            <w:r w:rsidRPr="00C47F2F">
              <w:rPr>
                <w:noProof/>
                <w:sz w:val="20"/>
                <w:szCs w:val="20"/>
              </w:rPr>
              <w:t>4.93E-04</w:t>
            </w:r>
          </w:p>
        </w:tc>
      </w:tr>
      <w:tr w:rsidR="00F103A8" w:rsidRPr="00972C81" w14:paraId="57924000" w14:textId="77777777" w:rsidTr="0021254F">
        <w:trPr>
          <w:trHeight w:val="300"/>
        </w:trPr>
        <w:tc>
          <w:tcPr>
            <w:tcW w:w="1662" w:type="pct"/>
            <w:shd w:val="clear" w:color="auto" w:fill="auto"/>
            <w:noWrap/>
            <w:vAlign w:val="center"/>
          </w:tcPr>
          <w:p w14:paraId="188A05D0" w14:textId="1551D0DB" w:rsidR="00F103A8" w:rsidRPr="00F103A8" w:rsidRDefault="00F103A8" w:rsidP="0021254F">
            <w:pPr>
              <w:pStyle w:val="Table"/>
              <w:rPr>
                <w:noProof/>
                <w:sz w:val="20"/>
                <w:szCs w:val="22"/>
              </w:rPr>
            </w:pPr>
            <w:r w:rsidRPr="00F103A8">
              <w:rPr>
                <w:noProof/>
                <w:sz w:val="20"/>
                <w:szCs w:val="22"/>
              </w:rPr>
              <w:t>Cort marrow to Blood  2</w:t>
            </w:r>
          </w:p>
        </w:tc>
        <w:tc>
          <w:tcPr>
            <w:tcW w:w="556" w:type="pct"/>
            <w:shd w:val="clear" w:color="auto" w:fill="auto"/>
            <w:noWrap/>
            <w:vAlign w:val="center"/>
          </w:tcPr>
          <w:p w14:paraId="020DCB77" w14:textId="77777777" w:rsidR="00F103A8" w:rsidRPr="00C47F2F" w:rsidRDefault="00F103A8" w:rsidP="0021254F">
            <w:pPr>
              <w:pStyle w:val="Table"/>
              <w:rPr>
                <w:noProof/>
                <w:sz w:val="20"/>
                <w:szCs w:val="20"/>
              </w:rPr>
            </w:pPr>
            <w:r w:rsidRPr="00C47F2F">
              <w:rPr>
                <w:noProof/>
                <w:sz w:val="20"/>
                <w:szCs w:val="20"/>
              </w:rPr>
              <w:t>7.60E-03</w:t>
            </w:r>
          </w:p>
        </w:tc>
        <w:tc>
          <w:tcPr>
            <w:tcW w:w="557" w:type="pct"/>
            <w:shd w:val="clear" w:color="auto" w:fill="auto"/>
            <w:noWrap/>
            <w:vAlign w:val="center"/>
          </w:tcPr>
          <w:p w14:paraId="664351F8" w14:textId="77777777" w:rsidR="00F103A8" w:rsidRPr="00C47F2F" w:rsidRDefault="00F103A8" w:rsidP="0021254F">
            <w:pPr>
              <w:pStyle w:val="Table"/>
              <w:rPr>
                <w:noProof/>
                <w:sz w:val="20"/>
                <w:szCs w:val="20"/>
              </w:rPr>
            </w:pPr>
            <w:r w:rsidRPr="00C47F2F">
              <w:rPr>
                <w:noProof/>
                <w:sz w:val="20"/>
                <w:szCs w:val="20"/>
              </w:rPr>
              <w:t>7.60E-03</w:t>
            </w:r>
          </w:p>
        </w:tc>
        <w:tc>
          <w:tcPr>
            <w:tcW w:w="556" w:type="pct"/>
            <w:shd w:val="clear" w:color="auto" w:fill="auto"/>
            <w:noWrap/>
            <w:vAlign w:val="center"/>
          </w:tcPr>
          <w:p w14:paraId="3FAC8AB6" w14:textId="77777777" w:rsidR="00F103A8" w:rsidRPr="00C47F2F" w:rsidRDefault="00F103A8" w:rsidP="0021254F">
            <w:pPr>
              <w:pStyle w:val="Table"/>
              <w:rPr>
                <w:noProof/>
                <w:sz w:val="20"/>
                <w:szCs w:val="20"/>
              </w:rPr>
            </w:pPr>
            <w:r w:rsidRPr="00C47F2F">
              <w:rPr>
                <w:noProof/>
                <w:sz w:val="20"/>
                <w:szCs w:val="20"/>
              </w:rPr>
              <w:t>7.60E-03</w:t>
            </w:r>
          </w:p>
        </w:tc>
        <w:tc>
          <w:tcPr>
            <w:tcW w:w="557" w:type="pct"/>
            <w:shd w:val="clear" w:color="auto" w:fill="auto"/>
            <w:noWrap/>
            <w:vAlign w:val="center"/>
          </w:tcPr>
          <w:p w14:paraId="59523D02" w14:textId="77777777" w:rsidR="00F103A8" w:rsidRPr="00C47F2F" w:rsidRDefault="00F103A8" w:rsidP="0021254F">
            <w:pPr>
              <w:pStyle w:val="Table"/>
              <w:rPr>
                <w:noProof/>
                <w:sz w:val="20"/>
                <w:szCs w:val="20"/>
              </w:rPr>
            </w:pPr>
            <w:r w:rsidRPr="00C47F2F">
              <w:rPr>
                <w:noProof/>
                <w:sz w:val="20"/>
                <w:szCs w:val="20"/>
              </w:rPr>
              <w:t>7.60E-03</w:t>
            </w:r>
          </w:p>
        </w:tc>
        <w:tc>
          <w:tcPr>
            <w:tcW w:w="556" w:type="pct"/>
            <w:shd w:val="clear" w:color="auto" w:fill="auto"/>
            <w:noWrap/>
            <w:vAlign w:val="center"/>
          </w:tcPr>
          <w:p w14:paraId="42FB6E36" w14:textId="77777777" w:rsidR="00F103A8" w:rsidRPr="00C47F2F" w:rsidRDefault="00F103A8" w:rsidP="0021254F">
            <w:pPr>
              <w:pStyle w:val="Table"/>
              <w:rPr>
                <w:noProof/>
                <w:sz w:val="20"/>
                <w:szCs w:val="20"/>
              </w:rPr>
            </w:pPr>
            <w:r w:rsidRPr="00C47F2F">
              <w:rPr>
                <w:noProof/>
                <w:sz w:val="20"/>
                <w:szCs w:val="20"/>
              </w:rPr>
              <w:t>7.60E-03</w:t>
            </w:r>
          </w:p>
        </w:tc>
        <w:tc>
          <w:tcPr>
            <w:tcW w:w="557" w:type="pct"/>
            <w:shd w:val="clear" w:color="auto" w:fill="auto"/>
            <w:noWrap/>
            <w:vAlign w:val="center"/>
          </w:tcPr>
          <w:p w14:paraId="42BFEA74" w14:textId="77777777" w:rsidR="00F103A8" w:rsidRPr="00C47F2F" w:rsidRDefault="00F103A8" w:rsidP="0021254F">
            <w:pPr>
              <w:pStyle w:val="Table"/>
              <w:rPr>
                <w:noProof/>
                <w:sz w:val="20"/>
                <w:szCs w:val="20"/>
              </w:rPr>
            </w:pPr>
            <w:r w:rsidRPr="00C47F2F">
              <w:rPr>
                <w:noProof/>
                <w:sz w:val="20"/>
                <w:szCs w:val="20"/>
              </w:rPr>
              <w:t>7.60E-03</w:t>
            </w:r>
          </w:p>
        </w:tc>
      </w:tr>
      <w:tr w:rsidR="00F103A8" w:rsidRPr="00972C81" w14:paraId="56A52DB6" w14:textId="77777777" w:rsidTr="0021254F">
        <w:trPr>
          <w:trHeight w:val="300"/>
        </w:trPr>
        <w:tc>
          <w:tcPr>
            <w:tcW w:w="1662" w:type="pct"/>
            <w:tcBorders>
              <w:bottom w:val="single" w:sz="4" w:space="0" w:color="auto"/>
            </w:tcBorders>
            <w:shd w:val="clear" w:color="auto" w:fill="auto"/>
            <w:noWrap/>
            <w:vAlign w:val="center"/>
          </w:tcPr>
          <w:p w14:paraId="20AE345E" w14:textId="13608692" w:rsidR="00F103A8" w:rsidRPr="00F103A8" w:rsidRDefault="00F103A8" w:rsidP="0021254F">
            <w:pPr>
              <w:pStyle w:val="Table"/>
              <w:rPr>
                <w:noProof/>
                <w:sz w:val="20"/>
                <w:szCs w:val="22"/>
              </w:rPr>
            </w:pPr>
            <w:r w:rsidRPr="00F103A8">
              <w:rPr>
                <w:noProof/>
                <w:sz w:val="20"/>
                <w:szCs w:val="22"/>
              </w:rPr>
              <w:t>Trab marrow to Blood  2</w:t>
            </w:r>
          </w:p>
        </w:tc>
        <w:tc>
          <w:tcPr>
            <w:tcW w:w="556" w:type="pct"/>
            <w:tcBorders>
              <w:bottom w:val="single" w:sz="4" w:space="0" w:color="auto"/>
            </w:tcBorders>
            <w:shd w:val="clear" w:color="auto" w:fill="auto"/>
            <w:noWrap/>
            <w:vAlign w:val="center"/>
          </w:tcPr>
          <w:p w14:paraId="561BB0FF" w14:textId="77777777" w:rsidR="00F103A8" w:rsidRPr="00C47F2F" w:rsidRDefault="00F103A8" w:rsidP="0021254F">
            <w:pPr>
              <w:pStyle w:val="Table"/>
              <w:rPr>
                <w:noProof/>
                <w:sz w:val="20"/>
                <w:szCs w:val="20"/>
              </w:rPr>
            </w:pPr>
            <w:r w:rsidRPr="00C47F2F">
              <w:rPr>
                <w:noProof/>
                <w:sz w:val="20"/>
                <w:szCs w:val="20"/>
              </w:rPr>
              <w:t>7.60E-03</w:t>
            </w:r>
          </w:p>
        </w:tc>
        <w:tc>
          <w:tcPr>
            <w:tcW w:w="557" w:type="pct"/>
            <w:tcBorders>
              <w:bottom w:val="single" w:sz="4" w:space="0" w:color="auto"/>
            </w:tcBorders>
            <w:shd w:val="clear" w:color="auto" w:fill="auto"/>
            <w:noWrap/>
            <w:vAlign w:val="center"/>
          </w:tcPr>
          <w:p w14:paraId="7F61FEF9" w14:textId="77777777" w:rsidR="00F103A8" w:rsidRPr="00C47F2F" w:rsidRDefault="00F103A8" w:rsidP="0021254F">
            <w:pPr>
              <w:pStyle w:val="Table"/>
              <w:rPr>
                <w:noProof/>
                <w:sz w:val="20"/>
                <w:szCs w:val="20"/>
              </w:rPr>
            </w:pPr>
            <w:r w:rsidRPr="00C47F2F">
              <w:rPr>
                <w:noProof/>
                <w:sz w:val="20"/>
                <w:szCs w:val="20"/>
              </w:rPr>
              <w:t>7.60E-03</w:t>
            </w:r>
          </w:p>
        </w:tc>
        <w:tc>
          <w:tcPr>
            <w:tcW w:w="556" w:type="pct"/>
            <w:tcBorders>
              <w:bottom w:val="single" w:sz="4" w:space="0" w:color="auto"/>
            </w:tcBorders>
            <w:shd w:val="clear" w:color="auto" w:fill="auto"/>
            <w:noWrap/>
            <w:vAlign w:val="center"/>
          </w:tcPr>
          <w:p w14:paraId="6D7F9C94" w14:textId="77777777" w:rsidR="00F103A8" w:rsidRPr="00C47F2F" w:rsidRDefault="00F103A8" w:rsidP="0021254F">
            <w:pPr>
              <w:pStyle w:val="Table"/>
              <w:rPr>
                <w:noProof/>
                <w:sz w:val="20"/>
                <w:szCs w:val="20"/>
              </w:rPr>
            </w:pPr>
            <w:r w:rsidRPr="00C47F2F">
              <w:rPr>
                <w:noProof/>
                <w:sz w:val="20"/>
                <w:szCs w:val="20"/>
              </w:rPr>
              <w:t>7.60E-03</w:t>
            </w:r>
          </w:p>
        </w:tc>
        <w:tc>
          <w:tcPr>
            <w:tcW w:w="557" w:type="pct"/>
            <w:tcBorders>
              <w:bottom w:val="single" w:sz="4" w:space="0" w:color="auto"/>
            </w:tcBorders>
            <w:shd w:val="clear" w:color="auto" w:fill="auto"/>
            <w:noWrap/>
            <w:vAlign w:val="center"/>
          </w:tcPr>
          <w:p w14:paraId="53A6B8D9" w14:textId="77777777" w:rsidR="00F103A8" w:rsidRPr="00C47F2F" w:rsidRDefault="00F103A8" w:rsidP="0021254F">
            <w:pPr>
              <w:pStyle w:val="Table"/>
              <w:rPr>
                <w:noProof/>
                <w:sz w:val="20"/>
                <w:szCs w:val="20"/>
              </w:rPr>
            </w:pPr>
            <w:r w:rsidRPr="00C47F2F">
              <w:rPr>
                <w:noProof/>
                <w:sz w:val="20"/>
                <w:szCs w:val="20"/>
              </w:rPr>
              <w:t>7.60E-03</w:t>
            </w:r>
          </w:p>
        </w:tc>
        <w:tc>
          <w:tcPr>
            <w:tcW w:w="556" w:type="pct"/>
            <w:tcBorders>
              <w:bottom w:val="single" w:sz="4" w:space="0" w:color="auto"/>
            </w:tcBorders>
            <w:shd w:val="clear" w:color="auto" w:fill="auto"/>
            <w:noWrap/>
            <w:vAlign w:val="center"/>
          </w:tcPr>
          <w:p w14:paraId="3E0E4A01" w14:textId="77777777" w:rsidR="00F103A8" w:rsidRPr="00C47F2F" w:rsidRDefault="00F103A8" w:rsidP="0021254F">
            <w:pPr>
              <w:pStyle w:val="Table"/>
              <w:rPr>
                <w:noProof/>
                <w:sz w:val="20"/>
                <w:szCs w:val="20"/>
              </w:rPr>
            </w:pPr>
            <w:r w:rsidRPr="00C47F2F">
              <w:rPr>
                <w:noProof/>
                <w:sz w:val="20"/>
                <w:szCs w:val="20"/>
              </w:rPr>
              <w:t>7.60E-03</w:t>
            </w:r>
          </w:p>
        </w:tc>
        <w:tc>
          <w:tcPr>
            <w:tcW w:w="557" w:type="pct"/>
            <w:tcBorders>
              <w:bottom w:val="single" w:sz="4" w:space="0" w:color="auto"/>
            </w:tcBorders>
            <w:shd w:val="clear" w:color="auto" w:fill="auto"/>
            <w:noWrap/>
            <w:vAlign w:val="center"/>
          </w:tcPr>
          <w:p w14:paraId="4539D4CA" w14:textId="77777777" w:rsidR="00F103A8" w:rsidRPr="00C47F2F" w:rsidRDefault="00F103A8" w:rsidP="0021254F">
            <w:pPr>
              <w:pStyle w:val="Table"/>
              <w:rPr>
                <w:noProof/>
                <w:sz w:val="20"/>
                <w:szCs w:val="20"/>
              </w:rPr>
            </w:pPr>
            <w:r w:rsidRPr="00C47F2F">
              <w:rPr>
                <w:noProof/>
                <w:sz w:val="20"/>
                <w:szCs w:val="20"/>
              </w:rPr>
              <w:t>7.60E-03</w:t>
            </w:r>
          </w:p>
        </w:tc>
      </w:tr>
    </w:tbl>
    <w:p w14:paraId="785A121C" w14:textId="77777777" w:rsidR="00F103A8" w:rsidRPr="0021254F" w:rsidRDefault="00F103A8" w:rsidP="00F103A8">
      <w:pPr>
        <w:pStyle w:val="MainTextPreference"/>
        <w:rPr>
          <w:noProof/>
          <w:sz w:val="20"/>
          <w:lang w:val="fr-FR"/>
        </w:rPr>
      </w:pPr>
      <w:r w:rsidRPr="0021254F">
        <w:rPr>
          <w:noProof/>
          <w:sz w:val="20"/>
          <w:vertAlign w:val="superscript"/>
          <w:lang w:val="fr-FR"/>
        </w:rPr>
        <w:t>a</w:t>
      </w:r>
      <w:r w:rsidRPr="0021254F">
        <w:rPr>
          <w:noProof/>
          <w:sz w:val="20"/>
          <w:lang w:val="fr-FR"/>
        </w:rPr>
        <w:t>Cort = Cortical, Trab = Trabecular, cont=content, surf=surface, vol = volume, SI = Small intestine</w:t>
      </w:r>
    </w:p>
    <w:p w14:paraId="5D77BEBC" w14:textId="0493A113" w:rsidR="0066789F" w:rsidRPr="00972C81" w:rsidRDefault="0066789F" w:rsidP="006703A2">
      <w:pPr>
        <w:pStyle w:val="OIRTitre4"/>
      </w:pPr>
      <w:r w:rsidRPr="00972C81">
        <w:t>Treatment of radioactive progeny</w:t>
      </w:r>
    </w:p>
    <w:p w14:paraId="592E843E" w14:textId="6E7430BC" w:rsidR="0066789F" w:rsidRPr="00972C81" w:rsidRDefault="006044EE" w:rsidP="001C4A92">
      <w:pPr>
        <w:pStyle w:val="Annalstext"/>
        <w:rPr>
          <w:noProof/>
        </w:rPr>
      </w:pPr>
      <w:r w:rsidRPr="00972C81">
        <w:rPr>
          <w:rFonts w:eastAsia="Calibri"/>
          <w:noProof/>
        </w:rPr>
        <w:lastRenderedPageBreak/>
        <w:t xml:space="preserve">The treatment of radioactive progeny produced in systemic compartments after intake of a radioisotope of plutonium is described in Section 18.2.4. of </w:t>
      </w:r>
      <w:r w:rsidR="00684B79" w:rsidRPr="00972C81">
        <w:rPr>
          <w:i/>
          <w:noProof/>
        </w:rPr>
        <w:t>Publication 141</w:t>
      </w:r>
      <w:r w:rsidR="00684B79" w:rsidRPr="00972C81">
        <w:rPr>
          <w:noProof/>
        </w:rPr>
        <w:t xml:space="preserve"> </w:t>
      </w:r>
      <w:r w:rsidR="002A0476" w:rsidRPr="00972C81">
        <w:rPr>
          <w:noProof/>
        </w:rPr>
        <w:fldChar w:fldCharType="begin"/>
      </w:r>
      <w:r w:rsidR="008E2EAF" w:rsidRPr="00972C81">
        <w:rPr>
          <w:noProof/>
        </w:rPr>
        <w:instrText xml:space="preserve"> ADDIN ZOTERO_ITEM CSL_CITATION {"citationID":"a1thq9852ch","properties":{"formattedCitation":"(ICRP,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2A0476" w:rsidRPr="00972C81">
        <w:rPr>
          <w:noProof/>
        </w:rPr>
        <w:fldChar w:fldCharType="separate"/>
      </w:r>
      <w:r w:rsidR="008E2EAF" w:rsidRPr="00972C81">
        <w:rPr>
          <w:noProof/>
          <w:szCs w:val="24"/>
        </w:rPr>
        <w:t>(ICRP, 2019)</w:t>
      </w:r>
      <w:r w:rsidR="002A0476" w:rsidRPr="00972C81">
        <w:rPr>
          <w:noProof/>
        </w:rPr>
        <w:fldChar w:fldCharType="end"/>
      </w:r>
      <w:r w:rsidR="00684B79" w:rsidRPr="00972C81">
        <w:rPr>
          <w:noProof/>
        </w:rPr>
        <w:t>.</w:t>
      </w:r>
    </w:p>
    <w:p w14:paraId="22FEF839" w14:textId="77777777" w:rsidR="00AE7A83" w:rsidRPr="00972C81" w:rsidRDefault="00AE7A83" w:rsidP="00E81109">
      <w:pPr>
        <w:pStyle w:val="2"/>
        <w:rPr>
          <w:noProof/>
          <w:lang w:val="en-GB"/>
        </w:rPr>
      </w:pPr>
      <w:bookmarkStart w:id="327" w:name="_Toc162630108"/>
      <w:r w:rsidRPr="00972C81">
        <w:rPr>
          <w:noProof/>
          <w:lang w:val="en-GB"/>
        </w:rPr>
        <w:t>Dosimetric data for plutonium</w:t>
      </w:r>
      <w:bookmarkEnd w:id="327"/>
      <w:r w:rsidRPr="00972C81">
        <w:rPr>
          <w:noProof/>
          <w:lang w:val="en-GB"/>
        </w:rPr>
        <w:t xml:space="preserve"> </w:t>
      </w:r>
    </w:p>
    <w:p w14:paraId="043171C0" w14:textId="311F7CEE" w:rsidR="005C2848" w:rsidRPr="00972C81" w:rsidRDefault="005C2848" w:rsidP="005C2848">
      <w:pPr>
        <w:pStyle w:val="ab"/>
        <w:rPr>
          <w:noProof/>
          <w:sz w:val="24"/>
          <w:szCs w:val="24"/>
        </w:rPr>
      </w:pPr>
      <w:r w:rsidRPr="00972C81">
        <w:rPr>
          <w:noProof/>
          <w:sz w:val="24"/>
          <w:szCs w:val="24"/>
        </w:rPr>
        <w:t>Table 22.4.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238</w:t>
      </w:r>
      <w:r w:rsidRPr="00972C81">
        <w:rPr>
          <w:noProof/>
          <w:sz w:val="24"/>
          <w:szCs w:val="24"/>
        </w:rPr>
        <w:t>Pu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3"/>
        <w:gridCol w:w="1097"/>
        <w:gridCol w:w="876"/>
        <w:gridCol w:w="876"/>
        <w:gridCol w:w="876"/>
        <w:gridCol w:w="876"/>
        <w:gridCol w:w="883"/>
      </w:tblGrid>
      <w:tr w:rsidR="005C2848" w:rsidRPr="00A3213E" w14:paraId="4B7A7DAE" w14:textId="77777777" w:rsidTr="0021254F">
        <w:trPr>
          <w:trHeight w:val="283"/>
        </w:trPr>
        <w:tc>
          <w:tcPr>
            <w:tcW w:w="1963" w:type="pct"/>
            <w:vMerge w:val="restart"/>
            <w:tcBorders>
              <w:top w:val="single" w:sz="4" w:space="0" w:color="auto"/>
              <w:left w:val="nil"/>
              <w:bottom w:val="single" w:sz="4" w:space="0" w:color="auto"/>
              <w:right w:val="nil"/>
            </w:tcBorders>
            <w:vAlign w:val="bottom"/>
            <w:hideMark/>
          </w:tcPr>
          <w:p w14:paraId="08438A71" w14:textId="77777777" w:rsidR="0011465C" w:rsidRPr="00C47F2F" w:rsidRDefault="005C2848">
            <w:pPr>
              <w:pStyle w:val="a5"/>
              <w:tabs>
                <w:tab w:val="clear" w:pos="4153"/>
                <w:tab w:val="clear" w:pos="8306"/>
              </w:tabs>
              <w:rPr>
                <w:noProof/>
                <w:sz w:val="22"/>
                <w:szCs w:val="22"/>
              </w:rPr>
            </w:pPr>
            <w:r w:rsidRPr="00C47F2F">
              <w:rPr>
                <w:noProof/>
                <w:sz w:val="22"/>
                <w:szCs w:val="22"/>
              </w:rPr>
              <w:t>Inhaled particulate materials</w:t>
            </w:r>
          </w:p>
          <w:p w14:paraId="7802723C" w14:textId="7A43BB48" w:rsidR="005C2848" w:rsidRPr="0011465C" w:rsidRDefault="005C2848" w:rsidP="00C47F2F">
            <w:pPr>
              <w:pStyle w:val="a5"/>
              <w:tabs>
                <w:tab w:val="clear" w:pos="4153"/>
                <w:tab w:val="clear" w:pos="8306"/>
              </w:tabs>
              <w:rPr>
                <w:noProof/>
                <w:sz w:val="22"/>
                <w:szCs w:val="22"/>
              </w:rPr>
            </w:pPr>
            <w:r w:rsidRPr="00C47F2F">
              <w:rPr>
                <w:noProof/>
                <w:sz w:val="22"/>
                <w:szCs w:val="22"/>
              </w:rPr>
              <w:t>(1 µm AMAD aerosols)</w:t>
            </w:r>
          </w:p>
        </w:tc>
        <w:tc>
          <w:tcPr>
            <w:tcW w:w="3037" w:type="pct"/>
            <w:gridSpan w:val="6"/>
            <w:tcBorders>
              <w:top w:val="single" w:sz="4" w:space="0" w:color="auto"/>
              <w:left w:val="nil"/>
              <w:bottom w:val="single" w:sz="4" w:space="0" w:color="auto"/>
              <w:right w:val="nil"/>
            </w:tcBorders>
            <w:vAlign w:val="center"/>
            <w:hideMark/>
          </w:tcPr>
          <w:p w14:paraId="10E565AE" w14:textId="77777777" w:rsidR="005C2848" w:rsidRPr="00C47F2F" w:rsidRDefault="005C2848">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5C2848" w:rsidRPr="00972C81" w14:paraId="4790AA37" w14:textId="77777777" w:rsidTr="0021254F">
        <w:trPr>
          <w:trHeight w:val="283"/>
        </w:trPr>
        <w:tc>
          <w:tcPr>
            <w:tcW w:w="1963" w:type="pct"/>
            <w:vMerge/>
            <w:tcBorders>
              <w:top w:val="single" w:sz="4" w:space="0" w:color="auto"/>
              <w:left w:val="nil"/>
              <w:bottom w:val="single" w:sz="4" w:space="0" w:color="auto"/>
              <w:right w:val="nil"/>
            </w:tcBorders>
            <w:vAlign w:val="center"/>
            <w:hideMark/>
          </w:tcPr>
          <w:p w14:paraId="35346244" w14:textId="77777777" w:rsidR="005C2848" w:rsidRPr="0011465C" w:rsidRDefault="005C2848">
            <w:pPr>
              <w:rPr>
                <w:noProof/>
                <w:sz w:val="22"/>
                <w:szCs w:val="22"/>
                <w:lang w:val="fr-FR"/>
              </w:rPr>
            </w:pPr>
          </w:p>
        </w:tc>
        <w:tc>
          <w:tcPr>
            <w:tcW w:w="608" w:type="pct"/>
            <w:tcBorders>
              <w:top w:val="single" w:sz="4" w:space="0" w:color="auto"/>
              <w:left w:val="nil"/>
              <w:bottom w:val="single" w:sz="4" w:space="0" w:color="auto"/>
              <w:right w:val="nil"/>
            </w:tcBorders>
            <w:vAlign w:val="center"/>
            <w:hideMark/>
          </w:tcPr>
          <w:p w14:paraId="35AA8D51" w14:textId="622319BF" w:rsidR="005C2848" w:rsidRPr="00C47F2F" w:rsidRDefault="005C2848" w:rsidP="0021254F">
            <w:pPr>
              <w:jc w:val="left"/>
              <w:rPr>
                <w:noProof/>
                <w:sz w:val="22"/>
                <w:szCs w:val="22"/>
                <w:lang w:eastAsia="ko-KR"/>
              </w:rPr>
            </w:pPr>
            <w:r w:rsidRPr="00C47F2F">
              <w:rPr>
                <w:noProof/>
                <w:sz w:val="22"/>
                <w:szCs w:val="22"/>
              </w:rPr>
              <w:t>3</w:t>
            </w:r>
            <w:r w:rsidR="0011465C">
              <w:rPr>
                <w:rFonts w:hint="eastAsia"/>
                <w:noProof/>
                <w:sz w:val="22"/>
                <w:szCs w:val="22"/>
                <w:lang w:eastAsia="ko-KR"/>
              </w:rPr>
              <w:t xml:space="preserve"> </w:t>
            </w:r>
            <w:r w:rsidRPr="00C47F2F">
              <w:rPr>
                <w:noProof/>
                <w:sz w:val="22"/>
                <w:szCs w:val="22"/>
              </w:rPr>
              <w:t>m</w:t>
            </w:r>
            <w:r w:rsidR="0021254F">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6AFC2242" w14:textId="473D76D3" w:rsidR="005C2848" w:rsidRPr="00C47F2F" w:rsidRDefault="005C2848" w:rsidP="0021254F">
            <w:pPr>
              <w:jc w:val="left"/>
              <w:rPr>
                <w:noProof/>
                <w:sz w:val="22"/>
                <w:szCs w:val="22"/>
              </w:rPr>
            </w:pPr>
            <w:r w:rsidRPr="00C47F2F">
              <w:rPr>
                <w:noProof/>
                <w:sz w:val="22"/>
                <w:szCs w:val="22"/>
              </w:rPr>
              <w:t>1</w:t>
            </w:r>
            <w:r w:rsidR="0011465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65BB22E7" w14:textId="1B3970D1" w:rsidR="005C2848" w:rsidRPr="00C47F2F" w:rsidRDefault="005C2848" w:rsidP="0021254F">
            <w:pPr>
              <w:jc w:val="left"/>
              <w:rPr>
                <w:noProof/>
                <w:sz w:val="22"/>
                <w:szCs w:val="22"/>
              </w:rPr>
            </w:pPr>
            <w:r w:rsidRPr="00C47F2F">
              <w:rPr>
                <w:noProof/>
                <w:sz w:val="22"/>
                <w:szCs w:val="22"/>
              </w:rPr>
              <w:t>5</w:t>
            </w:r>
            <w:r w:rsidR="0011465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5736EB88" w14:textId="6EA6198F" w:rsidR="005C2848" w:rsidRPr="00C47F2F" w:rsidRDefault="005C2848" w:rsidP="0021254F">
            <w:pPr>
              <w:jc w:val="left"/>
              <w:rPr>
                <w:noProof/>
                <w:sz w:val="22"/>
                <w:szCs w:val="22"/>
              </w:rPr>
            </w:pPr>
            <w:r w:rsidRPr="00C47F2F">
              <w:rPr>
                <w:noProof/>
                <w:sz w:val="22"/>
                <w:szCs w:val="22"/>
              </w:rPr>
              <w:t>10</w:t>
            </w:r>
            <w:r w:rsidR="0011465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70F6A4A8" w14:textId="7EE02CE4" w:rsidR="005C2848" w:rsidRPr="00C47F2F" w:rsidRDefault="005C2848" w:rsidP="0021254F">
            <w:pPr>
              <w:jc w:val="left"/>
              <w:rPr>
                <w:noProof/>
                <w:sz w:val="22"/>
                <w:szCs w:val="22"/>
              </w:rPr>
            </w:pPr>
            <w:r w:rsidRPr="00C47F2F">
              <w:rPr>
                <w:noProof/>
                <w:sz w:val="22"/>
                <w:szCs w:val="22"/>
              </w:rPr>
              <w:t>15</w:t>
            </w:r>
            <w:r w:rsidR="0011465C">
              <w:rPr>
                <w:rFonts w:hint="eastAsia"/>
                <w:noProof/>
                <w:sz w:val="22"/>
                <w:szCs w:val="22"/>
                <w:lang w:eastAsia="ko-KR"/>
              </w:rPr>
              <w:t xml:space="preserve"> </w:t>
            </w:r>
            <w:r w:rsidRPr="00C47F2F">
              <w:rPr>
                <w:noProof/>
                <w:sz w:val="22"/>
                <w:szCs w:val="22"/>
              </w:rPr>
              <w:t>y</w:t>
            </w:r>
          </w:p>
        </w:tc>
        <w:tc>
          <w:tcPr>
            <w:tcW w:w="488" w:type="pct"/>
            <w:tcBorders>
              <w:top w:val="single" w:sz="4" w:space="0" w:color="auto"/>
              <w:left w:val="nil"/>
              <w:bottom w:val="single" w:sz="4" w:space="0" w:color="auto"/>
              <w:right w:val="nil"/>
            </w:tcBorders>
            <w:vAlign w:val="center"/>
            <w:hideMark/>
          </w:tcPr>
          <w:p w14:paraId="4117C295" w14:textId="77777777" w:rsidR="005C2848" w:rsidRPr="00C47F2F" w:rsidRDefault="005C2848" w:rsidP="0021254F">
            <w:pPr>
              <w:jc w:val="left"/>
              <w:rPr>
                <w:noProof/>
                <w:sz w:val="22"/>
                <w:szCs w:val="22"/>
              </w:rPr>
            </w:pPr>
            <w:r w:rsidRPr="00C47F2F">
              <w:rPr>
                <w:noProof/>
                <w:sz w:val="22"/>
                <w:szCs w:val="22"/>
              </w:rPr>
              <w:t>Adult</w:t>
            </w:r>
          </w:p>
        </w:tc>
      </w:tr>
      <w:tr w:rsidR="005C2848" w:rsidRPr="00972C81" w14:paraId="45DB7533" w14:textId="77777777" w:rsidTr="0021254F">
        <w:trPr>
          <w:trHeight w:val="340"/>
        </w:trPr>
        <w:tc>
          <w:tcPr>
            <w:tcW w:w="1963" w:type="pct"/>
            <w:tcBorders>
              <w:top w:val="single" w:sz="4" w:space="0" w:color="auto"/>
              <w:left w:val="nil"/>
              <w:bottom w:val="nil"/>
              <w:right w:val="nil"/>
            </w:tcBorders>
            <w:hideMark/>
          </w:tcPr>
          <w:p w14:paraId="13DEE2E4" w14:textId="77777777" w:rsidR="005C2848" w:rsidRPr="0021254F" w:rsidRDefault="005C2848" w:rsidP="0021254F">
            <w:pPr>
              <w:jc w:val="left"/>
              <w:rPr>
                <w:rFonts w:eastAsia="Times New Roman"/>
                <w:noProof/>
                <w:color w:val="000000"/>
                <w:sz w:val="22"/>
                <w:szCs w:val="22"/>
                <w:lang w:eastAsia="en-GB"/>
              </w:rPr>
            </w:pPr>
            <w:r w:rsidRPr="0021254F">
              <w:rPr>
                <w:rFonts w:eastAsia="Times New Roman"/>
                <w:noProof/>
                <w:color w:val="000000"/>
                <w:sz w:val="22"/>
                <w:szCs w:val="22"/>
                <w:lang w:eastAsia="en-GB"/>
              </w:rPr>
              <w:t>Plutonium nitrate, Pu(NO</w:t>
            </w:r>
            <w:r w:rsidRPr="0021254F">
              <w:rPr>
                <w:rFonts w:eastAsia="Times New Roman"/>
                <w:noProof/>
                <w:color w:val="000000"/>
                <w:sz w:val="22"/>
                <w:szCs w:val="22"/>
                <w:vertAlign w:val="subscript"/>
                <w:lang w:eastAsia="en-GB"/>
              </w:rPr>
              <w:t>3</w:t>
            </w:r>
            <w:r w:rsidRPr="0021254F">
              <w:rPr>
                <w:rFonts w:eastAsia="Times New Roman"/>
                <w:noProof/>
                <w:color w:val="000000"/>
                <w:sz w:val="22"/>
                <w:szCs w:val="22"/>
                <w:lang w:eastAsia="en-GB"/>
              </w:rPr>
              <w:t>)</w:t>
            </w:r>
            <w:r w:rsidRPr="0021254F">
              <w:rPr>
                <w:rFonts w:eastAsia="Times New Roman"/>
                <w:noProof/>
                <w:color w:val="000000"/>
                <w:sz w:val="22"/>
                <w:szCs w:val="22"/>
                <w:vertAlign w:val="subscript"/>
                <w:lang w:eastAsia="en-GB"/>
              </w:rPr>
              <w:t>4</w:t>
            </w:r>
          </w:p>
        </w:tc>
        <w:tc>
          <w:tcPr>
            <w:tcW w:w="608" w:type="pct"/>
            <w:tcBorders>
              <w:top w:val="single" w:sz="4" w:space="0" w:color="auto"/>
              <w:left w:val="nil"/>
              <w:bottom w:val="nil"/>
              <w:right w:val="nil"/>
            </w:tcBorders>
            <w:hideMark/>
          </w:tcPr>
          <w:p w14:paraId="68B2EF4F"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5.1E-05</w:t>
            </w:r>
          </w:p>
        </w:tc>
        <w:tc>
          <w:tcPr>
            <w:tcW w:w="485" w:type="pct"/>
            <w:tcBorders>
              <w:top w:val="single" w:sz="4" w:space="0" w:color="auto"/>
              <w:left w:val="nil"/>
              <w:bottom w:val="nil"/>
              <w:right w:val="nil"/>
            </w:tcBorders>
            <w:hideMark/>
          </w:tcPr>
          <w:p w14:paraId="3393A987"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4.8E-05</w:t>
            </w:r>
          </w:p>
        </w:tc>
        <w:tc>
          <w:tcPr>
            <w:tcW w:w="485" w:type="pct"/>
            <w:tcBorders>
              <w:top w:val="single" w:sz="4" w:space="0" w:color="auto"/>
              <w:left w:val="nil"/>
              <w:bottom w:val="nil"/>
              <w:right w:val="nil"/>
            </w:tcBorders>
            <w:hideMark/>
          </w:tcPr>
          <w:p w14:paraId="42DB753D"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3.2E-05</w:t>
            </w:r>
          </w:p>
        </w:tc>
        <w:tc>
          <w:tcPr>
            <w:tcW w:w="485" w:type="pct"/>
            <w:tcBorders>
              <w:top w:val="single" w:sz="4" w:space="0" w:color="auto"/>
              <w:left w:val="nil"/>
              <w:bottom w:val="nil"/>
              <w:right w:val="nil"/>
            </w:tcBorders>
            <w:hideMark/>
          </w:tcPr>
          <w:p w14:paraId="782D6CCA"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2.3E-05</w:t>
            </w:r>
          </w:p>
        </w:tc>
        <w:tc>
          <w:tcPr>
            <w:tcW w:w="485" w:type="pct"/>
            <w:tcBorders>
              <w:top w:val="single" w:sz="4" w:space="0" w:color="auto"/>
              <w:left w:val="nil"/>
              <w:bottom w:val="nil"/>
              <w:right w:val="nil"/>
            </w:tcBorders>
            <w:hideMark/>
          </w:tcPr>
          <w:p w14:paraId="01B3741A"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2.2E-05</w:t>
            </w:r>
          </w:p>
        </w:tc>
        <w:tc>
          <w:tcPr>
            <w:tcW w:w="488" w:type="pct"/>
            <w:tcBorders>
              <w:top w:val="single" w:sz="4" w:space="0" w:color="auto"/>
              <w:left w:val="nil"/>
              <w:bottom w:val="nil"/>
              <w:right w:val="nil"/>
            </w:tcBorders>
            <w:hideMark/>
          </w:tcPr>
          <w:p w14:paraId="5C79C084"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2.3E-05</w:t>
            </w:r>
          </w:p>
        </w:tc>
      </w:tr>
      <w:tr w:rsidR="005C2848" w:rsidRPr="00972C81" w14:paraId="35E26A20" w14:textId="77777777" w:rsidTr="0021254F">
        <w:trPr>
          <w:trHeight w:val="340"/>
        </w:trPr>
        <w:tc>
          <w:tcPr>
            <w:tcW w:w="1963" w:type="pct"/>
            <w:tcBorders>
              <w:top w:val="nil"/>
              <w:left w:val="nil"/>
              <w:bottom w:val="nil"/>
              <w:right w:val="nil"/>
            </w:tcBorders>
            <w:hideMark/>
          </w:tcPr>
          <w:p w14:paraId="0F2C0FEE" w14:textId="77777777" w:rsidR="005C2848" w:rsidRPr="0021254F" w:rsidRDefault="005C2848" w:rsidP="0021254F">
            <w:pPr>
              <w:jc w:val="left"/>
              <w:rPr>
                <w:rFonts w:eastAsia="Times New Roman"/>
                <w:noProof/>
                <w:color w:val="000000"/>
                <w:sz w:val="22"/>
                <w:szCs w:val="22"/>
                <w:lang w:eastAsia="en-GB"/>
              </w:rPr>
            </w:pPr>
            <w:r w:rsidRPr="0021254F">
              <w:rPr>
                <w:rFonts w:eastAsia="Times New Roman"/>
                <w:noProof/>
                <w:color w:val="000000"/>
                <w:sz w:val="22"/>
                <w:szCs w:val="22"/>
                <w:lang w:eastAsia="en-GB"/>
              </w:rPr>
              <w:t xml:space="preserve">Plutonium-239 dioxide, </w:t>
            </w:r>
            <w:r w:rsidRPr="0021254F">
              <w:rPr>
                <w:rFonts w:eastAsia="Times New Roman"/>
                <w:noProof/>
                <w:color w:val="000000"/>
                <w:sz w:val="22"/>
                <w:szCs w:val="22"/>
                <w:vertAlign w:val="superscript"/>
                <w:lang w:eastAsia="en-GB"/>
              </w:rPr>
              <w:t>239</w:t>
            </w:r>
            <w:r w:rsidRPr="0021254F">
              <w:rPr>
                <w:rFonts w:eastAsia="Times New Roman"/>
                <w:noProof/>
                <w:color w:val="000000"/>
                <w:sz w:val="22"/>
                <w:szCs w:val="22"/>
                <w:lang w:eastAsia="en-GB"/>
              </w:rPr>
              <w:t>PuO</w:t>
            </w:r>
            <w:r w:rsidRPr="0021254F">
              <w:rPr>
                <w:rFonts w:eastAsia="Times New Roman"/>
                <w:noProof/>
                <w:color w:val="000000"/>
                <w:sz w:val="22"/>
                <w:szCs w:val="22"/>
                <w:vertAlign w:val="subscript"/>
                <w:lang w:eastAsia="en-GB"/>
              </w:rPr>
              <w:t>2</w:t>
            </w:r>
            <w:r w:rsidRPr="0021254F">
              <w:rPr>
                <w:rFonts w:eastAsia="Times New Roman"/>
                <w:noProof/>
                <w:color w:val="000000"/>
                <w:sz w:val="22"/>
                <w:szCs w:val="22"/>
                <w:lang w:eastAsia="en-GB"/>
              </w:rPr>
              <w:t>; Plutonium in mixed oxide (MOX: (UO</w:t>
            </w:r>
            <w:r w:rsidRPr="0021254F">
              <w:rPr>
                <w:rFonts w:eastAsia="Times New Roman"/>
                <w:noProof/>
                <w:color w:val="000000"/>
                <w:sz w:val="22"/>
                <w:szCs w:val="22"/>
                <w:vertAlign w:val="subscript"/>
                <w:lang w:eastAsia="en-GB"/>
              </w:rPr>
              <w:t>2</w:t>
            </w:r>
            <w:r w:rsidRPr="0021254F">
              <w:rPr>
                <w:rFonts w:eastAsia="Times New Roman"/>
                <w:noProof/>
                <w:color w:val="000000"/>
                <w:sz w:val="22"/>
                <w:szCs w:val="22"/>
                <w:lang w:eastAsia="en-GB"/>
              </w:rPr>
              <w:t xml:space="preserve"> + PuO</w:t>
            </w:r>
            <w:r w:rsidRPr="0021254F">
              <w:rPr>
                <w:rFonts w:eastAsia="Times New Roman"/>
                <w:noProof/>
                <w:color w:val="000000"/>
                <w:sz w:val="22"/>
                <w:szCs w:val="22"/>
                <w:vertAlign w:val="subscript"/>
                <w:lang w:eastAsia="en-GB"/>
              </w:rPr>
              <w:t>2</w:t>
            </w:r>
            <w:r w:rsidRPr="0021254F">
              <w:rPr>
                <w:rFonts w:eastAsia="Times New Roman"/>
                <w:noProof/>
                <w:color w:val="000000"/>
                <w:sz w:val="22"/>
                <w:szCs w:val="22"/>
                <w:lang w:eastAsia="en-GB"/>
              </w:rPr>
              <w:t>) or (U,Pu)O</w:t>
            </w:r>
            <w:r w:rsidRPr="0021254F">
              <w:rPr>
                <w:rFonts w:eastAsia="Times New Roman"/>
                <w:noProof/>
                <w:color w:val="000000"/>
                <w:sz w:val="22"/>
                <w:szCs w:val="22"/>
                <w:vertAlign w:val="subscript"/>
                <w:lang w:eastAsia="en-GB"/>
              </w:rPr>
              <w:t>2</w:t>
            </w:r>
            <w:r w:rsidRPr="0021254F">
              <w:rPr>
                <w:rFonts w:eastAsia="Times New Roman"/>
                <w:noProof/>
                <w:color w:val="000000"/>
                <w:sz w:val="22"/>
                <w:szCs w:val="22"/>
                <w:lang w:eastAsia="en-GB"/>
              </w:rPr>
              <w:t>)</w:t>
            </w:r>
          </w:p>
        </w:tc>
        <w:tc>
          <w:tcPr>
            <w:tcW w:w="608" w:type="pct"/>
            <w:tcBorders>
              <w:top w:val="nil"/>
              <w:left w:val="nil"/>
              <w:bottom w:val="nil"/>
              <w:right w:val="nil"/>
            </w:tcBorders>
            <w:hideMark/>
          </w:tcPr>
          <w:p w14:paraId="286BCE3E"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7.9E-05</w:t>
            </w:r>
          </w:p>
        </w:tc>
        <w:tc>
          <w:tcPr>
            <w:tcW w:w="485" w:type="pct"/>
            <w:tcBorders>
              <w:top w:val="nil"/>
              <w:left w:val="nil"/>
              <w:bottom w:val="nil"/>
              <w:right w:val="nil"/>
            </w:tcBorders>
            <w:hideMark/>
          </w:tcPr>
          <w:p w14:paraId="4AD3DD84"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7.9E-05</w:t>
            </w:r>
          </w:p>
        </w:tc>
        <w:tc>
          <w:tcPr>
            <w:tcW w:w="485" w:type="pct"/>
            <w:tcBorders>
              <w:top w:val="nil"/>
              <w:left w:val="nil"/>
              <w:bottom w:val="nil"/>
              <w:right w:val="nil"/>
            </w:tcBorders>
            <w:hideMark/>
          </w:tcPr>
          <w:p w14:paraId="3CE5E53F"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6.0E-05</w:t>
            </w:r>
          </w:p>
        </w:tc>
        <w:tc>
          <w:tcPr>
            <w:tcW w:w="485" w:type="pct"/>
            <w:tcBorders>
              <w:top w:val="nil"/>
              <w:left w:val="nil"/>
              <w:bottom w:val="nil"/>
              <w:right w:val="nil"/>
            </w:tcBorders>
            <w:hideMark/>
          </w:tcPr>
          <w:p w14:paraId="5A9888FD"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4.7E-05</w:t>
            </w:r>
          </w:p>
        </w:tc>
        <w:tc>
          <w:tcPr>
            <w:tcW w:w="485" w:type="pct"/>
            <w:tcBorders>
              <w:top w:val="nil"/>
              <w:left w:val="nil"/>
              <w:bottom w:val="nil"/>
              <w:right w:val="nil"/>
            </w:tcBorders>
            <w:hideMark/>
          </w:tcPr>
          <w:p w14:paraId="28CC295A"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4.5E-05</w:t>
            </w:r>
          </w:p>
        </w:tc>
        <w:tc>
          <w:tcPr>
            <w:tcW w:w="488" w:type="pct"/>
            <w:tcBorders>
              <w:top w:val="nil"/>
              <w:left w:val="nil"/>
              <w:bottom w:val="nil"/>
              <w:right w:val="nil"/>
            </w:tcBorders>
            <w:hideMark/>
          </w:tcPr>
          <w:p w14:paraId="3B5B3A90"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4.4E-05</w:t>
            </w:r>
          </w:p>
        </w:tc>
      </w:tr>
      <w:tr w:rsidR="005C2848" w:rsidRPr="00972C81" w14:paraId="77F41890" w14:textId="77777777" w:rsidTr="0021254F">
        <w:trPr>
          <w:trHeight w:val="340"/>
        </w:trPr>
        <w:tc>
          <w:tcPr>
            <w:tcW w:w="1963" w:type="pct"/>
            <w:tcBorders>
              <w:top w:val="nil"/>
              <w:left w:val="nil"/>
              <w:bottom w:val="nil"/>
              <w:right w:val="nil"/>
            </w:tcBorders>
            <w:hideMark/>
          </w:tcPr>
          <w:p w14:paraId="4A0E0FDC" w14:textId="77777777" w:rsidR="005C2848" w:rsidRPr="0021254F" w:rsidRDefault="005C2848" w:rsidP="0021254F">
            <w:pPr>
              <w:jc w:val="left"/>
              <w:rPr>
                <w:rFonts w:eastAsia="Times New Roman"/>
                <w:noProof/>
                <w:color w:val="000000"/>
                <w:sz w:val="22"/>
                <w:szCs w:val="22"/>
                <w:lang w:eastAsia="en-GB"/>
              </w:rPr>
            </w:pPr>
            <w:r w:rsidRPr="0021254F">
              <w:rPr>
                <w:rFonts w:eastAsia="Times New Roman"/>
                <w:noProof/>
                <w:color w:val="000000"/>
                <w:sz w:val="22"/>
                <w:szCs w:val="22"/>
                <w:lang w:eastAsia="en-GB"/>
              </w:rPr>
              <w:t xml:space="preserve">Plutonium-238 dioxide, </w:t>
            </w:r>
            <w:r w:rsidRPr="0021254F">
              <w:rPr>
                <w:rFonts w:eastAsia="Times New Roman"/>
                <w:noProof/>
                <w:color w:val="000000"/>
                <w:sz w:val="22"/>
                <w:szCs w:val="22"/>
                <w:vertAlign w:val="superscript"/>
                <w:lang w:eastAsia="en-GB"/>
              </w:rPr>
              <w:t>238</w:t>
            </w:r>
            <w:r w:rsidRPr="0021254F">
              <w:rPr>
                <w:rFonts w:eastAsia="Times New Roman"/>
                <w:noProof/>
                <w:color w:val="000000"/>
                <w:sz w:val="22"/>
                <w:szCs w:val="22"/>
                <w:lang w:eastAsia="en-GB"/>
              </w:rPr>
              <w:t>PuO</w:t>
            </w:r>
            <w:r w:rsidRPr="0021254F">
              <w:rPr>
                <w:rFonts w:eastAsia="Times New Roman"/>
                <w:noProof/>
                <w:color w:val="000000"/>
                <w:sz w:val="22"/>
                <w:szCs w:val="22"/>
                <w:vertAlign w:val="subscript"/>
                <w:lang w:eastAsia="en-GB"/>
              </w:rPr>
              <w:t>2</w:t>
            </w:r>
            <w:r w:rsidRPr="0021254F">
              <w:rPr>
                <w:rFonts w:eastAsia="Times New Roman"/>
                <w:noProof/>
                <w:color w:val="000000"/>
                <w:sz w:val="22"/>
                <w:szCs w:val="22"/>
                <w:lang w:eastAsia="en-GB"/>
              </w:rPr>
              <w:t xml:space="preserve"> ceramic</w:t>
            </w:r>
          </w:p>
        </w:tc>
        <w:tc>
          <w:tcPr>
            <w:tcW w:w="608" w:type="pct"/>
            <w:tcBorders>
              <w:top w:val="nil"/>
              <w:left w:val="nil"/>
              <w:bottom w:val="nil"/>
              <w:right w:val="nil"/>
            </w:tcBorders>
            <w:hideMark/>
          </w:tcPr>
          <w:p w14:paraId="18835AA5"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4.8E-05</w:t>
            </w:r>
          </w:p>
        </w:tc>
        <w:tc>
          <w:tcPr>
            <w:tcW w:w="485" w:type="pct"/>
            <w:tcBorders>
              <w:top w:val="nil"/>
              <w:left w:val="nil"/>
              <w:bottom w:val="nil"/>
              <w:right w:val="nil"/>
            </w:tcBorders>
            <w:hideMark/>
          </w:tcPr>
          <w:p w14:paraId="023918C1"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4.7E-05</w:t>
            </w:r>
          </w:p>
        </w:tc>
        <w:tc>
          <w:tcPr>
            <w:tcW w:w="485" w:type="pct"/>
            <w:tcBorders>
              <w:top w:val="nil"/>
              <w:left w:val="nil"/>
              <w:bottom w:val="nil"/>
              <w:right w:val="nil"/>
            </w:tcBorders>
            <w:hideMark/>
          </w:tcPr>
          <w:p w14:paraId="6377490D"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3.1E-05</w:t>
            </w:r>
          </w:p>
        </w:tc>
        <w:tc>
          <w:tcPr>
            <w:tcW w:w="485" w:type="pct"/>
            <w:tcBorders>
              <w:top w:val="nil"/>
              <w:left w:val="nil"/>
              <w:bottom w:val="nil"/>
              <w:right w:val="nil"/>
            </w:tcBorders>
            <w:hideMark/>
          </w:tcPr>
          <w:p w14:paraId="723A669E"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2.1E-05</w:t>
            </w:r>
          </w:p>
        </w:tc>
        <w:tc>
          <w:tcPr>
            <w:tcW w:w="485" w:type="pct"/>
            <w:tcBorders>
              <w:top w:val="nil"/>
              <w:left w:val="nil"/>
              <w:bottom w:val="nil"/>
              <w:right w:val="nil"/>
            </w:tcBorders>
            <w:hideMark/>
          </w:tcPr>
          <w:p w14:paraId="457FA5A6"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1.9E-05</w:t>
            </w:r>
          </w:p>
        </w:tc>
        <w:tc>
          <w:tcPr>
            <w:tcW w:w="488" w:type="pct"/>
            <w:tcBorders>
              <w:top w:val="nil"/>
              <w:left w:val="nil"/>
              <w:bottom w:val="nil"/>
              <w:right w:val="nil"/>
            </w:tcBorders>
            <w:hideMark/>
          </w:tcPr>
          <w:p w14:paraId="4D029AA9"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2.0E-05</w:t>
            </w:r>
          </w:p>
        </w:tc>
      </w:tr>
      <w:tr w:rsidR="005C2848" w:rsidRPr="00972C81" w14:paraId="7B94C52D" w14:textId="77777777" w:rsidTr="0021254F">
        <w:trPr>
          <w:trHeight w:val="340"/>
        </w:trPr>
        <w:tc>
          <w:tcPr>
            <w:tcW w:w="1963" w:type="pct"/>
            <w:tcBorders>
              <w:top w:val="nil"/>
              <w:left w:val="nil"/>
              <w:bottom w:val="nil"/>
              <w:right w:val="nil"/>
            </w:tcBorders>
            <w:hideMark/>
          </w:tcPr>
          <w:p w14:paraId="6A5F3DFA" w14:textId="77777777" w:rsidR="005C2848" w:rsidRPr="0021254F" w:rsidRDefault="005C2848" w:rsidP="0021254F">
            <w:pPr>
              <w:jc w:val="left"/>
              <w:rPr>
                <w:rFonts w:eastAsia="Times New Roman"/>
                <w:noProof/>
                <w:color w:val="000000"/>
                <w:sz w:val="22"/>
                <w:szCs w:val="22"/>
                <w:lang w:val="fr-FR" w:eastAsia="en-GB"/>
              </w:rPr>
            </w:pPr>
            <w:r w:rsidRPr="0021254F">
              <w:rPr>
                <w:rFonts w:eastAsia="Times New Roman"/>
                <w:noProof/>
                <w:color w:val="000000"/>
                <w:sz w:val="22"/>
                <w:szCs w:val="22"/>
                <w:lang w:val="fr-FR" w:eastAsia="en-GB"/>
              </w:rPr>
              <w:t xml:space="preserve">Plutonium-238 dioxide, </w:t>
            </w:r>
            <w:r w:rsidRPr="0021254F">
              <w:rPr>
                <w:rFonts w:eastAsia="Times New Roman"/>
                <w:noProof/>
                <w:color w:val="000000"/>
                <w:sz w:val="22"/>
                <w:szCs w:val="22"/>
                <w:vertAlign w:val="superscript"/>
                <w:lang w:val="fr-FR" w:eastAsia="en-GB"/>
              </w:rPr>
              <w:t>238</w:t>
            </w:r>
            <w:r w:rsidRPr="0021254F">
              <w:rPr>
                <w:rFonts w:eastAsia="Times New Roman"/>
                <w:noProof/>
                <w:color w:val="000000"/>
                <w:sz w:val="22"/>
                <w:szCs w:val="22"/>
                <w:lang w:val="fr-FR" w:eastAsia="en-GB"/>
              </w:rPr>
              <w:t>PuO</w:t>
            </w:r>
            <w:r w:rsidRPr="0021254F">
              <w:rPr>
                <w:rFonts w:eastAsia="Times New Roman"/>
                <w:noProof/>
                <w:color w:val="000000"/>
                <w:sz w:val="22"/>
                <w:szCs w:val="22"/>
                <w:vertAlign w:val="subscript"/>
                <w:lang w:val="fr-FR" w:eastAsia="en-GB"/>
              </w:rPr>
              <w:t>2</w:t>
            </w:r>
            <w:r w:rsidRPr="0021254F">
              <w:rPr>
                <w:rFonts w:eastAsia="Times New Roman"/>
                <w:noProof/>
                <w:color w:val="000000"/>
                <w:sz w:val="22"/>
                <w:szCs w:val="22"/>
                <w:lang w:val="fr-FR" w:eastAsia="en-GB"/>
              </w:rPr>
              <w:t xml:space="preserve"> non-ceramic</w:t>
            </w:r>
          </w:p>
        </w:tc>
        <w:tc>
          <w:tcPr>
            <w:tcW w:w="608" w:type="pct"/>
            <w:tcBorders>
              <w:top w:val="nil"/>
              <w:left w:val="nil"/>
              <w:bottom w:val="nil"/>
              <w:right w:val="nil"/>
            </w:tcBorders>
            <w:hideMark/>
          </w:tcPr>
          <w:p w14:paraId="62D98ECA"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4.7E-05</w:t>
            </w:r>
          </w:p>
        </w:tc>
        <w:tc>
          <w:tcPr>
            <w:tcW w:w="485" w:type="pct"/>
            <w:tcBorders>
              <w:top w:val="nil"/>
              <w:left w:val="nil"/>
              <w:bottom w:val="nil"/>
              <w:right w:val="nil"/>
            </w:tcBorders>
            <w:hideMark/>
          </w:tcPr>
          <w:p w14:paraId="4F47B599"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4.5E-05</w:t>
            </w:r>
          </w:p>
        </w:tc>
        <w:tc>
          <w:tcPr>
            <w:tcW w:w="485" w:type="pct"/>
            <w:tcBorders>
              <w:top w:val="nil"/>
              <w:left w:val="nil"/>
              <w:bottom w:val="nil"/>
              <w:right w:val="nil"/>
            </w:tcBorders>
            <w:hideMark/>
          </w:tcPr>
          <w:p w14:paraId="0D0E7CBC"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2.9E-05</w:t>
            </w:r>
          </w:p>
        </w:tc>
        <w:tc>
          <w:tcPr>
            <w:tcW w:w="485" w:type="pct"/>
            <w:tcBorders>
              <w:top w:val="nil"/>
              <w:left w:val="nil"/>
              <w:bottom w:val="nil"/>
              <w:right w:val="nil"/>
            </w:tcBorders>
            <w:hideMark/>
          </w:tcPr>
          <w:p w14:paraId="7FD3FD14"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2.1E-05</w:t>
            </w:r>
          </w:p>
        </w:tc>
        <w:tc>
          <w:tcPr>
            <w:tcW w:w="485" w:type="pct"/>
            <w:tcBorders>
              <w:top w:val="nil"/>
              <w:left w:val="nil"/>
              <w:bottom w:val="nil"/>
              <w:right w:val="nil"/>
            </w:tcBorders>
            <w:hideMark/>
          </w:tcPr>
          <w:p w14:paraId="02A0DEBB"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1.9E-05</w:t>
            </w:r>
          </w:p>
        </w:tc>
        <w:tc>
          <w:tcPr>
            <w:tcW w:w="488" w:type="pct"/>
            <w:tcBorders>
              <w:top w:val="nil"/>
              <w:left w:val="nil"/>
              <w:bottom w:val="nil"/>
              <w:right w:val="nil"/>
            </w:tcBorders>
            <w:hideMark/>
          </w:tcPr>
          <w:p w14:paraId="708D6626"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2.1E-05</w:t>
            </w:r>
          </w:p>
        </w:tc>
      </w:tr>
      <w:tr w:rsidR="005C2848" w:rsidRPr="00972C81" w14:paraId="0245F235" w14:textId="77777777" w:rsidTr="0021254F">
        <w:trPr>
          <w:trHeight w:val="340"/>
        </w:trPr>
        <w:tc>
          <w:tcPr>
            <w:tcW w:w="1963" w:type="pct"/>
            <w:tcBorders>
              <w:top w:val="nil"/>
              <w:left w:val="nil"/>
              <w:bottom w:val="nil"/>
              <w:right w:val="nil"/>
            </w:tcBorders>
            <w:hideMark/>
          </w:tcPr>
          <w:p w14:paraId="155D4C8E" w14:textId="77777777" w:rsidR="005C2848" w:rsidRPr="0021254F" w:rsidRDefault="005C2848" w:rsidP="0021254F">
            <w:pPr>
              <w:jc w:val="left"/>
              <w:rPr>
                <w:rFonts w:eastAsia="Times New Roman"/>
                <w:noProof/>
                <w:color w:val="000000"/>
                <w:sz w:val="22"/>
                <w:szCs w:val="22"/>
                <w:lang w:val="fr-FR" w:eastAsia="en-GB"/>
              </w:rPr>
            </w:pPr>
            <w:r w:rsidRPr="0021254F">
              <w:rPr>
                <w:rFonts w:eastAsia="Times New Roman"/>
                <w:noProof/>
                <w:color w:val="000000"/>
                <w:sz w:val="22"/>
                <w:szCs w:val="22"/>
                <w:lang w:val="fr-FR" w:eastAsia="en-GB"/>
              </w:rPr>
              <w:t>Plutonium dioxide 1-nm nanoparticles, 1-nm PuO</w:t>
            </w:r>
            <w:r w:rsidRPr="0021254F">
              <w:rPr>
                <w:rFonts w:eastAsia="Times New Roman"/>
                <w:noProof/>
                <w:color w:val="000000"/>
                <w:sz w:val="22"/>
                <w:szCs w:val="22"/>
                <w:vertAlign w:val="subscript"/>
                <w:lang w:val="fr-FR" w:eastAsia="en-GB"/>
              </w:rPr>
              <w:t>2</w:t>
            </w:r>
          </w:p>
        </w:tc>
        <w:tc>
          <w:tcPr>
            <w:tcW w:w="608" w:type="pct"/>
            <w:tcBorders>
              <w:top w:val="nil"/>
              <w:left w:val="nil"/>
              <w:bottom w:val="nil"/>
              <w:right w:val="nil"/>
            </w:tcBorders>
            <w:hideMark/>
          </w:tcPr>
          <w:p w14:paraId="374EAB25"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6.3E-05</w:t>
            </w:r>
          </w:p>
        </w:tc>
        <w:tc>
          <w:tcPr>
            <w:tcW w:w="485" w:type="pct"/>
            <w:tcBorders>
              <w:top w:val="nil"/>
              <w:left w:val="nil"/>
              <w:bottom w:val="nil"/>
              <w:right w:val="nil"/>
            </w:tcBorders>
            <w:hideMark/>
          </w:tcPr>
          <w:p w14:paraId="60086FD3"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5.8E-05</w:t>
            </w:r>
          </w:p>
        </w:tc>
        <w:tc>
          <w:tcPr>
            <w:tcW w:w="485" w:type="pct"/>
            <w:tcBorders>
              <w:top w:val="nil"/>
              <w:left w:val="nil"/>
              <w:bottom w:val="nil"/>
              <w:right w:val="nil"/>
            </w:tcBorders>
            <w:hideMark/>
          </w:tcPr>
          <w:p w14:paraId="3EB6D322"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3.9E-05</w:t>
            </w:r>
          </w:p>
        </w:tc>
        <w:tc>
          <w:tcPr>
            <w:tcW w:w="485" w:type="pct"/>
            <w:tcBorders>
              <w:top w:val="nil"/>
              <w:left w:val="nil"/>
              <w:bottom w:val="nil"/>
              <w:right w:val="nil"/>
            </w:tcBorders>
            <w:hideMark/>
          </w:tcPr>
          <w:p w14:paraId="06CEA542"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2.8E-05</w:t>
            </w:r>
          </w:p>
        </w:tc>
        <w:tc>
          <w:tcPr>
            <w:tcW w:w="485" w:type="pct"/>
            <w:tcBorders>
              <w:top w:val="nil"/>
              <w:left w:val="nil"/>
              <w:bottom w:val="nil"/>
              <w:right w:val="nil"/>
            </w:tcBorders>
            <w:hideMark/>
          </w:tcPr>
          <w:p w14:paraId="40A689A7"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2.8E-05</w:t>
            </w:r>
          </w:p>
        </w:tc>
        <w:tc>
          <w:tcPr>
            <w:tcW w:w="488" w:type="pct"/>
            <w:tcBorders>
              <w:top w:val="nil"/>
              <w:left w:val="nil"/>
              <w:bottom w:val="nil"/>
              <w:right w:val="nil"/>
            </w:tcBorders>
            <w:hideMark/>
          </w:tcPr>
          <w:p w14:paraId="4FFB99BE"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3.0E-05</w:t>
            </w:r>
          </w:p>
        </w:tc>
      </w:tr>
      <w:tr w:rsidR="005C2848" w:rsidRPr="00972C81" w14:paraId="31D0024F" w14:textId="77777777" w:rsidTr="0021254F">
        <w:trPr>
          <w:trHeight w:val="340"/>
        </w:trPr>
        <w:tc>
          <w:tcPr>
            <w:tcW w:w="1963" w:type="pct"/>
            <w:tcBorders>
              <w:top w:val="nil"/>
              <w:left w:val="nil"/>
              <w:bottom w:val="nil"/>
              <w:right w:val="nil"/>
            </w:tcBorders>
            <w:hideMark/>
          </w:tcPr>
          <w:p w14:paraId="5069891C" w14:textId="77777777" w:rsidR="005C2848" w:rsidRPr="0021254F" w:rsidRDefault="005C2848" w:rsidP="0021254F">
            <w:pPr>
              <w:jc w:val="left"/>
              <w:rPr>
                <w:rFonts w:eastAsiaTheme="minorHAnsi"/>
                <w:noProof/>
                <w:color w:val="000000"/>
                <w:sz w:val="22"/>
                <w:szCs w:val="22"/>
              </w:rPr>
            </w:pPr>
            <w:r w:rsidRPr="0021254F">
              <w:rPr>
                <w:noProof/>
                <w:color w:val="000000"/>
                <w:sz w:val="22"/>
                <w:szCs w:val="22"/>
              </w:rPr>
              <w:t>Type F</w:t>
            </w:r>
          </w:p>
        </w:tc>
        <w:tc>
          <w:tcPr>
            <w:tcW w:w="608" w:type="pct"/>
            <w:tcBorders>
              <w:top w:val="nil"/>
              <w:left w:val="nil"/>
              <w:bottom w:val="nil"/>
              <w:right w:val="nil"/>
            </w:tcBorders>
            <w:hideMark/>
          </w:tcPr>
          <w:p w14:paraId="7BBDD74E"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6.9E-05</w:t>
            </w:r>
          </w:p>
        </w:tc>
        <w:tc>
          <w:tcPr>
            <w:tcW w:w="485" w:type="pct"/>
            <w:tcBorders>
              <w:top w:val="nil"/>
              <w:left w:val="nil"/>
              <w:bottom w:val="nil"/>
              <w:right w:val="nil"/>
            </w:tcBorders>
            <w:hideMark/>
          </w:tcPr>
          <w:p w14:paraId="3CF9BDE7"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6.3E-05</w:t>
            </w:r>
          </w:p>
        </w:tc>
        <w:tc>
          <w:tcPr>
            <w:tcW w:w="485" w:type="pct"/>
            <w:tcBorders>
              <w:top w:val="nil"/>
              <w:left w:val="nil"/>
              <w:bottom w:val="nil"/>
              <w:right w:val="nil"/>
            </w:tcBorders>
            <w:hideMark/>
          </w:tcPr>
          <w:p w14:paraId="53F7166A"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4.3E-05</w:t>
            </w:r>
          </w:p>
        </w:tc>
        <w:tc>
          <w:tcPr>
            <w:tcW w:w="485" w:type="pct"/>
            <w:tcBorders>
              <w:top w:val="nil"/>
              <w:left w:val="nil"/>
              <w:bottom w:val="nil"/>
              <w:right w:val="nil"/>
            </w:tcBorders>
            <w:hideMark/>
          </w:tcPr>
          <w:p w14:paraId="4923D5FF"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3.1E-05</w:t>
            </w:r>
          </w:p>
        </w:tc>
        <w:tc>
          <w:tcPr>
            <w:tcW w:w="485" w:type="pct"/>
            <w:tcBorders>
              <w:top w:val="nil"/>
              <w:left w:val="nil"/>
              <w:bottom w:val="nil"/>
              <w:right w:val="nil"/>
            </w:tcBorders>
            <w:hideMark/>
          </w:tcPr>
          <w:p w14:paraId="7ED56A47"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3.1E-05</w:t>
            </w:r>
          </w:p>
        </w:tc>
        <w:tc>
          <w:tcPr>
            <w:tcW w:w="488" w:type="pct"/>
            <w:tcBorders>
              <w:top w:val="nil"/>
              <w:left w:val="nil"/>
              <w:bottom w:val="nil"/>
              <w:right w:val="nil"/>
            </w:tcBorders>
            <w:hideMark/>
          </w:tcPr>
          <w:p w14:paraId="5C5B3368"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3.3E-05</w:t>
            </w:r>
          </w:p>
        </w:tc>
      </w:tr>
      <w:tr w:rsidR="005C2848" w:rsidRPr="00972C81" w14:paraId="10CE0EE3" w14:textId="77777777" w:rsidTr="0021254F">
        <w:trPr>
          <w:trHeight w:val="340"/>
        </w:trPr>
        <w:tc>
          <w:tcPr>
            <w:tcW w:w="1963" w:type="pct"/>
            <w:tcBorders>
              <w:top w:val="nil"/>
              <w:left w:val="nil"/>
              <w:bottom w:val="nil"/>
              <w:right w:val="nil"/>
            </w:tcBorders>
            <w:hideMark/>
          </w:tcPr>
          <w:p w14:paraId="13F56F43" w14:textId="77777777" w:rsidR="005C2848" w:rsidRPr="0021254F" w:rsidRDefault="005C2848" w:rsidP="0021254F">
            <w:pPr>
              <w:jc w:val="left"/>
              <w:rPr>
                <w:rFonts w:eastAsiaTheme="minorHAnsi"/>
                <w:noProof/>
                <w:sz w:val="22"/>
                <w:szCs w:val="22"/>
                <w:lang w:val="fr-FR"/>
              </w:rPr>
            </w:pPr>
            <w:r w:rsidRPr="0021254F">
              <w:rPr>
                <w:noProof/>
                <w:sz w:val="22"/>
                <w:szCs w:val="22"/>
                <w:lang w:val="fr-FR"/>
              </w:rPr>
              <w:t xml:space="preserve">Type M, </w:t>
            </w:r>
            <w:r w:rsidRPr="0021254F">
              <w:rPr>
                <w:rFonts w:eastAsia="Times New Roman"/>
                <w:noProof/>
                <w:color w:val="000000"/>
                <w:sz w:val="22"/>
                <w:szCs w:val="22"/>
                <w:lang w:val="fr-FR" w:eastAsia="en-GB"/>
              </w:rPr>
              <w:t>plutonium citrate; Plutonium tri-butyl-phosphate (Pu-TBP) ; Plutonium chloride (PuCl</w:t>
            </w:r>
            <w:r w:rsidRPr="0021254F">
              <w:rPr>
                <w:rFonts w:eastAsia="Times New Roman"/>
                <w:noProof/>
                <w:color w:val="000000"/>
                <w:sz w:val="22"/>
                <w:szCs w:val="22"/>
                <w:vertAlign w:val="subscript"/>
                <w:lang w:val="fr-FR" w:eastAsia="en-GB"/>
              </w:rPr>
              <w:t>3</w:t>
            </w:r>
            <w:r w:rsidRPr="0021254F">
              <w:rPr>
                <w:rFonts w:eastAsia="Times New Roman"/>
                <w:noProof/>
                <w:color w:val="000000"/>
                <w:sz w:val="22"/>
                <w:szCs w:val="22"/>
                <w:lang w:val="fr-FR" w:eastAsia="en-GB"/>
              </w:rPr>
              <w:t>)</w:t>
            </w:r>
          </w:p>
        </w:tc>
        <w:tc>
          <w:tcPr>
            <w:tcW w:w="608" w:type="pct"/>
            <w:tcBorders>
              <w:top w:val="nil"/>
              <w:left w:val="nil"/>
              <w:bottom w:val="nil"/>
              <w:right w:val="nil"/>
            </w:tcBorders>
            <w:hideMark/>
          </w:tcPr>
          <w:p w14:paraId="49BA19A8"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5.3E-05</w:t>
            </w:r>
          </w:p>
        </w:tc>
        <w:tc>
          <w:tcPr>
            <w:tcW w:w="485" w:type="pct"/>
            <w:tcBorders>
              <w:top w:val="nil"/>
              <w:left w:val="nil"/>
              <w:bottom w:val="nil"/>
              <w:right w:val="nil"/>
            </w:tcBorders>
            <w:hideMark/>
          </w:tcPr>
          <w:p w14:paraId="03772457"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5.0E-05</w:t>
            </w:r>
          </w:p>
        </w:tc>
        <w:tc>
          <w:tcPr>
            <w:tcW w:w="485" w:type="pct"/>
            <w:tcBorders>
              <w:top w:val="nil"/>
              <w:left w:val="nil"/>
              <w:bottom w:val="nil"/>
              <w:right w:val="nil"/>
            </w:tcBorders>
            <w:hideMark/>
          </w:tcPr>
          <w:p w14:paraId="0CB9DD13"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3.3E-05</w:t>
            </w:r>
          </w:p>
        </w:tc>
        <w:tc>
          <w:tcPr>
            <w:tcW w:w="485" w:type="pct"/>
            <w:tcBorders>
              <w:top w:val="nil"/>
              <w:left w:val="nil"/>
              <w:bottom w:val="nil"/>
              <w:right w:val="nil"/>
            </w:tcBorders>
            <w:hideMark/>
          </w:tcPr>
          <w:p w14:paraId="5162CF9C"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2.4E-05</w:t>
            </w:r>
          </w:p>
        </w:tc>
        <w:tc>
          <w:tcPr>
            <w:tcW w:w="485" w:type="pct"/>
            <w:tcBorders>
              <w:top w:val="nil"/>
              <w:left w:val="nil"/>
              <w:bottom w:val="nil"/>
              <w:right w:val="nil"/>
            </w:tcBorders>
            <w:hideMark/>
          </w:tcPr>
          <w:p w14:paraId="56C365DE"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2.3E-05</w:t>
            </w:r>
          </w:p>
        </w:tc>
        <w:tc>
          <w:tcPr>
            <w:tcW w:w="488" w:type="pct"/>
            <w:tcBorders>
              <w:top w:val="nil"/>
              <w:left w:val="nil"/>
              <w:bottom w:val="nil"/>
              <w:right w:val="nil"/>
            </w:tcBorders>
            <w:hideMark/>
          </w:tcPr>
          <w:p w14:paraId="2127D975"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2.5E-05</w:t>
            </w:r>
          </w:p>
        </w:tc>
      </w:tr>
      <w:tr w:rsidR="005C2848" w:rsidRPr="00972C81" w14:paraId="001117F2" w14:textId="77777777" w:rsidTr="0021254F">
        <w:trPr>
          <w:trHeight w:val="340"/>
        </w:trPr>
        <w:tc>
          <w:tcPr>
            <w:tcW w:w="1963" w:type="pct"/>
            <w:tcBorders>
              <w:top w:val="nil"/>
              <w:left w:val="nil"/>
              <w:bottom w:val="single" w:sz="4" w:space="0" w:color="auto"/>
              <w:right w:val="nil"/>
            </w:tcBorders>
            <w:hideMark/>
          </w:tcPr>
          <w:p w14:paraId="4C1DC27A" w14:textId="77777777" w:rsidR="005C2848" w:rsidRPr="0021254F" w:rsidRDefault="005C2848" w:rsidP="0021254F">
            <w:pPr>
              <w:jc w:val="left"/>
              <w:rPr>
                <w:rFonts w:eastAsiaTheme="minorHAnsi"/>
                <w:noProof/>
                <w:sz w:val="22"/>
                <w:szCs w:val="22"/>
              </w:rPr>
            </w:pPr>
            <w:r w:rsidRPr="0021254F">
              <w:rPr>
                <w:noProof/>
                <w:sz w:val="22"/>
                <w:szCs w:val="22"/>
              </w:rPr>
              <w:t>Type S</w:t>
            </w:r>
          </w:p>
        </w:tc>
        <w:tc>
          <w:tcPr>
            <w:tcW w:w="608" w:type="pct"/>
            <w:tcBorders>
              <w:top w:val="nil"/>
              <w:left w:val="nil"/>
              <w:bottom w:val="single" w:sz="4" w:space="0" w:color="auto"/>
              <w:right w:val="nil"/>
            </w:tcBorders>
            <w:hideMark/>
          </w:tcPr>
          <w:p w14:paraId="2CBA9C03"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6.1E-05</w:t>
            </w:r>
          </w:p>
        </w:tc>
        <w:tc>
          <w:tcPr>
            <w:tcW w:w="485" w:type="pct"/>
            <w:tcBorders>
              <w:top w:val="nil"/>
              <w:left w:val="nil"/>
              <w:bottom w:val="single" w:sz="4" w:space="0" w:color="auto"/>
              <w:right w:val="nil"/>
            </w:tcBorders>
            <w:hideMark/>
          </w:tcPr>
          <w:p w14:paraId="0DFFE2D4"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6.1E-05</w:t>
            </w:r>
          </w:p>
        </w:tc>
        <w:tc>
          <w:tcPr>
            <w:tcW w:w="485" w:type="pct"/>
            <w:tcBorders>
              <w:top w:val="nil"/>
              <w:left w:val="nil"/>
              <w:bottom w:val="single" w:sz="4" w:space="0" w:color="auto"/>
              <w:right w:val="nil"/>
            </w:tcBorders>
            <w:hideMark/>
          </w:tcPr>
          <w:p w14:paraId="2CAD9A49"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4.3E-05</w:t>
            </w:r>
          </w:p>
        </w:tc>
        <w:tc>
          <w:tcPr>
            <w:tcW w:w="485" w:type="pct"/>
            <w:tcBorders>
              <w:top w:val="nil"/>
              <w:left w:val="nil"/>
              <w:bottom w:val="single" w:sz="4" w:space="0" w:color="auto"/>
              <w:right w:val="nil"/>
            </w:tcBorders>
            <w:hideMark/>
          </w:tcPr>
          <w:p w14:paraId="1B04AFFF"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3.2E-05</w:t>
            </w:r>
          </w:p>
        </w:tc>
        <w:tc>
          <w:tcPr>
            <w:tcW w:w="485" w:type="pct"/>
            <w:tcBorders>
              <w:top w:val="nil"/>
              <w:left w:val="nil"/>
              <w:bottom w:val="single" w:sz="4" w:space="0" w:color="auto"/>
              <w:right w:val="nil"/>
            </w:tcBorders>
            <w:hideMark/>
          </w:tcPr>
          <w:p w14:paraId="1DE09C6F"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3.1E-05</w:t>
            </w:r>
          </w:p>
        </w:tc>
        <w:tc>
          <w:tcPr>
            <w:tcW w:w="488" w:type="pct"/>
            <w:tcBorders>
              <w:top w:val="nil"/>
              <w:left w:val="nil"/>
              <w:bottom w:val="single" w:sz="4" w:space="0" w:color="auto"/>
              <w:right w:val="nil"/>
            </w:tcBorders>
            <w:hideMark/>
          </w:tcPr>
          <w:p w14:paraId="4CDE1D26" w14:textId="77777777" w:rsidR="005C2848" w:rsidRPr="0021254F" w:rsidRDefault="005C2848" w:rsidP="0021254F">
            <w:pPr>
              <w:jc w:val="left"/>
              <w:rPr>
                <w:rFonts w:eastAsia="Times New Roman"/>
                <w:noProof/>
                <w:color w:val="000000"/>
                <w:sz w:val="22"/>
                <w:szCs w:val="22"/>
              </w:rPr>
            </w:pPr>
            <w:r w:rsidRPr="0021254F">
              <w:rPr>
                <w:rFonts w:eastAsia="Times New Roman"/>
                <w:noProof/>
                <w:color w:val="000000"/>
                <w:sz w:val="22"/>
                <w:szCs w:val="22"/>
              </w:rPr>
              <w:t>3.1E-05</w:t>
            </w:r>
          </w:p>
        </w:tc>
      </w:tr>
      <w:tr w:rsidR="005C2848" w:rsidRPr="00972C81" w14:paraId="27B6F9CB" w14:textId="77777777" w:rsidTr="0021254F">
        <w:trPr>
          <w:trHeight w:val="340"/>
        </w:trPr>
        <w:tc>
          <w:tcPr>
            <w:tcW w:w="1963" w:type="pct"/>
            <w:tcBorders>
              <w:top w:val="single" w:sz="4" w:space="0" w:color="auto"/>
              <w:left w:val="nil"/>
              <w:bottom w:val="single" w:sz="4" w:space="0" w:color="auto"/>
              <w:right w:val="nil"/>
            </w:tcBorders>
          </w:tcPr>
          <w:p w14:paraId="2AD049ED" w14:textId="77777777" w:rsidR="005C2848" w:rsidRPr="00C47F2F" w:rsidRDefault="005C2848" w:rsidP="00C47F2F">
            <w:pPr>
              <w:jc w:val="left"/>
              <w:rPr>
                <w:rFonts w:eastAsiaTheme="minorHAnsi"/>
                <w:noProof/>
                <w:sz w:val="22"/>
                <w:szCs w:val="22"/>
              </w:rPr>
            </w:pPr>
          </w:p>
          <w:p w14:paraId="13B0C69E" w14:textId="77777777" w:rsidR="005C2848" w:rsidRPr="00C47F2F" w:rsidRDefault="005C2848" w:rsidP="00C47F2F">
            <w:pPr>
              <w:jc w:val="left"/>
              <w:rPr>
                <w:noProof/>
                <w:sz w:val="22"/>
                <w:szCs w:val="22"/>
              </w:rPr>
            </w:pPr>
            <w:r w:rsidRPr="00C47F2F">
              <w:rPr>
                <w:noProof/>
                <w:sz w:val="22"/>
                <w:szCs w:val="22"/>
              </w:rPr>
              <w:t>Ingested materials</w:t>
            </w:r>
          </w:p>
        </w:tc>
        <w:tc>
          <w:tcPr>
            <w:tcW w:w="608" w:type="pct"/>
            <w:tcBorders>
              <w:top w:val="single" w:sz="4" w:space="0" w:color="auto"/>
              <w:left w:val="nil"/>
              <w:bottom w:val="single" w:sz="4" w:space="0" w:color="auto"/>
              <w:right w:val="nil"/>
            </w:tcBorders>
          </w:tcPr>
          <w:p w14:paraId="7FC06161"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1264B91B"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D1E05D1"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3D207EE"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6B87099A" w14:textId="77777777" w:rsidR="005C2848" w:rsidRPr="00C47F2F" w:rsidRDefault="005C2848" w:rsidP="00C47F2F">
            <w:pPr>
              <w:jc w:val="left"/>
              <w:rPr>
                <w:rFonts w:eastAsia="Times New Roman"/>
                <w:noProof/>
                <w:color w:val="000000"/>
                <w:sz w:val="22"/>
                <w:szCs w:val="22"/>
              </w:rPr>
            </w:pPr>
          </w:p>
        </w:tc>
        <w:tc>
          <w:tcPr>
            <w:tcW w:w="488" w:type="pct"/>
            <w:tcBorders>
              <w:top w:val="single" w:sz="4" w:space="0" w:color="auto"/>
              <w:left w:val="nil"/>
              <w:bottom w:val="single" w:sz="4" w:space="0" w:color="auto"/>
              <w:right w:val="nil"/>
            </w:tcBorders>
          </w:tcPr>
          <w:p w14:paraId="36885879" w14:textId="77777777" w:rsidR="005C2848" w:rsidRPr="00C47F2F" w:rsidRDefault="005C2848" w:rsidP="00C47F2F">
            <w:pPr>
              <w:jc w:val="left"/>
              <w:rPr>
                <w:rFonts w:eastAsia="Times New Roman"/>
                <w:noProof/>
                <w:color w:val="000000"/>
                <w:sz w:val="22"/>
                <w:szCs w:val="22"/>
              </w:rPr>
            </w:pPr>
          </w:p>
        </w:tc>
      </w:tr>
      <w:tr w:rsidR="005C2848" w:rsidRPr="00972C81" w14:paraId="58C2078C" w14:textId="77777777" w:rsidTr="0021254F">
        <w:trPr>
          <w:trHeight w:val="340"/>
        </w:trPr>
        <w:tc>
          <w:tcPr>
            <w:tcW w:w="1963" w:type="pct"/>
            <w:tcBorders>
              <w:top w:val="single" w:sz="4" w:space="0" w:color="auto"/>
              <w:left w:val="nil"/>
              <w:bottom w:val="nil"/>
              <w:right w:val="nil"/>
            </w:tcBorders>
            <w:hideMark/>
          </w:tcPr>
          <w:p w14:paraId="3199A070" w14:textId="0D8E3419" w:rsidR="005C2848" w:rsidRPr="00C47F2F" w:rsidRDefault="005C2848" w:rsidP="0021254F">
            <w:pPr>
              <w:jc w:val="left"/>
              <w:rPr>
                <w:rFonts w:eastAsiaTheme="minorHAnsi"/>
                <w:noProof/>
                <w:sz w:val="22"/>
                <w:szCs w:val="22"/>
              </w:rPr>
            </w:pPr>
            <w:r w:rsidRPr="00C47F2F">
              <w:rPr>
                <w:rFonts w:eastAsia="Times New Roman"/>
                <w:noProof/>
                <w:color w:val="000000"/>
                <w:sz w:val="22"/>
                <w:szCs w:val="22"/>
                <w:lang w:eastAsia="en-GB"/>
              </w:rPr>
              <w:t>Soluble forms (nitrate,chloride, bicarbonates,…)</w:t>
            </w:r>
          </w:p>
        </w:tc>
        <w:tc>
          <w:tcPr>
            <w:tcW w:w="608" w:type="pct"/>
            <w:tcBorders>
              <w:top w:val="single" w:sz="4" w:space="0" w:color="auto"/>
              <w:left w:val="nil"/>
              <w:bottom w:val="nil"/>
              <w:right w:val="nil"/>
            </w:tcBorders>
            <w:hideMark/>
          </w:tcPr>
          <w:p w14:paraId="6DACAB4C"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2.9E-06</w:t>
            </w:r>
          </w:p>
        </w:tc>
        <w:tc>
          <w:tcPr>
            <w:tcW w:w="485" w:type="pct"/>
            <w:tcBorders>
              <w:top w:val="single" w:sz="4" w:space="0" w:color="auto"/>
              <w:left w:val="nil"/>
              <w:bottom w:val="nil"/>
              <w:right w:val="nil"/>
            </w:tcBorders>
            <w:hideMark/>
          </w:tcPr>
          <w:p w14:paraId="14346ECF"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2.5E-07</w:t>
            </w:r>
          </w:p>
        </w:tc>
        <w:tc>
          <w:tcPr>
            <w:tcW w:w="485" w:type="pct"/>
            <w:tcBorders>
              <w:top w:val="single" w:sz="4" w:space="0" w:color="auto"/>
              <w:left w:val="nil"/>
              <w:bottom w:val="nil"/>
              <w:right w:val="nil"/>
            </w:tcBorders>
            <w:hideMark/>
          </w:tcPr>
          <w:p w14:paraId="3A8BB9C4"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1.6E-07</w:t>
            </w:r>
          </w:p>
        </w:tc>
        <w:tc>
          <w:tcPr>
            <w:tcW w:w="485" w:type="pct"/>
            <w:tcBorders>
              <w:top w:val="single" w:sz="4" w:space="0" w:color="auto"/>
              <w:left w:val="nil"/>
              <w:bottom w:val="nil"/>
              <w:right w:val="nil"/>
            </w:tcBorders>
            <w:hideMark/>
          </w:tcPr>
          <w:p w14:paraId="1D626162"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1.2E-07</w:t>
            </w:r>
          </w:p>
        </w:tc>
        <w:tc>
          <w:tcPr>
            <w:tcW w:w="485" w:type="pct"/>
            <w:tcBorders>
              <w:top w:val="single" w:sz="4" w:space="0" w:color="auto"/>
              <w:left w:val="nil"/>
              <w:bottom w:val="nil"/>
              <w:right w:val="nil"/>
            </w:tcBorders>
            <w:hideMark/>
          </w:tcPr>
          <w:p w14:paraId="623EA386"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1.1E-07</w:t>
            </w:r>
          </w:p>
        </w:tc>
        <w:tc>
          <w:tcPr>
            <w:tcW w:w="488" w:type="pct"/>
            <w:tcBorders>
              <w:top w:val="single" w:sz="4" w:space="0" w:color="auto"/>
              <w:left w:val="nil"/>
              <w:bottom w:val="nil"/>
              <w:right w:val="nil"/>
            </w:tcBorders>
            <w:hideMark/>
          </w:tcPr>
          <w:p w14:paraId="18142AFE"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1.1E-07</w:t>
            </w:r>
          </w:p>
        </w:tc>
      </w:tr>
      <w:tr w:rsidR="005C2848" w:rsidRPr="00972C81" w14:paraId="7D62CD31" w14:textId="77777777" w:rsidTr="0021254F">
        <w:trPr>
          <w:trHeight w:val="340"/>
        </w:trPr>
        <w:tc>
          <w:tcPr>
            <w:tcW w:w="1963" w:type="pct"/>
            <w:tcBorders>
              <w:top w:val="nil"/>
              <w:left w:val="nil"/>
              <w:bottom w:val="single" w:sz="4" w:space="0" w:color="auto"/>
              <w:right w:val="nil"/>
            </w:tcBorders>
            <w:hideMark/>
          </w:tcPr>
          <w:p w14:paraId="26A86552" w14:textId="7D6ADC8F" w:rsidR="005C2848" w:rsidRPr="00C47F2F" w:rsidRDefault="005C2848" w:rsidP="0021254F">
            <w:pPr>
              <w:jc w:val="left"/>
              <w:rPr>
                <w:rFonts w:eastAsiaTheme="minorHAnsi"/>
                <w:noProof/>
                <w:sz w:val="22"/>
                <w:szCs w:val="22"/>
              </w:rPr>
            </w:pPr>
            <w:r w:rsidRPr="00C47F2F">
              <w:rPr>
                <w:noProof/>
                <w:sz w:val="22"/>
                <w:szCs w:val="22"/>
              </w:rPr>
              <w:t>Insoluble forms (oxides,…)</w:t>
            </w:r>
          </w:p>
        </w:tc>
        <w:tc>
          <w:tcPr>
            <w:tcW w:w="608" w:type="pct"/>
            <w:tcBorders>
              <w:top w:val="nil"/>
              <w:left w:val="nil"/>
              <w:bottom w:val="single" w:sz="4" w:space="0" w:color="auto"/>
              <w:right w:val="nil"/>
            </w:tcBorders>
            <w:hideMark/>
          </w:tcPr>
          <w:p w14:paraId="2543BE0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5.9E-08</w:t>
            </w:r>
          </w:p>
        </w:tc>
        <w:tc>
          <w:tcPr>
            <w:tcW w:w="485" w:type="pct"/>
            <w:tcBorders>
              <w:top w:val="nil"/>
              <w:left w:val="nil"/>
              <w:bottom w:val="single" w:sz="4" w:space="0" w:color="auto"/>
              <w:right w:val="nil"/>
            </w:tcBorders>
            <w:hideMark/>
          </w:tcPr>
          <w:p w14:paraId="32DCDD38"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5.1E-09</w:t>
            </w:r>
          </w:p>
        </w:tc>
        <w:tc>
          <w:tcPr>
            <w:tcW w:w="485" w:type="pct"/>
            <w:tcBorders>
              <w:top w:val="nil"/>
              <w:left w:val="nil"/>
              <w:bottom w:val="single" w:sz="4" w:space="0" w:color="auto"/>
              <w:right w:val="nil"/>
            </w:tcBorders>
            <w:hideMark/>
          </w:tcPr>
          <w:p w14:paraId="5E1F714D"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3.2E-09</w:t>
            </w:r>
          </w:p>
        </w:tc>
        <w:tc>
          <w:tcPr>
            <w:tcW w:w="485" w:type="pct"/>
            <w:tcBorders>
              <w:top w:val="nil"/>
              <w:left w:val="nil"/>
              <w:bottom w:val="single" w:sz="4" w:space="0" w:color="auto"/>
              <w:right w:val="nil"/>
            </w:tcBorders>
            <w:hideMark/>
          </w:tcPr>
          <w:p w14:paraId="774A8D82"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2.4E-09</w:t>
            </w:r>
          </w:p>
        </w:tc>
        <w:tc>
          <w:tcPr>
            <w:tcW w:w="485" w:type="pct"/>
            <w:tcBorders>
              <w:top w:val="nil"/>
              <w:left w:val="nil"/>
              <w:bottom w:val="single" w:sz="4" w:space="0" w:color="auto"/>
              <w:right w:val="nil"/>
            </w:tcBorders>
            <w:hideMark/>
          </w:tcPr>
          <w:p w14:paraId="02239BB5"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2.1E-09</w:t>
            </w:r>
          </w:p>
        </w:tc>
        <w:tc>
          <w:tcPr>
            <w:tcW w:w="488" w:type="pct"/>
            <w:tcBorders>
              <w:top w:val="nil"/>
              <w:left w:val="nil"/>
              <w:bottom w:val="single" w:sz="4" w:space="0" w:color="auto"/>
              <w:right w:val="nil"/>
            </w:tcBorders>
            <w:hideMark/>
          </w:tcPr>
          <w:p w14:paraId="2B191C63"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2.2E-09</w:t>
            </w:r>
          </w:p>
        </w:tc>
      </w:tr>
    </w:tbl>
    <w:p w14:paraId="59DB22E4" w14:textId="77777777" w:rsidR="005C2848" w:rsidRPr="00972C81" w:rsidRDefault="005C2848">
      <w:pPr>
        <w:widowControl/>
        <w:jc w:val="left"/>
        <w:rPr>
          <w:noProof/>
        </w:rPr>
      </w:pPr>
    </w:p>
    <w:p w14:paraId="6CD6F04D" w14:textId="77777777" w:rsidR="0021254F" w:rsidRDefault="0021254F">
      <w:pPr>
        <w:widowControl/>
        <w:jc w:val="left"/>
        <w:rPr>
          <w:noProof/>
          <w:szCs w:val="24"/>
        </w:rPr>
      </w:pPr>
      <w:r>
        <w:rPr>
          <w:noProof/>
          <w:szCs w:val="24"/>
        </w:rPr>
        <w:br w:type="page"/>
      </w:r>
    </w:p>
    <w:p w14:paraId="27950789" w14:textId="0729E230" w:rsidR="005C2848" w:rsidRPr="00972C81" w:rsidRDefault="005C2848" w:rsidP="005C2848">
      <w:pPr>
        <w:pStyle w:val="ab"/>
        <w:rPr>
          <w:noProof/>
          <w:sz w:val="24"/>
          <w:szCs w:val="24"/>
        </w:rPr>
      </w:pPr>
      <w:r w:rsidRPr="00972C81">
        <w:rPr>
          <w:noProof/>
          <w:sz w:val="24"/>
          <w:szCs w:val="24"/>
        </w:rPr>
        <w:lastRenderedPageBreak/>
        <w:t>Table 22.5.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239</w:t>
      </w:r>
      <w:r w:rsidRPr="00972C81">
        <w:rPr>
          <w:noProof/>
          <w:sz w:val="24"/>
          <w:szCs w:val="24"/>
        </w:rPr>
        <w:t>Pu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5C2848" w:rsidRPr="00A3213E" w14:paraId="46A0522D" w14:textId="77777777" w:rsidTr="0021254F">
        <w:trPr>
          <w:trHeight w:val="283"/>
        </w:trPr>
        <w:tc>
          <w:tcPr>
            <w:tcW w:w="2087" w:type="pct"/>
            <w:vMerge w:val="restart"/>
            <w:tcBorders>
              <w:top w:val="single" w:sz="4" w:space="0" w:color="auto"/>
              <w:left w:val="nil"/>
              <w:bottom w:val="single" w:sz="4" w:space="0" w:color="auto"/>
              <w:right w:val="nil"/>
            </w:tcBorders>
            <w:vAlign w:val="bottom"/>
            <w:hideMark/>
          </w:tcPr>
          <w:p w14:paraId="5047E124" w14:textId="77777777" w:rsidR="0011465C" w:rsidRDefault="005C2848">
            <w:pPr>
              <w:pStyle w:val="a5"/>
              <w:tabs>
                <w:tab w:val="clear" w:pos="4153"/>
                <w:tab w:val="clear" w:pos="8306"/>
              </w:tabs>
              <w:rPr>
                <w:noProof/>
                <w:sz w:val="22"/>
                <w:szCs w:val="22"/>
              </w:rPr>
            </w:pPr>
            <w:r w:rsidRPr="00C47F2F">
              <w:rPr>
                <w:noProof/>
                <w:sz w:val="22"/>
                <w:szCs w:val="22"/>
              </w:rPr>
              <w:t>Inhaled particulate materials</w:t>
            </w:r>
          </w:p>
          <w:p w14:paraId="733F9F0F" w14:textId="1374BFA8" w:rsidR="005C2848" w:rsidRPr="0011465C" w:rsidRDefault="005C2848" w:rsidP="00C47F2F">
            <w:pPr>
              <w:pStyle w:val="a5"/>
              <w:tabs>
                <w:tab w:val="clear" w:pos="4153"/>
                <w:tab w:val="clear" w:pos="8306"/>
              </w:tabs>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6AC5F04B" w14:textId="77777777" w:rsidR="005C2848" w:rsidRPr="00C47F2F" w:rsidRDefault="005C2848">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5C2848" w:rsidRPr="00972C81" w14:paraId="563C9043" w14:textId="77777777" w:rsidTr="0021254F">
        <w:trPr>
          <w:trHeight w:val="283"/>
        </w:trPr>
        <w:tc>
          <w:tcPr>
            <w:tcW w:w="2087" w:type="pct"/>
            <w:vMerge/>
            <w:tcBorders>
              <w:top w:val="single" w:sz="4" w:space="0" w:color="auto"/>
              <w:left w:val="nil"/>
              <w:bottom w:val="single" w:sz="4" w:space="0" w:color="auto"/>
              <w:right w:val="nil"/>
            </w:tcBorders>
            <w:vAlign w:val="center"/>
            <w:hideMark/>
          </w:tcPr>
          <w:p w14:paraId="0F7D559A" w14:textId="77777777" w:rsidR="005C2848" w:rsidRPr="0011465C" w:rsidRDefault="005C28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5649B2D6" w14:textId="4760CCA3" w:rsidR="005C2848" w:rsidRPr="00C47F2F" w:rsidRDefault="005C2848" w:rsidP="0021254F">
            <w:pPr>
              <w:jc w:val="left"/>
              <w:rPr>
                <w:noProof/>
                <w:sz w:val="22"/>
                <w:szCs w:val="22"/>
                <w:lang w:eastAsia="ko-KR"/>
              </w:rPr>
            </w:pPr>
            <w:r w:rsidRPr="00C47F2F">
              <w:rPr>
                <w:noProof/>
                <w:sz w:val="22"/>
                <w:szCs w:val="22"/>
              </w:rPr>
              <w:t>3</w:t>
            </w:r>
            <w:r w:rsidR="0011465C">
              <w:rPr>
                <w:rFonts w:hint="eastAsia"/>
                <w:noProof/>
                <w:sz w:val="22"/>
                <w:szCs w:val="22"/>
                <w:lang w:eastAsia="ko-KR"/>
              </w:rPr>
              <w:t xml:space="preserve"> </w:t>
            </w:r>
            <w:r w:rsidRPr="00C47F2F">
              <w:rPr>
                <w:noProof/>
                <w:sz w:val="22"/>
                <w:szCs w:val="22"/>
              </w:rPr>
              <w:t>m</w:t>
            </w:r>
            <w:r w:rsidR="0021254F">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645E96EE" w14:textId="5AB39EA8" w:rsidR="005C2848" w:rsidRPr="00C47F2F" w:rsidRDefault="005C2848" w:rsidP="0021254F">
            <w:pPr>
              <w:jc w:val="left"/>
              <w:rPr>
                <w:noProof/>
                <w:sz w:val="22"/>
                <w:szCs w:val="22"/>
              </w:rPr>
            </w:pPr>
            <w:r w:rsidRPr="00C47F2F">
              <w:rPr>
                <w:noProof/>
                <w:sz w:val="22"/>
                <w:szCs w:val="22"/>
              </w:rPr>
              <w:t>1</w:t>
            </w:r>
            <w:r w:rsidR="0011465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1BD1047A" w14:textId="47DC68AF" w:rsidR="005C2848" w:rsidRPr="00C47F2F" w:rsidRDefault="005C2848" w:rsidP="0021254F">
            <w:pPr>
              <w:jc w:val="left"/>
              <w:rPr>
                <w:noProof/>
                <w:sz w:val="22"/>
                <w:szCs w:val="22"/>
                <w:lang w:eastAsia="ko-KR"/>
              </w:rPr>
            </w:pPr>
            <w:r w:rsidRPr="00C47F2F">
              <w:rPr>
                <w:noProof/>
                <w:sz w:val="22"/>
                <w:szCs w:val="22"/>
              </w:rPr>
              <w:t>5</w:t>
            </w:r>
            <w:r w:rsidR="0011465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CA571E5" w14:textId="0BC4E981" w:rsidR="005C2848" w:rsidRPr="00C47F2F" w:rsidRDefault="005C2848" w:rsidP="0021254F">
            <w:pPr>
              <w:jc w:val="left"/>
              <w:rPr>
                <w:noProof/>
                <w:sz w:val="22"/>
                <w:szCs w:val="22"/>
              </w:rPr>
            </w:pPr>
            <w:r w:rsidRPr="00C47F2F">
              <w:rPr>
                <w:noProof/>
                <w:sz w:val="22"/>
                <w:szCs w:val="22"/>
              </w:rPr>
              <w:t>10</w:t>
            </w:r>
            <w:r w:rsidR="0011465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20F3329" w14:textId="24E7B020" w:rsidR="005C2848" w:rsidRPr="00C47F2F" w:rsidRDefault="005C2848" w:rsidP="0021254F">
            <w:pPr>
              <w:jc w:val="left"/>
              <w:rPr>
                <w:noProof/>
                <w:sz w:val="22"/>
                <w:szCs w:val="22"/>
              </w:rPr>
            </w:pPr>
            <w:r w:rsidRPr="00C47F2F">
              <w:rPr>
                <w:noProof/>
                <w:sz w:val="22"/>
                <w:szCs w:val="22"/>
              </w:rPr>
              <w:t>15</w:t>
            </w:r>
            <w:r w:rsidR="0011465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0C2A84FD" w14:textId="77777777" w:rsidR="005C2848" w:rsidRPr="00C47F2F" w:rsidRDefault="005C2848" w:rsidP="0021254F">
            <w:pPr>
              <w:jc w:val="left"/>
              <w:rPr>
                <w:noProof/>
                <w:sz w:val="22"/>
                <w:szCs w:val="22"/>
              </w:rPr>
            </w:pPr>
            <w:r w:rsidRPr="00C47F2F">
              <w:rPr>
                <w:noProof/>
                <w:sz w:val="22"/>
                <w:szCs w:val="22"/>
              </w:rPr>
              <w:t>Adult</w:t>
            </w:r>
          </w:p>
        </w:tc>
      </w:tr>
      <w:tr w:rsidR="005C2848" w:rsidRPr="00972C81" w14:paraId="7093CA87" w14:textId="77777777" w:rsidTr="0021254F">
        <w:trPr>
          <w:trHeight w:val="340"/>
        </w:trPr>
        <w:tc>
          <w:tcPr>
            <w:tcW w:w="2087" w:type="pct"/>
            <w:tcBorders>
              <w:top w:val="single" w:sz="4" w:space="0" w:color="auto"/>
              <w:left w:val="nil"/>
              <w:bottom w:val="nil"/>
              <w:right w:val="nil"/>
            </w:tcBorders>
            <w:hideMark/>
          </w:tcPr>
          <w:p w14:paraId="6C773693" w14:textId="77777777" w:rsidR="005C2848" w:rsidRPr="00C47F2F" w:rsidRDefault="005C2848" w:rsidP="0021254F">
            <w:pPr>
              <w:jc w:val="left"/>
              <w:rPr>
                <w:rFonts w:eastAsia="Times New Roman"/>
                <w:noProof/>
                <w:color w:val="000000"/>
                <w:sz w:val="22"/>
                <w:szCs w:val="22"/>
                <w:lang w:eastAsia="en-GB"/>
              </w:rPr>
            </w:pPr>
            <w:r w:rsidRPr="00C47F2F">
              <w:rPr>
                <w:rFonts w:eastAsia="Times New Roman"/>
                <w:noProof/>
                <w:color w:val="000000"/>
                <w:sz w:val="22"/>
                <w:szCs w:val="22"/>
                <w:lang w:eastAsia="en-GB"/>
              </w:rPr>
              <w:t>Plutonium nitrate, Pu(NO</w:t>
            </w:r>
            <w:r w:rsidRPr="00C47F2F">
              <w:rPr>
                <w:rFonts w:eastAsia="Times New Roman"/>
                <w:noProof/>
                <w:color w:val="000000"/>
                <w:sz w:val="22"/>
                <w:szCs w:val="22"/>
                <w:vertAlign w:val="subscript"/>
                <w:lang w:eastAsia="en-GB"/>
              </w:rPr>
              <w:t>3</w:t>
            </w:r>
            <w:r w:rsidRPr="00C47F2F">
              <w:rPr>
                <w:rFonts w:eastAsia="Times New Roman"/>
                <w:noProof/>
                <w:color w:val="000000"/>
                <w:sz w:val="22"/>
                <w:szCs w:val="22"/>
                <w:lang w:eastAsia="en-GB"/>
              </w:rPr>
              <w:t>)</w:t>
            </w:r>
            <w:r w:rsidRPr="00C47F2F">
              <w:rPr>
                <w:rFonts w:eastAsia="Times New Roman"/>
                <w:noProof/>
                <w:color w:val="000000"/>
                <w:sz w:val="22"/>
                <w:szCs w:val="22"/>
                <w:vertAlign w:val="subscript"/>
                <w:lang w:eastAsia="en-GB"/>
              </w:rPr>
              <w:t>4</w:t>
            </w:r>
          </w:p>
        </w:tc>
        <w:tc>
          <w:tcPr>
            <w:tcW w:w="485" w:type="pct"/>
            <w:tcBorders>
              <w:top w:val="single" w:sz="4" w:space="0" w:color="auto"/>
              <w:left w:val="nil"/>
              <w:bottom w:val="nil"/>
              <w:right w:val="nil"/>
            </w:tcBorders>
            <w:hideMark/>
          </w:tcPr>
          <w:p w14:paraId="3475963F"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5.2E-05</w:t>
            </w:r>
          </w:p>
        </w:tc>
        <w:tc>
          <w:tcPr>
            <w:tcW w:w="485" w:type="pct"/>
            <w:tcBorders>
              <w:top w:val="single" w:sz="4" w:space="0" w:color="auto"/>
              <w:left w:val="nil"/>
              <w:bottom w:val="nil"/>
              <w:right w:val="nil"/>
            </w:tcBorders>
            <w:hideMark/>
          </w:tcPr>
          <w:p w14:paraId="1E11B7A5"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4.9E-05</w:t>
            </w:r>
          </w:p>
        </w:tc>
        <w:tc>
          <w:tcPr>
            <w:tcW w:w="485" w:type="pct"/>
            <w:tcBorders>
              <w:top w:val="single" w:sz="4" w:space="0" w:color="auto"/>
              <w:left w:val="nil"/>
              <w:bottom w:val="nil"/>
              <w:right w:val="nil"/>
            </w:tcBorders>
            <w:hideMark/>
          </w:tcPr>
          <w:p w14:paraId="28BEF6BB"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3.4E-05</w:t>
            </w:r>
          </w:p>
        </w:tc>
        <w:tc>
          <w:tcPr>
            <w:tcW w:w="485" w:type="pct"/>
            <w:tcBorders>
              <w:top w:val="single" w:sz="4" w:space="0" w:color="auto"/>
              <w:left w:val="nil"/>
              <w:bottom w:val="nil"/>
              <w:right w:val="nil"/>
            </w:tcBorders>
            <w:hideMark/>
          </w:tcPr>
          <w:p w14:paraId="410C29D8"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2.5E-05</w:t>
            </w:r>
          </w:p>
        </w:tc>
        <w:tc>
          <w:tcPr>
            <w:tcW w:w="485" w:type="pct"/>
            <w:tcBorders>
              <w:top w:val="single" w:sz="4" w:space="0" w:color="auto"/>
              <w:left w:val="nil"/>
              <w:bottom w:val="nil"/>
              <w:right w:val="nil"/>
            </w:tcBorders>
            <w:hideMark/>
          </w:tcPr>
          <w:p w14:paraId="0AAE0901"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2.3E-05</w:t>
            </w:r>
          </w:p>
        </w:tc>
        <w:tc>
          <w:tcPr>
            <w:tcW w:w="485" w:type="pct"/>
            <w:tcBorders>
              <w:top w:val="single" w:sz="4" w:space="0" w:color="auto"/>
              <w:left w:val="nil"/>
              <w:bottom w:val="nil"/>
              <w:right w:val="nil"/>
            </w:tcBorders>
            <w:hideMark/>
          </w:tcPr>
          <w:p w14:paraId="519C346B"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2.5E-05</w:t>
            </w:r>
          </w:p>
        </w:tc>
      </w:tr>
      <w:tr w:rsidR="005C2848" w:rsidRPr="00972C81" w14:paraId="29F7FFD7" w14:textId="77777777" w:rsidTr="0021254F">
        <w:trPr>
          <w:trHeight w:val="340"/>
        </w:trPr>
        <w:tc>
          <w:tcPr>
            <w:tcW w:w="2087" w:type="pct"/>
            <w:tcBorders>
              <w:top w:val="nil"/>
              <w:left w:val="nil"/>
              <w:bottom w:val="nil"/>
              <w:right w:val="nil"/>
            </w:tcBorders>
            <w:hideMark/>
          </w:tcPr>
          <w:p w14:paraId="70CD9F31" w14:textId="77777777" w:rsidR="005C2848" w:rsidRPr="00C47F2F" w:rsidRDefault="005C2848" w:rsidP="0021254F">
            <w:pPr>
              <w:jc w:val="left"/>
              <w:rPr>
                <w:rFonts w:eastAsia="Times New Roman"/>
                <w:noProof/>
                <w:color w:val="000000"/>
                <w:sz w:val="22"/>
                <w:szCs w:val="22"/>
                <w:lang w:eastAsia="en-GB"/>
              </w:rPr>
            </w:pPr>
            <w:r w:rsidRPr="00C47F2F">
              <w:rPr>
                <w:rFonts w:eastAsia="Times New Roman"/>
                <w:noProof/>
                <w:color w:val="000000"/>
                <w:sz w:val="22"/>
                <w:szCs w:val="22"/>
                <w:lang w:eastAsia="en-GB"/>
              </w:rPr>
              <w:t xml:space="preserve">Plutonium-239 dioxide, </w:t>
            </w:r>
            <w:r w:rsidRPr="00C47F2F">
              <w:rPr>
                <w:rFonts w:eastAsia="Times New Roman"/>
                <w:noProof/>
                <w:color w:val="000000"/>
                <w:sz w:val="22"/>
                <w:szCs w:val="22"/>
                <w:vertAlign w:val="superscript"/>
                <w:lang w:eastAsia="en-GB"/>
              </w:rPr>
              <w:t>239</w:t>
            </w:r>
            <w:r w:rsidRPr="00C47F2F">
              <w:rPr>
                <w:rFonts w:eastAsia="Times New Roman"/>
                <w:noProof/>
                <w:color w:val="000000"/>
                <w:sz w:val="22"/>
                <w:szCs w:val="22"/>
                <w:lang w:eastAsia="en-GB"/>
              </w:rPr>
              <w:t>PuO</w:t>
            </w:r>
            <w:r w:rsidRPr="00C47F2F">
              <w:rPr>
                <w:rFonts w:eastAsia="Times New Roman"/>
                <w:noProof/>
                <w:color w:val="000000"/>
                <w:sz w:val="22"/>
                <w:szCs w:val="22"/>
                <w:vertAlign w:val="subscript"/>
                <w:lang w:eastAsia="en-GB"/>
              </w:rPr>
              <w:t>2</w:t>
            </w:r>
            <w:r w:rsidRPr="00C47F2F">
              <w:rPr>
                <w:rFonts w:eastAsia="Times New Roman"/>
                <w:noProof/>
                <w:color w:val="000000"/>
                <w:sz w:val="22"/>
                <w:szCs w:val="22"/>
                <w:lang w:eastAsia="en-GB"/>
              </w:rPr>
              <w:t>; Plutonium in mixed oxide (MOX: (UO</w:t>
            </w:r>
            <w:r w:rsidRPr="00C47F2F">
              <w:rPr>
                <w:rFonts w:eastAsia="Times New Roman"/>
                <w:noProof/>
                <w:color w:val="000000"/>
                <w:sz w:val="22"/>
                <w:szCs w:val="22"/>
                <w:vertAlign w:val="subscript"/>
                <w:lang w:eastAsia="en-GB"/>
              </w:rPr>
              <w:t>2</w:t>
            </w:r>
            <w:r w:rsidRPr="00C47F2F">
              <w:rPr>
                <w:rFonts w:eastAsia="Times New Roman"/>
                <w:noProof/>
                <w:color w:val="000000"/>
                <w:sz w:val="22"/>
                <w:szCs w:val="22"/>
                <w:lang w:eastAsia="en-GB"/>
              </w:rPr>
              <w:t xml:space="preserve"> + PuO</w:t>
            </w:r>
            <w:r w:rsidRPr="00C47F2F">
              <w:rPr>
                <w:rFonts w:eastAsia="Times New Roman"/>
                <w:noProof/>
                <w:color w:val="000000"/>
                <w:sz w:val="22"/>
                <w:szCs w:val="22"/>
                <w:vertAlign w:val="subscript"/>
                <w:lang w:eastAsia="en-GB"/>
              </w:rPr>
              <w:t>2</w:t>
            </w:r>
            <w:r w:rsidRPr="00C47F2F">
              <w:rPr>
                <w:rFonts w:eastAsia="Times New Roman"/>
                <w:noProof/>
                <w:color w:val="000000"/>
                <w:sz w:val="22"/>
                <w:szCs w:val="22"/>
                <w:lang w:eastAsia="en-GB"/>
              </w:rPr>
              <w:t>) or (U,Pu)O</w:t>
            </w:r>
            <w:r w:rsidRPr="00C47F2F">
              <w:rPr>
                <w:rFonts w:eastAsia="Times New Roman"/>
                <w:noProof/>
                <w:color w:val="000000"/>
                <w:sz w:val="22"/>
                <w:szCs w:val="22"/>
                <w:vertAlign w:val="subscript"/>
                <w:lang w:eastAsia="en-GB"/>
              </w:rPr>
              <w:t>2</w:t>
            </w:r>
            <w:r w:rsidRPr="00C47F2F">
              <w:rPr>
                <w:rFonts w:eastAsia="Times New Roman"/>
                <w:noProof/>
                <w:color w:val="000000"/>
                <w:sz w:val="22"/>
                <w:szCs w:val="22"/>
                <w:lang w:eastAsia="en-GB"/>
              </w:rPr>
              <w:t>)</w:t>
            </w:r>
          </w:p>
        </w:tc>
        <w:tc>
          <w:tcPr>
            <w:tcW w:w="485" w:type="pct"/>
            <w:tcBorders>
              <w:top w:val="nil"/>
              <w:left w:val="nil"/>
              <w:bottom w:val="nil"/>
              <w:right w:val="nil"/>
            </w:tcBorders>
            <w:hideMark/>
          </w:tcPr>
          <w:p w14:paraId="1B610846"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8.4E-05</w:t>
            </w:r>
          </w:p>
        </w:tc>
        <w:tc>
          <w:tcPr>
            <w:tcW w:w="485" w:type="pct"/>
            <w:tcBorders>
              <w:top w:val="nil"/>
              <w:left w:val="nil"/>
              <w:bottom w:val="nil"/>
              <w:right w:val="nil"/>
            </w:tcBorders>
            <w:hideMark/>
          </w:tcPr>
          <w:p w14:paraId="7487277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8.6E-05</w:t>
            </w:r>
          </w:p>
        </w:tc>
        <w:tc>
          <w:tcPr>
            <w:tcW w:w="485" w:type="pct"/>
            <w:tcBorders>
              <w:top w:val="nil"/>
              <w:left w:val="nil"/>
              <w:bottom w:val="nil"/>
              <w:right w:val="nil"/>
            </w:tcBorders>
            <w:hideMark/>
          </w:tcPr>
          <w:p w14:paraId="0000F4DE"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6.6E-05</w:t>
            </w:r>
          </w:p>
        </w:tc>
        <w:tc>
          <w:tcPr>
            <w:tcW w:w="485" w:type="pct"/>
            <w:tcBorders>
              <w:top w:val="nil"/>
              <w:left w:val="nil"/>
              <w:bottom w:val="nil"/>
              <w:right w:val="nil"/>
            </w:tcBorders>
            <w:hideMark/>
          </w:tcPr>
          <w:p w14:paraId="3FBEA1D2"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5.2E-05</w:t>
            </w:r>
          </w:p>
        </w:tc>
        <w:tc>
          <w:tcPr>
            <w:tcW w:w="485" w:type="pct"/>
            <w:tcBorders>
              <w:top w:val="nil"/>
              <w:left w:val="nil"/>
              <w:bottom w:val="nil"/>
              <w:right w:val="nil"/>
            </w:tcBorders>
            <w:hideMark/>
          </w:tcPr>
          <w:p w14:paraId="0F52BF79"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5.0E-05</w:t>
            </w:r>
          </w:p>
        </w:tc>
        <w:tc>
          <w:tcPr>
            <w:tcW w:w="485" w:type="pct"/>
            <w:tcBorders>
              <w:top w:val="nil"/>
              <w:left w:val="nil"/>
              <w:bottom w:val="nil"/>
              <w:right w:val="nil"/>
            </w:tcBorders>
            <w:hideMark/>
          </w:tcPr>
          <w:p w14:paraId="74883F79"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4.8E-05</w:t>
            </w:r>
          </w:p>
        </w:tc>
      </w:tr>
      <w:tr w:rsidR="005C2848" w:rsidRPr="00972C81" w14:paraId="18EBEADE" w14:textId="77777777" w:rsidTr="0021254F">
        <w:trPr>
          <w:trHeight w:val="340"/>
        </w:trPr>
        <w:tc>
          <w:tcPr>
            <w:tcW w:w="2087" w:type="pct"/>
            <w:tcBorders>
              <w:top w:val="nil"/>
              <w:left w:val="nil"/>
              <w:bottom w:val="nil"/>
              <w:right w:val="nil"/>
            </w:tcBorders>
            <w:hideMark/>
          </w:tcPr>
          <w:p w14:paraId="3FF128EE" w14:textId="77777777" w:rsidR="005C2848" w:rsidRPr="00C47F2F" w:rsidRDefault="005C2848" w:rsidP="0021254F">
            <w:pPr>
              <w:jc w:val="left"/>
              <w:rPr>
                <w:rFonts w:eastAsia="Times New Roman"/>
                <w:noProof/>
                <w:color w:val="000000"/>
                <w:sz w:val="22"/>
                <w:szCs w:val="22"/>
                <w:lang w:val="fr-FR" w:eastAsia="en-GB"/>
              </w:rPr>
            </w:pPr>
            <w:r w:rsidRPr="00C47F2F">
              <w:rPr>
                <w:rFonts w:eastAsia="Times New Roman"/>
                <w:noProof/>
                <w:color w:val="000000"/>
                <w:sz w:val="22"/>
                <w:szCs w:val="22"/>
                <w:lang w:val="fr-FR" w:eastAsia="en-GB"/>
              </w:rPr>
              <w:t>Plutonium dioxide 1-nm nanoparticles, 1-nm PuO</w:t>
            </w:r>
            <w:r w:rsidRPr="00C47F2F">
              <w:rPr>
                <w:rFonts w:eastAsia="Times New Roman"/>
                <w:noProof/>
                <w:color w:val="000000"/>
                <w:sz w:val="22"/>
                <w:szCs w:val="22"/>
                <w:vertAlign w:val="subscript"/>
                <w:lang w:val="fr-FR" w:eastAsia="en-GB"/>
              </w:rPr>
              <w:t>2</w:t>
            </w:r>
          </w:p>
        </w:tc>
        <w:tc>
          <w:tcPr>
            <w:tcW w:w="485" w:type="pct"/>
            <w:tcBorders>
              <w:top w:val="nil"/>
              <w:left w:val="nil"/>
              <w:bottom w:val="nil"/>
              <w:right w:val="nil"/>
            </w:tcBorders>
            <w:hideMark/>
          </w:tcPr>
          <w:p w14:paraId="21BBFC58"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6.5E-05</w:t>
            </w:r>
          </w:p>
        </w:tc>
        <w:tc>
          <w:tcPr>
            <w:tcW w:w="485" w:type="pct"/>
            <w:tcBorders>
              <w:top w:val="nil"/>
              <w:left w:val="nil"/>
              <w:bottom w:val="nil"/>
              <w:right w:val="nil"/>
            </w:tcBorders>
            <w:hideMark/>
          </w:tcPr>
          <w:p w14:paraId="43CC7331"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6.1E-05</w:t>
            </w:r>
          </w:p>
        </w:tc>
        <w:tc>
          <w:tcPr>
            <w:tcW w:w="485" w:type="pct"/>
            <w:tcBorders>
              <w:top w:val="nil"/>
              <w:left w:val="nil"/>
              <w:bottom w:val="nil"/>
              <w:right w:val="nil"/>
            </w:tcBorders>
            <w:hideMark/>
          </w:tcPr>
          <w:p w14:paraId="156BF39F"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4.3E-05</w:t>
            </w:r>
          </w:p>
        </w:tc>
        <w:tc>
          <w:tcPr>
            <w:tcW w:w="485" w:type="pct"/>
            <w:tcBorders>
              <w:top w:val="nil"/>
              <w:left w:val="nil"/>
              <w:bottom w:val="nil"/>
              <w:right w:val="nil"/>
            </w:tcBorders>
            <w:hideMark/>
          </w:tcPr>
          <w:p w14:paraId="696DE5EA"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3.2E-05</w:t>
            </w:r>
          </w:p>
        </w:tc>
        <w:tc>
          <w:tcPr>
            <w:tcW w:w="485" w:type="pct"/>
            <w:tcBorders>
              <w:top w:val="nil"/>
              <w:left w:val="nil"/>
              <w:bottom w:val="nil"/>
              <w:right w:val="nil"/>
            </w:tcBorders>
            <w:hideMark/>
          </w:tcPr>
          <w:p w14:paraId="381A22F7"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3.1E-05</w:t>
            </w:r>
          </w:p>
        </w:tc>
        <w:tc>
          <w:tcPr>
            <w:tcW w:w="485" w:type="pct"/>
            <w:tcBorders>
              <w:top w:val="nil"/>
              <w:left w:val="nil"/>
              <w:bottom w:val="nil"/>
              <w:right w:val="nil"/>
            </w:tcBorders>
            <w:hideMark/>
          </w:tcPr>
          <w:p w14:paraId="5DBC3937"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3.3E-05</w:t>
            </w:r>
          </w:p>
        </w:tc>
      </w:tr>
      <w:tr w:rsidR="005C2848" w:rsidRPr="00972C81" w14:paraId="49F42350" w14:textId="77777777" w:rsidTr="0021254F">
        <w:trPr>
          <w:trHeight w:val="340"/>
        </w:trPr>
        <w:tc>
          <w:tcPr>
            <w:tcW w:w="2087" w:type="pct"/>
            <w:tcBorders>
              <w:top w:val="nil"/>
              <w:left w:val="nil"/>
              <w:bottom w:val="nil"/>
              <w:right w:val="nil"/>
            </w:tcBorders>
            <w:hideMark/>
          </w:tcPr>
          <w:p w14:paraId="2D9E121A" w14:textId="77777777" w:rsidR="005C2848" w:rsidRPr="00C47F2F" w:rsidRDefault="005C2848" w:rsidP="0021254F">
            <w:pPr>
              <w:jc w:val="left"/>
              <w:rPr>
                <w:rFonts w:eastAsiaTheme="minorHAnsi"/>
                <w:noProof/>
                <w:color w:val="000000"/>
                <w:sz w:val="22"/>
                <w:szCs w:val="22"/>
              </w:rPr>
            </w:pPr>
            <w:r w:rsidRPr="00C47F2F">
              <w:rPr>
                <w:noProof/>
                <w:color w:val="000000"/>
                <w:sz w:val="22"/>
                <w:szCs w:val="22"/>
              </w:rPr>
              <w:t>Type F</w:t>
            </w:r>
          </w:p>
        </w:tc>
        <w:tc>
          <w:tcPr>
            <w:tcW w:w="485" w:type="pct"/>
            <w:tcBorders>
              <w:top w:val="nil"/>
              <w:left w:val="nil"/>
              <w:bottom w:val="nil"/>
              <w:right w:val="nil"/>
            </w:tcBorders>
            <w:hideMark/>
          </w:tcPr>
          <w:p w14:paraId="242945EA"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7.2E-05</w:t>
            </w:r>
          </w:p>
        </w:tc>
        <w:tc>
          <w:tcPr>
            <w:tcW w:w="485" w:type="pct"/>
            <w:tcBorders>
              <w:top w:val="nil"/>
              <w:left w:val="nil"/>
              <w:bottom w:val="nil"/>
              <w:right w:val="nil"/>
            </w:tcBorders>
            <w:hideMark/>
          </w:tcPr>
          <w:p w14:paraId="5E6BED02"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6.6E-05</w:t>
            </w:r>
          </w:p>
        </w:tc>
        <w:tc>
          <w:tcPr>
            <w:tcW w:w="485" w:type="pct"/>
            <w:tcBorders>
              <w:top w:val="nil"/>
              <w:left w:val="nil"/>
              <w:bottom w:val="nil"/>
              <w:right w:val="nil"/>
            </w:tcBorders>
            <w:hideMark/>
          </w:tcPr>
          <w:p w14:paraId="6D705F1C"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4.7E-05</w:t>
            </w:r>
          </w:p>
        </w:tc>
        <w:tc>
          <w:tcPr>
            <w:tcW w:w="485" w:type="pct"/>
            <w:tcBorders>
              <w:top w:val="nil"/>
              <w:left w:val="nil"/>
              <w:bottom w:val="nil"/>
              <w:right w:val="nil"/>
            </w:tcBorders>
            <w:hideMark/>
          </w:tcPr>
          <w:p w14:paraId="0AFD98E8"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3.5E-05</w:t>
            </w:r>
          </w:p>
        </w:tc>
        <w:tc>
          <w:tcPr>
            <w:tcW w:w="485" w:type="pct"/>
            <w:tcBorders>
              <w:top w:val="nil"/>
              <w:left w:val="nil"/>
              <w:bottom w:val="nil"/>
              <w:right w:val="nil"/>
            </w:tcBorders>
            <w:hideMark/>
          </w:tcPr>
          <w:p w14:paraId="3DDFA6C4"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3.5E-05</w:t>
            </w:r>
          </w:p>
        </w:tc>
        <w:tc>
          <w:tcPr>
            <w:tcW w:w="485" w:type="pct"/>
            <w:tcBorders>
              <w:top w:val="nil"/>
              <w:left w:val="nil"/>
              <w:bottom w:val="nil"/>
              <w:right w:val="nil"/>
            </w:tcBorders>
            <w:hideMark/>
          </w:tcPr>
          <w:p w14:paraId="480D86AB"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3.7E-05</w:t>
            </w:r>
          </w:p>
        </w:tc>
      </w:tr>
      <w:tr w:rsidR="005C2848" w:rsidRPr="00972C81" w14:paraId="3A55CEAC" w14:textId="77777777" w:rsidTr="0021254F">
        <w:trPr>
          <w:trHeight w:val="340"/>
        </w:trPr>
        <w:tc>
          <w:tcPr>
            <w:tcW w:w="2087" w:type="pct"/>
            <w:tcBorders>
              <w:top w:val="nil"/>
              <w:left w:val="nil"/>
              <w:bottom w:val="nil"/>
              <w:right w:val="nil"/>
            </w:tcBorders>
            <w:hideMark/>
          </w:tcPr>
          <w:p w14:paraId="35FBA20F" w14:textId="77777777" w:rsidR="005C2848" w:rsidRPr="00C47F2F" w:rsidRDefault="005C2848" w:rsidP="0021254F">
            <w:pPr>
              <w:jc w:val="left"/>
              <w:rPr>
                <w:rFonts w:eastAsiaTheme="minorHAnsi"/>
                <w:noProof/>
                <w:sz w:val="22"/>
                <w:szCs w:val="22"/>
                <w:lang w:val="fr-FR"/>
              </w:rPr>
            </w:pPr>
            <w:r w:rsidRPr="00C47F2F">
              <w:rPr>
                <w:noProof/>
                <w:sz w:val="22"/>
                <w:szCs w:val="22"/>
                <w:lang w:val="fr-FR"/>
              </w:rPr>
              <w:t xml:space="preserve">Type M, </w:t>
            </w:r>
            <w:r w:rsidRPr="00C47F2F">
              <w:rPr>
                <w:rFonts w:eastAsia="Times New Roman"/>
                <w:noProof/>
                <w:color w:val="000000"/>
                <w:sz w:val="22"/>
                <w:szCs w:val="22"/>
                <w:lang w:val="fr-FR" w:eastAsia="en-GB"/>
              </w:rPr>
              <w:t>plutonium citrate; Plutonium tri-butyl-phosphate (Pu-TBP) ; Plutonium chloride (PuCl</w:t>
            </w:r>
            <w:r w:rsidRPr="00C47F2F">
              <w:rPr>
                <w:rFonts w:eastAsia="Times New Roman"/>
                <w:noProof/>
                <w:color w:val="000000"/>
                <w:sz w:val="22"/>
                <w:szCs w:val="22"/>
                <w:vertAlign w:val="subscript"/>
                <w:lang w:val="fr-FR" w:eastAsia="en-GB"/>
              </w:rPr>
              <w:t>3</w:t>
            </w:r>
            <w:r w:rsidRPr="00C47F2F">
              <w:rPr>
                <w:rFonts w:eastAsia="Times New Roman"/>
                <w:noProof/>
                <w:color w:val="000000"/>
                <w:sz w:val="22"/>
                <w:szCs w:val="22"/>
                <w:lang w:val="fr-FR" w:eastAsia="en-GB"/>
              </w:rPr>
              <w:t>)</w:t>
            </w:r>
          </w:p>
        </w:tc>
        <w:tc>
          <w:tcPr>
            <w:tcW w:w="485" w:type="pct"/>
            <w:tcBorders>
              <w:top w:val="nil"/>
              <w:left w:val="nil"/>
              <w:bottom w:val="nil"/>
              <w:right w:val="nil"/>
            </w:tcBorders>
            <w:hideMark/>
          </w:tcPr>
          <w:p w14:paraId="1184E5CE"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5.4E-05</w:t>
            </w:r>
          </w:p>
        </w:tc>
        <w:tc>
          <w:tcPr>
            <w:tcW w:w="485" w:type="pct"/>
            <w:tcBorders>
              <w:top w:val="nil"/>
              <w:left w:val="nil"/>
              <w:bottom w:val="nil"/>
              <w:right w:val="nil"/>
            </w:tcBorders>
            <w:hideMark/>
          </w:tcPr>
          <w:p w14:paraId="3270C6D6"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5.2E-05</w:t>
            </w:r>
          </w:p>
        </w:tc>
        <w:tc>
          <w:tcPr>
            <w:tcW w:w="485" w:type="pct"/>
            <w:tcBorders>
              <w:top w:val="nil"/>
              <w:left w:val="nil"/>
              <w:bottom w:val="nil"/>
              <w:right w:val="nil"/>
            </w:tcBorders>
            <w:hideMark/>
          </w:tcPr>
          <w:p w14:paraId="2B88BFA8"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3.5E-05</w:t>
            </w:r>
          </w:p>
        </w:tc>
        <w:tc>
          <w:tcPr>
            <w:tcW w:w="485" w:type="pct"/>
            <w:tcBorders>
              <w:top w:val="nil"/>
              <w:left w:val="nil"/>
              <w:bottom w:val="nil"/>
              <w:right w:val="nil"/>
            </w:tcBorders>
            <w:hideMark/>
          </w:tcPr>
          <w:p w14:paraId="382D678C"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2.6E-05</w:t>
            </w:r>
          </w:p>
        </w:tc>
        <w:tc>
          <w:tcPr>
            <w:tcW w:w="485" w:type="pct"/>
            <w:tcBorders>
              <w:top w:val="nil"/>
              <w:left w:val="nil"/>
              <w:bottom w:val="nil"/>
              <w:right w:val="nil"/>
            </w:tcBorders>
            <w:hideMark/>
          </w:tcPr>
          <w:p w14:paraId="40EA45B1"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2.5E-05</w:t>
            </w:r>
          </w:p>
        </w:tc>
        <w:tc>
          <w:tcPr>
            <w:tcW w:w="485" w:type="pct"/>
            <w:tcBorders>
              <w:top w:val="nil"/>
              <w:left w:val="nil"/>
              <w:bottom w:val="nil"/>
              <w:right w:val="nil"/>
            </w:tcBorders>
            <w:hideMark/>
          </w:tcPr>
          <w:p w14:paraId="76807D5A"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2.7E-05</w:t>
            </w:r>
          </w:p>
        </w:tc>
      </w:tr>
      <w:tr w:rsidR="005C2848" w:rsidRPr="00972C81" w14:paraId="2991D1AC" w14:textId="77777777" w:rsidTr="0021254F">
        <w:trPr>
          <w:trHeight w:val="340"/>
        </w:trPr>
        <w:tc>
          <w:tcPr>
            <w:tcW w:w="2087" w:type="pct"/>
            <w:tcBorders>
              <w:top w:val="nil"/>
              <w:left w:val="nil"/>
              <w:bottom w:val="single" w:sz="4" w:space="0" w:color="auto"/>
              <w:right w:val="nil"/>
            </w:tcBorders>
            <w:hideMark/>
          </w:tcPr>
          <w:p w14:paraId="08E66265" w14:textId="77777777" w:rsidR="005C2848" w:rsidRPr="00C47F2F" w:rsidRDefault="005C2848" w:rsidP="0021254F">
            <w:pPr>
              <w:jc w:val="left"/>
              <w:rPr>
                <w:rFonts w:eastAsiaTheme="minorHAnsi"/>
                <w:noProof/>
                <w:sz w:val="22"/>
                <w:szCs w:val="22"/>
              </w:rPr>
            </w:pPr>
            <w:r w:rsidRPr="00C47F2F">
              <w:rPr>
                <w:noProof/>
                <w:sz w:val="22"/>
                <w:szCs w:val="22"/>
              </w:rPr>
              <w:t>Type S</w:t>
            </w:r>
          </w:p>
        </w:tc>
        <w:tc>
          <w:tcPr>
            <w:tcW w:w="485" w:type="pct"/>
            <w:tcBorders>
              <w:top w:val="nil"/>
              <w:left w:val="nil"/>
              <w:bottom w:val="single" w:sz="4" w:space="0" w:color="auto"/>
              <w:right w:val="nil"/>
            </w:tcBorders>
            <w:hideMark/>
          </w:tcPr>
          <w:p w14:paraId="0959823B"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6.3E-05</w:t>
            </w:r>
          </w:p>
        </w:tc>
        <w:tc>
          <w:tcPr>
            <w:tcW w:w="485" w:type="pct"/>
            <w:tcBorders>
              <w:top w:val="nil"/>
              <w:left w:val="nil"/>
              <w:bottom w:val="single" w:sz="4" w:space="0" w:color="auto"/>
              <w:right w:val="nil"/>
            </w:tcBorders>
            <w:hideMark/>
          </w:tcPr>
          <w:p w14:paraId="49E5B42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6.2E-05</w:t>
            </w:r>
          </w:p>
        </w:tc>
        <w:tc>
          <w:tcPr>
            <w:tcW w:w="485" w:type="pct"/>
            <w:tcBorders>
              <w:top w:val="nil"/>
              <w:left w:val="nil"/>
              <w:bottom w:val="single" w:sz="4" w:space="0" w:color="auto"/>
              <w:right w:val="nil"/>
            </w:tcBorders>
            <w:hideMark/>
          </w:tcPr>
          <w:p w14:paraId="0C3C0D4A"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4.5E-05</w:t>
            </w:r>
          </w:p>
        </w:tc>
        <w:tc>
          <w:tcPr>
            <w:tcW w:w="485" w:type="pct"/>
            <w:tcBorders>
              <w:top w:val="nil"/>
              <w:left w:val="nil"/>
              <w:bottom w:val="single" w:sz="4" w:space="0" w:color="auto"/>
              <w:right w:val="nil"/>
            </w:tcBorders>
            <w:hideMark/>
          </w:tcPr>
          <w:p w14:paraId="76D6854E"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3.4E-05</w:t>
            </w:r>
          </w:p>
        </w:tc>
        <w:tc>
          <w:tcPr>
            <w:tcW w:w="485" w:type="pct"/>
            <w:tcBorders>
              <w:top w:val="nil"/>
              <w:left w:val="nil"/>
              <w:bottom w:val="single" w:sz="4" w:space="0" w:color="auto"/>
              <w:right w:val="nil"/>
            </w:tcBorders>
            <w:hideMark/>
          </w:tcPr>
          <w:p w14:paraId="1EC4EEBC"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3.3E-05</w:t>
            </w:r>
          </w:p>
        </w:tc>
        <w:tc>
          <w:tcPr>
            <w:tcW w:w="485" w:type="pct"/>
            <w:tcBorders>
              <w:top w:val="nil"/>
              <w:left w:val="nil"/>
              <w:bottom w:val="single" w:sz="4" w:space="0" w:color="auto"/>
              <w:right w:val="nil"/>
            </w:tcBorders>
            <w:hideMark/>
          </w:tcPr>
          <w:p w14:paraId="04075D45"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3.3E-05</w:t>
            </w:r>
          </w:p>
        </w:tc>
      </w:tr>
      <w:tr w:rsidR="005C2848" w:rsidRPr="00972C81" w14:paraId="41AF2FD0" w14:textId="77777777" w:rsidTr="0021254F">
        <w:trPr>
          <w:trHeight w:val="340"/>
        </w:trPr>
        <w:tc>
          <w:tcPr>
            <w:tcW w:w="2087" w:type="pct"/>
            <w:tcBorders>
              <w:top w:val="single" w:sz="4" w:space="0" w:color="auto"/>
              <w:left w:val="nil"/>
              <w:bottom w:val="single" w:sz="4" w:space="0" w:color="auto"/>
              <w:right w:val="nil"/>
            </w:tcBorders>
          </w:tcPr>
          <w:p w14:paraId="5A257066" w14:textId="77777777" w:rsidR="005C2848" w:rsidRPr="00C47F2F" w:rsidRDefault="005C2848" w:rsidP="00C47F2F">
            <w:pPr>
              <w:jc w:val="left"/>
              <w:rPr>
                <w:rFonts w:eastAsiaTheme="minorHAnsi"/>
                <w:noProof/>
                <w:sz w:val="22"/>
                <w:szCs w:val="22"/>
              </w:rPr>
            </w:pPr>
          </w:p>
          <w:p w14:paraId="6955ECBE" w14:textId="77777777" w:rsidR="005C2848" w:rsidRPr="00C47F2F" w:rsidRDefault="005C2848"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20682040"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55A9E7F4"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72345806"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5D21DCF5"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772689BA"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1C7EA5E6" w14:textId="77777777" w:rsidR="005C2848" w:rsidRPr="00C47F2F" w:rsidRDefault="005C2848" w:rsidP="00C47F2F">
            <w:pPr>
              <w:jc w:val="left"/>
              <w:rPr>
                <w:rFonts w:eastAsia="Times New Roman"/>
                <w:noProof/>
                <w:color w:val="000000"/>
                <w:sz w:val="22"/>
                <w:szCs w:val="22"/>
              </w:rPr>
            </w:pPr>
          </w:p>
        </w:tc>
      </w:tr>
      <w:tr w:rsidR="005C2848" w:rsidRPr="00972C81" w14:paraId="22711A3B" w14:textId="77777777" w:rsidTr="0021254F">
        <w:trPr>
          <w:trHeight w:val="340"/>
        </w:trPr>
        <w:tc>
          <w:tcPr>
            <w:tcW w:w="2087" w:type="pct"/>
            <w:tcBorders>
              <w:top w:val="single" w:sz="4" w:space="0" w:color="auto"/>
              <w:left w:val="nil"/>
              <w:bottom w:val="nil"/>
              <w:right w:val="nil"/>
            </w:tcBorders>
            <w:hideMark/>
          </w:tcPr>
          <w:p w14:paraId="78CA0E6F" w14:textId="4CD7070D" w:rsidR="005C2848" w:rsidRPr="00C47F2F" w:rsidRDefault="005C2848" w:rsidP="0021254F">
            <w:pPr>
              <w:jc w:val="left"/>
              <w:rPr>
                <w:rFonts w:eastAsiaTheme="minorHAnsi"/>
                <w:noProof/>
                <w:sz w:val="22"/>
                <w:szCs w:val="22"/>
              </w:rPr>
            </w:pPr>
            <w:r w:rsidRPr="00C47F2F">
              <w:rPr>
                <w:rFonts w:eastAsia="Times New Roman"/>
                <w:noProof/>
                <w:color w:val="000000"/>
                <w:sz w:val="22"/>
                <w:szCs w:val="22"/>
                <w:lang w:eastAsia="en-GB"/>
              </w:rPr>
              <w:t>Soluble forms (nitrate,chloride, bicarbonates,…)</w:t>
            </w:r>
          </w:p>
        </w:tc>
        <w:tc>
          <w:tcPr>
            <w:tcW w:w="485" w:type="pct"/>
            <w:tcBorders>
              <w:top w:val="single" w:sz="4" w:space="0" w:color="auto"/>
              <w:left w:val="nil"/>
              <w:bottom w:val="nil"/>
              <w:right w:val="nil"/>
            </w:tcBorders>
            <w:hideMark/>
          </w:tcPr>
          <w:p w14:paraId="7A98AA49"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3.0E-06</w:t>
            </w:r>
          </w:p>
        </w:tc>
        <w:tc>
          <w:tcPr>
            <w:tcW w:w="485" w:type="pct"/>
            <w:tcBorders>
              <w:top w:val="single" w:sz="4" w:space="0" w:color="auto"/>
              <w:left w:val="nil"/>
              <w:bottom w:val="nil"/>
              <w:right w:val="nil"/>
            </w:tcBorders>
            <w:hideMark/>
          </w:tcPr>
          <w:p w14:paraId="4DC9BD5C"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2.6E-07</w:t>
            </w:r>
          </w:p>
        </w:tc>
        <w:tc>
          <w:tcPr>
            <w:tcW w:w="485" w:type="pct"/>
            <w:tcBorders>
              <w:top w:val="single" w:sz="4" w:space="0" w:color="auto"/>
              <w:left w:val="nil"/>
              <w:bottom w:val="nil"/>
              <w:right w:val="nil"/>
            </w:tcBorders>
            <w:hideMark/>
          </w:tcPr>
          <w:p w14:paraId="4F726297"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1.8E-07</w:t>
            </w:r>
          </w:p>
        </w:tc>
        <w:tc>
          <w:tcPr>
            <w:tcW w:w="485" w:type="pct"/>
            <w:tcBorders>
              <w:top w:val="single" w:sz="4" w:space="0" w:color="auto"/>
              <w:left w:val="nil"/>
              <w:bottom w:val="nil"/>
              <w:right w:val="nil"/>
            </w:tcBorders>
            <w:hideMark/>
          </w:tcPr>
          <w:p w14:paraId="723D1178"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1.3E-07</w:t>
            </w:r>
          </w:p>
        </w:tc>
        <w:tc>
          <w:tcPr>
            <w:tcW w:w="485" w:type="pct"/>
            <w:tcBorders>
              <w:top w:val="single" w:sz="4" w:space="0" w:color="auto"/>
              <w:left w:val="nil"/>
              <w:bottom w:val="nil"/>
              <w:right w:val="nil"/>
            </w:tcBorders>
            <w:hideMark/>
          </w:tcPr>
          <w:p w14:paraId="2BD427E6"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1.2E-07</w:t>
            </w:r>
          </w:p>
        </w:tc>
        <w:tc>
          <w:tcPr>
            <w:tcW w:w="485" w:type="pct"/>
            <w:tcBorders>
              <w:top w:val="single" w:sz="4" w:space="0" w:color="auto"/>
              <w:left w:val="nil"/>
              <w:bottom w:val="nil"/>
              <w:right w:val="nil"/>
            </w:tcBorders>
            <w:hideMark/>
          </w:tcPr>
          <w:p w14:paraId="050B6D69"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1.2E-07</w:t>
            </w:r>
          </w:p>
        </w:tc>
      </w:tr>
      <w:tr w:rsidR="005C2848" w:rsidRPr="00972C81" w14:paraId="13F54AEA" w14:textId="77777777" w:rsidTr="0021254F">
        <w:trPr>
          <w:trHeight w:val="340"/>
        </w:trPr>
        <w:tc>
          <w:tcPr>
            <w:tcW w:w="2087" w:type="pct"/>
            <w:tcBorders>
              <w:top w:val="nil"/>
              <w:left w:val="nil"/>
              <w:bottom w:val="single" w:sz="4" w:space="0" w:color="auto"/>
              <w:right w:val="nil"/>
            </w:tcBorders>
            <w:hideMark/>
          </w:tcPr>
          <w:p w14:paraId="68080F0A" w14:textId="58C022CF" w:rsidR="005C2848" w:rsidRPr="00C47F2F" w:rsidRDefault="005C2848" w:rsidP="0021254F">
            <w:pPr>
              <w:jc w:val="left"/>
              <w:rPr>
                <w:rFonts w:eastAsiaTheme="minorHAnsi"/>
                <w:noProof/>
                <w:sz w:val="22"/>
                <w:szCs w:val="22"/>
              </w:rPr>
            </w:pPr>
            <w:r w:rsidRPr="00C47F2F">
              <w:rPr>
                <w:noProof/>
                <w:sz w:val="22"/>
                <w:szCs w:val="22"/>
              </w:rPr>
              <w:t>Insoluble forms (oxides,…)</w:t>
            </w:r>
          </w:p>
        </w:tc>
        <w:tc>
          <w:tcPr>
            <w:tcW w:w="485" w:type="pct"/>
            <w:tcBorders>
              <w:top w:val="nil"/>
              <w:left w:val="nil"/>
              <w:bottom w:val="single" w:sz="4" w:space="0" w:color="auto"/>
              <w:right w:val="nil"/>
            </w:tcBorders>
            <w:hideMark/>
          </w:tcPr>
          <w:p w14:paraId="1835E906"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6.0E-08</w:t>
            </w:r>
          </w:p>
        </w:tc>
        <w:tc>
          <w:tcPr>
            <w:tcW w:w="485" w:type="pct"/>
            <w:tcBorders>
              <w:top w:val="nil"/>
              <w:left w:val="nil"/>
              <w:bottom w:val="single" w:sz="4" w:space="0" w:color="auto"/>
              <w:right w:val="nil"/>
            </w:tcBorders>
            <w:hideMark/>
          </w:tcPr>
          <w:p w14:paraId="67393E5B"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5.3E-09</w:t>
            </w:r>
          </w:p>
        </w:tc>
        <w:tc>
          <w:tcPr>
            <w:tcW w:w="485" w:type="pct"/>
            <w:tcBorders>
              <w:top w:val="nil"/>
              <w:left w:val="nil"/>
              <w:bottom w:val="single" w:sz="4" w:space="0" w:color="auto"/>
              <w:right w:val="nil"/>
            </w:tcBorders>
            <w:hideMark/>
          </w:tcPr>
          <w:p w14:paraId="1A1A0539"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3.5E-09</w:t>
            </w:r>
          </w:p>
        </w:tc>
        <w:tc>
          <w:tcPr>
            <w:tcW w:w="485" w:type="pct"/>
            <w:tcBorders>
              <w:top w:val="nil"/>
              <w:left w:val="nil"/>
              <w:bottom w:val="single" w:sz="4" w:space="0" w:color="auto"/>
              <w:right w:val="nil"/>
            </w:tcBorders>
            <w:hideMark/>
          </w:tcPr>
          <w:p w14:paraId="73471F37"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2.7E-09</w:t>
            </w:r>
          </w:p>
        </w:tc>
        <w:tc>
          <w:tcPr>
            <w:tcW w:w="485" w:type="pct"/>
            <w:tcBorders>
              <w:top w:val="nil"/>
              <w:left w:val="nil"/>
              <w:bottom w:val="single" w:sz="4" w:space="0" w:color="auto"/>
              <w:right w:val="nil"/>
            </w:tcBorders>
            <w:hideMark/>
          </w:tcPr>
          <w:p w14:paraId="0A857413"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2.4E-09</w:t>
            </w:r>
          </w:p>
        </w:tc>
        <w:tc>
          <w:tcPr>
            <w:tcW w:w="485" w:type="pct"/>
            <w:tcBorders>
              <w:top w:val="nil"/>
              <w:left w:val="nil"/>
              <w:bottom w:val="single" w:sz="4" w:space="0" w:color="auto"/>
              <w:right w:val="nil"/>
            </w:tcBorders>
            <w:hideMark/>
          </w:tcPr>
          <w:p w14:paraId="3CC2B061"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2.4E-09</w:t>
            </w:r>
          </w:p>
        </w:tc>
      </w:tr>
    </w:tbl>
    <w:p w14:paraId="7B84E420" w14:textId="77777777" w:rsidR="005C2848" w:rsidRDefault="005C2848" w:rsidP="005C2848">
      <w:pPr>
        <w:pStyle w:val="ab"/>
        <w:rPr>
          <w:noProof/>
        </w:rPr>
      </w:pPr>
    </w:p>
    <w:p w14:paraId="2159AA29" w14:textId="116BB143" w:rsidR="005C2848" w:rsidRPr="00972C81" w:rsidRDefault="005C2848" w:rsidP="0021254F">
      <w:pPr>
        <w:widowControl/>
        <w:jc w:val="left"/>
        <w:rPr>
          <w:noProof/>
        </w:rPr>
      </w:pPr>
      <w:r w:rsidRPr="00972C81">
        <w:rPr>
          <w:noProof/>
        </w:rPr>
        <w:t>Table 22.6. Committed effective dose coefficients (Sv Bq</w:t>
      </w:r>
      <w:r w:rsidRPr="00972C81">
        <w:rPr>
          <w:noProof/>
          <w:vertAlign w:val="superscript"/>
        </w:rPr>
        <w:t>-1</w:t>
      </w:r>
      <w:r w:rsidRPr="00972C81">
        <w:rPr>
          <w:noProof/>
        </w:rPr>
        <w:t xml:space="preserve">) for the inhalation or ingestion of </w:t>
      </w:r>
      <w:r w:rsidRPr="00972C81">
        <w:rPr>
          <w:noProof/>
          <w:vertAlign w:val="superscript"/>
        </w:rPr>
        <w:t>240</w:t>
      </w:r>
      <w:r w:rsidRPr="00972C81">
        <w:rPr>
          <w:noProof/>
        </w:rPr>
        <w:t>Pu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5C2848" w:rsidRPr="00A3213E" w14:paraId="18587569" w14:textId="77777777" w:rsidTr="00C47F2F">
        <w:trPr>
          <w:trHeight w:val="283"/>
        </w:trPr>
        <w:tc>
          <w:tcPr>
            <w:tcW w:w="2087" w:type="pct"/>
            <w:vMerge w:val="restart"/>
            <w:tcBorders>
              <w:top w:val="single" w:sz="4" w:space="0" w:color="auto"/>
              <w:left w:val="nil"/>
              <w:bottom w:val="single" w:sz="4" w:space="0" w:color="auto"/>
              <w:right w:val="nil"/>
            </w:tcBorders>
            <w:vAlign w:val="bottom"/>
            <w:hideMark/>
          </w:tcPr>
          <w:p w14:paraId="7E991D6F" w14:textId="77777777" w:rsidR="0011465C" w:rsidRDefault="005C2848">
            <w:pPr>
              <w:pStyle w:val="a5"/>
              <w:tabs>
                <w:tab w:val="clear" w:pos="4153"/>
                <w:tab w:val="clear" w:pos="8306"/>
              </w:tabs>
              <w:rPr>
                <w:noProof/>
                <w:sz w:val="22"/>
                <w:szCs w:val="22"/>
              </w:rPr>
            </w:pPr>
            <w:r w:rsidRPr="00C47F2F">
              <w:rPr>
                <w:noProof/>
                <w:sz w:val="22"/>
                <w:szCs w:val="22"/>
              </w:rPr>
              <w:t>Inhaled particulate materials</w:t>
            </w:r>
          </w:p>
          <w:p w14:paraId="48F7C050" w14:textId="1014A0CC" w:rsidR="005C2848" w:rsidRPr="0011465C" w:rsidRDefault="005C2848" w:rsidP="00C47F2F">
            <w:pPr>
              <w:pStyle w:val="a5"/>
              <w:tabs>
                <w:tab w:val="clear" w:pos="4153"/>
                <w:tab w:val="clear" w:pos="8306"/>
              </w:tabs>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6399A4E9" w14:textId="77777777" w:rsidR="005C2848" w:rsidRPr="00C47F2F" w:rsidRDefault="005C2848">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5C2848" w:rsidRPr="00972C81" w14:paraId="4B71885F" w14:textId="77777777" w:rsidTr="0021254F">
        <w:trPr>
          <w:trHeight w:val="283"/>
        </w:trPr>
        <w:tc>
          <w:tcPr>
            <w:tcW w:w="2087" w:type="pct"/>
            <w:vMerge/>
            <w:tcBorders>
              <w:top w:val="single" w:sz="4" w:space="0" w:color="auto"/>
              <w:left w:val="nil"/>
              <w:bottom w:val="single" w:sz="4" w:space="0" w:color="auto"/>
              <w:right w:val="nil"/>
            </w:tcBorders>
            <w:vAlign w:val="center"/>
            <w:hideMark/>
          </w:tcPr>
          <w:p w14:paraId="149CECCD" w14:textId="77777777" w:rsidR="005C2848" w:rsidRPr="0011465C" w:rsidRDefault="005C28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63353C07" w14:textId="5296868A" w:rsidR="005C2848" w:rsidRPr="00C47F2F" w:rsidRDefault="005C2848" w:rsidP="0021254F">
            <w:pPr>
              <w:jc w:val="left"/>
              <w:rPr>
                <w:noProof/>
                <w:sz w:val="22"/>
                <w:szCs w:val="22"/>
                <w:lang w:eastAsia="ko-KR"/>
              </w:rPr>
            </w:pPr>
            <w:r w:rsidRPr="00C47F2F">
              <w:rPr>
                <w:noProof/>
                <w:sz w:val="22"/>
                <w:szCs w:val="22"/>
              </w:rPr>
              <w:t>3</w:t>
            </w:r>
            <w:r w:rsidR="0011465C">
              <w:rPr>
                <w:rFonts w:hint="eastAsia"/>
                <w:noProof/>
                <w:sz w:val="22"/>
                <w:szCs w:val="22"/>
                <w:lang w:eastAsia="ko-KR"/>
              </w:rPr>
              <w:t xml:space="preserve"> </w:t>
            </w:r>
            <w:r w:rsidRPr="00C47F2F">
              <w:rPr>
                <w:noProof/>
                <w:sz w:val="22"/>
                <w:szCs w:val="22"/>
              </w:rPr>
              <w:t>m</w:t>
            </w:r>
            <w:r w:rsidR="0021254F">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0C4CC44B" w14:textId="3BA8DFEF" w:rsidR="005C2848" w:rsidRPr="00C47F2F" w:rsidRDefault="005C2848" w:rsidP="0021254F">
            <w:pPr>
              <w:jc w:val="left"/>
              <w:rPr>
                <w:noProof/>
                <w:sz w:val="22"/>
                <w:szCs w:val="22"/>
              </w:rPr>
            </w:pPr>
            <w:r w:rsidRPr="00C47F2F">
              <w:rPr>
                <w:noProof/>
                <w:sz w:val="22"/>
                <w:szCs w:val="22"/>
              </w:rPr>
              <w:t>1</w:t>
            </w:r>
            <w:r w:rsidR="0011465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78132C5D" w14:textId="46906F88" w:rsidR="005C2848" w:rsidRPr="00C47F2F" w:rsidRDefault="005C2848" w:rsidP="0021254F">
            <w:pPr>
              <w:jc w:val="left"/>
              <w:rPr>
                <w:noProof/>
                <w:sz w:val="22"/>
                <w:szCs w:val="22"/>
              </w:rPr>
            </w:pPr>
            <w:r w:rsidRPr="00C47F2F">
              <w:rPr>
                <w:noProof/>
                <w:sz w:val="22"/>
                <w:szCs w:val="22"/>
              </w:rPr>
              <w:t>5</w:t>
            </w:r>
            <w:r w:rsidR="0011465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1299D1B1" w14:textId="3C6E2E2F" w:rsidR="005C2848" w:rsidRPr="00C47F2F" w:rsidRDefault="005C2848" w:rsidP="0021254F">
            <w:pPr>
              <w:jc w:val="left"/>
              <w:rPr>
                <w:noProof/>
                <w:sz w:val="22"/>
                <w:szCs w:val="22"/>
              </w:rPr>
            </w:pPr>
            <w:r w:rsidRPr="00C47F2F">
              <w:rPr>
                <w:noProof/>
                <w:sz w:val="22"/>
                <w:szCs w:val="22"/>
              </w:rPr>
              <w:t>10</w:t>
            </w:r>
            <w:r w:rsidR="0011465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20E27FA" w14:textId="582C112E" w:rsidR="005C2848" w:rsidRPr="00C47F2F" w:rsidRDefault="005C2848" w:rsidP="0021254F">
            <w:pPr>
              <w:jc w:val="left"/>
              <w:rPr>
                <w:noProof/>
                <w:sz w:val="22"/>
                <w:szCs w:val="22"/>
              </w:rPr>
            </w:pPr>
            <w:r w:rsidRPr="00C47F2F">
              <w:rPr>
                <w:noProof/>
                <w:sz w:val="22"/>
                <w:szCs w:val="22"/>
              </w:rPr>
              <w:t>15</w:t>
            </w:r>
            <w:r w:rsidR="0011465C">
              <w:rPr>
                <w:rFonts w:hint="eastAsia"/>
                <w:noProof/>
                <w:sz w:val="22"/>
                <w:szCs w:val="22"/>
                <w:lang w:eastAsia="ko-KR"/>
              </w:rPr>
              <w:t xml:space="preserve"> </w:t>
            </w:r>
            <w:r w:rsidRPr="00C47F2F">
              <w:rPr>
                <w:noProof/>
                <w:sz w:val="22"/>
                <w:szCs w:val="22"/>
              </w:rPr>
              <w:t>y</w:t>
            </w:r>
          </w:p>
        </w:tc>
        <w:tc>
          <w:tcPr>
            <w:tcW w:w="487" w:type="pct"/>
            <w:tcBorders>
              <w:top w:val="single" w:sz="4" w:space="0" w:color="auto"/>
              <w:left w:val="nil"/>
              <w:bottom w:val="single" w:sz="4" w:space="0" w:color="auto"/>
              <w:right w:val="nil"/>
            </w:tcBorders>
            <w:vAlign w:val="center"/>
            <w:hideMark/>
          </w:tcPr>
          <w:p w14:paraId="64206FE5" w14:textId="77777777" w:rsidR="005C2848" w:rsidRPr="00C47F2F" w:rsidRDefault="005C2848" w:rsidP="0021254F">
            <w:pPr>
              <w:jc w:val="left"/>
              <w:rPr>
                <w:noProof/>
                <w:sz w:val="22"/>
                <w:szCs w:val="22"/>
              </w:rPr>
            </w:pPr>
            <w:r w:rsidRPr="00C47F2F">
              <w:rPr>
                <w:noProof/>
                <w:sz w:val="22"/>
                <w:szCs w:val="22"/>
              </w:rPr>
              <w:t>Adult</w:t>
            </w:r>
          </w:p>
        </w:tc>
      </w:tr>
      <w:tr w:rsidR="005C2848" w:rsidRPr="00972C81" w14:paraId="713B0974" w14:textId="77777777" w:rsidTr="0021254F">
        <w:trPr>
          <w:trHeight w:val="340"/>
        </w:trPr>
        <w:tc>
          <w:tcPr>
            <w:tcW w:w="2087" w:type="pct"/>
            <w:tcBorders>
              <w:top w:val="single" w:sz="4" w:space="0" w:color="auto"/>
              <w:left w:val="nil"/>
              <w:bottom w:val="nil"/>
              <w:right w:val="nil"/>
            </w:tcBorders>
            <w:hideMark/>
          </w:tcPr>
          <w:p w14:paraId="5D8978BB" w14:textId="77777777" w:rsidR="005C2848" w:rsidRPr="00C47F2F" w:rsidRDefault="005C2848" w:rsidP="0021254F">
            <w:pPr>
              <w:jc w:val="left"/>
              <w:rPr>
                <w:rFonts w:eastAsia="Times New Roman"/>
                <w:noProof/>
                <w:color w:val="000000"/>
                <w:sz w:val="22"/>
                <w:szCs w:val="22"/>
                <w:lang w:eastAsia="en-GB"/>
              </w:rPr>
            </w:pPr>
            <w:r w:rsidRPr="00C47F2F">
              <w:rPr>
                <w:rFonts w:eastAsia="Times New Roman"/>
                <w:noProof/>
                <w:color w:val="000000"/>
                <w:sz w:val="22"/>
                <w:szCs w:val="22"/>
                <w:lang w:eastAsia="en-GB"/>
              </w:rPr>
              <w:t>Plutonium nitrate, Pu(NO</w:t>
            </w:r>
            <w:r w:rsidRPr="00C47F2F">
              <w:rPr>
                <w:rFonts w:eastAsia="Times New Roman"/>
                <w:noProof/>
                <w:color w:val="000000"/>
                <w:sz w:val="22"/>
                <w:szCs w:val="22"/>
                <w:vertAlign w:val="subscript"/>
                <w:lang w:eastAsia="en-GB"/>
              </w:rPr>
              <w:t>3</w:t>
            </w:r>
            <w:r w:rsidRPr="00C47F2F">
              <w:rPr>
                <w:rFonts w:eastAsia="Times New Roman"/>
                <w:noProof/>
                <w:color w:val="000000"/>
                <w:sz w:val="22"/>
                <w:szCs w:val="22"/>
                <w:lang w:eastAsia="en-GB"/>
              </w:rPr>
              <w:t>)</w:t>
            </w:r>
            <w:r w:rsidRPr="00C47F2F">
              <w:rPr>
                <w:rFonts w:eastAsia="Times New Roman"/>
                <w:noProof/>
                <w:color w:val="000000"/>
                <w:sz w:val="22"/>
                <w:szCs w:val="22"/>
                <w:vertAlign w:val="subscript"/>
                <w:lang w:eastAsia="en-GB"/>
              </w:rPr>
              <w:t>4</w:t>
            </w:r>
          </w:p>
        </w:tc>
        <w:tc>
          <w:tcPr>
            <w:tcW w:w="485" w:type="pct"/>
            <w:tcBorders>
              <w:top w:val="single" w:sz="4" w:space="0" w:color="auto"/>
              <w:left w:val="nil"/>
              <w:bottom w:val="nil"/>
              <w:right w:val="nil"/>
            </w:tcBorders>
            <w:hideMark/>
          </w:tcPr>
          <w:p w14:paraId="7DE97E1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5.2E-05</w:t>
            </w:r>
          </w:p>
        </w:tc>
        <w:tc>
          <w:tcPr>
            <w:tcW w:w="485" w:type="pct"/>
            <w:tcBorders>
              <w:top w:val="single" w:sz="4" w:space="0" w:color="auto"/>
              <w:left w:val="nil"/>
              <w:bottom w:val="nil"/>
              <w:right w:val="nil"/>
            </w:tcBorders>
            <w:hideMark/>
          </w:tcPr>
          <w:p w14:paraId="01962DBE"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5.0E-05</w:t>
            </w:r>
          </w:p>
        </w:tc>
        <w:tc>
          <w:tcPr>
            <w:tcW w:w="485" w:type="pct"/>
            <w:tcBorders>
              <w:top w:val="single" w:sz="4" w:space="0" w:color="auto"/>
              <w:left w:val="nil"/>
              <w:bottom w:val="nil"/>
              <w:right w:val="nil"/>
            </w:tcBorders>
            <w:hideMark/>
          </w:tcPr>
          <w:p w14:paraId="7965844C"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3.4E-05</w:t>
            </w:r>
          </w:p>
        </w:tc>
        <w:tc>
          <w:tcPr>
            <w:tcW w:w="485" w:type="pct"/>
            <w:tcBorders>
              <w:top w:val="single" w:sz="4" w:space="0" w:color="auto"/>
              <w:left w:val="nil"/>
              <w:bottom w:val="nil"/>
              <w:right w:val="nil"/>
            </w:tcBorders>
            <w:hideMark/>
          </w:tcPr>
          <w:p w14:paraId="4691533E"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2.5E-05</w:t>
            </w:r>
          </w:p>
        </w:tc>
        <w:tc>
          <w:tcPr>
            <w:tcW w:w="485" w:type="pct"/>
            <w:tcBorders>
              <w:top w:val="single" w:sz="4" w:space="0" w:color="auto"/>
              <w:left w:val="nil"/>
              <w:bottom w:val="nil"/>
              <w:right w:val="nil"/>
            </w:tcBorders>
            <w:hideMark/>
          </w:tcPr>
          <w:p w14:paraId="50334BA9"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2.3E-05</w:t>
            </w:r>
          </w:p>
        </w:tc>
        <w:tc>
          <w:tcPr>
            <w:tcW w:w="487" w:type="pct"/>
            <w:tcBorders>
              <w:top w:val="single" w:sz="4" w:space="0" w:color="auto"/>
              <w:left w:val="nil"/>
              <w:bottom w:val="nil"/>
              <w:right w:val="nil"/>
            </w:tcBorders>
            <w:hideMark/>
          </w:tcPr>
          <w:p w14:paraId="5AEA7FF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2.5E-05</w:t>
            </w:r>
          </w:p>
        </w:tc>
      </w:tr>
      <w:tr w:rsidR="005C2848" w:rsidRPr="00972C81" w14:paraId="04532A40" w14:textId="77777777" w:rsidTr="0021254F">
        <w:trPr>
          <w:trHeight w:val="340"/>
        </w:trPr>
        <w:tc>
          <w:tcPr>
            <w:tcW w:w="2087" w:type="pct"/>
            <w:tcBorders>
              <w:top w:val="nil"/>
              <w:left w:val="nil"/>
              <w:bottom w:val="nil"/>
              <w:right w:val="nil"/>
            </w:tcBorders>
            <w:hideMark/>
          </w:tcPr>
          <w:p w14:paraId="00E69D3B" w14:textId="77777777" w:rsidR="005C2848" w:rsidRPr="00C47F2F" w:rsidRDefault="005C2848" w:rsidP="0021254F">
            <w:pPr>
              <w:jc w:val="left"/>
              <w:rPr>
                <w:rFonts w:eastAsia="Times New Roman"/>
                <w:noProof/>
                <w:color w:val="000000"/>
                <w:sz w:val="22"/>
                <w:szCs w:val="22"/>
                <w:lang w:eastAsia="en-GB"/>
              </w:rPr>
            </w:pPr>
            <w:r w:rsidRPr="00C47F2F">
              <w:rPr>
                <w:rFonts w:eastAsia="Times New Roman"/>
                <w:noProof/>
                <w:color w:val="000000"/>
                <w:sz w:val="22"/>
                <w:szCs w:val="22"/>
                <w:lang w:eastAsia="en-GB"/>
              </w:rPr>
              <w:t xml:space="preserve">Plutonium-239 dioxide, </w:t>
            </w:r>
            <w:r w:rsidRPr="00C47F2F">
              <w:rPr>
                <w:rFonts w:eastAsia="Times New Roman"/>
                <w:noProof/>
                <w:color w:val="000000"/>
                <w:sz w:val="22"/>
                <w:szCs w:val="22"/>
                <w:vertAlign w:val="superscript"/>
                <w:lang w:eastAsia="en-GB"/>
              </w:rPr>
              <w:t>239</w:t>
            </w:r>
            <w:r w:rsidRPr="00C47F2F">
              <w:rPr>
                <w:rFonts w:eastAsia="Times New Roman"/>
                <w:noProof/>
                <w:color w:val="000000"/>
                <w:sz w:val="22"/>
                <w:szCs w:val="22"/>
                <w:lang w:eastAsia="en-GB"/>
              </w:rPr>
              <w:t>PuO</w:t>
            </w:r>
            <w:r w:rsidRPr="00C47F2F">
              <w:rPr>
                <w:rFonts w:eastAsia="Times New Roman"/>
                <w:noProof/>
                <w:color w:val="000000"/>
                <w:sz w:val="22"/>
                <w:szCs w:val="22"/>
                <w:vertAlign w:val="subscript"/>
                <w:lang w:eastAsia="en-GB"/>
              </w:rPr>
              <w:t>2</w:t>
            </w:r>
            <w:r w:rsidRPr="00C47F2F">
              <w:rPr>
                <w:rFonts w:eastAsia="Times New Roman"/>
                <w:noProof/>
                <w:color w:val="000000"/>
                <w:sz w:val="22"/>
                <w:szCs w:val="22"/>
                <w:lang w:eastAsia="en-GB"/>
              </w:rPr>
              <w:t>; Plutonium in mixed oxide (MOX: (UO</w:t>
            </w:r>
            <w:r w:rsidRPr="00C47F2F">
              <w:rPr>
                <w:rFonts w:eastAsia="Times New Roman"/>
                <w:noProof/>
                <w:color w:val="000000"/>
                <w:sz w:val="22"/>
                <w:szCs w:val="22"/>
                <w:vertAlign w:val="subscript"/>
                <w:lang w:eastAsia="en-GB"/>
              </w:rPr>
              <w:t>2</w:t>
            </w:r>
            <w:r w:rsidRPr="00C47F2F">
              <w:rPr>
                <w:rFonts w:eastAsia="Times New Roman"/>
                <w:noProof/>
                <w:color w:val="000000"/>
                <w:sz w:val="22"/>
                <w:szCs w:val="22"/>
                <w:lang w:eastAsia="en-GB"/>
              </w:rPr>
              <w:t xml:space="preserve"> + PuO</w:t>
            </w:r>
            <w:r w:rsidRPr="00C47F2F">
              <w:rPr>
                <w:rFonts w:eastAsia="Times New Roman"/>
                <w:noProof/>
                <w:color w:val="000000"/>
                <w:sz w:val="22"/>
                <w:szCs w:val="22"/>
                <w:vertAlign w:val="subscript"/>
                <w:lang w:eastAsia="en-GB"/>
              </w:rPr>
              <w:t>2</w:t>
            </w:r>
            <w:r w:rsidRPr="00C47F2F">
              <w:rPr>
                <w:rFonts w:eastAsia="Times New Roman"/>
                <w:noProof/>
                <w:color w:val="000000"/>
                <w:sz w:val="22"/>
                <w:szCs w:val="22"/>
                <w:lang w:eastAsia="en-GB"/>
              </w:rPr>
              <w:t>) or (U,Pu)O</w:t>
            </w:r>
            <w:r w:rsidRPr="00C47F2F">
              <w:rPr>
                <w:rFonts w:eastAsia="Times New Roman"/>
                <w:noProof/>
                <w:color w:val="000000"/>
                <w:sz w:val="22"/>
                <w:szCs w:val="22"/>
                <w:vertAlign w:val="subscript"/>
                <w:lang w:eastAsia="en-GB"/>
              </w:rPr>
              <w:t>2</w:t>
            </w:r>
            <w:r w:rsidRPr="00C47F2F">
              <w:rPr>
                <w:rFonts w:eastAsia="Times New Roman"/>
                <w:noProof/>
                <w:color w:val="000000"/>
                <w:sz w:val="22"/>
                <w:szCs w:val="22"/>
                <w:lang w:eastAsia="en-GB"/>
              </w:rPr>
              <w:t>)</w:t>
            </w:r>
          </w:p>
        </w:tc>
        <w:tc>
          <w:tcPr>
            <w:tcW w:w="485" w:type="pct"/>
            <w:tcBorders>
              <w:top w:val="nil"/>
              <w:left w:val="nil"/>
              <w:bottom w:val="nil"/>
              <w:right w:val="nil"/>
            </w:tcBorders>
            <w:hideMark/>
          </w:tcPr>
          <w:p w14:paraId="2A2A9E1A"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8.4E-05</w:t>
            </w:r>
          </w:p>
        </w:tc>
        <w:tc>
          <w:tcPr>
            <w:tcW w:w="485" w:type="pct"/>
            <w:tcBorders>
              <w:top w:val="nil"/>
              <w:left w:val="nil"/>
              <w:bottom w:val="nil"/>
              <w:right w:val="nil"/>
            </w:tcBorders>
            <w:hideMark/>
          </w:tcPr>
          <w:p w14:paraId="400011BB"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8.6E-05</w:t>
            </w:r>
          </w:p>
        </w:tc>
        <w:tc>
          <w:tcPr>
            <w:tcW w:w="485" w:type="pct"/>
            <w:tcBorders>
              <w:top w:val="nil"/>
              <w:left w:val="nil"/>
              <w:bottom w:val="nil"/>
              <w:right w:val="nil"/>
            </w:tcBorders>
            <w:hideMark/>
          </w:tcPr>
          <w:p w14:paraId="5DB50072"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6.6E-05</w:t>
            </w:r>
          </w:p>
        </w:tc>
        <w:tc>
          <w:tcPr>
            <w:tcW w:w="485" w:type="pct"/>
            <w:tcBorders>
              <w:top w:val="nil"/>
              <w:left w:val="nil"/>
              <w:bottom w:val="nil"/>
              <w:right w:val="nil"/>
            </w:tcBorders>
            <w:hideMark/>
          </w:tcPr>
          <w:p w14:paraId="03DEFEEB"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5.2E-05</w:t>
            </w:r>
          </w:p>
        </w:tc>
        <w:tc>
          <w:tcPr>
            <w:tcW w:w="485" w:type="pct"/>
            <w:tcBorders>
              <w:top w:val="nil"/>
              <w:left w:val="nil"/>
              <w:bottom w:val="nil"/>
              <w:right w:val="nil"/>
            </w:tcBorders>
            <w:hideMark/>
          </w:tcPr>
          <w:p w14:paraId="1CE62742"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5.0E-05</w:t>
            </w:r>
          </w:p>
        </w:tc>
        <w:tc>
          <w:tcPr>
            <w:tcW w:w="487" w:type="pct"/>
            <w:tcBorders>
              <w:top w:val="nil"/>
              <w:left w:val="nil"/>
              <w:bottom w:val="nil"/>
              <w:right w:val="nil"/>
            </w:tcBorders>
            <w:hideMark/>
          </w:tcPr>
          <w:p w14:paraId="447CD70F"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4.8E-05</w:t>
            </w:r>
          </w:p>
        </w:tc>
      </w:tr>
      <w:tr w:rsidR="005C2848" w:rsidRPr="00972C81" w14:paraId="1883DEB6" w14:textId="77777777" w:rsidTr="0021254F">
        <w:trPr>
          <w:trHeight w:val="340"/>
        </w:trPr>
        <w:tc>
          <w:tcPr>
            <w:tcW w:w="2087" w:type="pct"/>
            <w:tcBorders>
              <w:top w:val="nil"/>
              <w:left w:val="nil"/>
              <w:bottom w:val="nil"/>
              <w:right w:val="nil"/>
            </w:tcBorders>
            <w:hideMark/>
          </w:tcPr>
          <w:p w14:paraId="533F51C9" w14:textId="77777777" w:rsidR="005C2848" w:rsidRPr="00C47F2F" w:rsidRDefault="005C2848" w:rsidP="0021254F">
            <w:pPr>
              <w:jc w:val="left"/>
              <w:rPr>
                <w:rFonts w:eastAsia="Times New Roman"/>
                <w:noProof/>
                <w:color w:val="000000"/>
                <w:sz w:val="22"/>
                <w:szCs w:val="22"/>
                <w:lang w:val="fr-FR" w:eastAsia="en-GB"/>
              </w:rPr>
            </w:pPr>
            <w:r w:rsidRPr="00C47F2F">
              <w:rPr>
                <w:rFonts w:eastAsia="Times New Roman"/>
                <w:noProof/>
                <w:color w:val="000000"/>
                <w:sz w:val="22"/>
                <w:szCs w:val="22"/>
                <w:lang w:val="fr-FR" w:eastAsia="en-GB"/>
              </w:rPr>
              <w:t>Plutonium dioxide 1-nm nanoparticles, 1-nm PuO</w:t>
            </w:r>
            <w:r w:rsidRPr="00C47F2F">
              <w:rPr>
                <w:rFonts w:eastAsia="Times New Roman"/>
                <w:noProof/>
                <w:color w:val="000000"/>
                <w:sz w:val="22"/>
                <w:szCs w:val="22"/>
                <w:vertAlign w:val="subscript"/>
                <w:lang w:val="fr-FR" w:eastAsia="en-GB"/>
              </w:rPr>
              <w:t>2</w:t>
            </w:r>
          </w:p>
        </w:tc>
        <w:tc>
          <w:tcPr>
            <w:tcW w:w="485" w:type="pct"/>
            <w:tcBorders>
              <w:top w:val="nil"/>
              <w:left w:val="nil"/>
              <w:bottom w:val="nil"/>
              <w:right w:val="nil"/>
            </w:tcBorders>
            <w:hideMark/>
          </w:tcPr>
          <w:p w14:paraId="3F316C27"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6.5E-05</w:t>
            </w:r>
          </w:p>
        </w:tc>
        <w:tc>
          <w:tcPr>
            <w:tcW w:w="485" w:type="pct"/>
            <w:tcBorders>
              <w:top w:val="nil"/>
              <w:left w:val="nil"/>
              <w:bottom w:val="nil"/>
              <w:right w:val="nil"/>
            </w:tcBorders>
            <w:hideMark/>
          </w:tcPr>
          <w:p w14:paraId="660EEFBA"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6.1E-05</w:t>
            </w:r>
          </w:p>
        </w:tc>
        <w:tc>
          <w:tcPr>
            <w:tcW w:w="485" w:type="pct"/>
            <w:tcBorders>
              <w:top w:val="nil"/>
              <w:left w:val="nil"/>
              <w:bottom w:val="nil"/>
              <w:right w:val="nil"/>
            </w:tcBorders>
            <w:hideMark/>
          </w:tcPr>
          <w:p w14:paraId="660FB16C"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4.3E-05</w:t>
            </w:r>
          </w:p>
        </w:tc>
        <w:tc>
          <w:tcPr>
            <w:tcW w:w="485" w:type="pct"/>
            <w:tcBorders>
              <w:top w:val="nil"/>
              <w:left w:val="nil"/>
              <w:bottom w:val="nil"/>
              <w:right w:val="nil"/>
            </w:tcBorders>
            <w:hideMark/>
          </w:tcPr>
          <w:p w14:paraId="031669EF"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3.2E-05</w:t>
            </w:r>
          </w:p>
        </w:tc>
        <w:tc>
          <w:tcPr>
            <w:tcW w:w="485" w:type="pct"/>
            <w:tcBorders>
              <w:top w:val="nil"/>
              <w:left w:val="nil"/>
              <w:bottom w:val="nil"/>
              <w:right w:val="nil"/>
            </w:tcBorders>
            <w:hideMark/>
          </w:tcPr>
          <w:p w14:paraId="0DEAA64E"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3.1E-05</w:t>
            </w:r>
          </w:p>
        </w:tc>
        <w:tc>
          <w:tcPr>
            <w:tcW w:w="487" w:type="pct"/>
            <w:tcBorders>
              <w:top w:val="nil"/>
              <w:left w:val="nil"/>
              <w:bottom w:val="nil"/>
              <w:right w:val="nil"/>
            </w:tcBorders>
            <w:hideMark/>
          </w:tcPr>
          <w:p w14:paraId="7DFAC5D1"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3.3E-05</w:t>
            </w:r>
          </w:p>
        </w:tc>
      </w:tr>
      <w:tr w:rsidR="005C2848" w:rsidRPr="00972C81" w14:paraId="78B63DD8" w14:textId="77777777" w:rsidTr="0021254F">
        <w:trPr>
          <w:trHeight w:val="340"/>
        </w:trPr>
        <w:tc>
          <w:tcPr>
            <w:tcW w:w="2087" w:type="pct"/>
            <w:tcBorders>
              <w:top w:val="nil"/>
              <w:left w:val="nil"/>
              <w:bottom w:val="nil"/>
              <w:right w:val="nil"/>
            </w:tcBorders>
            <w:hideMark/>
          </w:tcPr>
          <w:p w14:paraId="1603A24B" w14:textId="77777777" w:rsidR="005C2848" w:rsidRPr="00C47F2F" w:rsidRDefault="005C2848" w:rsidP="0021254F">
            <w:pPr>
              <w:jc w:val="left"/>
              <w:rPr>
                <w:rFonts w:eastAsiaTheme="minorHAnsi"/>
                <w:noProof/>
                <w:color w:val="000000"/>
                <w:sz w:val="22"/>
                <w:szCs w:val="22"/>
              </w:rPr>
            </w:pPr>
            <w:r w:rsidRPr="00C47F2F">
              <w:rPr>
                <w:noProof/>
                <w:color w:val="000000"/>
                <w:sz w:val="22"/>
                <w:szCs w:val="22"/>
              </w:rPr>
              <w:t>Type F</w:t>
            </w:r>
          </w:p>
        </w:tc>
        <w:tc>
          <w:tcPr>
            <w:tcW w:w="485" w:type="pct"/>
            <w:tcBorders>
              <w:top w:val="nil"/>
              <w:left w:val="nil"/>
              <w:bottom w:val="nil"/>
              <w:right w:val="nil"/>
            </w:tcBorders>
            <w:hideMark/>
          </w:tcPr>
          <w:p w14:paraId="2475D73D"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7.2E-05</w:t>
            </w:r>
          </w:p>
        </w:tc>
        <w:tc>
          <w:tcPr>
            <w:tcW w:w="485" w:type="pct"/>
            <w:tcBorders>
              <w:top w:val="nil"/>
              <w:left w:val="nil"/>
              <w:bottom w:val="nil"/>
              <w:right w:val="nil"/>
            </w:tcBorders>
            <w:hideMark/>
          </w:tcPr>
          <w:p w14:paraId="57CEF748"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6.6E-05</w:t>
            </w:r>
          </w:p>
        </w:tc>
        <w:tc>
          <w:tcPr>
            <w:tcW w:w="485" w:type="pct"/>
            <w:tcBorders>
              <w:top w:val="nil"/>
              <w:left w:val="nil"/>
              <w:bottom w:val="nil"/>
              <w:right w:val="nil"/>
            </w:tcBorders>
            <w:hideMark/>
          </w:tcPr>
          <w:p w14:paraId="39F160DF"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4.7E-05</w:t>
            </w:r>
          </w:p>
        </w:tc>
        <w:tc>
          <w:tcPr>
            <w:tcW w:w="485" w:type="pct"/>
            <w:tcBorders>
              <w:top w:val="nil"/>
              <w:left w:val="nil"/>
              <w:bottom w:val="nil"/>
              <w:right w:val="nil"/>
            </w:tcBorders>
            <w:hideMark/>
          </w:tcPr>
          <w:p w14:paraId="7C1E0B12"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3.5E-05</w:t>
            </w:r>
          </w:p>
        </w:tc>
        <w:tc>
          <w:tcPr>
            <w:tcW w:w="485" w:type="pct"/>
            <w:tcBorders>
              <w:top w:val="nil"/>
              <w:left w:val="nil"/>
              <w:bottom w:val="nil"/>
              <w:right w:val="nil"/>
            </w:tcBorders>
            <w:hideMark/>
          </w:tcPr>
          <w:p w14:paraId="279BBD5B"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3.5E-05</w:t>
            </w:r>
          </w:p>
        </w:tc>
        <w:tc>
          <w:tcPr>
            <w:tcW w:w="487" w:type="pct"/>
            <w:tcBorders>
              <w:top w:val="nil"/>
              <w:left w:val="nil"/>
              <w:bottom w:val="nil"/>
              <w:right w:val="nil"/>
            </w:tcBorders>
            <w:hideMark/>
          </w:tcPr>
          <w:p w14:paraId="1CBC23CD"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3.7E-05</w:t>
            </w:r>
          </w:p>
        </w:tc>
      </w:tr>
      <w:tr w:rsidR="005C2848" w:rsidRPr="00972C81" w14:paraId="5FBB561B" w14:textId="77777777" w:rsidTr="0021254F">
        <w:trPr>
          <w:trHeight w:val="340"/>
        </w:trPr>
        <w:tc>
          <w:tcPr>
            <w:tcW w:w="2087" w:type="pct"/>
            <w:tcBorders>
              <w:top w:val="nil"/>
              <w:left w:val="nil"/>
              <w:bottom w:val="nil"/>
              <w:right w:val="nil"/>
            </w:tcBorders>
            <w:hideMark/>
          </w:tcPr>
          <w:p w14:paraId="026F8786" w14:textId="77777777" w:rsidR="005C2848" w:rsidRPr="00C47F2F" w:rsidRDefault="005C2848" w:rsidP="0021254F">
            <w:pPr>
              <w:jc w:val="left"/>
              <w:rPr>
                <w:rFonts w:eastAsiaTheme="minorHAnsi"/>
                <w:noProof/>
                <w:sz w:val="22"/>
                <w:szCs w:val="22"/>
                <w:lang w:val="fr-FR"/>
              </w:rPr>
            </w:pPr>
            <w:r w:rsidRPr="00C47F2F">
              <w:rPr>
                <w:noProof/>
                <w:sz w:val="22"/>
                <w:szCs w:val="22"/>
                <w:lang w:val="fr-FR"/>
              </w:rPr>
              <w:t xml:space="preserve">Type M, </w:t>
            </w:r>
            <w:r w:rsidRPr="00C47F2F">
              <w:rPr>
                <w:rFonts w:eastAsia="Times New Roman"/>
                <w:noProof/>
                <w:color w:val="000000"/>
                <w:sz w:val="22"/>
                <w:szCs w:val="22"/>
                <w:lang w:val="fr-FR" w:eastAsia="en-GB"/>
              </w:rPr>
              <w:t>plutonium citrate; Plutonium tri-butyl-phosphate (Pu-TBP) ; Plutonium chloride (PuCl</w:t>
            </w:r>
            <w:r w:rsidRPr="00C47F2F">
              <w:rPr>
                <w:rFonts w:eastAsia="Times New Roman"/>
                <w:noProof/>
                <w:color w:val="000000"/>
                <w:sz w:val="22"/>
                <w:szCs w:val="22"/>
                <w:vertAlign w:val="subscript"/>
                <w:lang w:val="fr-FR" w:eastAsia="en-GB"/>
              </w:rPr>
              <w:t>3</w:t>
            </w:r>
            <w:r w:rsidRPr="00C47F2F">
              <w:rPr>
                <w:rFonts w:eastAsia="Times New Roman"/>
                <w:noProof/>
                <w:color w:val="000000"/>
                <w:sz w:val="22"/>
                <w:szCs w:val="22"/>
                <w:lang w:val="fr-FR" w:eastAsia="en-GB"/>
              </w:rPr>
              <w:t>)</w:t>
            </w:r>
          </w:p>
        </w:tc>
        <w:tc>
          <w:tcPr>
            <w:tcW w:w="485" w:type="pct"/>
            <w:tcBorders>
              <w:top w:val="nil"/>
              <w:left w:val="nil"/>
              <w:bottom w:val="nil"/>
              <w:right w:val="nil"/>
            </w:tcBorders>
            <w:hideMark/>
          </w:tcPr>
          <w:p w14:paraId="0BAEE37E"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5.4E-05</w:t>
            </w:r>
          </w:p>
        </w:tc>
        <w:tc>
          <w:tcPr>
            <w:tcW w:w="485" w:type="pct"/>
            <w:tcBorders>
              <w:top w:val="nil"/>
              <w:left w:val="nil"/>
              <w:bottom w:val="nil"/>
              <w:right w:val="nil"/>
            </w:tcBorders>
            <w:hideMark/>
          </w:tcPr>
          <w:p w14:paraId="4F5A1B03"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5.2E-05</w:t>
            </w:r>
          </w:p>
        </w:tc>
        <w:tc>
          <w:tcPr>
            <w:tcW w:w="485" w:type="pct"/>
            <w:tcBorders>
              <w:top w:val="nil"/>
              <w:left w:val="nil"/>
              <w:bottom w:val="nil"/>
              <w:right w:val="nil"/>
            </w:tcBorders>
            <w:hideMark/>
          </w:tcPr>
          <w:p w14:paraId="4ECB227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3.5E-05</w:t>
            </w:r>
          </w:p>
        </w:tc>
        <w:tc>
          <w:tcPr>
            <w:tcW w:w="485" w:type="pct"/>
            <w:tcBorders>
              <w:top w:val="nil"/>
              <w:left w:val="nil"/>
              <w:bottom w:val="nil"/>
              <w:right w:val="nil"/>
            </w:tcBorders>
            <w:hideMark/>
          </w:tcPr>
          <w:p w14:paraId="61F503DE"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2.6E-05</w:t>
            </w:r>
          </w:p>
        </w:tc>
        <w:tc>
          <w:tcPr>
            <w:tcW w:w="485" w:type="pct"/>
            <w:tcBorders>
              <w:top w:val="nil"/>
              <w:left w:val="nil"/>
              <w:bottom w:val="nil"/>
              <w:right w:val="nil"/>
            </w:tcBorders>
            <w:hideMark/>
          </w:tcPr>
          <w:p w14:paraId="0FA24C0B"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2.5E-05</w:t>
            </w:r>
          </w:p>
        </w:tc>
        <w:tc>
          <w:tcPr>
            <w:tcW w:w="487" w:type="pct"/>
            <w:tcBorders>
              <w:top w:val="nil"/>
              <w:left w:val="nil"/>
              <w:bottom w:val="nil"/>
              <w:right w:val="nil"/>
            </w:tcBorders>
            <w:hideMark/>
          </w:tcPr>
          <w:p w14:paraId="604C0727"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2.7E-05</w:t>
            </w:r>
          </w:p>
        </w:tc>
      </w:tr>
      <w:tr w:rsidR="005C2848" w:rsidRPr="00972C81" w14:paraId="738888F4" w14:textId="77777777" w:rsidTr="0021254F">
        <w:trPr>
          <w:trHeight w:val="340"/>
        </w:trPr>
        <w:tc>
          <w:tcPr>
            <w:tcW w:w="2087" w:type="pct"/>
            <w:tcBorders>
              <w:top w:val="nil"/>
              <w:left w:val="nil"/>
              <w:bottom w:val="single" w:sz="4" w:space="0" w:color="auto"/>
              <w:right w:val="nil"/>
            </w:tcBorders>
            <w:hideMark/>
          </w:tcPr>
          <w:p w14:paraId="30E33C13" w14:textId="77777777" w:rsidR="005C2848" w:rsidRPr="00C47F2F" w:rsidRDefault="005C2848" w:rsidP="0021254F">
            <w:pPr>
              <w:jc w:val="left"/>
              <w:rPr>
                <w:rFonts w:eastAsiaTheme="minorHAnsi"/>
                <w:noProof/>
                <w:sz w:val="22"/>
                <w:szCs w:val="22"/>
              </w:rPr>
            </w:pPr>
            <w:r w:rsidRPr="00C47F2F">
              <w:rPr>
                <w:noProof/>
                <w:sz w:val="22"/>
                <w:szCs w:val="22"/>
              </w:rPr>
              <w:t>Type S</w:t>
            </w:r>
          </w:p>
        </w:tc>
        <w:tc>
          <w:tcPr>
            <w:tcW w:w="485" w:type="pct"/>
            <w:tcBorders>
              <w:top w:val="nil"/>
              <w:left w:val="nil"/>
              <w:bottom w:val="single" w:sz="4" w:space="0" w:color="auto"/>
              <w:right w:val="nil"/>
            </w:tcBorders>
            <w:hideMark/>
          </w:tcPr>
          <w:p w14:paraId="18847ED2"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6.3E-05</w:t>
            </w:r>
          </w:p>
        </w:tc>
        <w:tc>
          <w:tcPr>
            <w:tcW w:w="485" w:type="pct"/>
            <w:tcBorders>
              <w:top w:val="nil"/>
              <w:left w:val="nil"/>
              <w:bottom w:val="single" w:sz="4" w:space="0" w:color="auto"/>
              <w:right w:val="nil"/>
            </w:tcBorders>
            <w:hideMark/>
          </w:tcPr>
          <w:p w14:paraId="2E01F091"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6.2E-05</w:t>
            </w:r>
          </w:p>
        </w:tc>
        <w:tc>
          <w:tcPr>
            <w:tcW w:w="485" w:type="pct"/>
            <w:tcBorders>
              <w:top w:val="nil"/>
              <w:left w:val="nil"/>
              <w:bottom w:val="single" w:sz="4" w:space="0" w:color="auto"/>
              <w:right w:val="nil"/>
            </w:tcBorders>
            <w:hideMark/>
          </w:tcPr>
          <w:p w14:paraId="1B76BFF2"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4.5E-05</w:t>
            </w:r>
          </w:p>
        </w:tc>
        <w:tc>
          <w:tcPr>
            <w:tcW w:w="485" w:type="pct"/>
            <w:tcBorders>
              <w:top w:val="nil"/>
              <w:left w:val="nil"/>
              <w:bottom w:val="single" w:sz="4" w:space="0" w:color="auto"/>
              <w:right w:val="nil"/>
            </w:tcBorders>
            <w:hideMark/>
          </w:tcPr>
          <w:p w14:paraId="35AE7584"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3.4E-05</w:t>
            </w:r>
          </w:p>
        </w:tc>
        <w:tc>
          <w:tcPr>
            <w:tcW w:w="485" w:type="pct"/>
            <w:tcBorders>
              <w:top w:val="nil"/>
              <w:left w:val="nil"/>
              <w:bottom w:val="single" w:sz="4" w:space="0" w:color="auto"/>
              <w:right w:val="nil"/>
            </w:tcBorders>
            <w:hideMark/>
          </w:tcPr>
          <w:p w14:paraId="00DF113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3.3E-05</w:t>
            </w:r>
          </w:p>
        </w:tc>
        <w:tc>
          <w:tcPr>
            <w:tcW w:w="487" w:type="pct"/>
            <w:tcBorders>
              <w:top w:val="nil"/>
              <w:left w:val="nil"/>
              <w:bottom w:val="single" w:sz="4" w:space="0" w:color="auto"/>
              <w:right w:val="nil"/>
            </w:tcBorders>
            <w:hideMark/>
          </w:tcPr>
          <w:p w14:paraId="08A315D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3.3E-05</w:t>
            </w:r>
          </w:p>
        </w:tc>
      </w:tr>
      <w:tr w:rsidR="005C2848" w:rsidRPr="00972C81" w14:paraId="5D303A7C" w14:textId="77777777" w:rsidTr="0021254F">
        <w:trPr>
          <w:trHeight w:val="340"/>
        </w:trPr>
        <w:tc>
          <w:tcPr>
            <w:tcW w:w="2087" w:type="pct"/>
            <w:tcBorders>
              <w:top w:val="single" w:sz="4" w:space="0" w:color="auto"/>
              <w:left w:val="nil"/>
              <w:bottom w:val="single" w:sz="4" w:space="0" w:color="auto"/>
              <w:right w:val="nil"/>
            </w:tcBorders>
          </w:tcPr>
          <w:p w14:paraId="57FAED6A" w14:textId="77777777" w:rsidR="005C2848" w:rsidRPr="00C47F2F" w:rsidRDefault="005C2848" w:rsidP="00C47F2F">
            <w:pPr>
              <w:jc w:val="left"/>
              <w:rPr>
                <w:rFonts w:eastAsiaTheme="minorHAnsi"/>
                <w:noProof/>
                <w:sz w:val="22"/>
                <w:szCs w:val="22"/>
              </w:rPr>
            </w:pPr>
          </w:p>
          <w:p w14:paraId="5072EBF9" w14:textId="77777777" w:rsidR="005C2848" w:rsidRPr="00C47F2F" w:rsidRDefault="005C2848"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63D3A1F2"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8F8AFBC"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077A8B94"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03495CCC"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079C225" w14:textId="77777777" w:rsidR="005C2848" w:rsidRPr="00C47F2F" w:rsidRDefault="005C2848" w:rsidP="00C47F2F">
            <w:pPr>
              <w:jc w:val="left"/>
              <w:rPr>
                <w:rFonts w:eastAsia="Times New Roman"/>
                <w:noProof/>
                <w:color w:val="000000"/>
                <w:sz w:val="22"/>
                <w:szCs w:val="22"/>
              </w:rPr>
            </w:pPr>
          </w:p>
        </w:tc>
        <w:tc>
          <w:tcPr>
            <w:tcW w:w="487" w:type="pct"/>
            <w:tcBorders>
              <w:top w:val="single" w:sz="4" w:space="0" w:color="auto"/>
              <w:left w:val="nil"/>
              <w:bottom w:val="single" w:sz="4" w:space="0" w:color="auto"/>
              <w:right w:val="nil"/>
            </w:tcBorders>
          </w:tcPr>
          <w:p w14:paraId="4A19DC96" w14:textId="77777777" w:rsidR="005C2848" w:rsidRPr="00C47F2F" w:rsidRDefault="005C2848" w:rsidP="00C47F2F">
            <w:pPr>
              <w:jc w:val="left"/>
              <w:rPr>
                <w:rFonts w:eastAsia="Times New Roman"/>
                <w:noProof/>
                <w:color w:val="000000"/>
                <w:sz w:val="22"/>
                <w:szCs w:val="22"/>
              </w:rPr>
            </w:pPr>
          </w:p>
        </w:tc>
      </w:tr>
      <w:tr w:rsidR="005C2848" w:rsidRPr="00972C81" w14:paraId="7BE9EDA6" w14:textId="77777777" w:rsidTr="0021254F">
        <w:trPr>
          <w:trHeight w:val="340"/>
        </w:trPr>
        <w:tc>
          <w:tcPr>
            <w:tcW w:w="2087" w:type="pct"/>
            <w:tcBorders>
              <w:top w:val="single" w:sz="4" w:space="0" w:color="auto"/>
              <w:left w:val="nil"/>
              <w:bottom w:val="nil"/>
              <w:right w:val="nil"/>
            </w:tcBorders>
            <w:hideMark/>
          </w:tcPr>
          <w:p w14:paraId="1E4098A4" w14:textId="338F3B4B" w:rsidR="005C2848" w:rsidRPr="00C47F2F" w:rsidRDefault="005C2848" w:rsidP="0021254F">
            <w:pPr>
              <w:jc w:val="left"/>
              <w:rPr>
                <w:rFonts w:eastAsiaTheme="minorHAnsi"/>
                <w:noProof/>
                <w:sz w:val="22"/>
                <w:szCs w:val="22"/>
              </w:rPr>
            </w:pPr>
            <w:r w:rsidRPr="00C47F2F">
              <w:rPr>
                <w:rFonts w:eastAsia="Times New Roman"/>
                <w:noProof/>
                <w:color w:val="000000"/>
                <w:sz w:val="22"/>
                <w:szCs w:val="22"/>
                <w:lang w:eastAsia="en-GB"/>
              </w:rPr>
              <w:t>Soluble forms (nitrate,chloride, bicarbonates,…)</w:t>
            </w:r>
          </w:p>
        </w:tc>
        <w:tc>
          <w:tcPr>
            <w:tcW w:w="485" w:type="pct"/>
            <w:tcBorders>
              <w:top w:val="single" w:sz="4" w:space="0" w:color="auto"/>
              <w:left w:val="nil"/>
              <w:bottom w:val="nil"/>
              <w:right w:val="nil"/>
            </w:tcBorders>
            <w:hideMark/>
          </w:tcPr>
          <w:p w14:paraId="2F2C8D24"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3.0E-06</w:t>
            </w:r>
          </w:p>
        </w:tc>
        <w:tc>
          <w:tcPr>
            <w:tcW w:w="485" w:type="pct"/>
            <w:tcBorders>
              <w:top w:val="single" w:sz="4" w:space="0" w:color="auto"/>
              <w:left w:val="nil"/>
              <w:bottom w:val="nil"/>
              <w:right w:val="nil"/>
            </w:tcBorders>
            <w:hideMark/>
          </w:tcPr>
          <w:p w14:paraId="5B2F7571"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2.6E-07</w:t>
            </w:r>
          </w:p>
        </w:tc>
        <w:tc>
          <w:tcPr>
            <w:tcW w:w="485" w:type="pct"/>
            <w:tcBorders>
              <w:top w:val="single" w:sz="4" w:space="0" w:color="auto"/>
              <w:left w:val="nil"/>
              <w:bottom w:val="nil"/>
              <w:right w:val="nil"/>
            </w:tcBorders>
            <w:hideMark/>
          </w:tcPr>
          <w:p w14:paraId="46B9685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1.8E-07</w:t>
            </w:r>
          </w:p>
        </w:tc>
        <w:tc>
          <w:tcPr>
            <w:tcW w:w="485" w:type="pct"/>
            <w:tcBorders>
              <w:top w:val="single" w:sz="4" w:space="0" w:color="auto"/>
              <w:left w:val="nil"/>
              <w:bottom w:val="nil"/>
              <w:right w:val="nil"/>
            </w:tcBorders>
            <w:hideMark/>
          </w:tcPr>
          <w:p w14:paraId="51E38CFE"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1.3E-07</w:t>
            </w:r>
          </w:p>
        </w:tc>
        <w:tc>
          <w:tcPr>
            <w:tcW w:w="485" w:type="pct"/>
            <w:tcBorders>
              <w:top w:val="single" w:sz="4" w:space="0" w:color="auto"/>
              <w:left w:val="nil"/>
              <w:bottom w:val="nil"/>
              <w:right w:val="nil"/>
            </w:tcBorders>
            <w:hideMark/>
          </w:tcPr>
          <w:p w14:paraId="21A4D48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1.2E-07</w:t>
            </w:r>
          </w:p>
        </w:tc>
        <w:tc>
          <w:tcPr>
            <w:tcW w:w="487" w:type="pct"/>
            <w:tcBorders>
              <w:top w:val="single" w:sz="4" w:space="0" w:color="auto"/>
              <w:left w:val="nil"/>
              <w:bottom w:val="nil"/>
              <w:right w:val="nil"/>
            </w:tcBorders>
            <w:hideMark/>
          </w:tcPr>
          <w:p w14:paraId="4B78FF6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1.2E-07</w:t>
            </w:r>
          </w:p>
        </w:tc>
      </w:tr>
      <w:tr w:rsidR="005C2848" w:rsidRPr="00972C81" w14:paraId="5403B4C8" w14:textId="77777777" w:rsidTr="0021254F">
        <w:trPr>
          <w:trHeight w:val="340"/>
        </w:trPr>
        <w:tc>
          <w:tcPr>
            <w:tcW w:w="2087" w:type="pct"/>
            <w:tcBorders>
              <w:top w:val="nil"/>
              <w:left w:val="nil"/>
              <w:bottom w:val="single" w:sz="4" w:space="0" w:color="auto"/>
              <w:right w:val="nil"/>
            </w:tcBorders>
            <w:hideMark/>
          </w:tcPr>
          <w:p w14:paraId="584EE919" w14:textId="27E5799F" w:rsidR="005C2848" w:rsidRPr="00C47F2F" w:rsidRDefault="005C2848" w:rsidP="0021254F">
            <w:pPr>
              <w:jc w:val="left"/>
              <w:rPr>
                <w:rFonts w:eastAsiaTheme="minorHAnsi"/>
                <w:noProof/>
                <w:sz w:val="22"/>
                <w:szCs w:val="22"/>
              </w:rPr>
            </w:pPr>
            <w:r w:rsidRPr="00C47F2F">
              <w:rPr>
                <w:noProof/>
                <w:sz w:val="22"/>
                <w:szCs w:val="22"/>
              </w:rPr>
              <w:t>Insoluble forms (oxides,…)</w:t>
            </w:r>
          </w:p>
        </w:tc>
        <w:tc>
          <w:tcPr>
            <w:tcW w:w="485" w:type="pct"/>
            <w:tcBorders>
              <w:top w:val="nil"/>
              <w:left w:val="nil"/>
              <w:bottom w:val="single" w:sz="4" w:space="0" w:color="auto"/>
              <w:right w:val="nil"/>
            </w:tcBorders>
            <w:hideMark/>
          </w:tcPr>
          <w:p w14:paraId="66513E38"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6.0E-08</w:t>
            </w:r>
          </w:p>
        </w:tc>
        <w:tc>
          <w:tcPr>
            <w:tcW w:w="485" w:type="pct"/>
            <w:tcBorders>
              <w:top w:val="nil"/>
              <w:left w:val="nil"/>
              <w:bottom w:val="single" w:sz="4" w:space="0" w:color="auto"/>
              <w:right w:val="nil"/>
            </w:tcBorders>
            <w:hideMark/>
          </w:tcPr>
          <w:p w14:paraId="55CCD7E3"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5.3E-09</w:t>
            </w:r>
          </w:p>
        </w:tc>
        <w:tc>
          <w:tcPr>
            <w:tcW w:w="485" w:type="pct"/>
            <w:tcBorders>
              <w:top w:val="nil"/>
              <w:left w:val="nil"/>
              <w:bottom w:val="single" w:sz="4" w:space="0" w:color="auto"/>
              <w:right w:val="nil"/>
            </w:tcBorders>
            <w:hideMark/>
          </w:tcPr>
          <w:p w14:paraId="2E830EBC"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3.5E-09</w:t>
            </w:r>
          </w:p>
        </w:tc>
        <w:tc>
          <w:tcPr>
            <w:tcW w:w="485" w:type="pct"/>
            <w:tcBorders>
              <w:top w:val="nil"/>
              <w:left w:val="nil"/>
              <w:bottom w:val="single" w:sz="4" w:space="0" w:color="auto"/>
              <w:right w:val="nil"/>
            </w:tcBorders>
            <w:hideMark/>
          </w:tcPr>
          <w:p w14:paraId="74D91205"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2.7E-09</w:t>
            </w:r>
          </w:p>
        </w:tc>
        <w:tc>
          <w:tcPr>
            <w:tcW w:w="485" w:type="pct"/>
            <w:tcBorders>
              <w:top w:val="nil"/>
              <w:left w:val="nil"/>
              <w:bottom w:val="single" w:sz="4" w:space="0" w:color="auto"/>
              <w:right w:val="nil"/>
            </w:tcBorders>
            <w:hideMark/>
          </w:tcPr>
          <w:p w14:paraId="46952DD8"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2.4E-09</w:t>
            </w:r>
          </w:p>
        </w:tc>
        <w:tc>
          <w:tcPr>
            <w:tcW w:w="487" w:type="pct"/>
            <w:tcBorders>
              <w:top w:val="nil"/>
              <w:left w:val="nil"/>
              <w:bottom w:val="single" w:sz="4" w:space="0" w:color="auto"/>
              <w:right w:val="nil"/>
            </w:tcBorders>
            <w:hideMark/>
          </w:tcPr>
          <w:p w14:paraId="640CA43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2.4E-09</w:t>
            </w:r>
          </w:p>
        </w:tc>
      </w:tr>
    </w:tbl>
    <w:p w14:paraId="0DF2767D" w14:textId="595AD937" w:rsidR="005C2848" w:rsidRPr="00972C81" w:rsidRDefault="005C2848" w:rsidP="00C47F2F">
      <w:pPr>
        <w:widowControl/>
        <w:jc w:val="left"/>
        <w:rPr>
          <w:noProof/>
          <w:szCs w:val="24"/>
        </w:rPr>
      </w:pPr>
      <w:r w:rsidRPr="00972C81">
        <w:rPr>
          <w:noProof/>
          <w:szCs w:val="24"/>
        </w:rPr>
        <w:lastRenderedPageBreak/>
        <w:t>Table 22.7. Committed effective dose coefficients (Sv Bq</w:t>
      </w:r>
      <w:r w:rsidRPr="00972C81">
        <w:rPr>
          <w:noProof/>
          <w:szCs w:val="24"/>
          <w:vertAlign w:val="superscript"/>
        </w:rPr>
        <w:t>-1</w:t>
      </w:r>
      <w:r w:rsidRPr="00972C81">
        <w:rPr>
          <w:noProof/>
          <w:szCs w:val="24"/>
        </w:rPr>
        <w:t xml:space="preserve">) for the inhalation or ingestion of </w:t>
      </w:r>
      <w:r w:rsidRPr="00972C81">
        <w:rPr>
          <w:noProof/>
          <w:szCs w:val="24"/>
          <w:vertAlign w:val="superscript"/>
        </w:rPr>
        <w:t>241</w:t>
      </w:r>
      <w:r w:rsidRPr="00972C81">
        <w:rPr>
          <w:noProof/>
          <w:szCs w:val="24"/>
        </w:rPr>
        <w:t>Pu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5C2848" w:rsidRPr="00A3213E" w14:paraId="068FBA49" w14:textId="77777777" w:rsidTr="0021254F">
        <w:trPr>
          <w:trHeight w:val="283"/>
        </w:trPr>
        <w:tc>
          <w:tcPr>
            <w:tcW w:w="2087" w:type="pct"/>
            <w:vMerge w:val="restart"/>
            <w:tcBorders>
              <w:top w:val="single" w:sz="4" w:space="0" w:color="auto"/>
              <w:left w:val="nil"/>
              <w:bottom w:val="single" w:sz="4" w:space="0" w:color="auto"/>
              <w:right w:val="nil"/>
            </w:tcBorders>
            <w:vAlign w:val="bottom"/>
            <w:hideMark/>
          </w:tcPr>
          <w:p w14:paraId="396D9233" w14:textId="77777777" w:rsidR="0011465C" w:rsidRDefault="005C2848">
            <w:pPr>
              <w:pStyle w:val="a5"/>
              <w:tabs>
                <w:tab w:val="clear" w:pos="4153"/>
                <w:tab w:val="clear" w:pos="8306"/>
              </w:tabs>
              <w:rPr>
                <w:noProof/>
                <w:sz w:val="22"/>
                <w:szCs w:val="22"/>
              </w:rPr>
            </w:pPr>
            <w:r w:rsidRPr="00C47F2F">
              <w:rPr>
                <w:noProof/>
                <w:sz w:val="22"/>
                <w:szCs w:val="22"/>
              </w:rPr>
              <w:t>Inhaled particulate materials</w:t>
            </w:r>
          </w:p>
          <w:p w14:paraId="1446A8D5" w14:textId="22C6AD82" w:rsidR="005C2848" w:rsidRPr="0011465C" w:rsidRDefault="005C2848" w:rsidP="00C47F2F">
            <w:pPr>
              <w:pStyle w:val="a5"/>
              <w:tabs>
                <w:tab w:val="clear" w:pos="4153"/>
                <w:tab w:val="clear" w:pos="8306"/>
              </w:tabs>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75C7A19B" w14:textId="77777777" w:rsidR="005C2848" w:rsidRPr="00C47F2F" w:rsidRDefault="005C2848" w:rsidP="0021254F">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5C2848" w:rsidRPr="00972C81" w14:paraId="71A6F824" w14:textId="77777777" w:rsidTr="0021254F">
        <w:trPr>
          <w:trHeight w:val="283"/>
        </w:trPr>
        <w:tc>
          <w:tcPr>
            <w:tcW w:w="2087" w:type="pct"/>
            <w:vMerge/>
            <w:tcBorders>
              <w:top w:val="single" w:sz="4" w:space="0" w:color="auto"/>
              <w:left w:val="nil"/>
              <w:bottom w:val="single" w:sz="4" w:space="0" w:color="auto"/>
              <w:right w:val="nil"/>
            </w:tcBorders>
            <w:vAlign w:val="center"/>
            <w:hideMark/>
          </w:tcPr>
          <w:p w14:paraId="52EA497A" w14:textId="77777777" w:rsidR="005C2848" w:rsidRPr="0011465C" w:rsidRDefault="005C28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0111A7B0" w14:textId="3C0C5A8D" w:rsidR="005C2848" w:rsidRPr="00232741" w:rsidRDefault="005C2848" w:rsidP="0021254F">
            <w:pPr>
              <w:pStyle w:val="TabFiglegends"/>
              <w:widowControl w:val="0"/>
              <w:jc w:val="left"/>
              <w:rPr>
                <w:noProof/>
                <w:szCs w:val="22"/>
                <w:lang w:eastAsia="ko-KR"/>
              </w:rPr>
            </w:pPr>
            <w:r w:rsidRPr="00C47F2F">
              <w:rPr>
                <w:noProof/>
                <w:szCs w:val="22"/>
                <w:lang w:eastAsia="en-US"/>
              </w:rPr>
              <w:t>3</w:t>
            </w:r>
            <w:r w:rsidR="0011465C">
              <w:rPr>
                <w:rFonts w:hint="eastAsia"/>
                <w:noProof/>
                <w:szCs w:val="22"/>
                <w:lang w:eastAsia="ko-KR"/>
              </w:rPr>
              <w:t xml:space="preserve"> </w:t>
            </w:r>
            <w:r w:rsidRPr="00C47F2F">
              <w:rPr>
                <w:noProof/>
                <w:szCs w:val="22"/>
                <w:lang w:eastAsia="en-US"/>
              </w:rPr>
              <w:t>m</w:t>
            </w:r>
            <w:r w:rsidR="0021254F">
              <w:rPr>
                <w:rFonts w:hint="eastAsia"/>
                <w:noProof/>
                <w:szCs w:val="22"/>
                <w:lang w:eastAsia="ko-KR"/>
              </w:rPr>
              <w:t>o</w:t>
            </w:r>
          </w:p>
        </w:tc>
        <w:tc>
          <w:tcPr>
            <w:tcW w:w="485" w:type="pct"/>
            <w:tcBorders>
              <w:top w:val="single" w:sz="4" w:space="0" w:color="auto"/>
              <w:left w:val="nil"/>
              <w:bottom w:val="single" w:sz="4" w:space="0" w:color="auto"/>
              <w:right w:val="nil"/>
            </w:tcBorders>
            <w:vAlign w:val="center"/>
            <w:hideMark/>
          </w:tcPr>
          <w:p w14:paraId="1D5AC0AA" w14:textId="021D31F6" w:rsidR="005C2848" w:rsidRPr="00C47F2F" w:rsidRDefault="005C2848" w:rsidP="0021254F">
            <w:pPr>
              <w:jc w:val="left"/>
              <w:rPr>
                <w:noProof/>
                <w:sz w:val="22"/>
                <w:szCs w:val="22"/>
                <w:lang w:eastAsia="ko-KR"/>
              </w:rPr>
            </w:pPr>
            <w:r w:rsidRPr="00C47F2F">
              <w:rPr>
                <w:noProof/>
                <w:sz w:val="22"/>
                <w:szCs w:val="22"/>
              </w:rPr>
              <w:t>1</w:t>
            </w:r>
            <w:r w:rsidR="0011465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D9DF64D" w14:textId="35124B69" w:rsidR="005C2848" w:rsidRPr="00C47F2F" w:rsidRDefault="005C2848" w:rsidP="0021254F">
            <w:pPr>
              <w:jc w:val="left"/>
              <w:rPr>
                <w:noProof/>
                <w:sz w:val="22"/>
                <w:szCs w:val="22"/>
              </w:rPr>
            </w:pPr>
            <w:r w:rsidRPr="00C47F2F">
              <w:rPr>
                <w:noProof/>
                <w:sz w:val="22"/>
                <w:szCs w:val="22"/>
              </w:rPr>
              <w:t>5</w:t>
            </w:r>
            <w:r w:rsidR="0011465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6FFEC452" w14:textId="7690DF9D" w:rsidR="005C2848" w:rsidRPr="00C47F2F" w:rsidRDefault="005C2848" w:rsidP="0021254F">
            <w:pPr>
              <w:jc w:val="left"/>
              <w:rPr>
                <w:noProof/>
                <w:sz w:val="22"/>
                <w:szCs w:val="22"/>
              </w:rPr>
            </w:pPr>
            <w:r w:rsidRPr="00C47F2F">
              <w:rPr>
                <w:noProof/>
                <w:sz w:val="22"/>
                <w:szCs w:val="22"/>
              </w:rPr>
              <w:t>10</w:t>
            </w:r>
            <w:r w:rsidR="0011465C">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1BBE65F1" w14:textId="2C1D6842" w:rsidR="005C2848" w:rsidRPr="00C47F2F" w:rsidRDefault="005C2848" w:rsidP="0021254F">
            <w:pPr>
              <w:jc w:val="left"/>
              <w:rPr>
                <w:noProof/>
                <w:sz w:val="22"/>
                <w:szCs w:val="22"/>
              </w:rPr>
            </w:pPr>
            <w:r w:rsidRPr="00C47F2F">
              <w:rPr>
                <w:noProof/>
                <w:sz w:val="22"/>
                <w:szCs w:val="22"/>
              </w:rPr>
              <w:t>15</w:t>
            </w:r>
            <w:r w:rsidR="0011465C">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7259949B" w14:textId="77777777" w:rsidR="005C2848" w:rsidRPr="00C47F2F" w:rsidRDefault="005C2848" w:rsidP="0021254F">
            <w:pPr>
              <w:jc w:val="left"/>
              <w:rPr>
                <w:noProof/>
                <w:sz w:val="22"/>
                <w:szCs w:val="22"/>
              </w:rPr>
            </w:pPr>
            <w:r w:rsidRPr="00C47F2F">
              <w:rPr>
                <w:noProof/>
                <w:sz w:val="22"/>
                <w:szCs w:val="22"/>
              </w:rPr>
              <w:t>Adult</w:t>
            </w:r>
          </w:p>
        </w:tc>
      </w:tr>
      <w:tr w:rsidR="005C2848" w:rsidRPr="00972C81" w14:paraId="21B909DE" w14:textId="77777777" w:rsidTr="0021254F">
        <w:trPr>
          <w:trHeight w:val="340"/>
        </w:trPr>
        <w:tc>
          <w:tcPr>
            <w:tcW w:w="2087" w:type="pct"/>
            <w:tcBorders>
              <w:top w:val="single" w:sz="4" w:space="0" w:color="auto"/>
              <w:left w:val="nil"/>
              <w:bottom w:val="nil"/>
              <w:right w:val="nil"/>
            </w:tcBorders>
            <w:hideMark/>
          </w:tcPr>
          <w:p w14:paraId="2D8A6468" w14:textId="77777777" w:rsidR="005C2848" w:rsidRPr="00C47F2F" w:rsidRDefault="005C2848" w:rsidP="0021254F">
            <w:pPr>
              <w:jc w:val="left"/>
              <w:rPr>
                <w:rFonts w:eastAsia="Times New Roman"/>
                <w:noProof/>
                <w:color w:val="000000"/>
                <w:sz w:val="22"/>
                <w:szCs w:val="22"/>
                <w:lang w:eastAsia="en-GB"/>
              </w:rPr>
            </w:pPr>
            <w:r w:rsidRPr="00C47F2F">
              <w:rPr>
                <w:rFonts w:eastAsia="Times New Roman"/>
                <w:noProof/>
                <w:color w:val="000000"/>
                <w:sz w:val="22"/>
                <w:szCs w:val="22"/>
                <w:lang w:eastAsia="en-GB"/>
              </w:rPr>
              <w:t>Plutonium nitrate, Pu(NO</w:t>
            </w:r>
            <w:r w:rsidRPr="00C47F2F">
              <w:rPr>
                <w:rFonts w:eastAsia="Times New Roman"/>
                <w:noProof/>
                <w:color w:val="000000"/>
                <w:sz w:val="22"/>
                <w:szCs w:val="22"/>
                <w:vertAlign w:val="subscript"/>
                <w:lang w:eastAsia="en-GB"/>
              </w:rPr>
              <w:t>3</w:t>
            </w:r>
            <w:r w:rsidRPr="00C47F2F">
              <w:rPr>
                <w:rFonts w:eastAsia="Times New Roman"/>
                <w:noProof/>
                <w:color w:val="000000"/>
                <w:sz w:val="22"/>
                <w:szCs w:val="22"/>
                <w:lang w:eastAsia="en-GB"/>
              </w:rPr>
              <w:t>)</w:t>
            </w:r>
            <w:r w:rsidRPr="00C47F2F">
              <w:rPr>
                <w:rFonts w:eastAsia="Times New Roman"/>
                <w:noProof/>
                <w:color w:val="000000"/>
                <w:sz w:val="22"/>
                <w:szCs w:val="22"/>
                <w:vertAlign w:val="subscript"/>
                <w:lang w:eastAsia="en-GB"/>
              </w:rPr>
              <w:t>4</w:t>
            </w:r>
          </w:p>
        </w:tc>
        <w:tc>
          <w:tcPr>
            <w:tcW w:w="485" w:type="pct"/>
            <w:tcBorders>
              <w:top w:val="single" w:sz="4" w:space="0" w:color="auto"/>
              <w:left w:val="nil"/>
              <w:bottom w:val="nil"/>
              <w:right w:val="nil"/>
            </w:tcBorders>
            <w:hideMark/>
          </w:tcPr>
          <w:p w14:paraId="313AAFD7"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3.2E-07</w:t>
            </w:r>
          </w:p>
        </w:tc>
        <w:tc>
          <w:tcPr>
            <w:tcW w:w="485" w:type="pct"/>
            <w:tcBorders>
              <w:top w:val="single" w:sz="4" w:space="0" w:color="auto"/>
              <w:left w:val="nil"/>
              <w:bottom w:val="nil"/>
              <w:right w:val="nil"/>
            </w:tcBorders>
            <w:hideMark/>
          </w:tcPr>
          <w:p w14:paraId="33789E94"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3.3E-07</w:t>
            </w:r>
          </w:p>
        </w:tc>
        <w:tc>
          <w:tcPr>
            <w:tcW w:w="485" w:type="pct"/>
            <w:tcBorders>
              <w:top w:val="single" w:sz="4" w:space="0" w:color="auto"/>
              <w:left w:val="nil"/>
              <w:bottom w:val="nil"/>
              <w:right w:val="nil"/>
            </w:tcBorders>
            <w:hideMark/>
          </w:tcPr>
          <w:p w14:paraId="35685494"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2.6E-07</w:t>
            </w:r>
          </w:p>
        </w:tc>
        <w:tc>
          <w:tcPr>
            <w:tcW w:w="485" w:type="pct"/>
            <w:tcBorders>
              <w:top w:val="single" w:sz="4" w:space="0" w:color="auto"/>
              <w:left w:val="nil"/>
              <w:bottom w:val="nil"/>
              <w:right w:val="nil"/>
            </w:tcBorders>
            <w:hideMark/>
          </w:tcPr>
          <w:p w14:paraId="7E81902C"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2.1E-07</w:t>
            </w:r>
          </w:p>
        </w:tc>
        <w:tc>
          <w:tcPr>
            <w:tcW w:w="485" w:type="pct"/>
            <w:tcBorders>
              <w:top w:val="single" w:sz="4" w:space="0" w:color="auto"/>
              <w:left w:val="nil"/>
              <w:bottom w:val="nil"/>
              <w:right w:val="nil"/>
            </w:tcBorders>
            <w:hideMark/>
          </w:tcPr>
          <w:p w14:paraId="4B84E317"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2.1E-07</w:t>
            </w:r>
          </w:p>
        </w:tc>
        <w:tc>
          <w:tcPr>
            <w:tcW w:w="486" w:type="pct"/>
            <w:tcBorders>
              <w:top w:val="single" w:sz="4" w:space="0" w:color="auto"/>
              <w:left w:val="nil"/>
              <w:bottom w:val="nil"/>
              <w:right w:val="nil"/>
            </w:tcBorders>
            <w:hideMark/>
          </w:tcPr>
          <w:p w14:paraId="4408D3FA"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2.2E-07</w:t>
            </w:r>
          </w:p>
        </w:tc>
      </w:tr>
      <w:tr w:rsidR="005C2848" w:rsidRPr="00972C81" w14:paraId="676C25D3" w14:textId="77777777" w:rsidTr="0021254F">
        <w:trPr>
          <w:trHeight w:val="340"/>
        </w:trPr>
        <w:tc>
          <w:tcPr>
            <w:tcW w:w="2087" w:type="pct"/>
            <w:tcBorders>
              <w:top w:val="nil"/>
              <w:left w:val="nil"/>
              <w:bottom w:val="nil"/>
              <w:right w:val="nil"/>
            </w:tcBorders>
            <w:hideMark/>
          </w:tcPr>
          <w:p w14:paraId="52BC60A4" w14:textId="77777777" w:rsidR="005C2848" w:rsidRPr="00C47F2F" w:rsidRDefault="005C2848" w:rsidP="0021254F">
            <w:pPr>
              <w:jc w:val="left"/>
              <w:rPr>
                <w:rFonts w:eastAsia="Times New Roman"/>
                <w:noProof/>
                <w:color w:val="000000"/>
                <w:sz w:val="22"/>
                <w:szCs w:val="22"/>
                <w:lang w:eastAsia="en-GB"/>
              </w:rPr>
            </w:pPr>
            <w:r w:rsidRPr="00C47F2F">
              <w:rPr>
                <w:rFonts w:eastAsia="Times New Roman"/>
                <w:noProof/>
                <w:color w:val="000000"/>
                <w:sz w:val="22"/>
                <w:szCs w:val="22"/>
                <w:lang w:eastAsia="en-GB"/>
              </w:rPr>
              <w:t xml:space="preserve">Plutonium-239 dioxide, </w:t>
            </w:r>
            <w:r w:rsidRPr="00C47F2F">
              <w:rPr>
                <w:rFonts w:eastAsia="Times New Roman"/>
                <w:noProof/>
                <w:color w:val="000000"/>
                <w:sz w:val="22"/>
                <w:szCs w:val="22"/>
                <w:vertAlign w:val="superscript"/>
                <w:lang w:eastAsia="en-GB"/>
              </w:rPr>
              <w:t>239</w:t>
            </w:r>
            <w:r w:rsidRPr="00C47F2F">
              <w:rPr>
                <w:rFonts w:eastAsia="Times New Roman"/>
                <w:noProof/>
                <w:color w:val="000000"/>
                <w:sz w:val="22"/>
                <w:szCs w:val="22"/>
                <w:lang w:eastAsia="en-GB"/>
              </w:rPr>
              <w:t>PuO</w:t>
            </w:r>
            <w:r w:rsidRPr="00C47F2F">
              <w:rPr>
                <w:rFonts w:eastAsia="Times New Roman"/>
                <w:noProof/>
                <w:color w:val="000000"/>
                <w:sz w:val="22"/>
                <w:szCs w:val="22"/>
                <w:vertAlign w:val="subscript"/>
                <w:lang w:eastAsia="en-GB"/>
              </w:rPr>
              <w:t>2</w:t>
            </w:r>
            <w:r w:rsidRPr="00C47F2F">
              <w:rPr>
                <w:rFonts w:eastAsia="Times New Roman"/>
                <w:noProof/>
                <w:color w:val="000000"/>
                <w:sz w:val="22"/>
                <w:szCs w:val="22"/>
                <w:lang w:eastAsia="en-GB"/>
              </w:rPr>
              <w:t>; Plutonium in mixed oxide (MOX: (UO</w:t>
            </w:r>
            <w:r w:rsidRPr="00C47F2F">
              <w:rPr>
                <w:rFonts w:eastAsia="Times New Roman"/>
                <w:noProof/>
                <w:color w:val="000000"/>
                <w:sz w:val="22"/>
                <w:szCs w:val="22"/>
                <w:vertAlign w:val="subscript"/>
                <w:lang w:eastAsia="en-GB"/>
              </w:rPr>
              <w:t>2</w:t>
            </w:r>
            <w:r w:rsidRPr="00C47F2F">
              <w:rPr>
                <w:rFonts w:eastAsia="Times New Roman"/>
                <w:noProof/>
                <w:color w:val="000000"/>
                <w:sz w:val="22"/>
                <w:szCs w:val="22"/>
                <w:lang w:eastAsia="en-GB"/>
              </w:rPr>
              <w:t xml:space="preserve"> + PuO</w:t>
            </w:r>
            <w:r w:rsidRPr="00C47F2F">
              <w:rPr>
                <w:rFonts w:eastAsia="Times New Roman"/>
                <w:noProof/>
                <w:color w:val="000000"/>
                <w:sz w:val="22"/>
                <w:szCs w:val="22"/>
                <w:vertAlign w:val="subscript"/>
                <w:lang w:eastAsia="en-GB"/>
              </w:rPr>
              <w:t>2</w:t>
            </w:r>
            <w:r w:rsidRPr="00C47F2F">
              <w:rPr>
                <w:rFonts w:eastAsia="Times New Roman"/>
                <w:noProof/>
                <w:color w:val="000000"/>
                <w:sz w:val="22"/>
                <w:szCs w:val="22"/>
                <w:lang w:eastAsia="en-GB"/>
              </w:rPr>
              <w:t>) or (U,Pu)O</w:t>
            </w:r>
            <w:r w:rsidRPr="00C47F2F">
              <w:rPr>
                <w:rFonts w:eastAsia="Times New Roman"/>
                <w:noProof/>
                <w:color w:val="000000"/>
                <w:sz w:val="22"/>
                <w:szCs w:val="22"/>
                <w:vertAlign w:val="subscript"/>
                <w:lang w:eastAsia="en-GB"/>
              </w:rPr>
              <w:t>2</w:t>
            </w:r>
            <w:r w:rsidRPr="00C47F2F">
              <w:rPr>
                <w:rFonts w:eastAsia="Times New Roman"/>
                <w:noProof/>
                <w:color w:val="000000"/>
                <w:sz w:val="22"/>
                <w:szCs w:val="22"/>
                <w:lang w:eastAsia="en-GB"/>
              </w:rPr>
              <w:t>)</w:t>
            </w:r>
          </w:p>
        </w:tc>
        <w:tc>
          <w:tcPr>
            <w:tcW w:w="485" w:type="pct"/>
            <w:tcBorders>
              <w:top w:val="nil"/>
              <w:left w:val="nil"/>
              <w:bottom w:val="nil"/>
              <w:right w:val="nil"/>
            </w:tcBorders>
            <w:hideMark/>
          </w:tcPr>
          <w:p w14:paraId="1FD4490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1.2E-06</w:t>
            </w:r>
          </w:p>
        </w:tc>
        <w:tc>
          <w:tcPr>
            <w:tcW w:w="485" w:type="pct"/>
            <w:tcBorders>
              <w:top w:val="nil"/>
              <w:left w:val="nil"/>
              <w:bottom w:val="nil"/>
              <w:right w:val="nil"/>
            </w:tcBorders>
            <w:hideMark/>
          </w:tcPr>
          <w:p w14:paraId="2E013B2D"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1.3E-06</w:t>
            </w:r>
          </w:p>
        </w:tc>
        <w:tc>
          <w:tcPr>
            <w:tcW w:w="485" w:type="pct"/>
            <w:tcBorders>
              <w:top w:val="nil"/>
              <w:left w:val="nil"/>
              <w:bottom w:val="nil"/>
              <w:right w:val="nil"/>
            </w:tcBorders>
            <w:hideMark/>
          </w:tcPr>
          <w:p w14:paraId="0047ED57"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1.1E-06</w:t>
            </w:r>
          </w:p>
        </w:tc>
        <w:tc>
          <w:tcPr>
            <w:tcW w:w="485" w:type="pct"/>
            <w:tcBorders>
              <w:top w:val="nil"/>
              <w:left w:val="nil"/>
              <w:bottom w:val="nil"/>
              <w:right w:val="nil"/>
            </w:tcBorders>
            <w:hideMark/>
          </w:tcPr>
          <w:p w14:paraId="6268DABA"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9.7E-07</w:t>
            </w:r>
          </w:p>
        </w:tc>
        <w:tc>
          <w:tcPr>
            <w:tcW w:w="485" w:type="pct"/>
            <w:tcBorders>
              <w:top w:val="nil"/>
              <w:left w:val="nil"/>
              <w:bottom w:val="nil"/>
              <w:right w:val="nil"/>
            </w:tcBorders>
            <w:hideMark/>
          </w:tcPr>
          <w:p w14:paraId="6B9BED48"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9.6E-07</w:t>
            </w:r>
          </w:p>
        </w:tc>
        <w:tc>
          <w:tcPr>
            <w:tcW w:w="486" w:type="pct"/>
            <w:tcBorders>
              <w:top w:val="nil"/>
              <w:left w:val="nil"/>
              <w:bottom w:val="nil"/>
              <w:right w:val="nil"/>
            </w:tcBorders>
            <w:hideMark/>
          </w:tcPr>
          <w:p w14:paraId="57EAD7F8"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9.1E-07</w:t>
            </w:r>
          </w:p>
        </w:tc>
      </w:tr>
      <w:tr w:rsidR="005C2848" w:rsidRPr="00972C81" w14:paraId="3BA6200F" w14:textId="77777777" w:rsidTr="0021254F">
        <w:trPr>
          <w:trHeight w:val="340"/>
        </w:trPr>
        <w:tc>
          <w:tcPr>
            <w:tcW w:w="2087" w:type="pct"/>
            <w:tcBorders>
              <w:top w:val="nil"/>
              <w:left w:val="nil"/>
              <w:bottom w:val="nil"/>
              <w:right w:val="nil"/>
            </w:tcBorders>
            <w:hideMark/>
          </w:tcPr>
          <w:p w14:paraId="4D67CFD6" w14:textId="77777777" w:rsidR="005C2848" w:rsidRPr="00C47F2F" w:rsidRDefault="005C2848" w:rsidP="0021254F">
            <w:pPr>
              <w:jc w:val="left"/>
              <w:rPr>
                <w:rFonts w:eastAsia="Times New Roman"/>
                <w:noProof/>
                <w:color w:val="000000"/>
                <w:sz w:val="22"/>
                <w:szCs w:val="22"/>
                <w:lang w:val="fr-FR" w:eastAsia="en-GB"/>
              </w:rPr>
            </w:pPr>
            <w:r w:rsidRPr="00C47F2F">
              <w:rPr>
                <w:rFonts w:eastAsia="Times New Roman"/>
                <w:noProof/>
                <w:color w:val="000000"/>
                <w:sz w:val="22"/>
                <w:szCs w:val="22"/>
                <w:lang w:val="fr-FR" w:eastAsia="en-GB"/>
              </w:rPr>
              <w:t>Plutonium dioxide 1-nm nanoparticles, 1-nm PuO</w:t>
            </w:r>
            <w:r w:rsidRPr="00C47F2F">
              <w:rPr>
                <w:rFonts w:eastAsia="Times New Roman"/>
                <w:noProof/>
                <w:color w:val="000000"/>
                <w:sz w:val="22"/>
                <w:szCs w:val="22"/>
                <w:vertAlign w:val="subscript"/>
                <w:lang w:val="fr-FR" w:eastAsia="en-GB"/>
              </w:rPr>
              <w:t>2</w:t>
            </w:r>
          </w:p>
        </w:tc>
        <w:tc>
          <w:tcPr>
            <w:tcW w:w="485" w:type="pct"/>
            <w:tcBorders>
              <w:top w:val="nil"/>
              <w:left w:val="nil"/>
              <w:bottom w:val="nil"/>
              <w:right w:val="nil"/>
            </w:tcBorders>
            <w:hideMark/>
          </w:tcPr>
          <w:p w14:paraId="229D25C7"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5.1E-07</w:t>
            </w:r>
          </w:p>
        </w:tc>
        <w:tc>
          <w:tcPr>
            <w:tcW w:w="485" w:type="pct"/>
            <w:tcBorders>
              <w:top w:val="nil"/>
              <w:left w:val="nil"/>
              <w:bottom w:val="nil"/>
              <w:right w:val="nil"/>
            </w:tcBorders>
            <w:hideMark/>
          </w:tcPr>
          <w:p w14:paraId="01BEFF64"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5.0E-07</w:t>
            </w:r>
          </w:p>
        </w:tc>
        <w:tc>
          <w:tcPr>
            <w:tcW w:w="485" w:type="pct"/>
            <w:tcBorders>
              <w:top w:val="nil"/>
              <w:left w:val="nil"/>
              <w:bottom w:val="nil"/>
              <w:right w:val="nil"/>
            </w:tcBorders>
            <w:hideMark/>
          </w:tcPr>
          <w:p w14:paraId="1758465E"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4.1E-07</w:t>
            </w:r>
          </w:p>
        </w:tc>
        <w:tc>
          <w:tcPr>
            <w:tcW w:w="485" w:type="pct"/>
            <w:tcBorders>
              <w:top w:val="nil"/>
              <w:left w:val="nil"/>
              <w:bottom w:val="nil"/>
              <w:right w:val="nil"/>
            </w:tcBorders>
            <w:hideMark/>
          </w:tcPr>
          <w:p w14:paraId="30904FFB"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3.3E-07</w:t>
            </w:r>
          </w:p>
        </w:tc>
        <w:tc>
          <w:tcPr>
            <w:tcW w:w="485" w:type="pct"/>
            <w:tcBorders>
              <w:top w:val="nil"/>
              <w:left w:val="nil"/>
              <w:bottom w:val="nil"/>
              <w:right w:val="nil"/>
            </w:tcBorders>
            <w:hideMark/>
          </w:tcPr>
          <w:p w14:paraId="2B5913C5"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3.4E-07</w:t>
            </w:r>
          </w:p>
        </w:tc>
        <w:tc>
          <w:tcPr>
            <w:tcW w:w="486" w:type="pct"/>
            <w:tcBorders>
              <w:top w:val="nil"/>
              <w:left w:val="nil"/>
              <w:bottom w:val="nil"/>
              <w:right w:val="nil"/>
            </w:tcBorders>
            <w:hideMark/>
          </w:tcPr>
          <w:p w14:paraId="13584044"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3.4E-07</w:t>
            </w:r>
          </w:p>
        </w:tc>
      </w:tr>
      <w:tr w:rsidR="005C2848" w:rsidRPr="00972C81" w14:paraId="1AE37C4A" w14:textId="77777777" w:rsidTr="0021254F">
        <w:trPr>
          <w:trHeight w:val="340"/>
        </w:trPr>
        <w:tc>
          <w:tcPr>
            <w:tcW w:w="2087" w:type="pct"/>
            <w:tcBorders>
              <w:top w:val="nil"/>
              <w:left w:val="nil"/>
              <w:bottom w:val="nil"/>
              <w:right w:val="nil"/>
            </w:tcBorders>
            <w:hideMark/>
          </w:tcPr>
          <w:p w14:paraId="6F28B17E" w14:textId="77777777" w:rsidR="005C2848" w:rsidRPr="00C47F2F" w:rsidRDefault="005C2848" w:rsidP="0021254F">
            <w:pPr>
              <w:jc w:val="left"/>
              <w:rPr>
                <w:rFonts w:eastAsiaTheme="minorHAnsi"/>
                <w:noProof/>
                <w:color w:val="000000"/>
                <w:sz w:val="22"/>
                <w:szCs w:val="22"/>
              </w:rPr>
            </w:pPr>
            <w:r w:rsidRPr="00C47F2F">
              <w:rPr>
                <w:noProof/>
                <w:color w:val="000000"/>
                <w:sz w:val="22"/>
                <w:szCs w:val="22"/>
              </w:rPr>
              <w:t>Type F</w:t>
            </w:r>
          </w:p>
        </w:tc>
        <w:tc>
          <w:tcPr>
            <w:tcW w:w="485" w:type="pct"/>
            <w:tcBorders>
              <w:top w:val="nil"/>
              <w:left w:val="nil"/>
              <w:bottom w:val="nil"/>
              <w:right w:val="nil"/>
            </w:tcBorders>
            <w:hideMark/>
          </w:tcPr>
          <w:p w14:paraId="072E2B02"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6.0E-07</w:t>
            </w:r>
          </w:p>
        </w:tc>
        <w:tc>
          <w:tcPr>
            <w:tcW w:w="485" w:type="pct"/>
            <w:tcBorders>
              <w:top w:val="nil"/>
              <w:left w:val="nil"/>
              <w:bottom w:val="nil"/>
              <w:right w:val="nil"/>
            </w:tcBorders>
            <w:hideMark/>
          </w:tcPr>
          <w:p w14:paraId="1134A58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5.8E-07</w:t>
            </w:r>
          </w:p>
        </w:tc>
        <w:tc>
          <w:tcPr>
            <w:tcW w:w="485" w:type="pct"/>
            <w:tcBorders>
              <w:top w:val="nil"/>
              <w:left w:val="nil"/>
              <w:bottom w:val="nil"/>
              <w:right w:val="nil"/>
            </w:tcBorders>
            <w:hideMark/>
          </w:tcPr>
          <w:p w14:paraId="2BBDD4B3"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4.8E-07</w:t>
            </w:r>
          </w:p>
        </w:tc>
        <w:tc>
          <w:tcPr>
            <w:tcW w:w="485" w:type="pct"/>
            <w:tcBorders>
              <w:top w:val="nil"/>
              <w:left w:val="nil"/>
              <w:bottom w:val="nil"/>
              <w:right w:val="nil"/>
            </w:tcBorders>
            <w:hideMark/>
          </w:tcPr>
          <w:p w14:paraId="2C95AF85"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3.9E-07</w:t>
            </w:r>
          </w:p>
        </w:tc>
        <w:tc>
          <w:tcPr>
            <w:tcW w:w="485" w:type="pct"/>
            <w:tcBorders>
              <w:top w:val="nil"/>
              <w:left w:val="nil"/>
              <w:bottom w:val="nil"/>
              <w:right w:val="nil"/>
            </w:tcBorders>
            <w:hideMark/>
          </w:tcPr>
          <w:p w14:paraId="057B48A7"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4.0E-07</w:t>
            </w:r>
          </w:p>
        </w:tc>
        <w:tc>
          <w:tcPr>
            <w:tcW w:w="486" w:type="pct"/>
            <w:tcBorders>
              <w:top w:val="nil"/>
              <w:left w:val="nil"/>
              <w:bottom w:val="nil"/>
              <w:right w:val="nil"/>
            </w:tcBorders>
            <w:hideMark/>
          </w:tcPr>
          <w:p w14:paraId="659EDF25"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4.0E-07</w:t>
            </w:r>
          </w:p>
        </w:tc>
      </w:tr>
      <w:tr w:rsidR="005C2848" w:rsidRPr="00972C81" w14:paraId="18F7C5CE" w14:textId="77777777" w:rsidTr="0021254F">
        <w:trPr>
          <w:trHeight w:val="340"/>
        </w:trPr>
        <w:tc>
          <w:tcPr>
            <w:tcW w:w="2087" w:type="pct"/>
            <w:tcBorders>
              <w:top w:val="nil"/>
              <w:left w:val="nil"/>
              <w:bottom w:val="nil"/>
              <w:right w:val="nil"/>
            </w:tcBorders>
            <w:hideMark/>
          </w:tcPr>
          <w:p w14:paraId="2423E14D" w14:textId="77777777" w:rsidR="005C2848" w:rsidRPr="00C47F2F" w:rsidRDefault="005C2848" w:rsidP="0021254F">
            <w:pPr>
              <w:jc w:val="left"/>
              <w:rPr>
                <w:rFonts w:eastAsiaTheme="minorHAnsi"/>
                <w:noProof/>
                <w:sz w:val="22"/>
                <w:szCs w:val="22"/>
                <w:lang w:val="fr-FR"/>
              </w:rPr>
            </w:pPr>
            <w:r w:rsidRPr="00C47F2F">
              <w:rPr>
                <w:noProof/>
                <w:sz w:val="22"/>
                <w:szCs w:val="22"/>
                <w:lang w:val="fr-FR"/>
              </w:rPr>
              <w:t xml:space="preserve">Type M, </w:t>
            </w:r>
            <w:r w:rsidRPr="00C47F2F">
              <w:rPr>
                <w:rFonts w:eastAsia="Times New Roman"/>
                <w:noProof/>
                <w:color w:val="000000"/>
                <w:sz w:val="22"/>
                <w:szCs w:val="22"/>
                <w:lang w:val="fr-FR" w:eastAsia="en-GB"/>
              </w:rPr>
              <w:t>plutonium citrate; Plutonium tri-butyl-phosphate (Pu-TBP) ; Plutonium chloride (PuCl</w:t>
            </w:r>
            <w:r w:rsidRPr="00C47F2F">
              <w:rPr>
                <w:rFonts w:eastAsia="Times New Roman"/>
                <w:noProof/>
                <w:color w:val="000000"/>
                <w:sz w:val="22"/>
                <w:szCs w:val="22"/>
                <w:vertAlign w:val="subscript"/>
                <w:lang w:val="fr-FR" w:eastAsia="en-GB"/>
              </w:rPr>
              <w:t>3</w:t>
            </w:r>
            <w:r w:rsidRPr="00C47F2F">
              <w:rPr>
                <w:rFonts w:eastAsia="Times New Roman"/>
                <w:noProof/>
                <w:color w:val="000000"/>
                <w:sz w:val="22"/>
                <w:szCs w:val="22"/>
                <w:lang w:val="fr-FR" w:eastAsia="en-GB"/>
              </w:rPr>
              <w:t>)</w:t>
            </w:r>
          </w:p>
        </w:tc>
        <w:tc>
          <w:tcPr>
            <w:tcW w:w="485" w:type="pct"/>
            <w:tcBorders>
              <w:top w:val="nil"/>
              <w:left w:val="nil"/>
              <w:bottom w:val="nil"/>
              <w:right w:val="nil"/>
            </w:tcBorders>
            <w:hideMark/>
          </w:tcPr>
          <w:p w14:paraId="0F870637"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3.6E-07</w:t>
            </w:r>
          </w:p>
        </w:tc>
        <w:tc>
          <w:tcPr>
            <w:tcW w:w="485" w:type="pct"/>
            <w:tcBorders>
              <w:top w:val="nil"/>
              <w:left w:val="nil"/>
              <w:bottom w:val="nil"/>
              <w:right w:val="nil"/>
            </w:tcBorders>
            <w:hideMark/>
          </w:tcPr>
          <w:p w14:paraId="4A062B25"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3.7E-07</w:t>
            </w:r>
          </w:p>
        </w:tc>
        <w:tc>
          <w:tcPr>
            <w:tcW w:w="485" w:type="pct"/>
            <w:tcBorders>
              <w:top w:val="nil"/>
              <w:left w:val="nil"/>
              <w:bottom w:val="nil"/>
              <w:right w:val="nil"/>
            </w:tcBorders>
            <w:hideMark/>
          </w:tcPr>
          <w:p w14:paraId="69B2090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3.0E-07</w:t>
            </w:r>
          </w:p>
        </w:tc>
        <w:tc>
          <w:tcPr>
            <w:tcW w:w="485" w:type="pct"/>
            <w:tcBorders>
              <w:top w:val="nil"/>
              <w:left w:val="nil"/>
              <w:bottom w:val="nil"/>
              <w:right w:val="nil"/>
            </w:tcBorders>
            <w:hideMark/>
          </w:tcPr>
          <w:p w14:paraId="6E1027AE"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2.4E-07</w:t>
            </w:r>
          </w:p>
        </w:tc>
        <w:tc>
          <w:tcPr>
            <w:tcW w:w="485" w:type="pct"/>
            <w:tcBorders>
              <w:top w:val="nil"/>
              <w:left w:val="nil"/>
              <w:bottom w:val="nil"/>
              <w:right w:val="nil"/>
            </w:tcBorders>
            <w:hideMark/>
          </w:tcPr>
          <w:p w14:paraId="7CCF2083"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2.4E-07</w:t>
            </w:r>
          </w:p>
        </w:tc>
        <w:tc>
          <w:tcPr>
            <w:tcW w:w="486" w:type="pct"/>
            <w:tcBorders>
              <w:top w:val="nil"/>
              <w:left w:val="nil"/>
              <w:bottom w:val="nil"/>
              <w:right w:val="nil"/>
            </w:tcBorders>
            <w:hideMark/>
          </w:tcPr>
          <w:p w14:paraId="311F4DC8"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2.5E-07</w:t>
            </w:r>
          </w:p>
        </w:tc>
      </w:tr>
      <w:tr w:rsidR="005C2848" w:rsidRPr="00972C81" w14:paraId="6931A8CE" w14:textId="77777777" w:rsidTr="0021254F">
        <w:trPr>
          <w:trHeight w:val="340"/>
        </w:trPr>
        <w:tc>
          <w:tcPr>
            <w:tcW w:w="2087" w:type="pct"/>
            <w:tcBorders>
              <w:top w:val="nil"/>
              <w:left w:val="nil"/>
              <w:bottom w:val="single" w:sz="4" w:space="0" w:color="auto"/>
              <w:right w:val="nil"/>
            </w:tcBorders>
            <w:hideMark/>
          </w:tcPr>
          <w:p w14:paraId="746C22A2" w14:textId="77777777" w:rsidR="005C2848" w:rsidRPr="00C47F2F" w:rsidRDefault="005C2848" w:rsidP="0021254F">
            <w:pPr>
              <w:jc w:val="left"/>
              <w:rPr>
                <w:rFonts w:eastAsiaTheme="minorHAnsi"/>
                <w:noProof/>
                <w:sz w:val="22"/>
                <w:szCs w:val="22"/>
              </w:rPr>
            </w:pPr>
            <w:r w:rsidRPr="00C47F2F">
              <w:rPr>
                <w:noProof/>
                <w:sz w:val="22"/>
                <w:szCs w:val="22"/>
              </w:rPr>
              <w:t>Type S</w:t>
            </w:r>
          </w:p>
        </w:tc>
        <w:tc>
          <w:tcPr>
            <w:tcW w:w="485" w:type="pct"/>
            <w:tcBorders>
              <w:top w:val="nil"/>
              <w:left w:val="nil"/>
              <w:bottom w:val="single" w:sz="4" w:space="0" w:color="auto"/>
              <w:right w:val="nil"/>
            </w:tcBorders>
            <w:hideMark/>
          </w:tcPr>
          <w:p w14:paraId="7379A6E5"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5.4E-07</w:t>
            </w:r>
          </w:p>
        </w:tc>
        <w:tc>
          <w:tcPr>
            <w:tcW w:w="485" w:type="pct"/>
            <w:tcBorders>
              <w:top w:val="nil"/>
              <w:left w:val="nil"/>
              <w:bottom w:val="single" w:sz="4" w:space="0" w:color="auto"/>
              <w:right w:val="nil"/>
            </w:tcBorders>
            <w:hideMark/>
          </w:tcPr>
          <w:p w14:paraId="1D049DBF"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5.8E-07</w:t>
            </w:r>
          </w:p>
        </w:tc>
        <w:tc>
          <w:tcPr>
            <w:tcW w:w="485" w:type="pct"/>
            <w:tcBorders>
              <w:top w:val="nil"/>
              <w:left w:val="nil"/>
              <w:bottom w:val="single" w:sz="4" w:space="0" w:color="auto"/>
              <w:right w:val="nil"/>
            </w:tcBorders>
            <w:hideMark/>
          </w:tcPr>
          <w:p w14:paraId="55247A48"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5.0E-07</w:t>
            </w:r>
          </w:p>
        </w:tc>
        <w:tc>
          <w:tcPr>
            <w:tcW w:w="485" w:type="pct"/>
            <w:tcBorders>
              <w:top w:val="nil"/>
              <w:left w:val="nil"/>
              <w:bottom w:val="single" w:sz="4" w:space="0" w:color="auto"/>
              <w:right w:val="nil"/>
            </w:tcBorders>
            <w:hideMark/>
          </w:tcPr>
          <w:p w14:paraId="73740A73"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4.3E-07</w:t>
            </w:r>
          </w:p>
        </w:tc>
        <w:tc>
          <w:tcPr>
            <w:tcW w:w="485" w:type="pct"/>
            <w:tcBorders>
              <w:top w:val="nil"/>
              <w:left w:val="nil"/>
              <w:bottom w:val="single" w:sz="4" w:space="0" w:color="auto"/>
              <w:right w:val="nil"/>
            </w:tcBorders>
            <w:hideMark/>
          </w:tcPr>
          <w:p w14:paraId="45C1C601"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4.5E-07</w:t>
            </w:r>
          </w:p>
        </w:tc>
        <w:tc>
          <w:tcPr>
            <w:tcW w:w="486" w:type="pct"/>
            <w:tcBorders>
              <w:top w:val="nil"/>
              <w:left w:val="nil"/>
              <w:bottom w:val="single" w:sz="4" w:space="0" w:color="auto"/>
              <w:right w:val="nil"/>
            </w:tcBorders>
            <w:hideMark/>
          </w:tcPr>
          <w:p w14:paraId="35D5E151"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4.5E-07</w:t>
            </w:r>
          </w:p>
        </w:tc>
      </w:tr>
      <w:tr w:rsidR="005C2848" w:rsidRPr="00972C81" w14:paraId="541F3BD8" w14:textId="77777777" w:rsidTr="0021254F">
        <w:trPr>
          <w:trHeight w:val="227"/>
        </w:trPr>
        <w:tc>
          <w:tcPr>
            <w:tcW w:w="2087" w:type="pct"/>
            <w:tcBorders>
              <w:top w:val="single" w:sz="4" w:space="0" w:color="auto"/>
              <w:left w:val="nil"/>
              <w:bottom w:val="single" w:sz="4" w:space="0" w:color="auto"/>
              <w:right w:val="nil"/>
            </w:tcBorders>
          </w:tcPr>
          <w:p w14:paraId="3125D282" w14:textId="77777777" w:rsidR="005C2848" w:rsidRPr="00232741" w:rsidRDefault="005C2848" w:rsidP="00C47F2F">
            <w:pPr>
              <w:pStyle w:val="Table"/>
              <w:rPr>
                <w:rFonts w:eastAsiaTheme="minorHAnsi"/>
                <w:noProof/>
                <w:szCs w:val="22"/>
              </w:rPr>
            </w:pPr>
          </w:p>
          <w:p w14:paraId="13099FBE" w14:textId="77777777" w:rsidR="005C2848" w:rsidRPr="00232741" w:rsidRDefault="005C2848" w:rsidP="00C47F2F">
            <w:pPr>
              <w:pStyle w:val="Table"/>
              <w:rPr>
                <w:noProof/>
                <w:szCs w:val="22"/>
              </w:rPr>
            </w:pPr>
            <w:r w:rsidRPr="00C47F2F">
              <w:rPr>
                <w:noProof/>
                <w:snapToGrid/>
                <w:szCs w:val="22"/>
              </w:rPr>
              <w:t>Ingested materials</w:t>
            </w:r>
          </w:p>
        </w:tc>
        <w:tc>
          <w:tcPr>
            <w:tcW w:w="485" w:type="pct"/>
            <w:tcBorders>
              <w:top w:val="single" w:sz="4" w:space="0" w:color="auto"/>
              <w:left w:val="nil"/>
              <w:bottom w:val="single" w:sz="4" w:space="0" w:color="auto"/>
              <w:right w:val="nil"/>
            </w:tcBorders>
          </w:tcPr>
          <w:p w14:paraId="7341FFAE"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5FAB73D"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E5470E8"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87C54A4"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64C7E1AE" w14:textId="77777777" w:rsidR="005C2848" w:rsidRPr="00C47F2F" w:rsidRDefault="005C2848"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6329C2B3" w14:textId="77777777" w:rsidR="005C2848" w:rsidRPr="00C47F2F" w:rsidRDefault="005C2848" w:rsidP="00C47F2F">
            <w:pPr>
              <w:jc w:val="left"/>
              <w:rPr>
                <w:rFonts w:eastAsia="Times New Roman"/>
                <w:noProof/>
                <w:color w:val="000000"/>
                <w:sz w:val="22"/>
                <w:szCs w:val="22"/>
              </w:rPr>
            </w:pPr>
          </w:p>
        </w:tc>
      </w:tr>
      <w:tr w:rsidR="005C2848" w:rsidRPr="00972C81" w14:paraId="2936DD6F" w14:textId="77777777" w:rsidTr="0021254F">
        <w:trPr>
          <w:trHeight w:val="340"/>
        </w:trPr>
        <w:tc>
          <w:tcPr>
            <w:tcW w:w="2087" w:type="pct"/>
            <w:tcBorders>
              <w:top w:val="single" w:sz="4" w:space="0" w:color="auto"/>
              <w:left w:val="nil"/>
              <w:bottom w:val="nil"/>
              <w:right w:val="nil"/>
            </w:tcBorders>
            <w:hideMark/>
          </w:tcPr>
          <w:p w14:paraId="4D47C01C" w14:textId="163D8573" w:rsidR="005C2848" w:rsidRPr="00C47F2F" w:rsidRDefault="005C2848" w:rsidP="0021254F">
            <w:pPr>
              <w:jc w:val="left"/>
              <w:rPr>
                <w:rFonts w:eastAsiaTheme="minorHAnsi"/>
                <w:noProof/>
                <w:sz w:val="22"/>
                <w:szCs w:val="22"/>
              </w:rPr>
            </w:pPr>
            <w:r w:rsidRPr="00C47F2F">
              <w:rPr>
                <w:rFonts w:eastAsia="Times New Roman"/>
                <w:noProof/>
                <w:color w:val="000000"/>
                <w:sz w:val="22"/>
                <w:szCs w:val="22"/>
                <w:lang w:eastAsia="en-GB"/>
              </w:rPr>
              <w:t>Soluble forms (nitrate,chloride, bicarbonates,…)</w:t>
            </w:r>
          </w:p>
        </w:tc>
        <w:tc>
          <w:tcPr>
            <w:tcW w:w="485" w:type="pct"/>
            <w:tcBorders>
              <w:top w:val="single" w:sz="4" w:space="0" w:color="auto"/>
              <w:left w:val="nil"/>
              <w:bottom w:val="nil"/>
              <w:right w:val="nil"/>
            </w:tcBorders>
            <w:hideMark/>
          </w:tcPr>
          <w:p w14:paraId="54A1C89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2.0E-08</w:t>
            </w:r>
          </w:p>
        </w:tc>
        <w:tc>
          <w:tcPr>
            <w:tcW w:w="485" w:type="pct"/>
            <w:tcBorders>
              <w:top w:val="single" w:sz="4" w:space="0" w:color="auto"/>
              <w:left w:val="nil"/>
              <w:bottom w:val="nil"/>
              <w:right w:val="nil"/>
            </w:tcBorders>
            <w:hideMark/>
          </w:tcPr>
          <w:p w14:paraId="5D9826B6"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1.9E-09</w:t>
            </w:r>
          </w:p>
        </w:tc>
        <w:tc>
          <w:tcPr>
            <w:tcW w:w="485" w:type="pct"/>
            <w:tcBorders>
              <w:top w:val="single" w:sz="4" w:space="0" w:color="auto"/>
              <w:left w:val="nil"/>
              <w:bottom w:val="nil"/>
              <w:right w:val="nil"/>
            </w:tcBorders>
            <w:hideMark/>
          </w:tcPr>
          <w:p w14:paraId="3111EB43"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1.5E-09</w:t>
            </w:r>
          </w:p>
        </w:tc>
        <w:tc>
          <w:tcPr>
            <w:tcW w:w="485" w:type="pct"/>
            <w:tcBorders>
              <w:top w:val="single" w:sz="4" w:space="0" w:color="auto"/>
              <w:left w:val="nil"/>
              <w:bottom w:val="nil"/>
              <w:right w:val="nil"/>
            </w:tcBorders>
            <w:hideMark/>
          </w:tcPr>
          <w:p w14:paraId="177B2656"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1.2E-09</w:t>
            </w:r>
          </w:p>
        </w:tc>
        <w:tc>
          <w:tcPr>
            <w:tcW w:w="485" w:type="pct"/>
            <w:tcBorders>
              <w:top w:val="single" w:sz="4" w:space="0" w:color="auto"/>
              <w:left w:val="nil"/>
              <w:bottom w:val="nil"/>
              <w:right w:val="nil"/>
            </w:tcBorders>
            <w:hideMark/>
          </w:tcPr>
          <w:p w14:paraId="6A7A5F2C"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1.1E-09</w:t>
            </w:r>
          </w:p>
        </w:tc>
        <w:tc>
          <w:tcPr>
            <w:tcW w:w="486" w:type="pct"/>
            <w:tcBorders>
              <w:top w:val="single" w:sz="4" w:space="0" w:color="auto"/>
              <w:left w:val="nil"/>
              <w:bottom w:val="nil"/>
              <w:right w:val="nil"/>
            </w:tcBorders>
            <w:hideMark/>
          </w:tcPr>
          <w:p w14:paraId="73A20215"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1.1E-09</w:t>
            </w:r>
          </w:p>
        </w:tc>
      </w:tr>
      <w:tr w:rsidR="005C2848" w:rsidRPr="00972C81" w14:paraId="36B8B6C9" w14:textId="77777777" w:rsidTr="0021254F">
        <w:trPr>
          <w:trHeight w:val="340"/>
        </w:trPr>
        <w:tc>
          <w:tcPr>
            <w:tcW w:w="2087" w:type="pct"/>
            <w:tcBorders>
              <w:top w:val="nil"/>
              <w:left w:val="nil"/>
              <w:bottom w:val="single" w:sz="4" w:space="0" w:color="auto"/>
              <w:right w:val="nil"/>
            </w:tcBorders>
            <w:hideMark/>
          </w:tcPr>
          <w:p w14:paraId="38D9C444" w14:textId="05088F77" w:rsidR="005C2848" w:rsidRPr="00C47F2F" w:rsidRDefault="005C2848" w:rsidP="0021254F">
            <w:pPr>
              <w:jc w:val="left"/>
              <w:rPr>
                <w:rFonts w:eastAsiaTheme="minorHAnsi"/>
                <w:noProof/>
                <w:sz w:val="22"/>
                <w:szCs w:val="22"/>
              </w:rPr>
            </w:pPr>
            <w:r w:rsidRPr="00C47F2F">
              <w:rPr>
                <w:noProof/>
                <w:sz w:val="22"/>
                <w:szCs w:val="22"/>
              </w:rPr>
              <w:t>Insoluble forms (oxides,…)</w:t>
            </w:r>
          </w:p>
        </w:tc>
        <w:tc>
          <w:tcPr>
            <w:tcW w:w="485" w:type="pct"/>
            <w:tcBorders>
              <w:top w:val="nil"/>
              <w:left w:val="nil"/>
              <w:bottom w:val="single" w:sz="4" w:space="0" w:color="auto"/>
              <w:right w:val="nil"/>
            </w:tcBorders>
            <w:hideMark/>
          </w:tcPr>
          <w:p w14:paraId="154B2F7C"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4.1E-10</w:t>
            </w:r>
          </w:p>
        </w:tc>
        <w:tc>
          <w:tcPr>
            <w:tcW w:w="485" w:type="pct"/>
            <w:tcBorders>
              <w:top w:val="nil"/>
              <w:left w:val="nil"/>
              <w:bottom w:val="single" w:sz="4" w:space="0" w:color="auto"/>
              <w:right w:val="nil"/>
            </w:tcBorders>
            <w:hideMark/>
          </w:tcPr>
          <w:p w14:paraId="0069662B"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3.9E-11</w:t>
            </w:r>
          </w:p>
        </w:tc>
        <w:tc>
          <w:tcPr>
            <w:tcW w:w="485" w:type="pct"/>
            <w:tcBorders>
              <w:top w:val="nil"/>
              <w:left w:val="nil"/>
              <w:bottom w:val="single" w:sz="4" w:space="0" w:color="auto"/>
              <w:right w:val="nil"/>
            </w:tcBorders>
            <w:hideMark/>
          </w:tcPr>
          <w:p w14:paraId="668122FC"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3.0E-11</w:t>
            </w:r>
          </w:p>
        </w:tc>
        <w:tc>
          <w:tcPr>
            <w:tcW w:w="485" w:type="pct"/>
            <w:tcBorders>
              <w:top w:val="nil"/>
              <w:left w:val="nil"/>
              <w:bottom w:val="single" w:sz="4" w:space="0" w:color="auto"/>
              <w:right w:val="nil"/>
            </w:tcBorders>
            <w:hideMark/>
          </w:tcPr>
          <w:p w14:paraId="03281390"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2.5E-11</w:t>
            </w:r>
          </w:p>
        </w:tc>
        <w:tc>
          <w:tcPr>
            <w:tcW w:w="485" w:type="pct"/>
            <w:tcBorders>
              <w:top w:val="nil"/>
              <w:left w:val="nil"/>
              <w:bottom w:val="single" w:sz="4" w:space="0" w:color="auto"/>
              <w:right w:val="nil"/>
            </w:tcBorders>
            <w:hideMark/>
          </w:tcPr>
          <w:p w14:paraId="33834066"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2.2E-11</w:t>
            </w:r>
          </w:p>
        </w:tc>
        <w:tc>
          <w:tcPr>
            <w:tcW w:w="486" w:type="pct"/>
            <w:tcBorders>
              <w:top w:val="nil"/>
              <w:left w:val="nil"/>
              <w:bottom w:val="single" w:sz="4" w:space="0" w:color="auto"/>
              <w:right w:val="nil"/>
            </w:tcBorders>
            <w:hideMark/>
          </w:tcPr>
          <w:p w14:paraId="4D4A4EAA" w14:textId="77777777" w:rsidR="005C2848" w:rsidRPr="00C47F2F" w:rsidRDefault="005C2848" w:rsidP="0021254F">
            <w:pPr>
              <w:jc w:val="left"/>
              <w:rPr>
                <w:rFonts w:eastAsia="Times New Roman"/>
                <w:noProof/>
                <w:color w:val="000000"/>
                <w:sz w:val="22"/>
                <w:szCs w:val="22"/>
              </w:rPr>
            </w:pPr>
            <w:r w:rsidRPr="00C47F2F">
              <w:rPr>
                <w:rFonts w:eastAsia="Times New Roman"/>
                <w:noProof/>
                <w:color w:val="000000"/>
                <w:sz w:val="22"/>
                <w:szCs w:val="22"/>
              </w:rPr>
              <w:t>2.3E-11</w:t>
            </w:r>
          </w:p>
        </w:tc>
      </w:tr>
    </w:tbl>
    <w:p w14:paraId="17F1CF76" w14:textId="3AFB26D7" w:rsidR="007D1F4D" w:rsidRPr="00972C81" w:rsidRDefault="00684B79" w:rsidP="002B0D0B">
      <w:pPr>
        <w:pStyle w:val="1"/>
        <w:rPr>
          <w:noProof/>
        </w:rPr>
      </w:pPr>
      <w:r w:rsidRPr="00972C81">
        <w:rPr>
          <w:noProof/>
        </w:rPr>
        <w:br w:type="page"/>
      </w:r>
      <w:bookmarkStart w:id="328" w:name="_Toc455492668"/>
      <w:bookmarkStart w:id="329" w:name="_Toc455493097"/>
      <w:bookmarkStart w:id="330" w:name="_Toc162630109"/>
      <w:r w:rsidR="00DC407D" w:rsidRPr="00972C81">
        <w:rPr>
          <w:noProof/>
        </w:rPr>
        <w:lastRenderedPageBreak/>
        <w:t>Americium (Z=95)</w:t>
      </w:r>
      <w:bookmarkEnd w:id="328"/>
      <w:bookmarkEnd w:id="329"/>
      <w:bookmarkEnd w:id="330"/>
    </w:p>
    <w:p w14:paraId="60C22AFB" w14:textId="0BB3096D" w:rsidR="00684B79" w:rsidRPr="00972C81" w:rsidRDefault="00516C24" w:rsidP="00E81109">
      <w:pPr>
        <w:pStyle w:val="2"/>
        <w:rPr>
          <w:noProof/>
          <w:lang w:val="en-GB"/>
        </w:rPr>
      </w:pPr>
      <w:bookmarkStart w:id="331" w:name="_Toc17467934"/>
      <w:bookmarkStart w:id="332" w:name="_Toc17467935"/>
      <w:bookmarkStart w:id="333" w:name="_Toc17467936"/>
      <w:bookmarkStart w:id="334" w:name="_Toc17467937"/>
      <w:bookmarkStart w:id="335" w:name="_Toc17467938"/>
      <w:bookmarkStart w:id="336" w:name="_Toc17467954"/>
      <w:bookmarkStart w:id="337" w:name="_Toc17467955"/>
      <w:bookmarkStart w:id="338" w:name="_Toc17467956"/>
      <w:bookmarkStart w:id="339" w:name="_Toc162630110"/>
      <w:bookmarkEnd w:id="331"/>
      <w:bookmarkEnd w:id="332"/>
      <w:bookmarkEnd w:id="333"/>
      <w:bookmarkEnd w:id="334"/>
      <w:bookmarkEnd w:id="335"/>
      <w:bookmarkEnd w:id="336"/>
      <w:bookmarkEnd w:id="337"/>
      <w:bookmarkEnd w:id="338"/>
      <w:r w:rsidRPr="00972C81">
        <w:rPr>
          <w:noProof/>
          <w:lang w:val="en-GB"/>
        </w:rPr>
        <w:t>Routes of intake</w:t>
      </w:r>
      <w:bookmarkEnd w:id="339"/>
    </w:p>
    <w:p w14:paraId="01E0C6B6" w14:textId="5BBBD10A" w:rsidR="00CC7147" w:rsidRPr="00972C81" w:rsidRDefault="00CC7147" w:rsidP="006F56F9">
      <w:pPr>
        <w:pStyle w:val="3"/>
        <w:rPr>
          <w:noProof/>
        </w:rPr>
      </w:pPr>
      <w:bookmarkStart w:id="340" w:name="_Toc17467959"/>
      <w:bookmarkStart w:id="341" w:name="_Toc162630111"/>
      <w:bookmarkEnd w:id="340"/>
      <w:r w:rsidRPr="00972C81">
        <w:rPr>
          <w:noProof/>
        </w:rPr>
        <w:t>Inhalation</w:t>
      </w:r>
      <w:bookmarkEnd w:id="341"/>
    </w:p>
    <w:p w14:paraId="0B93978E" w14:textId="2F9C117F" w:rsidR="00CC7147" w:rsidRPr="00972C81" w:rsidRDefault="00CC7147" w:rsidP="001C4A92">
      <w:pPr>
        <w:pStyle w:val="Annalstext"/>
        <w:rPr>
          <w:noProof/>
        </w:rPr>
      </w:pPr>
      <w:r w:rsidRPr="00972C81">
        <w:rPr>
          <w:noProof/>
        </w:rPr>
        <w:t>There is a substantial amount of information available on the behaviour of americium (Am) after deposition in the respiratory tract</w:t>
      </w:r>
      <w:r w:rsidR="001E3A9E" w:rsidRPr="00972C81">
        <w:rPr>
          <w:noProof/>
        </w:rPr>
        <w:t>,</w:t>
      </w:r>
      <w:r w:rsidRPr="00972C81">
        <w:rPr>
          <w:noProof/>
        </w:rPr>
        <w:t xml:space="preserve"> from animal experiments, in</w:t>
      </w:r>
      <w:r w:rsidR="00737B5D" w:rsidRPr="00972C81">
        <w:rPr>
          <w:noProof/>
        </w:rPr>
        <w:t>-</w:t>
      </w:r>
      <w:r w:rsidRPr="00972C81">
        <w:rPr>
          <w:noProof/>
        </w:rPr>
        <w:t>vitro</w:t>
      </w:r>
      <w:r w:rsidRPr="00972C81">
        <w:rPr>
          <w:i/>
          <w:noProof/>
        </w:rPr>
        <w:t xml:space="preserve"> </w:t>
      </w:r>
      <w:r w:rsidRPr="00972C81">
        <w:rPr>
          <w:noProof/>
        </w:rPr>
        <w:t xml:space="preserve">dissolution studies, and some accidental human intakes. </w:t>
      </w:r>
      <w:r w:rsidR="00737B5D" w:rsidRPr="00972C81">
        <w:rPr>
          <w:noProof/>
        </w:rPr>
        <w:t xml:space="preserve">For details see Section 23 of </w:t>
      </w:r>
      <w:r w:rsidR="00684B79" w:rsidRPr="00972C81">
        <w:rPr>
          <w:i/>
          <w:noProof/>
        </w:rPr>
        <w:t>Publication 141</w:t>
      </w:r>
      <w:r w:rsidR="00684B79" w:rsidRPr="00972C81">
        <w:rPr>
          <w:noProof/>
        </w:rPr>
        <w:t xml:space="preserve"> </w:t>
      </w:r>
      <w:r w:rsidR="002A0476" w:rsidRPr="00972C81">
        <w:rPr>
          <w:noProof/>
        </w:rPr>
        <w:fldChar w:fldCharType="begin"/>
      </w:r>
      <w:r w:rsidR="008E2EAF" w:rsidRPr="00972C81">
        <w:rPr>
          <w:noProof/>
        </w:rPr>
        <w:instrText xml:space="preserve"> ADDIN ZOTERO_ITEM CSL_CITATION {"citationID":"a2eng8156rb","properties":{"formattedCitation":"(ICRP,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2A0476" w:rsidRPr="00972C81">
        <w:rPr>
          <w:noProof/>
        </w:rPr>
        <w:fldChar w:fldCharType="separate"/>
      </w:r>
      <w:r w:rsidR="008E2EAF" w:rsidRPr="00972C81">
        <w:rPr>
          <w:noProof/>
          <w:szCs w:val="24"/>
        </w:rPr>
        <w:t>(ICRP, 2019)</w:t>
      </w:r>
      <w:r w:rsidR="002A0476" w:rsidRPr="00972C81">
        <w:rPr>
          <w:noProof/>
        </w:rPr>
        <w:fldChar w:fldCharType="end"/>
      </w:r>
      <w:r w:rsidR="00737B5D" w:rsidRPr="00972C81">
        <w:rPr>
          <w:noProof/>
        </w:rPr>
        <w:t xml:space="preserve">. </w:t>
      </w:r>
      <w:r w:rsidR="006F3DE7" w:rsidRPr="00972C81">
        <w:rPr>
          <w:noProof/>
        </w:rPr>
        <w:t xml:space="preserve">As described in Section 18 of </w:t>
      </w:r>
      <w:r w:rsidR="00684B79" w:rsidRPr="00972C81">
        <w:rPr>
          <w:i/>
          <w:noProof/>
        </w:rPr>
        <w:t>Publication 141</w:t>
      </w:r>
      <w:r w:rsidR="006F3DE7" w:rsidRPr="00972C81">
        <w:rPr>
          <w:noProof/>
        </w:rPr>
        <w:t>, the general actinide section, absorption parameter values based on plutonium (</w:t>
      </w:r>
      <w:r w:rsidR="006F3DE7" w:rsidRPr="00972C81">
        <w:rPr>
          <w:i/>
          <w:noProof/>
        </w:rPr>
        <w:t>s</w:t>
      </w:r>
      <w:r w:rsidR="006F3DE7" w:rsidRPr="00972C81">
        <w:rPr>
          <w:noProof/>
          <w:vertAlign w:val="subscript"/>
        </w:rPr>
        <w:t>r</w:t>
      </w:r>
      <w:r w:rsidR="006F3DE7" w:rsidRPr="00972C81">
        <w:rPr>
          <w:noProof/>
        </w:rPr>
        <w:t xml:space="preserve"> = 0.4 d</w:t>
      </w:r>
      <w:r w:rsidR="006F3DE7" w:rsidRPr="00972C81">
        <w:rPr>
          <w:noProof/>
          <w:vertAlign w:val="superscript"/>
        </w:rPr>
        <w:t>–1</w:t>
      </w:r>
      <w:r w:rsidR="006F3DE7" w:rsidRPr="00972C81">
        <w:rPr>
          <w:noProof/>
        </w:rPr>
        <w:t xml:space="preserve">; </w:t>
      </w:r>
      <w:r w:rsidR="006F3DE7" w:rsidRPr="00972C81">
        <w:rPr>
          <w:i/>
          <w:noProof/>
        </w:rPr>
        <w:t>f</w:t>
      </w:r>
      <w:r w:rsidR="006F3DE7" w:rsidRPr="00972C81">
        <w:rPr>
          <w:noProof/>
          <w:vertAlign w:val="subscript"/>
        </w:rPr>
        <w:t>b</w:t>
      </w:r>
      <w:r w:rsidR="006F3DE7" w:rsidRPr="00972C81">
        <w:rPr>
          <w:noProof/>
        </w:rPr>
        <w:t xml:space="preserve"> =</w:t>
      </w:r>
      <w:r w:rsidR="006F3DE7" w:rsidRPr="00972C81">
        <w:rPr>
          <w:noProof/>
          <w:vertAlign w:val="subscript"/>
        </w:rPr>
        <w:t xml:space="preserve"> </w:t>
      </w:r>
      <w:r w:rsidR="006F3DE7" w:rsidRPr="00972C81">
        <w:rPr>
          <w:noProof/>
        </w:rPr>
        <w:t xml:space="preserve">0.002; </w:t>
      </w:r>
      <w:r w:rsidR="006F3DE7" w:rsidRPr="00972C81">
        <w:rPr>
          <w:i/>
          <w:noProof/>
        </w:rPr>
        <w:t>s</w:t>
      </w:r>
      <w:r w:rsidR="006F3DE7" w:rsidRPr="00972C81">
        <w:rPr>
          <w:noProof/>
          <w:vertAlign w:val="subscript"/>
        </w:rPr>
        <w:t>b</w:t>
      </w:r>
      <w:r w:rsidR="006F3DE7" w:rsidRPr="00972C81">
        <w:rPr>
          <w:noProof/>
        </w:rPr>
        <w:t xml:space="preserve"> = 0 d</w:t>
      </w:r>
      <w:r w:rsidR="006F3DE7" w:rsidRPr="00972C81">
        <w:rPr>
          <w:noProof/>
          <w:vertAlign w:val="superscript"/>
        </w:rPr>
        <w:t>–1</w:t>
      </w:r>
      <w:r w:rsidR="006F3DE7" w:rsidRPr="00972C81">
        <w:rPr>
          <w:noProof/>
        </w:rPr>
        <w:t xml:space="preserve">) are applied in that document (and hence also in this document) to the transplutonium elements for radiation protection purposes. </w:t>
      </w:r>
      <w:r w:rsidRPr="00972C81">
        <w:rPr>
          <w:noProof/>
        </w:rPr>
        <w:t xml:space="preserve">Absorption parameter values and Types, and associated </w:t>
      </w:r>
      <w:r w:rsidRPr="00972C81">
        <w:rPr>
          <w:i/>
          <w:noProof/>
        </w:rPr>
        <w:t>f</w:t>
      </w:r>
      <w:r w:rsidRPr="00972C81">
        <w:rPr>
          <w:noProof/>
          <w:vertAlign w:val="subscript"/>
        </w:rPr>
        <w:t>A</w:t>
      </w:r>
      <w:r w:rsidRPr="00972C81">
        <w:rPr>
          <w:noProof/>
        </w:rPr>
        <w:t xml:space="preserve"> values for particulate forms of americium, are given in </w:t>
      </w:r>
      <w:r w:rsidR="00947102" w:rsidRPr="00972C81">
        <w:rPr>
          <w:noProof/>
        </w:rPr>
        <w:t xml:space="preserve">Table </w:t>
      </w:r>
      <w:r w:rsidR="00684B79" w:rsidRPr="00972C81">
        <w:rPr>
          <w:noProof/>
        </w:rPr>
        <w:t>23</w:t>
      </w:r>
      <w:r w:rsidR="00947102" w:rsidRPr="00972C81">
        <w:rPr>
          <w:noProof/>
        </w:rPr>
        <w:t xml:space="preserve">.1. </w:t>
      </w:r>
      <w:r w:rsidR="006C29E4" w:rsidRPr="00972C81">
        <w:rPr>
          <w:noProof/>
        </w:rPr>
        <w:t xml:space="preserve">(taken from Section 23 of </w:t>
      </w:r>
      <w:r w:rsidR="00684B79" w:rsidRPr="00972C81">
        <w:rPr>
          <w:i/>
          <w:noProof/>
        </w:rPr>
        <w:t>Publication 141</w:t>
      </w:r>
      <w:r w:rsidR="00684B79" w:rsidRPr="00972C81">
        <w:rPr>
          <w:noProof/>
        </w:rPr>
        <w:t>)</w:t>
      </w:r>
      <w:r w:rsidRPr="00972C81">
        <w:rPr>
          <w:noProof/>
        </w:rPr>
        <w:t xml:space="preserve">. </w:t>
      </w:r>
    </w:p>
    <w:p w14:paraId="378A5B0C" w14:textId="77777777" w:rsidR="00CC7147" w:rsidRPr="00972C81" w:rsidRDefault="00CC7147" w:rsidP="00CC7147">
      <w:pPr>
        <w:rPr>
          <w:rFonts w:ascii="Times Roman" w:hAnsi="Times Roman"/>
          <w:noProof/>
          <w:color w:val="000000" w:themeColor="text1"/>
          <w:szCs w:val="24"/>
        </w:rPr>
      </w:pPr>
    </w:p>
    <w:p w14:paraId="51D3A623" w14:textId="4A96C4A1" w:rsidR="00CC7147" w:rsidRPr="00C47F2F" w:rsidRDefault="002A0476" w:rsidP="00E81109">
      <w:pPr>
        <w:pStyle w:val="ab"/>
        <w:rPr>
          <w:b/>
          <w:noProof/>
          <w:sz w:val="24"/>
          <w:szCs w:val="24"/>
        </w:rPr>
      </w:pPr>
      <w:bookmarkStart w:id="342" w:name="_Ref425173486"/>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23</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1</w:t>
      </w:r>
      <w:r w:rsidR="00EA3750" w:rsidRPr="00C47F2F">
        <w:rPr>
          <w:noProof/>
          <w:sz w:val="24"/>
          <w:szCs w:val="24"/>
        </w:rPr>
        <w:fldChar w:fldCharType="end"/>
      </w:r>
      <w:r w:rsidRPr="00C47F2F">
        <w:rPr>
          <w:noProof/>
          <w:sz w:val="24"/>
          <w:szCs w:val="24"/>
        </w:rPr>
        <w:t>.</w:t>
      </w:r>
      <w:bookmarkEnd w:id="342"/>
      <w:r w:rsidR="00CC7147" w:rsidRPr="00C47F2F">
        <w:rPr>
          <w:noProof/>
          <w:sz w:val="24"/>
          <w:szCs w:val="24"/>
        </w:rPr>
        <w:t xml:space="preserve"> Absorption parameter values for inhaled and ingested americium. </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3"/>
        <w:gridCol w:w="1964"/>
        <w:gridCol w:w="209"/>
        <w:gridCol w:w="1287"/>
        <w:gridCol w:w="345"/>
        <w:gridCol w:w="944"/>
        <w:gridCol w:w="168"/>
        <w:gridCol w:w="117"/>
        <w:gridCol w:w="659"/>
        <w:gridCol w:w="58"/>
        <w:gridCol w:w="134"/>
        <w:gridCol w:w="58"/>
        <w:gridCol w:w="699"/>
        <w:gridCol w:w="395"/>
        <w:gridCol w:w="977"/>
        <w:gridCol w:w="867"/>
        <w:gridCol w:w="123"/>
      </w:tblGrid>
      <w:tr w:rsidR="00100C52" w:rsidRPr="002B0D0B" w14:paraId="6FA9A93D" w14:textId="77777777" w:rsidTr="009A15D5">
        <w:trPr>
          <w:gridAfter w:val="1"/>
          <w:wAfter w:w="69" w:type="pct"/>
          <w:cantSplit/>
          <w:trHeight w:val="340"/>
        </w:trPr>
        <w:tc>
          <w:tcPr>
            <w:tcW w:w="2120" w:type="pct"/>
            <w:gridSpan w:val="5"/>
            <w:vMerge w:val="restart"/>
            <w:tcBorders>
              <w:top w:val="single" w:sz="4" w:space="0" w:color="auto"/>
              <w:left w:val="nil"/>
              <w:bottom w:val="single" w:sz="4" w:space="0" w:color="auto"/>
              <w:right w:val="nil"/>
            </w:tcBorders>
            <w:vAlign w:val="bottom"/>
            <w:hideMark/>
          </w:tcPr>
          <w:p w14:paraId="3F997132" w14:textId="77777777" w:rsidR="00CC7147" w:rsidRPr="002B0D0B" w:rsidRDefault="00CC7147" w:rsidP="00E81109">
            <w:pPr>
              <w:pStyle w:val="Table"/>
              <w:rPr>
                <w:noProof/>
                <w:szCs w:val="22"/>
                <w:lang w:eastAsia="ja-JP"/>
              </w:rPr>
            </w:pPr>
            <w:r w:rsidRPr="002B0D0B">
              <w:rPr>
                <w:noProof/>
                <w:szCs w:val="22"/>
              </w:rPr>
              <w:t>Inhaled particulate materials</w:t>
            </w:r>
          </w:p>
        </w:tc>
        <w:tc>
          <w:tcPr>
            <w:tcW w:w="1570" w:type="pct"/>
            <w:gridSpan w:val="8"/>
            <w:tcBorders>
              <w:top w:val="single" w:sz="4" w:space="0" w:color="auto"/>
              <w:left w:val="nil"/>
              <w:bottom w:val="single" w:sz="4" w:space="0" w:color="auto"/>
              <w:right w:val="nil"/>
            </w:tcBorders>
            <w:vAlign w:val="bottom"/>
            <w:hideMark/>
          </w:tcPr>
          <w:p w14:paraId="7C9854E4" w14:textId="02B69485" w:rsidR="00CC7147" w:rsidRPr="002B0D0B" w:rsidRDefault="00CC7147" w:rsidP="00E81109">
            <w:pPr>
              <w:pStyle w:val="Table"/>
              <w:rPr>
                <w:noProof/>
                <w:szCs w:val="22"/>
                <w:vertAlign w:val="superscript"/>
                <w:lang w:eastAsia="ja-JP"/>
              </w:rPr>
            </w:pPr>
            <w:r w:rsidRPr="002B0D0B">
              <w:rPr>
                <w:noProof/>
                <w:szCs w:val="22"/>
              </w:rPr>
              <w:t>Absorption parameter values</w:t>
            </w:r>
            <w:r w:rsidR="003A4843" w:rsidRPr="002B0D0B">
              <w:rPr>
                <w:noProof/>
                <w:szCs w:val="22"/>
                <w:vertAlign w:val="superscript"/>
              </w:rPr>
              <w:t>*</w:t>
            </w:r>
          </w:p>
        </w:tc>
        <w:tc>
          <w:tcPr>
            <w:tcW w:w="1240" w:type="pct"/>
            <w:gridSpan w:val="3"/>
            <w:vMerge w:val="restart"/>
            <w:tcBorders>
              <w:top w:val="single" w:sz="4" w:space="0" w:color="auto"/>
              <w:left w:val="nil"/>
              <w:bottom w:val="single" w:sz="4" w:space="0" w:color="auto"/>
              <w:right w:val="nil"/>
            </w:tcBorders>
            <w:vAlign w:val="bottom"/>
            <w:hideMark/>
          </w:tcPr>
          <w:p w14:paraId="7AFDA4D6" w14:textId="1E6C3AE8" w:rsidR="00CC7147" w:rsidRPr="002B0D0B" w:rsidRDefault="00CC7147" w:rsidP="00E81109">
            <w:pPr>
              <w:pStyle w:val="Table"/>
              <w:rPr>
                <w:noProof/>
                <w:szCs w:val="22"/>
                <w:vertAlign w:val="superscript"/>
                <w:lang w:eastAsia="ja-JP"/>
              </w:rPr>
            </w:pPr>
            <w:r w:rsidRPr="002B0D0B">
              <w:rPr>
                <w:noProof/>
                <w:szCs w:val="22"/>
              </w:rPr>
              <w:t xml:space="preserve">Absorption from the alimentary tract, </w:t>
            </w:r>
            <w:r w:rsidRPr="002B0D0B">
              <w:rPr>
                <w:i/>
                <w:noProof/>
                <w:szCs w:val="22"/>
              </w:rPr>
              <w:t>f</w:t>
            </w:r>
            <w:r w:rsidRPr="002B0D0B">
              <w:rPr>
                <w:noProof/>
                <w:szCs w:val="22"/>
                <w:vertAlign w:val="subscript"/>
              </w:rPr>
              <w:t>A</w:t>
            </w:r>
            <w:r w:rsidR="003A4843" w:rsidRPr="002B0D0B">
              <w:rPr>
                <w:noProof/>
                <w:szCs w:val="22"/>
                <w:vertAlign w:val="superscript"/>
              </w:rPr>
              <w:t>†</w:t>
            </w:r>
          </w:p>
        </w:tc>
      </w:tr>
      <w:tr w:rsidR="00CC7147" w:rsidRPr="002B0D0B" w14:paraId="6F8AFDF3" w14:textId="77777777" w:rsidTr="009A15D5">
        <w:trPr>
          <w:gridAfter w:val="1"/>
          <w:wAfter w:w="69" w:type="pct"/>
          <w:cantSplit/>
          <w:trHeight w:val="340"/>
        </w:trPr>
        <w:tc>
          <w:tcPr>
            <w:tcW w:w="2120" w:type="pct"/>
            <w:gridSpan w:val="5"/>
            <w:vMerge/>
            <w:tcBorders>
              <w:top w:val="nil"/>
              <w:left w:val="nil"/>
              <w:bottom w:val="single" w:sz="4" w:space="0" w:color="auto"/>
              <w:right w:val="nil"/>
            </w:tcBorders>
            <w:vAlign w:val="center"/>
            <w:hideMark/>
          </w:tcPr>
          <w:p w14:paraId="5ACE80F8" w14:textId="77777777" w:rsidR="00CC7147" w:rsidRPr="002B0D0B" w:rsidRDefault="00CC7147" w:rsidP="00E81109">
            <w:pPr>
              <w:pStyle w:val="Table"/>
              <w:rPr>
                <w:noProof/>
                <w:color w:val="000000" w:themeColor="text1"/>
                <w:szCs w:val="22"/>
              </w:rPr>
            </w:pPr>
          </w:p>
        </w:tc>
        <w:tc>
          <w:tcPr>
            <w:tcW w:w="523" w:type="pct"/>
            <w:tcBorders>
              <w:top w:val="single" w:sz="4" w:space="0" w:color="auto"/>
              <w:left w:val="nil"/>
              <w:bottom w:val="single" w:sz="4" w:space="0" w:color="auto"/>
              <w:right w:val="nil"/>
            </w:tcBorders>
            <w:vAlign w:val="bottom"/>
            <w:hideMark/>
          </w:tcPr>
          <w:p w14:paraId="3F369504" w14:textId="77777777" w:rsidR="00CC7147" w:rsidRPr="002B0D0B" w:rsidRDefault="00CC7147" w:rsidP="00E81109">
            <w:pPr>
              <w:pStyle w:val="Table"/>
              <w:rPr>
                <w:noProof/>
                <w:color w:val="000000" w:themeColor="text1"/>
                <w:szCs w:val="22"/>
              </w:rPr>
            </w:pPr>
            <w:r w:rsidRPr="002B0D0B">
              <w:rPr>
                <w:i/>
                <w:noProof/>
                <w:color w:val="000000" w:themeColor="text1"/>
                <w:szCs w:val="22"/>
              </w:rPr>
              <w:t>f</w:t>
            </w:r>
            <w:r w:rsidRPr="002B0D0B">
              <w:rPr>
                <w:noProof/>
                <w:color w:val="000000" w:themeColor="text1"/>
                <w:szCs w:val="22"/>
                <w:vertAlign w:val="subscript"/>
              </w:rPr>
              <w:t>r</w:t>
            </w:r>
          </w:p>
        </w:tc>
        <w:tc>
          <w:tcPr>
            <w:tcW w:w="523" w:type="pct"/>
            <w:gridSpan w:val="3"/>
            <w:tcBorders>
              <w:top w:val="single" w:sz="4" w:space="0" w:color="auto"/>
              <w:left w:val="nil"/>
              <w:bottom w:val="single" w:sz="4" w:space="0" w:color="auto"/>
              <w:right w:val="nil"/>
            </w:tcBorders>
            <w:vAlign w:val="bottom"/>
            <w:hideMark/>
          </w:tcPr>
          <w:p w14:paraId="2BFF9C03" w14:textId="77777777" w:rsidR="00CC7147" w:rsidRPr="002B0D0B" w:rsidRDefault="00CC7147" w:rsidP="00E81109">
            <w:pPr>
              <w:pStyle w:val="Table"/>
              <w:rPr>
                <w:noProof/>
                <w:color w:val="000000" w:themeColor="text1"/>
                <w:szCs w:val="22"/>
              </w:rPr>
            </w:pPr>
            <w:r w:rsidRPr="002B0D0B">
              <w:rPr>
                <w:i/>
                <w:noProof/>
                <w:color w:val="000000" w:themeColor="text1"/>
                <w:szCs w:val="22"/>
              </w:rPr>
              <w:t>s</w:t>
            </w:r>
            <w:r w:rsidRPr="002B0D0B">
              <w:rPr>
                <w:noProof/>
                <w:color w:val="000000" w:themeColor="text1"/>
                <w:szCs w:val="22"/>
                <w:vertAlign w:val="subscript"/>
              </w:rPr>
              <w:t>r</w:t>
            </w:r>
            <w:r w:rsidRPr="002B0D0B">
              <w:rPr>
                <w:noProof/>
                <w:color w:val="000000" w:themeColor="text1"/>
                <w:szCs w:val="22"/>
              </w:rPr>
              <w:t xml:space="preserve"> (d</w:t>
            </w:r>
            <w:r w:rsidRPr="002B0D0B">
              <w:rPr>
                <w:noProof/>
                <w:color w:val="000000" w:themeColor="text1"/>
                <w:szCs w:val="22"/>
                <w:vertAlign w:val="superscript"/>
              </w:rPr>
              <w:t>–1</w:t>
            </w:r>
            <w:r w:rsidRPr="002B0D0B">
              <w:rPr>
                <w:noProof/>
                <w:color w:val="000000" w:themeColor="text1"/>
                <w:szCs w:val="22"/>
              </w:rPr>
              <w:t>)</w:t>
            </w:r>
          </w:p>
        </w:tc>
        <w:tc>
          <w:tcPr>
            <w:tcW w:w="525" w:type="pct"/>
            <w:gridSpan w:val="4"/>
            <w:tcBorders>
              <w:top w:val="single" w:sz="4" w:space="0" w:color="auto"/>
              <w:left w:val="nil"/>
              <w:bottom w:val="single" w:sz="4" w:space="0" w:color="auto"/>
              <w:right w:val="nil"/>
            </w:tcBorders>
            <w:vAlign w:val="bottom"/>
            <w:hideMark/>
          </w:tcPr>
          <w:p w14:paraId="0810E59A" w14:textId="77777777" w:rsidR="00CC7147" w:rsidRPr="002B0D0B" w:rsidRDefault="00CC7147" w:rsidP="00E81109">
            <w:pPr>
              <w:pStyle w:val="Table"/>
              <w:rPr>
                <w:noProof/>
                <w:color w:val="000000" w:themeColor="text1"/>
                <w:szCs w:val="22"/>
              </w:rPr>
            </w:pPr>
            <w:r w:rsidRPr="002B0D0B">
              <w:rPr>
                <w:i/>
                <w:noProof/>
                <w:color w:val="000000" w:themeColor="text1"/>
                <w:szCs w:val="22"/>
              </w:rPr>
              <w:t>s</w:t>
            </w:r>
            <w:r w:rsidRPr="002B0D0B">
              <w:rPr>
                <w:noProof/>
                <w:color w:val="000000" w:themeColor="text1"/>
                <w:szCs w:val="22"/>
                <w:vertAlign w:val="subscript"/>
              </w:rPr>
              <w:t>s</w:t>
            </w:r>
            <w:r w:rsidRPr="002B0D0B">
              <w:rPr>
                <w:noProof/>
                <w:color w:val="000000" w:themeColor="text1"/>
                <w:szCs w:val="22"/>
              </w:rPr>
              <w:t xml:space="preserve"> (d</w:t>
            </w:r>
            <w:r w:rsidRPr="002B0D0B">
              <w:rPr>
                <w:noProof/>
                <w:color w:val="000000" w:themeColor="text1"/>
                <w:szCs w:val="22"/>
                <w:vertAlign w:val="superscript"/>
              </w:rPr>
              <w:t>–1</w:t>
            </w:r>
            <w:r w:rsidRPr="002B0D0B">
              <w:rPr>
                <w:noProof/>
                <w:color w:val="000000" w:themeColor="text1"/>
                <w:szCs w:val="22"/>
              </w:rPr>
              <w:t>)</w:t>
            </w:r>
          </w:p>
        </w:tc>
        <w:tc>
          <w:tcPr>
            <w:tcW w:w="1240" w:type="pct"/>
            <w:gridSpan w:val="3"/>
            <w:vMerge/>
            <w:tcBorders>
              <w:top w:val="nil"/>
              <w:left w:val="nil"/>
              <w:bottom w:val="single" w:sz="4" w:space="0" w:color="auto"/>
              <w:right w:val="nil"/>
            </w:tcBorders>
            <w:vAlign w:val="center"/>
            <w:hideMark/>
          </w:tcPr>
          <w:p w14:paraId="0B44F581" w14:textId="77777777" w:rsidR="00CC7147" w:rsidRPr="002B0D0B" w:rsidRDefault="00CC7147" w:rsidP="00E81109">
            <w:pPr>
              <w:pStyle w:val="Table"/>
              <w:rPr>
                <w:noProof/>
                <w:color w:val="000000" w:themeColor="text1"/>
                <w:szCs w:val="22"/>
                <w:vertAlign w:val="superscript"/>
              </w:rPr>
            </w:pPr>
          </w:p>
        </w:tc>
      </w:tr>
      <w:tr w:rsidR="00CC7147" w:rsidRPr="002B0D0B" w14:paraId="2F2318E0" w14:textId="77777777" w:rsidTr="009A15D5">
        <w:trPr>
          <w:gridAfter w:val="1"/>
          <w:wAfter w:w="69" w:type="pct"/>
          <w:trHeight w:val="340"/>
        </w:trPr>
        <w:tc>
          <w:tcPr>
            <w:tcW w:w="2120" w:type="pct"/>
            <w:gridSpan w:val="5"/>
            <w:tcBorders>
              <w:top w:val="single" w:sz="4" w:space="0" w:color="auto"/>
              <w:left w:val="nil"/>
              <w:bottom w:val="nil"/>
              <w:right w:val="nil"/>
            </w:tcBorders>
            <w:hideMark/>
          </w:tcPr>
          <w:p w14:paraId="423D33EF" w14:textId="18AC7454" w:rsidR="00CC7147" w:rsidRPr="002B0D0B" w:rsidRDefault="00CC7147" w:rsidP="002B0D0B">
            <w:pPr>
              <w:pStyle w:val="Table"/>
              <w:rPr>
                <w:noProof/>
                <w:color w:val="000000" w:themeColor="text1"/>
                <w:szCs w:val="22"/>
              </w:rPr>
            </w:pPr>
            <w:r w:rsidRPr="002B0D0B">
              <w:rPr>
                <w:noProof/>
                <w:color w:val="000000" w:themeColor="text1"/>
                <w:szCs w:val="22"/>
              </w:rPr>
              <w:t>Specific parameter values</w:t>
            </w:r>
            <w:r w:rsidR="003A4843" w:rsidRPr="002B0D0B">
              <w:rPr>
                <w:noProof/>
                <w:color w:val="000000" w:themeColor="text1"/>
                <w:szCs w:val="22"/>
                <w:vertAlign w:val="superscript"/>
              </w:rPr>
              <w:t>‡</w:t>
            </w:r>
          </w:p>
        </w:tc>
        <w:tc>
          <w:tcPr>
            <w:tcW w:w="523" w:type="pct"/>
            <w:tcBorders>
              <w:top w:val="single" w:sz="4" w:space="0" w:color="auto"/>
              <w:left w:val="nil"/>
              <w:bottom w:val="nil"/>
              <w:right w:val="nil"/>
            </w:tcBorders>
          </w:tcPr>
          <w:p w14:paraId="40FE3DF4" w14:textId="77777777" w:rsidR="00CC7147" w:rsidRPr="002B0D0B" w:rsidRDefault="00CC7147" w:rsidP="002B0D0B">
            <w:pPr>
              <w:pStyle w:val="Table"/>
              <w:rPr>
                <w:noProof/>
                <w:color w:val="000000" w:themeColor="text1"/>
                <w:szCs w:val="22"/>
              </w:rPr>
            </w:pPr>
          </w:p>
        </w:tc>
        <w:tc>
          <w:tcPr>
            <w:tcW w:w="523" w:type="pct"/>
            <w:gridSpan w:val="3"/>
            <w:tcBorders>
              <w:top w:val="single" w:sz="4" w:space="0" w:color="auto"/>
              <w:left w:val="nil"/>
              <w:bottom w:val="nil"/>
              <w:right w:val="nil"/>
            </w:tcBorders>
          </w:tcPr>
          <w:p w14:paraId="749B8338" w14:textId="77777777" w:rsidR="00CC7147" w:rsidRPr="002B0D0B" w:rsidRDefault="00CC7147" w:rsidP="002B0D0B">
            <w:pPr>
              <w:pStyle w:val="Table"/>
              <w:rPr>
                <w:noProof/>
                <w:color w:val="000000" w:themeColor="text1"/>
                <w:szCs w:val="22"/>
              </w:rPr>
            </w:pPr>
          </w:p>
        </w:tc>
        <w:tc>
          <w:tcPr>
            <w:tcW w:w="525" w:type="pct"/>
            <w:gridSpan w:val="4"/>
            <w:tcBorders>
              <w:top w:val="single" w:sz="4" w:space="0" w:color="auto"/>
              <w:left w:val="nil"/>
              <w:bottom w:val="nil"/>
              <w:right w:val="nil"/>
            </w:tcBorders>
          </w:tcPr>
          <w:p w14:paraId="0D05E36C" w14:textId="77777777" w:rsidR="00CC7147" w:rsidRPr="002B0D0B" w:rsidRDefault="00CC7147" w:rsidP="002B0D0B">
            <w:pPr>
              <w:pStyle w:val="Table"/>
              <w:rPr>
                <w:noProof/>
                <w:color w:val="000000" w:themeColor="text1"/>
                <w:szCs w:val="22"/>
              </w:rPr>
            </w:pPr>
          </w:p>
        </w:tc>
        <w:tc>
          <w:tcPr>
            <w:tcW w:w="1240" w:type="pct"/>
            <w:gridSpan w:val="3"/>
            <w:tcBorders>
              <w:top w:val="single" w:sz="4" w:space="0" w:color="auto"/>
              <w:left w:val="nil"/>
              <w:bottom w:val="nil"/>
              <w:right w:val="nil"/>
            </w:tcBorders>
          </w:tcPr>
          <w:p w14:paraId="35F26540" w14:textId="77777777" w:rsidR="00CC7147" w:rsidRPr="002B0D0B" w:rsidRDefault="00CC7147" w:rsidP="002B0D0B">
            <w:pPr>
              <w:pStyle w:val="Table"/>
              <w:rPr>
                <w:i/>
                <w:noProof/>
                <w:color w:val="000000" w:themeColor="text1"/>
                <w:szCs w:val="22"/>
              </w:rPr>
            </w:pPr>
          </w:p>
        </w:tc>
      </w:tr>
      <w:tr w:rsidR="00CC7147" w:rsidRPr="002B0D0B" w14:paraId="3F8759E6" w14:textId="77777777" w:rsidTr="009A15D5">
        <w:trPr>
          <w:gridAfter w:val="1"/>
          <w:wAfter w:w="69" w:type="pct"/>
          <w:trHeight w:val="340"/>
        </w:trPr>
        <w:tc>
          <w:tcPr>
            <w:tcW w:w="2120" w:type="pct"/>
            <w:gridSpan w:val="5"/>
            <w:tcBorders>
              <w:top w:val="nil"/>
              <w:left w:val="nil"/>
              <w:bottom w:val="nil"/>
              <w:right w:val="nil"/>
            </w:tcBorders>
            <w:hideMark/>
          </w:tcPr>
          <w:p w14:paraId="707E0DEF" w14:textId="77777777" w:rsidR="00CC7147" w:rsidRPr="002B0D0B" w:rsidRDefault="00CC7147" w:rsidP="002B0D0B">
            <w:pPr>
              <w:pStyle w:val="Table"/>
              <w:rPr>
                <w:noProof/>
                <w:color w:val="000000" w:themeColor="text1"/>
                <w:szCs w:val="22"/>
              </w:rPr>
            </w:pPr>
            <w:r w:rsidRPr="002B0D0B">
              <w:rPr>
                <w:noProof/>
                <w:color w:val="000000" w:themeColor="text1"/>
                <w:szCs w:val="22"/>
              </w:rPr>
              <w:t>Americium nitrate</w:t>
            </w:r>
          </w:p>
        </w:tc>
        <w:tc>
          <w:tcPr>
            <w:tcW w:w="523" w:type="pct"/>
            <w:tcBorders>
              <w:top w:val="nil"/>
              <w:left w:val="nil"/>
              <w:bottom w:val="nil"/>
              <w:right w:val="nil"/>
            </w:tcBorders>
            <w:hideMark/>
          </w:tcPr>
          <w:p w14:paraId="2EE96B62" w14:textId="77777777" w:rsidR="00CC7147" w:rsidRPr="002B0D0B" w:rsidRDefault="00CC7147" w:rsidP="002B0D0B">
            <w:pPr>
              <w:pStyle w:val="Table"/>
              <w:rPr>
                <w:noProof/>
                <w:color w:val="000000" w:themeColor="text1"/>
                <w:szCs w:val="22"/>
              </w:rPr>
            </w:pPr>
            <w:r w:rsidRPr="002B0D0B">
              <w:rPr>
                <w:noProof/>
                <w:color w:val="000000" w:themeColor="text1"/>
                <w:szCs w:val="22"/>
              </w:rPr>
              <w:t>0.6</w:t>
            </w:r>
          </w:p>
        </w:tc>
        <w:tc>
          <w:tcPr>
            <w:tcW w:w="523" w:type="pct"/>
            <w:gridSpan w:val="3"/>
            <w:tcBorders>
              <w:top w:val="nil"/>
              <w:left w:val="nil"/>
              <w:bottom w:val="nil"/>
              <w:right w:val="nil"/>
            </w:tcBorders>
            <w:hideMark/>
          </w:tcPr>
          <w:p w14:paraId="4BC95542" w14:textId="77777777" w:rsidR="00CC7147" w:rsidRPr="002B0D0B" w:rsidRDefault="00CC7147" w:rsidP="002B0D0B">
            <w:pPr>
              <w:pStyle w:val="Table"/>
              <w:rPr>
                <w:noProof/>
                <w:color w:val="000000" w:themeColor="text1"/>
                <w:szCs w:val="22"/>
              </w:rPr>
            </w:pPr>
            <w:r w:rsidRPr="002B0D0B">
              <w:rPr>
                <w:noProof/>
                <w:color w:val="000000" w:themeColor="text1"/>
                <w:szCs w:val="22"/>
              </w:rPr>
              <w:t>0.4</w:t>
            </w:r>
          </w:p>
        </w:tc>
        <w:tc>
          <w:tcPr>
            <w:tcW w:w="525" w:type="pct"/>
            <w:gridSpan w:val="4"/>
            <w:tcBorders>
              <w:top w:val="nil"/>
              <w:left w:val="nil"/>
              <w:bottom w:val="nil"/>
              <w:right w:val="nil"/>
            </w:tcBorders>
            <w:hideMark/>
          </w:tcPr>
          <w:p w14:paraId="05D8A9D5" w14:textId="77777777" w:rsidR="00CC7147" w:rsidRPr="002B0D0B" w:rsidRDefault="00CC7147" w:rsidP="002B0D0B">
            <w:pPr>
              <w:pStyle w:val="Table"/>
              <w:rPr>
                <w:noProof/>
                <w:color w:val="000000" w:themeColor="text1"/>
                <w:szCs w:val="22"/>
              </w:rPr>
            </w:pPr>
            <w:r w:rsidRPr="002B0D0B">
              <w:rPr>
                <w:noProof/>
                <w:color w:val="000000" w:themeColor="text1"/>
                <w:szCs w:val="22"/>
              </w:rPr>
              <w:t>0.005</w:t>
            </w:r>
          </w:p>
        </w:tc>
        <w:tc>
          <w:tcPr>
            <w:tcW w:w="1240" w:type="pct"/>
            <w:gridSpan w:val="3"/>
            <w:tcBorders>
              <w:top w:val="nil"/>
              <w:left w:val="nil"/>
              <w:bottom w:val="nil"/>
              <w:right w:val="nil"/>
            </w:tcBorders>
            <w:hideMark/>
          </w:tcPr>
          <w:p w14:paraId="63F81696" w14:textId="2AF78898" w:rsidR="00CC7147" w:rsidRPr="002B0D0B" w:rsidRDefault="00CC7147" w:rsidP="002B0D0B">
            <w:pPr>
              <w:pStyle w:val="Table"/>
              <w:rPr>
                <w:noProof/>
                <w:color w:val="000000" w:themeColor="text1"/>
                <w:szCs w:val="22"/>
              </w:rPr>
            </w:pPr>
            <w:r w:rsidRPr="002B0D0B">
              <w:rPr>
                <w:noProof/>
                <w:color w:val="000000" w:themeColor="text1"/>
                <w:szCs w:val="22"/>
              </w:rPr>
              <w:t>3</w:t>
            </w:r>
            <w:r w:rsidR="00067025" w:rsidRPr="002B0D0B">
              <w:rPr>
                <w:noProof/>
                <w:color w:val="000000" w:themeColor="text1"/>
                <w:szCs w:val="22"/>
              </w:rPr>
              <w:t xml:space="preserve"> × </w:t>
            </w:r>
            <w:r w:rsidRPr="002B0D0B">
              <w:rPr>
                <w:noProof/>
                <w:color w:val="000000" w:themeColor="text1"/>
                <w:szCs w:val="22"/>
              </w:rPr>
              <w:t>10</w:t>
            </w:r>
            <w:r w:rsidRPr="002B0D0B">
              <w:rPr>
                <w:noProof/>
                <w:color w:val="000000" w:themeColor="text1"/>
                <w:szCs w:val="22"/>
                <w:vertAlign w:val="superscript"/>
              </w:rPr>
              <w:t>–4</w:t>
            </w:r>
          </w:p>
        </w:tc>
      </w:tr>
      <w:tr w:rsidR="00CC7147" w:rsidRPr="002B0D0B" w14:paraId="6447F238" w14:textId="77777777" w:rsidTr="009A15D5">
        <w:trPr>
          <w:gridAfter w:val="1"/>
          <w:wAfter w:w="69" w:type="pct"/>
          <w:trHeight w:val="340"/>
        </w:trPr>
        <w:tc>
          <w:tcPr>
            <w:tcW w:w="2120" w:type="pct"/>
            <w:gridSpan w:val="5"/>
            <w:tcBorders>
              <w:top w:val="nil"/>
              <w:left w:val="nil"/>
              <w:bottom w:val="nil"/>
              <w:right w:val="nil"/>
            </w:tcBorders>
          </w:tcPr>
          <w:p w14:paraId="4690AB7D" w14:textId="77777777" w:rsidR="00CC7147" w:rsidRPr="002B0D0B" w:rsidRDefault="00CC7147" w:rsidP="002B0D0B">
            <w:pPr>
              <w:pStyle w:val="Table"/>
              <w:rPr>
                <w:noProof/>
                <w:color w:val="000000" w:themeColor="text1"/>
                <w:szCs w:val="22"/>
              </w:rPr>
            </w:pPr>
          </w:p>
        </w:tc>
        <w:tc>
          <w:tcPr>
            <w:tcW w:w="523" w:type="pct"/>
            <w:tcBorders>
              <w:top w:val="nil"/>
              <w:left w:val="nil"/>
              <w:bottom w:val="nil"/>
              <w:right w:val="nil"/>
            </w:tcBorders>
          </w:tcPr>
          <w:p w14:paraId="370FB992" w14:textId="77777777" w:rsidR="00CC7147" w:rsidRPr="002B0D0B" w:rsidRDefault="00CC7147" w:rsidP="002B0D0B">
            <w:pPr>
              <w:pStyle w:val="Table"/>
              <w:rPr>
                <w:noProof/>
                <w:color w:val="000000" w:themeColor="text1"/>
                <w:szCs w:val="22"/>
              </w:rPr>
            </w:pPr>
          </w:p>
        </w:tc>
        <w:tc>
          <w:tcPr>
            <w:tcW w:w="523" w:type="pct"/>
            <w:gridSpan w:val="3"/>
            <w:tcBorders>
              <w:top w:val="nil"/>
              <w:left w:val="nil"/>
              <w:bottom w:val="nil"/>
              <w:right w:val="nil"/>
            </w:tcBorders>
          </w:tcPr>
          <w:p w14:paraId="714EE3BD" w14:textId="77777777" w:rsidR="00CC7147" w:rsidRPr="002B0D0B" w:rsidRDefault="00CC7147" w:rsidP="002B0D0B">
            <w:pPr>
              <w:pStyle w:val="Table"/>
              <w:rPr>
                <w:noProof/>
                <w:color w:val="000000" w:themeColor="text1"/>
                <w:szCs w:val="22"/>
              </w:rPr>
            </w:pPr>
          </w:p>
        </w:tc>
        <w:tc>
          <w:tcPr>
            <w:tcW w:w="525" w:type="pct"/>
            <w:gridSpan w:val="4"/>
            <w:tcBorders>
              <w:top w:val="nil"/>
              <w:left w:val="nil"/>
              <w:bottom w:val="nil"/>
              <w:right w:val="nil"/>
            </w:tcBorders>
          </w:tcPr>
          <w:p w14:paraId="7A83B15C" w14:textId="77777777" w:rsidR="00CC7147" w:rsidRPr="002B0D0B" w:rsidRDefault="00CC7147" w:rsidP="002B0D0B">
            <w:pPr>
              <w:pStyle w:val="Table"/>
              <w:rPr>
                <w:noProof/>
                <w:color w:val="000000" w:themeColor="text1"/>
                <w:szCs w:val="22"/>
              </w:rPr>
            </w:pPr>
          </w:p>
        </w:tc>
        <w:tc>
          <w:tcPr>
            <w:tcW w:w="1240" w:type="pct"/>
            <w:gridSpan w:val="3"/>
            <w:tcBorders>
              <w:top w:val="nil"/>
              <w:left w:val="nil"/>
              <w:bottom w:val="nil"/>
              <w:right w:val="nil"/>
            </w:tcBorders>
          </w:tcPr>
          <w:p w14:paraId="2937FF40" w14:textId="77777777" w:rsidR="00CC7147" w:rsidRPr="002B0D0B" w:rsidRDefault="00CC7147" w:rsidP="002B0D0B">
            <w:pPr>
              <w:pStyle w:val="Table"/>
              <w:rPr>
                <w:i/>
                <w:noProof/>
                <w:color w:val="000000" w:themeColor="text1"/>
                <w:szCs w:val="22"/>
              </w:rPr>
            </w:pPr>
          </w:p>
        </w:tc>
      </w:tr>
      <w:tr w:rsidR="00CC7147" w:rsidRPr="002B0D0B" w14:paraId="7A82488C" w14:textId="77777777" w:rsidTr="009A15D5">
        <w:trPr>
          <w:gridAfter w:val="1"/>
          <w:wAfter w:w="69" w:type="pct"/>
          <w:trHeight w:val="340"/>
        </w:trPr>
        <w:tc>
          <w:tcPr>
            <w:tcW w:w="2120" w:type="pct"/>
            <w:gridSpan w:val="5"/>
            <w:tcBorders>
              <w:top w:val="nil"/>
              <w:left w:val="nil"/>
              <w:bottom w:val="nil"/>
              <w:right w:val="nil"/>
            </w:tcBorders>
            <w:hideMark/>
          </w:tcPr>
          <w:p w14:paraId="3724427C" w14:textId="3075467D" w:rsidR="00CC7147" w:rsidRPr="002B0D0B" w:rsidRDefault="00CC7147" w:rsidP="002B0D0B">
            <w:pPr>
              <w:pStyle w:val="Table"/>
              <w:rPr>
                <w:noProof/>
                <w:color w:val="000000" w:themeColor="text1"/>
                <w:szCs w:val="22"/>
              </w:rPr>
            </w:pPr>
            <w:r w:rsidRPr="002B0D0B">
              <w:rPr>
                <w:noProof/>
                <w:color w:val="000000" w:themeColor="text1"/>
                <w:szCs w:val="22"/>
              </w:rPr>
              <w:t>Default parameter values</w:t>
            </w:r>
            <w:r w:rsidR="003A4843" w:rsidRPr="002B0D0B">
              <w:rPr>
                <w:noProof/>
                <w:color w:val="000000" w:themeColor="text1"/>
                <w:szCs w:val="22"/>
                <w:vertAlign w:val="superscript"/>
              </w:rPr>
              <w:t>§</w:t>
            </w:r>
          </w:p>
        </w:tc>
        <w:tc>
          <w:tcPr>
            <w:tcW w:w="523" w:type="pct"/>
            <w:tcBorders>
              <w:top w:val="nil"/>
              <w:left w:val="nil"/>
              <w:bottom w:val="nil"/>
              <w:right w:val="nil"/>
            </w:tcBorders>
          </w:tcPr>
          <w:p w14:paraId="0517575B" w14:textId="77777777" w:rsidR="00CC7147" w:rsidRPr="002B0D0B" w:rsidRDefault="00CC7147" w:rsidP="002B0D0B">
            <w:pPr>
              <w:pStyle w:val="Table"/>
              <w:rPr>
                <w:noProof/>
                <w:color w:val="000000" w:themeColor="text1"/>
                <w:szCs w:val="22"/>
              </w:rPr>
            </w:pPr>
          </w:p>
        </w:tc>
        <w:tc>
          <w:tcPr>
            <w:tcW w:w="523" w:type="pct"/>
            <w:gridSpan w:val="3"/>
            <w:tcBorders>
              <w:top w:val="nil"/>
              <w:left w:val="nil"/>
              <w:bottom w:val="nil"/>
              <w:right w:val="nil"/>
            </w:tcBorders>
          </w:tcPr>
          <w:p w14:paraId="6B7EFC66" w14:textId="77777777" w:rsidR="00CC7147" w:rsidRPr="002B0D0B" w:rsidRDefault="00CC7147" w:rsidP="002B0D0B">
            <w:pPr>
              <w:pStyle w:val="Table"/>
              <w:rPr>
                <w:noProof/>
                <w:color w:val="000000" w:themeColor="text1"/>
                <w:szCs w:val="22"/>
              </w:rPr>
            </w:pPr>
          </w:p>
        </w:tc>
        <w:tc>
          <w:tcPr>
            <w:tcW w:w="525" w:type="pct"/>
            <w:gridSpan w:val="4"/>
            <w:tcBorders>
              <w:top w:val="nil"/>
              <w:left w:val="nil"/>
              <w:bottom w:val="nil"/>
              <w:right w:val="nil"/>
            </w:tcBorders>
          </w:tcPr>
          <w:p w14:paraId="01A5B3B1" w14:textId="77777777" w:rsidR="00CC7147" w:rsidRPr="002B0D0B" w:rsidRDefault="00CC7147" w:rsidP="002B0D0B">
            <w:pPr>
              <w:pStyle w:val="Table"/>
              <w:rPr>
                <w:noProof/>
                <w:color w:val="000000" w:themeColor="text1"/>
                <w:szCs w:val="22"/>
              </w:rPr>
            </w:pPr>
          </w:p>
        </w:tc>
        <w:tc>
          <w:tcPr>
            <w:tcW w:w="1240" w:type="pct"/>
            <w:gridSpan w:val="3"/>
            <w:tcBorders>
              <w:top w:val="nil"/>
              <w:left w:val="nil"/>
              <w:bottom w:val="nil"/>
              <w:right w:val="nil"/>
            </w:tcBorders>
          </w:tcPr>
          <w:p w14:paraId="4CEB50A9" w14:textId="77777777" w:rsidR="00CC7147" w:rsidRPr="002B0D0B" w:rsidRDefault="00CC7147" w:rsidP="002B0D0B">
            <w:pPr>
              <w:pStyle w:val="Table"/>
              <w:rPr>
                <w:i/>
                <w:noProof/>
                <w:color w:val="000000" w:themeColor="text1"/>
                <w:szCs w:val="22"/>
              </w:rPr>
            </w:pPr>
          </w:p>
        </w:tc>
      </w:tr>
      <w:tr w:rsidR="002B0D0B" w:rsidRPr="002B0D0B" w14:paraId="3E97EB88" w14:textId="77777777" w:rsidTr="009A15D5">
        <w:trPr>
          <w:gridAfter w:val="1"/>
          <w:wAfter w:w="69" w:type="pct"/>
          <w:trHeight w:val="340"/>
        </w:trPr>
        <w:tc>
          <w:tcPr>
            <w:tcW w:w="1101" w:type="pct"/>
            <w:gridSpan w:val="2"/>
            <w:tcBorders>
              <w:top w:val="nil"/>
              <w:left w:val="nil"/>
              <w:bottom w:val="nil"/>
              <w:right w:val="nil"/>
            </w:tcBorders>
            <w:hideMark/>
          </w:tcPr>
          <w:p w14:paraId="73261067" w14:textId="77777777" w:rsidR="00CC7147" w:rsidRPr="002B0D0B" w:rsidRDefault="00CC7147" w:rsidP="002B0D0B">
            <w:pPr>
              <w:pStyle w:val="Table"/>
              <w:rPr>
                <w:noProof/>
                <w:color w:val="000000" w:themeColor="text1"/>
                <w:szCs w:val="22"/>
              </w:rPr>
            </w:pPr>
            <w:r w:rsidRPr="002B0D0B">
              <w:rPr>
                <w:noProof/>
                <w:color w:val="000000" w:themeColor="text1"/>
                <w:szCs w:val="22"/>
              </w:rPr>
              <w:t>Absorption Type</w:t>
            </w:r>
          </w:p>
        </w:tc>
        <w:tc>
          <w:tcPr>
            <w:tcW w:w="1020" w:type="pct"/>
            <w:gridSpan w:val="3"/>
            <w:tcBorders>
              <w:top w:val="nil"/>
              <w:left w:val="nil"/>
              <w:bottom w:val="nil"/>
              <w:right w:val="nil"/>
            </w:tcBorders>
            <w:hideMark/>
          </w:tcPr>
          <w:p w14:paraId="16502ED7" w14:textId="77777777" w:rsidR="00CC7147" w:rsidRPr="002B0D0B" w:rsidRDefault="00CC7147" w:rsidP="002B0D0B">
            <w:pPr>
              <w:pStyle w:val="Table"/>
              <w:rPr>
                <w:noProof/>
                <w:color w:val="000000" w:themeColor="text1"/>
                <w:szCs w:val="22"/>
              </w:rPr>
            </w:pPr>
            <w:r w:rsidRPr="002B0D0B">
              <w:rPr>
                <w:noProof/>
                <w:color w:val="000000" w:themeColor="text1"/>
                <w:szCs w:val="22"/>
              </w:rPr>
              <w:t>Assigned forms</w:t>
            </w:r>
          </w:p>
        </w:tc>
        <w:tc>
          <w:tcPr>
            <w:tcW w:w="523" w:type="pct"/>
            <w:tcBorders>
              <w:top w:val="nil"/>
              <w:left w:val="nil"/>
              <w:bottom w:val="nil"/>
              <w:right w:val="nil"/>
            </w:tcBorders>
          </w:tcPr>
          <w:p w14:paraId="1D21A57B" w14:textId="77777777" w:rsidR="00CC7147" w:rsidRPr="002B0D0B" w:rsidRDefault="00CC7147" w:rsidP="002B0D0B">
            <w:pPr>
              <w:pStyle w:val="Table"/>
              <w:rPr>
                <w:noProof/>
                <w:color w:val="000000" w:themeColor="text1"/>
                <w:szCs w:val="22"/>
              </w:rPr>
            </w:pPr>
          </w:p>
        </w:tc>
        <w:tc>
          <w:tcPr>
            <w:tcW w:w="523" w:type="pct"/>
            <w:gridSpan w:val="3"/>
            <w:tcBorders>
              <w:top w:val="nil"/>
              <w:left w:val="nil"/>
              <w:bottom w:val="nil"/>
              <w:right w:val="nil"/>
            </w:tcBorders>
          </w:tcPr>
          <w:p w14:paraId="2ED61C14" w14:textId="77777777" w:rsidR="00CC7147" w:rsidRPr="002B0D0B" w:rsidRDefault="00CC7147" w:rsidP="002B0D0B">
            <w:pPr>
              <w:pStyle w:val="Table"/>
              <w:rPr>
                <w:noProof/>
                <w:color w:val="000000" w:themeColor="text1"/>
                <w:szCs w:val="22"/>
              </w:rPr>
            </w:pPr>
          </w:p>
        </w:tc>
        <w:tc>
          <w:tcPr>
            <w:tcW w:w="525" w:type="pct"/>
            <w:gridSpan w:val="4"/>
            <w:tcBorders>
              <w:top w:val="nil"/>
              <w:left w:val="nil"/>
              <w:bottom w:val="nil"/>
              <w:right w:val="nil"/>
            </w:tcBorders>
          </w:tcPr>
          <w:p w14:paraId="66FFEE2D" w14:textId="77777777" w:rsidR="00CC7147" w:rsidRPr="002B0D0B" w:rsidRDefault="00CC7147" w:rsidP="002B0D0B">
            <w:pPr>
              <w:pStyle w:val="Table"/>
              <w:rPr>
                <w:noProof/>
                <w:color w:val="000000" w:themeColor="text1"/>
                <w:szCs w:val="22"/>
              </w:rPr>
            </w:pPr>
          </w:p>
        </w:tc>
        <w:tc>
          <w:tcPr>
            <w:tcW w:w="1240" w:type="pct"/>
            <w:gridSpan w:val="3"/>
            <w:tcBorders>
              <w:top w:val="nil"/>
              <w:left w:val="nil"/>
              <w:bottom w:val="nil"/>
              <w:right w:val="nil"/>
            </w:tcBorders>
          </w:tcPr>
          <w:p w14:paraId="0361160F" w14:textId="77777777" w:rsidR="00CC7147" w:rsidRPr="002B0D0B" w:rsidRDefault="00CC7147" w:rsidP="002B0D0B">
            <w:pPr>
              <w:pStyle w:val="Table"/>
              <w:rPr>
                <w:noProof/>
                <w:color w:val="000000" w:themeColor="text1"/>
                <w:szCs w:val="22"/>
              </w:rPr>
            </w:pPr>
          </w:p>
        </w:tc>
      </w:tr>
      <w:tr w:rsidR="00CC7147" w:rsidRPr="002B0D0B" w14:paraId="2ED77176" w14:textId="77777777" w:rsidTr="009A15D5">
        <w:trPr>
          <w:gridAfter w:val="1"/>
          <w:wAfter w:w="69" w:type="pct"/>
          <w:trHeight w:val="340"/>
        </w:trPr>
        <w:tc>
          <w:tcPr>
            <w:tcW w:w="1101" w:type="pct"/>
            <w:gridSpan w:val="2"/>
            <w:tcBorders>
              <w:top w:val="nil"/>
              <w:left w:val="nil"/>
              <w:bottom w:val="nil"/>
              <w:right w:val="nil"/>
            </w:tcBorders>
            <w:hideMark/>
          </w:tcPr>
          <w:p w14:paraId="65338F14" w14:textId="77777777" w:rsidR="00CC7147" w:rsidRPr="002B0D0B" w:rsidRDefault="00CC7147" w:rsidP="002B0D0B">
            <w:pPr>
              <w:pStyle w:val="Table"/>
              <w:rPr>
                <w:noProof/>
                <w:color w:val="000000" w:themeColor="text1"/>
                <w:szCs w:val="22"/>
              </w:rPr>
            </w:pPr>
            <w:r w:rsidRPr="002B0D0B">
              <w:rPr>
                <w:noProof/>
                <w:color w:val="000000" w:themeColor="text1"/>
                <w:szCs w:val="22"/>
              </w:rPr>
              <w:t>F</w:t>
            </w:r>
          </w:p>
        </w:tc>
        <w:tc>
          <w:tcPr>
            <w:tcW w:w="1020" w:type="pct"/>
            <w:gridSpan w:val="3"/>
            <w:tcBorders>
              <w:top w:val="nil"/>
              <w:left w:val="nil"/>
              <w:bottom w:val="nil"/>
              <w:right w:val="nil"/>
            </w:tcBorders>
            <w:hideMark/>
          </w:tcPr>
          <w:p w14:paraId="0604E7D5" w14:textId="77777777" w:rsidR="00CC7147" w:rsidRPr="002B0D0B" w:rsidRDefault="00CC7147" w:rsidP="002B0D0B">
            <w:pPr>
              <w:pStyle w:val="Table"/>
              <w:rPr>
                <w:noProof/>
                <w:color w:val="000000" w:themeColor="text1"/>
                <w:szCs w:val="22"/>
              </w:rPr>
            </w:pPr>
            <w:r w:rsidRPr="002B0D0B">
              <w:rPr>
                <w:noProof/>
                <w:color w:val="000000" w:themeColor="text1"/>
                <w:szCs w:val="22"/>
              </w:rPr>
              <w:t>Citrate</w:t>
            </w:r>
          </w:p>
        </w:tc>
        <w:tc>
          <w:tcPr>
            <w:tcW w:w="523" w:type="pct"/>
            <w:tcBorders>
              <w:top w:val="nil"/>
              <w:left w:val="nil"/>
              <w:bottom w:val="nil"/>
              <w:right w:val="nil"/>
            </w:tcBorders>
            <w:hideMark/>
          </w:tcPr>
          <w:p w14:paraId="053E89A2" w14:textId="77777777" w:rsidR="00CC7147" w:rsidRPr="002B0D0B" w:rsidRDefault="00CC7147" w:rsidP="002B0D0B">
            <w:pPr>
              <w:pStyle w:val="Table"/>
              <w:rPr>
                <w:noProof/>
                <w:color w:val="000000" w:themeColor="text1"/>
                <w:szCs w:val="22"/>
              </w:rPr>
            </w:pPr>
            <w:r w:rsidRPr="002B0D0B">
              <w:rPr>
                <w:noProof/>
                <w:color w:val="000000" w:themeColor="text1"/>
                <w:szCs w:val="22"/>
              </w:rPr>
              <w:t>1</w:t>
            </w:r>
          </w:p>
        </w:tc>
        <w:tc>
          <w:tcPr>
            <w:tcW w:w="523" w:type="pct"/>
            <w:gridSpan w:val="3"/>
            <w:tcBorders>
              <w:top w:val="nil"/>
              <w:left w:val="nil"/>
              <w:bottom w:val="nil"/>
              <w:right w:val="nil"/>
            </w:tcBorders>
            <w:hideMark/>
          </w:tcPr>
          <w:p w14:paraId="4B32C89E" w14:textId="77777777" w:rsidR="00CC7147" w:rsidRPr="002B0D0B" w:rsidRDefault="00CC7147" w:rsidP="002B0D0B">
            <w:pPr>
              <w:pStyle w:val="Table"/>
              <w:rPr>
                <w:noProof/>
                <w:color w:val="000000" w:themeColor="text1"/>
                <w:szCs w:val="22"/>
              </w:rPr>
            </w:pPr>
            <w:r w:rsidRPr="002B0D0B">
              <w:rPr>
                <w:noProof/>
                <w:color w:val="000000" w:themeColor="text1"/>
                <w:szCs w:val="22"/>
              </w:rPr>
              <w:t>0.4</w:t>
            </w:r>
          </w:p>
        </w:tc>
        <w:tc>
          <w:tcPr>
            <w:tcW w:w="525" w:type="pct"/>
            <w:gridSpan w:val="4"/>
            <w:tcBorders>
              <w:top w:val="nil"/>
              <w:left w:val="nil"/>
              <w:bottom w:val="nil"/>
              <w:right w:val="nil"/>
            </w:tcBorders>
            <w:hideMark/>
          </w:tcPr>
          <w:p w14:paraId="76473B26" w14:textId="77777777" w:rsidR="00CC7147" w:rsidRPr="002B0D0B" w:rsidRDefault="00CC7147" w:rsidP="002B0D0B">
            <w:pPr>
              <w:pStyle w:val="Table"/>
              <w:rPr>
                <w:noProof/>
                <w:color w:val="000000" w:themeColor="text1"/>
                <w:szCs w:val="22"/>
              </w:rPr>
            </w:pPr>
            <w:r w:rsidRPr="002B0D0B">
              <w:rPr>
                <w:noProof/>
                <w:color w:val="000000" w:themeColor="text1"/>
                <w:szCs w:val="22"/>
              </w:rPr>
              <w:t>–</w:t>
            </w:r>
          </w:p>
        </w:tc>
        <w:tc>
          <w:tcPr>
            <w:tcW w:w="1240" w:type="pct"/>
            <w:gridSpan w:val="3"/>
            <w:tcBorders>
              <w:top w:val="nil"/>
              <w:left w:val="nil"/>
              <w:bottom w:val="nil"/>
              <w:right w:val="nil"/>
            </w:tcBorders>
            <w:hideMark/>
          </w:tcPr>
          <w:p w14:paraId="25B51445" w14:textId="1E1E098C" w:rsidR="00CC7147" w:rsidRPr="002B0D0B" w:rsidRDefault="00CC7147" w:rsidP="002B0D0B">
            <w:pPr>
              <w:pStyle w:val="Table"/>
              <w:rPr>
                <w:noProof/>
                <w:color w:val="000000" w:themeColor="text1"/>
                <w:szCs w:val="22"/>
              </w:rPr>
            </w:pPr>
            <w:r w:rsidRPr="002B0D0B">
              <w:rPr>
                <w:noProof/>
                <w:color w:val="000000" w:themeColor="text1"/>
                <w:szCs w:val="22"/>
              </w:rPr>
              <w:t>5</w:t>
            </w:r>
            <w:r w:rsidR="00067025" w:rsidRPr="002B0D0B">
              <w:rPr>
                <w:noProof/>
                <w:color w:val="000000" w:themeColor="text1"/>
                <w:szCs w:val="22"/>
              </w:rPr>
              <w:t xml:space="preserve"> × </w:t>
            </w:r>
            <w:r w:rsidRPr="002B0D0B">
              <w:rPr>
                <w:noProof/>
                <w:color w:val="000000" w:themeColor="text1"/>
                <w:szCs w:val="22"/>
              </w:rPr>
              <w:t>10</w:t>
            </w:r>
            <w:r w:rsidRPr="002B0D0B">
              <w:rPr>
                <w:noProof/>
                <w:color w:val="000000" w:themeColor="text1"/>
                <w:szCs w:val="22"/>
                <w:vertAlign w:val="superscript"/>
              </w:rPr>
              <w:t>–4</w:t>
            </w:r>
          </w:p>
        </w:tc>
      </w:tr>
      <w:tr w:rsidR="002B0D0B" w:rsidRPr="002B0D0B" w14:paraId="4DDF49F9" w14:textId="77777777" w:rsidTr="009A15D5">
        <w:trPr>
          <w:gridAfter w:val="1"/>
          <w:wAfter w:w="69" w:type="pct"/>
          <w:trHeight w:val="340"/>
        </w:trPr>
        <w:tc>
          <w:tcPr>
            <w:tcW w:w="1101" w:type="pct"/>
            <w:gridSpan w:val="2"/>
            <w:tcBorders>
              <w:top w:val="nil"/>
              <w:left w:val="nil"/>
              <w:bottom w:val="nil"/>
              <w:right w:val="nil"/>
            </w:tcBorders>
            <w:hideMark/>
          </w:tcPr>
          <w:p w14:paraId="1A287FE8" w14:textId="7FA618F0" w:rsidR="00CC7147" w:rsidRPr="002B0D0B" w:rsidRDefault="00CC7147" w:rsidP="002B0D0B">
            <w:pPr>
              <w:pStyle w:val="Table"/>
              <w:rPr>
                <w:noProof/>
                <w:color w:val="000000" w:themeColor="text1"/>
                <w:szCs w:val="22"/>
              </w:rPr>
            </w:pPr>
            <w:r w:rsidRPr="002B0D0B">
              <w:rPr>
                <w:noProof/>
                <w:color w:val="000000" w:themeColor="text1"/>
                <w:szCs w:val="22"/>
              </w:rPr>
              <w:t>M</w:t>
            </w:r>
            <w:r w:rsidR="003A4843" w:rsidRPr="002B0D0B">
              <w:rPr>
                <w:noProof/>
                <w:color w:val="000000" w:themeColor="text1"/>
                <w:szCs w:val="22"/>
                <w:vertAlign w:val="superscript"/>
              </w:rPr>
              <w:t>¶</w:t>
            </w:r>
          </w:p>
        </w:tc>
        <w:tc>
          <w:tcPr>
            <w:tcW w:w="1020" w:type="pct"/>
            <w:gridSpan w:val="3"/>
            <w:tcBorders>
              <w:top w:val="nil"/>
              <w:left w:val="nil"/>
              <w:bottom w:val="nil"/>
              <w:right w:val="nil"/>
            </w:tcBorders>
            <w:hideMark/>
          </w:tcPr>
          <w:p w14:paraId="1EBF9810" w14:textId="77777777" w:rsidR="00CC7147" w:rsidRPr="002B0D0B" w:rsidRDefault="00CC7147" w:rsidP="002B0D0B">
            <w:pPr>
              <w:pStyle w:val="Table"/>
              <w:rPr>
                <w:noProof/>
                <w:color w:val="000000" w:themeColor="text1"/>
                <w:szCs w:val="22"/>
              </w:rPr>
            </w:pPr>
            <w:r w:rsidRPr="002B0D0B">
              <w:rPr>
                <w:noProof/>
                <w:color w:val="000000" w:themeColor="text1"/>
                <w:szCs w:val="22"/>
              </w:rPr>
              <w:t>Oxide, chloride</w:t>
            </w:r>
          </w:p>
        </w:tc>
        <w:tc>
          <w:tcPr>
            <w:tcW w:w="523" w:type="pct"/>
            <w:tcBorders>
              <w:top w:val="nil"/>
              <w:left w:val="nil"/>
              <w:bottom w:val="nil"/>
              <w:right w:val="nil"/>
            </w:tcBorders>
            <w:hideMark/>
          </w:tcPr>
          <w:p w14:paraId="37395ACE" w14:textId="77777777" w:rsidR="00CC7147" w:rsidRPr="002B0D0B" w:rsidRDefault="00CC7147" w:rsidP="002B0D0B">
            <w:pPr>
              <w:pStyle w:val="Table"/>
              <w:rPr>
                <w:noProof/>
                <w:color w:val="000000" w:themeColor="text1"/>
                <w:szCs w:val="22"/>
              </w:rPr>
            </w:pPr>
            <w:r w:rsidRPr="002B0D0B">
              <w:rPr>
                <w:noProof/>
                <w:color w:val="000000" w:themeColor="text1"/>
                <w:szCs w:val="22"/>
              </w:rPr>
              <w:t>0.2</w:t>
            </w:r>
          </w:p>
        </w:tc>
        <w:tc>
          <w:tcPr>
            <w:tcW w:w="523" w:type="pct"/>
            <w:gridSpan w:val="3"/>
            <w:tcBorders>
              <w:top w:val="nil"/>
              <w:left w:val="nil"/>
              <w:bottom w:val="nil"/>
              <w:right w:val="nil"/>
            </w:tcBorders>
            <w:hideMark/>
          </w:tcPr>
          <w:p w14:paraId="2E5D6522" w14:textId="77777777" w:rsidR="00CC7147" w:rsidRPr="002B0D0B" w:rsidRDefault="00CC7147" w:rsidP="002B0D0B">
            <w:pPr>
              <w:pStyle w:val="Table"/>
              <w:rPr>
                <w:noProof/>
                <w:color w:val="000000" w:themeColor="text1"/>
                <w:szCs w:val="22"/>
              </w:rPr>
            </w:pPr>
            <w:r w:rsidRPr="002B0D0B">
              <w:rPr>
                <w:noProof/>
                <w:color w:val="000000" w:themeColor="text1"/>
                <w:szCs w:val="22"/>
              </w:rPr>
              <w:t>0.4</w:t>
            </w:r>
          </w:p>
        </w:tc>
        <w:tc>
          <w:tcPr>
            <w:tcW w:w="525" w:type="pct"/>
            <w:gridSpan w:val="4"/>
            <w:tcBorders>
              <w:top w:val="nil"/>
              <w:left w:val="nil"/>
              <w:bottom w:val="nil"/>
              <w:right w:val="nil"/>
            </w:tcBorders>
            <w:hideMark/>
          </w:tcPr>
          <w:p w14:paraId="4FFD8A17" w14:textId="77777777" w:rsidR="00CC7147" w:rsidRPr="002B0D0B" w:rsidRDefault="00CC7147" w:rsidP="002B0D0B">
            <w:pPr>
              <w:pStyle w:val="Table"/>
              <w:rPr>
                <w:noProof/>
                <w:color w:val="000000" w:themeColor="text1"/>
                <w:szCs w:val="22"/>
              </w:rPr>
            </w:pPr>
            <w:r w:rsidRPr="002B0D0B">
              <w:rPr>
                <w:noProof/>
                <w:color w:val="000000" w:themeColor="text1"/>
                <w:szCs w:val="22"/>
              </w:rPr>
              <w:t>0.005</w:t>
            </w:r>
          </w:p>
        </w:tc>
        <w:tc>
          <w:tcPr>
            <w:tcW w:w="1240" w:type="pct"/>
            <w:gridSpan w:val="3"/>
            <w:tcBorders>
              <w:top w:val="nil"/>
              <w:left w:val="nil"/>
              <w:bottom w:val="nil"/>
              <w:right w:val="nil"/>
            </w:tcBorders>
            <w:hideMark/>
          </w:tcPr>
          <w:p w14:paraId="4CA76BCC" w14:textId="22179CE3" w:rsidR="00CC7147" w:rsidRPr="002B0D0B" w:rsidRDefault="00CC7147" w:rsidP="002B0D0B">
            <w:pPr>
              <w:pStyle w:val="Table"/>
              <w:rPr>
                <w:noProof/>
                <w:color w:val="000000" w:themeColor="text1"/>
                <w:szCs w:val="22"/>
              </w:rPr>
            </w:pPr>
            <w:r w:rsidRPr="002B0D0B">
              <w:rPr>
                <w:noProof/>
                <w:color w:val="000000" w:themeColor="text1"/>
                <w:szCs w:val="22"/>
              </w:rPr>
              <w:t>1</w:t>
            </w:r>
            <w:r w:rsidR="00067025" w:rsidRPr="002B0D0B">
              <w:rPr>
                <w:noProof/>
                <w:color w:val="000000" w:themeColor="text1"/>
                <w:szCs w:val="22"/>
              </w:rPr>
              <w:t xml:space="preserve"> × </w:t>
            </w:r>
            <w:r w:rsidRPr="002B0D0B">
              <w:rPr>
                <w:noProof/>
                <w:color w:val="000000" w:themeColor="text1"/>
                <w:szCs w:val="22"/>
              </w:rPr>
              <w:t>10</w:t>
            </w:r>
            <w:r w:rsidRPr="002B0D0B">
              <w:rPr>
                <w:noProof/>
                <w:color w:val="000000" w:themeColor="text1"/>
                <w:szCs w:val="22"/>
                <w:vertAlign w:val="superscript"/>
              </w:rPr>
              <w:t>–4</w:t>
            </w:r>
          </w:p>
        </w:tc>
      </w:tr>
      <w:tr w:rsidR="00CC7147" w:rsidRPr="002B0D0B" w14:paraId="3A168857" w14:textId="77777777" w:rsidTr="009A15D5">
        <w:trPr>
          <w:gridAfter w:val="1"/>
          <w:wAfter w:w="69" w:type="pct"/>
          <w:trHeight w:val="340"/>
        </w:trPr>
        <w:tc>
          <w:tcPr>
            <w:tcW w:w="1101" w:type="pct"/>
            <w:gridSpan w:val="2"/>
            <w:tcBorders>
              <w:top w:val="nil"/>
              <w:left w:val="nil"/>
              <w:bottom w:val="single" w:sz="4" w:space="0" w:color="auto"/>
              <w:right w:val="nil"/>
            </w:tcBorders>
            <w:hideMark/>
          </w:tcPr>
          <w:p w14:paraId="0A25BFA2" w14:textId="77777777" w:rsidR="00CC7147" w:rsidRPr="002B0D0B" w:rsidRDefault="00CC7147" w:rsidP="002B0D0B">
            <w:pPr>
              <w:pStyle w:val="Table"/>
              <w:rPr>
                <w:noProof/>
                <w:color w:val="000000" w:themeColor="text1"/>
                <w:szCs w:val="22"/>
              </w:rPr>
            </w:pPr>
            <w:r w:rsidRPr="002B0D0B">
              <w:rPr>
                <w:noProof/>
                <w:color w:val="000000" w:themeColor="text1"/>
                <w:szCs w:val="22"/>
              </w:rPr>
              <w:t>S</w:t>
            </w:r>
          </w:p>
        </w:tc>
        <w:tc>
          <w:tcPr>
            <w:tcW w:w="1020" w:type="pct"/>
            <w:gridSpan w:val="3"/>
            <w:tcBorders>
              <w:top w:val="nil"/>
              <w:left w:val="nil"/>
              <w:bottom w:val="single" w:sz="4" w:space="0" w:color="auto"/>
              <w:right w:val="nil"/>
            </w:tcBorders>
            <w:hideMark/>
          </w:tcPr>
          <w:p w14:paraId="65356C16" w14:textId="77777777" w:rsidR="00CC7147" w:rsidRPr="002B0D0B" w:rsidRDefault="00CC7147" w:rsidP="002B0D0B">
            <w:pPr>
              <w:pStyle w:val="Table"/>
              <w:rPr>
                <w:noProof/>
                <w:color w:val="000000" w:themeColor="text1"/>
                <w:szCs w:val="22"/>
              </w:rPr>
            </w:pPr>
            <w:r w:rsidRPr="002B0D0B">
              <w:rPr>
                <w:noProof/>
                <w:color w:val="000000" w:themeColor="text1"/>
                <w:szCs w:val="22"/>
              </w:rPr>
              <w:t>Americium associated with plutonium oxide</w:t>
            </w:r>
          </w:p>
        </w:tc>
        <w:tc>
          <w:tcPr>
            <w:tcW w:w="523" w:type="pct"/>
            <w:tcBorders>
              <w:top w:val="nil"/>
              <w:left w:val="nil"/>
              <w:bottom w:val="single" w:sz="4" w:space="0" w:color="auto"/>
              <w:right w:val="nil"/>
            </w:tcBorders>
            <w:hideMark/>
          </w:tcPr>
          <w:p w14:paraId="4D8077B6" w14:textId="77777777" w:rsidR="00CC7147" w:rsidRPr="002B0D0B" w:rsidRDefault="00CC7147" w:rsidP="002B0D0B">
            <w:pPr>
              <w:pStyle w:val="Table"/>
              <w:rPr>
                <w:noProof/>
                <w:color w:val="000000" w:themeColor="text1"/>
                <w:szCs w:val="22"/>
              </w:rPr>
            </w:pPr>
            <w:r w:rsidRPr="002B0D0B">
              <w:rPr>
                <w:noProof/>
                <w:color w:val="000000" w:themeColor="text1"/>
                <w:szCs w:val="22"/>
              </w:rPr>
              <w:t>0.01</w:t>
            </w:r>
          </w:p>
        </w:tc>
        <w:tc>
          <w:tcPr>
            <w:tcW w:w="523" w:type="pct"/>
            <w:gridSpan w:val="3"/>
            <w:tcBorders>
              <w:top w:val="nil"/>
              <w:left w:val="nil"/>
              <w:bottom w:val="single" w:sz="4" w:space="0" w:color="auto"/>
              <w:right w:val="nil"/>
            </w:tcBorders>
            <w:hideMark/>
          </w:tcPr>
          <w:p w14:paraId="547D5449" w14:textId="77777777" w:rsidR="00CC7147" w:rsidRPr="002B0D0B" w:rsidRDefault="00CC7147" w:rsidP="002B0D0B">
            <w:pPr>
              <w:pStyle w:val="Table"/>
              <w:rPr>
                <w:noProof/>
                <w:color w:val="000000" w:themeColor="text1"/>
                <w:szCs w:val="22"/>
              </w:rPr>
            </w:pPr>
            <w:r w:rsidRPr="002B0D0B">
              <w:rPr>
                <w:noProof/>
                <w:color w:val="000000" w:themeColor="text1"/>
                <w:szCs w:val="22"/>
              </w:rPr>
              <w:t>0.4</w:t>
            </w:r>
          </w:p>
        </w:tc>
        <w:tc>
          <w:tcPr>
            <w:tcW w:w="525" w:type="pct"/>
            <w:gridSpan w:val="4"/>
            <w:tcBorders>
              <w:top w:val="nil"/>
              <w:left w:val="nil"/>
              <w:bottom w:val="single" w:sz="4" w:space="0" w:color="auto"/>
              <w:right w:val="nil"/>
            </w:tcBorders>
            <w:hideMark/>
          </w:tcPr>
          <w:p w14:paraId="6717662F" w14:textId="7EEA6C7B" w:rsidR="00CC7147" w:rsidRPr="002B0D0B" w:rsidRDefault="00CC7147" w:rsidP="002B0D0B">
            <w:pPr>
              <w:pStyle w:val="Table"/>
              <w:rPr>
                <w:noProof/>
                <w:color w:val="000000" w:themeColor="text1"/>
                <w:szCs w:val="22"/>
              </w:rPr>
            </w:pPr>
            <w:r w:rsidRPr="002B0D0B">
              <w:rPr>
                <w:noProof/>
                <w:color w:val="000000" w:themeColor="text1"/>
                <w:szCs w:val="22"/>
              </w:rPr>
              <w:t>1</w:t>
            </w:r>
            <w:r w:rsidR="00067025" w:rsidRPr="002B0D0B">
              <w:rPr>
                <w:noProof/>
                <w:color w:val="000000" w:themeColor="text1"/>
                <w:szCs w:val="22"/>
              </w:rPr>
              <w:t xml:space="preserve"> × </w:t>
            </w:r>
            <w:r w:rsidRPr="002B0D0B">
              <w:rPr>
                <w:noProof/>
                <w:color w:val="000000" w:themeColor="text1"/>
                <w:szCs w:val="22"/>
              </w:rPr>
              <w:t>10</w:t>
            </w:r>
            <w:r w:rsidRPr="002B0D0B">
              <w:rPr>
                <w:noProof/>
                <w:color w:val="000000" w:themeColor="text1"/>
                <w:szCs w:val="22"/>
                <w:vertAlign w:val="superscript"/>
              </w:rPr>
              <w:t>–4</w:t>
            </w:r>
          </w:p>
        </w:tc>
        <w:tc>
          <w:tcPr>
            <w:tcW w:w="1240" w:type="pct"/>
            <w:gridSpan w:val="3"/>
            <w:tcBorders>
              <w:top w:val="nil"/>
              <w:left w:val="nil"/>
              <w:bottom w:val="single" w:sz="4" w:space="0" w:color="auto"/>
              <w:right w:val="nil"/>
            </w:tcBorders>
            <w:hideMark/>
          </w:tcPr>
          <w:p w14:paraId="07B807F9" w14:textId="0250977C" w:rsidR="00CC7147" w:rsidRPr="002B0D0B" w:rsidRDefault="00CC7147" w:rsidP="002B0D0B">
            <w:pPr>
              <w:pStyle w:val="Table"/>
              <w:rPr>
                <w:noProof/>
                <w:color w:val="000000" w:themeColor="text1"/>
                <w:szCs w:val="22"/>
              </w:rPr>
            </w:pPr>
            <w:r w:rsidRPr="002B0D0B">
              <w:rPr>
                <w:noProof/>
                <w:color w:val="000000" w:themeColor="text1"/>
                <w:szCs w:val="22"/>
              </w:rPr>
              <w:t>5</w:t>
            </w:r>
            <w:r w:rsidR="00067025" w:rsidRPr="002B0D0B">
              <w:rPr>
                <w:noProof/>
                <w:color w:val="000000" w:themeColor="text1"/>
                <w:szCs w:val="22"/>
              </w:rPr>
              <w:t xml:space="preserve"> × </w:t>
            </w:r>
            <w:r w:rsidRPr="002B0D0B">
              <w:rPr>
                <w:noProof/>
                <w:color w:val="000000" w:themeColor="text1"/>
                <w:szCs w:val="22"/>
              </w:rPr>
              <w:t>10</w:t>
            </w:r>
            <w:r w:rsidRPr="002B0D0B">
              <w:rPr>
                <w:noProof/>
                <w:color w:val="000000" w:themeColor="text1"/>
                <w:szCs w:val="22"/>
                <w:vertAlign w:val="superscript"/>
              </w:rPr>
              <w:t>–6</w:t>
            </w:r>
          </w:p>
        </w:tc>
      </w:tr>
      <w:tr w:rsidR="00CC7147" w:rsidRPr="002B0D0B" w14:paraId="155CE709" w14:textId="77777777" w:rsidTr="009A15D5">
        <w:trPr>
          <w:gridAfter w:val="1"/>
          <w:wAfter w:w="69" w:type="pct"/>
          <w:trHeight w:val="340"/>
        </w:trPr>
        <w:tc>
          <w:tcPr>
            <w:tcW w:w="2120" w:type="pct"/>
            <w:gridSpan w:val="5"/>
            <w:tcBorders>
              <w:top w:val="single" w:sz="4" w:space="0" w:color="auto"/>
              <w:left w:val="nil"/>
              <w:bottom w:val="nil"/>
              <w:right w:val="nil"/>
            </w:tcBorders>
          </w:tcPr>
          <w:p w14:paraId="0D7943E1" w14:textId="77777777" w:rsidR="00CC7147" w:rsidRPr="002B0D0B" w:rsidRDefault="00CC7147" w:rsidP="002B0D0B">
            <w:pPr>
              <w:pStyle w:val="Table"/>
              <w:rPr>
                <w:noProof/>
                <w:color w:val="000000" w:themeColor="text1"/>
                <w:szCs w:val="22"/>
              </w:rPr>
            </w:pPr>
          </w:p>
        </w:tc>
        <w:tc>
          <w:tcPr>
            <w:tcW w:w="616" w:type="pct"/>
            <w:gridSpan w:val="2"/>
            <w:tcBorders>
              <w:top w:val="single" w:sz="4" w:space="0" w:color="auto"/>
              <w:left w:val="nil"/>
              <w:bottom w:val="nil"/>
              <w:right w:val="nil"/>
            </w:tcBorders>
          </w:tcPr>
          <w:p w14:paraId="002DD327" w14:textId="77777777" w:rsidR="00CC7147" w:rsidRPr="002B0D0B" w:rsidRDefault="00CC7147" w:rsidP="002B0D0B">
            <w:pPr>
              <w:pStyle w:val="Table"/>
              <w:rPr>
                <w:noProof/>
                <w:color w:val="000000" w:themeColor="text1"/>
                <w:szCs w:val="22"/>
              </w:rPr>
            </w:pPr>
          </w:p>
        </w:tc>
        <w:tc>
          <w:tcPr>
            <w:tcW w:w="536" w:type="pct"/>
            <w:gridSpan w:val="4"/>
            <w:tcBorders>
              <w:top w:val="single" w:sz="4" w:space="0" w:color="auto"/>
              <w:left w:val="nil"/>
              <w:bottom w:val="nil"/>
              <w:right w:val="nil"/>
            </w:tcBorders>
          </w:tcPr>
          <w:p w14:paraId="790A2C6C" w14:textId="77777777" w:rsidR="00CC7147" w:rsidRPr="002B0D0B" w:rsidRDefault="00CC7147" w:rsidP="002B0D0B">
            <w:pPr>
              <w:pStyle w:val="Table"/>
              <w:rPr>
                <w:noProof/>
                <w:color w:val="000000" w:themeColor="text1"/>
                <w:szCs w:val="22"/>
              </w:rPr>
            </w:pPr>
          </w:p>
        </w:tc>
        <w:tc>
          <w:tcPr>
            <w:tcW w:w="418" w:type="pct"/>
            <w:gridSpan w:val="2"/>
            <w:tcBorders>
              <w:top w:val="single" w:sz="4" w:space="0" w:color="auto"/>
              <w:left w:val="nil"/>
              <w:bottom w:val="nil"/>
              <w:right w:val="nil"/>
            </w:tcBorders>
          </w:tcPr>
          <w:p w14:paraId="1657205A" w14:textId="77777777" w:rsidR="00CC7147" w:rsidRPr="002B0D0B" w:rsidRDefault="00CC7147" w:rsidP="002B0D0B">
            <w:pPr>
              <w:pStyle w:val="Table"/>
              <w:rPr>
                <w:noProof/>
                <w:color w:val="000000" w:themeColor="text1"/>
                <w:szCs w:val="22"/>
              </w:rPr>
            </w:pPr>
          </w:p>
        </w:tc>
        <w:tc>
          <w:tcPr>
            <w:tcW w:w="1240" w:type="pct"/>
            <w:gridSpan w:val="3"/>
            <w:tcBorders>
              <w:top w:val="single" w:sz="4" w:space="0" w:color="auto"/>
              <w:left w:val="nil"/>
              <w:bottom w:val="nil"/>
              <w:right w:val="nil"/>
            </w:tcBorders>
          </w:tcPr>
          <w:p w14:paraId="2780DAF6" w14:textId="77777777" w:rsidR="00CC7147" w:rsidRPr="002B0D0B" w:rsidRDefault="00CC7147" w:rsidP="002B0D0B">
            <w:pPr>
              <w:pStyle w:val="Table"/>
              <w:rPr>
                <w:noProof/>
                <w:color w:val="000000" w:themeColor="text1"/>
                <w:szCs w:val="22"/>
              </w:rPr>
            </w:pPr>
          </w:p>
        </w:tc>
      </w:tr>
      <w:tr w:rsidR="00CC7147" w:rsidRPr="002B0D0B" w14:paraId="32901A05" w14:textId="77777777" w:rsidTr="009A15D5">
        <w:trPr>
          <w:gridAfter w:val="1"/>
          <w:wAfter w:w="69" w:type="pct"/>
          <w:trHeight w:val="340"/>
        </w:trPr>
        <w:tc>
          <w:tcPr>
            <w:tcW w:w="2120" w:type="pct"/>
            <w:gridSpan w:val="5"/>
            <w:tcBorders>
              <w:top w:val="nil"/>
              <w:left w:val="nil"/>
              <w:bottom w:val="single" w:sz="4" w:space="0" w:color="auto"/>
              <w:right w:val="nil"/>
            </w:tcBorders>
            <w:hideMark/>
          </w:tcPr>
          <w:p w14:paraId="28180BAE" w14:textId="12742E6E" w:rsidR="00CC7147" w:rsidRPr="002B0D0B" w:rsidRDefault="00CC7147" w:rsidP="002B0D0B">
            <w:pPr>
              <w:pStyle w:val="Table"/>
              <w:rPr>
                <w:noProof/>
                <w:color w:val="000000" w:themeColor="text1"/>
                <w:szCs w:val="22"/>
              </w:rPr>
            </w:pPr>
            <w:r w:rsidRPr="002B0D0B">
              <w:rPr>
                <w:noProof/>
                <w:color w:val="000000" w:themeColor="text1"/>
                <w:szCs w:val="22"/>
              </w:rPr>
              <w:t>Ingested material</w:t>
            </w:r>
            <w:r w:rsidR="003A4843" w:rsidRPr="002B0D0B">
              <w:rPr>
                <w:noProof/>
                <w:color w:val="000000" w:themeColor="text1"/>
                <w:szCs w:val="22"/>
                <w:vertAlign w:val="superscript"/>
              </w:rPr>
              <w:t>**</w:t>
            </w:r>
          </w:p>
        </w:tc>
        <w:tc>
          <w:tcPr>
            <w:tcW w:w="681" w:type="pct"/>
            <w:gridSpan w:val="3"/>
            <w:tcBorders>
              <w:top w:val="nil"/>
              <w:left w:val="nil"/>
              <w:bottom w:val="single" w:sz="4" w:space="0" w:color="auto"/>
              <w:right w:val="nil"/>
            </w:tcBorders>
          </w:tcPr>
          <w:p w14:paraId="3D84C9A9" w14:textId="77777777" w:rsidR="00CC7147" w:rsidRPr="002B0D0B" w:rsidRDefault="00CC7147" w:rsidP="002B0D0B">
            <w:pPr>
              <w:pStyle w:val="Table"/>
              <w:rPr>
                <w:noProof/>
                <w:color w:val="000000" w:themeColor="text1"/>
                <w:szCs w:val="22"/>
              </w:rPr>
            </w:pPr>
          </w:p>
        </w:tc>
        <w:tc>
          <w:tcPr>
            <w:tcW w:w="503" w:type="pct"/>
            <w:gridSpan w:val="4"/>
            <w:tcBorders>
              <w:top w:val="nil"/>
              <w:left w:val="nil"/>
              <w:bottom w:val="single" w:sz="4" w:space="0" w:color="auto"/>
              <w:right w:val="nil"/>
            </w:tcBorders>
          </w:tcPr>
          <w:p w14:paraId="2A391BC2" w14:textId="77777777" w:rsidR="00CC7147" w:rsidRPr="002B0D0B" w:rsidRDefault="00CC7147" w:rsidP="002B0D0B">
            <w:pPr>
              <w:pStyle w:val="Table"/>
              <w:rPr>
                <w:noProof/>
                <w:color w:val="000000" w:themeColor="text1"/>
                <w:szCs w:val="22"/>
              </w:rPr>
            </w:pPr>
          </w:p>
        </w:tc>
        <w:tc>
          <w:tcPr>
            <w:tcW w:w="386" w:type="pct"/>
            <w:tcBorders>
              <w:top w:val="nil"/>
              <w:left w:val="nil"/>
              <w:bottom w:val="single" w:sz="4" w:space="0" w:color="auto"/>
              <w:right w:val="nil"/>
            </w:tcBorders>
          </w:tcPr>
          <w:p w14:paraId="6BEAA044" w14:textId="77777777" w:rsidR="00CC7147" w:rsidRPr="002B0D0B" w:rsidRDefault="00CC7147" w:rsidP="002B0D0B">
            <w:pPr>
              <w:pStyle w:val="Table"/>
              <w:rPr>
                <w:noProof/>
                <w:color w:val="000000" w:themeColor="text1"/>
                <w:szCs w:val="22"/>
              </w:rPr>
            </w:pPr>
          </w:p>
        </w:tc>
        <w:tc>
          <w:tcPr>
            <w:tcW w:w="1240" w:type="pct"/>
            <w:gridSpan w:val="3"/>
            <w:tcBorders>
              <w:top w:val="nil"/>
              <w:left w:val="nil"/>
              <w:bottom w:val="single" w:sz="4" w:space="0" w:color="auto"/>
              <w:right w:val="nil"/>
            </w:tcBorders>
          </w:tcPr>
          <w:p w14:paraId="231332C9" w14:textId="77777777" w:rsidR="00CC7147" w:rsidRPr="002B0D0B" w:rsidRDefault="00CC7147" w:rsidP="002B0D0B">
            <w:pPr>
              <w:pStyle w:val="Table"/>
              <w:rPr>
                <w:noProof/>
                <w:color w:val="000000" w:themeColor="text1"/>
                <w:szCs w:val="22"/>
              </w:rPr>
            </w:pPr>
          </w:p>
        </w:tc>
      </w:tr>
      <w:tr w:rsidR="009A15D5" w:rsidRPr="002B0D0B" w14:paraId="7460D1F8" w14:textId="77777777" w:rsidTr="009A15D5">
        <w:tblPrEx>
          <w:jc w:val="center"/>
          <w:tblBorders>
            <w:insideH w:val="single" w:sz="4" w:space="0" w:color="auto"/>
          </w:tblBorders>
          <w:tblLook w:val="0000" w:firstRow="0" w:lastRow="0" w:firstColumn="0" w:lastColumn="0" w:noHBand="0" w:noVBand="0"/>
        </w:tblPrEx>
        <w:trPr>
          <w:gridBefore w:val="1"/>
          <w:gridAfter w:val="1"/>
          <w:wBefore w:w="13" w:type="pct"/>
          <w:wAfter w:w="69" w:type="pct"/>
          <w:trHeight w:val="340"/>
          <w:jc w:val="center"/>
        </w:trPr>
        <w:tc>
          <w:tcPr>
            <w:tcW w:w="1204" w:type="pct"/>
            <w:gridSpan w:val="2"/>
            <w:vMerge w:val="restart"/>
            <w:tcBorders>
              <w:top w:val="nil"/>
            </w:tcBorders>
            <w:vAlign w:val="center"/>
          </w:tcPr>
          <w:p w14:paraId="5D42F2DA" w14:textId="77777777" w:rsidR="009A15D5" w:rsidRPr="002B0D0B" w:rsidRDefault="009A15D5" w:rsidP="009A15D5">
            <w:pPr>
              <w:pStyle w:val="Table"/>
              <w:rPr>
                <w:noProof/>
                <w:szCs w:val="22"/>
              </w:rPr>
            </w:pPr>
            <w:r w:rsidRPr="002B0D0B">
              <w:rPr>
                <w:noProof/>
                <w:szCs w:val="22"/>
              </w:rPr>
              <w:t>Assigned forms</w:t>
            </w:r>
          </w:p>
        </w:tc>
        <w:tc>
          <w:tcPr>
            <w:tcW w:w="3714" w:type="pct"/>
            <w:gridSpan w:val="13"/>
            <w:tcBorders>
              <w:top w:val="nil"/>
              <w:bottom w:val="single" w:sz="4" w:space="0" w:color="auto"/>
            </w:tcBorders>
            <w:vAlign w:val="center"/>
          </w:tcPr>
          <w:p w14:paraId="6C6B8882" w14:textId="1C18F9E9" w:rsidR="009A15D5" w:rsidRPr="002B0D0B" w:rsidRDefault="009A15D5" w:rsidP="009A15D5">
            <w:pPr>
              <w:pStyle w:val="Table"/>
              <w:jc w:val="center"/>
              <w:rPr>
                <w:noProof/>
                <w:szCs w:val="22"/>
              </w:rPr>
            </w:pPr>
            <w:r w:rsidRPr="002B0D0B">
              <w:rPr>
                <w:noProof/>
                <w:szCs w:val="22"/>
              </w:rPr>
              <w:t xml:space="preserve">Age-dependent absorption from the alimentary tract, </w:t>
            </w:r>
            <w:r w:rsidRPr="002B0D0B">
              <w:rPr>
                <w:i/>
                <w:noProof/>
                <w:szCs w:val="22"/>
              </w:rPr>
              <w:t>f</w:t>
            </w:r>
            <w:r w:rsidRPr="002B0D0B">
              <w:rPr>
                <w:noProof/>
                <w:szCs w:val="22"/>
                <w:vertAlign w:val="subscript"/>
              </w:rPr>
              <w:t>A</w:t>
            </w:r>
          </w:p>
        </w:tc>
      </w:tr>
      <w:tr w:rsidR="009A15D5" w:rsidRPr="002B0D0B" w14:paraId="28EE56C1" w14:textId="77777777" w:rsidTr="009A15D5">
        <w:tblPrEx>
          <w:jc w:val="center"/>
          <w:tblBorders>
            <w:insideH w:val="single" w:sz="4" w:space="0" w:color="auto"/>
          </w:tblBorders>
          <w:tblLook w:val="0000" w:firstRow="0" w:lastRow="0" w:firstColumn="0" w:lastColumn="0" w:noHBand="0" w:noVBand="0"/>
        </w:tblPrEx>
        <w:trPr>
          <w:gridBefore w:val="1"/>
          <w:gridAfter w:val="1"/>
          <w:wBefore w:w="13" w:type="pct"/>
          <w:wAfter w:w="69" w:type="pct"/>
          <w:trHeight w:val="340"/>
          <w:jc w:val="center"/>
        </w:trPr>
        <w:tc>
          <w:tcPr>
            <w:tcW w:w="1204" w:type="pct"/>
            <w:gridSpan w:val="2"/>
            <w:vMerge/>
            <w:tcBorders>
              <w:bottom w:val="single" w:sz="4" w:space="0" w:color="auto"/>
            </w:tcBorders>
          </w:tcPr>
          <w:p w14:paraId="416402EA" w14:textId="77777777" w:rsidR="009A15D5" w:rsidRPr="002B0D0B" w:rsidRDefault="009A15D5" w:rsidP="00E81109">
            <w:pPr>
              <w:pStyle w:val="Table"/>
              <w:rPr>
                <w:noProof/>
                <w:szCs w:val="22"/>
              </w:rPr>
            </w:pPr>
          </w:p>
        </w:tc>
        <w:tc>
          <w:tcPr>
            <w:tcW w:w="713" w:type="pct"/>
            <w:tcBorders>
              <w:top w:val="single" w:sz="4" w:space="0" w:color="auto"/>
              <w:bottom w:val="single" w:sz="4" w:space="0" w:color="auto"/>
            </w:tcBorders>
            <w:vAlign w:val="center"/>
          </w:tcPr>
          <w:p w14:paraId="34D0B389" w14:textId="7B732227" w:rsidR="009A15D5" w:rsidRPr="002B0D0B" w:rsidRDefault="009A15D5" w:rsidP="009A15D5">
            <w:pPr>
              <w:pStyle w:val="Table"/>
              <w:rPr>
                <w:noProof/>
                <w:szCs w:val="22"/>
              </w:rPr>
            </w:pPr>
            <w:r w:rsidRPr="002B0D0B">
              <w:rPr>
                <w:noProof/>
                <w:szCs w:val="22"/>
              </w:rPr>
              <w:t>3 mo</w:t>
            </w:r>
          </w:p>
        </w:tc>
        <w:tc>
          <w:tcPr>
            <w:tcW w:w="714" w:type="pct"/>
            <w:gridSpan w:val="2"/>
            <w:tcBorders>
              <w:top w:val="single" w:sz="4" w:space="0" w:color="auto"/>
              <w:bottom w:val="single" w:sz="4" w:space="0" w:color="auto"/>
            </w:tcBorders>
            <w:vAlign w:val="center"/>
          </w:tcPr>
          <w:p w14:paraId="45845128" w14:textId="1F83A5AD" w:rsidR="009A15D5" w:rsidRPr="002B0D0B" w:rsidRDefault="009A15D5" w:rsidP="009A15D5">
            <w:pPr>
              <w:pStyle w:val="Table"/>
              <w:rPr>
                <w:noProof/>
                <w:szCs w:val="22"/>
              </w:rPr>
            </w:pPr>
            <w:r w:rsidRPr="002B0D0B">
              <w:rPr>
                <w:noProof/>
                <w:szCs w:val="22"/>
              </w:rPr>
              <w:t>1 y</w:t>
            </w:r>
          </w:p>
        </w:tc>
        <w:tc>
          <w:tcPr>
            <w:tcW w:w="555" w:type="pct"/>
            <w:gridSpan w:val="4"/>
            <w:tcBorders>
              <w:top w:val="single" w:sz="4" w:space="0" w:color="auto"/>
              <w:bottom w:val="single" w:sz="4" w:space="0" w:color="auto"/>
            </w:tcBorders>
            <w:vAlign w:val="center"/>
          </w:tcPr>
          <w:p w14:paraId="002A42D4" w14:textId="0644D397" w:rsidR="009A15D5" w:rsidRPr="002B0D0B" w:rsidRDefault="009A15D5" w:rsidP="009A15D5">
            <w:pPr>
              <w:pStyle w:val="Table"/>
              <w:rPr>
                <w:noProof/>
                <w:szCs w:val="22"/>
              </w:rPr>
            </w:pPr>
            <w:r w:rsidRPr="002B0D0B">
              <w:rPr>
                <w:noProof/>
                <w:szCs w:val="22"/>
              </w:rPr>
              <w:t>5 y</w:t>
            </w:r>
          </w:p>
        </w:tc>
        <w:tc>
          <w:tcPr>
            <w:tcW w:w="712" w:type="pct"/>
            <w:gridSpan w:val="4"/>
            <w:tcBorders>
              <w:top w:val="single" w:sz="4" w:space="0" w:color="auto"/>
              <w:bottom w:val="single" w:sz="4" w:space="0" w:color="auto"/>
            </w:tcBorders>
            <w:vAlign w:val="center"/>
          </w:tcPr>
          <w:p w14:paraId="70526394" w14:textId="06958288" w:rsidR="009A15D5" w:rsidRPr="002B0D0B" w:rsidRDefault="009A15D5" w:rsidP="009A15D5">
            <w:pPr>
              <w:pStyle w:val="Table"/>
              <w:rPr>
                <w:noProof/>
                <w:szCs w:val="22"/>
              </w:rPr>
            </w:pPr>
            <w:r w:rsidRPr="002B0D0B">
              <w:rPr>
                <w:noProof/>
                <w:szCs w:val="22"/>
              </w:rPr>
              <w:t>10 y</w:t>
            </w:r>
          </w:p>
        </w:tc>
        <w:tc>
          <w:tcPr>
            <w:tcW w:w="541" w:type="pct"/>
            <w:tcBorders>
              <w:top w:val="single" w:sz="4" w:space="0" w:color="auto"/>
              <w:bottom w:val="single" w:sz="4" w:space="0" w:color="auto"/>
            </w:tcBorders>
            <w:vAlign w:val="center"/>
          </w:tcPr>
          <w:p w14:paraId="23C3172F" w14:textId="0DBC9A13" w:rsidR="009A15D5" w:rsidRPr="002B0D0B" w:rsidRDefault="009A15D5" w:rsidP="009A15D5">
            <w:pPr>
              <w:pStyle w:val="Table"/>
              <w:rPr>
                <w:noProof/>
                <w:szCs w:val="22"/>
              </w:rPr>
            </w:pPr>
            <w:r w:rsidRPr="002B0D0B">
              <w:rPr>
                <w:noProof/>
                <w:szCs w:val="22"/>
              </w:rPr>
              <w:t>15 y</w:t>
            </w:r>
          </w:p>
        </w:tc>
        <w:tc>
          <w:tcPr>
            <w:tcW w:w="479" w:type="pct"/>
            <w:tcBorders>
              <w:top w:val="single" w:sz="4" w:space="0" w:color="auto"/>
              <w:bottom w:val="single" w:sz="4" w:space="0" w:color="auto"/>
            </w:tcBorders>
            <w:vAlign w:val="center"/>
          </w:tcPr>
          <w:p w14:paraId="0E5D3607" w14:textId="77777777" w:rsidR="009A15D5" w:rsidRPr="002B0D0B" w:rsidRDefault="009A15D5" w:rsidP="009A15D5">
            <w:pPr>
              <w:pStyle w:val="Table"/>
              <w:rPr>
                <w:noProof/>
                <w:szCs w:val="22"/>
              </w:rPr>
            </w:pPr>
            <w:r w:rsidRPr="002B0D0B">
              <w:rPr>
                <w:noProof/>
                <w:szCs w:val="22"/>
              </w:rPr>
              <w:t>adult</w:t>
            </w:r>
          </w:p>
        </w:tc>
      </w:tr>
      <w:tr w:rsidR="004C790F" w:rsidRPr="00972C81" w14:paraId="5AD20B2E" w14:textId="77777777" w:rsidTr="009A15D5">
        <w:tblPrEx>
          <w:jc w:val="center"/>
          <w:tblBorders>
            <w:insideH w:val="single" w:sz="4" w:space="0" w:color="auto"/>
          </w:tblBorders>
          <w:tblLook w:val="0000" w:firstRow="0" w:lastRow="0" w:firstColumn="0" w:lastColumn="0" w:noHBand="0" w:noVBand="0"/>
        </w:tblPrEx>
        <w:trPr>
          <w:gridBefore w:val="1"/>
          <w:wBefore w:w="13" w:type="pct"/>
          <w:trHeight w:val="340"/>
          <w:jc w:val="center"/>
        </w:trPr>
        <w:tc>
          <w:tcPr>
            <w:tcW w:w="1204" w:type="pct"/>
            <w:gridSpan w:val="2"/>
            <w:tcBorders>
              <w:top w:val="nil"/>
              <w:bottom w:val="single" w:sz="4" w:space="0" w:color="auto"/>
            </w:tcBorders>
            <w:vAlign w:val="center"/>
          </w:tcPr>
          <w:p w14:paraId="5A82E408" w14:textId="77777777" w:rsidR="004C790F" w:rsidRPr="002B0D0B" w:rsidRDefault="004C790F" w:rsidP="009A15D5">
            <w:pPr>
              <w:pStyle w:val="Table"/>
              <w:rPr>
                <w:noProof/>
                <w:szCs w:val="22"/>
              </w:rPr>
            </w:pPr>
            <w:r w:rsidRPr="002B0D0B">
              <w:rPr>
                <w:noProof/>
                <w:szCs w:val="22"/>
              </w:rPr>
              <w:t>All forms</w:t>
            </w:r>
          </w:p>
        </w:tc>
        <w:tc>
          <w:tcPr>
            <w:tcW w:w="713" w:type="pct"/>
            <w:tcBorders>
              <w:top w:val="nil"/>
              <w:bottom w:val="single" w:sz="4" w:space="0" w:color="auto"/>
            </w:tcBorders>
            <w:vAlign w:val="center"/>
          </w:tcPr>
          <w:p w14:paraId="6A72F067" w14:textId="0E25DC86" w:rsidR="004C790F" w:rsidRPr="002B0D0B" w:rsidRDefault="004C790F" w:rsidP="009A15D5">
            <w:pPr>
              <w:pStyle w:val="Table"/>
              <w:rPr>
                <w:noProof/>
                <w:szCs w:val="22"/>
              </w:rPr>
            </w:pPr>
            <w:r w:rsidRPr="002B0D0B">
              <w:rPr>
                <w:noProof/>
                <w:szCs w:val="22"/>
              </w:rPr>
              <w:t>5</w:t>
            </w:r>
            <w:r w:rsidR="00067025" w:rsidRPr="002B0D0B">
              <w:rPr>
                <w:noProof/>
                <w:szCs w:val="22"/>
              </w:rPr>
              <w:t xml:space="preserve"> × </w:t>
            </w:r>
            <w:r w:rsidRPr="002B0D0B">
              <w:rPr>
                <w:noProof/>
                <w:szCs w:val="22"/>
              </w:rPr>
              <w:t>10</w:t>
            </w:r>
            <w:r w:rsidRPr="002B0D0B">
              <w:rPr>
                <w:noProof/>
                <w:szCs w:val="22"/>
                <w:vertAlign w:val="superscript"/>
              </w:rPr>
              <w:t>-3</w:t>
            </w:r>
          </w:p>
        </w:tc>
        <w:tc>
          <w:tcPr>
            <w:tcW w:w="714" w:type="pct"/>
            <w:gridSpan w:val="2"/>
            <w:tcBorders>
              <w:top w:val="nil"/>
              <w:bottom w:val="single" w:sz="4" w:space="0" w:color="auto"/>
            </w:tcBorders>
            <w:vAlign w:val="center"/>
          </w:tcPr>
          <w:p w14:paraId="567D9607" w14:textId="5D89BABF" w:rsidR="004C790F" w:rsidRPr="002B0D0B" w:rsidRDefault="004C790F" w:rsidP="009A15D5">
            <w:pPr>
              <w:pStyle w:val="Table"/>
              <w:rPr>
                <w:noProof/>
                <w:szCs w:val="22"/>
              </w:rPr>
            </w:pPr>
            <w:r w:rsidRPr="002B0D0B">
              <w:rPr>
                <w:noProof/>
                <w:szCs w:val="22"/>
              </w:rPr>
              <w:t>5</w:t>
            </w:r>
            <w:r w:rsidR="00067025" w:rsidRPr="002B0D0B">
              <w:rPr>
                <w:noProof/>
                <w:szCs w:val="22"/>
              </w:rPr>
              <w:t xml:space="preserve"> × </w:t>
            </w:r>
            <w:r w:rsidRPr="002B0D0B">
              <w:rPr>
                <w:noProof/>
                <w:szCs w:val="22"/>
              </w:rPr>
              <w:t>10</w:t>
            </w:r>
            <w:r w:rsidRPr="002B0D0B">
              <w:rPr>
                <w:noProof/>
                <w:szCs w:val="22"/>
                <w:vertAlign w:val="superscript"/>
              </w:rPr>
              <w:t>-4</w:t>
            </w:r>
          </w:p>
        </w:tc>
        <w:tc>
          <w:tcPr>
            <w:tcW w:w="555" w:type="pct"/>
            <w:gridSpan w:val="4"/>
            <w:tcBorders>
              <w:top w:val="nil"/>
              <w:bottom w:val="single" w:sz="4" w:space="0" w:color="auto"/>
            </w:tcBorders>
            <w:vAlign w:val="center"/>
          </w:tcPr>
          <w:p w14:paraId="2AF178FD" w14:textId="07CE28D3" w:rsidR="004C790F" w:rsidRPr="002B0D0B" w:rsidRDefault="004C790F" w:rsidP="009A15D5">
            <w:pPr>
              <w:pStyle w:val="Table"/>
              <w:rPr>
                <w:noProof/>
                <w:szCs w:val="22"/>
              </w:rPr>
            </w:pPr>
            <w:r w:rsidRPr="002B0D0B">
              <w:rPr>
                <w:noProof/>
                <w:szCs w:val="22"/>
              </w:rPr>
              <w:t>5</w:t>
            </w:r>
            <w:r w:rsidR="00067025" w:rsidRPr="002B0D0B">
              <w:rPr>
                <w:noProof/>
                <w:szCs w:val="22"/>
              </w:rPr>
              <w:t xml:space="preserve"> × </w:t>
            </w:r>
            <w:r w:rsidRPr="002B0D0B">
              <w:rPr>
                <w:noProof/>
                <w:szCs w:val="22"/>
              </w:rPr>
              <w:t>10</w:t>
            </w:r>
            <w:r w:rsidRPr="002B0D0B">
              <w:rPr>
                <w:noProof/>
                <w:szCs w:val="22"/>
                <w:vertAlign w:val="superscript"/>
              </w:rPr>
              <w:t>-4</w:t>
            </w:r>
          </w:p>
        </w:tc>
        <w:tc>
          <w:tcPr>
            <w:tcW w:w="712" w:type="pct"/>
            <w:gridSpan w:val="4"/>
            <w:tcBorders>
              <w:top w:val="nil"/>
              <w:bottom w:val="single" w:sz="4" w:space="0" w:color="auto"/>
            </w:tcBorders>
            <w:vAlign w:val="center"/>
          </w:tcPr>
          <w:p w14:paraId="0CBB51B6" w14:textId="0B00EEA9" w:rsidR="004C790F" w:rsidRPr="002B0D0B" w:rsidRDefault="004C790F" w:rsidP="009A15D5">
            <w:pPr>
              <w:pStyle w:val="Table"/>
              <w:rPr>
                <w:noProof/>
                <w:szCs w:val="22"/>
              </w:rPr>
            </w:pPr>
            <w:r w:rsidRPr="002B0D0B">
              <w:rPr>
                <w:noProof/>
                <w:szCs w:val="22"/>
              </w:rPr>
              <w:t>5</w:t>
            </w:r>
            <w:r w:rsidR="00067025" w:rsidRPr="002B0D0B">
              <w:rPr>
                <w:noProof/>
                <w:szCs w:val="22"/>
              </w:rPr>
              <w:t xml:space="preserve"> × </w:t>
            </w:r>
            <w:r w:rsidRPr="002B0D0B">
              <w:rPr>
                <w:noProof/>
                <w:szCs w:val="22"/>
              </w:rPr>
              <w:t>10</w:t>
            </w:r>
            <w:r w:rsidRPr="002B0D0B">
              <w:rPr>
                <w:noProof/>
                <w:szCs w:val="22"/>
                <w:vertAlign w:val="superscript"/>
              </w:rPr>
              <w:t>-4</w:t>
            </w:r>
          </w:p>
        </w:tc>
        <w:tc>
          <w:tcPr>
            <w:tcW w:w="541" w:type="pct"/>
            <w:tcBorders>
              <w:top w:val="nil"/>
              <w:bottom w:val="single" w:sz="4" w:space="0" w:color="auto"/>
            </w:tcBorders>
            <w:vAlign w:val="center"/>
          </w:tcPr>
          <w:p w14:paraId="093A77C1" w14:textId="3DD0923A" w:rsidR="004C790F" w:rsidRPr="002B0D0B" w:rsidRDefault="004C790F" w:rsidP="009A15D5">
            <w:pPr>
              <w:pStyle w:val="Table"/>
              <w:rPr>
                <w:noProof/>
                <w:szCs w:val="22"/>
              </w:rPr>
            </w:pPr>
            <w:r w:rsidRPr="002B0D0B">
              <w:rPr>
                <w:noProof/>
                <w:szCs w:val="22"/>
              </w:rPr>
              <w:t>5</w:t>
            </w:r>
            <w:r w:rsidR="00067025" w:rsidRPr="002B0D0B">
              <w:rPr>
                <w:noProof/>
                <w:szCs w:val="22"/>
              </w:rPr>
              <w:t xml:space="preserve"> × </w:t>
            </w:r>
            <w:r w:rsidRPr="002B0D0B">
              <w:rPr>
                <w:noProof/>
                <w:szCs w:val="22"/>
              </w:rPr>
              <w:t>10</w:t>
            </w:r>
            <w:r w:rsidRPr="002B0D0B">
              <w:rPr>
                <w:noProof/>
                <w:szCs w:val="22"/>
                <w:vertAlign w:val="superscript"/>
              </w:rPr>
              <w:t>-4</w:t>
            </w:r>
          </w:p>
        </w:tc>
        <w:tc>
          <w:tcPr>
            <w:tcW w:w="548" w:type="pct"/>
            <w:gridSpan w:val="2"/>
            <w:tcBorders>
              <w:top w:val="nil"/>
              <w:bottom w:val="single" w:sz="4" w:space="0" w:color="auto"/>
            </w:tcBorders>
            <w:vAlign w:val="center"/>
          </w:tcPr>
          <w:p w14:paraId="2310E947" w14:textId="058683D4" w:rsidR="004C790F" w:rsidRPr="002B0D0B" w:rsidRDefault="004C790F" w:rsidP="009A15D5">
            <w:pPr>
              <w:pStyle w:val="Table"/>
              <w:rPr>
                <w:noProof/>
                <w:szCs w:val="22"/>
              </w:rPr>
            </w:pPr>
            <w:r w:rsidRPr="002B0D0B">
              <w:rPr>
                <w:noProof/>
                <w:szCs w:val="22"/>
              </w:rPr>
              <w:t>5</w:t>
            </w:r>
            <w:r w:rsidR="00067025" w:rsidRPr="002B0D0B">
              <w:rPr>
                <w:noProof/>
                <w:szCs w:val="22"/>
              </w:rPr>
              <w:t xml:space="preserve"> × </w:t>
            </w:r>
            <w:r w:rsidRPr="002B0D0B">
              <w:rPr>
                <w:noProof/>
                <w:szCs w:val="22"/>
              </w:rPr>
              <w:t>10</w:t>
            </w:r>
            <w:r w:rsidRPr="002B0D0B">
              <w:rPr>
                <w:noProof/>
                <w:szCs w:val="22"/>
                <w:vertAlign w:val="superscript"/>
              </w:rPr>
              <w:t>-4</w:t>
            </w:r>
          </w:p>
        </w:tc>
      </w:tr>
    </w:tbl>
    <w:p w14:paraId="4703BB01" w14:textId="147C1DCE" w:rsidR="00CC7147" w:rsidRPr="00C47F2F" w:rsidRDefault="003A4843" w:rsidP="00E81109">
      <w:pPr>
        <w:pStyle w:val="Note"/>
        <w:rPr>
          <w:noProof/>
          <w:sz w:val="20"/>
          <w:szCs w:val="20"/>
        </w:rPr>
      </w:pPr>
      <w:r w:rsidRPr="00C47F2F">
        <w:rPr>
          <w:noProof/>
          <w:sz w:val="20"/>
          <w:szCs w:val="20"/>
          <w:vertAlign w:val="superscript"/>
        </w:rPr>
        <w:t>*</w:t>
      </w:r>
      <w:r w:rsidR="00CC7147" w:rsidRPr="00C47F2F">
        <w:rPr>
          <w:noProof/>
          <w:sz w:val="20"/>
          <w:szCs w:val="20"/>
        </w:rPr>
        <w:t xml:space="preserve">It is assumed that for americium a bound fraction </w:t>
      </w:r>
      <w:r w:rsidR="00CC7147" w:rsidRPr="00C47F2F">
        <w:rPr>
          <w:i/>
          <w:noProof/>
          <w:sz w:val="20"/>
          <w:szCs w:val="20"/>
        </w:rPr>
        <w:t>f</w:t>
      </w:r>
      <w:r w:rsidR="00CC7147" w:rsidRPr="00C47F2F">
        <w:rPr>
          <w:noProof/>
          <w:sz w:val="20"/>
          <w:szCs w:val="20"/>
          <w:vertAlign w:val="subscript"/>
        </w:rPr>
        <w:t>b</w:t>
      </w:r>
      <w:r w:rsidR="00CC7147" w:rsidRPr="00C47F2F">
        <w:rPr>
          <w:noProof/>
          <w:sz w:val="20"/>
          <w:szCs w:val="20"/>
        </w:rPr>
        <w:t xml:space="preserve"> = 0.002 with </w:t>
      </w:r>
      <w:r w:rsidR="00CC7147" w:rsidRPr="00C47F2F">
        <w:rPr>
          <w:i/>
          <w:noProof/>
          <w:sz w:val="20"/>
          <w:szCs w:val="20"/>
        </w:rPr>
        <w:t>s</w:t>
      </w:r>
      <w:r w:rsidR="00CC7147" w:rsidRPr="00C47F2F">
        <w:rPr>
          <w:noProof/>
          <w:sz w:val="20"/>
          <w:szCs w:val="20"/>
          <w:vertAlign w:val="subscript"/>
        </w:rPr>
        <w:t>b</w:t>
      </w:r>
      <w:r w:rsidR="00CC7147" w:rsidRPr="00C47F2F">
        <w:rPr>
          <w:noProof/>
          <w:sz w:val="20"/>
          <w:szCs w:val="20"/>
        </w:rPr>
        <w:t xml:space="preserve"> = 0 d</w:t>
      </w:r>
      <w:r w:rsidR="00CC7147" w:rsidRPr="00C47F2F">
        <w:rPr>
          <w:noProof/>
          <w:sz w:val="20"/>
          <w:szCs w:val="20"/>
          <w:vertAlign w:val="superscript"/>
        </w:rPr>
        <w:t>–1</w:t>
      </w:r>
      <w:r w:rsidR="00CC7147" w:rsidRPr="00C47F2F">
        <w:rPr>
          <w:noProof/>
          <w:sz w:val="20"/>
          <w:szCs w:val="20"/>
        </w:rPr>
        <w:t xml:space="preserve"> is applied throughout the respiratory tract except in the ET</w:t>
      </w:r>
      <w:r w:rsidR="00CC7147" w:rsidRPr="00C47F2F">
        <w:rPr>
          <w:noProof/>
          <w:sz w:val="20"/>
          <w:szCs w:val="20"/>
          <w:vertAlign w:val="subscript"/>
        </w:rPr>
        <w:t>1</w:t>
      </w:r>
      <w:r w:rsidR="00CC7147" w:rsidRPr="00C47F2F">
        <w:rPr>
          <w:noProof/>
          <w:sz w:val="20"/>
          <w:szCs w:val="20"/>
        </w:rPr>
        <w:t xml:space="preserve"> region. The values of </w:t>
      </w:r>
      <w:r w:rsidR="00CC7147" w:rsidRPr="00C47F2F">
        <w:rPr>
          <w:i/>
          <w:noProof/>
          <w:sz w:val="20"/>
          <w:szCs w:val="20"/>
        </w:rPr>
        <w:t>s</w:t>
      </w:r>
      <w:r w:rsidR="00CC7147" w:rsidRPr="00C47F2F">
        <w:rPr>
          <w:noProof/>
          <w:sz w:val="20"/>
          <w:szCs w:val="20"/>
          <w:vertAlign w:val="subscript"/>
        </w:rPr>
        <w:t>r</w:t>
      </w:r>
      <w:r w:rsidR="00CC7147" w:rsidRPr="00C47F2F">
        <w:rPr>
          <w:noProof/>
          <w:sz w:val="20"/>
          <w:szCs w:val="20"/>
        </w:rPr>
        <w:t xml:space="preserve"> for Type F, M and S forms of americium (0.4 d</w:t>
      </w:r>
      <w:r w:rsidR="00CC7147" w:rsidRPr="00C47F2F">
        <w:rPr>
          <w:noProof/>
          <w:sz w:val="20"/>
          <w:szCs w:val="20"/>
          <w:vertAlign w:val="superscript"/>
        </w:rPr>
        <w:t>–1</w:t>
      </w:r>
      <w:r w:rsidR="00CC7147" w:rsidRPr="00C47F2F">
        <w:rPr>
          <w:noProof/>
          <w:sz w:val="20"/>
          <w:szCs w:val="20"/>
        </w:rPr>
        <w:t>) are element-specific.</w:t>
      </w:r>
    </w:p>
    <w:p w14:paraId="7529E04A" w14:textId="4B7DCFCA" w:rsidR="00CC7147" w:rsidRPr="00C47F2F" w:rsidRDefault="003A4843" w:rsidP="00E81109">
      <w:pPr>
        <w:pStyle w:val="Note"/>
        <w:rPr>
          <w:noProof/>
          <w:sz w:val="20"/>
          <w:szCs w:val="20"/>
        </w:rPr>
      </w:pPr>
      <w:r w:rsidRPr="00C47F2F">
        <w:rPr>
          <w:noProof/>
          <w:sz w:val="20"/>
          <w:szCs w:val="20"/>
          <w:vertAlign w:val="superscript"/>
        </w:rPr>
        <w:t>†</w:t>
      </w:r>
      <w:r w:rsidR="00CC7147" w:rsidRPr="00C47F2F">
        <w:rPr>
          <w:noProof/>
          <w:sz w:val="20"/>
          <w:szCs w:val="20"/>
        </w:rPr>
        <w:t xml:space="preserve">For inhaled material deposited in the respiratory tract and subsequently cleared by particle transport to the alimentary tract, the default </w:t>
      </w:r>
      <w:r w:rsidR="00CC7147" w:rsidRPr="00C47F2F">
        <w:rPr>
          <w:i/>
          <w:noProof/>
          <w:sz w:val="20"/>
          <w:szCs w:val="20"/>
        </w:rPr>
        <w:t>f</w:t>
      </w:r>
      <w:r w:rsidR="00CC7147" w:rsidRPr="00C47F2F">
        <w:rPr>
          <w:noProof/>
          <w:sz w:val="20"/>
          <w:szCs w:val="20"/>
          <w:vertAlign w:val="subscript"/>
        </w:rPr>
        <w:t>A</w:t>
      </w:r>
      <w:r w:rsidR="00CC7147" w:rsidRPr="00C47F2F">
        <w:rPr>
          <w:noProof/>
          <w:sz w:val="20"/>
          <w:szCs w:val="20"/>
        </w:rPr>
        <w:t xml:space="preserve"> values for inhaled materials are applied: </w:t>
      </w:r>
      <w:r w:rsidR="00CC7147" w:rsidRPr="00C47F2F">
        <w:rPr>
          <w:i/>
          <w:noProof/>
          <w:sz w:val="20"/>
          <w:szCs w:val="20"/>
        </w:rPr>
        <w:t>i.e.</w:t>
      </w:r>
      <w:r w:rsidR="00CC7147" w:rsidRPr="00C47F2F">
        <w:rPr>
          <w:noProof/>
          <w:sz w:val="20"/>
          <w:szCs w:val="20"/>
        </w:rPr>
        <w:t xml:space="preserve">, the product of </w:t>
      </w:r>
      <w:r w:rsidR="00CC7147" w:rsidRPr="00C47F2F">
        <w:rPr>
          <w:i/>
          <w:noProof/>
          <w:sz w:val="20"/>
          <w:szCs w:val="20"/>
        </w:rPr>
        <w:t>f</w:t>
      </w:r>
      <w:r w:rsidR="00CC7147" w:rsidRPr="00C47F2F">
        <w:rPr>
          <w:noProof/>
          <w:sz w:val="20"/>
          <w:szCs w:val="20"/>
          <w:vertAlign w:val="subscript"/>
        </w:rPr>
        <w:t>r</w:t>
      </w:r>
      <w:r w:rsidR="00CC7147" w:rsidRPr="00C47F2F">
        <w:rPr>
          <w:noProof/>
          <w:sz w:val="20"/>
          <w:szCs w:val="20"/>
        </w:rPr>
        <w:t xml:space="preserve"> for the absorption Type (or specific value where given) and the </w:t>
      </w:r>
      <w:r w:rsidR="00CC7147" w:rsidRPr="00C47F2F">
        <w:rPr>
          <w:i/>
          <w:noProof/>
          <w:sz w:val="20"/>
          <w:szCs w:val="20"/>
        </w:rPr>
        <w:t>f</w:t>
      </w:r>
      <w:r w:rsidR="00CC7147" w:rsidRPr="00C47F2F">
        <w:rPr>
          <w:noProof/>
          <w:sz w:val="20"/>
          <w:szCs w:val="20"/>
          <w:vertAlign w:val="subscript"/>
        </w:rPr>
        <w:t>A</w:t>
      </w:r>
      <w:r w:rsidR="00CC7147" w:rsidRPr="00C47F2F">
        <w:rPr>
          <w:noProof/>
          <w:sz w:val="20"/>
          <w:szCs w:val="20"/>
        </w:rPr>
        <w:t xml:space="preserve"> value for ingested soluble forms of americium </w:t>
      </w:r>
      <w:r w:rsidR="001632C2" w:rsidRPr="00C47F2F">
        <w:rPr>
          <w:noProof/>
          <w:sz w:val="20"/>
          <w:szCs w:val="20"/>
        </w:rPr>
        <w:t>applicable to the age-group of interest (</w:t>
      </w:r>
      <w:r w:rsidR="001632C2" w:rsidRPr="00C47F2F">
        <w:rPr>
          <w:i/>
          <w:iCs/>
          <w:noProof/>
          <w:sz w:val="20"/>
          <w:szCs w:val="20"/>
        </w:rPr>
        <w:t>e.g</w:t>
      </w:r>
      <w:r w:rsidR="001632C2" w:rsidRPr="00C47F2F">
        <w:rPr>
          <w:noProof/>
          <w:sz w:val="20"/>
          <w:szCs w:val="20"/>
        </w:rPr>
        <w:t xml:space="preserve">. </w:t>
      </w:r>
      <w:r w:rsidR="00CC7147" w:rsidRPr="00C47F2F">
        <w:rPr>
          <w:noProof/>
          <w:sz w:val="20"/>
          <w:szCs w:val="20"/>
        </w:rPr>
        <w:t>5</w:t>
      </w:r>
      <w:r w:rsidR="00067025" w:rsidRPr="00C47F2F">
        <w:rPr>
          <w:noProof/>
          <w:sz w:val="20"/>
          <w:szCs w:val="20"/>
        </w:rPr>
        <w:t xml:space="preserve"> × </w:t>
      </w:r>
      <w:r w:rsidR="00CC7147" w:rsidRPr="00C47F2F">
        <w:rPr>
          <w:noProof/>
          <w:sz w:val="20"/>
          <w:szCs w:val="20"/>
        </w:rPr>
        <w:t>10</w:t>
      </w:r>
      <w:r w:rsidR="00CC7147" w:rsidRPr="00C47F2F">
        <w:rPr>
          <w:noProof/>
          <w:sz w:val="20"/>
          <w:szCs w:val="20"/>
          <w:vertAlign w:val="superscript"/>
        </w:rPr>
        <w:t>–4</w:t>
      </w:r>
      <w:r w:rsidR="001632C2" w:rsidRPr="00C47F2F">
        <w:rPr>
          <w:noProof/>
          <w:sz w:val="20"/>
          <w:szCs w:val="20"/>
        </w:rPr>
        <w:t xml:space="preserve"> for adults</w:t>
      </w:r>
      <w:r w:rsidR="00CC7147" w:rsidRPr="00C47F2F">
        <w:rPr>
          <w:noProof/>
          <w:sz w:val="20"/>
          <w:szCs w:val="20"/>
        </w:rPr>
        <w:t>).</w:t>
      </w:r>
    </w:p>
    <w:p w14:paraId="628E694C" w14:textId="0A59A7B1" w:rsidR="00CC7147" w:rsidRPr="00C47F2F" w:rsidRDefault="003A4843" w:rsidP="00E81109">
      <w:pPr>
        <w:pStyle w:val="Note"/>
        <w:rPr>
          <w:noProof/>
          <w:sz w:val="20"/>
          <w:szCs w:val="20"/>
        </w:rPr>
      </w:pPr>
      <w:r w:rsidRPr="00C47F2F">
        <w:rPr>
          <w:noProof/>
          <w:sz w:val="20"/>
          <w:szCs w:val="20"/>
          <w:vertAlign w:val="superscript"/>
        </w:rPr>
        <w:t>‡</w:t>
      </w:r>
      <w:r w:rsidR="00CC7147" w:rsidRPr="00C47F2F">
        <w:rPr>
          <w:noProof/>
          <w:sz w:val="20"/>
          <w:szCs w:val="20"/>
        </w:rPr>
        <w:t xml:space="preserve">See </w:t>
      </w:r>
      <w:r w:rsidR="00AF3127" w:rsidRPr="00C47F2F">
        <w:rPr>
          <w:noProof/>
          <w:sz w:val="20"/>
          <w:szCs w:val="20"/>
        </w:rPr>
        <w:t xml:space="preserve">Section 23 of </w:t>
      </w:r>
      <w:r w:rsidR="00572B5F" w:rsidRPr="00C47F2F">
        <w:rPr>
          <w:i/>
          <w:noProof/>
          <w:sz w:val="20"/>
          <w:szCs w:val="20"/>
        </w:rPr>
        <w:t xml:space="preserve">Publication </w:t>
      </w:r>
      <w:r w:rsidR="00684B79" w:rsidRPr="00C47F2F">
        <w:rPr>
          <w:i/>
          <w:noProof/>
          <w:sz w:val="20"/>
          <w:szCs w:val="20"/>
        </w:rPr>
        <w:t>141</w:t>
      </w:r>
      <w:r w:rsidR="00572B5F" w:rsidRPr="00C47F2F">
        <w:rPr>
          <w:noProof/>
          <w:sz w:val="20"/>
          <w:szCs w:val="20"/>
        </w:rPr>
        <w:t xml:space="preserve"> </w:t>
      </w:r>
      <w:r w:rsidRPr="00C47F2F">
        <w:rPr>
          <w:noProof/>
          <w:sz w:val="20"/>
          <w:szCs w:val="20"/>
        </w:rPr>
        <w:fldChar w:fldCharType="begin"/>
      </w:r>
      <w:r w:rsidR="008E2EAF" w:rsidRPr="00C47F2F">
        <w:rPr>
          <w:noProof/>
          <w:sz w:val="20"/>
          <w:szCs w:val="20"/>
        </w:rPr>
        <w:instrText xml:space="preserve"> ADDIN ZOTERO_ITEM CSL_CITATION {"citationID":"a25ad57a4vh","properties":{"formattedCitation":"(ICRP,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Pr="00C47F2F">
        <w:rPr>
          <w:noProof/>
          <w:sz w:val="20"/>
          <w:szCs w:val="20"/>
        </w:rPr>
        <w:fldChar w:fldCharType="separate"/>
      </w:r>
      <w:r w:rsidR="008E2EAF" w:rsidRPr="00C47F2F">
        <w:rPr>
          <w:noProof/>
          <w:sz w:val="20"/>
          <w:szCs w:val="20"/>
        </w:rPr>
        <w:t>(ICRP, 2019)</w:t>
      </w:r>
      <w:r w:rsidRPr="00C47F2F">
        <w:rPr>
          <w:noProof/>
          <w:sz w:val="20"/>
          <w:szCs w:val="20"/>
        </w:rPr>
        <w:fldChar w:fldCharType="end"/>
      </w:r>
      <w:r w:rsidR="00572B5F" w:rsidRPr="00C47F2F">
        <w:rPr>
          <w:noProof/>
          <w:sz w:val="20"/>
          <w:szCs w:val="20"/>
        </w:rPr>
        <w:t xml:space="preserve"> </w:t>
      </w:r>
      <w:r w:rsidR="00CC7147" w:rsidRPr="00C47F2F">
        <w:rPr>
          <w:noProof/>
          <w:sz w:val="20"/>
          <w:szCs w:val="20"/>
        </w:rPr>
        <w:t xml:space="preserve">for summary of information on which parameter values are based, and on ranges of parameter values observed in different studies. For americium nitrate, specific parameter values are used for dissolution in the lungs, but a default value of </w:t>
      </w:r>
      <w:r w:rsidR="00CC7147" w:rsidRPr="00C47F2F">
        <w:rPr>
          <w:i/>
          <w:noProof/>
          <w:sz w:val="20"/>
          <w:szCs w:val="20"/>
        </w:rPr>
        <w:t>f</w:t>
      </w:r>
      <w:r w:rsidR="00CC7147" w:rsidRPr="00C47F2F">
        <w:rPr>
          <w:noProof/>
          <w:sz w:val="20"/>
          <w:szCs w:val="20"/>
          <w:vertAlign w:val="subscript"/>
        </w:rPr>
        <w:t>A</w:t>
      </w:r>
      <w:r w:rsidR="00CC7147" w:rsidRPr="00C47F2F">
        <w:rPr>
          <w:noProof/>
          <w:sz w:val="20"/>
          <w:szCs w:val="20"/>
        </w:rPr>
        <w:t xml:space="preserve"> (footnote </w:t>
      </w:r>
      <w:r w:rsidRPr="00C47F2F">
        <w:rPr>
          <w:noProof/>
          <w:sz w:val="20"/>
          <w:szCs w:val="20"/>
          <w:vertAlign w:val="superscript"/>
        </w:rPr>
        <w:t>†</w:t>
      </w:r>
      <w:r w:rsidR="00CC7147" w:rsidRPr="00C47F2F">
        <w:rPr>
          <w:noProof/>
          <w:sz w:val="20"/>
          <w:szCs w:val="20"/>
        </w:rPr>
        <w:t>).</w:t>
      </w:r>
    </w:p>
    <w:p w14:paraId="0C6A708A" w14:textId="372A59F6" w:rsidR="00CC7147" w:rsidRPr="00C47F2F" w:rsidRDefault="003A4843" w:rsidP="00E81109">
      <w:pPr>
        <w:pStyle w:val="Note"/>
        <w:rPr>
          <w:noProof/>
          <w:sz w:val="20"/>
          <w:szCs w:val="20"/>
        </w:rPr>
      </w:pPr>
      <w:r w:rsidRPr="00C47F2F">
        <w:rPr>
          <w:noProof/>
          <w:sz w:val="20"/>
          <w:szCs w:val="20"/>
          <w:vertAlign w:val="superscript"/>
        </w:rPr>
        <w:t>§</w:t>
      </w:r>
      <w:r w:rsidR="00CC7147" w:rsidRPr="00C47F2F">
        <w:rPr>
          <w:noProof/>
          <w:sz w:val="20"/>
          <w:szCs w:val="20"/>
        </w:rPr>
        <w:t>Materials (e.g.</w:t>
      </w:r>
      <w:r w:rsidR="00CC7147" w:rsidRPr="00C47F2F">
        <w:rPr>
          <w:i/>
          <w:noProof/>
          <w:sz w:val="20"/>
          <w:szCs w:val="20"/>
        </w:rPr>
        <w:t xml:space="preserve"> </w:t>
      </w:r>
      <w:r w:rsidR="00CC7147" w:rsidRPr="00C47F2F">
        <w:rPr>
          <w:noProof/>
          <w:sz w:val="20"/>
          <w:szCs w:val="20"/>
        </w:rPr>
        <w:t xml:space="preserve">americium oxide) are generally listed here where there is sufficient information to assign to a default absorption Type, but not to give specific parameter values or because specific parameter values would not be significantly different from the default (see </w:t>
      </w:r>
      <w:r w:rsidR="00AF3127" w:rsidRPr="00C47F2F">
        <w:rPr>
          <w:noProof/>
          <w:sz w:val="20"/>
          <w:szCs w:val="20"/>
        </w:rPr>
        <w:t xml:space="preserve">Section 23 of </w:t>
      </w:r>
      <w:r w:rsidRPr="00C47F2F">
        <w:rPr>
          <w:i/>
          <w:noProof/>
          <w:sz w:val="20"/>
          <w:szCs w:val="20"/>
        </w:rPr>
        <w:t>Publication 141</w:t>
      </w:r>
      <w:r w:rsidR="00CC7147" w:rsidRPr="00C47F2F">
        <w:rPr>
          <w:noProof/>
          <w:sz w:val="20"/>
          <w:szCs w:val="20"/>
        </w:rPr>
        <w:t xml:space="preserve">). </w:t>
      </w:r>
    </w:p>
    <w:p w14:paraId="6A6C0F22" w14:textId="188C32FC" w:rsidR="00CC7147" w:rsidRPr="00C47F2F" w:rsidRDefault="003A4843" w:rsidP="00E81109">
      <w:pPr>
        <w:pStyle w:val="Note"/>
        <w:rPr>
          <w:noProof/>
          <w:sz w:val="20"/>
          <w:szCs w:val="20"/>
        </w:rPr>
      </w:pPr>
      <w:r w:rsidRPr="00C47F2F">
        <w:rPr>
          <w:noProof/>
          <w:sz w:val="20"/>
          <w:szCs w:val="20"/>
          <w:vertAlign w:val="superscript"/>
        </w:rPr>
        <w:lastRenderedPageBreak/>
        <w:t>¶</w:t>
      </w:r>
      <w:r w:rsidR="00CC7147" w:rsidRPr="00C47F2F">
        <w:rPr>
          <w:noProof/>
          <w:sz w:val="20"/>
          <w:szCs w:val="20"/>
        </w:rPr>
        <w:t>Default Type M is recommended for use in the absence of specific information on which the exposure material can be assigned to an Absorption Type, e.g. if the form is unknown, or if the form is known but there is no information available on the absorption of that form from the respiratory tract.</w:t>
      </w:r>
    </w:p>
    <w:p w14:paraId="4E8D839C" w14:textId="63A0B520" w:rsidR="00CC7147" w:rsidRPr="00C47F2F" w:rsidRDefault="003A4843" w:rsidP="00E81109">
      <w:pPr>
        <w:pStyle w:val="Note"/>
        <w:rPr>
          <w:noProof/>
          <w:sz w:val="20"/>
          <w:szCs w:val="20"/>
        </w:rPr>
      </w:pPr>
      <w:r w:rsidRPr="00C47F2F">
        <w:rPr>
          <w:noProof/>
          <w:sz w:val="20"/>
          <w:szCs w:val="20"/>
          <w:vertAlign w:val="superscript"/>
        </w:rPr>
        <w:t>**</w:t>
      </w:r>
      <w:r w:rsidR="00CC7147" w:rsidRPr="00C47F2F">
        <w:rPr>
          <w:noProof/>
          <w:sz w:val="20"/>
          <w:szCs w:val="20"/>
        </w:rPr>
        <w:t xml:space="preserve">Activity transferred from systemic compartments into segments of the alimentary tract is assumed to be subject to reabsorption to blood. The default absorption fraction </w:t>
      </w:r>
      <w:r w:rsidR="00CC7147" w:rsidRPr="00C47F2F">
        <w:rPr>
          <w:i/>
          <w:noProof/>
          <w:sz w:val="20"/>
          <w:szCs w:val="20"/>
        </w:rPr>
        <w:t>f</w:t>
      </w:r>
      <w:r w:rsidR="00CC7147" w:rsidRPr="00C47F2F">
        <w:rPr>
          <w:noProof/>
          <w:sz w:val="20"/>
          <w:szCs w:val="20"/>
          <w:vertAlign w:val="subscript"/>
        </w:rPr>
        <w:t>A</w:t>
      </w:r>
      <w:r w:rsidR="00CC7147" w:rsidRPr="00C47F2F">
        <w:rPr>
          <w:noProof/>
          <w:sz w:val="20"/>
          <w:szCs w:val="20"/>
        </w:rPr>
        <w:t xml:space="preserve"> for the secreted activity is the reference for ingestion of the radionuclide</w:t>
      </w:r>
      <w:r w:rsidR="001632C2" w:rsidRPr="00C47F2F">
        <w:rPr>
          <w:noProof/>
          <w:sz w:val="20"/>
          <w:szCs w:val="20"/>
        </w:rPr>
        <w:t xml:space="preserve"> applicable to the age-group of interest (</w:t>
      </w:r>
      <w:r w:rsidR="001632C2" w:rsidRPr="00C47F2F">
        <w:rPr>
          <w:i/>
          <w:iCs/>
          <w:noProof/>
          <w:sz w:val="20"/>
          <w:szCs w:val="20"/>
        </w:rPr>
        <w:t>e.g</w:t>
      </w:r>
      <w:r w:rsidR="001632C2" w:rsidRPr="00C47F2F">
        <w:rPr>
          <w:noProof/>
          <w:sz w:val="20"/>
          <w:szCs w:val="20"/>
        </w:rPr>
        <w:t>. 5</w:t>
      </w:r>
      <w:r w:rsidR="00067025" w:rsidRPr="00C47F2F">
        <w:rPr>
          <w:noProof/>
          <w:sz w:val="20"/>
          <w:szCs w:val="20"/>
        </w:rPr>
        <w:t xml:space="preserve"> × </w:t>
      </w:r>
      <w:r w:rsidR="001632C2" w:rsidRPr="00C47F2F">
        <w:rPr>
          <w:noProof/>
          <w:sz w:val="20"/>
          <w:szCs w:val="20"/>
        </w:rPr>
        <w:t>10</w:t>
      </w:r>
      <w:r w:rsidR="001632C2" w:rsidRPr="00C47F2F">
        <w:rPr>
          <w:noProof/>
          <w:sz w:val="20"/>
          <w:szCs w:val="20"/>
          <w:vertAlign w:val="superscript"/>
        </w:rPr>
        <w:t>-4</w:t>
      </w:r>
      <w:r w:rsidR="001632C2" w:rsidRPr="00C47F2F">
        <w:rPr>
          <w:noProof/>
          <w:sz w:val="20"/>
          <w:szCs w:val="20"/>
        </w:rPr>
        <w:t xml:space="preserve"> for adults</w:t>
      </w:r>
      <w:r w:rsidR="002B0D0B">
        <w:rPr>
          <w:rFonts w:hint="eastAsia"/>
          <w:noProof/>
          <w:sz w:val="20"/>
          <w:szCs w:val="20"/>
          <w:lang w:eastAsia="ko-KR"/>
        </w:rPr>
        <w:t>)</w:t>
      </w:r>
      <w:r w:rsidR="00CC7147" w:rsidRPr="00C47F2F">
        <w:rPr>
          <w:noProof/>
          <w:sz w:val="20"/>
          <w:szCs w:val="20"/>
        </w:rPr>
        <w:t>.</w:t>
      </w:r>
    </w:p>
    <w:p w14:paraId="7F303283" w14:textId="77777777" w:rsidR="004C790F" w:rsidRPr="00972C81" w:rsidRDefault="004C790F" w:rsidP="006F56F9">
      <w:pPr>
        <w:pStyle w:val="3"/>
        <w:rPr>
          <w:noProof/>
        </w:rPr>
      </w:pPr>
      <w:bookmarkStart w:id="343" w:name="_Toc162630112"/>
      <w:r w:rsidRPr="00972C81">
        <w:rPr>
          <w:noProof/>
        </w:rPr>
        <w:t>Ingestion</w:t>
      </w:r>
      <w:bookmarkEnd w:id="343"/>
    </w:p>
    <w:p w14:paraId="770EBB61" w14:textId="70D9D35F" w:rsidR="004C790F" w:rsidRPr="00972C81" w:rsidRDefault="004C790F" w:rsidP="001C4A92">
      <w:pPr>
        <w:pStyle w:val="Annalstext"/>
        <w:rPr>
          <w:noProof/>
        </w:rPr>
      </w:pPr>
      <w:r w:rsidRPr="00972C81">
        <w:rPr>
          <w:i/>
          <w:noProof/>
        </w:rPr>
        <w:t>Adults</w:t>
      </w:r>
      <w:r w:rsidRPr="00972C81">
        <w:rPr>
          <w:noProof/>
        </w:rPr>
        <w:t xml:space="preserve">. Compared to plutonium and neptunium, limited data are available on the absorption of americium. The only human data are those from Hunt et al </w:t>
      </w:r>
      <w:r w:rsidR="003A4843" w:rsidRPr="00972C81">
        <w:rPr>
          <w:noProof/>
        </w:rPr>
        <w:fldChar w:fldCharType="begin"/>
      </w:r>
      <w:r w:rsidR="008E2EAF" w:rsidRPr="00972C81">
        <w:rPr>
          <w:noProof/>
        </w:rPr>
        <w:instrText xml:space="preserve"> ADDIN ZOTERO_ITEM CSL_CITATION {"citationID":"a2gk90mbf2u","properties":{"formattedCitation":"(1998; 1986, 1990)","plainCitation":"(1998; 1986, 1990)","noteIndex":0},"citationItems":[{"id":3868,"uris":["http://zotero.org/groups/2470620/items/6DSEGLDD"],"itemData":{"id":3868,"type":"article-journal","abstract":"Our previous studies have indicated lower values of the gut transfer factor ('f1 values') for plutonium and americium in winkles (Littorina littorea) than adopted by ICRP. The present study was undertaken primarily to investigate whether this observation extends to other species. Samples of cockles (Cerastoderma edule) from Ravenglass, Cumbria were eaten by volunteers who provided 24 h samples of urine and faeces. Urine samples indicated f1 values for cockles which were higher than for winkles; for plutonium these ranged overall up to 7 x 10-4 with an arithmetic mean in the range (2-3) x 10-4, and for americium up to 2.6 x 10-4 with an arithmetic mean of 1.2 x 10-4. Limited data based on volunteers eating cockles from the Solway suggest that f1 values for americium may be greater at distance from Sellafield. The measured values compare with 5 x 10-4 used by the ICRP for environmental forms of both elements, which would appear to provide adequate protection when calculating doses from Cumbrian cockles. Data for other nuclides were obtained by analysing faecal samples from the volunteers who ate the Ravenglass cockles. Cobalt-60 showed an f1 value in the region of 0.2, twice the value currently used by ICRP. For 137Cs, variabilities were indicated in the range 0.08 to 0.43, within the ICRP value of f1 = 1.0. Technetium-99 gave f1 values up to about 0.6, in reasonable conformity with the ICRP value of 0.5.","archive":"Scopus","container-title":"Journal of Radiological Protection","DOI":"10.1088/0952-4746/18/2/005","issue":"2","page":"101-109","source":"Scopus","title":"Transfer across the human gut of environmental plutonium, americium, cobalt, caesium and technetium: Studies with cockles (Cerastoderma edule) from the Irish Sea","title-short":"Transfer across the human gut of environmental plutonium, americium, cobalt, caesium and technetium","volume":"18","author":[{"family":"Hunt","given":"G.J."}],"issued":{"date-parts":[["1998"]]}},"label":"page","suppress-author":true},{"id":5104,"uris":["http://zotero.org/groups/2470620/items/9QG6HYWZ"],"itemData":{"id":5104,"type":"article-journal","abstract":"Data on gut transfer factors for environmental forms of radionuclides are essential for estimates of public radiation exposures following ingestion, and thus in decisions on controlling waste discharges. Dose estimates for transuranic nuclides are particularly sensitive to uncertainties stemming from gut transfer data being related to non-environmental forms and/or derived from animal experiments. We have measured human gut transfer factors for plutonium and americium in two experiments using marine foods obtained near Sellafield, Cumbria. Firstly, the urine of volunteer members of the critical group of shellfish consumers was analysed for transuranics and the results related to their consumption rates. Secondly, remotely-based volunteers ate single quantities of shellfish obtained near Sellafield, and their urine was analysed. An overall result for the gut transfer factor for environmental plutonium of 0.8 X 10(-4) indicates no need to increase the value of 1 X 10(-4), currently used by the International Commission on Radiological Protection (ICRP) for soluble forms. Results for americium show that the ICRP value of 5 X 10(-4) is maximising, and that a value of 1 X 10(-4) would be supportable. The results from the study of critical group members provide confidence in our habits survey techniques and reassurance that there are no significant pathways for intake of transuranics by these people that have not been recognised.","container-title":"The Science of the Total Environment","DOI":"10.1016/0048-9697(86)90094-x","ISSN":"0048-9697","issue":"1-2","journalAbbreviation":"Sci Total Environ","language":"eng","note":"PMID: 3749873","page":"89-109","source":"PubMed","title":"Transfer of environmental plutonium and americium across the human gut","volume":"53","author":[{"family":"Hunt","given":"G. J."},{"family":"Leonard","given":"D. R."},{"family":"Lovett","given":"M. B."}],"issued":{"date-parts":[["1986",8]]}},"label":"page","suppress-author":true},{"id":5106,"uris":["http://zotero.org/groups/2470620/items/PDDRD8DG"],"itemData":{"id":5106,"type":"article-journal","abstract":"A follow-up to our previous study is described on human gut transfer factors for plutonium and americium in winkles harvested from the shoreline near the British Nuclear Fuels plc Sellafield reprocessing plant. Six male and two female adult volunteers ate single quantities of shellfish; samples of their urine before and after consumption were analysed. As in the previous study, the plutonium and americium excreted were difficult to detect, and counting times of approximately 8 weeks were employed. Results are presented in detail to allow further interpretation, but preliminary assessment has been carried out on the basis of published data for excretion following transfer to blood. The mean and range obtained for the gut transfer for plutonium was 1.3 (0.2-3.2) x 10(-4); for americium the result was 0.8 (0.4-1.7) x 10(-4). Combined with the results of the previous study when interpreted on the same basis, the results were 1.7 (0.2-4.9) x 10(-4) and 0.9 (0.3-2.8) x 10(-4), respectively. No significant evidence was revealed in this study for differences in gut transfer between males and females, nor for seasonal differences, e.g. due to differences in form of incorporation of actinides in shellfish. For realistic assessments of doses due to shellfish consumption near Sellafield, to assess compliance with criteria recommended by the International Commission on Radiological Protection (ICRP), a suitable value for the gut transfer factor of both plutonium and americium might be 2 x 10(-4). A value of 5 x 10(-4) would appear to be cautious.","container-title":"The Science of the Total Environment","DOI":"10.1016/0048-9697(90)90199-5","ISSN":"0048-9697","journalAbbreviation":"Sci Total Environ","language":"eng","note":"PMID: 2305242","page":"273-282","source":"PubMed","title":"Transfer of environmental plutonium and americium across the human gut: a second study","title-short":"Transfer of environmental plutonium and americium across the human gut","volume":"90","author":[{"family":"Hunt","given":"G. J."},{"family":"Leonard","given":"D. R."},{"family":"Lovett","given":"M. B."}],"issued":{"date-parts":[["1990",1]]}},"label":"page","suppress-author":true}],"schema":"https://github.com/citation-style-language/schema/raw/master/csl-citation.json"} </w:instrText>
      </w:r>
      <w:r w:rsidR="003A4843" w:rsidRPr="00972C81">
        <w:rPr>
          <w:noProof/>
        </w:rPr>
        <w:fldChar w:fldCharType="separate"/>
      </w:r>
      <w:r w:rsidR="008E2EAF" w:rsidRPr="00972C81">
        <w:rPr>
          <w:noProof/>
          <w:szCs w:val="24"/>
        </w:rPr>
        <w:t>(1998; 1986, 1990)</w:t>
      </w:r>
      <w:r w:rsidR="003A4843" w:rsidRPr="00972C81">
        <w:rPr>
          <w:noProof/>
        </w:rPr>
        <w:fldChar w:fldCharType="end"/>
      </w:r>
      <w:r w:rsidR="003A4843" w:rsidRPr="00972C81">
        <w:rPr>
          <w:noProof/>
        </w:rPr>
        <w:t xml:space="preserve"> </w:t>
      </w:r>
      <w:r w:rsidRPr="00972C81">
        <w:rPr>
          <w:noProof/>
        </w:rPr>
        <w:t>who carried out two studies on the absorption of plutonium and americium by eight volunteers eating shellfish winkles collected on the Cumbrian coast near to the nuclear</w:t>
      </w:r>
      <w:r w:rsidRPr="00972C81">
        <w:rPr>
          <w:noProof/>
        </w:rPr>
        <w:noBreakHyphen/>
        <w:t>fuel reprocessing plant at Sellafield. The overall absorption fraction obtained for americium was 1</w:t>
      </w:r>
      <w:r w:rsidR="00067025" w:rsidRPr="00972C81">
        <w:rPr>
          <w:noProof/>
        </w:rPr>
        <w:t xml:space="preserve"> × </w:t>
      </w:r>
      <w:r w:rsidRPr="00972C81">
        <w:rPr>
          <w:noProof/>
        </w:rPr>
        <w:t>10</w:t>
      </w:r>
      <w:r w:rsidRPr="00972C81">
        <w:rPr>
          <w:noProof/>
          <w:vertAlign w:val="superscript"/>
        </w:rPr>
        <w:noBreakHyphen/>
        <w:t>4</w:t>
      </w:r>
      <w:r w:rsidRPr="00972C81">
        <w:rPr>
          <w:noProof/>
        </w:rPr>
        <w:t xml:space="preserve"> with a range from 4</w:t>
      </w:r>
      <w:r w:rsidR="00067025" w:rsidRPr="00972C81">
        <w:rPr>
          <w:noProof/>
        </w:rPr>
        <w:t xml:space="preserve"> × </w:t>
      </w:r>
      <w:r w:rsidRPr="00972C81">
        <w:rPr>
          <w:noProof/>
        </w:rPr>
        <w:t>10</w:t>
      </w:r>
      <w:r w:rsidRPr="00972C81">
        <w:rPr>
          <w:noProof/>
          <w:vertAlign w:val="superscript"/>
        </w:rPr>
        <w:noBreakHyphen/>
        <w:t>5</w:t>
      </w:r>
      <w:r w:rsidRPr="00972C81">
        <w:rPr>
          <w:noProof/>
        </w:rPr>
        <w:t xml:space="preserve"> to 3</w:t>
      </w:r>
      <w:r w:rsidR="00067025" w:rsidRPr="00972C81">
        <w:rPr>
          <w:noProof/>
        </w:rPr>
        <w:t xml:space="preserve"> × </w:t>
      </w:r>
      <w:r w:rsidRPr="00972C81">
        <w:rPr>
          <w:noProof/>
        </w:rPr>
        <w:t>10</w:t>
      </w:r>
      <w:r w:rsidRPr="00972C81">
        <w:rPr>
          <w:noProof/>
          <w:vertAlign w:val="superscript"/>
        </w:rPr>
        <w:noBreakHyphen/>
        <w:t xml:space="preserve">4 </w:t>
      </w:r>
      <w:r w:rsidR="003A4843" w:rsidRPr="00972C81">
        <w:rPr>
          <w:noProof/>
        </w:rPr>
        <w:fldChar w:fldCharType="begin"/>
      </w:r>
      <w:r w:rsidR="008E2EAF" w:rsidRPr="00972C81">
        <w:rPr>
          <w:noProof/>
        </w:rPr>
        <w:instrText xml:space="preserve"> ADDIN ZOTERO_ITEM CSL_CITATION {"citationID":"ajq3s7a3lv","properties":{"formattedCitation":"(Hunt et al., 1986, 1990)","plainCitation":"(Hunt et al., 1986, 1990)","noteIndex":0},"citationItems":[{"id":5104,"uris":["http://zotero.org/groups/2470620/items/9QG6HYWZ"],"itemData":{"id":5104,"type":"article-journal","abstract":"Data on gut transfer factors for environmental forms of radionuclides are essential for estimates of public radiation exposures following ingestion, and thus in decisions on controlling waste discharges. Dose estimates for transuranic nuclides are particularly sensitive to uncertainties stemming from gut transfer data being related to non-environmental forms and/or derived from animal experiments. We have measured human gut transfer factors for plutonium and americium in two experiments using marine foods obtained near Sellafield, Cumbria. Firstly, the urine of volunteer members of the critical group of shellfish consumers was analysed for transuranics and the results related to their consumption rates. Secondly, remotely-based volunteers ate single quantities of shellfish obtained near Sellafield, and their urine was analysed. An overall result for the gut transfer factor for environmental plutonium of 0.8 X 10(-4) indicates no need to increase the value of 1 X 10(-4), currently used by the International Commission on Radiological Protection (ICRP) for soluble forms. Results for americium show that the ICRP value of 5 X 10(-4) is maximising, and that a value of 1 X 10(-4) would be supportable. The results from the study of critical group members provide confidence in our habits survey techniques and reassurance that there are no significant pathways for intake of transuranics by these people that have not been recognised.","container-title":"The Science of the Total Environment","DOI":"10.1016/0048-9697(86)90094-x","ISSN":"0048-9697","issue":"1-2","journalAbbreviation":"Sci Total Environ","language":"eng","note":"PMID: 3749873","page":"89-109","source":"PubMed","title":"Transfer of environmental plutonium and americium across the human gut","volume":"53","author":[{"family":"Hunt","given":"G. J."},{"family":"Leonard","given":"D. R."},{"family":"Lovett","given":"M. B."}],"issued":{"date-parts":[["1986",8]]}}},{"id":5106,"uris":["http://zotero.org/groups/2470620/items/PDDRD8DG"],"itemData":{"id":5106,"type":"article-journal","abstract":"A follow-up to our previous study is described on human gut transfer factors for plutonium and americium in winkles harvested from the shoreline near the British Nuclear Fuels plc Sellafield reprocessing plant. Six male and two female adult volunteers ate single quantities of shellfish; samples of their urine before and after consumption were analysed. As in the previous study, the plutonium and americium excreted were difficult to detect, and counting times of approximately 8 weeks were employed. Results are presented in detail to allow further interpretation, but preliminary assessment has been carried out on the basis of published data for excretion following transfer to blood. The mean and range obtained for the gut transfer for plutonium was 1.3 (0.2-3.2) x 10(-4); for americium the result was 0.8 (0.4-1.7) x 10(-4). Combined with the results of the previous study when interpreted on the same basis, the results were 1.7 (0.2-4.9) x 10(-4) and 0.9 (0.3-2.8) x 10(-4), respectively. No significant evidence was revealed in this study for differences in gut transfer between males and females, nor for seasonal differences, e.g. due to differences in form of incorporation of actinides in shellfish. For realistic assessments of doses due to shellfish consumption near Sellafield, to assess compliance with criteria recommended by the International Commission on Radiological Protection (ICRP), a suitable value for the gut transfer factor of both plutonium and americium might be 2 x 10(-4). A value of 5 x 10(-4) would appear to be cautious.","container-title":"The Science of the Total Environment","DOI":"10.1016/0048-9697(90)90199-5","ISSN":"0048-9697","journalAbbreviation":"Sci Total Environ","language":"eng","note":"PMID: 2305242","page":"273-282","source":"PubMed","title":"Transfer of environmental plutonium and americium across the human gut: a second study","title-short":"Transfer of environmental plutonium and americium across the human gut","volume":"90","author":[{"family":"Hunt","given":"G. J."},{"family":"Leonard","given":"D. R."},{"family":"Lovett","given":"M. B."}],"issued":{"date-parts":[["1990",1]]}}}],"schema":"https://github.com/citation-style-language/schema/raw/master/csl-citation.json"} </w:instrText>
      </w:r>
      <w:r w:rsidR="003A4843" w:rsidRPr="00972C81">
        <w:rPr>
          <w:noProof/>
        </w:rPr>
        <w:fldChar w:fldCharType="separate"/>
      </w:r>
      <w:r w:rsidR="008E2EAF" w:rsidRPr="00972C81">
        <w:rPr>
          <w:noProof/>
          <w:szCs w:val="24"/>
        </w:rPr>
        <w:t>(Hunt et al., 1986, 1990)</w:t>
      </w:r>
      <w:r w:rsidR="003A4843" w:rsidRPr="00972C81">
        <w:rPr>
          <w:noProof/>
        </w:rPr>
        <w:fldChar w:fldCharType="end"/>
      </w:r>
      <w:r w:rsidRPr="00972C81">
        <w:rPr>
          <w:noProof/>
        </w:rPr>
        <w:t xml:space="preserve">. </w:t>
      </w:r>
      <w:r w:rsidRPr="00972C81">
        <w:rPr>
          <w:noProof/>
          <w:szCs w:val="24"/>
          <w:lang w:eastAsia="fr-FR"/>
        </w:rPr>
        <w:t xml:space="preserve">A similar volunteer study involved 6 volunteers who ate cockles from Cumbria </w:t>
      </w:r>
      <w:r w:rsidR="003A4843" w:rsidRPr="00972C81">
        <w:rPr>
          <w:noProof/>
          <w:szCs w:val="24"/>
          <w:lang w:eastAsia="fr-FR"/>
        </w:rPr>
        <w:fldChar w:fldCharType="begin"/>
      </w:r>
      <w:r w:rsidR="008E2EAF" w:rsidRPr="00972C81">
        <w:rPr>
          <w:noProof/>
          <w:szCs w:val="24"/>
          <w:lang w:eastAsia="fr-FR"/>
        </w:rPr>
        <w:instrText xml:space="preserve"> ADDIN ZOTERO_ITEM CSL_CITATION {"citationID":"a2po9sj990q","properties":{"formattedCitation":"(Hunt, 1998)","plainCitation":"(Hunt, 1998)","noteIndex":0},"citationItems":[{"id":3868,"uris":["http://zotero.org/groups/2470620/items/6DSEGLDD"],"itemData":{"id":3868,"type":"article-journal","abstract":"Our previous studies have indicated lower values of the gut transfer factor ('f1 values') for plutonium and americium in winkles (Littorina littorea) than adopted by ICRP. The present study was undertaken primarily to investigate whether this observation extends to other species. Samples of cockles (Cerastoderma edule) from Ravenglass, Cumbria were eaten by volunteers who provided 24 h samples of urine and faeces. Urine samples indicated f1 values for cockles which were higher than for winkles; for plutonium these ranged overall up to 7 x 10-4 with an arithmetic mean in the range (2-3) x 10-4, and for americium up to 2.6 x 10-4 with an arithmetic mean of 1.2 x 10-4. Limited data based on volunteers eating cockles from the Solway suggest that f1 values for americium may be greater at distance from Sellafield. The measured values compare with 5 x 10-4 used by the ICRP for environmental forms of both elements, which would appear to provide adequate protection when calculating doses from Cumbrian cockles. Data for other nuclides were obtained by analysing faecal samples from the volunteers who ate the Ravenglass cockles. Cobalt-60 showed an f1 value in the region of 0.2, twice the value currently used by ICRP. For 137Cs, variabilities were indicated in the range 0.08 to 0.43, within the ICRP value of f1 = 1.0. Technetium-99 gave f1 values up to about 0.6, in reasonable conformity with the ICRP value of 0.5.","archive":"Scopus","container-title":"Journal of Radiological Protection","DOI":"10.1088/0952-4746/18/2/005","issue":"2","page":"101-109","source":"Scopus","title":"Transfer across the human gut of environmental plutonium, americium, cobalt, caesium and technetium: Studies with cockles (Cerastoderma edule) from the Irish Sea","title-short":"Transfer across the human gut of environmental plutonium, americium, cobalt, caesium and technetium","volume":"18","author":[{"family":"Hunt","given":"G.J."}],"issued":{"date-parts":[["1998"]]}}}],"schema":"https://github.com/citation-style-language/schema/raw/master/csl-citation.json"} </w:instrText>
      </w:r>
      <w:r w:rsidR="003A4843" w:rsidRPr="00972C81">
        <w:rPr>
          <w:noProof/>
          <w:szCs w:val="24"/>
          <w:lang w:eastAsia="fr-FR"/>
        </w:rPr>
        <w:fldChar w:fldCharType="separate"/>
      </w:r>
      <w:r w:rsidR="008E2EAF" w:rsidRPr="00972C81">
        <w:rPr>
          <w:noProof/>
          <w:szCs w:val="24"/>
        </w:rPr>
        <w:t>(Hunt, 1998)</w:t>
      </w:r>
      <w:r w:rsidR="003A4843" w:rsidRPr="00972C81">
        <w:rPr>
          <w:noProof/>
          <w:szCs w:val="24"/>
          <w:lang w:eastAsia="fr-FR"/>
        </w:rPr>
        <w:fldChar w:fldCharType="end"/>
      </w:r>
      <w:r w:rsidRPr="00972C81">
        <w:rPr>
          <w:noProof/>
          <w:szCs w:val="24"/>
          <w:lang w:eastAsia="fr-FR"/>
        </w:rPr>
        <w:t xml:space="preserve"> and provided absorption fractions in the order of 1.2</w:t>
      </w:r>
      <w:r w:rsidR="00067025" w:rsidRPr="00972C81">
        <w:rPr>
          <w:noProof/>
          <w:szCs w:val="24"/>
          <w:lang w:eastAsia="fr-FR"/>
        </w:rPr>
        <w:t xml:space="preserve"> × </w:t>
      </w:r>
      <w:r w:rsidRPr="00972C81">
        <w:rPr>
          <w:noProof/>
          <w:szCs w:val="24"/>
          <w:lang w:eastAsia="fr-FR"/>
        </w:rPr>
        <w:t>10</w:t>
      </w:r>
      <w:r w:rsidRPr="00972C81">
        <w:rPr>
          <w:noProof/>
          <w:szCs w:val="24"/>
          <w:vertAlign w:val="superscript"/>
          <w:lang w:eastAsia="fr-FR"/>
        </w:rPr>
        <w:t>-4</w:t>
      </w:r>
      <w:r w:rsidRPr="00972C81">
        <w:rPr>
          <w:noProof/>
          <w:szCs w:val="24"/>
          <w:lang w:eastAsia="fr-FR"/>
        </w:rPr>
        <w:t xml:space="preserve"> (range 3</w:t>
      </w:r>
      <w:r w:rsidR="00067025" w:rsidRPr="00972C81">
        <w:rPr>
          <w:noProof/>
          <w:szCs w:val="24"/>
          <w:lang w:eastAsia="fr-FR"/>
        </w:rPr>
        <w:t xml:space="preserve"> × </w:t>
      </w:r>
      <w:r w:rsidRPr="00972C81">
        <w:rPr>
          <w:noProof/>
          <w:szCs w:val="24"/>
          <w:lang w:eastAsia="fr-FR"/>
        </w:rPr>
        <w:t>10</w:t>
      </w:r>
      <w:r w:rsidRPr="00972C81">
        <w:rPr>
          <w:noProof/>
          <w:szCs w:val="24"/>
          <w:vertAlign w:val="superscript"/>
          <w:lang w:eastAsia="fr-FR"/>
        </w:rPr>
        <w:t>-5</w:t>
      </w:r>
      <w:r w:rsidRPr="00972C81">
        <w:rPr>
          <w:noProof/>
          <w:szCs w:val="24"/>
          <w:lang w:eastAsia="fr-FR"/>
        </w:rPr>
        <w:t xml:space="preserve"> to 2.6</w:t>
      </w:r>
      <w:r w:rsidR="00067025" w:rsidRPr="00972C81">
        <w:rPr>
          <w:noProof/>
          <w:szCs w:val="24"/>
          <w:lang w:eastAsia="fr-FR"/>
        </w:rPr>
        <w:t xml:space="preserve"> × </w:t>
      </w:r>
      <w:r w:rsidRPr="00972C81">
        <w:rPr>
          <w:noProof/>
          <w:szCs w:val="24"/>
          <w:lang w:eastAsia="fr-FR"/>
        </w:rPr>
        <w:t>10</w:t>
      </w:r>
      <w:r w:rsidRPr="00972C81">
        <w:rPr>
          <w:noProof/>
          <w:szCs w:val="24"/>
          <w:vertAlign w:val="superscript"/>
          <w:lang w:eastAsia="fr-FR"/>
        </w:rPr>
        <w:t>-4</w:t>
      </w:r>
      <w:r w:rsidRPr="00972C81">
        <w:rPr>
          <w:noProof/>
          <w:szCs w:val="24"/>
          <w:lang w:eastAsia="fr-FR"/>
        </w:rPr>
        <w:t xml:space="preserve">). </w:t>
      </w:r>
      <w:r w:rsidRPr="00972C81">
        <w:rPr>
          <w:noProof/>
        </w:rPr>
        <w:t xml:space="preserve">Animal data on the absorption of americium was reviewed in </w:t>
      </w:r>
      <w:r w:rsidRPr="00972C81">
        <w:rPr>
          <w:i/>
          <w:noProof/>
        </w:rPr>
        <w:t>Publications 48</w:t>
      </w:r>
      <w:r w:rsidRPr="00972C81">
        <w:rPr>
          <w:noProof/>
        </w:rPr>
        <w:t xml:space="preserve"> </w:t>
      </w:r>
      <w:r w:rsidR="003A4843" w:rsidRPr="00972C81">
        <w:rPr>
          <w:noProof/>
        </w:rPr>
        <w:fldChar w:fldCharType="begin"/>
      </w:r>
      <w:r w:rsidR="008E2EAF" w:rsidRPr="00972C81">
        <w:rPr>
          <w:noProof/>
        </w:rPr>
        <w:instrText xml:space="preserve"> ADDIN ZOTERO_ITEM CSL_CITATION {"citationID":"a2aeh1g1tic","properties":{"formattedCitation":"(ICRP, 1986)","plainCitation":"(ICRP, 1986)","noteIndex":0},"citationItems":[{"id":4867,"uris":["http://zotero.org/groups/2470620/items/JBT3RHCV"],"itemData":{"id":4867,"type":"article-journal","container-title":"Annals of the ICRP","issue":"2/3","journalAbbreviation":"Ann. ICRP","language":"et","title":"The Metabolism of Plutonium and Related Elements. ICRP Publication 48","volume":"16","author":[{"literal":"ICRP"}],"issued":{"date-parts":[["1986"]]}}}],"schema":"https://github.com/citation-style-language/schema/raw/master/csl-citation.json"} </w:instrText>
      </w:r>
      <w:r w:rsidR="003A4843" w:rsidRPr="00972C81">
        <w:rPr>
          <w:noProof/>
        </w:rPr>
        <w:fldChar w:fldCharType="separate"/>
      </w:r>
      <w:r w:rsidR="008E2EAF" w:rsidRPr="00972C81">
        <w:rPr>
          <w:noProof/>
          <w:szCs w:val="24"/>
        </w:rPr>
        <w:t>(ICRP, 1986)</w:t>
      </w:r>
      <w:r w:rsidR="003A4843" w:rsidRPr="00972C81">
        <w:rPr>
          <w:noProof/>
        </w:rPr>
        <w:fldChar w:fldCharType="end"/>
      </w:r>
      <w:r w:rsidRPr="00972C81">
        <w:rPr>
          <w:noProof/>
        </w:rPr>
        <w:t xml:space="preserve">, </w:t>
      </w:r>
      <w:r w:rsidRPr="00972C81">
        <w:rPr>
          <w:i/>
          <w:noProof/>
        </w:rPr>
        <w:t>100</w:t>
      </w:r>
      <w:r w:rsidRPr="00972C81">
        <w:rPr>
          <w:noProof/>
        </w:rPr>
        <w:t xml:space="preserve"> </w:t>
      </w:r>
      <w:r w:rsidR="003A4843" w:rsidRPr="00972C81">
        <w:rPr>
          <w:noProof/>
        </w:rPr>
        <w:fldChar w:fldCharType="begin"/>
      </w:r>
      <w:r w:rsidR="008E2EAF" w:rsidRPr="00972C81">
        <w:rPr>
          <w:noProof/>
        </w:rPr>
        <w:instrText xml:space="preserve"> ADDIN ZOTERO_ITEM CSL_CITATION {"citationID":"a1iel8dbblq","properties":{"formattedCitation":"(ICRP, 2006)","plainCitation":"(ICRP, 2006)","noteIndex":0},"citationItems":[{"id":2564,"uris":["http://zotero.org/groups/2470620/items/9MYKCIRK",["http://zotero.org/groups/2470620/items/9MYKCIRK"]],"itemData":{"id":2564,"type":"article-journal","container-title":"Annals of the ICRP","issue":"1-2","journalAbbreviation":"Ann. ICRP","language":"en","note":"publisher-place: Oxford\npublisher: Pergamon Press","title":"Human alimentary tract model for radiological protection. ICRP Publication 100","volume":"36","author":[{"literal":"ICRP"}],"issued":{"date-parts":[["2006"]]}}}],"schema":"https://github.com/citation-style-language/schema/raw/master/csl-citation.json"} </w:instrText>
      </w:r>
      <w:r w:rsidR="003A4843" w:rsidRPr="00972C81">
        <w:rPr>
          <w:noProof/>
        </w:rPr>
        <w:fldChar w:fldCharType="separate"/>
      </w:r>
      <w:r w:rsidR="008E2EAF" w:rsidRPr="00972C81">
        <w:rPr>
          <w:noProof/>
          <w:szCs w:val="24"/>
        </w:rPr>
        <w:t>(ICRP, 2006)</w:t>
      </w:r>
      <w:r w:rsidR="003A4843" w:rsidRPr="00972C81">
        <w:rPr>
          <w:noProof/>
        </w:rPr>
        <w:fldChar w:fldCharType="end"/>
      </w:r>
      <w:r w:rsidRPr="00972C81">
        <w:rPr>
          <w:noProof/>
        </w:rPr>
        <w:t xml:space="preserve"> and </w:t>
      </w:r>
      <w:r w:rsidR="00684B79" w:rsidRPr="00972C81">
        <w:rPr>
          <w:i/>
          <w:noProof/>
        </w:rPr>
        <w:t>141</w:t>
      </w:r>
      <w:r w:rsidR="00684B79" w:rsidRPr="00972C81">
        <w:rPr>
          <w:noProof/>
        </w:rPr>
        <w:t xml:space="preserve"> </w:t>
      </w:r>
      <w:r w:rsidR="003A4843" w:rsidRPr="00972C81">
        <w:rPr>
          <w:noProof/>
        </w:rPr>
        <w:fldChar w:fldCharType="begin"/>
      </w:r>
      <w:r w:rsidR="008E2EAF" w:rsidRPr="00972C81">
        <w:rPr>
          <w:noProof/>
        </w:rPr>
        <w:instrText xml:space="preserve"> ADDIN ZOTERO_ITEM CSL_CITATION {"citationID":"a1t6lu5cfki","properties":{"formattedCitation":"(ICRP,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3A4843" w:rsidRPr="00972C81">
        <w:rPr>
          <w:noProof/>
        </w:rPr>
        <w:fldChar w:fldCharType="separate"/>
      </w:r>
      <w:r w:rsidR="008E2EAF" w:rsidRPr="00972C81">
        <w:rPr>
          <w:noProof/>
          <w:szCs w:val="24"/>
        </w:rPr>
        <w:t>(ICRP, 2019)</w:t>
      </w:r>
      <w:r w:rsidR="003A4843" w:rsidRPr="00972C81">
        <w:rPr>
          <w:noProof/>
        </w:rPr>
        <w:fldChar w:fldCharType="end"/>
      </w:r>
      <w:r w:rsidR="00684B79" w:rsidRPr="00972C81">
        <w:rPr>
          <w:noProof/>
        </w:rPr>
        <w:t>,</w:t>
      </w:r>
      <w:r w:rsidRPr="00972C81">
        <w:rPr>
          <w:noProof/>
        </w:rPr>
        <w:t xml:space="preserve"> and by Harrison </w:t>
      </w:r>
      <w:r w:rsidR="003A4843" w:rsidRPr="00972C81">
        <w:rPr>
          <w:noProof/>
        </w:rPr>
        <w:fldChar w:fldCharType="begin"/>
      </w:r>
      <w:r w:rsidR="008E2EAF" w:rsidRPr="00972C81">
        <w:rPr>
          <w:noProof/>
        </w:rPr>
        <w:instrText xml:space="preserve"> ADDIN ZOTERO_ITEM CSL_CITATION {"citationID":"aj7lk4bchp","properties":{"formattedCitation":"(Harrison, 1991, 1995)","plainCitation":"(Harrison, 1991, 1995)","noteIndex":0},"citationItems":[{"id":4940,"uris":["http://zotero.org/groups/2470620/items/4HZA9KYZ"],"itemData":{"id":4940,"type":"article-journal","abstract":"The greatest uncertainty in dose estimates for the ingestion of long-lived, alpha-emitting isotopes of the actinide elements is in the values used for their fractional absorption from the gastrointestinal tract (f1 values). Recent years have seen a large increase in the available data on actinide absorption. Human data are reviewed here, together with animal data, to illustrate the effect on absorption of chemical form, incorporation into food materials, fasting and other dietary factors, and age at ingestion. The f1 values recommended by the International Commission on Radiological Protection, by an Expert Group of the Nuclear Energy Agency and by the National Radiological Protection Board are discussed.","container-title":"The Science of the Total Environment","DOI":"10.1016/0048-9697(91)90373-m","ISSN":"0048-9697","journalAbbreviation":"Sci Total Environ","language":"eng","note":"PMID: 1648260","page":"43-60","source":"PubMed","title":"The gastrointestinal absorption of the actinide elements","volume":"100 Spec No","author":[{"family":"Harrison","given":"J. D."}],"issued":{"date-parts":[["1991",3]]}}},{"id":5165,"uris":["http://zotero.org/groups/2470620/items/NW3R3LSG"],"itemData":{"id":5165,"type":"chapter","container-title":"Radiation and Gut","event-place":"Amsterdam","language":"de","page":"253-289","publisher":"Elsevier","publisher-place":"Amsterdam","title":"Ingested radionuclides","author":[{"family":"Harrison","given":"J.D."}],"editor":[{"family":"Potten","given":"C.S."},{"family":"Hendry","given":"J.H"}],"issued":{"date-parts":[["1995"]]}}}],"schema":"https://github.com/citation-style-language/schema/raw/master/csl-citation.json"} </w:instrText>
      </w:r>
      <w:r w:rsidR="003A4843" w:rsidRPr="00972C81">
        <w:rPr>
          <w:noProof/>
        </w:rPr>
        <w:fldChar w:fldCharType="separate"/>
      </w:r>
      <w:r w:rsidR="008E2EAF" w:rsidRPr="00972C81">
        <w:rPr>
          <w:noProof/>
          <w:szCs w:val="24"/>
        </w:rPr>
        <w:t>(Harrison, 1991, 1995)</w:t>
      </w:r>
      <w:r w:rsidR="003A4843" w:rsidRPr="00972C81">
        <w:rPr>
          <w:noProof/>
        </w:rPr>
        <w:fldChar w:fldCharType="end"/>
      </w:r>
      <w:r w:rsidRPr="00972C81">
        <w:rPr>
          <w:noProof/>
        </w:rPr>
        <w:t xml:space="preserve">. </w:t>
      </w:r>
      <w:r w:rsidRPr="00972C81">
        <w:rPr>
          <w:noProof/>
          <w:szCs w:val="24"/>
          <w:lang w:eastAsia="fr-FR"/>
        </w:rPr>
        <w:t>For adult animals of all the species studied, and for all types of ingested compounds, the fractional absorption for americium lie</w:t>
      </w:r>
      <w:r w:rsidR="00E8212A" w:rsidRPr="00972C81">
        <w:rPr>
          <w:noProof/>
          <w:szCs w:val="24"/>
          <w:lang w:eastAsia="fr-FR"/>
        </w:rPr>
        <w:t>s</w:t>
      </w:r>
      <w:r w:rsidRPr="00972C81">
        <w:rPr>
          <w:noProof/>
          <w:szCs w:val="24"/>
          <w:lang w:eastAsia="fr-FR"/>
        </w:rPr>
        <w:t xml:space="preserve"> between 3</w:t>
      </w:r>
      <w:r w:rsidR="00067025" w:rsidRPr="00972C81">
        <w:rPr>
          <w:noProof/>
          <w:szCs w:val="24"/>
          <w:lang w:eastAsia="fr-FR"/>
        </w:rPr>
        <w:t xml:space="preserve"> × </w:t>
      </w:r>
      <w:r w:rsidRPr="00972C81">
        <w:rPr>
          <w:noProof/>
          <w:szCs w:val="24"/>
          <w:lang w:eastAsia="fr-FR"/>
        </w:rPr>
        <w:t>10</w:t>
      </w:r>
      <w:r w:rsidRPr="00972C81">
        <w:rPr>
          <w:noProof/>
          <w:szCs w:val="24"/>
          <w:vertAlign w:val="superscript"/>
          <w:lang w:eastAsia="fr-FR"/>
        </w:rPr>
        <w:t>-6</w:t>
      </w:r>
      <w:r w:rsidRPr="00972C81">
        <w:rPr>
          <w:noProof/>
          <w:szCs w:val="24"/>
          <w:lang w:eastAsia="fr-FR"/>
        </w:rPr>
        <w:t xml:space="preserve"> and 1</w:t>
      </w:r>
      <w:r w:rsidR="00067025" w:rsidRPr="00972C81">
        <w:rPr>
          <w:noProof/>
          <w:szCs w:val="24"/>
          <w:lang w:eastAsia="fr-FR"/>
        </w:rPr>
        <w:t xml:space="preserve"> × </w:t>
      </w:r>
      <w:r w:rsidRPr="00972C81">
        <w:rPr>
          <w:noProof/>
          <w:szCs w:val="24"/>
          <w:lang w:eastAsia="fr-FR"/>
        </w:rPr>
        <w:t>10</w:t>
      </w:r>
      <w:r w:rsidRPr="00972C81">
        <w:rPr>
          <w:noProof/>
          <w:szCs w:val="24"/>
          <w:vertAlign w:val="superscript"/>
          <w:lang w:eastAsia="fr-FR"/>
        </w:rPr>
        <w:t>-3</w:t>
      </w:r>
      <w:r w:rsidRPr="00972C81">
        <w:rPr>
          <w:noProof/>
          <w:szCs w:val="24"/>
          <w:lang w:eastAsia="fr-FR"/>
        </w:rPr>
        <w:t xml:space="preserve">. Very limited information is available concerning the absorption of americium after biological incorporation into foodstuffs and the available data indicate no greatly enhanced absorption of the element. </w:t>
      </w:r>
      <w:r w:rsidRPr="00972C81">
        <w:rPr>
          <w:noProof/>
        </w:rPr>
        <w:t xml:space="preserve">Several factors such as fasting and iron deficient diet are known to increase the gastrointestinal absorption of americium. In </w:t>
      </w:r>
      <w:r w:rsidRPr="00972C81">
        <w:rPr>
          <w:i/>
          <w:noProof/>
        </w:rPr>
        <w:t>Publication 30</w:t>
      </w:r>
      <w:r w:rsidRPr="00972C81">
        <w:rPr>
          <w:noProof/>
        </w:rPr>
        <w:t xml:space="preserve"> </w:t>
      </w:r>
      <w:r w:rsidR="009A7E43" w:rsidRPr="00972C81">
        <w:rPr>
          <w:noProof/>
        </w:rPr>
        <w:fldChar w:fldCharType="begin"/>
      </w:r>
      <w:r w:rsidR="008E2EAF" w:rsidRPr="00972C81">
        <w:rPr>
          <w:noProof/>
        </w:rPr>
        <w:instrText xml:space="preserve"> ADDIN ZOTERO_ITEM CSL_CITATION {"citationID":"a21clbmae2e","properties":{"formattedCitation":"(ICRP, 1980)","plainCitation":"(ICRP, 1980)","noteIndex":0},"citationItems":[{"id":2554,"uris":["http://zotero.org/groups/2470620/items/DPAFDBQY"],"itemData":{"id":2554,"type":"article-journal","container-title":"Annals of the ICRP","issue":"3/4","journalAbbreviation":"Ann. ICRP","language":"en","title":"Limits for intakes of radionuclides by workers. ICRP Publication 30, Part 2","volume":"4","author":[{"literal":"ICRP"}],"issued":{"date-parts":[["1980"]]}}}],"schema":"https://github.com/citation-style-language/schema/raw/master/csl-citation.json"} </w:instrText>
      </w:r>
      <w:r w:rsidR="009A7E43" w:rsidRPr="00972C81">
        <w:rPr>
          <w:noProof/>
        </w:rPr>
        <w:fldChar w:fldCharType="separate"/>
      </w:r>
      <w:r w:rsidR="008E2EAF" w:rsidRPr="00972C81">
        <w:rPr>
          <w:noProof/>
          <w:szCs w:val="24"/>
        </w:rPr>
        <w:t>(ICRP, 1980)</w:t>
      </w:r>
      <w:r w:rsidR="009A7E43" w:rsidRPr="00972C81">
        <w:rPr>
          <w:noProof/>
        </w:rPr>
        <w:fldChar w:fldCharType="end"/>
      </w:r>
      <w:r w:rsidRPr="00972C81">
        <w:rPr>
          <w:noProof/>
        </w:rPr>
        <w:t>, an absorption fraction of 5</w:t>
      </w:r>
      <w:r w:rsidR="00067025" w:rsidRPr="00972C81">
        <w:rPr>
          <w:noProof/>
        </w:rPr>
        <w:t xml:space="preserve"> × </w:t>
      </w:r>
      <w:r w:rsidRPr="00972C81">
        <w:rPr>
          <w:noProof/>
        </w:rPr>
        <w:t>10</w:t>
      </w:r>
      <w:r w:rsidRPr="00972C81">
        <w:rPr>
          <w:noProof/>
          <w:vertAlign w:val="superscript"/>
        </w:rPr>
        <w:t>-4</w:t>
      </w:r>
      <w:r w:rsidRPr="00972C81">
        <w:rPr>
          <w:noProof/>
        </w:rPr>
        <w:t xml:space="preserve"> was recommended. In </w:t>
      </w:r>
      <w:r w:rsidRPr="00972C81">
        <w:rPr>
          <w:i/>
          <w:noProof/>
        </w:rPr>
        <w:t>Publication 48</w:t>
      </w:r>
      <w:r w:rsidRPr="00972C81">
        <w:rPr>
          <w:noProof/>
        </w:rPr>
        <w:t xml:space="preserve"> </w:t>
      </w:r>
      <w:r w:rsidR="009A7E43" w:rsidRPr="00972C81">
        <w:rPr>
          <w:noProof/>
        </w:rPr>
        <w:fldChar w:fldCharType="begin"/>
      </w:r>
      <w:r w:rsidR="008E2EAF" w:rsidRPr="00972C81">
        <w:rPr>
          <w:noProof/>
        </w:rPr>
        <w:instrText xml:space="preserve"> ADDIN ZOTERO_ITEM CSL_CITATION {"citationID":"M5orSguQ","properties":{"formattedCitation":"(ICRP, 1986)","plainCitation":"(ICRP, 1986)","noteIndex":0},"citationItems":[{"id":4867,"uris":["http://zotero.org/groups/2470620/items/JBT3RHCV"],"itemData":{"id":4867,"type":"article-journal","container-title":"Annals of the ICRP","issue":"2/3","journalAbbreviation":"Ann. ICRP","language":"et","title":"The Metabolism of Plutonium and Related Elements. ICRP Publication 48","volume":"16","author":[{"literal":"ICRP"}],"issued":{"date-parts":[["1986"]]}}}],"schema":"https://github.com/citation-style-language/schema/raw/master/csl-citation.json"} </w:instrText>
      </w:r>
      <w:r w:rsidR="009A7E43" w:rsidRPr="00972C81">
        <w:rPr>
          <w:noProof/>
        </w:rPr>
        <w:fldChar w:fldCharType="separate"/>
      </w:r>
      <w:r w:rsidR="008E2EAF" w:rsidRPr="00972C81">
        <w:rPr>
          <w:noProof/>
          <w:szCs w:val="24"/>
        </w:rPr>
        <w:t>(ICRP, 1986)</w:t>
      </w:r>
      <w:r w:rsidR="009A7E43" w:rsidRPr="00972C81">
        <w:rPr>
          <w:noProof/>
        </w:rPr>
        <w:fldChar w:fldCharType="end"/>
      </w:r>
      <w:r w:rsidRPr="00972C81">
        <w:rPr>
          <w:noProof/>
        </w:rPr>
        <w:t>, a general value of 1</w:t>
      </w:r>
      <w:r w:rsidR="00067025" w:rsidRPr="00972C81">
        <w:rPr>
          <w:noProof/>
        </w:rPr>
        <w:t xml:space="preserve"> × </w:t>
      </w:r>
      <w:r w:rsidRPr="00972C81">
        <w:rPr>
          <w:noProof/>
        </w:rPr>
        <w:t>10</w:t>
      </w:r>
      <w:r w:rsidRPr="00972C81">
        <w:rPr>
          <w:noProof/>
          <w:vertAlign w:val="superscript"/>
        </w:rPr>
        <w:t>-3</w:t>
      </w:r>
      <w:r w:rsidRPr="00972C81">
        <w:rPr>
          <w:noProof/>
        </w:rPr>
        <w:t xml:space="preserve"> for actinides was used. This value was also </w:t>
      </w:r>
      <w:r w:rsidR="001100A3" w:rsidRPr="00972C81">
        <w:rPr>
          <w:noProof/>
        </w:rPr>
        <w:t>recommended</w:t>
      </w:r>
      <w:r w:rsidRPr="00972C81">
        <w:rPr>
          <w:noProof/>
        </w:rPr>
        <w:t xml:space="preserve"> in </w:t>
      </w:r>
      <w:r w:rsidRPr="00972C81">
        <w:rPr>
          <w:i/>
          <w:noProof/>
        </w:rPr>
        <w:t>Publication 56</w:t>
      </w:r>
      <w:r w:rsidRPr="00972C81">
        <w:rPr>
          <w:noProof/>
        </w:rPr>
        <w:t xml:space="preserve"> </w:t>
      </w:r>
      <w:r w:rsidR="009A7E43" w:rsidRPr="00972C81">
        <w:rPr>
          <w:noProof/>
        </w:rPr>
        <w:fldChar w:fldCharType="begin"/>
      </w:r>
      <w:r w:rsidR="008E2EAF" w:rsidRPr="00972C81">
        <w:rPr>
          <w:noProof/>
        </w:rPr>
        <w:instrText xml:space="preserve"> ADDIN ZOTERO_ITEM CSL_CITATION {"citationID":"a71r0pkem4","properties":{"formattedCitation":"(ICRP, 1990)","plainCitation":"(ICRP, 1990)","noteIndex":0},"citationItems":[{"id":3465,"uris":["http://zotero.org/groups/2470620/items/P3QPMZIH",["http://zotero.org/groups/2470620/items/P3QPMZIH"]],"itemData":{"id":3465,"type":"article-journal","container-title":"Annals of the ICRP","issue":"2","title":"Age-dependent Doses to Members of the Public from Intake of Radionuclides - Part 1. ICRP Publication 56","volume":"20","author":[{"literal":"ICRP"}],"issued":{"date-parts":[["1990"]]}}}],"schema":"https://github.com/citation-style-language/schema/raw/master/csl-citation.json"} </w:instrText>
      </w:r>
      <w:r w:rsidR="009A7E43" w:rsidRPr="00972C81">
        <w:rPr>
          <w:noProof/>
        </w:rPr>
        <w:fldChar w:fldCharType="separate"/>
      </w:r>
      <w:r w:rsidR="008E2EAF" w:rsidRPr="00972C81">
        <w:rPr>
          <w:noProof/>
          <w:szCs w:val="24"/>
        </w:rPr>
        <w:t>(ICRP, 1990)</w:t>
      </w:r>
      <w:r w:rsidR="009A7E43" w:rsidRPr="00972C81">
        <w:rPr>
          <w:noProof/>
        </w:rPr>
        <w:fldChar w:fldCharType="end"/>
      </w:r>
      <w:r w:rsidRPr="00972C81">
        <w:rPr>
          <w:noProof/>
        </w:rPr>
        <w:t xml:space="preserve">. In </w:t>
      </w:r>
      <w:r w:rsidRPr="00972C81">
        <w:rPr>
          <w:i/>
          <w:noProof/>
        </w:rPr>
        <w:t>Publication</w:t>
      </w:r>
      <w:r w:rsidR="00E8212A" w:rsidRPr="00972C81">
        <w:rPr>
          <w:i/>
          <w:noProof/>
        </w:rPr>
        <w:t>s</w:t>
      </w:r>
      <w:r w:rsidRPr="00972C81">
        <w:rPr>
          <w:i/>
          <w:noProof/>
        </w:rPr>
        <w:t xml:space="preserve"> 67</w:t>
      </w:r>
      <w:r w:rsidRPr="00972C81">
        <w:rPr>
          <w:noProof/>
        </w:rPr>
        <w:t xml:space="preserve"> </w:t>
      </w:r>
      <w:r w:rsidR="009A7E43" w:rsidRPr="00972C81">
        <w:rPr>
          <w:noProof/>
        </w:rPr>
        <w:fldChar w:fldCharType="begin"/>
      </w:r>
      <w:r w:rsidR="008E2EAF" w:rsidRPr="00972C81">
        <w:rPr>
          <w:noProof/>
        </w:rPr>
        <w:instrText xml:space="preserve"> ADDIN ZOTERO_ITEM CSL_CITATION {"citationID":"a2ac3jq90ts","properties":{"formattedCitation":"(ICRP, 1993)","plainCitation":"(ICRP, 1993)","noteIndex":0},"citationItems":[{"id":2558,"uris":["http://zotero.org/groups/2470620/items/NGGW5NK4",["http://zotero.org/groups/2470620/items/NGGW5NK4"]],"itemData":{"id":2558,"type":"article-journal","container-title":"Annals of the ICRP","issue":"3/4","journalAbbreviation":"Ann. ICRP","language":"en","title":"Age dependent doses to members of the public from intake of radionuclides: Part 2, Ingestion dose coefficients. ICRP Publication 67","volume":"23","author":[{"literal":"ICRP"}],"issued":{"date-parts":[["1993"]]}}}],"schema":"https://github.com/citation-style-language/schema/raw/master/csl-citation.json"} </w:instrText>
      </w:r>
      <w:r w:rsidR="009A7E43" w:rsidRPr="00972C81">
        <w:rPr>
          <w:noProof/>
        </w:rPr>
        <w:fldChar w:fldCharType="separate"/>
      </w:r>
      <w:r w:rsidR="008E2EAF" w:rsidRPr="00972C81">
        <w:rPr>
          <w:noProof/>
          <w:szCs w:val="24"/>
        </w:rPr>
        <w:t>(ICRP, 1993)</w:t>
      </w:r>
      <w:r w:rsidR="009A7E43" w:rsidRPr="00972C81">
        <w:rPr>
          <w:noProof/>
        </w:rPr>
        <w:fldChar w:fldCharType="end"/>
      </w:r>
      <w:r w:rsidRPr="00972C81">
        <w:rPr>
          <w:noProof/>
        </w:rPr>
        <w:t xml:space="preserve"> and </w:t>
      </w:r>
      <w:r w:rsidR="00684B79" w:rsidRPr="00972C81">
        <w:rPr>
          <w:i/>
          <w:noProof/>
        </w:rPr>
        <w:t>141</w:t>
      </w:r>
      <w:r w:rsidR="00684B79" w:rsidRPr="00972C81">
        <w:rPr>
          <w:noProof/>
        </w:rPr>
        <w:t xml:space="preserve"> </w:t>
      </w:r>
      <w:r w:rsidR="009A7E43" w:rsidRPr="00972C81">
        <w:rPr>
          <w:noProof/>
        </w:rPr>
        <w:fldChar w:fldCharType="begin"/>
      </w:r>
      <w:r w:rsidR="008E2EAF" w:rsidRPr="00972C81">
        <w:rPr>
          <w:noProof/>
        </w:rPr>
        <w:instrText xml:space="preserve"> ADDIN ZOTERO_ITEM CSL_CITATION {"citationID":"p8296oTT","properties":{"formattedCitation":"(ICRP,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9A7E43" w:rsidRPr="00972C81">
        <w:rPr>
          <w:noProof/>
        </w:rPr>
        <w:fldChar w:fldCharType="separate"/>
      </w:r>
      <w:r w:rsidR="008E2EAF" w:rsidRPr="00972C81">
        <w:rPr>
          <w:noProof/>
          <w:szCs w:val="24"/>
        </w:rPr>
        <w:t>(ICRP, 2019)</w:t>
      </w:r>
      <w:r w:rsidR="009A7E43" w:rsidRPr="00972C81">
        <w:rPr>
          <w:noProof/>
        </w:rPr>
        <w:fldChar w:fldCharType="end"/>
      </w:r>
      <w:r w:rsidRPr="00972C81">
        <w:rPr>
          <w:noProof/>
        </w:rPr>
        <w:t xml:space="preserve">, </w:t>
      </w:r>
      <w:r w:rsidRPr="00972C81">
        <w:rPr>
          <w:noProof/>
          <w:szCs w:val="24"/>
          <w:lang w:eastAsia="fr-FR"/>
        </w:rPr>
        <w:t>on the basis of data showing similar levels of absorption for neptunium, plutonium, americium and curium, and variations in fractional absorption resulting from differences in chemical forms, a general absorption fraction for unknown forms of the four actinides, including uptake from food, of 5</w:t>
      </w:r>
      <w:r w:rsidR="00067025" w:rsidRPr="00972C81">
        <w:rPr>
          <w:noProof/>
          <w:szCs w:val="24"/>
          <w:lang w:eastAsia="fr-FR"/>
        </w:rPr>
        <w:t xml:space="preserve"> × </w:t>
      </w:r>
      <w:r w:rsidRPr="00972C81">
        <w:rPr>
          <w:noProof/>
          <w:szCs w:val="24"/>
          <w:lang w:eastAsia="fr-FR"/>
        </w:rPr>
        <w:t>10</w:t>
      </w:r>
      <w:r w:rsidRPr="00972C81">
        <w:rPr>
          <w:noProof/>
          <w:szCs w:val="24"/>
          <w:vertAlign w:val="superscript"/>
          <w:lang w:eastAsia="fr-FR"/>
        </w:rPr>
        <w:t>-4</w:t>
      </w:r>
      <w:r w:rsidRPr="00972C81">
        <w:rPr>
          <w:noProof/>
          <w:szCs w:val="24"/>
          <w:lang w:eastAsia="fr-FR"/>
        </w:rPr>
        <w:t xml:space="preserve"> was </w:t>
      </w:r>
      <w:r w:rsidR="00E444AF" w:rsidRPr="00972C81">
        <w:rPr>
          <w:noProof/>
          <w:szCs w:val="24"/>
          <w:lang w:eastAsia="fr-FR"/>
        </w:rPr>
        <w:t>recommended</w:t>
      </w:r>
      <w:r w:rsidRPr="00972C81">
        <w:rPr>
          <w:noProof/>
          <w:szCs w:val="24"/>
          <w:lang w:eastAsia="fr-FR"/>
        </w:rPr>
        <w:t xml:space="preserve">. </w:t>
      </w:r>
      <w:r w:rsidRPr="00972C81">
        <w:rPr>
          <w:noProof/>
        </w:rPr>
        <w:t xml:space="preserve">The same value of </w:t>
      </w:r>
      <w:r w:rsidRPr="00972C81">
        <w:rPr>
          <w:i/>
          <w:noProof/>
        </w:rPr>
        <w:t>f</w:t>
      </w:r>
      <w:r w:rsidRPr="00972C81">
        <w:rPr>
          <w:noProof/>
          <w:vertAlign w:val="subscript"/>
        </w:rPr>
        <w:t>A</w:t>
      </w:r>
      <w:r w:rsidRPr="00972C81">
        <w:rPr>
          <w:noProof/>
        </w:rPr>
        <w:t xml:space="preserve"> = 5</w:t>
      </w:r>
      <w:r w:rsidR="00067025" w:rsidRPr="00972C81">
        <w:rPr>
          <w:noProof/>
        </w:rPr>
        <w:t xml:space="preserve"> × </w:t>
      </w:r>
      <w:r w:rsidRPr="00972C81">
        <w:rPr>
          <w:noProof/>
        </w:rPr>
        <w:t>10</w:t>
      </w:r>
      <w:r w:rsidRPr="00972C81">
        <w:rPr>
          <w:noProof/>
          <w:vertAlign w:val="superscript"/>
        </w:rPr>
        <w:t>-4</w:t>
      </w:r>
      <w:r w:rsidRPr="00972C81">
        <w:rPr>
          <w:noProof/>
        </w:rPr>
        <w:t xml:space="preserve"> is adopted here for all chemical forms of americium ingested by adult members of the public.</w:t>
      </w:r>
    </w:p>
    <w:p w14:paraId="6A1FD847" w14:textId="418207FF" w:rsidR="004C790F" w:rsidRPr="00972C81" w:rsidRDefault="004C790F" w:rsidP="001C4A92">
      <w:pPr>
        <w:pStyle w:val="Annalstext"/>
        <w:rPr>
          <w:noProof/>
          <w:lang w:eastAsia="fr-FR"/>
        </w:rPr>
      </w:pPr>
      <w:r w:rsidRPr="00972C81">
        <w:rPr>
          <w:i/>
          <w:noProof/>
        </w:rPr>
        <w:t>Children</w:t>
      </w:r>
      <w:r w:rsidRPr="00972C81">
        <w:rPr>
          <w:noProof/>
        </w:rPr>
        <w:t xml:space="preserve">. </w:t>
      </w:r>
      <w:r w:rsidRPr="00972C81">
        <w:rPr>
          <w:noProof/>
          <w:lang w:eastAsia="fr-FR"/>
        </w:rPr>
        <w:t xml:space="preserve">Absorption of americium by neonatal rats is about two orders of magnitude greater than in adult animals; high absorption has also been found in neonatal pigs </w:t>
      </w:r>
      <w:r w:rsidR="009A7E43" w:rsidRPr="00972C81">
        <w:rPr>
          <w:noProof/>
        </w:rPr>
        <w:fldChar w:fldCharType="begin"/>
      </w:r>
      <w:r w:rsidR="008E2EAF" w:rsidRPr="00972C81">
        <w:rPr>
          <w:noProof/>
        </w:rPr>
        <w:instrText xml:space="preserve"> ADDIN ZOTERO_ITEM CSL_CITATION {"citationID":"5MTYzn7o","properties":{"formattedCitation":"(ICRP, 1986)","plainCitation":"(ICRP, 1986)","noteIndex":0},"citationItems":[{"id":4867,"uris":["http://zotero.org/groups/2470620/items/JBT3RHCV"],"itemData":{"id":4867,"type":"article-journal","container-title":"Annals of the ICRP","issue":"2/3","journalAbbreviation":"Ann. ICRP","language":"et","title":"The Metabolism of Plutonium and Related Elements. ICRP Publication 48","volume":"16","author":[{"literal":"ICRP"}],"issued":{"date-parts":[["1986"]]}}}],"schema":"https://github.com/citation-style-language/schema/raw/master/csl-citation.json"} </w:instrText>
      </w:r>
      <w:r w:rsidR="009A7E43" w:rsidRPr="00972C81">
        <w:rPr>
          <w:noProof/>
        </w:rPr>
        <w:fldChar w:fldCharType="separate"/>
      </w:r>
      <w:r w:rsidR="008E2EAF" w:rsidRPr="00972C81">
        <w:rPr>
          <w:noProof/>
          <w:szCs w:val="24"/>
        </w:rPr>
        <w:t>(ICRP, 1986)</w:t>
      </w:r>
      <w:r w:rsidR="009A7E43" w:rsidRPr="00972C81">
        <w:rPr>
          <w:noProof/>
        </w:rPr>
        <w:fldChar w:fldCharType="end"/>
      </w:r>
      <w:r w:rsidRPr="00972C81">
        <w:rPr>
          <w:noProof/>
          <w:lang w:eastAsia="fr-FR"/>
        </w:rPr>
        <w:t xml:space="preserve">. </w:t>
      </w:r>
      <w:r w:rsidRPr="00972C81">
        <w:rPr>
          <w:i/>
          <w:noProof/>
          <w:lang w:eastAsia="fr-FR"/>
        </w:rPr>
        <w:t>Publication 56</w:t>
      </w:r>
      <w:r w:rsidRPr="00972C81">
        <w:rPr>
          <w:noProof/>
          <w:lang w:eastAsia="fr-FR"/>
        </w:rPr>
        <w:t xml:space="preserve"> </w:t>
      </w:r>
      <w:r w:rsidR="00E444AF" w:rsidRPr="00972C81">
        <w:rPr>
          <w:noProof/>
          <w:lang w:eastAsia="fr-FR"/>
        </w:rPr>
        <w:t>recommended</w:t>
      </w:r>
      <w:r w:rsidRPr="00972C81">
        <w:rPr>
          <w:noProof/>
          <w:lang w:eastAsia="fr-FR"/>
        </w:rPr>
        <w:t xml:space="preserve"> an absorption fraction for americium of 10</w:t>
      </w:r>
      <w:r w:rsidRPr="00972C81">
        <w:rPr>
          <w:noProof/>
          <w:vertAlign w:val="superscript"/>
          <w:lang w:eastAsia="fr-FR"/>
        </w:rPr>
        <w:t>-2</w:t>
      </w:r>
      <w:r w:rsidRPr="00972C81">
        <w:rPr>
          <w:noProof/>
          <w:lang w:eastAsia="fr-FR"/>
        </w:rPr>
        <w:t xml:space="preserve"> as an average for the first year of life and 10</w:t>
      </w:r>
      <w:r w:rsidRPr="00972C81">
        <w:rPr>
          <w:noProof/>
          <w:vertAlign w:val="superscript"/>
          <w:lang w:eastAsia="fr-FR"/>
        </w:rPr>
        <w:t>-3</w:t>
      </w:r>
      <w:r w:rsidRPr="00972C81">
        <w:rPr>
          <w:noProof/>
          <w:lang w:eastAsia="fr-FR"/>
        </w:rPr>
        <w:t xml:space="preserve"> for all succeeding years. </w:t>
      </w:r>
      <w:r w:rsidRPr="00972C81">
        <w:rPr>
          <w:noProof/>
        </w:rPr>
        <w:t xml:space="preserve">In </w:t>
      </w:r>
      <w:r w:rsidRPr="00972C81">
        <w:rPr>
          <w:i/>
          <w:noProof/>
        </w:rPr>
        <w:t>Publication 67</w:t>
      </w:r>
      <w:r w:rsidR="001100A3" w:rsidRPr="00972C81">
        <w:rPr>
          <w:noProof/>
        </w:rPr>
        <w:t>, the la</w:t>
      </w:r>
      <w:r w:rsidRPr="00972C81">
        <w:rPr>
          <w:noProof/>
        </w:rPr>
        <w:t xml:space="preserve">test data were taken into account to update the recommended values to </w:t>
      </w:r>
      <w:r w:rsidRPr="00972C81">
        <w:rPr>
          <w:noProof/>
          <w:lang w:eastAsia="fr-FR"/>
        </w:rPr>
        <w:t>5</w:t>
      </w:r>
      <w:r w:rsidR="00067025" w:rsidRPr="00972C81">
        <w:rPr>
          <w:noProof/>
          <w:lang w:eastAsia="fr-FR"/>
        </w:rPr>
        <w:t xml:space="preserve"> × </w:t>
      </w:r>
      <w:r w:rsidRPr="00972C81">
        <w:rPr>
          <w:noProof/>
          <w:lang w:eastAsia="fr-FR"/>
        </w:rPr>
        <w:t>10</w:t>
      </w:r>
      <w:r w:rsidRPr="00972C81">
        <w:rPr>
          <w:noProof/>
          <w:vertAlign w:val="superscript"/>
          <w:lang w:eastAsia="fr-FR"/>
        </w:rPr>
        <w:t>-3</w:t>
      </w:r>
      <w:r w:rsidRPr="00972C81">
        <w:rPr>
          <w:noProof/>
          <w:lang w:eastAsia="fr-FR"/>
        </w:rPr>
        <w:t xml:space="preserve"> for 3-month-old infants and 5</w:t>
      </w:r>
      <w:r w:rsidR="00067025" w:rsidRPr="00972C81">
        <w:rPr>
          <w:noProof/>
          <w:lang w:eastAsia="fr-FR"/>
        </w:rPr>
        <w:t xml:space="preserve"> × </w:t>
      </w:r>
      <w:r w:rsidRPr="00972C81">
        <w:rPr>
          <w:noProof/>
          <w:lang w:eastAsia="fr-FR"/>
        </w:rPr>
        <w:t>10</w:t>
      </w:r>
      <w:r w:rsidRPr="00972C81">
        <w:rPr>
          <w:noProof/>
          <w:vertAlign w:val="superscript"/>
          <w:lang w:eastAsia="fr-FR"/>
        </w:rPr>
        <w:t>-4</w:t>
      </w:r>
      <w:r w:rsidRPr="00972C81">
        <w:rPr>
          <w:noProof/>
          <w:lang w:eastAsia="fr-FR"/>
        </w:rPr>
        <w:t xml:space="preserve"> for children of 1 year and older. The same values are adopted here for children </w:t>
      </w:r>
      <w:r w:rsidRPr="00972C81">
        <w:rPr>
          <w:i/>
          <w:noProof/>
          <w:lang w:eastAsia="fr-FR"/>
        </w:rPr>
        <w:t>f</w:t>
      </w:r>
      <w:r w:rsidRPr="00972C81">
        <w:rPr>
          <w:noProof/>
          <w:vertAlign w:val="subscript"/>
          <w:lang w:eastAsia="fr-FR"/>
        </w:rPr>
        <w:t>A</w:t>
      </w:r>
      <w:r w:rsidRPr="00972C81">
        <w:rPr>
          <w:noProof/>
          <w:lang w:eastAsia="fr-FR"/>
        </w:rPr>
        <w:t>.</w:t>
      </w:r>
    </w:p>
    <w:p w14:paraId="1682C7A2" w14:textId="77777777" w:rsidR="004C790F" w:rsidRPr="00972C81" w:rsidRDefault="004C790F" w:rsidP="00E81109">
      <w:pPr>
        <w:pStyle w:val="3"/>
        <w:rPr>
          <w:noProof/>
        </w:rPr>
      </w:pPr>
      <w:bookmarkStart w:id="344" w:name="_Toc162630113"/>
      <w:r w:rsidRPr="00972C81">
        <w:rPr>
          <w:noProof/>
        </w:rPr>
        <w:t>Systemic Distribution, Retention and Excretion</w:t>
      </w:r>
      <w:bookmarkEnd w:id="344"/>
    </w:p>
    <w:p w14:paraId="0467CB84" w14:textId="77777777" w:rsidR="00D60A65" w:rsidRPr="00972C81" w:rsidRDefault="00D60A65" w:rsidP="006703A2">
      <w:pPr>
        <w:pStyle w:val="OIRTitre4"/>
      </w:pPr>
      <w:r w:rsidRPr="00972C81">
        <w:t>Summary of biokinetic data</w:t>
      </w:r>
    </w:p>
    <w:p w14:paraId="51A6755C" w14:textId="55F9268E" w:rsidR="00D60A65" w:rsidRPr="00972C81" w:rsidRDefault="00D60A65" w:rsidP="001C4A92">
      <w:pPr>
        <w:pStyle w:val="Annalstext"/>
        <w:rPr>
          <w:noProof/>
        </w:rPr>
      </w:pPr>
      <w:bookmarkStart w:id="345" w:name="_Hlk495134785"/>
      <w:r w:rsidRPr="00972C81">
        <w:rPr>
          <w:noProof/>
        </w:rPr>
        <w:t xml:space="preserve">The biokinetics of systemic americium has been investigated in workers exposed to </w:t>
      </w:r>
      <w:r w:rsidRPr="00972C81">
        <w:rPr>
          <w:noProof/>
          <w:vertAlign w:val="superscript"/>
        </w:rPr>
        <w:t>241</w:t>
      </w:r>
      <w:r w:rsidRPr="00972C81">
        <w:rPr>
          <w:noProof/>
        </w:rPr>
        <w:t xml:space="preserve">Am or its parent </w:t>
      </w:r>
      <w:r w:rsidRPr="00972C81">
        <w:rPr>
          <w:noProof/>
          <w:vertAlign w:val="superscript"/>
        </w:rPr>
        <w:t>241</w:t>
      </w:r>
      <w:r w:rsidRPr="00972C81">
        <w:rPr>
          <w:noProof/>
        </w:rPr>
        <w:t xml:space="preserve">Pu, which is tenaciously retained in systemic tissues and decays to </w:t>
      </w:r>
      <w:r w:rsidRPr="00972C81">
        <w:rPr>
          <w:noProof/>
          <w:vertAlign w:val="superscript"/>
        </w:rPr>
        <w:t>241</w:t>
      </w:r>
      <w:r w:rsidRPr="00972C81">
        <w:rPr>
          <w:noProof/>
        </w:rPr>
        <w:t xml:space="preserve">Am with a half-time of 14.4 y. Reported data for workers include urinary and faecal levels of </w:t>
      </w:r>
      <w:r w:rsidRPr="00972C81">
        <w:rPr>
          <w:noProof/>
          <w:vertAlign w:val="superscript"/>
        </w:rPr>
        <w:t>241</w:t>
      </w:r>
      <w:r w:rsidRPr="00972C81">
        <w:rPr>
          <w:noProof/>
        </w:rPr>
        <w:t xml:space="preserve">Am, external measurements of </w:t>
      </w:r>
      <w:r w:rsidRPr="00972C81">
        <w:rPr>
          <w:noProof/>
          <w:vertAlign w:val="superscript"/>
        </w:rPr>
        <w:t>241</w:t>
      </w:r>
      <w:r w:rsidRPr="00972C81">
        <w:rPr>
          <w:noProof/>
        </w:rPr>
        <w:t xml:space="preserve">Am in bone and liver of living subjects, and </w:t>
      </w:r>
      <w:r w:rsidRPr="00972C81">
        <w:rPr>
          <w:noProof/>
          <w:vertAlign w:val="superscript"/>
        </w:rPr>
        <w:t>241</w:t>
      </w:r>
      <w:r w:rsidRPr="00972C81">
        <w:rPr>
          <w:noProof/>
        </w:rPr>
        <w:t>Am in a liver, bone, and other tissues collected at autopsy.</w:t>
      </w:r>
    </w:p>
    <w:p w14:paraId="333CADAF" w14:textId="09A84B58" w:rsidR="00D60A65" w:rsidRPr="00972C81" w:rsidRDefault="00D60A65" w:rsidP="001C4A92">
      <w:pPr>
        <w:pStyle w:val="Annalstext"/>
        <w:rPr>
          <w:noProof/>
        </w:rPr>
      </w:pPr>
      <w:r w:rsidRPr="00972C81">
        <w:rPr>
          <w:noProof/>
        </w:rPr>
        <w:t xml:space="preserve">Data for direct intake of relatively pure </w:t>
      </w:r>
      <w:r w:rsidRPr="00972C81">
        <w:rPr>
          <w:noProof/>
          <w:vertAlign w:val="superscript"/>
        </w:rPr>
        <w:t>241</w:t>
      </w:r>
      <w:r w:rsidRPr="00972C81">
        <w:rPr>
          <w:noProof/>
        </w:rPr>
        <w:t xml:space="preserve">Am (i.e., not mixed with a significant amount of its parent </w:t>
      </w:r>
      <w:r w:rsidRPr="00972C81">
        <w:rPr>
          <w:noProof/>
          <w:vertAlign w:val="superscript"/>
        </w:rPr>
        <w:t>241</w:t>
      </w:r>
      <w:r w:rsidRPr="00972C81">
        <w:rPr>
          <w:noProof/>
        </w:rPr>
        <w:t xml:space="preserve">Pu) are preferred for modelling americium kinetics but are available for only a few subjects, some of whom received chelation therapy that may have altered the systemic kinetics of Am </w:t>
      </w:r>
      <w:r w:rsidR="000B7A8C" w:rsidRPr="00972C81">
        <w:rPr>
          <w:noProof/>
        </w:rPr>
        <w:fldChar w:fldCharType="begin"/>
      </w:r>
      <w:r w:rsidR="008E2EAF" w:rsidRPr="00972C81">
        <w:rPr>
          <w:noProof/>
        </w:rPr>
        <w:instrText xml:space="preserve"> ADDIN ZOTERO_ITEM CSL_CITATION {"citationID":"a2a4k2oaq3i","properties":{"formattedCitation":"(Breitenstein Jr and Palmer, 1989; Doerfel and Oliveira, 1989; Fry, 1976; Heid and Robinson, 1985; Mal\\uc0\\u225{}tov\\uc0\\u225{} et al., 2003, 2010; Rosen et al., 1980; Whalen and Davies, 1972; Wrenn et al., 1972)","plainCitation":"(Breitenstein Jr and Palmer, 1989; Doerfel and Oliveira, 1989; Fry, 1976; Heid and Robinson, 1985; Malátová et al., 2003, 2010; Rosen et al., 1980; Whalen and Davies, 1972; Wrenn et al., 1972)","noteIndex":0},"citationItems":[{"id":5175,"uris":["http://zotero.org/groups/2470620/items/TF5G8I4Q"],"itemData":{"id":5175,"type":"article-journal","container-title":"Radiation protection dosimetry","issue":"1-4","note":"publisher: Oxford University Press","page":"317–322","source":"Google Scholar","title":"Lifetime follow-up of the 1976 americium accident victim","volume":"26","author":[{"family":"Breitenstein Jr","given":"B. D."},{"family":"Palmer","given":"H. E."}],"issued":{"date-parts":[["1989"]]}},"label":"page"},{"id":5177,"uris":["http://zotero.org/groups/2470620/items/VQ2KTPB8"],"itemData":{"id":5177,"type":"article-journal","container-title":"Radiation Protection Dosimetry","issue":"1-4","note":"publisher: Oxford University Press","page":"189–193","source":"Google Scholar","title":"In vivo measurement of 241Am organ burdens: techniques and results of measurements after an incident in an industrial research institute","title-short":"In vivo measurement of 241Am organ burdens","volume":"26","author":[{"family":"Doerfel","given":"H."},{"family":"Oliveira","given":"C. A. N."}],"issued":{"date-parts":[["1989"]]}},"label":"page"},{"id":5169,"uris":["http://zotero.org/groups/2470620/items/UNDL9EWB"],"itemData":{"id":5169,"type":"article-journal","container-title":"Health Physics","DOI":"10.1097/00004032-197607000-00002","ISSN":"0017-9078","issue":"1","journalAbbreviation":"Health Phys","language":"eng","note":"PMID: 955912","page":"13-20","source":"PubMed","title":"Long-term retention of americium-241 following accidental inhalation","volume":"31","author":[{"family":"Fry","given":"F. A."}],"issued":{"date-parts":[["1976",7]]}},"label":"page"},{"id":5173,"uris":["http://zotero.org/groups/2470620/items/VPWKFGW8"],"itemData":{"id":5173,"type":"article-journal","abstract":"The estimated systemic burden of 0.3 muCi 241Am, made by the resident health physicist, has been compared to postmortem measurements using in-vivo counting equipment and radiochemical analysis of the donor's body. The health physicist's estimate was based on in-vivo measurements and urine excretion data obtained while the donor was still working, and it was logically assumed that the intake occurred about 1954 as a result of inhalation of Am-contaminated air. Based on additional data obtained by postmortem analysis, it seems more reasonable to assume for the purpose of scientific study and evaluation that the intake occurred in 1953, primarily as the result of a contaminated wound. Evaluations of the systemic burden using that assumption and three models indicate that the amount initially deposited could have been in the range of 0.2-1.1 muCi 241Am.","container-title":"Health Physics","ISSN":"0017-9078","issue":"4","journalAbbreviation":"Health Phys","language":"eng","note":"PMID: 3930424","page":"569-575","source":"PubMed","title":"The U.S. Transuranium Registry report on the 241Am content of a whole body. Part II: Estimate of the initial systematic burden","title-short":"The U.S. Transuranium Registry report on the 241Am content of a whole body. Part II","volume":"49","author":[{"family":"Heid","given":"K. R."},{"family":"Robinson","given":"B."}],"issued":{"date-parts":[["1985",10]]}},"label":"page"},{"id":5179,"uris":["http://zotero.org/groups/2470620/items/G43NM5FE"],"itemData":{"id":5179,"type":"article-journal","container-title":"Radiation protection dosimetry","issue":"1-4","note":"publisher: Oxford University Press","page":"325–328","source":"Google Scholar","title":"Assessment of occupational doses from internal contamination with 241Am","volume":"105","author":[{"family":"Malátová","given":"I."},{"family":"Foltánová","given":"Ô"},{"family":"Be_ková","given":"V."},{"family":"Filgas","given":"R."},{"family":"Pospièilová","given":"H."},{"family":"Hölgye","given":"Z."}],"issued":{"date-parts":[["2003"]]}},"label":"page"},{"id":5181,"uris":["http://zotero.org/groups/2470620/items/CGP4GLPC"],"itemData":{"id":5181,"type":"article-journal","container-title":"Health physics","issue":"4","note":"publisher: LWW","page":"495–502","source":"Google Scholar","title":"Twelve years of follow up of cases with old 241Am internal contamination","volume":"99","author":[{"family":"Malátová","given":"Irena"},{"family":"Vrba","given":"Tomáš"},{"family":"Becková","given":"Vera"},{"family":"Pospíšilová","given":"Helena"}],"issued":{"date-parts":[["2010"]]}},"label":"page"},{"id":5171,"uris":["http://zotero.org/groups/2470620/items/D4RQQFSY"],"itemData":{"id":5171,"type":"article-journal","container-title":"Health Physics","DOI":"10.1097/00004032-198010000-00002","ISSN":"0017-9078","issue":"4","journalAbbreviation":"Health Phys","language":"eng","note":"PMID: 7429865","page":"601-609","source":"PubMed","title":"Long-term removal of 241Am using Ca-DTPA","volume":"39","author":[{"family":"Rosen","given":"J. C."},{"family":"Gur","given":"D."},{"family":"Pan","given":"S. F."},{"family":"Wald","given":"N."},{"family":"Brodsky","given":"A."}],"issued":{"date-parts":[["1980",10]]}},"label":"page"},{"id":5167,"uris":["http://zotero.org/groups/2470620/items/4P2DA2PV"],"itemData":{"id":5167,"type":"report","number":"Radiation and Data Reports","page":"249-253","publisher":"New York State Dept. of Health, Albany","source":"Google Scholar","title":"Americium contamination incident in a New York State Health Department laboratory","author":[{"family":"Whalen","given":"R. P."},{"family":"Davies","given":"Stephenie"}],"issued":{"date-parts":[["1972"]]}},"label":"page"},{"id":5166,"uris":["http://zotero.org/groups/2470620/items/P2FPN35Q"],"itemData":{"id":5166,"type":"paper-conference","container-title":"Assessment of radioactive contamination in man, Proceedings of a symposium organized by IAEA and WHO, Stockholm, 22-26 November 1971; IAEA SM 150/38","event-place":"Vienna","page":"595–621","publisher":"International Atomic Energy Agency","publisher-place":"Vienna","source":"Google Scholar","title":"In-vivo measurement of americium-241 in man","author":[{"family":"Wrenn","given":"McD"},{"family":"Rosen","given":"J. C."},{"family":"Cohen","given":"N."}],"issued":{"date-parts":[["1972"]]}},"label":"page"}],"schema":"https://github.com/citation-style-language/schema/raw/master/csl-citation.json"} </w:instrText>
      </w:r>
      <w:r w:rsidR="000B7A8C" w:rsidRPr="00972C81">
        <w:rPr>
          <w:noProof/>
        </w:rPr>
        <w:fldChar w:fldCharType="separate"/>
      </w:r>
      <w:r w:rsidR="008E2EAF" w:rsidRPr="00972C81">
        <w:rPr>
          <w:noProof/>
          <w:szCs w:val="24"/>
        </w:rPr>
        <w:t xml:space="preserve">(Breitenstein Jr and Palmer, 1989; Doerfel and Oliveira, 1989; Fry, </w:t>
      </w:r>
      <w:r w:rsidR="008E2EAF" w:rsidRPr="00972C81">
        <w:rPr>
          <w:noProof/>
          <w:szCs w:val="24"/>
        </w:rPr>
        <w:lastRenderedPageBreak/>
        <w:t>1976; Heid and Robinson, 1985; Malátová et al., 2003, 2010; Rosen et al., 1980; Whalen and Davies, 1972; Wrenn et al., 1972)</w:t>
      </w:r>
      <w:r w:rsidR="000B7A8C" w:rsidRPr="00972C81">
        <w:rPr>
          <w:noProof/>
        </w:rPr>
        <w:fldChar w:fldCharType="end"/>
      </w:r>
      <w:r w:rsidRPr="00972C81">
        <w:rPr>
          <w:noProof/>
        </w:rPr>
        <w:t xml:space="preserve">. More extensive observations are available for workers whose systemic </w:t>
      </w:r>
      <w:r w:rsidRPr="00972C81">
        <w:rPr>
          <w:noProof/>
          <w:vertAlign w:val="superscript"/>
        </w:rPr>
        <w:t>241</w:t>
      </w:r>
      <w:r w:rsidRPr="00972C81">
        <w:rPr>
          <w:noProof/>
        </w:rPr>
        <w:t xml:space="preserve">Am burden may have resulted largely from decay of systemic </w:t>
      </w:r>
      <w:r w:rsidRPr="00972C81">
        <w:rPr>
          <w:noProof/>
          <w:vertAlign w:val="superscript"/>
        </w:rPr>
        <w:t>241</w:t>
      </w:r>
      <w:r w:rsidRPr="00972C81">
        <w:rPr>
          <w:noProof/>
        </w:rPr>
        <w:t xml:space="preserve">Pu </w:t>
      </w:r>
      <w:r w:rsidR="008E2EAF" w:rsidRPr="00972C81">
        <w:rPr>
          <w:noProof/>
        </w:rPr>
        <w:fldChar w:fldCharType="begin"/>
      </w:r>
      <w:r w:rsidR="008E2EAF" w:rsidRPr="00972C81">
        <w:rPr>
          <w:noProof/>
        </w:rPr>
        <w:instrText xml:space="preserve"> ADDIN ZOTERO_ITEM CSL_CITATION {"citationID":"a2erl0t9ma5","properties":{"formattedCitation":"(Kathren et al., 1988, 1997; Kathren and McInroy, 1992; Lynch et al., 1989; McInroy et al., 1989; Popplewell and Ham, 1989; Suslova et al., 2013)","plainCitation":"(Kathren et al., 1988, 1997; Kathren and McInroy, 1992; Lynch et al., 1989; McInroy et al., 1989; Popplewell and Ham, 1989; Suslova et al., 2013)","noteIndex":0},"citationItems":[{"id":5123,"uris":["http://zotero.org/groups/2470620/items/FT7R9NKK"],"itemData":{"id":5123,"type":"article-journal","abstract":"The content of 238Pu, 239Pu and 241Am in the liver and skeleton was estimated from radiochemical analysis of human liver and bone samples obtained at autopsy from former actinide workers whose occupational histories were suggestive of chronic inhalation exposures, with minor skin contamination and wounds documented in a few individuals. For times estimated to be several years to a few decades post intake, 75.8 +/- 15.3% of the total 241Am in the skeleton and liver was found in the skeleton (25 cases) as compared with 63.4 +/- 24.1% for 238Pu (36 cases) and 53.2 +/- 18.2% for 239Pu (43 cases). These differences are significant at the 95% confidence level. Of these cases, 34 included data on both 238Pu and 239Pu and were divided into high and low activity subgroups. The difference in the fractionation of the two Pu isotopes was apparent only in the low activity subgroup, suggesting that the difference observed between the Pu isotopes may be an artifact of the data. The different partitioning of these three nuclides suggests that the ALIs for 238Pu and 241Am may be high by about 25-50% if only the dose to bone is considered and may be high by 12-13%, based on the weighted committed dose equivalent in target organs or tissues.","container-title":"Health Physics","DOI":"10.1097/00004032-198802000-00007","ISSN":"0017-9078","issue":"2","journalAbbreviation":"Health Phys","language":"eng","note":"PMID: 3338916","page":"181-188","source":"PubMed","title":"Partitioning of 238Pu, 239Pu and 241Am in skeleton and liver of U.S. Transuranium Registry autopsy cases","volume":"54","author":[{"family":"Kathren","given":"R. L."},{"family":"McInroy","given":"J. F."},{"family":"Reichert","given":"M. M."},{"family":"Swint","given":"M. J."}],"issued":{"date-parts":[["1988",2]]}}},{"id":5183,"uris":["http://zotero.org/groups/2470620/items/VQJNKMLE"],"itemData":{"id":5183,"type":"chapter","container-title":"USTUR annual report for October 1, 1996 through September 30, 1997","event-place":"Pullman, WA","language":"en","page":"99–249","publisher":"United States Tranuranium and Uranium Registries","publisher-place":"Pullman, WA","title":"Actinide concentrations in tissue donations from routine autopsy donations to the USTUR","author":[{"family":"Kathren","given":"R.L."},{"family":"Pham","given":"M.V."},{"family":"Ronald","given":"E.P."}],"issued":{"date-parts":[["1997"]]}}},{"id":5188,"uris":["http://zotero.org/groups/2470620/items/HB4M9X64"],"itemData":{"id":5188,"type":"article-journal","container-title":"Journal of radioanalytical and nuclear chemistry","issue":"2","note":"publisher: Akadémiai Kiadó, co-published with Springer Science+ Business Media BV …","page":"413–424","source":"Google Scholar","title":"Implications of postmortem human tissue analysis on biokinetic models for actinides","volume":"156","author":[{"family":"Kathren","given":"R."},{"family":"McInroy","given":"J."}],"issued":{"date-parts":[["1992"]]}}},{"id":5184,"uris":["http://zotero.org/groups/2470620/items/E829K3WV"],"itemData":{"id":5184,"type":"article-journal","abstract":"The skeletal distribution of Am and Pu in four human cases was compared with the skeletal distributions of these radioelements in baboons and monkeys. Excellent agreement was noted among the four human cases; data were available for Am in all four and Pu in three. A statistically significant correlation was found between the 241Am and 239Pu + 240Pu skeletal distributions in the humans and those in nonhuman primates. Trabecular bone had the highest concentrations of 241Am and 239+240Pu in humans, baboons, and monkeys. Scaling factors are proposed to convert the percentages of skeletal activity in animal bones to the corresponding percentages in the bones of the human skeleton.","container-title":"Health Physics","DOI":"10.1097/00004032-198907001-00009","ISSN":"0017-9078","journalAbbreviation":"Health Phys","language":"eng","note":"PMID: 2606708","page":"81-88","source":"PubMed","title":"Comparative skeletal distribution of Am and Pu in man, monkey, and baboon","volume":"57 Suppl 1","author":[{"family":"Lynch","given":"T. P."},{"family":"Kathren","given":"R. L."},{"family":"Dagle","given":"G. E."},{"family":"McInroy","given":"J. F."}],"issued":{"date-parts":[["1989"]]}}},{"id":5127,"uris":["http://zotero.org/groups/2470620/items/NRDZ5BVU"],"itemData":{"id":5127,"type":"article-journal","container-title":"Radiation Protection Dosimetry","issue":"1-4","note":"publisher: Oxford University Press","page":"151–158","source":"Google Scholar","title":"Distribution of plutonium and americium in whole bodies donated to the United States Transuranium Registry","volume":"26","author":[{"family":"McInroy","given":"J. F."},{"family":"Kathren","given":"R. L."},{"family":"Swint","given":"M. J."}],"issued":{"date-parts":[["1989"]]}}},{"id":5186,"uris":["http://zotero.org/groups/2470620/items/DQS3HJPQ"],"itemData":{"id":5186,"type":"article-journal","container-title":"Journal of Radiological Protection","issue":"3","note":"publisher: IOP Publishing","page":"159-164","source":"Google Scholar","title":"Distribution of plutonium and americium in tissues from a human autopsy case","volume":"9","author":[{"family":"Popplewell","given":"D. S."},{"family":"Ham","given":"G. J."}],"issued":{"date-parts":[["1989"]]}}},{"id":5135,"uris":["http://zotero.org/groups/2470620/items/6XYPFYJE"],"itemData":{"id":5135,"type":"article-journal","abstract":"Americium-241 (²⁴¹Am) is the second most significant radiation hazard after ²³⁹Pu at some of the Mayak Production Association facilities. This study summarizes current data on the accumulation, distribution, and excretion of americium compared with plutonium in different organs from former Mayak PA workers. Americium and plutonium were measured in autopsy and bioassay samples and correlated with the presence or absence of chronic disease and with biological transportability of the aerosols encountered at different workplaces. The relative accumulation of ²⁴¹Am was found to be increasing in the workers over time. This is likely from ²⁴¹Pu that increases with time in reprocessed fuel and from the increased concentrations of ²⁴¹Am and ²⁴¹Pu in inhaled alpha-active aerosols. While differences were observed in lung retention with exposures to different industrial compounds with different transportabilities (i.e., dioxide and nitrates), there were no significant differences in lung retention between americium and plutonium within each transportability group. In the non-pulmonary organs, the highest ratios of ²⁴¹Am/²⁴¹Am + SPu were observed in the skeleton. The relative ratios of americium in the skeleton versus liver were significantly greater than for plutonium. The relative amounts of americium and plutonium found in the skeleton compared with the liver were even greater in workers with documented chronic liver diseases. Excretion rates of ²⁴¹Am in ‘‘healthy’’ workers were estimated using bioassay and autopsy data. The data suggest that impaired liver function leads to reduced hepatic ²⁴¹Am retention, leading to increased ²⁴¹Am excretion.","container-title":"Health Physics","DOI":"10.1097/HP.0b013e31827c783f","ISSN":"1538-5159","issue":"3","journalAbbreviation":"Health Phys","language":"eng","note":"PMID: 23361427","page":"313-324","source":"PubMed","title":"Accumulation, organ distribution, and excretion kinetics of ²⁴¹Am in Mayak Production Association workers","volume":"104","author":[{"family":"Suslova","given":"Klara G."},{"family":"Sokolova","given":"Alexandra B."},{"family":"Efimov","given":"Alexander V."},{"family":"Miller","given":"Scott C."}],"issued":{"date-parts":[["2013",3]]}}}],"schema":"https://github.com/citation-style-language/schema/raw/master/csl-citation.json"} </w:instrText>
      </w:r>
      <w:r w:rsidR="008E2EAF" w:rsidRPr="00972C81">
        <w:rPr>
          <w:noProof/>
        </w:rPr>
        <w:fldChar w:fldCharType="separate"/>
      </w:r>
      <w:r w:rsidR="008E2EAF" w:rsidRPr="00972C81">
        <w:rPr>
          <w:noProof/>
          <w:szCs w:val="24"/>
        </w:rPr>
        <w:t>(Kathren et al., 1988, 1997; Kathren and McInroy, 1992; Lynch et al., 1989; McInroy et al., 1989; Popplewell and Ham, 1989; Suslova et al., 2013)</w:t>
      </w:r>
      <w:r w:rsidR="008E2EAF" w:rsidRPr="00972C81">
        <w:rPr>
          <w:noProof/>
        </w:rPr>
        <w:fldChar w:fldCharType="end"/>
      </w:r>
      <w:r w:rsidRPr="00972C81">
        <w:rPr>
          <w:noProof/>
        </w:rPr>
        <w:t xml:space="preserve">. Data for the latter cases suggest that </w:t>
      </w:r>
      <w:r w:rsidRPr="00972C81">
        <w:rPr>
          <w:noProof/>
          <w:vertAlign w:val="superscript"/>
        </w:rPr>
        <w:t>241</w:t>
      </w:r>
      <w:r w:rsidRPr="00972C81">
        <w:rPr>
          <w:noProof/>
        </w:rPr>
        <w:t xml:space="preserve">Am migrates from </w:t>
      </w:r>
      <w:r w:rsidRPr="00972C81">
        <w:rPr>
          <w:noProof/>
          <w:vertAlign w:val="superscript"/>
        </w:rPr>
        <w:t>241</w:t>
      </w:r>
      <w:r w:rsidRPr="00972C81">
        <w:rPr>
          <w:noProof/>
        </w:rPr>
        <w:t xml:space="preserve">Pu over time, resulting in a skeleton to liver activity ratio (ratio of total activity in the skeleton to that in liver) that is typically much larger for </w:t>
      </w:r>
      <w:r w:rsidRPr="00972C81">
        <w:rPr>
          <w:noProof/>
          <w:vertAlign w:val="superscript"/>
        </w:rPr>
        <w:t>241</w:t>
      </w:r>
      <w:r w:rsidRPr="00972C81">
        <w:rPr>
          <w:noProof/>
        </w:rPr>
        <w:t xml:space="preserve">Am than for its parent </w:t>
      </w:r>
      <w:r w:rsidRPr="00972C81">
        <w:rPr>
          <w:noProof/>
          <w:vertAlign w:val="superscript"/>
        </w:rPr>
        <w:t>241</w:t>
      </w:r>
      <w:r w:rsidRPr="00972C81">
        <w:rPr>
          <w:noProof/>
        </w:rPr>
        <w:t xml:space="preserve">Pu. However, </w:t>
      </w:r>
      <w:r w:rsidRPr="00972C81">
        <w:rPr>
          <w:noProof/>
          <w:vertAlign w:val="superscript"/>
        </w:rPr>
        <w:t>241</w:t>
      </w:r>
      <w:r w:rsidRPr="00972C81">
        <w:rPr>
          <w:noProof/>
        </w:rPr>
        <w:t xml:space="preserve">Am produced in bone and perhaps at some soft-tissue sites (e.g. in reticulendothelial cells) may remain with </w:t>
      </w:r>
      <w:r w:rsidRPr="00972C81">
        <w:rPr>
          <w:noProof/>
          <w:vertAlign w:val="superscript"/>
        </w:rPr>
        <w:t>241</w:t>
      </w:r>
      <w:r w:rsidRPr="00972C81">
        <w:rPr>
          <w:noProof/>
        </w:rPr>
        <w:t xml:space="preserve">Pu for an extended period. Thus, </w:t>
      </w:r>
      <w:r w:rsidRPr="00972C81">
        <w:rPr>
          <w:noProof/>
          <w:vertAlign w:val="superscript"/>
        </w:rPr>
        <w:t>241</w:t>
      </w:r>
      <w:r w:rsidRPr="00972C81">
        <w:rPr>
          <w:noProof/>
        </w:rPr>
        <w:t xml:space="preserve">Am produced </w:t>
      </w:r>
      <w:r w:rsidRPr="00972C81">
        <w:rPr>
          <w:i/>
          <w:noProof/>
        </w:rPr>
        <w:t>in vivo</w:t>
      </w:r>
      <w:r w:rsidRPr="00972C81">
        <w:rPr>
          <w:noProof/>
        </w:rPr>
        <w:t xml:space="preserve"> by decay of </w:t>
      </w:r>
      <w:r w:rsidRPr="00972C81">
        <w:rPr>
          <w:noProof/>
          <w:vertAlign w:val="superscript"/>
        </w:rPr>
        <w:t>241</w:t>
      </w:r>
      <w:r w:rsidRPr="00972C81">
        <w:rPr>
          <w:noProof/>
        </w:rPr>
        <w:t>Pu may reflect some combination of the systemic behaviour of americium and that of plutonium.</w:t>
      </w:r>
    </w:p>
    <w:p w14:paraId="5ECDEC8F" w14:textId="06F7D5CA" w:rsidR="00D60A65" w:rsidRPr="00972C81" w:rsidRDefault="00D60A65" w:rsidP="001C4A92">
      <w:pPr>
        <w:pStyle w:val="Annalstext"/>
        <w:rPr>
          <w:noProof/>
        </w:rPr>
      </w:pPr>
      <w:r w:rsidRPr="00972C81">
        <w:rPr>
          <w:noProof/>
        </w:rPr>
        <w:t>There are broad similarities in the systemic behaviour of plutonium and initially pure americium but also notable differences, particularly in their long-term distributions. For both elements there is early uptake of about 70</w:t>
      </w:r>
      <w:r w:rsidR="009A15D5" w:rsidRPr="00FE17F7">
        <w:t>–</w:t>
      </w:r>
      <w:r w:rsidRPr="00972C81">
        <w:rPr>
          <w:noProof/>
        </w:rPr>
        <w:t xml:space="preserve">90% of the injected amount by the liver and skeleton, with the liver initially containing the greater portion on average in mature humans and in most but not all studied mature laboratory animals. Notable differences in the systemic behaviours of these two elements include an initially higher rate of urinary excretion of americium and faster removal of americium from the liver. There are also differences in the sites of deposition of americium and plutonium on bone surfaces and perhaps associated differences in the net rate of removal of these elements from bone. </w:t>
      </w:r>
    </w:p>
    <w:p w14:paraId="17F66F5A" w14:textId="163A6FC2" w:rsidR="00D60A65" w:rsidRPr="00972C81" w:rsidRDefault="00D60A65" w:rsidP="001C4A92">
      <w:pPr>
        <w:pStyle w:val="Annalstext"/>
        <w:rPr>
          <w:noProof/>
        </w:rPr>
      </w:pPr>
      <w:r w:rsidRPr="00972C81">
        <w:rPr>
          <w:noProof/>
        </w:rPr>
        <w:t xml:space="preserve">Americium-241 has been measured in the total body or selected tissues of many Transuranium and Uranium Registries (USTUR) donors with occupational exposures to </w:t>
      </w:r>
      <w:r w:rsidRPr="00972C81">
        <w:rPr>
          <w:noProof/>
          <w:vertAlign w:val="superscript"/>
        </w:rPr>
        <w:t>241</w:t>
      </w:r>
      <w:r w:rsidRPr="00972C81">
        <w:rPr>
          <w:noProof/>
        </w:rPr>
        <w:t xml:space="preserve">Pu or mixtures of </w:t>
      </w:r>
      <w:r w:rsidRPr="00972C81">
        <w:rPr>
          <w:noProof/>
          <w:vertAlign w:val="superscript"/>
        </w:rPr>
        <w:t>241</w:t>
      </w:r>
      <w:r w:rsidRPr="00972C81">
        <w:rPr>
          <w:noProof/>
        </w:rPr>
        <w:t xml:space="preserve">Pu and </w:t>
      </w:r>
      <w:r w:rsidRPr="00972C81">
        <w:rPr>
          <w:noProof/>
          <w:vertAlign w:val="superscript"/>
        </w:rPr>
        <w:t>241</w:t>
      </w:r>
      <w:r w:rsidRPr="00972C81">
        <w:rPr>
          <w:noProof/>
        </w:rPr>
        <w:t xml:space="preserve">Am and in a few cases to relatively pure forms of </w:t>
      </w:r>
      <w:r w:rsidRPr="00972C81">
        <w:rPr>
          <w:noProof/>
          <w:vertAlign w:val="superscript"/>
        </w:rPr>
        <w:t>241</w:t>
      </w:r>
      <w:r w:rsidRPr="00972C81">
        <w:rPr>
          <w:noProof/>
        </w:rPr>
        <w:t xml:space="preserve">Am. For seven whole body donors </w:t>
      </w:r>
      <w:r w:rsidR="008E2EAF" w:rsidRPr="00972C81">
        <w:rPr>
          <w:noProof/>
        </w:rPr>
        <w:fldChar w:fldCharType="begin"/>
      </w:r>
      <w:r w:rsidR="008E2EAF" w:rsidRPr="00972C81">
        <w:rPr>
          <w:noProof/>
        </w:rPr>
        <w:instrText xml:space="preserve"> ADDIN ZOTERO_ITEM CSL_CITATION {"citationID":"a1m51lou2qq","properties":{"formattedCitation":"(Filipy, 2003; McInroy et al., 1989)","plainCitation":"(Filipy, 2003; McInroy et al., 1989)","noteIndex":0},"citationItems":[{"id":5145,"uris":["http://zotero.org/groups/2470620/items/2UVP6C58"],"itemData":{"id":5145,"type":"chapter","container-title":"USTUR annual report for the period February 1, 2002 – January 31, 2003","event-place":"Pullman, WA","page":"32-35","publisher":"United States Tranuranium and Uranium Registries","publisher-place":"Pullman, WA","source":"Google Scholar","title":"Estimation of actinide body burdens on the basis of tissue samples collected at autopsy","author":[{"family":"Filipy","given":"R. E."}],"issued":{"date-parts":[["2003"]]}}},{"id":5127,"uris":["http://zotero.org/groups/2470620/items/NRDZ5BVU"],"itemData":{"id":5127,"type":"article-journal","container-title":"Radiation Protection Dosimetry","issue":"1-4","note":"publisher: Oxford University Press","page":"151–158","source":"Google Scholar","title":"Distribution of plutonium and americium in whole bodies donated to the United States Transuranium Registry","volume":"26","author":[{"family":"McInroy","given":"J. F."},{"family":"Kathren","given":"R. L."},{"family":"Swint","given":"M. J."}],"issued":{"date-parts":[["1989"]]}}}],"schema":"https://github.com/citation-style-language/schema/raw/master/csl-citation.json"} </w:instrText>
      </w:r>
      <w:r w:rsidR="008E2EAF" w:rsidRPr="00972C81">
        <w:rPr>
          <w:noProof/>
        </w:rPr>
        <w:fldChar w:fldCharType="separate"/>
      </w:r>
      <w:r w:rsidR="008E2EAF" w:rsidRPr="00972C81">
        <w:rPr>
          <w:noProof/>
          <w:szCs w:val="24"/>
        </w:rPr>
        <w:t>(Filipy, 2003; McInroy et al., 1989)</w:t>
      </w:r>
      <w:r w:rsidR="008E2EAF" w:rsidRPr="00972C81">
        <w:rPr>
          <w:noProof/>
        </w:rPr>
        <w:fldChar w:fldCharType="end"/>
      </w:r>
      <w:r w:rsidR="008E2EAF" w:rsidRPr="00972C81">
        <w:rPr>
          <w:noProof/>
        </w:rPr>
        <w:t xml:space="preserve">, </w:t>
      </w:r>
      <w:r w:rsidRPr="00972C81">
        <w:rPr>
          <w:noProof/>
        </w:rPr>
        <w:t xml:space="preserve">the </w:t>
      </w:r>
      <w:r w:rsidRPr="00972C81">
        <w:rPr>
          <w:noProof/>
          <w:vertAlign w:val="superscript"/>
        </w:rPr>
        <w:t>241</w:t>
      </w:r>
      <w:r w:rsidRPr="00972C81">
        <w:rPr>
          <w:noProof/>
        </w:rPr>
        <w:t xml:space="preserve">Am contents of the skeleton, liver, and other soft tissues represented on average about 74%, 8%, and 18%, respectively, of systemic </w:t>
      </w:r>
      <w:r w:rsidRPr="00972C81">
        <w:rPr>
          <w:noProof/>
          <w:vertAlign w:val="superscript"/>
        </w:rPr>
        <w:t>241</w:t>
      </w:r>
      <w:r w:rsidRPr="00972C81">
        <w:rPr>
          <w:noProof/>
        </w:rPr>
        <w:t>Am.</w:t>
      </w:r>
    </w:p>
    <w:p w14:paraId="6882FC84" w14:textId="3FBA2C33" w:rsidR="00D60A65" w:rsidRPr="00972C81" w:rsidRDefault="00D60A65" w:rsidP="001C4A92">
      <w:pPr>
        <w:pStyle w:val="Annalstext"/>
        <w:rPr>
          <w:noProof/>
        </w:rPr>
      </w:pPr>
      <w:r w:rsidRPr="00972C81">
        <w:rPr>
          <w:noProof/>
        </w:rPr>
        <w:t xml:space="preserve">A detailed autopsy study of the tissue distribution of </w:t>
      </w:r>
      <w:r w:rsidRPr="00972C81">
        <w:rPr>
          <w:noProof/>
          <w:vertAlign w:val="superscript"/>
        </w:rPr>
        <w:t>241</w:t>
      </w:r>
      <w:r w:rsidRPr="00972C81">
        <w:rPr>
          <w:noProof/>
        </w:rPr>
        <w:t xml:space="preserve">Am was conducted for a radiochemist (USTUR Case 0102) thought to have been exposed through contamination of a wound while working with an unsealed </w:t>
      </w:r>
      <w:r w:rsidRPr="00972C81">
        <w:rPr>
          <w:noProof/>
          <w:vertAlign w:val="superscript"/>
        </w:rPr>
        <w:t>241</w:t>
      </w:r>
      <w:r w:rsidRPr="00972C81">
        <w:rPr>
          <w:noProof/>
        </w:rPr>
        <w:t>Am source ~25 y before his death</w:t>
      </w:r>
      <w:r w:rsidR="008677B6" w:rsidRPr="00972C81">
        <w:rPr>
          <w:noProof/>
        </w:rPr>
        <w:t xml:space="preserve"> </w:t>
      </w:r>
      <w:r w:rsidR="008677B6" w:rsidRPr="00972C81">
        <w:rPr>
          <w:noProof/>
        </w:rPr>
        <w:fldChar w:fldCharType="begin"/>
      </w:r>
      <w:r w:rsidR="00612860" w:rsidRPr="00972C81">
        <w:rPr>
          <w:noProof/>
        </w:rPr>
        <w:instrText xml:space="preserve"> ADDIN ZOTERO_ITEM CSL_CITATION {"citationID":"anvdnt7d5s","properties":{"formattedCitation":"(Breitenstein et al., 1985; Durbin and Schmidt, 1985; Heid and Robinson, 1985; McInroy et al., 1985)","plainCitation":"(Breitenstein et al., 1985; Durbin and Schmidt, 1985; Heid and Robinson, 1985; McInroy et al., 1985)","noteIndex":0},"citationItems":[{"id":5191,"uris":["http://zotero.org/groups/2470620/items/7KMF28D5"],"itemData":{"id":5191,"type":"article-journal","abstract":"An analysis and evaluation of 241Am in the whole body of a donor to the U.S. Transuranium Registry (USTR) is presented in five parts. The USTR donor's pertinent medical history, autopsy findings and antemortem evaluations of intake and systemic burden are described in Parts I and II. The donor was a 49-yr-old male Caucasian radiochemist who died of metastic melanoma in 1979. His work with actinide elements began in 1952, and the greatest potential for intake of 241Am was when he used an unsealed 241Am source in his doctoral research (1952-54). The first indication that an intake had occurred was the detection of 241Am in a urine sample collected in 1958 as part of an internal dosimetry surveillance program. In-vivo estimates of the initial 241Am intake, based on sporadic urine samples and three sets of external photon measurements, ranged from 0.23-1.1 muCi depending on the calculational models and calibration factors used. No chelation therapy was applied. The time of intake was estimated to be approximately 25 yr before death. External photon measurements made on the donor's body and dissected bones, presented in Part III, have yielded new and more accurate calibration factors for external in-vivo measurement of the 60-keV gamma rays of 241Am and the 13.2- and 14-keV x rays of 239Pu and 238Pu. The symmetrical distribution of 241Am in the bones of the right and left sides of the body and the reliability of total skeletal 241Am estimated from external measurements of 241Am in the head were confirmed. The soft tissues and about one-half of the skeleton were weighed wet, ashed, reweighed and analyzed radiochemically for 241Am, as described in Part IV. The measured total 241Am in the body was 147.4 nCi, distributed as follows: soft tissues of left hand, 1.9%; liver, 6.3%; respiratory tract tissues, 1.5%; other organs, 0.9%; combined structural soft tissues (muscle, skin, connective tissue), 8.6%; mineralized tissues (bones, teeth), 80%. The expectations of similar 241Am concentrations in bones of grossly similar structure and also in parts of bones of similar microscopic structure were confirmed.(ABSTRACT TRUNCATED AT 400 WORDS)","container-title":"Health Physics","ISSN":"0017-9078","issue":"4","journalAbbreviation":"Health Phys","language":"eng","note":"PMID: 4044260","page":"559-567","source":"PubMed","title":"The U.S. Transuranium Registry report on the 241Am content of a whole body. Part 1: Introduction and history of the case","volume":"49","author":[{"family":"Breitenstein","given":"B.D."},{"family":"Newton","given":"C.E."},{"family":"Norris","given":"H.T."}],"issued":{"date-parts":[["1985",10]]}}},{"id":5194,"uris":["http://zotero.org/groups/2470620/items/BFHBKFVN"],"itemData":{"id":5194,"type":"article-journal","container-title":"Health Physics","ISSN":"0017-9078","issue":"4","journalAbbreviation":"Health Phys","language":"eng","note":"PMID: 4044260","page":"623-661","source":"PubMed","title":"The U.S. Transuranium Registry report on the 241Am content of a whole body. Part V: Implications for metabolic modelling","volume":"49","author":[{"family":"Durbin","given":"P.W."},{"family":"Schmidt","given":"C.T."}],"issued":{"date-parts":[["1985",10]]}}},{"id":5173,"uris":["http://zotero.org/groups/2470620/items/VPWKFGW8"],"itemData":{"id":5173,"type":"article-journal","abstract":"The estimated systemic burden of 0.3 muCi 241Am, made by the resident health physicist, has been compared to postmortem measurements using in-vivo counting equipment and radiochemical analysis of the donor's body. The health physicist's estimate was based on in-vivo measurements and urine excretion data obtained while the donor was still working, and it was logically assumed that the intake occurred about 1954 as a result of inhalation of Am-contaminated air. Based on additional data obtained by postmortem analysis, it seems more reasonable to assume for the purpose of scientific study and evaluation that the intake occurred in 1953, primarily as the result of a contaminated wound. Evaluations of the systemic burden using that assumption and three models indicate that the amount initially deposited could have been in the range of 0.2-1.1 muCi 241Am.","container-title":"Health Physics","ISSN":"0017-9078","issue":"4","journalAbbreviation":"Health Phys","language":"eng","note":"PMID: 3930424","page":"569-575","source":"PubMed","title":"The U.S. Transuranium Registry report on the 241Am content of a whole body. Part II: Estimate of the initial systematic burden","title-short":"The U.S. Transuranium Registry report on the 241Am content of a whole body. Part II","volume":"49","author":[{"family":"Heid","given":"K. R."},{"family":"Robinson","given":"B."}],"issued":{"date-parts":[["1985",10]]}}},{"id":5193,"uris":["http://zotero.org/groups/2470620/items/JAY94XDA"],"itemData":{"id":5193,"type":"article-journal","abstract":"An analysis and evaluation of 241Am in the whole body of a donor to the U.S. Transuranium Registry (USTR) is presented in five parts. The USTR donor's pertinent medical history, autopsy findings and antemortem evaluations of intake and systemic burden are described in Parts I and II. The donor was a 49-yr-old male Caucasian radiochemist who died of metastic melanoma in 1979. His work with actinide elements began in 1952, and the greatest potential for intake of 241Am was when he used an unsealed 241Am source in his doctoral research (1952-54). The first indication that an intake had occurred was the detection of 241Am in a urine sample collected in 1958 as part of an internal dosimetry surveillance program. In-vivo estimates of the initial 241Am intake, based on sporadic urine samples and three sets of external photon measurements, ranged from 0.23-1.1 muCi depending on the calculational models and calibration factors used. No chelation therapy was applied. The time of intake was estimated to be approximately 25 yr before death. External photon measurements made on the donor's body and dissected bones, presented in Part III, have yielded new and more accurate calibration factors for external in-vivo measurement of the 60-keV gamma rays of 241Am and the 13.2- and 14-keV x rays of 239Pu and 238Pu. The symmetrical distribution of 241Am in the bones of the right and left sides of the body and the reliability of total skeletal 241Am estimated from external measurements of 241Am in the head were confirmed. The soft tissues and about one-half of the skeleton were weighed wet, ashed, reweighed and analyzed radiochemically for 241Am, as described in Part IV. The measured total 241Am in the body was 147.4 nCi, distributed as follows: soft tissues of left hand, 1.9%; liver, 6.3%; respiratory tract tissues, 1.5%; other organs, 0.9%; combined structural soft tissues (muscle, skin, connective tissue), 8.6%; mineralized tissues (bones, teeth), 80%. The expectations of similar 241Am concentrations in bones of grossly similar structure and also in parts of bones of similar microscopic structure were confirmed.(ABSTRACT TRUNCATED AT 400 WORDS)","container-title":"Health Physics","ISSN":"0017-9078","issue":"4","journalAbbreviation":"Health Phys","language":"eng","note":"PMID: 4044260","page":"587-621","source":"PubMed","title":"The U.S. Transuranium Registry report on the 241Am content of a whole body. Part IV: Preparation and analysis of the tissues and bones","volume":"49","author":[{"family":"McInroy","given":"J.F."},{"family":"Boyd","given":"H.A."},{"family":"Eutsler","given":"B.C."},{"family":"Romero","given":"D."}],"issued":{"date-parts":[["1985",10]]}}}],"schema":"https://github.com/citation-style-language/schema/raw/master/csl-citation.json"} </w:instrText>
      </w:r>
      <w:r w:rsidR="008677B6" w:rsidRPr="00972C81">
        <w:rPr>
          <w:noProof/>
        </w:rPr>
        <w:fldChar w:fldCharType="separate"/>
      </w:r>
      <w:r w:rsidR="00612860" w:rsidRPr="00972C81">
        <w:rPr>
          <w:noProof/>
          <w:szCs w:val="24"/>
        </w:rPr>
        <w:t>(Breitenstein et al., 1985; Durbin and Schmidt, 1985; Heid and Robinson, 1985; McInroy et al., 1985)</w:t>
      </w:r>
      <w:r w:rsidR="008677B6" w:rsidRPr="00972C81">
        <w:rPr>
          <w:noProof/>
        </w:rPr>
        <w:fldChar w:fldCharType="end"/>
      </w:r>
      <w:r w:rsidRPr="00972C81">
        <w:rPr>
          <w:noProof/>
        </w:rPr>
        <w:t xml:space="preserve">. The skeleton, liver, kidneys, and other soft tissues contained 82.3%, 6.4%, 0.25%, and 11.0%, respectively, of the systemic burden. About 80% of skeletal activity was contained in compact bone together with the portion of trabecular bone containing fatty marrow, and the remaining 20% was in trabecular bone containing red marrow. </w:t>
      </w:r>
    </w:p>
    <w:p w14:paraId="17FA31F3" w14:textId="164D1060" w:rsidR="00D60A65" w:rsidRPr="00972C81" w:rsidRDefault="00D60A65" w:rsidP="001C4A92">
      <w:pPr>
        <w:pStyle w:val="Annalstext"/>
        <w:rPr>
          <w:noProof/>
        </w:rPr>
      </w:pPr>
      <w:r w:rsidRPr="00972C81">
        <w:rPr>
          <w:noProof/>
        </w:rPr>
        <w:t xml:space="preserve">Malátová et al. </w:t>
      </w:r>
      <w:r w:rsidR="00705D74" w:rsidRPr="00972C81">
        <w:rPr>
          <w:noProof/>
        </w:rPr>
        <w:fldChar w:fldCharType="begin"/>
      </w:r>
      <w:r w:rsidR="00612860" w:rsidRPr="00972C81">
        <w:rPr>
          <w:noProof/>
        </w:rPr>
        <w:instrText xml:space="preserve"> ADDIN ZOTERO_ITEM CSL_CITATION {"citationID":"aucs0ac1th","properties":{"formattedCitation":"(2003, 2010)","plainCitation":"(2003, 2010)","noteIndex":0},"citationItems":[{"id":5179,"uris":["http://zotero.org/groups/2470620/items/G43NM5FE"],"itemData":{"id":5179,"type":"article-journal","container-title":"Radiation protection dosimetry","issue":"1-4","note":"publisher: Oxford University Press","page":"325–328","source":"Google Scholar","title":"Assessment of occupational doses from internal contamination with 241Am","volume":"105","author":[{"family":"Malátová","given":"I."},{"family":"Foltánová","given":"Ô"},{"family":"Be_ková","given":"V."},{"family":"Filgas","given":"R."},{"family":"Pospièilová","given":"H."},{"family":"Hölgye","given":"Z."}],"issued":{"date-parts":[["2003"]]}},"label":"page","suppress-author":true},{"id":5181,"uris":["http://zotero.org/groups/2470620/items/CGP4GLPC"],"itemData":{"id":5181,"type":"article-journal","container-title":"Health physics","issue":"4","note":"publisher: LWW","page":"495–502","source":"Google Scholar","title":"Twelve years of follow up of cases with old 241Am internal contamination","volume":"99","author":[{"family":"Malátová","given":"Irena"},{"family":"Vrba","given":"Tomáš"},{"family":"Becková","given":"Vera"},{"family":"Pospíšilová","given":"Helena"}],"issued":{"date-parts":[["2010"]]}},"label":"page","suppress-author":true}],"schema":"https://github.com/citation-style-language/schema/raw/master/csl-citation.json"} </w:instrText>
      </w:r>
      <w:r w:rsidR="00705D74" w:rsidRPr="00972C81">
        <w:rPr>
          <w:noProof/>
        </w:rPr>
        <w:fldChar w:fldCharType="separate"/>
      </w:r>
      <w:r w:rsidR="00612860" w:rsidRPr="00972C81">
        <w:rPr>
          <w:noProof/>
          <w:szCs w:val="24"/>
        </w:rPr>
        <w:t>(2003, 2010)</w:t>
      </w:r>
      <w:r w:rsidR="00705D74" w:rsidRPr="00972C81">
        <w:rPr>
          <w:noProof/>
        </w:rPr>
        <w:fldChar w:fldCharType="end"/>
      </w:r>
      <w:r w:rsidRPr="00972C81">
        <w:rPr>
          <w:noProof/>
        </w:rPr>
        <w:t xml:space="preserve"> measured </w:t>
      </w:r>
      <w:r w:rsidRPr="00972C81">
        <w:rPr>
          <w:noProof/>
          <w:vertAlign w:val="superscript"/>
        </w:rPr>
        <w:t>241</w:t>
      </w:r>
      <w:r w:rsidRPr="00972C81">
        <w:rPr>
          <w:noProof/>
        </w:rPr>
        <w:t>Am in urine and faeces and externally in the skull in seven workers over a period of about 12 y, starting roughly 11</w:t>
      </w:r>
      <w:r w:rsidR="002B0D0B" w:rsidRPr="00FE17F7">
        <w:t>–</w:t>
      </w:r>
      <w:r w:rsidRPr="00972C81">
        <w:rPr>
          <w:noProof/>
        </w:rPr>
        <w:t xml:space="preserve">25 y after exposure to </w:t>
      </w:r>
      <w:r w:rsidRPr="00972C81">
        <w:rPr>
          <w:noProof/>
          <w:vertAlign w:val="superscript"/>
        </w:rPr>
        <w:t>241</w:t>
      </w:r>
      <w:r w:rsidRPr="00972C81">
        <w:rPr>
          <w:noProof/>
        </w:rPr>
        <w:t>Am. The source of contamination presumably was AmO</w:t>
      </w:r>
      <w:r w:rsidRPr="00972C81">
        <w:rPr>
          <w:noProof/>
          <w:vertAlign w:val="subscript"/>
        </w:rPr>
        <w:t>2</w:t>
      </w:r>
      <w:r w:rsidRPr="00972C81">
        <w:rPr>
          <w:noProof/>
        </w:rPr>
        <w:t xml:space="preserve"> powder, used in the production of AmBe neutron sources, smoke alarms, and other </w:t>
      </w:r>
      <w:r w:rsidRPr="00972C81">
        <w:rPr>
          <w:noProof/>
          <w:vertAlign w:val="superscript"/>
        </w:rPr>
        <w:t>241</w:t>
      </w:r>
      <w:r w:rsidRPr="00972C81">
        <w:rPr>
          <w:noProof/>
        </w:rPr>
        <w:t xml:space="preserve">Am sources. The estimated content of </w:t>
      </w:r>
      <w:r w:rsidRPr="00972C81">
        <w:rPr>
          <w:noProof/>
          <w:vertAlign w:val="superscript"/>
        </w:rPr>
        <w:t>241</w:t>
      </w:r>
      <w:r w:rsidRPr="00972C81">
        <w:rPr>
          <w:noProof/>
        </w:rPr>
        <w:t xml:space="preserve">Am in the skull was extrapolated to the total skeleton based on the assumption that the skull contains 12.5% of skeletal </w:t>
      </w:r>
      <w:r w:rsidRPr="00972C81">
        <w:rPr>
          <w:noProof/>
          <w:vertAlign w:val="superscript"/>
        </w:rPr>
        <w:t>241</w:t>
      </w:r>
      <w:r w:rsidRPr="00972C81">
        <w:rPr>
          <w:noProof/>
        </w:rPr>
        <w:t xml:space="preserve">Am. The investigators compared their findings with predictions of the model for systemic americium in adults adopted in </w:t>
      </w:r>
      <w:r w:rsidR="00705D74" w:rsidRPr="00972C81">
        <w:rPr>
          <w:i/>
          <w:noProof/>
        </w:rPr>
        <w:t>Publication</w:t>
      </w:r>
      <w:r w:rsidRPr="00972C81">
        <w:rPr>
          <w:i/>
          <w:noProof/>
        </w:rPr>
        <w:t xml:space="preserve"> 67</w:t>
      </w:r>
      <w:r w:rsidRPr="00972C81">
        <w:rPr>
          <w:noProof/>
        </w:rPr>
        <w:t xml:space="preserve"> </w:t>
      </w:r>
      <w:r w:rsidR="00705D74" w:rsidRPr="00972C81">
        <w:rPr>
          <w:noProof/>
        </w:rPr>
        <w:fldChar w:fldCharType="begin"/>
      </w:r>
      <w:r w:rsidR="00612860" w:rsidRPr="00972C81">
        <w:rPr>
          <w:noProof/>
        </w:rPr>
        <w:instrText xml:space="preserve"> ADDIN ZOTERO_ITEM CSL_CITATION {"citationID":"a26lsket52f","properties":{"formattedCitation":"(ICRP, 1993)","plainCitation":"(ICRP, 1993)","noteIndex":0},"citationItems":[{"id":2558,"uris":["http://zotero.org/groups/2470620/items/NGGW5NK4",["http://zotero.org/groups/2470620/items/NGGW5NK4"]],"itemData":{"id":2558,"type":"article-journal","container-title":"Annals of the ICRP","issue":"3/4","journalAbbreviation":"Ann. ICRP","language":"en","title":"Age dependent doses to members of the public from intake of radionuclides: Part 2, Ingestion dose coefficients. ICRP Publication 67","volume":"23","author":[{"literal":"ICRP"}],"issued":{"date-parts":[["1993"]]}},"label":"page"}],"schema":"https://github.com/citation-style-language/schema/raw/master/csl-citation.json"} </w:instrText>
      </w:r>
      <w:r w:rsidR="00705D74" w:rsidRPr="00972C81">
        <w:rPr>
          <w:noProof/>
        </w:rPr>
        <w:fldChar w:fldCharType="separate"/>
      </w:r>
      <w:r w:rsidR="00612860" w:rsidRPr="00972C81">
        <w:rPr>
          <w:noProof/>
          <w:szCs w:val="24"/>
        </w:rPr>
        <w:t>(ICRP, 1993)</w:t>
      </w:r>
      <w:r w:rsidR="00705D74" w:rsidRPr="00972C81">
        <w:rPr>
          <w:noProof/>
        </w:rPr>
        <w:fldChar w:fldCharType="end"/>
      </w:r>
      <w:r w:rsidRPr="00972C81">
        <w:rPr>
          <w:noProof/>
        </w:rPr>
        <w:t xml:space="preserve"> and applied to workers in </w:t>
      </w:r>
      <w:r w:rsidRPr="00972C81">
        <w:rPr>
          <w:i/>
          <w:noProof/>
        </w:rPr>
        <w:t>Publications 68</w:t>
      </w:r>
      <w:r w:rsidRPr="00972C81">
        <w:rPr>
          <w:noProof/>
        </w:rPr>
        <w:t xml:space="preserve"> </w:t>
      </w:r>
      <w:r w:rsidRPr="00972C81">
        <w:rPr>
          <w:i/>
          <w:noProof/>
        </w:rPr>
        <w:t>and 78</w:t>
      </w:r>
      <w:r w:rsidRPr="00972C81">
        <w:rPr>
          <w:noProof/>
        </w:rPr>
        <w:t xml:space="preserve"> </w:t>
      </w:r>
      <w:r w:rsidR="00705D74" w:rsidRPr="00972C81">
        <w:rPr>
          <w:noProof/>
        </w:rPr>
        <w:fldChar w:fldCharType="begin"/>
      </w:r>
      <w:r w:rsidR="00612860" w:rsidRPr="00972C81">
        <w:rPr>
          <w:noProof/>
        </w:rPr>
        <w:instrText xml:space="preserve"> ADDIN ZOTERO_ITEM CSL_CITATION {"citationID":"afqqfdhucp","properties":{"formattedCitation":"(ICRP, 1994a, 1997)","plainCitation":"(ICRP, 1994a, 1997)","noteIndex":0},"citationItems":[{"id":2559,"uris":["http://zotero.org/groups/2470620/items/YEDLCQWF"],"itemData":{"id":2559,"type":"article-journal","container-title":"Annals of the ICRP","issue":"4","journalAbbreviation":"Ann. ICRP","language":"en","title":"Dose coefficients for intake of radionuclides by workers. ICRP Publication 68","volume":"24","author":[{"literal":"ICRP"}],"issued":{"date-parts":[["1994"]]}},"label":"page"},{"id":3118,"uris":["http://zotero.org/groups/2470620/items/98SIMGUU"],"itemData":{"id":3118,"type":"article-journal","container-title":"Annals of the ICRP","ISSN":"ICRP Publication 78","issue":"3/4","title":"Individual monitoring for internal exposure of workers. ICRP Publication 78","volume":"27","author":[{"literal":"ICRP"}],"issued":{"date-parts":[["1997"]]}},"label":"page"}],"schema":"https://github.com/citation-style-language/schema/raw/master/csl-citation.json"} </w:instrText>
      </w:r>
      <w:r w:rsidR="00705D74" w:rsidRPr="00972C81">
        <w:rPr>
          <w:noProof/>
        </w:rPr>
        <w:fldChar w:fldCharType="separate"/>
      </w:r>
      <w:r w:rsidR="00612860" w:rsidRPr="00972C81">
        <w:rPr>
          <w:noProof/>
          <w:szCs w:val="24"/>
        </w:rPr>
        <w:t>(ICRP, 1994a, 1997)</w:t>
      </w:r>
      <w:r w:rsidR="00705D74" w:rsidRPr="00972C81">
        <w:rPr>
          <w:noProof/>
        </w:rPr>
        <w:fldChar w:fldCharType="end"/>
      </w:r>
      <w:r w:rsidRPr="00972C81">
        <w:rPr>
          <w:noProof/>
        </w:rPr>
        <w:t xml:space="preserve">. The data are consistent with the urinary to faecal excretion ratio predicted by that model but indicate a lower than predicted ratio of daily urinary </w:t>
      </w:r>
      <w:r w:rsidRPr="00972C81">
        <w:rPr>
          <w:noProof/>
          <w:vertAlign w:val="superscript"/>
        </w:rPr>
        <w:t>241</w:t>
      </w:r>
      <w:r w:rsidRPr="00972C81">
        <w:rPr>
          <w:noProof/>
        </w:rPr>
        <w:t xml:space="preserve">Am to skeletal </w:t>
      </w:r>
      <w:r w:rsidRPr="00972C81">
        <w:rPr>
          <w:noProof/>
          <w:vertAlign w:val="superscript"/>
        </w:rPr>
        <w:t>241</w:t>
      </w:r>
      <w:r w:rsidRPr="00972C81">
        <w:rPr>
          <w:noProof/>
        </w:rPr>
        <w:t xml:space="preserve">Am. </w:t>
      </w:r>
    </w:p>
    <w:p w14:paraId="745B056D" w14:textId="518990BA" w:rsidR="00D60A65" w:rsidRPr="00972C81" w:rsidRDefault="00D60A65" w:rsidP="001C4A92">
      <w:pPr>
        <w:pStyle w:val="Annalstext"/>
        <w:rPr>
          <w:noProof/>
        </w:rPr>
      </w:pPr>
      <w:r w:rsidRPr="00972C81">
        <w:rPr>
          <w:noProof/>
        </w:rPr>
        <w:t xml:space="preserve">Suslova et al. </w:t>
      </w:r>
      <w:r w:rsidR="00705D74" w:rsidRPr="00972C81">
        <w:rPr>
          <w:noProof/>
        </w:rPr>
        <w:fldChar w:fldCharType="begin"/>
      </w:r>
      <w:r w:rsidR="00612860" w:rsidRPr="00972C81">
        <w:rPr>
          <w:noProof/>
        </w:rPr>
        <w:instrText xml:space="preserve"> ADDIN ZOTERO_ITEM CSL_CITATION {"citationID":"a2m010iumfr","properties":{"formattedCitation":"(2013)","plainCitation":"(2013)","noteIndex":0},"citationItems":[{"id":5135,"uris":["http://zotero.org/groups/2470620/items/6XYPFYJE"],"itemData":{"id":5135,"type":"article-journal","abstract":"Americium-241 (²⁴¹Am) is the second most significant radiation hazard after ²³⁹Pu at some of the Mayak Production Association facilities. This study summarizes current data on the accumulation, distribution, and excretion of americium compared with plutonium in different organs from former Mayak PA workers. Americium and plutonium were measured in autopsy and bioassay samples and correlated with the presence or absence of chronic disease and with biological transportability of the aerosols encountered at different workplaces. The relative accumulation of ²⁴¹Am was found to be increasing in the workers over time. This is likely from ²⁴¹Pu that increases with time in reprocessed fuel and from the increased concentrations of ²⁴¹Am and ²⁴¹Pu in inhaled alpha-active aerosols. While differences were observed in lung retention with exposures to different industrial compounds with different transportabilities (i.e., dioxide and nitrates), there were no significant differences in lung retention between americium and plutonium within each transportability group. In the non-pulmonary organs, the highest ratios of ²⁴¹Am/²⁴¹Am + SPu were observed in the skeleton. The relative ratios of americium in the skeleton versus liver were significantly greater than for plutonium. The relative amounts of americium and plutonium found in the skeleton compared with the liver were even greater in workers with documented chronic liver diseases. Excretion rates of ²⁴¹Am in ‘‘healthy’’ workers were estimated using bioassay and autopsy data. The data suggest that impaired liver function leads to reduced hepatic ²⁴¹Am retention, leading to increased ²⁴¹Am excretion.","container-title":"Health Physics","DOI":"10.1097/HP.0b013e31827c783f","ISSN":"1538-5159","issue":"3","journalAbbreviation":"Health Phys","language":"eng","note":"PMID: 23361427","page":"313-324","source":"PubMed","title":"Accumulation, organ distribution, and excretion kinetics of ²⁴¹Am in Mayak Production Association workers","volume":"104","author":[{"family":"Suslova","given":"Klara G."},{"family":"Sokolova","given":"Alexandra B."},{"family":"Efimov","given":"Alexander V."},{"family":"Miller","given":"Scott C."}],"issued":{"date-parts":[["2013",3]]}},"label":"page","suppress-author":true}],"schema":"https://github.com/citation-style-language/schema/raw/master/csl-citation.json"} </w:instrText>
      </w:r>
      <w:r w:rsidR="00705D74" w:rsidRPr="00972C81">
        <w:rPr>
          <w:noProof/>
        </w:rPr>
        <w:fldChar w:fldCharType="separate"/>
      </w:r>
      <w:r w:rsidR="00612860" w:rsidRPr="00972C81">
        <w:rPr>
          <w:noProof/>
          <w:szCs w:val="24"/>
        </w:rPr>
        <w:t>(2013)</w:t>
      </w:r>
      <w:r w:rsidR="00705D74" w:rsidRPr="00972C81">
        <w:rPr>
          <w:noProof/>
        </w:rPr>
        <w:fldChar w:fldCharType="end"/>
      </w:r>
      <w:r w:rsidRPr="00972C81">
        <w:rPr>
          <w:noProof/>
        </w:rPr>
        <w:t xml:space="preserve"> studied the distribution and excretion of </w:t>
      </w:r>
      <w:r w:rsidRPr="00972C81">
        <w:rPr>
          <w:noProof/>
          <w:vertAlign w:val="superscript"/>
        </w:rPr>
        <w:t>241</w:t>
      </w:r>
      <w:r w:rsidRPr="00972C81">
        <w:rPr>
          <w:noProof/>
        </w:rPr>
        <w:t>Am and plutonium isotopes in workers at the Mayak Production Association. Autopsy data were obtained for 290 workers who died on average 14.7 y ± 12 y (standard deviation) after the end of employment. Urine bioassay measurements were performed about 23</w:t>
      </w:r>
      <w:r w:rsidR="002B0D0B" w:rsidRPr="00FE17F7">
        <w:t>–</w:t>
      </w:r>
      <w:r w:rsidRPr="00972C81">
        <w:rPr>
          <w:noProof/>
        </w:rPr>
        <w:t>26 y after the end of employment for 47 workers who started work at Mayak from 1949</w:t>
      </w:r>
      <w:r w:rsidR="002B0D0B" w:rsidRPr="00FE17F7">
        <w:t>–</w:t>
      </w:r>
      <w:r w:rsidRPr="00972C81">
        <w:rPr>
          <w:noProof/>
        </w:rPr>
        <w:t xml:space="preserve">1964, a period of high inhalation exposures. For a group of workers without liver disease, the skeleton, liver, kidneys, and other soft tissue </w:t>
      </w:r>
      <w:r w:rsidRPr="00972C81">
        <w:rPr>
          <w:noProof/>
        </w:rPr>
        <w:lastRenderedPageBreak/>
        <w:t xml:space="preserve">contained on average 69.3%, 23.1%, 0.44%, and 7.2%, respectively, of systemic </w:t>
      </w:r>
      <w:r w:rsidRPr="00972C81">
        <w:rPr>
          <w:noProof/>
          <w:vertAlign w:val="superscript"/>
        </w:rPr>
        <w:t>241</w:t>
      </w:r>
      <w:r w:rsidRPr="00972C81">
        <w:rPr>
          <w:noProof/>
        </w:rPr>
        <w:t xml:space="preserve">Am; and 46.4%, 46.0%, 0.17%, and 7.4%, respectively, of systemic plutonium. The ratio of daily urine excretion of </w:t>
      </w:r>
      <w:r w:rsidRPr="00972C81">
        <w:rPr>
          <w:noProof/>
          <w:vertAlign w:val="superscript"/>
        </w:rPr>
        <w:t>241</w:t>
      </w:r>
      <w:r w:rsidRPr="00972C81">
        <w:rPr>
          <w:noProof/>
        </w:rPr>
        <w:t xml:space="preserve">Am to total systemic </w:t>
      </w:r>
      <w:r w:rsidRPr="00972C81">
        <w:rPr>
          <w:noProof/>
          <w:vertAlign w:val="superscript"/>
        </w:rPr>
        <w:t>241</w:t>
      </w:r>
      <w:r w:rsidRPr="00972C81">
        <w:rPr>
          <w:noProof/>
        </w:rPr>
        <w:t>Am based on whole body counting of 29 reasonably healthy workers was 1.8</w:t>
      </w:r>
      <w:r w:rsidR="00067025" w:rsidRPr="00972C81">
        <w:rPr>
          <w:rFonts w:cs="Arial"/>
          <w:noProof/>
          <w:sz w:val="20"/>
        </w:rPr>
        <w:t xml:space="preserve"> ×</w:t>
      </w:r>
      <w:r w:rsidR="00067025" w:rsidRPr="00972C81">
        <w:rPr>
          <w:noProof/>
          <w:sz w:val="20"/>
        </w:rPr>
        <w:t xml:space="preserve"> </w:t>
      </w:r>
      <w:r w:rsidRPr="00972C81">
        <w:rPr>
          <w:noProof/>
        </w:rPr>
        <w:t>10</w:t>
      </w:r>
      <w:r w:rsidRPr="00972C81">
        <w:rPr>
          <w:noProof/>
          <w:vertAlign w:val="superscript"/>
        </w:rPr>
        <w:t>-5</w:t>
      </w:r>
      <w:r w:rsidRPr="00972C81">
        <w:rPr>
          <w:noProof/>
        </w:rPr>
        <w:t xml:space="preserve">. For comparison, the model for systemic americium in adults adopted in </w:t>
      </w:r>
      <w:r w:rsidRPr="00972C81">
        <w:rPr>
          <w:i/>
          <w:noProof/>
        </w:rPr>
        <w:t>Publication 67</w:t>
      </w:r>
      <w:r w:rsidRPr="00972C81">
        <w:rPr>
          <w:noProof/>
        </w:rPr>
        <w:t xml:space="preserve"> predicts a “urinary to systemic” ratio of 2.4</w:t>
      </w:r>
      <w:r w:rsidR="00067025" w:rsidRPr="00972C81">
        <w:rPr>
          <w:noProof/>
        </w:rPr>
        <w:t xml:space="preserve"> × </w:t>
      </w:r>
      <w:r w:rsidRPr="00972C81">
        <w:rPr>
          <w:noProof/>
        </w:rPr>
        <w:t>10</w:t>
      </w:r>
      <w:r w:rsidRPr="00972C81">
        <w:rPr>
          <w:noProof/>
          <w:vertAlign w:val="superscript"/>
        </w:rPr>
        <w:t>–5</w:t>
      </w:r>
      <w:r w:rsidRPr="00972C81">
        <w:rPr>
          <w:noProof/>
        </w:rPr>
        <w:t xml:space="preserve"> at 25 y and 2.2</w:t>
      </w:r>
      <w:r w:rsidR="00067025" w:rsidRPr="00972C81">
        <w:rPr>
          <w:noProof/>
        </w:rPr>
        <w:t xml:space="preserve"> × </w:t>
      </w:r>
      <w:r w:rsidRPr="00972C81">
        <w:rPr>
          <w:noProof/>
        </w:rPr>
        <w:t>10</w:t>
      </w:r>
      <w:r w:rsidRPr="00972C81">
        <w:rPr>
          <w:noProof/>
          <w:vertAlign w:val="superscript"/>
        </w:rPr>
        <w:t>–5</w:t>
      </w:r>
      <w:r w:rsidRPr="00972C81">
        <w:rPr>
          <w:noProof/>
        </w:rPr>
        <w:t xml:space="preserve"> at 35 y after acute intake of </w:t>
      </w:r>
      <w:r w:rsidRPr="00972C81">
        <w:rPr>
          <w:noProof/>
          <w:vertAlign w:val="superscript"/>
        </w:rPr>
        <w:t>241</w:t>
      </w:r>
      <w:r w:rsidRPr="00972C81">
        <w:rPr>
          <w:noProof/>
        </w:rPr>
        <w:t xml:space="preserve">Am to blood. </w:t>
      </w:r>
    </w:p>
    <w:p w14:paraId="428D218E" w14:textId="0A873D9C" w:rsidR="00D60A65" w:rsidRPr="00972C81" w:rsidRDefault="00D60A65" w:rsidP="001C4A92">
      <w:pPr>
        <w:pStyle w:val="Annalstext"/>
        <w:rPr>
          <w:noProof/>
        </w:rPr>
      </w:pPr>
      <w:r w:rsidRPr="00972C81">
        <w:rPr>
          <w:noProof/>
        </w:rPr>
        <w:t xml:space="preserve">The behaviour of americium in blood has been studied in a variety of animals including baboons </w:t>
      </w:r>
      <w:r w:rsidR="00705D74" w:rsidRPr="00972C81">
        <w:rPr>
          <w:noProof/>
        </w:rPr>
        <w:fldChar w:fldCharType="begin"/>
      </w:r>
      <w:r w:rsidR="00612860" w:rsidRPr="00972C81">
        <w:rPr>
          <w:noProof/>
        </w:rPr>
        <w:instrText xml:space="preserve"> ADDIN ZOTERO_ITEM CSL_CITATION {"citationID":"a1u25uvaida","properties":{"formattedCitation":"(Cohen and Wrenn, 1973; Guilmette et al., 1980; Rosen et al., 1972)","plainCitation":"(Cohen and Wrenn, 1973; Guilmette et al., 1980; Rosen et al., 1972)","noteIndex":0},"citationItems":[{"id":5197,"uris":["http://zotero.org/groups/2470620/items/SR7GQM6L"],"itemData":{"id":5197,"type":"article-journal","container-title":"Radiation Research","ISSN":"0033-7587","issue":"1","journalAbbreviation":"Radiat Res","language":"eng","note":"PMID: 4197799","page":"129-143","source":"PubMed","title":"Metabolic characteristics of 241 Am in the adult baboon","volume":"55","author":[{"family":"Cohen","given":"N."},{"family":"Wrenn","given":"M. E."}],"issued":{"date-parts":[["1973",7]]}}},{"id":5199,"uris":["http://zotero.org/groups/2470620/items/R6JXW8PM"],"itemData":{"id":5199,"type":"article-journal","container-title":"Radiation Research","ISSN":"0033-7587","issue":"1","journalAbbreviation":"Radiat Res","language":"eng","note":"PMID: 6766219","page":"100-119","source":"PubMed","title":"Distribution and retention of 241Am in the baboon","volume":"81","author":[{"family":"Guilmette","given":"R. A."},{"family":"Cohen","given":"N."},{"family":"Wrenn","given":"M. E."}],"issued":{"date-parts":[["1980",1]]}}},{"id":5195,"uris":["http://zotero.org/groups/2470620/items/XEBXMXU8"],"itemData":{"id":5195,"type":"article-journal","container-title":"Health Physics","DOI":"10.1097/00004032-197206000-00012","ISSN":"0017-9078","issue":"6","journalAbbreviation":"Health Phys","language":"eng","note":"PMID: 4628452","page":"621-626","source":"PubMed","title":"Short term metabolism of 241 Am in the adult baboon","volume":"22","author":[{"family":"Rosen","given":"J. C."},{"family":"Cohen","given":"N."},{"family":"Wrenn","given":"M. E."}],"issued":{"date-parts":[["1972",6]]}}}],"schema":"https://github.com/citation-style-language/schema/raw/master/csl-citation.json"} </w:instrText>
      </w:r>
      <w:r w:rsidR="00705D74" w:rsidRPr="00972C81">
        <w:rPr>
          <w:noProof/>
        </w:rPr>
        <w:fldChar w:fldCharType="separate"/>
      </w:r>
      <w:r w:rsidR="00612860" w:rsidRPr="00972C81">
        <w:rPr>
          <w:noProof/>
          <w:szCs w:val="24"/>
        </w:rPr>
        <w:t>(Cohen and Wrenn, 1973; Guilmette et al., 1980; Rosen et al., 1972)</w:t>
      </w:r>
      <w:r w:rsidR="00705D74" w:rsidRPr="00972C81">
        <w:rPr>
          <w:noProof/>
        </w:rPr>
        <w:fldChar w:fldCharType="end"/>
      </w:r>
      <w:r w:rsidRPr="00972C81">
        <w:rPr>
          <w:noProof/>
        </w:rPr>
        <w:t xml:space="preserve">, monkeys </w:t>
      </w:r>
      <w:r w:rsidR="00705D74" w:rsidRPr="00972C81">
        <w:rPr>
          <w:noProof/>
        </w:rPr>
        <w:fldChar w:fldCharType="begin"/>
      </w:r>
      <w:r w:rsidR="00612860" w:rsidRPr="00972C81">
        <w:rPr>
          <w:noProof/>
        </w:rPr>
        <w:instrText xml:space="preserve"> ADDIN ZOTERO_ITEM CSL_CITATION {"citationID":"a2pt3vvrj4c","properties":{"formattedCitation":"(Durbin, 1973)","plainCitation":"(Durbin, 1973)","noteIndex":0},"citationItems":[{"id":4804,"uris":["http://zotero.org/groups/2470620/items/8</w:instrText>
      </w:r>
      <w:r w:rsidR="00612860" w:rsidRPr="00A3213E">
        <w:rPr>
          <w:noProof/>
          <w:lang w:val="fr-FR"/>
        </w:rPr>
        <w:instrText xml:space="preserve">DP7GNID"],"itemData":{"id":4804,"type":"chapter","container-title":"Uranium· Plutonium Transplutonic Elements","event-place":"Berlin","page":"739–896","publisher":"Springer","publisher-place":"Berlin","source":"Google Scholar","title":"Metabolism and biological effects of the transplutonium elements","author":[{"family":"Durbin","given":"Patricia W."}],"editor":[{"family":"Hodge","given":"H.C."},{"family":"Stannard","given":"J.N.J."},{"family":"Hursh","given":"J.B."}],"issued":{"date-parts":[["1973"]]}}}],"schema":"https://github.com/citation-style-language/schema/raw/master/csl-citation.json"} </w:instrText>
      </w:r>
      <w:r w:rsidR="00705D74" w:rsidRPr="00972C81">
        <w:rPr>
          <w:noProof/>
        </w:rPr>
        <w:fldChar w:fldCharType="separate"/>
      </w:r>
      <w:r w:rsidR="00612860" w:rsidRPr="00A3213E">
        <w:rPr>
          <w:noProof/>
          <w:szCs w:val="24"/>
          <w:lang w:val="fr-FR"/>
        </w:rPr>
        <w:t>(Durbin, 1973)</w:t>
      </w:r>
      <w:r w:rsidR="00705D74" w:rsidRPr="00972C81">
        <w:rPr>
          <w:noProof/>
        </w:rPr>
        <w:fldChar w:fldCharType="end"/>
      </w:r>
      <w:r w:rsidRPr="00A3213E">
        <w:rPr>
          <w:noProof/>
          <w:lang w:val="fr-FR"/>
        </w:rPr>
        <w:t>, beagles</w:t>
      </w:r>
      <w:r w:rsidR="00705D74" w:rsidRPr="00A3213E">
        <w:rPr>
          <w:noProof/>
          <w:lang w:val="fr-FR"/>
        </w:rPr>
        <w:t xml:space="preserve"> </w:t>
      </w:r>
      <w:r w:rsidR="00481947" w:rsidRPr="00972C81">
        <w:rPr>
          <w:noProof/>
        </w:rPr>
        <w:fldChar w:fldCharType="begin"/>
      </w:r>
      <w:r w:rsidR="00612860" w:rsidRPr="00A3213E">
        <w:rPr>
          <w:noProof/>
          <w:lang w:val="fr-FR"/>
        </w:rPr>
        <w:instrText xml:space="preserve"> </w:instrText>
      </w:r>
      <w:r w:rsidR="00612860" w:rsidRPr="006D5CB7">
        <w:rPr>
          <w:noProof/>
          <w:lang w:val="fr-FR"/>
        </w:rPr>
        <w:instrText xml:space="preserve">ADDIN ZOTERO_ITEM CSL_CITATION {"citationID":"a2qd9n660f9","properties":{"formattedCitation":"(Bruenger et al., 1969)","plainCitation":"(Bruenger et al., 1969)","noteIndex":0},"citationItems":[{"id":5201,"uris":["http://zotero.org/groups/2470620/items/6ZWCAWR7"],"itemData":{"id":5201,"type":"article-journal","container-title":"Radiation Research","ISSN":"0033-7587","issue":"2","journalAbbreviation":"Radiat Res","language":"eng","note":"PMID: 5765545","page":"349-360","source":"PubMed","title":"Americium-241 in the blood: in vivo and in vitro observations","title-short":"Americium-241 in the blood","volume":"37","author":[{"family":"Bruenger","given":"F. W."},{"family":"Stevens","given":"W."},{"family":"Stover","given":"B. J."}],"issued":{"date-parts":[["1969",2]]}}}],"schema":"https://github.com/citation-style-language/schema/raw/master/csl-citation.json"} </w:instrText>
      </w:r>
      <w:r w:rsidR="00481947" w:rsidRPr="00972C81">
        <w:rPr>
          <w:noProof/>
        </w:rPr>
        <w:fldChar w:fldCharType="separate"/>
      </w:r>
      <w:r w:rsidR="00612860" w:rsidRPr="006D5CB7">
        <w:rPr>
          <w:noProof/>
          <w:szCs w:val="24"/>
          <w:lang w:val="fr-FR"/>
        </w:rPr>
        <w:t>(Bruenger et al., 1969)</w:t>
      </w:r>
      <w:r w:rsidR="00481947" w:rsidRPr="00972C81">
        <w:rPr>
          <w:noProof/>
        </w:rPr>
        <w:fldChar w:fldCharType="end"/>
      </w:r>
      <w:r w:rsidRPr="006D5CB7">
        <w:rPr>
          <w:noProof/>
          <w:lang w:val="fr-FR"/>
        </w:rPr>
        <w:t xml:space="preserve">, sheep </w:t>
      </w:r>
      <w:r w:rsidR="00481947" w:rsidRPr="00972C81">
        <w:rPr>
          <w:noProof/>
        </w:rPr>
        <w:fldChar w:fldCharType="begin"/>
      </w:r>
      <w:r w:rsidR="00612860" w:rsidRPr="006D5CB7">
        <w:rPr>
          <w:noProof/>
          <w:lang w:val="fr-FR"/>
        </w:rPr>
        <w:instrText xml:space="preserve"> ADDIN ZOTERO_ITEM CSL_CITATION {"citationID":"a20dimqskvb","properties":{"formattedCitation":"(McClellan et al., 1962)","plainCitation":"(McClellan et al., 1962)","noteIndex":0},"citationItems":[{"id":5203,"uris":["http://zotero.org/groups/2470620/items/HQ82SAE9"],"itemData":{"id":5203,"type":"article-journal","container-title":"Health Physics","issue":"6","note":"publisher: LWW","page":"689–694","source":"Google Scholar","title":"Transfer of some transuranic elements to milk","volume":"8","author":[{"family":"McClellan","given":"R. O."},{"family":"Casey","given":"H. W."},{"family":"Bustad","given":"L. K."}],"issued":{"date-parts":[["1962"]]}}}],"schema":"https://github.com/citation-style-language/schema/raw/master/csl-citation.json"} </w:instrText>
      </w:r>
      <w:r w:rsidR="00481947" w:rsidRPr="00972C81">
        <w:rPr>
          <w:noProof/>
        </w:rPr>
        <w:fldChar w:fldCharType="separate"/>
      </w:r>
      <w:r w:rsidR="00612860" w:rsidRPr="006D5CB7">
        <w:rPr>
          <w:noProof/>
          <w:szCs w:val="24"/>
          <w:lang w:val="fr-FR"/>
        </w:rPr>
        <w:t>(McClellan et al., 1962)</w:t>
      </w:r>
      <w:r w:rsidR="00481947" w:rsidRPr="00972C81">
        <w:rPr>
          <w:noProof/>
        </w:rPr>
        <w:fldChar w:fldCharType="end"/>
      </w:r>
      <w:r w:rsidRPr="006D5CB7">
        <w:rPr>
          <w:noProof/>
          <w:lang w:val="fr-FR"/>
        </w:rPr>
        <w:t>, rats</w:t>
      </w:r>
      <w:r w:rsidR="000471A4" w:rsidRPr="006D5CB7">
        <w:rPr>
          <w:noProof/>
          <w:lang w:val="fr-FR"/>
        </w:rPr>
        <w:t xml:space="preserve"> </w:t>
      </w:r>
      <w:r w:rsidR="000471A4" w:rsidRPr="00972C81">
        <w:rPr>
          <w:noProof/>
        </w:rPr>
        <w:fldChar w:fldCharType="begin"/>
      </w:r>
      <w:r w:rsidR="00612860" w:rsidRPr="006D5CB7">
        <w:rPr>
          <w:noProof/>
          <w:lang w:val="fr-FR"/>
        </w:rPr>
        <w:instrText xml:space="preserve"> ADDIN ZOTERO_ITEM CSL_CITAT</w:instrText>
      </w:r>
      <w:r w:rsidR="00612860" w:rsidRPr="00A3213E">
        <w:rPr>
          <w:noProof/>
          <w:lang w:val="en-US"/>
        </w:rPr>
        <w:instrText>ION {"citationID":"a1ho1ue3ldo","properties":{"formattedCitation":"(Belyayev, 1969; Turner and Taylor, 1968)","plainCitation":"(Belyayev, 1969; Turner and Taylor, 1968)","noteIndex":0},"citationItems":[{"id":5207,"uris":["http://zotero.org/groups/2470620/items/TYNJNFBZ"],"itemData":{"id":5207,"type":"chapter","container-title":"Radioactive isotopes and the body. Translated in U.S. Atomic Energy Commission Document AEC-tr-6944","event-place":"Moscow, Russia","note":"publisher: Moscow","page":"168–174","publisher":"Izdatel'stvo Meditsina","publisher-place":"Moscow, Russia","source":"Google Scholar","title":"Americium-241 distribution in rats and the eff</w:instrText>
      </w:r>
      <w:r w:rsidR="00612860" w:rsidRPr="00972C81">
        <w:rPr>
          <w:noProof/>
        </w:rPr>
        <w:instrText xml:space="preserve">ect of complexing substances on its elimination","author":[{"family":"Belyayev","given":"Yu A."}],"editor":[{"family":"Moskalev","given":"Y.I."}],"issued":{"date-parts":[["1969"]]}}},{"id":5205,"uris":["http://zotero.org/groups/2470620/items/5CUKFBAF"],"itemData":{"id":5205,"type":"article-journal","container-title":"Physics in Medicine and Biology","DOI":"10.1088/0031-9155/13/4/304","ISSN":"0031-9155","issue":"4","journalAbbreviation":"Phys Med Biol","language":"eng","note":"PMID: 5683324","page":"535-546","source":"PubMed","title":"The transport of plutonium, americium and curium in the blood of rats","volume":"13","author":[{"family":"Turner","given":"G. A."},{"family":"Taylor","given":"D. M."}],"issued":{"date-parts":[["1968",10]]}}}],"schema":"https://github.com/citation-style-language/schema/raw/master/csl-citation.json"} </w:instrText>
      </w:r>
      <w:r w:rsidR="000471A4" w:rsidRPr="00972C81">
        <w:rPr>
          <w:noProof/>
        </w:rPr>
        <w:fldChar w:fldCharType="separate"/>
      </w:r>
      <w:r w:rsidR="00612860" w:rsidRPr="00972C81">
        <w:rPr>
          <w:noProof/>
          <w:szCs w:val="24"/>
        </w:rPr>
        <w:t>(Belyayev, 1969; Turner and Taylor, 1968)</w:t>
      </w:r>
      <w:r w:rsidR="000471A4" w:rsidRPr="00972C81">
        <w:rPr>
          <w:noProof/>
        </w:rPr>
        <w:fldChar w:fldCharType="end"/>
      </w:r>
      <w:r w:rsidRPr="00972C81">
        <w:rPr>
          <w:noProof/>
        </w:rPr>
        <w:t xml:space="preserve">, cows </w:t>
      </w:r>
      <w:r w:rsidR="000471A4" w:rsidRPr="00972C81">
        <w:rPr>
          <w:noProof/>
        </w:rPr>
        <w:fldChar w:fldCharType="begin"/>
      </w:r>
      <w:r w:rsidR="00612860" w:rsidRPr="00972C81">
        <w:rPr>
          <w:noProof/>
        </w:rPr>
        <w:instrText xml:space="preserve"> ADDIN ZOTERO_ITEM CSL_CITATION {"citationID":"a5u56itbiu","properties":{"formattedCitation":"(Sutton et al., 1978)","plainCitation":"(Sutton et al., 1978)","noteIndex":0},"citationItems":[{"id":5208,"uris":["http://zotero.org/groups/2470620/items/UFUIBD4T"],"itemData":{"id":5208,"type":"chapter","container-title":"Selected environmental plutonium research reports of the Nevada Applied Ecology Group, Report NVO 192","page":"19-43","source":"Google Scholar","title":"Metabolism of americium-241 in dairy animals","author":[{"family":"Sutton","given":"W. W."},{"family":"Patzer","given":"R. G."},{"family":"Mullen","given":"A. A."},{"family":"Hahn","given":"P. B."},{"family":"Potter","given":"G. D."}],"editor":[{"family":"White","given":"M.G."},{"family":"Dunaway","given":"P.B."}],"issued":{"date-parts":[["1978"]]}}}],"schema":"https://github.com/citation-style-language/schema/raw/master/csl-citation.json"} </w:instrText>
      </w:r>
      <w:r w:rsidR="000471A4" w:rsidRPr="00972C81">
        <w:rPr>
          <w:noProof/>
        </w:rPr>
        <w:fldChar w:fldCharType="separate"/>
      </w:r>
      <w:r w:rsidR="00612860" w:rsidRPr="00972C81">
        <w:rPr>
          <w:noProof/>
          <w:szCs w:val="24"/>
        </w:rPr>
        <w:t>(Sutton et al., 1978)</w:t>
      </w:r>
      <w:r w:rsidR="000471A4" w:rsidRPr="00972C81">
        <w:rPr>
          <w:noProof/>
        </w:rPr>
        <w:fldChar w:fldCharType="end"/>
      </w:r>
      <w:r w:rsidRPr="00972C81">
        <w:rPr>
          <w:noProof/>
        </w:rPr>
        <w:t xml:space="preserve">, and goats </w:t>
      </w:r>
      <w:r w:rsidR="000471A4" w:rsidRPr="00972C81">
        <w:rPr>
          <w:noProof/>
        </w:rPr>
        <w:fldChar w:fldCharType="begin"/>
      </w:r>
      <w:r w:rsidR="00612860" w:rsidRPr="00972C81">
        <w:rPr>
          <w:noProof/>
        </w:rPr>
        <w:instrText xml:space="preserve"> ADDIN ZOTERO_ITEM CSL_CITATION {"citationID":"mpksdZLf","properties":{"formattedCitation":"(Sutton et al., 1978)","plainCitation":"(Sutton et al., 1978)","noteIndex":0},"citationItems":[{"id":5208,"uris":["http://zotero.org/groups/2470620/items/UFUIBD4T"],"itemData":{"id":5208,"type":"chapter","container-title":"Selected environmental plutonium research reports of the Nevada Applied Ecology Group, Report NVO 192","page":"19-43","source":"Google Scholar","title":"Metabolism of americium-241 in dairy animals","author":[{"family":"Sutton","given":"W. W."},{"family":"Patzer","given":"R. G."},{"family":"Mullen","given":"A. A."},{"family":"Hahn","given":"P. B."},{"family":"Potter","given":"G. D."}],"editor":[{"family":"White","given":"M.G."},{"family":"Dunaway","given":"P.B."}],"issued":{"date-parts":[["1978"]]}}}],"schema":"https://github.com/citation-style-language/schema/raw/master/csl-citation.json"} </w:instrText>
      </w:r>
      <w:r w:rsidR="000471A4" w:rsidRPr="00972C81">
        <w:rPr>
          <w:noProof/>
        </w:rPr>
        <w:fldChar w:fldCharType="separate"/>
      </w:r>
      <w:r w:rsidR="00612860" w:rsidRPr="00972C81">
        <w:rPr>
          <w:noProof/>
          <w:szCs w:val="24"/>
        </w:rPr>
        <w:t>(Sutton et al., 1978)</w:t>
      </w:r>
      <w:r w:rsidR="000471A4" w:rsidRPr="00972C81">
        <w:rPr>
          <w:noProof/>
        </w:rPr>
        <w:fldChar w:fldCharType="end"/>
      </w:r>
      <w:r w:rsidRPr="00972C81">
        <w:rPr>
          <w:noProof/>
        </w:rPr>
        <w:t xml:space="preserve">. Nearly all americium in blood is found in the plasma fraction. As is the case for plutonium and neptunium, most circulating americium soon becomes bound to plasma proteins, primarily transferrin and citrate. However, the affinity constants are much lower for americium than for plutonium or neptunium, resulting in much faster </w:t>
      </w:r>
      <w:r w:rsidR="000471A4" w:rsidRPr="00972C81">
        <w:rPr>
          <w:noProof/>
        </w:rPr>
        <w:t xml:space="preserve">removal of americium from blood </w:t>
      </w:r>
      <w:r w:rsidR="000471A4" w:rsidRPr="00972C81">
        <w:rPr>
          <w:noProof/>
        </w:rPr>
        <w:fldChar w:fldCharType="begin"/>
      </w:r>
      <w:r w:rsidR="00612860" w:rsidRPr="00972C81">
        <w:rPr>
          <w:noProof/>
        </w:rPr>
        <w:instrText xml:space="preserve"> ADDIN ZOTERO_ITEM CSL_CITATION {"citationID":"a5h7m9ojs5","properties":{"formattedCitation":"(Paquet and Stather, 1997)","plainCitation":"(Paquet and Stather, 1997)","noteIndex":0},"citationItems":[{"id":5209,"uris":["http://zotero.org/groups/2470620/items/ZEV5C3PU"],"itemData":{"id":5209,"type":"chapter","container-title":"Toxiques Nucléaires","event-place":"Paris, France","page":"247-279","publisher":"Masson et Cie éditeurs","publisher-place":"Paris, France","title":"Américium","author":[{"family":"Paquet","given":"F."},{"family":"Stather","given":"J.W."}],"issued":{"date-parts":[["1997"]]}}}],"schema":"https://github.com/citation-style-language/schema/raw/master/csl-citation.json"} </w:instrText>
      </w:r>
      <w:r w:rsidR="000471A4" w:rsidRPr="00972C81">
        <w:rPr>
          <w:noProof/>
        </w:rPr>
        <w:fldChar w:fldCharType="separate"/>
      </w:r>
      <w:r w:rsidR="00612860" w:rsidRPr="00972C81">
        <w:rPr>
          <w:noProof/>
          <w:szCs w:val="24"/>
        </w:rPr>
        <w:t>(Paquet and Stather, 1997)</w:t>
      </w:r>
      <w:r w:rsidR="000471A4" w:rsidRPr="00972C81">
        <w:rPr>
          <w:noProof/>
        </w:rPr>
        <w:fldChar w:fldCharType="end"/>
      </w:r>
      <w:r w:rsidRPr="00972C81">
        <w:rPr>
          <w:noProof/>
        </w:rPr>
        <w:t>. Roughly 5</w:t>
      </w:r>
      <w:r w:rsidR="002B0D0B" w:rsidRPr="00FE17F7">
        <w:t>–</w:t>
      </w:r>
      <w:r w:rsidRPr="00972C81">
        <w:rPr>
          <w:noProof/>
        </w:rPr>
        <w:t>10% of intravenously injected americium remains in blood at 1 h, 0.1 1.5% at 24 h, and 0.03</w:t>
      </w:r>
      <w:r w:rsidR="002B0D0B" w:rsidRPr="00FE17F7">
        <w:t>–</w:t>
      </w:r>
      <w:r w:rsidRPr="00972C81">
        <w:rPr>
          <w:noProof/>
        </w:rPr>
        <w:t>0.5% at 48 h. Much of the activity that leaves blood in the first hour after injection returns to blood over the next few hours.</w:t>
      </w:r>
    </w:p>
    <w:p w14:paraId="18501060" w14:textId="7FD0E164" w:rsidR="00D60A65" w:rsidRPr="00972C81" w:rsidRDefault="00D60A65" w:rsidP="001C4A92">
      <w:pPr>
        <w:pStyle w:val="Annalstext"/>
        <w:rPr>
          <w:noProof/>
        </w:rPr>
      </w:pPr>
      <w:r w:rsidRPr="00972C81">
        <w:rPr>
          <w:noProof/>
        </w:rPr>
        <w:t xml:space="preserve">Data for rats suggest that a third or more of americium leaving blood in the first few minutes after injection entered soft tissues and extracellular fluids and that much of this returned to blood over the next few hours </w:t>
      </w:r>
      <w:r w:rsidR="000471A4" w:rsidRPr="00972C81">
        <w:rPr>
          <w:noProof/>
        </w:rPr>
        <w:fldChar w:fldCharType="begin"/>
      </w:r>
      <w:r w:rsidR="00612860" w:rsidRPr="00972C81">
        <w:rPr>
          <w:noProof/>
        </w:rPr>
        <w:instrText xml:space="preserve"> ADDIN ZOTERO_ITEM CSL_CITATION {"citationID":"a9r3joiq98","properties":{"formattedCitation":"(Belyayev, 1969; Durbin, 1973)","plainCitation":"(Belyayev, 1969; Durbin, 1973)","noteIndex":0},"citationItems":[{"id":5207,"uris":["http://zotero.org/groups/2470620/items/TYNJNFBZ"],"itemData":{"id":5207,"type":"chapter","container-title":"Radioactive isotopes and the body. Translated in U.S. Atomic Energy Commission Document AEC-tr-6944","event-place":"Moscow, Russia","note":"publisher: Moscow","page":"168–174","publisher":"Izdatel'stvo Meditsina","publisher-place":"Moscow, Russia","source":"Google Scholar","title":"Americium-241 distribution in rats and the effect of complexing substances on its elimination","author":[{"family":"Belyayev","given":"Yu A."}],"editor":[{"family":"Moskalev","given":"Y.I."}],"issued":{"date-parts":[["1969"]]}}},{"id":4804,"uris":["http://zotero.org/groups/2470620/items/8DP7GNID"],"itemData":{"id":4804,"type":"chapter","container-title":"Uranium· Plutonium Transplutonic Elements","event-place":"Berlin","page":"739–896","publisher":"Springer","publisher-place":"Berlin","source":"Google Scholar","title":"Metabolism and biological effects of the transplutonium elements","author":[{"family":"Durbin","given":"Patricia W."}],"editor":[{"family":"Hodge","given":"H.C."},{"family":"Stannard","given":"J.N.J."},{"family":"Hursh","given":"J.B."}],"issued":{"date-parts":[["1973"]]}},"label":"page"}],"schema":"https://github.com/citation-style-language/schema/raw/master/csl-citation.json"} </w:instrText>
      </w:r>
      <w:r w:rsidR="000471A4" w:rsidRPr="00972C81">
        <w:rPr>
          <w:noProof/>
        </w:rPr>
        <w:fldChar w:fldCharType="separate"/>
      </w:r>
      <w:r w:rsidR="00612860" w:rsidRPr="00972C81">
        <w:rPr>
          <w:noProof/>
          <w:szCs w:val="24"/>
        </w:rPr>
        <w:t>(Belyayev, 1969; Durbin, 1973)</w:t>
      </w:r>
      <w:r w:rsidR="000471A4" w:rsidRPr="00972C81">
        <w:rPr>
          <w:noProof/>
        </w:rPr>
        <w:fldChar w:fldCharType="end"/>
      </w:r>
      <w:r w:rsidRPr="00972C81">
        <w:rPr>
          <w:noProof/>
        </w:rPr>
        <w:t xml:space="preserve">. In baboons, a substantial portion of systemic americium remained in the non-liver soft tissues at 1 d </w:t>
      </w:r>
      <w:r w:rsidR="000471A4" w:rsidRPr="00972C81">
        <w:rPr>
          <w:noProof/>
        </w:rPr>
        <w:fldChar w:fldCharType="begin"/>
      </w:r>
      <w:r w:rsidR="00612860" w:rsidRPr="00972C81">
        <w:rPr>
          <w:noProof/>
        </w:rPr>
        <w:instrText xml:space="preserve"> ADDIN ZOTERO_ITEM CSL_CITATION {"citationID":"a2ih7vntqdk","properties":{"formattedCitation":"(Guilmette et al., 1980)","plainCitation":"(Guilmette et al., 1980)","noteIndex":0},"citationItems":[{"id":5199,"uris":["http://zotero.org/groups/2470620/items/R6JXW8PM"],"itemData":{"id":5199,"type":"article-journal","container-title":"Radiation Research","ISSN":"0033-7587","issue":"1","journalAbbreviation":"Radiat Res","language":"eng","note":"PMID: 6766219","page":"100-119","source":"PubMed","title":"Distribution and retention of 241Am in the baboon","volume":"81","author":[{"family":"Guilmette","given":"R. A."},{"family":"Cohen","given":"N."},{"family":"Wrenn","given":"M. E."}],"issued":{"date-parts":[["1980",1]]}}}],"schema":"https://github.com/citation-style-language/schema/raw/master/csl-citation.json"} </w:instrText>
      </w:r>
      <w:r w:rsidR="000471A4" w:rsidRPr="00972C81">
        <w:rPr>
          <w:noProof/>
        </w:rPr>
        <w:fldChar w:fldCharType="separate"/>
      </w:r>
      <w:r w:rsidR="00612860" w:rsidRPr="00972C81">
        <w:rPr>
          <w:noProof/>
          <w:szCs w:val="24"/>
        </w:rPr>
        <w:t>(Guilmette et al., 1980)</w:t>
      </w:r>
      <w:r w:rsidR="000471A4" w:rsidRPr="00972C81">
        <w:rPr>
          <w:noProof/>
        </w:rPr>
        <w:fldChar w:fldCharType="end"/>
      </w:r>
      <w:r w:rsidRPr="00972C81">
        <w:rPr>
          <w:noProof/>
        </w:rPr>
        <w:t>.</w:t>
      </w:r>
    </w:p>
    <w:p w14:paraId="1F2376DD" w14:textId="10E0E391" w:rsidR="00D60A65" w:rsidRPr="00972C81" w:rsidRDefault="00D60A65" w:rsidP="001C4A92">
      <w:pPr>
        <w:pStyle w:val="Annalstext"/>
        <w:rPr>
          <w:noProof/>
        </w:rPr>
      </w:pPr>
      <w:r w:rsidRPr="00972C81">
        <w:rPr>
          <w:noProof/>
        </w:rPr>
        <w:t xml:space="preserve">Following parenteral administration of </w:t>
      </w:r>
      <w:r w:rsidRPr="00972C81">
        <w:rPr>
          <w:noProof/>
          <w:vertAlign w:val="superscript"/>
        </w:rPr>
        <w:t>241</w:t>
      </w:r>
      <w:r w:rsidRPr="00972C81">
        <w:rPr>
          <w:noProof/>
        </w:rPr>
        <w:t xml:space="preserve">Am citrate to baboons </w:t>
      </w:r>
      <w:r w:rsidR="000471A4" w:rsidRPr="00972C81">
        <w:rPr>
          <w:noProof/>
        </w:rPr>
        <w:fldChar w:fldCharType="begin"/>
      </w:r>
      <w:r w:rsidR="00612860" w:rsidRPr="00972C81">
        <w:rPr>
          <w:noProof/>
        </w:rPr>
        <w:instrText xml:space="preserve"> ADDIN ZOTERO_ITEM CSL_CITATION {"citationID":"a2gj8ll3nt5","properties":{"formattedCitation":"(Cohen and Wrenn, 1973; Rosen et al., 1972)","plainCitation":"(Cohen and Wrenn, 1973; Rosen et al., 1972)","noteIndex":0},"citationItems":[{"id":5197,"uris":["http://zotero.org/groups/2470620/items/SR7GQM6L"],"itemData":{"id":5197,"type":"article-journal","container-title":"Radiation Research","ISSN":"0033-7587","issue":"1","journalAbbreviation":"Radiat Res","language":"eng","note":"PMID: 4197799","page":"129-143","source":"PubMed","title":"Metabolic characteristics of 241 Am in the adult baboon","volume":"55","author":[{"family":"Cohen","given":"N."},{"family":"Wrenn","given":"M. E."}],"issued":{"date-parts":[["1973",7]]}}},{"id":5195,"uris":["http://zotero.org/groups/2470620/items/XEBXMXU8"],"itemData":{"id":5195,"type":"article-journal","container-title":"Health Physics","DOI":"10.1097/00004032-197206000-00012","ISSN":"0017-9078","issue":"6","journalAbbreviation":"Health Phys","language":"eng","note":"PMID: 4628452","page":"621-626","source":"PubMed","title":"Short term metabolism of 241 Am in the adult baboon","volume":"22","author":[{"family":"Rosen","given":"J. C."},{"family":"Cohen","given":"N."},{"family":"Wrenn","given":"M. E."}],"issued":{"date-parts":[["1972",6]]}}}],"schema":"https://github.com/citation-style-language/schema/raw/master/csl-citation.json"} </w:instrText>
      </w:r>
      <w:r w:rsidR="000471A4" w:rsidRPr="00972C81">
        <w:rPr>
          <w:noProof/>
        </w:rPr>
        <w:fldChar w:fldCharType="separate"/>
      </w:r>
      <w:r w:rsidR="00612860" w:rsidRPr="00972C81">
        <w:rPr>
          <w:noProof/>
          <w:szCs w:val="24"/>
        </w:rPr>
        <w:t>(Cohen and Wrenn, 1973; Rosen et al., 1972)</w:t>
      </w:r>
      <w:r w:rsidR="000471A4" w:rsidRPr="00972C81">
        <w:rPr>
          <w:noProof/>
        </w:rPr>
        <w:fldChar w:fldCharType="end"/>
      </w:r>
      <w:r w:rsidRPr="00972C81">
        <w:rPr>
          <w:noProof/>
        </w:rPr>
        <w:t xml:space="preserve">, monkeys </w:t>
      </w:r>
      <w:r w:rsidR="000471A4" w:rsidRPr="00972C81">
        <w:rPr>
          <w:noProof/>
        </w:rPr>
        <w:fldChar w:fldCharType="begin"/>
      </w:r>
      <w:r w:rsidR="00612860" w:rsidRPr="00972C81">
        <w:rPr>
          <w:noProof/>
        </w:rPr>
        <w:instrText xml:space="preserve"> ADDIN ZOTERO_ITEM CSL_CITATION {"citationID":"0Vb5Rcis","properties":{"formattedCitation":"(Durbin, 1973)","plainCitation":"(Durbin, 1973)","noteIndex":0},"citationItems":[{"id":4804,"uris":["http://zotero.org/groups/2470620/items/8DP7GNID"],"itemData":{"id":4804,"type":"chapter","container-title":"Uranium· Plutonium Transplutonic Elements","event-place":"Berlin","page":"739–896","publisher":"Springer","publisher-place":"Berlin","source":"Google Scholar","title":"Metabolism and biological effects of the transplutonium elements","author":[{"family":"Durbin","given":"Patricia W."}],"editor":[{"family":"Hodge","given":"H.C."},{"family":"Stannard","given":"J.N.J."},{"family":"Hursh","given":"J.B."}],"issued":{"date-parts":[["1973"]]}}}],"schema":"https://github.com/citation-style-language/schema/raw/master/csl-citation.json"} </w:instrText>
      </w:r>
      <w:r w:rsidR="000471A4" w:rsidRPr="00972C81">
        <w:rPr>
          <w:noProof/>
        </w:rPr>
        <w:fldChar w:fldCharType="separate"/>
      </w:r>
      <w:r w:rsidR="00612860" w:rsidRPr="00972C81">
        <w:rPr>
          <w:noProof/>
          <w:szCs w:val="24"/>
        </w:rPr>
        <w:t>(Durbin, 1973)</w:t>
      </w:r>
      <w:r w:rsidR="000471A4" w:rsidRPr="00972C81">
        <w:rPr>
          <w:noProof/>
        </w:rPr>
        <w:fldChar w:fldCharType="end"/>
      </w:r>
      <w:r w:rsidRPr="00972C81">
        <w:rPr>
          <w:noProof/>
        </w:rPr>
        <w:t xml:space="preserve">, and beagles </w:t>
      </w:r>
      <w:r w:rsidR="0060585D" w:rsidRPr="00972C81">
        <w:rPr>
          <w:noProof/>
        </w:rPr>
        <w:fldChar w:fldCharType="begin"/>
      </w:r>
      <w:r w:rsidR="00612860" w:rsidRPr="00972C81">
        <w:rPr>
          <w:noProof/>
        </w:rPr>
        <w:instrText xml:space="preserve"> ADDIN ZOTERO_ITEM CSL_CITATION {"citationID":"a8t0tks9vv","properties":{"formattedCitation":"(Lloyd et al., 1970)","plainCitation":"(Lloyd et al., 1970)","noteIndex":0},"citationItems":[{"id":5210,"uris":["http://zotero.org/groups/2470620/items/K7LXUZ8T"],"itemData":{"id":5210,"type":"article-journal","container-title":"Health Physics","DOI":"10.1097/00004032-197002000-00007","ISSN":"0017-9078","issue":"2","journalAbbreviation":"Health Phys","language":"eng","note":"PMID: 5416368","page":"149-156","source":"PubMed","title":"Americium-241 studies in beagles","volume":"18","author":[{"family":"Lloyd","given":"R. D."},{"family":"Mays","given":"C. W."},{"family":"Taylor","given":"G. N."},{"family":"Atherton","given":"D. R."}],"issued":{"date-parts":[["1970",2]]}}}],"schema":"https://github.com/citation-style-language/schema/raw/master/csl-citation.json"} </w:instrText>
      </w:r>
      <w:r w:rsidR="0060585D" w:rsidRPr="00972C81">
        <w:rPr>
          <w:noProof/>
        </w:rPr>
        <w:fldChar w:fldCharType="separate"/>
      </w:r>
      <w:r w:rsidR="00612860" w:rsidRPr="00972C81">
        <w:rPr>
          <w:noProof/>
          <w:szCs w:val="24"/>
        </w:rPr>
        <w:t>(Lloyd et al., 1970)</w:t>
      </w:r>
      <w:r w:rsidR="0060585D" w:rsidRPr="00972C81">
        <w:rPr>
          <w:noProof/>
        </w:rPr>
        <w:fldChar w:fldCharType="end"/>
      </w:r>
      <w:r w:rsidRPr="00972C81">
        <w:rPr>
          <w:noProof/>
        </w:rPr>
        <w:t xml:space="preserve">, cumulative urinary excretion over the first 3 weeks amounted to ~10% of the administered activity. In beagles the urinary excretion rates over the first three weeks were similar for americium and curium isotopes </w:t>
      </w:r>
      <w:r w:rsidR="0060585D" w:rsidRPr="00972C81">
        <w:rPr>
          <w:noProof/>
        </w:rPr>
        <w:fldChar w:fldCharType="begin"/>
      </w:r>
      <w:r w:rsidR="00612860" w:rsidRPr="00972C81">
        <w:rPr>
          <w:noProof/>
        </w:rPr>
        <w:instrText xml:space="preserve"> ADDIN ZOTERO_ITEM CSL_CITATION {"citationID":"a2kjc8jhj36","properties":{"formattedCitation":"(Lloyd et al., 1970, 1974)","plainCitation":"(Lloyd et al., 1970, 1974)","noteIndex":0},"citationItems":[{"id":5210,"uris":["http://zotero.org/groups/2470620/items/K7LXUZ8T"],"itemData":{"id":5210,"type":"article-journal","container-title":"Health Physics","DOI":"10.1097/00004032-197002000-00007","ISSN":"0017-9078","issue":"2","journalAbbreviation":"Health Phys","language":"eng","note":"PMID: 5416368","page":"149-156","source":"PubMed","title":"Americium-241 studies in beagles","volume":"18","author":[{"family":"Lloyd","given":"R. D."},{"family":"Mays","given":"C. W."},{"family":"Taylor","given":"G. N."},{"family":"Atherton","given":"D. R."}],"issued":{"date-parts":[["1970",2]]}}},{"id":5212,"uris":["http://zotero.org/groups/2470620/items/HFGKHQYJ"],"itemData":{"id":5212,"type":"article-journal","container-title":"Health Physics","DOI":"10.1097/00004032-197407000-00008","ISSN":"0017-9078","issue":"1","journalAbbreviation":"Health Phys","language":"eng","note":"PMID: 4430633","page":"61-67","source":"PubMed","title":"The early excretion, retention and distribution of injected curium citrate in beagles","volume":"27","author":[{"family":"Lloyd","given":"R. D."},{"family":"Atherton","given":"D. R."},{"family":"Mays","given":"C. W."},{"family":"McFarland","given":"S. S."},{"family":"Williams","given":"J. L."}],"issued":{"date-parts":[["1974",7]]}}}],"schema":"https://github.com/citation-style-language/schema/raw/master/csl-citation.json"} </w:instrText>
      </w:r>
      <w:r w:rsidR="0060585D" w:rsidRPr="00972C81">
        <w:rPr>
          <w:noProof/>
        </w:rPr>
        <w:fldChar w:fldCharType="separate"/>
      </w:r>
      <w:r w:rsidR="00612860" w:rsidRPr="00972C81">
        <w:rPr>
          <w:noProof/>
          <w:szCs w:val="24"/>
        </w:rPr>
        <w:t>(Lloyd et al., 1970, 1974)</w:t>
      </w:r>
      <w:r w:rsidR="0060585D" w:rsidRPr="00972C81">
        <w:rPr>
          <w:noProof/>
        </w:rPr>
        <w:fldChar w:fldCharType="end"/>
      </w:r>
      <w:r w:rsidRPr="00972C81">
        <w:rPr>
          <w:noProof/>
        </w:rPr>
        <w:t xml:space="preserve">. Similar urinary excretion rates were observed for americium and curium in rats following parenteral administration </w:t>
      </w:r>
      <w:r w:rsidR="0060585D" w:rsidRPr="00972C81">
        <w:rPr>
          <w:noProof/>
        </w:rPr>
        <w:fldChar w:fldCharType="begin"/>
      </w:r>
      <w:r w:rsidR="00612860" w:rsidRPr="00972C81">
        <w:rPr>
          <w:noProof/>
        </w:rPr>
        <w:instrText xml:space="preserve"> ADDIN ZOTERO_ITEM CSL_CITATION {"citationID":"a2eh0q08ikg","properties":{"formattedCitation":"(Durbin, 1973)","plainCitation":"(Durbin, 1973)","noteIndex":0},"citationItems":[{"id":4804,"uris":["http://zotero.org/groups/2470620/items/8DP7GNID"],"itemData":{"id":4804,"type":"chapter","container-title":"Uranium· Plutonium Transplutonic Elements","event-place":"Berlin","page":"739–896","publisher":"Springer","publisher-place":"Berlin","source":"Google Scholar","title":"Metabolism and biological effects of the transplutonium elements","author":[{"family":"Durbin","given":"Patricia W."}],"editor":[{"family":"Hodge","given":"H.C."},{"family":"Stannard","given":"J.N.J."},{"family":"Hursh","given":"J.B."}],"issued":{"date-parts":[["1973"]]}}}],"schema":"https://github.com/citation-style-language/schema/raw/master/csl-citation.json"} </w:instrText>
      </w:r>
      <w:r w:rsidR="0060585D" w:rsidRPr="00972C81">
        <w:rPr>
          <w:noProof/>
        </w:rPr>
        <w:fldChar w:fldCharType="separate"/>
      </w:r>
      <w:r w:rsidR="00612860" w:rsidRPr="00972C81">
        <w:rPr>
          <w:noProof/>
          <w:szCs w:val="24"/>
        </w:rPr>
        <w:t>(Durbin, 1973)</w:t>
      </w:r>
      <w:r w:rsidR="0060585D" w:rsidRPr="00972C81">
        <w:rPr>
          <w:noProof/>
        </w:rPr>
        <w:fldChar w:fldCharType="end"/>
      </w:r>
      <w:r w:rsidRPr="00972C81">
        <w:rPr>
          <w:noProof/>
        </w:rPr>
        <w:t xml:space="preserve">. </w:t>
      </w:r>
    </w:p>
    <w:p w14:paraId="7798E628" w14:textId="65F547BF" w:rsidR="00D60A65" w:rsidRPr="00972C81" w:rsidRDefault="00D60A65" w:rsidP="001C4A92">
      <w:pPr>
        <w:pStyle w:val="Annalstext"/>
        <w:rPr>
          <w:noProof/>
        </w:rPr>
      </w:pPr>
      <w:r w:rsidRPr="00972C81">
        <w:rPr>
          <w:noProof/>
        </w:rPr>
        <w:t xml:space="preserve">In animals of all ages, most systemic Am (typically 80% or more) accumulates in the skeleton and liver within a few days after parenteral injection (Lloyd et al., 1970; Rosen et al., 1972; Durakovic et al., 1973; Stevens et al., 1977; Guilmette et al., 1980). In monkeys </w:t>
      </w:r>
      <w:r w:rsidR="00376682" w:rsidRPr="00972C81">
        <w:rPr>
          <w:noProof/>
        </w:rPr>
        <w:fldChar w:fldCharType="begin"/>
      </w:r>
      <w:r w:rsidR="0091689A" w:rsidRPr="00972C81">
        <w:rPr>
          <w:noProof/>
        </w:rPr>
        <w:instrText xml:space="preserve"> ADDIN ZOTERO_ITEM CSL_CITATION {"citationID":"ajrhkge13r","properties":{"formattedCitation":"(Durbin, 1973)","plainCitation":"(Durbin, 1973)","noteIndex":0},"citationItems":[{"id":4804,"uris":["http://zotero.org/groups/2470620/items/8DP7GNID"],"itemData":{"id":4804,"type":"chapter","container-title":"Uranium· Plutonium Transplutonic Elements","event-place":"Berlin","page":"739–896","publisher":"Springer","publisher-place":"Berlin","source":"Google Scholar","title":"Metabolism and biological effects of the transplutonium elements","author":[{"family":"Durbin","given":"Patricia W."}],"editor":[{"family":"Hodge","given":"H.C."},{"family":"Stannard","given":"J.N.J."},{"family":"Hursh","given":"J.B."}],"issued":{"date-parts":[["1973"]]}}}],"schema":"https://github.com/citation-style-language/schema/raw/master/csl-citation.json"} </w:instrText>
      </w:r>
      <w:r w:rsidR="00376682" w:rsidRPr="00972C81">
        <w:rPr>
          <w:noProof/>
        </w:rPr>
        <w:fldChar w:fldCharType="separate"/>
      </w:r>
      <w:r w:rsidR="0091689A" w:rsidRPr="00972C81">
        <w:rPr>
          <w:noProof/>
          <w:szCs w:val="24"/>
        </w:rPr>
        <w:t>(Durbin, 1973)</w:t>
      </w:r>
      <w:r w:rsidR="00376682" w:rsidRPr="00972C81">
        <w:rPr>
          <w:noProof/>
        </w:rPr>
        <w:fldChar w:fldCharType="end"/>
      </w:r>
      <w:r w:rsidRPr="00972C81">
        <w:rPr>
          <w:noProof/>
        </w:rPr>
        <w:t xml:space="preserve"> and beagles </w:t>
      </w:r>
      <w:r w:rsidR="00376682" w:rsidRPr="00972C81">
        <w:rPr>
          <w:noProof/>
        </w:rPr>
        <w:fldChar w:fldCharType="begin"/>
      </w:r>
      <w:r w:rsidR="0091689A" w:rsidRPr="00972C81">
        <w:rPr>
          <w:noProof/>
        </w:rPr>
        <w:instrText xml:space="preserve"> ADDIN ZOTERO_ITEM CSL_CITATION {"citationID":"a1a96m9ln4r","properties":{"formattedCitation":"(Lloyd et al., 1970)","plainCitation":"(Lloyd et al., 1970)","noteIndex":0},"citationItems":[{"id":5210,"uris":["http://zotero.org/groups/2470620/items/K7LXUZ8T"],"itemData":{"id":5210,"type":"article-journal","container-title":"Health Physics","DOI":"10.1097/00004032-197002000-00007","ISSN":"0017-9078","issue":"2","journalAbbreviation":"Health Phys","language":"eng","note":"PMID: 5416368","page":"149-156","source":"PubMed","title":"Americium-241 studies in beagles","volume":"18","author":[{"family":"Lloyd","given":"R. D."},{"family":"Mays","given":"C. W."},{"family":"Taylor","given":"G. N."},{"family":"Atherton","given":"D. R."}],"issued":{"date-parts":[["1970",2]]}}}],"schema":"https://github.com/citation-style-language/schema/raw/master/csl-citation.json"} </w:instrText>
      </w:r>
      <w:r w:rsidR="00376682" w:rsidRPr="00972C81">
        <w:rPr>
          <w:noProof/>
        </w:rPr>
        <w:fldChar w:fldCharType="separate"/>
      </w:r>
      <w:r w:rsidR="0091689A" w:rsidRPr="00972C81">
        <w:rPr>
          <w:noProof/>
          <w:szCs w:val="24"/>
        </w:rPr>
        <w:t>(Lloyd et al., 1970)</w:t>
      </w:r>
      <w:r w:rsidR="00376682" w:rsidRPr="00972C81">
        <w:rPr>
          <w:noProof/>
        </w:rPr>
        <w:fldChar w:fldCharType="end"/>
      </w:r>
      <w:r w:rsidRPr="00972C81">
        <w:rPr>
          <w:noProof/>
        </w:rPr>
        <w:t xml:space="preserve"> the liver and skeleton contained about 50% and 30%, respectively, of the systemic activity in the first few days or weeks after injection. In baboons </w:t>
      </w:r>
      <w:r w:rsidR="00376682" w:rsidRPr="00972C81">
        <w:rPr>
          <w:noProof/>
        </w:rPr>
        <w:fldChar w:fldCharType="begin"/>
      </w:r>
      <w:r w:rsidR="0091689A" w:rsidRPr="00972C81">
        <w:rPr>
          <w:noProof/>
        </w:rPr>
        <w:instrText xml:space="preserve"> ADDIN ZOTERO_ITEM CSL_CITATION {"citationID":"ao8jihh9ci","properties":{"formattedCitation":"(Guilmette et al., 1980)","plainCitation":"(Guilmette et al., 1980)","noteIndex":0},"citationItems":[{"id":5199,"uris":["http://zotero.org/groups/2470620/items/R6JXW8PM"],"itemData":{"id":5199,"type":"article-journal","container-title":"Radiation Research","ISSN":"0033-7587","issue":"1","journalAbbreviation":"Radiat Res","language":"eng","note":"PMID: 6766219","page":"100-119","source":"PubMed","title":"Distribution and retention of 241Am in the baboon","volume":"81","author":[{"family":"Guilmette","given":"R. A."},{"family":"Cohen","given":"N."},{"family":"Wrenn","given":"M. E."}],"issued":{"date-parts":[["1980",1]]}}}],"schema":"https://github.com/citation-style-language/schema/raw/master/csl-citation.json"} </w:instrText>
      </w:r>
      <w:r w:rsidR="00376682" w:rsidRPr="00972C81">
        <w:rPr>
          <w:noProof/>
        </w:rPr>
        <w:fldChar w:fldCharType="separate"/>
      </w:r>
      <w:r w:rsidR="0091689A" w:rsidRPr="00972C81">
        <w:rPr>
          <w:noProof/>
          <w:szCs w:val="24"/>
        </w:rPr>
        <w:t>(Guilmette et al., 1980)</w:t>
      </w:r>
      <w:r w:rsidR="00376682" w:rsidRPr="00972C81">
        <w:rPr>
          <w:noProof/>
        </w:rPr>
        <w:fldChar w:fldCharType="end"/>
      </w:r>
      <w:r w:rsidRPr="00972C81">
        <w:rPr>
          <w:noProof/>
        </w:rPr>
        <w:t xml:space="preserve"> the liver and skeleton contained about 30% and 40%, respectively, of systemic activity in the early weeks after injection.</w:t>
      </w:r>
    </w:p>
    <w:p w14:paraId="25AF1945" w14:textId="737FD3E7" w:rsidR="00D60A65" w:rsidRPr="00972C81" w:rsidRDefault="00D60A65" w:rsidP="001C4A92">
      <w:pPr>
        <w:pStyle w:val="Annalstext"/>
        <w:rPr>
          <w:noProof/>
        </w:rPr>
      </w:pPr>
      <w:r w:rsidRPr="00972C81">
        <w:rPr>
          <w:noProof/>
        </w:rPr>
        <w:t xml:space="preserve">The systemic biokinetics of americium varies somewhat among species, due largely to differences in the handling of americium by the liver. The studied animal species fall into two main groups with regard to the behaviour of americium in the liver </w:t>
      </w:r>
      <w:r w:rsidR="00376682" w:rsidRPr="00972C81">
        <w:rPr>
          <w:noProof/>
        </w:rPr>
        <w:fldChar w:fldCharType="begin"/>
      </w:r>
      <w:r w:rsidR="0091689A" w:rsidRPr="00972C81">
        <w:rPr>
          <w:noProof/>
        </w:rPr>
        <w:instrText xml:space="preserve"> ADDIN ZOTERO_ITEM CSL_CITATION {"citationID":"a2locmjq35t","properties":{"formattedCitation":"(Durbin and Schmidt, 1985; Taylor, 1984)","plainCitation":"(Durbin and Schmidt, 1985; Taylor, 1984)","noteIndex":0},"citationItems":[{"id":5194,"uris":["http://zotero.org/groups/2470620/items/BFHBKFVN"],"itemData":{"id":5194,"type":"article-journal","container-title":"Health Physics","ISSN":"0017-9078","issue":"4","journalAbbreviation":"Health Phys","language":"eng","note":"PMID: 4044260","page":"623-661","source":"PubMed","title":"The U.S. Transuranium Registry report on the 241Am content of a whole body. Part V: Implications for metabolic modelling","volume":"49","author":[{"family":"Durbin","given":"P.W."},{"family":"Schmidt","given":"C.T."}],"issued":{"date-parts":[["1985",10]]}}},{"id":5164,"uris":["http://zotero.org/groups/2470620/items/UGJZ5MP5"],"itemData":{"id":5164,"type":"paper-conference","container-title":"Radiation-risk-protection. Vol. 1","event-place":"Berlin","page":"431-434","publisher":"6th International Radiation Protection Association Congress","publisher-place":"Berlin","source":"Google Scholar","title":"The retention of plutonium and americium in liver: An interspecies comparison","title-short":"The retention of plutonium and americium in liver","author":[{"family":"Taylor","given":"David M."}],"issued":{"date-parts":[["1984"]]}}}],"schema":"https://github.com/citation-style-language/schema/raw/master/csl-citation.json"} </w:instrText>
      </w:r>
      <w:r w:rsidR="00376682" w:rsidRPr="00972C81">
        <w:rPr>
          <w:noProof/>
        </w:rPr>
        <w:fldChar w:fldCharType="separate"/>
      </w:r>
      <w:r w:rsidR="0091689A" w:rsidRPr="00972C81">
        <w:rPr>
          <w:noProof/>
          <w:szCs w:val="24"/>
        </w:rPr>
        <w:t>(Durbin and Schmidt, 1985; Taylor, 1984)</w:t>
      </w:r>
      <w:r w:rsidR="00376682" w:rsidRPr="00972C81">
        <w:rPr>
          <w:noProof/>
        </w:rPr>
        <w:fldChar w:fldCharType="end"/>
      </w:r>
      <w:r w:rsidRPr="00972C81">
        <w:rPr>
          <w:noProof/>
        </w:rPr>
        <w:t>. A group including rats, mice, macaque monkeys, and baboons shows a short residence time in the liver and a relatively high rate of removal of activity from the liver in bile. A second group including dogs and hamsters shows much slower removal from the liver with relatively low loss via biliary secretion. Biological half-times of americium in the liver typically are on the order of 5</w:t>
      </w:r>
      <w:r w:rsidR="002B0D0B" w:rsidRPr="00FE17F7">
        <w:t>–</w:t>
      </w:r>
      <w:r w:rsidRPr="00972C81">
        <w:rPr>
          <w:noProof/>
        </w:rPr>
        <w:t>15 d in rats and mice, 30</w:t>
      </w:r>
      <w:r w:rsidR="002B0D0B" w:rsidRPr="00FE17F7">
        <w:t>–</w:t>
      </w:r>
      <w:r w:rsidRPr="00972C81">
        <w:rPr>
          <w:noProof/>
        </w:rPr>
        <w:t xml:space="preserve">150 d in baboons and monkeys, and a few years in dogs and hamsters. Long-term studies on dogs </w:t>
      </w:r>
      <w:r w:rsidR="00376682" w:rsidRPr="00972C81">
        <w:rPr>
          <w:noProof/>
        </w:rPr>
        <w:fldChar w:fldCharType="begin"/>
      </w:r>
      <w:r w:rsidR="0091689A" w:rsidRPr="00972C81">
        <w:rPr>
          <w:noProof/>
        </w:rPr>
        <w:instrText xml:space="preserve"> ADDIN ZOTERO_ITEM CSL_CITATION {"citationID":"ak0ge83kg5","properties":{"formattedCitation":"(Lloyd et al., 1970; Mewhinney and Griffith, 1982)","plainCitation":"(Lloyd et al., 1970; Mewhinney and Griffith, 1982)","noteIndex":0},"citationItems":[{"id":5210,"uris":["http://zotero.org/groups/2470620/items/K7LXUZ8T"],"itemData":{"id":5210,"type":"article-journal","container-title":"Health Physics","DOI":"10.1097/00004032-197002000-00007","ISSN":"0017-9078","issue":"2","journalAbbreviation":"Health Phys","language":"eng","note":"PMID: 5416368","page":"149-156","source":"PubMed","title":"Americium-241 studies in beagles","volume":"18","author":[{"family":"Lloyd","given":"R. D."},{"family":"Mays","given":"C. W."},{"family":"Taylor","given":"G. N."},{"family":"Atherton","given":"D. R."}],"issued":{"date-parts":[["1970",2]]}}},{"id":5219,"uris":["http://zotero.org/groups/2470620/items/YYLKGLRF"],"itemData":{"id":5219,"type":"article-journal","abstract":"Two models of the metabolism of inhaled 241AmO2 in Beagles have been formulated. These models differ in their description of lung retention; the empirical dissolution model uses an empirically derived function to describe dissolution of inhaled 241AmO2 while the surface area model uses a dissolution function based on physical and chemical characteristics of the inhaled aerosol. Both models provide more accurate descriptions of retention data for 241Am from several studies in Beagles than does the model published by the ICRP. The surface area model is extended to describe several cases of inhalation of 241Am in humans. This latter model is employed to calculate Annual Limits of Intake for comparison with results based on the current ICRP model. © 1982 Health Physics Society Pergamon Press Ltd.","archive":"Scopus","container-title":"Health Physics","DOI":"10.1097/00004032-198205000-00006","issue":"5","page":"629-644","source":"Scopus","title":"Models of Am metabolism in beagles and humans","volume":"42","author":[{"family":"Mewhinney","given":"J.A."},{"family":"Griffith","given":"W.C."}],"issued":{"date-parts":[["1982"]]}}}],"schema":"https://github.com/citation-style-language/schema/raw/master/csl-citation.json"} </w:instrText>
      </w:r>
      <w:r w:rsidR="00376682" w:rsidRPr="00972C81">
        <w:rPr>
          <w:noProof/>
        </w:rPr>
        <w:fldChar w:fldCharType="separate"/>
      </w:r>
      <w:r w:rsidR="0091689A" w:rsidRPr="00972C81">
        <w:rPr>
          <w:noProof/>
          <w:szCs w:val="24"/>
        </w:rPr>
        <w:t>(Lloyd et al., 1970; Mewhinney and Griffith, 1982)</w:t>
      </w:r>
      <w:r w:rsidR="00376682" w:rsidRPr="00972C81">
        <w:rPr>
          <w:noProof/>
        </w:rPr>
        <w:fldChar w:fldCharType="end"/>
      </w:r>
      <w:r w:rsidR="00376682" w:rsidRPr="00972C81">
        <w:rPr>
          <w:noProof/>
        </w:rPr>
        <w:t xml:space="preserve"> </w:t>
      </w:r>
      <w:r w:rsidRPr="00972C81">
        <w:rPr>
          <w:noProof/>
        </w:rPr>
        <w:t>indicate that a large portion of the initial liver burden gradually transfers to the skeleton.</w:t>
      </w:r>
    </w:p>
    <w:p w14:paraId="63F12661" w14:textId="3F1BA494" w:rsidR="00D60A65" w:rsidRPr="00972C81" w:rsidRDefault="00D60A65" w:rsidP="001C4A92">
      <w:pPr>
        <w:pStyle w:val="Annalstext"/>
        <w:rPr>
          <w:noProof/>
        </w:rPr>
      </w:pPr>
      <w:r w:rsidRPr="00972C81">
        <w:rPr>
          <w:noProof/>
        </w:rPr>
        <w:t xml:space="preserve">Hamilton </w:t>
      </w:r>
      <w:r w:rsidR="00376682" w:rsidRPr="00972C81">
        <w:rPr>
          <w:noProof/>
        </w:rPr>
        <w:fldChar w:fldCharType="begin"/>
      </w:r>
      <w:r w:rsidR="0091689A" w:rsidRPr="00972C81">
        <w:rPr>
          <w:noProof/>
        </w:rPr>
        <w:instrText xml:space="preserve"> ADDIN ZOTERO_ITEM CSL_CITATION {"citationID":"a107hh3pf1q","properties":{"formattedCitation":"(1948)","plainCitation":"(1948)","noteIndex":0},"citationItems":[{"id":4862,"uris":["http://zotero.org/groups/2470620/items/CFMZUPLV"],"itemData":{"id":4862,"type":"article-journal","container-title":"Reviews of Modern Physics","issue":"4","note":"publisher: APS","page":"718-728","source":"Google Scholar","title":"The metabolic properties of the fission products and actinide elements","volume":"20","author":[{"family":"Hamilton","given":"Joseph G."}],"issued":{"date-parts":[["1948"]]}},"label":"page","suppress-author":true}],"schema":"https://github.com/citation-style-language/schema/raw/master/csl-citation.json"} </w:instrText>
      </w:r>
      <w:r w:rsidR="00376682" w:rsidRPr="00972C81">
        <w:rPr>
          <w:noProof/>
        </w:rPr>
        <w:fldChar w:fldCharType="separate"/>
      </w:r>
      <w:r w:rsidR="0091689A" w:rsidRPr="00972C81">
        <w:rPr>
          <w:noProof/>
          <w:szCs w:val="24"/>
        </w:rPr>
        <w:t>(1948)</w:t>
      </w:r>
      <w:r w:rsidR="00376682" w:rsidRPr="00972C81">
        <w:rPr>
          <w:noProof/>
        </w:rPr>
        <w:fldChar w:fldCharType="end"/>
      </w:r>
      <w:r w:rsidRPr="00972C81">
        <w:rPr>
          <w:noProof/>
        </w:rPr>
        <w:t xml:space="preserve"> described the sites of bone deposition of americium and curium in rodents as indistinguishable from those of the trivalent elements cerium, promethium, and actinium but different from sites of deposition of the tetravalent elements plutonium, thorium, and zirconium. Later studies involving a variety of animal species indicate that americium </w:t>
      </w:r>
      <w:r w:rsidRPr="00972C81">
        <w:rPr>
          <w:noProof/>
        </w:rPr>
        <w:lastRenderedPageBreak/>
        <w:t xml:space="preserve">deposits on all types of bone surfaces, including resorbing and forming surfaces </w:t>
      </w:r>
      <w:r w:rsidR="00376682" w:rsidRPr="00972C81">
        <w:rPr>
          <w:noProof/>
        </w:rPr>
        <w:fldChar w:fldCharType="begin"/>
      </w:r>
      <w:r w:rsidR="00F4369C" w:rsidRPr="00972C81">
        <w:rPr>
          <w:noProof/>
        </w:rPr>
        <w:instrText xml:space="preserve"> ADDIN ZOTERO_ITEM CSL_CITATION {"citationID":"a19sv3igk16","properties":{"formattedCitation":"(Durbin, 1973; Herring et al., 1962; Ray D. Lloyd et al., 1972; Priest et al., 1983)","plainCitation":"(Durbin, 1973; Herring et al., 1962; Ray D. Lloyd et al., 1972; Priest et al., 1983)","noteIndex":0},"citationItems":[{"id":4804,"uris":["http://zotero.org/groups/2470620/items/8DP7GNID"],"itemData":{"id":4804,"type":"chapter","container-title":"Uranium· Plutonium Transplutonic Elements","event-place":"Berlin","page":"739–896","publisher":"Springer","publisher-place":"Berlin","source":"Google Scholar","title":"Metabolism and biological effects of the transplutonium elements","author":[{"family":"Durbin","given":"Patricia W."}],"editor":[{"family":"Hodge","given":"H.C."},{"family":"Stannard","given":"J.N.J."},{"family":"Hursh","given":"J.B."}],"issued":{"date-parts":[["1973"]]}}},{"id":5222,"uris":["http://zotero.org/groups/2470620/items/4TRNNFZ9"],"itemData":{"id":5222,"type":"article-journal","abstract":"Characteristics of bone surfaces are discussed in relation to the uptake of bone-seeking isotopes. The alkaline earths are concentrated behind the osteoid border of active surfaces. Yttrium, americium, and plutonium are concentrated on quiescent and resorbing surfaces; traces only occur in and beneath the osteoid border. In view of evidence of mucoproteins at sites where the latter elements are found in concentration, a separation of the mucoproteins in cortical bone was undertaken. Mucosubstances have been isolated which give the same reaction with certain reagents as the bone surfaces in question. One of these, a sialoprotein, might be expected, in view of its acidic nature, to be capable of metal binding. © 1962 Health Physics Society.","archive":"Scopus","container-title":"Health Physics","DOI":"10.1097/00004032-196212000-00025","issue":"6","page":"717-724","source":"Scopus","title":"Preliminary report on the site of localization and possible binding agent for yttrium, americium and plutonium in cortical bone","volume":"8","author":[{"family":"Herring","given":"G.M."},{"family":"Vaughan","given":"J."},{"family":"Williamson","given":"M."}],"issued":{"date-parts":[["1962"]]}}},{"id":5225,"uris":["http://zotero.org/groups/2470620/items/Q3C8WMTA"],"itemData":{"id":5225,"type":"chapter","container-title":"Research in Radiebiology. COO-119-246","edition":"University of Utah","page":"249–255","source":"Google Scholar","title":"Skeletal distribution of 241Am and 239Pu in beagles: Can they be compared?","title-short":"SKELETAL DISTRIBUTION OF 241Am AND 239Pu IN BEAGLES","URL":"https://www.osti.gov/servlets/purl/4603204#page=252","author":[{"family":"Lloyd","given":"Ray D."},{"family":"Mays","given":"Charles W."},{"family":"Jee","given":"Webster SS"},{"family":"Taylor","given":"Glenn N."}],"accessed":{"date-parts":[["2023",10,2]]},"issued":{"date-parts":[["1972"]]}}},{"id":5227,"uris":["http://zotero.org/groups/2470620/items/XV6Y8F7C"],"itemData":{"id":5227,"type":"article-journal","abstract":"The distribution and retention of intravenously injected\n              241\n              Am in the skeleton of the female rat has been investigated using autoradiographic and radiochemical techniques. The studies were designed to assess the dosimetric and toxicologic implications of an\n              241\n              Am intake by man. They showed that in the rat approximately one third of the intravenously injected\n              241\n              Am was deposited in the skeleton where it appeared to be retained with a long biological half-time. The studies also showed:\n            \n            \n              1\n              241\n              Am is initially deposited onto all types of bone surface including endosteal surfaces, periosteal surfaces and those of the vascular canals within cortical bone, but seems to be preferentially deposited onto those that are resorbing,\n            \n            \n              2 Bone accretion results in the burial of surface deposits of\n              241\n              Am,\n            \n            3 Bone resorption causes the removal of 241 Am from surfaces,\n            \n              4 Resorbed\n              241\n              Am is retained by phagocytic cells (probably macrophages) in the bone marrow,\n            \n            \n              5 The transfer of\n              241\n              Am from the phagocytic cells in the marrow to adjacent bone surfaces seems to occur, (local recycling).\n            \n            \n              6 Th</w:instrText>
      </w:r>
      <w:r w:rsidR="00F4369C" w:rsidRPr="00E2619D">
        <w:rPr>
          <w:noProof/>
          <w:lang w:val="fr-FR"/>
        </w:rPr>
        <w:instrText xml:space="preserve">e possibility that some of the\n              241\n              Am removed from the bone surfaces enters the blood and is redeposited in bone, (systemic recycling) cannot be dismissed\n            \n            \n              These results show that\n              241\n              Am deposition and redistribution in bone shares many characteristics with other 'bone surface-seeking radionuclides' typified by\n              239\n              Pu. Consequently, it is suggested that a similar model to that used to calculate annual limits of intake for\n              239\n              Pu in man would be suitable for the calculation of corresponding values for the\n              241\n              Am isotopes.","container-title":"Human Toxicology","DOI":"10.1177/096032718300200109","ISSN":"0144-5952","issue":"1","journalAbbreviation":"Human Toxicology","language":"en","page":"101-120","source":"DOI.org (Crossref)","title":"Pattern of Uptake of Americium-241 by the Rat Skeleton and its Subsequent Redistribution and Retention: Implications for Human Dosimetry and Toxicology","title-short":"Pattern of Uptake of Americium-241 by the Rat Skeleton and its Subsequent Redistribution and Retention","volume":"2","author":[{"family":"Priest","given":"N.D."},{"family":"Howells","given":"G."},{"family":"Green","given":"D."},{"family":"Haines","given":"J.W."}],"issued":{"date-parts":[["1983",1]]}}}],"schema":"https://github.com/citation-style-language/schema/raw/master/csl-citation.json"} </w:instrText>
      </w:r>
      <w:r w:rsidR="00376682" w:rsidRPr="00972C81">
        <w:rPr>
          <w:noProof/>
        </w:rPr>
        <w:fldChar w:fldCharType="separate"/>
      </w:r>
      <w:r w:rsidR="00F4369C" w:rsidRPr="00E2619D">
        <w:rPr>
          <w:noProof/>
          <w:lang w:val="fr-FR"/>
        </w:rPr>
        <w:t>(Durbin, 1973; Herring et al., 1962; Ray D. Lloyd et al., 1972; Priest et al., 1983)</w:t>
      </w:r>
      <w:r w:rsidR="00376682" w:rsidRPr="00972C81">
        <w:rPr>
          <w:noProof/>
        </w:rPr>
        <w:fldChar w:fldCharType="end"/>
      </w:r>
      <w:r w:rsidRPr="00E2619D">
        <w:rPr>
          <w:noProof/>
          <w:lang w:val="fr-FR"/>
        </w:rPr>
        <w:t xml:space="preserve">. </w:t>
      </w:r>
      <w:r w:rsidRPr="00972C81">
        <w:rPr>
          <w:noProof/>
        </w:rPr>
        <w:t xml:space="preserve">Deposition on bone surfaces is more uniform than that of plutonium, although there are gradations in the intensity of the americium label. In dogs and monkeys, initial concentrations on surfaces tended to decrease in the order: resorbing surfaces &gt; resting surfaces &gt; growing surfaces </w:t>
      </w:r>
      <w:r w:rsidR="00261C47" w:rsidRPr="00972C81">
        <w:rPr>
          <w:noProof/>
        </w:rPr>
        <w:fldChar w:fldCharType="begin"/>
      </w:r>
      <w:r w:rsidR="00F4369C" w:rsidRPr="00972C81">
        <w:rPr>
          <w:noProof/>
        </w:rPr>
        <w:instrText xml:space="preserve"> ADDIN ZOTERO_ITEM CSL_CITATION {"citationID":"a16tjk1gpto","properties":{"formattedCitation":"(Durbin, 1973; Herring et al., 1962; Ray D. Lloyd et al., 1972)","plainCitation":"(Durbin, 1973; Herring et al., 1962; Ray D. Lloyd et al., 1972)","noteIndex":0},"citationItems":[{"id":4804,"uris":["http://zotero.org/groups/2470620/items/8DP7GNID"],"itemData":{"id":4804,"type":"chapter","container-title":"Uranium· Plutonium Transplutonic Elements","event-place":"Berlin","page":"739–896","publisher":"Springer","publisher-place":"Berlin","source":"Google Scholar","title":"Metabolism and biological effects of the transplutonium elements","author":[{"family":"Durbin","given":"Patricia W."}],"editor":[{"family":"Hodge","given":"H.C."},{"family":"Stannard","given":"J.N.J."},{"family":"Hursh","given":"J.B."}],"issued":{"date-parts":[["1973"]]}}},{"id":5222,"uris":["http://zotero.org/groups/2470620/items/4TRNNFZ9"],"itemData":{"id":5222,"type":"article-journal","abstract":"Characteristics of bone surfaces are discussed in relation to the uptake of bone-seeking isotopes. The alkaline earths are concentrated behind the osteoid border of active surfaces. Yttrium, americium, and plutonium are concentrated on quiescent and resorbing surfaces; traces only occur in and beneath the osteoid border. In view of evidence of mucoproteins at sites where the latter elements are found in concentration, a separation of the mucoproteins in cortical bone was undertaken. Mucosubstances have been isolated which give the same reaction with certain reagents as the bone surfaces in question. One of these, a sialoprotein, might be expected, in view of its acidic nature, to be capable of metal binding. © 1962 Health Physics Society.","archive":"Scopus","container-title":"Health Physics","DOI":"10.1097/00004032-196212000-00025","issue":"6","page":"717-724","source":"Scopus","title":"Preliminary report on the site of localization and possible binding agent for yttrium, americium and plutonium in cortical bone","volume":"8","author":[{"family":"Herring","given":"G.M."},{"family":"Vaughan","given":"J."},{"family":"Williamson","given":"M."}],"issued":{"date-parts":[["1962"]]}}},{"id":5225,"uris":["http://zotero.org/groups/2470620/items/Q3C8WMTA"],"itemData":{"id":5225,"type":"chapter","container-title":"Research in Radiebiology. COO-119-246","edition":"University of Utah","page":"249–255","source":"Google Scholar","title":"Skeletal distribution of 241Am and 239Pu in beagles: Can they be compared?","title-short":"SKELETAL DISTRIBUTION OF 241Am AND 239Pu IN BEAGLES","URL":"https://www.osti.gov/servlets/purl/4603204#page=252","author":[{"family":"Lloyd","given":"Ray D."},{"family":"Mays","given":"Charles W."},{"family":"Jee","given":"Webster SS"},{"family":"Taylor","given":"Glenn N."}],"accessed":{"date-parts":[["2023",10,2]]},"issued":{"date-parts":[["1972"]]}}}],"schema":"https://github.com/citation-style-language/schema/raw/master/csl-citation.json"} </w:instrText>
      </w:r>
      <w:r w:rsidR="00261C47" w:rsidRPr="00972C81">
        <w:rPr>
          <w:noProof/>
        </w:rPr>
        <w:fldChar w:fldCharType="separate"/>
      </w:r>
      <w:r w:rsidR="00F4369C" w:rsidRPr="00972C81">
        <w:rPr>
          <w:noProof/>
        </w:rPr>
        <w:t>(Durbin, 1973; Herring et al., 1962; Ray D. Lloyd et al., 1972)</w:t>
      </w:r>
      <w:r w:rsidR="00261C47" w:rsidRPr="00972C81">
        <w:rPr>
          <w:noProof/>
        </w:rPr>
        <w:fldChar w:fldCharType="end"/>
      </w:r>
      <w:r w:rsidRPr="00972C81">
        <w:rPr>
          <w:noProof/>
        </w:rPr>
        <w:t xml:space="preserve">. Americium deposits to a greater extent than plutonium on cortical vascular channels </w:t>
      </w:r>
      <w:r w:rsidR="00261C47" w:rsidRPr="00972C81">
        <w:rPr>
          <w:noProof/>
        </w:rPr>
        <w:fldChar w:fldCharType="begin"/>
      </w:r>
      <w:r w:rsidR="0091689A" w:rsidRPr="00972C81">
        <w:rPr>
          <w:noProof/>
        </w:rPr>
        <w:instrText xml:space="preserve"> ADDIN ZOTERO_ITEM CSL_CITATION {"citationID":"a1c92aehsl","properties":{"formattedCitation":"(Hamilton, 1948; Herring et al., 1962)","plainCitation":"(Hamilton, 1948; Herring et al., 1962)","noteIndex":0},"citationItems":[{"id":4862,"uris":["http://zotero.org/groups/2470620/items/CFMZUPLV"],"itemData":{"id":4862,"type":"article-journal","container-title":"Reviews of Modern Physics","issue":"4","note":"publisher: APS","page":"718-728","source":"Google Scholar","title":"The metabolic properties of the fission products and actinide elements","volume":"20","author":[{"family":"Hamilton","given":"Joseph G."}],"issued":{"date-parts":[["1948"]]}}},{"id":5222,"uris":["http://zotero.org/groups/2470620/items/4TRNNFZ9"],"itemData":{"id":5222,"type":"article-journal","abstract":"Characteristics of bone surfaces are discussed in relation to the uptake of bone-seeking isotopes. The alkaline earths are concentrated behind the osteoid border of active surfaces. Yttrium, americium, and plutonium are concentrated on quiescent and resorbing surfaces; traces only occur in and beneath the osteoid border. In view of evidence of mucoproteins at sites where the latter elements are found in concentration, a separation of the mucoproteins in cortical bone was undertaken. Mucosubstances have been isolated which give the same reaction with certain reagents as the bone surfaces in question. One of these, a sialoprotein, might be expected, in view of its acidic nature, to be capable of metal binding. © 1962 Health Physics Society.","archive":"Scopus","container-title":"Health Physics","DOI":"10.1097/00004032-196212000-00025","issue":"6","page":"717-724","source":"Scopus","title":"Preliminary report on the site of localization and possible binding agent for yttrium, americium and plutonium in cortical bone","volume":"8","author":[{"family":"Herring","given":"G.M."},{"family":"Vaughan","given":"J."},{"family":"Williamson","given":"M."}],"issued":{"date-parts":[["1962"]]}}}],"schema":"https://github.com/citation-style-language/schema/raw/master/csl-citation.json"} </w:instrText>
      </w:r>
      <w:r w:rsidR="00261C47" w:rsidRPr="00972C81">
        <w:rPr>
          <w:noProof/>
        </w:rPr>
        <w:fldChar w:fldCharType="separate"/>
      </w:r>
      <w:r w:rsidR="0091689A" w:rsidRPr="00972C81">
        <w:rPr>
          <w:noProof/>
          <w:szCs w:val="24"/>
        </w:rPr>
        <w:t>(Hamilton, 1948; Herring et al., 1962)</w:t>
      </w:r>
      <w:r w:rsidR="00261C47" w:rsidRPr="00972C81">
        <w:rPr>
          <w:noProof/>
        </w:rPr>
        <w:fldChar w:fldCharType="end"/>
      </w:r>
      <w:r w:rsidRPr="00972C81">
        <w:rPr>
          <w:noProof/>
        </w:rPr>
        <w:t xml:space="preserve">. </w:t>
      </w:r>
    </w:p>
    <w:p w14:paraId="60A0B7DC" w14:textId="07F50869" w:rsidR="00D60A65" w:rsidRPr="00972C81" w:rsidRDefault="00D60A65" w:rsidP="001C4A92">
      <w:pPr>
        <w:pStyle w:val="Annalstext"/>
        <w:rPr>
          <w:noProof/>
        </w:rPr>
      </w:pPr>
      <w:r w:rsidRPr="00972C81">
        <w:rPr>
          <w:noProof/>
        </w:rPr>
        <w:t xml:space="preserve">Comparison of the long-term gross distributions of skeletal americium and plutonium in dogs indicated more similarities than differences </w:t>
      </w:r>
      <w:r w:rsidR="00261C47" w:rsidRPr="00972C81">
        <w:rPr>
          <w:noProof/>
        </w:rPr>
        <w:fldChar w:fldCharType="begin"/>
      </w:r>
      <w:r w:rsidR="00F4369C" w:rsidRPr="00972C81">
        <w:rPr>
          <w:noProof/>
        </w:rPr>
        <w:instrText xml:space="preserve"> ADDIN ZOTERO_ITEM CSL_CITATION {"citationID":"a5qhpd7rlv","properties":{"formattedCitation":"(Ray D. Lloyd et al., 1972)","plainCitation":"(Ray D. Lloyd et al., 1972)","noteIndex":0},"citationItems":[{"id":5225,"uris":["http://zotero.org/groups/2470620/items/Q3C8WMTA"],"itemData":{"id":5225,"type":"chapter","container-title":"Research in Radiebiology. COO-119-246","edition":"University of Utah","page":"249–255","source":"Google Scholar","title":"Skeletal distribution of 241Am and 239Pu in beagles: Can they be compared?","title-short":"SKELETAL DISTRIBUTION OF 241Am AND 239Pu IN BEAGLES","URL":"https://www.osti.gov/servlets/purl/4603204#page=252","author":[{"family":"Lloyd","given":"Ray D."},{"family":"Mays","given":"Charles W."},{"family":"Jee","given":"Webster SS"},{"family":"Taylor","given":"Glenn N."}],"accessed":{"date-parts":[["2023",10,2]]},"issued":{"date-parts":[["1972"]]}}}],"schema":"https://github.com/citation-style-language/schema/raw/master/csl-citation.json"} </w:instrText>
      </w:r>
      <w:r w:rsidR="00261C47" w:rsidRPr="00972C81">
        <w:rPr>
          <w:noProof/>
        </w:rPr>
        <w:fldChar w:fldCharType="separate"/>
      </w:r>
      <w:r w:rsidR="00F4369C" w:rsidRPr="00972C81">
        <w:rPr>
          <w:noProof/>
        </w:rPr>
        <w:t>(Ray D. Lloyd et al., 1972)</w:t>
      </w:r>
      <w:r w:rsidR="00261C47" w:rsidRPr="00972C81">
        <w:rPr>
          <w:noProof/>
        </w:rPr>
        <w:fldChar w:fldCharType="end"/>
      </w:r>
      <w:r w:rsidRPr="00972C81">
        <w:rPr>
          <w:noProof/>
        </w:rPr>
        <w:t>. A notable difference was that the skeletal distribution of plutonium changed little with time after injection while the distribution of americium changed noticeably over time. In particular, three bones with high trabecular content (vertebrae, tail, and sternum) exhibited a decreasing fraction of total skeletal americium with increasing time.</w:t>
      </w:r>
    </w:p>
    <w:p w14:paraId="55C68A85" w14:textId="3C456EEB" w:rsidR="00D60A65" w:rsidRPr="00972C81" w:rsidRDefault="00D60A65" w:rsidP="001C4A92">
      <w:pPr>
        <w:pStyle w:val="Annalstext"/>
        <w:rPr>
          <w:noProof/>
        </w:rPr>
      </w:pPr>
      <w:r w:rsidRPr="00972C81">
        <w:rPr>
          <w:noProof/>
        </w:rPr>
        <w:t xml:space="preserve">Differences with age in the systemic behaviour of americium has been observed in dogs, baboons, monkeys, and accidentally exposed human subjects. The changes with age is consistent with that seen for other bone seeking elements, the most notable age-specific feature being substantially greater deposition in immature than in mature bone. </w:t>
      </w:r>
    </w:p>
    <w:p w14:paraId="3CBCF65F" w14:textId="74BF932D" w:rsidR="00D60A65" w:rsidRPr="00972C81" w:rsidRDefault="00D60A65" w:rsidP="007A1279">
      <w:pPr>
        <w:pStyle w:val="Annalstext"/>
        <w:rPr>
          <w:noProof/>
        </w:rPr>
      </w:pPr>
      <w:r w:rsidRPr="00972C81">
        <w:rPr>
          <w:noProof/>
        </w:rPr>
        <w:t>The skeletons of immature animals generally accumulate a g</w:t>
      </w:r>
      <w:r w:rsidR="0065448E" w:rsidRPr="00972C81">
        <w:rPr>
          <w:noProof/>
        </w:rPr>
        <w:t xml:space="preserve">reater portion of americium or </w:t>
      </w:r>
      <w:r w:rsidRPr="00972C81">
        <w:rPr>
          <w:noProof/>
        </w:rPr>
        <w:t>plutonium than do skeletons of mature animals. For example, skeletons of newborn beagle dogs contained 76</w:t>
      </w:r>
      <w:r w:rsidR="003163D0" w:rsidRPr="00972C81">
        <w:rPr>
          <w:noProof/>
        </w:rPr>
        <w:t>–</w:t>
      </w:r>
      <w:r w:rsidRPr="00972C81">
        <w:rPr>
          <w:noProof/>
        </w:rPr>
        <w:t>84% of injected americium at 1</w:t>
      </w:r>
      <w:r w:rsidR="002B0D0B" w:rsidRPr="00FE17F7">
        <w:t>–</w:t>
      </w:r>
      <w:r w:rsidRPr="00972C81">
        <w:rPr>
          <w:noProof/>
        </w:rPr>
        <w:t xml:space="preserve">5 d after administration </w:t>
      </w:r>
      <w:r w:rsidR="007A1279" w:rsidRPr="00972C81">
        <w:rPr>
          <w:noProof/>
        </w:rPr>
        <w:fldChar w:fldCharType="begin"/>
      </w:r>
      <w:r w:rsidR="0091689A" w:rsidRPr="00972C81">
        <w:rPr>
          <w:noProof/>
        </w:rPr>
        <w:instrText xml:space="preserve"> ADDIN ZOTERO_ITEM CSL_CITATION {"citationID":"a1nq5pcidd9","properties":{"formattedCitation":"(Stevens et al., 1977)","plainCitation":"(Stevens et al., 1977)","noteIndex":0},"citationItems":[{"id":5229,"uris":["http://zotero.org/groups/2470620/items/CVUEYWCH"],"itemData":{"id":5229,"type":"article-journal","abstract":"The distribution of Am in newborn beagles was studied during the first week after birth. Seven litter mates (4 males, 3 females) weighing 250-280 g were injected intravenously with 3.0 nCi 241AmIII/kg, in citrate buffer, at 1 day of age and sacrificed 1, 3 and 5 days later. At sacrifice, livers, spleens, kidneys, other selected soft tissues and skeletons were analyzed for Am content. Cumulative excretion during the time observed was 6.7% of the injected dose, 5.5% of which occurred during the first day. Skeletal retention ranged from 76% of the injected dose at 1 day to 84% by 5 days. The skeletons of dogs given the same dose of Am at 18 months of age contained 29% of the injected Am at 1 week. The relative distribution of Am within the skeleton was dependent on the state of development of its individual bones and differed considerably from that of the young adult. In neonates, the Am content of the bones in the skull was 3 times that seen in dogs injected as young adults. Initial liver deposition of Am in neonates was only 7%, in contrast to —50% in young adult beagles. The subcellular distribution of Am in liver also differed in the two age groups. In neonates, a greater fraction of the nuclide was associated with soluble proteins of the cytosol, and the increase in the Am content of mitochondria and lysosomes proceeded at a much slower rate than was observed in mature animals. © 1977 Health Physics Society.","archive":"Scopus","container-title":"Health Physics","DOI":"10.1097/00004032-197712000-00005","issue":"6","page":"553-559","source":"Scopus","title":"Retention and distribution of 241Am(III) in neonatal beagles","volume":"33","author":[{"family":"Stevens","given":"W."},{"family":"Atherton","given":"D.R."},{"family":"Bates","given":"D."},{"family":"Lloyd","given":"R.D."},{"family":"Buster","given":"D.S."},{"family":"Bruenger","given":"F.W."}],"issued":{"date-parts":[["1977"]]}}}],"schema":"https://github.com/citation-style-language/schema/raw/master/csl-citation.json"} </w:instrText>
      </w:r>
      <w:r w:rsidR="007A1279" w:rsidRPr="00972C81">
        <w:rPr>
          <w:noProof/>
        </w:rPr>
        <w:fldChar w:fldCharType="separate"/>
      </w:r>
      <w:r w:rsidR="0091689A" w:rsidRPr="00972C81">
        <w:rPr>
          <w:noProof/>
          <w:szCs w:val="24"/>
        </w:rPr>
        <w:t>(Stevens et al., 1977)</w:t>
      </w:r>
      <w:r w:rsidR="007A1279" w:rsidRPr="00972C81">
        <w:rPr>
          <w:noProof/>
        </w:rPr>
        <w:fldChar w:fldCharType="end"/>
      </w:r>
      <w:r w:rsidRPr="00972C81">
        <w:rPr>
          <w:noProof/>
        </w:rPr>
        <w:t>, compared with a skeletal burden of 29% of the injected amount at 1 wk after administration at age 18 mo</w:t>
      </w:r>
      <w:r w:rsidR="007A1279" w:rsidRPr="00972C81">
        <w:rPr>
          <w:noProof/>
        </w:rPr>
        <w:t xml:space="preserve"> </w:t>
      </w:r>
      <w:r w:rsidR="007A1279" w:rsidRPr="00972C81">
        <w:rPr>
          <w:noProof/>
        </w:rPr>
        <w:fldChar w:fldCharType="begin"/>
      </w:r>
      <w:r w:rsidR="0091689A" w:rsidRPr="00972C81">
        <w:rPr>
          <w:noProof/>
        </w:rPr>
        <w:instrText xml:space="preserve"> ADDIN ZOTERO_ITEM CSL_CITATION {"citationID":"ad9bb2ioci","properties":{"formattedCitation":"(Lloyd et al., 1970)","plainCitation":"(Lloyd et al., 1970)","noteIndex":0},"citationItems":[{"id":5210,"uris":["http://zotero.org/groups/2470620/items/K7LXUZ8T"],"itemData":{"id":5210,"type":"article-journal","container-title":"Health Physics","DOI":"10.1097/00004032-197002000-00007","ISSN":"0017-9078","issue":"2","journalAbbreviation":"Health Phys","language":"eng","note":"PMID: 5416368","page":"149-156","source":"PubMed","title":"Americium-241 studies in beagles","volume":"18","author":[{"family":"Lloyd","given":"R. D."},{"family":"Mays","given":"C. W."},{"family":"Taylor","given":"G. N."},{"family":"Atherton","given":"D. R."}],"issued":{"date-parts":[["1970",2]]}}}],"schema":"https://github.com/citation-style-language/schema/raw/master/csl-citation.json"} </w:instrText>
      </w:r>
      <w:r w:rsidR="007A1279" w:rsidRPr="00972C81">
        <w:rPr>
          <w:noProof/>
        </w:rPr>
        <w:fldChar w:fldCharType="separate"/>
      </w:r>
      <w:r w:rsidR="0091689A" w:rsidRPr="00972C81">
        <w:rPr>
          <w:noProof/>
          <w:szCs w:val="24"/>
        </w:rPr>
        <w:t>(Lloyd et al., 1970)</w:t>
      </w:r>
      <w:r w:rsidR="007A1279" w:rsidRPr="00972C81">
        <w:rPr>
          <w:noProof/>
        </w:rPr>
        <w:fldChar w:fldCharType="end"/>
      </w:r>
      <w:r w:rsidRPr="00972C81">
        <w:rPr>
          <w:noProof/>
        </w:rPr>
        <w:t xml:space="preserve">. Livers of newborn and juvenile beagles (age 3 mo) contained about 7% and 15%, respectively, of injected americium in the first few days after injection, compared with about 50% in mature beagles </w:t>
      </w:r>
      <w:r w:rsidR="007A1279" w:rsidRPr="00972C81">
        <w:rPr>
          <w:noProof/>
        </w:rPr>
        <w:fldChar w:fldCharType="begin"/>
      </w:r>
      <w:r w:rsidR="0091689A" w:rsidRPr="00972C81">
        <w:rPr>
          <w:noProof/>
        </w:rPr>
        <w:instrText xml:space="preserve"> ADDIN ZOTERO_ITEM CSL_CITATION {"citationID":"a5mhr8f04e","properties":{"formattedCitation":"(Lloyd et al., 1985; Stevens et al., 1977)","plainCitation":"(Lloyd et al., 1985; Stevens et al., 1977)","noteIndex":0},"citationItems":[{"id":5232,"uris":["http://zotero.org/groups/2470620/items/PSFTCBTZ"],"itemData":{"id":5232,"type":"article-journal","abstract":"Decorporation of intravenously injected monomeric 241Am and 237+239Pu by the administration of 30 μmole Zn-diethylenetriaminepentaacetic acid (DTPA)/kg each day beginning 2 weeks after radionuclide injection was compared in beagles entered into the experiment when 3 months (juveniles), 1.9 years (young adults), or 10 years (mature adults) old and studied for about 5 months. DTPA therapy was most effective in the juvenile dogs and least effective in the mature adults. Retention of 241Am in the liver decreased from a pretreatment value for adults of about 50% of the injected activity to about 10% in the mature adults and less than 1% in the young adults at 140 days of treatment, while the liver retention of juveniles decreased from pretreatment values of about 16% to undetectable levels by 28 days of treatment. Plutonium retention in the liver decreased from adult pretreatment levels of about 30% of the injected activity (corrected for radioactive decay) to near 10% in the mature adults and 6% in the young adults at 140 days of treatment, while juvenile liver retention decreased from pretreatment values near 15% to undetectable levels by 56 days of treatment. Nonliver Am retention (mainly skeleton) decreased in mature adults from pretreatment values of about 45% of the injected activity to near 25%, in young adults from 35 to 20%, and in juveniles from roughly 70 to 9% by 140 days of DTPA administration. Nonliver Pu retention decreased from pretreatment values of about 50% of the injected activity (corrected for radioactive decay) for mature and young adults to about 30% by 140 days and from 75 to 16% in juveniles over the same period.","archive":"Scopus","container-title":"Radiation Research","DOI":"10.2307/3576504","issue":"3","page":"451-459","source":"Scopus","title":"Effect of age on the efficacy of Zn-diethylenetriaminepentaacetic acid therapy for removal of Am and Pu from beagles","volume":"101","author":[{"family":"Lloyd","given":"R.D."},{"family":"Mays","given":"C.W."},{"family":"Jones","given":"C.W."},{"family":"Taylor","given":"G.N."},{"family":"Wrenn","given":"M.E."}],"issued":{"date-parts":[["1985"]]}}},{"id":5229,"uris":["http://zotero.org/groups/2470620/items/CVUEYWCH"],"itemData":{"id":5229,"type":"article-journal","abstract":"The distribution of Am in newborn beagles was studied during the first week after birth. Seven litter mates (4 males, 3 females) weighing 250-280 g were injected intravenously with 3.0 nCi 241AmIII/kg, in citrate buffer, at 1 day of age and sacrificed 1, 3 and 5 days later. At sacrifice, livers, spleens, kidneys, other selected soft tissues and skeletons were analyzed for Am content. Cumulative excretion during the time observed was 6.7% of the injected dose, 5.5% of which occurred during the first day. Skeletal retention ranged from 76% of the injected dose at 1 day to 84% by 5 days. The skeletons of dogs given the same dose of Am at 18 months of age contained 29% of the injected Am at 1 week. The relative distribution of Am within the skeleton was dependent on the state of development of its individual bones and differed considerably from that of the young adult. In neonates, the Am content of the bones in the skull was 3 times that seen in dogs injected as young adults. Initial liver deposition of Am in neonates was only 7%, in contrast to —50% in young adult beagles. The subcellular distribution of Am in liver also differed in the two age groups. In neonates, a greater fraction of the nuclide was associated with soluble proteins of the cytosol, and the increase in the Am content of mitochondria and lysosomes proceeded at a much slower rate than was observed in mature animals. © 1977 Health Physics Society.","archive":"Scopus","container-title":"Health Physics","DOI":"10.1097/00004032-197712000-00005","issue":"6","page":"553-559","source":"Scopus","title":"Retention and distribution of 241Am(III) in neonatal beagles","volume":"33","author":[{"family":"Stevens","given":"W."},{"family":"Atherton","given":"D.R."},{"family":"Bates","given":"D."},{"family":"Lloyd","given":"R.D."},{"family":"Buster","given":"D.S."},{"family":"Bruenger","given":"F.W."}],"issued":{"date-parts":[["1977"]]}}}],"schema":"https://github.com/citation-style-language/schema/raw/master/csl-citation.json"} </w:instrText>
      </w:r>
      <w:r w:rsidR="007A1279" w:rsidRPr="00972C81">
        <w:rPr>
          <w:noProof/>
        </w:rPr>
        <w:fldChar w:fldCharType="separate"/>
      </w:r>
      <w:r w:rsidR="0091689A" w:rsidRPr="00972C81">
        <w:rPr>
          <w:noProof/>
          <w:szCs w:val="24"/>
        </w:rPr>
        <w:t>(Lloyd et al., 1985; Stevens et al., 1977)</w:t>
      </w:r>
      <w:r w:rsidR="007A1279" w:rsidRPr="00972C81">
        <w:rPr>
          <w:noProof/>
        </w:rPr>
        <w:fldChar w:fldCharType="end"/>
      </w:r>
      <w:r w:rsidRPr="00972C81">
        <w:rPr>
          <w:noProof/>
        </w:rPr>
        <w:t xml:space="preserve">. For example, the skeletons of beagles injected with </w:t>
      </w:r>
      <w:r w:rsidRPr="00972C81">
        <w:rPr>
          <w:noProof/>
          <w:vertAlign w:val="superscript"/>
        </w:rPr>
        <w:t>239</w:t>
      </w:r>
      <w:r w:rsidRPr="00972C81">
        <w:rPr>
          <w:noProof/>
        </w:rPr>
        <w:t xml:space="preserve">Pu at ages 2 d, 3 mo, 1.5 y, or 5 y contained about 80%, 63%, 46%, and 43%, respectively, of the injected amount at 1 wk after administration </w:t>
      </w:r>
      <w:r w:rsidR="00AB53AB" w:rsidRPr="00972C81">
        <w:rPr>
          <w:noProof/>
        </w:rPr>
        <w:fldChar w:fldCharType="begin"/>
      </w:r>
      <w:r w:rsidR="0091689A" w:rsidRPr="00972C81">
        <w:rPr>
          <w:noProof/>
        </w:rPr>
        <w:instrText xml:space="preserve"> ADDIN ZOTERO_ITEM CSL_CITATION {"citationID":"a1gjfrpjc4a","properties":{"formattedCitation":"(Bruenger et al., 1983)","plainCitation":"(Bruenger et al., 1983)","noteIndex":0},"citationItems":[{"id":3755,"uris":["http://zotero.org/groups/2470620/items/V9VBAE59"],"itemData":{"id":3755,"type":"article-journal","abstract":"The age at exposure significantly affects the retention and distribution of 226Ra and 239Pu, both of which deposit in the skeleton although in somewhat different patterns. Beagles aged 2 days (neonates), 90 days (juveniles), 18 months (young adults), or 5 yrs (mature) received a single subacute injection of one of these nuclides and were sacrificed serially during a 2-yr interval. Nuclide concentrations in plasma, the skeleton, individual bones and bone sections were determined and retention equations were calculated. The microanatomical skeletal nuclide distribution was studied after fission track or conventional autoradiography. Elimination of 239Pu and its translocation from bone surfaces to the bone volume caused by bone growth and turnover processes were measured. Average radiation doses and dose rates as a function of age at exposure were determined. Initial uptake and retention, skeletal nuclide concentration, proliferative activity of local cell populations and residence time of the nuclide on skeletal surfaces were affected significantly by age at exposure. The effect of these parameters on tumor induction is discussed. This study has provided early retention and distribution data which together with data from a chronic toxicity study will be used to estimate the risk of Pu exposure relative to that of Ra to humans of all ages. © 1983 Health Physics Society.","archive":"Scopus","container-title":"Health Physics","DOI":"10.1097/00004032-198306001-00050","page":"513-527","source":"Scopus","title":"Skeletal retention and distribution of 226Ra and 239Pu in beagles injected at ages ranging from 2 days to 5 years","volume":"44","author":[{"family":"Bruenger","given":"F.W."},{"family":"Smith","given":"J.M."},{"family":"Atherton","given":"D.R."},{"family":"Jee","given":"W.S.S."},{"family":"Lloyd","given":"R.D."},{"family":"Steve","given":"W."}],"issued":{"date-parts":[["1983"]]}}}],"schema":"https://github.com/citation-style-language/schema/raw/master/csl-citation.json"} </w:instrText>
      </w:r>
      <w:r w:rsidR="00AB53AB" w:rsidRPr="00972C81">
        <w:rPr>
          <w:noProof/>
        </w:rPr>
        <w:fldChar w:fldCharType="separate"/>
      </w:r>
      <w:r w:rsidR="0091689A" w:rsidRPr="00972C81">
        <w:rPr>
          <w:noProof/>
          <w:szCs w:val="24"/>
        </w:rPr>
        <w:t>(Bruenger et al., 198</w:t>
      </w:r>
      <w:r w:rsidR="00B53485" w:rsidRPr="00972C81">
        <w:rPr>
          <w:noProof/>
          <w:szCs w:val="24"/>
        </w:rPr>
        <w:t>9</w:t>
      </w:r>
      <w:r w:rsidR="0091689A" w:rsidRPr="00972C81">
        <w:rPr>
          <w:noProof/>
          <w:szCs w:val="24"/>
        </w:rPr>
        <w:t>)</w:t>
      </w:r>
      <w:r w:rsidR="00AB53AB" w:rsidRPr="00972C81">
        <w:rPr>
          <w:noProof/>
        </w:rPr>
        <w:fldChar w:fldCharType="end"/>
      </w:r>
      <w:r w:rsidRPr="00972C81">
        <w:rPr>
          <w:noProof/>
        </w:rPr>
        <w:t xml:space="preserve">.  </w:t>
      </w:r>
    </w:p>
    <w:bookmarkEnd w:id="345"/>
    <w:p w14:paraId="0A2EB281" w14:textId="4717F6DF" w:rsidR="00D60A65" w:rsidRPr="00972C81" w:rsidRDefault="00D60A65" w:rsidP="006703A2">
      <w:pPr>
        <w:pStyle w:val="OIRTitre4"/>
      </w:pPr>
      <w:r w:rsidRPr="00972C81">
        <w:t>Systemic model</w:t>
      </w:r>
    </w:p>
    <w:p w14:paraId="7D84BF53" w14:textId="32D8A749" w:rsidR="00D60A65" w:rsidRPr="00972C81" w:rsidRDefault="00D60A65" w:rsidP="001C4A92">
      <w:pPr>
        <w:pStyle w:val="Annalstext"/>
        <w:rPr>
          <w:noProof/>
        </w:rPr>
      </w:pPr>
      <w:r w:rsidRPr="00972C81">
        <w:rPr>
          <w:noProof/>
        </w:rPr>
        <w:t xml:space="preserve">The biokinetic model for systemic Am is a modification of the model for Am adopted in </w:t>
      </w:r>
      <w:r w:rsidRPr="00972C81">
        <w:rPr>
          <w:i/>
          <w:noProof/>
        </w:rPr>
        <w:t>Publication 67</w:t>
      </w:r>
      <w:r w:rsidRPr="00972C81">
        <w:rPr>
          <w:noProof/>
        </w:rPr>
        <w:t xml:space="preserve"> </w:t>
      </w:r>
      <w:r w:rsidR="00AB53AB" w:rsidRPr="00972C81">
        <w:rPr>
          <w:noProof/>
        </w:rPr>
        <w:fldChar w:fldCharType="begin"/>
      </w:r>
      <w:r w:rsidR="0091689A" w:rsidRPr="00972C81">
        <w:rPr>
          <w:noProof/>
        </w:rPr>
        <w:instrText xml:space="preserve"> ADDIN ZOTERO_ITEM CSL_CITATION {"citationID":"a16ip67is8a","properties":{"formattedCitation":"(ICRP, 1993)","plainCitation":"(ICRP, 1993)","noteIndex":0},"citationItems":[{"id":2558,"uris":["http://zotero.org/groups/2470620/items/NGGW5NK4",["http://zotero.org/groups/2470620/items/NGGW5NK4"]],"itemData":{"id":2558,"type":"article-journal","container-title":"Annals of the ICRP","issue":"3/4","journalAbbreviation":"Ann. ICRP","language":"en","title":"Age dependent doses to members of the public from intake of radionuclides: Part 2, Ingestion dose coefficients. ICRP Publication 67","volume":"23","author":[{"literal":"ICRP"}],"issued":{"date-parts":[["1993"]]}}}],"schema":"https://github.com/citation-style-language/schema/raw/master/csl-citation.json"} </w:instrText>
      </w:r>
      <w:r w:rsidR="00AB53AB" w:rsidRPr="00972C81">
        <w:rPr>
          <w:noProof/>
        </w:rPr>
        <w:fldChar w:fldCharType="separate"/>
      </w:r>
      <w:r w:rsidR="0091689A" w:rsidRPr="00972C81">
        <w:rPr>
          <w:noProof/>
          <w:szCs w:val="24"/>
        </w:rPr>
        <w:t>(ICRP, 1993)</w:t>
      </w:r>
      <w:r w:rsidR="00AB53AB" w:rsidRPr="00972C81">
        <w:rPr>
          <w:noProof/>
        </w:rPr>
        <w:fldChar w:fldCharType="end"/>
      </w:r>
      <w:r w:rsidRPr="00972C81">
        <w:rPr>
          <w:noProof/>
        </w:rPr>
        <w:t xml:space="preserve">. That model was based on follow-up of workers acutely or chronically exposed to Am and experimental data including age-specific data for a variety of animal types including baboons, monkeys, dogs, sheep, cows, goats, and rodents. </w:t>
      </w:r>
    </w:p>
    <w:p w14:paraId="68ACD527" w14:textId="77777777" w:rsidR="00D60A65" w:rsidRPr="00972C81" w:rsidRDefault="00D60A65" w:rsidP="001C4A92">
      <w:pPr>
        <w:pStyle w:val="Annalstext"/>
        <w:rPr>
          <w:noProof/>
        </w:rPr>
      </w:pPr>
      <w:r w:rsidRPr="00972C81">
        <w:rPr>
          <w:noProof/>
        </w:rPr>
        <w:t xml:space="preserve">The following changes are made here to the systemic model for Am used in </w:t>
      </w:r>
      <w:r w:rsidRPr="00972C81">
        <w:rPr>
          <w:i/>
          <w:noProof/>
        </w:rPr>
        <w:t>Publication 67</w:t>
      </w:r>
      <w:r w:rsidRPr="00972C81">
        <w:rPr>
          <w:noProof/>
        </w:rPr>
        <w:t>:</w:t>
      </w:r>
    </w:p>
    <w:p w14:paraId="497A18B4" w14:textId="77777777" w:rsidR="00D60A65" w:rsidRPr="00972C81" w:rsidRDefault="00D60A65" w:rsidP="00497AFB">
      <w:pPr>
        <w:pStyle w:val="a"/>
        <w:rPr>
          <w:noProof/>
        </w:rPr>
      </w:pPr>
      <w:r w:rsidRPr="00972C81">
        <w:rPr>
          <w:noProof/>
        </w:rPr>
        <w:t xml:space="preserve">For consistency with models for other actinide elements, liver is divided into compartments with relatively fast and relatively slow turnover. The biological half-time assigned to the fast-turnover compartment is the generic value of 30 d (Liver 1). A removal half-time of 1 y, the half-time applied in </w:t>
      </w:r>
      <w:r w:rsidRPr="00C47F2F">
        <w:rPr>
          <w:i/>
          <w:iCs/>
          <w:noProof/>
        </w:rPr>
        <w:t>Publication</w:t>
      </w:r>
      <w:r w:rsidRPr="00972C81">
        <w:rPr>
          <w:noProof/>
        </w:rPr>
        <w:t xml:space="preserve"> 67 to the single-compartment liver, is applied to the compartment with slow turnover (Liver 2).</w:t>
      </w:r>
    </w:p>
    <w:p w14:paraId="6C127B91" w14:textId="77777777" w:rsidR="00D60A65" w:rsidRPr="00972C81" w:rsidRDefault="00D60A65" w:rsidP="00497AFB">
      <w:pPr>
        <w:pStyle w:val="a"/>
        <w:rPr>
          <w:noProof/>
        </w:rPr>
      </w:pPr>
      <w:r w:rsidRPr="00972C81">
        <w:rPr>
          <w:noProof/>
        </w:rPr>
        <w:t>The removal half-time from gonads is reduced from 10 y to 5 y, a generic value applied in this report to the actinides and lanthanides.</w:t>
      </w:r>
    </w:p>
    <w:p w14:paraId="1C1B6323" w14:textId="77777777" w:rsidR="00D60A65" w:rsidRPr="00972C81" w:rsidRDefault="00D60A65" w:rsidP="00497AFB">
      <w:pPr>
        <w:pStyle w:val="a"/>
        <w:rPr>
          <w:noProof/>
        </w:rPr>
      </w:pPr>
      <w:r w:rsidRPr="00972C81">
        <w:rPr>
          <w:noProof/>
        </w:rPr>
        <w:t xml:space="preserve">The generic bone model is modified for application to Am and its physiological analogue Cm in view of data indicating that the model of </w:t>
      </w:r>
      <w:r w:rsidRPr="00C47F2F">
        <w:rPr>
          <w:i/>
          <w:iCs/>
          <w:noProof/>
        </w:rPr>
        <w:t>Publication</w:t>
      </w:r>
      <w:r w:rsidRPr="00972C81">
        <w:rPr>
          <w:noProof/>
        </w:rPr>
        <w:t xml:space="preserve"> 67 overestimates long-term excretion of systemic </w:t>
      </w:r>
      <w:r w:rsidRPr="00972C81">
        <w:rPr>
          <w:noProof/>
          <w:vertAlign w:val="superscript"/>
        </w:rPr>
        <w:t>241</w:t>
      </w:r>
      <w:r w:rsidRPr="00972C81">
        <w:rPr>
          <w:noProof/>
        </w:rPr>
        <w:t xml:space="preserve">Am in workers, when expressed as a fraction of the total bone content. A simple resolution of this discrepancy between model predictions and observations that has some experimental basis for mature cortical bone is to depict explicitly local recycling of a sizable portion of Am resorbed from cortical bone. This requires a modification of the generic bone model for bone-surface seekers. In the </w:t>
      </w:r>
      <w:r w:rsidRPr="00972C81">
        <w:rPr>
          <w:noProof/>
        </w:rPr>
        <w:lastRenderedPageBreak/>
        <w:t xml:space="preserve">generic model, activity removed from bone is assumed to transfer to bone marrow and subsequently from bone marrow to blood. For application to Am and Cm, the generic bone model is modified by assuming that a fraction F of the amount entering cortical marrow subsequently transfers to cortical surface (local recycling), and the fraction 1-F transfers to blood. The removal half-time from cortical marrow to all destinations remains at the generic value of 0.25 y. For adults, a local recycling fraction F = 2/3 is selected for reasonable consistency with occupational data on the long-term relation of </w:t>
      </w:r>
      <w:r w:rsidRPr="00972C81">
        <w:rPr>
          <w:noProof/>
          <w:vertAlign w:val="superscript"/>
        </w:rPr>
        <w:t>241</w:t>
      </w:r>
      <w:r w:rsidRPr="00972C81">
        <w:rPr>
          <w:noProof/>
        </w:rPr>
        <w:t xml:space="preserve">Am in bone and urinary </w:t>
      </w:r>
      <w:r w:rsidRPr="00972C81">
        <w:rPr>
          <w:noProof/>
          <w:vertAlign w:val="superscript"/>
        </w:rPr>
        <w:t>241</w:t>
      </w:r>
      <w:r w:rsidRPr="00972C81">
        <w:rPr>
          <w:noProof/>
        </w:rPr>
        <w:t>Am, taking account of uncertainties in the reported data. It is assumed that local recycling occurs only in mature bone, i.e., the recycling fraction F from cortical marrow to cortical bone surface is set to 0.</w:t>
      </w:r>
    </w:p>
    <w:p w14:paraId="43A6713F" w14:textId="77777777" w:rsidR="00D60A65" w:rsidRPr="00972C81" w:rsidRDefault="00D60A65" w:rsidP="00134489">
      <w:pPr>
        <w:rPr>
          <w:noProof/>
        </w:rPr>
      </w:pPr>
    </w:p>
    <w:p w14:paraId="63534CA2" w14:textId="7494D413" w:rsidR="00D60A65" w:rsidRPr="00972C81" w:rsidRDefault="00D60A65" w:rsidP="001C4A92">
      <w:pPr>
        <w:pStyle w:val="Annalstext"/>
        <w:rPr>
          <w:noProof/>
        </w:rPr>
      </w:pPr>
      <w:bookmarkStart w:id="346" w:name="_Hlk495125848"/>
      <w:r w:rsidRPr="00972C81">
        <w:rPr>
          <w:noProof/>
        </w:rPr>
        <w:t xml:space="preserve">The structure of the systemic model for americium is shown in </w:t>
      </w:r>
      <w:r w:rsidR="00653D0A" w:rsidRPr="00972C81">
        <w:rPr>
          <w:noProof/>
        </w:rPr>
        <w:fldChar w:fldCharType="begin"/>
      </w:r>
      <w:r w:rsidR="00653D0A" w:rsidRPr="00972C81">
        <w:rPr>
          <w:noProof/>
        </w:rPr>
        <w:instrText xml:space="preserve"> REF _Ref147161697 \h </w:instrText>
      </w:r>
      <w:r w:rsidR="00653D0A" w:rsidRPr="00972C81">
        <w:rPr>
          <w:noProof/>
        </w:rPr>
      </w:r>
      <w:r w:rsidR="00653D0A" w:rsidRPr="00972C81">
        <w:rPr>
          <w:noProof/>
        </w:rPr>
        <w:fldChar w:fldCharType="separate"/>
      </w:r>
      <w:r w:rsidR="00A41AD1" w:rsidRPr="00972C81">
        <w:rPr>
          <w:noProof/>
        </w:rPr>
        <w:t xml:space="preserve">Fig </w:t>
      </w:r>
      <w:r w:rsidR="00A41AD1">
        <w:rPr>
          <w:noProof/>
        </w:rPr>
        <w:t>23</w:t>
      </w:r>
      <w:r w:rsidR="00A41AD1" w:rsidRPr="00972C81">
        <w:rPr>
          <w:noProof/>
        </w:rPr>
        <w:t>.</w:t>
      </w:r>
      <w:r w:rsidR="00A41AD1">
        <w:rPr>
          <w:noProof/>
        </w:rPr>
        <w:t>1</w:t>
      </w:r>
      <w:r w:rsidR="00653D0A" w:rsidRPr="00972C81">
        <w:rPr>
          <w:noProof/>
        </w:rPr>
        <w:fldChar w:fldCharType="end"/>
      </w:r>
      <w:r w:rsidRPr="00972C81">
        <w:rPr>
          <w:noProof/>
        </w:rPr>
        <w:t xml:space="preserve">. Parameter values are listed in </w:t>
      </w:r>
      <w:r w:rsidR="00653D0A" w:rsidRPr="00972C81">
        <w:rPr>
          <w:noProof/>
        </w:rPr>
        <w:fldChar w:fldCharType="begin"/>
      </w:r>
      <w:r w:rsidR="00653D0A" w:rsidRPr="00972C81">
        <w:rPr>
          <w:noProof/>
        </w:rPr>
        <w:instrText xml:space="preserve"> REF _Ref147161728 \h </w:instrText>
      </w:r>
      <w:r w:rsidR="00653D0A" w:rsidRPr="00972C81">
        <w:rPr>
          <w:noProof/>
        </w:rPr>
      </w:r>
      <w:r w:rsidR="00653D0A" w:rsidRPr="00972C81">
        <w:rPr>
          <w:noProof/>
        </w:rPr>
        <w:fldChar w:fldCharType="separate"/>
      </w:r>
      <w:r w:rsidR="00A41AD1" w:rsidRPr="00972C81">
        <w:rPr>
          <w:noProof/>
        </w:rPr>
        <w:t xml:space="preserve">Table </w:t>
      </w:r>
      <w:r w:rsidR="00A41AD1">
        <w:rPr>
          <w:noProof/>
        </w:rPr>
        <w:t>23</w:t>
      </w:r>
      <w:r w:rsidR="00A41AD1" w:rsidRPr="00972C81">
        <w:rPr>
          <w:noProof/>
        </w:rPr>
        <w:t>.</w:t>
      </w:r>
      <w:r w:rsidR="00A41AD1">
        <w:rPr>
          <w:noProof/>
        </w:rPr>
        <w:t>2</w:t>
      </w:r>
      <w:r w:rsidR="00653D0A" w:rsidRPr="00972C81">
        <w:rPr>
          <w:noProof/>
        </w:rPr>
        <w:fldChar w:fldCharType="end"/>
      </w:r>
      <w:r w:rsidRPr="00972C81">
        <w:rPr>
          <w:noProof/>
        </w:rPr>
        <w:t>.</w:t>
      </w:r>
    </w:p>
    <w:bookmarkEnd w:id="346"/>
    <w:p w14:paraId="0DAFDF63" w14:textId="77777777" w:rsidR="00D60A65" w:rsidRPr="00972C81" w:rsidRDefault="00D60A65" w:rsidP="00134489">
      <w:pPr>
        <w:rPr>
          <w:noProof/>
        </w:rPr>
      </w:pPr>
    </w:p>
    <w:p w14:paraId="423D4424" w14:textId="77777777" w:rsidR="00F103A8" w:rsidRDefault="00F103A8" w:rsidP="009A15D5">
      <w:pPr>
        <w:jc w:val="center"/>
        <w:rPr>
          <w:noProof/>
          <w:szCs w:val="24"/>
        </w:rPr>
      </w:pPr>
      <w:bookmarkStart w:id="347" w:name="_Ref147161697"/>
      <w:r>
        <w:rPr>
          <w:noProof/>
        </w:rPr>
        <w:drawing>
          <wp:inline distT="0" distB="0" distL="0" distR="0" wp14:anchorId="1449AB62" wp14:editId="6940873F">
            <wp:extent cx="4533900" cy="3490648"/>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4"/>
                    <a:stretch>
                      <a:fillRect/>
                    </a:stretch>
                  </pic:blipFill>
                  <pic:spPr>
                    <a:xfrm>
                      <a:off x="0" y="0"/>
                      <a:ext cx="4540488" cy="3495720"/>
                    </a:xfrm>
                    <a:prstGeom prst="rect">
                      <a:avLst/>
                    </a:prstGeom>
                  </pic:spPr>
                </pic:pic>
              </a:graphicData>
            </a:graphic>
          </wp:inline>
        </w:drawing>
      </w:r>
    </w:p>
    <w:p w14:paraId="0186E43A" w14:textId="46D7073B" w:rsidR="00D60A65" w:rsidRPr="002B0D0B" w:rsidRDefault="00653D0A" w:rsidP="00C47F2F">
      <w:pPr>
        <w:rPr>
          <w:noProof/>
          <w:szCs w:val="24"/>
        </w:rPr>
      </w:pPr>
      <w:r w:rsidRPr="002B0D0B">
        <w:rPr>
          <w:noProof/>
          <w:szCs w:val="24"/>
        </w:rPr>
        <w:t xml:space="preserve">Fig </w:t>
      </w:r>
      <w:r w:rsidR="00EA3750" w:rsidRPr="002B0D0B">
        <w:rPr>
          <w:noProof/>
          <w:szCs w:val="24"/>
        </w:rPr>
        <w:fldChar w:fldCharType="begin"/>
      </w:r>
      <w:r w:rsidR="00EA3750" w:rsidRPr="002B0D0B">
        <w:rPr>
          <w:noProof/>
          <w:szCs w:val="24"/>
        </w:rPr>
        <w:instrText xml:space="preserve"> STYLEREF 1 \s </w:instrText>
      </w:r>
      <w:r w:rsidR="00EA3750" w:rsidRPr="002B0D0B">
        <w:rPr>
          <w:noProof/>
          <w:szCs w:val="24"/>
        </w:rPr>
        <w:fldChar w:fldCharType="separate"/>
      </w:r>
      <w:r w:rsidR="00A41AD1" w:rsidRPr="002B0D0B">
        <w:rPr>
          <w:noProof/>
          <w:szCs w:val="24"/>
        </w:rPr>
        <w:t>23</w:t>
      </w:r>
      <w:r w:rsidR="00EA3750" w:rsidRPr="002B0D0B">
        <w:rPr>
          <w:noProof/>
          <w:szCs w:val="24"/>
        </w:rPr>
        <w:fldChar w:fldCharType="end"/>
      </w:r>
      <w:r w:rsidR="00EA3750" w:rsidRPr="002B0D0B">
        <w:rPr>
          <w:noProof/>
          <w:szCs w:val="24"/>
        </w:rPr>
        <w:t>.</w:t>
      </w:r>
      <w:r w:rsidR="00EA3750" w:rsidRPr="002B0D0B">
        <w:rPr>
          <w:noProof/>
          <w:szCs w:val="24"/>
        </w:rPr>
        <w:fldChar w:fldCharType="begin"/>
      </w:r>
      <w:r w:rsidR="00EA3750" w:rsidRPr="002B0D0B">
        <w:rPr>
          <w:noProof/>
          <w:szCs w:val="24"/>
        </w:rPr>
        <w:instrText xml:space="preserve"> SEQ Figure \* ARABIC \s 1 </w:instrText>
      </w:r>
      <w:r w:rsidR="00EA3750" w:rsidRPr="002B0D0B">
        <w:rPr>
          <w:noProof/>
          <w:szCs w:val="24"/>
        </w:rPr>
        <w:fldChar w:fldCharType="separate"/>
      </w:r>
      <w:r w:rsidR="00A41AD1" w:rsidRPr="002B0D0B">
        <w:rPr>
          <w:noProof/>
          <w:szCs w:val="24"/>
        </w:rPr>
        <w:t>1</w:t>
      </w:r>
      <w:r w:rsidR="00EA3750" w:rsidRPr="002B0D0B">
        <w:rPr>
          <w:noProof/>
          <w:szCs w:val="24"/>
        </w:rPr>
        <w:fldChar w:fldCharType="end"/>
      </w:r>
      <w:bookmarkEnd w:id="347"/>
      <w:r w:rsidRPr="002B0D0B">
        <w:rPr>
          <w:noProof/>
          <w:szCs w:val="24"/>
        </w:rPr>
        <w:t xml:space="preserve">. </w:t>
      </w:r>
      <w:r w:rsidR="00D60A65" w:rsidRPr="002B0D0B">
        <w:rPr>
          <w:noProof/>
          <w:szCs w:val="24"/>
        </w:rPr>
        <w:t>Structure of the systemic model for americium.</w:t>
      </w:r>
    </w:p>
    <w:p w14:paraId="5C90A724" w14:textId="77777777" w:rsidR="00684B79" w:rsidRPr="00972C81" w:rsidRDefault="00684B79" w:rsidP="00134489">
      <w:pPr>
        <w:rPr>
          <w:noProof/>
        </w:rPr>
      </w:pPr>
    </w:p>
    <w:p w14:paraId="7CD01F0B" w14:textId="77777777" w:rsidR="009A15D5" w:rsidRDefault="009A15D5">
      <w:pPr>
        <w:widowControl/>
        <w:jc w:val="left"/>
        <w:rPr>
          <w:noProof/>
          <w:szCs w:val="24"/>
        </w:rPr>
      </w:pPr>
      <w:bookmarkStart w:id="348" w:name="_Ref147161728"/>
      <w:bookmarkStart w:id="349" w:name="_Ref147161722"/>
      <w:r>
        <w:rPr>
          <w:noProof/>
          <w:szCs w:val="24"/>
        </w:rPr>
        <w:br w:type="page"/>
      </w:r>
    </w:p>
    <w:p w14:paraId="2EEE40F0" w14:textId="306A65CC" w:rsidR="00D60A65" w:rsidRPr="00C47F2F" w:rsidRDefault="00653D0A" w:rsidP="00E81109">
      <w:pPr>
        <w:pStyle w:val="ab"/>
        <w:rPr>
          <w:rFonts w:ascii="Times Roman" w:hAnsi="Times Roman"/>
          <w:noProof/>
          <w:sz w:val="24"/>
          <w:szCs w:val="24"/>
          <w:lang w:eastAsia="fr-FR"/>
        </w:rPr>
      </w:pPr>
      <w:r w:rsidRPr="00C47F2F">
        <w:rPr>
          <w:noProof/>
          <w:sz w:val="24"/>
          <w:szCs w:val="24"/>
        </w:rPr>
        <w:lastRenderedPageBreak/>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23</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2</w:t>
      </w:r>
      <w:r w:rsidR="00EA3750" w:rsidRPr="00C47F2F">
        <w:rPr>
          <w:noProof/>
          <w:sz w:val="24"/>
          <w:szCs w:val="24"/>
        </w:rPr>
        <w:fldChar w:fldCharType="end"/>
      </w:r>
      <w:bookmarkEnd w:id="348"/>
      <w:r w:rsidRPr="00C47F2F">
        <w:rPr>
          <w:noProof/>
          <w:sz w:val="24"/>
          <w:szCs w:val="24"/>
        </w:rPr>
        <w:t>.</w:t>
      </w:r>
      <w:r w:rsidR="00684B79" w:rsidRPr="00C47F2F">
        <w:rPr>
          <w:noProof/>
          <w:sz w:val="24"/>
          <w:szCs w:val="24"/>
        </w:rPr>
        <w:t xml:space="preserve"> Age-specific transfer coefficients for americium.</w:t>
      </w:r>
      <w:bookmarkEnd w:id="349"/>
    </w:p>
    <w:tbl>
      <w:tblPr>
        <w:tblW w:w="5000" w:type="pct"/>
        <w:tblLayout w:type="fixed"/>
        <w:tblLook w:val="04A0" w:firstRow="1" w:lastRow="0" w:firstColumn="1" w:lastColumn="0" w:noHBand="0" w:noVBand="1"/>
      </w:tblPr>
      <w:tblGrid>
        <w:gridCol w:w="2955"/>
        <w:gridCol w:w="1001"/>
        <w:gridCol w:w="1001"/>
        <w:gridCol w:w="1039"/>
        <w:gridCol w:w="1001"/>
        <w:gridCol w:w="1001"/>
        <w:gridCol w:w="1029"/>
      </w:tblGrid>
      <w:tr w:rsidR="00D60A65" w:rsidRPr="00972C81" w14:paraId="78459797" w14:textId="77777777" w:rsidTr="009A15D5">
        <w:trPr>
          <w:trHeight w:val="340"/>
        </w:trPr>
        <w:tc>
          <w:tcPr>
            <w:tcW w:w="2955" w:type="dxa"/>
            <w:vMerge w:val="restart"/>
            <w:tcBorders>
              <w:top w:val="single" w:sz="4" w:space="0" w:color="auto"/>
            </w:tcBorders>
            <w:shd w:val="clear" w:color="auto" w:fill="auto"/>
            <w:noWrap/>
            <w:vAlign w:val="center"/>
          </w:tcPr>
          <w:p w14:paraId="5763D4FB" w14:textId="7053463C" w:rsidR="00D60A65" w:rsidRPr="00972C81" w:rsidRDefault="00D60A65" w:rsidP="009A15D5">
            <w:pPr>
              <w:pStyle w:val="Table"/>
              <w:rPr>
                <w:noProof/>
              </w:rPr>
            </w:pPr>
            <w:r w:rsidRPr="00972C81">
              <w:rPr>
                <w:noProof/>
              </w:rPr>
              <w:t>Pathway</w:t>
            </w:r>
            <w:r w:rsidR="00A96EB6" w:rsidRPr="00A96EB6">
              <w:rPr>
                <w:noProof/>
                <w:vertAlign w:val="superscript"/>
              </w:rPr>
              <w:t>a</w:t>
            </w:r>
          </w:p>
        </w:tc>
        <w:tc>
          <w:tcPr>
            <w:tcW w:w="6072" w:type="dxa"/>
            <w:gridSpan w:val="6"/>
            <w:tcBorders>
              <w:top w:val="single" w:sz="4" w:space="0" w:color="auto"/>
              <w:bottom w:val="single" w:sz="4" w:space="0" w:color="auto"/>
            </w:tcBorders>
            <w:shd w:val="clear" w:color="auto" w:fill="auto"/>
            <w:noWrap/>
            <w:vAlign w:val="center"/>
          </w:tcPr>
          <w:p w14:paraId="2BEE83DE" w14:textId="77777777" w:rsidR="00D60A65" w:rsidRPr="00972C81" w:rsidRDefault="00D60A65" w:rsidP="009A15D5">
            <w:pPr>
              <w:pStyle w:val="Table"/>
              <w:jc w:val="center"/>
              <w:rPr>
                <w:noProof/>
              </w:rPr>
            </w:pPr>
            <w:r w:rsidRPr="00972C81">
              <w:rPr>
                <w:noProof/>
              </w:rPr>
              <w:t>Transfer coefficient (d</w:t>
            </w:r>
            <w:r w:rsidRPr="00C47F2F">
              <w:rPr>
                <w:noProof/>
                <w:vertAlign w:val="superscript"/>
              </w:rPr>
              <w:t>-1</w:t>
            </w:r>
            <w:r w:rsidRPr="00972C81">
              <w:rPr>
                <w:noProof/>
              </w:rPr>
              <w:t>)</w:t>
            </w:r>
          </w:p>
        </w:tc>
      </w:tr>
      <w:tr w:rsidR="00100C52" w:rsidRPr="00972C81" w14:paraId="240F4710" w14:textId="77777777" w:rsidTr="009A15D5">
        <w:trPr>
          <w:trHeight w:val="340"/>
        </w:trPr>
        <w:tc>
          <w:tcPr>
            <w:tcW w:w="2955" w:type="dxa"/>
            <w:vMerge/>
            <w:tcBorders>
              <w:bottom w:val="single" w:sz="4" w:space="0" w:color="auto"/>
            </w:tcBorders>
            <w:shd w:val="clear" w:color="auto" w:fill="auto"/>
            <w:noWrap/>
          </w:tcPr>
          <w:p w14:paraId="20D561AF" w14:textId="77777777" w:rsidR="00D60A65" w:rsidRPr="00972C81" w:rsidRDefault="00D60A65" w:rsidP="00E81109">
            <w:pPr>
              <w:pStyle w:val="Table"/>
              <w:rPr>
                <w:noProof/>
                <w:color w:val="000000"/>
              </w:rPr>
            </w:pPr>
          </w:p>
        </w:tc>
        <w:tc>
          <w:tcPr>
            <w:tcW w:w="1001" w:type="dxa"/>
            <w:tcBorders>
              <w:top w:val="single" w:sz="4" w:space="0" w:color="auto"/>
              <w:bottom w:val="single" w:sz="4" w:space="0" w:color="auto"/>
            </w:tcBorders>
            <w:shd w:val="clear" w:color="auto" w:fill="auto"/>
            <w:noWrap/>
            <w:vAlign w:val="center"/>
          </w:tcPr>
          <w:p w14:paraId="35114AB8" w14:textId="77777777" w:rsidR="00D60A65" w:rsidRPr="00972C81" w:rsidRDefault="00D60A65" w:rsidP="009A15D5">
            <w:pPr>
              <w:pStyle w:val="Table"/>
              <w:rPr>
                <w:noProof/>
                <w:color w:val="000000"/>
              </w:rPr>
            </w:pPr>
            <w:r w:rsidRPr="00972C81">
              <w:rPr>
                <w:noProof/>
              </w:rPr>
              <w:t>100 d</w:t>
            </w:r>
          </w:p>
        </w:tc>
        <w:tc>
          <w:tcPr>
            <w:tcW w:w="1001" w:type="dxa"/>
            <w:tcBorders>
              <w:top w:val="single" w:sz="4" w:space="0" w:color="auto"/>
              <w:bottom w:val="single" w:sz="4" w:space="0" w:color="auto"/>
            </w:tcBorders>
            <w:shd w:val="clear" w:color="auto" w:fill="auto"/>
            <w:noWrap/>
            <w:vAlign w:val="center"/>
          </w:tcPr>
          <w:p w14:paraId="736C4E01" w14:textId="77777777" w:rsidR="00D60A65" w:rsidRPr="00972C81" w:rsidRDefault="00D60A65" w:rsidP="009A15D5">
            <w:pPr>
              <w:pStyle w:val="Table"/>
              <w:rPr>
                <w:noProof/>
                <w:color w:val="000000"/>
              </w:rPr>
            </w:pPr>
            <w:r w:rsidRPr="00972C81">
              <w:rPr>
                <w:noProof/>
              </w:rPr>
              <w:t>1 y</w:t>
            </w:r>
          </w:p>
        </w:tc>
        <w:tc>
          <w:tcPr>
            <w:tcW w:w="1039" w:type="dxa"/>
            <w:tcBorders>
              <w:top w:val="single" w:sz="4" w:space="0" w:color="auto"/>
              <w:bottom w:val="single" w:sz="4" w:space="0" w:color="auto"/>
            </w:tcBorders>
            <w:shd w:val="clear" w:color="auto" w:fill="auto"/>
            <w:noWrap/>
            <w:vAlign w:val="center"/>
          </w:tcPr>
          <w:p w14:paraId="1CF9826A" w14:textId="77777777" w:rsidR="00D60A65" w:rsidRPr="00972C81" w:rsidRDefault="00D60A65" w:rsidP="009A15D5">
            <w:pPr>
              <w:pStyle w:val="Table"/>
              <w:rPr>
                <w:noProof/>
                <w:color w:val="000000"/>
              </w:rPr>
            </w:pPr>
            <w:r w:rsidRPr="00972C81">
              <w:rPr>
                <w:noProof/>
              </w:rPr>
              <w:t>5 y</w:t>
            </w:r>
          </w:p>
        </w:tc>
        <w:tc>
          <w:tcPr>
            <w:tcW w:w="1001" w:type="dxa"/>
            <w:tcBorders>
              <w:top w:val="single" w:sz="4" w:space="0" w:color="auto"/>
              <w:bottom w:val="single" w:sz="4" w:space="0" w:color="auto"/>
            </w:tcBorders>
            <w:shd w:val="clear" w:color="auto" w:fill="auto"/>
            <w:noWrap/>
            <w:vAlign w:val="center"/>
          </w:tcPr>
          <w:p w14:paraId="2B0CCE56" w14:textId="77777777" w:rsidR="00D60A65" w:rsidRPr="00972C81" w:rsidRDefault="00D60A65" w:rsidP="009A15D5">
            <w:pPr>
              <w:pStyle w:val="Table"/>
              <w:rPr>
                <w:noProof/>
                <w:color w:val="000000"/>
              </w:rPr>
            </w:pPr>
            <w:r w:rsidRPr="00972C81">
              <w:rPr>
                <w:noProof/>
              </w:rPr>
              <w:t>10 y</w:t>
            </w:r>
          </w:p>
        </w:tc>
        <w:tc>
          <w:tcPr>
            <w:tcW w:w="1001" w:type="dxa"/>
            <w:tcBorders>
              <w:top w:val="single" w:sz="4" w:space="0" w:color="auto"/>
              <w:bottom w:val="single" w:sz="4" w:space="0" w:color="auto"/>
            </w:tcBorders>
            <w:shd w:val="clear" w:color="auto" w:fill="auto"/>
            <w:noWrap/>
            <w:vAlign w:val="center"/>
          </w:tcPr>
          <w:p w14:paraId="25548B11" w14:textId="77777777" w:rsidR="00D60A65" w:rsidRPr="00972C81" w:rsidRDefault="00D60A65" w:rsidP="009A15D5">
            <w:pPr>
              <w:pStyle w:val="Table"/>
              <w:rPr>
                <w:noProof/>
                <w:color w:val="000000"/>
              </w:rPr>
            </w:pPr>
            <w:r w:rsidRPr="00972C81">
              <w:rPr>
                <w:noProof/>
              </w:rPr>
              <w:t>15 y</w:t>
            </w:r>
          </w:p>
        </w:tc>
        <w:tc>
          <w:tcPr>
            <w:tcW w:w="1029" w:type="dxa"/>
            <w:tcBorders>
              <w:top w:val="single" w:sz="4" w:space="0" w:color="auto"/>
              <w:bottom w:val="single" w:sz="4" w:space="0" w:color="auto"/>
            </w:tcBorders>
            <w:shd w:val="clear" w:color="auto" w:fill="auto"/>
            <w:noWrap/>
            <w:vAlign w:val="center"/>
          </w:tcPr>
          <w:p w14:paraId="3767CC24" w14:textId="77777777" w:rsidR="00D60A65" w:rsidRPr="00972C81" w:rsidRDefault="00D60A65" w:rsidP="009A15D5">
            <w:pPr>
              <w:pStyle w:val="Table"/>
              <w:rPr>
                <w:noProof/>
                <w:color w:val="000000"/>
              </w:rPr>
            </w:pPr>
            <w:r w:rsidRPr="00972C81">
              <w:rPr>
                <w:noProof/>
              </w:rPr>
              <w:t>Adult</w:t>
            </w:r>
          </w:p>
        </w:tc>
      </w:tr>
      <w:tr w:rsidR="00F103A8" w:rsidRPr="00972C81" w14:paraId="68F259CA" w14:textId="77777777" w:rsidTr="009A15D5">
        <w:trPr>
          <w:trHeight w:val="340"/>
        </w:trPr>
        <w:tc>
          <w:tcPr>
            <w:tcW w:w="2955" w:type="dxa"/>
            <w:tcBorders>
              <w:top w:val="single" w:sz="4" w:space="0" w:color="auto"/>
            </w:tcBorders>
            <w:shd w:val="clear" w:color="auto" w:fill="auto"/>
            <w:noWrap/>
            <w:vAlign w:val="center"/>
          </w:tcPr>
          <w:p w14:paraId="7925FD50" w14:textId="14DE2983" w:rsidR="00F103A8" w:rsidRPr="00F103A8" w:rsidRDefault="00F103A8" w:rsidP="009A15D5">
            <w:pPr>
              <w:pStyle w:val="Table"/>
              <w:rPr>
                <w:noProof/>
                <w:sz w:val="20"/>
                <w:szCs w:val="22"/>
              </w:rPr>
            </w:pPr>
            <w:bookmarkStart w:id="350" w:name="_Hlk159836964"/>
            <w:r w:rsidRPr="00F103A8">
              <w:rPr>
                <w:noProof/>
                <w:sz w:val="20"/>
                <w:szCs w:val="22"/>
              </w:rPr>
              <w:t>Blood to Liver 1</w:t>
            </w:r>
          </w:p>
        </w:tc>
        <w:tc>
          <w:tcPr>
            <w:tcW w:w="1001" w:type="dxa"/>
            <w:tcBorders>
              <w:top w:val="single" w:sz="4" w:space="0" w:color="auto"/>
            </w:tcBorders>
            <w:shd w:val="clear" w:color="auto" w:fill="auto"/>
            <w:noWrap/>
            <w:vAlign w:val="center"/>
          </w:tcPr>
          <w:p w14:paraId="4173D15C" w14:textId="77777777" w:rsidR="00F103A8" w:rsidRPr="00C47F2F" w:rsidRDefault="00F103A8" w:rsidP="009A15D5">
            <w:pPr>
              <w:pStyle w:val="Table"/>
              <w:rPr>
                <w:noProof/>
                <w:sz w:val="20"/>
                <w:szCs w:val="20"/>
              </w:rPr>
            </w:pPr>
            <w:r w:rsidRPr="00C47F2F">
              <w:rPr>
                <w:noProof/>
                <w:sz w:val="20"/>
                <w:szCs w:val="20"/>
              </w:rPr>
              <w:t>2.33E+00</w:t>
            </w:r>
          </w:p>
        </w:tc>
        <w:tc>
          <w:tcPr>
            <w:tcW w:w="1001" w:type="dxa"/>
            <w:tcBorders>
              <w:top w:val="single" w:sz="4" w:space="0" w:color="auto"/>
            </w:tcBorders>
            <w:shd w:val="clear" w:color="auto" w:fill="auto"/>
            <w:noWrap/>
            <w:vAlign w:val="center"/>
          </w:tcPr>
          <w:p w14:paraId="13339476" w14:textId="77777777" w:rsidR="00F103A8" w:rsidRPr="00C47F2F" w:rsidRDefault="00F103A8" w:rsidP="009A15D5">
            <w:pPr>
              <w:pStyle w:val="Table"/>
              <w:rPr>
                <w:noProof/>
                <w:sz w:val="20"/>
                <w:szCs w:val="20"/>
              </w:rPr>
            </w:pPr>
            <w:r w:rsidRPr="00C47F2F">
              <w:rPr>
                <w:noProof/>
                <w:sz w:val="20"/>
                <w:szCs w:val="20"/>
              </w:rPr>
              <w:t>2.33E+00</w:t>
            </w:r>
          </w:p>
        </w:tc>
        <w:tc>
          <w:tcPr>
            <w:tcW w:w="1039" w:type="dxa"/>
            <w:tcBorders>
              <w:top w:val="single" w:sz="4" w:space="0" w:color="auto"/>
            </w:tcBorders>
            <w:shd w:val="clear" w:color="auto" w:fill="auto"/>
            <w:noWrap/>
            <w:vAlign w:val="center"/>
          </w:tcPr>
          <w:p w14:paraId="3CD324C5" w14:textId="77777777" w:rsidR="00F103A8" w:rsidRPr="00C47F2F" w:rsidRDefault="00F103A8" w:rsidP="009A15D5">
            <w:pPr>
              <w:pStyle w:val="Table"/>
              <w:rPr>
                <w:noProof/>
                <w:sz w:val="20"/>
                <w:szCs w:val="20"/>
              </w:rPr>
            </w:pPr>
            <w:r w:rsidRPr="00C47F2F">
              <w:rPr>
                <w:noProof/>
                <w:sz w:val="20"/>
                <w:szCs w:val="20"/>
              </w:rPr>
              <w:t>6.98E+00</w:t>
            </w:r>
          </w:p>
        </w:tc>
        <w:tc>
          <w:tcPr>
            <w:tcW w:w="1001" w:type="dxa"/>
            <w:tcBorders>
              <w:top w:val="single" w:sz="4" w:space="0" w:color="auto"/>
            </w:tcBorders>
            <w:shd w:val="clear" w:color="auto" w:fill="auto"/>
            <w:noWrap/>
            <w:vAlign w:val="center"/>
          </w:tcPr>
          <w:p w14:paraId="0B36725C" w14:textId="77777777" w:rsidR="00F103A8" w:rsidRPr="00C47F2F" w:rsidRDefault="00F103A8" w:rsidP="009A15D5">
            <w:pPr>
              <w:pStyle w:val="Table"/>
              <w:rPr>
                <w:noProof/>
                <w:sz w:val="20"/>
                <w:szCs w:val="20"/>
              </w:rPr>
            </w:pPr>
            <w:r w:rsidRPr="00C47F2F">
              <w:rPr>
                <w:noProof/>
                <w:sz w:val="20"/>
                <w:szCs w:val="20"/>
              </w:rPr>
              <w:t>6.98E+00</w:t>
            </w:r>
          </w:p>
        </w:tc>
        <w:tc>
          <w:tcPr>
            <w:tcW w:w="1001" w:type="dxa"/>
            <w:tcBorders>
              <w:top w:val="single" w:sz="4" w:space="0" w:color="auto"/>
            </w:tcBorders>
            <w:shd w:val="clear" w:color="auto" w:fill="auto"/>
            <w:noWrap/>
            <w:vAlign w:val="center"/>
          </w:tcPr>
          <w:p w14:paraId="42CDF044" w14:textId="77777777" w:rsidR="00F103A8" w:rsidRPr="00C47F2F" w:rsidRDefault="00F103A8" w:rsidP="009A15D5">
            <w:pPr>
              <w:pStyle w:val="Table"/>
              <w:rPr>
                <w:noProof/>
                <w:sz w:val="20"/>
                <w:szCs w:val="20"/>
              </w:rPr>
            </w:pPr>
            <w:r w:rsidRPr="00C47F2F">
              <w:rPr>
                <w:noProof/>
                <w:sz w:val="20"/>
                <w:szCs w:val="20"/>
              </w:rPr>
              <w:t>6.98E+00</w:t>
            </w:r>
          </w:p>
        </w:tc>
        <w:tc>
          <w:tcPr>
            <w:tcW w:w="1029" w:type="dxa"/>
            <w:tcBorders>
              <w:top w:val="single" w:sz="4" w:space="0" w:color="auto"/>
            </w:tcBorders>
            <w:shd w:val="clear" w:color="auto" w:fill="auto"/>
            <w:noWrap/>
            <w:vAlign w:val="center"/>
          </w:tcPr>
          <w:p w14:paraId="7187270F" w14:textId="77777777" w:rsidR="00F103A8" w:rsidRPr="00C47F2F" w:rsidRDefault="00F103A8" w:rsidP="009A15D5">
            <w:pPr>
              <w:pStyle w:val="Table"/>
              <w:rPr>
                <w:noProof/>
                <w:sz w:val="20"/>
                <w:szCs w:val="20"/>
              </w:rPr>
            </w:pPr>
            <w:r w:rsidRPr="00C47F2F">
              <w:rPr>
                <w:noProof/>
                <w:sz w:val="20"/>
                <w:szCs w:val="20"/>
              </w:rPr>
              <w:t>1.16E+01</w:t>
            </w:r>
          </w:p>
        </w:tc>
      </w:tr>
      <w:tr w:rsidR="00F103A8" w:rsidRPr="00972C81" w14:paraId="5BE5C6F0" w14:textId="77777777" w:rsidTr="009A15D5">
        <w:trPr>
          <w:trHeight w:val="340"/>
        </w:trPr>
        <w:tc>
          <w:tcPr>
            <w:tcW w:w="2955" w:type="dxa"/>
            <w:shd w:val="clear" w:color="auto" w:fill="auto"/>
            <w:noWrap/>
            <w:vAlign w:val="center"/>
          </w:tcPr>
          <w:p w14:paraId="346B9770" w14:textId="3F89F693" w:rsidR="00F103A8" w:rsidRPr="00F103A8" w:rsidRDefault="00F103A8" w:rsidP="009A15D5">
            <w:pPr>
              <w:pStyle w:val="Table"/>
              <w:rPr>
                <w:noProof/>
                <w:sz w:val="20"/>
                <w:szCs w:val="22"/>
              </w:rPr>
            </w:pPr>
            <w:bookmarkStart w:id="351" w:name="_Hlk159836997"/>
            <w:bookmarkEnd w:id="350"/>
            <w:r w:rsidRPr="00F103A8">
              <w:rPr>
                <w:noProof/>
                <w:sz w:val="20"/>
                <w:szCs w:val="22"/>
              </w:rPr>
              <w:t>Blood to  ST0</w:t>
            </w:r>
          </w:p>
        </w:tc>
        <w:tc>
          <w:tcPr>
            <w:tcW w:w="1001" w:type="dxa"/>
            <w:shd w:val="clear" w:color="auto" w:fill="auto"/>
            <w:noWrap/>
            <w:vAlign w:val="center"/>
          </w:tcPr>
          <w:p w14:paraId="1E9D8399" w14:textId="77777777" w:rsidR="00F103A8" w:rsidRPr="00C47F2F" w:rsidRDefault="00F103A8" w:rsidP="009A15D5">
            <w:pPr>
              <w:pStyle w:val="Table"/>
              <w:rPr>
                <w:noProof/>
                <w:sz w:val="20"/>
                <w:szCs w:val="20"/>
              </w:rPr>
            </w:pPr>
            <w:r w:rsidRPr="00C47F2F">
              <w:rPr>
                <w:noProof/>
                <w:sz w:val="20"/>
                <w:szCs w:val="20"/>
              </w:rPr>
              <w:t>1.00E+01</w:t>
            </w:r>
          </w:p>
        </w:tc>
        <w:tc>
          <w:tcPr>
            <w:tcW w:w="1001" w:type="dxa"/>
            <w:shd w:val="clear" w:color="auto" w:fill="auto"/>
            <w:noWrap/>
            <w:vAlign w:val="center"/>
          </w:tcPr>
          <w:p w14:paraId="1BCE4B3E" w14:textId="77777777" w:rsidR="00F103A8" w:rsidRPr="00C47F2F" w:rsidRDefault="00F103A8" w:rsidP="009A15D5">
            <w:pPr>
              <w:pStyle w:val="Table"/>
              <w:rPr>
                <w:noProof/>
                <w:sz w:val="20"/>
                <w:szCs w:val="20"/>
              </w:rPr>
            </w:pPr>
            <w:r w:rsidRPr="00C47F2F">
              <w:rPr>
                <w:noProof/>
                <w:sz w:val="20"/>
                <w:szCs w:val="20"/>
              </w:rPr>
              <w:t>1.00E+01</w:t>
            </w:r>
          </w:p>
        </w:tc>
        <w:tc>
          <w:tcPr>
            <w:tcW w:w="1039" w:type="dxa"/>
            <w:shd w:val="clear" w:color="auto" w:fill="auto"/>
            <w:noWrap/>
            <w:vAlign w:val="center"/>
          </w:tcPr>
          <w:p w14:paraId="54294803" w14:textId="77777777" w:rsidR="00F103A8" w:rsidRPr="00C47F2F" w:rsidRDefault="00F103A8" w:rsidP="009A15D5">
            <w:pPr>
              <w:pStyle w:val="Table"/>
              <w:rPr>
                <w:noProof/>
                <w:sz w:val="20"/>
                <w:szCs w:val="20"/>
              </w:rPr>
            </w:pPr>
            <w:r w:rsidRPr="00C47F2F">
              <w:rPr>
                <w:noProof/>
                <w:sz w:val="20"/>
                <w:szCs w:val="20"/>
              </w:rPr>
              <w:t>1.00E+01</w:t>
            </w:r>
          </w:p>
        </w:tc>
        <w:tc>
          <w:tcPr>
            <w:tcW w:w="1001" w:type="dxa"/>
            <w:shd w:val="clear" w:color="auto" w:fill="auto"/>
            <w:noWrap/>
            <w:vAlign w:val="center"/>
          </w:tcPr>
          <w:p w14:paraId="4EBC87A9" w14:textId="77777777" w:rsidR="00F103A8" w:rsidRPr="00C47F2F" w:rsidRDefault="00F103A8" w:rsidP="009A15D5">
            <w:pPr>
              <w:pStyle w:val="Table"/>
              <w:rPr>
                <w:noProof/>
                <w:sz w:val="20"/>
                <w:szCs w:val="20"/>
              </w:rPr>
            </w:pPr>
            <w:r w:rsidRPr="00C47F2F">
              <w:rPr>
                <w:noProof/>
                <w:sz w:val="20"/>
                <w:szCs w:val="20"/>
              </w:rPr>
              <w:t>1.00E+01</w:t>
            </w:r>
          </w:p>
        </w:tc>
        <w:tc>
          <w:tcPr>
            <w:tcW w:w="1001" w:type="dxa"/>
            <w:shd w:val="clear" w:color="auto" w:fill="auto"/>
            <w:noWrap/>
            <w:vAlign w:val="center"/>
          </w:tcPr>
          <w:p w14:paraId="31AD3FCD" w14:textId="77777777" w:rsidR="00F103A8" w:rsidRPr="00C47F2F" w:rsidRDefault="00F103A8" w:rsidP="009A15D5">
            <w:pPr>
              <w:pStyle w:val="Table"/>
              <w:rPr>
                <w:noProof/>
                <w:sz w:val="20"/>
                <w:szCs w:val="20"/>
              </w:rPr>
            </w:pPr>
            <w:r w:rsidRPr="00C47F2F">
              <w:rPr>
                <w:noProof/>
                <w:sz w:val="20"/>
                <w:szCs w:val="20"/>
              </w:rPr>
              <w:t>1.00E+01</w:t>
            </w:r>
          </w:p>
        </w:tc>
        <w:tc>
          <w:tcPr>
            <w:tcW w:w="1029" w:type="dxa"/>
            <w:shd w:val="clear" w:color="auto" w:fill="auto"/>
            <w:noWrap/>
            <w:vAlign w:val="center"/>
          </w:tcPr>
          <w:p w14:paraId="5E757A68" w14:textId="77777777" w:rsidR="00F103A8" w:rsidRPr="00C47F2F" w:rsidRDefault="00F103A8" w:rsidP="009A15D5">
            <w:pPr>
              <w:pStyle w:val="Table"/>
              <w:rPr>
                <w:noProof/>
                <w:sz w:val="20"/>
                <w:szCs w:val="20"/>
              </w:rPr>
            </w:pPr>
            <w:r w:rsidRPr="00C47F2F">
              <w:rPr>
                <w:noProof/>
                <w:sz w:val="20"/>
                <w:szCs w:val="20"/>
              </w:rPr>
              <w:t>1.00E+01</w:t>
            </w:r>
          </w:p>
        </w:tc>
      </w:tr>
      <w:tr w:rsidR="00F103A8" w:rsidRPr="00972C81" w14:paraId="67F26D10" w14:textId="77777777" w:rsidTr="009A15D5">
        <w:trPr>
          <w:trHeight w:val="340"/>
        </w:trPr>
        <w:tc>
          <w:tcPr>
            <w:tcW w:w="2955" w:type="dxa"/>
            <w:shd w:val="clear" w:color="auto" w:fill="auto"/>
            <w:noWrap/>
            <w:vAlign w:val="center"/>
          </w:tcPr>
          <w:p w14:paraId="190DD941" w14:textId="69A55B63" w:rsidR="00F103A8" w:rsidRPr="00F103A8" w:rsidRDefault="00F103A8" w:rsidP="009A15D5">
            <w:pPr>
              <w:pStyle w:val="Table"/>
              <w:rPr>
                <w:noProof/>
                <w:sz w:val="20"/>
                <w:szCs w:val="22"/>
              </w:rPr>
            </w:pPr>
            <w:r w:rsidRPr="00F103A8">
              <w:rPr>
                <w:noProof/>
                <w:sz w:val="20"/>
                <w:szCs w:val="22"/>
              </w:rPr>
              <w:t>Blood to  ST1</w:t>
            </w:r>
          </w:p>
        </w:tc>
        <w:tc>
          <w:tcPr>
            <w:tcW w:w="1001" w:type="dxa"/>
            <w:shd w:val="clear" w:color="auto" w:fill="auto"/>
            <w:noWrap/>
            <w:vAlign w:val="center"/>
          </w:tcPr>
          <w:p w14:paraId="435453F3" w14:textId="77777777" w:rsidR="00F103A8" w:rsidRPr="00C47F2F" w:rsidRDefault="00F103A8" w:rsidP="009A15D5">
            <w:pPr>
              <w:pStyle w:val="Table"/>
              <w:rPr>
                <w:noProof/>
                <w:sz w:val="20"/>
                <w:szCs w:val="20"/>
              </w:rPr>
            </w:pPr>
            <w:r w:rsidRPr="00C47F2F">
              <w:rPr>
                <w:noProof/>
                <w:sz w:val="20"/>
                <w:szCs w:val="20"/>
              </w:rPr>
              <w:t>1.67E+00</w:t>
            </w:r>
          </w:p>
        </w:tc>
        <w:tc>
          <w:tcPr>
            <w:tcW w:w="1001" w:type="dxa"/>
            <w:shd w:val="clear" w:color="auto" w:fill="auto"/>
            <w:noWrap/>
            <w:vAlign w:val="center"/>
          </w:tcPr>
          <w:p w14:paraId="15257A1B" w14:textId="77777777" w:rsidR="00F103A8" w:rsidRPr="00C47F2F" w:rsidRDefault="00F103A8" w:rsidP="009A15D5">
            <w:pPr>
              <w:pStyle w:val="Table"/>
              <w:rPr>
                <w:noProof/>
                <w:sz w:val="20"/>
                <w:szCs w:val="20"/>
              </w:rPr>
            </w:pPr>
            <w:r w:rsidRPr="00C47F2F">
              <w:rPr>
                <w:noProof/>
                <w:sz w:val="20"/>
                <w:szCs w:val="20"/>
              </w:rPr>
              <w:t>1.67E+00</w:t>
            </w:r>
          </w:p>
        </w:tc>
        <w:tc>
          <w:tcPr>
            <w:tcW w:w="1039" w:type="dxa"/>
            <w:shd w:val="clear" w:color="auto" w:fill="auto"/>
            <w:noWrap/>
            <w:vAlign w:val="center"/>
          </w:tcPr>
          <w:p w14:paraId="59CA15B4" w14:textId="77777777" w:rsidR="00F103A8" w:rsidRPr="00C47F2F" w:rsidRDefault="00F103A8" w:rsidP="009A15D5">
            <w:pPr>
              <w:pStyle w:val="Table"/>
              <w:rPr>
                <w:noProof/>
                <w:sz w:val="20"/>
                <w:szCs w:val="20"/>
              </w:rPr>
            </w:pPr>
            <w:r w:rsidRPr="00C47F2F">
              <w:rPr>
                <w:noProof/>
                <w:sz w:val="20"/>
                <w:szCs w:val="20"/>
              </w:rPr>
              <w:t>1.67E+00</w:t>
            </w:r>
          </w:p>
        </w:tc>
        <w:tc>
          <w:tcPr>
            <w:tcW w:w="1001" w:type="dxa"/>
            <w:shd w:val="clear" w:color="auto" w:fill="auto"/>
            <w:noWrap/>
            <w:vAlign w:val="center"/>
          </w:tcPr>
          <w:p w14:paraId="38AF8790" w14:textId="77777777" w:rsidR="00F103A8" w:rsidRPr="00C47F2F" w:rsidRDefault="00F103A8" w:rsidP="009A15D5">
            <w:pPr>
              <w:pStyle w:val="Table"/>
              <w:rPr>
                <w:noProof/>
                <w:sz w:val="20"/>
                <w:szCs w:val="20"/>
              </w:rPr>
            </w:pPr>
            <w:r w:rsidRPr="00C47F2F">
              <w:rPr>
                <w:noProof/>
                <w:sz w:val="20"/>
                <w:szCs w:val="20"/>
              </w:rPr>
              <w:t>1.67E+00</w:t>
            </w:r>
          </w:p>
        </w:tc>
        <w:tc>
          <w:tcPr>
            <w:tcW w:w="1001" w:type="dxa"/>
            <w:shd w:val="clear" w:color="auto" w:fill="auto"/>
            <w:noWrap/>
            <w:vAlign w:val="center"/>
          </w:tcPr>
          <w:p w14:paraId="40F06BBD" w14:textId="77777777" w:rsidR="00F103A8" w:rsidRPr="00C47F2F" w:rsidRDefault="00F103A8" w:rsidP="009A15D5">
            <w:pPr>
              <w:pStyle w:val="Table"/>
              <w:rPr>
                <w:noProof/>
                <w:sz w:val="20"/>
                <w:szCs w:val="20"/>
              </w:rPr>
            </w:pPr>
            <w:r w:rsidRPr="00C47F2F">
              <w:rPr>
                <w:noProof/>
                <w:sz w:val="20"/>
                <w:szCs w:val="20"/>
              </w:rPr>
              <w:t>1.67E+00</w:t>
            </w:r>
          </w:p>
        </w:tc>
        <w:tc>
          <w:tcPr>
            <w:tcW w:w="1029" w:type="dxa"/>
            <w:shd w:val="clear" w:color="auto" w:fill="auto"/>
            <w:noWrap/>
            <w:vAlign w:val="center"/>
          </w:tcPr>
          <w:p w14:paraId="626215FD" w14:textId="77777777" w:rsidR="00F103A8" w:rsidRPr="00C47F2F" w:rsidRDefault="00F103A8" w:rsidP="009A15D5">
            <w:pPr>
              <w:pStyle w:val="Table"/>
              <w:rPr>
                <w:noProof/>
                <w:sz w:val="20"/>
                <w:szCs w:val="20"/>
              </w:rPr>
            </w:pPr>
            <w:r w:rsidRPr="00C47F2F">
              <w:rPr>
                <w:noProof/>
                <w:sz w:val="20"/>
                <w:szCs w:val="20"/>
              </w:rPr>
              <w:t>1.67E+00</w:t>
            </w:r>
          </w:p>
        </w:tc>
      </w:tr>
      <w:tr w:rsidR="00F103A8" w:rsidRPr="00972C81" w14:paraId="2985C4CF" w14:textId="77777777" w:rsidTr="009A15D5">
        <w:trPr>
          <w:trHeight w:val="340"/>
        </w:trPr>
        <w:tc>
          <w:tcPr>
            <w:tcW w:w="2955" w:type="dxa"/>
            <w:shd w:val="clear" w:color="auto" w:fill="auto"/>
            <w:noWrap/>
            <w:vAlign w:val="center"/>
          </w:tcPr>
          <w:p w14:paraId="5A4EFD11" w14:textId="7E8D9B9B" w:rsidR="00F103A8" w:rsidRPr="00F103A8" w:rsidRDefault="00F103A8" w:rsidP="009A15D5">
            <w:pPr>
              <w:pStyle w:val="Table"/>
              <w:rPr>
                <w:noProof/>
                <w:sz w:val="20"/>
                <w:szCs w:val="22"/>
              </w:rPr>
            </w:pPr>
            <w:r w:rsidRPr="00F103A8">
              <w:rPr>
                <w:noProof/>
                <w:sz w:val="20"/>
                <w:szCs w:val="22"/>
              </w:rPr>
              <w:t>Blood to  ST2</w:t>
            </w:r>
          </w:p>
        </w:tc>
        <w:tc>
          <w:tcPr>
            <w:tcW w:w="1001" w:type="dxa"/>
            <w:shd w:val="clear" w:color="auto" w:fill="auto"/>
            <w:noWrap/>
            <w:vAlign w:val="center"/>
          </w:tcPr>
          <w:p w14:paraId="234F517D" w14:textId="77777777" w:rsidR="00F103A8" w:rsidRPr="00C47F2F" w:rsidRDefault="00F103A8" w:rsidP="009A15D5">
            <w:pPr>
              <w:pStyle w:val="Table"/>
              <w:rPr>
                <w:noProof/>
                <w:sz w:val="20"/>
                <w:szCs w:val="20"/>
              </w:rPr>
            </w:pPr>
            <w:r w:rsidRPr="00C47F2F">
              <w:rPr>
                <w:noProof/>
                <w:sz w:val="20"/>
                <w:szCs w:val="20"/>
              </w:rPr>
              <w:t>4.66E-01</w:t>
            </w:r>
          </w:p>
        </w:tc>
        <w:tc>
          <w:tcPr>
            <w:tcW w:w="1001" w:type="dxa"/>
            <w:shd w:val="clear" w:color="auto" w:fill="auto"/>
            <w:noWrap/>
            <w:vAlign w:val="center"/>
          </w:tcPr>
          <w:p w14:paraId="34F5F9DC" w14:textId="77777777" w:rsidR="00F103A8" w:rsidRPr="00C47F2F" w:rsidRDefault="00F103A8" w:rsidP="009A15D5">
            <w:pPr>
              <w:pStyle w:val="Table"/>
              <w:rPr>
                <w:noProof/>
                <w:sz w:val="20"/>
                <w:szCs w:val="20"/>
              </w:rPr>
            </w:pPr>
            <w:r w:rsidRPr="00C47F2F">
              <w:rPr>
                <w:noProof/>
                <w:sz w:val="20"/>
                <w:szCs w:val="20"/>
              </w:rPr>
              <w:t>4.66E-01</w:t>
            </w:r>
          </w:p>
        </w:tc>
        <w:tc>
          <w:tcPr>
            <w:tcW w:w="1039" w:type="dxa"/>
            <w:shd w:val="clear" w:color="auto" w:fill="auto"/>
            <w:noWrap/>
            <w:vAlign w:val="center"/>
          </w:tcPr>
          <w:p w14:paraId="5B7F3168" w14:textId="77777777" w:rsidR="00F103A8" w:rsidRPr="00C47F2F" w:rsidRDefault="00F103A8" w:rsidP="009A15D5">
            <w:pPr>
              <w:pStyle w:val="Table"/>
              <w:rPr>
                <w:noProof/>
                <w:sz w:val="20"/>
                <w:szCs w:val="20"/>
              </w:rPr>
            </w:pPr>
            <w:r w:rsidRPr="00C47F2F">
              <w:rPr>
                <w:noProof/>
                <w:sz w:val="20"/>
                <w:szCs w:val="20"/>
              </w:rPr>
              <w:t>4.66E-01</w:t>
            </w:r>
          </w:p>
        </w:tc>
        <w:tc>
          <w:tcPr>
            <w:tcW w:w="1001" w:type="dxa"/>
            <w:shd w:val="clear" w:color="auto" w:fill="auto"/>
            <w:noWrap/>
            <w:vAlign w:val="center"/>
          </w:tcPr>
          <w:p w14:paraId="39973D5F" w14:textId="77777777" w:rsidR="00F103A8" w:rsidRPr="00C47F2F" w:rsidRDefault="00F103A8" w:rsidP="009A15D5">
            <w:pPr>
              <w:pStyle w:val="Table"/>
              <w:rPr>
                <w:noProof/>
                <w:sz w:val="20"/>
                <w:szCs w:val="20"/>
              </w:rPr>
            </w:pPr>
            <w:r w:rsidRPr="00C47F2F">
              <w:rPr>
                <w:noProof/>
                <w:sz w:val="20"/>
                <w:szCs w:val="20"/>
              </w:rPr>
              <w:t>4.66E-01</w:t>
            </w:r>
          </w:p>
        </w:tc>
        <w:tc>
          <w:tcPr>
            <w:tcW w:w="1001" w:type="dxa"/>
            <w:shd w:val="clear" w:color="auto" w:fill="auto"/>
            <w:noWrap/>
            <w:vAlign w:val="center"/>
          </w:tcPr>
          <w:p w14:paraId="7A1A3023" w14:textId="77777777" w:rsidR="00F103A8" w:rsidRPr="00C47F2F" w:rsidRDefault="00F103A8" w:rsidP="009A15D5">
            <w:pPr>
              <w:pStyle w:val="Table"/>
              <w:rPr>
                <w:noProof/>
                <w:sz w:val="20"/>
                <w:szCs w:val="20"/>
              </w:rPr>
            </w:pPr>
            <w:r w:rsidRPr="00C47F2F">
              <w:rPr>
                <w:noProof/>
                <w:sz w:val="20"/>
                <w:szCs w:val="20"/>
              </w:rPr>
              <w:t>4.66E-01</w:t>
            </w:r>
          </w:p>
        </w:tc>
        <w:tc>
          <w:tcPr>
            <w:tcW w:w="1029" w:type="dxa"/>
            <w:shd w:val="clear" w:color="auto" w:fill="auto"/>
            <w:noWrap/>
            <w:vAlign w:val="center"/>
          </w:tcPr>
          <w:p w14:paraId="59B5AB9E" w14:textId="77777777" w:rsidR="00F103A8" w:rsidRPr="00C47F2F" w:rsidRDefault="00F103A8" w:rsidP="009A15D5">
            <w:pPr>
              <w:pStyle w:val="Table"/>
              <w:rPr>
                <w:noProof/>
                <w:sz w:val="20"/>
                <w:szCs w:val="20"/>
              </w:rPr>
            </w:pPr>
            <w:r w:rsidRPr="00C47F2F">
              <w:rPr>
                <w:noProof/>
                <w:sz w:val="20"/>
                <w:szCs w:val="20"/>
              </w:rPr>
              <w:t>4.66E-01</w:t>
            </w:r>
          </w:p>
        </w:tc>
      </w:tr>
      <w:bookmarkEnd w:id="351"/>
      <w:tr w:rsidR="00F103A8" w:rsidRPr="00972C81" w14:paraId="519F064D" w14:textId="77777777" w:rsidTr="009A15D5">
        <w:trPr>
          <w:trHeight w:val="340"/>
        </w:trPr>
        <w:tc>
          <w:tcPr>
            <w:tcW w:w="2955" w:type="dxa"/>
            <w:shd w:val="clear" w:color="auto" w:fill="auto"/>
            <w:noWrap/>
            <w:vAlign w:val="center"/>
          </w:tcPr>
          <w:p w14:paraId="0BDC0F12" w14:textId="63780FDF" w:rsidR="00F103A8" w:rsidRPr="00F103A8" w:rsidRDefault="00F103A8" w:rsidP="009A15D5">
            <w:pPr>
              <w:pStyle w:val="Table"/>
              <w:rPr>
                <w:noProof/>
                <w:sz w:val="20"/>
                <w:szCs w:val="22"/>
              </w:rPr>
            </w:pPr>
            <w:r w:rsidRPr="00F103A8">
              <w:rPr>
                <w:noProof/>
                <w:sz w:val="20"/>
                <w:szCs w:val="22"/>
              </w:rPr>
              <w:t xml:space="preserve">Blood to Cort bone surf </w:t>
            </w:r>
          </w:p>
        </w:tc>
        <w:tc>
          <w:tcPr>
            <w:tcW w:w="1001" w:type="dxa"/>
            <w:shd w:val="clear" w:color="auto" w:fill="auto"/>
            <w:noWrap/>
            <w:vAlign w:val="center"/>
          </w:tcPr>
          <w:p w14:paraId="143ADF29" w14:textId="77777777" w:rsidR="00F103A8" w:rsidRPr="00C47F2F" w:rsidRDefault="00F103A8" w:rsidP="009A15D5">
            <w:pPr>
              <w:pStyle w:val="Table"/>
              <w:rPr>
                <w:noProof/>
                <w:sz w:val="20"/>
                <w:szCs w:val="20"/>
              </w:rPr>
            </w:pPr>
            <w:r w:rsidRPr="00C47F2F">
              <w:rPr>
                <w:noProof/>
                <w:sz w:val="20"/>
                <w:szCs w:val="20"/>
              </w:rPr>
              <w:t>8.15E+00</w:t>
            </w:r>
          </w:p>
        </w:tc>
        <w:tc>
          <w:tcPr>
            <w:tcW w:w="1001" w:type="dxa"/>
            <w:shd w:val="clear" w:color="auto" w:fill="auto"/>
            <w:noWrap/>
            <w:vAlign w:val="center"/>
          </w:tcPr>
          <w:p w14:paraId="318FF585" w14:textId="77777777" w:rsidR="00F103A8" w:rsidRPr="00C47F2F" w:rsidRDefault="00F103A8" w:rsidP="009A15D5">
            <w:pPr>
              <w:pStyle w:val="Table"/>
              <w:rPr>
                <w:noProof/>
                <w:sz w:val="20"/>
                <w:szCs w:val="20"/>
              </w:rPr>
            </w:pPr>
            <w:r w:rsidRPr="00C47F2F">
              <w:rPr>
                <w:noProof/>
                <w:sz w:val="20"/>
                <w:szCs w:val="20"/>
              </w:rPr>
              <w:t>8.15E+00</w:t>
            </w:r>
          </w:p>
        </w:tc>
        <w:tc>
          <w:tcPr>
            <w:tcW w:w="1039" w:type="dxa"/>
            <w:shd w:val="clear" w:color="auto" w:fill="auto"/>
            <w:noWrap/>
            <w:vAlign w:val="center"/>
          </w:tcPr>
          <w:p w14:paraId="7ACAD00C" w14:textId="77777777" w:rsidR="00F103A8" w:rsidRPr="00C47F2F" w:rsidRDefault="00F103A8" w:rsidP="009A15D5">
            <w:pPr>
              <w:pStyle w:val="Table"/>
              <w:rPr>
                <w:noProof/>
                <w:sz w:val="20"/>
                <w:szCs w:val="20"/>
              </w:rPr>
            </w:pPr>
            <w:r w:rsidRPr="00C47F2F">
              <w:rPr>
                <w:noProof/>
                <w:sz w:val="20"/>
                <w:szCs w:val="20"/>
              </w:rPr>
              <w:t>5.82E+00</w:t>
            </w:r>
          </w:p>
        </w:tc>
        <w:tc>
          <w:tcPr>
            <w:tcW w:w="1001" w:type="dxa"/>
            <w:shd w:val="clear" w:color="auto" w:fill="auto"/>
            <w:noWrap/>
            <w:vAlign w:val="center"/>
          </w:tcPr>
          <w:p w14:paraId="519C494E" w14:textId="77777777" w:rsidR="00F103A8" w:rsidRPr="00C47F2F" w:rsidRDefault="00F103A8" w:rsidP="009A15D5">
            <w:pPr>
              <w:pStyle w:val="Table"/>
              <w:rPr>
                <w:noProof/>
                <w:sz w:val="20"/>
                <w:szCs w:val="20"/>
              </w:rPr>
            </w:pPr>
            <w:r w:rsidRPr="00C47F2F">
              <w:rPr>
                <w:noProof/>
                <w:sz w:val="20"/>
                <w:szCs w:val="20"/>
              </w:rPr>
              <w:t>5.82E+00</w:t>
            </w:r>
          </w:p>
        </w:tc>
        <w:tc>
          <w:tcPr>
            <w:tcW w:w="1001" w:type="dxa"/>
            <w:shd w:val="clear" w:color="auto" w:fill="auto"/>
            <w:noWrap/>
            <w:vAlign w:val="center"/>
          </w:tcPr>
          <w:p w14:paraId="73B51338" w14:textId="77777777" w:rsidR="00F103A8" w:rsidRPr="00C47F2F" w:rsidRDefault="00F103A8" w:rsidP="009A15D5">
            <w:pPr>
              <w:pStyle w:val="Table"/>
              <w:rPr>
                <w:noProof/>
                <w:sz w:val="20"/>
                <w:szCs w:val="20"/>
              </w:rPr>
            </w:pPr>
            <w:r w:rsidRPr="00C47F2F">
              <w:rPr>
                <w:noProof/>
                <w:sz w:val="20"/>
                <w:szCs w:val="20"/>
              </w:rPr>
              <w:t>5.82E+00</w:t>
            </w:r>
          </w:p>
        </w:tc>
        <w:tc>
          <w:tcPr>
            <w:tcW w:w="1029" w:type="dxa"/>
            <w:shd w:val="clear" w:color="auto" w:fill="auto"/>
            <w:noWrap/>
            <w:vAlign w:val="center"/>
          </w:tcPr>
          <w:p w14:paraId="04AF3C0A" w14:textId="77777777" w:rsidR="00F103A8" w:rsidRPr="00C47F2F" w:rsidRDefault="00F103A8" w:rsidP="009A15D5">
            <w:pPr>
              <w:pStyle w:val="Table"/>
              <w:rPr>
                <w:noProof/>
                <w:sz w:val="20"/>
                <w:szCs w:val="20"/>
              </w:rPr>
            </w:pPr>
            <w:r w:rsidRPr="00C47F2F">
              <w:rPr>
                <w:noProof/>
                <w:sz w:val="20"/>
                <w:szCs w:val="20"/>
              </w:rPr>
              <w:t>3.49E+00</w:t>
            </w:r>
          </w:p>
        </w:tc>
      </w:tr>
      <w:tr w:rsidR="00F103A8" w:rsidRPr="00972C81" w14:paraId="252751D4" w14:textId="77777777" w:rsidTr="009A15D5">
        <w:trPr>
          <w:trHeight w:val="340"/>
        </w:trPr>
        <w:tc>
          <w:tcPr>
            <w:tcW w:w="2955" w:type="dxa"/>
            <w:shd w:val="clear" w:color="auto" w:fill="auto"/>
            <w:noWrap/>
            <w:vAlign w:val="center"/>
          </w:tcPr>
          <w:p w14:paraId="5CC19A6D" w14:textId="4A8FA825" w:rsidR="00F103A8" w:rsidRPr="00F103A8" w:rsidRDefault="00F103A8" w:rsidP="009A15D5">
            <w:pPr>
              <w:pStyle w:val="Table"/>
              <w:rPr>
                <w:noProof/>
                <w:sz w:val="20"/>
                <w:szCs w:val="22"/>
              </w:rPr>
            </w:pPr>
            <w:r w:rsidRPr="00F103A8">
              <w:rPr>
                <w:noProof/>
                <w:sz w:val="20"/>
                <w:szCs w:val="22"/>
              </w:rPr>
              <w:t xml:space="preserve">Blood to Trab bone surf </w:t>
            </w:r>
          </w:p>
        </w:tc>
        <w:tc>
          <w:tcPr>
            <w:tcW w:w="1001" w:type="dxa"/>
            <w:shd w:val="clear" w:color="auto" w:fill="auto"/>
            <w:noWrap/>
            <w:vAlign w:val="center"/>
          </w:tcPr>
          <w:p w14:paraId="0A4E3B5E" w14:textId="77777777" w:rsidR="00F103A8" w:rsidRPr="00C47F2F" w:rsidRDefault="00F103A8" w:rsidP="009A15D5">
            <w:pPr>
              <w:pStyle w:val="Table"/>
              <w:rPr>
                <w:noProof/>
                <w:sz w:val="20"/>
                <w:szCs w:val="20"/>
              </w:rPr>
            </w:pPr>
            <w:r w:rsidRPr="00C47F2F">
              <w:rPr>
                <w:noProof/>
                <w:sz w:val="20"/>
                <w:szCs w:val="20"/>
              </w:rPr>
              <w:t>8.15E+00</w:t>
            </w:r>
          </w:p>
        </w:tc>
        <w:tc>
          <w:tcPr>
            <w:tcW w:w="1001" w:type="dxa"/>
            <w:shd w:val="clear" w:color="auto" w:fill="auto"/>
            <w:noWrap/>
            <w:vAlign w:val="center"/>
          </w:tcPr>
          <w:p w14:paraId="76482A9C" w14:textId="77777777" w:rsidR="00F103A8" w:rsidRPr="00C47F2F" w:rsidRDefault="00F103A8" w:rsidP="009A15D5">
            <w:pPr>
              <w:pStyle w:val="Table"/>
              <w:rPr>
                <w:noProof/>
                <w:sz w:val="20"/>
                <w:szCs w:val="20"/>
              </w:rPr>
            </w:pPr>
            <w:r w:rsidRPr="00C47F2F">
              <w:rPr>
                <w:noProof/>
                <w:sz w:val="20"/>
                <w:szCs w:val="20"/>
              </w:rPr>
              <w:t>8.15E+00</w:t>
            </w:r>
          </w:p>
        </w:tc>
        <w:tc>
          <w:tcPr>
            <w:tcW w:w="1039" w:type="dxa"/>
            <w:shd w:val="clear" w:color="auto" w:fill="auto"/>
            <w:noWrap/>
            <w:vAlign w:val="center"/>
          </w:tcPr>
          <w:p w14:paraId="49979BFB" w14:textId="77777777" w:rsidR="00F103A8" w:rsidRPr="00C47F2F" w:rsidRDefault="00F103A8" w:rsidP="009A15D5">
            <w:pPr>
              <w:pStyle w:val="Table"/>
              <w:rPr>
                <w:noProof/>
                <w:sz w:val="20"/>
                <w:szCs w:val="20"/>
              </w:rPr>
            </w:pPr>
            <w:r w:rsidRPr="00C47F2F">
              <w:rPr>
                <w:noProof/>
                <w:sz w:val="20"/>
                <w:szCs w:val="20"/>
              </w:rPr>
              <w:t>5.82E+00</w:t>
            </w:r>
          </w:p>
        </w:tc>
        <w:tc>
          <w:tcPr>
            <w:tcW w:w="1001" w:type="dxa"/>
            <w:shd w:val="clear" w:color="auto" w:fill="auto"/>
            <w:noWrap/>
            <w:vAlign w:val="center"/>
          </w:tcPr>
          <w:p w14:paraId="5847C905" w14:textId="77777777" w:rsidR="00F103A8" w:rsidRPr="00C47F2F" w:rsidRDefault="00F103A8" w:rsidP="009A15D5">
            <w:pPr>
              <w:pStyle w:val="Table"/>
              <w:rPr>
                <w:noProof/>
                <w:sz w:val="20"/>
                <w:szCs w:val="20"/>
              </w:rPr>
            </w:pPr>
            <w:r w:rsidRPr="00C47F2F">
              <w:rPr>
                <w:noProof/>
                <w:sz w:val="20"/>
                <w:szCs w:val="20"/>
              </w:rPr>
              <w:t>5.82E+00</w:t>
            </w:r>
          </w:p>
        </w:tc>
        <w:tc>
          <w:tcPr>
            <w:tcW w:w="1001" w:type="dxa"/>
            <w:shd w:val="clear" w:color="auto" w:fill="auto"/>
            <w:noWrap/>
            <w:vAlign w:val="center"/>
          </w:tcPr>
          <w:p w14:paraId="54F7A0AD" w14:textId="77777777" w:rsidR="00F103A8" w:rsidRPr="00C47F2F" w:rsidRDefault="00F103A8" w:rsidP="009A15D5">
            <w:pPr>
              <w:pStyle w:val="Table"/>
              <w:rPr>
                <w:noProof/>
                <w:sz w:val="20"/>
                <w:szCs w:val="20"/>
              </w:rPr>
            </w:pPr>
            <w:r w:rsidRPr="00C47F2F">
              <w:rPr>
                <w:noProof/>
                <w:sz w:val="20"/>
                <w:szCs w:val="20"/>
              </w:rPr>
              <w:t>5.82E+00</w:t>
            </w:r>
          </w:p>
        </w:tc>
        <w:tc>
          <w:tcPr>
            <w:tcW w:w="1029" w:type="dxa"/>
            <w:shd w:val="clear" w:color="auto" w:fill="auto"/>
            <w:noWrap/>
            <w:vAlign w:val="center"/>
          </w:tcPr>
          <w:p w14:paraId="3ADC0136" w14:textId="77777777" w:rsidR="00F103A8" w:rsidRPr="00C47F2F" w:rsidRDefault="00F103A8" w:rsidP="009A15D5">
            <w:pPr>
              <w:pStyle w:val="Table"/>
              <w:rPr>
                <w:noProof/>
                <w:sz w:val="20"/>
                <w:szCs w:val="20"/>
              </w:rPr>
            </w:pPr>
            <w:r w:rsidRPr="00C47F2F">
              <w:rPr>
                <w:noProof/>
                <w:sz w:val="20"/>
                <w:szCs w:val="20"/>
              </w:rPr>
              <w:t>3.49E+00</w:t>
            </w:r>
          </w:p>
        </w:tc>
      </w:tr>
      <w:tr w:rsidR="00F103A8" w:rsidRPr="00972C81" w14:paraId="044CEAE7" w14:textId="77777777" w:rsidTr="009A15D5">
        <w:trPr>
          <w:trHeight w:val="340"/>
        </w:trPr>
        <w:tc>
          <w:tcPr>
            <w:tcW w:w="2955" w:type="dxa"/>
            <w:shd w:val="clear" w:color="auto" w:fill="auto"/>
            <w:noWrap/>
            <w:vAlign w:val="center"/>
          </w:tcPr>
          <w:p w14:paraId="707B0A5A" w14:textId="1F99BDAE" w:rsidR="00F103A8" w:rsidRPr="00F103A8" w:rsidRDefault="00F103A8" w:rsidP="009A15D5">
            <w:pPr>
              <w:pStyle w:val="Table"/>
              <w:rPr>
                <w:noProof/>
                <w:sz w:val="20"/>
                <w:szCs w:val="22"/>
              </w:rPr>
            </w:pPr>
            <w:r w:rsidRPr="00F103A8">
              <w:rPr>
                <w:noProof/>
                <w:sz w:val="20"/>
                <w:szCs w:val="22"/>
              </w:rPr>
              <w:t>Blood to Kidneys 1</w:t>
            </w:r>
          </w:p>
        </w:tc>
        <w:tc>
          <w:tcPr>
            <w:tcW w:w="1001" w:type="dxa"/>
            <w:shd w:val="clear" w:color="auto" w:fill="auto"/>
            <w:noWrap/>
            <w:vAlign w:val="center"/>
          </w:tcPr>
          <w:p w14:paraId="3B4924D1" w14:textId="77777777" w:rsidR="00F103A8" w:rsidRPr="00C47F2F" w:rsidRDefault="00F103A8" w:rsidP="009A15D5">
            <w:pPr>
              <w:pStyle w:val="Table"/>
              <w:rPr>
                <w:noProof/>
                <w:sz w:val="20"/>
                <w:szCs w:val="20"/>
              </w:rPr>
            </w:pPr>
            <w:r w:rsidRPr="00C47F2F">
              <w:rPr>
                <w:noProof/>
                <w:sz w:val="20"/>
                <w:szCs w:val="20"/>
              </w:rPr>
              <w:t>4.66E-01</w:t>
            </w:r>
          </w:p>
        </w:tc>
        <w:tc>
          <w:tcPr>
            <w:tcW w:w="1001" w:type="dxa"/>
            <w:shd w:val="clear" w:color="auto" w:fill="auto"/>
            <w:noWrap/>
            <w:vAlign w:val="center"/>
          </w:tcPr>
          <w:p w14:paraId="00164504" w14:textId="77777777" w:rsidR="00F103A8" w:rsidRPr="00C47F2F" w:rsidRDefault="00F103A8" w:rsidP="009A15D5">
            <w:pPr>
              <w:pStyle w:val="Table"/>
              <w:rPr>
                <w:noProof/>
                <w:sz w:val="20"/>
                <w:szCs w:val="20"/>
              </w:rPr>
            </w:pPr>
            <w:r w:rsidRPr="00C47F2F">
              <w:rPr>
                <w:noProof/>
                <w:sz w:val="20"/>
                <w:szCs w:val="20"/>
              </w:rPr>
              <w:t>4.66E-01</w:t>
            </w:r>
          </w:p>
        </w:tc>
        <w:tc>
          <w:tcPr>
            <w:tcW w:w="1039" w:type="dxa"/>
            <w:shd w:val="clear" w:color="auto" w:fill="auto"/>
            <w:noWrap/>
            <w:vAlign w:val="center"/>
          </w:tcPr>
          <w:p w14:paraId="71624AD2" w14:textId="77777777" w:rsidR="00F103A8" w:rsidRPr="00C47F2F" w:rsidRDefault="00F103A8" w:rsidP="009A15D5">
            <w:pPr>
              <w:pStyle w:val="Table"/>
              <w:rPr>
                <w:noProof/>
                <w:sz w:val="20"/>
                <w:szCs w:val="20"/>
              </w:rPr>
            </w:pPr>
            <w:r w:rsidRPr="00C47F2F">
              <w:rPr>
                <w:noProof/>
                <w:sz w:val="20"/>
                <w:szCs w:val="20"/>
              </w:rPr>
              <w:t>4.66E-01</w:t>
            </w:r>
          </w:p>
        </w:tc>
        <w:tc>
          <w:tcPr>
            <w:tcW w:w="1001" w:type="dxa"/>
            <w:shd w:val="clear" w:color="auto" w:fill="auto"/>
            <w:noWrap/>
            <w:vAlign w:val="center"/>
          </w:tcPr>
          <w:p w14:paraId="62DD461C" w14:textId="77777777" w:rsidR="00F103A8" w:rsidRPr="00C47F2F" w:rsidRDefault="00F103A8" w:rsidP="009A15D5">
            <w:pPr>
              <w:pStyle w:val="Table"/>
              <w:rPr>
                <w:noProof/>
                <w:sz w:val="20"/>
                <w:szCs w:val="20"/>
              </w:rPr>
            </w:pPr>
            <w:r w:rsidRPr="00C47F2F">
              <w:rPr>
                <w:noProof/>
                <w:sz w:val="20"/>
                <w:szCs w:val="20"/>
              </w:rPr>
              <w:t>4.66E-01</w:t>
            </w:r>
          </w:p>
        </w:tc>
        <w:tc>
          <w:tcPr>
            <w:tcW w:w="1001" w:type="dxa"/>
            <w:shd w:val="clear" w:color="auto" w:fill="auto"/>
            <w:noWrap/>
            <w:vAlign w:val="center"/>
          </w:tcPr>
          <w:p w14:paraId="5DD79655" w14:textId="77777777" w:rsidR="00F103A8" w:rsidRPr="00C47F2F" w:rsidRDefault="00F103A8" w:rsidP="009A15D5">
            <w:pPr>
              <w:pStyle w:val="Table"/>
              <w:rPr>
                <w:noProof/>
                <w:sz w:val="20"/>
                <w:szCs w:val="20"/>
              </w:rPr>
            </w:pPr>
            <w:r w:rsidRPr="00C47F2F">
              <w:rPr>
                <w:noProof/>
                <w:sz w:val="20"/>
                <w:szCs w:val="20"/>
              </w:rPr>
              <w:t>4.66E-01</w:t>
            </w:r>
          </w:p>
        </w:tc>
        <w:tc>
          <w:tcPr>
            <w:tcW w:w="1029" w:type="dxa"/>
            <w:shd w:val="clear" w:color="auto" w:fill="auto"/>
            <w:noWrap/>
            <w:vAlign w:val="center"/>
          </w:tcPr>
          <w:p w14:paraId="32AF25E1" w14:textId="77777777" w:rsidR="00F103A8" w:rsidRPr="00C47F2F" w:rsidRDefault="00F103A8" w:rsidP="009A15D5">
            <w:pPr>
              <w:pStyle w:val="Table"/>
              <w:rPr>
                <w:noProof/>
                <w:sz w:val="20"/>
                <w:szCs w:val="20"/>
              </w:rPr>
            </w:pPr>
            <w:r w:rsidRPr="00C47F2F">
              <w:rPr>
                <w:noProof/>
                <w:sz w:val="20"/>
                <w:szCs w:val="20"/>
              </w:rPr>
              <w:t>4.66E-01</w:t>
            </w:r>
          </w:p>
        </w:tc>
      </w:tr>
      <w:tr w:rsidR="00F103A8" w:rsidRPr="00972C81" w14:paraId="5B6E9B64" w14:textId="77777777" w:rsidTr="009A15D5">
        <w:trPr>
          <w:trHeight w:val="340"/>
        </w:trPr>
        <w:tc>
          <w:tcPr>
            <w:tcW w:w="2955" w:type="dxa"/>
            <w:shd w:val="clear" w:color="auto" w:fill="auto"/>
            <w:noWrap/>
            <w:vAlign w:val="center"/>
          </w:tcPr>
          <w:p w14:paraId="15DC624F" w14:textId="113DB24E" w:rsidR="00F103A8" w:rsidRPr="00F103A8" w:rsidRDefault="00F103A8" w:rsidP="009A15D5">
            <w:pPr>
              <w:pStyle w:val="Table"/>
              <w:rPr>
                <w:noProof/>
                <w:sz w:val="20"/>
                <w:szCs w:val="22"/>
              </w:rPr>
            </w:pPr>
            <w:r w:rsidRPr="00F103A8">
              <w:rPr>
                <w:noProof/>
                <w:sz w:val="20"/>
                <w:szCs w:val="22"/>
              </w:rPr>
              <w:t xml:space="preserve">Blood to Right colon cont </w:t>
            </w:r>
          </w:p>
        </w:tc>
        <w:tc>
          <w:tcPr>
            <w:tcW w:w="1001" w:type="dxa"/>
            <w:shd w:val="clear" w:color="auto" w:fill="auto"/>
            <w:noWrap/>
            <w:vAlign w:val="center"/>
          </w:tcPr>
          <w:p w14:paraId="42B421A1" w14:textId="77777777" w:rsidR="00F103A8" w:rsidRPr="00C47F2F" w:rsidRDefault="00F103A8" w:rsidP="009A15D5">
            <w:pPr>
              <w:pStyle w:val="Table"/>
              <w:rPr>
                <w:noProof/>
                <w:sz w:val="20"/>
                <w:szCs w:val="20"/>
              </w:rPr>
            </w:pPr>
            <w:r w:rsidRPr="00C47F2F">
              <w:rPr>
                <w:noProof/>
                <w:sz w:val="20"/>
                <w:szCs w:val="20"/>
              </w:rPr>
              <w:t>3.03E-01</w:t>
            </w:r>
          </w:p>
        </w:tc>
        <w:tc>
          <w:tcPr>
            <w:tcW w:w="1001" w:type="dxa"/>
            <w:shd w:val="clear" w:color="auto" w:fill="auto"/>
            <w:noWrap/>
            <w:vAlign w:val="center"/>
          </w:tcPr>
          <w:p w14:paraId="137AE86B" w14:textId="77777777" w:rsidR="00F103A8" w:rsidRPr="00C47F2F" w:rsidRDefault="00F103A8" w:rsidP="009A15D5">
            <w:pPr>
              <w:pStyle w:val="Table"/>
              <w:rPr>
                <w:noProof/>
                <w:sz w:val="20"/>
                <w:szCs w:val="20"/>
              </w:rPr>
            </w:pPr>
            <w:r w:rsidRPr="00C47F2F">
              <w:rPr>
                <w:noProof/>
                <w:sz w:val="20"/>
                <w:szCs w:val="20"/>
              </w:rPr>
              <w:t>3.03E-01</w:t>
            </w:r>
          </w:p>
        </w:tc>
        <w:tc>
          <w:tcPr>
            <w:tcW w:w="1039" w:type="dxa"/>
            <w:shd w:val="clear" w:color="auto" w:fill="auto"/>
            <w:noWrap/>
            <w:vAlign w:val="center"/>
          </w:tcPr>
          <w:p w14:paraId="6D331CEC" w14:textId="77777777" w:rsidR="00F103A8" w:rsidRPr="00C47F2F" w:rsidRDefault="00F103A8" w:rsidP="009A15D5">
            <w:pPr>
              <w:pStyle w:val="Table"/>
              <w:rPr>
                <w:noProof/>
                <w:sz w:val="20"/>
                <w:szCs w:val="20"/>
              </w:rPr>
            </w:pPr>
            <w:r w:rsidRPr="00C47F2F">
              <w:rPr>
                <w:noProof/>
                <w:sz w:val="20"/>
                <w:szCs w:val="20"/>
              </w:rPr>
              <w:t>3.03E-01</w:t>
            </w:r>
          </w:p>
        </w:tc>
        <w:tc>
          <w:tcPr>
            <w:tcW w:w="1001" w:type="dxa"/>
            <w:shd w:val="clear" w:color="auto" w:fill="auto"/>
            <w:noWrap/>
            <w:vAlign w:val="center"/>
          </w:tcPr>
          <w:p w14:paraId="5CE97195" w14:textId="77777777" w:rsidR="00F103A8" w:rsidRPr="00C47F2F" w:rsidRDefault="00F103A8" w:rsidP="009A15D5">
            <w:pPr>
              <w:pStyle w:val="Table"/>
              <w:rPr>
                <w:noProof/>
                <w:sz w:val="20"/>
                <w:szCs w:val="20"/>
              </w:rPr>
            </w:pPr>
            <w:r w:rsidRPr="00C47F2F">
              <w:rPr>
                <w:noProof/>
                <w:sz w:val="20"/>
                <w:szCs w:val="20"/>
              </w:rPr>
              <w:t>3.03E-01</w:t>
            </w:r>
          </w:p>
        </w:tc>
        <w:tc>
          <w:tcPr>
            <w:tcW w:w="1001" w:type="dxa"/>
            <w:shd w:val="clear" w:color="auto" w:fill="auto"/>
            <w:noWrap/>
            <w:vAlign w:val="center"/>
          </w:tcPr>
          <w:p w14:paraId="02B757E5" w14:textId="77777777" w:rsidR="00F103A8" w:rsidRPr="00C47F2F" w:rsidRDefault="00F103A8" w:rsidP="009A15D5">
            <w:pPr>
              <w:pStyle w:val="Table"/>
              <w:rPr>
                <w:noProof/>
                <w:sz w:val="20"/>
                <w:szCs w:val="20"/>
              </w:rPr>
            </w:pPr>
            <w:r w:rsidRPr="00C47F2F">
              <w:rPr>
                <w:noProof/>
                <w:sz w:val="20"/>
                <w:szCs w:val="20"/>
              </w:rPr>
              <w:t>3.03E-01</w:t>
            </w:r>
          </w:p>
        </w:tc>
        <w:tc>
          <w:tcPr>
            <w:tcW w:w="1029" w:type="dxa"/>
            <w:shd w:val="clear" w:color="auto" w:fill="auto"/>
            <w:noWrap/>
            <w:vAlign w:val="center"/>
          </w:tcPr>
          <w:p w14:paraId="4EB39BD8" w14:textId="77777777" w:rsidR="00F103A8" w:rsidRPr="00C47F2F" w:rsidRDefault="00F103A8" w:rsidP="009A15D5">
            <w:pPr>
              <w:pStyle w:val="Table"/>
              <w:rPr>
                <w:noProof/>
                <w:sz w:val="20"/>
                <w:szCs w:val="20"/>
              </w:rPr>
            </w:pPr>
            <w:r w:rsidRPr="00C47F2F">
              <w:rPr>
                <w:noProof/>
                <w:sz w:val="20"/>
                <w:szCs w:val="20"/>
              </w:rPr>
              <w:t>3.03E-01</w:t>
            </w:r>
          </w:p>
        </w:tc>
      </w:tr>
      <w:tr w:rsidR="00F103A8" w:rsidRPr="00972C81" w14:paraId="513C7651" w14:textId="77777777" w:rsidTr="009A15D5">
        <w:trPr>
          <w:trHeight w:val="340"/>
        </w:trPr>
        <w:tc>
          <w:tcPr>
            <w:tcW w:w="2955" w:type="dxa"/>
            <w:shd w:val="clear" w:color="auto" w:fill="auto"/>
            <w:noWrap/>
            <w:vAlign w:val="center"/>
          </w:tcPr>
          <w:p w14:paraId="3D4C27B7" w14:textId="76BCC8E9" w:rsidR="00F103A8" w:rsidRPr="00F103A8" w:rsidRDefault="00F103A8" w:rsidP="009A15D5">
            <w:pPr>
              <w:pStyle w:val="Table"/>
              <w:rPr>
                <w:noProof/>
                <w:sz w:val="20"/>
                <w:szCs w:val="22"/>
              </w:rPr>
            </w:pPr>
            <w:r w:rsidRPr="00F103A8">
              <w:rPr>
                <w:noProof/>
                <w:sz w:val="20"/>
                <w:szCs w:val="22"/>
              </w:rPr>
              <w:t>Blood to Kidneys 2</w:t>
            </w:r>
          </w:p>
        </w:tc>
        <w:tc>
          <w:tcPr>
            <w:tcW w:w="1001" w:type="dxa"/>
            <w:shd w:val="clear" w:color="auto" w:fill="auto"/>
            <w:noWrap/>
            <w:vAlign w:val="center"/>
          </w:tcPr>
          <w:p w14:paraId="2D9C6FE6" w14:textId="77777777" w:rsidR="00F103A8" w:rsidRPr="00C47F2F" w:rsidRDefault="00F103A8" w:rsidP="009A15D5">
            <w:pPr>
              <w:pStyle w:val="Table"/>
              <w:rPr>
                <w:noProof/>
                <w:sz w:val="20"/>
                <w:szCs w:val="20"/>
              </w:rPr>
            </w:pPr>
            <w:r w:rsidRPr="00C47F2F">
              <w:rPr>
                <w:noProof/>
                <w:sz w:val="20"/>
                <w:szCs w:val="20"/>
              </w:rPr>
              <w:t>1.16E-01</w:t>
            </w:r>
          </w:p>
        </w:tc>
        <w:tc>
          <w:tcPr>
            <w:tcW w:w="1001" w:type="dxa"/>
            <w:shd w:val="clear" w:color="auto" w:fill="auto"/>
            <w:noWrap/>
            <w:vAlign w:val="center"/>
          </w:tcPr>
          <w:p w14:paraId="657D8AEB" w14:textId="77777777" w:rsidR="00F103A8" w:rsidRPr="00C47F2F" w:rsidRDefault="00F103A8" w:rsidP="009A15D5">
            <w:pPr>
              <w:pStyle w:val="Table"/>
              <w:rPr>
                <w:noProof/>
                <w:sz w:val="20"/>
                <w:szCs w:val="20"/>
              </w:rPr>
            </w:pPr>
            <w:r w:rsidRPr="00C47F2F">
              <w:rPr>
                <w:noProof/>
                <w:sz w:val="20"/>
                <w:szCs w:val="20"/>
              </w:rPr>
              <w:t>1.16E-01</w:t>
            </w:r>
          </w:p>
        </w:tc>
        <w:tc>
          <w:tcPr>
            <w:tcW w:w="1039" w:type="dxa"/>
            <w:shd w:val="clear" w:color="auto" w:fill="auto"/>
            <w:noWrap/>
            <w:vAlign w:val="center"/>
          </w:tcPr>
          <w:p w14:paraId="1C473456" w14:textId="77777777" w:rsidR="00F103A8" w:rsidRPr="00C47F2F" w:rsidRDefault="00F103A8" w:rsidP="009A15D5">
            <w:pPr>
              <w:pStyle w:val="Table"/>
              <w:rPr>
                <w:noProof/>
                <w:sz w:val="20"/>
                <w:szCs w:val="20"/>
              </w:rPr>
            </w:pPr>
            <w:r w:rsidRPr="00C47F2F">
              <w:rPr>
                <w:noProof/>
                <w:sz w:val="20"/>
                <w:szCs w:val="20"/>
              </w:rPr>
              <w:t>1.16E-01</w:t>
            </w:r>
          </w:p>
        </w:tc>
        <w:tc>
          <w:tcPr>
            <w:tcW w:w="1001" w:type="dxa"/>
            <w:shd w:val="clear" w:color="auto" w:fill="auto"/>
            <w:noWrap/>
            <w:vAlign w:val="center"/>
          </w:tcPr>
          <w:p w14:paraId="72AF8E59" w14:textId="77777777" w:rsidR="00F103A8" w:rsidRPr="00C47F2F" w:rsidRDefault="00F103A8" w:rsidP="009A15D5">
            <w:pPr>
              <w:pStyle w:val="Table"/>
              <w:rPr>
                <w:noProof/>
                <w:sz w:val="20"/>
                <w:szCs w:val="20"/>
              </w:rPr>
            </w:pPr>
            <w:r w:rsidRPr="00C47F2F">
              <w:rPr>
                <w:noProof/>
                <w:sz w:val="20"/>
                <w:szCs w:val="20"/>
              </w:rPr>
              <w:t>1.16E-01</w:t>
            </w:r>
          </w:p>
        </w:tc>
        <w:tc>
          <w:tcPr>
            <w:tcW w:w="1001" w:type="dxa"/>
            <w:shd w:val="clear" w:color="auto" w:fill="auto"/>
            <w:noWrap/>
            <w:vAlign w:val="center"/>
          </w:tcPr>
          <w:p w14:paraId="53F4D4A2" w14:textId="77777777" w:rsidR="00F103A8" w:rsidRPr="00C47F2F" w:rsidRDefault="00F103A8" w:rsidP="009A15D5">
            <w:pPr>
              <w:pStyle w:val="Table"/>
              <w:rPr>
                <w:noProof/>
                <w:sz w:val="20"/>
                <w:szCs w:val="20"/>
              </w:rPr>
            </w:pPr>
            <w:r w:rsidRPr="00C47F2F">
              <w:rPr>
                <w:noProof/>
                <w:sz w:val="20"/>
                <w:szCs w:val="20"/>
              </w:rPr>
              <w:t>1.16E-01</w:t>
            </w:r>
          </w:p>
        </w:tc>
        <w:tc>
          <w:tcPr>
            <w:tcW w:w="1029" w:type="dxa"/>
            <w:shd w:val="clear" w:color="auto" w:fill="auto"/>
            <w:noWrap/>
            <w:vAlign w:val="center"/>
          </w:tcPr>
          <w:p w14:paraId="728E1EB2" w14:textId="77777777" w:rsidR="00F103A8" w:rsidRPr="00C47F2F" w:rsidRDefault="00F103A8" w:rsidP="009A15D5">
            <w:pPr>
              <w:pStyle w:val="Table"/>
              <w:rPr>
                <w:noProof/>
                <w:sz w:val="20"/>
                <w:szCs w:val="20"/>
              </w:rPr>
            </w:pPr>
            <w:r w:rsidRPr="00C47F2F">
              <w:rPr>
                <w:noProof/>
                <w:sz w:val="20"/>
                <w:szCs w:val="20"/>
              </w:rPr>
              <w:t>1.16E-01</w:t>
            </w:r>
          </w:p>
        </w:tc>
      </w:tr>
      <w:tr w:rsidR="00F103A8" w:rsidRPr="00972C81" w14:paraId="4FFA7111" w14:textId="77777777" w:rsidTr="009A15D5">
        <w:trPr>
          <w:trHeight w:val="340"/>
        </w:trPr>
        <w:tc>
          <w:tcPr>
            <w:tcW w:w="2955" w:type="dxa"/>
            <w:shd w:val="clear" w:color="auto" w:fill="auto"/>
            <w:noWrap/>
            <w:vAlign w:val="center"/>
          </w:tcPr>
          <w:p w14:paraId="1793F199" w14:textId="69C2458C" w:rsidR="00F103A8" w:rsidRPr="00F103A8" w:rsidRDefault="00F103A8" w:rsidP="009A15D5">
            <w:pPr>
              <w:pStyle w:val="Table"/>
              <w:rPr>
                <w:noProof/>
                <w:sz w:val="20"/>
                <w:szCs w:val="22"/>
              </w:rPr>
            </w:pPr>
            <w:r w:rsidRPr="00F103A8">
              <w:rPr>
                <w:noProof/>
                <w:sz w:val="20"/>
                <w:szCs w:val="22"/>
              </w:rPr>
              <w:t>Blood to Testes</w:t>
            </w:r>
          </w:p>
        </w:tc>
        <w:tc>
          <w:tcPr>
            <w:tcW w:w="1001" w:type="dxa"/>
            <w:shd w:val="clear" w:color="auto" w:fill="auto"/>
            <w:noWrap/>
            <w:vAlign w:val="center"/>
          </w:tcPr>
          <w:p w14:paraId="21A82AD7" w14:textId="77777777" w:rsidR="00F103A8" w:rsidRPr="00C47F2F" w:rsidRDefault="00F103A8" w:rsidP="009A15D5">
            <w:pPr>
              <w:pStyle w:val="Table"/>
              <w:rPr>
                <w:noProof/>
                <w:sz w:val="20"/>
                <w:szCs w:val="20"/>
              </w:rPr>
            </w:pPr>
            <w:r w:rsidRPr="00C47F2F">
              <w:rPr>
                <w:noProof/>
                <w:sz w:val="20"/>
                <w:szCs w:val="20"/>
              </w:rPr>
              <w:t>4.70E-04</w:t>
            </w:r>
          </w:p>
        </w:tc>
        <w:tc>
          <w:tcPr>
            <w:tcW w:w="1001" w:type="dxa"/>
            <w:shd w:val="clear" w:color="auto" w:fill="auto"/>
            <w:noWrap/>
            <w:vAlign w:val="center"/>
          </w:tcPr>
          <w:p w14:paraId="4B802CAF" w14:textId="77777777" w:rsidR="00F103A8" w:rsidRPr="00C47F2F" w:rsidRDefault="00F103A8" w:rsidP="009A15D5">
            <w:pPr>
              <w:pStyle w:val="Table"/>
              <w:rPr>
                <w:noProof/>
                <w:sz w:val="20"/>
                <w:szCs w:val="20"/>
              </w:rPr>
            </w:pPr>
            <w:r w:rsidRPr="00C47F2F">
              <w:rPr>
                <w:noProof/>
                <w:sz w:val="20"/>
                <w:szCs w:val="20"/>
              </w:rPr>
              <w:t>7.00E-04</w:t>
            </w:r>
          </w:p>
        </w:tc>
        <w:tc>
          <w:tcPr>
            <w:tcW w:w="1039" w:type="dxa"/>
            <w:shd w:val="clear" w:color="auto" w:fill="auto"/>
            <w:noWrap/>
            <w:vAlign w:val="center"/>
          </w:tcPr>
          <w:p w14:paraId="0F3F005B" w14:textId="77777777" w:rsidR="00F103A8" w:rsidRPr="00C47F2F" w:rsidRDefault="00F103A8" w:rsidP="009A15D5">
            <w:pPr>
              <w:pStyle w:val="Table"/>
              <w:rPr>
                <w:noProof/>
                <w:sz w:val="20"/>
                <w:szCs w:val="20"/>
              </w:rPr>
            </w:pPr>
            <w:r w:rsidRPr="00C47F2F">
              <w:rPr>
                <w:noProof/>
                <w:sz w:val="20"/>
                <w:szCs w:val="20"/>
              </w:rPr>
              <w:t>7.90E-04</w:t>
            </w:r>
          </w:p>
        </w:tc>
        <w:tc>
          <w:tcPr>
            <w:tcW w:w="1001" w:type="dxa"/>
            <w:shd w:val="clear" w:color="auto" w:fill="auto"/>
            <w:noWrap/>
            <w:vAlign w:val="center"/>
          </w:tcPr>
          <w:p w14:paraId="7EFD612C" w14:textId="77777777" w:rsidR="00F103A8" w:rsidRPr="00C47F2F" w:rsidRDefault="00F103A8" w:rsidP="009A15D5">
            <w:pPr>
              <w:pStyle w:val="Table"/>
              <w:rPr>
                <w:noProof/>
                <w:sz w:val="20"/>
                <w:szCs w:val="20"/>
              </w:rPr>
            </w:pPr>
            <w:r w:rsidRPr="00C47F2F">
              <w:rPr>
                <w:noProof/>
                <w:sz w:val="20"/>
                <w:szCs w:val="20"/>
              </w:rPr>
              <w:t>9.30E-04</w:t>
            </w:r>
          </w:p>
        </w:tc>
        <w:tc>
          <w:tcPr>
            <w:tcW w:w="1001" w:type="dxa"/>
            <w:shd w:val="clear" w:color="auto" w:fill="auto"/>
            <w:noWrap/>
            <w:vAlign w:val="center"/>
          </w:tcPr>
          <w:p w14:paraId="5985C513" w14:textId="77777777" w:rsidR="00F103A8" w:rsidRPr="00C47F2F" w:rsidRDefault="00F103A8" w:rsidP="009A15D5">
            <w:pPr>
              <w:pStyle w:val="Table"/>
              <w:rPr>
                <w:noProof/>
                <w:sz w:val="20"/>
                <w:szCs w:val="20"/>
              </w:rPr>
            </w:pPr>
            <w:r w:rsidRPr="00C47F2F">
              <w:rPr>
                <w:noProof/>
                <w:sz w:val="20"/>
                <w:szCs w:val="20"/>
              </w:rPr>
              <w:t>7.50E-03</w:t>
            </w:r>
          </w:p>
        </w:tc>
        <w:tc>
          <w:tcPr>
            <w:tcW w:w="1029" w:type="dxa"/>
            <w:shd w:val="clear" w:color="auto" w:fill="auto"/>
            <w:noWrap/>
            <w:vAlign w:val="center"/>
          </w:tcPr>
          <w:p w14:paraId="7BE65FE9" w14:textId="77777777" w:rsidR="00F103A8" w:rsidRPr="00C47F2F" w:rsidRDefault="00F103A8" w:rsidP="009A15D5">
            <w:pPr>
              <w:pStyle w:val="Table"/>
              <w:rPr>
                <w:noProof/>
                <w:sz w:val="20"/>
                <w:szCs w:val="20"/>
              </w:rPr>
            </w:pPr>
            <w:r w:rsidRPr="00C47F2F">
              <w:rPr>
                <w:noProof/>
                <w:sz w:val="20"/>
                <w:szCs w:val="20"/>
              </w:rPr>
              <w:t>8.20E-03</w:t>
            </w:r>
          </w:p>
        </w:tc>
      </w:tr>
      <w:tr w:rsidR="00F103A8" w:rsidRPr="00972C81" w14:paraId="16448B35" w14:textId="77777777" w:rsidTr="009A15D5">
        <w:trPr>
          <w:trHeight w:val="340"/>
        </w:trPr>
        <w:tc>
          <w:tcPr>
            <w:tcW w:w="2955" w:type="dxa"/>
            <w:shd w:val="clear" w:color="auto" w:fill="auto"/>
            <w:noWrap/>
            <w:vAlign w:val="center"/>
          </w:tcPr>
          <w:p w14:paraId="55D089F1" w14:textId="6E6869EE" w:rsidR="00F103A8" w:rsidRPr="00F103A8" w:rsidRDefault="00F103A8" w:rsidP="009A15D5">
            <w:pPr>
              <w:pStyle w:val="Table"/>
              <w:rPr>
                <w:noProof/>
                <w:sz w:val="20"/>
                <w:szCs w:val="22"/>
              </w:rPr>
            </w:pPr>
            <w:r w:rsidRPr="00F103A8">
              <w:rPr>
                <w:noProof/>
                <w:sz w:val="20"/>
                <w:szCs w:val="22"/>
              </w:rPr>
              <w:t>Blood to Ovaries</w:t>
            </w:r>
          </w:p>
        </w:tc>
        <w:tc>
          <w:tcPr>
            <w:tcW w:w="1001" w:type="dxa"/>
            <w:shd w:val="clear" w:color="auto" w:fill="auto"/>
            <w:noWrap/>
            <w:vAlign w:val="center"/>
          </w:tcPr>
          <w:p w14:paraId="3C48CA8D" w14:textId="77777777" w:rsidR="00F103A8" w:rsidRPr="00C47F2F" w:rsidRDefault="00F103A8" w:rsidP="009A15D5">
            <w:pPr>
              <w:pStyle w:val="Table"/>
              <w:rPr>
                <w:noProof/>
                <w:sz w:val="20"/>
                <w:szCs w:val="20"/>
              </w:rPr>
            </w:pPr>
            <w:r w:rsidRPr="00C47F2F">
              <w:rPr>
                <w:noProof/>
                <w:sz w:val="20"/>
                <w:szCs w:val="20"/>
              </w:rPr>
              <w:t>2.80E-04</w:t>
            </w:r>
          </w:p>
        </w:tc>
        <w:tc>
          <w:tcPr>
            <w:tcW w:w="1001" w:type="dxa"/>
            <w:shd w:val="clear" w:color="auto" w:fill="auto"/>
            <w:noWrap/>
            <w:vAlign w:val="center"/>
          </w:tcPr>
          <w:p w14:paraId="4F8F618F" w14:textId="77777777" w:rsidR="00F103A8" w:rsidRPr="00C47F2F" w:rsidRDefault="00F103A8" w:rsidP="009A15D5">
            <w:pPr>
              <w:pStyle w:val="Table"/>
              <w:rPr>
                <w:noProof/>
                <w:sz w:val="20"/>
                <w:szCs w:val="20"/>
              </w:rPr>
            </w:pPr>
            <w:r w:rsidRPr="00C47F2F">
              <w:rPr>
                <w:noProof/>
                <w:sz w:val="20"/>
                <w:szCs w:val="20"/>
              </w:rPr>
              <w:t>3.70E-04</w:t>
            </w:r>
          </w:p>
        </w:tc>
        <w:tc>
          <w:tcPr>
            <w:tcW w:w="1039" w:type="dxa"/>
            <w:shd w:val="clear" w:color="auto" w:fill="auto"/>
            <w:noWrap/>
            <w:vAlign w:val="center"/>
          </w:tcPr>
          <w:p w14:paraId="4A9E78B9" w14:textId="77777777" w:rsidR="00F103A8" w:rsidRPr="00C47F2F" w:rsidRDefault="00F103A8" w:rsidP="009A15D5">
            <w:pPr>
              <w:pStyle w:val="Table"/>
              <w:rPr>
                <w:noProof/>
                <w:sz w:val="20"/>
                <w:szCs w:val="20"/>
              </w:rPr>
            </w:pPr>
            <w:r w:rsidRPr="00C47F2F">
              <w:rPr>
                <w:noProof/>
                <w:sz w:val="20"/>
                <w:szCs w:val="20"/>
              </w:rPr>
              <w:t>9.30E-04</w:t>
            </w:r>
          </w:p>
        </w:tc>
        <w:tc>
          <w:tcPr>
            <w:tcW w:w="1001" w:type="dxa"/>
            <w:shd w:val="clear" w:color="auto" w:fill="auto"/>
            <w:noWrap/>
            <w:vAlign w:val="center"/>
          </w:tcPr>
          <w:p w14:paraId="3C8A3FE0" w14:textId="77777777" w:rsidR="00F103A8" w:rsidRPr="00C47F2F" w:rsidRDefault="00F103A8" w:rsidP="009A15D5">
            <w:pPr>
              <w:pStyle w:val="Table"/>
              <w:rPr>
                <w:noProof/>
                <w:sz w:val="20"/>
                <w:szCs w:val="20"/>
              </w:rPr>
            </w:pPr>
            <w:r w:rsidRPr="00C47F2F">
              <w:rPr>
                <w:noProof/>
                <w:sz w:val="20"/>
                <w:szCs w:val="20"/>
              </w:rPr>
              <w:t>1.60E-03</w:t>
            </w:r>
          </w:p>
        </w:tc>
        <w:tc>
          <w:tcPr>
            <w:tcW w:w="1001" w:type="dxa"/>
            <w:shd w:val="clear" w:color="auto" w:fill="auto"/>
            <w:noWrap/>
            <w:vAlign w:val="center"/>
          </w:tcPr>
          <w:p w14:paraId="1EC15915" w14:textId="77777777" w:rsidR="00F103A8" w:rsidRPr="00C47F2F" w:rsidRDefault="00F103A8" w:rsidP="009A15D5">
            <w:pPr>
              <w:pStyle w:val="Table"/>
              <w:rPr>
                <w:noProof/>
                <w:sz w:val="20"/>
                <w:szCs w:val="20"/>
              </w:rPr>
            </w:pPr>
            <w:r w:rsidRPr="00C47F2F">
              <w:rPr>
                <w:noProof/>
                <w:sz w:val="20"/>
                <w:szCs w:val="20"/>
              </w:rPr>
              <w:t>2.80E-03</w:t>
            </w:r>
          </w:p>
        </w:tc>
        <w:tc>
          <w:tcPr>
            <w:tcW w:w="1029" w:type="dxa"/>
            <w:shd w:val="clear" w:color="auto" w:fill="auto"/>
            <w:noWrap/>
            <w:vAlign w:val="center"/>
          </w:tcPr>
          <w:p w14:paraId="7A8332E6" w14:textId="77777777" w:rsidR="00F103A8" w:rsidRPr="00C47F2F" w:rsidRDefault="00F103A8" w:rsidP="009A15D5">
            <w:pPr>
              <w:pStyle w:val="Table"/>
              <w:rPr>
                <w:noProof/>
                <w:sz w:val="20"/>
                <w:szCs w:val="20"/>
              </w:rPr>
            </w:pPr>
            <w:r w:rsidRPr="00C47F2F">
              <w:rPr>
                <w:noProof/>
                <w:sz w:val="20"/>
                <w:szCs w:val="20"/>
              </w:rPr>
              <w:t>2.60E-03</w:t>
            </w:r>
          </w:p>
        </w:tc>
      </w:tr>
      <w:tr w:rsidR="00F103A8" w:rsidRPr="00972C81" w14:paraId="6CE7FE49" w14:textId="77777777" w:rsidTr="009A15D5">
        <w:trPr>
          <w:trHeight w:val="340"/>
        </w:trPr>
        <w:tc>
          <w:tcPr>
            <w:tcW w:w="2955" w:type="dxa"/>
            <w:shd w:val="clear" w:color="auto" w:fill="auto"/>
            <w:noWrap/>
            <w:vAlign w:val="center"/>
          </w:tcPr>
          <w:p w14:paraId="5E9D2813" w14:textId="4D09128C" w:rsidR="00F103A8" w:rsidRPr="00F103A8" w:rsidRDefault="00F103A8" w:rsidP="009A15D5">
            <w:pPr>
              <w:pStyle w:val="Table"/>
              <w:rPr>
                <w:noProof/>
                <w:sz w:val="20"/>
                <w:szCs w:val="22"/>
              </w:rPr>
            </w:pPr>
            <w:r w:rsidRPr="00F103A8">
              <w:rPr>
                <w:noProof/>
                <w:sz w:val="20"/>
                <w:szCs w:val="22"/>
              </w:rPr>
              <w:t xml:space="preserve">Blood to Urinary bladder cont </w:t>
            </w:r>
          </w:p>
        </w:tc>
        <w:tc>
          <w:tcPr>
            <w:tcW w:w="1001" w:type="dxa"/>
            <w:shd w:val="clear" w:color="auto" w:fill="auto"/>
            <w:noWrap/>
            <w:vAlign w:val="center"/>
          </w:tcPr>
          <w:p w14:paraId="4E17471B" w14:textId="77777777" w:rsidR="00F103A8" w:rsidRPr="00C47F2F" w:rsidRDefault="00F103A8" w:rsidP="009A15D5">
            <w:pPr>
              <w:pStyle w:val="Table"/>
              <w:rPr>
                <w:noProof/>
                <w:sz w:val="20"/>
                <w:szCs w:val="20"/>
              </w:rPr>
            </w:pPr>
            <w:r w:rsidRPr="00C47F2F">
              <w:rPr>
                <w:noProof/>
                <w:sz w:val="20"/>
                <w:szCs w:val="20"/>
              </w:rPr>
              <w:t>1.63E+00</w:t>
            </w:r>
          </w:p>
        </w:tc>
        <w:tc>
          <w:tcPr>
            <w:tcW w:w="1001" w:type="dxa"/>
            <w:shd w:val="clear" w:color="auto" w:fill="auto"/>
            <w:noWrap/>
            <w:vAlign w:val="center"/>
          </w:tcPr>
          <w:p w14:paraId="6E0FA75B" w14:textId="77777777" w:rsidR="00F103A8" w:rsidRPr="00C47F2F" w:rsidRDefault="00F103A8" w:rsidP="009A15D5">
            <w:pPr>
              <w:pStyle w:val="Table"/>
              <w:rPr>
                <w:noProof/>
                <w:sz w:val="20"/>
                <w:szCs w:val="20"/>
              </w:rPr>
            </w:pPr>
            <w:r w:rsidRPr="00C47F2F">
              <w:rPr>
                <w:noProof/>
                <w:sz w:val="20"/>
                <w:szCs w:val="20"/>
              </w:rPr>
              <w:t>1.63E+00</w:t>
            </w:r>
          </w:p>
        </w:tc>
        <w:tc>
          <w:tcPr>
            <w:tcW w:w="1039" w:type="dxa"/>
            <w:shd w:val="clear" w:color="auto" w:fill="auto"/>
            <w:noWrap/>
            <w:vAlign w:val="center"/>
          </w:tcPr>
          <w:p w14:paraId="69943203" w14:textId="77777777" w:rsidR="00F103A8" w:rsidRPr="00C47F2F" w:rsidRDefault="00F103A8" w:rsidP="009A15D5">
            <w:pPr>
              <w:pStyle w:val="Table"/>
              <w:rPr>
                <w:noProof/>
                <w:sz w:val="20"/>
                <w:szCs w:val="20"/>
              </w:rPr>
            </w:pPr>
            <w:r w:rsidRPr="00C47F2F">
              <w:rPr>
                <w:noProof/>
                <w:sz w:val="20"/>
                <w:szCs w:val="20"/>
              </w:rPr>
              <w:t>1.63E+00</w:t>
            </w:r>
          </w:p>
        </w:tc>
        <w:tc>
          <w:tcPr>
            <w:tcW w:w="1001" w:type="dxa"/>
            <w:shd w:val="clear" w:color="auto" w:fill="auto"/>
            <w:noWrap/>
            <w:vAlign w:val="center"/>
          </w:tcPr>
          <w:p w14:paraId="754F82C4" w14:textId="77777777" w:rsidR="00F103A8" w:rsidRPr="00C47F2F" w:rsidRDefault="00F103A8" w:rsidP="009A15D5">
            <w:pPr>
              <w:pStyle w:val="Table"/>
              <w:rPr>
                <w:noProof/>
                <w:sz w:val="20"/>
                <w:szCs w:val="20"/>
              </w:rPr>
            </w:pPr>
            <w:r w:rsidRPr="00C47F2F">
              <w:rPr>
                <w:noProof/>
                <w:sz w:val="20"/>
                <w:szCs w:val="20"/>
              </w:rPr>
              <w:t>1.63E+00</w:t>
            </w:r>
          </w:p>
        </w:tc>
        <w:tc>
          <w:tcPr>
            <w:tcW w:w="1001" w:type="dxa"/>
            <w:shd w:val="clear" w:color="auto" w:fill="auto"/>
            <w:noWrap/>
            <w:vAlign w:val="center"/>
          </w:tcPr>
          <w:p w14:paraId="065885B4" w14:textId="77777777" w:rsidR="00F103A8" w:rsidRPr="00C47F2F" w:rsidRDefault="00F103A8" w:rsidP="009A15D5">
            <w:pPr>
              <w:pStyle w:val="Table"/>
              <w:rPr>
                <w:noProof/>
                <w:sz w:val="20"/>
                <w:szCs w:val="20"/>
              </w:rPr>
            </w:pPr>
            <w:r w:rsidRPr="00C47F2F">
              <w:rPr>
                <w:noProof/>
                <w:sz w:val="20"/>
                <w:szCs w:val="20"/>
              </w:rPr>
              <w:t>1.63E+00</w:t>
            </w:r>
          </w:p>
        </w:tc>
        <w:tc>
          <w:tcPr>
            <w:tcW w:w="1029" w:type="dxa"/>
            <w:shd w:val="clear" w:color="auto" w:fill="auto"/>
            <w:noWrap/>
            <w:vAlign w:val="center"/>
          </w:tcPr>
          <w:p w14:paraId="0D0DFE78" w14:textId="77777777" w:rsidR="00F103A8" w:rsidRPr="00C47F2F" w:rsidRDefault="00F103A8" w:rsidP="009A15D5">
            <w:pPr>
              <w:pStyle w:val="Table"/>
              <w:rPr>
                <w:noProof/>
                <w:sz w:val="20"/>
                <w:szCs w:val="20"/>
              </w:rPr>
            </w:pPr>
            <w:r w:rsidRPr="00C47F2F">
              <w:rPr>
                <w:noProof/>
                <w:sz w:val="20"/>
                <w:szCs w:val="20"/>
              </w:rPr>
              <w:t>1.63E+00</w:t>
            </w:r>
          </w:p>
        </w:tc>
      </w:tr>
      <w:tr w:rsidR="00F103A8" w:rsidRPr="00972C81" w14:paraId="33AF1DE7" w14:textId="77777777" w:rsidTr="009A15D5">
        <w:trPr>
          <w:trHeight w:val="340"/>
        </w:trPr>
        <w:tc>
          <w:tcPr>
            <w:tcW w:w="2955" w:type="dxa"/>
            <w:shd w:val="clear" w:color="auto" w:fill="auto"/>
            <w:noWrap/>
            <w:vAlign w:val="center"/>
          </w:tcPr>
          <w:p w14:paraId="1B13154E" w14:textId="19EDD835" w:rsidR="00F103A8" w:rsidRPr="00F103A8" w:rsidRDefault="00F103A8" w:rsidP="009A15D5">
            <w:pPr>
              <w:pStyle w:val="Table"/>
              <w:rPr>
                <w:noProof/>
                <w:sz w:val="20"/>
                <w:szCs w:val="22"/>
              </w:rPr>
            </w:pPr>
            <w:r w:rsidRPr="00F103A8">
              <w:rPr>
                <w:noProof/>
                <w:sz w:val="20"/>
                <w:szCs w:val="22"/>
              </w:rPr>
              <w:t xml:space="preserve">Liver 1 to SI cont </w:t>
            </w:r>
          </w:p>
        </w:tc>
        <w:tc>
          <w:tcPr>
            <w:tcW w:w="1001" w:type="dxa"/>
            <w:shd w:val="clear" w:color="auto" w:fill="auto"/>
            <w:noWrap/>
            <w:vAlign w:val="center"/>
          </w:tcPr>
          <w:p w14:paraId="462522A2" w14:textId="77777777" w:rsidR="00F103A8" w:rsidRPr="00C47F2F" w:rsidRDefault="00F103A8" w:rsidP="009A15D5">
            <w:pPr>
              <w:pStyle w:val="Table"/>
              <w:rPr>
                <w:noProof/>
                <w:sz w:val="20"/>
                <w:szCs w:val="20"/>
              </w:rPr>
            </w:pPr>
            <w:r w:rsidRPr="00C47F2F">
              <w:rPr>
                <w:noProof/>
                <w:sz w:val="20"/>
                <w:szCs w:val="20"/>
              </w:rPr>
              <w:t>6.00E-04</w:t>
            </w:r>
          </w:p>
        </w:tc>
        <w:tc>
          <w:tcPr>
            <w:tcW w:w="1001" w:type="dxa"/>
            <w:shd w:val="clear" w:color="auto" w:fill="auto"/>
            <w:noWrap/>
            <w:vAlign w:val="center"/>
          </w:tcPr>
          <w:p w14:paraId="19AE7DC4" w14:textId="77777777" w:rsidR="00F103A8" w:rsidRPr="00C47F2F" w:rsidRDefault="00F103A8" w:rsidP="009A15D5">
            <w:pPr>
              <w:pStyle w:val="Table"/>
              <w:rPr>
                <w:noProof/>
                <w:sz w:val="20"/>
                <w:szCs w:val="20"/>
              </w:rPr>
            </w:pPr>
            <w:r w:rsidRPr="00C47F2F">
              <w:rPr>
                <w:noProof/>
                <w:sz w:val="20"/>
                <w:szCs w:val="20"/>
              </w:rPr>
              <w:t>6.00E-04</w:t>
            </w:r>
          </w:p>
        </w:tc>
        <w:tc>
          <w:tcPr>
            <w:tcW w:w="1039" w:type="dxa"/>
            <w:shd w:val="clear" w:color="auto" w:fill="auto"/>
            <w:noWrap/>
            <w:vAlign w:val="center"/>
          </w:tcPr>
          <w:p w14:paraId="561B84AB" w14:textId="77777777" w:rsidR="00F103A8" w:rsidRPr="00C47F2F" w:rsidRDefault="00F103A8" w:rsidP="009A15D5">
            <w:pPr>
              <w:pStyle w:val="Table"/>
              <w:rPr>
                <w:noProof/>
                <w:sz w:val="20"/>
                <w:szCs w:val="20"/>
              </w:rPr>
            </w:pPr>
            <w:r w:rsidRPr="00C47F2F">
              <w:rPr>
                <w:noProof/>
                <w:sz w:val="20"/>
                <w:szCs w:val="20"/>
              </w:rPr>
              <w:t>6.00E-04</w:t>
            </w:r>
          </w:p>
        </w:tc>
        <w:tc>
          <w:tcPr>
            <w:tcW w:w="1001" w:type="dxa"/>
            <w:shd w:val="clear" w:color="auto" w:fill="auto"/>
            <w:noWrap/>
            <w:vAlign w:val="center"/>
          </w:tcPr>
          <w:p w14:paraId="78BD845C" w14:textId="77777777" w:rsidR="00F103A8" w:rsidRPr="00C47F2F" w:rsidRDefault="00F103A8" w:rsidP="009A15D5">
            <w:pPr>
              <w:pStyle w:val="Table"/>
              <w:rPr>
                <w:noProof/>
                <w:sz w:val="20"/>
                <w:szCs w:val="20"/>
              </w:rPr>
            </w:pPr>
            <w:r w:rsidRPr="00C47F2F">
              <w:rPr>
                <w:noProof/>
                <w:sz w:val="20"/>
                <w:szCs w:val="20"/>
              </w:rPr>
              <w:t>6.00E-04</w:t>
            </w:r>
          </w:p>
        </w:tc>
        <w:tc>
          <w:tcPr>
            <w:tcW w:w="1001" w:type="dxa"/>
            <w:shd w:val="clear" w:color="auto" w:fill="auto"/>
            <w:noWrap/>
            <w:vAlign w:val="center"/>
          </w:tcPr>
          <w:p w14:paraId="198BC160" w14:textId="77777777" w:rsidR="00F103A8" w:rsidRPr="00C47F2F" w:rsidRDefault="00F103A8" w:rsidP="009A15D5">
            <w:pPr>
              <w:pStyle w:val="Table"/>
              <w:rPr>
                <w:noProof/>
                <w:sz w:val="20"/>
                <w:szCs w:val="20"/>
              </w:rPr>
            </w:pPr>
            <w:r w:rsidRPr="00C47F2F">
              <w:rPr>
                <w:noProof/>
                <w:sz w:val="20"/>
                <w:szCs w:val="20"/>
              </w:rPr>
              <w:t>6.00E-04</w:t>
            </w:r>
          </w:p>
        </w:tc>
        <w:tc>
          <w:tcPr>
            <w:tcW w:w="1029" w:type="dxa"/>
            <w:shd w:val="clear" w:color="auto" w:fill="auto"/>
            <w:noWrap/>
            <w:vAlign w:val="center"/>
          </w:tcPr>
          <w:p w14:paraId="21862E68" w14:textId="77777777" w:rsidR="00F103A8" w:rsidRPr="00C47F2F" w:rsidRDefault="00F103A8" w:rsidP="009A15D5">
            <w:pPr>
              <w:pStyle w:val="Table"/>
              <w:rPr>
                <w:noProof/>
                <w:sz w:val="20"/>
                <w:szCs w:val="20"/>
              </w:rPr>
            </w:pPr>
            <w:r w:rsidRPr="00C47F2F">
              <w:rPr>
                <w:noProof/>
                <w:sz w:val="20"/>
                <w:szCs w:val="20"/>
              </w:rPr>
              <w:t>6.00E-04</w:t>
            </w:r>
          </w:p>
        </w:tc>
      </w:tr>
      <w:tr w:rsidR="00F103A8" w:rsidRPr="00972C81" w14:paraId="3ED6203F" w14:textId="77777777" w:rsidTr="009A15D5">
        <w:trPr>
          <w:trHeight w:val="340"/>
        </w:trPr>
        <w:tc>
          <w:tcPr>
            <w:tcW w:w="2955" w:type="dxa"/>
            <w:shd w:val="clear" w:color="auto" w:fill="auto"/>
            <w:noWrap/>
            <w:vAlign w:val="center"/>
          </w:tcPr>
          <w:p w14:paraId="601B03C1" w14:textId="21D499F7" w:rsidR="00F103A8" w:rsidRPr="00F103A8" w:rsidRDefault="00F103A8" w:rsidP="009A15D5">
            <w:pPr>
              <w:pStyle w:val="Table"/>
              <w:rPr>
                <w:noProof/>
                <w:sz w:val="20"/>
                <w:szCs w:val="22"/>
              </w:rPr>
            </w:pPr>
            <w:r w:rsidRPr="00F103A8">
              <w:rPr>
                <w:noProof/>
                <w:sz w:val="20"/>
                <w:szCs w:val="22"/>
              </w:rPr>
              <w:t>Liver 1 to Liver 2</w:t>
            </w:r>
          </w:p>
        </w:tc>
        <w:tc>
          <w:tcPr>
            <w:tcW w:w="1001" w:type="dxa"/>
            <w:shd w:val="clear" w:color="auto" w:fill="auto"/>
            <w:noWrap/>
            <w:vAlign w:val="center"/>
          </w:tcPr>
          <w:p w14:paraId="076BDEFB" w14:textId="77777777" w:rsidR="00F103A8" w:rsidRPr="00C47F2F" w:rsidRDefault="00F103A8" w:rsidP="009A15D5">
            <w:pPr>
              <w:pStyle w:val="Table"/>
              <w:rPr>
                <w:noProof/>
                <w:sz w:val="20"/>
                <w:szCs w:val="20"/>
              </w:rPr>
            </w:pPr>
            <w:r w:rsidRPr="00C47F2F">
              <w:rPr>
                <w:noProof/>
                <w:sz w:val="20"/>
                <w:szCs w:val="20"/>
              </w:rPr>
              <w:t>2.25E-02</w:t>
            </w:r>
          </w:p>
        </w:tc>
        <w:tc>
          <w:tcPr>
            <w:tcW w:w="1001" w:type="dxa"/>
            <w:shd w:val="clear" w:color="auto" w:fill="auto"/>
            <w:noWrap/>
            <w:vAlign w:val="center"/>
          </w:tcPr>
          <w:p w14:paraId="5055EAD2" w14:textId="77777777" w:rsidR="00F103A8" w:rsidRPr="00C47F2F" w:rsidRDefault="00F103A8" w:rsidP="009A15D5">
            <w:pPr>
              <w:pStyle w:val="Table"/>
              <w:rPr>
                <w:noProof/>
                <w:sz w:val="20"/>
                <w:szCs w:val="20"/>
              </w:rPr>
            </w:pPr>
            <w:r w:rsidRPr="00C47F2F">
              <w:rPr>
                <w:noProof/>
                <w:sz w:val="20"/>
                <w:szCs w:val="20"/>
              </w:rPr>
              <w:t>2.25E-02</w:t>
            </w:r>
          </w:p>
        </w:tc>
        <w:tc>
          <w:tcPr>
            <w:tcW w:w="1039" w:type="dxa"/>
            <w:shd w:val="clear" w:color="auto" w:fill="auto"/>
            <w:noWrap/>
            <w:vAlign w:val="center"/>
          </w:tcPr>
          <w:p w14:paraId="0B1E5781" w14:textId="77777777" w:rsidR="00F103A8" w:rsidRPr="00C47F2F" w:rsidRDefault="00F103A8" w:rsidP="009A15D5">
            <w:pPr>
              <w:pStyle w:val="Table"/>
              <w:rPr>
                <w:noProof/>
                <w:sz w:val="20"/>
                <w:szCs w:val="20"/>
              </w:rPr>
            </w:pPr>
            <w:r w:rsidRPr="00C47F2F">
              <w:rPr>
                <w:noProof/>
                <w:sz w:val="20"/>
                <w:szCs w:val="20"/>
              </w:rPr>
              <w:t>2.25E-02</w:t>
            </w:r>
          </w:p>
        </w:tc>
        <w:tc>
          <w:tcPr>
            <w:tcW w:w="1001" w:type="dxa"/>
            <w:shd w:val="clear" w:color="auto" w:fill="auto"/>
            <w:noWrap/>
            <w:vAlign w:val="center"/>
          </w:tcPr>
          <w:p w14:paraId="260FA1D8" w14:textId="77777777" w:rsidR="00F103A8" w:rsidRPr="00C47F2F" w:rsidRDefault="00F103A8" w:rsidP="009A15D5">
            <w:pPr>
              <w:pStyle w:val="Table"/>
              <w:rPr>
                <w:noProof/>
                <w:sz w:val="20"/>
                <w:szCs w:val="20"/>
              </w:rPr>
            </w:pPr>
            <w:r w:rsidRPr="00C47F2F">
              <w:rPr>
                <w:noProof/>
                <w:sz w:val="20"/>
                <w:szCs w:val="20"/>
              </w:rPr>
              <w:t>2.25E-02</w:t>
            </w:r>
          </w:p>
        </w:tc>
        <w:tc>
          <w:tcPr>
            <w:tcW w:w="1001" w:type="dxa"/>
            <w:shd w:val="clear" w:color="auto" w:fill="auto"/>
            <w:noWrap/>
            <w:vAlign w:val="center"/>
          </w:tcPr>
          <w:p w14:paraId="40C094DD" w14:textId="77777777" w:rsidR="00F103A8" w:rsidRPr="00C47F2F" w:rsidRDefault="00F103A8" w:rsidP="009A15D5">
            <w:pPr>
              <w:pStyle w:val="Table"/>
              <w:rPr>
                <w:noProof/>
                <w:sz w:val="20"/>
                <w:szCs w:val="20"/>
              </w:rPr>
            </w:pPr>
            <w:r w:rsidRPr="00C47F2F">
              <w:rPr>
                <w:noProof/>
                <w:sz w:val="20"/>
                <w:szCs w:val="20"/>
              </w:rPr>
              <w:t>2.25E-02</w:t>
            </w:r>
          </w:p>
        </w:tc>
        <w:tc>
          <w:tcPr>
            <w:tcW w:w="1029" w:type="dxa"/>
            <w:shd w:val="clear" w:color="auto" w:fill="auto"/>
            <w:noWrap/>
            <w:vAlign w:val="center"/>
          </w:tcPr>
          <w:p w14:paraId="371BC15F" w14:textId="77777777" w:rsidR="00F103A8" w:rsidRPr="00C47F2F" w:rsidRDefault="00F103A8" w:rsidP="009A15D5">
            <w:pPr>
              <w:pStyle w:val="Table"/>
              <w:rPr>
                <w:noProof/>
                <w:sz w:val="20"/>
                <w:szCs w:val="20"/>
              </w:rPr>
            </w:pPr>
            <w:r w:rsidRPr="00C47F2F">
              <w:rPr>
                <w:noProof/>
                <w:sz w:val="20"/>
                <w:szCs w:val="20"/>
              </w:rPr>
              <w:t>2.25E-02</w:t>
            </w:r>
          </w:p>
        </w:tc>
      </w:tr>
      <w:tr w:rsidR="00F103A8" w:rsidRPr="00972C81" w14:paraId="29D61995" w14:textId="77777777" w:rsidTr="009A15D5">
        <w:trPr>
          <w:trHeight w:val="340"/>
        </w:trPr>
        <w:tc>
          <w:tcPr>
            <w:tcW w:w="2955" w:type="dxa"/>
            <w:shd w:val="clear" w:color="auto" w:fill="auto"/>
            <w:noWrap/>
            <w:vAlign w:val="center"/>
          </w:tcPr>
          <w:p w14:paraId="379FD659" w14:textId="0B79C48C" w:rsidR="00F103A8" w:rsidRPr="00F103A8" w:rsidRDefault="00F103A8" w:rsidP="009A15D5">
            <w:pPr>
              <w:pStyle w:val="Table"/>
              <w:rPr>
                <w:noProof/>
                <w:sz w:val="20"/>
                <w:szCs w:val="22"/>
              </w:rPr>
            </w:pPr>
            <w:r w:rsidRPr="00F103A8">
              <w:rPr>
                <w:noProof/>
                <w:sz w:val="20"/>
                <w:szCs w:val="22"/>
              </w:rPr>
              <w:t>Liver 2 to Blood</w:t>
            </w:r>
          </w:p>
        </w:tc>
        <w:tc>
          <w:tcPr>
            <w:tcW w:w="1001" w:type="dxa"/>
            <w:shd w:val="clear" w:color="auto" w:fill="auto"/>
            <w:noWrap/>
            <w:vAlign w:val="center"/>
          </w:tcPr>
          <w:p w14:paraId="09EED66C" w14:textId="77777777" w:rsidR="00F103A8" w:rsidRPr="00C47F2F" w:rsidRDefault="00F103A8" w:rsidP="009A15D5">
            <w:pPr>
              <w:pStyle w:val="Table"/>
              <w:rPr>
                <w:noProof/>
                <w:sz w:val="20"/>
                <w:szCs w:val="20"/>
              </w:rPr>
            </w:pPr>
            <w:r w:rsidRPr="00C47F2F">
              <w:rPr>
                <w:noProof/>
                <w:sz w:val="20"/>
                <w:szCs w:val="20"/>
              </w:rPr>
              <w:t>1.90E-03</w:t>
            </w:r>
          </w:p>
        </w:tc>
        <w:tc>
          <w:tcPr>
            <w:tcW w:w="1001" w:type="dxa"/>
            <w:shd w:val="clear" w:color="auto" w:fill="auto"/>
            <w:noWrap/>
            <w:vAlign w:val="center"/>
          </w:tcPr>
          <w:p w14:paraId="2AA4A8A7" w14:textId="77777777" w:rsidR="00F103A8" w:rsidRPr="00C47F2F" w:rsidRDefault="00F103A8" w:rsidP="009A15D5">
            <w:pPr>
              <w:pStyle w:val="Table"/>
              <w:rPr>
                <w:noProof/>
                <w:sz w:val="20"/>
                <w:szCs w:val="20"/>
              </w:rPr>
            </w:pPr>
            <w:r w:rsidRPr="00C47F2F">
              <w:rPr>
                <w:noProof/>
                <w:sz w:val="20"/>
                <w:szCs w:val="20"/>
              </w:rPr>
              <w:t>1.90E-03</w:t>
            </w:r>
          </w:p>
        </w:tc>
        <w:tc>
          <w:tcPr>
            <w:tcW w:w="1039" w:type="dxa"/>
            <w:shd w:val="clear" w:color="auto" w:fill="auto"/>
            <w:noWrap/>
            <w:vAlign w:val="center"/>
          </w:tcPr>
          <w:p w14:paraId="09E6EA16" w14:textId="77777777" w:rsidR="00F103A8" w:rsidRPr="00C47F2F" w:rsidRDefault="00F103A8" w:rsidP="009A15D5">
            <w:pPr>
              <w:pStyle w:val="Table"/>
              <w:rPr>
                <w:noProof/>
                <w:sz w:val="20"/>
                <w:szCs w:val="20"/>
              </w:rPr>
            </w:pPr>
            <w:r w:rsidRPr="00C47F2F">
              <w:rPr>
                <w:noProof/>
                <w:sz w:val="20"/>
                <w:szCs w:val="20"/>
              </w:rPr>
              <w:t>1.90E-03</w:t>
            </w:r>
          </w:p>
        </w:tc>
        <w:tc>
          <w:tcPr>
            <w:tcW w:w="1001" w:type="dxa"/>
            <w:shd w:val="clear" w:color="auto" w:fill="auto"/>
            <w:noWrap/>
            <w:vAlign w:val="center"/>
          </w:tcPr>
          <w:p w14:paraId="7AAEF22E" w14:textId="77777777" w:rsidR="00F103A8" w:rsidRPr="00C47F2F" w:rsidRDefault="00F103A8" w:rsidP="009A15D5">
            <w:pPr>
              <w:pStyle w:val="Table"/>
              <w:rPr>
                <w:noProof/>
                <w:sz w:val="20"/>
                <w:szCs w:val="20"/>
              </w:rPr>
            </w:pPr>
            <w:r w:rsidRPr="00C47F2F">
              <w:rPr>
                <w:noProof/>
                <w:sz w:val="20"/>
                <w:szCs w:val="20"/>
              </w:rPr>
              <w:t>1.90E-03</w:t>
            </w:r>
          </w:p>
        </w:tc>
        <w:tc>
          <w:tcPr>
            <w:tcW w:w="1001" w:type="dxa"/>
            <w:shd w:val="clear" w:color="auto" w:fill="auto"/>
            <w:noWrap/>
            <w:vAlign w:val="center"/>
          </w:tcPr>
          <w:p w14:paraId="248DC4A6" w14:textId="77777777" w:rsidR="00F103A8" w:rsidRPr="00C47F2F" w:rsidRDefault="00F103A8" w:rsidP="009A15D5">
            <w:pPr>
              <w:pStyle w:val="Table"/>
              <w:rPr>
                <w:noProof/>
                <w:sz w:val="20"/>
                <w:szCs w:val="20"/>
              </w:rPr>
            </w:pPr>
            <w:r w:rsidRPr="00C47F2F">
              <w:rPr>
                <w:noProof/>
                <w:sz w:val="20"/>
                <w:szCs w:val="20"/>
              </w:rPr>
              <w:t>1.90E-03</w:t>
            </w:r>
          </w:p>
        </w:tc>
        <w:tc>
          <w:tcPr>
            <w:tcW w:w="1029" w:type="dxa"/>
            <w:shd w:val="clear" w:color="auto" w:fill="auto"/>
            <w:noWrap/>
            <w:vAlign w:val="center"/>
          </w:tcPr>
          <w:p w14:paraId="6DBDEA65" w14:textId="77777777" w:rsidR="00F103A8" w:rsidRPr="00C47F2F" w:rsidRDefault="00F103A8" w:rsidP="009A15D5">
            <w:pPr>
              <w:pStyle w:val="Table"/>
              <w:rPr>
                <w:noProof/>
                <w:sz w:val="20"/>
                <w:szCs w:val="20"/>
              </w:rPr>
            </w:pPr>
            <w:r w:rsidRPr="00C47F2F">
              <w:rPr>
                <w:noProof/>
                <w:sz w:val="20"/>
                <w:szCs w:val="20"/>
              </w:rPr>
              <w:t>1.90E-03</w:t>
            </w:r>
          </w:p>
        </w:tc>
      </w:tr>
      <w:tr w:rsidR="00F103A8" w:rsidRPr="00972C81" w14:paraId="1CAAA4F9" w14:textId="77777777" w:rsidTr="009A15D5">
        <w:trPr>
          <w:trHeight w:val="340"/>
        </w:trPr>
        <w:tc>
          <w:tcPr>
            <w:tcW w:w="2955" w:type="dxa"/>
            <w:shd w:val="clear" w:color="auto" w:fill="auto"/>
            <w:noWrap/>
            <w:vAlign w:val="center"/>
          </w:tcPr>
          <w:p w14:paraId="15A02A65" w14:textId="3DA20A32" w:rsidR="00F103A8" w:rsidRPr="00F103A8" w:rsidRDefault="00F103A8" w:rsidP="009A15D5">
            <w:pPr>
              <w:pStyle w:val="Table"/>
              <w:rPr>
                <w:noProof/>
                <w:sz w:val="20"/>
                <w:szCs w:val="22"/>
              </w:rPr>
            </w:pPr>
            <w:r w:rsidRPr="00F103A8">
              <w:rPr>
                <w:noProof/>
                <w:sz w:val="20"/>
                <w:szCs w:val="22"/>
              </w:rPr>
              <w:t>ST0 to Blood</w:t>
            </w:r>
          </w:p>
        </w:tc>
        <w:tc>
          <w:tcPr>
            <w:tcW w:w="1001" w:type="dxa"/>
            <w:shd w:val="clear" w:color="auto" w:fill="auto"/>
            <w:noWrap/>
            <w:vAlign w:val="center"/>
          </w:tcPr>
          <w:p w14:paraId="3C87202F" w14:textId="77777777" w:rsidR="00F103A8" w:rsidRPr="00C47F2F" w:rsidRDefault="00F103A8" w:rsidP="009A15D5">
            <w:pPr>
              <w:pStyle w:val="Table"/>
              <w:rPr>
                <w:noProof/>
                <w:sz w:val="20"/>
                <w:szCs w:val="20"/>
              </w:rPr>
            </w:pPr>
            <w:r w:rsidRPr="00C47F2F">
              <w:rPr>
                <w:noProof/>
                <w:sz w:val="20"/>
                <w:szCs w:val="20"/>
              </w:rPr>
              <w:t>1.39E+00</w:t>
            </w:r>
          </w:p>
        </w:tc>
        <w:tc>
          <w:tcPr>
            <w:tcW w:w="1001" w:type="dxa"/>
            <w:shd w:val="clear" w:color="auto" w:fill="auto"/>
            <w:noWrap/>
            <w:vAlign w:val="center"/>
          </w:tcPr>
          <w:p w14:paraId="26EA8D75" w14:textId="77777777" w:rsidR="00F103A8" w:rsidRPr="00C47F2F" w:rsidRDefault="00F103A8" w:rsidP="009A15D5">
            <w:pPr>
              <w:pStyle w:val="Table"/>
              <w:rPr>
                <w:noProof/>
                <w:sz w:val="20"/>
                <w:szCs w:val="20"/>
              </w:rPr>
            </w:pPr>
            <w:r w:rsidRPr="00C47F2F">
              <w:rPr>
                <w:noProof/>
                <w:sz w:val="20"/>
                <w:szCs w:val="20"/>
              </w:rPr>
              <w:t>1.39E+00</w:t>
            </w:r>
          </w:p>
        </w:tc>
        <w:tc>
          <w:tcPr>
            <w:tcW w:w="1039" w:type="dxa"/>
            <w:shd w:val="clear" w:color="auto" w:fill="auto"/>
            <w:noWrap/>
            <w:vAlign w:val="center"/>
          </w:tcPr>
          <w:p w14:paraId="0F4187F1" w14:textId="77777777" w:rsidR="00F103A8" w:rsidRPr="00C47F2F" w:rsidRDefault="00F103A8" w:rsidP="009A15D5">
            <w:pPr>
              <w:pStyle w:val="Table"/>
              <w:rPr>
                <w:noProof/>
                <w:sz w:val="20"/>
                <w:szCs w:val="20"/>
              </w:rPr>
            </w:pPr>
            <w:r w:rsidRPr="00C47F2F">
              <w:rPr>
                <w:noProof/>
                <w:sz w:val="20"/>
                <w:szCs w:val="20"/>
              </w:rPr>
              <w:t>1.39E+00</w:t>
            </w:r>
          </w:p>
        </w:tc>
        <w:tc>
          <w:tcPr>
            <w:tcW w:w="1001" w:type="dxa"/>
            <w:shd w:val="clear" w:color="auto" w:fill="auto"/>
            <w:noWrap/>
            <w:vAlign w:val="center"/>
          </w:tcPr>
          <w:p w14:paraId="6008D222" w14:textId="77777777" w:rsidR="00F103A8" w:rsidRPr="00C47F2F" w:rsidRDefault="00F103A8" w:rsidP="009A15D5">
            <w:pPr>
              <w:pStyle w:val="Table"/>
              <w:rPr>
                <w:noProof/>
                <w:sz w:val="20"/>
                <w:szCs w:val="20"/>
              </w:rPr>
            </w:pPr>
            <w:r w:rsidRPr="00C47F2F">
              <w:rPr>
                <w:noProof/>
                <w:sz w:val="20"/>
                <w:szCs w:val="20"/>
              </w:rPr>
              <w:t>1.39E+00</w:t>
            </w:r>
          </w:p>
        </w:tc>
        <w:tc>
          <w:tcPr>
            <w:tcW w:w="1001" w:type="dxa"/>
            <w:shd w:val="clear" w:color="auto" w:fill="auto"/>
            <w:noWrap/>
            <w:vAlign w:val="center"/>
          </w:tcPr>
          <w:p w14:paraId="4D725B49" w14:textId="77777777" w:rsidR="00F103A8" w:rsidRPr="00C47F2F" w:rsidRDefault="00F103A8" w:rsidP="009A15D5">
            <w:pPr>
              <w:pStyle w:val="Table"/>
              <w:rPr>
                <w:noProof/>
                <w:sz w:val="20"/>
                <w:szCs w:val="20"/>
              </w:rPr>
            </w:pPr>
            <w:r w:rsidRPr="00C47F2F">
              <w:rPr>
                <w:noProof/>
                <w:sz w:val="20"/>
                <w:szCs w:val="20"/>
              </w:rPr>
              <w:t>1.39E+00</w:t>
            </w:r>
          </w:p>
        </w:tc>
        <w:tc>
          <w:tcPr>
            <w:tcW w:w="1029" w:type="dxa"/>
            <w:shd w:val="clear" w:color="auto" w:fill="auto"/>
            <w:noWrap/>
            <w:vAlign w:val="center"/>
          </w:tcPr>
          <w:p w14:paraId="3724DFCE" w14:textId="77777777" w:rsidR="00F103A8" w:rsidRPr="00C47F2F" w:rsidRDefault="00F103A8" w:rsidP="009A15D5">
            <w:pPr>
              <w:pStyle w:val="Table"/>
              <w:rPr>
                <w:noProof/>
                <w:sz w:val="20"/>
                <w:szCs w:val="20"/>
              </w:rPr>
            </w:pPr>
            <w:r w:rsidRPr="00C47F2F">
              <w:rPr>
                <w:noProof/>
                <w:sz w:val="20"/>
                <w:szCs w:val="20"/>
              </w:rPr>
              <w:t>1.39E+00</w:t>
            </w:r>
          </w:p>
        </w:tc>
      </w:tr>
      <w:tr w:rsidR="00F103A8" w:rsidRPr="00972C81" w14:paraId="5FF5C77B" w14:textId="77777777" w:rsidTr="009A15D5">
        <w:trPr>
          <w:trHeight w:val="340"/>
        </w:trPr>
        <w:tc>
          <w:tcPr>
            <w:tcW w:w="2955" w:type="dxa"/>
            <w:shd w:val="clear" w:color="auto" w:fill="auto"/>
            <w:noWrap/>
            <w:vAlign w:val="center"/>
          </w:tcPr>
          <w:p w14:paraId="5987B4B4" w14:textId="0C6DF7FC" w:rsidR="00F103A8" w:rsidRPr="00F103A8" w:rsidRDefault="00F103A8" w:rsidP="009A15D5">
            <w:pPr>
              <w:pStyle w:val="Table"/>
              <w:rPr>
                <w:noProof/>
                <w:sz w:val="20"/>
                <w:szCs w:val="22"/>
              </w:rPr>
            </w:pPr>
            <w:r w:rsidRPr="00F103A8">
              <w:rPr>
                <w:noProof/>
                <w:sz w:val="20"/>
                <w:szCs w:val="22"/>
              </w:rPr>
              <w:t>ST1 to Blood</w:t>
            </w:r>
          </w:p>
        </w:tc>
        <w:tc>
          <w:tcPr>
            <w:tcW w:w="1001" w:type="dxa"/>
            <w:shd w:val="clear" w:color="auto" w:fill="auto"/>
            <w:noWrap/>
            <w:vAlign w:val="center"/>
          </w:tcPr>
          <w:p w14:paraId="462C4BD6" w14:textId="77777777" w:rsidR="00F103A8" w:rsidRPr="00C47F2F" w:rsidRDefault="00F103A8" w:rsidP="009A15D5">
            <w:pPr>
              <w:pStyle w:val="Table"/>
              <w:rPr>
                <w:noProof/>
                <w:sz w:val="20"/>
                <w:szCs w:val="20"/>
              </w:rPr>
            </w:pPr>
            <w:r w:rsidRPr="00C47F2F">
              <w:rPr>
                <w:noProof/>
                <w:sz w:val="20"/>
                <w:szCs w:val="20"/>
              </w:rPr>
              <w:t>1.39E-02</w:t>
            </w:r>
          </w:p>
        </w:tc>
        <w:tc>
          <w:tcPr>
            <w:tcW w:w="1001" w:type="dxa"/>
            <w:shd w:val="clear" w:color="auto" w:fill="auto"/>
            <w:noWrap/>
            <w:vAlign w:val="center"/>
          </w:tcPr>
          <w:p w14:paraId="2C66208B" w14:textId="77777777" w:rsidR="00F103A8" w:rsidRPr="00C47F2F" w:rsidRDefault="00F103A8" w:rsidP="009A15D5">
            <w:pPr>
              <w:pStyle w:val="Table"/>
              <w:rPr>
                <w:noProof/>
                <w:sz w:val="20"/>
                <w:szCs w:val="20"/>
              </w:rPr>
            </w:pPr>
            <w:r w:rsidRPr="00C47F2F">
              <w:rPr>
                <w:noProof/>
                <w:sz w:val="20"/>
                <w:szCs w:val="20"/>
              </w:rPr>
              <w:t>1.39E-02</w:t>
            </w:r>
          </w:p>
        </w:tc>
        <w:tc>
          <w:tcPr>
            <w:tcW w:w="1039" w:type="dxa"/>
            <w:shd w:val="clear" w:color="auto" w:fill="auto"/>
            <w:noWrap/>
            <w:vAlign w:val="center"/>
          </w:tcPr>
          <w:p w14:paraId="64FB3921" w14:textId="77777777" w:rsidR="00F103A8" w:rsidRPr="00C47F2F" w:rsidRDefault="00F103A8" w:rsidP="009A15D5">
            <w:pPr>
              <w:pStyle w:val="Table"/>
              <w:rPr>
                <w:noProof/>
                <w:sz w:val="20"/>
                <w:szCs w:val="20"/>
              </w:rPr>
            </w:pPr>
            <w:r w:rsidRPr="00C47F2F">
              <w:rPr>
                <w:noProof/>
                <w:sz w:val="20"/>
                <w:szCs w:val="20"/>
              </w:rPr>
              <w:t>1.39E-02</w:t>
            </w:r>
          </w:p>
        </w:tc>
        <w:tc>
          <w:tcPr>
            <w:tcW w:w="1001" w:type="dxa"/>
            <w:shd w:val="clear" w:color="auto" w:fill="auto"/>
            <w:noWrap/>
            <w:vAlign w:val="center"/>
          </w:tcPr>
          <w:p w14:paraId="14CB8F84" w14:textId="77777777" w:rsidR="00F103A8" w:rsidRPr="00C47F2F" w:rsidRDefault="00F103A8" w:rsidP="009A15D5">
            <w:pPr>
              <w:pStyle w:val="Table"/>
              <w:rPr>
                <w:noProof/>
                <w:sz w:val="20"/>
                <w:szCs w:val="20"/>
              </w:rPr>
            </w:pPr>
            <w:r w:rsidRPr="00C47F2F">
              <w:rPr>
                <w:noProof/>
                <w:sz w:val="20"/>
                <w:szCs w:val="20"/>
              </w:rPr>
              <w:t>1.39E-02</w:t>
            </w:r>
          </w:p>
        </w:tc>
        <w:tc>
          <w:tcPr>
            <w:tcW w:w="1001" w:type="dxa"/>
            <w:shd w:val="clear" w:color="auto" w:fill="auto"/>
            <w:noWrap/>
            <w:vAlign w:val="center"/>
          </w:tcPr>
          <w:p w14:paraId="604D7D57" w14:textId="77777777" w:rsidR="00F103A8" w:rsidRPr="00C47F2F" w:rsidRDefault="00F103A8" w:rsidP="009A15D5">
            <w:pPr>
              <w:pStyle w:val="Table"/>
              <w:rPr>
                <w:noProof/>
                <w:sz w:val="20"/>
                <w:szCs w:val="20"/>
              </w:rPr>
            </w:pPr>
            <w:r w:rsidRPr="00C47F2F">
              <w:rPr>
                <w:noProof/>
                <w:sz w:val="20"/>
                <w:szCs w:val="20"/>
              </w:rPr>
              <w:t>1.39E-02</w:t>
            </w:r>
          </w:p>
        </w:tc>
        <w:tc>
          <w:tcPr>
            <w:tcW w:w="1029" w:type="dxa"/>
            <w:shd w:val="clear" w:color="auto" w:fill="auto"/>
            <w:noWrap/>
            <w:vAlign w:val="center"/>
          </w:tcPr>
          <w:p w14:paraId="17CE49E6" w14:textId="77777777" w:rsidR="00F103A8" w:rsidRPr="00C47F2F" w:rsidRDefault="00F103A8" w:rsidP="009A15D5">
            <w:pPr>
              <w:pStyle w:val="Table"/>
              <w:rPr>
                <w:noProof/>
                <w:sz w:val="20"/>
                <w:szCs w:val="20"/>
              </w:rPr>
            </w:pPr>
            <w:r w:rsidRPr="00C47F2F">
              <w:rPr>
                <w:noProof/>
                <w:sz w:val="20"/>
                <w:szCs w:val="20"/>
              </w:rPr>
              <w:t>1.39E-02</w:t>
            </w:r>
          </w:p>
        </w:tc>
      </w:tr>
      <w:tr w:rsidR="00F103A8" w:rsidRPr="00972C81" w14:paraId="08723041" w14:textId="77777777" w:rsidTr="009A15D5">
        <w:trPr>
          <w:trHeight w:val="340"/>
        </w:trPr>
        <w:tc>
          <w:tcPr>
            <w:tcW w:w="2955" w:type="dxa"/>
            <w:shd w:val="clear" w:color="auto" w:fill="auto"/>
            <w:noWrap/>
            <w:vAlign w:val="center"/>
          </w:tcPr>
          <w:p w14:paraId="72F2AC19" w14:textId="71CF2D86" w:rsidR="00F103A8" w:rsidRPr="00F103A8" w:rsidRDefault="00F103A8" w:rsidP="009A15D5">
            <w:pPr>
              <w:pStyle w:val="Table"/>
              <w:rPr>
                <w:noProof/>
                <w:sz w:val="20"/>
                <w:szCs w:val="22"/>
              </w:rPr>
            </w:pPr>
            <w:r w:rsidRPr="00F103A8">
              <w:rPr>
                <w:noProof/>
                <w:sz w:val="20"/>
                <w:szCs w:val="22"/>
              </w:rPr>
              <w:t>ST2 to Blood</w:t>
            </w:r>
          </w:p>
        </w:tc>
        <w:tc>
          <w:tcPr>
            <w:tcW w:w="1001" w:type="dxa"/>
            <w:shd w:val="clear" w:color="auto" w:fill="auto"/>
            <w:noWrap/>
            <w:vAlign w:val="center"/>
          </w:tcPr>
          <w:p w14:paraId="62C122EE" w14:textId="77777777" w:rsidR="00F103A8" w:rsidRPr="00C47F2F" w:rsidRDefault="00F103A8" w:rsidP="009A15D5">
            <w:pPr>
              <w:pStyle w:val="Table"/>
              <w:rPr>
                <w:noProof/>
                <w:sz w:val="20"/>
                <w:szCs w:val="20"/>
              </w:rPr>
            </w:pPr>
            <w:r w:rsidRPr="00C47F2F">
              <w:rPr>
                <w:noProof/>
                <w:sz w:val="20"/>
                <w:szCs w:val="20"/>
              </w:rPr>
              <w:t>1.90E-05</w:t>
            </w:r>
          </w:p>
        </w:tc>
        <w:tc>
          <w:tcPr>
            <w:tcW w:w="1001" w:type="dxa"/>
            <w:shd w:val="clear" w:color="auto" w:fill="auto"/>
            <w:noWrap/>
            <w:vAlign w:val="center"/>
          </w:tcPr>
          <w:p w14:paraId="2665FB39" w14:textId="77777777" w:rsidR="00F103A8" w:rsidRPr="00C47F2F" w:rsidRDefault="00F103A8" w:rsidP="009A15D5">
            <w:pPr>
              <w:pStyle w:val="Table"/>
              <w:rPr>
                <w:noProof/>
                <w:sz w:val="20"/>
                <w:szCs w:val="20"/>
              </w:rPr>
            </w:pPr>
            <w:r w:rsidRPr="00C47F2F">
              <w:rPr>
                <w:noProof/>
                <w:sz w:val="20"/>
                <w:szCs w:val="20"/>
              </w:rPr>
              <w:t>1.90E-05</w:t>
            </w:r>
          </w:p>
        </w:tc>
        <w:tc>
          <w:tcPr>
            <w:tcW w:w="1039" w:type="dxa"/>
            <w:shd w:val="clear" w:color="auto" w:fill="auto"/>
            <w:noWrap/>
            <w:vAlign w:val="center"/>
          </w:tcPr>
          <w:p w14:paraId="31638FBA" w14:textId="77777777" w:rsidR="00F103A8" w:rsidRPr="00C47F2F" w:rsidRDefault="00F103A8" w:rsidP="009A15D5">
            <w:pPr>
              <w:pStyle w:val="Table"/>
              <w:rPr>
                <w:noProof/>
                <w:sz w:val="20"/>
                <w:szCs w:val="20"/>
              </w:rPr>
            </w:pPr>
            <w:r w:rsidRPr="00C47F2F">
              <w:rPr>
                <w:noProof/>
                <w:sz w:val="20"/>
                <w:szCs w:val="20"/>
              </w:rPr>
              <w:t>1.90E-05</w:t>
            </w:r>
          </w:p>
        </w:tc>
        <w:tc>
          <w:tcPr>
            <w:tcW w:w="1001" w:type="dxa"/>
            <w:shd w:val="clear" w:color="auto" w:fill="auto"/>
            <w:noWrap/>
            <w:vAlign w:val="center"/>
          </w:tcPr>
          <w:p w14:paraId="538D9A20" w14:textId="77777777" w:rsidR="00F103A8" w:rsidRPr="00C47F2F" w:rsidRDefault="00F103A8" w:rsidP="009A15D5">
            <w:pPr>
              <w:pStyle w:val="Table"/>
              <w:rPr>
                <w:noProof/>
                <w:sz w:val="20"/>
                <w:szCs w:val="20"/>
              </w:rPr>
            </w:pPr>
            <w:r w:rsidRPr="00C47F2F">
              <w:rPr>
                <w:noProof/>
                <w:sz w:val="20"/>
                <w:szCs w:val="20"/>
              </w:rPr>
              <w:t>1.90E-05</w:t>
            </w:r>
          </w:p>
        </w:tc>
        <w:tc>
          <w:tcPr>
            <w:tcW w:w="1001" w:type="dxa"/>
            <w:shd w:val="clear" w:color="auto" w:fill="auto"/>
            <w:noWrap/>
            <w:vAlign w:val="center"/>
          </w:tcPr>
          <w:p w14:paraId="7A5EA95E" w14:textId="77777777" w:rsidR="00F103A8" w:rsidRPr="00C47F2F" w:rsidRDefault="00F103A8" w:rsidP="009A15D5">
            <w:pPr>
              <w:pStyle w:val="Table"/>
              <w:rPr>
                <w:noProof/>
                <w:sz w:val="20"/>
                <w:szCs w:val="20"/>
              </w:rPr>
            </w:pPr>
            <w:r w:rsidRPr="00C47F2F">
              <w:rPr>
                <w:noProof/>
                <w:sz w:val="20"/>
                <w:szCs w:val="20"/>
              </w:rPr>
              <w:t>1.90E-05</w:t>
            </w:r>
          </w:p>
        </w:tc>
        <w:tc>
          <w:tcPr>
            <w:tcW w:w="1029" w:type="dxa"/>
            <w:shd w:val="clear" w:color="auto" w:fill="auto"/>
            <w:noWrap/>
            <w:vAlign w:val="center"/>
          </w:tcPr>
          <w:p w14:paraId="1C9482FF" w14:textId="77777777" w:rsidR="00F103A8" w:rsidRPr="00C47F2F" w:rsidRDefault="00F103A8" w:rsidP="009A15D5">
            <w:pPr>
              <w:pStyle w:val="Table"/>
              <w:rPr>
                <w:noProof/>
                <w:sz w:val="20"/>
                <w:szCs w:val="20"/>
              </w:rPr>
            </w:pPr>
            <w:r w:rsidRPr="00C47F2F">
              <w:rPr>
                <w:noProof/>
                <w:sz w:val="20"/>
                <w:szCs w:val="20"/>
              </w:rPr>
              <w:t>1.90E-05</w:t>
            </w:r>
          </w:p>
        </w:tc>
      </w:tr>
      <w:tr w:rsidR="00F103A8" w:rsidRPr="00972C81" w14:paraId="082A5DEA" w14:textId="77777777" w:rsidTr="009A15D5">
        <w:trPr>
          <w:trHeight w:val="340"/>
        </w:trPr>
        <w:tc>
          <w:tcPr>
            <w:tcW w:w="2955" w:type="dxa"/>
            <w:shd w:val="clear" w:color="auto" w:fill="auto"/>
            <w:noWrap/>
            <w:vAlign w:val="center"/>
          </w:tcPr>
          <w:p w14:paraId="1FB1E942" w14:textId="3CE74D63" w:rsidR="00F103A8" w:rsidRPr="00F103A8" w:rsidRDefault="00F103A8" w:rsidP="009A15D5">
            <w:pPr>
              <w:pStyle w:val="Table"/>
              <w:rPr>
                <w:noProof/>
                <w:sz w:val="20"/>
                <w:szCs w:val="22"/>
              </w:rPr>
            </w:pPr>
            <w:r w:rsidRPr="00F103A8">
              <w:rPr>
                <w:noProof/>
                <w:sz w:val="20"/>
                <w:szCs w:val="22"/>
              </w:rPr>
              <w:t>Cort marrow to Blood</w:t>
            </w:r>
          </w:p>
        </w:tc>
        <w:tc>
          <w:tcPr>
            <w:tcW w:w="1001" w:type="dxa"/>
            <w:shd w:val="clear" w:color="auto" w:fill="auto"/>
            <w:noWrap/>
            <w:vAlign w:val="center"/>
          </w:tcPr>
          <w:p w14:paraId="074E52EF" w14:textId="77777777" w:rsidR="00F103A8" w:rsidRPr="00C47F2F" w:rsidRDefault="00F103A8" w:rsidP="009A15D5">
            <w:pPr>
              <w:pStyle w:val="Table"/>
              <w:rPr>
                <w:noProof/>
                <w:sz w:val="20"/>
                <w:szCs w:val="20"/>
              </w:rPr>
            </w:pPr>
            <w:r w:rsidRPr="00C47F2F">
              <w:rPr>
                <w:noProof/>
                <w:sz w:val="20"/>
                <w:szCs w:val="20"/>
              </w:rPr>
              <w:t>7.60E-03</w:t>
            </w:r>
          </w:p>
        </w:tc>
        <w:tc>
          <w:tcPr>
            <w:tcW w:w="1001" w:type="dxa"/>
            <w:shd w:val="clear" w:color="auto" w:fill="auto"/>
            <w:noWrap/>
            <w:vAlign w:val="center"/>
          </w:tcPr>
          <w:p w14:paraId="62D05903" w14:textId="77777777" w:rsidR="00F103A8" w:rsidRPr="00C47F2F" w:rsidRDefault="00F103A8" w:rsidP="009A15D5">
            <w:pPr>
              <w:pStyle w:val="Table"/>
              <w:rPr>
                <w:noProof/>
                <w:sz w:val="20"/>
                <w:szCs w:val="20"/>
              </w:rPr>
            </w:pPr>
            <w:r w:rsidRPr="00C47F2F">
              <w:rPr>
                <w:noProof/>
                <w:sz w:val="20"/>
                <w:szCs w:val="20"/>
              </w:rPr>
              <w:t>7.60E-03</w:t>
            </w:r>
          </w:p>
        </w:tc>
        <w:tc>
          <w:tcPr>
            <w:tcW w:w="1039" w:type="dxa"/>
            <w:shd w:val="clear" w:color="auto" w:fill="auto"/>
            <w:noWrap/>
            <w:vAlign w:val="center"/>
          </w:tcPr>
          <w:p w14:paraId="6DF3BF26" w14:textId="77777777" w:rsidR="00F103A8" w:rsidRPr="00C47F2F" w:rsidRDefault="00F103A8" w:rsidP="009A15D5">
            <w:pPr>
              <w:pStyle w:val="Table"/>
              <w:rPr>
                <w:noProof/>
                <w:sz w:val="20"/>
                <w:szCs w:val="20"/>
              </w:rPr>
            </w:pPr>
            <w:r w:rsidRPr="00C47F2F">
              <w:rPr>
                <w:noProof/>
                <w:sz w:val="20"/>
                <w:szCs w:val="20"/>
              </w:rPr>
              <w:t>7.60E-03</w:t>
            </w:r>
          </w:p>
        </w:tc>
        <w:tc>
          <w:tcPr>
            <w:tcW w:w="1001" w:type="dxa"/>
            <w:shd w:val="clear" w:color="auto" w:fill="auto"/>
            <w:noWrap/>
            <w:vAlign w:val="center"/>
          </w:tcPr>
          <w:p w14:paraId="3AF906B2" w14:textId="77777777" w:rsidR="00F103A8" w:rsidRPr="00C47F2F" w:rsidRDefault="00F103A8" w:rsidP="009A15D5">
            <w:pPr>
              <w:pStyle w:val="Table"/>
              <w:rPr>
                <w:noProof/>
                <w:sz w:val="20"/>
                <w:szCs w:val="20"/>
              </w:rPr>
            </w:pPr>
            <w:r w:rsidRPr="00C47F2F">
              <w:rPr>
                <w:noProof/>
                <w:sz w:val="20"/>
                <w:szCs w:val="20"/>
              </w:rPr>
              <w:t>7.60E-03</w:t>
            </w:r>
          </w:p>
        </w:tc>
        <w:tc>
          <w:tcPr>
            <w:tcW w:w="1001" w:type="dxa"/>
            <w:shd w:val="clear" w:color="auto" w:fill="auto"/>
            <w:noWrap/>
            <w:vAlign w:val="center"/>
          </w:tcPr>
          <w:p w14:paraId="7E82B819" w14:textId="77777777" w:rsidR="00F103A8" w:rsidRPr="00C47F2F" w:rsidRDefault="00F103A8" w:rsidP="009A15D5">
            <w:pPr>
              <w:pStyle w:val="Table"/>
              <w:rPr>
                <w:noProof/>
                <w:sz w:val="20"/>
                <w:szCs w:val="20"/>
              </w:rPr>
            </w:pPr>
            <w:r w:rsidRPr="00C47F2F">
              <w:rPr>
                <w:noProof/>
                <w:sz w:val="20"/>
                <w:szCs w:val="20"/>
              </w:rPr>
              <w:t>7.60E-03</w:t>
            </w:r>
          </w:p>
        </w:tc>
        <w:tc>
          <w:tcPr>
            <w:tcW w:w="1029" w:type="dxa"/>
            <w:shd w:val="clear" w:color="auto" w:fill="auto"/>
            <w:noWrap/>
            <w:vAlign w:val="center"/>
          </w:tcPr>
          <w:p w14:paraId="77DD8453" w14:textId="77777777" w:rsidR="00F103A8" w:rsidRPr="00C47F2F" w:rsidRDefault="00F103A8" w:rsidP="009A15D5">
            <w:pPr>
              <w:pStyle w:val="Table"/>
              <w:rPr>
                <w:noProof/>
                <w:sz w:val="20"/>
                <w:szCs w:val="20"/>
              </w:rPr>
            </w:pPr>
            <w:r w:rsidRPr="00C47F2F">
              <w:rPr>
                <w:noProof/>
                <w:sz w:val="20"/>
                <w:szCs w:val="20"/>
              </w:rPr>
              <w:t>2.53E-03</w:t>
            </w:r>
          </w:p>
        </w:tc>
      </w:tr>
      <w:tr w:rsidR="00F103A8" w:rsidRPr="00972C81" w14:paraId="59DE23F7" w14:textId="77777777" w:rsidTr="009A15D5">
        <w:trPr>
          <w:trHeight w:val="340"/>
        </w:trPr>
        <w:tc>
          <w:tcPr>
            <w:tcW w:w="2955" w:type="dxa"/>
            <w:shd w:val="clear" w:color="auto" w:fill="auto"/>
            <w:noWrap/>
            <w:vAlign w:val="center"/>
          </w:tcPr>
          <w:p w14:paraId="5C6193ED" w14:textId="159ADBB0" w:rsidR="00F103A8" w:rsidRPr="00F103A8" w:rsidRDefault="00F103A8" w:rsidP="009A15D5">
            <w:pPr>
              <w:pStyle w:val="Table"/>
              <w:rPr>
                <w:noProof/>
                <w:sz w:val="20"/>
                <w:szCs w:val="22"/>
              </w:rPr>
            </w:pPr>
            <w:r w:rsidRPr="00F103A8">
              <w:rPr>
                <w:noProof/>
                <w:sz w:val="20"/>
                <w:szCs w:val="22"/>
              </w:rPr>
              <w:t xml:space="preserve">Cort marrow to Cort bone surf </w:t>
            </w:r>
          </w:p>
        </w:tc>
        <w:tc>
          <w:tcPr>
            <w:tcW w:w="1001" w:type="dxa"/>
            <w:shd w:val="clear" w:color="auto" w:fill="auto"/>
            <w:noWrap/>
            <w:vAlign w:val="center"/>
          </w:tcPr>
          <w:p w14:paraId="2674D499" w14:textId="77777777" w:rsidR="00F103A8" w:rsidRPr="00C47F2F" w:rsidRDefault="00F103A8" w:rsidP="009A15D5">
            <w:pPr>
              <w:pStyle w:val="Table"/>
              <w:rPr>
                <w:noProof/>
                <w:sz w:val="20"/>
                <w:szCs w:val="20"/>
              </w:rPr>
            </w:pPr>
            <w:r w:rsidRPr="00C47F2F">
              <w:rPr>
                <w:noProof/>
                <w:sz w:val="20"/>
                <w:szCs w:val="20"/>
              </w:rPr>
              <w:t>0.00E+00</w:t>
            </w:r>
          </w:p>
        </w:tc>
        <w:tc>
          <w:tcPr>
            <w:tcW w:w="1001" w:type="dxa"/>
            <w:shd w:val="clear" w:color="auto" w:fill="auto"/>
            <w:noWrap/>
            <w:vAlign w:val="center"/>
          </w:tcPr>
          <w:p w14:paraId="6B0CC1D4" w14:textId="77777777" w:rsidR="00F103A8" w:rsidRPr="00C47F2F" w:rsidRDefault="00F103A8" w:rsidP="009A15D5">
            <w:pPr>
              <w:pStyle w:val="Table"/>
              <w:rPr>
                <w:noProof/>
                <w:sz w:val="20"/>
                <w:szCs w:val="20"/>
              </w:rPr>
            </w:pPr>
            <w:r w:rsidRPr="00C47F2F">
              <w:rPr>
                <w:noProof/>
                <w:sz w:val="20"/>
                <w:szCs w:val="20"/>
              </w:rPr>
              <w:t>0.00E+00</w:t>
            </w:r>
          </w:p>
        </w:tc>
        <w:tc>
          <w:tcPr>
            <w:tcW w:w="1039" w:type="dxa"/>
            <w:shd w:val="clear" w:color="auto" w:fill="auto"/>
            <w:noWrap/>
            <w:vAlign w:val="center"/>
          </w:tcPr>
          <w:p w14:paraId="6374D075" w14:textId="77777777" w:rsidR="00F103A8" w:rsidRPr="00C47F2F" w:rsidRDefault="00F103A8" w:rsidP="009A15D5">
            <w:pPr>
              <w:pStyle w:val="Table"/>
              <w:rPr>
                <w:noProof/>
                <w:sz w:val="20"/>
                <w:szCs w:val="20"/>
              </w:rPr>
            </w:pPr>
            <w:r w:rsidRPr="00C47F2F">
              <w:rPr>
                <w:noProof/>
                <w:sz w:val="20"/>
                <w:szCs w:val="20"/>
              </w:rPr>
              <w:t>0.00E+00</w:t>
            </w:r>
          </w:p>
        </w:tc>
        <w:tc>
          <w:tcPr>
            <w:tcW w:w="1001" w:type="dxa"/>
            <w:shd w:val="clear" w:color="auto" w:fill="auto"/>
            <w:noWrap/>
            <w:vAlign w:val="center"/>
          </w:tcPr>
          <w:p w14:paraId="136E0EAB" w14:textId="77777777" w:rsidR="00F103A8" w:rsidRPr="00C47F2F" w:rsidRDefault="00F103A8" w:rsidP="009A15D5">
            <w:pPr>
              <w:pStyle w:val="Table"/>
              <w:rPr>
                <w:noProof/>
                <w:sz w:val="20"/>
                <w:szCs w:val="20"/>
              </w:rPr>
            </w:pPr>
            <w:r w:rsidRPr="00C47F2F">
              <w:rPr>
                <w:noProof/>
                <w:sz w:val="20"/>
                <w:szCs w:val="20"/>
              </w:rPr>
              <w:t>0.00E+00</w:t>
            </w:r>
          </w:p>
        </w:tc>
        <w:tc>
          <w:tcPr>
            <w:tcW w:w="1001" w:type="dxa"/>
            <w:shd w:val="clear" w:color="auto" w:fill="auto"/>
            <w:noWrap/>
            <w:vAlign w:val="center"/>
          </w:tcPr>
          <w:p w14:paraId="00357AC2" w14:textId="77777777" w:rsidR="00F103A8" w:rsidRPr="00C47F2F" w:rsidRDefault="00F103A8" w:rsidP="009A15D5">
            <w:pPr>
              <w:pStyle w:val="Table"/>
              <w:rPr>
                <w:noProof/>
                <w:sz w:val="20"/>
                <w:szCs w:val="20"/>
              </w:rPr>
            </w:pPr>
            <w:r w:rsidRPr="00C47F2F">
              <w:rPr>
                <w:noProof/>
                <w:sz w:val="20"/>
                <w:szCs w:val="20"/>
              </w:rPr>
              <w:t>0.00E+00</w:t>
            </w:r>
          </w:p>
        </w:tc>
        <w:tc>
          <w:tcPr>
            <w:tcW w:w="1029" w:type="dxa"/>
            <w:shd w:val="clear" w:color="auto" w:fill="auto"/>
            <w:noWrap/>
            <w:vAlign w:val="center"/>
          </w:tcPr>
          <w:p w14:paraId="1EB326A4" w14:textId="77777777" w:rsidR="00F103A8" w:rsidRPr="00C47F2F" w:rsidRDefault="00F103A8" w:rsidP="009A15D5">
            <w:pPr>
              <w:pStyle w:val="Table"/>
              <w:rPr>
                <w:noProof/>
                <w:sz w:val="20"/>
                <w:szCs w:val="20"/>
              </w:rPr>
            </w:pPr>
            <w:r w:rsidRPr="00C47F2F">
              <w:rPr>
                <w:noProof/>
                <w:sz w:val="20"/>
                <w:szCs w:val="20"/>
              </w:rPr>
              <w:t>5.07E-03</w:t>
            </w:r>
          </w:p>
        </w:tc>
      </w:tr>
      <w:tr w:rsidR="00F103A8" w:rsidRPr="00972C81" w14:paraId="02968F21" w14:textId="77777777" w:rsidTr="009A15D5">
        <w:trPr>
          <w:trHeight w:val="340"/>
        </w:trPr>
        <w:tc>
          <w:tcPr>
            <w:tcW w:w="2955" w:type="dxa"/>
            <w:shd w:val="clear" w:color="auto" w:fill="auto"/>
            <w:noWrap/>
            <w:vAlign w:val="center"/>
          </w:tcPr>
          <w:p w14:paraId="3A16A069" w14:textId="75964078" w:rsidR="00F103A8" w:rsidRPr="00F103A8" w:rsidRDefault="00F103A8" w:rsidP="009A15D5">
            <w:pPr>
              <w:pStyle w:val="Table"/>
              <w:rPr>
                <w:noProof/>
                <w:sz w:val="20"/>
                <w:szCs w:val="22"/>
              </w:rPr>
            </w:pPr>
            <w:r w:rsidRPr="00F103A8">
              <w:rPr>
                <w:noProof/>
                <w:sz w:val="20"/>
                <w:szCs w:val="22"/>
              </w:rPr>
              <w:t>Cort bone surf  to Cort marrow</w:t>
            </w:r>
          </w:p>
        </w:tc>
        <w:tc>
          <w:tcPr>
            <w:tcW w:w="1001" w:type="dxa"/>
            <w:shd w:val="clear" w:color="auto" w:fill="auto"/>
            <w:noWrap/>
            <w:vAlign w:val="center"/>
          </w:tcPr>
          <w:p w14:paraId="1114A248" w14:textId="77777777" w:rsidR="00F103A8" w:rsidRPr="00C47F2F" w:rsidRDefault="00F103A8" w:rsidP="009A15D5">
            <w:pPr>
              <w:pStyle w:val="Table"/>
              <w:rPr>
                <w:noProof/>
                <w:sz w:val="20"/>
                <w:szCs w:val="20"/>
              </w:rPr>
            </w:pPr>
            <w:r w:rsidRPr="00C47F2F">
              <w:rPr>
                <w:noProof/>
                <w:sz w:val="20"/>
                <w:szCs w:val="20"/>
              </w:rPr>
              <w:t>8.22E-03</w:t>
            </w:r>
          </w:p>
        </w:tc>
        <w:tc>
          <w:tcPr>
            <w:tcW w:w="1001" w:type="dxa"/>
            <w:shd w:val="clear" w:color="auto" w:fill="auto"/>
            <w:noWrap/>
            <w:vAlign w:val="center"/>
          </w:tcPr>
          <w:p w14:paraId="5FA2583B" w14:textId="77777777" w:rsidR="00F103A8" w:rsidRPr="00C47F2F" w:rsidRDefault="00F103A8" w:rsidP="009A15D5">
            <w:pPr>
              <w:pStyle w:val="Table"/>
              <w:rPr>
                <w:noProof/>
                <w:sz w:val="20"/>
                <w:szCs w:val="20"/>
              </w:rPr>
            </w:pPr>
            <w:r w:rsidRPr="00C47F2F">
              <w:rPr>
                <w:noProof/>
                <w:sz w:val="20"/>
                <w:szCs w:val="20"/>
              </w:rPr>
              <w:t>2.88E-03</w:t>
            </w:r>
          </w:p>
        </w:tc>
        <w:tc>
          <w:tcPr>
            <w:tcW w:w="1039" w:type="dxa"/>
            <w:shd w:val="clear" w:color="auto" w:fill="auto"/>
            <w:noWrap/>
            <w:vAlign w:val="center"/>
          </w:tcPr>
          <w:p w14:paraId="721FB27C" w14:textId="77777777" w:rsidR="00F103A8" w:rsidRPr="00C47F2F" w:rsidRDefault="00F103A8" w:rsidP="009A15D5">
            <w:pPr>
              <w:pStyle w:val="Table"/>
              <w:rPr>
                <w:noProof/>
                <w:sz w:val="20"/>
                <w:szCs w:val="20"/>
              </w:rPr>
            </w:pPr>
            <w:r w:rsidRPr="00C47F2F">
              <w:rPr>
                <w:noProof/>
                <w:sz w:val="20"/>
                <w:szCs w:val="20"/>
              </w:rPr>
              <w:t>1.53E-03</w:t>
            </w:r>
          </w:p>
        </w:tc>
        <w:tc>
          <w:tcPr>
            <w:tcW w:w="1001" w:type="dxa"/>
            <w:shd w:val="clear" w:color="auto" w:fill="auto"/>
            <w:noWrap/>
            <w:vAlign w:val="center"/>
          </w:tcPr>
          <w:p w14:paraId="450F4432" w14:textId="77777777" w:rsidR="00F103A8" w:rsidRPr="00C47F2F" w:rsidRDefault="00F103A8" w:rsidP="009A15D5">
            <w:pPr>
              <w:pStyle w:val="Table"/>
              <w:rPr>
                <w:noProof/>
                <w:sz w:val="20"/>
                <w:szCs w:val="20"/>
              </w:rPr>
            </w:pPr>
            <w:r w:rsidRPr="00C47F2F">
              <w:rPr>
                <w:noProof/>
                <w:sz w:val="20"/>
                <w:szCs w:val="20"/>
              </w:rPr>
              <w:t>9.04E-04</w:t>
            </w:r>
          </w:p>
        </w:tc>
        <w:tc>
          <w:tcPr>
            <w:tcW w:w="1001" w:type="dxa"/>
            <w:shd w:val="clear" w:color="auto" w:fill="auto"/>
            <w:noWrap/>
            <w:vAlign w:val="center"/>
          </w:tcPr>
          <w:p w14:paraId="75B80375" w14:textId="77777777" w:rsidR="00F103A8" w:rsidRPr="00C47F2F" w:rsidRDefault="00F103A8" w:rsidP="009A15D5">
            <w:pPr>
              <w:pStyle w:val="Table"/>
              <w:rPr>
                <w:noProof/>
                <w:sz w:val="20"/>
                <w:szCs w:val="20"/>
              </w:rPr>
            </w:pPr>
            <w:r w:rsidRPr="00C47F2F">
              <w:rPr>
                <w:noProof/>
                <w:sz w:val="20"/>
                <w:szCs w:val="20"/>
              </w:rPr>
              <w:t>5.21E-04</w:t>
            </w:r>
          </w:p>
        </w:tc>
        <w:tc>
          <w:tcPr>
            <w:tcW w:w="1029" w:type="dxa"/>
            <w:shd w:val="clear" w:color="auto" w:fill="auto"/>
            <w:noWrap/>
            <w:vAlign w:val="center"/>
          </w:tcPr>
          <w:p w14:paraId="2F69A2C8" w14:textId="77777777" w:rsidR="00F103A8" w:rsidRPr="00C47F2F" w:rsidRDefault="00F103A8" w:rsidP="009A15D5">
            <w:pPr>
              <w:pStyle w:val="Table"/>
              <w:rPr>
                <w:noProof/>
                <w:sz w:val="20"/>
                <w:szCs w:val="20"/>
              </w:rPr>
            </w:pPr>
            <w:r w:rsidRPr="00C47F2F">
              <w:rPr>
                <w:noProof/>
                <w:sz w:val="20"/>
                <w:szCs w:val="20"/>
              </w:rPr>
              <w:t>8.21E-05</w:t>
            </w:r>
          </w:p>
        </w:tc>
      </w:tr>
      <w:tr w:rsidR="00F103A8" w:rsidRPr="00972C81" w14:paraId="14829B32" w14:textId="77777777" w:rsidTr="009A15D5">
        <w:trPr>
          <w:trHeight w:val="340"/>
        </w:trPr>
        <w:tc>
          <w:tcPr>
            <w:tcW w:w="2955" w:type="dxa"/>
            <w:shd w:val="clear" w:color="auto" w:fill="auto"/>
            <w:noWrap/>
            <w:vAlign w:val="center"/>
          </w:tcPr>
          <w:p w14:paraId="64FD8881" w14:textId="0C9C6D3E" w:rsidR="00F103A8" w:rsidRPr="00F103A8" w:rsidRDefault="00F103A8" w:rsidP="009A15D5">
            <w:pPr>
              <w:pStyle w:val="Table"/>
              <w:rPr>
                <w:noProof/>
                <w:sz w:val="20"/>
                <w:szCs w:val="22"/>
              </w:rPr>
            </w:pPr>
            <w:r w:rsidRPr="00F103A8">
              <w:rPr>
                <w:noProof/>
                <w:sz w:val="20"/>
                <w:szCs w:val="22"/>
              </w:rPr>
              <w:t xml:space="preserve">Cort bone surf  to Cort bone vol </w:t>
            </w:r>
          </w:p>
        </w:tc>
        <w:tc>
          <w:tcPr>
            <w:tcW w:w="1001" w:type="dxa"/>
            <w:shd w:val="clear" w:color="auto" w:fill="auto"/>
            <w:noWrap/>
            <w:vAlign w:val="center"/>
          </w:tcPr>
          <w:p w14:paraId="6D6A9A73" w14:textId="77777777" w:rsidR="00F103A8" w:rsidRPr="00C47F2F" w:rsidRDefault="00F103A8" w:rsidP="009A15D5">
            <w:pPr>
              <w:pStyle w:val="Table"/>
              <w:rPr>
                <w:noProof/>
                <w:sz w:val="20"/>
                <w:szCs w:val="20"/>
              </w:rPr>
            </w:pPr>
            <w:r w:rsidRPr="00C47F2F">
              <w:rPr>
                <w:noProof/>
                <w:sz w:val="20"/>
                <w:szCs w:val="20"/>
              </w:rPr>
              <w:t>8.22E-03</w:t>
            </w:r>
          </w:p>
        </w:tc>
        <w:tc>
          <w:tcPr>
            <w:tcW w:w="1001" w:type="dxa"/>
            <w:shd w:val="clear" w:color="auto" w:fill="auto"/>
            <w:noWrap/>
            <w:vAlign w:val="center"/>
          </w:tcPr>
          <w:p w14:paraId="2DB4199A" w14:textId="77777777" w:rsidR="00F103A8" w:rsidRPr="00C47F2F" w:rsidRDefault="00F103A8" w:rsidP="009A15D5">
            <w:pPr>
              <w:pStyle w:val="Table"/>
              <w:rPr>
                <w:noProof/>
                <w:sz w:val="20"/>
                <w:szCs w:val="20"/>
              </w:rPr>
            </w:pPr>
            <w:r w:rsidRPr="00C47F2F">
              <w:rPr>
                <w:noProof/>
                <w:sz w:val="20"/>
                <w:szCs w:val="20"/>
              </w:rPr>
              <w:t>2.88E-03</w:t>
            </w:r>
          </w:p>
        </w:tc>
        <w:tc>
          <w:tcPr>
            <w:tcW w:w="1039" w:type="dxa"/>
            <w:shd w:val="clear" w:color="auto" w:fill="auto"/>
            <w:noWrap/>
            <w:vAlign w:val="center"/>
          </w:tcPr>
          <w:p w14:paraId="7146EB1B" w14:textId="77777777" w:rsidR="00F103A8" w:rsidRPr="00C47F2F" w:rsidRDefault="00F103A8" w:rsidP="009A15D5">
            <w:pPr>
              <w:pStyle w:val="Table"/>
              <w:rPr>
                <w:noProof/>
                <w:sz w:val="20"/>
                <w:szCs w:val="20"/>
              </w:rPr>
            </w:pPr>
            <w:r w:rsidRPr="00C47F2F">
              <w:rPr>
                <w:noProof/>
                <w:sz w:val="20"/>
                <w:szCs w:val="20"/>
              </w:rPr>
              <w:t>1.53E-03</w:t>
            </w:r>
          </w:p>
        </w:tc>
        <w:tc>
          <w:tcPr>
            <w:tcW w:w="1001" w:type="dxa"/>
            <w:shd w:val="clear" w:color="auto" w:fill="auto"/>
            <w:noWrap/>
            <w:vAlign w:val="center"/>
          </w:tcPr>
          <w:p w14:paraId="48B6538F" w14:textId="77777777" w:rsidR="00F103A8" w:rsidRPr="00C47F2F" w:rsidRDefault="00F103A8" w:rsidP="009A15D5">
            <w:pPr>
              <w:pStyle w:val="Table"/>
              <w:rPr>
                <w:noProof/>
                <w:sz w:val="20"/>
                <w:szCs w:val="20"/>
              </w:rPr>
            </w:pPr>
            <w:r w:rsidRPr="00C47F2F">
              <w:rPr>
                <w:noProof/>
                <w:sz w:val="20"/>
                <w:szCs w:val="20"/>
              </w:rPr>
              <w:t>9.04E-04</w:t>
            </w:r>
          </w:p>
        </w:tc>
        <w:tc>
          <w:tcPr>
            <w:tcW w:w="1001" w:type="dxa"/>
            <w:shd w:val="clear" w:color="auto" w:fill="auto"/>
            <w:noWrap/>
            <w:vAlign w:val="center"/>
          </w:tcPr>
          <w:p w14:paraId="15B06C3E" w14:textId="77777777" w:rsidR="00F103A8" w:rsidRPr="00C47F2F" w:rsidRDefault="00F103A8" w:rsidP="009A15D5">
            <w:pPr>
              <w:pStyle w:val="Table"/>
              <w:rPr>
                <w:noProof/>
                <w:sz w:val="20"/>
                <w:szCs w:val="20"/>
              </w:rPr>
            </w:pPr>
            <w:r w:rsidRPr="00C47F2F">
              <w:rPr>
                <w:noProof/>
                <w:sz w:val="20"/>
                <w:szCs w:val="20"/>
              </w:rPr>
              <w:t>5.21E-04</w:t>
            </w:r>
          </w:p>
        </w:tc>
        <w:tc>
          <w:tcPr>
            <w:tcW w:w="1029" w:type="dxa"/>
            <w:shd w:val="clear" w:color="auto" w:fill="auto"/>
            <w:noWrap/>
            <w:vAlign w:val="center"/>
          </w:tcPr>
          <w:p w14:paraId="2C355174" w14:textId="77777777" w:rsidR="00F103A8" w:rsidRPr="00C47F2F" w:rsidRDefault="00F103A8" w:rsidP="009A15D5">
            <w:pPr>
              <w:pStyle w:val="Table"/>
              <w:rPr>
                <w:noProof/>
                <w:sz w:val="20"/>
                <w:szCs w:val="20"/>
              </w:rPr>
            </w:pPr>
            <w:r w:rsidRPr="00C47F2F">
              <w:rPr>
                <w:noProof/>
                <w:sz w:val="20"/>
                <w:szCs w:val="20"/>
              </w:rPr>
              <w:t>4.11E-05</w:t>
            </w:r>
          </w:p>
        </w:tc>
      </w:tr>
      <w:tr w:rsidR="00F103A8" w:rsidRPr="00972C81" w14:paraId="7CAEEA62" w14:textId="77777777" w:rsidTr="009A15D5">
        <w:trPr>
          <w:trHeight w:val="340"/>
        </w:trPr>
        <w:tc>
          <w:tcPr>
            <w:tcW w:w="2955" w:type="dxa"/>
            <w:shd w:val="clear" w:color="auto" w:fill="auto"/>
            <w:noWrap/>
            <w:vAlign w:val="center"/>
          </w:tcPr>
          <w:p w14:paraId="71888EA6" w14:textId="6C84471C" w:rsidR="00F103A8" w:rsidRPr="00F103A8" w:rsidRDefault="00F103A8" w:rsidP="009A15D5">
            <w:pPr>
              <w:pStyle w:val="Table"/>
              <w:rPr>
                <w:noProof/>
                <w:sz w:val="20"/>
                <w:szCs w:val="22"/>
              </w:rPr>
            </w:pPr>
            <w:r w:rsidRPr="00F103A8">
              <w:rPr>
                <w:noProof/>
                <w:sz w:val="20"/>
                <w:szCs w:val="22"/>
              </w:rPr>
              <w:t>Cort bone vol  to Cort marrow</w:t>
            </w:r>
          </w:p>
        </w:tc>
        <w:tc>
          <w:tcPr>
            <w:tcW w:w="1001" w:type="dxa"/>
            <w:shd w:val="clear" w:color="auto" w:fill="auto"/>
            <w:noWrap/>
            <w:vAlign w:val="center"/>
          </w:tcPr>
          <w:p w14:paraId="1ED56D12" w14:textId="77777777" w:rsidR="00F103A8" w:rsidRPr="00C47F2F" w:rsidRDefault="00F103A8" w:rsidP="009A15D5">
            <w:pPr>
              <w:pStyle w:val="Table"/>
              <w:rPr>
                <w:noProof/>
                <w:sz w:val="20"/>
                <w:szCs w:val="20"/>
              </w:rPr>
            </w:pPr>
            <w:r w:rsidRPr="00C47F2F">
              <w:rPr>
                <w:noProof/>
                <w:sz w:val="20"/>
                <w:szCs w:val="20"/>
              </w:rPr>
              <w:t>8.22E-03</w:t>
            </w:r>
          </w:p>
        </w:tc>
        <w:tc>
          <w:tcPr>
            <w:tcW w:w="1001" w:type="dxa"/>
            <w:shd w:val="clear" w:color="auto" w:fill="auto"/>
            <w:noWrap/>
            <w:vAlign w:val="center"/>
          </w:tcPr>
          <w:p w14:paraId="7CC5FB44" w14:textId="77777777" w:rsidR="00F103A8" w:rsidRPr="00C47F2F" w:rsidRDefault="00F103A8" w:rsidP="009A15D5">
            <w:pPr>
              <w:pStyle w:val="Table"/>
              <w:rPr>
                <w:noProof/>
                <w:sz w:val="20"/>
                <w:szCs w:val="20"/>
              </w:rPr>
            </w:pPr>
            <w:r w:rsidRPr="00C47F2F">
              <w:rPr>
                <w:noProof/>
                <w:sz w:val="20"/>
                <w:szCs w:val="20"/>
              </w:rPr>
              <w:t>2.88E-03</w:t>
            </w:r>
          </w:p>
        </w:tc>
        <w:tc>
          <w:tcPr>
            <w:tcW w:w="1039" w:type="dxa"/>
            <w:shd w:val="clear" w:color="auto" w:fill="auto"/>
            <w:noWrap/>
            <w:vAlign w:val="center"/>
          </w:tcPr>
          <w:p w14:paraId="52455497" w14:textId="77777777" w:rsidR="00F103A8" w:rsidRPr="00C47F2F" w:rsidRDefault="00F103A8" w:rsidP="009A15D5">
            <w:pPr>
              <w:pStyle w:val="Table"/>
              <w:rPr>
                <w:noProof/>
                <w:sz w:val="20"/>
                <w:szCs w:val="20"/>
              </w:rPr>
            </w:pPr>
            <w:r w:rsidRPr="00C47F2F">
              <w:rPr>
                <w:noProof/>
                <w:sz w:val="20"/>
                <w:szCs w:val="20"/>
              </w:rPr>
              <w:t>1.53E-03</w:t>
            </w:r>
          </w:p>
        </w:tc>
        <w:tc>
          <w:tcPr>
            <w:tcW w:w="1001" w:type="dxa"/>
            <w:shd w:val="clear" w:color="auto" w:fill="auto"/>
            <w:noWrap/>
            <w:vAlign w:val="center"/>
          </w:tcPr>
          <w:p w14:paraId="48CB0C7B" w14:textId="77777777" w:rsidR="00F103A8" w:rsidRPr="00C47F2F" w:rsidRDefault="00F103A8" w:rsidP="009A15D5">
            <w:pPr>
              <w:pStyle w:val="Table"/>
              <w:rPr>
                <w:noProof/>
                <w:sz w:val="20"/>
                <w:szCs w:val="20"/>
              </w:rPr>
            </w:pPr>
            <w:r w:rsidRPr="00C47F2F">
              <w:rPr>
                <w:noProof/>
                <w:sz w:val="20"/>
                <w:szCs w:val="20"/>
              </w:rPr>
              <w:t>9.04E-04</w:t>
            </w:r>
          </w:p>
        </w:tc>
        <w:tc>
          <w:tcPr>
            <w:tcW w:w="1001" w:type="dxa"/>
            <w:shd w:val="clear" w:color="auto" w:fill="auto"/>
            <w:noWrap/>
            <w:vAlign w:val="center"/>
          </w:tcPr>
          <w:p w14:paraId="30AAAC8B" w14:textId="77777777" w:rsidR="00F103A8" w:rsidRPr="00C47F2F" w:rsidRDefault="00F103A8" w:rsidP="009A15D5">
            <w:pPr>
              <w:pStyle w:val="Table"/>
              <w:rPr>
                <w:noProof/>
                <w:sz w:val="20"/>
                <w:szCs w:val="20"/>
              </w:rPr>
            </w:pPr>
            <w:r w:rsidRPr="00C47F2F">
              <w:rPr>
                <w:noProof/>
                <w:sz w:val="20"/>
                <w:szCs w:val="20"/>
              </w:rPr>
              <w:t>5.21E-04</w:t>
            </w:r>
          </w:p>
        </w:tc>
        <w:tc>
          <w:tcPr>
            <w:tcW w:w="1029" w:type="dxa"/>
            <w:shd w:val="clear" w:color="auto" w:fill="auto"/>
            <w:noWrap/>
            <w:vAlign w:val="center"/>
          </w:tcPr>
          <w:p w14:paraId="1EAA0C84" w14:textId="77777777" w:rsidR="00F103A8" w:rsidRPr="00C47F2F" w:rsidRDefault="00F103A8" w:rsidP="009A15D5">
            <w:pPr>
              <w:pStyle w:val="Table"/>
              <w:rPr>
                <w:noProof/>
                <w:sz w:val="20"/>
                <w:szCs w:val="20"/>
              </w:rPr>
            </w:pPr>
            <w:r w:rsidRPr="00C47F2F">
              <w:rPr>
                <w:noProof/>
                <w:sz w:val="20"/>
                <w:szCs w:val="20"/>
              </w:rPr>
              <w:t>8.21E-05</w:t>
            </w:r>
          </w:p>
        </w:tc>
      </w:tr>
      <w:tr w:rsidR="00F103A8" w:rsidRPr="00972C81" w14:paraId="23E6EB9C" w14:textId="77777777" w:rsidTr="009A15D5">
        <w:trPr>
          <w:trHeight w:val="340"/>
        </w:trPr>
        <w:tc>
          <w:tcPr>
            <w:tcW w:w="2955" w:type="dxa"/>
            <w:shd w:val="clear" w:color="auto" w:fill="auto"/>
            <w:noWrap/>
            <w:vAlign w:val="center"/>
          </w:tcPr>
          <w:p w14:paraId="5D62A7E9" w14:textId="4F6CA752" w:rsidR="00F103A8" w:rsidRPr="00F103A8" w:rsidRDefault="00F103A8" w:rsidP="009A15D5">
            <w:pPr>
              <w:pStyle w:val="Table"/>
              <w:rPr>
                <w:noProof/>
                <w:sz w:val="20"/>
                <w:szCs w:val="22"/>
              </w:rPr>
            </w:pPr>
            <w:r w:rsidRPr="00F103A8">
              <w:rPr>
                <w:noProof/>
                <w:sz w:val="20"/>
                <w:szCs w:val="22"/>
              </w:rPr>
              <w:t>Trab marrow to Blood</w:t>
            </w:r>
          </w:p>
        </w:tc>
        <w:tc>
          <w:tcPr>
            <w:tcW w:w="1001" w:type="dxa"/>
            <w:shd w:val="clear" w:color="auto" w:fill="auto"/>
            <w:noWrap/>
            <w:vAlign w:val="center"/>
          </w:tcPr>
          <w:p w14:paraId="2CD08EA8" w14:textId="77777777" w:rsidR="00F103A8" w:rsidRPr="00C47F2F" w:rsidRDefault="00F103A8" w:rsidP="009A15D5">
            <w:pPr>
              <w:pStyle w:val="Table"/>
              <w:rPr>
                <w:noProof/>
                <w:sz w:val="20"/>
                <w:szCs w:val="20"/>
              </w:rPr>
            </w:pPr>
            <w:r w:rsidRPr="00C47F2F">
              <w:rPr>
                <w:noProof/>
                <w:sz w:val="20"/>
                <w:szCs w:val="20"/>
              </w:rPr>
              <w:t>7.60E-03</w:t>
            </w:r>
          </w:p>
        </w:tc>
        <w:tc>
          <w:tcPr>
            <w:tcW w:w="1001" w:type="dxa"/>
            <w:shd w:val="clear" w:color="auto" w:fill="auto"/>
            <w:noWrap/>
            <w:vAlign w:val="center"/>
          </w:tcPr>
          <w:p w14:paraId="57FD83EB" w14:textId="77777777" w:rsidR="00F103A8" w:rsidRPr="00C47F2F" w:rsidRDefault="00F103A8" w:rsidP="009A15D5">
            <w:pPr>
              <w:pStyle w:val="Table"/>
              <w:rPr>
                <w:noProof/>
                <w:sz w:val="20"/>
                <w:szCs w:val="20"/>
              </w:rPr>
            </w:pPr>
            <w:r w:rsidRPr="00C47F2F">
              <w:rPr>
                <w:noProof/>
                <w:sz w:val="20"/>
                <w:szCs w:val="20"/>
              </w:rPr>
              <w:t>7.60E-03</w:t>
            </w:r>
          </w:p>
        </w:tc>
        <w:tc>
          <w:tcPr>
            <w:tcW w:w="1039" w:type="dxa"/>
            <w:shd w:val="clear" w:color="auto" w:fill="auto"/>
            <w:noWrap/>
            <w:vAlign w:val="center"/>
          </w:tcPr>
          <w:p w14:paraId="33BAB3C0" w14:textId="77777777" w:rsidR="00F103A8" w:rsidRPr="00C47F2F" w:rsidRDefault="00F103A8" w:rsidP="009A15D5">
            <w:pPr>
              <w:pStyle w:val="Table"/>
              <w:rPr>
                <w:noProof/>
                <w:sz w:val="20"/>
                <w:szCs w:val="20"/>
              </w:rPr>
            </w:pPr>
            <w:r w:rsidRPr="00C47F2F">
              <w:rPr>
                <w:noProof/>
                <w:sz w:val="20"/>
                <w:szCs w:val="20"/>
              </w:rPr>
              <w:t>7.60E-03</w:t>
            </w:r>
          </w:p>
        </w:tc>
        <w:tc>
          <w:tcPr>
            <w:tcW w:w="1001" w:type="dxa"/>
            <w:shd w:val="clear" w:color="auto" w:fill="auto"/>
            <w:noWrap/>
            <w:vAlign w:val="center"/>
          </w:tcPr>
          <w:p w14:paraId="1C8E9D60" w14:textId="77777777" w:rsidR="00F103A8" w:rsidRPr="00C47F2F" w:rsidRDefault="00F103A8" w:rsidP="009A15D5">
            <w:pPr>
              <w:pStyle w:val="Table"/>
              <w:rPr>
                <w:noProof/>
                <w:sz w:val="20"/>
                <w:szCs w:val="20"/>
              </w:rPr>
            </w:pPr>
            <w:r w:rsidRPr="00C47F2F">
              <w:rPr>
                <w:noProof/>
                <w:sz w:val="20"/>
                <w:szCs w:val="20"/>
              </w:rPr>
              <w:t>7.60E-03</w:t>
            </w:r>
          </w:p>
        </w:tc>
        <w:tc>
          <w:tcPr>
            <w:tcW w:w="1001" w:type="dxa"/>
            <w:shd w:val="clear" w:color="auto" w:fill="auto"/>
            <w:noWrap/>
            <w:vAlign w:val="center"/>
          </w:tcPr>
          <w:p w14:paraId="26383070" w14:textId="77777777" w:rsidR="00F103A8" w:rsidRPr="00C47F2F" w:rsidRDefault="00F103A8" w:rsidP="009A15D5">
            <w:pPr>
              <w:pStyle w:val="Table"/>
              <w:rPr>
                <w:noProof/>
                <w:sz w:val="20"/>
                <w:szCs w:val="20"/>
              </w:rPr>
            </w:pPr>
            <w:r w:rsidRPr="00C47F2F">
              <w:rPr>
                <w:noProof/>
                <w:sz w:val="20"/>
                <w:szCs w:val="20"/>
              </w:rPr>
              <w:t>7.60E-03</w:t>
            </w:r>
          </w:p>
        </w:tc>
        <w:tc>
          <w:tcPr>
            <w:tcW w:w="1029" w:type="dxa"/>
            <w:shd w:val="clear" w:color="auto" w:fill="auto"/>
            <w:noWrap/>
            <w:vAlign w:val="center"/>
          </w:tcPr>
          <w:p w14:paraId="54A6F3E1" w14:textId="77777777" w:rsidR="00F103A8" w:rsidRPr="00C47F2F" w:rsidRDefault="00F103A8" w:rsidP="009A15D5">
            <w:pPr>
              <w:pStyle w:val="Table"/>
              <w:rPr>
                <w:noProof/>
                <w:sz w:val="20"/>
                <w:szCs w:val="20"/>
              </w:rPr>
            </w:pPr>
            <w:r w:rsidRPr="00C47F2F">
              <w:rPr>
                <w:noProof/>
                <w:sz w:val="20"/>
                <w:szCs w:val="20"/>
              </w:rPr>
              <w:t>7.60E-03</w:t>
            </w:r>
          </w:p>
        </w:tc>
      </w:tr>
      <w:tr w:rsidR="00F103A8" w:rsidRPr="00972C81" w14:paraId="74FC1D0E" w14:textId="77777777" w:rsidTr="009A15D5">
        <w:trPr>
          <w:trHeight w:val="340"/>
        </w:trPr>
        <w:tc>
          <w:tcPr>
            <w:tcW w:w="2955" w:type="dxa"/>
            <w:shd w:val="clear" w:color="auto" w:fill="auto"/>
            <w:noWrap/>
            <w:vAlign w:val="center"/>
          </w:tcPr>
          <w:p w14:paraId="6CE99696" w14:textId="5943FCFB" w:rsidR="00F103A8" w:rsidRPr="00F103A8" w:rsidRDefault="00F103A8" w:rsidP="009A15D5">
            <w:pPr>
              <w:pStyle w:val="Table"/>
              <w:rPr>
                <w:noProof/>
                <w:sz w:val="20"/>
                <w:szCs w:val="22"/>
              </w:rPr>
            </w:pPr>
            <w:r w:rsidRPr="00F103A8">
              <w:rPr>
                <w:noProof/>
                <w:sz w:val="20"/>
                <w:szCs w:val="22"/>
              </w:rPr>
              <w:t>Trab bone surf  to Trab marrow</w:t>
            </w:r>
          </w:p>
        </w:tc>
        <w:tc>
          <w:tcPr>
            <w:tcW w:w="1001" w:type="dxa"/>
            <w:shd w:val="clear" w:color="auto" w:fill="auto"/>
            <w:noWrap/>
            <w:vAlign w:val="center"/>
          </w:tcPr>
          <w:p w14:paraId="5842ED4E" w14:textId="77777777" w:rsidR="00F103A8" w:rsidRPr="00C47F2F" w:rsidRDefault="00F103A8" w:rsidP="009A15D5">
            <w:pPr>
              <w:pStyle w:val="Table"/>
              <w:rPr>
                <w:noProof/>
                <w:sz w:val="20"/>
                <w:szCs w:val="20"/>
              </w:rPr>
            </w:pPr>
            <w:r w:rsidRPr="00C47F2F">
              <w:rPr>
                <w:noProof/>
                <w:sz w:val="20"/>
                <w:szCs w:val="20"/>
              </w:rPr>
              <w:t>8.22E-03</w:t>
            </w:r>
          </w:p>
        </w:tc>
        <w:tc>
          <w:tcPr>
            <w:tcW w:w="1001" w:type="dxa"/>
            <w:shd w:val="clear" w:color="auto" w:fill="auto"/>
            <w:noWrap/>
            <w:vAlign w:val="center"/>
          </w:tcPr>
          <w:p w14:paraId="1A96AA12" w14:textId="77777777" w:rsidR="00F103A8" w:rsidRPr="00C47F2F" w:rsidRDefault="00F103A8" w:rsidP="009A15D5">
            <w:pPr>
              <w:pStyle w:val="Table"/>
              <w:rPr>
                <w:noProof/>
                <w:sz w:val="20"/>
                <w:szCs w:val="20"/>
              </w:rPr>
            </w:pPr>
            <w:r w:rsidRPr="00C47F2F">
              <w:rPr>
                <w:noProof/>
                <w:sz w:val="20"/>
                <w:szCs w:val="20"/>
              </w:rPr>
              <w:t>2.88E-03</w:t>
            </w:r>
          </w:p>
        </w:tc>
        <w:tc>
          <w:tcPr>
            <w:tcW w:w="1039" w:type="dxa"/>
            <w:shd w:val="clear" w:color="auto" w:fill="auto"/>
            <w:noWrap/>
            <w:vAlign w:val="center"/>
          </w:tcPr>
          <w:p w14:paraId="21073B20" w14:textId="77777777" w:rsidR="00F103A8" w:rsidRPr="00C47F2F" w:rsidRDefault="00F103A8" w:rsidP="009A15D5">
            <w:pPr>
              <w:pStyle w:val="Table"/>
              <w:rPr>
                <w:noProof/>
                <w:sz w:val="20"/>
                <w:szCs w:val="20"/>
              </w:rPr>
            </w:pPr>
            <w:r w:rsidRPr="00C47F2F">
              <w:rPr>
                <w:noProof/>
                <w:sz w:val="20"/>
                <w:szCs w:val="20"/>
              </w:rPr>
              <w:t>1.81E-03</w:t>
            </w:r>
          </w:p>
        </w:tc>
        <w:tc>
          <w:tcPr>
            <w:tcW w:w="1001" w:type="dxa"/>
            <w:shd w:val="clear" w:color="auto" w:fill="auto"/>
            <w:noWrap/>
            <w:vAlign w:val="center"/>
          </w:tcPr>
          <w:p w14:paraId="2D73F226" w14:textId="77777777" w:rsidR="00F103A8" w:rsidRPr="00C47F2F" w:rsidRDefault="00F103A8" w:rsidP="009A15D5">
            <w:pPr>
              <w:pStyle w:val="Table"/>
              <w:rPr>
                <w:noProof/>
                <w:sz w:val="20"/>
                <w:szCs w:val="20"/>
              </w:rPr>
            </w:pPr>
            <w:r w:rsidRPr="00C47F2F">
              <w:rPr>
                <w:noProof/>
                <w:sz w:val="20"/>
                <w:szCs w:val="20"/>
              </w:rPr>
              <w:t>1.32E-03</w:t>
            </w:r>
          </w:p>
        </w:tc>
        <w:tc>
          <w:tcPr>
            <w:tcW w:w="1001" w:type="dxa"/>
            <w:shd w:val="clear" w:color="auto" w:fill="auto"/>
            <w:noWrap/>
            <w:vAlign w:val="center"/>
          </w:tcPr>
          <w:p w14:paraId="541D6622" w14:textId="77777777" w:rsidR="00F103A8" w:rsidRPr="00C47F2F" w:rsidRDefault="00F103A8" w:rsidP="009A15D5">
            <w:pPr>
              <w:pStyle w:val="Table"/>
              <w:rPr>
                <w:noProof/>
                <w:sz w:val="20"/>
                <w:szCs w:val="20"/>
              </w:rPr>
            </w:pPr>
            <w:r w:rsidRPr="00C47F2F">
              <w:rPr>
                <w:noProof/>
                <w:sz w:val="20"/>
                <w:szCs w:val="20"/>
              </w:rPr>
              <w:t>9.59E-04</w:t>
            </w:r>
          </w:p>
        </w:tc>
        <w:tc>
          <w:tcPr>
            <w:tcW w:w="1029" w:type="dxa"/>
            <w:shd w:val="clear" w:color="auto" w:fill="auto"/>
            <w:noWrap/>
            <w:vAlign w:val="center"/>
          </w:tcPr>
          <w:p w14:paraId="06E40763" w14:textId="77777777" w:rsidR="00F103A8" w:rsidRPr="00C47F2F" w:rsidRDefault="00F103A8" w:rsidP="009A15D5">
            <w:pPr>
              <w:pStyle w:val="Table"/>
              <w:rPr>
                <w:noProof/>
                <w:sz w:val="20"/>
                <w:szCs w:val="20"/>
              </w:rPr>
            </w:pPr>
            <w:r w:rsidRPr="00C47F2F">
              <w:rPr>
                <w:noProof/>
                <w:sz w:val="20"/>
                <w:szCs w:val="20"/>
              </w:rPr>
              <w:t>4.93E-04</w:t>
            </w:r>
          </w:p>
        </w:tc>
      </w:tr>
      <w:tr w:rsidR="00F103A8" w:rsidRPr="00972C81" w14:paraId="68EBF265" w14:textId="77777777" w:rsidTr="009A15D5">
        <w:trPr>
          <w:trHeight w:val="340"/>
        </w:trPr>
        <w:tc>
          <w:tcPr>
            <w:tcW w:w="2955" w:type="dxa"/>
            <w:shd w:val="clear" w:color="auto" w:fill="auto"/>
            <w:noWrap/>
            <w:vAlign w:val="center"/>
          </w:tcPr>
          <w:p w14:paraId="06F395DB" w14:textId="471A9C19" w:rsidR="00F103A8" w:rsidRPr="00F103A8" w:rsidRDefault="00F103A8" w:rsidP="009A15D5">
            <w:pPr>
              <w:pStyle w:val="Table"/>
              <w:rPr>
                <w:noProof/>
                <w:sz w:val="20"/>
                <w:szCs w:val="22"/>
              </w:rPr>
            </w:pPr>
            <w:r w:rsidRPr="00F103A8">
              <w:rPr>
                <w:noProof/>
                <w:sz w:val="20"/>
                <w:szCs w:val="22"/>
              </w:rPr>
              <w:t xml:space="preserve">Trab bone surf  to Trab bone vol </w:t>
            </w:r>
          </w:p>
        </w:tc>
        <w:tc>
          <w:tcPr>
            <w:tcW w:w="1001" w:type="dxa"/>
            <w:shd w:val="clear" w:color="auto" w:fill="auto"/>
            <w:noWrap/>
            <w:vAlign w:val="center"/>
          </w:tcPr>
          <w:p w14:paraId="49C89819" w14:textId="77777777" w:rsidR="00F103A8" w:rsidRPr="00C47F2F" w:rsidRDefault="00F103A8" w:rsidP="009A15D5">
            <w:pPr>
              <w:pStyle w:val="Table"/>
              <w:rPr>
                <w:noProof/>
                <w:sz w:val="20"/>
                <w:szCs w:val="20"/>
              </w:rPr>
            </w:pPr>
            <w:r w:rsidRPr="00C47F2F">
              <w:rPr>
                <w:noProof/>
                <w:sz w:val="20"/>
                <w:szCs w:val="20"/>
              </w:rPr>
              <w:t>8.22E-03</w:t>
            </w:r>
          </w:p>
        </w:tc>
        <w:tc>
          <w:tcPr>
            <w:tcW w:w="1001" w:type="dxa"/>
            <w:shd w:val="clear" w:color="auto" w:fill="auto"/>
            <w:noWrap/>
            <w:vAlign w:val="center"/>
          </w:tcPr>
          <w:p w14:paraId="2F7FD0FF" w14:textId="77777777" w:rsidR="00F103A8" w:rsidRPr="00C47F2F" w:rsidRDefault="00F103A8" w:rsidP="009A15D5">
            <w:pPr>
              <w:pStyle w:val="Table"/>
              <w:rPr>
                <w:noProof/>
                <w:sz w:val="20"/>
                <w:szCs w:val="20"/>
              </w:rPr>
            </w:pPr>
            <w:r w:rsidRPr="00C47F2F">
              <w:rPr>
                <w:noProof/>
                <w:sz w:val="20"/>
                <w:szCs w:val="20"/>
              </w:rPr>
              <w:t>2.88E-03</w:t>
            </w:r>
          </w:p>
        </w:tc>
        <w:tc>
          <w:tcPr>
            <w:tcW w:w="1039" w:type="dxa"/>
            <w:shd w:val="clear" w:color="auto" w:fill="auto"/>
            <w:noWrap/>
            <w:vAlign w:val="center"/>
          </w:tcPr>
          <w:p w14:paraId="55819F47" w14:textId="77777777" w:rsidR="00F103A8" w:rsidRPr="00C47F2F" w:rsidRDefault="00F103A8" w:rsidP="009A15D5">
            <w:pPr>
              <w:pStyle w:val="Table"/>
              <w:rPr>
                <w:noProof/>
                <w:sz w:val="20"/>
                <w:szCs w:val="20"/>
              </w:rPr>
            </w:pPr>
            <w:r w:rsidRPr="00C47F2F">
              <w:rPr>
                <w:noProof/>
                <w:sz w:val="20"/>
                <w:szCs w:val="20"/>
              </w:rPr>
              <w:t>1.81E-03</w:t>
            </w:r>
          </w:p>
        </w:tc>
        <w:tc>
          <w:tcPr>
            <w:tcW w:w="1001" w:type="dxa"/>
            <w:shd w:val="clear" w:color="auto" w:fill="auto"/>
            <w:noWrap/>
            <w:vAlign w:val="center"/>
          </w:tcPr>
          <w:p w14:paraId="68C83C0F" w14:textId="77777777" w:rsidR="00F103A8" w:rsidRPr="00C47F2F" w:rsidRDefault="00F103A8" w:rsidP="009A15D5">
            <w:pPr>
              <w:pStyle w:val="Table"/>
              <w:rPr>
                <w:noProof/>
                <w:sz w:val="20"/>
                <w:szCs w:val="20"/>
              </w:rPr>
            </w:pPr>
            <w:r w:rsidRPr="00C47F2F">
              <w:rPr>
                <w:noProof/>
                <w:sz w:val="20"/>
                <w:szCs w:val="20"/>
              </w:rPr>
              <w:t>1.32E-03</w:t>
            </w:r>
          </w:p>
        </w:tc>
        <w:tc>
          <w:tcPr>
            <w:tcW w:w="1001" w:type="dxa"/>
            <w:shd w:val="clear" w:color="auto" w:fill="auto"/>
            <w:noWrap/>
            <w:vAlign w:val="center"/>
          </w:tcPr>
          <w:p w14:paraId="64B50069" w14:textId="77777777" w:rsidR="00F103A8" w:rsidRPr="00C47F2F" w:rsidRDefault="00F103A8" w:rsidP="009A15D5">
            <w:pPr>
              <w:pStyle w:val="Table"/>
              <w:rPr>
                <w:noProof/>
                <w:sz w:val="20"/>
                <w:szCs w:val="20"/>
              </w:rPr>
            </w:pPr>
            <w:r w:rsidRPr="00C47F2F">
              <w:rPr>
                <w:noProof/>
                <w:sz w:val="20"/>
                <w:szCs w:val="20"/>
              </w:rPr>
              <w:t>9.59E-04</w:t>
            </w:r>
          </w:p>
        </w:tc>
        <w:tc>
          <w:tcPr>
            <w:tcW w:w="1029" w:type="dxa"/>
            <w:shd w:val="clear" w:color="auto" w:fill="auto"/>
            <w:noWrap/>
            <w:vAlign w:val="center"/>
          </w:tcPr>
          <w:p w14:paraId="0EDDAABE" w14:textId="77777777" w:rsidR="00F103A8" w:rsidRPr="00C47F2F" w:rsidRDefault="00F103A8" w:rsidP="009A15D5">
            <w:pPr>
              <w:pStyle w:val="Table"/>
              <w:rPr>
                <w:noProof/>
                <w:sz w:val="20"/>
                <w:szCs w:val="20"/>
              </w:rPr>
            </w:pPr>
            <w:r w:rsidRPr="00C47F2F">
              <w:rPr>
                <w:noProof/>
                <w:sz w:val="20"/>
                <w:szCs w:val="20"/>
              </w:rPr>
              <w:t>2.47E-04</w:t>
            </w:r>
          </w:p>
        </w:tc>
      </w:tr>
      <w:tr w:rsidR="00F103A8" w:rsidRPr="00972C81" w14:paraId="5C52C09D" w14:textId="77777777" w:rsidTr="009A15D5">
        <w:trPr>
          <w:trHeight w:val="340"/>
        </w:trPr>
        <w:tc>
          <w:tcPr>
            <w:tcW w:w="2955" w:type="dxa"/>
            <w:shd w:val="clear" w:color="auto" w:fill="auto"/>
            <w:noWrap/>
            <w:vAlign w:val="center"/>
          </w:tcPr>
          <w:p w14:paraId="3EBEEF73" w14:textId="4636681E" w:rsidR="00F103A8" w:rsidRPr="00F103A8" w:rsidRDefault="00F103A8" w:rsidP="009A15D5">
            <w:pPr>
              <w:pStyle w:val="Table"/>
              <w:rPr>
                <w:noProof/>
                <w:sz w:val="20"/>
                <w:szCs w:val="22"/>
              </w:rPr>
            </w:pPr>
            <w:r w:rsidRPr="00F103A8">
              <w:rPr>
                <w:noProof/>
                <w:sz w:val="20"/>
                <w:szCs w:val="22"/>
              </w:rPr>
              <w:t>Trab bone vol  to Trab marrow</w:t>
            </w:r>
          </w:p>
        </w:tc>
        <w:tc>
          <w:tcPr>
            <w:tcW w:w="1001" w:type="dxa"/>
            <w:shd w:val="clear" w:color="auto" w:fill="auto"/>
            <w:noWrap/>
            <w:vAlign w:val="center"/>
          </w:tcPr>
          <w:p w14:paraId="3DF4D1B0" w14:textId="77777777" w:rsidR="00F103A8" w:rsidRPr="00C47F2F" w:rsidRDefault="00F103A8" w:rsidP="009A15D5">
            <w:pPr>
              <w:pStyle w:val="Table"/>
              <w:rPr>
                <w:noProof/>
                <w:sz w:val="20"/>
                <w:szCs w:val="20"/>
              </w:rPr>
            </w:pPr>
            <w:r w:rsidRPr="00C47F2F">
              <w:rPr>
                <w:noProof/>
                <w:sz w:val="20"/>
                <w:szCs w:val="20"/>
              </w:rPr>
              <w:t>8.22E-03</w:t>
            </w:r>
          </w:p>
        </w:tc>
        <w:tc>
          <w:tcPr>
            <w:tcW w:w="1001" w:type="dxa"/>
            <w:shd w:val="clear" w:color="auto" w:fill="auto"/>
            <w:noWrap/>
            <w:vAlign w:val="center"/>
          </w:tcPr>
          <w:p w14:paraId="741D2EA4" w14:textId="77777777" w:rsidR="00F103A8" w:rsidRPr="00C47F2F" w:rsidRDefault="00F103A8" w:rsidP="009A15D5">
            <w:pPr>
              <w:pStyle w:val="Table"/>
              <w:rPr>
                <w:noProof/>
                <w:sz w:val="20"/>
                <w:szCs w:val="20"/>
              </w:rPr>
            </w:pPr>
            <w:r w:rsidRPr="00C47F2F">
              <w:rPr>
                <w:noProof/>
                <w:sz w:val="20"/>
                <w:szCs w:val="20"/>
              </w:rPr>
              <w:t>2.88E-03</w:t>
            </w:r>
          </w:p>
        </w:tc>
        <w:tc>
          <w:tcPr>
            <w:tcW w:w="1039" w:type="dxa"/>
            <w:shd w:val="clear" w:color="auto" w:fill="auto"/>
            <w:noWrap/>
            <w:vAlign w:val="center"/>
          </w:tcPr>
          <w:p w14:paraId="1E934463" w14:textId="77777777" w:rsidR="00F103A8" w:rsidRPr="00C47F2F" w:rsidRDefault="00F103A8" w:rsidP="009A15D5">
            <w:pPr>
              <w:pStyle w:val="Table"/>
              <w:rPr>
                <w:noProof/>
                <w:sz w:val="20"/>
                <w:szCs w:val="20"/>
              </w:rPr>
            </w:pPr>
            <w:r w:rsidRPr="00C47F2F">
              <w:rPr>
                <w:noProof/>
                <w:sz w:val="20"/>
                <w:szCs w:val="20"/>
              </w:rPr>
              <w:t>1.81E-03</w:t>
            </w:r>
          </w:p>
        </w:tc>
        <w:tc>
          <w:tcPr>
            <w:tcW w:w="1001" w:type="dxa"/>
            <w:shd w:val="clear" w:color="auto" w:fill="auto"/>
            <w:noWrap/>
            <w:vAlign w:val="center"/>
          </w:tcPr>
          <w:p w14:paraId="12B358B8" w14:textId="77777777" w:rsidR="00F103A8" w:rsidRPr="00C47F2F" w:rsidRDefault="00F103A8" w:rsidP="009A15D5">
            <w:pPr>
              <w:pStyle w:val="Table"/>
              <w:rPr>
                <w:noProof/>
                <w:sz w:val="20"/>
                <w:szCs w:val="20"/>
              </w:rPr>
            </w:pPr>
            <w:r w:rsidRPr="00C47F2F">
              <w:rPr>
                <w:noProof/>
                <w:sz w:val="20"/>
                <w:szCs w:val="20"/>
              </w:rPr>
              <w:t>1.32E-03</w:t>
            </w:r>
          </w:p>
        </w:tc>
        <w:tc>
          <w:tcPr>
            <w:tcW w:w="1001" w:type="dxa"/>
            <w:shd w:val="clear" w:color="auto" w:fill="auto"/>
            <w:noWrap/>
            <w:vAlign w:val="center"/>
          </w:tcPr>
          <w:p w14:paraId="055F3AA7" w14:textId="77777777" w:rsidR="00F103A8" w:rsidRPr="00C47F2F" w:rsidRDefault="00F103A8" w:rsidP="009A15D5">
            <w:pPr>
              <w:pStyle w:val="Table"/>
              <w:rPr>
                <w:noProof/>
                <w:sz w:val="20"/>
                <w:szCs w:val="20"/>
              </w:rPr>
            </w:pPr>
            <w:r w:rsidRPr="00C47F2F">
              <w:rPr>
                <w:noProof/>
                <w:sz w:val="20"/>
                <w:szCs w:val="20"/>
              </w:rPr>
              <w:t>9.59E-04</w:t>
            </w:r>
          </w:p>
        </w:tc>
        <w:tc>
          <w:tcPr>
            <w:tcW w:w="1029" w:type="dxa"/>
            <w:shd w:val="clear" w:color="auto" w:fill="auto"/>
            <w:noWrap/>
            <w:vAlign w:val="center"/>
          </w:tcPr>
          <w:p w14:paraId="3159C7CD" w14:textId="77777777" w:rsidR="00F103A8" w:rsidRPr="00C47F2F" w:rsidRDefault="00F103A8" w:rsidP="009A15D5">
            <w:pPr>
              <w:pStyle w:val="Table"/>
              <w:rPr>
                <w:noProof/>
                <w:sz w:val="20"/>
                <w:szCs w:val="20"/>
              </w:rPr>
            </w:pPr>
            <w:r w:rsidRPr="00C47F2F">
              <w:rPr>
                <w:noProof/>
                <w:sz w:val="20"/>
                <w:szCs w:val="20"/>
              </w:rPr>
              <w:t>4.93E-04</w:t>
            </w:r>
          </w:p>
        </w:tc>
      </w:tr>
      <w:tr w:rsidR="00F103A8" w:rsidRPr="00972C81" w14:paraId="16B7A72C" w14:textId="77777777" w:rsidTr="009A15D5">
        <w:trPr>
          <w:trHeight w:val="340"/>
        </w:trPr>
        <w:tc>
          <w:tcPr>
            <w:tcW w:w="2955" w:type="dxa"/>
            <w:shd w:val="clear" w:color="auto" w:fill="auto"/>
            <w:noWrap/>
            <w:vAlign w:val="center"/>
          </w:tcPr>
          <w:p w14:paraId="6DB42944" w14:textId="68E00EFE" w:rsidR="00F103A8" w:rsidRPr="00F103A8" w:rsidRDefault="00F103A8" w:rsidP="009A15D5">
            <w:pPr>
              <w:pStyle w:val="Table"/>
              <w:rPr>
                <w:noProof/>
                <w:sz w:val="20"/>
                <w:szCs w:val="22"/>
              </w:rPr>
            </w:pPr>
            <w:r w:rsidRPr="00F103A8">
              <w:rPr>
                <w:noProof/>
                <w:sz w:val="20"/>
                <w:szCs w:val="22"/>
              </w:rPr>
              <w:t xml:space="preserve">Kidneys 1 to Urinary bladder cont </w:t>
            </w:r>
          </w:p>
        </w:tc>
        <w:tc>
          <w:tcPr>
            <w:tcW w:w="1001" w:type="dxa"/>
            <w:shd w:val="clear" w:color="auto" w:fill="auto"/>
            <w:noWrap/>
            <w:vAlign w:val="center"/>
          </w:tcPr>
          <w:p w14:paraId="339FF490" w14:textId="77777777" w:rsidR="00F103A8" w:rsidRPr="00C47F2F" w:rsidRDefault="00F103A8" w:rsidP="009A15D5">
            <w:pPr>
              <w:pStyle w:val="Table"/>
              <w:rPr>
                <w:noProof/>
                <w:sz w:val="20"/>
                <w:szCs w:val="20"/>
              </w:rPr>
            </w:pPr>
            <w:r w:rsidRPr="00C47F2F">
              <w:rPr>
                <w:noProof/>
                <w:sz w:val="20"/>
                <w:szCs w:val="20"/>
              </w:rPr>
              <w:t>9.90E-02</w:t>
            </w:r>
          </w:p>
        </w:tc>
        <w:tc>
          <w:tcPr>
            <w:tcW w:w="1001" w:type="dxa"/>
            <w:shd w:val="clear" w:color="auto" w:fill="auto"/>
            <w:noWrap/>
            <w:vAlign w:val="center"/>
          </w:tcPr>
          <w:p w14:paraId="1A761081" w14:textId="77777777" w:rsidR="00F103A8" w:rsidRPr="00C47F2F" w:rsidRDefault="00F103A8" w:rsidP="009A15D5">
            <w:pPr>
              <w:pStyle w:val="Table"/>
              <w:rPr>
                <w:noProof/>
                <w:sz w:val="20"/>
                <w:szCs w:val="20"/>
              </w:rPr>
            </w:pPr>
            <w:r w:rsidRPr="00C47F2F">
              <w:rPr>
                <w:noProof/>
                <w:sz w:val="20"/>
                <w:szCs w:val="20"/>
              </w:rPr>
              <w:t>9.90E-02</w:t>
            </w:r>
          </w:p>
        </w:tc>
        <w:tc>
          <w:tcPr>
            <w:tcW w:w="1039" w:type="dxa"/>
            <w:shd w:val="clear" w:color="auto" w:fill="auto"/>
            <w:noWrap/>
            <w:vAlign w:val="center"/>
          </w:tcPr>
          <w:p w14:paraId="3E63F6AF" w14:textId="77777777" w:rsidR="00F103A8" w:rsidRPr="00C47F2F" w:rsidRDefault="00F103A8" w:rsidP="009A15D5">
            <w:pPr>
              <w:pStyle w:val="Table"/>
              <w:rPr>
                <w:noProof/>
                <w:sz w:val="20"/>
                <w:szCs w:val="20"/>
              </w:rPr>
            </w:pPr>
            <w:r w:rsidRPr="00C47F2F">
              <w:rPr>
                <w:noProof/>
                <w:sz w:val="20"/>
                <w:szCs w:val="20"/>
              </w:rPr>
              <w:t>9.90E-02</w:t>
            </w:r>
          </w:p>
        </w:tc>
        <w:tc>
          <w:tcPr>
            <w:tcW w:w="1001" w:type="dxa"/>
            <w:shd w:val="clear" w:color="auto" w:fill="auto"/>
            <w:noWrap/>
            <w:vAlign w:val="center"/>
          </w:tcPr>
          <w:p w14:paraId="1BFB7EE7" w14:textId="77777777" w:rsidR="00F103A8" w:rsidRPr="00C47F2F" w:rsidRDefault="00F103A8" w:rsidP="009A15D5">
            <w:pPr>
              <w:pStyle w:val="Table"/>
              <w:rPr>
                <w:noProof/>
                <w:sz w:val="20"/>
                <w:szCs w:val="20"/>
              </w:rPr>
            </w:pPr>
            <w:r w:rsidRPr="00C47F2F">
              <w:rPr>
                <w:noProof/>
                <w:sz w:val="20"/>
                <w:szCs w:val="20"/>
              </w:rPr>
              <w:t>9.90E-02</w:t>
            </w:r>
          </w:p>
        </w:tc>
        <w:tc>
          <w:tcPr>
            <w:tcW w:w="1001" w:type="dxa"/>
            <w:shd w:val="clear" w:color="auto" w:fill="auto"/>
            <w:noWrap/>
            <w:vAlign w:val="center"/>
          </w:tcPr>
          <w:p w14:paraId="1A4029E7" w14:textId="77777777" w:rsidR="00F103A8" w:rsidRPr="00C47F2F" w:rsidRDefault="00F103A8" w:rsidP="009A15D5">
            <w:pPr>
              <w:pStyle w:val="Table"/>
              <w:rPr>
                <w:noProof/>
                <w:sz w:val="20"/>
                <w:szCs w:val="20"/>
              </w:rPr>
            </w:pPr>
            <w:r w:rsidRPr="00C47F2F">
              <w:rPr>
                <w:noProof/>
                <w:sz w:val="20"/>
                <w:szCs w:val="20"/>
              </w:rPr>
              <w:t>9.90E-02</w:t>
            </w:r>
          </w:p>
        </w:tc>
        <w:tc>
          <w:tcPr>
            <w:tcW w:w="1029" w:type="dxa"/>
            <w:shd w:val="clear" w:color="auto" w:fill="auto"/>
            <w:noWrap/>
            <w:vAlign w:val="center"/>
          </w:tcPr>
          <w:p w14:paraId="2A944F6C" w14:textId="77777777" w:rsidR="00F103A8" w:rsidRPr="00C47F2F" w:rsidRDefault="00F103A8" w:rsidP="009A15D5">
            <w:pPr>
              <w:pStyle w:val="Table"/>
              <w:rPr>
                <w:noProof/>
                <w:sz w:val="20"/>
                <w:szCs w:val="20"/>
              </w:rPr>
            </w:pPr>
            <w:r w:rsidRPr="00C47F2F">
              <w:rPr>
                <w:noProof/>
                <w:sz w:val="20"/>
                <w:szCs w:val="20"/>
              </w:rPr>
              <w:t>9.90E-02</w:t>
            </w:r>
          </w:p>
        </w:tc>
      </w:tr>
      <w:tr w:rsidR="00F103A8" w:rsidRPr="00972C81" w14:paraId="60A4A2C7" w14:textId="77777777" w:rsidTr="009A15D5">
        <w:trPr>
          <w:trHeight w:val="340"/>
        </w:trPr>
        <w:tc>
          <w:tcPr>
            <w:tcW w:w="2955" w:type="dxa"/>
            <w:shd w:val="clear" w:color="auto" w:fill="auto"/>
            <w:noWrap/>
            <w:vAlign w:val="center"/>
          </w:tcPr>
          <w:p w14:paraId="1E94FAA9" w14:textId="411138C0" w:rsidR="00F103A8" w:rsidRPr="00F103A8" w:rsidRDefault="00F103A8" w:rsidP="009A15D5">
            <w:pPr>
              <w:pStyle w:val="Table"/>
              <w:rPr>
                <w:noProof/>
                <w:sz w:val="20"/>
                <w:szCs w:val="22"/>
              </w:rPr>
            </w:pPr>
            <w:r w:rsidRPr="00F103A8">
              <w:rPr>
                <w:noProof/>
                <w:sz w:val="20"/>
                <w:szCs w:val="22"/>
              </w:rPr>
              <w:t>Kidneys 2 to Blood</w:t>
            </w:r>
          </w:p>
        </w:tc>
        <w:tc>
          <w:tcPr>
            <w:tcW w:w="1001" w:type="dxa"/>
            <w:shd w:val="clear" w:color="auto" w:fill="auto"/>
            <w:noWrap/>
            <w:vAlign w:val="center"/>
          </w:tcPr>
          <w:p w14:paraId="5460D74C" w14:textId="77777777" w:rsidR="00F103A8" w:rsidRPr="00C47F2F" w:rsidRDefault="00F103A8" w:rsidP="009A15D5">
            <w:pPr>
              <w:pStyle w:val="Table"/>
              <w:rPr>
                <w:noProof/>
                <w:sz w:val="20"/>
                <w:szCs w:val="20"/>
              </w:rPr>
            </w:pPr>
            <w:r w:rsidRPr="00C47F2F">
              <w:rPr>
                <w:noProof/>
                <w:sz w:val="20"/>
                <w:szCs w:val="20"/>
              </w:rPr>
              <w:t>1.39E-03</w:t>
            </w:r>
          </w:p>
        </w:tc>
        <w:tc>
          <w:tcPr>
            <w:tcW w:w="1001" w:type="dxa"/>
            <w:shd w:val="clear" w:color="auto" w:fill="auto"/>
            <w:noWrap/>
            <w:vAlign w:val="center"/>
          </w:tcPr>
          <w:p w14:paraId="22305767" w14:textId="77777777" w:rsidR="00F103A8" w:rsidRPr="00C47F2F" w:rsidRDefault="00F103A8" w:rsidP="009A15D5">
            <w:pPr>
              <w:pStyle w:val="Table"/>
              <w:rPr>
                <w:noProof/>
                <w:sz w:val="20"/>
                <w:szCs w:val="20"/>
              </w:rPr>
            </w:pPr>
            <w:r w:rsidRPr="00C47F2F">
              <w:rPr>
                <w:noProof/>
                <w:sz w:val="20"/>
                <w:szCs w:val="20"/>
              </w:rPr>
              <w:t>1.39E-03</w:t>
            </w:r>
          </w:p>
        </w:tc>
        <w:tc>
          <w:tcPr>
            <w:tcW w:w="1039" w:type="dxa"/>
            <w:shd w:val="clear" w:color="auto" w:fill="auto"/>
            <w:noWrap/>
            <w:vAlign w:val="center"/>
          </w:tcPr>
          <w:p w14:paraId="3395C743" w14:textId="77777777" w:rsidR="00F103A8" w:rsidRPr="00C47F2F" w:rsidRDefault="00F103A8" w:rsidP="009A15D5">
            <w:pPr>
              <w:pStyle w:val="Table"/>
              <w:rPr>
                <w:noProof/>
                <w:sz w:val="20"/>
                <w:szCs w:val="20"/>
              </w:rPr>
            </w:pPr>
            <w:r w:rsidRPr="00C47F2F">
              <w:rPr>
                <w:noProof/>
                <w:sz w:val="20"/>
                <w:szCs w:val="20"/>
              </w:rPr>
              <w:t>1.39E-03</w:t>
            </w:r>
          </w:p>
        </w:tc>
        <w:tc>
          <w:tcPr>
            <w:tcW w:w="1001" w:type="dxa"/>
            <w:shd w:val="clear" w:color="auto" w:fill="auto"/>
            <w:noWrap/>
            <w:vAlign w:val="center"/>
          </w:tcPr>
          <w:p w14:paraId="140A1BB3" w14:textId="77777777" w:rsidR="00F103A8" w:rsidRPr="00C47F2F" w:rsidRDefault="00F103A8" w:rsidP="009A15D5">
            <w:pPr>
              <w:pStyle w:val="Table"/>
              <w:rPr>
                <w:noProof/>
                <w:sz w:val="20"/>
                <w:szCs w:val="20"/>
              </w:rPr>
            </w:pPr>
            <w:r w:rsidRPr="00C47F2F">
              <w:rPr>
                <w:noProof/>
                <w:sz w:val="20"/>
                <w:szCs w:val="20"/>
              </w:rPr>
              <w:t>1.39E-03</w:t>
            </w:r>
          </w:p>
        </w:tc>
        <w:tc>
          <w:tcPr>
            <w:tcW w:w="1001" w:type="dxa"/>
            <w:shd w:val="clear" w:color="auto" w:fill="auto"/>
            <w:noWrap/>
            <w:vAlign w:val="center"/>
          </w:tcPr>
          <w:p w14:paraId="62D56B01" w14:textId="77777777" w:rsidR="00F103A8" w:rsidRPr="00C47F2F" w:rsidRDefault="00F103A8" w:rsidP="009A15D5">
            <w:pPr>
              <w:pStyle w:val="Table"/>
              <w:rPr>
                <w:noProof/>
                <w:sz w:val="20"/>
                <w:szCs w:val="20"/>
              </w:rPr>
            </w:pPr>
            <w:r w:rsidRPr="00C47F2F">
              <w:rPr>
                <w:noProof/>
                <w:sz w:val="20"/>
                <w:szCs w:val="20"/>
              </w:rPr>
              <w:t>1.39E-03</w:t>
            </w:r>
          </w:p>
        </w:tc>
        <w:tc>
          <w:tcPr>
            <w:tcW w:w="1029" w:type="dxa"/>
            <w:shd w:val="clear" w:color="auto" w:fill="auto"/>
            <w:noWrap/>
            <w:vAlign w:val="center"/>
          </w:tcPr>
          <w:p w14:paraId="3077026B" w14:textId="77777777" w:rsidR="00F103A8" w:rsidRPr="00C47F2F" w:rsidRDefault="00F103A8" w:rsidP="009A15D5">
            <w:pPr>
              <w:pStyle w:val="Table"/>
              <w:rPr>
                <w:noProof/>
                <w:sz w:val="20"/>
                <w:szCs w:val="20"/>
              </w:rPr>
            </w:pPr>
            <w:r w:rsidRPr="00C47F2F">
              <w:rPr>
                <w:noProof/>
                <w:sz w:val="20"/>
                <w:szCs w:val="20"/>
              </w:rPr>
              <w:t>1.39E-03</w:t>
            </w:r>
          </w:p>
        </w:tc>
      </w:tr>
      <w:tr w:rsidR="00F103A8" w:rsidRPr="00972C81" w14:paraId="54759882" w14:textId="77777777" w:rsidTr="009A15D5">
        <w:trPr>
          <w:trHeight w:val="340"/>
        </w:trPr>
        <w:tc>
          <w:tcPr>
            <w:tcW w:w="2955" w:type="dxa"/>
            <w:shd w:val="clear" w:color="auto" w:fill="auto"/>
            <w:noWrap/>
            <w:vAlign w:val="center"/>
          </w:tcPr>
          <w:p w14:paraId="27059951" w14:textId="38C80F69" w:rsidR="00F103A8" w:rsidRPr="00F103A8" w:rsidRDefault="00F103A8" w:rsidP="009A15D5">
            <w:pPr>
              <w:pStyle w:val="Table"/>
              <w:rPr>
                <w:noProof/>
                <w:sz w:val="20"/>
                <w:szCs w:val="22"/>
              </w:rPr>
            </w:pPr>
            <w:r w:rsidRPr="00F103A8">
              <w:rPr>
                <w:noProof/>
                <w:sz w:val="20"/>
                <w:szCs w:val="22"/>
              </w:rPr>
              <w:t>Testes to Blood</w:t>
            </w:r>
          </w:p>
        </w:tc>
        <w:tc>
          <w:tcPr>
            <w:tcW w:w="1001" w:type="dxa"/>
            <w:shd w:val="clear" w:color="auto" w:fill="auto"/>
            <w:noWrap/>
            <w:vAlign w:val="center"/>
          </w:tcPr>
          <w:p w14:paraId="1CD776EB" w14:textId="77777777" w:rsidR="00F103A8" w:rsidRPr="00C47F2F" w:rsidRDefault="00F103A8" w:rsidP="009A15D5">
            <w:pPr>
              <w:pStyle w:val="Table"/>
              <w:rPr>
                <w:noProof/>
                <w:sz w:val="20"/>
                <w:szCs w:val="20"/>
              </w:rPr>
            </w:pPr>
            <w:r w:rsidRPr="00C47F2F">
              <w:rPr>
                <w:noProof/>
                <w:sz w:val="20"/>
                <w:szCs w:val="20"/>
              </w:rPr>
              <w:t>3.80E-04</w:t>
            </w:r>
          </w:p>
        </w:tc>
        <w:tc>
          <w:tcPr>
            <w:tcW w:w="1001" w:type="dxa"/>
            <w:shd w:val="clear" w:color="auto" w:fill="auto"/>
            <w:noWrap/>
            <w:vAlign w:val="center"/>
          </w:tcPr>
          <w:p w14:paraId="10F9DB95" w14:textId="77777777" w:rsidR="00F103A8" w:rsidRPr="00C47F2F" w:rsidRDefault="00F103A8" w:rsidP="009A15D5">
            <w:pPr>
              <w:pStyle w:val="Table"/>
              <w:rPr>
                <w:noProof/>
                <w:sz w:val="20"/>
                <w:szCs w:val="20"/>
              </w:rPr>
            </w:pPr>
            <w:r w:rsidRPr="00C47F2F">
              <w:rPr>
                <w:noProof/>
                <w:sz w:val="20"/>
                <w:szCs w:val="20"/>
              </w:rPr>
              <w:t>3.80E-04</w:t>
            </w:r>
          </w:p>
        </w:tc>
        <w:tc>
          <w:tcPr>
            <w:tcW w:w="1039" w:type="dxa"/>
            <w:shd w:val="clear" w:color="auto" w:fill="auto"/>
            <w:noWrap/>
            <w:vAlign w:val="center"/>
          </w:tcPr>
          <w:p w14:paraId="5C699E2C" w14:textId="77777777" w:rsidR="00F103A8" w:rsidRPr="00C47F2F" w:rsidRDefault="00F103A8" w:rsidP="009A15D5">
            <w:pPr>
              <w:pStyle w:val="Table"/>
              <w:rPr>
                <w:noProof/>
                <w:sz w:val="20"/>
                <w:szCs w:val="20"/>
              </w:rPr>
            </w:pPr>
            <w:r w:rsidRPr="00C47F2F">
              <w:rPr>
                <w:noProof/>
                <w:sz w:val="20"/>
                <w:szCs w:val="20"/>
              </w:rPr>
              <w:t>3.80E-04</w:t>
            </w:r>
          </w:p>
        </w:tc>
        <w:tc>
          <w:tcPr>
            <w:tcW w:w="1001" w:type="dxa"/>
            <w:shd w:val="clear" w:color="auto" w:fill="auto"/>
            <w:noWrap/>
            <w:vAlign w:val="center"/>
          </w:tcPr>
          <w:p w14:paraId="5AE5DCEB" w14:textId="77777777" w:rsidR="00F103A8" w:rsidRPr="00C47F2F" w:rsidRDefault="00F103A8" w:rsidP="009A15D5">
            <w:pPr>
              <w:pStyle w:val="Table"/>
              <w:rPr>
                <w:noProof/>
                <w:sz w:val="20"/>
                <w:szCs w:val="20"/>
              </w:rPr>
            </w:pPr>
            <w:r w:rsidRPr="00C47F2F">
              <w:rPr>
                <w:noProof/>
                <w:sz w:val="20"/>
                <w:szCs w:val="20"/>
              </w:rPr>
              <w:t>3.80E-04</w:t>
            </w:r>
          </w:p>
        </w:tc>
        <w:tc>
          <w:tcPr>
            <w:tcW w:w="1001" w:type="dxa"/>
            <w:shd w:val="clear" w:color="auto" w:fill="auto"/>
            <w:noWrap/>
            <w:vAlign w:val="center"/>
          </w:tcPr>
          <w:p w14:paraId="3F590288" w14:textId="77777777" w:rsidR="00F103A8" w:rsidRPr="00C47F2F" w:rsidRDefault="00F103A8" w:rsidP="009A15D5">
            <w:pPr>
              <w:pStyle w:val="Table"/>
              <w:rPr>
                <w:noProof/>
                <w:sz w:val="20"/>
                <w:szCs w:val="20"/>
              </w:rPr>
            </w:pPr>
            <w:r w:rsidRPr="00C47F2F">
              <w:rPr>
                <w:noProof/>
                <w:sz w:val="20"/>
                <w:szCs w:val="20"/>
              </w:rPr>
              <w:t>3.80E-04</w:t>
            </w:r>
          </w:p>
        </w:tc>
        <w:tc>
          <w:tcPr>
            <w:tcW w:w="1029" w:type="dxa"/>
            <w:shd w:val="clear" w:color="auto" w:fill="auto"/>
            <w:noWrap/>
            <w:vAlign w:val="center"/>
          </w:tcPr>
          <w:p w14:paraId="54C2E91B" w14:textId="77777777" w:rsidR="00F103A8" w:rsidRPr="00C47F2F" w:rsidRDefault="00F103A8" w:rsidP="009A15D5">
            <w:pPr>
              <w:pStyle w:val="Table"/>
              <w:rPr>
                <w:noProof/>
                <w:sz w:val="20"/>
                <w:szCs w:val="20"/>
              </w:rPr>
            </w:pPr>
            <w:r w:rsidRPr="00C47F2F">
              <w:rPr>
                <w:noProof/>
                <w:sz w:val="20"/>
                <w:szCs w:val="20"/>
              </w:rPr>
              <w:t>3.80E-04</w:t>
            </w:r>
          </w:p>
        </w:tc>
      </w:tr>
      <w:tr w:rsidR="00F103A8" w:rsidRPr="00972C81" w14:paraId="21CB176C" w14:textId="77777777" w:rsidTr="009A15D5">
        <w:trPr>
          <w:trHeight w:val="340"/>
        </w:trPr>
        <w:tc>
          <w:tcPr>
            <w:tcW w:w="2955" w:type="dxa"/>
            <w:tcBorders>
              <w:bottom w:val="single" w:sz="4" w:space="0" w:color="auto"/>
            </w:tcBorders>
            <w:shd w:val="clear" w:color="auto" w:fill="auto"/>
            <w:noWrap/>
            <w:vAlign w:val="center"/>
          </w:tcPr>
          <w:p w14:paraId="3E689C0D" w14:textId="2C9CF46D" w:rsidR="00F103A8" w:rsidRPr="00F103A8" w:rsidRDefault="00F103A8" w:rsidP="009A15D5">
            <w:pPr>
              <w:pStyle w:val="Table"/>
              <w:rPr>
                <w:noProof/>
                <w:sz w:val="20"/>
                <w:szCs w:val="22"/>
              </w:rPr>
            </w:pPr>
            <w:r w:rsidRPr="00F103A8">
              <w:rPr>
                <w:noProof/>
                <w:sz w:val="20"/>
                <w:szCs w:val="22"/>
              </w:rPr>
              <w:t>Ovaries to Blood</w:t>
            </w:r>
          </w:p>
        </w:tc>
        <w:tc>
          <w:tcPr>
            <w:tcW w:w="1001" w:type="dxa"/>
            <w:tcBorders>
              <w:bottom w:val="single" w:sz="4" w:space="0" w:color="auto"/>
            </w:tcBorders>
            <w:shd w:val="clear" w:color="auto" w:fill="auto"/>
            <w:noWrap/>
            <w:vAlign w:val="center"/>
          </w:tcPr>
          <w:p w14:paraId="4E377CFB" w14:textId="77777777" w:rsidR="00F103A8" w:rsidRPr="00C47F2F" w:rsidRDefault="00F103A8" w:rsidP="009A15D5">
            <w:pPr>
              <w:pStyle w:val="Table"/>
              <w:rPr>
                <w:noProof/>
                <w:sz w:val="20"/>
                <w:szCs w:val="20"/>
              </w:rPr>
            </w:pPr>
            <w:r w:rsidRPr="00C47F2F">
              <w:rPr>
                <w:noProof/>
                <w:sz w:val="20"/>
                <w:szCs w:val="20"/>
              </w:rPr>
              <w:t>3.80E-04</w:t>
            </w:r>
          </w:p>
        </w:tc>
        <w:tc>
          <w:tcPr>
            <w:tcW w:w="1001" w:type="dxa"/>
            <w:tcBorders>
              <w:bottom w:val="single" w:sz="4" w:space="0" w:color="auto"/>
            </w:tcBorders>
            <w:shd w:val="clear" w:color="auto" w:fill="auto"/>
            <w:noWrap/>
            <w:vAlign w:val="center"/>
          </w:tcPr>
          <w:p w14:paraId="41C2965B" w14:textId="77777777" w:rsidR="00F103A8" w:rsidRPr="00C47F2F" w:rsidRDefault="00F103A8" w:rsidP="009A15D5">
            <w:pPr>
              <w:pStyle w:val="Table"/>
              <w:rPr>
                <w:noProof/>
                <w:sz w:val="20"/>
                <w:szCs w:val="20"/>
              </w:rPr>
            </w:pPr>
            <w:r w:rsidRPr="00C47F2F">
              <w:rPr>
                <w:noProof/>
                <w:sz w:val="20"/>
                <w:szCs w:val="20"/>
              </w:rPr>
              <w:t>3.80E-04</w:t>
            </w:r>
          </w:p>
        </w:tc>
        <w:tc>
          <w:tcPr>
            <w:tcW w:w="1039" w:type="dxa"/>
            <w:tcBorders>
              <w:bottom w:val="single" w:sz="4" w:space="0" w:color="auto"/>
            </w:tcBorders>
            <w:shd w:val="clear" w:color="auto" w:fill="auto"/>
            <w:noWrap/>
            <w:vAlign w:val="center"/>
          </w:tcPr>
          <w:p w14:paraId="610EED7C" w14:textId="77777777" w:rsidR="00F103A8" w:rsidRPr="00C47F2F" w:rsidRDefault="00F103A8" w:rsidP="009A15D5">
            <w:pPr>
              <w:pStyle w:val="Table"/>
              <w:rPr>
                <w:noProof/>
                <w:sz w:val="20"/>
                <w:szCs w:val="20"/>
              </w:rPr>
            </w:pPr>
            <w:r w:rsidRPr="00C47F2F">
              <w:rPr>
                <w:noProof/>
                <w:sz w:val="20"/>
                <w:szCs w:val="20"/>
              </w:rPr>
              <w:t>3.80E-04</w:t>
            </w:r>
          </w:p>
        </w:tc>
        <w:tc>
          <w:tcPr>
            <w:tcW w:w="1001" w:type="dxa"/>
            <w:tcBorders>
              <w:bottom w:val="single" w:sz="4" w:space="0" w:color="auto"/>
            </w:tcBorders>
            <w:shd w:val="clear" w:color="auto" w:fill="auto"/>
            <w:noWrap/>
            <w:vAlign w:val="center"/>
          </w:tcPr>
          <w:p w14:paraId="14B99261" w14:textId="77777777" w:rsidR="00F103A8" w:rsidRPr="00C47F2F" w:rsidRDefault="00F103A8" w:rsidP="009A15D5">
            <w:pPr>
              <w:pStyle w:val="Table"/>
              <w:rPr>
                <w:noProof/>
                <w:sz w:val="20"/>
                <w:szCs w:val="20"/>
              </w:rPr>
            </w:pPr>
            <w:r w:rsidRPr="00C47F2F">
              <w:rPr>
                <w:noProof/>
                <w:sz w:val="20"/>
                <w:szCs w:val="20"/>
              </w:rPr>
              <w:t>3.80E-04</w:t>
            </w:r>
          </w:p>
        </w:tc>
        <w:tc>
          <w:tcPr>
            <w:tcW w:w="1001" w:type="dxa"/>
            <w:tcBorders>
              <w:bottom w:val="single" w:sz="4" w:space="0" w:color="auto"/>
            </w:tcBorders>
            <w:shd w:val="clear" w:color="auto" w:fill="auto"/>
            <w:noWrap/>
            <w:vAlign w:val="center"/>
          </w:tcPr>
          <w:p w14:paraId="2E314F08" w14:textId="77777777" w:rsidR="00F103A8" w:rsidRPr="00C47F2F" w:rsidRDefault="00F103A8" w:rsidP="009A15D5">
            <w:pPr>
              <w:pStyle w:val="Table"/>
              <w:rPr>
                <w:noProof/>
                <w:sz w:val="20"/>
                <w:szCs w:val="20"/>
              </w:rPr>
            </w:pPr>
            <w:r w:rsidRPr="00C47F2F">
              <w:rPr>
                <w:noProof/>
                <w:sz w:val="20"/>
                <w:szCs w:val="20"/>
              </w:rPr>
              <w:t>3.80E-04</w:t>
            </w:r>
          </w:p>
        </w:tc>
        <w:tc>
          <w:tcPr>
            <w:tcW w:w="1029" w:type="dxa"/>
            <w:tcBorders>
              <w:bottom w:val="single" w:sz="4" w:space="0" w:color="auto"/>
            </w:tcBorders>
            <w:shd w:val="clear" w:color="auto" w:fill="auto"/>
            <w:noWrap/>
            <w:vAlign w:val="center"/>
          </w:tcPr>
          <w:p w14:paraId="34B1BDCC" w14:textId="77777777" w:rsidR="00F103A8" w:rsidRPr="00C47F2F" w:rsidRDefault="00F103A8" w:rsidP="009A15D5">
            <w:pPr>
              <w:pStyle w:val="Table"/>
              <w:rPr>
                <w:noProof/>
                <w:sz w:val="20"/>
                <w:szCs w:val="20"/>
              </w:rPr>
            </w:pPr>
            <w:r w:rsidRPr="00C47F2F">
              <w:rPr>
                <w:noProof/>
                <w:sz w:val="20"/>
                <w:szCs w:val="20"/>
              </w:rPr>
              <w:t>3.80E-04</w:t>
            </w:r>
          </w:p>
        </w:tc>
      </w:tr>
    </w:tbl>
    <w:p w14:paraId="3EA722BF" w14:textId="77777777" w:rsidR="00F103A8" w:rsidRPr="009A15D5" w:rsidRDefault="00F103A8" w:rsidP="00F103A8">
      <w:pPr>
        <w:pStyle w:val="MainTextPreference"/>
        <w:rPr>
          <w:noProof/>
          <w:sz w:val="20"/>
          <w:lang w:val="fr-FR"/>
        </w:rPr>
      </w:pPr>
      <w:bookmarkStart w:id="352" w:name="_Hlk494806018"/>
      <w:bookmarkStart w:id="353" w:name="_Hlk494870172"/>
      <w:r w:rsidRPr="009A15D5">
        <w:rPr>
          <w:noProof/>
          <w:sz w:val="20"/>
          <w:vertAlign w:val="superscript"/>
          <w:lang w:val="fr-FR"/>
        </w:rPr>
        <w:t>a</w:t>
      </w:r>
      <w:r w:rsidRPr="009A15D5">
        <w:rPr>
          <w:noProof/>
          <w:sz w:val="20"/>
          <w:lang w:val="fr-FR"/>
        </w:rPr>
        <w:t>Cort = Cortical, Trab = Trabecular, SI = Small intestine, cont=content, surf=surface, vol = volume</w:t>
      </w:r>
    </w:p>
    <w:p w14:paraId="13D990BB" w14:textId="31D4B166" w:rsidR="00D60A65" w:rsidRPr="00972C81" w:rsidRDefault="00D60A65" w:rsidP="006703A2">
      <w:pPr>
        <w:pStyle w:val="OIRTitre4"/>
      </w:pPr>
      <w:r w:rsidRPr="00972C81">
        <w:t>Treatment of radioactive progeny</w:t>
      </w:r>
    </w:p>
    <w:bookmarkEnd w:id="352"/>
    <w:bookmarkEnd w:id="353"/>
    <w:p w14:paraId="053E160D" w14:textId="507AB2C2" w:rsidR="00D60A65" w:rsidRPr="00972C81" w:rsidRDefault="006044EE" w:rsidP="001C4A92">
      <w:pPr>
        <w:pStyle w:val="Annalstext"/>
        <w:rPr>
          <w:rFonts w:ascii="Times Roman" w:hAnsi="Times Roman"/>
          <w:noProof/>
          <w:color w:val="000000"/>
          <w:szCs w:val="24"/>
        </w:rPr>
      </w:pPr>
      <w:r w:rsidRPr="00972C81">
        <w:rPr>
          <w:rFonts w:eastAsia="Calibri"/>
          <w:noProof/>
        </w:rPr>
        <w:t xml:space="preserve">The treatment of radioactive progeny produced in systemic compartments after intake of a </w:t>
      </w:r>
      <w:r w:rsidRPr="00972C81">
        <w:rPr>
          <w:noProof/>
        </w:rPr>
        <w:t>radioisotope</w:t>
      </w:r>
      <w:r w:rsidRPr="00972C81">
        <w:rPr>
          <w:rFonts w:eastAsia="Calibri"/>
          <w:noProof/>
        </w:rPr>
        <w:t xml:space="preserve"> of americium is described in Section 18.2.4. of </w:t>
      </w:r>
      <w:r w:rsidR="00684B79" w:rsidRPr="00972C81">
        <w:rPr>
          <w:i/>
          <w:noProof/>
        </w:rPr>
        <w:t>Publication 141</w:t>
      </w:r>
      <w:r w:rsidR="00684B79" w:rsidRPr="00972C81">
        <w:rPr>
          <w:noProof/>
        </w:rPr>
        <w:t xml:space="preserve"> </w:t>
      </w:r>
      <w:r w:rsidR="00653D0A" w:rsidRPr="00972C81">
        <w:rPr>
          <w:noProof/>
        </w:rPr>
        <w:fldChar w:fldCharType="begin"/>
      </w:r>
      <w:r w:rsidR="0091689A" w:rsidRPr="00972C81">
        <w:rPr>
          <w:noProof/>
        </w:rPr>
        <w:instrText xml:space="preserve"> ADDIN ZOTERO_ITEM CSL_CITATION {"citationID":"a2kqfm5j7ai","properties":{"formattedCitation":"(ICRP,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653D0A" w:rsidRPr="00972C81">
        <w:rPr>
          <w:noProof/>
        </w:rPr>
        <w:fldChar w:fldCharType="separate"/>
      </w:r>
      <w:r w:rsidR="0091689A" w:rsidRPr="00972C81">
        <w:rPr>
          <w:noProof/>
          <w:szCs w:val="24"/>
        </w:rPr>
        <w:t>(ICRP, 2019)</w:t>
      </w:r>
      <w:r w:rsidR="00653D0A" w:rsidRPr="00972C81">
        <w:rPr>
          <w:noProof/>
        </w:rPr>
        <w:fldChar w:fldCharType="end"/>
      </w:r>
      <w:r w:rsidR="00684B79" w:rsidRPr="00972C81">
        <w:rPr>
          <w:noProof/>
        </w:rPr>
        <w:t>.</w:t>
      </w:r>
    </w:p>
    <w:p w14:paraId="2987DECF" w14:textId="77777777" w:rsidR="004C790F" w:rsidRPr="00972C81" w:rsidRDefault="004C790F" w:rsidP="00E81109">
      <w:pPr>
        <w:pStyle w:val="2"/>
        <w:rPr>
          <w:noProof/>
          <w:lang w:val="en-GB"/>
        </w:rPr>
      </w:pPr>
      <w:bookmarkStart w:id="354" w:name="_Toc162630114"/>
      <w:r w:rsidRPr="00972C81">
        <w:rPr>
          <w:noProof/>
          <w:lang w:val="en-GB"/>
        </w:rPr>
        <w:lastRenderedPageBreak/>
        <w:t>Dosimetric data for americium</w:t>
      </w:r>
      <w:bookmarkEnd w:id="354"/>
      <w:r w:rsidRPr="00972C81">
        <w:rPr>
          <w:noProof/>
          <w:lang w:val="en-GB"/>
        </w:rPr>
        <w:t xml:space="preserve"> </w:t>
      </w:r>
    </w:p>
    <w:p w14:paraId="7C47C707" w14:textId="055D559D" w:rsidR="005C2848" w:rsidRPr="00972C81" w:rsidRDefault="005C2848" w:rsidP="00C47F2F">
      <w:pPr>
        <w:widowControl/>
        <w:jc w:val="left"/>
        <w:rPr>
          <w:noProof/>
          <w:szCs w:val="24"/>
        </w:rPr>
      </w:pPr>
      <w:r w:rsidRPr="00972C81">
        <w:rPr>
          <w:noProof/>
          <w:szCs w:val="24"/>
        </w:rPr>
        <w:t>Table 23.3. Committed effective dose coefficients (Sv Bq</w:t>
      </w:r>
      <w:r w:rsidRPr="00972C81">
        <w:rPr>
          <w:noProof/>
          <w:szCs w:val="24"/>
          <w:vertAlign w:val="superscript"/>
        </w:rPr>
        <w:t>-1</w:t>
      </w:r>
      <w:r w:rsidRPr="00972C81">
        <w:rPr>
          <w:noProof/>
          <w:szCs w:val="24"/>
        </w:rPr>
        <w:t xml:space="preserve">) for the inhalation or ingestion of </w:t>
      </w:r>
      <w:r w:rsidRPr="00972C81">
        <w:rPr>
          <w:noProof/>
          <w:szCs w:val="24"/>
          <w:vertAlign w:val="superscript"/>
        </w:rPr>
        <w:t>241</w:t>
      </w:r>
      <w:r w:rsidRPr="00972C81">
        <w:rPr>
          <w:noProof/>
          <w:szCs w:val="24"/>
        </w:rPr>
        <w:t>Am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5C2848" w:rsidRPr="00A3213E" w14:paraId="7A7CC282" w14:textId="77777777" w:rsidTr="009A15D5">
        <w:trPr>
          <w:trHeight w:val="340"/>
        </w:trPr>
        <w:tc>
          <w:tcPr>
            <w:tcW w:w="2087" w:type="pct"/>
            <w:vMerge w:val="restart"/>
            <w:tcBorders>
              <w:top w:val="single" w:sz="4" w:space="0" w:color="auto"/>
              <w:left w:val="nil"/>
              <w:bottom w:val="single" w:sz="4" w:space="0" w:color="auto"/>
              <w:right w:val="nil"/>
            </w:tcBorders>
            <w:vAlign w:val="bottom"/>
            <w:hideMark/>
          </w:tcPr>
          <w:p w14:paraId="561F4809" w14:textId="77777777" w:rsidR="002B0D0B" w:rsidRPr="00C47F2F" w:rsidRDefault="005C2848">
            <w:pPr>
              <w:pStyle w:val="a5"/>
              <w:tabs>
                <w:tab w:val="clear" w:pos="4153"/>
                <w:tab w:val="clear" w:pos="8306"/>
              </w:tabs>
              <w:rPr>
                <w:noProof/>
                <w:sz w:val="22"/>
                <w:szCs w:val="22"/>
              </w:rPr>
            </w:pPr>
            <w:r w:rsidRPr="00C47F2F">
              <w:rPr>
                <w:noProof/>
                <w:sz w:val="22"/>
                <w:szCs w:val="22"/>
              </w:rPr>
              <w:t>Inhaled particulate materials</w:t>
            </w:r>
          </w:p>
          <w:p w14:paraId="013A2A29" w14:textId="6149F730" w:rsidR="005C2848" w:rsidRPr="002B0D0B" w:rsidRDefault="005C2848" w:rsidP="00C47F2F">
            <w:pPr>
              <w:pStyle w:val="a5"/>
              <w:tabs>
                <w:tab w:val="clear" w:pos="4153"/>
                <w:tab w:val="clear" w:pos="8306"/>
              </w:tabs>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2F701906" w14:textId="77777777" w:rsidR="005C2848" w:rsidRPr="00C47F2F" w:rsidRDefault="005C2848" w:rsidP="009A15D5">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5C2848" w:rsidRPr="00972C81" w14:paraId="43453F98" w14:textId="77777777" w:rsidTr="009A15D5">
        <w:trPr>
          <w:trHeight w:val="340"/>
        </w:trPr>
        <w:tc>
          <w:tcPr>
            <w:tcW w:w="2087" w:type="pct"/>
            <w:vMerge/>
            <w:tcBorders>
              <w:top w:val="single" w:sz="4" w:space="0" w:color="auto"/>
              <w:left w:val="nil"/>
              <w:bottom w:val="single" w:sz="4" w:space="0" w:color="auto"/>
              <w:right w:val="nil"/>
            </w:tcBorders>
            <w:vAlign w:val="center"/>
            <w:hideMark/>
          </w:tcPr>
          <w:p w14:paraId="1F3EFDF0" w14:textId="77777777" w:rsidR="005C2848" w:rsidRPr="002B0D0B" w:rsidRDefault="005C2848">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4EA09011" w14:textId="3BBEF90A" w:rsidR="005C2848" w:rsidRPr="00232741" w:rsidRDefault="005C2848" w:rsidP="009A15D5">
            <w:pPr>
              <w:pStyle w:val="TabFiglegends"/>
              <w:widowControl w:val="0"/>
              <w:jc w:val="left"/>
              <w:rPr>
                <w:noProof/>
                <w:szCs w:val="22"/>
                <w:lang w:eastAsia="ko-KR"/>
              </w:rPr>
            </w:pPr>
            <w:r w:rsidRPr="00C47F2F">
              <w:rPr>
                <w:noProof/>
                <w:szCs w:val="22"/>
                <w:lang w:eastAsia="en-US"/>
              </w:rPr>
              <w:t>3</w:t>
            </w:r>
            <w:r w:rsidR="002B0D0B">
              <w:rPr>
                <w:rFonts w:hint="eastAsia"/>
                <w:noProof/>
                <w:szCs w:val="22"/>
                <w:lang w:eastAsia="ko-KR"/>
              </w:rPr>
              <w:t xml:space="preserve"> </w:t>
            </w:r>
            <w:r w:rsidRPr="00C47F2F">
              <w:rPr>
                <w:noProof/>
                <w:szCs w:val="22"/>
                <w:lang w:eastAsia="en-US"/>
              </w:rPr>
              <w:t>m</w:t>
            </w:r>
            <w:r w:rsidR="009A15D5">
              <w:rPr>
                <w:rFonts w:hint="eastAsia"/>
                <w:noProof/>
                <w:szCs w:val="22"/>
                <w:lang w:eastAsia="ko-KR"/>
              </w:rPr>
              <w:t>o</w:t>
            </w:r>
          </w:p>
        </w:tc>
        <w:tc>
          <w:tcPr>
            <w:tcW w:w="485" w:type="pct"/>
            <w:tcBorders>
              <w:top w:val="single" w:sz="4" w:space="0" w:color="auto"/>
              <w:left w:val="nil"/>
              <w:bottom w:val="single" w:sz="4" w:space="0" w:color="auto"/>
              <w:right w:val="nil"/>
            </w:tcBorders>
            <w:vAlign w:val="center"/>
            <w:hideMark/>
          </w:tcPr>
          <w:p w14:paraId="00C3B8A4" w14:textId="610757C1" w:rsidR="005C2848" w:rsidRPr="00C47F2F" w:rsidRDefault="005C2848" w:rsidP="009A15D5">
            <w:pPr>
              <w:jc w:val="left"/>
              <w:rPr>
                <w:noProof/>
                <w:sz w:val="22"/>
                <w:szCs w:val="22"/>
              </w:rPr>
            </w:pPr>
            <w:r w:rsidRPr="00C47F2F">
              <w:rPr>
                <w:noProof/>
                <w:sz w:val="22"/>
                <w:szCs w:val="22"/>
              </w:rPr>
              <w:t>1</w:t>
            </w:r>
            <w:r w:rsidR="002B0D0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6F8F2499" w14:textId="6842AED6" w:rsidR="005C2848" w:rsidRPr="00C47F2F" w:rsidRDefault="005C2848" w:rsidP="009A15D5">
            <w:pPr>
              <w:jc w:val="left"/>
              <w:rPr>
                <w:noProof/>
                <w:sz w:val="22"/>
                <w:szCs w:val="22"/>
              </w:rPr>
            </w:pPr>
            <w:r w:rsidRPr="00C47F2F">
              <w:rPr>
                <w:noProof/>
                <w:sz w:val="22"/>
                <w:szCs w:val="22"/>
              </w:rPr>
              <w:t>5</w:t>
            </w:r>
            <w:r w:rsidR="002B0D0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617BE430" w14:textId="41753DE1" w:rsidR="005C2848" w:rsidRPr="00C47F2F" w:rsidRDefault="005C2848" w:rsidP="009A15D5">
            <w:pPr>
              <w:jc w:val="left"/>
              <w:rPr>
                <w:noProof/>
                <w:sz w:val="22"/>
                <w:szCs w:val="22"/>
              </w:rPr>
            </w:pPr>
            <w:r w:rsidRPr="00C47F2F">
              <w:rPr>
                <w:noProof/>
                <w:sz w:val="22"/>
                <w:szCs w:val="22"/>
              </w:rPr>
              <w:t>10</w:t>
            </w:r>
            <w:r w:rsidR="002B0D0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68EDEC50" w14:textId="178EAD6D" w:rsidR="005C2848" w:rsidRPr="00C47F2F" w:rsidRDefault="005C2848" w:rsidP="009A15D5">
            <w:pPr>
              <w:jc w:val="left"/>
              <w:rPr>
                <w:noProof/>
                <w:sz w:val="22"/>
                <w:szCs w:val="22"/>
              </w:rPr>
            </w:pPr>
            <w:r w:rsidRPr="00C47F2F">
              <w:rPr>
                <w:noProof/>
                <w:sz w:val="22"/>
                <w:szCs w:val="22"/>
              </w:rPr>
              <w:t>15</w:t>
            </w:r>
            <w:r w:rsidR="002B0D0B">
              <w:rPr>
                <w:rFonts w:hint="eastAsia"/>
                <w:noProof/>
                <w:sz w:val="22"/>
                <w:szCs w:val="22"/>
                <w:lang w:eastAsia="ko-KR"/>
              </w:rPr>
              <w:t xml:space="preserve"> </w:t>
            </w:r>
            <w:r w:rsidRPr="00C47F2F">
              <w:rPr>
                <w:noProof/>
                <w:sz w:val="22"/>
                <w:szCs w:val="22"/>
              </w:rPr>
              <w:t>y</w:t>
            </w:r>
          </w:p>
        </w:tc>
        <w:tc>
          <w:tcPr>
            <w:tcW w:w="487" w:type="pct"/>
            <w:tcBorders>
              <w:top w:val="single" w:sz="4" w:space="0" w:color="auto"/>
              <w:left w:val="nil"/>
              <w:bottom w:val="single" w:sz="4" w:space="0" w:color="auto"/>
              <w:right w:val="nil"/>
            </w:tcBorders>
            <w:vAlign w:val="center"/>
            <w:hideMark/>
          </w:tcPr>
          <w:p w14:paraId="0A8FA1F7" w14:textId="77777777" w:rsidR="005C2848" w:rsidRPr="00C47F2F" w:rsidRDefault="005C2848" w:rsidP="009A15D5">
            <w:pPr>
              <w:jc w:val="left"/>
              <w:rPr>
                <w:noProof/>
                <w:sz w:val="22"/>
                <w:szCs w:val="22"/>
              </w:rPr>
            </w:pPr>
            <w:r w:rsidRPr="00C47F2F">
              <w:rPr>
                <w:noProof/>
                <w:sz w:val="22"/>
                <w:szCs w:val="22"/>
              </w:rPr>
              <w:t>Adult</w:t>
            </w:r>
          </w:p>
        </w:tc>
      </w:tr>
      <w:tr w:rsidR="005C2848" w:rsidRPr="00972C81" w14:paraId="05BF96D0" w14:textId="77777777" w:rsidTr="009A15D5">
        <w:trPr>
          <w:trHeight w:val="340"/>
        </w:trPr>
        <w:tc>
          <w:tcPr>
            <w:tcW w:w="2087" w:type="pct"/>
            <w:tcBorders>
              <w:top w:val="single" w:sz="4" w:space="0" w:color="auto"/>
              <w:left w:val="nil"/>
              <w:bottom w:val="nil"/>
              <w:right w:val="nil"/>
            </w:tcBorders>
            <w:hideMark/>
          </w:tcPr>
          <w:p w14:paraId="52A59344" w14:textId="77777777" w:rsidR="005C2848" w:rsidRPr="00C47F2F" w:rsidRDefault="005C2848" w:rsidP="009A15D5">
            <w:pPr>
              <w:jc w:val="left"/>
              <w:rPr>
                <w:rFonts w:eastAsia="Times New Roman"/>
                <w:noProof/>
                <w:color w:val="000000"/>
                <w:sz w:val="22"/>
                <w:szCs w:val="22"/>
                <w:lang w:eastAsia="en-GB"/>
              </w:rPr>
            </w:pPr>
            <w:r w:rsidRPr="00C47F2F">
              <w:rPr>
                <w:rFonts w:eastAsia="Times New Roman"/>
                <w:noProof/>
                <w:color w:val="000000"/>
                <w:sz w:val="22"/>
                <w:szCs w:val="22"/>
              </w:rPr>
              <w:t>Americium nitrate</w:t>
            </w:r>
          </w:p>
        </w:tc>
        <w:tc>
          <w:tcPr>
            <w:tcW w:w="485" w:type="pct"/>
            <w:tcBorders>
              <w:top w:val="single" w:sz="4" w:space="0" w:color="auto"/>
              <w:left w:val="nil"/>
              <w:bottom w:val="nil"/>
              <w:right w:val="nil"/>
            </w:tcBorders>
            <w:hideMark/>
          </w:tcPr>
          <w:p w14:paraId="350F8ADE"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5.3E-05</w:t>
            </w:r>
          </w:p>
        </w:tc>
        <w:tc>
          <w:tcPr>
            <w:tcW w:w="485" w:type="pct"/>
            <w:tcBorders>
              <w:top w:val="single" w:sz="4" w:space="0" w:color="auto"/>
              <w:left w:val="nil"/>
              <w:bottom w:val="nil"/>
              <w:right w:val="nil"/>
            </w:tcBorders>
            <w:hideMark/>
          </w:tcPr>
          <w:p w14:paraId="304F4775"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4.8E-05</w:t>
            </w:r>
          </w:p>
        </w:tc>
        <w:tc>
          <w:tcPr>
            <w:tcW w:w="485" w:type="pct"/>
            <w:tcBorders>
              <w:top w:val="single" w:sz="4" w:space="0" w:color="auto"/>
              <w:left w:val="nil"/>
              <w:bottom w:val="nil"/>
              <w:right w:val="nil"/>
            </w:tcBorders>
            <w:hideMark/>
          </w:tcPr>
          <w:p w14:paraId="6C75210D"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3.0E-05</w:t>
            </w:r>
          </w:p>
        </w:tc>
        <w:tc>
          <w:tcPr>
            <w:tcW w:w="485" w:type="pct"/>
            <w:tcBorders>
              <w:top w:val="single" w:sz="4" w:space="0" w:color="auto"/>
              <w:left w:val="nil"/>
              <w:bottom w:val="nil"/>
              <w:right w:val="nil"/>
            </w:tcBorders>
            <w:hideMark/>
          </w:tcPr>
          <w:p w14:paraId="6481EFD9"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2.0E-05</w:t>
            </w:r>
          </w:p>
        </w:tc>
        <w:tc>
          <w:tcPr>
            <w:tcW w:w="485" w:type="pct"/>
            <w:tcBorders>
              <w:top w:val="single" w:sz="4" w:space="0" w:color="auto"/>
              <w:left w:val="nil"/>
              <w:bottom w:val="nil"/>
              <w:right w:val="nil"/>
            </w:tcBorders>
            <w:hideMark/>
          </w:tcPr>
          <w:p w14:paraId="67DB490C"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1.9E-05</w:t>
            </w:r>
          </w:p>
        </w:tc>
        <w:tc>
          <w:tcPr>
            <w:tcW w:w="487" w:type="pct"/>
            <w:tcBorders>
              <w:top w:val="single" w:sz="4" w:space="0" w:color="auto"/>
              <w:left w:val="nil"/>
              <w:bottom w:val="nil"/>
              <w:right w:val="nil"/>
            </w:tcBorders>
            <w:hideMark/>
          </w:tcPr>
          <w:p w14:paraId="628E3CCE"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1.8E-05</w:t>
            </w:r>
          </w:p>
        </w:tc>
      </w:tr>
      <w:tr w:rsidR="005C2848" w:rsidRPr="00972C81" w14:paraId="3E656873" w14:textId="77777777" w:rsidTr="009A15D5">
        <w:trPr>
          <w:trHeight w:val="340"/>
        </w:trPr>
        <w:tc>
          <w:tcPr>
            <w:tcW w:w="2087" w:type="pct"/>
            <w:tcBorders>
              <w:top w:val="nil"/>
              <w:left w:val="nil"/>
              <w:bottom w:val="nil"/>
              <w:right w:val="nil"/>
            </w:tcBorders>
            <w:hideMark/>
          </w:tcPr>
          <w:p w14:paraId="2209533A" w14:textId="77777777" w:rsidR="005C2848" w:rsidRPr="00C47F2F" w:rsidRDefault="005C2848" w:rsidP="009A15D5">
            <w:pPr>
              <w:jc w:val="left"/>
              <w:rPr>
                <w:rFonts w:eastAsiaTheme="minorHAnsi"/>
                <w:noProof/>
                <w:color w:val="000000"/>
                <w:sz w:val="22"/>
                <w:szCs w:val="22"/>
              </w:rPr>
            </w:pPr>
            <w:r w:rsidRPr="00C47F2F">
              <w:rPr>
                <w:noProof/>
                <w:color w:val="000000"/>
                <w:sz w:val="22"/>
                <w:szCs w:val="22"/>
              </w:rPr>
              <w:t>Type F, citrate</w:t>
            </w:r>
          </w:p>
        </w:tc>
        <w:tc>
          <w:tcPr>
            <w:tcW w:w="485" w:type="pct"/>
            <w:tcBorders>
              <w:top w:val="nil"/>
              <w:left w:val="nil"/>
              <w:bottom w:val="nil"/>
              <w:right w:val="nil"/>
            </w:tcBorders>
            <w:hideMark/>
          </w:tcPr>
          <w:p w14:paraId="5ACA8B3F"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6.0E-05</w:t>
            </w:r>
          </w:p>
        </w:tc>
        <w:tc>
          <w:tcPr>
            <w:tcW w:w="485" w:type="pct"/>
            <w:tcBorders>
              <w:top w:val="nil"/>
              <w:left w:val="nil"/>
              <w:bottom w:val="nil"/>
              <w:right w:val="nil"/>
            </w:tcBorders>
            <w:hideMark/>
          </w:tcPr>
          <w:p w14:paraId="274CCC0D"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5.3E-05</w:t>
            </w:r>
          </w:p>
        </w:tc>
        <w:tc>
          <w:tcPr>
            <w:tcW w:w="485" w:type="pct"/>
            <w:tcBorders>
              <w:top w:val="nil"/>
              <w:left w:val="nil"/>
              <w:bottom w:val="nil"/>
              <w:right w:val="nil"/>
            </w:tcBorders>
            <w:hideMark/>
          </w:tcPr>
          <w:p w14:paraId="483CD23C"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3.3E-05</w:t>
            </w:r>
          </w:p>
        </w:tc>
        <w:tc>
          <w:tcPr>
            <w:tcW w:w="485" w:type="pct"/>
            <w:tcBorders>
              <w:top w:val="nil"/>
              <w:left w:val="nil"/>
              <w:bottom w:val="nil"/>
              <w:right w:val="nil"/>
            </w:tcBorders>
            <w:hideMark/>
          </w:tcPr>
          <w:p w14:paraId="605A1486"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2.3E-05</w:t>
            </w:r>
          </w:p>
        </w:tc>
        <w:tc>
          <w:tcPr>
            <w:tcW w:w="485" w:type="pct"/>
            <w:tcBorders>
              <w:top w:val="nil"/>
              <w:left w:val="nil"/>
              <w:bottom w:val="nil"/>
              <w:right w:val="nil"/>
            </w:tcBorders>
            <w:hideMark/>
          </w:tcPr>
          <w:p w14:paraId="7AD23284"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2.2E-05</w:t>
            </w:r>
          </w:p>
        </w:tc>
        <w:tc>
          <w:tcPr>
            <w:tcW w:w="487" w:type="pct"/>
            <w:tcBorders>
              <w:top w:val="nil"/>
              <w:left w:val="nil"/>
              <w:bottom w:val="nil"/>
              <w:right w:val="nil"/>
            </w:tcBorders>
            <w:hideMark/>
          </w:tcPr>
          <w:p w14:paraId="6CE8E9FC"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2.1E-05</w:t>
            </w:r>
          </w:p>
        </w:tc>
      </w:tr>
      <w:tr w:rsidR="005C2848" w:rsidRPr="00972C81" w14:paraId="50957AB9" w14:textId="77777777" w:rsidTr="009A15D5">
        <w:trPr>
          <w:trHeight w:val="340"/>
        </w:trPr>
        <w:tc>
          <w:tcPr>
            <w:tcW w:w="2087" w:type="pct"/>
            <w:tcBorders>
              <w:top w:val="nil"/>
              <w:left w:val="nil"/>
              <w:bottom w:val="nil"/>
              <w:right w:val="nil"/>
            </w:tcBorders>
            <w:hideMark/>
          </w:tcPr>
          <w:p w14:paraId="5364E003" w14:textId="77777777" w:rsidR="005C2848" w:rsidRPr="00C47F2F" w:rsidRDefault="005C2848" w:rsidP="009A15D5">
            <w:pPr>
              <w:jc w:val="left"/>
              <w:rPr>
                <w:rFonts w:eastAsiaTheme="minorHAnsi"/>
                <w:noProof/>
                <w:sz w:val="22"/>
                <w:szCs w:val="22"/>
              </w:rPr>
            </w:pPr>
            <w:r w:rsidRPr="00C47F2F">
              <w:rPr>
                <w:noProof/>
                <w:sz w:val="22"/>
                <w:szCs w:val="22"/>
              </w:rPr>
              <w:t xml:space="preserve">Type M, </w:t>
            </w:r>
            <w:r w:rsidRPr="00C47F2F">
              <w:rPr>
                <w:rFonts w:eastAsia="Times New Roman"/>
                <w:noProof/>
                <w:color w:val="000000"/>
                <w:sz w:val="22"/>
                <w:szCs w:val="22"/>
                <w:lang w:eastAsia="en-GB"/>
              </w:rPr>
              <w:t>oxide, chloride</w:t>
            </w:r>
          </w:p>
        </w:tc>
        <w:tc>
          <w:tcPr>
            <w:tcW w:w="485" w:type="pct"/>
            <w:tcBorders>
              <w:top w:val="nil"/>
              <w:left w:val="nil"/>
              <w:bottom w:val="nil"/>
              <w:right w:val="nil"/>
            </w:tcBorders>
            <w:hideMark/>
          </w:tcPr>
          <w:p w14:paraId="5FF2C3EE"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4.6E-05</w:t>
            </w:r>
          </w:p>
        </w:tc>
        <w:tc>
          <w:tcPr>
            <w:tcW w:w="485" w:type="pct"/>
            <w:tcBorders>
              <w:top w:val="nil"/>
              <w:left w:val="nil"/>
              <w:bottom w:val="nil"/>
              <w:right w:val="nil"/>
            </w:tcBorders>
            <w:hideMark/>
          </w:tcPr>
          <w:p w14:paraId="7F53706D"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4.3E-05</w:t>
            </w:r>
          </w:p>
        </w:tc>
        <w:tc>
          <w:tcPr>
            <w:tcW w:w="485" w:type="pct"/>
            <w:tcBorders>
              <w:top w:val="nil"/>
              <w:left w:val="nil"/>
              <w:bottom w:val="nil"/>
              <w:right w:val="nil"/>
            </w:tcBorders>
            <w:hideMark/>
          </w:tcPr>
          <w:p w14:paraId="3F0D062D"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2.6E-05</w:t>
            </w:r>
          </w:p>
        </w:tc>
        <w:tc>
          <w:tcPr>
            <w:tcW w:w="485" w:type="pct"/>
            <w:tcBorders>
              <w:top w:val="nil"/>
              <w:left w:val="nil"/>
              <w:bottom w:val="nil"/>
              <w:right w:val="nil"/>
            </w:tcBorders>
            <w:hideMark/>
          </w:tcPr>
          <w:p w14:paraId="71B2BA7F"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1.7E-05</w:t>
            </w:r>
          </w:p>
        </w:tc>
        <w:tc>
          <w:tcPr>
            <w:tcW w:w="485" w:type="pct"/>
            <w:tcBorders>
              <w:top w:val="nil"/>
              <w:left w:val="nil"/>
              <w:bottom w:val="nil"/>
              <w:right w:val="nil"/>
            </w:tcBorders>
            <w:hideMark/>
          </w:tcPr>
          <w:p w14:paraId="70A98548"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1.6E-05</w:t>
            </w:r>
          </w:p>
        </w:tc>
        <w:tc>
          <w:tcPr>
            <w:tcW w:w="487" w:type="pct"/>
            <w:tcBorders>
              <w:top w:val="nil"/>
              <w:left w:val="nil"/>
              <w:bottom w:val="nil"/>
              <w:right w:val="nil"/>
            </w:tcBorders>
            <w:hideMark/>
          </w:tcPr>
          <w:p w14:paraId="326B11C5"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1.5E-05</w:t>
            </w:r>
          </w:p>
        </w:tc>
      </w:tr>
      <w:tr w:rsidR="005C2848" w:rsidRPr="00972C81" w14:paraId="19A0CD54" w14:textId="77777777" w:rsidTr="009A15D5">
        <w:trPr>
          <w:trHeight w:val="340"/>
        </w:trPr>
        <w:tc>
          <w:tcPr>
            <w:tcW w:w="2087" w:type="pct"/>
            <w:tcBorders>
              <w:top w:val="nil"/>
              <w:left w:val="nil"/>
              <w:bottom w:val="single" w:sz="4" w:space="0" w:color="auto"/>
              <w:right w:val="nil"/>
            </w:tcBorders>
            <w:hideMark/>
          </w:tcPr>
          <w:p w14:paraId="1191E1FA" w14:textId="77777777" w:rsidR="005C2848" w:rsidRPr="00C47F2F" w:rsidRDefault="005C2848" w:rsidP="009A15D5">
            <w:pPr>
              <w:jc w:val="left"/>
              <w:rPr>
                <w:rFonts w:eastAsiaTheme="minorHAnsi"/>
                <w:noProof/>
                <w:sz w:val="22"/>
                <w:szCs w:val="22"/>
              </w:rPr>
            </w:pPr>
            <w:r w:rsidRPr="00C47F2F">
              <w:rPr>
                <w:noProof/>
                <w:sz w:val="22"/>
                <w:szCs w:val="22"/>
              </w:rPr>
              <w:t>Type S, americium associated with plutonium oxide</w:t>
            </w:r>
          </w:p>
        </w:tc>
        <w:tc>
          <w:tcPr>
            <w:tcW w:w="485" w:type="pct"/>
            <w:tcBorders>
              <w:top w:val="nil"/>
              <w:left w:val="nil"/>
              <w:bottom w:val="single" w:sz="4" w:space="0" w:color="auto"/>
              <w:right w:val="nil"/>
            </w:tcBorders>
            <w:hideMark/>
          </w:tcPr>
          <w:p w14:paraId="2496F456"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6.2E-05</w:t>
            </w:r>
          </w:p>
        </w:tc>
        <w:tc>
          <w:tcPr>
            <w:tcW w:w="485" w:type="pct"/>
            <w:tcBorders>
              <w:top w:val="nil"/>
              <w:left w:val="nil"/>
              <w:bottom w:val="single" w:sz="4" w:space="0" w:color="auto"/>
              <w:right w:val="nil"/>
            </w:tcBorders>
            <w:hideMark/>
          </w:tcPr>
          <w:p w14:paraId="4E2849C7"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6.1E-05</w:t>
            </w:r>
          </w:p>
        </w:tc>
        <w:tc>
          <w:tcPr>
            <w:tcW w:w="485" w:type="pct"/>
            <w:tcBorders>
              <w:top w:val="nil"/>
              <w:left w:val="nil"/>
              <w:bottom w:val="single" w:sz="4" w:space="0" w:color="auto"/>
              <w:right w:val="nil"/>
            </w:tcBorders>
            <w:hideMark/>
          </w:tcPr>
          <w:p w14:paraId="7AA33C85"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4.4E-05</w:t>
            </w:r>
          </w:p>
        </w:tc>
        <w:tc>
          <w:tcPr>
            <w:tcW w:w="485" w:type="pct"/>
            <w:tcBorders>
              <w:top w:val="nil"/>
              <w:left w:val="nil"/>
              <w:bottom w:val="single" w:sz="4" w:space="0" w:color="auto"/>
              <w:right w:val="nil"/>
            </w:tcBorders>
            <w:hideMark/>
          </w:tcPr>
          <w:p w14:paraId="6355A35D"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3.2E-05</w:t>
            </w:r>
          </w:p>
        </w:tc>
        <w:tc>
          <w:tcPr>
            <w:tcW w:w="485" w:type="pct"/>
            <w:tcBorders>
              <w:top w:val="nil"/>
              <w:left w:val="nil"/>
              <w:bottom w:val="single" w:sz="4" w:space="0" w:color="auto"/>
              <w:right w:val="nil"/>
            </w:tcBorders>
            <w:hideMark/>
          </w:tcPr>
          <w:p w14:paraId="67691A19"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3.1E-05</w:t>
            </w:r>
          </w:p>
        </w:tc>
        <w:tc>
          <w:tcPr>
            <w:tcW w:w="487" w:type="pct"/>
            <w:tcBorders>
              <w:top w:val="nil"/>
              <w:left w:val="nil"/>
              <w:bottom w:val="single" w:sz="4" w:space="0" w:color="auto"/>
              <w:right w:val="nil"/>
            </w:tcBorders>
            <w:hideMark/>
          </w:tcPr>
          <w:p w14:paraId="461B1FD3"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3.1E-05</w:t>
            </w:r>
          </w:p>
        </w:tc>
      </w:tr>
      <w:tr w:rsidR="005C2848" w:rsidRPr="00972C81" w14:paraId="42FB5029" w14:textId="77777777" w:rsidTr="009A15D5">
        <w:trPr>
          <w:trHeight w:val="340"/>
        </w:trPr>
        <w:tc>
          <w:tcPr>
            <w:tcW w:w="2087" w:type="pct"/>
            <w:tcBorders>
              <w:top w:val="single" w:sz="4" w:space="0" w:color="auto"/>
              <w:left w:val="nil"/>
              <w:bottom w:val="single" w:sz="4" w:space="0" w:color="auto"/>
              <w:right w:val="nil"/>
            </w:tcBorders>
          </w:tcPr>
          <w:p w14:paraId="48F1C3AA" w14:textId="77777777" w:rsidR="005C2848" w:rsidRPr="00C47F2F" w:rsidRDefault="005C2848" w:rsidP="00C47F2F">
            <w:pPr>
              <w:jc w:val="left"/>
              <w:rPr>
                <w:rFonts w:eastAsiaTheme="minorHAnsi"/>
                <w:noProof/>
                <w:sz w:val="22"/>
                <w:szCs w:val="22"/>
              </w:rPr>
            </w:pPr>
          </w:p>
          <w:p w14:paraId="7DEC3AC7" w14:textId="77777777" w:rsidR="005C2848" w:rsidRPr="00C47F2F" w:rsidRDefault="005C2848"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6A97E551"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60454C89"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5D960420"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5F293017" w14:textId="77777777" w:rsidR="005C2848" w:rsidRPr="00C47F2F" w:rsidRDefault="005C2848"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A26D4D8" w14:textId="77777777" w:rsidR="005C2848" w:rsidRPr="00C47F2F" w:rsidRDefault="005C2848" w:rsidP="00C47F2F">
            <w:pPr>
              <w:jc w:val="left"/>
              <w:rPr>
                <w:rFonts w:eastAsia="Times New Roman"/>
                <w:noProof/>
                <w:color w:val="000000"/>
                <w:sz w:val="22"/>
                <w:szCs w:val="22"/>
              </w:rPr>
            </w:pPr>
          </w:p>
        </w:tc>
        <w:tc>
          <w:tcPr>
            <w:tcW w:w="487" w:type="pct"/>
            <w:tcBorders>
              <w:top w:val="single" w:sz="4" w:space="0" w:color="auto"/>
              <w:left w:val="nil"/>
              <w:bottom w:val="single" w:sz="4" w:space="0" w:color="auto"/>
              <w:right w:val="nil"/>
            </w:tcBorders>
          </w:tcPr>
          <w:p w14:paraId="4EC0514A" w14:textId="77777777" w:rsidR="005C2848" w:rsidRPr="00C47F2F" w:rsidRDefault="005C2848" w:rsidP="00C47F2F">
            <w:pPr>
              <w:jc w:val="left"/>
              <w:rPr>
                <w:rFonts w:eastAsia="Times New Roman"/>
                <w:noProof/>
                <w:color w:val="000000"/>
                <w:sz w:val="22"/>
                <w:szCs w:val="22"/>
              </w:rPr>
            </w:pPr>
          </w:p>
        </w:tc>
      </w:tr>
      <w:tr w:rsidR="005C2848" w:rsidRPr="00972C81" w14:paraId="67D7545D" w14:textId="77777777" w:rsidTr="009A15D5">
        <w:trPr>
          <w:trHeight w:val="340"/>
        </w:trPr>
        <w:tc>
          <w:tcPr>
            <w:tcW w:w="2087" w:type="pct"/>
            <w:tcBorders>
              <w:top w:val="single" w:sz="4" w:space="0" w:color="auto"/>
              <w:left w:val="nil"/>
              <w:bottom w:val="single" w:sz="4" w:space="0" w:color="auto"/>
              <w:right w:val="nil"/>
            </w:tcBorders>
            <w:vAlign w:val="center"/>
            <w:hideMark/>
          </w:tcPr>
          <w:p w14:paraId="3E3F0B4A" w14:textId="77777777" w:rsidR="005C2848" w:rsidRPr="00C47F2F" w:rsidRDefault="005C2848" w:rsidP="009A15D5">
            <w:pPr>
              <w:jc w:val="left"/>
              <w:rPr>
                <w:rFonts w:eastAsiaTheme="minorHAnsi"/>
                <w:noProof/>
                <w:sz w:val="22"/>
                <w:szCs w:val="22"/>
              </w:rPr>
            </w:pPr>
            <w:r w:rsidRPr="00C47F2F">
              <w:rPr>
                <w:noProof/>
                <w:sz w:val="22"/>
                <w:szCs w:val="22"/>
              </w:rPr>
              <w:t>All compounds</w:t>
            </w:r>
          </w:p>
        </w:tc>
        <w:tc>
          <w:tcPr>
            <w:tcW w:w="485" w:type="pct"/>
            <w:tcBorders>
              <w:top w:val="single" w:sz="4" w:space="0" w:color="auto"/>
              <w:left w:val="nil"/>
              <w:bottom w:val="single" w:sz="4" w:space="0" w:color="auto"/>
              <w:right w:val="nil"/>
            </w:tcBorders>
            <w:vAlign w:val="center"/>
            <w:hideMark/>
          </w:tcPr>
          <w:p w14:paraId="13A0D9EC"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2.5E-06</w:t>
            </w:r>
          </w:p>
        </w:tc>
        <w:tc>
          <w:tcPr>
            <w:tcW w:w="485" w:type="pct"/>
            <w:tcBorders>
              <w:top w:val="single" w:sz="4" w:space="0" w:color="auto"/>
              <w:left w:val="nil"/>
              <w:bottom w:val="single" w:sz="4" w:space="0" w:color="auto"/>
              <w:right w:val="nil"/>
            </w:tcBorders>
            <w:vAlign w:val="center"/>
            <w:hideMark/>
          </w:tcPr>
          <w:p w14:paraId="1CD4E384"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2.1E-07</w:t>
            </w:r>
          </w:p>
        </w:tc>
        <w:tc>
          <w:tcPr>
            <w:tcW w:w="485" w:type="pct"/>
            <w:tcBorders>
              <w:top w:val="single" w:sz="4" w:space="0" w:color="auto"/>
              <w:left w:val="nil"/>
              <w:bottom w:val="single" w:sz="4" w:space="0" w:color="auto"/>
              <w:right w:val="nil"/>
            </w:tcBorders>
            <w:vAlign w:val="center"/>
            <w:hideMark/>
          </w:tcPr>
          <w:p w14:paraId="2E28FBF2"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1.2E-07</w:t>
            </w:r>
          </w:p>
        </w:tc>
        <w:tc>
          <w:tcPr>
            <w:tcW w:w="485" w:type="pct"/>
            <w:tcBorders>
              <w:top w:val="single" w:sz="4" w:space="0" w:color="auto"/>
              <w:left w:val="nil"/>
              <w:bottom w:val="single" w:sz="4" w:space="0" w:color="auto"/>
              <w:right w:val="nil"/>
            </w:tcBorders>
            <w:vAlign w:val="center"/>
            <w:hideMark/>
          </w:tcPr>
          <w:p w14:paraId="75564735"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7.9E-08</w:t>
            </w:r>
          </w:p>
        </w:tc>
        <w:tc>
          <w:tcPr>
            <w:tcW w:w="485" w:type="pct"/>
            <w:tcBorders>
              <w:top w:val="single" w:sz="4" w:space="0" w:color="auto"/>
              <w:left w:val="nil"/>
              <w:bottom w:val="single" w:sz="4" w:space="0" w:color="auto"/>
              <w:right w:val="nil"/>
            </w:tcBorders>
            <w:vAlign w:val="center"/>
            <w:hideMark/>
          </w:tcPr>
          <w:p w14:paraId="09F6A35C"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6.3E-08</w:t>
            </w:r>
          </w:p>
        </w:tc>
        <w:tc>
          <w:tcPr>
            <w:tcW w:w="487" w:type="pct"/>
            <w:tcBorders>
              <w:top w:val="single" w:sz="4" w:space="0" w:color="auto"/>
              <w:left w:val="nil"/>
              <w:bottom w:val="single" w:sz="4" w:space="0" w:color="auto"/>
              <w:right w:val="nil"/>
            </w:tcBorders>
            <w:vAlign w:val="center"/>
            <w:hideMark/>
          </w:tcPr>
          <w:p w14:paraId="55E5B180" w14:textId="77777777" w:rsidR="005C2848" w:rsidRPr="00C47F2F" w:rsidRDefault="005C2848" w:rsidP="009A15D5">
            <w:pPr>
              <w:jc w:val="left"/>
              <w:rPr>
                <w:rFonts w:eastAsia="Times New Roman"/>
                <w:noProof/>
                <w:color w:val="000000"/>
                <w:sz w:val="22"/>
                <w:szCs w:val="22"/>
              </w:rPr>
            </w:pPr>
            <w:r w:rsidRPr="00C47F2F">
              <w:rPr>
                <w:rFonts w:eastAsia="Times New Roman"/>
                <w:noProof/>
                <w:color w:val="000000"/>
                <w:sz w:val="22"/>
                <w:szCs w:val="22"/>
              </w:rPr>
              <w:t>5.9E-08</w:t>
            </w:r>
          </w:p>
        </w:tc>
      </w:tr>
    </w:tbl>
    <w:p w14:paraId="0D496164" w14:textId="77777777" w:rsidR="002B0D0B" w:rsidRPr="00C47F2F" w:rsidRDefault="002B0D0B" w:rsidP="00C47F2F"/>
    <w:p w14:paraId="6755D1E5" w14:textId="442A5F5D" w:rsidR="00ED6D36" w:rsidRPr="00972C81" w:rsidRDefault="00ED6D36" w:rsidP="00ED6D36">
      <w:pPr>
        <w:pStyle w:val="ab"/>
        <w:rPr>
          <w:noProof/>
          <w:sz w:val="24"/>
          <w:szCs w:val="24"/>
        </w:rPr>
      </w:pPr>
      <w:r w:rsidRPr="00972C81">
        <w:rPr>
          <w:noProof/>
          <w:sz w:val="24"/>
          <w:szCs w:val="24"/>
        </w:rPr>
        <w:t>Table 23.4.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243</w:t>
      </w:r>
      <w:r w:rsidRPr="00972C81">
        <w:rPr>
          <w:noProof/>
          <w:sz w:val="24"/>
          <w:szCs w:val="24"/>
        </w:rPr>
        <w:t>Am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ED6D36" w:rsidRPr="00A3213E" w14:paraId="6AA1AD49" w14:textId="77777777" w:rsidTr="009A15D5">
        <w:trPr>
          <w:trHeight w:val="340"/>
        </w:trPr>
        <w:tc>
          <w:tcPr>
            <w:tcW w:w="2087" w:type="pct"/>
            <w:vMerge w:val="restart"/>
            <w:tcBorders>
              <w:top w:val="single" w:sz="4" w:space="0" w:color="auto"/>
              <w:left w:val="nil"/>
              <w:bottom w:val="single" w:sz="4" w:space="0" w:color="auto"/>
              <w:right w:val="nil"/>
            </w:tcBorders>
            <w:vAlign w:val="bottom"/>
            <w:hideMark/>
          </w:tcPr>
          <w:p w14:paraId="60082FAC" w14:textId="77777777" w:rsidR="002B0D0B" w:rsidRDefault="00ED6D36">
            <w:pPr>
              <w:pStyle w:val="a5"/>
              <w:tabs>
                <w:tab w:val="clear" w:pos="4153"/>
                <w:tab w:val="clear" w:pos="8306"/>
              </w:tabs>
              <w:rPr>
                <w:noProof/>
                <w:sz w:val="22"/>
                <w:szCs w:val="22"/>
              </w:rPr>
            </w:pPr>
            <w:r w:rsidRPr="00C47F2F">
              <w:rPr>
                <w:noProof/>
                <w:sz w:val="22"/>
                <w:szCs w:val="22"/>
              </w:rPr>
              <w:t>Inhaled particulate materials</w:t>
            </w:r>
          </w:p>
          <w:p w14:paraId="06E1473F" w14:textId="6D9CC79F" w:rsidR="00ED6D36" w:rsidRPr="002B0D0B" w:rsidRDefault="00ED6D36" w:rsidP="00C47F2F">
            <w:pPr>
              <w:pStyle w:val="a5"/>
              <w:tabs>
                <w:tab w:val="clear" w:pos="4153"/>
                <w:tab w:val="clear" w:pos="8306"/>
              </w:tabs>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0B76E0FB" w14:textId="77777777" w:rsidR="00ED6D36" w:rsidRPr="00C47F2F" w:rsidRDefault="00ED6D36" w:rsidP="009A15D5">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ED6D36" w:rsidRPr="00972C81" w14:paraId="043611D0" w14:textId="77777777" w:rsidTr="009A15D5">
        <w:trPr>
          <w:trHeight w:val="340"/>
        </w:trPr>
        <w:tc>
          <w:tcPr>
            <w:tcW w:w="2087" w:type="pct"/>
            <w:vMerge/>
            <w:tcBorders>
              <w:top w:val="single" w:sz="4" w:space="0" w:color="auto"/>
              <w:left w:val="nil"/>
              <w:bottom w:val="single" w:sz="4" w:space="0" w:color="auto"/>
              <w:right w:val="nil"/>
            </w:tcBorders>
            <w:vAlign w:val="center"/>
            <w:hideMark/>
          </w:tcPr>
          <w:p w14:paraId="5781BAE3" w14:textId="77777777" w:rsidR="00ED6D36" w:rsidRPr="002B0D0B" w:rsidRDefault="00ED6D36">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26EB697D" w14:textId="1207EA86" w:rsidR="00ED6D36" w:rsidRPr="00C47F2F" w:rsidRDefault="00ED6D36" w:rsidP="009A15D5">
            <w:pPr>
              <w:jc w:val="left"/>
              <w:rPr>
                <w:noProof/>
                <w:sz w:val="22"/>
                <w:szCs w:val="22"/>
                <w:lang w:eastAsia="ko-KR"/>
              </w:rPr>
            </w:pPr>
            <w:r w:rsidRPr="00C47F2F">
              <w:rPr>
                <w:noProof/>
                <w:sz w:val="22"/>
                <w:szCs w:val="22"/>
              </w:rPr>
              <w:t>3</w:t>
            </w:r>
            <w:r w:rsidR="002B0D0B">
              <w:rPr>
                <w:rFonts w:hint="eastAsia"/>
                <w:noProof/>
                <w:sz w:val="22"/>
                <w:szCs w:val="22"/>
                <w:lang w:eastAsia="ko-KR"/>
              </w:rPr>
              <w:t xml:space="preserve"> </w:t>
            </w:r>
            <w:r w:rsidRPr="00C47F2F">
              <w:rPr>
                <w:noProof/>
                <w:sz w:val="22"/>
                <w:szCs w:val="22"/>
              </w:rPr>
              <w:t>m</w:t>
            </w:r>
            <w:r w:rsidR="009A15D5">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303A9DC7" w14:textId="09C29E69" w:rsidR="00ED6D36" w:rsidRPr="00C47F2F" w:rsidRDefault="00ED6D36" w:rsidP="009A15D5">
            <w:pPr>
              <w:jc w:val="left"/>
              <w:rPr>
                <w:noProof/>
                <w:sz w:val="22"/>
                <w:szCs w:val="22"/>
              </w:rPr>
            </w:pPr>
            <w:r w:rsidRPr="00C47F2F">
              <w:rPr>
                <w:noProof/>
                <w:sz w:val="22"/>
                <w:szCs w:val="22"/>
              </w:rPr>
              <w:t>1</w:t>
            </w:r>
            <w:r w:rsidR="002B0D0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53C3AC11" w14:textId="071DDAC8" w:rsidR="00ED6D36" w:rsidRPr="00C47F2F" w:rsidRDefault="00ED6D36" w:rsidP="009A15D5">
            <w:pPr>
              <w:jc w:val="left"/>
              <w:rPr>
                <w:noProof/>
                <w:sz w:val="22"/>
                <w:szCs w:val="22"/>
              </w:rPr>
            </w:pPr>
            <w:r w:rsidRPr="00C47F2F">
              <w:rPr>
                <w:noProof/>
                <w:sz w:val="22"/>
                <w:szCs w:val="22"/>
              </w:rPr>
              <w:t>5</w:t>
            </w:r>
            <w:r w:rsidR="002B0D0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14ACDAAD" w14:textId="1E958181" w:rsidR="00ED6D36" w:rsidRPr="00C47F2F" w:rsidRDefault="00ED6D36" w:rsidP="009A15D5">
            <w:pPr>
              <w:jc w:val="left"/>
              <w:rPr>
                <w:noProof/>
                <w:sz w:val="22"/>
                <w:szCs w:val="22"/>
              </w:rPr>
            </w:pPr>
            <w:r w:rsidRPr="00C47F2F">
              <w:rPr>
                <w:noProof/>
                <w:sz w:val="22"/>
                <w:szCs w:val="22"/>
              </w:rPr>
              <w:t>10</w:t>
            </w:r>
            <w:r w:rsidR="002B0D0B">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464DD1CD" w14:textId="32DABCC5" w:rsidR="00ED6D36" w:rsidRPr="00C47F2F" w:rsidRDefault="00ED6D36" w:rsidP="009A15D5">
            <w:pPr>
              <w:jc w:val="left"/>
              <w:rPr>
                <w:noProof/>
                <w:sz w:val="22"/>
                <w:szCs w:val="22"/>
              </w:rPr>
            </w:pPr>
            <w:r w:rsidRPr="00C47F2F">
              <w:rPr>
                <w:noProof/>
                <w:sz w:val="22"/>
                <w:szCs w:val="22"/>
              </w:rPr>
              <w:t>15</w:t>
            </w:r>
            <w:r w:rsidR="002B0D0B">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32766CBB" w14:textId="77777777" w:rsidR="00ED6D36" w:rsidRPr="00C47F2F" w:rsidRDefault="00ED6D36" w:rsidP="009A15D5">
            <w:pPr>
              <w:jc w:val="left"/>
              <w:rPr>
                <w:noProof/>
                <w:sz w:val="22"/>
                <w:szCs w:val="22"/>
              </w:rPr>
            </w:pPr>
            <w:r w:rsidRPr="00C47F2F">
              <w:rPr>
                <w:noProof/>
                <w:sz w:val="22"/>
                <w:szCs w:val="22"/>
              </w:rPr>
              <w:t>Adult</w:t>
            </w:r>
          </w:p>
        </w:tc>
      </w:tr>
      <w:tr w:rsidR="00ED6D36" w:rsidRPr="00972C81" w14:paraId="3513E8D6" w14:textId="77777777" w:rsidTr="009A15D5">
        <w:trPr>
          <w:trHeight w:val="340"/>
        </w:trPr>
        <w:tc>
          <w:tcPr>
            <w:tcW w:w="2087" w:type="pct"/>
            <w:tcBorders>
              <w:top w:val="single" w:sz="4" w:space="0" w:color="auto"/>
              <w:left w:val="nil"/>
              <w:bottom w:val="nil"/>
              <w:right w:val="nil"/>
            </w:tcBorders>
            <w:vAlign w:val="center"/>
            <w:hideMark/>
          </w:tcPr>
          <w:p w14:paraId="2955FDCE" w14:textId="77777777" w:rsidR="00ED6D36" w:rsidRPr="00C47F2F" w:rsidRDefault="00ED6D36" w:rsidP="009A15D5">
            <w:pPr>
              <w:jc w:val="left"/>
              <w:rPr>
                <w:rFonts w:eastAsia="Times New Roman"/>
                <w:noProof/>
                <w:color w:val="000000"/>
                <w:sz w:val="22"/>
                <w:szCs w:val="22"/>
                <w:lang w:eastAsia="en-GB"/>
              </w:rPr>
            </w:pPr>
            <w:r w:rsidRPr="00C47F2F">
              <w:rPr>
                <w:rFonts w:eastAsia="Times New Roman"/>
                <w:noProof/>
                <w:color w:val="000000"/>
                <w:sz w:val="22"/>
                <w:szCs w:val="22"/>
              </w:rPr>
              <w:t>Americium nitrate</w:t>
            </w:r>
          </w:p>
        </w:tc>
        <w:tc>
          <w:tcPr>
            <w:tcW w:w="485" w:type="pct"/>
            <w:tcBorders>
              <w:top w:val="single" w:sz="4" w:space="0" w:color="auto"/>
              <w:left w:val="nil"/>
              <w:bottom w:val="nil"/>
              <w:right w:val="nil"/>
            </w:tcBorders>
            <w:vAlign w:val="center"/>
            <w:hideMark/>
          </w:tcPr>
          <w:p w14:paraId="62F685E0"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5.2E-05</w:t>
            </w:r>
          </w:p>
        </w:tc>
        <w:tc>
          <w:tcPr>
            <w:tcW w:w="485" w:type="pct"/>
            <w:tcBorders>
              <w:top w:val="single" w:sz="4" w:space="0" w:color="auto"/>
              <w:left w:val="nil"/>
              <w:bottom w:val="nil"/>
              <w:right w:val="nil"/>
            </w:tcBorders>
            <w:vAlign w:val="center"/>
            <w:hideMark/>
          </w:tcPr>
          <w:p w14:paraId="267ACB80"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4.7E-05</w:t>
            </w:r>
          </w:p>
        </w:tc>
        <w:tc>
          <w:tcPr>
            <w:tcW w:w="485" w:type="pct"/>
            <w:tcBorders>
              <w:top w:val="single" w:sz="4" w:space="0" w:color="auto"/>
              <w:left w:val="nil"/>
              <w:bottom w:val="nil"/>
              <w:right w:val="nil"/>
            </w:tcBorders>
            <w:vAlign w:val="center"/>
            <w:hideMark/>
          </w:tcPr>
          <w:p w14:paraId="4FDDC145"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2.9E-05</w:t>
            </w:r>
          </w:p>
        </w:tc>
        <w:tc>
          <w:tcPr>
            <w:tcW w:w="485" w:type="pct"/>
            <w:tcBorders>
              <w:top w:val="single" w:sz="4" w:space="0" w:color="auto"/>
              <w:left w:val="nil"/>
              <w:bottom w:val="nil"/>
              <w:right w:val="nil"/>
            </w:tcBorders>
            <w:vAlign w:val="center"/>
            <w:hideMark/>
          </w:tcPr>
          <w:p w14:paraId="094C50C2"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2.0E-05</w:t>
            </w:r>
          </w:p>
        </w:tc>
        <w:tc>
          <w:tcPr>
            <w:tcW w:w="485" w:type="pct"/>
            <w:tcBorders>
              <w:top w:val="single" w:sz="4" w:space="0" w:color="auto"/>
              <w:left w:val="nil"/>
              <w:bottom w:val="nil"/>
              <w:right w:val="nil"/>
            </w:tcBorders>
            <w:vAlign w:val="center"/>
            <w:hideMark/>
          </w:tcPr>
          <w:p w14:paraId="4FC2CA0A"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1.8E-05</w:t>
            </w:r>
          </w:p>
        </w:tc>
        <w:tc>
          <w:tcPr>
            <w:tcW w:w="486" w:type="pct"/>
            <w:tcBorders>
              <w:top w:val="single" w:sz="4" w:space="0" w:color="auto"/>
              <w:left w:val="nil"/>
              <w:bottom w:val="nil"/>
              <w:right w:val="nil"/>
            </w:tcBorders>
            <w:vAlign w:val="center"/>
            <w:hideMark/>
          </w:tcPr>
          <w:p w14:paraId="7ECDB7DF"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1.8E-05</w:t>
            </w:r>
          </w:p>
        </w:tc>
      </w:tr>
      <w:tr w:rsidR="00ED6D36" w:rsidRPr="00972C81" w14:paraId="25052F24" w14:textId="77777777" w:rsidTr="009A15D5">
        <w:trPr>
          <w:trHeight w:val="340"/>
        </w:trPr>
        <w:tc>
          <w:tcPr>
            <w:tcW w:w="2087" w:type="pct"/>
            <w:tcBorders>
              <w:top w:val="nil"/>
              <w:left w:val="nil"/>
              <w:bottom w:val="nil"/>
              <w:right w:val="nil"/>
            </w:tcBorders>
            <w:vAlign w:val="center"/>
            <w:hideMark/>
          </w:tcPr>
          <w:p w14:paraId="57D83946" w14:textId="77777777" w:rsidR="00ED6D36" w:rsidRPr="00C47F2F" w:rsidRDefault="00ED6D36" w:rsidP="009A15D5">
            <w:pPr>
              <w:jc w:val="left"/>
              <w:rPr>
                <w:rFonts w:eastAsiaTheme="minorHAnsi"/>
                <w:noProof/>
                <w:color w:val="000000"/>
                <w:sz w:val="22"/>
                <w:szCs w:val="22"/>
              </w:rPr>
            </w:pPr>
            <w:r w:rsidRPr="00C47F2F">
              <w:rPr>
                <w:noProof/>
                <w:color w:val="000000"/>
                <w:sz w:val="22"/>
                <w:szCs w:val="22"/>
              </w:rPr>
              <w:t>Type F, citrate</w:t>
            </w:r>
          </w:p>
        </w:tc>
        <w:tc>
          <w:tcPr>
            <w:tcW w:w="485" w:type="pct"/>
            <w:tcBorders>
              <w:top w:val="nil"/>
              <w:left w:val="nil"/>
              <w:bottom w:val="nil"/>
              <w:right w:val="nil"/>
            </w:tcBorders>
            <w:vAlign w:val="center"/>
            <w:hideMark/>
          </w:tcPr>
          <w:p w14:paraId="1D1A22F9"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5.9E-05</w:t>
            </w:r>
          </w:p>
        </w:tc>
        <w:tc>
          <w:tcPr>
            <w:tcW w:w="485" w:type="pct"/>
            <w:tcBorders>
              <w:top w:val="nil"/>
              <w:left w:val="nil"/>
              <w:bottom w:val="nil"/>
              <w:right w:val="nil"/>
            </w:tcBorders>
            <w:vAlign w:val="center"/>
            <w:hideMark/>
          </w:tcPr>
          <w:p w14:paraId="0EBC7D8E"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5.2E-05</w:t>
            </w:r>
          </w:p>
        </w:tc>
        <w:tc>
          <w:tcPr>
            <w:tcW w:w="485" w:type="pct"/>
            <w:tcBorders>
              <w:top w:val="nil"/>
              <w:left w:val="nil"/>
              <w:bottom w:val="nil"/>
              <w:right w:val="nil"/>
            </w:tcBorders>
            <w:vAlign w:val="center"/>
            <w:hideMark/>
          </w:tcPr>
          <w:p w14:paraId="702974EB"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3.3E-05</w:t>
            </w:r>
          </w:p>
        </w:tc>
        <w:tc>
          <w:tcPr>
            <w:tcW w:w="485" w:type="pct"/>
            <w:tcBorders>
              <w:top w:val="nil"/>
              <w:left w:val="nil"/>
              <w:bottom w:val="nil"/>
              <w:right w:val="nil"/>
            </w:tcBorders>
            <w:vAlign w:val="center"/>
            <w:hideMark/>
          </w:tcPr>
          <w:p w14:paraId="01774E64"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2.3E-05</w:t>
            </w:r>
          </w:p>
        </w:tc>
        <w:tc>
          <w:tcPr>
            <w:tcW w:w="485" w:type="pct"/>
            <w:tcBorders>
              <w:top w:val="nil"/>
              <w:left w:val="nil"/>
              <w:bottom w:val="nil"/>
              <w:right w:val="nil"/>
            </w:tcBorders>
            <w:vAlign w:val="center"/>
            <w:hideMark/>
          </w:tcPr>
          <w:p w14:paraId="5906FEE9"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2.1E-05</w:t>
            </w:r>
          </w:p>
        </w:tc>
        <w:tc>
          <w:tcPr>
            <w:tcW w:w="486" w:type="pct"/>
            <w:tcBorders>
              <w:top w:val="nil"/>
              <w:left w:val="nil"/>
              <w:bottom w:val="nil"/>
              <w:right w:val="nil"/>
            </w:tcBorders>
            <w:vAlign w:val="center"/>
            <w:hideMark/>
          </w:tcPr>
          <w:p w14:paraId="7C6E0D67"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2.0E-05</w:t>
            </w:r>
          </w:p>
        </w:tc>
      </w:tr>
      <w:tr w:rsidR="00ED6D36" w:rsidRPr="00972C81" w14:paraId="132A07BC" w14:textId="77777777" w:rsidTr="009A15D5">
        <w:trPr>
          <w:trHeight w:val="340"/>
        </w:trPr>
        <w:tc>
          <w:tcPr>
            <w:tcW w:w="2087" w:type="pct"/>
            <w:tcBorders>
              <w:top w:val="nil"/>
              <w:left w:val="nil"/>
              <w:bottom w:val="nil"/>
              <w:right w:val="nil"/>
            </w:tcBorders>
            <w:vAlign w:val="center"/>
            <w:hideMark/>
          </w:tcPr>
          <w:p w14:paraId="52EE4255" w14:textId="77777777" w:rsidR="00ED6D36" w:rsidRPr="00C47F2F" w:rsidRDefault="00ED6D36" w:rsidP="009A15D5">
            <w:pPr>
              <w:jc w:val="left"/>
              <w:rPr>
                <w:rFonts w:eastAsiaTheme="minorHAnsi"/>
                <w:noProof/>
                <w:sz w:val="22"/>
                <w:szCs w:val="22"/>
              </w:rPr>
            </w:pPr>
            <w:r w:rsidRPr="00C47F2F">
              <w:rPr>
                <w:noProof/>
                <w:sz w:val="22"/>
                <w:szCs w:val="22"/>
              </w:rPr>
              <w:t xml:space="preserve">Type M, </w:t>
            </w:r>
            <w:r w:rsidRPr="00C47F2F">
              <w:rPr>
                <w:rFonts w:eastAsia="Times New Roman"/>
                <w:noProof/>
                <w:color w:val="000000"/>
                <w:sz w:val="22"/>
                <w:szCs w:val="22"/>
                <w:lang w:eastAsia="en-GB"/>
              </w:rPr>
              <w:t>oxide, chloride</w:t>
            </w:r>
          </w:p>
        </w:tc>
        <w:tc>
          <w:tcPr>
            <w:tcW w:w="485" w:type="pct"/>
            <w:tcBorders>
              <w:top w:val="nil"/>
              <w:left w:val="nil"/>
              <w:bottom w:val="nil"/>
              <w:right w:val="nil"/>
            </w:tcBorders>
            <w:vAlign w:val="center"/>
            <w:hideMark/>
          </w:tcPr>
          <w:p w14:paraId="197390F2"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4.5E-05</w:t>
            </w:r>
          </w:p>
        </w:tc>
        <w:tc>
          <w:tcPr>
            <w:tcW w:w="485" w:type="pct"/>
            <w:tcBorders>
              <w:top w:val="nil"/>
              <w:left w:val="nil"/>
              <w:bottom w:val="nil"/>
              <w:right w:val="nil"/>
            </w:tcBorders>
            <w:vAlign w:val="center"/>
            <w:hideMark/>
          </w:tcPr>
          <w:p w14:paraId="018C5422"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4.2E-05</w:t>
            </w:r>
          </w:p>
        </w:tc>
        <w:tc>
          <w:tcPr>
            <w:tcW w:w="485" w:type="pct"/>
            <w:tcBorders>
              <w:top w:val="nil"/>
              <w:left w:val="nil"/>
              <w:bottom w:val="nil"/>
              <w:right w:val="nil"/>
            </w:tcBorders>
            <w:vAlign w:val="center"/>
            <w:hideMark/>
          </w:tcPr>
          <w:p w14:paraId="7F844303"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2.5E-05</w:t>
            </w:r>
          </w:p>
        </w:tc>
        <w:tc>
          <w:tcPr>
            <w:tcW w:w="485" w:type="pct"/>
            <w:tcBorders>
              <w:top w:val="nil"/>
              <w:left w:val="nil"/>
              <w:bottom w:val="nil"/>
              <w:right w:val="nil"/>
            </w:tcBorders>
            <w:vAlign w:val="center"/>
            <w:hideMark/>
          </w:tcPr>
          <w:p w14:paraId="100BBFCE"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1.7E-05</w:t>
            </w:r>
          </w:p>
        </w:tc>
        <w:tc>
          <w:tcPr>
            <w:tcW w:w="485" w:type="pct"/>
            <w:tcBorders>
              <w:top w:val="nil"/>
              <w:left w:val="nil"/>
              <w:bottom w:val="nil"/>
              <w:right w:val="nil"/>
            </w:tcBorders>
            <w:vAlign w:val="center"/>
            <w:hideMark/>
          </w:tcPr>
          <w:p w14:paraId="2DCA0EA4"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1.5E-05</w:t>
            </w:r>
          </w:p>
        </w:tc>
        <w:tc>
          <w:tcPr>
            <w:tcW w:w="486" w:type="pct"/>
            <w:tcBorders>
              <w:top w:val="nil"/>
              <w:left w:val="nil"/>
              <w:bottom w:val="nil"/>
              <w:right w:val="nil"/>
            </w:tcBorders>
            <w:vAlign w:val="center"/>
            <w:hideMark/>
          </w:tcPr>
          <w:p w14:paraId="3BA06406"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1.5E-05</w:t>
            </w:r>
          </w:p>
        </w:tc>
      </w:tr>
      <w:tr w:rsidR="00ED6D36" w:rsidRPr="00972C81" w14:paraId="4E2C3BF8" w14:textId="77777777" w:rsidTr="009A15D5">
        <w:trPr>
          <w:trHeight w:val="340"/>
        </w:trPr>
        <w:tc>
          <w:tcPr>
            <w:tcW w:w="2087" w:type="pct"/>
            <w:tcBorders>
              <w:top w:val="nil"/>
              <w:left w:val="nil"/>
              <w:bottom w:val="single" w:sz="4" w:space="0" w:color="auto"/>
              <w:right w:val="nil"/>
            </w:tcBorders>
            <w:vAlign w:val="center"/>
            <w:hideMark/>
          </w:tcPr>
          <w:p w14:paraId="4E776AB2" w14:textId="77777777" w:rsidR="00ED6D36" w:rsidRPr="00C47F2F" w:rsidRDefault="00ED6D36" w:rsidP="009A15D5">
            <w:pPr>
              <w:jc w:val="left"/>
              <w:rPr>
                <w:rFonts w:eastAsiaTheme="minorHAnsi"/>
                <w:noProof/>
                <w:sz w:val="22"/>
                <w:szCs w:val="22"/>
              </w:rPr>
            </w:pPr>
            <w:r w:rsidRPr="00C47F2F">
              <w:rPr>
                <w:noProof/>
                <w:sz w:val="22"/>
                <w:szCs w:val="22"/>
              </w:rPr>
              <w:t>Type S, americium associated with plutonium oxide</w:t>
            </w:r>
          </w:p>
        </w:tc>
        <w:tc>
          <w:tcPr>
            <w:tcW w:w="485" w:type="pct"/>
            <w:tcBorders>
              <w:top w:val="nil"/>
              <w:left w:val="nil"/>
              <w:bottom w:val="single" w:sz="4" w:space="0" w:color="auto"/>
              <w:right w:val="nil"/>
            </w:tcBorders>
            <w:vAlign w:val="center"/>
            <w:hideMark/>
          </w:tcPr>
          <w:p w14:paraId="56451FBB"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6.1E-05</w:t>
            </w:r>
          </w:p>
        </w:tc>
        <w:tc>
          <w:tcPr>
            <w:tcW w:w="485" w:type="pct"/>
            <w:tcBorders>
              <w:top w:val="nil"/>
              <w:left w:val="nil"/>
              <w:bottom w:val="single" w:sz="4" w:space="0" w:color="auto"/>
              <w:right w:val="nil"/>
            </w:tcBorders>
            <w:vAlign w:val="center"/>
            <w:hideMark/>
          </w:tcPr>
          <w:p w14:paraId="34DF2672"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6.0E-05</w:t>
            </w:r>
          </w:p>
        </w:tc>
        <w:tc>
          <w:tcPr>
            <w:tcW w:w="485" w:type="pct"/>
            <w:tcBorders>
              <w:top w:val="nil"/>
              <w:left w:val="nil"/>
              <w:bottom w:val="single" w:sz="4" w:space="0" w:color="auto"/>
              <w:right w:val="nil"/>
            </w:tcBorders>
            <w:vAlign w:val="center"/>
            <w:hideMark/>
          </w:tcPr>
          <w:p w14:paraId="6FD2B143"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4.3E-05</w:t>
            </w:r>
          </w:p>
        </w:tc>
        <w:tc>
          <w:tcPr>
            <w:tcW w:w="485" w:type="pct"/>
            <w:tcBorders>
              <w:top w:val="nil"/>
              <w:left w:val="nil"/>
              <w:bottom w:val="single" w:sz="4" w:space="0" w:color="auto"/>
              <w:right w:val="nil"/>
            </w:tcBorders>
            <w:vAlign w:val="center"/>
            <w:hideMark/>
          </w:tcPr>
          <w:p w14:paraId="00E74CFB"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3.2E-05</w:t>
            </w:r>
          </w:p>
        </w:tc>
        <w:tc>
          <w:tcPr>
            <w:tcW w:w="485" w:type="pct"/>
            <w:tcBorders>
              <w:top w:val="nil"/>
              <w:left w:val="nil"/>
              <w:bottom w:val="single" w:sz="4" w:space="0" w:color="auto"/>
              <w:right w:val="nil"/>
            </w:tcBorders>
            <w:vAlign w:val="center"/>
            <w:hideMark/>
          </w:tcPr>
          <w:p w14:paraId="4480F38E"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3.0E-05</w:t>
            </w:r>
          </w:p>
        </w:tc>
        <w:tc>
          <w:tcPr>
            <w:tcW w:w="486" w:type="pct"/>
            <w:tcBorders>
              <w:top w:val="nil"/>
              <w:left w:val="nil"/>
              <w:bottom w:val="single" w:sz="4" w:space="0" w:color="auto"/>
              <w:right w:val="nil"/>
            </w:tcBorders>
            <w:vAlign w:val="center"/>
            <w:hideMark/>
          </w:tcPr>
          <w:p w14:paraId="220C552C"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3.1E-05</w:t>
            </w:r>
          </w:p>
        </w:tc>
      </w:tr>
      <w:tr w:rsidR="00ED6D36" w:rsidRPr="00972C81" w14:paraId="69615403" w14:textId="77777777" w:rsidTr="009A15D5">
        <w:trPr>
          <w:trHeight w:val="340"/>
        </w:trPr>
        <w:tc>
          <w:tcPr>
            <w:tcW w:w="2087" w:type="pct"/>
            <w:tcBorders>
              <w:top w:val="single" w:sz="4" w:space="0" w:color="auto"/>
              <w:left w:val="nil"/>
              <w:bottom w:val="single" w:sz="4" w:space="0" w:color="auto"/>
              <w:right w:val="nil"/>
            </w:tcBorders>
          </w:tcPr>
          <w:p w14:paraId="120581C6" w14:textId="77777777" w:rsidR="00ED6D36" w:rsidRPr="00C47F2F" w:rsidRDefault="00ED6D36" w:rsidP="00C47F2F">
            <w:pPr>
              <w:jc w:val="left"/>
              <w:rPr>
                <w:rFonts w:eastAsiaTheme="minorHAnsi"/>
                <w:noProof/>
                <w:sz w:val="22"/>
                <w:szCs w:val="22"/>
              </w:rPr>
            </w:pPr>
          </w:p>
          <w:p w14:paraId="785032E3" w14:textId="77777777" w:rsidR="00ED6D36" w:rsidRPr="00C47F2F" w:rsidRDefault="00ED6D36"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37BD23E1"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6E163A7D"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65CEBFC0"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79F09C8"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B47201D" w14:textId="77777777" w:rsidR="00ED6D36" w:rsidRPr="00C47F2F" w:rsidRDefault="00ED6D36" w:rsidP="00C47F2F">
            <w:pPr>
              <w:jc w:val="left"/>
              <w:rPr>
                <w:rFonts w:eastAsia="Times New Roman"/>
                <w:noProof/>
                <w:color w:val="000000"/>
                <w:sz w:val="22"/>
                <w:szCs w:val="22"/>
              </w:rPr>
            </w:pPr>
          </w:p>
        </w:tc>
        <w:tc>
          <w:tcPr>
            <w:tcW w:w="486" w:type="pct"/>
            <w:tcBorders>
              <w:top w:val="single" w:sz="4" w:space="0" w:color="auto"/>
              <w:left w:val="nil"/>
              <w:bottom w:val="single" w:sz="4" w:space="0" w:color="auto"/>
              <w:right w:val="nil"/>
            </w:tcBorders>
          </w:tcPr>
          <w:p w14:paraId="32A7C5F0" w14:textId="77777777" w:rsidR="00ED6D36" w:rsidRPr="00C47F2F" w:rsidRDefault="00ED6D36" w:rsidP="00C47F2F">
            <w:pPr>
              <w:jc w:val="left"/>
              <w:rPr>
                <w:rFonts w:eastAsia="Times New Roman"/>
                <w:noProof/>
                <w:color w:val="000000"/>
                <w:sz w:val="22"/>
                <w:szCs w:val="22"/>
              </w:rPr>
            </w:pPr>
          </w:p>
        </w:tc>
      </w:tr>
      <w:tr w:rsidR="00ED6D36" w:rsidRPr="00972C81" w14:paraId="6EDBC064" w14:textId="77777777" w:rsidTr="009A15D5">
        <w:trPr>
          <w:trHeight w:val="340"/>
        </w:trPr>
        <w:tc>
          <w:tcPr>
            <w:tcW w:w="2087" w:type="pct"/>
            <w:tcBorders>
              <w:top w:val="single" w:sz="4" w:space="0" w:color="auto"/>
              <w:left w:val="nil"/>
              <w:bottom w:val="single" w:sz="4" w:space="0" w:color="auto"/>
              <w:right w:val="nil"/>
            </w:tcBorders>
            <w:vAlign w:val="center"/>
            <w:hideMark/>
          </w:tcPr>
          <w:p w14:paraId="55E0F066" w14:textId="77777777" w:rsidR="00ED6D36" w:rsidRPr="00C47F2F" w:rsidRDefault="00ED6D36" w:rsidP="009A15D5">
            <w:pPr>
              <w:jc w:val="left"/>
              <w:rPr>
                <w:rFonts w:eastAsiaTheme="minorHAnsi"/>
                <w:noProof/>
                <w:sz w:val="22"/>
                <w:szCs w:val="22"/>
              </w:rPr>
            </w:pPr>
            <w:r w:rsidRPr="00C47F2F">
              <w:rPr>
                <w:noProof/>
                <w:sz w:val="22"/>
                <w:szCs w:val="22"/>
              </w:rPr>
              <w:t>All compounds</w:t>
            </w:r>
          </w:p>
        </w:tc>
        <w:tc>
          <w:tcPr>
            <w:tcW w:w="485" w:type="pct"/>
            <w:tcBorders>
              <w:top w:val="single" w:sz="4" w:space="0" w:color="auto"/>
              <w:left w:val="nil"/>
              <w:bottom w:val="single" w:sz="4" w:space="0" w:color="auto"/>
              <w:right w:val="nil"/>
            </w:tcBorders>
            <w:vAlign w:val="center"/>
            <w:hideMark/>
          </w:tcPr>
          <w:p w14:paraId="317355D1"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2.4E-06</w:t>
            </w:r>
          </w:p>
        </w:tc>
        <w:tc>
          <w:tcPr>
            <w:tcW w:w="485" w:type="pct"/>
            <w:tcBorders>
              <w:top w:val="single" w:sz="4" w:space="0" w:color="auto"/>
              <w:left w:val="nil"/>
              <w:bottom w:val="single" w:sz="4" w:space="0" w:color="auto"/>
              <w:right w:val="nil"/>
            </w:tcBorders>
            <w:vAlign w:val="center"/>
            <w:hideMark/>
          </w:tcPr>
          <w:p w14:paraId="30B007D2"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2.0E-07</w:t>
            </w:r>
          </w:p>
        </w:tc>
        <w:tc>
          <w:tcPr>
            <w:tcW w:w="485" w:type="pct"/>
            <w:tcBorders>
              <w:top w:val="single" w:sz="4" w:space="0" w:color="auto"/>
              <w:left w:val="nil"/>
              <w:bottom w:val="single" w:sz="4" w:space="0" w:color="auto"/>
              <w:right w:val="nil"/>
            </w:tcBorders>
            <w:vAlign w:val="center"/>
            <w:hideMark/>
          </w:tcPr>
          <w:p w14:paraId="6C28D568"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1.1E-07</w:t>
            </w:r>
          </w:p>
        </w:tc>
        <w:tc>
          <w:tcPr>
            <w:tcW w:w="485" w:type="pct"/>
            <w:tcBorders>
              <w:top w:val="single" w:sz="4" w:space="0" w:color="auto"/>
              <w:left w:val="nil"/>
              <w:bottom w:val="single" w:sz="4" w:space="0" w:color="auto"/>
              <w:right w:val="nil"/>
            </w:tcBorders>
            <w:vAlign w:val="center"/>
            <w:hideMark/>
          </w:tcPr>
          <w:p w14:paraId="758FF9FA"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7.8E-08</w:t>
            </w:r>
          </w:p>
        </w:tc>
        <w:tc>
          <w:tcPr>
            <w:tcW w:w="485" w:type="pct"/>
            <w:tcBorders>
              <w:top w:val="single" w:sz="4" w:space="0" w:color="auto"/>
              <w:left w:val="nil"/>
              <w:bottom w:val="single" w:sz="4" w:space="0" w:color="auto"/>
              <w:right w:val="nil"/>
            </w:tcBorders>
            <w:vAlign w:val="center"/>
            <w:hideMark/>
          </w:tcPr>
          <w:p w14:paraId="2F75EE1F"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6.3E-08</w:t>
            </w:r>
          </w:p>
        </w:tc>
        <w:tc>
          <w:tcPr>
            <w:tcW w:w="486" w:type="pct"/>
            <w:tcBorders>
              <w:top w:val="single" w:sz="4" w:space="0" w:color="auto"/>
              <w:left w:val="nil"/>
              <w:bottom w:val="single" w:sz="4" w:space="0" w:color="auto"/>
              <w:right w:val="nil"/>
            </w:tcBorders>
            <w:vAlign w:val="center"/>
            <w:hideMark/>
          </w:tcPr>
          <w:p w14:paraId="5A3CF04E" w14:textId="77777777" w:rsidR="00ED6D36" w:rsidRPr="00C47F2F" w:rsidRDefault="00ED6D36" w:rsidP="009A15D5">
            <w:pPr>
              <w:jc w:val="left"/>
              <w:rPr>
                <w:rFonts w:eastAsia="Times New Roman"/>
                <w:noProof/>
                <w:color w:val="000000"/>
                <w:sz w:val="22"/>
                <w:szCs w:val="22"/>
              </w:rPr>
            </w:pPr>
            <w:r w:rsidRPr="00C47F2F">
              <w:rPr>
                <w:rFonts w:eastAsia="Times New Roman"/>
                <w:noProof/>
                <w:color w:val="000000"/>
                <w:sz w:val="22"/>
                <w:szCs w:val="22"/>
              </w:rPr>
              <w:t>5.8E-08</w:t>
            </w:r>
          </w:p>
        </w:tc>
      </w:tr>
    </w:tbl>
    <w:p w14:paraId="5C7B6185" w14:textId="7E7A1B7F" w:rsidR="00684B79" w:rsidRPr="00972C81" w:rsidRDefault="00684B79">
      <w:pPr>
        <w:widowControl/>
        <w:jc w:val="left"/>
        <w:rPr>
          <w:noProof/>
        </w:rPr>
      </w:pPr>
      <w:r w:rsidRPr="00972C81">
        <w:rPr>
          <w:noProof/>
        </w:rPr>
        <w:br w:type="page"/>
      </w:r>
    </w:p>
    <w:p w14:paraId="21E2BBEC" w14:textId="77777777" w:rsidR="007D1F4D" w:rsidRPr="00972C81" w:rsidRDefault="00DC407D" w:rsidP="00E81109">
      <w:pPr>
        <w:pStyle w:val="1"/>
        <w:rPr>
          <w:noProof/>
        </w:rPr>
      </w:pPr>
      <w:bookmarkStart w:id="355" w:name="_Toc455492673"/>
      <w:bookmarkStart w:id="356" w:name="_Toc455493102"/>
      <w:bookmarkStart w:id="357" w:name="_Toc162630115"/>
      <w:r w:rsidRPr="00972C81">
        <w:rPr>
          <w:noProof/>
        </w:rPr>
        <w:lastRenderedPageBreak/>
        <w:t>Curium (Z=96)</w:t>
      </w:r>
      <w:bookmarkEnd w:id="355"/>
      <w:bookmarkEnd w:id="356"/>
      <w:bookmarkEnd w:id="357"/>
    </w:p>
    <w:p w14:paraId="24B16BEF" w14:textId="6BA08DB1" w:rsidR="00C75B30" w:rsidRPr="00972C81" w:rsidRDefault="00C75B30" w:rsidP="00E81109">
      <w:pPr>
        <w:pStyle w:val="2"/>
        <w:rPr>
          <w:noProof/>
          <w:lang w:val="en-GB"/>
        </w:rPr>
      </w:pPr>
      <w:bookmarkStart w:id="358" w:name="_Toc17467965"/>
      <w:bookmarkStart w:id="359" w:name="_Toc162630116"/>
      <w:bookmarkEnd w:id="358"/>
      <w:r w:rsidRPr="00972C81">
        <w:rPr>
          <w:noProof/>
          <w:lang w:val="en-GB"/>
        </w:rPr>
        <w:t>Routes of Intake</w:t>
      </w:r>
      <w:bookmarkEnd w:id="359"/>
    </w:p>
    <w:p w14:paraId="53148AAF" w14:textId="77777777" w:rsidR="00CC7147" w:rsidRPr="00972C81" w:rsidRDefault="00CC7147" w:rsidP="006F56F9">
      <w:pPr>
        <w:pStyle w:val="3"/>
        <w:rPr>
          <w:noProof/>
        </w:rPr>
      </w:pPr>
      <w:bookmarkStart w:id="360" w:name="_Toc162630117"/>
      <w:r w:rsidRPr="00972C81">
        <w:rPr>
          <w:noProof/>
        </w:rPr>
        <w:t>Inhalation</w:t>
      </w:r>
      <w:bookmarkEnd w:id="360"/>
    </w:p>
    <w:p w14:paraId="1EF522C3" w14:textId="2E54B8D7" w:rsidR="00CC7147" w:rsidRPr="00972C81" w:rsidRDefault="00CC7147" w:rsidP="001C4A92">
      <w:pPr>
        <w:pStyle w:val="Annalstext"/>
        <w:rPr>
          <w:noProof/>
          <w:szCs w:val="24"/>
        </w:rPr>
      </w:pPr>
      <w:r w:rsidRPr="00972C81">
        <w:rPr>
          <w:noProof/>
        </w:rPr>
        <w:t xml:space="preserve">Some limited information was found on the behaviour of inhaled curium </w:t>
      </w:r>
      <w:r w:rsidR="00BB503E">
        <w:rPr>
          <w:noProof/>
        </w:rPr>
        <w:t>in humans</w:t>
      </w:r>
      <w:r w:rsidRPr="00972C81">
        <w:rPr>
          <w:noProof/>
        </w:rPr>
        <w:t xml:space="preserve">. Information on absorption from the respiratory tract is available from experimental studies of curium, mostly as oxides of variable stoichiometry, and for a few as chloride, nitrate </w:t>
      </w:r>
      <w:r w:rsidRPr="00972C81">
        <w:rPr>
          <w:noProof/>
          <w:szCs w:val="24"/>
        </w:rPr>
        <w:t xml:space="preserve">and citrate. </w:t>
      </w:r>
      <w:r w:rsidR="00AF3127" w:rsidRPr="00972C81">
        <w:rPr>
          <w:noProof/>
          <w:szCs w:val="24"/>
        </w:rPr>
        <w:t xml:space="preserve">For details see Section 24 of </w:t>
      </w:r>
      <w:r w:rsidR="00D4443E" w:rsidRPr="00972C81">
        <w:rPr>
          <w:i/>
          <w:noProof/>
        </w:rPr>
        <w:t>Publication 141</w:t>
      </w:r>
      <w:r w:rsidR="00D4443E" w:rsidRPr="00972C81">
        <w:rPr>
          <w:noProof/>
        </w:rPr>
        <w:t xml:space="preserve"> </w:t>
      </w:r>
      <w:r w:rsidR="00653D0A" w:rsidRPr="00972C81">
        <w:rPr>
          <w:noProof/>
        </w:rPr>
        <w:fldChar w:fldCharType="begin"/>
      </w:r>
      <w:r w:rsidR="0091689A" w:rsidRPr="00972C81">
        <w:rPr>
          <w:noProof/>
        </w:rPr>
        <w:instrText xml:space="preserve"> ADDIN ZOTERO_ITEM CSL_CITATION {"citationID":"a1j0eagnsjt","properties":{"formattedCitation":"(ICRP,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653D0A" w:rsidRPr="00972C81">
        <w:rPr>
          <w:noProof/>
        </w:rPr>
        <w:fldChar w:fldCharType="separate"/>
      </w:r>
      <w:r w:rsidR="0091689A" w:rsidRPr="00972C81">
        <w:rPr>
          <w:noProof/>
          <w:szCs w:val="24"/>
        </w:rPr>
        <w:t>(ICRP, 2019)</w:t>
      </w:r>
      <w:r w:rsidR="00653D0A" w:rsidRPr="00972C81">
        <w:rPr>
          <w:noProof/>
        </w:rPr>
        <w:fldChar w:fldCharType="end"/>
      </w:r>
      <w:r w:rsidR="00AF3127" w:rsidRPr="00972C81">
        <w:rPr>
          <w:noProof/>
          <w:szCs w:val="24"/>
        </w:rPr>
        <w:t xml:space="preserve">. </w:t>
      </w:r>
      <w:r w:rsidR="006F3DE7" w:rsidRPr="00972C81">
        <w:rPr>
          <w:noProof/>
          <w:szCs w:val="24"/>
        </w:rPr>
        <w:t xml:space="preserve">As described in Section 18 of </w:t>
      </w:r>
      <w:r w:rsidR="00D4443E" w:rsidRPr="00972C81">
        <w:rPr>
          <w:i/>
          <w:noProof/>
        </w:rPr>
        <w:t>Publication 141</w:t>
      </w:r>
      <w:r w:rsidR="00084C42">
        <w:rPr>
          <w:rFonts w:hint="eastAsia"/>
          <w:i/>
          <w:noProof/>
          <w:lang w:eastAsia="ko-KR"/>
        </w:rPr>
        <w:t xml:space="preserve"> </w:t>
      </w:r>
      <w:r w:rsidR="00653D0A" w:rsidRPr="00972C81">
        <w:rPr>
          <w:noProof/>
        </w:rPr>
        <w:fldChar w:fldCharType="begin"/>
      </w:r>
      <w:r w:rsidR="0091689A" w:rsidRPr="00972C81">
        <w:rPr>
          <w:noProof/>
        </w:rPr>
        <w:instrText xml:space="preserve"> ADDIN ZOTERO_ITEM CSL_CITATION {"citationID":"ldqOM39s","properties":{"formattedCitation":"(ICRP,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653D0A" w:rsidRPr="00972C81">
        <w:rPr>
          <w:noProof/>
        </w:rPr>
        <w:fldChar w:fldCharType="separate"/>
      </w:r>
      <w:r w:rsidR="0091689A" w:rsidRPr="00972C81">
        <w:rPr>
          <w:noProof/>
          <w:szCs w:val="24"/>
        </w:rPr>
        <w:t>(ICRP, 2019)</w:t>
      </w:r>
      <w:r w:rsidR="00653D0A" w:rsidRPr="00972C81">
        <w:rPr>
          <w:noProof/>
        </w:rPr>
        <w:fldChar w:fldCharType="end"/>
      </w:r>
      <w:r w:rsidR="006F3DE7" w:rsidRPr="00972C81">
        <w:rPr>
          <w:noProof/>
          <w:szCs w:val="24"/>
        </w:rPr>
        <w:t>, the general actinide section, absorption parameter values based on plutonium (</w:t>
      </w:r>
      <w:r w:rsidR="006F3DE7" w:rsidRPr="00972C81">
        <w:rPr>
          <w:i/>
          <w:noProof/>
          <w:szCs w:val="24"/>
        </w:rPr>
        <w:t>s</w:t>
      </w:r>
      <w:r w:rsidR="006F3DE7" w:rsidRPr="00972C81">
        <w:rPr>
          <w:noProof/>
          <w:szCs w:val="24"/>
          <w:vertAlign w:val="subscript"/>
        </w:rPr>
        <w:t>r</w:t>
      </w:r>
      <w:r w:rsidR="006F3DE7" w:rsidRPr="00972C81">
        <w:rPr>
          <w:noProof/>
          <w:szCs w:val="24"/>
        </w:rPr>
        <w:t xml:space="preserve"> = 0.4 d</w:t>
      </w:r>
      <w:r w:rsidR="006F3DE7" w:rsidRPr="00972C81">
        <w:rPr>
          <w:noProof/>
          <w:szCs w:val="24"/>
          <w:vertAlign w:val="superscript"/>
        </w:rPr>
        <w:t>–1</w:t>
      </w:r>
      <w:r w:rsidR="006F3DE7" w:rsidRPr="00972C81">
        <w:rPr>
          <w:noProof/>
          <w:szCs w:val="24"/>
        </w:rPr>
        <w:t xml:space="preserve">; </w:t>
      </w:r>
      <w:r w:rsidR="006F3DE7" w:rsidRPr="00972C81">
        <w:rPr>
          <w:i/>
          <w:noProof/>
          <w:szCs w:val="24"/>
        </w:rPr>
        <w:t>f</w:t>
      </w:r>
      <w:r w:rsidR="006F3DE7" w:rsidRPr="00972C81">
        <w:rPr>
          <w:noProof/>
          <w:szCs w:val="24"/>
          <w:vertAlign w:val="subscript"/>
        </w:rPr>
        <w:t>b</w:t>
      </w:r>
      <w:r w:rsidR="006F3DE7" w:rsidRPr="00972C81">
        <w:rPr>
          <w:noProof/>
          <w:szCs w:val="24"/>
        </w:rPr>
        <w:t xml:space="preserve"> =</w:t>
      </w:r>
      <w:r w:rsidR="006F3DE7" w:rsidRPr="00972C81">
        <w:rPr>
          <w:noProof/>
          <w:szCs w:val="24"/>
          <w:vertAlign w:val="subscript"/>
        </w:rPr>
        <w:t xml:space="preserve"> </w:t>
      </w:r>
      <w:r w:rsidR="006F3DE7" w:rsidRPr="00972C81">
        <w:rPr>
          <w:noProof/>
          <w:szCs w:val="24"/>
        </w:rPr>
        <w:t xml:space="preserve">0.002; </w:t>
      </w:r>
      <w:r w:rsidR="006F3DE7" w:rsidRPr="00972C81">
        <w:rPr>
          <w:i/>
          <w:noProof/>
          <w:szCs w:val="24"/>
        </w:rPr>
        <w:t>s</w:t>
      </w:r>
      <w:r w:rsidR="006F3DE7" w:rsidRPr="00972C81">
        <w:rPr>
          <w:noProof/>
          <w:szCs w:val="24"/>
          <w:vertAlign w:val="subscript"/>
        </w:rPr>
        <w:t>b</w:t>
      </w:r>
      <w:r w:rsidR="006F3DE7" w:rsidRPr="00972C81">
        <w:rPr>
          <w:noProof/>
          <w:szCs w:val="24"/>
        </w:rPr>
        <w:t xml:space="preserve"> = 0 d</w:t>
      </w:r>
      <w:r w:rsidR="006F3DE7" w:rsidRPr="00972C81">
        <w:rPr>
          <w:noProof/>
          <w:szCs w:val="24"/>
          <w:vertAlign w:val="superscript"/>
        </w:rPr>
        <w:t>–1</w:t>
      </w:r>
      <w:r w:rsidR="006F3DE7" w:rsidRPr="00972C81">
        <w:rPr>
          <w:noProof/>
          <w:szCs w:val="24"/>
        </w:rPr>
        <w:t xml:space="preserve">) are applied in that document (and hence also in this document) to the transplutonium elements for radiation protection purposes. </w:t>
      </w:r>
      <w:r w:rsidRPr="00972C81">
        <w:rPr>
          <w:noProof/>
          <w:szCs w:val="24"/>
        </w:rPr>
        <w:t xml:space="preserve">Absorption parameter values and Types, and associated </w:t>
      </w:r>
      <w:r w:rsidRPr="00972C81">
        <w:rPr>
          <w:i/>
          <w:noProof/>
          <w:szCs w:val="24"/>
        </w:rPr>
        <w:t>f</w:t>
      </w:r>
      <w:r w:rsidRPr="00972C81">
        <w:rPr>
          <w:noProof/>
          <w:szCs w:val="24"/>
          <w:vertAlign w:val="subscript"/>
        </w:rPr>
        <w:t>A</w:t>
      </w:r>
      <w:r w:rsidRPr="00972C81">
        <w:rPr>
          <w:noProof/>
          <w:szCs w:val="24"/>
        </w:rPr>
        <w:t xml:space="preserve"> values for particulate forms of curium, are given in Table </w:t>
      </w:r>
      <w:r w:rsidR="00D4443E" w:rsidRPr="00972C81">
        <w:rPr>
          <w:noProof/>
          <w:szCs w:val="24"/>
        </w:rPr>
        <w:t>24</w:t>
      </w:r>
      <w:r w:rsidR="00E838BC" w:rsidRPr="00972C81">
        <w:rPr>
          <w:noProof/>
          <w:szCs w:val="24"/>
        </w:rPr>
        <w:t>.1.</w:t>
      </w:r>
      <w:r w:rsidR="006C29E4" w:rsidRPr="00972C81">
        <w:rPr>
          <w:noProof/>
          <w:szCs w:val="24"/>
        </w:rPr>
        <w:t xml:space="preserve"> (taken from Section 24 of </w:t>
      </w:r>
      <w:r w:rsidR="00D4443E" w:rsidRPr="00972C81">
        <w:rPr>
          <w:i/>
          <w:noProof/>
        </w:rPr>
        <w:t>Publication 141</w:t>
      </w:r>
      <w:r w:rsidR="00D4443E" w:rsidRPr="00972C81">
        <w:rPr>
          <w:noProof/>
        </w:rPr>
        <w:t>)</w:t>
      </w:r>
      <w:r w:rsidRPr="00972C81">
        <w:rPr>
          <w:noProof/>
          <w:szCs w:val="24"/>
        </w:rPr>
        <w:t>.</w:t>
      </w:r>
    </w:p>
    <w:p w14:paraId="29AE3A7E" w14:textId="77777777" w:rsidR="00CC7147" w:rsidRPr="00972C81" w:rsidRDefault="00CC7147" w:rsidP="00CC7147">
      <w:pPr>
        <w:rPr>
          <w:rFonts w:ascii="Times Roman" w:hAnsi="Times Roman"/>
          <w:noProof/>
          <w:color w:val="000000" w:themeColor="text1"/>
        </w:rPr>
      </w:pPr>
    </w:p>
    <w:p w14:paraId="1C06CEF7" w14:textId="18C2B303" w:rsidR="00CC7147" w:rsidRPr="00C47F2F" w:rsidRDefault="00653D0A" w:rsidP="00E81109">
      <w:pPr>
        <w:pStyle w:val="ab"/>
        <w:rPr>
          <w:b/>
          <w:noProof/>
          <w:sz w:val="24"/>
          <w:szCs w:val="24"/>
        </w:rPr>
      </w:pPr>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24</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1</w:t>
      </w:r>
      <w:r w:rsidR="00EA3750" w:rsidRPr="00C47F2F">
        <w:rPr>
          <w:noProof/>
          <w:sz w:val="24"/>
          <w:szCs w:val="24"/>
        </w:rPr>
        <w:fldChar w:fldCharType="end"/>
      </w:r>
      <w:r w:rsidRPr="00C47F2F">
        <w:rPr>
          <w:noProof/>
          <w:sz w:val="24"/>
          <w:szCs w:val="24"/>
        </w:rPr>
        <w:t>.</w:t>
      </w:r>
      <w:r w:rsidR="00CC7147" w:rsidRPr="00C47F2F">
        <w:rPr>
          <w:noProof/>
          <w:sz w:val="24"/>
          <w:szCs w:val="24"/>
        </w:rPr>
        <w:t xml:space="preserve"> Absorption parameter values for inhaled and ingested curium. </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31"/>
        <w:gridCol w:w="1813"/>
        <w:gridCol w:w="527"/>
        <w:gridCol w:w="1109"/>
        <w:gridCol w:w="209"/>
        <w:gridCol w:w="899"/>
        <w:gridCol w:w="177"/>
        <w:gridCol w:w="933"/>
        <w:gridCol w:w="144"/>
        <w:gridCol w:w="964"/>
        <w:gridCol w:w="114"/>
        <w:gridCol w:w="995"/>
        <w:gridCol w:w="1112"/>
      </w:tblGrid>
      <w:tr w:rsidR="00CC7147" w:rsidRPr="00972C81" w14:paraId="700B7B83" w14:textId="77777777" w:rsidTr="00A416F1">
        <w:trPr>
          <w:cantSplit/>
          <w:trHeight w:val="340"/>
        </w:trPr>
        <w:tc>
          <w:tcPr>
            <w:tcW w:w="2043" w:type="pct"/>
            <w:gridSpan w:val="5"/>
            <w:vMerge w:val="restart"/>
            <w:tcBorders>
              <w:top w:val="single" w:sz="4" w:space="0" w:color="auto"/>
              <w:left w:val="nil"/>
              <w:bottom w:val="single" w:sz="4" w:space="0" w:color="auto"/>
              <w:right w:val="nil"/>
            </w:tcBorders>
            <w:vAlign w:val="bottom"/>
            <w:hideMark/>
          </w:tcPr>
          <w:p w14:paraId="4C3E8F61" w14:textId="77777777" w:rsidR="00CC7147" w:rsidRPr="00084C42" w:rsidRDefault="00CC7147" w:rsidP="00E81109">
            <w:pPr>
              <w:pStyle w:val="Table"/>
              <w:rPr>
                <w:noProof/>
                <w:szCs w:val="22"/>
              </w:rPr>
            </w:pPr>
            <w:r w:rsidRPr="00084C42">
              <w:rPr>
                <w:noProof/>
                <w:szCs w:val="22"/>
              </w:rPr>
              <w:t>Inhaled particulate materials</w:t>
            </w:r>
          </w:p>
        </w:tc>
        <w:tc>
          <w:tcPr>
            <w:tcW w:w="1790" w:type="pct"/>
            <w:gridSpan w:val="6"/>
            <w:tcBorders>
              <w:top w:val="single" w:sz="4" w:space="0" w:color="auto"/>
              <w:left w:val="nil"/>
              <w:bottom w:val="single" w:sz="4" w:space="0" w:color="auto"/>
              <w:right w:val="nil"/>
            </w:tcBorders>
            <w:vAlign w:val="center"/>
            <w:hideMark/>
          </w:tcPr>
          <w:p w14:paraId="170F582E" w14:textId="6970E9A7" w:rsidR="00CC7147" w:rsidRPr="00084C42" w:rsidRDefault="00CC7147" w:rsidP="00A416F1">
            <w:pPr>
              <w:pStyle w:val="Table"/>
              <w:jc w:val="center"/>
              <w:rPr>
                <w:noProof/>
                <w:szCs w:val="22"/>
                <w:vertAlign w:val="superscript"/>
              </w:rPr>
            </w:pPr>
            <w:r w:rsidRPr="00084C42">
              <w:rPr>
                <w:noProof/>
                <w:szCs w:val="22"/>
              </w:rPr>
              <w:t>Absorption parameter values</w:t>
            </w:r>
            <w:r w:rsidR="0009661D" w:rsidRPr="00084C42">
              <w:rPr>
                <w:noProof/>
                <w:szCs w:val="22"/>
                <w:vertAlign w:val="superscript"/>
              </w:rPr>
              <w:t>*</w:t>
            </w:r>
          </w:p>
        </w:tc>
        <w:tc>
          <w:tcPr>
            <w:tcW w:w="1167" w:type="pct"/>
            <w:gridSpan w:val="2"/>
            <w:vMerge w:val="restart"/>
            <w:tcBorders>
              <w:top w:val="single" w:sz="4" w:space="0" w:color="auto"/>
              <w:left w:val="nil"/>
              <w:bottom w:val="single" w:sz="4" w:space="0" w:color="auto"/>
              <w:right w:val="nil"/>
            </w:tcBorders>
            <w:vAlign w:val="center"/>
            <w:hideMark/>
          </w:tcPr>
          <w:p w14:paraId="42B68B51" w14:textId="7DC491B4" w:rsidR="00CC7147" w:rsidRPr="00084C42" w:rsidRDefault="00CC7147" w:rsidP="00A416F1">
            <w:pPr>
              <w:pStyle w:val="Table"/>
              <w:rPr>
                <w:noProof/>
                <w:szCs w:val="22"/>
                <w:vertAlign w:val="superscript"/>
              </w:rPr>
            </w:pPr>
            <w:r w:rsidRPr="00084C42">
              <w:rPr>
                <w:noProof/>
                <w:szCs w:val="22"/>
              </w:rPr>
              <w:t xml:space="preserve">Absorption from the alimentary tract, </w:t>
            </w:r>
            <w:r w:rsidRPr="00084C42">
              <w:rPr>
                <w:i/>
                <w:noProof/>
                <w:szCs w:val="22"/>
              </w:rPr>
              <w:t>f</w:t>
            </w:r>
            <w:r w:rsidRPr="00084C42">
              <w:rPr>
                <w:noProof/>
                <w:szCs w:val="22"/>
                <w:vertAlign w:val="subscript"/>
              </w:rPr>
              <w:t>A</w:t>
            </w:r>
            <w:r w:rsidR="0009661D" w:rsidRPr="00084C42">
              <w:rPr>
                <w:noProof/>
                <w:szCs w:val="22"/>
                <w:vertAlign w:val="superscript"/>
              </w:rPr>
              <w:t>†</w:t>
            </w:r>
          </w:p>
        </w:tc>
      </w:tr>
      <w:tr w:rsidR="00084C42" w:rsidRPr="00972C81" w14:paraId="6270C936" w14:textId="77777777" w:rsidTr="00A416F1">
        <w:trPr>
          <w:cantSplit/>
          <w:trHeight w:val="340"/>
        </w:trPr>
        <w:tc>
          <w:tcPr>
            <w:tcW w:w="2043" w:type="pct"/>
            <w:gridSpan w:val="5"/>
            <w:vMerge/>
            <w:tcBorders>
              <w:top w:val="single" w:sz="4" w:space="0" w:color="auto"/>
              <w:left w:val="nil"/>
              <w:bottom w:val="single" w:sz="4" w:space="0" w:color="auto"/>
              <w:right w:val="nil"/>
            </w:tcBorders>
            <w:vAlign w:val="center"/>
            <w:hideMark/>
          </w:tcPr>
          <w:p w14:paraId="038E4FAC" w14:textId="77777777" w:rsidR="00CC7147" w:rsidRPr="00084C42" w:rsidRDefault="00CC7147" w:rsidP="00E81109">
            <w:pPr>
              <w:pStyle w:val="Table"/>
              <w:rPr>
                <w:noProof/>
                <w:szCs w:val="22"/>
              </w:rPr>
            </w:pPr>
          </w:p>
        </w:tc>
        <w:tc>
          <w:tcPr>
            <w:tcW w:w="596" w:type="pct"/>
            <w:gridSpan w:val="2"/>
            <w:tcBorders>
              <w:top w:val="single" w:sz="4" w:space="0" w:color="auto"/>
              <w:left w:val="nil"/>
              <w:bottom w:val="single" w:sz="4" w:space="0" w:color="auto"/>
              <w:right w:val="nil"/>
            </w:tcBorders>
            <w:vAlign w:val="center"/>
            <w:hideMark/>
          </w:tcPr>
          <w:p w14:paraId="05932F5D" w14:textId="77777777" w:rsidR="00CC7147" w:rsidRPr="00084C42" w:rsidRDefault="00CC7147" w:rsidP="00A416F1">
            <w:pPr>
              <w:pStyle w:val="Table"/>
              <w:rPr>
                <w:noProof/>
                <w:szCs w:val="22"/>
              </w:rPr>
            </w:pPr>
            <w:r w:rsidRPr="00084C42">
              <w:rPr>
                <w:i/>
                <w:noProof/>
                <w:szCs w:val="22"/>
              </w:rPr>
              <w:t>f</w:t>
            </w:r>
            <w:r w:rsidRPr="00084C42">
              <w:rPr>
                <w:noProof/>
                <w:szCs w:val="22"/>
                <w:vertAlign w:val="subscript"/>
              </w:rPr>
              <w:t>r</w:t>
            </w:r>
          </w:p>
        </w:tc>
        <w:tc>
          <w:tcPr>
            <w:tcW w:w="597" w:type="pct"/>
            <w:gridSpan w:val="2"/>
            <w:tcBorders>
              <w:top w:val="single" w:sz="4" w:space="0" w:color="auto"/>
              <w:left w:val="nil"/>
              <w:bottom w:val="single" w:sz="4" w:space="0" w:color="auto"/>
              <w:right w:val="nil"/>
            </w:tcBorders>
            <w:vAlign w:val="center"/>
            <w:hideMark/>
          </w:tcPr>
          <w:p w14:paraId="7A8CA6E6" w14:textId="77777777" w:rsidR="00CC7147" w:rsidRPr="00084C42" w:rsidRDefault="00CC7147" w:rsidP="00A416F1">
            <w:pPr>
              <w:pStyle w:val="Table"/>
              <w:rPr>
                <w:noProof/>
                <w:szCs w:val="22"/>
              </w:rPr>
            </w:pPr>
            <w:r w:rsidRPr="00084C42">
              <w:rPr>
                <w:i/>
                <w:noProof/>
                <w:szCs w:val="22"/>
              </w:rPr>
              <w:t>s</w:t>
            </w:r>
            <w:r w:rsidRPr="00084C42">
              <w:rPr>
                <w:noProof/>
                <w:szCs w:val="22"/>
                <w:vertAlign w:val="subscript"/>
              </w:rPr>
              <w:t>r</w:t>
            </w:r>
            <w:r w:rsidRPr="00084C42">
              <w:rPr>
                <w:noProof/>
                <w:szCs w:val="22"/>
              </w:rPr>
              <w:t xml:space="preserve"> (d</w:t>
            </w:r>
            <w:r w:rsidRPr="00084C42">
              <w:rPr>
                <w:noProof/>
                <w:szCs w:val="22"/>
                <w:vertAlign w:val="superscript"/>
              </w:rPr>
              <w:t>–1</w:t>
            </w:r>
            <w:r w:rsidRPr="00084C42">
              <w:rPr>
                <w:noProof/>
                <w:szCs w:val="22"/>
              </w:rPr>
              <w:t>)</w:t>
            </w:r>
          </w:p>
        </w:tc>
        <w:tc>
          <w:tcPr>
            <w:tcW w:w="597" w:type="pct"/>
            <w:gridSpan w:val="2"/>
            <w:tcBorders>
              <w:top w:val="single" w:sz="4" w:space="0" w:color="auto"/>
              <w:left w:val="nil"/>
              <w:bottom w:val="single" w:sz="4" w:space="0" w:color="auto"/>
              <w:right w:val="nil"/>
            </w:tcBorders>
            <w:vAlign w:val="center"/>
            <w:hideMark/>
          </w:tcPr>
          <w:p w14:paraId="00EBB487" w14:textId="77777777" w:rsidR="00CC7147" w:rsidRPr="00084C42" w:rsidRDefault="00CC7147" w:rsidP="00A416F1">
            <w:pPr>
              <w:pStyle w:val="Table"/>
              <w:rPr>
                <w:noProof/>
                <w:szCs w:val="22"/>
              </w:rPr>
            </w:pPr>
            <w:r w:rsidRPr="00084C42">
              <w:rPr>
                <w:i/>
                <w:noProof/>
                <w:szCs w:val="22"/>
              </w:rPr>
              <w:t>s</w:t>
            </w:r>
            <w:r w:rsidRPr="00084C42">
              <w:rPr>
                <w:noProof/>
                <w:szCs w:val="22"/>
                <w:vertAlign w:val="subscript"/>
              </w:rPr>
              <w:t>s</w:t>
            </w:r>
            <w:r w:rsidRPr="00084C42">
              <w:rPr>
                <w:noProof/>
                <w:szCs w:val="22"/>
              </w:rPr>
              <w:t xml:space="preserve"> (d</w:t>
            </w:r>
            <w:r w:rsidRPr="00084C42">
              <w:rPr>
                <w:noProof/>
                <w:szCs w:val="22"/>
                <w:vertAlign w:val="superscript"/>
              </w:rPr>
              <w:t>–1</w:t>
            </w:r>
            <w:r w:rsidRPr="00084C42">
              <w:rPr>
                <w:noProof/>
                <w:szCs w:val="22"/>
              </w:rPr>
              <w:t>)</w:t>
            </w:r>
          </w:p>
        </w:tc>
        <w:tc>
          <w:tcPr>
            <w:tcW w:w="1167" w:type="pct"/>
            <w:gridSpan w:val="2"/>
            <w:vMerge/>
            <w:tcBorders>
              <w:top w:val="single" w:sz="4" w:space="0" w:color="auto"/>
              <w:left w:val="nil"/>
              <w:bottom w:val="single" w:sz="4" w:space="0" w:color="auto"/>
              <w:right w:val="nil"/>
            </w:tcBorders>
            <w:vAlign w:val="center"/>
            <w:hideMark/>
          </w:tcPr>
          <w:p w14:paraId="6D7952F7" w14:textId="77777777" w:rsidR="00CC7147" w:rsidRPr="00084C42" w:rsidRDefault="00CC7147" w:rsidP="00E81109">
            <w:pPr>
              <w:pStyle w:val="Table"/>
              <w:rPr>
                <w:noProof/>
                <w:szCs w:val="22"/>
                <w:vertAlign w:val="superscript"/>
              </w:rPr>
            </w:pPr>
          </w:p>
        </w:tc>
      </w:tr>
      <w:tr w:rsidR="00084C42" w:rsidRPr="00972C81" w14:paraId="24BD4A73" w14:textId="77777777" w:rsidTr="00A416F1">
        <w:trPr>
          <w:trHeight w:val="283"/>
        </w:trPr>
        <w:tc>
          <w:tcPr>
            <w:tcW w:w="2043" w:type="pct"/>
            <w:gridSpan w:val="5"/>
            <w:tcBorders>
              <w:top w:val="single" w:sz="4" w:space="0" w:color="auto"/>
              <w:left w:val="nil"/>
              <w:bottom w:val="nil"/>
              <w:right w:val="nil"/>
            </w:tcBorders>
            <w:hideMark/>
          </w:tcPr>
          <w:p w14:paraId="1BE40F2F" w14:textId="76AE339E" w:rsidR="00CC7147" w:rsidRPr="00084C42" w:rsidRDefault="00CC7147" w:rsidP="00E81109">
            <w:pPr>
              <w:pStyle w:val="Table"/>
              <w:rPr>
                <w:noProof/>
                <w:szCs w:val="22"/>
              </w:rPr>
            </w:pPr>
            <w:r w:rsidRPr="00084C42">
              <w:rPr>
                <w:noProof/>
                <w:szCs w:val="22"/>
              </w:rPr>
              <w:t>Specific parameter values</w:t>
            </w:r>
            <w:r w:rsidR="0009661D" w:rsidRPr="00084C42">
              <w:rPr>
                <w:noProof/>
                <w:szCs w:val="22"/>
                <w:vertAlign w:val="superscript"/>
              </w:rPr>
              <w:t>‡</w:t>
            </w:r>
          </w:p>
        </w:tc>
        <w:tc>
          <w:tcPr>
            <w:tcW w:w="596" w:type="pct"/>
            <w:gridSpan w:val="2"/>
            <w:tcBorders>
              <w:top w:val="single" w:sz="4" w:space="0" w:color="auto"/>
              <w:left w:val="nil"/>
              <w:bottom w:val="nil"/>
              <w:right w:val="nil"/>
            </w:tcBorders>
          </w:tcPr>
          <w:p w14:paraId="17274D80" w14:textId="77777777" w:rsidR="00CC7147" w:rsidRPr="00084C42" w:rsidRDefault="00CC7147" w:rsidP="00E81109">
            <w:pPr>
              <w:pStyle w:val="Table"/>
              <w:rPr>
                <w:noProof/>
                <w:szCs w:val="22"/>
              </w:rPr>
            </w:pPr>
          </w:p>
        </w:tc>
        <w:tc>
          <w:tcPr>
            <w:tcW w:w="597" w:type="pct"/>
            <w:gridSpan w:val="2"/>
            <w:tcBorders>
              <w:top w:val="single" w:sz="4" w:space="0" w:color="auto"/>
              <w:left w:val="nil"/>
              <w:bottom w:val="nil"/>
              <w:right w:val="nil"/>
            </w:tcBorders>
          </w:tcPr>
          <w:p w14:paraId="59D4EFA8" w14:textId="77777777" w:rsidR="00CC7147" w:rsidRPr="00084C42" w:rsidRDefault="00CC7147" w:rsidP="00E81109">
            <w:pPr>
              <w:pStyle w:val="Table"/>
              <w:rPr>
                <w:noProof/>
                <w:szCs w:val="22"/>
              </w:rPr>
            </w:pPr>
          </w:p>
        </w:tc>
        <w:tc>
          <w:tcPr>
            <w:tcW w:w="597" w:type="pct"/>
            <w:gridSpan w:val="2"/>
            <w:tcBorders>
              <w:top w:val="single" w:sz="4" w:space="0" w:color="auto"/>
              <w:left w:val="nil"/>
              <w:bottom w:val="nil"/>
              <w:right w:val="nil"/>
            </w:tcBorders>
          </w:tcPr>
          <w:p w14:paraId="58FAD6CC" w14:textId="77777777" w:rsidR="00CC7147" w:rsidRPr="00084C42" w:rsidRDefault="00CC7147" w:rsidP="00E81109">
            <w:pPr>
              <w:pStyle w:val="Table"/>
              <w:rPr>
                <w:noProof/>
                <w:szCs w:val="22"/>
              </w:rPr>
            </w:pPr>
          </w:p>
        </w:tc>
        <w:tc>
          <w:tcPr>
            <w:tcW w:w="1167" w:type="pct"/>
            <w:gridSpan w:val="2"/>
            <w:tcBorders>
              <w:top w:val="single" w:sz="4" w:space="0" w:color="auto"/>
              <w:left w:val="nil"/>
              <w:bottom w:val="nil"/>
              <w:right w:val="nil"/>
            </w:tcBorders>
          </w:tcPr>
          <w:p w14:paraId="2A0F36FD" w14:textId="77777777" w:rsidR="00CC7147" w:rsidRPr="00084C42" w:rsidRDefault="00CC7147" w:rsidP="00E81109">
            <w:pPr>
              <w:pStyle w:val="Table"/>
              <w:rPr>
                <w:i/>
                <w:noProof/>
                <w:szCs w:val="22"/>
              </w:rPr>
            </w:pPr>
          </w:p>
        </w:tc>
      </w:tr>
      <w:tr w:rsidR="00084C42" w:rsidRPr="00972C81" w14:paraId="644823F5" w14:textId="77777777" w:rsidTr="00A416F1">
        <w:trPr>
          <w:trHeight w:val="283"/>
        </w:trPr>
        <w:tc>
          <w:tcPr>
            <w:tcW w:w="2043" w:type="pct"/>
            <w:gridSpan w:val="5"/>
            <w:tcBorders>
              <w:top w:val="nil"/>
              <w:left w:val="nil"/>
              <w:bottom w:val="nil"/>
              <w:right w:val="nil"/>
            </w:tcBorders>
            <w:hideMark/>
          </w:tcPr>
          <w:p w14:paraId="0CDDDCA5" w14:textId="77777777" w:rsidR="00CC7147" w:rsidRPr="00084C42" w:rsidRDefault="00CC7147" w:rsidP="00A416F1">
            <w:pPr>
              <w:pStyle w:val="Table"/>
              <w:rPr>
                <w:noProof/>
                <w:szCs w:val="22"/>
              </w:rPr>
            </w:pPr>
            <w:r w:rsidRPr="00084C42">
              <w:rPr>
                <w:noProof/>
                <w:szCs w:val="22"/>
              </w:rPr>
              <w:t>Curium oxide, nitrate and chloride</w:t>
            </w:r>
          </w:p>
        </w:tc>
        <w:tc>
          <w:tcPr>
            <w:tcW w:w="596" w:type="pct"/>
            <w:gridSpan w:val="2"/>
            <w:tcBorders>
              <w:top w:val="nil"/>
              <w:left w:val="nil"/>
              <w:bottom w:val="nil"/>
              <w:right w:val="nil"/>
            </w:tcBorders>
            <w:hideMark/>
          </w:tcPr>
          <w:p w14:paraId="366668A1" w14:textId="77777777" w:rsidR="00CC7147" w:rsidRPr="00084C42" w:rsidRDefault="00CC7147" w:rsidP="00A416F1">
            <w:pPr>
              <w:pStyle w:val="Table"/>
              <w:rPr>
                <w:noProof/>
                <w:szCs w:val="22"/>
              </w:rPr>
            </w:pPr>
            <w:r w:rsidRPr="00084C42">
              <w:rPr>
                <w:noProof/>
                <w:szCs w:val="22"/>
              </w:rPr>
              <w:t>0.5</w:t>
            </w:r>
          </w:p>
        </w:tc>
        <w:tc>
          <w:tcPr>
            <w:tcW w:w="597" w:type="pct"/>
            <w:gridSpan w:val="2"/>
            <w:tcBorders>
              <w:top w:val="nil"/>
              <w:left w:val="nil"/>
              <w:bottom w:val="nil"/>
              <w:right w:val="nil"/>
            </w:tcBorders>
            <w:hideMark/>
          </w:tcPr>
          <w:p w14:paraId="11C8B54B" w14:textId="77777777" w:rsidR="00CC7147" w:rsidRPr="00084C42" w:rsidRDefault="00CC7147" w:rsidP="00A416F1">
            <w:pPr>
              <w:pStyle w:val="Table"/>
              <w:rPr>
                <w:noProof/>
                <w:szCs w:val="22"/>
              </w:rPr>
            </w:pPr>
            <w:r w:rsidRPr="00084C42">
              <w:rPr>
                <w:noProof/>
                <w:szCs w:val="22"/>
              </w:rPr>
              <w:t>0.4</w:t>
            </w:r>
          </w:p>
        </w:tc>
        <w:tc>
          <w:tcPr>
            <w:tcW w:w="597" w:type="pct"/>
            <w:gridSpan w:val="2"/>
            <w:tcBorders>
              <w:top w:val="nil"/>
              <w:left w:val="nil"/>
              <w:bottom w:val="nil"/>
              <w:right w:val="nil"/>
            </w:tcBorders>
            <w:hideMark/>
          </w:tcPr>
          <w:p w14:paraId="5BDFB8B0" w14:textId="77777777" w:rsidR="00CC7147" w:rsidRPr="00084C42" w:rsidRDefault="00CC7147" w:rsidP="00A416F1">
            <w:pPr>
              <w:pStyle w:val="Table"/>
              <w:rPr>
                <w:noProof/>
                <w:szCs w:val="22"/>
              </w:rPr>
            </w:pPr>
            <w:r w:rsidRPr="00084C42">
              <w:rPr>
                <w:noProof/>
                <w:szCs w:val="22"/>
              </w:rPr>
              <w:t>0.01</w:t>
            </w:r>
          </w:p>
        </w:tc>
        <w:tc>
          <w:tcPr>
            <w:tcW w:w="1167" w:type="pct"/>
            <w:gridSpan w:val="2"/>
            <w:tcBorders>
              <w:top w:val="nil"/>
              <w:left w:val="nil"/>
              <w:bottom w:val="nil"/>
              <w:right w:val="nil"/>
            </w:tcBorders>
            <w:hideMark/>
          </w:tcPr>
          <w:p w14:paraId="30BD2BDA" w14:textId="13FF3401" w:rsidR="00CC7147" w:rsidRPr="00084C42" w:rsidRDefault="00CC7147" w:rsidP="00A416F1">
            <w:pPr>
              <w:pStyle w:val="Table"/>
              <w:rPr>
                <w:noProof/>
                <w:szCs w:val="22"/>
              </w:rPr>
            </w:pPr>
            <w:r w:rsidRPr="00084C42">
              <w:rPr>
                <w:noProof/>
                <w:szCs w:val="22"/>
              </w:rPr>
              <w:t>3</w:t>
            </w:r>
            <w:r w:rsidR="00067025" w:rsidRPr="00084C42">
              <w:rPr>
                <w:noProof/>
                <w:szCs w:val="22"/>
              </w:rPr>
              <w:t xml:space="preserve"> × </w:t>
            </w:r>
            <w:r w:rsidRPr="00084C42">
              <w:rPr>
                <w:noProof/>
                <w:szCs w:val="22"/>
              </w:rPr>
              <w:t>10</w:t>
            </w:r>
            <w:r w:rsidRPr="00084C42">
              <w:rPr>
                <w:noProof/>
                <w:szCs w:val="22"/>
                <w:vertAlign w:val="superscript"/>
              </w:rPr>
              <w:t>–4</w:t>
            </w:r>
          </w:p>
        </w:tc>
      </w:tr>
      <w:tr w:rsidR="00084C42" w:rsidRPr="00972C81" w14:paraId="652F9BB8" w14:textId="77777777" w:rsidTr="00A416F1">
        <w:trPr>
          <w:trHeight w:val="283"/>
        </w:trPr>
        <w:tc>
          <w:tcPr>
            <w:tcW w:w="2043" w:type="pct"/>
            <w:gridSpan w:val="5"/>
            <w:tcBorders>
              <w:top w:val="nil"/>
              <w:left w:val="nil"/>
              <w:bottom w:val="nil"/>
              <w:right w:val="nil"/>
            </w:tcBorders>
          </w:tcPr>
          <w:p w14:paraId="04B68C6D" w14:textId="77777777" w:rsidR="00CC7147" w:rsidRPr="00084C42" w:rsidRDefault="00CC7147" w:rsidP="00A416F1">
            <w:pPr>
              <w:pStyle w:val="Table"/>
              <w:rPr>
                <w:noProof/>
                <w:szCs w:val="22"/>
              </w:rPr>
            </w:pPr>
          </w:p>
        </w:tc>
        <w:tc>
          <w:tcPr>
            <w:tcW w:w="596" w:type="pct"/>
            <w:gridSpan w:val="2"/>
            <w:tcBorders>
              <w:top w:val="nil"/>
              <w:left w:val="nil"/>
              <w:bottom w:val="nil"/>
              <w:right w:val="nil"/>
            </w:tcBorders>
          </w:tcPr>
          <w:p w14:paraId="6A35F7A7" w14:textId="77777777" w:rsidR="00CC7147" w:rsidRPr="00084C42" w:rsidRDefault="00CC7147" w:rsidP="00A416F1">
            <w:pPr>
              <w:pStyle w:val="Table"/>
              <w:rPr>
                <w:noProof/>
                <w:szCs w:val="22"/>
              </w:rPr>
            </w:pPr>
          </w:p>
        </w:tc>
        <w:tc>
          <w:tcPr>
            <w:tcW w:w="597" w:type="pct"/>
            <w:gridSpan w:val="2"/>
            <w:tcBorders>
              <w:top w:val="nil"/>
              <w:left w:val="nil"/>
              <w:bottom w:val="nil"/>
              <w:right w:val="nil"/>
            </w:tcBorders>
          </w:tcPr>
          <w:p w14:paraId="336ABB81" w14:textId="77777777" w:rsidR="00CC7147" w:rsidRPr="00084C42" w:rsidRDefault="00CC7147" w:rsidP="00A416F1">
            <w:pPr>
              <w:pStyle w:val="Table"/>
              <w:rPr>
                <w:noProof/>
                <w:szCs w:val="22"/>
              </w:rPr>
            </w:pPr>
          </w:p>
        </w:tc>
        <w:tc>
          <w:tcPr>
            <w:tcW w:w="597" w:type="pct"/>
            <w:gridSpan w:val="2"/>
            <w:tcBorders>
              <w:top w:val="nil"/>
              <w:left w:val="nil"/>
              <w:bottom w:val="nil"/>
              <w:right w:val="nil"/>
            </w:tcBorders>
          </w:tcPr>
          <w:p w14:paraId="20A804AE" w14:textId="77777777" w:rsidR="00CC7147" w:rsidRPr="00084C42" w:rsidRDefault="00CC7147" w:rsidP="00A416F1">
            <w:pPr>
              <w:pStyle w:val="Table"/>
              <w:rPr>
                <w:noProof/>
                <w:szCs w:val="22"/>
              </w:rPr>
            </w:pPr>
          </w:p>
        </w:tc>
        <w:tc>
          <w:tcPr>
            <w:tcW w:w="1167" w:type="pct"/>
            <w:gridSpan w:val="2"/>
            <w:tcBorders>
              <w:top w:val="nil"/>
              <w:left w:val="nil"/>
              <w:bottom w:val="nil"/>
              <w:right w:val="nil"/>
            </w:tcBorders>
          </w:tcPr>
          <w:p w14:paraId="68C83F41" w14:textId="77777777" w:rsidR="00CC7147" w:rsidRPr="00084C42" w:rsidRDefault="00CC7147" w:rsidP="00A416F1">
            <w:pPr>
              <w:pStyle w:val="Table"/>
              <w:rPr>
                <w:i/>
                <w:noProof/>
                <w:szCs w:val="22"/>
              </w:rPr>
            </w:pPr>
          </w:p>
        </w:tc>
      </w:tr>
      <w:tr w:rsidR="00084C42" w:rsidRPr="00972C81" w14:paraId="2A81D25B" w14:textId="77777777" w:rsidTr="00A416F1">
        <w:trPr>
          <w:trHeight w:val="283"/>
        </w:trPr>
        <w:tc>
          <w:tcPr>
            <w:tcW w:w="2043" w:type="pct"/>
            <w:gridSpan w:val="5"/>
            <w:tcBorders>
              <w:top w:val="nil"/>
              <w:left w:val="nil"/>
              <w:bottom w:val="nil"/>
              <w:right w:val="nil"/>
            </w:tcBorders>
            <w:hideMark/>
          </w:tcPr>
          <w:p w14:paraId="6E75CC64" w14:textId="41C01C89" w:rsidR="00CC7147" w:rsidRPr="00084C42" w:rsidRDefault="00CC7147" w:rsidP="00A416F1">
            <w:pPr>
              <w:pStyle w:val="Table"/>
              <w:rPr>
                <w:noProof/>
                <w:szCs w:val="22"/>
              </w:rPr>
            </w:pPr>
            <w:r w:rsidRPr="00084C42">
              <w:rPr>
                <w:noProof/>
                <w:szCs w:val="22"/>
              </w:rPr>
              <w:t>Default parameter values</w:t>
            </w:r>
            <w:r w:rsidR="0009661D" w:rsidRPr="00084C42">
              <w:rPr>
                <w:noProof/>
                <w:szCs w:val="22"/>
                <w:vertAlign w:val="superscript"/>
              </w:rPr>
              <w:t>§</w:t>
            </w:r>
          </w:p>
        </w:tc>
        <w:tc>
          <w:tcPr>
            <w:tcW w:w="596" w:type="pct"/>
            <w:gridSpan w:val="2"/>
            <w:tcBorders>
              <w:top w:val="nil"/>
              <w:left w:val="nil"/>
              <w:bottom w:val="nil"/>
              <w:right w:val="nil"/>
            </w:tcBorders>
          </w:tcPr>
          <w:p w14:paraId="382EFD68" w14:textId="77777777" w:rsidR="00CC7147" w:rsidRPr="00084C42" w:rsidRDefault="00CC7147" w:rsidP="00A416F1">
            <w:pPr>
              <w:pStyle w:val="Table"/>
              <w:rPr>
                <w:noProof/>
                <w:szCs w:val="22"/>
              </w:rPr>
            </w:pPr>
          </w:p>
        </w:tc>
        <w:tc>
          <w:tcPr>
            <w:tcW w:w="597" w:type="pct"/>
            <w:gridSpan w:val="2"/>
            <w:tcBorders>
              <w:top w:val="nil"/>
              <w:left w:val="nil"/>
              <w:bottom w:val="nil"/>
              <w:right w:val="nil"/>
            </w:tcBorders>
          </w:tcPr>
          <w:p w14:paraId="7DBC59F7" w14:textId="77777777" w:rsidR="00CC7147" w:rsidRPr="00084C42" w:rsidRDefault="00CC7147" w:rsidP="00A416F1">
            <w:pPr>
              <w:pStyle w:val="Table"/>
              <w:rPr>
                <w:noProof/>
                <w:szCs w:val="22"/>
              </w:rPr>
            </w:pPr>
          </w:p>
        </w:tc>
        <w:tc>
          <w:tcPr>
            <w:tcW w:w="597" w:type="pct"/>
            <w:gridSpan w:val="2"/>
            <w:tcBorders>
              <w:top w:val="nil"/>
              <w:left w:val="nil"/>
              <w:bottom w:val="nil"/>
              <w:right w:val="nil"/>
            </w:tcBorders>
          </w:tcPr>
          <w:p w14:paraId="3DD45B1B" w14:textId="77777777" w:rsidR="00CC7147" w:rsidRPr="00084C42" w:rsidRDefault="00CC7147" w:rsidP="00A416F1">
            <w:pPr>
              <w:pStyle w:val="Table"/>
              <w:rPr>
                <w:noProof/>
                <w:szCs w:val="22"/>
              </w:rPr>
            </w:pPr>
          </w:p>
        </w:tc>
        <w:tc>
          <w:tcPr>
            <w:tcW w:w="1167" w:type="pct"/>
            <w:gridSpan w:val="2"/>
            <w:tcBorders>
              <w:top w:val="nil"/>
              <w:left w:val="nil"/>
              <w:bottom w:val="nil"/>
              <w:right w:val="nil"/>
            </w:tcBorders>
          </w:tcPr>
          <w:p w14:paraId="16B7F6C0" w14:textId="77777777" w:rsidR="00CC7147" w:rsidRPr="00084C42" w:rsidRDefault="00CC7147" w:rsidP="00A416F1">
            <w:pPr>
              <w:pStyle w:val="Table"/>
              <w:rPr>
                <w:i/>
                <w:noProof/>
                <w:szCs w:val="22"/>
              </w:rPr>
            </w:pPr>
          </w:p>
        </w:tc>
      </w:tr>
      <w:tr w:rsidR="00084C42" w:rsidRPr="00972C81" w14:paraId="4006D32A" w14:textId="77777777" w:rsidTr="00A416F1">
        <w:trPr>
          <w:trHeight w:val="283"/>
        </w:trPr>
        <w:tc>
          <w:tcPr>
            <w:tcW w:w="1021" w:type="pct"/>
            <w:gridSpan w:val="2"/>
            <w:tcBorders>
              <w:top w:val="nil"/>
              <w:left w:val="nil"/>
              <w:bottom w:val="nil"/>
              <w:right w:val="nil"/>
            </w:tcBorders>
            <w:hideMark/>
          </w:tcPr>
          <w:p w14:paraId="516FC626" w14:textId="77777777" w:rsidR="00CC7147" w:rsidRPr="00084C42" w:rsidRDefault="00CC7147" w:rsidP="00A416F1">
            <w:pPr>
              <w:pStyle w:val="Table"/>
              <w:rPr>
                <w:noProof/>
                <w:szCs w:val="22"/>
              </w:rPr>
            </w:pPr>
            <w:r w:rsidRPr="00084C42">
              <w:rPr>
                <w:noProof/>
                <w:szCs w:val="22"/>
              </w:rPr>
              <w:t>Absorption Type</w:t>
            </w:r>
          </w:p>
        </w:tc>
        <w:tc>
          <w:tcPr>
            <w:tcW w:w="1022" w:type="pct"/>
            <w:gridSpan w:val="3"/>
            <w:tcBorders>
              <w:top w:val="nil"/>
              <w:left w:val="nil"/>
              <w:bottom w:val="nil"/>
              <w:right w:val="nil"/>
            </w:tcBorders>
            <w:hideMark/>
          </w:tcPr>
          <w:p w14:paraId="48117885" w14:textId="77777777" w:rsidR="00CC7147" w:rsidRPr="00084C42" w:rsidRDefault="00CC7147" w:rsidP="00A416F1">
            <w:pPr>
              <w:pStyle w:val="Table"/>
              <w:rPr>
                <w:noProof/>
                <w:szCs w:val="22"/>
              </w:rPr>
            </w:pPr>
            <w:r w:rsidRPr="00084C42">
              <w:rPr>
                <w:noProof/>
                <w:szCs w:val="22"/>
              </w:rPr>
              <w:t>Assigned forms</w:t>
            </w:r>
          </w:p>
        </w:tc>
        <w:tc>
          <w:tcPr>
            <w:tcW w:w="596" w:type="pct"/>
            <w:gridSpan w:val="2"/>
            <w:tcBorders>
              <w:top w:val="nil"/>
              <w:left w:val="nil"/>
              <w:bottom w:val="nil"/>
              <w:right w:val="nil"/>
            </w:tcBorders>
          </w:tcPr>
          <w:p w14:paraId="6149628D" w14:textId="77777777" w:rsidR="00CC7147" w:rsidRPr="00084C42" w:rsidRDefault="00CC7147" w:rsidP="00A416F1">
            <w:pPr>
              <w:pStyle w:val="Table"/>
              <w:rPr>
                <w:noProof/>
                <w:szCs w:val="22"/>
              </w:rPr>
            </w:pPr>
          </w:p>
        </w:tc>
        <w:tc>
          <w:tcPr>
            <w:tcW w:w="597" w:type="pct"/>
            <w:gridSpan w:val="2"/>
            <w:tcBorders>
              <w:top w:val="nil"/>
              <w:left w:val="nil"/>
              <w:bottom w:val="nil"/>
              <w:right w:val="nil"/>
            </w:tcBorders>
          </w:tcPr>
          <w:p w14:paraId="5756AC10" w14:textId="77777777" w:rsidR="00CC7147" w:rsidRPr="00084C42" w:rsidRDefault="00CC7147" w:rsidP="00A416F1">
            <w:pPr>
              <w:pStyle w:val="Table"/>
              <w:rPr>
                <w:noProof/>
                <w:szCs w:val="22"/>
              </w:rPr>
            </w:pPr>
          </w:p>
        </w:tc>
        <w:tc>
          <w:tcPr>
            <w:tcW w:w="597" w:type="pct"/>
            <w:gridSpan w:val="2"/>
            <w:tcBorders>
              <w:top w:val="nil"/>
              <w:left w:val="nil"/>
              <w:bottom w:val="nil"/>
              <w:right w:val="nil"/>
            </w:tcBorders>
          </w:tcPr>
          <w:p w14:paraId="3313D0C8" w14:textId="77777777" w:rsidR="00CC7147" w:rsidRPr="00084C42" w:rsidRDefault="00CC7147" w:rsidP="00A416F1">
            <w:pPr>
              <w:pStyle w:val="Table"/>
              <w:rPr>
                <w:noProof/>
                <w:szCs w:val="22"/>
              </w:rPr>
            </w:pPr>
          </w:p>
        </w:tc>
        <w:tc>
          <w:tcPr>
            <w:tcW w:w="1167" w:type="pct"/>
            <w:gridSpan w:val="2"/>
            <w:tcBorders>
              <w:top w:val="nil"/>
              <w:left w:val="nil"/>
              <w:bottom w:val="nil"/>
              <w:right w:val="nil"/>
            </w:tcBorders>
          </w:tcPr>
          <w:p w14:paraId="1A3D62DF" w14:textId="77777777" w:rsidR="00CC7147" w:rsidRPr="00084C42" w:rsidRDefault="00CC7147" w:rsidP="00A416F1">
            <w:pPr>
              <w:pStyle w:val="Table"/>
              <w:rPr>
                <w:noProof/>
                <w:szCs w:val="22"/>
              </w:rPr>
            </w:pPr>
          </w:p>
        </w:tc>
      </w:tr>
      <w:tr w:rsidR="00084C42" w:rsidRPr="00972C81" w14:paraId="3ACDA48E" w14:textId="77777777" w:rsidTr="00A416F1">
        <w:trPr>
          <w:trHeight w:val="283"/>
        </w:trPr>
        <w:tc>
          <w:tcPr>
            <w:tcW w:w="1021" w:type="pct"/>
            <w:gridSpan w:val="2"/>
            <w:tcBorders>
              <w:top w:val="nil"/>
              <w:left w:val="nil"/>
              <w:bottom w:val="nil"/>
              <w:right w:val="nil"/>
            </w:tcBorders>
            <w:hideMark/>
          </w:tcPr>
          <w:p w14:paraId="60DFB70A" w14:textId="77777777" w:rsidR="00CC7147" w:rsidRPr="00084C42" w:rsidRDefault="00CC7147" w:rsidP="00A416F1">
            <w:pPr>
              <w:pStyle w:val="Table"/>
              <w:rPr>
                <w:noProof/>
                <w:szCs w:val="22"/>
              </w:rPr>
            </w:pPr>
            <w:r w:rsidRPr="00084C42">
              <w:rPr>
                <w:noProof/>
                <w:szCs w:val="22"/>
              </w:rPr>
              <w:t>F</w:t>
            </w:r>
          </w:p>
        </w:tc>
        <w:tc>
          <w:tcPr>
            <w:tcW w:w="1022" w:type="pct"/>
            <w:gridSpan w:val="3"/>
            <w:tcBorders>
              <w:top w:val="nil"/>
              <w:left w:val="nil"/>
              <w:bottom w:val="nil"/>
              <w:right w:val="nil"/>
            </w:tcBorders>
            <w:hideMark/>
          </w:tcPr>
          <w:p w14:paraId="017DF119" w14:textId="77777777" w:rsidR="00CC7147" w:rsidRPr="00084C42" w:rsidRDefault="00CC7147" w:rsidP="00A416F1">
            <w:pPr>
              <w:pStyle w:val="Table"/>
              <w:rPr>
                <w:noProof/>
                <w:szCs w:val="22"/>
              </w:rPr>
            </w:pPr>
            <w:r w:rsidRPr="00084C42">
              <w:rPr>
                <w:noProof/>
                <w:szCs w:val="22"/>
              </w:rPr>
              <w:t>Citrate</w:t>
            </w:r>
          </w:p>
        </w:tc>
        <w:tc>
          <w:tcPr>
            <w:tcW w:w="596" w:type="pct"/>
            <w:gridSpan w:val="2"/>
            <w:tcBorders>
              <w:top w:val="nil"/>
              <w:left w:val="nil"/>
              <w:bottom w:val="nil"/>
              <w:right w:val="nil"/>
            </w:tcBorders>
            <w:hideMark/>
          </w:tcPr>
          <w:p w14:paraId="5797063A" w14:textId="77777777" w:rsidR="00CC7147" w:rsidRPr="00084C42" w:rsidRDefault="00CC7147" w:rsidP="00A416F1">
            <w:pPr>
              <w:pStyle w:val="Table"/>
              <w:rPr>
                <w:noProof/>
                <w:szCs w:val="22"/>
              </w:rPr>
            </w:pPr>
            <w:r w:rsidRPr="00084C42">
              <w:rPr>
                <w:noProof/>
                <w:szCs w:val="22"/>
              </w:rPr>
              <w:t>1</w:t>
            </w:r>
          </w:p>
        </w:tc>
        <w:tc>
          <w:tcPr>
            <w:tcW w:w="597" w:type="pct"/>
            <w:gridSpan w:val="2"/>
            <w:tcBorders>
              <w:top w:val="nil"/>
              <w:left w:val="nil"/>
              <w:bottom w:val="nil"/>
              <w:right w:val="nil"/>
            </w:tcBorders>
            <w:hideMark/>
          </w:tcPr>
          <w:p w14:paraId="57D6B71C" w14:textId="77777777" w:rsidR="00CC7147" w:rsidRPr="00084C42" w:rsidRDefault="00CC7147" w:rsidP="00A416F1">
            <w:pPr>
              <w:pStyle w:val="Table"/>
              <w:rPr>
                <w:noProof/>
                <w:szCs w:val="22"/>
              </w:rPr>
            </w:pPr>
            <w:r w:rsidRPr="00084C42">
              <w:rPr>
                <w:noProof/>
                <w:szCs w:val="22"/>
              </w:rPr>
              <w:t>0.4</w:t>
            </w:r>
          </w:p>
        </w:tc>
        <w:tc>
          <w:tcPr>
            <w:tcW w:w="597" w:type="pct"/>
            <w:gridSpan w:val="2"/>
            <w:tcBorders>
              <w:top w:val="nil"/>
              <w:left w:val="nil"/>
              <w:bottom w:val="nil"/>
              <w:right w:val="nil"/>
            </w:tcBorders>
            <w:hideMark/>
          </w:tcPr>
          <w:p w14:paraId="633BA2E2" w14:textId="77777777" w:rsidR="00CC7147" w:rsidRPr="00084C42" w:rsidRDefault="00CC7147" w:rsidP="00A416F1">
            <w:pPr>
              <w:pStyle w:val="Table"/>
              <w:rPr>
                <w:noProof/>
                <w:szCs w:val="22"/>
              </w:rPr>
            </w:pPr>
            <w:r w:rsidRPr="00084C42">
              <w:rPr>
                <w:noProof/>
                <w:szCs w:val="22"/>
              </w:rPr>
              <w:t>–</w:t>
            </w:r>
          </w:p>
        </w:tc>
        <w:tc>
          <w:tcPr>
            <w:tcW w:w="1167" w:type="pct"/>
            <w:gridSpan w:val="2"/>
            <w:tcBorders>
              <w:top w:val="nil"/>
              <w:left w:val="nil"/>
              <w:bottom w:val="nil"/>
              <w:right w:val="nil"/>
            </w:tcBorders>
            <w:hideMark/>
          </w:tcPr>
          <w:p w14:paraId="01E49FA8" w14:textId="02137AE1" w:rsidR="00CC7147" w:rsidRPr="00084C42" w:rsidRDefault="00CC7147" w:rsidP="00A416F1">
            <w:pPr>
              <w:pStyle w:val="Table"/>
              <w:rPr>
                <w:noProof/>
                <w:szCs w:val="22"/>
              </w:rPr>
            </w:pPr>
            <w:r w:rsidRPr="00084C42">
              <w:rPr>
                <w:noProof/>
                <w:szCs w:val="22"/>
              </w:rPr>
              <w:t>5</w:t>
            </w:r>
            <w:r w:rsidR="00067025" w:rsidRPr="00084C42">
              <w:rPr>
                <w:noProof/>
                <w:szCs w:val="22"/>
              </w:rPr>
              <w:t xml:space="preserve"> × </w:t>
            </w:r>
            <w:r w:rsidRPr="00084C42">
              <w:rPr>
                <w:noProof/>
                <w:szCs w:val="22"/>
              </w:rPr>
              <w:t>10</w:t>
            </w:r>
            <w:r w:rsidRPr="00084C42">
              <w:rPr>
                <w:noProof/>
                <w:szCs w:val="22"/>
                <w:vertAlign w:val="superscript"/>
              </w:rPr>
              <w:t>–4</w:t>
            </w:r>
          </w:p>
        </w:tc>
      </w:tr>
      <w:tr w:rsidR="00084C42" w:rsidRPr="00972C81" w14:paraId="30031503" w14:textId="77777777" w:rsidTr="00A416F1">
        <w:trPr>
          <w:trHeight w:val="283"/>
        </w:trPr>
        <w:tc>
          <w:tcPr>
            <w:tcW w:w="1021" w:type="pct"/>
            <w:gridSpan w:val="2"/>
            <w:tcBorders>
              <w:top w:val="nil"/>
              <w:left w:val="nil"/>
              <w:bottom w:val="nil"/>
              <w:right w:val="nil"/>
            </w:tcBorders>
            <w:hideMark/>
          </w:tcPr>
          <w:p w14:paraId="7E2EC216" w14:textId="695B7FB1" w:rsidR="00CC7147" w:rsidRPr="00084C42" w:rsidRDefault="00CC7147" w:rsidP="00A416F1">
            <w:pPr>
              <w:pStyle w:val="Table"/>
              <w:rPr>
                <w:noProof/>
                <w:szCs w:val="22"/>
                <w:vertAlign w:val="superscript"/>
              </w:rPr>
            </w:pPr>
            <w:r w:rsidRPr="00084C42">
              <w:rPr>
                <w:noProof/>
                <w:szCs w:val="22"/>
              </w:rPr>
              <w:t>M</w:t>
            </w:r>
            <w:r w:rsidR="0009661D" w:rsidRPr="00084C42">
              <w:rPr>
                <w:noProof/>
                <w:szCs w:val="22"/>
                <w:vertAlign w:val="superscript"/>
              </w:rPr>
              <w:t>¶</w:t>
            </w:r>
          </w:p>
        </w:tc>
        <w:tc>
          <w:tcPr>
            <w:tcW w:w="1022" w:type="pct"/>
            <w:gridSpan w:val="3"/>
            <w:tcBorders>
              <w:top w:val="nil"/>
              <w:left w:val="nil"/>
              <w:bottom w:val="nil"/>
              <w:right w:val="nil"/>
            </w:tcBorders>
            <w:hideMark/>
          </w:tcPr>
          <w:p w14:paraId="62D8C96A" w14:textId="77777777" w:rsidR="00CC7147" w:rsidRPr="00084C42" w:rsidRDefault="00177865" w:rsidP="00A416F1">
            <w:pPr>
              <w:pStyle w:val="Table"/>
              <w:rPr>
                <w:noProof/>
                <w:szCs w:val="22"/>
                <w:vertAlign w:val="superscript"/>
              </w:rPr>
            </w:pPr>
            <w:r w:rsidRPr="00084C42">
              <w:rPr>
                <w:noProof/>
                <w:szCs w:val="22"/>
              </w:rPr>
              <w:t>—</w:t>
            </w:r>
          </w:p>
        </w:tc>
        <w:tc>
          <w:tcPr>
            <w:tcW w:w="596" w:type="pct"/>
            <w:gridSpan w:val="2"/>
            <w:tcBorders>
              <w:top w:val="nil"/>
              <w:left w:val="nil"/>
              <w:bottom w:val="nil"/>
              <w:right w:val="nil"/>
            </w:tcBorders>
            <w:hideMark/>
          </w:tcPr>
          <w:p w14:paraId="31B3D86D" w14:textId="77777777" w:rsidR="00CC7147" w:rsidRPr="00084C42" w:rsidRDefault="00CC7147" w:rsidP="00A416F1">
            <w:pPr>
              <w:pStyle w:val="Table"/>
              <w:rPr>
                <w:noProof/>
                <w:szCs w:val="22"/>
              </w:rPr>
            </w:pPr>
            <w:r w:rsidRPr="00084C42">
              <w:rPr>
                <w:noProof/>
                <w:szCs w:val="22"/>
              </w:rPr>
              <w:t>0.2</w:t>
            </w:r>
          </w:p>
        </w:tc>
        <w:tc>
          <w:tcPr>
            <w:tcW w:w="597" w:type="pct"/>
            <w:gridSpan w:val="2"/>
            <w:tcBorders>
              <w:top w:val="nil"/>
              <w:left w:val="nil"/>
              <w:bottom w:val="nil"/>
              <w:right w:val="nil"/>
            </w:tcBorders>
            <w:hideMark/>
          </w:tcPr>
          <w:p w14:paraId="5B829D2C" w14:textId="77777777" w:rsidR="00CC7147" w:rsidRPr="00084C42" w:rsidRDefault="00CC7147" w:rsidP="00A416F1">
            <w:pPr>
              <w:pStyle w:val="Table"/>
              <w:rPr>
                <w:noProof/>
                <w:szCs w:val="22"/>
              </w:rPr>
            </w:pPr>
            <w:r w:rsidRPr="00084C42">
              <w:rPr>
                <w:noProof/>
                <w:szCs w:val="22"/>
              </w:rPr>
              <w:t>0.4</w:t>
            </w:r>
          </w:p>
        </w:tc>
        <w:tc>
          <w:tcPr>
            <w:tcW w:w="597" w:type="pct"/>
            <w:gridSpan w:val="2"/>
            <w:tcBorders>
              <w:top w:val="nil"/>
              <w:left w:val="nil"/>
              <w:bottom w:val="nil"/>
              <w:right w:val="nil"/>
            </w:tcBorders>
            <w:hideMark/>
          </w:tcPr>
          <w:p w14:paraId="3CD47714" w14:textId="77777777" w:rsidR="00CC7147" w:rsidRPr="00084C42" w:rsidRDefault="00CC7147" w:rsidP="00A416F1">
            <w:pPr>
              <w:pStyle w:val="Table"/>
              <w:rPr>
                <w:noProof/>
                <w:szCs w:val="22"/>
              </w:rPr>
            </w:pPr>
            <w:r w:rsidRPr="00084C42">
              <w:rPr>
                <w:noProof/>
                <w:szCs w:val="22"/>
              </w:rPr>
              <w:t>0.005</w:t>
            </w:r>
          </w:p>
        </w:tc>
        <w:tc>
          <w:tcPr>
            <w:tcW w:w="1167" w:type="pct"/>
            <w:gridSpan w:val="2"/>
            <w:tcBorders>
              <w:top w:val="nil"/>
              <w:left w:val="nil"/>
              <w:bottom w:val="nil"/>
              <w:right w:val="nil"/>
            </w:tcBorders>
            <w:hideMark/>
          </w:tcPr>
          <w:p w14:paraId="3DE908CA" w14:textId="763EA3F5" w:rsidR="00CC7147" w:rsidRPr="00084C42" w:rsidRDefault="00CC7147" w:rsidP="00A416F1">
            <w:pPr>
              <w:pStyle w:val="Table"/>
              <w:rPr>
                <w:noProof/>
                <w:szCs w:val="22"/>
              </w:rPr>
            </w:pPr>
            <w:r w:rsidRPr="00084C42">
              <w:rPr>
                <w:noProof/>
                <w:szCs w:val="22"/>
              </w:rPr>
              <w:t>1</w:t>
            </w:r>
            <w:r w:rsidR="00067025" w:rsidRPr="00084C42">
              <w:rPr>
                <w:noProof/>
                <w:szCs w:val="22"/>
              </w:rPr>
              <w:t xml:space="preserve"> × </w:t>
            </w:r>
            <w:r w:rsidRPr="00084C42">
              <w:rPr>
                <w:noProof/>
                <w:szCs w:val="22"/>
              </w:rPr>
              <w:t>10</w:t>
            </w:r>
            <w:r w:rsidRPr="00084C42">
              <w:rPr>
                <w:noProof/>
                <w:szCs w:val="22"/>
                <w:vertAlign w:val="superscript"/>
              </w:rPr>
              <w:t>–4</w:t>
            </w:r>
          </w:p>
        </w:tc>
      </w:tr>
      <w:tr w:rsidR="00084C42" w:rsidRPr="00972C81" w14:paraId="2470BD2C" w14:textId="77777777" w:rsidTr="00A416F1">
        <w:trPr>
          <w:trHeight w:val="283"/>
        </w:trPr>
        <w:tc>
          <w:tcPr>
            <w:tcW w:w="1021" w:type="pct"/>
            <w:gridSpan w:val="2"/>
            <w:tcBorders>
              <w:top w:val="nil"/>
              <w:left w:val="nil"/>
              <w:bottom w:val="single" w:sz="4" w:space="0" w:color="auto"/>
              <w:right w:val="nil"/>
            </w:tcBorders>
            <w:hideMark/>
          </w:tcPr>
          <w:p w14:paraId="0149CF96" w14:textId="77777777" w:rsidR="00CC7147" w:rsidRPr="00084C42" w:rsidRDefault="00CC7147" w:rsidP="00A416F1">
            <w:pPr>
              <w:pStyle w:val="Table"/>
              <w:rPr>
                <w:noProof/>
                <w:szCs w:val="22"/>
              </w:rPr>
            </w:pPr>
            <w:r w:rsidRPr="00084C42">
              <w:rPr>
                <w:noProof/>
                <w:szCs w:val="22"/>
              </w:rPr>
              <w:t>S</w:t>
            </w:r>
          </w:p>
        </w:tc>
        <w:tc>
          <w:tcPr>
            <w:tcW w:w="1022" w:type="pct"/>
            <w:gridSpan w:val="3"/>
            <w:tcBorders>
              <w:top w:val="nil"/>
              <w:left w:val="nil"/>
              <w:bottom w:val="single" w:sz="4" w:space="0" w:color="auto"/>
              <w:right w:val="nil"/>
            </w:tcBorders>
          </w:tcPr>
          <w:p w14:paraId="07AD6983" w14:textId="77777777" w:rsidR="00CC7147" w:rsidRPr="00084C42" w:rsidRDefault="00177865" w:rsidP="00A416F1">
            <w:pPr>
              <w:pStyle w:val="Table"/>
              <w:rPr>
                <w:noProof/>
                <w:szCs w:val="22"/>
              </w:rPr>
            </w:pPr>
            <w:r w:rsidRPr="00084C42">
              <w:rPr>
                <w:noProof/>
                <w:szCs w:val="22"/>
              </w:rPr>
              <w:t>—</w:t>
            </w:r>
          </w:p>
        </w:tc>
        <w:tc>
          <w:tcPr>
            <w:tcW w:w="596" w:type="pct"/>
            <w:gridSpan w:val="2"/>
            <w:tcBorders>
              <w:top w:val="nil"/>
              <w:left w:val="nil"/>
              <w:bottom w:val="single" w:sz="4" w:space="0" w:color="auto"/>
              <w:right w:val="nil"/>
            </w:tcBorders>
            <w:hideMark/>
          </w:tcPr>
          <w:p w14:paraId="22B58D07" w14:textId="77777777" w:rsidR="00CC7147" w:rsidRPr="00084C42" w:rsidRDefault="00CC7147" w:rsidP="00A416F1">
            <w:pPr>
              <w:pStyle w:val="Table"/>
              <w:rPr>
                <w:noProof/>
                <w:szCs w:val="22"/>
              </w:rPr>
            </w:pPr>
            <w:r w:rsidRPr="00084C42">
              <w:rPr>
                <w:noProof/>
                <w:szCs w:val="22"/>
              </w:rPr>
              <w:t>0.01</w:t>
            </w:r>
          </w:p>
        </w:tc>
        <w:tc>
          <w:tcPr>
            <w:tcW w:w="597" w:type="pct"/>
            <w:gridSpan w:val="2"/>
            <w:tcBorders>
              <w:top w:val="nil"/>
              <w:left w:val="nil"/>
              <w:bottom w:val="single" w:sz="4" w:space="0" w:color="auto"/>
              <w:right w:val="nil"/>
            </w:tcBorders>
            <w:hideMark/>
          </w:tcPr>
          <w:p w14:paraId="29EFFAA2" w14:textId="77777777" w:rsidR="00CC7147" w:rsidRPr="00084C42" w:rsidRDefault="00CC7147" w:rsidP="00A416F1">
            <w:pPr>
              <w:pStyle w:val="Table"/>
              <w:rPr>
                <w:noProof/>
                <w:szCs w:val="22"/>
              </w:rPr>
            </w:pPr>
            <w:r w:rsidRPr="00084C42">
              <w:rPr>
                <w:noProof/>
                <w:szCs w:val="22"/>
              </w:rPr>
              <w:t>0.4</w:t>
            </w:r>
          </w:p>
        </w:tc>
        <w:tc>
          <w:tcPr>
            <w:tcW w:w="597" w:type="pct"/>
            <w:gridSpan w:val="2"/>
            <w:tcBorders>
              <w:top w:val="nil"/>
              <w:left w:val="nil"/>
              <w:bottom w:val="single" w:sz="4" w:space="0" w:color="auto"/>
              <w:right w:val="nil"/>
            </w:tcBorders>
            <w:hideMark/>
          </w:tcPr>
          <w:p w14:paraId="766ED3B4" w14:textId="5C24D51B" w:rsidR="00CC7147" w:rsidRPr="00084C42" w:rsidRDefault="00CC7147" w:rsidP="00A416F1">
            <w:pPr>
              <w:pStyle w:val="Table"/>
              <w:rPr>
                <w:noProof/>
                <w:szCs w:val="22"/>
              </w:rPr>
            </w:pPr>
            <w:r w:rsidRPr="00084C42">
              <w:rPr>
                <w:noProof/>
                <w:szCs w:val="22"/>
              </w:rPr>
              <w:t>1</w:t>
            </w:r>
            <w:r w:rsidR="00067025" w:rsidRPr="00084C42">
              <w:rPr>
                <w:noProof/>
                <w:szCs w:val="22"/>
              </w:rPr>
              <w:t xml:space="preserve"> × </w:t>
            </w:r>
            <w:r w:rsidRPr="00084C42">
              <w:rPr>
                <w:noProof/>
                <w:szCs w:val="22"/>
              </w:rPr>
              <w:t>10</w:t>
            </w:r>
            <w:r w:rsidRPr="00084C42">
              <w:rPr>
                <w:noProof/>
                <w:szCs w:val="22"/>
                <w:vertAlign w:val="superscript"/>
              </w:rPr>
              <w:t>–4</w:t>
            </w:r>
          </w:p>
        </w:tc>
        <w:tc>
          <w:tcPr>
            <w:tcW w:w="1167" w:type="pct"/>
            <w:gridSpan w:val="2"/>
            <w:tcBorders>
              <w:top w:val="nil"/>
              <w:left w:val="nil"/>
              <w:bottom w:val="single" w:sz="4" w:space="0" w:color="auto"/>
              <w:right w:val="nil"/>
            </w:tcBorders>
            <w:hideMark/>
          </w:tcPr>
          <w:p w14:paraId="14BCA774" w14:textId="0C104441" w:rsidR="00CC7147" w:rsidRPr="00084C42" w:rsidRDefault="00CC7147" w:rsidP="00A416F1">
            <w:pPr>
              <w:pStyle w:val="Table"/>
              <w:rPr>
                <w:noProof/>
                <w:szCs w:val="22"/>
              </w:rPr>
            </w:pPr>
            <w:r w:rsidRPr="00084C42">
              <w:rPr>
                <w:noProof/>
                <w:szCs w:val="22"/>
              </w:rPr>
              <w:t>5</w:t>
            </w:r>
            <w:r w:rsidR="00067025" w:rsidRPr="00084C42">
              <w:rPr>
                <w:noProof/>
                <w:szCs w:val="22"/>
              </w:rPr>
              <w:t xml:space="preserve"> × </w:t>
            </w:r>
            <w:r w:rsidRPr="00084C42">
              <w:rPr>
                <w:noProof/>
                <w:szCs w:val="22"/>
              </w:rPr>
              <w:t>10</w:t>
            </w:r>
            <w:r w:rsidRPr="00084C42">
              <w:rPr>
                <w:noProof/>
                <w:szCs w:val="22"/>
                <w:vertAlign w:val="superscript"/>
              </w:rPr>
              <w:t>–6</w:t>
            </w:r>
          </w:p>
        </w:tc>
      </w:tr>
      <w:tr w:rsidR="00CC7147" w:rsidRPr="00972C81" w14:paraId="33B1B092" w14:textId="77777777" w:rsidTr="00A416F1">
        <w:trPr>
          <w:trHeight w:val="283"/>
        </w:trPr>
        <w:tc>
          <w:tcPr>
            <w:tcW w:w="2043" w:type="pct"/>
            <w:gridSpan w:val="5"/>
            <w:tcBorders>
              <w:top w:val="single" w:sz="4" w:space="0" w:color="auto"/>
              <w:left w:val="nil"/>
              <w:bottom w:val="nil"/>
              <w:right w:val="nil"/>
            </w:tcBorders>
          </w:tcPr>
          <w:p w14:paraId="14160506" w14:textId="77777777" w:rsidR="00CC7147" w:rsidRPr="00084C42" w:rsidRDefault="00CC7147" w:rsidP="00084C42">
            <w:pPr>
              <w:pStyle w:val="Table"/>
              <w:rPr>
                <w:noProof/>
                <w:szCs w:val="22"/>
              </w:rPr>
            </w:pPr>
          </w:p>
        </w:tc>
        <w:tc>
          <w:tcPr>
            <w:tcW w:w="596" w:type="pct"/>
            <w:gridSpan w:val="2"/>
            <w:tcBorders>
              <w:top w:val="single" w:sz="4" w:space="0" w:color="auto"/>
              <w:left w:val="nil"/>
              <w:bottom w:val="nil"/>
              <w:right w:val="nil"/>
            </w:tcBorders>
          </w:tcPr>
          <w:p w14:paraId="2BCB67F6" w14:textId="77777777" w:rsidR="00CC7147" w:rsidRPr="00084C42" w:rsidRDefault="00CC7147" w:rsidP="00084C42">
            <w:pPr>
              <w:pStyle w:val="Table"/>
              <w:rPr>
                <w:noProof/>
                <w:szCs w:val="22"/>
              </w:rPr>
            </w:pPr>
          </w:p>
        </w:tc>
        <w:tc>
          <w:tcPr>
            <w:tcW w:w="597" w:type="pct"/>
            <w:gridSpan w:val="2"/>
            <w:tcBorders>
              <w:top w:val="single" w:sz="4" w:space="0" w:color="auto"/>
              <w:left w:val="nil"/>
              <w:bottom w:val="nil"/>
              <w:right w:val="nil"/>
            </w:tcBorders>
          </w:tcPr>
          <w:p w14:paraId="3560055C" w14:textId="77777777" w:rsidR="00CC7147" w:rsidRPr="00084C42" w:rsidRDefault="00CC7147" w:rsidP="00084C42">
            <w:pPr>
              <w:pStyle w:val="Table"/>
              <w:rPr>
                <w:noProof/>
                <w:szCs w:val="22"/>
              </w:rPr>
            </w:pPr>
          </w:p>
        </w:tc>
        <w:tc>
          <w:tcPr>
            <w:tcW w:w="597" w:type="pct"/>
            <w:gridSpan w:val="2"/>
            <w:tcBorders>
              <w:top w:val="single" w:sz="4" w:space="0" w:color="auto"/>
              <w:left w:val="nil"/>
              <w:bottom w:val="nil"/>
              <w:right w:val="nil"/>
            </w:tcBorders>
          </w:tcPr>
          <w:p w14:paraId="3FBA6EB7" w14:textId="77777777" w:rsidR="00CC7147" w:rsidRPr="00084C42" w:rsidRDefault="00CC7147" w:rsidP="00084C42">
            <w:pPr>
              <w:pStyle w:val="Table"/>
              <w:rPr>
                <w:noProof/>
                <w:szCs w:val="22"/>
              </w:rPr>
            </w:pPr>
          </w:p>
        </w:tc>
        <w:tc>
          <w:tcPr>
            <w:tcW w:w="1167" w:type="pct"/>
            <w:gridSpan w:val="2"/>
            <w:tcBorders>
              <w:top w:val="single" w:sz="4" w:space="0" w:color="auto"/>
              <w:left w:val="nil"/>
              <w:bottom w:val="nil"/>
              <w:right w:val="nil"/>
            </w:tcBorders>
          </w:tcPr>
          <w:p w14:paraId="6E364994" w14:textId="77777777" w:rsidR="00CC7147" w:rsidRPr="00084C42" w:rsidRDefault="00CC7147" w:rsidP="00084C42">
            <w:pPr>
              <w:pStyle w:val="Table"/>
              <w:rPr>
                <w:noProof/>
                <w:szCs w:val="22"/>
              </w:rPr>
            </w:pPr>
          </w:p>
        </w:tc>
      </w:tr>
      <w:tr w:rsidR="00CC7147" w:rsidRPr="00972C81" w14:paraId="1A3D406E" w14:textId="77777777" w:rsidTr="00A416F1">
        <w:trPr>
          <w:trHeight w:val="283"/>
        </w:trPr>
        <w:tc>
          <w:tcPr>
            <w:tcW w:w="2043" w:type="pct"/>
            <w:gridSpan w:val="5"/>
            <w:tcBorders>
              <w:top w:val="nil"/>
              <w:left w:val="nil"/>
              <w:bottom w:val="single" w:sz="4" w:space="0" w:color="auto"/>
              <w:right w:val="nil"/>
            </w:tcBorders>
            <w:hideMark/>
          </w:tcPr>
          <w:p w14:paraId="42CFA9FB" w14:textId="7DD156B5" w:rsidR="00CC7147" w:rsidRPr="00084C42" w:rsidRDefault="00CC7147" w:rsidP="00084C42">
            <w:pPr>
              <w:pStyle w:val="Table"/>
              <w:rPr>
                <w:noProof/>
                <w:szCs w:val="22"/>
              </w:rPr>
            </w:pPr>
            <w:r w:rsidRPr="00084C42">
              <w:rPr>
                <w:noProof/>
                <w:szCs w:val="22"/>
              </w:rPr>
              <w:t>Ingested material</w:t>
            </w:r>
            <w:r w:rsidR="0009661D" w:rsidRPr="00084C42">
              <w:rPr>
                <w:noProof/>
                <w:szCs w:val="22"/>
                <w:vertAlign w:val="superscript"/>
              </w:rPr>
              <w:t>**</w:t>
            </w:r>
          </w:p>
        </w:tc>
        <w:tc>
          <w:tcPr>
            <w:tcW w:w="596" w:type="pct"/>
            <w:gridSpan w:val="2"/>
            <w:tcBorders>
              <w:top w:val="nil"/>
              <w:left w:val="nil"/>
              <w:bottom w:val="single" w:sz="4" w:space="0" w:color="auto"/>
              <w:right w:val="nil"/>
            </w:tcBorders>
          </w:tcPr>
          <w:p w14:paraId="33B8CCF7" w14:textId="77777777" w:rsidR="00CC7147" w:rsidRPr="00084C42" w:rsidRDefault="00CC7147" w:rsidP="00084C42">
            <w:pPr>
              <w:pStyle w:val="Table"/>
              <w:rPr>
                <w:noProof/>
                <w:szCs w:val="22"/>
              </w:rPr>
            </w:pPr>
          </w:p>
        </w:tc>
        <w:tc>
          <w:tcPr>
            <w:tcW w:w="597" w:type="pct"/>
            <w:gridSpan w:val="2"/>
            <w:tcBorders>
              <w:top w:val="nil"/>
              <w:left w:val="nil"/>
              <w:bottom w:val="single" w:sz="4" w:space="0" w:color="auto"/>
              <w:right w:val="nil"/>
            </w:tcBorders>
          </w:tcPr>
          <w:p w14:paraId="539BDDD8" w14:textId="77777777" w:rsidR="00CC7147" w:rsidRPr="00084C42" w:rsidRDefault="00CC7147" w:rsidP="00084C42">
            <w:pPr>
              <w:pStyle w:val="Table"/>
              <w:rPr>
                <w:noProof/>
                <w:szCs w:val="22"/>
              </w:rPr>
            </w:pPr>
          </w:p>
        </w:tc>
        <w:tc>
          <w:tcPr>
            <w:tcW w:w="597" w:type="pct"/>
            <w:gridSpan w:val="2"/>
            <w:tcBorders>
              <w:top w:val="nil"/>
              <w:left w:val="nil"/>
              <w:bottom w:val="single" w:sz="4" w:space="0" w:color="auto"/>
              <w:right w:val="nil"/>
            </w:tcBorders>
          </w:tcPr>
          <w:p w14:paraId="1D9A9790" w14:textId="77777777" w:rsidR="00CC7147" w:rsidRPr="00084C42" w:rsidRDefault="00CC7147" w:rsidP="00084C42">
            <w:pPr>
              <w:pStyle w:val="Table"/>
              <w:rPr>
                <w:noProof/>
                <w:szCs w:val="22"/>
              </w:rPr>
            </w:pPr>
          </w:p>
        </w:tc>
        <w:tc>
          <w:tcPr>
            <w:tcW w:w="1167" w:type="pct"/>
            <w:gridSpan w:val="2"/>
            <w:tcBorders>
              <w:top w:val="nil"/>
              <w:left w:val="nil"/>
              <w:bottom w:val="single" w:sz="4" w:space="0" w:color="auto"/>
              <w:right w:val="nil"/>
            </w:tcBorders>
          </w:tcPr>
          <w:p w14:paraId="4EB53EF6" w14:textId="77777777" w:rsidR="00CC7147" w:rsidRPr="00084C42" w:rsidRDefault="00CC7147" w:rsidP="00084C42">
            <w:pPr>
              <w:pStyle w:val="Table"/>
              <w:rPr>
                <w:noProof/>
                <w:szCs w:val="22"/>
              </w:rPr>
            </w:pPr>
          </w:p>
        </w:tc>
      </w:tr>
      <w:tr w:rsidR="00A416F1" w:rsidRPr="00972C81" w14:paraId="2DB14E5B" w14:textId="77777777" w:rsidTr="00A416F1">
        <w:tblPrEx>
          <w:jc w:val="center"/>
          <w:tblBorders>
            <w:insideH w:val="single" w:sz="4" w:space="0" w:color="auto"/>
          </w:tblBorders>
          <w:tblLook w:val="0000" w:firstRow="0" w:lastRow="0" w:firstColumn="0" w:lastColumn="0" w:noHBand="0" w:noVBand="0"/>
        </w:tblPrEx>
        <w:trPr>
          <w:gridBefore w:val="1"/>
          <w:wBefore w:w="17" w:type="pct"/>
          <w:trHeight w:val="340"/>
          <w:jc w:val="center"/>
        </w:trPr>
        <w:tc>
          <w:tcPr>
            <w:tcW w:w="1296" w:type="pct"/>
            <w:gridSpan w:val="2"/>
            <w:vMerge w:val="restart"/>
            <w:vAlign w:val="center"/>
          </w:tcPr>
          <w:p w14:paraId="3ADD865E" w14:textId="77777777" w:rsidR="00A416F1" w:rsidRPr="00084C42" w:rsidRDefault="00A416F1" w:rsidP="00A416F1">
            <w:pPr>
              <w:pStyle w:val="Table"/>
              <w:rPr>
                <w:noProof/>
                <w:szCs w:val="22"/>
              </w:rPr>
            </w:pPr>
            <w:r w:rsidRPr="00084C42">
              <w:rPr>
                <w:noProof/>
                <w:szCs w:val="22"/>
              </w:rPr>
              <w:t>Assigned forms</w:t>
            </w:r>
          </w:p>
        </w:tc>
        <w:tc>
          <w:tcPr>
            <w:tcW w:w="3687" w:type="pct"/>
            <w:gridSpan w:val="10"/>
            <w:tcBorders>
              <w:bottom w:val="single" w:sz="4" w:space="0" w:color="auto"/>
            </w:tcBorders>
            <w:vAlign w:val="center"/>
          </w:tcPr>
          <w:p w14:paraId="5F7885C9" w14:textId="1B4E26D0" w:rsidR="00A416F1" w:rsidRPr="00084C42" w:rsidRDefault="00A416F1" w:rsidP="00A416F1">
            <w:pPr>
              <w:pStyle w:val="Table"/>
              <w:jc w:val="center"/>
              <w:rPr>
                <w:noProof/>
                <w:szCs w:val="22"/>
              </w:rPr>
            </w:pPr>
            <w:r w:rsidRPr="00084C42">
              <w:rPr>
                <w:noProof/>
                <w:szCs w:val="22"/>
              </w:rPr>
              <w:t xml:space="preserve">Age-dependent absorption from the alimentary tract, </w:t>
            </w:r>
            <w:r w:rsidRPr="00084C42">
              <w:rPr>
                <w:i/>
                <w:noProof/>
                <w:szCs w:val="22"/>
              </w:rPr>
              <w:t>f</w:t>
            </w:r>
            <w:r w:rsidRPr="00084C42">
              <w:rPr>
                <w:noProof/>
                <w:szCs w:val="22"/>
                <w:vertAlign w:val="subscript"/>
              </w:rPr>
              <w:t>A</w:t>
            </w:r>
          </w:p>
        </w:tc>
      </w:tr>
      <w:tr w:rsidR="00A416F1" w:rsidRPr="00972C81" w14:paraId="481DB3A7" w14:textId="77777777" w:rsidTr="00A416F1">
        <w:tblPrEx>
          <w:jc w:val="center"/>
          <w:tblBorders>
            <w:insideH w:val="single" w:sz="4" w:space="0" w:color="auto"/>
          </w:tblBorders>
          <w:tblLook w:val="0000" w:firstRow="0" w:lastRow="0" w:firstColumn="0" w:lastColumn="0" w:noHBand="0" w:noVBand="0"/>
        </w:tblPrEx>
        <w:trPr>
          <w:gridBefore w:val="1"/>
          <w:wBefore w:w="17" w:type="pct"/>
          <w:trHeight w:val="340"/>
          <w:jc w:val="center"/>
        </w:trPr>
        <w:tc>
          <w:tcPr>
            <w:tcW w:w="1296" w:type="pct"/>
            <w:gridSpan w:val="2"/>
            <w:vMerge/>
            <w:tcBorders>
              <w:top w:val="single" w:sz="4" w:space="0" w:color="auto"/>
              <w:bottom w:val="single" w:sz="4" w:space="0" w:color="auto"/>
            </w:tcBorders>
          </w:tcPr>
          <w:p w14:paraId="0617C6D7" w14:textId="77777777" w:rsidR="00A416F1" w:rsidRPr="00084C42" w:rsidRDefault="00A416F1" w:rsidP="00084C42">
            <w:pPr>
              <w:pStyle w:val="Table"/>
              <w:rPr>
                <w:noProof/>
                <w:szCs w:val="22"/>
              </w:rPr>
            </w:pPr>
          </w:p>
        </w:tc>
        <w:tc>
          <w:tcPr>
            <w:tcW w:w="614" w:type="pct"/>
            <w:tcBorders>
              <w:top w:val="single" w:sz="4" w:space="0" w:color="auto"/>
              <w:bottom w:val="single" w:sz="4" w:space="0" w:color="auto"/>
            </w:tcBorders>
            <w:vAlign w:val="center"/>
          </w:tcPr>
          <w:p w14:paraId="5933C80C" w14:textId="28C59889" w:rsidR="00A416F1" w:rsidRPr="00084C42" w:rsidRDefault="00A416F1" w:rsidP="00A416F1">
            <w:pPr>
              <w:pStyle w:val="Table"/>
              <w:rPr>
                <w:noProof/>
                <w:szCs w:val="22"/>
              </w:rPr>
            </w:pPr>
            <w:r w:rsidRPr="00084C42">
              <w:rPr>
                <w:noProof/>
                <w:szCs w:val="22"/>
              </w:rPr>
              <w:t>3 mo</w:t>
            </w:r>
          </w:p>
        </w:tc>
        <w:tc>
          <w:tcPr>
            <w:tcW w:w="614" w:type="pct"/>
            <w:gridSpan w:val="2"/>
            <w:tcBorders>
              <w:top w:val="single" w:sz="4" w:space="0" w:color="auto"/>
              <w:bottom w:val="single" w:sz="4" w:space="0" w:color="auto"/>
            </w:tcBorders>
            <w:vAlign w:val="center"/>
          </w:tcPr>
          <w:p w14:paraId="328E5910" w14:textId="04B2133B" w:rsidR="00A416F1" w:rsidRPr="00084C42" w:rsidRDefault="00A416F1" w:rsidP="00A416F1">
            <w:pPr>
              <w:pStyle w:val="Table"/>
              <w:rPr>
                <w:noProof/>
                <w:szCs w:val="22"/>
              </w:rPr>
            </w:pPr>
            <w:r w:rsidRPr="00084C42">
              <w:rPr>
                <w:noProof/>
                <w:szCs w:val="22"/>
              </w:rPr>
              <w:t>1 y</w:t>
            </w:r>
          </w:p>
        </w:tc>
        <w:tc>
          <w:tcPr>
            <w:tcW w:w="615" w:type="pct"/>
            <w:gridSpan w:val="2"/>
            <w:tcBorders>
              <w:top w:val="single" w:sz="4" w:space="0" w:color="auto"/>
              <w:bottom w:val="single" w:sz="4" w:space="0" w:color="auto"/>
            </w:tcBorders>
            <w:vAlign w:val="center"/>
          </w:tcPr>
          <w:p w14:paraId="19FB9973" w14:textId="6687B39F" w:rsidR="00A416F1" w:rsidRPr="00084C42" w:rsidRDefault="00A416F1" w:rsidP="00A416F1">
            <w:pPr>
              <w:pStyle w:val="Table"/>
              <w:rPr>
                <w:noProof/>
                <w:szCs w:val="22"/>
              </w:rPr>
            </w:pPr>
            <w:r w:rsidRPr="00084C42">
              <w:rPr>
                <w:noProof/>
                <w:szCs w:val="22"/>
              </w:rPr>
              <w:t xml:space="preserve"> 5 y</w:t>
            </w:r>
          </w:p>
        </w:tc>
        <w:tc>
          <w:tcPr>
            <w:tcW w:w="614" w:type="pct"/>
            <w:gridSpan w:val="2"/>
            <w:tcBorders>
              <w:top w:val="single" w:sz="4" w:space="0" w:color="auto"/>
              <w:bottom w:val="single" w:sz="4" w:space="0" w:color="auto"/>
            </w:tcBorders>
            <w:vAlign w:val="center"/>
          </w:tcPr>
          <w:p w14:paraId="643A9410" w14:textId="483ED5AB" w:rsidR="00A416F1" w:rsidRPr="00084C42" w:rsidRDefault="00A416F1" w:rsidP="00A416F1">
            <w:pPr>
              <w:pStyle w:val="Table"/>
              <w:rPr>
                <w:noProof/>
                <w:szCs w:val="22"/>
              </w:rPr>
            </w:pPr>
            <w:r w:rsidRPr="00084C42">
              <w:rPr>
                <w:noProof/>
                <w:szCs w:val="22"/>
              </w:rPr>
              <w:t>10 y</w:t>
            </w:r>
          </w:p>
        </w:tc>
        <w:tc>
          <w:tcPr>
            <w:tcW w:w="614" w:type="pct"/>
            <w:gridSpan w:val="2"/>
            <w:tcBorders>
              <w:top w:val="single" w:sz="4" w:space="0" w:color="auto"/>
              <w:bottom w:val="single" w:sz="4" w:space="0" w:color="auto"/>
            </w:tcBorders>
            <w:vAlign w:val="center"/>
          </w:tcPr>
          <w:p w14:paraId="364F0800" w14:textId="7B054C52" w:rsidR="00A416F1" w:rsidRPr="00084C42" w:rsidRDefault="00A416F1" w:rsidP="00A416F1">
            <w:pPr>
              <w:pStyle w:val="Table"/>
              <w:rPr>
                <w:noProof/>
                <w:szCs w:val="22"/>
              </w:rPr>
            </w:pPr>
            <w:r w:rsidRPr="00084C42">
              <w:rPr>
                <w:noProof/>
                <w:szCs w:val="22"/>
              </w:rPr>
              <w:t>15 y</w:t>
            </w:r>
          </w:p>
        </w:tc>
        <w:tc>
          <w:tcPr>
            <w:tcW w:w="616" w:type="pct"/>
            <w:tcBorders>
              <w:top w:val="single" w:sz="4" w:space="0" w:color="auto"/>
              <w:bottom w:val="single" w:sz="4" w:space="0" w:color="auto"/>
            </w:tcBorders>
            <w:vAlign w:val="center"/>
          </w:tcPr>
          <w:p w14:paraId="10F2A7D8" w14:textId="77777777" w:rsidR="00A416F1" w:rsidRPr="00084C42" w:rsidRDefault="00A416F1" w:rsidP="00A416F1">
            <w:pPr>
              <w:pStyle w:val="Table"/>
              <w:rPr>
                <w:noProof/>
                <w:szCs w:val="22"/>
              </w:rPr>
            </w:pPr>
            <w:r w:rsidRPr="00084C42">
              <w:rPr>
                <w:noProof/>
                <w:szCs w:val="22"/>
              </w:rPr>
              <w:t>adult</w:t>
            </w:r>
          </w:p>
        </w:tc>
      </w:tr>
      <w:tr w:rsidR="00966E36" w:rsidRPr="00972C81" w14:paraId="1499C9E5" w14:textId="77777777" w:rsidTr="00A416F1">
        <w:tblPrEx>
          <w:jc w:val="center"/>
          <w:tblBorders>
            <w:insideH w:val="single" w:sz="4" w:space="0" w:color="auto"/>
          </w:tblBorders>
          <w:tblLook w:val="0000" w:firstRow="0" w:lastRow="0" w:firstColumn="0" w:lastColumn="0" w:noHBand="0" w:noVBand="0"/>
        </w:tblPrEx>
        <w:trPr>
          <w:gridBefore w:val="1"/>
          <w:wBefore w:w="17" w:type="pct"/>
          <w:trHeight w:val="340"/>
          <w:jc w:val="center"/>
        </w:trPr>
        <w:tc>
          <w:tcPr>
            <w:tcW w:w="1296" w:type="pct"/>
            <w:gridSpan w:val="2"/>
            <w:tcBorders>
              <w:top w:val="single" w:sz="4" w:space="0" w:color="auto"/>
            </w:tcBorders>
            <w:vAlign w:val="center"/>
          </w:tcPr>
          <w:p w14:paraId="3681F1A0" w14:textId="77777777" w:rsidR="00C75B30" w:rsidRPr="00084C42" w:rsidRDefault="00C75B30" w:rsidP="00A416F1">
            <w:pPr>
              <w:pStyle w:val="Table"/>
              <w:rPr>
                <w:noProof/>
                <w:szCs w:val="22"/>
              </w:rPr>
            </w:pPr>
            <w:r w:rsidRPr="00084C42">
              <w:rPr>
                <w:noProof/>
                <w:szCs w:val="22"/>
              </w:rPr>
              <w:t>all forms</w:t>
            </w:r>
          </w:p>
        </w:tc>
        <w:tc>
          <w:tcPr>
            <w:tcW w:w="614" w:type="pct"/>
            <w:tcBorders>
              <w:top w:val="single" w:sz="4" w:space="0" w:color="auto"/>
            </w:tcBorders>
            <w:vAlign w:val="center"/>
          </w:tcPr>
          <w:p w14:paraId="321F4671" w14:textId="62F8465A" w:rsidR="00C75B30" w:rsidRPr="00084C42" w:rsidRDefault="00C75B30" w:rsidP="00A416F1">
            <w:pPr>
              <w:pStyle w:val="Table"/>
              <w:rPr>
                <w:noProof/>
                <w:szCs w:val="22"/>
              </w:rPr>
            </w:pPr>
            <w:r w:rsidRPr="00084C42">
              <w:rPr>
                <w:noProof/>
                <w:color w:val="000000"/>
                <w:szCs w:val="22"/>
              </w:rPr>
              <w:t>5</w:t>
            </w:r>
            <w:r w:rsidR="00067025" w:rsidRPr="00084C42">
              <w:rPr>
                <w:noProof/>
                <w:color w:val="000000"/>
                <w:szCs w:val="22"/>
              </w:rPr>
              <w:t xml:space="preserve"> </w:t>
            </w:r>
            <w:r w:rsidR="00067025" w:rsidRPr="00084C42">
              <w:rPr>
                <w:noProof/>
                <w:color w:val="000000"/>
                <w:szCs w:val="22"/>
                <w:lang w:eastAsia="fr-FR"/>
              </w:rPr>
              <w:t>×</w:t>
            </w:r>
            <w:r w:rsidR="00067025" w:rsidRPr="00084C42">
              <w:rPr>
                <w:noProof/>
                <w:color w:val="000000"/>
                <w:szCs w:val="22"/>
              </w:rPr>
              <w:t xml:space="preserve"> </w:t>
            </w:r>
            <w:r w:rsidRPr="00084C42">
              <w:rPr>
                <w:noProof/>
                <w:color w:val="000000"/>
                <w:szCs w:val="22"/>
              </w:rPr>
              <w:t>10</w:t>
            </w:r>
            <w:r w:rsidRPr="00084C42">
              <w:rPr>
                <w:noProof/>
                <w:color w:val="000000"/>
                <w:szCs w:val="22"/>
                <w:vertAlign w:val="superscript"/>
              </w:rPr>
              <w:t>-3</w:t>
            </w:r>
          </w:p>
        </w:tc>
        <w:tc>
          <w:tcPr>
            <w:tcW w:w="614" w:type="pct"/>
            <w:gridSpan w:val="2"/>
            <w:tcBorders>
              <w:top w:val="single" w:sz="4" w:space="0" w:color="auto"/>
            </w:tcBorders>
            <w:vAlign w:val="center"/>
          </w:tcPr>
          <w:p w14:paraId="74DE232E" w14:textId="69AFDA69" w:rsidR="00C75B30" w:rsidRPr="00084C42" w:rsidRDefault="00C75B30" w:rsidP="00A416F1">
            <w:pPr>
              <w:pStyle w:val="Table"/>
              <w:rPr>
                <w:noProof/>
                <w:szCs w:val="22"/>
              </w:rPr>
            </w:pPr>
            <w:r w:rsidRPr="00084C42">
              <w:rPr>
                <w:noProof/>
                <w:color w:val="000000"/>
                <w:szCs w:val="22"/>
              </w:rPr>
              <w:t>5</w:t>
            </w:r>
            <w:r w:rsidR="00067025" w:rsidRPr="00084C42">
              <w:rPr>
                <w:noProof/>
                <w:color w:val="000000"/>
                <w:szCs w:val="22"/>
              </w:rPr>
              <w:t xml:space="preserve"> </w:t>
            </w:r>
            <w:r w:rsidR="00067025" w:rsidRPr="00084C42">
              <w:rPr>
                <w:noProof/>
                <w:color w:val="000000"/>
                <w:szCs w:val="22"/>
                <w:lang w:eastAsia="fr-FR"/>
              </w:rPr>
              <w:t>×</w:t>
            </w:r>
            <w:r w:rsidR="00067025" w:rsidRPr="00084C42">
              <w:rPr>
                <w:noProof/>
                <w:color w:val="000000"/>
                <w:szCs w:val="22"/>
              </w:rPr>
              <w:t xml:space="preserve"> </w:t>
            </w:r>
            <w:r w:rsidRPr="00084C42">
              <w:rPr>
                <w:noProof/>
                <w:color w:val="000000"/>
                <w:szCs w:val="22"/>
              </w:rPr>
              <w:t>10</w:t>
            </w:r>
            <w:r w:rsidRPr="00084C42">
              <w:rPr>
                <w:noProof/>
                <w:color w:val="000000"/>
                <w:szCs w:val="22"/>
                <w:vertAlign w:val="superscript"/>
              </w:rPr>
              <w:t>-4</w:t>
            </w:r>
          </w:p>
        </w:tc>
        <w:tc>
          <w:tcPr>
            <w:tcW w:w="615" w:type="pct"/>
            <w:gridSpan w:val="2"/>
            <w:tcBorders>
              <w:top w:val="single" w:sz="4" w:space="0" w:color="auto"/>
            </w:tcBorders>
            <w:vAlign w:val="center"/>
          </w:tcPr>
          <w:p w14:paraId="08F89C84" w14:textId="1A5AE7AE" w:rsidR="00C75B30" w:rsidRPr="00084C42" w:rsidRDefault="00C75B30" w:rsidP="00A416F1">
            <w:pPr>
              <w:pStyle w:val="Table"/>
              <w:rPr>
                <w:noProof/>
                <w:szCs w:val="22"/>
              </w:rPr>
            </w:pPr>
            <w:r w:rsidRPr="00084C42">
              <w:rPr>
                <w:noProof/>
                <w:color w:val="000000"/>
                <w:szCs w:val="22"/>
              </w:rPr>
              <w:t>5</w:t>
            </w:r>
            <w:r w:rsidR="00067025" w:rsidRPr="00084C42">
              <w:rPr>
                <w:noProof/>
                <w:color w:val="000000"/>
                <w:szCs w:val="22"/>
              </w:rPr>
              <w:t xml:space="preserve"> </w:t>
            </w:r>
            <w:r w:rsidR="00067025" w:rsidRPr="00084C42">
              <w:rPr>
                <w:noProof/>
                <w:color w:val="000000"/>
                <w:szCs w:val="22"/>
                <w:lang w:eastAsia="fr-FR"/>
              </w:rPr>
              <w:t>×</w:t>
            </w:r>
            <w:r w:rsidR="00067025" w:rsidRPr="00084C42">
              <w:rPr>
                <w:noProof/>
                <w:color w:val="000000"/>
                <w:szCs w:val="22"/>
              </w:rPr>
              <w:t xml:space="preserve"> </w:t>
            </w:r>
            <w:r w:rsidRPr="00084C42">
              <w:rPr>
                <w:noProof/>
                <w:color w:val="000000"/>
                <w:szCs w:val="22"/>
              </w:rPr>
              <w:t>10</w:t>
            </w:r>
            <w:r w:rsidRPr="00084C42">
              <w:rPr>
                <w:noProof/>
                <w:color w:val="000000"/>
                <w:szCs w:val="22"/>
                <w:vertAlign w:val="superscript"/>
              </w:rPr>
              <w:t>-4</w:t>
            </w:r>
          </w:p>
        </w:tc>
        <w:tc>
          <w:tcPr>
            <w:tcW w:w="614" w:type="pct"/>
            <w:gridSpan w:val="2"/>
            <w:tcBorders>
              <w:top w:val="single" w:sz="4" w:space="0" w:color="auto"/>
            </w:tcBorders>
            <w:vAlign w:val="center"/>
          </w:tcPr>
          <w:p w14:paraId="449930B8" w14:textId="2C76C984" w:rsidR="00C75B30" w:rsidRPr="00084C42" w:rsidRDefault="00C75B30" w:rsidP="00A416F1">
            <w:pPr>
              <w:pStyle w:val="Table"/>
              <w:rPr>
                <w:noProof/>
                <w:szCs w:val="22"/>
              </w:rPr>
            </w:pPr>
            <w:r w:rsidRPr="00084C42">
              <w:rPr>
                <w:noProof/>
                <w:color w:val="000000"/>
                <w:szCs w:val="22"/>
              </w:rPr>
              <w:t>5</w:t>
            </w:r>
            <w:r w:rsidR="00067025" w:rsidRPr="00084C42">
              <w:rPr>
                <w:noProof/>
                <w:color w:val="000000"/>
                <w:szCs w:val="22"/>
              </w:rPr>
              <w:t xml:space="preserve"> </w:t>
            </w:r>
            <w:r w:rsidR="00067025" w:rsidRPr="00084C42">
              <w:rPr>
                <w:noProof/>
                <w:color w:val="000000"/>
                <w:szCs w:val="22"/>
                <w:lang w:eastAsia="fr-FR"/>
              </w:rPr>
              <w:t>×</w:t>
            </w:r>
            <w:r w:rsidR="00067025" w:rsidRPr="00084C42">
              <w:rPr>
                <w:noProof/>
                <w:color w:val="000000"/>
                <w:szCs w:val="22"/>
              </w:rPr>
              <w:t xml:space="preserve"> </w:t>
            </w:r>
            <w:r w:rsidRPr="00084C42">
              <w:rPr>
                <w:noProof/>
                <w:color w:val="000000"/>
                <w:szCs w:val="22"/>
              </w:rPr>
              <w:t>10</w:t>
            </w:r>
            <w:r w:rsidRPr="00084C42">
              <w:rPr>
                <w:noProof/>
                <w:color w:val="000000"/>
                <w:szCs w:val="22"/>
                <w:vertAlign w:val="superscript"/>
              </w:rPr>
              <w:t>-4</w:t>
            </w:r>
          </w:p>
        </w:tc>
        <w:tc>
          <w:tcPr>
            <w:tcW w:w="614" w:type="pct"/>
            <w:gridSpan w:val="2"/>
            <w:tcBorders>
              <w:top w:val="single" w:sz="4" w:space="0" w:color="auto"/>
            </w:tcBorders>
            <w:vAlign w:val="center"/>
          </w:tcPr>
          <w:p w14:paraId="43EEE899" w14:textId="641D957B" w:rsidR="00C75B30" w:rsidRPr="00084C42" w:rsidRDefault="00C75B30" w:rsidP="00A416F1">
            <w:pPr>
              <w:pStyle w:val="Table"/>
              <w:rPr>
                <w:noProof/>
                <w:szCs w:val="22"/>
              </w:rPr>
            </w:pPr>
            <w:r w:rsidRPr="00084C42">
              <w:rPr>
                <w:noProof/>
                <w:color w:val="000000"/>
                <w:szCs w:val="22"/>
              </w:rPr>
              <w:t>5</w:t>
            </w:r>
            <w:r w:rsidR="00067025" w:rsidRPr="00084C42">
              <w:rPr>
                <w:noProof/>
                <w:color w:val="000000"/>
                <w:szCs w:val="22"/>
              </w:rPr>
              <w:t xml:space="preserve"> </w:t>
            </w:r>
            <w:r w:rsidR="00067025" w:rsidRPr="00084C42">
              <w:rPr>
                <w:noProof/>
                <w:color w:val="000000"/>
                <w:szCs w:val="22"/>
                <w:lang w:eastAsia="fr-FR"/>
              </w:rPr>
              <w:t>×</w:t>
            </w:r>
            <w:r w:rsidR="00067025" w:rsidRPr="00084C42">
              <w:rPr>
                <w:noProof/>
                <w:color w:val="000000"/>
                <w:szCs w:val="22"/>
              </w:rPr>
              <w:t xml:space="preserve"> </w:t>
            </w:r>
            <w:r w:rsidRPr="00084C42">
              <w:rPr>
                <w:noProof/>
                <w:color w:val="000000"/>
                <w:szCs w:val="22"/>
              </w:rPr>
              <w:t>10</w:t>
            </w:r>
            <w:r w:rsidRPr="00084C42">
              <w:rPr>
                <w:noProof/>
                <w:color w:val="000000"/>
                <w:szCs w:val="22"/>
                <w:vertAlign w:val="superscript"/>
              </w:rPr>
              <w:t>-4</w:t>
            </w:r>
          </w:p>
        </w:tc>
        <w:tc>
          <w:tcPr>
            <w:tcW w:w="616" w:type="pct"/>
            <w:tcBorders>
              <w:top w:val="single" w:sz="4" w:space="0" w:color="auto"/>
            </w:tcBorders>
            <w:vAlign w:val="center"/>
          </w:tcPr>
          <w:p w14:paraId="3F5E02AF" w14:textId="5DFC894A" w:rsidR="00C75B30" w:rsidRPr="00084C42" w:rsidRDefault="00C75B30" w:rsidP="00A416F1">
            <w:pPr>
              <w:pStyle w:val="Table"/>
              <w:rPr>
                <w:noProof/>
                <w:szCs w:val="22"/>
              </w:rPr>
            </w:pPr>
            <w:r w:rsidRPr="00084C42">
              <w:rPr>
                <w:noProof/>
                <w:color w:val="000000"/>
                <w:szCs w:val="22"/>
              </w:rPr>
              <w:t>5</w:t>
            </w:r>
            <w:r w:rsidR="00067025" w:rsidRPr="00084C42">
              <w:rPr>
                <w:noProof/>
                <w:color w:val="000000"/>
                <w:szCs w:val="22"/>
              </w:rPr>
              <w:t xml:space="preserve"> </w:t>
            </w:r>
            <w:r w:rsidR="00067025" w:rsidRPr="00084C42">
              <w:rPr>
                <w:noProof/>
                <w:color w:val="000000"/>
                <w:szCs w:val="22"/>
                <w:lang w:eastAsia="fr-FR"/>
              </w:rPr>
              <w:t>×</w:t>
            </w:r>
            <w:r w:rsidR="00067025" w:rsidRPr="00084C42">
              <w:rPr>
                <w:noProof/>
                <w:color w:val="000000"/>
                <w:szCs w:val="22"/>
              </w:rPr>
              <w:t xml:space="preserve"> </w:t>
            </w:r>
            <w:r w:rsidRPr="00084C42">
              <w:rPr>
                <w:noProof/>
                <w:color w:val="000000"/>
                <w:szCs w:val="22"/>
              </w:rPr>
              <w:t>10</w:t>
            </w:r>
            <w:r w:rsidRPr="00084C42">
              <w:rPr>
                <w:noProof/>
                <w:color w:val="000000"/>
                <w:szCs w:val="22"/>
                <w:vertAlign w:val="superscript"/>
              </w:rPr>
              <w:t>-4</w:t>
            </w:r>
          </w:p>
        </w:tc>
      </w:tr>
    </w:tbl>
    <w:p w14:paraId="6AE31341" w14:textId="3C2BD485" w:rsidR="00CC7147" w:rsidRPr="00C47F2F" w:rsidRDefault="0009661D" w:rsidP="00E81109">
      <w:pPr>
        <w:pStyle w:val="Note"/>
        <w:rPr>
          <w:noProof/>
          <w:sz w:val="20"/>
          <w:szCs w:val="20"/>
        </w:rPr>
      </w:pPr>
      <w:r w:rsidRPr="00C47F2F">
        <w:rPr>
          <w:noProof/>
          <w:sz w:val="20"/>
          <w:szCs w:val="20"/>
          <w:vertAlign w:val="superscript"/>
        </w:rPr>
        <w:t>*</w:t>
      </w:r>
      <w:r w:rsidR="00CC7147" w:rsidRPr="00C47F2F">
        <w:rPr>
          <w:noProof/>
          <w:sz w:val="20"/>
          <w:szCs w:val="20"/>
        </w:rPr>
        <w:t xml:space="preserve">It is assumed that for curium a bound fraction </w:t>
      </w:r>
      <w:r w:rsidR="00CC7147" w:rsidRPr="00C47F2F">
        <w:rPr>
          <w:i/>
          <w:noProof/>
          <w:sz w:val="20"/>
          <w:szCs w:val="20"/>
        </w:rPr>
        <w:t>f</w:t>
      </w:r>
      <w:r w:rsidR="00CC7147" w:rsidRPr="00C47F2F">
        <w:rPr>
          <w:noProof/>
          <w:sz w:val="20"/>
          <w:szCs w:val="20"/>
          <w:vertAlign w:val="subscript"/>
        </w:rPr>
        <w:t>b</w:t>
      </w:r>
      <w:r w:rsidR="00CC7147" w:rsidRPr="00C47F2F">
        <w:rPr>
          <w:noProof/>
          <w:sz w:val="20"/>
          <w:szCs w:val="20"/>
        </w:rPr>
        <w:t xml:space="preserve"> = 0.002 with </w:t>
      </w:r>
      <w:r w:rsidR="00CC7147" w:rsidRPr="00C47F2F">
        <w:rPr>
          <w:i/>
          <w:noProof/>
          <w:sz w:val="20"/>
          <w:szCs w:val="20"/>
        </w:rPr>
        <w:t>s</w:t>
      </w:r>
      <w:r w:rsidR="00CC7147" w:rsidRPr="00C47F2F">
        <w:rPr>
          <w:noProof/>
          <w:sz w:val="20"/>
          <w:szCs w:val="20"/>
          <w:vertAlign w:val="subscript"/>
        </w:rPr>
        <w:t>b</w:t>
      </w:r>
      <w:r w:rsidR="00CC7147" w:rsidRPr="00C47F2F">
        <w:rPr>
          <w:noProof/>
          <w:sz w:val="20"/>
          <w:szCs w:val="20"/>
        </w:rPr>
        <w:t xml:space="preserve"> = 0 d</w:t>
      </w:r>
      <w:r w:rsidR="00CC7147" w:rsidRPr="00C47F2F">
        <w:rPr>
          <w:noProof/>
          <w:sz w:val="20"/>
          <w:szCs w:val="20"/>
          <w:vertAlign w:val="superscript"/>
        </w:rPr>
        <w:t>–1</w:t>
      </w:r>
      <w:r w:rsidR="00CC7147" w:rsidRPr="00C47F2F">
        <w:rPr>
          <w:noProof/>
          <w:sz w:val="20"/>
          <w:szCs w:val="20"/>
        </w:rPr>
        <w:t xml:space="preserve"> is applied throughout the respiratory tract except in the ET</w:t>
      </w:r>
      <w:r w:rsidR="00CC7147" w:rsidRPr="00C47F2F">
        <w:rPr>
          <w:noProof/>
          <w:sz w:val="20"/>
          <w:szCs w:val="20"/>
          <w:vertAlign w:val="subscript"/>
        </w:rPr>
        <w:t>1</w:t>
      </w:r>
      <w:r w:rsidR="00CC7147" w:rsidRPr="00C47F2F">
        <w:rPr>
          <w:noProof/>
          <w:sz w:val="20"/>
          <w:szCs w:val="20"/>
        </w:rPr>
        <w:t xml:space="preserve"> region.</w:t>
      </w:r>
      <w:r w:rsidR="00C56C7D" w:rsidRPr="00C47F2F">
        <w:rPr>
          <w:noProof/>
          <w:sz w:val="20"/>
          <w:szCs w:val="20"/>
        </w:rPr>
        <w:t xml:space="preserve"> </w:t>
      </w:r>
      <w:r w:rsidR="00CC7147" w:rsidRPr="00C47F2F">
        <w:rPr>
          <w:noProof/>
          <w:sz w:val="20"/>
          <w:szCs w:val="20"/>
        </w:rPr>
        <w:t xml:space="preserve">The values of </w:t>
      </w:r>
      <w:r w:rsidR="00CC7147" w:rsidRPr="00C47F2F">
        <w:rPr>
          <w:i/>
          <w:noProof/>
          <w:sz w:val="20"/>
          <w:szCs w:val="20"/>
        </w:rPr>
        <w:t>s</w:t>
      </w:r>
      <w:r w:rsidR="00CC7147" w:rsidRPr="00C47F2F">
        <w:rPr>
          <w:noProof/>
          <w:sz w:val="20"/>
          <w:szCs w:val="20"/>
          <w:vertAlign w:val="subscript"/>
        </w:rPr>
        <w:t>r</w:t>
      </w:r>
      <w:r w:rsidR="00CC7147" w:rsidRPr="00C47F2F">
        <w:rPr>
          <w:noProof/>
          <w:sz w:val="20"/>
          <w:szCs w:val="20"/>
        </w:rPr>
        <w:t xml:space="preserve"> for Type F M and S forms of curium (0.4 d</w:t>
      </w:r>
      <w:r w:rsidR="00CC7147" w:rsidRPr="00C47F2F">
        <w:rPr>
          <w:noProof/>
          <w:sz w:val="20"/>
          <w:szCs w:val="20"/>
          <w:vertAlign w:val="superscript"/>
        </w:rPr>
        <w:t>–1</w:t>
      </w:r>
      <w:r w:rsidR="00CC7147" w:rsidRPr="00C47F2F">
        <w:rPr>
          <w:noProof/>
          <w:sz w:val="20"/>
          <w:szCs w:val="20"/>
        </w:rPr>
        <w:t xml:space="preserve">) are element-specific. </w:t>
      </w:r>
    </w:p>
    <w:p w14:paraId="2466A63E" w14:textId="481EABFF" w:rsidR="00CC7147" w:rsidRPr="00C47F2F" w:rsidRDefault="0009661D" w:rsidP="00E81109">
      <w:pPr>
        <w:pStyle w:val="Note"/>
        <w:rPr>
          <w:noProof/>
          <w:sz w:val="20"/>
          <w:szCs w:val="20"/>
        </w:rPr>
      </w:pPr>
      <w:r w:rsidRPr="00C47F2F">
        <w:rPr>
          <w:noProof/>
          <w:sz w:val="20"/>
          <w:szCs w:val="20"/>
          <w:vertAlign w:val="superscript"/>
        </w:rPr>
        <w:t>†</w:t>
      </w:r>
      <w:r w:rsidR="00CC7147" w:rsidRPr="00C47F2F">
        <w:rPr>
          <w:noProof/>
          <w:sz w:val="20"/>
          <w:szCs w:val="20"/>
        </w:rPr>
        <w:t xml:space="preserve">For inhaled material deposited in the respiratory tract and subsequently cleared by particle transport to the alimentary tract, the default </w:t>
      </w:r>
      <w:r w:rsidR="00CC7147" w:rsidRPr="00C47F2F">
        <w:rPr>
          <w:i/>
          <w:noProof/>
          <w:sz w:val="20"/>
          <w:szCs w:val="20"/>
        </w:rPr>
        <w:t>f</w:t>
      </w:r>
      <w:r w:rsidR="00CC7147" w:rsidRPr="00C47F2F">
        <w:rPr>
          <w:noProof/>
          <w:sz w:val="20"/>
          <w:szCs w:val="20"/>
          <w:vertAlign w:val="subscript"/>
        </w:rPr>
        <w:t>A</w:t>
      </w:r>
      <w:r w:rsidR="00CC7147" w:rsidRPr="00C47F2F">
        <w:rPr>
          <w:noProof/>
          <w:sz w:val="20"/>
          <w:szCs w:val="20"/>
        </w:rPr>
        <w:t xml:space="preserve"> values for inhaled materials are applied: </w:t>
      </w:r>
      <w:r w:rsidR="00CC7147" w:rsidRPr="00C47F2F">
        <w:rPr>
          <w:i/>
          <w:noProof/>
          <w:sz w:val="20"/>
          <w:szCs w:val="20"/>
        </w:rPr>
        <w:t>i.e.</w:t>
      </w:r>
      <w:r w:rsidR="00CC7147" w:rsidRPr="00C47F2F">
        <w:rPr>
          <w:noProof/>
          <w:sz w:val="20"/>
          <w:szCs w:val="20"/>
        </w:rPr>
        <w:t xml:space="preserve">, the product of </w:t>
      </w:r>
      <w:r w:rsidR="00CC7147" w:rsidRPr="00C47F2F">
        <w:rPr>
          <w:i/>
          <w:noProof/>
          <w:sz w:val="20"/>
          <w:szCs w:val="20"/>
        </w:rPr>
        <w:t>f</w:t>
      </w:r>
      <w:r w:rsidR="00CC7147" w:rsidRPr="00C47F2F">
        <w:rPr>
          <w:noProof/>
          <w:sz w:val="20"/>
          <w:szCs w:val="20"/>
          <w:vertAlign w:val="subscript"/>
        </w:rPr>
        <w:t>r</w:t>
      </w:r>
      <w:r w:rsidR="00CC7147" w:rsidRPr="00C47F2F">
        <w:rPr>
          <w:noProof/>
          <w:sz w:val="20"/>
          <w:szCs w:val="20"/>
        </w:rPr>
        <w:t xml:space="preserve"> for the absorption Type (or specific value where given) and the </w:t>
      </w:r>
      <w:r w:rsidR="00CC7147" w:rsidRPr="00C47F2F">
        <w:rPr>
          <w:i/>
          <w:noProof/>
          <w:sz w:val="20"/>
          <w:szCs w:val="20"/>
        </w:rPr>
        <w:t>f</w:t>
      </w:r>
      <w:r w:rsidR="00CC7147" w:rsidRPr="00C47F2F">
        <w:rPr>
          <w:noProof/>
          <w:sz w:val="20"/>
          <w:szCs w:val="20"/>
          <w:vertAlign w:val="subscript"/>
        </w:rPr>
        <w:t>A</w:t>
      </w:r>
      <w:r w:rsidR="00CC7147" w:rsidRPr="00C47F2F">
        <w:rPr>
          <w:noProof/>
          <w:sz w:val="20"/>
          <w:szCs w:val="20"/>
        </w:rPr>
        <w:t xml:space="preserve"> value for ingested soluble forms of curium</w:t>
      </w:r>
      <w:r w:rsidR="00485154" w:rsidRPr="00C47F2F">
        <w:rPr>
          <w:noProof/>
          <w:sz w:val="20"/>
          <w:szCs w:val="20"/>
        </w:rPr>
        <w:t xml:space="preserve"> </w:t>
      </w:r>
      <w:r w:rsidR="00044E37" w:rsidRPr="00C47F2F">
        <w:rPr>
          <w:noProof/>
          <w:sz w:val="20"/>
          <w:szCs w:val="20"/>
        </w:rPr>
        <w:t>applicable to the age-group of interest (</w:t>
      </w:r>
      <w:r w:rsidR="00044E37" w:rsidRPr="00C47F2F">
        <w:rPr>
          <w:i/>
          <w:iCs/>
          <w:noProof/>
          <w:sz w:val="20"/>
          <w:szCs w:val="20"/>
        </w:rPr>
        <w:t>e.g</w:t>
      </w:r>
      <w:r w:rsidR="00044E37" w:rsidRPr="00C47F2F">
        <w:rPr>
          <w:noProof/>
          <w:sz w:val="20"/>
          <w:szCs w:val="20"/>
        </w:rPr>
        <w:t xml:space="preserve">. </w:t>
      </w:r>
      <w:r w:rsidR="00CC7147" w:rsidRPr="00C47F2F">
        <w:rPr>
          <w:noProof/>
          <w:sz w:val="20"/>
          <w:szCs w:val="20"/>
        </w:rPr>
        <w:t>5</w:t>
      </w:r>
      <w:r w:rsidR="00067025" w:rsidRPr="00C47F2F">
        <w:rPr>
          <w:noProof/>
          <w:sz w:val="20"/>
          <w:szCs w:val="20"/>
        </w:rPr>
        <w:t xml:space="preserve"> × </w:t>
      </w:r>
      <w:r w:rsidR="00CC7147" w:rsidRPr="00C47F2F">
        <w:rPr>
          <w:noProof/>
          <w:sz w:val="20"/>
          <w:szCs w:val="20"/>
        </w:rPr>
        <w:t>10</w:t>
      </w:r>
      <w:r w:rsidR="00CC7147" w:rsidRPr="00C47F2F">
        <w:rPr>
          <w:noProof/>
          <w:sz w:val="20"/>
          <w:szCs w:val="20"/>
          <w:vertAlign w:val="superscript"/>
        </w:rPr>
        <w:t>–4</w:t>
      </w:r>
      <w:r w:rsidR="00044E37" w:rsidRPr="00C47F2F">
        <w:rPr>
          <w:noProof/>
          <w:sz w:val="20"/>
          <w:szCs w:val="20"/>
        </w:rPr>
        <w:t xml:space="preserve"> for adults</w:t>
      </w:r>
      <w:r w:rsidR="00CC7147" w:rsidRPr="00C47F2F">
        <w:rPr>
          <w:noProof/>
          <w:sz w:val="20"/>
          <w:szCs w:val="20"/>
        </w:rPr>
        <w:t>).</w:t>
      </w:r>
    </w:p>
    <w:p w14:paraId="1104554B" w14:textId="6093DFB0" w:rsidR="00CC7147" w:rsidRPr="00C47F2F" w:rsidRDefault="0009661D" w:rsidP="00E81109">
      <w:pPr>
        <w:pStyle w:val="Note"/>
        <w:rPr>
          <w:noProof/>
          <w:sz w:val="20"/>
          <w:szCs w:val="20"/>
        </w:rPr>
      </w:pPr>
      <w:r w:rsidRPr="00C47F2F">
        <w:rPr>
          <w:noProof/>
          <w:sz w:val="20"/>
          <w:szCs w:val="20"/>
          <w:vertAlign w:val="superscript"/>
        </w:rPr>
        <w:t>‡</w:t>
      </w:r>
      <w:r w:rsidR="00CC7147" w:rsidRPr="00C47F2F">
        <w:rPr>
          <w:noProof/>
          <w:sz w:val="20"/>
          <w:szCs w:val="20"/>
        </w:rPr>
        <w:t xml:space="preserve">See </w:t>
      </w:r>
      <w:r w:rsidR="00AF3127" w:rsidRPr="00C47F2F">
        <w:rPr>
          <w:noProof/>
          <w:sz w:val="20"/>
          <w:szCs w:val="20"/>
        </w:rPr>
        <w:t xml:space="preserve">Section 24 of </w:t>
      </w:r>
      <w:r w:rsidR="00572B5F" w:rsidRPr="00C47F2F">
        <w:rPr>
          <w:i/>
          <w:noProof/>
          <w:sz w:val="20"/>
          <w:szCs w:val="20"/>
        </w:rPr>
        <w:t xml:space="preserve">Publication </w:t>
      </w:r>
      <w:r w:rsidR="00D4443E" w:rsidRPr="00C47F2F">
        <w:rPr>
          <w:i/>
          <w:noProof/>
          <w:sz w:val="20"/>
          <w:szCs w:val="20"/>
        </w:rPr>
        <w:t>141</w:t>
      </w:r>
      <w:r w:rsidR="00572B5F" w:rsidRPr="00C47F2F">
        <w:rPr>
          <w:noProof/>
          <w:sz w:val="20"/>
          <w:szCs w:val="20"/>
        </w:rPr>
        <w:t xml:space="preserve"> </w:t>
      </w:r>
      <w:r w:rsidRPr="00C47F2F">
        <w:rPr>
          <w:noProof/>
          <w:sz w:val="20"/>
          <w:szCs w:val="20"/>
        </w:rPr>
        <w:fldChar w:fldCharType="begin"/>
      </w:r>
      <w:r w:rsidR="0091689A" w:rsidRPr="00C47F2F">
        <w:rPr>
          <w:noProof/>
          <w:sz w:val="20"/>
          <w:szCs w:val="20"/>
        </w:rPr>
        <w:instrText xml:space="preserve"> ADDIN ZOTERO_ITEM CSL_CITATION {"citationID":"arbr0iclnm","properties":{"formattedCitation":"(ICRP,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Pr="00C47F2F">
        <w:rPr>
          <w:noProof/>
          <w:sz w:val="20"/>
          <w:szCs w:val="20"/>
        </w:rPr>
        <w:fldChar w:fldCharType="separate"/>
      </w:r>
      <w:r w:rsidR="0091689A" w:rsidRPr="00C47F2F">
        <w:rPr>
          <w:noProof/>
          <w:sz w:val="20"/>
          <w:szCs w:val="20"/>
        </w:rPr>
        <w:t>(ICRP, 2019)</w:t>
      </w:r>
      <w:r w:rsidRPr="00C47F2F">
        <w:rPr>
          <w:noProof/>
          <w:sz w:val="20"/>
          <w:szCs w:val="20"/>
        </w:rPr>
        <w:fldChar w:fldCharType="end"/>
      </w:r>
      <w:r w:rsidR="00AF3127" w:rsidRPr="00C47F2F">
        <w:rPr>
          <w:noProof/>
          <w:sz w:val="20"/>
          <w:szCs w:val="20"/>
        </w:rPr>
        <w:t xml:space="preserve"> </w:t>
      </w:r>
      <w:r w:rsidR="00CC7147" w:rsidRPr="00C47F2F">
        <w:rPr>
          <w:noProof/>
          <w:sz w:val="20"/>
          <w:szCs w:val="20"/>
        </w:rPr>
        <w:t xml:space="preserve">for summary of information on which parameter values are based, and on ranges of parameter values observed in different studies. For curium oxide and nitrate, specific parameter values are used for dissolution in the lungs, but a default value of </w:t>
      </w:r>
      <w:r w:rsidR="00CC7147" w:rsidRPr="00C47F2F">
        <w:rPr>
          <w:i/>
          <w:noProof/>
          <w:sz w:val="20"/>
          <w:szCs w:val="20"/>
        </w:rPr>
        <w:t>f</w:t>
      </w:r>
      <w:r w:rsidR="00CC7147" w:rsidRPr="00C47F2F">
        <w:rPr>
          <w:noProof/>
          <w:sz w:val="20"/>
          <w:szCs w:val="20"/>
          <w:vertAlign w:val="subscript"/>
        </w:rPr>
        <w:t>A</w:t>
      </w:r>
      <w:r w:rsidR="00CC7147" w:rsidRPr="00C47F2F">
        <w:rPr>
          <w:noProof/>
          <w:sz w:val="20"/>
          <w:szCs w:val="20"/>
        </w:rPr>
        <w:t xml:space="preserve"> (footnote </w:t>
      </w:r>
      <w:r w:rsidRPr="00C47F2F">
        <w:rPr>
          <w:noProof/>
          <w:sz w:val="20"/>
          <w:szCs w:val="20"/>
          <w:vertAlign w:val="superscript"/>
        </w:rPr>
        <w:t>†</w:t>
      </w:r>
      <w:r w:rsidR="00CC7147" w:rsidRPr="00C47F2F">
        <w:rPr>
          <w:noProof/>
          <w:sz w:val="20"/>
          <w:szCs w:val="20"/>
        </w:rPr>
        <w:t>).</w:t>
      </w:r>
    </w:p>
    <w:p w14:paraId="6E48DDA2" w14:textId="2DDC561A" w:rsidR="00CC7147" w:rsidRPr="00C47F2F" w:rsidRDefault="0009661D" w:rsidP="00E81109">
      <w:pPr>
        <w:pStyle w:val="Note"/>
        <w:rPr>
          <w:noProof/>
          <w:sz w:val="20"/>
          <w:szCs w:val="20"/>
        </w:rPr>
      </w:pPr>
      <w:r w:rsidRPr="00C47F2F">
        <w:rPr>
          <w:noProof/>
          <w:sz w:val="20"/>
          <w:szCs w:val="20"/>
          <w:vertAlign w:val="superscript"/>
        </w:rPr>
        <w:t>§</w:t>
      </w:r>
      <w:r w:rsidR="00CC7147" w:rsidRPr="00C47F2F">
        <w:rPr>
          <w:noProof/>
          <w:sz w:val="20"/>
          <w:szCs w:val="20"/>
        </w:rPr>
        <w:t>Materials (e.g.</w:t>
      </w:r>
      <w:r w:rsidR="00CC7147" w:rsidRPr="00C47F2F">
        <w:rPr>
          <w:i/>
          <w:noProof/>
          <w:sz w:val="20"/>
          <w:szCs w:val="20"/>
        </w:rPr>
        <w:t xml:space="preserve"> </w:t>
      </w:r>
      <w:r w:rsidR="00CC7147" w:rsidRPr="00C47F2F">
        <w:rPr>
          <w:noProof/>
          <w:sz w:val="20"/>
          <w:szCs w:val="20"/>
        </w:rPr>
        <w:t xml:space="preserve">curium citrate) are generally listed here where there is sufficient information to assign to a default absorption Type, but not to give specific parameter values or because specific parameter values would not be significantly different from the default (see </w:t>
      </w:r>
      <w:r w:rsidR="00AF3127" w:rsidRPr="00C47F2F">
        <w:rPr>
          <w:noProof/>
          <w:sz w:val="20"/>
          <w:szCs w:val="20"/>
        </w:rPr>
        <w:t xml:space="preserve">Section 24 of </w:t>
      </w:r>
      <w:r w:rsidRPr="00C47F2F">
        <w:rPr>
          <w:i/>
          <w:noProof/>
          <w:sz w:val="20"/>
          <w:szCs w:val="20"/>
        </w:rPr>
        <w:t>Publication 141</w:t>
      </w:r>
      <w:r w:rsidR="00CC7147" w:rsidRPr="00C47F2F">
        <w:rPr>
          <w:noProof/>
          <w:sz w:val="20"/>
          <w:szCs w:val="20"/>
        </w:rPr>
        <w:t xml:space="preserve">). </w:t>
      </w:r>
    </w:p>
    <w:p w14:paraId="7C6B8350" w14:textId="78DFEA40" w:rsidR="00CC7147" w:rsidRPr="00C47F2F" w:rsidRDefault="0009661D" w:rsidP="00E81109">
      <w:pPr>
        <w:pStyle w:val="Note"/>
        <w:rPr>
          <w:noProof/>
          <w:sz w:val="20"/>
          <w:szCs w:val="20"/>
        </w:rPr>
      </w:pPr>
      <w:r w:rsidRPr="00C47F2F">
        <w:rPr>
          <w:noProof/>
          <w:sz w:val="20"/>
          <w:szCs w:val="20"/>
          <w:vertAlign w:val="superscript"/>
        </w:rPr>
        <w:t>¶</w:t>
      </w:r>
      <w:r w:rsidR="00CC7147" w:rsidRPr="00C47F2F">
        <w:rPr>
          <w:noProof/>
          <w:sz w:val="20"/>
          <w:szCs w:val="20"/>
        </w:rPr>
        <w:t>Default Type M is recommended for use in the absence of specific information on which the exposure material can be assigned to an Absorption Type, e.g. if the form is unknown, or if the form is known but there is no information available on the absorption of that form from the respiratory tract.</w:t>
      </w:r>
    </w:p>
    <w:p w14:paraId="439990D1" w14:textId="3F6BF750" w:rsidR="00CC7147" w:rsidRPr="00972C81" w:rsidRDefault="0009661D" w:rsidP="00E81109">
      <w:pPr>
        <w:pStyle w:val="Note"/>
        <w:rPr>
          <w:noProof/>
        </w:rPr>
      </w:pPr>
      <w:r w:rsidRPr="00C47F2F">
        <w:rPr>
          <w:noProof/>
          <w:sz w:val="20"/>
          <w:szCs w:val="20"/>
          <w:vertAlign w:val="superscript"/>
        </w:rPr>
        <w:t>**</w:t>
      </w:r>
      <w:r w:rsidR="00CC7147" w:rsidRPr="00C47F2F">
        <w:rPr>
          <w:noProof/>
          <w:sz w:val="20"/>
          <w:szCs w:val="20"/>
        </w:rPr>
        <w:t xml:space="preserve">Activity transferred from systemic compartments into segments of the alimentary tract is assumed to be subject to reabsorption to blood. The default absorption fraction </w:t>
      </w:r>
      <w:r w:rsidR="00CC7147" w:rsidRPr="00C47F2F">
        <w:rPr>
          <w:i/>
          <w:noProof/>
          <w:sz w:val="20"/>
          <w:szCs w:val="20"/>
        </w:rPr>
        <w:t>f</w:t>
      </w:r>
      <w:r w:rsidR="00CC7147" w:rsidRPr="00C47F2F">
        <w:rPr>
          <w:noProof/>
          <w:sz w:val="20"/>
          <w:szCs w:val="20"/>
          <w:vertAlign w:val="subscript"/>
        </w:rPr>
        <w:t>A</w:t>
      </w:r>
      <w:r w:rsidR="00CC7147" w:rsidRPr="00C47F2F">
        <w:rPr>
          <w:noProof/>
          <w:sz w:val="20"/>
          <w:szCs w:val="20"/>
        </w:rPr>
        <w:t xml:space="preserve"> for the secreted activity is the reference</w:t>
      </w:r>
      <w:r w:rsidR="00044E37" w:rsidRPr="00C47F2F">
        <w:rPr>
          <w:noProof/>
          <w:sz w:val="20"/>
          <w:szCs w:val="20"/>
        </w:rPr>
        <w:t xml:space="preserve"> value</w:t>
      </w:r>
      <w:r w:rsidR="00CC7147" w:rsidRPr="00C47F2F">
        <w:rPr>
          <w:noProof/>
          <w:sz w:val="20"/>
          <w:szCs w:val="20"/>
        </w:rPr>
        <w:t xml:space="preserve"> for ingestion of the radionuclide</w:t>
      </w:r>
      <w:r w:rsidR="00044E37" w:rsidRPr="00C47F2F">
        <w:rPr>
          <w:noProof/>
          <w:sz w:val="20"/>
          <w:szCs w:val="20"/>
        </w:rPr>
        <w:t xml:space="preserve"> applicable to the age-group of interest (</w:t>
      </w:r>
      <w:r w:rsidR="00044E37" w:rsidRPr="00C47F2F">
        <w:rPr>
          <w:i/>
          <w:iCs/>
          <w:noProof/>
          <w:sz w:val="20"/>
          <w:szCs w:val="20"/>
        </w:rPr>
        <w:t>e.g</w:t>
      </w:r>
      <w:r w:rsidR="00044E37" w:rsidRPr="00C47F2F">
        <w:rPr>
          <w:noProof/>
          <w:sz w:val="20"/>
          <w:szCs w:val="20"/>
        </w:rPr>
        <w:t>. 5</w:t>
      </w:r>
      <w:r w:rsidR="00067025" w:rsidRPr="00C47F2F">
        <w:rPr>
          <w:noProof/>
          <w:sz w:val="20"/>
          <w:szCs w:val="20"/>
        </w:rPr>
        <w:t xml:space="preserve"> × </w:t>
      </w:r>
      <w:r w:rsidR="00044E37" w:rsidRPr="00C47F2F">
        <w:rPr>
          <w:noProof/>
          <w:sz w:val="20"/>
          <w:szCs w:val="20"/>
        </w:rPr>
        <w:t>10</w:t>
      </w:r>
      <w:r w:rsidR="00044E37" w:rsidRPr="00C47F2F">
        <w:rPr>
          <w:noProof/>
          <w:sz w:val="20"/>
          <w:szCs w:val="20"/>
          <w:vertAlign w:val="superscript"/>
        </w:rPr>
        <w:t>–4</w:t>
      </w:r>
      <w:r w:rsidR="00044E37" w:rsidRPr="00C47F2F">
        <w:rPr>
          <w:noProof/>
          <w:sz w:val="20"/>
          <w:szCs w:val="20"/>
        </w:rPr>
        <w:t xml:space="preserve"> for adults)</w:t>
      </w:r>
      <w:r w:rsidR="00CC7147" w:rsidRPr="00C47F2F">
        <w:rPr>
          <w:noProof/>
          <w:sz w:val="20"/>
          <w:szCs w:val="20"/>
        </w:rPr>
        <w:t>.</w:t>
      </w:r>
    </w:p>
    <w:p w14:paraId="5E9E417D" w14:textId="77777777" w:rsidR="004836EE" w:rsidRPr="00972C81" w:rsidRDefault="004836EE" w:rsidP="00E81109">
      <w:pPr>
        <w:pStyle w:val="3"/>
        <w:rPr>
          <w:noProof/>
        </w:rPr>
      </w:pPr>
      <w:bookmarkStart w:id="361" w:name="_Toc162630118"/>
      <w:r w:rsidRPr="00972C81">
        <w:rPr>
          <w:noProof/>
        </w:rPr>
        <w:lastRenderedPageBreak/>
        <w:t>Ingestion</w:t>
      </w:r>
      <w:bookmarkEnd w:id="361"/>
    </w:p>
    <w:p w14:paraId="78435384" w14:textId="4673F8B9" w:rsidR="004836EE" w:rsidRPr="00972C81" w:rsidRDefault="004836EE" w:rsidP="001C4A92">
      <w:pPr>
        <w:pStyle w:val="Annalstext"/>
        <w:rPr>
          <w:noProof/>
        </w:rPr>
      </w:pPr>
      <w:r w:rsidRPr="00972C81">
        <w:rPr>
          <w:i/>
          <w:noProof/>
        </w:rPr>
        <w:t>Adults</w:t>
      </w:r>
      <w:r w:rsidRPr="00972C81">
        <w:rPr>
          <w:noProof/>
        </w:rPr>
        <w:t xml:space="preserve">. Popplewell et al </w:t>
      </w:r>
      <w:r w:rsidR="0009661D" w:rsidRPr="00972C81">
        <w:rPr>
          <w:noProof/>
        </w:rPr>
        <w:fldChar w:fldCharType="begin"/>
      </w:r>
      <w:r w:rsidR="0091689A" w:rsidRPr="00972C81">
        <w:rPr>
          <w:noProof/>
        </w:rPr>
        <w:instrText xml:space="preserve"> ADDIN ZOTERO_ITEM CSL_CITATION {"citationID":"a2baptsvhcf","properties":{"formattedCitation":"(1991)","plainCitation":"(1991)","noteIndex":0},"citationItems":[{"id":5062,"uris":["http://zotero.org/groups/2470620/items/6NIVAIKZ"],"itemData":{"id":5062,"type":"article-journal","abstract":"The gastrointestinal absorption of Np and Cm has been determined in five male adult volunteers. The Np and Cm, which were in citrate solution, were taken with food. An initial experiment with each individual determined the fraction of each element excreted in the urine following intravenous administration. Subsequently, the results for urinary excretion for the two routes of administration were used to calculate the fractional absorption (f1) of ingested Np and Cm. The mean f1 values were: Np (2.0 +/- 0.2) X 10(-4), range (1.2-2.9) X 10(-4), and Cm (1.7 +/- 0.3) X 10(-4), range (0.95-3.0) X 10(-4), the quoted uncertainties being the standard error of the means. Currently, the International Commission on Radiological Protection recommends a value of 10(-3) for both elements. Cumulative urinary excretion over 1 wk after intravenous injection accounted for about 20%-40% of administered Np and 7%-10% of Cm. At the conclusion of the experiment, the total committed effective dose equivalent for each volunteer was calculated to be in the range 130-250 microSv, based on the individual f1 values, and, in some cases, a knowledge of the rate of clearance of 239Np through the gut as measured by whole-body counting.","container-title":"Health Physics","DOI":"10.1097/00004032-199106000-00005","ISSN":"0017-9078","issue":"6","journalAbbreviation":"Health Phys","language":"eng","note":"PMID: 2032834","page":"797-805","source":"PubMed","title":"Gastrointestinal absorption of neptunium and curium in humans","volume":"60","author":[{"family":"Popplewell","given":"D. S."},{"family":"Harrison","given":"J. D."},{"family":"Ham","given":"G. J."}],"issued":{"date-parts":[["1991",6]]}},"label":"page","suppress-author":true}],"schema":"https://github.com/citation-style-language/schema/raw/master/csl-citation.json"} </w:instrText>
      </w:r>
      <w:r w:rsidR="0009661D" w:rsidRPr="00972C81">
        <w:rPr>
          <w:noProof/>
        </w:rPr>
        <w:fldChar w:fldCharType="separate"/>
      </w:r>
      <w:r w:rsidR="0091689A" w:rsidRPr="00972C81">
        <w:rPr>
          <w:noProof/>
          <w:szCs w:val="24"/>
        </w:rPr>
        <w:t>(1991)</w:t>
      </w:r>
      <w:r w:rsidR="0009661D" w:rsidRPr="00972C81">
        <w:rPr>
          <w:noProof/>
        </w:rPr>
        <w:fldChar w:fldCharType="end"/>
      </w:r>
      <w:r w:rsidR="0009661D" w:rsidRPr="00972C81">
        <w:rPr>
          <w:noProof/>
        </w:rPr>
        <w:t xml:space="preserve"> </w:t>
      </w:r>
      <w:r w:rsidRPr="00972C81">
        <w:rPr>
          <w:noProof/>
        </w:rPr>
        <w:t xml:space="preserve">measured the absorption of </w:t>
      </w:r>
      <w:r w:rsidRPr="00972C81">
        <w:rPr>
          <w:noProof/>
          <w:vertAlign w:val="superscript"/>
        </w:rPr>
        <w:t>242</w:t>
      </w:r>
      <w:r w:rsidRPr="00972C81">
        <w:rPr>
          <w:noProof/>
        </w:rPr>
        <w:t>Cm as a citrate in five adult male volunteers by comparing urinary excretion after oral and intravenous administration. The solutions were ingested with a mid-day meal. A mean absorption fraction of 2</w:t>
      </w:r>
      <w:r w:rsidR="00067025" w:rsidRPr="00972C81">
        <w:rPr>
          <w:noProof/>
        </w:rPr>
        <w:t xml:space="preserve"> × </w:t>
      </w:r>
      <w:r w:rsidRPr="00972C81">
        <w:rPr>
          <w:noProof/>
        </w:rPr>
        <w:t>10</w:t>
      </w:r>
      <w:r w:rsidRPr="00972C81">
        <w:rPr>
          <w:noProof/>
          <w:vertAlign w:val="superscript"/>
        </w:rPr>
        <w:t>-4</w:t>
      </w:r>
      <w:r w:rsidRPr="00972C81">
        <w:rPr>
          <w:noProof/>
        </w:rPr>
        <w:t xml:space="preserve"> was obtained with a range from 1</w:t>
      </w:r>
      <w:r w:rsidR="00067025" w:rsidRPr="00972C81">
        <w:rPr>
          <w:noProof/>
        </w:rPr>
        <w:t xml:space="preserve"> × </w:t>
      </w:r>
      <w:r w:rsidRPr="00972C81">
        <w:rPr>
          <w:noProof/>
        </w:rPr>
        <w:t>10</w:t>
      </w:r>
      <w:r w:rsidRPr="00972C81">
        <w:rPr>
          <w:noProof/>
          <w:vertAlign w:val="superscript"/>
        </w:rPr>
        <w:t>-4</w:t>
      </w:r>
      <w:r w:rsidRPr="00972C81">
        <w:rPr>
          <w:noProof/>
        </w:rPr>
        <w:t xml:space="preserve"> to 3</w:t>
      </w:r>
      <w:r w:rsidR="00067025" w:rsidRPr="00972C81">
        <w:rPr>
          <w:noProof/>
        </w:rPr>
        <w:t xml:space="preserve"> × </w:t>
      </w:r>
      <w:r w:rsidRPr="00972C81">
        <w:rPr>
          <w:noProof/>
        </w:rPr>
        <w:t>10</w:t>
      </w:r>
      <w:r w:rsidRPr="00972C81">
        <w:rPr>
          <w:noProof/>
          <w:vertAlign w:val="superscript"/>
        </w:rPr>
        <w:t>-4</w:t>
      </w:r>
      <w:r w:rsidRPr="00972C81">
        <w:rPr>
          <w:noProof/>
        </w:rPr>
        <w:t xml:space="preserve">. The studies informing the gastrointestinal absorption of curium were reviewed in </w:t>
      </w:r>
      <w:r w:rsidRPr="00972C81">
        <w:rPr>
          <w:i/>
          <w:noProof/>
        </w:rPr>
        <w:t>Publications 48</w:t>
      </w:r>
      <w:r w:rsidRPr="00972C81">
        <w:rPr>
          <w:noProof/>
        </w:rPr>
        <w:t xml:space="preserve"> </w:t>
      </w:r>
      <w:r w:rsidR="0009661D" w:rsidRPr="00972C81">
        <w:rPr>
          <w:noProof/>
        </w:rPr>
        <w:fldChar w:fldCharType="begin"/>
      </w:r>
      <w:r w:rsidR="0091689A" w:rsidRPr="00972C81">
        <w:rPr>
          <w:noProof/>
        </w:rPr>
        <w:instrText xml:space="preserve"> ADDIN ZOTERO_ITEM CSL_CITATION {"citationID":"a28j9e8bnru","properties":{"formattedCitation":"(ICRP, 1986)","plainCitation":"(ICRP, 1986)","noteIndex":0},"citationItems":[{"id":4867,"uris":["http://zotero.org/groups/2470620/items/JBT3RHCV"],"itemData":{"id":4867,"type":"article-journal","container-title":"Annals of the ICRP","issue":"2/3","journalAbbreviation":"Ann. ICRP","language":"et","title":"The Metabolism of Plutonium and Related Elements. ICRP Publication 48","volume":"16","author":[{"literal":"ICRP"}],"issued":{"date-parts":[["1986"]]}}}],"schema":"https://github.com/citation-style-language/schema/raw/master/csl-citation.json"} </w:instrText>
      </w:r>
      <w:r w:rsidR="0009661D" w:rsidRPr="00972C81">
        <w:rPr>
          <w:noProof/>
        </w:rPr>
        <w:fldChar w:fldCharType="separate"/>
      </w:r>
      <w:r w:rsidR="0091689A" w:rsidRPr="00972C81">
        <w:rPr>
          <w:noProof/>
          <w:szCs w:val="24"/>
        </w:rPr>
        <w:t>(ICRP, 1986)</w:t>
      </w:r>
      <w:r w:rsidR="0009661D" w:rsidRPr="00972C81">
        <w:rPr>
          <w:noProof/>
        </w:rPr>
        <w:fldChar w:fldCharType="end"/>
      </w:r>
      <w:r w:rsidRPr="00972C81">
        <w:rPr>
          <w:noProof/>
        </w:rPr>
        <w:t xml:space="preserve">, </w:t>
      </w:r>
      <w:r w:rsidRPr="00972C81">
        <w:rPr>
          <w:i/>
          <w:noProof/>
        </w:rPr>
        <w:t>100</w:t>
      </w:r>
      <w:r w:rsidRPr="00972C81">
        <w:rPr>
          <w:noProof/>
        </w:rPr>
        <w:t xml:space="preserve"> </w:t>
      </w:r>
      <w:r w:rsidR="0009661D" w:rsidRPr="00972C81">
        <w:rPr>
          <w:noProof/>
        </w:rPr>
        <w:fldChar w:fldCharType="begin"/>
      </w:r>
      <w:r w:rsidR="0091689A" w:rsidRPr="00972C81">
        <w:rPr>
          <w:noProof/>
        </w:rPr>
        <w:instrText xml:space="preserve"> ADDIN ZOTERO_ITEM CSL_CITATION {"citationID":"a26kt2lnlfb","properties":{"formattedCitation":"(ICRP, 2006)","plainCitation":"(ICRP, 2006)","noteIndex":0},"citationItems":[{"id":2564,"uris":["http://zotero.org/groups/2470620/items/9MYKCIRK",["http://zotero.org/groups/2470620/items/9MYKCIRK"]],"itemData":{"id":2564,"type":"article-journal","container-title":"Annals of the ICRP","issue":"1-2","journalAbbreviation":"Ann. ICRP","language":"en","note":"publisher-place: Oxford\npublisher: Pergamon Press","title":"Human alimentary tract model for radiological protection. ICRP Publication 100","volume":"36","author":[{"literal":"ICRP"}],"issued":{"date-parts":[["2006"]]}}}],"schema":"https://github.com/citation-style-language/schema/raw/master/csl-citation.json"} </w:instrText>
      </w:r>
      <w:r w:rsidR="0009661D" w:rsidRPr="00972C81">
        <w:rPr>
          <w:noProof/>
        </w:rPr>
        <w:fldChar w:fldCharType="separate"/>
      </w:r>
      <w:r w:rsidR="0091689A" w:rsidRPr="00972C81">
        <w:rPr>
          <w:noProof/>
          <w:szCs w:val="24"/>
        </w:rPr>
        <w:t>(ICRP, 2006)</w:t>
      </w:r>
      <w:r w:rsidR="0009661D" w:rsidRPr="00972C81">
        <w:rPr>
          <w:noProof/>
        </w:rPr>
        <w:fldChar w:fldCharType="end"/>
      </w:r>
      <w:r w:rsidRPr="00972C81">
        <w:rPr>
          <w:noProof/>
        </w:rPr>
        <w:t xml:space="preserve"> and </w:t>
      </w:r>
      <w:r w:rsidR="00D4443E" w:rsidRPr="00972C81">
        <w:rPr>
          <w:i/>
          <w:noProof/>
        </w:rPr>
        <w:t>141</w:t>
      </w:r>
      <w:r w:rsidR="00D4443E" w:rsidRPr="00972C81">
        <w:rPr>
          <w:noProof/>
        </w:rPr>
        <w:t xml:space="preserve"> </w:t>
      </w:r>
      <w:r w:rsidR="0009661D" w:rsidRPr="00972C81">
        <w:rPr>
          <w:noProof/>
        </w:rPr>
        <w:fldChar w:fldCharType="begin"/>
      </w:r>
      <w:r w:rsidR="0091689A" w:rsidRPr="00972C81">
        <w:rPr>
          <w:noProof/>
        </w:rPr>
        <w:instrText xml:space="preserve"> ADDIN ZOTERO_ITEM CSL_CITATION {"citationID":"a1215hkv773","properties":{"formattedCitation":"(ICRP,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09661D" w:rsidRPr="00972C81">
        <w:rPr>
          <w:noProof/>
        </w:rPr>
        <w:fldChar w:fldCharType="separate"/>
      </w:r>
      <w:r w:rsidR="0091689A" w:rsidRPr="00972C81">
        <w:rPr>
          <w:noProof/>
          <w:szCs w:val="24"/>
        </w:rPr>
        <w:t>(ICRP, 2019)</w:t>
      </w:r>
      <w:r w:rsidR="0009661D" w:rsidRPr="00972C81">
        <w:rPr>
          <w:noProof/>
        </w:rPr>
        <w:fldChar w:fldCharType="end"/>
      </w:r>
      <w:r w:rsidRPr="00972C81">
        <w:rPr>
          <w:noProof/>
        </w:rPr>
        <w:t>. The fractional absorption of curium has been measured in adult rats and guinea pigs with a range of observed values from 10</w:t>
      </w:r>
      <w:r w:rsidRPr="00972C81">
        <w:rPr>
          <w:noProof/>
          <w:vertAlign w:val="superscript"/>
        </w:rPr>
        <w:t>-4</w:t>
      </w:r>
      <w:r w:rsidRPr="00972C81">
        <w:rPr>
          <w:noProof/>
        </w:rPr>
        <w:t xml:space="preserve"> to 10</w:t>
      </w:r>
      <w:r w:rsidRPr="00972C81">
        <w:rPr>
          <w:noProof/>
          <w:vertAlign w:val="superscript"/>
        </w:rPr>
        <w:t>-3</w:t>
      </w:r>
      <w:r w:rsidRPr="00972C81">
        <w:rPr>
          <w:noProof/>
        </w:rPr>
        <w:t xml:space="preserve">. Absorption of curium </w:t>
      </w:r>
      <w:r w:rsidRPr="00972C81">
        <w:rPr>
          <w:noProof/>
          <w:szCs w:val="24"/>
        </w:rPr>
        <w:t xml:space="preserve">nitrate was increased by fasting and oxidizing agents such as ferric iron and quinhydrone. </w:t>
      </w:r>
      <w:r w:rsidRPr="00972C81">
        <w:rPr>
          <w:noProof/>
          <w:szCs w:val="24"/>
          <w:lang w:eastAsia="fr-FR"/>
        </w:rPr>
        <w:t xml:space="preserve">Very limited information is available concerning the absorption of curium after biological incorporation into foodstuffs and the available data indicate no greatly enhanced absorption. </w:t>
      </w:r>
      <w:r w:rsidRPr="00972C81">
        <w:rPr>
          <w:noProof/>
        </w:rPr>
        <w:t xml:space="preserve">In </w:t>
      </w:r>
      <w:r w:rsidRPr="00972C81">
        <w:rPr>
          <w:i/>
          <w:noProof/>
        </w:rPr>
        <w:t>Publication 30</w:t>
      </w:r>
      <w:r w:rsidRPr="00972C81">
        <w:rPr>
          <w:noProof/>
        </w:rPr>
        <w:t xml:space="preserve"> </w:t>
      </w:r>
      <w:r w:rsidR="0009661D" w:rsidRPr="00972C81">
        <w:rPr>
          <w:noProof/>
        </w:rPr>
        <w:fldChar w:fldCharType="begin"/>
      </w:r>
      <w:r w:rsidR="0091689A" w:rsidRPr="00972C81">
        <w:rPr>
          <w:noProof/>
        </w:rPr>
        <w:instrText xml:space="preserve"> ADDIN ZOTERO_ITEM CSL_CITATION {"citationID":"a1ebnhln1nt","properties":{"formattedCitation":"(ICRP, 1980)","plainCitation":"(ICRP, 1980)","noteIndex":0},"citationItems":[{"id":2554,"uris":["http://zotero.org/groups/2470620/items/DPAFDBQY"],"itemData":{"id":2554,"type":"article-journal","container-title":"Annals of the ICRP","issue":"3/4","journalAbbreviation":"Ann. ICRP","language":"en","title":"Limits for intakes of radionuclides by workers. ICRP Publication 30, Part 2","volume":"4","author":[{"literal":"ICRP"}],"issued":{"date-parts":[["1980"]]}}}],"schema":"https://github.com/citation-style-language/schema/raw/master/csl-citation.json"} </w:instrText>
      </w:r>
      <w:r w:rsidR="0009661D" w:rsidRPr="00972C81">
        <w:rPr>
          <w:noProof/>
        </w:rPr>
        <w:fldChar w:fldCharType="separate"/>
      </w:r>
      <w:r w:rsidR="0091689A" w:rsidRPr="00972C81">
        <w:rPr>
          <w:noProof/>
          <w:szCs w:val="24"/>
        </w:rPr>
        <w:t>(ICRP, 1980)</w:t>
      </w:r>
      <w:r w:rsidR="0009661D" w:rsidRPr="00972C81">
        <w:rPr>
          <w:noProof/>
        </w:rPr>
        <w:fldChar w:fldCharType="end"/>
      </w:r>
      <w:r w:rsidRPr="00972C81">
        <w:rPr>
          <w:noProof/>
        </w:rPr>
        <w:t>, an absorption fraction of 5</w:t>
      </w:r>
      <w:r w:rsidR="00067025" w:rsidRPr="00972C81">
        <w:rPr>
          <w:noProof/>
        </w:rPr>
        <w:t xml:space="preserve"> × </w:t>
      </w:r>
      <w:r w:rsidRPr="00972C81">
        <w:rPr>
          <w:noProof/>
        </w:rPr>
        <w:t>10</w:t>
      </w:r>
      <w:r w:rsidRPr="00972C81">
        <w:rPr>
          <w:noProof/>
          <w:vertAlign w:val="superscript"/>
        </w:rPr>
        <w:t>-4</w:t>
      </w:r>
      <w:r w:rsidRPr="00972C81">
        <w:rPr>
          <w:noProof/>
        </w:rPr>
        <w:t xml:space="preserve"> was recommended by analogy with americium. In </w:t>
      </w:r>
      <w:r w:rsidRPr="00972C81">
        <w:rPr>
          <w:i/>
          <w:noProof/>
        </w:rPr>
        <w:t>Publication 48</w:t>
      </w:r>
      <w:r w:rsidRPr="00972C81">
        <w:rPr>
          <w:noProof/>
        </w:rPr>
        <w:t>, a general value of 1</w:t>
      </w:r>
      <w:r w:rsidR="00067025" w:rsidRPr="00972C81">
        <w:rPr>
          <w:noProof/>
        </w:rPr>
        <w:t xml:space="preserve"> × </w:t>
      </w:r>
      <w:r w:rsidRPr="00972C81">
        <w:rPr>
          <w:noProof/>
        </w:rPr>
        <w:t>10</w:t>
      </w:r>
      <w:r w:rsidRPr="00972C81">
        <w:rPr>
          <w:noProof/>
          <w:vertAlign w:val="superscript"/>
        </w:rPr>
        <w:t>-3</w:t>
      </w:r>
      <w:r w:rsidRPr="00972C81">
        <w:rPr>
          <w:noProof/>
        </w:rPr>
        <w:t xml:space="preserve"> for actinides was used. In </w:t>
      </w:r>
      <w:r w:rsidR="00D4443E" w:rsidRPr="00972C81">
        <w:rPr>
          <w:i/>
          <w:noProof/>
        </w:rPr>
        <w:t>Publication 141</w:t>
      </w:r>
      <w:r w:rsidRPr="00972C81">
        <w:rPr>
          <w:noProof/>
        </w:rPr>
        <w:t>, the use of a general value of 5</w:t>
      </w:r>
      <w:r w:rsidR="00067025" w:rsidRPr="00972C81">
        <w:rPr>
          <w:noProof/>
        </w:rPr>
        <w:t xml:space="preserve"> × </w:t>
      </w:r>
      <w:r w:rsidRPr="00972C81">
        <w:rPr>
          <w:noProof/>
        </w:rPr>
        <w:t>10</w:t>
      </w:r>
      <w:r w:rsidRPr="00972C81">
        <w:rPr>
          <w:noProof/>
          <w:vertAlign w:val="superscript"/>
        </w:rPr>
        <w:t>-4</w:t>
      </w:r>
      <w:r w:rsidRPr="00972C81">
        <w:rPr>
          <w:noProof/>
        </w:rPr>
        <w:t xml:space="preserve"> for all actinides other than U was recommended on the basis of the available data. The </w:t>
      </w:r>
      <w:r w:rsidRPr="00972C81">
        <w:rPr>
          <w:i/>
          <w:noProof/>
        </w:rPr>
        <w:t>f</w:t>
      </w:r>
      <w:r w:rsidRPr="00972C81">
        <w:rPr>
          <w:noProof/>
          <w:vertAlign w:val="subscript"/>
        </w:rPr>
        <w:t>A</w:t>
      </w:r>
      <w:r w:rsidRPr="00972C81">
        <w:rPr>
          <w:noProof/>
        </w:rPr>
        <w:t xml:space="preserve"> value of 5</w:t>
      </w:r>
      <w:r w:rsidR="00067025" w:rsidRPr="00972C81">
        <w:rPr>
          <w:noProof/>
        </w:rPr>
        <w:t xml:space="preserve"> × </w:t>
      </w:r>
      <w:r w:rsidRPr="00972C81">
        <w:rPr>
          <w:noProof/>
        </w:rPr>
        <w:t>10</w:t>
      </w:r>
      <w:r w:rsidRPr="00972C81">
        <w:rPr>
          <w:noProof/>
          <w:vertAlign w:val="superscript"/>
        </w:rPr>
        <w:t>-4</w:t>
      </w:r>
      <w:r w:rsidRPr="00972C81">
        <w:rPr>
          <w:noProof/>
        </w:rPr>
        <w:t xml:space="preserve"> is adopted here for all chemical forms of curium ingested by adult members of the public. </w:t>
      </w:r>
    </w:p>
    <w:p w14:paraId="5E8FE8BA" w14:textId="06BE0122" w:rsidR="00DB3AC7" w:rsidRPr="00972C81" w:rsidRDefault="004836EE" w:rsidP="001C4A92">
      <w:pPr>
        <w:pStyle w:val="Annalstext"/>
        <w:rPr>
          <w:noProof/>
        </w:rPr>
      </w:pPr>
      <w:r w:rsidRPr="00972C81">
        <w:rPr>
          <w:i/>
          <w:noProof/>
        </w:rPr>
        <w:t>Children</w:t>
      </w:r>
      <w:r w:rsidRPr="00972C81">
        <w:rPr>
          <w:noProof/>
        </w:rPr>
        <w:t xml:space="preserve">. </w:t>
      </w:r>
      <w:r w:rsidR="00DB3AC7" w:rsidRPr="00972C81">
        <w:rPr>
          <w:noProof/>
          <w:lang w:eastAsia="fr-FR"/>
        </w:rPr>
        <w:t xml:space="preserve">Absorption of curium by neonatal rats is about two orders of magnitude greater than in adult animals; high absorption of this element has also been found in neonatal pigs </w:t>
      </w:r>
      <w:r w:rsidR="0009661D" w:rsidRPr="00972C81">
        <w:rPr>
          <w:noProof/>
        </w:rPr>
        <w:fldChar w:fldCharType="begin"/>
      </w:r>
      <w:r w:rsidR="0091689A" w:rsidRPr="00972C81">
        <w:rPr>
          <w:noProof/>
        </w:rPr>
        <w:instrText xml:space="preserve"> ADDIN ZOTERO_ITEM CSL_CITATION {"citationID":"ggGSuz6e","properties":{"formattedCitation":"(ICRP, 1986)","plainCitation":"(ICRP, 1986)","noteIndex":0},"citationItems":[{"id":4867,"uris":["http://zotero.org/groups/2470620/items/JBT3RHCV"],"itemData":{"id":4867,"type":"article-journal","container-title":"Annals of the ICRP","issue":"2/3","journalAbbreviation":"Ann. ICRP","language":"et","title":"The Metabolism of Plutonium and Related Elements. ICRP Publication 48","volume":"16","author":[{"literal":"ICRP"}],"issued":{"date-parts":[["1986"]]}}}],"schema":"https://github.com/citation-style-language/schema/raw/master/csl-citation.json"} </w:instrText>
      </w:r>
      <w:r w:rsidR="0009661D" w:rsidRPr="00972C81">
        <w:rPr>
          <w:noProof/>
        </w:rPr>
        <w:fldChar w:fldCharType="separate"/>
      </w:r>
      <w:r w:rsidR="0091689A" w:rsidRPr="00972C81">
        <w:rPr>
          <w:noProof/>
          <w:szCs w:val="24"/>
        </w:rPr>
        <w:t>(ICRP, 1986)</w:t>
      </w:r>
      <w:r w:rsidR="0009661D" w:rsidRPr="00972C81">
        <w:rPr>
          <w:noProof/>
        </w:rPr>
        <w:fldChar w:fldCharType="end"/>
      </w:r>
      <w:r w:rsidR="00DB3AC7" w:rsidRPr="00972C81">
        <w:rPr>
          <w:noProof/>
          <w:color w:val="000000"/>
          <w:lang w:eastAsia="fr-FR"/>
        </w:rPr>
        <w:t xml:space="preserve">. It is assumed </w:t>
      </w:r>
      <w:r w:rsidR="00DB3AC7" w:rsidRPr="00972C81">
        <w:rPr>
          <w:noProof/>
        </w:rPr>
        <w:t>that</w:t>
      </w:r>
      <w:r w:rsidR="00DB3AC7" w:rsidRPr="00972C81">
        <w:rPr>
          <w:noProof/>
          <w:color w:val="000000"/>
          <w:lang w:eastAsia="fr-FR"/>
        </w:rPr>
        <w:t>, l</w:t>
      </w:r>
      <w:r w:rsidR="00DB3AC7" w:rsidRPr="00972C81">
        <w:rPr>
          <w:noProof/>
        </w:rPr>
        <w:t xml:space="preserve">ike for plutonium, the increased absorption would probably decrease rapidly during the first few days or weeks of life, adult values being reached by about the time of weaning. </w:t>
      </w:r>
      <w:r w:rsidR="00DB3AC7" w:rsidRPr="00972C81">
        <w:rPr>
          <w:noProof/>
          <w:color w:val="000000"/>
          <w:lang w:eastAsia="fr-FR"/>
        </w:rPr>
        <w:t xml:space="preserve">The same values of </w:t>
      </w:r>
      <w:r w:rsidR="00DB3AC7" w:rsidRPr="00972C81">
        <w:rPr>
          <w:i/>
          <w:noProof/>
          <w:color w:val="000000"/>
          <w:lang w:eastAsia="fr-FR"/>
        </w:rPr>
        <w:t>f</w:t>
      </w:r>
      <w:r w:rsidR="00DB3AC7" w:rsidRPr="00972C81">
        <w:rPr>
          <w:noProof/>
          <w:color w:val="000000"/>
          <w:vertAlign w:val="subscript"/>
          <w:lang w:eastAsia="fr-FR"/>
        </w:rPr>
        <w:t>A</w:t>
      </w:r>
      <w:r w:rsidR="00DB3AC7" w:rsidRPr="00972C81">
        <w:rPr>
          <w:noProof/>
          <w:color w:val="000000"/>
          <w:lang w:eastAsia="fr-FR"/>
        </w:rPr>
        <w:t xml:space="preserve"> = 5</w:t>
      </w:r>
      <w:r w:rsidR="00067025" w:rsidRPr="00972C81">
        <w:rPr>
          <w:noProof/>
          <w:color w:val="000000"/>
          <w:lang w:eastAsia="fr-FR"/>
        </w:rPr>
        <w:t xml:space="preserve"> × </w:t>
      </w:r>
      <w:r w:rsidR="00DB3AC7" w:rsidRPr="00972C81">
        <w:rPr>
          <w:noProof/>
          <w:color w:val="000000"/>
          <w:lang w:eastAsia="fr-FR"/>
        </w:rPr>
        <w:t>10</w:t>
      </w:r>
      <w:r w:rsidR="00DB3AC7" w:rsidRPr="00972C81">
        <w:rPr>
          <w:noProof/>
          <w:color w:val="000000"/>
          <w:vertAlign w:val="superscript"/>
          <w:lang w:eastAsia="fr-FR"/>
        </w:rPr>
        <w:t>-3</w:t>
      </w:r>
      <w:r w:rsidR="00DB3AC7" w:rsidRPr="00972C81">
        <w:rPr>
          <w:noProof/>
          <w:color w:val="000000"/>
          <w:lang w:eastAsia="fr-FR"/>
        </w:rPr>
        <w:t xml:space="preserve"> for 3-month-old infants and 5</w:t>
      </w:r>
      <w:r w:rsidR="00067025" w:rsidRPr="00972C81">
        <w:rPr>
          <w:noProof/>
          <w:color w:val="000000"/>
          <w:lang w:eastAsia="fr-FR"/>
        </w:rPr>
        <w:t xml:space="preserve"> × </w:t>
      </w:r>
      <w:r w:rsidR="00DB3AC7" w:rsidRPr="00972C81">
        <w:rPr>
          <w:noProof/>
          <w:color w:val="000000"/>
          <w:lang w:eastAsia="fr-FR"/>
        </w:rPr>
        <w:t>10</w:t>
      </w:r>
      <w:r w:rsidR="00DB3AC7" w:rsidRPr="00972C81">
        <w:rPr>
          <w:noProof/>
          <w:color w:val="000000"/>
          <w:vertAlign w:val="superscript"/>
          <w:lang w:eastAsia="fr-FR"/>
        </w:rPr>
        <w:t>-4</w:t>
      </w:r>
      <w:r w:rsidR="00DB3AC7" w:rsidRPr="00972C81">
        <w:rPr>
          <w:noProof/>
          <w:color w:val="000000"/>
          <w:lang w:eastAsia="fr-FR"/>
        </w:rPr>
        <w:t xml:space="preserve"> for children of 1 year and older are therefore adopted here for curium as for thorium, neptunium, plutonium and americium.</w:t>
      </w:r>
    </w:p>
    <w:p w14:paraId="1BEA7091" w14:textId="77777777" w:rsidR="004836EE" w:rsidRPr="00972C81" w:rsidRDefault="004836EE" w:rsidP="00E81109">
      <w:pPr>
        <w:pStyle w:val="3"/>
        <w:rPr>
          <w:noProof/>
        </w:rPr>
      </w:pPr>
      <w:bookmarkStart w:id="362" w:name="_Toc162630119"/>
      <w:r w:rsidRPr="00972C81">
        <w:rPr>
          <w:noProof/>
        </w:rPr>
        <w:t>Systemic Distribution, Retention and Excretion</w:t>
      </w:r>
      <w:bookmarkEnd w:id="362"/>
    </w:p>
    <w:p w14:paraId="7CC20A23" w14:textId="77777777" w:rsidR="009A3613" w:rsidRPr="00972C81" w:rsidRDefault="009A3613" w:rsidP="006703A2">
      <w:pPr>
        <w:pStyle w:val="OIRTitre4"/>
      </w:pPr>
      <w:r w:rsidRPr="00972C81">
        <w:t>Summary of biokinetic data</w:t>
      </w:r>
    </w:p>
    <w:p w14:paraId="3B0BE81D" w14:textId="1599D1BD" w:rsidR="009A3613" w:rsidRPr="00972C81" w:rsidRDefault="009A3613" w:rsidP="001C4A92">
      <w:pPr>
        <w:pStyle w:val="Annalstext"/>
        <w:rPr>
          <w:noProof/>
        </w:rPr>
      </w:pPr>
      <w:r w:rsidRPr="00972C81">
        <w:rPr>
          <w:noProof/>
        </w:rPr>
        <w:t xml:space="preserve">In five healthy human subjects administered </w:t>
      </w:r>
      <w:r w:rsidRPr="00972C81">
        <w:rPr>
          <w:noProof/>
          <w:vertAlign w:val="superscript"/>
        </w:rPr>
        <w:t>242</w:t>
      </w:r>
      <w:r w:rsidRPr="00972C81">
        <w:rPr>
          <w:noProof/>
        </w:rPr>
        <w:t>Cm by intravenous injection, urinary excretion accounted for 4.5</w:t>
      </w:r>
      <w:r w:rsidR="00084C42" w:rsidRPr="00FE17F7">
        <w:t>–</w:t>
      </w:r>
      <w:r w:rsidRPr="00972C81">
        <w:rPr>
          <w:noProof/>
        </w:rPr>
        <w:t>6% of the injected amount during the first day and 7</w:t>
      </w:r>
      <w:r w:rsidR="00084C42" w:rsidRPr="00FE17F7">
        <w:t>–</w:t>
      </w:r>
      <w:r w:rsidRPr="00972C81">
        <w:rPr>
          <w:noProof/>
        </w:rPr>
        <w:t xml:space="preserve">10% during the first week after injection </w:t>
      </w:r>
      <w:r w:rsidR="0009661D" w:rsidRPr="00972C81">
        <w:rPr>
          <w:noProof/>
        </w:rPr>
        <w:fldChar w:fldCharType="begin"/>
      </w:r>
      <w:r w:rsidR="0091689A" w:rsidRPr="00972C81">
        <w:rPr>
          <w:noProof/>
        </w:rPr>
        <w:instrText xml:space="preserve"> ADDIN ZOTERO_ITEM CSL_CITATION {"citationID":"a156ke7vrmm","properties":{"formattedCitation":"(Popplewell et al., 1991)","plainCitation":"(Popplewell et al., 1991)","noteIndex":0},"citationItems":[{"id":5062,"uris":["http://zotero.org/groups/2470620/items/6NIVAIKZ"],"itemData":{"id":5062,"type":"article-journal","abstract":"The gastrointestinal absorption of Np and Cm has been determined in five male adult volunteers. The Np and Cm, which were in citrate solution, were taken with food. An initial experiment with each individual determined the fraction of each element excreted in the urine following intravenous administration. Subsequently, the results for urinary excretion for the two routes of administration were used to calculate the fractional absorption (f1) of ingested Np and Cm. The mean f1 values were: Np (2.0 +/- 0.2) X 10(-4), range (1.2-2.9) X 10(-4), and Cm (1.7 +/- 0.3) X 10(-4), range (0.95-3.0) X 10(-4), the quoted uncertainties being the standard error of the means. Currently, the International Commission on Radiological Protection recommends a value of 10(-3) for both elements. Cumulative urinary excretion over 1 wk after intravenous injection accounted for about 20%-40% of administered Np and 7%-10% of Cm. At the conclusion of the experiment, the total committed effective dose equivalent for each volunteer was calculated to be in the range 130-250 microSv, based on the individual f1 values, and, in some cases, a knowledge of the rate of clearance of 239Np through the gut as measured by whole-body counting.","container-title":"Health Physics","DOI":"10.1097/00004032-199106000-00005","ISSN":"0017-9078","issue":"6","journalAbbreviation":"Health Phys","language":"eng","note":"PMID: 2032834","page":"797-805","source":"PubMed","title":"Gastrointestinal absorption of neptunium and curium in humans","volume":"60","author":[{"family":"Popplewell","given":"D. S."},{"family":"Harrison","given":"J. D."},{"family":"Ham","given":"G. J."}],"issued":{"date-parts":[["1991",6]]}}}],"schema":"https://github.com/citation-style-language/schema/raw/master/csl-citation.json"} </w:instrText>
      </w:r>
      <w:r w:rsidR="0009661D" w:rsidRPr="00972C81">
        <w:rPr>
          <w:noProof/>
        </w:rPr>
        <w:fldChar w:fldCharType="separate"/>
      </w:r>
      <w:r w:rsidR="0091689A" w:rsidRPr="00972C81">
        <w:rPr>
          <w:noProof/>
          <w:szCs w:val="24"/>
        </w:rPr>
        <w:t>(Popplewell et al., 1991)</w:t>
      </w:r>
      <w:r w:rsidR="0009661D" w:rsidRPr="00972C81">
        <w:rPr>
          <w:noProof/>
        </w:rPr>
        <w:fldChar w:fldCharType="end"/>
      </w:r>
      <w:r w:rsidRPr="00972C81">
        <w:rPr>
          <w:noProof/>
        </w:rPr>
        <w:t xml:space="preserve">. Similar urinary excretion rates during these time periods were observed in baboons </w:t>
      </w:r>
      <w:r w:rsidR="0009661D" w:rsidRPr="00972C81">
        <w:rPr>
          <w:noProof/>
        </w:rPr>
        <w:fldChar w:fldCharType="begin"/>
      </w:r>
      <w:r w:rsidR="0091689A" w:rsidRPr="00972C81">
        <w:rPr>
          <w:noProof/>
        </w:rPr>
        <w:instrText xml:space="preserve"> ADDIN ZOTERO_ITEM CSL_CITATION {"citationID":"ap6204t8es","properties":{"formattedCitation":"(Lo Sasso et al., 1981)","plainCitation":"(Lo Sasso et al., 1981)","noteIndex":0},"citationItems":[{"id":5235,"uris":["http://zotero.org/groups/2470620/items/CHHALEGA"],"itemData":{"id":5235,"type":"article-journal","container-title":"Radiation Research","ISSN":"0033-7587","issue":"1","journalAbbreviation":"Radiat Res","language":"eng","note":"PMID: 7465773","page":"173-183","source":"PubMed","title":"Distribution and retention of 243,244Cm in the adult baboon","volume":"85","author":[{"family":"Lo Sasso","given":"T."},{"family":"Cohen","given":"N."},{"family":"Wrenn","given":"M. E."}],"issued":{"date-parts":[["1981",1]]}}}],"schema":"https://github.com/citation-style-language/schema/raw/master/csl-citation.json"} </w:instrText>
      </w:r>
      <w:r w:rsidR="0009661D" w:rsidRPr="00972C81">
        <w:rPr>
          <w:noProof/>
        </w:rPr>
        <w:fldChar w:fldCharType="separate"/>
      </w:r>
      <w:r w:rsidR="0091689A" w:rsidRPr="00972C81">
        <w:rPr>
          <w:noProof/>
          <w:szCs w:val="24"/>
        </w:rPr>
        <w:t>(Lo Sasso et al., 1981)</w:t>
      </w:r>
      <w:r w:rsidR="0009661D" w:rsidRPr="00972C81">
        <w:rPr>
          <w:noProof/>
        </w:rPr>
        <w:fldChar w:fldCharType="end"/>
      </w:r>
      <w:r w:rsidRPr="00972C81">
        <w:rPr>
          <w:noProof/>
        </w:rPr>
        <w:t xml:space="preserve"> and beagles </w:t>
      </w:r>
      <w:r w:rsidR="00B456C1" w:rsidRPr="00972C81">
        <w:rPr>
          <w:noProof/>
        </w:rPr>
        <w:fldChar w:fldCharType="begin"/>
      </w:r>
      <w:r w:rsidR="0091689A" w:rsidRPr="00972C81">
        <w:rPr>
          <w:noProof/>
        </w:rPr>
        <w:instrText xml:space="preserve"> ADDIN ZOTERO_ITEM CSL_CITATION {"citationID":"a1npsfnlu97","properties":{"formattedCitation":"(Lloyd et al., 1974)","plainCitation":"(Lloyd et al., 1974)","noteIndex":0},"citationItems":[{"id":5212,"uris":["http://zotero.org/groups/2470620/items/HFGKHQYJ"],"itemData":{"id":5212,"type":"article-journal","container-title":"Health Physics","DOI":"10.1097/00004032-197407000-00008","ISSN":"0017-9078","issue":"1","journalAbbreviation":"Health Phys","language":"eng","note":"PMID: 4430633","page":"61-67","source":"PubMed","title":"The early excretion, retention and distribution of injected curium citrate in beagles","volume":"27","author":[{"family":"Lloyd","given":"R. D."},{"family":"Atherton","given":"D. R."},{"family":"Mays","given":"C. W."},{"family":"McFarland","given":"S. S."},{"family":"Williams","given":"J. L."}],"issued":{"date-parts":[["1974",7]]}}}],"schema":"https://github.com/citation-style-language/schema/raw/master/csl-citation.json"} </w:instrText>
      </w:r>
      <w:r w:rsidR="00B456C1" w:rsidRPr="00972C81">
        <w:rPr>
          <w:noProof/>
        </w:rPr>
        <w:fldChar w:fldCharType="separate"/>
      </w:r>
      <w:r w:rsidR="0091689A" w:rsidRPr="00972C81">
        <w:rPr>
          <w:noProof/>
          <w:szCs w:val="24"/>
        </w:rPr>
        <w:t>(Lloyd et al., 1974)</w:t>
      </w:r>
      <w:r w:rsidR="00B456C1" w:rsidRPr="00972C81">
        <w:rPr>
          <w:noProof/>
        </w:rPr>
        <w:fldChar w:fldCharType="end"/>
      </w:r>
      <w:r w:rsidRPr="00972C81">
        <w:rPr>
          <w:noProof/>
        </w:rPr>
        <w:t xml:space="preserve"> injected with curium isotopes. </w:t>
      </w:r>
    </w:p>
    <w:p w14:paraId="3A176130" w14:textId="56B660FD" w:rsidR="009A3613" w:rsidRPr="00972C81" w:rsidRDefault="009A3613" w:rsidP="001C4A92">
      <w:pPr>
        <w:pStyle w:val="Annalstext"/>
        <w:rPr>
          <w:noProof/>
        </w:rPr>
      </w:pPr>
      <w:r w:rsidRPr="00972C81">
        <w:rPr>
          <w:noProof/>
        </w:rPr>
        <w:t xml:space="preserve">The rate of urinary excretion of </w:t>
      </w:r>
      <w:r w:rsidRPr="00972C81">
        <w:rPr>
          <w:noProof/>
          <w:vertAlign w:val="superscript"/>
        </w:rPr>
        <w:t>244</w:t>
      </w:r>
      <w:r w:rsidRPr="00972C81">
        <w:rPr>
          <w:noProof/>
        </w:rPr>
        <w:t xml:space="preserve">Cm was determined over ~5 mo in two workers who were exposed at different times to acidic solutions of </w:t>
      </w:r>
      <w:r w:rsidRPr="00972C81">
        <w:rPr>
          <w:noProof/>
          <w:vertAlign w:val="superscript"/>
        </w:rPr>
        <w:t>244</w:t>
      </w:r>
      <w:r w:rsidRPr="00972C81">
        <w:rPr>
          <w:noProof/>
        </w:rPr>
        <w:t>Cm(NO</w:t>
      </w:r>
      <w:r w:rsidRPr="00972C81">
        <w:rPr>
          <w:noProof/>
          <w:vertAlign w:val="subscript"/>
        </w:rPr>
        <w:t>3</w:t>
      </w:r>
      <w:r w:rsidRPr="00972C81">
        <w:rPr>
          <w:noProof/>
        </w:rPr>
        <w:t>)</w:t>
      </w:r>
      <w:r w:rsidRPr="00972C81">
        <w:rPr>
          <w:noProof/>
          <w:vertAlign w:val="subscript"/>
        </w:rPr>
        <w:t>3</w:t>
      </w:r>
      <w:r w:rsidRPr="00972C81">
        <w:rPr>
          <w:noProof/>
        </w:rPr>
        <w:t xml:space="preserve">, one by puncture wound and the other by acid burn of the skin </w:t>
      </w:r>
      <w:r w:rsidR="00B456C1" w:rsidRPr="00972C81">
        <w:rPr>
          <w:noProof/>
        </w:rPr>
        <w:fldChar w:fldCharType="begin"/>
      </w:r>
      <w:r w:rsidR="0091689A" w:rsidRPr="00972C81">
        <w:rPr>
          <w:noProof/>
        </w:rPr>
        <w:instrText xml:space="preserve"> ADDIN ZOTERO_ITEM CSL_CITATION {"citationID":"ar4kt2r2ls","properties":{"formattedCitation":"(Parkinson et al., 1976)","plainCitation":"(Parkinson et al., 1976)","noteIndex":0},"citationItems":[{"id":5237,"uris":["http://zotero.org/groups/2470620/items/83I9EZDQ"],"itemData":{"id":5237,"type":"report","source":"Google Scholar","title":"Evaluation of two cases of 244 Cm inhalation","URL":"https://inis.iaea.org/search/search.aspx?orig_q=RN:20011643","author":[{"family":"Parkinson","given":"W. W."},{"family":"Henley","given":"L. C."},{"family":"Goans","given":"R. E."},{"family":"Good","given":"W. M."}],"accessed":{"date-parts":[["2023",10,2]]},"issued":{"date-parts":[["1976"]]}}}],"schema":"https://github.com/citation-style-language/schema/raw/master/csl-citation.json"} </w:instrText>
      </w:r>
      <w:r w:rsidR="00B456C1" w:rsidRPr="00972C81">
        <w:rPr>
          <w:noProof/>
        </w:rPr>
        <w:fldChar w:fldCharType="separate"/>
      </w:r>
      <w:r w:rsidR="0091689A" w:rsidRPr="00972C81">
        <w:rPr>
          <w:noProof/>
          <w:szCs w:val="24"/>
        </w:rPr>
        <w:t>(Parkinson et al., 1976)</w:t>
      </w:r>
      <w:r w:rsidR="00B456C1" w:rsidRPr="00972C81">
        <w:rPr>
          <w:noProof/>
        </w:rPr>
        <w:fldChar w:fldCharType="end"/>
      </w:r>
      <w:r w:rsidR="00B456C1" w:rsidRPr="00972C81">
        <w:rPr>
          <w:noProof/>
        </w:rPr>
        <w:t>.</w:t>
      </w:r>
      <w:r w:rsidRPr="00972C81">
        <w:rPr>
          <w:noProof/>
        </w:rPr>
        <w:t xml:space="preserve"> The two subjects showed similar relative urinary excretion rates during this period. The rate of decline of urinary curium during the first week after exposure was similar to that determined in the human injection study by Popplewell et al. </w:t>
      </w:r>
      <w:r w:rsidR="00B456C1" w:rsidRPr="00972C81">
        <w:rPr>
          <w:noProof/>
        </w:rPr>
        <w:fldChar w:fldCharType="begin"/>
      </w:r>
      <w:r w:rsidR="0091689A" w:rsidRPr="00972C81">
        <w:rPr>
          <w:noProof/>
        </w:rPr>
        <w:instrText xml:space="preserve"> ADDIN ZOTERO_ITEM CSL_CITATION {"citationID":"tlhfu62k","properties":{"formattedCitation":"(1991)","plainCitation":"(1991)","noteIndex":0},"citationItems":[{"id":5062,"uris":["http://zotero.org/groups/2470620/items/6NIVAIKZ"],"itemData":{"id":5062,"type":"article-journal","abstract":"The gastrointestinal absorption of Np and Cm has been determined in five male adult volunteers. The Np and Cm, which were in citrate solution, were taken with food. An initial experiment with each individual determined the fraction of each element excreted in the urine following intravenous administration. Subsequently, the results for urinary excretion for the two routes of administration were used to calculate the fractional absorption (f1) of ingested Np and Cm. The mean f1 values were: Np (2.0 +/- 0.2) X 10(-4), range (1.2-2.9) X 10(-4), and Cm (1.7 +/- 0.3) X 10(-4), range (0.95-3.0) X 10(-4), the quoted uncertainties being the standard error of the means. Currently, the International Commission on Radiological Protection recommends a value of 10(-3) for both elements. Cumulative urinary excretion over 1 wk after intravenous injection accounted for about 20%-40% of administered Np and 7%-10% of Cm. At the conclusion of the experiment, the total committed effective dose equivalent for each volunteer was calculated to be in the range 130-250 microSv, based on the individual f1 values, and, in some cases, a knowledge of the rate of clearance of 239Np through the gut as measured by whole-body counting.","container-title":"Health Physics","DOI":"10.1097/00004032-199106000-00005","ISSN":"0017-9078","issue":"6","journalAbbreviation":"Health Phys","language":"eng","note":"PMID: 2032834","page":"797-805","source":"PubMed","title":"Gastrointestinal absorption of neptunium and curium in humans","volume":"60","author":[{"family":"Popplewell","given":"D. S."},{"family":"Harrison","given":"J. D."},{"family":"Ham","given":"G. J."}],"issued":{"date-parts":[["1991",6]]}},"label":"page","suppress-author":true}],"schema":"https://github.com/citation-style-language/schema/raw/master/csl-citation.json"} </w:instrText>
      </w:r>
      <w:r w:rsidR="00B456C1" w:rsidRPr="00972C81">
        <w:rPr>
          <w:noProof/>
        </w:rPr>
        <w:fldChar w:fldCharType="separate"/>
      </w:r>
      <w:r w:rsidR="0091689A" w:rsidRPr="00972C81">
        <w:rPr>
          <w:noProof/>
          <w:szCs w:val="24"/>
        </w:rPr>
        <w:t>(1991)</w:t>
      </w:r>
      <w:r w:rsidR="00B456C1" w:rsidRPr="00972C81">
        <w:rPr>
          <w:noProof/>
        </w:rPr>
        <w:fldChar w:fldCharType="end"/>
      </w:r>
      <w:r w:rsidRPr="00972C81">
        <w:rPr>
          <w:noProof/>
        </w:rPr>
        <w:t>.</w:t>
      </w:r>
    </w:p>
    <w:p w14:paraId="29A615B5" w14:textId="412BDA07" w:rsidR="009A3613" w:rsidRPr="00972C81" w:rsidRDefault="009A3613" w:rsidP="001C4A92">
      <w:pPr>
        <w:pStyle w:val="Annalstext"/>
        <w:rPr>
          <w:noProof/>
        </w:rPr>
      </w:pPr>
      <w:r w:rsidRPr="00972C81">
        <w:rPr>
          <w:noProof/>
        </w:rPr>
        <w:t xml:space="preserve">In biokinetic studies of the behaviour of curium in laboratory animals a substantial portion of the injected or absorbed curium deposited in the liver and skeleton, and biological removal from the body was slow. In beagles receiving </w:t>
      </w:r>
      <w:r w:rsidRPr="00972C81">
        <w:rPr>
          <w:noProof/>
          <w:vertAlign w:val="superscript"/>
        </w:rPr>
        <w:t>243,244</w:t>
      </w:r>
      <w:r w:rsidRPr="00972C81">
        <w:rPr>
          <w:noProof/>
        </w:rPr>
        <w:t xml:space="preserve">Cm citrate by intravenous injection, ~35% of injected curium was found in the liver and ~53% in non-liver tissues, mainly skeleton, at 1 wk after injection </w:t>
      </w:r>
      <w:r w:rsidR="00B456C1" w:rsidRPr="00972C81">
        <w:rPr>
          <w:noProof/>
        </w:rPr>
        <w:fldChar w:fldCharType="begin"/>
      </w:r>
      <w:r w:rsidR="0091689A" w:rsidRPr="00972C81">
        <w:rPr>
          <w:noProof/>
        </w:rPr>
        <w:instrText xml:space="preserve"> ADDIN ZOTERO_ITEM CSL_CITATION {"citationID":"ZqYAmLK7","properties":{"formattedCitation":"(Lloyd et al., 1974)","plainCitation":"(Lloyd et al., 1974)","noteIndex":0},"citationItems":[{"id":5212,"uris":["http://zotero.org/groups/2470620/items/HFGKHQYJ"],"itemData":{"id":5212,"type":"article-journal","container-title":"Health Physics","DOI":"10.1097/00004032-197407000-00008","ISSN":"0017-9078","issue":"1","journalAbbreviation":"Health Phys","language":"eng","note":"PMID: 4430633","page":"61-67","source":"PubMed","title":"The early excretion, retention and distribution of injected curium citrate in beagles","volume":"27","author":[{"family":"Lloyd","given":"R. D."},{"family":"Atherton","given":"D. R."},{"family":"Mays","given":"C. W."},{"family":"McFarland","given":"S. S."},{"family":"Williams","given":"J. L."}],"issued":{"date-parts":[["1974",7]]}}}],"schema":"https://github.com/citation-style-language/schema/raw/master/csl-citation.json"} </w:instrText>
      </w:r>
      <w:r w:rsidR="00B456C1" w:rsidRPr="00972C81">
        <w:rPr>
          <w:noProof/>
        </w:rPr>
        <w:fldChar w:fldCharType="separate"/>
      </w:r>
      <w:r w:rsidR="0091689A" w:rsidRPr="00972C81">
        <w:rPr>
          <w:noProof/>
          <w:szCs w:val="24"/>
        </w:rPr>
        <w:t>(Lloyd et al., 1974)</w:t>
      </w:r>
      <w:r w:rsidR="00B456C1" w:rsidRPr="00972C81">
        <w:rPr>
          <w:noProof/>
        </w:rPr>
        <w:fldChar w:fldCharType="end"/>
      </w:r>
      <w:r w:rsidRPr="00972C81">
        <w:rPr>
          <w:noProof/>
        </w:rPr>
        <w:t xml:space="preserve">. In beagles exposed to aerosols of </w:t>
      </w:r>
      <w:r w:rsidRPr="00972C81">
        <w:rPr>
          <w:noProof/>
          <w:vertAlign w:val="superscript"/>
        </w:rPr>
        <w:t>244</w:t>
      </w:r>
      <w:r w:rsidRPr="00972C81">
        <w:rPr>
          <w:noProof/>
        </w:rPr>
        <w:t>CmCl</w:t>
      </w:r>
      <w:r w:rsidRPr="00972C81">
        <w:rPr>
          <w:noProof/>
          <w:vertAlign w:val="subscript"/>
        </w:rPr>
        <w:t>3</w:t>
      </w:r>
      <w:r w:rsidRPr="00972C81">
        <w:rPr>
          <w:noProof/>
        </w:rPr>
        <w:t xml:space="preserve"> or </w:t>
      </w:r>
      <w:r w:rsidRPr="00972C81">
        <w:rPr>
          <w:noProof/>
          <w:vertAlign w:val="superscript"/>
        </w:rPr>
        <w:t>244</w:t>
      </w:r>
      <w:r w:rsidRPr="00972C81">
        <w:rPr>
          <w:noProof/>
        </w:rPr>
        <w:t>CmO</w:t>
      </w:r>
      <w:r w:rsidRPr="00972C81">
        <w:rPr>
          <w:noProof/>
          <w:vertAlign w:val="subscript"/>
        </w:rPr>
        <w:t>1.73</w:t>
      </w:r>
      <w:r w:rsidRPr="00972C81">
        <w:rPr>
          <w:noProof/>
        </w:rPr>
        <w:t xml:space="preserve">, the liver and skeleton contained approximately 30% and 45%, respectively, of the initial lung burden at 256 days after inhalation </w:t>
      </w:r>
      <w:r w:rsidR="00B456C1" w:rsidRPr="00972C81">
        <w:rPr>
          <w:noProof/>
        </w:rPr>
        <w:fldChar w:fldCharType="begin"/>
      </w:r>
      <w:r w:rsidR="0091689A" w:rsidRPr="00972C81">
        <w:rPr>
          <w:noProof/>
        </w:rPr>
        <w:instrText xml:space="preserve"> ADDIN ZOTERO_ITEM CSL_CITATION {"citationID":"a207ngai2na","properties":{"formattedCitation":"(McClellan et al., 1972)","plainCitation":"(McClellan et al., 1972)","noteIndex":0},"citationItems":[{"id":5238,"uris":["http://zotero.org/groups/2470620/items/2QRDFZKZ"],"itemData":{"id":5238,"type":"article-journal","abstract":"Twenty-four Beagle dogs were exposed to aerosols of 244CmCl3-CsCl (AM AD ~ 1.6 /im) or 244Cm01.73 (AMAD ~0.5 μm) and sacrificed at 0.1, 2, 8, 16, 64, 128 or 256 days post-inhalation exposure. Total body deposition was greatest for the dogs exposed to the aerosol with the larger AMAD (64 vs 35%). Lung deposition was only slightly greater for the dogs exposed to the aerosol with the largest AMAD (33 vs 27%). Curium-244 not deposited in the lungs was cleared rapidly via the feces. Urinary clearance of244Cm was similar for dogs exposed to the two forms of aerosol. Likewise, the tissue retention pattern was generally similar for the two aerosols with244Cm being translocated relatively rapidly from lung to skeleton and liver such that by 256 days post-inhalation exposure lung, liver and skeleton contained ≈3% ≈30% and ≈45%, respectively, of the initial lung burden. The similar metabolic behavior of the two forms of inhaled 214Cm with relatively rapid translocation from lung to skeleton and liver contrasts sharply with the metabolic behavior of several forms of inhaled Pu which were retained more tenaciously in lung with distinct differences in lung retention related to the form of Pu inhaled. These differences strongly indicate the need to base radiation protection guides for Cm on actual Cm metabolic data and suggest that the establishment of guides for Cm based on extrapolation from Pu metabolic data may be inappropriate. © 1972 Health Physics Society.","archive":"Scopus","container-title":"Health Physics","DOI":"10.1097/00004032-197206000-00053","issue":"6","page":"877-885","source":"Scopus","title":"Retention and distribution of 244Cm following inhalation of 244CmCl3 and 244CmO1.73 by beagle dogs","volume":"22","author":[{"family":"McClellan","given":"R.O."},{"family":"Boyd","given":"H.A."},{"family":"Gallegos","given":"A.F."},{"family":"Thomas","given":"R.G."}],"issued":{"date-parts":[["1972"]]}},"label":"page"}],"schema":"https://github.com/citation-style-language/schema/raw/master/csl-citation.json"} </w:instrText>
      </w:r>
      <w:r w:rsidR="00B456C1" w:rsidRPr="00972C81">
        <w:rPr>
          <w:noProof/>
        </w:rPr>
        <w:fldChar w:fldCharType="separate"/>
      </w:r>
      <w:r w:rsidR="0091689A" w:rsidRPr="00972C81">
        <w:rPr>
          <w:noProof/>
          <w:szCs w:val="24"/>
        </w:rPr>
        <w:t>(McClellan et al., 1972)</w:t>
      </w:r>
      <w:r w:rsidR="00B456C1" w:rsidRPr="00972C81">
        <w:rPr>
          <w:noProof/>
        </w:rPr>
        <w:fldChar w:fldCharType="end"/>
      </w:r>
      <w:r w:rsidRPr="00972C81">
        <w:rPr>
          <w:noProof/>
        </w:rPr>
        <w:t xml:space="preserve">. These data suggest relatively long retention of curium in the liver and skeleton. In another study of beagles exposed by inhalation to </w:t>
      </w:r>
      <w:r w:rsidRPr="00972C81">
        <w:rPr>
          <w:noProof/>
          <w:vertAlign w:val="superscript"/>
        </w:rPr>
        <w:t>244</w:t>
      </w:r>
      <w:r w:rsidRPr="00972C81">
        <w:rPr>
          <w:noProof/>
        </w:rPr>
        <w:t>CmO</w:t>
      </w:r>
      <w:r w:rsidRPr="00972C81">
        <w:rPr>
          <w:noProof/>
          <w:vertAlign w:val="subscript"/>
        </w:rPr>
        <w:t>X</w:t>
      </w:r>
      <w:r w:rsidRPr="00972C81">
        <w:rPr>
          <w:noProof/>
        </w:rPr>
        <w:t xml:space="preserve">, the liver contained ~44% and the skeleton ~33% of systemic </w:t>
      </w:r>
      <w:r w:rsidRPr="00972C81">
        <w:rPr>
          <w:noProof/>
          <w:vertAlign w:val="superscript"/>
        </w:rPr>
        <w:t>244</w:t>
      </w:r>
      <w:r w:rsidRPr="00972C81">
        <w:rPr>
          <w:noProof/>
        </w:rPr>
        <w:t xml:space="preserve">Cm at 270 d after inhalation </w:t>
      </w:r>
      <w:r w:rsidR="00B456C1" w:rsidRPr="00972C81">
        <w:rPr>
          <w:noProof/>
        </w:rPr>
        <w:fldChar w:fldCharType="begin"/>
      </w:r>
      <w:r w:rsidR="0091689A" w:rsidRPr="00972C81">
        <w:rPr>
          <w:noProof/>
        </w:rPr>
        <w:instrText xml:space="preserve"> ADDIN ZOTERO_ITEM CSL_CITATION {"citationID":"a8h4r9g3bk","properties":{"formattedCitation":"(Craig et al., 1976)","plainCitation":"(Craig et al., 1976)","noteIndex":0},"citationItems":[{"id":5241,"uris":["http://zotero.org/groups/2470620/items/CW2SN2GH"],"itemData":{"id":5241,"type":"report","event-place":"Richland, Washington","number":"BNWL–2000 Part 1, Biomedical Sciences","publisher":"Available from National Technical Information Service, Springfield, Virginia","publisher-place":"Richland, Washington","source":"Google Scholar","title":"Distribution of 241Am and 244Cm in dogs after inhalation of the oxides","URL":"https://inis.iaea.org/search/search.aspx?orig_q=RN:7268459","author":[{"family":"Craig","given":"D. K."},{"family":"Cannon","given":"W. C."},{"family":"Catt","given":"D. L."},{"family":"Herring","given":"J. P."},{"family":"Park","given":"J. F."},{"family":"Powers","given":"G. J."},{"family":"Watson","given":"C. R."}],"accessed":{"date-parts":[["2023",10,2]]},"issued":{"date-parts":[["1976"]]}}}],"schema":"https://github.com/citation-style-language/schema/raw/master/csl-citation.json"} </w:instrText>
      </w:r>
      <w:r w:rsidR="00B456C1" w:rsidRPr="00972C81">
        <w:rPr>
          <w:noProof/>
        </w:rPr>
        <w:fldChar w:fldCharType="separate"/>
      </w:r>
      <w:r w:rsidR="0091689A" w:rsidRPr="00972C81">
        <w:rPr>
          <w:noProof/>
          <w:szCs w:val="24"/>
        </w:rPr>
        <w:t>(Craig et al., 1976)</w:t>
      </w:r>
      <w:r w:rsidR="00B456C1" w:rsidRPr="00972C81">
        <w:rPr>
          <w:noProof/>
        </w:rPr>
        <w:fldChar w:fldCharType="end"/>
      </w:r>
      <w:r w:rsidRPr="00972C81">
        <w:rPr>
          <w:noProof/>
        </w:rPr>
        <w:t xml:space="preserve">. In baboons receiving </w:t>
      </w:r>
      <w:r w:rsidRPr="00972C81">
        <w:rPr>
          <w:noProof/>
          <w:vertAlign w:val="superscript"/>
        </w:rPr>
        <w:t>243,244</w:t>
      </w:r>
      <w:r w:rsidRPr="00972C81">
        <w:rPr>
          <w:noProof/>
        </w:rPr>
        <w:t xml:space="preserve">Cm citrate by </w:t>
      </w:r>
      <w:r w:rsidRPr="00972C81">
        <w:rPr>
          <w:noProof/>
        </w:rPr>
        <w:lastRenderedPageBreak/>
        <w:t xml:space="preserve">intravenous injection, ~20% of injected curium deposited in the liver and ~60% in the skeleton </w:t>
      </w:r>
      <w:r w:rsidR="00952D8D" w:rsidRPr="00972C81">
        <w:rPr>
          <w:noProof/>
        </w:rPr>
        <w:fldChar w:fldCharType="begin"/>
      </w:r>
      <w:r w:rsidR="0091689A" w:rsidRPr="00972C81">
        <w:rPr>
          <w:noProof/>
        </w:rPr>
        <w:instrText xml:space="preserve"> ADDIN ZOTERO_ITEM CSL_CITATION {"citationID":"1yzVjmWC","properties":{"formattedCitation":"(Lo Sasso et al., 1981)","plainCitation":"(Lo Sasso et al., 1981)","noteIndex":0},"citationItems":[{"id":5235,"uris":["http://zotero.org/groups/2470620/items/CHHALEGA"],"itemData":{"id":5235,"type":"article-journal","container-title":"Radiation Research","ISSN":"0033-7587","issue":"1","journalAbbreviation":"Radiat Res","language":"eng","note":"PMID: 7465773","page":"173-183","source":"PubMed","title":"Distribution and retention of 243,244Cm in the adult baboon","volume":"85","author":[{"family":"Lo Sasso","given":"T."},{"family":"Cohen","given":"N."},{"family":"Wrenn","given":"M. E."}],"issued":{"date-parts":[["1981",1]]}}}],"schema":"https://github.com/citation-style-language/schema/raw/master/csl-citation.json"} </w:instrText>
      </w:r>
      <w:r w:rsidR="00952D8D" w:rsidRPr="00972C81">
        <w:rPr>
          <w:noProof/>
        </w:rPr>
        <w:fldChar w:fldCharType="separate"/>
      </w:r>
      <w:r w:rsidR="0091689A" w:rsidRPr="00972C81">
        <w:rPr>
          <w:noProof/>
          <w:szCs w:val="24"/>
        </w:rPr>
        <w:t>(Lo Sasso et al., 1981)</w:t>
      </w:r>
      <w:r w:rsidR="00952D8D" w:rsidRPr="00972C81">
        <w:rPr>
          <w:noProof/>
        </w:rPr>
        <w:fldChar w:fldCharType="end"/>
      </w:r>
      <w:r w:rsidRPr="00972C81">
        <w:rPr>
          <w:noProof/>
        </w:rPr>
        <w:t>.</w:t>
      </w:r>
    </w:p>
    <w:p w14:paraId="60E5E927" w14:textId="467A86BA" w:rsidR="009A3613" w:rsidRPr="00972C81" w:rsidRDefault="009A3613" w:rsidP="001C4A92">
      <w:pPr>
        <w:pStyle w:val="Annalstext"/>
        <w:rPr>
          <w:noProof/>
        </w:rPr>
      </w:pPr>
      <w:r w:rsidRPr="00972C81">
        <w:rPr>
          <w:noProof/>
        </w:rPr>
        <w:t xml:space="preserve">Curium is tenaciously retained in the skeleton. The rate of loss of curium from the liver is species dependent, with half-times of a few days in rats </w:t>
      </w:r>
      <w:r w:rsidR="00952D8D" w:rsidRPr="00972C81">
        <w:rPr>
          <w:noProof/>
        </w:rPr>
        <w:fldChar w:fldCharType="begin"/>
      </w:r>
      <w:r w:rsidR="0091689A" w:rsidRPr="00972C81">
        <w:rPr>
          <w:noProof/>
        </w:rPr>
        <w:instrText xml:space="preserve"> ADDIN ZOTERO_ITEM CSL_CITATION {"citationID":"a2es9d7k5nj","properties":{"formattedCitation":"(Durbin, 1973)","plainCitation":"(Durbin, 1973)","noteIndex":0},"citationItems":[{"id":4804,"uris":["http://zotero.org/groups/2470620/items/8DP7GNID"],"itemData":{"id":4804,"type":"chapter","container-title":"Uranium· Plutonium Transplutonic Elements","event-place":"Berlin","page":"739–896","publisher":"Springer","publisher-place":"Berlin","source":"Google Scholar","title":"Metabolism and biological effects of the transplutonium elements","author":[{"family":"Durbin","given":"Patricia W."}],"editor":[{"family":"Hodge","given":"H.C."},{"family":"Stannard","given":"J.N.J."},{"family":"Hursh","given":"J.B."}],"issued":{"date-parts":[["1973"]]}}}],"schema":"https://github.com/citation-style-language/schema/raw/master/csl-citation.json"} </w:instrText>
      </w:r>
      <w:r w:rsidR="00952D8D" w:rsidRPr="00972C81">
        <w:rPr>
          <w:noProof/>
        </w:rPr>
        <w:fldChar w:fldCharType="separate"/>
      </w:r>
      <w:r w:rsidR="0091689A" w:rsidRPr="00972C81">
        <w:rPr>
          <w:noProof/>
          <w:szCs w:val="24"/>
        </w:rPr>
        <w:t>(Durbin, 1973)</w:t>
      </w:r>
      <w:r w:rsidR="00952D8D" w:rsidRPr="00972C81">
        <w:rPr>
          <w:noProof/>
        </w:rPr>
        <w:fldChar w:fldCharType="end"/>
      </w:r>
      <w:r w:rsidRPr="00972C81">
        <w:rPr>
          <w:noProof/>
        </w:rPr>
        <w:t xml:space="preserve"> and a few weeks in baboons </w:t>
      </w:r>
      <w:r w:rsidR="00952D8D" w:rsidRPr="00972C81">
        <w:rPr>
          <w:noProof/>
        </w:rPr>
        <w:fldChar w:fldCharType="begin"/>
      </w:r>
      <w:r w:rsidR="0091689A" w:rsidRPr="00972C81">
        <w:rPr>
          <w:noProof/>
        </w:rPr>
        <w:instrText xml:space="preserve"> ADDIN ZOTERO_ITEM CSL_CITATION {"citationID":"PtSNnloi","properties":{"formattedCitation":"(Lo Sasso et al., 1981)","plainCitation":"(Lo Sasso et al., 1981)","noteIndex":0},"citationItems":[{"id":5235,"uris":["http://zotero.org/groups/2470620/items/CHHALEGA"],"itemData":{"id":5235,"type":"article-journal","container-title":"Radiation Research","ISSN":"0033-7587","issue":"1","journalAbbreviation":"Radiat Res","language":"eng","note":"PMID: 7465773","page":"173-183","source":"PubMed","title":"Distribution and retention of 243,244Cm in the adult baboon","volume":"85","author":[{"family":"Lo Sasso","given":"T."},{"family":"Cohen","given":"N."},{"family":"Wrenn","given":"M. E."}],"issued":{"date-parts":[["1981",1]]}}}],"schema":"https://github.com/citation-style-language/schema/raw/master/csl-citation.json"} </w:instrText>
      </w:r>
      <w:r w:rsidR="00952D8D" w:rsidRPr="00972C81">
        <w:rPr>
          <w:noProof/>
        </w:rPr>
        <w:fldChar w:fldCharType="separate"/>
      </w:r>
      <w:r w:rsidR="0091689A" w:rsidRPr="00972C81">
        <w:rPr>
          <w:noProof/>
          <w:szCs w:val="24"/>
        </w:rPr>
        <w:t>(Lo Sasso et al., 1981)</w:t>
      </w:r>
      <w:r w:rsidR="00952D8D" w:rsidRPr="00972C81">
        <w:rPr>
          <w:noProof/>
        </w:rPr>
        <w:fldChar w:fldCharType="end"/>
      </w:r>
      <w:r w:rsidRPr="00972C81">
        <w:rPr>
          <w:noProof/>
        </w:rPr>
        <w:t xml:space="preserve"> but with a much longer half-time in dogs </w:t>
      </w:r>
      <w:r w:rsidR="00952D8D" w:rsidRPr="00972C81">
        <w:rPr>
          <w:noProof/>
        </w:rPr>
        <w:fldChar w:fldCharType="begin"/>
      </w:r>
      <w:r w:rsidR="0091689A" w:rsidRPr="00972C81">
        <w:rPr>
          <w:noProof/>
        </w:rPr>
        <w:instrText xml:space="preserve"> ADDIN ZOTERO_ITEM CSL_CITATION {"citationID":"a29b1cv5am1","properties":{"formattedCitation":"(Guilmette and Mewhinney, 1989; McClellan et al., 1972)","plainCitation":"(Guilmette and Mewhinney, 1989; McClellan et al., 1972)","noteIndex":0},"citationItems":[{"id":5242,"uris":["http://zotero.org/groups/2470620/items/UK8QKKD3"],"itemData":{"id":5242,"type":"article-journal","abstract":"Curium isotopes are major by-products in irradiated nuclear reactor fuel and comprise a significant fraction of the α-emitting radionuclide inventory. Although little use is currently being made of purified Cm sources, such usage is possible if reprocessing of spent fuel becomes feasible. Because little information is available on the biokinetics and dosimetry of inhaled Cm compounds, a study was conducted in which adult beagle dogs received a single inhalation exposure to either a monodisperse aerosol of 244Cm2O3(1.4 μm activity median aerodynamic diameter [AMAD]; 120648;g = 1.16) or a polydisperse aerosol of244Cm(NO3)3(1.1 μm AMAD 120648;g= 1.74). At times ranging from 4 h to 2 y after exposure, animals were sacrificed and their tissues analyzed for Cm content. ‘The data describing the uptake and retention of244Cm in the different organs and tissues and the measured rates of excretion of these dogs formed the basis on which a biokinetic model of Cm metabolism was constructed. This Cm model was based on a previously published model of the biokinetics of241Am that was shown to be applicable to data from human cases of inhalation exposure to 241Am aerosols. This Cm model was found to be adequate to describe the biological distribution of Cm in dogs and was also applied to the sparse data from humans. Reasonable agreement was found between the model predictions for lung retention of Cm and for urinary excretion patterns in humans. © 1989 Health Physics Society Pergamon Press plc.","archive":"Scopus","container-title":"Health Physics","DOI":"10.1097/00004032-198907001-00024","page":"187-198","source":"Scopus","title":"A biokinetic model of inhaled cm compounds in dogs: Application to human exposure data","title-short":"A biokinetic model of inhaled cm compounds in dogs","volume":"57","author":[{"family":"Guilmette","given":"R.A."},{"family":"Mewhinney","given":"J.A."}],"issued":{"date-parts":[["1989"]]}}},{"id":5238,"uris":["http://zotero.org/groups/2470620/items/2QRDFZKZ"],"itemData":{"id":5238,"type":"article-journal","abstract":"Twenty-four Beagle dogs were exposed to aerosols of 244CmCl3-CsCl (AM AD ~ 1.6 /im) or 244Cm01.73 (AMAD ~0.5 μm) and sacrificed at 0.1, 2, 8, 16, 64, 128 or 256 days post-inhalation exposure. Total body deposition was greatest for the dogs exposed to the aerosol with the larger AMAD (64 vs 35%). Lung deposition was only slightly greater for the dogs exposed to the aerosol with the largest AMAD (33 vs 27%). Curium-244 not deposited in the lungs was cleared rapidly via the feces. Urinary clearance of244Cm was similar for dogs exposed to the two forms of aerosol. Likewise, the tissue retention pattern was generally similar for the two aerosols with244Cm being translocated relatively rapidly from lung to skeleton and liver such that by 256 days post-inhalation exposure lung, liver and skeleton contained ≈3% ≈30% and ≈45%, respectively, of the initial lung burden. The similar metabolic behavior of the two forms of inhaled 214Cm with relatively rapid translocation from lung to skeleton and liver contrasts sharply with the metabolic behavior of several forms of inhaled Pu which were retained more tenaciously in lung with distinct differences in lung retention related to the form of Pu inhaled. These differences strongly indicate the need to base radiation protection guides for Cm on actual Cm metabolic data and suggest that the establishment of guides for Cm based on extrapolation from Pu metabolic data may be inappropriate. © 1972 Health Physics Society.","archive":"Scopus","container-title":"Health Physics","DOI":"10.1097/00004032-197206000-00053","issue":"6","page":"877-885","source":"Scopus","title":"Retention and distribution of 244Cm following inhalation of 244CmCl3 and 244CmO1.73 by beagle dogs","volume":"22","author":[{"family":"McClellan","given":"R.O."},{"family":"Boyd","given":"H.A."},{"family":"Gallegos","given":"A.F."},{"family":"Thomas","given":"R.G."}],"issued":{"date-parts":[["1972"]]}}}],"schema":"https://github.com/citation-style-language/schema/raw/master/csl-citation.json"} </w:instrText>
      </w:r>
      <w:r w:rsidR="00952D8D" w:rsidRPr="00972C81">
        <w:rPr>
          <w:noProof/>
        </w:rPr>
        <w:fldChar w:fldCharType="separate"/>
      </w:r>
      <w:r w:rsidR="0091689A" w:rsidRPr="00972C81">
        <w:rPr>
          <w:noProof/>
          <w:szCs w:val="24"/>
        </w:rPr>
        <w:t>(Guilmette and Mewhinney, 1989; McClellan et al., 1972)</w:t>
      </w:r>
      <w:r w:rsidR="00952D8D" w:rsidRPr="00972C81">
        <w:rPr>
          <w:noProof/>
        </w:rPr>
        <w:fldChar w:fldCharType="end"/>
      </w:r>
      <w:r w:rsidRPr="00972C81">
        <w:rPr>
          <w:noProof/>
        </w:rPr>
        <w:t>. Based on comparative human and animal data on other actinide or lanthanide elements, it seems reasonable to assume that the pattern of retention of curium in the human liver is broadly similar to that in dogs.</w:t>
      </w:r>
    </w:p>
    <w:p w14:paraId="6084B11F" w14:textId="49100292" w:rsidR="009A3613" w:rsidRPr="00972C81" w:rsidRDefault="009A3613" w:rsidP="00952D8D">
      <w:pPr>
        <w:pStyle w:val="Annalstext"/>
        <w:rPr>
          <w:noProof/>
        </w:rPr>
      </w:pPr>
      <w:r w:rsidRPr="00972C81">
        <w:rPr>
          <w:noProof/>
        </w:rPr>
        <w:t xml:space="preserve">In laboratory animals the biological </w:t>
      </w:r>
      <w:r w:rsidR="00BB503E">
        <w:rPr>
          <w:noProof/>
        </w:rPr>
        <w:t>behaviour</w:t>
      </w:r>
      <w:r w:rsidRPr="00972C81">
        <w:rPr>
          <w:noProof/>
        </w:rPr>
        <w:t xml:space="preserve"> of curium is similar to that of Am. Turner and Taylor </w:t>
      </w:r>
      <w:r w:rsidR="00952D8D" w:rsidRPr="00972C81">
        <w:rPr>
          <w:noProof/>
        </w:rPr>
        <w:fldChar w:fldCharType="begin"/>
      </w:r>
      <w:r w:rsidR="0091689A" w:rsidRPr="00972C81">
        <w:rPr>
          <w:noProof/>
        </w:rPr>
        <w:instrText xml:space="preserve"> ADDIN ZOTERO_ITEM CSL_CITATION {"citationID":"a5vet4sogl","properties":{"formattedCitation":"(1968)","plainCitation":"(1968)","noteIndex":0},"citationItems":[{"id":5205,"uris":["http://zotero.org/groups/2470620/items/5CUKFBAF"],"itemData":{"id":5205,"type":"article-journal","container-title":"Physics in Medicine and Biology","DOI":"10.1088/0031-9155/13/4/304","ISSN":"0031-9155","issue":"4","journalAbbreviation":"Phys Med Biol","language":"eng","note":"PMID: 5683324","page":"535-546","source":"PubMed","title":"The transport of plutonium, americium and curium in the blood of rats","volume":"13","author":[{"family":"Turner","given":"G. A."},{"family":"Taylor","given":"D. M."}],"issued":{"date-parts":[["1968",10]]}},"label":"page","suppress-author":true}],"schema":"https://github.com/citation-style-language/schema/raw/master/csl-citation.json"} </w:instrText>
      </w:r>
      <w:r w:rsidR="00952D8D" w:rsidRPr="00972C81">
        <w:rPr>
          <w:noProof/>
        </w:rPr>
        <w:fldChar w:fldCharType="separate"/>
      </w:r>
      <w:r w:rsidR="0091689A" w:rsidRPr="00972C81">
        <w:rPr>
          <w:noProof/>
          <w:szCs w:val="24"/>
        </w:rPr>
        <w:t>(1968)</w:t>
      </w:r>
      <w:r w:rsidR="00952D8D" w:rsidRPr="00972C81">
        <w:rPr>
          <w:noProof/>
        </w:rPr>
        <w:fldChar w:fldCharType="end"/>
      </w:r>
      <w:r w:rsidRPr="00972C81">
        <w:rPr>
          <w:noProof/>
        </w:rPr>
        <w:t xml:space="preserve"> observed virtually identical rates of circulatory clearance of </w:t>
      </w:r>
      <w:r w:rsidRPr="00972C81">
        <w:rPr>
          <w:noProof/>
          <w:vertAlign w:val="superscript"/>
        </w:rPr>
        <w:t>244</w:t>
      </w:r>
      <w:r w:rsidRPr="00972C81">
        <w:rPr>
          <w:noProof/>
        </w:rPr>
        <w:t xml:space="preserve">Cm and </w:t>
      </w:r>
      <w:r w:rsidRPr="00972C81">
        <w:rPr>
          <w:noProof/>
          <w:vertAlign w:val="superscript"/>
        </w:rPr>
        <w:t>241</w:t>
      </w:r>
      <w:r w:rsidRPr="00972C81">
        <w:rPr>
          <w:noProof/>
        </w:rPr>
        <w:t xml:space="preserve">Am in rats during the first day after intravenous injection of </w:t>
      </w:r>
      <w:r w:rsidRPr="00972C81">
        <w:rPr>
          <w:noProof/>
          <w:vertAlign w:val="superscript"/>
        </w:rPr>
        <w:t>244</w:t>
      </w:r>
      <w:r w:rsidRPr="00972C81">
        <w:rPr>
          <w:noProof/>
        </w:rPr>
        <w:t xml:space="preserve">Cm nitrate or </w:t>
      </w:r>
      <w:r w:rsidRPr="00972C81">
        <w:rPr>
          <w:noProof/>
          <w:vertAlign w:val="superscript"/>
        </w:rPr>
        <w:t>241</w:t>
      </w:r>
      <w:r w:rsidRPr="00972C81">
        <w:rPr>
          <w:noProof/>
        </w:rPr>
        <w:t xml:space="preserve">Am citrate. In rats receiving intramuscular injection of relatively soluble forms of </w:t>
      </w:r>
      <w:r w:rsidRPr="00972C81">
        <w:rPr>
          <w:noProof/>
          <w:vertAlign w:val="superscript"/>
        </w:rPr>
        <w:t>241</w:t>
      </w:r>
      <w:r w:rsidRPr="00972C81">
        <w:rPr>
          <w:noProof/>
        </w:rPr>
        <w:t xml:space="preserve">Am and </w:t>
      </w:r>
      <w:r w:rsidRPr="00972C81">
        <w:rPr>
          <w:noProof/>
          <w:vertAlign w:val="superscript"/>
        </w:rPr>
        <w:t>242</w:t>
      </w:r>
      <w:r w:rsidRPr="00972C81">
        <w:rPr>
          <w:noProof/>
        </w:rPr>
        <w:t xml:space="preserve">Cm, similar initial distributions and nearly identical patterns of excretion of these radionuclides over a period of several months were observed </w:t>
      </w:r>
      <w:r w:rsidR="00952D8D" w:rsidRPr="00972C81">
        <w:rPr>
          <w:noProof/>
        </w:rPr>
        <w:fldChar w:fldCharType="begin"/>
      </w:r>
      <w:r w:rsidR="0091689A" w:rsidRPr="00972C81">
        <w:rPr>
          <w:noProof/>
        </w:rPr>
        <w:instrText xml:space="preserve"> ADDIN ZOTERO_ITEM CSL_CITATION {"citationID":"a7dh1ru73p","properties":{"formattedCitation":"(Durbin, 1973; Durbin et al., 1969; Scott et al., 1948, 1949)","plainCitation":"(Durbin, 1973; Durbin et al., 1969; Scott et al., 1948, 1949)","noteIndex":0},"citationItems":[{"id":4804,"uris":["http://zotero.org/groups/2470620/items/8DP7GNID"],"itemData":{"id":4804,"type":"chapter","container-title":"Uranium· Plutonium Transplutonic Elements","event-place":"Berlin","page":"739–896","publisher":"Springer","publisher-place":"Berlin","source":"Google Scholar","title":"Metabolism and biological effects of the transplutonium elements","author":[{"family":"Durbin","given":"Patricia W."}],"editor":[{"family":"Hodge","given":"H.C."},{"family":"Stannard","given":"J.N.J."},{"family":"Hursh","given":"J.B."}],"issued":{"date-parts":[["1973"]]}}},{"id":5245,"uris":["http://zotero.org/groups/2470620/items/EYY2AUEK"],"itemData":{"id":5245,"type":"chapter","container-title":"Delayed effects of bone-seeking radionuclides","edition":"University of Utah Press","event-place":"Salt Lake City","page":"137–156","publisher":"Univ. of California, Berkeley","publisher-place":"Salt Lake City","source":"Google Scholar","title":"Dynamics of Am-241 in the skeleton of the rat: A study of the relationship between behavior of bone-seeking elements and bone-growth status","title-short":"DYNAMICS OF sup 241 Am IN THE SKELETON OF THE RAT","URL":"https://www.osti.gov/biblio/4773747","author":[{"family":"Durbin","given":"Patricia W."},{"family":"Jeung","given":"Nylan"},{"family":"Williams","given":"Marilyn H."}],"editor":[{"family":"Mays","given":"C.W."},{"family":"Jee","given":"W.S.S."},{"family":"Lloyd","given":"R.D."},{"family":"Stover","given":"B.J."},{"family":"Dougherty","given":"J.H."},{"family":"Taylor","given":"G.N."}],"accessed":{"date-parts":[["2023",10,2]]},"issued":{"date-parts":[["1969"]]}}},{"id":5248,"uris":["http://zotero.org/groups/2470620/items/Z8U7CQJN"],"itemData":{"id":5248,"type":"article-journal","container-title":"The Journal of Biological Chemistry","ISSN":"0021-9258","issue":"2","journalAbbreviation":"J Biol Chem","language":"eng","note":"PMID: 18880764","page":"691-703","source":"PubMed","title":"The metabolism of americium in the rat","volume":"175","author":[{"family":"Scott","given":"K. G."},{"family":"Copp","given":"D. H."},{"family":"Axelrod","given":"D.J."},{"family":"Hamilton","given":"J.G."}],"issued":{"date-parts":[["1948",9]]}}},{"id":5246,"uris":["http://zotero.org/groups/2470620/items/ZJBPNBV6"],"itemData":{"id":5246,"type":"article-journal","container-title":"The Journal of Biological Chemistry","ISSN":"0021-9258","issue":"1","journalAbbreviation":"J Biol Chem","language":"eng","note":"PMID: 18107437","page":"325-335","source":"PubMed","title":"The metabolism of curium in the rat","volume":"177","author":[{"family":"Scott","given":"K. G."},{"family":"Axelrod","given":"D. J."},{"family":"Hamilton","given":"J. G."}],"issued":{"date-parts":[["1949",1]]}}}],"schema":"https://github.com/citation-style-language/schema/raw/master/csl-citation.json"} </w:instrText>
      </w:r>
      <w:r w:rsidR="00952D8D" w:rsidRPr="00972C81">
        <w:rPr>
          <w:noProof/>
        </w:rPr>
        <w:fldChar w:fldCharType="separate"/>
      </w:r>
      <w:r w:rsidR="0091689A" w:rsidRPr="00972C81">
        <w:rPr>
          <w:noProof/>
          <w:szCs w:val="24"/>
        </w:rPr>
        <w:t>(Durbin, 1973; Durbin et al., 1969; Scott et al., 1948, 1949)</w:t>
      </w:r>
      <w:r w:rsidR="00952D8D" w:rsidRPr="00972C81">
        <w:rPr>
          <w:noProof/>
        </w:rPr>
        <w:fldChar w:fldCharType="end"/>
      </w:r>
      <w:r w:rsidRPr="00972C81">
        <w:rPr>
          <w:noProof/>
        </w:rPr>
        <w:t xml:space="preserve">. In rats injected with </w:t>
      </w:r>
      <w:r w:rsidRPr="00972C81">
        <w:rPr>
          <w:noProof/>
          <w:vertAlign w:val="superscript"/>
        </w:rPr>
        <w:t>241</w:t>
      </w:r>
      <w:r w:rsidRPr="00972C81">
        <w:rPr>
          <w:noProof/>
        </w:rPr>
        <w:t xml:space="preserve">Am citrate or </w:t>
      </w:r>
      <w:r w:rsidRPr="00972C81">
        <w:rPr>
          <w:noProof/>
          <w:vertAlign w:val="superscript"/>
        </w:rPr>
        <w:t>242</w:t>
      </w:r>
      <w:r w:rsidRPr="00972C81">
        <w:rPr>
          <w:noProof/>
        </w:rPr>
        <w:t xml:space="preserve">Cm citrate, the concentration of </w:t>
      </w:r>
      <w:r w:rsidRPr="00972C81">
        <w:rPr>
          <w:noProof/>
          <w:vertAlign w:val="superscript"/>
        </w:rPr>
        <w:t>242</w:t>
      </w:r>
      <w:r w:rsidRPr="00972C81">
        <w:rPr>
          <w:noProof/>
        </w:rPr>
        <w:t xml:space="preserve">Cm at 6 d after administration was virtually the same as that of </w:t>
      </w:r>
      <w:r w:rsidRPr="00972C81">
        <w:rPr>
          <w:noProof/>
          <w:vertAlign w:val="superscript"/>
        </w:rPr>
        <w:t>241</w:t>
      </w:r>
      <w:r w:rsidRPr="00972C81">
        <w:rPr>
          <w:noProof/>
        </w:rPr>
        <w:t xml:space="preserve">Am in all measured tissues (skeleton, liver, spleen, kidneys, lung, thyroid, adrenals, ovaries), but chelation therapy appeared to be slightly more effective for </w:t>
      </w:r>
      <w:r w:rsidRPr="00972C81">
        <w:rPr>
          <w:noProof/>
          <w:vertAlign w:val="superscript"/>
        </w:rPr>
        <w:t>242</w:t>
      </w:r>
      <w:r w:rsidRPr="00972C81">
        <w:rPr>
          <w:noProof/>
        </w:rPr>
        <w:t xml:space="preserve">Cm than </w:t>
      </w:r>
      <w:r w:rsidRPr="00972C81">
        <w:rPr>
          <w:noProof/>
          <w:vertAlign w:val="superscript"/>
        </w:rPr>
        <w:t>241</w:t>
      </w:r>
      <w:r w:rsidRPr="00972C81">
        <w:rPr>
          <w:noProof/>
        </w:rPr>
        <w:t>Am</w:t>
      </w:r>
      <w:r w:rsidR="00460131" w:rsidRPr="00972C81">
        <w:rPr>
          <w:noProof/>
        </w:rPr>
        <w:t xml:space="preserve"> </w:t>
      </w:r>
      <w:r w:rsidR="00460131" w:rsidRPr="00972C81">
        <w:rPr>
          <w:noProof/>
        </w:rPr>
        <w:fldChar w:fldCharType="begin"/>
      </w:r>
      <w:r w:rsidR="0091689A" w:rsidRPr="00972C81">
        <w:rPr>
          <w:noProof/>
        </w:rPr>
        <w:instrText xml:space="preserve"> ADDIN ZOTERO_ITEM CSL_CITATION {"citationID":"a2p4q6tuqmk","properties":{"formattedCitation":"(Seidel and Volf, 1972)","plainCitation":"(Seidel and Volf, 1972)","noteIndex":0},"citationItems":[{"id":5250,"uris":["http://zotero.org/groups/2470620/items/MKKV8W2Z"],"itemData":{"id":5250,"type":"article-journal","abstract":"The comparative effectiveness of Ga-DTPA and Zn-DTPA in removing internally deposited239Pu,241Am and242Cm was tested in the rat. The radionuclides were administered in a citrate solution and treatment with three chelate injections (1 mmol kg-1d-1) was begun 6 days later. No essential differences were observed between the two chelates tested. The data indicate that the removal of the isotopes from the liver cannot be a suitable criterion for the effectiveness of treatment in other soft tissue organs. The liver isotope content was reduced to 10% of the controls, whereas the content of other organs, including bone, was never reduced to less than 40% of the control. In liver and lung, the response to treatment was different for241Am and239Cm as compared to239Pu. There was no such difference as far as other organs are concerned. © 1972 Health Physics Society.","archive":"Scopus","container-title":"Health Physics","DOI":"10.1097/00004032-197206000-00037","issue":"6","page":"779-783","source":"Scopus","title":"Removal of internally deposited transuranium elements by zn-dtpa","volume":"22","author":[{"family":"Seidel","given":"A."},{"family":"Volf","given":"V."}],"issued":{"date-parts":[["1972"]]}}}],"schema":"https://github.com/citation-style-language/schema/raw/master/csl-citation.json"} </w:instrText>
      </w:r>
      <w:r w:rsidR="00460131" w:rsidRPr="00972C81">
        <w:rPr>
          <w:noProof/>
        </w:rPr>
        <w:fldChar w:fldCharType="separate"/>
      </w:r>
      <w:r w:rsidR="0091689A" w:rsidRPr="00972C81">
        <w:rPr>
          <w:noProof/>
          <w:szCs w:val="24"/>
        </w:rPr>
        <w:t>(Seidel and Volf, 1972)</w:t>
      </w:r>
      <w:r w:rsidR="00460131" w:rsidRPr="00972C81">
        <w:rPr>
          <w:noProof/>
        </w:rPr>
        <w:fldChar w:fldCharType="end"/>
      </w:r>
      <w:r w:rsidRPr="00972C81">
        <w:rPr>
          <w:noProof/>
        </w:rPr>
        <w:t xml:space="preserve">. Stather and Priest </w:t>
      </w:r>
      <w:r w:rsidR="00460131" w:rsidRPr="00972C81">
        <w:rPr>
          <w:noProof/>
        </w:rPr>
        <w:fldChar w:fldCharType="begin"/>
      </w:r>
      <w:r w:rsidR="0091689A" w:rsidRPr="00972C81">
        <w:rPr>
          <w:noProof/>
        </w:rPr>
        <w:instrText xml:space="preserve"> ADDIN ZOTERO_ITEM CSL_CITATION {"citationID":"a1s2bugnl5r","properties":{"formattedCitation":"(1977)","plainCitation":"(1977)","noteIndex":0},"citationItems":[{"id":5254,"uris":["http://zotero.org/groups/2470620/items/LFHYAB4H"],"itemData":{"id":5254,"type":"report","event-place":"Chilton, Didcot, England","number":"NRPB-R&amp;D-1","page":"46-48","publisher":"National Radiological Protection Board","publisher-place":"Chilton, Didcot, England","source":"Google Scholar","title":"The pulmonary clearance and the comparative metabolism of plutonium-238, plutonium-239, americium-241 and curium-242 in the rat","URL":"https://inis.iaea.org/search/search.aspx?orig_q=RN:8330432","author":[{"family":"Stather","given":"J. W."},{"family":"Priest","given":"N. D."}],"accessed":{"date-parts":[["2023",10,2]]},"issued":{"date-parts":[["1977"]]}},"label":"page","suppress-author":true}],"schema":"https://github.com/citation-style-language/schema/raw/master/csl-citation.json"} </w:instrText>
      </w:r>
      <w:r w:rsidR="00460131" w:rsidRPr="00972C81">
        <w:rPr>
          <w:noProof/>
        </w:rPr>
        <w:fldChar w:fldCharType="separate"/>
      </w:r>
      <w:r w:rsidR="0091689A" w:rsidRPr="00972C81">
        <w:rPr>
          <w:noProof/>
          <w:szCs w:val="24"/>
        </w:rPr>
        <w:t>(1977)</w:t>
      </w:r>
      <w:r w:rsidR="00460131" w:rsidRPr="00972C81">
        <w:rPr>
          <w:noProof/>
        </w:rPr>
        <w:fldChar w:fldCharType="end"/>
      </w:r>
      <w:r w:rsidRPr="00972C81">
        <w:rPr>
          <w:noProof/>
        </w:rPr>
        <w:t xml:space="preserve"> observed similar tissue distributions of </w:t>
      </w:r>
      <w:r w:rsidRPr="00972C81">
        <w:rPr>
          <w:noProof/>
          <w:vertAlign w:val="superscript"/>
        </w:rPr>
        <w:t>241</w:t>
      </w:r>
      <w:r w:rsidRPr="00972C81">
        <w:rPr>
          <w:noProof/>
        </w:rPr>
        <w:t xml:space="preserve">Am and </w:t>
      </w:r>
      <w:r w:rsidRPr="00972C81">
        <w:rPr>
          <w:noProof/>
          <w:vertAlign w:val="superscript"/>
        </w:rPr>
        <w:t>242</w:t>
      </w:r>
      <w:r w:rsidRPr="00972C81">
        <w:rPr>
          <w:noProof/>
        </w:rPr>
        <w:t xml:space="preserve">Cm in adult rats at 1 wk, 1 mo, and 5 mo after pulmonary intubation of these radionuclides as nitrates, but </w:t>
      </w:r>
      <w:r w:rsidRPr="00972C81">
        <w:rPr>
          <w:noProof/>
          <w:vertAlign w:val="superscript"/>
        </w:rPr>
        <w:t>242</w:t>
      </w:r>
      <w:r w:rsidRPr="00972C81">
        <w:rPr>
          <w:noProof/>
        </w:rPr>
        <w:t xml:space="preserve">Cm appeared to be lost from the body at a slightly higher rate than </w:t>
      </w:r>
      <w:r w:rsidRPr="00972C81">
        <w:rPr>
          <w:noProof/>
          <w:vertAlign w:val="superscript"/>
        </w:rPr>
        <w:t>241</w:t>
      </w:r>
      <w:r w:rsidRPr="00972C81">
        <w:rPr>
          <w:noProof/>
        </w:rPr>
        <w:t>Am at 1</w:t>
      </w:r>
      <w:r w:rsidR="00084C42" w:rsidRPr="00FE17F7">
        <w:t>–</w:t>
      </w:r>
      <w:r w:rsidRPr="00972C81">
        <w:rPr>
          <w:noProof/>
        </w:rPr>
        <w:t xml:space="preserve">5 mo after administration. Crawley and Goddard </w:t>
      </w:r>
      <w:r w:rsidR="00460131" w:rsidRPr="00972C81">
        <w:rPr>
          <w:noProof/>
        </w:rPr>
        <w:fldChar w:fldCharType="begin"/>
      </w:r>
      <w:r w:rsidR="0091689A" w:rsidRPr="00972C81">
        <w:rPr>
          <w:noProof/>
        </w:rPr>
        <w:instrText xml:space="preserve"> ADDIN ZOTERO_ITEM CSL_CITATION {"citationID":"ame8ss1o7r","properties":{"formattedCitation":"(1976)","plainCitation":"(1976)","noteIndex":0},"citationItems":[{"id":5255,"uris":["http://zotero.org/groups/2470620/items/WHF2Y2TH"],"itemData":{"id":5255,"type":"article-journal","abstract":"Studies on the tissue distribution and excretion of241Am and242Cm following their deposition in the respiratory system of the rat have been undertaken. Solutions of these actinides, either as nitrates or citrates, were administered to rats by intubation into the nasopharyngeal, tracheobronchial and pulmonary regions of the respiratory system. The activity administered varied between 2 and 4 nCi kg-1. No differences were observed in the tissue distribution and excretion of241Am and242Cm at 1 day and 1 week following intubation into the three regions. The translocation from the pulmonary region to tissues was higher than from the other two regions. Administration of the nitrate form was found to give a higher lung retention and a lower translocation to extrapulmonary tissues than the corresponding citrate forms. However, the tissue distribution pattern of both chemical forms was similar with the ratio of percentage uptake between the liver and remaining carcass being 1:1.6 after 1 week. These data are compared with results from a similar study involving239Pu. © 1976 Health Physics Society.","archive":"Scopus","container-title":"Health Physics","DOI":"10.1097/00004032-197602000-00006","issue":"2","page":"191-197","source":"Scopus","title":"The translocation of 241-americium and 242-curium from the respiratory system of the rat","volume":"30","author":[{"family":"Crawley","given":"F.E."},{"family":"Goddard","given":"E.A."}],"issued":{"date-parts":[["1976"]]}},"label":"page","suppress-author":true}],"schema":"https://github.com/citation-style-language/schema/raw/master/csl-citation.json"} </w:instrText>
      </w:r>
      <w:r w:rsidR="00460131" w:rsidRPr="00972C81">
        <w:rPr>
          <w:noProof/>
        </w:rPr>
        <w:fldChar w:fldCharType="separate"/>
      </w:r>
      <w:r w:rsidR="0091689A" w:rsidRPr="00972C81">
        <w:rPr>
          <w:noProof/>
          <w:szCs w:val="24"/>
        </w:rPr>
        <w:t>(1976)</w:t>
      </w:r>
      <w:r w:rsidR="00460131" w:rsidRPr="00972C81">
        <w:rPr>
          <w:noProof/>
        </w:rPr>
        <w:fldChar w:fldCharType="end"/>
      </w:r>
      <w:r w:rsidRPr="00972C81">
        <w:rPr>
          <w:noProof/>
        </w:rPr>
        <w:t xml:space="preserve"> found virtually identical systemic distribution and retention of americium and curium in rats during the first week after intubation of these elements into each of three regions of the lung. Nenot et al. </w:t>
      </w:r>
      <w:r w:rsidR="00460131" w:rsidRPr="00972C81">
        <w:rPr>
          <w:noProof/>
        </w:rPr>
        <w:fldChar w:fldCharType="begin"/>
      </w:r>
      <w:r w:rsidR="0091689A" w:rsidRPr="00972C81">
        <w:rPr>
          <w:noProof/>
        </w:rPr>
        <w:instrText xml:space="preserve"> ADDIN ZOTERO_ITEM CSL_CITATION {"citationID":"a21qm0n3eq9","properties":{"formattedCitation":"(1972)","plainCitation":"(1972)","noteIndex":0},"citationItems":[{"id":5095,"uris":["http://zotero.org/groups/2470620/items/WPJEH53B"],"itemData":{"id":5095,"type":"article-journal","container-title":"Health Physics","DOI":"10.1097/00004032-197206000-00019","ISSN":"0017-9078","issue":"6","journalAbbreviation":"Health Phys","language":"eng","note":"PMID: 5083996","page":"657-665","source":"PubMed","title":"An experimental comparative study of the behaviour of 237 Np, 238 Pu, 239 Pu, 241 Am and 242 Cm in bone","volume":"22","author":[{"family":"Nenot","given":"J. C."},{"family":"Masse","given":"R."},{"family":"Morin","given":"M."},{"family":"Lafuma","given":"J."}],"issued":{"date-parts":[["1972",6]]}},"label":"page","suppress-author":true}],"schema":"https://github.com/citation-style-language/schema/raw/master/csl-citation.json"} </w:instrText>
      </w:r>
      <w:r w:rsidR="00460131" w:rsidRPr="00972C81">
        <w:rPr>
          <w:noProof/>
        </w:rPr>
        <w:fldChar w:fldCharType="separate"/>
      </w:r>
      <w:r w:rsidR="0091689A" w:rsidRPr="00972C81">
        <w:rPr>
          <w:noProof/>
          <w:szCs w:val="24"/>
        </w:rPr>
        <w:t>(1972)</w:t>
      </w:r>
      <w:r w:rsidR="00460131" w:rsidRPr="00972C81">
        <w:rPr>
          <w:noProof/>
        </w:rPr>
        <w:fldChar w:fldCharType="end"/>
      </w:r>
      <w:r w:rsidRPr="00972C81">
        <w:rPr>
          <w:noProof/>
        </w:rPr>
        <w:t xml:space="preserve"> observed similar </w:t>
      </w:r>
      <w:r w:rsidR="00BB503E">
        <w:rPr>
          <w:noProof/>
        </w:rPr>
        <w:t>behaviour</w:t>
      </w:r>
      <w:r w:rsidRPr="00972C81">
        <w:rPr>
          <w:noProof/>
        </w:rPr>
        <w:t xml:space="preserve"> of </w:t>
      </w:r>
      <w:r w:rsidRPr="00972C81">
        <w:rPr>
          <w:noProof/>
          <w:vertAlign w:val="superscript"/>
        </w:rPr>
        <w:t>241</w:t>
      </w:r>
      <w:r w:rsidRPr="00972C81">
        <w:rPr>
          <w:noProof/>
        </w:rPr>
        <w:t xml:space="preserve">Am and </w:t>
      </w:r>
      <w:r w:rsidRPr="00972C81">
        <w:rPr>
          <w:noProof/>
          <w:vertAlign w:val="superscript"/>
        </w:rPr>
        <w:t>242</w:t>
      </w:r>
      <w:r w:rsidRPr="00972C81">
        <w:rPr>
          <w:noProof/>
        </w:rPr>
        <w:t xml:space="preserve">Cm in rats after administration by inhalation or intramuscular injection of these radionuclides as nitrates, with regard to cumulative urinary excretion, levels of uptake and retention by bone, and sites of binding in bone. In a study of comparative retention of bone-seeking radionuclides in rats, Taylor </w:t>
      </w:r>
      <w:r w:rsidR="00460131" w:rsidRPr="00972C81">
        <w:rPr>
          <w:noProof/>
        </w:rPr>
        <w:fldChar w:fldCharType="begin"/>
      </w:r>
      <w:r w:rsidR="0091689A" w:rsidRPr="00972C81">
        <w:rPr>
          <w:noProof/>
        </w:rPr>
        <w:instrText xml:space="preserve"> ADDIN ZOTERO_ITEM CSL_CITATION {"citationID":"ad8q5uooi8","properties":{"formattedCitation":"(1983)","plainCitation":"(1983)","noteIndex":0},"citationItems":[{"id":5258,"uris":["http://zotero.org/groups/2470620/items/8MZX7F32"],"itemData":{"id":5258,"type":"article-journal","archive":"Scopus","container-title":"Health Physics","issue":"3","page":"768-772","source":"Scopus","title":"The comparative retention of bone-seeking radionuclides in the skeletons of rats","volume":"45","author":[{"family":"Taylor","given":"D.M."}],"issued":{"date-parts":[["1983"]]}},"label":"page","suppress-author":true}],"schema":"https://github.com/citation-style-language/schema/raw/master/csl-citation.json"} </w:instrText>
      </w:r>
      <w:r w:rsidR="00460131" w:rsidRPr="00972C81">
        <w:rPr>
          <w:noProof/>
        </w:rPr>
        <w:fldChar w:fldCharType="separate"/>
      </w:r>
      <w:r w:rsidR="0091689A" w:rsidRPr="00972C81">
        <w:rPr>
          <w:noProof/>
          <w:szCs w:val="24"/>
        </w:rPr>
        <w:t>(1983)</w:t>
      </w:r>
      <w:r w:rsidR="00460131" w:rsidRPr="00972C81">
        <w:rPr>
          <w:noProof/>
        </w:rPr>
        <w:fldChar w:fldCharType="end"/>
      </w:r>
      <w:r w:rsidRPr="00972C81">
        <w:rPr>
          <w:noProof/>
        </w:rPr>
        <w:t xml:space="preserve"> found that uptake and long-term retention of </w:t>
      </w:r>
      <w:r w:rsidRPr="00972C81">
        <w:rPr>
          <w:noProof/>
          <w:vertAlign w:val="superscript"/>
        </w:rPr>
        <w:t>244</w:t>
      </w:r>
      <w:r w:rsidRPr="00972C81">
        <w:rPr>
          <w:noProof/>
        </w:rPr>
        <w:t xml:space="preserve">Cm in bone was similar to that of </w:t>
      </w:r>
      <w:r w:rsidRPr="00972C81">
        <w:rPr>
          <w:noProof/>
          <w:vertAlign w:val="superscript"/>
        </w:rPr>
        <w:t>241</w:t>
      </w:r>
      <w:r w:rsidRPr="00972C81">
        <w:rPr>
          <w:noProof/>
        </w:rPr>
        <w:t>Am.</w:t>
      </w:r>
    </w:p>
    <w:p w14:paraId="57C88B9D" w14:textId="063F7CC0" w:rsidR="009A3613" w:rsidRPr="00972C81" w:rsidRDefault="009A3613" w:rsidP="001C4A92">
      <w:pPr>
        <w:pStyle w:val="Annalstext"/>
        <w:rPr>
          <w:noProof/>
        </w:rPr>
      </w:pPr>
      <w:r w:rsidRPr="00972C81">
        <w:rPr>
          <w:noProof/>
        </w:rPr>
        <w:t xml:space="preserve">Results of a series of studies at the University of Utah </w:t>
      </w:r>
      <w:r w:rsidR="00460131" w:rsidRPr="00972C81">
        <w:rPr>
          <w:noProof/>
        </w:rPr>
        <w:fldChar w:fldCharType="begin"/>
      </w:r>
      <w:r w:rsidR="0091689A" w:rsidRPr="00972C81">
        <w:rPr>
          <w:noProof/>
        </w:rPr>
        <w:instrText xml:space="preserve"> ADDIN ZOTERO_ITEM CSL_CITATION {"citationID":"a1j21bue319","properties":{"formattedCitation":"(Atherton et al., 1973; Bruenger et al., 1976; Lloyd et al., 1970, 1974)","plainCitation":"(Atherton et al., 1973; Bruenger et al., 1976; Lloyd et al., 1970, 1974)","noteIndex":0},"citationItems":[{"id":5261,"uris":["http://zotero.org/groups/2470620/items/SH7DP6ZH"],"itemData":{"id":5261,"type":"report","number":"COO 119 248","page":"178-185","publisher":"University of Utah College of Medicine","source":"Google Scholar","title":"Early retention and distribution of curium in soft tissues and blood of the beagle","URL":"https://inis.iaea.org/search/search.aspx?orig_q=RN:5109946","author":[{"family":"Atherton","given":"D. R."},{"family":"Stevens","given":"W."},{"family":"Bruenger","given":"F. W."}],"accessed":{"date-parts":[["2023",10,2]]},"issued":{"date-parts":[["1973"]]}}},{"id":5262,"uris":["http://zotero.org/groups/2470620/items/8EC65FUJ"],"itemData":{"id":5262,"type":"chapter","container-title":"Health effects of plutonium and radium","edition":"The J. W. Press","event-place":"Salt Lake City","page":"211–221","publisher-place":"Salt Lake City","source":"Google Scholar","title":"Subcellular distribution of some actinide elements in the beagle liver","URL":"https://inis.iaea.org/search/search.aspx?orig_q=RN:7268456","author":[{"family":"Bruenger","given":"F. W."},{"family":"Stevens","given":"W."},{"family":"Atherton","given":"D. R."},{"family":"Grube","given":"B. J."},{"family":"Jee","given":"W.S.S."}],"accessed":{"date-parts":[["2023",10,2]]},"issued":{"date-parts":[["1976"]]}}},{"id":5210,"uris":["http://zotero.org/groups/2470620/items/K7LXUZ8T"],"itemData":{"id":5210,"type":"article-journal","container-title":"Health Physics","DOI":"10.1097/00004032-197002000-00007","ISSN":"0017-9078","issue":"2","journalAbbreviation":"Health Phys","language":"eng","note":"PMID: 5416368","page":"149-156","source":"PubMed","title":"Americium-241 studies in beagles","volume":"18","author":[{"family":"Lloyd","given":"R. D."},{"family":"Mays","given":"C. W."},{"family":"Taylor","given":"G. N."},{"family":"Atherton","given":"D. R."}],"issued":{"date-parts":[["1970",2]]}}},{"id":5212,"uris":["http://zotero.org/groups/2470620/items/HFGKHQYJ"],"itemData":{"id":5212,"type":"article-journal","container-title":"Health Physics","DOI":"10.1097/00004032-197407000-00008","ISSN":"0017-9078","issue":"1","journalAbbreviation":"Health Phys","language":"eng","note":"PMID: 4430633","page":"61-67","source":"PubMed","title":"The early excretion, retention and distribution of injected curium citrate in beagles","volume":"27","author":[{"family":"Lloyd","given":"R. D."},{"family":"Atherton","given":"D. R."},{"family":"Mays","given":"C. W."},{"family":"McFarland","given":"S. S."},{"family":"Williams","given":"J. L."}],"issued":{"date-parts":[["1974",7]]}}}],"schema":"https://github.com/citation-style-language/schema/raw/master/csl-citation.json"} </w:instrText>
      </w:r>
      <w:r w:rsidR="00460131" w:rsidRPr="00972C81">
        <w:rPr>
          <w:noProof/>
        </w:rPr>
        <w:fldChar w:fldCharType="separate"/>
      </w:r>
      <w:r w:rsidR="0091689A" w:rsidRPr="00972C81">
        <w:rPr>
          <w:noProof/>
          <w:szCs w:val="24"/>
        </w:rPr>
        <w:t>(Atherton et al., 1973; Bruenger et al., 1976; Lloyd et al., 1970, 1974)</w:t>
      </w:r>
      <w:r w:rsidR="00460131" w:rsidRPr="00972C81">
        <w:rPr>
          <w:noProof/>
        </w:rPr>
        <w:fldChar w:fldCharType="end"/>
      </w:r>
      <w:r w:rsidR="00460131" w:rsidRPr="00972C81">
        <w:rPr>
          <w:noProof/>
        </w:rPr>
        <w:t xml:space="preserve"> </w:t>
      </w:r>
      <w:r w:rsidRPr="00972C81">
        <w:rPr>
          <w:noProof/>
        </w:rPr>
        <w:t xml:space="preserve">indicate that the biokinetics of </w:t>
      </w:r>
      <w:r w:rsidRPr="00972C81">
        <w:rPr>
          <w:noProof/>
          <w:vertAlign w:val="superscript"/>
        </w:rPr>
        <w:t>243/244</w:t>
      </w:r>
      <w:r w:rsidRPr="00972C81">
        <w:rPr>
          <w:noProof/>
        </w:rPr>
        <w:t xml:space="preserve">Cm in beagles is similar but not identical to that of </w:t>
      </w:r>
      <w:r w:rsidRPr="00972C81">
        <w:rPr>
          <w:noProof/>
          <w:vertAlign w:val="superscript"/>
        </w:rPr>
        <w:t>241</w:t>
      </w:r>
      <w:r w:rsidRPr="00972C81">
        <w:rPr>
          <w:noProof/>
        </w:rPr>
        <w:t xml:space="preserve">Am over the first 3 wk after intravenous injection, the most important differences being that the observed liver-to-skeleton concentration ratio and urinary-to-fecal excretion ratio were both moderately higher for </w:t>
      </w:r>
      <w:r w:rsidRPr="00972C81">
        <w:rPr>
          <w:noProof/>
          <w:vertAlign w:val="superscript"/>
        </w:rPr>
        <w:t>241</w:t>
      </w:r>
      <w:r w:rsidRPr="00972C81">
        <w:rPr>
          <w:noProof/>
        </w:rPr>
        <w:t xml:space="preserve">Am than </w:t>
      </w:r>
      <w:r w:rsidRPr="00972C81">
        <w:rPr>
          <w:noProof/>
          <w:vertAlign w:val="superscript"/>
        </w:rPr>
        <w:t>243/244</w:t>
      </w:r>
      <w:r w:rsidRPr="00972C81">
        <w:rPr>
          <w:noProof/>
        </w:rPr>
        <w:t xml:space="preserve">Cm. By contrast, data of Craig et al. </w:t>
      </w:r>
      <w:r w:rsidR="0091689A" w:rsidRPr="00972C81">
        <w:rPr>
          <w:noProof/>
        </w:rPr>
        <w:fldChar w:fldCharType="begin"/>
      </w:r>
      <w:r w:rsidR="0091689A" w:rsidRPr="00972C81">
        <w:rPr>
          <w:noProof/>
        </w:rPr>
        <w:instrText xml:space="preserve"> ADDIN ZOTERO_ITEM CSL_CITATION {"citationID":"a1rc427j67j","properties":{"formattedCitation":"(1976)","plainCitation":"(1976)","noteIndex":0},"citationItems":[{"id":5241,"uris":["http://zotero.org/groups/2470620/items/CW2SN2GH"],"itemData":{"id":5241,"type":"report","event-place":"Richland, Washington","number":"BNWL–2000 Part 1, Biomedical Sciences","publisher":"Available from National Technical Information Service, Springfield, Virginia","publisher-place":"Richland, Washington","source":"Google Scholar","title":"Distribution of 241Am and 244Cm in dogs after inhalation of the oxides","URL":"https://inis.iaea.org/search/search.aspx?orig_q=RN:7268459","author":[{"family":"Craig","given":"D. K."},{"family":"Cannon","given":"W. C."},{"family":"Catt","given":"D. L."},{"family":"Herring","given":"J. P."},{"family":"Park","given":"J. F."},{"family":"Powers","given":"G. J."},{"family":"Watson","given":"C. R."}],"accessed":{"date-parts":[["2023",10,2]]},"issued":{"date-parts":[["1976"]]}},"label":"page","suppress-author":true}],"schema":"https://github.com/citation-style-language/schema/raw/master/csl-citation.json"} </w:instrText>
      </w:r>
      <w:r w:rsidR="0091689A" w:rsidRPr="00972C81">
        <w:rPr>
          <w:noProof/>
        </w:rPr>
        <w:fldChar w:fldCharType="separate"/>
      </w:r>
      <w:r w:rsidR="0091689A" w:rsidRPr="00972C81">
        <w:rPr>
          <w:noProof/>
          <w:szCs w:val="24"/>
        </w:rPr>
        <w:t>(1976)</w:t>
      </w:r>
      <w:r w:rsidR="0091689A" w:rsidRPr="00972C81">
        <w:rPr>
          <w:noProof/>
        </w:rPr>
        <w:fldChar w:fldCharType="end"/>
      </w:r>
      <w:r w:rsidRPr="00972C81">
        <w:rPr>
          <w:noProof/>
        </w:rPr>
        <w:t xml:space="preserve"> indicate that the time-dependent division of </w:t>
      </w:r>
      <w:r w:rsidRPr="00972C81">
        <w:rPr>
          <w:noProof/>
          <w:vertAlign w:val="superscript"/>
        </w:rPr>
        <w:t>244</w:t>
      </w:r>
      <w:r w:rsidRPr="00972C81">
        <w:rPr>
          <w:noProof/>
        </w:rPr>
        <w:t xml:space="preserve">Cm between liver and skeleton in beagles is roughly the same as that of </w:t>
      </w:r>
      <w:r w:rsidRPr="00972C81">
        <w:rPr>
          <w:noProof/>
          <w:vertAlign w:val="superscript"/>
        </w:rPr>
        <w:t>241</w:t>
      </w:r>
      <w:r w:rsidRPr="00972C81">
        <w:rPr>
          <w:noProof/>
        </w:rPr>
        <w:t>Am at 10</w:t>
      </w:r>
      <w:r w:rsidR="00084C42" w:rsidRPr="00FE17F7">
        <w:t>–</w:t>
      </w:r>
      <w:r w:rsidRPr="00972C81">
        <w:rPr>
          <w:noProof/>
        </w:rPr>
        <w:t xml:space="preserve">270 d after inhalation of </w:t>
      </w:r>
      <w:r w:rsidRPr="00972C81">
        <w:rPr>
          <w:noProof/>
          <w:vertAlign w:val="superscript"/>
        </w:rPr>
        <w:t>241</w:t>
      </w:r>
      <w:r w:rsidRPr="00972C81">
        <w:rPr>
          <w:noProof/>
        </w:rPr>
        <w:t>AmO</w:t>
      </w:r>
      <w:r w:rsidRPr="00972C81">
        <w:rPr>
          <w:noProof/>
          <w:vertAlign w:val="subscript"/>
        </w:rPr>
        <w:t>2</w:t>
      </w:r>
      <w:r w:rsidRPr="00972C81">
        <w:rPr>
          <w:noProof/>
        </w:rPr>
        <w:t xml:space="preserve"> or </w:t>
      </w:r>
      <w:r w:rsidRPr="00972C81">
        <w:rPr>
          <w:noProof/>
          <w:vertAlign w:val="superscript"/>
        </w:rPr>
        <w:t>244</w:t>
      </w:r>
      <w:r w:rsidRPr="00972C81">
        <w:rPr>
          <w:noProof/>
        </w:rPr>
        <w:t>CmO</w:t>
      </w:r>
      <w:r w:rsidRPr="00972C81">
        <w:rPr>
          <w:noProof/>
          <w:vertAlign w:val="subscript"/>
        </w:rPr>
        <w:t>x</w:t>
      </w:r>
      <w:r w:rsidRPr="00972C81">
        <w:rPr>
          <w:noProof/>
        </w:rPr>
        <w:t xml:space="preserve"> aerosols. In an investigation of the biological </w:t>
      </w:r>
      <w:r w:rsidR="00BB503E">
        <w:rPr>
          <w:noProof/>
        </w:rPr>
        <w:t>behaviour</w:t>
      </w:r>
      <w:r w:rsidRPr="00972C81">
        <w:rPr>
          <w:noProof/>
        </w:rPr>
        <w:t xml:space="preserve"> of inhaled </w:t>
      </w:r>
      <w:r w:rsidRPr="00972C81">
        <w:rPr>
          <w:noProof/>
          <w:vertAlign w:val="superscript"/>
        </w:rPr>
        <w:t>244</w:t>
      </w:r>
      <w:r w:rsidRPr="00972C81">
        <w:rPr>
          <w:noProof/>
        </w:rPr>
        <w:t xml:space="preserve">Cm compounds in beagles, Guilmette and Mewhinney </w:t>
      </w:r>
      <w:r w:rsidR="0091689A" w:rsidRPr="00972C81">
        <w:rPr>
          <w:noProof/>
        </w:rPr>
        <w:fldChar w:fldCharType="begin"/>
      </w:r>
      <w:r w:rsidR="0091689A" w:rsidRPr="00972C81">
        <w:rPr>
          <w:noProof/>
        </w:rPr>
        <w:instrText xml:space="preserve"> ADDIN ZOTERO_ITEM CSL_CITATION {"citationID":"ameff5damj","properties":{"formattedCitation":"(1989)","plainCitation":"(1989)","noteIndex":0},"citationItems":[{"id":5242,"uris":["http://zotero.org/groups/2470620/items/UK8QKKD3"],"itemData":{"id":5242,"type":"article-journal","abstract":"Curium isotopes are major by-products in irradiated nuclear reactor fuel and comprise a significant fraction of the α-emitting radionuclide inventory. Although little use is currently being made of purified Cm sources, such usage is possible if reprocessing of spent fuel becomes feasible. Because little information is available on the biokinetics and dosimetry of inhaled Cm compounds, a study was conducted in which adult beagle dogs received a single inhalation exposure to either a monodisperse aerosol of 244Cm2O3(1.4 μm activity median aerodynamic diameter [AMAD]; 120648;g = 1.16) or a polydisperse aerosol of244Cm(NO3)3(1.1 μm AMAD 120648;g= 1.74). At times ranging from 4 h to 2 y after exposure, animals were sacrificed and their tissues analyzed for Cm content. ‘The data describing the uptake and retention of244Cm in the different organs and tissues and the measured rates of excretion of these dogs formed the basis on which a biokinetic model of Cm metabolism was constructed. This Cm model was based on a previously published model of the biokinetics of241Am that was shown to be applicable to data from human cases of inhalation exposure to 241Am aerosols. This Cm model was found to be adequate to describe the biological distribution of Cm in dogs and was also applied to the sparse data from humans. Reasonable agreement was found between the model predictions for lung retention of Cm and for urinary excretion patterns in humans. © 1989 Health Physics Society Pergamon Press plc.","archive":"Scopus","container-title":"Health Physics","DOI":"10.1097/00004032-198907001-00024","page":"187-198","source":"Scopus","title":"A biokinetic model of inhaled cm compounds in dogs: Application to human exposure data","title-short":"A biokinetic model of inhaled cm compounds in dogs","volume":"57","author":[{"family":"Guilmette","given":"R.A."},{"family":"Mewhinney","given":"J.A."}],"issued":{"date-parts":[["1989"]]}},"label":"page","suppress-author":true}],"schema":"https://github.com/citation-style-language/schema/raw/master/csl-citation.json"} </w:instrText>
      </w:r>
      <w:r w:rsidR="0091689A" w:rsidRPr="00972C81">
        <w:rPr>
          <w:noProof/>
        </w:rPr>
        <w:fldChar w:fldCharType="separate"/>
      </w:r>
      <w:r w:rsidR="0091689A" w:rsidRPr="00972C81">
        <w:rPr>
          <w:noProof/>
          <w:szCs w:val="24"/>
        </w:rPr>
        <w:t>(1989)</w:t>
      </w:r>
      <w:r w:rsidR="0091689A" w:rsidRPr="00972C81">
        <w:rPr>
          <w:noProof/>
        </w:rPr>
        <w:fldChar w:fldCharType="end"/>
      </w:r>
      <w:r w:rsidRPr="00972C81">
        <w:rPr>
          <w:noProof/>
        </w:rPr>
        <w:t xml:space="preserve"> found that a biokinetic model for Am developed earlier from data on inhaled </w:t>
      </w:r>
      <w:r w:rsidRPr="00972C81">
        <w:rPr>
          <w:noProof/>
          <w:vertAlign w:val="superscript"/>
        </w:rPr>
        <w:t>241</w:t>
      </w:r>
      <w:r w:rsidRPr="00972C81">
        <w:rPr>
          <w:noProof/>
        </w:rPr>
        <w:t>AmO</w:t>
      </w:r>
      <w:r w:rsidRPr="00972C81">
        <w:rPr>
          <w:noProof/>
          <w:vertAlign w:val="subscript"/>
        </w:rPr>
        <w:t>2</w:t>
      </w:r>
      <w:r w:rsidRPr="00972C81">
        <w:rPr>
          <w:noProof/>
        </w:rPr>
        <w:t xml:space="preserve"> in beagles </w:t>
      </w:r>
      <w:r w:rsidR="0091689A" w:rsidRPr="00972C81">
        <w:rPr>
          <w:noProof/>
        </w:rPr>
        <w:fldChar w:fldCharType="begin"/>
      </w:r>
      <w:r w:rsidR="0091689A" w:rsidRPr="00972C81">
        <w:rPr>
          <w:noProof/>
        </w:rPr>
        <w:instrText xml:space="preserve"> ADDIN ZOTERO_ITEM CSL_CITATION {"citationID":"a1hk7inla8v","properties":{"formattedCitation":"(Mewhinney and Griffith, 1983)","plainCitation":"(Mewhinney and Griffith, 1983)","noteIndex":0},"citationItems":[{"id":5263,"uris":["http://zotero.org/groups/2470620/items/85YXRY23"],"itemData":{"id":5263,"type":"article-journal","abstract":"A model useful for predicting lung retention and tissue distribution following human inhalation exposure to 241AmO2 has been formulated. The model is based on inhalation studies in beagles exposed to either monodisperse or polydisperse aerosols of 241AmO2. It also describes lung retention for several cases of accidental human inhalation exposure to 241Am adequately. The model incorporates an expression for solubilization of 241AmO2 deposited in lung which is based on physicochemical characteristics of the inhaled particles. Comparison of predictions from this model and those of the International Commission of Radiological Protection in lCRP Publication 30 shows some important differences. Lung retention patterns of inhaled 241Am in dogs and humans after inhalation of 241AmO2 are very similar and do not conform with predictions of the ICRP 30 model. Although use of the ICRP 30 model for calculation of annual limits of intake produces similar values to predictions made from our model, a more complete assessment of accidental human exposures to 241AmO2 and the risk to individual organs can be made using the retention and dosimetry model formulated from these studies in dogs. © 1983 Health Physics Society.","archive":"Scopus","container-title":"Health Physics","DOI":"10.1097/00004032-198306001-00052","page":"537-544","source":"Scopus","title":"A tissue distribution model for assessment of human inhalation exposures to 241AmO2","volume":"44","author":[{"family":"Mewhinney","given":"J.A."},{"family":"Griffith","given":"W.C."}],"issued":{"date-parts":[["1983"]]}}}],"schema":"https://github.com/citation-style-language/schema/raw/master/csl-citation.json"} </w:instrText>
      </w:r>
      <w:r w:rsidR="0091689A" w:rsidRPr="00972C81">
        <w:rPr>
          <w:noProof/>
        </w:rPr>
        <w:fldChar w:fldCharType="separate"/>
      </w:r>
      <w:r w:rsidR="0091689A" w:rsidRPr="00972C81">
        <w:rPr>
          <w:noProof/>
          <w:szCs w:val="24"/>
        </w:rPr>
        <w:t>(Mewhinney and Griffith, 1983)</w:t>
      </w:r>
      <w:r w:rsidR="0091689A" w:rsidRPr="00972C81">
        <w:rPr>
          <w:noProof/>
        </w:rPr>
        <w:fldChar w:fldCharType="end"/>
      </w:r>
      <w:r w:rsidRPr="00972C81">
        <w:rPr>
          <w:noProof/>
        </w:rPr>
        <w:t xml:space="preserve"> applied nearly equally well to </w:t>
      </w:r>
      <w:r w:rsidRPr="00972C81">
        <w:rPr>
          <w:noProof/>
          <w:vertAlign w:val="superscript"/>
        </w:rPr>
        <w:t>244</w:t>
      </w:r>
      <w:r w:rsidRPr="00972C81">
        <w:rPr>
          <w:noProof/>
        </w:rPr>
        <w:t xml:space="preserve">Cm with regard to the </w:t>
      </w:r>
      <w:r w:rsidR="00BB503E">
        <w:rPr>
          <w:noProof/>
        </w:rPr>
        <w:t>behaviour</w:t>
      </w:r>
      <w:r w:rsidRPr="00972C81">
        <w:rPr>
          <w:noProof/>
        </w:rPr>
        <w:t xml:space="preserve"> of absorbed activity.</w:t>
      </w:r>
    </w:p>
    <w:p w14:paraId="5C8229A6" w14:textId="77777777" w:rsidR="009A3613" w:rsidRPr="00972C81" w:rsidRDefault="009A3613" w:rsidP="006703A2">
      <w:pPr>
        <w:pStyle w:val="OIRTitre4"/>
      </w:pPr>
      <w:r w:rsidRPr="00972C81">
        <w:t>Systemic model</w:t>
      </w:r>
    </w:p>
    <w:p w14:paraId="62F11F14" w14:textId="77777777" w:rsidR="009A3613" w:rsidRPr="00972C81" w:rsidRDefault="009A3613" w:rsidP="001C4A92">
      <w:pPr>
        <w:pStyle w:val="Annalstext"/>
        <w:rPr>
          <w:noProof/>
        </w:rPr>
      </w:pPr>
      <w:r w:rsidRPr="00972C81">
        <w:rPr>
          <w:noProof/>
        </w:rPr>
        <w:t xml:space="preserve">Result of experimental studies on laboratory animals indicate that the chemically similar elements americium and curium are also close physiological analogues. Although quantitative differences in the biokinetics of systemic americium and curium have been observed in some studies, such differences generally have not been statistically significant and in most cases are contradicted by results of separate investigations. In this report, the systemic biokinetic model adopted for americium is also applied to curium. </w:t>
      </w:r>
    </w:p>
    <w:p w14:paraId="1EFAC0F3" w14:textId="1EC19723" w:rsidR="009A3613" w:rsidRDefault="009A3613" w:rsidP="001C4A92">
      <w:pPr>
        <w:pStyle w:val="Annalstext"/>
        <w:rPr>
          <w:noProof/>
        </w:rPr>
      </w:pPr>
      <w:r w:rsidRPr="00972C81">
        <w:rPr>
          <w:noProof/>
        </w:rPr>
        <w:lastRenderedPageBreak/>
        <w:t>The structure of the systemic model for curium is shown in</w:t>
      </w:r>
      <w:r w:rsidR="0091689A" w:rsidRPr="00972C81">
        <w:rPr>
          <w:noProof/>
        </w:rPr>
        <w:t xml:space="preserve"> </w:t>
      </w:r>
      <w:r w:rsidR="0091689A" w:rsidRPr="00972C81">
        <w:rPr>
          <w:noProof/>
        </w:rPr>
        <w:fldChar w:fldCharType="begin"/>
      </w:r>
      <w:r w:rsidR="0091689A" w:rsidRPr="00972C81">
        <w:rPr>
          <w:noProof/>
        </w:rPr>
        <w:instrText xml:space="preserve"> REF _Ref147165016 \h </w:instrText>
      </w:r>
      <w:r w:rsidR="0091689A" w:rsidRPr="00972C81">
        <w:rPr>
          <w:noProof/>
        </w:rPr>
      </w:r>
      <w:r w:rsidR="0091689A" w:rsidRPr="00972C81">
        <w:rPr>
          <w:noProof/>
        </w:rPr>
        <w:fldChar w:fldCharType="separate"/>
      </w:r>
      <w:r w:rsidR="00A41AD1" w:rsidRPr="00972C81">
        <w:rPr>
          <w:noProof/>
        </w:rPr>
        <w:t xml:space="preserve">Fig </w:t>
      </w:r>
      <w:r w:rsidR="00A41AD1">
        <w:rPr>
          <w:noProof/>
        </w:rPr>
        <w:t>24</w:t>
      </w:r>
      <w:r w:rsidR="00A41AD1" w:rsidRPr="00972C81">
        <w:rPr>
          <w:noProof/>
        </w:rPr>
        <w:t>.</w:t>
      </w:r>
      <w:r w:rsidR="00A41AD1">
        <w:rPr>
          <w:noProof/>
        </w:rPr>
        <w:t>1</w:t>
      </w:r>
      <w:r w:rsidR="0091689A" w:rsidRPr="00972C81">
        <w:rPr>
          <w:noProof/>
        </w:rPr>
        <w:fldChar w:fldCharType="end"/>
      </w:r>
      <w:r w:rsidRPr="00972C81">
        <w:rPr>
          <w:noProof/>
        </w:rPr>
        <w:t xml:space="preserve">. Parameter values are listed in </w:t>
      </w:r>
      <w:r w:rsidR="0091689A" w:rsidRPr="00972C81">
        <w:rPr>
          <w:noProof/>
        </w:rPr>
        <w:fldChar w:fldCharType="begin"/>
      </w:r>
      <w:r w:rsidR="0091689A" w:rsidRPr="00972C81">
        <w:rPr>
          <w:noProof/>
        </w:rPr>
        <w:instrText xml:space="preserve"> REF _Ref147165003 \h </w:instrText>
      </w:r>
      <w:r w:rsidR="0091689A" w:rsidRPr="00972C81">
        <w:rPr>
          <w:noProof/>
        </w:rPr>
      </w:r>
      <w:r w:rsidR="0091689A" w:rsidRPr="00972C81">
        <w:rPr>
          <w:noProof/>
        </w:rPr>
        <w:fldChar w:fldCharType="separate"/>
      </w:r>
      <w:r w:rsidR="00A41AD1" w:rsidRPr="00972C81">
        <w:rPr>
          <w:noProof/>
        </w:rPr>
        <w:t xml:space="preserve">Table </w:t>
      </w:r>
      <w:r w:rsidR="00A41AD1">
        <w:rPr>
          <w:noProof/>
        </w:rPr>
        <w:t>24</w:t>
      </w:r>
      <w:r w:rsidR="00A41AD1" w:rsidRPr="00972C81">
        <w:rPr>
          <w:noProof/>
        </w:rPr>
        <w:t>.</w:t>
      </w:r>
      <w:r w:rsidR="00A41AD1">
        <w:rPr>
          <w:noProof/>
        </w:rPr>
        <w:t>2</w:t>
      </w:r>
      <w:r w:rsidR="0091689A" w:rsidRPr="00972C81">
        <w:rPr>
          <w:noProof/>
        </w:rPr>
        <w:fldChar w:fldCharType="end"/>
      </w:r>
      <w:r w:rsidRPr="00972C81">
        <w:rPr>
          <w:noProof/>
        </w:rPr>
        <w:t>.</w:t>
      </w:r>
    </w:p>
    <w:p w14:paraId="0F66CBC9" w14:textId="77777777" w:rsidR="00A416F1" w:rsidRPr="00972C81" w:rsidRDefault="00A416F1" w:rsidP="00A416F1">
      <w:pPr>
        <w:pStyle w:val="Annalstext"/>
        <w:numPr>
          <w:ilvl w:val="0"/>
          <w:numId w:val="0"/>
        </w:numPr>
        <w:ind w:left="284"/>
        <w:rPr>
          <w:noProof/>
        </w:rPr>
      </w:pPr>
    </w:p>
    <w:p w14:paraId="14C8D9DC" w14:textId="29CC0623" w:rsidR="009A3613" w:rsidRPr="00972C81" w:rsidRDefault="00F103A8" w:rsidP="00A416F1">
      <w:pPr>
        <w:jc w:val="center"/>
        <w:rPr>
          <w:noProof/>
        </w:rPr>
      </w:pPr>
      <w:r>
        <w:rPr>
          <w:noProof/>
        </w:rPr>
        <w:drawing>
          <wp:inline distT="0" distB="0" distL="0" distR="0" wp14:anchorId="13144728" wp14:editId="0BFA863A">
            <wp:extent cx="4533900" cy="3490648"/>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4"/>
                    <a:stretch>
                      <a:fillRect/>
                    </a:stretch>
                  </pic:blipFill>
                  <pic:spPr>
                    <a:xfrm>
                      <a:off x="0" y="0"/>
                      <a:ext cx="4540488" cy="3495720"/>
                    </a:xfrm>
                    <a:prstGeom prst="rect">
                      <a:avLst/>
                    </a:prstGeom>
                  </pic:spPr>
                </pic:pic>
              </a:graphicData>
            </a:graphic>
          </wp:inline>
        </w:drawing>
      </w:r>
    </w:p>
    <w:p w14:paraId="44F3A418" w14:textId="03CFD67C" w:rsidR="009A3613" w:rsidRPr="00C47F2F" w:rsidRDefault="0091689A" w:rsidP="00E81109">
      <w:pPr>
        <w:pStyle w:val="ab"/>
        <w:rPr>
          <w:noProof/>
          <w:sz w:val="24"/>
          <w:szCs w:val="24"/>
        </w:rPr>
      </w:pPr>
      <w:bookmarkStart w:id="363" w:name="_Ref147165016"/>
      <w:r w:rsidRPr="00C47F2F">
        <w:rPr>
          <w:noProof/>
          <w:sz w:val="24"/>
          <w:szCs w:val="24"/>
        </w:rPr>
        <w:t xml:space="preserve">Fig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24</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Figure \* ARABIC \s 1 </w:instrText>
      </w:r>
      <w:r w:rsidR="00EA3750" w:rsidRPr="00C47F2F">
        <w:rPr>
          <w:noProof/>
          <w:sz w:val="24"/>
          <w:szCs w:val="24"/>
        </w:rPr>
        <w:fldChar w:fldCharType="separate"/>
      </w:r>
      <w:r w:rsidR="00A41AD1" w:rsidRPr="00C47F2F">
        <w:rPr>
          <w:noProof/>
          <w:sz w:val="24"/>
          <w:szCs w:val="24"/>
        </w:rPr>
        <w:t>1</w:t>
      </w:r>
      <w:r w:rsidR="00EA3750" w:rsidRPr="00C47F2F">
        <w:rPr>
          <w:noProof/>
          <w:sz w:val="24"/>
          <w:szCs w:val="24"/>
        </w:rPr>
        <w:fldChar w:fldCharType="end"/>
      </w:r>
      <w:bookmarkEnd w:id="363"/>
      <w:r w:rsidRPr="00C47F2F">
        <w:rPr>
          <w:noProof/>
          <w:sz w:val="24"/>
          <w:szCs w:val="24"/>
        </w:rPr>
        <w:t>.</w:t>
      </w:r>
      <w:r w:rsidR="009A3613" w:rsidRPr="00C47F2F">
        <w:rPr>
          <w:noProof/>
          <w:sz w:val="24"/>
          <w:szCs w:val="24"/>
        </w:rPr>
        <w:t xml:space="preserve"> Structure of the systemic model for curium.</w:t>
      </w:r>
    </w:p>
    <w:p w14:paraId="0BED2520" w14:textId="77777777" w:rsidR="004836EE" w:rsidRPr="00972C81" w:rsidRDefault="004836EE" w:rsidP="001C4A92">
      <w:pPr>
        <w:pStyle w:val="MainTextPreference"/>
        <w:rPr>
          <w:noProof/>
        </w:rPr>
      </w:pPr>
    </w:p>
    <w:p w14:paraId="2A9E5A32" w14:textId="6A96792A" w:rsidR="009A3613" w:rsidRPr="00C47F2F" w:rsidRDefault="0091689A" w:rsidP="00E81109">
      <w:pPr>
        <w:pStyle w:val="ab"/>
        <w:rPr>
          <w:noProof/>
          <w:sz w:val="24"/>
          <w:szCs w:val="24"/>
        </w:rPr>
      </w:pPr>
      <w:bookmarkStart w:id="364" w:name="_Ref147165003"/>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24</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2</w:t>
      </w:r>
      <w:r w:rsidR="00EA3750" w:rsidRPr="00C47F2F">
        <w:rPr>
          <w:noProof/>
          <w:sz w:val="24"/>
          <w:szCs w:val="24"/>
        </w:rPr>
        <w:fldChar w:fldCharType="end"/>
      </w:r>
      <w:bookmarkEnd w:id="364"/>
      <w:r w:rsidRPr="00C47F2F">
        <w:rPr>
          <w:noProof/>
          <w:sz w:val="24"/>
          <w:szCs w:val="24"/>
        </w:rPr>
        <w:t>.</w:t>
      </w:r>
      <w:r w:rsidR="00D4443E" w:rsidRPr="00C47F2F">
        <w:rPr>
          <w:noProof/>
          <w:sz w:val="24"/>
          <w:szCs w:val="24"/>
        </w:rPr>
        <w:t xml:space="preserve"> Age-specific transfer coefficients for curium.</w:t>
      </w:r>
    </w:p>
    <w:tbl>
      <w:tblPr>
        <w:tblW w:w="5000" w:type="pct"/>
        <w:tblLayout w:type="fixed"/>
        <w:tblCellMar>
          <w:right w:w="57" w:type="dxa"/>
        </w:tblCellMar>
        <w:tblLook w:val="04A0" w:firstRow="1" w:lastRow="0" w:firstColumn="1" w:lastColumn="0" w:noHBand="0" w:noVBand="1"/>
      </w:tblPr>
      <w:tblGrid>
        <w:gridCol w:w="3095"/>
        <w:gridCol w:w="988"/>
        <w:gridCol w:w="988"/>
        <w:gridCol w:w="989"/>
        <w:gridCol w:w="989"/>
        <w:gridCol w:w="989"/>
        <w:gridCol w:w="989"/>
      </w:tblGrid>
      <w:tr w:rsidR="009A3613" w:rsidRPr="00972C81" w14:paraId="40032F29" w14:textId="77777777" w:rsidTr="00A416F1">
        <w:trPr>
          <w:trHeight w:val="300"/>
        </w:trPr>
        <w:tc>
          <w:tcPr>
            <w:tcW w:w="3095" w:type="dxa"/>
            <w:vMerge w:val="restart"/>
            <w:tcBorders>
              <w:top w:val="single" w:sz="4" w:space="0" w:color="auto"/>
            </w:tcBorders>
            <w:shd w:val="clear" w:color="auto" w:fill="auto"/>
            <w:noWrap/>
            <w:vAlign w:val="center"/>
          </w:tcPr>
          <w:p w14:paraId="42905977" w14:textId="69E58F77" w:rsidR="009A3613" w:rsidRPr="00972C81" w:rsidRDefault="009A3613" w:rsidP="00A416F1">
            <w:pPr>
              <w:pStyle w:val="Table"/>
              <w:rPr>
                <w:noProof/>
              </w:rPr>
            </w:pPr>
            <w:r w:rsidRPr="00972C81">
              <w:rPr>
                <w:noProof/>
              </w:rPr>
              <w:t>Pathway</w:t>
            </w:r>
            <w:r w:rsidR="00F103A8" w:rsidRPr="00F103A8">
              <w:rPr>
                <w:noProof/>
                <w:vertAlign w:val="superscript"/>
              </w:rPr>
              <w:t>a</w:t>
            </w:r>
          </w:p>
        </w:tc>
        <w:tc>
          <w:tcPr>
            <w:tcW w:w="5932" w:type="dxa"/>
            <w:gridSpan w:val="6"/>
            <w:tcBorders>
              <w:top w:val="single" w:sz="4" w:space="0" w:color="auto"/>
              <w:bottom w:val="single" w:sz="4" w:space="0" w:color="auto"/>
            </w:tcBorders>
            <w:shd w:val="clear" w:color="auto" w:fill="auto"/>
            <w:noWrap/>
            <w:vAlign w:val="center"/>
          </w:tcPr>
          <w:p w14:paraId="36C50951" w14:textId="77777777" w:rsidR="009A3613" w:rsidRPr="00972C81" w:rsidRDefault="009A3613" w:rsidP="00A416F1">
            <w:pPr>
              <w:pStyle w:val="Table"/>
              <w:jc w:val="center"/>
              <w:rPr>
                <w:noProof/>
              </w:rPr>
            </w:pPr>
            <w:r w:rsidRPr="00972C81">
              <w:rPr>
                <w:noProof/>
              </w:rPr>
              <w:t>Transfer coefficient (d-1)</w:t>
            </w:r>
          </w:p>
        </w:tc>
      </w:tr>
      <w:tr w:rsidR="00100C52" w:rsidRPr="00972C81" w14:paraId="77BCC21C" w14:textId="77777777" w:rsidTr="00A416F1">
        <w:trPr>
          <w:trHeight w:val="300"/>
        </w:trPr>
        <w:tc>
          <w:tcPr>
            <w:tcW w:w="3095" w:type="dxa"/>
            <w:vMerge/>
            <w:tcBorders>
              <w:bottom w:val="single" w:sz="4" w:space="0" w:color="auto"/>
            </w:tcBorders>
            <w:shd w:val="clear" w:color="auto" w:fill="auto"/>
            <w:noWrap/>
          </w:tcPr>
          <w:p w14:paraId="5534FD5A" w14:textId="77777777" w:rsidR="009A3613" w:rsidRPr="00972C81" w:rsidRDefault="009A3613" w:rsidP="00E81109">
            <w:pPr>
              <w:pStyle w:val="Table"/>
              <w:rPr>
                <w:noProof/>
                <w:color w:val="000000"/>
              </w:rPr>
            </w:pPr>
          </w:p>
        </w:tc>
        <w:tc>
          <w:tcPr>
            <w:tcW w:w="988" w:type="dxa"/>
            <w:tcBorders>
              <w:top w:val="single" w:sz="4" w:space="0" w:color="auto"/>
              <w:bottom w:val="single" w:sz="4" w:space="0" w:color="auto"/>
            </w:tcBorders>
            <w:shd w:val="clear" w:color="auto" w:fill="auto"/>
            <w:noWrap/>
            <w:vAlign w:val="center"/>
          </w:tcPr>
          <w:p w14:paraId="6CE84E25" w14:textId="77777777" w:rsidR="009A3613" w:rsidRPr="00972C81" w:rsidRDefault="009A3613" w:rsidP="00A416F1">
            <w:pPr>
              <w:pStyle w:val="Table"/>
              <w:rPr>
                <w:noProof/>
                <w:color w:val="000000"/>
              </w:rPr>
            </w:pPr>
            <w:r w:rsidRPr="00972C81">
              <w:rPr>
                <w:noProof/>
              </w:rPr>
              <w:t>100 d</w:t>
            </w:r>
          </w:p>
        </w:tc>
        <w:tc>
          <w:tcPr>
            <w:tcW w:w="988" w:type="dxa"/>
            <w:tcBorders>
              <w:top w:val="single" w:sz="4" w:space="0" w:color="auto"/>
              <w:bottom w:val="single" w:sz="4" w:space="0" w:color="auto"/>
            </w:tcBorders>
            <w:shd w:val="clear" w:color="auto" w:fill="auto"/>
            <w:noWrap/>
            <w:vAlign w:val="center"/>
          </w:tcPr>
          <w:p w14:paraId="270AC33A" w14:textId="77777777" w:rsidR="009A3613" w:rsidRPr="00972C81" w:rsidRDefault="009A3613" w:rsidP="00A416F1">
            <w:pPr>
              <w:pStyle w:val="Table"/>
              <w:rPr>
                <w:noProof/>
                <w:color w:val="000000"/>
              </w:rPr>
            </w:pPr>
            <w:r w:rsidRPr="00972C81">
              <w:rPr>
                <w:noProof/>
              </w:rPr>
              <w:t>1 y</w:t>
            </w:r>
          </w:p>
        </w:tc>
        <w:tc>
          <w:tcPr>
            <w:tcW w:w="989" w:type="dxa"/>
            <w:tcBorders>
              <w:top w:val="single" w:sz="4" w:space="0" w:color="auto"/>
              <w:bottom w:val="single" w:sz="4" w:space="0" w:color="auto"/>
            </w:tcBorders>
            <w:shd w:val="clear" w:color="auto" w:fill="auto"/>
            <w:noWrap/>
            <w:vAlign w:val="center"/>
          </w:tcPr>
          <w:p w14:paraId="62F03D31" w14:textId="77777777" w:rsidR="009A3613" w:rsidRPr="00972C81" w:rsidRDefault="009A3613" w:rsidP="00A416F1">
            <w:pPr>
              <w:pStyle w:val="Table"/>
              <w:rPr>
                <w:noProof/>
                <w:color w:val="000000"/>
              </w:rPr>
            </w:pPr>
            <w:r w:rsidRPr="00972C81">
              <w:rPr>
                <w:noProof/>
              </w:rPr>
              <w:t>5 y</w:t>
            </w:r>
          </w:p>
        </w:tc>
        <w:tc>
          <w:tcPr>
            <w:tcW w:w="989" w:type="dxa"/>
            <w:tcBorders>
              <w:top w:val="single" w:sz="4" w:space="0" w:color="auto"/>
              <w:bottom w:val="single" w:sz="4" w:space="0" w:color="auto"/>
            </w:tcBorders>
            <w:shd w:val="clear" w:color="auto" w:fill="auto"/>
            <w:noWrap/>
            <w:vAlign w:val="center"/>
          </w:tcPr>
          <w:p w14:paraId="356878B0" w14:textId="77777777" w:rsidR="009A3613" w:rsidRPr="00972C81" w:rsidRDefault="009A3613" w:rsidP="00A416F1">
            <w:pPr>
              <w:pStyle w:val="Table"/>
              <w:rPr>
                <w:noProof/>
                <w:color w:val="000000"/>
              </w:rPr>
            </w:pPr>
            <w:r w:rsidRPr="00972C81">
              <w:rPr>
                <w:noProof/>
              </w:rPr>
              <w:t>10 y</w:t>
            </w:r>
          </w:p>
        </w:tc>
        <w:tc>
          <w:tcPr>
            <w:tcW w:w="989" w:type="dxa"/>
            <w:tcBorders>
              <w:top w:val="single" w:sz="4" w:space="0" w:color="auto"/>
              <w:bottom w:val="single" w:sz="4" w:space="0" w:color="auto"/>
            </w:tcBorders>
            <w:shd w:val="clear" w:color="auto" w:fill="auto"/>
            <w:noWrap/>
            <w:vAlign w:val="center"/>
          </w:tcPr>
          <w:p w14:paraId="03EAC365" w14:textId="77777777" w:rsidR="009A3613" w:rsidRPr="00972C81" w:rsidRDefault="009A3613" w:rsidP="00A416F1">
            <w:pPr>
              <w:pStyle w:val="Table"/>
              <w:rPr>
                <w:noProof/>
                <w:color w:val="000000"/>
              </w:rPr>
            </w:pPr>
            <w:r w:rsidRPr="00972C81">
              <w:rPr>
                <w:noProof/>
              </w:rPr>
              <w:t>15 y</w:t>
            </w:r>
          </w:p>
        </w:tc>
        <w:tc>
          <w:tcPr>
            <w:tcW w:w="989" w:type="dxa"/>
            <w:tcBorders>
              <w:top w:val="single" w:sz="4" w:space="0" w:color="auto"/>
              <w:bottom w:val="single" w:sz="4" w:space="0" w:color="auto"/>
            </w:tcBorders>
            <w:shd w:val="clear" w:color="auto" w:fill="auto"/>
            <w:noWrap/>
            <w:vAlign w:val="center"/>
          </w:tcPr>
          <w:p w14:paraId="6056A9CB" w14:textId="77777777" w:rsidR="009A3613" w:rsidRPr="00972C81" w:rsidRDefault="009A3613" w:rsidP="00A416F1">
            <w:pPr>
              <w:pStyle w:val="Table"/>
              <w:rPr>
                <w:noProof/>
                <w:color w:val="000000"/>
              </w:rPr>
            </w:pPr>
            <w:r w:rsidRPr="00972C81">
              <w:rPr>
                <w:noProof/>
              </w:rPr>
              <w:t>Adult</w:t>
            </w:r>
          </w:p>
        </w:tc>
      </w:tr>
      <w:tr w:rsidR="00F103A8" w:rsidRPr="00972C81" w14:paraId="45B87947" w14:textId="77777777" w:rsidTr="00A416F1">
        <w:trPr>
          <w:trHeight w:val="340"/>
        </w:trPr>
        <w:tc>
          <w:tcPr>
            <w:tcW w:w="3095" w:type="dxa"/>
            <w:tcBorders>
              <w:top w:val="single" w:sz="4" w:space="0" w:color="auto"/>
            </w:tcBorders>
            <w:shd w:val="clear" w:color="auto" w:fill="auto"/>
            <w:noWrap/>
            <w:vAlign w:val="center"/>
          </w:tcPr>
          <w:p w14:paraId="1F6FA58F" w14:textId="0EE975A1" w:rsidR="00F103A8" w:rsidRPr="00F103A8" w:rsidRDefault="00F103A8" w:rsidP="00A416F1">
            <w:pPr>
              <w:pStyle w:val="Table"/>
              <w:rPr>
                <w:noProof/>
                <w:sz w:val="20"/>
                <w:szCs w:val="22"/>
              </w:rPr>
            </w:pPr>
            <w:r w:rsidRPr="00F103A8">
              <w:rPr>
                <w:noProof/>
                <w:sz w:val="20"/>
                <w:szCs w:val="22"/>
              </w:rPr>
              <w:t>Blood to Liver 1</w:t>
            </w:r>
          </w:p>
        </w:tc>
        <w:tc>
          <w:tcPr>
            <w:tcW w:w="988" w:type="dxa"/>
            <w:tcBorders>
              <w:top w:val="single" w:sz="4" w:space="0" w:color="auto"/>
            </w:tcBorders>
            <w:shd w:val="clear" w:color="auto" w:fill="auto"/>
            <w:noWrap/>
            <w:vAlign w:val="center"/>
          </w:tcPr>
          <w:p w14:paraId="192F1C51" w14:textId="77777777" w:rsidR="00F103A8" w:rsidRPr="00C47F2F" w:rsidRDefault="00F103A8" w:rsidP="00A416F1">
            <w:pPr>
              <w:pStyle w:val="Table"/>
              <w:rPr>
                <w:noProof/>
                <w:sz w:val="20"/>
                <w:szCs w:val="20"/>
              </w:rPr>
            </w:pPr>
            <w:r w:rsidRPr="00C47F2F">
              <w:rPr>
                <w:noProof/>
                <w:sz w:val="20"/>
                <w:szCs w:val="20"/>
              </w:rPr>
              <w:t>2.33E+00</w:t>
            </w:r>
          </w:p>
        </w:tc>
        <w:tc>
          <w:tcPr>
            <w:tcW w:w="988" w:type="dxa"/>
            <w:tcBorders>
              <w:top w:val="single" w:sz="4" w:space="0" w:color="auto"/>
            </w:tcBorders>
            <w:shd w:val="clear" w:color="auto" w:fill="auto"/>
            <w:noWrap/>
            <w:vAlign w:val="center"/>
          </w:tcPr>
          <w:p w14:paraId="3F5E2033" w14:textId="77777777" w:rsidR="00F103A8" w:rsidRPr="00C47F2F" w:rsidRDefault="00F103A8" w:rsidP="00A416F1">
            <w:pPr>
              <w:pStyle w:val="Table"/>
              <w:rPr>
                <w:noProof/>
                <w:sz w:val="20"/>
                <w:szCs w:val="20"/>
              </w:rPr>
            </w:pPr>
            <w:r w:rsidRPr="00C47F2F">
              <w:rPr>
                <w:noProof/>
                <w:sz w:val="20"/>
                <w:szCs w:val="20"/>
              </w:rPr>
              <w:t>2.33E+00</w:t>
            </w:r>
          </w:p>
        </w:tc>
        <w:tc>
          <w:tcPr>
            <w:tcW w:w="989" w:type="dxa"/>
            <w:tcBorders>
              <w:top w:val="single" w:sz="4" w:space="0" w:color="auto"/>
            </w:tcBorders>
            <w:shd w:val="clear" w:color="auto" w:fill="auto"/>
            <w:noWrap/>
            <w:vAlign w:val="center"/>
          </w:tcPr>
          <w:p w14:paraId="19061707" w14:textId="77777777" w:rsidR="00F103A8" w:rsidRPr="00C47F2F" w:rsidRDefault="00F103A8" w:rsidP="00A416F1">
            <w:pPr>
              <w:pStyle w:val="Table"/>
              <w:rPr>
                <w:noProof/>
                <w:sz w:val="20"/>
                <w:szCs w:val="20"/>
              </w:rPr>
            </w:pPr>
            <w:r w:rsidRPr="00C47F2F">
              <w:rPr>
                <w:noProof/>
                <w:sz w:val="20"/>
                <w:szCs w:val="20"/>
              </w:rPr>
              <w:t>6.98E+00</w:t>
            </w:r>
          </w:p>
        </w:tc>
        <w:tc>
          <w:tcPr>
            <w:tcW w:w="989" w:type="dxa"/>
            <w:tcBorders>
              <w:top w:val="single" w:sz="4" w:space="0" w:color="auto"/>
            </w:tcBorders>
            <w:shd w:val="clear" w:color="auto" w:fill="auto"/>
            <w:noWrap/>
            <w:vAlign w:val="center"/>
          </w:tcPr>
          <w:p w14:paraId="19AE1A7F" w14:textId="77777777" w:rsidR="00F103A8" w:rsidRPr="00C47F2F" w:rsidRDefault="00F103A8" w:rsidP="00A416F1">
            <w:pPr>
              <w:pStyle w:val="Table"/>
              <w:rPr>
                <w:noProof/>
                <w:sz w:val="20"/>
                <w:szCs w:val="20"/>
              </w:rPr>
            </w:pPr>
            <w:r w:rsidRPr="00C47F2F">
              <w:rPr>
                <w:noProof/>
                <w:sz w:val="20"/>
                <w:szCs w:val="20"/>
              </w:rPr>
              <w:t>6.98E+00</w:t>
            </w:r>
          </w:p>
        </w:tc>
        <w:tc>
          <w:tcPr>
            <w:tcW w:w="989" w:type="dxa"/>
            <w:tcBorders>
              <w:top w:val="single" w:sz="4" w:space="0" w:color="auto"/>
            </w:tcBorders>
            <w:shd w:val="clear" w:color="auto" w:fill="auto"/>
            <w:noWrap/>
            <w:vAlign w:val="center"/>
          </w:tcPr>
          <w:p w14:paraId="473B4165" w14:textId="77777777" w:rsidR="00F103A8" w:rsidRPr="00C47F2F" w:rsidRDefault="00F103A8" w:rsidP="00A416F1">
            <w:pPr>
              <w:pStyle w:val="Table"/>
              <w:rPr>
                <w:noProof/>
                <w:sz w:val="20"/>
                <w:szCs w:val="20"/>
              </w:rPr>
            </w:pPr>
            <w:r w:rsidRPr="00C47F2F">
              <w:rPr>
                <w:noProof/>
                <w:sz w:val="20"/>
                <w:szCs w:val="20"/>
              </w:rPr>
              <w:t>6.98E+00</w:t>
            </w:r>
          </w:p>
        </w:tc>
        <w:tc>
          <w:tcPr>
            <w:tcW w:w="989" w:type="dxa"/>
            <w:tcBorders>
              <w:top w:val="single" w:sz="4" w:space="0" w:color="auto"/>
            </w:tcBorders>
            <w:shd w:val="clear" w:color="auto" w:fill="auto"/>
            <w:noWrap/>
            <w:vAlign w:val="center"/>
          </w:tcPr>
          <w:p w14:paraId="47488F91" w14:textId="77777777" w:rsidR="00F103A8" w:rsidRPr="00C47F2F" w:rsidRDefault="00F103A8" w:rsidP="00A416F1">
            <w:pPr>
              <w:pStyle w:val="Table"/>
              <w:rPr>
                <w:noProof/>
                <w:sz w:val="20"/>
                <w:szCs w:val="20"/>
              </w:rPr>
            </w:pPr>
            <w:r w:rsidRPr="00C47F2F">
              <w:rPr>
                <w:noProof/>
                <w:sz w:val="20"/>
                <w:szCs w:val="20"/>
              </w:rPr>
              <w:t>1.16E+01</w:t>
            </w:r>
          </w:p>
        </w:tc>
      </w:tr>
      <w:tr w:rsidR="00F103A8" w:rsidRPr="00972C81" w14:paraId="7D60D0D9" w14:textId="77777777" w:rsidTr="00A416F1">
        <w:trPr>
          <w:trHeight w:val="340"/>
        </w:trPr>
        <w:tc>
          <w:tcPr>
            <w:tcW w:w="3095" w:type="dxa"/>
            <w:shd w:val="clear" w:color="auto" w:fill="auto"/>
            <w:noWrap/>
            <w:vAlign w:val="center"/>
          </w:tcPr>
          <w:p w14:paraId="51117D32" w14:textId="4D75182A" w:rsidR="00F103A8" w:rsidRPr="00F103A8" w:rsidRDefault="00F103A8" w:rsidP="00A416F1">
            <w:pPr>
              <w:pStyle w:val="Table"/>
              <w:rPr>
                <w:noProof/>
                <w:sz w:val="20"/>
                <w:szCs w:val="22"/>
              </w:rPr>
            </w:pPr>
            <w:r w:rsidRPr="00F103A8">
              <w:rPr>
                <w:noProof/>
                <w:sz w:val="20"/>
                <w:szCs w:val="22"/>
              </w:rPr>
              <w:t>Blood to  ST0</w:t>
            </w:r>
          </w:p>
        </w:tc>
        <w:tc>
          <w:tcPr>
            <w:tcW w:w="988" w:type="dxa"/>
            <w:shd w:val="clear" w:color="auto" w:fill="auto"/>
            <w:noWrap/>
            <w:vAlign w:val="center"/>
          </w:tcPr>
          <w:p w14:paraId="26FCD04A" w14:textId="77777777" w:rsidR="00F103A8" w:rsidRPr="00C47F2F" w:rsidRDefault="00F103A8" w:rsidP="00A416F1">
            <w:pPr>
              <w:pStyle w:val="Table"/>
              <w:rPr>
                <w:noProof/>
                <w:sz w:val="20"/>
                <w:szCs w:val="20"/>
              </w:rPr>
            </w:pPr>
            <w:r w:rsidRPr="00C47F2F">
              <w:rPr>
                <w:noProof/>
                <w:sz w:val="20"/>
                <w:szCs w:val="20"/>
              </w:rPr>
              <w:t>1.00E+01</w:t>
            </w:r>
          </w:p>
        </w:tc>
        <w:tc>
          <w:tcPr>
            <w:tcW w:w="988" w:type="dxa"/>
            <w:shd w:val="clear" w:color="auto" w:fill="auto"/>
            <w:noWrap/>
            <w:vAlign w:val="center"/>
          </w:tcPr>
          <w:p w14:paraId="4BCF7AA7" w14:textId="77777777" w:rsidR="00F103A8" w:rsidRPr="00C47F2F" w:rsidRDefault="00F103A8" w:rsidP="00A416F1">
            <w:pPr>
              <w:pStyle w:val="Table"/>
              <w:rPr>
                <w:noProof/>
                <w:sz w:val="20"/>
                <w:szCs w:val="20"/>
              </w:rPr>
            </w:pPr>
            <w:r w:rsidRPr="00C47F2F">
              <w:rPr>
                <w:noProof/>
                <w:sz w:val="20"/>
                <w:szCs w:val="20"/>
              </w:rPr>
              <w:t>1.00E+01</w:t>
            </w:r>
          </w:p>
        </w:tc>
        <w:tc>
          <w:tcPr>
            <w:tcW w:w="989" w:type="dxa"/>
            <w:shd w:val="clear" w:color="auto" w:fill="auto"/>
            <w:noWrap/>
            <w:vAlign w:val="center"/>
          </w:tcPr>
          <w:p w14:paraId="71A1355A" w14:textId="77777777" w:rsidR="00F103A8" w:rsidRPr="00C47F2F" w:rsidRDefault="00F103A8" w:rsidP="00A416F1">
            <w:pPr>
              <w:pStyle w:val="Table"/>
              <w:rPr>
                <w:noProof/>
                <w:sz w:val="20"/>
                <w:szCs w:val="20"/>
              </w:rPr>
            </w:pPr>
            <w:r w:rsidRPr="00C47F2F">
              <w:rPr>
                <w:noProof/>
                <w:sz w:val="20"/>
                <w:szCs w:val="20"/>
              </w:rPr>
              <w:t>1.00E+01</w:t>
            </w:r>
          </w:p>
        </w:tc>
        <w:tc>
          <w:tcPr>
            <w:tcW w:w="989" w:type="dxa"/>
            <w:shd w:val="clear" w:color="auto" w:fill="auto"/>
            <w:noWrap/>
            <w:vAlign w:val="center"/>
          </w:tcPr>
          <w:p w14:paraId="5088B1FC" w14:textId="77777777" w:rsidR="00F103A8" w:rsidRPr="00C47F2F" w:rsidRDefault="00F103A8" w:rsidP="00A416F1">
            <w:pPr>
              <w:pStyle w:val="Table"/>
              <w:rPr>
                <w:noProof/>
                <w:sz w:val="20"/>
                <w:szCs w:val="20"/>
              </w:rPr>
            </w:pPr>
            <w:r w:rsidRPr="00C47F2F">
              <w:rPr>
                <w:noProof/>
                <w:sz w:val="20"/>
                <w:szCs w:val="20"/>
              </w:rPr>
              <w:t>1.00E+01</w:t>
            </w:r>
          </w:p>
        </w:tc>
        <w:tc>
          <w:tcPr>
            <w:tcW w:w="989" w:type="dxa"/>
            <w:shd w:val="clear" w:color="auto" w:fill="auto"/>
            <w:noWrap/>
            <w:vAlign w:val="center"/>
          </w:tcPr>
          <w:p w14:paraId="2720E6CB" w14:textId="77777777" w:rsidR="00F103A8" w:rsidRPr="00C47F2F" w:rsidRDefault="00F103A8" w:rsidP="00A416F1">
            <w:pPr>
              <w:pStyle w:val="Table"/>
              <w:rPr>
                <w:noProof/>
                <w:sz w:val="20"/>
                <w:szCs w:val="20"/>
              </w:rPr>
            </w:pPr>
            <w:r w:rsidRPr="00C47F2F">
              <w:rPr>
                <w:noProof/>
                <w:sz w:val="20"/>
                <w:szCs w:val="20"/>
              </w:rPr>
              <w:t>1.00E+01</w:t>
            </w:r>
          </w:p>
        </w:tc>
        <w:tc>
          <w:tcPr>
            <w:tcW w:w="989" w:type="dxa"/>
            <w:shd w:val="clear" w:color="auto" w:fill="auto"/>
            <w:noWrap/>
            <w:vAlign w:val="center"/>
          </w:tcPr>
          <w:p w14:paraId="3442AFD8" w14:textId="77777777" w:rsidR="00F103A8" w:rsidRPr="00C47F2F" w:rsidRDefault="00F103A8" w:rsidP="00A416F1">
            <w:pPr>
              <w:pStyle w:val="Table"/>
              <w:rPr>
                <w:noProof/>
                <w:sz w:val="20"/>
                <w:szCs w:val="20"/>
              </w:rPr>
            </w:pPr>
            <w:r w:rsidRPr="00C47F2F">
              <w:rPr>
                <w:noProof/>
                <w:sz w:val="20"/>
                <w:szCs w:val="20"/>
              </w:rPr>
              <w:t>1.00E+01</w:t>
            </w:r>
          </w:p>
        </w:tc>
      </w:tr>
      <w:tr w:rsidR="00F103A8" w:rsidRPr="00972C81" w14:paraId="3DC6B626" w14:textId="77777777" w:rsidTr="00A416F1">
        <w:trPr>
          <w:trHeight w:val="340"/>
        </w:trPr>
        <w:tc>
          <w:tcPr>
            <w:tcW w:w="3095" w:type="dxa"/>
            <w:shd w:val="clear" w:color="auto" w:fill="auto"/>
            <w:noWrap/>
            <w:vAlign w:val="center"/>
          </w:tcPr>
          <w:p w14:paraId="06391DCE" w14:textId="765B6088" w:rsidR="00F103A8" w:rsidRPr="00F103A8" w:rsidRDefault="00F103A8" w:rsidP="00A416F1">
            <w:pPr>
              <w:pStyle w:val="Table"/>
              <w:rPr>
                <w:noProof/>
                <w:sz w:val="20"/>
                <w:szCs w:val="22"/>
              </w:rPr>
            </w:pPr>
            <w:r w:rsidRPr="00F103A8">
              <w:rPr>
                <w:noProof/>
                <w:sz w:val="20"/>
                <w:szCs w:val="22"/>
              </w:rPr>
              <w:t>Blood to  ST1</w:t>
            </w:r>
          </w:p>
        </w:tc>
        <w:tc>
          <w:tcPr>
            <w:tcW w:w="988" w:type="dxa"/>
            <w:shd w:val="clear" w:color="auto" w:fill="auto"/>
            <w:noWrap/>
            <w:vAlign w:val="center"/>
          </w:tcPr>
          <w:p w14:paraId="58391CCF" w14:textId="77777777" w:rsidR="00F103A8" w:rsidRPr="00C47F2F" w:rsidRDefault="00F103A8" w:rsidP="00A416F1">
            <w:pPr>
              <w:pStyle w:val="Table"/>
              <w:rPr>
                <w:noProof/>
                <w:sz w:val="20"/>
                <w:szCs w:val="20"/>
              </w:rPr>
            </w:pPr>
            <w:r w:rsidRPr="00C47F2F">
              <w:rPr>
                <w:noProof/>
                <w:sz w:val="20"/>
                <w:szCs w:val="20"/>
              </w:rPr>
              <w:t>1.67E+00</w:t>
            </w:r>
          </w:p>
        </w:tc>
        <w:tc>
          <w:tcPr>
            <w:tcW w:w="988" w:type="dxa"/>
            <w:shd w:val="clear" w:color="auto" w:fill="auto"/>
            <w:noWrap/>
            <w:vAlign w:val="center"/>
          </w:tcPr>
          <w:p w14:paraId="22131B26" w14:textId="77777777" w:rsidR="00F103A8" w:rsidRPr="00C47F2F" w:rsidRDefault="00F103A8" w:rsidP="00A416F1">
            <w:pPr>
              <w:pStyle w:val="Table"/>
              <w:rPr>
                <w:noProof/>
                <w:sz w:val="20"/>
                <w:szCs w:val="20"/>
              </w:rPr>
            </w:pPr>
            <w:r w:rsidRPr="00C47F2F">
              <w:rPr>
                <w:noProof/>
                <w:sz w:val="20"/>
                <w:szCs w:val="20"/>
              </w:rPr>
              <w:t>1.67E+00</w:t>
            </w:r>
          </w:p>
        </w:tc>
        <w:tc>
          <w:tcPr>
            <w:tcW w:w="989" w:type="dxa"/>
            <w:shd w:val="clear" w:color="auto" w:fill="auto"/>
            <w:noWrap/>
            <w:vAlign w:val="center"/>
          </w:tcPr>
          <w:p w14:paraId="52055480" w14:textId="77777777" w:rsidR="00F103A8" w:rsidRPr="00C47F2F" w:rsidRDefault="00F103A8" w:rsidP="00A416F1">
            <w:pPr>
              <w:pStyle w:val="Table"/>
              <w:rPr>
                <w:noProof/>
                <w:sz w:val="20"/>
                <w:szCs w:val="20"/>
              </w:rPr>
            </w:pPr>
            <w:r w:rsidRPr="00C47F2F">
              <w:rPr>
                <w:noProof/>
                <w:sz w:val="20"/>
                <w:szCs w:val="20"/>
              </w:rPr>
              <w:t>1.67E+00</w:t>
            </w:r>
          </w:p>
        </w:tc>
        <w:tc>
          <w:tcPr>
            <w:tcW w:w="989" w:type="dxa"/>
            <w:shd w:val="clear" w:color="auto" w:fill="auto"/>
            <w:noWrap/>
            <w:vAlign w:val="center"/>
          </w:tcPr>
          <w:p w14:paraId="31878838" w14:textId="77777777" w:rsidR="00F103A8" w:rsidRPr="00C47F2F" w:rsidRDefault="00F103A8" w:rsidP="00A416F1">
            <w:pPr>
              <w:pStyle w:val="Table"/>
              <w:rPr>
                <w:noProof/>
                <w:sz w:val="20"/>
                <w:szCs w:val="20"/>
              </w:rPr>
            </w:pPr>
            <w:r w:rsidRPr="00C47F2F">
              <w:rPr>
                <w:noProof/>
                <w:sz w:val="20"/>
                <w:szCs w:val="20"/>
              </w:rPr>
              <w:t>1.67E+00</w:t>
            </w:r>
          </w:p>
        </w:tc>
        <w:tc>
          <w:tcPr>
            <w:tcW w:w="989" w:type="dxa"/>
            <w:shd w:val="clear" w:color="auto" w:fill="auto"/>
            <w:noWrap/>
            <w:vAlign w:val="center"/>
          </w:tcPr>
          <w:p w14:paraId="37819E64" w14:textId="77777777" w:rsidR="00F103A8" w:rsidRPr="00C47F2F" w:rsidRDefault="00F103A8" w:rsidP="00A416F1">
            <w:pPr>
              <w:pStyle w:val="Table"/>
              <w:rPr>
                <w:noProof/>
                <w:sz w:val="20"/>
                <w:szCs w:val="20"/>
              </w:rPr>
            </w:pPr>
            <w:r w:rsidRPr="00C47F2F">
              <w:rPr>
                <w:noProof/>
                <w:sz w:val="20"/>
                <w:szCs w:val="20"/>
              </w:rPr>
              <w:t>1.67E+00</w:t>
            </w:r>
          </w:p>
        </w:tc>
        <w:tc>
          <w:tcPr>
            <w:tcW w:w="989" w:type="dxa"/>
            <w:shd w:val="clear" w:color="auto" w:fill="auto"/>
            <w:noWrap/>
            <w:vAlign w:val="center"/>
          </w:tcPr>
          <w:p w14:paraId="02A63833" w14:textId="77777777" w:rsidR="00F103A8" w:rsidRPr="00C47F2F" w:rsidRDefault="00F103A8" w:rsidP="00A416F1">
            <w:pPr>
              <w:pStyle w:val="Table"/>
              <w:rPr>
                <w:noProof/>
                <w:sz w:val="20"/>
                <w:szCs w:val="20"/>
              </w:rPr>
            </w:pPr>
            <w:r w:rsidRPr="00C47F2F">
              <w:rPr>
                <w:noProof/>
                <w:sz w:val="20"/>
                <w:szCs w:val="20"/>
              </w:rPr>
              <w:t>1.67E+00</w:t>
            </w:r>
          </w:p>
        </w:tc>
      </w:tr>
      <w:tr w:rsidR="00F103A8" w:rsidRPr="00972C81" w14:paraId="11C6A1A8" w14:textId="77777777" w:rsidTr="00A416F1">
        <w:trPr>
          <w:trHeight w:val="340"/>
        </w:trPr>
        <w:tc>
          <w:tcPr>
            <w:tcW w:w="3095" w:type="dxa"/>
            <w:shd w:val="clear" w:color="auto" w:fill="auto"/>
            <w:noWrap/>
            <w:vAlign w:val="center"/>
          </w:tcPr>
          <w:p w14:paraId="0B469D70" w14:textId="6E852CA0" w:rsidR="00F103A8" w:rsidRPr="00F103A8" w:rsidRDefault="00F103A8" w:rsidP="00A416F1">
            <w:pPr>
              <w:pStyle w:val="Table"/>
              <w:rPr>
                <w:noProof/>
                <w:sz w:val="20"/>
                <w:szCs w:val="22"/>
              </w:rPr>
            </w:pPr>
            <w:r w:rsidRPr="00F103A8">
              <w:rPr>
                <w:noProof/>
                <w:sz w:val="20"/>
                <w:szCs w:val="22"/>
              </w:rPr>
              <w:t>Blood to  ST2</w:t>
            </w:r>
          </w:p>
        </w:tc>
        <w:tc>
          <w:tcPr>
            <w:tcW w:w="988" w:type="dxa"/>
            <w:shd w:val="clear" w:color="auto" w:fill="auto"/>
            <w:noWrap/>
            <w:vAlign w:val="center"/>
          </w:tcPr>
          <w:p w14:paraId="2F127CB3" w14:textId="77777777" w:rsidR="00F103A8" w:rsidRPr="00C47F2F" w:rsidRDefault="00F103A8" w:rsidP="00A416F1">
            <w:pPr>
              <w:pStyle w:val="Table"/>
              <w:rPr>
                <w:noProof/>
                <w:sz w:val="20"/>
                <w:szCs w:val="20"/>
              </w:rPr>
            </w:pPr>
            <w:r w:rsidRPr="00C47F2F">
              <w:rPr>
                <w:noProof/>
                <w:sz w:val="20"/>
                <w:szCs w:val="20"/>
              </w:rPr>
              <w:t>4.66E-01</w:t>
            </w:r>
          </w:p>
        </w:tc>
        <w:tc>
          <w:tcPr>
            <w:tcW w:w="988" w:type="dxa"/>
            <w:shd w:val="clear" w:color="auto" w:fill="auto"/>
            <w:noWrap/>
            <w:vAlign w:val="center"/>
          </w:tcPr>
          <w:p w14:paraId="73469C8A" w14:textId="77777777" w:rsidR="00F103A8" w:rsidRPr="00C47F2F" w:rsidRDefault="00F103A8" w:rsidP="00A416F1">
            <w:pPr>
              <w:pStyle w:val="Table"/>
              <w:rPr>
                <w:noProof/>
                <w:sz w:val="20"/>
                <w:szCs w:val="20"/>
              </w:rPr>
            </w:pPr>
            <w:r w:rsidRPr="00C47F2F">
              <w:rPr>
                <w:noProof/>
                <w:sz w:val="20"/>
                <w:szCs w:val="20"/>
              </w:rPr>
              <w:t>4.66E-01</w:t>
            </w:r>
          </w:p>
        </w:tc>
        <w:tc>
          <w:tcPr>
            <w:tcW w:w="989" w:type="dxa"/>
            <w:shd w:val="clear" w:color="auto" w:fill="auto"/>
            <w:noWrap/>
            <w:vAlign w:val="center"/>
          </w:tcPr>
          <w:p w14:paraId="76F05F34" w14:textId="77777777" w:rsidR="00F103A8" w:rsidRPr="00C47F2F" w:rsidRDefault="00F103A8" w:rsidP="00A416F1">
            <w:pPr>
              <w:pStyle w:val="Table"/>
              <w:rPr>
                <w:noProof/>
                <w:sz w:val="20"/>
                <w:szCs w:val="20"/>
              </w:rPr>
            </w:pPr>
            <w:r w:rsidRPr="00C47F2F">
              <w:rPr>
                <w:noProof/>
                <w:sz w:val="20"/>
                <w:szCs w:val="20"/>
              </w:rPr>
              <w:t>4.66E-01</w:t>
            </w:r>
          </w:p>
        </w:tc>
        <w:tc>
          <w:tcPr>
            <w:tcW w:w="989" w:type="dxa"/>
            <w:shd w:val="clear" w:color="auto" w:fill="auto"/>
            <w:noWrap/>
            <w:vAlign w:val="center"/>
          </w:tcPr>
          <w:p w14:paraId="7E813E81" w14:textId="77777777" w:rsidR="00F103A8" w:rsidRPr="00C47F2F" w:rsidRDefault="00F103A8" w:rsidP="00A416F1">
            <w:pPr>
              <w:pStyle w:val="Table"/>
              <w:rPr>
                <w:noProof/>
                <w:sz w:val="20"/>
                <w:szCs w:val="20"/>
              </w:rPr>
            </w:pPr>
            <w:r w:rsidRPr="00C47F2F">
              <w:rPr>
                <w:noProof/>
                <w:sz w:val="20"/>
                <w:szCs w:val="20"/>
              </w:rPr>
              <w:t>4.66E-01</w:t>
            </w:r>
          </w:p>
        </w:tc>
        <w:tc>
          <w:tcPr>
            <w:tcW w:w="989" w:type="dxa"/>
            <w:shd w:val="clear" w:color="auto" w:fill="auto"/>
            <w:noWrap/>
            <w:vAlign w:val="center"/>
          </w:tcPr>
          <w:p w14:paraId="3F47DB5E" w14:textId="77777777" w:rsidR="00F103A8" w:rsidRPr="00C47F2F" w:rsidRDefault="00F103A8" w:rsidP="00A416F1">
            <w:pPr>
              <w:pStyle w:val="Table"/>
              <w:rPr>
                <w:noProof/>
                <w:sz w:val="20"/>
                <w:szCs w:val="20"/>
              </w:rPr>
            </w:pPr>
            <w:r w:rsidRPr="00C47F2F">
              <w:rPr>
                <w:noProof/>
                <w:sz w:val="20"/>
                <w:szCs w:val="20"/>
              </w:rPr>
              <w:t>4.66E-01</w:t>
            </w:r>
          </w:p>
        </w:tc>
        <w:tc>
          <w:tcPr>
            <w:tcW w:w="989" w:type="dxa"/>
            <w:shd w:val="clear" w:color="auto" w:fill="auto"/>
            <w:noWrap/>
            <w:vAlign w:val="center"/>
          </w:tcPr>
          <w:p w14:paraId="42B76C68" w14:textId="77777777" w:rsidR="00F103A8" w:rsidRPr="00C47F2F" w:rsidRDefault="00F103A8" w:rsidP="00A416F1">
            <w:pPr>
              <w:pStyle w:val="Table"/>
              <w:rPr>
                <w:noProof/>
                <w:sz w:val="20"/>
                <w:szCs w:val="20"/>
              </w:rPr>
            </w:pPr>
            <w:r w:rsidRPr="00C47F2F">
              <w:rPr>
                <w:noProof/>
                <w:sz w:val="20"/>
                <w:szCs w:val="20"/>
              </w:rPr>
              <w:t>4.66E-01</w:t>
            </w:r>
          </w:p>
        </w:tc>
      </w:tr>
      <w:tr w:rsidR="00F103A8" w:rsidRPr="00972C81" w14:paraId="7FCE784E" w14:textId="77777777" w:rsidTr="00A416F1">
        <w:trPr>
          <w:trHeight w:val="340"/>
        </w:trPr>
        <w:tc>
          <w:tcPr>
            <w:tcW w:w="3095" w:type="dxa"/>
            <w:shd w:val="clear" w:color="auto" w:fill="auto"/>
            <w:noWrap/>
            <w:vAlign w:val="center"/>
          </w:tcPr>
          <w:p w14:paraId="0C3475A3" w14:textId="5F25F80E" w:rsidR="00F103A8" w:rsidRPr="00F103A8" w:rsidRDefault="00F103A8" w:rsidP="00A416F1">
            <w:pPr>
              <w:pStyle w:val="Table"/>
              <w:rPr>
                <w:noProof/>
                <w:sz w:val="20"/>
                <w:szCs w:val="22"/>
              </w:rPr>
            </w:pPr>
            <w:r w:rsidRPr="00F103A8">
              <w:rPr>
                <w:noProof/>
                <w:sz w:val="20"/>
                <w:szCs w:val="22"/>
              </w:rPr>
              <w:t xml:space="preserve">Blood to Cort bone surf </w:t>
            </w:r>
          </w:p>
        </w:tc>
        <w:tc>
          <w:tcPr>
            <w:tcW w:w="988" w:type="dxa"/>
            <w:shd w:val="clear" w:color="auto" w:fill="auto"/>
            <w:noWrap/>
            <w:vAlign w:val="center"/>
          </w:tcPr>
          <w:p w14:paraId="5391AC41" w14:textId="77777777" w:rsidR="00F103A8" w:rsidRPr="00C47F2F" w:rsidRDefault="00F103A8" w:rsidP="00A416F1">
            <w:pPr>
              <w:pStyle w:val="Table"/>
              <w:rPr>
                <w:noProof/>
                <w:sz w:val="20"/>
                <w:szCs w:val="20"/>
              </w:rPr>
            </w:pPr>
            <w:r w:rsidRPr="00C47F2F">
              <w:rPr>
                <w:noProof/>
                <w:sz w:val="20"/>
                <w:szCs w:val="20"/>
              </w:rPr>
              <w:t>8.15E+00</w:t>
            </w:r>
          </w:p>
        </w:tc>
        <w:tc>
          <w:tcPr>
            <w:tcW w:w="988" w:type="dxa"/>
            <w:shd w:val="clear" w:color="auto" w:fill="auto"/>
            <w:noWrap/>
            <w:vAlign w:val="center"/>
          </w:tcPr>
          <w:p w14:paraId="168A22BE" w14:textId="77777777" w:rsidR="00F103A8" w:rsidRPr="00C47F2F" w:rsidRDefault="00F103A8" w:rsidP="00A416F1">
            <w:pPr>
              <w:pStyle w:val="Table"/>
              <w:rPr>
                <w:noProof/>
                <w:sz w:val="20"/>
                <w:szCs w:val="20"/>
              </w:rPr>
            </w:pPr>
            <w:r w:rsidRPr="00C47F2F">
              <w:rPr>
                <w:noProof/>
                <w:sz w:val="20"/>
                <w:szCs w:val="20"/>
              </w:rPr>
              <w:t>8.15E+00</w:t>
            </w:r>
          </w:p>
        </w:tc>
        <w:tc>
          <w:tcPr>
            <w:tcW w:w="989" w:type="dxa"/>
            <w:shd w:val="clear" w:color="auto" w:fill="auto"/>
            <w:noWrap/>
            <w:vAlign w:val="center"/>
          </w:tcPr>
          <w:p w14:paraId="4C63806E" w14:textId="77777777" w:rsidR="00F103A8" w:rsidRPr="00C47F2F" w:rsidRDefault="00F103A8" w:rsidP="00A416F1">
            <w:pPr>
              <w:pStyle w:val="Table"/>
              <w:rPr>
                <w:noProof/>
                <w:sz w:val="20"/>
                <w:szCs w:val="20"/>
              </w:rPr>
            </w:pPr>
            <w:r w:rsidRPr="00C47F2F">
              <w:rPr>
                <w:noProof/>
                <w:sz w:val="20"/>
                <w:szCs w:val="20"/>
              </w:rPr>
              <w:t>5.82E+00</w:t>
            </w:r>
          </w:p>
        </w:tc>
        <w:tc>
          <w:tcPr>
            <w:tcW w:w="989" w:type="dxa"/>
            <w:shd w:val="clear" w:color="auto" w:fill="auto"/>
            <w:noWrap/>
            <w:vAlign w:val="center"/>
          </w:tcPr>
          <w:p w14:paraId="2042D8A6" w14:textId="77777777" w:rsidR="00F103A8" w:rsidRPr="00C47F2F" w:rsidRDefault="00F103A8" w:rsidP="00A416F1">
            <w:pPr>
              <w:pStyle w:val="Table"/>
              <w:rPr>
                <w:noProof/>
                <w:sz w:val="20"/>
                <w:szCs w:val="20"/>
              </w:rPr>
            </w:pPr>
            <w:r w:rsidRPr="00C47F2F">
              <w:rPr>
                <w:noProof/>
                <w:sz w:val="20"/>
                <w:szCs w:val="20"/>
              </w:rPr>
              <w:t>5.82E+00</w:t>
            </w:r>
          </w:p>
        </w:tc>
        <w:tc>
          <w:tcPr>
            <w:tcW w:w="989" w:type="dxa"/>
            <w:shd w:val="clear" w:color="auto" w:fill="auto"/>
            <w:noWrap/>
            <w:vAlign w:val="center"/>
          </w:tcPr>
          <w:p w14:paraId="3F7E263B" w14:textId="77777777" w:rsidR="00F103A8" w:rsidRPr="00C47F2F" w:rsidRDefault="00F103A8" w:rsidP="00A416F1">
            <w:pPr>
              <w:pStyle w:val="Table"/>
              <w:rPr>
                <w:noProof/>
                <w:sz w:val="20"/>
                <w:szCs w:val="20"/>
              </w:rPr>
            </w:pPr>
            <w:r w:rsidRPr="00C47F2F">
              <w:rPr>
                <w:noProof/>
                <w:sz w:val="20"/>
                <w:szCs w:val="20"/>
              </w:rPr>
              <w:t>5.82E+00</w:t>
            </w:r>
          </w:p>
        </w:tc>
        <w:tc>
          <w:tcPr>
            <w:tcW w:w="989" w:type="dxa"/>
            <w:shd w:val="clear" w:color="auto" w:fill="auto"/>
            <w:noWrap/>
            <w:vAlign w:val="center"/>
          </w:tcPr>
          <w:p w14:paraId="658D7BAD" w14:textId="77777777" w:rsidR="00F103A8" w:rsidRPr="00C47F2F" w:rsidRDefault="00F103A8" w:rsidP="00A416F1">
            <w:pPr>
              <w:pStyle w:val="Table"/>
              <w:rPr>
                <w:noProof/>
                <w:sz w:val="20"/>
                <w:szCs w:val="20"/>
              </w:rPr>
            </w:pPr>
            <w:r w:rsidRPr="00C47F2F">
              <w:rPr>
                <w:noProof/>
                <w:sz w:val="20"/>
                <w:szCs w:val="20"/>
              </w:rPr>
              <w:t>3.49E+00</w:t>
            </w:r>
          </w:p>
        </w:tc>
      </w:tr>
      <w:tr w:rsidR="00F103A8" w:rsidRPr="00972C81" w14:paraId="0C277332" w14:textId="77777777" w:rsidTr="00A416F1">
        <w:trPr>
          <w:trHeight w:val="340"/>
        </w:trPr>
        <w:tc>
          <w:tcPr>
            <w:tcW w:w="3095" w:type="dxa"/>
            <w:shd w:val="clear" w:color="auto" w:fill="auto"/>
            <w:noWrap/>
            <w:vAlign w:val="center"/>
          </w:tcPr>
          <w:p w14:paraId="2EEA4E16" w14:textId="6CD6933E" w:rsidR="00F103A8" w:rsidRPr="00F103A8" w:rsidRDefault="00F103A8" w:rsidP="00A416F1">
            <w:pPr>
              <w:pStyle w:val="Table"/>
              <w:rPr>
                <w:noProof/>
                <w:sz w:val="20"/>
                <w:szCs w:val="22"/>
              </w:rPr>
            </w:pPr>
            <w:r w:rsidRPr="00F103A8">
              <w:rPr>
                <w:noProof/>
                <w:sz w:val="20"/>
                <w:szCs w:val="22"/>
              </w:rPr>
              <w:t xml:space="preserve">Blood to Trab bone surf </w:t>
            </w:r>
          </w:p>
        </w:tc>
        <w:tc>
          <w:tcPr>
            <w:tcW w:w="988" w:type="dxa"/>
            <w:shd w:val="clear" w:color="auto" w:fill="auto"/>
            <w:noWrap/>
            <w:vAlign w:val="center"/>
          </w:tcPr>
          <w:p w14:paraId="6DC25E4F" w14:textId="77777777" w:rsidR="00F103A8" w:rsidRPr="00C47F2F" w:rsidRDefault="00F103A8" w:rsidP="00A416F1">
            <w:pPr>
              <w:pStyle w:val="Table"/>
              <w:rPr>
                <w:noProof/>
                <w:sz w:val="20"/>
                <w:szCs w:val="20"/>
              </w:rPr>
            </w:pPr>
            <w:r w:rsidRPr="00C47F2F">
              <w:rPr>
                <w:noProof/>
                <w:sz w:val="20"/>
                <w:szCs w:val="20"/>
              </w:rPr>
              <w:t>8.15E+00</w:t>
            </w:r>
          </w:p>
        </w:tc>
        <w:tc>
          <w:tcPr>
            <w:tcW w:w="988" w:type="dxa"/>
            <w:shd w:val="clear" w:color="auto" w:fill="auto"/>
            <w:noWrap/>
            <w:vAlign w:val="center"/>
          </w:tcPr>
          <w:p w14:paraId="54A8DF01" w14:textId="77777777" w:rsidR="00F103A8" w:rsidRPr="00C47F2F" w:rsidRDefault="00F103A8" w:rsidP="00A416F1">
            <w:pPr>
              <w:pStyle w:val="Table"/>
              <w:rPr>
                <w:noProof/>
                <w:sz w:val="20"/>
                <w:szCs w:val="20"/>
              </w:rPr>
            </w:pPr>
            <w:r w:rsidRPr="00C47F2F">
              <w:rPr>
                <w:noProof/>
                <w:sz w:val="20"/>
                <w:szCs w:val="20"/>
              </w:rPr>
              <w:t>8.15E+00</w:t>
            </w:r>
          </w:p>
        </w:tc>
        <w:tc>
          <w:tcPr>
            <w:tcW w:w="989" w:type="dxa"/>
            <w:shd w:val="clear" w:color="auto" w:fill="auto"/>
            <w:noWrap/>
            <w:vAlign w:val="center"/>
          </w:tcPr>
          <w:p w14:paraId="6D800F30" w14:textId="77777777" w:rsidR="00F103A8" w:rsidRPr="00C47F2F" w:rsidRDefault="00F103A8" w:rsidP="00A416F1">
            <w:pPr>
              <w:pStyle w:val="Table"/>
              <w:rPr>
                <w:noProof/>
                <w:sz w:val="20"/>
                <w:szCs w:val="20"/>
              </w:rPr>
            </w:pPr>
            <w:r w:rsidRPr="00C47F2F">
              <w:rPr>
                <w:noProof/>
                <w:sz w:val="20"/>
                <w:szCs w:val="20"/>
              </w:rPr>
              <w:t>5.82E+00</w:t>
            </w:r>
          </w:p>
        </w:tc>
        <w:tc>
          <w:tcPr>
            <w:tcW w:w="989" w:type="dxa"/>
            <w:shd w:val="clear" w:color="auto" w:fill="auto"/>
            <w:noWrap/>
            <w:vAlign w:val="center"/>
          </w:tcPr>
          <w:p w14:paraId="64D39EDE" w14:textId="77777777" w:rsidR="00F103A8" w:rsidRPr="00C47F2F" w:rsidRDefault="00F103A8" w:rsidP="00A416F1">
            <w:pPr>
              <w:pStyle w:val="Table"/>
              <w:rPr>
                <w:noProof/>
                <w:sz w:val="20"/>
                <w:szCs w:val="20"/>
              </w:rPr>
            </w:pPr>
            <w:r w:rsidRPr="00C47F2F">
              <w:rPr>
                <w:noProof/>
                <w:sz w:val="20"/>
                <w:szCs w:val="20"/>
              </w:rPr>
              <w:t>5.82E+00</w:t>
            </w:r>
          </w:p>
        </w:tc>
        <w:tc>
          <w:tcPr>
            <w:tcW w:w="989" w:type="dxa"/>
            <w:shd w:val="clear" w:color="auto" w:fill="auto"/>
            <w:noWrap/>
            <w:vAlign w:val="center"/>
          </w:tcPr>
          <w:p w14:paraId="2582A336" w14:textId="77777777" w:rsidR="00F103A8" w:rsidRPr="00C47F2F" w:rsidRDefault="00F103A8" w:rsidP="00A416F1">
            <w:pPr>
              <w:pStyle w:val="Table"/>
              <w:rPr>
                <w:noProof/>
                <w:sz w:val="20"/>
                <w:szCs w:val="20"/>
              </w:rPr>
            </w:pPr>
            <w:r w:rsidRPr="00C47F2F">
              <w:rPr>
                <w:noProof/>
                <w:sz w:val="20"/>
                <w:szCs w:val="20"/>
              </w:rPr>
              <w:t>5.82E+00</w:t>
            </w:r>
          </w:p>
        </w:tc>
        <w:tc>
          <w:tcPr>
            <w:tcW w:w="989" w:type="dxa"/>
            <w:shd w:val="clear" w:color="auto" w:fill="auto"/>
            <w:noWrap/>
            <w:vAlign w:val="center"/>
          </w:tcPr>
          <w:p w14:paraId="1FBC0C10" w14:textId="77777777" w:rsidR="00F103A8" w:rsidRPr="00C47F2F" w:rsidRDefault="00F103A8" w:rsidP="00A416F1">
            <w:pPr>
              <w:pStyle w:val="Table"/>
              <w:rPr>
                <w:noProof/>
                <w:sz w:val="20"/>
                <w:szCs w:val="20"/>
              </w:rPr>
            </w:pPr>
            <w:r w:rsidRPr="00C47F2F">
              <w:rPr>
                <w:noProof/>
                <w:sz w:val="20"/>
                <w:szCs w:val="20"/>
              </w:rPr>
              <w:t>3.49E+00</w:t>
            </w:r>
          </w:p>
        </w:tc>
      </w:tr>
      <w:tr w:rsidR="00F103A8" w:rsidRPr="00972C81" w14:paraId="7062D59F" w14:textId="77777777" w:rsidTr="00A416F1">
        <w:trPr>
          <w:trHeight w:val="340"/>
        </w:trPr>
        <w:tc>
          <w:tcPr>
            <w:tcW w:w="3095" w:type="dxa"/>
            <w:shd w:val="clear" w:color="auto" w:fill="auto"/>
            <w:noWrap/>
            <w:vAlign w:val="center"/>
          </w:tcPr>
          <w:p w14:paraId="607AED2D" w14:textId="48CE9153" w:rsidR="00F103A8" w:rsidRPr="00F103A8" w:rsidRDefault="00F103A8" w:rsidP="00A416F1">
            <w:pPr>
              <w:pStyle w:val="Table"/>
              <w:rPr>
                <w:noProof/>
                <w:sz w:val="20"/>
                <w:szCs w:val="22"/>
              </w:rPr>
            </w:pPr>
            <w:r w:rsidRPr="00F103A8">
              <w:rPr>
                <w:noProof/>
                <w:sz w:val="20"/>
                <w:szCs w:val="22"/>
              </w:rPr>
              <w:t>Blood to Kidneys 1</w:t>
            </w:r>
          </w:p>
        </w:tc>
        <w:tc>
          <w:tcPr>
            <w:tcW w:w="988" w:type="dxa"/>
            <w:shd w:val="clear" w:color="auto" w:fill="auto"/>
            <w:noWrap/>
            <w:vAlign w:val="center"/>
          </w:tcPr>
          <w:p w14:paraId="66E9B109" w14:textId="77777777" w:rsidR="00F103A8" w:rsidRPr="00C47F2F" w:rsidRDefault="00F103A8" w:rsidP="00A416F1">
            <w:pPr>
              <w:pStyle w:val="Table"/>
              <w:rPr>
                <w:noProof/>
                <w:sz w:val="20"/>
                <w:szCs w:val="20"/>
              </w:rPr>
            </w:pPr>
            <w:r w:rsidRPr="00C47F2F">
              <w:rPr>
                <w:noProof/>
                <w:sz w:val="20"/>
                <w:szCs w:val="20"/>
              </w:rPr>
              <w:t>4.66E-01</w:t>
            </w:r>
          </w:p>
        </w:tc>
        <w:tc>
          <w:tcPr>
            <w:tcW w:w="988" w:type="dxa"/>
            <w:shd w:val="clear" w:color="auto" w:fill="auto"/>
            <w:noWrap/>
            <w:vAlign w:val="center"/>
          </w:tcPr>
          <w:p w14:paraId="2E39905F" w14:textId="77777777" w:rsidR="00F103A8" w:rsidRPr="00C47F2F" w:rsidRDefault="00F103A8" w:rsidP="00A416F1">
            <w:pPr>
              <w:pStyle w:val="Table"/>
              <w:rPr>
                <w:noProof/>
                <w:sz w:val="20"/>
                <w:szCs w:val="20"/>
              </w:rPr>
            </w:pPr>
            <w:r w:rsidRPr="00C47F2F">
              <w:rPr>
                <w:noProof/>
                <w:sz w:val="20"/>
                <w:szCs w:val="20"/>
              </w:rPr>
              <w:t>4.66E-01</w:t>
            </w:r>
          </w:p>
        </w:tc>
        <w:tc>
          <w:tcPr>
            <w:tcW w:w="989" w:type="dxa"/>
            <w:shd w:val="clear" w:color="auto" w:fill="auto"/>
            <w:noWrap/>
            <w:vAlign w:val="center"/>
          </w:tcPr>
          <w:p w14:paraId="716447C7" w14:textId="77777777" w:rsidR="00F103A8" w:rsidRPr="00C47F2F" w:rsidRDefault="00F103A8" w:rsidP="00A416F1">
            <w:pPr>
              <w:pStyle w:val="Table"/>
              <w:rPr>
                <w:noProof/>
                <w:sz w:val="20"/>
                <w:szCs w:val="20"/>
              </w:rPr>
            </w:pPr>
            <w:r w:rsidRPr="00C47F2F">
              <w:rPr>
                <w:noProof/>
                <w:sz w:val="20"/>
                <w:szCs w:val="20"/>
              </w:rPr>
              <w:t>4.66E-01</w:t>
            </w:r>
          </w:p>
        </w:tc>
        <w:tc>
          <w:tcPr>
            <w:tcW w:w="989" w:type="dxa"/>
            <w:shd w:val="clear" w:color="auto" w:fill="auto"/>
            <w:noWrap/>
            <w:vAlign w:val="center"/>
          </w:tcPr>
          <w:p w14:paraId="2F229122" w14:textId="77777777" w:rsidR="00F103A8" w:rsidRPr="00C47F2F" w:rsidRDefault="00F103A8" w:rsidP="00A416F1">
            <w:pPr>
              <w:pStyle w:val="Table"/>
              <w:rPr>
                <w:noProof/>
                <w:sz w:val="20"/>
                <w:szCs w:val="20"/>
              </w:rPr>
            </w:pPr>
            <w:r w:rsidRPr="00C47F2F">
              <w:rPr>
                <w:noProof/>
                <w:sz w:val="20"/>
                <w:szCs w:val="20"/>
              </w:rPr>
              <w:t>4.66E-01</w:t>
            </w:r>
          </w:p>
        </w:tc>
        <w:tc>
          <w:tcPr>
            <w:tcW w:w="989" w:type="dxa"/>
            <w:shd w:val="clear" w:color="auto" w:fill="auto"/>
            <w:noWrap/>
            <w:vAlign w:val="center"/>
          </w:tcPr>
          <w:p w14:paraId="5C269825" w14:textId="77777777" w:rsidR="00F103A8" w:rsidRPr="00C47F2F" w:rsidRDefault="00F103A8" w:rsidP="00A416F1">
            <w:pPr>
              <w:pStyle w:val="Table"/>
              <w:rPr>
                <w:noProof/>
                <w:sz w:val="20"/>
                <w:szCs w:val="20"/>
              </w:rPr>
            </w:pPr>
            <w:r w:rsidRPr="00C47F2F">
              <w:rPr>
                <w:noProof/>
                <w:sz w:val="20"/>
                <w:szCs w:val="20"/>
              </w:rPr>
              <w:t>4.66E-01</w:t>
            </w:r>
          </w:p>
        </w:tc>
        <w:tc>
          <w:tcPr>
            <w:tcW w:w="989" w:type="dxa"/>
            <w:shd w:val="clear" w:color="auto" w:fill="auto"/>
            <w:noWrap/>
            <w:vAlign w:val="center"/>
          </w:tcPr>
          <w:p w14:paraId="4FA7B8A1" w14:textId="77777777" w:rsidR="00F103A8" w:rsidRPr="00C47F2F" w:rsidRDefault="00F103A8" w:rsidP="00A416F1">
            <w:pPr>
              <w:pStyle w:val="Table"/>
              <w:rPr>
                <w:noProof/>
                <w:sz w:val="20"/>
                <w:szCs w:val="20"/>
              </w:rPr>
            </w:pPr>
            <w:r w:rsidRPr="00C47F2F">
              <w:rPr>
                <w:noProof/>
                <w:sz w:val="20"/>
                <w:szCs w:val="20"/>
              </w:rPr>
              <w:t>4.66E-01</w:t>
            </w:r>
          </w:p>
        </w:tc>
      </w:tr>
      <w:tr w:rsidR="00F103A8" w:rsidRPr="00972C81" w14:paraId="78D36A5B" w14:textId="77777777" w:rsidTr="00A416F1">
        <w:trPr>
          <w:trHeight w:val="340"/>
        </w:trPr>
        <w:tc>
          <w:tcPr>
            <w:tcW w:w="3095" w:type="dxa"/>
            <w:shd w:val="clear" w:color="auto" w:fill="auto"/>
            <w:noWrap/>
            <w:vAlign w:val="center"/>
          </w:tcPr>
          <w:p w14:paraId="1AAA2C80" w14:textId="10E22404" w:rsidR="00F103A8" w:rsidRPr="00F103A8" w:rsidRDefault="00F103A8" w:rsidP="00A416F1">
            <w:pPr>
              <w:pStyle w:val="Table"/>
              <w:rPr>
                <w:noProof/>
                <w:sz w:val="20"/>
                <w:szCs w:val="22"/>
              </w:rPr>
            </w:pPr>
            <w:r w:rsidRPr="00F103A8">
              <w:rPr>
                <w:noProof/>
                <w:sz w:val="20"/>
                <w:szCs w:val="22"/>
              </w:rPr>
              <w:t xml:space="preserve">Blood to Right colon cont </w:t>
            </w:r>
          </w:p>
        </w:tc>
        <w:tc>
          <w:tcPr>
            <w:tcW w:w="988" w:type="dxa"/>
            <w:shd w:val="clear" w:color="auto" w:fill="auto"/>
            <w:noWrap/>
            <w:vAlign w:val="center"/>
          </w:tcPr>
          <w:p w14:paraId="0D79E805" w14:textId="77777777" w:rsidR="00F103A8" w:rsidRPr="00C47F2F" w:rsidRDefault="00F103A8" w:rsidP="00A416F1">
            <w:pPr>
              <w:pStyle w:val="Table"/>
              <w:rPr>
                <w:noProof/>
                <w:sz w:val="20"/>
                <w:szCs w:val="20"/>
              </w:rPr>
            </w:pPr>
            <w:r w:rsidRPr="00C47F2F">
              <w:rPr>
                <w:noProof/>
                <w:sz w:val="20"/>
                <w:szCs w:val="20"/>
              </w:rPr>
              <w:t>3.03E-01</w:t>
            </w:r>
          </w:p>
        </w:tc>
        <w:tc>
          <w:tcPr>
            <w:tcW w:w="988" w:type="dxa"/>
            <w:shd w:val="clear" w:color="auto" w:fill="auto"/>
            <w:noWrap/>
            <w:vAlign w:val="center"/>
          </w:tcPr>
          <w:p w14:paraId="18C6C02A" w14:textId="77777777" w:rsidR="00F103A8" w:rsidRPr="00C47F2F" w:rsidRDefault="00F103A8" w:rsidP="00A416F1">
            <w:pPr>
              <w:pStyle w:val="Table"/>
              <w:rPr>
                <w:noProof/>
                <w:sz w:val="20"/>
                <w:szCs w:val="20"/>
              </w:rPr>
            </w:pPr>
            <w:r w:rsidRPr="00C47F2F">
              <w:rPr>
                <w:noProof/>
                <w:sz w:val="20"/>
                <w:szCs w:val="20"/>
              </w:rPr>
              <w:t>3.03E-01</w:t>
            </w:r>
          </w:p>
        </w:tc>
        <w:tc>
          <w:tcPr>
            <w:tcW w:w="989" w:type="dxa"/>
            <w:shd w:val="clear" w:color="auto" w:fill="auto"/>
            <w:noWrap/>
            <w:vAlign w:val="center"/>
          </w:tcPr>
          <w:p w14:paraId="1BC6D584" w14:textId="77777777" w:rsidR="00F103A8" w:rsidRPr="00C47F2F" w:rsidRDefault="00F103A8" w:rsidP="00A416F1">
            <w:pPr>
              <w:pStyle w:val="Table"/>
              <w:rPr>
                <w:noProof/>
                <w:sz w:val="20"/>
                <w:szCs w:val="20"/>
              </w:rPr>
            </w:pPr>
            <w:r w:rsidRPr="00C47F2F">
              <w:rPr>
                <w:noProof/>
                <w:sz w:val="20"/>
                <w:szCs w:val="20"/>
              </w:rPr>
              <w:t>3.03E-01</w:t>
            </w:r>
          </w:p>
        </w:tc>
        <w:tc>
          <w:tcPr>
            <w:tcW w:w="989" w:type="dxa"/>
            <w:shd w:val="clear" w:color="auto" w:fill="auto"/>
            <w:noWrap/>
            <w:vAlign w:val="center"/>
          </w:tcPr>
          <w:p w14:paraId="35F9DCA8" w14:textId="77777777" w:rsidR="00F103A8" w:rsidRPr="00C47F2F" w:rsidRDefault="00F103A8" w:rsidP="00A416F1">
            <w:pPr>
              <w:pStyle w:val="Table"/>
              <w:rPr>
                <w:noProof/>
                <w:sz w:val="20"/>
                <w:szCs w:val="20"/>
              </w:rPr>
            </w:pPr>
            <w:r w:rsidRPr="00C47F2F">
              <w:rPr>
                <w:noProof/>
                <w:sz w:val="20"/>
                <w:szCs w:val="20"/>
              </w:rPr>
              <w:t>3.03E-01</w:t>
            </w:r>
          </w:p>
        </w:tc>
        <w:tc>
          <w:tcPr>
            <w:tcW w:w="989" w:type="dxa"/>
            <w:shd w:val="clear" w:color="auto" w:fill="auto"/>
            <w:noWrap/>
            <w:vAlign w:val="center"/>
          </w:tcPr>
          <w:p w14:paraId="4D92D93F" w14:textId="77777777" w:rsidR="00F103A8" w:rsidRPr="00C47F2F" w:rsidRDefault="00F103A8" w:rsidP="00A416F1">
            <w:pPr>
              <w:pStyle w:val="Table"/>
              <w:rPr>
                <w:noProof/>
                <w:sz w:val="20"/>
                <w:szCs w:val="20"/>
              </w:rPr>
            </w:pPr>
            <w:r w:rsidRPr="00C47F2F">
              <w:rPr>
                <w:noProof/>
                <w:sz w:val="20"/>
                <w:szCs w:val="20"/>
              </w:rPr>
              <w:t>3.03E-01</w:t>
            </w:r>
          </w:p>
        </w:tc>
        <w:tc>
          <w:tcPr>
            <w:tcW w:w="989" w:type="dxa"/>
            <w:shd w:val="clear" w:color="auto" w:fill="auto"/>
            <w:noWrap/>
            <w:vAlign w:val="center"/>
          </w:tcPr>
          <w:p w14:paraId="15A512EA" w14:textId="77777777" w:rsidR="00F103A8" w:rsidRPr="00C47F2F" w:rsidRDefault="00F103A8" w:rsidP="00A416F1">
            <w:pPr>
              <w:pStyle w:val="Table"/>
              <w:rPr>
                <w:noProof/>
                <w:sz w:val="20"/>
                <w:szCs w:val="20"/>
              </w:rPr>
            </w:pPr>
            <w:r w:rsidRPr="00C47F2F">
              <w:rPr>
                <w:noProof/>
                <w:sz w:val="20"/>
                <w:szCs w:val="20"/>
              </w:rPr>
              <w:t>3.03E-01</w:t>
            </w:r>
          </w:p>
        </w:tc>
      </w:tr>
      <w:tr w:rsidR="00F103A8" w:rsidRPr="00972C81" w14:paraId="69448D12" w14:textId="77777777" w:rsidTr="00A416F1">
        <w:trPr>
          <w:trHeight w:val="340"/>
        </w:trPr>
        <w:tc>
          <w:tcPr>
            <w:tcW w:w="3095" w:type="dxa"/>
            <w:shd w:val="clear" w:color="auto" w:fill="auto"/>
            <w:noWrap/>
            <w:vAlign w:val="center"/>
          </w:tcPr>
          <w:p w14:paraId="61A40C9C" w14:textId="79332A5B" w:rsidR="00F103A8" w:rsidRPr="00F103A8" w:rsidRDefault="00F103A8" w:rsidP="00A416F1">
            <w:pPr>
              <w:pStyle w:val="Table"/>
              <w:rPr>
                <w:noProof/>
                <w:sz w:val="20"/>
                <w:szCs w:val="22"/>
              </w:rPr>
            </w:pPr>
            <w:r w:rsidRPr="00F103A8">
              <w:rPr>
                <w:noProof/>
                <w:sz w:val="20"/>
                <w:szCs w:val="22"/>
              </w:rPr>
              <w:t>Blood to Kidneys 2</w:t>
            </w:r>
          </w:p>
        </w:tc>
        <w:tc>
          <w:tcPr>
            <w:tcW w:w="988" w:type="dxa"/>
            <w:shd w:val="clear" w:color="auto" w:fill="auto"/>
            <w:noWrap/>
            <w:vAlign w:val="center"/>
          </w:tcPr>
          <w:p w14:paraId="6D84978F" w14:textId="77777777" w:rsidR="00F103A8" w:rsidRPr="00C47F2F" w:rsidRDefault="00F103A8" w:rsidP="00A416F1">
            <w:pPr>
              <w:pStyle w:val="Table"/>
              <w:rPr>
                <w:noProof/>
                <w:sz w:val="20"/>
                <w:szCs w:val="20"/>
              </w:rPr>
            </w:pPr>
            <w:r w:rsidRPr="00C47F2F">
              <w:rPr>
                <w:noProof/>
                <w:sz w:val="20"/>
                <w:szCs w:val="20"/>
              </w:rPr>
              <w:t>1.16E-01</w:t>
            </w:r>
          </w:p>
        </w:tc>
        <w:tc>
          <w:tcPr>
            <w:tcW w:w="988" w:type="dxa"/>
            <w:shd w:val="clear" w:color="auto" w:fill="auto"/>
            <w:noWrap/>
            <w:vAlign w:val="center"/>
          </w:tcPr>
          <w:p w14:paraId="12B72F74" w14:textId="77777777" w:rsidR="00F103A8" w:rsidRPr="00C47F2F" w:rsidRDefault="00F103A8" w:rsidP="00A416F1">
            <w:pPr>
              <w:pStyle w:val="Table"/>
              <w:rPr>
                <w:noProof/>
                <w:sz w:val="20"/>
                <w:szCs w:val="20"/>
              </w:rPr>
            </w:pPr>
            <w:r w:rsidRPr="00C47F2F">
              <w:rPr>
                <w:noProof/>
                <w:sz w:val="20"/>
                <w:szCs w:val="20"/>
              </w:rPr>
              <w:t>1.16E-01</w:t>
            </w:r>
          </w:p>
        </w:tc>
        <w:tc>
          <w:tcPr>
            <w:tcW w:w="989" w:type="dxa"/>
            <w:shd w:val="clear" w:color="auto" w:fill="auto"/>
            <w:noWrap/>
            <w:vAlign w:val="center"/>
          </w:tcPr>
          <w:p w14:paraId="18A43B34" w14:textId="77777777" w:rsidR="00F103A8" w:rsidRPr="00C47F2F" w:rsidRDefault="00F103A8" w:rsidP="00A416F1">
            <w:pPr>
              <w:pStyle w:val="Table"/>
              <w:rPr>
                <w:noProof/>
                <w:sz w:val="20"/>
                <w:szCs w:val="20"/>
              </w:rPr>
            </w:pPr>
            <w:r w:rsidRPr="00C47F2F">
              <w:rPr>
                <w:noProof/>
                <w:sz w:val="20"/>
                <w:szCs w:val="20"/>
              </w:rPr>
              <w:t>1.16E-01</w:t>
            </w:r>
          </w:p>
        </w:tc>
        <w:tc>
          <w:tcPr>
            <w:tcW w:w="989" w:type="dxa"/>
            <w:shd w:val="clear" w:color="auto" w:fill="auto"/>
            <w:noWrap/>
            <w:vAlign w:val="center"/>
          </w:tcPr>
          <w:p w14:paraId="6F7FE6FF" w14:textId="77777777" w:rsidR="00F103A8" w:rsidRPr="00C47F2F" w:rsidRDefault="00F103A8" w:rsidP="00A416F1">
            <w:pPr>
              <w:pStyle w:val="Table"/>
              <w:rPr>
                <w:noProof/>
                <w:sz w:val="20"/>
                <w:szCs w:val="20"/>
              </w:rPr>
            </w:pPr>
            <w:r w:rsidRPr="00C47F2F">
              <w:rPr>
                <w:noProof/>
                <w:sz w:val="20"/>
                <w:szCs w:val="20"/>
              </w:rPr>
              <w:t>1.16E-01</w:t>
            </w:r>
          </w:p>
        </w:tc>
        <w:tc>
          <w:tcPr>
            <w:tcW w:w="989" w:type="dxa"/>
            <w:shd w:val="clear" w:color="auto" w:fill="auto"/>
            <w:noWrap/>
            <w:vAlign w:val="center"/>
          </w:tcPr>
          <w:p w14:paraId="18CDABD1" w14:textId="77777777" w:rsidR="00F103A8" w:rsidRPr="00C47F2F" w:rsidRDefault="00F103A8" w:rsidP="00A416F1">
            <w:pPr>
              <w:pStyle w:val="Table"/>
              <w:rPr>
                <w:noProof/>
                <w:sz w:val="20"/>
                <w:szCs w:val="20"/>
              </w:rPr>
            </w:pPr>
            <w:r w:rsidRPr="00C47F2F">
              <w:rPr>
                <w:noProof/>
                <w:sz w:val="20"/>
                <w:szCs w:val="20"/>
              </w:rPr>
              <w:t>1.16E-01</w:t>
            </w:r>
          </w:p>
        </w:tc>
        <w:tc>
          <w:tcPr>
            <w:tcW w:w="989" w:type="dxa"/>
            <w:shd w:val="clear" w:color="auto" w:fill="auto"/>
            <w:noWrap/>
            <w:vAlign w:val="center"/>
          </w:tcPr>
          <w:p w14:paraId="2545290D" w14:textId="77777777" w:rsidR="00F103A8" w:rsidRPr="00C47F2F" w:rsidRDefault="00F103A8" w:rsidP="00A416F1">
            <w:pPr>
              <w:pStyle w:val="Table"/>
              <w:rPr>
                <w:noProof/>
                <w:sz w:val="20"/>
                <w:szCs w:val="20"/>
              </w:rPr>
            </w:pPr>
            <w:r w:rsidRPr="00C47F2F">
              <w:rPr>
                <w:noProof/>
                <w:sz w:val="20"/>
                <w:szCs w:val="20"/>
              </w:rPr>
              <w:t>1.16E-01</w:t>
            </w:r>
          </w:p>
        </w:tc>
      </w:tr>
      <w:tr w:rsidR="00F103A8" w:rsidRPr="00972C81" w14:paraId="6A66C871" w14:textId="77777777" w:rsidTr="00A416F1">
        <w:trPr>
          <w:trHeight w:val="340"/>
        </w:trPr>
        <w:tc>
          <w:tcPr>
            <w:tcW w:w="3095" w:type="dxa"/>
            <w:shd w:val="clear" w:color="auto" w:fill="auto"/>
            <w:noWrap/>
            <w:vAlign w:val="center"/>
          </w:tcPr>
          <w:p w14:paraId="05E4D1F8" w14:textId="2C049A05" w:rsidR="00F103A8" w:rsidRPr="00F103A8" w:rsidRDefault="00F103A8" w:rsidP="00A416F1">
            <w:pPr>
              <w:pStyle w:val="Table"/>
              <w:rPr>
                <w:noProof/>
                <w:sz w:val="20"/>
                <w:szCs w:val="22"/>
              </w:rPr>
            </w:pPr>
            <w:r w:rsidRPr="00F103A8">
              <w:rPr>
                <w:noProof/>
                <w:sz w:val="20"/>
                <w:szCs w:val="22"/>
              </w:rPr>
              <w:t>Blood to Testes</w:t>
            </w:r>
          </w:p>
        </w:tc>
        <w:tc>
          <w:tcPr>
            <w:tcW w:w="988" w:type="dxa"/>
            <w:shd w:val="clear" w:color="auto" w:fill="auto"/>
            <w:noWrap/>
            <w:vAlign w:val="center"/>
          </w:tcPr>
          <w:p w14:paraId="3657D62F" w14:textId="77777777" w:rsidR="00F103A8" w:rsidRPr="00C47F2F" w:rsidRDefault="00F103A8" w:rsidP="00A416F1">
            <w:pPr>
              <w:pStyle w:val="Table"/>
              <w:rPr>
                <w:noProof/>
                <w:sz w:val="20"/>
                <w:szCs w:val="20"/>
              </w:rPr>
            </w:pPr>
            <w:r w:rsidRPr="00C47F2F">
              <w:rPr>
                <w:noProof/>
                <w:sz w:val="20"/>
                <w:szCs w:val="20"/>
              </w:rPr>
              <w:t>4.70E-04</w:t>
            </w:r>
          </w:p>
        </w:tc>
        <w:tc>
          <w:tcPr>
            <w:tcW w:w="988" w:type="dxa"/>
            <w:shd w:val="clear" w:color="auto" w:fill="auto"/>
            <w:noWrap/>
            <w:vAlign w:val="center"/>
          </w:tcPr>
          <w:p w14:paraId="62C0A0AA" w14:textId="77777777" w:rsidR="00F103A8" w:rsidRPr="00C47F2F" w:rsidRDefault="00F103A8" w:rsidP="00A416F1">
            <w:pPr>
              <w:pStyle w:val="Table"/>
              <w:rPr>
                <w:noProof/>
                <w:sz w:val="20"/>
                <w:szCs w:val="20"/>
              </w:rPr>
            </w:pPr>
            <w:r w:rsidRPr="00C47F2F">
              <w:rPr>
                <w:noProof/>
                <w:sz w:val="20"/>
                <w:szCs w:val="20"/>
              </w:rPr>
              <w:t>7.00E-04</w:t>
            </w:r>
          </w:p>
        </w:tc>
        <w:tc>
          <w:tcPr>
            <w:tcW w:w="989" w:type="dxa"/>
            <w:shd w:val="clear" w:color="auto" w:fill="auto"/>
            <w:noWrap/>
            <w:vAlign w:val="center"/>
          </w:tcPr>
          <w:p w14:paraId="12E08090" w14:textId="77777777" w:rsidR="00F103A8" w:rsidRPr="00C47F2F" w:rsidRDefault="00F103A8" w:rsidP="00A416F1">
            <w:pPr>
              <w:pStyle w:val="Table"/>
              <w:rPr>
                <w:noProof/>
                <w:sz w:val="20"/>
                <w:szCs w:val="20"/>
              </w:rPr>
            </w:pPr>
            <w:r w:rsidRPr="00C47F2F">
              <w:rPr>
                <w:noProof/>
                <w:sz w:val="20"/>
                <w:szCs w:val="20"/>
              </w:rPr>
              <w:t>7.90E-04</w:t>
            </w:r>
          </w:p>
        </w:tc>
        <w:tc>
          <w:tcPr>
            <w:tcW w:w="989" w:type="dxa"/>
            <w:shd w:val="clear" w:color="auto" w:fill="auto"/>
            <w:noWrap/>
            <w:vAlign w:val="center"/>
          </w:tcPr>
          <w:p w14:paraId="49B0CFE1" w14:textId="77777777" w:rsidR="00F103A8" w:rsidRPr="00C47F2F" w:rsidRDefault="00F103A8" w:rsidP="00A416F1">
            <w:pPr>
              <w:pStyle w:val="Table"/>
              <w:rPr>
                <w:noProof/>
                <w:sz w:val="20"/>
                <w:szCs w:val="20"/>
              </w:rPr>
            </w:pPr>
            <w:r w:rsidRPr="00C47F2F">
              <w:rPr>
                <w:noProof/>
                <w:sz w:val="20"/>
                <w:szCs w:val="20"/>
              </w:rPr>
              <w:t>9.30E-04</w:t>
            </w:r>
          </w:p>
        </w:tc>
        <w:tc>
          <w:tcPr>
            <w:tcW w:w="989" w:type="dxa"/>
            <w:shd w:val="clear" w:color="auto" w:fill="auto"/>
            <w:noWrap/>
            <w:vAlign w:val="center"/>
          </w:tcPr>
          <w:p w14:paraId="1F23D417" w14:textId="77777777" w:rsidR="00F103A8" w:rsidRPr="00C47F2F" w:rsidRDefault="00F103A8" w:rsidP="00A416F1">
            <w:pPr>
              <w:pStyle w:val="Table"/>
              <w:rPr>
                <w:noProof/>
                <w:sz w:val="20"/>
                <w:szCs w:val="20"/>
              </w:rPr>
            </w:pPr>
            <w:r w:rsidRPr="00C47F2F">
              <w:rPr>
                <w:noProof/>
                <w:sz w:val="20"/>
                <w:szCs w:val="20"/>
              </w:rPr>
              <w:t>7.50E-03</w:t>
            </w:r>
          </w:p>
        </w:tc>
        <w:tc>
          <w:tcPr>
            <w:tcW w:w="989" w:type="dxa"/>
            <w:shd w:val="clear" w:color="auto" w:fill="auto"/>
            <w:noWrap/>
            <w:vAlign w:val="center"/>
          </w:tcPr>
          <w:p w14:paraId="3C8C38AB" w14:textId="77777777" w:rsidR="00F103A8" w:rsidRPr="00C47F2F" w:rsidRDefault="00F103A8" w:rsidP="00A416F1">
            <w:pPr>
              <w:pStyle w:val="Table"/>
              <w:rPr>
                <w:noProof/>
                <w:sz w:val="20"/>
                <w:szCs w:val="20"/>
              </w:rPr>
            </w:pPr>
            <w:r w:rsidRPr="00C47F2F">
              <w:rPr>
                <w:noProof/>
                <w:sz w:val="20"/>
                <w:szCs w:val="20"/>
              </w:rPr>
              <w:t>8.20E-03</w:t>
            </w:r>
          </w:p>
        </w:tc>
      </w:tr>
      <w:tr w:rsidR="00F103A8" w:rsidRPr="00972C81" w14:paraId="4C4C5FD0" w14:textId="77777777" w:rsidTr="00A416F1">
        <w:trPr>
          <w:trHeight w:val="340"/>
        </w:trPr>
        <w:tc>
          <w:tcPr>
            <w:tcW w:w="3095" w:type="dxa"/>
            <w:shd w:val="clear" w:color="auto" w:fill="auto"/>
            <w:noWrap/>
            <w:vAlign w:val="center"/>
          </w:tcPr>
          <w:p w14:paraId="04248C78" w14:textId="4E9A2386" w:rsidR="00F103A8" w:rsidRPr="00F103A8" w:rsidRDefault="00F103A8" w:rsidP="00A416F1">
            <w:pPr>
              <w:pStyle w:val="Table"/>
              <w:rPr>
                <w:noProof/>
                <w:sz w:val="20"/>
                <w:szCs w:val="22"/>
              </w:rPr>
            </w:pPr>
            <w:r w:rsidRPr="00F103A8">
              <w:rPr>
                <w:noProof/>
                <w:sz w:val="20"/>
                <w:szCs w:val="22"/>
              </w:rPr>
              <w:t>Blood to Ovaries</w:t>
            </w:r>
          </w:p>
        </w:tc>
        <w:tc>
          <w:tcPr>
            <w:tcW w:w="988" w:type="dxa"/>
            <w:shd w:val="clear" w:color="auto" w:fill="auto"/>
            <w:noWrap/>
            <w:vAlign w:val="center"/>
          </w:tcPr>
          <w:p w14:paraId="092D7CE9" w14:textId="77777777" w:rsidR="00F103A8" w:rsidRPr="00C47F2F" w:rsidRDefault="00F103A8" w:rsidP="00A416F1">
            <w:pPr>
              <w:pStyle w:val="Table"/>
              <w:rPr>
                <w:noProof/>
                <w:sz w:val="20"/>
                <w:szCs w:val="20"/>
              </w:rPr>
            </w:pPr>
            <w:r w:rsidRPr="00C47F2F">
              <w:rPr>
                <w:noProof/>
                <w:sz w:val="20"/>
                <w:szCs w:val="20"/>
              </w:rPr>
              <w:t>2.80E-04</w:t>
            </w:r>
          </w:p>
        </w:tc>
        <w:tc>
          <w:tcPr>
            <w:tcW w:w="988" w:type="dxa"/>
            <w:shd w:val="clear" w:color="auto" w:fill="auto"/>
            <w:noWrap/>
            <w:vAlign w:val="center"/>
          </w:tcPr>
          <w:p w14:paraId="311DBBA8" w14:textId="77777777" w:rsidR="00F103A8" w:rsidRPr="00C47F2F" w:rsidRDefault="00F103A8" w:rsidP="00A416F1">
            <w:pPr>
              <w:pStyle w:val="Table"/>
              <w:rPr>
                <w:noProof/>
                <w:sz w:val="20"/>
                <w:szCs w:val="20"/>
              </w:rPr>
            </w:pPr>
            <w:r w:rsidRPr="00C47F2F">
              <w:rPr>
                <w:noProof/>
                <w:sz w:val="20"/>
                <w:szCs w:val="20"/>
              </w:rPr>
              <w:t>3.70E-04</w:t>
            </w:r>
          </w:p>
        </w:tc>
        <w:tc>
          <w:tcPr>
            <w:tcW w:w="989" w:type="dxa"/>
            <w:shd w:val="clear" w:color="auto" w:fill="auto"/>
            <w:noWrap/>
            <w:vAlign w:val="center"/>
          </w:tcPr>
          <w:p w14:paraId="5CB4DAAB" w14:textId="77777777" w:rsidR="00F103A8" w:rsidRPr="00C47F2F" w:rsidRDefault="00F103A8" w:rsidP="00A416F1">
            <w:pPr>
              <w:pStyle w:val="Table"/>
              <w:rPr>
                <w:noProof/>
                <w:sz w:val="20"/>
                <w:szCs w:val="20"/>
              </w:rPr>
            </w:pPr>
            <w:r w:rsidRPr="00C47F2F">
              <w:rPr>
                <w:noProof/>
                <w:sz w:val="20"/>
                <w:szCs w:val="20"/>
              </w:rPr>
              <w:t>9.30E-04</w:t>
            </w:r>
          </w:p>
        </w:tc>
        <w:tc>
          <w:tcPr>
            <w:tcW w:w="989" w:type="dxa"/>
            <w:shd w:val="clear" w:color="auto" w:fill="auto"/>
            <w:noWrap/>
            <w:vAlign w:val="center"/>
          </w:tcPr>
          <w:p w14:paraId="2135CCA2" w14:textId="77777777" w:rsidR="00F103A8" w:rsidRPr="00C47F2F" w:rsidRDefault="00F103A8" w:rsidP="00A416F1">
            <w:pPr>
              <w:pStyle w:val="Table"/>
              <w:rPr>
                <w:noProof/>
                <w:sz w:val="20"/>
                <w:szCs w:val="20"/>
              </w:rPr>
            </w:pPr>
            <w:r w:rsidRPr="00C47F2F">
              <w:rPr>
                <w:noProof/>
                <w:sz w:val="20"/>
                <w:szCs w:val="20"/>
              </w:rPr>
              <w:t>1.60E-03</w:t>
            </w:r>
          </w:p>
        </w:tc>
        <w:tc>
          <w:tcPr>
            <w:tcW w:w="989" w:type="dxa"/>
            <w:shd w:val="clear" w:color="auto" w:fill="auto"/>
            <w:noWrap/>
            <w:vAlign w:val="center"/>
          </w:tcPr>
          <w:p w14:paraId="27F815A8" w14:textId="77777777" w:rsidR="00F103A8" w:rsidRPr="00C47F2F" w:rsidRDefault="00F103A8" w:rsidP="00A416F1">
            <w:pPr>
              <w:pStyle w:val="Table"/>
              <w:rPr>
                <w:noProof/>
                <w:sz w:val="20"/>
                <w:szCs w:val="20"/>
              </w:rPr>
            </w:pPr>
            <w:r w:rsidRPr="00C47F2F">
              <w:rPr>
                <w:noProof/>
                <w:sz w:val="20"/>
                <w:szCs w:val="20"/>
              </w:rPr>
              <w:t>2.80E-03</w:t>
            </w:r>
          </w:p>
        </w:tc>
        <w:tc>
          <w:tcPr>
            <w:tcW w:w="989" w:type="dxa"/>
            <w:shd w:val="clear" w:color="auto" w:fill="auto"/>
            <w:noWrap/>
            <w:vAlign w:val="center"/>
          </w:tcPr>
          <w:p w14:paraId="73638759" w14:textId="77777777" w:rsidR="00F103A8" w:rsidRPr="00C47F2F" w:rsidRDefault="00F103A8" w:rsidP="00A416F1">
            <w:pPr>
              <w:pStyle w:val="Table"/>
              <w:rPr>
                <w:noProof/>
                <w:sz w:val="20"/>
                <w:szCs w:val="20"/>
              </w:rPr>
            </w:pPr>
            <w:r w:rsidRPr="00C47F2F">
              <w:rPr>
                <w:noProof/>
                <w:sz w:val="20"/>
                <w:szCs w:val="20"/>
              </w:rPr>
              <w:t>2.60E-03</w:t>
            </w:r>
          </w:p>
        </w:tc>
      </w:tr>
      <w:tr w:rsidR="00F103A8" w:rsidRPr="00972C81" w14:paraId="2BA80E50" w14:textId="77777777" w:rsidTr="00A416F1">
        <w:trPr>
          <w:trHeight w:val="340"/>
        </w:trPr>
        <w:tc>
          <w:tcPr>
            <w:tcW w:w="3095" w:type="dxa"/>
            <w:shd w:val="clear" w:color="auto" w:fill="auto"/>
            <w:noWrap/>
            <w:vAlign w:val="center"/>
          </w:tcPr>
          <w:p w14:paraId="2904796B" w14:textId="78421CC1" w:rsidR="00F103A8" w:rsidRPr="00F103A8" w:rsidRDefault="00F103A8" w:rsidP="00A416F1">
            <w:pPr>
              <w:pStyle w:val="Table"/>
              <w:rPr>
                <w:noProof/>
                <w:sz w:val="20"/>
                <w:szCs w:val="22"/>
              </w:rPr>
            </w:pPr>
            <w:r w:rsidRPr="00F103A8">
              <w:rPr>
                <w:noProof/>
                <w:sz w:val="20"/>
                <w:szCs w:val="22"/>
              </w:rPr>
              <w:t xml:space="preserve">Blood to Urinary bladder cont </w:t>
            </w:r>
          </w:p>
        </w:tc>
        <w:tc>
          <w:tcPr>
            <w:tcW w:w="988" w:type="dxa"/>
            <w:shd w:val="clear" w:color="auto" w:fill="auto"/>
            <w:noWrap/>
            <w:vAlign w:val="center"/>
          </w:tcPr>
          <w:p w14:paraId="2BB2C2F5" w14:textId="77777777" w:rsidR="00F103A8" w:rsidRPr="00C47F2F" w:rsidRDefault="00F103A8" w:rsidP="00A416F1">
            <w:pPr>
              <w:pStyle w:val="Table"/>
              <w:rPr>
                <w:noProof/>
                <w:sz w:val="20"/>
                <w:szCs w:val="20"/>
              </w:rPr>
            </w:pPr>
            <w:r w:rsidRPr="00C47F2F">
              <w:rPr>
                <w:noProof/>
                <w:sz w:val="20"/>
                <w:szCs w:val="20"/>
              </w:rPr>
              <w:t>1.63E+00</w:t>
            </w:r>
          </w:p>
        </w:tc>
        <w:tc>
          <w:tcPr>
            <w:tcW w:w="988" w:type="dxa"/>
            <w:shd w:val="clear" w:color="auto" w:fill="auto"/>
            <w:noWrap/>
            <w:vAlign w:val="center"/>
          </w:tcPr>
          <w:p w14:paraId="03EDF69E" w14:textId="77777777" w:rsidR="00F103A8" w:rsidRPr="00C47F2F" w:rsidRDefault="00F103A8" w:rsidP="00A416F1">
            <w:pPr>
              <w:pStyle w:val="Table"/>
              <w:rPr>
                <w:noProof/>
                <w:sz w:val="20"/>
                <w:szCs w:val="20"/>
              </w:rPr>
            </w:pPr>
            <w:r w:rsidRPr="00C47F2F">
              <w:rPr>
                <w:noProof/>
                <w:sz w:val="20"/>
                <w:szCs w:val="20"/>
              </w:rPr>
              <w:t>1.63E+00</w:t>
            </w:r>
          </w:p>
        </w:tc>
        <w:tc>
          <w:tcPr>
            <w:tcW w:w="989" w:type="dxa"/>
            <w:shd w:val="clear" w:color="auto" w:fill="auto"/>
            <w:noWrap/>
            <w:vAlign w:val="center"/>
          </w:tcPr>
          <w:p w14:paraId="5B1AB50F" w14:textId="77777777" w:rsidR="00F103A8" w:rsidRPr="00C47F2F" w:rsidRDefault="00F103A8" w:rsidP="00A416F1">
            <w:pPr>
              <w:pStyle w:val="Table"/>
              <w:rPr>
                <w:noProof/>
                <w:sz w:val="20"/>
                <w:szCs w:val="20"/>
              </w:rPr>
            </w:pPr>
            <w:r w:rsidRPr="00C47F2F">
              <w:rPr>
                <w:noProof/>
                <w:sz w:val="20"/>
                <w:szCs w:val="20"/>
              </w:rPr>
              <w:t>1.63E+00</w:t>
            </w:r>
          </w:p>
        </w:tc>
        <w:tc>
          <w:tcPr>
            <w:tcW w:w="989" w:type="dxa"/>
            <w:shd w:val="clear" w:color="auto" w:fill="auto"/>
            <w:noWrap/>
            <w:vAlign w:val="center"/>
          </w:tcPr>
          <w:p w14:paraId="2AA0D9FD" w14:textId="77777777" w:rsidR="00F103A8" w:rsidRPr="00C47F2F" w:rsidRDefault="00F103A8" w:rsidP="00A416F1">
            <w:pPr>
              <w:pStyle w:val="Table"/>
              <w:rPr>
                <w:noProof/>
                <w:sz w:val="20"/>
                <w:szCs w:val="20"/>
              </w:rPr>
            </w:pPr>
            <w:r w:rsidRPr="00C47F2F">
              <w:rPr>
                <w:noProof/>
                <w:sz w:val="20"/>
                <w:szCs w:val="20"/>
              </w:rPr>
              <w:t>1.63E+00</w:t>
            </w:r>
          </w:p>
        </w:tc>
        <w:tc>
          <w:tcPr>
            <w:tcW w:w="989" w:type="dxa"/>
            <w:shd w:val="clear" w:color="auto" w:fill="auto"/>
            <w:noWrap/>
            <w:vAlign w:val="center"/>
          </w:tcPr>
          <w:p w14:paraId="77D79B12" w14:textId="77777777" w:rsidR="00F103A8" w:rsidRPr="00C47F2F" w:rsidRDefault="00F103A8" w:rsidP="00A416F1">
            <w:pPr>
              <w:pStyle w:val="Table"/>
              <w:rPr>
                <w:noProof/>
                <w:sz w:val="20"/>
                <w:szCs w:val="20"/>
              </w:rPr>
            </w:pPr>
            <w:r w:rsidRPr="00C47F2F">
              <w:rPr>
                <w:noProof/>
                <w:sz w:val="20"/>
                <w:szCs w:val="20"/>
              </w:rPr>
              <w:t>1.63E+00</w:t>
            </w:r>
          </w:p>
        </w:tc>
        <w:tc>
          <w:tcPr>
            <w:tcW w:w="989" w:type="dxa"/>
            <w:shd w:val="clear" w:color="auto" w:fill="auto"/>
            <w:noWrap/>
            <w:vAlign w:val="center"/>
          </w:tcPr>
          <w:p w14:paraId="2564EB6A" w14:textId="77777777" w:rsidR="00F103A8" w:rsidRPr="00C47F2F" w:rsidRDefault="00F103A8" w:rsidP="00A416F1">
            <w:pPr>
              <w:pStyle w:val="Table"/>
              <w:rPr>
                <w:noProof/>
                <w:sz w:val="20"/>
                <w:szCs w:val="20"/>
              </w:rPr>
            </w:pPr>
            <w:r w:rsidRPr="00C47F2F">
              <w:rPr>
                <w:noProof/>
                <w:sz w:val="20"/>
                <w:szCs w:val="20"/>
              </w:rPr>
              <w:t>1.63E+00</w:t>
            </w:r>
          </w:p>
        </w:tc>
      </w:tr>
      <w:tr w:rsidR="00F103A8" w:rsidRPr="00972C81" w14:paraId="76F02ED9" w14:textId="77777777" w:rsidTr="00A416F1">
        <w:trPr>
          <w:trHeight w:val="340"/>
        </w:trPr>
        <w:tc>
          <w:tcPr>
            <w:tcW w:w="3095" w:type="dxa"/>
            <w:shd w:val="clear" w:color="auto" w:fill="auto"/>
            <w:noWrap/>
            <w:vAlign w:val="center"/>
          </w:tcPr>
          <w:p w14:paraId="6939CD81" w14:textId="4F93DCE5" w:rsidR="00F103A8" w:rsidRPr="00F103A8" w:rsidRDefault="00F103A8" w:rsidP="00A416F1">
            <w:pPr>
              <w:pStyle w:val="Table"/>
              <w:rPr>
                <w:noProof/>
                <w:sz w:val="20"/>
                <w:szCs w:val="22"/>
              </w:rPr>
            </w:pPr>
            <w:r w:rsidRPr="00F103A8">
              <w:rPr>
                <w:noProof/>
                <w:sz w:val="20"/>
                <w:szCs w:val="22"/>
              </w:rPr>
              <w:t xml:space="preserve">Liver 1 to SI cont </w:t>
            </w:r>
          </w:p>
        </w:tc>
        <w:tc>
          <w:tcPr>
            <w:tcW w:w="988" w:type="dxa"/>
            <w:shd w:val="clear" w:color="auto" w:fill="auto"/>
            <w:noWrap/>
            <w:vAlign w:val="center"/>
          </w:tcPr>
          <w:p w14:paraId="698DC1C6" w14:textId="77777777" w:rsidR="00F103A8" w:rsidRPr="00C47F2F" w:rsidRDefault="00F103A8" w:rsidP="00A416F1">
            <w:pPr>
              <w:pStyle w:val="Table"/>
              <w:rPr>
                <w:noProof/>
                <w:sz w:val="20"/>
                <w:szCs w:val="20"/>
              </w:rPr>
            </w:pPr>
            <w:r w:rsidRPr="00C47F2F">
              <w:rPr>
                <w:noProof/>
                <w:sz w:val="20"/>
                <w:szCs w:val="20"/>
              </w:rPr>
              <w:t>6.00E-04</w:t>
            </w:r>
          </w:p>
        </w:tc>
        <w:tc>
          <w:tcPr>
            <w:tcW w:w="988" w:type="dxa"/>
            <w:shd w:val="clear" w:color="auto" w:fill="auto"/>
            <w:noWrap/>
            <w:vAlign w:val="center"/>
          </w:tcPr>
          <w:p w14:paraId="7E4FC90E" w14:textId="77777777" w:rsidR="00F103A8" w:rsidRPr="00C47F2F" w:rsidRDefault="00F103A8" w:rsidP="00A416F1">
            <w:pPr>
              <w:pStyle w:val="Table"/>
              <w:rPr>
                <w:noProof/>
                <w:sz w:val="20"/>
                <w:szCs w:val="20"/>
              </w:rPr>
            </w:pPr>
            <w:r w:rsidRPr="00C47F2F">
              <w:rPr>
                <w:noProof/>
                <w:sz w:val="20"/>
                <w:szCs w:val="20"/>
              </w:rPr>
              <w:t>6.00E-04</w:t>
            </w:r>
          </w:p>
        </w:tc>
        <w:tc>
          <w:tcPr>
            <w:tcW w:w="989" w:type="dxa"/>
            <w:shd w:val="clear" w:color="auto" w:fill="auto"/>
            <w:noWrap/>
            <w:vAlign w:val="center"/>
          </w:tcPr>
          <w:p w14:paraId="55E10F27" w14:textId="77777777" w:rsidR="00F103A8" w:rsidRPr="00C47F2F" w:rsidRDefault="00F103A8" w:rsidP="00A416F1">
            <w:pPr>
              <w:pStyle w:val="Table"/>
              <w:rPr>
                <w:noProof/>
                <w:sz w:val="20"/>
                <w:szCs w:val="20"/>
              </w:rPr>
            </w:pPr>
            <w:r w:rsidRPr="00C47F2F">
              <w:rPr>
                <w:noProof/>
                <w:sz w:val="20"/>
                <w:szCs w:val="20"/>
              </w:rPr>
              <w:t>6.00E-04</w:t>
            </w:r>
          </w:p>
        </w:tc>
        <w:tc>
          <w:tcPr>
            <w:tcW w:w="989" w:type="dxa"/>
            <w:shd w:val="clear" w:color="auto" w:fill="auto"/>
            <w:noWrap/>
            <w:vAlign w:val="center"/>
          </w:tcPr>
          <w:p w14:paraId="360F28C1" w14:textId="77777777" w:rsidR="00F103A8" w:rsidRPr="00C47F2F" w:rsidRDefault="00F103A8" w:rsidP="00A416F1">
            <w:pPr>
              <w:pStyle w:val="Table"/>
              <w:rPr>
                <w:noProof/>
                <w:sz w:val="20"/>
                <w:szCs w:val="20"/>
              </w:rPr>
            </w:pPr>
            <w:r w:rsidRPr="00C47F2F">
              <w:rPr>
                <w:noProof/>
                <w:sz w:val="20"/>
                <w:szCs w:val="20"/>
              </w:rPr>
              <w:t>6.00E-04</w:t>
            </w:r>
          </w:p>
        </w:tc>
        <w:tc>
          <w:tcPr>
            <w:tcW w:w="989" w:type="dxa"/>
            <w:shd w:val="clear" w:color="auto" w:fill="auto"/>
            <w:noWrap/>
            <w:vAlign w:val="center"/>
          </w:tcPr>
          <w:p w14:paraId="7E9B48EE" w14:textId="77777777" w:rsidR="00F103A8" w:rsidRPr="00C47F2F" w:rsidRDefault="00F103A8" w:rsidP="00A416F1">
            <w:pPr>
              <w:pStyle w:val="Table"/>
              <w:rPr>
                <w:noProof/>
                <w:sz w:val="20"/>
                <w:szCs w:val="20"/>
              </w:rPr>
            </w:pPr>
            <w:r w:rsidRPr="00C47F2F">
              <w:rPr>
                <w:noProof/>
                <w:sz w:val="20"/>
                <w:szCs w:val="20"/>
              </w:rPr>
              <w:t>6.00E-04</w:t>
            </w:r>
          </w:p>
        </w:tc>
        <w:tc>
          <w:tcPr>
            <w:tcW w:w="989" w:type="dxa"/>
            <w:shd w:val="clear" w:color="auto" w:fill="auto"/>
            <w:noWrap/>
            <w:vAlign w:val="center"/>
          </w:tcPr>
          <w:p w14:paraId="2649C3FB" w14:textId="77777777" w:rsidR="00F103A8" w:rsidRPr="00C47F2F" w:rsidRDefault="00F103A8" w:rsidP="00A416F1">
            <w:pPr>
              <w:pStyle w:val="Table"/>
              <w:rPr>
                <w:noProof/>
                <w:sz w:val="20"/>
                <w:szCs w:val="20"/>
              </w:rPr>
            </w:pPr>
            <w:r w:rsidRPr="00C47F2F">
              <w:rPr>
                <w:noProof/>
                <w:sz w:val="20"/>
                <w:szCs w:val="20"/>
              </w:rPr>
              <w:t>6.00E-04</w:t>
            </w:r>
          </w:p>
        </w:tc>
      </w:tr>
      <w:tr w:rsidR="00F103A8" w:rsidRPr="00972C81" w14:paraId="76CE2718" w14:textId="77777777" w:rsidTr="00A416F1">
        <w:trPr>
          <w:trHeight w:val="340"/>
        </w:trPr>
        <w:tc>
          <w:tcPr>
            <w:tcW w:w="3095" w:type="dxa"/>
            <w:shd w:val="clear" w:color="auto" w:fill="auto"/>
            <w:noWrap/>
            <w:vAlign w:val="center"/>
          </w:tcPr>
          <w:p w14:paraId="774243A6" w14:textId="4618E86E" w:rsidR="00F103A8" w:rsidRPr="00F103A8" w:rsidRDefault="00F103A8" w:rsidP="00A416F1">
            <w:pPr>
              <w:pStyle w:val="Table"/>
              <w:rPr>
                <w:noProof/>
                <w:sz w:val="20"/>
                <w:szCs w:val="22"/>
              </w:rPr>
            </w:pPr>
            <w:r w:rsidRPr="00F103A8">
              <w:rPr>
                <w:noProof/>
                <w:sz w:val="20"/>
                <w:szCs w:val="22"/>
              </w:rPr>
              <w:t>Liver 1 to Liver 2</w:t>
            </w:r>
          </w:p>
        </w:tc>
        <w:tc>
          <w:tcPr>
            <w:tcW w:w="988" w:type="dxa"/>
            <w:shd w:val="clear" w:color="auto" w:fill="auto"/>
            <w:noWrap/>
            <w:vAlign w:val="center"/>
          </w:tcPr>
          <w:p w14:paraId="442A2B12" w14:textId="77777777" w:rsidR="00F103A8" w:rsidRPr="00C47F2F" w:rsidRDefault="00F103A8" w:rsidP="00A416F1">
            <w:pPr>
              <w:pStyle w:val="Table"/>
              <w:rPr>
                <w:noProof/>
                <w:sz w:val="20"/>
                <w:szCs w:val="20"/>
              </w:rPr>
            </w:pPr>
            <w:r w:rsidRPr="00C47F2F">
              <w:rPr>
                <w:noProof/>
                <w:sz w:val="20"/>
                <w:szCs w:val="20"/>
              </w:rPr>
              <w:t>2.25E-02</w:t>
            </w:r>
          </w:p>
        </w:tc>
        <w:tc>
          <w:tcPr>
            <w:tcW w:w="988" w:type="dxa"/>
            <w:shd w:val="clear" w:color="auto" w:fill="auto"/>
            <w:noWrap/>
            <w:vAlign w:val="center"/>
          </w:tcPr>
          <w:p w14:paraId="20C31D72" w14:textId="77777777" w:rsidR="00F103A8" w:rsidRPr="00C47F2F" w:rsidRDefault="00F103A8" w:rsidP="00A416F1">
            <w:pPr>
              <w:pStyle w:val="Table"/>
              <w:rPr>
                <w:noProof/>
                <w:sz w:val="20"/>
                <w:szCs w:val="20"/>
              </w:rPr>
            </w:pPr>
            <w:r w:rsidRPr="00C47F2F">
              <w:rPr>
                <w:noProof/>
                <w:sz w:val="20"/>
                <w:szCs w:val="20"/>
              </w:rPr>
              <w:t>2.25E-02</w:t>
            </w:r>
          </w:p>
        </w:tc>
        <w:tc>
          <w:tcPr>
            <w:tcW w:w="989" w:type="dxa"/>
            <w:shd w:val="clear" w:color="auto" w:fill="auto"/>
            <w:noWrap/>
            <w:vAlign w:val="center"/>
          </w:tcPr>
          <w:p w14:paraId="784D51F6" w14:textId="77777777" w:rsidR="00F103A8" w:rsidRPr="00C47F2F" w:rsidRDefault="00F103A8" w:rsidP="00A416F1">
            <w:pPr>
              <w:pStyle w:val="Table"/>
              <w:rPr>
                <w:noProof/>
                <w:sz w:val="20"/>
                <w:szCs w:val="20"/>
              </w:rPr>
            </w:pPr>
            <w:r w:rsidRPr="00C47F2F">
              <w:rPr>
                <w:noProof/>
                <w:sz w:val="20"/>
                <w:szCs w:val="20"/>
              </w:rPr>
              <w:t>2.25E-02</w:t>
            </w:r>
          </w:p>
        </w:tc>
        <w:tc>
          <w:tcPr>
            <w:tcW w:w="989" w:type="dxa"/>
            <w:shd w:val="clear" w:color="auto" w:fill="auto"/>
            <w:noWrap/>
            <w:vAlign w:val="center"/>
          </w:tcPr>
          <w:p w14:paraId="494E495F" w14:textId="77777777" w:rsidR="00F103A8" w:rsidRPr="00C47F2F" w:rsidRDefault="00F103A8" w:rsidP="00A416F1">
            <w:pPr>
              <w:pStyle w:val="Table"/>
              <w:rPr>
                <w:noProof/>
                <w:sz w:val="20"/>
                <w:szCs w:val="20"/>
              </w:rPr>
            </w:pPr>
            <w:r w:rsidRPr="00C47F2F">
              <w:rPr>
                <w:noProof/>
                <w:sz w:val="20"/>
                <w:szCs w:val="20"/>
              </w:rPr>
              <w:t>2.25E-02</w:t>
            </w:r>
          </w:p>
        </w:tc>
        <w:tc>
          <w:tcPr>
            <w:tcW w:w="989" w:type="dxa"/>
            <w:shd w:val="clear" w:color="auto" w:fill="auto"/>
            <w:noWrap/>
            <w:vAlign w:val="center"/>
          </w:tcPr>
          <w:p w14:paraId="5B6196DB" w14:textId="77777777" w:rsidR="00F103A8" w:rsidRPr="00C47F2F" w:rsidRDefault="00F103A8" w:rsidP="00A416F1">
            <w:pPr>
              <w:pStyle w:val="Table"/>
              <w:rPr>
                <w:noProof/>
                <w:sz w:val="20"/>
                <w:szCs w:val="20"/>
              </w:rPr>
            </w:pPr>
            <w:r w:rsidRPr="00C47F2F">
              <w:rPr>
                <w:noProof/>
                <w:sz w:val="20"/>
                <w:szCs w:val="20"/>
              </w:rPr>
              <w:t>2.25E-02</w:t>
            </w:r>
          </w:p>
        </w:tc>
        <w:tc>
          <w:tcPr>
            <w:tcW w:w="989" w:type="dxa"/>
            <w:shd w:val="clear" w:color="auto" w:fill="auto"/>
            <w:noWrap/>
            <w:vAlign w:val="center"/>
          </w:tcPr>
          <w:p w14:paraId="49E52520" w14:textId="77777777" w:rsidR="00F103A8" w:rsidRPr="00C47F2F" w:rsidRDefault="00F103A8" w:rsidP="00A416F1">
            <w:pPr>
              <w:pStyle w:val="Table"/>
              <w:rPr>
                <w:noProof/>
                <w:sz w:val="20"/>
                <w:szCs w:val="20"/>
              </w:rPr>
            </w:pPr>
            <w:r w:rsidRPr="00C47F2F">
              <w:rPr>
                <w:noProof/>
                <w:sz w:val="20"/>
                <w:szCs w:val="20"/>
              </w:rPr>
              <w:t>2.25E-02</w:t>
            </w:r>
          </w:p>
        </w:tc>
      </w:tr>
      <w:tr w:rsidR="00F103A8" w:rsidRPr="00972C81" w14:paraId="618C7453" w14:textId="77777777" w:rsidTr="00A416F1">
        <w:trPr>
          <w:trHeight w:val="340"/>
        </w:trPr>
        <w:tc>
          <w:tcPr>
            <w:tcW w:w="3095" w:type="dxa"/>
            <w:shd w:val="clear" w:color="auto" w:fill="auto"/>
            <w:noWrap/>
            <w:vAlign w:val="center"/>
          </w:tcPr>
          <w:p w14:paraId="5DBEC831" w14:textId="52E8E2EC" w:rsidR="00F103A8" w:rsidRPr="00F103A8" w:rsidRDefault="00F103A8" w:rsidP="00A416F1">
            <w:pPr>
              <w:pStyle w:val="Table"/>
              <w:rPr>
                <w:noProof/>
                <w:sz w:val="20"/>
                <w:szCs w:val="22"/>
              </w:rPr>
            </w:pPr>
            <w:r w:rsidRPr="00F103A8">
              <w:rPr>
                <w:noProof/>
                <w:sz w:val="20"/>
                <w:szCs w:val="22"/>
              </w:rPr>
              <w:t>Liver 2 to Blood</w:t>
            </w:r>
          </w:p>
        </w:tc>
        <w:tc>
          <w:tcPr>
            <w:tcW w:w="988" w:type="dxa"/>
            <w:shd w:val="clear" w:color="auto" w:fill="auto"/>
            <w:noWrap/>
            <w:vAlign w:val="center"/>
          </w:tcPr>
          <w:p w14:paraId="7B12DF08" w14:textId="77777777" w:rsidR="00F103A8" w:rsidRPr="00C47F2F" w:rsidRDefault="00F103A8" w:rsidP="00A416F1">
            <w:pPr>
              <w:pStyle w:val="Table"/>
              <w:rPr>
                <w:noProof/>
                <w:sz w:val="20"/>
                <w:szCs w:val="20"/>
              </w:rPr>
            </w:pPr>
            <w:r w:rsidRPr="00C47F2F">
              <w:rPr>
                <w:noProof/>
                <w:sz w:val="20"/>
                <w:szCs w:val="20"/>
              </w:rPr>
              <w:t>1.90E-03</w:t>
            </w:r>
          </w:p>
        </w:tc>
        <w:tc>
          <w:tcPr>
            <w:tcW w:w="988" w:type="dxa"/>
            <w:shd w:val="clear" w:color="auto" w:fill="auto"/>
            <w:noWrap/>
            <w:vAlign w:val="center"/>
          </w:tcPr>
          <w:p w14:paraId="1E0330F1" w14:textId="77777777" w:rsidR="00F103A8" w:rsidRPr="00C47F2F" w:rsidRDefault="00F103A8" w:rsidP="00A416F1">
            <w:pPr>
              <w:pStyle w:val="Table"/>
              <w:rPr>
                <w:noProof/>
                <w:sz w:val="20"/>
                <w:szCs w:val="20"/>
              </w:rPr>
            </w:pPr>
            <w:r w:rsidRPr="00C47F2F">
              <w:rPr>
                <w:noProof/>
                <w:sz w:val="20"/>
                <w:szCs w:val="20"/>
              </w:rPr>
              <w:t>1.90E-03</w:t>
            </w:r>
          </w:p>
        </w:tc>
        <w:tc>
          <w:tcPr>
            <w:tcW w:w="989" w:type="dxa"/>
            <w:shd w:val="clear" w:color="auto" w:fill="auto"/>
            <w:noWrap/>
            <w:vAlign w:val="center"/>
          </w:tcPr>
          <w:p w14:paraId="7B794AC4" w14:textId="77777777" w:rsidR="00F103A8" w:rsidRPr="00C47F2F" w:rsidRDefault="00F103A8" w:rsidP="00A416F1">
            <w:pPr>
              <w:pStyle w:val="Table"/>
              <w:rPr>
                <w:noProof/>
                <w:sz w:val="20"/>
                <w:szCs w:val="20"/>
              </w:rPr>
            </w:pPr>
            <w:r w:rsidRPr="00C47F2F">
              <w:rPr>
                <w:noProof/>
                <w:sz w:val="20"/>
                <w:szCs w:val="20"/>
              </w:rPr>
              <w:t>1.90E-03</w:t>
            </w:r>
          </w:p>
        </w:tc>
        <w:tc>
          <w:tcPr>
            <w:tcW w:w="989" w:type="dxa"/>
            <w:shd w:val="clear" w:color="auto" w:fill="auto"/>
            <w:noWrap/>
            <w:vAlign w:val="center"/>
          </w:tcPr>
          <w:p w14:paraId="77362A66" w14:textId="77777777" w:rsidR="00F103A8" w:rsidRPr="00C47F2F" w:rsidRDefault="00F103A8" w:rsidP="00A416F1">
            <w:pPr>
              <w:pStyle w:val="Table"/>
              <w:rPr>
                <w:noProof/>
                <w:sz w:val="20"/>
                <w:szCs w:val="20"/>
              </w:rPr>
            </w:pPr>
            <w:r w:rsidRPr="00C47F2F">
              <w:rPr>
                <w:noProof/>
                <w:sz w:val="20"/>
                <w:szCs w:val="20"/>
              </w:rPr>
              <w:t>1.90E-03</w:t>
            </w:r>
          </w:p>
        </w:tc>
        <w:tc>
          <w:tcPr>
            <w:tcW w:w="989" w:type="dxa"/>
            <w:shd w:val="clear" w:color="auto" w:fill="auto"/>
            <w:noWrap/>
            <w:vAlign w:val="center"/>
          </w:tcPr>
          <w:p w14:paraId="74058C27" w14:textId="77777777" w:rsidR="00F103A8" w:rsidRPr="00C47F2F" w:rsidRDefault="00F103A8" w:rsidP="00A416F1">
            <w:pPr>
              <w:pStyle w:val="Table"/>
              <w:rPr>
                <w:noProof/>
                <w:sz w:val="20"/>
                <w:szCs w:val="20"/>
              </w:rPr>
            </w:pPr>
            <w:r w:rsidRPr="00C47F2F">
              <w:rPr>
                <w:noProof/>
                <w:sz w:val="20"/>
                <w:szCs w:val="20"/>
              </w:rPr>
              <w:t>1.90E-03</w:t>
            </w:r>
          </w:p>
        </w:tc>
        <w:tc>
          <w:tcPr>
            <w:tcW w:w="989" w:type="dxa"/>
            <w:shd w:val="clear" w:color="auto" w:fill="auto"/>
            <w:noWrap/>
            <w:vAlign w:val="center"/>
          </w:tcPr>
          <w:p w14:paraId="13DEB32D" w14:textId="77777777" w:rsidR="00F103A8" w:rsidRPr="00C47F2F" w:rsidRDefault="00F103A8" w:rsidP="00A416F1">
            <w:pPr>
              <w:pStyle w:val="Table"/>
              <w:rPr>
                <w:noProof/>
                <w:sz w:val="20"/>
                <w:szCs w:val="20"/>
              </w:rPr>
            </w:pPr>
            <w:r w:rsidRPr="00C47F2F">
              <w:rPr>
                <w:noProof/>
                <w:sz w:val="20"/>
                <w:szCs w:val="20"/>
              </w:rPr>
              <w:t>1.90E-03</w:t>
            </w:r>
          </w:p>
        </w:tc>
      </w:tr>
      <w:tr w:rsidR="00F103A8" w:rsidRPr="00972C81" w14:paraId="25E9ED41" w14:textId="77777777" w:rsidTr="00A416F1">
        <w:trPr>
          <w:trHeight w:val="340"/>
        </w:trPr>
        <w:tc>
          <w:tcPr>
            <w:tcW w:w="3095" w:type="dxa"/>
            <w:shd w:val="clear" w:color="auto" w:fill="auto"/>
            <w:noWrap/>
            <w:vAlign w:val="center"/>
          </w:tcPr>
          <w:p w14:paraId="64579015" w14:textId="55AC8250" w:rsidR="00F103A8" w:rsidRPr="00F103A8" w:rsidRDefault="00F103A8" w:rsidP="00A416F1">
            <w:pPr>
              <w:pStyle w:val="Table"/>
              <w:rPr>
                <w:noProof/>
                <w:sz w:val="20"/>
                <w:szCs w:val="22"/>
              </w:rPr>
            </w:pPr>
            <w:r w:rsidRPr="00F103A8">
              <w:rPr>
                <w:noProof/>
                <w:sz w:val="20"/>
                <w:szCs w:val="22"/>
              </w:rPr>
              <w:t>ST0 to Blood</w:t>
            </w:r>
          </w:p>
        </w:tc>
        <w:tc>
          <w:tcPr>
            <w:tcW w:w="988" w:type="dxa"/>
            <w:shd w:val="clear" w:color="auto" w:fill="auto"/>
            <w:noWrap/>
            <w:vAlign w:val="center"/>
          </w:tcPr>
          <w:p w14:paraId="0E3F601B" w14:textId="77777777" w:rsidR="00F103A8" w:rsidRPr="00C47F2F" w:rsidRDefault="00F103A8" w:rsidP="00A416F1">
            <w:pPr>
              <w:pStyle w:val="Table"/>
              <w:rPr>
                <w:noProof/>
                <w:sz w:val="20"/>
                <w:szCs w:val="20"/>
              </w:rPr>
            </w:pPr>
            <w:r w:rsidRPr="00C47F2F">
              <w:rPr>
                <w:noProof/>
                <w:sz w:val="20"/>
                <w:szCs w:val="20"/>
              </w:rPr>
              <w:t>1.39E+00</w:t>
            </w:r>
          </w:p>
        </w:tc>
        <w:tc>
          <w:tcPr>
            <w:tcW w:w="988" w:type="dxa"/>
            <w:shd w:val="clear" w:color="auto" w:fill="auto"/>
            <w:noWrap/>
            <w:vAlign w:val="center"/>
          </w:tcPr>
          <w:p w14:paraId="3056A38E" w14:textId="77777777" w:rsidR="00F103A8" w:rsidRPr="00C47F2F" w:rsidRDefault="00F103A8" w:rsidP="00A416F1">
            <w:pPr>
              <w:pStyle w:val="Table"/>
              <w:rPr>
                <w:noProof/>
                <w:sz w:val="20"/>
                <w:szCs w:val="20"/>
              </w:rPr>
            </w:pPr>
            <w:r w:rsidRPr="00C47F2F">
              <w:rPr>
                <w:noProof/>
                <w:sz w:val="20"/>
                <w:szCs w:val="20"/>
              </w:rPr>
              <w:t>1.39E+00</w:t>
            </w:r>
          </w:p>
        </w:tc>
        <w:tc>
          <w:tcPr>
            <w:tcW w:w="989" w:type="dxa"/>
            <w:shd w:val="clear" w:color="auto" w:fill="auto"/>
            <w:noWrap/>
            <w:vAlign w:val="center"/>
          </w:tcPr>
          <w:p w14:paraId="06CD5DD3" w14:textId="77777777" w:rsidR="00F103A8" w:rsidRPr="00C47F2F" w:rsidRDefault="00F103A8" w:rsidP="00A416F1">
            <w:pPr>
              <w:pStyle w:val="Table"/>
              <w:rPr>
                <w:noProof/>
                <w:sz w:val="20"/>
                <w:szCs w:val="20"/>
              </w:rPr>
            </w:pPr>
            <w:r w:rsidRPr="00C47F2F">
              <w:rPr>
                <w:noProof/>
                <w:sz w:val="20"/>
                <w:szCs w:val="20"/>
              </w:rPr>
              <w:t>1.39E+00</w:t>
            </w:r>
          </w:p>
        </w:tc>
        <w:tc>
          <w:tcPr>
            <w:tcW w:w="989" w:type="dxa"/>
            <w:shd w:val="clear" w:color="auto" w:fill="auto"/>
            <w:noWrap/>
            <w:vAlign w:val="center"/>
          </w:tcPr>
          <w:p w14:paraId="0F9515F6" w14:textId="77777777" w:rsidR="00F103A8" w:rsidRPr="00C47F2F" w:rsidRDefault="00F103A8" w:rsidP="00A416F1">
            <w:pPr>
              <w:pStyle w:val="Table"/>
              <w:rPr>
                <w:noProof/>
                <w:sz w:val="20"/>
                <w:szCs w:val="20"/>
              </w:rPr>
            </w:pPr>
            <w:r w:rsidRPr="00C47F2F">
              <w:rPr>
                <w:noProof/>
                <w:sz w:val="20"/>
                <w:szCs w:val="20"/>
              </w:rPr>
              <w:t>1.39E+00</w:t>
            </w:r>
          </w:p>
        </w:tc>
        <w:tc>
          <w:tcPr>
            <w:tcW w:w="989" w:type="dxa"/>
            <w:shd w:val="clear" w:color="auto" w:fill="auto"/>
            <w:noWrap/>
            <w:vAlign w:val="center"/>
          </w:tcPr>
          <w:p w14:paraId="65783B95" w14:textId="77777777" w:rsidR="00F103A8" w:rsidRPr="00C47F2F" w:rsidRDefault="00F103A8" w:rsidP="00A416F1">
            <w:pPr>
              <w:pStyle w:val="Table"/>
              <w:rPr>
                <w:noProof/>
                <w:sz w:val="20"/>
                <w:szCs w:val="20"/>
              </w:rPr>
            </w:pPr>
            <w:r w:rsidRPr="00C47F2F">
              <w:rPr>
                <w:noProof/>
                <w:sz w:val="20"/>
                <w:szCs w:val="20"/>
              </w:rPr>
              <w:t>1.39E+00</w:t>
            </w:r>
          </w:p>
        </w:tc>
        <w:tc>
          <w:tcPr>
            <w:tcW w:w="989" w:type="dxa"/>
            <w:shd w:val="clear" w:color="auto" w:fill="auto"/>
            <w:noWrap/>
            <w:vAlign w:val="center"/>
          </w:tcPr>
          <w:p w14:paraId="5092AC54" w14:textId="77777777" w:rsidR="00F103A8" w:rsidRPr="00C47F2F" w:rsidRDefault="00F103A8" w:rsidP="00A416F1">
            <w:pPr>
              <w:pStyle w:val="Table"/>
              <w:rPr>
                <w:noProof/>
                <w:sz w:val="20"/>
                <w:szCs w:val="20"/>
              </w:rPr>
            </w:pPr>
            <w:r w:rsidRPr="00C47F2F">
              <w:rPr>
                <w:noProof/>
                <w:sz w:val="20"/>
                <w:szCs w:val="20"/>
              </w:rPr>
              <w:t>1.39E+00</w:t>
            </w:r>
          </w:p>
        </w:tc>
      </w:tr>
      <w:tr w:rsidR="00F103A8" w:rsidRPr="00972C81" w14:paraId="7A92F73A" w14:textId="77777777" w:rsidTr="00A416F1">
        <w:trPr>
          <w:trHeight w:val="340"/>
        </w:trPr>
        <w:tc>
          <w:tcPr>
            <w:tcW w:w="3095" w:type="dxa"/>
            <w:shd w:val="clear" w:color="auto" w:fill="auto"/>
            <w:noWrap/>
            <w:vAlign w:val="center"/>
          </w:tcPr>
          <w:p w14:paraId="1A3FAF2E" w14:textId="561025F5" w:rsidR="00F103A8" w:rsidRPr="00F103A8" w:rsidRDefault="00F103A8" w:rsidP="00A416F1">
            <w:pPr>
              <w:pStyle w:val="Table"/>
              <w:rPr>
                <w:noProof/>
                <w:sz w:val="20"/>
                <w:szCs w:val="22"/>
              </w:rPr>
            </w:pPr>
            <w:r w:rsidRPr="00F103A8">
              <w:rPr>
                <w:noProof/>
                <w:sz w:val="20"/>
                <w:szCs w:val="22"/>
              </w:rPr>
              <w:t>ST1 to Blood</w:t>
            </w:r>
          </w:p>
        </w:tc>
        <w:tc>
          <w:tcPr>
            <w:tcW w:w="988" w:type="dxa"/>
            <w:shd w:val="clear" w:color="auto" w:fill="auto"/>
            <w:noWrap/>
            <w:vAlign w:val="center"/>
          </w:tcPr>
          <w:p w14:paraId="18304604" w14:textId="77777777" w:rsidR="00F103A8" w:rsidRPr="00C47F2F" w:rsidRDefault="00F103A8" w:rsidP="00A416F1">
            <w:pPr>
              <w:pStyle w:val="Table"/>
              <w:rPr>
                <w:noProof/>
                <w:sz w:val="20"/>
                <w:szCs w:val="20"/>
              </w:rPr>
            </w:pPr>
            <w:r w:rsidRPr="00C47F2F">
              <w:rPr>
                <w:noProof/>
                <w:sz w:val="20"/>
                <w:szCs w:val="20"/>
              </w:rPr>
              <w:t>1.39E-02</w:t>
            </w:r>
          </w:p>
        </w:tc>
        <w:tc>
          <w:tcPr>
            <w:tcW w:w="988" w:type="dxa"/>
            <w:shd w:val="clear" w:color="auto" w:fill="auto"/>
            <w:noWrap/>
            <w:vAlign w:val="center"/>
          </w:tcPr>
          <w:p w14:paraId="0EFAB3D0" w14:textId="77777777" w:rsidR="00F103A8" w:rsidRPr="00C47F2F" w:rsidRDefault="00F103A8" w:rsidP="00A416F1">
            <w:pPr>
              <w:pStyle w:val="Table"/>
              <w:rPr>
                <w:noProof/>
                <w:sz w:val="20"/>
                <w:szCs w:val="20"/>
              </w:rPr>
            </w:pPr>
            <w:r w:rsidRPr="00C47F2F">
              <w:rPr>
                <w:noProof/>
                <w:sz w:val="20"/>
                <w:szCs w:val="20"/>
              </w:rPr>
              <w:t>1.39E-02</w:t>
            </w:r>
          </w:p>
        </w:tc>
        <w:tc>
          <w:tcPr>
            <w:tcW w:w="989" w:type="dxa"/>
            <w:shd w:val="clear" w:color="auto" w:fill="auto"/>
            <w:noWrap/>
            <w:vAlign w:val="center"/>
          </w:tcPr>
          <w:p w14:paraId="42D0FA6B" w14:textId="77777777" w:rsidR="00F103A8" w:rsidRPr="00C47F2F" w:rsidRDefault="00F103A8" w:rsidP="00A416F1">
            <w:pPr>
              <w:pStyle w:val="Table"/>
              <w:rPr>
                <w:noProof/>
                <w:sz w:val="20"/>
                <w:szCs w:val="20"/>
              </w:rPr>
            </w:pPr>
            <w:r w:rsidRPr="00C47F2F">
              <w:rPr>
                <w:noProof/>
                <w:sz w:val="20"/>
                <w:szCs w:val="20"/>
              </w:rPr>
              <w:t>1.39E-02</w:t>
            </w:r>
          </w:p>
        </w:tc>
        <w:tc>
          <w:tcPr>
            <w:tcW w:w="989" w:type="dxa"/>
            <w:shd w:val="clear" w:color="auto" w:fill="auto"/>
            <w:noWrap/>
            <w:vAlign w:val="center"/>
          </w:tcPr>
          <w:p w14:paraId="6623BC20" w14:textId="77777777" w:rsidR="00F103A8" w:rsidRPr="00C47F2F" w:rsidRDefault="00F103A8" w:rsidP="00A416F1">
            <w:pPr>
              <w:pStyle w:val="Table"/>
              <w:rPr>
                <w:noProof/>
                <w:sz w:val="20"/>
                <w:szCs w:val="20"/>
              </w:rPr>
            </w:pPr>
            <w:r w:rsidRPr="00C47F2F">
              <w:rPr>
                <w:noProof/>
                <w:sz w:val="20"/>
                <w:szCs w:val="20"/>
              </w:rPr>
              <w:t>1.39E-02</w:t>
            </w:r>
          </w:p>
        </w:tc>
        <w:tc>
          <w:tcPr>
            <w:tcW w:w="989" w:type="dxa"/>
            <w:shd w:val="clear" w:color="auto" w:fill="auto"/>
            <w:noWrap/>
            <w:vAlign w:val="center"/>
          </w:tcPr>
          <w:p w14:paraId="03F50EFD" w14:textId="77777777" w:rsidR="00F103A8" w:rsidRPr="00C47F2F" w:rsidRDefault="00F103A8" w:rsidP="00A416F1">
            <w:pPr>
              <w:pStyle w:val="Table"/>
              <w:rPr>
                <w:noProof/>
                <w:sz w:val="20"/>
                <w:szCs w:val="20"/>
              </w:rPr>
            </w:pPr>
            <w:r w:rsidRPr="00C47F2F">
              <w:rPr>
                <w:noProof/>
                <w:sz w:val="20"/>
                <w:szCs w:val="20"/>
              </w:rPr>
              <w:t>1.39E-02</w:t>
            </w:r>
          </w:p>
        </w:tc>
        <w:tc>
          <w:tcPr>
            <w:tcW w:w="989" w:type="dxa"/>
            <w:shd w:val="clear" w:color="auto" w:fill="auto"/>
            <w:noWrap/>
            <w:vAlign w:val="center"/>
          </w:tcPr>
          <w:p w14:paraId="6B4CC0F2" w14:textId="77777777" w:rsidR="00F103A8" w:rsidRPr="00C47F2F" w:rsidRDefault="00F103A8" w:rsidP="00A416F1">
            <w:pPr>
              <w:pStyle w:val="Table"/>
              <w:rPr>
                <w:noProof/>
                <w:sz w:val="20"/>
                <w:szCs w:val="20"/>
              </w:rPr>
            </w:pPr>
            <w:r w:rsidRPr="00C47F2F">
              <w:rPr>
                <w:noProof/>
                <w:sz w:val="20"/>
                <w:szCs w:val="20"/>
              </w:rPr>
              <w:t>1.39E-02</w:t>
            </w:r>
          </w:p>
        </w:tc>
      </w:tr>
      <w:tr w:rsidR="00F103A8" w:rsidRPr="00972C81" w14:paraId="5087F60C" w14:textId="77777777" w:rsidTr="00A416F1">
        <w:trPr>
          <w:trHeight w:val="340"/>
        </w:trPr>
        <w:tc>
          <w:tcPr>
            <w:tcW w:w="3095" w:type="dxa"/>
            <w:shd w:val="clear" w:color="auto" w:fill="auto"/>
            <w:noWrap/>
            <w:vAlign w:val="center"/>
          </w:tcPr>
          <w:p w14:paraId="73235AE3" w14:textId="448CFB40" w:rsidR="00F103A8" w:rsidRPr="00F103A8" w:rsidRDefault="00F103A8" w:rsidP="00A416F1">
            <w:pPr>
              <w:pStyle w:val="Table"/>
              <w:rPr>
                <w:noProof/>
                <w:sz w:val="20"/>
                <w:szCs w:val="22"/>
              </w:rPr>
            </w:pPr>
            <w:r w:rsidRPr="00F103A8">
              <w:rPr>
                <w:noProof/>
                <w:sz w:val="20"/>
                <w:szCs w:val="22"/>
              </w:rPr>
              <w:t>ST2 to Blood</w:t>
            </w:r>
          </w:p>
        </w:tc>
        <w:tc>
          <w:tcPr>
            <w:tcW w:w="988" w:type="dxa"/>
            <w:shd w:val="clear" w:color="auto" w:fill="auto"/>
            <w:noWrap/>
            <w:vAlign w:val="center"/>
          </w:tcPr>
          <w:p w14:paraId="2E62A92E" w14:textId="77777777" w:rsidR="00F103A8" w:rsidRPr="00C47F2F" w:rsidRDefault="00F103A8" w:rsidP="00A416F1">
            <w:pPr>
              <w:pStyle w:val="Table"/>
              <w:rPr>
                <w:noProof/>
                <w:sz w:val="20"/>
                <w:szCs w:val="20"/>
              </w:rPr>
            </w:pPr>
            <w:r w:rsidRPr="00C47F2F">
              <w:rPr>
                <w:noProof/>
                <w:sz w:val="20"/>
                <w:szCs w:val="20"/>
              </w:rPr>
              <w:t>1.90E-05</w:t>
            </w:r>
          </w:p>
        </w:tc>
        <w:tc>
          <w:tcPr>
            <w:tcW w:w="988" w:type="dxa"/>
            <w:shd w:val="clear" w:color="auto" w:fill="auto"/>
            <w:noWrap/>
            <w:vAlign w:val="center"/>
          </w:tcPr>
          <w:p w14:paraId="1A012726" w14:textId="77777777" w:rsidR="00F103A8" w:rsidRPr="00C47F2F" w:rsidRDefault="00F103A8" w:rsidP="00A416F1">
            <w:pPr>
              <w:pStyle w:val="Table"/>
              <w:rPr>
                <w:noProof/>
                <w:sz w:val="20"/>
                <w:szCs w:val="20"/>
              </w:rPr>
            </w:pPr>
            <w:r w:rsidRPr="00C47F2F">
              <w:rPr>
                <w:noProof/>
                <w:sz w:val="20"/>
                <w:szCs w:val="20"/>
              </w:rPr>
              <w:t>1.90E-05</w:t>
            </w:r>
          </w:p>
        </w:tc>
        <w:tc>
          <w:tcPr>
            <w:tcW w:w="989" w:type="dxa"/>
            <w:shd w:val="clear" w:color="auto" w:fill="auto"/>
            <w:noWrap/>
            <w:vAlign w:val="center"/>
          </w:tcPr>
          <w:p w14:paraId="3947A3B0" w14:textId="77777777" w:rsidR="00F103A8" w:rsidRPr="00C47F2F" w:rsidRDefault="00F103A8" w:rsidP="00A416F1">
            <w:pPr>
              <w:pStyle w:val="Table"/>
              <w:rPr>
                <w:noProof/>
                <w:sz w:val="20"/>
                <w:szCs w:val="20"/>
              </w:rPr>
            </w:pPr>
            <w:r w:rsidRPr="00C47F2F">
              <w:rPr>
                <w:noProof/>
                <w:sz w:val="20"/>
                <w:szCs w:val="20"/>
              </w:rPr>
              <w:t>1.90E-05</w:t>
            </w:r>
          </w:p>
        </w:tc>
        <w:tc>
          <w:tcPr>
            <w:tcW w:w="989" w:type="dxa"/>
            <w:shd w:val="clear" w:color="auto" w:fill="auto"/>
            <w:noWrap/>
            <w:vAlign w:val="center"/>
          </w:tcPr>
          <w:p w14:paraId="0C5F6A56" w14:textId="77777777" w:rsidR="00F103A8" w:rsidRPr="00C47F2F" w:rsidRDefault="00F103A8" w:rsidP="00A416F1">
            <w:pPr>
              <w:pStyle w:val="Table"/>
              <w:rPr>
                <w:noProof/>
                <w:sz w:val="20"/>
                <w:szCs w:val="20"/>
              </w:rPr>
            </w:pPr>
            <w:r w:rsidRPr="00C47F2F">
              <w:rPr>
                <w:noProof/>
                <w:sz w:val="20"/>
                <w:szCs w:val="20"/>
              </w:rPr>
              <w:t>1.90E-05</w:t>
            </w:r>
          </w:p>
        </w:tc>
        <w:tc>
          <w:tcPr>
            <w:tcW w:w="989" w:type="dxa"/>
            <w:shd w:val="clear" w:color="auto" w:fill="auto"/>
            <w:noWrap/>
            <w:vAlign w:val="center"/>
          </w:tcPr>
          <w:p w14:paraId="437F1F16" w14:textId="77777777" w:rsidR="00F103A8" w:rsidRPr="00C47F2F" w:rsidRDefault="00F103A8" w:rsidP="00A416F1">
            <w:pPr>
              <w:pStyle w:val="Table"/>
              <w:rPr>
                <w:noProof/>
                <w:sz w:val="20"/>
                <w:szCs w:val="20"/>
              </w:rPr>
            </w:pPr>
            <w:r w:rsidRPr="00C47F2F">
              <w:rPr>
                <w:noProof/>
                <w:sz w:val="20"/>
                <w:szCs w:val="20"/>
              </w:rPr>
              <w:t>1.90E-05</w:t>
            </w:r>
          </w:p>
        </w:tc>
        <w:tc>
          <w:tcPr>
            <w:tcW w:w="989" w:type="dxa"/>
            <w:shd w:val="clear" w:color="auto" w:fill="auto"/>
            <w:noWrap/>
            <w:vAlign w:val="center"/>
          </w:tcPr>
          <w:p w14:paraId="7ED87185" w14:textId="77777777" w:rsidR="00F103A8" w:rsidRPr="00C47F2F" w:rsidRDefault="00F103A8" w:rsidP="00A416F1">
            <w:pPr>
              <w:pStyle w:val="Table"/>
              <w:rPr>
                <w:noProof/>
                <w:sz w:val="20"/>
                <w:szCs w:val="20"/>
              </w:rPr>
            </w:pPr>
            <w:r w:rsidRPr="00C47F2F">
              <w:rPr>
                <w:noProof/>
                <w:sz w:val="20"/>
                <w:szCs w:val="20"/>
              </w:rPr>
              <w:t>1.90E-05</w:t>
            </w:r>
          </w:p>
        </w:tc>
      </w:tr>
      <w:tr w:rsidR="00F103A8" w:rsidRPr="00972C81" w14:paraId="6987A3D3" w14:textId="77777777" w:rsidTr="00A416F1">
        <w:trPr>
          <w:trHeight w:val="340"/>
        </w:trPr>
        <w:tc>
          <w:tcPr>
            <w:tcW w:w="3095" w:type="dxa"/>
            <w:shd w:val="clear" w:color="auto" w:fill="auto"/>
            <w:noWrap/>
            <w:vAlign w:val="center"/>
          </w:tcPr>
          <w:p w14:paraId="0AF7186F" w14:textId="00E811AB" w:rsidR="00F103A8" w:rsidRPr="00F103A8" w:rsidRDefault="00F103A8" w:rsidP="00A416F1">
            <w:pPr>
              <w:pStyle w:val="Table"/>
              <w:rPr>
                <w:noProof/>
                <w:sz w:val="20"/>
                <w:szCs w:val="22"/>
              </w:rPr>
            </w:pPr>
            <w:r w:rsidRPr="00F103A8">
              <w:rPr>
                <w:noProof/>
                <w:sz w:val="20"/>
                <w:szCs w:val="22"/>
              </w:rPr>
              <w:lastRenderedPageBreak/>
              <w:t>Cort marrow to Blood</w:t>
            </w:r>
          </w:p>
        </w:tc>
        <w:tc>
          <w:tcPr>
            <w:tcW w:w="988" w:type="dxa"/>
            <w:shd w:val="clear" w:color="auto" w:fill="auto"/>
            <w:noWrap/>
            <w:vAlign w:val="center"/>
          </w:tcPr>
          <w:p w14:paraId="44710748" w14:textId="77777777" w:rsidR="00F103A8" w:rsidRPr="00C47F2F" w:rsidRDefault="00F103A8" w:rsidP="00A416F1">
            <w:pPr>
              <w:pStyle w:val="Table"/>
              <w:rPr>
                <w:noProof/>
                <w:sz w:val="20"/>
                <w:szCs w:val="20"/>
              </w:rPr>
            </w:pPr>
            <w:r w:rsidRPr="00C47F2F">
              <w:rPr>
                <w:noProof/>
                <w:sz w:val="20"/>
                <w:szCs w:val="20"/>
              </w:rPr>
              <w:t>7.60E-03</w:t>
            </w:r>
          </w:p>
        </w:tc>
        <w:tc>
          <w:tcPr>
            <w:tcW w:w="988" w:type="dxa"/>
            <w:shd w:val="clear" w:color="auto" w:fill="auto"/>
            <w:noWrap/>
            <w:vAlign w:val="center"/>
          </w:tcPr>
          <w:p w14:paraId="3F312E65" w14:textId="77777777" w:rsidR="00F103A8" w:rsidRPr="00C47F2F" w:rsidRDefault="00F103A8" w:rsidP="00A416F1">
            <w:pPr>
              <w:pStyle w:val="Table"/>
              <w:rPr>
                <w:noProof/>
                <w:sz w:val="20"/>
                <w:szCs w:val="20"/>
              </w:rPr>
            </w:pPr>
            <w:r w:rsidRPr="00C47F2F">
              <w:rPr>
                <w:noProof/>
                <w:sz w:val="20"/>
                <w:szCs w:val="20"/>
              </w:rPr>
              <w:t>7.60E-03</w:t>
            </w:r>
          </w:p>
        </w:tc>
        <w:tc>
          <w:tcPr>
            <w:tcW w:w="989" w:type="dxa"/>
            <w:shd w:val="clear" w:color="auto" w:fill="auto"/>
            <w:noWrap/>
            <w:vAlign w:val="center"/>
          </w:tcPr>
          <w:p w14:paraId="5CCDBF57" w14:textId="77777777" w:rsidR="00F103A8" w:rsidRPr="00C47F2F" w:rsidRDefault="00F103A8" w:rsidP="00A416F1">
            <w:pPr>
              <w:pStyle w:val="Table"/>
              <w:rPr>
                <w:noProof/>
                <w:sz w:val="20"/>
                <w:szCs w:val="20"/>
              </w:rPr>
            </w:pPr>
            <w:r w:rsidRPr="00C47F2F">
              <w:rPr>
                <w:noProof/>
                <w:sz w:val="20"/>
                <w:szCs w:val="20"/>
              </w:rPr>
              <w:t>7.60E-03</w:t>
            </w:r>
          </w:p>
        </w:tc>
        <w:tc>
          <w:tcPr>
            <w:tcW w:w="989" w:type="dxa"/>
            <w:shd w:val="clear" w:color="auto" w:fill="auto"/>
            <w:noWrap/>
            <w:vAlign w:val="center"/>
          </w:tcPr>
          <w:p w14:paraId="5C3266F6" w14:textId="77777777" w:rsidR="00F103A8" w:rsidRPr="00C47F2F" w:rsidRDefault="00F103A8" w:rsidP="00A416F1">
            <w:pPr>
              <w:pStyle w:val="Table"/>
              <w:rPr>
                <w:noProof/>
                <w:sz w:val="20"/>
                <w:szCs w:val="20"/>
              </w:rPr>
            </w:pPr>
            <w:r w:rsidRPr="00C47F2F">
              <w:rPr>
                <w:noProof/>
                <w:sz w:val="20"/>
                <w:szCs w:val="20"/>
              </w:rPr>
              <w:t>7.60E-03</w:t>
            </w:r>
          </w:p>
        </w:tc>
        <w:tc>
          <w:tcPr>
            <w:tcW w:w="989" w:type="dxa"/>
            <w:shd w:val="clear" w:color="auto" w:fill="auto"/>
            <w:noWrap/>
            <w:vAlign w:val="center"/>
          </w:tcPr>
          <w:p w14:paraId="14A4DCF6" w14:textId="77777777" w:rsidR="00F103A8" w:rsidRPr="00C47F2F" w:rsidRDefault="00F103A8" w:rsidP="00A416F1">
            <w:pPr>
              <w:pStyle w:val="Table"/>
              <w:rPr>
                <w:noProof/>
                <w:sz w:val="20"/>
                <w:szCs w:val="20"/>
              </w:rPr>
            </w:pPr>
            <w:r w:rsidRPr="00C47F2F">
              <w:rPr>
                <w:noProof/>
                <w:sz w:val="20"/>
                <w:szCs w:val="20"/>
              </w:rPr>
              <w:t>7.60E-03</w:t>
            </w:r>
          </w:p>
        </w:tc>
        <w:tc>
          <w:tcPr>
            <w:tcW w:w="989" w:type="dxa"/>
            <w:shd w:val="clear" w:color="auto" w:fill="auto"/>
            <w:noWrap/>
            <w:vAlign w:val="center"/>
          </w:tcPr>
          <w:p w14:paraId="13BD8AEF" w14:textId="77777777" w:rsidR="00F103A8" w:rsidRPr="00C47F2F" w:rsidRDefault="00F103A8" w:rsidP="00A416F1">
            <w:pPr>
              <w:pStyle w:val="Table"/>
              <w:rPr>
                <w:noProof/>
                <w:sz w:val="20"/>
                <w:szCs w:val="20"/>
              </w:rPr>
            </w:pPr>
            <w:r w:rsidRPr="00C47F2F">
              <w:rPr>
                <w:noProof/>
                <w:sz w:val="20"/>
                <w:szCs w:val="20"/>
              </w:rPr>
              <w:t>2.53E-03</w:t>
            </w:r>
          </w:p>
        </w:tc>
      </w:tr>
      <w:tr w:rsidR="00F103A8" w:rsidRPr="00972C81" w14:paraId="4076B386" w14:textId="77777777" w:rsidTr="00A416F1">
        <w:trPr>
          <w:trHeight w:val="340"/>
        </w:trPr>
        <w:tc>
          <w:tcPr>
            <w:tcW w:w="3095" w:type="dxa"/>
            <w:shd w:val="clear" w:color="auto" w:fill="auto"/>
            <w:noWrap/>
            <w:vAlign w:val="center"/>
          </w:tcPr>
          <w:p w14:paraId="13A4CDEA" w14:textId="621B9FA4" w:rsidR="00F103A8" w:rsidRPr="00F103A8" w:rsidRDefault="00F103A8" w:rsidP="00A416F1">
            <w:pPr>
              <w:pStyle w:val="Table"/>
              <w:rPr>
                <w:noProof/>
                <w:sz w:val="20"/>
                <w:szCs w:val="22"/>
              </w:rPr>
            </w:pPr>
            <w:r w:rsidRPr="00F103A8">
              <w:rPr>
                <w:noProof/>
                <w:sz w:val="20"/>
                <w:szCs w:val="22"/>
              </w:rPr>
              <w:t xml:space="preserve">Cort marrow to Cort bone surf </w:t>
            </w:r>
          </w:p>
        </w:tc>
        <w:tc>
          <w:tcPr>
            <w:tcW w:w="988" w:type="dxa"/>
            <w:shd w:val="clear" w:color="auto" w:fill="auto"/>
            <w:noWrap/>
            <w:vAlign w:val="center"/>
          </w:tcPr>
          <w:p w14:paraId="347C51F1" w14:textId="77777777" w:rsidR="00F103A8" w:rsidRPr="00C47F2F" w:rsidRDefault="00F103A8" w:rsidP="00A416F1">
            <w:pPr>
              <w:pStyle w:val="Table"/>
              <w:rPr>
                <w:noProof/>
                <w:sz w:val="20"/>
                <w:szCs w:val="20"/>
              </w:rPr>
            </w:pPr>
            <w:r w:rsidRPr="00C47F2F">
              <w:rPr>
                <w:noProof/>
                <w:sz w:val="20"/>
                <w:szCs w:val="20"/>
              </w:rPr>
              <w:t>0.00E+00</w:t>
            </w:r>
          </w:p>
        </w:tc>
        <w:tc>
          <w:tcPr>
            <w:tcW w:w="988" w:type="dxa"/>
            <w:shd w:val="clear" w:color="auto" w:fill="auto"/>
            <w:noWrap/>
            <w:vAlign w:val="center"/>
          </w:tcPr>
          <w:p w14:paraId="20604C6A" w14:textId="77777777" w:rsidR="00F103A8" w:rsidRPr="00C47F2F" w:rsidRDefault="00F103A8" w:rsidP="00A416F1">
            <w:pPr>
              <w:pStyle w:val="Table"/>
              <w:rPr>
                <w:noProof/>
                <w:sz w:val="20"/>
                <w:szCs w:val="20"/>
              </w:rPr>
            </w:pPr>
            <w:r w:rsidRPr="00C47F2F">
              <w:rPr>
                <w:noProof/>
                <w:sz w:val="20"/>
                <w:szCs w:val="20"/>
              </w:rPr>
              <w:t>0.00E+00</w:t>
            </w:r>
          </w:p>
        </w:tc>
        <w:tc>
          <w:tcPr>
            <w:tcW w:w="989" w:type="dxa"/>
            <w:shd w:val="clear" w:color="auto" w:fill="auto"/>
            <w:noWrap/>
            <w:vAlign w:val="center"/>
          </w:tcPr>
          <w:p w14:paraId="29604B63" w14:textId="77777777" w:rsidR="00F103A8" w:rsidRPr="00C47F2F" w:rsidRDefault="00F103A8" w:rsidP="00A416F1">
            <w:pPr>
              <w:pStyle w:val="Table"/>
              <w:rPr>
                <w:noProof/>
                <w:sz w:val="20"/>
                <w:szCs w:val="20"/>
              </w:rPr>
            </w:pPr>
            <w:r w:rsidRPr="00C47F2F">
              <w:rPr>
                <w:noProof/>
                <w:sz w:val="20"/>
                <w:szCs w:val="20"/>
              </w:rPr>
              <w:t>0.00E+00</w:t>
            </w:r>
          </w:p>
        </w:tc>
        <w:tc>
          <w:tcPr>
            <w:tcW w:w="989" w:type="dxa"/>
            <w:shd w:val="clear" w:color="auto" w:fill="auto"/>
            <w:noWrap/>
            <w:vAlign w:val="center"/>
          </w:tcPr>
          <w:p w14:paraId="6E38D660" w14:textId="77777777" w:rsidR="00F103A8" w:rsidRPr="00C47F2F" w:rsidRDefault="00F103A8" w:rsidP="00A416F1">
            <w:pPr>
              <w:pStyle w:val="Table"/>
              <w:rPr>
                <w:noProof/>
                <w:sz w:val="20"/>
                <w:szCs w:val="20"/>
              </w:rPr>
            </w:pPr>
            <w:r w:rsidRPr="00C47F2F">
              <w:rPr>
                <w:noProof/>
                <w:sz w:val="20"/>
                <w:szCs w:val="20"/>
              </w:rPr>
              <w:t>0.00E+00</w:t>
            </w:r>
          </w:p>
        </w:tc>
        <w:tc>
          <w:tcPr>
            <w:tcW w:w="989" w:type="dxa"/>
            <w:shd w:val="clear" w:color="auto" w:fill="auto"/>
            <w:noWrap/>
            <w:vAlign w:val="center"/>
          </w:tcPr>
          <w:p w14:paraId="158510AC" w14:textId="77777777" w:rsidR="00F103A8" w:rsidRPr="00C47F2F" w:rsidRDefault="00F103A8" w:rsidP="00A416F1">
            <w:pPr>
              <w:pStyle w:val="Table"/>
              <w:rPr>
                <w:noProof/>
                <w:sz w:val="20"/>
                <w:szCs w:val="20"/>
              </w:rPr>
            </w:pPr>
            <w:r w:rsidRPr="00C47F2F">
              <w:rPr>
                <w:noProof/>
                <w:sz w:val="20"/>
                <w:szCs w:val="20"/>
              </w:rPr>
              <w:t>0.00E+00</w:t>
            </w:r>
          </w:p>
        </w:tc>
        <w:tc>
          <w:tcPr>
            <w:tcW w:w="989" w:type="dxa"/>
            <w:shd w:val="clear" w:color="auto" w:fill="auto"/>
            <w:noWrap/>
            <w:vAlign w:val="center"/>
          </w:tcPr>
          <w:p w14:paraId="2CDD4A43" w14:textId="77777777" w:rsidR="00F103A8" w:rsidRPr="00C47F2F" w:rsidRDefault="00F103A8" w:rsidP="00A416F1">
            <w:pPr>
              <w:pStyle w:val="Table"/>
              <w:rPr>
                <w:noProof/>
                <w:sz w:val="20"/>
                <w:szCs w:val="20"/>
              </w:rPr>
            </w:pPr>
            <w:r w:rsidRPr="00C47F2F">
              <w:rPr>
                <w:noProof/>
                <w:sz w:val="20"/>
                <w:szCs w:val="20"/>
              </w:rPr>
              <w:t>5.07E-03</w:t>
            </w:r>
          </w:p>
        </w:tc>
      </w:tr>
      <w:tr w:rsidR="00F103A8" w:rsidRPr="00972C81" w14:paraId="7596B3B1" w14:textId="77777777" w:rsidTr="00A416F1">
        <w:trPr>
          <w:trHeight w:val="340"/>
        </w:trPr>
        <w:tc>
          <w:tcPr>
            <w:tcW w:w="3095" w:type="dxa"/>
            <w:shd w:val="clear" w:color="auto" w:fill="auto"/>
            <w:noWrap/>
            <w:vAlign w:val="center"/>
          </w:tcPr>
          <w:p w14:paraId="24D1E496" w14:textId="16772232" w:rsidR="00F103A8" w:rsidRPr="00F103A8" w:rsidRDefault="00F103A8" w:rsidP="00A416F1">
            <w:pPr>
              <w:pStyle w:val="Table"/>
              <w:rPr>
                <w:noProof/>
                <w:sz w:val="20"/>
                <w:szCs w:val="22"/>
              </w:rPr>
            </w:pPr>
            <w:r w:rsidRPr="00F103A8">
              <w:rPr>
                <w:noProof/>
                <w:sz w:val="20"/>
                <w:szCs w:val="22"/>
              </w:rPr>
              <w:t>Cort bone surf to Cort marrow</w:t>
            </w:r>
          </w:p>
        </w:tc>
        <w:tc>
          <w:tcPr>
            <w:tcW w:w="988" w:type="dxa"/>
            <w:shd w:val="clear" w:color="auto" w:fill="auto"/>
            <w:noWrap/>
            <w:vAlign w:val="center"/>
          </w:tcPr>
          <w:p w14:paraId="233B1E38" w14:textId="77777777" w:rsidR="00F103A8" w:rsidRPr="00C47F2F" w:rsidRDefault="00F103A8" w:rsidP="00A416F1">
            <w:pPr>
              <w:pStyle w:val="Table"/>
              <w:rPr>
                <w:noProof/>
                <w:sz w:val="20"/>
                <w:szCs w:val="20"/>
              </w:rPr>
            </w:pPr>
            <w:r w:rsidRPr="00C47F2F">
              <w:rPr>
                <w:noProof/>
                <w:sz w:val="20"/>
                <w:szCs w:val="20"/>
              </w:rPr>
              <w:t>8.22E-03</w:t>
            </w:r>
          </w:p>
        </w:tc>
        <w:tc>
          <w:tcPr>
            <w:tcW w:w="988" w:type="dxa"/>
            <w:shd w:val="clear" w:color="auto" w:fill="auto"/>
            <w:noWrap/>
            <w:vAlign w:val="center"/>
          </w:tcPr>
          <w:p w14:paraId="2E030803" w14:textId="77777777" w:rsidR="00F103A8" w:rsidRPr="00C47F2F" w:rsidRDefault="00F103A8" w:rsidP="00A416F1">
            <w:pPr>
              <w:pStyle w:val="Table"/>
              <w:rPr>
                <w:noProof/>
                <w:sz w:val="20"/>
                <w:szCs w:val="20"/>
              </w:rPr>
            </w:pPr>
            <w:r w:rsidRPr="00C47F2F">
              <w:rPr>
                <w:noProof/>
                <w:sz w:val="20"/>
                <w:szCs w:val="20"/>
              </w:rPr>
              <w:t>2.88E-03</w:t>
            </w:r>
          </w:p>
        </w:tc>
        <w:tc>
          <w:tcPr>
            <w:tcW w:w="989" w:type="dxa"/>
            <w:shd w:val="clear" w:color="auto" w:fill="auto"/>
            <w:noWrap/>
            <w:vAlign w:val="center"/>
          </w:tcPr>
          <w:p w14:paraId="4557215F" w14:textId="77777777" w:rsidR="00F103A8" w:rsidRPr="00C47F2F" w:rsidRDefault="00F103A8" w:rsidP="00A416F1">
            <w:pPr>
              <w:pStyle w:val="Table"/>
              <w:rPr>
                <w:noProof/>
                <w:sz w:val="20"/>
                <w:szCs w:val="20"/>
              </w:rPr>
            </w:pPr>
            <w:r w:rsidRPr="00C47F2F">
              <w:rPr>
                <w:noProof/>
                <w:sz w:val="20"/>
                <w:szCs w:val="20"/>
              </w:rPr>
              <w:t>1.53E-03</w:t>
            </w:r>
          </w:p>
        </w:tc>
        <w:tc>
          <w:tcPr>
            <w:tcW w:w="989" w:type="dxa"/>
            <w:shd w:val="clear" w:color="auto" w:fill="auto"/>
            <w:noWrap/>
            <w:vAlign w:val="center"/>
          </w:tcPr>
          <w:p w14:paraId="3AA821E3" w14:textId="77777777" w:rsidR="00F103A8" w:rsidRPr="00C47F2F" w:rsidRDefault="00F103A8" w:rsidP="00A416F1">
            <w:pPr>
              <w:pStyle w:val="Table"/>
              <w:rPr>
                <w:noProof/>
                <w:sz w:val="20"/>
                <w:szCs w:val="20"/>
              </w:rPr>
            </w:pPr>
            <w:r w:rsidRPr="00C47F2F">
              <w:rPr>
                <w:noProof/>
                <w:sz w:val="20"/>
                <w:szCs w:val="20"/>
              </w:rPr>
              <w:t>9.04E-04</w:t>
            </w:r>
          </w:p>
        </w:tc>
        <w:tc>
          <w:tcPr>
            <w:tcW w:w="989" w:type="dxa"/>
            <w:shd w:val="clear" w:color="auto" w:fill="auto"/>
            <w:noWrap/>
            <w:vAlign w:val="center"/>
          </w:tcPr>
          <w:p w14:paraId="5F28DC47" w14:textId="77777777" w:rsidR="00F103A8" w:rsidRPr="00C47F2F" w:rsidRDefault="00F103A8" w:rsidP="00A416F1">
            <w:pPr>
              <w:pStyle w:val="Table"/>
              <w:rPr>
                <w:noProof/>
                <w:sz w:val="20"/>
                <w:szCs w:val="20"/>
              </w:rPr>
            </w:pPr>
            <w:r w:rsidRPr="00C47F2F">
              <w:rPr>
                <w:noProof/>
                <w:sz w:val="20"/>
                <w:szCs w:val="20"/>
              </w:rPr>
              <w:t>5.21E-04</w:t>
            </w:r>
          </w:p>
        </w:tc>
        <w:tc>
          <w:tcPr>
            <w:tcW w:w="989" w:type="dxa"/>
            <w:shd w:val="clear" w:color="auto" w:fill="auto"/>
            <w:noWrap/>
            <w:vAlign w:val="center"/>
          </w:tcPr>
          <w:p w14:paraId="3D976F54" w14:textId="77777777" w:rsidR="00F103A8" w:rsidRPr="00C47F2F" w:rsidRDefault="00F103A8" w:rsidP="00A416F1">
            <w:pPr>
              <w:pStyle w:val="Table"/>
              <w:rPr>
                <w:noProof/>
                <w:sz w:val="20"/>
                <w:szCs w:val="20"/>
              </w:rPr>
            </w:pPr>
            <w:r w:rsidRPr="00C47F2F">
              <w:rPr>
                <w:noProof/>
                <w:sz w:val="20"/>
                <w:szCs w:val="20"/>
              </w:rPr>
              <w:t>8.21E-05</w:t>
            </w:r>
          </w:p>
        </w:tc>
      </w:tr>
      <w:tr w:rsidR="00F103A8" w:rsidRPr="00972C81" w14:paraId="73EC4039" w14:textId="77777777" w:rsidTr="00A416F1">
        <w:trPr>
          <w:trHeight w:val="340"/>
        </w:trPr>
        <w:tc>
          <w:tcPr>
            <w:tcW w:w="3095" w:type="dxa"/>
            <w:shd w:val="clear" w:color="auto" w:fill="auto"/>
            <w:noWrap/>
            <w:vAlign w:val="center"/>
          </w:tcPr>
          <w:p w14:paraId="317886C3" w14:textId="691C84F3" w:rsidR="00F103A8" w:rsidRPr="00F103A8" w:rsidRDefault="00F103A8" w:rsidP="00A416F1">
            <w:pPr>
              <w:pStyle w:val="Table"/>
              <w:rPr>
                <w:noProof/>
                <w:sz w:val="20"/>
                <w:szCs w:val="22"/>
              </w:rPr>
            </w:pPr>
            <w:r w:rsidRPr="00F103A8">
              <w:rPr>
                <w:noProof/>
                <w:sz w:val="20"/>
                <w:szCs w:val="22"/>
              </w:rPr>
              <w:t xml:space="preserve">Cort bone surf  to Cort bone vol </w:t>
            </w:r>
          </w:p>
        </w:tc>
        <w:tc>
          <w:tcPr>
            <w:tcW w:w="988" w:type="dxa"/>
            <w:shd w:val="clear" w:color="auto" w:fill="auto"/>
            <w:noWrap/>
            <w:vAlign w:val="center"/>
          </w:tcPr>
          <w:p w14:paraId="77D6AB3F" w14:textId="77777777" w:rsidR="00F103A8" w:rsidRPr="00C47F2F" w:rsidRDefault="00F103A8" w:rsidP="00A416F1">
            <w:pPr>
              <w:pStyle w:val="Table"/>
              <w:rPr>
                <w:noProof/>
                <w:sz w:val="20"/>
                <w:szCs w:val="20"/>
              </w:rPr>
            </w:pPr>
            <w:r w:rsidRPr="00C47F2F">
              <w:rPr>
                <w:noProof/>
                <w:sz w:val="20"/>
                <w:szCs w:val="20"/>
              </w:rPr>
              <w:t>8.22E-03</w:t>
            </w:r>
          </w:p>
        </w:tc>
        <w:tc>
          <w:tcPr>
            <w:tcW w:w="988" w:type="dxa"/>
            <w:shd w:val="clear" w:color="auto" w:fill="auto"/>
            <w:noWrap/>
            <w:vAlign w:val="center"/>
          </w:tcPr>
          <w:p w14:paraId="017489E0" w14:textId="77777777" w:rsidR="00F103A8" w:rsidRPr="00C47F2F" w:rsidRDefault="00F103A8" w:rsidP="00A416F1">
            <w:pPr>
              <w:pStyle w:val="Table"/>
              <w:rPr>
                <w:noProof/>
                <w:sz w:val="20"/>
                <w:szCs w:val="20"/>
              </w:rPr>
            </w:pPr>
            <w:r w:rsidRPr="00C47F2F">
              <w:rPr>
                <w:noProof/>
                <w:sz w:val="20"/>
                <w:szCs w:val="20"/>
              </w:rPr>
              <w:t>2.88E-03</w:t>
            </w:r>
          </w:p>
        </w:tc>
        <w:tc>
          <w:tcPr>
            <w:tcW w:w="989" w:type="dxa"/>
            <w:shd w:val="clear" w:color="auto" w:fill="auto"/>
            <w:noWrap/>
            <w:vAlign w:val="center"/>
          </w:tcPr>
          <w:p w14:paraId="6ED9FEC2" w14:textId="77777777" w:rsidR="00F103A8" w:rsidRPr="00C47F2F" w:rsidRDefault="00F103A8" w:rsidP="00A416F1">
            <w:pPr>
              <w:pStyle w:val="Table"/>
              <w:rPr>
                <w:noProof/>
                <w:sz w:val="20"/>
                <w:szCs w:val="20"/>
              </w:rPr>
            </w:pPr>
            <w:r w:rsidRPr="00C47F2F">
              <w:rPr>
                <w:noProof/>
                <w:sz w:val="20"/>
                <w:szCs w:val="20"/>
              </w:rPr>
              <w:t>1.53E-03</w:t>
            </w:r>
          </w:p>
        </w:tc>
        <w:tc>
          <w:tcPr>
            <w:tcW w:w="989" w:type="dxa"/>
            <w:shd w:val="clear" w:color="auto" w:fill="auto"/>
            <w:noWrap/>
            <w:vAlign w:val="center"/>
          </w:tcPr>
          <w:p w14:paraId="3C0F5502" w14:textId="77777777" w:rsidR="00F103A8" w:rsidRPr="00C47F2F" w:rsidRDefault="00F103A8" w:rsidP="00A416F1">
            <w:pPr>
              <w:pStyle w:val="Table"/>
              <w:rPr>
                <w:noProof/>
                <w:sz w:val="20"/>
                <w:szCs w:val="20"/>
              </w:rPr>
            </w:pPr>
            <w:r w:rsidRPr="00C47F2F">
              <w:rPr>
                <w:noProof/>
                <w:sz w:val="20"/>
                <w:szCs w:val="20"/>
              </w:rPr>
              <w:t>9.04E-04</w:t>
            </w:r>
          </w:p>
        </w:tc>
        <w:tc>
          <w:tcPr>
            <w:tcW w:w="989" w:type="dxa"/>
            <w:shd w:val="clear" w:color="auto" w:fill="auto"/>
            <w:noWrap/>
            <w:vAlign w:val="center"/>
          </w:tcPr>
          <w:p w14:paraId="333D0EC3" w14:textId="77777777" w:rsidR="00F103A8" w:rsidRPr="00C47F2F" w:rsidRDefault="00F103A8" w:rsidP="00A416F1">
            <w:pPr>
              <w:pStyle w:val="Table"/>
              <w:rPr>
                <w:noProof/>
                <w:sz w:val="20"/>
                <w:szCs w:val="20"/>
              </w:rPr>
            </w:pPr>
            <w:r w:rsidRPr="00C47F2F">
              <w:rPr>
                <w:noProof/>
                <w:sz w:val="20"/>
                <w:szCs w:val="20"/>
              </w:rPr>
              <w:t>5.21E-04</w:t>
            </w:r>
          </w:p>
        </w:tc>
        <w:tc>
          <w:tcPr>
            <w:tcW w:w="989" w:type="dxa"/>
            <w:shd w:val="clear" w:color="auto" w:fill="auto"/>
            <w:noWrap/>
            <w:vAlign w:val="center"/>
          </w:tcPr>
          <w:p w14:paraId="486C0AEF" w14:textId="77777777" w:rsidR="00F103A8" w:rsidRPr="00C47F2F" w:rsidRDefault="00F103A8" w:rsidP="00A416F1">
            <w:pPr>
              <w:pStyle w:val="Table"/>
              <w:rPr>
                <w:noProof/>
                <w:sz w:val="20"/>
                <w:szCs w:val="20"/>
              </w:rPr>
            </w:pPr>
            <w:r w:rsidRPr="00C47F2F">
              <w:rPr>
                <w:noProof/>
                <w:sz w:val="20"/>
                <w:szCs w:val="20"/>
              </w:rPr>
              <w:t>4.11E-05</w:t>
            </w:r>
          </w:p>
        </w:tc>
      </w:tr>
      <w:tr w:rsidR="00F103A8" w:rsidRPr="00972C81" w14:paraId="273368E7" w14:textId="77777777" w:rsidTr="00A416F1">
        <w:trPr>
          <w:trHeight w:val="340"/>
        </w:trPr>
        <w:tc>
          <w:tcPr>
            <w:tcW w:w="3095" w:type="dxa"/>
            <w:shd w:val="clear" w:color="auto" w:fill="auto"/>
            <w:noWrap/>
            <w:vAlign w:val="center"/>
          </w:tcPr>
          <w:p w14:paraId="4968BCE6" w14:textId="629AE6DF" w:rsidR="00F103A8" w:rsidRPr="00F103A8" w:rsidRDefault="00F103A8" w:rsidP="00A416F1">
            <w:pPr>
              <w:pStyle w:val="Table"/>
              <w:rPr>
                <w:noProof/>
                <w:sz w:val="20"/>
                <w:szCs w:val="22"/>
              </w:rPr>
            </w:pPr>
            <w:r w:rsidRPr="00F103A8">
              <w:rPr>
                <w:noProof/>
                <w:sz w:val="20"/>
                <w:szCs w:val="22"/>
              </w:rPr>
              <w:t>Cort bone vol to Cort marrow</w:t>
            </w:r>
          </w:p>
        </w:tc>
        <w:tc>
          <w:tcPr>
            <w:tcW w:w="988" w:type="dxa"/>
            <w:shd w:val="clear" w:color="auto" w:fill="auto"/>
            <w:noWrap/>
            <w:vAlign w:val="center"/>
          </w:tcPr>
          <w:p w14:paraId="52239680" w14:textId="77777777" w:rsidR="00F103A8" w:rsidRPr="00C47F2F" w:rsidRDefault="00F103A8" w:rsidP="00A416F1">
            <w:pPr>
              <w:pStyle w:val="Table"/>
              <w:rPr>
                <w:noProof/>
                <w:sz w:val="20"/>
                <w:szCs w:val="20"/>
              </w:rPr>
            </w:pPr>
            <w:r w:rsidRPr="00C47F2F">
              <w:rPr>
                <w:noProof/>
                <w:sz w:val="20"/>
                <w:szCs w:val="20"/>
              </w:rPr>
              <w:t>8.22E-03</w:t>
            </w:r>
          </w:p>
        </w:tc>
        <w:tc>
          <w:tcPr>
            <w:tcW w:w="988" w:type="dxa"/>
            <w:shd w:val="clear" w:color="auto" w:fill="auto"/>
            <w:noWrap/>
            <w:vAlign w:val="center"/>
          </w:tcPr>
          <w:p w14:paraId="3A518943" w14:textId="77777777" w:rsidR="00F103A8" w:rsidRPr="00C47F2F" w:rsidRDefault="00F103A8" w:rsidP="00A416F1">
            <w:pPr>
              <w:pStyle w:val="Table"/>
              <w:rPr>
                <w:noProof/>
                <w:sz w:val="20"/>
                <w:szCs w:val="20"/>
              </w:rPr>
            </w:pPr>
            <w:r w:rsidRPr="00C47F2F">
              <w:rPr>
                <w:noProof/>
                <w:sz w:val="20"/>
                <w:szCs w:val="20"/>
              </w:rPr>
              <w:t>2.88E-03</w:t>
            </w:r>
          </w:p>
        </w:tc>
        <w:tc>
          <w:tcPr>
            <w:tcW w:w="989" w:type="dxa"/>
            <w:shd w:val="clear" w:color="auto" w:fill="auto"/>
            <w:noWrap/>
            <w:vAlign w:val="center"/>
          </w:tcPr>
          <w:p w14:paraId="650BA43B" w14:textId="77777777" w:rsidR="00F103A8" w:rsidRPr="00C47F2F" w:rsidRDefault="00F103A8" w:rsidP="00A416F1">
            <w:pPr>
              <w:pStyle w:val="Table"/>
              <w:rPr>
                <w:noProof/>
                <w:sz w:val="20"/>
                <w:szCs w:val="20"/>
              </w:rPr>
            </w:pPr>
            <w:r w:rsidRPr="00C47F2F">
              <w:rPr>
                <w:noProof/>
                <w:sz w:val="20"/>
                <w:szCs w:val="20"/>
              </w:rPr>
              <w:t>1.53E-03</w:t>
            </w:r>
          </w:p>
        </w:tc>
        <w:tc>
          <w:tcPr>
            <w:tcW w:w="989" w:type="dxa"/>
            <w:shd w:val="clear" w:color="auto" w:fill="auto"/>
            <w:noWrap/>
            <w:vAlign w:val="center"/>
          </w:tcPr>
          <w:p w14:paraId="0AA863EC" w14:textId="77777777" w:rsidR="00F103A8" w:rsidRPr="00C47F2F" w:rsidRDefault="00F103A8" w:rsidP="00A416F1">
            <w:pPr>
              <w:pStyle w:val="Table"/>
              <w:rPr>
                <w:noProof/>
                <w:sz w:val="20"/>
                <w:szCs w:val="20"/>
              </w:rPr>
            </w:pPr>
            <w:r w:rsidRPr="00C47F2F">
              <w:rPr>
                <w:noProof/>
                <w:sz w:val="20"/>
                <w:szCs w:val="20"/>
              </w:rPr>
              <w:t>9.04E-04</w:t>
            </w:r>
          </w:p>
        </w:tc>
        <w:tc>
          <w:tcPr>
            <w:tcW w:w="989" w:type="dxa"/>
            <w:shd w:val="clear" w:color="auto" w:fill="auto"/>
            <w:noWrap/>
            <w:vAlign w:val="center"/>
          </w:tcPr>
          <w:p w14:paraId="790E0B34" w14:textId="77777777" w:rsidR="00F103A8" w:rsidRPr="00C47F2F" w:rsidRDefault="00F103A8" w:rsidP="00A416F1">
            <w:pPr>
              <w:pStyle w:val="Table"/>
              <w:rPr>
                <w:noProof/>
                <w:sz w:val="20"/>
                <w:szCs w:val="20"/>
              </w:rPr>
            </w:pPr>
            <w:r w:rsidRPr="00C47F2F">
              <w:rPr>
                <w:noProof/>
                <w:sz w:val="20"/>
                <w:szCs w:val="20"/>
              </w:rPr>
              <w:t>5.21E-04</w:t>
            </w:r>
          </w:p>
        </w:tc>
        <w:tc>
          <w:tcPr>
            <w:tcW w:w="989" w:type="dxa"/>
            <w:shd w:val="clear" w:color="auto" w:fill="auto"/>
            <w:noWrap/>
            <w:vAlign w:val="center"/>
          </w:tcPr>
          <w:p w14:paraId="2AD0CC1E" w14:textId="77777777" w:rsidR="00F103A8" w:rsidRPr="00C47F2F" w:rsidRDefault="00F103A8" w:rsidP="00A416F1">
            <w:pPr>
              <w:pStyle w:val="Table"/>
              <w:rPr>
                <w:noProof/>
                <w:sz w:val="20"/>
                <w:szCs w:val="20"/>
              </w:rPr>
            </w:pPr>
            <w:r w:rsidRPr="00C47F2F">
              <w:rPr>
                <w:noProof/>
                <w:sz w:val="20"/>
                <w:szCs w:val="20"/>
              </w:rPr>
              <w:t>8.21E-05</w:t>
            </w:r>
          </w:p>
        </w:tc>
      </w:tr>
      <w:tr w:rsidR="00F103A8" w:rsidRPr="00972C81" w14:paraId="25F28008" w14:textId="77777777" w:rsidTr="00A416F1">
        <w:trPr>
          <w:trHeight w:val="340"/>
        </w:trPr>
        <w:tc>
          <w:tcPr>
            <w:tcW w:w="3095" w:type="dxa"/>
            <w:shd w:val="clear" w:color="auto" w:fill="auto"/>
            <w:noWrap/>
            <w:vAlign w:val="center"/>
          </w:tcPr>
          <w:p w14:paraId="7A4C1CC3" w14:textId="3CE7EB31" w:rsidR="00F103A8" w:rsidRPr="00F103A8" w:rsidRDefault="00F103A8" w:rsidP="00A416F1">
            <w:pPr>
              <w:pStyle w:val="Table"/>
              <w:rPr>
                <w:noProof/>
                <w:sz w:val="20"/>
                <w:szCs w:val="22"/>
              </w:rPr>
            </w:pPr>
            <w:r w:rsidRPr="00F103A8">
              <w:rPr>
                <w:noProof/>
                <w:sz w:val="20"/>
                <w:szCs w:val="22"/>
              </w:rPr>
              <w:t>Trab marrow to Blood</w:t>
            </w:r>
          </w:p>
        </w:tc>
        <w:tc>
          <w:tcPr>
            <w:tcW w:w="988" w:type="dxa"/>
            <w:shd w:val="clear" w:color="auto" w:fill="auto"/>
            <w:noWrap/>
            <w:vAlign w:val="center"/>
          </w:tcPr>
          <w:p w14:paraId="54F8638B" w14:textId="77777777" w:rsidR="00F103A8" w:rsidRPr="00C47F2F" w:rsidRDefault="00F103A8" w:rsidP="00A416F1">
            <w:pPr>
              <w:pStyle w:val="Table"/>
              <w:rPr>
                <w:noProof/>
                <w:sz w:val="20"/>
                <w:szCs w:val="20"/>
              </w:rPr>
            </w:pPr>
            <w:r w:rsidRPr="00C47F2F">
              <w:rPr>
                <w:noProof/>
                <w:sz w:val="20"/>
                <w:szCs w:val="20"/>
              </w:rPr>
              <w:t>7.60E-03</w:t>
            </w:r>
          </w:p>
        </w:tc>
        <w:tc>
          <w:tcPr>
            <w:tcW w:w="988" w:type="dxa"/>
            <w:shd w:val="clear" w:color="auto" w:fill="auto"/>
            <w:noWrap/>
            <w:vAlign w:val="center"/>
          </w:tcPr>
          <w:p w14:paraId="580FAB54" w14:textId="77777777" w:rsidR="00F103A8" w:rsidRPr="00C47F2F" w:rsidRDefault="00F103A8" w:rsidP="00A416F1">
            <w:pPr>
              <w:pStyle w:val="Table"/>
              <w:rPr>
                <w:noProof/>
                <w:sz w:val="20"/>
                <w:szCs w:val="20"/>
              </w:rPr>
            </w:pPr>
            <w:r w:rsidRPr="00C47F2F">
              <w:rPr>
                <w:noProof/>
                <w:sz w:val="20"/>
                <w:szCs w:val="20"/>
              </w:rPr>
              <w:t>7.60E-03</w:t>
            </w:r>
          </w:p>
        </w:tc>
        <w:tc>
          <w:tcPr>
            <w:tcW w:w="989" w:type="dxa"/>
            <w:shd w:val="clear" w:color="auto" w:fill="auto"/>
            <w:noWrap/>
            <w:vAlign w:val="center"/>
          </w:tcPr>
          <w:p w14:paraId="6C2C9B91" w14:textId="77777777" w:rsidR="00F103A8" w:rsidRPr="00C47F2F" w:rsidRDefault="00F103A8" w:rsidP="00A416F1">
            <w:pPr>
              <w:pStyle w:val="Table"/>
              <w:rPr>
                <w:noProof/>
                <w:sz w:val="20"/>
                <w:szCs w:val="20"/>
              </w:rPr>
            </w:pPr>
            <w:r w:rsidRPr="00C47F2F">
              <w:rPr>
                <w:noProof/>
                <w:sz w:val="20"/>
                <w:szCs w:val="20"/>
              </w:rPr>
              <w:t>7.60E-03</w:t>
            </w:r>
          </w:p>
        </w:tc>
        <w:tc>
          <w:tcPr>
            <w:tcW w:w="989" w:type="dxa"/>
            <w:shd w:val="clear" w:color="auto" w:fill="auto"/>
            <w:noWrap/>
            <w:vAlign w:val="center"/>
          </w:tcPr>
          <w:p w14:paraId="0658F2A7" w14:textId="77777777" w:rsidR="00F103A8" w:rsidRPr="00C47F2F" w:rsidRDefault="00F103A8" w:rsidP="00A416F1">
            <w:pPr>
              <w:pStyle w:val="Table"/>
              <w:rPr>
                <w:noProof/>
                <w:sz w:val="20"/>
                <w:szCs w:val="20"/>
              </w:rPr>
            </w:pPr>
            <w:r w:rsidRPr="00C47F2F">
              <w:rPr>
                <w:noProof/>
                <w:sz w:val="20"/>
                <w:szCs w:val="20"/>
              </w:rPr>
              <w:t>7.60E-03</w:t>
            </w:r>
          </w:p>
        </w:tc>
        <w:tc>
          <w:tcPr>
            <w:tcW w:w="989" w:type="dxa"/>
            <w:shd w:val="clear" w:color="auto" w:fill="auto"/>
            <w:noWrap/>
            <w:vAlign w:val="center"/>
          </w:tcPr>
          <w:p w14:paraId="1D61B694" w14:textId="77777777" w:rsidR="00F103A8" w:rsidRPr="00C47F2F" w:rsidRDefault="00F103A8" w:rsidP="00A416F1">
            <w:pPr>
              <w:pStyle w:val="Table"/>
              <w:rPr>
                <w:noProof/>
                <w:sz w:val="20"/>
                <w:szCs w:val="20"/>
              </w:rPr>
            </w:pPr>
            <w:r w:rsidRPr="00C47F2F">
              <w:rPr>
                <w:noProof/>
                <w:sz w:val="20"/>
                <w:szCs w:val="20"/>
              </w:rPr>
              <w:t>7.60E-03</w:t>
            </w:r>
          </w:p>
        </w:tc>
        <w:tc>
          <w:tcPr>
            <w:tcW w:w="989" w:type="dxa"/>
            <w:shd w:val="clear" w:color="auto" w:fill="auto"/>
            <w:noWrap/>
            <w:vAlign w:val="center"/>
          </w:tcPr>
          <w:p w14:paraId="48A6114D" w14:textId="77777777" w:rsidR="00F103A8" w:rsidRPr="00C47F2F" w:rsidRDefault="00F103A8" w:rsidP="00A416F1">
            <w:pPr>
              <w:pStyle w:val="Table"/>
              <w:rPr>
                <w:noProof/>
                <w:sz w:val="20"/>
                <w:szCs w:val="20"/>
              </w:rPr>
            </w:pPr>
            <w:r w:rsidRPr="00C47F2F">
              <w:rPr>
                <w:noProof/>
                <w:sz w:val="20"/>
                <w:szCs w:val="20"/>
              </w:rPr>
              <w:t>7.60E-03</w:t>
            </w:r>
          </w:p>
        </w:tc>
      </w:tr>
      <w:tr w:rsidR="00F103A8" w:rsidRPr="00972C81" w14:paraId="2CCE4486" w14:textId="77777777" w:rsidTr="00A416F1">
        <w:trPr>
          <w:trHeight w:val="340"/>
        </w:trPr>
        <w:tc>
          <w:tcPr>
            <w:tcW w:w="3095" w:type="dxa"/>
            <w:shd w:val="clear" w:color="auto" w:fill="auto"/>
            <w:noWrap/>
            <w:vAlign w:val="center"/>
          </w:tcPr>
          <w:p w14:paraId="63266A34" w14:textId="5057B540" w:rsidR="00F103A8" w:rsidRPr="00F103A8" w:rsidRDefault="00F103A8" w:rsidP="00A416F1">
            <w:pPr>
              <w:pStyle w:val="Table"/>
              <w:rPr>
                <w:noProof/>
                <w:sz w:val="20"/>
                <w:szCs w:val="22"/>
              </w:rPr>
            </w:pPr>
            <w:r w:rsidRPr="00F103A8">
              <w:rPr>
                <w:noProof/>
                <w:sz w:val="20"/>
                <w:szCs w:val="22"/>
              </w:rPr>
              <w:t>Trab bone surf  to Trab marrow</w:t>
            </w:r>
          </w:p>
        </w:tc>
        <w:tc>
          <w:tcPr>
            <w:tcW w:w="988" w:type="dxa"/>
            <w:shd w:val="clear" w:color="auto" w:fill="auto"/>
            <w:noWrap/>
            <w:vAlign w:val="center"/>
          </w:tcPr>
          <w:p w14:paraId="53C528AD" w14:textId="77777777" w:rsidR="00F103A8" w:rsidRPr="00C47F2F" w:rsidRDefault="00F103A8" w:rsidP="00A416F1">
            <w:pPr>
              <w:pStyle w:val="Table"/>
              <w:rPr>
                <w:noProof/>
                <w:sz w:val="20"/>
                <w:szCs w:val="20"/>
              </w:rPr>
            </w:pPr>
            <w:r w:rsidRPr="00C47F2F">
              <w:rPr>
                <w:noProof/>
                <w:sz w:val="20"/>
                <w:szCs w:val="20"/>
              </w:rPr>
              <w:t>8.22E-03</w:t>
            </w:r>
          </w:p>
        </w:tc>
        <w:tc>
          <w:tcPr>
            <w:tcW w:w="988" w:type="dxa"/>
            <w:shd w:val="clear" w:color="auto" w:fill="auto"/>
            <w:noWrap/>
            <w:vAlign w:val="center"/>
          </w:tcPr>
          <w:p w14:paraId="4DB6623E" w14:textId="77777777" w:rsidR="00F103A8" w:rsidRPr="00C47F2F" w:rsidRDefault="00F103A8" w:rsidP="00A416F1">
            <w:pPr>
              <w:pStyle w:val="Table"/>
              <w:rPr>
                <w:noProof/>
                <w:sz w:val="20"/>
                <w:szCs w:val="20"/>
              </w:rPr>
            </w:pPr>
            <w:r w:rsidRPr="00C47F2F">
              <w:rPr>
                <w:noProof/>
                <w:sz w:val="20"/>
                <w:szCs w:val="20"/>
              </w:rPr>
              <w:t>2.88E-03</w:t>
            </w:r>
          </w:p>
        </w:tc>
        <w:tc>
          <w:tcPr>
            <w:tcW w:w="989" w:type="dxa"/>
            <w:shd w:val="clear" w:color="auto" w:fill="auto"/>
            <w:noWrap/>
            <w:vAlign w:val="center"/>
          </w:tcPr>
          <w:p w14:paraId="68E3C5DA" w14:textId="77777777" w:rsidR="00F103A8" w:rsidRPr="00C47F2F" w:rsidRDefault="00F103A8" w:rsidP="00A416F1">
            <w:pPr>
              <w:pStyle w:val="Table"/>
              <w:rPr>
                <w:noProof/>
                <w:sz w:val="20"/>
                <w:szCs w:val="20"/>
              </w:rPr>
            </w:pPr>
            <w:r w:rsidRPr="00C47F2F">
              <w:rPr>
                <w:noProof/>
                <w:sz w:val="20"/>
                <w:szCs w:val="20"/>
              </w:rPr>
              <w:t>1.81E-03</w:t>
            </w:r>
          </w:p>
        </w:tc>
        <w:tc>
          <w:tcPr>
            <w:tcW w:w="989" w:type="dxa"/>
            <w:shd w:val="clear" w:color="auto" w:fill="auto"/>
            <w:noWrap/>
            <w:vAlign w:val="center"/>
          </w:tcPr>
          <w:p w14:paraId="052A3A87" w14:textId="77777777" w:rsidR="00F103A8" w:rsidRPr="00C47F2F" w:rsidRDefault="00F103A8" w:rsidP="00A416F1">
            <w:pPr>
              <w:pStyle w:val="Table"/>
              <w:rPr>
                <w:noProof/>
                <w:sz w:val="20"/>
                <w:szCs w:val="20"/>
              </w:rPr>
            </w:pPr>
            <w:r w:rsidRPr="00C47F2F">
              <w:rPr>
                <w:noProof/>
                <w:sz w:val="20"/>
                <w:szCs w:val="20"/>
              </w:rPr>
              <w:t>1.32E-03</w:t>
            </w:r>
          </w:p>
        </w:tc>
        <w:tc>
          <w:tcPr>
            <w:tcW w:w="989" w:type="dxa"/>
            <w:shd w:val="clear" w:color="auto" w:fill="auto"/>
            <w:noWrap/>
            <w:vAlign w:val="center"/>
          </w:tcPr>
          <w:p w14:paraId="401409F6" w14:textId="77777777" w:rsidR="00F103A8" w:rsidRPr="00C47F2F" w:rsidRDefault="00F103A8" w:rsidP="00A416F1">
            <w:pPr>
              <w:pStyle w:val="Table"/>
              <w:rPr>
                <w:noProof/>
                <w:sz w:val="20"/>
                <w:szCs w:val="20"/>
              </w:rPr>
            </w:pPr>
            <w:r w:rsidRPr="00C47F2F">
              <w:rPr>
                <w:noProof/>
                <w:sz w:val="20"/>
                <w:szCs w:val="20"/>
              </w:rPr>
              <w:t>9.59E-04</w:t>
            </w:r>
          </w:p>
        </w:tc>
        <w:tc>
          <w:tcPr>
            <w:tcW w:w="989" w:type="dxa"/>
            <w:shd w:val="clear" w:color="auto" w:fill="auto"/>
            <w:noWrap/>
            <w:vAlign w:val="center"/>
          </w:tcPr>
          <w:p w14:paraId="5BCEEFB1" w14:textId="77777777" w:rsidR="00F103A8" w:rsidRPr="00C47F2F" w:rsidRDefault="00F103A8" w:rsidP="00A416F1">
            <w:pPr>
              <w:pStyle w:val="Table"/>
              <w:rPr>
                <w:noProof/>
                <w:sz w:val="20"/>
                <w:szCs w:val="20"/>
              </w:rPr>
            </w:pPr>
            <w:r w:rsidRPr="00C47F2F">
              <w:rPr>
                <w:noProof/>
                <w:sz w:val="20"/>
                <w:szCs w:val="20"/>
              </w:rPr>
              <w:t>4.93E-04</w:t>
            </w:r>
          </w:p>
        </w:tc>
      </w:tr>
      <w:tr w:rsidR="00F103A8" w:rsidRPr="00972C81" w14:paraId="36CBF50C" w14:textId="77777777" w:rsidTr="00A416F1">
        <w:trPr>
          <w:trHeight w:val="340"/>
        </w:trPr>
        <w:tc>
          <w:tcPr>
            <w:tcW w:w="3095" w:type="dxa"/>
            <w:shd w:val="clear" w:color="auto" w:fill="auto"/>
            <w:noWrap/>
            <w:vAlign w:val="center"/>
          </w:tcPr>
          <w:p w14:paraId="00279FC0" w14:textId="276A2ECE" w:rsidR="00F103A8" w:rsidRPr="00F103A8" w:rsidRDefault="00F103A8" w:rsidP="00A416F1">
            <w:pPr>
              <w:pStyle w:val="Table"/>
              <w:rPr>
                <w:noProof/>
                <w:sz w:val="20"/>
                <w:szCs w:val="22"/>
              </w:rPr>
            </w:pPr>
            <w:r w:rsidRPr="00F103A8">
              <w:rPr>
                <w:noProof/>
                <w:sz w:val="20"/>
                <w:szCs w:val="22"/>
              </w:rPr>
              <w:t xml:space="preserve">Trab bone surf  to Trab bone vol </w:t>
            </w:r>
          </w:p>
        </w:tc>
        <w:tc>
          <w:tcPr>
            <w:tcW w:w="988" w:type="dxa"/>
            <w:shd w:val="clear" w:color="auto" w:fill="auto"/>
            <w:noWrap/>
            <w:vAlign w:val="center"/>
          </w:tcPr>
          <w:p w14:paraId="0B283EC7" w14:textId="77777777" w:rsidR="00F103A8" w:rsidRPr="00C47F2F" w:rsidRDefault="00F103A8" w:rsidP="00A416F1">
            <w:pPr>
              <w:pStyle w:val="Table"/>
              <w:rPr>
                <w:noProof/>
                <w:sz w:val="20"/>
                <w:szCs w:val="20"/>
              </w:rPr>
            </w:pPr>
            <w:r w:rsidRPr="00C47F2F">
              <w:rPr>
                <w:noProof/>
                <w:sz w:val="20"/>
                <w:szCs w:val="20"/>
              </w:rPr>
              <w:t>8.22E-03</w:t>
            </w:r>
          </w:p>
        </w:tc>
        <w:tc>
          <w:tcPr>
            <w:tcW w:w="988" w:type="dxa"/>
            <w:shd w:val="clear" w:color="auto" w:fill="auto"/>
            <w:noWrap/>
            <w:vAlign w:val="center"/>
          </w:tcPr>
          <w:p w14:paraId="21FD0A59" w14:textId="77777777" w:rsidR="00F103A8" w:rsidRPr="00C47F2F" w:rsidRDefault="00F103A8" w:rsidP="00A416F1">
            <w:pPr>
              <w:pStyle w:val="Table"/>
              <w:rPr>
                <w:noProof/>
                <w:sz w:val="20"/>
                <w:szCs w:val="20"/>
              </w:rPr>
            </w:pPr>
            <w:r w:rsidRPr="00C47F2F">
              <w:rPr>
                <w:noProof/>
                <w:sz w:val="20"/>
                <w:szCs w:val="20"/>
              </w:rPr>
              <w:t>2.88E-03</w:t>
            </w:r>
          </w:p>
        </w:tc>
        <w:tc>
          <w:tcPr>
            <w:tcW w:w="989" w:type="dxa"/>
            <w:shd w:val="clear" w:color="auto" w:fill="auto"/>
            <w:noWrap/>
            <w:vAlign w:val="center"/>
          </w:tcPr>
          <w:p w14:paraId="0382C714" w14:textId="77777777" w:rsidR="00F103A8" w:rsidRPr="00C47F2F" w:rsidRDefault="00F103A8" w:rsidP="00A416F1">
            <w:pPr>
              <w:pStyle w:val="Table"/>
              <w:rPr>
                <w:noProof/>
                <w:sz w:val="20"/>
                <w:szCs w:val="20"/>
              </w:rPr>
            </w:pPr>
            <w:r w:rsidRPr="00C47F2F">
              <w:rPr>
                <w:noProof/>
                <w:sz w:val="20"/>
                <w:szCs w:val="20"/>
              </w:rPr>
              <w:t>1.81E-03</w:t>
            </w:r>
          </w:p>
        </w:tc>
        <w:tc>
          <w:tcPr>
            <w:tcW w:w="989" w:type="dxa"/>
            <w:shd w:val="clear" w:color="auto" w:fill="auto"/>
            <w:noWrap/>
            <w:vAlign w:val="center"/>
          </w:tcPr>
          <w:p w14:paraId="4B1BEAD2" w14:textId="77777777" w:rsidR="00F103A8" w:rsidRPr="00C47F2F" w:rsidRDefault="00F103A8" w:rsidP="00A416F1">
            <w:pPr>
              <w:pStyle w:val="Table"/>
              <w:rPr>
                <w:noProof/>
                <w:sz w:val="20"/>
                <w:szCs w:val="20"/>
              </w:rPr>
            </w:pPr>
            <w:r w:rsidRPr="00C47F2F">
              <w:rPr>
                <w:noProof/>
                <w:sz w:val="20"/>
                <w:szCs w:val="20"/>
              </w:rPr>
              <w:t>1.32E-03</w:t>
            </w:r>
          </w:p>
        </w:tc>
        <w:tc>
          <w:tcPr>
            <w:tcW w:w="989" w:type="dxa"/>
            <w:shd w:val="clear" w:color="auto" w:fill="auto"/>
            <w:noWrap/>
            <w:vAlign w:val="center"/>
          </w:tcPr>
          <w:p w14:paraId="090C645B" w14:textId="77777777" w:rsidR="00F103A8" w:rsidRPr="00C47F2F" w:rsidRDefault="00F103A8" w:rsidP="00A416F1">
            <w:pPr>
              <w:pStyle w:val="Table"/>
              <w:rPr>
                <w:noProof/>
                <w:sz w:val="20"/>
                <w:szCs w:val="20"/>
              </w:rPr>
            </w:pPr>
            <w:r w:rsidRPr="00C47F2F">
              <w:rPr>
                <w:noProof/>
                <w:sz w:val="20"/>
                <w:szCs w:val="20"/>
              </w:rPr>
              <w:t>9.59E-04</w:t>
            </w:r>
          </w:p>
        </w:tc>
        <w:tc>
          <w:tcPr>
            <w:tcW w:w="989" w:type="dxa"/>
            <w:shd w:val="clear" w:color="auto" w:fill="auto"/>
            <w:noWrap/>
            <w:vAlign w:val="center"/>
          </w:tcPr>
          <w:p w14:paraId="3B729BB3" w14:textId="77777777" w:rsidR="00F103A8" w:rsidRPr="00C47F2F" w:rsidRDefault="00F103A8" w:rsidP="00A416F1">
            <w:pPr>
              <w:pStyle w:val="Table"/>
              <w:rPr>
                <w:noProof/>
                <w:sz w:val="20"/>
                <w:szCs w:val="20"/>
              </w:rPr>
            </w:pPr>
            <w:r w:rsidRPr="00C47F2F">
              <w:rPr>
                <w:noProof/>
                <w:sz w:val="20"/>
                <w:szCs w:val="20"/>
              </w:rPr>
              <w:t>2.47E-04</w:t>
            </w:r>
          </w:p>
        </w:tc>
      </w:tr>
      <w:tr w:rsidR="00F103A8" w:rsidRPr="00972C81" w14:paraId="3E83F9B0" w14:textId="77777777" w:rsidTr="00A416F1">
        <w:trPr>
          <w:trHeight w:val="340"/>
        </w:trPr>
        <w:tc>
          <w:tcPr>
            <w:tcW w:w="3095" w:type="dxa"/>
            <w:shd w:val="clear" w:color="auto" w:fill="auto"/>
            <w:noWrap/>
            <w:vAlign w:val="center"/>
          </w:tcPr>
          <w:p w14:paraId="4984B117" w14:textId="1D904CD6" w:rsidR="00F103A8" w:rsidRPr="00F103A8" w:rsidRDefault="00F103A8" w:rsidP="00A416F1">
            <w:pPr>
              <w:pStyle w:val="Table"/>
              <w:rPr>
                <w:noProof/>
                <w:sz w:val="20"/>
                <w:szCs w:val="22"/>
              </w:rPr>
            </w:pPr>
            <w:r w:rsidRPr="00F103A8">
              <w:rPr>
                <w:noProof/>
                <w:sz w:val="20"/>
                <w:szCs w:val="22"/>
              </w:rPr>
              <w:t>Trab bone vol  to Trab marrow</w:t>
            </w:r>
          </w:p>
        </w:tc>
        <w:tc>
          <w:tcPr>
            <w:tcW w:w="988" w:type="dxa"/>
            <w:shd w:val="clear" w:color="auto" w:fill="auto"/>
            <w:noWrap/>
            <w:vAlign w:val="center"/>
          </w:tcPr>
          <w:p w14:paraId="028A9022" w14:textId="77777777" w:rsidR="00F103A8" w:rsidRPr="00C47F2F" w:rsidRDefault="00F103A8" w:rsidP="00A416F1">
            <w:pPr>
              <w:pStyle w:val="Table"/>
              <w:rPr>
                <w:noProof/>
                <w:sz w:val="20"/>
                <w:szCs w:val="20"/>
              </w:rPr>
            </w:pPr>
            <w:r w:rsidRPr="00C47F2F">
              <w:rPr>
                <w:noProof/>
                <w:sz w:val="20"/>
                <w:szCs w:val="20"/>
              </w:rPr>
              <w:t>8.22E-03</w:t>
            </w:r>
          </w:p>
        </w:tc>
        <w:tc>
          <w:tcPr>
            <w:tcW w:w="988" w:type="dxa"/>
            <w:shd w:val="clear" w:color="auto" w:fill="auto"/>
            <w:noWrap/>
            <w:vAlign w:val="center"/>
          </w:tcPr>
          <w:p w14:paraId="18C8147D" w14:textId="77777777" w:rsidR="00F103A8" w:rsidRPr="00C47F2F" w:rsidRDefault="00F103A8" w:rsidP="00A416F1">
            <w:pPr>
              <w:pStyle w:val="Table"/>
              <w:rPr>
                <w:noProof/>
                <w:sz w:val="20"/>
                <w:szCs w:val="20"/>
              </w:rPr>
            </w:pPr>
            <w:r w:rsidRPr="00C47F2F">
              <w:rPr>
                <w:noProof/>
                <w:sz w:val="20"/>
                <w:szCs w:val="20"/>
              </w:rPr>
              <w:t>2.88E-03</w:t>
            </w:r>
          </w:p>
        </w:tc>
        <w:tc>
          <w:tcPr>
            <w:tcW w:w="989" w:type="dxa"/>
            <w:shd w:val="clear" w:color="auto" w:fill="auto"/>
            <w:noWrap/>
            <w:vAlign w:val="center"/>
          </w:tcPr>
          <w:p w14:paraId="4EC6B25D" w14:textId="77777777" w:rsidR="00F103A8" w:rsidRPr="00C47F2F" w:rsidRDefault="00F103A8" w:rsidP="00A416F1">
            <w:pPr>
              <w:pStyle w:val="Table"/>
              <w:rPr>
                <w:noProof/>
                <w:sz w:val="20"/>
                <w:szCs w:val="20"/>
              </w:rPr>
            </w:pPr>
            <w:r w:rsidRPr="00C47F2F">
              <w:rPr>
                <w:noProof/>
                <w:sz w:val="20"/>
                <w:szCs w:val="20"/>
              </w:rPr>
              <w:t>1.81E-03</w:t>
            </w:r>
          </w:p>
        </w:tc>
        <w:tc>
          <w:tcPr>
            <w:tcW w:w="989" w:type="dxa"/>
            <w:shd w:val="clear" w:color="auto" w:fill="auto"/>
            <w:noWrap/>
            <w:vAlign w:val="center"/>
          </w:tcPr>
          <w:p w14:paraId="37B5780C" w14:textId="77777777" w:rsidR="00F103A8" w:rsidRPr="00C47F2F" w:rsidRDefault="00F103A8" w:rsidP="00A416F1">
            <w:pPr>
              <w:pStyle w:val="Table"/>
              <w:rPr>
                <w:noProof/>
                <w:sz w:val="20"/>
                <w:szCs w:val="20"/>
              </w:rPr>
            </w:pPr>
            <w:r w:rsidRPr="00C47F2F">
              <w:rPr>
                <w:noProof/>
                <w:sz w:val="20"/>
                <w:szCs w:val="20"/>
              </w:rPr>
              <w:t>1.32E-03</w:t>
            </w:r>
          </w:p>
        </w:tc>
        <w:tc>
          <w:tcPr>
            <w:tcW w:w="989" w:type="dxa"/>
            <w:shd w:val="clear" w:color="auto" w:fill="auto"/>
            <w:noWrap/>
            <w:vAlign w:val="center"/>
          </w:tcPr>
          <w:p w14:paraId="47CB2B2B" w14:textId="77777777" w:rsidR="00F103A8" w:rsidRPr="00C47F2F" w:rsidRDefault="00F103A8" w:rsidP="00A416F1">
            <w:pPr>
              <w:pStyle w:val="Table"/>
              <w:rPr>
                <w:noProof/>
                <w:sz w:val="20"/>
                <w:szCs w:val="20"/>
              </w:rPr>
            </w:pPr>
            <w:r w:rsidRPr="00C47F2F">
              <w:rPr>
                <w:noProof/>
                <w:sz w:val="20"/>
                <w:szCs w:val="20"/>
              </w:rPr>
              <w:t>9.59E-04</w:t>
            </w:r>
          </w:p>
        </w:tc>
        <w:tc>
          <w:tcPr>
            <w:tcW w:w="989" w:type="dxa"/>
            <w:shd w:val="clear" w:color="auto" w:fill="auto"/>
            <w:noWrap/>
            <w:vAlign w:val="center"/>
          </w:tcPr>
          <w:p w14:paraId="5843DD0C" w14:textId="77777777" w:rsidR="00F103A8" w:rsidRPr="00C47F2F" w:rsidRDefault="00F103A8" w:rsidP="00A416F1">
            <w:pPr>
              <w:pStyle w:val="Table"/>
              <w:rPr>
                <w:noProof/>
                <w:sz w:val="20"/>
                <w:szCs w:val="20"/>
              </w:rPr>
            </w:pPr>
            <w:r w:rsidRPr="00C47F2F">
              <w:rPr>
                <w:noProof/>
                <w:sz w:val="20"/>
                <w:szCs w:val="20"/>
              </w:rPr>
              <w:t>4.93E-04</w:t>
            </w:r>
          </w:p>
        </w:tc>
      </w:tr>
      <w:tr w:rsidR="00F103A8" w:rsidRPr="00972C81" w14:paraId="3CAC3766" w14:textId="77777777" w:rsidTr="00A416F1">
        <w:trPr>
          <w:trHeight w:val="340"/>
        </w:trPr>
        <w:tc>
          <w:tcPr>
            <w:tcW w:w="3095" w:type="dxa"/>
            <w:shd w:val="clear" w:color="auto" w:fill="auto"/>
            <w:noWrap/>
            <w:vAlign w:val="center"/>
          </w:tcPr>
          <w:p w14:paraId="680EB717" w14:textId="130CA6DD" w:rsidR="00F103A8" w:rsidRPr="00F103A8" w:rsidRDefault="00F103A8" w:rsidP="00A416F1">
            <w:pPr>
              <w:pStyle w:val="Table"/>
              <w:rPr>
                <w:noProof/>
                <w:sz w:val="20"/>
                <w:szCs w:val="22"/>
              </w:rPr>
            </w:pPr>
            <w:r w:rsidRPr="00F103A8">
              <w:rPr>
                <w:noProof/>
                <w:sz w:val="20"/>
                <w:szCs w:val="22"/>
              </w:rPr>
              <w:t xml:space="preserve">Kidneys 1 to Urinary bladder cont </w:t>
            </w:r>
          </w:p>
        </w:tc>
        <w:tc>
          <w:tcPr>
            <w:tcW w:w="988" w:type="dxa"/>
            <w:shd w:val="clear" w:color="auto" w:fill="auto"/>
            <w:noWrap/>
            <w:vAlign w:val="center"/>
          </w:tcPr>
          <w:p w14:paraId="1792EB9D" w14:textId="77777777" w:rsidR="00F103A8" w:rsidRPr="00C47F2F" w:rsidRDefault="00F103A8" w:rsidP="00A416F1">
            <w:pPr>
              <w:pStyle w:val="Table"/>
              <w:rPr>
                <w:noProof/>
                <w:sz w:val="20"/>
                <w:szCs w:val="20"/>
              </w:rPr>
            </w:pPr>
            <w:r w:rsidRPr="00C47F2F">
              <w:rPr>
                <w:noProof/>
                <w:sz w:val="20"/>
                <w:szCs w:val="20"/>
              </w:rPr>
              <w:t>9.90E-02</w:t>
            </w:r>
          </w:p>
        </w:tc>
        <w:tc>
          <w:tcPr>
            <w:tcW w:w="988" w:type="dxa"/>
            <w:shd w:val="clear" w:color="auto" w:fill="auto"/>
            <w:noWrap/>
            <w:vAlign w:val="center"/>
          </w:tcPr>
          <w:p w14:paraId="7A659BFB" w14:textId="77777777" w:rsidR="00F103A8" w:rsidRPr="00C47F2F" w:rsidRDefault="00F103A8" w:rsidP="00A416F1">
            <w:pPr>
              <w:pStyle w:val="Table"/>
              <w:rPr>
                <w:noProof/>
                <w:sz w:val="20"/>
                <w:szCs w:val="20"/>
              </w:rPr>
            </w:pPr>
            <w:r w:rsidRPr="00C47F2F">
              <w:rPr>
                <w:noProof/>
                <w:sz w:val="20"/>
                <w:szCs w:val="20"/>
              </w:rPr>
              <w:t>9.90E-02</w:t>
            </w:r>
          </w:p>
        </w:tc>
        <w:tc>
          <w:tcPr>
            <w:tcW w:w="989" w:type="dxa"/>
            <w:shd w:val="clear" w:color="auto" w:fill="auto"/>
            <w:noWrap/>
            <w:vAlign w:val="center"/>
          </w:tcPr>
          <w:p w14:paraId="271DE3FF" w14:textId="77777777" w:rsidR="00F103A8" w:rsidRPr="00C47F2F" w:rsidRDefault="00F103A8" w:rsidP="00A416F1">
            <w:pPr>
              <w:pStyle w:val="Table"/>
              <w:rPr>
                <w:noProof/>
                <w:sz w:val="20"/>
                <w:szCs w:val="20"/>
              </w:rPr>
            </w:pPr>
            <w:r w:rsidRPr="00C47F2F">
              <w:rPr>
                <w:noProof/>
                <w:sz w:val="20"/>
                <w:szCs w:val="20"/>
              </w:rPr>
              <w:t>9.90E-02</w:t>
            </w:r>
          </w:p>
        </w:tc>
        <w:tc>
          <w:tcPr>
            <w:tcW w:w="989" w:type="dxa"/>
            <w:shd w:val="clear" w:color="auto" w:fill="auto"/>
            <w:noWrap/>
            <w:vAlign w:val="center"/>
          </w:tcPr>
          <w:p w14:paraId="40C07232" w14:textId="77777777" w:rsidR="00F103A8" w:rsidRPr="00C47F2F" w:rsidRDefault="00F103A8" w:rsidP="00A416F1">
            <w:pPr>
              <w:pStyle w:val="Table"/>
              <w:rPr>
                <w:noProof/>
                <w:sz w:val="20"/>
                <w:szCs w:val="20"/>
              </w:rPr>
            </w:pPr>
            <w:r w:rsidRPr="00C47F2F">
              <w:rPr>
                <w:noProof/>
                <w:sz w:val="20"/>
                <w:szCs w:val="20"/>
              </w:rPr>
              <w:t>9.90E-02</w:t>
            </w:r>
          </w:p>
        </w:tc>
        <w:tc>
          <w:tcPr>
            <w:tcW w:w="989" w:type="dxa"/>
            <w:shd w:val="clear" w:color="auto" w:fill="auto"/>
            <w:noWrap/>
            <w:vAlign w:val="center"/>
          </w:tcPr>
          <w:p w14:paraId="31E9C9B9" w14:textId="77777777" w:rsidR="00F103A8" w:rsidRPr="00C47F2F" w:rsidRDefault="00F103A8" w:rsidP="00A416F1">
            <w:pPr>
              <w:pStyle w:val="Table"/>
              <w:rPr>
                <w:noProof/>
                <w:sz w:val="20"/>
                <w:szCs w:val="20"/>
              </w:rPr>
            </w:pPr>
            <w:r w:rsidRPr="00C47F2F">
              <w:rPr>
                <w:noProof/>
                <w:sz w:val="20"/>
                <w:szCs w:val="20"/>
              </w:rPr>
              <w:t>9.90E-02</w:t>
            </w:r>
          </w:p>
        </w:tc>
        <w:tc>
          <w:tcPr>
            <w:tcW w:w="989" w:type="dxa"/>
            <w:shd w:val="clear" w:color="auto" w:fill="auto"/>
            <w:noWrap/>
            <w:vAlign w:val="center"/>
          </w:tcPr>
          <w:p w14:paraId="70EC84B6" w14:textId="77777777" w:rsidR="00F103A8" w:rsidRPr="00C47F2F" w:rsidRDefault="00F103A8" w:rsidP="00A416F1">
            <w:pPr>
              <w:pStyle w:val="Table"/>
              <w:rPr>
                <w:noProof/>
                <w:sz w:val="20"/>
                <w:szCs w:val="20"/>
              </w:rPr>
            </w:pPr>
            <w:r w:rsidRPr="00C47F2F">
              <w:rPr>
                <w:noProof/>
                <w:sz w:val="20"/>
                <w:szCs w:val="20"/>
              </w:rPr>
              <w:t>9.90E-02</w:t>
            </w:r>
          </w:p>
        </w:tc>
      </w:tr>
      <w:tr w:rsidR="00F103A8" w:rsidRPr="00972C81" w14:paraId="6FD8C773" w14:textId="77777777" w:rsidTr="00A416F1">
        <w:trPr>
          <w:trHeight w:val="340"/>
        </w:trPr>
        <w:tc>
          <w:tcPr>
            <w:tcW w:w="3095" w:type="dxa"/>
            <w:shd w:val="clear" w:color="auto" w:fill="auto"/>
            <w:noWrap/>
            <w:vAlign w:val="center"/>
          </w:tcPr>
          <w:p w14:paraId="35D61281" w14:textId="6CB054C0" w:rsidR="00F103A8" w:rsidRPr="00F103A8" w:rsidRDefault="00F103A8" w:rsidP="00A416F1">
            <w:pPr>
              <w:pStyle w:val="Table"/>
              <w:rPr>
                <w:noProof/>
                <w:sz w:val="20"/>
                <w:szCs w:val="22"/>
              </w:rPr>
            </w:pPr>
            <w:r w:rsidRPr="00F103A8">
              <w:rPr>
                <w:noProof/>
                <w:sz w:val="20"/>
                <w:szCs w:val="22"/>
              </w:rPr>
              <w:t>Kidneys 2 to Blood</w:t>
            </w:r>
          </w:p>
        </w:tc>
        <w:tc>
          <w:tcPr>
            <w:tcW w:w="988" w:type="dxa"/>
            <w:shd w:val="clear" w:color="auto" w:fill="auto"/>
            <w:noWrap/>
            <w:vAlign w:val="center"/>
          </w:tcPr>
          <w:p w14:paraId="7090BF85" w14:textId="77777777" w:rsidR="00F103A8" w:rsidRPr="00C47F2F" w:rsidRDefault="00F103A8" w:rsidP="00A416F1">
            <w:pPr>
              <w:pStyle w:val="Table"/>
              <w:rPr>
                <w:noProof/>
                <w:sz w:val="20"/>
                <w:szCs w:val="20"/>
              </w:rPr>
            </w:pPr>
            <w:r w:rsidRPr="00C47F2F">
              <w:rPr>
                <w:noProof/>
                <w:sz w:val="20"/>
                <w:szCs w:val="20"/>
              </w:rPr>
              <w:t>1.39E-03</w:t>
            </w:r>
          </w:p>
        </w:tc>
        <w:tc>
          <w:tcPr>
            <w:tcW w:w="988" w:type="dxa"/>
            <w:shd w:val="clear" w:color="auto" w:fill="auto"/>
            <w:noWrap/>
            <w:vAlign w:val="center"/>
          </w:tcPr>
          <w:p w14:paraId="7C10374A" w14:textId="77777777" w:rsidR="00F103A8" w:rsidRPr="00C47F2F" w:rsidRDefault="00F103A8" w:rsidP="00A416F1">
            <w:pPr>
              <w:pStyle w:val="Table"/>
              <w:rPr>
                <w:noProof/>
                <w:sz w:val="20"/>
                <w:szCs w:val="20"/>
              </w:rPr>
            </w:pPr>
            <w:r w:rsidRPr="00C47F2F">
              <w:rPr>
                <w:noProof/>
                <w:sz w:val="20"/>
                <w:szCs w:val="20"/>
              </w:rPr>
              <w:t>1.39E-03</w:t>
            </w:r>
          </w:p>
        </w:tc>
        <w:tc>
          <w:tcPr>
            <w:tcW w:w="989" w:type="dxa"/>
            <w:shd w:val="clear" w:color="auto" w:fill="auto"/>
            <w:noWrap/>
            <w:vAlign w:val="center"/>
          </w:tcPr>
          <w:p w14:paraId="15261A55" w14:textId="77777777" w:rsidR="00F103A8" w:rsidRPr="00C47F2F" w:rsidRDefault="00F103A8" w:rsidP="00A416F1">
            <w:pPr>
              <w:pStyle w:val="Table"/>
              <w:rPr>
                <w:noProof/>
                <w:sz w:val="20"/>
                <w:szCs w:val="20"/>
              </w:rPr>
            </w:pPr>
            <w:r w:rsidRPr="00C47F2F">
              <w:rPr>
                <w:noProof/>
                <w:sz w:val="20"/>
                <w:szCs w:val="20"/>
              </w:rPr>
              <w:t>1.39E-03</w:t>
            </w:r>
          </w:p>
        </w:tc>
        <w:tc>
          <w:tcPr>
            <w:tcW w:w="989" w:type="dxa"/>
            <w:shd w:val="clear" w:color="auto" w:fill="auto"/>
            <w:noWrap/>
            <w:vAlign w:val="center"/>
          </w:tcPr>
          <w:p w14:paraId="71CCD983" w14:textId="77777777" w:rsidR="00F103A8" w:rsidRPr="00C47F2F" w:rsidRDefault="00F103A8" w:rsidP="00A416F1">
            <w:pPr>
              <w:pStyle w:val="Table"/>
              <w:rPr>
                <w:noProof/>
                <w:sz w:val="20"/>
                <w:szCs w:val="20"/>
              </w:rPr>
            </w:pPr>
            <w:r w:rsidRPr="00C47F2F">
              <w:rPr>
                <w:noProof/>
                <w:sz w:val="20"/>
                <w:szCs w:val="20"/>
              </w:rPr>
              <w:t>1.39E-03</w:t>
            </w:r>
          </w:p>
        </w:tc>
        <w:tc>
          <w:tcPr>
            <w:tcW w:w="989" w:type="dxa"/>
            <w:shd w:val="clear" w:color="auto" w:fill="auto"/>
            <w:noWrap/>
            <w:vAlign w:val="center"/>
          </w:tcPr>
          <w:p w14:paraId="5AC15DFD" w14:textId="77777777" w:rsidR="00F103A8" w:rsidRPr="00C47F2F" w:rsidRDefault="00F103A8" w:rsidP="00A416F1">
            <w:pPr>
              <w:pStyle w:val="Table"/>
              <w:rPr>
                <w:noProof/>
                <w:sz w:val="20"/>
                <w:szCs w:val="20"/>
              </w:rPr>
            </w:pPr>
            <w:r w:rsidRPr="00C47F2F">
              <w:rPr>
                <w:noProof/>
                <w:sz w:val="20"/>
                <w:szCs w:val="20"/>
              </w:rPr>
              <w:t>1.39E-03</w:t>
            </w:r>
          </w:p>
        </w:tc>
        <w:tc>
          <w:tcPr>
            <w:tcW w:w="989" w:type="dxa"/>
            <w:shd w:val="clear" w:color="auto" w:fill="auto"/>
            <w:noWrap/>
            <w:vAlign w:val="center"/>
          </w:tcPr>
          <w:p w14:paraId="473FA63A" w14:textId="77777777" w:rsidR="00F103A8" w:rsidRPr="00C47F2F" w:rsidRDefault="00F103A8" w:rsidP="00A416F1">
            <w:pPr>
              <w:pStyle w:val="Table"/>
              <w:rPr>
                <w:noProof/>
                <w:sz w:val="20"/>
                <w:szCs w:val="20"/>
              </w:rPr>
            </w:pPr>
            <w:r w:rsidRPr="00C47F2F">
              <w:rPr>
                <w:noProof/>
                <w:sz w:val="20"/>
                <w:szCs w:val="20"/>
              </w:rPr>
              <w:t>1.39E-03</w:t>
            </w:r>
          </w:p>
        </w:tc>
      </w:tr>
      <w:tr w:rsidR="00F103A8" w:rsidRPr="00972C81" w14:paraId="2AF86039" w14:textId="77777777" w:rsidTr="00A416F1">
        <w:trPr>
          <w:trHeight w:val="340"/>
        </w:trPr>
        <w:tc>
          <w:tcPr>
            <w:tcW w:w="3095" w:type="dxa"/>
            <w:shd w:val="clear" w:color="auto" w:fill="auto"/>
            <w:noWrap/>
            <w:vAlign w:val="center"/>
          </w:tcPr>
          <w:p w14:paraId="6A687272" w14:textId="5D17A721" w:rsidR="00F103A8" w:rsidRPr="00F103A8" w:rsidRDefault="00F103A8" w:rsidP="00A416F1">
            <w:pPr>
              <w:pStyle w:val="Table"/>
              <w:rPr>
                <w:noProof/>
                <w:sz w:val="20"/>
                <w:szCs w:val="22"/>
              </w:rPr>
            </w:pPr>
            <w:r w:rsidRPr="00F103A8">
              <w:rPr>
                <w:noProof/>
                <w:sz w:val="20"/>
                <w:szCs w:val="22"/>
              </w:rPr>
              <w:t>Testes to Blood</w:t>
            </w:r>
          </w:p>
        </w:tc>
        <w:tc>
          <w:tcPr>
            <w:tcW w:w="988" w:type="dxa"/>
            <w:shd w:val="clear" w:color="auto" w:fill="auto"/>
            <w:noWrap/>
            <w:vAlign w:val="center"/>
          </w:tcPr>
          <w:p w14:paraId="43FB805E" w14:textId="77777777" w:rsidR="00F103A8" w:rsidRPr="00C47F2F" w:rsidRDefault="00F103A8" w:rsidP="00A416F1">
            <w:pPr>
              <w:pStyle w:val="Table"/>
              <w:rPr>
                <w:noProof/>
                <w:sz w:val="20"/>
                <w:szCs w:val="20"/>
              </w:rPr>
            </w:pPr>
            <w:r w:rsidRPr="00C47F2F">
              <w:rPr>
                <w:noProof/>
                <w:sz w:val="20"/>
                <w:szCs w:val="20"/>
              </w:rPr>
              <w:t>3.80E-04</w:t>
            </w:r>
          </w:p>
        </w:tc>
        <w:tc>
          <w:tcPr>
            <w:tcW w:w="988" w:type="dxa"/>
            <w:shd w:val="clear" w:color="auto" w:fill="auto"/>
            <w:noWrap/>
            <w:vAlign w:val="center"/>
          </w:tcPr>
          <w:p w14:paraId="227860C7" w14:textId="77777777" w:rsidR="00F103A8" w:rsidRPr="00C47F2F" w:rsidRDefault="00F103A8" w:rsidP="00A416F1">
            <w:pPr>
              <w:pStyle w:val="Table"/>
              <w:rPr>
                <w:noProof/>
                <w:sz w:val="20"/>
                <w:szCs w:val="20"/>
              </w:rPr>
            </w:pPr>
            <w:r w:rsidRPr="00C47F2F">
              <w:rPr>
                <w:noProof/>
                <w:sz w:val="20"/>
                <w:szCs w:val="20"/>
              </w:rPr>
              <w:t>3.80E-04</w:t>
            </w:r>
          </w:p>
        </w:tc>
        <w:tc>
          <w:tcPr>
            <w:tcW w:w="989" w:type="dxa"/>
            <w:shd w:val="clear" w:color="auto" w:fill="auto"/>
            <w:noWrap/>
            <w:vAlign w:val="center"/>
          </w:tcPr>
          <w:p w14:paraId="7F2588D5" w14:textId="77777777" w:rsidR="00F103A8" w:rsidRPr="00C47F2F" w:rsidRDefault="00F103A8" w:rsidP="00A416F1">
            <w:pPr>
              <w:pStyle w:val="Table"/>
              <w:rPr>
                <w:noProof/>
                <w:sz w:val="20"/>
                <w:szCs w:val="20"/>
              </w:rPr>
            </w:pPr>
            <w:r w:rsidRPr="00C47F2F">
              <w:rPr>
                <w:noProof/>
                <w:sz w:val="20"/>
                <w:szCs w:val="20"/>
              </w:rPr>
              <w:t>3.80E-04</w:t>
            </w:r>
          </w:p>
        </w:tc>
        <w:tc>
          <w:tcPr>
            <w:tcW w:w="989" w:type="dxa"/>
            <w:shd w:val="clear" w:color="auto" w:fill="auto"/>
            <w:noWrap/>
            <w:vAlign w:val="center"/>
          </w:tcPr>
          <w:p w14:paraId="5DFF4BB6" w14:textId="77777777" w:rsidR="00F103A8" w:rsidRPr="00C47F2F" w:rsidRDefault="00F103A8" w:rsidP="00A416F1">
            <w:pPr>
              <w:pStyle w:val="Table"/>
              <w:rPr>
                <w:noProof/>
                <w:sz w:val="20"/>
                <w:szCs w:val="20"/>
              </w:rPr>
            </w:pPr>
            <w:r w:rsidRPr="00C47F2F">
              <w:rPr>
                <w:noProof/>
                <w:sz w:val="20"/>
                <w:szCs w:val="20"/>
              </w:rPr>
              <w:t>3.80E-04</w:t>
            </w:r>
          </w:p>
        </w:tc>
        <w:tc>
          <w:tcPr>
            <w:tcW w:w="989" w:type="dxa"/>
            <w:shd w:val="clear" w:color="auto" w:fill="auto"/>
            <w:noWrap/>
            <w:vAlign w:val="center"/>
          </w:tcPr>
          <w:p w14:paraId="26087A62" w14:textId="77777777" w:rsidR="00F103A8" w:rsidRPr="00C47F2F" w:rsidRDefault="00F103A8" w:rsidP="00A416F1">
            <w:pPr>
              <w:pStyle w:val="Table"/>
              <w:rPr>
                <w:noProof/>
                <w:sz w:val="20"/>
                <w:szCs w:val="20"/>
              </w:rPr>
            </w:pPr>
            <w:r w:rsidRPr="00C47F2F">
              <w:rPr>
                <w:noProof/>
                <w:sz w:val="20"/>
                <w:szCs w:val="20"/>
              </w:rPr>
              <w:t>3.80E-04</w:t>
            </w:r>
          </w:p>
        </w:tc>
        <w:tc>
          <w:tcPr>
            <w:tcW w:w="989" w:type="dxa"/>
            <w:shd w:val="clear" w:color="auto" w:fill="auto"/>
            <w:noWrap/>
            <w:vAlign w:val="center"/>
          </w:tcPr>
          <w:p w14:paraId="2E4BBF58" w14:textId="77777777" w:rsidR="00F103A8" w:rsidRPr="00C47F2F" w:rsidRDefault="00F103A8" w:rsidP="00A416F1">
            <w:pPr>
              <w:pStyle w:val="Table"/>
              <w:rPr>
                <w:noProof/>
                <w:sz w:val="20"/>
                <w:szCs w:val="20"/>
              </w:rPr>
            </w:pPr>
            <w:r w:rsidRPr="00C47F2F">
              <w:rPr>
                <w:noProof/>
                <w:sz w:val="20"/>
                <w:szCs w:val="20"/>
              </w:rPr>
              <w:t>3.80E-04</w:t>
            </w:r>
          </w:p>
        </w:tc>
      </w:tr>
      <w:tr w:rsidR="00F103A8" w:rsidRPr="00972C81" w14:paraId="7B625CD9" w14:textId="77777777" w:rsidTr="00A416F1">
        <w:trPr>
          <w:trHeight w:val="340"/>
        </w:trPr>
        <w:tc>
          <w:tcPr>
            <w:tcW w:w="3095" w:type="dxa"/>
            <w:tcBorders>
              <w:bottom w:val="single" w:sz="4" w:space="0" w:color="auto"/>
            </w:tcBorders>
            <w:shd w:val="clear" w:color="auto" w:fill="auto"/>
            <w:noWrap/>
            <w:vAlign w:val="center"/>
          </w:tcPr>
          <w:p w14:paraId="1590289A" w14:textId="3B6057AA" w:rsidR="00F103A8" w:rsidRPr="00F103A8" w:rsidRDefault="00F103A8" w:rsidP="00A416F1">
            <w:pPr>
              <w:pStyle w:val="Table"/>
              <w:rPr>
                <w:noProof/>
                <w:sz w:val="20"/>
                <w:szCs w:val="22"/>
              </w:rPr>
            </w:pPr>
            <w:r w:rsidRPr="00F103A8">
              <w:rPr>
                <w:noProof/>
                <w:sz w:val="20"/>
                <w:szCs w:val="22"/>
              </w:rPr>
              <w:t>Ovaries to Blood</w:t>
            </w:r>
          </w:p>
        </w:tc>
        <w:tc>
          <w:tcPr>
            <w:tcW w:w="988" w:type="dxa"/>
            <w:tcBorders>
              <w:bottom w:val="single" w:sz="4" w:space="0" w:color="auto"/>
            </w:tcBorders>
            <w:shd w:val="clear" w:color="auto" w:fill="auto"/>
            <w:noWrap/>
            <w:vAlign w:val="center"/>
          </w:tcPr>
          <w:p w14:paraId="567250C5" w14:textId="77777777" w:rsidR="00F103A8" w:rsidRPr="00C47F2F" w:rsidRDefault="00F103A8" w:rsidP="00A416F1">
            <w:pPr>
              <w:pStyle w:val="Table"/>
              <w:rPr>
                <w:noProof/>
                <w:sz w:val="20"/>
                <w:szCs w:val="20"/>
              </w:rPr>
            </w:pPr>
            <w:r w:rsidRPr="00C47F2F">
              <w:rPr>
                <w:noProof/>
                <w:sz w:val="20"/>
                <w:szCs w:val="20"/>
              </w:rPr>
              <w:t>3.80E-04</w:t>
            </w:r>
          </w:p>
        </w:tc>
        <w:tc>
          <w:tcPr>
            <w:tcW w:w="988" w:type="dxa"/>
            <w:tcBorders>
              <w:bottom w:val="single" w:sz="4" w:space="0" w:color="auto"/>
            </w:tcBorders>
            <w:shd w:val="clear" w:color="auto" w:fill="auto"/>
            <w:noWrap/>
            <w:vAlign w:val="center"/>
          </w:tcPr>
          <w:p w14:paraId="7A917193" w14:textId="77777777" w:rsidR="00F103A8" w:rsidRPr="00C47F2F" w:rsidRDefault="00F103A8" w:rsidP="00A416F1">
            <w:pPr>
              <w:pStyle w:val="Table"/>
              <w:rPr>
                <w:noProof/>
                <w:sz w:val="20"/>
                <w:szCs w:val="20"/>
              </w:rPr>
            </w:pPr>
            <w:r w:rsidRPr="00C47F2F">
              <w:rPr>
                <w:noProof/>
                <w:sz w:val="20"/>
                <w:szCs w:val="20"/>
              </w:rPr>
              <w:t>3.80E-04</w:t>
            </w:r>
          </w:p>
        </w:tc>
        <w:tc>
          <w:tcPr>
            <w:tcW w:w="989" w:type="dxa"/>
            <w:tcBorders>
              <w:bottom w:val="single" w:sz="4" w:space="0" w:color="auto"/>
            </w:tcBorders>
            <w:shd w:val="clear" w:color="auto" w:fill="auto"/>
            <w:noWrap/>
            <w:vAlign w:val="center"/>
          </w:tcPr>
          <w:p w14:paraId="38BF16B4" w14:textId="77777777" w:rsidR="00F103A8" w:rsidRPr="00C47F2F" w:rsidRDefault="00F103A8" w:rsidP="00A416F1">
            <w:pPr>
              <w:pStyle w:val="Table"/>
              <w:rPr>
                <w:noProof/>
                <w:sz w:val="20"/>
                <w:szCs w:val="20"/>
              </w:rPr>
            </w:pPr>
            <w:r w:rsidRPr="00C47F2F">
              <w:rPr>
                <w:noProof/>
                <w:sz w:val="20"/>
                <w:szCs w:val="20"/>
              </w:rPr>
              <w:t>3.80E-04</w:t>
            </w:r>
          </w:p>
        </w:tc>
        <w:tc>
          <w:tcPr>
            <w:tcW w:w="989" w:type="dxa"/>
            <w:tcBorders>
              <w:bottom w:val="single" w:sz="4" w:space="0" w:color="auto"/>
            </w:tcBorders>
            <w:shd w:val="clear" w:color="auto" w:fill="auto"/>
            <w:noWrap/>
            <w:vAlign w:val="center"/>
          </w:tcPr>
          <w:p w14:paraId="15D6CC70" w14:textId="77777777" w:rsidR="00F103A8" w:rsidRPr="00C47F2F" w:rsidRDefault="00F103A8" w:rsidP="00A416F1">
            <w:pPr>
              <w:pStyle w:val="Table"/>
              <w:rPr>
                <w:noProof/>
                <w:sz w:val="20"/>
                <w:szCs w:val="20"/>
              </w:rPr>
            </w:pPr>
            <w:r w:rsidRPr="00C47F2F">
              <w:rPr>
                <w:noProof/>
                <w:sz w:val="20"/>
                <w:szCs w:val="20"/>
              </w:rPr>
              <w:t>3.80E-04</w:t>
            </w:r>
          </w:p>
        </w:tc>
        <w:tc>
          <w:tcPr>
            <w:tcW w:w="989" w:type="dxa"/>
            <w:tcBorders>
              <w:bottom w:val="single" w:sz="4" w:space="0" w:color="auto"/>
            </w:tcBorders>
            <w:shd w:val="clear" w:color="auto" w:fill="auto"/>
            <w:noWrap/>
            <w:vAlign w:val="center"/>
          </w:tcPr>
          <w:p w14:paraId="6C6D9E61" w14:textId="77777777" w:rsidR="00F103A8" w:rsidRPr="00C47F2F" w:rsidRDefault="00F103A8" w:rsidP="00A416F1">
            <w:pPr>
              <w:pStyle w:val="Table"/>
              <w:rPr>
                <w:noProof/>
                <w:sz w:val="20"/>
                <w:szCs w:val="20"/>
              </w:rPr>
            </w:pPr>
            <w:r w:rsidRPr="00C47F2F">
              <w:rPr>
                <w:noProof/>
                <w:sz w:val="20"/>
                <w:szCs w:val="20"/>
              </w:rPr>
              <w:t>3.80E-04</w:t>
            </w:r>
          </w:p>
        </w:tc>
        <w:tc>
          <w:tcPr>
            <w:tcW w:w="989" w:type="dxa"/>
            <w:tcBorders>
              <w:bottom w:val="single" w:sz="4" w:space="0" w:color="auto"/>
            </w:tcBorders>
            <w:shd w:val="clear" w:color="auto" w:fill="auto"/>
            <w:noWrap/>
            <w:vAlign w:val="center"/>
          </w:tcPr>
          <w:p w14:paraId="4461EA32" w14:textId="77777777" w:rsidR="00F103A8" w:rsidRPr="00C47F2F" w:rsidRDefault="00F103A8" w:rsidP="00A416F1">
            <w:pPr>
              <w:pStyle w:val="Table"/>
              <w:rPr>
                <w:noProof/>
                <w:sz w:val="20"/>
                <w:szCs w:val="20"/>
              </w:rPr>
            </w:pPr>
            <w:r w:rsidRPr="00C47F2F">
              <w:rPr>
                <w:noProof/>
                <w:sz w:val="20"/>
                <w:szCs w:val="20"/>
              </w:rPr>
              <w:t>3.80E-04</w:t>
            </w:r>
          </w:p>
        </w:tc>
      </w:tr>
    </w:tbl>
    <w:p w14:paraId="0BDFBBEF" w14:textId="77777777" w:rsidR="00F103A8" w:rsidRPr="00A416F1" w:rsidRDefault="00F103A8" w:rsidP="00F103A8">
      <w:pPr>
        <w:pStyle w:val="MainTextPreference"/>
        <w:rPr>
          <w:noProof/>
          <w:sz w:val="20"/>
          <w:lang w:val="fr-FR"/>
        </w:rPr>
      </w:pPr>
      <w:r w:rsidRPr="00A416F1">
        <w:rPr>
          <w:noProof/>
          <w:sz w:val="20"/>
          <w:vertAlign w:val="superscript"/>
          <w:lang w:val="fr-FR"/>
        </w:rPr>
        <w:t>a</w:t>
      </w:r>
      <w:r w:rsidRPr="00A416F1">
        <w:rPr>
          <w:noProof/>
          <w:sz w:val="20"/>
          <w:lang w:val="fr-FR"/>
        </w:rPr>
        <w:t>Cort = Cortical, Trab = Trabecular, SI = Small intestine, cont=content, surf=surface, vol = volume</w:t>
      </w:r>
    </w:p>
    <w:p w14:paraId="705E2E12" w14:textId="60479B29" w:rsidR="009A3613" w:rsidRPr="00972C81" w:rsidRDefault="009A3613" w:rsidP="006703A2">
      <w:pPr>
        <w:pStyle w:val="OIRTitre4"/>
      </w:pPr>
      <w:r w:rsidRPr="00972C81">
        <w:t>Treatment of radioactive progeny</w:t>
      </w:r>
    </w:p>
    <w:p w14:paraId="3A62C847" w14:textId="7AC32040" w:rsidR="009A3613" w:rsidRPr="00972C81" w:rsidRDefault="006044EE" w:rsidP="001C4A92">
      <w:pPr>
        <w:pStyle w:val="Annalstext"/>
        <w:rPr>
          <w:noProof/>
        </w:rPr>
      </w:pPr>
      <w:r w:rsidRPr="00972C81">
        <w:rPr>
          <w:rFonts w:eastAsia="Calibri"/>
          <w:noProof/>
        </w:rPr>
        <w:t xml:space="preserve">The treatment of radioactive progeny produced in systemic compartments after intake of a radioisotope of curium is </w:t>
      </w:r>
      <w:r w:rsidRPr="00972C81">
        <w:rPr>
          <w:noProof/>
        </w:rPr>
        <w:t>described</w:t>
      </w:r>
      <w:r w:rsidRPr="00972C81">
        <w:rPr>
          <w:rFonts w:eastAsia="Calibri"/>
          <w:noProof/>
        </w:rPr>
        <w:t xml:space="preserve"> in Section 18.2.4. of </w:t>
      </w:r>
      <w:r w:rsidR="00D4443E" w:rsidRPr="00972C81">
        <w:rPr>
          <w:i/>
          <w:noProof/>
        </w:rPr>
        <w:t>Publication 141</w:t>
      </w:r>
      <w:r w:rsidR="00D4443E" w:rsidRPr="00972C81">
        <w:rPr>
          <w:noProof/>
        </w:rPr>
        <w:t xml:space="preserve"> </w:t>
      </w:r>
      <w:r w:rsidR="0091689A" w:rsidRPr="00972C81">
        <w:rPr>
          <w:noProof/>
        </w:rPr>
        <w:fldChar w:fldCharType="begin"/>
      </w:r>
      <w:r w:rsidR="0091689A" w:rsidRPr="00972C81">
        <w:rPr>
          <w:noProof/>
        </w:rPr>
        <w:instrText xml:space="preserve"> ADDIN ZOTERO_ITEM CSL_CITATION {"citationID":"a1jorpok400","properties":{"formattedCitation":"(ICRP,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91689A" w:rsidRPr="00972C81">
        <w:rPr>
          <w:noProof/>
        </w:rPr>
        <w:fldChar w:fldCharType="separate"/>
      </w:r>
      <w:r w:rsidR="0091689A" w:rsidRPr="00972C81">
        <w:rPr>
          <w:noProof/>
          <w:szCs w:val="24"/>
        </w:rPr>
        <w:t>(ICRP, 2019)</w:t>
      </w:r>
      <w:r w:rsidR="0091689A" w:rsidRPr="00972C81">
        <w:rPr>
          <w:noProof/>
        </w:rPr>
        <w:fldChar w:fldCharType="end"/>
      </w:r>
      <w:r w:rsidR="00D4443E" w:rsidRPr="00972C81">
        <w:rPr>
          <w:noProof/>
        </w:rPr>
        <w:t>.</w:t>
      </w:r>
    </w:p>
    <w:p w14:paraId="23B5E3D1" w14:textId="77777777" w:rsidR="004836EE" w:rsidRPr="00972C81" w:rsidRDefault="004836EE" w:rsidP="00E81109">
      <w:pPr>
        <w:pStyle w:val="2"/>
        <w:rPr>
          <w:noProof/>
          <w:lang w:val="en-GB"/>
        </w:rPr>
      </w:pPr>
      <w:bookmarkStart w:id="365" w:name="_Toc162630120"/>
      <w:r w:rsidRPr="00972C81">
        <w:rPr>
          <w:noProof/>
          <w:lang w:val="en-GB"/>
        </w:rPr>
        <w:t>Dosimetric data for curium</w:t>
      </w:r>
      <w:bookmarkEnd w:id="365"/>
      <w:r w:rsidRPr="00972C81">
        <w:rPr>
          <w:noProof/>
          <w:lang w:val="en-GB"/>
        </w:rPr>
        <w:t xml:space="preserve"> </w:t>
      </w:r>
    </w:p>
    <w:p w14:paraId="2B4A5113" w14:textId="465995AB" w:rsidR="00ED6D36" w:rsidRPr="00972C81" w:rsidRDefault="00ED6D36" w:rsidP="00ED6D36">
      <w:pPr>
        <w:pStyle w:val="ab"/>
        <w:rPr>
          <w:noProof/>
          <w:sz w:val="24"/>
          <w:szCs w:val="24"/>
        </w:rPr>
      </w:pPr>
      <w:r w:rsidRPr="00972C81">
        <w:rPr>
          <w:noProof/>
          <w:sz w:val="24"/>
          <w:szCs w:val="24"/>
        </w:rPr>
        <w:t>Table 24.3.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242</w:t>
      </w:r>
      <w:r w:rsidRPr="00972C81">
        <w:rPr>
          <w:noProof/>
          <w:sz w:val="24"/>
          <w:szCs w:val="24"/>
        </w:rPr>
        <w:t>Cm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ED6D36" w:rsidRPr="00A3213E" w14:paraId="30362062" w14:textId="77777777" w:rsidTr="000E00A3">
        <w:trPr>
          <w:trHeight w:val="340"/>
        </w:trPr>
        <w:tc>
          <w:tcPr>
            <w:tcW w:w="2087" w:type="pct"/>
            <w:vMerge w:val="restart"/>
            <w:tcBorders>
              <w:top w:val="single" w:sz="4" w:space="0" w:color="auto"/>
              <w:left w:val="nil"/>
              <w:bottom w:val="single" w:sz="4" w:space="0" w:color="auto"/>
              <w:right w:val="nil"/>
            </w:tcBorders>
            <w:vAlign w:val="bottom"/>
            <w:hideMark/>
          </w:tcPr>
          <w:p w14:paraId="7834F6B6" w14:textId="77777777" w:rsidR="00084C42" w:rsidRDefault="00ED6D36">
            <w:pPr>
              <w:pStyle w:val="a5"/>
              <w:tabs>
                <w:tab w:val="clear" w:pos="4153"/>
                <w:tab w:val="clear" w:pos="8306"/>
              </w:tabs>
              <w:rPr>
                <w:noProof/>
                <w:sz w:val="22"/>
                <w:szCs w:val="22"/>
              </w:rPr>
            </w:pPr>
            <w:r w:rsidRPr="00C47F2F">
              <w:rPr>
                <w:noProof/>
                <w:sz w:val="22"/>
                <w:szCs w:val="22"/>
              </w:rPr>
              <w:t>Inhaled particulate materials</w:t>
            </w:r>
          </w:p>
          <w:p w14:paraId="05B1B06B" w14:textId="2A0B1815" w:rsidR="00ED6D36" w:rsidRPr="00084C42" w:rsidRDefault="00ED6D36" w:rsidP="00C47F2F">
            <w:pPr>
              <w:pStyle w:val="a5"/>
              <w:tabs>
                <w:tab w:val="clear" w:pos="4153"/>
                <w:tab w:val="clear" w:pos="8306"/>
              </w:tabs>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0CC9AE73" w14:textId="77777777" w:rsidR="00ED6D36" w:rsidRPr="00C47F2F" w:rsidRDefault="00ED6D36" w:rsidP="000E00A3">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ED6D36" w:rsidRPr="00972C81" w14:paraId="0768BBBF" w14:textId="77777777" w:rsidTr="000E00A3">
        <w:trPr>
          <w:trHeight w:val="340"/>
        </w:trPr>
        <w:tc>
          <w:tcPr>
            <w:tcW w:w="2087" w:type="pct"/>
            <w:vMerge/>
            <w:tcBorders>
              <w:top w:val="single" w:sz="4" w:space="0" w:color="auto"/>
              <w:left w:val="nil"/>
              <w:bottom w:val="single" w:sz="4" w:space="0" w:color="auto"/>
              <w:right w:val="nil"/>
            </w:tcBorders>
            <w:vAlign w:val="center"/>
            <w:hideMark/>
          </w:tcPr>
          <w:p w14:paraId="278528B1" w14:textId="77777777" w:rsidR="00ED6D36" w:rsidRPr="00084C42" w:rsidRDefault="00ED6D36">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3A76E704" w14:textId="0A18C407" w:rsidR="00ED6D36" w:rsidRPr="00C47F2F" w:rsidRDefault="00ED6D36" w:rsidP="000E00A3">
            <w:pPr>
              <w:jc w:val="left"/>
              <w:rPr>
                <w:noProof/>
                <w:sz w:val="22"/>
                <w:szCs w:val="22"/>
                <w:lang w:eastAsia="ko-KR"/>
              </w:rPr>
            </w:pPr>
            <w:r w:rsidRPr="00C47F2F">
              <w:rPr>
                <w:noProof/>
                <w:sz w:val="22"/>
                <w:szCs w:val="22"/>
              </w:rPr>
              <w:t>3</w:t>
            </w:r>
            <w:r w:rsidR="00084C42">
              <w:rPr>
                <w:rFonts w:hint="eastAsia"/>
                <w:noProof/>
                <w:sz w:val="22"/>
                <w:szCs w:val="22"/>
                <w:lang w:eastAsia="ko-KR"/>
              </w:rPr>
              <w:t xml:space="preserve"> </w:t>
            </w:r>
            <w:r w:rsidRPr="00C47F2F">
              <w:rPr>
                <w:noProof/>
                <w:sz w:val="22"/>
                <w:szCs w:val="22"/>
              </w:rPr>
              <w:t>m</w:t>
            </w:r>
            <w:r w:rsidR="000E00A3">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7E8960B0" w14:textId="3E381C66" w:rsidR="00ED6D36" w:rsidRPr="00C47F2F" w:rsidRDefault="00ED6D36" w:rsidP="000E00A3">
            <w:pPr>
              <w:jc w:val="left"/>
              <w:rPr>
                <w:noProof/>
                <w:sz w:val="22"/>
                <w:szCs w:val="22"/>
              </w:rPr>
            </w:pPr>
            <w:r w:rsidRPr="00C47F2F">
              <w:rPr>
                <w:noProof/>
                <w:sz w:val="22"/>
                <w:szCs w:val="22"/>
              </w:rPr>
              <w:t>1</w:t>
            </w:r>
            <w:r w:rsidR="00084C42">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774F30C7" w14:textId="62953BDC" w:rsidR="00ED6D36" w:rsidRPr="00C47F2F" w:rsidRDefault="00ED6D36" w:rsidP="000E00A3">
            <w:pPr>
              <w:jc w:val="left"/>
              <w:rPr>
                <w:noProof/>
                <w:sz w:val="22"/>
                <w:szCs w:val="22"/>
              </w:rPr>
            </w:pPr>
            <w:r w:rsidRPr="00C47F2F">
              <w:rPr>
                <w:noProof/>
                <w:sz w:val="22"/>
                <w:szCs w:val="22"/>
              </w:rPr>
              <w:t>5</w:t>
            </w:r>
            <w:r w:rsidR="00084C42">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40F316A" w14:textId="3EE03A15" w:rsidR="00ED6D36" w:rsidRPr="00C47F2F" w:rsidRDefault="00ED6D36" w:rsidP="000E00A3">
            <w:pPr>
              <w:jc w:val="left"/>
              <w:rPr>
                <w:noProof/>
                <w:sz w:val="22"/>
                <w:szCs w:val="22"/>
              </w:rPr>
            </w:pPr>
            <w:r w:rsidRPr="00C47F2F">
              <w:rPr>
                <w:noProof/>
                <w:sz w:val="22"/>
                <w:szCs w:val="22"/>
              </w:rPr>
              <w:t>10</w:t>
            </w:r>
            <w:r w:rsidR="00084C42">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45E7715F" w14:textId="79119706" w:rsidR="00ED6D36" w:rsidRPr="00C47F2F" w:rsidRDefault="00ED6D36" w:rsidP="000E00A3">
            <w:pPr>
              <w:jc w:val="left"/>
              <w:rPr>
                <w:noProof/>
                <w:sz w:val="22"/>
                <w:szCs w:val="22"/>
              </w:rPr>
            </w:pPr>
            <w:r w:rsidRPr="00C47F2F">
              <w:rPr>
                <w:noProof/>
                <w:sz w:val="22"/>
                <w:szCs w:val="22"/>
              </w:rPr>
              <w:t>15</w:t>
            </w:r>
            <w:r w:rsidR="00084C42">
              <w:rPr>
                <w:rFonts w:hint="eastAsia"/>
                <w:noProof/>
                <w:sz w:val="22"/>
                <w:szCs w:val="22"/>
                <w:lang w:eastAsia="ko-KR"/>
              </w:rPr>
              <w:t xml:space="preserve"> </w:t>
            </w:r>
            <w:r w:rsidRPr="00C47F2F">
              <w:rPr>
                <w:noProof/>
                <w:sz w:val="22"/>
                <w:szCs w:val="22"/>
              </w:rPr>
              <w:t>y</w:t>
            </w:r>
          </w:p>
        </w:tc>
        <w:tc>
          <w:tcPr>
            <w:tcW w:w="487" w:type="pct"/>
            <w:tcBorders>
              <w:top w:val="single" w:sz="4" w:space="0" w:color="auto"/>
              <w:left w:val="nil"/>
              <w:bottom w:val="single" w:sz="4" w:space="0" w:color="auto"/>
              <w:right w:val="nil"/>
            </w:tcBorders>
            <w:vAlign w:val="center"/>
            <w:hideMark/>
          </w:tcPr>
          <w:p w14:paraId="5AF51663" w14:textId="77777777" w:rsidR="00ED6D36" w:rsidRPr="00C47F2F" w:rsidRDefault="00ED6D36" w:rsidP="000E00A3">
            <w:pPr>
              <w:jc w:val="left"/>
              <w:rPr>
                <w:noProof/>
                <w:sz w:val="22"/>
                <w:szCs w:val="22"/>
              </w:rPr>
            </w:pPr>
            <w:r w:rsidRPr="00C47F2F">
              <w:rPr>
                <w:noProof/>
                <w:sz w:val="22"/>
                <w:szCs w:val="22"/>
              </w:rPr>
              <w:t>Adult</w:t>
            </w:r>
          </w:p>
        </w:tc>
      </w:tr>
      <w:tr w:rsidR="00ED6D36" w:rsidRPr="00972C81" w14:paraId="7BA2D95F" w14:textId="77777777" w:rsidTr="000E00A3">
        <w:trPr>
          <w:trHeight w:val="340"/>
        </w:trPr>
        <w:tc>
          <w:tcPr>
            <w:tcW w:w="2087" w:type="pct"/>
            <w:tcBorders>
              <w:top w:val="single" w:sz="4" w:space="0" w:color="auto"/>
              <w:left w:val="nil"/>
              <w:bottom w:val="nil"/>
              <w:right w:val="nil"/>
            </w:tcBorders>
            <w:vAlign w:val="center"/>
            <w:hideMark/>
          </w:tcPr>
          <w:p w14:paraId="57F73174" w14:textId="77777777" w:rsidR="00ED6D36" w:rsidRPr="00C47F2F" w:rsidRDefault="00ED6D36" w:rsidP="000E00A3">
            <w:pPr>
              <w:jc w:val="left"/>
              <w:rPr>
                <w:rFonts w:eastAsia="Times New Roman"/>
                <w:noProof/>
                <w:color w:val="000000"/>
                <w:sz w:val="22"/>
                <w:szCs w:val="22"/>
                <w:lang w:eastAsia="en-GB"/>
              </w:rPr>
            </w:pPr>
            <w:r w:rsidRPr="00C47F2F">
              <w:rPr>
                <w:rFonts w:eastAsia="Times New Roman"/>
                <w:noProof/>
                <w:color w:val="000000"/>
                <w:sz w:val="22"/>
                <w:szCs w:val="22"/>
                <w:lang w:eastAsia="en-GB"/>
              </w:rPr>
              <w:t>Curium oxide, nitrate and chloride</w:t>
            </w:r>
          </w:p>
        </w:tc>
        <w:tc>
          <w:tcPr>
            <w:tcW w:w="485" w:type="pct"/>
            <w:tcBorders>
              <w:top w:val="single" w:sz="4" w:space="0" w:color="auto"/>
              <w:left w:val="nil"/>
              <w:bottom w:val="nil"/>
              <w:right w:val="nil"/>
            </w:tcBorders>
            <w:vAlign w:val="center"/>
            <w:hideMark/>
          </w:tcPr>
          <w:p w14:paraId="41310948"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1.2E-05</w:t>
            </w:r>
          </w:p>
        </w:tc>
        <w:tc>
          <w:tcPr>
            <w:tcW w:w="485" w:type="pct"/>
            <w:tcBorders>
              <w:top w:val="single" w:sz="4" w:space="0" w:color="auto"/>
              <w:left w:val="nil"/>
              <w:bottom w:val="nil"/>
              <w:right w:val="nil"/>
            </w:tcBorders>
            <w:vAlign w:val="center"/>
            <w:hideMark/>
          </w:tcPr>
          <w:p w14:paraId="113DD657"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9.4E-06</w:t>
            </w:r>
          </w:p>
        </w:tc>
        <w:tc>
          <w:tcPr>
            <w:tcW w:w="485" w:type="pct"/>
            <w:tcBorders>
              <w:top w:val="single" w:sz="4" w:space="0" w:color="auto"/>
              <w:left w:val="nil"/>
              <w:bottom w:val="nil"/>
              <w:right w:val="nil"/>
            </w:tcBorders>
            <w:vAlign w:val="center"/>
            <w:hideMark/>
          </w:tcPr>
          <w:p w14:paraId="0C549084"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4.4E-06</w:t>
            </w:r>
          </w:p>
        </w:tc>
        <w:tc>
          <w:tcPr>
            <w:tcW w:w="485" w:type="pct"/>
            <w:tcBorders>
              <w:top w:val="single" w:sz="4" w:space="0" w:color="auto"/>
              <w:left w:val="nil"/>
              <w:bottom w:val="nil"/>
              <w:right w:val="nil"/>
            </w:tcBorders>
            <w:vAlign w:val="center"/>
            <w:hideMark/>
          </w:tcPr>
          <w:p w14:paraId="2338C151"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2.6E-06</w:t>
            </w:r>
          </w:p>
        </w:tc>
        <w:tc>
          <w:tcPr>
            <w:tcW w:w="485" w:type="pct"/>
            <w:tcBorders>
              <w:top w:val="single" w:sz="4" w:space="0" w:color="auto"/>
              <w:left w:val="nil"/>
              <w:bottom w:val="nil"/>
              <w:right w:val="nil"/>
            </w:tcBorders>
            <w:vAlign w:val="center"/>
            <w:hideMark/>
          </w:tcPr>
          <w:p w14:paraId="535CFE17"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2.2E-06</w:t>
            </w:r>
          </w:p>
        </w:tc>
        <w:tc>
          <w:tcPr>
            <w:tcW w:w="487" w:type="pct"/>
            <w:tcBorders>
              <w:top w:val="single" w:sz="4" w:space="0" w:color="auto"/>
              <w:left w:val="nil"/>
              <w:bottom w:val="nil"/>
              <w:right w:val="nil"/>
            </w:tcBorders>
            <w:vAlign w:val="center"/>
            <w:hideMark/>
          </w:tcPr>
          <w:p w14:paraId="318CA501"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1.9E-06</w:t>
            </w:r>
          </w:p>
        </w:tc>
      </w:tr>
      <w:tr w:rsidR="00ED6D36" w:rsidRPr="00972C81" w14:paraId="0EB6E292" w14:textId="77777777" w:rsidTr="000E00A3">
        <w:trPr>
          <w:trHeight w:val="340"/>
        </w:trPr>
        <w:tc>
          <w:tcPr>
            <w:tcW w:w="2087" w:type="pct"/>
            <w:tcBorders>
              <w:top w:val="nil"/>
              <w:left w:val="nil"/>
              <w:bottom w:val="nil"/>
              <w:right w:val="nil"/>
            </w:tcBorders>
            <w:vAlign w:val="center"/>
            <w:hideMark/>
          </w:tcPr>
          <w:p w14:paraId="317A12B0" w14:textId="77777777" w:rsidR="00ED6D36" w:rsidRPr="00C47F2F" w:rsidRDefault="00ED6D36" w:rsidP="000E00A3">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lang w:eastAsia="en-GB"/>
              </w:rPr>
              <w:t>citrate</w:t>
            </w:r>
          </w:p>
        </w:tc>
        <w:tc>
          <w:tcPr>
            <w:tcW w:w="485" w:type="pct"/>
            <w:tcBorders>
              <w:top w:val="nil"/>
              <w:left w:val="nil"/>
              <w:bottom w:val="nil"/>
              <w:right w:val="nil"/>
            </w:tcBorders>
            <w:vAlign w:val="center"/>
            <w:hideMark/>
          </w:tcPr>
          <w:p w14:paraId="332BC979"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1.1E-05</w:t>
            </w:r>
          </w:p>
        </w:tc>
        <w:tc>
          <w:tcPr>
            <w:tcW w:w="485" w:type="pct"/>
            <w:tcBorders>
              <w:top w:val="nil"/>
              <w:left w:val="nil"/>
              <w:bottom w:val="nil"/>
              <w:right w:val="nil"/>
            </w:tcBorders>
            <w:vAlign w:val="center"/>
            <w:hideMark/>
          </w:tcPr>
          <w:p w14:paraId="31DCF123"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8.4E-06</w:t>
            </w:r>
          </w:p>
        </w:tc>
        <w:tc>
          <w:tcPr>
            <w:tcW w:w="485" w:type="pct"/>
            <w:tcBorders>
              <w:top w:val="nil"/>
              <w:left w:val="nil"/>
              <w:bottom w:val="nil"/>
              <w:right w:val="nil"/>
            </w:tcBorders>
            <w:vAlign w:val="center"/>
            <w:hideMark/>
          </w:tcPr>
          <w:p w14:paraId="041B9ED0"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3.5E-06</w:t>
            </w:r>
          </w:p>
        </w:tc>
        <w:tc>
          <w:tcPr>
            <w:tcW w:w="485" w:type="pct"/>
            <w:tcBorders>
              <w:top w:val="nil"/>
              <w:left w:val="nil"/>
              <w:bottom w:val="nil"/>
              <w:right w:val="nil"/>
            </w:tcBorders>
            <w:vAlign w:val="center"/>
            <w:hideMark/>
          </w:tcPr>
          <w:p w14:paraId="32A855E6"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1.9E-06</w:t>
            </w:r>
          </w:p>
        </w:tc>
        <w:tc>
          <w:tcPr>
            <w:tcW w:w="485" w:type="pct"/>
            <w:tcBorders>
              <w:top w:val="nil"/>
              <w:left w:val="nil"/>
              <w:bottom w:val="nil"/>
              <w:right w:val="nil"/>
            </w:tcBorders>
            <w:vAlign w:val="center"/>
            <w:hideMark/>
          </w:tcPr>
          <w:p w14:paraId="7EF42534"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1.7E-06</w:t>
            </w:r>
          </w:p>
        </w:tc>
        <w:tc>
          <w:tcPr>
            <w:tcW w:w="487" w:type="pct"/>
            <w:tcBorders>
              <w:top w:val="nil"/>
              <w:left w:val="nil"/>
              <w:bottom w:val="nil"/>
              <w:right w:val="nil"/>
            </w:tcBorders>
            <w:vAlign w:val="center"/>
            <w:hideMark/>
          </w:tcPr>
          <w:p w14:paraId="7744351F"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1.3E-06</w:t>
            </w:r>
          </w:p>
        </w:tc>
      </w:tr>
      <w:tr w:rsidR="00ED6D36" w:rsidRPr="00972C81" w14:paraId="621BDC71" w14:textId="77777777" w:rsidTr="000E00A3">
        <w:trPr>
          <w:trHeight w:val="340"/>
        </w:trPr>
        <w:tc>
          <w:tcPr>
            <w:tcW w:w="2087" w:type="pct"/>
            <w:tcBorders>
              <w:top w:val="nil"/>
              <w:left w:val="nil"/>
              <w:bottom w:val="nil"/>
              <w:right w:val="nil"/>
            </w:tcBorders>
            <w:vAlign w:val="center"/>
            <w:hideMark/>
          </w:tcPr>
          <w:p w14:paraId="191EBBB4" w14:textId="77777777" w:rsidR="00ED6D36" w:rsidRPr="00C47F2F" w:rsidRDefault="00ED6D36" w:rsidP="000E00A3">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vAlign w:val="center"/>
            <w:hideMark/>
          </w:tcPr>
          <w:p w14:paraId="4B13B8DD"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1.3E-05</w:t>
            </w:r>
          </w:p>
        </w:tc>
        <w:tc>
          <w:tcPr>
            <w:tcW w:w="485" w:type="pct"/>
            <w:tcBorders>
              <w:top w:val="nil"/>
              <w:left w:val="nil"/>
              <w:bottom w:val="nil"/>
              <w:right w:val="nil"/>
            </w:tcBorders>
            <w:vAlign w:val="center"/>
            <w:hideMark/>
          </w:tcPr>
          <w:p w14:paraId="4EA7D345"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1.1E-05</w:t>
            </w:r>
          </w:p>
        </w:tc>
        <w:tc>
          <w:tcPr>
            <w:tcW w:w="485" w:type="pct"/>
            <w:tcBorders>
              <w:top w:val="nil"/>
              <w:left w:val="nil"/>
              <w:bottom w:val="nil"/>
              <w:right w:val="nil"/>
            </w:tcBorders>
            <w:vAlign w:val="center"/>
            <w:hideMark/>
          </w:tcPr>
          <w:p w14:paraId="1760E7DE"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5.6E-06</w:t>
            </w:r>
          </w:p>
        </w:tc>
        <w:tc>
          <w:tcPr>
            <w:tcW w:w="485" w:type="pct"/>
            <w:tcBorders>
              <w:top w:val="nil"/>
              <w:left w:val="nil"/>
              <w:bottom w:val="nil"/>
              <w:right w:val="nil"/>
            </w:tcBorders>
            <w:vAlign w:val="center"/>
            <w:hideMark/>
          </w:tcPr>
          <w:p w14:paraId="7BABF567"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3.4E-06</w:t>
            </w:r>
          </w:p>
        </w:tc>
        <w:tc>
          <w:tcPr>
            <w:tcW w:w="485" w:type="pct"/>
            <w:tcBorders>
              <w:top w:val="nil"/>
              <w:left w:val="nil"/>
              <w:bottom w:val="nil"/>
              <w:right w:val="nil"/>
            </w:tcBorders>
            <w:vAlign w:val="center"/>
            <w:hideMark/>
          </w:tcPr>
          <w:p w14:paraId="0EF274BF"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2.8E-06</w:t>
            </w:r>
          </w:p>
        </w:tc>
        <w:tc>
          <w:tcPr>
            <w:tcW w:w="487" w:type="pct"/>
            <w:tcBorders>
              <w:top w:val="nil"/>
              <w:left w:val="nil"/>
              <w:bottom w:val="nil"/>
              <w:right w:val="nil"/>
            </w:tcBorders>
            <w:vAlign w:val="center"/>
            <w:hideMark/>
          </w:tcPr>
          <w:p w14:paraId="06756E79"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2.5E-06</w:t>
            </w:r>
          </w:p>
        </w:tc>
      </w:tr>
      <w:tr w:rsidR="00ED6D36" w:rsidRPr="00972C81" w14:paraId="5A222157" w14:textId="77777777" w:rsidTr="000E00A3">
        <w:trPr>
          <w:trHeight w:val="340"/>
        </w:trPr>
        <w:tc>
          <w:tcPr>
            <w:tcW w:w="2087" w:type="pct"/>
            <w:tcBorders>
              <w:top w:val="nil"/>
              <w:left w:val="nil"/>
              <w:bottom w:val="single" w:sz="4" w:space="0" w:color="auto"/>
              <w:right w:val="nil"/>
            </w:tcBorders>
            <w:vAlign w:val="center"/>
            <w:hideMark/>
          </w:tcPr>
          <w:p w14:paraId="61E4B5A3" w14:textId="77777777" w:rsidR="00ED6D36" w:rsidRPr="00C47F2F" w:rsidRDefault="00ED6D36" w:rsidP="000E00A3">
            <w:pPr>
              <w:jc w:val="left"/>
              <w:rPr>
                <w:rFonts w:eastAsiaTheme="minorHAnsi"/>
                <w:noProof/>
                <w:sz w:val="22"/>
                <w:szCs w:val="22"/>
              </w:rPr>
            </w:pPr>
            <w:r w:rsidRPr="00C47F2F">
              <w:rPr>
                <w:noProof/>
                <w:sz w:val="22"/>
                <w:szCs w:val="22"/>
              </w:rPr>
              <w:t>Type S</w:t>
            </w:r>
          </w:p>
        </w:tc>
        <w:tc>
          <w:tcPr>
            <w:tcW w:w="485" w:type="pct"/>
            <w:tcBorders>
              <w:top w:val="nil"/>
              <w:left w:val="nil"/>
              <w:bottom w:val="single" w:sz="4" w:space="0" w:color="auto"/>
              <w:right w:val="nil"/>
            </w:tcBorders>
            <w:vAlign w:val="center"/>
            <w:hideMark/>
          </w:tcPr>
          <w:p w14:paraId="1E191F36"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1.5E-05</w:t>
            </w:r>
          </w:p>
        </w:tc>
        <w:tc>
          <w:tcPr>
            <w:tcW w:w="485" w:type="pct"/>
            <w:tcBorders>
              <w:top w:val="nil"/>
              <w:left w:val="nil"/>
              <w:bottom w:val="single" w:sz="4" w:space="0" w:color="auto"/>
              <w:right w:val="nil"/>
            </w:tcBorders>
            <w:vAlign w:val="center"/>
            <w:hideMark/>
          </w:tcPr>
          <w:p w14:paraId="44CF0ACC"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1.4E-05</w:t>
            </w:r>
          </w:p>
        </w:tc>
        <w:tc>
          <w:tcPr>
            <w:tcW w:w="485" w:type="pct"/>
            <w:tcBorders>
              <w:top w:val="nil"/>
              <w:left w:val="nil"/>
              <w:bottom w:val="single" w:sz="4" w:space="0" w:color="auto"/>
              <w:right w:val="nil"/>
            </w:tcBorders>
            <w:vAlign w:val="center"/>
            <w:hideMark/>
          </w:tcPr>
          <w:p w14:paraId="55DE0614"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8.0E-06</w:t>
            </w:r>
          </w:p>
        </w:tc>
        <w:tc>
          <w:tcPr>
            <w:tcW w:w="485" w:type="pct"/>
            <w:tcBorders>
              <w:top w:val="nil"/>
              <w:left w:val="nil"/>
              <w:bottom w:val="single" w:sz="4" w:space="0" w:color="auto"/>
              <w:right w:val="nil"/>
            </w:tcBorders>
            <w:vAlign w:val="center"/>
            <w:hideMark/>
          </w:tcPr>
          <w:p w14:paraId="419C2287"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5.2E-06</w:t>
            </w:r>
          </w:p>
        </w:tc>
        <w:tc>
          <w:tcPr>
            <w:tcW w:w="485" w:type="pct"/>
            <w:tcBorders>
              <w:top w:val="nil"/>
              <w:left w:val="nil"/>
              <w:bottom w:val="single" w:sz="4" w:space="0" w:color="auto"/>
              <w:right w:val="nil"/>
            </w:tcBorders>
            <w:vAlign w:val="center"/>
            <w:hideMark/>
          </w:tcPr>
          <w:p w14:paraId="1DE57926"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4.1E-06</w:t>
            </w:r>
          </w:p>
        </w:tc>
        <w:tc>
          <w:tcPr>
            <w:tcW w:w="487" w:type="pct"/>
            <w:tcBorders>
              <w:top w:val="nil"/>
              <w:left w:val="nil"/>
              <w:bottom w:val="single" w:sz="4" w:space="0" w:color="auto"/>
              <w:right w:val="nil"/>
            </w:tcBorders>
            <w:vAlign w:val="center"/>
            <w:hideMark/>
          </w:tcPr>
          <w:p w14:paraId="0765740F"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3.8E-06</w:t>
            </w:r>
          </w:p>
        </w:tc>
      </w:tr>
      <w:tr w:rsidR="00ED6D36" w:rsidRPr="00972C81" w14:paraId="59A744A1" w14:textId="77777777" w:rsidTr="000E00A3">
        <w:trPr>
          <w:trHeight w:val="340"/>
        </w:trPr>
        <w:tc>
          <w:tcPr>
            <w:tcW w:w="2087" w:type="pct"/>
            <w:tcBorders>
              <w:top w:val="single" w:sz="4" w:space="0" w:color="auto"/>
              <w:left w:val="nil"/>
              <w:bottom w:val="single" w:sz="4" w:space="0" w:color="auto"/>
              <w:right w:val="nil"/>
            </w:tcBorders>
          </w:tcPr>
          <w:p w14:paraId="6A65E1CA" w14:textId="77777777" w:rsidR="00ED6D36" w:rsidRPr="00C47F2F" w:rsidRDefault="00ED6D36" w:rsidP="00C47F2F">
            <w:pPr>
              <w:jc w:val="left"/>
              <w:rPr>
                <w:rFonts w:eastAsiaTheme="minorHAnsi"/>
                <w:noProof/>
                <w:sz w:val="22"/>
                <w:szCs w:val="22"/>
              </w:rPr>
            </w:pPr>
          </w:p>
          <w:p w14:paraId="619404C2" w14:textId="77777777" w:rsidR="00ED6D36" w:rsidRPr="00C47F2F" w:rsidRDefault="00ED6D36"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0687626B"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12D7517B"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695D8E68"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52D2ADC"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70D21628" w14:textId="77777777" w:rsidR="00ED6D36" w:rsidRPr="00C47F2F" w:rsidRDefault="00ED6D36" w:rsidP="00C47F2F">
            <w:pPr>
              <w:jc w:val="left"/>
              <w:rPr>
                <w:rFonts w:eastAsia="Times New Roman"/>
                <w:noProof/>
                <w:color w:val="000000"/>
                <w:sz w:val="22"/>
                <w:szCs w:val="22"/>
              </w:rPr>
            </w:pPr>
          </w:p>
        </w:tc>
        <w:tc>
          <w:tcPr>
            <w:tcW w:w="487" w:type="pct"/>
            <w:tcBorders>
              <w:top w:val="single" w:sz="4" w:space="0" w:color="auto"/>
              <w:left w:val="nil"/>
              <w:bottom w:val="single" w:sz="4" w:space="0" w:color="auto"/>
              <w:right w:val="nil"/>
            </w:tcBorders>
          </w:tcPr>
          <w:p w14:paraId="46A8ED60" w14:textId="77777777" w:rsidR="00ED6D36" w:rsidRPr="00C47F2F" w:rsidRDefault="00ED6D36" w:rsidP="00C47F2F">
            <w:pPr>
              <w:jc w:val="left"/>
              <w:rPr>
                <w:rFonts w:eastAsia="Times New Roman"/>
                <w:noProof/>
                <w:color w:val="000000"/>
                <w:sz w:val="22"/>
                <w:szCs w:val="22"/>
              </w:rPr>
            </w:pPr>
          </w:p>
        </w:tc>
      </w:tr>
      <w:tr w:rsidR="00ED6D36" w:rsidRPr="00972C81" w14:paraId="7410D114" w14:textId="77777777" w:rsidTr="000E00A3">
        <w:trPr>
          <w:trHeight w:val="340"/>
        </w:trPr>
        <w:tc>
          <w:tcPr>
            <w:tcW w:w="2087" w:type="pct"/>
            <w:tcBorders>
              <w:top w:val="single" w:sz="4" w:space="0" w:color="auto"/>
              <w:left w:val="nil"/>
              <w:bottom w:val="single" w:sz="4" w:space="0" w:color="auto"/>
              <w:right w:val="nil"/>
            </w:tcBorders>
            <w:vAlign w:val="center"/>
            <w:hideMark/>
          </w:tcPr>
          <w:p w14:paraId="0100BCA5" w14:textId="77777777" w:rsidR="00ED6D36" w:rsidRPr="00C47F2F" w:rsidRDefault="00ED6D36" w:rsidP="000E00A3">
            <w:pPr>
              <w:jc w:val="left"/>
              <w:rPr>
                <w:rFonts w:eastAsiaTheme="minorHAnsi"/>
                <w:noProof/>
                <w:sz w:val="22"/>
                <w:szCs w:val="22"/>
              </w:rPr>
            </w:pPr>
            <w:r w:rsidRPr="00C47F2F">
              <w:rPr>
                <w:noProof/>
                <w:sz w:val="22"/>
                <w:szCs w:val="22"/>
              </w:rPr>
              <w:t>All compounds</w:t>
            </w:r>
          </w:p>
        </w:tc>
        <w:tc>
          <w:tcPr>
            <w:tcW w:w="485" w:type="pct"/>
            <w:tcBorders>
              <w:top w:val="single" w:sz="4" w:space="0" w:color="auto"/>
              <w:left w:val="nil"/>
              <w:bottom w:val="single" w:sz="4" w:space="0" w:color="auto"/>
              <w:right w:val="nil"/>
            </w:tcBorders>
            <w:vAlign w:val="center"/>
            <w:hideMark/>
          </w:tcPr>
          <w:p w14:paraId="1451A57D"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4.8E-07</w:t>
            </w:r>
          </w:p>
        </w:tc>
        <w:tc>
          <w:tcPr>
            <w:tcW w:w="485" w:type="pct"/>
            <w:tcBorders>
              <w:top w:val="single" w:sz="4" w:space="0" w:color="auto"/>
              <w:left w:val="nil"/>
              <w:bottom w:val="single" w:sz="4" w:space="0" w:color="auto"/>
              <w:right w:val="nil"/>
            </w:tcBorders>
            <w:vAlign w:val="center"/>
            <w:hideMark/>
          </w:tcPr>
          <w:p w14:paraId="1B4671F3"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3.3E-08</w:t>
            </w:r>
          </w:p>
        </w:tc>
        <w:tc>
          <w:tcPr>
            <w:tcW w:w="485" w:type="pct"/>
            <w:tcBorders>
              <w:top w:val="single" w:sz="4" w:space="0" w:color="auto"/>
              <w:left w:val="nil"/>
              <w:bottom w:val="single" w:sz="4" w:space="0" w:color="auto"/>
              <w:right w:val="nil"/>
            </w:tcBorders>
            <w:vAlign w:val="center"/>
            <w:hideMark/>
          </w:tcPr>
          <w:p w14:paraId="788E2578"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1.2E-08</w:t>
            </w:r>
          </w:p>
        </w:tc>
        <w:tc>
          <w:tcPr>
            <w:tcW w:w="485" w:type="pct"/>
            <w:tcBorders>
              <w:top w:val="single" w:sz="4" w:space="0" w:color="auto"/>
              <w:left w:val="nil"/>
              <w:bottom w:val="single" w:sz="4" w:space="0" w:color="auto"/>
              <w:right w:val="nil"/>
            </w:tcBorders>
            <w:vAlign w:val="center"/>
            <w:hideMark/>
          </w:tcPr>
          <w:p w14:paraId="004058E8"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6.4E-09</w:t>
            </w:r>
          </w:p>
        </w:tc>
        <w:tc>
          <w:tcPr>
            <w:tcW w:w="485" w:type="pct"/>
            <w:tcBorders>
              <w:top w:val="single" w:sz="4" w:space="0" w:color="auto"/>
              <w:left w:val="nil"/>
              <w:bottom w:val="single" w:sz="4" w:space="0" w:color="auto"/>
              <w:right w:val="nil"/>
            </w:tcBorders>
            <w:vAlign w:val="center"/>
            <w:hideMark/>
          </w:tcPr>
          <w:p w14:paraId="3F9F7228"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5.0E-09</w:t>
            </w:r>
          </w:p>
        </w:tc>
        <w:tc>
          <w:tcPr>
            <w:tcW w:w="487" w:type="pct"/>
            <w:tcBorders>
              <w:top w:val="single" w:sz="4" w:space="0" w:color="auto"/>
              <w:left w:val="nil"/>
              <w:bottom w:val="single" w:sz="4" w:space="0" w:color="auto"/>
              <w:right w:val="nil"/>
            </w:tcBorders>
            <w:vAlign w:val="center"/>
            <w:hideMark/>
          </w:tcPr>
          <w:p w14:paraId="62EB3302"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3.5E-09</w:t>
            </w:r>
          </w:p>
        </w:tc>
      </w:tr>
    </w:tbl>
    <w:p w14:paraId="5DF7C78B" w14:textId="77777777" w:rsidR="00ED6D36" w:rsidRPr="00972C81" w:rsidRDefault="00ED6D36" w:rsidP="00ED6D36">
      <w:pPr>
        <w:pStyle w:val="ab"/>
        <w:rPr>
          <w:noProof/>
        </w:rPr>
      </w:pPr>
    </w:p>
    <w:p w14:paraId="418F027B" w14:textId="77777777" w:rsidR="000E00A3" w:rsidRDefault="000E00A3">
      <w:pPr>
        <w:widowControl/>
        <w:jc w:val="left"/>
        <w:rPr>
          <w:noProof/>
          <w:szCs w:val="24"/>
        </w:rPr>
      </w:pPr>
      <w:r>
        <w:rPr>
          <w:noProof/>
          <w:szCs w:val="24"/>
        </w:rPr>
        <w:br w:type="page"/>
      </w:r>
    </w:p>
    <w:p w14:paraId="46559B24" w14:textId="0530F0B5" w:rsidR="00ED6D36" w:rsidRPr="00972C81" w:rsidRDefault="00ED6D36" w:rsidP="00C47F2F">
      <w:pPr>
        <w:widowControl/>
        <w:jc w:val="left"/>
        <w:rPr>
          <w:noProof/>
          <w:szCs w:val="24"/>
        </w:rPr>
      </w:pPr>
      <w:r w:rsidRPr="00972C81">
        <w:rPr>
          <w:noProof/>
          <w:szCs w:val="24"/>
        </w:rPr>
        <w:lastRenderedPageBreak/>
        <w:t>Table 24.4. Committed effective dose coefficients (Sv Bq</w:t>
      </w:r>
      <w:r w:rsidRPr="00972C81">
        <w:rPr>
          <w:noProof/>
          <w:szCs w:val="24"/>
          <w:vertAlign w:val="superscript"/>
        </w:rPr>
        <w:t>-1</w:t>
      </w:r>
      <w:r w:rsidRPr="00972C81">
        <w:rPr>
          <w:noProof/>
          <w:szCs w:val="24"/>
        </w:rPr>
        <w:t xml:space="preserve">) for the inhalation or ingestion of </w:t>
      </w:r>
      <w:r w:rsidRPr="00972C81">
        <w:rPr>
          <w:noProof/>
          <w:szCs w:val="24"/>
          <w:vertAlign w:val="superscript"/>
        </w:rPr>
        <w:t>243</w:t>
      </w:r>
      <w:r w:rsidRPr="00972C81">
        <w:rPr>
          <w:noProof/>
          <w:szCs w:val="24"/>
        </w:rPr>
        <w:t>Cm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ED6D36" w:rsidRPr="00A3213E" w14:paraId="10A07559" w14:textId="77777777" w:rsidTr="000E00A3">
        <w:trPr>
          <w:trHeight w:val="340"/>
        </w:trPr>
        <w:tc>
          <w:tcPr>
            <w:tcW w:w="2087" w:type="pct"/>
            <w:vMerge w:val="restart"/>
            <w:tcBorders>
              <w:top w:val="single" w:sz="4" w:space="0" w:color="auto"/>
              <w:left w:val="nil"/>
              <w:bottom w:val="single" w:sz="4" w:space="0" w:color="auto"/>
              <w:right w:val="nil"/>
            </w:tcBorders>
            <w:vAlign w:val="bottom"/>
            <w:hideMark/>
          </w:tcPr>
          <w:p w14:paraId="76F82402" w14:textId="77777777" w:rsidR="00084C42" w:rsidRDefault="00ED6D36">
            <w:pPr>
              <w:pStyle w:val="a5"/>
              <w:tabs>
                <w:tab w:val="clear" w:pos="4153"/>
                <w:tab w:val="clear" w:pos="8306"/>
              </w:tabs>
              <w:rPr>
                <w:noProof/>
                <w:sz w:val="22"/>
                <w:szCs w:val="22"/>
              </w:rPr>
            </w:pPr>
            <w:r w:rsidRPr="00C47F2F">
              <w:rPr>
                <w:noProof/>
                <w:sz w:val="22"/>
                <w:szCs w:val="22"/>
              </w:rPr>
              <w:t>Inhaled particulate materials</w:t>
            </w:r>
          </w:p>
          <w:p w14:paraId="0E419CA6" w14:textId="6A0875D8" w:rsidR="00ED6D36" w:rsidRPr="00084C42" w:rsidRDefault="00ED6D36" w:rsidP="00C47F2F">
            <w:pPr>
              <w:pStyle w:val="a5"/>
              <w:tabs>
                <w:tab w:val="clear" w:pos="4153"/>
                <w:tab w:val="clear" w:pos="8306"/>
              </w:tabs>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06233B24" w14:textId="77777777" w:rsidR="00ED6D36" w:rsidRPr="00C47F2F" w:rsidRDefault="00ED6D36" w:rsidP="000E00A3">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ED6D36" w:rsidRPr="00972C81" w14:paraId="185C39AC" w14:textId="77777777" w:rsidTr="000E00A3">
        <w:trPr>
          <w:trHeight w:val="340"/>
        </w:trPr>
        <w:tc>
          <w:tcPr>
            <w:tcW w:w="2087" w:type="pct"/>
            <w:vMerge/>
            <w:tcBorders>
              <w:top w:val="single" w:sz="4" w:space="0" w:color="auto"/>
              <w:left w:val="nil"/>
              <w:bottom w:val="single" w:sz="4" w:space="0" w:color="auto"/>
              <w:right w:val="nil"/>
            </w:tcBorders>
            <w:vAlign w:val="center"/>
            <w:hideMark/>
          </w:tcPr>
          <w:p w14:paraId="76C2A3AE" w14:textId="77777777" w:rsidR="00ED6D36" w:rsidRPr="00084C42" w:rsidRDefault="00ED6D36">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240E4DF0" w14:textId="27CECEE9" w:rsidR="00ED6D36" w:rsidRPr="00C47F2F" w:rsidRDefault="00ED6D36" w:rsidP="000E00A3">
            <w:pPr>
              <w:jc w:val="left"/>
              <w:rPr>
                <w:noProof/>
                <w:sz w:val="22"/>
                <w:szCs w:val="22"/>
                <w:lang w:eastAsia="ko-KR"/>
              </w:rPr>
            </w:pPr>
            <w:r w:rsidRPr="00C47F2F">
              <w:rPr>
                <w:noProof/>
                <w:sz w:val="22"/>
                <w:szCs w:val="22"/>
              </w:rPr>
              <w:t>3</w:t>
            </w:r>
            <w:r w:rsidR="00084C42">
              <w:rPr>
                <w:rFonts w:hint="eastAsia"/>
                <w:noProof/>
                <w:sz w:val="22"/>
                <w:szCs w:val="22"/>
                <w:lang w:eastAsia="ko-KR"/>
              </w:rPr>
              <w:t xml:space="preserve"> </w:t>
            </w:r>
            <w:r w:rsidRPr="00C47F2F">
              <w:rPr>
                <w:noProof/>
                <w:sz w:val="22"/>
                <w:szCs w:val="22"/>
              </w:rPr>
              <w:t>m</w:t>
            </w:r>
            <w:r w:rsidR="000E00A3">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53D0B040" w14:textId="52D4D876" w:rsidR="00ED6D36" w:rsidRPr="00C47F2F" w:rsidRDefault="00ED6D36" w:rsidP="000E00A3">
            <w:pPr>
              <w:jc w:val="left"/>
              <w:rPr>
                <w:noProof/>
                <w:sz w:val="22"/>
                <w:szCs w:val="22"/>
              </w:rPr>
            </w:pPr>
            <w:r w:rsidRPr="00C47F2F">
              <w:rPr>
                <w:noProof/>
                <w:sz w:val="22"/>
                <w:szCs w:val="22"/>
              </w:rPr>
              <w:t>1</w:t>
            </w:r>
            <w:r w:rsidR="00084C42">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08066CB5" w14:textId="04A379D3" w:rsidR="00ED6D36" w:rsidRPr="00C47F2F" w:rsidRDefault="00ED6D36" w:rsidP="000E00A3">
            <w:pPr>
              <w:jc w:val="left"/>
              <w:rPr>
                <w:noProof/>
                <w:sz w:val="22"/>
                <w:szCs w:val="22"/>
              </w:rPr>
            </w:pPr>
            <w:r w:rsidRPr="00C47F2F">
              <w:rPr>
                <w:noProof/>
                <w:sz w:val="22"/>
                <w:szCs w:val="22"/>
              </w:rPr>
              <w:t>5</w:t>
            </w:r>
            <w:r w:rsidR="00084C42">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79850CFB" w14:textId="48D7C9A5" w:rsidR="00ED6D36" w:rsidRPr="00C47F2F" w:rsidRDefault="00ED6D36" w:rsidP="000E00A3">
            <w:pPr>
              <w:jc w:val="left"/>
              <w:rPr>
                <w:noProof/>
                <w:sz w:val="22"/>
                <w:szCs w:val="22"/>
              </w:rPr>
            </w:pPr>
            <w:r w:rsidRPr="00C47F2F">
              <w:rPr>
                <w:noProof/>
                <w:sz w:val="22"/>
                <w:szCs w:val="22"/>
              </w:rPr>
              <w:t>10</w:t>
            </w:r>
            <w:r w:rsidR="00084C42">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004FDFFD" w14:textId="76E93F9C" w:rsidR="00ED6D36" w:rsidRPr="00C47F2F" w:rsidRDefault="00ED6D36" w:rsidP="000E00A3">
            <w:pPr>
              <w:jc w:val="left"/>
              <w:rPr>
                <w:noProof/>
                <w:sz w:val="22"/>
                <w:szCs w:val="22"/>
              </w:rPr>
            </w:pPr>
            <w:r w:rsidRPr="00C47F2F">
              <w:rPr>
                <w:noProof/>
                <w:sz w:val="22"/>
                <w:szCs w:val="22"/>
              </w:rPr>
              <w:t>15</w:t>
            </w:r>
            <w:r w:rsidR="00084C42">
              <w:rPr>
                <w:rFonts w:hint="eastAsia"/>
                <w:noProof/>
                <w:sz w:val="22"/>
                <w:szCs w:val="22"/>
                <w:lang w:eastAsia="ko-KR"/>
              </w:rPr>
              <w:t xml:space="preserve"> </w:t>
            </w:r>
            <w:r w:rsidRPr="00C47F2F">
              <w:rPr>
                <w:noProof/>
                <w:sz w:val="22"/>
                <w:szCs w:val="22"/>
              </w:rPr>
              <w:t>y</w:t>
            </w:r>
          </w:p>
        </w:tc>
        <w:tc>
          <w:tcPr>
            <w:tcW w:w="487" w:type="pct"/>
            <w:tcBorders>
              <w:top w:val="single" w:sz="4" w:space="0" w:color="auto"/>
              <w:left w:val="nil"/>
              <w:bottom w:val="single" w:sz="4" w:space="0" w:color="auto"/>
              <w:right w:val="nil"/>
            </w:tcBorders>
            <w:vAlign w:val="center"/>
            <w:hideMark/>
          </w:tcPr>
          <w:p w14:paraId="1350A87B" w14:textId="77777777" w:rsidR="00ED6D36" w:rsidRPr="00C47F2F" w:rsidRDefault="00ED6D36" w:rsidP="000E00A3">
            <w:pPr>
              <w:jc w:val="left"/>
              <w:rPr>
                <w:noProof/>
                <w:sz w:val="22"/>
                <w:szCs w:val="22"/>
              </w:rPr>
            </w:pPr>
            <w:r w:rsidRPr="00C47F2F">
              <w:rPr>
                <w:noProof/>
                <w:sz w:val="22"/>
                <w:szCs w:val="22"/>
              </w:rPr>
              <w:t>Adult</w:t>
            </w:r>
          </w:p>
        </w:tc>
      </w:tr>
      <w:tr w:rsidR="00ED6D36" w:rsidRPr="00972C81" w14:paraId="07AADE77" w14:textId="77777777" w:rsidTr="000E00A3">
        <w:trPr>
          <w:trHeight w:val="340"/>
        </w:trPr>
        <w:tc>
          <w:tcPr>
            <w:tcW w:w="2087" w:type="pct"/>
            <w:tcBorders>
              <w:top w:val="single" w:sz="4" w:space="0" w:color="auto"/>
              <w:left w:val="nil"/>
              <w:bottom w:val="nil"/>
              <w:right w:val="nil"/>
            </w:tcBorders>
            <w:vAlign w:val="center"/>
            <w:hideMark/>
          </w:tcPr>
          <w:p w14:paraId="251D4C2A" w14:textId="77777777" w:rsidR="00ED6D36" w:rsidRPr="00C47F2F" w:rsidRDefault="00ED6D36" w:rsidP="000E00A3">
            <w:pPr>
              <w:jc w:val="left"/>
              <w:rPr>
                <w:rFonts w:eastAsia="Times New Roman"/>
                <w:noProof/>
                <w:color w:val="000000"/>
                <w:sz w:val="22"/>
                <w:szCs w:val="22"/>
                <w:lang w:eastAsia="en-GB"/>
              </w:rPr>
            </w:pPr>
            <w:r w:rsidRPr="00C47F2F">
              <w:rPr>
                <w:rFonts w:eastAsia="Times New Roman"/>
                <w:noProof/>
                <w:color w:val="000000"/>
                <w:sz w:val="22"/>
                <w:szCs w:val="22"/>
                <w:lang w:eastAsia="en-GB"/>
              </w:rPr>
              <w:t>Curium oxide, nitrate and chloride</w:t>
            </w:r>
          </w:p>
        </w:tc>
        <w:tc>
          <w:tcPr>
            <w:tcW w:w="485" w:type="pct"/>
            <w:tcBorders>
              <w:top w:val="single" w:sz="4" w:space="0" w:color="auto"/>
              <w:left w:val="nil"/>
              <w:bottom w:val="nil"/>
              <w:right w:val="nil"/>
            </w:tcBorders>
            <w:vAlign w:val="center"/>
            <w:hideMark/>
          </w:tcPr>
          <w:p w14:paraId="6FFFBAA2"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4.7E-05</w:t>
            </w:r>
          </w:p>
        </w:tc>
        <w:tc>
          <w:tcPr>
            <w:tcW w:w="485" w:type="pct"/>
            <w:tcBorders>
              <w:top w:val="single" w:sz="4" w:space="0" w:color="auto"/>
              <w:left w:val="nil"/>
              <w:bottom w:val="nil"/>
              <w:right w:val="nil"/>
            </w:tcBorders>
            <w:vAlign w:val="center"/>
            <w:hideMark/>
          </w:tcPr>
          <w:p w14:paraId="40A7C0ED"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4.2E-05</w:t>
            </w:r>
          </w:p>
        </w:tc>
        <w:tc>
          <w:tcPr>
            <w:tcW w:w="485" w:type="pct"/>
            <w:tcBorders>
              <w:top w:val="single" w:sz="4" w:space="0" w:color="auto"/>
              <w:left w:val="nil"/>
              <w:bottom w:val="nil"/>
              <w:right w:val="nil"/>
            </w:tcBorders>
            <w:vAlign w:val="center"/>
            <w:hideMark/>
          </w:tcPr>
          <w:p w14:paraId="7EA12979"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2.4E-05</w:t>
            </w:r>
          </w:p>
        </w:tc>
        <w:tc>
          <w:tcPr>
            <w:tcW w:w="485" w:type="pct"/>
            <w:tcBorders>
              <w:top w:val="single" w:sz="4" w:space="0" w:color="auto"/>
              <w:left w:val="nil"/>
              <w:bottom w:val="nil"/>
              <w:right w:val="nil"/>
            </w:tcBorders>
            <w:vAlign w:val="center"/>
            <w:hideMark/>
          </w:tcPr>
          <w:p w14:paraId="07C0FDF2"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1.5E-05</w:t>
            </w:r>
          </w:p>
        </w:tc>
        <w:tc>
          <w:tcPr>
            <w:tcW w:w="485" w:type="pct"/>
            <w:tcBorders>
              <w:top w:val="single" w:sz="4" w:space="0" w:color="auto"/>
              <w:left w:val="nil"/>
              <w:bottom w:val="nil"/>
              <w:right w:val="nil"/>
            </w:tcBorders>
            <w:vAlign w:val="center"/>
            <w:hideMark/>
          </w:tcPr>
          <w:p w14:paraId="11DAF17A"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1.4E-05</w:t>
            </w:r>
          </w:p>
        </w:tc>
        <w:tc>
          <w:tcPr>
            <w:tcW w:w="487" w:type="pct"/>
            <w:tcBorders>
              <w:top w:val="single" w:sz="4" w:space="0" w:color="auto"/>
              <w:left w:val="nil"/>
              <w:bottom w:val="nil"/>
              <w:right w:val="nil"/>
            </w:tcBorders>
            <w:vAlign w:val="center"/>
            <w:hideMark/>
          </w:tcPr>
          <w:p w14:paraId="176E9084"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1.4E-05</w:t>
            </w:r>
          </w:p>
        </w:tc>
      </w:tr>
      <w:tr w:rsidR="00ED6D36" w:rsidRPr="00972C81" w14:paraId="13866520" w14:textId="77777777" w:rsidTr="000E00A3">
        <w:trPr>
          <w:trHeight w:val="340"/>
        </w:trPr>
        <w:tc>
          <w:tcPr>
            <w:tcW w:w="2087" w:type="pct"/>
            <w:tcBorders>
              <w:top w:val="nil"/>
              <w:left w:val="nil"/>
              <w:bottom w:val="nil"/>
              <w:right w:val="nil"/>
            </w:tcBorders>
            <w:vAlign w:val="center"/>
            <w:hideMark/>
          </w:tcPr>
          <w:p w14:paraId="41252BC9" w14:textId="77777777" w:rsidR="00ED6D36" w:rsidRPr="00C47F2F" w:rsidRDefault="00ED6D36" w:rsidP="000E00A3">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lang w:eastAsia="en-GB"/>
              </w:rPr>
              <w:t>citrate</w:t>
            </w:r>
          </w:p>
        </w:tc>
        <w:tc>
          <w:tcPr>
            <w:tcW w:w="485" w:type="pct"/>
            <w:tcBorders>
              <w:top w:val="nil"/>
              <w:left w:val="nil"/>
              <w:bottom w:val="nil"/>
              <w:right w:val="nil"/>
            </w:tcBorders>
            <w:vAlign w:val="center"/>
            <w:hideMark/>
          </w:tcPr>
          <w:p w14:paraId="4A0D8C78"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5.3E-05</w:t>
            </w:r>
          </w:p>
        </w:tc>
        <w:tc>
          <w:tcPr>
            <w:tcW w:w="485" w:type="pct"/>
            <w:tcBorders>
              <w:top w:val="nil"/>
              <w:left w:val="nil"/>
              <w:bottom w:val="nil"/>
              <w:right w:val="nil"/>
            </w:tcBorders>
            <w:vAlign w:val="center"/>
            <w:hideMark/>
          </w:tcPr>
          <w:p w14:paraId="04D2B841"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4.6E-05</w:t>
            </w:r>
          </w:p>
        </w:tc>
        <w:tc>
          <w:tcPr>
            <w:tcW w:w="485" w:type="pct"/>
            <w:tcBorders>
              <w:top w:val="nil"/>
              <w:left w:val="nil"/>
              <w:bottom w:val="nil"/>
              <w:right w:val="nil"/>
            </w:tcBorders>
            <w:vAlign w:val="center"/>
            <w:hideMark/>
          </w:tcPr>
          <w:p w14:paraId="22F3553B"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2.6E-05</w:t>
            </w:r>
          </w:p>
        </w:tc>
        <w:tc>
          <w:tcPr>
            <w:tcW w:w="485" w:type="pct"/>
            <w:tcBorders>
              <w:top w:val="nil"/>
              <w:left w:val="nil"/>
              <w:bottom w:val="nil"/>
              <w:right w:val="nil"/>
            </w:tcBorders>
            <w:vAlign w:val="center"/>
            <w:hideMark/>
          </w:tcPr>
          <w:p w14:paraId="6C197413"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1.7E-05</w:t>
            </w:r>
          </w:p>
        </w:tc>
        <w:tc>
          <w:tcPr>
            <w:tcW w:w="485" w:type="pct"/>
            <w:tcBorders>
              <w:top w:val="nil"/>
              <w:left w:val="nil"/>
              <w:bottom w:val="nil"/>
              <w:right w:val="nil"/>
            </w:tcBorders>
            <w:vAlign w:val="center"/>
            <w:hideMark/>
          </w:tcPr>
          <w:p w14:paraId="2786ED39"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1.6E-05</w:t>
            </w:r>
          </w:p>
        </w:tc>
        <w:tc>
          <w:tcPr>
            <w:tcW w:w="487" w:type="pct"/>
            <w:tcBorders>
              <w:top w:val="nil"/>
              <w:left w:val="nil"/>
              <w:bottom w:val="nil"/>
              <w:right w:val="nil"/>
            </w:tcBorders>
            <w:vAlign w:val="center"/>
            <w:hideMark/>
          </w:tcPr>
          <w:p w14:paraId="7E4761F8"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1.5E-05</w:t>
            </w:r>
          </w:p>
        </w:tc>
      </w:tr>
      <w:tr w:rsidR="00ED6D36" w:rsidRPr="00972C81" w14:paraId="1462E42C" w14:textId="77777777" w:rsidTr="000E00A3">
        <w:trPr>
          <w:trHeight w:val="340"/>
        </w:trPr>
        <w:tc>
          <w:tcPr>
            <w:tcW w:w="2087" w:type="pct"/>
            <w:tcBorders>
              <w:top w:val="nil"/>
              <w:left w:val="nil"/>
              <w:bottom w:val="nil"/>
              <w:right w:val="nil"/>
            </w:tcBorders>
            <w:vAlign w:val="center"/>
            <w:hideMark/>
          </w:tcPr>
          <w:p w14:paraId="25E2442F" w14:textId="77777777" w:rsidR="00ED6D36" w:rsidRPr="00C47F2F" w:rsidRDefault="00ED6D36" w:rsidP="000E00A3">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vAlign w:val="center"/>
            <w:hideMark/>
          </w:tcPr>
          <w:p w14:paraId="745E8474"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4.3E-05</w:t>
            </w:r>
          </w:p>
        </w:tc>
        <w:tc>
          <w:tcPr>
            <w:tcW w:w="485" w:type="pct"/>
            <w:tcBorders>
              <w:top w:val="nil"/>
              <w:left w:val="nil"/>
              <w:bottom w:val="nil"/>
              <w:right w:val="nil"/>
            </w:tcBorders>
            <w:vAlign w:val="center"/>
            <w:hideMark/>
          </w:tcPr>
          <w:p w14:paraId="690C5DFC"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3.9E-05</w:t>
            </w:r>
          </w:p>
        </w:tc>
        <w:tc>
          <w:tcPr>
            <w:tcW w:w="485" w:type="pct"/>
            <w:tcBorders>
              <w:top w:val="nil"/>
              <w:left w:val="nil"/>
              <w:bottom w:val="nil"/>
              <w:right w:val="nil"/>
            </w:tcBorders>
            <w:vAlign w:val="center"/>
            <w:hideMark/>
          </w:tcPr>
          <w:p w14:paraId="1A7E7287"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2.2E-05</w:t>
            </w:r>
          </w:p>
        </w:tc>
        <w:tc>
          <w:tcPr>
            <w:tcW w:w="485" w:type="pct"/>
            <w:tcBorders>
              <w:top w:val="nil"/>
              <w:left w:val="nil"/>
              <w:bottom w:val="nil"/>
              <w:right w:val="nil"/>
            </w:tcBorders>
            <w:vAlign w:val="center"/>
            <w:hideMark/>
          </w:tcPr>
          <w:p w14:paraId="7FFC60AF"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1.4E-05</w:t>
            </w:r>
          </w:p>
        </w:tc>
        <w:tc>
          <w:tcPr>
            <w:tcW w:w="485" w:type="pct"/>
            <w:tcBorders>
              <w:top w:val="nil"/>
              <w:left w:val="nil"/>
              <w:bottom w:val="nil"/>
              <w:right w:val="nil"/>
            </w:tcBorders>
            <w:vAlign w:val="center"/>
            <w:hideMark/>
          </w:tcPr>
          <w:p w14:paraId="101609E5"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1.2E-05</w:t>
            </w:r>
          </w:p>
        </w:tc>
        <w:tc>
          <w:tcPr>
            <w:tcW w:w="487" w:type="pct"/>
            <w:tcBorders>
              <w:top w:val="nil"/>
              <w:left w:val="nil"/>
              <w:bottom w:val="nil"/>
              <w:right w:val="nil"/>
            </w:tcBorders>
            <w:vAlign w:val="center"/>
            <w:hideMark/>
          </w:tcPr>
          <w:p w14:paraId="38865475"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1.2E-05</w:t>
            </w:r>
          </w:p>
        </w:tc>
      </w:tr>
      <w:tr w:rsidR="00ED6D36" w:rsidRPr="00972C81" w14:paraId="334AB100" w14:textId="77777777" w:rsidTr="000E00A3">
        <w:trPr>
          <w:trHeight w:val="340"/>
        </w:trPr>
        <w:tc>
          <w:tcPr>
            <w:tcW w:w="2087" w:type="pct"/>
            <w:tcBorders>
              <w:top w:val="nil"/>
              <w:left w:val="nil"/>
              <w:bottom w:val="single" w:sz="4" w:space="0" w:color="auto"/>
              <w:right w:val="nil"/>
            </w:tcBorders>
            <w:vAlign w:val="center"/>
            <w:hideMark/>
          </w:tcPr>
          <w:p w14:paraId="30D83364" w14:textId="77777777" w:rsidR="00ED6D36" w:rsidRPr="00C47F2F" w:rsidRDefault="00ED6D36" w:rsidP="000E00A3">
            <w:pPr>
              <w:jc w:val="left"/>
              <w:rPr>
                <w:rFonts w:eastAsiaTheme="minorHAnsi"/>
                <w:noProof/>
                <w:sz w:val="22"/>
                <w:szCs w:val="22"/>
              </w:rPr>
            </w:pPr>
            <w:r w:rsidRPr="00C47F2F">
              <w:rPr>
                <w:noProof/>
                <w:sz w:val="22"/>
                <w:szCs w:val="22"/>
              </w:rPr>
              <w:t>Type S</w:t>
            </w:r>
          </w:p>
        </w:tc>
        <w:tc>
          <w:tcPr>
            <w:tcW w:w="485" w:type="pct"/>
            <w:tcBorders>
              <w:top w:val="nil"/>
              <w:left w:val="nil"/>
              <w:bottom w:val="single" w:sz="4" w:space="0" w:color="auto"/>
              <w:right w:val="nil"/>
            </w:tcBorders>
            <w:vAlign w:val="center"/>
            <w:hideMark/>
          </w:tcPr>
          <w:p w14:paraId="71386123"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5.6E-05</w:t>
            </w:r>
          </w:p>
        </w:tc>
        <w:tc>
          <w:tcPr>
            <w:tcW w:w="485" w:type="pct"/>
            <w:tcBorders>
              <w:top w:val="nil"/>
              <w:left w:val="nil"/>
              <w:bottom w:val="single" w:sz="4" w:space="0" w:color="auto"/>
              <w:right w:val="nil"/>
            </w:tcBorders>
            <w:vAlign w:val="center"/>
            <w:hideMark/>
          </w:tcPr>
          <w:p w14:paraId="1AF36571"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5.4E-05</w:t>
            </w:r>
          </w:p>
        </w:tc>
        <w:tc>
          <w:tcPr>
            <w:tcW w:w="485" w:type="pct"/>
            <w:tcBorders>
              <w:top w:val="nil"/>
              <w:left w:val="nil"/>
              <w:bottom w:val="single" w:sz="4" w:space="0" w:color="auto"/>
              <w:right w:val="nil"/>
            </w:tcBorders>
            <w:vAlign w:val="center"/>
            <w:hideMark/>
          </w:tcPr>
          <w:p w14:paraId="06875EEB"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3.7E-05</w:t>
            </w:r>
          </w:p>
        </w:tc>
        <w:tc>
          <w:tcPr>
            <w:tcW w:w="485" w:type="pct"/>
            <w:tcBorders>
              <w:top w:val="nil"/>
              <w:left w:val="nil"/>
              <w:bottom w:val="single" w:sz="4" w:space="0" w:color="auto"/>
              <w:right w:val="nil"/>
            </w:tcBorders>
            <w:vAlign w:val="center"/>
            <w:hideMark/>
          </w:tcPr>
          <w:p w14:paraId="1251200F"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2.6E-05</w:t>
            </w:r>
          </w:p>
        </w:tc>
        <w:tc>
          <w:tcPr>
            <w:tcW w:w="485" w:type="pct"/>
            <w:tcBorders>
              <w:top w:val="nil"/>
              <w:left w:val="nil"/>
              <w:bottom w:val="single" w:sz="4" w:space="0" w:color="auto"/>
              <w:right w:val="nil"/>
            </w:tcBorders>
            <w:vAlign w:val="center"/>
            <w:hideMark/>
          </w:tcPr>
          <w:p w14:paraId="4D47AC40"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2.4E-05</w:t>
            </w:r>
          </w:p>
        </w:tc>
        <w:tc>
          <w:tcPr>
            <w:tcW w:w="487" w:type="pct"/>
            <w:tcBorders>
              <w:top w:val="nil"/>
              <w:left w:val="nil"/>
              <w:bottom w:val="single" w:sz="4" w:space="0" w:color="auto"/>
              <w:right w:val="nil"/>
            </w:tcBorders>
            <w:vAlign w:val="center"/>
            <w:hideMark/>
          </w:tcPr>
          <w:p w14:paraId="51A7F40E"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2.5E-05</w:t>
            </w:r>
          </w:p>
        </w:tc>
      </w:tr>
      <w:tr w:rsidR="00ED6D36" w:rsidRPr="00972C81" w14:paraId="34DFB3D8" w14:textId="77777777" w:rsidTr="000E00A3">
        <w:trPr>
          <w:trHeight w:val="340"/>
        </w:trPr>
        <w:tc>
          <w:tcPr>
            <w:tcW w:w="2087" w:type="pct"/>
            <w:tcBorders>
              <w:top w:val="single" w:sz="4" w:space="0" w:color="auto"/>
              <w:left w:val="nil"/>
              <w:bottom w:val="single" w:sz="4" w:space="0" w:color="auto"/>
              <w:right w:val="nil"/>
            </w:tcBorders>
          </w:tcPr>
          <w:p w14:paraId="537526C3" w14:textId="77777777" w:rsidR="00ED6D36" w:rsidRPr="00C47F2F" w:rsidRDefault="00ED6D36" w:rsidP="00C47F2F">
            <w:pPr>
              <w:jc w:val="left"/>
              <w:rPr>
                <w:rFonts w:eastAsiaTheme="minorHAnsi"/>
                <w:noProof/>
                <w:sz w:val="22"/>
                <w:szCs w:val="22"/>
              </w:rPr>
            </w:pPr>
          </w:p>
          <w:p w14:paraId="505CF7E8" w14:textId="77777777" w:rsidR="00ED6D36" w:rsidRPr="00C47F2F" w:rsidRDefault="00ED6D36"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199F5CCB"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11B7A59A"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D58ADDB"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5E128B24"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0870C317" w14:textId="77777777" w:rsidR="00ED6D36" w:rsidRPr="00C47F2F" w:rsidRDefault="00ED6D36" w:rsidP="00C47F2F">
            <w:pPr>
              <w:jc w:val="left"/>
              <w:rPr>
                <w:rFonts w:eastAsia="Times New Roman"/>
                <w:noProof/>
                <w:color w:val="000000"/>
                <w:sz w:val="22"/>
                <w:szCs w:val="22"/>
              </w:rPr>
            </w:pPr>
          </w:p>
        </w:tc>
        <w:tc>
          <w:tcPr>
            <w:tcW w:w="487" w:type="pct"/>
            <w:tcBorders>
              <w:top w:val="single" w:sz="4" w:space="0" w:color="auto"/>
              <w:left w:val="nil"/>
              <w:bottom w:val="single" w:sz="4" w:space="0" w:color="auto"/>
              <w:right w:val="nil"/>
            </w:tcBorders>
          </w:tcPr>
          <w:p w14:paraId="68F9091E" w14:textId="77777777" w:rsidR="00ED6D36" w:rsidRPr="00C47F2F" w:rsidRDefault="00ED6D36" w:rsidP="00C47F2F">
            <w:pPr>
              <w:jc w:val="left"/>
              <w:rPr>
                <w:rFonts w:eastAsia="Times New Roman"/>
                <w:noProof/>
                <w:color w:val="000000"/>
                <w:sz w:val="22"/>
                <w:szCs w:val="22"/>
              </w:rPr>
            </w:pPr>
          </w:p>
        </w:tc>
      </w:tr>
      <w:tr w:rsidR="00ED6D36" w:rsidRPr="00972C81" w14:paraId="28863EA6" w14:textId="77777777" w:rsidTr="000E00A3">
        <w:trPr>
          <w:trHeight w:val="340"/>
        </w:trPr>
        <w:tc>
          <w:tcPr>
            <w:tcW w:w="2087" w:type="pct"/>
            <w:tcBorders>
              <w:top w:val="single" w:sz="4" w:space="0" w:color="auto"/>
              <w:left w:val="nil"/>
              <w:bottom w:val="single" w:sz="4" w:space="0" w:color="auto"/>
              <w:right w:val="nil"/>
            </w:tcBorders>
            <w:vAlign w:val="center"/>
            <w:hideMark/>
          </w:tcPr>
          <w:p w14:paraId="0503272F" w14:textId="77777777" w:rsidR="00ED6D36" w:rsidRPr="00C47F2F" w:rsidRDefault="00ED6D36" w:rsidP="000E00A3">
            <w:pPr>
              <w:jc w:val="left"/>
              <w:rPr>
                <w:rFonts w:eastAsiaTheme="minorHAnsi"/>
                <w:noProof/>
                <w:sz w:val="22"/>
                <w:szCs w:val="22"/>
              </w:rPr>
            </w:pPr>
            <w:r w:rsidRPr="00C47F2F">
              <w:rPr>
                <w:noProof/>
                <w:sz w:val="22"/>
                <w:szCs w:val="22"/>
              </w:rPr>
              <w:t>All compounds</w:t>
            </w:r>
          </w:p>
        </w:tc>
        <w:tc>
          <w:tcPr>
            <w:tcW w:w="485" w:type="pct"/>
            <w:tcBorders>
              <w:top w:val="single" w:sz="4" w:space="0" w:color="auto"/>
              <w:left w:val="nil"/>
              <w:bottom w:val="single" w:sz="4" w:space="0" w:color="auto"/>
              <w:right w:val="nil"/>
            </w:tcBorders>
            <w:vAlign w:val="center"/>
            <w:hideMark/>
          </w:tcPr>
          <w:p w14:paraId="6502F503"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2.3E-06</w:t>
            </w:r>
          </w:p>
        </w:tc>
        <w:tc>
          <w:tcPr>
            <w:tcW w:w="485" w:type="pct"/>
            <w:tcBorders>
              <w:top w:val="single" w:sz="4" w:space="0" w:color="auto"/>
              <w:left w:val="nil"/>
              <w:bottom w:val="single" w:sz="4" w:space="0" w:color="auto"/>
              <w:right w:val="nil"/>
            </w:tcBorders>
            <w:vAlign w:val="center"/>
            <w:hideMark/>
          </w:tcPr>
          <w:p w14:paraId="3D7E641C"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1.9E-07</w:t>
            </w:r>
          </w:p>
        </w:tc>
        <w:tc>
          <w:tcPr>
            <w:tcW w:w="485" w:type="pct"/>
            <w:tcBorders>
              <w:top w:val="single" w:sz="4" w:space="0" w:color="auto"/>
              <w:left w:val="nil"/>
              <w:bottom w:val="single" w:sz="4" w:space="0" w:color="auto"/>
              <w:right w:val="nil"/>
            </w:tcBorders>
            <w:vAlign w:val="center"/>
            <w:hideMark/>
          </w:tcPr>
          <w:p w14:paraId="34D34EDA"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9.8E-08</w:t>
            </w:r>
          </w:p>
        </w:tc>
        <w:tc>
          <w:tcPr>
            <w:tcW w:w="485" w:type="pct"/>
            <w:tcBorders>
              <w:top w:val="single" w:sz="4" w:space="0" w:color="auto"/>
              <w:left w:val="nil"/>
              <w:bottom w:val="single" w:sz="4" w:space="0" w:color="auto"/>
              <w:right w:val="nil"/>
            </w:tcBorders>
            <w:vAlign w:val="center"/>
            <w:hideMark/>
          </w:tcPr>
          <w:p w14:paraId="2984E261"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6.3E-08</w:t>
            </w:r>
          </w:p>
        </w:tc>
        <w:tc>
          <w:tcPr>
            <w:tcW w:w="485" w:type="pct"/>
            <w:tcBorders>
              <w:top w:val="single" w:sz="4" w:space="0" w:color="auto"/>
              <w:left w:val="nil"/>
              <w:bottom w:val="single" w:sz="4" w:space="0" w:color="auto"/>
              <w:right w:val="nil"/>
            </w:tcBorders>
            <w:vAlign w:val="center"/>
            <w:hideMark/>
          </w:tcPr>
          <w:p w14:paraId="69ED6D44"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4.9E-08</w:t>
            </w:r>
          </w:p>
        </w:tc>
        <w:tc>
          <w:tcPr>
            <w:tcW w:w="487" w:type="pct"/>
            <w:tcBorders>
              <w:top w:val="single" w:sz="4" w:space="0" w:color="auto"/>
              <w:left w:val="nil"/>
              <w:bottom w:val="single" w:sz="4" w:space="0" w:color="auto"/>
              <w:right w:val="nil"/>
            </w:tcBorders>
            <w:vAlign w:val="center"/>
            <w:hideMark/>
          </w:tcPr>
          <w:p w14:paraId="5485B539"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4.6E-08</w:t>
            </w:r>
          </w:p>
        </w:tc>
      </w:tr>
    </w:tbl>
    <w:p w14:paraId="25437C80" w14:textId="77777777" w:rsidR="00ED6D36" w:rsidRPr="00972C81" w:rsidRDefault="00ED6D36" w:rsidP="00ED6D36">
      <w:pPr>
        <w:pStyle w:val="ab"/>
        <w:rPr>
          <w:noProof/>
        </w:rPr>
      </w:pPr>
    </w:p>
    <w:p w14:paraId="758FBB9F" w14:textId="73A053F5" w:rsidR="00ED6D36" w:rsidRPr="00972C81" w:rsidRDefault="00ED6D36" w:rsidP="00ED6D36">
      <w:pPr>
        <w:pStyle w:val="ab"/>
        <w:rPr>
          <w:noProof/>
          <w:sz w:val="24"/>
          <w:szCs w:val="24"/>
        </w:rPr>
      </w:pPr>
      <w:r w:rsidRPr="00972C81">
        <w:rPr>
          <w:noProof/>
          <w:sz w:val="24"/>
          <w:szCs w:val="24"/>
        </w:rPr>
        <w:t>Table 24.5.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244</w:t>
      </w:r>
      <w:r w:rsidRPr="00972C81">
        <w:rPr>
          <w:noProof/>
          <w:sz w:val="24"/>
          <w:szCs w:val="24"/>
        </w:rPr>
        <w:t>Cm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ED6D36" w:rsidRPr="00A3213E" w14:paraId="0C731E97" w14:textId="77777777" w:rsidTr="000E00A3">
        <w:trPr>
          <w:trHeight w:val="340"/>
        </w:trPr>
        <w:tc>
          <w:tcPr>
            <w:tcW w:w="2087" w:type="pct"/>
            <w:vMerge w:val="restart"/>
            <w:tcBorders>
              <w:top w:val="single" w:sz="4" w:space="0" w:color="auto"/>
              <w:left w:val="nil"/>
              <w:bottom w:val="single" w:sz="4" w:space="0" w:color="auto"/>
              <w:right w:val="nil"/>
            </w:tcBorders>
            <w:vAlign w:val="bottom"/>
            <w:hideMark/>
          </w:tcPr>
          <w:p w14:paraId="12047606" w14:textId="77777777" w:rsidR="00084C42" w:rsidRPr="00C47F2F" w:rsidRDefault="00ED6D36">
            <w:pPr>
              <w:pStyle w:val="a5"/>
              <w:tabs>
                <w:tab w:val="clear" w:pos="4153"/>
                <w:tab w:val="clear" w:pos="8306"/>
              </w:tabs>
              <w:rPr>
                <w:noProof/>
                <w:sz w:val="22"/>
                <w:szCs w:val="22"/>
              </w:rPr>
            </w:pPr>
            <w:r w:rsidRPr="00C47F2F">
              <w:rPr>
                <w:noProof/>
                <w:sz w:val="22"/>
                <w:szCs w:val="22"/>
              </w:rPr>
              <w:t>Inhaled particulate materials</w:t>
            </w:r>
          </w:p>
          <w:p w14:paraId="2D09E42A" w14:textId="619DC392" w:rsidR="00ED6D36" w:rsidRPr="00084C42" w:rsidRDefault="00ED6D36" w:rsidP="00C47F2F">
            <w:pPr>
              <w:pStyle w:val="a5"/>
              <w:tabs>
                <w:tab w:val="clear" w:pos="4153"/>
                <w:tab w:val="clear" w:pos="8306"/>
              </w:tabs>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6F82EAB5" w14:textId="77777777" w:rsidR="00ED6D36" w:rsidRPr="00C47F2F" w:rsidRDefault="00ED6D36" w:rsidP="000E00A3">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ED6D36" w:rsidRPr="00972C81" w14:paraId="2E11CC74" w14:textId="77777777" w:rsidTr="000E00A3">
        <w:trPr>
          <w:trHeight w:val="340"/>
        </w:trPr>
        <w:tc>
          <w:tcPr>
            <w:tcW w:w="2087" w:type="pct"/>
            <w:vMerge/>
            <w:tcBorders>
              <w:top w:val="single" w:sz="4" w:space="0" w:color="auto"/>
              <w:left w:val="nil"/>
              <w:bottom w:val="single" w:sz="4" w:space="0" w:color="auto"/>
              <w:right w:val="nil"/>
            </w:tcBorders>
            <w:vAlign w:val="center"/>
            <w:hideMark/>
          </w:tcPr>
          <w:p w14:paraId="37692BA5" w14:textId="77777777" w:rsidR="00ED6D36" w:rsidRPr="00084C42" w:rsidRDefault="00ED6D36">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58BC39E6" w14:textId="3EFD6929" w:rsidR="00ED6D36" w:rsidRPr="00232741" w:rsidRDefault="00ED6D36" w:rsidP="000E00A3">
            <w:pPr>
              <w:pStyle w:val="TabFiglegends"/>
              <w:widowControl w:val="0"/>
              <w:jc w:val="left"/>
              <w:rPr>
                <w:noProof/>
                <w:szCs w:val="22"/>
                <w:lang w:eastAsia="ko-KR"/>
              </w:rPr>
            </w:pPr>
            <w:r w:rsidRPr="00C47F2F">
              <w:rPr>
                <w:noProof/>
                <w:szCs w:val="22"/>
                <w:lang w:eastAsia="en-US"/>
              </w:rPr>
              <w:t>3</w:t>
            </w:r>
            <w:r w:rsidR="00084C42">
              <w:rPr>
                <w:rFonts w:hint="eastAsia"/>
                <w:noProof/>
                <w:szCs w:val="22"/>
                <w:lang w:eastAsia="ko-KR"/>
              </w:rPr>
              <w:t xml:space="preserve"> </w:t>
            </w:r>
            <w:r w:rsidRPr="00C47F2F">
              <w:rPr>
                <w:noProof/>
                <w:szCs w:val="22"/>
                <w:lang w:eastAsia="en-US"/>
              </w:rPr>
              <w:t>m</w:t>
            </w:r>
            <w:r w:rsidR="000E00A3">
              <w:rPr>
                <w:rFonts w:hint="eastAsia"/>
                <w:noProof/>
                <w:szCs w:val="22"/>
                <w:lang w:eastAsia="ko-KR"/>
              </w:rPr>
              <w:t>o</w:t>
            </w:r>
          </w:p>
        </w:tc>
        <w:tc>
          <w:tcPr>
            <w:tcW w:w="485" w:type="pct"/>
            <w:tcBorders>
              <w:top w:val="single" w:sz="4" w:space="0" w:color="auto"/>
              <w:left w:val="nil"/>
              <w:bottom w:val="single" w:sz="4" w:space="0" w:color="auto"/>
              <w:right w:val="nil"/>
            </w:tcBorders>
            <w:vAlign w:val="center"/>
            <w:hideMark/>
          </w:tcPr>
          <w:p w14:paraId="4806080B" w14:textId="069B0443" w:rsidR="00ED6D36" w:rsidRPr="00C47F2F" w:rsidRDefault="00ED6D36" w:rsidP="000E00A3">
            <w:pPr>
              <w:jc w:val="left"/>
              <w:rPr>
                <w:noProof/>
                <w:sz w:val="22"/>
                <w:szCs w:val="22"/>
              </w:rPr>
            </w:pPr>
            <w:r w:rsidRPr="00C47F2F">
              <w:rPr>
                <w:noProof/>
                <w:sz w:val="22"/>
                <w:szCs w:val="22"/>
              </w:rPr>
              <w:t>1</w:t>
            </w:r>
            <w:r w:rsidR="00084C42">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2A6F5F85" w14:textId="319A484E" w:rsidR="00ED6D36" w:rsidRPr="00C47F2F" w:rsidRDefault="00ED6D36" w:rsidP="000E00A3">
            <w:pPr>
              <w:jc w:val="left"/>
              <w:rPr>
                <w:noProof/>
                <w:sz w:val="22"/>
                <w:szCs w:val="22"/>
              </w:rPr>
            </w:pPr>
            <w:r w:rsidRPr="00C47F2F">
              <w:rPr>
                <w:noProof/>
                <w:sz w:val="22"/>
                <w:szCs w:val="22"/>
              </w:rPr>
              <w:t>5</w:t>
            </w:r>
            <w:r w:rsidR="00084C42">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0DB03CC6" w14:textId="5B8C4FC4" w:rsidR="00ED6D36" w:rsidRPr="00C47F2F" w:rsidRDefault="00ED6D36" w:rsidP="000E00A3">
            <w:pPr>
              <w:jc w:val="left"/>
              <w:rPr>
                <w:noProof/>
                <w:sz w:val="22"/>
                <w:szCs w:val="22"/>
              </w:rPr>
            </w:pPr>
            <w:r w:rsidRPr="00C47F2F">
              <w:rPr>
                <w:noProof/>
                <w:sz w:val="22"/>
                <w:szCs w:val="22"/>
              </w:rPr>
              <w:t>10</w:t>
            </w:r>
            <w:r w:rsidR="00084C42">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D182809" w14:textId="0E612B94" w:rsidR="00ED6D36" w:rsidRPr="00C47F2F" w:rsidRDefault="00ED6D36" w:rsidP="000E00A3">
            <w:pPr>
              <w:jc w:val="left"/>
              <w:rPr>
                <w:noProof/>
                <w:sz w:val="22"/>
                <w:szCs w:val="22"/>
              </w:rPr>
            </w:pPr>
            <w:r w:rsidRPr="00C47F2F">
              <w:rPr>
                <w:noProof/>
                <w:sz w:val="22"/>
                <w:szCs w:val="22"/>
              </w:rPr>
              <w:t>15</w:t>
            </w:r>
            <w:r w:rsidR="00084C42">
              <w:rPr>
                <w:rFonts w:hint="eastAsia"/>
                <w:noProof/>
                <w:sz w:val="22"/>
                <w:szCs w:val="22"/>
                <w:lang w:eastAsia="ko-KR"/>
              </w:rPr>
              <w:t xml:space="preserve"> </w:t>
            </w:r>
            <w:r w:rsidRPr="00C47F2F">
              <w:rPr>
                <w:noProof/>
                <w:sz w:val="22"/>
                <w:szCs w:val="22"/>
              </w:rPr>
              <w:t>y</w:t>
            </w:r>
          </w:p>
        </w:tc>
        <w:tc>
          <w:tcPr>
            <w:tcW w:w="487" w:type="pct"/>
            <w:tcBorders>
              <w:top w:val="single" w:sz="4" w:space="0" w:color="auto"/>
              <w:left w:val="nil"/>
              <w:bottom w:val="single" w:sz="4" w:space="0" w:color="auto"/>
              <w:right w:val="nil"/>
            </w:tcBorders>
            <w:vAlign w:val="center"/>
            <w:hideMark/>
          </w:tcPr>
          <w:p w14:paraId="62C4AC45" w14:textId="77777777" w:rsidR="00ED6D36" w:rsidRPr="00C47F2F" w:rsidRDefault="00ED6D36" w:rsidP="000E00A3">
            <w:pPr>
              <w:jc w:val="left"/>
              <w:rPr>
                <w:noProof/>
                <w:sz w:val="22"/>
                <w:szCs w:val="22"/>
              </w:rPr>
            </w:pPr>
            <w:r w:rsidRPr="00C47F2F">
              <w:rPr>
                <w:noProof/>
                <w:sz w:val="22"/>
                <w:szCs w:val="22"/>
              </w:rPr>
              <w:t>Adult</w:t>
            </w:r>
          </w:p>
        </w:tc>
      </w:tr>
      <w:tr w:rsidR="00ED6D36" w:rsidRPr="00972C81" w14:paraId="2DE78866" w14:textId="77777777" w:rsidTr="000E00A3">
        <w:trPr>
          <w:trHeight w:val="340"/>
        </w:trPr>
        <w:tc>
          <w:tcPr>
            <w:tcW w:w="2087" w:type="pct"/>
            <w:tcBorders>
              <w:top w:val="single" w:sz="4" w:space="0" w:color="auto"/>
              <w:left w:val="nil"/>
              <w:bottom w:val="nil"/>
              <w:right w:val="nil"/>
            </w:tcBorders>
            <w:vAlign w:val="center"/>
            <w:hideMark/>
          </w:tcPr>
          <w:p w14:paraId="7BDD3B81" w14:textId="77777777" w:rsidR="00ED6D36" w:rsidRPr="00C47F2F" w:rsidRDefault="00ED6D36" w:rsidP="000E00A3">
            <w:pPr>
              <w:jc w:val="left"/>
              <w:rPr>
                <w:rFonts w:eastAsia="Times New Roman"/>
                <w:noProof/>
                <w:color w:val="000000"/>
                <w:sz w:val="22"/>
                <w:szCs w:val="22"/>
                <w:lang w:eastAsia="en-GB"/>
              </w:rPr>
            </w:pPr>
            <w:r w:rsidRPr="00C47F2F">
              <w:rPr>
                <w:rFonts w:eastAsia="Times New Roman"/>
                <w:noProof/>
                <w:color w:val="000000"/>
                <w:sz w:val="22"/>
                <w:szCs w:val="22"/>
                <w:lang w:eastAsia="en-GB"/>
              </w:rPr>
              <w:t>Curium oxide, nitrate and chloride</w:t>
            </w:r>
          </w:p>
        </w:tc>
        <w:tc>
          <w:tcPr>
            <w:tcW w:w="485" w:type="pct"/>
            <w:tcBorders>
              <w:top w:val="single" w:sz="4" w:space="0" w:color="auto"/>
              <w:left w:val="nil"/>
              <w:bottom w:val="nil"/>
              <w:right w:val="nil"/>
            </w:tcBorders>
            <w:vAlign w:val="center"/>
            <w:hideMark/>
          </w:tcPr>
          <w:p w14:paraId="7140BAFF"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4.4E-05</w:t>
            </w:r>
          </w:p>
        </w:tc>
        <w:tc>
          <w:tcPr>
            <w:tcW w:w="485" w:type="pct"/>
            <w:tcBorders>
              <w:top w:val="single" w:sz="4" w:space="0" w:color="auto"/>
              <w:left w:val="nil"/>
              <w:bottom w:val="nil"/>
              <w:right w:val="nil"/>
            </w:tcBorders>
            <w:vAlign w:val="center"/>
            <w:hideMark/>
          </w:tcPr>
          <w:p w14:paraId="5B52C1A5"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3.9E-05</w:t>
            </w:r>
          </w:p>
        </w:tc>
        <w:tc>
          <w:tcPr>
            <w:tcW w:w="485" w:type="pct"/>
            <w:tcBorders>
              <w:top w:val="single" w:sz="4" w:space="0" w:color="auto"/>
              <w:left w:val="nil"/>
              <w:bottom w:val="nil"/>
              <w:right w:val="nil"/>
            </w:tcBorders>
            <w:vAlign w:val="center"/>
            <w:hideMark/>
          </w:tcPr>
          <w:p w14:paraId="10DBBE45"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2.1E-05</w:t>
            </w:r>
          </w:p>
        </w:tc>
        <w:tc>
          <w:tcPr>
            <w:tcW w:w="485" w:type="pct"/>
            <w:tcBorders>
              <w:top w:val="single" w:sz="4" w:space="0" w:color="auto"/>
              <w:left w:val="nil"/>
              <w:bottom w:val="nil"/>
              <w:right w:val="nil"/>
            </w:tcBorders>
            <w:vAlign w:val="center"/>
            <w:hideMark/>
          </w:tcPr>
          <w:p w14:paraId="591F230C"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1.3E-05</w:t>
            </w:r>
          </w:p>
        </w:tc>
        <w:tc>
          <w:tcPr>
            <w:tcW w:w="485" w:type="pct"/>
            <w:tcBorders>
              <w:top w:val="single" w:sz="4" w:space="0" w:color="auto"/>
              <w:left w:val="nil"/>
              <w:bottom w:val="nil"/>
              <w:right w:val="nil"/>
            </w:tcBorders>
            <w:vAlign w:val="center"/>
            <w:hideMark/>
          </w:tcPr>
          <w:p w14:paraId="1A90763A"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1.2E-05</w:t>
            </w:r>
          </w:p>
        </w:tc>
        <w:tc>
          <w:tcPr>
            <w:tcW w:w="487" w:type="pct"/>
            <w:tcBorders>
              <w:top w:val="single" w:sz="4" w:space="0" w:color="auto"/>
              <w:left w:val="nil"/>
              <w:bottom w:val="nil"/>
              <w:right w:val="nil"/>
            </w:tcBorders>
            <w:vAlign w:val="center"/>
            <w:hideMark/>
          </w:tcPr>
          <w:p w14:paraId="33145401"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1.2E-05</w:t>
            </w:r>
          </w:p>
        </w:tc>
      </w:tr>
      <w:tr w:rsidR="00ED6D36" w:rsidRPr="00972C81" w14:paraId="3A970DCE" w14:textId="77777777" w:rsidTr="000E00A3">
        <w:trPr>
          <w:trHeight w:val="340"/>
        </w:trPr>
        <w:tc>
          <w:tcPr>
            <w:tcW w:w="2087" w:type="pct"/>
            <w:tcBorders>
              <w:top w:val="nil"/>
              <w:left w:val="nil"/>
              <w:bottom w:val="nil"/>
              <w:right w:val="nil"/>
            </w:tcBorders>
            <w:vAlign w:val="center"/>
            <w:hideMark/>
          </w:tcPr>
          <w:p w14:paraId="26688952" w14:textId="77777777" w:rsidR="00ED6D36" w:rsidRPr="00C47F2F" w:rsidRDefault="00ED6D36" w:rsidP="000E00A3">
            <w:pPr>
              <w:jc w:val="left"/>
              <w:rPr>
                <w:rFonts w:eastAsiaTheme="minorHAnsi"/>
                <w:noProof/>
                <w:color w:val="000000"/>
                <w:sz w:val="22"/>
                <w:szCs w:val="22"/>
              </w:rPr>
            </w:pPr>
            <w:r w:rsidRPr="00C47F2F">
              <w:rPr>
                <w:noProof/>
                <w:color w:val="000000"/>
                <w:sz w:val="22"/>
                <w:szCs w:val="22"/>
              </w:rPr>
              <w:t xml:space="preserve">Type F, </w:t>
            </w:r>
            <w:r w:rsidRPr="00C47F2F">
              <w:rPr>
                <w:rFonts w:eastAsia="Times New Roman"/>
                <w:noProof/>
                <w:color w:val="000000"/>
                <w:sz w:val="22"/>
                <w:szCs w:val="22"/>
                <w:lang w:eastAsia="en-GB"/>
              </w:rPr>
              <w:t>citrate</w:t>
            </w:r>
          </w:p>
        </w:tc>
        <w:tc>
          <w:tcPr>
            <w:tcW w:w="485" w:type="pct"/>
            <w:tcBorders>
              <w:top w:val="nil"/>
              <w:left w:val="nil"/>
              <w:bottom w:val="nil"/>
              <w:right w:val="nil"/>
            </w:tcBorders>
            <w:vAlign w:val="center"/>
            <w:hideMark/>
          </w:tcPr>
          <w:p w14:paraId="1368E795"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4.9E-05</w:t>
            </w:r>
          </w:p>
        </w:tc>
        <w:tc>
          <w:tcPr>
            <w:tcW w:w="485" w:type="pct"/>
            <w:tcBorders>
              <w:top w:val="nil"/>
              <w:left w:val="nil"/>
              <w:bottom w:val="nil"/>
              <w:right w:val="nil"/>
            </w:tcBorders>
            <w:vAlign w:val="center"/>
            <w:hideMark/>
          </w:tcPr>
          <w:p w14:paraId="3A88FBF9"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4.2E-05</w:t>
            </w:r>
          </w:p>
        </w:tc>
        <w:tc>
          <w:tcPr>
            <w:tcW w:w="485" w:type="pct"/>
            <w:tcBorders>
              <w:top w:val="nil"/>
              <w:left w:val="nil"/>
              <w:bottom w:val="nil"/>
              <w:right w:val="nil"/>
            </w:tcBorders>
            <w:vAlign w:val="center"/>
            <w:hideMark/>
          </w:tcPr>
          <w:p w14:paraId="343745D1"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2.3E-05</w:t>
            </w:r>
          </w:p>
        </w:tc>
        <w:tc>
          <w:tcPr>
            <w:tcW w:w="485" w:type="pct"/>
            <w:tcBorders>
              <w:top w:val="nil"/>
              <w:left w:val="nil"/>
              <w:bottom w:val="nil"/>
              <w:right w:val="nil"/>
            </w:tcBorders>
            <w:vAlign w:val="center"/>
            <w:hideMark/>
          </w:tcPr>
          <w:p w14:paraId="477E2BE8"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1.5E-05</w:t>
            </w:r>
          </w:p>
        </w:tc>
        <w:tc>
          <w:tcPr>
            <w:tcW w:w="485" w:type="pct"/>
            <w:tcBorders>
              <w:top w:val="nil"/>
              <w:left w:val="nil"/>
              <w:bottom w:val="nil"/>
              <w:right w:val="nil"/>
            </w:tcBorders>
            <w:vAlign w:val="center"/>
            <w:hideMark/>
          </w:tcPr>
          <w:p w14:paraId="4E6739F9"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1.3E-05</w:t>
            </w:r>
          </w:p>
        </w:tc>
        <w:tc>
          <w:tcPr>
            <w:tcW w:w="487" w:type="pct"/>
            <w:tcBorders>
              <w:top w:val="nil"/>
              <w:left w:val="nil"/>
              <w:bottom w:val="nil"/>
              <w:right w:val="nil"/>
            </w:tcBorders>
            <w:vAlign w:val="center"/>
            <w:hideMark/>
          </w:tcPr>
          <w:p w14:paraId="6927E55D"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1.3E-05</w:t>
            </w:r>
          </w:p>
        </w:tc>
      </w:tr>
      <w:tr w:rsidR="00ED6D36" w:rsidRPr="00972C81" w14:paraId="65880313" w14:textId="77777777" w:rsidTr="000E00A3">
        <w:trPr>
          <w:trHeight w:val="340"/>
        </w:trPr>
        <w:tc>
          <w:tcPr>
            <w:tcW w:w="2087" w:type="pct"/>
            <w:tcBorders>
              <w:top w:val="nil"/>
              <w:left w:val="nil"/>
              <w:bottom w:val="nil"/>
              <w:right w:val="nil"/>
            </w:tcBorders>
            <w:vAlign w:val="center"/>
            <w:hideMark/>
          </w:tcPr>
          <w:p w14:paraId="4FF97CB0" w14:textId="77777777" w:rsidR="00ED6D36" w:rsidRPr="00C47F2F" w:rsidRDefault="00ED6D36" w:rsidP="000E00A3">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vAlign w:val="center"/>
            <w:hideMark/>
          </w:tcPr>
          <w:p w14:paraId="31315883"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4.0E-05</w:t>
            </w:r>
          </w:p>
        </w:tc>
        <w:tc>
          <w:tcPr>
            <w:tcW w:w="485" w:type="pct"/>
            <w:tcBorders>
              <w:top w:val="nil"/>
              <w:left w:val="nil"/>
              <w:bottom w:val="nil"/>
              <w:right w:val="nil"/>
            </w:tcBorders>
            <w:vAlign w:val="center"/>
            <w:hideMark/>
          </w:tcPr>
          <w:p w14:paraId="4D1D54A2"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3.6E-05</w:t>
            </w:r>
          </w:p>
        </w:tc>
        <w:tc>
          <w:tcPr>
            <w:tcW w:w="485" w:type="pct"/>
            <w:tcBorders>
              <w:top w:val="nil"/>
              <w:left w:val="nil"/>
              <w:bottom w:val="nil"/>
              <w:right w:val="nil"/>
            </w:tcBorders>
            <w:vAlign w:val="center"/>
            <w:hideMark/>
          </w:tcPr>
          <w:p w14:paraId="7944A9C8"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2.0E-05</w:t>
            </w:r>
          </w:p>
        </w:tc>
        <w:tc>
          <w:tcPr>
            <w:tcW w:w="485" w:type="pct"/>
            <w:tcBorders>
              <w:top w:val="nil"/>
              <w:left w:val="nil"/>
              <w:bottom w:val="nil"/>
              <w:right w:val="nil"/>
            </w:tcBorders>
            <w:vAlign w:val="center"/>
            <w:hideMark/>
          </w:tcPr>
          <w:p w14:paraId="5A32632D"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1.3E-05</w:t>
            </w:r>
          </w:p>
        </w:tc>
        <w:tc>
          <w:tcPr>
            <w:tcW w:w="485" w:type="pct"/>
            <w:tcBorders>
              <w:top w:val="nil"/>
              <w:left w:val="nil"/>
              <w:bottom w:val="nil"/>
              <w:right w:val="nil"/>
            </w:tcBorders>
            <w:vAlign w:val="center"/>
            <w:hideMark/>
          </w:tcPr>
          <w:p w14:paraId="5A13A98F"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1.1E-05</w:t>
            </w:r>
          </w:p>
        </w:tc>
        <w:tc>
          <w:tcPr>
            <w:tcW w:w="487" w:type="pct"/>
            <w:tcBorders>
              <w:top w:val="nil"/>
              <w:left w:val="nil"/>
              <w:bottom w:val="nil"/>
              <w:right w:val="nil"/>
            </w:tcBorders>
            <w:vAlign w:val="center"/>
            <w:hideMark/>
          </w:tcPr>
          <w:p w14:paraId="3F5CC896"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1.1E-05</w:t>
            </w:r>
          </w:p>
        </w:tc>
      </w:tr>
      <w:tr w:rsidR="00ED6D36" w:rsidRPr="00972C81" w14:paraId="1AADF7B0" w14:textId="77777777" w:rsidTr="000E00A3">
        <w:trPr>
          <w:trHeight w:val="340"/>
        </w:trPr>
        <w:tc>
          <w:tcPr>
            <w:tcW w:w="2087" w:type="pct"/>
            <w:tcBorders>
              <w:top w:val="nil"/>
              <w:left w:val="nil"/>
              <w:bottom w:val="single" w:sz="4" w:space="0" w:color="auto"/>
              <w:right w:val="nil"/>
            </w:tcBorders>
            <w:vAlign w:val="center"/>
            <w:hideMark/>
          </w:tcPr>
          <w:p w14:paraId="2DEACEEA" w14:textId="77777777" w:rsidR="00ED6D36" w:rsidRPr="00C47F2F" w:rsidRDefault="00ED6D36" w:rsidP="000E00A3">
            <w:pPr>
              <w:jc w:val="left"/>
              <w:rPr>
                <w:rFonts w:eastAsiaTheme="minorHAnsi"/>
                <w:noProof/>
                <w:sz w:val="22"/>
                <w:szCs w:val="22"/>
              </w:rPr>
            </w:pPr>
            <w:r w:rsidRPr="00C47F2F">
              <w:rPr>
                <w:noProof/>
                <w:sz w:val="22"/>
                <w:szCs w:val="22"/>
              </w:rPr>
              <w:t>Type S</w:t>
            </w:r>
          </w:p>
        </w:tc>
        <w:tc>
          <w:tcPr>
            <w:tcW w:w="485" w:type="pct"/>
            <w:tcBorders>
              <w:top w:val="nil"/>
              <w:left w:val="nil"/>
              <w:bottom w:val="single" w:sz="4" w:space="0" w:color="auto"/>
              <w:right w:val="nil"/>
            </w:tcBorders>
            <w:vAlign w:val="center"/>
            <w:hideMark/>
          </w:tcPr>
          <w:p w14:paraId="2410A6C6"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5.2E-05</w:t>
            </w:r>
          </w:p>
        </w:tc>
        <w:tc>
          <w:tcPr>
            <w:tcW w:w="485" w:type="pct"/>
            <w:tcBorders>
              <w:top w:val="nil"/>
              <w:left w:val="nil"/>
              <w:bottom w:val="single" w:sz="4" w:space="0" w:color="auto"/>
              <w:right w:val="nil"/>
            </w:tcBorders>
            <w:vAlign w:val="center"/>
            <w:hideMark/>
          </w:tcPr>
          <w:p w14:paraId="2DDAC383"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5.0E-05</w:t>
            </w:r>
          </w:p>
        </w:tc>
        <w:tc>
          <w:tcPr>
            <w:tcW w:w="485" w:type="pct"/>
            <w:tcBorders>
              <w:top w:val="nil"/>
              <w:left w:val="nil"/>
              <w:bottom w:val="single" w:sz="4" w:space="0" w:color="auto"/>
              <w:right w:val="nil"/>
            </w:tcBorders>
            <w:vAlign w:val="center"/>
            <w:hideMark/>
          </w:tcPr>
          <w:p w14:paraId="3C8B3A4D"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3.3E-05</w:t>
            </w:r>
          </w:p>
        </w:tc>
        <w:tc>
          <w:tcPr>
            <w:tcW w:w="485" w:type="pct"/>
            <w:tcBorders>
              <w:top w:val="nil"/>
              <w:left w:val="nil"/>
              <w:bottom w:val="single" w:sz="4" w:space="0" w:color="auto"/>
              <w:right w:val="nil"/>
            </w:tcBorders>
            <w:vAlign w:val="center"/>
            <w:hideMark/>
          </w:tcPr>
          <w:p w14:paraId="44488147"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2.3E-05</w:t>
            </w:r>
          </w:p>
        </w:tc>
        <w:tc>
          <w:tcPr>
            <w:tcW w:w="485" w:type="pct"/>
            <w:tcBorders>
              <w:top w:val="nil"/>
              <w:left w:val="nil"/>
              <w:bottom w:val="single" w:sz="4" w:space="0" w:color="auto"/>
              <w:right w:val="nil"/>
            </w:tcBorders>
            <w:vAlign w:val="center"/>
            <w:hideMark/>
          </w:tcPr>
          <w:p w14:paraId="2C944A73"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2.1E-05</w:t>
            </w:r>
          </w:p>
        </w:tc>
        <w:tc>
          <w:tcPr>
            <w:tcW w:w="487" w:type="pct"/>
            <w:tcBorders>
              <w:top w:val="nil"/>
              <w:left w:val="nil"/>
              <w:bottom w:val="single" w:sz="4" w:space="0" w:color="auto"/>
              <w:right w:val="nil"/>
            </w:tcBorders>
            <w:vAlign w:val="center"/>
            <w:hideMark/>
          </w:tcPr>
          <w:p w14:paraId="4FF8E675"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2.1E-05</w:t>
            </w:r>
          </w:p>
        </w:tc>
      </w:tr>
      <w:tr w:rsidR="00ED6D36" w:rsidRPr="00972C81" w14:paraId="7479BC0B" w14:textId="77777777" w:rsidTr="000E00A3">
        <w:trPr>
          <w:trHeight w:val="340"/>
        </w:trPr>
        <w:tc>
          <w:tcPr>
            <w:tcW w:w="2087" w:type="pct"/>
            <w:tcBorders>
              <w:top w:val="single" w:sz="4" w:space="0" w:color="auto"/>
              <w:left w:val="nil"/>
              <w:bottom w:val="single" w:sz="4" w:space="0" w:color="auto"/>
              <w:right w:val="nil"/>
            </w:tcBorders>
          </w:tcPr>
          <w:p w14:paraId="1F03E4F8" w14:textId="77777777" w:rsidR="00ED6D36" w:rsidRPr="00C47F2F" w:rsidRDefault="00ED6D36" w:rsidP="00C47F2F">
            <w:pPr>
              <w:jc w:val="left"/>
              <w:rPr>
                <w:rFonts w:eastAsiaTheme="minorHAnsi"/>
                <w:noProof/>
                <w:sz w:val="22"/>
                <w:szCs w:val="22"/>
              </w:rPr>
            </w:pPr>
          </w:p>
          <w:p w14:paraId="7373C340" w14:textId="77777777" w:rsidR="00ED6D36" w:rsidRPr="00C47F2F" w:rsidRDefault="00ED6D36"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3B166131"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649B60DA"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7DF730C"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124D63C3"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DF8DF7F" w14:textId="77777777" w:rsidR="00ED6D36" w:rsidRPr="00C47F2F" w:rsidRDefault="00ED6D36" w:rsidP="00C47F2F">
            <w:pPr>
              <w:jc w:val="left"/>
              <w:rPr>
                <w:rFonts w:eastAsia="Times New Roman"/>
                <w:noProof/>
                <w:color w:val="000000"/>
                <w:sz w:val="22"/>
                <w:szCs w:val="22"/>
              </w:rPr>
            </w:pPr>
          </w:p>
        </w:tc>
        <w:tc>
          <w:tcPr>
            <w:tcW w:w="487" w:type="pct"/>
            <w:tcBorders>
              <w:top w:val="single" w:sz="4" w:space="0" w:color="auto"/>
              <w:left w:val="nil"/>
              <w:bottom w:val="single" w:sz="4" w:space="0" w:color="auto"/>
              <w:right w:val="nil"/>
            </w:tcBorders>
          </w:tcPr>
          <w:p w14:paraId="0FA2D2B2" w14:textId="77777777" w:rsidR="00ED6D36" w:rsidRPr="00C47F2F" w:rsidRDefault="00ED6D36" w:rsidP="00C47F2F">
            <w:pPr>
              <w:jc w:val="left"/>
              <w:rPr>
                <w:rFonts w:eastAsia="Times New Roman"/>
                <w:noProof/>
                <w:color w:val="000000"/>
                <w:sz w:val="22"/>
                <w:szCs w:val="22"/>
              </w:rPr>
            </w:pPr>
          </w:p>
        </w:tc>
      </w:tr>
      <w:tr w:rsidR="00ED6D36" w:rsidRPr="00972C81" w14:paraId="5CE1DA58" w14:textId="77777777" w:rsidTr="000E00A3">
        <w:trPr>
          <w:trHeight w:val="340"/>
        </w:trPr>
        <w:tc>
          <w:tcPr>
            <w:tcW w:w="2087" w:type="pct"/>
            <w:tcBorders>
              <w:top w:val="single" w:sz="4" w:space="0" w:color="auto"/>
              <w:left w:val="nil"/>
              <w:bottom w:val="single" w:sz="4" w:space="0" w:color="auto"/>
              <w:right w:val="nil"/>
            </w:tcBorders>
            <w:vAlign w:val="center"/>
            <w:hideMark/>
          </w:tcPr>
          <w:p w14:paraId="7D2FF9D6" w14:textId="77777777" w:rsidR="00ED6D36" w:rsidRPr="00C47F2F" w:rsidRDefault="00ED6D36" w:rsidP="000E00A3">
            <w:pPr>
              <w:jc w:val="left"/>
              <w:rPr>
                <w:rFonts w:eastAsiaTheme="minorHAnsi"/>
                <w:noProof/>
                <w:sz w:val="22"/>
                <w:szCs w:val="22"/>
              </w:rPr>
            </w:pPr>
            <w:r w:rsidRPr="00C47F2F">
              <w:rPr>
                <w:noProof/>
                <w:sz w:val="22"/>
                <w:szCs w:val="22"/>
              </w:rPr>
              <w:t>All compounds</w:t>
            </w:r>
          </w:p>
        </w:tc>
        <w:tc>
          <w:tcPr>
            <w:tcW w:w="485" w:type="pct"/>
            <w:tcBorders>
              <w:top w:val="single" w:sz="4" w:space="0" w:color="auto"/>
              <w:left w:val="nil"/>
              <w:bottom w:val="single" w:sz="4" w:space="0" w:color="auto"/>
              <w:right w:val="nil"/>
            </w:tcBorders>
            <w:vAlign w:val="center"/>
            <w:hideMark/>
          </w:tcPr>
          <w:p w14:paraId="34909315"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2.1E-06</w:t>
            </w:r>
          </w:p>
        </w:tc>
        <w:tc>
          <w:tcPr>
            <w:tcW w:w="485" w:type="pct"/>
            <w:tcBorders>
              <w:top w:val="single" w:sz="4" w:space="0" w:color="auto"/>
              <w:left w:val="nil"/>
              <w:bottom w:val="single" w:sz="4" w:space="0" w:color="auto"/>
              <w:right w:val="nil"/>
            </w:tcBorders>
            <w:vAlign w:val="center"/>
            <w:hideMark/>
          </w:tcPr>
          <w:p w14:paraId="29676EB6"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1.7E-07</w:t>
            </w:r>
          </w:p>
        </w:tc>
        <w:tc>
          <w:tcPr>
            <w:tcW w:w="485" w:type="pct"/>
            <w:tcBorders>
              <w:top w:val="single" w:sz="4" w:space="0" w:color="auto"/>
              <w:left w:val="nil"/>
              <w:bottom w:val="single" w:sz="4" w:space="0" w:color="auto"/>
              <w:right w:val="nil"/>
            </w:tcBorders>
            <w:vAlign w:val="center"/>
            <w:hideMark/>
          </w:tcPr>
          <w:p w14:paraId="000F0D0B"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8.7E-08</w:t>
            </w:r>
          </w:p>
        </w:tc>
        <w:tc>
          <w:tcPr>
            <w:tcW w:w="485" w:type="pct"/>
            <w:tcBorders>
              <w:top w:val="single" w:sz="4" w:space="0" w:color="auto"/>
              <w:left w:val="nil"/>
              <w:bottom w:val="single" w:sz="4" w:space="0" w:color="auto"/>
              <w:right w:val="nil"/>
            </w:tcBorders>
            <w:vAlign w:val="center"/>
            <w:hideMark/>
          </w:tcPr>
          <w:p w14:paraId="5C741910"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5.4E-08</w:t>
            </w:r>
          </w:p>
        </w:tc>
        <w:tc>
          <w:tcPr>
            <w:tcW w:w="485" w:type="pct"/>
            <w:tcBorders>
              <w:top w:val="single" w:sz="4" w:space="0" w:color="auto"/>
              <w:left w:val="nil"/>
              <w:bottom w:val="single" w:sz="4" w:space="0" w:color="auto"/>
              <w:right w:val="nil"/>
            </w:tcBorders>
            <w:vAlign w:val="center"/>
            <w:hideMark/>
          </w:tcPr>
          <w:p w14:paraId="6CF2723F"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4.2E-08</w:t>
            </w:r>
          </w:p>
        </w:tc>
        <w:tc>
          <w:tcPr>
            <w:tcW w:w="487" w:type="pct"/>
            <w:tcBorders>
              <w:top w:val="single" w:sz="4" w:space="0" w:color="auto"/>
              <w:left w:val="nil"/>
              <w:bottom w:val="single" w:sz="4" w:space="0" w:color="auto"/>
              <w:right w:val="nil"/>
            </w:tcBorders>
            <w:vAlign w:val="center"/>
            <w:hideMark/>
          </w:tcPr>
          <w:p w14:paraId="2C15D6E5"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3.9E-08</w:t>
            </w:r>
          </w:p>
        </w:tc>
      </w:tr>
    </w:tbl>
    <w:p w14:paraId="13F17C54" w14:textId="6ECF6430" w:rsidR="00D4443E" w:rsidRPr="00972C81" w:rsidRDefault="00D4443E" w:rsidP="00ED6D36">
      <w:pPr>
        <w:pStyle w:val="ab"/>
        <w:rPr>
          <w:noProof/>
        </w:rPr>
      </w:pPr>
      <w:r w:rsidRPr="00972C81">
        <w:rPr>
          <w:noProof/>
        </w:rPr>
        <w:br w:type="page"/>
      </w:r>
    </w:p>
    <w:p w14:paraId="48996D4B" w14:textId="77777777" w:rsidR="007D1F4D" w:rsidRPr="00972C81" w:rsidRDefault="00DC407D" w:rsidP="00E81109">
      <w:pPr>
        <w:pStyle w:val="1"/>
        <w:rPr>
          <w:noProof/>
        </w:rPr>
      </w:pPr>
      <w:bookmarkStart w:id="366" w:name="_Toc455492678"/>
      <w:bookmarkStart w:id="367" w:name="_Toc455493107"/>
      <w:bookmarkStart w:id="368" w:name="_Toc162630121"/>
      <w:r w:rsidRPr="00972C81">
        <w:rPr>
          <w:noProof/>
        </w:rPr>
        <w:lastRenderedPageBreak/>
        <w:t>Berkelium (Z=97)</w:t>
      </w:r>
      <w:bookmarkEnd w:id="366"/>
      <w:bookmarkEnd w:id="367"/>
      <w:bookmarkEnd w:id="368"/>
    </w:p>
    <w:p w14:paraId="215A9473" w14:textId="6AC50E8D" w:rsidR="00CC7147" w:rsidRPr="00972C81" w:rsidRDefault="00CC7147" w:rsidP="00E81109">
      <w:pPr>
        <w:pStyle w:val="2"/>
        <w:rPr>
          <w:noProof/>
          <w:lang w:val="en-GB"/>
        </w:rPr>
      </w:pPr>
      <w:bookmarkStart w:id="369" w:name="_Toc17467972"/>
      <w:bookmarkStart w:id="370" w:name="_Toc455492680"/>
      <w:bookmarkStart w:id="371" w:name="_Toc455493109"/>
      <w:bookmarkStart w:id="372" w:name="_Toc162630122"/>
      <w:bookmarkEnd w:id="369"/>
      <w:r w:rsidRPr="00972C81">
        <w:rPr>
          <w:noProof/>
          <w:lang w:val="en-GB"/>
        </w:rPr>
        <w:t>Routes of Intake</w:t>
      </w:r>
      <w:bookmarkEnd w:id="370"/>
      <w:bookmarkEnd w:id="371"/>
      <w:bookmarkEnd w:id="372"/>
    </w:p>
    <w:p w14:paraId="620EF391" w14:textId="77777777" w:rsidR="00CC7147" w:rsidRPr="00972C81" w:rsidRDefault="00CC7147" w:rsidP="006F56F9">
      <w:pPr>
        <w:pStyle w:val="3"/>
        <w:rPr>
          <w:noProof/>
        </w:rPr>
      </w:pPr>
      <w:bookmarkStart w:id="373" w:name="_Toc162630123"/>
      <w:r w:rsidRPr="00972C81">
        <w:rPr>
          <w:noProof/>
        </w:rPr>
        <w:t>Inhalation</w:t>
      </w:r>
      <w:bookmarkEnd w:id="373"/>
    </w:p>
    <w:p w14:paraId="78647896" w14:textId="2E6F291B" w:rsidR="00CC7147" w:rsidRPr="00972C81" w:rsidRDefault="00CC7147" w:rsidP="001C4A92">
      <w:pPr>
        <w:pStyle w:val="Annalstext"/>
        <w:rPr>
          <w:rFonts w:ascii="Times Roman" w:hAnsi="Times Roman"/>
          <w:noProof/>
        </w:rPr>
      </w:pPr>
      <w:r w:rsidRPr="00972C81">
        <w:rPr>
          <w:noProof/>
        </w:rPr>
        <w:t xml:space="preserve">Limited information is available on the biokinetics of inhaled berkelium </w:t>
      </w:r>
      <w:r w:rsidR="001E3A9E" w:rsidRPr="00972C81">
        <w:rPr>
          <w:noProof/>
        </w:rPr>
        <w:t xml:space="preserve">from </w:t>
      </w:r>
      <w:r w:rsidRPr="00972C81">
        <w:rPr>
          <w:noProof/>
        </w:rPr>
        <w:t xml:space="preserve">an occupational contamination case. </w:t>
      </w:r>
      <w:r w:rsidR="006F3DE7" w:rsidRPr="00972C81">
        <w:rPr>
          <w:noProof/>
        </w:rPr>
        <w:t xml:space="preserve">For details, see Section 25 of </w:t>
      </w:r>
      <w:r w:rsidR="00D4443E" w:rsidRPr="00972C81">
        <w:rPr>
          <w:i/>
          <w:noProof/>
        </w:rPr>
        <w:t>Publication 141</w:t>
      </w:r>
      <w:r w:rsidR="00D4443E" w:rsidRPr="00972C81">
        <w:rPr>
          <w:noProof/>
        </w:rPr>
        <w:t xml:space="preserve"> </w:t>
      </w:r>
      <w:r w:rsidR="001E1A51" w:rsidRPr="00972C81">
        <w:rPr>
          <w:noProof/>
        </w:rPr>
        <w:fldChar w:fldCharType="begin"/>
      </w:r>
      <w:r w:rsidR="00F4369C" w:rsidRPr="00972C81">
        <w:rPr>
          <w:noProof/>
        </w:rPr>
        <w:instrText xml:space="preserve"> ADDIN ZOTERO_ITEM CSL_CITATION {"citationID":"acc23nglnp","properties":{"formattedCitation":"(ICRP,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1E1A51" w:rsidRPr="00972C81">
        <w:rPr>
          <w:noProof/>
        </w:rPr>
        <w:fldChar w:fldCharType="separate"/>
      </w:r>
      <w:r w:rsidR="00F4369C" w:rsidRPr="00972C81">
        <w:rPr>
          <w:noProof/>
          <w:szCs w:val="24"/>
        </w:rPr>
        <w:t>(ICRP, 2019)</w:t>
      </w:r>
      <w:r w:rsidR="001E1A51" w:rsidRPr="00972C81">
        <w:rPr>
          <w:noProof/>
        </w:rPr>
        <w:fldChar w:fldCharType="end"/>
      </w:r>
      <w:r w:rsidR="006F3DE7" w:rsidRPr="00972C81">
        <w:rPr>
          <w:noProof/>
        </w:rPr>
        <w:t>.</w:t>
      </w:r>
      <w:r w:rsidR="00AF3127" w:rsidRPr="00972C81">
        <w:rPr>
          <w:noProof/>
        </w:rPr>
        <w:t xml:space="preserve"> </w:t>
      </w:r>
      <w:r w:rsidRPr="00972C81">
        <w:rPr>
          <w:noProof/>
        </w:rPr>
        <w:t xml:space="preserve">As described </w:t>
      </w:r>
      <w:r w:rsidR="006F3DE7" w:rsidRPr="00972C81">
        <w:rPr>
          <w:noProof/>
        </w:rPr>
        <w:t xml:space="preserve">in </w:t>
      </w:r>
      <w:r w:rsidR="006F3DE7" w:rsidRPr="00972C81">
        <w:rPr>
          <w:noProof/>
          <w:color w:val="000000" w:themeColor="text1"/>
        </w:rPr>
        <w:t xml:space="preserve">Section 18 of </w:t>
      </w:r>
      <w:r w:rsidR="00D4443E" w:rsidRPr="00972C81">
        <w:rPr>
          <w:i/>
          <w:noProof/>
        </w:rPr>
        <w:t>Publication 141</w:t>
      </w:r>
      <w:r w:rsidR="006F3DE7" w:rsidRPr="00972C81">
        <w:rPr>
          <w:noProof/>
          <w:color w:val="000000" w:themeColor="text1"/>
        </w:rPr>
        <w:t xml:space="preserve">, </w:t>
      </w:r>
      <w:r w:rsidRPr="00972C81">
        <w:rPr>
          <w:noProof/>
        </w:rPr>
        <w:t>the general actinide section, absorption parameter values based on plutonium (</w:t>
      </w:r>
      <w:r w:rsidRPr="00972C81">
        <w:rPr>
          <w:i/>
          <w:noProof/>
        </w:rPr>
        <w:t>s</w:t>
      </w:r>
      <w:r w:rsidRPr="00972C81">
        <w:rPr>
          <w:noProof/>
          <w:vertAlign w:val="subscript"/>
        </w:rPr>
        <w:t>r</w:t>
      </w:r>
      <w:r w:rsidRPr="00972C81">
        <w:rPr>
          <w:noProof/>
        </w:rPr>
        <w:t xml:space="preserve"> = 0.4 d</w:t>
      </w:r>
      <w:r w:rsidRPr="00972C81">
        <w:rPr>
          <w:noProof/>
          <w:vertAlign w:val="superscript"/>
        </w:rPr>
        <w:t>–1</w:t>
      </w:r>
      <w:r w:rsidRPr="00972C81">
        <w:rPr>
          <w:noProof/>
        </w:rPr>
        <w:t xml:space="preserve">; </w:t>
      </w:r>
      <w:r w:rsidRPr="00972C81">
        <w:rPr>
          <w:i/>
          <w:noProof/>
        </w:rPr>
        <w:t>f</w:t>
      </w:r>
      <w:r w:rsidRPr="00972C81">
        <w:rPr>
          <w:noProof/>
          <w:vertAlign w:val="subscript"/>
        </w:rPr>
        <w:t>b</w:t>
      </w:r>
      <w:r w:rsidRPr="00972C81">
        <w:rPr>
          <w:noProof/>
        </w:rPr>
        <w:t xml:space="preserve"> =</w:t>
      </w:r>
      <w:r w:rsidRPr="00972C81">
        <w:rPr>
          <w:noProof/>
          <w:vertAlign w:val="subscript"/>
        </w:rPr>
        <w:t xml:space="preserve"> </w:t>
      </w:r>
      <w:r w:rsidRPr="00972C81">
        <w:rPr>
          <w:noProof/>
        </w:rPr>
        <w:t xml:space="preserve">0.002; </w:t>
      </w:r>
      <w:r w:rsidRPr="00972C81">
        <w:rPr>
          <w:i/>
          <w:noProof/>
        </w:rPr>
        <w:t>s</w:t>
      </w:r>
      <w:r w:rsidRPr="00972C81">
        <w:rPr>
          <w:noProof/>
          <w:vertAlign w:val="subscript"/>
        </w:rPr>
        <w:t>b</w:t>
      </w:r>
      <w:r w:rsidRPr="00972C81">
        <w:rPr>
          <w:noProof/>
        </w:rPr>
        <w:t xml:space="preserve"> = 0 </w:t>
      </w:r>
      <w:r w:rsidRPr="00972C81">
        <w:rPr>
          <w:noProof/>
          <w:color w:val="000000" w:themeColor="text1"/>
        </w:rPr>
        <w:t>d</w:t>
      </w:r>
      <w:r w:rsidRPr="00972C81">
        <w:rPr>
          <w:noProof/>
          <w:color w:val="000000" w:themeColor="text1"/>
          <w:vertAlign w:val="superscript"/>
        </w:rPr>
        <w:t>–1</w:t>
      </w:r>
      <w:r w:rsidRPr="00972C81">
        <w:rPr>
          <w:noProof/>
        </w:rPr>
        <w:t xml:space="preserve">) are applied in </w:t>
      </w:r>
      <w:r w:rsidR="006F3DE7" w:rsidRPr="00972C81">
        <w:rPr>
          <w:noProof/>
        </w:rPr>
        <w:t xml:space="preserve">that </w:t>
      </w:r>
      <w:r w:rsidRPr="00972C81">
        <w:rPr>
          <w:noProof/>
        </w:rPr>
        <w:t xml:space="preserve">document </w:t>
      </w:r>
      <w:r w:rsidR="006F3DE7" w:rsidRPr="00972C81">
        <w:rPr>
          <w:noProof/>
        </w:rPr>
        <w:t xml:space="preserve">(and hence also in this document) </w:t>
      </w:r>
      <w:r w:rsidRPr="00972C81">
        <w:rPr>
          <w:noProof/>
        </w:rPr>
        <w:t>to the transplutonium elements</w:t>
      </w:r>
      <w:r w:rsidRPr="00972C81">
        <w:rPr>
          <w:noProof/>
          <w:color w:val="000000" w:themeColor="text1"/>
        </w:rPr>
        <w:t xml:space="preserve"> for radiation protection purposes</w:t>
      </w:r>
      <w:r w:rsidRPr="00972C81">
        <w:rPr>
          <w:noProof/>
        </w:rPr>
        <w:t xml:space="preserve">. Absorption parameter values and Types, and associated </w:t>
      </w:r>
      <w:r w:rsidRPr="00972C81">
        <w:rPr>
          <w:i/>
          <w:noProof/>
        </w:rPr>
        <w:t>f</w:t>
      </w:r>
      <w:r w:rsidRPr="00972C81">
        <w:rPr>
          <w:noProof/>
          <w:vertAlign w:val="subscript"/>
        </w:rPr>
        <w:t>A</w:t>
      </w:r>
      <w:r w:rsidRPr="00972C81">
        <w:rPr>
          <w:noProof/>
        </w:rPr>
        <w:t xml:space="preserve"> values for particulate forms of berkelium, are given in </w:t>
      </w:r>
      <w:r w:rsidR="001E1A51" w:rsidRPr="00972C81">
        <w:rPr>
          <w:noProof/>
        </w:rPr>
        <w:fldChar w:fldCharType="begin"/>
      </w:r>
      <w:r w:rsidR="001E1A51" w:rsidRPr="00972C81">
        <w:rPr>
          <w:noProof/>
        </w:rPr>
        <w:instrText xml:space="preserve"> REF _Ref147415143 \h </w:instrText>
      </w:r>
      <w:r w:rsidR="001E1A51" w:rsidRPr="00972C81">
        <w:rPr>
          <w:noProof/>
        </w:rPr>
      </w:r>
      <w:r w:rsidR="001E1A51" w:rsidRPr="00972C81">
        <w:rPr>
          <w:noProof/>
        </w:rPr>
        <w:fldChar w:fldCharType="separate"/>
      </w:r>
      <w:r w:rsidR="00A41AD1" w:rsidRPr="00972C81">
        <w:rPr>
          <w:noProof/>
        </w:rPr>
        <w:t xml:space="preserve">Table </w:t>
      </w:r>
      <w:r w:rsidR="00A41AD1">
        <w:rPr>
          <w:noProof/>
        </w:rPr>
        <w:t>25</w:t>
      </w:r>
      <w:r w:rsidR="00A41AD1" w:rsidRPr="00972C81">
        <w:rPr>
          <w:noProof/>
        </w:rPr>
        <w:t>.</w:t>
      </w:r>
      <w:r w:rsidR="00A41AD1">
        <w:rPr>
          <w:noProof/>
        </w:rPr>
        <w:t>1</w:t>
      </w:r>
      <w:r w:rsidR="001E1A51" w:rsidRPr="00972C81">
        <w:rPr>
          <w:noProof/>
        </w:rPr>
        <w:fldChar w:fldCharType="end"/>
      </w:r>
      <w:r w:rsidR="006C29E4" w:rsidRPr="00972C81">
        <w:rPr>
          <w:noProof/>
        </w:rPr>
        <w:t xml:space="preserve"> (taken from Section 25 of </w:t>
      </w:r>
      <w:r w:rsidR="00D4443E" w:rsidRPr="00972C81">
        <w:rPr>
          <w:i/>
          <w:noProof/>
        </w:rPr>
        <w:t>Publication 141</w:t>
      </w:r>
      <w:r w:rsidR="00D4443E" w:rsidRPr="00972C81">
        <w:rPr>
          <w:noProof/>
        </w:rPr>
        <w:t>).</w:t>
      </w:r>
    </w:p>
    <w:p w14:paraId="740066AC" w14:textId="77777777" w:rsidR="00096DF7" w:rsidRPr="00972C81" w:rsidRDefault="00096DF7" w:rsidP="00E81109">
      <w:pPr>
        <w:rPr>
          <w:rFonts w:ascii="Times Roman" w:hAnsi="Times Roman"/>
          <w:noProof/>
        </w:rPr>
      </w:pPr>
    </w:p>
    <w:p w14:paraId="4E6FBA16" w14:textId="06848866" w:rsidR="001E3A9E" w:rsidRPr="00C47F2F" w:rsidRDefault="001E1A51" w:rsidP="00E81109">
      <w:pPr>
        <w:pStyle w:val="ab"/>
        <w:rPr>
          <w:noProof/>
          <w:sz w:val="24"/>
          <w:szCs w:val="24"/>
        </w:rPr>
      </w:pPr>
      <w:bookmarkStart w:id="374" w:name="_Ref147415143"/>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25</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1</w:t>
      </w:r>
      <w:r w:rsidR="00EA3750" w:rsidRPr="00C47F2F">
        <w:rPr>
          <w:noProof/>
          <w:sz w:val="24"/>
          <w:szCs w:val="24"/>
        </w:rPr>
        <w:fldChar w:fldCharType="end"/>
      </w:r>
      <w:bookmarkEnd w:id="374"/>
      <w:r w:rsidRPr="00C47F2F">
        <w:rPr>
          <w:noProof/>
          <w:sz w:val="24"/>
          <w:szCs w:val="24"/>
        </w:rPr>
        <w:t>.</w:t>
      </w:r>
      <w:r w:rsidR="00096DF7" w:rsidRPr="00C47F2F">
        <w:rPr>
          <w:noProof/>
          <w:sz w:val="24"/>
          <w:szCs w:val="24"/>
        </w:rPr>
        <w:t xml:space="preserve"> Absorption parameter values for inhaled and ingested berkelium</w:t>
      </w:r>
      <w:r w:rsidR="00572B5F" w:rsidRPr="00C47F2F">
        <w:rPr>
          <w:noProof/>
          <w:sz w:val="24"/>
          <w:szCs w:val="24"/>
        </w:rPr>
        <w:t>.</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980"/>
        <w:gridCol w:w="1173"/>
        <w:gridCol w:w="811"/>
        <w:gridCol w:w="363"/>
        <w:gridCol w:w="661"/>
        <w:gridCol w:w="513"/>
        <w:gridCol w:w="511"/>
        <w:gridCol w:w="663"/>
        <w:gridCol w:w="366"/>
        <w:gridCol w:w="807"/>
        <w:gridCol w:w="1179"/>
      </w:tblGrid>
      <w:tr w:rsidR="001E3A9E" w:rsidRPr="00972C81" w14:paraId="65291A64" w14:textId="77777777" w:rsidTr="000E00A3">
        <w:trPr>
          <w:cantSplit/>
          <w:trHeight w:val="340"/>
        </w:trPr>
        <w:tc>
          <w:tcPr>
            <w:tcW w:w="2196" w:type="pct"/>
            <w:gridSpan w:val="3"/>
            <w:vMerge w:val="restart"/>
            <w:tcBorders>
              <w:top w:val="single" w:sz="4" w:space="0" w:color="auto"/>
              <w:left w:val="nil"/>
              <w:bottom w:val="single" w:sz="4" w:space="0" w:color="auto"/>
              <w:right w:val="nil"/>
            </w:tcBorders>
            <w:vAlign w:val="bottom"/>
            <w:hideMark/>
          </w:tcPr>
          <w:p w14:paraId="2F42C385" w14:textId="77777777" w:rsidR="001E3A9E" w:rsidRPr="00F9134C" w:rsidRDefault="001E3A9E" w:rsidP="00E81109">
            <w:pPr>
              <w:pStyle w:val="Table"/>
              <w:rPr>
                <w:noProof/>
                <w:szCs w:val="22"/>
              </w:rPr>
            </w:pPr>
            <w:r w:rsidRPr="00F9134C">
              <w:rPr>
                <w:noProof/>
                <w:szCs w:val="22"/>
              </w:rPr>
              <w:t>Inhaled particulate materials</w:t>
            </w:r>
          </w:p>
        </w:tc>
        <w:tc>
          <w:tcPr>
            <w:tcW w:w="1704" w:type="pct"/>
            <w:gridSpan w:val="6"/>
            <w:tcBorders>
              <w:top w:val="single" w:sz="4" w:space="0" w:color="auto"/>
              <w:left w:val="nil"/>
              <w:bottom w:val="single" w:sz="4" w:space="0" w:color="auto"/>
              <w:right w:val="nil"/>
            </w:tcBorders>
            <w:vAlign w:val="center"/>
            <w:hideMark/>
          </w:tcPr>
          <w:p w14:paraId="2F53A3E1" w14:textId="4444B684" w:rsidR="001E3A9E" w:rsidRPr="00F9134C" w:rsidRDefault="001E3A9E" w:rsidP="000E00A3">
            <w:pPr>
              <w:pStyle w:val="Table"/>
              <w:jc w:val="center"/>
              <w:rPr>
                <w:noProof/>
                <w:szCs w:val="22"/>
                <w:vertAlign w:val="superscript"/>
              </w:rPr>
            </w:pPr>
            <w:r w:rsidRPr="00F9134C">
              <w:rPr>
                <w:noProof/>
                <w:szCs w:val="22"/>
              </w:rPr>
              <w:t>Absorption parameter values</w:t>
            </w:r>
            <w:r w:rsidR="001E1A51" w:rsidRPr="00F9134C">
              <w:rPr>
                <w:noProof/>
                <w:szCs w:val="22"/>
                <w:vertAlign w:val="superscript"/>
              </w:rPr>
              <w:t>*</w:t>
            </w:r>
          </w:p>
        </w:tc>
        <w:tc>
          <w:tcPr>
            <w:tcW w:w="1100" w:type="pct"/>
            <w:gridSpan w:val="2"/>
            <w:vMerge w:val="restart"/>
            <w:tcBorders>
              <w:top w:val="single" w:sz="4" w:space="0" w:color="auto"/>
              <w:left w:val="nil"/>
              <w:bottom w:val="single" w:sz="4" w:space="0" w:color="auto"/>
              <w:right w:val="nil"/>
            </w:tcBorders>
            <w:vAlign w:val="center"/>
            <w:hideMark/>
          </w:tcPr>
          <w:p w14:paraId="36C2AB0E" w14:textId="6BA71C5F" w:rsidR="001E3A9E" w:rsidRPr="00F9134C" w:rsidRDefault="001E3A9E" w:rsidP="000E00A3">
            <w:pPr>
              <w:pStyle w:val="Table"/>
              <w:rPr>
                <w:noProof/>
                <w:szCs w:val="22"/>
                <w:vertAlign w:val="superscript"/>
              </w:rPr>
            </w:pPr>
            <w:r w:rsidRPr="00F9134C">
              <w:rPr>
                <w:noProof/>
                <w:szCs w:val="22"/>
              </w:rPr>
              <w:t xml:space="preserve">Absorption from the alimentary tract, </w:t>
            </w:r>
            <w:r w:rsidRPr="00F9134C">
              <w:rPr>
                <w:i/>
                <w:noProof/>
                <w:szCs w:val="22"/>
              </w:rPr>
              <w:t>f</w:t>
            </w:r>
            <w:r w:rsidRPr="00F9134C">
              <w:rPr>
                <w:noProof/>
                <w:szCs w:val="22"/>
                <w:vertAlign w:val="subscript"/>
              </w:rPr>
              <w:t>A</w:t>
            </w:r>
            <w:r w:rsidR="00DF3BD3" w:rsidRPr="00F9134C">
              <w:rPr>
                <w:noProof/>
                <w:szCs w:val="22"/>
                <w:vertAlign w:val="superscript"/>
              </w:rPr>
              <w:t>†</w:t>
            </w:r>
          </w:p>
        </w:tc>
      </w:tr>
      <w:tr w:rsidR="001E3A9E" w:rsidRPr="00972C81" w14:paraId="7248CA3F" w14:textId="77777777" w:rsidTr="000E00A3">
        <w:trPr>
          <w:cantSplit/>
          <w:trHeight w:val="340"/>
        </w:trPr>
        <w:tc>
          <w:tcPr>
            <w:tcW w:w="2196" w:type="pct"/>
            <w:gridSpan w:val="3"/>
            <w:vMerge/>
            <w:tcBorders>
              <w:top w:val="single" w:sz="4" w:space="0" w:color="auto"/>
              <w:left w:val="nil"/>
              <w:bottom w:val="single" w:sz="4" w:space="0" w:color="auto"/>
              <w:right w:val="nil"/>
            </w:tcBorders>
            <w:vAlign w:val="center"/>
            <w:hideMark/>
          </w:tcPr>
          <w:p w14:paraId="74E65427" w14:textId="77777777" w:rsidR="001E3A9E" w:rsidRPr="00F9134C" w:rsidRDefault="001E3A9E" w:rsidP="00E81109">
            <w:pPr>
              <w:pStyle w:val="Table"/>
              <w:rPr>
                <w:noProof/>
                <w:szCs w:val="22"/>
              </w:rPr>
            </w:pPr>
          </w:p>
        </w:tc>
        <w:tc>
          <w:tcPr>
            <w:tcW w:w="567" w:type="pct"/>
            <w:gridSpan w:val="2"/>
            <w:tcBorders>
              <w:top w:val="single" w:sz="4" w:space="0" w:color="auto"/>
              <w:left w:val="nil"/>
              <w:bottom w:val="single" w:sz="4" w:space="0" w:color="auto"/>
              <w:right w:val="nil"/>
            </w:tcBorders>
            <w:vAlign w:val="center"/>
            <w:hideMark/>
          </w:tcPr>
          <w:p w14:paraId="4337569A" w14:textId="77777777" w:rsidR="001E3A9E" w:rsidRPr="00F9134C" w:rsidRDefault="001E3A9E" w:rsidP="000E00A3">
            <w:pPr>
              <w:pStyle w:val="Table"/>
              <w:rPr>
                <w:noProof/>
                <w:szCs w:val="22"/>
              </w:rPr>
            </w:pPr>
            <w:r w:rsidRPr="00F9134C">
              <w:rPr>
                <w:i/>
                <w:noProof/>
                <w:szCs w:val="22"/>
              </w:rPr>
              <w:t>f</w:t>
            </w:r>
            <w:r w:rsidRPr="00F9134C">
              <w:rPr>
                <w:noProof/>
                <w:szCs w:val="22"/>
                <w:vertAlign w:val="subscript"/>
              </w:rPr>
              <w:t>r</w:t>
            </w:r>
          </w:p>
        </w:tc>
        <w:tc>
          <w:tcPr>
            <w:tcW w:w="567" w:type="pct"/>
            <w:gridSpan w:val="2"/>
            <w:tcBorders>
              <w:top w:val="single" w:sz="4" w:space="0" w:color="auto"/>
              <w:left w:val="nil"/>
              <w:bottom w:val="single" w:sz="4" w:space="0" w:color="auto"/>
              <w:right w:val="nil"/>
            </w:tcBorders>
            <w:vAlign w:val="center"/>
            <w:hideMark/>
          </w:tcPr>
          <w:p w14:paraId="3D02244B" w14:textId="77777777" w:rsidR="001E3A9E" w:rsidRPr="00F9134C" w:rsidRDefault="001E3A9E" w:rsidP="000E00A3">
            <w:pPr>
              <w:pStyle w:val="Table"/>
              <w:rPr>
                <w:noProof/>
                <w:szCs w:val="22"/>
              </w:rPr>
            </w:pPr>
            <w:r w:rsidRPr="00F9134C">
              <w:rPr>
                <w:i/>
                <w:noProof/>
                <w:szCs w:val="22"/>
              </w:rPr>
              <w:t>s</w:t>
            </w:r>
            <w:r w:rsidRPr="00F9134C">
              <w:rPr>
                <w:noProof/>
                <w:szCs w:val="22"/>
                <w:vertAlign w:val="subscript"/>
              </w:rPr>
              <w:t>r</w:t>
            </w:r>
            <w:r w:rsidRPr="00F9134C">
              <w:rPr>
                <w:noProof/>
                <w:szCs w:val="22"/>
              </w:rPr>
              <w:t xml:space="preserve"> (d</w:t>
            </w:r>
            <w:r w:rsidRPr="00F9134C">
              <w:rPr>
                <w:noProof/>
                <w:szCs w:val="22"/>
                <w:vertAlign w:val="superscript"/>
              </w:rPr>
              <w:t>–1</w:t>
            </w:r>
            <w:r w:rsidRPr="00F9134C">
              <w:rPr>
                <w:noProof/>
                <w:szCs w:val="22"/>
              </w:rPr>
              <w:t>)</w:t>
            </w:r>
          </w:p>
        </w:tc>
        <w:tc>
          <w:tcPr>
            <w:tcW w:w="569" w:type="pct"/>
            <w:gridSpan w:val="2"/>
            <w:tcBorders>
              <w:top w:val="single" w:sz="4" w:space="0" w:color="auto"/>
              <w:left w:val="nil"/>
              <w:bottom w:val="single" w:sz="4" w:space="0" w:color="auto"/>
              <w:right w:val="nil"/>
            </w:tcBorders>
            <w:vAlign w:val="center"/>
            <w:hideMark/>
          </w:tcPr>
          <w:p w14:paraId="16371CA0" w14:textId="77777777" w:rsidR="001E3A9E" w:rsidRPr="00F9134C" w:rsidRDefault="001E3A9E" w:rsidP="000E00A3">
            <w:pPr>
              <w:pStyle w:val="Table"/>
              <w:rPr>
                <w:noProof/>
                <w:szCs w:val="22"/>
              </w:rPr>
            </w:pPr>
            <w:r w:rsidRPr="00F9134C">
              <w:rPr>
                <w:i/>
                <w:noProof/>
                <w:szCs w:val="22"/>
              </w:rPr>
              <w:t>s</w:t>
            </w:r>
            <w:r w:rsidRPr="00F9134C">
              <w:rPr>
                <w:noProof/>
                <w:szCs w:val="22"/>
                <w:vertAlign w:val="subscript"/>
              </w:rPr>
              <w:t>s</w:t>
            </w:r>
            <w:r w:rsidRPr="00F9134C">
              <w:rPr>
                <w:noProof/>
                <w:szCs w:val="22"/>
              </w:rPr>
              <w:t xml:space="preserve"> (d</w:t>
            </w:r>
            <w:r w:rsidRPr="00F9134C">
              <w:rPr>
                <w:noProof/>
                <w:szCs w:val="22"/>
                <w:vertAlign w:val="superscript"/>
              </w:rPr>
              <w:t>–1</w:t>
            </w:r>
            <w:r w:rsidRPr="00F9134C">
              <w:rPr>
                <w:noProof/>
                <w:szCs w:val="22"/>
              </w:rPr>
              <w:t>)</w:t>
            </w:r>
          </w:p>
        </w:tc>
        <w:tc>
          <w:tcPr>
            <w:tcW w:w="1100" w:type="pct"/>
            <w:gridSpan w:val="2"/>
            <w:vMerge/>
            <w:tcBorders>
              <w:top w:val="single" w:sz="4" w:space="0" w:color="auto"/>
              <w:left w:val="nil"/>
              <w:bottom w:val="single" w:sz="4" w:space="0" w:color="auto"/>
              <w:right w:val="nil"/>
            </w:tcBorders>
            <w:vAlign w:val="center"/>
            <w:hideMark/>
          </w:tcPr>
          <w:p w14:paraId="5B51F59F" w14:textId="77777777" w:rsidR="001E3A9E" w:rsidRPr="00F9134C" w:rsidRDefault="001E3A9E" w:rsidP="00E81109">
            <w:pPr>
              <w:pStyle w:val="Table"/>
              <w:rPr>
                <w:noProof/>
                <w:szCs w:val="22"/>
                <w:vertAlign w:val="superscript"/>
              </w:rPr>
            </w:pPr>
          </w:p>
        </w:tc>
      </w:tr>
      <w:tr w:rsidR="001E3A9E" w:rsidRPr="00972C81" w14:paraId="31E7BFBE" w14:textId="77777777" w:rsidTr="000E00A3">
        <w:trPr>
          <w:trHeight w:val="340"/>
        </w:trPr>
        <w:tc>
          <w:tcPr>
            <w:tcW w:w="2196" w:type="pct"/>
            <w:gridSpan w:val="3"/>
            <w:tcBorders>
              <w:top w:val="single" w:sz="4" w:space="0" w:color="auto"/>
              <w:left w:val="nil"/>
              <w:bottom w:val="nil"/>
              <w:right w:val="nil"/>
            </w:tcBorders>
            <w:hideMark/>
          </w:tcPr>
          <w:p w14:paraId="6D83CBE5" w14:textId="6A68157F" w:rsidR="001E3A9E" w:rsidRPr="00F9134C" w:rsidRDefault="001E3A9E" w:rsidP="000E00A3">
            <w:pPr>
              <w:pStyle w:val="Table"/>
              <w:rPr>
                <w:noProof/>
                <w:szCs w:val="22"/>
                <w:vertAlign w:val="superscript"/>
              </w:rPr>
            </w:pPr>
            <w:r w:rsidRPr="00F9134C">
              <w:rPr>
                <w:noProof/>
                <w:szCs w:val="22"/>
              </w:rPr>
              <w:t>Default parameter values</w:t>
            </w:r>
            <w:r w:rsidR="001E1A51" w:rsidRPr="00F9134C">
              <w:rPr>
                <w:noProof/>
                <w:szCs w:val="22"/>
                <w:vertAlign w:val="superscript"/>
              </w:rPr>
              <w:t>‡</w:t>
            </w:r>
          </w:p>
        </w:tc>
        <w:tc>
          <w:tcPr>
            <w:tcW w:w="567" w:type="pct"/>
            <w:gridSpan w:val="2"/>
            <w:tcBorders>
              <w:top w:val="single" w:sz="4" w:space="0" w:color="auto"/>
              <w:left w:val="nil"/>
              <w:bottom w:val="nil"/>
              <w:right w:val="nil"/>
            </w:tcBorders>
          </w:tcPr>
          <w:p w14:paraId="7431F784" w14:textId="77777777" w:rsidR="001E3A9E" w:rsidRPr="00F9134C" w:rsidRDefault="001E3A9E" w:rsidP="000E00A3">
            <w:pPr>
              <w:pStyle w:val="Table"/>
              <w:rPr>
                <w:noProof/>
                <w:szCs w:val="22"/>
              </w:rPr>
            </w:pPr>
          </w:p>
        </w:tc>
        <w:tc>
          <w:tcPr>
            <w:tcW w:w="567" w:type="pct"/>
            <w:gridSpan w:val="2"/>
            <w:tcBorders>
              <w:top w:val="single" w:sz="4" w:space="0" w:color="auto"/>
              <w:left w:val="nil"/>
              <w:bottom w:val="nil"/>
              <w:right w:val="nil"/>
            </w:tcBorders>
          </w:tcPr>
          <w:p w14:paraId="3BF16F60" w14:textId="77777777" w:rsidR="001E3A9E" w:rsidRPr="00F9134C" w:rsidRDefault="001E3A9E" w:rsidP="000E00A3">
            <w:pPr>
              <w:pStyle w:val="Table"/>
              <w:rPr>
                <w:noProof/>
                <w:szCs w:val="22"/>
              </w:rPr>
            </w:pPr>
          </w:p>
        </w:tc>
        <w:tc>
          <w:tcPr>
            <w:tcW w:w="569" w:type="pct"/>
            <w:gridSpan w:val="2"/>
            <w:tcBorders>
              <w:top w:val="single" w:sz="4" w:space="0" w:color="auto"/>
              <w:left w:val="nil"/>
              <w:bottom w:val="nil"/>
              <w:right w:val="nil"/>
            </w:tcBorders>
          </w:tcPr>
          <w:p w14:paraId="384A896C" w14:textId="77777777" w:rsidR="001E3A9E" w:rsidRPr="00F9134C" w:rsidRDefault="001E3A9E" w:rsidP="000E00A3">
            <w:pPr>
              <w:pStyle w:val="Table"/>
              <w:rPr>
                <w:noProof/>
                <w:szCs w:val="22"/>
              </w:rPr>
            </w:pPr>
          </w:p>
        </w:tc>
        <w:tc>
          <w:tcPr>
            <w:tcW w:w="1100" w:type="pct"/>
            <w:gridSpan w:val="2"/>
            <w:tcBorders>
              <w:top w:val="single" w:sz="4" w:space="0" w:color="auto"/>
              <w:left w:val="nil"/>
              <w:bottom w:val="nil"/>
              <w:right w:val="nil"/>
            </w:tcBorders>
          </w:tcPr>
          <w:p w14:paraId="1E86BC05" w14:textId="77777777" w:rsidR="001E3A9E" w:rsidRPr="00F9134C" w:rsidRDefault="001E3A9E" w:rsidP="000E00A3">
            <w:pPr>
              <w:pStyle w:val="Table"/>
              <w:rPr>
                <w:i/>
                <w:noProof/>
                <w:szCs w:val="22"/>
              </w:rPr>
            </w:pPr>
          </w:p>
        </w:tc>
      </w:tr>
      <w:tr w:rsidR="001E3A9E" w:rsidRPr="00972C81" w14:paraId="60D91118" w14:textId="77777777" w:rsidTr="000E00A3">
        <w:trPr>
          <w:trHeight w:val="340"/>
        </w:trPr>
        <w:tc>
          <w:tcPr>
            <w:tcW w:w="1097" w:type="pct"/>
            <w:tcBorders>
              <w:top w:val="nil"/>
              <w:left w:val="nil"/>
              <w:bottom w:val="nil"/>
              <w:right w:val="nil"/>
            </w:tcBorders>
            <w:hideMark/>
          </w:tcPr>
          <w:p w14:paraId="22B3B125" w14:textId="77777777" w:rsidR="001E3A9E" w:rsidRPr="00F9134C" w:rsidRDefault="001E3A9E" w:rsidP="000E00A3">
            <w:pPr>
              <w:pStyle w:val="Table"/>
              <w:rPr>
                <w:noProof/>
                <w:szCs w:val="22"/>
              </w:rPr>
            </w:pPr>
            <w:r w:rsidRPr="00F9134C">
              <w:rPr>
                <w:noProof/>
                <w:szCs w:val="22"/>
              </w:rPr>
              <w:t>Absorption Type</w:t>
            </w:r>
          </w:p>
        </w:tc>
        <w:tc>
          <w:tcPr>
            <w:tcW w:w="1099" w:type="pct"/>
            <w:gridSpan w:val="2"/>
            <w:tcBorders>
              <w:top w:val="nil"/>
              <w:left w:val="nil"/>
              <w:bottom w:val="nil"/>
              <w:right w:val="nil"/>
            </w:tcBorders>
            <w:hideMark/>
          </w:tcPr>
          <w:p w14:paraId="629F991A" w14:textId="77777777" w:rsidR="001E3A9E" w:rsidRPr="00F9134C" w:rsidRDefault="001E3A9E" w:rsidP="000E00A3">
            <w:pPr>
              <w:pStyle w:val="Table"/>
              <w:rPr>
                <w:noProof/>
                <w:szCs w:val="22"/>
              </w:rPr>
            </w:pPr>
            <w:r w:rsidRPr="00F9134C">
              <w:rPr>
                <w:noProof/>
                <w:szCs w:val="22"/>
              </w:rPr>
              <w:t>Assigned forms</w:t>
            </w:r>
          </w:p>
        </w:tc>
        <w:tc>
          <w:tcPr>
            <w:tcW w:w="567" w:type="pct"/>
            <w:gridSpan w:val="2"/>
            <w:tcBorders>
              <w:top w:val="nil"/>
              <w:left w:val="nil"/>
              <w:bottom w:val="nil"/>
              <w:right w:val="nil"/>
            </w:tcBorders>
          </w:tcPr>
          <w:p w14:paraId="1FC17149" w14:textId="77777777" w:rsidR="001E3A9E" w:rsidRPr="00F9134C" w:rsidRDefault="001E3A9E" w:rsidP="000E00A3">
            <w:pPr>
              <w:pStyle w:val="Table"/>
              <w:rPr>
                <w:noProof/>
                <w:szCs w:val="22"/>
              </w:rPr>
            </w:pPr>
          </w:p>
        </w:tc>
        <w:tc>
          <w:tcPr>
            <w:tcW w:w="567" w:type="pct"/>
            <w:gridSpan w:val="2"/>
            <w:tcBorders>
              <w:top w:val="nil"/>
              <w:left w:val="nil"/>
              <w:bottom w:val="nil"/>
              <w:right w:val="nil"/>
            </w:tcBorders>
          </w:tcPr>
          <w:p w14:paraId="5B23B424" w14:textId="77777777" w:rsidR="001E3A9E" w:rsidRPr="00F9134C" w:rsidRDefault="001E3A9E" w:rsidP="000E00A3">
            <w:pPr>
              <w:pStyle w:val="Table"/>
              <w:rPr>
                <w:noProof/>
                <w:szCs w:val="22"/>
              </w:rPr>
            </w:pPr>
          </w:p>
        </w:tc>
        <w:tc>
          <w:tcPr>
            <w:tcW w:w="569" w:type="pct"/>
            <w:gridSpan w:val="2"/>
            <w:tcBorders>
              <w:top w:val="nil"/>
              <w:left w:val="nil"/>
              <w:bottom w:val="nil"/>
              <w:right w:val="nil"/>
            </w:tcBorders>
          </w:tcPr>
          <w:p w14:paraId="03C2B2E2" w14:textId="77777777" w:rsidR="001E3A9E" w:rsidRPr="00F9134C" w:rsidRDefault="001E3A9E" w:rsidP="000E00A3">
            <w:pPr>
              <w:pStyle w:val="Table"/>
              <w:rPr>
                <w:noProof/>
                <w:szCs w:val="22"/>
              </w:rPr>
            </w:pPr>
          </w:p>
        </w:tc>
        <w:tc>
          <w:tcPr>
            <w:tcW w:w="1100" w:type="pct"/>
            <w:gridSpan w:val="2"/>
            <w:tcBorders>
              <w:top w:val="nil"/>
              <w:left w:val="nil"/>
              <w:bottom w:val="nil"/>
              <w:right w:val="nil"/>
            </w:tcBorders>
          </w:tcPr>
          <w:p w14:paraId="5F55277F" w14:textId="77777777" w:rsidR="001E3A9E" w:rsidRPr="00F9134C" w:rsidRDefault="001E3A9E" w:rsidP="000E00A3">
            <w:pPr>
              <w:pStyle w:val="Table"/>
              <w:rPr>
                <w:noProof/>
                <w:szCs w:val="22"/>
              </w:rPr>
            </w:pPr>
          </w:p>
        </w:tc>
      </w:tr>
      <w:tr w:rsidR="001E3A9E" w:rsidRPr="00972C81" w14:paraId="50EB02B2" w14:textId="77777777" w:rsidTr="000E00A3">
        <w:trPr>
          <w:trHeight w:val="340"/>
        </w:trPr>
        <w:tc>
          <w:tcPr>
            <w:tcW w:w="1097" w:type="pct"/>
            <w:tcBorders>
              <w:top w:val="nil"/>
              <w:left w:val="nil"/>
              <w:bottom w:val="nil"/>
              <w:right w:val="nil"/>
            </w:tcBorders>
            <w:hideMark/>
          </w:tcPr>
          <w:p w14:paraId="0271BD62" w14:textId="77777777" w:rsidR="001E3A9E" w:rsidRPr="00F9134C" w:rsidRDefault="001E3A9E" w:rsidP="000E00A3">
            <w:pPr>
              <w:pStyle w:val="Table"/>
              <w:rPr>
                <w:noProof/>
                <w:szCs w:val="22"/>
              </w:rPr>
            </w:pPr>
            <w:r w:rsidRPr="00F9134C">
              <w:rPr>
                <w:noProof/>
                <w:szCs w:val="22"/>
              </w:rPr>
              <w:t>F</w:t>
            </w:r>
          </w:p>
        </w:tc>
        <w:tc>
          <w:tcPr>
            <w:tcW w:w="1099" w:type="pct"/>
            <w:gridSpan w:val="2"/>
            <w:tcBorders>
              <w:top w:val="nil"/>
              <w:left w:val="nil"/>
              <w:bottom w:val="nil"/>
              <w:right w:val="nil"/>
            </w:tcBorders>
            <w:hideMark/>
          </w:tcPr>
          <w:p w14:paraId="607B0F26" w14:textId="77777777" w:rsidR="001E3A9E" w:rsidRPr="00F9134C" w:rsidRDefault="006D6AB0" w:rsidP="000E00A3">
            <w:pPr>
              <w:pStyle w:val="Table"/>
              <w:rPr>
                <w:noProof/>
                <w:szCs w:val="22"/>
              </w:rPr>
            </w:pPr>
            <w:r w:rsidRPr="00F9134C">
              <w:rPr>
                <w:noProof/>
                <w:color w:val="000000" w:themeColor="text1"/>
                <w:szCs w:val="22"/>
              </w:rPr>
              <w:t>—</w:t>
            </w:r>
          </w:p>
        </w:tc>
        <w:tc>
          <w:tcPr>
            <w:tcW w:w="567" w:type="pct"/>
            <w:gridSpan w:val="2"/>
            <w:tcBorders>
              <w:top w:val="nil"/>
              <w:left w:val="nil"/>
              <w:bottom w:val="nil"/>
              <w:right w:val="nil"/>
            </w:tcBorders>
            <w:hideMark/>
          </w:tcPr>
          <w:p w14:paraId="6C0107A3" w14:textId="77777777" w:rsidR="001E3A9E" w:rsidRPr="00F9134C" w:rsidRDefault="001E3A9E" w:rsidP="000E00A3">
            <w:pPr>
              <w:pStyle w:val="Table"/>
              <w:rPr>
                <w:noProof/>
                <w:szCs w:val="22"/>
              </w:rPr>
            </w:pPr>
            <w:r w:rsidRPr="00F9134C">
              <w:rPr>
                <w:noProof/>
                <w:szCs w:val="22"/>
              </w:rPr>
              <w:t>1</w:t>
            </w:r>
          </w:p>
        </w:tc>
        <w:tc>
          <w:tcPr>
            <w:tcW w:w="567" w:type="pct"/>
            <w:gridSpan w:val="2"/>
            <w:tcBorders>
              <w:top w:val="nil"/>
              <w:left w:val="nil"/>
              <w:bottom w:val="nil"/>
              <w:right w:val="nil"/>
            </w:tcBorders>
            <w:hideMark/>
          </w:tcPr>
          <w:p w14:paraId="7E8ED918" w14:textId="77777777" w:rsidR="001E3A9E" w:rsidRPr="00F9134C" w:rsidRDefault="001E3A9E" w:rsidP="000E00A3">
            <w:pPr>
              <w:pStyle w:val="Table"/>
              <w:rPr>
                <w:noProof/>
                <w:szCs w:val="22"/>
              </w:rPr>
            </w:pPr>
            <w:r w:rsidRPr="00F9134C">
              <w:rPr>
                <w:noProof/>
                <w:szCs w:val="22"/>
              </w:rPr>
              <w:t>0.4</w:t>
            </w:r>
          </w:p>
        </w:tc>
        <w:tc>
          <w:tcPr>
            <w:tcW w:w="569" w:type="pct"/>
            <w:gridSpan w:val="2"/>
            <w:tcBorders>
              <w:top w:val="nil"/>
              <w:left w:val="nil"/>
              <w:bottom w:val="nil"/>
              <w:right w:val="nil"/>
            </w:tcBorders>
            <w:hideMark/>
          </w:tcPr>
          <w:p w14:paraId="492B68AD" w14:textId="77777777" w:rsidR="001E3A9E" w:rsidRPr="00F9134C" w:rsidRDefault="001E3A9E" w:rsidP="000E00A3">
            <w:pPr>
              <w:pStyle w:val="Table"/>
              <w:rPr>
                <w:noProof/>
                <w:szCs w:val="22"/>
              </w:rPr>
            </w:pPr>
            <w:r w:rsidRPr="00F9134C">
              <w:rPr>
                <w:noProof/>
                <w:szCs w:val="22"/>
              </w:rPr>
              <w:t>–</w:t>
            </w:r>
          </w:p>
        </w:tc>
        <w:tc>
          <w:tcPr>
            <w:tcW w:w="1100" w:type="pct"/>
            <w:gridSpan w:val="2"/>
            <w:tcBorders>
              <w:top w:val="nil"/>
              <w:left w:val="nil"/>
              <w:bottom w:val="nil"/>
              <w:right w:val="nil"/>
            </w:tcBorders>
            <w:hideMark/>
          </w:tcPr>
          <w:p w14:paraId="215B9189" w14:textId="360D9615" w:rsidR="001E3A9E" w:rsidRPr="00F9134C" w:rsidRDefault="001E3A9E" w:rsidP="000E00A3">
            <w:pPr>
              <w:pStyle w:val="Table"/>
              <w:rPr>
                <w:noProof/>
                <w:szCs w:val="22"/>
              </w:rPr>
            </w:pPr>
            <w:r w:rsidRPr="00F9134C">
              <w:rPr>
                <w:noProof/>
                <w:szCs w:val="22"/>
              </w:rPr>
              <w:t>5</w:t>
            </w:r>
            <w:r w:rsidR="00067025" w:rsidRPr="00F9134C">
              <w:rPr>
                <w:noProof/>
                <w:szCs w:val="22"/>
              </w:rPr>
              <w:t xml:space="preserve"> × </w:t>
            </w:r>
            <w:r w:rsidRPr="00F9134C">
              <w:rPr>
                <w:noProof/>
                <w:szCs w:val="22"/>
              </w:rPr>
              <w:t>10</w:t>
            </w:r>
            <w:r w:rsidRPr="00F9134C">
              <w:rPr>
                <w:noProof/>
                <w:szCs w:val="22"/>
                <w:vertAlign w:val="superscript"/>
              </w:rPr>
              <w:t>–4</w:t>
            </w:r>
          </w:p>
        </w:tc>
      </w:tr>
      <w:tr w:rsidR="001E3A9E" w:rsidRPr="00972C81" w14:paraId="31FE1D95" w14:textId="77777777" w:rsidTr="000E00A3">
        <w:trPr>
          <w:trHeight w:val="340"/>
        </w:trPr>
        <w:tc>
          <w:tcPr>
            <w:tcW w:w="1097" w:type="pct"/>
            <w:tcBorders>
              <w:top w:val="nil"/>
              <w:left w:val="nil"/>
              <w:bottom w:val="nil"/>
              <w:right w:val="nil"/>
            </w:tcBorders>
            <w:hideMark/>
          </w:tcPr>
          <w:p w14:paraId="62D33CE8" w14:textId="32CC6F48" w:rsidR="001E3A9E" w:rsidRPr="00F9134C" w:rsidRDefault="001E3A9E" w:rsidP="000E00A3">
            <w:pPr>
              <w:pStyle w:val="Table"/>
              <w:rPr>
                <w:noProof/>
                <w:szCs w:val="22"/>
              </w:rPr>
            </w:pPr>
            <w:r w:rsidRPr="00F9134C">
              <w:rPr>
                <w:noProof/>
                <w:szCs w:val="22"/>
              </w:rPr>
              <w:t>M</w:t>
            </w:r>
            <w:r w:rsidR="001E1A51" w:rsidRPr="00F9134C">
              <w:rPr>
                <w:noProof/>
                <w:szCs w:val="22"/>
                <w:vertAlign w:val="superscript"/>
              </w:rPr>
              <w:t>§</w:t>
            </w:r>
          </w:p>
        </w:tc>
        <w:tc>
          <w:tcPr>
            <w:tcW w:w="1099" w:type="pct"/>
            <w:gridSpan w:val="2"/>
            <w:tcBorders>
              <w:top w:val="nil"/>
              <w:left w:val="nil"/>
              <w:bottom w:val="nil"/>
              <w:right w:val="nil"/>
            </w:tcBorders>
            <w:hideMark/>
          </w:tcPr>
          <w:p w14:paraId="5CD46CBE" w14:textId="77777777" w:rsidR="001E3A9E" w:rsidRPr="00F9134C" w:rsidRDefault="006D6AB0" w:rsidP="000E00A3">
            <w:pPr>
              <w:pStyle w:val="Table"/>
              <w:rPr>
                <w:noProof/>
                <w:szCs w:val="22"/>
              </w:rPr>
            </w:pPr>
            <w:r w:rsidRPr="00F9134C">
              <w:rPr>
                <w:noProof/>
                <w:color w:val="000000" w:themeColor="text1"/>
                <w:szCs w:val="22"/>
              </w:rPr>
              <w:t>—</w:t>
            </w:r>
          </w:p>
        </w:tc>
        <w:tc>
          <w:tcPr>
            <w:tcW w:w="567" w:type="pct"/>
            <w:gridSpan w:val="2"/>
            <w:tcBorders>
              <w:top w:val="nil"/>
              <w:left w:val="nil"/>
              <w:bottom w:val="nil"/>
              <w:right w:val="nil"/>
            </w:tcBorders>
            <w:hideMark/>
          </w:tcPr>
          <w:p w14:paraId="5C5C9468" w14:textId="77777777" w:rsidR="001E3A9E" w:rsidRPr="00F9134C" w:rsidRDefault="001E3A9E" w:rsidP="000E00A3">
            <w:pPr>
              <w:pStyle w:val="Table"/>
              <w:rPr>
                <w:noProof/>
                <w:szCs w:val="22"/>
              </w:rPr>
            </w:pPr>
            <w:r w:rsidRPr="00F9134C">
              <w:rPr>
                <w:noProof/>
                <w:szCs w:val="22"/>
              </w:rPr>
              <w:t>0.2</w:t>
            </w:r>
          </w:p>
        </w:tc>
        <w:tc>
          <w:tcPr>
            <w:tcW w:w="567" w:type="pct"/>
            <w:gridSpan w:val="2"/>
            <w:tcBorders>
              <w:top w:val="nil"/>
              <w:left w:val="nil"/>
              <w:bottom w:val="nil"/>
              <w:right w:val="nil"/>
            </w:tcBorders>
            <w:hideMark/>
          </w:tcPr>
          <w:p w14:paraId="66B63C63" w14:textId="77777777" w:rsidR="001E3A9E" w:rsidRPr="00F9134C" w:rsidRDefault="001E3A9E" w:rsidP="000E00A3">
            <w:pPr>
              <w:pStyle w:val="Table"/>
              <w:rPr>
                <w:noProof/>
                <w:szCs w:val="22"/>
              </w:rPr>
            </w:pPr>
            <w:r w:rsidRPr="00F9134C">
              <w:rPr>
                <w:noProof/>
                <w:szCs w:val="22"/>
              </w:rPr>
              <w:t>0.4</w:t>
            </w:r>
          </w:p>
        </w:tc>
        <w:tc>
          <w:tcPr>
            <w:tcW w:w="569" w:type="pct"/>
            <w:gridSpan w:val="2"/>
            <w:tcBorders>
              <w:top w:val="nil"/>
              <w:left w:val="nil"/>
              <w:bottom w:val="nil"/>
              <w:right w:val="nil"/>
            </w:tcBorders>
            <w:hideMark/>
          </w:tcPr>
          <w:p w14:paraId="78377D4D" w14:textId="77777777" w:rsidR="001E3A9E" w:rsidRPr="00F9134C" w:rsidRDefault="001E3A9E" w:rsidP="000E00A3">
            <w:pPr>
              <w:pStyle w:val="Table"/>
              <w:rPr>
                <w:noProof/>
                <w:szCs w:val="22"/>
              </w:rPr>
            </w:pPr>
            <w:r w:rsidRPr="00F9134C">
              <w:rPr>
                <w:noProof/>
                <w:szCs w:val="22"/>
              </w:rPr>
              <w:t>0.005</w:t>
            </w:r>
          </w:p>
        </w:tc>
        <w:tc>
          <w:tcPr>
            <w:tcW w:w="1100" w:type="pct"/>
            <w:gridSpan w:val="2"/>
            <w:tcBorders>
              <w:top w:val="nil"/>
              <w:left w:val="nil"/>
              <w:bottom w:val="nil"/>
              <w:right w:val="nil"/>
            </w:tcBorders>
            <w:hideMark/>
          </w:tcPr>
          <w:p w14:paraId="03CEDCED" w14:textId="67D5FE30" w:rsidR="001E3A9E" w:rsidRPr="00F9134C" w:rsidRDefault="001E3A9E" w:rsidP="000E00A3">
            <w:pPr>
              <w:pStyle w:val="Table"/>
              <w:rPr>
                <w:noProof/>
                <w:szCs w:val="22"/>
              </w:rPr>
            </w:pPr>
            <w:r w:rsidRPr="00F9134C">
              <w:rPr>
                <w:noProof/>
                <w:szCs w:val="22"/>
              </w:rPr>
              <w:t>1</w:t>
            </w:r>
            <w:r w:rsidR="00067025" w:rsidRPr="00F9134C">
              <w:rPr>
                <w:noProof/>
                <w:szCs w:val="22"/>
              </w:rPr>
              <w:t xml:space="preserve"> × </w:t>
            </w:r>
            <w:r w:rsidRPr="00F9134C">
              <w:rPr>
                <w:noProof/>
                <w:szCs w:val="22"/>
              </w:rPr>
              <w:t>10</w:t>
            </w:r>
            <w:r w:rsidRPr="00F9134C">
              <w:rPr>
                <w:noProof/>
                <w:szCs w:val="22"/>
                <w:vertAlign w:val="superscript"/>
              </w:rPr>
              <w:t>–4</w:t>
            </w:r>
          </w:p>
        </w:tc>
      </w:tr>
      <w:tr w:rsidR="001E3A9E" w:rsidRPr="00972C81" w14:paraId="46FE42FC" w14:textId="77777777" w:rsidTr="000E00A3">
        <w:trPr>
          <w:trHeight w:val="340"/>
        </w:trPr>
        <w:tc>
          <w:tcPr>
            <w:tcW w:w="1097" w:type="pct"/>
            <w:tcBorders>
              <w:top w:val="nil"/>
              <w:left w:val="nil"/>
              <w:bottom w:val="single" w:sz="4" w:space="0" w:color="auto"/>
              <w:right w:val="nil"/>
            </w:tcBorders>
            <w:hideMark/>
          </w:tcPr>
          <w:p w14:paraId="7CC19A6B" w14:textId="77777777" w:rsidR="001E3A9E" w:rsidRPr="00F9134C" w:rsidRDefault="001E3A9E" w:rsidP="000E00A3">
            <w:pPr>
              <w:pStyle w:val="Table"/>
              <w:rPr>
                <w:noProof/>
                <w:szCs w:val="22"/>
              </w:rPr>
            </w:pPr>
            <w:r w:rsidRPr="00F9134C">
              <w:rPr>
                <w:noProof/>
                <w:szCs w:val="22"/>
              </w:rPr>
              <w:t>S</w:t>
            </w:r>
          </w:p>
        </w:tc>
        <w:tc>
          <w:tcPr>
            <w:tcW w:w="1099" w:type="pct"/>
            <w:gridSpan w:val="2"/>
            <w:tcBorders>
              <w:top w:val="nil"/>
              <w:left w:val="nil"/>
              <w:bottom w:val="single" w:sz="4" w:space="0" w:color="auto"/>
              <w:right w:val="nil"/>
            </w:tcBorders>
          </w:tcPr>
          <w:p w14:paraId="2A4DEB0A" w14:textId="77777777" w:rsidR="001E3A9E" w:rsidRPr="00F9134C" w:rsidRDefault="001D39EC" w:rsidP="000E00A3">
            <w:pPr>
              <w:pStyle w:val="Table"/>
              <w:rPr>
                <w:noProof/>
                <w:szCs w:val="22"/>
              </w:rPr>
            </w:pPr>
            <w:r w:rsidRPr="00F9134C">
              <w:rPr>
                <w:noProof/>
                <w:szCs w:val="22"/>
              </w:rPr>
              <w:t>Berkelium oxide</w:t>
            </w:r>
          </w:p>
        </w:tc>
        <w:tc>
          <w:tcPr>
            <w:tcW w:w="567" w:type="pct"/>
            <w:gridSpan w:val="2"/>
            <w:tcBorders>
              <w:top w:val="nil"/>
              <w:left w:val="nil"/>
              <w:bottom w:val="single" w:sz="4" w:space="0" w:color="auto"/>
              <w:right w:val="nil"/>
            </w:tcBorders>
            <w:hideMark/>
          </w:tcPr>
          <w:p w14:paraId="0A3EB554" w14:textId="77777777" w:rsidR="001E3A9E" w:rsidRPr="00F9134C" w:rsidRDefault="001E3A9E" w:rsidP="000E00A3">
            <w:pPr>
              <w:pStyle w:val="Table"/>
              <w:rPr>
                <w:noProof/>
                <w:szCs w:val="22"/>
              </w:rPr>
            </w:pPr>
            <w:r w:rsidRPr="00F9134C">
              <w:rPr>
                <w:noProof/>
                <w:szCs w:val="22"/>
              </w:rPr>
              <w:t>0.01</w:t>
            </w:r>
          </w:p>
        </w:tc>
        <w:tc>
          <w:tcPr>
            <w:tcW w:w="567" w:type="pct"/>
            <w:gridSpan w:val="2"/>
            <w:tcBorders>
              <w:top w:val="nil"/>
              <w:left w:val="nil"/>
              <w:bottom w:val="single" w:sz="4" w:space="0" w:color="auto"/>
              <w:right w:val="nil"/>
            </w:tcBorders>
            <w:hideMark/>
          </w:tcPr>
          <w:p w14:paraId="22BF1110" w14:textId="77777777" w:rsidR="001E3A9E" w:rsidRPr="00F9134C" w:rsidRDefault="001E3A9E" w:rsidP="000E00A3">
            <w:pPr>
              <w:pStyle w:val="Table"/>
              <w:rPr>
                <w:noProof/>
                <w:szCs w:val="22"/>
              </w:rPr>
            </w:pPr>
            <w:r w:rsidRPr="00F9134C">
              <w:rPr>
                <w:noProof/>
                <w:szCs w:val="22"/>
              </w:rPr>
              <w:t>0.4</w:t>
            </w:r>
          </w:p>
        </w:tc>
        <w:tc>
          <w:tcPr>
            <w:tcW w:w="569" w:type="pct"/>
            <w:gridSpan w:val="2"/>
            <w:tcBorders>
              <w:top w:val="nil"/>
              <w:left w:val="nil"/>
              <w:bottom w:val="single" w:sz="4" w:space="0" w:color="auto"/>
              <w:right w:val="nil"/>
            </w:tcBorders>
            <w:hideMark/>
          </w:tcPr>
          <w:p w14:paraId="16FE5979" w14:textId="178559E5" w:rsidR="001E3A9E" w:rsidRPr="00F9134C" w:rsidRDefault="001E3A9E" w:rsidP="000E00A3">
            <w:pPr>
              <w:pStyle w:val="Table"/>
              <w:rPr>
                <w:noProof/>
                <w:szCs w:val="22"/>
              </w:rPr>
            </w:pPr>
            <w:r w:rsidRPr="00F9134C">
              <w:rPr>
                <w:noProof/>
                <w:szCs w:val="22"/>
              </w:rPr>
              <w:t>1</w:t>
            </w:r>
            <w:r w:rsidR="00067025" w:rsidRPr="00F9134C">
              <w:rPr>
                <w:noProof/>
                <w:szCs w:val="22"/>
              </w:rPr>
              <w:t xml:space="preserve"> × </w:t>
            </w:r>
            <w:r w:rsidRPr="00F9134C">
              <w:rPr>
                <w:noProof/>
                <w:szCs w:val="22"/>
              </w:rPr>
              <w:t>10</w:t>
            </w:r>
            <w:r w:rsidRPr="00F9134C">
              <w:rPr>
                <w:noProof/>
                <w:szCs w:val="22"/>
                <w:vertAlign w:val="superscript"/>
              </w:rPr>
              <w:t>–4</w:t>
            </w:r>
          </w:p>
        </w:tc>
        <w:tc>
          <w:tcPr>
            <w:tcW w:w="1100" w:type="pct"/>
            <w:gridSpan w:val="2"/>
            <w:tcBorders>
              <w:top w:val="nil"/>
              <w:left w:val="nil"/>
              <w:bottom w:val="single" w:sz="4" w:space="0" w:color="auto"/>
              <w:right w:val="nil"/>
            </w:tcBorders>
            <w:hideMark/>
          </w:tcPr>
          <w:p w14:paraId="36BB3573" w14:textId="71D67397" w:rsidR="001E3A9E" w:rsidRPr="00F9134C" w:rsidRDefault="001E3A9E" w:rsidP="000E00A3">
            <w:pPr>
              <w:pStyle w:val="Table"/>
              <w:rPr>
                <w:noProof/>
                <w:szCs w:val="22"/>
              </w:rPr>
            </w:pPr>
            <w:r w:rsidRPr="00F9134C">
              <w:rPr>
                <w:noProof/>
                <w:szCs w:val="22"/>
              </w:rPr>
              <w:t>5</w:t>
            </w:r>
            <w:r w:rsidR="00067025" w:rsidRPr="00F9134C">
              <w:rPr>
                <w:noProof/>
                <w:szCs w:val="22"/>
              </w:rPr>
              <w:t xml:space="preserve"> × </w:t>
            </w:r>
            <w:r w:rsidRPr="00F9134C">
              <w:rPr>
                <w:noProof/>
                <w:szCs w:val="22"/>
              </w:rPr>
              <w:t>10</w:t>
            </w:r>
            <w:r w:rsidRPr="00F9134C">
              <w:rPr>
                <w:noProof/>
                <w:szCs w:val="22"/>
                <w:vertAlign w:val="superscript"/>
              </w:rPr>
              <w:t>–6</w:t>
            </w:r>
          </w:p>
        </w:tc>
      </w:tr>
      <w:tr w:rsidR="001E3A9E" w:rsidRPr="00972C81" w14:paraId="31E33535" w14:textId="77777777" w:rsidTr="000E00A3">
        <w:trPr>
          <w:trHeight w:val="340"/>
        </w:trPr>
        <w:tc>
          <w:tcPr>
            <w:tcW w:w="2196" w:type="pct"/>
            <w:gridSpan w:val="3"/>
            <w:tcBorders>
              <w:top w:val="single" w:sz="4" w:space="0" w:color="auto"/>
              <w:left w:val="nil"/>
              <w:bottom w:val="nil"/>
              <w:right w:val="nil"/>
            </w:tcBorders>
          </w:tcPr>
          <w:p w14:paraId="235C9EF5" w14:textId="77777777" w:rsidR="001E3A9E" w:rsidRPr="00F9134C" w:rsidRDefault="001E3A9E" w:rsidP="00E81109">
            <w:pPr>
              <w:pStyle w:val="Table"/>
              <w:rPr>
                <w:noProof/>
                <w:szCs w:val="22"/>
              </w:rPr>
            </w:pPr>
          </w:p>
        </w:tc>
        <w:tc>
          <w:tcPr>
            <w:tcW w:w="567" w:type="pct"/>
            <w:gridSpan w:val="2"/>
            <w:tcBorders>
              <w:top w:val="single" w:sz="4" w:space="0" w:color="auto"/>
              <w:left w:val="nil"/>
              <w:bottom w:val="nil"/>
              <w:right w:val="nil"/>
            </w:tcBorders>
          </w:tcPr>
          <w:p w14:paraId="334AD593" w14:textId="77777777" w:rsidR="001E3A9E" w:rsidRPr="00F9134C" w:rsidRDefault="001E3A9E" w:rsidP="00E81109">
            <w:pPr>
              <w:pStyle w:val="Table"/>
              <w:rPr>
                <w:noProof/>
                <w:szCs w:val="22"/>
              </w:rPr>
            </w:pPr>
          </w:p>
        </w:tc>
        <w:tc>
          <w:tcPr>
            <w:tcW w:w="567" w:type="pct"/>
            <w:gridSpan w:val="2"/>
            <w:tcBorders>
              <w:top w:val="single" w:sz="4" w:space="0" w:color="auto"/>
              <w:left w:val="nil"/>
              <w:bottom w:val="nil"/>
              <w:right w:val="nil"/>
            </w:tcBorders>
          </w:tcPr>
          <w:p w14:paraId="58F0478F" w14:textId="77777777" w:rsidR="001E3A9E" w:rsidRPr="00F9134C" w:rsidRDefault="001E3A9E" w:rsidP="00E81109">
            <w:pPr>
              <w:pStyle w:val="Table"/>
              <w:rPr>
                <w:noProof/>
                <w:szCs w:val="22"/>
              </w:rPr>
            </w:pPr>
          </w:p>
        </w:tc>
        <w:tc>
          <w:tcPr>
            <w:tcW w:w="569" w:type="pct"/>
            <w:gridSpan w:val="2"/>
            <w:tcBorders>
              <w:top w:val="single" w:sz="4" w:space="0" w:color="auto"/>
              <w:left w:val="nil"/>
              <w:bottom w:val="nil"/>
              <w:right w:val="nil"/>
            </w:tcBorders>
          </w:tcPr>
          <w:p w14:paraId="14F62D04" w14:textId="77777777" w:rsidR="001E3A9E" w:rsidRPr="00F9134C" w:rsidRDefault="001E3A9E" w:rsidP="00E81109">
            <w:pPr>
              <w:pStyle w:val="Table"/>
              <w:rPr>
                <w:noProof/>
                <w:szCs w:val="22"/>
              </w:rPr>
            </w:pPr>
          </w:p>
        </w:tc>
        <w:tc>
          <w:tcPr>
            <w:tcW w:w="1100" w:type="pct"/>
            <w:gridSpan w:val="2"/>
            <w:tcBorders>
              <w:top w:val="single" w:sz="4" w:space="0" w:color="auto"/>
              <w:left w:val="nil"/>
              <w:bottom w:val="nil"/>
              <w:right w:val="nil"/>
            </w:tcBorders>
          </w:tcPr>
          <w:p w14:paraId="4329B3CA" w14:textId="77777777" w:rsidR="001E3A9E" w:rsidRPr="00F9134C" w:rsidRDefault="001E3A9E" w:rsidP="00E81109">
            <w:pPr>
              <w:pStyle w:val="Table"/>
              <w:rPr>
                <w:noProof/>
                <w:szCs w:val="22"/>
              </w:rPr>
            </w:pPr>
          </w:p>
        </w:tc>
      </w:tr>
      <w:tr w:rsidR="001E3A9E" w:rsidRPr="00972C81" w14:paraId="7B75ECCB" w14:textId="77777777" w:rsidTr="000E00A3">
        <w:trPr>
          <w:trHeight w:val="340"/>
        </w:trPr>
        <w:tc>
          <w:tcPr>
            <w:tcW w:w="2196" w:type="pct"/>
            <w:gridSpan w:val="3"/>
            <w:tcBorders>
              <w:top w:val="nil"/>
              <w:left w:val="nil"/>
              <w:bottom w:val="single" w:sz="4" w:space="0" w:color="auto"/>
              <w:right w:val="nil"/>
            </w:tcBorders>
            <w:hideMark/>
          </w:tcPr>
          <w:p w14:paraId="747D1083" w14:textId="4014514E" w:rsidR="001E3A9E" w:rsidRPr="00F9134C" w:rsidRDefault="001E3A9E" w:rsidP="00E81109">
            <w:pPr>
              <w:pStyle w:val="Table"/>
              <w:rPr>
                <w:noProof/>
                <w:szCs w:val="22"/>
              </w:rPr>
            </w:pPr>
            <w:r w:rsidRPr="00F9134C">
              <w:rPr>
                <w:noProof/>
                <w:szCs w:val="22"/>
              </w:rPr>
              <w:t>Ingested material</w:t>
            </w:r>
            <w:r w:rsidR="001E1A51" w:rsidRPr="00F9134C">
              <w:rPr>
                <w:noProof/>
                <w:szCs w:val="22"/>
                <w:vertAlign w:val="superscript"/>
              </w:rPr>
              <w:t>¶</w:t>
            </w:r>
          </w:p>
        </w:tc>
        <w:tc>
          <w:tcPr>
            <w:tcW w:w="567" w:type="pct"/>
            <w:gridSpan w:val="2"/>
            <w:tcBorders>
              <w:top w:val="nil"/>
              <w:left w:val="nil"/>
              <w:bottom w:val="single" w:sz="4" w:space="0" w:color="auto"/>
              <w:right w:val="nil"/>
            </w:tcBorders>
          </w:tcPr>
          <w:p w14:paraId="7CEF5EC2" w14:textId="77777777" w:rsidR="001E3A9E" w:rsidRPr="00F9134C" w:rsidRDefault="001E3A9E" w:rsidP="00E81109">
            <w:pPr>
              <w:pStyle w:val="Table"/>
              <w:rPr>
                <w:noProof/>
                <w:szCs w:val="22"/>
              </w:rPr>
            </w:pPr>
          </w:p>
        </w:tc>
        <w:tc>
          <w:tcPr>
            <w:tcW w:w="567" w:type="pct"/>
            <w:gridSpan w:val="2"/>
            <w:tcBorders>
              <w:top w:val="nil"/>
              <w:left w:val="nil"/>
              <w:bottom w:val="single" w:sz="4" w:space="0" w:color="auto"/>
              <w:right w:val="nil"/>
            </w:tcBorders>
          </w:tcPr>
          <w:p w14:paraId="06132B58" w14:textId="77777777" w:rsidR="001E3A9E" w:rsidRPr="00F9134C" w:rsidRDefault="001E3A9E" w:rsidP="00E81109">
            <w:pPr>
              <w:pStyle w:val="Table"/>
              <w:rPr>
                <w:noProof/>
                <w:szCs w:val="22"/>
              </w:rPr>
            </w:pPr>
          </w:p>
        </w:tc>
        <w:tc>
          <w:tcPr>
            <w:tcW w:w="569" w:type="pct"/>
            <w:gridSpan w:val="2"/>
            <w:tcBorders>
              <w:top w:val="nil"/>
              <w:left w:val="nil"/>
              <w:bottom w:val="single" w:sz="4" w:space="0" w:color="auto"/>
              <w:right w:val="nil"/>
            </w:tcBorders>
          </w:tcPr>
          <w:p w14:paraId="287293FB" w14:textId="77777777" w:rsidR="001E3A9E" w:rsidRPr="00F9134C" w:rsidRDefault="001E3A9E" w:rsidP="00E81109">
            <w:pPr>
              <w:pStyle w:val="Table"/>
              <w:rPr>
                <w:noProof/>
                <w:szCs w:val="22"/>
              </w:rPr>
            </w:pPr>
          </w:p>
        </w:tc>
        <w:tc>
          <w:tcPr>
            <w:tcW w:w="1100" w:type="pct"/>
            <w:gridSpan w:val="2"/>
            <w:tcBorders>
              <w:top w:val="nil"/>
              <w:left w:val="nil"/>
              <w:bottom w:val="single" w:sz="4" w:space="0" w:color="auto"/>
              <w:right w:val="nil"/>
            </w:tcBorders>
          </w:tcPr>
          <w:p w14:paraId="4EA3C2D3" w14:textId="77777777" w:rsidR="001E3A9E" w:rsidRPr="00F9134C" w:rsidRDefault="001E3A9E" w:rsidP="00E81109">
            <w:pPr>
              <w:pStyle w:val="Table"/>
              <w:rPr>
                <w:noProof/>
                <w:szCs w:val="22"/>
              </w:rPr>
            </w:pPr>
          </w:p>
        </w:tc>
      </w:tr>
      <w:tr w:rsidR="000E00A3" w:rsidRPr="00972C81" w14:paraId="677F73A4" w14:textId="77777777" w:rsidTr="000E00A3">
        <w:trPr>
          <w:trHeight w:val="340"/>
        </w:trPr>
        <w:tc>
          <w:tcPr>
            <w:tcW w:w="1097" w:type="pct"/>
            <w:vMerge w:val="restart"/>
            <w:tcBorders>
              <w:top w:val="single" w:sz="4" w:space="0" w:color="auto"/>
              <w:left w:val="nil"/>
              <w:right w:val="nil"/>
            </w:tcBorders>
            <w:vAlign w:val="center"/>
            <w:hideMark/>
          </w:tcPr>
          <w:p w14:paraId="760A2745" w14:textId="21DD98A2" w:rsidR="000E00A3" w:rsidRPr="00F9134C" w:rsidRDefault="000E00A3" w:rsidP="000E00A3">
            <w:pPr>
              <w:pStyle w:val="Table"/>
              <w:rPr>
                <w:noProof/>
                <w:szCs w:val="22"/>
              </w:rPr>
            </w:pPr>
            <w:r w:rsidRPr="00F9134C">
              <w:rPr>
                <w:noProof/>
                <w:szCs w:val="22"/>
              </w:rPr>
              <w:t>Assigned forms</w:t>
            </w:r>
          </w:p>
        </w:tc>
        <w:tc>
          <w:tcPr>
            <w:tcW w:w="3903" w:type="pct"/>
            <w:gridSpan w:val="10"/>
            <w:tcBorders>
              <w:top w:val="single" w:sz="4" w:space="0" w:color="auto"/>
              <w:left w:val="nil"/>
              <w:bottom w:val="single" w:sz="4" w:space="0" w:color="auto"/>
              <w:right w:val="nil"/>
            </w:tcBorders>
            <w:vAlign w:val="center"/>
          </w:tcPr>
          <w:p w14:paraId="0DCC08EF" w14:textId="45975A8F" w:rsidR="000E00A3" w:rsidRPr="00F9134C" w:rsidRDefault="000E00A3" w:rsidP="000E00A3">
            <w:pPr>
              <w:pStyle w:val="Table"/>
              <w:jc w:val="center"/>
              <w:rPr>
                <w:noProof/>
                <w:szCs w:val="22"/>
              </w:rPr>
            </w:pPr>
            <w:r w:rsidRPr="00F9134C">
              <w:rPr>
                <w:noProof/>
                <w:szCs w:val="22"/>
              </w:rPr>
              <w:t xml:space="preserve">Age-dependent absorption from the alimentary tract, </w:t>
            </w:r>
            <w:r w:rsidRPr="00F9134C">
              <w:rPr>
                <w:i/>
                <w:noProof/>
                <w:szCs w:val="22"/>
              </w:rPr>
              <w:t>f</w:t>
            </w:r>
            <w:r w:rsidRPr="00F9134C">
              <w:rPr>
                <w:noProof/>
                <w:szCs w:val="22"/>
                <w:vertAlign w:val="subscript"/>
              </w:rPr>
              <w:t>A</w:t>
            </w:r>
          </w:p>
        </w:tc>
      </w:tr>
      <w:tr w:rsidR="000E00A3" w:rsidRPr="00972C81" w14:paraId="504C0C75" w14:textId="77777777" w:rsidTr="000E00A3">
        <w:trPr>
          <w:trHeight w:val="340"/>
        </w:trPr>
        <w:tc>
          <w:tcPr>
            <w:tcW w:w="1097" w:type="pct"/>
            <w:vMerge/>
            <w:tcBorders>
              <w:top w:val="single" w:sz="4" w:space="0" w:color="auto"/>
              <w:left w:val="nil"/>
              <w:bottom w:val="single" w:sz="4" w:space="0" w:color="auto"/>
              <w:right w:val="nil"/>
            </w:tcBorders>
          </w:tcPr>
          <w:p w14:paraId="04BA4553" w14:textId="77777777" w:rsidR="000E00A3" w:rsidRPr="00F9134C" w:rsidRDefault="000E00A3" w:rsidP="00E81109">
            <w:pPr>
              <w:pStyle w:val="Table"/>
              <w:rPr>
                <w:noProof/>
                <w:szCs w:val="22"/>
              </w:rPr>
            </w:pPr>
          </w:p>
        </w:tc>
        <w:tc>
          <w:tcPr>
            <w:tcW w:w="650" w:type="pct"/>
            <w:tcBorders>
              <w:top w:val="single" w:sz="4" w:space="0" w:color="auto"/>
              <w:left w:val="nil"/>
              <w:bottom w:val="single" w:sz="4" w:space="0" w:color="auto"/>
              <w:right w:val="nil"/>
            </w:tcBorders>
            <w:vAlign w:val="center"/>
          </w:tcPr>
          <w:p w14:paraId="790240D7" w14:textId="7B4E83AD" w:rsidR="000E00A3" w:rsidRPr="00F9134C" w:rsidRDefault="000E00A3" w:rsidP="000E00A3">
            <w:pPr>
              <w:pStyle w:val="Table"/>
              <w:rPr>
                <w:noProof/>
                <w:szCs w:val="22"/>
              </w:rPr>
            </w:pPr>
            <w:r w:rsidRPr="00F9134C">
              <w:rPr>
                <w:noProof/>
                <w:szCs w:val="22"/>
              </w:rPr>
              <w:t>3 mo</w:t>
            </w:r>
          </w:p>
        </w:tc>
        <w:tc>
          <w:tcPr>
            <w:tcW w:w="650" w:type="pct"/>
            <w:gridSpan w:val="2"/>
            <w:tcBorders>
              <w:top w:val="single" w:sz="4" w:space="0" w:color="auto"/>
              <w:left w:val="nil"/>
              <w:bottom w:val="single" w:sz="4" w:space="0" w:color="auto"/>
              <w:right w:val="nil"/>
            </w:tcBorders>
            <w:vAlign w:val="center"/>
          </w:tcPr>
          <w:p w14:paraId="667E6114" w14:textId="6B7BCB42" w:rsidR="000E00A3" w:rsidRPr="00F9134C" w:rsidRDefault="000E00A3" w:rsidP="000E00A3">
            <w:pPr>
              <w:pStyle w:val="Table"/>
              <w:rPr>
                <w:noProof/>
                <w:szCs w:val="22"/>
              </w:rPr>
            </w:pPr>
            <w:r w:rsidRPr="00F9134C">
              <w:rPr>
                <w:noProof/>
                <w:szCs w:val="22"/>
              </w:rPr>
              <w:t>1 y</w:t>
            </w:r>
          </w:p>
        </w:tc>
        <w:tc>
          <w:tcPr>
            <w:tcW w:w="650" w:type="pct"/>
            <w:gridSpan w:val="2"/>
            <w:tcBorders>
              <w:top w:val="single" w:sz="4" w:space="0" w:color="auto"/>
              <w:left w:val="nil"/>
              <w:bottom w:val="single" w:sz="4" w:space="0" w:color="auto"/>
              <w:right w:val="nil"/>
            </w:tcBorders>
            <w:vAlign w:val="center"/>
          </w:tcPr>
          <w:p w14:paraId="195F288A" w14:textId="362D14B0" w:rsidR="000E00A3" w:rsidRPr="00F9134C" w:rsidRDefault="000E00A3" w:rsidP="000E00A3">
            <w:pPr>
              <w:pStyle w:val="Table"/>
              <w:rPr>
                <w:noProof/>
                <w:szCs w:val="22"/>
              </w:rPr>
            </w:pPr>
            <w:r w:rsidRPr="00F9134C">
              <w:rPr>
                <w:noProof/>
                <w:szCs w:val="22"/>
              </w:rPr>
              <w:t xml:space="preserve"> 5 y</w:t>
            </w:r>
          </w:p>
        </w:tc>
        <w:tc>
          <w:tcPr>
            <w:tcW w:w="650" w:type="pct"/>
            <w:gridSpan w:val="2"/>
            <w:tcBorders>
              <w:top w:val="single" w:sz="4" w:space="0" w:color="auto"/>
              <w:left w:val="nil"/>
              <w:bottom w:val="single" w:sz="4" w:space="0" w:color="auto"/>
              <w:right w:val="nil"/>
            </w:tcBorders>
            <w:vAlign w:val="center"/>
          </w:tcPr>
          <w:p w14:paraId="72A2FBAA" w14:textId="00168AD0" w:rsidR="000E00A3" w:rsidRPr="00F9134C" w:rsidRDefault="000E00A3" w:rsidP="000E00A3">
            <w:pPr>
              <w:pStyle w:val="Table"/>
              <w:rPr>
                <w:noProof/>
                <w:szCs w:val="22"/>
              </w:rPr>
            </w:pPr>
            <w:r w:rsidRPr="00F9134C">
              <w:rPr>
                <w:noProof/>
                <w:szCs w:val="22"/>
              </w:rPr>
              <w:t>10 y</w:t>
            </w:r>
          </w:p>
        </w:tc>
        <w:tc>
          <w:tcPr>
            <w:tcW w:w="650" w:type="pct"/>
            <w:gridSpan w:val="2"/>
            <w:tcBorders>
              <w:top w:val="single" w:sz="4" w:space="0" w:color="auto"/>
              <w:left w:val="nil"/>
              <w:bottom w:val="single" w:sz="4" w:space="0" w:color="auto"/>
              <w:right w:val="nil"/>
            </w:tcBorders>
            <w:vAlign w:val="center"/>
          </w:tcPr>
          <w:p w14:paraId="719D982C" w14:textId="79BF8AD7" w:rsidR="000E00A3" w:rsidRPr="00F9134C" w:rsidRDefault="000E00A3" w:rsidP="000E00A3">
            <w:pPr>
              <w:pStyle w:val="Table"/>
              <w:rPr>
                <w:noProof/>
                <w:szCs w:val="22"/>
              </w:rPr>
            </w:pPr>
            <w:r w:rsidRPr="00F9134C">
              <w:rPr>
                <w:noProof/>
                <w:szCs w:val="22"/>
              </w:rPr>
              <w:t>15 y</w:t>
            </w:r>
          </w:p>
        </w:tc>
        <w:tc>
          <w:tcPr>
            <w:tcW w:w="652" w:type="pct"/>
            <w:tcBorders>
              <w:top w:val="single" w:sz="4" w:space="0" w:color="auto"/>
              <w:left w:val="nil"/>
              <w:bottom w:val="single" w:sz="4" w:space="0" w:color="auto"/>
              <w:right w:val="nil"/>
            </w:tcBorders>
            <w:vAlign w:val="center"/>
          </w:tcPr>
          <w:p w14:paraId="45E3D415" w14:textId="60BCF767" w:rsidR="000E00A3" w:rsidRPr="00F9134C" w:rsidRDefault="000E00A3" w:rsidP="000E00A3">
            <w:pPr>
              <w:pStyle w:val="Table"/>
              <w:rPr>
                <w:noProof/>
                <w:szCs w:val="22"/>
              </w:rPr>
            </w:pPr>
            <w:r w:rsidRPr="00F9134C">
              <w:rPr>
                <w:noProof/>
                <w:szCs w:val="22"/>
              </w:rPr>
              <w:t>adult</w:t>
            </w:r>
          </w:p>
        </w:tc>
      </w:tr>
      <w:tr w:rsidR="006D634E" w:rsidRPr="00972C81" w14:paraId="103456A8" w14:textId="77777777" w:rsidTr="000E00A3">
        <w:trPr>
          <w:trHeight w:val="340"/>
        </w:trPr>
        <w:tc>
          <w:tcPr>
            <w:tcW w:w="1097" w:type="pct"/>
            <w:tcBorders>
              <w:top w:val="single" w:sz="4" w:space="0" w:color="auto"/>
              <w:left w:val="nil"/>
              <w:bottom w:val="single" w:sz="4" w:space="0" w:color="auto"/>
              <w:right w:val="nil"/>
            </w:tcBorders>
            <w:vAlign w:val="center"/>
          </w:tcPr>
          <w:p w14:paraId="1E80D9A5" w14:textId="23B2C90E" w:rsidR="006D634E" w:rsidRPr="00F9134C" w:rsidRDefault="006D634E" w:rsidP="000E00A3">
            <w:pPr>
              <w:pStyle w:val="Table"/>
              <w:rPr>
                <w:noProof/>
                <w:szCs w:val="22"/>
              </w:rPr>
            </w:pPr>
            <w:r w:rsidRPr="00F9134C">
              <w:rPr>
                <w:noProof/>
                <w:szCs w:val="22"/>
              </w:rPr>
              <w:t>all forms</w:t>
            </w:r>
          </w:p>
        </w:tc>
        <w:tc>
          <w:tcPr>
            <w:tcW w:w="650" w:type="pct"/>
            <w:tcBorders>
              <w:top w:val="single" w:sz="4" w:space="0" w:color="auto"/>
              <w:left w:val="nil"/>
              <w:bottom w:val="single" w:sz="4" w:space="0" w:color="auto"/>
              <w:right w:val="nil"/>
            </w:tcBorders>
            <w:vAlign w:val="center"/>
          </w:tcPr>
          <w:p w14:paraId="502A5D9E" w14:textId="667FFA18" w:rsidR="006D634E" w:rsidRPr="00F9134C" w:rsidRDefault="006D634E" w:rsidP="000E00A3">
            <w:pPr>
              <w:pStyle w:val="Table"/>
              <w:rPr>
                <w:noProof/>
                <w:szCs w:val="22"/>
              </w:rPr>
            </w:pPr>
            <w:r w:rsidRPr="00F9134C">
              <w:rPr>
                <w:noProof/>
                <w:color w:val="000000"/>
                <w:szCs w:val="22"/>
              </w:rPr>
              <w:t>5</w:t>
            </w:r>
            <w:r w:rsidR="00067025" w:rsidRPr="00F9134C">
              <w:rPr>
                <w:noProof/>
                <w:color w:val="000000"/>
                <w:szCs w:val="22"/>
              </w:rPr>
              <w:t xml:space="preserve"> </w:t>
            </w:r>
            <w:r w:rsidR="00067025" w:rsidRPr="00F9134C">
              <w:rPr>
                <w:noProof/>
                <w:color w:val="000000"/>
                <w:szCs w:val="22"/>
                <w:lang w:eastAsia="fr-FR"/>
              </w:rPr>
              <w:t>×</w:t>
            </w:r>
            <w:r w:rsidR="00067025" w:rsidRPr="00F9134C">
              <w:rPr>
                <w:noProof/>
                <w:color w:val="000000"/>
                <w:szCs w:val="22"/>
              </w:rPr>
              <w:t xml:space="preserve"> </w:t>
            </w:r>
            <w:r w:rsidRPr="00F9134C">
              <w:rPr>
                <w:noProof/>
                <w:color w:val="000000"/>
                <w:szCs w:val="22"/>
              </w:rPr>
              <w:t>10</w:t>
            </w:r>
            <w:r w:rsidRPr="00F9134C">
              <w:rPr>
                <w:noProof/>
                <w:color w:val="000000"/>
                <w:szCs w:val="22"/>
                <w:vertAlign w:val="superscript"/>
              </w:rPr>
              <w:t>-3</w:t>
            </w:r>
          </w:p>
        </w:tc>
        <w:tc>
          <w:tcPr>
            <w:tcW w:w="650" w:type="pct"/>
            <w:gridSpan w:val="2"/>
            <w:tcBorders>
              <w:top w:val="single" w:sz="4" w:space="0" w:color="auto"/>
              <w:left w:val="nil"/>
              <w:bottom w:val="single" w:sz="4" w:space="0" w:color="auto"/>
              <w:right w:val="nil"/>
            </w:tcBorders>
            <w:vAlign w:val="center"/>
          </w:tcPr>
          <w:p w14:paraId="0456459A" w14:textId="56AA65FA" w:rsidR="006D634E" w:rsidRPr="00F9134C" w:rsidRDefault="006D634E" w:rsidP="000E00A3">
            <w:pPr>
              <w:pStyle w:val="Table"/>
              <w:rPr>
                <w:noProof/>
                <w:szCs w:val="22"/>
              </w:rPr>
            </w:pPr>
            <w:r w:rsidRPr="00F9134C">
              <w:rPr>
                <w:noProof/>
                <w:color w:val="000000"/>
                <w:szCs w:val="22"/>
              </w:rPr>
              <w:t>5</w:t>
            </w:r>
            <w:r w:rsidR="00067025" w:rsidRPr="00F9134C">
              <w:rPr>
                <w:noProof/>
                <w:color w:val="000000"/>
                <w:szCs w:val="22"/>
              </w:rPr>
              <w:t xml:space="preserve"> </w:t>
            </w:r>
            <w:r w:rsidR="00067025" w:rsidRPr="00F9134C">
              <w:rPr>
                <w:noProof/>
                <w:color w:val="000000"/>
                <w:szCs w:val="22"/>
                <w:lang w:eastAsia="fr-FR"/>
              </w:rPr>
              <w:t>×</w:t>
            </w:r>
            <w:r w:rsidR="00067025" w:rsidRPr="00F9134C">
              <w:rPr>
                <w:noProof/>
                <w:color w:val="000000"/>
                <w:szCs w:val="22"/>
              </w:rPr>
              <w:t xml:space="preserve"> </w:t>
            </w:r>
            <w:r w:rsidRPr="00F9134C">
              <w:rPr>
                <w:noProof/>
                <w:color w:val="000000"/>
                <w:szCs w:val="22"/>
              </w:rPr>
              <w:t>10</w:t>
            </w:r>
            <w:r w:rsidRPr="00F9134C">
              <w:rPr>
                <w:noProof/>
                <w:color w:val="000000"/>
                <w:szCs w:val="22"/>
                <w:vertAlign w:val="superscript"/>
              </w:rPr>
              <w:t>-4</w:t>
            </w:r>
          </w:p>
        </w:tc>
        <w:tc>
          <w:tcPr>
            <w:tcW w:w="650" w:type="pct"/>
            <w:gridSpan w:val="2"/>
            <w:tcBorders>
              <w:top w:val="single" w:sz="4" w:space="0" w:color="auto"/>
              <w:left w:val="nil"/>
              <w:bottom w:val="single" w:sz="4" w:space="0" w:color="auto"/>
              <w:right w:val="nil"/>
            </w:tcBorders>
            <w:vAlign w:val="center"/>
          </w:tcPr>
          <w:p w14:paraId="7CB8D831" w14:textId="6216F9F1" w:rsidR="006D634E" w:rsidRPr="00F9134C" w:rsidRDefault="006D634E" w:rsidP="000E00A3">
            <w:pPr>
              <w:pStyle w:val="Table"/>
              <w:rPr>
                <w:noProof/>
                <w:szCs w:val="22"/>
              </w:rPr>
            </w:pPr>
            <w:r w:rsidRPr="00F9134C">
              <w:rPr>
                <w:noProof/>
                <w:color w:val="000000"/>
                <w:szCs w:val="22"/>
              </w:rPr>
              <w:t>5</w:t>
            </w:r>
            <w:r w:rsidR="00067025" w:rsidRPr="00F9134C">
              <w:rPr>
                <w:noProof/>
                <w:color w:val="000000"/>
                <w:szCs w:val="22"/>
              </w:rPr>
              <w:t xml:space="preserve"> </w:t>
            </w:r>
            <w:r w:rsidR="00067025" w:rsidRPr="00F9134C">
              <w:rPr>
                <w:noProof/>
                <w:color w:val="000000"/>
                <w:szCs w:val="22"/>
                <w:lang w:eastAsia="fr-FR"/>
              </w:rPr>
              <w:t>×</w:t>
            </w:r>
            <w:r w:rsidR="00067025" w:rsidRPr="00F9134C">
              <w:rPr>
                <w:noProof/>
                <w:color w:val="000000"/>
                <w:szCs w:val="22"/>
              </w:rPr>
              <w:t xml:space="preserve"> </w:t>
            </w:r>
            <w:r w:rsidRPr="00F9134C">
              <w:rPr>
                <w:noProof/>
                <w:color w:val="000000"/>
                <w:szCs w:val="22"/>
              </w:rPr>
              <w:t>10</w:t>
            </w:r>
            <w:r w:rsidRPr="00F9134C">
              <w:rPr>
                <w:noProof/>
                <w:color w:val="000000"/>
                <w:szCs w:val="22"/>
                <w:vertAlign w:val="superscript"/>
              </w:rPr>
              <w:t>-4</w:t>
            </w:r>
          </w:p>
        </w:tc>
        <w:tc>
          <w:tcPr>
            <w:tcW w:w="650" w:type="pct"/>
            <w:gridSpan w:val="2"/>
            <w:tcBorders>
              <w:top w:val="single" w:sz="4" w:space="0" w:color="auto"/>
              <w:left w:val="nil"/>
              <w:bottom w:val="single" w:sz="4" w:space="0" w:color="auto"/>
              <w:right w:val="nil"/>
            </w:tcBorders>
            <w:vAlign w:val="center"/>
          </w:tcPr>
          <w:p w14:paraId="5A4AD94B" w14:textId="267F6F64" w:rsidR="006D634E" w:rsidRPr="00F9134C" w:rsidRDefault="006D634E" w:rsidP="000E00A3">
            <w:pPr>
              <w:pStyle w:val="Table"/>
              <w:rPr>
                <w:noProof/>
                <w:szCs w:val="22"/>
              </w:rPr>
            </w:pPr>
            <w:r w:rsidRPr="00F9134C">
              <w:rPr>
                <w:noProof/>
                <w:color w:val="000000"/>
                <w:szCs w:val="22"/>
              </w:rPr>
              <w:t>5</w:t>
            </w:r>
            <w:r w:rsidR="00067025" w:rsidRPr="00F9134C">
              <w:rPr>
                <w:noProof/>
                <w:color w:val="000000"/>
                <w:szCs w:val="22"/>
              </w:rPr>
              <w:t xml:space="preserve"> </w:t>
            </w:r>
            <w:r w:rsidR="00067025" w:rsidRPr="00F9134C">
              <w:rPr>
                <w:noProof/>
                <w:color w:val="000000"/>
                <w:szCs w:val="22"/>
                <w:lang w:eastAsia="fr-FR"/>
              </w:rPr>
              <w:t>×</w:t>
            </w:r>
            <w:r w:rsidR="00067025" w:rsidRPr="00F9134C">
              <w:rPr>
                <w:noProof/>
                <w:color w:val="000000"/>
                <w:szCs w:val="22"/>
              </w:rPr>
              <w:t xml:space="preserve"> </w:t>
            </w:r>
            <w:r w:rsidRPr="00F9134C">
              <w:rPr>
                <w:noProof/>
                <w:color w:val="000000"/>
                <w:szCs w:val="22"/>
              </w:rPr>
              <w:t>10</w:t>
            </w:r>
            <w:r w:rsidRPr="00F9134C">
              <w:rPr>
                <w:noProof/>
                <w:color w:val="000000"/>
                <w:szCs w:val="22"/>
                <w:vertAlign w:val="superscript"/>
              </w:rPr>
              <w:t>-4</w:t>
            </w:r>
          </w:p>
        </w:tc>
        <w:tc>
          <w:tcPr>
            <w:tcW w:w="650" w:type="pct"/>
            <w:gridSpan w:val="2"/>
            <w:tcBorders>
              <w:top w:val="single" w:sz="4" w:space="0" w:color="auto"/>
              <w:left w:val="nil"/>
              <w:bottom w:val="single" w:sz="4" w:space="0" w:color="auto"/>
              <w:right w:val="nil"/>
            </w:tcBorders>
            <w:vAlign w:val="center"/>
          </w:tcPr>
          <w:p w14:paraId="047EF814" w14:textId="01E104D5" w:rsidR="006D634E" w:rsidRPr="00F9134C" w:rsidRDefault="006D634E" w:rsidP="000E00A3">
            <w:pPr>
              <w:pStyle w:val="Table"/>
              <w:rPr>
                <w:noProof/>
                <w:szCs w:val="22"/>
              </w:rPr>
            </w:pPr>
            <w:r w:rsidRPr="00F9134C">
              <w:rPr>
                <w:noProof/>
                <w:color w:val="000000"/>
                <w:szCs w:val="22"/>
              </w:rPr>
              <w:t>5</w:t>
            </w:r>
            <w:r w:rsidR="00067025" w:rsidRPr="00F9134C">
              <w:rPr>
                <w:noProof/>
                <w:color w:val="000000"/>
                <w:szCs w:val="22"/>
              </w:rPr>
              <w:t xml:space="preserve"> </w:t>
            </w:r>
            <w:r w:rsidR="00067025" w:rsidRPr="00F9134C">
              <w:rPr>
                <w:noProof/>
                <w:color w:val="000000"/>
                <w:szCs w:val="22"/>
                <w:lang w:eastAsia="fr-FR"/>
              </w:rPr>
              <w:t>×</w:t>
            </w:r>
            <w:r w:rsidR="00067025" w:rsidRPr="00F9134C">
              <w:rPr>
                <w:noProof/>
                <w:color w:val="000000"/>
                <w:szCs w:val="22"/>
              </w:rPr>
              <w:t xml:space="preserve"> </w:t>
            </w:r>
            <w:r w:rsidRPr="00F9134C">
              <w:rPr>
                <w:noProof/>
                <w:color w:val="000000"/>
                <w:szCs w:val="22"/>
              </w:rPr>
              <w:t>10</w:t>
            </w:r>
            <w:r w:rsidRPr="00F9134C">
              <w:rPr>
                <w:noProof/>
                <w:color w:val="000000"/>
                <w:szCs w:val="22"/>
                <w:vertAlign w:val="superscript"/>
              </w:rPr>
              <w:t>-4</w:t>
            </w:r>
          </w:p>
        </w:tc>
        <w:tc>
          <w:tcPr>
            <w:tcW w:w="652" w:type="pct"/>
            <w:tcBorders>
              <w:top w:val="single" w:sz="4" w:space="0" w:color="auto"/>
              <w:left w:val="nil"/>
              <w:bottom w:val="single" w:sz="4" w:space="0" w:color="auto"/>
              <w:right w:val="nil"/>
            </w:tcBorders>
            <w:vAlign w:val="center"/>
          </w:tcPr>
          <w:p w14:paraId="15FFC4FA" w14:textId="30830704" w:rsidR="006D634E" w:rsidRPr="00F9134C" w:rsidRDefault="006D634E" w:rsidP="000E00A3">
            <w:pPr>
              <w:pStyle w:val="Table"/>
              <w:rPr>
                <w:noProof/>
                <w:szCs w:val="22"/>
              </w:rPr>
            </w:pPr>
            <w:r w:rsidRPr="00F9134C">
              <w:rPr>
                <w:noProof/>
                <w:color w:val="000000"/>
                <w:szCs w:val="22"/>
              </w:rPr>
              <w:t>5</w:t>
            </w:r>
            <w:r w:rsidR="00067025" w:rsidRPr="00F9134C">
              <w:rPr>
                <w:noProof/>
                <w:color w:val="000000"/>
                <w:szCs w:val="22"/>
              </w:rPr>
              <w:t xml:space="preserve"> </w:t>
            </w:r>
            <w:r w:rsidR="00067025" w:rsidRPr="00F9134C">
              <w:rPr>
                <w:noProof/>
                <w:color w:val="000000"/>
                <w:szCs w:val="22"/>
                <w:lang w:eastAsia="fr-FR"/>
              </w:rPr>
              <w:t>×</w:t>
            </w:r>
            <w:r w:rsidR="00067025" w:rsidRPr="00F9134C">
              <w:rPr>
                <w:noProof/>
                <w:color w:val="000000"/>
                <w:szCs w:val="22"/>
              </w:rPr>
              <w:t xml:space="preserve"> </w:t>
            </w:r>
            <w:r w:rsidRPr="00F9134C">
              <w:rPr>
                <w:noProof/>
                <w:color w:val="000000"/>
                <w:szCs w:val="22"/>
              </w:rPr>
              <w:t>10</w:t>
            </w:r>
            <w:r w:rsidRPr="00F9134C">
              <w:rPr>
                <w:noProof/>
                <w:color w:val="000000"/>
                <w:szCs w:val="22"/>
                <w:vertAlign w:val="superscript"/>
              </w:rPr>
              <w:t>-4</w:t>
            </w:r>
          </w:p>
        </w:tc>
      </w:tr>
    </w:tbl>
    <w:p w14:paraId="1F844AF9" w14:textId="7A99C619" w:rsidR="00096DF7" w:rsidRPr="00C47F2F" w:rsidRDefault="001E1A51" w:rsidP="00E81109">
      <w:pPr>
        <w:pStyle w:val="Note"/>
        <w:rPr>
          <w:noProof/>
          <w:sz w:val="20"/>
          <w:szCs w:val="20"/>
        </w:rPr>
      </w:pPr>
      <w:r w:rsidRPr="00C47F2F">
        <w:rPr>
          <w:noProof/>
          <w:sz w:val="20"/>
          <w:szCs w:val="20"/>
          <w:vertAlign w:val="superscript"/>
        </w:rPr>
        <w:t>*</w:t>
      </w:r>
      <w:r w:rsidR="00096DF7" w:rsidRPr="00C47F2F">
        <w:rPr>
          <w:noProof/>
          <w:sz w:val="20"/>
          <w:szCs w:val="20"/>
        </w:rPr>
        <w:t xml:space="preserve">It is assumed that for berkelium a bound fraction </w:t>
      </w:r>
      <w:r w:rsidR="00096DF7" w:rsidRPr="00C47F2F">
        <w:rPr>
          <w:i/>
          <w:noProof/>
          <w:sz w:val="20"/>
          <w:szCs w:val="20"/>
        </w:rPr>
        <w:t>f</w:t>
      </w:r>
      <w:r w:rsidR="00096DF7" w:rsidRPr="00C47F2F">
        <w:rPr>
          <w:noProof/>
          <w:sz w:val="20"/>
          <w:szCs w:val="20"/>
          <w:vertAlign w:val="subscript"/>
        </w:rPr>
        <w:t>b</w:t>
      </w:r>
      <w:r w:rsidR="00096DF7" w:rsidRPr="00C47F2F">
        <w:rPr>
          <w:noProof/>
          <w:sz w:val="20"/>
          <w:szCs w:val="20"/>
        </w:rPr>
        <w:t xml:space="preserve"> = 0.002 with </w:t>
      </w:r>
      <w:r w:rsidR="00096DF7" w:rsidRPr="00C47F2F">
        <w:rPr>
          <w:i/>
          <w:noProof/>
          <w:sz w:val="20"/>
          <w:szCs w:val="20"/>
        </w:rPr>
        <w:t>s</w:t>
      </w:r>
      <w:r w:rsidR="00096DF7" w:rsidRPr="00C47F2F">
        <w:rPr>
          <w:noProof/>
          <w:sz w:val="20"/>
          <w:szCs w:val="20"/>
          <w:vertAlign w:val="subscript"/>
        </w:rPr>
        <w:t>b</w:t>
      </w:r>
      <w:r w:rsidR="00096DF7" w:rsidRPr="00C47F2F">
        <w:rPr>
          <w:noProof/>
          <w:sz w:val="20"/>
          <w:szCs w:val="20"/>
        </w:rPr>
        <w:t xml:space="preserve"> = 0 d</w:t>
      </w:r>
      <w:r w:rsidR="00096DF7" w:rsidRPr="00C47F2F">
        <w:rPr>
          <w:noProof/>
          <w:sz w:val="20"/>
          <w:szCs w:val="20"/>
          <w:vertAlign w:val="superscript"/>
        </w:rPr>
        <w:t>–1</w:t>
      </w:r>
      <w:r w:rsidR="00096DF7" w:rsidRPr="00C47F2F">
        <w:rPr>
          <w:noProof/>
          <w:sz w:val="20"/>
          <w:szCs w:val="20"/>
        </w:rPr>
        <w:t xml:space="preserve"> is applied throughout the respiratory tract except in the ET</w:t>
      </w:r>
      <w:r w:rsidR="00096DF7" w:rsidRPr="00C47F2F">
        <w:rPr>
          <w:noProof/>
          <w:sz w:val="20"/>
          <w:szCs w:val="20"/>
          <w:vertAlign w:val="subscript"/>
        </w:rPr>
        <w:t>1</w:t>
      </w:r>
      <w:r w:rsidR="00096DF7" w:rsidRPr="00C47F2F">
        <w:rPr>
          <w:noProof/>
          <w:sz w:val="20"/>
          <w:szCs w:val="20"/>
        </w:rPr>
        <w:t xml:space="preserve"> region. The values of </w:t>
      </w:r>
      <w:r w:rsidR="00096DF7" w:rsidRPr="00C47F2F">
        <w:rPr>
          <w:i/>
          <w:noProof/>
          <w:sz w:val="20"/>
          <w:szCs w:val="20"/>
        </w:rPr>
        <w:t>s</w:t>
      </w:r>
      <w:r w:rsidR="00096DF7" w:rsidRPr="00C47F2F">
        <w:rPr>
          <w:noProof/>
          <w:sz w:val="20"/>
          <w:szCs w:val="20"/>
          <w:vertAlign w:val="subscript"/>
        </w:rPr>
        <w:t>r</w:t>
      </w:r>
      <w:r w:rsidR="00096DF7" w:rsidRPr="00C47F2F">
        <w:rPr>
          <w:noProof/>
          <w:sz w:val="20"/>
          <w:szCs w:val="20"/>
        </w:rPr>
        <w:t xml:space="preserve"> for Type F, M and S forms of berkelium (0.4 d</w:t>
      </w:r>
      <w:r w:rsidR="00096DF7" w:rsidRPr="00C47F2F">
        <w:rPr>
          <w:noProof/>
          <w:sz w:val="20"/>
          <w:szCs w:val="20"/>
          <w:vertAlign w:val="superscript"/>
        </w:rPr>
        <w:t>–1</w:t>
      </w:r>
      <w:r w:rsidR="00096DF7" w:rsidRPr="00C47F2F">
        <w:rPr>
          <w:noProof/>
          <w:sz w:val="20"/>
          <w:szCs w:val="20"/>
        </w:rPr>
        <w:t>, respectively) are element-specific.</w:t>
      </w:r>
    </w:p>
    <w:p w14:paraId="313CF79E" w14:textId="6FF8E0B2" w:rsidR="00096DF7" w:rsidRPr="00C47F2F" w:rsidRDefault="001E1A51" w:rsidP="00E81109">
      <w:pPr>
        <w:pStyle w:val="Note"/>
        <w:rPr>
          <w:noProof/>
          <w:sz w:val="20"/>
          <w:szCs w:val="20"/>
        </w:rPr>
      </w:pPr>
      <w:r w:rsidRPr="00C47F2F">
        <w:rPr>
          <w:noProof/>
          <w:sz w:val="20"/>
          <w:szCs w:val="20"/>
          <w:vertAlign w:val="superscript"/>
        </w:rPr>
        <w:t>†</w:t>
      </w:r>
      <w:r w:rsidR="00096DF7" w:rsidRPr="00C47F2F">
        <w:rPr>
          <w:noProof/>
          <w:sz w:val="20"/>
          <w:szCs w:val="20"/>
        </w:rPr>
        <w:t xml:space="preserve">For inhaled material deposited in the respiratory tract and subsequently cleared by particle transport to the alimentary tract, the default </w:t>
      </w:r>
      <w:r w:rsidR="00096DF7" w:rsidRPr="00C47F2F">
        <w:rPr>
          <w:i/>
          <w:noProof/>
          <w:sz w:val="20"/>
          <w:szCs w:val="20"/>
        </w:rPr>
        <w:t>f</w:t>
      </w:r>
      <w:r w:rsidR="00096DF7" w:rsidRPr="00C47F2F">
        <w:rPr>
          <w:noProof/>
          <w:sz w:val="20"/>
          <w:szCs w:val="20"/>
          <w:vertAlign w:val="subscript"/>
        </w:rPr>
        <w:t>A</w:t>
      </w:r>
      <w:r w:rsidR="00096DF7" w:rsidRPr="00C47F2F">
        <w:rPr>
          <w:noProof/>
          <w:sz w:val="20"/>
          <w:szCs w:val="20"/>
        </w:rPr>
        <w:t xml:space="preserve"> values for inhaled materials are applied: </w:t>
      </w:r>
      <w:r w:rsidR="00096DF7" w:rsidRPr="00C47F2F">
        <w:rPr>
          <w:i/>
          <w:noProof/>
          <w:sz w:val="20"/>
          <w:szCs w:val="20"/>
        </w:rPr>
        <w:t>i.e.</w:t>
      </w:r>
      <w:r w:rsidR="00096DF7" w:rsidRPr="00C47F2F">
        <w:rPr>
          <w:noProof/>
          <w:sz w:val="20"/>
          <w:szCs w:val="20"/>
        </w:rPr>
        <w:t xml:space="preserve">, the product of </w:t>
      </w:r>
      <w:r w:rsidR="00096DF7" w:rsidRPr="00C47F2F">
        <w:rPr>
          <w:i/>
          <w:noProof/>
          <w:sz w:val="20"/>
          <w:szCs w:val="20"/>
        </w:rPr>
        <w:t>f</w:t>
      </w:r>
      <w:r w:rsidR="00096DF7" w:rsidRPr="00C47F2F">
        <w:rPr>
          <w:noProof/>
          <w:sz w:val="20"/>
          <w:szCs w:val="20"/>
          <w:vertAlign w:val="subscript"/>
        </w:rPr>
        <w:t>r</w:t>
      </w:r>
      <w:r w:rsidR="00096DF7" w:rsidRPr="00C47F2F">
        <w:rPr>
          <w:noProof/>
          <w:sz w:val="20"/>
          <w:szCs w:val="20"/>
        </w:rPr>
        <w:t xml:space="preserve"> for the absorption Type (or specific value where given) and the </w:t>
      </w:r>
      <w:r w:rsidR="00096DF7" w:rsidRPr="00C47F2F">
        <w:rPr>
          <w:i/>
          <w:noProof/>
          <w:sz w:val="20"/>
          <w:szCs w:val="20"/>
        </w:rPr>
        <w:t>f</w:t>
      </w:r>
      <w:r w:rsidR="00096DF7" w:rsidRPr="00C47F2F">
        <w:rPr>
          <w:noProof/>
          <w:sz w:val="20"/>
          <w:szCs w:val="20"/>
          <w:vertAlign w:val="subscript"/>
        </w:rPr>
        <w:t>A</w:t>
      </w:r>
      <w:r w:rsidR="00096DF7" w:rsidRPr="00C47F2F">
        <w:rPr>
          <w:noProof/>
          <w:sz w:val="20"/>
          <w:szCs w:val="20"/>
        </w:rPr>
        <w:t xml:space="preserve"> value for ingested soluble forms of berkelium</w:t>
      </w:r>
      <w:r w:rsidR="00F96B84" w:rsidRPr="00C47F2F">
        <w:rPr>
          <w:noProof/>
          <w:sz w:val="20"/>
          <w:szCs w:val="20"/>
        </w:rPr>
        <w:t xml:space="preserve"> </w:t>
      </w:r>
      <w:bookmarkStart w:id="375" w:name="_Hlk125642037"/>
      <w:r w:rsidR="00F96B84" w:rsidRPr="00C47F2F">
        <w:rPr>
          <w:noProof/>
          <w:sz w:val="20"/>
          <w:szCs w:val="20"/>
        </w:rPr>
        <w:t>applicable to the age-group of interest (</w:t>
      </w:r>
      <w:r w:rsidR="00F96B84" w:rsidRPr="00C47F2F">
        <w:rPr>
          <w:i/>
          <w:iCs/>
          <w:noProof/>
          <w:sz w:val="20"/>
          <w:szCs w:val="20"/>
        </w:rPr>
        <w:t>e.g</w:t>
      </w:r>
      <w:r w:rsidR="00096DF7" w:rsidRPr="00C47F2F">
        <w:rPr>
          <w:noProof/>
          <w:sz w:val="20"/>
          <w:szCs w:val="20"/>
        </w:rPr>
        <w:t xml:space="preserve"> 5</w:t>
      </w:r>
      <w:r w:rsidR="00DF3BD3" w:rsidRPr="00C47F2F">
        <w:rPr>
          <w:noProof/>
          <w:sz w:val="20"/>
          <w:szCs w:val="20"/>
        </w:rPr>
        <w:t> × </w:t>
      </w:r>
      <w:r w:rsidR="00096DF7" w:rsidRPr="00C47F2F">
        <w:rPr>
          <w:noProof/>
          <w:sz w:val="20"/>
          <w:szCs w:val="20"/>
        </w:rPr>
        <w:t>10</w:t>
      </w:r>
      <w:r w:rsidR="00096DF7" w:rsidRPr="00C47F2F">
        <w:rPr>
          <w:noProof/>
          <w:sz w:val="20"/>
          <w:szCs w:val="20"/>
          <w:vertAlign w:val="superscript"/>
        </w:rPr>
        <w:t>–4</w:t>
      </w:r>
      <w:r w:rsidR="00F96B84" w:rsidRPr="00C47F2F">
        <w:rPr>
          <w:noProof/>
          <w:sz w:val="20"/>
          <w:szCs w:val="20"/>
        </w:rPr>
        <w:t xml:space="preserve"> for adults</w:t>
      </w:r>
      <w:r w:rsidR="00096DF7" w:rsidRPr="00C47F2F">
        <w:rPr>
          <w:noProof/>
          <w:sz w:val="20"/>
          <w:szCs w:val="20"/>
        </w:rPr>
        <w:t>)</w:t>
      </w:r>
      <w:bookmarkEnd w:id="375"/>
      <w:r w:rsidR="00096DF7" w:rsidRPr="00C47F2F">
        <w:rPr>
          <w:noProof/>
          <w:sz w:val="20"/>
          <w:szCs w:val="20"/>
        </w:rPr>
        <w:t>.</w:t>
      </w:r>
    </w:p>
    <w:p w14:paraId="0AF434FB" w14:textId="1C71285E" w:rsidR="001E3A9E" w:rsidRPr="00C47F2F" w:rsidRDefault="001E1A51" w:rsidP="00E81109">
      <w:pPr>
        <w:pStyle w:val="Note"/>
        <w:rPr>
          <w:noProof/>
          <w:sz w:val="20"/>
          <w:szCs w:val="20"/>
        </w:rPr>
      </w:pPr>
      <w:r w:rsidRPr="00C47F2F">
        <w:rPr>
          <w:noProof/>
          <w:sz w:val="20"/>
          <w:szCs w:val="20"/>
          <w:vertAlign w:val="superscript"/>
        </w:rPr>
        <w:t>‡</w:t>
      </w:r>
      <w:r w:rsidR="001E3A9E" w:rsidRPr="00C47F2F">
        <w:rPr>
          <w:noProof/>
          <w:sz w:val="20"/>
          <w:szCs w:val="20"/>
        </w:rPr>
        <w:t xml:space="preserve">Materials (e.g. berkelium oxide) are generally listed here where there is sufficient information to assign to a default absorption Type, but not to give specific parameter values or because specific parameter values would not be significantly different from the default (see </w:t>
      </w:r>
      <w:r w:rsidR="001D39EC" w:rsidRPr="00C47F2F">
        <w:rPr>
          <w:noProof/>
          <w:sz w:val="20"/>
          <w:szCs w:val="20"/>
        </w:rPr>
        <w:t xml:space="preserve">Section 25 of </w:t>
      </w:r>
      <w:r w:rsidR="00572B5F" w:rsidRPr="00C47F2F">
        <w:rPr>
          <w:i/>
          <w:noProof/>
          <w:sz w:val="20"/>
          <w:szCs w:val="20"/>
        </w:rPr>
        <w:t xml:space="preserve">Publication </w:t>
      </w:r>
      <w:r w:rsidR="00D4443E" w:rsidRPr="00C47F2F">
        <w:rPr>
          <w:i/>
          <w:noProof/>
          <w:sz w:val="20"/>
          <w:szCs w:val="20"/>
        </w:rPr>
        <w:t>141</w:t>
      </w:r>
      <w:r w:rsidR="00D4443E" w:rsidRPr="00C47F2F">
        <w:rPr>
          <w:noProof/>
          <w:sz w:val="20"/>
          <w:szCs w:val="20"/>
        </w:rPr>
        <w:t xml:space="preserve"> </w:t>
      </w:r>
      <w:r w:rsidR="00DF3BD3" w:rsidRPr="00C47F2F">
        <w:rPr>
          <w:noProof/>
          <w:sz w:val="20"/>
          <w:szCs w:val="20"/>
        </w:rPr>
        <w:fldChar w:fldCharType="begin"/>
      </w:r>
      <w:r w:rsidR="00F4369C" w:rsidRPr="00C47F2F">
        <w:rPr>
          <w:noProof/>
          <w:sz w:val="20"/>
          <w:szCs w:val="20"/>
        </w:rPr>
        <w:instrText xml:space="preserve"> ADDIN ZOTERO_ITEM CSL_CITATION {"citationID":"p3O1p9yF","properties":{"formattedCitation":"(ICRP,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DF3BD3" w:rsidRPr="00C47F2F">
        <w:rPr>
          <w:noProof/>
          <w:sz w:val="20"/>
          <w:szCs w:val="20"/>
        </w:rPr>
        <w:fldChar w:fldCharType="separate"/>
      </w:r>
      <w:r w:rsidR="00F4369C" w:rsidRPr="00C47F2F">
        <w:rPr>
          <w:noProof/>
          <w:sz w:val="20"/>
          <w:szCs w:val="20"/>
        </w:rPr>
        <w:t>(ICRP, 2019)</w:t>
      </w:r>
      <w:r w:rsidR="00DF3BD3" w:rsidRPr="00C47F2F">
        <w:rPr>
          <w:noProof/>
          <w:sz w:val="20"/>
          <w:szCs w:val="20"/>
        </w:rPr>
        <w:fldChar w:fldCharType="end"/>
      </w:r>
      <w:r w:rsidR="00DF3BD3" w:rsidRPr="00C47F2F">
        <w:rPr>
          <w:noProof/>
          <w:sz w:val="20"/>
          <w:szCs w:val="20"/>
        </w:rPr>
        <w:t>)</w:t>
      </w:r>
      <w:r w:rsidR="001E3A9E" w:rsidRPr="00C47F2F">
        <w:rPr>
          <w:noProof/>
          <w:sz w:val="20"/>
          <w:szCs w:val="20"/>
        </w:rPr>
        <w:t>.</w:t>
      </w:r>
    </w:p>
    <w:p w14:paraId="55A126B9" w14:textId="68D36DB7" w:rsidR="00096DF7" w:rsidRPr="00C47F2F" w:rsidRDefault="001E1A51" w:rsidP="001E1A51">
      <w:pPr>
        <w:pStyle w:val="Note"/>
        <w:rPr>
          <w:noProof/>
          <w:sz w:val="20"/>
          <w:szCs w:val="20"/>
        </w:rPr>
      </w:pPr>
      <w:r w:rsidRPr="00C47F2F">
        <w:rPr>
          <w:noProof/>
          <w:sz w:val="20"/>
          <w:szCs w:val="20"/>
          <w:vertAlign w:val="superscript"/>
        </w:rPr>
        <w:t>§</w:t>
      </w:r>
      <w:r w:rsidR="00096DF7" w:rsidRPr="00C47F2F">
        <w:rPr>
          <w:noProof/>
          <w:sz w:val="20"/>
          <w:szCs w:val="20"/>
        </w:rPr>
        <w:t>Default Type M is recommended for use in the absence of specific information</w:t>
      </w:r>
      <w:r w:rsidR="00096DF7" w:rsidRPr="00C47F2F">
        <w:rPr>
          <w:noProof/>
          <w:color w:val="000000" w:themeColor="text1"/>
          <w:sz w:val="20"/>
          <w:szCs w:val="20"/>
        </w:rPr>
        <w:t xml:space="preserve"> on which the exposure material can be assigned to an Absorption Type, </w:t>
      </w:r>
      <w:r w:rsidR="00096DF7" w:rsidRPr="00C47F2F">
        <w:rPr>
          <w:i/>
          <w:noProof/>
          <w:color w:val="000000" w:themeColor="text1"/>
          <w:sz w:val="20"/>
          <w:szCs w:val="20"/>
        </w:rPr>
        <w:t>e.g.</w:t>
      </w:r>
      <w:r w:rsidR="00096DF7" w:rsidRPr="00C47F2F">
        <w:rPr>
          <w:noProof/>
          <w:sz w:val="20"/>
          <w:szCs w:val="20"/>
        </w:rPr>
        <w:t xml:space="preserve"> if the form is unknown, or if the form is known but there is no information available on the absorption of that form from the respiratory tract.</w:t>
      </w:r>
    </w:p>
    <w:p w14:paraId="22576120" w14:textId="36B99FC5" w:rsidR="00096DF7" w:rsidRPr="00C47F2F" w:rsidRDefault="001E1A51" w:rsidP="00E81109">
      <w:pPr>
        <w:pStyle w:val="Note"/>
        <w:rPr>
          <w:noProof/>
          <w:sz w:val="20"/>
          <w:szCs w:val="20"/>
        </w:rPr>
      </w:pPr>
      <w:r w:rsidRPr="00C47F2F">
        <w:rPr>
          <w:noProof/>
          <w:color w:val="000000" w:themeColor="text1"/>
          <w:sz w:val="20"/>
          <w:szCs w:val="20"/>
          <w:vertAlign w:val="superscript"/>
        </w:rPr>
        <w:t>¶</w:t>
      </w:r>
      <w:r w:rsidR="00096DF7" w:rsidRPr="00C47F2F">
        <w:rPr>
          <w:noProof/>
          <w:color w:val="000000" w:themeColor="text1"/>
          <w:sz w:val="20"/>
          <w:szCs w:val="20"/>
        </w:rPr>
        <w:t xml:space="preserve">Activity transferred from systemic compartments into segments of the alimentary tract is assumed to be subject to reabsorption to blood. The default absorption fraction </w:t>
      </w:r>
      <w:r w:rsidR="00096DF7" w:rsidRPr="00C47F2F">
        <w:rPr>
          <w:i/>
          <w:noProof/>
          <w:color w:val="000000" w:themeColor="text1"/>
          <w:sz w:val="20"/>
          <w:szCs w:val="20"/>
        </w:rPr>
        <w:t>f</w:t>
      </w:r>
      <w:r w:rsidR="00096DF7" w:rsidRPr="00C47F2F">
        <w:rPr>
          <w:noProof/>
          <w:color w:val="000000" w:themeColor="text1"/>
          <w:sz w:val="20"/>
          <w:szCs w:val="20"/>
          <w:vertAlign w:val="subscript"/>
        </w:rPr>
        <w:t>A</w:t>
      </w:r>
      <w:r w:rsidR="00096DF7" w:rsidRPr="00C47F2F">
        <w:rPr>
          <w:noProof/>
          <w:color w:val="000000" w:themeColor="text1"/>
          <w:sz w:val="20"/>
          <w:szCs w:val="20"/>
        </w:rPr>
        <w:t xml:space="preserve"> for the secreted activity is the reference</w:t>
      </w:r>
      <w:r w:rsidR="00F96B84" w:rsidRPr="00C47F2F">
        <w:rPr>
          <w:noProof/>
          <w:color w:val="000000" w:themeColor="text1"/>
          <w:sz w:val="20"/>
          <w:szCs w:val="20"/>
        </w:rPr>
        <w:t xml:space="preserve"> value</w:t>
      </w:r>
      <w:r w:rsidR="00096DF7" w:rsidRPr="00C47F2F">
        <w:rPr>
          <w:noProof/>
          <w:color w:val="000000" w:themeColor="text1"/>
          <w:sz w:val="20"/>
          <w:szCs w:val="20"/>
        </w:rPr>
        <w:t xml:space="preserve"> for ingestion of the radionuclide</w:t>
      </w:r>
      <w:r w:rsidR="00F96B84" w:rsidRPr="00C47F2F">
        <w:rPr>
          <w:noProof/>
          <w:color w:val="000000" w:themeColor="text1"/>
          <w:sz w:val="20"/>
          <w:szCs w:val="20"/>
        </w:rPr>
        <w:t xml:space="preserve"> </w:t>
      </w:r>
      <w:r w:rsidR="00F96B84" w:rsidRPr="00C47F2F">
        <w:rPr>
          <w:noProof/>
          <w:sz w:val="20"/>
          <w:szCs w:val="20"/>
        </w:rPr>
        <w:t>applicable to the age-group of interest (</w:t>
      </w:r>
      <w:r w:rsidR="00F96B84" w:rsidRPr="00C47F2F">
        <w:rPr>
          <w:i/>
          <w:iCs/>
          <w:noProof/>
          <w:sz w:val="20"/>
          <w:szCs w:val="20"/>
        </w:rPr>
        <w:t xml:space="preserve">e.g </w:t>
      </w:r>
      <w:r w:rsidR="00F96B84" w:rsidRPr="00C47F2F">
        <w:rPr>
          <w:noProof/>
          <w:sz w:val="20"/>
          <w:szCs w:val="20"/>
        </w:rPr>
        <w:t>5</w:t>
      </w:r>
      <w:r w:rsidR="00DF3BD3" w:rsidRPr="00C47F2F">
        <w:rPr>
          <w:noProof/>
          <w:sz w:val="20"/>
          <w:szCs w:val="20"/>
        </w:rPr>
        <w:t> × </w:t>
      </w:r>
      <w:r w:rsidR="00F96B84" w:rsidRPr="00C47F2F">
        <w:rPr>
          <w:noProof/>
          <w:sz w:val="20"/>
          <w:szCs w:val="20"/>
        </w:rPr>
        <w:t>10</w:t>
      </w:r>
      <w:r w:rsidR="00F96B84" w:rsidRPr="00C47F2F">
        <w:rPr>
          <w:noProof/>
          <w:sz w:val="20"/>
          <w:szCs w:val="20"/>
          <w:vertAlign w:val="superscript"/>
        </w:rPr>
        <w:t>–4</w:t>
      </w:r>
      <w:r w:rsidR="00F96B84" w:rsidRPr="00C47F2F">
        <w:rPr>
          <w:noProof/>
          <w:sz w:val="20"/>
          <w:szCs w:val="20"/>
        </w:rPr>
        <w:t xml:space="preserve"> for adults)</w:t>
      </w:r>
      <w:r w:rsidR="00096DF7" w:rsidRPr="00C47F2F">
        <w:rPr>
          <w:noProof/>
          <w:color w:val="000000" w:themeColor="text1"/>
          <w:sz w:val="20"/>
          <w:szCs w:val="20"/>
        </w:rPr>
        <w:t>.</w:t>
      </w:r>
    </w:p>
    <w:p w14:paraId="6150052F" w14:textId="77777777" w:rsidR="00096DF7" w:rsidRPr="00972C81" w:rsidRDefault="00096DF7" w:rsidP="00096DF7">
      <w:pPr>
        <w:rPr>
          <w:rFonts w:ascii="Times Roman" w:hAnsi="Times Roman"/>
          <w:noProof/>
          <w:color w:val="000000" w:themeColor="text1"/>
        </w:rPr>
      </w:pPr>
    </w:p>
    <w:p w14:paraId="55E3D109" w14:textId="77777777" w:rsidR="00096DF7" w:rsidRPr="00972C81" w:rsidRDefault="00096DF7" w:rsidP="00E81109">
      <w:pPr>
        <w:pStyle w:val="3"/>
        <w:rPr>
          <w:noProof/>
        </w:rPr>
      </w:pPr>
      <w:bookmarkStart w:id="376" w:name="_Toc162630124"/>
      <w:r w:rsidRPr="00972C81">
        <w:rPr>
          <w:noProof/>
        </w:rPr>
        <w:lastRenderedPageBreak/>
        <w:t>Ingestion</w:t>
      </w:r>
      <w:bookmarkEnd w:id="376"/>
    </w:p>
    <w:p w14:paraId="1FD734DE" w14:textId="13CA4133" w:rsidR="00DB3AC7" w:rsidRPr="00972C81" w:rsidRDefault="00DB3AC7" w:rsidP="001C4A92">
      <w:pPr>
        <w:pStyle w:val="Annalstext"/>
        <w:rPr>
          <w:noProof/>
        </w:rPr>
      </w:pPr>
      <w:r w:rsidRPr="00972C81">
        <w:rPr>
          <w:i/>
          <w:noProof/>
        </w:rPr>
        <w:t>Adults</w:t>
      </w:r>
      <w:r w:rsidRPr="00972C81">
        <w:rPr>
          <w:noProof/>
        </w:rPr>
        <w:t xml:space="preserve">. Very limited information is available on the gastrointestinal absorption of berkelium: an early study by Hungate </w:t>
      </w:r>
      <w:r w:rsidR="00DF3BD3" w:rsidRPr="00972C81">
        <w:rPr>
          <w:noProof/>
        </w:rPr>
        <w:fldChar w:fldCharType="begin"/>
      </w:r>
      <w:r w:rsidR="00F4369C" w:rsidRPr="00972C81">
        <w:rPr>
          <w:noProof/>
        </w:rPr>
        <w:instrText xml:space="preserve"> ADDIN ZOTERO_ITEM CSL_CITATION {"citationID":"a1snecknp55","properties":{"formattedCitation":"(1972)","plainCitation":"(1972)","noteIndex":0},"citationItems":[{"id":5266,"uris":["http://zotero.org/groups/2470620/items/5P8YPB49"],"itemData":{"id":5266,"type":"article-journal","abstract":"Rats were administered253Es by intragastric, intratracheal, intravenous, intraperitoneal, transplacental and transcutaneous routes. Early results from these studies are reported. Data are also reported on the intragastric and intravenous administration of249Bk. Results are consistent in general form with what would have been predicted from the known behavior of lighter actinides. © 1972 Health Physics Society.","archive":"Scopus","container-title":"Health Physics","DOI":"10.1097/00004032-197206000-00018","issue":"6","page":"653-656","source":"Scopus","title":"Preliminary data on 253Es and 249Bk metabolism in rats","volume":"22","author":[{"family":"Hungate","given":"F.P."},{"family":"Ballou","given":"J.E."},{"family":"Mahlum","given":"D.D."},{"family":"Kashima","given":"M."},{"family":"Smith","given":"V.H."},{"family":"Sanders","given":"C.L."},{"family":"Baxter","given":"D.W."},{"family":"Sikov","given":"M.R."},{"family":"Thompson","given":"R.C."}],"issued":{"date-parts":[["1972"]]}},"label":"page","suppress-author":true}],"schema":"https://github.com/citation-style-language/schema/raw/master/csl-citation.json"} </w:instrText>
      </w:r>
      <w:r w:rsidR="00DF3BD3" w:rsidRPr="00972C81">
        <w:rPr>
          <w:noProof/>
        </w:rPr>
        <w:fldChar w:fldCharType="separate"/>
      </w:r>
      <w:r w:rsidR="00F4369C" w:rsidRPr="00972C81">
        <w:rPr>
          <w:noProof/>
          <w:szCs w:val="24"/>
        </w:rPr>
        <w:t>(1972)</w:t>
      </w:r>
      <w:r w:rsidR="00DF3BD3" w:rsidRPr="00972C81">
        <w:rPr>
          <w:noProof/>
        </w:rPr>
        <w:fldChar w:fldCharType="end"/>
      </w:r>
      <w:r w:rsidRPr="00972C81">
        <w:rPr>
          <w:noProof/>
        </w:rPr>
        <w:t xml:space="preserve"> indicated that the fractional absorption of intragastrically administered </w:t>
      </w:r>
      <w:r w:rsidRPr="00972C81">
        <w:rPr>
          <w:noProof/>
          <w:vertAlign w:val="superscript"/>
        </w:rPr>
        <w:t>248</w:t>
      </w:r>
      <w:r w:rsidRPr="00972C81">
        <w:rPr>
          <w:noProof/>
        </w:rPr>
        <w:t>Bk chloride in the rat was about 1</w:t>
      </w:r>
      <w:r w:rsidR="00067025" w:rsidRPr="00972C81">
        <w:rPr>
          <w:noProof/>
        </w:rPr>
        <w:t xml:space="preserve"> × </w:t>
      </w:r>
      <w:r w:rsidRPr="00972C81">
        <w:rPr>
          <w:noProof/>
        </w:rPr>
        <w:t>10</w:t>
      </w:r>
      <w:r w:rsidRPr="00972C81">
        <w:rPr>
          <w:noProof/>
          <w:vertAlign w:val="superscript"/>
        </w:rPr>
        <w:t>-4</w:t>
      </w:r>
      <w:r w:rsidRPr="00972C81">
        <w:rPr>
          <w:noProof/>
        </w:rPr>
        <w:t xml:space="preserve">. In </w:t>
      </w:r>
      <w:r w:rsidRPr="00972C81">
        <w:rPr>
          <w:i/>
          <w:noProof/>
        </w:rPr>
        <w:t>Publications</w:t>
      </w:r>
      <w:r w:rsidRPr="00972C81">
        <w:rPr>
          <w:noProof/>
        </w:rPr>
        <w:t xml:space="preserve"> 30 </w:t>
      </w:r>
      <w:r w:rsidR="00DF3BD3" w:rsidRPr="00972C81">
        <w:rPr>
          <w:noProof/>
        </w:rPr>
        <w:fldChar w:fldCharType="begin"/>
      </w:r>
      <w:r w:rsidR="00F4369C" w:rsidRPr="00972C81">
        <w:rPr>
          <w:noProof/>
        </w:rPr>
        <w:instrText xml:space="preserve"> ADDIN ZOTERO_ITEM CSL_CITATION {"citationID":"a297e4gnakh","properties":{"formattedCitation":"(ICRP, 1988)","plainCitation":"(ICRP, 1988)","noteIndex":0},"citationItems":[{"id":3117,"uris":["http://zotero.org/groups/2470620/items/8NQ5CWC2"],"itemData":{"id":3117,"type":"article-journal","container-title":"Annals of the ICRP","issue":"4","journalAbbreviation":"Ann. ICRP","language":"et","title":"Limits for intakes of radionuclides by workers: an addendum. ICRP Publication 30, Part 4","volume":"19","author":[{"literal":"ICRP"}],"issued":{"date-parts":[["1988"]]}}}],"schema":"https://github.com/citation-style-language/schema/raw/master/csl-citation.json"} </w:instrText>
      </w:r>
      <w:r w:rsidR="00DF3BD3" w:rsidRPr="00972C81">
        <w:rPr>
          <w:noProof/>
        </w:rPr>
        <w:fldChar w:fldCharType="separate"/>
      </w:r>
      <w:r w:rsidR="00F4369C" w:rsidRPr="00972C81">
        <w:rPr>
          <w:noProof/>
          <w:szCs w:val="24"/>
        </w:rPr>
        <w:t>(ICRP, 1988)</w:t>
      </w:r>
      <w:r w:rsidR="00DF3BD3" w:rsidRPr="00972C81">
        <w:rPr>
          <w:noProof/>
        </w:rPr>
        <w:fldChar w:fldCharType="end"/>
      </w:r>
      <w:r w:rsidRPr="00972C81">
        <w:rPr>
          <w:noProof/>
        </w:rPr>
        <w:t xml:space="preserve"> and </w:t>
      </w:r>
      <w:r w:rsidRPr="00972C81">
        <w:rPr>
          <w:i/>
          <w:noProof/>
        </w:rPr>
        <w:t>48</w:t>
      </w:r>
      <w:r w:rsidRPr="00972C81">
        <w:rPr>
          <w:noProof/>
        </w:rPr>
        <w:t xml:space="preserve"> </w:t>
      </w:r>
      <w:r w:rsidR="00DF3BD3" w:rsidRPr="00972C81">
        <w:rPr>
          <w:noProof/>
        </w:rPr>
        <w:fldChar w:fldCharType="begin"/>
      </w:r>
      <w:r w:rsidR="00F4369C" w:rsidRPr="00972C81">
        <w:rPr>
          <w:noProof/>
        </w:rPr>
        <w:instrText xml:space="preserve"> ADDIN ZOTERO_ITEM CSL_CITATION {"citationID":"a1d2mq256h4","properties":{"formattedCitation":"(ICRP, 1986)","plainCitation":"(ICRP, 1986)","noteIndex":0},"citationItems":[{"id":4867,"uris":["http://zotero.org/groups/2470620/items/JBT3RHCV"],"itemData":{"id":4867,"type":"article-journal","container-title":"Annals of the ICRP","issue":"2/3","journalAbbreviation":"Ann. ICRP","language":"et","title":"The Metabolism of Plutonium and Related Elements. ICRP Publication 48","volume":"16","author":[{"literal":"ICRP"}],"issued":{"date-parts":[["1986"]]}}}],"schema":"https://github.com/citation-style-language/schema/raw/master/csl-citation.json"} </w:instrText>
      </w:r>
      <w:r w:rsidR="00DF3BD3" w:rsidRPr="00972C81">
        <w:rPr>
          <w:noProof/>
        </w:rPr>
        <w:fldChar w:fldCharType="separate"/>
      </w:r>
      <w:r w:rsidR="00F4369C" w:rsidRPr="00972C81">
        <w:rPr>
          <w:noProof/>
          <w:szCs w:val="24"/>
        </w:rPr>
        <w:t>(ICRP, 1986)</w:t>
      </w:r>
      <w:r w:rsidR="00DF3BD3" w:rsidRPr="00972C81">
        <w:rPr>
          <w:noProof/>
        </w:rPr>
        <w:fldChar w:fldCharType="end"/>
      </w:r>
      <w:r w:rsidRPr="00972C81">
        <w:rPr>
          <w:noProof/>
        </w:rPr>
        <w:t xml:space="preserve"> an absorption fraction of 1</w:t>
      </w:r>
      <w:r w:rsidR="00067025" w:rsidRPr="00972C81">
        <w:rPr>
          <w:noProof/>
        </w:rPr>
        <w:t xml:space="preserve"> × </w:t>
      </w:r>
      <w:r w:rsidRPr="00972C81">
        <w:rPr>
          <w:noProof/>
        </w:rPr>
        <w:t>10</w:t>
      </w:r>
      <w:r w:rsidRPr="00972C81">
        <w:rPr>
          <w:noProof/>
          <w:vertAlign w:val="superscript"/>
        </w:rPr>
        <w:t>-3</w:t>
      </w:r>
      <w:r w:rsidRPr="00972C81">
        <w:rPr>
          <w:noProof/>
        </w:rPr>
        <w:t xml:space="preserve"> was recommended for berkelium. In </w:t>
      </w:r>
      <w:r w:rsidR="00D4443E" w:rsidRPr="00972C81">
        <w:rPr>
          <w:i/>
          <w:noProof/>
        </w:rPr>
        <w:t>Publication 141</w:t>
      </w:r>
      <w:r w:rsidR="00D4443E" w:rsidRPr="00972C81">
        <w:rPr>
          <w:noProof/>
        </w:rPr>
        <w:t xml:space="preserve"> </w:t>
      </w:r>
      <w:r w:rsidR="00DF3BD3" w:rsidRPr="00972C81">
        <w:rPr>
          <w:noProof/>
        </w:rPr>
        <w:fldChar w:fldCharType="begin"/>
      </w:r>
      <w:r w:rsidR="00F4369C" w:rsidRPr="00972C81">
        <w:rPr>
          <w:noProof/>
        </w:rPr>
        <w:instrText xml:space="preserve"> ADDIN ZOTERO_ITEM CSL_CITATION {"citationID":"EwTo0mAP","properties":{"formattedCitation":"(ICRP,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DF3BD3" w:rsidRPr="00972C81">
        <w:rPr>
          <w:noProof/>
        </w:rPr>
        <w:fldChar w:fldCharType="separate"/>
      </w:r>
      <w:r w:rsidR="00F4369C" w:rsidRPr="00972C81">
        <w:rPr>
          <w:noProof/>
          <w:szCs w:val="24"/>
        </w:rPr>
        <w:t>(ICRP, 2019)</w:t>
      </w:r>
      <w:r w:rsidR="00DF3BD3" w:rsidRPr="00972C81">
        <w:rPr>
          <w:noProof/>
        </w:rPr>
        <w:fldChar w:fldCharType="end"/>
      </w:r>
      <w:r w:rsidRPr="00972C81">
        <w:rPr>
          <w:noProof/>
        </w:rPr>
        <w:t xml:space="preserve">, </w:t>
      </w:r>
      <w:r w:rsidRPr="00972C81">
        <w:rPr>
          <w:noProof/>
          <w:szCs w:val="24"/>
        </w:rPr>
        <w:t xml:space="preserve">on the basis of results showing similar low levels of absorption </w:t>
      </w:r>
      <w:r w:rsidR="00BB503E">
        <w:rPr>
          <w:noProof/>
          <w:szCs w:val="24"/>
        </w:rPr>
        <w:t>in humans</w:t>
      </w:r>
      <w:r w:rsidRPr="00972C81">
        <w:rPr>
          <w:noProof/>
          <w:szCs w:val="24"/>
        </w:rPr>
        <w:t xml:space="preserve"> for five actinide elements (thorium, neptunium, plutonium, americium and curium) and taking account of animal data showing variations in </w:t>
      </w:r>
      <w:r w:rsidRPr="00972C81">
        <w:rPr>
          <w:i/>
          <w:noProof/>
          <w:szCs w:val="24"/>
        </w:rPr>
        <w:t>f</w:t>
      </w:r>
      <w:r w:rsidRPr="00972C81">
        <w:rPr>
          <w:noProof/>
          <w:szCs w:val="24"/>
          <w:vertAlign w:val="subscript"/>
        </w:rPr>
        <w:t>A</w:t>
      </w:r>
      <w:r w:rsidRPr="00972C81">
        <w:rPr>
          <w:noProof/>
          <w:szCs w:val="24"/>
        </w:rPr>
        <w:t xml:space="preserve"> values resulting from differences in chemical forms, it was considered that an appropriate general </w:t>
      </w:r>
      <w:r w:rsidRPr="00972C81">
        <w:rPr>
          <w:i/>
          <w:noProof/>
          <w:szCs w:val="24"/>
        </w:rPr>
        <w:t>f</w:t>
      </w:r>
      <w:r w:rsidRPr="00972C81">
        <w:rPr>
          <w:noProof/>
          <w:szCs w:val="24"/>
          <w:vertAlign w:val="subscript"/>
        </w:rPr>
        <w:t>A</w:t>
      </w:r>
      <w:r w:rsidRPr="00972C81">
        <w:rPr>
          <w:noProof/>
          <w:szCs w:val="24"/>
        </w:rPr>
        <w:t xml:space="preserve"> value for all chemical forms of actinides except uranium was 5</w:t>
      </w:r>
      <w:r w:rsidR="00067025" w:rsidRPr="00972C81">
        <w:rPr>
          <w:noProof/>
          <w:szCs w:val="24"/>
        </w:rPr>
        <w:t xml:space="preserve"> × </w:t>
      </w:r>
      <w:r w:rsidRPr="00972C81">
        <w:rPr>
          <w:noProof/>
          <w:szCs w:val="24"/>
        </w:rPr>
        <w:t>10</w:t>
      </w:r>
      <w:r w:rsidRPr="00972C81">
        <w:rPr>
          <w:noProof/>
          <w:szCs w:val="24"/>
          <w:vertAlign w:val="superscript"/>
        </w:rPr>
        <w:t>-4</w:t>
      </w:r>
      <w:r w:rsidRPr="00972C81">
        <w:rPr>
          <w:noProof/>
          <w:szCs w:val="24"/>
        </w:rPr>
        <w:t xml:space="preserve">. The same </w:t>
      </w:r>
      <w:r w:rsidRPr="00972C81">
        <w:rPr>
          <w:i/>
          <w:noProof/>
          <w:szCs w:val="24"/>
        </w:rPr>
        <w:t>f</w:t>
      </w:r>
      <w:r w:rsidRPr="00972C81">
        <w:rPr>
          <w:noProof/>
          <w:szCs w:val="24"/>
          <w:vertAlign w:val="subscript"/>
        </w:rPr>
        <w:t>A</w:t>
      </w:r>
      <w:r w:rsidRPr="00972C81">
        <w:rPr>
          <w:noProof/>
          <w:szCs w:val="24"/>
        </w:rPr>
        <w:t xml:space="preserve"> = 5</w:t>
      </w:r>
      <w:r w:rsidR="00067025" w:rsidRPr="00972C81">
        <w:rPr>
          <w:noProof/>
          <w:szCs w:val="24"/>
        </w:rPr>
        <w:t xml:space="preserve"> × </w:t>
      </w:r>
      <w:r w:rsidRPr="00972C81">
        <w:rPr>
          <w:noProof/>
          <w:szCs w:val="24"/>
        </w:rPr>
        <w:t>10</w:t>
      </w:r>
      <w:r w:rsidRPr="00972C81">
        <w:rPr>
          <w:noProof/>
          <w:szCs w:val="24"/>
          <w:vertAlign w:val="superscript"/>
        </w:rPr>
        <w:t>-4</w:t>
      </w:r>
      <w:r w:rsidRPr="00972C81">
        <w:rPr>
          <w:noProof/>
          <w:szCs w:val="24"/>
        </w:rPr>
        <w:t xml:space="preserve"> is recommended here for ingestion of berkelium by adult members of the public.</w:t>
      </w:r>
    </w:p>
    <w:p w14:paraId="7B860292" w14:textId="301E3152" w:rsidR="00DB3AC7" w:rsidRPr="00972C81" w:rsidRDefault="00DB3AC7" w:rsidP="001C4A92">
      <w:pPr>
        <w:pStyle w:val="Annalstext"/>
        <w:rPr>
          <w:noProof/>
        </w:rPr>
      </w:pPr>
      <w:r w:rsidRPr="00972C81">
        <w:rPr>
          <w:i/>
          <w:noProof/>
        </w:rPr>
        <w:t>Children</w:t>
      </w:r>
      <w:r w:rsidRPr="00972C81">
        <w:rPr>
          <w:noProof/>
        </w:rPr>
        <w:t>. The age-dependency of berkelium absorption was not observed. On the basis of the chemical analogy with the other actinides, t</w:t>
      </w:r>
      <w:r w:rsidRPr="00972C81">
        <w:rPr>
          <w:noProof/>
          <w:color w:val="000000"/>
          <w:szCs w:val="24"/>
          <w:lang w:eastAsia="fr-FR"/>
        </w:rPr>
        <w:t xml:space="preserve">he same values of </w:t>
      </w:r>
      <w:r w:rsidRPr="00972C81">
        <w:rPr>
          <w:i/>
          <w:noProof/>
          <w:color w:val="000000"/>
          <w:szCs w:val="24"/>
          <w:lang w:eastAsia="fr-FR"/>
        </w:rPr>
        <w:t>f</w:t>
      </w:r>
      <w:r w:rsidRPr="00972C81">
        <w:rPr>
          <w:noProof/>
          <w:color w:val="000000"/>
          <w:szCs w:val="24"/>
          <w:vertAlign w:val="subscript"/>
          <w:lang w:eastAsia="fr-FR"/>
        </w:rPr>
        <w:t>A</w:t>
      </w:r>
      <w:r w:rsidRPr="00972C81">
        <w:rPr>
          <w:noProof/>
          <w:color w:val="000000"/>
          <w:szCs w:val="24"/>
          <w:lang w:eastAsia="fr-FR"/>
        </w:rPr>
        <w:t xml:space="preserve"> = 5</w:t>
      </w:r>
      <w:r w:rsidR="00067025" w:rsidRPr="00972C81">
        <w:rPr>
          <w:noProof/>
          <w:color w:val="000000"/>
          <w:szCs w:val="24"/>
          <w:lang w:eastAsia="fr-FR"/>
        </w:rPr>
        <w:t xml:space="preserve"> × </w:t>
      </w:r>
      <w:r w:rsidRPr="00972C81">
        <w:rPr>
          <w:noProof/>
          <w:color w:val="000000"/>
          <w:szCs w:val="24"/>
          <w:lang w:eastAsia="fr-FR"/>
        </w:rPr>
        <w:t>10</w:t>
      </w:r>
      <w:r w:rsidRPr="00972C81">
        <w:rPr>
          <w:noProof/>
          <w:color w:val="000000"/>
          <w:szCs w:val="24"/>
          <w:vertAlign w:val="superscript"/>
          <w:lang w:eastAsia="fr-FR"/>
        </w:rPr>
        <w:t>-3</w:t>
      </w:r>
      <w:r w:rsidRPr="00972C81">
        <w:rPr>
          <w:noProof/>
          <w:color w:val="000000"/>
          <w:szCs w:val="24"/>
          <w:lang w:eastAsia="fr-FR"/>
        </w:rPr>
        <w:t xml:space="preserve"> for 3-month-old infants and 5</w:t>
      </w:r>
      <w:r w:rsidR="00067025" w:rsidRPr="00972C81">
        <w:rPr>
          <w:noProof/>
          <w:color w:val="000000"/>
          <w:szCs w:val="24"/>
          <w:lang w:eastAsia="fr-FR"/>
        </w:rPr>
        <w:t xml:space="preserve"> × </w:t>
      </w:r>
      <w:r w:rsidRPr="00972C81">
        <w:rPr>
          <w:noProof/>
          <w:color w:val="000000"/>
          <w:szCs w:val="24"/>
          <w:lang w:eastAsia="fr-FR"/>
        </w:rPr>
        <w:t>10</w:t>
      </w:r>
      <w:r w:rsidRPr="00972C81">
        <w:rPr>
          <w:noProof/>
          <w:color w:val="000000"/>
          <w:szCs w:val="24"/>
          <w:vertAlign w:val="superscript"/>
          <w:lang w:eastAsia="fr-FR"/>
        </w:rPr>
        <w:t>-4</w:t>
      </w:r>
      <w:r w:rsidRPr="00972C81">
        <w:rPr>
          <w:noProof/>
          <w:color w:val="000000"/>
          <w:szCs w:val="24"/>
          <w:lang w:eastAsia="fr-FR"/>
        </w:rPr>
        <w:t xml:space="preserve"> for children of 1 year and older are adopted here for berkelium as fo</w:t>
      </w:r>
      <w:r w:rsidR="00D4443E" w:rsidRPr="00972C81">
        <w:rPr>
          <w:noProof/>
          <w:color w:val="000000"/>
          <w:szCs w:val="24"/>
          <w:lang w:eastAsia="fr-FR"/>
        </w:rPr>
        <w:t>r thorium, neptunium, plutonium</w:t>
      </w:r>
      <w:r w:rsidRPr="00972C81">
        <w:rPr>
          <w:noProof/>
          <w:color w:val="000000"/>
          <w:szCs w:val="24"/>
          <w:lang w:eastAsia="fr-FR"/>
        </w:rPr>
        <w:t>, americium and curium.</w:t>
      </w:r>
    </w:p>
    <w:p w14:paraId="0A69D2D9" w14:textId="77777777" w:rsidR="004836EE" w:rsidRPr="00972C81" w:rsidRDefault="004836EE" w:rsidP="00E81109">
      <w:pPr>
        <w:pStyle w:val="3"/>
        <w:rPr>
          <w:noProof/>
        </w:rPr>
      </w:pPr>
      <w:bookmarkStart w:id="377" w:name="_Toc162630125"/>
      <w:r w:rsidRPr="00972C81">
        <w:rPr>
          <w:noProof/>
        </w:rPr>
        <w:t>Systemic Distribution, Retention and Excretion</w:t>
      </w:r>
      <w:bookmarkEnd w:id="377"/>
    </w:p>
    <w:p w14:paraId="44D836FA" w14:textId="77777777" w:rsidR="0036414D" w:rsidRPr="00972C81" w:rsidRDefault="0036414D" w:rsidP="006703A2">
      <w:pPr>
        <w:pStyle w:val="OIRTitre4"/>
      </w:pPr>
      <w:r w:rsidRPr="00972C81">
        <w:t>Summary of biokinetic data</w:t>
      </w:r>
    </w:p>
    <w:p w14:paraId="6C831457" w14:textId="2F5CF001" w:rsidR="0036414D" w:rsidRPr="00972C81" w:rsidRDefault="0036414D" w:rsidP="001C4A92">
      <w:pPr>
        <w:pStyle w:val="Annalstext"/>
        <w:rPr>
          <w:noProof/>
          <w:snapToGrid w:val="0"/>
        </w:rPr>
      </w:pPr>
      <w:r w:rsidRPr="00972C81">
        <w:rPr>
          <w:noProof/>
          <w:snapToGrid w:val="0"/>
        </w:rPr>
        <w:t xml:space="preserve">The biokinetics of </w:t>
      </w:r>
      <w:r w:rsidR="00A6674E" w:rsidRPr="00972C81">
        <w:rPr>
          <w:noProof/>
          <w:color w:val="000000"/>
          <w:szCs w:val="24"/>
          <w:lang w:eastAsia="fr-FR"/>
        </w:rPr>
        <w:t>berkelium</w:t>
      </w:r>
      <w:r w:rsidRPr="00972C81">
        <w:rPr>
          <w:noProof/>
          <w:snapToGrid w:val="0"/>
        </w:rPr>
        <w:t xml:space="preserve"> has been studied in rats </w:t>
      </w:r>
      <w:r w:rsidR="00A6674E" w:rsidRPr="00972C81">
        <w:rPr>
          <w:noProof/>
          <w:snapToGrid w:val="0"/>
        </w:rPr>
        <w:fldChar w:fldCharType="begin"/>
      </w:r>
      <w:r w:rsidR="00F4369C" w:rsidRPr="00972C81">
        <w:rPr>
          <w:noProof/>
          <w:snapToGrid w:val="0"/>
        </w:rPr>
        <w:instrText xml:space="preserve"> ADDIN ZOTERO_ITEM CSL_CITATION {"citationID":"a11fnq8nd3q","properties":{"formattedCitation":"(Hungate et al., 1972; Zalikin et al., 1984; Zalikin and Nisimov, 1988)","plainCitation":"(Hungate et al., 1972; Zalikin et al., 1984; Zalikin and Nisimov, 1988)","noteIndex":0},"citationItems":[{"id":5266,"uris":["http://zotero.org/groups/2470620/items/5P8YPB49"],"itemData":{"id":5266,"type":"article-journal","abstract":"Rats were administered253Es by intragastric, intratracheal, intravenous, intraperitoneal, transplacental and transcutaneous routes. Early results from these studies are reported. Data are also reported on the intragastric and intravenous administration of249Bk. Results are consistent in general form with what would have been predicted from the known behavior of lighter actinides. © 1972 Health Physics Society.","archive":"Scopus","container-title":"Health Physics","DOI":"10.1097/00004032-197206000-00018","issue":"6","page":"653-656","source":"Scopus","title":"Preliminary data on 253Es and 249Bk metabolism in rats","volume":"22","author":[{"family":"Hungate","given":"F.P."},{"family":"Ballou","given":"J.E."},{"family":"Mahlum","given":"D.D."},{"family":"Kashima","given":"M."},{"family":"Smith","given":"V.H."},{"family":"Sanders","given":"C.L."},{"family":"Baxter","given":"D.W."},{"family":"Sikov","given":"M.R."},{"family":"Thompson","given":"R.C."}],"issued":{"date-parts":[["1972"]]}}},{"id":5269,"uris":["http://zotero.org/groups/2470620/items/FDDH58MM"],"itemData":{"id":5269,"type":"article-journal","container-title":"Radiobiologiia","issue":"1","page":"122–125","source":"Google Scholar","title":"Berkelium-249 metabolism in the body of animals","volume":"24","author":[{"family":"Zalikin","given":"G. A."},{"family":"Moskalev","given":"Y.I."},{"family":"Nisimov","given":"V. G."}],"issued":{"date-parts":[["1984"]]}}},{"id":5270,"uris":["http://zotero.org/groups/2470620/items/JT9G3CEF"],"itemData":{"id":5270,"type":"article-journal","container-title":"Radiobiologiia","issue":"6","page":"845–847","source":"Google Scholar","title":"Absorption of 249Bk from the gastrointestinal tract of rats","volume":"28","author":[{"family":"Zalikin","given":"G. A."},{"family":"Nisimov","given":"P. G."}],"issued":{"date-parts":[["1988"]]}}}],"schema":"https://github.com/citation-style-language/schema/raw/master/csl-citation.json"} </w:instrText>
      </w:r>
      <w:r w:rsidR="00A6674E" w:rsidRPr="00972C81">
        <w:rPr>
          <w:noProof/>
          <w:snapToGrid w:val="0"/>
        </w:rPr>
        <w:fldChar w:fldCharType="separate"/>
      </w:r>
      <w:r w:rsidR="00F4369C" w:rsidRPr="00972C81">
        <w:rPr>
          <w:noProof/>
          <w:szCs w:val="24"/>
        </w:rPr>
        <w:t>(Hungate et al., 1972; Zalikin et al., 1984; Zalikin and Nisimov, 1988)</w:t>
      </w:r>
      <w:r w:rsidR="00A6674E" w:rsidRPr="00972C81">
        <w:rPr>
          <w:noProof/>
          <w:snapToGrid w:val="0"/>
        </w:rPr>
        <w:fldChar w:fldCharType="end"/>
      </w:r>
      <w:r w:rsidRPr="00972C81">
        <w:rPr>
          <w:noProof/>
          <w:snapToGrid w:val="0"/>
        </w:rPr>
        <w:t xml:space="preserve">, beagles </w:t>
      </w:r>
      <w:r w:rsidR="00A6674E" w:rsidRPr="00972C81">
        <w:rPr>
          <w:noProof/>
          <w:snapToGrid w:val="0"/>
        </w:rPr>
        <w:fldChar w:fldCharType="begin"/>
      </w:r>
      <w:r w:rsidR="00F4369C" w:rsidRPr="00972C81">
        <w:rPr>
          <w:noProof/>
          <w:snapToGrid w:val="0"/>
        </w:rPr>
        <w:instrText xml:space="preserve"> ADDIN ZOTERO_ITEM CSL_CITATION {"citationID":"a2nlh5aqg3a","properties":{"formattedCitation":"(Taylor et al., 1972)","plainCitation":"(Taylor et al., 1972)","noteIndex":0},"citationItems":[{"id":5271,"uris":["http://zotero.org/groups/2470620/items/TNBZEC9Q"],"itemData":{"id":5271,"type":"article-journal","abstract":"The microscopic distribution pattern of249Cf and249Bk in the soft tissues of beagles, one to three weeks following a single intravenous injection of a citrate solution, was found to be very similar to that of241Am. Relatively high concentrations occurred in the hepatic cells of the liver, the glomeruli of the kidney, the interfollicular region of the thyroid, the cartilaginous tissues of the lung, and the media of the smaller arterioles of most organs. Very intense, but sparsely scattered “hot spots” were also present in the renal papillae and in the submucosa of the bronchioles. Lesser sites of localization were the endocardium of the AV heart valves, the glassy membranes of the larger hairs of the coat, the zona pellucida of the Graafian follicles and the zona arcuata of the adrenal cortex. With the exception of the liver, where the radionuclide was principally within the hepatic cells, most of the deposition sites were extracellular, within or associated with connective tissue which gave a positive periodic acid-Schiff reaction. © 1972 Health Physics Society.","archive":"Scopus","container-title":"Health Physics","DOI":"10.1097/00004032-197206000-00024","issue":"6","page":"691-693","source":"Scopus","title":"Microscopic distribution of californium-249 and berkelium-249 in the soft tissues of beagles","volume":"22","author":[{"family":"Taylor","given":"G.N."},{"family":"Jee","given":"W.S."},{"family":"Mays","given":"C.W."},{"family":"Dell","given":"R.B."},{"family":"Williams","given":"J.L."},{"family":"Shabestari","given":"L."}],"issued":{"date-parts":[["1972"]]}}}],"schema":"https://github.com/citation-style-language/schema/raw/master/csl-citation.json"} </w:instrText>
      </w:r>
      <w:r w:rsidR="00A6674E" w:rsidRPr="00972C81">
        <w:rPr>
          <w:noProof/>
          <w:snapToGrid w:val="0"/>
        </w:rPr>
        <w:fldChar w:fldCharType="separate"/>
      </w:r>
      <w:r w:rsidR="00F4369C" w:rsidRPr="00972C81">
        <w:rPr>
          <w:noProof/>
          <w:szCs w:val="24"/>
        </w:rPr>
        <w:t>(Taylor et al., 1972)</w:t>
      </w:r>
      <w:r w:rsidR="00A6674E" w:rsidRPr="00972C81">
        <w:rPr>
          <w:noProof/>
          <w:snapToGrid w:val="0"/>
        </w:rPr>
        <w:fldChar w:fldCharType="end"/>
      </w:r>
      <w:r w:rsidRPr="00972C81">
        <w:rPr>
          <w:noProof/>
          <w:snapToGrid w:val="0"/>
        </w:rPr>
        <w:t xml:space="preserve">, and to a limited extent in accidentally exposed human subjects </w:t>
      </w:r>
      <w:r w:rsidR="00A6674E" w:rsidRPr="00972C81">
        <w:rPr>
          <w:noProof/>
          <w:snapToGrid w:val="0"/>
        </w:rPr>
        <w:fldChar w:fldCharType="begin"/>
      </w:r>
      <w:r w:rsidR="00F4369C" w:rsidRPr="00972C81">
        <w:rPr>
          <w:noProof/>
          <w:snapToGrid w:val="0"/>
        </w:rPr>
        <w:instrText xml:space="preserve"> ADDIN ZOTERO_ITEM CSL_CITATION {"citationID":"a3dt1nf511","properties":{"formattedCitation":"(Rundo and Sedlet, 1973)","plainCitation":"(Rundo and Sedlet, 1973)","noteIndex":0},"citationItems":[{"id":5274,"uris":["http://zotero.org/groups/2470620/items/5EKA4TDZ"],"itemData":{"id":5274,"type":"paper-conference","container-title":"Proceedings of the 3rd International Congress of the International Radiation Protection Association","event-place":"Washington, D.C.","event-title":"IRPA September 9-14, 1973","publisher":"Argonne National Lab., Ill.(USA)","publisher-place":"Washington, D.C.","source":"Google Scholar","title":"Retention and elimination of berkelium-249–californium-249 following acute accidental inhalation","URL":"https://www.osti.gov/biblio/4384632","volume":"IRPA CONF-730907-P1","author":[{"family":"Rundo","given":"J."},{"family":"Sedlet","given":"J."}],"accessed":{"date-parts":[["2023",10,5]]},"issued":{"date-parts":[["1973"]]}}}],"schema":"https://github.com/citation-style-language/schema/raw/master/csl-citation.json"} </w:instrText>
      </w:r>
      <w:r w:rsidR="00A6674E" w:rsidRPr="00972C81">
        <w:rPr>
          <w:noProof/>
          <w:snapToGrid w:val="0"/>
        </w:rPr>
        <w:fldChar w:fldCharType="separate"/>
      </w:r>
      <w:r w:rsidR="00F4369C" w:rsidRPr="00972C81">
        <w:rPr>
          <w:noProof/>
          <w:szCs w:val="24"/>
        </w:rPr>
        <w:t>(Rundo and Sedlet, 1973)</w:t>
      </w:r>
      <w:r w:rsidR="00A6674E" w:rsidRPr="00972C81">
        <w:rPr>
          <w:noProof/>
          <w:snapToGrid w:val="0"/>
        </w:rPr>
        <w:fldChar w:fldCharType="end"/>
      </w:r>
      <w:r w:rsidRPr="00972C81">
        <w:rPr>
          <w:noProof/>
          <w:snapToGrid w:val="0"/>
        </w:rPr>
        <w:t xml:space="preserve">. The data for human subjects reveal little about the systemic </w:t>
      </w:r>
      <w:r w:rsidR="00BB503E">
        <w:rPr>
          <w:noProof/>
          <w:snapToGrid w:val="0"/>
        </w:rPr>
        <w:t>behaviour</w:t>
      </w:r>
      <w:r w:rsidRPr="00972C81">
        <w:rPr>
          <w:noProof/>
          <w:snapToGrid w:val="0"/>
        </w:rPr>
        <w:t xml:space="preserve"> of Bk. Comparative data for Bk and Es in laboratory animals indicate that these elements have broadly similar biokinetics, but Bk has a lower rate of urinary excretion, lower deposition in the skeleton, greater deposition in the liver, and perhaps greater deposition in the kidneys than Es.</w:t>
      </w:r>
    </w:p>
    <w:p w14:paraId="32363785" w14:textId="0A0D1BE8" w:rsidR="0036414D" w:rsidRPr="00972C81" w:rsidRDefault="0036414D" w:rsidP="001C4A92">
      <w:pPr>
        <w:pStyle w:val="Annalstext"/>
        <w:rPr>
          <w:noProof/>
          <w:snapToGrid w:val="0"/>
        </w:rPr>
      </w:pPr>
      <w:r w:rsidRPr="00972C81">
        <w:rPr>
          <w:noProof/>
          <w:snapToGrid w:val="0"/>
        </w:rPr>
        <w:t xml:space="preserve">Following intravenous administration of </w:t>
      </w:r>
      <w:r w:rsidRPr="00972C81">
        <w:rPr>
          <w:noProof/>
          <w:snapToGrid w:val="0"/>
          <w:vertAlign w:val="superscript"/>
        </w:rPr>
        <w:t>249</w:t>
      </w:r>
      <w:r w:rsidRPr="00972C81">
        <w:rPr>
          <w:noProof/>
          <w:snapToGrid w:val="0"/>
        </w:rPr>
        <w:t xml:space="preserve">Bk and </w:t>
      </w:r>
      <w:r w:rsidRPr="00972C81">
        <w:rPr>
          <w:noProof/>
          <w:snapToGrid w:val="0"/>
          <w:vertAlign w:val="superscript"/>
        </w:rPr>
        <w:t>253</w:t>
      </w:r>
      <w:r w:rsidRPr="00972C81">
        <w:rPr>
          <w:noProof/>
          <w:snapToGrid w:val="0"/>
        </w:rPr>
        <w:t xml:space="preserve">Es to rats, about 8% of injected </w:t>
      </w:r>
      <w:r w:rsidRPr="00972C81">
        <w:rPr>
          <w:noProof/>
          <w:snapToGrid w:val="0"/>
          <w:vertAlign w:val="superscript"/>
        </w:rPr>
        <w:t>249</w:t>
      </w:r>
      <w:r w:rsidRPr="00972C81">
        <w:rPr>
          <w:noProof/>
          <w:snapToGrid w:val="0"/>
        </w:rPr>
        <w:t xml:space="preserve">Bk was excreted in urine during the first day, compared with about 35% of injected </w:t>
      </w:r>
      <w:r w:rsidRPr="00972C81">
        <w:rPr>
          <w:noProof/>
          <w:snapToGrid w:val="0"/>
          <w:vertAlign w:val="superscript"/>
        </w:rPr>
        <w:t>253</w:t>
      </w:r>
      <w:r w:rsidRPr="00972C81">
        <w:rPr>
          <w:noProof/>
          <w:snapToGrid w:val="0"/>
        </w:rPr>
        <w:t xml:space="preserve">Es </w:t>
      </w:r>
      <w:r w:rsidR="00A6674E" w:rsidRPr="00972C81">
        <w:rPr>
          <w:noProof/>
          <w:snapToGrid w:val="0"/>
        </w:rPr>
        <w:fldChar w:fldCharType="begin"/>
      </w:r>
      <w:r w:rsidR="00F4369C" w:rsidRPr="00972C81">
        <w:rPr>
          <w:noProof/>
          <w:snapToGrid w:val="0"/>
        </w:rPr>
        <w:instrText xml:space="preserve"> ADDIN ZOTERO_ITEM CSL_CITATION {"citationID":"ah2njfmche","properties":{"formattedCitation":"(Hungate et al., 1972)","plainCitation":"(Hungate et al., 1972)","noteIndex":0},"citationItems":[{"id":5266,"uris":["http://zotero.org/groups/2470620/items/5P8YPB49"],"itemData":{"id":5266,"type":"article-journal","abstract":"Rats were administered253Es by intragastric, intratracheal, intravenous, intraperitoneal, transplacental and transcutaneous routes. Early results from these studies are reported. Data are also reported on the intragastric and intravenous administration of249Bk. Results are consistent in general form with what would have been predicted from the known behavior of lighter actinides. © 1972 Health Physics Society.","archive":"Scopus","container-title":"Health Physics","DOI":"10.1097/00004032-197206000-00018","issue":"6","page":"653-656","source":"Scopus","title":"Preliminary data on 253Es and 249Bk metabolism in rats","volume":"22","author":[{"family":"Hungate","given":"F.P."},{"family":"Ballou","given":"J.E."},{"family":"Mahlum","given":"D.D."},{"family":"Kashima","given":"M."},{"family":"Smith","given":"V.H."},{"family":"Sanders","given":"C.L."},{"family":"Baxter","given":"D.W."},{"family":"Sikov","given":"M.R."},{"family":"Thompson","given":"R.C."}],"issued":{"date-parts":[["1972"]]}}}],"schema":"https://github.com/citation-style-language/schema/raw/master/csl-citation.json"} </w:instrText>
      </w:r>
      <w:r w:rsidR="00A6674E" w:rsidRPr="00972C81">
        <w:rPr>
          <w:noProof/>
          <w:snapToGrid w:val="0"/>
        </w:rPr>
        <w:fldChar w:fldCharType="separate"/>
      </w:r>
      <w:r w:rsidR="00F4369C" w:rsidRPr="00972C81">
        <w:rPr>
          <w:noProof/>
          <w:szCs w:val="24"/>
        </w:rPr>
        <w:t>(Hungate et al., 1972)</w:t>
      </w:r>
      <w:r w:rsidR="00A6674E" w:rsidRPr="00972C81">
        <w:rPr>
          <w:noProof/>
          <w:snapToGrid w:val="0"/>
        </w:rPr>
        <w:fldChar w:fldCharType="end"/>
      </w:r>
      <w:r w:rsidRPr="00972C81">
        <w:rPr>
          <w:noProof/>
          <w:snapToGrid w:val="0"/>
        </w:rPr>
        <w:t xml:space="preserve">. The urinary excretion rate of Bk declined more slowly than that of Es. After the first day or two, the rate of faecal excretion of </w:t>
      </w:r>
      <w:r w:rsidRPr="00972C81">
        <w:rPr>
          <w:noProof/>
          <w:snapToGrid w:val="0"/>
          <w:vertAlign w:val="superscript"/>
        </w:rPr>
        <w:t>249</w:t>
      </w:r>
      <w:r w:rsidRPr="00972C81">
        <w:rPr>
          <w:noProof/>
          <w:snapToGrid w:val="0"/>
        </w:rPr>
        <w:t xml:space="preserve">Bk exceeded its urinary excretion rate. Total excretion of </w:t>
      </w:r>
      <w:r w:rsidRPr="00972C81">
        <w:rPr>
          <w:noProof/>
          <w:snapToGrid w:val="0"/>
          <w:vertAlign w:val="superscript"/>
        </w:rPr>
        <w:t>249</w:t>
      </w:r>
      <w:r w:rsidRPr="00972C81">
        <w:rPr>
          <w:noProof/>
          <w:snapToGrid w:val="0"/>
        </w:rPr>
        <w:t xml:space="preserve">Bk over the first 3 wk amounted to roughly 20% of the injected amount. The liver content of </w:t>
      </w:r>
      <w:r w:rsidRPr="00972C81">
        <w:rPr>
          <w:noProof/>
          <w:snapToGrid w:val="0"/>
          <w:vertAlign w:val="superscript"/>
        </w:rPr>
        <w:t>249</w:t>
      </w:r>
      <w:r w:rsidRPr="00972C81">
        <w:rPr>
          <w:noProof/>
          <w:snapToGrid w:val="0"/>
        </w:rPr>
        <w:t>Bk decreased from about 23% at 4 h to 3% at 21 d. During the same period the skeletal content, estimated as 20 times the content of one femur, increased from about 30% to 38% of the injected amount. Equilibrium levels in bone appeared to be achieved more slowly for Bk than for Es, possibly due to differences in initial binding of the two elements to blood components.</w:t>
      </w:r>
    </w:p>
    <w:p w14:paraId="5016E45B" w14:textId="6A687FE0" w:rsidR="0036414D" w:rsidRPr="00972C81" w:rsidRDefault="0036414D" w:rsidP="001C4A92">
      <w:pPr>
        <w:pStyle w:val="Annalstext"/>
        <w:rPr>
          <w:noProof/>
          <w:snapToGrid w:val="0"/>
        </w:rPr>
      </w:pPr>
      <w:r w:rsidRPr="00972C81">
        <w:rPr>
          <w:noProof/>
          <w:snapToGrid w:val="0"/>
        </w:rPr>
        <w:t xml:space="preserve">Taylor et al. </w:t>
      </w:r>
      <w:r w:rsidR="00A6674E" w:rsidRPr="00972C81">
        <w:rPr>
          <w:noProof/>
          <w:snapToGrid w:val="0"/>
        </w:rPr>
        <w:fldChar w:fldCharType="begin"/>
      </w:r>
      <w:r w:rsidR="00F4369C" w:rsidRPr="00972C81">
        <w:rPr>
          <w:noProof/>
          <w:snapToGrid w:val="0"/>
        </w:rPr>
        <w:instrText xml:space="preserve"> ADDIN ZOTERO_ITEM CSL_CITATION {"citationID":"aepslt729i","properties":{"formattedCitation":"(1972)","plainCitation":"(1972)","noteIndex":0},"citationItems":[{"id":5271,"uris":["http://zotero.org/groups/2470620/items/TNBZEC9Q"],"itemData":{"id":5271,"type":"article-journal","abstract":"The microscopic distribution pattern of249Cf and249Bk in the soft tissues of beagles, one to three weeks following a single intravenous injection of a citrate solution, was found to be very similar to that of241Am. Relatively high concentrations occurred in the hepatic cells of the liver, the glomeruli of the kidney, the interfollicular region of the thyroid, the cartilaginous tissues of the lung, and the media of the smaller arterioles of most organs. Very intense, but sparsely scattered “hot spots” were also present in the renal papillae and in the submucosa of the bronchioles. Lesser sites of localization were the endocardium of the AV heart valves, the glassy membranes of the larger hairs of the coat, the zona pellucida of the Graafian follicles and the zona arcuata of the adrenal cortex. With the exception of the liver, where the radionuclide was principally within the hepatic cells, most of the deposition sites were extracellular, within or associated with connective tissue which gave a positive periodic acid-Schiff reaction. © 1972 Health Physics Society.","archive":"Scopus","container-title":"Health Physics","DOI":"10.1097/00004032-197206000-00024","issue":"6","page":"691-693","source":"Scopus","title":"Microscopic distribution of californium-249 and berkelium-249 in the soft tissues of beagles","volume":"22","author":[{"family":"Taylor","given":"G.N."},{"family":"Jee","given":"W.S."},{"family":"Mays","given":"C.W."},{"family":"Dell","given":"R.B."},{"family":"Williams","given":"J.L."},{"family":"Shabestari","given":"L."}],"issued":{"date-parts":[["1972"]]}},"label":"page","suppress-author":true}],"schema":"https://github.com/citation-style-language/schema/raw/master/csl-citation.json"} </w:instrText>
      </w:r>
      <w:r w:rsidR="00A6674E" w:rsidRPr="00972C81">
        <w:rPr>
          <w:noProof/>
          <w:snapToGrid w:val="0"/>
        </w:rPr>
        <w:fldChar w:fldCharType="separate"/>
      </w:r>
      <w:r w:rsidR="00F4369C" w:rsidRPr="00972C81">
        <w:rPr>
          <w:noProof/>
          <w:szCs w:val="24"/>
        </w:rPr>
        <w:t>(1972)</w:t>
      </w:r>
      <w:r w:rsidR="00A6674E" w:rsidRPr="00972C81">
        <w:rPr>
          <w:noProof/>
          <w:snapToGrid w:val="0"/>
        </w:rPr>
        <w:fldChar w:fldCharType="end"/>
      </w:r>
      <w:r w:rsidRPr="00972C81">
        <w:rPr>
          <w:noProof/>
          <w:snapToGrid w:val="0"/>
        </w:rPr>
        <w:t xml:space="preserve"> found that the microscopic distributions of </w:t>
      </w:r>
      <w:r w:rsidRPr="00972C81">
        <w:rPr>
          <w:noProof/>
          <w:snapToGrid w:val="0"/>
          <w:vertAlign w:val="superscript"/>
        </w:rPr>
        <w:t>249</w:t>
      </w:r>
      <w:r w:rsidRPr="00972C81">
        <w:rPr>
          <w:noProof/>
          <w:snapToGrid w:val="0"/>
        </w:rPr>
        <w:t xml:space="preserve">Bk and </w:t>
      </w:r>
      <w:r w:rsidRPr="00972C81">
        <w:rPr>
          <w:noProof/>
          <w:snapToGrid w:val="0"/>
          <w:vertAlign w:val="superscript"/>
        </w:rPr>
        <w:t>249</w:t>
      </w:r>
      <w:r w:rsidRPr="00972C81">
        <w:rPr>
          <w:noProof/>
          <w:snapToGrid w:val="0"/>
        </w:rPr>
        <w:t>Cf in the soft tissues of beagles at 1</w:t>
      </w:r>
      <w:r w:rsidR="000E00A3" w:rsidRPr="00FE17F7">
        <w:t>–</w:t>
      </w:r>
      <w:r w:rsidRPr="00972C81">
        <w:rPr>
          <w:noProof/>
          <w:snapToGrid w:val="0"/>
        </w:rPr>
        <w:t xml:space="preserve">3 wk following intravenous administration of a citrate solution were similar to the distribution of </w:t>
      </w:r>
      <w:r w:rsidRPr="00972C81">
        <w:rPr>
          <w:noProof/>
          <w:snapToGrid w:val="0"/>
          <w:vertAlign w:val="superscript"/>
        </w:rPr>
        <w:t>241</w:t>
      </w:r>
      <w:r w:rsidRPr="00972C81">
        <w:rPr>
          <w:noProof/>
          <w:snapToGrid w:val="0"/>
        </w:rPr>
        <w:t xml:space="preserve">Am. Relatively high concentrations of these radionuclides were found in the hepatic cells of liver, glomeruli of kidneys, interfollicular region of the thyroid, the cartilaginous tissues of the lung, and the media of the smaller arterioles of most organs. With the exception of the liver, most of the sites of deposition in soft tissues were extracellular and associated with connective tissue. </w:t>
      </w:r>
    </w:p>
    <w:p w14:paraId="4A1B2FD8" w14:textId="35D9A76C" w:rsidR="0036414D" w:rsidRPr="00972C81" w:rsidRDefault="0036414D" w:rsidP="001C4A92">
      <w:pPr>
        <w:pStyle w:val="Annalstext"/>
        <w:rPr>
          <w:noProof/>
          <w:snapToGrid w:val="0"/>
        </w:rPr>
      </w:pPr>
      <w:r w:rsidRPr="00972C81">
        <w:rPr>
          <w:noProof/>
          <w:snapToGrid w:val="0"/>
        </w:rPr>
        <w:t xml:space="preserve">Smith </w:t>
      </w:r>
      <w:r w:rsidR="00A6674E" w:rsidRPr="00972C81">
        <w:rPr>
          <w:noProof/>
          <w:snapToGrid w:val="0"/>
        </w:rPr>
        <w:fldChar w:fldCharType="begin"/>
      </w:r>
      <w:r w:rsidR="00F4369C" w:rsidRPr="00972C81">
        <w:rPr>
          <w:noProof/>
          <w:snapToGrid w:val="0"/>
        </w:rPr>
        <w:instrText xml:space="preserve"> ADDIN ZOTERO_ITEM CSL_CITATION {"citationID":"a1htat6dtus","properties":{"formattedCitation":"(1972)","plainCitation":"(1972)","noteIndex":0},"citationItems":[{"id":5275,"uris":["http://zotero.org/groups/2470620/items/U5UCXJEJ"],"itemData":{"id":5275,"type":"article-journal","abstract":"Treatment for the accidental incorporation of the transuranic elements is mainly dependent on chelation therapy. Most of the therapeutic experience has evolved, justifiably, for the removal of plutonium. The plutonium therapeutic regimens may serve as a rough guide to the treatment of other transuranides, although, quantitatively, dissimilarities based on chemical and incorporated mass differences are to be expected. With the added complication of the biological disposition of the daughter products and the high specific activities of some of the isotopes, any significant incorporation should be treated, and treated promptly. While progress in the treatment of plutonium has been slow, a better understanding of removal from specific tissues, such as liver, bone and lung, for soluble and insoluble plutonium materials, is being achieved. The brightest spot is the ability to remove about half the inhaled particulates, plutonium or other transuranics, from the lung by lung washing. Coupled with the judicious use of chelation therapy this should significantly reduce the hazard from inhaled transuranics. These and other aspects of the treatment for poisoning by the transuranic elements will be discussed. © 1972 Health Physics Society.","archive":"Scopus","container-title":"Health Physics","DOI":"10.1097/00004032-197206000-00036","issue":"6","page":"765-778","source":"Scopus","title":"Therapeutic removal of internally deposited transuranium elements","volume":"22","author":[{"family":"Smith","given":"V.H."}],"issued":{"date-parts":[["1972"]]}},"label":"page","suppress-author":true}],"schema":"https://github.com/citation-style-language/schema/raw/master/csl-citation.json"} </w:instrText>
      </w:r>
      <w:r w:rsidR="00A6674E" w:rsidRPr="00972C81">
        <w:rPr>
          <w:noProof/>
          <w:snapToGrid w:val="0"/>
        </w:rPr>
        <w:fldChar w:fldCharType="separate"/>
      </w:r>
      <w:r w:rsidR="00F4369C" w:rsidRPr="00972C81">
        <w:rPr>
          <w:noProof/>
          <w:szCs w:val="24"/>
        </w:rPr>
        <w:t>(1972)</w:t>
      </w:r>
      <w:r w:rsidR="00A6674E" w:rsidRPr="00972C81">
        <w:rPr>
          <w:noProof/>
          <w:snapToGrid w:val="0"/>
        </w:rPr>
        <w:fldChar w:fldCharType="end"/>
      </w:r>
      <w:r w:rsidRPr="00972C81">
        <w:rPr>
          <w:noProof/>
          <w:snapToGrid w:val="0"/>
        </w:rPr>
        <w:t xml:space="preserve"> concluded from studies of decorporation of internally deposited transuranics in rats that berkelium, einsteinium, and californium are similar in their </w:t>
      </w:r>
      <w:r w:rsidRPr="00972C81">
        <w:rPr>
          <w:i/>
          <w:noProof/>
          <w:snapToGrid w:val="0"/>
        </w:rPr>
        <w:t>in vivo</w:t>
      </w:r>
      <w:r w:rsidRPr="00972C81">
        <w:rPr>
          <w:noProof/>
          <w:snapToGrid w:val="0"/>
        </w:rPr>
        <w:t xml:space="preserve"> solubility characteristics, translocation rates in the body, and response to chelation therapy following deposition in liver, kidneys, bone, and muscle.</w:t>
      </w:r>
    </w:p>
    <w:p w14:paraId="10073C7A" w14:textId="18389FC6" w:rsidR="0036414D" w:rsidRPr="00972C81" w:rsidRDefault="0036414D" w:rsidP="001C4A92">
      <w:pPr>
        <w:pStyle w:val="Annalstext"/>
        <w:rPr>
          <w:noProof/>
          <w:snapToGrid w:val="0"/>
        </w:rPr>
      </w:pPr>
      <w:r w:rsidRPr="00972C81">
        <w:rPr>
          <w:noProof/>
          <w:snapToGrid w:val="0"/>
        </w:rPr>
        <w:t xml:space="preserve">Following intraperitoneal administration of </w:t>
      </w:r>
      <w:r w:rsidRPr="00972C81">
        <w:rPr>
          <w:noProof/>
          <w:snapToGrid w:val="0"/>
          <w:vertAlign w:val="superscript"/>
        </w:rPr>
        <w:t>249</w:t>
      </w:r>
      <w:r w:rsidRPr="00972C81">
        <w:rPr>
          <w:noProof/>
          <w:snapToGrid w:val="0"/>
        </w:rPr>
        <w:t xml:space="preserve">Bk nitrate to rats, activity cleared slowly from blood and deposited primarily in the skeleton (up to ~40%) and liver (~18%) </w:t>
      </w:r>
      <w:r w:rsidR="00067E2E" w:rsidRPr="00972C81">
        <w:rPr>
          <w:noProof/>
          <w:snapToGrid w:val="0"/>
        </w:rPr>
        <w:lastRenderedPageBreak/>
        <w:fldChar w:fldCharType="begin"/>
      </w:r>
      <w:r w:rsidR="00F4369C" w:rsidRPr="00972C81">
        <w:rPr>
          <w:noProof/>
          <w:snapToGrid w:val="0"/>
        </w:rPr>
        <w:instrText xml:space="preserve"> ADDIN ZOTERO_ITEM CSL_CITATION {"citationID":"a1rj1jsm0el","properties":{"formattedCitation":"(Zalikin et al., 1984)","plainCitation":"(Zalikin et al., 1984)","noteIndex":0},"citationItems":[{"id":5269,"uris":["http://zotero.org/groups/2470620/items/FDDH58MM"],"itemData":{"id":5269,"type":"article-journal","container-title":"Radiobiologiia","issue":"1","page":"122–125","source":"Google Scholar","title":"Berkelium-249 metabolism in the body of animals","volume":"24","author":[{"family":"Zalikin","given":"G. A."},{"family":"Moskalev","given":"Y.I."},{"family":"Nisimov","given":"V. G."}],"issued":{"date-parts":[["1984"]]}}}],"schema":"https://github.com/citation-style-language/schema/raw/master/csl-citation.json"} </w:instrText>
      </w:r>
      <w:r w:rsidR="00067E2E" w:rsidRPr="00972C81">
        <w:rPr>
          <w:noProof/>
          <w:snapToGrid w:val="0"/>
        </w:rPr>
        <w:fldChar w:fldCharType="separate"/>
      </w:r>
      <w:r w:rsidR="00F4369C" w:rsidRPr="00972C81">
        <w:rPr>
          <w:noProof/>
          <w:szCs w:val="24"/>
        </w:rPr>
        <w:t>(Zalikin et al., 1984)</w:t>
      </w:r>
      <w:r w:rsidR="00067E2E" w:rsidRPr="00972C81">
        <w:rPr>
          <w:noProof/>
          <w:snapToGrid w:val="0"/>
        </w:rPr>
        <w:fldChar w:fldCharType="end"/>
      </w:r>
      <w:r w:rsidRPr="00972C81">
        <w:rPr>
          <w:noProof/>
          <w:snapToGrid w:val="0"/>
        </w:rPr>
        <w:t xml:space="preserve">. Activity concentrations initially decreased in the order adrenal glands &gt; liver &gt; spleen &gt; kidneys &gt; osseous tissues. Over the first 30 d, about 18% of the administered amount was excreted in urine and 10% was excreted in faeces. Following per os or intravenous administration of </w:t>
      </w:r>
      <w:r w:rsidRPr="00972C81">
        <w:rPr>
          <w:noProof/>
          <w:snapToGrid w:val="0"/>
          <w:vertAlign w:val="superscript"/>
        </w:rPr>
        <w:t>249</w:t>
      </w:r>
      <w:r w:rsidRPr="00972C81">
        <w:rPr>
          <w:noProof/>
          <w:snapToGrid w:val="0"/>
        </w:rPr>
        <w:t xml:space="preserve">Bk to rats, the preponderance of the amount entering blood deposited in the skeleton and liver </w:t>
      </w:r>
      <w:r w:rsidR="00067E2E" w:rsidRPr="00972C81">
        <w:rPr>
          <w:noProof/>
          <w:snapToGrid w:val="0"/>
        </w:rPr>
        <w:fldChar w:fldCharType="begin"/>
      </w:r>
      <w:r w:rsidR="00F4369C" w:rsidRPr="00972C81">
        <w:rPr>
          <w:noProof/>
          <w:snapToGrid w:val="0"/>
        </w:rPr>
        <w:instrText xml:space="preserve"> ADDIN ZOTERO_ITEM CSL_CITATION {"citationID":"a1qgvqr0dhl","properties":{"formattedCitation":"(Zalikin and Nisimov, 1988)","plainCitation":"(Zalikin and Nisimov, 1988)","noteIndex":0},"citationItems":[{"id":5270,"uris":["http://zotero.org/groups/2470620/items/JT9G3CEF"],"itemData":{"id":5270,"type":"article-journal","container-title":"Radiobiologiia","issue":"6","page":"845–847","source":"Google Scholar","title":"Absorption of 249Bk from the gastrointestinal tract of rats","volume":"28","author":[{"family":"Zalikin","given":"G. A."},{"family":"Nisimov","given":"P. G."}],"issued":{"date-parts":[["1988"]]}}}],"schema":"https://github.com/citation-style-language/schema/raw/master/csl-citation.json"} </w:instrText>
      </w:r>
      <w:r w:rsidR="00067E2E" w:rsidRPr="00972C81">
        <w:rPr>
          <w:noProof/>
          <w:snapToGrid w:val="0"/>
        </w:rPr>
        <w:fldChar w:fldCharType="separate"/>
      </w:r>
      <w:r w:rsidR="00F4369C" w:rsidRPr="00972C81">
        <w:rPr>
          <w:noProof/>
          <w:szCs w:val="24"/>
        </w:rPr>
        <w:t>(Zalikin and Nisimov, 1988)</w:t>
      </w:r>
      <w:r w:rsidR="00067E2E" w:rsidRPr="00972C81">
        <w:rPr>
          <w:noProof/>
          <w:snapToGrid w:val="0"/>
        </w:rPr>
        <w:fldChar w:fldCharType="end"/>
      </w:r>
      <w:r w:rsidRPr="00972C81">
        <w:rPr>
          <w:noProof/>
          <w:snapToGrid w:val="0"/>
        </w:rPr>
        <w:t>.</w:t>
      </w:r>
    </w:p>
    <w:p w14:paraId="73CD3DB9" w14:textId="5E1B2F44" w:rsidR="0036414D" w:rsidRPr="00972C81" w:rsidRDefault="0036414D" w:rsidP="006703A2">
      <w:pPr>
        <w:pStyle w:val="OIRTitre4"/>
      </w:pPr>
      <w:r w:rsidRPr="00972C81">
        <w:t>Systemic model</w:t>
      </w:r>
    </w:p>
    <w:p w14:paraId="76302E7B" w14:textId="5DD8B6CF" w:rsidR="0036414D" w:rsidRPr="00972C81" w:rsidRDefault="0036414D" w:rsidP="00067E2E">
      <w:pPr>
        <w:pStyle w:val="Annalstext"/>
        <w:rPr>
          <w:rFonts w:ascii="Times Roman" w:hAnsi="Times Roman"/>
          <w:noProof/>
          <w:color w:val="000000"/>
        </w:rPr>
      </w:pPr>
      <w:r w:rsidRPr="00972C81">
        <w:rPr>
          <w:noProof/>
        </w:rPr>
        <w:t>Comparisons of systemic data for americium, curium, berkelium, californium, and einsteinium suggest a relation between ionic radius and the relative amounts transferred to bone, liver, and urine analogous to the relation observed for the lanthanides. That is, initial deposition in bone tends to increase, deposition in liver tends to decrease, and the early urinary excretion rate tends to increase with decreasing ionic radius. This pattern was used together with element-specific data for californium, berkelium, and einsteinium to derive transfer coefficients for these three elements, using transfer coefficients as a starting point. A</w:t>
      </w:r>
      <w:r w:rsidRPr="00972C81">
        <w:rPr>
          <w:rFonts w:ascii="Times Roman" w:hAnsi="Times Roman"/>
          <w:noProof/>
        </w:rPr>
        <w:t xml:space="preserve"> non-zero transfer from cortical marrow to cortical bone surface in the americium model is assumed to be specific to americium and its physiological analogue curium and hence is not applied in the models for berkelium, californium, and einsteinium.</w:t>
      </w:r>
    </w:p>
    <w:p w14:paraId="31742902" w14:textId="1A92964C" w:rsidR="0036414D" w:rsidRPr="00972C81" w:rsidRDefault="0036414D" w:rsidP="001C4A92">
      <w:pPr>
        <w:pStyle w:val="Annalstext"/>
        <w:rPr>
          <w:noProof/>
        </w:rPr>
      </w:pPr>
      <w:r w:rsidRPr="00972C81">
        <w:rPr>
          <w:noProof/>
        </w:rPr>
        <w:t xml:space="preserve">The structure of the systemic model for berkelium is shown in </w:t>
      </w:r>
      <w:r w:rsidR="00067E2E" w:rsidRPr="00972C81">
        <w:rPr>
          <w:noProof/>
        </w:rPr>
        <w:fldChar w:fldCharType="begin"/>
      </w:r>
      <w:r w:rsidR="00067E2E" w:rsidRPr="00972C81">
        <w:rPr>
          <w:noProof/>
        </w:rPr>
        <w:instrText xml:space="preserve"> REF _Ref147418218 \h </w:instrText>
      </w:r>
      <w:r w:rsidR="00067E2E" w:rsidRPr="00972C81">
        <w:rPr>
          <w:noProof/>
        </w:rPr>
      </w:r>
      <w:r w:rsidR="00067E2E" w:rsidRPr="00972C81">
        <w:rPr>
          <w:noProof/>
        </w:rPr>
        <w:fldChar w:fldCharType="separate"/>
      </w:r>
      <w:r w:rsidR="00A41AD1" w:rsidRPr="00972C81">
        <w:rPr>
          <w:noProof/>
        </w:rPr>
        <w:t xml:space="preserve">Fig </w:t>
      </w:r>
      <w:r w:rsidR="00A41AD1">
        <w:rPr>
          <w:noProof/>
        </w:rPr>
        <w:t>25</w:t>
      </w:r>
      <w:r w:rsidR="00A41AD1" w:rsidRPr="00972C81">
        <w:rPr>
          <w:noProof/>
        </w:rPr>
        <w:t>.</w:t>
      </w:r>
      <w:r w:rsidR="00A41AD1">
        <w:rPr>
          <w:noProof/>
        </w:rPr>
        <w:t>1</w:t>
      </w:r>
      <w:r w:rsidR="00067E2E" w:rsidRPr="00972C81">
        <w:rPr>
          <w:noProof/>
        </w:rPr>
        <w:fldChar w:fldCharType="end"/>
      </w:r>
      <w:r w:rsidRPr="00972C81">
        <w:rPr>
          <w:noProof/>
        </w:rPr>
        <w:t xml:space="preserve">. Parameter values are listed in </w:t>
      </w:r>
      <w:r w:rsidR="00067E2E" w:rsidRPr="00972C81">
        <w:rPr>
          <w:noProof/>
        </w:rPr>
        <w:fldChar w:fldCharType="begin"/>
      </w:r>
      <w:r w:rsidR="00067E2E" w:rsidRPr="00972C81">
        <w:rPr>
          <w:noProof/>
        </w:rPr>
        <w:instrText xml:space="preserve"> REF _Ref147418227 \h </w:instrText>
      </w:r>
      <w:r w:rsidR="00067E2E" w:rsidRPr="00972C81">
        <w:rPr>
          <w:noProof/>
        </w:rPr>
      </w:r>
      <w:r w:rsidR="00067E2E" w:rsidRPr="00972C81">
        <w:rPr>
          <w:noProof/>
        </w:rPr>
        <w:fldChar w:fldCharType="separate"/>
      </w:r>
      <w:r w:rsidR="00A41AD1" w:rsidRPr="00972C81">
        <w:rPr>
          <w:noProof/>
        </w:rPr>
        <w:t xml:space="preserve">Table </w:t>
      </w:r>
      <w:r w:rsidR="00A41AD1">
        <w:rPr>
          <w:noProof/>
        </w:rPr>
        <w:t>25</w:t>
      </w:r>
      <w:r w:rsidR="00A41AD1" w:rsidRPr="00972C81">
        <w:rPr>
          <w:noProof/>
        </w:rPr>
        <w:t>.</w:t>
      </w:r>
      <w:r w:rsidR="00A41AD1">
        <w:rPr>
          <w:noProof/>
        </w:rPr>
        <w:t>2</w:t>
      </w:r>
      <w:r w:rsidR="00067E2E" w:rsidRPr="00972C81">
        <w:rPr>
          <w:noProof/>
        </w:rPr>
        <w:fldChar w:fldCharType="end"/>
      </w:r>
      <w:r w:rsidRPr="00972C81">
        <w:rPr>
          <w:noProof/>
        </w:rPr>
        <w:t>.</w:t>
      </w:r>
    </w:p>
    <w:p w14:paraId="50560306" w14:textId="77777777" w:rsidR="0036414D" w:rsidRPr="00972C81" w:rsidRDefault="0036414D" w:rsidP="00134489">
      <w:pPr>
        <w:rPr>
          <w:noProof/>
        </w:rPr>
      </w:pPr>
    </w:p>
    <w:p w14:paraId="0D0620E3" w14:textId="77777777" w:rsidR="000E00A3" w:rsidRDefault="00F103A8" w:rsidP="000E00A3">
      <w:pPr>
        <w:jc w:val="center"/>
        <w:rPr>
          <w:noProof/>
        </w:rPr>
      </w:pPr>
      <w:bookmarkStart w:id="378" w:name="_Ref147418218"/>
      <w:r>
        <w:rPr>
          <w:noProof/>
        </w:rPr>
        <w:drawing>
          <wp:inline distT="0" distB="0" distL="0" distR="0" wp14:anchorId="44509B04" wp14:editId="17B43143">
            <wp:extent cx="3864634" cy="2975381"/>
            <wp:effectExtent l="0" t="0" r="254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9"/>
                    <a:stretch>
                      <a:fillRect/>
                    </a:stretch>
                  </pic:blipFill>
                  <pic:spPr>
                    <a:xfrm>
                      <a:off x="0" y="0"/>
                      <a:ext cx="3875047" cy="2983398"/>
                    </a:xfrm>
                    <a:prstGeom prst="rect">
                      <a:avLst/>
                    </a:prstGeom>
                  </pic:spPr>
                </pic:pic>
              </a:graphicData>
            </a:graphic>
          </wp:inline>
        </w:drawing>
      </w:r>
    </w:p>
    <w:p w14:paraId="4AC18730" w14:textId="6EFA2263" w:rsidR="0036414D" w:rsidRPr="00972C81" w:rsidRDefault="00067E2E" w:rsidP="00C47F2F">
      <w:pPr>
        <w:rPr>
          <w:noProof/>
        </w:rPr>
      </w:pPr>
      <w:r w:rsidRPr="00972C81">
        <w:rPr>
          <w:noProof/>
        </w:rPr>
        <w:t xml:space="preserve">Fig </w:t>
      </w:r>
      <w:r w:rsidR="00EA3750" w:rsidRPr="00972C81">
        <w:rPr>
          <w:noProof/>
        </w:rPr>
        <w:fldChar w:fldCharType="begin"/>
      </w:r>
      <w:r w:rsidR="00EA3750" w:rsidRPr="00972C81">
        <w:rPr>
          <w:noProof/>
        </w:rPr>
        <w:instrText xml:space="preserve"> STYLEREF 1 \s </w:instrText>
      </w:r>
      <w:r w:rsidR="00EA3750" w:rsidRPr="00972C81">
        <w:rPr>
          <w:noProof/>
        </w:rPr>
        <w:fldChar w:fldCharType="separate"/>
      </w:r>
      <w:r w:rsidR="00A41AD1">
        <w:rPr>
          <w:noProof/>
        </w:rPr>
        <w:t>25</w:t>
      </w:r>
      <w:r w:rsidR="00EA3750" w:rsidRPr="00972C81">
        <w:rPr>
          <w:noProof/>
        </w:rPr>
        <w:fldChar w:fldCharType="end"/>
      </w:r>
      <w:r w:rsidR="00EA3750" w:rsidRPr="00972C81">
        <w:rPr>
          <w:noProof/>
        </w:rPr>
        <w:t>.</w:t>
      </w:r>
      <w:r w:rsidR="00EA3750" w:rsidRPr="00972C81">
        <w:rPr>
          <w:noProof/>
        </w:rPr>
        <w:fldChar w:fldCharType="begin"/>
      </w:r>
      <w:r w:rsidR="00EA3750" w:rsidRPr="00972C81">
        <w:rPr>
          <w:noProof/>
        </w:rPr>
        <w:instrText xml:space="preserve"> SEQ Figure \* ARABIC \s 1 </w:instrText>
      </w:r>
      <w:r w:rsidR="00EA3750" w:rsidRPr="00972C81">
        <w:rPr>
          <w:noProof/>
        </w:rPr>
        <w:fldChar w:fldCharType="separate"/>
      </w:r>
      <w:r w:rsidR="00A41AD1">
        <w:rPr>
          <w:noProof/>
        </w:rPr>
        <w:t>1</w:t>
      </w:r>
      <w:r w:rsidR="00EA3750" w:rsidRPr="00972C81">
        <w:rPr>
          <w:noProof/>
        </w:rPr>
        <w:fldChar w:fldCharType="end"/>
      </w:r>
      <w:bookmarkEnd w:id="378"/>
      <w:r w:rsidR="0036414D" w:rsidRPr="00972C81">
        <w:rPr>
          <w:noProof/>
        </w:rPr>
        <w:t>. Structure of the systemic model for berkelium.</w:t>
      </w:r>
    </w:p>
    <w:p w14:paraId="7D6C0650" w14:textId="77777777" w:rsidR="0036414D" w:rsidRPr="00972C81" w:rsidRDefault="0036414D" w:rsidP="0036414D">
      <w:pPr>
        <w:tabs>
          <w:tab w:val="left" w:pos="851"/>
        </w:tabs>
        <w:adjustRightInd w:val="0"/>
        <w:snapToGrid w:val="0"/>
        <w:spacing w:line="280" w:lineRule="atLeast"/>
        <w:rPr>
          <w:rFonts w:ascii="Times Roman" w:hAnsi="Times Roman"/>
          <w:noProof/>
          <w:lang w:eastAsia="fr-FR"/>
        </w:rPr>
      </w:pPr>
    </w:p>
    <w:p w14:paraId="3B9A1F50" w14:textId="77777777" w:rsidR="000E00A3" w:rsidRDefault="000E00A3">
      <w:pPr>
        <w:widowControl/>
        <w:jc w:val="left"/>
        <w:rPr>
          <w:noProof/>
          <w:szCs w:val="24"/>
        </w:rPr>
      </w:pPr>
      <w:bookmarkStart w:id="379" w:name="_Ref147418227"/>
      <w:r>
        <w:rPr>
          <w:noProof/>
          <w:szCs w:val="24"/>
        </w:rPr>
        <w:br w:type="page"/>
      </w:r>
    </w:p>
    <w:p w14:paraId="258F3E32" w14:textId="42010142" w:rsidR="0036414D" w:rsidRPr="00C47F2F" w:rsidRDefault="00067E2E" w:rsidP="00E81109">
      <w:pPr>
        <w:pStyle w:val="ab"/>
        <w:rPr>
          <w:rFonts w:ascii="Times Roman" w:hAnsi="Times Roman"/>
          <w:noProof/>
          <w:sz w:val="24"/>
          <w:szCs w:val="24"/>
          <w:lang w:eastAsia="fr-FR"/>
        </w:rPr>
      </w:pPr>
      <w:r w:rsidRPr="00C47F2F">
        <w:rPr>
          <w:noProof/>
          <w:sz w:val="24"/>
          <w:szCs w:val="24"/>
        </w:rPr>
        <w:lastRenderedPageBreak/>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25</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2</w:t>
      </w:r>
      <w:r w:rsidR="00EA3750" w:rsidRPr="00C47F2F">
        <w:rPr>
          <w:noProof/>
          <w:sz w:val="24"/>
          <w:szCs w:val="24"/>
        </w:rPr>
        <w:fldChar w:fldCharType="end"/>
      </w:r>
      <w:bookmarkEnd w:id="379"/>
      <w:r w:rsidR="00D4443E" w:rsidRPr="00C47F2F">
        <w:rPr>
          <w:noProof/>
          <w:sz w:val="24"/>
          <w:szCs w:val="24"/>
        </w:rPr>
        <w:t>. Age-specific transfer coefficients for berkelium.</w:t>
      </w:r>
    </w:p>
    <w:tbl>
      <w:tblPr>
        <w:tblW w:w="5000" w:type="pct"/>
        <w:tblLayout w:type="fixed"/>
        <w:tblCellMar>
          <w:right w:w="57" w:type="dxa"/>
        </w:tblCellMar>
        <w:tblLook w:val="04A0" w:firstRow="1" w:lastRow="0" w:firstColumn="1" w:lastColumn="0" w:noHBand="0" w:noVBand="1"/>
      </w:tblPr>
      <w:tblGrid>
        <w:gridCol w:w="3063"/>
        <w:gridCol w:w="1029"/>
        <w:gridCol w:w="988"/>
        <w:gridCol w:w="986"/>
        <w:gridCol w:w="988"/>
        <w:gridCol w:w="988"/>
        <w:gridCol w:w="985"/>
      </w:tblGrid>
      <w:tr w:rsidR="0036414D" w:rsidRPr="00972C81" w14:paraId="01D28647" w14:textId="77777777" w:rsidTr="000E00A3">
        <w:trPr>
          <w:trHeight w:val="300"/>
        </w:trPr>
        <w:tc>
          <w:tcPr>
            <w:tcW w:w="3063" w:type="dxa"/>
            <w:vMerge w:val="restart"/>
            <w:tcBorders>
              <w:top w:val="single" w:sz="4" w:space="0" w:color="auto"/>
            </w:tcBorders>
            <w:shd w:val="clear" w:color="auto" w:fill="auto"/>
            <w:noWrap/>
            <w:vAlign w:val="center"/>
          </w:tcPr>
          <w:p w14:paraId="62974B5D" w14:textId="680C11F7" w:rsidR="0036414D" w:rsidRPr="00972C81" w:rsidRDefault="0036414D" w:rsidP="000E00A3">
            <w:pPr>
              <w:pStyle w:val="Table"/>
              <w:rPr>
                <w:noProof/>
              </w:rPr>
            </w:pPr>
            <w:r w:rsidRPr="00972C81">
              <w:rPr>
                <w:noProof/>
              </w:rPr>
              <w:t>Pathway</w:t>
            </w:r>
            <w:r w:rsidR="00F103A8" w:rsidRPr="00F103A8">
              <w:rPr>
                <w:noProof/>
                <w:vertAlign w:val="superscript"/>
              </w:rPr>
              <w:t>a</w:t>
            </w:r>
          </w:p>
        </w:tc>
        <w:tc>
          <w:tcPr>
            <w:tcW w:w="5964" w:type="dxa"/>
            <w:gridSpan w:val="6"/>
            <w:tcBorders>
              <w:top w:val="single" w:sz="4" w:space="0" w:color="auto"/>
              <w:bottom w:val="single" w:sz="4" w:space="0" w:color="auto"/>
            </w:tcBorders>
            <w:shd w:val="clear" w:color="auto" w:fill="auto"/>
            <w:noWrap/>
            <w:vAlign w:val="center"/>
          </w:tcPr>
          <w:p w14:paraId="613322FF" w14:textId="77777777" w:rsidR="0036414D" w:rsidRPr="00972C81" w:rsidRDefault="0036414D" w:rsidP="000E00A3">
            <w:pPr>
              <w:pStyle w:val="Table"/>
              <w:jc w:val="center"/>
              <w:rPr>
                <w:noProof/>
              </w:rPr>
            </w:pPr>
            <w:r w:rsidRPr="00972C81">
              <w:rPr>
                <w:noProof/>
              </w:rPr>
              <w:t>Transfer coefficient (d</w:t>
            </w:r>
            <w:r w:rsidRPr="00972C81">
              <w:rPr>
                <w:noProof/>
                <w:vertAlign w:val="superscript"/>
              </w:rPr>
              <w:t>-1</w:t>
            </w:r>
            <w:r w:rsidRPr="00972C81">
              <w:rPr>
                <w:noProof/>
              </w:rPr>
              <w:t>)</w:t>
            </w:r>
          </w:p>
        </w:tc>
      </w:tr>
      <w:tr w:rsidR="00100C52" w:rsidRPr="00972C81" w14:paraId="231F61DD" w14:textId="77777777" w:rsidTr="000E00A3">
        <w:trPr>
          <w:trHeight w:val="300"/>
        </w:trPr>
        <w:tc>
          <w:tcPr>
            <w:tcW w:w="3063" w:type="dxa"/>
            <w:vMerge/>
            <w:tcBorders>
              <w:bottom w:val="single" w:sz="4" w:space="0" w:color="auto"/>
            </w:tcBorders>
            <w:shd w:val="clear" w:color="auto" w:fill="auto"/>
            <w:noWrap/>
          </w:tcPr>
          <w:p w14:paraId="04760C04" w14:textId="77777777" w:rsidR="0036414D" w:rsidRPr="00972C81" w:rsidRDefault="0036414D" w:rsidP="00E81109">
            <w:pPr>
              <w:pStyle w:val="Table"/>
              <w:rPr>
                <w:noProof/>
                <w:color w:val="000000"/>
              </w:rPr>
            </w:pPr>
          </w:p>
        </w:tc>
        <w:tc>
          <w:tcPr>
            <w:tcW w:w="1029" w:type="dxa"/>
            <w:tcBorders>
              <w:top w:val="single" w:sz="4" w:space="0" w:color="auto"/>
              <w:bottom w:val="single" w:sz="4" w:space="0" w:color="auto"/>
            </w:tcBorders>
            <w:shd w:val="clear" w:color="auto" w:fill="auto"/>
            <w:noWrap/>
            <w:vAlign w:val="center"/>
          </w:tcPr>
          <w:p w14:paraId="3FB7AE1A" w14:textId="77777777" w:rsidR="0036414D" w:rsidRPr="00972C81" w:rsidRDefault="0036414D" w:rsidP="000E00A3">
            <w:pPr>
              <w:pStyle w:val="Table"/>
              <w:rPr>
                <w:noProof/>
                <w:color w:val="000000"/>
              </w:rPr>
            </w:pPr>
            <w:r w:rsidRPr="00972C81">
              <w:rPr>
                <w:noProof/>
              </w:rPr>
              <w:t>100 d</w:t>
            </w:r>
          </w:p>
        </w:tc>
        <w:tc>
          <w:tcPr>
            <w:tcW w:w="988" w:type="dxa"/>
            <w:tcBorders>
              <w:top w:val="single" w:sz="4" w:space="0" w:color="auto"/>
              <w:bottom w:val="single" w:sz="4" w:space="0" w:color="auto"/>
            </w:tcBorders>
            <w:shd w:val="clear" w:color="auto" w:fill="auto"/>
            <w:noWrap/>
            <w:vAlign w:val="center"/>
          </w:tcPr>
          <w:p w14:paraId="049EF236" w14:textId="77777777" w:rsidR="0036414D" w:rsidRPr="00972C81" w:rsidRDefault="0036414D" w:rsidP="000E00A3">
            <w:pPr>
              <w:pStyle w:val="Table"/>
              <w:rPr>
                <w:noProof/>
                <w:color w:val="000000"/>
              </w:rPr>
            </w:pPr>
            <w:r w:rsidRPr="00972C81">
              <w:rPr>
                <w:noProof/>
              </w:rPr>
              <w:t>1 y</w:t>
            </w:r>
          </w:p>
        </w:tc>
        <w:tc>
          <w:tcPr>
            <w:tcW w:w="986" w:type="dxa"/>
            <w:tcBorders>
              <w:top w:val="single" w:sz="4" w:space="0" w:color="auto"/>
              <w:bottom w:val="single" w:sz="4" w:space="0" w:color="auto"/>
            </w:tcBorders>
            <w:shd w:val="clear" w:color="auto" w:fill="auto"/>
            <w:noWrap/>
            <w:vAlign w:val="center"/>
          </w:tcPr>
          <w:p w14:paraId="60BEBA7C" w14:textId="77777777" w:rsidR="0036414D" w:rsidRPr="00972C81" w:rsidRDefault="0036414D" w:rsidP="000E00A3">
            <w:pPr>
              <w:pStyle w:val="Table"/>
              <w:rPr>
                <w:noProof/>
                <w:color w:val="000000"/>
              </w:rPr>
            </w:pPr>
            <w:r w:rsidRPr="00972C81">
              <w:rPr>
                <w:noProof/>
              </w:rPr>
              <w:t>5 y</w:t>
            </w:r>
          </w:p>
        </w:tc>
        <w:tc>
          <w:tcPr>
            <w:tcW w:w="988" w:type="dxa"/>
            <w:tcBorders>
              <w:top w:val="single" w:sz="4" w:space="0" w:color="auto"/>
              <w:bottom w:val="single" w:sz="4" w:space="0" w:color="auto"/>
            </w:tcBorders>
            <w:shd w:val="clear" w:color="auto" w:fill="auto"/>
            <w:noWrap/>
            <w:vAlign w:val="center"/>
          </w:tcPr>
          <w:p w14:paraId="10052215" w14:textId="77777777" w:rsidR="0036414D" w:rsidRPr="00972C81" w:rsidRDefault="0036414D" w:rsidP="000E00A3">
            <w:pPr>
              <w:pStyle w:val="Table"/>
              <w:rPr>
                <w:noProof/>
                <w:color w:val="000000"/>
              </w:rPr>
            </w:pPr>
            <w:r w:rsidRPr="00972C81">
              <w:rPr>
                <w:noProof/>
              </w:rPr>
              <w:t>10 y</w:t>
            </w:r>
          </w:p>
        </w:tc>
        <w:tc>
          <w:tcPr>
            <w:tcW w:w="988" w:type="dxa"/>
            <w:tcBorders>
              <w:top w:val="single" w:sz="4" w:space="0" w:color="auto"/>
              <w:bottom w:val="single" w:sz="4" w:space="0" w:color="auto"/>
            </w:tcBorders>
            <w:shd w:val="clear" w:color="auto" w:fill="auto"/>
            <w:noWrap/>
            <w:vAlign w:val="center"/>
          </w:tcPr>
          <w:p w14:paraId="2FF93CD9" w14:textId="77777777" w:rsidR="0036414D" w:rsidRPr="00972C81" w:rsidRDefault="0036414D" w:rsidP="000E00A3">
            <w:pPr>
              <w:pStyle w:val="Table"/>
              <w:rPr>
                <w:noProof/>
                <w:color w:val="000000"/>
              </w:rPr>
            </w:pPr>
            <w:r w:rsidRPr="00972C81">
              <w:rPr>
                <w:noProof/>
              </w:rPr>
              <w:t>15 y</w:t>
            </w:r>
          </w:p>
        </w:tc>
        <w:tc>
          <w:tcPr>
            <w:tcW w:w="985" w:type="dxa"/>
            <w:tcBorders>
              <w:top w:val="single" w:sz="4" w:space="0" w:color="auto"/>
              <w:bottom w:val="single" w:sz="4" w:space="0" w:color="auto"/>
            </w:tcBorders>
            <w:shd w:val="clear" w:color="auto" w:fill="auto"/>
            <w:noWrap/>
            <w:vAlign w:val="center"/>
          </w:tcPr>
          <w:p w14:paraId="07A013AC" w14:textId="77777777" w:rsidR="0036414D" w:rsidRPr="00972C81" w:rsidRDefault="0036414D" w:rsidP="000E00A3">
            <w:pPr>
              <w:pStyle w:val="Table"/>
              <w:rPr>
                <w:noProof/>
                <w:color w:val="000000"/>
              </w:rPr>
            </w:pPr>
            <w:r w:rsidRPr="00972C81">
              <w:rPr>
                <w:noProof/>
              </w:rPr>
              <w:t>Adult</w:t>
            </w:r>
          </w:p>
        </w:tc>
      </w:tr>
      <w:tr w:rsidR="00F103A8" w:rsidRPr="00972C81" w14:paraId="227714B6" w14:textId="77777777" w:rsidTr="000E00A3">
        <w:trPr>
          <w:trHeight w:val="340"/>
        </w:trPr>
        <w:tc>
          <w:tcPr>
            <w:tcW w:w="3063" w:type="dxa"/>
            <w:tcBorders>
              <w:top w:val="single" w:sz="4" w:space="0" w:color="auto"/>
            </w:tcBorders>
            <w:shd w:val="clear" w:color="auto" w:fill="auto"/>
            <w:noWrap/>
            <w:vAlign w:val="center"/>
          </w:tcPr>
          <w:p w14:paraId="05FA0D7E" w14:textId="50B3395C" w:rsidR="00F103A8" w:rsidRPr="00F103A8" w:rsidRDefault="00F103A8" w:rsidP="000E00A3">
            <w:pPr>
              <w:pStyle w:val="Table"/>
              <w:rPr>
                <w:noProof/>
                <w:sz w:val="20"/>
                <w:szCs w:val="22"/>
              </w:rPr>
            </w:pPr>
            <w:r w:rsidRPr="00F103A8">
              <w:rPr>
                <w:noProof/>
                <w:sz w:val="20"/>
                <w:szCs w:val="22"/>
              </w:rPr>
              <w:t>Blood to Liver 1</w:t>
            </w:r>
          </w:p>
        </w:tc>
        <w:tc>
          <w:tcPr>
            <w:tcW w:w="1029" w:type="dxa"/>
            <w:tcBorders>
              <w:top w:val="single" w:sz="4" w:space="0" w:color="auto"/>
            </w:tcBorders>
            <w:shd w:val="clear" w:color="auto" w:fill="auto"/>
            <w:noWrap/>
            <w:vAlign w:val="center"/>
          </w:tcPr>
          <w:p w14:paraId="64E442B5" w14:textId="77777777" w:rsidR="00F103A8" w:rsidRPr="00C47F2F" w:rsidRDefault="00F103A8" w:rsidP="000E00A3">
            <w:pPr>
              <w:pStyle w:val="Table"/>
              <w:rPr>
                <w:noProof/>
                <w:sz w:val="20"/>
                <w:szCs w:val="20"/>
              </w:rPr>
            </w:pPr>
            <w:r w:rsidRPr="00C47F2F">
              <w:rPr>
                <w:noProof/>
                <w:sz w:val="20"/>
                <w:szCs w:val="20"/>
              </w:rPr>
              <w:t>3.23E-02</w:t>
            </w:r>
          </w:p>
        </w:tc>
        <w:tc>
          <w:tcPr>
            <w:tcW w:w="988" w:type="dxa"/>
            <w:tcBorders>
              <w:top w:val="single" w:sz="4" w:space="0" w:color="auto"/>
            </w:tcBorders>
            <w:shd w:val="clear" w:color="auto" w:fill="auto"/>
            <w:noWrap/>
            <w:vAlign w:val="center"/>
          </w:tcPr>
          <w:p w14:paraId="23E012D7" w14:textId="77777777" w:rsidR="00F103A8" w:rsidRPr="00C47F2F" w:rsidRDefault="00F103A8" w:rsidP="000E00A3">
            <w:pPr>
              <w:pStyle w:val="Table"/>
              <w:rPr>
                <w:noProof/>
                <w:sz w:val="20"/>
                <w:szCs w:val="20"/>
              </w:rPr>
            </w:pPr>
            <w:r w:rsidRPr="00C47F2F">
              <w:rPr>
                <w:noProof/>
                <w:sz w:val="20"/>
                <w:szCs w:val="20"/>
              </w:rPr>
              <w:t>3.23E-02</w:t>
            </w:r>
          </w:p>
        </w:tc>
        <w:tc>
          <w:tcPr>
            <w:tcW w:w="986" w:type="dxa"/>
            <w:tcBorders>
              <w:top w:val="single" w:sz="4" w:space="0" w:color="auto"/>
            </w:tcBorders>
            <w:shd w:val="clear" w:color="auto" w:fill="auto"/>
            <w:noWrap/>
            <w:vAlign w:val="center"/>
          </w:tcPr>
          <w:p w14:paraId="663F89F6" w14:textId="77777777" w:rsidR="00F103A8" w:rsidRPr="00C47F2F" w:rsidRDefault="00F103A8" w:rsidP="000E00A3">
            <w:pPr>
              <w:pStyle w:val="Table"/>
              <w:rPr>
                <w:noProof/>
                <w:sz w:val="20"/>
                <w:szCs w:val="20"/>
              </w:rPr>
            </w:pPr>
            <w:r w:rsidRPr="00C47F2F">
              <w:rPr>
                <w:noProof/>
                <w:sz w:val="20"/>
                <w:szCs w:val="20"/>
              </w:rPr>
              <w:t>1.29E-01</w:t>
            </w:r>
          </w:p>
        </w:tc>
        <w:tc>
          <w:tcPr>
            <w:tcW w:w="988" w:type="dxa"/>
            <w:tcBorders>
              <w:top w:val="single" w:sz="4" w:space="0" w:color="auto"/>
            </w:tcBorders>
            <w:shd w:val="clear" w:color="auto" w:fill="auto"/>
            <w:noWrap/>
            <w:vAlign w:val="center"/>
          </w:tcPr>
          <w:p w14:paraId="2E9C83A0" w14:textId="77777777" w:rsidR="00F103A8" w:rsidRPr="00C47F2F" w:rsidRDefault="00F103A8" w:rsidP="000E00A3">
            <w:pPr>
              <w:pStyle w:val="Table"/>
              <w:rPr>
                <w:noProof/>
                <w:sz w:val="20"/>
                <w:szCs w:val="20"/>
              </w:rPr>
            </w:pPr>
            <w:r w:rsidRPr="00C47F2F">
              <w:rPr>
                <w:noProof/>
                <w:sz w:val="20"/>
                <w:szCs w:val="20"/>
              </w:rPr>
              <w:t>1.29E-01</w:t>
            </w:r>
          </w:p>
        </w:tc>
        <w:tc>
          <w:tcPr>
            <w:tcW w:w="988" w:type="dxa"/>
            <w:tcBorders>
              <w:top w:val="single" w:sz="4" w:space="0" w:color="auto"/>
            </w:tcBorders>
            <w:shd w:val="clear" w:color="auto" w:fill="auto"/>
            <w:noWrap/>
            <w:vAlign w:val="center"/>
          </w:tcPr>
          <w:p w14:paraId="4572621F" w14:textId="77777777" w:rsidR="00F103A8" w:rsidRPr="00C47F2F" w:rsidRDefault="00F103A8" w:rsidP="000E00A3">
            <w:pPr>
              <w:pStyle w:val="Table"/>
              <w:rPr>
                <w:noProof/>
                <w:sz w:val="20"/>
                <w:szCs w:val="20"/>
              </w:rPr>
            </w:pPr>
            <w:r w:rsidRPr="00C47F2F">
              <w:rPr>
                <w:noProof/>
                <w:sz w:val="20"/>
                <w:szCs w:val="20"/>
              </w:rPr>
              <w:t>1.29E-01</w:t>
            </w:r>
          </w:p>
        </w:tc>
        <w:tc>
          <w:tcPr>
            <w:tcW w:w="985" w:type="dxa"/>
            <w:tcBorders>
              <w:top w:val="single" w:sz="4" w:space="0" w:color="auto"/>
            </w:tcBorders>
            <w:shd w:val="clear" w:color="auto" w:fill="auto"/>
            <w:noWrap/>
            <w:vAlign w:val="center"/>
          </w:tcPr>
          <w:p w14:paraId="502B26A9" w14:textId="77777777" w:rsidR="00F103A8" w:rsidRPr="00C47F2F" w:rsidRDefault="00F103A8" w:rsidP="000E00A3">
            <w:pPr>
              <w:pStyle w:val="Table"/>
              <w:rPr>
                <w:noProof/>
                <w:sz w:val="20"/>
                <w:szCs w:val="20"/>
              </w:rPr>
            </w:pPr>
            <w:r w:rsidRPr="00C47F2F">
              <w:rPr>
                <w:noProof/>
                <w:sz w:val="20"/>
                <w:szCs w:val="20"/>
              </w:rPr>
              <w:t>1.94E-01</w:t>
            </w:r>
          </w:p>
        </w:tc>
      </w:tr>
      <w:tr w:rsidR="00F103A8" w:rsidRPr="00972C81" w14:paraId="7616986B" w14:textId="77777777" w:rsidTr="000E00A3">
        <w:trPr>
          <w:trHeight w:val="340"/>
        </w:trPr>
        <w:tc>
          <w:tcPr>
            <w:tcW w:w="3063" w:type="dxa"/>
            <w:shd w:val="clear" w:color="auto" w:fill="auto"/>
            <w:noWrap/>
            <w:vAlign w:val="center"/>
          </w:tcPr>
          <w:p w14:paraId="4D62527F" w14:textId="205D8A80" w:rsidR="00F103A8" w:rsidRPr="00F103A8" w:rsidRDefault="00F103A8" w:rsidP="000E00A3">
            <w:pPr>
              <w:pStyle w:val="Table"/>
              <w:rPr>
                <w:noProof/>
                <w:sz w:val="20"/>
                <w:szCs w:val="22"/>
              </w:rPr>
            </w:pPr>
            <w:r w:rsidRPr="00F103A8">
              <w:rPr>
                <w:noProof/>
                <w:sz w:val="20"/>
                <w:szCs w:val="22"/>
              </w:rPr>
              <w:t>Blood to  ST0</w:t>
            </w:r>
          </w:p>
        </w:tc>
        <w:tc>
          <w:tcPr>
            <w:tcW w:w="1029" w:type="dxa"/>
            <w:shd w:val="clear" w:color="auto" w:fill="auto"/>
            <w:noWrap/>
            <w:vAlign w:val="center"/>
          </w:tcPr>
          <w:p w14:paraId="5003BDCF" w14:textId="77777777" w:rsidR="00F103A8" w:rsidRPr="00C47F2F" w:rsidRDefault="00F103A8" w:rsidP="000E00A3">
            <w:pPr>
              <w:pStyle w:val="Table"/>
              <w:rPr>
                <w:noProof/>
                <w:sz w:val="20"/>
                <w:szCs w:val="20"/>
              </w:rPr>
            </w:pPr>
            <w:r w:rsidRPr="00C47F2F">
              <w:rPr>
                <w:noProof/>
                <w:sz w:val="20"/>
                <w:szCs w:val="20"/>
              </w:rPr>
              <w:t>2.77E-01</w:t>
            </w:r>
          </w:p>
        </w:tc>
        <w:tc>
          <w:tcPr>
            <w:tcW w:w="988" w:type="dxa"/>
            <w:shd w:val="clear" w:color="auto" w:fill="auto"/>
            <w:noWrap/>
            <w:vAlign w:val="center"/>
          </w:tcPr>
          <w:p w14:paraId="3A9588B7" w14:textId="77777777" w:rsidR="00F103A8" w:rsidRPr="00C47F2F" w:rsidRDefault="00F103A8" w:rsidP="000E00A3">
            <w:pPr>
              <w:pStyle w:val="Table"/>
              <w:rPr>
                <w:noProof/>
                <w:sz w:val="20"/>
                <w:szCs w:val="20"/>
              </w:rPr>
            </w:pPr>
            <w:r w:rsidRPr="00C47F2F">
              <w:rPr>
                <w:noProof/>
                <w:sz w:val="20"/>
                <w:szCs w:val="20"/>
              </w:rPr>
              <w:t>2.77E-01</w:t>
            </w:r>
          </w:p>
        </w:tc>
        <w:tc>
          <w:tcPr>
            <w:tcW w:w="986" w:type="dxa"/>
            <w:shd w:val="clear" w:color="auto" w:fill="auto"/>
            <w:noWrap/>
            <w:vAlign w:val="center"/>
          </w:tcPr>
          <w:p w14:paraId="15AA9825" w14:textId="77777777" w:rsidR="00F103A8" w:rsidRPr="00C47F2F" w:rsidRDefault="00F103A8" w:rsidP="000E00A3">
            <w:pPr>
              <w:pStyle w:val="Table"/>
              <w:rPr>
                <w:noProof/>
                <w:sz w:val="20"/>
                <w:szCs w:val="20"/>
              </w:rPr>
            </w:pPr>
            <w:r w:rsidRPr="00C47F2F">
              <w:rPr>
                <w:noProof/>
                <w:sz w:val="20"/>
                <w:szCs w:val="20"/>
              </w:rPr>
              <w:t>2.77E-01</w:t>
            </w:r>
          </w:p>
        </w:tc>
        <w:tc>
          <w:tcPr>
            <w:tcW w:w="988" w:type="dxa"/>
            <w:shd w:val="clear" w:color="auto" w:fill="auto"/>
            <w:noWrap/>
            <w:vAlign w:val="center"/>
          </w:tcPr>
          <w:p w14:paraId="4C9B77BE" w14:textId="77777777" w:rsidR="00F103A8" w:rsidRPr="00C47F2F" w:rsidRDefault="00F103A8" w:rsidP="000E00A3">
            <w:pPr>
              <w:pStyle w:val="Table"/>
              <w:rPr>
                <w:noProof/>
                <w:sz w:val="20"/>
                <w:szCs w:val="20"/>
              </w:rPr>
            </w:pPr>
            <w:r w:rsidRPr="00C47F2F">
              <w:rPr>
                <w:noProof/>
                <w:sz w:val="20"/>
                <w:szCs w:val="20"/>
              </w:rPr>
              <w:t>2.77E-01</w:t>
            </w:r>
          </w:p>
        </w:tc>
        <w:tc>
          <w:tcPr>
            <w:tcW w:w="988" w:type="dxa"/>
            <w:shd w:val="clear" w:color="auto" w:fill="auto"/>
            <w:noWrap/>
            <w:vAlign w:val="center"/>
          </w:tcPr>
          <w:p w14:paraId="034D85A0" w14:textId="77777777" w:rsidR="00F103A8" w:rsidRPr="00C47F2F" w:rsidRDefault="00F103A8" w:rsidP="000E00A3">
            <w:pPr>
              <w:pStyle w:val="Table"/>
              <w:rPr>
                <w:noProof/>
                <w:sz w:val="20"/>
                <w:szCs w:val="20"/>
              </w:rPr>
            </w:pPr>
            <w:r w:rsidRPr="00C47F2F">
              <w:rPr>
                <w:noProof/>
                <w:sz w:val="20"/>
                <w:szCs w:val="20"/>
              </w:rPr>
              <w:t>2.77E-01</w:t>
            </w:r>
          </w:p>
        </w:tc>
        <w:tc>
          <w:tcPr>
            <w:tcW w:w="985" w:type="dxa"/>
            <w:shd w:val="clear" w:color="auto" w:fill="auto"/>
            <w:noWrap/>
            <w:vAlign w:val="center"/>
          </w:tcPr>
          <w:p w14:paraId="500BF72F" w14:textId="77777777" w:rsidR="00F103A8" w:rsidRPr="00C47F2F" w:rsidRDefault="00F103A8" w:rsidP="000E00A3">
            <w:pPr>
              <w:pStyle w:val="Table"/>
              <w:rPr>
                <w:noProof/>
                <w:sz w:val="20"/>
                <w:szCs w:val="20"/>
              </w:rPr>
            </w:pPr>
            <w:r w:rsidRPr="00C47F2F">
              <w:rPr>
                <w:noProof/>
                <w:sz w:val="20"/>
                <w:szCs w:val="20"/>
              </w:rPr>
              <w:t>2.77E-01</w:t>
            </w:r>
          </w:p>
        </w:tc>
      </w:tr>
      <w:tr w:rsidR="00F103A8" w:rsidRPr="00972C81" w14:paraId="3224225B" w14:textId="77777777" w:rsidTr="000E00A3">
        <w:trPr>
          <w:trHeight w:val="340"/>
        </w:trPr>
        <w:tc>
          <w:tcPr>
            <w:tcW w:w="3063" w:type="dxa"/>
            <w:shd w:val="clear" w:color="auto" w:fill="auto"/>
            <w:noWrap/>
            <w:vAlign w:val="center"/>
          </w:tcPr>
          <w:p w14:paraId="5BE2499D" w14:textId="2268DE00" w:rsidR="00F103A8" w:rsidRPr="00F103A8" w:rsidRDefault="00F103A8" w:rsidP="000E00A3">
            <w:pPr>
              <w:pStyle w:val="Table"/>
              <w:rPr>
                <w:noProof/>
                <w:sz w:val="20"/>
                <w:szCs w:val="22"/>
              </w:rPr>
            </w:pPr>
            <w:r w:rsidRPr="00F103A8">
              <w:rPr>
                <w:noProof/>
                <w:sz w:val="20"/>
                <w:szCs w:val="22"/>
              </w:rPr>
              <w:t>Blood to  ST1</w:t>
            </w:r>
          </w:p>
        </w:tc>
        <w:tc>
          <w:tcPr>
            <w:tcW w:w="1029" w:type="dxa"/>
            <w:shd w:val="clear" w:color="auto" w:fill="auto"/>
            <w:noWrap/>
            <w:vAlign w:val="center"/>
          </w:tcPr>
          <w:p w14:paraId="132EF8E9" w14:textId="77777777" w:rsidR="00F103A8" w:rsidRPr="00C47F2F" w:rsidRDefault="00F103A8" w:rsidP="000E00A3">
            <w:pPr>
              <w:pStyle w:val="Table"/>
              <w:rPr>
                <w:noProof/>
                <w:sz w:val="20"/>
                <w:szCs w:val="20"/>
              </w:rPr>
            </w:pPr>
            <w:r w:rsidRPr="00C47F2F">
              <w:rPr>
                <w:noProof/>
                <w:sz w:val="20"/>
                <w:szCs w:val="20"/>
              </w:rPr>
              <w:t>6.47E-02</w:t>
            </w:r>
          </w:p>
        </w:tc>
        <w:tc>
          <w:tcPr>
            <w:tcW w:w="988" w:type="dxa"/>
            <w:shd w:val="clear" w:color="auto" w:fill="auto"/>
            <w:noWrap/>
            <w:vAlign w:val="center"/>
          </w:tcPr>
          <w:p w14:paraId="0C0FB334" w14:textId="77777777" w:rsidR="00F103A8" w:rsidRPr="00C47F2F" w:rsidRDefault="00F103A8" w:rsidP="000E00A3">
            <w:pPr>
              <w:pStyle w:val="Table"/>
              <w:rPr>
                <w:noProof/>
                <w:sz w:val="20"/>
                <w:szCs w:val="20"/>
              </w:rPr>
            </w:pPr>
            <w:r w:rsidRPr="00C47F2F">
              <w:rPr>
                <w:noProof/>
                <w:sz w:val="20"/>
                <w:szCs w:val="20"/>
              </w:rPr>
              <w:t>6.47E-02</w:t>
            </w:r>
          </w:p>
        </w:tc>
        <w:tc>
          <w:tcPr>
            <w:tcW w:w="986" w:type="dxa"/>
            <w:shd w:val="clear" w:color="auto" w:fill="auto"/>
            <w:noWrap/>
            <w:vAlign w:val="center"/>
          </w:tcPr>
          <w:p w14:paraId="515A79FA" w14:textId="77777777" w:rsidR="00F103A8" w:rsidRPr="00C47F2F" w:rsidRDefault="00F103A8" w:rsidP="000E00A3">
            <w:pPr>
              <w:pStyle w:val="Table"/>
              <w:rPr>
                <w:noProof/>
                <w:sz w:val="20"/>
                <w:szCs w:val="20"/>
              </w:rPr>
            </w:pPr>
            <w:r w:rsidRPr="00C47F2F">
              <w:rPr>
                <w:noProof/>
                <w:sz w:val="20"/>
                <w:szCs w:val="20"/>
              </w:rPr>
              <w:t>6.47E-02</w:t>
            </w:r>
          </w:p>
        </w:tc>
        <w:tc>
          <w:tcPr>
            <w:tcW w:w="988" w:type="dxa"/>
            <w:shd w:val="clear" w:color="auto" w:fill="auto"/>
            <w:noWrap/>
            <w:vAlign w:val="center"/>
          </w:tcPr>
          <w:p w14:paraId="17064C7B" w14:textId="77777777" w:rsidR="00F103A8" w:rsidRPr="00C47F2F" w:rsidRDefault="00F103A8" w:rsidP="000E00A3">
            <w:pPr>
              <w:pStyle w:val="Table"/>
              <w:rPr>
                <w:noProof/>
                <w:sz w:val="20"/>
                <w:szCs w:val="20"/>
              </w:rPr>
            </w:pPr>
            <w:r w:rsidRPr="00C47F2F">
              <w:rPr>
                <w:noProof/>
                <w:sz w:val="20"/>
                <w:szCs w:val="20"/>
              </w:rPr>
              <w:t>6.47E-02</w:t>
            </w:r>
          </w:p>
        </w:tc>
        <w:tc>
          <w:tcPr>
            <w:tcW w:w="988" w:type="dxa"/>
            <w:shd w:val="clear" w:color="auto" w:fill="auto"/>
            <w:noWrap/>
            <w:vAlign w:val="center"/>
          </w:tcPr>
          <w:p w14:paraId="67B0CA4C" w14:textId="77777777" w:rsidR="00F103A8" w:rsidRPr="00C47F2F" w:rsidRDefault="00F103A8" w:rsidP="000E00A3">
            <w:pPr>
              <w:pStyle w:val="Table"/>
              <w:rPr>
                <w:noProof/>
                <w:sz w:val="20"/>
                <w:szCs w:val="20"/>
              </w:rPr>
            </w:pPr>
            <w:r w:rsidRPr="00C47F2F">
              <w:rPr>
                <w:noProof/>
                <w:sz w:val="20"/>
                <w:szCs w:val="20"/>
              </w:rPr>
              <w:t>6.47E-02</w:t>
            </w:r>
          </w:p>
        </w:tc>
        <w:tc>
          <w:tcPr>
            <w:tcW w:w="985" w:type="dxa"/>
            <w:shd w:val="clear" w:color="auto" w:fill="auto"/>
            <w:noWrap/>
            <w:vAlign w:val="center"/>
          </w:tcPr>
          <w:p w14:paraId="044DA79F" w14:textId="77777777" w:rsidR="00F103A8" w:rsidRPr="00C47F2F" w:rsidRDefault="00F103A8" w:rsidP="000E00A3">
            <w:pPr>
              <w:pStyle w:val="Table"/>
              <w:rPr>
                <w:noProof/>
                <w:sz w:val="20"/>
                <w:szCs w:val="20"/>
              </w:rPr>
            </w:pPr>
            <w:r w:rsidRPr="00C47F2F">
              <w:rPr>
                <w:noProof/>
                <w:sz w:val="20"/>
                <w:szCs w:val="20"/>
              </w:rPr>
              <w:t>6.47E-02</w:t>
            </w:r>
          </w:p>
        </w:tc>
      </w:tr>
      <w:tr w:rsidR="00F103A8" w:rsidRPr="00972C81" w14:paraId="2E7887A6" w14:textId="77777777" w:rsidTr="000E00A3">
        <w:trPr>
          <w:trHeight w:val="340"/>
        </w:trPr>
        <w:tc>
          <w:tcPr>
            <w:tcW w:w="3063" w:type="dxa"/>
            <w:shd w:val="clear" w:color="auto" w:fill="auto"/>
            <w:noWrap/>
            <w:vAlign w:val="center"/>
          </w:tcPr>
          <w:p w14:paraId="2F46BB40" w14:textId="647EC3FF" w:rsidR="00F103A8" w:rsidRPr="00F103A8" w:rsidRDefault="00F103A8" w:rsidP="000E00A3">
            <w:pPr>
              <w:pStyle w:val="Table"/>
              <w:rPr>
                <w:noProof/>
                <w:sz w:val="20"/>
                <w:szCs w:val="22"/>
              </w:rPr>
            </w:pPr>
            <w:r w:rsidRPr="00F103A8">
              <w:rPr>
                <w:noProof/>
                <w:sz w:val="20"/>
                <w:szCs w:val="22"/>
              </w:rPr>
              <w:t>Blood to  ST2</w:t>
            </w:r>
          </w:p>
        </w:tc>
        <w:tc>
          <w:tcPr>
            <w:tcW w:w="1029" w:type="dxa"/>
            <w:shd w:val="clear" w:color="auto" w:fill="auto"/>
            <w:noWrap/>
            <w:vAlign w:val="center"/>
          </w:tcPr>
          <w:p w14:paraId="478A56F3" w14:textId="77777777" w:rsidR="00F103A8" w:rsidRPr="00C47F2F" w:rsidRDefault="00F103A8" w:rsidP="000E00A3">
            <w:pPr>
              <w:pStyle w:val="Table"/>
              <w:rPr>
                <w:noProof/>
                <w:sz w:val="20"/>
                <w:szCs w:val="20"/>
              </w:rPr>
            </w:pPr>
            <w:r w:rsidRPr="00C47F2F">
              <w:rPr>
                <w:noProof/>
                <w:sz w:val="20"/>
                <w:szCs w:val="20"/>
              </w:rPr>
              <w:t>1.29E-02</w:t>
            </w:r>
          </w:p>
        </w:tc>
        <w:tc>
          <w:tcPr>
            <w:tcW w:w="988" w:type="dxa"/>
            <w:shd w:val="clear" w:color="auto" w:fill="auto"/>
            <w:noWrap/>
            <w:vAlign w:val="center"/>
          </w:tcPr>
          <w:p w14:paraId="213673CF" w14:textId="77777777" w:rsidR="00F103A8" w:rsidRPr="00C47F2F" w:rsidRDefault="00F103A8" w:rsidP="000E00A3">
            <w:pPr>
              <w:pStyle w:val="Table"/>
              <w:rPr>
                <w:noProof/>
                <w:sz w:val="20"/>
                <w:szCs w:val="20"/>
              </w:rPr>
            </w:pPr>
            <w:r w:rsidRPr="00C47F2F">
              <w:rPr>
                <w:noProof/>
                <w:sz w:val="20"/>
                <w:szCs w:val="20"/>
              </w:rPr>
              <w:t>1.29E-02</w:t>
            </w:r>
          </w:p>
        </w:tc>
        <w:tc>
          <w:tcPr>
            <w:tcW w:w="986" w:type="dxa"/>
            <w:shd w:val="clear" w:color="auto" w:fill="auto"/>
            <w:noWrap/>
            <w:vAlign w:val="center"/>
          </w:tcPr>
          <w:p w14:paraId="41058346" w14:textId="77777777" w:rsidR="00F103A8" w:rsidRPr="00C47F2F" w:rsidRDefault="00F103A8" w:rsidP="000E00A3">
            <w:pPr>
              <w:pStyle w:val="Table"/>
              <w:rPr>
                <w:noProof/>
                <w:sz w:val="20"/>
                <w:szCs w:val="20"/>
              </w:rPr>
            </w:pPr>
            <w:r w:rsidRPr="00C47F2F">
              <w:rPr>
                <w:noProof/>
                <w:sz w:val="20"/>
                <w:szCs w:val="20"/>
              </w:rPr>
              <w:t>1.29E-02</w:t>
            </w:r>
          </w:p>
        </w:tc>
        <w:tc>
          <w:tcPr>
            <w:tcW w:w="988" w:type="dxa"/>
            <w:shd w:val="clear" w:color="auto" w:fill="auto"/>
            <w:noWrap/>
            <w:vAlign w:val="center"/>
          </w:tcPr>
          <w:p w14:paraId="0B89DB51" w14:textId="77777777" w:rsidR="00F103A8" w:rsidRPr="00C47F2F" w:rsidRDefault="00F103A8" w:rsidP="000E00A3">
            <w:pPr>
              <w:pStyle w:val="Table"/>
              <w:rPr>
                <w:noProof/>
                <w:sz w:val="20"/>
                <w:szCs w:val="20"/>
              </w:rPr>
            </w:pPr>
            <w:r w:rsidRPr="00C47F2F">
              <w:rPr>
                <w:noProof/>
                <w:sz w:val="20"/>
                <w:szCs w:val="20"/>
              </w:rPr>
              <w:t>1.29E-02</w:t>
            </w:r>
          </w:p>
        </w:tc>
        <w:tc>
          <w:tcPr>
            <w:tcW w:w="988" w:type="dxa"/>
            <w:shd w:val="clear" w:color="auto" w:fill="auto"/>
            <w:noWrap/>
            <w:vAlign w:val="center"/>
          </w:tcPr>
          <w:p w14:paraId="42AF5F75" w14:textId="77777777" w:rsidR="00F103A8" w:rsidRPr="00C47F2F" w:rsidRDefault="00F103A8" w:rsidP="000E00A3">
            <w:pPr>
              <w:pStyle w:val="Table"/>
              <w:rPr>
                <w:noProof/>
                <w:sz w:val="20"/>
                <w:szCs w:val="20"/>
              </w:rPr>
            </w:pPr>
            <w:r w:rsidRPr="00C47F2F">
              <w:rPr>
                <w:noProof/>
                <w:sz w:val="20"/>
                <w:szCs w:val="20"/>
              </w:rPr>
              <w:t>1.29E-02</w:t>
            </w:r>
          </w:p>
        </w:tc>
        <w:tc>
          <w:tcPr>
            <w:tcW w:w="985" w:type="dxa"/>
            <w:shd w:val="clear" w:color="auto" w:fill="auto"/>
            <w:noWrap/>
            <w:vAlign w:val="center"/>
          </w:tcPr>
          <w:p w14:paraId="5CEDEBB6" w14:textId="77777777" w:rsidR="00F103A8" w:rsidRPr="00C47F2F" w:rsidRDefault="00F103A8" w:rsidP="000E00A3">
            <w:pPr>
              <w:pStyle w:val="Table"/>
              <w:rPr>
                <w:noProof/>
                <w:sz w:val="20"/>
                <w:szCs w:val="20"/>
              </w:rPr>
            </w:pPr>
            <w:r w:rsidRPr="00C47F2F">
              <w:rPr>
                <w:noProof/>
                <w:sz w:val="20"/>
                <w:szCs w:val="20"/>
              </w:rPr>
              <w:t>1.29E-02</w:t>
            </w:r>
          </w:p>
        </w:tc>
      </w:tr>
      <w:tr w:rsidR="00F103A8" w:rsidRPr="00972C81" w14:paraId="6005E00F" w14:textId="77777777" w:rsidTr="000E00A3">
        <w:trPr>
          <w:trHeight w:val="340"/>
        </w:trPr>
        <w:tc>
          <w:tcPr>
            <w:tcW w:w="3063" w:type="dxa"/>
            <w:shd w:val="clear" w:color="auto" w:fill="auto"/>
            <w:noWrap/>
            <w:vAlign w:val="center"/>
          </w:tcPr>
          <w:p w14:paraId="60F8BFAC" w14:textId="1077EC39" w:rsidR="00F103A8" w:rsidRPr="00F103A8" w:rsidRDefault="00F103A8" w:rsidP="000E00A3">
            <w:pPr>
              <w:pStyle w:val="Table"/>
              <w:rPr>
                <w:noProof/>
                <w:sz w:val="20"/>
                <w:szCs w:val="22"/>
              </w:rPr>
            </w:pPr>
            <w:r w:rsidRPr="00F103A8">
              <w:rPr>
                <w:noProof/>
                <w:sz w:val="20"/>
                <w:szCs w:val="22"/>
              </w:rPr>
              <w:t xml:space="preserve">Blood to Cort bone surf </w:t>
            </w:r>
          </w:p>
        </w:tc>
        <w:tc>
          <w:tcPr>
            <w:tcW w:w="1029" w:type="dxa"/>
            <w:shd w:val="clear" w:color="auto" w:fill="auto"/>
            <w:noWrap/>
            <w:vAlign w:val="center"/>
          </w:tcPr>
          <w:p w14:paraId="41DE178E" w14:textId="77777777" w:rsidR="00F103A8" w:rsidRPr="00C47F2F" w:rsidRDefault="00F103A8" w:rsidP="000E00A3">
            <w:pPr>
              <w:pStyle w:val="Table"/>
              <w:rPr>
                <w:noProof/>
                <w:sz w:val="20"/>
                <w:szCs w:val="20"/>
              </w:rPr>
            </w:pPr>
            <w:r w:rsidRPr="00C47F2F">
              <w:rPr>
                <w:noProof/>
                <w:sz w:val="20"/>
                <w:szCs w:val="20"/>
              </w:rPr>
              <w:t>2.10E-01</w:t>
            </w:r>
          </w:p>
        </w:tc>
        <w:tc>
          <w:tcPr>
            <w:tcW w:w="988" w:type="dxa"/>
            <w:shd w:val="clear" w:color="auto" w:fill="auto"/>
            <w:noWrap/>
            <w:vAlign w:val="center"/>
          </w:tcPr>
          <w:p w14:paraId="003A75E9" w14:textId="77777777" w:rsidR="00F103A8" w:rsidRPr="00C47F2F" w:rsidRDefault="00F103A8" w:rsidP="000E00A3">
            <w:pPr>
              <w:pStyle w:val="Table"/>
              <w:rPr>
                <w:noProof/>
                <w:sz w:val="20"/>
                <w:szCs w:val="20"/>
              </w:rPr>
            </w:pPr>
            <w:r w:rsidRPr="00C47F2F">
              <w:rPr>
                <w:noProof/>
                <w:sz w:val="20"/>
                <w:szCs w:val="20"/>
              </w:rPr>
              <w:t>2.10E-01</w:t>
            </w:r>
          </w:p>
        </w:tc>
        <w:tc>
          <w:tcPr>
            <w:tcW w:w="986" w:type="dxa"/>
            <w:shd w:val="clear" w:color="auto" w:fill="auto"/>
            <w:noWrap/>
            <w:vAlign w:val="center"/>
          </w:tcPr>
          <w:p w14:paraId="5DCA1E85" w14:textId="77777777" w:rsidR="00F103A8" w:rsidRPr="00C47F2F" w:rsidRDefault="00F103A8" w:rsidP="000E00A3">
            <w:pPr>
              <w:pStyle w:val="Table"/>
              <w:rPr>
                <w:noProof/>
                <w:sz w:val="20"/>
                <w:szCs w:val="20"/>
              </w:rPr>
            </w:pPr>
            <w:r w:rsidRPr="00C47F2F">
              <w:rPr>
                <w:noProof/>
                <w:sz w:val="20"/>
                <w:szCs w:val="20"/>
              </w:rPr>
              <w:t>1.62E-01</w:t>
            </w:r>
          </w:p>
        </w:tc>
        <w:tc>
          <w:tcPr>
            <w:tcW w:w="988" w:type="dxa"/>
            <w:shd w:val="clear" w:color="auto" w:fill="auto"/>
            <w:noWrap/>
            <w:vAlign w:val="center"/>
          </w:tcPr>
          <w:p w14:paraId="2E01BAF9" w14:textId="77777777" w:rsidR="00F103A8" w:rsidRPr="00C47F2F" w:rsidRDefault="00F103A8" w:rsidP="000E00A3">
            <w:pPr>
              <w:pStyle w:val="Table"/>
              <w:rPr>
                <w:noProof/>
                <w:sz w:val="20"/>
                <w:szCs w:val="20"/>
              </w:rPr>
            </w:pPr>
            <w:r w:rsidRPr="00C47F2F">
              <w:rPr>
                <w:noProof/>
                <w:sz w:val="20"/>
                <w:szCs w:val="20"/>
              </w:rPr>
              <w:t>1.62E-01</w:t>
            </w:r>
          </w:p>
        </w:tc>
        <w:tc>
          <w:tcPr>
            <w:tcW w:w="988" w:type="dxa"/>
            <w:shd w:val="clear" w:color="auto" w:fill="auto"/>
            <w:noWrap/>
            <w:vAlign w:val="center"/>
          </w:tcPr>
          <w:p w14:paraId="136E9E7A" w14:textId="77777777" w:rsidR="00F103A8" w:rsidRPr="00C47F2F" w:rsidRDefault="00F103A8" w:rsidP="000E00A3">
            <w:pPr>
              <w:pStyle w:val="Table"/>
              <w:rPr>
                <w:noProof/>
                <w:sz w:val="20"/>
                <w:szCs w:val="20"/>
              </w:rPr>
            </w:pPr>
            <w:r w:rsidRPr="00C47F2F">
              <w:rPr>
                <w:noProof/>
                <w:sz w:val="20"/>
                <w:szCs w:val="20"/>
              </w:rPr>
              <w:t>1.62E-01</w:t>
            </w:r>
          </w:p>
        </w:tc>
        <w:tc>
          <w:tcPr>
            <w:tcW w:w="985" w:type="dxa"/>
            <w:shd w:val="clear" w:color="auto" w:fill="auto"/>
            <w:noWrap/>
            <w:vAlign w:val="center"/>
          </w:tcPr>
          <w:p w14:paraId="15C274C1" w14:textId="77777777" w:rsidR="00F103A8" w:rsidRPr="00C47F2F" w:rsidRDefault="00F103A8" w:rsidP="000E00A3">
            <w:pPr>
              <w:pStyle w:val="Table"/>
              <w:rPr>
                <w:noProof/>
                <w:sz w:val="20"/>
                <w:szCs w:val="20"/>
              </w:rPr>
            </w:pPr>
            <w:r w:rsidRPr="00C47F2F">
              <w:rPr>
                <w:noProof/>
                <w:sz w:val="20"/>
                <w:szCs w:val="20"/>
              </w:rPr>
              <w:t>1.29E-01</w:t>
            </w:r>
          </w:p>
        </w:tc>
      </w:tr>
      <w:tr w:rsidR="00F103A8" w:rsidRPr="00972C81" w14:paraId="21164991" w14:textId="77777777" w:rsidTr="000E00A3">
        <w:trPr>
          <w:trHeight w:val="340"/>
        </w:trPr>
        <w:tc>
          <w:tcPr>
            <w:tcW w:w="3063" w:type="dxa"/>
            <w:shd w:val="clear" w:color="auto" w:fill="auto"/>
            <w:noWrap/>
            <w:vAlign w:val="center"/>
          </w:tcPr>
          <w:p w14:paraId="5C719862" w14:textId="236C79DF" w:rsidR="00F103A8" w:rsidRPr="00F103A8" w:rsidRDefault="00F103A8" w:rsidP="000E00A3">
            <w:pPr>
              <w:pStyle w:val="Table"/>
              <w:rPr>
                <w:noProof/>
                <w:sz w:val="20"/>
                <w:szCs w:val="22"/>
              </w:rPr>
            </w:pPr>
            <w:r w:rsidRPr="00F103A8">
              <w:rPr>
                <w:noProof/>
                <w:sz w:val="20"/>
                <w:szCs w:val="22"/>
              </w:rPr>
              <w:t xml:space="preserve">Blood to Trab bone surf </w:t>
            </w:r>
          </w:p>
        </w:tc>
        <w:tc>
          <w:tcPr>
            <w:tcW w:w="1029" w:type="dxa"/>
            <w:shd w:val="clear" w:color="auto" w:fill="auto"/>
            <w:noWrap/>
            <w:vAlign w:val="center"/>
          </w:tcPr>
          <w:p w14:paraId="0CEFC7E3" w14:textId="77777777" w:rsidR="00F103A8" w:rsidRPr="00C47F2F" w:rsidRDefault="00F103A8" w:rsidP="000E00A3">
            <w:pPr>
              <w:pStyle w:val="Table"/>
              <w:rPr>
                <w:noProof/>
                <w:sz w:val="20"/>
                <w:szCs w:val="20"/>
              </w:rPr>
            </w:pPr>
            <w:r w:rsidRPr="00C47F2F">
              <w:rPr>
                <w:noProof/>
                <w:sz w:val="20"/>
                <w:szCs w:val="20"/>
              </w:rPr>
              <w:t>2.10E-01</w:t>
            </w:r>
          </w:p>
        </w:tc>
        <w:tc>
          <w:tcPr>
            <w:tcW w:w="988" w:type="dxa"/>
            <w:shd w:val="clear" w:color="auto" w:fill="auto"/>
            <w:noWrap/>
            <w:vAlign w:val="center"/>
          </w:tcPr>
          <w:p w14:paraId="65D41299" w14:textId="77777777" w:rsidR="00F103A8" w:rsidRPr="00C47F2F" w:rsidRDefault="00F103A8" w:rsidP="000E00A3">
            <w:pPr>
              <w:pStyle w:val="Table"/>
              <w:rPr>
                <w:noProof/>
                <w:sz w:val="20"/>
                <w:szCs w:val="20"/>
              </w:rPr>
            </w:pPr>
            <w:r w:rsidRPr="00C47F2F">
              <w:rPr>
                <w:noProof/>
                <w:sz w:val="20"/>
                <w:szCs w:val="20"/>
              </w:rPr>
              <w:t>2.10E-01</w:t>
            </w:r>
          </w:p>
        </w:tc>
        <w:tc>
          <w:tcPr>
            <w:tcW w:w="986" w:type="dxa"/>
            <w:shd w:val="clear" w:color="auto" w:fill="auto"/>
            <w:noWrap/>
            <w:vAlign w:val="center"/>
          </w:tcPr>
          <w:p w14:paraId="13DA6E32" w14:textId="77777777" w:rsidR="00F103A8" w:rsidRPr="00C47F2F" w:rsidRDefault="00F103A8" w:rsidP="000E00A3">
            <w:pPr>
              <w:pStyle w:val="Table"/>
              <w:rPr>
                <w:noProof/>
                <w:sz w:val="20"/>
                <w:szCs w:val="20"/>
              </w:rPr>
            </w:pPr>
            <w:r w:rsidRPr="00C47F2F">
              <w:rPr>
                <w:noProof/>
                <w:sz w:val="20"/>
                <w:szCs w:val="20"/>
              </w:rPr>
              <w:t>1.62E-01</w:t>
            </w:r>
          </w:p>
        </w:tc>
        <w:tc>
          <w:tcPr>
            <w:tcW w:w="988" w:type="dxa"/>
            <w:shd w:val="clear" w:color="auto" w:fill="auto"/>
            <w:noWrap/>
            <w:vAlign w:val="center"/>
          </w:tcPr>
          <w:p w14:paraId="3DC23C3F" w14:textId="77777777" w:rsidR="00F103A8" w:rsidRPr="00C47F2F" w:rsidRDefault="00F103A8" w:rsidP="000E00A3">
            <w:pPr>
              <w:pStyle w:val="Table"/>
              <w:rPr>
                <w:noProof/>
                <w:sz w:val="20"/>
                <w:szCs w:val="20"/>
              </w:rPr>
            </w:pPr>
            <w:r w:rsidRPr="00C47F2F">
              <w:rPr>
                <w:noProof/>
                <w:sz w:val="20"/>
                <w:szCs w:val="20"/>
              </w:rPr>
              <w:t>1.62E-01</w:t>
            </w:r>
          </w:p>
        </w:tc>
        <w:tc>
          <w:tcPr>
            <w:tcW w:w="988" w:type="dxa"/>
            <w:shd w:val="clear" w:color="auto" w:fill="auto"/>
            <w:noWrap/>
            <w:vAlign w:val="center"/>
          </w:tcPr>
          <w:p w14:paraId="5F8E0CAF" w14:textId="77777777" w:rsidR="00F103A8" w:rsidRPr="00C47F2F" w:rsidRDefault="00F103A8" w:rsidP="000E00A3">
            <w:pPr>
              <w:pStyle w:val="Table"/>
              <w:rPr>
                <w:noProof/>
                <w:sz w:val="20"/>
                <w:szCs w:val="20"/>
              </w:rPr>
            </w:pPr>
            <w:r w:rsidRPr="00C47F2F">
              <w:rPr>
                <w:noProof/>
                <w:sz w:val="20"/>
                <w:szCs w:val="20"/>
              </w:rPr>
              <w:t>1.62E-01</w:t>
            </w:r>
          </w:p>
        </w:tc>
        <w:tc>
          <w:tcPr>
            <w:tcW w:w="985" w:type="dxa"/>
            <w:shd w:val="clear" w:color="auto" w:fill="auto"/>
            <w:noWrap/>
            <w:vAlign w:val="center"/>
          </w:tcPr>
          <w:p w14:paraId="67898092" w14:textId="77777777" w:rsidR="00F103A8" w:rsidRPr="00C47F2F" w:rsidRDefault="00F103A8" w:rsidP="000E00A3">
            <w:pPr>
              <w:pStyle w:val="Table"/>
              <w:rPr>
                <w:noProof/>
                <w:sz w:val="20"/>
                <w:szCs w:val="20"/>
              </w:rPr>
            </w:pPr>
            <w:r w:rsidRPr="00C47F2F">
              <w:rPr>
                <w:noProof/>
                <w:sz w:val="20"/>
                <w:szCs w:val="20"/>
              </w:rPr>
              <w:t>1.29E-01</w:t>
            </w:r>
          </w:p>
        </w:tc>
      </w:tr>
      <w:tr w:rsidR="00F103A8" w:rsidRPr="00972C81" w14:paraId="2F5FFEC8" w14:textId="77777777" w:rsidTr="000E00A3">
        <w:trPr>
          <w:trHeight w:val="340"/>
        </w:trPr>
        <w:tc>
          <w:tcPr>
            <w:tcW w:w="3063" w:type="dxa"/>
            <w:shd w:val="clear" w:color="auto" w:fill="auto"/>
            <w:noWrap/>
            <w:vAlign w:val="center"/>
          </w:tcPr>
          <w:p w14:paraId="6F11020F" w14:textId="0121E516" w:rsidR="00F103A8" w:rsidRPr="00F103A8" w:rsidRDefault="00F103A8" w:rsidP="000E00A3">
            <w:pPr>
              <w:pStyle w:val="Table"/>
              <w:rPr>
                <w:noProof/>
                <w:sz w:val="20"/>
                <w:szCs w:val="22"/>
              </w:rPr>
            </w:pPr>
            <w:r w:rsidRPr="00F103A8">
              <w:rPr>
                <w:noProof/>
                <w:sz w:val="20"/>
                <w:szCs w:val="22"/>
              </w:rPr>
              <w:t>Blood to Kidneys 1</w:t>
            </w:r>
          </w:p>
        </w:tc>
        <w:tc>
          <w:tcPr>
            <w:tcW w:w="1029" w:type="dxa"/>
            <w:shd w:val="clear" w:color="auto" w:fill="auto"/>
            <w:noWrap/>
            <w:vAlign w:val="center"/>
          </w:tcPr>
          <w:p w14:paraId="7A88F71A" w14:textId="77777777" w:rsidR="00F103A8" w:rsidRPr="00C47F2F" w:rsidRDefault="00F103A8" w:rsidP="000E00A3">
            <w:pPr>
              <w:pStyle w:val="Table"/>
              <w:rPr>
                <w:noProof/>
                <w:sz w:val="20"/>
                <w:szCs w:val="20"/>
              </w:rPr>
            </w:pPr>
            <w:r w:rsidRPr="00C47F2F">
              <w:rPr>
                <w:noProof/>
                <w:sz w:val="20"/>
                <w:szCs w:val="20"/>
              </w:rPr>
              <w:t>1.29E-02</w:t>
            </w:r>
          </w:p>
        </w:tc>
        <w:tc>
          <w:tcPr>
            <w:tcW w:w="988" w:type="dxa"/>
            <w:shd w:val="clear" w:color="auto" w:fill="auto"/>
            <w:noWrap/>
            <w:vAlign w:val="center"/>
          </w:tcPr>
          <w:p w14:paraId="737C91CF" w14:textId="77777777" w:rsidR="00F103A8" w:rsidRPr="00C47F2F" w:rsidRDefault="00F103A8" w:rsidP="000E00A3">
            <w:pPr>
              <w:pStyle w:val="Table"/>
              <w:rPr>
                <w:noProof/>
                <w:sz w:val="20"/>
                <w:szCs w:val="20"/>
              </w:rPr>
            </w:pPr>
            <w:r w:rsidRPr="00C47F2F">
              <w:rPr>
                <w:noProof/>
                <w:sz w:val="20"/>
                <w:szCs w:val="20"/>
              </w:rPr>
              <w:t>1.29E-02</w:t>
            </w:r>
          </w:p>
        </w:tc>
        <w:tc>
          <w:tcPr>
            <w:tcW w:w="986" w:type="dxa"/>
            <w:shd w:val="clear" w:color="auto" w:fill="auto"/>
            <w:noWrap/>
            <w:vAlign w:val="center"/>
          </w:tcPr>
          <w:p w14:paraId="0CF2ABA9" w14:textId="77777777" w:rsidR="00F103A8" w:rsidRPr="00C47F2F" w:rsidRDefault="00F103A8" w:rsidP="000E00A3">
            <w:pPr>
              <w:pStyle w:val="Table"/>
              <w:rPr>
                <w:noProof/>
                <w:sz w:val="20"/>
                <w:szCs w:val="20"/>
              </w:rPr>
            </w:pPr>
            <w:r w:rsidRPr="00C47F2F">
              <w:rPr>
                <w:noProof/>
                <w:sz w:val="20"/>
                <w:szCs w:val="20"/>
              </w:rPr>
              <w:t>1.29E-02</w:t>
            </w:r>
          </w:p>
        </w:tc>
        <w:tc>
          <w:tcPr>
            <w:tcW w:w="988" w:type="dxa"/>
            <w:shd w:val="clear" w:color="auto" w:fill="auto"/>
            <w:noWrap/>
            <w:vAlign w:val="center"/>
          </w:tcPr>
          <w:p w14:paraId="54B036CE" w14:textId="77777777" w:rsidR="00F103A8" w:rsidRPr="00C47F2F" w:rsidRDefault="00F103A8" w:rsidP="000E00A3">
            <w:pPr>
              <w:pStyle w:val="Table"/>
              <w:rPr>
                <w:noProof/>
                <w:sz w:val="20"/>
                <w:szCs w:val="20"/>
              </w:rPr>
            </w:pPr>
            <w:r w:rsidRPr="00C47F2F">
              <w:rPr>
                <w:noProof/>
                <w:sz w:val="20"/>
                <w:szCs w:val="20"/>
              </w:rPr>
              <w:t>1.29E-02</w:t>
            </w:r>
          </w:p>
        </w:tc>
        <w:tc>
          <w:tcPr>
            <w:tcW w:w="988" w:type="dxa"/>
            <w:shd w:val="clear" w:color="auto" w:fill="auto"/>
            <w:noWrap/>
            <w:vAlign w:val="center"/>
          </w:tcPr>
          <w:p w14:paraId="07335076" w14:textId="77777777" w:rsidR="00F103A8" w:rsidRPr="00C47F2F" w:rsidRDefault="00F103A8" w:rsidP="000E00A3">
            <w:pPr>
              <w:pStyle w:val="Table"/>
              <w:rPr>
                <w:noProof/>
                <w:sz w:val="20"/>
                <w:szCs w:val="20"/>
              </w:rPr>
            </w:pPr>
            <w:r w:rsidRPr="00C47F2F">
              <w:rPr>
                <w:noProof/>
                <w:sz w:val="20"/>
                <w:szCs w:val="20"/>
              </w:rPr>
              <w:t>1.29E-02</w:t>
            </w:r>
          </w:p>
        </w:tc>
        <w:tc>
          <w:tcPr>
            <w:tcW w:w="985" w:type="dxa"/>
            <w:shd w:val="clear" w:color="auto" w:fill="auto"/>
            <w:noWrap/>
            <w:vAlign w:val="center"/>
          </w:tcPr>
          <w:p w14:paraId="56A26741" w14:textId="77777777" w:rsidR="00F103A8" w:rsidRPr="00C47F2F" w:rsidRDefault="00F103A8" w:rsidP="000E00A3">
            <w:pPr>
              <w:pStyle w:val="Table"/>
              <w:rPr>
                <w:noProof/>
                <w:sz w:val="20"/>
                <w:szCs w:val="20"/>
              </w:rPr>
            </w:pPr>
            <w:r w:rsidRPr="00C47F2F">
              <w:rPr>
                <w:noProof/>
                <w:sz w:val="20"/>
                <w:szCs w:val="20"/>
              </w:rPr>
              <w:t>1.29E-02</w:t>
            </w:r>
          </w:p>
        </w:tc>
      </w:tr>
      <w:tr w:rsidR="00F103A8" w:rsidRPr="00972C81" w14:paraId="780A335B" w14:textId="77777777" w:rsidTr="000E00A3">
        <w:trPr>
          <w:trHeight w:val="340"/>
        </w:trPr>
        <w:tc>
          <w:tcPr>
            <w:tcW w:w="3063" w:type="dxa"/>
            <w:shd w:val="clear" w:color="auto" w:fill="auto"/>
            <w:noWrap/>
            <w:vAlign w:val="center"/>
          </w:tcPr>
          <w:p w14:paraId="10BE1427" w14:textId="11BE9C91" w:rsidR="00F103A8" w:rsidRPr="00F103A8" w:rsidRDefault="00F103A8" w:rsidP="000E00A3">
            <w:pPr>
              <w:pStyle w:val="Table"/>
              <w:rPr>
                <w:noProof/>
                <w:sz w:val="20"/>
                <w:szCs w:val="22"/>
              </w:rPr>
            </w:pPr>
            <w:r w:rsidRPr="00F103A8">
              <w:rPr>
                <w:noProof/>
                <w:sz w:val="20"/>
                <w:szCs w:val="22"/>
              </w:rPr>
              <w:t xml:space="preserve">Blood to Right colon cont </w:t>
            </w:r>
          </w:p>
        </w:tc>
        <w:tc>
          <w:tcPr>
            <w:tcW w:w="1029" w:type="dxa"/>
            <w:shd w:val="clear" w:color="auto" w:fill="auto"/>
            <w:noWrap/>
            <w:vAlign w:val="center"/>
          </w:tcPr>
          <w:p w14:paraId="6717D94F" w14:textId="77777777" w:rsidR="00F103A8" w:rsidRPr="00C47F2F" w:rsidRDefault="00F103A8" w:rsidP="000E00A3">
            <w:pPr>
              <w:pStyle w:val="Table"/>
              <w:rPr>
                <w:noProof/>
                <w:sz w:val="20"/>
                <w:szCs w:val="20"/>
              </w:rPr>
            </w:pPr>
            <w:r w:rsidRPr="00C47F2F">
              <w:rPr>
                <w:noProof/>
                <w:sz w:val="20"/>
                <w:szCs w:val="20"/>
              </w:rPr>
              <w:t>3.88E-02</w:t>
            </w:r>
          </w:p>
        </w:tc>
        <w:tc>
          <w:tcPr>
            <w:tcW w:w="988" w:type="dxa"/>
            <w:shd w:val="clear" w:color="auto" w:fill="auto"/>
            <w:noWrap/>
            <w:vAlign w:val="center"/>
          </w:tcPr>
          <w:p w14:paraId="18F88DEF" w14:textId="77777777" w:rsidR="00F103A8" w:rsidRPr="00C47F2F" w:rsidRDefault="00F103A8" w:rsidP="000E00A3">
            <w:pPr>
              <w:pStyle w:val="Table"/>
              <w:rPr>
                <w:noProof/>
                <w:sz w:val="20"/>
                <w:szCs w:val="20"/>
              </w:rPr>
            </w:pPr>
            <w:r w:rsidRPr="00C47F2F">
              <w:rPr>
                <w:noProof/>
                <w:sz w:val="20"/>
                <w:szCs w:val="20"/>
              </w:rPr>
              <w:t>3.88E-02</w:t>
            </w:r>
          </w:p>
        </w:tc>
        <w:tc>
          <w:tcPr>
            <w:tcW w:w="986" w:type="dxa"/>
            <w:shd w:val="clear" w:color="auto" w:fill="auto"/>
            <w:noWrap/>
            <w:vAlign w:val="center"/>
          </w:tcPr>
          <w:p w14:paraId="1269C253" w14:textId="77777777" w:rsidR="00F103A8" w:rsidRPr="00C47F2F" w:rsidRDefault="00F103A8" w:rsidP="000E00A3">
            <w:pPr>
              <w:pStyle w:val="Table"/>
              <w:rPr>
                <w:noProof/>
                <w:sz w:val="20"/>
                <w:szCs w:val="20"/>
              </w:rPr>
            </w:pPr>
            <w:r w:rsidRPr="00C47F2F">
              <w:rPr>
                <w:noProof/>
                <w:sz w:val="20"/>
                <w:szCs w:val="20"/>
              </w:rPr>
              <w:t>3.88E-02</w:t>
            </w:r>
          </w:p>
        </w:tc>
        <w:tc>
          <w:tcPr>
            <w:tcW w:w="988" w:type="dxa"/>
            <w:shd w:val="clear" w:color="auto" w:fill="auto"/>
            <w:noWrap/>
            <w:vAlign w:val="center"/>
          </w:tcPr>
          <w:p w14:paraId="7E509BFA" w14:textId="77777777" w:rsidR="00F103A8" w:rsidRPr="00C47F2F" w:rsidRDefault="00F103A8" w:rsidP="000E00A3">
            <w:pPr>
              <w:pStyle w:val="Table"/>
              <w:rPr>
                <w:noProof/>
                <w:sz w:val="20"/>
                <w:szCs w:val="20"/>
              </w:rPr>
            </w:pPr>
            <w:r w:rsidRPr="00C47F2F">
              <w:rPr>
                <w:noProof/>
                <w:sz w:val="20"/>
                <w:szCs w:val="20"/>
              </w:rPr>
              <w:t>3.88E-02</w:t>
            </w:r>
          </w:p>
        </w:tc>
        <w:tc>
          <w:tcPr>
            <w:tcW w:w="988" w:type="dxa"/>
            <w:shd w:val="clear" w:color="auto" w:fill="auto"/>
            <w:noWrap/>
            <w:vAlign w:val="center"/>
          </w:tcPr>
          <w:p w14:paraId="757CBE01" w14:textId="77777777" w:rsidR="00F103A8" w:rsidRPr="00C47F2F" w:rsidRDefault="00F103A8" w:rsidP="000E00A3">
            <w:pPr>
              <w:pStyle w:val="Table"/>
              <w:rPr>
                <w:noProof/>
                <w:sz w:val="20"/>
                <w:szCs w:val="20"/>
              </w:rPr>
            </w:pPr>
            <w:r w:rsidRPr="00C47F2F">
              <w:rPr>
                <w:noProof/>
                <w:sz w:val="20"/>
                <w:szCs w:val="20"/>
              </w:rPr>
              <w:t>3.88E-02</w:t>
            </w:r>
          </w:p>
        </w:tc>
        <w:tc>
          <w:tcPr>
            <w:tcW w:w="985" w:type="dxa"/>
            <w:shd w:val="clear" w:color="auto" w:fill="auto"/>
            <w:noWrap/>
            <w:vAlign w:val="center"/>
          </w:tcPr>
          <w:p w14:paraId="4D9213B0" w14:textId="77777777" w:rsidR="00F103A8" w:rsidRPr="00C47F2F" w:rsidRDefault="00F103A8" w:rsidP="000E00A3">
            <w:pPr>
              <w:pStyle w:val="Table"/>
              <w:rPr>
                <w:noProof/>
                <w:sz w:val="20"/>
                <w:szCs w:val="20"/>
              </w:rPr>
            </w:pPr>
            <w:r w:rsidRPr="00C47F2F">
              <w:rPr>
                <w:noProof/>
                <w:sz w:val="20"/>
                <w:szCs w:val="20"/>
              </w:rPr>
              <w:t>3.88E-02</w:t>
            </w:r>
          </w:p>
        </w:tc>
      </w:tr>
      <w:tr w:rsidR="00F103A8" w:rsidRPr="00972C81" w14:paraId="103EE771" w14:textId="77777777" w:rsidTr="000E00A3">
        <w:trPr>
          <w:trHeight w:val="340"/>
        </w:trPr>
        <w:tc>
          <w:tcPr>
            <w:tcW w:w="3063" w:type="dxa"/>
            <w:shd w:val="clear" w:color="auto" w:fill="auto"/>
            <w:noWrap/>
            <w:vAlign w:val="center"/>
          </w:tcPr>
          <w:p w14:paraId="3A6123E5" w14:textId="205F5906" w:rsidR="00F103A8" w:rsidRPr="00F103A8" w:rsidRDefault="00F103A8" w:rsidP="000E00A3">
            <w:pPr>
              <w:pStyle w:val="Table"/>
              <w:rPr>
                <w:noProof/>
                <w:sz w:val="20"/>
                <w:szCs w:val="22"/>
              </w:rPr>
            </w:pPr>
            <w:r w:rsidRPr="00F103A8">
              <w:rPr>
                <w:noProof/>
                <w:sz w:val="20"/>
                <w:szCs w:val="22"/>
              </w:rPr>
              <w:t>Blood to Kidneys 2</w:t>
            </w:r>
          </w:p>
        </w:tc>
        <w:tc>
          <w:tcPr>
            <w:tcW w:w="1029" w:type="dxa"/>
            <w:shd w:val="clear" w:color="auto" w:fill="auto"/>
            <w:noWrap/>
            <w:vAlign w:val="center"/>
          </w:tcPr>
          <w:p w14:paraId="3BAAC901" w14:textId="77777777" w:rsidR="00F103A8" w:rsidRPr="00C47F2F" w:rsidRDefault="00F103A8" w:rsidP="000E00A3">
            <w:pPr>
              <w:pStyle w:val="Table"/>
              <w:rPr>
                <w:noProof/>
                <w:sz w:val="20"/>
                <w:szCs w:val="20"/>
              </w:rPr>
            </w:pPr>
            <w:r w:rsidRPr="00C47F2F">
              <w:rPr>
                <w:noProof/>
                <w:sz w:val="20"/>
                <w:szCs w:val="20"/>
              </w:rPr>
              <w:t>6.47E-03</w:t>
            </w:r>
          </w:p>
        </w:tc>
        <w:tc>
          <w:tcPr>
            <w:tcW w:w="988" w:type="dxa"/>
            <w:shd w:val="clear" w:color="auto" w:fill="auto"/>
            <w:noWrap/>
            <w:vAlign w:val="center"/>
          </w:tcPr>
          <w:p w14:paraId="21EE09C6" w14:textId="77777777" w:rsidR="00F103A8" w:rsidRPr="00C47F2F" w:rsidRDefault="00F103A8" w:rsidP="000E00A3">
            <w:pPr>
              <w:pStyle w:val="Table"/>
              <w:rPr>
                <w:noProof/>
                <w:sz w:val="20"/>
                <w:szCs w:val="20"/>
              </w:rPr>
            </w:pPr>
            <w:r w:rsidRPr="00C47F2F">
              <w:rPr>
                <w:noProof/>
                <w:sz w:val="20"/>
                <w:szCs w:val="20"/>
              </w:rPr>
              <w:t>6.47E-03</w:t>
            </w:r>
          </w:p>
        </w:tc>
        <w:tc>
          <w:tcPr>
            <w:tcW w:w="986" w:type="dxa"/>
            <w:shd w:val="clear" w:color="auto" w:fill="auto"/>
            <w:noWrap/>
            <w:vAlign w:val="center"/>
          </w:tcPr>
          <w:p w14:paraId="43F9C5AC" w14:textId="77777777" w:rsidR="00F103A8" w:rsidRPr="00C47F2F" w:rsidRDefault="00F103A8" w:rsidP="000E00A3">
            <w:pPr>
              <w:pStyle w:val="Table"/>
              <w:rPr>
                <w:noProof/>
                <w:sz w:val="20"/>
                <w:szCs w:val="20"/>
              </w:rPr>
            </w:pPr>
            <w:r w:rsidRPr="00C47F2F">
              <w:rPr>
                <w:noProof/>
                <w:sz w:val="20"/>
                <w:szCs w:val="20"/>
              </w:rPr>
              <w:t>6.47E-03</w:t>
            </w:r>
          </w:p>
        </w:tc>
        <w:tc>
          <w:tcPr>
            <w:tcW w:w="988" w:type="dxa"/>
            <w:shd w:val="clear" w:color="auto" w:fill="auto"/>
            <w:noWrap/>
            <w:vAlign w:val="center"/>
          </w:tcPr>
          <w:p w14:paraId="60214208" w14:textId="77777777" w:rsidR="00F103A8" w:rsidRPr="00C47F2F" w:rsidRDefault="00F103A8" w:rsidP="000E00A3">
            <w:pPr>
              <w:pStyle w:val="Table"/>
              <w:rPr>
                <w:noProof/>
                <w:sz w:val="20"/>
                <w:szCs w:val="20"/>
              </w:rPr>
            </w:pPr>
            <w:r w:rsidRPr="00C47F2F">
              <w:rPr>
                <w:noProof/>
                <w:sz w:val="20"/>
                <w:szCs w:val="20"/>
              </w:rPr>
              <w:t>6.47E-03</w:t>
            </w:r>
          </w:p>
        </w:tc>
        <w:tc>
          <w:tcPr>
            <w:tcW w:w="988" w:type="dxa"/>
            <w:shd w:val="clear" w:color="auto" w:fill="auto"/>
            <w:noWrap/>
            <w:vAlign w:val="center"/>
          </w:tcPr>
          <w:p w14:paraId="76EF11FB" w14:textId="77777777" w:rsidR="00F103A8" w:rsidRPr="00C47F2F" w:rsidRDefault="00F103A8" w:rsidP="000E00A3">
            <w:pPr>
              <w:pStyle w:val="Table"/>
              <w:rPr>
                <w:noProof/>
                <w:sz w:val="20"/>
                <w:szCs w:val="20"/>
              </w:rPr>
            </w:pPr>
            <w:r w:rsidRPr="00C47F2F">
              <w:rPr>
                <w:noProof/>
                <w:sz w:val="20"/>
                <w:szCs w:val="20"/>
              </w:rPr>
              <w:t>6.47E-03</w:t>
            </w:r>
          </w:p>
        </w:tc>
        <w:tc>
          <w:tcPr>
            <w:tcW w:w="985" w:type="dxa"/>
            <w:shd w:val="clear" w:color="auto" w:fill="auto"/>
            <w:noWrap/>
            <w:vAlign w:val="center"/>
          </w:tcPr>
          <w:p w14:paraId="4C91CBA9" w14:textId="77777777" w:rsidR="00F103A8" w:rsidRPr="00C47F2F" w:rsidRDefault="00F103A8" w:rsidP="000E00A3">
            <w:pPr>
              <w:pStyle w:val="Table"/>
              <w:rPr>
                <w:noProof/>
                <w:sz w:val="20"/>
                <w:szCs w:val="20"/>
              </w:rPr>
            </w:pPr>
            <w:r w:rsidRPr="00C47F2F">
              <w:rPr>
                <w:noProof/>
                <w:sz w:val="20"/>
                <w:szCs w:val="20"/>
              </w:rPr>
              <w:t>6.47E-03</w:t>
            </w:r>
          </w:p>
        </w:tc>
      </w:tr>
      <w:tr w:rsidR="00F103A8" w:rsidRPr="00972C81" w14:paraId="49037F88" w14:textId="77777777" w:rsidTr="000E00A3">
        <w:trPr>
          <w:trHeight w:val="340"/>
        </w:trPr>
        <w:tc>
          <w:tcPr>
            <w:tcW w:w="3063" w:type="dxa"/>
            <w:shd w:val="clear" w:color="auto" w:fill="auto"/>
            <w:noWrap/>
            <w:vAlign w:val="center"/>
          </w:tcPr>
          <w:p w14:paraId="584193BF" w14:textId="2F4C5BEE" w:rsidR="00F103A8" w:rsidRPr="00F103A8" w:rsidRDefault="00F103A8" w:rsidP="000E00A3">
            <w:pPr>
              <w:pStyle w:val="Table"/>
              <w:rPr>
                <w:noProof/>
                <w:sz w:val="20"/>
                <w:szCs w:val="22"/>
              </w:rPr>
            </w:pPr>
            <w:r w:rsidRPr="00F103A8">
              <w:rPr>
                <w:noProof/>
                <w:sz w:val="20"/>
                <w:szCs w:val="22"/>
              </w:rPr>
              <w:t>Blood to Testes</w:t>
            </w:r>
          </w:p>
        </w:tc>
        <w:tc>
          <w:tcPr>
            <w:tcW w:w="1029" w:type="dxa"/>
            <w:shd w:val="clear" w:color="auto" w:fill="auto"/>
            <w:noWrap/>
            <w:vAlign w:val="center"/>
          </w:tcPr>
          <w:p w14:paraId="66CDDAFB" w14:textId="77777777" w:rsidR="00F103A8" w:rsidRPr="00C47F2F" w:rsidRDefault="00F103A8" w:rsidP="000E00A3">
            <w:pPr>
              <w:pStyle w:val="Table"/>
              <w:rPr>
                <w:noProof/>
                <w:sz w:val="20"/>
                <w:szCs w:val="20"/>
              </w:rPr>
            </w:pPr>
            <w:r w:rsidRPr="00C47F2F">
              <w:rPr>
                <w:noProof/>
                <w:sz w:val="20"/>
                <w:szCs w:val="20"/>
              </w:rPr>
              <w:t>1.29E-05</w:t>
            </w:r>
          </w:p>
        </w:tc>
        <w:tc>
          <w:tcPr>
            <w:tcW w:w="988" w:type="dxa"/>
            <w:shd w:val="clear" w:color="auto" w:fill="auto"/>
            <w:noWrap/>
            <w:vAlign w:val="center"/>
          </w:tcPr>
          <w:p w14:paraId="0256ABCD" w14:textId="77777777" w:rsidR="00F103A8" w:rsidRPr="00C47F2F" w:rsidRDefault="00F103A8" w:rsidP="000E00A3">
            <w:pPr>
              <w:pStyle w:val="Table"/>
              <w:rPr>
                <w:noProof/>
                <w:sz w:val="20"/>
                <w:szCs w:val="20"/>
              </w:rPr>
            </w:pPr>
            <w:r w:rsidRPr="00C47F2F">
              <w:rPr>
                <w:noProof/>
                <w:sz w:val="20"/>
                <w:szCs w:val="20"/>
              </w:rPr>
              <w:t>1.94E-05</w:t>
            </w:r>
          </w:p>
        </w:tc>
        <w:tc>
          <w:tcPr>
            <w:tcW w:w="986" w:type="dxa"/>
            <w:shd w:val="clear" w:color="auto" w:fill="auto"/>
            <w:noWrap/>
            <w:vAlign w:val="center"/>
          </w:tcPr>
          <w:p w14:paraId="52097811" w14:textId="77777777" w:rsidR="00F103A8" w:rsidRPr="00C47F2F" w:rsidRDefault="00F103A8" w:rsidP="000E00A3">
            <w:pPr>
              <w:pStyle w:val="Table"/>
              <w:rPr>
                <w:noProof/>
                <w:sz w:val="20"/>
                <w:szCs w:val="20"/>
              </w:rPr>
            </w:pPr>
            <w:r w:rsidRPr="00C47F2F">
              <w:rPr>
                <w:noProof/>
                <w:sz w:val="20"/>
                <w:szCs w:val="20"/>
              </w:rPr>
              <w:t>2.20E-05</w:t>
            </w:r>
          </w:p>
        </w:tc>
        <w:tc>
          <w:tcPr>
            <w:tcW w:w="988" w:type="dxa"/>
            <w:shd w:val="clear" w:color="auto" w:fill="auto"/>
            <w:noWrap/>
            <w:vAlign w:val="center"/>
          </w:tcPr>
          <w:p w14:paraId="504FFE8A" w14:textId="77777777" w:rsidR="00F103A8" w:rsidRPr="00C47F2F" w:rsidRDefault="00F103A8" w:rsidP="000E00A3">
            <w:pPr>
              <w:pStyle w:val="Table"/>
              <w:rPr>
                <w:noProof/>
                <w:sz w:val="20"/>
                <w:szCs w:val="20"/>
              </w:rPr>
            </w:pPr>
            <w:r w:rsidRPr="00C47F2F">
              <w:rPr>
                <w:noProof/>
                <w:sz w:val="20"/>
                <w:szCs w:val="20"/>
              </w:rPr>
              <w:t>2.59E-05</w:t>
            </w:r>
          </w:p>
        </w:tc>
        <w:tc>
          <w:tcPr>
            <w:tcW w:w="988" w:type="dxa"/>
            <w:shd w:val="clear" w:color="auto" w:fill="auto"/>
            <w:noWrap/>
            <w:vAlign w:val="center"/>
          </w:tcPr>
          <w:p w14:paraId="27E4E739" w14:textId="77777777" w:rsidR="00F103A8" w:rsidRPr="00C47F2F" w:rsidRDefault="00F103A8" w:rsidP="000E00A3">
            <w:pPr>
              <w:pStyle w:val="Table"/>
              <w:rPr>
                <w:noProof/>
                <w:sz w:val="20"/>
                <w:szCs w:val="20"/>
              </w:rPr>
            </w:pPr>
            <w:r w:rsidRPr="00C47F2F">
              <w:rPr>
                <w:noProof/>
                <w:sz w:val="20"/>
                <w:szCs w:val="20"/>
              </w:rPr>
              <w:t>2.07E-04</w:t>
            </w:r>
          </w:p>
        </w:tc>
        <w:tc>
          <w:tcPr>
            <w:tcW w:w="985" w:type="dxa"/>
            <w:shd w:val="clear" w:color="auto" w:fill="auto"/>
            <w:noWrap/>
            <w:vAlign w:val="center"/>
          </w:tcPr>
          <w:p w14:paraId="13874F8D" w14:textId="77777777" w:rsidR="00F103A8" w:rsidRPr="00C47F2F" w:rsidRDefault="00F103A8" w:rsidP="000E00A3">
            <w:pPr>
              <w:pStyle w:val="Table"/>
              <w:rPr>
                <w:noProof/>
                <w:sz w:val="20"/>
                <w:szCs w:val="20"/>
              </w:rPr>
            </w:pPr>
            <w:r w:rsidRPr="00C47F2F">
              <w:rPr>
                <w:noProof/>
                <w:sz w:val="20"/>
                <w:szCs w:val="20"/>
              </w:rPr>
              <w:t>2.30E-04</w:t>
            </w:r>
          </w:p>
        </w:tc>
      </w:tr>
      <w:tr w:rsidR="00F103A8" w:rsidRPr="00972C81" w14:paraId="3CB5B5ED" w14:textId="77777777" w:rsidTr="000E00A3">
        <w:trPr>
          <w:trHeight w:val="340"/>
        </w:trPr>
        <w:tc>
          <w:tcPr>
            <w:tcW w:w="3063" w:type="dxa"/>
            <w:shd w:val="clear" w:color="auto" w:fill="auto"/>
            <w:noWrap/>
            <w:vAlign w:val="center"/>
          </w:tcPr>
          <w:p w14:paraId="26405DCC" w14:textId="1578ADE6" w:rsidR="00F103A8" w:rsidRPr="00F103A8" w:rsidRDefault="00F103A8" w:rsidP="000E00A3">
            <w:pPr>
              <w:pStyle w:val="Table"/>
              <w:rPr>
                <w:noProof/>
                <w:sz w:val="20"/>
                <w:szCs w:val="22"/>
              </w:rPr>
            </w:pPr>
            <w:r w:rsidRPr="00F103A8">
              <w:rPr>
                <w:noProof/>
                <w:sz w:val="20"/>
                <w:szCs w:val="22"/>
              </w:rPr>
              <w:t>Blood to Ovaries</w:t>
            </w:r>
          </w:p>
        </w:tc>
        <w:tc>
          <w:tcPr>
            <w:tcW w:w="1029" w:type="dxa"/>
            <w:shd w:val="clear" w:color="auto" w:fill="auto"/>
            <w:noWrap/>
            <w:vAlign w:val="center"/>
          </w:tcPr>
          <w:p w14:paraId="0E5B2956" w14:textId="77777777" w:rsidR="00F103A8" w:rsidRPr="00C47F2F" w:rsidRDefault="00F103A8" w:rsidP="000E00A3">
            <w:pPr>
              <w:pStyle w:val="Table"/>
              <w:rPr>
                <w:noProof/>
                <w:sz w:val="20"/>
                <w:szCs w:val="20"/>
              </w:rPr>
            </w:pPr>
            <w:r w:rsidRPr="00C47F2F">
              <w:rPr>
                <w:noProof/>
                <w:sz w:val="20"/>
                <w:szCs w:val="20"/>
              </w:rPr>
              <w:t>7.76E-06</w:t>
            </w:r>
          </w:p>
        </w:tc>
        <w:tc>
          <w:tcPr>
            <w:tcW w:w="988" w:type="dxa"/>
            <w:shd w:val="clear" w:color="auto" w:fill="auto"/>
            <w:noWrap/>
            <w:vAlign w:val="center"/>
          </w:tcPr>
          <w:p w14:paraId="5A4D93FE" w14:textId="77777777" w:rsidR="00F103A8" w:rsidRPr="00C47F2F" w:rsidRDefault="00F103A8" w:rsidP="000E00A3">
            <w:pPr>
              <w:pStyle w:val="Table"/>
              <w:rPr>
                <w:noProof/>
                <w:sz w:val="20"/>
                <w:szCs w:val="20"/>
              </w:rPr>
            </w:pPr>
            <w:r w:rsidRPr="00C47F2F">
              <w:rPr>
                <w:noProof/>
                <w:sz w:val="20"/>
                <w:szCs w:val="20"/>
              </w:rPr>
              <w:t>1.03E-05</w:t>
            </w:r>
          </w:p>
        </w:tc>
        <w:tc>
          <w:tcPr>
            <w:tcW w:w="986" w:type="dxa"/>
            <w:shd w:val="clear" w:color="auto" w:fill="auto"/>
            <w:noWrap/>
            <w:vAlign w:val="center"/>
          </w:tcPr>
          <w:p w14:paraId="6D33699D" w14:textId="77777777" w:rsidR="00F103A8" w:rsidRPr="00C47F2F" w:rsidRDefault="00F103A8" w:rsidP="000E00A3">
            <w:pPr>
              <w:pStyle w:val="Table"/>
              <w:rPr>
                <w:noProof/>
                <w:sz w:val="20"/>
                <w:szCs w:val="20"/>
              </w:rPr>
            </w:pPr>
            <w:r w:rsidRPr="00C47F2F">
              <w:rPr>
                <w:noProof/>
                <w:sz w:val="20"/>
                <w:szCs w:val="20"/>
              </w:rPr>
              <w:t>2.59E-05</w:t>
            </w:r>
          </w:p>
        </w:tc>
        <w:tc>
          <w:tcPr>
            <w:tcW w:w="988" w:type="dxa"/>
            <w:shd w:val="clear" w:color="auto" w:fill="auto"/>
            <w:noWrap/>
            <w:vAlign w:val="center"/>
          </w:tcPr>
          <w:p w14:paraId="68678CEA" w14:textId="77777777" w:rsidR="00F103A8" w:rsidRPr="00C47F2F" w:rsidRDefault="00F103A8" w:rsidP="000E00A3">
            <w:pPr>
              <w:pStyle w:val="Table"/>
              <w:rPr>
                <w:noProof/>
                <w:sz w:val="20"/>
                <w:szCs w:val="20"/>
              </w:rPr>
            </w:pPr>
            <w:r w:rsidRPr="00C47F2F">
              <w:rPr>
                <w:noProof/>
                <w:sz w:val="20"/>
                <w:szCs w:val="20"/>
              </w:rPr>
              <w:t>4.52E-05</w:t>
            </w:r>
          </w:p>
        </w:tc>
        <w:tc>
          <w:tcPr>
            <w:tcW w:w="988" w:type="dxa"/>
            <w:shd w:val="clear" w:color="auto" w:fill="auto"/>
            <w:noWrap/>
            <w:vAlign w:val="center"/>
          </w:tcPr>
          <w:p w14:paraId="6795E7F7" w14:textId="77777777" w:rsidR="00F103A8" w:rsidRPr="00C47F2F" w:rsidRDefault="00F103A8" w:rsidP="000E00A3">
            <w:pPr>
              <w:pStyle w:val="Table"/>
              <w:rPr>
                <w:noProof/>
                <w:sz w:val="20"/>
                <w:szCs w:val="20"/>
              </w:rPr>
            </w:pPr>
            <w:r w:rsidRPr="00C47F2F">
              <w:rPr>
                <w:noProof/>
                <w:sz w:val="20"/>
                <w:szCs w:val="20"/>
              </w:rPr>
              <w:t>7.76E-05</w:t>
            </w:r>
          </w:p>
        </w:tc>
        <w:tc>
          <w:tcPr>
            <w:tcW w:w="985" w:type="dxa"/>
            <w:shd w:val="clear" w:color="auto" w:fill="auto"/>
            <w:noWrap/>
            <w:vAlign w:val="center"/>
          </w:tcPr>
          <w:p w14:paraId="7CF0CB57" w14:textId="77777777" w:rsidR="00F103A8" w:rsidRPr="00C47F2F" w:rsidRDefault="00F103A8" w:rsidP="000E00A3">
            <w:pPr>
              <w:pStyle w:val="Table"/>
              <w:rPr>
                <w:noProof/>
                <w:sz w:val="20"/>
                <w:szCs w:val="20"/>
              </w:rPr>
            </w:pPr>
            <w:r w:rsidRPr="00C47F2F">
              <w:rPr>
                <w:noProof/>
                <w:sz w:val="20"/>
                <w:szCs w:val="20"/>
              </w:rPr>
              <w:t>7.00E-05</w:t>
            </w:r>
          </w:p>
        </w:tc>
      </w:tr>
      <w:tr w:rsidR="00F103A8" w:rsidRPr="00972C81" w14:paraId="2E612E7B" w14:textId="77777777" w:rsidTr="000E00A3">
        <w:trPr>
          <w:trHeight w:val="340"/>
        </w:trPr>
        <w:tc>
          <w:tcPr>
            <w:tcW w:w="3063" w:type="dxa"/>
            <w:shd w:val="clear" w:color="auto" w:fill="auto"/>
            <w:noWrap/>
            <w:vAlign w:val="center"/>
          </w:tcPr>
          <w:p w14:paraId="22111F8A" w14:textId="03F70278" w:rsidR="00F103A8" w:rsidRPr="00F103A8" w:rsidRDefault="00F103A8" w:rsidP="000E00A3">
            <w:pPr>
              <w:pStyle w:val="Table"/>
              <w:rPr>
                <w:noProof/>
                <w:sz w:val="20"/>
                <w:szCs w:val="22"/>
              </w:rPr>
            </w:pPr>
            <w:r w:rsidRPr="00F103A8">
              <w:rPr>
                <w:noProof/>
                <w:sz w:val="20"/>
                <w:szCs w:val="22"/>
              </w:rPr>
              <w:t xml:space="preserve">Blood to Urinary bladder cont </w:t>
            </w:r>
          </w:p>
        </w:tc>
        <w:tc>
          <w:tcPr>
            <w:tcW w:w="1029" w:type="dxa"/>
            <w:shd w:val="clear" w:color="auto" w:fill="auto"/>
            <w:noWrap/>
            <w:vAlign w:val="center"/>
          </w:tcPr>
          <w:p w14:paraId="05F3ADD4" w14:textId="77777777" w:rsidR="00F103A8" w:rsidRPr="00C47F2F" w:rsidRDefault="00F103A8" w:rsidP="000E00A3">
            <w:pPr>
              <w:pStyle w:val="Table"/>
              <w:rPr>
                <w:noProof/>
                <w:sz w:val="20"/>
                <w:szCs w:val="20"/>
              </w:rPr>
            </w:pPr>
            <w:r w:rsidRPr="00C47F2F">
              <w:rPr>
                <w:noProof/>
                <w:sz w:val="20"/>
                <w:szCs w:val="20"/>
              </w:rPr>
              <w:t>5.82E-02</w:t>
            </w:r>
          </w:p>
        </w:tc>
        <w:tc>
          <w:tcPr>
            <w:tcW w:w="988" w:type="dxa"/>
            <w:shd w:val="clear" w:color="auto" w:fill="auto"/>
            <w:noWrap/>
            <w:vAlign w:val="center"/>
          </w:tcPr>
          <w:p w14:paraId="7060566F" w14:textId="77777777" w:rsidR="00F103A8" w:rsidRPr="00C47F2F" w:rsidRDefault="00F103A8" w:rsidP="000E00A3">
            <w:pPr>
              <w:pStyle w:val="Table"/>
              <w:rPr>
                <w:noProof/>
                <w:sz w:val="20"/>
                <w:szCs w:val="20"/>
              </w:rPr>
            </w:pPr>
            <w:r w:rsidRPr="00C47F2F">
              <w:rPr>
                <w:noProof/>
                <w:sz w:val="20"/>
                <w:szCs w:val="20"/>
              </w:rPr>
              <w:t>5.82E-02</w:t>
            </w:r>
          </w:p>
        </w:tc>
        <w:tc>
          <w:tcPr>
            <w:tcW w:w="986" w:type="dxa"/>
            <w:shd w:val="clear" w:color="auto" w:fill="auto"/>
            <w:noWrap/>
            <w:vAlign w:val="center"/>
          </w:tcPr>
          <w:p w14:paraId="3AE0D7E9" w14:textId="77777777" w:rsidR="00F103A8" w:rsidRPr="00C47F2F" w:rsidRDefault="00F103A8" w:rsidP="000E00A3">
            <w:pPr>
              <w:pStyle w:val="Table"/>
              <w:rPr>
                <w:noProof/>
                <w:sz w:val="20"/>
                <w:szCs w:val="20"/>
              </w:rPr>
            </w:pPr>
            <w:r w:rsidRPr="00C47F2F">
              <w:rPr>
                <w:noProof/>
                <w:sz w:val="20"/>
                <w:szCs w:val="20"/>
              </w:rPr>
              <w:t>5.82E-02</w:t>
            </w:r>
          </w:p>
        </w:tc>
        <w:tc>
          <w:tcPr>
            <w:tcW w:w="988" w:type="dxa"/>
            <w:shd w:val="clear" w:color="auto" w:fill="auto"/>
            <w:noWrap/>
            <w:vAlign w:val="center"/>
          </w:tcPr>
          <w:p w14:paraId="5EC7DB96" w14:textId="77777777" w:rsidR="00F103A8" w:rsidRPr="00C47F2F" w:rsidRDefault="00F103A8" w:rsidP="000E00A3">
            <w:pPr>
              <w:pStyle w:val="Table"/>
              <w:rPr>
                <w:noProof/>
                <w:sz w:val="20"/>
                <w:szCs w:val="20"/>
              </w:rPr>
            </w:pPr>
            <w:r w:rsidRPr="00C47F2F">
              <w:rPr>
                <w:noProof/>
                <w:sz w:val="20"/>
                <w:szCs w:val="20"/>
              </w:rPr>
              <w:t>5.82E-02</w:t>
            </w:r>
          </w:p>
        </w:tc>
        <w:tc>
          <w:tcPr>
            <w:tcW w:w="988" w:type="dxa"/>
            <w:shd w:val="clear" w:color="auto" w:fill="auto"/>
            <w:noWrap/>
            <w:vAlign w:val="center"/>
          </w:tcPr>
          <w:p w14:paraId="343FF072" w14:textId="77777777" w:rsidR="00F103A8" w:rsidRPr="00C47F2F" w:rsidRDefault="00F103A8" w:rsidP="000E00A3">
            <w:pPr>
              <w:pStyle w:val="Table"/>
              <w:rPr>
                <w:noProof/>
                <w:sz w:val="20"/>
                <w:szCs w:val="20"/>
              </w:rPr>
            </w:pPr>
            <w:r w:rsidRPr="00C47F2F">
              <w:rPr>
                <w:noProof/>
                <w:sz w:val="20"/>
                <w:szCs w:val="20"/>
              </w:rPr>
              <w:t>5.82E-02</w:t>
            </w:r>
          </w:p>
        </w:tc>
        <w:tc>
          <w:tcPr>
            <w:tcW w:w="985" w:type="dxa"/>
            <w:shd w:val="clear" w:color="auto" w:fill="auto"/>
            <w:noWrap/>
            <w:vAlign w:val="center"/>
          </w:tcPr>
          <w:p w14:paraId="13F80EEC" w14:textId="77777777" w:rsidR="00F103A8" w:rsidRPr="00C47F2F" w:rsidRDefault="00F103A8" w:rsidP="000E00A3">
            <w:pPr>
              <w:pStyle w:val="Table"/>
              <w:rPr>
                <w:noProof/>
                <w:sz w:val="20"/>
                <w:szCs w:val="20"/>
              </w:rPr>
            </w:pPr>
            <w:r w:rsidRPr="00C47F2F">
              <w:rPr>
                <w:noProof/>
                <w:sz w:val="20"/>
                <w:szCs w:val="20"/>
              </w:rPr>
              <w:t>5.82E-02</w:t>
            </w:r>
          </w:p>
        </w:tc>
      </w:tr>
      <w:tr w:rsidR="00F103A8" w:rsidRPr="00972C81" w14:paraId="79330FC5" w14:textId="77777777" w:rsidTr="000E00A3">
        <w:trPr>
          <w:trHeight w:val="340"/>
        </w:trPr>
        <w:tc>
          <w:tcPr>
            <w:tcW w:w="3063" w:type="dxa"/>
            <w:shd w:val="clear" w:color="auto" w:fill="auto"/>
            <w:noWrap/>
            <w:vAlign w:val="center"/>
          </w:tcPr>
          <w:p w14:paraId="6140E7BE" w14:textId="7869226D" w:rsidR="00F103A8" w:rsidRPr="00F103A8" w:rsidRDefault="00F103A8" w:rsidP="000E00A3">
            <w:pPr>
              <w:pStyle w:val="Table"/>
              <w:rPr>
                <w:noProof/>
                <w:sz w:val="20"/>
                <w:szCs w:val="22"/>
                <w:lang w:val="fr-FR"/>
              </w:rPr>
            </w:pPr>
            <w:r w:rsidRPr="00F103A8">
              <w:rPr>
                <w:noProof/>
                <w:sz w:val="20"/>
                <w:szCs w:val="22"/>
                <w:lang w:val="fr-FR"/>
              </w:rPr>
              <w:t>Liver 1 to SI cont t</w:t>
            </w:r>
          </w:p>
        </w:tc>
        <w:tc>
          <w:tcPr>
            <w:tcW w:w="1029" w:type="dxa"/>
            <w:shd w:val="clear" w:color="auto" w:fill="auto"/>
            <w:noWrap/>
            <w:vAlign w:val="center"/>
          </w:tcPr>
          <w:p w14:paraId="120753AB" w14:textId="77777777" w:rsidR="00F103A8" w:rsidRPr="00C47F2F" w:rsidRDefault="00F103A8" w:rsidP="000E00A3">
            <w:pPr>
              <w:pStyle w:val="Table"/>
              <w:rPr>
                <w:noProof/>
                <w:sz w:val="20"/>
                <w:szCs w:val="20"/>
              </w:rPr>
            </w:pPr>
            <w:r w:rsidRPr="00C47F2F">
              <w:rPr>
                <w:noProof/>
                <w:sz w:val="20"/>
                <w:szCs w:val="20"/>
              </w:rPr>
              <w:t>6.00E-04</w:t>
            </w:r>
          </w:p>
        </w:tc>
        <w:tc>
          <w:tcPr>
            <w:tcW w:w="988" w:type="dxa"/>
            <w:shd w:val="clear" w:color="auto" w:fill="auto"/>
            <w:noWrap/>
            <w:vAlign w:val="center"/>
          </w:tcPr>
          <w:p w14:paraId="3E219353" w14:textId="77777777" w:rsidR="00F103A8" w:rsidRPr="00C47F2F" w:rsidRDefault="00F103A8" w:rsidP="000E00A3">
            <w:pPr>
              <w:pStyle w:val="Table"/>
              <w:rPr>
                <w:noProof/>
                <w:sz w:val="20"/>
                <w:szCs w:val="20"/>
              </w:rPr>
            </w:pPr>
            <w:r w:rsidRPr="00C47F2F">
              <w:rPr>
                <w:noProof/>
                <w:sz w:val="20"/>
                <w:szCs w:val="20"/>
              </w:rPr>
              <w:t>6.00E-04</w:t>
            </w:r>
          </w:p>
        </w:tc>
        <w:tc>
          <w:tcPr>
            <w:tcW w:w="986" w:type="dxa"/>
            <w:shd w:val="clear" w:color="auto" w:fill="auto"/>
            <w:noWrap/>
            <w:vAlign w:val="center"/>
          </w:tcPr>
          <w:p w14:paraId="291DA694" w14:textId="77777777" w:rsidR="00F103A8" w:rsidRPr="00C47F2F" w:rsidRDefault="00F103A8" w:rsidP="000E00A3">
            <w:pPr>
              <w:pStyle w:val="Table"/>
              <w:rPr>
                <w:noProof/>
                <w:sz w:val="20"/>
                <w:szCs w:val="20"/>
              </w:rPr>
            </w:pPr>
            <w:r w:rsidRPr="00C47F2F">
              <w:rPr>
                <w:noProof/>
                <w:sz w:val="20"/>
                <w:szCs w:val="20"/>
              </w:rPr>
              <w:t>6.00E-04</w:t>
            </w:r>
          </w:p>
        </w:tc>
        <w:tc>
          <w:tcPr>
            <w:tcW w:w="988" w:type="dxa"/>
            <w:shd w:val="clear" w:color="auto" w:fill="auto"/>
            <w:noWrap/>
            <w:vAlign w:val="center"/>
          </w:tcPr>
          <w:p w14:paraId="718C43EB" w14:textId="77777777" w:rsidR="00F103A8" w:rsidRPr="00C47F2F" w:rsidRDefault="00F103A8" w:rsidP="000E00A3">
            <w:pPr>
              <w:pStyle w:val="Table"/>
              <w:rPr>
                <w:noProof/>
                <w:sz w:val="20"/>
                <w:szCs w:val="20"/>
              </w:rPr>
            </w:pPr>
            <w:r w:rsidRPr="00C47F2F">
              <w:rPr>
                <w:noProof/>
                <w:sz w:val="20"/>
                <w:szCs w:val="20"/>
              </w:rPr>
              <w:t>6.00E-04</w:t>
            </w:r>
          </w:p>
        </w:tc>
        <w:tc>
          <w:tcPr>
            <w:tcW w:w="988" w:type="dxa"/>
            <w:shd w:val="clear" w:color="auto" w:fill="auto"/>
            <w:noWrap/>
            <w:vAlign w:val="center"/>
          </w:tcPr>
          <w:p w14:paraId="2D168B81" w14:textId="77777777" w:rsidR="00F103A8" w:rsidRPr="00C47F2F" w:rsidRDefault="00F103A8" w:rsidP="000E00A3">
            <w:pPr>
              <w:pStyle w:val="Table"/>
              <w:rPr>
                <w:noProof/>
                <w:sz w:val="20"/>
                <w:szCs w:val="20"/>
              </w:rPr>
            </w:pPr>
            <w:r w:rsidRPr="00C47F2F">
              <w:rPr>
                <w:noProof/>
                <w:sz w:val="20"/>
                <w:szCs w:val="20"/>
              </w:rPr>
              <w:t>6.00E-04</w:t>
            </w:r>
          </w:p>
        </w:tc>
        <w:tc>
          <w:tcPr>
            <w:tcW w:w="985" w:type="dxa"/>
            <w:shd w:val="clear" w:color="auto" w:fill="auto"/>
            <w:noWrap/>
            <w:vAlign w:val="center"/>
          </w:tcPr>
          <w:p w14:paraId="54F29460" w14:textId="77777777" w:rsidR="00F103A8" w:rsidRPr="00C47F2F" w:rsidRDefault="00F103A8" w:rsidP="000E00A3">
            <w:pPr>
              <w:pStyle w:val="Table"/>
              <w:rPr>
                <w:noProof/>
                <w:sz w:val="20"/>
                <w:szCs w:val="20"/>
              </w:rPr>
            </w:pPr>
            <w:r w:rsidRPr="00C47F2F">
              <w:rPr>
                <w:noProof/>
                <w:sz w:val="20"/>
                <w:szCs w:val="20"/>
              </w:rPr>
              <w:t>6.00E-04</w:t>
            </w:r>
          </w:p>
        </w:tc>
      </w:tr>
      <w:tr w:rsidR="00F103A8" w:rsidRPr="00972C81" w14:paraId="345CCD08" w14:textId="77777777" w:rsidTr="000E00A3">
        <w:trPr>
          <w:trHeight w:val="340"/>
        </w:trPr>
        <w:tc>
          <w:tcPr>
            <w:tcW w:w="3063" w:type="dxa"/>
            <w:shd w:val="clear" w:color="auto" w:fill="auto"/>
            <w:noWrap/>
            <w:vAlign w:val="center"/>
          </w:tcPr>
          <w:p w14:paraId="36F10429" w14:textId="55B84190" w:rsidR="00F103A8" w:rsidRPr="00F103A8" w:rsidRDefault="00F103A8" w:rsidP="000E00A3">
            <w:pPr>
              <w:pStyle w:val="Table"/>
              <w:rPr>
                <w:noProof/>
                <w:sz w:val="20"/>
                <w:szCs w:val="22"/>
              </w:rPr>
            </w:pPr>
            <w:r w:rsidRPr="00F103A8">
              <w:rPr>
                <w:noProof/>
                <w:sz w:val="20"/>
                <w:szCs w:val="22"/>
              </w:rPr>
              <w:t>Liver 1 to Liver 2</w:t>
            </w:r>
          </w:p>
        </w:tc>
        <w:tc>
          <w:tcPr>
            <w:tcW w:w="1029" w:type="dxa"/>
            <w:shd w:val="clear" w:color="auto" w:fill="auto"/>
            <w:noWrap/>
            <w:vAlign w:val="center"/>
          </w:tcPr>
          <w:p w14:paraId="57395BA8" w14:textId="77777777" w:rsidR="00F103A8" w:rsidRPr="00C47F2F" w:rsidRDefault="00F103A8" w:rsidP="000E00A3">
            <w:pPr>
              <w:pStyle w:val="Table"/>
              <w:rPr>
                <w:noProof/>
                <w:sz w:val="20"/>
                <w:szCs w:val="20"/>
              </w:rPr>
            </w:pPr>
            <w:r w:rsidRPr="00C47F2F">
              <w:rPr>
                <w:noProof/>
                <w:sz w:val="20"/>
                <w:szCs w:val="20"/>
              </w:rPr>
              <w:t>2.25E-02</w:t>
            </w:r>
          </w:p>
        </w:tc>
        <w:tc>
          <w:tcPr>
            <w:tcW w:w="988" w:type="dxa"/>
            <w:shd w:val="clear" w:color="auto" w:fill="auto"/>
            <w:noWrap/>
            <w:vAlign w:val="center"/>
          </w:tcPr>
          <w:p w14:paraId="4E7E0FCD" w14:textId="77777777" w:rsidR="00F103A8" w:rsidRPr="00C47F2F" w:rsidRDefault="00F103A8" w:rsidP="000E00A3">
            <w:pPr>
              <w:pStyle w:val="Table"/>
              <w:rPr>
                <w:noProof/>
                <w:sz w:val="20"/>
                <w:szCs w:val="20"/>
              </w:rPr>
            </w:pPr>
            <w:r w:rsidRPr="00C47F2F">
              <w:rPr>
                <w:noProof/>
                <w:sz w:val="20"/>
                <w:szCs w:val="20"/>
              </w:rPr>
              <w:t>2.25E-02</w:t>
            </w:r>
          </w:p>
        </w:tc>
        <w:tc>
          <w:tcPr>
            <w:tcW w:w="986" w:type="dxa"/>
            <w:shd w:val="clear" w:color="auto" w:fill="auto"/>
            <w:noWrap/>
            <w:vAlign w:val="center"/>
          </w:tcPr>
          <w:p w14:paraId="55310828" w14:textId="77777777" w:rsidR="00F103A8" w:rsidRPr="00C47F2F" w:rsidRDefault="00F103A8" w:rsidP="000E00A3">
            <w:pPr>
              <w:pStyle w:val="Table"/>
              <w:rPr>
                <w:noProof/>
                <w:sz w:val="20"/>
                <w:szCs w:val="20"/>
              </w:rPr>
            </w:pPr>
            <w:r w:rsidRPr="00C47F2F">
              <w:rPr>
                <w:noProof/>
                <w:sz w:val="20"/>
                <w:szCs w:val="20"/>
              </w:rPr>
              <w:t>2.25E-02</w:t>
            </w:r>
          </w:p>
        </w:tc>
        <w:tc>
          <w:tcPr>
            <w:tcW w:w="988" w:type="dxa"/>
            <w:shd w:val="clear" w:color="auto" w:fill="auto"/>
            <w:noWrap/>
            <w:vAlign w:val="center"/>
          </w:tcPr>
          <w:p w14:paraId="5512DAD2" w14:textId="77777777" w:rsidR="00F103A8" w:rsidRPr="00C47F2F" w:rsidRDefault="00F103A8" w:rsidP="000E00A3">
            <w:pPr>
              <w:pStyle w:val="Table"/>
              <w:rPr>
                <w:noProof/>
                <w:sz w:val="20"/>
                <w:szCs w:val="20"/>
              </w:rPr>
            </w:pPr>
            <w:r w:rsidRPr="00C47F2F">
              <w:rPr>
                <w:noProof/>
                <w:sz w:val="20"/>
                <w:szCs w:val="20"/>
              </w:rPr>
              <w:t>2.25E-02</w:t>
            </w:r>
          </w:p>
        </w:tc>
        <w:tc>
          <w:tcPr>
            <w:tcW w:w="988" w:type="dxa"/>
            <w:shd w:val="clear" w:color="auto" w:fill="auto"/>
            <w:noWrap/>
            <w:vAlign w:val="center"/>
          </w:tcPr>
          <w:p w14:paraId="4F618088" w14:textId="77777777" w:rsidR="00F103A8" w:rsidRPr="00C47F2F" w:rsidRDefault="00F103A8" w:rsidP="000E00A3">
            <w:pPr>
              <w:pStyle w:val="Table"/>
              <w:rPr>
                <w:noProof/>
                <w:sz w:val="20"/>
                <w:szCs w:val="20"/>
              </w:rPr>
            </w:pPr>
            <w:r w:rsidRPr="00C47F2F">
              <w:rPr>
                <w:noProof/>
                <w:sz w:val="20"/>
                <w:szCs w:val="20"/>
              </w:rPr>
              <w:t>2.25E-02</w:t>
            </w:r>
          </w:p>
        </w:tc>
        <w:tc>
          <w:tcPr>
            <w:tcW w:w="985" w:type="dxa"/>
            <w:shd w:val="clear" w:color="auto" w:fill="auto"/>
            <w:noWrap/>
            <w:vAlign w:val="center"/>
          </w:tcPr>
          <w:p w14:paraId="6A8CBDDE" w14:textId="77777777" w:rsidR="00F103A8" w:rsidRPr="00C47F2F" w:rsidRDefault="00F103A8" w:rsidP="000E00A3">
            <w:pPr>
              <w:pStyle w:val="Table"/>
              <w:rPr>
                <w:noProof/>
                <w:sz w:val="20"/>
                <w:szCs w:val="20"/>
              </w:rPr>
            </w:pPr>
            <w:r w:rsidRPr="00C47F2F">
              <w:rPr>
                <w:noProof/>
                <w:sz w:val="20"/>
                <w:szCs w:val="20"/>
              </w:rPr>
              <w:t>2.25E-02</w:t>
            </w:r>
          </w:p>
        </w:tc>
      </w:tr>
      <w:tr w:rsidR="00F103A8" w:rsidRPr="00972C81" w14:paraId="2D051F14" w14:textId="77777777" w:rsidTr="000E00A3">
        <w:trPr>
          <w:trHeight w:val="340"/>
        </w:trPr>
        <w:tc>
          <w:tcPr>
            <w:tcW w:w="3063" w:type="dxa"/>
            <w:shd w:val="clear" w:color="auto" w:fill="auto"/>
            <w:noWrap/>
            <w:vAlign w:val="center"/>
          </w:tcPr>
          <w:p w14:paraId="67328E83" w14:textId="66FB2F90" w:rsidR="00F103A8" w:rsidRPr="00F103A8" w:rsidRDefault="00F103A8" w:rsidP="000E00A3">
            <w:pPr>
              <w:pStyle w:val="Table"/>
              <w:rPr>
                <w:noProof/>
                <w:sz w:val="20"/>
                <w:szCs w:val="22"/>
              </w:rPr>
            </w:pPr>
            <w:r w:rsidRPr="00F103A8">
              <w:rPr>
                <w:noProof/>
                <w:sz w:val="20"/>
                <w:szCs w:val="22"/>
              </w:rPr>
              <w:t>Liver 2 to Blood</w:t>
            </w:r>
          </w:p>
        </w:tc>
        <w:tc>
          <w:tcPr>
            <w:tcW w:w="1029" w:type="dxa"/>
            <w:shd w:val="clear" w:color="auto" w:fill="auto"/>
            <w:noWrap/>
            <w:vAlign w:val="center"/>
          </w:tcPr>
          <w:p w14:paraId="199212EE" w14:textId="77777777" w:rsidR="00F103A8" w:rsidRPr="00C47F2F" w:rsidRDefault="00F103A8" w:rsidP="000E00A3">
            <w:pPr>
              <w:pStyle w:val="Table"/>
              <w:rPr>
                <w:noProof/>
                <w:sz w:val="20"/>
                <w:szCs w:val="20"/>
              </w:rPr>
            </w:pPr>
            <w:r w:rsidRPr="00C47F2F">
              <w:rPr>
                <w:noProof/>
                <w:sz w:val="20"/>
                <w:szCs w:val="20"/>
              </w:rPr>
              <w:t>1.90E-03</w:t>
            </w:r>
          </w:p>
        </w:tc>
        <w:tc>
          <w:tcPr>
            <w:tcW w:w="988" w:type="dxa"/>
            <w:shd w:val="clear" w:color="auto" w:fill="auto"/>
            <w:noWrap/>
            <w:vAlign w:val="center"/>
          </w:tcPr>
          <w:p w14:paraId="13ECF80D" w14:textId="77777777" w:rsidR="00F103A8" w:rsidRPr="00C47F2F" w:rsidRDefault="00F103A8" w:rsidP="000E00A3">
            <w:pPr>
              <w:pStyle w:val="Table"/>
              <w:rPr>
                <w:noProof/>
                <w:sz w:val="20"/>
                <w:szCs w:val="20"/>
              </w:rPr>
            </w:pPr>
            <w:r w:rsidRPr="00C47F2F">
              <w:rPr>
                <w:noProof/>
                <w:sz w:val="20"/>
                <w:szCs w:val="20"/>
              </w:rPr>
              <w:t>1.90E-03</w:t>
            </w:r>
          </w:p>
        </w:tc>
        <w:tc>
          <w:tcPr>
            <w:tcW w:w="986" w:type="dxa"/>
            <w:shd w:val="clear" w:color="auto" w:fill="auto"/>
            <w:noWrap/>
            <w:vAlign w:val="center"/>
          </w:tcPr>
          <w:p w14:paraId="04F4B80F" w14:textId="77777777" w:rsidR="00F103A8" w:rsidRPr="00C47F2F" w:rsidRDefault="00F103A8" w:rsidP="000E00A3">
            <w:pPr>
              <w:pStyle w:val="Table"/>
              <w:rPr>
                <w:noProof/>
                <w:sz w:val="20"/>
                <w:szCs w:val="20"/>
              </w:rPr>
            </w:pPr>
            <w:r w:rsidRPr="00C47F2F">
              <w:rPr>
                <w:noProof/>
                <w:sz w:val="20"/>
                <w:szCs w:val="20"/>
              </w:rPr>
              <w:t>1.90E-03</w:t>
            </w:r>
          </w:p>
        </w:tc>
        <w:tc>
          <w:tcPr>
            <w:tcW w:w="988" w:type="dxa"/>
            <w:shd w:val="clear" w:color="auto" w:fill="auto"/>
            <w:noWrap/>
            <w:vAlign w:val="center"/>
          </w:tcPr>
          <w:p w14:paraId="3B45C6CE" w14:textId="77777777" w:rsidR="00F103A8" w:rsidRPr="00C47F2F" w:rsidRDefault="00F103A8" w:rsidP="000E00A3">
            <w:pPr>
              <w:pStyle w:val="Table"/>
              <w:rPr>
                <w:noProof/>
                <w:sz w:val="20"/>
                <w:szCs w:val="20"/>
              </w:rPr>
            </w:pPr>
            <w:r w:rsidRPr="00C47F2F">
              <w:rPr>
                <w:noProof/>
                <w:sz w:val="20"/>
                <w:szCs w:val="20"/>
              </w:rPr>
              <w:t>1.90E-03</w:t>
            </w:r>
          </w:p>
        </w:tc>
        <w:tc>
          <w:tcPr>
            <w:tcW w:w="988" w:type="dxa"/>
            <w:shd w:val="clear" w:color="auto" w:fill="auto"/>
            <w:noWrap/>
            <w:vAlign w:val="center"/>
          </w:tcPr>
          <w:p w14:paraId="7EE89EE1" w14:textId="77777777" w:rsidR="00F103A8" w:rsidRPr="00C47F2F" w:rsidRDefault="00F103A8" w:rsidP="000E00A3">
            <w:pPr>
              <w:pStyle w:val="Table"/>
              <w:rPr>
                <w:noProof/>
                <w:sz w:val="20"/>
                <w:szCs w:val="20"/>
              </w:rPr>
            </w:pPr>
            <w:r w:rsidRPr="00C47F2F">
              <w:rPr>
                <w:noProof/>
                <w:sz w:val="20"/>
                <w:szCs w:val="20"/>
              </w:rPr>
              <w:t>1.90E-03</w:t>
            </w:r>
          </w:p>
        </w:tc>
        <w:tc>
          <w:tcPr>
            <w:tcW w:w="985" w:type="dxa"/>
            <w:shd w:val="clear" w:color="auto" w:fill="auto"/>
            <w:noWrap/>
            <w:vAlign w:val="center"/>
          </w:tcPr>
          <w:p w14:paraId="3D2419F8" w14:textId="77777777" w:rsidR="00F103A8" w:rsidRPr="00C47F2F" w:rsidRDefault="00F103A8" w:rsidP="000E00A3">
            <w:pPr>
              <w:pStyle w:val="Table"/>
              <w:rPr>
                <w:noProof/>
                <w:sz w:val="20"/>
                <w:szCs w:val="20"/>
              </w:rPr>
            </w:pPr>
            <w:r w:rsidRPr="00C47F2F">
              <w:rPr>
                <w:noProof/>
                <w:sz w:val="20"/>
                <w:szCs w:val="20"/>
              </w:rPr>
              <w:t>1.90E-03</w:t>
            </w:r>
          </w:p>
        </w:tc>
      </w:tr>
      <w:tr w:rsidR="00F103A8" w:rsidRPr="00972C81" w14:paraId="25CA4156" w14:textId="77777777" w:rsidTr="000E00A3">
        <w:trPr>
          <w:trHeight w:val="340"/>
        </w:trPr>
        <w:tc>
          <w:tcPr>
            <w:tcW w:w="3063" w:type="dxa"/>
            <w:shd w:val="clear" w:color="auto" w:fill="auto"/>
            <w:noWrap/>
            <w:vAlign w:val="center"/>
          </w:tcPr>
          <w:p w14:paraId="38860FE4" w14:textId="3FB3053C" w:rsidR="00F103A8" w:rsidRPr="00F103A8" w:rsidRDefault="00F103A8" w:rsidP="000E00A3">
            <w:pPr>
              <w:pStyle w:val="Table"/>
              <w:rPr>
                <w:noProof/>
                <w:sz w:val="20"/>
                <w:szCs w:val="22"/>
              </w:rPr>
            </w:pPr>
            <w:r w:rsidRPr="00F103A8">
              <w:rPr>
                <w:noProof/>
                <w:sz w:val="20"/>
                <w:szCs w:val="22"/>
              </w:rPr>
              <w:t>ST0 to Blood</w:t>
            </w:r>
          </w:p>
        </w:tc>
        <w:tc>
          <w:tcPr>
            <w:tcW w:w="1029" w:type="dxa"/>
            <w:shd w:val="clear" w:color="auto" w:fill="auto"/>
            <w:noWrap/>
            <w:vAlign w:val="center"/>
          </w:tcPr>
          <w:p w14:paraId="0A1C7E90" w14:textId="77777777" w:rsidR="00F103A8" w:rsidRPr="00C47F2F" w:rsidRDefault="00F103A8" w:rsidP="000E00A3">
            <w:pPr>
              <w:pStyle w:val="Table"/>
              <w:rPr>
                <w:noProof/>
                <w:sz w:val="20"/>
                <w:szCs w:val="20"/>
              </w:rPr>
            </w:pPr>
            <w:r w:rsidRPr="00C47F2F">
              <w:rPr>
                <w:noProof/>
                <w:sz w:val="20"/>
                <w:szCs w:val="20"/>
              </w:rPr>
              <w:t>1.39E+00</w:t>
            </w:r>
          </w:p>
        </w:tc>
        <w:tc>
          <w:tcPr>
            <w:tcW w:w="988" w:type="dxa"/>
            <w:shd w:val="clear" w:color="auto" w:fill="auto"/>
            <w:noWrap/>
            <w:vAlign w:val="center"/>
          </w:tcPr>
          <w:p w14:paraId="023020E6" w14:textId="77777777" w:rsidR="00F103A8" w:rsidRPr="00C47F2F" w:rsidRDefault="00F103A8" w:rsidP="000E00A3">
            <w:pPr>
              <w:pStyle w:val="Table"/>
              <w:rPr>
                <w:noProof/>
                <w:sz w:val="20"/>
                <w:szCs w:val="20"/>
              </w:rPr>
            </w:pPr>
            <w:r w:rsidRPr="00C47F2F">
              <w:rPr>
                <w:noProof/>
                <w:sz w:val="20"/>
                <w:szCs w:val="20"/>
              </w:rPr>
              <w:t>1.39E+00</w:t>
            </w:r>
          </w:p>
        </w:tc>
        <w:tc>
          <w:tcPr>
            <w:tcW w:w="986" w:type="dxa"/>
            <w:shd w:val="clear" w:color="auto" w:fill="auto"/>
            <w:noWrap/>
            <w:vAlign w:val="center"/>
          </w:tcPr>
          <w:p w14:paraId="0B6ACF15" w14:textId="77777777" w:rsidR="00F103A8" w:rsidRPr="00C47F2F" w:rsidRDefault="00F103A8" w:rsidP="000E00A3">
            <w:pPr>
              <w:pStyle w:val="Table"/>
              <w:rPr>
                <w:noProof/>
                <w:sz w:val="20"/>
                <w:szCs w:val="20"/>
              </w:rPr>
            </w:pPr>
            <w:r w:rsidRPr="00C47F2F">
              <w:rPr>
                <w:noProof/>
                <w:sz w:val="20"/>
                <w:szCs w:val="20"/>
              </w:rPr>
              <w:t>1.39E+00</w:t>
            </w:r>
          </w:p>
        </w:tc>
        <w:tc>
          <w:tcPr>
            <w:tcW w:w="988" w:type="dxa"/>
            <w:shd w:val="clear" w:color="auto" w:fill="auto"/>
            <w:noWrap/>
            <w:vAlign w:val="center"/>
          </w:tcPr>
          <w:p w14:paraId="1B96FC99" w14:textId="77777777" w:rsidR="00F103A8" w:rsidRPr="00C47F2F" w:rsidRDefault="00F103A8" w:rsidP="000E00A3">
            <w:pPr>
              <w:pStyle w:val="Table"/>
              <w:rPr>
                <w:noProof/>
                <w:sz w:val="20"/>
                <w:szCs w:val="20"/>
              </w:rPr>
            </w:pPr>
            <w:r w:rsidRPr="00C47F2F">
              <w:rPr>
                <w:noProof/>
                <w:sz w:val="20"/>
                <w:szCs w:val="20"/>
              </w:rPr>
              <w:t>1.39E+00</w:t>
            </w:r>
          </w:p>
        </w:tc>
        <w:tc>
          <w:tcPr>
            <w:tcW w:w="988" w:type="dxa"/>
            <w:shd w:val="clear" w:color="auto" w:fill="auto"/>
            <w:noWrap/>
            <w:vAlign w:val="center"/>
          </w:tcPr>
          <w:p w14:paraId="0A654B40" w14:textId="77777777" w:rsidR="00F103A8" w:rsidRPr="00C47F2F" w:rsidRDefault="00F103A8" w:rsidP="000E00A3">
            <w:pPr>
              <w:pStyle w:val="Table"/>
              <w:rPr>
                <w:noProof/>
                <w:sz w:val="20"/>
                <w:szCs w:val="20"/>
              </w:rPr>
            </w:pPr>
            <w:r w:rsidRPr="00C47F2F">
              <w:rPr>
                <w:noProof/>
                <w:sz w:val="20"/>
                <w:szCs w:val="20"/>
              </w:rPr>
              <w:t>1.39E+00</w:t>
            </w:r>
          </w:p>
        </w:tc>
        <w:tc>
          <w:tcPr>
            <w:tcW w:w="985" w:type="dxa"/>
            <w:shd w:val="clear" w:color="auto" w:fill="auto"/>
            <w:noWrap/>
            <w:vAlign w:val="center"/>
          </w:tcPr>
          <w:p w14:paraId="6B047A07" w14:textId="77777777" w:rsidR="00F103A8" w:rsidRPr="00C47F2F" w:rsidRDefault="00F103A8" w:rsidP="000E00A3">
            <w:pPr>
              <w:pStyle w:val="Table"/>
              <w:rPr>
                <w:noProof/>
                <w:sz w:val="20"/>
                <w:szCs w:val="20"/>
              </w:rPr>
            </w:pPr>
            <w:r w:rsidRPr="00C47F2F">
              <w:rPr>
                <w:noProof/>
                <w:sz w:val="20"/>
                <w:szCs w:val="20"/>
              </w:rPr>
              <w:t>1.39E+00</w:t>
            </w:r>
          </w:p>
        </w:tc>
      </w:tr>
      <w:tr w:rsidR="00F103A8" w:rsidRPr="00972C81" w14:paraId="43B25870" w14:textId="77777777" w:rsidTr="000E00A3">
        <w:trPr>
          <w:trHeight w:val="340"/>
        </w:trPr>
        <w:tc>
          <w:tcPr>
            <w:tcW w:w="3063" w:type="dxa"/>
            <w:shd w:val="clear" w:color="auto" w:fill="auto"/>
            <w:noWrap/>
            <w:vAlign w:val="center"/>
          </w:tcPr>
          <w:p w14:paraId="5B3959C8" w14:textId="51DC935B" w:rsidR="00F103A8" w:rsidRPr="00F103A8" w:rsidRDefault="00F103A8" w:rsidP="000E00A3">
            <w:pPr>
              <w:pStyle w:val="Table"/>
              <w:rPr>
                <w:noProof/>
                <w:sz w:val="20"/>
                <w:szCs w:val="22"/>
              </w:rPr>
            </w:pPr>
            <w:r w:rsidRPr="00F103A8">
              <w:rPr>
                <w:noProof/>
                <w:sz w:val="20"/>
                <w:szCs w:val="22"/>
              </w:rPr>
              <w:t>ST1 to Blood</w:t>
            </w:r>
          </w:p>
        </w:tc>
        <w:tc>
          <w:tcPr>
            <w:tcW w:w="1029" w:type="dxa"/>
            <w:shd w:val="clear" w:color="auto" w:fill="auto"/>
            <w:noWrap/>
            <w:vAlign w:val="center"/>
          </w:tcPr>
          <w:p w14:paraId="423629D1" w14:textId="77777777" w:rsidR="00F103A8" w:rsidRPr="00C47F2F" w:rsidRDefault="00F103A8" w:rsidP="000E00A3">
            <w:pPr>
              <w:pStyle w:val="Table"/>
              <w:rPr>
                <w:noProof/>
                <w:sz w:val="20"/>
                <w:szCs w:val="20"/>
              </w:rPr>
            </w:pPr>
            <w:r w:rsidRPr="00C47F2F">
              <w:rPr>
                <w:noProof/>
                <w:sz w:val="20"/>
                <w:szCs w:val="20"/>
              </w:rPr>
              <w:t>6.93E-03</w:t>
            </w:r>
          </w:p>
        </w:tc>
        <w:tc>
          <w:tcPr>
            <w:tcW w:w="988" w:type="dxa"/>
            <w:shd w:val="clear" w:color="auto" w:fill="auto"/>
            <w:noWrap/>
            <w:vAlign w:val="center"/>
          </w:tcPr>
          <w:p w14:paraId="32EF20CD" w14:textId="77777777" w:rsidR="00F103A8" w:rsidRPr="00C47F2F" w:rsidRDefault="00F103A8" w:rsidP="000E00A3">
            <w:pPr>
              <w:pStyle w:val="Table"/>
              <w:rPr>
                <w:noProof/>
                <w:sz w:val="20"/>
                <w:szCs w:val="20"/>
              </w:rPr>
            </w:pPr>
            <w:r w:rsidRPr="00C47F2F">
              <w:rPr>
                <w:noProof/>
                <w:sz w:val="20"/>
                <w:szCs w:val="20"/>
              </w:rPr>
              <w:t>6.93E-03</w:t>
            </w:r>
          </w:p>
        </w:tc>
        <w:tc>
          <w:tcPr>
            <w:tcW w:w="986" w:type="dxa"/>
            <w:shd w:val="clear" w:color="auto" w:fill="auto"/>
            <w:noWrap/>
            <w:vAlign w:val="center"/>
          </w:tcPr>
          <w:p w14:paraId="1ACA2534" w14:textId="77777777" w:rsidR="00F103A8" w:rsidRPr="00C47F2F" w:rsidRDefault="00F103A8" w:rsidP="000E00A3">
            <w:pPr>
              <w:pStyle w:val="Table"/>
              <w:rPr>
                <w:noProof/>
                <w:sz w:val="20"/>
                <w:szCs w:val="20"/>
              </w:rPr>
            </w:pPr>
            <w:r w:rsidRPr="00C47F2F">
              <w:rPr>
                <w:noProof/>
                <w:sz w:val="20"/>
                <w:szCs w:val="20"/>
              </w:rPr>
              <w:t>6.93E-03</w:t>
            </w:r>
          </w:p>
        </w:tc>
        <w:tc>
          <w:tcPr>
            <w:tcW w:w="988" w:type="dxa"/>
            <w:shd w:val="clear" w:color="auto" w:fill="auto"/>
            <w:noWrap/>
            <w:vAlign w:val="center"/>
          </w:tcPr>
          <w:p w14:paraId="5801EF5D" w14:textId="77777777" w:rsidR="00F103A8" w:rsidRPr="00C47F2F" w:rsidRDefault="00F103A8" w:rsidP="000E00A3">
            <w:pPr>
              <w:pStyle w:val="Table"/>
              <w:rPr>
                <w:noProof/>
                <w:sz w:val="20"/>
                <w:szCs w:val="20"/>
              </w:rPr>
            </w:pPr>
            <w:r w:rsidRPr="00C47F2F">
              <w:rPr>
                <w:noProof/>
                <w:sz w:val="20"/>
                <w:szCs w:val="20"/>
              </w:rPr>
              <w:t>6.93E-03</w:t>
            </w:r>
          </w:p>
        </w:tc>
        <w:tc>
          <w:tcPr>
            <w:tcW w:w="988" w:type="dxa"/>
            <w:shd w:val="clear" w:color="auto" w:fill="auto"/>
            <w:noWrap/>
            <w:vAlign w:val="center"/>
          </w:tcPr>
          <w:p w14:paraId="5D48BAD2" w14:textId="77777777" w:rsidR="00F103A8" w:rsidRPr="00C47F2F" w:rsidRDefault="00F103A8" w:rsidP="000E00A3">
            <w:pPr>
              <w:pStyle w:val="Table"/>
              <w:rPr>
                <w:noProof/>
                <w:sz w:val="20"/>
                <w:szCs w:val="20"/>
              </w:rPr>
            </w:pPr>
            <w:r w:rsidRPr="00C47F2F">
              <w:rPr>
                <w:noProof/>
                <w:sz w:val="20"/>
                <w:szCs w:val="20"/>
              </w:rPr>
              <w:t>6.93E-03</w:t>
            </w:r>
          </w:p>
        </w:tc>
        <w:tc>
          <w:tcPr>
            <w:tcW w:w="985" w:type="dxa"/>
            <w:shd w:val="clear" w:color="auto" w:fill="auto"/>
            <w:noWrap/>
            <w:vAlign w:val="center"/>
          </w:tcPr>
          <w:p w14:paraId="4A33E3AE" w14:textId="77777777" w:rsidR="00F103A8" w:rsidRPr="00C47F2F" w:rsidRDefault="00F103A8" w:rsidP="000E00A3">
            <w:pPr>
              <w:pStyle w:val="Table"/>
              <w:rPr>
                <w:noProof/>
                <w:sz w:val="20"/>
                <w:szCs w:val="20"/>
              </w:rPr>
            </w:pPr>
            <w:r w:rsidRPr="00C47F2F">
              <w:rPr>
                <w:noProof/>
                <w:sz w:val="20"/>
                <w:szCs w:val="20"/>
              </w:rPr>
              <w:t>6.93E-03</w:t>
            </w:r>
          </w:p>
        </w:tc>
      </w:tr>
      <w:tr w:rsidR="00F103A8" w:rsidRPr="00972C81" w14:paraId="20EC9CEF" w14:textId="77777777" w:rsidTr="000E00A3">
        <w:trPr>
          <w:trHeight w:val="340"/>
        </w:trPr>
        <w:tc>
          <w:tcPr>
            <w:tcW w:w="3063" w:type="dxa"/>
            <w:shd w:val="clear" w:color="auto" w:fill="auto"/>
            <w:noWrap/>
            <w:vAlign w:val="center"/>
          </w:tcPr>
          <w:p w14:paraId="2BF78C71" w14:textId="160DEB9E" w:rsidR="00F103A8" w:rsidRPr="00F103A8" w:rsidRDefault="00F103A8" w:rsidP="000E00A3">
            <w:pPr>
              <w:pStyle w:val="Table"/>
              <w:rPr>
                <w:noProof/>
                <w:sz w:val="20"/>
                <w:szCs w:val="22"/>
              </w:rPr>
            </w:pPr>
            <w:r w:rsidRPr="00F103A8">
              <w:rPr>
                <w:noProof/>
                <w:sz w:val="20"/>
                <w:szCs w:val="22"/>
              </w:rPr>
              <w:t>ST2 to Blood</w:t>
            </w:r>
          </w:p>
        </w:tc>
        <w:tc>
          <w:tcPr>
            <w:tcW w:w="1029" w:type="dxa"/>
            <w:shd w:val="clear" w:color="auto" w:fill="auto"/>
            <w:noWrap/>
            <w:vAlign w:val="center"/>
          </w:tcPr>
          <w:p w14:paraId="52D39707" w14:textId="77777777" w:rsidR="00F103A8" w:rsidRPr="00C47F2F" w:rsidRDefault="00F103A8" w:rsidP="000E00A3">
            <w:pPr>
              <w:pStyle w:val="Table"/>
              <w:rPr>
                <w:noProof/>
                <w:sz w:val="20"/>
                <w:szCs w:val="20"/>
              </w:rPr>
            </w:pPr>
            <w:r w:rsidRPr="00C47F2F">
              <w:rPr>
                <w:noProof/>
                <w:sz w:val="20"/>
                <w:szCs w:val="20"/>
              </w:rPr>
              <w:t>1.90E-05</w:t>
            </w:r>
          </w:p>
        </w:tc>
        <w:tc>
          <w:tcPr>
            <w:tcW w:w="988" w:type="dxa"/>
            <w:shd w:val="clear" w:color="auto" w:fill="auto"/>
            <w:noWrap/>
            <w:vAlign w:val="center"/>
          </w:tcPr>
          <w:p w14:paraId="1A55C86E" w14:textId="77777777" w:rsidR="00F103A8" w:rsidRPr="00C47F2F" w:rsidRDefault="00F103A8" w:rsidP="000E00A3">
            <w:pPr>
              <w:pStyle w:val="Table"/>
              <w:rPr>
                <w:noProof/>
                <w:sz w:val="20"/>
                <w:szCs w:val="20"/>
              </w:rPr>
            </w:pPr>
            <w:r w:rsidRPr="00C47F2F">
              <w:rPr>
                <w:noProof/>
                <w:sz w:val="20"/>
                <w:szCs w:val="20"/>
              </w:rPr>
              <w:t>1.90E-05</w:t>
            </w:r>
          </w:p>
        </w:tc>
        <w:tc>
          <w:tcPr>
            <w:tcW w:w="986" w:type="dxa"/>
            <w:shd w:val="clear" w:color="auto" w:fill="auto"/>
            <w:noWrap/>
            <w:vAlign w:val="center"/>
          </w:tcPr>
          <w:p w14:paraId="67F6D21D" w14:textId="77777777" w:rsidR="00F103A8" w:rsidRPr="00C47F2F" w:rsidRDefault="00F103A8" w:rsidP="000E00A3">
            <w:pPr>
              <w:pStyle w:val="Table"/>
              <w:rPr>
                <w:noProof/>
                <w:sz w:val="20"/>
                <w:szCs w:val="20"/>
              </w:rPr>
            </w:pPr>
            <w:r w:rsidRPr="00C47F2F">
              <w:rPr>
                <w:noProof/>
                <w:sz w:val="20"/>
                <w:szCs w:val="20"/>
              </w:rPr>
              <w:t>1.90E-05</w:t>
            </w:r>
          </w:p>
        </w:tc>
        <w:tc>
          <w:tcPr>
            <w:tcW w:w="988" w:type="dxa"/>
            <w:shd w:val="clear" w:color="auto" w:fill="auto"/>
            <w:noWrap/>
            <w:vAlign w:val="center"/>
          </w:tcPr>
          <w:p w14:paraId="02E79E8C" w14:textId="77777777" w:rsidR="00F103A8" w:rsidRPr="00C47F2F" w:rsidRDefault="00F103A8" w:rsidP="000E00A3">
            <w:pPr>
              <w:pStyle w:val="Table"/>
              <w:rPr>
                <w:noProof/>
                <w:sz w:val="20"/>
                <w:szCs w:val="20"/>
              </w:rPr>
            </w:pPr>
            <w:r w:rsidRPr="00C47F2F">
              <w:rPr>
                <w:noProof/>
                <w:sz w:val="20"/>
                <w:szCs w:val="20"/>
              </w:rPr>
              <w:t>1.90E-05</w:t>
            </w:r>
          </w:p>
        </w:tc>
        <w:tc>
          <w:tcPr>
            <w:tcW w:w="988" w:type="dxa"/>
            <w:shd w:val="clear" w:color="auto" w:fill="auto"/>
            <w:noWrap/>
            <w:vAlign w:val="center"/>
          </w:tcPr>
          <w:p w14:paraId="0ABA0594" w14:textId="77777777" w:rsidR="00F103A8" w:rsidRPr="00C47F2F" w:rsidRDefault="00F103A8" w:rsidP="000E00A3">
            <w:pPr>
              <w:pStyle w:val="Table"/>
              <w:rPr>
                <w:noProof/>
                <w:sz w:val="20"/>
                <w:szCs w:val="20"/>
              </w:rPr>
            </w:pPr>
            <w:r w:rsidRPr="00C47F2F">
              <w:rPr>
                <w:noProof/>
                <w:sz w:val="20"/>
                <w:szCs w:val="20"/>
              </w:rPr>
              <w:t>1.90E-05</w:t>
            </w:r>
          </w:p>
        </w:tc>
        <w:tc>
          <w:tcPr>
            <w:tcW w:w="985" w:type="dxa"/>
            <w:shd w:val="clear" w:color="auto" w:fill="auto"/>
            <w:noWrap/>
            <w:vAlign w:val="center"/>
          </w:tcPr>
          <w:p w14:paraId="1D74B265" w14:textId="77777777" w:rsidR="00F103A8" w:rsidRPr="00C47F2F" w:rsidRDefault="00F103A8" w:rsidP="000E00A3">
            <w:pPr>
              <w:pStyle w:val="Table"/>
              <w:rPr>
                <w:noProof/>
                <w:sz w:val="20"/>
                <w:szCs w:val="20"/>
              </w:rPr>
            </w:pPr>
            <w:r w:rsidRPr="00C47F2F">
              <w:rPr>
                <w:noProof/>
                <w:sz w:val="20"/>
                <w:szCs w:val="20"/>
              </w:rPr>
              <w:t>1.90E-05</w:t>
            </w:r>
          </w:p>
        </w:tc>
      </w:tr>
      <w:tr w:rsidR="00F103A8" w:rsidRPr="00972C81" w14:paraId="548F22A9" w14:textId="77777777" w:rsidTr="000E00A3">
        <w:trPr>
          <w:trHeight w:val="340"/>
        </w:trPr>
        <w:tc>
          <w:tcPr>
            <w:tcW w:w="3063" w:type="dxa"/>
            <w:shd w:val="clear" w:color="auto" w:fill="auto"/>
            <w:noWrap/>
            <w:vAlign w:val="center"/>
          </w:tcPr>
          <w:p w14:paraId="304D35A9" w14:textId="4B861D3D" w:rsidR="00F103A8" w:rsidRPr="00F103A8" w:rsidRDefault="00F103A8" w:rsidP="000E00A3">
            <w:pPr>
              <w:pStyle w:val="Table"/>
              <w:rPr>
                <w:noProof/>
                <w:sz w:val="20"/>
                <w:szCs w:val="22"/>
              </w:rPr>
            </w:pPr>
            <w:r w:rsidRPr="00F103A8">
              <w:rPr>
                <w:noProof/>
                <w:sz w:val="20"/>
                <w:szCs w:val="22"/>
              </w:rPr>
              <w:t>Cort marrow to Blood</w:t>
            </w:r>
          </w:p>
        </w:tc>
        <w:tc>
          <w:tcPr>
            <w:tcW w:w="1029" w:type="dxa"/>
            <w:shd w:val="clear" w:color="auto" w:fill="auto"/>
            <w:noWrap/>
            <w:vAlign w:val="center"/>
          </w:tcPr>
          <w:p w14:paraId="1D105266" w14:textId="77777777" w:rsidR="00F103A8" w:rsidRPr="00C47F2F" w:rsidRDefault="00F103A8" w:rsidP="000E00A3">
            <w:pPr>
              <w:pStyle w:val="Table"/>
              <w:rPr>
                <w:noProof/>
                <w:sz w:val="20"/>
                <w:szCs w:val="20"/>
              </w:rPr>
            </w:pPr>
            <w:r w:rsidRPr="00C47F2F">
              <w:rPr>
                <w:noProof/>
                <w:sz w:val="20"/>
                <w:szCs w:val="20"/>
              </w:rPr>
              <w:t>7.60E-03</w:t>
            </w:r>
          </w:p>
        </w:tc>
        <w:tc>
          <w:tcPr>
            <w:tcW w:w="988" w:type="dxa"/>
            <w:shd w:val="clear" w:color="auto" w:fill="auto"/>
            <w:noWrap/>
            <w:vAlign w:val="center"/>
          </w:tcPr>
          <w:p w14:paraId="1635E584" w14:textId="77777777" w:rsidR="00F103A8" w:rsidRPr="00C47F2F" w:rsidRDefault="00F103A8" w:rsidP="000E00A3">
            <w:pPr>
              <w:pStyle w:val="Table"/>
              <w:rPr>
                <w:noProof/>
                <w:sz w:val="20"/>
                <w:szCs w:val="20"/>
              </w:rPr>
            </w:pPr>
            <w:r w:rsidRPr="00C47F2F">
              <w:rPr>
                <w:noProof/>
                <w:sz w:val="20"/>
                <w:szCs w:val="20"/>
              </w:rPr>
              <w:t>7.60E-03</w:t>
            </w:r>
          </w:p>
        </w:tc>
        <w:tc>
          <w:tcPr>
            <w:tcW w:w="986" w:type="dxa"/>
            <w:shd w:val="clear" w:color="auto" w:fill="auto"/>
            <w:noWrap/>
            <w:vAlign w:val="center"/>
          </w:tcPr>
          <w:p w14:paraId="2CB2BB9A" w14:textId="77777777" w:rsidR="00F103A8" w:rsidRPr="00C47F2F" w:rsidRDefault="00F103A8" w:rsidP="000E00A3">
            <w:pPr>
              <w:pStyle w:val="Table"/>
              <w:rPr>
                <w:noProof/>
                <w:sz w:val="20"/>
                <w:szCs w:val="20"/>
              </w:rPr>
            </w:pPr>
            <w:r w:rsidRPr="00C47F2F">
              <w:rPr>
                <w:noProof/>
                <w:sz w:val="20"/>
                <w:szCs w:val="20"/>
              </w:rPr>
              <w:t>7.60E-03</w:t>
            </w:r>
          </w:p>
        </w:tc>
        <w:tc>
          <w:tcPr>
            <w:tcW w:w="988" w:type="dxa"/>
            <w:shd w:val="clear" w:color="auto" w:fill="auto"/>
            <w:noWrap/>
            <w:vAlign w:val="center"/>
          </w:tcPr>
          <w:p w14:paraId="5FD3DF71" w14:textId="77777777" w:rsidR="00F103A8" w:rsidRPr="00C47F2F" w:rsidRDefault="00F103A8" w:rsidP="000E00A3">
            <w:pPr>
              <w:pStyle w:val="Table"/>
              <w:rPr>
                <w:noProof/>
                <w:sz w:val="20"/>
                <w:szCs w:val="20"/>
              </w:rPr>
            </w:pPr>
            <w:r w:rsidRPr="00C47F2F">
              <w:rPr>
                <w:noProof/>
                <w:sz w:val="20"/>
                <w:szCs w:val="20"/>
              </w:rPr>
              <w:t>7.60E-03</w:t>
            </w:r>
          </w:p>
        </w:tc>
        <w:tc>
          <w:tcPr>
            <w:tcW w:w="988" w:type="dxa"/>
            <w:shd w:val="clear" w:color="auto" w:fill="auto"/>
            <w:noWrap/>
            <w:vAlign w:val="center"/>
          </w:tcPr>
          <w:p w14:paraId="5E2FE819" w14:textId="77777777" w:rsidR="00F103A8" w:rsidRPr="00C47F2F" w:rsidRDefault="00F103A8" w:rsidP="000E00A3">
            <w:pPr>
              <w:pStyle w:val="Table"/>
              <w:rPr>
                <w:noProof/>
                <w:sz w:val="20"/>
                <w:szCs w:val="20"/>
              </w:rPr>
            </w:pPr>
            <w:r w:rsidRPr="00C47F2F">
              <w:rPr>
                <w:noProof/>
                <w:sz w:val="20"/>
                <w:szCs w:val="20"/>
              </w:rPr>
              <w:t>7.60E-03</w:t>
            </w:r>
          </w:p>
        </w:tc>
        <w:tc>
          <w:tcPr>
            <w:tcW w:w="985" w:type="dxa"/>
            <w:shd w:val="clear" w:color="auto" w:fill="auto"/>
            <w:noWrap/>
            <w:vAlign w:val="center"/>
          </w:tcPr>
          <w:p w14:paraId="6EE7FAD8" w14:textId="77777777" w:rsidR="00F103A8" w:rsidRPr="00C47F2F" w:rsidRDefault="00F103A8" w:rsidP="000E00A3">
            <w:pPr>
              <w:pStyle w:val="Table"/>
              <w:rPr>
                <w:noProof/>
                <w:sz w:val="20"/>
                <w:szCs w:val="20"/>
              </w:rPr>
            </w:pPr>
            <w:r w:rsidRPr="00C47F2F">
              <w:rPr>
                <w:noProof/>
                <w:sz w:val="20"/>
                <w:szCs w:val="20"/>
              </w:rPr>
              <w:t>7.60E-03</w:t>
            </w:r>
          </w:p>
        </w:tc>
      </w:tr>
      <w:tr w:rsidR="00F103A8" w:rsidRPr="00972C81" w14:paraId="4F600E4B" w14:textId="77777777" w:rsidTr="000E00A3">
        <w:trPr>
          <w:trHeight w:val="340"/>
        </w:trPr>
        <w:tc>
          <w:tcPr>
            <w:tcW w:w="3063" w:type="dxa"/>
            <w:shd w:val="clear" w:color="auto" w:fill="auto"/>
            <w:noWrap/>
            <w:vAlign w:val="center"/>
          </w:tcPr>
          <w:p w14:paraId="12318058" w14:textId="26B370D9" w:rsidR="00F103A8" w:rsidRPr="00F103A8" w:rsidRDefault="00F103A8" w:rsidP="000E00A3">
            <w:pPr>
              <w:pStyle w:val="Table"/>
              <w:rPr>
                <w:noProof/>
                <w:sz w:val="20"/>
                <w:szCs w:val="22"/>
              </w:rPr>
            </w:pPr>
            <w:r w:rsidRPr="00F103A8">
              <w:rPr>
                <w:noProof/>
                <w:sz w:val="20"/>
                <w:szCs w:val="22"/>
              </w:rPr>
              <w:t>Cort bone surf to Cort marrow</w:t>
            </w:r>
          </w:p>
        </w:tc>
        <w:tc>
          <w:tcPr>
            <w:tcW w:w="1029" w:type="dxa"/>
            <w:shd w:val="clear" w:color="auto" w:fill="auto"/>
            <w:noWrap/>
            <w:vAlign w:val="center"/>
          </w:tcPr>
          <w:p w14:paraId="1015665F" w14:textId="77777777" w:rsidR="00F103A8" w:rsidRPr="00C47F2F" w:rsidRDefault="00F103A8" w:rsidP="000E00A3">
            <w:pPr>
              <w:pStyle w:val="Table"/>
              <w:rPr>
                <w:noProof/>
                <w:sz w:val="20"/>
                <w:szCs w:val="20"/>
              </w:rPr>
            </w:pPr>
            <w:r w:rsidRPr="00C47F2F">
              <w:rPr>
                <w:noProof/>
                <w:sz w:val="20"/>
                <w:szCs w:val="20"/>
              </w:rPr>
              <w:t>8.22E-03</w:t>
            </w:r>
          </w:p>
        </w:tc>
        <w:tc>
          <w:tcPr>
            <w:tcW w:w="988" w:type="dxa"/>
            <w:shd w:val="clear" w:color="auto" w:fill="auto"/>
            <w:noWrap/>
            <w:vAlign w:val="center"/>
          </w:tcPr>
          <w:p w14:paraId="2004F90B" w14:textId="77777777" w:rsidR="00F103A8" w:rsidRPr="00C47F2F" w:rsidRDefault="00F103A8" w:rsidP="000E00A3">
            <w:pPr>
              <w:pStyle w:val="Table"/>
              <w:rPr>
                <w:noProof/>
                <w:sz w:val="20"/>
                <w:szCs w:val="20"/>
              </w:rPr>
            </w:pPr>
            <w:r w:rsidRPr="00C47F2F">
              <w:rPr>
                <w:noProof/>
                <w:sz w:val="20"/>
                <w:szCs w:val="20"/>
              </w:rPr>
              <w:t>2.88E-03</w:t>
            </w:r>
          </w:p>
        </w:tc>
        <w:tc>
          <w:tcPr>
            <w:tcW w:w="986" w:type="dxa"/>
            <w:shd w:val="clear" w:color="auto" w:fill="auto"/>
            <w:noWrap/>
            <w:vAlign w:val="center"/>
          </w:tcPr>
          <w:p w14:paraId="79D2ED1D" w14:textId="77777777" w:rsidR="00F103A8" w:rsidRPr="00C47F2F" w:rsidRDefault="00F103A8" w:rsidP="000E00A3">
            <w:pPr>
              <w:pStyle w:val="Table"/>
              <w:rPr>
                <w:noProof/>
                <w:sz w:val="20"/>
                <w:szCs w:val="20"/>
              </w:rPr>
            </w:pPr>
            <w:r w:rsidRPr="00C47F2F">
              <w:rPr>
                <w:noProof/>
                <w:sz w:val="20"/>
                <w:szCs w:val="20"/>
              </w:rPr>
              <w:t>1.53E-03</w:t>
            </w:r>
          </w:p>
        </w:tc>
        <w:tc>
          <w:tcPr>
            <w:tcW w:w="988" w:type="dxa"/>
            <w:shd w:val="clear" w:color="auto" w:fill="auto"/>
            <w:noWrap/>
            <w:vAlign w:val="center"/>
          </w:tcPr>
          <w:p w14:paraId="2BDF74BC" w14:textId="77777777" w:rsidR="00F103A8" w:rsidRPr="00C47F2F" w:rsidRDefault="00F103A8" w:rsidP="000E00A3">
            <w:pPr>
              <w:pStyle w:val="Table"/>
              <w:rPr>
                <w:noProof/>
                <w:sz w:val="20"/>
                <w:szCs w:val="20"/>
              </w:rPr>
            </w:pPr>
            <w:r w:rsidRPr="00C47F2F">
              <w:rPr>
                <w:noProof/>
                <w:sz w:val="20"/>
                <w:szCs w:val="20"/>
              </w:rPr>
              <w:t>9.04E-04</w:t>
            </w:r>
          </w:p>
        </w:tc>
        <w:tc>
          <w:tcPr>
            <w:tcW w:w="988" w:type="dxa"/>
            <w:shd w:val="clear" w:color="auto" w:fill="auto"/>
            <w:noWrap/>
            <w:vAlign w:val="center"/>
          </w:tcPr>
          <w:p w14:paraId="368E2C3C" w14:textId="77777777" w:rsidR="00F103A8" w:rsidRPr="00C47F2F" w:rsidRDefault="00F103A8" w:rsidP="000E00A3">
            <w:pPr>
              <w:pStyle w:val="Table"/>
              <w:rPr>
                <w:noProof/>
                <w:sz w:val="20"/>
                <w:szCs w:val="20"/>
              </w:rPr>
            </w:pPr>
            <w:r w:rsidRPr="00C47F2F">
              <w:rPr>
                <w:noProof/>
                <w:sz w:val="20"/>
                <w:szCs w:val="20"/>
              </w:rPr>
              <w:t>5.21E-04</w:t>
            </w:r>
          </w:p>
        </w:tc>
        <w:tc>
          <w:tcPr>
            <w:tcW w:w="985" w:type="dxa"/>
            <w:shd w:val="clear" w:color="auto" w:fill="auto"/>
            <w:noWrap/>
            <w:vAlign w:val="center"/>
          </w:tcPr>
          <w:p w14:paraId="0743CEC5" w14:textId="77777777" w:rsidR="00F103A8" w:rsidRPr="00C47F2F" w:rsidRDefault="00F103A8" w:rsidP="000E00A3">
            <w:pPr>
              <w:pStyle w:val="Table"/>
              <w:rPr>
                <w:noProof/>
                <w:sz w:val="20"/>
                <w:szCs w:val="20"/>
              </w:rPr>
            </w:pPr>
            <w:r w:rsidRPr="00C47F2F">
              <w:rPr>
                <w:noProof/>
                <w:sz w:val="20"/>
                <w:szCs w:val="20"/>
              </w:rPr>
              <w:t>8.21E-05</w:t>
            </w:r>
          </w:p>
        </w:tc>
      </w:tr>
      <w:tr w:rsidR="00F103A8" w:rsidRPr="00972C81" w14:paraId="0257885E" w14:textId="77777777" w:rsidTr="000E00A3">
        <w:trPr>
          <w:trHeight w:val="340"/>
        </w:trPr>
        <w:tc>
          <w:tcPr>
            <w:tcW w:w="3063" w:type="dxa"/>
            <w:shd w:val="clear" w:color="auto" w:fill="auto"/>
            <w:noWrap/>
            <w:vAlign w:val="center"/>
          </w:tcPr>
          <w:p w14:paraId="33112BF6" w14:textId="21B8BEB6" w:rsidR="00F103A8" w:rsidRPr="00F103A8" w:rsidRDefault="00F103A8" w:rsidP="000E00A3">
            <w:pPr>
              <w:pStyle w:val="Table"/>
              <w:rPr>
                <w:noProof/>
                <w:sz w:val="20"/>
                <w:szCs w:val="22"/>
              </w:rPr>
            </w:pPr>
            <w:r w:rsidRPr="00F103A8">
              <w:rPr>
                <w:noProof/>
                <w:sz w:val="20"/>
                <w:szCs w:val="22"/>
              </w:rPr>
              <w:t xml:space="preserve">Cort bone surf  to Cort bone vol </w:t>
            </w:r>
          </w:p>
        </w:tc>
        <w:tc>
          <w:tcPr>
            <w:tcW w:w="1029" w:type="dxa"/>
            <w:shd w:val="clear" w:color="auto" w:fill="auto"/>
            <w:noWrap/>
            <w:vAlign w:val="center"/>
          </w:tcPr>
          <w:p w14:paraId="34D0589B" w14:textId="77777777" w:rsidR="00F103A8" w:rsidRPr="00C47F2F" w:rsidRDefault="00F103A8" w:rsidP="000E00A3">
            <w:pPr>
              <w:pStyle w:val="Table"/>
              <w:rPr>
                <w:noProof/>
                <w:sz w:val="20"/>
                <w:szCs w:val="20"/>
              </w:rPr>
            </w:pPr>
            <w:r w:rsidRPr="00C47F2F">
              <w:rPr>
                <w:noProof/>
                <w:sz w:val="20"/>
                <w:szCs w:val="20"/>
              </w:rPr>
              <w:t>8.22E-03</w:t>
            </w:r>
          </w:p>
        </w:tc>
        <w:tc>
          <w:tcPr>
            <w:tcW w:w="988" w:type="dxa"/>
            <w:shd w:val="clear" w:color="auto" w:fill="auto"/>
            <w:noWrap/>
            <w:vAlign w:val="center"/>
          </w:tcPr>
          <w:p w14:paraId="37E3FCCA" w14:textId="77777777" w:rsidR="00F103A8" w:rsidRPr="00C47F2F" w:rsidRDefault="00F103A8" w:rsidP="000E00A3">
            <w:pPr>
              <w:pStyle w:val="Table"/>
              <w:rPr>
                <w:noProof/>
                <w:sz w:val="20"/>
                <w:szCs w:val="20"/>
              </w:rPr>
            </w:pPr>
            <w:r w:rsidRPr="00C47F2F">
              <w:rPr>
                <w:noProof/>
                <w:sz w:val="20"/>
                <w:szCs w:val="20"/>
              </w:rPr>
              <w:t>2.88E-03</w:t>
            </w:r>
          </w:p>
        </w:tc>
        <w:tc>
          <w:tcPr>
            <w:tcW w:w="986" w:type="dxa"/>
            <w:shd w:val="clear" w:color="auto" w:fill="auto"/>
            <w:noWrap/>
            <w:vAlign w:val="center"/>
          </w:tcPr>
          <w:p w14:paraId="406599FD" w14:textId="77777777" w:rsidR="00F103A8" w:rsidRPr="00C47F2F" w:rsidRDefault="00F103A8" w:rsidP="000E00A3">
            <w:pPr>
              <w:pStyle w:val="Table"/>
              <w:rPr>
                <w:noProof/>
                <w:sz w:val="20"/>
                <w:szCs w:val="20"/>
              </w:rPr>
            </w:pPr>
            <w:r w:rsidRPr="00C47F2F">
              <w:rPr>
                <w:noProof/>
                <w:sz w:val="20"/>
                <w:szCs w:val="20"/>
              </w:rPr>
              <w:t>1.53E-03</w:t>
            </w:r>
          </w:p>
        </w:tc>
        <w:tc>
          <w:tcPr>
            <w:tcW w:w="988" w:type="dxa"/>
            <w:shd w:val="clear" w:color="auto" w:fill="auto"/>
            <w:noWrap/>
            <w:vAlign w:val="center"/>
          </w:tcPr>
          <w:p w14:paraId="14D15920" w14:textId="77777777" w:rsidR="00F103A8" w:rsidRPr="00C47F2F" w:rsidRDefault="00F103A8" w:rsidP="000E00A3">
            <w:pPr>
              <w:pStyle w:val="Table"/>
              <w:rPr>
                <w:noProof/>
                <w:sz w:val="20"/>
                <w:szCs w:val="20"/>
              </w:rPr>
            </w:pPr>
            <w:r w:rsidRPr="00C47F2F">
              <w:rPr>
                <w:noProof/>
                <w:sz w:val="20"/>
                <w:szCs w:val="20"/>
              </w:rPr>
              <w:t>9.04E-04</w:t>
            </w:r>
          </w:p>
        </w:tc>
        <w:tc>
          <w:tcPr>
            <w:tcW w:w="988" w:type="dxa"/>
            <w:shd w:val="clear" w:color="auto" w:fill="auto"/>
            <w:noWrap/>
            <w:vAlign w:val="center"/>
          </w:tcPr>
          <w:p w14:paraId="3E54EEC7" w14:textId="77777777" w:rsidR="00F103A8" w:rsidRPr="00C47F2F" w:rsidRDefault="00F103A8" w:rsidP="000E00A3">
            <w:pPr>
              <w:pStyle w:val="Table"/>
              <w:rPr>
                <w:noProof/>
                <w:sz w:val="20"/>
                <w:szCs w:val="20"/>
              </w:rPr>
            </w:pPr>
            <w:r w:rsidRPr="00C47F2F">
              <w:rPr>
                <w:noProof/>
                <w:sz w:val="20"/>
                <w:szCs w:val="20"/>
              </w:rPr>
              <w:t>5.21E-04</w:t>
            </w:r>
          </w:p>
        </w:tc>
        <w:tc>
          <w:tcPr>
            <w:tcW w:w="985" w:type="dxa"/>
            <w:shd w:val="clear" w:color="auto" w:fill="auto"/>
            <w:noWrap/>
            <w:vAlign w:val="center"/>
          </w:tcPr>
          <w:p w14:paraId="5B590D13" w14:textId="77777777" w:rsidR="00F103A8" w:rsidRPr="00C47F2F" w:rsidRDefault="00F103A8" w:rsidP="000E00A3">
            <w:pPr>
              <w:pStyle w:val="Table"/>
              <w:rPr>
                <w:noProof/>
                <w:sz w:val="20"/>
                <w:szCs w:val="20"/>
              </w:rPr>
            </w:pPr>
            <w:r w:rsidRPr="00C47F2F">
              <w:rPr>
                <w:noProof/>
                <w:sz w:val="20"/>
                <w:szCs w:val="20"/>
              </w:rPr>
              <w:t>4.11E-05</w:t>
            </w:r>
          </w:p>
        </w:tc>
      </w:tr>
      <w:tr w:rsidR="00F103A8" w:rsidRPr="00972C81" w14:paraId="4E3CFA0A" w14:textId="77777777" w:rsidTr="000E00A3">
        <w:trPr>
          <w:trHeight w:val="340"/>
        </w:trPr>
        <w:tc>
          <w:tcPr>
            <w:tcW w:w="3063" w:type="dxa"/>
            <w:shd w:val="clear" w:color="auto" w:fill="auto"/>
            <w:noWrap/>
            <w:vAlign w:val="center"/>
          </w:tcPr>
          <w:p w14:paraId="7317384A" w14:textId="0C30CB02" w:rsidR="00F103A8" w:rsidRPr="00F103A8" w:rsidRDefault="00F103A8" w:rsidP="000E00A3">
            <w:pPr>
              <w:pStyle w:val="Table"/>
              <w:rPr>
                <w:noProof/>
                <w:sz w:val="20"/>
                <w:szCs w:val="22"/>
              </w:rPr>
            </w:pPr>
            <w:r w:rsidRPr="00F103A8">
              <w:rPr>
                <w:noProof/>
                <w:sz w:val="20"/>
                <w:szCs w:val="22"/>
              </w:rPr>
              <w:t>Cort bone vol to Cort marrow</w:t>
            </w:r>
          </w:p>
        </w:tc>
        <w:tc>
          <w:tcPr>
            <w:tcW w:w="1029" w:type="dxa"/>
            <w:shd w:val="clear" w:color="auto" w:fill="auto"/>
            <w:noWrap/>
            <w:vAlign w:val="center"/>
          </w:tcPr>
          <w:p w14:paraId="5CD76D4A" w14:textId="77777777" w:rsidR="00F103A8" w:rsidRPr="00C47F2F" w:rsidRDefault="00F103A8" w:rsidP="000E00A3">
            <w:pPr>
              <w:pStyle w:val="Table"/>
              <w:rPr>
                <w:noProof/>
                <w:sz w:val="20"/>
                <w:szCs w:val="20"/>
              </w:rPr>
            </w:pPr>
            <w:r w:rsidRPr="00C47F2F">
              <w:rPr>
                <w:noProof/>
                <w:sz w:val="20"/>
                <w:szCs w:val="20"/>
              </w:rPr>
              <w:t>8.22E-03</w:t>
            </w:r>
          </w:p>
        </w:tc>
        <w:tc>
          <w:tcPr>
            <w:tcW w:w="988" w:type="dxa"/>
            <w:shd w:val="clear" w:color="auto" w:fill="auto"/>
            <w:noWrap/>
            <w:vAlign w:val="center"/>
          </w:tcPr>
          <w:p w14:paraId="4F888AC5" w14:textId="77777777" w:rsidR="00F103A8" w:rsidRPr="00C47F2F" w:rsidRDefault="00F103A8" w:rsidP="000E00A3">
            <w:pPr>
              <w:pStyle w:val="Table"/>
              <w:rPr>
                <w:noProof/>
                <w:sz w:val="20"/>
                <w:szCs w:val="20"/>
              </w:rPr>
            </w:pPr>
            <w:r w:rsidRPr="00C47F2F">
              <w:rPr>
                <w:noProof/>
                <w:sz w:val="20"/>
                <w:szCs w:val="20"/>
              </w:rPr>
              <w:t>2.88E-03</w:t>
            </w:r>
          </w:p>
        </w:tc>
        <w:tc>
          <w:tcPr>
            <w:tcW w:w="986" w:type="dxa"/>
            <w:shd w:val="clear" w:color="auto" w:fill="auto"/>
            <w:noWrap/>
            <w:vAlign w:val="center"/>
          </w:tcPr>
          <w:p w14:paraId="44408E12" w14:textId="77777777" w:rsidR="00F103A8" w:rsidRPr="00C47F2F" w:rsidRDefault="00F103A8" w:rsidP="000E00A3">
            <w:pPr>
              <w:pStyle w:val="Table"/>
              <w:rPr>
                <w:noProof/>
                <w:sz w:val="20"/>
                <w:szCs w:val="20"/>
              </w:rPr>
            </w:pPr>
            <w:r w:rsidRPr="00C47F2F">
              <w:rPr>
                <w:noProof/>
                <w:sz w:val="20"/>
                <w:szCs w:val="20"/>
              </w:rPr>
              <w:t>1.53E-03</w:t>
            </w:r>
          </w:p>
        </w:tc>
        <w:tc>
          <w:tcPr>
            <w:tcW w:w="988" w:type="dxa"/>
            <w:shd w:val="clear" w:color="auto" w:fill="auto"/>
            <w:noWrap/>
            <w:vAlign w:val="center"/>
          </w:tcPr>
          <w:p w14:paraId="7B970E98" w14:textId="77777777" w:rsidR="00F103A8" w:rsidRPr="00C47F2F" w:rsidRDefault="00F103A8" w:rsidP="000E00A3">
            <w:pPr>
              <w:pStyle w:val="Table"/>
              <w:rPr>
                <w:noProof/>
                <w:sz w:val="20"/>
                <w:szCs w:val="20"/>
              </w:rPr>
            </w:pPr>
            <w:r w:rsidRPr="00C47F2F">
              <w:rPr>
                <w:noProof/>
                <w:sz w:val="20"/>
                <w:szCs w:val="20"/>
              </w:rPr>
              <w:t>9.04E-04</w:t>
            </w:r>
          </w:p>
        </w:tc>
        <w:tc>
          <w:tcPr>
            <w:tcW w:w="988" w:type="dxa"/>
            <w:shd w:val="clear" w:color="auto" w:fill="auto"/>
            <w:noWrap/>
            <w:vAlign w:val="center"/>
          </w:tcPr>
          <w:p w14:paraId="6D17D70D" w14:textId="77777777" w:rsidR="00F103A8" w:rsidRPr="00C47F2F" w:rsidRDefault="00F103A8" w:rsidP="000E00A3">
            <w:pPr>
              <w:pStyle w:val="Table"/>
              <w:rPr>
                <w:noProof/>
                <w:sz w:val="20"/>
                <w:szCs w:val="20"/>
              </w:rPr>
            </w:pPr>
            <w:r w:rsidRPr="00C47F2F">
              <w:rPr>
                <w:noProof/>
                <w:sz w:val="20"/>
                <w:szCs w:val="20"/>
              </w:rPr>
              <w:t>5.21E-04</w:t>
            </w:r>
          </w:p>
        </w:tc>
        <w:tc>
          <w:tcPr>
            <w:tcW w:w="985" w:type="dxa"/>
            <w:shd w:val="clear" w:color="auto" w:fill="auto"/>
            <w:noWrap/>
            <w:vAlign w:val="center"/>
          </w:tcPr>
          <w:p w14:paraId="46A1F4E6" w14:textId="77777777" w:rsidR="00F103A8" w:rsidRPr="00C47F2F" w:rsidRDefault="00F103A8" w:rsidP="000E00A3">
            <w:pPr>
              <w:pStyle w:val="Table"/>
              <w:rPr>
                <w:noProof/>
                <w:sz w:val="20"/>
                <w:szCs w:val="20"/>
              </w:rPr>
            </w:pPr>
            <w:r w:rsidRPr="00C47F2F">
              <w:rPr>
                <w:noProof/>
                <w:sz w:val="20"/>
                <w:szCs w:val="20"/>
              </w:rPr>
              <w:t>8.21E-05</w:t>
            </w:r>
          </w:p>
        </w:tc>
      </w:tr>
      <w:tr w:rsidR="00F103A8" w:rsidRPr="00972C81" w14:paraId="030AF86A" w14:textId="77777777" w:rsidTr="000E00A3">
        <w:trPr>
          <w:trHeight w:val="340"/>
        </w:trPr>
        <w:tc>
          <w:tcPr>
            <w:tcW w:w="3063" w:type="dxa"/>
            <w:shd w:val="clear" w:color="auto" w:fill="auto"/>
            <w:noWrap/>
            <w:vAlign w:val="center"/>
          </w:tcPr>
          <w:p w14:paraId="14512D59" w14:textId="6C2F6636" w:rsidR="00F103A8" w:rsidRPr="00F103A8" w:rsidRDefault="00F103A8" w:rsidP="000E00A3">
            <w:pPr>
              <w:pStyle w:val="Table"/>
              <w:rPr>
                <w:noProof/>
                <w:sz w:val="20"/>
                <w:szCs w:val="22"/>
              </w:rPr>
            </w:pPr>
            <w:r w:rsidRPr="00F103A8">
              <w:rPr>
                <w:noProof/>
                <w:sz w:val="20"/>
                <w:szCs w:val="22"/>
              </w:rPr>
              <w:t>Trab marrow to Blood</w:t>
            </w:r>
          </w:p>
        </w:tc>
        <w:tc>
          <w:tcPr>
            <w:tcW w:w="1029" w:type="dxa"/>
            <w:shd w:val="clear" w:color="auto" w:fill="auto"/>
            <w:noWrap/>
            <w:vAlign w:val="center"/>
          </w:tcPr>
          <w:p w14:paraId="09456F66" w14:textId="77777777" w:rsidR="00F103A8" w:rsidRPr="00C47F2F" w:rsidRDefault="00F103A8" w:rsidP="000E00A3">
            <w:pPr>
              <w:pStyle w:val="Table"/>
              <w:rPr>
                <w:noProof/>
                <w:sz w:val="20"/>
                <w:szCs w:val="20"/>
              </w:rPr>
            </w:pPr>
            <w:r w:rsidRPr="00C47F2F">
              <w:rPr>
                <w:noProof/>
                <w:sz w:val="20"/>
                <w:szCs w:val="20"/>
              </w:rPr>
              <w:t>7.60E-03</w:t>
            </w:r>
          </w:p>
        </w:tc>
        <w:tc>
          <w:tcPr>
            <w:tcW w:w="988" w:type="dxa"/>
            <w:shd w:val="clear" w:color="auto" w:fill="auto"/>
            <w:noWrap/>
            <w:vAlign w:val="center"/>
          </w:tcPr>
          <w:p w14:paraId="47CF5B25" w14:textId="77777777" w:rsidR="00F103A8" w:rsidRPr="00C47F2F" w:rsidRDefault="00F103A8" w:rsidP="000E00A3">
            <w:pPr>
              <w:pStyle w:val="Table"/>
              <w:rPr>
                <w:noProof/>
                <w:sz w:val="20"/>
                <w:szCs w:val="20"/>
              </w:rPr>
            </w:pPr>
            <w:r w:rsidRPr="00C47F2F">
              <w:rPr>
                <w:noProof/>
                <w:sz w:val="20"/>
                <w:szCs w:val="20"/>
              </w:rPr>
              <w:t>7.60E-03</w:t>
            </w:r>
          </w:p>
        </w:tc>
        <w:tc>
          <w:tcPr>
            <w:tcW w:w="986" w:type="dxa"/>
            <w:shd w:val="clear" w:color="auto" w:fill="auto"/>
            <w:noWrap/>
            <w:vAlign w:val="center"/>
          </w:tcPr>
          <w:p w14:paraId="78E87208" w14:textId="77777777" w:rsidR="00F103A8" w:rsidRPr="00C47F2F" w:rsidRDefault="00F103A8" w:rsidP="000E00A3">
            <w:pPr>
              <w:pStyle w:val="Table"/>
              <w:rPr>
                <w:noProof/>
                <w:sz w:val="20"/>
                <w:szCs w:val="20"/>
              </w:rPr>
            </w:pPr>
            <w:r w:rsidRPr="00C47F2F">
              <w:rPr>
                <w:noProof/>
                <w:sz w:val="20"/>
                <w:szCs w:val="20"/>
              </w:rPr>
              <w:t>7.60E-03</w:t>
            </w:r>
          </w:p>
        </w:tc>
        <w:tc>
          <w:tcPr>
            <w:tcW w:w="988" w:type="dxa"/>
            <w:shd w:val="clear" w:color="auto" w:fill="auto"/>
            <w:noWrap/>
            <w:vAlign w:val="center"/>
          </w:tcPr>
          <w:p w14:paraId="086B83B6" w14:textId="77777777" w:rsidR="00F103A8" w:rsidRPr="00C47F2F" w:rsidRDefault="00F103A8" w:rsidP="000E00A3">
            <w:pPr>
              <w:pStyle w:val="Table"/>
              <w:rPr>
                <w:noProof/>
                <w:sz w:val="20"/>
                <w:szCs w:val="20"/>
              </w:rPr>
            </w:pPr>
            <w:r w:rsidRPr="00C47F2F">
              <w:rPr>
                <w:noProof/>
                <w:sz w:val="20"/>
                <w:szCs w:val="20"/>
              </w:rPr>
              <w:t>7.60E-03</w:t>
            </w:r>
          </w:p>
        </w:tc>
        <w:tc>
          <w:tcPr>
            <w:tcW w:w="988" w:type="dxa"/>
            <w:shd w:val="clear" w:color="auto" w:fill="auto"/>
            <w:noWrap/>
            <w:vAlign w:val="center"/>
          </w:tcPr>
          <w:p w14:paraId="1FA898B0" w14:textId="77777777" w:rsidR="00F103A8" w:rsidRPr="00C47F2F" w:rsidRDefault="00F103A8" w:rsidP="000E00A3">
            <w:pPr>
              <w:pStyle w:val="Table"/>
              <w:rPr>
                <w:noProof/>
                <w:sz w:val="20"/>
                <w:szCs w:val="20"/>
              </w:rPr>
            </w:pPr>
            <w:r w:rsidRPr="00C47F2F">
              <w:rPr>
                <w:noProof/>
                <w:sz w:val="20"/>
                <w:szCs w:val="20"/>
              </w:rPr>
              <w:t>7.60E-03</w:t>
            </w:r>
          </w:p>
        </w:tc>
        <w:tc>
          <w:tcPr>
            <w:tcW w:w="985" w:type="dxa"/>
            <w:shd w:val="clear" w:color="auto" w:fill="auto"/>
            <w:noWrap/>
            <w:vAlign w:val="center"/>
          </w:tcPr>
          <w:p w14:paraId="21F65AED" w14:textId="77777777" w:rsidR="00F103A8" w:rsidRPr="00C47F2F" w:rsidRDefault="00F103A8" w:rsidP="000E00A3">
            <w:pPr>
              <w:pStyle w:val="Table"/>
              <w:rPr>
                <w:noProof/>
                <w:sz w:val="20"/>
                <w:szCs w:val="20"/>
              </w:rPr>
            </w:pPr>
            <w:r w:rsidRPr="00C47F2F">
              <w:rPr>
                <w:noProof/>
                <w:sz w:val="20"/>
                <w:szCs w:val="20"/>
              </w:rPr>
              <w:t>7.60E-03</w:t>
            </w:r>
          </w:p>
        </w:tc>
      </w:tr>
      <w:tr w:rsidR="00F103A8" w:rsidRPr="00972C81" w14:paraId="3892AA32" w14:textId="77777777" w:rsidTr="000E00A3">
        <w:trPr>
          <w:trHeight w:val="340"/>
        </w:trPr>
        <w:tc>
          <w:tcPr>
            <w:tcW w:w="3063" w:type="dxa"/>
            <w:shd w:val="clear" w:color="auto" w:fill="auto"/>
            <w:noWrap/>
            <w:vAlign w:val="center"/>
          </w:tcPr>
          <w:p w14:paraId="56E8A477" w14:textId="1C62FF6F" w:rsidR="00F103A8" w:rsidRPr="00F103A8" w:rsidRDefault="00F103A8" w:rsidP="000E00A3">
            <w:pPr>
              <w:pStyle w:val="Table"/>
              <w:rPr>
                <w:noProof/>
                <w:sz w:val="20"/>
                <w:szCs w:val="22"/>
              </w:rPr>
            </w:pPr>
            <w:r w:rsidRPr="00F103A8">
              <w:rPr>
                <w:noProof/>
                <w:sz w:val="20"/>
                <w:szCs w:val="22"/>
              </w:rPr>
              <w:t>Trab bone surf to Trab marrow</w:t>
            </w:r>
          </w:p>
        </w:tc>
        <w:tc>
          <w:tcPr>
            <w:tcW w:w="1029" w:type="dxa"/>
            <w:shd w:val="clear" w:color="auto" w:fill="auto"/>
            <w:noWrap/>
            <w:vAlign w:val="center"/>
          </w:tcPr>
          <w:p w14:paraId="35FA5EA5" w14:textId="77777777" w:rsidR="00F103A8" w:rsidRPr="00C47F2F" w:rsidRDefault="00F103A8" w:rsidP="000E00A3">
            <w:pPr>
              <w:pStyle w:val="Table"/>
              <w:rPr>
                <w:noProof/>
                <w:sz w:val="20"/>
                <w:szCs w:val="20"/>
              </w:rPr>
            </w:pPr>
            <w:r w:rsidRPr="00C47F2F">
              <w:rPr>
                <w:noProof/>
                <w:sz w:val="20"/>
                <w:szCs w:val="20"/>
              </w:rPr>
              <w:t>8.22E-03</w:t>
            </w:r>
          </w:p>
        </w:tc>
        <w:tc>
          <w:tcPr>
            <w:tcW w:w="988" w:type="dxa"/>
            <w:shd w:val="clear" w:color="auto" w:fill="auto"/>
            <w:noWrap/>
            <w:vAlign w:val="center"/>
          </w:tcPr>
          <w:p w14:paraId="610DC29F" w14:textId="77777777" w:rsidR="00F103A8" w:rsidRPr="00C47F2F" w:rsidRDefault="00F103A8" w:rsidP="000E00A3">
            <w:pPr>
              <w:pStyle w:val="Table"/>
              <w:rPr>
                <w:noProof/>
                <w:sz w:val="20"/>
                <w:szCs w:val="20"/>
              </w:rPr>
            </w:pPr>
            <w:r w:rsidRPr="00C47F2F">
              <w:rPr>
                <w:noProof/>
                <w:sz w:val="20"/>
                <w:szCs w:val="20"/>
              </w:rPr>
              <w:t>2.88E-03</w:t>
            </w:r>
          </w:p>
        </w:tc>
        <w:tc>
          <w:tcPr>
            <w:tcW w:w="986" w:type="dxa"/>
            <w:shd w:val="clear" w:color="auto" w:fill="auto"/>
            <w:noWrap/>
            <w:vAlign w:val="center"/>
          </w:tcPr>
          <w:p w14:paraId="67F03011" w14:textId="77777777" w:rsidR="00F103A8" w:rsidRPr="00C47F2F" w:rsidRDefault="00F103A8" w:rsidP="000E00A3">
            <w:pPr>
              <w:pStyle w:val="Table"/>
              <w:rPr>
                <w:noProof/>
                <w:sz w:val="20"/>
                <w:szCs w:val="20"/>
              </w:rPr>
            </w:pPr>
            <w:r w:rsidRPr="00C47F2F">
              <w:rPr>
                <w:noProof/>
                <w:sz w:val="20"/>
                <w:szCs w:val="20"/>
              </w:rPr>
              <w:t>1.81E-03</w:t>
            </w:r>
          </w:p>
        </w:tc>
        <w:tc>
          <w:tcPr>
            <w:tcW w:w="988" w:type="dxa"/>
            <w:shd w:val="clear" w:color="auto" w:fill="auto"/>
            <w:noWrap/>
            <w:vAlign w:val="center"/>
          </w:tcPr>
          <w:p w14:paraId="0470E202" w14:textId="77777777" w:rsidR="00F103A8" w:rsidRPr="00C47F2F" w:rsidRDefault="00F103A8" w:rsidP="000E00A3">
            <w:pPr>
              <w:pStyle w:val="Table"/>
              <w:rPr>
                <w:noProof/>
                <w:sz w:val="20"/>
                <w:szCs w:val="20"/>
              </w:rPr>
            </w:pPr>
            <w:r w:rsidRPr="00C47F2F">
              <w:rPr>
                <w:noProof/>
                <w:sz w:val="20"/>
                <w:szCs w:val="20"/>
              </w:rPr>
              <w:t>1.32E-03</w:t>
            </w:r>
          </w:p>
        </w:tc>
        <w:tc>
          <w:tcPr>
            <w:tcW w:w="988" w:type="dxa"/>
            <w:shd w:val="clear" w:color="auto" w:fill="auto"/>
            <w:noWrap/>
            <w:vAlign w:val="center"/>
          </w:tcPr>
          <w:p w14:paraId="799B146E" w14:textId="77777777" w:rsidR="00F103A8" w:rsidRPr="00C47F2F" w:rsidRDefault="00F103A8" w:rsidP="000E00A3">
            <w:pPr>
              <w:pStyle w:val="Table"/>
              <w:rPr>
                <w:noProof/>
                <w:sz w:val="20"/>
                <w:szCs w:val="20"/>
              </w:rPr>
            </w:pPr>
            <w:r w:rsidRPr="00C47F2F">
              <w:rPr>
                <w:noProof/>
                <w:sz w:val="20"/>
                <w:szCs w:val="20"/>
              </w:rPr>
              <w:t>9.59E-04</w:t>
            </w:r>
          </w:p>
        </w:tc>
        <w:tc>
          <w:tcPr>
            <w:tcW w:w="985" w:type="dxa"/>
            <w:shd w:val="clear" w:color="auto" w:fill="auto"/>
            <w:noWrap/>
            <w:vAlign w:val="center"/>
          </w:tcPr>
          <w:p w14:paraId="4D6BB885" w14:textId="77777777" w:rsidR="00F103A8" w:rsidRPr="00C47F2F" w:rsidRDefault="00F103A8" w:rsidP="000E00A3">
            <w:pPr>
              <w:pStyle w:val="Table"/>
              <w:rPr>
                <w:noProof/>
                <w:sz w:val="20"/>
                <w:szCs w:val="20"/>
              </w:rPr>
            </w:pPr>
            <w:r w:rsidRPr="00C47F2F">
              <w:rPr>
                <w:noProof/>
                <w:sz w:val="20"/>
                <w:szCs w:val="20"/>
              </w:rPr>
              <w:t>4.93E-04</w:t>
            </w:r>
          </w:p>
        </w:tc>
      </w:tr>
      <w:tr w:rsidR="00F103A8" w:rsidRPr="00972C81" w14:paraId="4EF2A0C4" w14:textId="77777777" w:rsidTr="000E00A3">
        <w:trPr>
          <w:trHeight w:val="340"/>
        </w:trPr>
        <w:tc>
          <w:tcPr>
            <w:tcW w:w="3063" w:type="dxa"/>
            <w:shd w:val="clear" w:color="auto" w:fill="auto"/>
            <w:noWrap/>
            <w:vAlign w:val="center"/>
          </w:tcPr>
          <w:p w14:paraId="6D981EDF" w14:textId="752BAB91" w:rsidR="00F103A8" w:rsidRPr="00F103A8" w:rsidRDefault="00F103A8" w:rsidP="000E00A3">
            <w:pPr>
              <w:pStyle w:val="Table"/>
              <w:rPr>
                <w:noProof/>
                <w:sz w:val="20"/>
                <w:szCs w:val="22"/>
              </w:rPr>
            </w:pPr>
            <w:r w:rsidRPr="00F103A8">
              <w:rPr>
                <w:noProof/>
                <w:sz w:val="20"/>
                <w:szCs w:val="22"/>
              </w:rPr>
              <w:t>Trab bone surf to Trab bone vol</w:t>
            </w:r>
          </w:p>
        </w:tc>
        <w:tc>
          <w:tcPr>
            <w:tcW w:w="1029" w:type="dxa"/>
            <w:shd w:val="clear" w:color="auto" w:fill="auto"/>
            <w:noWrap/>
            <w:vAlign w:val="center"/>
          </w:tcPr>
          <w:p w14:paraId="7FE541A0" w14:textId="77777777" w:rsidR="00F103A8" w:rsidRPr="00C47F2F" w:rsidRDefault="00F103A8" w:rsidP="000E00A3">
            <w:pPr>
              <w:pStyle w:val="Table"/>
              <w:rPr>
                <w:noProof/>
                <w:sz w:val="20"/>
                <w:szCs w:val="20"/>
              </w:rPr>
            </w:pPr>
            <w:r w:rsidRPr="00C47F2F">
              <w:rPr>
                <w:noProof/>
                <w:sz w:val="20"/>
                <w:szCs w:val="20"/>
              </w:rPr>
              <w:t>8.22E-03</w:t>
            </w:r>
          </w:p>
        </w:tc>
        <w:tc>
          <w:tcPr>
            <w:tcW w:w="988" w:type="dxa"/>
            <w:shd w:val="clear" w:color="auto" w:fill="auto"/>
            <w:noWrap/>
            <w:vAlign w:val="center"/>
          </w:tcPr>
          <w:p w14:paraId="191397A1" w14:textId="77777777" w:rsidR="00F103A8" w:rsidRPr="00C47F2F" w:rsidRDefault="00F103A8" w:rsidP="000E00A3">
            <w:pPr>
              <w:pStyle w:val="Table"/>
              <w:rPr>
                <w:noProof/>
                <w:sz w:val="20"/>
                <w:szCs w:val="20"/>
              </w:rPr>
            </w:pPr>
            <w:r w:rsidRPr="00C47F2F">
              <w:rPr>
                <w:noProof/>
                <w:sz w:val="20"/>
                <w:szCs w:val="20"/>
              </w:rPr>
              <w:t>2.88E-03</w:t>
            </w:r>
          </w:p>
        </w:tc>
        <w:tc>
          <w:tcPr>
            <w:tcW w:w="986" w:type="dxa"/>
            <w:shd w:val="clear" w:color="auto" w:fill="auto"/>
            <w:noWrap/>
            <w:vAlign w:val="center"/>
          </w:tcPr>
          <w:p w14:paraId="1FACC2BF" w14:textId="77777777" w:rsidR="00F103A8" w:rsidRPr="00C47F2F" w:rsidRDefault="00F103A8" w:rsidP="000E00A3">
            <w:pPr>
              <w:pStyle w:val="Table"/>
              <w:rPr>
                <w:noProof/>
                <w:sz w:val="20"/>
                <w:szCs w:val="20"/>
              </w:rPr>
            </w:pPr>
            <w:r w:rsidRPr="00C47F2F">
              <w:rPr>
                <w:noProof/>
                <w:sz w:val="20"/>
                <w:szCs w:val="20"/>
              </w:rPr>
              <w:t>1.81E-03</w:t>
            </w:r>
          </w:p>
        </w:tc>
        <w:tc>
          <w:tcPr>
            <w:tcW w:w="988" w:type="dxa"/>
            <w:shd w:val="clear" w:color="auto" w:fill="auto"/>
            <w:noWrap/>
            <w:vAlign w:val="center"/>
          </w:tcPr>
          <w:p w14:paraId="41B7E943" w14:textId="77777777" w:rsidR="00F103A8" w:rsidRPr="00C47F2F" w:rsidRDefault="00F103A8" w:rsidP="000E00A3">
            <w:pPr>
              <w:pStyle w:val="Table"/>
              <w:rPr>
                <w:noProof/>
                <w:sz w:val="20"/>
                <w:szCs w:val="20"/>
              </w:rPr>
            </w:pPr>
            <w:r w:rsidRPr="00C47F2F">
              <w:rPr>
                <w:noProof/>
                <w:sz w:val="20"/>
                <w:szCs w:val="20"/>
              </w:rPr>
              <w:t>1.32E-03</w:t>
            </w:r>
          </w:p>
        </w:tc>
        <w:tc>
          <w:tcPr>
            <w:tcW w:w="988" w:type="dxa"/>
            <w:shd w:val="clear" w:color="auto" w:fill="auto"/>
            <w:noWrap/>
            <w:vAlign w:val="center"/>
          </w:tcPr>
          <w:p w14:paraId="477C7AF1" w14:textId="77777777" w:rsidR="00F103A8" w:rsidRPr="00C47F2F" w:rsidRDefault="00F103A8" w:rsidP="000E00A3">
            <w:pPr>
              <w:pStyle w:val="Table"/>
              <w:rPr>
                <w:noProof/>
                <w:sz w:val="20"/>
                <w:szCs w:val="20"/>
              </w:rPr>
            </w:pPr>
            <w:r w:rsidRPr="00C47F2F">
              <w:rPr>
                <w:noProof/>
                <w:sz w:val="20"/>
                <w:szCs w:val="20"/>
              </w:rPr>
              <w:t>9.59E-04</w:t>
            </w:r>
          </w:p>
        </w:tc>
        <w:tc>
          <w:tcPr>
            <w:tcW w:w="985" w:type="dxa"/>
            <w:shd w:val="clear" w:color="auto" w:fill="auto"/>
            <w:noWrap/>
            <w:vAlign w:val="center"/>
          </w:tcPr>
          <w:p w14:paraId="0D8553F5" w14:textId="77777777" w:rsidR="00F103A8" w:rsidRPr="00C47F2F" w:rsidRDefault="00F103A8" w:rsidP="000E00A3">
            <w:pPr>
              <w:pStyle w:val="Table"/>
              <w:rPr>
                <w:noProof/>
                <w:sz w:val="20"/>
                <w:szCs w:val="20"/>
              </w:rPr>
            </w:pPr>
            <w:r w:rsidRPr="00C47F2F">
              <w:rPr>
                <w:noProof/>
                <w:sz w:val="20"/>
                <w:szCs w:val="20"/>
              </w:rPr>
              <w:t>2.47E-04</w:t>
            </w:r>
          </w:p>
        </w:tc>
      </w:tr>
      <w:tr w:rsidR="00F103A8" w:rsidRPr="00972C81" w14:paraId="2222298A" w14:textId="77777777" w:rsidTr="000E00A3">
        <w:trPr>
          <w:trHeight w:val="340"/>
        </w:trPr>
        <w:tc>
          <w:tcPr>
            <w:tcW w:w="3063" w:type="dxa"/>
            <w:shd w:val="clear" w:color="auto" w:fill="auto"/>
            <w:noWrap/>
            <w:vAlign w:val="center"/>
          </w:tcPr>
          <w:p w14:paraId="4D0E52F9" w14:textId="6DF6753E" w:rsidR="00F103A8" w:rsidRPr="00F103A8" w:rsidRDefault="00F103A8" w:rsidP="000E00A3">
            <w:pPr>
              <w:pStyle w:val="Table"/>
              <w:rPr>
                <w:noProof/>
                <w:sz w:val="20"/>
                <w:szCs w:val="22"/>
              </w:rPr>
            </w:pPr>
            <w:r w:rsidRPr="00F103A8">
              <w:rPr>
                <w:noProof/>
                <w:sz w:val="20"/>
                <w:szCs w:val="22"/>
              </w:rPr>
              <w:t>Trab bone vol to Trab marrow</w:t>
            </w:r>
          </w:p>
        </w:tc>
        <w:tc>
          <w:tcPr>
            <w:tcW w:w="1029" w:type="dxa"/>
            <w:shd w:val="clear" w:color="auto" w:fill="auto"/>
            <w:noWrap/>
            <w:vAlign w:val="center"/>
          </w:tcPr>
          <w:p w14:paraId="3991F725" w14:textId="77777777" w:rsidR="00F103A8" w:rsidRPr="00C47F2F" w:rsidRDefault="00F103A8" w:rsidP="000E00A3">
            <w:pPr>
              <w:pStyle w:val="Table"/>
              <w:rPr>
                <w:noProof/>
                <w:sz w:val="20"/>
                <w:szCs w:val="20"/>
              </w:rPr>
            </w:pPr>
            <w:r w:rsidRPr="00C47F2F">
              <w:rPr>
                <w:noProof/>
                <w:sz w:val="20"/>
                <w:szCs w:val="20"/>
              </w:rPr>
              <w:t>8.22E-03</w:t>
            </w:r>
          </w:p>
        </w:tc>
        <w:tc>
          <w:tcPr>
            <w:tcW w:w="988" w:type="dxa"/>
            <w:shd w:val="clear" w:color="auto" w:fill="auto"/>
            <w:noWrap/>
            <w:vAlign w:val="center"/>
          </w:tcPr>
          <w:p w14:paraId="2FC3145E" w14:textId="77777777" w:rsidR="00F103A8" w:rsidRPr="00C47F2F" w:rsidRDefault="00F103A8" w:rsidP="000E00A3">
            <w:pPr>
              <w:pStyle w:val="Table"/>
              <w:rPr>
                <w:noProof/>
                <w:sz w:val="20"/>
                <w:szCs w:val="20"/>
              </w:rPr>
            </w:pPr>
            <w:r w:rsidRPr="00C47F2F">
              <w:rPr>
                <w:noProof/>
                <w:sz w:val="20"/>
                <w:szCs w:val="20"/>
              </w:rPr>
              <w:t>2.88E-03</w:t>
            </w:r>
          </w:p>
        </w:tc>
        <w:tc>
          <w:tcPr>
            <w:tcW w:w="986" w:type="dxa"/>
            <w:shd w:val="clear" w:color="auto" w:fill="auto"/>
            <w:noWrap/>
            <w:vAlign w:val="center"/>
          </w:tcPr>
          <w:p w14:paraId="69F13063" w14:textId="77777777" w:rsidR="00F103A8" w:rsidRPr="00C47F2F" w:rsidRDefault="00F103A8" w:rsidP="000E00A3">
            <w:pPr>
              <w:pStyle w:val="Table"/>
              <w:rPr>
                <w:noProof/>
                <w:sz w:val="20"/>
                <w:szCs w:val="20"/>
              </w:rPr>
            </w:pPr>
            <w:r w:rsidRPr="00C47F2F">
              <w:rPr>
                <w:noProof/>
                <w:sz w:val="20"/>
                <w:szCs w:val="20"/>
              </w:rPr>
              <w:t>1.81E-03</w:t>
            </w:r>
          </w:p>
        </w:tc>
        <w:tc>
          <w:tcPr>
            <w:tcW w:w="988" w:type="dxa"/>
            <w:shd w:val="clear" w:color="auto" w:fill="auto"/>
            <w:noWrap/>
            <w:vAlign w:val="center"/>
          </w:tcPr>
          <w:p w14:paraId="64DA48CA" w14:textId="77777777" w:rsidR="00F103A8" w:rsidRPr="00C47F2F" w:rsidRDefault="00F103A8" w:rsidP="000E00A3">
            <w:pPr>
              <w:pStyle w:val="Table"/>
              <w:rPr>
                <w:noProof/>
                <w:sz w:val="20"/>
                <w:szCs w:val="20"/>
              </w:rPr>
            </w:pPr>
            <w:r w:rsidRPr="00C47F2F">
              <w:rPr>
                <w:noProof/>
                <w:sz w:val="20"/>
                <w:szCs w:val="20"/>
              </w:rPr>
              <w:t>1.32E-03</w:t>
            </w:r>
          </w:p>
        </w:tc>
        <w:tc>
          <w:tcPr>
            <w:tcW w:w="988" w:type="dxa"/>
            <w:shd w:val="clear" w:color="auto" w:fill="auto"/>
            <w:noWrap/>
            <w:vAlign w:val="center"/>
          </w:tcPr>
          <w:p w14:paraId="25274CC5" w14:textId="77777777" w:rsidR="00F103A8" w:rsidRPr="00C47F2F" w:rsidRDefault="00F103A8" w:rsidP="000E00A3">
            <w:pPr>
              <w:pStyle w:val="Table"/>
              <w:rPr>
                <w:noProof/>
                <w:sz w:val="20"/>
                <w:szCs w:val="20"/>
              </w:rPr>
            </w:pPr>
            <w:r w:rsidRPr="00C47F2F">
              <w:rPr>
                <w:noProof/>
                <w:sz w:val="20"/>
                <w:szCs w:val="20"/>
              </w:rPr>
              <w:t>9.59E-04</w:t>
            </w:r>
          </w:p>
        </w:tc>
        <w:tc>
          <w:tcPr>
            <w:tcW w:w="985" w:type="dxa"/>
            <w:shd w:val="clear" w:color="auto" w:fill="auto"/>
            <w:noWrap/>
            <w:vAlign w:val="center"/>
          </w:tcPr>
          <w:p w14:paraId="6FB8DDCE" w14:textId="77777777" w:rsidR="00F103A8" w:rsidRPr="00C47F2F" w:rsidRDefault="00F103A8" w:rsidP="000E00A3">
            <w:pPr>
              <w:pStyle w:val="Table"/>
              <w:rPr>
                <w:noProof/>
                <w:sz w:val="20"/>
                <w:szCs w:val="20"/>
              </w:rPr>
            </w:pPr>
            <w:r w:rsidRPr="00C47F2F">
              <w:rPr>
                <w:noProof/>
                <w:sz w:val="20"/>
                <w:szCs w:val="20"/>
              </w:rPr>
              <w:t>4.93E-04</w:t>
            </w:r>
          </w:p>
        </w:tc>
      </w:tr>
      <w:tr w:rsidR="00F103A8" w:rsidRPr="00972C81" w14:paraId="0B1A03AC" w14:textId="77777777" w:rsidTr="000E00A3">
        <w:trPr>
          <w:trHeight w:val="340"/>
        </w:trPr>
        <w:tc>
          <w:tcPr>
            <w:tcW w:w="3063" w:type="dxa"/>
            <w:shd w:val="clear" w:color="auto" w:fill="auto"/>
            <w:noWrap/>
            <w:vAlign w:val="center"/>
          </w:tcPr>
          <w:p w14:paraId="13A056CC" w14:textId="57908B59" w:rsidR="00F103A8" w:rsidRPr="00F103A8" w:rsidRDefault="00F103A8" w:rsidP="000E00A3">
            <w:pPr>
              <w:pStyle w:val="Table"/>
              <w:rPr>
                <w:noProof/>
                <w:sz w:val="20"/>
                <w:szCs w:val="22"/>
              </w:rPr>
            </w:pPr>
            <w:r w:rsidRPr="00F103A8">
              <w:rPr>
                <w:noProof/>
                <w:sz w:val="20"/>
                <w:szCs w:val="22"/>
              </w:rPr>
              <w:t>Kidneys 1 to Urinary bladder cont</w:t>
            </w:r>
          </w:p>
        </w:tc>
        <w:tc>
          <w:tcPr>
            <w:tcW w:w="1029" w:type="dxa"/>
            <w:shd w:val="clear" w:color="auto" w:fill="auto"/>
            <w:noWrap/>
            <w:vAlign w:val="center"/>
          </w:tcPr>
          <w:p w14:paraId="092E846A" w14:textId="77777777" w:rsidR="00F103A8" w:rsidRPr="00C47F2F" w:rsidRDefault="00F103A8" w:rsidP="000E00A3">
            <w:pPr>
              <w:pStyle w:val="Table"/>
              <w:rPr>
                <w:noProof/>
                <w:sz w:val="20"/>
                <w:szCs w:val="20"/>
              </w:rPr>
            </w:pPr>
            <w:r w:rsidRPr="00C47F2F">
              <w:rPr>
                <w:noProof/>
                <w:sz w:val="20"/>
                <w:szCs w:val="20"/>
              </w:rPr>
              <w:t>9.90E-02</w:t>
            </w:r>
          </w:p>
        </w:tc>
        <w:tc>
          <w:tcPr>
            <w:tcW w:w="988" w:type="dxa"/>
            <w:shd w:val="clear" w:color="auto" w:fill="auto"/>
            <w:noWrap/>
            <w:vAlign w:val="center"/>
          </w:tcPr>
          <w:p w14:paraId="589A81BE" w14:textId="77777777" w:rsidR="00F103A8" w:rsidRPr="00C47F2F" w:rsidRDefault="00F103A8" w:rsidP="000E00A3">
            <w:pPr>
              <w:pStyle w:val="Table"/>
              <w:rPr>
                <w:noProof/>
                <w:sz w:val="20"/>
                <w:szCs w:val="20"/>
              </w:rPr>
            </w:pPr>
            <w:r w:rsidRPr="00C47F2F">
              <w:rPr>
                <w:noProof/>
                <w:sz w:val="20"/>
                <w:szCs w:val="20"/>
              </w:rPr>
              <w:t>9.90E-02</w:t>
            </w:r>
          </w:p>
        </w:tc>
        <w:tc>
          <w:tcPr>
            <w:tcW w:w="986" w:type="dxa"/>
            <w:shd w:val="clear" w:color="auto" w:fill="auto"/>
            <w:noWrap/>
            <w:vAlign w:val="center"/>
          </w:tcPr>
          <w:p w14:paraId="3A702872" w14:textId="77777777" w:rsidR="00F103A8" w:rsidRPr="00C47F2F" w:rsidRDefault="00F103A8" w:rsidP="000E00A3">
            <w:pPr>
              <w:pStyle w:val="Table"/>
              <w:rPr>
                <w:noProof/>
                <w:sz w:val="20"/>
                <w:szCs w:val="20"/>
              </w:rPr>
            </w:pPr>
            <w:r w:rsidRPr="00C47F2F">
              <w:rPr>
                <w:noProof/>
                <w:sz w:val="20"/>
                <w:szCs w:val="20"/>
              </w:rPr>
              <w:t>9.90E-02</w:t>
            </w:r>
          </w:p>
        </w:tc>
        <w:tc>
          <w:tcPr>
            <w:tcW w:w="988" w:type="dxa"/>
            <w:shd w:val="clear" w:color="auto" w:fill="auto"/>
            <w:noWrap/>
            <w:vAlign w:val="center"/>
          </w:tcPr>
          <w:p w14:paraId="7BCC6FC2" w14:textId="77777777" w:rsidR="00F103A8" w:rsidRPr="00C47F2F" w:rsidRDefault="00F103A8" w:rsidP="000E00A3">
            <w:pPr>
              <w:pStyle w:val="Table"/>
              <w:rPr>
                <w:noProof/>
                <w:sz w:val="20"/>
                <w:szCs w:val="20"/>
              </w:rPr>
            </w:pPr>
            <w:r w:rsidRPr="00C47F2F">
              <w:rPr>
                <w:noProof/>
                <w:sz w:val="20"/>
                <w:szCs w:val="20"/>
              </w:rPr>
              <w:t>9.90E-02</w:t>
            </w:r>
          </w:p>
        </w:tc>
        <w:tc>
          <w:tcPr>
            <w:tcW w:w="988" w:type="dxa"/>
            <w:shd w:val="clear" w:color="auto" w:fill="auto"/>
            <w:noWrap/>
            <w:vAlign w:val="center"/>
          </w:tcPr>
          <w:p w14:paraId="6CE85737" w14:textId="77777777" w:rsidR="00F103A8" w:rsidRPr="00C47F2F" w:rsidRDefault="00F103A8" w:rsidP="000E00A3">
            <w:pPr>
              <w:pStyle w:val="Table"/>
              <w:rPr>
                <w:noProof/>
                <w:sz w:val="20"/>
                <w:szCs w:val="20"/>
              </w:rPr>
            </w:pPr>
            <w:r w:rsidRPr="00C47F2F">
              <w:rPr>
                <w:noProof/>
                <w:sz w:val="20"/>
                <w:szCs w:val="20"/>
              </w:rPr>
              <w:t>9.90E-02</w:t>
            </w:r>
          </w:p>
        </w:tc>
        <w:tc>
          <w:tcPr>
            <w:tcW w:w="985" w:type="dxa"/>
            <w:shd w:val="clear" w:color="auto" w:fill="auto"/>
            <w:noWrap/>
            <w:vAlign w:val="center"/>
          </w:tcPr>
          <w:p w14:paraId="2866CED8" w14:textId="77777777" w:rsidR="00F103A8" w:rsidRPr="00C47F2F" w:rsidRDefault="00F103A8" w:rsidP="000E00A3">
            <w:pPr>
              <w:pStyle w:val="Table"/>
              <w:rPr>
                <w:noProof/>
                <w:sz w:val="20"/>
                <w:szCs w:val="20"/>
              </w:rPr>
            </w:pPr>
            <w:r w:rsidRPr="00C47F2F">
              <w:rPr>
                <w:noProof/>
                <w:sz w:val="20"/>
                <w:szCs w:val="20"/>
              </w:rPr>
              <w:t>9.90E-02</w:t>
            </w:r>
          </w:p>
        </w:tc>
      </w:tr>
      <w:tr w:rsidR="00F103A8" w:rsidRPr="00972C81" w14:paraId="22C911FA" w14:textId="77777777" w:rsidTr="000E00A3">
        <w:trPr>
          <w:trHeight w:val="340"/>
        </w:trPr>
        <w:tc>
          <w:tcPr>
            <w:tcW w:w="3063" w:type="dxa"/>
            <w:shd w:val="clear" w:color="auto" w:fill="auto"/>
            <w:noWrap/>
            <w:vAlign w:val="center"/>
          </w:tcPr>
          <w:p w14:paraId="000B90BD" w14:textId="03C191ED" w:rsidR="00F103A8" w:rsidRPr="00F103A8" w:rsidRDefault="00F103A8" w:rsidP="000E00A3">
            <w:pPr>
              <w:pStyle w:val="Table"/>
              <w:rPr>
                <w:noProof/>
                <w:sz w:val="20"/>
                <w:szCs w:val="22"/>
              </w:rPr>
            </w:pPr>
            <w:r w:rsidRPr="00F103A8">
              <w:rPr>
                <w:noProof/>
                <w:sz w:val="20"/>
                <w:szCs w:val="22"/>
              </w:rPr>
              <w:t>Kidneys 2 to Blood</w:t>
            </w:r>
          </w:p>
        </w:tc>
        <w:tc>
          <w:tcPr>
            <w:tcW w:w="1029" w:type="dxa"/>
            <w:shd w:val="clear" w:color="auto" w:fill="auto"/>
            <w:noWrap/>
            <w:vAlign w:val="center"/>
          </w:tcPr>
          <w:p w14:paraId="56BC5F6D" w14:textId="77777777" w:rsidR="00F103A8" w:rsidRPr="00C47F2F" w:rsidRDefault="00F103A8" w:rsidP="000E00A3">
            <w:pPr>
              <w:pStyle w:val="Table"/>
              <w:rPr>
                <w:noProof/>
                <w:sz w:val="20"/>
                <w:szCs w:val="20"/>
              </w:rPr>
            </w:pPr>
            <w:r w:rsidRPr="00C47F2F">
              <w:rPr>
                <w:noProof/>
                <w:sz w:val="20"/>
                <w:szCs w:val="20"/>
              </w:rPr>
              <w:t>3.80E-04</w:t>
            </w:r>
          </w:p>
        </w:tc>
        <w:tc>
          <w:tcPr>
            <w:tcW w:w="988" w:type="dxa"/>
            <w:shd w:val="clear" w:color="auto" w:fill="auto"/>
            <w:noWrap/>
            <w:vAlign w:val="center"/>
          </w:tcPr>
          <w:p w14:paraId="13A5BE5B" w14:textId="77777777" w:rsidR="00F103A8" w:rsidRPr="00C47F2F" w:rsidRDefault="00F103A8" w:rsidP="000E00A3">
            <w:pPr>
              <w:pStyle w:val="Table"/>
              <w:rPr>
                <w:noProof/>
                <w:sz w:val="20"/>
                <w:szCs w:val="20"/>
              </w:rPr>
            </w:pPr>
            <w:r w:rsidRPr="00C47F2F">
              <w:rPr>
                <w:noProof/>
                <w:sz w:val="20"/>
                <w:szCs w:val="20"/>
              </w:rPr>
              <w:t>3.80E-04</w:t>
            </w:r>
          </w:p>
        </w:tc>
        <w:tc>
          <w:tcPr>
            <w:tcW w:w="986" w:type="dxa"/>
            <w:shd w:val="clear" w:color="auto" w:fill="auto"/>
            <w:noWrap/>
            <w:vAlign w:val="center"/>
          </w:tcPr>
          <w:p w14:paraId="58845D6F" w14:textId="77777777" w:rsidR="00F103A8" w:rsidRPr="00C47F2F" w:rsidRDefault="00F103A8" w:rsidP="000E00A3">
            <w:pPr>
              <w:pStyle w:val="Table"/>
              <w:rPr>
                <w:noProof/>
                <w:sz w:val="20"/>
                <w:szCs w:val="20"/>
              </w:rPr>
            </w:pPr>
            <w:r w:rsidRPr="00C47F2F">
              <w:rPr>
                <w:noProof/>
                <w:sz w:val="20"/>
                <w:szCs w:val="20"/>
              </w:rPr>
              <w:t>3.80E-04</w:t>
            </w:r>
          </w:p>
        </w:tc>
        <w:tc>
          <w:tcPr>
            <w:tcW w:w="988" w:type="dxa"/>
            <w:shd w:val="clear" w:color="auto" w:fill="auto"/>
            <w:noWrap/>
            <w:vAlign w:val="center"/>
          </w:tcPr>
          <w:p w14:paraId="690143E3" w14:textId="77777777" w:rsidR="00F103A8" w:rsidRPr="00C47F2F" w:rsidRDefault="00F103A8" w:rsidP="000E00A3">
            <w:pPr>
              <w:pStyle w:val="Table"/>
              <w:rPr>
                <w:noProof/>
                <w:sz w:val="20"/>
                <w:szCs w:val="20"/>
              </w:rPr>
            </w:pPr>
            <w:r w:rsidRPr="00C47F2F">
              <w:rPr>
                <w:noProof/>
                <w:sz w:val="20"/>
                <w:szCs w:val="20"/>
              </w:rPr>
              <w:t>3.80E-04</w:t>
            </w:r>
          </w:p>
        </w:tc>
        <w:tc>
          <w:tcPr>
            <w:tcW w:w="988" w:type="dxa"/>
            <w:shd w:val="clear" w:color="auto" w:fill="auto"/>
            <w:noWrap/>
            <w:vAlign w:val="center"/>
          </w:tcPr>
          <w:p w14:paraId="70965020" w14:textId="77777777" w:rsidR="00F103A8" w:rsidRPr="00C47F2F" w:rsidRDefault="00F103A8" w:rsidP="000E00A3">
            <w:pPr>
              <w:pStyle w:val="Table"/>
              <w:rPr>
                <w:noProof/>
                <w:sz w:val="20"/>
                <w:szCs w:val="20"/>
              </w:rPr>
            </w:pPr>
            <w:r w:rsidRPr="00C47F2F">
              <w:rPr>
                <w:noProof/>
                <w:sz w:val="20"/>
                <w:szCs w:val="20"/>
              </w:rPr>
              <w:t>3.80E-04</w:t>
            </w:r>
          </w:p>
        </w:tc>
        <w:tc>
          <w:tcPr>
            <w:tcW w:w="985" w:type="dxa"/>
            <w:shd w:val="clear" w:color="auto" w:fill="auto"/>
            <w:noWrap/>
            <w:vAlign w:val="center"/>
          </w:tcPr>
          <w:p w14:paraId="518CD4B5" w14:textId="77777777" w:rsidR="00F103A8" w:rsidRPr="00C47F2F" w:rsidRDefault="00F103A8" w:rsidP="000E00A3">
            <w:pPr>
              <w:pStyle w:val="Table"/>
              <w:rPr>
                <w:noProof/>
                <w:sz w:val="20"/>
                <w:szCs w:val="20"/>
              </w:rPr>
            </w:pPr>
            <w:r w:rsidRPr="00C47F2F">
              <w:rPr>
                <w:noProof/>
                <w:sz w:val="20"/>
                <w:szCs w:val="20"/>
              </w:rPr>
              <w:t>3.80E-04</w:t>
            </w:r>
          </w:p>
        </w:tc>
      </w:tr>
      <w:tr w:rsidR="00F103A8" w:rsidRPr="00972C81" w14:paraId="58F6AA07" w14:textId="77777777" w:rsidTr="000E00A3">
        <w:trPr>
          <w:trHeight w:val="340"/>
        </w:trPr>
        <w:tc>
          <w:tcPr>
            <w:tcW w:w="3063" w:type="dxa"/>
            <w:shd w:val="clear" w:color="auto" w:fill="auto"/>
            <w:noWrap/>
            <w:vAlign w:val="center"/>
          </w:tcPr>
          <w:p w14:paraId="16C35EB7" w14:textId="2E43084A" w:rsidR="00F103A8" w:rsidRPr="00F103A8" w:rsidRDefault="00F103A8" w:rsidP="000E00A3">
            <w:pPr>
              <w:pStyle w:val="Table"/>
              <w:rPr>
                <w:noProof/>
                <w:sz w:val="20"/>
                <w:szCs w:val="22"/>
              </w:rPr>
            </w:pPr>
            <w:r w:rsidRPr="00F103A8">
              <w:rPr>
                <w:noProof/>
                <w:sz w:val="20"/>
                <w:szCs w:val="22"/>
              </w:rPr>
              <w:t>Testes to Blood</w:t>
            </w:r>
          </w:p>
        </w:tc>
        <w:tc>
          <w:tcPr>
            <w:tcW w:w="1029" w:type="dxa"/>
            <w:shd w:val="clear" w:color="auto" w:fill="auto"/>
            <w:noWrap/>
            <w:vAlign w:val="center"/>
          </w:tcPr>
          <w:p w14:paraId="6015637A" w14:textId="77777777" w:rsidR="00F103A8" w:rsidRPr="00C47F2F" w:rsidRDefault="00F103A8" w:rsidP="000E00A3">
            <w:pPr>
              <w:pStyle w:val="Table"/>
              <w:rPr>
                <w:noProof/>
                <w:sz w:val="20"/>
                <w:szCs w:val="20"/>
              </w:rPr>
            </w:pPr>
            <w:r w:rsidRPr="00C47F2F">
              <w:rPr>
                <w:noProof/>
                <w:sz w:val="20"/>
                <w:szCs w:val="20"/>
              </w:rPr>
              <w:t>3.80E-04</w:t>
            </w:r>
          </w:p>
        </w:tc>
        <w:tc>
          <w:tcPr>
            <w:tcW w:w="988" w:type="dxa"/>
            <w:shd w:val="clear" w:color="auto" w:fill="auto"/>
            <w:noWrap/>
            <w:vAlign w:val="center"/>
          </w:tcPr>
          <w:p w14:paraId="2F9626B9" w14:textId="77777777" w:rsidR="00F103A8" w:rsidRPr="00C47F2F" w:rsidRDefault="00F103A8" w:rsidP="000E00A3">
            <w:pPr>
              <w:pStyle w:val="Table"/>
              <w:rPr>
                <w:noProof/>
                <w:sz w:val="20"/>
                <w:szCs w:val="20"/>
              </w:rPr>
            </w:pPr>
            <w:r w:rsidRPr="00C47F2F">
              <w:rPr>
                <w:noProof/>
                <w:sz w:val="20"/>
                <w:szCs w:val="20"/>
              </w:rPr>
              <w:t>3.80E-04</w:t>
            </w:r>
          </w:p>
        </w:tc>
        <w:tc>
          <w:tcPr>
            <w:tcW w:w="986" w:type="dxa"/>
            <w:shd w:val="clear" w:color="auto" w:fill="auto"/>
            <w:noWrap/>
            <w:vAlign w:val="center"/>
          </w:tcPr>
          <w:p w14:paraId="2E585429" w14:textId="77777777" w:rsidR="00F103A8" w:rsidRPr="00C47F2F" w:rsidRDefault="00F103A8" w:rsidP="000E00A3">
            <w:pPr>
              <w:pStyle w:val="Table"/>
              <w:rPr>
                <w:noProof/>
                <w:sz w:val="20"/>
                <w:szCs w:val="20"/>
              </w:rPr>
            </w:pPr>
            <w:r w:rsidRPr="00C47F2F">
              <w:rPr>
                <w:noProof/>
                <w:sz w:val="20"/>
                <w:szCs w:val="20"/>
              </w:rPr>
              <w:t>3.80E-04</w:t>
            </w:r>
          </w:p>
        </w:tc>
        <w:tc>
          <w:tcPr>
            <w:tcW w:w="988" w:type="dxa"/>
            <w:shd w:val="clear" w:color="auto" w:fill="auto"/>
            <w:noWrap/>
            <w:vAlign w:val="center"/>
          </w:tcPr>
          <w:p w14:paraId="0DA17147" w14:textId="77777777" w:rsidR="00F103A8" w:rsidRPr="00C47F2F" w:rsidRDefault="00F103A8" w:rsidP="000E00A3">
            <w:pPr>
              <w:pStyle w:val="Table"/>
              <w:rPr>
                <w:noProof/>
                <w:sz w:val="20"/>
                <w:szCs w:val="20"/>
              </w:rPr>
            </w:pPr>
            <w:r w:rsidRPr="00C47F2F">
              <w:rPr>
                <w:noProof/>
                <w:sz w:val="20"/>
                <w:szCs w:val="20"/>
              </w:rPr>
              <w:t>3.80E-04</w:t>
            </w:r>
          </w:p>
        </w:tc>
        <w:tc>
          <w:tcPr>
            <w:tcW w:w="988" w:type="dxa"/>
            <w:shd w:val="clear" w:color="auto" w:fill="auto"/>
            <w:noWrap/>
            <w:vAlign w:val="center"/>
          </w:tcPr>
          <w:p w14:paraId="0583761B" w14:textId="77777777" w:rsidR="00F103A8" w:rsidRPr="00C47F2F" w:rsidRDefault="00F103A8" w:rsidP="000E00A3">
            <w:pPr>
              <w:pStyle w:val="Table"/>
              <w:rPr>
                <w:noProof/>
                <w:sz w:val="20"/>
                <w:szCs w:val="20"/>
              </w:rPr>
            </w:pPr>
            <w:r w:rsidRPr="00C47F2F">
              <w:rPr>
                <w:noProof/>
                <w:sz w:val="20"/>
                <w:szCs w:val="20"/>
              </w:rPr>
              <w:t>3.80E-04</w:t>
            </w:r>
          </w:p>
        </w:tc>
        <w:tc>
          <w:tcPr>
            <w:tcW w:w="985" w:type="dxa"/>
            <w:shd w:val="clear" w:color="auto" w:fill="auto"/>
            <w:noWrap/>
            <w:vAlign w:val="center"/>
          </w:tcPr>
          <w:p w14:paraId="1F569DF6" w14:textId="77777777" w:rsidR="00F103A8" w:rsidRPr="00C47F2F" w:rsidRDefault="00F103A8" w:rsidP="000E00A3">
            <w:pPr>
              <w:pStyle w:val="Table"/>
              <w:rPr>
                <w:noProof/>
                <w:sz w:val="20"/>
                <w:szCs w:val="20"/>
              </w:rPr>
            </w:pPr>
            <w:r w:rsidRPr="00C47F2F">
              <w:rPr>
                <w:noProof/>
                <w:sz w:val="20"/>
                <w:szCs w:val="20"/>
              </w:rPr>
              <w:t>3.80E-04</w:t>
            </w:r>
          </w:p>
        </w:tc>
      </w:tr>
      <w:tr w:rsidR="00F103A8" w:rsidRPr="00972C81" w14:paraId="16FC63B2" w14:textId="77777777" w:rsidTr="000E00A3">
        <w:trPr>
          <w:trHeight w:val="340"/>
        </w:trPr>
        <w:tc>
          <w:tcPr>
            <w:tcW w:w="3063" w:type="dxa"/>
            <w:tcBorders>
              <w:bottom w:val="single" w:sz="4" w:space="0" w:color="auto"/>
            </w:tcBorders>
            <w:shd w:val="clear" w:color="auto" w:fill="auto"/>
            <w:noWrap/>
            <w:vAlign w:val="center"/>
          </w:tcPr>
          <w:p w14:paraId="09E5A936" w14:textId="481821F9" w:rsidR="00F103A8" w:rsidRPr="00F103A8" w:rsidRDefault="00F103A8" w:rsidP="000E00A3">
            <w:pPr>
              <w:pStyle w:val="Table"/>
              <w:rPr>
                <w:noProof/>
                <w:sz w:val="20"/>
                <w:szCs w:val="22"/>
              </w:rPr>
            </w:pPr>
            <w:r w:rsidRPr="00F103A8">
              <w:rPr>
                <w:noProof/>
                <w:sz w:val="20"/>
                <w:szCs w:val="22"/>
              </w:rPr>
              <w:t>Ovaries to Blood</w:t>
            </w:r>
          </w:p>
        </w:tc>
        <w:tc>
          <w:tcPr>
            <w:tcW w:w="1029" w:type="dxa"/>
            <w:tcBorders>
              <w:bottom w:val="single" w:sz="4" w:space="0" w:color="auto"/>
            </w:tcBorders>
            <w:shd w:val="clear" w:color="auto" w:fill="auto"/>
            <w:noWrap/>
            <w:vAlign w:val="center"/>
          </w:tcPr>
          <w:p w14:paraId="4A9927DA" w14:textId="77777777" w:rsidR="00F103A8" w:rsidRPr="00C47F2F" w:rsidRDefault="00F103A8" w:rsidP="000E00A3">
            <w:pPr>
              <w:pStyle w:val="Table"/>
              <w:rPr>
                <w:noProof/>
                <w:sz w:val="20"/>
                <w:szCs w:val="20"/>
              </w:rPr>
            </w:pPr>
            <w:r w:rsidRPr="00C47F2F">
              <w:rPr>
                <w:noProof/>
                <w:sz w:val="20"/>
                <w:szCs w:val="20"/>
              </w:rPr>
              <w:t>3.80E-04</w:t>
            </w:r>
          </w:p>
        </w:tc>
        <w:tc>
          <w:tcPr>
            <w:tcW w:w="988" w:type="dxa"/>
            <w:tcBorders>
              <w:bottom w:val="single" w:sz="4" w:space="0" w:color="auto"/>
            </w:tcBorders>
            <w:shd w:val="clear" w:color="auto" w:fill="auto"/>
            <w:noWrap/>
            <w:vAlign w:val="center"/>
          </w:tcPr>
          <w:p w14:paraId="709AA89D" w14:textId="77777777" w:rsidR="00F103A8" w:rsidRPr="00C47F2F" w:rsidRDefault="00F103A8" w:rsidP="000E00A3">
            <w:pPr>
              <w:pStyle w:val="Table"/>
              <w:rPr>
                <w:noProof/>
                <w:sz w:val="20"/>
                <w:szCs w:val="20"/>
              </w:rPr>
            </w:pPr>
            <w:r w:rsidRPr="00C47F2F">
              <w:rPr>
                <w:noProof/>
                <w:sz w:val="20"/>
                <w:szCs w:val="20"/>
              </w:rPr>
              <w:t>3.80E-04</w:t>
            </w:r>
          </w:p>
        </w:tc>
        <w:tc>
          <w:tcPr>
            <w:tcW w:w="986" w:type="dxa"/>
            <w:tcBorders>
              <w:bottom w:val="single" w:sz="4" w:space="0" w:color="auto"/>
            </w:tcBorders>
            <w:shd w:val="clear" w:color="auto" w:fill="auto"/>
            <w:noWrap/>
            <w:vAlign w:val="center"/>
          </w:tcPr>
          <w:p w14:paraId="784387BE" w14:textId="77777777" w:rsidR="00F103A8" w:rsidRPr="00C47F2F" w:rsidRDefault="00F103A8" w:rsidP="000E00A3">
            <w:pPr>
              <w:pStyle w:val="Table"/>
              <w:rPr>
                <w:noProof/>
                <w:sz w:val="20"/>
                <w:szCs w:val="20"/>
              </w:rPr>
            </w:pPr>
            <w:r w:rsidRPr="00C47F2F">
              <w:rPr>
                <w:noProof/>
                <w:sz w:val="20"/>
                <w:szCs w:val="20"/>
              </w:rPr>
              <w:t>3.80E-04</w:t>
            </w:r>
          </w:p>
        </w:tc>
        <w:tc>
          <w:tcPr>
            <w:tcW w:w="988" w:type="dxa"/>
            <w:tcBorders>
              <w:bottom w:val="single" w:sz="4" w:space="0" w:color="auto"/>
            </w:tcBorders>
            <w:shd w:val="clear" w:color="auto" w:fill="auto"/>
            <w:noWrap/>
            <w:vAlign w:val="center"/>
          </w:tcPr>
          <w:p w14:paraId="51BB75D7" w14:textId="77777777" w:rsidR="00F103A8" w:rsidRPr="00C47F2F" w:rsidRDefault="00F103A8" w:rsidP="000E00A3">
            <w:pPr>
              <w:pStyle w:val="Table"/>
              <w:rPr>
                <w:noProof/>
                <w:sz w:val="20"/>
                <w:szCs w:val="20"/>
              </w:rPr>
            </w:pPr>
            <w:r w:rsidRPr="00C47F2F">
              <w:rPr>
                <w:noProof/>
                <w:sz w:val="20"/>
                <w:szCs w:val="20"/>
              </w:rPr>
              <w:t>3.80E-04</w:t>
            </w:r>
          </w:p>
        </w:tc>
        <w:tc>
          <w:tcPr>
            <w:tcW w:w="988" w:type="dxa"/>
            <w:tcBorders>
              <w:bottom w:val="single" w:sz="4" w:space="0" w:color="auto"/>
            </w:tcBorders>
            <w:shd w:val="clear" w:color="auto" w:fill="auto"/>
            <w:noWrap/>
            <w:vAlign w:val="center"/>
          </w:tcPr>
          <w:p w14:paraId="1FA48FA6" w14:textId="77777777" w:rsidR="00F103A8" w:rsidRPr="00C47F2F" w:rsidRDefault="00F103A8" w:rsidP="000E00A3">
            <w:pPr>
              <w:pStyle w:val="Table"/>
              <w:rPr>
                <w:noProof/>
                <w:sz w:val="20"/>
                <w:szCs w:val="20"/>
              </w:rPr>
            </w:pPr>
            <w:r w:rsidRPr="00C47F2F">
              <w:rPr>
                <w:noProof/>
                <w:sz w:val="20"/>
                <w:szCs w:val="20"/>
              </w:rPr>
              <w:t>3.80E-04</w:t>
            </w:r>
          </w:p>
        </w:tc>
        <w:tc>
          <w:tcPr>
            <w:tcW w:w="985" w:type="dxa"/>
            <w:tcBorders>
              <w:bottom w:val="single" w:sz="4" w:space="0" w:color="auto"/>
            </w:tcBorders>
            <w:shd w:val="clear" w:color="auto" w:fill="auto"/>
            <w:noWrap/>
            <w:vAlign w:val="center"/>
          </w:tcPr>
          <w:p w14:paraId="0727A548" w14:textId="77777777" w:rsidR="00F103A8" w:rsidRPr="00C47F2F" w:rsidRDefault="00F103A8" w:rsidP="000E00A3">
            <w:pPr>
              <w:pStyle w:val="Table"/>
              <w:rPr>
                <w:noProof/>
                <w:sz w:val="20"/>
                <w:szCs w:val="20"/>
              </w:rPr>
            </w:pPr>
            <w:r w:rsidRPr="00C47F2F">
              <w:rPr>
                <w:noProof/>
                <w:sz w:val="20"/>
                <w:szCs w:val="20"/>
              </w:rPr>
              <w:t>3.80E-04</w:t>
            </w:r>
          </w:p>
        </w:tc>
      </w:tr>
    </w:tbl>
    <w:p w14:paraId="6596C59E" w14:textId="77777777" w:rsidR="00F103A8" w:rsidRPr="000E00A3" w:rsidRDefault="00F103A8" w:rsidP="00F103A8">
      <w:pPr>
        <w:pStyle w:val="MainTextPreference"/>
        <w:rPr>
          <w:noProof/>
          <w:sz w:val="20"/>
          <w:lang w:val="fr-FR"/>
        </w:rPr>
      </w:pPr>
      <w:r w:rsidRPr="000E00A3">
        <w:rPr>
          <w:noProof/>
          <w:sz w:val="20"/>
          <w:vertAlign w:val="superscript"/>
          <w:lang w:val="fr-FR"/>
        </w:rPr>
        <w:t>a</w:t>
      </w:r>
      <w:r w:rsidRPr="000E00A3">
        <w:rPr>
          <w:noProof/>
          <w:sz w:val="20"/>
          <w:lang w:val="fr-FR"/>
        </w:rPr>
        <w:t>Cort = Cortical, Trab = Trabecular, SI = Small intestine, cont=content, surf=surface, vol = volume</w:t>
      </w:r>
    </w:p>
    <w:p w14:paraId="66E2EDB4" w14:textId="019DF168" w:rsidR="0036414D" w:rsidRPr="00972C81" w:rsidRDefault="0036414D" w:rsidP="006703A2">
      <w:pPr>
        <w:pStyle w:val="OIRTitre4"/>
      </w:pPr>
      <w:r w:rsidRPr="00972C81">
        <w:t>Treatment of radioactive progeny</w:t>
      </w:r>
    </w:p>
    <w:p w14:paraId="3D7B1ED7" w14:textId="25E82DA9" w:rsidR="0036414D" w:rsidRPr="00972C81" w:rsidRDefault="006044EE" w:rsidP="001C4A92">
      <w:pPr>
        <w:pStyle w:val="Annalstext"/>
        <w:rPr>
          <w:noProof/>
        </w:rPr>
      </w:pPr>
      <w:r w:rsidRPr="00972C81">
        <w:rPr>
          <w:rFonts w:eastAsia="Calibri"/>
          <w:noProof/>
        </w:rPr>
        <w:t xml:space="preserve">The treatment of radioactive progeny produced in systemic compartments after intake of a radioisotope of </w:t>
      </w:r>
      <w:r w:rsidRPr="00972C81">
        <w:rPr>
          <w:noProof/>
        </w:rPr>
        <w:t>berkelium</w:t>
      </w:r>
      <w:r w:rsidRPr="00972C81">
        <w:rPr>
          <w:rFonts w:eastAsia="Calibri"/>
          <w:noProof/>
        </w:rPr>
        <w:t xml:space="preserve"> is described in Section 18.2.4. of </w:t>
      </w:r>
      <w:r w:rsidR="00D4443E" w:rsidRPr="00972C81">
        <w:rPr>
          <w:i/>
          <w:noProof/>
        </w:rPr>
        <w:t>Publication 141</w:t>
      </w:r>
      <w:r w:rsidR="00D4443E" w:rsidRPr="00972C81">
        <w:rPr>
          <w:noProof/>
        </w:rPr>
        <w:t xml:space="preserve"> </w:t>
      </w:r>
      <w:r w:rsidR="00067E2E" w:rsidRPr="00972C81">
        <w:rPr>
          <w:noProof/>
        </w:rPr>
        <w:fldChar w:fldCharType="begin"/>
      </w:r>
      <w:r w:rsidR="00F4369C" w:rsidRPr="00972C81">
        <w:rPr>
          <w:noProof/>
        </w:rPr>
        <w:instrText xml:space="preserve"> ADDIN ZOTERO_ITEM CSL_CITATION {"citationID":"a2k06bs7olf","properties":{"formattedCitation":"(ICRP,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067E2E" w:rsidRPr="00972C81">
        <w:rPr>
          <w:noProof/>
        </w:rPr>
        <w:fldChar w:fldCharType="separate"/>
      </w:r>
      <w:r w:rsidR="00F4369C" w:rsidRPr="00972C81">
        <w:rPr>
          <w:noProof/>
          <w:szCs w:val="24"/>
        </w:rPr>
        <w:t>(ICRP, 2019)</w:t>
      </w:r>
      <w:r w:rsidR="00067E2E" w:rsidRPr="00972C81">
        <w:rPr>
          <w:noProof/>
        </w:rPr>
        <w:fldChar w:fldCharType="end"/>
      </w:r>
      <w:r w:rsidR="00D4443E" w:rsidRPr="00972C81">
        <w:rPr>
          <w:noProof/>
        </w:rPr>
        <w:t>.</w:t>
      </w:r>
    </w:p>
    <w:p w14:paraId="2C323FA8" w14:textId="77777777" w:rsidR="004836EE" w:rsidRPr="00972C81" w:rsidRDefault="004836EE" w:rsidP="00E81109">
      <w:pPr>
        <w:pStyle w:val="2"/>
        <w:rPr>
          <w:noProof/>
          <w:lang w:val="en-GB"/>
        </w:rPr>
      </w:pPr>
      <w:bookmarkStart w:id="380" w:name="_Toc162630126"/>
      <w:r w:rsidRPr="00972C81">
        <w:rPr>
          <w:noProof/>
          <w:lang w:val="en-GB"/>
        </w:rPr>
        <w:lastRenderedPageBreak/>
        <w:t>Dosimetric data for berkelium</w:t>
      </w:r>
      <w:bookmarkEnd w:id="380"/>
    </w:p>
    <w:p w14:paraId="6B56BB18" w14:textId="381B5F0F" w:rsidR="00ED6D36" w:rsidRPr="00972C81" w:rsidRDefault="00ED6D36" w:rsidP="00ED6D36">
      <w:pPr>
        <w:pStyle w:val="ab"/>
        <w:rPr>
          <w:noProof/>
          <w:sz w:val="24"/>
          <w:szCs w:val="24"/>
        </w:rPr>
      </w:pPr>
      <w:bookmarkStart w:id="381" w:name="_Toc455492683"/>
      <w:bookmarkStart w:id="382" w:name="_Toc455493112"/>
      <w:r w:rsidRPr="00972C81">
        <w:rPr>
          <w:noProof/>
          <w:sz w:val="24"/>
          <w:szCs w:val="24"/>
        </w:rPr>
        <w:t>Table 25.3.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249</w:t>
      </w:r>
      <w:r w:rsidRPr="00972C81">
        <w:rPr>
          <w:noProof/>
          <w:sz w:val="24"/>
          <w:szCs w:val="24"/>
        </w:rPr>
        <w:t>Bk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ED6D36" w:rsidRPr="00A3213E" w14:paraId="5E67BD40" w14:textId="77777777" w:rsidTr="000E00A3">
        <w:trPr>
          <w:trHeight w:val="296"/>
        </w:trPr>
        <w:tc>
          <w:tcPr>
            <w:tcW w:w="2087" w:type="pct"/>
            <w:vMerge w:val="restart"/>
            <w:tcBorders>
              <w:top w:val="single" w:sz="4" w:space="0" w:color="auto"/>
              <w:left w:val="nil"/>
              <w:bottom w:val="single" w:sz="4" w:space="0" w:color="auto"/>
              <w:right w:val="nil"/>
            </w:tcBorders>
            <w:vAlign w:val="bottom"/>
            <w:hideMark/>
          </w:tcPr>
          <w:p w14:paraId="07349ACE" w14:textId="77777777" w:rsidR="002A7362" w:rsidRPr="00C47F2F" w:rsidRDefault="00ED6D36" w:rsidP="00C47F2F">
            <w:pPr>
              <w:pStyle w:val="a5"/>
              <w:tabs>
                <w:tab w:val="clear" w:pos="4153"/>
                <w:tab w:val="clear" w:pos="8306"/>
              </w:tabs>
              <w:rPr>
                <w:noProof/>
                <w:sz w:val="22"/>
                <w:szCs w:val="22"/>
              </w:rPr>
            </w:pPr>
            <w:r w:rsidRPr="00C47F2F">
              <w:rPr>
                <w:noProof/>
                <w:sz w:val="22"/>
                <w:szCs w:val="22"/>
              </w:rPr>
              <w:t>Inhaled particulate materials</w:t>
            </w:r>
          </w:p>
          <w:p w14:paraId="45DAA176" w14:textId="1BD58E8C" w:rsidR="00ED6D36" w:rsidRPr="00232741" w:rsidRDefault="00ED6D36" w:rsidP="006243FB">
            <w:pPr>
              <w:pStyle w:val="af1"/>
              <w:rPr>
                <w:noProof/>
              </w:rPr>
            </w:pPr>
            <w:r w:rsidRPr="00C47F2F">
              <w:rPr>
                <w:noProof/>
              </w:rPr>
              <w:t>(1 µm AMAD aerosols)</w:t>
            </w:r>
          </w:p>
        </w:tc>
        <w:tc>
          <w:tcPr>
            <w:tcW w:w="2913" w:type="pct"/>
            <w:gridSpan w:val="6"/>
            <w:tcBorders>
              <w:top w:val="single" w:sz="4" w:space="0" w:color="auto"/>
              <w:left w:val="nil"/>
              <w:bottom w:val="single" w:sz="4" w:space="0" w:color="auto"/>
              <w:right w:val="nil"/>
            </w:tcBorders>
            <w:vAlign w:val="center"/>
            <w:hideMark/>
          </w:tcPr>
          <w:p w14:paraId="6F7108B3" w14:textId="77777777" w:rsidR="00ED6D36" w:rsidRPr="00C47F2F" w:rsidRDefault="00ED6D36" w:rsidP="000E00A3">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ED6D36" w:rsidRPr="00972C81" w14:paraId="37AFE2EC" w14:textId="77777777" w:rsidTr="000E00A3">
        <w:trPr>
          <w:trHeight w:val="296"/>
        </w:trPr>
        <w:tc>
          <w:tcPr>
            <w:tcW w:w="2087" w:type="pct"/>
            <w:vMerge/>
            <w:tcBorders>
              <w:top w:val="single" w:sz="4" w:space="0" w:color="auto"/>
              <w:left w:val="nil"/>
              <w:bottom w:val="single" w:sz="4" w:space="0" w:color="auto"/>
              <w:right w:val="nil"/>
            </w:tcBorders>
            <w:vAlign w:val="center"/>
            <w:hideMark/>
          </w:tcPr>
          <w:p w14:paraId="4CD434C3" w14:textId="77777777" w:rsidR="00ED6D36" w:rsidRPr="002A7362" w:rsidRDefault="00ED6D36">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03F907FE" w14:textId="1CD21693" w:rsidR="00ED6D36" w:rsidRPr="00C47F2F" w:rsidRDefault="00ED6D36" w:rsidP="000E00A3">
            <w:pPr>
              <w:jc w:val="left"/>
              <w:rPr>
                <w:noProof/>
                <w:sz w:val="22"/>
                <w:szCs w:val="22"/>
                <w:lang w:eastAsia="ko-KR"/>
              </w:rPr>
            </w:pPr>
            <w:r w:rsidRPr="00C47F2F">
              <w:rPr>
                <w:noProof/>
                <w:sz w:val="22"/>
                <w:szCs w:val="22"/>
              </w:rPr>
              <w:t>3</w:t>
            </w:r>
            <w:r w:rsidR="002A7362">
              <w:rPr>
                <w:rFonts w:hint="eastAsia"/>
                <w:noProof/>
                <w:sz w:val="22"/>
                <w:szCs w:val="22"/>
                <w:lang w:eastAsia="ko-KR"/>
              </w:rPr>
              <w:t xml:space="preserve"> </w:t>
            </w:r>
            <w:r w:rsidRPr="00C47F2F">
              <w:rPr>
                <w:noProof/>
                <w:sz w:val="22"/>
                <w:szCs w:val="22"/>
              </w:rPr>
              <w:t>m</w:t>
            </w:r>
            <w:r w:rsidR="000E00A3">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03B44503" w14:textId="7C24C73E" w:rsidR="00ED6D36" w:rsidRPr="00C47F2F" w:rsidRDefault="00ED6D36" w:rsidP="000E00A3">
            <w:pPr>
              <w:jc w:val="left"/>
              <w:rPr>
                <w:noProof/>
                <w:sz w:val="22"/>
                <w:szCs w:val="22"/>
              </w:rPr>
            </w:pPr>
            <w:r w:rsidRPr="00C47F2F">
              <w:rPr>
                <w:noProof/>
                <w:sz w:val="22"/>
                <w:szCs w:val="22"/>
              </w:rPr>
              <w:t>1</w:t>
            </w:r>
            <w:r w:rsidR="002A7362">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5C83E3C" w14:textId="1272F65A" w:rsidR="00ED6D36" w:rsidRPr="00C47F2F" w:rsidRDefault="00ED6D36" w:rsidP="000E00A3">
            <w:pPr>
              <w:jc w:val="left"/>
              <w:rPr>
                <w:noProof/>
                <w:sz w:val="22"/>
                <w:szCs w:val="22"/>
              </w:rPr>
            </w:pPr>
            <w:r w:rsidRPr="00C47F2F">
              <w:rPr>
                <w:noProof/>
                <w:sz w:val="22"/>
                <w:szCs w:val="22"/>
              </w:rPr>
              <w:t>5</w:t>
            </w:r>
            <w:r w:rsidR="002A7362">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5E085BD6" w14:textId="6C7568DE" w:rsidR="00ED6D36" w:rsidRPr="00C47F2F" w:rsidRDefault="00ED6D36" w:rsidP="000E00A3">
            <w:pPr>
              <w:jc w:val="left"/>
              <w:rPr>
                <w:noProof/>
                <w:sz w:val="22"/>
                <w:szCs w:val="22"/>
              </w:rPr>
            </w:pPr>
            <w:r w:rsidRPr="00C47F2F">
              <w:rPr>
                <w:noProof/>
                <w:sz w:val="22"/>
                <w:szCs w:val="22"/>
              </w:rPr>
              <w:t>10</w:t>
            </w:r>
            <w:r w:rsidR="002A7362">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01B80AFF" w14:textId="09347213" w:rsidR="00ED6D36" w:rsidRPr="00C47F2F" w:rsidRDefault="00ED6D36" w:rsidP="000E00A3">
            <w:pPr>
              <w:jc w:val="left"/>
              <w:rPr>
                <w:noProof/>
                <w:sz w:val="22"/>
                <w:szCs w:val="22"/>
              </w:rPr>
            </w:pPr>
            <w:r w:rsidRPr="00C47F2F">
              <w:rPr>
                <w:noProof/>
                <w:sz w:val="22"/>
                <w:szCs w:val="22"/>
              </w:rPr>
              <w:t>15</w:t>
            </w:r>
            <w:r w:rsidR="002A7362">
              <w:rPr>
                <w:rFonts w:hint="eastAsia"/>
                <w:noProof/>
                <w:sz w:val="22"/>
                <w:szCs w:val="22"/>
                <w:lang w:eastAsia="ko-KR"/>
              </w:rPr>
              <w:t xml:space="preserve"> </w:t>
            </w:r>
            <w:r w:rsidRPr="00C47F2F">
              <w:rPr>
                <w:noProof/>
                <w:sz w:val="22"/>
                <w:szCs w:val="22"/>
              </w:rPr>
              <w:t>y</w:t>
            </w:r>
          </w:p>
        </w:tc>
        <w:tc>
          <w:tcPr>
            <w:tcW w:w="487" w:type="pct"/>
            <w:tcBorders>
              <w:top w:val="single" w:sz="4" w:space="0" w:color="auto"/>
              <w:left w:val="nil"/>
              <w:bottom w:val="single" w:sz="4" w:space="0" w:color="auto"/>
              <w:right w:val="nil"/>
            </w:tcBorders>
            <w:vAlign w:val="center"/>
            <w:hideMark/>
          </w:tcPr>
          <w:p w14:paraId="0C8A7B7B" w14:textId="77777777" w:rsidR="00ED6D36" w:rsidRPr="00C47F2F" w:rsidRDefault="00ED6D36" w:rsidP="000E00A3">
            <w:pPr>
              <w:jc w:val="left"/>
              <w:rPr>
                <w:noProof/>
                <w:sz w:val="22"/>
                <w:szCs w:val="22"/>
              </w:rPr>
            </w:pPr>
            <w:r w:rsidRPr="00C47F2F">
              <w:rPr>
                <w:noProof/>
                <w:sz w:val="22"/>
                <w:szCs w:val="22"/>
              </w:rPr>
              <w:t>Adult</w:t>
            </w:r>
          </w:p>
        </w:tc>
      </w:tr>
      <w:tr w:rsidR="00ED6D36" w:rsidRPr="00972C81" w14:paraId="70750237" w14:textId="77777777" w:rsidTr="000E00A3">
        <w:trPr>
          <w:trHeight w:val="340"/>
        </w:trPr>
        <w:tc>
          <w:tcPr>
            <w:tcW w:w="2087" w:type="pct"/>
            <w:tcBorders>
              <w:top w:val="single" w:sz="4" w:space="0" w:color="auto"/>
              <w:left w:val="nil"/>
              <w:bottom w:val="nil"/>
              <w:right w:val="nil"/>
            </w:tcBorders>
            <w:vAlign w:val="center"/>
            <w:hideMark/>
          </w:tcPr>
          <w:p w14:paraId="71A13BE8" w14:textId="77777777" w:rsidR="00ED6D36" w:rsidRPr="00C47F2F" w:rsidRDefault="00ED6D36" w:rsidP="000E00A3">
            <w:pPr>
              <w:jc w:val="left"/>
              <w:rPr>
                <w:noProof/>
                <w:color w:val="000000"/>
                <w:sz w:val="22"/>
                <w:szCs w:val="22"/>
              </w:rPr>
            </w:pPr>
            <w:r w:rsidRPr="00C47F2F">
              <w:rPr>
                <w:noProof/>
                <w:color w:val="000000"/>
                <w:sz w:val="22"/>
                <w:szCs w:val="22"/>
              </w:rPr>
              <w:t>Type F</w:t>
            </w:r>
          </w:p>
        </w:tc>
        <w:tc>
          <w:tcPr>
            <w:tcW w:w="485" w:type="pct"/>
            <w:tcBorders>
              <w:top w:val="single" w:sz="4" w:space="0" w:color="auto"/>
              <w:left w:val="nil"/>
              <w:bottom w:val="nil"/>
              <w:right w:val="nil"/>
            </w:tcBorders>
            <w:vAlign w:val="center"/>
            <w:hideMark/>
          </w:tcPr>
          <w:p w14:paraId="51842F70"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9.7E-08</w:t>
            </w:r>
          </w:p>
        </w:tc>
        <w:tc>
          <w:tcPr>
            <w:tcW w:w="485" w:type="pct"/>
            <w:tcBorders>
              <w:top w:val="single" w:sz="4" w:space="0" w:color="auto"/>
              <w:left w:val="nil"/>
              <w:bottom w:val="nil"/>
              <w:right w:val="nil"/>
            </w:tcBorders>
            <w:vAlign w:val="center"/>
            <w:hideMark/>
          </w:tcPr>
          <w:p w14:paraId="571CB4C7"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9.0E-08</w:t>
            </w:r>
          </w:p>
        </w:tc>
        <w:tc>
          <w:tcPr>
            <w:tcW w:w="485" w:type="pct"/>
            <w:tcBorders>
              <w:top w:val="single" w:sz="4" w:space="0" w:color="auto"/>
              <w:left w:val="nil"/>
              <w:bottom w:val="nil"/>
              <w:right w:val="nil"/>
            </w:tcBorders>
            <w:vAlign w:val="center"/>
            <w:hideMark/>
          </w:tcPr>
          <w:p w14:paraId="03500F03"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6.1E-08</w:t>
            </w:r>
          </w:p>
        </w:tc>
        <w:tc>
          <w:tcPr>
            <w:tcW w:w="485" w:type="pct"/>
            <w:tcBorders>
              <w:top w:val="single" w:sz="4" w:space="0" w:color="auto"/>
              <w:left w:val="nil"/>
              <w:bottom w:val="nil"/>
              <w:right w:val="nil"/>
            </w:tcBorders>
            <w:vAlign w:val="center"/>
            <w:hideMark/>
          </w:tcPr>
          <w:p w14:paraId="315C9BF7"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4.5E-08</w:t>
            </w:r>
          </w:p>
        </w:tc>
        <w:tc>
          <w:tcPr>
            <w:tcW w:w="485" w:type="pct"/>
            <w:tcBorders>
              <w:top w:val="single" w:sz="4" w:space="0" w:color="auto"/>
              <w:left w:val="nil"/>
              <w:bottom w:val="nil"/>
              <w:right w:val="nil"/>
            </w:tcBorders>
            <w:vAlign w:val="center"/>
            <w:hideMark/>
          </w:tcPr>
          <w:p w14:paraId="48D81D36"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4.5E-08</w:t>
            </w:r>
          </w:p>
        </w:tc>
        <w:tc>
          <w:tcPr>
            <w:tcW w:w="487" w:type="pct"/>
            <w:tcBorders>
              <w:top w:val="single" w:sz="4" w:space="0" w:color="auto"/>
              <w:left w:val="nil"/>
              <w:bottom w:val="nil"/>
              <w:right w:val="nil"/>
            </w:tcBorders>
            <w:vAlign w:val="center"/>
            <w:hideMark/>
          </w:tcPr>
          <w:p w14:paraId="25E5803A"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4.4E-08</w:t>
            </w:r>
          </w:p>
        </w:tc>
      </w:tr>
      <w:tr w:rsidR="00ED6D36" w:rsidRPr="00972C81" w14:paraId="56ED98B8" w14:textId="77777777" w:rsidTr="000E00A3">
        <w:trPr>
          <w:trHeight w:val="340"/>
        </w:trPr>
        <w:tc>
          <w:tcPr>
            <w:tcW w:w="2087" w:type="pct"/>
            <w:tcBorders>
              <w:top w:val="nil"/>
              <w:left w:val="nil"/>
              <w:bottom w:val="nil"/>
              <w:right w:val="nil"/>
            </w:tcBorders>
            <w:vAlign w:val="center"/>
            <w:hideMark/>
          </w:tcPr>
          <w:p w14:paraId="53E2ED51" w14:textId="77777777" w:rsidR="00ED6D36" w:rsidRPr="00C47F2F" w:rsidRDefault="00ED6D36" w:rsidP="000E00A3">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vAlign w:val="center"/>
            <w:hideMark/>
          </w:tcPr>
          <w:p w14:paraId="43B727A6"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6.7E-08</w:t>
            </w:r>
          </w:p>
        </w:tc>
        <w:tc>
          <w:tcPr>
            <w:tcW w:w="485" w:type="pct"/>
            <w:tcBorders>
              <w:top w:val="nil"/>
              <w:left w:val="nil"/>
              <w:bottom w:val="nil"/>
              <w:right w:val="nil"/>
            </w:tcBorders>
            <w:vAlign w:val="center"/>
            <w:hideMark/>
          </w:tcPr>
          <w:p w14:paraId="6478E25F"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6.4E-08</w:t>
            </w:r>
          </w:p>
        </w:tc>
        <w:tc>
          <w:tcPr>
            <w:tcW w:w="485" w:type="pct"/>
            <w:tcBorders>
              <w:top w:val="nil"/>
              <w:left w:val="nil"/>
              <w:bottom w:val="nil"/>
              <w:right w:val="nil"/>
            </w:tcBorders>
            <w:vAlign w:val="center"/>
            <w:hideMark/>
          </w:tcPr>
          <w:p w14:paraId="0C9132E7"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4.1E-08</w:t>
            </w:r>
          </w:p>
        </w:tc>
        <w:tc>
          <w:tcPr>
            <w:tcW w:w="485" w:type="pct"/>
            <w:tcBorders>
              <w:top w:val="nil"/>
              <w:left w:val="nil"/>
              <w:bottom w:val="nil"/>
              <w:right w:val="nil"/>
            </w:tcBorders>
            <w:vAlign w:val="center"/>
            <w:hideMark/>
          </w:tcPr>
          <w:p w14:paraId="395A79F9"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3.0E-08</w:t>
            </w:r>
          </w:p>
        </w:tc>
        <w:tc>
          <w:tcPr>
            <w:tcW w:w="485" w:type="pct"/>
            <w:tcBorders>
              <w:top w:val="nil"/>
              <w:left w:val="nil"/>
              <w:bottom w:val="nil"/>
              <w:right w:val="nil"/>
            </w:tcBorders>
            <w:vAlign w:val="center"/>
            <w:hideMark/>
          </w:tcPr>
          <w:p w14:paraId="5F0605D2"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2.9E-08</w:t>
            </w:r>
          </w:p>
        </w:tc>
        <w:tc>
          <w:tcPr>
            <w:tcW w:w="487" w:type="pct"/>
            <w:tcBorders>
              <w:top w:val="nil"/>
              <w:left w:val="nil"/>
              <w:bottom w:val="nil"/>
              <w:right w:val="nil"/>
            </w:tcBorders>
            <w:vAlign w:val="center"/>
            <w:hideMark/>
          </w:tcPr>
          <w:p w14:paraId="051A2442"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2.9E-08</w:t>
            </w:r>
          </w:p>
        </w:tc>
      </w:tr>
      <w:tr w:rsidR="00ED6D36" w:rsidRPr="00972C81" w14:paraId="472F51D4" w14:textId="77777777" w:rsidTr="000E00A3">
        <w:trPr>
          <w:trHeight w:val="340"/>
        </w:trPr>
        <w:tc>
          <w:tcPr>
            <w:tcW w:w="2087" w:type="pct"/>
            <w:tcBorders>
              <w:top w:val="nil"/>
              <w:left w:val="nil"/>
              <w:bottom w:val="single" w:sz="4" w:space="0" w:color="auto"/>
              <w:right w:val="nil"/>
            </w:tcBorders>
            <w:vAlign w:val="center"/>
            <w:hideMark/>
          </w:tcPr>
          <w:p w14:paraId="7408B324" w14:textId="77777777" w:rsidR="00ED6D36" w:rsidRPr="00C47F2F" w:rsidRDefault="00ED6D36" w:rsidP="000E00A3">
            <w:pPr>
              <w:jc w:val="left"/>
              <w:rPr>
                <w:rFonts w:eastAsiaTheme="minorHAnsi"/>
                <w:noProof/>
                <w:sz w:val="22"/>
                <w:szCs w:val="22"/>
              </w:rPr>
            </w:pPr>
            <w:r w:rsidRPr="00C47F2F">
              <w:rPr>
                <w:noProof/>
                <w:sz w:val="22"/>
                <w:szCs w:val="22"/>
              </w:rPr>
              <w:t>Type S, berkelium oxide</w:t>
            </w:r>
          </w:p>
        </w:tc>
        <w:tc>
          <w:tcPr>
            <w:tcW w:w="485" w:type="pct"/>
            <w:tcBorders>
              <w:top w:val="nil"/>
              <w:left w:val="nil"/>
              <w:bottom w:val="single" w:sz="4" w:space="0" w:color="auto"/>
              <w:right w:val="nil"/>
            </w:tcBorders>
            <w:vAlign w:val="center"/>
            <w:hideMark/>
          </w:tcPr>
          <w:p w14:paraId="0CCD664A"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1.2E-07</w:t>
            </w:r>
          </w:p>
        </w:tc>
        <w:tc>
          <w:tcPr>
            <w:tcW w:w="485" w:type="pct"/>
            <w:tcBorders>
              <w:top w:val="nil"/>
              <w:left w:val="nil"/>
              <w:bottom w:val="single" w:sz="4" w:space="0" w:color="auto"/>
              <w:right w:val="nil"/>
            </w:tcBorders>
            <w:vAlign w:val="center"/>
            <w:hideMark/>
          </w:tcPr>
          <w:p w14:paraId="3ED9E240"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1.2E-07</w:t>
            </w:r>
          </w:p>
        </w:tc>
        <w:tc>
          <w:tcPr>
            <w:tcW w:w="485" w:type="pct"/>
            <w:tcBorders>
              <w:top w:val="nil"/>
              <w:left w:val="nil"/>
              <w:bottom w:val="single" w:sz="4" w:space="0" w:color="auto"/>
              <w:right w:val="nil"/>
            </w:tcBorders>
            <w:vAlign w:val="center"/>
            <w:hideMark/>
          </w:tcPr>
          <w:p w14:paraId="47C98206"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9.2E-08</w:t>
            </w:r>
          </w:p>
        </w:tc>
        <w:tc>
          <w:tcPr>
            <w:tcW w:w="485" w:type="pct"/>
            <w:tcBorders>
              <w:top w:val="nil"/>
              <w:left w:val="nil"/>
              <w:bottom w:val="single" w:sz="4" w:space="0" w:color="auto"/>
              <w:right w:val="nil"/>
            </w:tcBorders>
            <w:vAlign w:val="center"/>
            <w:hideMark/>
          </w:tcPr>
          <w:p w14:paraId="188DF2AE"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7.1E-08</w:t>
            </w:r>
          </w:p>
        </w:tc>
        <w:tc>
          <w:tcPr>
            <w:tcW w:w="485" w:type="pct"/>
            <w:tcBorders>
              <w:top w:val="nil"/>
              <w:left w:val="nil"/>
              <w:bottom w:val="single" w:sz="4" w:space="0" w:color="auto"/>
              <w:right w:val="nil"/>
            </w:tcBorders>
            <w:vAlign w:val="center"/>
            <w:hideMark/>
          </w:tcPr>
          <w:p w14:paraId="18A3B02A"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7.0E-08</w:t>
            </w:r>
          </w:p>
        </w:tc>
        <w:tc>
          <w:tcPr>
            <w:tcW w:w="487" w:type="pct"/>
            <w:tcBorders>
              <w:top w:val="nil"/>
              <w:left w:val="nil"/>
              <w:bottom w:val="single" w:sz="4" w:space="0" w:color="auto"/>
              <w:right w:val="nil"/>
            </w:tcBorders>
            <w:vAlign w:val="center"/>
            <w:hideMark/>
          </w:tcPr>
          <w:p w14:paraId="5AAA0283"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7.2E-08</w:t>
            </w:r>
          </w:p>
        </w:tc>
      </w:tr>
      <w:tr w:rsidR="00ED6D36" w:rsidRPr="00972C81" w14:paraId="6A867391" w14:textId="77777777" w:rsidTr="000E00A3">
        <w:trPr>
          <w:trHeight w:val="340"/>
        </w:trPr>
        <w:tc>
          <w:tcPr>
            <w:tcW w:w="2087" w:type="pct"/>
            <w:tcBorders>
              <w:top w:val="single" w:sz="4" w:space="0" w:color="auto"/>
              <w:left w:val="nil"/>
              <w:bottom w:val="single" w:sz="4" w:space="0" w:color="auto"/>
              <w:right w:val="nil"/>
            </w:tcBorders>
          </w:tcPr>
          <w:p w14:paraId="7D62FD9D" w14:textId="77777777" w:rsidR="00ED6D36" w:rsidRPr="00C47F2F" w:rsidRDefault="00ED6D36" w:rsidP="00C47F2F">
            <w:pPr>
              <w:jc w:val="left"/>
              <w:rPr>
                <w:rFonts w:eastAsiaTheme="minorHAnsi"/>
                <w:noProof/>
                <w:sz w:val="22"/>
                <w:szCs w:val="22"/>
              </w:rPr>
            </w:pPr>
          </w:p>
          <w:p w14:paraId="59A87ACD" w14:textId="77777777" w:rsidR="00ED6D36" w:rsidRPr="00C47F2F" w:rsidRDefault="00ED6D36"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2F7BF399"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13D085A"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5D764161"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1CB71A88"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7818349" w14:textId="77777777" w:rsidR="00ED6D36" w:rsidRPr="00C47F2F" w:rsidRDefault="00ED6D36" w:rsidP="00C47F2F">
            <w:pPr>
              <w:jc w:val="left"/>
              <w:rPr>
                <w:rFonts w:eastAsia="Times New Roman"/>
                <w:noProof/>
                <w:color w:val="000000"/>
                <w:sz w:val="22"/>
                <w:szCs w:val="22"/>
              </w:rPr>
            </w:pPr>
          </w:p>
        </w:tc>
        <w:tc>
          <w:tcPr>
            <w:tcW w:w="487" w:type="pct"/>
            <w:tcBorders>
              <w:top w:val="single" w:sz="4" w:space="0" w:color="auto"/>
              <w:left w:val="nil"/>
              <w:bottom w:val="single" w:sz="4" w:space="0" w:color="auto"/>
              <w:right w:val="nil"/>
            </w:tcBorders>
          </w:tcPr>
          <w:p w14:paraId="7E9663FA" w14:textId="77777777" w:rsidR="00ED6D36" w:rsidRPr="00C47F2F" w:rsidRDefault="00ED6D36" w:rsidP="00C47F2F">
            <w:pPr>
              <w:jc w:val="left"/>
              <w:rPr>
                <w:rFonts w:eastAsia="Times New Roman"/>
                <w:noProof/>
                <w:color w:val="000000"/>
                <w:sz w:val="22"/>
                <w:szCs w:val="22"/>
              </w:rPr>
            </w:pPr>
          </w:p>
        </w:tc>
      </w:tr>
      <w:tr w:rsidR="00ED6D36" w:rsidRPr="00972C81" w14:paraId="17B469ED" w14:textId="77777777" w:rsidTr="000E00A3">
        <w:trPr>
          <w:trHeight w:val="340"/>
        </w:trPr>
        <w:tc>
          <w:tcPr>
            <w:tcW w:w="2087" w:type="pct"/>
            <w:tcBorders>
              <w:top w:val="single" w:sz="4" w:space="0" w:color="auto"/>
              <w:left w:val="nil"/>
              <w:bottom w:val="single" w:sz="4" w:space="0" w:color="auto"/>
              <w:right w:val="nil"/>
            </w:tcBorders>
            <w:vAlign w:val="center"/>
            <w:hideMark/>
          </w:tcPr>
          <w:p w14:paraId="430C645B" w14:textId="77777777" w:rsidR="00ED6D36" w:rsidRPr="00C47F2F" w:rsidRDefault="00ED6D36" w:rsidP="000E00A3">
            <w:pPr>
              <w:jc w:val="left"/>
              <w:rPr>
                <w:rFonts w:eastAsiaTheme="minorHAnsi"/>
                <w:noProof/>
                <w:sz w:val="22"/>
                <w:szCs w:val="22"/>
              </w:rPr>
            </w:pPr>
            <w:r w:rsidRPr="00C47F2F">
              <w:rPr>
                <w:noProof/>
                <w:sz w:val="22"/>
                <w:szCs w:val="22"/>
              </w:rPr>
              <w:t>All compounds</w:t>
            </w:r>
          </w:p>
        </w:tc>
        <w:tc>
          <w:tcPr>
            <w:tcW w:w="485" w:type="pct"/>
            <w:tcBorders>
              <w:top w:val="single" w:sz="4" w:space="0" w:color="auto"/>
              <w:left w:val="nil"/>
              <w:bottom w:val="single" w:sz="4" w:space="0" w:color="auto"/>
              <w:right w:val="nil"/>
            </w:tcBorders>
            <w:vAlign w:val="center"/>
            <w:hideMark/>
          </w:tcPr>
          <w:p w14:paraId="4D72D95D"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3.6E-09</w:t>
            </w:r>
          </w:p>
        </w:tc>
        <w:tc>
          <w:tcPr>
            <w:tcW w:w="485" w:type="pct"/>
            <w:tcBorders>
              <w:top w:val="single" w:sz="4" w:space="0" w:color="auto"/>
              <w:left w:val="nil"/>
              <w:bottom w:val="single" w:sz="4" w:space="0" w:color="auto"/>
              <w:right w:val="nil"/>
            </w:tcBorders>
            <w:vAlign w:val="center"/>
            <w:hideMark/>
          </w:tcPr>
          <w:p w14:paraId="4A09AA9D"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3.3E-10</w:t>
            </w:r>
          </w:p>
        </w:tc>
        <w:tc>
          <w:tcPr>
            <w:tcW w:w="485" w:type="pct"/>
            <w:tcBorders>
              <w:top w:val="single" w:sz="4" w:space="0" w:color="auto"/>
              <w:left w:val="nil"/>
              <w:bottom w:val="single" w:sz="4" w:space="0" w:color="auto"/>
              <w:right w:val="nil"/>
            </w:tcBorders>
            <w:vAlign w:val="center"/>
            <w:hideMark/>
          </w:tcPr>
          <w:p w14:paraId="6FE31D1A"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2.0E-10</w:t>
            </w:r>
          </w:p>
        </w:tc>
        <w:tc>
          <w:tcPr>
            <w:tcW w:w="485" w:type="pct"/>
            <w:tcBorders>
              <w:top w:val="single" w:sz="4" w:space="0" w:color="auto"/>
              <w:left w:val="nil"/>
              <w:bottom w:val="single" w:sz="4" w:space="0" w:color="auto"/>
              <w:right w:val="nil"/>
            </w:tcBorders>
            <w:vAlign w:val="center"/>
            <w:hideMark/>
          </w:tcPr>
          <w:p w14:paraId="76E06700"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1.4E-10</w:t>
            </w:r>
          </w:p>
        </w:tc>
        <w:tc>
          <w:tcPr>
            <w:tcW w:w="485" w:type="pct"/>
            <w:tcBorders>
              <w:top w:val="single" w:sz="4" w:space="0" w:color="auto"/>
              <w:left w:val="nil"/>
              <w:bottom w:val="single" w:sz="4" w:space="0" w:color="auto"/>
              <w:right w:val="nil"/>
            </w:tcBorders>
            <w:vAlign w:val="center"/>
            <w:hideMark/>
          </w:tcPr>
          <w:p w14:paraId="19DC753F"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1.2E-10</w:t>
            </w:r>
          </w:p>
        </w:tc>
        <w:tc>
          <w:tcPr>
            <w:tcW w:w="487" w:type="pct"/>
            <w:tcBorders>
              <w:top w:val="single" w:sz="4" w:space="0" w:color="auto"/>
              <w:left w:val="nil"/>
              <w:bottom w:val="single" w:sz="4" w:space="0" w:color="auto"/>
              <w:right w:val="nil"/>
            </w:tcBorders>
            <w:vAlign w:val="center"/>
            <w:hideMark/>
          </w:tcPr>
          <w:p w14:paraId="398AAA4F"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1.2E-10</w:t>
            </w:r>
          </w:p>
        </w:tc>
      </w:tr>
    </w:tbl>
    <w:p w14:paraId="1AD98F4A" w14:textId="77777777" w:rsidR="00D4443E" w:rsidRPr="00972C81" w:rsidRDefault="00D4443E">
      <w:pPr>
        <w:widowControl/>
        <w:jc w:val="left"/>
        <w:rPr>
          <w:noProof/>
          <w:snapToGrid w:val="0"/>
        </w:rPr>
      </w:pPr>
      <w:r w:rsidRPr="00972C81">
        <w:rPr>
          <w:b/>
          <w:caps/>
          <w:noProof/>
          <w:snapToGrid w:val="0"/>
        </w:rPr>
        <w:br w:type="page"/>
      </w:r>
    </w:p>
    <w:p w14:paraId="5082075E" w14:textId="1295E0B1" w:rsidR="007D1F4D" w:rsidRPr="00972C81" w:rsidRDefault="00DC407D" w:rsidP="00E81109">
      <w:pPr>
        <w:pStyle w:val="1"/>
        <w:rPr>
          <w:noProof/>
        </w:rPr>
      </w:pPr>
      <w:bookmarkStart w:id="383" w:name="_Toc162630127"/>
      <w:r w:rsidRPr="00972C81">
        <w:rPr>
          <w:noProof/>
        </w:rPr>
        <w:lastRenderedPageBreak/>
        <w:t>Californium (Z=98)</w:t>
      </w:r>
      <w:bookmarkEnd w:id="381"/>
      <w:bookmarkEnd w:id="382"/>
      <w:bookmarkEnd w:id="383"/>
    </w:p>
    <w:p w14:paraId="62AF4275" w14:textId="59F3FE7A" w:rsidR="00096DF7" w:rsidRPr="00972C81" w:rsidRDefault="00096DF7" w:rsidP="00E81109">
      <w:pPr>
        <w:pStyle w:val="2"/>
        <w:rPr>
          <w:noProof/>
          <w:lang w:val="en-GB"/>
        </w:rPr>
      </w:pPr>
      <w:bookmarkStart w:id="384" w:name="_Toc17467979"/>
      <w:bookmarkStart w:id="385" w:name="_Toc455492685"/>
      <w:bookmarkStart w:id="386" w:name="_Toc455493114"/>
      <w:bookmarkStart w:id="387" w:name="_Toc162630128"/>
      <w:bookmarkEnd w:id="384"/>
      <w:r w:rsidRPr="00972C81">
        <w:rPr>
          <w:noProof/>
          <w:lang w:val="en-GB"/>
        </w:rPr>
        <w:t>Routes of Intake</w:t>
      </w:r>
      <w:bookmarkEnd w:id="385"/>
      <w:bookmarkEnd w:id="386"/>
      <w:bookmarkEnd w:id="387"/>
    </w:p>
    <w:p w14:paraId="19543BFB" w14:textId="77777777" w:rsidR="00096DF7" w:rsidRPr="00972C81" w:rsidRDefault="00096DF7" w:rsidP="00E81109">
      <w:pPr>
        <w:pStyle w:val="3"/>
        <w:rPr>
          <w:noProof/>
        </w:rPr>
      </w:pPr>
      <w:bookmarkStart w:id="388" w:name="_Toc162630129"/>
      <w:r w:rsidRPr="00972C81">
        <w:rPr>
          <w:noProof/>
        </w:rPr>
        <w:t>Inhalation</w:t>
      </w:r>
      <w:bookmarkEnd w:id="388"/>
    </w:p>
    <w:p w14:paraId="6F3BFC04" w14:textId="527E0219" w:rsidR="00177865" w:rsidRPr="00972C81" w:rsidRDefault="00096DF7" w:rsidP="00E81109">
      <w:pPr>
        <w:pStyle w:val="Annalstext"/>
        <w:rPr>
          <w:noProof/>
        </w:rPr>
      </w:pPr>
      <w:r w:rsidRPr="00972C81">
        <w:rPr>
          <w:noProof/>
        </w:rPr>
        <w:t xml:space="preserve">Limited information on absorption of californium from the respiratory tract is available from a rat inhalation study of the chloride and two occupational exposure cases </w:t>
      </w:r>
      <w:r w:rsidRPr="00972C81">
        <w:rPr>
          <w:noProof/>
          <w:szCs w:val="24"/>
        </w:rPr>
        <w:t xml:space="preserve">involving oxide forms. </w:t>
      </w:r>
      <w:r w:rsidR="006F3DE7" w:rsidRPr="00972C81">
        <w:rPr>
          <w:noProof/>
          <w:szCs w:val="24"/>
        </w:rPr>
        <w:t>For details, see Section 2</w:t>
      </w:r>
      <w:r w:rsidR="00177865" w:rsidRPr="00972C81">
        <w:rPr>
          <w:noProof/>
          <w:szCs w:val="24"/>
        </w:rPr>
        <w:t>6</w:t>
      </w:r>
      <w:r w:rsidR="006F3DE7" w:rsidRPr="00972C81">
        <w:rPr>
          <w:noProof/>
          <w:szCs w:val="24"/>
        </w:rPr>
        <w:t xml:space="preserve"> of </w:t>
      </w:r>
      <w:r w:rsidR="00F414E6" w:rsidRPr="00972C81">
        <w:rPr>
          <w:i/>
          <w:noProof/>
        </w:rPr>
        <w:t>Publication 141</w:t>
      </w:r>
      <w:r w:rsidR="00F414E6" w:rsidRPr="00972C81">
        <w:rPr>
          <w:noProof/>
        </w:rPr>
        <w:t xml:space="preserve"> </w:t>
      </w:r>
      <w:r w:rsidR="00067E2E" w:rsidRPr="00972C81">
        <w:rPr>
          <w:noProof/>
        </w:rPr>
        <w:fldChar w:fldCharType="begin"/>
      </w:r>
      <w:r w:rsidR="00F4369C" w:rsidRPr="00972C81">
        <w:rPr>
          <w:noProof/>
        </w:rPr>
        <w:instrText xml:space="preserve"> ADDIN ZOTERO_ITEM CSL_CITATION {"citationID":"a21lb6isb24","properties":{"formattedCitation":"(ICRP,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067E2E" w:rsidRPr="00972C81">
        <w:rPr>
          <w:noProof/>
        </w:rPr>
        <w:fldChar w:fldCharType="separate"/>
      </w:r>
      <w:r w:rsidR="00F4369C" w:rsidRPr="00972C81">
        <w:rPr>
          <w:noProof/>
          <w:szCs w:val="24"/>
        </w:rPr>
        <w:t>(ICRP, 2019)</w:t>
      </w:r>
      <w:r w:rsidR="00067E2E" w:rsidRPr="00972C81">
        <w:rPr>
          <w:noProof/>
        </w:rPr>
        <w:fldChar w:fldCharType="end"/>
      </w:r>
      <w:r w:rsidR="006F3DE7" w:rsidRPr="00972C81">
        <w:rPr>
          <w:noProof/>
          <w:szCs w:val="24"/>
        </w:rPr>
        <w:t xml:space="preserve">. As described in Section 18 of </w:t>
      </w:r>
      <w:r w:rsidR="00DF1EDB" w:rsidRPr="00972C81">
        <w:rPr>
          <w:i/>
          <w:noProof/>
        </w:rPr>
        <w:t>Publication 141</w:t>
      </w:r>
      <w:r w:rsidR="006F3DE7" w:rsidRPr="00972C81">
        <w:rPr>
          <w:noProof/>
          <w:szCs w:val="24"/>
        </w:rPr>
        <w:t>,</w:t>
      </w:r>
      <w:r w:rsidR="00177865" w:rsidRPr="00972C81">
        <w:rPr>
          <w:noProof/>
          <w:szCs w:val="24"/>
        </w:rPr>
        <w:t xml:space="preserve"> </w:t>
      </w:r>
      <w:r w:rsidRPr="00972C81">
        <w:rPr>
          <w:noProof/>
          <w:szCs w:val="24"/>
        </w:rPr>
        <w:t>the general actinide section, absorption parameter values based on plutonium (</w:t>
      </w:r>
      <w:r w:rsidRPr="00972C81">
        <w:rPr>
          <w:i/>
          <w:noProof/>
          <w:szCs w:val="24"/>
        </w:rPr>
        <w:t>s</w:t>
      </w:r>
      <w:r w:rsidRPr="00972C81">
        <w:rPr>
          <w:noProof/>
          <w:szCs w:val="24"/>
          <w:vertAlign w:val="subscript"/>
        </w:rPr>
        <w:t xml:space="preserve">r </w:t>
      </w:r>
      <w:r w:rsidRPr="00972C81">
        <w:rPr>
          <w:noProof/>
          <w:szCs w:val="24"/>
        </w:rPr>
        <w:t>= 0.4 d</w:t>
      </w:r>
      <w:r w:rsidRPr="00972C81">
        <w:rPr>
          <w:noProof/>
          <w:szCs w:val="24"/>
          <w:vertAlign w:val="superscript"/>
        </w:rPr>
        <w:t>–1</w:t>
      </w:r>
      <w:r w:rsidRPr="00972C81">
        <w:rPr>
          <w:noProof/>
          <w:szCs w:val="24"/>
        </w:rPr>
        <w:t xml:space="preserve">; </w:t>
      </w:r>
      <w:r w:rsidRPr="00972C81">
        <w:rPr>
          <w:i/>
          <w:noProof/>
          <w:szCs w:val="24"/>
        </w:rPr>
        <w:t>f</w:t>
      </w:r>
      <w:r w:rsidRPr="00972C81">
        <w:rPr>
          <w:noProof/>
          <w:szCs w:val="24"/>
          <w:vertAlign w:val="subscript"/>
        </w:rPr>
        <w:t>b</w:t>
      </w:r>
      <w:r w:rsidRPr="00972C81">
        <w:rPr>
          <w:noProof/>
          <w:szCs w:val="24"/>
        </w:rPr>
        <w:t xml:space="preserve"> =</w:t>
      </w:r>
      <w:r w:rsidRPr="00972C81">
        <w:rPr>
          <w:noProof/>
          <w:szCs w:val="24"/>
          <w:vertAlign w:val="subscript"/>
        </w:rPr>
        <w:t xml:space="preserve"> </w:t>
      </w:r>
      <w:r w:rsidRPr="00972C81">
        <w:rPr>
          <w:noProof/>
          <w:szCs w:val="24"/>
        </w:rPr>
        <w:t xml:space="preserve">0.002; </w:t>
      </w:r>
      <w:r w:rsidRPr="00972C81">
        <w:rPr>
          <w:i/>
          <w:noProof/>
          <w:szCs w:val="24"/>
        </w:rPr>
        <w:t>s</w:t>
      </w:r>
      <w:r w:rsidRPr="00972C81">
        <w:rPr>
          <w:noProof/>
          <w:szCs w:val="24"/>
          <w:vertAlign w:val="subscript"/>
        </w:rPr>
        <w:t>b</w:t>
      </w:r>
      <w:r w:rsidRPr="00972C81">
        <w:rPr>
          <w:noProof/>
          <w:szCs w:val="24"/>
        </w:rPr>
        <w:t xml:space="preserve"> = 0) are applied in </w:t>
      </w:r>
      <w:r w:rsidR="001E3A9E" w:rsidRPr="00972C81">
        <w:rPr>
          <w:noProof/>
          <w:szCs w:val="24"/>
        </w:rPr>
        <w:t xml:space="preserve">that document (and hence also in this document) </w:t>
      </w:r>
      <w:r w:rsidRPr="00972C81">
        <w:rPr>
          <w:noProof/>
          <w:szCs w:val="24"/>
        </w:rPr>
        <w:t>to the transplutonium elements. Absorption parameter values a</w:t>
      </w:r>
      <w:r w:rsidR="00DC407D" w:rsidRPr="00972C81">
        <w:rPr>
          <w:noProof/>
          <w:color w:val="000000" w:themeColor="text1"/>
          <w:szCs w:val="24"/>
        </w:rPr>
        <w:t>n</w:t>
      </w:r>
      <w:r w:rsidRPr="00972C81">
        <w:rPr>
          <w:noProof/>
          <w:szCs w:val="24"/>
        </w:rPr>
        <w:t xml:space="preserve">d Types, and associated </w:t>
      </w:r>
      <w:r w:rsidRPr="00972C81">
        <w:rPr>
          <w:i/>
          <w:noProof/>
          <w:szCs w:val="24"/>
        </w:rPr>
        <w:t>f</w:t>
      </w:r>
      <w:r w:rsidRPr="00972C81">
        <w:rPr>
          <w:noProof/>
          <w:szCs w:val="24"/>
          <w:vertAlign w:val="subscript"/>
        </w:rPr>
        <w:t>A</w:t>
      </w:r>
      <w:r w:rsidRPr="00972C81">
        <w:rPr>
          <w:noProof/>
          <w:szCs w:val="24"/>
        </w:rPr>
        <w:t xml:space="preserve"> values for particulate forms of californium, are given in </w:t>
      </w:r>
      <w:r w:rsidR="002D63D9" w:rsidRPr="00972C81">
        <w:rPr>
          <w:noProof/>
          <w:szCs w:val="24"/>
        </w:rPr>
        <w:fldChar w:fldCharType="begin"/>
      </w:r>
      <w:r w:rsidR="002D63D9" w:rsidRPr="00972C81">
        <w:rPr>
          <w:noProof/>
          <w:szCs w:val="24"/>
        </w:rPr>
        <w:instrText xml:space="preserve"> REF _Ref147422492 \h </w:instrText>
      </w:r>
      <w:r w:rsidR="002D63D9" w:rsidRPr="00972C81">
        <w:rPr>
          <w:noProof/>
          <w:szCs w:val="24"/>
        </w:rPr>
      </w:r>
      <w:r w:rsidR="002D63D9" w:rsidRPr="00972C81">
        <w:rPr>
          <w:noProof/>
          <w:szCs w:val="24"/>
        </w:rPr>
        <w:fldChar w:fldCharType="separate"/>
      </w:r>
      <w:r w:rsidR="00A41AD1" w:rsidRPr="00972C81">
        <w:rPr>
          <w:noProof/>
        </w:rPr>
        <w:t xml:space="preserve">Table </w:t>
      </w:r>
      <w:r w:rsidR="00A41AD1">
        <w:rPr>
          <w:noProof/>
        </w:rPr>
        <w:t>26</w:t>
      </w:r>
      <w:r w:rsidR="00A41AD1" w:rsidRPr="00972C81">
        <w:rPr>
          <w:noProof/>
        </w:rPr>
        <w:t>.</w:t>
      </w:r>
      <w:r w:rsidR="00A41AD1">
        <w:rPr>
          <w:noProof/>
        </w:rPr>
        <w:t>1</w:t>
      </w:r>
      <w:r w:rsidR="002D63D9" w:rsidRPr="00972C81">
        <w:rPr>
          <w:noProof/>
          <w:szCs w:val="24"/>
        </w:rPr>
        <w:fldChar w:fldCharType="end"/>
      </w:r>
      <w:r w:rsidR="00E838BC" w:rsidRPr="00972C81">
        <w:rPr>
          <w:noProof/>
          <w:szCs w:val="24"/>
        </w:rPr>
        <w:t>.</w:t>
      </w:r>
      <w:r w:rsidR="006C29E4" w:rsidRPr="00972C81">
        <w:rPr>
          <w:noProof/>
          <w:szCs w:val="24"/>
        </w:rPr>
        <w:t xml:space="preserve"> (taken from Section 26 of </w:t>
      </w:r>
      <w:r w:rsidR="00F414E6" w:rsidRPr="00972C81">
        <w:rPr>
          <w:i/>
          <w:noProof/>
        </w:rPr>
        <w:t>Publication 141</w:t>
      </w:r>
      <w:r w:rsidR="00F414E6" w:rsidRPr="00972C81">
        <w:rPr>
          <w:noProof/>
        </w:rPr>
        <w:t>).</w:t>
      </w:r>
    </w:p>
    <w:p w14:paraId="156B1DAE" w14:textId="77777777" w:rsidR="00F414E6" w:rsidRPr="00972C81" w:rsidRDefault="00F414E6" w:rsidP="00C47F2F">
      <w:pPr>
        <w:pStyle w:val="a5"/>
        <w:tabs>
          <w:tab w:val="clear" w:pos="4153"/>
          <w:tab w:val="clear" w:pos="8306"/>
        </w:tabs>
        <w:rPr>
          <w:noProof/>
        </w:rPr>
      </w:pPr>
    </w:p>
    <w:p w14:paraId="6B400EF3" w14:textId="08D41965" w:rsidR="00096DF7" w:rsidRPr="00C47F2F" w:rsidRDefault="00067E2E" w:rsidP="00E81109">
      <w:pPr>
        <w:pStyle w:val="ab"/>
        <w:rPr>
          <w:rFonts w:ascii="Times Roman" w:hAnsi="Times Roman"/>
          <w:b/>
          <w:noProof/>
          <w:sz w:val="24"/>
          <w:szCs w:val="24"/>
        </w:rPr>
      </w:pPr>
      <w:bookmarkStart w:id="389" w:name="_Ref147422492"/>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26</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1</w:t>
      </w:r>
      <w:r w:rsidR="00EA3750" w:rsidRPr="00C47F2F">
        <w:rPr>
          <w:noProof/>
          <w:sz w:val="24"/>
          <w:szCs w:val="24"/>
        </w:rPr>
        <w:fldChar w:fldCharType="end"/>
      </w:r>
      <w:bookmarkEnd w:id="389"/>
      <w:r w:rsidRPr="00C47F2F">
        <w:rPr>
          <w:noProof/>
          <w:sz w:val="24"/>
          <w:szCs w:val="24"/>
        </w:rPr>
        <w:t>.</w:t>
      </w:r>
      <w:r w:rsidR="00096DF7" w:rsidRPr="00C47F2F">
        <w:rPr>
          <w:rFonts w:ascii="Times Roman" w:hAnsi="Times Roman"/>
          <w:noProof/>
          <w:sz w:val="24"/>
          <w:szCs w:val="24"/>
        </w:rPr>
        <w:t xml:space="preserve"> Absorption parameter values for inhaled and ingested californium. </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913"/>
        <w:gridCol w:w="65"/>
        <w:gridCol w:w="1174"/>
        <w:gridCol w:w="392"/>
        <w:gridCol w:w="782"/>
        <w:gridCol w:w="305"/>
        <w:gridCol w:w="269"/>
        <w:gridCol w:w="599"/>
        <w:gridCol w:w="218"/>
        <w:gridCol w:w="253"/>
        <w:gridCol w:w="702"/>
        <w:gridCol w:w="134"/>
        <w:gridCol w:w="1040"/>
        <w:gridCol w:w="1181"/>
      </w:tblGrid>
      <w:tr w:rsidR="00096DF7" w:rsidRPr="00972C81" w14:paraId="5DC125F0" w14:textId="77777777" w:rsidTr="000E00A3">
        <w:trPr>
          <w:cantSplit/>
          <w:trHeight w:val="340"/>
        </w:trPr>
        <w:tc>
          <w:tcPr>
            <w:tcW w:w="1963" w:type="pct"/>
            <w:gridSpan w:val="4"/>
            <w:vMerge w:val="restart"/>
            <w:tcBorders>
              <w:top w:val="single" w:sz="4" w:space="0" w:color="auto"/>
              <w:left w:val="nil"/>
              <w:bottom w:val="single" w:sz="4" w:space="0" w:color="auto"/>
              <w:right w:val="nil"/>
            </w:tcBorders>
            <w:vAlign w:val="bottom"/>
            <w:hideMark/>
          </w:tcPr>
          <w:p w14:paraId="138A76E4" w14:textId="77777777" w:rsidR="00096DF7" w:rsidRPr="00972C81" w:rsidRDefault="00096DF7" w:rsidP="00E81109">
            <w:pPr>
              <w:pStyle w:val="Table"/>
              <w:rPr>
                <w:noProof/>
              </w:rPr>
            </w:pPr>
            <w:r w:rsidRPr="00972C81">
              <w:rPr>
                <w:noProof/>
              </w:rPr>
              <w:t>Inhaled particulate materials</w:t>
            </w:r>
          </w:p>
        </w:tc>
        <w:tc>
          <w:tcPr>
            <w:tcW w:w="1807" w:type="pct"/>
            <w:gridSpan w:val="8"/>
            <w:tcBorders>
              <w:top w:val="single" w:sz="4" w:space="0" w:color="auto"/>
              <w:left w:val="nil"/>
              <w:bottom w:val="single" w:sz="4" w:space="0" w:color="auto"/>
              <w:right w:val="nil"/>
            </w:tcBorders>
            <w:vAlign w:val="center"/>
            <w:hideMark/>
          </w:tcPr>
          <w:p w14:paraId="41FFD0FC" w14:textId="7F0F9D6B" w:rsidR="00096DF7" w:rsidRPr="00972C81" w:rsidRDefault="00096DF7" w:rsidP="000E00A3">
            <w:pPr>
              <w:pStyle w:val="Table"/>
              <w:jc w:val="center"/>
              <w:rPr>
                <w:noProof/>
                <w:vertAlign w:val="superscript"/>
              </w:rPr>
            </w:pPr>
            <w:r w:rsidRPr="00972C81">
              <w:rPr>
                <w:noProof/>
              </w:rPr>
              <w:t>Absorption parameter values</w:t>
            </w:r>
            <w:r w:rsidR="00067E2E" w:rsidRPr="00972C81">
              <w:rPr>
                <w:noProof/>
                <w:vertAlign w:val="superscript"/>
              </w:rPr>
              <w:t>*</w:t>
            </w:r>
          </w:p>
        </w:tc>
        <w:tc>
          <w:tcPr>
            <w:tcW w:w="1230" w:type="pct"/>
            <w:gridSpan w:val="2"/>
            <w:vMerge w:val="restart"/>
            <w:tcBorders>
              <w:top w:val="single" w:sz="4" w:space="0" w:color="auto"/>
              <w:left w:val="nil"/>
              <w:bottom w:val="single" w:sz="4" w:space="0" w:color="auto"/>
              <w:right w:val="nil"/>
            </w:tcBorders>
            <w:vAlign w:val="center"/>
            <w:hideMark/>
          </w:tcPr>
          <w:p w14:paraId="0E012A51" w14:textId="67548BF4" w:rsidR="00096DF7" w:rsidRPr="00972C81" w:rsidRDefault="00096DF7" w:rsidP="000E00A3">
            <w:pPr>
              <w:pStyle w:val="Table"/>
              <w:rPr>
                <w:noProof/>
                <w:vertAlign w:val="superscript"/>
              </w:rPr>
            </w:pPr>
            <w:r w:rsidRPr="00972C81">
              <w:rPr>
                <w:noProof/>
              </w:rPr>
              <w:t xml:space="preserve">Absorption from the alimentary tract, </w:t>
            </w:r>
            <w:r w:rsidRPr="00972C81">
              <w:rPr>
                <w:i/>
                <w:noProof/>
              </w:rPr>
              <w:t>f</w:t>
            </w:r>
            <w:r w:rsidRPr="00972C81">
              <w:rPr>
                <w:noProof/>
                <w:vertAlign w:val="subscript"/>
              </w:rPr>
              <w:t>A</w:t>
            </w:r>
            <w:r w:rsidR="00067E2E" w:rsidRPr="00972C81">
              <w:rPr>
                <w:noProof/>
                <w:vertAlign w:val="superscript"/>
              </w:rPr>
              <w:t>‡</w:t>
            </w:r>
          </w:p>
        </w:tc>
      </w:tr>
      <w:tr w:rsidR="00096DF7" w:rsidRPr="00972C81" w14:paraId="6407C1AE" w14:textId="77777777" w:rsidTr="000E00A3">
        <w:trPr>
          <w:cantSplit/>
          <w:trHeight w:val="340"/>
        </w:trPr>
        <w:tc>
          <w:tcPr>
            <w:tcW w:w="1963" w:type="pct"/>
            <w:gridSpan w:val="4"/>
            <w:vMerge/>
            <w:tcBorders>
              <w:top w:val="single" w:sz="4" w:space="0" w:color="auto"/>
              <w:left w:val="nil"/>
              <w:bottom w:val="single" w:sz="4" w:space="0" w:color="auto"/>
              <w:right w:val="nil"/>
            </w:tcBorders>
            <w:vAlign w:val="center"/>
            <w:hideMark/>
          </w:tcPr>
          <w:p w14:paraId="55D95116" w14:textId="77777777" w:rsidR="00096DF7" w:rsidRPr="00972C81" w:rsidRDefault="00096DF7" w:rsidP="00E81109">
            <w:pPr>
              <w:pStyle w:val="Table"/>
              <w:rPr>
                <w:noProof/>
              </w:rPr>
            </w:pPr>
          </w:p>
        </w:tc>
        <w:tc>
          <w:tcPr>
            <w:tcW w:w="602" w:type="pct"/>
            <w:gridSpan w:val="2"/>
            <w:tcBorders>
              <w:top w:val="single" w:sz="4" w:space="0" w:color="auto"/>
              <w:left w:val="nil"/>
              <w:bottom w:val="single" w:sz="4" w:space="0" w:color="auto"/>
              <w:right w:val="nil"/>
            </w:tcBorders>
            <w:vAlign w:val="center"/>
            <w:hideMark/>
          </w:tcPr>
          <w:p w14:paraId="0D089E39" w14:textId="77777777" w:rsidR="00096DF7" w:rsidRPr="00972C81" w:rsidRDefault="00096DF7" w:rsidP="000E00A3">
            <w:pPr>
              <w:pStyle w:val="Table"/>
              <w:rPr>
                <w:noProof/>
              </w:rPr>
            </w:pPr>
            <w:r w:rsidRPr="00972C81">
              <w:rPr>
                <w:i/>
                <w:noProof/>
              </w:rPr>
              <w:t>f</w:t>
            </w:r>
            <w:r w:rsidRPr="00972C81">
              <w:rPr>
                <w:noProof/>
                <w:vertAlign w:val="subscript"/>
              </w:rPr>
              <w:t>r</w:t>
            </w:r>
          </w:p>
        </w:tc>
        <w:tc>
          <w:tcPr>
            <w:tcW w:w="602" w:type="pct"/>
            <w:gridSpan w:val="3"/>
            <w:tcBorders>
              <w:top w:val="single" w:sz="4" w:space="0" w:color="auto"/>
              <w:left w:val="nil"/>
              <w:bottom w:val="single" w:sz="4" w:space="0" w:color="auto"/>
              <w:right w:val="nil"/>
            </w:tcBorders>
            <w:vAlign w:val="center"/>
            <w:hideMark/>
          </w:tcPr>
          <w:p w14:paraId="1EAAB365" w14:textId="77777777" w:rsidR="00096DF7" w:rsidRPr="00972C81" w:rsidRDefault="00096DF7" w:rsidP="000E00A3">
            <w:pPr>
              <w:pStyle w:val="Table"/>
              <w:rPr>
                <w:noProof/>
              </w:rPr>
            </w:pPr>
            <w:r w:rsidRPr="00972C81">
              <w:rPr>
                <w:i/>
                <w:noProof/>
              </w:rPr>
              <w:t>s</w:t>
            </w:r>
            <w:r w:rsidRPr="00972C81">
              <w:rPr>
                <w:noProof/>
                <w:vertAlign w:val="subscript"/>
              </w:rPr>
              <w:t>r</w:t>
            </w:r>
            <w:r w:rsidRPr="00972C81">
              <w:rPr>
                <w:noProof/>
              </w:rPr>
              <w:t xml:space="preserve"> (d</w:t>
            </w:r>
            <w:r w:rsidRPr="00972C81">
              <w:rPr>
                <w:noProof/>
                <w:vertAlign w:val="superscript"/>
              </w:rPr>
              <w:t>–1</w:t>
            </w:r>
            <w:r w:rsidRPr="00972C81">
              <w:rPr>
                <w:noProof/>
              </w:rPr>
              <w:t>)</w:t>
            </w:r>
          </w:p>
        </w:tc>
        <w:tc>
          <w:tcPr>
            <w:tcW w:w="603" w:type="pct"/>
            <w:gridSpan w:val="3"/>
            <w:tcBorders>
              <w:top w:val="single" w:sz="4" w:space="0" w:color="auto"/>
              <w:left w:val="nil"/>
              <w:bottom w:val="single" w:sz="4" w:space="0" w:color="auto"/>
              <w:right w:val="nil"/>
            </w:tcBorders>
            <w:vAlign w:val="center"/>
            <w:hideMark/>
          </w:tcPr>
          <w:p w14:paraId="15B0F67F" w14:textId="77777777" w:rsidR="00096DF7" w:rsidRPr="00972C81" w:rsidRDefault="00096DF7" w:rsidP="000E00A3">
            <w:pPr>
              <w:pStyle w:val="Table"/>
              <w:rPr>
                <w:noProof/>
              </w:rPr>
            </w:pPr>
            <w:r w:rsidRPr="00972C81">
              <w:rPr>
                <w:i/>
                <w:noProof/>
              </w:rPr>
              <w:t>s</w:t>
            </w:r>
            <w:r w:rsidRPr="00972C81">
              <w:rPr>
                <w:noProof/>
                <w:vertAlign w:val="subscript"/>
              </w:rPr>
              <w:t>s</w:t>
            </w:r>
            <w:r w:rsidRPr="00972C81">
              <w:rPr>
                <w:noProof/>
              </w:rPr>
              <w:t xml:space="preserve"> (d</w:t>
            </w:r>
            <w:r w:rsidRPr="00972C81">
              <w:rPr>
                <w:noProof/>
                <w:vertAlign w:val="superscript"/>
              </w:rPr>
              <w:t>–1</w:t>
            </w:r>
            <w:r w:rsidRPr="00972C81">
              <w:rPr>
                <w:noProof/>
              </w:rPr>
              <w:t>)</w:t>
            </w:r>
          </w:p>
        </w:tc>
        <w:tc>
          <w:tcPr>
            <w:tcW w:w="1230" w:type="pct"/>
            <w:gridSpan w:val="2"/>
            <w:vMerge/>
            <w:tcBorders>
              <w:top w:val="single" w:sz="4" w:space="0" w:color="auto"/>
              <w:left w:val="nil"/>
              <w:bottom w:val="single" w:sz="4" w:space="0" w:color="auto"/>
              <w:right w:val="nil"/>
            </w:tcBorders>
            <w:vAlign w:val="center"/>
            <w:hideMark/>
          </w:tcPr>
          <w:p w14:paraId="40ED2095" w14:textId="77777777" w:rsidR="00096DF7" w:rsidRPr="00972C81" w:rsidRDefault="00096DF7" w:rsidP="00E81109">
            <w:pPr>
              <w:pStyle w:val="Table"/>
              <w:rPr>
                <w:noProof/>
                <w:vertAlign w:val="superscript"/>
              </w:rPr>
            </w:pPr>
          </w:p>
        </w:tc>
      </w:tr>
      <w:tr w:rsidR="00096DF7" w:rsidRPr="00972C81" w14:paraId="13EF046F" w14:textId="77777777" w:rsidTr="000E00A3">
        <w:trPr>
          <w:trHeight w:val="340"/>
        </w:trPr>
        <w:tc>
          <w:tcPr>
            <w:tcW w:w="1963" w:type="pct"/>
            <w:gridSpan w:val="4"/>
            <w:tcBorders>
              <w:top w:val="single" w:sz="4" w:space="0" w:color="auto"/>
              <w:left w:val="nil"/>
              <w:bottom w:val="nil"/>
              <w:right w:val="nil"/>
            </w:tcBorders>
            <w:hideMark/>
          </w:tcPr>
          <w:p w14:paraId="189E09FA" w14:textId="2DD2FA9E" w:rsidR="00096DF7" w:rsidRPr="00972C81" w:rsidRDefault="00096DF7" w:rsidP="000E00A3">
            <w:pPr>
              <w:pStyle w:val="Table"/>
              <w:rPr>
                <w:noProof/>
                <w:vertAlign w:val="superscript"/>
              </w:rPr>
            </w:pPr>
            <w:r w:rsidRPr="00972C81">
              <w:rPr>
                <w:noProof/>
              </w:rPr>
              <w:t>Default parameter values</w:t>
            </w:r>
            <w:r w:rsidR="00067E2E" w:rsidRPr="00972C81">
              <w:rPr>
                <w:noProof/>
                <w:vertAlign w:val="superscript"/>
              </w:rPr>
              <w:t>†</w:t>
            </w:r>
          </w:p>
        </w:tc>
        <w:tc>
          <w:tcPr>
            <w:tcW w:w="602" w:type="pct"/>
            <w:gridSpan w:val="2"/>
            <w:tcBorders>
              <w:top w:val="single" w:sz="4" w:space="0" w:color="auto"/>
              <w:left w:val="nil"/>
              <w:bottom w:val="nil"/>
              <w:right w:val="nil"/>
            </w:tcBorders>
          </w:tcPr>
          <w:p w14:paraId="01F18687" w14:textId="77777777" w:rsidR="00096DF7" w:rsidRPr="00972C81" w:rsidRDefault="00096DF7" w:rsidP="000E00A3">
            <w:pPr>
              <w:pStyle w:val="Table"/>
              <w:rPr>
                <w:noProof/>
              </w:rPr>
            </w:pPr>
          </w:p>
        </w:tc>
        <w:tc>
          <w:tcPr>
            <w:tcW w:w="602" w:type="pct"/>
            <w:gridSpan w:val="3"/>
            <w:tcBorders>
              <w:top w:val="single" w:sz="4" w:space="0" w:color="auto"/>
              <w:left w:val="nil"/>
              <w:bottom w:val="nil"/>
              <w:right w:val="nil"/>
            </w:tcBorders>
          </w:tcPr>
          <w:p w14:paraId="29C2A031" w14:textId="77777777" w:rsidR="00096DF7" w:rsidRPr="00972C81" w:rsidRDefault="00096DF7" w:rsidP="000E00A3">
            <w:pPr>
              <w:pStyle w:val="Table"/>
              <w:rPr>
                <w:noProof/>
              </w:rPr>
            </w:pPr>
          </w:p>
        </w:tc>
        <w:tc>
          <w:tcPr>
            <w:tcW w:w="603" w:type="pct"/>
            <w:gridSpan w:val="3"/>
            <w:tcBorders>
              <w:top w:val="single" w:sz="4" w:space="0" w:color="auto"/>
              <w:left w:val="nil"/>
              <w:bottom w:val="nil"/>
              <w:right w:val="nil"/>
            </w:tcBorders>
          </w:tcPr>
          <w:p w14:paraId="2A8845A8" w14:textId="77777777" w:rsidR="00096DF7" w:rsidRPr="00972C81" w:rsidRDefault="00096DF7" w:rsidP="000E00A3">
            <w:pPr>
              <w:pStyle w:val="Table"/>
              <w:rPr>
                <w:noProof/>
              </w:rPr>
            </w:pPr>
          </w:p>
        </w:tc>
        <w:tc>
          <w:tcPr>
            <w:tcW w:w="1230" w:type="pct"/>
            <w:gridSpan w:val="2"/>
            <w:tcBorders>
              <w:top w:val="single" w:sz="4" w:space="0" w:color="auto"/>
              <w:left w:val="nil"/>
              <w:bottom w:val="nil"/>
              <w:right w:val="nil"/>
            </w:tcBorders>
          </w:tcPr>
          <w:p w14:paraId="48E4FDF2" w14:textId="77777777" w:rsidR="00096DF7" w:rsidRPr="00972C81" w:rsidRDefault="00096DF7" w:rsidP="000E00A3">
            <w:pPr>
              <w:pStyle w:val="Table"/>
              <w:rPr>
                <w:i/>
                <w:noProof/>
              </w:rPr>
            </w:pPr>
          </w:p>
        </w:tc>
      </w:tr>
      <w:tr w:rsidR="00096DF7" w:rsidRPr="00972C81" w14:paraId="723B599E" w14:textId="77777777" w:rsidTr="000E00A3">
        <w:trPr>
          <w:trHeight w:val="340"/>
        </w:trPr>
        <w:tc>
          <w:tcPr>
            <w:tcW w:w="1060" w:type="pct"/>
            <w:tcBorders>
              <w:top w:val="nil"/>
              <w:left w:val="nil"/>
              <w:bottom w:val="nil"/>
              <w:right w:val="nil"/>
            </w:tcBorders>
            <w:hideMark/>
          </w:tcPr>
          <w:p w14:paraId="5389CFCB" w14:textId="77777777" w:rsidR="00096DF7" w:rsidRPr="00972C81" w:rsidRDefault="00096DF7" w:rsidP="000E00A3">
            <w:pPr>
              <w:pStyle w:val="Table"/>
              <w:rPr>
                <w:noProof/>
              </w:rPr>
            </w:pPr>
            <w:r w:rsidRPr="00972C81">
              <w:rPr>
                <w:noProof/>
              </w:rPr>
              <w:t>Absorption Type</w:t>
            </w:r>
          </w:p>
        </w:tc>
        <w:tc>
          <w:tcPr>
            <w:tcW w:w="903" w:type="pct"/>
            <w:gridSpan w:val="3"/>
            <w:tcBorders>
              <w:top w:val="nil"/>
              <w:left w:val="nil"/>
              <w:bottom w:val="nil"/>
              <w:right w:val="nil"/>
            </w:tcBorders>
            <w:hideMark/>
          </w:tcPr>
          <w:p w14:paraId="68F584CC" w14:textId="77777777" w:rsidR="00096DF7" w:rsidRPr="00972C81" w:rsidRDefault="00096DF7" w:rsidP="000E00A3">
            <w:pPr>
              <w:pStyle w:val="Table"/>
              <w:rPr>
                <w:noProof/>
              </w:rPr>
            </w:pPr>
            <w:r w:rsidRPr="00972C81">
              <w:rPr>
                <w:noProof/>
              </w:rPr>
              <w:t>Assigned forms</w:t>
            </w:r>
          </w:p>
        </w:tc>
        <w:tc>
          <w:tcPr>
            <w:tcW w:w="602" w:type="pct"/>
            <w:gridSpan w:val="2"/>
            <w:tcBorders>
              <w:top w:val="nil"/>
              <w:left w:val="nil"/>
              <w:bottom w:val="nil"/>
              <w:right w:val="nil"/>
            </w:tcBorders>
          </w:tcPr>
          <w:p w14:paraId="2DF46F16" w14:textId="77777777" w:rsidR="00096DF7" w:rsidRPr="00972C81" w:rsidRDefault="00096DF7" w:rsidP="000E00A3">
            <w:pPr>
              <w:pStyle w:val="Table"/>
              <w:rPr>
                <w:noProof/>
              </w:rPr>
            </w:pPr>
          </w:p>
        </w:tc>
        <w:tc>
          <w:tcPr>
            <w:tcW w:w="602" w:type="pct"/>
            <w:gridSpan w:val="3"/>
            <w:tcBorders>
              <w:top w:val="nil"/>
              <w:left w:val="nil"/>
              <w:bottom w:val="nil"/>
              <w:right w:val="nil"/>
            </w:tcBorders>
          </w:tcPr>
          <w:p w14:paraId="155664D4" w14:textId="77777777" w:rsidR="00096DF7" w:rsidRPr="00972C81" w:rsidRDefault="00096DF7" w:rsidP="000E00A3">
            <w:pPr>
              <w:pStyle w:val="Table"/>
              <w:rPr>
                <w:noProof/>
              </w:rPr>
            </w:pPr>
          </w:p>
        </w:tc>
        <w:tc>
          <w:tcPr>
            <w:tcW w:w="603" w:type="pct"/>
            <w:gridSpan w:val="3"/>
            <w:tcBorders>
              <w:top w:val="nil"/>
              <w:left w:val="nil"/>
              <w:bottom w:val="nil"/>
              <w:right w:val="nil"/>
            </w:tcBorders>
          </w:tcPr>
          <w:p w14:paraId="2E66D795" w14:textId="77777777" w:rsidR="00096DF7" w:rsidRPr="00972C81" w:rsidRDefault="00096DF7" w:rsidP="000E00A3">
            <w:pPr>
              <w:pStyle w:val="Table"/>
              <w:rPr>
                <w:noProof/>
              </w:rPr>
            </w:pPr>
          </w:p>
        </w:tc>
        <w:tc>
          <w:tcPr>
            <w:tcW w:w="1230" w:type="pct"/>
            <w:gridSpan w:val="2"/>
            <w:tcBorders>
              <w:top w:val="nil"/>
              <w:left w:val="nil"/>
              <w:bottom w:val="nil"/>
              <w:right w:val="nil"/>
            </w:tcBorders>
          </w:tcPr>
          <w:p w14:paraId="3A693C4E" w14:textId="77777777" w:rsidR="00096DF7" w:rsidRPr="00972C81" w:rsidRDefault="00096DF7" w:rsidP="000E00A3">
            <w:pPr>
              <w:pStyle w:val="Table"/>
              <w:rPr>
                <w:noProof/>
              </w:rPr>
            </w:pPr>
          </w:p>
        </w:tc>
      </w:tr>
      <w:tr w:rsidR="00096DF7" w:rsidRPr="00972C81" w14:paraId="50B7348F" w14:textId="77777777" w:rsidTr="000E00A3">
        <w:trPr>
          <w:trHeight w:val="340"/>
        </w:trPr>
        <w:tc>
          <w:tcPr>
            <w:tcW w:w="1060" w:type="pct"/>
            <w:tcBorders>
              <w:top w:val="nil"/>
              <w:left w:val="nil"/>
              <w:bottom w:val="nil"/>
              <w:right w:val="nil"/>
            </w:tcBorders>
            <w:hideMark/>
          </w:tcPr>
          <w:p w14:paraId="69EA0811" w14:textId="77777777" w:rsidR="00096DF7" w:rsidRPr="00972C81" w:rsidRDefault="00096DF7" w:rsidP="000E00A3">
            <w:pPr>
              <w:pStyle w:val="Table"/>
              <w:rPr>
                <w:noProof/>
              </w:rPr>
            </w:pPr>
            <w:r w:rsidRPr="00972C81">
              <w:rPr>
                <w:noProof/>
              </w:rPr>
              <w:t>F</w:t>
            </w:r>
          </w:p>
        </w:tc>
        <w:tc>
          <w:tcPr>
            <w:tcW w:w="903" w:type="pct"/>
            <w:gridSpan w:val="3"/>
            <w:tcBorders>
              <w:top w:val="nil"/>
              <w:left w:val="nil"/>
              <w:bottom w:val="nil"/>
              <w:right w:val="nil"/>
            </w:tcBorders>
            <w:hideMark/>
          </w:tcPr>
          <w:p w14:paraId="5244762D" w14:textId="77777777" w:rsidR="00096DF7" w:rsidRPr="00972C81" w:rsidRDefault="00096DF7" w:rsidP="000E00A3">
            <w:pPr>
              <w:pStyle w:val="Table"/>
              <w:rPr>
                <w:noProof/>
              </w:rPr>
            </w:pPr>
            <w:r w:rsidRPr="00972C81">
              <w:rPr>
                <w:noProof/>
              </w:rPr>
              <w:t>Chloride</w:t>
            </w:r>
          </w:p>
        </w:tc>
        <w:tc>
          <w:tcPr>
            <w:tcW w:w="602" w:type="pct"/>
            <w:gridSpan w:val="2"/>
            <w:tcBorders>
              <w:top w:val="nil"/>
              <w:left w:val="nil"/>
              <w:bottom w:val="nil"/>
              <w:right w:val="nil"/>
            </w:tcBorders>
            <w:hideMark/>
          </w:tcPr>
          <w:p w14:paraId="27767BCF" w14:textId="77777777" w:rsidR="00096DF7" w:rsidRPr="00972C81" w:rsidRDefault="00096DF7" w:rsidP="000E00A3">
            <w:pPr>
              <w:pStyle w:val="Table"/>
              <w:rPr>
                <w:noProof/>
              </w:rPr>
            </w:pPr>
            <w:r w:rsidRPr="00972C81">
              <w:rPr>
                <w:noProof/>
              </w:rPr>
              <w:t>1</w:t>
            </w:r>
          </w:p>
        </w:tc>
        <w:tc>
          <w:tcPr>
            <w:tcW w:w="602" w:type="pct"/>
            <w:gridSpan w:val="3"/>
            <w:tcBorders>
              <w:top w:val="nil"/>
              <w:left w:val="nil"/>
              <w:bottom w:val="nil"/>
              <w:right w:val="nil"/>
            </w:tcBorders>
            <w:hideMark/>
          </w:tcPr>
          <w:p w14:paraId="0778776A" w14:textId="77777777" w:rsidR="00096DF7" w:rsidRPr="00972C81" w:rsidRDefault="00096DF7" w:rsidP="000E00A3">
            <w:pPr>
              <w:pStyle w:val="Table"/>
              <w:rPr>
                <w:noProof/>
              </w:rPr>
            </w:pPr>
            <w:r w:rsidRPr="00972C81">
              <w:rPr>
                <w:noProof/>
              </w:rPr>
              <w:t>0.4</w:t>
            </w:r>
          </w:p>
        </w:tc>
        <w:tc>
          <w:tcPr>
            <w:tcW w:w="603" w:type="pct"/>
            <w:gridSpan w:val="3"/>
            <w:tcBorders>
              <w:top w:val="nil"/>
              <w:left w:val="nil"/>
              <w:bottom w:val="nil"/>
              <w:right w:val="nil"/>
            </w:tcBorders>
            <w:hideMark/>
          </w:tcPr>
          <w:p w14:paraId="3389CE5D" w14:textId="77777777" w:rsidR="00096DF7" w:rsidRPr="00972C81" w:rsidRDefault="00096DF7" w:rsidP="000E00A3">
            <w:pPr>
              <w:pStyle w:val="Table"/>
              <w:rPr>
                <w:noProof/>
              </w:rPr>
            </w:pPr>
            <w:r w:rsidRPr="00972C81">
              <w:rPr>
                <w:noProof/>
              </w:rPr>
              <w:t>–</w:t>
            </w:r>
          </w:p>
        </w:tc>
        <w:tc>
          <w:tcPr>
            <w:tcW w:w="1230" w:type="pct"/>
            <w:gridSpan w:val="2"/>
            <w:tcBorders>
              <w:top w:val="nil"/>
              <w:left w:val="nil"/>
              <w:bottom w:val="nil"/>
              <w:right w:val="nil"/>
            </w:tcBorders>
            <w:hideMark/>
          </w:tcPr>
          <w:p w14:paraId="48BE89BF" w14:textId="11E55292" w:rsidR="00096DF7" w:rsidRPr="00972C81" w:rsidRDefault="00096DF7" w:rsidP="000E00A3">
            <w:pPr>
              <w:pStyle w:val="Table"/>
              <w:rPr>
                <w:noProof/>
              </w:rPr>
            </w:pPr>
            <w:r w:rsidRPr="00972C81">
              <w:rPr>
                <w:noProof/>
              </w:rPr>
              <w:t>5</w:t>
            </w:r>
            <w:r w:rsidR="00067025" w:rsidRPr="00972C81">
              <w:rPr>
                <w:noProof/>
              </w:rPr>
              <w:t xml:space="preserve"> × </w:t>
            </w:r>
            <w:r w:rsidRPr="00972C81">
              <w:rPr>
                <w:noProof/>
              </w:rPr>
              <w:t>10</w:t>
            </w:r>
            <w:r w:rsidRPr="00972C81">
              <w:rPr>
                <w:noProof/>
                <w:vertAlign w:val="superscript"/>
              </w:rPr>
              <w:t>–4</w:t>
            </w:r>
          </w:p>
        </w:tc>
      </w:tr>
      <w:tr w:rsidR="00096DF7" w:rsidRPr="00972C81" w14:paraId="1C925B4A" w14:textId="77777777" w:rsidTr="000E00A3">
        <w:trPr>
          <w:trHeight w:val="340"/>
        </w:trPr>
        <w:tc>
          <w:tcPr>
            <w:tcW w:w="1060" w:type="pct"/>
            <w:tcBorders>
              <w:top w:val="nil"/>
              <w:left w:val="nil"/>
              <w:bottom w:val="nil"/>
              <w:right w:val="nil"/>
            </w:tcBorders>
            <w:hideMark/>
          </w:tcPr>
          <w:p w14:paraId="1F68396D" w14:textId="24D1D680" w:rsidR="00096DF7" w:rsidRPr="00972C81" w:rsidRDefault="00096DF7" w:rsidP="000E00A3">
            <w:pPr>
              <w:pStyle w:val="Table"/>
              <w:rPr>
                <w:noProof/>
              </w:rPr>
            </w:pPr>
            <w:r w:rsidRPr="00972C81">
              <w:rPr>
                <w:noProof/>
              </w:rPr>
              <w:t>M</w:t>
            </w:r>
            <w:r w:rsidR="00067E2E" w:rsidRPr="00972C81">
              <w:rPr>
                <w:noProof/>
                <w:vertAlign w:val="superscript"/>
              </w:rPr>
              <w:t>§</w:t>
            </w:r>
          </w:p>
        </w:tc>
        <w:tc>
          <w:tcPr>
            <w:tcW w:w="903" w:type="pct"/>
            <w:gridSpan w:val="3"/>
            <w:tcBorders>
              <w:top w:val="nil"/>
              <w:left w:val="nil"/>
              <w:bottom w:val="nil"/>
              <w:right w:val="nil"/>
            </w:tcBorders>
            <w:hideMark/>
          </w:tcPr>
          <w:p w14:paraId="7C6FDE84" w14:textId="77777777" w:rsidR="00096DF7" w:rsidRPr="00972C81" w:rsidRDefault="00096DF7" w:rsidP="000E00A3">
            <w:pPr>
              <w:pStyle w:val="Table"/>
              <w:rPr>
                <w:noProof/>
              </w:rPr>
            </w:pPr>
            <w:r w:rsidRPr="00972C81">
              <w:rPr>
                <w:noProof/>
              </w:rPr>
              <w:t>Oxide</w:t>
            </w:r>
          </w:p>
        </w:tc>
        <w:tc>
          <w:tcPr>
            <w:tcW w:w="602" w:type="pct"/>
            <w:gridSpan w:val="2"/>
            <w:tcBorders>
              <w:top w:val="nil"/>
              <w:left w:val="nil"/>
              <w:bottom w:val="nil"/>
              <w:right w:val="nil"/>
            </w:tcBorders>
            <w:hideMark/>
          </w:tcPr>
          <w:p w14:paraId="6AB85893" w14:textId="77777777" w:rsidR="00096DF7" w:rsidRPr="00972C81" w:rsidRDefault="00096DF7" w:rsidP="000E00A3">
            <w:pPr>
              <w:pStyle w:val="Table"/>
              <w:rPr>
                <w:noProof/>
              </w:rPr>
            </w:pPr>
            <w:r w:rsidRPr="00972C81">
              <w:rPr>
                <w:noProof/>
              </w:rPr>
              <w:t>0.2</w:t>
            </w:r>
          </w:p>
        </w:tc>
        <w:tc>
          <w:tcPr>
            <w:tcW w:w="602" w:type="pct"/>
            <w:gridSpan w:val="3"/>
            <w:tcBorders>
              <w:top w:val="nil"/>
              <w:left w:val="nil"/>
              <w:bottom w:val="nil"/>
              <w:right w:val="nil"/>
            </w:tcBorders>
            <w:hideMark/>
          </w:tcPr>
          <w:p w14:paraId="3D2AEB86" w14:textId="77777777" w:rsidR="00096DF7" w:rsidRPr="00972C81" w:rsidRDefault="00096DF7" w:rsidP="000E00A3">
            <w:pPr>
              <w:pStyle w:val="Table"/>
              <w:rPr>
                <w:noProof/>
              </w:rPr>
            </w:pPr>
            <w:r w:rsidRPr="00972C81">
              <w:rPr>
                <w:noProof/>
              </w:rPr>
              <w:t>0.4</w:t>
            </w:r>
          </w:p>
        </w:tc>
        <w:tc>
          <w:tcPr>
            <w:tcW w:w="603" w:type="pct"/>
            <w:gridSpan w:val="3"/>
            <w:tcBorders>
              <w:top w:val="nil"/>
              <w:left w:val="nil"/>
              <w:bottom w:val="nil"/>
              <w:right w:val="nil"/>
            </w:tcBorders>
            <w:hideMark/>
          </w:tcPr>
          <w:p w14:paraId="329A51A4" w14:textId="77777777" w:rsidR="00096DF7" w:rsidRPr="00972C81" w:rsidRDefault="00096DF7" w:rsidP="000E00A3">
            <w:pPr>
              <w:pStyle w:val="Table"/>
              <w:rPr>
                <w:noProof/>
              </w:rPr>
            </w:pPr>
            <w:r w:rsidRPr="00972C81">
              <w:rPr>
                <w:noProof/>
              </w:rPr>
              <w:t>0.005</w:t>
            </w:r>
          </w:p>
        </w:tc>
        <w:tc>
          <w:tcPr>
            <w:tcW w:w="1230" w:type="pct"/>
            <w:gridSpan w:val="2"/>
            <w:tcBorders>
              <w:top w:val="nil"/>
              <w:left w:val="nil"/>
              <w:bottom w:val="nil"/>
              <w:right w:val="nil"/>
            </w:tcBorders>
            <w:hideMark/>
          </w:tcPr>
          <w:p w14:paraId="653AD1E0" w14:textId="211EBFBF" w:rsidR="00096DF7" w:rsidRPr="00972C81" w:rsidRDefault="00096DF7" w:rsidP="000E00A3">
            <w:pPr>
              <w:pStyle w:val="Table"/>
              <w:rPr>
                <w:noProof/>
              </w:rPr>
            </w:pPr>
            <w:r w:rsidRPr="00972C81">
              <w:rPr>
                <w:noProof/>
              </w:rPr>
              <w:t>1</w:t>
            </w:r>
            <w:r w:rsidR="00067025" w:rsidRPr="00972C81">
              <w:rPr>
                <w:noProof/>
              </w:rPr>
              <w:t xml:space="preserve"> × </w:t>
            </w:r>
            <w:r w:rsidRPr="00972C81">
              <w:rPr>
                <w:noProof/>
              </w:rPr>
              <w:t>10</w:t>
            </w:r>
            <w:r w:rsidRPr="00972C81">
              <w:rPr>
                <w:noProof/>
                <w:vertAlign w:val="superscript"/>
              </w:rPr>
              <w:t>–4</w:t>
            </w:r>
          </w:p>
        </w:tc>
      </w:tr>
      <w:tr w:rsidR="00096DF7" w:rsidRPr="00972C81" w14:paraId="4B2D14C4" w14:textId="77777777" w:rsidTr="000E00A3">
        <w:trPr>
          <w:trHeight w:val="340"/>
        </w:trPr>
        <w:tc>
          <w:tcPr>
            <w:tcW w:w="1060" w:type="pct"/>
            <w:tcBorders>
              <w:top w:val="nil"/>
              <w:left w:val="nil"/>
              <w:bottom w:val="single" w:sz="4" w:space="0" w:color="auto"/>
              <w:right w:val="nil"/>
            </w:tcBorders>
            <w:hideMark/>
          </w:tcPr>
          <w:p w14:paraId="35C4E25A" w14:textId="77777777" w:rsidR="00096DF7" w:rsidRPr="00972C81" w:rsidRDefault="00096DF7" w:rsidP="000E00A3">
            <w:pPr>
              <w:pStyle w:val="Table"/>
              <w:rPr>
                <w:noProof/>
              </w:rPr>
            </w:pPr>
            <w:r w:rsidRPr="00972C81">
              <w:rPr>
                <w:noProof/>
              </w:rPr>
              <w:t>S</w:t>
            </w:r>
          </w:p>
        </w:tc>
        <w:tc>
          <w:tcPr>
            <w:tcW w:w="903" w:type="pct"/>
            <w:gridSpan w:val="3"/>
            <w:tcBorders>
              <w:top w:val="nil"/>
              <w:left w:val="nil"/>
              <w:bottom w:val="single" w:sz="4" w:space="0" w:color="auto"/>
              <w:right w:val="nil"/>
            </w:tcBorders>
          </w:tcPr>
          <w:p w14:paraId="5D2C6093" w14:textId="77777777" w:rsidR="00096DF7" w:rsidRPr="00972C81" w:rsidRDefault="006D6AB0" w:rsidP="000E00A3">
            <w:pPr>
              <w:pStyle w:val="Table"/>
              <w:rPr>
                <w:noProof/>
              </w:rPr>
            </w:pPr>
            <w:r w:rsidRPr="00972C81">
              <w:rPr>
                <w:noProof/>
                <w:color w:val="000000" w:themeColor="text1"/>
              </w:rPr>
              <w:t>—</w:t>
            </w:r>
          </w:p>
        </w:tc>
        <w:tc>
          <w:tcPr>
            <w:tcW w:w="602" w:type="pct"/>
            <w:gridSpan w:val="2"/>
            <w:tcBorders>
              <w:top w:val="nil"/>
              <w:left w:val="nil"/>
              <w:bottom w:val="single" w:sz="4" w:space="0" w:color="auto"/>
              <w:right w:val="nil"/>
            </w:tcBorders>
            <w:hideMark/>
          </w:tcPr>
          <w:p w14:paraId="0A81C4FE" w14:textId="77777777" w:rsidR="00096DF7" w:rsidRPr="00972C81" w:rsidRDefault="00096DF7" w:rsidP="000E00A3">
            <w:pPr>
              <w:pStyle w:val="Table"/>
              <w:rPr>
                <w:noProof/>
              </w:rPr>
            </w:pPr>
            <w:r w:rsidRPr="00972C81">
              <w:rPr>
                <w:noProof/>
              </w:rPr>
              <w:t>0.01</w:t>
            </w:r>
          </w:p>
        </w:tc>
        <w:tc>
          <w:tcPr>
            <w:tcW w:w="602" w:type="pct"/>
            <w:gridSpan w:val="3"/>
            <w:tcBorders>
              <w:top w:val="nil"/>
              <w:left w:val="nil"/>
              <w:bottom w:val="single" w:sz="4" w:space="0" w:color="auto"/>
              <w:right w:val="nil"/>
            </w:tcBorders>
            <w:hideMark/>
          </w:tcPr>
          <w:p w14:paraId="2F6EF2BB" w14:textId="77777777" w:rsidR="00096DF7" w:rsidRPr="00972C81" w:rsidRDefault="00096DF7" w:rsidP="000E00A3">
            <w:pPr>
              <w:pStyle w:val="Table"/>
              <w:rPr>
                <w:noProof/>
              </w:rPr>
            </w:pPr>
            <w:r w:rsidRPr="00972C81">
              <w:rPr>
                <w:noProof/>
              </w:rPr>
              <w:t>0.4</w:t>
            </w:r>
          </w:p>
        </w:tc>
        <w:tc>
          <w:tcPr>
            <w:tcW w:w="603" w:type="pct"/>
            <w:gridSpan w:val="3"/>
            <w:tcBorders>
              <w:top w:val="nil"/>
              <w:left w:val="nil"/>
              <w:bottom w:val="single" w:sz="4" w:space="0" w:color="auto"/>
              <w:right w:val="nil"/>
            </w:tcBorders>
            <w:hideMark/>
          </w:tcPr>
          <w:p w14:paraId="4E62BB16" w14:textId="33AED4A9" w:rsidR="00096DF7" w:rsidRPr="00972C81" w:rsidRDefault="00096DF7" w:rsidP="000E00A3">
            <w:pPr>
              <w:pStyle w:val="Table"/>
              <w:rPr>
                <w:noProof/>
              </w:rPr>
            </w:pPr>
            <w:r w:rsidRPr="00972C81">
              <w:rPr>
                <w:noProof/>
              </w:rPr>
              <w:t>1</w:t>
            </w:r>
            <w:r w:rsidR="00067025" w:rsidRPr="00972C81">
              <w:rPr>
                <w:noProof/>
              </w:rPr>
              <w:t xml:space="preserve"> × </w:t>
            </w:r>
            <w:r w:rsidRPr="00972C81">
              <w:rPr>
                <w:noProof/>
              </w:rPr>
              <w:t>10</w:t>
            </w:r>
            <w:r w:rsidRPr="00972C81">
              <w:rPr>
                <w:noProof/>
                <w:vertAlign w:val="superscript"/>
              </w:rPr>
              <w:t>–4</w:t>
            </w:r>
          </w:p>
        </w:tc>
        <w:tc>
          <w:tcPr>
            <w:tcW w:w="1230" w:type="pct"/>
            <w:gridSpan w:val="2"/>
            <w:tcBorders>
              <w:top w:val="nil"/>
              <w:left w:val="nil"/>
              <w:bottom w:val="single" w:sz="4" w:space="0" w:color="auto"/>
              <w:right w:val="nil"/>
            </w:tcBorders>
            <w:hideMark/>
          </w:tcPr>
          <w:p w14:paraId="3CB01BF3" w14:textId="55211BCE" w:rsidR="00096DF7" w:rsidRPr="00972C81" w:rsidRDefault="00096DF7" w:rsidP="000E00A3">
            <w:pPr>
              <w:pStyle w:val="Table"/>
              <w:rPr>
                <w:noProof/>
              </w:rPr>
            </w:pPr>
            <w:r w:rsidRPr="00972C81">
              <w:rPr>
                <w:noProof/>
              </w:rPr>
              <w:t>5</w:t>
            </w:r>
            <w:r w:rsidR="00067025" w:rsidRPr="00972C81">
              <w:rPr>
                <w:noProof/>
              </w:rPr>
              <w:t xml:space="preserve"> × </w:t>
            </w:r>
            <w:r w:rsidRPr="00972C81">
              <w:rPr>
                <w:noProof/>
              </w:rPr>
              <w:t>10</w:t>
            </w:r>
            <w:r w:rsidRPr="00972C81">
              <w:rPr>
                <w:noProof/>
                <w:vertAlign w:val="superscript"/>
              </w:rPr>
              <w:t>–6</w:t>
            </w:r>
          </w:p>
        </w:tc>
      </w:tr>
      <w:tr w:rsidR="00096DF7" w:rsidRPr="00972C81" w14:paraId="69B07D4C" w14:textId="77777777" w:rsidTr="000E00A3">
        <w:trPr>
          <w:trHeight w:val="340"/>
        </w:trPr>
        <w:tc>
          <w:tcPr>
            <w:tcW w:w="1963" w:type="pct"/>
            <w:gridSpan w:val="4"/>
            <w:tcBorders>
              <w:top w:val="single" w:sz="4" w:space="0" w:color="auto"/>
              <w:left w:val="nil"/>
              <w:bottom w:val="nil"/>
              <w:right w:val="nil"/>
            </w:tcBorders>
          </w:tcPr>
          <w:p w14:paraId="1B8274BA" w14:textId="77777777" w:rsidR="00096DF7" w:rsidRPr="00972C81" w:rsidRDefault="00096DF7" w:rsidP="002A7362">
            <w:pPr>
              <w:pStyle w:val="Table"/>
              <w:rPr>
                <w:noProof/>
              </w:rPr>
            </w:pPr>
          </w:p>
        </w:tc>
        <w:tc>
          <w:tcPr>
            <w:tcW w:w="751" w:type="pct"/>
            <w:gridSpan w:val="3"/>
            <w:tcBorders>
              <w:top w:val="single" w:sz="4" w:space="0" w:color="auto"/>
              <w:left w:val="nil"/>
              <w:bottom w:val="nil"/>
              <w:right w:val="nil"/>
            </w:tcBorders>
          </w:tcPr>
          <w:p w14:paraId="76C4CF05" w14:textId="77777777" w:rsidR="00096DF7" w:rsidRPr="00972C81" w:rsidRDefault="00096DF7" w:rsidP="002A7362">
            <w:pPr>
              <w:pStyle w:val="Table"/>
              <w:rPr>
                <w:noProof/>
              </w:rPr>
            </w:pPr>
          </w:p>
        </w:tc>
        <w:tc>
          <w:tcPr>
            <w:tcW w:w="593" w:type="pct"/>
            <w:gridSpan w:val="3"/>
            <w:tcBorders>
              <w:top w:val="single" w:sz="4" w:space="0" w:color="auto"/>
              <w:left w:val="nil"/>
              <w:bottom w:val="nil"/>
              <w:right w:val="nil"/>
            </w:tcBorders>
          </w:tcPr>
          <w:p w14:paraId="7746EFA5" w14:textId="77777777" w:rsidR="00096DF7" w:rsidRPr="00972C81" w:rsidRDefault="00096DF7" w:rsidP="002A7362">
            <w:pPr>
              <w:pStyle w:val="Table"/>
              <w:rPr>
                <w:noProof/>
              </w:rPr>
            </w:pPr>
          </w:p>
        </w:tc>
        <w:tc>
          <w:tcPr>
            <w:tcW w:w="463" w:type="pct"/>
            <w:gridSpan w:val="2"/>
            <w:tcBorders>
              <w:top w:val="single" w:sz="4" w:space="0" w:color="auto"/>
              <w:left w:val="nil"/>
              <w:bottom w:val="nil"/>
              <w:right w:val="nil"/>
            </w:tcBorders>
          </w:tcPr>
          <w:p w14:paraId="77647E74" w14:textId="77777777" w:rsidR="00096DF7" w:rsidRPr="00972C81" w:rsidRDefault="00096DF7" w:rsidP="002A7362">
            <w:pPr>
              <w:pStyle w:val="Table"/>
              <w:rPr>
                <w:noProof/>
              </w:rPr>
            </w:pPr>
          </w:p>
        </w:tc>
        <w:tc>
          <w:tcPr>
            <w:tcW w:w="1230" w:type="pct"/>
            <w:gridSpan w:val="2"/>
            <w:tcBorders>
              <w:top w:val="single" w:sz="4" w:space="0" w:color="auto"/>
              <w:left w:val="nil"/>
              <w:bottom w:val="nil"/>
              <w:right w:val="nil"/>
            </w:tcBorders>
          </w:tcPr>
          <w:p w14:paraId="65542F89" w14:textId="77777777" w:rsidR="00096DF7" w:rsidRPr="00972C81" w:rsidRDefault="00096DF7" w:rsidP="002A7362">
            <w:pPr>
              <w:pStyle w:val="Table"/>
              <w:rPr>
                <w:noProof/>
              </w:rPr>
            </w:pPr>
          </w:p>
        </w:tc>
      </w:tr>
      <w:tr w:rsidR="00096DF7" w:rsidRPr="00972C81" w14:paraId="07403D67" w14:textId="77777777" w:rsidTr="000E00A3">
        <w:trPr>
          <w:trHeight w:val="340"/>
        </w:trPr>
        <w:tc>
          <w:tcPr>
            <w:tcW w:w="1963" w:type="pct"/>
            <w:gridSpan w:val="4"/>
            <w:tcBorders>
              <w:top w:val="nil"/>
              <w:left w:val="nil"/>
              <w:bottom w:val="single" w:sz="4" w:space="0" w:color="auto"/>
              <w:right w:val="nil"/>
            </w:tcBorders>
            <w:hideMark/>
          </w:tcPr>
          <w:p w14:paraId="32C3C758" w14:textId="63573440" w:rsidR="00096DF7" w:rsidRPr="00972C81" w:rsidRDefault="00096DF7" w:rsidP="002A7362">
            <w:pPr>
              <w:pStyle w:val="Table"/>
              <w:rPr>
                <w:noProof/>
              </w:rPr>
            </w:pPr>
            <w:r w:rsidRPr="00972C81">
              <w:rPr>
                <w:noProof/>
              </w:rPr>
              <w:t>Ingested material</w:t>
            </w:r>
            <w:r w:rsidR="00067E2E" w:rsidRPr="00972C81">
              <w:rPr>
                <w:noProof/>
                <w:vertAlign w:val="superscript"/>
              </w:rPr>
              <w:t>¶</w:t>
            </w:r>
          </w:p>
        </w:tc>
        <w:tc>
          <w:tcPr>
            <w:tcW w:w="751" w:type="pct"/>
            <w:gridSpan w:val="3"/>
            <w:tcBorders>
              <w:top w:val="nil"/>
              <w:left w:val="nil"/>
              <w:bottom w:val="single" w:sz="4" w:space="0" w:color="auto"/>
              <w:right w:val="nil"/>
            </w:tcBorders>
          </w:tcPr>
          <w:p w14:paraId="1BC342AD" w14:textId="77777777" w:rsidR="00096DF7" w:rsidRPr="00972C81" w:rsidRDefault="00096DF7" w:rsidP="002A7362">
            <w:pPr>
              <w:pStyle w:val="Table"/>
              <w:rPr>
                <w:noProof/>
              </w:rPr>
            </w:pPr>
          </w:p>
        </w:tc>
        <w:tc>
          <w:tcPr>
            <w:tcW w:w="593" w:type="pct"/>
            <w:gridSpan w:val="3"/>
            <w:tcBorders>
              <w:top w:val="nil"/>
              <w:left w:val="nil"/>
              <w:bottom w:val="single" w:sz="4" w:space="0" w:color="auto"/>
              <w:right w:val="nil"/>
            </w:tcBorders>
          </w:tcPr>
          <w:p w14:paraId="2CE1BA2B" w14:textId="77777777" w:rsidR="00096DF7" w:rsidRPr="00972C81" w:rsidRDefault="00096DF7" w:rsidP="002A7362">
            <w:pPr>
              <w:pStyle w:val="Table"/>
              <w:rPr>
                <w:noProof/>
              </w:rPr>
            </w:pPr>
          </w:p>
        </w:tc>
        <w:tc>
          <w:tcPr>
            <w:tcW w:w="463" w:type="pct"/>
            <w:gridSpan w:val="2"/>
            <w:tcBorders>
              <w:top w:val="nil"/>
              <w:left w:val="nil"/>
              <w:bottom w:val="single" w:sz="4" w:space="0" w:color="auto"/>
              <w:right w:val="nil"/>
            </w:tcBorders>
          </w:tcPr>
          <w:p w14:paraId="6AAFDCDC" w14:textId="77777777" w:rsidR="00096DF7" w:rsidRPr="00972C81" w:rsidRDefault="00096DF7" w:rsidP="002A7362">
            <w:pPr>
              <w:pStyle w:val="Table"/>
              <w:rPr>
                <w:noProof/>
              </w:rPr>
            </w:pPr>
          </w:p>
        </w:tc>
        <w:tc>
          <w:tcPr>
            <w:tcW w:w="1230" w:type="pct"/>
            <w:gridSpan w:val="2"/>
            <w:tcBorders>
              <w:top w:val="nil"/>
              <w:left w:val="nil"/>
              <w:bottom w:val="single" w:sz="4" w:space="0" w:color="auto"/>
              <w:right w:val="nil"/>
            </w:tcBorders>
          </w:tcPr>
          <w:p w14:paraId="77B8CA92" w14:textId="77777777" w:rsidR="00096DF7" w:rsidRPr="00972C81" w:rsidRDefault="00096DF7" w:rsidP="002A7362">
            <w:pPr>
              <w:pStyle w:val="Table"/>
              <w:rPr>
                <w:noProof/>
              </w:rPr>
            </w:pPr>
          </w:p>
        </w:tc>
      </w:tr>
      <w:tr w:rsidR="000E00A3" w:rsidRPr="00972C81" w14:paraId="370B6FE7" w14:textId="77777777" w:rsidTr="000E00A3">
        <w:trPr>
          <w:trHeight w:val="340"/>
        </w:trPr>
        <w:tc>
          <w:tcPr>
            <w:tcW w:w="1096" w:type="pct"/>
            <w:gridSpan w:val="2"/>
            <w:vMerge w:val="restart"/>
            <w:tcBorders>
              <w:top w:val="single" w:sz="4" w:space="0" w:color="auto"/>
              <w:left w:val="nil"/>
              <w:bottom w:val="nil"/>
              <w:right w:val="nil"/>
            </w:tcBorders>
            <w:vAlign w:val="center"/>
            <w:hideMark/>
          </w:tcPr>
          <w:p w14:paraId="46803D5C" w14:textId="3B4E08D8" w:rsidR="000E00A3" w:rsidRPr="00972C81" w:rsidRDefault="000E00A3" w:rsidP="000E00A3">
            <w:pPr>
              <w:pStyle w:val="Table"/>
              <w:rPr>
                <w:noProof/>
              </w:rPr>
            </w:pPr>
            <w:r w:rsidRPr="00972C81">
              <w:rPr>
                <w:noProof/>
              </w:rPr>
              <w:t>Assigned forms</w:t>
            </w:r>
          </w:p>
        </w:tc>
        <w:tc>
          <w:tcPr>
            <w:tcW w:w="3904" w:type="pct"/>
            <w:gridSpan w:val="12"/>
            <w:tcBorders>
              <w:top w:val="single" w:sz="4" w:space="0" w:color="auto"/>
              <w:left w:val="nil"/>
              <w:bottom w:val="single" w:sz="4" w:space="0" w:color="auto"/>
              <w:right w:val="nil"/>
            </w:tcBorders>
            <w:vAlign w:val="center"/>
          </w:tcPr>
          <w:p w14:paraId="2ED83239" w14:textId="23ED42F5" w:rsidR="000E00A3" w:rsidRPr="00972C81" w:rsidRDefault="000E00A3" w:rsidP="000E00A3">
            <w:pPr>
              <w:pStyle w:val="Table"/>
              <w:jc w:val="center"/>
              <w:rPr>
                <w:noProof/>
              </w:rPr>
            </w:pPr>
            <w:r w:rsidRPr="00972C81">
              <w:rPr>
                <w:noProof/>
              </w:rPr>
              <w:t xml:space="preserve">Age-dependent absorption from the alimentary tract, </w:t>
            </w:r>
            <w:r w:rsidRPr="00972C81">
              <w:rPr>
                <w:i/>
                <w:noProof/>
              </w:rPr>
              <w:t>f</w:t>
            </w:r>
            <w:r w:rsidRPr="00972C81">
              <w:rPr>
                <w:noProof/>
                <w:vertAlign w:val="subscript"/>
              </w:rPr>
              <w:t>A</w:t>
            </w:r>
          </w:p>
        </w:tc>
      </w:tr>
      <w:tr w:rsidR="000E00A3" w:rsidRPr="00972C81" w14:paraId="4F15EE71" w14:textId="77777777" w:rsidTr="000E00A3">
        <w:trPr>
          <w:trHeight w:val="340"/>
        </w:trPr>
        <w:tc>
          <w:tcPr>
            <w:tcW w:w="1096" w:type="pct"/>
            <w:gridSpan w:val="2"/>
            <w:vMerge/>
            <w:tcBorders>
              <w:top w:val="single" w:sz="4" w:space="0" w:color="auto"/>
              <w:left w:val="nil"/>
              <w:bottom w:val="single" w:sz="4" w:space="0" w:color="auto"/>
              <w:right w:val="nil"/>
            </w:tcBorders>
          </w:tcPr>
          <w:p w14:paraId="05A0B41C" w14:textId="77777777" w:rsidR="000E00A3" w:rsidRPr="00972C81" w:rsidRDefault="000E00A3" w:rsidP="002A7362">
            <w:pPr>
              <w:pStyle w:val="Table"/>
              <w:rPr>
                <w:noProof/>
              </w:rPr>
            </w:pPr>
          </w:p>
        </w:tc>
        <w:tc>
          <w:tcPr>
            <w:tcW w:w="650" w:type="pct"/>
            <w:tcBorders>
              <w:top w:val="single" w:sz="4" w:space="0" w:color="auto"/>
              <w:left w:val="nil"/>
              <w:bottom w:val="single" w:sz="4" w:space="0" w:color="auto"/>
              <w:right w:val="nil"/>
            </w:tcBorders>
            <w:vAlign w:val="center"/>
          </w:tcPr>
          <w:p w14:paraId="32628A4B" w14:textId="76BCA4D3" w:rsidR="000E00A3" w:rsidRPr="00972C81" w:rsidDel="006D634E" w:rsidRDefault="000E00A3" w:rsidP="000E00A3">
            <w:pPr>
              <w:pStyle w:val="Table"/>
              <w:rPr>
                <w:noProof/>
              </w:rPr>
            </w:pPr>
            <w:r w:rsidRPr="00972C81">
              <w:rPr>
                <w:noProof/>
              </w:rPr>
              <w:t>3 mo</w:t>
            </w:r>
          </w:p>
        </w:tc>
        <w:tc>
          <w:tcPr>
            <w:tcW w:w="650" w:type="pct"/>
            <w:gridSpan w:val="2"/>
            <w:tcBorders>
              <w:top w:val="single" w:sz="4" w:space="0" w:color="auto"/>
              <w:left w:val="nil"/>
              <w:bottom w:val="single" w:sz="4" w:space="0" w:color="auto"/>
              <w:right w:val="nil"/>
            </w:tcBorders>
            <w:vAlign w:val="center"/>
          </w:tcPr>
          <w:p w14:paraId="09602323" w14:textId="401AF0E3" w:rsidR="000E00A3" w:rsidRPr="00972C81" w:rsidDel="006D634E" w:rsidRDefault="000E00A3" w:rsidP="000E00A3">
            <w:pPr>
              <w:pStyle w:val="Table"/>
              <w:rPr>
                <w:noProof/>
              </w:rPr>
            </w:pPr>
            <w:r w:rsidRPr="00972C81">
              <w:rPr>
                <w:noProof/>
              </w:rPr>
              <w:t>1 y</w:t>
            </w:r>
          </w:p>
        </w:tc>
        <w:tc>
          <w:tcPr>
            <w:tcW w:w="650" w:type="pct"/>
            <w:gridSpan w:val="3"/>
            <w:tcBorders>
              <w:top w:val="single" w:sz="4" w:space="0" w:color="auto"/>
              <w:left w:val="nil"/>
              <w:bottom w:val="single" w:sz="4" w:space="0" w:color="auto"/>
              <w:right w:val="nil"/>
            </w:tcBorders>
            <w:vAlign w:val="center"/>
          </w:tcPr>
          <w:p w14:paraId="4830988E" w14:textId="1E3B1BAE" w:rsidR="000E00A3" w:rsidRPr="00972C81" w:rsidDel="006D634E" w:rsidRDefault="000E00A3" w:rsidP="000E00A3">
            <w:pPr>
              <w:pStyle w:val="Table"/>
              <w:rPr>
                <w:noProof/>
              </w:rPr>
            </w:pPr>
            <w:r w:rsidRPr="00972C81">
              <w:rPr>
                <w:noProof/>
              </w:rPr>
              <w:t xml:space="preserve"> 5 y</w:t>
            </w:r>
          </w:p>
        </w:tc>
        <w:tc>
          <w:tcPr>
            <w:tcW w:w="650" w:type="pct"/>
            <w:gridSpan w:val="3"/>
            <w:tcBorders>
              <w:top w:val="single" w:sz="4" w:space="0" w:color="auto"/>
              <w:left w:val="nil"/>
              <w:bottom w:val="single" w:sz="4" w:space="0" w:color="auto"/>
              <w:right w:val="nil"/>
            </w:tcBorders>
            <w:vAlign w:val="center"/>
          </w:tcPr>
          <w:p w14:paraId="0B596B30" w14:textId="5012846D" w:rsidR="000E00A3" w:rsidRPr="00972C81" w:rsidDel="006D634E" w:rsidRDefault="000E00A3" w:rsidP="000E00A3">
            <w:pPr>
              <w:pStyle w:val="Table"/>
              <w:rPr>
                <w:noProof/>
              </w:rPr>
            </w:pPr>
            <w:r w:rsidRPr="00972C81">
              <w:rPr>
                <w:noProof/>
              </w:rPr>
              <w:t>10 y</w:t>
            </w:r>
          </w:p>
        </w:tc>
        <w:tc>
          <w:tcPr>
            <w:tcW w:w="650" w:type="pct"/>
            <w:gridSpan w:val="2"/>
            <w:tcBorders>
              <w:top w:val="single" w:sz="4" w:space="0" w:color="auto"/>
              <w:left w:val="nil"/>
              <w:bottom w:val="single" w:sz="4" w:space="0" w:color="auto"/>
              <w:right w:val="nil"/>
            </w:tcBorders>
            <w:vAlign w:val="center"/>
          </w:tcPr>
          <w:p w14:paraId="0071BDA0" w14:textId="64FB15D1" w:rsidR="000E00A3" w:rsidRPr="00972C81" w:rsidDel="006D634E" w:rsidRDefault="000E00A3" w:rsidP="000E00A3">
            <w:pPr>
              <w:pStyle w:val="Table"/>
              <w:rPr>
                <w:noProof/>
              </w:rPr>
            </w:pPr>
            <w:r w:rsidRPr="00972C81">
              <w:rPr>
                <w:noProof/>
              </w:rPr>
              <w:t>15 y</w:t>
            </w:r>
          </w:p>
        </w:tc>
        <w:tc>
          <w:tcPr>
            <w:tcW w:w="654" w:type="pct"/>
            <w:tcBorders>
              <w:top w:val="single" w:sz="4" w:space="0" w:color="auto"/>
              <w:left w:val="nil"/>
              <w:bottom w:val="single" w:sz="4" w:space="0" w:color="auto"/>
              <w:right w:val="nil"/>
            </w:tcBorders>
            <w:vAlign w:val="center"/>
          </w:tcPr>
          <w:p w14:paraId="012A4E99" w14:textId="5D05BC73" w:rsidR="000E00A3" w:rsidRPr="00972C81" w:rsidDel="006D634E" w:rsidRDefault="000E00A3" w:rsidP="000E00A3">
            <w:pPr>
              <w:pStyle w:val="Table"/>
              <w:rPr>
                <w:noProof/>
              </w:rPr>
            </w:pPr>
            <w:r w:rsidRPr="00972C81">
              <w:rPr>
                <w:noProof/>
              </w:rPr>
              <w:t>adult</w:t>
            </w:r>
          </w:p>
        </w:tc>
      </w:tr>
      <w:tr w:rsidR="006D634E" w:rsidRPr="00972C81" w14:paraId="0B47AA5A" w14:textId="77777777" w:rsidTr="000E00A3">
        <w:trPr>
          <w:trHeight w:val="340"/>
        </w:trPr>
        <w:tc>
          <w:tcPr>
            <w:tcW w:w="1096" w:type="pct"/>
            <w:gridSpan w:val="2"/>
            <w:tcBorders>
              <w:top w:val="single" w:sz="4" w:space="0" w:color="auto"/>
              <w:left w:val="nil"/>
              <w:bottom w:val="single" w:sz="4" w:space="0" w:color="auto"/>
              <w:right w:val="nil"/>
            </w:tcBorders>
            <w:vAlign w:val="center"/>
          </w:tcPr>
          <w:p w14:paraId="5D33F405" w14:textId="627FA381" w:rsidR="006D634E" w:rsidRPr="00972C81" w:rsidRDefault="006D634E" w:rsidP="000E00A3">
            <w:pPr>
              <w:pStyle w:val="Table"/>
              <w:rPr>
                <w:noProof/>
              </w:rPr>
            </w:pPr>
            <w:r w:rsidRPr="00972C81">
              <w:rPr>
                <w:noProof/>
              </w:rPr>
              <w:t>all forms</w:t>
            </w:r>
          </w:p>
        </w:tc>
        <w:tc>
          <w:tcPr>
            <w:tcW w:w="650" w:type="pct"/>
            <w:tcBorders>
              <w:top w:val="single" w:sz="4" w:space="0" w:color="auto"/>
              <w:left w:val="nil"/>
              <w:bottom w:val="single" w:sz="4" w:space="0" w:color="auto"/>
              <w:right w:val="nil"/>
            </w:tcBorders>
            <w:vAlign w:val="center"/>
          </w:tcPr>
          <w:p w14:paraId="3AEDCB26" w14:textId="237C77DC" w:rsidR="006D634E" w:rsidRPr="00972C81" w:rsidDel="006D634E" w:rsidRDefault="006D634E" w:rsidP="000E00A3">
            <w:pPr>
              <w:pStyle w:val="Table"/>
              <w:rPr>
                <w:noProof/>
              </w:rPr>
            </w:pPr>
            <w:r w:rsidRPr="00972C81">
              <w:rPr>
                <w:noProof/>
                <w:color w:val="000000"/>
              </w:rPr>
              <w:t>5</w:t>
            </w:r>
            <w:r w:rsidR="00067025" w:rsidRPr="00972C81">
              <w:rPr>
                <w:noProof/>
                <w:color w:val="000000"/>
              </w:rPr>
              <w:t xml:space="preserve"> </w:t>
            </w:r>
            <w:r w:rsidR="00067025" w:rsidRPr="00972C81">
              <w:rPr>
                <w:noProof/>
                <w:color w:val="000000"/>
                <w:lang w:eastAsia="fr-FR"/>
              </w:rPr>
              <w:t>×</w:t>
            </w:r>
            <w:r w:rsidR="00067025" w:rsidRPr="00972C81">
              <w:rPr>
                <w:noProof/>
                <w:color w:val="000000"/>
              </w:rPr>
              <w:t xml:space="preserve"> </w:t>
            </w:r>
            <w:r w:rsidRPr="00972C81">
              <w:rPr>
                <w:noProof/>
                <w:color w:val="000000"/>
              </w:rPr>
              <w:t>10</w:t>
            </w:r>
            <w:r w:rsidRPr="00972C81">
              <w:rPr>
                <w:noProof/>
                <w:color w:val="000000"/>
                <w:vertAlign w:val="superscript"/>
              </w:rPr>
              <w:t>-3</w:t>
            </w:r>
          </w:p>
        </w:tc>
        <w:tc>
          <w:tcPr>
            <w:tcW w:w="650" w:type="pct"/>
            <w:gridSpan w:val="2"/>
            <w:tcBorders>
              <w:top w:val="single" w:sz="4" w:space="0" w:color="auto"/>
              <w:left w:val="nil"/>
              <w:bottom w:val="single" w:sz="4" w:space="0" w:color="auto"/>
              <w:right w:val="nil"/>
            </w:tcBorders>
            <w:vAlign w:val="center"/>
          </w:tcPr>
          <w:p w14:paraId="4F974B05" w14:textId="790EE904" w:rsidR="006D634E" w:rsidRPr="00972C81" w:rsidDel="006D634E" w:rsidRDefault="006D634E" w:rsidP="000E00A3">
            <w:pPr>
              <w:pStyle w:val="Table"/>
              <w:rPr>
                <w:noProof/>
              </w:rPr>
            </w:pPr>
            <w:r w:rsidRPr="00972C81">
              <w:rPr>
                <w:noProof/>
                <w:color w:val="000000"/>
              </w:rPr>
              <w:t>5</w:t>
            </w:r>
            <w:r w:rsidR="00067025" w:rsidRPr="00972C81">
              <w:rPr>
                <w:noProof/>
                <w:color w:val="000000"/>
              </w:rPr>
              <w:t xml:space="preserve"> </w:t>
            </w:r>
            <w:r w:rsidR="00067025" w:rsidRPr="00972C81">
              <w:rPr>
                <w:noProof/>
                <w:color w:val="000000"/>
                <w:lang w:eastAsia="fr-FR"/>
              </w:rPr>
              <w:t>×</w:t>
            </w:r>
            <w:r w:rsidR="00067025" w:rsidRPr="00972C81">
              <w:rPr>
                <w:noProof/>
                <w:color w:val="000000"/>
              </w:rPr>
              <w:t xml:space="preserve"> </w:t>
            </w:r>
            <w:r w:rsidRPr="00972C81">
              <w:rPr>
                <w:noProof/>
                <w:color w:val="000000"/>
              </w:rPr>
              <w:t>10</w:t>
            </w:r>
            <w:r w:rsidRPr="00972C81">
              <w:rPr>
                <w:noProof/>
                <w:color w:val="000000"/>
                <w:vertAlign w:val="superscript"/>
              </w:rPr>
              <w:t>-4</w:t>
            </w:r>
          </w:p>
        </w:tc>
        <w:tc>
          <w:tcPr>
            <w:tcW w:w="650" w:type="pct"/>
            <w:gridSpan w:val="3"/>
            <w:tcBorders>
              <w:top w:val="single" w:sz="4" w:space="0" w:color="auto"/>
              <w:left w:val="nil"/>
              <w:bottom w:val="single" w:sz="4" w:space="0" w:color="auto"/>
              <w:right w:val="nil"/>
            </w:tcBorders>
            <w:vAlign w:val="center"/>
          </w:tcPr>
          <w:p w14:paraId="7A25CCF7" w14:textId="4C0E4433" w:rsidR="006D634E" w:rsidRPr="00972C81" w:rsidDel="006D634E" w:rsidRDefault="006D634E" w:rsidP="000E00A3">
            <w:pPr>
              <w:pStyle w:val="Table"/>
              <w:rPr>
                <w:noProof/>
              </w:rPr>
            </w:pPr>
            <w:r w:rsidRPr="00972C81">
              <w:rPr>
                <w:noProof/>
                <w:color w:val="000000"/>
              </w:rPr>
              <w:t>5</w:t>
            </w:r>
            <w:r w:rsidR="00067025" w:rsidRPr="00972C81">
              <w:rPr>
                <w:noProof/>
                <w:color w:val="000000"/>
              </w:rPr>
              <w:t xml:space="preserve"> </w:t>
            </w:r>
            <w:r w:rsidR="00067025" w:rsidRPr="00972C81">
              <w:rPr>
                <w:noProof/>
                <w:color w:val="000000"/>
                <w:lang w:eastAsia="fr-FR"/>
              </w:rPr>
              <w:t>×</w:t>
            </w:r>
            <w:r w:rsidR="00067025" w:rsidRPr="00972C81">
              <w:rPr>
                <w:noProof/>
                <w:color w:val="000000"/>
              </w:rPr>
              <w:t xml:space="preserve"> </w:t>
            </w:r>
            <w:r w:rsidRPr="00972C81">
              <w:rPr>
                <w:noProof/>
                <w:color w:val="000000"/>
              </w:rPr>
              <w:t>10</w:t>
            </w:r>
            <w:r w:rsidRPr="00972C81">
              <w:rPr>
                <w:noProof/>
                <w:color w:val="000000"/>
                <w:vertAlign w:val="superscript"/>
              </w:rPr>
              <w:t>-4</w:t>
            </w:r>
          </w:p>
        </w:tc>
        <w:tc>
          <w:tcPr>
            <w:tcW w:w="650" w:type="pct"/>
            <w:gridSpan w:val="3"/>
            <w:tcBorders>
              <w:top w:val="single" w:sz="4" w:space="0" w:color="auto"/>
              <w:left w:val="nil"/>
              <w:bottom w:val="single" w:sz="4" w:space="0" w:color="auto"/>
              <w:right w:val="nil"/>
            </w:tcBorders>
            <w:vAlign w:val="center"/>
          </w:tcPr>
          <w:p w14:paraId="17350AE1" w14:textId="5A5B3B35" w:rsidR="006D634E" w:rsidRPr="00972C81" w:rsidDel="006D634E" w:rsidRDefault="006D634E" w:rsidP="000E00A3">
            <w:pPr>
              <w:pStyle w:val="Table"/>
              <w:rPr>
                <w:noProof/>
              </w:rPr>
            </w:pPr>
            <w:r w:rsidRPr="00972C81">
              <w:rPr>
                <w:noProof/>
                <w:color w:val="000000"/>
              </w:rPr>
              <w:t>5</w:t>
            </w:r>
            <w:r w:rsidR="00067025" w:rsidRPr="00972C81">
              <w:rPr>
                <w:noProof/>
                <w:color w:val="000000"/>
              </w:rPr>
              <w:t xml:space="preserve"> </w:t>
            </w:r>
            <w:r w:rsidR="00067025" w:rsidRPr="00972C81">
              <w:rPr>
                <w:noProof/>
                <w:color w:val="000000"/>
                <w:lang w:eastAsia="fr-FR"/>
              </w:rPr>
              <w:t>×</w:t>
            </w:r>
            <w:r w:rsidR="00067025" w:rsidRPr="00972C81">
              <w:rPr>
                <w:noProof/>
                <w:color w:val="000000"/>
              </w:rPr>
              <w:t xml:space="preserve"> </w:t>
            </w:r>
            <w:r w:rsidRPr="00972C81">
              <w:rPr>
                <w:noProof/>
                <w:color w:val="000000"/>
              </w:rPr>
              <w:t>10</w:t>
            </w:r>
            <w:r w:rsidRPr="00972C81">
              <w:rPr>
                <w:noProof/>
                <w:color w:val="000000"/>
                <w:vertAlign w:val="superscript"/>
              </w:rPr>
              <w:t>-4</w:t>
            </w:r>
          </w:p>
        </w:tc>
        <w:tc>
          <w:tcPr>
            <w:tcW w:w="650" w:type="pct"/>
            <w:gridSpan w:val="2"/>
            <w:tcBorders>
              <w:top w:val="single" w:sz="4" w:space="0" w:color="auto"/>
              <w:left w:val="nil"/>
              <w:bottom w:val="single" w:sz="4" w:space="0" w:color="auto"/>
              <w:right w:val="nil"/>
            </w:tcBorders>
            <w:vAlign w:val="center"/>
          </w:tcPr>
          <w:p w14:paraId="68EF29D6" w14:textId="78FB428F" w:rsidR="006D634E" w:rsidRPr="00972C81" w:rsidDel="006D634E" w:rsidRDefault="006D634E" w:rsidP="000E00A3">
            <w:pPr>
              <w:pStyle w:val="Table"/>
              <w:rPr>
                <w:noProof/>
              </w:rPr>
            </w:pPr>
            <w:r w:rsidRPr="00972C81">
              <w:rPr>
                <w:noProof/>
                <w:color w:val="000000"/>
              </w:rPr>
              <w:t>5</w:t>
            </w:r>
            <w:r w:rsidR="00067025" w:rsidRPr="00972C81">
              <w:rPr>
                <w:noProof/>
                <w:color w:val="000000"/>
              </w:rPr>
              <w:t xml:space="preserve"> </w:t>
            </w:r>
            <w:r w:rsidR="00067025" w:rsidRPr="00972C81">
              <w:rPr>
                <w:noProof/>
                <w:color w:val="000000"/>
                <w:lang w:eastAsia="fr-FR"/>
              </w:rPr>
              <w:t>×</w:t>
            </w:r>
            <w:r w:rsidR="00067025" w:rsidRPr="00972C81">
              <w:rPr>
                <w:noProof/>
                <w:color w:val="000000"/>
              </w:rPr>
              <w:t xml:space="preserve"> </w:t>
            </w:r>
            <w:r w:rsidRPr="00972C81">
              <w:rPr>
                <w:noProof/>
                <w:color w:val="000000"/>
              </w:rPr>
              <w:t>10</w:t>
            </w:r>
            <w:r w:rsidRPr="00972C81">
              <w:rPr>
                <w:noProof/>
                <w:color w:val="000000"/>
                <w:vertAlign w:val="superscript"/>
              </w:rPr>
              <w:t>-4</w:t>
            </w:r>
          </w:p>
        </w:tc>
        <w:tc>
          <w:tcPr>
            <w:tcW w:w="654" w:type="pct"/>
            <w:tcBorders>
              <w:top w:val="single" w:sz="4" w:space="0" w:color="auto"/>
              <w:left w:val="nil"/>
              <w:bottom w:val="single" w:sz="4" w:space="0" w:color="auto"/>
              <w:right w:val="nil"/>
            </w:tcBorders>
            <w:vAlign w:val="center"/>
          </w:tcPr>
          <w:p w14:paraId="2D254EAA" w14:textId="5A354DC7" w:rsidR="006D634E" w:rsidRPr="00972C81" w:rsidDel="006D634E" w:rsidRDefault="006D634E" w:rsidP="000E00A3">
            <w:pPr>
              <w:pStyle w:val="Table"/>
              <w:rPr>
                <w:noProof/>
              </w:rPr>
            </w:pPr>
            <w:r w:rsidRPr="00972C81">
              <w:rPr>
                <w:noProof/>
                <w:color w:val="000000"/>
              </w:rPr>
              <w:t>5</w:t>
            </w:r>
            <w:r w:rsidR="00067025" w:rsidRPr="00972C81">
              <w:rPr>
                <w:noProof/>
                <w:color w:val="000000"/>
              </w:rPr>
              <w:t xml:space="preserve"> </w:t>
            </w:r>
            <w:r w:rsidR="00067025" w:rsidRPr="00972C81">
              <w:rPr>
                <w:noProof/>
                <w:color w:val="000000"/>
                <w:lang w:eastAsia="fr-FR"/>
              </w:rPr>
              <w:t>×</w:t>
            </w:r>
            <w:r w:rsidR="00067025" w:rsidRPr="00972C81">
              <w:rPr>
                <w:noProof/>
                <w:color w:val="000000"/>
              </w:rPr>
              <w:t xml:space="preserve"> </w:t>
            </w:r>
            <w:r w:rsidRPr="00972C81">
              <w:rPr>
                <w:noProof/>
                <w:color w:val="000000"/>
              </w:rPr>
              <w:t>10</w:t>
            </w:r>
            <w:r w:rsidRPr="00972C81">
              <w:rPr>
                <w:noProof/>
                <w:color w:val="000000"/>
                <w:vertAlign w:val="superscript"/>
              </w:rPr>
              <w:t>-4</w:t>
            </w:r>
          </w:p>
        </w:tc>
      </w:tr>
    </w:tbl>
    <w:p w14:paraId="4CD0B76D" w14:textId="49F59F70" w:rsidR="00096DF7" w:rsidRPr="00C47F2F" w:rsidRDefault="00067E2E" w:rsidP="00E81109">
      <w:pPr>
        <w:pStyle w:val="Note"/>
        <w:rPr>
          <w:noProof/>
          <w:sz w:val="20"/>
          <w:szCs w:val="20"/>
        </w:rPr>
      </w:pPr>
      <w:r w:rsidRPr="00C47F2F">
        <w:rPr>
          <w:noProof/>
          <w:sz w:val="20"/>
          <w:szCs w:val="20"/>
          <w:vertAlign w:val="superscript"/>
        </w:rPr>
        <w:t>*</w:t>
      </w:r>
      <w:r w:rsidR="00096DF7" w:rsidRPr="00C47F2F">
        <w:rPr>
          <w:noProof/>
          <w:sz w:val="20"/>
          <w:szCs w:val="20"/>
        </w:rPr>
        <w:t xml:space="preserve">It is assumed that for californium a bound fraction </w:t>
      </w:r>
      <w:r w:rsidR="00096DF7" w:rsidRPr="00C47F2F">
        <w:rPr>
          <w:i/>
          <w:noProof/>
          <w:sz w:val="20"/>
          <w:szCs w:val="20"/>
        </w:rPr>
        <w:t>f</w:t>
      </w:r>
      <w:r w:rsidR="00096DF7" w:rsidRPr="00C47F2F">
        <w:rPr>
          <w:noProof/>
          <w:sz w:val="20"/>
          <w:szCs w:val="20"/>
          <w:vertAlign w:val="subscript"/>
        </w:rPr>
        <w:t>b</w:t>
      </w:r>
      <w:r w:rsidR="00096DF7" w:rsidRPr="00C47F2F">
        <w:rPr>
          <w:noProof/>
          <w:sz w:val="20"/>
          <w:szCs w:val="20"/>
        </w:rPr>
        <w:t xml:space="preserve"> = 0.002 with </w:t>
      </w:r>
      <w:r w:rsidR="00096DF7" w:rsidRPr="00C47F2F">
        <w:rPr>
          <w:i/>
          <w:noProof/>
          <w:sz w:val="20"/>
          <w:szCs w:val="20"/>
        </w:rPr>
        <w:t>s</w:t>
      </w:r>
      <w:r w:rsidR="00096DF7" w:rsidRPr="00C47F2F">
        <w:rPr>
          <w:noProof/>
          <w:sz w:val="20"/>
          <w:szCs w:val="20"/>
          <w:vertAlign w:val="subscript"/>
        </w:rPr>
        <w:t>b</w:t>
      </w:r>
      <w:r w:rsidR="00096DF7" w:rsidRPr="00C47F2F">
        <w:rPr>
          <w:noProof/>
          <w:sz w:val="20"/>
          <w:szCs w:val="20"/>
        </w:rPr>
        <w:t xml:space="preserve"> = 0 d</w:t>
      </w:r>
      <w:r w:rsidR="00096DF7" w:rsidRPr="00C47F2F">
        <w:rPr>
          <w:noProof/>
          <w:sz w:val="20"/>
          <w:szCs w:val="20"/>
          <w:vertAlign w:val="superscript"/>
        </w:rPr>
        <w:t>–1</w:t>
      </w:r>
      <w:r w:rsidR="00096DF7" w:rsidRPr="00C47F2F">
        <w:rPr>
          <w:noProof/>
          <w:sz w:val="20"/>
          <w:szCs w:val="20"/>
        </w:rPr>
        <w:t xml:space="preserve"> is applied throughout the respiratory tract except in the ET</w:t>
      </w:r>
      <w:r w:rsidR="00096DF7" w:rsidRPr="00C47F2F">
        <w:rPr>
          <w:noProof/>
          <w:sz w:val="20"/>
          <w:szCs w:val="20"/>
          <w:vertAlign w:val="subscript"/>
        </w:rPr>
        <w:t>1</w:t>
      </w:r>
      <w:r w:rsidR="00096DF7" w:rsidRPr="00C47F2F">
        <w:rPr>
          <w:noProof/>
          <w:sz w:val="20"/>
          <w:szCs w:val="20"/>
        </w:rPr>
        <w:t xml:space="preserve"> region. The values of </w:t>
      </w:r>
      <w:r w:rsidR="00096DF7" w:rsidRPr="00C47F2F">
        <w:rPr>
          <w:i/>
          <w:noProof/>
          <w:sz w:val="20"/>
          <w:szCs w:val="20"/>
        </w:rPr>
        <w:t>s</w:t>
      </w:r>
      <w:r w:rsidR="00096DF7" w:rsidRPr="00C47F2F">
        <w:rPr>
          <w:noProof/>
          <w:sz w:val="20"/>
          <w:szCs w:val="20"/>
          <w:vertAlign w:val="subscript"/>
        </w:rPr>
        <w:t>r</w:t>
      </w:r>
      <w:r w:rsidR="00096DF7" w:rsidRPr="00C47F2F">
        <w:rPr>
          <w:noProof/>
          <w:sz w:val="20"/>
          <w:szCs w:val="20"/>
        </w:rPr>
        <w:t xml:space="preserve"> for Type F, M and S forms of californium (0.4 d</w:t>
      </w:r>
      <w:r w:rsidR="00096DF7" w:rsidRPr="00C47F2F">
        <w:rPr>
          <w:noProof/>
          <w:sz w:val="20"/>
          <w:szCs w:val="20"/>
          <w:vertAlign w:val="superscript"/>
        </w:rPr>
        <w:t>–1</w:t>
      </w:r>
      <w:r w:rsidR="00096DF7" w:rsidRPr="00C47F2F">
        <w:rPr>
          <w:noProof/>
          <w:sz w:val="20"/>
          <w:szCs w:val="20"/>
        </w:rPr>
        <w:t xml:space="preserve">) are element-specific. </w:t>
      </w:r>
    </w:p>
    <w:p w14:paraId="7E19A783" w14:textId="695A35ED" w:rsidR="00096DF7" w:rsidRPr="00C47F2F" w:rsidRDefault="00067E2E" w:rsidP="00E81109">
      <w:pPr>
        <w:pStyle w:val="Note"/>
        <w:rPr>
          <w:noProof/>
          <w:sz w:val="20"/>
          <w:szCs w:val="20"/>
        </w:rPr>
      </w:pPr>
      <w:r w:rsidRPr="00C47F2F">
        <w:rPr>
          <w:noProof/>
          <w:sz w:val="20"/>
          <w:szCs w:val="20"/>
          <w:vertAlign w:val="superscript"/>
        </w:rPr>
        <w:t>†</w:t>
      </w:r>
      <w:r w:rsidR="00096DF7" w:rsidRPr="00C47F2F">
        <w:rPr>
          <w:noProof/>
          <w:sz w:val="20"/>
          <w:szCs w:val="20"/>
        </w:rPr>
        <w:t xml:space="preserve">Materials (e.g. californium chloride) are generally listed here where there is sufficient information to assign to a default absorption Type, but not to give specific parameter values (see </w:t>
      </w:r>
      <w:r w:rsidR="00177865" w:rsidRPr="00C47F2F">
        <w:rPr>
          <w:noProof/>
          <w:sz w:val="20"/>
          <w:szCs w:val="20"/>
        </w:rPr>
        <w:t xml:space="preserve">Section 26 of </w:t>
      </w:r>
      <w:r w:rsidR="00572B5F" w:rsidRPr="00C47F2F">
        <w:rPr>
          <w:i/>
          <w:noProof/>
          <w:sz w:val="20"/>
          <w:szCs w:val="20"/>
        </w:rPr>
        <w:t xml:space="preserve">Publication </w:t>
      </w:r>
      <w:r w:rsidR="00F414E6" w:rsidRPr="00C47F2F">
        <w:rPr>
          <w:i/>
          <w:noProof/>
          <w:sz w:val="20"/>
          <w:szCs w:val="20"/>
        </w:rPr>
        <w:t xml:space="preserve">141 </w:t>
      </w:r>
      <w:r w:rsidRPr="00C47F2F">
        <w:rPr>
          <w:noProof/>
          <w:sz w:val="20"/>
          <w:szCs w:val="20"/>
        </w:rPr>
        <w:fldChar w:fldCharType="begin"/>
      </w:r>
      <w:r w:rsidR="00F4369C" w:rsidRPr="00C47F2F">
        <w:rPr>
          <w:noProof/>
          <w:sz w:val="20"/>
          <w:szCs w:val="20"/>
        </w:rPr>
        <w:instrText xml:space="preserve"> ADDIN ZOTERO_ITEM CSL_CITATION {"citationID":"lZWyg2qr","properties":{"formattedCitation":"(ICRP,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Pr="00C47F2F">
        <w:rPr>
          <w:noProof/>
          <w:sz w:val="20"/>
          <w:szCs w:val="20"/>
        </w:rPr>
        <w:fldChar w:fldCharType="separate"/>
      </w:r>
      <w:r w:rsidR="00F4369C" w:rsidRPr="00C47F2F">
        <w:rPr>
          <w:noProof/>
          <w:sz w:val="20"/>
          <w:szCs w:val="20"/>
        </w:rPr>
        <w:t>(ICRP, 2019)</w:t>
      </w:r>
      <w:r w:rsidRPr="00C47F2F">
        <w:rPr>
          <w:noProof/>
          <w:sz w:val="20"/>
          <w:szCs w:val="20"/>
        </w:rPr>
        <w:fldChar w:fldCharType="end"/>
      </w:r>
      <w:r w:rsidR="00096DF7" w:rsidRPr="00C47F2F">
        <w:rPr>
          <w:noProof/>
          <w:sz w:val="20"/>
          <w:szCs w:val="20"/>
        </w:rPr>
        <w:t>.</w:t>
      </w:r>
    </w:p>
    <w:p w14:paraId="393C4167" w14:textId="56C90D07" w:rsidR="00096DF7" w:rsidRPr="00C47F2F" w:rsidRDefault="00067E2E" w:rsidP="00E81109">
      <w:pPr>
        <w:pStyle w:val="Note"/>
        <w:rPr>
          <w:noProof/>
          <w:sz w:val="20"/>
          <w:szCs w:val="20"/>
        </w:rPr>
      </w:pPr>
      <w:r w:rsidRPr="00C47F2F">
        <w:rPr>
          <w:noProof/>
          <w:sz w:val="20"/>
          <w:szCs w:val="20"/>
          <w:vertAlign w:val="superscript"/>
        </w:rPr>
        <w:t>‡</w:t>
      </w:r>
      <w:r w:rsidR="00096DF7" w:rsidRPr="00C47F2F">
        <w:rPr>
          <w:noProof/>
          <w:sz w:val="20"/>
          <w:szCs w:val="20"/>
        </w:rPr>
        <w:t xml:space="preserve">For inhaled material deposited in the respiratory tract and subsequently cleared by particle transport to the alimentary tract, the default </w:t>
      </w:r>
      <w:r w:rsidR="00096DF7" w:rsidRPr="00C47F2F">
        <w:rPr>
          <w:i/>
          <w:noProof/>
          <w:sz w:val="20"/>
          <w:szCs w:val="20"/>
        </w:rPr>
        <w:t>f</w:t>
      </w:r>
      <w:r w:rsidR="00096DF7" w:rsidRPr="00C47F2F">
        <w:rPr>
          <w:noProof/>
          <w:sz w:val="20"/>
          <w:szCs w:val="20"/>
          <w:vertAlign w:val="subscript"/>
        </w:rPr>
        <w:t>A</w:t>
      </w:r>
      <w:r w:rsidR="00096DF7" w:rsidRPr="00C47F2F">
        <w:rPr>
          <w:noProof/>
          <w:sz w:val="20"/>
          <w:szCs w:val="20"/>
        </w:rPr>
        <w:t xml:space="preserve"> values for inhaled materials are applied: </w:t>
      </w:r>
      <w:r w:rsidR="00096DF7" w:rsidRPr="00C47F2F">
        <w:rPr>
          <w:i/>
          <w:noProof/>
          <w:sz w:val="20"/>
          <w:szCs w:val="20"/>
        </w:rPr>
        <w:t>i.e.</w:t>
      </w:r>
      <w:r w:rsidR="00096DF7" w:rsidRPr="00C47F2F">
        <w:rPr>
          <w:noProof/>
          <w:sz w:val="20"/>
          <w:szCs w:val="20"/>
        </w:rPr>
        <w:t xml:space="preserve">, the product of </w:t>
      </w:r>
      <w:r w:rsidR="00096DF7" w:rsidRPr="00C47F2F">
        <w:rPr>
          <w:i/>
          <w:noProof/>
          <w:sz w:val="20"/>
          <w:szCs w:val="20"/>
        </w:rPr>
        <w:t>f</w:t>
      </w:r>
      <w:r w:rsidR="00096DF7" w:rsidRPr="00C47F2F">
        <w:rPr>
          <w:noProof/>
          <w:sz w:val="20"/>
          <w:szCs w:val="20"/>
          <w:vertAlign w:val="subscript"/>
        </w:rPr>
        <w:t>r</w:t>
      </w:r>
      <w:r w:rsidR="00096DF7" w:rsidRPr="00C47F2F">
        <w:rPr>
          <w:noProof/>
          <w:sz w:val="20"/>
          <w:szCs w:val="20"/>
        </w:rPr>
        <w:t xml:space="preserve"> for the absorption Type and the </w:t>
      </w:r>
      <w:r w:rsidR="00096DF7" w:rsidRPr="00C47F2F">
        <w:rPr>
          <w:i/>
          <w:noProof/>
          <w:sz w:val="20"/>
          <w:szCs w:val="20"/>
        </w:rPr>
        <w:t>f</w:t>
      </w:r>
      <w:r w:rsidR="00096DF7" w:rsidRPr="00C47F2F">
        <w:rPr>
          <w:noProof/>
          <w:sz w:val="20"/>
          <w:szCs w:val="20"/>
          <w:vertAlign w:val="subscript"/>
        </w:rPr>
        <w:t>A</w:t>
      </w:r>
      <w:r w:rsidR="00096DF7" w:rsidRPr="00C47F2F">
        <w:rPr>
          <w:noProof/>
          <w:sz w:val="20"/>
          <w:szCs w:val="20"/>
        </w:rPr>
        <w:t xml:space="preserve"> value for ingested soluble forms of californium</w:t>
      </w:r>
      <w:r w:rsidR="001D4B07" w:rsidRPr="00C47F2F">
        <w:rPr>
          <w:noProof/>
          <w:sz w:val="20"/>
          <w:szCs w:val="20"/>
        </w:rPr>
        <w:t xml:space="preserve"> applicable to the age-group of interest (</w:t>
      </w:r>
      <w:r w:rsidR="001D4B07" w:rsidRPr="00C47F2F">
        <w:rPr>
          <w:i/>
          <w:iCs/>
          <w:noProof/>
          <w:sz w:val="20"/>
          <w:szCs w:val="20"/>
        </w:rPr>
        <w:t xml:space="preserve">e.g </w:t>
      </w:r>
      <w:r w:rsidR="001D4B07" w:rsidRPr="00C47F2F">
        <w:rPr>
          <w:noProof/>
          <w:sz w:val="20"/>
          <w:szCs w:val="20"/>
        </w:rPr>
        <w:t>5</w:t>
      </w:r>
      <w:r w:rsidR="008831A6" w:rsidRPr="00C47F2F">
        <w:rPr>
          <w:noProof/>
          <w:sz w:val="20"/>
          <w:szCs w:val="20"/>
        </w:rPr>
        <w:t> × </w:t>
      </w:r>
      <w:r w:rsidR="001D4B07" w:rsidRPr="00C47F2F">
        <w:rPr>
          <w:noProof/>
          <w:sz w:val="20"/>
          <w:szCs w:val="20"/>
        </w:rPr>
        <w:t>10</w:t>
      </w:r>
      <w:r w:rsidR="001D4B07" w:rsidRPr="00C47F2F">
        <w:rPr>
          <w:noProof/>
          <w:sz w:val="20"/>
          <w:szCs w:val="20"/>
          <w:vertAlign w:val="superscript"/>
        </w:rPr>
        <w:t>–4</w:t>
      </w:r>
      <w:r w:rsidR="001D4B07" w:rsidRPr="00C47F2F">
        <w:rPr>
          <w:noProof/>
          <w:sz w:val="20"/>
          <w:szCs w:val="20"/>
        </w:rPr>
        <w:t xml:space="preserve"> for adults).</w:t>
      </w:r>
    </w:p>
    <w:p w14:paraId="57A5ED26" w14:textId="7A05B868" w:rsidR="00096DF7" w:rsidRPr="00C47F2F" w:rsidRDefault="00067E2E" w:rsidP="00E81109">
      <w:pPr>
        <w:pStyle w:val="Note"/>
        <w:rPr>
          <w:noProof/>
          <w:sz w:val="20"/>
          <w:szCs w:val="20"/>
        </w:rPr>
      </w:pPr>
      <w:r w:rsidRPr="00C47F2F">
        <w:rPr>
          <w:noProof/>
          <w:sz w:val="20"/>
          <w:szCs w:val="20"/>
          <w:vertAlign w:val="superscript"/>
        </w:rPr>
        <w:t>§</w:t>
      </w:r>
      <w:r w:rsidR="00096DF7" w:rsidRPr="00C47F2F">
        <w:rPr>
          <w:noProof/>
          <w:sz w:val="20"/>
          <w:szCs w:val="20"/>
        </w:rPr>
        <w:t>Default Type M is recommended for use in the absence of specific information</w:t>
      </w:r>
      <w:r w:rsidR="00096DF7" w:rsidRPr="00C47F2F">
        <w:rPr>
          <w:noProof/>
          <w:color w:val="000000" w:themeColor="text1"/>
          <w:sz w:val="20"/>
          <w:szCs w:val="20"/>
        </w:rPr>
        <w:t xml:space="preserve"> on which the exposure material can be assigned to an Absorption Type, e.g.</w:t>
      </w:r>
      <w:r w:rsidR="00096DF7" w:rsidRPr="00C47F2F">
        <w:rPr>
          <w:noProof/>
          <w:sz w:val="20"/>
          <w:szCs w:val="20"/>
        </w:rPr>
        <w:t xml:space="preserve"> if the form is unknown, or if the form is known but there is no information available on the absorption of that form from the respiratory tract.</w:t>
      </w:r>
    </w:p>
    <w:p w14:paraId="1387B7C1" w14:textId="70A77AE8" w:rsidR="00096DF7" w:rsidRPr="00C47F2F" w:rsidRDefault="00067E2E" w:rsidP="00E81109">
      <w:pPr>
        <w:pStyle w:val="Note"/>
        <w:rPr>
          <w:noProof/>
          <w:sz w:val="20"/>
          <w:szCs w:val="20"/>
        </w:rPr>
      </w:pPr>
      <w:r w:rsidRPr="00C47F2F">
        <w:rPr>
          <w:noProof/>
          <w:color w:val="000000" w:themeColor="text1"/>
          <w:sz w:val="20"/>
          <w:szCs w:val="20"/>
          <w:vertAlign w:val="superscript"/>
        </w:rPr>
        <w:t>¶</w:t>
      </w:r>
      <w:r w:rsidR="00096DF7" w:rsidRPr="00C47F2F">
        <w:rPr>
          <w:noProof/>
          <w:color w:val="000000" w:themeColor="text1"/>
          <w:sz w:val="20"/>
          <w:szCs w:val="20"/>
        </w:rPr>
        <w:t xml:space="preserve">Activity transferred from systemic compartments into segments of the alimentary tract is assumed to be subject to reabsorption to blood. The default absorption fraction </w:t>
      </w:r>
      <w:r w:rsidR="00096DF7" w:rsidRPr="00C47F2F">
        <w:rPr>
          <w:i/>
          <w:noProof/>
          <w:color w:val="000000" w:themeColor="text1"/>
          <w:sz w:val="20"/>
          <w:szCs w:val="20"/>
        </w:rPr>
        <w:t>f</w:t>
      </w:r>
      <w:r w:rsidR="00096DF7" w:rsidRPr="00C47F2F">
        <w:rPr>
          <w:noProof/>
          <w:color w:val="000000" w:themeColor="text1"/>
          <w:sz w:val="20"/>
          <w:szCs w:val="20"/>
          <w:vertAlign w:val="subscript"/>
        </w:rPr>
        <w:t>A</w:t>
      </w:r>
      <w:r w:rsidR="00096DF7" w:rsidRPr="00C47F2F">
        <w:rPr>
          <w:noProof/>
          <w:color w:val="000000" w:themeColor="text1"/>
          <w:sz w:val="20"/>
          <w:szCs w:val="20"/>
        </w:rPr>
        <w:t xml:space="preserve"> for the secreted activity is the reference </w:t>
      </w:r>
      <w:r w:rsidR="001D4B07" w:rsidRPr="00C47F2F">
        <w:rPr>
          <w:noProof/>
          <w:color w:val="000000" w:themeColor="text1"/>
          <w:sz w:val="20"/>
          <w:szCs w:val="20"/>
        </w:rPr>
        <w:t>value</w:t>
      </w:r>
      <w:r w:rsidR="00096DF7" w:rsidRPr="00C47F2F">
        <w:rPr>
          <w:noProof/>
          <w:color w:val="000000" w:themeColor="text1"/>
          <w:sz w:val="20"/>
          <w:szCs w:val="20"/>
        </w:rPr>
        <w:t xml:space="preserve"> for ingestion of the radionuclide</w:t>
      </w:r>
      <w:r w:rsidR="001D4B07" w:rsidRPr="00C47F2F">
        <w:rPr>
          <w:noProof/>
          <w:color w:val="000000" w:themeColor="text1"/>
          <w:sz w:val="20"/>
          <w:szCs w:val="20"/>
        </w:rPr>
        <w:t xml:space="preserve"> </w:t>
      </w:r>
      <w:r w:rsidR="001D4B07" w:rsidRPr="00C47F2F">
        <w:rPr>
          <w:noProof/>
          <w:sz w:val="20"/>
          <w:szCs w:val="20"/>
        </w:rPr>
        <w:t>applicable to the age-group of interest (</w:t>
      </w:r>
      <w:r w:rsidR="001D4B07" w:rsidRPr="00C47F2F">
        <w:rPr>
          <w:i/>
          <w:iCs/>
          <w:noProof/>
          <w:sz w:val="20"/>
          <w:szCs w:val="20"/>
        </w:rPr>
        <w:t xml:space="preserve">e.g </w:t>
      </w:r>
      <w:r w:rsidR="008831A6" w:rsidRPr="00C47F2F">
        <w:rPr>
          <w:noProof/>
          <w:sz w:val="20"/>
          <w:szCs w:val="20"/>
        </w:rPr>
        <w:t>5 × 10</w:t>
      </w:r>
      <w:r w:rsidR="008831A6" w:rsidRPr="00C47F2F">
        <w:rPr>
          <w:noProof/>
          <w:sz w:val="20"/>
          <w:szCs w:val="20"/>
          <w:vertAlign w:val="superscript"/>
        </w:rPr>
        <w:t>–4</w:t>
      </w:r>
      <w:r w:rsidR="008831A6" w:rsidRPr="00C47F2F">
        <w:rPr>
          <w:noProof/>
          <w:sz w:val="20"/>
          <w:szCs w:val="20"/>
        </w:rPr>
        <w:t xml:space="preserve"> </w:t>
      </w:r>
      <w:r w:rsidR="001D4B07" w:rsidRPr="00C47F2F">
        <w:rPr>
          <w:noProof/>
          <w:sz w:val="20"/>
          <w:szCs w:val="20"/>
        </w:rPr>
        <w:t>for adults)</w:t>
      </w:r>
      <w:r w:rsidR="00096DF7" w:rsidRPr="00C47F2F">
        <w:rPr>
          <w:noProof/>
          <w:color w:val="000000" w:themeColor="text1"/>
          <w:sz w:val="20"/>
          <w:szCs w:val="20"/>
        </w:rPr>
        <w:t>.</w:t>
      </w:r>
    </w:p>
    <w:p w14:paraId="58A11EA2" w14:textId="77777777" w:rsidR="00096DF7" w:rsidRPr="00972C81" w:rsidRDefault="00096DF7" w:rsidP="00096DF7">
      <w:pPr>
        <w:rPr>
          <w:rFonts w:ascii="Times Roman" w:hAnsi="Times Roman"/>
          <w:noProof/>
          <w:sz w:val="20"/>
        </w:rPr>
      </w:pPr>
    </w:p>
    <w:p w14:paraId="69773E87" w14:textId="77777777" w:rsidR="00096DF7" w:rsidRPr="00972C81" w:rsidRDefault="00096DF7" w:rsidP="00E81109">
      <w:pPr>
        <w:pStyle w:val="3"/>
        <w:rPr>
          <w:noProof/>
        </w:rPr>
      </w:pPr>
      <w:bookmarkStart w:id="390" w:name="_Toc162630130"/>
      <w:r w:rsidRPr="00972C81">
        <w:rPr>
          <w:noProof/>
        </w:rPr>
        <w:lastRenderedPageBreak/>
        <w:t>Ingestion</w:t>
      </w:r>
      <w:bookmarkEnd w:id="390"/>
    </w:p>
    <w:p w14:paraId="1EA6A380" w14:textId="4FD549D9" w:rsidR="00DB3AC7" w:rsidRPr="00972C81" w:rsidRDefault="00DB3AC7" w:rsidP="001C4A92">
      <w:pPr>
        <w:pStyle w:val="Annalstext"/>
        <w:rPr>
          <w:noProof/>
        </w:rPr>
      </w:pPr>
      <w:r w:rsidRPr="00972C81">
        <w:rPr>
          <w:i/>
          <w:noProof/>
        </w:rPr>
        <w:t>Adults</w:t>
      </w:r>
      <w:r w:rsidRPr="00972C81">
        <w:rPr>
          <w:noProof/>
        </w:rPr>
        <w:t xml:space="preserve">. Sullivan </w:t>
      </w:r>
      <w:r w:rsidR="008831A6" w:rsidRPr="00972C81">
        <w:rPr>
          <w:noProof/>
        </w:rPr>
        <w:fldChar w:fldCharType="begin"/>
      </w:r>
      <w:r w:rsidR="00F4369C" w:rsidRPr="00972C81">
        <w:rPr>
          <w:noProof/>
        </w:rPr>
        <w:instrText xml:space="preserve"> ADDIN ZOTERO_ITEM CSL_CITATION {"citationID":"a2g3j92o2v","properties":{"formattedCitation":"(Sullivan, 1974, 1980b)","plainCitation":"(Sullivan, 1974, 1980b)","noteIndex":0},"citationItems":[{"id":5281,"uris":["http://zotero.org/groups/2470620/items/Z7W4NWBG"],"itemData":{"id":5281,"type":"report","collection-title":"Pacific Norfhwest Laboratory Annual Report for 1973 to the USAEC Division of Biomedical and Environmental Research. Port I Biological Sciences","event-place":"Richland, Washington","number":"BNWL-I850 Pt. l","page":"15-17","publisher":"Battelle Pacific Northwest Labs.,","publisher-place":"Richland, Washington","source":"Google Scholar","title":"Absorption of curium-244 and californium-252 from the gastrointestinal tract of newborn and adult rats","URL":"https://www.osti.gov/biblio/4277243","author":[{"family":"Sullivan","given":"M. F."}],"accessed":{"date-parts":[["2023",10,5]]},"issued":{"date-parts":[["1974"]]}}},{"id":5278,"uris":["http://zotero.org/groups/2470620/items/C3FGP8F9"],"itemData":{"id":5278,"type":"article-journal","abstract":"Transport across the gastrointestinal tract of adult rats was measured for the “soluble” nitrate and/or “insoluble” oxide compounds of228Th,232U,233U,237Np,217Pu,238Pu,239Pu,241,Pu,24lAm,244Cm,252Cf and253Es. Absorption of plutonium and americium nitrates was compared in adult rats, guinea pigs and dogs; there was little variation among species. There was much greater variation between the absorption of different elements in the rat. Other factors observed to influence absorption were particle size, compound form and mass of compound administered. © 1980 Health Physics Society.","archive":"Scopus","container-title":"Health Physics","DOI":"10.1097/00004032-198002000-00004","issue":"2","page":"159-171","source":"Scopus","title":"Absorption of actinide elements from the gastrointestinal tract of rats, guinea pigs and dogs","volume":"38","author":[{"family":"Sullivan","given":"M.F."}],"issued":{"date-parts":[["1980"]]}}}],"schema":"https://github.com/citation-style-language/schema/raw/master/csl-citation.json"} </w:instrText>
      </w:r>
      <w:r w:rsidR="008831A6" w:rsidRPr="00972C81">
        <w:rPr>
          <w:noProof/>
        </w:rPr>
        <w:fldChar w:fldCharType="separate"/>
      </w:r>
      <w:r w:rsidR="00F4369C" w:rsidRPr="00972C81">
        <w:rPr>
          <w:noProof/>
          <w:szCs w:val="24"/>
        </w:rPr>
        <w:t>(Sullivan, 1974, 1980b)</w:t>
      </w:r>
      <w:r w:rsidR="008831A6" w:rsidRPr="00972C81">
        <w:rPr>
          <w:noProof/>
        </w:rPr>
        <w:fldChar w:fldCharType="end"/>
      </w:r>
      <w:r w:rsidRPr="00972C81">
        <w:rPr>
          <w:noProof/>
        </w:rPr>
        <w:t xml:space="preserve"> studied the gastrointestinal absorption of californium nitrate after gavage administration to adult rats and found absorption fractions of 1.1</w:t>
      </w:r>
      <w:r w:rsidR="00067025" w:rsidRPr="00972C81">
        <w:rPr>
          <w:noProof/>
        </w:rPr>
        <w:t xml:space="preserve"> × </w:t>
      </w:r>
      <w:r w:rsidRPr="00972C81">
        <w:rPr>
          <w:noProof/>
        </w:rPr>
        <w:t>10</w:t>
      </w:r>
      <w:r w:rsidRPr="00972C81">
        <w:rPr>
          <w:noProof/>
          <w:vertAlign w:val="superscript"/>
        </w:rPr>
        <w:t>-3</w:t>
      </w:r>
      <w:r w:rsidRPr="00972C81">
        <w:rPr>
          <w:noProof/>
        </w:rPr>
        <w:t xml:space="preserve"> and 5.9</w:t>
      </w:r>
      <w:r w:rsidR="00067025" w:rsidRPr="00972C81">
        <w:rPr>
          <w:noProof/>
        </w:rPr>
        <w:t xml:space="preserve"> × </w:t>
      </w:r>
      <w:r w:rsidRPr="00972C81">
        <w:rPr>
          <w:noProof/>
        </w:rPr>
        <w:t>10</w:t>
      </w:r>
      <w:r w:rsidRPr="00972C81">
        <w:rPr>
          <w:noProof/>
          <w:vertAlign w:val="superscript"/>
        </w:rPr>
        <w:t>-4</w:t>
      </w:r>
      <w:r w:rsidRPr="00972C81">
        <w:rPr>
          <w:noProof/>
        </w:rPr>
        <w:t xml:space="preserve">. In </w:t>
      </w:r>
      <w:r w:rsidRPr="00972C81">
        <w:rPr>
          <w:i/>
          <w:noProof/>
        </w:rPr>
        <w:t>Publication</w:t>
      </w:r>
      <w:r w:rsidR="006D634E" w:rsidRPr="00972C81">
        <w:rPr>
          <w:i/>
          <w:noProof/>
        </w:rPr>
        <w:t>s</w:t>
      </w:r>
      <w:r w:rsidRPr="00972C81">
        <w:rPr>
          <w:i/>
          <w:noProof/>
        </w:rPr>
        <w:t xml:space="preserve"> 30 </w:t>
      </w:r>
      <w:r w:rsidR="008831A6" w:rsidRPr="00972C81">
        <w:rPr>
          <w:noProof/>
        </w:rPr>
        <w:fldChar w:fldCharType="begin"/>
      </w:r>
      <w:r w:rsidR="00F4369C" w:rsidRPr="00972C81">
        <w:rPr>
          <w:noProof/>
        </w:rPr>
        <w:instrText xml:space="preserve"> ADDIN ZOTERO_ITEM CSL_CITATION {"citationID":"a1s8s9fmcdk","properties":{"formattedCitation":"(ICRP, 1988)","plainCitation":"(ICRP, 1988)","noteIndex":0},"citationItems":[{"id":3117,"uris":["http://zotero.org/groups/2470620/items/8NQ5CWC2"],"itemData":{"id":3117,"type":"article-journal","container-title":"Annals of the ICRP","issue":"4","journalAbbreviation":"Ann. ICRP","language":"et","title":"Limits for intakes of radionuclides by workers: an addendum. ICRP Publication 30, Part 4","volume":"19","author":[{"literal":"ICRP"}],"issued":{"date-parts":[["1988"]]}}}],"schema":"https://github.com/citation-style-language/schema/raw/master/csl-citation.json"} </w:instrText>
      </w:r>
      <w:r w:rsidR="008831A6" w:rsidRPr="00972C81">
        <w:rPr>
          <w:noProof/>
        </w:rPr>
        <w:fldChar w:fldCharType="separate"/>
      </w:r>
      <w:r w:rsidR="00F4369C" w:rsidRPr="00972C81">
        <w:rPr>
          <w:noProof/>
          <w:szCs w:val="24"/>
        </w:rPr>
        <w:t>(ICRP, 1988)</w:t>
      </w:r>
      <w:r w:rsidR="008831A6" w:rsidRPr="00972C81">
        <w:rPr>
          <w:noProof/>
        </w:rPr>
        <w:fldChar w:fldCharType="end"/>
      </w:r>
      <w:r w:rsidRPr="00972C81">
        <w:rPr>
          <w:noProof/>
        </w:rPr>
        <w:t xml:space="preserve"> and </w:t>
      </w:r>
      <w:r w:rsidRPr="00972C81">
        <w:rPr>
          <w:i/>
          <w:noProof/>
        </w:rPr>
        <w:t>48</w:t>
      </w:r>
      <w:r w:rsidRPr="00972C81">
        <w:rPr>
          <w:noProof/>
        </w:rPr>
        <w:t xml:space="preserve"> </w:t>
      </w:r>
      <w:r w:rsidR="008831A6" w:rsidRPr="00972C81">
        <w:rPr>
          <w:noProof/>
        </w:rPr>
        <w:fldChar w:fldCharType="begin"/>
      </w:r>
      <w:r w:rsidR="00F4369C" w:rsidRPr="00972C81">
        <w:rPr>
          <w:noProof/>
        </w:rPr>
        <w:instrText xml:space="preserve"> ADDIN ZOTERO_ITEM CSL_CITATION {"citationID":"a15o3qmmgah","properties":{"formattedCitation":"(ICRP, 1986)","plainCitation":"(ICRP, 1986)","noteIndex":0},"citationItems":[{"id":4867,"uris":["http://zotero.org/groups/2470620/items/JBT3RHCV"],"itemData":{"id":4867,"type":"article-journal","container-title":"Annals of the ICRP","issue":"2/3","journalAbbreviation":"Ann. ICRP","language":"et","title":"The Metabolism of Plutonium and Related Elements. ICRP Publication 48","volume":"16","author":[{"literal":"ICRP"}],"issued":{"date-parts":[["1986"]]}}}],"schema":"https://github.com/citation-style-language/schema/raw/master/csl-citation.json"} </w:instrText>
      </w:r>
      <w:r w:rsidR="008831A6" w:rsidRPr="00972C81">
        <w:rPr>
          <w:noProof/>
        </w:rPr>
        <w:fldChar w:fldCharType="separate"/>
      </w:r>
      <w:r w:rsidR="00F4369C" w:rsidRPr="00972C81">
        <w:rPr>
          <w:noProof/>
          <w:szCs w:val="24"/>
        </w:rPr>
        <w:t>(ICRP, 1986)</w:t>
      </w:r>
      <w:r w:rsidR="008831A6" w:rsidRPr="00972C81">
        <w:rPr>
          <w:noProof/>
        </w:rPr>
        <w:fldChar w:fldCharType="end"/>
      </w:r>
      <w:r w:rsidRPr="00972C81">
        <w:rPr>
          <w:noProof/>
        </w:rPr>
        <w:t>, a general absorption fraction of 1</w:t>
      </w:r>
      <w:r w:rsidR="00067025" w:rsidRPr="00972C81">
        <w:rPr>
          <w:noProof/>
        </w:rPr>
        <w:t xml:space="preserve"> × </w:t>
      </w:r>
      <w:r w:rsidRPr="00972C81">
        <w:rPr>
          <w:noProof/>
        </w:rPr>
        <w:t>10</w:t>
      </w:r>
      <w:r w:rsidRPr="00972C81">
        <w:rPr>
          <w:noProof/>
          <w:vertAlign w:val="superscript"/>
        </w:rPr>
        <w:t>-3</w:t>
      </w:r>
      <w:r w:rsidRPr="00972C81">
        <w:rPr>
          <w:noProof/>
        </w:rPr>
        <w:t xml:space="preserve"> was recommended for actinides, including californium. In </w:t>
      </w:r>
      <w:r w:rsidR="00F414E6" w:rsidRPr="00972C81">
        <w:rPr>
          <w:i/>
          <w:noProof/>
        </w:rPr>
        <w:t>Publication 141</w:t>
      </w:r>
      <w:r w:rsidR="00F414E6" w:rsidRPr="00972C81">
        <w:rPr>
          <w:noProof/>
        </w:rPr>
        <w:t xml:space="preserve"> </w:t>
      </w:r>
      <w:r w:rsidR="008831A6" w:rsidRPr="00972C81">
        <w:rPr>
          <w:noProof/>
        </w:rPr>
        <w:fldChar w:fldCharType="begin"/>
      </w:r>
      <w:r w:rsidR="00F4369C" w:rsidRPr="00972C81">
        <w:rPr>
          <w:noProof/>
        </w:rPr>
        <w:instrText xml:space="preserve"> ADDIN ZOTERO_ITEM CSL_CITATION {"citationID":"a1gfmb84gdi","properties":{"formattedCitation":"(ICRP,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8831A6" w:rsidRPr="00972C81">
        <w:rPr>
          <w:noProof/>
        </w:rPr>
        <w:fldChar w:fldCharType="separate"/>
      </w:r>
      <w:r w:rsidR="00F4369C" w:rsidRPr="00972C81">
        <w:rPr>
          <w:noProof/>
          <w:szCs w:val="24"/>
        </w:rPr>
        <w:t>(ICRP, 2019)</w:t>
      </w:r>
      <w:r w:rsidR="008831A6" w:rsidRPr="00972C81">
        <w:rPr>
          <w:noProof/>
        </w:rPr>
        <w:fldChar w:fldCharType="end"/>
      </w:r>
      <w:r w:rsidRPr="00972C81">
        <w:rPr>
          <w:noProof/>
        </w:rPr>
        <w:t xml:space="preserve">, </w:t>
      </w:r>
      <w:r w:rsidRPr="00972C81">
        <w:rPr>
          <w:noProof/>
          <w:szCs w:val="24"/>
        </w:rPr>
        <w:t xml:space="preserve">on the basis of results showing similar low levels of absorption </w:t>
      </w:r>
      <w:r w:rsidR="00BB503E">
        <w:rPr>
          <w:noProof/>
          <w:szCs w:val="24"/>
        </w:rPr>
        <w:t>in humans</w:t>
      </w:r>
      <w:r w:rsidRPr="00972C81">
        <w:rPr>
          <w:noProof/>
          <w:szCs w:val="24"/>
        </w:rPr>
        <w:t xml:space="preserve"> for five actinide elements (thorium, neptunium, plutonium, americium and curium) and taking account of animal data showing variations in </w:t>
      </w:r>
      <w:r w:rsidRPr="00972C81">
        <w:rPr>
          <w:i/>
          <w:noProof/>
          <w:szCs w:val="24"/>
        </w:rPr>
        <w:t>f</w:t>
      </w:r>
      <w:r w:rsidRPr="00972C81">
        <w:rPr>
          <w:noProof/>
          <w:szCs w:val="24"/>
          <w:vertAlign w:val="subscript"/>
        </w:rPr>
        <w:t>A</w:t>
      </w:r>
      <w:r w:rsidRPr="00972C81">
        <w:rPr>
          <w:noProof/>
          <w:szCs w:val="24"/>
        </w:rPr>
        <w:t xml:space="preserve"> values resulting from differences in chemical forms, it was considered that an appropriate general </w:t>
      </w:r>
      <w:r w:rsidRPr="00972C81">
        <w:rPr>
          <w:i/>
          <w:noProof/>
          <w:szCs w:val="24"/>
        </w:rPr>
        <w:t>f</w:t>
      </w:r>
      <w:r w:rsidRPr="00972C81">
        <w:rPr>
          <w:noProof/>
          <w:szCs w:val="24"/>
          <w:vertAlign w:val="subscript"/>
        </w:rPr>
        <w:t>A</w:t>
      </w:r>
      <w:r w:rsidRPr="00972C81">
        <w:rPr>
          <w:noProof/>
          <w:szCs w:val="24"/>
        </w:rPr>
        <w:t xml:space="preserve"> value for all chemical forms of actinides except uranium was 5</w:t>
      </w:r>
      <w:r w:rsidR="00067025" w:rsidRPr="00972C81">
        <w:rPr>
          <w:noProof/>
          <w:szCs w:val="24"/>
        </w:rPr>
        <w:t xml:space="preserve"> × </w:t>
      </w:r>
      <w:r w:rsidRPr="00972C81">
        <w:rPr>
          <w:noProof/>
          <w:szCs w:val="24"/>
        </w:rPr>
        <w:t>10</w:t>
      </w:r>
      <w:r w:rsidRPr="00972C81">
        <w:rPr>
          <w:noProof/>
          <w:szCs w:val="24"/>
          <w:vertAlign w:val="superscript"/>
        </w:rPr>
        <w:t>-4</w:t>
      </w:r>
      <w:r w:rsidRPr="00972C81">
        <w:rPr>
          <w:noProof/>
          <w:szCs w:val="24"/>
        </w:rPr>
        <w:t xml:space="preserve">. The same </w:t>
      </w:r>
      <w:r w:rsidRPr="00972C81">
        <w:rPr>
          <w:i/>
          <w:noProof/>
          <w:szCs w:val="24"/>
        </w:rPr>
        <w:t>f</w:t>
      </w:r>
      <w:r w:rsidRPr="00972C81">
        <w:rPr>
          <w:noProof/>
          <w:szCs w:val="24"/>
          <w:vertAlign w:val="subscript"/>
        </w:rPr>
        <w:t>A</w:t>
      </w:r>
      <w:r w:rsidRPr="00972C81">
        <w:rPr>
          <w:noProof/>
          <w:szCs w:val="24"/>
        </w:rPr>
        <w:t xml:space="preserve"> = 5</w:t>
      </w:r>
      <w:r w:rsidR="00067025" w:rsidRPr="00972C81">
        <w:rPr>
          <w:noProof/>
          <w:szCs w:val="24"/>
        </w:rPr>
        <w:t xml:space="preserve"> × </w:t>
      </w:r>
      <w:r w:rsidRPr="00972C81">
        <w:rPr>
          <w:noProof/>
          <w:szCs w:val="24"/>
        </w:rPr>
        <w:t>10</w:t>
      </w:r>
      <w:r w:rsidRPr="00972C81">
        <w:rPr>
          <w:noProof/>
          <w:szCs w:val="24"/>
          <w:vertAlign w:val="superscript"/>
        </w:rPr>
        <w:t>-4</w:t>
      </w:r>
      <w:r w:rsidRPr="00972C81">
        <w:rPr>
          <w:noProof/>
          <w:szCs w:val="24"/>
        </w:rPr>
        <w:t xml:space="preserve"> is recommended here for ingestion of californium by adult members of the public.</w:t>
      </w:r>
    </w:p>
    <w:p w14:paraId="693C93BE" w14:textId="75ECD0F8" w:rsidR="00DB3AC7" w:rsidRPr="00972C81" w:rsidRDefault="00DB3AC7" w:rsidP="001C4A92">
      <w:pPr>
        <w:pStyle w:val="Annalstext"/>
        <w:rPr>
          <w:noProof/>
        </w:rPr>
      </w:pPr>
      <w:r w:rsidRPr="00972C81">
        <w:rPr>
          <w:i/>
          <w:noProof/>
        </w:rPr>
        <w:t>Children</w:t>
      </w:r>
      <w:r w:rsidRPr="00972C81">
        <w:rPr>
          <w:noProof/>
        </w:rPr>
        <w:t>. Absorption of californium nitrate by newborn rats is 40 to 250 times greater than in adult animals</w:t>
      </w:r>
      <w:r w:rsidR="008831A6" w:rsidRPr="00972C81">
        <w:rPr>
          <w:noProof/>
        </w:rPr>
        <w:t xml:space="preserve"> </w:t>
      </w:r>
      <w:r w:rsidR="008831A6" w:rsidRPr="00972C81">
        <w:rPr>
          <w:noProof/>
        </w:rPr>
        <w:fldChar w:fldCharType="begin"/>
      </w:r>
      <w:r w:rsidR="00F4369C" w:rsidRPr="00972C81">
        <w:rPr>
          <w:noProof/>
        </w:rPr>
        <w:instrText xml:space="preserve"> ADDIN ZOTERO_ITEM CSL_CITATION {"citationID":"a2k8i3thol3","properties":{"formattedCitation":"(Sullivan, 1974, 1980a)","plainCitation":"(Sullivan, 1974, 1980a)","noteIndex":0},"citationItems":[{"id":5281,"uris":["http://zotero.org/groups/2470620/items/Z7W4NWBG"],"itemData":{"id":5281,"type":"report","collection-title":"Pacific Norfhwest Laboratory Annual Report for 1973 to the USAEC Division of Biomedical and Environmental Research. Port I Biological Sciences","event-place":"Richland, Washington","number":"BNWL-I850 Pt. l","page":"15-17","publisher":"Battelle Pacific Northwest Labs.,","publisher-place":"Richland, Washington","source":"Google Scholar","title":"Absorption of curium-244 and californium-252 from the gastrointestinal tract of newborn and adult rats","URL":"https://www.osti.gov/biblio/4277243","author":[{"family":"Sullivan","given":"M. F."}],"accessed":{"date-parts":[["2023",10,5]]},"issued":{"date-parts":[["1974"]]}}},{"id":4984,"uris":["http://zotero.org/groups/2470620/items/TBYTTCP3"],"itemData":{"id":4984,"type":"article-journal","container-title":"Health Physics","DOI":"10.1097/00004032-198002000-00005","issue":"2","page":"173-185","title":"Absorption of actinide elements from the gastrointestinal tract of neonatal animals","volume":"38","author":[{"family":"Sullivan","given":"M.F."}],"issued":{"date-parts":[["1980"]]}}}],"schema":"https://github.com/citation-style-language/schema/raw/master/csl-citation.json"} </w:instrText>
      </w:r>
      <w:r w:rsidR="008831A6" w:rsidRPr="00972C81">
        <w:rPr>
          <w:noProof/>
        </w:rPr>
        <w:fldChar w:fldCharType="separate"/>
      </w:r>
      <w:r w:rsidR="00F4369C" w:rsidRPr="00972C81">
        <w:rPr>
          <w:noProof/>
          <w:szCs w:val="24"/>
        </w:rPr>
        <w:t>(Sullivan, 1974, 1980a)</w:t>
      </w:r>
      <w:r w:rsidR="008831A6" w:rsidRPr="00972C81">
        <w:rPr>
          <w:noProof/>
        </w:rPr>
        <w:fldChar w:fldCharType="end"/>
      </w:r>
      <w:r w:rsidRPr="00972C81">
        <w:rPr>
          <w:noProof/>
        </w:rPr>
        <w:t xml:space="preserve">. </w:t>
      </w:r>
      <w:r w:rsidRPr="00972C81">
        <w:rPr>
          <w:noProof/>
          <w:color w:val="000000"/>
          <w:szCs w:val="24"/>
          <w:lang w:eastAsia="fr-FR"/>
        </w:rPr>
        <w:t xml:space="preserve">It is assumed </w:t>
      </w:r>
      <w:r w:rsidRPr="00972C81">
        <w:rPr>
          <w:noProof/>
          <w:szCs w:val="24"/>
        </w:rPr>
        <w:t>that</w:t>
      </w:r>
      <w:r w:rsidRPr="00972C81">
        <w:rPr>
          <w:noProof/>
          <w:color w:val="000000"/>
          <w:szCs w:val="24"/>
          <w:lang w:eastAsia="fr-FR"/>
        </w:rPr>
        <w:t>, l</w:t>
      </w:r>
      <w:r w:rsidRPr="00972C81">
        <w:rPr>
          <w:noProof/>
          <w:szCs w:val="24"/>
        </w:rPr>
        <w:t>ike for plutonium, the increased absorption would probably decrease rapidly during the first few days or weeks of life, adult values being reached by about the time of weaning.</w:t>
      </w:r>
      <w:r w:rsidRPr="00972C81">
        <w:rPr>
          <w:noProof/>
        </w:rPr>
        <w:t xml:space="preserve"> The same values of </w:t>
      </w:r>
      <w:r w:rsidRPr="00972C81">
        <w:rPr>
          <w:i/>
          <w:noProof/>
        </w:rPr>
        <w:t>f</w:t>
      </w:r>
      <w:r w:rsidRPr="00972C81">
        <w:rPr>
          <w:noProof/>
          <w:vertAlign w:val="subscript"/>
        </w:rPr>
        <w:t>A</w:t>
      </w:r>
      <w:r w:rsidRPr="00972C81">
        <w:rPr>
          <w:noProof/>
        </w:rPr>
        <w:t xml:space="preserve"> = 5</w:t>
      </w:r>
      <w:r w:rsidR="00067025" w:rsidRPr="00972C81">
        <w:rPr>
          <w:noProof/>
        </w:rPr>
        <w:t xml:space="preserve"> × </w:t>
      </w:r>
      <w:r w:rsidRPr="00972C81">
        <w:rPr>
          <w:noProof/>
        </w:rPr>
        <w:t>10</w:t>
      </w:r>
      <w:r w:rsidRPr="00972C81">
        <w:rPr>
          <w:noProof/>
          <w:vertAlign w:val="superscript"/>
        </w:rPr>
        <w:t>-3</w:t>
      </w:r>
      <w:r w:rsidRPr="00972C81">
        <w:rPr>
          <w:noProof/>
        </w:rPr>
        <w:t xml:space="preserve"> for 3-month-old infants and 5</w:t>
      </w:r>
      <w:r w:rsidR="00067025" w:rsidRPr="00972C81">
        <w:rPr>
          <w:noProof/>
        </w:rPr>
        <w:t xml:space="preserve"> × </w:t>
      </w:r>
      <w:r w:rsidRPr="00972C81">
        <w:rPr>
          <w:noProof/>
        </w:rPr>
        <w:t>10</w:t>
      </w:r>
      <w:r w:rsidRPr="00972C81">
        <w:rPr>
          <w:noProof/>
          <w:vertAlign w:val="superscript"/>
        </w:rPr>
        <w:t>-4</w:t>
      </w:r>
      <w:r w:rsidRPr="00972C81">
        <w:rPr>
          <w:noProof/>
        </w:rPr>
        <w:t xml:space="preserve"> for children of 1 year and older are therefore adopted here for curium as for thorium, neptunium, plutonium and americium.</w:t>
      </w:r>
    </w:p>
    <w:p w14:paraId="44E35E79" w14:textId="77777777" w:rsidR="004836EE" w:rsidRPr="00972C81" w:rsidRDefault="004836EE" w:rsidP="00E81109">
      <w:pPr>
        <w:pStyle w:val="3"/>
        <w:rPr>
          <w:noProof/>
        </w:rPr>
      </w:pPr>
      <w:bookmarkStart w:id="391" w:name="_Toc162630131"/>
      <w:r w:rsidRPr="00972C81">
        <w:rPr>
          <w:noProof/>
        </w:rPr>
        <w:t>Systemic Distribution, Retention and Excretion</w:t>
      </w:r>
      <w:bookmarkEnd w:id="391"/>
    </w:p>
    <w:p w14:paraId="779E1990" w14:textId="77777777" w:rsidR="004F2A24" w:rsidRPr="00972C81" w:rsidRDefault="004F2A24" w:rsidP="006703A2">
      <w:pPr>
        <w:pStyle w:val="OIRTitre4"/>
      </w:pPr>
      <w:r w:rsidRPr="00972C81">
        <w:t>Summary of biokinetic data</w:t>
      </w:r>
    </w:p>
    <w:p w14:paraId="61F74D71" w14:textId="0A7FEDC6" w:rsidR="004F2A24" w:rsidRPr="00972C81" w:rsidRDefault="004F2A24" w:rsidP="001C4A92">
      <w:pPr>
        <w:pStyle w:val="Annalstext"/>
        <w:rPr>
          <w:noProof/>
        </w:rPr>
      </w:pPr>
      <w:r w:rsidRPr="00972C81">
        <w:rPr>
          <w:noProof/>
        </w:rPr>
        <w:t xml:space="preserve">The biokinetics of inhaled californium has been studied by external measurement and bioassay in a few accidentally exposed workers </w:t>
      </w:r>
      <w:r w:rsidR="008831A6" w:rsidRPr="00972C81">
        <w:rPr>
          <w:noProof/>
        </w:rPr>
        <w:fldChar w:fldCharType="begin"/>
      </w:r>
      <w:r w:rsidR="00F4369C" w:rsidRPr="00972C81">
        <w:rPr>
          <w:noProof/>
        </w:rPr>
        <w:instrText xml:space="preserve"> ADDIN ZOTERO_ITEM CSL_CITATION {"citationID":"a1motr260l8","properties":{"formattedCitation":"(Poda and Hall, 1975; Rundo and Sedlet, 1973)","plainCitation":"(Poda and Hall, 1975; Rundo and Sedlet, 1973)","noteIndex":0},"citationItems":[{"id":5282,"uris":["http://zotero.org/groups/2470620/items/DNJ76UTY"],"itemData":{"id":5282,"type":"article-journal","abstract":"A general description of a 252Cf inhalation incident, personnel decontamination and precautionary medical treatment are presented in this paper. Californium urinary excretion was followed, some fecal analyses were carried out and in vivo measurements were made with a 4 x 8-in. Nal(Tl) detector. Bioassay data are evaluated to indicate gastrointestinal and urinary clearance rates. The effects of DTP A chelation and catharsis are discussed. © 1975 Health Physics Society.","archive":"Scopus","container-title":"Health Physics","DOI":"10.1097/00004032-197509000-00007","issue":"3","page":"407-409","source":"Scopus","title":"Two californium-252 inhalation cases","volume":"29","author":[{"family":"Poda","given":"G.A."},{"family":"Hall","given":"R.M."}],"issued":{"date-parts":[["1975"]]}}},{"id":5274,"uris":["http://zotero.org/groups/2470620/items/5EKA4TDZ"],"itemData":{"id":5274,"type":"paper-conference","container-title":"Proceedings of the 3rd International Congress of the International Radiation Protection Association","event-place":"Washington, D.C.","event-title":"IRPA September 9-14, 1973","publisher":"Argonne National Lab., Ill.(USA)","publisher-place":"Washington, D.C.","source":"Google Scholar","title":"Retention and elimination of berkelium-249–californium-249 following acute accidental inhalation","URL":"https://www.osti.gov/biblio/4384632","volume":"IRPA CONF-730907-P1","author":[{"family":"Rundo","given":"J."},{"family":"Sedlet","given":"J."}],"accessed":{"date-parts":[["2023",10,5]]},"issued":{"date-parts":[["1973"]]}}}],"schema":"https://github.com/citation-style-language/schema/raw/master/csl-citation.json"} </w:instrText>
      </w:r>
      <w:r w:rsidR="008831A6" w:rsidRPr="00972C81">
        <w:rPr>
          <w:noProof/>
        </w:rPr>
        <w:fldChar w:fldCharType="separate"/>
      </w:r>
      <w:r w:rsidR="00F4369C" w:rsidRPr="00972C81">
        <w:rPr>
          <w:noProof/>
          <w:szCs w:val="24"/>
        </w:rPr>
        <w:t>(Poda and Hall, 1975; Rundo and Sedlet, 1973)</w:t>
      </w:r>
      <w:r w:rsidR="008831A6" w:rsidRPr="00972C81">
        <w:rPr>
          <w:noProof/>
        </w:rPr>
        <w:fldChar w:fldCharType="end"/>
      </w:r>
      <w:r w:rsidRPr="00972C81">
        <w:rPr>
          <w:noProof/>
        </w:rPr>
        <w:t>. The results provide useful information on the lung retention and total body retention of the inhaled material but are difficult to interpret in terms of the systemic biokinetics of californium.</w:t>
      </w:r>
    </w:p>
    <w:p w14:paraId="55195DF4" w14:textId="39F343B2" w:rsidR="004F2A24" w:rsidRPr="00972C81" w:rsidRDefault="004F2A24" w:rsidP="001C4A92">
      <w:pPr>
        <w:pStyle w:val="Annalstext"/>
        <w:rPr>
          <w:noProof/>
        </w:rPr>
      </w:pPr>
      <w:r w:rsidRPr="00972C81">
        <w:rPr>
          <w:noProof/>
        </w:rPr>
        <w:t xml:space="preserve">The biokinetics of systemic californium has been studied in a variety of laboratory animals including mice, rats, Chinese and Syrian hamsters, and beagles </w:t>
      </w:r>
      <w:r w:rsidR="0080604B" w:rsidRPr="00972C81">
        <w:rPr>
          <w:noProof/>
        </w:rPr>
        <w:fldChar w:fldCharType="begin"/>
      </w:r>
      <w:r w:rsidR="00F4369C" w:rsidRPr="00972C81">
        <w:rPr>
          <w:noProof/>
        </w:rPr>
        <w:instrText xml:space="preserve"> ADDIN ZOTERO_ITEM CSL_CITATION {"citationID":"auehtm4v7p","properties":{"formattedCitation":"(Atherton and Lloyd, 1972; Bruenger et al., 1972; Durbin, 1973; Graham et al., 1978; Lloyd et al., 1976; R.D. Lloyd et al., 1972; Mewhinney et al., 1971, 1972; Parker et al., 1962; Smith, 1972; Stevens and Bruenger, 1972; Taylor et al., 1972)","plainCitation":"(Atherton and Lloyd, 1972; Bruenger et al., 1972; Durbin, 1973; Graham et al., 1978; Lloyd et al., 1976; R.D. Lloyd et al., 1972; Mewhinney et al., 1971, 1972; Parker et al., 1962; Smith, 1972; Stevens and Bruenger, 1972; Taylor et al., 1972)","noteIndex":0},"citationItems":[{"id":5300,"uris":["http://zotero.org/groups/2470620/items/N87AEX4X"],"itemData":{"id":5300,"type":"article-journal","abstract":"Beagles injected intravenously with249Cf in citrate buffer of pH 3.5 were sacrificed 7 days and 3 weeks after injection. As with americium, the concentration of californium in the liver was highest of all soft tissue but the total was about 18-20%, whereas the beagle liver retains about 50% of injected americium at comparable times. Concentrations in other soft tissue ranged from 70% of that in the liver downward. The thyroid, kidney, spleen, lymphatic tissue and dura mater showed significant concentrations. The presence of californium was ubiquitious but in very low concentrations throughout all other soft parts; the brain, lungs, heart, gastrointestinal tract, pancreas, gonads, thymus, pituitary and adrenals being measured specifically, as were large samples of fat, muscle and pelt. From these initial studies it is seen that of the soft tissues, liver, thyroid and kidneys will be at greatest risk following administration of249Cf. © 1972 Health Physics Society.","archive":"Scopus","container-title":"Health Physics","DOI":"10.1097/00004032-197206000-00021","issue":"6","page":"675-677","source":"Scopus","title":"The distribution and retention of 249Cf in beagle soft tissue","volume":"22","author":[{"family":"Atherton","given":"D.R."},{"family":"Lloyd","given":"R.D."}],"issued":{"date-parts":[["1972"]]}}},{"id":5303,"uris":["http://zotero.org/groups/2470620/items/7XU5GE5N"],"itemData":{"id":5303,"type":"article-journal","abstract":"Three beagles were injected intravenously with249Cf in citrate buffer. One of these dogs was sacrificed at 7 days, another at 21 days; liver biopsies were performed on the third dog starting at one day after injection. Liver specimens from all dogs were homogenized in sucrose-Ca++and subjected to differential centrifugation. Most of the249Cf was initially bound by soluble proteins, probably ferritin. At later times, increasing quantities were associated with intracellular organelles. Homogenate fractions free of nuclei and debris (homogenate after 6000 g-min) were subjected to centrifugation for 220,000 g-min in a continuous linear sucrose gradient of 12-52%. All fractions were collected and analyzed for M9Cf, protein, acid phosphatase (lysosomal marker), and cytochrome c oxidase (mitochondrial marker). At one day after injection more than 50% of the nuclide was found in the three lightest fractions and approximately 10% in the three heaviest fractions. This pattern was reversed with time and at 21 days 10% was found in the lightest fractions and 43% in the heaviest fractions. At this time more than 50% of the nuclide in the liver was associated with the fraction collected at 60,000 g-min, designated as mitochondria. This fraction showed high cytochrome oxidase activity and also acid phosphatase activity. It is presently assumed that redistribution occurs from soluble proteins into mitochondria and then into lysosomes. Similar data have been obtained from kidney and spleen homogenates. © 1972 Health Physics Society.","archive":"Scopus","container-title":"Health Physics","DOI":"10.1097/00004032-197206000-00023","issue":"6","page":"685-689","source":"Scopus","title":"Intracellular distribution of 249Cf in canine liver","volume":"22","author":[{"family":"Bruenger","given":"F.W."},{"family":"Atherton","given":"D.R."},{"family":"Stevens","given":"W."}],"issued":{"date-parts":[["1972"]]}}},{"id":4804,"uris":["http://zotero.org/groups/2470620/items/8DP7GNID"],"itemData":{"id":4804,"type":"chapter","container-title":"Uranium· Plutonium Transplutonic Elements","event-place":"Berlin","page":"739–896","publisher":"Springer","publisher-place":"Berlin","source":"Google Scholar","title":"Metabolism and biological effects of the transplutonium elements","author":[{"family":"Durbin","given":"Patricia W."}],"editor":[{"family":"Hodge","given":"H.C."},{"family":"Stannard","given":"J.N.J."},{"family":"Hursh","given":"J.B."}],"issued":{"date-parts":[["1973"]]}}},{"id":5311,"uris":["http://zotero.org/groups/2470620/items/L3JU6FB8"],"itemData":{"id":5311,"type":"article-journal","abstract":"The retention, distribution, and excretion of252CfCl3after intraperitoneal, intravenous, and intratracheal injection into rats is described. The effectiveness of DTPA chelation therapy in removing252Cf from the body after it has been injected in-tratracheally is also reported. Following intraperitoneal, intravenous, or intratracheal injection, the whole body retention is described by a three-component exponential equation. For each mode of injection, the short-term component exhibited a biological half-life of between 5 and 10 hr; the intermediate component between 4 and 6 days, and the long-term component between 200 and 300 days. Regardless of the injection route,252Cf was retained predominantly in the skeleton, where very little decrease was noted over the 32-day study. Initially, the liver, kidneys, and gastrointestinal tract contained significant quantities of252Cf. The spleen, heart, and testes showed a small, but significant, retention throughout the study. Lung retention after intratracheal injection is described by a three-component exponential equation. The long-term component exhibited a biological half-life of 18.4 days, indicating pulmonary clearance. DTPA chelation therapy proved to be very effective. The data showed that 60% of the intratracheal!y injected252Cf appeared in the urine on the first day. The content of252Cf in tissue was very low or not detectable at all times after intratracheal injection and DTPA therapy. The lung retention data revaled that DTPA therapy was effective in clearing the intratracheally injected252Cf from the lungs. After 32 days, the lungs of the DTPA-treated animals contained only 5% of the amount retained by the control group. © 1978 Health Physics Society.","archive":"Scopus","container-title":"Health Physics","DOI":"10.1097/00004032-197806000-00011","ISSN":"0017-9078","issue":"6","language":"English","page":"635-641","source":"Scopus","title":"The metabolism of 252CfCl3 in the rat and the effect of in vivo dtp a chelation therapy","volume":"34","author":[{"family":"Graham","given":"B.W."},{"family":"Ziemer","given":"P.L."},{"family":"Landolt","given":"R.R."},{"family":"Shaw","given":"S.M."},{"family":"McCabe","given":"G.P."}],"issued":{"date-parts":[["1978"]]}}},{"id":5294,"uris":["http://zotero.org/groups/2470620/items/PS7A66AU"],"itemData":{"id":5294,"type":"article-journal","abstract":"The metabolism of californium was studied in 11 beagles 0-160 days after intravenous injection of249Cf or252Cf as Cf (III) citrate. Total excreta collections were made for the first 21 days after injection, and the samples were analyzed for their californium content by gamma-ray counting of the 333 and 388 keV gamma-rays of249Cf or the fission gamma-rays of252Cf. It was found that the excretion of californium during this period was mainly in the urine. About -3/5of the total activity excreted during the first 3 weeks appeared in the first day's collection. A combination of total-body and partial-body counting was used to determine serially the total-body retention and partitioning of retained Cf between liver and non-liver tissue. These measurements indicated that 1 week following injection, about 20% of the injected Cf was deposited in the liver and that about 60% remained in non-liver tissue (mainly skeleton). The relative bone-to-bone distribution of249Cf in the skeletons of 2 dogs sacrificed 7 and 21 days after injection was similar to that of241Am and239Pu injected as citrates. © 1972 Health Physics Society.","archive":"Scopus","container-title":"Health Physics","DOI":"10.1097/00004032-197206000-00020","issue":"6","page":"667-673","source":"Scopus","title":"Californium excretion and retention by beagles injected with 249Cf or 252Cf","volume":"22","author":[{"family":"Lloyd","given":"R.D."},{"family":"Mays","given":"C.W."},{"family":"Taylor","given":"G.N."},{"family":"Williams","given":"J.L."}],"issued":{"date-parts":[["1972"]]}}},{"id":5297,"uris":["http://zotero.org/groups/2470620/items/VQJIV2LV"],"itemData":{"id":5297,"type":"article-journal","abstract":"Measurements of californium retention in the total body and the liver of living beagles have been made from 0 to 1546 days after intravenous injection of 0.005-2.8 μCi 249Cf/kg or 0.016-2.9 μCi 252Cf/kg as Cf(III) citrate. The indicated biological half times were about 8.5 years in the total body and 4.2 yr in the liver. No important differences could be established between the retention of 249Cf and 252Cf. Californium was found in almost every tissue of four dogs sacrificed at 7-36 days after injection. Liver and skeleton had the highest concentrations, with thyroid and kidney exhibiting somewhat lower values. The concentrations of most other tissues were considerably lower. Iodine isotopes resulting from the spontaneous fission of 252Cf were identified in the thyroid glands of 252Cf injected dogs. Utilizing the fission γ rays of 252Cf seems to be a satisfactory method of assay for this radionuclide despite the minor contribution from photon radiation of fission products. Redeposition onto bone surfaces of californium lost from liver tissue probably contributes to the irradiation of cells that are believed to be most sensitive to bone sarcoma formation. The fission fragment radiation of 252Cf appears to be much less effective per rad in bone sarcoma induction than alpha radiation.","archive":"Scopus","container-title":"Radiation Research","DOI":"10.2307/3574378","issue":"3","page":"462-473","source":"Scopus","title":"Californium studies in beagles","volume":"65","author":[{"family":"Lloyd","given":"R.D."},{"family":"Mays","given":"C.W."},{"family":"McFarland","given":"S.S."},{"family":"Atherton","given":"D.R."},{"family":"Williams","given":"J.L."}],"issued":{"date-parts":[["1976"]]}}},{"id":5290,"uris":["http://zotero.org/groups/2470620/items/UBMYKCMP"],"itemData":{"id":5290,"type":"article-journal","archive":"Scopus","container-title":"Health Physics","issue":"6","page":"857-860","source":"Scopus","title":"Retention and distribution of injected Californium-252 in the rat.","volume":"21","author":[{"family":"Mewhinney","given":"J.A."},{"family":"Ziemer","given":"P.L."},{"family":"Landolt","given":"R.R."}],"issued":{"date-parts":[["1971"]]}}},{"id":5288,"uris":["http://zotero.org/groups/2470620/items/I59PFCJ4"],"itemData":{"id":5288,"type":"article-journal","abstract":"The retentions of252Cf in the rat and Chinese hamster were compared for 64 days following intraperitoneal injection of the citrate complex. Organ distribution was determined by serial sacrifice of groups of 6 animals at 1, 2, 4, 8, 16, 32 and 64 days post-injection for each species. Comparison of the whole-body retention pattern of252Cf in the rat and Chinese hamster revealed significant differences. Although whole-body clearance was nearly equal at comparable times post-injection through 64 days, differences were reflected in the number of exponential components needed to adequately describe the data and in the effective half-times of the long-term components of the two equations. For rats, the long-term component was clearly a function of avid skeletal retention whereas the long-term component for Chinese hamster retention was a function of combined liver and skeletal retention. The greater contrasts between the two species were noted in organ distribution and retention. The rat initially deposited much lower quantities in the liver and kidney. Elimination from these organs was characterized by half-times of approximately 5 days. In the Chinese hamster, initial deposition in the kidney and liver was greater than in the rat. The hamster kidney deposition was eliminated much like the rat with a short effective half-time. However, the liver of the hamster retained the initial burden much longer than did the rat liver. © 1972 Health Physics Society.","archive":"Scopus","container-title":"Health Physics","DOI":"10.1097/00004032-197206000-00025","issue":"6","page":"695-700","source":"Scopus","title":"Comparison of the retention and distribution of injected 252Cf in rats and Chinese hamsters","volume":"22","author":[{"family":"Mewhinney","given":"J.A."},{"family":"Brooks","given":"A.L."},{"family":"McClellan","given":"R.O."}],"issued":{"date-parts":[["1972"]]}}},{"id":5285,"uris":["http://zotero.org/groups/2470620/items/I4DHB8I8"],"itemData":{"id":5285,"type":"article-journal","abstract":"Retention and organ distribution of Am241 and Cf252 were measured simultaneously in mice following intramuscular injection, with and without subsequent treatment with the chelating agent diethylenetriaminepentaacetic acid (DTPA). The ratio of the two elements was followed in each animal by whole-body γ-ray counting. Organ distribution was determined at 4 and 14 days. A similar over-all pattern was found, but there were consistent differences in detailed behavior of the two isotopes. Initial deposition of californium was more in bone and less in liver than americium. DTPA was only slightly less effective for californium than for americium. © 1962 Health Physics Society.","archive":"Scopus","container-title":"Health Physics","DOI":"10.1097/00004032-196212000-00017","issue":"6","page":"679-684","source":"Scopus","title":"Comparison of retention and organ distribution of AM241 and Cf-252 in mice: The effect of in vivo DTPA chelation","title-short":"Comparison of retention and organ distribution of AM241 and CF252 in mice","volume":"8","author":[{"family":"Parker","given":"H.G."},{"family":"Low-Beer","given":"A.D.G."},{"family":"Isaac","given":"E.L."}],"issued":{"date-parts":[["1962"]]}}},{"id":5275,"uris":["http://zotero.org/groups/2470620/items/U5UCXJEJ"],"itemData":{"id":5275,"type":"article-journal","abstract":"Treatment for the accidental incorporation of the transuranic elements is mainly dependent on chelation therapy. Most of the therapeutic experience has evolved, justifiably, for the removal of plutonium. The plutonium therapeutic regimens may serve as a rough guide to the treatment of other transuranides, although, quantitatively, dissimilarities based on chemical and incorporated mass differences are to be expected. With the added complication of the biological disposition of the daughter products and the high specific activities of some of the isotopes, any significant incorporation should be treated, and treated promptly. While progress in the treatment of plutonium has been slow, a better understanding of removal from specific tissues, such as liver, bone and lung, for soluble and insoluble plutonium materials, is being achieved. The brightest spot is the ability to remove about half the inhaled particulates, plutonium or other transuranics, from the lung by lung washing. Coupled with the judicious use of chelation therapy this should significantly reduce the hazard from inhaled transuranics. These and other aspects of the treatment for poisoning by the transuranic elements will be discussed. © 1972 Health Physics Society.","archive":"Scopus","container-title":"Health Physics","DOI":"10.1097/00004032-197206000-00036","issue":"6","page":"765-778","source":"Scopus","title":"Therapeutic removal of internally deposited transuranium elements","volume":"22","author":[{"family":"Smith","given":"V.H."}],"issued":{"date-parts":[["1972"]]}}},{"id":5306,"uris":["http://zotero.org/groups/2470620/items/Z5CW33UA"],"itemData":{"id":5306,"type":"article-journal","abstract":"Beagles were injected with249Cf or252Cf in citrate buffer. The concentration of nuclide in plasma and whole blood was measured from 5 min to 48 hrpost injection. Small amounts of californium were found associated with the cellular elements. The concentration of californium in plasma decreased rapidly during the first few hours after injection. At 24 hr post injection less than 1% of the injected dose was circulating. Californium-249 and -252 disappeared from the circulation at the same rate. Separation of plasma constituents by gel filtration demonstrated that californium in plasma was associated with compounds with a molecular weight of approximately 70,000. Additional information obtained by ion exchange chromatography indicated that this protein was transferrin. Data obtained in vivo from canines were extended by in vitro experiments with human blood. Gel chromatography of human plasma protein incubated in vitro with californium indicated that a Cf-protein complex was formed and appeared to be nearly identical to that seen in dogs. Re-chromatography of these fractions on DEAE-Sephadex showed that transferrin and californium did not coincide exactly. Thus californium-transferrin is either held more tenaciously by the ion exchange resin than iron-transferrin or apo-transferrin, or the shift was caused by the presence of another as yet unidentified minor protein component. The stability of the protein complex(s) formed is less than that of the plutonium-transferrin complex and this decreased stability is responsible for the high rate of its disappearance from the bloodstream. © 1972 Health Physics Society.","archive":"Scopus","container-title":"Health Physics","DOI":"10.1097/00004032-197206000-00022","issue":"6","page":"679-683","source":"Scopus","title":"Interaction of 249Cf and 252Cf with constituents of dog and human blood","volume":"22","author":[{"family":"Stevens","given":"W."},{"family":"Bruenger","given":"F.W."}],"issued":{"date-parts":[["1972"]]}}},{"id":5271,"uris":["http://zotero.org/groups/2470620/items/TNBZEC9Q"],"itemData":{"id":5271,"type":"article-journal","abstract":"The microscopic distribution pattern of249Cf and249Bk in the soft tissues of beagles, one to three weeks following a single intravenous injection of a citrate solution, was found to be very similar to that of241Am. Relatively high concentrations occurred in the hepatic cells of the liver, the glomeruli of the kidney, the interfollicular region of the thyroid, the cartilaginous tissues of the lung, and the media of the smaller arterioles of most organs. Very intense, but sparsely scattered “hot spots” were also present in the renal papillae and in the submucosa of the bronchioles. Lesser sites of localization were the endocardium of the AV heart valves, the glassy membranes of the larger hairs of the coat, the zona pellucida of the Graafian follicles and the zona arcuata of the adrenal cortex. With the exception of the liver, where the radionuclide was principally within the hepatic cells, most of the deposition sites were extracellular, within or associated with connective tissue which gave a positive periodic acid-Schiff reaction. © 1972 Health Physics Society.","archive":"Scopus","container-title":"Health Physics","DOI":"10.1097/00004032-197206000-00024","issue":"6","page":"691-693","source":"Scopus","title":"Microscopic distribution of californium-249 and berkelium-249 in the soft tissues of beagles","volume":"22","author":[{"family":"Taylor","given":"G.N."},{"family":"Jee","given":"W.S."},{"family":"Mays","given":"C.W."},{"family":"Dell","given":"R.B."},{"family":"Williams","given":"J.L."},{"family":"Shabestari","given":"L."}],"issued":{"date-parts":[["1972"]]}}}],"schema":"https://github.com/citation-style-language/schema/raw/master/csl-citation.json"} </w:instrText>
      </w:r>
      <w:r w:rsidR="0080604B" w:rsidRPr="00972C81">
        <w:rPr>
          <w:noProof/>
        </w:rPr>
        <w:fldChar w:fldCharType="separate"/>
      </w:r>
      <w:r w:rsidR="00F4369C" w:rsidRPr="00972C81">
        <w:rPr>
          <w:noProof/>
          <w:szCs w:val="24"/>
        </w:rPr>
        <w:t>(Atherton and Lloyd, 1972; Bruenger et al., 1972; Durbin, 1973; Graham et al., 1978; Lloyd et al., 1976; R.D. Lloyd et al., 1972; Mewhinney et al., 1971, 1972; Parker et al., 1962; Smith, 1972; Stevens and Bruenger, 1972; Taylor et al., 1972)</w:t>
      </w:r>
      <w:r w:rsidR="0080604B" w:rsidRPr="00972C81">
        <w:rPr>
          <w:noProof/>
        </w:rPr>
        <w:fldChar w:fldCharType="end"/>
      </w:r>
      <w:r w:rsidRPr="00972C81">
        <w:rPr>
          <w:noProof/>
        </w:rPr>
        <w:t xml:space="preserve">. Its </w:t>
      </w:r>
      <w:r w:rsidR="00BB503E">
        <w:rPr>
          <w:noProof/>
        </w:rPr>
        <w:t>behaviour</w:t>
      </w:r>
      <w:r w:rsidRPr="00972C81">
        <w:rPr>
          <w:noProof/>
        </w:rPr>
        <w:t xml:space="preserve"> is qualitatively similar to that of other transuranium elements. Much of the absorbed or injected californium deposits in the skeleton and liver; the skeletal deposit is almost entirely on bone surfaces; and most of the activity reaching the systemic circulation is tenaciously retained in the body. The gross distribution of californium in the skeleton and soft tissues of beagle dogs were found to be particularly close to the distribution of americium </w:t>
      </w:r>
      <w:r w:rsidR="002D63D9" w:rsidRPr="00972C81">
        <w:rPr>
          <w:noProof/>
        </w:rPr>
        <w:fldChar w:fldCharType="begin"/>
      </w:r>
      <w:r w:rsidR="00F4369C" w:rsidRPr="00972C81">
        <w:rPr>
          <w:noProof/>
        </w:rPr>
        <w:instrText xml:space="preserve"> ADDIN ZOTERO_ITEM CSL_CITATION {"citationID":"avef9e3pnh","properties":{"formattedCitation":"(R.D. Lloyd et al., 1972; Taylor et al., 1972)","plainCitation":"(R.D. Lloyd et al., 1972; Taylor et al., 1972)","noteIndex":0},"citationItems":[{"id":5294,"uris":["http://zotero.org/groups/2470620/items/PS7A66AU"],"itemData":{"id":5294,"type":"article-journal","abstract":"The metabolism of californium was studied in 11 beagles 0-160 days after intravenous injection of249Cf or252Cf as Cf (III) citrate. Total excreta collections were made for the first 21 days after injection, and the samples were analyzed for their californium content by gamma-ray counting of the 333 and 388 keV gamma-rays of249Cf or the fission gamma-rays of252Cf. It was found that the excretion of californium during this period was mainly in the urine. About -3/5of the total activity excreted during the first 3 weeks appeared in the first day's collection. A combination of total-body and partial-body counting was used to determine serially the total-body retention and partitioning of retained Cf between liver and non-liver tissue. These measurements indicated that 1 week following injection, about 20% of the injected Cf was deposited in the liver and that about 60% remained in non-liver tissue (mainly skeleton). The relative bone-to-bone distribution of249Cf in the skeletons of 2 dogs sacrificed 7 and 21 days after injection was similar to that of241Am and239Pu injected as citrates. © 1972 Health Physics Society.","archive":"Scopus","container-title":"Health Physics","DOI":"10.1097/00004032-197206000-00020","issue":"6","page":"667-673","source":"Scopus","title":"Californium excretion and retention by beagles injected with 249Cf or 252Cf","volume":"22","author":[{"family":"Lloyd","given":"R.D."},{"family":"Mays","given":"C.W."},{"family":"Taylor","given":"G.N."},{"family":"Williams","given":"J.L."}],"issued":{"date-parts":[["1972"]]}}},{"id":5271,"uris":["http://zotero.org/groups/2470620/items/TNBZEC9Q"],"itemData":{"id":5271,"type":"article-journal","abstract":"The microscopic distribution pattern of249Cf and249Bk in the soft tissues of beagles, one to three weeks following a single intravenous injection of a citrate solution, was found to be very similar to that of241Am. Relatively high concentrations occurred in the hepatic cells of the liver, the glomeruli of the kidney, the interfollicular region of the thyroid, the cartilaginous tissues of the lung, and the media of the smaller arterioles of most organs. Very intense, but sparsely scattered “hot spots” were also present in the renal papillae and in the submucosa of the bronchioles. Lesser sites of localization were the endocardium of the AV heart valves, the glassy membranes of the larger hairs of the coat, the zona pellucida of the Graafian follicles and the zona arcuata of the adrenal cortex. With the exception of the liver, where the radionuclide was principally within the hepatic cells, most of the deposition sites were extracellular, within or associated with connective tissue which gave a positive periodic acid-Schiff reaction. © 1972 Health Physics Society.","archive":"Scopus","container-title":"Health Physics","DOI":"10.1097/00004032-197206000-00024","issue":"6","page":"691-693","source":"Scopus","title":"Microscopic distribution of californium-249 and berkelium-249 in the soft tissues of beagles","volume":"22","author":[{"family":"Taylor","given":"G.N."},{"family":"Jee","given":"W.S."},{"family":"Mays","given":"C.W."},{"family":"Dell","given":"R.B."},{"family":"Williams","given":"J.L."},{"family":"Shabestari","given":"L."}],"issued":{"date-parts":[["1972"]]}}}],"schema":"https://github.com/citation-style-language/schema/raw/master/csl-citation.json"} </w:instrText>
      </w:r>
      <w:r w:rsidR="002D63D9" w:rsidRPr="00972C81">
        <w:rPr>
          <w:noProof/>
        </w:rPr>
        <w:fldChar w:fldCharType="separate"/>
      </w:r>
      <w:r w:rsidR="00F4369C" w:rsidRPr="00972C81">
        <w:rPr>
          <w:noProof/>
          <w:szCs w:val="24"/>
        </w:rPr>
        <w:t>(R.D. Lloyd et al., 1972; Taylor et al., 1972)</w:t>
      </w:r>
      <w:r w:rsidR="002D63D9" w:rsidRPr="00972C81">
        <w:rPr>
          <w:noProof/>
        </w:rPr>
        <w:fldChar w:fldCharType="end"/>
      </w:r>
      <w:r w:rsidRPr="00972C81">
        <w:rPr>
          <w:noProof/>
        </w:rPr>
        <w:t xml:space="preserve">. The microscopic distribution of californium in the skeleton was also similar to that of americium in rats, with heaviest deposits on the trabeculae of the primary spongiosa and on epiphyseal and metaphyseal trabeculae </w:t>
      </w:r>
      <w:r w:rsidR="002D63D9" w:rsidRPr="00972C81">
        <w:rPr>
          <w:noProof/>
        </w:rPr>
        <w:fldChar w:fldCharType="begin"/>
      </w:r>
      <w:r w:rsidR="00F4369C" w:rsidRPr="00972C81">
        <w:rPr>
          <w:noProof/>
        </w:rPr>
        <w:instrText xml:space="preserve"> ADDIN ZOTERO_ITEM CSL_CITATION {"citationID":"a29opoffdk6","properties":{"formattedCitation":"(Durbin, 1973)","plainCitation":"(Durbin, 1973)","noteIndex":0},"citationItems":[{"id":4804,"uris":["http://zotero.org/groups/2470620/items/8DP7GNID"],"itemData":{"id":4804,"type":"chapter","container-title":"Uranium· Plutonium Transplutonic Elements","event-place":"Berlin","page":"739–896","publisher":"Springer","publisher-place":"Berlin","source":"Google Scholar","title":"Metabolism and biological effects of the transplutonium elements","author":[{"family":"Durbin","given":"Patricia W."}],"editor":[{"family":"Hodge","given":"H.C."},{"family":"Stannard","given":"J.N.J."},{"family":"Hursh","given":"J.B."}],"issued":{"date-parts":[["1973"]]}}}],"schema":"https://github.com/citation-style-language/schema/raw/master/csl-citation.json"} </w:instrText>
      </w:r>
      <w:r w:rsidR="002D63D9" w:rsidRPr="00972C81">
        <w:rPr>
          <w:noProof/>
        </w:rPr>
        <w:fldChar w:fldCharType="separate"/>
      </w:r>
      <w:r w:rsidR="00F4369C" w:rsidRPr="00972C81">
        <w:rPr>
          <w:noProof/>
          <w:szCs w:val="24"/>
        </w:rPr>
        <w:t>(Durbin, 1973)</w:t>
      </w:r>
      <w:r w:rsidR="002D63D9" w:rsidRPr="00972C81">
        <w:rPr>
          <w:noProof/>
        </w:rPr>
        <w:fldChar w:fldCharType="end"/>
      </w:r>
      <w:r w:rsidRPr="00972C81">
        <w:rPr>
          <w:noProof/>
        </w:rPr>
        <w:t xml:space="preserve">. </w:t>
      </w:r>
    </w:p>
    <w:p w14:paraId="3FFFE03E" w14:textId="4972C898" w:rsidR="004F2A24" w:rsidRPr="00972C81" w:rsidRDefault="004F2A24" w:rsidP="001C4A92">
      <w:pPr>
        <w:pStyle w:val="Annalstext"/>
        <w:rPr>
          <w:noProof/>
        </w:rPr>
      </w:pPr>
      <w:r w:rsidRPr="00972C81">
        <w:rPr>
          <w:noProof/>
        </w:rPr>
        <w:t xml:space="preserve">Species differences in the biokinetics of californium have been observed. For example, Mewhinney et al. </w:t>
      </w:r>
      <w:r w:rsidR="002D63D9" w:rsidRPr="00972C81">
        <w:rPr>
          <w:noProof/>
        </w:rPr>
        <w:fldChar w:fldCharType="begin"/>
      </w:r>
      <w:r w:rsidR="00F4369C" w:rsidRPr="00972C81">
        <w:rPr>
          <w:noProof/>
        </w:rPr>
        <w:instrText xml:space="preserve"> ADDIN ZOTERO_ITEM CSL_CITATION {"citationID":"a1tmp1nkhcp","properties":{"formattedCitation":"(1972)","plainCitation":"(1972)","noteIndex":0},"citationItems":[{"id":5288,"uris":["http://zotero.org/groups/2470620/items/I59PFCJ4"],"itemData":{"id":5288,"type":"article-journal","abstract":"The retentions of252Cf in the rat and Chinese hamster were compared for 64 days following intraperitoneal injection of the citrate complex. Organ distribution was determined by serial sacrifice of groups of 6 animals at 1, 2, 4, 8, 16, 32 and 64 days post-injection for each species. Comparison of the whole-body retention pattern of252Cf in the rat and Chinese hamster revealed significant differences. Although whole-body clearance was nearly equal at comparable times post-injection through 64 days, differences were reflected in the number of exponential components needed to adequately describe the data and in the effective half-times of the long-term components of the two equations. For rats, the long-term component was clearly a function of avid skeletal retention whereas the long-term component for Chinese hamster retention was a function of combined liver and skeletal retention. The greater contrasts between the two species were noted in organ distribution and retention. The rat initially deposited much lower quantities in the liver and kidney. Elimination from these organs was characterized by half-times of approximately 5 days. In the Chinese hamster, initial deposition in the kidney and liver was greater than in the rat. The hamster kidney deposition was eliminated much like the rat with a short effective half-time. However, the liver of the hamster retained the initial burden much longer than did the rat liver. © 1972 Health Physics Society.","archive":"Scopus","container-title":"Health Physics","DOI":"10.1097/00004032-197206000-00025","issue":"6","page":"695-700","source":"Scopus","title":"Comparison of the retention and distribution of injected 252Cf in rats and Chinese hamsters","volume":"22","author":[{"family":"Mewhinney","given":"J.A."},{"family":"Brooks","given":"A.L."},{"family":"McClellan","given":"R.O."}],"issued":{"date-parts":[["1972"]]}},"label":"page","suppress-author":true}],"schema":"https://github.com/citation-style-language/schema/raw/master/csl-citation.json"} </w:instrText>
      </w:r>
      <w:r w:rsidR="002D63D9" w:rsidRPr="00972C81">
        <w:rPr>
          <w:noProof/>
        </w:rPr>
        <w:fldChar w:fldCharType="separate"/>
      </w:r>
      <w:r w:rsidR="00F4369C" w:rsidRPr="00972C81">
        <w:rPr>
          <w:noProof/>
          <w:szCs w:val="24"/>
        </w:rPr>
        <w:t>(1972)</w:t>
      </w:r>
      <w:r w:rsidR="002D63D9" w:rsidRPr="00972C81">
        <w:rPr>
          <w:noProof/>
        </w:rPr>
        <w:fldChar w:fldCharType="end"/>
      </w:r>
      <w:r w:rsidRPr="00972C81">
        <w:rPr>
          <w:noProof/>
        </w:rPr>
        <w:t xml:space="preserve"> found significant differences in the </w:t>
      </w:r>
      <w:r w:rsidR="00BB503E">
        <w:rPr>
          <w:noProof/>
        </w:rPr>
        <w:t>behaviour</w:t>
      </w:r>
      <w:r w:rsidRPr="00972C81">
        <w:rPr>
          <w:noProof/>
        </w:rPr>
        <w:t xml:space="preserve"> of </w:t>
      </w:r>
      <w:r w:rsidRPr="00972C81">
        <w:rPr>
          <w:noProof/>
          <w:vertAlign w:val="superscript"/>
        </w:rPr>
        <w:t>252</w:t>
      </w:r>
      <w:r w:rsidRPr="00972C81">
        <w:rPr>
          <w:noProof/>
        </w:rPr>
        <w:t xml:space="preserve">Cf in rats and Chinese hamsters over 64 d following intraperitoneal injection of the citrate complex, including lower uptake of activity by the liver and kidneys and higher uptake by the skeleton in rats and much faster removal from the liver in rats. The </w:t>
      </w:r>
      <w:r w:rsidR="00BB503E">
        <w:rPr>
          <w:noProof/>
        </w:rPr>
        <w:t>behaviour</w:t>
      </w:r>
      <w:r w:rsidRPr="00972C81">
        <w:rPr>
          <w:noProof/>
        </w:rPr>
        <w:t xml:space="preserve"> of californium in beagles receiving </w:t>
      </w:r>
      <w:r w:rsidRPr="00972C81">
        <w:rPr>
          <w:noProof/>
          <w:vertAlign w:val="superscript"/>
        </w:rPr>
        <w:t>249</w:t>
      </w:r>
      <w:r w:rsidRPr="00972C81">
        <w:rPr>
          <w:noProof/>
        </w:rPr>
        <w:t xml:space="preserve">Cf or </w:t>
      </w:r>
      <w:r w:rsidRPr="00972C81">
        <w:rPr>
          <w:noProof/>
          <w:vertAlign w:val="superscript"/>
        </w:rPr>
        <w:t>252</w:t>
      </w:r>
      <w:r w:rsidRPr="00972C81">
        <w:rPr>
          <w:noProof/>
        </w:rPr>
        <w:t xml:space="preserve">Cf by intravenous injection </w:t>
      </w:r>
      <w:r w:rsidR="002D63D9" w:rsidRPr="00972C81">
        <w:rPr>
          <w:noProof/>
        </w:rPr>
        <w:fldChar w:fldCharType="begin"/>
      </w:r>
      <w:r w:rsidR="00F4369C" w:rsidRPr="00972C81">
        <w:rPr>
          <w:noProof/>
        </w:rPr>
        <w:instrText xml:space="preserve"> ADDIN ZOTERO_ITEM CSL_CITATION {"citationID":"a1duvl4m5mo","properties":{"formattedCitation":"(R.D. Lloyd et al., 1972)","plainCitation":"(R.D. Lloyd et al., 1972)","noteIndex":0},"citationItems":[{"id":5294,"uris":["http://zotero.org/groups/2470620/items/PS7A66AU"],"itemData":{"id":5294,"type":"article-journal","abstract":"The metabolism of californium was studied in 11 beagles 0-160 days after intravenous injection of249Cf or252Cf as Cf (III) citrate. Total excreta collections were made for the first 21 days after injection, and the samples were analyzed for their californium content by gamma-ray counting of the 333 and 388 keV gamma-rays of249Cf or the fission gamma-rays of252Cf. It was found that the excretion of californium during this period was mainly in the urine. About -3/5of the total activity excreted during the first 3 weeks appeared in the first day's collection. A combination of total-body and partial-body counting was used to determine serially the total-body retention and partitioning of retained Cf between liver and non-liver tissue. These measurements indicated that 1 week following injection, about 20% of the injected Cf was deposited in the liver and that about 60% remained in non-liver tissue (mainly skeleton). The relative bone-to-bone distribution of249Cf in the skeletons of 2 dogs sacrificed 7 and 21 days after injection was similar to that of241Am and239Pu injected as citrates. © 1972 Health Physics Society.","archive":"Scopus","container-title":"Health Physics","DOI":"10.1097/00004032-197206000-00020","issue":"6","page":"667-673","source":"Scopus","title":"Californium excretion and retention by beagles injected with 249Cf or 252Cf","volume":"22","author":[{"family":"Lloyd","given":"R.D."},{"family":"Mays","given":"C.W."},{"family":"Taylor","given":"G.N."},{"family":"Williams","given":"J.L."}],"issued":{"date-parts":[["1972"]]}}}],"schema":"https://github.com/citation-style-language/schema/raw/master/csl-citation.json"} </w:instrText>
      </w:r>
      <w:r w:rsidR="002D63D9" w:rsidRPr="00972C81">
        <w:rPr>
          <w:noProof/>
        </w:rPr>
        <w:fldChar w:fldCharType="separate"/>
      </w:r>
      <w:r w:rsidR="00F4369C" w:rsidRPr="00972C81">
        <w:rPr>
          <w:noProof/>
          <w:szCs w:val="24"/>
        </w:rPr>
        <w:t>(R.D. Lloyd et al., 1972)</w:t>
      </w:r>
      <w:r w:rsidR="002D63D9" w:rsidRPr="00972C81">
        <w:rPr>
          <w:noProof/>
        </w:rPr>
        <w:fldChar w:fldCharType="end"/>
      </w:r>
      <w:r w:rsidRPr="00972C81">
        <w:rPr>
          <w:noProof/>
        </w:rPr>
        <w:t xml:space="preserve"> was broadly similar to that in the hamster with regard to uptake and retention in major repositories. The faecal to urinary excretion ratio was much higher in rats than in dogs, probably due to a higher rate of biliary secretion of californium by rats.</w:t>
      </w:r>
    </w:p>
    <w:p w14:paraId="564A876F" w14:textId="77777777" w:rsidR="004F2A24" w:rsidRPr="00972C81" w:rsidRDefault="004F2A24" w:rsidP="001C4A92">
      <w:pPr>
        <w:pStyle w:val="Annalstext"/>
        <w:rPr>
          <w:noProof/>
        </w:rPr>
      </w:pPr>
      <w:r w:rsidRPr="00972C81">
        <w:rPr>
          <w:noProof/>
        </w:rPr>
        <w:t xml:space="preserve">Measurements on rats and mice indicate a biological half-time for the whole body on the order of 2 y (400-1000 d). This reflects primarily skeletal retention in these animals because </w:t>
      </w:r>
      <w:r w:rsidRPr="00972C81">
        <w:rPr>
          <w:noProof/>
        </w:rPr>
        <w:lastRenderedPageBreak/>
        <w:t>the removal half-time from the liver is short and other soft tissues do not retain much californium. In dogs or hamsters, whole-body retention of californium reflects tenacious retention of in both the liver and skeleton. For the beagle, half-times of 8.5 y and 4.2 y have been estimated for the whole body and liver, respectively.</w:t>
      </w:r>
    </w:p>
    <w:p w14:paraId="55B91869" w14:textId="77777777" w:rsidR="004F2A24" w:rsidRPr="00972C81" w:rsidRDefault="004F2A24" w:rsidP="001C4A92">
      <w:pPr>
        <w:pStyle w:val="Annalstext"/>
        <w:rPr>
          <w:noProof/>
        </w:rPr>
      </w:pPr>
      <w:r w:rsidRPr="00972C81">
        <w:rPr>
          <w:noProof/>
        </w:rPr>
        <w:t xml:space="preserve">No information was found regarding the effect of age on the biokinetics of systemic </w:t>
      </w:r>
      <w:r w:rsidRPr="00972C81">
        <w:rPr>
          <w:rFonts w:ascii="Times Roman" w:eastAsiaTheme="minorHAnsi" w:hAnsi="Times Roman" w:cstheme="minorBidi"/>
          <w:noProof/>
          <w:sz w:val="22"/>
          <w:szCs w:val="22"/>
        </w:rPr>
        <w:t>californium</w:t>
      </w:r>
      <w:r w:rsidRPr="00972C81">
        <w:rPr>
          <w:noProof/>
        </w:rPr>
        <w:t xml:space="preserve">. </w:t>
      </w:r>
    </w:p>
    <w:p w14:paraId="3B494BA9" w14:textId="1EBF07AB" w:rsidR="004F2A24" w:rsidRPr="00972C81" w:rsidRDefault="004F2A24" w:rsidP="006703A2">
      <w:pPr>
        <w:pStyle w:val="OIRTitre4"/>
      </w:pPr>
      <w:r w:rsidRPr="00972C81">
        <w:t>Systemic model</w:t>
      </w:r>
    </w:p>
    <w:p w14:paraId="05E86DE3" w14:textId="641D5A0E" w:rsidR="004F2A24" w:rsidRPr="00972C81" w:rsidRDefault="004F2A24" w:rsidP="001C4A92">
      <w:pPr>
        <w:pStyle w:val="Annalstext"/>
        <w:rPr>
          <w:rFonts w:ascii="Times Roman" w:hAnsi="Times Roman"/>
          <w:noProof/>
          <w:color w:val="000000"/>
        </w:rPr>
      </w:pPr>
      <w:r w:rsidRPr="00972C81">
        <w:rPr>
          <w:noProof/>
        </w:rPr>
        <w:t xml:space="preserve">Data for californium summarized above indicate that its systemic </w:t>
      </w:r>
      <w:r w:rsidR="00BB503E">
        <w:rPr>
          <w:noProof/>
        </w:rPr>
        <w:t>behaviour</w:t>
      </w:r>
      <w:r w:rsidRPr="00972C81">
        <w:rPr>
          <w:noProof/>
        </w:rPr>
        <w:t xml:space="preserve"> resembles that of the frequently studied actinide americium. Comparisons of systemic data for americium, berkelium, californium, and einsteinium suggest a relation between ionic radius and the relative amounts transferred to bone, liver, and urine similar to the relation observed for the lanthanides. That is, initial deposition in bone tends to increase, deposition in liver tends to decrease, and the early urinary excretion rate tends to increase with decreasing ionic radius. This pattern is used together with available element-specific data to develop transfer coefficients describing the systemic biokinetics of berkelium, californium, and einsteinium, with transfer coefficients for americium used as default values in the absence of specific data. A</w:t>
      </w:r>
      <w:r w:rsidRPr="00972C81">
        <w:rPr>
          <w:rFonts w:ascii="Times Roman" w:hAnsi="Times Roman"/>
          <w:noProof/>
        </w:rPr>
        <w:t xml:space="preserve"> non-zero transfer from cortical marrow to cortical bone surface in the americium model is assumed to be specific to americium and its physiological analogue curium and hence is not applied in the models for berkelium, californium, and einsteinium.</w:t>
      </w:r>
    </w:p>
    <w:p w14:paraId="780AED93" w14:textId="5286828B" w:rsidR="004F2A24" w:rsidRPr="00972C81" w:rsidRDefault="004F2A24" w:rsidP="001C4A92">
      <w:pPr>
        <w:pStyle w:val="Annalstext"/>
        <w:rPr>
          <w:noProof/>
        </w:rPr>
      </w:pPr>
      <w:r w:rsidRPr="00972C81">
        <w:rPr>
          <w:noProof/>
        </w:rPr>
        <w:t xml:space="preserve">The structure of the systemic model for californium is shown in </w:t>
      </w:r>
      <w:r w:rsidR="002D63D9" w:rsidRPr="00972C81">
        <w:rPr>
          <w:noProof/>
        </w:rPr>
        <w:fldChar w:fldCharType="begin"/>
      </w:r>
      <w:r w:rsidR="002D63D9" w:rsidRPr="00972C81">
        <w:rPr>
          <w:noProof/>
        </w:rPr>
        <w:instrText xml:space="preserve"> REF _Ref147422477 \h </w:instrText>
      </w:r>
      <w:r w:rsidR="002D63D9" w:rsidRPr="00972C81">
        <w:rPr>
          <w:noProof/>
        </w:rPr>
      </w:r>
      <w:r w:rsidR="002D63D9" w:rsidRPr="00972C81">
        <w:rPr>
          <w:noProof/>
        </w:rPr>
        <w:fldChar w:fldCharType="separate"/>
      </w:r>
      <w:r w:rsidR="00A41AD1" w:rsidRPr="00972C81">
        <w:rPr>
          <w:noProof/>
        </w:rPr>
        <w:t xml:space="preserve">Fig </w:t>
      </w:r>
      <w:r w:rsidR="00A41AD1">
        <w:rPr>
          <w:noProof/>
        </w:rPr>
        <w:t>26</w:t>
      </w:r>
      <w:r w:rsidR="00A41AD1" w:rsidRPr="00972C81">
        <w:rPr>
          <w:noProof/>
        </w:rPr>
        <w:t>.</w:t>
      </w:r>
      <w:r w:rsidR="00A41AD1">
        <w:rPr>
          <w:noProof/>
        </w:rPr>
        <w:t>1</w:t>
      </w:r>
      <w:r w:rsidR="002D63D9" w:rsidRPr="00972C81">
        <w:rPr>
          <w:noProof/>
        </w:rPr>
        <w:fldChar w:fldCharType="end"/>
      </w:r>
      <w:r w:rsidRPr="00972C81">
        <w:rPr>
          <w:noProof/>
        </w:rPr>
        <w:t xml:space="preserve">. Parameter values are listed in </w:t>
      </w:r>
      <w:r w:rsidR="002D63D9" w:rsidRPr="00972C81">
        <w:rPr>
          <w:noProof/>
        </w:rPr>
        <w:fldChar w:fldCharType="begin"/>
      </w:r>
      <w:r w:rsidR="002D63D9" w:rsidRPr="00972C81">
        <w:rPr>
          <w:noProof/>
        </w:rPr>
        <w:instrText xml:space="preserve"> REF _Ref147422469 \h </w:instrText>
      </w:r>
      <w:r w:rsidR="002D63D9" w:rsidRPr="00972C81">
        <w:rPr>
          <w:noProof/>
        </w:rPr>
      </w:r>
      <w:r w:rsidR="002D63D9" w:rsidRPr="00972C81">
        <w:rPr>
          <w:noProof/>
        </w:rPr>
        <w:fldChar w:fldCharType="separate"/>
      </w:r>
      <w:r w:rsidR="00A41AD1" w:rsidRPr="00972C81">
        <w:rPr>
          <w:noProof/>
        </w:rPr>
        <w:t xml:space="preserve">Table </w:t>
      </w:r>
      <w:r w:rsidR="00A41AD1">
        <w:rPr>
          <w:noProof/>
        </w:rPr>
        <w:t>26</w:t>
      </w:r>
      <w:r w:rsidR="00A41AD1" w:rsidRPr="00972C81">
        <w:rPr>
          <w:noProof/>
        </w:rPr>
        <w:t>.</w:t>
      </w:r>
      <w:r w:rsidR="00A41AD1">
        <w:rPr>
          <w:noProof/>
        </w:rPr>
        <w:t>2</w:t>
      </w:r>
      <w:r w:rsidR="002D63D9" w:rsidRPr="00972C81">
        <w:rPr>
          <w:noProof/>
        </w:rPr>
        <w:fldChar w:fldCharType="end"/>
      </w:r>
      <w:r w:rsidRPr="00972C81">
        <w:rPr>
          <w:noProof/>
        </w:rPr>
        <w:t>.</w:t>
      </w:r>
    </w:p>
    <w:p w14:paraId="4DF351CD" w14:textId="4036E779" w:rsidR="004F2A24" w:rsidRPr="00972C81" w:rsidRDefault="006703A2" w:rsidP="000E00A3">
      <w:pPr>
        <w:jc w:val="center"/>
        <w:rPr>
          <w:noProof/>
        </w:rPr>
      </w:pPr>
      <w:r>
        <w:rPr>
          <w:noProof/>
        </w:rPr>
        <w:drawing>
          <wp:inline distT="0" distB="0" distL="0" distR="0" wp14:anchorId="155AEBAB" wp14:editId="5C0FC960">
            <wp:extent cx="3724275" cy="2867318"/>
            <wp:effectExtent l="0" t="0" r="0" b="952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9"/>
                    <a:stretch>
                      <a:fillRect/>
                    </a:stretch>
                  </pic:blipFill>
                  <pic:spPr>
                    <a:xfrm>
                      <a:off x="0" y="0"/>
                      <a:ext cx="3733942" cy="2874761"/>
                    </a:xfrm>
                    <a:prstGeom prst="rect">
                      <a:avLst/>
                    </a:prstGeom>
                  </pic:spPr>
                </pic:pic>
              </a:graphicData>
            </a:graphic>
          </wp:inline>
        </w:drawing>
      </w:r>
    </w:p>
    <w:p w14:paraId="0A95F87F" w14:textId="6BF3523F" w:rsidR="004F2A24" w:rsidRPr="00C47F2F" w:rsidRDefault="002D63D9" w:rsidP="00E81109">
      <w:pPr>
        <w:pStyle w:val="ab"/>
        <w:rPr>
          <w:noProof/>
          <w:sz w:val="24"/>
          <w:szCs w:val="24"/>
        </w:rPr>
      </w:pPr>
      <w:bookmarkStart w:id="392" w:name="_Ref147422477"/>
      <w:r w:rsidRPr="00C47F2F">
        <w:rPr>
          <w:noProof/>
          <w:sz w:val="24"/>
          <w:szCs w:val="24"/>
        </w:rPr>
        <w:t xml:space="preserve">Fig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26</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Figure \* ARABIC \s 1 </w:instrText>
      </w:r>
      <w:r w:rsidR="00EA3750" w:rsidRPr="00C47F2F">
        <w:rPr>
          <w:noProof/>
          <w:sz w:val="24"/>
          <w:szCs w:val="24"/>
        </w:rPr>
        <w:fldChar w:fldCharType="separate"/>
      </w:r>
      <w:r w:rsidR="00A41AD1" w:rsidRPr="00C47F2F">
        <w:rPr>
          <w:noProof/>
          <w:sz w:val="24"/>
          <w:szCs w:val="24"/>
        </w:rPr>
        <w:t>1</w:t>
      </w:r>
      <w:r w:rsidR="00EA3750" w:rsidRPr="00C47F2F">
        <w:rPr>
          <w:noProof/>
          <w:sz w:val="24"/>
          <w:szCs w:val="24"/>
        </w:rPr>
        <w:fldChar w:fldCharType="end"/>
      </w:r>
      <w:bookmarkEnd w:id="392"/>
      <w:r w:rsidRPr="00C47F2F">
        <w:rPr>
          <w:noProof/>
          <w:sz w:val="24"/>
          <w:szCs w:val="24"/>
        </w:rPr>
        <w:t>.</w:t>
      </w:r>
      <w:r w:rsidR="004F2A24" w:rsidRPr="00C47F2F">
        <w:rPr>
          <w:noProof/>
          <w:sz w:val="24"/>
          <w:szCs w:val="24"/>
        </w:rPr>
        <w:t xml:space="preserve"> Structure of the systemic model for californium.</w:t>
      </w:r>
    </w:p>
    <w:p w14:paraId="28407024" w14:textId="77777777" w:rsidR="00F414E6" w:rsidRPr="00972C81" w:rsidRDefault="00F414E6" w:rsidP="00134489">
      <w:pPr>
        <w:rPr>
          <w:noProof/>
        </w:rPr>
      </w:pPr>
    </w:p>
    <w:p w14:paraId="37042A6B" w14:textId="77777777" w:rsidR="000E00A3" w:rsidRDefault="000E00A3">
      <w:pPr>
        <w:widowControl/>
        <w:jc w:val="left"/>
        <w:rPr>
          <w:noProof/>
          <w:szCs w:val="24"/>
        </w:rPr>
      </w:pPr>
      <w:bookmarkStart w:id="393" w:name="_Ref147422469"/>
      <w:r>
        <w:rPr>
          <w:noProof/>
          <w:szCs w:val="24"/>
        </w:rPr>
        <w:br w:type="page"/>
      </w:r>
    </w:p>
    <w:p w14:paraId="44766768" w14:textId="0B2F7766" w:rsidR="00F414E6" w:rsidRPr="00C47F2F" w:rsidRDefault="002D63D9" w:rsidP="00E81109">
      <w:pPr>
        <w:pStyle w:val="ab"/>
        <w:rPr>
          <w:rFonts w:ascii="Times Roman" w:hAnsi="Times Roman"/>
          <w:noProof/>
          <w:sz w:val="24"/>
          <w:szCs w:val="24"/>
        </w:rPr>
      </w:pPr>
      <w:r w:rsidRPr="00C47F2F">
        <w:rPr>
          <w:noProof/>
          <w:sz w:val="24"/>
          <w:szCs w:val="24"/>
        </w:rPr>
        <w:lastRenderedPageBreak/>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26</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2</w:t>
      </w:r>
      <w:r w:rsidR="00EA3750" w:rsidRPr="00C47F2F">
        <w:rPr>
          <w:noProof/>
          <w:sz w:val="24"/>
          <w:szCs w:val="24"/>
        </w:rPr>
        <w:fldChar w:fldCharType="end"/>
      </w:r>
      <w:bookmarkEnd w:id="393"/>
      <w:r w:rsidRPr="00C47F2F">
        <w:rPr>
          <w:noProof/>
          <w:sz w:val="24"/>
          <w:szCs w:val="24"/>
        </w:rPr>
        <w:t>.</w:t>
      </w:r>
      <w:r w:rsidR="00F414E6" w:rsidRPr="00C47F2F">
        <w:rPr>
          <w:noProof/>
          <w:sz w:val="24"/>
          <w:szCs w:val="24"/>
        </w:rPr>
        <w:t xml:space="preserve"> Age-specific transfer coefficients for californium.</w:t>
      </w:r>
    </w:p>
    <w:tbl>
      <w:tblPr>
        <w:tblW w:w="5000" w:type="pct"/>
        <w:tblLayout w:type="fixed"/>
        <w:tblLook w:val="04A0" w:firstRow="1" w:lastRow="0" w:firstColumn="1" w:lastColumn="0" w:noHBand="0" w:noVBand="1"/>
      </w:tblPr>
      <w:tblGrid>
        <w:gridCol w:w="2985"/>
        <w:gridCol w:w="1007"/>
        <w:gridCol w:w="1007"/>
        <w:gridCol w:w="1007"/>
        <w:gridCol w:w="1008"/>
        <w:gridCol w:w="1008"/>
        <w:gridCol w:w="1005"/>
      </w:tblGrid>
      <w:tr w:rsidR="002D63D9" w:rsidRPr="00972C81" w14:paraId="1AF01ECC" w14:textId="77777777" w:rsidTr="000E00A3">
        <w:trPr>
          <w:trHeight w:val="300"/>
        </w:trPr>
        <w:tc>
          <w:tcPr>
            <w:tcW w:w="2985" w:type="dxa"/>
            <w:vMerge w:val="restart"/>
            <w:tcBorders>
              <w:top w:val="single" w:sz="4" w:space="0" w:color="auto"/>
            </w:tcBorders>
            <w:shd w:val="clear" w:color="auto" w:fill="auto"/>
            <w:noWrap/>
            <w:vAlign w:val="center"/>
          </w:tcPr>
          <w:p w14:paraId="7E072F82" w14:textId="66167911" w:rsidR="004F2A24" w:rsidRPr="00972C81" w:rsidRDefault="004F2A24" w:rsidP="000E00A3">
            <w:pPr>
              <w:pStyle w:val="Table"/>
              <w:rPr>
                <w:noProof/>
              </w:rPr>
            </w:pPr>
            <w:r w:rsidRPr="00972C81">
              <w:rPr>
                <w:noProof/>
              </w:rPr>
              <w:t>Pathway</w:t>
            </w:r>
            <w:r w:rsidR="006703A2" w:rsidRPr="006703A2">
              <w:rPr>
                <w:noProof/>
                <w:vertAlign w:val="superscript"/>
              </w:rPr>
              <w:t>a</w:t>
            </w:r>
          </w:p>
        </w:tc>
        <w:tc>
          <w:tcPr>
            <w:tcW w:w="6042" w:type="dxa"/>
            <w:gridSpan w:val="6"/>
            <w:tcBorders>
              <w:top w:val="single" w:sz="4" w:space="0" w:color="auto"/>
              <w:bottom w:val="single" w:sz="4" w:space="0" w:color="auto"/>
            </w:tcBorders>
            <w:shd w:val="clear" w:color="auto" w:fill="auto"/>
            <w:noWrap/>
            <w:vAlign w:val="center"/>
          </w:tcPr>
          <w:p w14:paraId="74B69146" w14:textId="77777777" w:rsidR="004F2A24" w:rsidRPr="00972C81" w:rsidRDefault="004F2A24" w:rsidP="000E00A3">
            <w:pPr>
              <w:pStyle w:val="Table"/>
              <w:jc w:val="center"/>
              <w:rPr>
                <w:noProof/>
              </w:rPr>
            </w:pPr>
            <w:r w:rsidRPr="00972C81">
              <w:rPr>
                <w:noProof/>
              </w:rPr>
              <w:t>Transfer coefficient (d</w:t>
            </w:r>
            <w:r w:rsidRPr="00C47F2F">
              <w:rPr>
                <w:noProof/>
                <w:vertAlign w:val="superscript"/>
              </w:rPr>
              <w:t>-1</w:t>
            </w:r>
            <w:r w:rsidRPr="00972C81">
              <w:rPr>
                <w:noProof/>
              </w:rPr>
              <w:t>)</w:t>
            </w:r>
          </w:p>
        </w:tc>
      </w:tr>
      <w:tr w:rsidR="00100C52" w:rsidRPr="00972C81" w14:paraId="36D35949" w14:textId="77777777" w:rsidTr="000E00A3">
        <w:trPr>
          <w:trHeight w:val="300"/>
        </w:trPr>
        <w:tc>
          <w:tcPr>
            <w:tcW w:w="2985" w:type="dxa"/>
            <w:vMerge/>
            <w:tcBorders>
              <w:bottom w:val="single" w:sz="4" w:space="0" w:color="auto"/>
            </w:tcBorders>
            <w:shd w:val="clear" w:color="auto" w:fill="auto"/>
            <w:noWrap/>
          </w:tcPr>
          <w:p w14:paraId="08DA2F09" w14:textId="77777777" w:rsidR="004F2A24" w:rsidRPr="00972C81" w:rsidRDefault="004F2A24" w:rsidP="00E81109">
            <w:pPr>
              <w:pStyle w:val="Table"/>
              <w:rPr>
                <w:noProof/>
                <w:color w:val="000000"/>
              </w:rPr>
            </w:pPr>
          </w:p>
        </w:tc>
        <w:tc>
          <w:tcPr>
            <w:tcW w:w="1007" w:type="dxa"/>
            <w:tcBorders>
              <w:top w:val="single" w:sz="4" w:space="0" w:color="auto"/>
              <w:bottom w:val="single" w:sz="4" w:space="0" w:color="auto"/>
            </w:tcBorders>
            <w:shd w:val="clear" w:color="auto" w:fill="auto"/>
            <w:noWrap/>
            <w:vAlign w:val="center"/>
          </w:tcPr>
          <w:p w14:paraId="354B2537" w14:textId="77777777" w:rsidR="004F2A24" w:rsidRPr="00972C81" w:rsidRDefault="004F2A24" w:rsidP="000E00A3">
            <w:pPr>
              <w:pStyle w:val="Table"/>
              <w:rPr>
                <w:noProof/>
                <w:color w:val="000000"/>
              </w:rPr>
            </w:pPr>
            <w:r w:rsidRPr="00972C81">
              <w:rPr>
                <w:noProof/>
              </w:rPr>
              <w:t>100 d</w:t>
            </w:r>
          </w:p>
        </w:tc>
        <w:tc>
          <w:tcPr>
            <w:tcW w:w="1007" w:type="dxa"/>
            <w:tcBorders>
              <w:top w:val="single" w:sz="4" w:space="0" w:color="auto"/>
              <w:bottom w:val="single" w:sz="4" w:space="0" w:color="auto"/>
            </w:tcBorders>
            <w:shd w:val="clear" w:color="auto" w:fill="auto"/>
            <w:noWrap/>
            <w:vAlign w:val="center"/>
          </w:tcPr>
          <w:p w14:paraId="1EDF8A9F" w14:textId="77777777" w:rsidR="004F2A24" w:rsidRPr="00972C81" w:rsidRDefault="004F2A24" w:rsidP="000E00A3">
            <w:pPr>
              <w:pStyle w:val="Table"/>
              <w:rPr>
                <w:noProof/>
                <w:color w:val="000000"/>
              </w:rPr>
            </w:pPr>
            <w:r w:rsidRPr="00972C81">
              <w:rPr>
                <w:noProof/>
              </w:rPr>
              <w:t>1 y</w:t>
            </w:r>
          </w:p>
        </w:tc>
        <w:tc>
          <w:tcPr>
            <w:tcW w:w="1007" w:type="dxa"/>
            <w:tcBorders>
              <w:top w:val="single" w:sz="4" w:space="0" w:color="auto"/>
              <w:bottom w:val="single" w:sz="4" w:space="0" w:color="auto"/>
            </w:tcBorders>
            <w:shd w:val="clear" w:color="auto" w:fill="auto"/>
            <w:noWrap/>
            <w:vAlign w:val="center"/>
          </w:tcPr>
          <w:p w14:paraId="00D5AEDC" w14:textId="77777777" w:rsidR="004F2A24" w:rsidRPr="00972C81" w:rsidRDefault="004F2A24" w:rsidP="000E00A3">
            <w:pPr>
              <w:pStyle w:val="Table"/>
              <w:rPr>
                <w:noProof/>
                <w:color w:val="000000"/>
              </w:rPr>
            </w:pPr>
            <w:r w:rsidRPr="00972C81">
              <w:rPr>
                <w:noProof/>
              </w:rPr>
              <w:t>5 y</w:t>
            </w:r>
          </w:p>
        </w:tc>
        <w:tc>
          <w:tcPr>
            <w:tcW w:w="1008" w:type="dxa"/>
            <w:tcBorders>
              <w:top w:val="single" w:sz="4" w:space="0" w:color="auto"/>
              <w:bottom w:val="single" w:sz="4" w:space="0" w:color="auto"/>
            </w:tcBorders>
            <w:shd w:val="clear" w:color="auto" w:fill="auto"/>
            <w:noWrap/>
            <w:vAlign w:val="center"/>
          </w:tcPr>
          <w:p w14:paraId="20A1F123" w14:textId="77777777" w:rsidR="004F2A24" w:rsidRPr="00972C81" w:rsidRDefault="004F2A24" w:rsidP="000E00A3">
            <w:pPr>
              <w:pStyle w:val="Table"/>
              <w:rPr>
                <w:noProof/>
                <w:color w:val="000000"/>
              </w:rPr>
            </w:pPr>
            <w:r w:rsidRPr="00972C81">
              <w:rPr>
                <w:noProof/>
              </w:rPr>
              <w:t>10 y</w:t>
            </w:r>
          </w:p>
        </w:tc>
        <w:tc>
          <w:tcPr>
            <w:tcW w:w="1008" w:type="dxa"/>
            <w:tcBorders>
              <w:top w:val="single" w:sz="4" w:space="0" w:color="auto"/>
              <w:bottom w:val="single" w:sz="4" w:space="0" w:color="auto"/>
            </w:tcBorders>
            <w:shd w:val="clear" w:color="auto" w:fill="auto"/>
            <w:noWrap/>
            <w:vAlign w:val="center"/>
          </w:tcPr>
          <w:p w14:paraId="7FAC7C91" w14:textId="77777777" w:rsidR="004F2A24" w:rsidRPr="00972C81" w:rsidRDefault="004F2A24" w:rsidP="000E00A3">
            <w:pPr>
              <w:pStyle w:val="Table"/>
              <w:rPr>
                <w:noProof/>
                <w:color w:val="000000"/>
              </w:rPr>
            </w:pPr>
            <w:r w:rsidRPr="00972C81">
              <w:rPr>
                <w:noProof/>
              </w:rPr>
              <w:t>15 y</w:t>
            </w:r>
          </w:p>
        </w:tc>
        <w:tc>
          <w:tcPr>
            <w:tcW w:w="1005" w:type="dxa"/>
            <w:tcBorders>
              <w:top w:val="single" w:sz="4" w:space="0" w:color="auto"/>
              <w:bottom w:val="single" w:sz="4" w:space="0" w:color="auto"/>
            </w:tcBorders>
            <w:shd w:val="clear" w:color="auto" w:fill="auto"/>
            <w:noWrap/>
            <w:vAlign w:val="center"/>
          </w:tcPr>
          <w:p w14:paraId="1733BC81" w14:textId="77777777" w:rsidR="004F2A24" w:rsidRPr="00972C81" w:rsidRDefault="004F2A24" w:rsidP="000E00A3">
            <w:pPr>
              <w:pStyle w:val="Table"/>
              <w:rPr>
                <w:noProof/>
                <w:color w:val="000000"/>
              </w:rPr>
            </w:pPr>
            <w:r w:rsidRPr="00972C81">
              <w:rPr>
                <w:noProof/>
              </w:rPr>
              <w:t>Adult</w:t>
            </w:r>
          </w:p>
        </w:tc>
      </w:tr>
      <w:tr w:rsidR="006703A2" w:rsidRPr="00972C81" w14:paraId="4CE12FE4" w14:textId="77777777" w:rsidTr="000E00A3">
        <w:trPr>
          <w:trHeight w:val="340"/>
        </w:trPr>
        <w:tc>
          <w:tcPr>
            <w:tcW w:w="2985" w:type="dxa"/>
            <w:tcBorders>
              <w:top w:val="single" w:sz="4" w:space="0" w:color="auto"/>
            </w:tcBorders>
            <w:shd w:val="clear" w:color="auto" w:fill="auto"/>
            <w:noWrap/>
            <w:vAlign w:val="center"/>
          </w:tcPr>
          <w:p w14:paraId="651516BD" w14:textId="57CE3337" w:rsidR="006703A2" w:rsidRPr="006703A2" w:rsidRDefault="006703A2" w:rsidP="000E00A3">
            <w:pPr>
              <w:pStyle w:val="Table"/>
              <w:rPr>
                <w:noProof/>
                <w:sz w:val="20"/>
                <w:szCs w:val="22"/>
              </w:rPr>
            </w:pPr>
            <w:r w:rsidRPr="006703A2">
              <w:rPr>
                <w:noProof/>
                <w:sz w:val="20"/>
                <w:szCs w:val="22"/>
              </w:rPr>
              <w:t>Blood to Liver 1</w:t>
            </w:r>
          </w:p>
        </w:tc>
        <w:tc>
          <w:tcPr>
            <w:tcW w:w="1007" w:type="dxa"/>
            <w:tcBorders>
              <w:top w:val="single" w:sz="4" w:space="0" w:color="auto"/>
            </w:tcBorders>
            <w:shd w:val="clear" w:color="auto" w:fill="auto"/>
            <w:noWrap/>
            <w:vAlign w:val="center"/>
          </w:tcPr>
          <w:p w14:paraId="75164CF7" w14:textId="77777777" w:rsidR="006703A2" w:rsidRPr="00C47F2F" w:rsidRDefault="006703A2" w:rsidP="000E00A3">
            <w:pPr>
              <w:pStyle w:val="Table"/>
              <w:rPr>
                <w:noProof/>
                <w:sz w:val="20"/>
                <w:szCs w:val="20"/>
              </w:rPr>
            </w:pPr>
            <w:r w:rsidRPr="00C47F2F">
              <w:rPr>
                <w:noProof/>
                <w:sz w:val="20"/>
                <w:szCs w:val="20"/>
              </w:rPr>
              <w:t>5.82E-01</w:t>
            </w:r>
          </w:p>
        </w:tc>
        <w:tc>
          <w:tcPr>
            <w:tcW w:w="1007" w:type="dxa"/>
            <w:tcBorders>
              <w:top w:val="single" w:sz="4" w:space="0" w:color="auto"/>
            </w:tcBorders>
            <w:shd w:val="clear" w:color="auto" w:fill="auto"/>
            <w:noWrap/>
            <w:vAlign w:val="center"/>
          </w:tcPr>
          <w:p w14:paraId="739386AE" w14:textId="77777777" w:rsidR="006703A2" w:rsidRPr="00C47F2F" w:rsidRDefault="006703A2" w:rsidP="000E00A3">
            <w:pPr>
              <w:pStyle w:val="Table"/>
              <w:rPr>
                <w:noProof/>
                <w:sz w:val="20"/>
                <w:szCs w:val="20"/>
              </w:rPr>
            </w:pPr>
            <w:r w:rsidRPr="00C47F2F">
              <w:rPr>
                <w:noProof/>
                <w:sz w:val="20"/>
                <w:szCs w:val="20"/>
              </w:rPr>
              <w:t>5.82E-01</w:t>
            </w:r>
          </w:p>
        </w:tc>
        <w:tc>
          <w:tcPr>
            <w:tcW w:w="1007" w:type="dxa"/>
            <w:tcBorders>
              <w:top w:val="single" w:sz="4" w:space="0" w:color="auto"/>
            </w:tcBorders>
            <w:shd w:val="clear" w:color="auto" w:fill="auto"/>
            <w:noWrap/>
            <w:vAlign w:val="center"/>
          </w:tcPr>
          <w:p w14:paraId="7DA2B113" w14:textId="77777777" w:rsidR="006703A2" w:rsidRPr="00C47F2F" w:rsidRDefault="006703A2" w:rsidP="000E00A3">
            <w:pPr>
              <w:pStyle w:val="Table"/>
              <w:rPr>
                <w:noProof/>
                <w:sz w:val="20"/>
                <w:szCs w:val="20"/>
              </w:rPr>
            </w:pPr>
            <w:r w:rsidRPr="00C47F2F">
              <w:rPr>
                <w:noProof/>
                <w:sz w:val="20"/>
                <w:szCs w:val="20"/>
              </w:rPr>
              <w:t>1.75E+00</w:t>
            </w:r>
          </w:p>
        </w:tc>
        <w:tc>
          <w:tcPr>
            <w:tcW w:w="1008" w:type="dxa"/>
            <w:tcBorders>
              <w:top w:val="single" w:sz="4" w:space="0" w:color="auto"/>
            </w:tcBorders>
            <w:shd w:val="clear" w:color="auto" w:fill="auto"/>
            <w:noWrap/>
            <w:vAlign w:val="center"/>
          </w:tcPr>
          <w:p w14:paraId="65702D72" w14:textId="77777777" w:rsidR="006703A2" w:rsidRPr="00C47F2F" w:rsidRDefault="006703A2" w:rsidP="000E00A3">
            <w:pPr>
              <w:pStyle w:val="Table"/>
              <w:rPr>
                <w:noProof/>
                <w:sz w:val="20"/>
                <w:szCs w:val="20"/>
              </w:rPr>
            </w:pPr>
            <w:r w:rsidRPr="00C47F2F">
              <w:rPr>
                <w:noProof/>
                <w:sz w:val="20"/>
                <w:szCs w:val="20"/>
              </w:rPr>
              <w:t>1.75E+00</w:t>
            </w:r>
          </w:p>
        </w:tc>
        <w:tc>
          <w:tcPr>
            <w:tcW w:w="1008" w:type="dxa"/>
            <w:tcBorders>
              <w:top w:val="single" w:sz="4" w:space="0" w:color="auto"/>
            </w:tcBorders>
            <w:shd w:val="clear" w:color="auto" w:fill="auto"/>
            <w:noWrap/>
            <w:vAlign w:val="center"/>
          </w:tcPr>
          <w:p w14:paraId="1B8C5EE2" w14:textId="77777777" w:rsidR="006703A2" w:rsidRPr="00C47F2F" w:rsidRDefault="006703A2" w:rsidP="000E00A3">
            <w:pPr>
              <w:pStyle w:val="Table"/>
              <w:rPr>
                <w:noProof/>
                <w:sz w:val="20"/>
                <w:szCs w:val="20"/>
              </w:rPr>
            </w:pPr>
            <w:r w:rsidRPr="00C47F2F">
              <w:rPr>
                <w:noProof/>
                <w:sz w:val="20"/>
                <w:szCs w:val="20"/>
              </w:rPr>
              <w:t>1.75E+00</w:t>
            </w:r>
          </w:p>
        </w:tc>
        <w:tc>
          <w:tcPr>
            <w:tcW w:w="1005" w:type="dxa"/>
            <w:tcBorders>
              <w:top w:val="single" w:sz="4" w:space="0" w:color="auto"/>
            </w:tcBorders>
            <w:shd w:val="clear" w:color="auto" w:fill="auto"/>
            <w:noWrap/>
            <w:vAlign w:val="center"/>
          </w:tcPr>
          <w:p w14:paraId="7320D03A" w14:textId="77777777" w:rsidR="006703A2" w:rsidRPr="00C47F2F" w:rsidRDefault="006703A2" w:rsidP="000E00A3">
            <w:pPr>
              <w:pStyle w:val="Table"/>
              <w:rPr>
                <w:noProof/>
                <w:sz w:val="20"/>
                <w:szCs w:val="20"/>
              </w:rPr>
            </w:pPr>
            <w:r w:rsidRPr="00C47F2F">
              <w:rPr>
                <w:noProof/>
                <w:sz w:val="20"/>
                <w:szCs w:val="20"/>
              </w:rPr>
              <w:t>2.33E+00</w:t>
            </w:r>
          </w:p>
        </w:tc>
      </w:tr>
      <w:tr w:rsidR="006703A2" w:rsidRPr="00972C81" w14:paraId="38FD4D46" w14:textId="77777777" w:rsidTr="000E00A3">
        <w:trPr>
          <w:trHeight w:val="340"/>
        </w:trPr>
        <w:tc>
          <w:tcPr>
            <w:tcW w:w="2985" w:type="dxa"/>
            <w:shd w:val="clear" w:color="auto" w:fill="auto"/>
            <w:noWrap/>
            <w:vAlign w:val="center"/>
          </w:tcPr>
          <w:p w14:paraId="75F70A2D" w14:textId="4F4233A3" w:rsidR="006703A2" w:rsidRPr="006703A2" w:rsidRDefault="006703A2" w:rsidP="000E00A3">
            <w:pPr>
              <w:pStyle w:val="Table"/>
              <w:rPr>
                <w:noProof/>
                <w:sz w:val="20"/>
                <w:szCs w:val="22"/>
              </w:rPr>
            </w:pPr>
            <w:r w:rsidRPr="006703A2">
              <w:rPr>
                <w:noProof/>
                <w:sz w:val="20"/>
                <w:szCs w:val="22"/>
              </w:rPr>
              <w:t>Blood to  ST0</w:t>
            </w:r>
          </w:p>
        </w:tc>
        <w:tc>
          <w:tcPr>
            <w:tcW w:w="1007" w:type="dxa"/>
            <w:shd w:val="clear" w:color="auto" w:fill="auto"/>
            <w:noWrap/>
            <w:vAlign w:val="center"/>
          </w:tcPr>
          <w:p w14:paraId="214E6413" w14:textId="77777777" w:rsidR="006703A2" w:rsidRPr="00C47F2F" w:rsidRDefault="006703A2" w:rsidP="000E00A3">
            <w:pPr>
              <w:pStyle w:val="Table"/>
              <w:rPr>
                <w:noProof/>
                <w:sz w:val="20"/>
                <w:szCs w:val="20"/>
              </w:rPr>
            </w:pPr>
            <w:r w:rsidRPr="00C47F2F">
              <w:rPr>
                <w:noProof/>
                <w:sz w:val="20"/>
                <w:szCs w:val="20"/>
              </w:rPr>
              <w:t>4.99E+00</w:t>
            </w:r>
          </w:p>
        </w:tc>
        <w:tc>
          <w:tcPr>
            <w:tcW w:w="1007" w:type="dxa"/>
            <w:shd w:val="clear" w:color="auto" w:fill="auto"/>
            <w:noWrap/>
            <w:vAlign w:val="center"/>
          </w:tcPr>
          <w:p w14:paraId="5761ECD1" w14:textId="77777777" w:rsidR="006703A2" w:rsidRPr="00C47F2F" w:rsidRDefault="006703A2" w:rsidP="000E00A3">
            <w:pPr>
              <w:pStyle w:val="Table"/>
              <w:rPr>
                <w:noProof/>
                <w:sz w:val="20"/>
                <w:szCs w:val="20"/>
              </w:rPr>
            </w:pPr>
            <w:r w:rsidRPr="00C47F2F">
              <w:rPr>
                <w:noProof/>
                <w:sz w:val="20"/>
                <w:szCs w:val="20"/>
              </w:rPr>
              <w:t>4.99E+00</w:t>
            </w:r>
          </w:p>
        </w:tc>
        <w:tc>
          <w:tcPr>
            <w:tcW w:w="1007" w:type="dxa"/>
            <w:shd w:val="clear" w:color="auto" w:fill="auto"/>
            <w:noWrap/>
            <w:vAlign w:val="center"/>
          </w:tcPr>
          <w:p w14:paraId="62C6E571" w14:textId="77777777" w:rsidR="006703A2" w:rsidRPr="00C47F2F" w:rsidRDefault="006703A2" w:rsidP="000E00A3">
            <w:pPr>
              <w:pStyle w:val="Table"/>
              <w:rPr>
                <w:noProof/>
                <w:sz w:val="20"/>
                <w:szCs w:val="20"/>
              </w:rPr>
            </w:pPr>
            <w:r w:rsidRPr="00C47F2F">
              <w:rPr>
                <w:noProof/>
                <w:sz w:val="20"/>
                <w:szCs w:val="20"/>
              </w:rPr>
              <w:t>4.99E+00</w:t>
            </w:r>
          </w:p>
        </w:tc>
        <w:tc>
          <w:tcPr>
            <w:tcW w:w="1008" w:type="dxa"/>
            <w:shd w:val="clear" w:color="auto" w:fill="auto"/>
            <w:noWrap/>
            <w:vAlign w:val="center"/>
          </w:tcPr>
          <w:p w14:paraId="035CFFE3" w14:textId="77777777" w:rsidR="006703A2" w:rsidRPr="00C47F2F" w:rsidRDefault="006703A2" w:rsidP="000E00A3">
            <w:pPr>
              <w:pStyle w:val="Table"/>
              <w:rPr>
                <w:noProof/>
                <w:sz w:val="20"/>
                <w:szCs w:val="20"/>
              </w:rPr>
            </w:pPr>
            <w:r w:rsidRPr="00C47F2F">
              <w:rPr>
                <w:noProof/>
                <w:sz w:val="20"/>
                <w:szCs w:val="20"/>
              </w:rPr>
              <w:t>4.99E+00</w:t>
            </w:r>
          </w:p>
        </w:tc>
        <w:tc>
          <w:tcPr>
            <w:tcW w:w="1008" w:type="dxa"/>
            <w:shd w:val="clear" w:color="auto" w:fill="auto"/>
            <w:noWrap/>
            <w:vAlign w:val="center"/>
          </w:tcPr>
          <w:p w14:paraId="21D16728" w14:textId="77777777" w:rsidR="006703A2" w:rsidRPr="00C47F2F" w:rsidRDefault="006703A2" w:rsidP="000E00A3">
            <w:pPr>
              <w:pStyle w:val="Table"/>
              <w:rPr>
                <w:noProof/>
                <w:sz w:val="20"/>
                <w:szCs w:val="20"/>
              </w:rPr>
            </w:pPr>
            <w:r w:rsidRPr="00C47F2F">
              <w:rPr>
                <w:noProof/>
                <w:sz w:val="20"/>
                <w:szCs w:val="20"/>
              </w:rPr>
              <w:t>4.99E+00</w:t>
            </w:r>
          </w:p>
        </w:tc>
        <w:tc>
          <w:tcPr>
            <w:tcW w:w="1005" w:type="dxa"/>
            <w:shd w:val="clear" w:color="auto" w:fill="auto"/>
            <w:noWrap/>
            <w:vAlign w:val="center"/>
          </w:tcPr>
          <w:p w14:paraId="796F2C24" w14:textId="77777777" w:rsidR="006703A2" w:rsidRPr="00C47F2F" w:rsidRDefault="006703A2" w:rsidP="000E00A3">
            <w:pPr>
              <w:pStyle w:val="Table"/>
              <w:rPr>
                <w:noProof/>
                <w:sz w:val="20"/>
                <w:szCs w:val="20"/>
              </w:rPr>
            </w:pPr>
            <w:r w:rsidRPr="00C47F2F">
              <w:rPr>
                <w:noProof/>
                <w:sz w:val="20"/>
                <w:szCs w:val="20"/>
              </w:rPr>
              <w:t>4.99E+00</w:t>
            </w:r>
          </w:p>
        </w:tc>
      </w:tr>
      <w:tr w:rsidR="006703A2" w:rsidRPr="00972C81" w14:paraId="309E06B0" w14:textId="77777777" w:rsidTr="000E00A3">
        <w:trPr>
          <w:trHeight w:val="340"/>
        </w:trPr>
        <w:tc>
          <w:tcPr>
            <w:tcW w:w="2985" w:type="dxa"/>
            <w:shd w:val="clear" w:color="auto" w:fill="auto"/>
            <w:noWrap/>
            <w:vAlign w:val="center"/>
          </w:tcPr>
          <w:p w14:paraId="688A5B5B" w14:textId="2A6E021C" w:rsidR="006703A2" w:rsidRPr="006703A2" w:rsidRDefault="006703A2" w:rsidP="000E00A3">
            <w:pPr>
              <w:pStyle w:val="Table"/>
              <w:rPr>
                <w:noProof/>
                <w:sz w:val="20"/>
                <w:szCs w:val="22"/>
              </w:rPr>
            </w:pPr>
            <w:r w:rsidRPr="006703A2">
              <w:rPr>
                <w:noProof/>
                <w:sz w:val="20"/>
                <w:szCs w:val="22"/>
              </w:rPr>
              <w:t>Blood to  ST1</w:t>
            </w:r>
          </w:p>
        </w:tc>
        <w:tc>
          <w:tcPr>
            <w:tcW w:w="1007" w:type="dxa"/>
            <w:shd w:val="clear" w:color="auto" w:fill="auto"/>
            <w:noWrap/>
            <w:vAlign w:val="center"/>
          </w:tcPr>
          <w:p w14:paraId="1EDFA59A" w14:textId="77777777" w:rsidR="006703A2" w:rsidRPr="00C47F2F" w:rsidRDefault="006703A2" w:rsidP="000E00A3">
            <w:pPr>
              <w:pStyle w:val="Table"/>
              <w:rPr>
                <w:noProof/>
                <w:sz w:val="20"/>
                <w:szCs w:val="20"/>
              </w:rPr>
            </w:pPr>
            <w:r w:rsidRPr="00C47F2F">
              <w:rPr>
                <w:noProof/>
                <w:sz w:val="20"/>
                <w:szCs w:val="20"/>
              </w:rPr>
              <w:t>9.26E-01</w:t>
            </w:r>
          </w:p>
        </w:tc>
        <w:tc>
          <w:tcPr>
            <w:tcW w:w="1007" w:type="dxa"/>
            <w:shd w:val="clear" w:color="auto" w:fill="auto"/>
            <w:noWrap/>
            <w:vAlign w:val="center"/>
          </w:tcPr>
          <w:p w14:paraId="04E0BBDF" w14:textId="77777777" w:rsidR="006703A2" w:rsidRPr="00C47F2F" w:rsidRDefault="006703A2" w:rsidP="000E00A3">
            <w:pPr>
              <w:pStyle w:val="Table"/>
              <w:rPr>
                <w:noProof/>
                <w:sz w:val="20"/>
                <w:szCs w:val="20"/>
              </w:rPr>
            </w:pPr>
            <w:r w:rsidRPr="00C47F2F">
              <w:rPr>
                <w:noProof/>
                <w:sz w:val="20"/>
                <w:szCs w:val="20"/>
              </w:rPr>
              <w:t>9.26E-01</w:t>
            </w:r>
          </w:p>
        </w:tc>
        <w:tc>
          <w:tcPr>
            <w:tcW w:w="1007" w:type="dxa"/>
            <w:shd w:val="clear" w:color="auto" w:fill="auto"/>
            <w:noWrap/>
            <w:vAlign w:val="center"/>
          </w:tcPr>
          <w:p w14:paraId="3C9412F5" w14:textId="77777777" w:rsidR="006703A2" w:rsidRPr="00C47F2F" w:rsidRDefault="006703A2" w:rsidP="000E00A3">
            <w:pPr>
              <w:pStyle w:val="Table"/>
              <w:rPr>
                <w:noProof/>
                <w:sz w:val="20"/>
                <w:szCs w:val="20"/>
              </w:rPr>
            </w:pPr>
            <w:r w:rsidRPr="00C47F2F">
              <w:rPr>
                <w:noProof/>
                <w:sz w:val="20"/>
                <w:szCs w:val="20"/>
              </w:rPr>
              <w:t>9.26E-01</w:t>
            </w:r>
          </w:p>
        </w:tc>
        <w:tc>
          <w:tcPr>
            <w:tcW w:w="1008" w:type="dxa"/>
            <w:shd w:val="clear" w:color="auto" w:fill="auto"/>
            <w:noWrap/>
            <w:vAlign w:val="center"/>
          </w:tcPr>
          <w:p w14:paraId="17A81CA5" w14:textId="77777777" w:rsidR="006703A2" w:rsidRPr="00C47F2F" w:rsidRDefault="006703A2" w:rsidP="000E00A3">
            <w:pPr>
              <w:pStyle w:val="Table"/>
              <w:rPr>
                <w:noProof/>
                <w:sz w:val="20"/>
                <w:szCs w:val="20"/>
              </w:rPr>
            </w:pPr>
            <w:r w:rsidRPr="00C47F2F">
              <w:rPr>
                <w:noProof/>
                <w:sz w:val="20"/>
                <w:szCs w:val="20"/>
              </w:rPr>
              <w:t>9.26E-01</w:t>
            </w:r>
          </w:p>
        </w:tc>
        <w:tc>
          <w:tcPr>
            <w:tcW w:w="1008" w:type="dxa"/>
            <w:shd w:val="clear" w:color="auto" w:fill="auto"/>
            <w:noWrap/>
            <w:vAlign w:val="center"/>
          </w:tcPr>
          <w:p w14:paraId="275F9F0A" w14:textId="77777777" w:rsidR="006703A2" w:rsidRPr="00C47F2F" w:rsidRDefault="006703A2" w:rsidP="000E00A3">
            <w:pPr>
              <w:pStyle w:val="Table"/>
              <w:rPr>
                <w:noProof/>
                <w:sz w:val="20"/>
                <w:szCs w:val="20"/>
              </w:rPr>
            </w:pPr>
            <w:r w:rsidRPr="00C47F2F">
              <w:rPr>
                <w:noProof/>
                <w:sz w:val="20"/>
                <w:szCs w:val="20"/>
              </w:rPr>
              <w:t>9.26E-01</w:t>
            </w:r>
          </w:p>
        </w:tc>
        <w:tc>
          <w:tcPr>
            <w:tcW w:w="1005" w:type="dxa"/>
            <w:shd w:val="clear" w:color="auto" w:fill="auto"/>
            <w:noWrap/>
            <w:vAlign w:val="center"/>
          </w:tcPr>
          <w:p w14:paraId="1A6505D9" w14:textId="77777777" w:rsidR="006703A2" w:rsidRPr="00C47F2F" w:rsidRDefault="006703A2" w:rsidP="000E00A3">
            <w:pPr>
              <w:pStyle w:val="Table"/>
              <w:rPr>
                <w:noProof/>
                <w:sz w:val="20"/>
                <w:szCs w:val="20"/>
              </w:rPr>
            </w:pPr>
            <w:r w:rsidRPr="00C47F2F">
              <w:rPr>
                <w:noProof/>
                <w:sz w:val="20"/>
                <w:szCs w:val="20"/>
              </w:rPr>
              <w:t>9.26E-01</w:t>
            </w:r>
          </w:p>
        </w:tc>
      </w:tr>
      <w:tr w:rsidR="006703A2" w:rsidRPr="00972C81" w14:paraId="520CDC2F" w14:textId="77777777" w:rsidTr="000E00A3">
        <w:trPr>
          <w:trHeight w:val="340"/>
        </w:trPr>
        <w:tc>
          <w:tcPr>
            <w:tcW w:w="2985" w:type="dxa"/>
            <w:shd w:val="clear" w:color="auto" w:fill="auto"/>
            <w:noWrap/>
            <w:vAlign w:val="center"/>
          </w:tcPr>
          <w:p w14:paraId="397351E6" w14:textId="7B2B71ED" w:rsidR="006703A2" w:rsidRPr="006703A2" w:rsidRDefault="006703A2" w:rsidP="000E00A3">
            <w:pPr>
              <w:pStyle w:val="Table"/>
              <w:rPr>
                <w:noProof/>
                <w:sz w:val="20"/>
                <w:szCs w:val="22"/>
              </w:rPr>
            </w:pPr>
            <w:r w:rsidRPr="006703A2">
              <w:rPr>
                <w:noProof/>
                <w:sz w:val="20"/>
                <w:szCs w:val="22"/>
              </w:rPr>
              <w:t>Blood to  ST2</w:t>
            </w:r>
          </w:p>
        </w:tc>
        <w:tc>
          <w:tcPr>
            <w:tcW w:w="1007" w:type="dxa"/>
            <w:shd w:val="clear" w:color="auto" w:fill="auto"/>
            <w:noWrap/>
            <w:vAlign w:val="center"/>
          </w:tcPr>
          <w:p w14:paraId="1819B4BB" w14:textId="77777777" w:rsidR="006703A2" w:rsidRPr="00C47F2F" w:rsidRDefault="006703A2" w:rsidP="000E00A3">
            <w:pPr>
              <w:pStyle w:val="Table"/>
              <w:rPr>
                <w:noProof/>
                <w:sz w:val="20"/>
                <w:szCs w:val="20"/>
              </w:rPr>
            </w:pPr>
            <w:r w:rsidRPr="00C47F2F">
              <w:rPr>
                <w:noProof/>
                <w:sz w:val="20"/>
                <w:szCs w:val="20"/>
              </w:rPr>
              <w:t>2.33E-01</w:t>
            </w:r>
          </w:p>
        </w:tc>
        <w:tc>
          <w:tcPr>
            <w:tcW w:w="1007" w:type="dxa"/>
            <w:shd w:val="clear" w:color="auto" w:fill="auto"/>
            <w:noWrap/>
            <w:vAlign w:val="center"/>
          </w:tcPr>
          <w:p w14:paraId="2D372B0C" w14:textId="77777777" w:rsidR="006703A2" w:rsidRPr="00C47F2F" w:rsidRDefault="006703A2" w:rsidP="000E00A3">
            <w:pPr>
              <w:pStyle w:val="Table"/>
              <w:rPr>
                <w:noProof/>
                <w:sz w:val="20"/>
                <w:szCs w:val="20"/>
              </w:rPr>
            </w:pPr>
            <w:r w:rsidRPr="00C47F2F">
              <w:rPr>
                <w:noProof/>
                <w:sz w:val="20"/>
                <w:szCs w:val="20"/>
              </w:rPr>
              <w:t>2.33E-01</w:t>
            </w:r>
          </w:p>
        </w:tc>
        <w:tc>
          <w:tcPr>
            <w:tcW w:w="1007" w:type="dxa"/>
            <w:shd w:val="clear" w:color="auto" w:fill="auto"/>
            <w:noWrap/>
            <w:vAlign w:val="center"/>
          </w:tcPr>
          <w:p w14:paraId="387B3F48" w14:textId="77777777" w:rsidR="006703A2" w:rsidRPr="00C47F2F" w:rsidRDefault="006703A2" w:rsidP="000E00A3">
            <w:pPr>
              <w:pStyle w:val="Table"/>
              <w:rPr>
                <w:noProof/>
                <w:sz w:val="20"/>
                <w:szCs w:val="20"/>
              </w:rPr>
            </w:pPr>
            <w:r w:rsidRPr="00C47F2F">
              <w:rPr>
                <w:noProof/>
                <w:sz w:val="20"/>
                <w:szCs w:val="20"/>
              </w:rPr>
              <w:t>2.33E-01</w:t>
            </w:r>
          </w:p>
        </w:tc>
        <w:tc>
          <w:tcPr>
            <w:tcW w:w="1008" w:type="dxa"/>
            <w:shd w:val="clear" w:color="auto" w:fill="auto"/>
            <w:noWrap/>
            <w:vAlign w:val="center"/>
          </w:tcPr>
          <w:p w14:paraId="6B37716A" w14:textId="77777777" w:rsidR="006703A2" w:rsidRPr="00C47F2F" w:rsidRDefault="006703A2" w:rsidP="000E00A3">
            <w:pPr>
              <w:pStyle w:val="Table"/>
              <w:rPr>
                <w:noProof/>
                <w:sz w:val="20"/>
                <w:szCs w:val="20"/>
              </w:rPr>
            </w:pPr>
            <w:r w:rsidRPr="00C47F2F">
              <w:rPr>
                <w:noProof/>
                <w:sz w:val="20"/>
                <w:szCs w:val="20"/>
              </w:rPr>
              <w:t>2.33E-01</w:t>
            </w:r>
          </w:p>
        </w:tc>
        <w:tc>
          <w:tcPr>
            <w:tcW w:w="1008" w:type="dxa"/>
            <w:shd w:val="clear" w:color="auto" w:fill="auto"/>
            <w:noWrap/>
            <w:vAlign w:val="center"/>
          </w:tcPr>
          <w:p w14:paraId="4906DB8E" w14:textId="77777777" w:rsidR="006703A2" w:rsidRPr="00C47F2F" w:rsidRDefault="006703A2" w:rsidP="000E00A3">
            <w:pPr>
              <w:pStyle w:val="Table"/>
              <w:rPr>
                <w:noProof/>
                <w:sz w:val="20"/>
                <w:szCs w:val="20"/>
              </w:rPr>
            </w:pPr>
            <w:r w:rsidRPr="00C47F2F">
              <w:rPr>
                <w:noProof/>
                <w:sz w:val="20"/>
                <w:szCs w:val="20"/>
              </w:rPr>
              <w:t>2.33E-01</w:t>
            </w:r>
          </w:p>
        </w:tc>
        <w:tc>
          <w:tcPr>
            <w:tcW w:w="1005" w:type="dxa"/>
            <w:shd w:val="clear" w:color="auto" w:fill="auto"/>
            <w:noWrap/>
            <w:vAlign w:val="center"/>
          </w:tcPr>
          <w:p w14:paraId="2721AD94" w14:textId="77777777" w:rsidR="006703A2" w:rsidRPr="00C47F2F" w:rsidRDefault="006703A2" w:rsidP="000E00A3">
            <w:pPr>
              <w:pStyle w:val="Table"/>
              <w:rPr>
                <w:noProof/>
                <w:sz w:val="20"/>
                <w:szCs w:val="20"/>
              </w:rPr>
            </w:pPr>
            <w:r w:rsidRPr="00C47F2F">
              <w:rPr>
                <w:noProof/>
                <w:sz w:val="20"/>
                <w:szCs w:val="20"/>
              </w:rPr>
              <w:t>2.33E-01</w:t>
            </w:r>
          </w:p>
        </w:tc>
      </w:tr>
      <w:tr w:rsidR="006703A2" w:rsidRPr="00972C81" w14:paraId="29C1AF34" w14:textId="77777777" w:rsidTr="000E00A3">
        <w:trPr>
          <w:trHeight w:val="340"/>
        </w:trPr>
        <w:tc>
          <w:tcPr>
            <w:tcW w:w="2985" w:type="dxa"/>
            <w:shd w:val="clear" w:color="auto" w:fill="auto"/>
            <w:noWrap/>
            <w:vAlign w:val="center"/>
          </w:tcPr>
          <w:p w14:paraId="5267D39C" w14:textId="4523F0CB" w:rsidR="006703A2" w:rsidRPr="006703A2" w:rsidRDefault="006703A2" w:rsidP="000E00A3">
            <w:pPr>
              <w:pStyle w:val="Table"/>
              <w:rPr>
                <w:noProof/>
                <w:sz w:val="20"/>
                <w:szCs w:val="22"/>
              </w:rPr>
            </w:pPr>
            <w:r w:rsidRPr="006703A2">
              <w:rPr>
                <w:noProof/>
                <w:sz w:val="20"/>
                <w:szCs w:val="22"/>
              </w:rPr>
              <w:t>Blood to Cort bone surf</w:t>
            </w:r>
          </w:p>
        </w:tc>
        <w:tc>
          <w:tcPr>
            <w:tcW w:w="1007" w:type="dxa"/>
            <w:shd w:val="clear" w:color="auto" w:fill="auto"/>
            <w:noWrap/>
            <w:vAlign w:val="center"/>
          </w:tcPr>
          <w:p w14:paraId="742DEE05" w14:textId="77777777" w:rsidR="006703A2" w:rsidRPr="00C47F2F" w:rsidRDefault="006703A2" w:rsidP="000E00A3">
            <w:pPr>
              <w:pStyle w:val="Table"/>
              <w:rPr>
                <w:noProof/>
                <w:sz w:val="20"/>
                <w:szCs w:val="20"/>
              </w:rPr>
            </w:pPr>
            <w:r w:rsidRPr="00C47F2F">
              <w:rPr>
                <w:noProof/>
                <w:sz w:val="20"/>
                <w:szCs w:val="20"/>
              </w:rPr>
              <w:t>3.78E+00</w:t>
            </w:r>
          </w:p>
        </w:tc>
        <w:tc>
          <w:tcPr>
            <w:tcW w:w="1007" w:type="dxa"/>
            <w:shd w:val="clear" w:color="auto" w:fill="auto"/>
            <w:noWrap/>
            <w:vAlign w:val="center"/>
          </w:tcPr>
          <w:p w14:paraId="21113AAB" w14:textId="77777777" w:rsidR="006703A2" w:rsidRPr="00C47F2F" w:rsidRDefault="006703A2" w:rsidP="000E00A3">
            <w:pPr>
              <w:pStyle w:val="Table"/>
              <w:rPr>
                <w:noProof/>
                <w:sz w:val="20"/>
                <w:szCs w:val="20"/>
              </w:rPr>
            </w:pPr>
            <w:r w:rsidRPr="00C47F2F">
              <w:rPr>
                <w:noProof/>
                <w:sz w:val="20"/>
                <w:szCs w:val="20"/>
              </w:rPr>
              <w:t>3.78E+00</w:t>
            </w:r>
          </w:p>
        </w:tc>
        <w:tc>
          <w:tcPr>
            <w:tcW w:w="1007" w:type="dxa"/>
            <w:shd w:val="clear" w:color="auto" w:fill="auto"/>
            <w:noWrap/>
            <w:vAlign w:val="center"/>
          </w:tcPr>
          <w:p w14:paraId="2D04678C" w14:textId="77777777" w:rsidR="006703A2" w:rsidRPr="00C47F2F" w:rsidRDefault="006703A2" w:rsidP="000E00A3">
            <w:pPr>
              <w:pStyle w:val="Table"/>
              <w:rPr>
                <w:noProof/>
                <w:sz w:val="20"/>
                <w:szCs w:val="20"/>
              </w:rPr>
            </w:pPr>
            <w:r w:rsidRPr="00C47F2F">
              <w:rPr>
                <w:noProof/>
                <w:sz w:val="20"/>
                <w:szCs w:val="20"/>
              </w:rPr>
              <w:t>3.20E+00</w:t>
            </w:r>
          </w:p>
        </w:tc>
        <w:tc>
          <w:tcPr>
            <w:tcW w:w="1008" w:type="dxa"/>
            <w:shd w:val="clear" w:color="auto" w:fill="auto"/>
            <w:noWrap/>
            <w:vAlign w:val="center"/>
          </w:tcPr>
          <w:p w14:paraId="1D052CE5" w14:textId="77777777" w:rsidR="006703A2" w:rsidRPr="00C47F2F" w:rsidRDefault="006703A2" w:rsidP="000E00A3">
            <w:pPr>
              <w:pStyle w:val="Table"/>
              <w:rPr>
                <w:noProof/>
                <w:sz w:val="20"/>
                <w:szCs w:val="20"/>
              </w:rPr>
            </w:pPr>
            <w:r w:rsidRPr="00C47F2F">
              <w:rPr>
                <w:noProof/>
                <w:sz w:val="20"/>
                <w:szCs w:val="20"/>
              </w:rPr>
              <w:t>3.20E+00</w:t>
            </w:r>
          </w:p>
        </w:tc>
        <w:tc>
          <w:tcPr>
            <w:tcW w:w="1008" w:type="dxa"/>
            <w:shd w:val="clear" w:color="auto" w:fill="auto"/>
            <w:noWrap/>
            <w:vAlign w:val="center"/>
          </w:tcPr>
          <w:p w14:paraId="6A980828" w14:textId="77777777" w:rsidR="006703A2" w:rsidRPr="00C47F2F" w:rsidRDefault="006703A2" w:rsidP="000E00A3">
            <w:pPr>
              <w:pStyle w:val="Table"/>
              <w:rPr>
                <w:noProof/>
                <w:sz w:val="20"/>
                <w:szCs w:val="20"/>
              </w:rPr>
            </w:pPr>
            <w:r w:rsidRPr="00C47F2F">
              <w:rPr>
                <w:noProof/>
                <w:sz w:val="20"/>
                <w:szCs w:val="20"/>
              </w:rPr>
              <w:t>3.20E+00</w:t>
            </w:r>
          </w:p>
        </w:tc>
        <w:tc>
          <w:tcPr>
            <w:tcW w:w="1005" w:type="dxa"/>
            <w:shd w:val="clear" w:color="auto" w:fill="auto"/>
            <w:noWrap/>
            <w:vAlign w:val="center"/>
          </w:tcPr>
          <w:p w14:paraId="657DE4DC" w14:textId="77777777" w:rsidR="006703A2" w:rsidRPr="00C47F2F" w:rsidRDefault="006703A2" w:rsidP="000E00A3">
            <w:pPr>
              <w:pStyle w:val="Table"/>
              <w:rPr>
                <w:noProof/>
                <w:sz w:val="20"/>
                <w:szCs w:val="20"/>
              </w:rPr>
            </w:pPr>
            <w:r w:rsidRPr="00C47F2F">
              <w:rPr>
                <w:noProof/>
                <w:sz w:val="20"/>
                <w:szCs w:val="20"/>
              </w:rPr>
              <w:t>2.91E+00</w:t>
            </w:r>
          </w:p>
        </w:tc>
      </w:tr>
      <w:tr w:rsidR="006703A2" w:rsidRPr="00972C81" w14:paraId="5034A696" w14:textId="77777777" w:rsidTr="000E00A3">
        <w:trPr>
          <w:trHeight w:val="340"/>
        </w:trPr>
        <w:tc>
          <w:tcPr>
            <w:tcW w:w="2985" w:type="dxa"/>
            <w:shd w:val="clear" w:color="auto" w:fill="auto"/>
            <w:noWrap/>
            <w:vAlign w:val="center"/>
          </w:tcPr>
          <w:p w14:paraId="066B2B38" w14:textId="46197D54" w:rsidR="006703A2" w:rsidRPr="006703A2" w:rsidRDefault="006703A2" w:rsidP="000E00A3">
            <w:pPr>
              <w:pStyle w:val="Table"/>
              <w:rPr>
                <w:noProof/>
                <w:sz w:val="20"/>
                <w:szCs w:val="22"/>
              </w:rPr>
            </w:pPr>
            <w:r w:rsidRPr="006703A2">
              <w:rPr>
                <w:noProof/>
                <w:sz w:val="20"/>
                <w:szCs w:val="22"/>
              </w:rPr>
              <w:t>Blood to Trab bone surf</w:t>
            </w:r>
          </w:p>
        </w:tc>
        <w:tc>
          <w:tcPr>
            <w:tcW w:w="1007" w:type="dxa"/>
            <w:shd w:val="clear" w:color="auto" w:fill="auto"/>
            <w:noWrap/>
            <w:vAlign w:val="center"/>
          </w:tcPr>
          <w:p w14:paraId="5865C834" w14:textId="77777777" w:rsidR="006703A2" w:rsidRPr="00C47F2F" w:rsidRDefault="006703A2" w:rsidP="000E00A3">
            <w:pPr>
              <w:pStyle w:val="Table"/>
              <w:rPr>
                <w:noProof/>
                <w:sz w:val="20"/>
                <w:szCs w:val="20"/>
              </w:rPr>
            </w:pPr>
            <w:r w:rsidRPr="00C47F2F">
              <w:rPr>
                <w:noProof/>
                <w:sz w:val="20"/>
                <w:szCs w:val="20"/>
              </w:rPr>
              <w:t>3.78E+00</w:t>
            </w:r>
          </w:p>
        </w:tc>
        <w:tc>
          <w:tcPr>
            <w:tcW w:w="1007" w:type="dxa"/>
            <w:shd w:val="clear" w:color="auto" w:fill="auto"/>
            <w:noWrap/>
            <w:vAlign w:val="center"/>
          </w:tcPr>
          <w:p w14:paraId="53BE49F5" w14:textId="77777777" w:rsidR="006703A2" w:rsidRPr="00C47F2F" w:rsidRDefault="006703A2" w:rsidP="000E00A3">
            <w:pPr>
              <w:pStyle w:val="Table"/>
              <w:rPr>
                <w:noProof/>
                <w:sz w:val="20"/>
                <w:szCs w:val="20"/>
              </w:rPr>
            </w:pPr>
            <w:r w:rsidRPr="00C47F2F">
              <w:rPr>
                <w:noProof/>
                <w:sz w:val="20"/>
                <w:szCs w:val="20"/>
              </w:rPr>
              <w:t>3.78E+00</w:t>
            </w:r>
          </w:p>
        </w:tc>
        <w:tc>
          <w:tcPr>
            <w:tcW w:w="1007" w:type="dxa"/>
            <w:shd w:val="clear" w:color="auto" w:fill="auto"/>
            <w:noWrap/>
            <w:vAlign w:val="center"/>
          </w:tcPr>
          <w:p w14:paraId="46281864" w14:textId="77777777" w:rsidR="006703A2" w:rsidRPr="00C47F2F" w:rsidRDefault="006703A2" w:rsidP="000E00A3">
            <w:pPr>
              <w:pStyle w:val="Table"/>
              <w:rPr>
                <w:noProof/>
                <w:sz w:val="20"/>
                <w:szCs w:val="20"/>
              </w:rPr>
            </w:pPr>
            <w:r w:rsidRPr="00C47F2F">
              <w:rPr>
                <w:noProof/>
                <w:sz w:val="20"/>
                <w:szCs w:val="20"/>
              </w:rPr>
              <w:t>3.20E+00</w:t>
            </w:r>
          </w:p>
        </w:tc>
        <w:tc>
          <w:tcPr>
            <w:tcW w:w="1008" w:type="dxa"/>
            <w:shd w:val="clear" w:color="auto" w:fill="auto"/>
            <w:noWrap/>
            <w:vAlign w:val="center"/>
          </w:tcPr>
          <w:p w14:paraId="0B3C8CBF" w14:textId="77777777" w:rsidR="006703A2" w:rsidRPr="00C47F2F" w:rsidRDefault="006703A2" w:rsidP="000E00A3">
            <w:pPr>
              <w:pStyle w:val="Table"/>
              <w:rPr>
                <w:noProof/>
                <w:sz w:val="20"/>
                <w:szCs w:val="20"/>
              </w:rPr>
            </w:pPr>
            <w:r w:rsidRPr="00C47F2F">
              <w:rPr>
                <w:noProof/>
                <w:sz w:val="20"/>
                <w:szCs w:val="20"/>
              </w:rPr>
              <w:t>3.20E+00</w:t>
            </w:r>
          </w:p>
        </w:tc>
        <w:tc>
          <w:tcPr>
            <w:tcW w:w="1008" w:type="dxa"/>
            <w:shd w:val="clear" w:color="auto" w:fill="auto"/>
            <w:noWrap/>
            <w:vAlign w:val="center"/>
          </w:tcPr>
          <w:p w14:paraId="2CF03BC0" w14:textId="77777777" w:rsidR="006703A2" w:rsidRPr="00C47F2F" w:rsidRDefault="006703A2" w:rsidP="000E00A3">
            <w:pPr>
              <w:pStyle w:val="Table"/>
              <w:rPr>
                <w:noProof/>
                <w:sz w:val="20"/>
                <w:szCs w:val="20"/>
              </w:rPr>
            </w:pPr>
            <w:r w:rsidRPr="00C47F2F">
              <w:rPr>
                <w:noProof/>
                <w:sz w:val="20"/>
                <w:szCs w:val="20"/>
              </w:rPr>
              <w:t>3.20E+00</w:t>
            </w:r>
          </w:p>
        </w:tc>
        <w:tc>
          <w:tcPr>
            <w:tcW w:w="1005" w:type="dxa"/>
            <w:shd w:val="clear" w:color="auto" w:fill="auto"/>
            <w:noWrap/>
            <w:vAlign w:val="center"/>
          </w:tcPr>
          <w:p w14:paraId="17310FB7" w14:textId="77777777" w:rsidR="006703A2" w:rsidRPr="00C47F2F" w:rsidRDefault="006703A2" w:rsidP="000E00A3">
            <w:pPr>
              <w:pStyle w:val="Table"/>
              <w:rPr>
                <w:noProof/>
                <w:sz w:val="20"/>
                <w:szCs w:val="20"/>
              </w:rPr>
            </w:pPr>
            <w:r w:rsidRPr="00C47F2F">
              <w:rPr>
                <w:noProof/>
                <w:sz w:val="20"/>
                <w:szCs w:val="20"/>
              </w:rPr>
              <w:t>2.91E+00</w:t>
            </w:r>
          </w:p>
        </w:tc>
      </w:tr>
      <w:tr w:rsidR="006703A2" w:rsidRPr="00972C81" w14:paraId="6FA667BD" w14:textId="77777777" w:rsidTr="000E00A3">
        <w:trPr>
          <w:trHeight w:val="340"/>
        </w:trPr>
        <w:tc>
          <w:tcPr>
            <w:tcW w:w="2985" w:type="dxa"/>
            <w:shd w:val="clear" w:color="auto" w:fill="auto"/>
            <w:noWrap/>
            <w:vAlign w:val="center"/>
          </w:tcPr>
          <w:p w14:paraId="0EE7B0CC" w14:textId="5AA88E2F" w:rsidR="006703A2" w:rsidRPr="006703A2" w:rsidRDefault="006703A2" w:rsidP="000E00A3">
            <w:pPr>
              <w:pStyle w:val="Table"/>
              <w:rPr>
                <w:noProof/>
                <w:sz w:val="20"/>
                <w:szCs w:val="22"/>
              </w:rPr>
            </w:pPr>
            <w:r w:rsidRPr="006703A2">
              <w:rPr>
                <w:noProof/>
                <w:sz w:val="20"/>
                <w:szCs w:val="22"/>
              </w:rPr>
              <w:t>Blood to Kidneys 1</w:t>
            </w:r>
          </w:p>
        </w:tc>
        <w:tc>
          <w:tcPr>
            <w:tcW w:w="1007" w:type="dxa"/>
            <w:shd w:val="clear" w:color="auto" w:fill="auto"/>
            <w:noWrap/>
            <w:vAlign w:val="center"/>
          </w:tcPr>
          <w:p w14:paraId="69762F97" w14:textId="77777777" w:rsidR="006703A2" w:rsidRPr="00C47F2F" w:rsidRDefault="006703A2" w:rsidP="000E00A3">
            <w:pPr>
              <w:pStyle w:val="Table"/>
              <w:rPr>
                <w:noProof/>
                <w:sz w:val="20"/>
                <w:szCs w:val="20"/>
              </w:rPr>
            </w:pPr>
            <w:r w:rsidRPr="00C47F2F">
              <w:rPr>
                <w:noProof/>
                <w:sz w:val="20"/>
                <w:szCs w:val="20"/>
              </w:rPr>
              <w:t>2.33E-01</w:t>
            </w:r>
          </w:p>
        </w:tc>
        <w:tc>
          <w:tcPr>
            <w:tcW w:w="1007" w:type="dxa"/>
            <w:shd w:val="clear" w:color="auto" w:fill="auto"/>
            <w:noWrap/>
            <w:vAlign w:val="center"/>
          </w:tcPr>
          <w:p w14:paraId="760C9782" w14:textId="77777777" w:rsidR="006703A2" w:rsidRPr="00C47F2F" w:rsidRDefault="006703A2" w:rsidP="000E00A3">
            <w:pPr>
              <w:pStyle w:val="Table"/>
              <w:rPr>
                <w:noProof/>
                <w:sz w:val="20"/>
                <w:szCs w:val="20"/>
              </w:rPr>
            </w:pPr>
            <w:r w:rsidRPr="00C47F2F">
              <w:rPr>
                <w:noProof/>
                <w:sz w:val="20"/>
                <w:szCs w:val="20"/>
              </w:rPr>
              <w:t>2.33E-01</w:t>
            </w:r>
          </w:p>
        </w:tc>
        <w:tc>
          <w:tcPr>
            <w:tcW w:w="1007" w:type="dxa"/>
            <w:shd w:val="clear" w:color="auto" w:fill="auto"/>
            <w:noWrap/>
            <w:vAlign w:val="center"/>
          </w:tcPr>
          <w:p w14:paraId="5C1D4665" w14:textId="77777777" w:rsidR="006703A2" w:rsidRPr="00C47F2F" w:rsidRDefault="006703A2" w:rsidP="000E00A3">
            <w:pPr>
              <w:pStyle w:val="Table"/>
              <w:rPr>
                <w:noProof/>
                <w:sz w:val="20"/>
                <w:szCs w:val="20"/>
              </w:rPr>
            </w:pPr>
            <w:r w:rsidRPr="00C47F2F">
              <w:rPr>
                <w:noProof/>
                <w:sz w:val="20"/>
                <w:szCs w:val="20"/>
              </w:rPr>
              <w:t>2.33E-01</w:t>
            </w:r>
          </w:p>
        </w:tc>
        <w:tc>
          <w:tcPr>
            <w:tcW w:w="1008" w:type="dxa"/>
            <w:shd w:val="clear" w:color="auto" w:fill="auto"/>
            <w:noWrap/>
            <w:vAlign w:val="center"/>
          </w:tcPr>
          <w:p w14:paraId="6A226762" w14:textId="77777777" w:rsidR="006703A2" w:rsidRPr="00C47F2F" w:rsidRDefault="006703A2" w:rsidP="000E00A3">
            <w:pPr>
              <w:pStyle w:val="Table"/>
              <w:rPr>
                <w:noProof/>
                <w:sz w:val="20"/>
                <w:szCs w:val="20"/>
              </w:rPr>
            </w:pPr>
            <w:r w:rsidRPr="00C47F2F">
              <w:rPr>
                <w:noProof/>
                <w:sz w:val="20"/>
                <w:szCs w:val="20"/>
              </w:rPr>
              <w:t>2.33E-01</w:t>
            </w:r>
          </w:p>
        </w:tc>
        <w:tc>
          <w:tcPr>
            <w:tcW w:w="1008" w:type="dxa"/>
            <w:shd w:val="clear" w:color="auto" w:fill="auto"/>
            <w:noWrap/>
            <w:vAlign w:val="center"/>
          </w:tcPr>
          <w:p w14:paraId="44E4FA83" w14:textId="77777777" w:rsidR="006703A2" w:rsidRPr="00C47F2F" w:rsidRDefault="006703A2" w:rsidP="000E00A3">
            <w:pPr>
              <w:pStyle w:val="Table"/>
              <w:rPr>
                <w:noProof/>
                <w:sz w:val="20"/>
                <w:szCs w:val="20"/>
              </w:rPr>
            </w:pPr>
            <w:r w:rsidRPr="00C47F2F">
              <w:rPr>
                <w:noProof/>
                <w:sz w:val="20"/>
                <w:szCs w:val="20"/>
              </w:rPr>
              <w:t>2.33E-01</w:t>
            </w:r>
          </w:p>
        </w:tc>
        <w:tc>
          <w:tcPr>
            <w:tcW w:w="1005" w:type="dxa"/>
            <w:shd w:val="clear" w:color="auto" w:fill="auto"/>
            <w:noWrap/>
            <w:vAlign w:val="center"/>
          </w:tcPr>
          <w:p w14:paraId="1F6B3A40" w14:textId="77777777" w:rsidR="006703A2" w:rsidRPr="00C47F2F" w:rsidRDefault="006703A2" w:rsidP="000E00A3">
            <w:pPr>
              <w:pStyle w:val="Table"/>
              <w:rPr>
                <w:noProof/>
                <w:sz w:val="20"/>
                <w:szCs w:val="20"/>
              </w:rPr>
            </w:pPr>
            <w:r w:rsidRPr="00C47F2F">
              <w:rPr>
                <w:noProof/>
                <w:sz w:val="20"/>
                <w:szCs w:val="20"/>
              </w:rPr>
              <w:t>2.33E-01</w:t>
            </w:r>
          </w:p>
        </w:tc>
      </w:tr>
      <w:tr w:rsidR="006703A2" w:rsidRPr="00972C81" w14:paraId="3EFEB9D6" w14:textId="77777777" w:rsidTr="000E00A3">
        <w:trPr>
          <w:trHeight w:val="340"/>
        </w:trPr>
        <w:tc>
          <w:tcPr>
            <w:tcW w:w="2985" w:type="dxa"/>
            <w:shd w:val="clear" w:color="auto" w:fill="auto"/>
            <w:noWrap/>
            <w:vAlign w:val="center"/>
          </w:tcPr>
          <w:p w14:paraId="5DE6AA3B" w14:textId="770D4D90" w:rsidR="006703A2" w:rsidRPr="006703A2" w:rsidRDefault="006703A2" w:rsidP="000E00A3">
            <w:pPr>
              <w:pStyle w:val="Table"/>
              <w:rPr>
                <w:noProof/>
                <w:sz w:val="20"/>
                <w:szCs w:val="22"/>
              </w:rPr>
            </w:pPr>
            <w:r w:rsidRPr="006703A2">
              <w:rPr>
                <w:noProof/>
                <w:sz w:val="20"/>
                <w:szCs w:val="22"/>
              </w:rPr>
              <w:t>Blood to Right colon cont</w:t>
            </w:r>
          </w:p>
        </w:tc>
        <w:tc>
          <w:tcPr>
            <w:tcW w:w="1007" w:type="dxa"/>
            <w:shd w:val="clear" w:color="auto" w:fill="auto"/>
            <w:noWrap/>
            <w:vAlign w:val="center"/>
          </w:tcPr>
          <w:p w14:paraId="751D7AEA" w14:textId="77777777" w:rsidR="006703A2" w:rsidRPr="00C47F2F" w:rsidRDefault="006703A2" w:rsidP="000E00A3">
            <w:pPr>
              <w:pStyle w:val="Table"/>
              <w:rPr>
                <w:noProof/>
                <w:sz w:val="20"/>
                <w:szCs w:val="20"/>
              </w:rPr>
            </w:pPr>
            <w:r w:rsidRPr="00C47F2F">
              <w:rPr>
                <w:noProof/>
                <w:sz w:val="20"/>
                <w:szCs w:val="20"/>
              </w:rPr>
              <w:t>6.99E-01</w:t>
            </w:r>
          </w:p>
        </w:tc>
        <w:tc>
          <w:tcPr>
            <w:tcW w:w="1007" w:type="dxa"/>
            <w:shd w:val="clear" w:color="auto" w:fill="auto"/>
            <w:noWrap/>
            <w:vAlign w:val="center"/>
          </w:tcPr>
          <w:p w14:paraId="070148EA" w14:textId="77777777" w:rsidR="006703A2" w:rsidRPr="00C47F2F" w:rsidRDefault="006703A2" w:rsidP="000E00A3">
            <w:pPr>
              <w:pStyle w:val="Table"/>
              <w:rPr>
                <w:noProof/>
                <w:sz w:val="20"/>
                <w:szCs w:val="20"/>
              </w:rPr>
            </w:pPr>
            <w:r w:rsidRPr="00C47F2F">
              <w:rPr>
                <w:noProof/>
                <w:sz w:val="20"/>
                <w:szCs w:val="20"/>
              </w:rPr>
              <w:t>6.99E-01</w:t>
            </w:r>
          </w:p>
        </w:tc>
        <w:tc>
          <w:tcPr>
            <w:tcW w:w="1007" w:type="dxa"/>
            <w:shd w:val="clear" w:color="auto" w:fill="auto"/>
            <w:noWrap/>
            <w:vAlign w:val="center"/>
          </w:tcPr>
          <w:p w14:paraId="5756EDAE" w14:textId="77777777" w:rsidR="006703A2" w:rsidRPr="00C47F2F" w:rsidRDefault="006703A2" w:rsidP="000E00A3">
            <w:pPr>
              <w:pStyle w:val="Table"/>
              <w:rPr>
                <w:noProof/>
                <w:sz w:val="20"/>
                <w:szCs w:val="20"/>
              </w:rPr>
            </w:pPr>
            <w:r w:rsidRPr="00C47F2F">
              <w:rPr>
                <w:noProof/>
                <w:sz w:val="20"/>
                <w:szCs w:val="20"/>
              </w:rPr>
              <w:t>6.99E-01</w:t>
            </w:r>
          </w:p>
        </w:tc>
        <w:tc>
          <w:tcPr>
            <w:tcW w:w="1008" w:type="dxa"/>
            <w:shd w:val="clear" w:color="auto" w:fill="auto"/>
            <w:noWrap/>
            <w:vAlign w:val="center"/>
          </w:tcPr>
          <w:p w14:paraId="3CE920A6" w14:textId="77777777" w:rsidR="006703A2" w:rsidRPr="00C47F2F" w:rsidRDefault="006703A2" w:rsidP="000E00A3">
            <w:pPr>
              <w:pStyle w:val="Table"/>
              <w:rPr>
                <w:noProof/>
                <w:sz w:val="20"/>
                <w:szCs w:val="20"/>
              </w:rPr>
            </w:pPr>
            <w:r w:rsidRPr="00C47F2F">
              <w:rPr>
                <w:noProof/>
                <w:sz w:val="20"/>
                <w:szCs w:val="20"/>
              </w:rPr>
              <w:t>6.99E-01</w:t>
            </w:r>
          </w:p>
        </w:tc>
        <w:tc>
          <w:tcPr>
            <w:tcW w:w="1008" w:type="dxa"/>
            <w:shd w:val="clear" w:color="auto" w:fill="auto"/>
            <w:noWrap/>
            <w:vAlign w:val="center"/>
          </w:tcPr>
          <w:p w14:paraId="5696647C" w14:textId="77777777" w:rsidR="006703A2" w:rsidRPr="00C47F2F" w:rsidRDefault="006703A2" w:rsidP="000E00A3">
            <w:pPr>
              <w:pStyle w:val="Table"/>
              <w:rPr>
                <w:noProof/>
                <w:sz w:val="20"/>
                <w:szCs w:val="20"/>
              </w:rPr>
            </w:pPr>
            <w:r w:rsidRPr="00C47F2F">
              <w:rPr>
                <w:noProof/>
                <w:sz w:val="20"/>
                <w:szCs w:val="20"/>
              </w:rPr>
              <w:t>6.99E-01</w:t>
            </w:r>
          </w:p>
        </w:tc>
        <w:tc>
          <w:tcPr>
            <w:tcW w:w="1005" w:type="dxa"/>
            <w:shd w:val="clear" w:color="auto" w:fill="auto"/>
            <w:noWrap/>
            <w:vAlign w:val="center"/>
          </w:tcPr>
          <w:p w14:paraId="6299BD44" w14:textId="77777777" w:rsidR="006703A2" w:rsidRPr="00C47F2F" w:rsidRDefault="006703A2" w:rsidP="000E00A3">
            <w:pPr>
              <w:pStyle w:val="Table"/>
              <w:rPr>
                <w:noProof/>
                <w:sz w:val="20"/>
                <w:szCs w:val="20"/>
              </w:rPr>
            </w:pPr>
            <w:r w:rsidRPr="00C47F2F">
              <w:rPr>
                <w:noProof/>
                <w:sz w:val="20"/>
                <w:szCs w:val="20"/>
              </w:rPr>
              <w:t>6.99E-01</w:t>
            </w:r>
          </w:p>
        </w:tc>
      </w:tr>
      <w:tr w:rsidR="006703A2" w:rsidRPr="00972C81" w14:paraId="32855DDC" w14:textId="77777777" w:rsidTr="000E00A3">
        <w:trPr>
          <w:trHeight w:val="340"/>
        </w:trPr>
        <w:tc>
          <w:tcPr>
            <w:tcW w:w="2985" w:type="dxa"/>
            <w:shd w:val="clear" w:color="auto" w:fill="auto"/>
            <w:noWrap/>
            <w:vAlign w:val="center"/>
          </w:tcPr>
          <w:p w14:paraId="4D2C224E" w14:textId="5768AD52" w:rsidR="006703A2" w:rsidRPr="006703A2" w:rsidRDefault="006703A2" w:rsidP="000E00A3">
            <w:pPr>
              <w:pStyle w:val="Table"/>
              <w:rPr>
                <w:noProof/>
                <w:sz w:val="20"/>
                <w:szCs w:val="22"/>
              </w:rPr>
            </w:pPr>
            <w:r w:rsidRPr="006703A2">
              <w:rPr>
                <w:noProof/>
                <w:sz w:val="20"/>
                <w:szCs w:val="22"/>
              </w:rPr>
              <w:t>Blood to Kidneys 2</w:t>
            </w:r>
          </w:p>
        </w:tc>
        <w:tc>
          <w:tcPr>
            <w:tcW w:w="1007" w:type="dxa"/>
            <w:shd w:val="clear" w:color="auto" w:fill="auto"/>
            <w:noWrap/>
            <w:vAlign w:val="center"/>
          </w:tcPr>
          <w:p w14:paraId="312CE2D4" w14:textId="77777777" w:rsidR="006703A2" w:rsidRPr="00C47F2F" w:rsidRDefault="006703A2" w:rsidP="000E00A3">
            <w:pPr>
              <w:pStyle w:val="Table"/>
              <w:rPr>
                <w:noProof/>
                <w:sz w:val="20"/>
                <w:szCs w:val="20"/>
              </w:rPr>
            </w:pPr>
            <w:r w:rsidRPr="00C47F2F">
              <w:rPr>
                <w:noProof/>
                <w:sz w:val="20"/>
                <w:szCs w:val="20"/>
              </w:rPr>
              <w:t>1.16E-01</w:t>
            </w:r>
          </w:p>
        </w:tc>
        <w:tc>
          <w:tcPr>
            <w:tcW w:w="1007" w:type="dxa"/>
            <w:shd w:val="clear" w:color="auto" w:fill="auto"/>
            <w:noWrap/>
            <w:vAlign w:val="center"/>
          </w:tcPr>
          <w:p w14:paraId="2206A659" w14:textId="77777777" w:rsidR="006703A2" w:rsidRPr="00C47F2F" w:rsidRDefault="006703A2" w:rsidP="000E00A3">
            <w:pPr>
              <w:pStyle w:val="Table"/>
              <w:rPr>
                <w:noProof/>
                <w:sz w:val="20"/>
                <w:szCs w:val="20"/>
              </w:rPr>
            </w:pPr>
            <w:r w:rsidRPr="00C47F2F">
              <w:rPr>
                <w:noProof/>
                <w:sz w:val="20"/>
                <w:szCs w:val="20"/>
              </w:rPr>
              <w:t>1.16E-01</w:t>
            </w:r>
          </w:p>
        </w:tc>
        <w:tc>
          <w:tcPr>
            <w:tcW w:w="1007" w:type="dxa"/>
            <w:shd w:val="clear" w:color="auto" w:fill="auto"/>
            <w:noWrap/>
            <w:vAlign w:val="center"/>
          </w:tcPr>
          <w:p w14:paraId="74287B2C" w14:textId="77777777" w:rsidR="006703A2" w:rsidRPr="00C47F2F" w:rsidRDefault="006703A2" w:rsidP="000E00A3">
            <w:pPr>
              <w:pStyle w:val="Table"/>
              <w:rPr>
                <w:noProof/>
                <w:sz w:val="20"/>
                <w:szCs w:val="20"/>
              </w:rPr>
            </w:pPr>
            <w:r w:rsidRPr="00C47F2F">
              <w:rPr>
                <w:noProof/>
                <w:sz w:val="20"/>
                <w:szCs w:val="20"/>
              </w:rPr>
              <w:t>1.16E-01</w:t>
            </w:r>
          </w:p>
        </w:tc>
        <w:tc>
          <w:tcPr>
            <w:tcW w:w="1008" w:type="dxa"/>
            <w:shd w:val="clear" w:color="auto" w:fill="auto"/>
            <w:noWrap/>
            <w:vAlign w:val="center"/>
          </w:tcPr>
          <w:p w14:paraId="500A34D4" w14:textId="77777777" w:rsidR="006703A2" w:rsidRPr="00C47F2F" w:rsidRDefault="006703A2" w:rsidP="000E00A3">
            <w:pPr>
              <w:pStyle w:val="Table"/>
              <w:rPr>
                <w:noProof/>
                <w:sz w:val="20"/>
                <w:szCs w:val="20"/>
              </w:rPr>
            </w:pPr>
            <w:r w:rsidRPr="00C47F2F">
              <w:rPr>
                <w:noProof/>
                <w:sz w:val="20"/>
                <w:szCs w:val="20"/>
              </w:rPr>
              <w:t>1.16E-01</w:t>
            </w:r>
          </w:p>
        </w:tc>
        <w:tc>
          <w:tcPr>
            <w:tcW w:w="1008" w:type="dxa"/>
            <w:shd w:val="clear" w:color="auto" w:fill="auto"/>
            <w:noWrap/>
            <w:vAlign w:val="center"/>
          </w:tcPr>
          <w:p w14:paraId="32998DCC" w14:textId="77777777" w:rsidR="006703A2" w:rsidRPr="00C47F2F" w:rsidRDefault="006703A2" w:rsidP="000E00A3">
            <w:pPr>
              <w:pStyle w:val="Table"/>
              <w:rPr>
                <w:noProof/>
                <w:sz w:val="20"/>
                <w:szCs w:val="20"/>
              </w:rPr>
            </w:pPr>
            <w:r w:rsidRPr="00C47F2F">
              <w:rPr>
                <w:noProof/>
                <w:sz w:val="20"/>
                <w:szCs w:val="20"/>
              </w:rPr>
              <w:t>1.16E-01</w:t>
            </w:r>
          </w:p>
        </w:tc>
        <w:tc>
          <w:tcPr>
            <w:tcW w:w="1005" w:type="dxa"/>
            <w:shd w:val="clear" w:color="auto" w:fill="auto"/>
            <w:noWrap/>
            <w:vAlign w:val="center"/>
          </w:tcPr>
          <w:p w14:paraId="47E18A59" w14:textId="77777777" w:rsidR="006703A2" w:rsidRPr="00C47F2F" w:rsidRDefault="006703A2" w:rsidP="000E00A3">
            <w:pPr>
              <w:pStyle w:val="Table"/>
              <w:rPr>
                <w:noProof/>
                <w:sz w:val="20"/>
                <w:szCs w:val="20"/>
              </w:rPr>
            </w:pPr>
            <w:r w:rsidRPr="00C47F2F">
              <w:rPr>
                <w:noProof/>
                <w:sz w:val="20"/>
                <w:szCs w:val="20"/>
              </w:rPr>
              <w:t>1.16E-01</w:t>
            </w:r>
          </w:p>
        </w:tc>
      </w:tr>
      <w:tr w:rsidR="006703A2" w:rsidRPr="00972C81" w14:paraId="6F209A8E" w14:textId="77777777" w:rsidTr="000E00A3">
        <w:trPr>
          <w:trHeight w:val="340"/>
        </w:trPr>
        <w:tc>
          <w:tcPr>
            <w:tcW w:w="2985" w:type="dxa"/>
            <w:shd w:val="clear" w:color="auto" w:fill="auto"/>
            <w:noWrap/>
            <w:vAlign w:val="center"/>
          </w:tcPr>
          <w:p w14:paraId="416E9F7B" w14:textId="2DBCF77E" w:rsidR="006703A2" w:rsidRPr="006703A2" w:rsidRDefault="006703A2" w:rsidP="000E00A3">
            <w:pPr>
              <w:pStyle w:val="Table"/>
              <w:rPr>
                <w:noProof/>
                <w:sz w:val="20"/>
                <w:szCs w:val="22"/>
              </w:rPr>
            </w:pPr>
            <w:r w:rsidRPr="006703A2">
              <w:rPr>
                <w:noProof/>
                <w:sz w:val="20"/>
                <w:szCs w:val="22"/>
              </w:rPr>
              <w:t>Blood to Testes</w:t>
            </w:r>
          </w:p>
        </w:tc>
        <w:tc>
          <w:tcPr>
            <w:tcW w:w="1007" w:type="dxa"/>
            <w:shd w:val="clear" w:color="auto" w:fill="auto"/>
            <w:noWrap/>
            <w:vAlign w:val="center"/>
          </w:tcPr>
          <w:p w14:paraId="4BE9145D" w14:textId="77777777" w:rsidR="006703A2" w:rsidRPr="00C47F2F" w:rsidRDefault="006703A2" w:rsidP="000E00A3">
            <w:pPr>
              <w:pStyle w:val="Table"/>
              <w:rPr>
                <w:noProof/>
                <w:sz w:val="20"/>
                <w:szCs w:val="20"/>
              </w:rPr>
            </w:pPr>
            <w:r w:rsidRPr="00C47F2F">
              <w:rPr>
                <w:noProof/>
                <w:sz w:val="20"/>
                <w:szCs w:val="20"/>
              </w:rPr>
              <w:t>2.33E-04</w:t>
            </w:r>
          </w:p>
        </w:tc>
        <w:tc>
          <w:tcPr>
            <w:tcW w:w="1007" w:type="dxa"/>
            <w:shd w:val="clear" w:color="auto" w:fill="auto"/>
            <w:noWrap/>
            <w:vAlign w:val="center"/>
          </w:tcPr>
          <w:p w14:paraId="47BF1617" w14:textId="77777777" w:rsidR="006703A2" w:rsidRPr="00C47F2F" w:rsidRDefault="006703A2" w:rsidP="000E00A3">
            <w:pPr>
              <w:pStyle w:val="Table"/>
              <w:rPr>
                <w:noProof/>
                <w:sz w:val="20"/>
                <w:szCs w:val="20"/>
              </w:rPr>
            </w:pPr>
            <w:r w:rsidRPr="00C47F2F">
              <w:rPr>
                <w:noProof/>
                <w:sz w:val="20"/>
                <w:szCs w:val="20"/>
              </w:rPr>
              <w:t>3.49E-04</w:t>
            </w:r>
          </w:p>
        </w:tc>
        <w:tc>
          <w:tcPr>
            <w:tcW w:w="1007" w:type="dxa"/>
            <w:shd w:val="clear" w:color="auto" w:fill="auto"/>
            <w:noWrap/>
            <w:vAlign w:val="center"/>
          </w:tcPr>
          <w:p w14:paraId="08BF5630" w14:textId="77777777" w:rsidR="006703A2" w:rsidRPr="00C47F2F" w:rsidRDefault="006703A2" w:rsidP="000E00A3">
            <w:pPr>
              <w:pStyle w:val="Table"/>
              <w:rPr>
                <w:noProof/>
                <w:sz w:val="20"/>
                <w:szCs w:val="20"/>
              </w:rPr>
            </w:pPr>
            <w:r w:rsidRPr="00C47F2F">
              <w:rPr>
                <w:noProof/>
                <w:sz w:val="20"/>
                <w:szCs w:val="20"/>
              </w:rPr>
              <w:t>3.96E-04</w:t>
            </w:r>
          </w:p>
        </w:tc>
        <w:tc>
          <w:tcPr>
            <w:tcW w:w="1008" w:type="dxa"/>
            <w:shd w:val="clear" w:color="auto" w:fill="auto"/>
            <w:noWrap/>
            <w:vAlign w:val="center"/>
          </w:tcPr>
          <w:p w14:paraId="2F5A1D25" w14:textId="77777777" w:rsidR="006703A2" w:rsidRPr="00C47F2F" w:rsidRDefault="006703A2" w:rsidP="000E00A3">
            <w:pPr>
              <w:pStyle w:val="Table"/>
              <w:rPr>
                <w:noProof/>
                <w:sz w:val="20"/>
                <w:szCs w:val="20"/>
              </w:rPr>
            </w:pPr>
            <w:r w:rsidRPr="00C47F2F">
              <w:rPr>
                <w:noProof/>
                <w:sz w:val="20"/>
                <w:szCs w:val="20"/>
              </w:rPr>
              <w:t>4.66E-04</w:t>
            </w:r>
          </w:p>
        </w:tc>
        <w:tc>
          <w:tcPr>
            <w:tcW w:w="1008" w:type="dxa"/>
            <w:shd w:val="clear" w:color="auto" w:fill="auto"/>
            <w:noWrap/>
            <w:vAlign w:val="center"/>
          </w:tcPr>
          <w:p w14:paraId="2F1CE6A4" w14:textId="77777777" w:rsidR="006703A2" w:rsidRPr="00C47F2F" w:rsidRDefault="006703A2" w:rsidP="000E00A3">
            <w:pPr>
              <w:pStyle w:val="Table"/>
              <w:rPr>
                <w:noProof/>
                <w:sz w:val="20"/>
                <w:szCs w:val="20"/>
              </w:rPr>
            </w:pPr>
            <w:r w:rsidRPr="00C47F2F">
              <w:rPr>
                <w:noProof/>
                <w:sz w:val="20"/>
                <w:szCs w:val="20"/>
              </w:rPr>
              <w:t>3.73E-03</w:t>
            </w:r>
          </w:p>
        </w:tc>
        <w:tc>
          <w:tcPr>
            <w:tcW w:w="1005" w:type="dxa"/>
            <w:shd w:val="clear" w:color="auto" w:fill="auto"/>
            <w:noWrap/>
            <w:vAlign w:val="center"/>
          </w:tcPr>
          <w:p w14:paraId="02C8DF06" w14:textId="77777777" w:rsidR="006703A2" w:rsidRPr="00C47F2F" w:rsidRDefault="006703A2" w:rsidP="000E00A3">
            <w:pPr>
              <w:pStyle w:val="Table"/>
              <w:rPr>
                <w:noProof/>
                <w:sz w:val="20"/>
                <w:szCs w:val="20"/>
              </w:rPr>
            </w:pPr>
            <w:r w:rsidRPr="00C47F2F">
              <w:rPr>
                <w:noProof/>
                <w:sz w:val="20"/>
                <w:szCs w:val="20"/>
              </w:rPr>
              <w:t>4.08E-03</w:t>
            </w:r>
          </w:p>
        </w:tc>
      </w:tr>
      <w:tr w:rsidR="006703A2" w:rsidRPr="00972C81" w14:paraId="18C79702" w14:textId="77777777" w:rsidTr="000E00A3">
        <w:trPr>
          <w:trHeight w:val="340"/>
        </w:trPr>
        <w:tc>
          <w:tcPr>
            <w:tcW w:w="2985" w:type="dxa"/>
            <w:shd w:val="clear" w:color="auto" w:fill="auto"/>
            <w:noWrap/>
            <w:vAlign w:val="center"/>
          </w:tcPr>
          <w:p w14:paraId="50D62E53" w14:textId="5F659F5F" w:rsidR="006703A2" w:rsidRPr="006703A2" w:rsidRDefault="006703A2" w:rsidP="000E00A3">
            <w:pPr>
              <w:pStyle w:val="Table"/>
              <w:rPr>
                <w:noProof/>
                <w:sz w:val="20"/>
                <w:szCs w:val="22"/>
              </w:rPr>
            </w:pPr>
            <w:r w:rsidRPr="006703A2">
              <w:rPr>
                <w:noProof/>
                <w:sz w:val="20"/>
                <w:szCs w:val="22"/>
              </w:rPr>
              <w:t>Blood to Ovaries</w:t>
            </w:r>
          </w:p>
        </w:tc>
        <w:tc>
          <w:tcPr>
            <w:tcW w:w="1007" w:type="dxa"/>
            <w:shd w:val="clear" w:color="auto" w:fill="auto"/>
            <w:noWrap/>
            <w:vAlign w:val="center"/>
          </w:tcPr>
          <w:p w14:paraId="43BC16C5" w14:textId="77777777" w:rsidR="006703A2" w:rsidRPr="00C47F2F" w:rsidRDefault="006703A2" w:rsidP="000E00A3">
            <w:pPr>
              <w:pStyle w:val="Table"/>
              <w:rPr>
                <w:noProof/>
                <w:sz w:val="20"/>
                <w:szCs w:val="20"/>
              </w:rPr>
            </w:pPr>
            <w:r w:rsidRPr="00C47F2F">
              <w:rPr>
                <w:noProof/>
                <w:sz w:val="20"/>
                <w:szCs w:val="20"/>
              </w:rPr>
              <w:t>1.40E-04</w:t>
            </w:r>
          </w:p>
        </w:tc>
        <w:tc>
          <w:tcPr>
            <w:tcW w:w="1007" w:type="dxa"/>
            <w:shd w:val="clear" w:color="auto" w:fill="auto"/>
            <w:noWrap/>
            <w:vAlign w:val="center"/>
          </w:tcPr>
          <w:p w14:paraId="21C25DA2" w14:textId="77777777" w:rsidR="006703A2" w:rsidRPr="00C47F2F" w:rsidRDefault="006703A2" w:rsidP="000E00A3">
            <w:pPr>
              <w:pStyle w:val="Table"/>
              <w:rPr>
                <w:noProof/>
                <w:sz w:val="20"/>
                <w:szCs w:val="20"/>
              </w:rPr>
            </w:pPr>
            <w:r w:rsidRPr="00C47F2F">
              <w:rPr>
                <w:noProof/>
                <w:sz w:val="20"/>
                <w:szCs w:val="20"/>
              </w:rPr>
              <w:t>1.86E-04</w:t>
            </w:r>
          </w:p>
        </w:tc>
        <w:tc>
          <w:tcPr>
            <w:tcW w:w="1007" w:type="dxa"/>
            <w:shd w:val="clear" w:color="auto" w:fill="auto"/>
            <w:noWrap/>
            <w:vAlign w:val="center"/>
          </w:tcPr>
          <w:p w14:paraId="388ED011" w14:textId="77777777" w:rsidR="006703A2" w:rsidRPr="00C47F2F" w:rsidRDefault="006703A2" w:rsidP="000E00A3">
            <w:pPr>
              <w:pStyle w:val="Table"/>
              <w:rPr>
                <w:noProof/>
                <w:sz w:val="20"/>
                <w:szCs w:val="20"/>
              </w:rPr>
            </w:pPr>
            <w:r w:rsidRPr="00C47F2F">
              <w:rPr>
                <w:noProof/>
                <w:sz w:val="20"/>
                <w:szCs w:val="20"/>
              </w:rPr>
              <w:t>4.66E-04</w:t>
            </w:r>
          </w:p>
        </w:tc>
        <w:tc>
          <w:tcPr>
            <w:tcW w:w="1008" w:type="dxa"/>
            <w:shd w:val="clear" w:color="auto" w:fill="auto"/>
            <w:noWrap/>
            <w:vAlign w:val="center"/>
          </w:tcPr>
          <w:p w14:paraId="59D0E933" w14:textId="77777777" w:rsidR="006703A2" w:rsidRPr="00C47F2F" w:rsidRDefault="006703A2" w:rsidP="000E00A3">
            <w:pPr>
              <w:pStyle w:val="Table"/>
              <w:rPr>
                <w:noProof/>
                <w:sz w:val="20"/>
                <w:szCs w:val="20"/>
              </w:rPr>
            </w:pPr>
            <w:r w:rsidRPr="00C47F2F">
              <w:rPr>
                <w:noProof/>
                <w:sz w:val="20"/>
                <w:szCs w:val="20"/>
              </w:rPr>
              <w:t>8.15E-04</w:t>
            </w:r>
          </w:p>
        </w:tc>
        <w:tc>
          <w:tcPr>
            <w:tcW w:w="1008" w:type="dxa"/>
            <w:shd w:val="clear" w:color="auto" w:fill="auto"/>
            <w:noWrap/>
            <w:vAlign w:val="center"/>
          </w:tcPr>
          <w:p w14:paraId="3E8F3F3D" w14:textId="77777777" w:rsidR="006703A2" w:rsidRPr="00C47F2F" w:rsidRDefault="006703A2" w:rsidP="000E00A3">
            <w:pPr>
              <w:pStyle w:val="Table"/>
              <w:rPr>
                <w:noProof/>
                <w:sz w:val="20"/>
                <w:szCs w:val="20"/>
              </w:rPr>
            </w:pPr>
            <w:r w:rsidRPr="00C47F2F">
              <w:rPr>
                <w:noProof/>
                <w:sz w:val="20"/>
                <w:szCs w:val="20"/>
              </w:rPr>
              <w:t>1.40E-03</w:t>
            </w:r>
          </w:p>
        </w:tc>
        <w:tc>
          <w:tcPr>
            <w:tcW w:w="1005" w:type="dxa"/>
            <w:shd w:val="clear" w:color="auto" w:fill="auto"/>
            <w:noWrap/>
            <w:vAlign w:val="center"/>
          </w:tcPr>
          <w:p w14:paraId="1879EEB7" w14:textId="77777777" w:rsidR="006703A2" w:rsidRPr="00C47F2F" w:rsidRDefault="006703A2" w:rsidP="000E00A3">
            <w:pPr>
              <w:pStyle w:val="Table"/>
              <w:rPr>
                <w:noProof/>
                <w:sz w:val="20"/>
                <w:szCs w:val="20"/>
              </w:rPr>
            </w:pPr>
            <w:r w:rsidRPr="00C47F2F">
              <w:rPr>
                <w:noProof/>
                <w:sz w:val="20"/>
                <w:szCs w:val="20"/>
              </w:rPr>
              <w:t>1.28E-03</w:t>
            </w:r>
          </w:p>
        </w:tc>
      </w:tr>
      <w:tr w:rsidR="006703A2" w:rsidRPr="00972C81" w14:paraId="4AC9591C" w14:textId="77777777" w:rsidTr="000E00A3">
        <w:trPr>
          <w:trHeight w:val="340"/>
        </w:trPr>
        <w:tc>
          <w:tcPr>
            <w:tcW w:w="2985" w:type="dxa"/>
            <w:shd w:val="clear" w:color="auto" w:fill="auto"/>
            <w:noWrap/>
            <w:vAlign w:val="center"/>
          </w:tcPr>
          <w:p w14:paraId="3BF8E7DE" w14:textId="08733716" w:rsidR="006703A2" w:rsidRPr="006703A2" w:rsidRDefault="006703A2" w:rsidP="000E00A3">
            <w:pPr>
              <w:pStyle w:val="Table"/>
              <w:rPr>
                <w:noProof/>
                <w:sz w:val="20"/>
                <w:szCs w:val="22"/>
              </w:rPr>
            </w:pPr>
            <w:r w:rsidRPr="006703A2">
              <w:rPr>
                <w:noProof/>
                <w:sz w:val="20"/>
                <w:szCs w:val="22"/>
              </w:rPr>
              <w:t>Blood to Urinary bladder cont</w:t>
            </w:r>
          </w:p>
        </w:tc>
        <w:tc>
          <w:tcPr>
            <w:tcW w:w="1007" w:type="dxa"/>
            <w:shd w:val="clear" w:color="auto" w:fill="auto"/>
            <w:noWrap/>
            <w:vAlign w:val="center"/>
          </w:tcPr>
          <w:p w14:paraId="56E3F5B5" w14:textId="77777777" w:rsidR="006703A2" w:rsidRPr="00C47F2F" w:rsidRDefault="006703A2" w:rsidP="000E00A3">
            <w:pPr>
              <w:pStyle w:val="Table"/>
              <w:rPr>
                <w:noProof/>
                <w:sz w:val="20"/>
                <w:szCs w:val="20"/>
              </w:rPr>
            </w:pPr>
            <w:r w:rsidRPr="00C47F2F">
              <w:rPr>
                <w:noProof/>
                <w:sz w:val="20"/>
                <w:szCs w:val="20"/>
              </w:rPr>
              <w:t>1.28E+00</w:t>
            </w:r>
          </w:p>
        </w:tc>
        <w:tc>
          <w:tcPr>
            <w:tcW w:w="1007" w:type="dxa"/>
            <w:shd w:val="clear" w:color="auto" w:fill="auto"/>
            <w:noWrap/>
            <w:vAlign w:val="center"/>
          </w:tcPr>
          <w:p w14:paraId="0255F43A" w14:textId="77777777" w:rsidR="006703A2" w:rsidRPr="00C47F2F" w:rsidRDefault="006703A2" w:rsidP="000E00A3">
            <w:pPr>
              <w:pStyle w:val="Table"/>
              <w:rPr>
                <w:noProof/>
                <w:sz w:val="20"/>
                <w:szCs w:val="20"/>
              </w:rPr>
            </w:pPr>
            <w:r w:rsidRPr="00C47F2F">
              <w:rPr>
                <w:noProof/>
                <w:sz w:val="20"/>
                <w:szCs w:val="20"/>
              </w:rPr>
              <w:t>1.28E+00</w:t>
            </w:r>
          </w:p>
        </w:tc>
        <w:tc>
          <w:tcPr>
            <w:tcW w:w="1007" w:type="dxa"/>
            <w:shd w:val="clear" w:color="auto" w:fill="auto"/>
            <w:noWrap/>
            <w:vAlign w:val="center"/>
          </w:tcPr>
          <w:p w14:paraId="368715E2" w14:textId="77777777" w:rsidR="006703A2" w:rsidRPr="00C47F2F" w:rsidRDefault="006703A2" w:rsidP="000E00A3">
            <w:pPr>
              <w:pStyle w:val="Table"/>
              <w:rPr>
                <w:noProof/>
                <w:sz w:val="20"/>
                <w:szCs w:val="20"/>
              </w:rPr>
            </w:pPr>
            <w:r w:rsidRPr="00C47F2F">
              <w:rPr>
                <w:noProof/>
                <w:sz w:val="20"/>
                <w:szCs w:val="20"/>
              </w:rPr>
              <w:t>1.28E+00</w:t>
            </w:r>
          </w:p>
        </w:tc>
        <w:tc>
          <w:tcPr>
            <w:tcW w:w="1008" w:type="dxa"/>
            <w:shd w:val="clear" w:color="auto" w:fill="auto"/>
            <w:noWrap/>
            <w:vAlign w:val="center"/>
          </w:tcPr>
          <w:p w14:paraId="775F5D83" w14:textId="77777777" w:rsidR="006703A2" w:rsidRPr="00C47F2F" w:rsidRDefault="006703A2" w:rsidP="000E00A3">
            <w:pPr>
              <w:pStyle w:val="Table"/>
              <w:rPr>
                <w:noProof/>
                <w:sz w:val="20"/>
                <w:szCs w:val="20"/>
              </w:rPr>
            </w:pPr>
            <w:r w:rsidRPr="00C47F2F">
              <w:rPr>
                <w:noProof/>
                <w:sz w:val="20"/>
                <w:szCs w:val="20"/>
              </w:rPr>
              <w:t>1.28E+00</w:t>
            </w:r>
          </w:p>
        </w:tc>
        <w:tc>
          <w:tcPr>
            <w:tcW w:w="1008" w:type="dxa"/>
            <w:shd w:val="clear" w:color="auto" w:fill="auto"/>
            <w:noWrap/>
            <w:vAlign w:val="center"/>
          </w:tcPr>
          <w:p w14:paraId="20935657" w14:textId="77777777" w:rsidR="006703A2" w:rsidRPr="00C47F2F" w:rsidRDefault="006703A2" w:rsidP="000E00A3">
            <w:pPr>
              <w:pStyle w:val="Table"/>
              <w:rPr>
                <w:noProof/>
                <w:sz w:val="20"/>
                <w:szCs w:val="20"/>
              </w:rPr>
            </w:pPr>
            <w:r w:rsidRPr="00C47F2F">
              <w:rPr>
                <w:noProof/>
                <w:sz w:val="20"/>
                <w:szCs w:val="20"/>
              </w:rPr>
              <w:t>1.28E+00</w:t>
            </w:r>
          </w:p>
        </w:tc>
        <w:tc>
          <w:tcPr>
            <w:tcW w:w="1005" w:type="dxa"/>
            <w:shd w:val="clear" w:color="auto" w:fill="auto"/>
            <w:noWrap/>
            <w:vAlign w:val="center"/>
          </w:tcPr>
          <w:p w14:paraId="4F6402B9" w14:textId="77777777" w:rsidR="006703A2" w:rsidRPr="00C47F2F" w:rsidRDefault="006703A2" w:rsidP="000E00A3">
            <w:pPr>
              <w:pStyle w:val="Table"/>
              <w:rPr>
                <w:noProof/>
                <w:sz w:val="20"/>
                <w:szCs w:val="20"/>
              </w:rPr>
            </w:pPr>
            <w:r w:rsidRPr="00C47F2F">
              <w:rPr>
                <w:noProof/>
                <w:sz w:val="20"/>
                <w:szCs w:val="20"/>
              </w:rPr>
              <w:t>1.28E+00</w:t>
            </w:r>
          </w:p>
        </w:tc>
      </w:tr>
      <w:tr w:rsidR="006703A2" w:rsidRPr="00972C81" w14:paraId="5F3EDE6C" w14:textId="77777777" w:rsidTr="000E00A3">
        <w:trPr>
          <w:trHeight w:val="340"/>
        </w:trPr>
        <w:tc>
          <w:tcPr>
            <w:tcW w:w="2985" w:type="dxa"/>
            <w:shd w:val="clear" w:color="auto" w:fill="auto"/>
            <w:noWrap/>
            <w:vAlign w:val="center"/>
          </w:tcPr>
          <w:p w14:paraId="296C6236" w14:textId="099A8DA0" w:rsidR="006703A2" w:rsidRPr="006703A2" w:rsidRDefault="006703A2" w:rsidP="000E00A3">
            <w:pPr>
              <w:pStyle w:val="Table"/>
              <w:rPr>
                <w:noProof/>
                <w:sz w:val="20"/>
                <w:szCs w:val="22"/>
              </w:rPr>
            </w:pPr>
            <w:r w:rsidRPr="006703A2">
              <w:rPr>
                <w:noProof/>
                <w:sz w:val="20"/>
                <w:szCs w:val="22"/>
              </w:rPr>
              <w:t>Liver 1 to SI-cont</w:t>
            </w:r>
          </w:p>
        </w:tc>
        <w:tc>
          <w:tcPr>
            <w:tcW w:w="1007" w:type="dxa"/>
            <w:shd w:val="clear" w:color="auto" w:fill="auto"/>
            <w:noWrap/>
            <w:vAlign w:val="center"/>
          </w:tcPr>
          <w:p w14:paraId="3E007FB1" w14:textId="77777777" w:rsidR="006703A2" w:rsidRPr="00C47F2F" w:rsidRDefault="006703A2" w:rsidP="000E00A3">
            <w:pPr>
              <w:pStyle w:val="Table"/>
              <w:rPr>
                <w:noProof/>
                <w:sz w:val="20"/>
                <w:szCs w:val="20"/>
              </w:rPr>
            </w:pPr>
            <w:r w:rsidRPr="00C47F2F">
              <w:rPr>
                <w:noProof/>
                <w:sz w:val="20"/>
                <w:szCs w:val="20"/>
              </w:rPr>
              <w:t>6.00E-04</w:t>
            </w:r>
          </w:p>
        </w:tc>
        <w:tc>
          <w:tcPr>
            <w:tcW w:w="1007" w:type="dxa"/>
            <w:shd w:val="clear" w:color="auto" w:fill="auto"/>
            <w:noWrap/>
            <w:vAlign w:val="center"/>
          </w:tcPr>
          <w:p w14:paraId="342F8D7B" w14:textId="77777777" w:rsidR="006703A2" w:rsidRPr="00C47F2F" w:rsidRDefault="006703A2" w:rsidP="000E00A3">
            <w:pPr>
              <w:pStyle w:val="Table"/>
              <w:rPr>
                <w:noProof/>
                <w:sz w:val="20"/>
                <w:szCs w:val="20"/>
              </w:rPr>
            </w:pPr>
            <w:r w:rsidRPr="00C47F2F">
              <w:rPr>
                <w:noProof/>
                <w:sz w:val="20"/>
                <w:szCs w:val="20"/>
              </w:rPr>
              <w:t>6.00E-04</w:t>
            </w:r>
          </w:p>
        </w:tc>
        <w:tc>
          <w:tcPr>
            <w:tcW w:w="1007" w:type="dxa"/>
            <w:shd w:val="clear" w:color="auto" w:fill="auto"/>
            <w:noWrap/>
            <w:vAlign w:val="center"/>
          </w:tcPr>
          <w:p w14:paraId="1F537BE8" w14:textId="77777777" w:rsidR="006703A2" w:rsidRPr="00C47F2F" w:rsidRDefault="006703A2" w:rsidP="000E00A3">
            <w:pPr>
              <w:pStyle w:val="Table"/>
              <w:rPr>
                <w:noProof/>
                <w:sz w:val="20"/>
                <w:szCs w:val="20"/>
              </w:rPr>
            </w:pPr>
            <w:r w:rsidRPr="00C47F2F">
              <w:rPr>
                <w:noProof/>
                <w:sz w:val="20"/>
                <w:szCs w:val="20"/>
              </w:rPr>
              <w:t>6.00E-04</w:t>
            </w:r>
          </w:p>
        </w:tc>
        <w:tc>
          <w:tcPr>
            <w:tcW w:w="1008" w:type="dxa"/>
            <w:shd w:val="clear" w:color="auto" w:fill="auto"/>
            <w:noWrap/>
            <w:vAlign w:val="center"/>
          </w:tcPr>
          <w:p w14:paraId="60C52D0D" w14:textId="77777777" w:rsidR="006703A2" w:rsidRPr="00C47F2F" w:rsidRDefault="006703A2" w:rsidP="000E00A3">
            <w:pPr>
              <w:pStyle w:val="Table"/>
              <w:rPr>
                <w:noProof/>
                <w:sz w:val="20"/>
                <w:szCs w:val="20"/>
              </w:rPr>
            </w:pPr>
            <w:r w:rsidRPr="00C47F2F">
              <w:rPr>
                <w:noProof/>
                <w:sz w:val="20"/>
                <w:szCs w:val="20"/>
              </w:rPr>
              <w:t>6.00E-04</w:t>
            </w:r>
          </w:p>
        </w:tc>
        <w:tc>
          <w:tcPr>
            <w:tcW w:w="1008" w:type="dxa"/>
            <w:shd w:val="clear" w:color="auto" w:fill="auto"/>
            <w:noWrap/>
            <w:vAlign w:val="center"/>
          </w:tcPr>
          <w:p w14:paraId="075E274A" w14:textId="77777777" w:rsidR="006703A2" w:rsidRPr="00C47F2F" w:rsidRDefault="006703A2" w:rsidP="000E00A3">
            <w:pPr>
              <w:pStyle w:val="Table"/>
              <w:rPr>
                <w:noProof/>
                <w:sz w:val="20"/>
                <w:szCs w:val="20"/>
              </w:rPr>
            </w:pPr>
            <w:r w:rsidRPr="00C47F2F">
              <w:rPr>
                <w:noProof/>
                <w:sz w:val="20"/>
                <w:szCs w:val="20"/>
              </w:rPr>
              <w:t>6.00E-04</w:t>
            </w:r>
          </w:p>
        </w:tc>
        <w:tc>
          <w:tcPr>
            <w:tcW w:w="1005" w:type="dxa"/>
            <w:shd w:val="clear" w:color="auto" w:fill="auto"/>
            <w:noWrap/>
            <w:vAlign w:val="center"/>
          </w:tcPr>
          <w:p w14:paraId="4215F403" w14:textId="77777777" w:rsidR="006703A2" w:rsidRPr="00C47F2F" w:rsidRDefault="006703A2" w:rsidP="000E00A3">
            <w:pPr>
              <w:pStyle w:val="Table"/>
              <w:rPr>
                <w:noProof/>
                <w:sz w:val="20"/>
                <w:szCs w:val="20"/>
              </w:rPr>
            </w:pPr>
            <w:r w:rsidRPr="00C47F2F">
              <w:rPr>
                <w:noProof/>
                <w:sz w:val="20"/>
                <w:szCs w:val="20"/>
              </w:rPr>
              <w:t>6.00E-04</w:t>
            </w:r>
          </w:p>
        </w:tc>
      </w:tr>
      <w:tr w:rsidR="006703A2" w:rsidRPr="00972C81" w14:paraId="0305620B" w14:textId="77777777" w:rsidTr="000E00A3">
        <w:trPr>
          <w:trHeight w:val="340"/>
        </w:trPr>
        <w:tc>
          <w:tcPr>
            <w:tcW w:w="2985" w:type="dxa"/>
            <w:shd w:val="clear" w:color="auto" w:fill="auto"/>
            <w:noWrap/>
            <w:vAlign w:val="center"/>
          </w:tcPr>
          <w:p w14:paraId="09E7AC14" w14:textId="40151970" w:rsidR="006703A2" w:rsidRPr="006703A2" w:rsidRDefault="006703A2" w:rsidP="000E00A3">
            <w:pPr>
              <w:pStyle w:val="Table"/>
              <w:rPr>
                <w:noProof/>
                <w:sz w:val="20"/>
                <w:szCs w:val="22"/>
              </w:rPr>
            </w:pPr>
            <w:r w:rsidRPr="006703A2">
              <w:rPr>
                <w:noProof/>
                <w:sz w:val="20"/>
                <w:szCs w:val="22"/>
              </w:rPr>
              <w:t>Liver 1 to Liver 2</w:t>
            </w:r>
          </w:p>
        </w:tc>
        <w:tc>
          <w:tcPr>
            <w:tcW w:w="1007" w:type="dxa"/>
            <w:shd w:val="clear" w:color="auto" w:fill="auto"/>
            <w:noWrap/>
            <w:vAlign w:val="center"/>
          </w:tcPr>
          <w:p w14:paraId="17C142C0" w14:textId="77777777" w:rsidR="006703A2" w:rsidRPr="00C47F2F" w:rsidRDefault="006703A2" w:rsidP="000E00A3">
            <w:pPr>
              <w:pStyle w:val="Table"/>
              <w:rPr>
                <w:noProof/>
                <w:sz w:val="20"/>
                <w:szCs w:val="20"/>
              </w:rPr>
            </w:pPr>
            <w:r w:rsidRPr="00C47F2F">
              <w:rPr>
                <w:noProof/>
                <w:sz w:val="20"/>
                <w:szCs w:val="20"/>
              </w:rPr>
              <w:t>2.25E-02</w:t>
            </w:r>
          </w:p>
        </w:tc>
        <w:tc>
          <w:tcPr>
            <w:tcW w:w="1007" w:type="dxa"/>
            <w:shd w:val="clear" w:color="auto" w:fill="auto"/>
            <w:noWrap/>
            <w:vAlign w:val="center"/>
          </w:tcPr>
          <w:p w14:paraId="6C2A7E2A" w14:textId="77777777" w:rsidR="006703A2" w:rsidRPr="00C47F2F" w:rsidRDefault="006703A2" w:rsidP="000E00A3">
            <w:pPr>
              <w:pStyle w:val="Table"/>
              <w:rPr>
                <w:noProof/>
                <w:sz w:val="20"/>
                <w:szCs w:val="20"/>
              </w:rPr>
            </w:pPr>
            <w:r w:rsidRPr="00C47F2F">
              <w:rPr>
                <w:noProof/>
                <w:sz w:val="20"/>
                <w:szCs w:val="20"/>
              </w:rPr>
              <w:t>2.25E-02</w:t>
            </w:r>
          </w:p>
        </w:tc>
        <w:tc>
          <w:tcPr>
            <w:tcW w:w="1007" w:type="dxa"/>
            <w:shd w:val="clear" w:color="auto" w:fill="auto"/>
            <w:noWrap/>
            <w:vAlign w:val="center"/>
          </w:tcPr>
          <w:p w14:paraId="3536F6DD" w14:textId="77777777" w:rsidR="006703A2" w:rsidRPr="00C47F2F" w:rsidRDefault="006703A2" w:rsidP="000E00A3">
            <w:pPr>
              <w:pStyle w:val="Table"/>
              <w:rPr>
                <w:noProof/>
                <w:sz w:val="20"/>
                <w:szCs w:val="20"/>
              </w:rPr>
            </w:pPr>
            <w:r w:rsidRPr="00C47F2F">
              <w:rPr>
                <w:noProof/>
                <w:sz w:val="20"/>
                <w:szCs w:val="20"/>
              </w:rPr>
              <w:t>2.25E-02</w:t>
            </w:r>
          </w:p>
        </w:tc>
        <w:tc>
          <w:tcPr>
            <w:tcW w:w="1008" w:type="dxa"/>
            <w:shd w:val="clear" w:color="auto" w:fill="auto"/>
            <w:noWrap/>
            <w:vAlign w:val="center"/>
          </w:tcPr>
          <w:p w14:paraId="18A93B74" w14:textId="77777777" w:rsidR="006703A2" w:rsidRPr="00C47F2F" w:rsidRDefault="006703A2" w:rsidP="000E00A3">
            <w:pPr>
              <w:pStyle w:val="Table"/>
              <w:rPr>
                <w:noProof/>
                <w:sz w:val="20"/>
                <w:szCs w:val="20"/>
              </w:rPr>
            </w:pPr>
            <w:r w:rsidRPr="00C47F2F">
              <w:rPr>
                <w:noProof/>
                <w:sz w:val="20"/>
                <w:szCs w:val="20"/>
              </w:rPr>
              <w:t>2.25E-02</w:t>
            </w:r>
          </w:p>
        </w:tc>
        <w:tc>
          <w:tcPr>
            <w:tcW w:w="1008" w:type="dxa"/>
            <w:shd w:val="clear" w:color="auto" w:fill="auto"/>
            <w:noWrap/>
            <w:vAlign w:val="center"/>
          </w:tcPr>
          <w:p w14:paraId="2F5A8957" w14:textId="77777777" w:rsidR="006703A2" w:rsidRPr="00C47F2F" w:rsidRDefault="006703A2" w:rsidP="000E00A3">
            <w:pPr>
              <w:pStyle w:val="Table"/>
              <w:rPr>
                <w:noProof/>
                <w:sz w:val="20"/>
                <w:szCs w:val="20"/>
              </w:rPr>
            </w:pPr>
            <w:r w:rsidRPr="00C47F2F">
              <w:rPr>
                <w:noProof/>
                <w:sz w:val="20"/>
                <w:szCs w:val="20"/>
              </w:rPr>
              <w:t>2.25E-02</w:t>
            </w:r>
          </w:p>
        </w:tc>
        <w:tc>
          <w:tcPr>
            <w:tcW w:w="1005" w:type="dxa"/>
            <w:shd w:val="clear" w:color="auto" w:fill="auto"/>
            <w:noWrap/>
            <w:vAlign w:val="center"/>
          </w:tcPr>
          <w:p w14:paraId="3F538AEC" w14:textId="77777777" w:rsidR="006703A2" w:rsidRPr="00C47F2F" w:rsidRDefault="006703A2" w:rsidP="000E00A3">
            <w:pPr>
              <w:pStyle w:val="Table"/>
              <w:rPr>
                <w:noProof/>
                <w:sz w:val="20"/>
                <w:szCs w:val="20"/>
              </w:rPr>
            </w:pPr>
            <w:r w:rsidRPr="00C47F2F">
              <w:rPr>
                <w:noProof/>
                <w:sz w:val="20"/>
                <w:szCs w:val="20"/>
              </w:rPr>
              <w:t>2.25E-02</w:t>
            </w:r>
          </w:p>
        </w:tc>
      </w:tr>
      <w:tr w:rsidR="006703A2" w:rsidRPr="00972C81" w14:paraId="6003475D" w14:textId="77777777" w:rsidTr="000E00A3">
        <w:trPr>
          <w:trHeight w:val="340"/>
        </w:trPr>
        <w:tc>
          <w:tcPr>
            <w:tcW w:w="2985" w:type="dxa"/>
            <w:shd w:val="clear" w:color="auto" w:fill="auto"/>
            <w:noWrap/>
            <w:vAlign w:val="center"/>
          </w:tcPr>
          <w:p w14:paraId="008EFF77" w14:textId="64F0F37B" w:rsidR="006703A2" w:rsidRPr="006703A2" w:rsidRDefault="006703A2" w:rsidP="000E00A3">
            <w:pPr>
              <w:pStyle w:val="Table"/>
              <w:rPr>
                <w:noProof/>
                <w:sz w:val="20"/>
                <w:szCs w:val="22"/>
              </w:rPr>
            </w:pPr>
            <w:r w:rsidRPr="006703A2">
              <w:rPr>
                <w:noProof/>
                <w:sz w:val="20"/>
                <w:szCs w:val="22"/>
              </w:rPr>
              <w:t>Liver 2 to Blood</w:t>
            </w:r>
          </w:p>
        </w:tc>
        <w:tc>
          <w:tcPr>
            <w:tcW w:w="1007" w:type="dxa"/>
            <w:shd w:val="clear" w:color="auto" w:fill="auto"/>
            <w:noWrap/>
            <w:vAlign w:val="center"/>
          </w:tcPr>
          <w:p w14:paraId="08EB25F1" w14:textId="77777777" w:rsidR="006703A2" w:rsidRPr="00C47F2F" w:rsidRDefault="006703A2" w:rsidP="000E00A3">
            <w:pPr>
              <w:pStyle w:val="Table"/>
              <w:rPr>
                <w:noProof/>
                <w:sz w:val="20"/>
                <w:szCs w:val="20"/>
              </w:rPr>
            </w:pPr>
            <w:r w:rsidRPr="00C47F2F">
              <w:rPr>
                <w:noProof/>
                <w:sz w:val="20"/>
                <w:szCs w:val="20"/>
              </w:rPr>
              <w:t>1.90E-03</w:t>
            </w:r>
          </w:p>
        </w:tc>
        <w:tc>
          <w:tcPr>
            <w:tcW w:w="1007" w:type="dxa"/>
            <w:shd w:val="clear" w:color="auto" w:fill="auto"/>
            <w:noWrap/>
            <w:vAlign w:val="center"/>
          </w:tcPr>
          <w:p w14:paraId="401B5162" w14:textId="77777777" w:rsidR="006703A2" w:rsidRPr="00C47F2F" w:rsidRDefault="006703A2" w:rsidP="000E00A3">
            <w:pPr>
              <w:pStyle w:val="Table"/>
              <w:rPr>
                <w:noProof/>
                <w:sz w:val="20"/>
                <w:szCs w:val="20"/>
              </w:rPr>
            </w:pPr>
            <w:r w:rsidRPr="00C47F2F">
              <w:rPr>
                <w:noProof/>
                <w:sz w:val="20"/>
                <w:szCs w:val="20"/>
              </w:rPr>
              <w:t>1.90E-03</w:t>
            </w:r>
          </w:p>
        </w:tc>
        <w:tc>
          <w:tcPr>
            <w:tcW w:w="1007" w:type="dxa"/>
            <w:shd w:val="clear" w:color="auto" w:fill="auto"/>
            <w:noWrap/>
            <w:vAlign w:val="center"/>
          </w:tcPr>
          <w:p w14:paraId="730DE436" w14:textId="77777777" w:rsidR="006703A2" w:rsidRPr="00C47F2F" w:rsidRDefault="006703A2" w:rsidP="000E00A3">
            <w:pPr>
              <w:pStyle w:val="Table"/>
              <w:rPr>
                <w:noProof/>
                <w:sz w:val="20"/>
                <w:szCs w:val="20"/>
              </w:rPr>
            </w:pPr>
            <w:r w:rsidRPr="00C47F2F">
              <w:rPr>
                <w:noProof/>
                <w:sz w:val="20"/>
                <w:szCs w:val="20"/>
              </w:rPr>
              <w:t>1.90E-03</w:t>
            </w:r>
          </w:p>
        </w:tc>
        <w:tc>
          <w:tcPr>
            <w:tcW w:w="1008" w:type="dxa"/>
            <w:shd w:val="clear" w:color="auto" w:fill="auto"/>
            <w:noWrap/>
            <w:vAlign w:val="center"/>
          </w:tcPr>
          <w:p w14:paraId="76F8E632" w14:textId="77777777" w:rsidR="006703A2" w:rsidRPr="00C47F2F" w:rsidRDefault="006703A2" w:rsidP="000E00A3">
            <w:pPr>
              <w:pStyle w:val="Table"/>
              <w:rPr>
                <w:noProof/>
                <w:sz w:val="20"/>
                <w:szCs w:val="20"/>
              </w:rPr>
            </w:pPr>
            <w:r w:rsidRPr="00C47F2F">
              <w:rPr>
                <w:noProof/>
                <w:sz w:val="20"/>
                <w:szCs w:val="20"/>
              </w:rPr>
              <w:t>1.90E-03</w:t>
            </w:r>
          </w:p>
        </w:tc>
        <w:tc>
          <w:tcPr>
            <w:tcW w:w="1008" w:type="dxa"/>
            <w:shd w:val="clear" w:color="auto" w:fill="auto"/>
            <w:noWrap/>
            <w:vAlign w:val="center"/>
          </w:tcPr>
          <w:p w14:paraId="45A412A9" w14:textId="77777777" w:rsidR="006703A2" w:rsidRPr="00C47F2F" w:rsidRDefault="006703A2" w:rsidP="000E00A3">
            <w:pPr>
              <w:pStyle w:val="Table"/>
              <w:rPr>
                <w:noProof/>
                <w:sz w:val="20"/>
                <w:szCs w:val="20"/>
              </w:rPr>
            </w:pPr>
            <w:r w:rsidRPr="00C47F2F">
              <w:rPr>
                <w:noProof/>
                <w:sz w:val="20"/>
                <w:szCs w:val="20"/>
              </w:rPr>
              <w:t>1.90E-03</w:t>
            </w:r>
          </w:p>
        </w:tc>
        <w:tc>
          <w:tcPr>
            <w:tcW w:w="1005" w:type="dxa"/>
            <w:shd w:val="clear" w:color="auto" w:fill="auto"/>
            <w:noWrap/>
            <w:vAlign w:val="center"/>
          </w:tcPr>
          <w:p w14:paraId="426CB908" w14:textId="77777777" w:rsidR="006703A2" w:rsidRPr="00C47F2F" w:rsidRDefault="006703A2" w:rsidP="000E00A3">
            <w:pPr>
              <w:pStyle w:val="Table"/>
              <w:rPr>
                <w:noProof/>
                <w:sz w:val="20"/>
                <w:szCs w:val="20"/>
              </w:rPr>
            </w:pPr>
            <w:r w:rsidRPr="00C47F2F">
              <w:rPr>
                <w:noProof/>
                <w:sz w:val="20"/>
                <w:szCs w:val="20"/>
              </w:rPr>
              <w:t>1.90E-03</w:t>
            </w:r>
          </w:p>
        </w:tc>
      </w:tr>
      <w:tr w:rsidR="006703A2" w:rsidRPr="00972C81" w14:paraId="2F2E9862" w14:textId="77777777" w:rsidTr="000E00A3">
        <w:trPr>
          <w:trHeight w:val="340"/>
        </w:trPr>
        <w:tc>
          <w:tcPr>
            <w:tcW w:w="2985" w:type="dxa"/>
            <w:shd w:val="clear" w:color="auto" w:fill="auto"/>
            <w:noWrap/>
            <w:vAlign w:val="center"/>
          </w:tcPr>
          <w:p w14:paraId="78D5A45B" w14:textId="325A6CE8" w:rsidR="006703A2" w:rsidRPr="006703A2" w:rsidRDefault="006703A2" w:rsidP="000E00A3">
            <w:pPr>
              <w:pStyle w:val="Table"/>
              <w:rPr>
                <w:noProof/>
                <w:sz w:val="20"/>
                <w:szCs w:val="22"/>
              </w:rPr>
            </w:pPr>
            <w:r w:rsidRPr="006703A2">
              <w:rPr>
                <w:noProof/>
                <w:sz w:val="20"/>
                <w:szCs w:val="22"/>
              </w:rPr>
              <w:t>ST0 to Blood</w:t>
            </w:r>
          </w:p>
        </w:tc>
        <w:tc>
          <w:tcPr>
            <w:tcW w:w="1007" w:type="dxa"/>
            <w:shd w:val="clear" w:color="auto" w:fill="auto"/>
            <w:noWrap/>
            <w:vAlign w:val="center"/>
          </w:tcPr>
          <w:p w14:paraId="370F34A4" w14:textId="77777777" w:rsidR="006703A2" w:rsidRPr="00C47F2F" w:rsidRDefault="006703A2" w:rsidP="000E00A3">
            <w:pPr>
              <w:pStyle w:val="Table"/>
              <w:rPr>
                <w:noProof/>
                <w:sz w:val="20"/>
                <w:szCs w:val="20"/>
              </w:rPr>
            </w:pPr>
            <w:r w:rsidRPr="00C47F2F">
              <w:rPr>
                <w:noProof/>
                <w:sz w:val="20"/>
                <w:szCs w:val="20"/>
              </w:rPr>
              <w:t>1.39E+00</w:t>
            </w:r>
          </w:p>
        </w:tc>
        <w:tc>
          <w:tcPr>
            <w:tcW w:w="1007" w:type="dxa"/>
            <w:shd w:val="clear" w:color="auto" w:fill="auto"/>
            <w:noWrap/>
            <w:vAlign w:val="center"/>
          </w:tcPr>
          <w:p w14:paraId="5D633B89" w14:textId="77777777" w:rsidR="006703A2" w:rsidRPr="00C47F2F" w:rsidRDefault="006703A2" w:rsidP="000E00A3">
            <w:pPr>
              <w:pStyle w:val="Table"/>
              <w:rPr>
                <w:noProof/>
                <w:sz w:val="20"/>
                <w:szCs w:val="20"/>
              </w:rPr>
            </w:pPr>
            <w:r w:rsidRPr="00C47F2F">
              <w:rPr>
                <w:noProof/>
                <w:sz w:val="20"/>
                <w:szCs w:val="20"/>
              </w:rPr>
              <w:t>1.39E+00</w:t>
            </w:r>
          </w:p>
        </w:tc>
        <w:tc>
          <w:tcPr>
            <w:tcW w:w="1007" w:type="dxa"/>
            <w:shd w:val="clear" w:color="auto" w:fill="auto"/>
            <w:noWrap/>
            <w:vAlign w:val="center"/>
          </w:tcPr>
          <w:p w14:paraId="42EFED4E" w14:textId="77777777" w:rsidR="006703A2" w:rsidRPr="00C47F2F" w:rsidRDefault="006703A2" w:rsidP="000E00A3">
            <w:pPr>
              <w:pStyle w:val="Table"/>
              <w:rPr>
                <w:noProof/>
                <w:sz w:val="20"/>
                <w:szCs w:val="20"/>
              </w:rPr>
            </w:pPr>
            <w:r w:rsidRPr="00C47F2F">
              <w:rPr>
                <w:noProof/>
                <w:sz w:val="20"/>
                <w:szCs w:val="20"/>
              </w:rPr>
              <w:t>1.39E+00</w:t>
            </w:r>
          </w:p>
        </w:tc>
        <w:tc>
          <w:tcPr>
            <w:tcW w:w="1008" w:type="dxa"/>
            <w:shd w:val="clear" w:color="auto" w:fill="auto"/>
            <w:noWrap/>
            <w:vAlign w:val="center"/>
          </w:tcPr>
          <w:p w14:paraId="096FB0D1" w14:textId="77777777" w:rsidR="006703A2" w:rsidRPr="00C47F2F" w:rsidRDefault="006703A2" w:rsidP="000E00A3">
            <w:pPr>
              <w:pStyle w:val="Table"/>
              <w:rPr>
                <w:noProof/>
                <w:sz w:val="20"/>
                <w:szCs w:val="20"/>
              </w:rPr>
            </w:pPr>
            <w:r w:rsidRPr="00C47F2F">
              <w:rPr>
                <w:noProof/>
                <w:sz w:val="20"/>
                <w:szCs w:val="20"/>
              </w:rPr>
              <w:t>1.39E+00</w:t>
            </w:r>
          </w:p>
        </w:tc>
        <w:tc>
          <w:tcPr>
            <w:tcW w:w="1008" w:type="dxa"/>
            <w:shd w:val="clear" w:color="auto" w:fill="auto"/>
            <w:noWrap/>
            <w:vAlign w:val="center"/>
          </w:tcPr>
          <w:p w14:paraId="1CDEEF7C" w14:textId="77777777" w:rsidR="006703A2" w:rsidRPr="00C47F2F" w:rsidRDefault="006703A2" w:rsidP="000E00A3">
            <w:pPr>
              <w:pStyle w:val="Table"/>
              <w:rPr>
                <w:noProof/>
                <w:sz w:val="20"/>
                <w:szCs w:val="20"/>
              </w:rPr>
            </w:pPr>
            <w:r w:rsidRPr="00C47F2F">
              <w:rPr>
                <w:noProof/>
                <w:sz w:val="20"/>
                <w:szCs w:val="20"/>
              </w:rPr>
              <w:t>1.39E+00</w:t>
            </w:r>
          </w:p>
        </w:tc>
        <w:tc>
          <w:tcPr>
            <w:tcW w:w="1005" w:type="dxa"/>
            <w:shd w:val="clear" w:color="auto" w:fill="auto"/>
            <w:noWrap/>
            <w:vAlign w:val="center"/>
          </w:tcPr>
          <w:p w14:paraId="2F962C4F" w14:textId="77777777" w:rsidR="006703A2" w:rsidRPr="00C47F2F" w:rsidRDefault="006703A2" w:rsidP="000E00A3">
            <w:pPr>
              <w:pStyle w:val="Table"/>
              <w:rPr>
                <w:noProof/>
                <w:sz w:val="20"/>
                <w:szCs w:val="20"/>
              </w:rPr>
            </w:pPr>
            <w:r w:rsidRPr="00C47F2F">
              <w:rPr>
                <w:noProof/>
                <w:sz w:val="20"/>
                <w:szCs w:val="20"/>
              </w:rPr>
              <w:t>1.39E+00</w:t>
            </w:r>
          </w:p>
        </w:tc>
      </w:tr>
      <w:tr w:rsidR="006703A2" w:rsidRPr="00972C81" w14:paraId="14563FAD" w14:textId="77777777" w:rsidTr="000E00A3">
        <w:trPr>
          <w:trHeight w:val="340"/>
        </w:trPr>
        <w:tc>
          <w:tcPr>
            <w:tcW w:w="2985" w:type="dxa"/>
            <w:shd w:val="clear" w:color="auto" w:fill="auto"/>
            <w:noWrap/>
            <w:vAlign w:val="center"/>
          </w:tcPr>
          <w:p w14:paraId="2998BE98" w14:textId="5210CF8E" w:rsidR="006703A2" w:rsidRPr="006703A2" w:rsidRDefault="006703A2" w:rsidP="000E00A3">
            <w:pPr>
              <w:pStyle w:val="Table"/>
              <w:rPr>
                <w:noProof/>
                <w:sz w:val="20"/>
                <w:szCs w:val="22"/>
              </w:rPr>
            </w:pPr>
            <w:r w:rsidRPr="006703A2">
              <w:rPr>
                <w:noProof/>
                <w:sz w:val="20"/>
                <w:szCs w:val="22"/>
              </w:rPr>
              <w:t>ST1 to Blood</w:t>
            </w:r>
          </w:p>
        </w:tc>
        <w:tc>
          <w:tcPr>
            <w:tcW w:w="1007" w:type="dxa"/>
            <w:shd w:val="clear" w:color="auto" w:fill="auto"/>
            <w:noWrap/>
            <w:vAlign w:val="center"/>
          </w:tcPr>
          <w:p w14:paraId="63D4A2A3" w14:textId="77777777" w:rsidR="006703A2" w:rsidRPr="00C47F2F" w:rsidRDefault="006703A2" w:rsidP="000E00A3">
            <w:pPr>
              <w:pStyle w:val="Table"/>
              <w:rPr>
                <w:noProof/>
                <w:sz w:val="20"/>
                <w:szCs w:val="20"/>
              </w:rPr>
            </w:pPr>
            <w:r w:rsidRPr="00C47F2F">
              <w:rPr>
                <w:noProof/>
                <w:sz w:val="20"/>
                <w:szCs w:val="20"/>
              </w:rPr>
              <w:t>6.93E-03</w:t>
            </w:r>
          </w:p>
        </w:tc>
        <w:tc>
          <w:tcPr>
            <w:tcW w:w="1007" w:type="dxa"/>
            <w:shd w:val="clear" w:color="auto" w:fill="auto"/>
            <w:noWrap/>
            <w:vAlign w:val="center"/>
          </w:tcPr>
          <w:p w14:paraId="6F7023C0" w14:textId="77777777" w:rsidR="006703A2" w:rsidRPr="00C47F2F" w:rsidRDefault="006703A2" w:rsidP="000E00A3">
            <w:pPr>
              <w:pStyle w:val="Table"/>
              <w:rPr>
                <w:noProof/>
                <w:sz w:val="20"/>
                <w:szCs w:val="20"/>
              </w:rPr>
            </w:pPr>
            <w:r w:rsidRPr="00C47F2F">
              <w:rPr>
                <w:noProof/>
                <w:sz w:val="20"/>
                <w:szCs w:val="20"/>
              </w:rPr>
              <w:t>6.93E-03</w:t>
            </w:r>
          </w:p>
        </w:tc>
        <w:tc>
          <w:tcPr>
            <w:tcW w:w="1007" w:type="dxa"/>
            <w:shd w:val="clear" w:color="auto" w:fill="auto"/>
            <w:noWrap/>
            <w:vAlign w:val="center"/>
          </w:tcPr>
          <w:p w14:paraId="3C18631A" w14:textId="77777777" w:rsidR="006703A2" w:rsidRPr="00C47F2F" w:rsidRDefault="006703A2" w:rsidP="000E00A3">
            <w:pPr>
              <w:pStyle w:val="Table"/>
              <w:rPr>
                <w:noProof/>
                <w:sz w:val="20"/>
                <w:szCs w:val="20"/>
              </w:rPr>
            </w:pPr>
            <w:r w:rsidRPr="00C47F2F">
              <w:rPr>
                <w:noProof/>
                <w:sz w:val="20"/>
                <w:szCs w:val="20"/>
              </w:rPr>
              <w:t>6.93E-03</w:t>
            </w:r>
          </w:p>
        </w:tc>
        <w:tc>
          <w:tcPr>
            <w:tcW w:w="1008" w:type="dxa"/>
            <w:shd w:val="clear" w:color="auto" w:fill="auto"/>
            <w:noWrap/>
            <w:vAlign w:val="center"/>
          </w:tcPr>
          <w:p w14:paraId="0E9EBAEF" w14:textId="77777777" w:rsidR="006703A2" w:rsidRPr="00C47F2F" w:rsidRDefault="006703A2" w:rsidP="000E00A3">
            <w:pPr>
              <w:pStyle w:val="Table"/>
              <w:rPr>
                <w:noProof/>
                <w:sz w:val="20"/>
                <w:szCs w:val="20"/>
              </w:rPr>
            </w:pPr>
            <w:r w:rsidRPr="00C47F2F">
              <w:rPr>
                <w:noProof/>
                <w:sz w:val="20"/>
                <w:szCs w:val="20"/>
              </w:rPr>
              <w:t>6.93E-03</w:t>
            </w:r>
          </w:p>
        </w:tc>
        <w:tc>
          <w:tcPr>
            <w:tcW w:w="1008" w:type="dxa"/>
            <w:shd w:val="clear" w:color="auto" w:fill="auto"/>
            <w:noWrap/>
            <w:vAlign w:val="center"/>
          </w:tcPr>
          <w:p w14:paraId="7A76182C" w14:textId="77777777" w:rsidR="006703A2" w:rsidRPr="00C47F2F" w:rsidRDefault="006703A2" w:rsidP="000E00A3">
            <w:pPr>
              <w:pStyle w:val="Table"/>
              <w:rPr>
                <w:noProof/>
                <w:sz w:val="20"/>
                <w:szCs w:val="20"/>
              </w:rPr>
            </w:pPr>
            <w:r w:rsidRPr="00C47F2F">
              <w:rPr>
                <w:noProof/>
                <w:sz w:val="20"/>
                <w:szCs w:val="20"/>
              </w:rPr>
              <w:t>6.93E-03</w:t>
            </w:r>
          </w:p>
        </w:tc>
        <w:tc>
          <w:tcPr>
            <w:tcW w:w="1005" w:type="dxa"/>
            <w:shd w:val="clear" w:color="auto" w:fill="auto"/>
            <w:noWrap/>
            <w:vAlign w:val="center"/>
          </w:tcPr>
          <w:p w14:paraId="1F8A366A" w14:textId="77777777" w:rsidR="006703A2" w:rsidRPr="00C47F2F" w:rsidRDefault="006703A2" w:rsidP="000E00A3">
            <w:pPr>
              <w:pStyle w:val="Table"/>
              <w:rPr>
                <w:noProof/>
                <w:sz w:val="20"/>
                <w:szCs w:val="20"/>
              </w:rPr>
            </w:pPr>
            <w:r w:rsidRPr="00C47F2F">
              <w:rPr>
                <w:noProof/>
                <w:sz w:val="20"/>
                <w:szCs w:val="20"/>
              </w:rPr>
              <w:t>6.93E-03</w:t>
            </w:r>
          </w:p>
        </w:tc>
      </w:tr>
      <w:tr w:rsidR="006703A2" w:rsidRPr="00972C81" w14:paraId="6358FE3D" w14:textId="77777777" w:rsidTr="000E00A3">
        <w:trPr>
          <w:trHeight w:val="340"/>
        </w:trPr>
        <w:tc>
          <w:tcPr>
            <w:tcW w:w="2985" w:type="dxa"/>
            <w:shd w:val="clear" w:color="auto" w:fill="auto"/>
            <w:noWrap/>
            <w:vAlign w:val="center"/>
          </w:tcPr>
          <w:p w14:paraId="4BD5880B" w14:textId="69F75B2B" w:rsidR="006703A2" w:rsidRPr="006703A2" w:rsidRDefault="006703A2" w:rsidP="000E00A3">
            <w:pPr>
              <w:pStyle w:val="Table"/>
              <w:rPr>
                <w:noProof/>
                <w:sz w:val="20"/>
                <w:szCs w:val="22"/>
              </w:rPr>
            </w:pPr>
            <w:r w:rsidRPr="006703A2">
              <w:rPr>
                <w:noProof/>
                <w:sz w:val="20"/>
                <w:szCs w:val="22"/>
              </w:rPr>
              <w:t>ST2 to Blood</w:t>
            </w:r>
          </w:p>
        </w:tc>
        <w:tc>
          <w:tcPr>
            <w:tcW w:w="1007" w:type="dxa"/>
            <w:shd w:val="clear" w:color="auto" w:fill="auto"/>
            <w:noWrap/>
            <w:vAlign w:val="center"/>
          </w:tcPr>
          <w:p w14:paraId="59D0F0AD" w14:textId="77777777" w:rsidR="006703A2" w:rsidRPr="00C47F2F" w:rsidRDefault="006703A2" w:rsidP="000E00A3">
            <w:pPr>
              <w:pStyle w:val="Table"/>
              <w:rPr>
                <w:noProof/>
                <w:sz w:val="20"/>
                <w:szCs w:val="20"/>
              </w:rPr>
            </w:pPr>
            <w:r w:rsidRPr="00C47F2F">
              <w:rPr>
                <w:noProof/>
                <w:sz w:val="20"/>
                <w:szCs w:val="20"/>
              </w:rPr>
              <w:t>1.90E-05</w:t>
            </w:r>
          </w:p>
        </w:tc>
        <w:tc>
          <w:tcPr>
            <w:tcW w:w="1007" w:type="dxa"/>
            <w:shd w:val="clear" w:color="auto" w:fill="auto"/>
            <w:noWrap/>
            <w:vAlign w:val="center"/>
          </w:tcPr>
          <w:p w14:paraId="3FADFF27" w14:textId="77777777" w:rsidR="006703A2" w:rsidRPr="00C47F2F" w:rsidRDefault="006703A2" w:rsidP="000E00A3">
            <w:pPr>
              <w:pStyle w:val="Table"/>
              <w:rPr>
                <w:noProof/>
                <w:sz w:val="20"/>
                <w:szCs w:val="20"/>
              </w:rPr>
            </w:pPr>
            <w:r w:rsidRPr="00C47F2F">
              <w:rPr>
                <w:noProof/>
                <w:sz w:val="20"/>
                <w:szCs w:val="20"/>
              </w:rPr>
              <w:t>1.90E-05</w:t>
            </w:r>
          </w:p>
        </w:tc>
        <w:tc>
          <w:tcPr>
            <w:tcW w:w="1007" w:type="dxa"/>
            <w:shd w:val="clear" w:color="auto" w:fill="auto"/>
            <w:noWrap/>
            <w:vAlign w:val="center"/>
          </w:tcPr>
          <w:p w14:paraId="11226100" w14:textId="77777777" w:rsidR="006703A2" w:rsidRPr="00C47F2F" w:rsidRDefault="006703A2" w:rsidP="000E00A3">
            <w:pPr>
              <w:pStyle w:val="Table"/>
              <w:rPr>
                <w:noProof/>
                <w:sz w:val="20"/>
                <w:szCs w:val="20"/>
              </w:rPr>
            </w:pPr>
            <w:r w:rsidRPr="00C47F2F">
              <w:rPr>
                <w:noProof/>
                <w:sz w:val="20"/>
                <w:szCs w:val="20"/>
              </w:rPr>
              <w:t>1.90E-05</w:t>
            </w:r>
          </w:p>
        </w:tc>
        <w:tc>
          <w:tcPr>
            <w:tcW w:w="1008" w:type="dxa"/>
            <w:shd w:val="clear" w:color="auto" w:fill="auto"/>
            <w:noWrap/>
            <w:vAlign w:val="center"/>
          </w:tcPr>
          <w:p w14:paraId="6EEFEAB4" w14:textId="77777777" w:rsidR="006703A2" w:rsidRPr="00C47F2F" w:rsidRDefault="006703A2" w:rsidP="000E00A3">
            <w:pPr>
              <w:pStyle w:val="Table"/>
              <w:rPr>
                <w:noProof/>
                <w:sz w:val="20"/>
                <w:szCs w:val="20"/>
              </w:rPr>
            </w:pPr>
            <w:r w:rsidRPr="00C47F2F">
              <w:rPr>
                <w:noProof/>
                <w:sz w:val="20"/>
                <w:szCs w:val="20"/>
              </w:rPr>
              <w:t>1.90E-05</w:t>
            </w:r>
          </w:p>
        </w:tc>
        <w:tc>
          <w:tcPr>
            <w:tcW w:w="1008" w:type="dxa"/>
            <w:shd w:val="clear" w:color="auto" w:fill="auto"/>
            <w:noWrap/>
            <w:vAlign w:val="center"/>
          </w:tcPr>
          <w:p w14:paraId="050BF3F4" w14:textId="77777777" w:rsidR="006703A2" w:rsidRPr="00C47F2F" w:rsidRDefault="006703A2" w:rsidP="000E00A3">
            <w:pPr>
              <w:pStyle w:val="Table"/>
              <w:rPr>
                <w:noProof/>
                <w:sz w:val="20"/>
                <w:szCs w:val="20"/>
              </w:rPr>
            </w:pPr>
            <w:r w:rsidRPr="00C47F2F">
              <w:rPr>
                <w:noProof/>
                <w:sz w:val="20"/>
                <w:szCs w:val="20"/>
              </w:rPr>
              <w:t>1.90E-05</w:t>
            </w:r>
          </w:p>
        </w:tc>
        <w:tc>
          <w:tcPr>
            <w:tcW w:w="1005" w:type="dxa"/>
            <w:shd w:val="clear" w:color="auto" w:fill="auto"/>
            <w:noWrap/>
            <w:vAlign w:val="center"/>
          </w:tcPr>
          <w:p w14:paraId="369A9528" w14:textId="77777777" w:rsidR="006703A2" w:rsidRPr="00C47F2F" w:rsidRDefault="006703A2" w:rsidP="000E00A3">
            <w:pPr>
              <w:pStyle w:val="Table"/>
              <w:rPr>
                <w:noProof/>
                <w:sz w:val="20"/>
                <w:szCs w:val="20"/>
              </w:rPr>
            </w:pPr>
            <w:r w:rsidRPr="00C47F2F">
              <w:rPr>
                <w:noProof/>
                <w:sz w:val="20"/>
                <w:szCs w:val="20"/>
              </w:rPr>
              <w:t>1.90E-05</w:t>
            </w:r>
          </w:p>
        </w:tc>
      </w:tr>
      <w:tr w:rsidR="006703A2" w:rsidRPr="00972C81" w14:paraId="64A5F165" w14:textId="77777777" w:rsidTr="000E00A3">
        <w:trPr>
          <w:trHeight w:val="340"/>
        </w:trPr>
        <w:tc>
          <w:tcPr>
            <w:tcW w:w="2985" w:type="dxa"/>
            <w:shd w:val="clear" w:color="auto" w:fill="auto"/>
            <w:noWrap/>
            <w:vAlign w:val="center"/>
          </w:tcPr>
          <w:p w14:paraId="681E5AC6" w14:textId="5C674A33" w:rsidR="006703A2" w:rsidRPr="006703A2" w:rsidRDefault="006703A2" w:rsidP="000E00A3">
            <w:pPr>
              <w:pStyle w:val="Table"/>
              <w:rPr>
                <w:noProof/>
                <w:sz w:val="20"/>
                <w:szCs w:val="22"/>
              </w:rPr>
            </w:pPr>
            <w:r w:rsidRPr="006703A2">
              <w:rPr>
                <w:noProof/>
                <w:sz w:val="20"/>
                <w:szCs w:val="22"/>
              </w:rPr>
              <w:t>Cort marrow to Blood</w:t>
            </w:r>
          </w:p>
        </w:tc>
        <w:tc>
          <w:tcPr>
            <w:tcW w:w="1007" w:type="dxa"/>
            <w:shd w:val="clear" w:color="auto" w:fill="auto"/>
            <w:noWrap/>
            <w:vAlign w:val="center"/>
          </w:tcPr>
          <w:p w14:paraId="6F8D5E5B" w14:textId="77777777" w:rsidR="006703A2" w:rsidRPr="00C47F2F" w:rsidRDefault="006703A2" w:rsidP="000E00A3">
            <w:pPr>
              <w:pStyle w:val="Table"/>
              <w:rPr>
                <w:noProof/>
                <w:sz w:val="20"/>
                <w:szCs w:val="20"/>
              </w:rPr>
            </w:pPr>
            <w:r w:rsidRPr="00C47F2F">
              <w:rPr>
                <w:noProof/>
                <w:sz w:val="20"/>
                <w:szCs w:val="20"/>
              </w:rPr>
              <w:t>7.60E-03</w:t>
            </w:r>
          </w:p>
        </w:tc>
        <w:tc>
          <w:tcPr>
            <w:tcW w:w="1007" w:type="dxa"/>
            <w:shd w:val="clear" w:color="auto" w:fill="auto"/>
            <w:noWrap/>
            <w:vAlign w:val="center"/>
          </w:tcPr>
          <w:p w14:paraId="1D69AFA3" w14:textId="77777777" w:rsidR="006703A2" w:rsidRPr="00C47F2F" w:rsidRDefault="006703A2" w:rsidP="000E00A3">
            <w:pPr>
              <w:pStyle w:val="Table"/>
              <w:rPr>
                <w:noProof/>
                <w:sz w:val="20"/>
                <w:szCs w:val="20"/>
              </w:rPr>
            </w:pPr>
            <w:r w:rsidRPr="00C47F2F">
              <w:rPr>
                <w:noProof/>
                <w:sz w:val="20"/>
                <w:szCs w:val="20"/>
              </w:rPr>
              <w:t>7.60E-03</w:t>
            </w:r>
          </w:p>
        </w:tc>
        <w:tc>
          <w:tcPr>
            <w:tcW w:w="1007" w:type="dxa"/>
            <w:shd w:val="clear" w:color="auto" w:fill="auto"/>
            <w:noWrap/>
            <w:vAlign w:val="center"/>
          </w:tcPr>
          <w:p w14:paraId="7A83CD50" w14:textId="77777777" w:rsidR="006703A2" w:rsidRPr="00C47F2F" w:rsidRDefault="006703A2" w:rsidP="000E00A3">
            <w:pPr>
              <w:pStyle w:val="Table"/>
              <w:rPr>
                <w:noProof/>
                <w:sz w:val="20"/>
                <w:szCs w:val="20"/>
              </w:rPr>
            </w:pPr>
            <w:r w:rsidRPr="00C47F2F">
              <w:rPr>
                <w:noProof/>
                <w:sz w:val="20"/>
                <w:szCs w:val="20"/>
              </w:rPr>
              <w:t>7.60E-03</w:t>
            </w:r>
          </w:p>
        </w:tc>
        <w:tc>
          <w:tcPr>
            <w:tcW w:w="1008" w:type="dxa"/>
            <w:shd w:val="clear" w:color="auto" w:fill="auto"/>
            <w:noWrap/>
            <w:vAlign w:val="center"/>
          </w:tcPr>
          <w:p w14:paraId="2D6872BF" w14:textId="77777777" w:rsidR="006703A2" w:rsidRPr="00C47F2F" w:rsidRDefault="006703A2" w:rsidP="000E00A3">
            <w:pPr>
              <w:pStyle w:val="Table"/>
              <w:rPr>
                <w:noProof/>
                <w:sz w:val="20"/>
                <w:szCs w:val="20"/>
              </w:rPr>
            </w:pPr>
            <w:r w:rsidRPr="00C47F2F">
              <w:rPr>
                <w:noProof/>
                <w:sz w:val="20"/>
                <w:szCs w:val="20"/>
              </w:rPr>
              <w:t>7.60E-03</w:t>
            </w:r>
          </w:p>
        </w:tc>
        <w:tc>
          <w:tcPr>
            <w:tcW w:w="1008" w:type="dxa"/>
            <w:shd w:val="clear" w:color="auto" w:fill="auto"/>
            <w:noWrap/>
            <w:vAlign w:val="center"/>
          </w:tcPr>
          <w:p w14:paraId="1B06C675" w14:textId="77777777" w:rsidR="006703A2" w:rsidRPr="00C47F2F" w:rsidRDefault="006703A2" w:rsidP="000E00A3">
            <w:pPr>
              <w:pStyle w:val="Table"/>
              <w:rPr>
                <w:noProof/>
                <w:sz w:val="20"/>
                <w:szCs w:val="20"/>
              </w:rPr>
            </w:pPr>
            <w:r w:rsidRPr="00C47F2F">
              <w:rPr>
                <w:noProof/>
                <w:sz w:val="20"/>
                <w:szCs w:val="20"/>
              </w:rPr>
              <w:t>7.60E-03</w:t>
            </w:r>
          </w:p>
        </w:tc>
        <w:tc>
          <w:tcPr>
            <w:tcW w:w="1005" w:type="dxa"/>
            <w:shd w:val="clear" w:color="auto" w:fill="auto"/>
            <w:noWrap/>
            <w:vAlign w:val="center"/>
          </w:tcPr>
          <w:p w14:paraId="6DF82B67" w14:textId="77777777" w:rsidR="006703A2" w:rsidRPr="00C47F2F" w:rsidRDefault="006703A2" w:rsidP="000E00A3">
            <w:pPr>
              <w:pStyle w:val="Table"/>
              <w:rPr>
                <w:noProof/>
                <w:sz w:val="20"/>
                <w:szCs w:val="20"/>
              </w:rPr>
            </w:pPr>
            <w:r w:rsidRPr="00C47F2F">
              <w:rPr>
                <w:noProof/>
                <w:sz w:val="20"/>
                <w:szCs w:val="20"/>
              </w:rPr>
              <w:t>7.60E-03</w:t>
            </w:r>
          </w:p>
        </w:tc>
      </w:tr>
      <w:tr w:rsidR="006703A2" w:rsidRPr="00972C81" w14:paraId="648DDDD6" w14:textId="77777777" w:rsidTr="000E00A3">
        <w:trPr>
          <w:trHeight w:val="340"/>
        </w:trPr>
        <w:tc>
          <w:tcPr>
            <w:tcW w:w="2985" w:type="dxa"/>
            <w:shd w:val="clear" w:color="auto" w:fill="auto"/>
            <w:noWrap/>
            <w:vAlign w:val="center"/>
          </w:tcPr>
          <w:p w14:paraId="4D2AADF2" w14:textId="05349733" w:rsidR="006703A2" w:rsidRPr="006703A2" w:rsidRDefault="006703A2" w:rsidP="000E00A3">
            <w:pPr>
              <w:pStyle w:val="Table"/>
              <w:rPr>
                <w:noProof/>
                <w:sz w:val="20"/>
                <w:szCs w:val="22"/>
              </w:rPr>
            </w:pPr>
            <w:r w:rsidRPr="006703A2">
              <w:rPr>
                <w:noProof/>
                <w:sz w:val="20"/>
                <w:szCs w:val="22"/>
              </w:rPr>
              <w:t>Cort bone surf to Cort marrow</w:t>
            </w:r>
          </w:p>
        </w:tc>
        <w:tc>
          <w:tcPr>
            <w:tcW w:w="1007" w:type="dxa"/>
            <w:shd w:val="clear" w:color="auto" w:fill="auto"/>
            <w:noWrap/>
            <w:vAlign w:val="center"/>
          </w:tcPr>
          <w:p w14:paraId="795FF939" w14:textId="77777777" w:rsidR="006703A2" w:rsidRPr="00C47F2F" w:rsidRDefault="006703A2" w:rsidP="000E00A3">
            <w:pPr>
              <w:pStyle w:val="Table"/>
              <w:rPr>
                <w:noProof/>
                <w:sz w:val="20"/>
                <w:szCs w:val="20"/>
              </w:rPr>
            </w:pPr>
            <w:r w:rsidRPr="00C47F2F">
              <w:rPr>
                <w:noProof/>
                <w:sz w:val="20"/>
                <w:szCs w:val="20"/>
              </w:rPr>
              <w:t>8.22E-03</w:t>
            </w:r>
          </w:p>
        </w:tc>
        <w:tc>
          <w:tcPr>
            <w:tcW w:w="1007" w:type="dxa"/>
            <w:shd w:val="clear" w:color="auto" w:fill="auto"/>
            <w:noWrap/>
            <w:vAlign w:val="center"/>
          </w:tcPr>
          <w:p w14:paraId="71E8F784" w14:textId="77777777" w:rsidR="006703A2" w:rsidRPr="00C47F2F" w:rsidRDefault="006703A2" w:rsidP="000E00A3">
            <w:pPr>
              <w:pStyle w:val="Table"/>
              <w:rPr>
                <w:noProof/>
                <w:sz w:val="20"/>
                <w:szCs w:val="20"/>
              </w:rPr>
            </w:pPr>
            <w:r w:rsidRPr="00C47F2F">
              <w:rPr>
                <w:noProof/>
                <w:sz w:val="20"/>
                <w:szCs w:val="20"/>
              </w:rPr>
              <w:t>2.88E-03</w:t>
            </w:r>
          </w:p>
        </w:tc>
        <w:tc>
          <w:tcPr>
            <w:tcW w:w="1007" w:type="dxa"/>
            <w:shd w:val="clear" w:color="auto" w:fill="auto"/>
            <w:noWrap/>
            <w:vAlign w:val="center"/>
          </w:tcPr>
          <w:p w14:paraId="116C6DE1" w14:textId="77777777" w:rsidR="006703A2" w:rsidRPr="00C47F2F" w:rsidRDefault="006703A2" w:rsidP="000E00A3">
            <w:pPr>
              <w:pStyle w:val="Table"/>
              <w:rPr>
                <w:noProof/>
                <w:sz w:val="20"/>
                <w:szCs w:val="20"/>
              </w:rPr>
            </w:pPr>
            <w:r w:rsidRPr="00C47F2F">
              <w:rPr>
                <w:noProof/>
                <w:sz w:val="20"/>
                <w:szCs w:val="20"/>
              </w:rPr>
              <w:t>1.53E-03</w:t>
            </w:r>
          </w:p>
        </w:tc>
        <w:tc>
          <w:tcPr>
            <w:tcW w:w="1008" w:type="dxa"/>
            <w:shd w:val="clear" w:color="auto" w:fill="auto"/>
            <w:noWrap/>
            <w:vAlign w:val="center"/>
          </w:tcPr>
          <w:p w14:paraId="07C00C03" w14:textId="77777777" w:rsidR="006703A2" w:rsidRPr="00C47F2F" w:rsidRDefault="006703A2" w:rsidP="000E00A3">
            <w:pPr>
              <w:pStyle w:val="Table"/>
              <w:rPr>
                <w:noProof/>
                <w:sz w:val="20"/>
                <w:szCs w:val="20"/>
              </w:rPr>
            </w:pPr>
            <w:r w:rsidRPr="00C47F2F">
              <w:rPr>
                <w:noProof/>
                <w:sz w:val="20"/>
                <w:szCs w:val="20"/>
              </w:rPr>
              <w:t>9.04E-04</w:t>
            </w:r>
          </w:p>
        </w:tc>
        <w:tc>
          <w:tcPr>
            <w:tcW w:w="1008" w:type="dxa"/>
            <w:shd w:val="clear" w:color="auto" w:fill="auto"/>
            <w:noWrap/>
            <w:vAlign w:val="center"/>
          </w:tcPr>
          <w:p w14:paraId="6D997633" w14:textId="77777777" w:rsidR="006703A2" w:rsidRPr="00C47F2F" w:rsidRDefault="006703A2" w:rsidP="000E00A3">
            <w:pPr>
              <w:pStyle w:val="Table"/>
              <w:rPr>
                <w:noProof/>
                <w:sz w:val="20"/>
                <w:szCs w:val="20"/>
              </w:rPr>
            </w:pPr>
            <w:r w:rsidRPr="00C47F2F">
              <w:rPr>
                <w:noProof/>
                <w:sz w:val="20"/>
                <w:szCs w:val="20"/>
              </w:rPr>
              <w:t>5.21E-04</w:t>
            </w:r>
          </w:p>
        </w:tc>
        <w:tc>
          <w:tcPr>
            <w:tcW w:w="1005" w:type="dxa"/>
            <w:shd w:val="clear" w:color="auto" w:fill="auto"/>
            <w:noWrap/>
            <w:vAlign w:val="center"/>
          </w:tcPr>
          <w:p w14:paraId="33587BB0" w14:textId="77777777" w:rsidR="006703A2" w:rsidRPr="00C47F2F" w:rsidRDefault="006703A2" w:rsidP="000E00A3">
            <w:pPr>
              <w:pStyle w:val="Table"/>
              <w:rPr>
                <w:noProof/>
                <w:sz w:val="20"/>
                <w:szCs w:val="20"/>
              </w:rPr>
            </w:pPr>
            <w:r w:rsidRPr="00C47F2F">
              <w:rPr>
                <w:noProof/>
                <w:sz w:val="20"/>
                <w:szCs w:val="20"/>
              </w:rPr>
              <w:t>8.21E-05</w:t>
            </w:r>
          </w:p>
        </w:tc>
      </w:tr>
      <w:tr w:rsidR="006703A2" w:rsidRPr="00972C81" w14:paraId="0C32534D" w14:textId="77777777" w:rsidTr="000E00A3">
        <w:trPr>
          <w:trHeight w:val="340"/>
        </w:trPr>
        <w:tc>
          <w:tcPr>
            <w:tcW w:w="2985" w:type="dxa"/>
            <w:shd w:val="clear" w:color="auto" w:fill="auto"/>
            <w:noWrap/>
            <w:vAlign w:val="center"/>
          </w:tcPr>
          <w:p w14:paraId="31843ED9" w14:textId="06F6652D" w:rsidR="006703A2" w:rsidRPr="006703A2" w:rsidRDefault="006703A2" w:rsidP="000E00A3">
            <w:pPr>
              <w:pStyle w:val="Table"/>
              <w:rPr>
                <w:noProof/>
                <w:sz w:val="20"/>
                <w:szCs w:val="22"/>
              </w:rPr>
            </w:pPr>
            <w:r w:rsidRPr="006703A2">
              <w:rPr>
                <w:noProof/>
                <w:sz w:val="20"/>
                <w:szCs w:val="22"/>
              </w:rPr>
              <w:t>Cort bone surf to Cort bone vol</w:t>
            </w:r>
          </w:p>
        </w:tc>
        <w:tc>
          <w:tcPr>
            <w:tcW w:w="1007" w:type="dxa"/>
            <w:shd w:val="clear" w:color="auto" w:fill="auto"/>
            <w:noWrap/>
            <w:vAlign w:val="center"/>
          </w:tcPr>
          <w:p w14:paraId="396BD815" w14:textId="77777777" w:rsidR="006703A2" w:rsidRPr="00C47F2F" w:rsidRDefault="006703A2" w:rsidP="000E00A3">
            <w:pPr>
              <w:pStyle w:val="Table"/>
              <w:rPr>
                <w:noProof/>
                <w:sz w:val="20"/>
                <w:szCs w:val="20"/>
              </w:rPr>
            </w:pPr>
            <w:r w:rsidRPr="00C47F2F">
              <w:rPr>
                <w:noProof/>
                <w:sz w:val="20"/>
                <w:szCs w:val="20"/>
              </w:rPr>
              <w:t>8.22E-03</w:t>
            </w:r>
          </w:p>
        </w:tc>
        <w:tc>
          <w:tcPr>
            <w:tcW w:w="1007" w:type="dxa"/>
            <w:shd w:val="clear" w:color="auto" w:fill="auto"/>
            <w:noWrap/>
            <w:vAlign w:val="center"/>
          </w:tcPr>
          <w:p w14:paraId="794D81E1" w14:textId="77777777" w:rsidR="006703A2" w:rsidRPr="00C47F2F" w:rsidRDefault="006703A2" w:rsidP="000E00A3">
            <w:pPr>
              <w:pStyle w:val="Table"/>
              <w:rPr>
                <w:noProof/>
                <w:sz w:val="20"/>
                <w:szCs w:val="20"/>
              </w:rPr>
            </w:pPr>
            <w:r w:rsidRPr="00C47F2F">
              <w:rPr>
                <w:noProof/>
                <w:sz w:val="20"/>
                <w:szCs w:val="20"/>
              </w:rPr>
              <w:t>2.88E-03</w:t>
            </w:r>
          </w:p>
        </w:tc>
        <w:tc>
          <w:tcPr>
            <w:tcW w:w="1007" w:type="dxa"/>
            <w:shd w:val="clear" w:color="auto" w:fill="auto"/>
            <w:noWrap/>
            <w:vAlign w:val="center"/>
          </w:tcPr>
          <w:p w14:paraId="2D7C964A" w14:textId="77777777" w:rsidR="006703A2" w:rsidRPr="00C47F2F" w:rsidRDefault="006703A2" w:rsidP="000E00A3">
            <w:pPr>
              <w:pStyle w:val="Table"/>
              <w:rPr>
                <w:noProof/>
                <w:sz w:val="20"/>
                <w:szCs w:val="20"/>
              </w:rPr>
            </w:pPr>
            <w:r w:rsidRPr="00C47F2F">
              <w:rPr>
                <w:noProof/>
                <w:sz w:val="20"/>
                <w:szCs w:val="20"/>
              </w:rPr>
              <w:t>1.53E-03</w:t>
            </w:r>
          </w:p>
        </w:tc>
        <w:tc>
          <w:tcPr>
            <w:tcW w:w="1008" w:type="dxa"/>
            <w:shd w:val="clear" w:color="auto" w:fill="auto"/>
            <w:noWrap/>
            <w:vAlign w:val="center"/>
          </w:tcPr>
          <w:p w14:paraId="1F9E70F9" w14:textId="77777777" w:rsidR="006703A2" w:rsidRPr="00C47F2F" w:rsidRDefault="006703A2" w:rsidP="000E00A3">
            <w:pPr>
              <w:pStyle w:val="Table"/>
              <w:rPr>
                <w:noProof/>
                <w:sz w:val="20"/>
                <w:szCs w:val="20"/>
              </w:rPr>
            </w:pPr>
            <w:r w:rsidRPr="00C47F2F">
              <w:rPr>
                <w:noProof/>
                <w:sz w:val="20"/>
                <w:szCs w:val="20"/>
              </w:rPr>
              <w:t>9.04E-04</w:t>
            </w:r>
          </w:p>
        </w:tc>
        <w:tc>
          <w:tcPr>
            <w:tcW w:w="1008" w:type="dxa"/>
            <w:shd w:val="clear" w:color="auto" w:fill="auto"/>
            <w:noWrap/>
            <w:vAlign w:val="center"/>
          </w:tcPr>
          <w:p w14:paraId="1C60BD00" w14:textId="77777777" w:rsidR="006703A2" w:rsidRPr="00C47F2F" w:rsidRDefault="006703A2" w:rsidP="000E00A3">
            <w:pPr>
              <w:pStyle w:val="Table"/>
              <w:rPr>
                <w:noProof/>
                <w:sz w:val="20"/>
                <w:szCs w:val="20"/>
              </w:rPr>
            </w:pPr>
            <w:r w:rsidRPr="00C47F2F">
              <w:rPr>
                <w:noProof/>
                <w:sz w:val="20"/>
                <w:szCs w:val="20"/>
              </w:rPr>
              <w:t>5.21E-04</w:t>
            </w:r>
          </w:p>
        </w:tc>
        <w:tc>
          <w:tcPr>
            <w:tcW w:w="1005" w:type="dxa"/>
            <w:shd w:val="clear" w:color="auto" w:fill="auto"/>
            <w:noWrap/>
            <w:vAlign w:val="center"/>
          </w:tcPr>
          <w:p w14:paraId="463F79D9" w14:textId="77777777" w:rsidR="006703A2" w:rsidRPr="00C47F2F" w:rsidRDefault="006703A2" w:rsidP="000E00A3">
            <w:pPr>
              <w:pStyle w:val="Table"/>
              <w:rPr>
                <w:noProof/>
                <w:sz w:val="20"/>
                <w:szCs w:val="20"/>
              </w:rPr>
            </w:pPr>
            <w:r w:rsidRPr="00C47F2F">
              <w:rPr>
                <w:noProof/>
                <w:sz w:val="20"/>
                <w:szCs w:val="20"/>
              </w:rPr>
              <w:t>4.11E-05</w:t>
            </w:r>
          </w:p>
        </w:tc>
      </w:tr>
      <w:tr w:rsidR="006703A2" w:rsidRPr="00972C81" w14:paraId="74284CE3" w14:textId="77777777" w:rsidTr="000E00A3">
        <w:trPr>
          <w:trHeight w:val="340"/>
        </w:trPr>
        <w:tc>
          <w:tcPr>
            <w:tcW w:w="2985" w:type="dxa"/>
            <w:shd w:val="clear" w:color="auto" w:fill="auto"/>
            <w:noWrap/>
            <w:vAlign w:val="center"/>
          </w:tcPr>
          <w:p w14:paraId="01B25FCF" w14:textId="10C37669" w:rsidR="006703A2" w:rsidRPr="006703A2" w:rsidRDefault="006703A2" w:rsidP="000E00A3">
            <w:pPr>
              <w:pStyle w:val="Table"/>
              <w:rPr>
                <w:noProof/>
                <w:sz w:val="20"/>
                <w:szCs w:val="22"/>
              </w:rPr>
            </w:pPr>
            <w:r w:rsidRPr="006703A2">
              <w:rPr>
                <w:noProof/>
                <w:sz w:val="20"/>
                <w:szCs w:val="22"/>
              </w:rPr>
              <w:t>Cort bone vol to Cort marrow</w:t>
            </w:r>
          </w:p>
        </w:tc>
        <w:tc>
          <w:tcPr>
            <w:tcW w:w="1007" w:type="dxa"/>
            <w:shd w:val="clear" w:color="auto" w:fill="auto"/>
            <w:noWrap/>
            <w:vAlign w:val="center"/>
          </w:tcPr>
          <w:p w14:paraId="33122978" w14:textId="77777777" w:rsidR="006703A2" w:rsidRPr="00C47F2F" w:rsidRDefault="006703A2" w:rsidP="000E00A3">
            <w:pPr>
              <w:pStyle w:val="Table"/>
              <w:rPr>
                <w:noProof/>
                <w:sz w:val="20"/>
                <w:szCs w:val="20"/>
              </w:rPr>
            </w:pPr>
            <w:r w:rsidRPr="00C47F2F">
              <w:rPr>
                <w:noProof/>
                <w:sz w:val="20"/>
                <w:szCs w:val="20"/>
              </w:rPr>
              <w:t>8.22E-03</w:t>
            </w:r>
          </w:p>
        </w:tc>
        <w:tc>
          <w:tcPr>
            <w:tcW w:w="1007" w:type="dxa"/>
            <w:shd w:val="clear" w:color="auto" w:fill="auto"/>
            <w:noWrap/>
            <w:vAlign w:val="center"/>
          </w:tcPr>
          <w:p w14:paraId="5ACDACF2" w14:textId="77777777" w:rsidR="006703A2" w:rsidRPr="00C47F2F" w:rsidRDefault="006703A2" w:rsidP="000E00A3">
            <w:pPr>
              <w:pStyle w:val="Table"/>
              <w:rPr>
                <w:noProof/>
                <w:sz w:val="20"/>
                <w:szCs w:val="20"/>
              </w:rPr>
            </w:pPr>
            <w:r w:rsidRPr="00C47F2F">
              <w:rPr>
                <w:noProof/>
                <w:sz w:val="20"/>
                <w:szCs w:val="20"/>
              </w:rPr>
              <w:t>2.88E-03</w:t>
            </w:r>
          </w:p>
        </w:tc>
        <w:tc>
          <w:tcPr>
            <w:tcW w:w="1007" w:type="dxa"/>
            <w:shd w:val="clear" w:color="auto" w:fill="auto"/>
            <w:noWrap/>
            <w:vAlign w:val="center"/>
          </w:tcPr>
          <w:p w14:paraId="1F70B448" w14:textId="77777777" w:rsidR="006703A2" w:rsidRPr="00C47F2F" w:rsidRDefault="006703A2" w:rsidP="000E00A3">
            <w:pPr>
              <w:pStyle w:val="Table"/>
              <w:rPr>
                <w:noProof/>
                <w:sz w:val="20"/>
                <w:szCs w:val="20"/>
              </w:rPr>
            </w:pPr>
            <w:r w:rsidRPr="00C47F2F">
              <w:rPr>
                <w:noProof/>
                <w:sz w:val="20"/>
                <w:szCs w:val="20"/>
              </w:rPr>
              <w:t>1.53E-03</w:t>
            </w:r>
          </w:p>
        </w:tc>
        <w:tc>
          <w:tcPr>
            <w:tcW w:w="1008" w:type="dxa"/>
            <w:shd w:val="clear" w:color="auto" w:fill="auto"/>
            <w:noWrap/>
            <w:vAlign w:val="center"/>
          </w:tcPr>
          <w:p w14:paraId="41C0E501" w14:textId="77777777" w:rsidR="006703A2" w:rsidRPr="00C47F2F" w:rsidRDefault="006703A2" w:rsidP="000E00A3">
            <w:pPr>
              <w:pStyle w:val="Table"/>
              <w:rPr>
                <w:noProof/>
                <w:sz w:val="20"/>
                <w:szCs w:val="20"/>
              </w:rPr>
            </w:pPr>
            <w:r w:rsidRPr="00C47F2F">
              <w:rPr>
                <w:noProof/>
                <w:sz w:val="20"/>
                <w:szCs w:val="20"/>
              </w:rPr>
              <w:t>9.04E-04</w:t>
            </w:r>
          </w:p>
        </w:tc>
        <w:tc>
          <w:tcPr>
            <w:tcW w:w="1008" w:type="dxa"/>
            <w:shd w:val="clear" w:color="auto" w:fill="auto"/>
            <w:noWrap/>
            <w:vAlign w:val="center"/>
          </w:tcPr>
          <w:p w14:paraId="201E2FB5" w14:textId="77777777" w:rsidR="006703A2" w:rsidRPr="00C47F2F" w:rsidRDefault="006703A2" w:rsidP="000E00A3">
            <w:pPr>
              <w:pStyle w:val="Table"/>
              <w:rPr>
                <w:noProof/>
                <w:sz w:val="20"/>
                <w:szCs w:val="20"/>
              </w:rPr>
            </w:pPr>
            <w:r w:rsidRPr="00C47F2F">
              <w:rPr>
                <w:noProof/>
                <w:sz w:val="20"/>
                <w:szCs w:val="20"/>
              </w:rPr>
              <w:t>5.21E-04</w:t>
            </w:r>
          </w:p>
        </w:tc>
        <w:tc>
          <w:tcPr>
            <w:tcW w:w="1005" w:type="dxa"/>
            <w:shd w:val="clear" w:color="auto" w:fill="auto"/>
            <w:noWrap/>
            <w:vAlign w:val="center"/>
          </w:tcPr>
          <w:p w14:paraId="4118EC26" w14:textId="77777777" w:rsidR="006703A2" w:rsidRPr="00C47F2F" w:rsidRDefault="006703A2" w:rsidP="000E00A3">
            <w:pPr>
              <w:pStyle w:val="Table"/>
              <w:rPr>
                <w:noProof/>
                <w:sz w:val="20"/>
                <w:szCs w:val="20"/>
              </w:rPr>
            </w:pPr>
            <w:r w:rsidRPr="00C47F2F">
              <w:rPr>
                <w:noProof/>
                <w:sz w:val="20"/>
                <w:szCs w:val="20"/>
              </w:rPr>
              <w:t>8.21E-05</w:t>
            </w:r>
          </w:p>
        </w:tc>
      </w:tr>
      <w:tr w:rsidR="006703A2" w:rsidRPr="00972C81" w14:paraId="0496E10C" w14:textId="77777777" w:rsidTr="000E00A3">
        <w:trPr>
          <w:trHeight w:val="340"/>
        </w:trPr>
        <w:tc>
          <w:tcPr>
            <w:tcW w:w="2985" w:type="dxa"/>
            <w:shd w:val="clear" w:color="auto" w:fill="auto"/>
            <w:noWrap/>
            <w:vAlign w:val="center"/>
          </w:tcPr>
          <w:p w14:paraId="491A8D8F" w14:textId="311800F3" w:rsidR="006703A2" w:rsidRPr="006703A2" w:rsidRDefault="006703A2" w:rsidP="000E00A3">
            <w:pPr>
              <w:pStyle w:val="Table"/>
              <w:rPr>
                <w:noProof/>
                <w:sz w:val="20"/>
                <w:szCs w:val="22"/>
              </w:rPr>
            </w:pPr>
            <w:r w:rsidRPr="006703A2">
              <w:rPr>
                <w:noProof/>
                <w:sz w:val="20"/>
                <w:szCs w:val="22"/>
              </w:rPr>
              <w:t>Trab marrow to Blood</w:t>
            </w:r>
          </w:p>
        </w:tc>
        <w:tc>
          <w:tcPr>
            <w:tcW w:w="1007" w:type="dxa"/>
            <w:shd w:val="clear" w:color="auto" w:fill="auto"/>
            <w:noWrap/>
            <w:vAlign w:val="center"/>
          </w:tcPr>
          <w:p w14:paraId="1AB592C6" w14:textId="77777777" w:rsidR="006703A2" w:rsidRPr="00C47F2F" w:rsidRDefault="006703A2" w:rsidP="000E00A3">
            <w:pPr>
              <w:pStyle w:val="Table"/>
              <w:rPr>
                <w:noProof/>
                <w:sz w:val="20"/>
                <w:szCs w:val="20"/>
              </w:rPr>
            </w:pPr>
            <w:r w:rsidRPr="00C47F2F">
              <w:rPr>
                <w:noProof/>
                <w:sz w:val="20"/>
                <w:szCs w:val="20"/>
              </w:rPr>
              <w:t>7.60E-03</w:t>
            </w:r>
          </w:p>
        </w:tc>
        <w:tc>
          <w:tcPr>
            <w:tcW w:w="1007" w:type="dxa"/>
            <w:shd w:val="clear" w:color="auto" w:fill="auto"/>
            <w:noWrap/>
            <w:vAlign w:val="center"/>
          </w:tcPr>
          <w:p w14:paraId="42CC7804" w14:textId="77777777" w:rsidR="006703A2" w:rsidRPr="00C47F2F" w:rsidRDefault="006703A2" w:rsidP="000E00A3">
            <w:pPr>
              <w:pStyle w:val="Table"/>
              <w:rPr>
                <w:noProof/>
                <w:sz w:val="20"/>
                <w:szCs w:val="20"/>
              </w:rPr>
            </w:pPr>
            <w:r w:rsidRPr="00C47F2F">
              <w:rPr>
                <w:noProof/>
                <w:sz w:val="20"/>
                <w:szCs w:val="20"/>
              </w:rPr>
              <w:t>7.60E-03</w:t>
            </w:r>
          </w:p>
        </w:tc>
        <w:tc>
          <w:tcPr>
            <w:tcW w:w="1007" w:type="dxa"/>
            <w:shd w:val="clear" w:color="auto" w:fill="auto"/>
            <w:noWrap/>
            <w:vAlign w:val="center"/>
          </w:tcPr>
          <w:p w14:paraId="3925133C" w14:textId="77777777" w:rsidR="006703A2" w:rsidRPr="00C47F2F" w:rsidRDefault="006703A2" w:rsidP="000E00A3">
            <w:pPr>
              <w:pStyle w:val="Table"/>
              <w:rPr>
                <w:noProof/>
                <w:sz w:val="20"/>
                <w:szCs w:val="20"/>
              </w:rPr>
            </w:pPr>
            <w:r w:rsidRPr="00C47F2F">
              <w:rPr>
                <w:noProof/>
                <w:sz w:val="20"/>
                <w:szCs w:val="20"/>
              </w:rPr>
              <w:t>7.60E-03</w:t>
            </w:r>
          </w:p>
        </w:tc>
        <w:tc>
          <w:tcPr>
            <w:tcW w:w="1008" w:type="dxa"/>
            <w:shd w:val="clear" w:color="auto" w:fill="auto"/>
            <w:noWrap/>
            <w:vAlign w:val="center"/>
          </w:tcPr>
          <w:p w14:paraId="5E5FC035" w14:textId="77777777" w:rsidR="006703A2" w:rsidRPr="00C47F2F" w:rsidRDefault="006703A2" w:rsidP="000E00A3">
            <w:pPr>
              <w:pStyle w:val="Table"/>
              <w:rPr>
                <w:noProof/>
                <w:sz w:val="20"/>
                <w:szCs w:val="20"/>
              </w:rPr>
            </w:pPr>
            <w:r w:rsidRPr="00C47F2F">
              <w:rPr>
                <w:noProof/>
                <w:sz w:val="20"/>
                <w:szCs w:val="20"/>
              </w:rPr>
              <w:t>7.60E-03</w:t>
            </w:r>
          </w:p>
        </w:tc>
        <w:tc>
          <w:tcPr>
            <w:tcW w:w="1008" w:type="dxa"/>
            <w:shd w:val="clear" w:color="auto" w:fill="auto"/>
            <w:noWrap/>
            <w:vAlign w:val="center"/>
          </w:tcPr>
          <w:p w14:paraId="1A5DA22C" w14:textId="77777777" w:rsidR="006703A2" w:rsidRPr="00C47F2F" w:rsidRDefault="006703A2" w:rsidP="000E00A3">
            <w:pPr>
              <w:pStyle w:val="Table"/>
              <w:rPr>
                <w:noProof/>
                <w:sz w:val="20"/>
                <w:szCs w:val="20"/>
              </w:rPr>
            </w:pPr>
            <w:r w:rsidRPr="00C47F2F">
              <w:rPr>
                <w:noProof/>
                <w:sz w:val="20"/>
                <w:szCs w:val="20"/>
              </w:rPr>
              <w:t>7.60E-03</w:t>
            </w:r>
          </w:p>
        </w:tc>
        <w:tc>
          <w:tcPr>
            <w:tcW w:w="1005" w:type="dxa"/>
            <w:shd w:val="clear" w:color="auto" w:fill="auto"/>
            <w:noWrap/>
            <w:vAlign w:val="center"/>
          </w:tcPr>
          <w:p w14:paraId="15234190" w14:textId="77777777" w:rsidR="006703A2" w:rsidRPr="00C47F2F" w:rsidRDefault="006703A2" w:rsidP="000E00A3">
            <w:pPr>
              <w:pStyle w:val="Table"/>
              <w:rPr>
                <w:noProof/>
                <w:sz w:val="20"/>
                <w:szCs w:val="20"/>
              </w:rPr>
            </w:pPr>
            <w:r w:rsidRPr="00C47F2F">
              <w:rPr>
                <w:noProof/>
                <w:sz w:val="20"/>
                <w:szCs w:val="20"/>
              </w:rPr>
              <w:t>7.60E-03</w:t>
            </w:r>
          </w:p>
        </w:tc>
      </w:tr>
      <w:tr w:rsidR="006703A2" w:rsidRPr="00972C81" w14:paraId="60103592" w14:textId="77777777" w:rsidTr="000E00A3">
        <w:trPr>
          <w:trHeight w:val="340"/>
        </w:trPr>
        <w:tc>
          <w:tcPr>
            <w:tcW w:w="2985" w:type="dxa"/>
            <w:shd w:val="clear" w:color="auto" w:fill="auto"/>
            <w:noWrap/>
            <w:vAlign w:val="center"/>
          </w:tcPr>
          <w:p w14:paraId="2B443186" w14:textId="0D0165F1" w:rsidR="006703A2" w:rsidRPr="006703A2" w:rsidRDefault="006703A2" w:rsidP="000E00A3">
            <w:pPr>
              <w:pStyle w:val="Table"/>
              <w:rPr>
                <w:noProof/>
                <w:sz w:val="20"/>
                <w:szCs w:val="22"/>
              </w:rPr>
            </w:pPr>
            <w:r w:rsidRPr="006703A2">
              <w:rPr>
                <w:noProof/>
                <w:sz w:val="20"/>
                <w:szCs w:val="22"/>
              </w:rPr>
              <w:t>Trab bone surf to Trab marrow</w:t>
            </w:r>
          </w:p>
        </w:tc>
        <w:tc>
          <w:tcPr>
            <w:tcW w:w="1007" w:type="dxa"/>
            <w:shd w:val="clear" w:color="auto" w:fill="auto"/>
            <w:noWrap/>
            <w:vAlign w:val="center"/>
          </w:tcPr>
          <w:p w14:paraId="722CA2F1" w14:textId="77777777" w:rsidR="006703A2" w:rsidRPr="00C47F2F" w:rsidRDefault="006703A2" w:rsidP="000E00A3">
            <w:pPr>
              <w:pStyle w:val="Table"/>
              <w:rPr>
                <w:noProof/>
                <w:sz w:val="20"/>
                <w:szCs w:val="20"/>
              </w:rPr>
            </w:pPr>
            <w:r w:rsidRPr="00C47F2F">
              <w:rPr>
                <w:noProof/>
                <w:sz w:val="20"/>
                <w:szCs w:val="20"/>
              </w:rPr>
              <w:t>8.22E-03</w:t>
            </w:r>
          </w:p>
        </w:tc>
        <w:tc>
          <w:tcPr>
            <w:tcW w:w="1007" w:type="dxa"/>
            <w:shd w:val="clear" w:color="auto" w:fill="auto"/>
            <w:noWrap/>
            <w:vAlign w:val="center"/>
          </w:tcPr>
          <w:p w14:paraId="3573D968" w14:textId="77777777" w:rsidR="006703A2" w:rsidRPr="00C47F2F" w:rsidRDefault="006703A2" w:rsidP="000E00A3">
            <w:pPr>
              <w:pStyle w:val="Table"/>
              <w:rPr>
                <w:noProof/>
                <w:sz w:val="20"/>
                <w:szCs w:val="20"/>
              </w:rPr>
            </w:pPr>
            <w:r w:rsidRPr="00C47F2F">
              <w:rPr>
                <w:noProof/>
                <w:sz w:val="20"/>
                <w:szCs w:val="20"/>
              </w:rPr>
              <w:t>2.88E-03</w:t>
            </w:r>
          </w:p>
        </w:tc>
        <w:tc>
          <w:tcPr>
            <w:tcW w:w="1007" w:type="dxa"/>
            <w:shd w:val="clear" w:color="auto" w:fill="auto"/>
            <w:noWrap/>
            <w:vAlign w:val="center"/>
          </w:tcPr>
          <w:p w14:paraId="38684D2A" w14:textId="77777777" w:rsidR="006703A2" w:rsidRPr="00C47F2F" w:rsidRDefault="006703A2" w:rsidP="000E00A3">
            <w:pPr>
              <w:pStyle w:val="Table"/>
              <w:rPr>
                <w:noProof/>
                <w:sz w:val="20"/>
                <w:szCs w:val="20"/>
              </w:rPr>
            </w:pPr>
            <w:r w:rsidRPr="00C47F2F">
              <w:rPr>
                <w:noProof/>
                <w:sz w:val="20"/>
                <w:szCs w:val="20"/>
              </w:rPr>
              <w:t>1.81E-03</w:t>
            </w:r>
          </w:p>
        </w:tc>
        <w:tc>
          <w:tcPr>
            <w:tcW w:w="1008" w:type="dxa"/>
            <w:shd w:val="clear" w:color="auto" w:fill="auto"/>
            <w:noWrap/>
            <w:vAlign w:val="center"/>
          </w:tcPr>
          <w:p w14:paraId="14650AB2" w14:textId="77777777" w:rsidR="006703A2" w:rsidRPr="00C47F2F" w:rsidRDefault="006703A2" w:rsidP="000E00A3">
            <w:pPr>
              <w:pStyle w:val="Table"/>
              <w:rPr>
                <w:noProof/>
                <w:sz w:val="20"/>
                <w:szCs w:val="20"/>
              </w:rPr>
            </w:pPr>
            <w:r w:rsidRPr="00C47F2F">
              <w:rPr>
                <w:noProof/>
                <w:sz w:val="20"/>
                <w:szCs w:val="20"/>
              </w:rPr>
              <w:t>1.32E-03</w:t>
            </w:r>
          </w:p>
        </w:tc>
        <w:tc>
          <w:tcPr>
            <w:tcW w:w="1008" w:type="dxa"/>
            <w:shd w:val="clear" w:color="auto" w:fill="auto"/>
            <w:noWrap/>
            <w:vAlign w:val="center"/>
          </w:tcPr>
          <w:p w14:paraId="0357F841" w14:textId="77777777" w:rsidR="006703A2" w:rsidRPr="00C47F2F" w:rsidRDefault="006703A2" w:rsidP="000E00A3">
            <w:pPr>
              <w:pStyle w:val="Table"/>
              <w:rPr>
                <w:noProof/>
                <w:sz w:val="20"/>
                <w:szCs w:val="20"/>
              </w:rPr>
            </w:pPr>
            <w:r w:rsidRPr="00C47F2F">
              <w:rPr>
                <w:noProof/>
                <w:sz w:val="20"/>
                <w:szCs w:val="20"/>
              </w:rPr>
              <w:t>9.59E-04</w:t>
            </w:r>
          </w:p>
        </w:tc>
        <w:tc>
          <w:tcPr>
            <w:tcW w:w="1005" w:type="dxa"/>
            <w:shd w:val="clear" w:color="auto" w:fill="auto"/>
            <w:noWrap/>
            <w:vAlign w:val="center"/>
          </w:tcPr>
          <w:p w14:paraId="60DB81D2" w14:textId="77777777" w:rsidR="006703A2" w:rsidRPr="00C47F2F" w:rsidRDefault="006703A2" w:rsidP="000E00A3">
            <w:pPr>
              <w:pStyle w:val="Table"/>
              <w:rPr>
                <w:noProof/>
                <w:sz w:val="20"/>
                <w:szCs w:val="20"/>
              </w:rPr>
            </w:pPr>
            <w:r w:rsidRPr="00C47F2F">
              <w:rPr>
                <w:noProof/>
                <w:sz w:val="20"/>
                <w:szCs w:val="20"/>
              </w:rPr>
              <w:t>4.93E-04</w:t>
            </w:r>
          </w:p>
        </w:tc>
      </w:tr>
      <w:tr w:rsidR="006703A2" w:rsidRPr="00972C81" w14:paraId="10AA72CB" w14:textId="77777777" w:rsidTr="000E00A3">
        <w:trPr>
          <w:trHeight w:val="340"/>
        </w:trPr>
        <w:tc>
          <w:tcPr>
            <w:tcW w:w="2985" w:type="dxa"/>
            <w:shd w:val="clear" w:color="auto" w:fill="auto"/>
            <w:noWrap/>
            <w:vAlign w:val="center"/>
          </w:tcPr>
          <w:p w14:paraId="68E40B89" w14:textId="51C43760" w:rsidR="006703A2" w:rsidRPr="006703A2" w:rsidRDefault="006703A2" w:rsidP="000E00A3">
            <w:pPr>
              <w:pStyle w:val="Table"/>
              <w:rPr>
                <w:noProof/>
                <w:sz w:val="20"/>
                <w:szCs w:val="22"/>
              </w:rPr>
            </w:pPr>
            <w:r w:rsidRPr="006703A2">
              <w:rPr>
                <w:noProof/>
                <w:sz w:val="20"/>
                <w:szCs w:val="22"/>
              </w:rPr>
              <w:t>Trab bone surf to Trab bone vol</w:t>
            </w:r>
          </w:p>
        </w:tc>
        <w:tc>
          <w:tcPr>
            <w:tcW w:w="1007" w:type="dxa"/>
            <w:shd w:val="clear" w:color="auto" w:fill="auto"/>
            <w:noWrap/>
            <w:vAlign w:val="center"/>
          </w:tcPr>
          <w:p w14:paraId="0F9B7D62" w14:textId="77777777" w:rsidR="006703A2" w:rsidRPr="00C47F2F" w:rsidRDefault="006703A2" w:rsidP="000E00A3">
            <w:pPr>
              <w:pStyle w:val="Table"/>
              <w:rPr>
                <w:noProof/>
                <w:sz w:val="20"/>
                <w:szCs w:val="20"/>
              </w:rPr>
            </w:pPr>
            <w:r w:rsidRPr="00C47F2F">
              <w:rPr>
                <w:noProof/>
                <w:sz w:val="20"/>
                <w:szCs w:val="20"/>
              </w:rPr>
              <w:t>8.22E-03</w:t>
            </w:r>
          </w:p>
        </w:tc>
        <w:tc>
          <w:tcPr>
            <w:tcW w:w="1007" w:type="dxa"/>
            <w:shd w:val="clear" w:color="auto" w:fill="auto"/>
            <w:noWrap/>
            <w:vAlign w:val="center"/>
          </w:tcPr>
          <w:p w14:paraId="5B25E0AE" w14:textId="77777777" w:rsidR="006703A2" w:rsidRPr="00C47F2F" w:rsidRDefault="006703A2" w:rsidP="000E00A3">
            <w:pPr>
              <w:pStyle w:val="Table"/>
              <w:rPr>
                <w:noProof/>
                <w:sz w:val="20"/>
                <w:szCs w:val="20"/>
              </w:rPr>
            </w:pPr>
            <w:r w:rsidRPr="00C47F2F">
              <w:rPr>
                <w:noProof/>
                <w:sz w:val="20"/>
                <w:szCs w:val="20"/>
              </w:rPr>
              <w:t>2.88E-03</w:t>
            </w:r>
          </w:p>
        </w:tc>
        <w:tc>
          <w:tcPr>
            <w:tcW w:w="1007" w:type="dxa"/>
            <w:shd w:val="clear" w:color="auto" w:fill="auto"/>
            <w:noWrap/>
            <w:vAlign w:val="center"/>
          </w:tcPr>
          <w:p w14:paraId="5729695F" w14:textId="77777777" w:rsidR="006703A2" w:rsidRPr="00C47F2F" w:rsidRDefault="006703A2" w:rsidP="000E00A3">
            <w:pPr>
              <w:pStyle w:val="Table"/>
              <w:rPr>
                <w:noProof/>
                <w:sz w:val="20"/>
                <w:szCs w:val="20"/>
              </w:rPr>
            </w:pPr>
            <w:r w:rsidRPr="00C47F2F">
              <w:rPr>
                <w:noProof/>
                <w:sz w:val="20"/>
                <w:szCs w:val="20"/>
              </w:rPr>
              <w:t>1.81E-03</w:t>
            </w:r>
          </w:p>
        </w:tc>
        <w:tc>
          <w:tcPr>
            <w:tcW w:w="1008" w:type="dxa"/>
            <w:shd w:val="clear" w:color="auto" w:fill="auto"/>
            <w:noWrap/>
            <w:vAlign w:val="center"/>
          </w:tcPr>
          <w:p w14:paraId="6ABC4C82" w14:textId="77777777" w:rsidR="006703A2" w:rsidRPr="00C47F2F" w:rsidRDefault="006703A2" w:rsidP="000E00A3">
            <w:pPr>
              <w:pStyle w:val="Table"/>
              <w:rPr>
                <w:noProof/>
                <w:sz w:val="20"/>
                <w:szCs w:val="20"/>
              </w:rPr>
            </w:pPr>
            <w:r w:rsidRPr="00C47F2F">
              <w:rPr>
                <w:noProof/>
                <w:sz w:val="20"/>
                <w:szCs w:val="20"/>
              </w:rPr>
              <w:t>1.32E-03</w:t>
            </w:r>
          </w:p>
        </w:tc>
        <w:tc>
          <w:tcPr>
            <w:tcW w:w="1008" w:type="dxa"/>
            <w:shd w:val="clear" w:color="auto" w:fill="auto"/>
            <w:noWrap/>
            <w:vAlign w:val="center"/>
          </w:tcPr>
          <w:p w14:paraId="54CFFFC0" w14:textId="77777777" w:rsidR="006703A2" w:rsidRPr="00C47F2F" w:rsidRDefault="006703A2" w:rsidP="000E00A3">
            <w:pPr>
              <w:pStyle w:val="Table"/>
              <w:rPr>
                <w:noProof/>
                <w:sz w:val="20"/>
                <w:szCs w:val="20"/>
              </w:rPr>
            </w:pPr>
            <w:r w:rsidRPr="00C47F2F">
              <w:rPr>
                <w:noProof/>
                <w:sz w:val="20"/>
                <w:szCs w:val="20"/>
              </w:rPr>
              <w:t>9.59E-04</w:t>
            </w:r>
          </w:p>
        </w:tc>
        <w:tc>
          <w:tcPr>
            <w:tcW w:w="1005" w:type="dxa"/>
            <w:shd w:val="clear" w:color="auto" w:fill="auto"/>
            <w:noWrap/>
            <w:vAlign w:val="center"/>
          </w:tcPr>
          <w:p w14:paraId="4A935180" w14:textId="77777777" w:rsidR="006703A2" w:rsidRPr="00C47F2F" w:rsidRDefault="006703A2" w:rsidP="000E00A3">
            <w:pPr>
              <w:pStyle w:val="Table"/>
              <w:rPr>
                <w:noProof/>
                <w:sz w:val="20"/>
                <w:szCs w:val="20"/>
              </w:rPr>
            </w:pPr>
            <w:r w:rsidRPr="00C47F2F">
              <w:rPr>
                <w:noProof/>
                <w:sz w:val="20"/>
                <w:szCs w:val="20"/>
              </w:rPr>
              <w:t>2.47E-04</w:t>
            </w:r>
          </w:p>
        </w:tc>
      </w:tr>
      <w:tr w:rsidR="006703A2" w:rsidRPr="00972C81" w14:paraId="0AD51FD0" w14:textId="77777777" w:rsidTr="000E00A3">
        <w:trPr>
          <w:trHeight w:val="340"/>
        </w:trPr>
        <w:tc>
          <w:tcPr>
            <w:tcW w:w="2985" w:type="dxa"/>
            <w:shd w:val="clear" w:color="auto" w:fill="auto"/>
            <w:noWrap/>
            <w:vAlign w:val="center"/>
          </w:tcPr>
          <w:p w14:paraId="7602A0AC" w14:textId="15E31D2C" w:rsidR="006703A2" w:rsidRPr="006703A2" w:rsidRDefault="006703A2" w:rsidP="000E00A3">
            <w:pPr>
              <w:pStyle w:val="Table"/>
              <w:rPr>
                <w:noProof/>
                <w:sz w:val="20"/>
                <w:szCs w:val="22"/>
              </w:rPr>
            </w:pPr>
            <w:r w:rsidRPr="006703A2">
              <w:rPr>
                <w:noProof/>
                <w:sz w:val="20"/>
                <w:szCs w:val="22"/>
              </w:rPr>
              <w:t>Trab bone vol to Trab marrow</w:t>
            </w:r>
          </w:p>
        </w:tc>
        <w:tc>
          <w:tcPr>
            <w:tcW w:w="1007" w:type="dxa"/>
            <w:shd w:val="clear" w:color="auto" w:fill="auto"/>
            <w:noWrap/>
            <w:vAlign w:val="center"/>
          </w:tcPr>
          <w:p w14:paraId="5DDAD8E6" w14:textId="77777777" w:rsidR="006703A2" w:rsidRPr="00C47F2F" w:rsidRDefault="006703A2" w:rsidP="000E00A3">
            <w:pPr>
              <w:pStyle w:val="Table"/>
              <w:rPr>
                <w:noProof/>
                <w:sz w:val="20"/>
                <w:szCs w:val="20"/>
              </w:rPr>
            </w:pPr>
            <w:r w:rsidRPr="00C47F2F">
              <w:rPr>
                <w:noProof/>
                <w:sz w:val="20"/>
                <w:szCs w:val="20"/>
              </w:rPr>
              <w:t>8.22E-03</w:t>
            </w:r>
          </w:p>
        </w:tc>
        <w:tc>
          <w:tcPr>
            <w:tcW w:w="1007" w:type="dxa"/>
            <w:shd w:val="clear" w:color="auto" w:fill="auto"/>
            <w:noWrap/>
            <w:vAlign w:val="center"/>
          </w:tcPr>
          <w:p w14:paraId="2FBFD77B" w14:textId="77777777" w:rsidR="006703A2" w:rsidRPr="00C47F2F" w:rsidRDefault="006703A2" w:rsidP="000E00A3">
            <w:pPr>
              <w:pStyle w:val="Table"/>
              <w:rPr>
                <w:noProof/>
                <w:sz w:val="20"/>
                <w:szCs w:val="20"/>
              </w:rPr>
            </w:pPr>
            <w:r w:rsidRPr="00C47F2F">
              <w:rPr>
                <w:noProof/>
                <w:sz w:val="20"/>
                <w:szCs w:val="20"/>
              </w:rPr>
              <w:t>2.88E-03</w:t>
            </w:r>
          </w:p>
        </w:tc>
        <w:tc>
          <w:tcPr>
            <w:tcW w:w="1007" w:type="dxa"/>
            <w:shd w:val="clear" w:color="auto" w:fill="auto"/>
            <w:noWrap/>
            <w:vAlign w:val="center"/>
          </w:tcPr>
          <w:p w14:paraId="6DBA610C" w14:textId="77777777" w:rsidR="006703A2" w:rsidRPr="00C47F2F" w:rsidRDefault="006703A2" w:rsidP="000E00A3">
            <w:pPr>
              <w:pStyle w:val="Table"/>
              <w:rPr>
                <w:noProof/>
                <w:sz w:val="20"/>
                <w:szCs w:val="20"/>
              </w:rPr>
            </w:pPr>
            <w:r w:rsidRPr="00C47F2F">
              <w:rPr>
                <w:noProof/>
                <w:sz w:val="20"/>
                <w:szCs w:val="20"/>
              </w:rPr>
              <w:t>1.81E-03</w:t>
            </w:r>
          </w:p>
        </w:tc>
        <w:tc>
          <w:tcPr>
            <w:tcW w:w="1008" w:type="dxa"/>
            <w:shd w:val="clear" w:color="auto" w:fill="auto"/>
            <w:noWrap/>
            <w:vAlign w:val="center"/>
          </w:tcPr>
          <w:p w14:paraId="222A019F" w14:textId="77777777" w:rsidR="006703A2" w:rsidRPr="00C47F2F" w:rsidRDefault="006703A2" w:rsidP="000E00A3">
            <w:pPr>
              <w:pStyle w:val="Table"/>
              <w:rPr>
                <w:noProof/>
                <w:sz w:val="20"/>
                <w:szCs w:val="20"/>
              </w:rPr>
            </w:pPr>
            <w:r w:rsidRPr="00C47F2F">
              <w:rPr>
                <w:noProof/>
                <w:sz w:val="20"/>
                <w:szCs w:val="20"/>
              </w:rPr>
              <w:t>1.32E-03</w:t>
            </w:r>
          </w:p>
        </w:tc>
        <w:tc>
          <w:tcPr>
            <w:tcW w:w="1008" w:type="dxa"/>
            <w:shd w:val="clear" w:color="auto" w:fill="auto"/>
            <w:noWrap/>
            <w:vAlign w:val="center"/>
          </w:tcPr>
          <w:p w14:paraId="408CF8C5" w14:textId="77777777" w:rsidR="006703A2" w:rsidRPr="00C47F2F" w:rsidRDefault="006703A2" w:rsidP="000E00A3">
            <w:pPr>
              <w:pStyle w:val="Table"/>
              <w:rPr>
                <w:noProof/>
                <w:sz w:val="20"/>
                <w:szCs w:val="20"/>
              </w:rPr>
            </w:pPr>
            <w:r w:rsidRPr="00C47F2F">
              <w:rPr>
                <w:noProof/>
                <w:sz w:val="20"/>
                <w:szCs w:val="20"/>
              </w:rPr>
              <w:t>9.59E-04</w:t>
            </w:r>
          </w:p>
        </w:tc>
        <w:tc>
          <w:tcPr>
            <w:tcW w:w="1005" w:type="dxa"/>
            <w:shd w:val="clear" w:color="auto" w:fill="auto"/>
            <w:noWrap/>
            <w:vAlign w:val="center"/>
          </w:tcPr>
          <w:p w14:paraId="7B306665" w14:textId="77777777" w:rsidR="006703A2" w:rsidRPr="00C47F2F" w:rsidRDefault="006703A2" w:rsidP="000E00A3">
            <w:pPr>
              <w:pStyle w:val="Table"/>
              <w:rPr>
                <w:noProof/>
                <w:sz w:val="20"/>
                <w:szCs w:val="20"/>
              </w:rPr>
            </w:pPr>
            <w:r w:rsidRPr="00C47F2F">
              <w:rPr>
                <w:noProof/>
                <w:sz w:val="20"/>
                <w:szCs w:val="20"/>
              </w:rPr>
              <w:t>4.93E-04</w:t>
            </w:r>
          </w:p>
        </w:tc>
      </w:tr>
      <w:tr w:rsidR="006703A2" w:rsidRPr="00972C81" w14:paraId="78F096D4" w14:textId="77777777" w:rsidTr="000E00A3">
        <w:trPr>
          <w:trHeight w:val="340"/>
        </w:trPr>
        <w:tc>
          <w:tcPr>
            <w:tcW w:w="2985" w:type="dxa"/>
            <w:shd w:val="clear" w:color="auto" w:fill="auto"/>
            <w:noWrap/>
            <w:vAlign w:val="center"/>
          </w:tcPr>
          <w:p w14:paraId="2D32306D" w14:textId="50E5D788" w:rsidR="006703A2" w:rsidRPr="006703A2" w:rsidRDefault="006703A2" w:rsidP="000E00A3">
            <w:pPr>
              <w:pStyle w:val="Table"/>
              <w:rPr>
                <w:noProof/>
                <w:sz w:val="20"/>
                <w:szCs w:val="22"/>
              </w:rPr>
            </w:pPr>
            <w:r w:rsidRPr="006703A2">
              <w:rPr>
                <w:noProof/>
                <w:sz w:val="20"/>
                <w:szCs w:val="22"/>
              </w:rPr>
              <w:t>Kidneys 1 to Urinary bladder cont</w:t>
            </w:r>
          </w:p>
        </w:tc>
        <w:tc>
          <w:tcPr>
            <w:tcW w:w="1007" w:type="dxa"/>
            <w:shd w:val="clear" w:color="auto" w:fill="auto"/>
            <w:noWrap/>
            <w:vAlign w:val="center"/>
          </w:tcPr>
          <w:p w14:paraId="79789279" w14:textId="77777777" w:rsidR="006703A2" w:rsidRPr="00C47F2F" w:rsidRDefault="006703A2" w:rsidP="000E00A3">
            <w:pPr>
              <w:pStyle w:val="Table"/>
              <w:rPr>
                <w:noProof/>
                <w:sz w:val="20"/>
                <w:szCs w:val="20"/>
              </w:rPr>
            </w:pPr>
            <w:r w:rsidRPr="00C47F2F">
              <w:rPr>
                <w:noProof/>
                <w:sz w:val="20"/>
                <w:szCs w:val="20"/>
              </w:rPr>
              <w:t>9.90E-02</w:t>
            </w:r>
          </w:p>
        </w:tc>
        <w:tc>
          <w:tcPr>
            <w:tcW w:w="1007" w:type="dxa"/>
            <w:shd w:val="clear" w:color="auto" w:fill="auto"/>
            <w:noWrap/>
            <w:vAlign w:val="center"/>
          </w:tcPr>
          <w:p w14:paraId="219813BC" w14:textId="77777777" w:rsidR="006703A2" w:rsidRPr="00C47F2F" w:rsidRDefault="006703A2" w:rsidP="000E00A3">
            <w:pPr>
              <w:pStyle w:val="Table"/>
              <w:rPr>
                <w:noProof/>
                <w:sz w:val="20"/>
                <w:szCs w:val="20"/>
              </w:rPr>
            </w:pPr>
            <w:r w:rsidRPr="00C47F2F">
              <w:rPr>
                <w:noProof/>
                <w:sz w:val="20"/>
                <w:szCs w:val="20"/>
              </w:rPr>
              <w:t>9.90E-02</w:t>
            </w:r>
          </w:p>
        </w:tc>
        <w:tc>
          <w:tcPr>
            <w:tcW w:w="1007" w:type="dxa"/>
            <w:shd w:val="clear" w:color="auto" w:fill="auto"/>
            <w:noWrap/>
            <w:vAlign w:val="center"/>
          </w:tcPr>
          <w:p w14:paraId="6239DCCD" w14:textId="77777777" w:rsidR="006703A2" w:rsidRPr="00C47F2F" w:rsidRDefault="006703A2" w:rsidP="000E00A3">
            <w:pPr>
              <w:pStyle w:val="Table"/>
              <w:rPr>
                <w:noProof/>
                <w:sz w:val="20"/>
                <w:szCs w:val="20"/>
              </w:rPr>
            </w:pPr>
            <w:r w:rsidRPr="00C47F2F">
              <w:rPr>
                <w:noProof/>
                <w:sz w:val="20"/>
                <w:szCs w:val="20"/>
              </w:rPr>
              <w:t>9.90E-02</w:t>
            </w:r>
          </w:p>
        </w:tc>
        <w:tc>
          <w:tcPr>
            <w:tcW w:w="1008" w:type="dxa"/>
            <w:shd w:val="clear" w:color="auto" w:fill="auto"/>
            <w:noWrap/>
            <w:vAlign w:val="center"/>
          </w:tcPr>
          <w:p w14:paraId="60D88594" w14:textId="77777777" w:rsidR="006703A2" w:rsidRPr="00C47F2F" w:rsidRDefault="006703A2" w:rsidP="000E00A3">
            <w:pPr>
              <w:pStyle w:val="Table"/>
              <w:rPr>
                <w:noProof/>
                <w:sz w:val="20"/>
                <w:szCs w:val="20"/>
              </w:rPr>
            </w:pPr>
            <w:r w:rsidRPr="00C47F2F">
              <w:rPr>
                <w:noProof/>
                <w:sz w:val="20"/>
                <w:szCs w:val="20"/>
              </w:rPr>
              <w:t>9.90E-02</w:t>
            </w:r>
          </w:p>
        </w:tc>
        <w:tc>
          <w:tcPr>
            <w:tcW w:w="1008" w:type="dxa"/>
            <w:shd w:val="clear" w:color="auto" w:fill="auto"/>
            <w:noWrap/>
            <w:vAlign w:val="center"/>
          </w:tcPr>
          <w:p w14:paraId="6D896830" w14:textId="77777777" w:rsidR="006703A2" w:rsidRPr="00C47F2F" w:rsidRDefault="006703A2" w:rsidP="000E00A3">
            <w:pPr>
              <w:pStyle w:val="Table"/>
              <w:rPr>
                <w:noProof/>
                <w:sz w:val="20"/>
                <w:szCs w:val="20"/>
              </w:rPr>
            </w:pPr>
            <w:r w:rsidRPr="00C47F2F">
              <w:rPr>
                <w:noProof/>
                <w:sz w:val="20"/>
                <w:szCs w:val="20"/>
              </w:rPr>
              <w:t>9.90E-02</w:t>
            </w:r>
          </w:p>
        </w:tc>
        <w:tc>
          <w:tcPr>
            <w:tcW w:w="1005" w:type="dxa"/>
            <w:shd w:val="clear" w:color="auto" w:fill="auto"/>
            <w:noWrap/>
            <w:vAlign w:val="center"/>
          </w:tcPr>
          <w:p w14:paraId="4B6EE915" w14:textId="77777777" w:rsidR="006703A2" w:rsidRPr="00C47F2F" w:rsidRDefault="006703A2" w:rsidP="000E00A3">
            <w:pPr>
              <w:pStyle w:val="Table"/>
              <w:rPr>
                <w:noProof/>
                <w:sz w:val="20"/>
                <w:szCs w:val="20"/>
              </w:rPr>
            </w:pPr>
            <w:r w:rsidRPr="00C47F2F">
              <w:rPr>
                <w:noProof/>
                <w:sz w:val="20"/>
                <w:szCs w:val="20"/>
              </w:rPr>
              <w:t>9.90E-02</w:t>
            </w:r>
          </w:p>
        </w:tc>
      </w:tr>
      <w:tr w:rsidR="006703A2" w:rsidRPr="00972C81" w14:paraId="6BD414B0" w14:textId="77777777" w:rsidTr="000E00A3">
        <w:trPr>
          <w:trHeight w:val="340"/>
        </w:trPr>
        <w:tc>
          <w:tcPr>
            <w:tcW w:w="2985" w:type="dxa"/>
            <w:shd w:val="clear" w:color="auto" w:fill="auto"/>
            <w:noWrap/>
            <w:vAlign w:val="center"/>
          </w:tcPr>
          <w:p w14:paraId="40D738CE" w14:textId="05969879" w:rsidR="006703A2" w:rsidRPr="006703A2" w:rsidRDefault="006703A2" w:rsidP="000E00A3">
            <w:pPr>
              <w:pStyle w:val="Table"/>
              <w:rPr>
                <w:noProof/>
                <w:sz w:val="20"/>
                <w:szCs w:val="22"/>
              </w:rPr>
            </w:pPr>
            <w:r w:rsidRPr="006703A2">
              <w:rPr>
                <w:noProof/>
                <w:sz w:val="20"/>
                <w:szCs w:val="22"/>
              </w:rPr>
              <w:t>Kidneys 2 to Blood</w:t>
            </w:r>
          </w:p>
        </w:tc>
        <w:tc>
          <w:tcPr>
            <w:tcW w:w="1007" w:type="dxa"/>
            <w:shd w:val="clear" w:color="auto" w:fill="auto"/>
            <w:noWrap/>
            <w:vAlign w:val="center"/>
          </w:tcPr>
          <w:p w14:paraId="1BAAFEFF" w14:textId="77777777" w:rsidR="006703A2" w:rsidRPr="00C47F2F" w:rsidRDefault="006703A2" w:rsidP="000E00A3">
            <w:pPr>
              <w:pStyle w:val="Table"/>
              <w:rPr>
                <w:noProof/>
                <w:sz w:val="20"/>
                <w:szCs w:val="20"/>
              </w:rPr>
            </w:pPr>
            <w:r w:rsidRPr="00C47F2F">
              <w:rPr>
                <w:noProof/>
                <w:sz w:val="20"/>
                <w:szCs w:val="20"/>
              </w:rPr>
              <w:t>3.80E-04</w:t>
            </w:r>
          </w:p>
        </w:tc>
        <w:tc>
          <w:tcPr>
            <w:tcW w:w="1007" w:type="dxa"/>
            <w:shd w:val="clear" w:color="auto" w:fill="auto"/>
            <w:noWrap/>
            <w:vAlign w:val="center"/>
          </w:tcPr>
          <w:p w14:paraId="0A052D0B" w14:textId="77777777" w:rsidR="006703A2" w:rsidRPr="00C47F2F" w:rsidRDefault="006703A2" w:rsidP="000E00A3">
            <w:pPr>
              <w:pStyle w:val="Table"/>
              <w:rPr>
                <w:noProof/>
                <w:sz w:val="20"/>
                <w:szCs w:val="20"/>
              </w:rPr>
            </w:pPr>
            <w:r w:rsidRPr="00C47F2F">
              <w:rPr>
                <w:noProof/>
                <w:sz w:val="20"/>
                <w:szCs w:val="20"/>
              </w:rPr>
              <w:t>3.80E-04</w:t>
            </w:r>
          </w:p>
        </w:tc>
        <w:tc>
          <w:tcPr>
            <w:tcW w:w="1007" w:type="dxa"/>
            <w:shd w:val="clear" w:color="auto" w:fill="auto"/>
            <w:noWrap/>
            <w:vAlign w:val="center"/>
          </w:tcPr>
          <w:p w14:paraId="039DBF83" w14:textId="77777777" w:rsidR="006703A2" w:rsidRPr="00C47F2F" w:rsidRDefault="006703A2" w:rsidP="000E00A3">
            <w:pPr>
              <w:pStyle w:val="Table"/>
              <w:rPr>
                <w:noProof/>
                <w:sz w:val="20"/>
                <w:szCs w:val="20"/>
              </w:rPr>
            </w:pPr>
            <w:r w:rsidRPr="00C47F2F">
              <w:rPr>
                <w:noProof/>
                <w:sz w:val="20"/>
                <w:szCs w:val="20"/>
              </w:rPr>
              <w:t>3.80E-04</w:t>
            </w:r>
          </w:p>
        </w:tc>
        <w:tc>
          <w:tcPr>
            <w:tcW w:w="1008" w:type="dxa"/>
            <w:shd w:val="clear" w:color="auto" w:fill="auto"/>
            <w:noWrap/>
            <w:vAlign w:val="center"/>
          </w:tcPr>
          <w:p w14:paraId="55C8C720" w14:textId="77777777" w:rsidR="006703A2" w:rsidRPr="00C47F2F" w:rsidRDefault="006703A2" w:rsidP="000E00A3">
            <w:pPr>
              <w:pStyle w:val="Table"/>
              <w:rPr>
                <w:noProof/>
                <w:sz w:val="20"/>
                <w:szCs w:val="20"/>
              </w:rPr>
            </w:pPr>
            <w:r w:rsidRPr="00C47F2F">
              <w:rPr>
                <w:noProof/>
                <w:sz w:val="20"/>
                <w:szCs w:val="20"/>
              </w:rPr>
              <w:t>3.80E-04</w:t>
            </w:r>
          </w:p>
        </w:tc>
        <w:tc>
          <w:tcPr>
            <w:tcW w:w="1008" w:type="dxa"/>
            <w:shd w:val="clear" w:color="auto" w:fill="auto"/>
            <w:noWrap/>
            <w:vAlign w:val="center"/>
          </w:tcPr>
          <w:p w14:paraId="128BFBDB" w14:textId="77777777" w:rsidR="006703A2" w:rsidRPr="00C47F2F" w:rsidRDefault="006703A2" w:rsidP="000E00A3">
            <w:pPr>
              <w:pStyle w:val="Table"/>
              <w:rPr>
                <w:noProof/>
                <w:sz w:val="20"/>
                <w:szCs w:val="20"/>
              </w:rPr>
            </w:pPr>
            <w:r w:rsidRPr="00C47F2F">
              <w:rPr>
                <w:noProof/>
                <w:sz w:val="20"/>
                <w:szCs w:val="20"/>
              </w:rPr>
              <w:t>3.80E-04</w:t>
            </w:r>
          </w:p>
        </w:tc>
        <w:tc>
          <w:tcPr>
            <w:tcW w:w="1005" w:type="dxa"/>
            <w:shd w:val="clear" w:color="auto" w:fill="auto"/>
            <w:noWrap/>
            <w:vAlign w:val="center"/>
          </w:tcPr>
          <w:p w14:paraId="1F49C33F" w14:textId="77777777" w:rsidR="006703A2" w:rsidRPr="00C47F2F" w:rsidRDefault="006703A2" w:rsidP="000E00A3">
            <w:pPr>
              <w:pStyle w:val="Table"/>
              <w:rPr>
                <w:noProof/>
                <w:sz w:val="20"/>
                <w:szCs w:val="20"/>
              </w:rPr>
            </w:pPr>
            <w:r w:rsidRPr="00C47F2F">
              <w:rPr>
                <w:noProof/>
                <w:sz w:val="20"/>
                <w:szCs w:val="20"/>
              </w:rPr>
              <w:t>3.80E-04</w:t>
            </w:r>
          </w:p>
        </w:tc>
      </w:tr>
      <w:tr w:rsidR="006703A2" w:rsidRPr="00972C81" w14:paraId="6EBB09C7" w14:textId="77777777" w:rsidTr="000E00A3">
        <w:trPr>
          <w:trHeight w:val="340"/>
        </w:trPr>
        <w:tc>
          <w:tcPr>
            <w:tcW w:w="2985" w:type="dxa"/>
            <w:shd w:val="clear" w:color="auto" w:fill="auto"/>
            <w:noWrap/>
            <w:vAlign w:val="center"/>
          </w:tcPr>
          <w:p w14:paraId="422A84BF" w14:textId="009841B1" w:rsidR="006703A2" w:rsidRPr="006703A2" w:rsidRDefault="006703A2" w:rsidP="000E00A3">
            <w:pPr>
              <w:pStyle w:val="Table"/>
              <w:rPr>
                <w:noProof/>
                <w:sz w:val="20"/>
                <w:szCs w:val="22"/>
              </w:rPr>
            </w:pPr>
            <w:r w:rsidRPr="006703A2">
              <w:rPr>
                <w:noProof/>
                <w:sz w:val="20"/>
                <w:szCs w:val="22"/>
              </w:rPr>
              <w:t>Testes to Blood</w:t>
            </w:r>
          </w:p>
        </w:tc>
        <w:tc>
          <w:tcPr>
            <w:tcW w:w="1007" w:type="dxa"/>
            <w:shd w:val="clear" w:color="auto" w:fill="auto"/>
            <w:noWrap/>
            <w:vAlign w:val="center"/>
          </w:tcPr>
          <w:p w14:paraId="743360EF" w14:textId="77777777" w:rsidR="006703A2" w:rsidRPr="00C47F2F" w:rsidRDefault="006703A2" w:rsidP="000E00A3">
            <w:pPr>
              <w:pStyle w:val="Table"/>
              <w:rPr>
                <w:noProof/>
                <w:sz w:val="20"/>
                <w:szCs w:val="20"/>
              </w:rPr>
            </w:pPr>
            <w:r w:rsidRPr="00C47F2F">
              <w:rPr>
                <w:noProof/>
                <w:sz w:val="20"/>
                <w:szCs w:val="20"/>
              </w:rPr>
              <w:t>3.80E-04</w:t>
            </w:r>
          </w:p>
        </w:tc>
        <w:tc>
          <w:tcPr>
            <w:tcW w:w="1007" w:type="dxa"/>
            <w:shd w:val="clear" w:color="auto" w:fill="auto"/>
            <w:noWrap/>
            <w:vAlign w:val="center"/>
          </w:tcPr>
          <w:p w14:paraId="721AB0F3" w14:textId="77777777" w:rsidR="006703A2" w:rsidRPr="00C47F2F" w:rsidRDefault="006703A2" w:rsidP="000E00A3">
            <w:pPr>
              <w:pStyle w:val="Table"/>
              <w:rPr>
                <w:noProof/>
                <w:sz w:val="20"/>
                <w:szCs w:val="20"/>
              </w:rPr>
            </w:pPr>
            <w:r w:rsidRPr="00C47F2F">
              <w:rPr>
                <w:noProof/>
                <w:sz w:val="20"/>
                <w:szCs w:val="20"/>
              </w:rPr>
              <w:t>3.80E-04</w:t>
            </w:r>
          </w:p>
        </w:tc>
        <w:tc>
          <w:tcPr>
            <w:tcW w:w="1007" w:type="dxa"/>
            <w:shd w:val="clear" w:color="auto" w:fill="auto"/>
            <w:noWrap/>
            <w:vAlign w:val="center"/>
          </w:tcPr>
          <w:p w14:paraId="05034B59" w14:textId="77777777" w:rsidR="006703A2" w:rsidRPr="00C47F2F" w:rsidRDefault="006703A2" w:rsidP="000E00A3">
            <w:pPr>
              <w:pStyle w:val="Table"/>
              <w:rPr>
                <w:noProof/>
                <w:sz w:val="20"/>
                <w:szCs w:val="20"/>
              </w:rPr>
            </w:pPr>
            <w:r w:rsidRPr="00C47F2F">
              <w:rPr>
                <w:noProof/>
                <w:sz w:val="20"/>
                <w:szCs w:val="20"/>
              </w:rPr>
              <w:t>3.80E-04</w:t>
            </w:r>
          </w:p>
        </w:tc>
        <w:tc>
          <w:tcPr>
            <w:tcW w:w="1008" w:type="dxa"/>
            <w:shd w:val="clear" w:color="auto" w:fill="auto"/>
            <w:noWrap/>
            <w:vAlign w:val="center"/>
          </w:tcPr>
          <w:p w14:paraId="6A6E4C8D" w14:textId="77777777" w:rsidR="006703A2" w:rsidRPr="00C47F2F" w:rsidRDefault="006703A2" w:rsidP="000E00A3">
            <w:pPr>
              <w:pStyle w:val="Table"/>
              <w:rPr>
                <w:noProof/>
                <w:sz w:val="20"/>
                <w:szCs w:val="20"/>
              </w:rPr>
            </w:pPr>
            <w:r w:rsidRPr="00C47F2F">
              <w:rPr>
                <w:noProof/>
                <w:sz w:val="20"/>
                <w:szCs w:val="20"/>
              </w:rPr>
              <w:t>3.80E-04</w:t>
            </w:r>
          </w:p>
        </w:tc>
        <w:tc>
          <w:tcPr>
            <w:tcW w:w="1008" w:type="dxa"/>
            <w:shd w:val="clear" w:color="auto" w:fill="auto"/>
            <w:noWrap/>
            <w:vAlign w:val="center"/>
          </w:tcPr>
          <w:p w14:paraId="247BB868" w14:textId="77777777" w:rsidR="006703A2" w:rsidRPr="00C47F2F" w:rsidRDefault="006703A2" w:rsidP="000E00A3">
            <w:pPr>
              <w:pStyle w:val="Table"/>
              <w:rPr>
                <w:noProof/>
                <w:sz w:val="20"/>
                <w:szCs w:val="20"/>
              </w:rPr>
            </w:pPr>
            <w:r w:rsidRPr="00C47F2F">
              <w:rPr>
                <w:noProof/>
                <w:sz w:val="20"/>
                <w:szCs w:val="20"/>
              </w:rPr>
              <w:t>3.80E-04</w:t>
            </w:r>
          </w:p>
        </w:tc>
        <w:tc>
          <w:tcPr>
            <w:tcW w:w="1005" w:type="dxa"/>
            <w:shd w:val="clear" w:color="auto" w:fill="auto"/>
            <w:noWrap/>
            <w:vAlign w:val="center"/>
          </w:tcPr>
          <w:p w14:paraId="395E38EF" w14:textId="77777777" w:rsidR="006703A2" w:rsidRPr="00C47F2F" w:rsidRDefault="006703A2" w:rsidP="000E00A3">
            <w:pPr>
              <w:pStyle w:val="Table"/>
              <w:rPr>
                <w:noProof/>
                <w:sz w:val="20"/>
                <w:szCs w:val="20"/>
              </w:rPr>
            </w:pPr>
            <w:r w:rsidRPr="00C47F2F">
              <w:rPr>
                <w:noProof/>
                <w:sz w:val="20"/>
                <w:szCs w:val="20"/>
              </w:rPr>
              <w:t>3.80E-04</w:t>
            </w:r>
          </w:p>
        </w:tc>
      </w:tr>
      <w:tr w:rsidR="006703A2" w:rsidRPr="00972C81" w14:paraId="67DB3890" w14:textId="77777777" w:rsidTr="000E00A3">
        <w:trPr>
          <w:trHeight w:val="340"/>
        </w:trPr>
        <w:tc>
          <w:tcPr>
            <w:tcW w:w="2985" w:type="dxa"/>
            <w:tcBorders>
              <w:bottom w:val="single" w:sz="4" w:space="0" w:color="auto"/>
            </w:tcBorders>
            <w:shd w:val="clear" w:color="auto" w:fill="auto"/>
            <w:noWrap/>
            <w:vAlign w:val="center"/>
          </w:tcPr>
          <w:p w14:paraId="18731925" w14:textId="2A70D612" w:rsidR="006703A2" w:rsidRPr="006703A2" w:rsidRDefault="006703A2" w:rsidP="000E00A3">
            <w:pPr>
              <w:pStyle w:val="Table"/>
              <w:rPr>
                <w:noProof/>
                <w:sz w:val="20"/>
                <w:szCs w:val="22"/>
              </w:rPr>
            </w:pPr>
            <w:r w:rsidRPr="006703A2">
              <w:rPr>
                <w:noProof/>
                <w:sz w:val="20"/>
                <w:szCs w:val="22"/>
              </w:rPr>
              <w:t>Ovaries to Blood</w:t>
            </w:r>
          </w:p>
        </w:tc>
        <w:tc>
          <w:tcPr>
            <w:tcW w:w="1007" w:type="dxa"/>
            <w:tcBorders>
              <w:bottom w:val="single" w:sz="4" w:space="0" w:color="auto"/>
            </w:tcBorders>
            <w:shd w:val="clear" w:color="auto" w:fill="auto"/>
            <w:noWrap/>
            <w:vAlign w:val="center"/>
          </w:tcPr>
          <w:p w14:paraId="1298720B" w14:textId="77777777" w:rsidR="006703A2" w:rsidRPr="00C47F2F" w:rsidRDefault="006703A2" w:rsidP="000E00A3">
            <w:pPr>
              <w:pStyle w:val="Table"/>
              <w:rPr>
                <w:noProof/>
                <w:sz w:val="20"/>
                <w:szCs w:val="20"/>
              </w:rPr>
            </w:pPr>
            <w:r w:rsidRPr="00C47F2F">
              <w:rPr>
                <w:noProof/>
                <w:sz w:val="20"/>
                <w:szCs w:val="20"/>
              </w:rPr>
              <w:t>3.80E-04</w:t>
            </w:r>
          </w:p>
        </w:tc>
        <w:tc>
          <w:tcPr>
            <w:tcW w:w="1007" w:type="dxa"/>
            <w:tcBorders>
              <w:bottom w:val="single" w:sz="4" w:space="0" w:color="auto"/>
            </w:tcBorders>
            <w:shd w:val="clear" w:color="auto" w:fill="auto"/>
            <w:noWrap/>
            <w:vAlign w:val="center"/>
          </w:tcPr>
          <w:p w14:paraId="7D5BBC0D" w14:textId="77777777" w:rsidR="006703A2" w:rsidRPr="00C47F2F" w:rsidRDefault="006703A2" w:rsidP="000E00A3">
            <w:pPr>
              <w:pStyle w:val="Table"/>
              <w:rPr>
                <w:noProof/>
                <w:sz w:val="20"/>
                <w:szCs w:val="20"/>
              </w:rPr>
            </w:pPr>
            <w:r w:rsidRPr="00C47F2F">
              <w:rPr>
                <w:noProof/>
                <w:sz w:val="20"/>
                <w:szCs w:val="20"/>
              </w:rPr>
              <w:t>3.80E-04</w:t>
            </w:r>
          </w:p>
        </w:tc>
        <w:tc>
          <w:tcPr>
            <w:tcW w:w="1007" w:type="dxa"/>
            <w:tcBorders>
              <w:bottom w:val="single" w:sz="4" w:space="0" w:color="auto"/>
            </w:tcBorders>
            <w:shd w:val="clear" w:color="auto" w:fill="auto"/>
            <w:noWrap/>
            <w:vAlign w:val="center"/>
          </w:tcPr>
          <w:p w14:paraId="434A376F" w14:textId="77777777" w:rsidR="006703A2" w:rsidRPr="00C47F2F" w:rsidRDefault="006703A2" w:rsidP="000E00A3">
            <w:pPr>
              <w:pStyle w:val="Table"/>
              <w:rPr>
                <w:noProof/>
                <w:sz w:val="20"/>
                <w:szCs w:val="20"/>
              </w:rPr>
            </w:pPr>
            <w:r w:rsidRPr="00C47F2F">
              <w:rPr>
                <w:noProof/>
                <w:sz w:val="20"/>
                <w:szCs w:val="20"/>
              </w:rPr>
              <w:t>3.80E-04</w:t>
            </w:r>
          </w:p>
        </w:tc>
        <w:tc>
          <w:tcPr>
            <w:tcW w:w="1008" w:type="dxa"/>
            <w:tcBorders>
              <w:bottom w:val="single" w:sz="4" w:space="0" w:color="auto"/>
            </w:tcBorders>
            <w:shd w:val="clear" w:color="auto" w:fill="auto"/>
            <w:noWrap/>
            <w:vAlign w:val="center"/>
          </w:tcPr>
          <w:p w14:paraId="113D68C8" w14:textId="77777777" w:rsidR="006703A2" w:rsidRPr="00C47F2F" w:rsidRDefault="006703A2" w:rsidP="000E00A3">
            <w:pPr>
              <w:pStyle w:val="Table"/>
              <w:rPr>
                <w:noProof/>
                <w:sz w:val="20"/>
                <w:szCs w:val="20"/>
              </w:rPr>
            </w:pPr>
            <w:r w:rsidRPr="00C47F2F">
              <w:rPr>
                <w:noProof/>
                <w:sz w:val="20"/>
                <w:szCs w:val="20"/>
              </w:rPr>
              <w:t>3.80E-04</w:t>
            </w:r>
          </w:p>
        </w:tc>
        <w:tc>
          <w:tcPr>
            <w:tcW w:w="1008" w:type="dxa"/>
            <w:tcBorders>
              <w:bottom w:val="single" w:sz="4" w:space="0" w:color="auto"/>
            </w:tcBorders>
            <w:shd w:val="clear" w:color="auto" w:fill="auto"/>
            <w:noWrap/>
            <w:vAlign w:val="center"/>
          </w:tcPr>
          <w:p w14:paraId="7BE970C2" w14:textId="77777777" w:rsidR="006703A2" w:rsidRPr="00C47F2F" w:rsidRDefault="006703A2" w:rsidP="000E00A3">
            <w:pPr>
              <w:pStyle w:val="Table"/>
              <w:rPr>
                <w:noProof/>
                <w:sz w:val="20"/>
                <w:szCs w:val="20"/>
              </w:rPr>
            </w:pPr>
            <w:r w:rsidRPr="00C47F2F">
              <w:rPr>
                <w:noProof/>
                <w:sz w:val="20"/>
                <w:szCs w:val="20"/>
              </w:rPr>
              <w:t>3.80E-04</w:t>
            </w:r>
          </w:p>
        </w:tc>
        <w:tc>
          <w:tcPr>
            <w:tcW w:w="1005" w:type="dxa"/>
            <w:tcBorders>
              <w:bottom w:val="single" w:sz="4" w:space="0" w:color="auto"/>
            </w:tcBorders>
            <w:shd w:val="clear" w:color="auto" w:fill="auto"/>
            <w:noWrap/>
            <w:vAlign w:val="center"/>
          </w:tcPr>
          <w:p w14:paraId="4597B3D8" w14:textId="77777777" w:rsidR="006703A2" w:rsidRPr="00C47F2F" w:rsidRDefault="006703A2" w:rsidP="000E00A3">
            <w:pPr>
              <w:pStyle w:val="Table"/>
              <w:rPr>
                <w:noProof/>
                <w:sz w:val="20"/>
                <w:szCs w:val="20"/>
              </w:rPr>
            </w:pPr>
            <w:r w:rsidRPr="00C47F2F">
              <w:rPr>
                <w:noProof/>
                <w:sz w:val="20"/>
                <w:szCs w:val="20"/>
              </w:rPr>
              <w:t>3.80E-04</w:t>
            </w:r>
          </w:p>
        </w:tc>
      </w:tr>
    </w:tbl>
    <w:p w14:paraId="55AEDD1B" w14:textId="77777777" w:rsidR="006703A2" w:rsidRPr="000E00A3" w:rsidRDefault="006703A2" w:rsidP="006703A2">
      <w:pPr>
        <w:pStyle w:val="MainTextPreference"/>
        <w:rPr>
          <w:noProof/>
          <w:sz w:val="20"/>
          <w:lang w:val="fr-FR"/>
        </w:rPr>
      </w:pPr>
      <w:r w:rsidRPr="000E00A3">
        <w:rPr>
          <w:noProof/>
          <w:sz w:val="20"/>
          <w:vertAlign w:val="superscript"/>
          <w:lang w:val="fr-FR"/>
        </w:rPr>
        <w:t>a</w:t>
      </w:r>
      <w:r w:rsidRPr="000E00A3">
        <w:rPr>
          <w:noProof/>
          <w:sz w:val="20"/>
          <w:lang w:val="fr-FR"/>
        </w:rPr>
        <w:t>Cort = Cortical, Trab = Trabecular, SI = Small intestine, cont=content, surf=surface, vol = volume</w:t>
      </w:r>
    </w:p>
    <w:p w14:paraId="256BB567" w14:textId="36014FBF" w:rsidR="004F2A24" w:rsidRPr="00972C81" w:rsidRDefault="004F2A24" w:rsidP="006703A2">
      <w:pPr>
        <w:pStyle w:val="OIRTitre4"/>
      </w:pPr>
      <w:r w:rsidRPr="00972C81">
        <w:t>Treatment of radioactive progeny</w:t>
      </w:r>
    </w:p>
    <w:p w14:paraId="7211AD3D" w14:textId="350A1D5A" w:rsidR="00F414E6" w:rsidRPr="00972C81" w:rsidRDefault="006044EE" w:rsidP="001C4A92">
      <w:pPr>
        <w:pStyle w:val="Annalstext"/>
        <w:rPr>
          <w:noProof/>
        </w:rPr>
      </w:pPr>
      <w:r w:rsidRPr="00972C81">
        <w:rPr>
          <w:rFonts w:eastAsia="Calibri"/>
          <w:noProof/>
        </w:rPr>
        <w:t xml:space="preserve">The treatment of </w:t>
      </w:r>
      <w:r w:rsidRPr="00972C81">
        <w:rPr>
          <w:noProof/>
        </w:rPr>
        <w:t>radioactive</w:t>
      </w:r>
      <w:r w:rsidRPr="00972C81">
        <w:rPr>
          <w:rFonts w:eastAsia="Calibri"/>
          <w:noProof/>
        </w:rPr>
        <w:t xml:space="preserve"> progeny produced in systemic compartments after intake of a radioisotope of californium is described in Section 18.2.4. of </w:t>
      </w:r>
      <w:r w:rsidR="00F414E6" w:rsidRPr="00972C81">
        <w:rPr>
          <w:i/>
          <w:noProof/>
        </w:rPr>
        <w:t>Publication 141</w:t>
      </w:r>
      <w:r w:rsidR="00F414E6" w:rsidRPr="00972C81">
        <w:rPr>
          <w:noProof/>
        </w:rPr>
        <w:t xml:space="preserve"> </w:t>
      </w:r>
      <w:r w:rsidR="002D63D9" w:rsidRPr="00972C81">
        <w:rPr>
          <w:noProof/>
        </w:rPr>
        <w:fldChar w:fldCharType="begin"/>
      </w:r>
      <w:r w:rsidR="00F4369C" w:rsidRPr="00972C81">
        <w:rPr>
          <w:noProof/>
        </w:rPr>
        <w:instrText xml:space="preserve"> ADDIN ZOTERO_ITEM CSL_CITATION {"citationID":"a1m1gmm1aag","properties":{"formattedCitation":"(ICRP,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2D63D9" w:rsidRPr="00972C81">
        <w:rPr>
          <w:noProof/>
        </w:rPr>
        <w:fldChar w:fldCharType="separate"/>
      </w:r>
      <w:r w:rsidR="00F4369C" w:rsidRPr="00972C81">
        <w:rPr>
          <w:noProof/>
          <w:szCs w:val="24"/>
        </w:rPr>
        <w:t>(ICRP, 2019)</w:t>
      </w:r>
      <w:r w:rsidR="002D63D9" w:rsidRPr="00972C81">
        <w:rPr>
          <w:noProof/>
        </w:rPr>
        <w:fldChar w:fldCharType="end"/>
      </w:r>
      <w:r w:rsidR="00F414E6" w:rsidRPr="00972C81">
        <w:rPr>
          <w:noProof/>
        </w:rPr>
        <w:t xml:space="preserve">. </w:t>
      </w:r>
    </w:p>
    <w:p w14:paraId="22714E1B" w14:textId="2B2FE59D" w:rsidR="004836EE" w:rsidRPr="00972C81" w:rsidRDefault="00F414E6" w:rsidP="00E81109">
      <w:pPr>
        <w:pStyle w:val="2"/>
        <w:rPr>
          <w:noProof/>
          <w:lang w:val="en-GB"/>
        </w:rPr>
      </w:pPr>
      <w:bookmarkStart w:id="394" w:name="_Toc162630132"/>
      <w:r w:rsidRPr="00972C81">
        <w:rPr>
          <w:rFonts w:ascii="Times Roman" w:hAnsi="Times Roman"/>
          <w:noProof/>
          <w:color w:val="000000"/>
          <w:lang w:val="en-GB"/>
        </w:rPr>
        <w:lastRenderedPageBreak/>
        <w:t>D</w:t>
      </w:r>
      <w:r w:rsidR="004836EE" w:rsidRPr="00972C81">
        <w:rPr>
          <w:noProof/>
          <w:lang w:val="en-GB"/>
        </w:rPr>
        <w:t>osimetric data for californium</w:t>
      </w:r>
      <w:bookmarkEnd w:id="394"/>
    </w:p>
    <w:p w14:paraId="58BB1916" w14:textId="175689B4" w:rsidR="00ED6D36" w:rsidRPr="00972C81" w:rsidRDefault="00ED6D36" w:rsidP="00ED6D36">
      <w:pPr>
        <w:pStyle w:val="ab"/>
        <w:rPr>
          <w:noProof/>
          <w:sz w:val="24"/>
          <w:szCs w:val="24"/>
        </w:rPr>
      </w:pPr>
      <w:r w:rsidRPr="00972C81">
        <w:rPr>
          <w:noProof/>
          <w:sz w:val="24"/>
          <w:szCs w:val="24"/>
        </w:rPr>
        <w:t>Table 26.3.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249</w:t>
      </w:r>
      <w:r w:rsidRPr="00972C81">
        <w:rPr>
          <w:noProof/>
          <w:sz w:val="24"/>
          <w:szCs w:val="24"/>
        </w:rPr>
        <w:t>Cf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ED6D36" w:rsidRPr="00A3213E" w14:paraId="59A40C57" w14:textId="77777777" w:rsidTr="000E00A3">
        <w:trPr>
          <w:trHeight w:val="340"/>
        </w:trPr>
        <w:tc>
          <w:tcPr>
            <w:tcW w:w="2087" w:type="pct"/>
            <w:vMerge w:val="restart"/>
            <w:tcBorders>
              <w:top w:val="single" w:sz="4" w:space="0" w:color="auto"/>
              <w:left w:val="nil"/>
              <w:bottom w:val="single" w:sz="4" w:space="0" w:color="auto"/>
              <w:right w:val="nil"/>
            </w:tcBorders>
            <w:vAlign w:val="bottom"/>
            <w:hideMark/>
          </w:tcPr>
          <w:p w14:paraId="50D6A2DD" w14:textId="77777777" w:rsidR="00FA2D35" w:rsidRPr="00C47F2F" w:rsidRDefault="00ED6D36" w:rsidP="00C47F2F">
            <w:pPr>
              <w:pStyle w:val="a5"/>
              <w:tabs>
                <w:tab w:val="clear" w:pos="4153"/>
                <w:tab w:val="clear" w:pos="8306"/>
              </w:tabs>
              <w:rPr>
                <w:noProof/>
                <w:sz w:val="22"/>
                <w:szCs w:val="22"/>
              </w:rPr>
            </w:pPr>
            <w:r w:rsidRPr="00C47F2F">
              <w:rPr>
                <w:noProof/>
                <w:sz w:val="22"/>
                <w:szCs w:val="22"/>
              </w:rPr>
              <w:t>Inhaled particulate materials</w:t>
            </w:r>
          </w:p>
          <w:p w14:paraId="49E29D88" w14:textId="62ECCC29" w:rsidR="00ED6D36" w:rsidRPr="00FA2D35" w:rsidRDefault="00ED6D36" w:rsidP="00C47F2F">
            <w:pPr>
              <w:pStyle w:val="a5"/>
              <w:tabs>
                <w:tab w:val="clear" w:pos="4153"/>
                <w:tab w:val="clear" w:pos="8306"/>
              </w:tabs>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15C24A2B" w14:textId="77777777" w:rsidR="00ED6D36" w:rsidRPr="00C47F2F" w:rsidRDefault="00ED6D36" w:rsidP="000E00A3">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ED6D36" w:rsidRPr="00972C81" w14:paraId="5C482925" w14:textId="77777777" w:rsidTr="000E00A3">
        <w:trPr>
          <w:trHeight w:val="340"/>
        </w:trPr>
        <w:tc>
          <w:tcPr>
            <w:tcW w:w="2087" w:type="pct"/>
            <w:vMerge/>
            <w:tcBorders>
              <w:top w:val="single" w:sz="4" w:space="0" w:color="auto"/>
              <w:left w:val="nil"/>
              <w:bottom w:val="single" w:sz="4" w:space="0" w:color="auto"/>
              <w:right w:val="nil"/>
            </w:tcBorders>
            <w:vAlign w:val="center"/>
            <w:hideMark/>
          </w:tcPr>
          <w:p w14:paraId="057A52B4" w14:textId="77777777" w:rsidR="00ED6D36" w:rsidRPr="00FA2D35" w:rsidRDefault="00ED6D36">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40C388D9" w14:textId="25C19613" w:rsidR="00ED6D36" w:rsidRPr="00C47F2F" w:rsidRDefault="00ED6D36" w:rsidP="000E00A3">
            <w:pPr>
              <w:jc w:val="left"/>
              <w:rPr>
                <w:noProof/>
                <w:sz w:val="22"/>
                <w:szCs w:val="22"/>
                <w:lang w:eastAsia="ko-KR"/>
              </w:rPr>
            </w:pPr>
            <w:r w:rsidRPr="00C47F2F">
              <w:rPr>
                <w:noProof/>
                <w:sz w:val="22"/>
                <w:szCs w:val="22"/>
              </w:rPr>
              <w:t>3</w:t>
            </w:r>
            <w:r w:rsidR="00FA2D35">
              <w:rPr>
                <w:rFonts w:hint="eastAsia"/>
                <w:noProof/>
                <w:sz w:val="22"/>
                <w:szCs w:val="22"/>
                <w:lang w:eastAsia="ko-KR"/>
              </w:rPr>
              <w:t xml:space="preserve"> </w:t>
            </w:r>
            <w:r w:rsidRPr="00C47F2F">
              <w:rPr>
                <w:noProof/>
                <w:sz w:val="22"/>
                <w:szCs w:val="22"/>
              </w:rPr>
              <w:t>m</w:t>
            </w:r>
            <w:r w:rsidR="000E00A3">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2865D549" w14:textId="363CFAD6" w:rsidR="00ED6D36" w:rsidRPr="00C47F2F" w:rsidRDefault="00ED6D36" w:rsidP="000E00A3">
            <w:pPr>
              <w:jc w:val="left"/>
              <w:rPr>
                <w:noProof/>
                <w:sz w:val="22"/>
                <w:szCs w:val="22"/>
              </w:rPr>
            </w:pPr>
            <w:r w:rsidRPr="00C47F2F">
              <w:rPr>
                <w:noProof/>
                <w:sz w:val="22"/>
                <w:szCs w:val="22"/>
              </w:rPr>
              <w:t>1</w:t>
            </w:r>
            <w:r w:rsidR="00FA2D35">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65B40CF0" w14:textId="258A059C" w:rsidR="00ED6D36" w:rsidRPr="00C47F2F" w:rsidRDefault="00ED6D36" w:rsidP="000E00A3">
            <w:pPr>
              <w:jc w:val="left"/>
              <w:rPr>
                <w:noProof/>
                <w:sz w:val="22"/>
                <w:szCs w:val="22"/>
              </w:rPr>
            </w:pPr>
            <w:r w:rsidRPr="00C47F2F">
              <w:rPr>
                <w:noProof/>
                <w:sz w:val="22"/>
                <w:szCs w:val="22"/>
              </w:rPr>
              <w:t>5</w:t>
            </w:r>
            <w:r w:rsidR="00FA2D35">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47612E9A" w14:textId="04CE52B2" w:rsidR="00ED6D36" w:rsidRPr="00C47F2F" w:rsidRDefault="00ED6D36" w:rsidP="000E00A3">
            <w:pPr>
              <w:jc w:val="left"/>
              <w:rPr>
                <w:noProof/>
                <w:sz w:val="22"/>
                <w:szCs w:val="22"/>
              </w:rPr>
            </w:pPr>
            <w:r w:rsidRPr="00C47F2F">
              <w:rPr>
                <w:noProof/>
                <w:sz w:val="22"/>
                <w:szCs w:val="22"/>
              </w:rPr>
              <w:t>10</w:t>
            </w:r>
            <w:r w:rsidR="00FA2D35">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7645947F" w14:textId="7CEF7162" w:rsidR="00ED6D36" w:rsidRPr="00C47F2F" w:rsidRDefault="00ED6D36" w:rsidP="000E00A3">
            <w:pPr>
              <w:jc w:val="left"/>
              <w:rPr>
                <w:noProof/>
                <w:sz w:val="22"/>
                <w:szCs w:val="22"/>
              </w:rPr>
            </w:pPr>
            <w:r w:rsidRPr="00C47F2F">
              <w:rPr>
                <w:noProof/>
                <w:sz w:val="22"/>
                <w:szCs w:val="22"/>
              </w:rPr>
              <w:t>15</w:t>
            </w:r>
            <w:r w:rsidR="00FA2D35">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665EC212" w14:textId="77777777" w:rsidR="00ED6D36" w:rsidRPr="00C47F2F" w:rsidRDefault="00ED6D36" w:rsidP="000E00A3">
            <w:pPr>
              <w:jc w:val="left"/>
              <w:rPr>
                <w:noProof/>
                <w:sz w:val="22"/>
                <w:szCs w:val="22"/>
              </w:rPr>
            </w:pPr>
            <w:r w:rsidRPr="00C47F2F">
              <w:rPr>
                <w:noProof/>
                <w:sz w:val="22"/>
                <w:szCs w:val="22"/>
              </w:rPr>
              <w:t>Adult</w:t>
            </w:r>
          </w:p>
        </w:tc>
      </w:tr>
      <w:tr w:rsidR="00ED6D36" w:rsidRPr="00972C81" w14:paraId="5BD2219F" w14:textId="77777777" w:rsidTr="000E00A3">
        <w:trPr>
          <w:trHeight w:val="340"/>
        </w:trPr>
        <w:tc>
          <w:tcPr>
            <w:tcW w:w="2087" w:type="pct"/>
            <w:tcBorders>
              <w:top w:val="single" w:sz="4" w:space="0" w:color="auto"/>
              <w:left w:val="nil"/>
              <w:bottom w:val="nil"/>
              <w:right w:val="nil"/>
            </w:tcBorders>
            <w:vAlign w:val="center"/>
            <w:hideMark/>
          </w:tcPr>
          <w:p w14:paraId="575F4CE7" w14:textId="77777777" w:rsidR="00ED6D36" w:rsidRPr="00C47F2F" w:rsidRDefault="00ED6D36" w:rsidP="000E00A3">
            <w:pPr>
              <w:jc w:val="left"/>
              <w:rPr>
                <w:noProof/>
                <w:color w:val="000000"/>
                <w:sz w:val="22"/>
                <w:szCs w:val="22"/>
              </w:rPr>
            </w:pPr>
            <w:r w:rsidRPr="00C47F2F">
              <w:rPr>
                <w:noProof/>
                <w:color w:val="000000"/>
                <w:sz w:val="22"/>
                <w:szCs w:val="22"/>
              </w:rPr>
              <w:t>Type F, chloride</w:t>
            </w:r>
          </w:p>
        </w:tc>
        <w:tc>
          <w:tcPr>
            <w:tcW w:w="485" w:type="pct"/>
            <w:tcBorders>
              <w:top w:val="single" w:sz="4" w:space="0" w:color="auto"/>
              <w:left w:val="nil"/>
              <w:bottom w:val="nil"/>
              <w:right w:val="nil"/>
            </w:tcBorders>
            <w:vAlign w:val="center"/>
            <w:hideMark/>
          </w:tcPr>
          <w:p w14:paraId="7E16194C"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5.0E-05</w:t>
            </w:r>
          </w:p>
        </w:tc>
        <w:tc>
          <w:tcPr>
            <w:tcW w:w="485" w:type="pct"/>
            <w:tcBorders>
              <w:top w:val="single" w:sz="4" w:space="0" w:color="auto"/>
              <w:left w:val="nil"/>
              <w:bottom w:val="nil"/>
              <w:right w:val="nil"/>
            </w:tcBorders>
            <w:vAlign w:val="center"/>
            <w:hideMark/>
          </w:tcPr>
          <w:p w14:paraId="30D58194"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4.5E-05</w:t>
            </w:r>
          </w:p>
        </w:tc>
        <w:tc>
          <w:tcPr>
            <w:tcW w:w="485" w:type="pct"/>
            <w:tcBorders>
              <w:top w:val="single" w:sz="4" w:space="0" w:color="auto"/>
              <w:left w:val="nil"/>
              <w:bottom w:val="nil"/>
              <w:right w:val="nil"/>
            </w:tcBorders>
            <w:vAlign w:val="center"/>
            <w:hideMark/>
          </w:tcPr>
          <w:p w14:paraId="09D8E61B"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2.8E-05</w:t>
            </w:r>
          </w:p>
        </w:tc>
        <w:tc>
          <w:tcPr>
            <w:tcW w:w="485" w:type="pct"/>
            <w:tcBorders>
              <w:top w:val="single" w:sz="4" w:space="0" w:color="auto"/>
              <w:left w:val="nil"/>
              <w:bottom w:val="nil"/>
              <w:right w:val="nil"/>
            </w:tcBorders>
            <w:vAlign w:val="center"/>
            <w:hideMark/>
          </w:tcPr>
          <w:p w14:paraId="61005D64"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2.0E-05</w:t>
            </w:r>
          </w:p>
        </w:tc>
        <w:tc>
          <w:tcPr>
            <w:tcW w:w="485" w:type="pct"/>
            <w:tcBorders>
              <w:top w:val="single" w:sz="4" w:space="0" w:color="auto"/>
              <w:left w:val="nil"/>
              <w:bottom w:val="nil"/>
              <w:right w:val="nil"/>
            </w:tcBorders>
            <w:vAlign w:val="center"/>
            <w:hideMark/>
          </w:tcPr>
          <w:p w14:paraId="660BBF62"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2.0E-05</w:t>
            </w:r>
          </w:p>
        </w:tc>
        <w:tc>
          <w:tcPr>
            <w:tcW w:w="485" w:type="pct"/>
            <w:tcBorders>
              <w:top w:val="single" w:sz="4" w:space="0" w:color="auto"/>
              <w:left w:val="nil"/>
              <w:bottom w:val="nil"/>
              <w:right w:val="nil"/>
            </w:tcBorders>
            <w:vAlign w:val="center"/>
            <w:hideMark/>
          </w:tcPr>
          <w:p w14:paraId="6BBA0EAE"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1.9E-05</w:t>
            </w:r>
          </w:p>
        </w:tc>
      </w:tr>
      <w:tr w:rsidR="00ED6D36" w:rsidRPr="00972C81" w14:paraId="5FC58E78" w14:textId="77777777" w:rsidTr="000E00A3">
        <w:trPr>
          <w:trHeight w:val="340"/>
        </w:trPr>
        <w:tc>
          <w:tcPr>
            <w:tcW w:w="2087" w:type="pct"/>
            <w:tcBorders>
              <w:top w:val="nil"/>
              <w:left w:val="nil"/>
              <w:bottom w:val="nil"/>
              <w:right w:val="nil"/>
            </w:tcBorders>
            <w:vAlign w:val="center"/>
            <w:hideMark/>
          </w:tcPr>
          <w:p w14:paraId="2760A6B5" w14:textId="77777777" w:rsidR="00ED6D36" w:rsidRPr="00C47F2F" w:rsidRDefault="00ED6D36" w:rsidP="000E00A3">
            <w:pPr>
              <w:jc w:val="left"/>
              <w:rPr>
                <w:rFonts w:eastAsiaTheme="minorHAnsi"/>
                <w:noProof/>
                <w:sz w:val="22"/>
                <w:szCs w:val="22"/>
              </w:rPr>
            </w:pPr>
            <w:r w:rsidRPr="00C47F2F">
              <w:rPr>
                <w:noProof/>
                <w:sz w:val="22"/>
                <w:szCs w:val="22"/>
              </w:rPr>
              <w:t xml:space="preserve">Type M, </w:t>
            </w:r>
            <w:r w:rsidRPr="00C47F2F">
              <w:rPr>
                <w:rFonts w:eastAsia="Times New Roman"/>
                <w:noProof/>
                <w:color w:val="000000"/>
                <w:sz w:val="22"/>
                <w:szCs w:val="22"/>
                <w:lang w:eastAsia="en-GB"/>
              </w:rPr>
              <w:t>oxide</w:t>
            </w:r>
          </w:p>
        </w:tc>
        <w:tc>
          <w:tcPr>
            <w:tcW w:w="485" w:type="pct"/>
            <w:tcBorders>
              <w:top w:val="nil"/>
              <w:left w:val="nil"/>
              <w:bottom w:val="nil"/>
              <w:right w:val="nil"/>
            </w:tcBorders>
            <w:vAlign w:val="center"/>
            <w:hideMark/>
          </w:tcPr>
          <w:p w14:paraId="41E82E58"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4.0E-05</w:t>
            </w:r>
          </w:p>
        </w:tc>
        <w:tc>
          <w:tcPr>
            <w:tcW w:w="485" w:type="pct"/>
            <w:tcBorders>
              <w:top w:val="nil"/>
              <w:left w:val="nil"/>
              <w:bottom w:val="nil"/>
              <w:right w:val="nil"/>
            </w:tcBorders>
            <w:vAlign w:val="center"/>
            <w:hideMark/>
          </w:tcPr>
          <w:p w14:paraId="0346AF7A"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3.7E-05</w:t>
            </w:r>
          </w:p>
        </w:tc>
        <w:tc>
          <w:tcPr>
            <w:tcW w:w="485" w:type="pct"/>
            <w:tcBorders>
              <w:top w:val="nil"/>
              <w:left w:val="nil"/>
              <w:bottom w:val="nil"/>
              <w:right w:val="nil"/>
            </w:tcBorders>
            <w:vAlign w:val="center"/>
            <w:hideMark/>
          </w:tcPr>
          <w:p w14:paraId="49C69610"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2.3E-05</w:t>
            </w:r>
          </w:p>
        </w:tc>
        <w:tc>
          <w:tcPr>
            <w:tcW w:w="485" w:type="pct"/>
            <w:tcBorders>
              <w:top w:val="nil"/>
              <w:left w:val="nil"/>
              <w:bottom w:val="nil"/>
              <w:right w:val="nil"/>
            </w:tcBorders>
            <w:vAlign w:val="center"/>
            <w:hideMark/>
          </w:tcPr>
          <w:p w14:paraId="6277CD3D"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1.6E-05</w:t>
            </w:r>
          </w:p>
        </w:tc>
        <w:tc>
          <w:tcPr>
            <w:tcW w:w="485" w:type="pct"/>
            <w:tcBorders>
              <w:top w:val="nil"/>
              <w:left w:val="nil"/>
              <w:bottom w:val="nil"/>
              <w:right w:val="nil"/>
            </w:tcBorders>
            <w:vAlign w:val="center"/>
            <w:hideMark/>
          </w:tcPr>
          <w:p w14:paraId="29097D72"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1.4E-05</w:t>
            </w:r>
          </w:p>
        </w:tc>
        <w:tc>
          <w:tcPr>
            <w:tcW w:w="485" w:type="pct"/>
            <w:tcBorders>
              <w:top w:val="nil"/>
              <w:left w:val="nil"/>
              <w:bottom w:val="nil"/>
              <w:right w:val="nil"/>
            </w:tcBorders>
            <w:vAlign w:val="center"/>
            <w:hideMark/>
          </w:tcPr>
          <w:p w14:paraId="6C1E418C"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1.4E-05</w:t>
            </w:r>
          </w:p>
        </w:tc>
      </w:tr>
      <w:tr w:rsidR="00ED6D36" w:rsidRPr="00972C81" w14:paraId="4BC9AD4A" w14:textId="77777777" w:rsidTr="000E00A3">
        <w:trPr>
          <w:trHeight w:val="340"/>
        </w:trPr>
        <w:tc>
          <w:tcPr>
            <w:tcW w:w="2087" w:type="pct"/>
            <w:tcBorders>
              <w:top w:val="nil"/>
              <w:left w:val="nil"/>
              <w:bottom w:val="single" w:sz="4" w:space="0" w:color="auto"/>
              <w:right w:val="nil"/>
            </w:tcBorders>
            <w:vAlign w:val="center"/>
            <w:hideMark/>
          </w:tcPr>
          <w:p w14:paraId="38F7801D" w14:textId="77777777" w:rsidR="00ED6D36" w:rsidRPr="00C47F2F" w:rsidRDefault="00ED6D36" w:rsidP="000E00A3">
            <w:pPr>
              <w:jc w:val="left"/>
              <w:rPr>
                <w:rFonts w:eastAsiaTheme="minorHAnsi"/>
                <w:noProof/>
                <w:sz w:val="22"/>
                <w:szCs w:val="22"/>
              </w:rPr>
            </w:pPr>
            <w:r w:rsidRPr="00C47F2F">
              <w:rPr>
                <w:noProof/>
                <w:sz w:val="22"/>
                <w:szCs w:val="22"/>
              </w:rPr>
              <w:t>Type S</w:t>
            </w:r>
          </w:p>
        </w:tc>
        <w:tc>
          <w:tcPr>
            <w:tcW w:w="485" w:type="pct"/>
            <w:tcBorders>
              <w:top w:val="nil"/>
              <w:left w:val="nil"/>
              <w:bottom w:val="single" w:sz="4" w:space="0" w:color="auto"/>
              <w:right w:val="nil"/>
            </w:tcBorders>
            <w:vAlign w:val="center"/>
            <w:hideMark/>
          </w:tcPr>
          <w:p w14:paraId="09FAAF4E"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6.5E-05</w:t>
            </w:r>
          </w:p>
        </w:tc>
        <w:tc>
          <w:tcPr>
            <w:tcW w:w="485" w:type="pct"/>
            <w:tcBorders>
              <w:top w:val="nil"/>
              <w:left w:val="nil"/>
              <w:bottom w:val="single" w:sz="4" w:space="0" w:color="auto"/>
              <w:right w:val="nil"/>
            </w:tcBorders>
            <w:vAlign w:val="center"/>
            <w:hideMark/>
          </w:tcPr>
          <w:p w14:paraId="712403D9"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6.4E-05</w:t>
            </w:r>
          </w:p>
        </w:tc>
        <w:tc>
          <w:tcPr>
            <w:tcW w:w="485" w:type="pct"/>
            <w:tcBorders>
              <w:top w:val="nil"/>
              <w:left w:val="nil"/>
              <w:bottom w:val="single" w:sz="4" w:space="0" w:color="auto"/>
              <w:right w:val="nil"/>
            </w:tcBorders>
            <w:vAlign w:val="center"/>
            <w:hideMark/>
          </w:tcPr>
          <w:p w14:paraId="0DB484BC"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4.6E-05</w:t>
            </w:r>
          </w:p>
        </w:tc>
        <w:tc>
          <w:tcPr>
            <w:tcW w:w="485" w:type="pct"/>
            <w:tcBorders>
              <w:top w:val="nil"/>
              <w:left w:val="nil"/>
              <w:bottom w:val="single" w:sz="4" w:space="0" w:color="auto"/>
              <w:right w:val="nil"/>
            </w:tcBorders>
            <w:vAlign w:val="center"/>
            <w:hideMark/>
          </w:tcPr>
          <w:p w14:paraId="6154DF29"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3.4E-05</w:t>
            </w:r>
          </w:p>
        </w:tc>
        <w:tc>
          <w:tcPr>
            <w:tcW w:w="485" w:type="pct"/>
            <w:tcBorders>
              <w:top w:val="nil"/>
              <w:left w:val="nil"/>
              <w:bottom w:val="single" w:sz="4" w:space="0" w:color="auto"/>
              <w:right w:val="nil"/>
            </w:tcBorders>
            <w:vAlign w:val="center"/>
            <w:hideMark/>
          </w:tcPr>
          <w:p w14:paraId="100210F2"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3.2E-05</w:t>
            </w:r>
          </w:p>
        </w:tc>
        <w:tc>
          <w:tcPr>
            <w:tcW w:w="485" w:type="pct"/>
            <w:tcBorders>
              <w:top w:val="nil"/>
              <w:left w:val="nil"/>
              <w:bottom w:val="single" w:sz="4" w:space="0" w:color="auto"/>
              <w:right w:val="nil"/>
            </w:tcBorders>
            <w:vAlign w:val="center"/>
            <w:hideMark/>
          </w:tcPr>
          <w:p w14:paraId="3A50E0B7"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3.3E-05</w:t>
            </w:r>
          </w:p>
        </w:tc>
      </w:tr>
      <w:tr w:rsidR="00ED6D36" w:rsidRPr="00972C81" w14:paraId="653B9D34" w14:textId="77777777" w:rsidTr="000E00A3">
        <w:trPr>
          <w:trHeight w:val="340"/>
        </w:trPr>
        <w:tc>
          <w:tcPr>
            <w:tcW w:w="2087" w:type="pct"/>
            <w:tcBorders>
              <w:top w:val="single" w:sz="4" w:space="0" w:color="auto"/>
              <w:left w:val="nil"/>
              <w:bottom w:val="single" w:sz="4" w:space="0" w:color="auto"/>
              <w:right w:val="nil"/>
            </w:tcBorders>
          </w:tcPr>
          <w:p w14:paraId="1309BD70" w14:textId="77777777" w:rsidR="00ED6D36" w:rsidRPr="00C47F2F" w:rsidRDefault="00ED6D36" w:rsidP="00C47F2F">
            <w:pPr>
              <w:jc w:val="left"/>
              <w:rPr>
                <w:rFonts w:eastAsiaTheme="minorHAnsi"/>
                <w:noProof/>
                <w:sz w:val="22"/>
                <w:szCs w:val="22"/>
              </w:rPr>
            </w:pPr>
          </w:p>
          <w:p w14:paraId="77B52516" w14:textId="77777777" w:rsidR="00ED6D36" w:rsidRPr="00C47F2F" w:rsidRDefault="00ED6D36"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7B5CAE0E"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2D8E5309"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814552A"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F13FE61"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D12AC13" w14:textId="77777777" w:rsidR="00ED6D36" w:rsidRPr="00C47F2F" w:rsidRDefault="00ED6D36"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606030C3" w14:textId="77777777" w:rsidR="00ED6D36" w:rsidRPr="00C47F2F" w:rsidRDefault="00ED6D36" w:rsidP="00C47F2F">
            <w:pPr>
              <w:jc w:val="left"/>
              <w:rPr>
                <w:rFonts w:eastAsia="Times New Roman"/>
                <w:noProof/>
                <w:color w:val="000000"/>
                <w:sz w:val="22"/>
                <w:szCs w:val="22"/>
              </w:rPr>
            </w:pPr>
          </w:p>
        </w:tc>
      </w:tr>
      <w:tr w:rsidR="00ED6D36" w:rsidRPr="00972C81" w14:paraId="7FAE8848" w14:textId="77777777" w:rsidTr="000E00A3">
        <w:trPr>
          <w:trHeight w:val="340"/>
        </w:trPr>
        <w:tc>
          <w:tcPr>
            <w:tcW w:w="2087" w:type="pct"/>
            <w:tcBorders>
              <w:top w:val="single" w:sz="4" w:space="0" w:color="auto"/>
              <w:left w:val="nil"/>
              <w:bottom w:val="single" w:sz="4" w:space="0" w:color="auto"/>
              <w:right w:val="nil"/>
            </w:tcBorders>
            <w:vAlign w:val="center"/>
            <w:hideMark/>
          </w:tcPr>
          <w:p w14:paraId="3B0AB11A" w14:textId="77777777" w:rsidR="00ED6D36" w:rsidRPr="00C47F2F" w:rsidRDefault="00ED6D36" w:rsidP="000E00A3">
            <w:pPr>
              <w:jc w:val="left"/>
              <w:rPr>
                <w:rFonts w:eastAsiaTheme="minorHAnsi"/>
                <w:noProof/>
                <w:sz w:val="22"/>
                <w:szCs w:val="22"/>
              </w:rPr>
            </w:pPr>
            <w:r w:rsidRPr="00C47F2F">
              <w:rPr>
                <w:noProof/>
                <w:sz w:val="22"/>
                <w:szCs w:val="22"/>
              </w:rPr>
              <w:t>All compounds</w:t>
            </w:r>
          </w:p>
        </w:tc>
        <w:tc>
          <w:tcPr>
            <w:tcW w:w="485" w:type="pct"/>
            <w:tcBorders>
              <w:top w:val="single" w:sz="4" w:space="0" w:color="auto"/>
              <w:left w:val="nil"/>
              <w:bottom w:val="single" w:sz="4" w:space="0" w:color="auto"/>
              <w:right w:val="nil"/>
            </w:tcBorders>
            <w:vAlign w:val="center"/>
            <w:hideMark/>
          </w:tcPr>
          <w:p w14:paraId="24390ACA"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2.0E-06</w:t>
            </w:r>
          </w:p>
        </w:tc>
        <w:tc>
          <w:tcPr>
            <w:tcW w:w="485" w:type="pct"/>
            <w:tcBorders>
              <w:top w:val="single" w:sz="4" w:space="0" w:color="auto"/>
              <w:left w:val="nil"/>
              <w:bottom w:val="single" w:sz="4" w:space="0" w:color="auto"/>
              <w:right w:val="nil"/>
            </w:tcBorders>
            <w:vAlign w:val="center"/>
            <w:hideMark/>
          </w:tcPr>
          <w:p w14:paraId="3B5FA0C7"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1.7E-07</w:t>
            </w:r>
          </w:p>
        </w:tc>
        <w:tc>
          <w:tcPr>
            <w:tcW w:w="485" w:type="pct"/>
            <w:tcBorders>
              <w:top w:val="single" w:sz="4" w:space="0" w:color="auto"/>
              <w:left w:val="nil"/>
              <w:bottom w:val="single" w:sz="4" w:space="0" w:color="auto"/>
              <w:right w:val="nil"/>
            </w:tcBorders>
            <w:vAlign w:val="center"/>
            <w:hideMark/>
          </w:tcPr>
          <w:p w14:paraId="5EA7D160"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9.4E-08</w:t>
            </w:r>
          </w:p>
        </w:tc>
        <w:tc>
          <w:tcPr>
            <w:tcW w:w="485" w:type="pct"/>
            <w:tcBorders>
              <w:top w:val="single" w:sz="4" w:space="0" w:color="auto"/>
              <w:left w:val="nil"/>
              <w:bottom w:val="single" w:sz="4" w:space="0" w:color="auto"/>
              <w:right w:val="nil"/>
            </w:tcBorders>
            <w:vAlign w:val="center"/>
            <w:hideMark/>
          </w:tcPr>
          <w:p w14:paraId="67183CF8"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6.5E-08</w:t>
            </w:r>
          </w:p>
        </w:tc>
        <w:tc>
          <w:tcPr>
            <w:tcW w:w="485" w:type="pct"/>
            <w:tcBorders>
              <w:top w:val="single" w:sz="4" w:space="0" w:color="auto"/>
              <w:left w:val="nil"/>
              <w:bottom w:val="single" w:sz="4" w:space="0" w:color="auto"/>
              <w:right w:val="nil"/>
            </w:tcBorders>
            <w:vAlign w:val="center"/>
            <w:hideMark/>
          </w:tcPr>
          <w:p w14:paraId="27E7E1EB"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5.6E-08</w:t>
            </w:r>
          </w:p>
        </w:tc>
        <w:tc>
          <w:tcPr>
            <w:tcW w:w="485" w:type="pct"/>
            <w:tcBorders>
              <w:top w:val="single" w:sz="4" w:space="0" w:color="auto"/>
              <w:left w:val="nil"/>
              <w:bottom w:val="single" w:sz="4" w:space="0" w:color="auto"/>
              <w:right w:val="nil"/>
            </w:tcBorders>
            <w:vAlign w:val="center"/>
            <w:hideMark/>
          </w:tcPr>
          <w:p w14:paraId="05D2B676" w14:textId="77777777" w:rsidR="00ED6D36" w:rsidRPr="00C47F2F" w:rsidRDefault="00ED6D36" w:rsidP="000E00A3">
            <w:pPr>
              <w:jc w:val="left"/>
              <w:rPr>
                <w:rFonts w:eastAsia="Times New Roman"/>
                <w:noProof/>
                <w:color w:val="000000"/>
                <w:sz w:val="22"/>
                <w:szCs w:val="22"/>
              </w:rPr>
            </w:pPr>
            <w:r w:rsidRPr="00C47F2F">
              <w:rPr>
                <w:rFonts w:eastAsia="Times New Roman"/>
                <w:noProof/>
                <w:color w:val="000000"/>
                <w:sz w:val="22"/>
                <w:szCs w:val="22"/>
              </w:rPr>
              <w:t>5.2E-08</w:t>
            </w:r>
          </w:p>
        </w:tc>
      </w:tr>
    </w:tbl>
    <w:p w14:paraId="0228061D" w14:textId="77777777" w:rsidR="00005A23" w:rsidRPr="00005A23" w:rsidRDefault="00005A23" w:rsidP="00C47F2F">
      <w:pPr>
        <w:pStyle w:val="GlossaryHeadChar"/>
        <w:overflowPunct/>
        <w:autoSpaceDE/>
        <w:autoSpaceDN/>
        <w:adjustRightInd/>
        <w:spacing w:before="0" w:after="0"/>
        <w:textAlignment w:val="auto"/>
        <w:rPr>
          <w:noProof/>
        </w:rPr>
      </w:pPr>
    </w:p>
    <w:p w14:paraId="16F76B0C" w14:textId="4D1E94D2" w:rsidR="00ED6D36" w:rsidRPr="00972C81" w:rsidRDefault="00ED6D36" w:rsidP="00C47F2F">
      <w:pPr>
        <w:widowControl/>
        <w:jc w:val="left"/>
        <w:rPr>
          <w:noProof/>
          <w:szCs w:val="24"/>
        </w:rPr>
      </w:pPr>
      <w:r w:rsidRPr="00972C81">
        <w:rPr>
          <w:noProof/>
          <w:szCs w:val="24"/>
        </w:rPr>
        <w:t>Table 26.4. Committed effective dose coefficients (Sv Bq</w:t>
      </w:r>
      <w:r w:rsidRPr="00972C81">
        <w:rPr>
          <w:noProof/>
          <w:szCs w:val="24"/>
          <w:vertAlign w:val="superscript"/>
        </w:rPr>
        <w:t>-1</w:t>
      </w:r>
      <w:r w:rsidRPr="00972C81">
        <w:rPr>
          <w:noProof/>
          <w:szCs w:val="24"/>
        </w:rPr>
        <w:t xml:space="preserve">) for the inhalation or ingestion of </w:t>
      </w:r>
      <w:r w:rsidRPr="00972C81">
        <w:rPr>
          <w:noProof/>
          <w:szCs w:val="24"/>
          <w:vertAlign w:val="superscript"/>
        </w:rPr>
        <w:t>252</w:t>
      </w:r>
      <w:r w:rsidRPr="00972C81">
        <w:rPr>
          <w:noProof/>
          <w:szCs w:val="24"/>
        </w:rPr>
        <w:t>Cf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28242E" w:rsidRPr="00A3213E" w14:paraId="38900D40" w14:textId="77777777" w:rsidTr="000E00A3">
        <w:trPr>
          <w:trHeight w:val="340"/>
        </w:trPr>
        <w:tc>
          <w:tcPr>
            <w:tcW w:w="2087" w:type="pct"/>
            <w:vMerge w:val="restart"/>
            <w:tcBorders>
              <w:top w:val="single" w:sz="4" w:space="0" w:color="auto"/>
              <w:left w:val="nil"/>
              <w:bottom w:val="single" w:sz="4" w:space="0" w:color="auto"/>
              <w:right w:val="nil"/>
            </w:tcBorders>
            <w:vAlign w:val="bottom"/>
            <w:hideMark/>
          </w:tcPr>
          <w:p w14:paraId="6B174DD8" w14:textId="77777777" w:rsidR="00FA2D35" w:rsidRDefault="0028242E">
            <w:pPr>
              <w:pStyle w:val="a5"/>
              <w:tabs>
                <w:tab w:val="clear" w:pos="4153"/>
                <w:tab w:val="clear" w:pos="8306"/>
              </w:tabs>
              <w:rPr>
                <w:noProof/>
                <w:sz w:val="22"/>
                <w:szCs w:val="22"/>
              </w:rPr>
            </w:pPr>
            <w:r w:rsidRPr="00C47F2F">
              <w:rPr>
                <w:noProof/>
                <w:sz w:val="22"/>
                <w:szCs w:val="22"/>
              </w:rPr>
              <w:t>Inhaled particulate materials</w:t>
            </w:r>
          </w:p>
          <w:p w14:paraId="7E7222DD" w14:textId="778A561A" w:rsidR="0028242E" w:rsidRPr="00FA2D35" w:rsidRDefault="0028242E" w:rsidP="00C47F2F">
            <w:pPr>
              <w:pStyle w:val="a5"/>
              <w:tabs>
                <w:tab w:val="clear" w:pos="4153"/>
                <w:tab w:val="clear" w:pos="8306"/>
              </w:tabs>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7BB06142" w14:textId="77777777" w:rsidR="0028242E" w:rsidRPr="00C47F2F" w:rsidRDefault="0028242E" w:rsidP="000E00A3">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28242E" w:rsidRPr="00972C81" w14:paraId="207BC2F3" w14:textId="77777777" w:rsidTr="000E00A3">
        <w:trPr>
          <w:trHeight w:val="340"/>
        </w:trPr>
        <w:tc>
          <w:tcPr>
            <w:tcW w:w="2087" w:type="pct"/>
            <w:vMerge/>
            <w:tcBorders>
              <w:top w:val="single" w:sz="4" w:space="0" w:color="auto"/>
              <w:left w:val="nil"/>
              <w:bottom w:val="single" w:sz="4" w:space="0" w:color="auto"/>
              <w:right w:val="nil"/>
            </w:tcBorders>
            <w:vAlign w:val="center"/>
            <w:hideMark/>
          </w:tcPr>
          <w:p w14:paraId="095915DD" w14:textId="77777777" w:rsidR="0028242E" w:rsidRPr="00FA2D35" w:rsidRDefault="0028242E">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39A868F2" w14:textId="3B6A0451" w:rsidR="0028242E" w:rsidRPr="00232741" w:rsidRDefault="0028242E" w:rsidP="000E00A3">
            <w:pPr>
              <w:pStyle w:val="TabFiglegends"/>
              <w:widowControl w:val="0"/>
              <w:jc w:val="left"/>
              <w:rPr>
                <w:noProof/>
                <w:szCs w:val="22"/>
                <w:lang w:eastAsia="ko-KR"/>
              </w:rPr>
            </w:pPr>
            <w:r w:rsidRPr="00C47F2F">
              <w:rPr>
                <w:noProof/>
                <w:szCs w:val="22"/>
                <w:lang w:eastAsia="en-US"/>
              </w:rPr>
              <w:t>3</w:t>
            </w:r>
            <w:r w:rsidR="00033BE2">
              <w:rPr>
                <w:rFonts w:hint="eastAsia"/>
                <w:noProof/>
                <w:szCs w:val="22"/>
                <w:lang w:eastAsia="ko-KR"/>
              </w:rPr>
              <w:t xml:space="preserve"> </w:t>
            </w:r>
            <w:r w:rsidRPr="00C47F2F">
              <w:rPr>
                <w:noProof/>
                <w:szCs w:val="22"/>
                <w:lang w:eastAsia="en-US"/>
              </w:rPr>
              <w:t>m</w:t>
            </w:r>
            <w:r w:rsidR="000E00A3">
              <w:rPr>
                <w:rFonts w:hint="eastAsia"/>
                <w:noProof/>
                <w:szCs w:val="22"/>
                <w:lang w:eastAsia="ko-KR"/>
              </w:rPr>
              <w:t>o</w:t>
            </w:r>
          </w:p>
        </w:tc>
        <w:tc>
          <w:tcPr>
            <w:tcW w:w="485" w:type="pct"/>
            <w:tcBorders>
              <w:top w:val="single" w:sz="4" w:space="0" w:color="auto"/>
              <w:left w:val="nil"/>
              <w:bottom w:val="single" w:sz="4" w:space="0" w:color="auto"/>
              <w:right w:val="nil"/>
            </w:tcBorders>
            <w:vAlign w:val="center"/>
            <w:hideMark/>
          </w:tcPr>
          <w:p w14:paraId="0CCEE575" w14:textId="353D9187" w:rsidR="0028242E" w:rsidRPr="00C47F2F" w:rsidRDefault="0028242E" w:rsidP="000E00A3">
            <w:pPr>
              <w:jc w:val="left"/>
              <w:rPr>
                <w:noProof/>
                <w:sz w:val="22"/>
                <w:szCs w:val="22"/>
              </w:rPr>
            </w:pPr>
            <w:r w:rsidRPr="00C47F2F">
              <w:rPr>
                <w:noProof/>
                <w:sz w:val="22"/>
                <w:szCs w:val="22"/>
              </w:rPr>
              <w:t>1</w:t>
            </w:r>
            <w:r w:rsidR="00033BE2">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78456F4D" w14:textId="0E2CFE55" w:rsidR="0028242E" w:rsidRPr="00C47F2F" w:rsidRDefault="0028242E" w:rsidP="000E00A3">
            <w:pPr>
              <w:jc w:val="left"/>
              <w:rPr>
                <w:noProof/>
                <w:sz w:val="22"/>
                <w:szCs w:val="22"/>
              </w:rPr>
            </w:pPr>
            <w:r w:rsidRPr="00C47F2F">
              <w:rPr>
                <w:noProof/>
                <w:sz w:val="22"/>
                <w:szCs w:val="22"/>
              </w:rPr>
              <w:t>5</w:t>
            </w:r>
            <w:r w:rsidR="00033BE2">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1ACBC6D9" w14:textId="6175695D" w:rsidR="0028242E" w:rsidRPr="00C47F2F" w:rsidRDefault="0028242E" w:rsidP="000E00A3">
            <w:pPr>
              <w:jc w:val="left"/>
              <w:rPr>
                <w:noProof/>
                <w:sz w:val="22"/>
                <w:szCs w:val="22"/>
              </w:rPr>
            </w:pPr>
            <w:r w:rsidRPr="00C47F2F">
              <w:rPr>
                <w:noProof/>
                <w:sz w:val="22"/>
                <w:szCs w:val="22"/>
              </w:rPr>
              <w:t>10</w:t>
            </w:r>
            <w:r w:rsidR="00033BE2">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16983FA3" w14:textId="7917D8CC" w:rsidR="0028242E" w:rsidRPr="00C47F2F" w:rsidRDefault="0028242E" w:rsidP="000E00A3">
            <w:pPr>
              <w:jc w:val="left"/>
              <w:rPr>
                <w:noProof/>
                <w:sz w:val="22"/>
                <w:szCs w:val="22"/>
              </w:rPr>
            </w:pPr>
            <w:r w:rsidRPr="00C47F2F">
              <w:rPr>
                <w:noProof/>
                <w:sz w:val="22"/>
                <w:szCs w:val="22"/>
              </w:rPr>
              <w:t>15</w:t>
            </w:r>
            <w:r w:rsidR="00033BE2">
              <w:rPr>
                <w:rFonts w:hint="eastAsia"/>
                <w:noProof/>
                <w:sz w:val="22"/>
                <w:szCs w:val="22"/>
                <w:lang w:eastAsia="ko-KR"/>
              </w:rPr>
              <w:t xml:space="preserve"> </w:t>
            </w:r>
            <w:r w:rsidRPr="00C47F2F">
              <w:rPr>
                <w:noProof/>
                <w:sz w:val="22"/>
                <w:szCs w:val="22"/>
              </w:rPr>
              <w:t>y</w:t>
            </w:r>
          </w:p>
        </w:tc>
        <w:tc>
          <w:tcPr>
            <w:tcW w:w="486" w:type="pct"/>
            <w:tcBorders>
              <w:top w:val="single" w:sz="4" w:space="0" w:color="auto"/>
              <w:left w:val="nil"/>
              <w:bottom w:val="single" w:sz="4" w:space="0" w:color="auto"/>
              <w:right w:val="nil"/>
            </w:tcBorders>
            <w:vAlign w:val="center"/>
            <w:hideMark/>
          </w:tcPr>
          <w:p w14:paraId="69CE0AA8" w14:textId="77777777" w:rsidR="0028242E" w:rsidRPr="00C47F2F" w:rsidRDefault="0028242E" w:rsidP="000E00A3">
            <w:pPr>
              <w:jc w:val="left"/>
              <w:rPr>
                <w:noProof/>
                <w:sz w:val="22"/>
                <w:szCs w:val="22"/>
              </w:rPr>
            </w:pPr>
            <w:r w:rsidRPr="00C47F2F">
              <w:rPr>
                <w:noProof/>
                <w:sz w:val="22"/>
                <w:szCs w:val="22"/>
              </w:rPr>
              <w:t>Adult</w:t>
            </w:r>
          </w:p>
        </w:tc>
      </w:tr>
      <w:tr w:rsidR="0028242E" w:rsidRPr="00972C81" w14:paraId="071B8252" w14:textId="77777777" w:rsidTr="000E00A3">
        <w:trPr>
          <w:trHeight w:val="340"/>
        </w:trPr>
        <w:tc>
          <w:tcPr>
            <w:tcW w:w="2087" w:type="pct"/>
            <w:tcBorders>
              <w:top w:val="single" w:sz="4" w:space="0" w:color="auto"/>
              <w:left w:val="nil"/>
              <w:bottom w:val="nil"/>
              <w:right w:val="nil"/>
            </w:tcBorders>
            <w:vAlign w:val="center"/>
            <w:hideMark/>
          </w:tcPr>
          <w:p w14:paraId="46F297AE" w14:textId="77777777" w:rsidR="0028242E" w:rsidRPr="00C47F2F" w:rsidRDefault="0028242E" w:rsidP="000E00A3">
            <w:pPr>
              <w:jc w:val="left"/>
              <w:rPr>
                <w:noProof/>
                <w:color w:val="000000"/>
                <w:sz w:val="22"/>
                <w:szCs w:val="22"/>
              </w:rPr>
            </w:pPr>
            <w:r w:rsidRPr="00C47F2F">
              <w:rPr>
                <w:noProof/>
                <w:color w:val="000000"/>
                <w:sz w:val="22"/>
                <w:szCs w:val="22"/>
              </w:rPr>
              <w:t>Type F, chloride</w:t>
            </w:r>
          </w:p>
        </w:tc>
        <w:tc>
          <w:tcPr>
            <w:tcW w:w="485" w:type="pct"/>
            <w:tcBorders>
              <w:top w:val="single" w:sz="4" w:space="0" w:color="auto"/>
              <w:left w:val="nil"/>
              <w:bottom w:val="nil"/>
              <w:right w:val="nil"/>
            </w:tcBorders>
            <w:vAlign w:val="center"/>
            <w:hideMark/>
          </w:tcPr>
          <w:p w14:paraId="63B1B8EA"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4.7E-05</w:t>
            </w:r>
          </w:p>
        </w:tc>
        <w:tc>
          <w:tcPr>
            <w:tcW w:w="485" w:type="pct"/>
            <w:tcBorders>
              <w:top w:val="single" w:sz="4" w:space="0" w:color="auto"/>
              <w:left w:val="nil"/>
              <w:bottom w:val="nil"/>
              <w:right w:val="nil"/>
            </w:tcBorders>
            <w:vAlign w:val="center"/>
            <w:hideMark/>
          </w:tcPr>
          <w:p w14:paraId="340FC685"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3.8E-05</w:t>
            </w:r>
          </w:p>
        </w:tc>
        <w:tc>
          <w:tcPr>
            <w:tcW w:w="485" w:type="pct"/>
            <w:tcBorders>
              <w:top w:val="single" w:sz="4" w:space="0" w:color="auto"/>
              <w:left w:val="nil"/>
              <w:bottom w:val="nil"/>
              <w:right w:val="nil"/>
            </w:tcBorders>
            <w:vAlign w:val="center"/>
            <w:hideMark/>
          </w:tcPr>
          <w:p w14:paraId="5C3FAA2A"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1.8E-05</w:t>
            </w:r>
          </w:p>
        </w:tc>
        <w:tc>
          <w:tcPr>
            <w:tcW w:w="485" w:type="pct"/>
            <w:tcBorders>
              <w:top w:val="single" w:sz="4" w:space="0" w:color="auto"/>
              <w:left w:val="nil"/>
              <w:bottom w:val="nil"/>
              <w:right w:val="nil"/>
            </w:tcBorders>
            <w:vAlign w:val="center"/>
            <w:hideMark/>
          </w:tcPr>
          <w:p w14:paraId="117002E6"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9.4E-06</w:t>
            </w:r>
          </w:p>
        </w:tc>
        <w:tc>
          <w:tcPr>
            <w:tcW w:w="485" w:type="pct"/>
            <w:tcBorders>
              <w:top w:val="single" w:sz="4" w:space="0" w:color="auto"/>
              <w:left w:val="nil"/>
              <w:bottom w:val="nil"/>
              <w:right w:val="nil"/>
            </w:tcBorders>
            <w:vAlign w:val="center"/>
            <w:hideMark/>
          </w:tcPr>
          <w:p w14:paraId="112BEBC7"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8.3E-06</w:t>
            </w:r>
          </w:p>
        </w:tc>
        <w:tc>
          <w:tcPr>
            <w:tcW w:w="486" w:type="pct"/>
            <w:tcBorders>
              <w:top w:val="single" w:sz="4" w:space="0" w:color="auto"/>
              <w:left w:val="nil"/>
              <w:bottom w:val="nil"/>
              <w:right w:val="nil"/>
            </w:tcBorders>
            <w:vAlign w:val="center"/>
            <w:hideMark/>
          </w:tcPr>
          <w:p w14:paraId="5D00E9F0"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6.8E-06</w:t>
            </w:r>
          </w:p>
        </w:tc>
      </w:tr>
      <w:tr w:rsidR="0028242E" w:rsidRPr="00972C81" w14:paraId="0EDAFD9F" w14:textId="77777777" w:rsidTr="000E00A3">
        <w:trPr>
          <w:trHeight w:val="340"/>
        </w:trPr>
        <w:tc>
          <w:tcPr>
            <w:tcW w:w="2087" w:type="pct"/>
            <w:tcBorders>
              <w:top w:val="nil"/>
              <w:left w:val="nil"/>
              <w:bottom w:val="nil"/>
              <w:right w:val="nil"/>
            </w:tcBorders>
            <w:vAlign w:val="center"/>
            <w:hideMark/>
          </w:tcPr>
          <w:p w14:paraId="45632701" w14:textId="77777777" w:rsidR="0028242E" w:rsidRPr="00C47F2F" w:rsidRDefault="0028242E" w:rsidP="000E00A3">
            <w:pPr>
              <w:jc w:val="left"/>
              <w:rPr>
                <w:rFonts w:eastAsiaTheme="minorHAnsi"/>
                <w:noProof/>
                <w:sz w:val="22"/>
                <w:szCs w:val="22"/>
              </w:rPr>
            </w:pPr>
            <w:r w:rsidRPr="00C47F2F">
              <w:rPr>
                <w:noProof/>
                <w:sz w:val="22"/>
                <w:szCs w:val="22"/>
              </w:rPr>
              <w:t xml:space="preserve">Type M, </w:t>
            </w:r>
            <w:r w:rsidRPr="00C47F2F">
              <w:rPr>
                <w:rFonts w:eastAsia="Times New Roman"/>
                <w:noProof/>
                <w:color w:val="000000"/>
                <w:sz w:val="22"/>
                <w:szCs w:val="22"/>
                <w:lang w:eastAsia="en-GB"/>
              </w:rPr>
              <w:t>oxide</w:t>
            </w:r>
          </w:p>
        </w:tc>
        <w:tc>
          <w:tcPr>
            <w:tcW w:w="485" w:type="pct"/>
            <w:tcBorders>
              <w:top w:val="nil"/>
              <w:left w:val="nil"/>
              <w:bottom w:val="nil"/>
              <w:right w:val="nil"/>
            </w:tcBorders>
            <w:vAlign w:val="center"/>
            <w:hideMark/>
          </w:tcPr>
          <w:p w14:paraId="07DC3971"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4.2E-05</w:t>
            </w:r>
          </w:p>
        </w:tc>
        <w:tc>
          <w:tcPr>
            <w:tcW w:w="485" w:type="pct"/>
            <w:tcBorders>
              <w:top w:val="nil"/>
              <w:left w:val="nil"/>
              <w:bottom w:val="nil"/>
              <w:right w:val="nil"/>
            </w:tcBorders>
            <w:vAlign w:val="center"/>
            <w:hideMark/>
          </w:tcPr>
          <w:p w14:paraId="269462FE"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3.7E-05</w:t>
            </w:r>
          </w:p>
        </w:tc>
        <w:tc>
          <w:tcPr>
            <w:tcW w:w="485" w:type="pct"/>
            <w:tcBorders>
              <w:top w:val="nil"/>
              <w:left w:val="nil"/>
              <w:bottom w:val="nil"/>
              <w:right w:val="nil"/>
            </w:tcBorders>
            <w:vAlign w:val="center"/>
            <w:hideMark/>
          </w:tcPr>
          <w:p w14:paraId="25A673EE"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1.8E-05</w:t>
            </w:r>
          </w:p>
        </w:tc>
        <w:tc>
          <w:tcPr>
            <w:tcW w:w="485" w:type="pct"/>
            <w:tcBorders>
              <w:top w:val="nil"/>
              <w:left w:val="nil"/>
              <w:bottom w:val="nil"/>
              <w:right w:val="nil"/>
            </w:tcBorders>
            <w:vAlign w:val="center"/>
            <w:hideMark/>
          </w:tcPr>
          <w:p w14:paraId="7DBA3A23"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1.1E-05</w:t>
            </w:r>
          </w:p>
        </w:tc>
        <w:tc>
          <w:tcPr>
            <w:tcW w:w="485" w:type="pct"/>
            <w:tcBorders>
              <w:top w:val="nil"/>
              <w:left w:val="nil"/>
              <w:bottom w:val="nil"/>
              <w:right w:val="nil"/>
            </w:tcBorders>
            <w:vAlign w:val="center"/>
            <w:hideMark/>
          </w:tcPr>
          <w:p w14:paraId="6C555842"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8.7E-06</w:t>
            </w:r>
          </w:p>
        </w:tc>
        <w:tc>
          <w:tcPr>
            <w:tcW w:w="486" w:type="pct"/>
            <w:tcBorders>
              <w:top w:val="nil"/>
              <w:left w:val="nil"/>
              <w:bottom w:val="nil"/>
              <w:right w:val="nil"/>
            </w:tcBorders>
            <w:vAlign w:val="center"/>
            <w:hideMark/>
          </w:tcPr>
          <w:p w14:paraId="2127CC72"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7.6E-06</w:t>
            </w:r>
          </w:p>
        </w:tc>
      </w:tr>
      <w:tr w:rsidR="0028242E" w:rsidRPr="00972C81" w14:paraId="075C6EC1" w14:textId="77777777" w:rsidTr="000E00A3">
        <w:trPr>
          <w:trHeight w:val="340"/>
        </w:trPr>
        <w:tc>
          <w:tcPr>
            <w:tcW w:w="2087" w:type="pct"/>
            <w:tcBorders>
              <w:top w:val="nil"/>
              <w:left w:val="nil"/>
              <w:bottom w:val="single" w:sz="4" w:space="0" w:color="auto"/>
              <w:right w:val="nil"/>
            </w:tcBorders>
            <w:vAlign w:val="center"/>
            <w:hideMark/>
          </w:tcPr>
          <w:p w14:paraId="024065D4" w14:textId="77777777" w:rsidR="0028242E" w:rsidRPr="00C47F2F" w:rsidRDefault="0028242E" w:rsidP="000E00A3">
            <w:pPr>
              <w:jc w:val="left"/>
              <w:rPr>
                <w:rFonts w:eastAsiaTheme="minorHAnsi"/>
                <w:noProof/>
                <w:sz w:val="22"/>
                <w:szCs w:val="22"/>
              </w:rPr>
            </w:pPr>
            <w:r w:rsidRPr="00C47F2F">
              <w:rPr>
                <w:noProof/>
                <w:sz w:val="22"/>
                <w:szCs w:val="22"/>
              </w:rPr>
              <w:t>Type S</w:t>
            </w:r>
          </w:p>
        </w:tc>
        <w:tc>
          <w:tcPr>
            <w:tcW w:w="485" w:type="pct"/>
            <w:tcBorders>
              <w:top w:val="nil"/>
              <w:left w:val="nil"/>
              <w:bottom w:val="single" w:sz="4" w:space="0" w:color="auto"/>
              <w:right w:val="nil"/>
            </w:tcBorders>
            <w:vAlign w:val="center"/>
            <w:hideMark/>
          </w:tcPr>
          <w:p w14:paraId="7B8F17CE"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5.2E-05</w:t>
            </w:r>
          </w:p>
        </w:tc>
        <w:tc>
          <w:tcPr>
            <w:tcW w:w="485" w:type="pct"/>
            <w:tcBorders>
              <w:top w:val="nil"/>
              <w:left w:val="nil"/>
              <w:bottom w:val="single" w:sz="4" w:space="0" w:color="auto"/>
              <w:right w:val="nil"/>
            </w:tcBorders>
            <w:vAlign w:val="center"/>
            <w:hideMark/>
          </w:tcPr>
          <w:p w14:paraId="3B9136F8"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4.9E-05</w:t>
            </w:r>
          </w:p>
        </w:tc>
        <w:tc>
          <w:tcPr>
            <w:tcW w:w="485" w:type="pct"/>
            <w:tcBorders>
              <w:top w:val="nil"/>
              <w:left w:val="nil"/>
              <w:bottom w:val="single" w:sz="4" w:space="0" w:color="auto"/>
              <w:right w:val="nil"/>
            </w:tcBorders>
            <w:vAlign w:val="center"/>
            <w:hideMark/>
          </w:tcPr>
          <w:p w14:paraId="4CF69FAF"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2.9E-05</w:t>
            </w:r>
          </w:p>
        </w:tc>
        <w:tc>
          <w:tcPr>
            <w:tcW w:w="485" w:type="pct"/>
            <w:tcBorders>
              <w:top w:val="nil"/>
              <w:left w:val="nil"/>
              <w:bottom w:val="single" w:sz="4" w:space="0" w:color="auto"/>
              <w:right w:val="nil"/>
            </w:tcBorders>
            <w:vAlign w:val="center"/>
            <w:hideMark/>
          </w:tcPr>
          <w:p w14:paraId="2C58E361"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1.8E-05</w:t>
            </w:r>
          </w:p>
        </w:tc>
        <w:tc>
          <w:tcPr>
            <w:tcW w:w="485" w:type="pct"/>
            <w:tcBorders>
              <w:top w:val="nil"/>
              <w:left w:val="nil"/>
              <w:bottom w:val="single" w:sz="4" w:space="0" w:color="auto"/>
              <w:right w:val="nil"/>
            </w:tcBorders>
            <w:vAlign w:val="center"/>
            <w:hideMark/>
          </w:tcPr>
          <w:p w14:paraId="6917BBCE"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1.5E-05</w:t>
            </w:r>
          </w:p>
        </w:tc>
        <w:tc>
          <w:tcPr>
            <w:tcW w:w="486" w:type="pct"/>
            <w:tcBorders>
              <w:top w:val="nil"/>
              <w:left w:val="nil"/>
              <w:bottom w:val="single" w:sz="4" w:space="0" w:color="auto"/>
              <w:right w:val="nil"/>
            </w:tcBorders>
            <w:vAlign w:val="center"/>
            <w:hideMark/>
          </w:tcPr>
          <w:p w14:paraId="4E8CB72F"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1.4E-05</w:t>
            </w:r>
          </w:p>
        </w:tc>
      </w:tr>
      <w:tr w:rsidR="0028242E" w:rsidRPr="00972C81" w14:paraId="7C6DD109" w14:textId="77777777" w:rsidTr="000E00A3">
        <w:trPr>
          <w:trHeight w:val="340"/>
        </w:trPr>
        <w:tc>
          <w:tcPr>
            <w:tcW w:w="2087" w:type="pct"/>
            <w:tcBorders>
              <w:top w:val="single" w:sz="4" w:space="0" w:color="auto"/>
              <w:left w:val="nil"/>
              <w:bottom w:val="single" w:sz="4" w:space="0" w:color="auto"/>
              <w:right w:val="nil"/>
            </w:tcBorders>
            <w:vAlign w:val="center"/>
          </w:tcPr>
          <w:p w14:paraId="00118C14" w14:textId="77777777" w:rsidR="0028242E" w:rsidRPr="00C47F2F" w:rsidRDefault="0028242E">
            <w:pPr>
              <w:rPr>
                <w:rFonts w:eastAsiaTheme="minorHAnsi"/>
                <w:noProof/>
                <w:sz w:val="22"/>
                <w:szCs w:val="22"/>
              </w:rPr>
            </w:pPr>
          </w:p>
          <w:p w14:paraId="3C3783F4" w14:textId="77777777" w:rsidR="0028242E" w:rsidRPr="00C47F2F" w:rsidRDefault="0028242E">
            <w:pPr>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vAlign w:val="center"/>
          </w:tcPr>
          <w:p w14:paraId="38CDF352" w14:textId="77777777" w:rsidR="0028242E" w:rsidRPr="00C47F2F" w:rsidRDefault="0028242E">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4FFC636F" w14:textId="77777777" w:rsidR="0028242E" w:rsidRPr="00C47F2F" w:rsidRDefault="0028242E">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207F8094" w14:textId="77777777" w:rsidR="0028242E" w:rsidRPr="00C47F2F" w:rsidRDefault="0028242E">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56746CC7" w14:textId="77777777" w:rsidR="0028242E" w:rsidRPr="00C47F2F" w:rsidRDefault="0028242E">
            <w:pPr>
              <w:jc w:val="center"/>
              <w:rPr>
                <w:rFonts w:eastAsia="Times New Roman"/>
                <w:noProof/>
                <w:color w:val="000000"/>
                <w:sz w:val="22"/>
                <w:szCs w:val="22"/>
              </w:rPr>
            </w:pPr>
          </w:p>
        </w:tc>
        <w:tc>
          <w:tcPr>
            <w:tcW w:w="485" w:type="pct"/>
            <w:tcBorders>
              <w:top w:val="single" w:sz="4" w:space="0" w:color="auto"/>
              <w:left w:val="nil"/>
              <w:bottom w:val="single" w:sz="4" w:space="0" w:color="auto"/>
              <w:right w:val="nil"/>
            </w:tcBorders>
            <w:vAlign w:val="center"/>
          </w:tcPr>
          <w:p w14:paraId="4B7E0547" w14:textId="77777777" w:rsidR="0028242E" w:rsidRPr="00C47F2F" w:rsidRDefault="0028242E">
            <w:pPr>
              <w:jc w:val="center"/>
              <w:rPr>
                <w:rFonts w:eastAsia="Times New Roman"/>
                <w:noProof/>
                <w:color w:val="000000"/>
                <w:sz w:val="22"/>
                <w:szCs w:val="22"/>
              </w:rPr>
            </w:pPr>
          </w:p>
        </w:tc>
        <w:tc>
          <w:tcPr>
            <w:tcW w:w="486" w:type="pct"/>
            <w:tcBorders>
              <w:top w:val="single" w:sz="4" w:space="0" w:color="auto"/>
              <w:left w:val="nil"/>
              <w:bottom w:val="single" w:sz="4" w:space="0" w:color="auto"/>
              <w:right w:val="nil"/>
            </w:tcBorders>
            <w:vAlign w:val="center"/>
          </w:tcPr>
          <w:p w14:paraId="3C9D5FB7" w14:textId="77777777" w:rsidR="0028242E" w:rsidRPr="00C47F2F" w:rsidRDefault="0028242E">
            <w:pPr>
              <w:jc w:val="center"/>
              <w:rPr>
                <w:rFonts w:eastAsia="Times New Roman"/>
                <w:noProof/>
                <w:color w:val="000000"/>
                <w:sz w:val="22"/>
                <w:szCs w:val="22"/>
              </w:rPr>
            </w:pPr>
          </w:p>
        </w:tc>
      </w:tr>
      <w:tr w:rsidR="0028242E" w:rsidRPr="00972C81" w14:paraId="617A79FA" w14:textId="77777777" w:rsidTr="000E00A3">
        <w:trPr>
          <w:trHeight w:val="340"/>
        </w:trPr>
        <w:tc>
          <w:tcPr>
            <w:tcW w:w="2087" w:type="pct"/>
            <w:tcBorders>
              <w:top w:val="single" w:sz="4" w:space="0" w:color="auto"/>
              <w:left w:val="nil"/>
              <w:bottom w:val="single" w:sz="4" w:space="0" w:color="auto"/>
              <w:right w:val="nil"/>
            </w:tcBorders>
            <w:vAlign w:val="center"/>
            <w:hideMark/>
          </w:tcPr>
          <w:p w14:paraId="1BF93325" w14:textId="77777777" w:rsidR="0028242E" w:rsidRPr="00C47F2F" w:rsidRDefault="0028242E" w:rsidP="000E00A3">
            <w:pPr>
              <w:jc w:val="left"/>
              <w:rPr>
                <w:rFonts w:eastAsiaTheme="minorHAnsi"/>
                <w:noProof/>
                <w:sz w:val="22"/>
                <w:szCs w:val="22"/>
              </w:rPr>
            </w:pPr>
            <w:r w:rsidRPr="00C47F2F">
              <w:rPr>
                <w:noProof/>
                <w:sz w:val="22"/>
                <w:szCs w:val="22"/>
              </w:rPr>
              <w:t>All compounds</w:t>
            </w:r>
          </w:p>
        </w:tc>
        <w:tc>
          <w:tcPr>
            <w:tcW w:w="485" w:type="pct"/>
            <w:tcBorders>
              <w:top w:val="single" w:sz="4" w:space="0" w:color="auto"/>
              <w:left w:val="nil"/>
              <w:bottom w:val="single" w:sz="4" w:space="0" w:color="auto"/>
              <w:right w:val="nil"/>
            </w:tcBorders>
            <w:vAlign w:val="center"/>
            <w:hideMark/>
          </w:tcPr>
          <w:p w14:paraId="422BC312"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2.1E-06</w:t>
            </w:r>
          </w:p>
        </w:tc>
        <w:tc>
          <w:tcPr>
            <w:tcW w:w="485" w:type="pct"/>
            <w:tcBorders>
              <w:top w:val="single" w:sz="4" w:space="0" w:color="auto"/>
              <w:left w:val="nil"/>
              <w:bottom w:val="single" w:sz="4" w:space="0" w:color="auto"/>
              <w:right w:val="nil"/>
            </w:tcBorders>
            <w:vAlign w:val="center"/>
            <w:hideMark/>
          </w:tcPr>
          <w:p w14:paraId="23E75EF6"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1.8E-07</w:t>
            </w:r>
          </w:p>
        </w:tc>
        <w:tc>
          <w:tcPr>
            <w:tcW w:w="485" w:type="pct"/>
            <w:tcBorders>
              <w:top w:val="single" w:sz="4" w:space="0" w:color="auto"/>
              <w:left w:val="nil"/>
              <w:bottom w:val="single" w:sz="4" w:space="0" w:color="auto"/>
              <w:right w:val="nil"/>
            </w:tcBorders>
            <w:vAlign w:val="center"/>
            <w:hideMark/>
          </w:tcPr>
          <w:p w14:paraId="7E32B989"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7.7E-08</w:t>
            </w:r>
          </w:p>
        </w:tc>
        <w:tc>
          <w:tcPr>
            <w:tcW w:w="485" w:type="pct"/>
            <w:tcBorders>
              <w:top w:val="single" w:sz="4" w:space="0" w:color="auto"/>
              <w:left w:val="nil"/>
              <w:bottom w:val="single" w:sz="4" w:space="0" w:color="auto"/>
              <w:right w:val="nil"/>
            </w:tcBorders>
            <w:vAlign w:val="center"/>
            <w:hideMark/>
          </w:tcPr>
          <w:p w14:paraId="7B04C97B"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4.2E-08</w:t>
            </w:r>
          </w:p>
        </w:tc>
        <w:tc>
          <w:tcPr>
            <w:tcW w:w="485" w:type="pct"/>
            <w:tcBorders>
              <w:top w:val="single" w:sz="4" w:space="0" w:color="auto"/>
              <w:left w:val="nil"/>
              <w:bottom w:val="single" w:sz="4" w:space="0" w:color="auto"/>
              <w:right w:val="nil"/>
            </w:tcBorders>
            <w:vAlign w:val="center"/>
            <w:hideMark/>
          </w:tcPr>
          <w:p w14:paraId="01B278AF"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3.2E-08</w:t>
            </w:r>
          </w:p>
        </w:tc>
        <w:tc>
          <w:tcPr>
            <w:tcW w:w="486" w:type="pct"/>
            <w:tcBorders>
              <w:top w:val="single" w:sz="4" w:space="0" w:color="auto"/>
              <w:left w:val="nil"/>
              <w:bottom w:val="single" w:sz="4" w:space="0" w:color="auto"/>
              <w:right w:val="nil"/>
            </w:tcBorders>
            <w:vAlign w:val="center"/>
            <w:hideMark/>
          </w:tcPr>
          <w:p w14:paraId="36CC94F0" w14:textId="77777777" w:rsidR="0028242E" w:rsidRPr="00C47F2F" w:rsidRDefault="0028242E" w:rsidP="000E00A3">
            <w:pPr>
              <w:jc w:val="left"/>
              <w:rPr>
                <w:rFonts w:eastAsia="Times New Roman"/>
                <w:noProof/>
                <w:color w:val="000000"/>
                <w:sz w:val="22"/>
                <w:szCs w:val="22"/>
              </w:rPr>
            </w:pPr>
            <w:r w:rsidRPr="00C47F2F">
              <w:rPr>
                <w:rFonts w:eastAsia="Times New Roman"/>
                <w:noProof/>
                <w:color w:val="000000"/>
                <w:sz w:val="22"/>
                <w:szCs w:val="22"/>
              </w:rPr>
              <w:t>2.5E-08</w:t>
            </w:r>
          </w:p>
        </w:tc>
      </w:tr>
    </w:tbl>
    <w:p w14:paraId="6FCE174E" w14:textId="3A072171" w:rsidR="00F414E6" w:rsidRPr="00972C81" w:rsidRDefault="00F414E6">
      <w:pPr>
        <w:widowControl/>
        <w:jc w:val="left"/>
        <w:rPr>
          <w:noProof/>
        </w:rPr>
      </w:pPr>
      <w:r w:rsidRPr="00972C81">
        <w:rPr>
          <w:noProof/>
        </w:rPr>
        <w:br w:type="page"/>
      </w:r>
    </w:p>
    <w:p w14:paraId="6485A1AF" w14:textId="77777777" w:rsidR="007D1F4D" w:rsidRPr="00972C81" w:rsidRDefault="00DC407D" w:rsidP="00E81109">
      <w:pPr>
        <w:pStyle w:val="1"/>
        <w:rPr>
          <w:noProof/>
        </w:rPr>
      </w:pPr>
      <w:bookmarkStart w:id="395" w:name="_Toc455492688"/>
      <w:bookmarkStart w:id="396" w:name="_Toc455493117"/>
      <w:bookmarkStart w:id="397" w:name="_Toc162630133"/>
      <w:r w:rsidRPr="00972C81">
        <w:rPr>
          <w:noProof/>
        </w:rPr>
        <w:lastRenderedPageBreak/>
        <w:t>Einsteinium (Z=99)</w:t>
      </w:r>
      <w:bookmarkEnd w:id="395"/>
      <w:bookmarkEnd w:id="396"/>
      <w:bookmarkEnd w:id="397"/>
    </w:p>
    <w:p w14:paraId="7A30B56F" w14:textId="21B52AD3" w:rsidR="00096DF7" w:rsidRPr="00972C81" w:rsidRDefault="00096DF7" w:rsidP="00E81109">
      <w:pPr>
        <w:pStyle w:val="2"/>
        <w:rPr>
          <w:noProof/>
          <w:lang w:val="en-GB"/>
        </w:rPr>
      </w:pPr>
      <w:bookmarkStart w:id="398" w:name="_Toc17467986"/>
      <w:bookmarkStart w:id="399" w:name="_Toc455492690"/>
      <w:bookmarkStart w:id="400" w:name="_Toc455493119"/>
      <w:bookmarkStart w:id="401" w:name="_Toc162630134"/>
      <w:bookmarkEnd w:id="398"/>
      <w:r w:rsidRPr="00972C81">
        <w:rPr>
          <w:noProof/>
          <w:lang w:val="en-GB"/>
        </w:rPr>
        <w:t>Routes of Intake</w:t>
      </w:r>
      <w:bookmarkEnd w:id="399"/>
      <w:bookmarkEnd w:id="400"/>
      <w:bookmarkEnd w:id="401"/>
    </w:p>
    <w:p w14:paraId="4A5494DC" w14:textId="77777777" w:rsidR="00096DF7" w:rsidRPr="00972C81" w:rsidRDefault="00096DF7" w:rsidP="006F56F9">
      <w:pPr>
        <w:pStyle w:val="3"/>
        <w:rPr>
          <w:noProof/>
        </w:rPr>
      </w:pPr>
      <w:bookmarkStart w:id="402" w:name="_Toc162630135"/>
      <w:r w:rsidRPr="00972C81">
        <w:rPr>
          <w:noProof/>
        </w:rPr>
        <w:t>Inhalation</w:t>
      </w:r>
      <w:bookmarkEnd w:id="402"/>
    </w:p>
    <w:p w14:paraId="0383B45E" w14:textId="4335D3B3" w:rsidR="00096DF7" w:rsidRPr="00972C81" w:rsidRDefault="00096DF7" w:rsidP="001C4A92">
      <w:pPr>
        <w:pStyle w:val="Annalstext"/>
        <w:rPr>
          <w:noProof/>
        </w:rPr>
      </w:pPr>
      <w:r w:rsidRPr="00972C81">
        <w:rPr>
          <w:noProof/>
        </w:rPr>
        <w:t xml:space="preserve">No information was found on the behaviour of inhaled einsteinium (Es) </w:t>
      </w:r>
      <w:r w:rsidR="00BB503E">
        <w:rPr>
          <w:noProof/>
        </w:rPr>
        <w:t>in humans</w:t>
      </w:r>
      <w:r w:rsidRPr="00972C81">
        <w:rPr>
          <w:noProof/>
        </w:rPr>
        <w:t xml:space="preserve">. Information on absorption from the respiratory tract is available from experimental studies of einsteinium chloride and nitrate. </w:t>
      </w:r>
      <w:r w:rsidR="006F3DE7" w:rsidRPr="00972C81">
        <w:rPr>
          <w:noProof/>
        </w:rPr>
        <w:t>For details, see Section 2</w:t>
      </w:r>
      <w:r w:rsidR="00177865" w:rsidRPr="00972C81">
        <w:rPr>
          <w:noProof/>
        </w:rPr>
        <w:t>7</w:t>
      </w:r>
      <w:r w:rsidR="006F3DE7" w:rsidRPr="00972C81">
        <w:rPr>
          <w:noProof/>
        </w:rPr>
        <w:t xml:space="preserve"> of </w:t>
      </w:r>
      <w:r w:rsidR="00F414E6" w:rsidRPr="00972C81">
        <w:rPr>
          <w:i/>
          <w:noProof/>
        </w:rPr>
        <w:t>Publication 141</w:t>
      </w:r>
      <w:r w:rsidR="00F414E6" w:rsidRPr="00972C81">
        <w:rPr>
          <w:noProof/>
        </w:rPr>
        <w:t xml:space="preserve"> </w:t>
      </w:r>
      <w:r w:rsidR="00DF1EDB" w:rsidRPr="00972C81">
        <w:rPr>
          <w:noProof/>
        </w:rPr>
        <w:fldChar w:fldCharType="begin"/>
      </w:r>
      <w:r w:rsidR="00FC21A7" w:rsidRPr="00972C81">
        <w:rPr>
          <w:noProof/>
        </w:rPr>
        <w:instrText xml:space="preserve"> ADDIN ZOTERO_ITEM CSL_CITATION {"citationID":"au5boppf01","properties":{"formattedCitation":"(ICRP,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DF1EDB" w:rsidRPr="00972C81">
        <w:rPr>
          <w:noProof/>
        </w:rPr>
        <w:fldChar w:fldCharType="separate"/>
      </w:r>
      <w:r w:rsidR="00FC21A7" w:rsidRPr="00972C81">
        <w:rPr>
          <w:noProof/>
          <w:szCs w:val="24"/>
        </w:rPr>
        <w:t>(ICRP, 2019)</w:t>
      </w:r>
      <w:r w:rsidR="00DF1EDB" w:rsidRPr="00972C81">
        <w:rPr>
          <w:noProof/>
        </w:rPr>
        <w:fldChar w:fldCharType="end"/>
      </w:r>
      <w:r w:rsidR="00F414E6" w:rsidRPr="00972C81">
        <w:rPr>
          <w:noProof/>
        </w:rPr>
        <w:t xml:space="preserve">. </w:t>
      </w:r>
      <w:r w:rsidR="006F3DE7" w:rsidRPr="00972C81">
        <w:rPr>
          <w:noProof/>
        </w:rPr>
        <w:t xml:space="preserve">As described in Section 18 of </w:t>
      </w:r>
      <w:r w:rsidR="00F414E6" w:rsidRPr="00972C81">
        <w:rPr>
          <w:i/>
          <w:noProof/>
        </w:rPr>
        <w:t>Publication 141</w:t>
      </w:r>
      <w:r w:rsidR="006F3DE7" w:rsidRPr="00972C81">
        <w:rPr>
          <w:noProof/>
        </w:rPr>
        <w:t>,</w:t>
      </w:r>
      <w:r w:rsidRPr="00972C81">
        <w:rPr>
          <w:noProof/>
        </w:rPr>
        <w:t xml:space="preserve"> the general actinide section, absorption parameter values based on plutonium (</w:t>
      </w:r>
      <w:r w:rsidRPr="00972C81">
        <w:rPr>
          <w:i/>
          <w:noProof/>
        </w:rPr>
        <w:t>s</w:t>
      </w:r>
      <w:r w:rsidRPr="00972C81">
        <w:rPr>
          <w:noProof/>
          <w:vertAlign w:val="subscript"/>
        </w:rPr>
        <w:t xml:space="preserve">r </w:t>
      </w:r>
      <w:r w:rsidRPr="00972C81">
        <w:rPr>
          <w:noProof/>
        </w:rPr>
        <w:t>= 0.4 d</w:t>
      </w:r>
      <w:r w:rsidRPr="00972C81">
        <w:rPr>
          <w:noProof/>
          <w:vertAlign w:val="superscript"/>
        </w:rPr>
        <w:t>–1</w:t>
      </w:r>
      <w:r w:rsidRPr="00972C81">
        <w:rPr>
          <w:noProof/>
        </w:rPr>
        <w:t xml:space="preserve">; </w:t>
      </w:r>
      <w:r w:rsidRPr="00972C81">
        <w:rPr>
          <w:i/>
          <w:noProof/>
        </w:rPr>
        <w:t>f</w:t>
      </w:r>
      <w:r w:rsidRPr="00972C81">
        <w:rPr>
          <w:noProof/>
          <w:vertAlign w:val="subscript"/>
        </w:rPr>
        <w:t>b</w:t>
      </w:r>
      <w:r w:rsidRPr="00972C81">
        <w:rPr>
          <w:noProof/>
        </w:rPr>
        <w:t xml:space="preserve"> =</w:t>
      </w:r>
      <w:r w:rsidRPr="00972C81">
        <w:rPr>
          <w:noProof/>
          <w:vertAlign w:val="subscript"/>
        </w:rPr>
        <w:t xml:space="preserve"> </w:t>
      </w:r>
      <w:r w:rsidRPr="00972C81">
        <w:rPr>
          <w:noProof/>
        </w:rPr>
        <w:t xml:space="preserve">0.002; </w:t>
      </w:r>
      <w:r w:rsidRPr="00972C81">
        <w:rPr>
          <w:i/>
          <w:noProof/>
        </w:rPr>
        <w:t>s</w:t>
      </w:r>
      <w:r w:rsidRPr="00972C81">
        <w:rPr>
          <w:noProof/>
          <w:vertAlign w:val="subscript"/>
        </w:rPr>
        <w:t>b</w:t>
      </w:r>
      <w:r w:rsidRPr="00972C81">
        <w:rPr>
          <w:noProof/>
        </w:rPr>
        <w:t xml:space="preserve"> = 0) are applied in </w:t>
      </w:r>
      <w:r w:rsidR="001E3A9E" w:rsidRPr="00972C81">
        <w:rPr>
          <w:noProof/>
        </w:rPr>
        <w:t xml:space="preserve">that document (and hence also in this document) </w:t>
      </w:r>
      <w:r w:rsidRPr="00972C81">
        <w:rPr>
          <w:noProof/>
        </w:rPr>
        <w:t xml:space="preserve">to the transplutonium elements. Absorption parameter values and Types, and associated </w:t>
      </w:r>
      <w:r w:rsidRPr="00972C81">
        <w:rPr>
          <w:i/>
          <w:noProof/>
        </w:rPr>
        <w:t>f</w:t>
      </w:r>
      <w:r w:rsidRPr="00972C81">
        <w:rPr>
          <w:noProof/>
          <w:vertAlign w:val="subscript"/>
        </w:rPr>
        <w:t>A</w:t>
      </w:r>
      <w:r w:rsidRPr="00972C81">
        <w:rPr>
          <w:noProof/>
        </w:rPr>
        <w:t xml:space="preserve"> values for particulate forms of </w:t>
      </w:r>
      <w:r w:rsidR="00177865" w:rsidRPr="00972C81">
        <w:rPr>
          <w:noProof/>
        </w:rPr>
        <w:t>einsteinium</w:t>
      </w:r>
      <w:r w:rsidRPr="00972C81">
        <w:rPr>
          <w:noProof/>
        </w:rPr>
        <w:t xml:space="preserve">, are given in </w:t>
      </w:r>
      <w:r w:rsidR="00DF1EDB" w:rsidRPr="00972C81">
        <w:rPr>
          <w:noProof/>
        </w:rPr>
        <w:fldChar w:fldCharType="begin"/>
      </w:r>
      <w:r w:rsidR="00DF1EDB" w:rsidRPr="00972C81">
        <w:rPr>
          <w:noProof/>
        </w:rPr>
        <w:instrText xml:space="preserve"> REF _Ref147475065 \h </w:instrText>
      </w:r>
      <w:r w:rsidR="00DF1EDB" w:rsidRPr="00972C81">
        <w:rPr>
          <w:noProof/>
        </w:rPr>
      </w:r>
      <w:r w:rsidR="00DF1EDB" w:rsidRPr="00972C81">
        <w:rPr>
          <w:noProof/>
        </w:rPr>
        <w:fldChar w:fldCharType="separate"/>
      </w:r>
      <w:r w:rsidR="00A41AD1" w:rsidRPr="00972C81">
        <w:rPr>
          <w:noProof/>
        </w:rPr>
        <w:t xml:space="preserve">Table </w:t>
      </w:r>
      <w:r w:rsidR="00A41AD1">
        <w:rPr>
          <w:noProof/>
        </w:rPr>
        <w:t>27</w:t>
      </w:r>
      <w:r w:rsidR="00A41AD1" w:rsidRPr="00972C81">
        <w:rPr>
          <w:noProof/>
        </w:rPr>
        <w:t>.</w:t>
      </w:r>
      <w:r w:rsidR="00A41AD1">
        <w:rPr>
          <w:noProof/>
        </w:rPr>
        <w:t>1</w:t>
      </w:r>
      <w:r w:rsidR="00DF1EDB" w:rsidRPr="00972C81">
        <w:rPr>
          <w:noProof/>
        </w:rPr>
        <w:fldChar w:fldCharType="end"/>
      </w:r>
      <w:r w:rsidR="00DF1EDB" w:rsidRPr="00972C81">
        <w:rPr>
          <w:noProof/>
        </w:rPr>
        <w:t xml:space="preserve"> </w:t>
      </w:r>
      <w:r w:rsidR="006C29E4" w:rsidRPr="00972C81">
        <w:rPr>
          <w:noProof/>
        </w:rPr>
        <w:t xml:space="preserve">(taken from Section 27 of </w:t>
      </w:r>
      <w:r w:rsidR="00F414E6" w:rsidRPr="00972C81">
        <w:rPr>
          <w:i/>
          <w:noProof/>
        </w:rPr>
        <w:t>Publication 141</w:t>
      </w:r>
      <w:r w:rsidR="00F414E6" w:rsidRPr="00972C81">
        <w:rPr>
          <w:noProof/>
        </w:rPr>
        <w:t>)</w:t>
      </w:r>
      <w:r w:rsidRPr="00972C81">
        <w:rPr>
          <w:noProof/>
        </w:rPr>
        <w:t>.</w:t>
      </w:r>
    </w:p>
    <w:p w14:paraId="6EAB2468" w14:textId="77777777" w:rsidR="00096DF7" w:rsidRPr="00972C81" w:rsidRDefault="00096DF7" w:rsidP="00096DF7">
      <w:pPr>
        <w:rPr>
          <w:rFonts w:ascii="Times Roman" w:hAnsi="Times Roman"/>
          <w:noProof/>
        </w:rPr>
      </w:pPr>
    </w:p>
    <w:p w14:paraId="49759F06" w14:textId="613AFD04" w:rsidR="00096DF7" w:rsidRPr="00C47F2F" w:rsidRDefault="00DF1EDB" w:rsidP="00E81109">
      <w:pPr>
        <w:pStyle w:val="ab"/>
        <w:rPr>
          <w:noProof/>
          <w:sz w:val="24"/>
          <w:szCs w:val="24"/>
        </w:rPr>
      </w:pPr>
      <w:bookmarkStart w:id="403" w:name="_Ref147475065"/>
      <w:bookmarkStart w:id="404" w:name="_Ref417656604"/>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27</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1</w:t>
      </w:r>
      <w:r w:rsidR="00EA3750" w:rsidRPr="00C47F2F">
        <w:rPr>
          <w:noProof/>
          <w:sz w:val="24"/>
          <w:szCs w:val="24"/>
        </w:rPr>
        <w:fldChar w:fldCharType="end"/>
      </w:r>
      <w:bookmarkEnd w:id="403"/>
      <w:r w:rsidRPr="00C47F2F">
        <w:rPr>
          <w:noProof/>
          <w:sz w:val="24"/>
          <w:szCs w:val="24"/>
        </w:rPr>
        <w:t>.</w:t>
      </w:r>
      <w:bookmarkEnd w:id="404"/>
      <w:r w:rsidR="00096DF7" w:rsidRPr="00C47F2F">
        <w:rPr>
          <w:noProof/>
          <w:sz w:val="24"/>
          <w:szCs w:val="24"/>
        </w:rPr>
        <w:t xml:space="preserve"> Absorption parameter values for inhaled and ingested einsteinium.</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842"/>
        <w:gridCol w:w="137"/>
        <w:gridCol w:w="1174"/>
        <w:gridCol w:w="673"/>
        <w:gridCol w:w="500"/>
        <w:gridCol w:w="540"/>
        <w:gridCol w:w="31"/>
        <w:gridCol w:w="603"/>
        <w:gridCol w:w="406"/>
        <w:gridCol w:w="61"/>
        <w:gridCol w:w="706"/>
        <w:gridCol w:w="274"/>
        <w:gridCol w:w="899"/>
        <w:gridCol w:w="1181"/>
      </w:tblGrid>
      <w:tr w:rsidR="00096DF7" w:rsidRPr="00972C81" w14:paraId="2765013E" w14:textId="77777777" w:rsidTr="00FD27F3">
        <w:trPr>
          <w:cantSplit/>
          <w:trHeight w:val="340"/>
        </w:trPr>
        <w:tc>
          <w:tcPr>
            <w:tcW w:w="2119" w:type="pct"/>
            <w:gridSpan w:val="4"/>
            <w:vMerge w:val="restart"/>
            <w:tcBorders>
              <w:top w:val="single" w:sz="4" w:space="0" w:color="auto"/>
              <w:left w:val="nil"/>
              <w:bottom w:val="single" w:sz="4" w:space="0" w:color="auto"/>
              <w:right w:val="nil"/>
            </w:tcBorders>
            <w:vAlign w:val="bottom"/>
            <w:hideMark/>
          </w:tcPr>
          <w:p w14:paraId="406276A8" w14:textId="77777777" w:rsidR="00096DF7" w:rsidRPr="00033BE2" w:rsidRDefault="00096DF7" w:rsidP="00E81109">
            <w:pPr>
              <w:pStyle w:val="Table"/>
              <w:rPr>
                <w:noProof/>
                <w:szCs w:val="22"/>
              </w:rPr>
            </w:pPr>
            <w:r w:rsidRPr="00033BE2">
              <w:rPr>
                <w:noProof/>
                <w:szCs w:val="22"/>
              </w:rPr>
              <w:t>Inhaled particulate materials</w:t>
            </w:r>
          </w:p>
        </w:tc>
        <w:tc>
          <w:tcPr>
            <w:tcW w:w="1729" w:type="pct"/>
            <w:gridSpan w:val="8"/>
            <w:tcBorders>
              <w:top w:val="single" w:sz="4" w:space="0" w:color="auto"/>
              <w:left w:val="nil"/>
              <w:bottom w:val="single" w:sz="4" w:space="0" w:color="auto"/>
              <w:right w:val="nil"/>
            </w:tcBorders>
            <w:vAlign w:val="center"/>
            <w:hideMark/>
          </w:tcPr>
          <w:p w14:paraId="1C6EDDD4" w14:textId="6BFE8334" w:rsidR="00096DF7" w:rsidRPr="00033BE2" w:rsidRDefault="00096DF7" w:rsidP="00FD27F3">
            <w:pPr>
              <w:pStyle w:val="Table"/>
              <w:jc w:val="center"/>
              <w:rPr>
                <w:noProof/>
                <w:szCs w:val="22"/>
                <w:vertAlign w:val="superscript"/>
              </w:rPr>
            </w:pPr>
            <w:r w:rsidRPr="00033BE2">
              <w:rPr>
                <w:noProof/>
                <w:szCs w:val="22"/>
              </w:rPr>
              <w:t>Absorption parameter values</w:t>
            </w:r>
            <w:r w:rsidR="00DF1EDB" w:rsidRPr="00033BE2">
              <w:rPr>
                <w:noProof/>
                <w:szCs w:val="22"/>
                <w:vertAlign w:val="superscript"/>
              </w:rPr>
              <w:t>*</w:t>
            </w:r>
          </w:p>
        </w:tc>
        <w:tc>
          <w:tcPr>
            <w:tcW w:w="1152" w:type="pct"/>
            <w:gridSpan w:val="2"/>
            <w:vMerge w:val="restart"/>
            <w:tcBorders>
              <w:top w:val="single" w:sz="4" w:space="0" w:color="auto"/>
              <w:left w:val="nil"/>
              <w:bottom w:val="single" w:sz="4" w:space="0" w:color="auto"/>
              <w:right w:val="nil"/>
            </w:tcBorders>
            <w:vAlign w:val="center"/>
            <w:hideMark/>
          </w:tcPr>
          <w:p w14:paraId="6440DCD7" w14:textId="3A79AF09" w:rsidR="00096DF7" w:rsidRPr="00033BE2" w:rsidRDefault="00096DF7" w:rsidP="00FD27F3">
            <w:pPr>
              <w:pStyle w:val="Table"/>
              <w:rPr>
                <w:noProof/>
                <w:szCs w:val="22"/>
                <w:vertAlign w:val="superscript"/>
              </w:rPr>
            </w:pPr>
            <w:r w:rsidRPr="00033BE2">
              <w:rPr>
                <w:noProof/>
                <w:szCs w:val="22"/>
              </w:rPr>
              <w:t xml:space="preserve">Absorption from the alimentary tract, </w:t>
            </w:r>
            <w:r w:rsidRPr="00033BE2">
              <w:rPr>
                <w:i/>
                <w:noProof/>
                <w:szCs w:val="22"/>
              </w:rPr>
              <w:t>f</w:t>
            </w:r>
            <w:r w:rsidRPr="00033BE2">
              <w:rPr>
                <w:noProof/>
                <w:szCs w:val="22"/>
                <w:vertAlign w:val="subscript"/>
              </w:rPr>
              <w:t>A</w:t>
            </w:r>
            <w:r w:rsidR="00DF1EDB" w:rsidRPr="00033BE2">
              <w:rPr>
                <w:noProof/>
                <w:szCs w:val="22"/>
                <w:vertAlign w:val="superscript"/>
              </w:rPr>
              <w:t>†</w:t>
            </w:r>
          </w:p>
        </w:tc>
      </w:tr>
      <w:tr w:rsidR="00096DF7" w:rsidRPr="00972C81" w14:paraId="014F7BD4" w14:textId="77777777" w:rsidTr="00FD27F3">
        <w:trPr>
          <w:cantSplit/>
          <w:trHeight w:val="340"/>
        </w:trPr>
        <w:tc>
          <w:tcPr>
            <w:tcW w:w="2119" w:type="pct"/>
            <w:gridSpan w:val="4"/>
            <w:vMerge/>
            <w:tcBorders>
              <w:top w:val="single" w:sz="4" w:space="0" w:color="auto"/>
              <w:left w:val="nil"/>
              <w:bottom w:val="single" w:sz="4" w:space="0" w:color="auto"/>
              <w:right w:val="nil"/>
            </w:tcBorders>
            <w:vAlign w:val="center"/>
            <w:hideMark/>
          </w:tcPr>
          <w:p w14:paraId="68ED78E5" w14:textId="77777777" w:rsidR="00096DF7" w:rsidRPr="00033BE2" w:rsidRDefault="00096DF7" w:rsidP="00E81109">
            <w:pPr>
              <w:pStyle w:val="Table"/>
              <w:rPr>
                <w:noProof/>
                <w:szCs w:val="22"/>
              </w:rPr>
            </w:pPr>
          </w:p>
        </w:tc>
        <w:tc>
          <w:tcPr>
            <w:tcW w:w="576" w:type="pct"/>
            <w:gridSpan w:val="2"/>
            <w:tcBorders>
              <w:top w:val="single" w:sz="4" w:space="0" w:color="auto"/>
              <w:left w:val="nil"/>
              <w:bottom w:val="single" w:sz="4" w:space="0" w:color="auto"/>
              <w:right w:val="nil"/>
            </w:tcBorders>
            <w:vAlign w:val="center"/>
            <w:hideMark/>
          </w:tcPr>
          <w:p w14:paraId="7943CD11" w14:textId="77777777" w:rsidR="00096DF7" w:rsidRPr="00033BE2" w:rsidRDefault="00096DF7" w:rsidP="00FD27F3">
            <w:pPr>
              <w:pStyle w:val="Table"/>
              <w:rPr>
                <w:noProof/>
                <w:szCs w:val="22"/>
              </w:rPr>
            </w:pPr>
            <w:r w:rsidRPr="00033BE2">
              <w:rPr>
                <w:i/>
                <w:noProof/>
                <w:szCs w:val="22"/>
              </w:rPr>
              <w:t>f</w:t>
            </w:r>
            <w:r w:rsidRPr="00033BE2">
              <w:rPr>
                <w:noProof/>
                <w:szCs w:val="22"/>
                <w:vertAlign w:val="subscript"/>
              </w:rPr>
              <w:t>r</w:t>
            </w:r>
          </w:p>
        </w:tc>
        <w:tc>
          <w:tcPr>
            <w:tcW w:w="576" w:type="pct"/>
            <w:gridSpan w:val="3"/>
            <w:tcBorders>
              <w:top w:val="single" w:sz="4" w:space="0" w:color="auto"/>
              <w:left w:val="nil"/>
              <w:bottom w:val="single" w:sz="4" w:space="0" w:color="auto"/>
              <w:right w:val="nil"/>
            </w:tcBorders>
            <w:vAlign w:val="center"/>
            <w:hideMark/>
          </w:tcPr>
          <w:p w14:paraId="391F0A40" w14:textId="77777777" w:rsidR="00096DF7" w:rsidRPr="00033BE2" w:rsidRDefault="00096DF7" w:rsidP="00FD27F3">
            <w:pPr>
              <w:pStyle w:val="Table"/>
              <w:rPr>
                <w:noProof/>
                <w:szCs w:val="22"/>
              </w:rPr>
            </w:pPr>
            <w:r w:rsidRPr="00033BE2">
              <w:rPr>
                <w:i/>
                <w:noProof/>
                <w:szCs w:val="22"/>
              </w:rPr>
              <w:t>s</w:t>
            </w:r>
            <w:r w:rsidRPr="00033BE2">
              <w:rPr>
                <w:noProof/>
                <w:szCs w:val="22"/>
                <w:vertAlign w:val="subscript"/>
              </w:rPr>
              <w:t>r</w:t>
            </w:r>
            <w:r w:rsidRPr="00033BE2">
              <w:rPr>
                <w:noProof/>
                <w:szCs w:val="22"/>
              </w:rPr>
              <w:t xml:space="preserve"> (d</w:t>
            </w:r>
            <w:r w:rsidRPr="00033BE2">
              <w:rPr>
                <w:noProof/>
                <w:szCs w:val="22"/>
                <w:vertAlign w:val="superscript"/>
              </w:rPr>
              <w:t>–1</w:t>
            </w:r>
            <w:r w:rsidRPr="00033BE2">
              <w:rPr>
                <w:noProof/>
                <w:szCs w:val="22"/>
              </w:rPr>
              <w:t>)</w:t>
            </w:r>
          </w:p>
        </w:tc>
        <w:tc>
          <w:tcPr>
            <w:tcW w:w="577" w:type="pct"/>
            <w:gridSpan w:val="3"/>
            <w:tcBorders>
              <w:top w:val="single" w:sz="4" w:space="0" w:color="auto"/>
              <w:left w:val="nil"/>
              <w:bottom w:val="single" w:sz="4" w:space="0" w:color="auto"/>
              <w:right w:val="nil"/>
            </w:tcBorders>
            <w:vAlign w:val="center"/>
            <w:hideMark/>
          </w:tcPr>
          <w:p w14:paraId="76D90380" w14:textId="77777777" w:rsidR="00096DF7" w:rsidRPr="00033BE2" w:rsidRDefault="00096DF7" w:rsidP="00FD27F3">
            <w:pPr>
              <w:pStyle w:val="Table"/>
              <w:rPr>
                <w:noProof/>
                <w:szCs w:val="22"/>
              </w:rPr>
            </w:pPr>
            <w:r w:rsidRPr="00033BE2">
              <w:rPr>
                <w:i/>
                <w:noProof/>
                <w:szCs w:val="22"/>
              </w:rPr>
              <w:t>s</w:t>
            </w:r>
            <w:r w:rsidRPr="00033BE2">
              <w:rPr>
                <w:noProof/>
                <w:szCs w:val="22"/>
                <w:vertAlign w:val="subscript"/>
              </w:rPr>
              <w:t>s</w:t>
            </w:r>
            <w:r w:rsidRPr="00033BE2">
              <w:rPr>
                <w:noProof/>
                <w:szCs w:val="22"/>
              </w:rPr>
              <w:t xml:space="preserve"> (d</w:t>
            </w:r>
            <w:r w:rsidRPr="00033BE2">
              <w:rPr>
                <w:noProof/>
                <w:szCs w:val="22"/>
                <w:vertAlign w:val="superscript"/>
              </w:rPr>
              <w:t>–1</w:t>
            </w:r>
            <w:r w:rsidRPr="00033BE2">
              <w:rPr>
                <w:noProof/>
                <w:szCs w:val="22"/>
              </w:rPr>
              <w:t>)</w:t>
            </w:r>
          </w:p>
        </w:tc>
        <w:tc>
          <w:tcPr>
            <w:tcW w:w="1152" w:type="pct"/>
            <w:gridSpan w:val="2"/>
            <w:vMerge/>
            <w:tcBorders>
              <w:top w:val="single" w:sz="4" w:space="0" w:color="auto"/>
              <w:left w:val="nil"/>
              <w:bottom w:val="single" w:sz="4" w:space="0" w:color="auto"/>
              <w:right w:val="nil"/>
            </w:tcBorders>
            <w:vAlign w:val="center"/>
            <w:hideMark/>
          </w:tcPr>
          <w:p w14:paraId="7E6845EC" w14:textId="77777777" w:rsidR="00096DF7" w:rsidRPr="00033BE2" w:rsidRDefault="00096DF7" w:rsidP="00E81109">
            <w:pPr>
              <w:pStyle w:val="Table"/>
              <w:rPr>
                <w:noProof/>
                <w:szCs w:val="22"/>
                <w:vertAlign w:val="superscript"/>
              </w:rPr>
            </w:pPr>
          </w:p>
        </w:tc>
      </w:tr>
      <w:tr w:rsidR="00096DF7" w:rsidRPr="00972C81" w14:paraId="2C5B2A2E" w14:textId="77777777" w:rsidTr="00FD27F3">
        <w:trPr>
          <w:trHeight w:val="340"/>
        </w:trPr>
        <w:tc>
          <w:tcPr>
            <w:tcW w:w="2119" w:type="pct"/>
            <w:gridSpan w:val="4"/>
            <w:tcBorders>
              <w:top w:val="single" w:sz="4" w:space="0" w:color="auto"/>
              <w:left w:val="nil"/>
              <w:bottom w:val="nil"/>
              <w:right w:val="nil"/>
            </w:tcBorders>
            <w:hideMark/>
          </w:tcPr>
          <w:p w14:paraId="614E28B0" w14:textId="77777777" w:rsidR="00096DF7" w:rsidRPr="00033BE2" w:rsidRDefault="00096DF7" w:rsidP="00FD27F3">
            <w:pPr>
              <w:pStyle w:val="Table"/>
              <w:rPr>
                <w:noProof/>
                <w:szCs w:val="22"/>
              </w:rPr>
            </w:pPr>
            <w:r w:rsidRPr="00033BE2">
              <w:rPr>
                <w:noProof/>
                <w:szCs w:val="22"/>
              </w:rPr>
              <w:t>Default parameter values</w:t>
            </w:r>
          </w:p>
        </w:tc>
        <w:tc>
          <w:tcPr>
            <w:tcW w:w="576" w:type="pct"/>
            <w:gridSpan w:val="2"/>
            <w:tcBorders>
              <w:top w:val="dashed" w:sz="4" w:space="0" w:color="auto"/>
              <w:left w:val="nil"/>
              <w:bottom w:val="nil"/>
              <w:right w:val="nil"/>
            </w:tcBorders>
          </w:tcPr>
          <w:p w14:paraId="0E7BDC61" w14:textId="77777777" w:rsidR="00096DF7" w:rsidRPr="00033BE2" w:rsidRDefault="00096DF7" w:rsidP="00FD27F3">
            <w:pPr>
              <w:pStyle w:val="Table"/>
              <w:rPr>
                <w:noProof/>
                <w:szCs w:val="22"/>
              </w:rPr>
            </w:pPr>
          </w:p>
        </w:tc>
        <w:tc>
          <w:tcPr>
            <w:tcW w:w="576" w:type="pct"/>
            <w:gridSpan w:val="3"/>
            <w:tcBorders>
              <w:top w:val="dashed" w:sz="4" w:space="0" w:color="auto"/>
              <w:left w:val="nil"/>
              <w:bottom w:val="nil"/>
              <w:right w:val="nil"/>
            </w:tcBorders>
          </w:tcPr>
          <w:p w14:paraId="40C23E85" w14:textId="77777777" w:rsidR="00096DF7" w:rsidRPr="00033BE2" w:rsidRDefault="00096DF7" w:rsidP="00FD27F3">
            <w:pPr>
              <w:pStyle w:val="Table"/>
              <w:rPr>
                <w:noProof/>
                <w:szCs w:val="22"/>
              </w:rPr>
            </w:pPr>
          </w:p>
        </w:tc>
        <w:tc>
          <w:tcPr>
            <w:tcW w:w="577" w:type="pct"/>
            <w:gridSpan w:val="3"/>
            <w:tcBorders>
              <w:top w:val="dashed" w:sz="4" w:space="0" w:color="auto"/>
              <w:left w:val="nil"/>
              <w:bottom w:val="nil"/>
              <w:right w:val="nil"/>
            </w:tcBorders>
          </w:tcPr>
          <w:p w14:paraId="76E54084" w14:textId="77777777" w:rsidR="00096DF7" w:rsidRPr="00033BE2" w:rsidRDefault="00096DF7" w:rsidP="00FD27F3">
            <w:pPr>
              <w:pStyle w:val="Table"/>
              <w:rPr>
                <w:noProof/>
                <w:szCs w:val="22"/>
              </w:rPr>
            </w:pPr>
          </w:p>
        </w:tc>
        <w:tc>
          <w:tcPr>
            <w:tcW w:w="1152" w:type="pct"/>
            <w:gridSpan w:val="2"/>
            <w:tcBorders>
              <w:top w:val="dashed" w:sz="4" w:space="0" w:color="auto"/>
              <w:left w:val="nil"/>
              <w:bottom w:val="nil"/>
              <w:right w:val="nil"/>
            </w:tcBorders>
          </w:tcPr>
          <w:p w14:paraId="53E8FDBD" w14:textId="77777777" w:rsidR="00096DF7" w:rsidRPr="00033BE2" w:rsidRDefault="00096DF7" w:rsidP="00FD27F3">
            <w:pPr>
              <w:pStyle w:val="Table"/>
              <w:rPr>
                <w:i/>
                <w:noProof/>
                <w:szCs w:val="22"/>
              </w:rPr>
            </w:pPr>
          </w:p>
        </w:tc>
      </w:tr>
      <w:tr w:rsidR="00096DF7" w:rsidRPr="00972C81" w14:paraId="45F1DFC2" w14:textId="77777777" w:rsidTr="00FD27F3">
        <w:trPr>
          <w:trHeight w:val="340"/>
        </w:trPr>
        <w:tc>
          <w:tcPr>
            <w:tcW w:w="1020" w:type="pct"/>
            <w:tcBorders>
              <w:top w:val="nil"/>
              <w:left w:val="nil"/>
              <w:bottom w:val="nil"/>
              <w:right w:val="nil"/>
            </w:tcBorders>
            <w:hideMark/>
          </w:tcPr>
          <w:p w14:paraId="406DFD7A" w14:textId="77777777" w:rsidR="00096DF7" w:rsidRPr="00033BE2" w:rsidRDefault="00096DF7" w:rsidP="00FD27F3">
            <w:pPr>
              <w:pStyle w:val="Table"/>
              <w:rPr>
                <w:noProof/>
                <w:szCs w:val="22"/>
              </w:rPr>
            </w:pPr>
            <w:r w:rsidRPr="00033BE2">
              <w:rPr>
                <w:noProof/>
                <w:szCs w:val="22"/>
              </w:rPr>
              <w:t>Absorption Type</w:t>
            </w:r>
          </w:p>
        </w:tc>
        <w:tc>
          <w:tcPr>
            <w:tcW w:w="1099" w:type="pct"/>
            <w:gridSpan w:val="3"/>
            <w:tcBorders>
              <w:top w:val="nil"/>
              <w:left w:val="nil"/>
              <w:bottom w:val="nil"/>
              <w:right w:val="nil"/>
            </w:tcBorders>
            <w:hideMark/>
          </w:tcPr>
          <w:p w14:paraId="56A21832" w14:textId="77777777" w:rsidR="00096DF7" w:rsidRPr="00033BE2" w:rsidRDefault="00096DF7" w:rsidP="00FD27F3">
            <w:pPr>
              <w:pStyle w:val="Table"/>
              <w:rPr>
                <w:noProof/>
                <w:szCs w:val="22"/>
              </w:rPr>
            </w:pPr>
            <w:r w:rsidRPr="00033BE2">
              <w:rPr>
                <w:noProof/>
                <w:szCs w:val="22"/>
              </w:rPr>
              <w:t>Assigned forms</w:t>
            </w:r>
          </w:p>
        </w:tc>
        <w:tc>
          <w:tcPr>
            <w:tcW w:w="576" w:type="pct"/>
            <w:gridSpan w:val="2"/>
            <w:tcBorders>
              <w:top w:val="nil"/>
              <w:left w:val="nil"/>
              <w:bottom w:val="nil"/>
              <w:right w:val="nil"/>
            </w:tcBorders>
          </w:tcPr>
          <w:p w14:paraId="23871F11" w14:textId="77777777" w:rsidR="00096DF7" w:rsidRPr="00033BE2" w:rsidRDefault="00096DF7" w:rsidP="00FD27F3">
            <w:pPr>
              <w:pStyle w:val="Table"/>
              <w:rPr>
                <w:noProof/>
                <w:szCs w:val="22"/>
              </w:rPr>
            </w:pPr>
          </w:p>
        </w:tc>
        <w:tc>
          <w:tcPr>
            <w:tcW w:w="576" w:type="pct"/>
            <w:gridSpan w:val="3"/>
            <w:tcBorders>
              <w:top w:val="nil"/>
              <w:left w:val="nil"/>
              <w:bottom w:val="nil"/>
              <w:right w:val="nil"/>
            </w:tcBorders>
          </w:tcPr>
          <w:p w14:paraId="11BF8E0B" w14:textId="77777777" w:rsidR="00096DF7" w:rsidRPr="00033BE2" w:rsidRDefault="00096DF7" w:rsidP="00FD27F3">
            <w:pPr>
              <w:pStyle w:val="Table"/>
              <w:rPr>
                <w:noProof/>
                <w:szCs w:val="22"/>
              </w:rPr>
            </w:pPr>
          </w:p>
        </w:tc>
        <w:tc>
          <w:tcPr>
            <w:tcW w:w="577" w:type="pct"/>
            <w:gridSpan w:val="3"/>
            <w:tcBorders>
              <w:top w:val="nil"/>
              <w:left w:val="nil"/>
              <w:bottom w:val="nil"/>
              <w:right w:val="nil"/>
            </w:tcBorders>
          </w:tcPr>
          <w:p w14:paraId="7CB8FEAE" w14:textId="77777777" w:rsidR="00096DF7" w:rsidRPr="00033BE2" w:rsidRDefault="00096DF7" w:rsidP="00FD27F3">
            <w:pPr>
              <w:pStyle w:val="Table"/>
              <w:rPr>
                <w:noProof/>
                <w:szCs w:val="22"/>
              </w:rPr>
            </w:pPr>
          </w:p>
        </w:tc>
        <w:tc>
          <w:tcPr>
            <w:tcW w:w="1152" w:type="pct"/>
            <w:gridSpan w:val="2"/>
            <w:tcBorders>
              <w:top w:val="nil"/>
              <w:left w:val="nil"/>
              <w:bottom w:val="nil"/>
              <w:right w:val="nil"/>
            </w:tcBorders>
          </w:tcPr>
          <w:p w14:paraId="600F4C60" w14:textId="77777777" w:rsidR="00096DF7" w:rsidRPr="00033BE2" w:rsidRDefault="00096DF7" w:rsidP="00FD27F3">
            <w:pPr>
              <w:pStyle w:val="Table"/>
              <w:rPr>
                <w:noProof/>
                <w:szCs w:val="22"/>
              </w:rPr>
            </w:pPr>
          </w:p>
        </w:tc>
      </w:tr>
      <w:tr w:rsidR="00096DF7" w:rsidRPr="00972C81" w14:paraId="7989C38E" w14:textId="77777777" w:rsidTr="006243FB">
        <w:trPr>
          <w:trHeight w:val="597"/>
        </w:trPr>
        <w:tc>
          <w:tcPr>
            <w:tcW w:w="1020" w:type="pct"/>
            <w:tcBorders>
              <w:top w:val="nil"/>
              <w:left w:val="nil"/>
              <w:bottom w:val="nil"/>
              <w:right w:val="nil"/>
            </w:tcBorders>
            <w:hideMark/>
          </w:tcPr>
          <w:p w14:paraId="6B21E9FE" w14:textId="77777777" w:rsidR="00096DF7" w:rsidRPr="00033BE2" w:rsidRDefault="00096DF7" w:rsidP="00FD27F3">
            <w:pPr>
              <w:pStyle w:val="Table"/>
              <w:rPr>
                <w:noProof/>
                <w:szCs w:val="22"/>
              </w:rPr>
            </w:pPr>
            <w:r w:rsidRPr="00033BE2">
              <w:rPr>
                <w:noProof/>
                <w:szCs w:val="22"/>
              </w:rPr>
              <w:t>F</w:t>
            </w:r>
          </w:p>
        </w:tc>
        <w:tc>
          <w:tcPr>
            <w:tcW w:w="1099" w:type="pct"/>
            <w:gridSpan w:val="3"/>
            <w:tcBorders>
              <w:top w:val="nil"/>
              <w:left w:val="nil"/>
              <w:bottom w:val="nil"/>
              <w:right w:val="nil"/>
            </w:tcBorders>
            <w:hideMark/>
          </w:tcPr>
          <w:p w14:paraId="0F1AB148" w14:textId="77777777" w:rsidR="00096DF7" w:rsidRPr="00033BE2" w:rsidRDefault="006D6AB0" w:rsidP="00FD27F3">
            <w:pPr>
              <w:pStyle w:val="Table"/>
              <w:rPr>
                <w:noProof/>
                <w:szCs w:val="22"/>
              </w:rPr>
            </w:pPr>
            <w:r w:rsidRPr="00033BE2">
              <w:rPr>
                <w:noProof/>
                <w:szCs w:val="22"/>
              </w:rPr>
              <w:t xml:space="preserve">Einsteinium </w:t>
            </w:r>
            <w:r w:rsidR="00096DF7" w:rsidRPr="00033BE2">
              <w:rPr>
                <w:noProof/>
                <w:szCs w:val="22"/>
              </w:rPr>
              <w:t>chloride</w:t>
            </w:r>
          </w:p>
        </w:tc>
        <w:tc>
          <w:tcPr>
            <w:tcW w:w="576" w:type="pct"/>
            <w:gridSpan w:val="2"/>
            <w:tcBorders>
              <w:top w:val="nil"/>
              <w:left w:val="nil"/>
              <w:bottom w:val="nil"/>
              <w:right w:val="nil"/>
            </w:tcBorders>
            <w:hideMark/>
          </w:tcPr>
          <w:p w14:paraId="0E0FE250" w14:textId="77777777" w:rsidR="00096DF7" w:rsidRPr="00033BE2" w:rsidRDefault="00096DF7" w:rsidP="00FD27F3">
            <w:pPr>
              <w:pStyle w:val="Table"/>
              <w:rPr>
                <w:noProof/>
                <w:szCs w:val="22"/>
              </w:rPr>
            </w:pPr>
            <w:r w:rsidRPr="00033BE2">
              <w:rPr>
                <w:noProof/>
                <w:szCs w:val="22"/>
              </w:rPr>
              <w:t>1</w:t>
            </w:r>
          </w:p>
        </w:tc>
        <w:tc>
          <w:tcPr>
            <w:tcW w:w="576" w:type="pct"/>
            <w:gridSpan w:val="3"/>
            <w:tcBorders>
              <w:top w:val="nil"/>
              <w:left w:val="nil"/>
              <w:bottom w:val="nil"/>
              <w:right w:val="nil"/>
            </w:tcBorders>
            <w:hideMark/>
          </w:tcPr>
          <w:p w14:paraId="1269D1A9" w14:textId="77777777" w:rsidR="00096DF7" w:rsidRPr="00033BE2" w:rsidRDefault="00096DF7" w:rsidP="00FD27F3">
            <w:pPr>
              <w:pStyle w:val="Table"/>
              <w:rPr>
                <w:noProof/>
                <w:szCs w:val="22"/>
              </w:rPr>
            </w:pPr>
            <w:r w:rsidRPr="00033BE2">
              <w:rPr>
                <w:noProof/>
                <w:szCs w:val="22"/>
              </w:rPr>
              <w:t>0.4</w:t>
            </w:r>
          </w:p>
        </w:tc>
        <w:tc>
          <w:tcPr>
            <w:tcW w:w="577" w:type="pct"/>
            <w:gridSpan w:val="3"/>
            <w:tcBorders>
              <w:top w:val="nil"/>
              <w:left w:val="nil"/>
              <w:bottom w:val="nil"/>
              <w:right w:val="nil"/>
            </w:tcBorders>
            <w:hideMark/>
          </w:tcPr>
          <w:p w14:paraId="009CF586" w14:textId="77777777" w:rsidR="00096DF7" w:rsidRPr="00033BE2" w:rsidRDefault="00096DF7" w:rsidP="00FD27F3">
            <w:pPr>
              <w:pStyle w:val="Table"/>
              <w:rPr>
                <w:noProof/>
                <w:szCs w:val="22"/>
              </w:rPr>
            </w:pPr>
            <w:r w:rsidRPr="00033BE2">
              <w:rPr>
                <w:noProof/>
                <w:szCs w:val="22"/>
              </w:rPr>
              <w:t>–</w:t>
            </w:r>
          </w:p>
        </w:tc>
        <w:tc>
          <w:tcPr>
            <w:tcW w:w="1152" w:type="pct"/>
            <w:gridSpan w:val="2"/>
            <w:tcBorders>
              <w:top w:val="nil"/>
              <w:left w:val="nil"/>
              <w:bottom w:val="nil"/>
              <w:right w:val="nil"/>
            </w:tcBorders>
            <w:hideMark/>
          </w:tcPr>
          <w:p w14:paraId="2083C0D7" w14:textId="693CB4B9" w:rsidR="00096DF7" w:rsidRPr="00033BE2" w:rsidRDefault="00096DF7" w:rsidP="00FD27F3">
            <w:pPr>
              <w:pStyle w:val="Table"/>
              <w:rPr>
                <w:noProof/>
                <w:szCs w:val="22"/>
              </w:rPr>
            </w:pPr>
            <w:r w:rsidRPr="00033BE2">
              <w:rPr>
                <w:noProof/>
                <w:szCs w:val="22"/>
              </w:rPr>
              <w:t>5</w:t>
            </w:r>
            <w:r w:rsidR="00067025" w:rsidRPr="00033BE2">
              <w:rPr>
                <w:noProof/>
                <w:szCs w:val="22"/>
              </w:rPr>
              <w:t xml:space="preserve"> × </w:t>
            </w:r>
            <w:r w:rsidRPr="00033BE2">
              <w:rPr>
                <w:noProof/>
                <w:szCs w:val="22"/>
              </w:rPr>
              <w:t>10</w:t>
            </w:r>
            <w:r w:rsidRPr="00033BE2">
              <w:rPr>
                <w:noProof/>
                <w:szCs w:val="22"/>
                <w:vertAlign w:val="superscript"/>
              </w:rPr>
              <w:t>–4</w:t>
            </w:r>
          </w:p>
        </w:tc>
      </w:tr>
      <w:tr w:rsidR="00096DF7" w:rsidRPr="00972C81" w14:paraId="3A6ABC2F" w14:textId="77777777" w:rsidTr="00FD27F3">
        <w:trPr>
          <w:trHeight w:val="340"/>
        </w:trPr>
        <w:tc>
          <w:tcPr>
            <w:tcW w:w="1020" w:type="pct"/>
            <w:tcBorders>
              <w:top w:val="nil"/>
              <w:left w:val="nil"/>
              <w:bottom w:val="nil"/>
              <w:right w:val="nil"/>
            </w:tcBorders>
            <w:hideMark/>
          </w:tcPr>
          <w:p w14:paraId="352026EB" w14:textId="3FE2CE3A" w:rsidR="00096DF7" w:rsidRPr="00033BE2" w:rsidRDefault="00096DF7" w:rsidP="00FD27F3">
            <w:pPr>
              <w:pStyle w:val="Table"/>
              <w:rPr>
                <w:noProof/>
                <w:szCs w:val="22"/>
                <w:vertAlign w:val="superscript"/>
              </w:rPr>
            </w:pPr>
            <w:r w:rsidRPr="00033BE2">
              <w:rPr>
                <w:noProof/>
                <w:szCs w:val="22"/>
              </w:rPr>
              <w:t>M</w:t>
            </w:r>
            <w:r w:rsidR="00DF1EDB" w:rsidRPr="00033BE2">
              <w:rPr>
                <w:noProof/>
                <w:szCs w:val="22"/>
                <w:vertAlign w:val="superscript"/>
              </w:rPr>
              <w:t>‡</w:t>
            </w:r>
          </w:p>
        </w:tc>
        <w:tc>
          <w:tcPr>
            <w:tcW w:w="1099" w:type="pct"/>
            <w:gridSpan w:val="3"/>
            <w:tcBorders>
              <w:top w:val="nil"/>
              <w:left w:val="nil"/>
              <w:bottom w:val="nil"/>
              <w:right w:val="nil"/>
            </w:tcBorders>
            <w:hideMark/>
          </w:tcPr>
          <w:p w14:paraId="2D81DF10" w14:textId="77777777" w:rsidR="00096DF7" w:rsidRPr="00033BE2" w:rsidRDefault="006D6AB0" w:rsidP="00FD27F3">
            <w:pPr>
              <w:pStyle w:val="Table"/>
              <w:rPr>
                <w:noProof/>
                <w:szCs w:val="22"/>
                <w:vertAlign w:val="superscript"/>
              </w:rPr>
            </w:pPr>
            <w:r w:rsidRPr="00033BE2">
              <w:rPr>
                <w:noProof/>
                <w:szCs w:val="22"/>
              </w:rPr>
              <w:t xml:space="preserve">Einsteinium </w:t>
            </w:r>
            <w:r w:rsidR="00096DF7" w:rsidRPr="00033BE2">
              <w:rPr>
                <w:noProof/>
                <w:szCs w:val="22"/>
              </w:rPr>
              <w:t>nitrate</w:t>
            </w:r>
          </w:p>
        </w:tc>
        <w:tc>
          <w:tcPr>
            <w:tcW w:w="576" w:type="pct"/>
            <w:gridSpan w:val="2"/>
            <w:tcBorders>
              <w:top w:val="nil"/>
              <w:left w:val="nil"/>
              <w:bottom w:val="nil"/>
              <w:right w:val="nil"/>
            </w:tcBorders>
            <w:hideMark/>
          </w:tcPr>
          <w:p w14:paraId="6A572C8C" w14:textId="77777777" w:rsidR="00096DF7" w:rsidRPr="00033BE2" w:rsidRDefault="00096DF7" w:rsidP="00FD27F3">
            <w:pPr>
              <w:pStyle w:val="Table"/>
              <w:rPr>
                <w:noProof/>
                <w:szCs w:val="22"/>
              </w:rPr>
            </w:pPr>
            <w:r w:rsidRPr="00033BE2">
              <w:rPr>
                <w:noProof/>
                <w:szCs w:val="22"/>
              </w:rPr>
              <w:t>0.2</w:t>
            </w:r>
          </w:p>
        </w:tc>
        <w:tc>
          <w:tcPr>
            <w:tcW w:w="576" w:type="pct"/>
            <w:gridSpan w:val="3"/>
            <w:tcBorders>
              <w:top w:val="nil"/>
              <w:left w:val="nil"/>
              <w:bottom w:val="nil"/>
              <w:right w:val="nil"/>
            </w:tcBorders>
            <w:hideMark/>
          </w:tcPr>
          <w:p w14:paraId="2D54D87E" w14:textId="77777777" w:rsidR="00096DF7" w:rsidRPr="00033BE2" w:rsidRDefault="00096DF7" w:rsidP="00FD27F3">
            <w:pPr>
              <w:pStyle w:val="Table"/>
              <w:rPr>
                <w:noProof/>
                <w:szCs w:val="22"/>
              </w:rPr>
            </w:pPr>
            <w:r w:rsidRPr="00033BE2">
              <w:rPr>
                <w:noProof/>
                <w:szCs w:val="22"/>
              </w:rPr>
              <w:t>0.4</w:t>
            </w:r>
          </w:p>
        </w:tc>
        <w:tc>
          <w:tcPr>
            <w:tcW w:w="577" w:type="pct"/>
            <w:gridSpan w:val="3"/>
            <w:tcBorders>
              <w:top w:val="nil"/>
              <w:left w:val="nil"/>
              <w:bottom w:val="nil"/>
              <w:right w:val="nil"/>
            </w:tcBorders>
            <w:hideMark/>
          </w:tcPr>
          <w:p w14:paraId="2B022740" w14:textId="77777777" w:rsidR="00096DF7" w:rsidRPr="00033BE2" w:rsidRDefault="00096DF7" w:rsidP="00FD27F3">
            <w:pPr>
              <w:pStyle w:val="Table"/>
              <w:rPr>
                <w:noProof/>
                <w:szCs w:val="22"/>
              </w:rPr>
            </w:pPr>
            <w:r w:rsidRPr="00033BE2">
              <w:rPr>
                <w:noProof/>
                <w:szCs w:val="22"/>
              </w:rPr>
              <w:t>0.005</w:t>
            </w:r>
          </w:p>
        </w:tc>
        <w:tc>
          <w:tcPr>
            <w:tcW w:w="1152" w:type="pct"/>
            <w:gridSpan w:val="2"/>
            <w:tcBorders>
              <w:top w:val="nil"/>
              <w:left w:val="nil"/>
              <w:bottom w:val="nil"/>
              <w:right w:val="nil"/>
            </w:tcBorders>
            <w:hideMark/>
          </w:tcPr>
          <w:p w14:paraId="0CA8950D" w14:textId="7B0E4B1A" w:rsidR="00096DF7" w:rsidRPr="00033BE2" w:rsidRDefault="00096DF7" w:rsidP="00FD27F3">
            <w:pPr>
              <w:pStyle w:val="Table"/>
              <w:rPr>
                <w:noProof/>
                <w:szCs w:val="22"/>
              </w:rPr>
            </w:pPr>
            <w:r w:rsidRPr="00033BE2">
              <w:rPr>
                <w:noProof/>
                <w:szCs w:val="22"/>
              </w:rPr>
              <w:t>1</w:t>
            </w:r>
            <w:r w:rsidR="00067025" w:rsidRPr="00033BE2">
              <w:rPr>
                <w:noProof/>
                <w:szCs w:val="22"/>
              </w:rPr>
              <w:t xml:space="preserve"> × </w:t>
            </w:r>
            <w:r w:rsidRPr="00033BE2">
              <w:rPr>
                <w:noProof/>
                <w:szCs w:val="22"/>
              </w:rPr>
              <w:t>10</w:t>
            </w:r>
            <w:r w:rsidRPr="00033BE2">
              <w:rPr>
                <w:noProof/>
                <w:szCs w:val="22"/>
                <w:vertAlign w:val="superscript"/>
              </w:rPr>
              <w:t>–4</w:t>
            </w:r>
          </w:p>
        </w:tc>
      </w:tr>
      <w:tr w:rsidR="00096DF7" w:rsidRPr="00972C81" w14:paraId="42AAF5E5" w14:textId="77777777" w:rsidTr="00FD27F3">
        <w:trPr>
          <w:trHeight w:val="340"/>
        </w:trPr>
        <w:tc>
          <w:tcPr>
            <w:tcW w:w="1020" w:type="pct"/>
            <w:tcBorders>
              <w:top w:val="nil"/>
              <w:left w:val="nil"/>
              <w:bottom w:val="single" w:sz="4" w:space="0" w:color="auto"/>
              <w:right w:val="nil"/>
            </w:tcBorders>
            <w:hideMark/>
          </w:tcPr>
          <w:p w14:paraId="2BC23436" w14:textId="77777777" w:rsidR="00096DF7" w:rsidRPr="00033BE2" w:rsidRDefault="00096DF7" w:rsidP="00FD27F3">
            <w:pPr>
              <w:pStyle w:val="Table"/>
              <w:rPr>
                <w:noProof/>
                <w:szCs w:val="22"/>
              </w:rPr>
            </w:pPr>
            <w:r w:rsidRPr="00033BE2">
              <w:rPr>
                <w:noProof/>
                <w:szCs w:val="22"/>
              </w:rPr>
              <w:t>S</w:t>
            </w:r>
          </w:p>
        </w:tc>
        <w:tc>
          <w:tcPr>
            <w:tcW w:w="1099" w:type="pct"/>
            <w:gridSpan w:val="3"/>
            <w:tcBorders>
              <w:top w:val="nil"/>
              <w:left w:val="nil"/>
              <w:bottom w:val="single" w:sz="4" w:space="0" w:color="auto"/>
              <w:right w:val="nil"/>
            </w:tcBorders>
          </w:tcPr>
          <w:p w14:paraId="5459CCFD" w14:textId="77777777" w:rsidR="00096DF7" w:rsidRPr="00033BE2" w:rsidRDefault="006D6AB0" w:rsidP="00FD27F3">
            <w:pPr>
              <w:pStyle w:val="Table"/>
              <w:rPr>
                <w:noProof/>
                <w:szCs w:val="22"/>
              </w:rPr>
            </w:pPr>
            <w:r w:rsidRPr="00033BE2">
              <w:rPr>
                <w:noProof/>
                <w:color w:val="000000" w:themeColor="text1"/>
                <w:szCs w:val="22"/>
              </w:rPr>
              <w:t>—</w:t>
            </w:r>
          </w:p>
        </w:tc>
        <w:tc>
          <w:tcPr>
            <w:tcW w:w="576" w:type="pct"/>
            <w:gridSpan w:val="2"/>
            <w:tcBorders>
              <w:top w:val="nil"/>
              <w:left w:val="nil"/>
              <w:bottom w:val="single" w:sz="4" w:space="0" w:color="auto"/>
              <w:right w:val="nil"/>
            </w:tcBorders>
            <w:hideMark/>
          </w:tcPr>
          <w:p w14:paraId="1419E9CB" w14:textId="77777777" w:rsidR="00096DF7" w:rsidRPr="00033BE2" w:rsidRDefault="00096DF7" w:rsidP="00FD27F3">
            <w:pPr>
              <w:pStyle w:val="Table"/>
              <w:rPr>
                <w:noProof/>
                <w:szCs w:val="22"/>
              </w:rPr>
            </w:pPr>
            <w:r w:rsidRPr="00033BE2">
              <w:rPr>
                <w:noProof/>
                <w:szCs w:val="22"/>
              </w:rPr>
              <w:t>0.01</w:t>
            </w:r>
          </w:p>
        </w:tc>
        <w:tc>
          <w:tcPr>
            <w:tcW w:w="576" w:type="pct"/>
            <w:gridSpan w:val="3"/>
            <w:tcBorders>
              <w:top w:val="nil"/>
              <w:left w:val="nil"/>
              <w:bottom w:val="single" w:sz="4" w:space="0" w:color="auto"/>
              <w:right w:val="nil"/>
            </w:tcBorders>
            <w:hideMark/>
          </w:tcPr>
          <w:p w14:paraId="412AC918" w14:textId="77777777" w:rsidR="00096DF7" w:rsidRPr="00033BE2" w:rsidRDefault="00096DF7" w:rsidP="00FD27F3">
            <w:pPr>
              <w:pStyle w:val="Table"/>
              <w:rPr>
                <w:noProof/>
                <w:szCs w:val="22"/>
              </w:rPr>
            </w:pPr>
            <w:r w:rsidRPr="00033BE2">
              <w:rPr>
                <w:noProof/>
                <w:szCs w:val="22"/>
              </w:rPr>
              <w:t>0.4</w:t>
            </w:r>
          </w:p>
        </w:tc>
        <w:tc>
          <w:tcPr>
            <w:tcW w:w="577" w:type="pct"/>
            <w:gridSpan w:val="3"/>
            <w:tcBorders>
              <w:top w:val="nil"/>
              <w:left w:val="nil"/>
              <w:bottom w:val="single" w:sz="4" w:space="0" w:color="auto"/>
              <w:right w:val="nil"/>
            </w:tcBorders>
            <w:hideMark/>
          </w:tcPr>
          <w:p w14:paraId="217167FA" w14:textId="6E6421F3" w:rsidR="00096DF7" w:rsidRPr="00033BE2" w:rsidRDefault="00096DF7" w:rsidP="00FD27F3">
            <w:pPr>
              <w:pStyle w:val="Table"/>
              <w:rPr>
                <w:noProof/>
                <w:szCs w:val="22"/>
              </w:rPr>
            </w:pPr>
            <w:r w:rsidRPr="00033BE2">
              <w:rPr>
                <w:noProof/>
                <w:szCs w:val="22"/>
              </w:rPr>
              <w:t>1</w:t>
            </w:r>
            <w:r w:rsidR="00067025" w:rsidRPr="00033BE2">
              <w:rPr>
                <w:noProof/>
                <w:szCs w:val="22"/>
              </w:rPr>
              <w:t xml:space="preserve"> × </w:t>
            </w:r>
            <w:r w:rsidRPr="00033BE2">
              <w:rPr>
                <w:noProof/>
                <w:szCs w:val="22"/>
              </w:rPr>
              <w:t>10</w:t>
            </w:r>
            <w:r w:rsidRPr="00033BE2">
              <w:rPr>
                <w:noProof/>
                <w:szCs w:val="22"/>
                <w:vertAlign w:val="superscript"/>
              </w:rPr>
              <w:t>–4</w:t>
            </w:r>
          </w:p>
        </w:tc>
        <w:tc>
          <w:tcPr>
            <w:tcW w:w="1152" w:type="pct"/>
            <w:gridSpan w:val="2"/>
            <w:tcBorders>
              <w:top w:val="nil"/>
              <w:left w:val="nil"/>
              <w:bottom w:val="single" w:sz="4" w:space="0" w:color="auto"/>
              <w:right w:val="nil"/>
            </w:tcBorders>
            <w:hideMark/>
          </w:tcPr>
          <w:p w14:paraId="16AE9586" w14:textId="12774AB6" w:rsidR="00096DF7" w:rsidRPr="00033BE2" w:rsidRDefault="00096DF7" w:rsidP="00FD27F3">
            <w:pPr>
              <w:pStyle w:val="Table"/>
              <w:rPr>
                <w:noProof/>
                <w:szCs w:val="22"/>
              </w:rPr>
            </w:pPr>
            <w:r w:rsidRPr="00033BE2">
              <w:rPr>
                <w:noProof/>
                <w:szCs w:val="22"/>
              </w:rPr>
              <w:t>5</w:t>
            </w:r>
            <w:r w:rsidR="00067025" w:rsidRPr="00033BE2">
              <w:rPr>
                <w:noProof/>
                <w:szCs w:val="22"/>
              </w:rPr>
              <w:t xml:space="preserve"> × </w:t>
            </w:r>
            <w:r w:rsidRPr="00033BE2">
              <w:rPr>
                <w:noProof/>
                <w:szCs w:val="22"/>
              </w:rPr>
              <w:t>10</w:t>
            </w:r>
            <w:r w:rsidRPr="00033BE2">
              <w:rPr>
                <w:noProof/>
                <w:szCs w:val="22"/>
                <w:vertAlign w:val="superscript"/>
              </w:rPr>
              <w:t>–6</w:t>
            </w:r>
          </w:p>
        </w:tc>
      </w:tr>
      <w:tr w:rsidR="00096DF7" w:rsidRPr="00972C81" w14:paraId="4983E769" w14:textId="77777777" w:rsidTr="006243FB">
        <w:trPr>
          <w:trHeight w:val="340"/>
        </w:trPr>
        <w:tc>
          <w:tcPr>
            <w:tcW w:w="2119" w:type="pct"/>
            <w:gridSpan w:val="4"/>
            <w:tcBorders>
              <w:top w:val="single" w:sz="4" w:space="0" w:color="auto"/>
              <w:left w:val="nil"/>
              <w:bottom w:val="nil"/>
              <w:right w:val="nil"/>
            </w:tcBorders>
          </w:tcPr>
          <w:p w14:paraId="33A81F38" w14:textId="77777777" w:rsidR="00096DF7" w:rsidRPr="00033BE2" w:rsidRDefault="00096DF7" w:rsidP="00E81109">
            <w:pPr>
              <w:pStyle w:val="Table"/>
              <w:rPr>
                <w:noProof/>
                <w:szCs w:val="22"/>
              </w:rPr>
            </w:pPr>
          </w:p>
        </w:tc>
        <w:tc>
          <w:tcPr>
            <w:tcW w:w="593" w:type="pct"/>
            <w:gridSpan w:val="3"/>
            <w:tcBorders>
              <w:top w:val="single" w:sz="4" w:space="0" w:color="auto"/>
              <w:left w:val="nil"/>
              <w:bottom w:val="nil"/>
              <w:right w:val="nil"/>
            </w:tcBorders>
          </w:tcPr>
          <w:p w14:paraId="53C276B1" w14:textId="77777777" w:rsidR="00096DF7" w:rsidRPr="00033BE2" w:rsidRDefault="00096DF7" w:rsidP="00E81109">
            <w:pPr>
              <w:pStyle w:val="Table"/>
              <w:rPr>
                <w:noProof/>
                <w:szCs w:val="22"/>
              </w:rPr>
            </w:pPr>
          </w:p>
        </w:tc>
        <w:tc>
          <w:tcPr>
            <w:tcW w:w="593" w:type="pct"/>
            <w:gridSpan w:val="3"/>
            <w:tcBorders>
              <w:top w:val="single" w:sz="4" w:space="0" w:color="auto"/>
              <w:left w:val="nil"/>
              <w:bottom w:val="nil"/>
              <w:right w:val="nil"/>
            </w:tcBorders>
          </w:tcPr>
          <w:p w14:paraId="66504BDA" w14:textId="77777777" w:rsidR="00096DF7" w:rsidRPr="00033BE2" w:rsidRDefault="00096DF7" w:rsidP="00E81109">
            <w:pPr>
              <w:pStyle w:val="Table"/>
              <w:rPr>
                <w:noProof/>
                <w:szCs w:val="22"/>
              </w:rPr>
            </w:pPr>
          </w:p>
        </w:tc>
        <w:tc>
          <w:tcPr>
            <w:tcW w:w="543" w:type="pct"/>
            <w:gridSpan w:val="2"/>
            <w:tcBorders>
              <w:top w:val="single" w:sz="4" w:space="0" w:color="auto"/>
              <w:left w:val="nil"/>
              <w:bottom w:val="nil"/>
              <w:right w:val="nil"/>
            </w:tcBorders>
          </w:tcPr>
          <w:p w14:paraId="317AC516" w14:textId="77777777" w:rsidR="00096DF7" w:rsidRPr="00033BE2" w:rsidRDefault="00096DF7" w:rsidP="00E81109">
            <w:pPr>
              <w:pStyle w:val="Table"/>
              <w:rPr>
                <w:noProof/>
                <w:szCs w:val="22"/>
              </w:rPr>
            </w:pPr>
          </w:p>
        </w:tc>
        <w:tc>
          <w:tcPr>
            <w:tcW w:w="1152" w:type="pct"/>
            <w:gridSpan w:val="2"/>
            <w:tcBorders>
              <w:top w:val="single" w:sz="4" w:space="0" w:color="auto"/>
              <w:left w:val="nil"/>
              <w:bottom w:val="nil"/>
              <w:right w:val="nil"/>
            </w:tcBorders>
          </w:tcPr>
          <w:p w14:paraId="4DE79D21" w14:textId="77777777" w:rsidR="00096DF7" w:rsidRPr="00033BE2" w:rsidRDefault="00096DF7" w:rsidP="00E81109">
            <w:pPr>
              <w:pStyle w:val="Table"/>
              <w:rPr>
                <w:noProof/>
                <w:szCs w:val="22"/>
              </w:rPr>
            </w:pPr>
          </w:p>
        </w:tc>
      </w:tr>
      <w:tr w:rsidR="00096DF7" w:rsidRPr="00972C81" w14:paraId="34DD3768" w14:textId="77777777" w:rsidTr="006243FB">
        <w:trPr>
          <w:trHeight w:val="340"/>
        </w:trPr>
        <w:tc>
          <w:tcPr>
            <w:tcW w:w="2119" w:type="pct"/>
            <w:gridSpan w:val="4"/>
            <w:tcBorders>
              <w:top w:val="nil"/>
              <w:left w:val="nil"/>
              <w:bottom w:val="single" w:sz="4" w:space="0" w:color="auto"/>
              <w:right w:val="nil"/>
            </w:tcBorders>
            <w:hideMark/>
          </w:tcPr>
          <w:p w14:paraId="64517A9D" w14:textId="2F23A54E" w:rsidR="00096DF7" w:rsidRPr="00033BE2" w:rsidRDefault="00096DF7" w:rsidP="00E81109">
            <w:pPr>
              <w:pStyle w:val="Table"/>
              <w:rPr>
                <w:noProof/>
                <w:szCs w:val="22"/>
              </w:rPr>
            </w:pPr>
            <w:r w:rsidRPr="00033BE2">
              <w:rPr>
                <w:noProof/>
                <w:szCs w:val="22"/>
              </w:rPr>
              <w:t>Ingested material</w:t>
            </w:r>
            <w:r w:rsidR="00DF1EDB" w:rsidRPr="00033BE2">
              <w:rPr>
                <w:noProof/>
                <w:szCs w:val="22"/>
                <w:vertAlign w:val="superscript"/>
              </w:rPr>
              <w:t>§</w:t>
            </w:r>
          </w:p>
        </w:tc>
        <w:tc>
          <w:tcPr>
            <w:tcW w:w="593" w:type="pct"/>
            <w:gridSpan w:val="3"/>
            <w:tcBorders>
              <w:top w:val="nil"/>
              <w:left w:val="nil"/>
              <w:bottom w:val="single" w:sz="4" w:space="0" w:color="auto"/>
              <w:right w:val="nil"/>
            </w:tcBorders>
          </w:tcPr>
          <w:p w14:paraId="24D9C037" w14:textId="77777777" w:rsidR="00096DF7" w:rsidRPr="00033BE2" w:rsidRDefault="00096DF7" w:rsidP="00E81109">
            <w:pPr>
              <w:pStyle w:val="Table"/>
              <w:rPr>
                <w:noProof/>
                <w:szCs w:val="22"/>
              </w:rPr>
            </w:pPr>
          </w:p>
        </w:tc>
        <w:tc>
          <w:tcPr>
            <w:tcW w:w="593" w:type="pct"/>
            <w:gridSpan w:val="3"/>
            <w:tcBorders>
              <w:top w:val="nil"/>
              <w:left w:val="nil"/>
              <w:bottom w:val="single" w:sz="4" w:space="0" w:color="auto"/>
              <w:right w:val="nil"/>
            </w:tcBorders>
          </w:tcPr>
          <w:p w14:paraId="50AFB607" w14:textId="77777777" w:rsidR="00096DF7" w:rsidRPr="00033BE2" w:rsidRDefault="00096DF7" w:rsidP="00E81109">
            <w:pPr>
              <w:pStyle w:val="Table"/>
              <w:rPr>
                <w:noProof/>
                <w:szCs w:val="22"/>
              </w:rPr>
            </w:pPr>
          </w:p>
        </w:tc>
        <w:tc>
          <w:tcPr>
            <w:tcW w:w="543" w:type="pct"/>
            <w:gridSpan w:val="2"/>
            <w:tcBorders>
              <w:top w:val="nil"/>
              <w:left w:val="nil"/>
              <w:bottom w:val="single" w:sz="4" w:space="0" w:color="auto"/>
              <w:right w:val="nil"/>
            </w:tcBorders>
          </w:tcPr>
          <w:p w14:paraId="7FE6FF49" w14:textId="77777777" w:rsidR="00096DF7" w:rsidRPr="00033BE2" w:rsidRDefault="00096DF7" w:rsidP="00E81109">
            <w:pPr>
              <w:pStyle w:val="Table"/>
              <w:rPr>
                <w:noProof/>
                <w:szCs w:val="22"/>
              </w:rPr>
            </w:pPr>
          </w:p>
        </w:tc>
        <w:tc>
          <w:tcPr>
            <w:tcW w:w="1152" w:type="pct"/>
            <w:gridSpan w:val="2"/>
            <w:tcBorders>
              <w:top w:val="nil"/>
              <w:left w:val="nil"/>
              <w:bottom w:val="single" w:sz="4" w:space="0" w:color="auto"/>
              <w:right w:val="nil"/>
            </w:tcBorders>
          </w:tcPr>
          <w:p w14:paraId="5BDC7E11" w14:textId="77777777" w:rsidR="00096DF7" w:rsidRPr="00033BE2" w:rsidRDefault="00096DF7" w:rsidP="00E81109">
            <w:pPr>
              <w:pStyle w:val="Table"/>
              <w:rPr>
                <w:noProof/>
                <w:szCs w:val="22"/>
              </w:rPr>
            </w:pPr>
          </w:p>
        </w:tc>
      </w:tr>
      <w:tr w:rsidR="006243FB" w:rsidRPr="00972C81" w14:paraId="2B95AC1E" w14:textId="77777777" w:rsidTr="006243FB">
        <w:trPr>
          <w:trHeight w:val="340"/>
        </w:trPr>
        <w:tc>
          <w:tcPr>
            <w:tcW w:w="1096" w:type="pct"/>
            <w:gridSpan w:val="2"/>
            <w:vMerge w:val="restart"/>
            <w:tcBorders>
              <w:top w:val="single" w:sz="4" w:space="0" w:color="auto"/>
              <w:left w:val="nil"/>
              <w:bottom w:val="nil"/>
              <w:right w:val="nil"/>
            </w:tcBorders>
            <w:vAlign w:val="center"/>
            <w:hideMark/>
          </w:tcPr>
          <w:p w14:paraId="25A35378" w14:textId="149A7736" w:rsidR="006243FB" w:rsidRPr="00033BE2" w:rsidRDefault="006243FB" w:rsidP="006243FB">
            <w:pPr>
              <w:pStyle w:val="Table"/>
              <w:rPr>
                <w:noProof/>
                <w:szCs w:val="22"/>
              </w:rPr>
            </w:pPr>
            <w:r w:rsidRPr="00033BE2">
              <w:rPr>
                <w:noProof/>
                <w:szCs w:val="22"/>
              </w:rPr>
              <w:t>Assigned forms</w:t>
            </w:r>
          </w:p>
        </w:tc>
        <w:tc>
          <w:tcPr>
            <w:tcW w:w="3904" w:type="pct"/>
            <w:gridSpan w:val="12"/>
            <w:tcBorders>
              <w:top w:val="single" w:sz="4" w:space="0" w:color="auto"/>
              <w:left w:val="nil"/>
              <w:bottom w:val="single" w:sz="4" w:space="0" w:color="auto"/>
              <w:right w:val="nil"/>
            </w:tcBorders>
            <w:vAlign w:val="center"/>
          </w:tcPr>
          <w:p w14:paraId="25E05E7D" w14:textId="10B2AFB5" w:rsidR="006243FB" w:rsidRPr="00033BE2" w:rsidRDefault="006243FB" w:rsidP="006243FB">
            <w:pPr>
              <w:pStyle w:val="Table"/>
              <w:jc w:val="center"/>
              <w:rPr>
                <w:noProof/>
                <w:szCs w:val="22"/>
              </w:rPr>
            </w:pPr>
            <w:r w:rsidRPr="00033BE2">
              <w:rPr>
                <w:noProof/>
                <w:szCs w:val="22"/>
              </w:rPr>
              <w:t xml:space="preserve">Age-dependent absorption from the alimentary tract, </w:t>
            </w:r>
            <w:r w:rsidRPr="00033BE2">
              <w:rPr>
                <w:i/>
                <w:noProof/>
                <w:szCs w:val="22"/>
              </w:rPr>
              <w:t>f</w:t>
            </w:r>
            <w:r w:rsidRPr="00033BE2">
              <w:rPr>
                <w:noProof/>
                <w:szCs w:val="22"/>
                <w:vertAlign w:val="subscript"/>
              </w:rPr>
              <w:t>A</w:t>
            </w:r>
          </w:p>
        </w:tc>
      </w:tr>
      <w:tr w:rsidR="006243FB" w:rsidRPr="00972C81" w14:paraId="207B060A" w14:textId="77777777" w:rsidTr="006243FB">
        <w:trPr>
          <w:trHeight w:val="340"/>
        </w:trPr>
        <w:tc>
          <w:tcPr>
            <w:tcW w:w="1096" w:type="pct"/>
            <w:gridSpan w:val="2"/>
            <w:vMerge/>
            <w:tcBorders>
              <w:top w:val="single" w:sz="4" w:space="0" w:color="auto"/>
              <w:left w:val="nil"/>
              <w:bottom w:val="single" w:sz="4" w:space="0" w:color="auto"/>
              <w:right w:val="nil"/>
            </w:tcBorders>
          </w:tcPr>
          <w:p w14:paraId="58A63398" w14:textId="77777777" w:rsidR="006243FB" w:rsidRPr="00033BE2" w:rsidRDefault="006243FB" w:rsidP="00E81109">
            <w:pPr>
              <w:pStyle w:val="Table"/>
              <w:rPr>
                <w:noProof/>
                <w:szCs w:val="22"/>
              </w:rPr>
            </w:pPr>
          </w:p>
        </w:tc>
        <w:tc>
          <w:tcPr>
            <w:tcW w:w="650" w:type="pct"/>
            <w:tcBorders>
              <w:top w:val="single" w:sz="4" w:space="0" w:color="auto"/>
              <w:left w:val="nil"/>
              <w:bottom w:val="single" w:sz="4" w:space="0" w:color="auto"/>
              <w:right w:val="nil"/>
            </w:tcBorders>
            <w:vAlign w:val="center"/>
          </w:tcPr>
          <w:p w14:paraId="6345EAFB" w14:textId="3EF7428F" w:rsidR="006243FB" w:rsidRPr="00033BE2" w:rsidRDefault="006243FB" w:rsidP="006243FB">
            <w:pPr>
              <w:pStyle w:val="Table"/>
              <w:rPr>
                <w:noProof/>
                <w:szCs w:val="22"/>
              </w:rPr>
            </w:pPr>
            <w:r w:rsidRPr="00033BE2">
              <w:rPr>
                <w:noProof/>
                <w:szCs w:val="22"/>
              </w:rPr>
              <w:t>3 mo</w:t>
            </w:r>
          </w:p>
        </w:tc>
        <w:tc>
          <w:tcPr>
            <w:tcW w:w="650" w:type="pct"/>
            <w:gridSpan w:val="2"/>
            <w:tcBorders>
              <w:top w:val="single" w:sz="4" w:space="0" w:color="auto"/>
              <w:left w:val="nil"/>
              <w:bottom w:val="single" w:sz="4" w:space="0" w:color="auto"/>
              <w:right w:val="nil"/>
            </w:tcBorders>
            <w:vAlign w:val="center"/>
          </w:tcPr>
          <w:p w14:paraId="0C54792D" w14:textId="77AEC2A7" w:rsidR="006243FB" w:rsidRPr="00033BE2" w:rsidRDefault="006243FB" w:rsidP="006243FB">
            <w:pPr>
              <w:pStyle w:val="Table"/>
              <w:rPr>
                <w:noProof/>
                <w:szCs w:val="22"/>
              </w:rPr>
            </w:pPr>
            <w:r w:rsidRPr="00033BE2">
              <w:rPr>
                <w:noProof/>
                <w:szCs w:val="22"/>
              </w:rPr>
              <w:t>1 y</w:t>
            </w:r>
          </w:p>
        </w:tc>
        <w:tc>
          <w:tcPr>
            <w:tcW w:w="650" w:type="pct"/>
            <w:gridSpan w:val="3"/>
            <w:tcBorders>
              <w:top w:val="single" w:sz="4" w:space="0" w:color="auto"/>
              <w:left w:val="nil"/>
              <w:bottom w:val="single" w:sz="4" w:space="0" w:color="auto"/>
              <w:right w:val="nil"/>
            </w:tcBorders>
            <w:vAlign w:val="center"/>
          </w:tcPr>
          <w:p w14:paraId="1FB96C98" w14:textId="605F53A5" w:rsidR="006243FB" w:rsidRPr="00033BE2" w:rsidRDefault="006243FB" w:rsidP="006243FB">
            <w:pPr>
              <w:pStyle w:val="Table"/>
              <w:rPr>
                <w:noProof/>
                <w:szCs w:val="22"/>
              </w:rPr>
            </w:pPr>
            <w:r w:rsidRPr="00033BE2">
              <w:rPr>
                <w:noProof/>
                <w:szCs w:val="22"/>
              </w:rPr>
              <w:t xml:space="preserve"> 5 y</w:t>
            </w:r>
          </w:p>
        </w:tc>
        <w:tc>
          <w:tcPr>
            <w:tcW w:w="650" w:type="pct"/>
            <w:gridSpan w:val="3"/>
            <w:tcBorders>
              <w:top w:val="single" w:sz="4" w:space="0" w:color="auto"/>
              <w:left w:val="nil"/>
              <w:bottom w:val="single" w:sz="4" w:space="0" w:color="auto"/>
              <w:right w:val="nil"/>
            </w:tcBorders>
            <w:vAlign w:val="center"/>
          </w:tcPr>
          <w:p w14:paraId="2787D45E" w14:textId="2BC5E72F" w:rsidR="006243FB" w:rsidRPr="00033BE2" w:rsidRDefault="006243FB" w:rsidP="006243FB">
            <w:pPr>
              <w:pStyle w:val="Table"/>
              <w:rPr>
                <w:noProof/>
                <w:szCs w:val="22"/>
              </w:rPr>
            </w:pPr>
            <w:r w:rsidRPr="00033BE2">
              <w:rPr>
                <w:noProof/>
                <w:szCs w:val="22"/>
              </w:rPr>
              <w:t>10 y</w:t>
            </w:r>
          </w:p>
        </w:tc>
        <w:tc>
          <w:tcPr>
            <w:tcW w:w="650" w:type="pct"/>
            <w:gridSpan w:val="2"/>
            <w:tcBorders>
              <w:top w:val="single" w:sz="4" w:space="0" w:color="auto"/>
              <w:left w:val="nil"/>
              <w:bottom w:val="single" w:sz="4" w:space="0" w:color="auto"/>
              <w:right w:val="nil"/>
            </w:tcBorders>
            <w:vAlign w:val="center"/>
          </w:tcPr>
          <w:p w14:paraId="20EAE920" w14:textId="335221A9" w:rsidR="006243FB" w:rsidRPr="00033BE2" w:rsidRDefault="006243FB" w:rsidP="006243FB">
            <w:pPr>
              <w:pStyle w:val="Table"/>
              <w:rPr>
                <w:noProof/>
                <w:szCs w:val="22"/>
              </w:rPr>
            </w:pPr>
            <w:r w:rsidRPr="00033BE2">
              <w:rPr>
                <w:noProof/>
                <w:szCs w:val="22"/>
              </w:rPr>
              <w:t>15 y</w:t>
            </w:r>
          </w:p>
        </w:tc>
        <w:tc>
          <w:tcPr>
            <w:tcW w:w="654" w:type="pct"/>
            <w:tcBorders>
              <w:top w:val="single" w:sz="4" w:space="0" w:color="auto"/>
              <w:left w:val="nil"/>
              <w:bottom w:val="single" w:sz="4" w:space="0" w:color="auto"/>
              <w:right w:val="nil"/>
            </w:tcBorders>
            <w:vAlign w:val="center"/>
          </w:tcPr>
          <w:p w14:paraId="7B1645A7" w14:textId="63075CB9" w:rsidR="006243FB" w:rsidRPr="00033BE2" w:rsidRDefault="006243FB" w:rsidP="006243FB">
            <w:pPr>
              <w:pStyle w:val="Table"/>
              <w:rPr>
                <w:noProof/>
                <w:szCs w:val="22"/>
              </w:rPr>
            </w:pPr>
            <w:r w:rsidRPr="00033BE2">
              <w:rPr>
                <w:noProof/>
                <w:szCs w:val="22"/>
              </w:rPr>
              <w:t>adult</w:t>
            </w:r>
          </w:p>
        </w:tc>
      </w:tr>
      <w:tr w:rsidR="006D634E" w:rsidRPr="00972C81" w14:paraId="5D98A321" w14:textId="77777777" w:rsidTr="006243FB">
        <w:trPr>
          <w:trHeight w:val="340"/>
        </w:trPr>
        <w:tc>
          <w:tcPr>
            <w:tcW w:w="1096" w:type="pct"/>
            <w:gridSpan w:val="2"/>
            <w:tcBorders>
              <w:top w:val="single" w:sz="4" w:space="0" w:color="auto"/>
              <w:left w:val="nil"/>
              <w:bottom w:val="single" w:sz="4" w:space="0" w:color="auto"/>
              <w:right w:val="nil"/>
            </w:tcBorders>
            <w:vAlign w:val="center"/>
          </w:tcPr>
          <w:p w14:paraId="4104E84E" w14:textId="2C7CFF46" w:rsidR="006D634E" w:rsidRPr="00033BE2" w:rsidRDefault="006D634E" w:rsidP="006243FB">
            <w:pPr>
              <w:pStyle w:val="Table"/>
              <w:rPr>
                <w:noProof/>
                <w:szCs w:val="22"/>
              </w:rPr>
            </w:pPr>
            <w:r w:rsidRPr="00033BE2">
              <w:rPr>
                <w:noProof/>
                <w:szCs w:val="22"/>
              </w:rPr>
              <w:t>all forms</w:t>
            </w:r>
          </w:p>
        </w:tc>
        <w:tc>
          <w:tcPr>
            <w:tcW w:w="650" w:type="pct"/>
            <w:tcBorders>
              <w:top w:val="single" w:sz="4" w:space="0" w:color="auto"/>
              <w:left w:val="nil"/>
              <w:bottom w:val="single" w:sz="4" w:space="0" w:color="auto"/>
              <w:right w:val="nil"/>
            </w:tcBorders>
            <w:vAlign w:val="center"/>
          </w:tcPr>
          <w:p w14:paraId="282EF618" w14:textId="05897509" w:rsidR="006D634E" w:rsidRPr="00033BE2" w:rsidRDefault="006D634E" w:rsidP="006243FB">
            <w:pPr>
              <w:pStyle w:val="Table"/>
              <w:rPr>
                <w:noProof/>
                <w:szCs w:val="22"/>
              </w:rPr>
            </w:pPr>
            <w:r w:rsidRPr="00033BE2">
              <w:rPr>
                <w:noProof/>
                <w:color w:val="000000"/>
                <w:szCs w:val="22"/>
              </w:rPr>
              <w:t>5</w:t>
            </w:r>
            <w:r w:rsidR="00067025" w:rsidRPr="00033BE2">
              <w:rPr>
                <w:noProof/>
                <w:color w:val="000000"/>
                <w:szCs w:val="22"/>
              </w:rPr>
              <w:t xml:space="preserve"> </w:t>
            </w:r>
            <w:r w:rsidR="00067025" w:rsidRPr="00033BE2">
              <w:rPr>
                <w:noProof/>
                <w:color w:val="000000"/>
                <w:szCs w:val="22"/>
                <w:lang w:eastAsia="fr-FR"/>
              </w:rPr>
              <w:t>×</w:t>
            </w:r>
            <w:r w:rsidR="00067025" w:rsidRPr="00033BE2">
              <w:rPr>
                <w:noProof/>
                <w:color w:val="000000"/>
                <w:szCs w:val="22"/>
              </w:rPr>
              <w:t xml:space="preserve"> </w:t>
            </w:r>
            <w:r w:rsidRPr="00033BE2">
              <w:rPr>
                <w:noProof/>
                <w:color w:val="000000"/>
                <w:szCs w:val="22"/>
              </w:rPr>
              <w:t>10</w:t>
            </w:r>
            <w:r w:rsidRPr="00033BE2">
              <w:rPr>
                <w:noProof/>
                <w:color w:val="000000"/>
                <w:szCs w:val="22"/>
                <w:vertAlign w:val="superscript"/>
              </w:rPr>
              <w:t>-3</w:t>
            </w:r>
          </w:p>
        </w:tc>
        <w:tc>
          <w:tcPr>
            <w:tcW w:w="650" w:type="pct"/>
            <w:gridSpan w:val="2"/>
            <w:tcBorders>
              <w:top w:val="single" w:sz="4" w:space="0" w:color="auto"/>
              <w:left w:val="nil"/>
              <w:bottom w:val="single" w:sz="4" w:space="0" w:color="auto"/>
              <w:right w:val="nil"/>
            </w:tcBorders>
            <w:vAlign w:val="center"/>
          </w:tcPr>
          <w:p w14:paraId="2CA3C279" w14:textId="055B89A1" w:rsidR="006D634E" w:rsidRPr="00033BE2" w:rsidRDefault="006D634E" w:rsidP="006243FB">
            <w:pPr>
              <w:pStyle w:val="Table"/>
              <w:rPr>
                <w:noProof/>
                <w:szCs w:val="22"/>
              </w:rPr>
            </w:pPr>
            <w:r w:rsidRPr="00033BE2">
              <w:rPr>
                <w:noProof/>
                <w:color w:val="000000"/>
                <w:szCs w:val="22"/>
              </w:rPr>
              <w:t>5</w:t>
            </w:r>
            <w:r w:rsidR="00067025" w:rsidRPr="00033BE2">
              <w:rPr>
                <w:noProof/>
                <w:color w:val="000000"/>
                <w:szCs w:val="22"/>
              </w:rPr>
              <w:t xml:space="preserve"> </w:t>
            </w:r>
            <w:r w:rsidR="00067025" w:rsidRPr="00033BE2">
              <w:rPr>
                <w:noProof/>
                <w:color w:val="000000"/>
                <w:szCs w:val="22"/>
                <w:lang w:eastAsia="fr-FR"/>
              </w:rPr>
              <w:t>×</w:t>
            </w:r>
            <w:r w:rsidR="00067025" w:rsidRPr="00033BE2">
              <w:rPr>
                <w:noProof/>
                <w:color w:val="000000"/>
                <w:szCs w:val="22"/>
              </w:rPr>
              <w:t xml:space="preserve"> </w:t>
            </w:r>
            <w:r w:rsidRPr="00033BE2">
              <w:rPr>
                <w:noProof/>
                <w:color w:val="000000"/>
                <w:szCs w:val="22"/>
              </w:rPr>
              <w:t>10</w:t>
            </w:r>
            <w:r w:rsidRPr="00033BE2">
              <w:rPr>
                <w:noProof/>
                <w:color w:val="000000"/>
                <w:szCs w:val="22"/>
                <w:vertAlign w:val="superscript"/>
              </w:rPr>
              <w:t>-4</w:t>
            </w:r>
          </w:p>
        </w:tc>
        <w:tc>
          <w:tcPr>
            <w:tcW w:w="650" w:type="pct"/>
            <w:gridSpan w:val="3"/>
            <w:tcBorders>
              <w:top w:val="single" w:sz="4" w:space="0" w:color="auto"/>
              <w:left w:val="nil"/>
              <w:bottom w:val="single" w:sz="4" w:space="0" w:color="auto"/>
              <w:right w:val="nil"/>
            </w:tcBorders>
            <w:vAlign w:val="center"/>
          </w:tcPr>
          <w:p w14:paraId="216867F0" w14:textId="23BB912C" w:rsidR="006D634E" w:rsidRPr="00033BE2" w:rsidRDefault="006D634E" w:rsidP="006243FB">
            <w:pPr>
              <w:pStyle w:val="Table"/>
              <w:rPr>
                <w:noProof/>
                <w:szCs w:val="22"/>
              </w:rPr>
            </w:pPr>
            <w:r w:rsidRPr="00033BE2">
              <w:rPr>
                <w:noProof/>
                <w:color w:val="000000"/>
                <w:szCs w:val="22"/>
              </w:rPr>
              <w:t>5</w:t>
            </w:r>
            <w:r w:rsidR="00067025" w:rsidRPr="00033BE2">
              <w:rPr>
                <w:noProof/>
                <w:color w:val="000000"/>
                <w:szCs w:val="22"/>
              </w:rPr>
              <w:t xml:space="preserve"> </w:t>
            </w:r>
            <w:r w:rsidR="00067025" w:rsidRPr="00033BE2">
              <w:rPr>
                <w:noProof/>
                <w:color w:val="000000"/>
                <w:szCs w:val="22"/>
                <w:lang w:eastAsia="fr-FR"/>
              </w:rPr>
              <w:t>×</w:t>
            </w:r>
            <w:r w:rsidR="00067025" w:rsidRPr="00033BE2">
              <w:rPr>
                <w:noProof/>
                <w:color w:val="000000"/>
                <w:szCs w:val="22"/>
              </w:rPr>
              <w:t xml:space="preserve"> </w:t>
            </w:r>
            <w:r w:rsidRPr="00033BE2">
              <w:rPr>
                <w:noProof/>
                <w:color w:val="000000"/>
                <w:szCs w:val="22"/>
              </w:rPr>
              <w:t>10</w:t>
            </w:r>
            <w:r w:rsidRPr="00033BE2">
              <w:rPr>
                <w:noProof/>
                <w:color w:val="000000"/>
                <w:szCs w:val="22"/>
                <w:vertAlign w:val="superscript"/>
              </w:rPr>
              <w:t>-4</w:t>
            </w:r>
          </w:p>
        </w:tc>
        <w:tc>
          <w:tcPr>
            <w:tcW w:w="650" w:type="pct"/>
            <w:gridSpan w:val="3"/>
            <w:tcBorders>
              <w:top w:val="single" w:sz="4" w:space="0" w:color="auto"/>
              <w:left w:val="nil"/>
              <w:bottom w:val="single" w:sz="4" w:space="0" w:color="auto"/>
              <w:right w:val="nil"/>
            </w:tcBorders>
            <w:vAlign w:val="center"/>
          </w:tcPr>
          <w:p w14:paraId="3D681CB5" w14:textId="6DBD1ADA" w:rsidR="006D634E" w:rsidRPr="00033BE2" w:rsidRDefault="006D634E" w:rsidP="006243FB">
            <w:pPr>
              <w:pStyle w:val="Table"/>
              <w:rPr>
                <w:noProof/>
                <w:szCs w:val="22"/>
              </w:rPr>
            </w:pPr>
            <w:r w:rsidRPr="00033BE2">
              <w:rPr>
                <w:noProof/>
                <w:color w:val="000000"/>
                <w:szCs w:val="22"/>
              </w:rPr>
              <w:t>5</w:t>
            </w:r>
            <w:r w:rsidR="00067025" w:rsidRPr="00033BE2">
              <w:rPr>
                <w:noProof/>
                <w:color w:val="000000"/>
                <w:szCs w:val="22"/>
              </w:rPr>
              <w:t xml:space="preserve"> </w:t>
            </w:r>
            <w:r w:rsidR="00067025" w:rsidRPr="00033BE2">
              <w:rPr>
                <w:noProof/>
                <w:color w:val="000000"/>
                <w:szCs w:val="22"/>
                <w:lang w:eastAsia="fr-FR"/>
              </w:rPr>
              <w:t>×</w:t>
            </w:r>
            <w:r w:rsidR="00067025" w:rsidRPr="00033BE2">
              <w:rPr>
                <w:noProof/>
                <w:color w:val="000000"/>
                <w:szCs w:val="22"/>
              </w:rPr>
              <w:t xml:space="preserve"> </w:t>
            </w:r>
            <w:r w:rsidRPr="00033BE2">
              <w:rPr>
                <w:noProof/>
                <w:color w:val="000000"/>
                <w:szCs w:val="22"/>
              </w:rPr>
              <w:t>10</w:t>
            </w:r>
            <w:r w:rsidRPr="00033BE2">
              <w:rPr>
                <w:noProof/>
                <w:color w:val="000000"/>
                <w:szCs w:val="22"/>
                <w:vertAlign w:val="superscript"/>
              </w:rPr>
              <w:t>-4</w:t>
            </w:r>
          </w:p>
        </w:tc>
        <w:tc>
          <w:tcPr>
            <w:tcW w:w="650" w:type="pct"/>
            <w:gridSpan w:val="2"/>
            <w:tcBorders>
              <w:top w:val="single" w:sz="4" w:space="0" w:color="auto"/>
              <w:left w:val="nil"/>
              <w:bottom w:val="single" w:sz="4" w:space="0" w:color="auto"/>
              <w:right w:val="nil"/>
            </w:tcBorders>
            <w:vAlign w:val="center"/>
          </w:tcPr>
          <w:p w14:paraId="5E222046" w14:textId="0ABBFD2F" w:rsidR="006D634E" w:rsidRPr="00033BE2" w:rsidRDefault="006D634E" w:rsidP="006243FB">
            <w:pPr>
              <w:pStyle w:val="Table"/>
              <w:rPr>
                <w:noProof/>
                <w:szCs w:val="22"/>
              </w:rPr>
            </w:pPr>
            <w:r w:rsidRPr="00033BE2">
              <w:rPr>
                <w:noProof/>
                <w:color w:val="000000"/>
                <w:szCs w:val="22"/>
              </w:rPr>
              <w:t>5</w:t>
            </w:r>
            <w:r w:rsidR="00067025" w:rsidRPr="00033BE2">
              <w:rPr>
                <w:noProof/>
                <w:color w:val="000000"/>
                <w:szCs w:val="22"/>
              </w:rPr>
              <w:t xml:space="preserve"> </w:t>
            </w:r>
            <w:r w:rsidR="00067025" w:rsidRPr="00033BE2">
              <w:rPr>
                <w:noProof/>
                <w:color w:val="000000"/>
                <w:szCs w:val="22"/>
                <w:lang w:eastAsia="fr-FR"/>
              </w:rPr>
              <w:t>×</w:t>
            </w:r>
            <w:r w:rsidR="00067025" w:rsidRPr="00033BE2">
              <w:rPr>
                <w:noProof/>
                <w:color w:val="000000"/>
                <w:szCs w:val="22"/>
              </w:rPr>
              <w:t xml:space="preserve"> </w:t>
            </w:r>
            <w:r w:rsidRPr="00033BE2">
              <w:rPr>
                <w:noProof/>
                <w:color w:val="000000"/>
                <w:szCs w:val="22"/>
              </w:rPr>
              <w:t>10</w:t>
            </w:r>
            <w:r w:rsidRPr="00033BE2">
              <w:rPr>
                <w:noProof/>
                <w:color w:val="000000"/>
                <w:szCs w:val="22"/>
                <w:vertAlign w:val="superscript"/>
              </w:rPr>
              <w:t>-4</w:t>
            </w:r>
          </w:p>
        </w:tc>
        <w:tc>
          <w:tcPr>
            <w:tcW w:w="654" w:type="pct"/>
            <w:tcBorders>
              <w:top w:val="single" w:sz="4" w:space="0" w:color="auto"/>
              <w:left w:val="nil"/>
              <w:bottom w:val="single" w:sz="4" w:space="0" w:color="auto"/>
              <w:right w:val="nil"/>
            </w:tcBorders>
            <w:vAlign w:val="center"/>
          </w:tcPr>
          <w:p w14:paraId="7450DF6F" w14:textId="68EC9B69" w:rsidR="006D634E" w:rsidRPr="00033BE2" w:rsidRDefault="006D634E" w:rsidP="006243FB">
            <w:pPr>
              <w:pStyle w:val="Table"/>
              <w:rPr>
                <w:noProof/>
                <w:szCs w:val="22"/>
              </w:rPr>
            </w:pPr>
            <w:r w:rsidRPr="00033BE2">
              <w:rPr>
                <w:noProof/>
                <w:color w:val="000000"/>
                <w:szCs w:val="22"/>
              </w:rPr>
              <w:t>5</w:t>
            </w:r>
            <w:r w:rsidR="00067025" w:rsidRPr="00033BE2">
              <w:rPr>
                <w:noProof/>
                <w:color w:val="000000"/>
                <w:szCs w:val="22"/>
              </w:rPr>
              <w:t xml:space="preserve"> </w:t>
            </w:r>
            <w:r w:rsidR="00067025" w:rsidRPr="00033BE2">
              <w:rPr>
                <w:noProof/>
                <w:color w:val="000000"/>
                <w:szCs w:val="22"/>
                <w:lang w:eastAsia="fr-FR"/>
              </w:rPr>
              <w:t>×</w:t>
            </w:r>
            <w:r w:rsidR="00067025" w:rsidRPr="00033BE2">
              <w:rPr>
                <w:noProof/>
                <w:color w:val="000000"/>
                <w:szCs w:val="22"/>
              </w:rPr>
              <w:t xml:space="preserve"> </w:t>
            </w:r>
            <w:r w:rsidRPr="00033BE2">
              <w:rPr>
                <w:noProof/>
                <w:color w:val="000000"/>
                <w:szCs w:val="22"/>
              </w:rPr>
              <w:t>10</w:t>
            </w:r>
            <w:r w:rsidRPr="00033BE2">
              <w:rPr>
                <w:noProof/>
                <w:color w:val="000000"/>
                <w:szCs w:val="22"/>
                <w:vertAlign w:val="superscript"/>
              </w:rPr>
              <w:t>-4</w:t>
            </w:r>
          </w:p>
        </w:tc>
      </w:tr>
    </w:tbl>
    <w:p w14:paraId="27F8B20C" w14:textId="5812F2D8" w:rsidR="00096DF7" w:rsidRPr="00C47F2F" w:rsidRDefault="00DF1EDB" w:rsidP="00E81109">
      <w:pPr>
        <w:pStyle w:val="Note"/>
        <w:rPr>
          <w:noProof/>
          <w:sz w:val="20"/>
          <w:szCs w:val="20"/>
        </w:rPr>
      </w:pPr>
      <w:r w:rsidRPr="00C47F2F">
        <w:rPr>
          <w:noProof/>
          <w:sz w:val="20"/>
          <w:szCs w:val="20"/>
        </w:rPr>
        <w:t>*</w:t>
      </w:r>
      <w:r w:rsidR="00096DF7" w:rsidRPr="00C47F2F">
        <w:rPr>
          <w:noProof/>
          <w:sz w:val="20"/>
          <w:szCs w:val="20"/>
        </w:rPr>
        <w:t xml:space="preserve">It is assumed that for einsteinium a bound fraction </w:t>
      </w:r>
      <w:r w:rsidR="00096DF7" w:rsidRPr="00C47F2F">
        <w:rPr>
          <w:i/>
          <w:noProof/>
          <w:sz w:val="20"/>
          <w:szCs w:val="20"/>
        </w:rPr>
        <w:t>f</w:t>
      </w:r>
      <w:r w:rsidR="00096DF7" w:rsidRPr="00C47F2F">
        <w:rPr>
          <w:noProof/>
          <w:sz w:val="20"/>
          <w:szCs w:val="20"/>
          <w:vertAlign w:val="subscript"/>
        </w:rPr>
        <w:t>b</w:t>
      </w:r>
      <w:r w:rsidR="00096DF7" w:rsidRPr="00C47F2F">
        <w:rPr>
          <w:noProof/>
          <w:sz w:val="20"/>
          <w:szCs w:val="20"/>
        </w:rPr>
        <w:t xml:space="preserve"> = 0.002 with </w:t>
      </w:r>
      <w:r w:rsidR="00096DF7" w:rsidRPr="00C47F2F">
        <w:rPr>
          <w:i/>
          <w:noProof/>
          <w:sz w:val="20"/>
          <w:szCs w:val="20"/>
        </w:rPr>
        <w:t>s</w:t>
      </w:r>
      <w:r w:rsidR="00096DF7" w:rsidRPr="00C47F2F">
        <w:rPr>
          <w:noProof/>
          <w:sz w:val="20"/>
          <w:szCs w:val="20"/>
          <w:vertAlign w:val="subscript"/>
        </w:rPr>
        <w:t>b</w:t>
      </w:r>
      <w:r w:rsidR="00096DF7" w:rsidRPr="00C47F2F">
        <w:rPr>
          <w:noProof/>
          <w:sz w:val="20"/>
          <w:szCs w:val="20"/>
        </w:rPr>
        <w:t xml:space="preserve"> = 0 d</w:t>
      </w:r>
      <w:r w:rsidR="00096DF7" w:rsidRPr="00C47F2F">
        <w:rPr>
          <w:noProof/>
          <w:sz w:val="20"/>
          <w:szCs w:val="20"/>
          <w:vertAlign w:val="superscript"/>
        </w:rPr>
        <w:t>–1</w:t>
      </w:r>
      <w:r w:rsidR="00096DF7" w:rsidRPr="00C47F2F">
        <w:rPr>
          <w:noProof/>
          <w:sz w:val="20"/>
          <w:szCs w:val="20"/>
        </w:rPr>
        <w:t xml:space="preserve"> is applied throughout the respiratory tract except in the ET</w:t>
      </w:r>
      <w:r w:rsidR="00096DF7" w:rsidRPr="00C47F2F">
        <w:rPr>
          <w:noProof/>
          <w:sz w:val="20"/>
          <w:szCs w:val="20"/>
          <w:vertAlign w:val="subscript"/>
        </w:rPr>
        <w:t>1</w:t>
      </w:r>
      <w:r w:rsidR="00096DF7" w:rsidRPr="00C47F2F">
        <w:rPr>
          <w:noProof/>
          <w:sz w:val="20"/>
          <w:szCs w:val="20"/>
        </w:rPr>
        <w:t xml:space="preserve"> region. The value of </w:t>
      </w:r>
      <w:r w:rsidR="00096DF7" w:rsidRPr="00C47F2F">
        <w:rPr>
          <w:i/>
          <w:noProof/>
          <w:sz w:val="20"/>
          <w:szCs w:val="20"/>
        </w:rPr>
        <w:t>s</w:t>
      </w:r>
      <w:r w:rsidR="00096DF7" w:rsidRPr="00C47F2F">
        <w:rPr>
          <w:noProof/>
          <w:sz w:val="20"/>
          <w:szCs w:val="20"/>
          <w:vertAlign w:val="subscript"/>
        </w:rPr>
        <w:t>r</w:t>
      </w:r>
      <w:r w:rsidR="00096DF7" w:rsidRPr="00C47F2F">
        <w:rPr>
          <w:noProof/>
          <w:sz w:val="20"/>
          <w:szCs w:val="20"/>
        </w:rPr>
        <w:t xml:space="preserve"> for Type F, M and S forms of einsteinium (0.4 d</w:t>
      </w:r>
      <w:r w:rsidR="00096DF7" w:rsidRPr="00C47F2F">
        <w:rPr>
          <w:noProof/>
          <w:sz w:val="20"/>
          <w:szCs w:val="20"/>
          <w:vertAlign w:val="superscript"/>
        </w:rPr>
        <w:t>–1</w:t>
      </w:r>
      <w:r w:rsidR="00096DF7" w:rsidRPr="00C47F2F">
        <w:rPr>
          <w:noProof/>
          <w:sz w:val="20"/>
          <w:szCs w:val="20"/>
        </w:rPr>
        <w:t>) is element-specific.</w:t>
      </w:r>
    </w:p>
    <w:p w14:paraId="0AD34437" w14:textId="3F4A8A09" w:rsidR="00096DF7" w:rsidRPr="00C47F2F" w:rsidRDefault="00DF1EDB" w:rsidP="00E81109">
      <w:pPr>
        <w:pStyle w:val="Note"/>
        <w:rPr>
          <w:noProof/>
          <w:sz w:val="20"/>
          <w:szCs w:val="20"/>
        </w:rPr>
      </w:pPr>
      <w:r w:rsidRPr="00C47F2F">
        <w:rPr>
          <w:noProof/>
          <w:sz w:val="20"/>
          <w:szCs w:val="20"/>
          <w:vertAlign w:val="superscript"/>
        </w:rPr>
        <w:t>†</w:t>
      </w:r>
      <w:r w:rsidR="00096DF7" w:rsidRPr="00C47F2F">
        <w:rPr>
          <w:noProof/>
          <w:sz w:val="20"/>
          <w:szCs w:val="20"/>
        </w:rPr>
        <w:t xml:space="preserve">For inhaled material deposited in the respiratory tract and subsequently cleared by particle transport to the alimentary tract, the default </w:t>
      </w:r>
      <w:r w:rsidR="00096DF7" w:rsidRPr="00C47F2F">
        <w:rPr>
          <w:i/>
          <w:noProof/>
          <w:sz w:val="20"/>
          <w:szCs w:val="20"/>
        </w:rPr>
        <w:t>f</w:t>
      </w:r>
      <w:r w:rsidR="00096DF7" w:rsidRPr="00C47F2F">
        <w:rPr>
          <w:noProof/>
          <w:sz w:val="20"/>
          <w:szCs w:val="20"/>
          <w:vertAlign w:val="subscript"/>
        </w:rPr>
        <w:t>A</w:t>
      </w:r>
      <w:r w:rsidR="00096DF7" w:rsidRPr="00C47F2F">
        <w:rPr>
          <w:noProof/>
          <w:sz w:val="20"/>
          <w:szCs w:val="20"/>
        </w:rPr>
        <w:t xml:space="preserve"> values for inhaled materials are applied: </w:t>
      </w:r>
      <w:r w:rsidR="00096DF7" w:rsidRPr="00C47F2F">
        <w:rPr>
          <w:i/>
          <w:noProof/>
          <w:sz w:val="20"/>
          <w:szCs w:val="20"/>
        </w:rPr>
        <w:t>i.e.</w:t>
      </w:r>
      <w:r w:rsidR="00096DF7" w:rsidRPr="00C47F2F">
        <w:rPr>
          <w:noProof/>
          <w:sz w:val="20"/>
          <w:szCs w:val="20"/>
        </w:rPr>
        <w:t xml:space="preserve">, the product of </w:t>
      </w:r>
      <w:r w:rsidR="00096DF7" w:rsidRPr="00C47F2F">
        <w:rPr>
          <w:i/>
          <w:noProof/>
          <w:sz w:val="20"/>
          <w:szCs w:val="20"/>
        </w:rPr>
        <w:t>f</w:t>
      </w:r>
      <w:r w:rsidR="00096DF7" w:rsidRPr="00C47F2F">
        <w:rPr>
          <w:noProof/>
          <w:sz w:val="20"/>
          <w:szCs w:val="20"/>
          <w:vertAlign w:val="subscript"/>
        </w:rPr>
        <w:t>r</w:t>
      </w:r>
      <w:r w:rsidR="00096DF7" w:rsidRPr="00C47F2F">
        <w:rPr>
          <w:noProof/>
          <w:sz w:val="20"/>
          <w:szCs w:val="20"/>
        </w:rPr>
        <w:t xml:space="preserve"> for the absorption Type (or specific value where given) and the </w:t>
      </w:r>
      <w:r w:rsidR="00096DF7" w:rsidRPr="00C47F2F">
        <w:rPr>
          <w:i/>
          <w:noProof/>
          <w:sz w:val="20"/>
          <w:szCs w:val="20"/>
        </w:rPr>
        <w:t>f</w:t>
      </w:r>
      <w:r w:rsidR="00096DF7" w:rsidRPr="00C47F2F">
        <w:rPr>
          <w:noProof/>
          <w:sz w:val="20"/>
          <w:szCs w:val="20"/>
          <w:vertAlign w:val="subscript"/>
        </w:rPr>
        <w:t>A</w:t>
      </w:r>
      <w:r w:rsidR="00096DF7" w:rsidRPr="00C47F2F">
        <w:rPr>
          <w:noProof/>
          <w:sz w:val="20"/>
          <w:szCs w:val="20"/>
        </w:rPr>
        <w:t xml:space="preserve"> value for ingested soluble forms of einsteinium</w:t>
      </w:r>
      <w:r w:rsidR="00145A3C" w:rsidRPr="00C47F2F">
        <w:rPr>
          <w:noProof/>
          <w:sz w:val="20"/>
          <w:szCs w:val="20"/>
        </w:rPr>
        <w:t xml:space="preserve"> applicable to </w:t>
      </w:r>
      <w:r w:rsidR="008831A6" w:rsidRPr="00C47F2F">
        <w:rPr>
          <w:noProof/>
          <w:sz w:val="20"/>
          <w:szCs w:val="20"/>
        </w:rPr>
        <w:t>the age-group of interest (e.g 5 × 10</w:t>
      </w:r>
      <w:r w:rsidR="008831A6" w:rsidRPr="00C47F2F">
        <w:rPr>
          <w:noProof/>
          <w:sz w:val="20"/>
          <w:szCs w:val="20"/>
          <w:vertAlign w:val="superscript"/>
        </w:rPr>
        <w:t>–4</w:t>
      </w:r>
      <w:r w:rsidR="008831A6" w:rsidRPr="00C47F2F">
        <w:rPr>
          <w:noProof/>
          <w:sz w:val="20"/>
          <w:szCs w:val="20"/>
        </w:rPr>
        <w:t xml:space="preserve"> </w:t>
      </w:r>
      <w:r w:rsidR="00145A3C" w:rsidRPr="00C47F2F">
        <w:rPr>
          <w:noProof/>
          <w:sz w:val="20"/>
          <w:szCs w:val="20"/>
        </w:rPr>
        <w:t>for adults)</w:t>
      </w:r>
      <w:r w:rsidR="00096DF7" w:rsidRPr="00C47F2F">
        <w:rPr>
          <w:noProof/>
          <w:sz w:val="20"/>
          <w:szCs w:val="20"/>
        </w:rPr>
        <w:t>.</w:t>
      </w:r>
    </w:p>
    <w:p w14:paraId="65EC9AE4" w14:textId="299E47B3" w:rsidR="00096DF7" w:rsidRPr="00C47F2F" w:rsidRDefault="00DF1EDB" w:rsidP="00E81109">
      <w:pPr>
        <w:pStyle w:val="Note"/>
        <w:rPr>
          <w:noProof/>
          <w:sz w:val="20"/>
          <w:szCs w:val="20"/>
        </w:rPr>
      </w:pPr>
      <w:r w:rsidRPr="00C47F2F">
        <w:rPr>
          <w:noProof/>
          <w:sz w:val="20"/>
          <w:szCs w:val="20"/>
          <w:vertAlign w:val="superscript"/>
        </w:rPr>
        <w:t>‡</w:t>
      </w:r>
      <w:r w:rsidR="00096DF7" w:rsidRPr="00C47F2F">
        <w:rPr>
          <w:noProof/>
          <w:sz w:val="20"/>
          <w:szCs w:val="20"/>
        </w:rPr>
        <w:t>Default Type M is recommended for use in the absence of specific information</w:t>
      </w:r>
      <w:r w:rsidR="00096DF7" w:rsidRPr="00C47F2F">
        <w:rPr>
          <w:noProof/>
          <w:color w:val="000000" w:themeColor="text1"/>
          <w:sz w:val="20"/>
          <w:szCs w:val="20"/>
        </w:rPr>
        <w:t xml:space="preserve"> on which the exposure material can be assigned to an Absorption Type, e.g.</w:t>
      </w:r>
      <w:r w:rsidR="00096DF7" w:rsidRPr="00C47F2F">
        <w:rPr>
          <w:noProof/>
          <w:sz w:val="20"/>
          <w:szCs w:val="20"/>
        </w:rPr>
        <w:t xml:space="preserve"> if the form is unknown, or if the form is known but there is no information available on the absorption of that form from the respiratory tract.</w:t>
      </w:r>
    </w:p>
    <w:p w14:paraId="40FEFD69" w14:textId="68D765BD" w:rsidR="00096DF7" w:rsidRPr="00C47F2F" w:rsidRDefault="00DF1EDB" w:rsidP="00E81109">
      <w:pPr>
        <w:pStyle w:val="Note"/>
        <w:rPr>
          <w:noProof/>
          <w:sz w:val="20"/>
          <w:szCs w:val="20"/>
        </w:rPr>
      </w:pPr>
      <w:r w:rsidRPr="00C47F2F">
        <w:rPr>
          <w:noProof/>
          <w:sz w:val="20"/>
          <w:szCs w:val="20"/>
          <w:vertAlign w:val="superscript"/>
        </w:rPr>
        <w:t>§</w:t>
      </w:r>
      <w:r w:rsidR="00096DF7" w:rsidRPr="00C47F2F">
        <w:rPr>
          <w:noProof/>
          <w:color w:val="000000" w:themeColor="text1"/>
          <w:sz w:val="20"/>
          <w:szCs w:val="20"/>
        </w:rPr>
        <w:t xml:space="preserve">Activity transferred from systemic compartments into segments of the alimentary tract is assumed to be subject to reabsorption to blood. The default absorption fraction </w:t>
      </w:r>
      <w:r w:rsidR="00096DF7" w:rsidRPr="00C47F2F">
        <w:rPr>
          <w:i/>
          <w:noProof/>
          <w:color w:val="000000" w:themeColor="text1"/>
          <w:sz w:val="20"/>
          <w:szCs w:val="20"/>
        </w:rPr>
        <w:t>f</w:t>
      </w:r>
      <w:r w:rsidR="00096DF7" w:rsidRPr="00C47F2F">
        <w:rPr>
          <w:noProof/>
          <w:color w:val="000000" w:themeColor="text1"/>
          <w:sz w:val="20"/>
          <w:szCs w:val="20"/>
          <w:vertAlign w:val="subscript"/>
        </w:rPr>
        <w:t>A</w:t>
      </w:r>
      <w:r w:rsidR="00096DF7" w:rsidRPr="00C47F2F">
        <w:rPr>
          <w:noProof/>
          <w:color w:val="000000" w:themeColor="text1"/>
          <w:sz w:val="20"/>
          <w:szCs w:val="20"/>
        </w:rPr>
        <w:t xml:space="preserve"> for the secreted activity is the reference</w:t>
      </w:r>
      <w:r w:rsidR="00145A3C" w:rsidRPr="00C47F2F">
        <w:rPr>
          <w:noProof/>
          <w:color w:val="000000" w:themeColor="text1"/>
          <w:sz w:val="20"/>
          <w:szCs w:val="20"/>
        </w:rPr>
        <w:t xml:space="preserve"> value</w:t>
      </w:r>
      <w:r w:rsidR="00096DF7" w:rsidRPr="00C47F2F">
        <w:rPr>
          <w:noProof/>
          <w:color w:val="000000" w:themeColor="text1"/>
          <w:sz w:val="20"/>
          <w:szCs w:val="20"/>
        </w:rPr>
        <w:t xml:space="preserve"> for ingestion of the radionuclide</w:t>
      </w:r>
      <w:r w:rsidR="00145A3C" w:rsidRPr="00C47F2F">
        <w:rPr>
          <w:noProof/>
          <w:color w:val="000000" w:themeColor="text1"/>
          <w:sz w:val="20"/>
          <w:szCs w:val="20"/>
        </w:rPr>
        <w:t xml:space="preserve"> applicable to </w:t>
      </w:r>
      <w:r w:rsidR="008831A6" w:rsidRPr="00C47F2F">
        <w:rPr>
          <w:noProof/>
          <w:color w:val="000000" w:themeColor="text1"/>
          <w:sz w:val="20"/>
          <w:szCs w:val="20"/>
        </w:rPr>
        <w:t xml:space="preserve">the age-group of interest (e.g </w:t>
      </w:r>
      <w:r w:rsidR="008831A6" w:rsidRPr="00C47F2F">
        <w:rPr>
          <w:noProof/>
          <w:sz w:val="20"/>
          <w:szCs w:val="20"/>
        </w:rPr>
        <w:t>5 × 10</w:t>
      </w:r>
      <w:r w:rsidR="008831A6" w:rsidRPr="00C47F2F">
        <w:rPr>
          <w:noProof/>
          <w:sz w:val="20"/>
          <w:szCs w:val="20"/>
          <w:vertAlign w:val="superscript"/>
        </w:rPr>
        <w:t>–4</w:t>
      </w:r>
      <w:r w:rsidR="008831A6" w:rsidRPr="00C47F2F">
        <w:rPr>
          <w:noProof/>
          <w:sz w:val="20"/>
          <w:szCs w:val="20"/>
        </w:rPr>
        <w:t xml:space="preserve"> </w:t>
      </w:r>
      <w:r w:rsidR="00145A3C" w:rsidRPr="00C47F2F">
        <w:rPr>
          <w:noProof/>
          <w:color w:val="000000" w:themeColor="text1"/>
          <w:sz w:val="20"/>
          <w:szCs w:val="20"/>
        </w:rPr>
        <w:t>for adults)</w:t>
      </w:r>
      <w:r w:rsidR="00096DF7" w:rsidRPr="00C47F2F">
        <w:rPr>
          <w:noProof/>
          <w:color w:val="000000" w:themeColor="text1"/>
          <w:sz w:val="20"/>
          <w:szCs w:val="20"/>
        </w:rPr>
        <w:t>.</w:t>
      </w:r>
    </w:p>
    <w:p w14:paraId="47A2D730" w14:textId="77777777" w:rsidR="00096DF7" w:rsidRPr="00972C81" w:rsidRDefault="00096DF7" w:rsidP="00E81109">
      <w:pPr>
        <w:pStyle w:val="3"/>
        <w:rPr>
          <w:noProof/>
        </w:rPr>
      </w:pPr>
      <w:bookmarkStart w:id="405" w:name="_Toc162630136"/>
      <w:r w:rsidRPr="00972C81">
        <w:rPr>
          <w:noProof/>
        </w:rPr>
        <w:t>Ingestion</w:t>
      </w:r>
      <w:bookmarkEnd w:id="405"/>
    </w:p>
    <w:p w14:paraId="4D263483" w14:textId="36228918" w:rsidR="00DB3AC7" w:rsidRPr="00972C81" w:rsidRDefault="00DB3AC7" w:rsidP="001C4A92">
      <w:pPr>
        <w:pStyle w:val="Annalstext"/>
        <w:rPr>
          <w:noProof/>
        </w:rPr>
      </w:pPr>
      <w:r w:rsidRPr="00972C81">
        <w:rPr>
          <w:i/>
          <w:noProof/>
        </w:rPr>
        <w:t>Adults</w:t>
      </w:r>
      <w:r w:rsidRPr="00972C81">
        <w:rPr>
          <w:noProof/>
        </w:rPr>
        <w:t xml:space="preserve">. An early study by Hungate </w:t>
      </w:r>
      <w:r w:rsidR="00DF1EDB" w:rsidRPr="00972C81">
        <w:rPr>
          <w:noProof/>
        </w:rPr>
        <w:fldChar w:fldCharType="begin"/>
      </w:r>
      <w:r w:rsidR="00FC21A7" w:rsidRPr="00972C81">
        <w:rPr>
          <w:noProof/>
        </w:rPr>
        <w:instrText xml:space="preserve"> ADDIN ZOTERO_ITEM CSL_CITATION {"citationID":"a2ldcl71qrv","properties":{"formattedCitation":"(1972)","plainCitation":"(1972)","noteIndex":0},"citationItems":[{"id":5266,"uris":["http://zotero.org/groups/2470620/items/5P8YPB49"],"itemData":{"id":5266,"type":"article-journal","abstract":"Rats were administered253Es by intragastric, intratracheal, intravenous, intraperitoneal, transplacental and transcutaneous routes. Early results from these studies are reported. Data are also reported on the intragastric and intravenous administration of249Bk. Results are consistent in general form with what would have been predicted from the known behavior of lighter actinides. © 1972 Health Physics Society.","archive":"Scopus","container-title":"Health Physics","DOI":"10.1097/00004032-197206000-00018","issue":"6","page":"653-656","source":"Scopus","title":"Preliminary data on 253Es and 249Bk metabolism in rats","volume":"22","author":[{"family":"Hungate","given":"F.P."},{"family":"Ballou","given":"J.E."},{"family":"Mahlum","given":"D.D."},{"family":"Kashima","given":"M."},{"family":"Smith","given":"V.H."},{"family":"Sanders","given":"C.L."},{"family":"Baxter","given":"D.W."},{"family":"Sikov","given":"M.R."},{"family":"Thompson","given":"R.C."}],"issued":{"date-parts":[["1972"]]}},"label":"page","suppress-author":true}],"schema":"https://github.com/citation-style-language/schema/raw/master/csl-citation.json"} </w:instrText>
      </w:r>
      <w:r w:rsidR="00DF1EDB" w:rsidRPr="00972C81">
        <w:rPr>
          <w:noProof/>
        </w:rPr>
        <w:fldChar w:fldCharType="separate"/>
      </w:r>
      <w:r w:rsidR="00FC21A7" w:rsidRPr="00972C81">
        <w:rPr>
          <w:noProof/>
          <w:szCs w:val="24"/>
        </w:rPr>
        <w:t>(1972)</w:t>
      </w:r>
      <w:r w:rsidR="00DF1EDB" w:rsidRPr="00972C81">
        <w:rPr>
          <w:noProof/>
        </w:rPr>
        <w:fldChar w:fldCharType="end"/>
      </w:r>
      <w:r w:rsidRPr="00972C81">
        <w:rPr>
          <w:noProof/>
        </w:rPr>
        <w:t xml:space="preserve"> indicated that einsteinium and berkelium are absorbed from the gastrointestinal tract of the rat to a similar extent. Sullivan </w:t>
      </w:r>
      <w:r w:rsidR="00DF1EDB" w:rsidRPr="00972C81">
        <w:rPr>
          <w:noProof/>
        </w:rPr>
        <w:fldChar w:fldCharType="begin"/>
      </w:r>
      <w:r w:rsidR="00FC21A7" w:rsidRPr="00972C81">
        <w:rPr>
          <w:noProof/>
        </w:rPr>
        <w:instrText xml:space="preserve"> ADDIN ZOTERO_ITEM CSL_CITATION {"citationID":"a914197s1f","properties":{"formattedCitation":"(1980b)","plainCitation":"(1980b)","noteIndex":0},"citationItems":[{"id":5278,"uris":["http://zotero.org/groups/2470620/items/C3FGP8F9"],"itemData":{"id":5278,"type":"article-journal","abstract":"Transport across the gastrointestinal tract of adult rats was measured for the “soluble” nitrate and/or “insoluble” oxide compounds of228Th,232U,233U,237Np,217Pu,238Pu,239Pu,241,Pu,24lAm,244Cm,252Cf and253Es. Absorption of plutonium and americium nitrates was compared in adult rats, guinea pigs and dogs; there was little variation among species. There was much greater variation between the absorption of different elements in the rat. Other factors observed to influence absorption were particle size, compound form and mass of compound administered. © 1980 Health Physics Society.","archive":"Scopus","container-title":"Health Physics","DOI":"10.1097/00004032-198002000-00004","issue":"2","page":"159-171","source":"Scopus","title":"Absorption of actinide elements from the gastrointestinal tract of rats, guinea pigs and dogs","volume":"38","author":[{"family":"Sullivan","given":"M.F."}],"issued":{"date-parts":[["1980"]]}},"label":"page","suppress-author":true}],"schema":"https://github.com/citation-style-language/schema/raw/master/csl-citation.json"} </w:instrText>
      </w:r>
      <w:r w:rsidR="00DF1EDB" w:rsidRPr="00972C81">
        <w:rPr>
          <w:noProof/>
        </w:rPr>
        <w:fldChar w:fldCharType="separate"/>
      </w:r>
      <w:r w:rsidR="00FC21A7" w:rsidRPr="00972C81">
        <w:rPr>
          <w:noProof/>
          <w:szCs w:val="24"/>
        </w:rPr>
        <w:t>(1980b)</w:t>
      </w:r>
      <w:r w:rsidR="00DF1EDB" w:rsidRPr="00972C81">
        <w:rPr>
          <w:noProof/>
        </w:rPr>
        <w:fldChar w:fldCharType="end"/>
      </w:r>
      <w:r w:rsidRPr="00972C81">
        <w:rPr>
          <w:noProof/>
        </w:rPr>
        <w:t xml:space="preserve"> and Sullivan and Crosby </w:t>
      </w:r>
      <w:r w:rsidR="00C65B5A" w:rsidRPr="00972C81">
        <w:rPr>
          <w:noProof/>
        </w:rPr>
        <w:fldChar w:fldCharType="begin"/>
      </w:r>
      <w:r w:rsidR="00FC21A7" w:rsidRPr="00972C81">
        <w:rPr>
          <w:noProof/>
        </w:rPr>
        <w:instrText xml:space="preserve"> ADDIN ZOTERO_ITEM CSL_CITATION {"citationID":"amvpc1h9kl","properties":{"formattedCitation":"(1975)","plainCitation":"(1975)","noteIndex":0},"citationItems":[{"id":5315,"uris":["http://zotero.org/groups/2470620/items/ZILCREAK"],"itemData":{"id":5315,"type":"report","collection-title":"Pacific Northwest Laboratory Annual Report for 1974","event-place":"Richland, Wash.(USA)","number":"BNWL-1950 Pt 1,","page":"105-108","publisher":"Battelle Pacific Northwest Labs.","publisher-place":"Richland, Wash.(USA)","source":"Google Scholar","title":"Absorption of uranium-233, neptunium-237, plutonium-238, americium-241, curium-244, and einsteinium-253 from the gastrointestinal tract of newborn and adult rats","URL":"https://www.osti.gov/servlets/purl/4197788","author":[{"family":"Sullivan","given":"M. F."},{"family":"Crosby","given":"A. L."}],"accessed":{"date-parts":[["2023",10,6]]},"issued":{"date-parts":[["1975"]]}},"label":"page","suppress-author":true}],"schema":"https://github.com/citation-style-language/schema/raw/master/csl-citation.json"} </w:instrText>
      </w:r>
      <w:r w:rsidR="00C65B5A" w:rsidRPr="00972C81">
        <w:rPr>
          <w:noProof/>
        </w:rPr>
        <w:fldChar w:fldCharType="separate"/>
      </w:r>
      <w:r w:rsidR="00FC21A7" w:rsidRPr="00972C81">
        <w:rPr>
          <w:noProof/>
          <w:szCs w:val="24"/>
        </w:rPr>
        <w:t>(1975)</w:t>
      </w:r>
      <w:r w:rsidR="00C65B5A" w:rsidRPr="00972C81">
        <w:rPr>
          <w:noProof/>
        </w:rPr>
        <w:fldChar w:fldCharType="end"/>
      </w:r>
      <w:r w:rsidRPr="00972C81">
        <w:rPr>
          <w:noProof/>
        </w:rPr>
        <w:t xml:space="preserve"> reported absorption fractions of 3.4</w:t>
      </w:r>
      <w:r w:rsidR="00C65B5A" w:rsidRPr="00972C81">
        <w:rPr>
          <w:noProof/>
        </w:rPr>
        <w:t> </w:t>
      </w:r>
      <w:r w:rsidR="00067025" w:rsidRPr="00972C81">
        <w:rPr>
          <w:noProof/>
        </w:rPr>
        <w:t>×</w:t>
      </w:r>
      <w:r w:rsidR="00C65B5A" w:rsidRPr="00972C81">
        <w:rPr>
          <w:noProof/>
        </w:rPr>
        <w:t> </w:t>
      </w:r>
      <w:r w:rsidRPr="00972C81">
        <w:rPr>
          <w:noProof/>
        </w:rPr>
        <w:t>10</w:t>
      </w:r>
      <w:r w:rsidRPr="00972C81">
        <w:rPr>
          <w:noProof/>
          <w:vertAlign w:val="superscript"/>
        </w:rPr>
        <w:t>-4</w:t>
      </w:r>
      <w:r w:rsidRPr="00972C81">
        <w:rPr>
          <w:noProof/>
        </w:rPr>
        <w:t xml:space="preserve"> and 4</w:t>
      </w:r>
      <w:r w:rsidR="00C65B5A" w:rsidRPr="00972C81">
        <w:rPr>
          <w:noProof/>
        </w:rPr>
        <w:t> × </w:t>
      </w:r>
      <w:r w:rsidRPr="00972C81">
        <w:rPr>
          <w:noProof/>
        </w:rPr>
        <w:t>10</w:t>
      </w:r>
      <w:r w:rsidRPr="00972C81">
        <w:rPr>
          <w:noProof/>
          <w:vertAlign w:val="superscript"/>
        </w:rPr>
        <w:t>-4</w:t>
      </w:r>
      <w:r w:rsidRPr="00972C81">
        <w:rPr>
          <w:noProof/>
        </w:rPr>
        <w:t xml:space="preserve"> for nitrates of einsteinium administered by gavage to the adult rat. In </w:t>
      </w:r>
      <w:r w:rsidRPr="00972C81">
        <w:rPr>
          <w:i/>
          <w:noProof/>
        </w:rPr>
        <w:t>Publications 30</w:t>
      </w:r>
      <w:r w:rsidRPr="00972C81">
        <w:rPr>
          <w:noProof/>
        </w:rPr>
        <w:t xml:space="preserve"> </w:t>
      </w:r>
      <w:r w:rsidR="00C65B5A" w:rsidRPr="00972C81">
        <w:rPr>
          <w:noProof/>
        </w:rPr>
        <w:fldChar w:fldCharType="begin"/>
      </w:r>
      <w:r w:rsidR="00FC21A7" w:rsidRPr="00972C81">
        <w:rPr>
          <w:noProof/>
        </w:rPr>
        <w:instrText xml:space="preserve"> ADDIN ZOTERO_ITEM CSL_CITATION {"citationID":"a2jpeck9sg","properties":{"formattedCitation":"(ICRP, 1988)","plainCitation":"(ICRP, 1988)","noteIndex":0},"citationItems":[{"id":3117,"uris":["http://zotero.org/groups/2470620/items/8NQ5CWC2"],"itemData":{"id":3117,"type":"article-journal","container-title":"Annals of the ICRP","issue":"4","journalAbbreviation":"Ann. ICRP","language":"et","title":"Limits for intakes of radionuclides by workers: an addendum. ICRP Publication 30, Part 4","volume":"19","author":[{"literal":"ICRP"}],"issued":{"date-parts":[["1988"]]}}}],"schema":"https://github.com/citation-style-language/schema/raw/master/csl-citation.json"} </w:instrText>
      </w:r>
      <w:r w:rsidR="00C65B5A" w:rsidRPr="00972C81">
        <w:rPr>
          <w:noProof/>
        </w:rPr>
        <w:fldChar w:fldCharType="separate"/>
      </w:r>
      <w:r w:rsidR="00FC21A7" w:rsidRPr="00972C81">
        <w:rPr>
          <w:noProof/>
          <w:szCs w:val="24"/>
        </w:rPr>
        <w:t>(ICRP, 1988)</w:t>
      </w:r>
      <w:r w:rsidR="00C65B5A" w:rsidRPr="00972C81">
        <w:rPr>
          <w:noProof/>
        </w:rPr>
        <w:fldChar w:fldCharType="end"/>
      </w:r>
      <w:r w:rsidRPr="00972C81">
        <w:rPr>
          <w:noProof/>
        </w:rPr>
        <w:t xml:space="preserve"> and </w:t>
      </w:r>
      <w:r w:rsidRPr="00972C81">
        <w:rPr>
          <w:i/>
          <w:noProof/>
        </w:rPr>
        <w:t>48</w:t>
      </w:r>
      <w:r w:rsidRPr="00972C81">
        <w:rPr>
          <w:noProof/>
        </w:rPr>
        <w:t xml:space="preserve"> </w:t>
      </w:r>
      <w:r w:rsidR="00C65B5A" w:rsidRPr="00972C81">
        <w:rPr>
          <w:noProof/>
        </w:rPr>
        <w:lastRenderedPageBreak/>
        <w:fldChar w:fldCharType="begin"/>
      </w:r>
      <w:r w:rsidR="00FC21A7" w:rsidRPr="00972C81">
        <w:rPr>
          <w:noProof/>
        </w:rPr>
        <w:instrText xml:space="preserve"> ADDIN ZOTERO_ITEM CSL_CITATION {"citationID":"ak4clalr0j","properties":{"formattedCitation":"(ICRP, 1986)","plainCitation":"(ICRP, 1986)","noteIndex":0},"citationItems":[{"id":4867,"uris":["http://zotero.org/groups/2470620/items/JBT3RHCV"],"itemData":{"id":4867,"type":"article-journal","container-title":"Annals of the ICRP","issue":"2/3","journalAbbreviation":"Ann. ICRP","language":"et","title":"The Metabolism of Plutonium and Related Elements. ICRP Publication 48","volume":"16","author":[{"literal":"ICRP"}],"issued":{"date-parts":[["1986"]]}}}],"schema":"https://github.com/citation-style-language/schema/raw/master/csl-citation.json"} </w:instrText>
      </w:r>
      <w:r w:rsidR="00C65B5A" w:rsidRPr="00972C81">
        <w:rPr>
          <w:noProof/>
        </w:rPr>
        <w:fldChar w:fldCharType="separate"/>
      </w:r>
      <w:r w:rsidR="00FC21A7" w:rsidRPr="00972C81">
        <w:rPr>
          <w:noProof/>
          <w:szCs w:val="24"/>
        </w:rPr>
        <w:t>(ICRP, 1986)</w:t>
      </w:r>
      <w:r w:rsidR="00C65B5A" w:rsidRPr="00972C81">
        <w:rPr>
          <w:noProof/>
        </w:rPr>
        <w:fldChar w:fldCharType="end"/>
      </w:r>
      <w:r w:rsidRPr="00972C81">
        <w:rPr>
          <w:noProof/>
        </w:rPr>
        <w:t xml:space="preserve"> an absorption fraction of 1</w:t>
      </w:r>
      <w:r w:rsidR="00C65B5A" w:rsidRPr="00972C81">
        <w:rPr>
          <w:noProof/>
        </w:rPr>
        <w:t> </w:t>
      </w:r>
      <w:r w:rsidR="00067025" w:rsidRPr="00972C81">
        <w:rPr>
          <w:noProof/>
        </w:rPr>
        <w:t>×</w:t>
      </w:r>
      <w:r w:rsidR="00C65B5A" w:rsidRPr="00972C81">
        <w:rPr>
          <w:noProof/>
        </w:rPr>
        <w:t> </w:t>
      </w:r>
      <w:r w:rsidRPr="00972C81">
        <w:rPr>
          <w:noProof/>
        </w:rPr>
        <w:t>10</w:t>
      </w:r>
      <w:r w:rsidRPr="00972C81">
        <w:rPr>
          <w:noProof/>
          <w:vertAlign w:val="superscript"/>
        </w:rPr>
        <w:t>-3</w:t>
      </w:r>
      <w:r w:rsidRPr="00972C81">
        <w:rPr>
          <w:noProof/>
        </w:rPr>
        <w:t xml:space="preserve"> was recommended for actinides, including einsteinium. In </w:t>
      </w:r>
      <w:r w:rsidR="00F414E6" w:rsidRPr="00972C81">
        <w:rPr>
          <w:i/>
          <w:noProof/>
        </w:rPr>
        <w:t>Publication 141</w:t>
      </w:r>
      <w:r w:rsidR="00F414E6" w:rsidRPr="00972C81">
        <w:rPr>
          <w:noProof/>
        </w:rPr>
        <w:t xml:space="preserve"> </w:t>
      </w:r>
      <w:r w:rsidR="00C65B5A" w:rsidRPr="00972C81">
        <w:rPr>
          <w:noProof/>
        </w:rPr>
        <w:fldChar w:fldCharType="begin"/>
      </w:r>
      <w:r w:rsidR="00FC21A7" w:rsidRPr="00972C81">
        <w:rPr>
          <w:noProof/>
        </w:rPr>
        <w:instrText xml:space="preserve"> ADDIN ZOTERO_ITEM CSL_CITATION {"citationID":"u0K5jFqn","properties":{"formattedCitation":"(ICRP,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C65B5A" w:rsidRPr="00972C81">
        <w:rPr>
          <w:noProof/>
        </w:rPr>
        <w:fldChar w:fldCharType="separate"/>
      </w:r>
      <w:r w:rsidR="00FC21A7" w:rsidRPr="00972C81">
        <w:rPr>
          <w:noProof/>
          <w:szCs w:val="24"/>
        </w:rPr>
        <w:t>(ICRP, 2019)</w:t>
      </w:r>
      <w:r w:rsidR="00C65B5A" w:rsidRPr="00972C81">
        <w:rPr>
          <w:noProof/>
        </w:rPr>
        <w:fldChar w:fldCharType="end"/>
      </w:r>
      <w:r w:rsidRPr="00972C81">
        <w:rPr>
          <w:noProof/>
        </w:rPr>
        <w:t xml:space="preserve">, </w:t>
      </w:r>
      <w:r w:rsidRPr="00972C81">
        <w:rPr>
          <w:noProof/>
          <w:szCs w:val="24"/>
        </w:rPr>
        <w:t xml:space="preserve">on the basis of results showing similar low levels of absorption </w:t>
      </w:r>
      <w:r w:rsidR="00BB503E">
        <w:rPr>
          <w:noProof/>
          <w:szCs w:val="24"/>
        </w:rPr>
        <w:t>in humans</w:t>
      </w:r>
      <w:r w:rsidRPr="00972C81">
        <w:rPr>
          <w:noProof/>
          <w:szCs w:val="24"/>
        </w:rPr>
        <w:t xml:space="preserve"> for five actinide elements (thorium, neptunium, plutonium, americium and curium) and taking account of animal data showing variations in </w:t>
      </w:r>
      <w:r w:rsidRPr="00972C81">
        <w:rPr>
          <w:i/>
          <w:noProof/>
          <w:szCs w:val="24"/>
        </w:rPr>
        <w:t>f</w:t>
      </w:r>
      <w:r w:rsidRPr="00972C81">
        <w:rPr>
          <w:noProof/>
          <w:szCs w:val="24"/>
          <w:vertAlign w:val="subscript"/>
        </w:rPr>
        <w:t>A</w:t>
      </w:r>
      <w:r w:rsidRPr="00972C81">
        <w:rPr>
          <w:noProof/>
          <w:szCs w:val="24"/>
        </w:rPr>
        <w:t xml:space="preserve"> values resulting from differences in chemical forms, it was considered that an appropriate general </w:t>
      </w:r>
      <w:r w:rsidRPr="00972C81">
        <w:rPr>
          <w:i/>
          <w:noProof/>
          <w:szCs w:val="24"/>
        </w:rPr>
        <w:t>f</w:t>
      </w:r>
      <w:r w:rsidRPr="00972C81">
        <w:rPr>
          <w:noProof/>
          <w:szCs w:val="24"/>
          <w:vertAlign w:val="subscript"/>
        </w:rPr>
        <w:t>A</w:t>
      </w:r>
      <w:r w:rsidRPr="00972C81">
        <w:rPr>
          <w:noProof/>
          <w:szCs w:val="24"/>
        </w:rPr>
        <w:t xml:space="preserve"> value for all chemical forms of actinides except uranium was 5</w:t>
      </w:r>
      <w:r w:rsidR="00067025" w:rsidRPr="00972C81">
        <w:rPr>
          <w:noProof/>
          <w:szCs w:val="24"/>
        </w:rPr>
        <w:t xml:space="preserve"> × </w:t>
      </w:r>
      <w:r w:rsidRPr="00972C81">
        <w:rPr>
          <w:noProof/>
          <w:szCs w:val="24"/>
        </w:rPr>
        <w:t>10</w:t>
      </w:r>
      <w:r w:rsidRPr="00972C81">
        <w:rPr>
          <w:noProof/>
          <w:szCs w:val="24"/>
          <w:vertAlign w:val="superscript"/>
        </w:rPr>
        <w:t>-4</w:t>
      </w:r>
      <w:r w:rsidRPr="00972C81">
        <w:rPr>
          <w:noProof/>
          <w:szCs w:val="24"/>
        </w:rPr>
        <w:t xml:space="preserve">. The same </w:t>
      </w:r>
      <w:r w:rsidRPr="00972C81">
        <w:rPr>
          <w:i/>
          <w:noProof/>
          <w:szCs w:val="24"/>
        </w:rPr>
        <w:t>f</w:t>
      </w:r>
      <w:r w:rsidRPr="00972C81">
        <w:rPr>
          <w:noProof/>
          <w:szCs w:val="24"/>
          <w:vertAlign w:val="subscript"/>
        </w:rPr>
        <w:t>A</w:t>
      </w:r>
      <w:r w:rsidRPr="00972C81">
        <w:rPr>
          <w:noProof/>
          <w:szCs w:val="24"/>
        </w:rPr>
        <w:t xml:space="preserve"> = 5</w:t>
      </w:r>
      <w:r w:rsidR="00067025" w:rsidRPr="00972C81">
        <w:rPr>
          <w:noProof/>
          <w:szCs w:val="24"/>
        </w:rPr>
        <w:t xml:space="preserve"> × </w:t>
      </w:r>
      <w:r w:rsidRPr="00972C81">
        <w:rPr>
          <w:noProof/>
          <w:szCs w:val="24"/>
        </w:rPr>
        <w:t>10</w:t>
      </w:r>
      <w:r w:rsidRPr="00972C81">
        <w:rPr>
          <w:noProof/>
          <w:szCs w:val="24"/>
          <w:vertAlign w:val="superscript"/>
        </w:rPr>
        <w:t>-4</w:t>
      </w:r>
      <w:r w:rsidRPr="00972C81">
        <w:rPr>
          <w:noProof/>
          <w:szCs w:val="24"/>
        </w:rPr>
        <w:t xml:space="preserve"> is recommended here for ingestion of </w:t>
      </w:r>
      <w:r w:rsidRPr="00972C81">
        <w:rPr>
          <w:noProof/>
        </w:rPr>
        <w:t>einsteinium</w:t>
      </w:r>
      <w:r w:rsidRPr="00972C81">
        <w:rPr>
          <w:noProof/>
          <w:szCs w:val="24"/>
        </w:rPr>
        <w:t xml:space="preserve"> by adult members of the public.</w:t>
      </w:r>
    </w:p>
    <w:p w14:paraId="5D469CD8" w14:textId="7FE3AF7B" w:rsidR="00DB3AC7" w:rsidRPr="00972C81" w:rsidRDefault="00DB3AC7" w:rsidP="001C4A92">
      <w:pPr>
        <w:pStyle w:val="Annalstext"/>
        <w:rPr>
          <w:noProof/>
        </w:rPr>
      </w:pPr>
      <w:r w:rsidRPr="00972C81">
        <w:rPr>
          <w:i/>
          <w:noProof/>
        </w:rPr>
        <w:t>Children</w:t>
      </w:r>
      <w:r w:rsidRPr="00972C81">
        <w:rPr>
          <w:noProof/>
        </w:rPr>
        <w:t xml:space="preserve">. The gastrointestinal absorption of </w:t>
      </w:r>
      <w:r w:rsidRPr="00972C81">
        <w:rPr>
          <w:noProof/>
          <w:color w:val="000000" w:themeColor="text1"/>
        </w:rPr>
        <w:t>einsteinium</w:t>
      </w:r>
      <w:r w:rsidRPr="00972C81">
        <w:rPr>
          <w:noProof/>
          <w:szCs w:val="24"/>
        </w:rPr>
        <w:t xml:space="preserve"> </w:t>
      </w:r>
      <w:r w:rsidRPr="00972C81">
        <w:rPr>
          <w:noProof/>
        </w:rPr>
        <w:t xml:space="preserve">nitrate by newborn rats is about two orders of magnitude greater than in adult animals </w:t>
      </w:r>
      <w:r w:rsidR="00C65B5A" w:rsidRPr="00972C81">
        <w:rPr>
          <w:noProof/>
        </w:rPr>
        <w:fldChar w:fldCharType="begin"/>
      </w:r>
      <w:r w:rsidR="00FC21A7" w:rsidRPr="00972C81">
        <w:rPr>
          <w:noProof/>
        </w:rPr>
        <w:instrText xml:space="preserve"> ADDIN ZOTERO_ITEM CSL_CITATION {"citationID":"acfhsu53gb","properties":{"formattedCitation":"(Sullivan, 1974, 1980a)","plainCitation":"(Sullivan, 1974, 1980a)","noteIndex":0},"citationItems":[{"id":5281,"uris":["http://zotero.org/groups/2470620/items/Z7W4NWBG"],"itemData":{"id":5281,"type":"report","collection-title":"Pacific Norfhwest Laboratory Annual Report for 1973 to the USAEC Division of Biomedical and Environmental Research. Port I Biological Sciences","event-place":"Richland, Washington","number":"BNWL-I850 Pt. l","page":"15-17","publisher":"Battelle Pacific Northwest Labs.,","publisher-place":"Richland, Washington","source":"Google Scholar","title":"Absorption of curium-244 and californium-252 from the gastrointestinal tract of newborn and adult rats","URL":"https://www.osti.gov/biblio/4277243","author":[{"family":"Sullivan","given":"M. F."}],"accessed":{"date-parts":[["2023",10,5]]},"issued":{"date-parts":[["1974"]]}}},{"id":4984,"uris":["http://zotero.org/groups/2470620/items/TBYTTCP3"],"itemData":{"id":4984,"type":"article-journal","container-title":"Health Physics","DOI":"10.1097/00004032-198002000-00005","issue":"2","page":"173-185","title":"Absorption of actinide elements from the gastrointestinal tract of neonatal animals","volume":"38","author":[{"family":"Sullivan","given":"M.F."}],"issued":{"date-parts":[["1980"]]}}}],"schema":"https://github.com/citation-style-language/schema/raw/master/csl-citation.json"} </w:instrText>
      </w:r>
      <w:r w:rsidR="00C65B5A" w:rsidRPr="00972C81">
        <w:rPr>
          <w:noProof/>
        </w:rPr>
        <w:fldChar w:fldCharType="separate"/>
      </w:r>
      <w:r w:rsidR="00FC21A7" w:rsidRPr="00972C81">
        <w:rPr>
          <w:noProof/>
          <w:szCs w:val="24"/>
        </w:rPr>
        <w:t>(Sullivan, 1974, 1980a)</w:t>
      </w:r>
      <w:r w:rsidR="00C65B5A" w:rsidRPr="00972C81">
        <w:rPr>
          <w:noProof/>
        </w:rPr>
        <w:fldChar w:fldCharType="end"/>
      </w:r>
      <w:r w:rsidRPr="00972C81">
        <w:rPr>
          <w:noProof/>
        </w:rPr>
        <w:t xml:space="preserve">. </w:t>
      </w:r>
      <w:r w:rsidRPr="00972C81">
        <w:rPr>
          <w:noProof/>
          <w:color w:val="000000"/>
          <w:szCs w:val="24"/>
          <w:lang w:eastAsia="fr-FR"/>
        </w:rPr>
        <w:t xml:space="preserve">It is assumed </w:t>
      </w:r>
      <w:r w:rsidRPr="00972C81">
        <w:rPr>
          <w:noProof/>
          <w:szCs w:val="24"/>
        </w:rPr>
        <w:t>that</w:t>
      </w:r>
      <w:r w:rsidRPr="00972C81">
        <w:rPr>
          <w:noProof/>
          <w:color w:val="000000"/>
          <w:szCs w:val="24"/>
          <w:lang w:eastAsia="fr-FR"/>
        </w:rPr>
        <w:t>, l</w:t>
      </w:r>
      <w:r w:rsidRPr="00972C81">
        <w:rPr>
          <w:noProof/>
          <w:szCs w:val="24"/>
        </w:rPr>
        <w:t>ike for plutonium, the increased absorption would probably decrease rapidly during the first few days or weeks of life, adult values being reached by about the time of weaning.</w:t>
      </w:r>
      <w:r w:rsidRPr="00972C81">
        <w:rPr>
          <w:noProof/>
        </w:rPr>
        <w:t xml:space="preserve"> The same values of </w:t>
      </w:r>
      <w:r w:rsidRPr="00972C81">
        <w:rPr>
          <w:i/>
          <w:noProof/>
        </w:rPr>
        <w:t>f</w:t>
      </w:r>
      <w:r w:rsidRPr="00972C81">
        <w:rPr>
          <w:noProof/>
          <w:vertAlign w:val="subscript"/>
        </w:rPr>
        <w:t>A</w:t>
      </w:r>
      <w:r w:rsidRPr="00972C81">
        <w:rPr>
          <w:noProof/>
        </w:rPr>
        <w:t xml:space="preserve"> = 5</w:t>
      </w:r>
      <w:r w:rsidR="00067025" w:rsidRPr="00972C81">
        <w:rPr>
          <w:noProof/>
        </w:rPr>
        <w:t xml:space="preserve"> × </w:t>
      </w:r>
      <w:r w:rsidRPr="00972C81">
        <w:rPr>
          <w:noProof/>
        </w:rPr>
        <w:t>10</w:t>
      </w:r>
      <w:r w:rsidRPr="00972C81">
        <w:rPr>
          <w:noProof/>
          <w:vertAlign w:val="superscript"/>
        </w:rPr>
        <w:t>-3</w:t>
      </w:r>
      <w:r w:rsidRPr="00972C81">
        <w:rPr>
          <w:noProof/>
        </w:rPr>
        <w:t xml:space="preserve"> for 3-month-old infants and 5</w:t>
      </w:r>
      <w:r w:rsidR="00067025" w:rsidRPr="00972C81">
        <w:rPr>
          <w:noProof/>
        </w:rPr>
        <w:t xml:space="preserve"> × </w:t>
      </w:r>
      <w:r w:rsidRPr="00972C81">
        <w:rPr>
          <w:noProof/>
        </w:rPr>
        <w:t>10</w:t>
      </w:r>
      <w:r w:rsidRPr="00972C81">
        <w:rPr>
          <w:noProof/>
          <w:vertAlign w:val="superscript"/>
        </w:rPr>
        <w:t>-4</w:t>
      </w:r>
      <w:r w:rsidRPr="00972C81">
        <w:rPr>
          <w:noProof/>
        </w:rPr>
        <w:t xml:space="preserve"> for children of 1 year and older are therefore adopted here for curium as for thorium, neptunium, plutonium and americium.</w:t>
      </w:r>
    </w:p>
    <w:p w14:paraId="14F13109" w14:textId="77777777" w:rsidR="004836EE" w:rsidRPr="00972C81" w:rsidRDefault="004836EE" w:rsidP="00E81109">
      <w:pPr>
        <w:pStyle w:val="3"/>
        <w:rPr>
          <w:noProof/>
        </w:rPr>
      </w:pPr>
      <w:bookmarkStart w:id="406" w:name="_Toc162630137"/>
      <w:r w:rsidRPr="00972C81">
        <w:rPr>
          <w:noProof/>
        </w:rPr>
        <w:t>Systemic Distribution, Retention and Excretion</w:t>
      </w:r>
      <w:bookmarkEnd w:id="406"/>
    </w:p>
    <w:p w14:paraId="4BDCC0C8" w14:textId="77777777" w:rsidR="00594915" w:rsidRPr="00972C81" w:rsidRDefault="00594915" w:rsidP="006703A2">
      <w:pPr>
        <w:pStyle w:val="OIRTitre4"/>
      </w:pPr>
      <w:r w:rsidRPr="00972C81">
        <w:t>Summary of biokinetic data</w:t>
      </w:r>
    </w:p>
    <w:p w14:paraId="6EDC9D0F" w14:textId="2731B05B" w:rsidR="00594915" w:rsidRPr="00972C81" w:rsidRDefault="00594915" w:rsidP="001C4A92">
      <w:pPr>
        <w:pStyle w:val="Annalstext"/>
        <w:rPr>
          <w:noProof/>
          <w:snapToGrid w:val="0"/>
        </w:rPr>
      </w:pPr>
      <w:r w:rsidRPr="00972C81">
        <w:rPr>
          <w:noProof/>
          <w:snapToGrid w:val="0"/>
        </w:rPr>
        <w:t xml:space="preserve">The biokinetics of Es has been studied in mice </w:t>
      </w:r>
      <w:r w:rsidR="00C65B5A" w:rsidRPr="00972C81">
        <w:rPr>
          <w:noProof/>
          <w:snapToGrid w:val="0"/>
        </w:rPr>
        <w:fldChar w:fldCharType="begin"/>
      </w:r>
      <w:r w:rsidR="00FC21A7" w:rsidRPr="00972C81">
        <w:rPr>
          <w:noProof/>
          <w:snapToGrid w:val="0"/>
        </w:rPr>
        <w:instrText xml:space="preserve"> ADDIN ZOTERO_ITEM CSL_CITATION {"citationID":"a2rpicenf3","properties":{"formattedCitation":"(Parker et al., 1972)","plainCitation":"(Parker et al., 1972)","noteIndex":0},"citationItems":[{"id":5317,"uris":["http://zotero.org/groups/2470620/items/355Q73I2"],"itemData":{"id":5317,"type":"article-journal","abstract":"253Es, a pure alpha emitter with a half-life of 20.5 days, is now available in microgram amounts. The potential for human exposure to it and the lack of published observations on its behavior in animals led us to study its whole-body retention, excretion and organ distribution in mice. Citrated253Es was injected intramuscularly; half the mice also received DTPA treatment beginning 2 hr after the injection. Daily whole-body counts were obtained by L X-ray counting, and the organ and tissue activities were measured by X-ray and alpha counting at 4 and 14 days. Comparison was made with our earlier Am and Cf study in mice. Einsteinium behaved according to predictions based on its place among the actinides. DTPA therapy was about as effective for Es as for the other actinides. The validity of the L X-ray method for whole-body, organ, tissue and excreta counts, using empirically determined correction factors, was established for the mouse. The method offers simplifications for future studies of this sort. © 1972 Health Physics Society.","archive":"Scopus","container-title":"Health Physics","DOI":"10.1097/00004032-197206000-00017","issue":"6","page":"647-651","source":"Scopus","title":"The metabolism of 253Es in mice","volume":"22","author":[{"family":"Parker","given":"H.G."},{"family":"Wright","given":"S.R."},{"family":"Low-Beer","given":"A.G."},{"family":"Yaeger","given":"D.J."}],"issued":{"date-parts":[["1972"]]}}}],"schema":"https://github.com/citation-style-language/schema/raw/master/csl-citation.json"} </w:instrText>
      </w:r>
      <w:r w:rsidR="00C65B5A" w:rsidRPr="00972C81">
        <w:rPr>
          <w:noProof/>
          <w:snapToGrid w:val="0"/>
        </w:rPr>
        <w:fldChar w:fldCharType="separate"/>
      </w:r>
      <w:r w:rsidR="00FC21A7" w:rsidRPr="00972C81">
        <w:rPr>
          <w:noProof/>
          <w:szCs w:val="24"/>
        </w:rPr>
        <w:t>(Parker et al., 1972)</w:t>
      </w:r>
      <w:r w:rsidR="00C65B5A" w:rsidRPr="00972C81">
        <w:rPr>
          <w:noProof/>
          <w:snapToGrid w:val="0"/>
        </w:rPr>
        <w:fldChar w:fldCharType="end"/>
      </w:r>
      <w:r w:rsidRPr="00972C81">
        <w:rPr>
          <w:noProof/>
          <w:snapToGrid w:val="0"/>
        </w:rPr>
        <w:t xml:space="preserve">, rats </w:t>
      </w:r>
      <w:r w:rsidR="00C65B5A" w:rsidRPr="00972C81">
        <w:rPr>
          <w:noProof/>
          <w:snapToGrid w:val="0"/>
        </w:rPr>
        <w:fldChar w:fldCharType="begin"/>
      </w:r>
      <w:r w:rsidR="00FC21A7" w:rsidRPr="00972C81">
        <w:rPr>
          <w:noProof/>
          <w:snapToGrid w:val="0"/>
        </w:rPr>
        <w:instrText xml:space="preserve"> ADDIN ZOTERO_ITEM CSL_CITATION {"citationID":"a1c0vmpf9j6","properties":{"formattedCitation":"(Ballou et al., 1975, 1979; Hungate et al., 1972)","plainCitation":"(Ballou et al., 1975, 1979; Hungate et al., 1972)","noteIndex":0},"citationItems":[{"id":5323,"uris":["http://zotero.org/groups/2470620/items/XS3HB42K"],"itemData":{"id":5323,"type":"article-journal","abstract":"Male Wistar rats were administered 258EsCls by intratracheal instillation and the biological effects were followed for the animals lifespan or 880 days. Three dose levels were employed; 47.2, 10.7 and 0.214 μCi/kg along with controls given pH 2 HC1 by instillation. The estimated radiation dose to lung was 9800, 1900 and 38 rads, respectively. The dose to bone was about £ the lung dose. The earliest biological effects were dose related, e.g. impaired weight gain and death due to radiation pneumonitis. The late effects included bone and/or lung tumors in all experimental groups. The tumor site and incidence are discussed and related to similar data for plutonium compounds. © 1975 Health Physics Society.","archive":"Scopus","container-title":"Health Physics","DOI":"10.1097/00004032-197508000-00004","issue":"2","page":"267-272","source":"Scopus","title":"The long-term effects of intratracheally instilled 253EsCl3 in rats","volume":"29","author":[{"family":"Ballou","given":"J.E."},{"family":"Dagle","given":"G.E."},{"family":"Morrow","given":"W.G."}],"issued":{"date-parts":[["1975"]]}}},{"id":5320,"uris":["http://zotero.org/groups/2470620/items/VCDTGY4L"],"itemData":{"id":5320,"type":"article-journal","abstract":"Einsteinium-253 nitrate was administered as an aerosol to male Wistar rats and the long-term biological effects were followed for the animals' life span. Lung was the major target organ for absorbed radiation dose and tumor induction, in agreement with results for other inhaled transuranic nitrates. The earlier finding of a high incidence of bone tumors following intratracheal instillation of253EsCl3was not confirmed in the present study with inhaled253Es(N03)3. The reason for the difference in bone tumor production is believed to be related to the different acute toxicities of intratracheally instilled and inhaled253Es. Intratracheally instilled253EsCl3was less acutely toxic (only a single lobe or one-half the lung was irradiated); thus, a larger more tumorigenic dose could be translocated to bone without shortening the life span to the extent that bone tumors could not be expressed. The radiation dose from inhaled253Es(N03)3was uniformly spread throughout both lungs and early death due to a generalized radiation pneumonitis precluded the development of long-term effects in bone. © 1979 Health Physics Society.","archive":"Scopus","container-title":"Health Physics","DOI":"10.1097/00004032-197909000-00004","issue":"3","page":"301-309","source":"Scopus","title":"Late effects of inhaled 253Es(NO3)3 in rats","volume":"37","author":[{"family":"Ballou","given":"J.E."},{"family":"Dagle","given":"G.E."},{"family":"Gies","given":"R.A."},{"family":"Smith","given":"L.G."}],"issued":{"date-parts":[["1979"]]}}},{"id":5266,"uris":["http://zotero.org/groups/2470620/items/5P8YPB49"],"itemData":{"id":5266,"type":"article-journal","abstract":"Rats were administered253Es by intragastric, intratracheal, intravenous, intraperitoneal, transplacental and transcutaneous routes. Early results from these studies are reported. Data are also reported on the intragastric and intravenous administration of249Bk. Results are consistent in general form with what would have been predicted from the known behavior of lighter actinides. © 1972 Health Physics Society.","archive":"Scopus","container-title":"Health Physics","DOI":"10.1097/00004032-197206000-00018","issue":"6","page":"653-656","source":"Scopus","title":"Preliminary data on 253Es and 249Bk metabolism in rats","volume":"22","author":[{"family":"Hungate","given":"F.P."},{"family":"Ballou","given":"J.E."},{"family":"Mahlum","given":"D.D."},{"family":"Kashima","given":"M."},{"family":"Smith","given":"V.H."},{"family":"Sanders","given":"C.L."},{"family":"Baxter","given":"D.W."},{"family":"Sikov","given":"M.R."},{"family":"Thompson","given":"R.C."}],"issued":{"date-parts":[["1972"]]}}}],"schema":"https://github.com/citation-style-language/schema/raw/master/csl-citation.json"} </w:instrText>
      </w:r>
      <w:r w:rsidR="00C65B5A" w:rsidRPr="00972C81">
        <w:rPr>
          <w:noProof/>
          <w:snapToGrid w:val="0"/>
        </w:rPr>
        <w:fldChar w:fldCharType="separate"/>
      </w:r>
      <w:r w:rsidR="00FC21A7" w:rsidRPr="00972C81">
        <w:rPr>
          <w:noProof/>
          <w:szCs w:val="24"/>
        </w:rPr>
        <w:t>(Ballou et al., 1975, 1979; Hungate et al., 1972)</w:t>
      </w:r>
      <w:r w:rsidR="00C65B5A" w:rsidRPr="00972C81">
        <w:rPr>
          <w:noProof/>
          <w:snapToGrid w:val="0"/>
        </w:rPr>
        <w:fldChar w:fldCharType="end"/>
      </w:r>
      <w:r w:rsidRPr="00972C81">
        <w:rPr>
          <w:noProof/>
          <w:snapToGrid w:val="0"/>
        </w:rPr>
        <w:t xml:space="preserve">, miniature swine </w:t>
      </w:r>
      <w:r w:rsidR="00490741" w:rsidRPr="00972C81">
        <w:rPr>
          <w:noProof/>
          <w:snapToGrid w:val="0"/>
        </w:rPr>
        <w:fldChar w:fldCharType="begin"/>
      </w:r>
      <w:r w:rsidR="00FC21A7" w:rsidRPr="00972C81">
        <w:rPr>
          <w:noProof/>
          <w:snapToGrid w:val="0"/>
        </w:rPr>
        <w:instrText xml:space="preserve"> ADDIN ZOTERO_ITEM CSL_CITATION {"citationID":"a8tf7erp4k","properties":{"formattedCitation":"(McClanahan and Ragan, 1984)","plainCitation":"(McClanahan and Ragan, 1984)","noteIndex":0},"citationItems":[{"id":5326,"uris":["http://zotero.org/groups/2470620/items/8Z8E7NEF"],"itemData":{"id":5326,"type":"article-journal","archive":"Scopus","container-title":"Health Physics","issue":"3","page":"472-475","source":"Scopus","title":"Distribution of 253Es in juvenile miniature swine","volume":"47","author":[{"family":"McClanahan","given":"B.J."},{"family":"Ragan","given":"H.A."}],"issued":{"date-parts":[["1984"]]}}}],"schema":"https://github.com/citation-style-language/schema/raw/master/csl-citation.json"} </w:instrText>
      </w:r>
      <w:r w:rsidR="00490741" w:rsidRPr="00972C81">
        <w:rPr>
          <w:noProof/>
          <w:snapToGrid w:val="0"/>
        </w:rPr>
        <w:fldChar w:fldCharType="separate"/>
      </w:r>
      <w:r w:rsidR="00FC21A7" w:rsidRPr="00972C81">
        <w:rPr>
          <w:noProof/>
          <w:szCs w:val="24"/>
        </w:rPr>
        <w:t>(McClanahan and Ragan, 1984)</w:t>
      </w:r>
      <w:r w:rsidR="00490741" w:rsidRPr="00972C81">
        <w:rPr>
          <w:noProof/>
          <w:snapToGrid w:val="0"/>
        </w:rPr>
        <w:fldChar w:fldCharType="end"/>
      </w:r>
      <w:r w:rsidRPr="00972C81">
        <w:rPr>
          <w:noProof/>
          <w:snapToGrid w:val="0"/>
        </w:rPr>
        <w:t xml:space="preserve"> and beagles </w:t>
      </w:r>
      <w:r w:rsidR="00490741" w:rsidRPr="00972C81">
        <w:rPr>
          <w:noProof/>
          <w:snapToGrid w:val="0"/>
        </w:rPr>
        <w:fldChar w:fldCharType="begin"/>
      </w:r>
      <w:r w:rsidR="00FC21A7" w:rsidRPr="00972C81">
        <w:rPr>
          <w:noProof/>
          <w:snapToGrid w:val="0"/>
        </w:rPr>
        <w:instrText xml:space="preserve"> ADDIN ZOTERO_ITEM CSL_CITATION {"citationID":"a2gn7fp1jg9","properties":{"formattedCitation":"(Lloyd et al., 1975)","plainCitation":"(Lloyd et al., 1975)","noteIndex":0},"citationItems":[{"id":5329,"uris":["http://zotero.org/groups/2470620/items/X3HSRWYV"],"itemData":{"id":5329,"type":"article-journal","abstract":"The excretion, retention and tissue distribution of einsteinium has been studied during a period of up to about 8 weeks following the intravenous injection of253Es citrate into six young adult beagles. Although the first day's urinary excretion by two of these animals was about three and six times the average of the other four dogs, excretion of the252Cf contaminant in the injection solution by these same individuals was also much higher. The ratio of excreted Cf to excreted Es in the first day's urine averaged 0.68 for all six dogs and was 0.66 and 0.72 in the two animals which excreted an abnormally high fraction of their injected Es. We have never seen previously such anomalous excretion within any group of beagles injected with Cf, Cm, Am or Pu. Of the other transuranium elements which we have studied, Es appears to most closely resemble Cf in its excretion, retention and tissue distribution. The253Es concentration of exsanguinated tissues was about equal in skeleton and liver, the two tissues of highest concentration. Thyroid concentration was about J 1/4 to 1/3 that of the skeleton. © 1975 Health Physics Society.","archive":"Scopus","container-title":"Health Physics","DOI":"10.1097/00004032-197505000-00012","issue":"5","page":"585-589","source":"Scopus","title":"The early retention, excretion and distribution of injected einsteinium citrate in beagles","volume":"28","author":[{"family":"Lloyd","given":"R.D."},{"family":"Dogkum","given":"J.G."},{"family":"Atherton","given":"D.R."},{"family":"Mays","given":"C.W."},{"family":"Williams","given":"J.L."}],"issued":{"date-parts":[["1975"]]}}}],"schema":"https://github.com/citation-style-language/schema/raw/master/csl-citation.json"} </w:instrText>
      </w:r>
      <w:r w:rsidR="00490741" w:rsidRPr="00972C81">
        <w:rPr>
          <w:noProof/>
          <w:snapToGrid w:val="0"/>
        </w:rPr>
        <w:fldChar w:fldCharType="separate"/>
      </w:r>
      <w:r w:rsidR="00FC21A7" w:rsidRPr="00972C81">
        <w:rPr>
          <w:noProof/>
          <w:szCs w:val="24"/>
        </w:rPr>
        <w:t>(Lloyd et al., 1975)</w:t>
      </w:r>
      <w:r w:rsidR="00490741" w:rsidRPr="00972C81">
        <w:rPr>
          <w:noProof/>
          <w:snapToGrid w:val="0"/>
        </w:rPr>
        <w:fldChar w:fldCharType="end"/>
      </w:r>
      <w:r w:rsidRPr="00972C81">
        <w:rPr>
          <w:noProof/>
          <w:snapToGrid w:val="0"/>
        </w:rPr>
        <w:t>. Comparative data for Am, Cf, and Es indicate that skeletal deposition increases in the order Am &lt; Cf &lt; Es. The initial urinary excretion rate is much greater, and the initial fecal excretion rate is much lower, for Es than for Cf or Am.</w:t>
      </w:r>
    </w:p>
    <w:p w14:paraId="3DB4A83F" w14:textId="681222EF" w:rsidR="00594915" w:rsidRPr="00972C81" w:rsidRDefault="00594915" w:rsidP="001C4A92">
      <w:pPr>
        <w:pStyle w:val="Annalstext"/>
        <w:rPr>
          <w:noProof/>
          <w:snapToGrid w:val="0"/>
        </w:rPr>
      </w:pPr>
      <w:r w:rsidRPr="00972C81">
        <w:rPr>
          <w:noProof/>
          <w:snapToGrid w:val="0"/>
        </w:rPr>
        <w:t>The s</w:t>
      </w:r>
      <w:r w:rsidRPr="00972C81">
        <w:rPr>
          <w:rStyle w:val="AnnalstextChar"/>
          <w:noProof/>
        </w:rPr>
        <w:t>y</w:t>
      </w:r>
      <w:r w:rsidRPr="00972C81">
        <w:rPr>
          <w:noProof/>
          <w:snapToGrid w:val="0"/>
        </w:rPr>
        <w:t xml:space="preserve">stemic </w:t>
      </w:r>
      <w:r w:rsidR="00BB503E">
        <w:rPr>
          <w:noProof/>
          <w:snapToGrid w:val="0"/>
        </w:rPr>
        <w:t>behaviour</w:t>
      </w:r>
      <w:r w:rsidRPr="00972C81">
        <w:rPr>
          <w:noProof/>
          <w:snapToGrid w:val="0"/>
        </w:rPr>
        <w:t xml:space="preserve"> of </w:t>
      </w:r>
      <w:r w:rsidRPr="00972C81">
        <w:rPr>
          <w:noProof/>
          <w:snapToGrid w:val="0"/>
          <w:vertAlign w:val="superscript"/>
        </w:rPr>
        <w:t>253</w:t>
      </w:r>
      <w:r w:rsidRPr="00972C81">
        <w:rPr>
          <w:noProof/>
          <w:snapToGrid w:val="0"/>
        </w:rPr>
        <w:t xml:space="preserve">Es was studied up to about 8 wk following its intravenous injection as citrate to six young adult beagle dogs </w:t>
      </w:r>
      <w:r w:rsidR="00490741" w:rsidRPr="00972C81">
        <w:rPr>
          <w:noProof/>
          <w:snapToGrid w:val="0"/>
        </w:rPr>
        <w:fldChar w:fldCharType="begin"/>
      </w:r>
      <w:r w:rsidR="00FC21A7" w:rsidRPr="00972C81">
        <w:rPr>
          <w:noProof/>
          <w:snapToGrid w:val="0"/>
        </w:rPr>
        <w:instrText xml:space="preserve"> ADDIN ZOTERO_ITEM CSL_CITATION {"citationID":"YGxEDjQK","properties":{"formattedCitation":"(Lloyd et al., 1975)","plainCitation":"(Lloyd et al., 1975)","noteIndex":0},"citationItems":[{"id":5329,"uris":["http://zotero.org/groups/2470620/items/X3HSRWYV"],"itemData":{"id":5329,"type":"article-journal","abstract":"The excretion, retention and tissue distribution of einsteinium has been studied during a period of up to about 8 weeks following the intravenous injection of253Es citrate into six young adult beagles. Although the first day's urinary excretion by two of these animals was about three and six times the average of the other four dogs, excretion of the252Cf contaminant in the injection solution by these same individuals was also much higher. The ratio of excreted Cf to excreted Es in the first day's urine averaged 0.68 for all six dogs and was 0.66 and 0.72 in the two animals which excreted an abnormally high fraction of their injected Es. We have never seen previously such anomalous excretion within any group of beagles injected with Cf, Cm, Am or Pu. Of the other transuranium elements which we have studied, Es appears to most closely resemble Cf in its excretion, retention and tissue distribution. The253Es concentration of exsanguinated tissues was about equal in skeleton and liver, the two tissues of highest concentration. Thyroid concentration was about J 1/4 to 1/3 that of the skeleton. © 1975 Health Physics Society.","archive":"Scopus","container-title":"Health Physics","DOI":"10.1097/00004032-197505000-00012","issue":"5","page":"585-589","source":"Scopus","title":"The early retention, excretion and distribution of injected einsteinium citrate in beagles","volume":"28","author":[{"family":"Lloyd","given":"R.D."},{"family":"Dogkum","given":"J.G."},{"family":"Atherton","given":"D.R."},{"family":"Mays","given":"C.W."},{"family":"Williams","given":"J.L."}],"issued":{"date-parts":[["1975"]]}}}],"schema":"https://github.com/citation-style-language/schema/raw/master/csl-citation.json"} </w:instrText>
      </w:r>
      <w:r w:rsidR="00490741" w:rsidRPr="00972C81">
        <w:rPr>
          <w:noProof/>
          <w:snapToGrid w:val="0"/>
        </w:rPr>
        <w:fldChar w:fldCharType="separate"/>
      </w:r>
      <w:r w:rsidR="00FC21A7" w:rsidRPr="00972C81">
        <w:rPr>
          <w:noProof/>
          <w:szCs w:val="24"/>
        </w:rPr>
        <w:t>(Lloyd et al., 1975)</w:t>
      </w:r>
      <w:r w:rsidR="00490741" w:rsidRPr="00972C81">
        <w:rPr>
          <w:noProof/>
          <w:snapToGrid w:val="0"/>
        </w:rPr>
        <w:fldChar w:fldCharType="end"/>
      </w:r>
      <w:r w:rsidRPr="00972C81">
        <w:rPr>
          <w:noProof/>
          <w:snapToGrid w:val="0"/>
        </w:rPr>
        <w:t>. Excluding two dogs with possibly anomalous initial urinary losses, mean losses in urine and faeces over the first three weeks represented about 18% and 7%, respectively, of the administered amount. The skeleton and liver were the main sites of deposition of injected activity, with the skeleton containing about 30</w:t>
      </w:r>
      <w:r w:rsidR="00834C3F" w:rsidRPr="00FE17F7">
        <w:t>–</w:t>
      </w:r>
      <w:r w:rsidRPr="00972C81">
        <w:rPr>
          <w:noProof/>
          <w:snapToGrid w:val="0"/>
        </w:rPr>
        <w:t>50% and the liver about 10</w:t>
      </w:r>
      <w:r w:rsidR="00834C3F" w:rsidRPr="00FE17F7">
        <w:t>–</w:t>
      </w:r>
      <w:r w:rsidRPr="00972C81">
        <w:rPr>
          <w:noProof/>
          <w:snapToGrid w:val="0"/>
        </w:rPr>
        <w:t xml:space="preserve">13% of the administered activity between 7 and 55 d after administration. The investigators compared the </w:t>
      </w:r>
      <w:r w:rsidR="00BB503E">
        <w:rPr>
          <w:noProof/>
          <w:snapToGrid w:val="0"/>
        </w:rPr>
        <w:t>behaviour</w:t>
      </w:r>
      <w:r w:rsidRPr="00972C81">
        <w:rPr>
          <w:noProof/>
          <w:snapToGrid w:val="0"/>
        </w:rPr>
        <w:t xml:space="preserve"> of Es in dogs with that of Pu, Am, Cm, and Cf determined earlier at the same laboratory and concluded that Es most closely resembled Cf in its tissue distribution, retention, and excretion. </w:t>
      </w:r>
    </w:p>
    <w:p w14:paraId="6D960A4C" w14:textId="5D463C2A" w:rsidR="00594915" w:rsidRPr="00972C81" w:rsidRDefault="00594915" w:rsidP="001C4A92">
      <w:pPr>
        <w:pStyle w:val="Annalstext"/>
        <w:rPr>
          <w:noProof/>
          <w:snapToGrid w:val="0"/>
        </w:rPr>
      </w:pPr>
      <w:r w:rsidRPr="00972C81">
        <w:rPr>
          <w:noProof/>
          <w:snapToGrid w:val="0"/>
        </w:rPr>
        <w:t xml:space="preserve">The biokinetics and adverse effects of </w:t>
      </w:r>
      <w:r w:rsidRPr="00972C81">
        <w:rPr>
          <w:noProof/>
          <w:snapToGrid w:val="0"/>
          <w:vertAlign w:val="superscript"/>
        </w:rPr>
        <w:t>253</w:t>
      </w:r>
      <w:r w:rsidRPr="00972C81">
        <w:rPr>
          <w:noProof/>
          <w:snapToGrid w:val="0"/>
        </w:rPr>
        <w:t xml:space="preserve">Es were studied in rats following various routes of administration of different compounds </w:t>
      </w:r>
      <w:r w:rsidR="00490741" w:rsidRPr="00972C81">
        <w:rPr>
          <w:noProof/>
          <w:snapToGrid w:val="0"/>
        </w:rPr>
        <w:fldChar w:fldCharType="begin"/>
      </w:r>
      <w:r w:rsidR="00FC21A7" w:rsidRPr="00972C81">
        <w:rPr>
          <w:noProof/>
          <w:snapToGrid w:val="0"/>
        </w:rPr>
        <w:instrText xml:space="preserve"> ADDIN ZOTERO_ITEM CSL_CITATION {"citationID":"akk5shfun8","properties":{"formattedCitation":"(Hungate et al., 1972)","plainCitation":"(Hungate et al., 1972)","noteIndex":0},"citationItems":[{"id":5266,"uris":["http://zotero.org/groups/2470620/items/5P8YPB49"],"itemData":{"id":5266,"type":"article-journal","abstract":"Rats were administered253Es by intragastric, intratracheal, intravenous, intraperitoneal, transplacental and transcutaneous routes. Early results from these studies are reported. Data are also reported on the intragastric and intravenous administration of249Bk. Results are consistent in general form with what would have been predicted from the known behavior of lighter actinides. © 1972 Health Physics Society.","archive":"Scopus","container-title":"Health Physics","DOI":"10.1097/00004032-197206000-00018","issue":"6","page":"653-656","source":"Scopus","title":"Preliminary data on 253Es and 249Bk metabolism in rats","volume":"22","author":[{"family":"Hungate","given":"F.P."},{"family":"Ballou","given":"J.E."},{"family":"Mahlum","given":"D.D."},{"family":"Kashima","given":"M."},{"family":"Smith","given":"V.H."},{"family":"Sanders","given":"C.L."},{"family":"Baxter","given":"D.W."},{"family":"Sikov","given":"M.R."},{"family":"Thompson","given":"R.C."}],"issued":{"date-parts":[["1972"]]}}}],"schema":"https://github.com/citation-style-language/schema/raw/master/csl-citation.json"} </w:instrText>
      </w:r>
      <w:r w:rsidR="00490741" w:rsidRPr="00972C81">
        <w:rPr>
          <w:noProof/>
          <w:snapToGrid w:val="0"/>
        </w:rPr>
        <w:fldChar w:fldCharType="separate"/>
      </w:r>
      <w:r w:rsidR="00FC21A7" w:rsidRPr="00972C81">
        <w:rPr>
          <w:noProof/>
          <w:szCs w:val="24"/>
        </w:rPr>
        <w:t>(Hungate et al., 1972)</w:t>
      </w:r>
      <w:r w:rsidR="00490741" w:rsidRPr="00972C81">
        <w:rPr>
          <w:noProof/>
          <w:snapToGrid w:val="0"/>
        </w:rPr>
        <w:fldChar w:fldCharType="end"/>
      </w:r>
      <w:r w:rsidRPr="00972C81">
        <w:rPr>
          <w:noProof/>
          <w:snapToGrid w:val="0"/>
        </w:rPr>
        <w:t xml:space="preserve">. Following intravenous administration of the chloride, about 35% of the injected amount was excreted in urine during the first day. During the next 20 d the urinary and fecal excretion rates were about the same. Total excretion over 21 d amounted to almost 50% of the injected amount. Bone was the primary site of deposition. There was no indication of a change in the bone content from 4 h to 83 d post injection. The liver content declined from about 18% at 4 h to 1.6% at 21 d. The </w:t>
      </w:r>
      <w:r w:rsidR="00BB503E">
        <w:rPr>
          <w:noProof/>
          <w:snapToGrid w:val="0"/>
        </w:rPr>
        <w:t>behaviour</w:t>
      </w:r>
      <w:r w:rsidRPr="00972C81">
        <w:rPr>
          <w:noProof/>
          <w:snapToGrid w:val="0"/>
        </w:rPr>
        <w:t xml:space="preserve"> of </w:t>
      </w:r>
      <w:r w:rsidRPr="00972C81">
        <w:rPr>
          <w:noProof/>
          <w:snapToGrid w:val="0"/>
          <w:vertAlign w:val="superscript"/>
        </w:rPr>
        <w:t>253</w:t>
      </w:r>
      <w:r w:rsidRPr="00972C81">
        <w:rPr>
          <w:noProof/>
          <w:snapToGrid w:val="0"/>
        </w:rPr>
        <w:t xml:space="preserve">Es administered as the hydroxide was much different: about 80% of the administered activity was lost from the body within 4 h, and less than 1% remained after 20 d. The authors suggested that the much different results for the hydroxide could be related to damaging effects of the alkaline solution in the lung. The systemic </w:t>
      </w:r>
      <w:r w:rsidR="00BB503E">
        <w:rPr>
          <w:noProof/>
          <w:snapToGrid w:val="0"/>
        </w:rPr>
        <w:t>behaviour</w:t>
      </w:r>
      <w:r w:rsidRPr="00972C81">
        <w:rPr>
          <w:noProof/>
          <w:snapToGrid w:val="0"/>
        </w:rPr>
        <w:t xml:space="preserve"> of </w:t>
      </w:r>
      <w:r w:rsidRPr="00972C81">
        <w:rPr>
          <w:noProof/>
          <w:snapToGrid w:val="0"/>
          <w:vertAlign w:val="superscript"/>
        </w:rPr>
        <w:t>253</w:t>
      </w:r>
      <w:r w:rsidRPr="00972C81">
        <w:rPr>
          <w:noProof/>
          <w:snapToGrid w:val="0"/>
        </w:rPr>
        <w:t xml:space="preserve">Es observed in later studies at the same laboratory involving intratracheal administration of </w:t>
      </w:r>
      <w:r w:rsidRPr="00972C81">
        <w:rPr>
          <w:noProof/>
          <w:snapToGrid w:val="0"/>
          <w:vertAlign w:val="superscript"/>
        </w:rPr>
        <w:t>253</w:t>
      </w:r>
      <w:r w:rsidRPr="00972C81">
        <w:rPr>
          <w:noProof/>
          <w:snapToGrid w:val="0"/>
        </w:rPr>
        <w:t>EsCl</w:t>
      </w:r>
      <w:r w:rsidRPr="00972C81">
        <w:rPr>
          <w:noProof/>
          <w:snapToGrid w:val="0"/>
          <w:vertAlign w:val="subscript"/>
        </w:rPr>
        <w:t>3</w:t>
      </w:r>
      <w:r w:rsidRPr="00972C81">
        <w:rPr>
          <w:noProof/>
          <w:snapToGrid w:val="0"/>
        </w:rPr>
        <w:t xml:space="preserve"> or inhalation of </w:t>
      </w:r>
      <w:r w:rsidRPr="00972C81">
        <w:rPr>
          <w:noProof/>
          <w:snapToGrid w:val="0"/>
          <w:vertAlign w:val="superscript"/>
        </w:rPr>
        <w:t>253</w:t>
      </w:r>
      <w:r w:rsidRPr="00972C81">
        <w:rPr>
          <w:noProof/>
          <w:snapToGrid w:val="0"/>
        </w:rPr>
        <w:t>Es(NO</w:t>
      </w:r>
      <w:r w:rsidRPr="00972C81">
        <w:rPr>
          <w:noProof/>
          <w:snapToGrid w:val="0"/>
          <w:vertAlign w:val="subscript"/>
        </w:rPr>
        <w:t>3</w:t>
      </w:r>
      <w:r w:rsidRPr="00972C81">
        <w:rPr>
          <w:noProof/>
          <w:snapToGrid w:val="0"/>
        </w:rPr>
        <w:t>)</w:t>
      </w:r>
      <w:r w:rsidRPr="00972C81">
        <w:rPr>
          <w:noProof/>
          <w:snapToGrid w:val="0"/>
          <w:vertAlign w:val="subscript"/>
        </w:rPr>
        <w:t>3</w:t>
      </w:r>
      <w:r w:rsidRPr="00972C81">
        <w:rPr>
          <w:noProof/>
          <w:snapToGrid w:val="0"/>
        </w:rPr>
        <w:t xml:space="preserve"> </w:t>
      </w:r>
      <w:r w:rsidR="00490741" w:rsidRPr="00972C81">
        <w:rPr>
          <w:noProof/>
          <w:snapToGrid w:val="0"/>
        </w:rPr>
        <w:fldChar w:fldCharType="begin"/>
      </w:r>
      <w:r w:rsidR="00FC21A7" w:rsidRPr="00972C81">
        <w:rPr>
          <w:noProof/>
          <w:snapToGrid w:val="0"/>
        </w:rPr>
        <w:instrText xml:space="preserve"> ADDIN ZOTERO_ITEM CSL_CITATION {"citationID":"a1ah72svibk","properties":{"formattedCitation":"(Ballou et al., 1975, 1979)","plainCitation":"(Ballou et al., 1975, 1979)","noteIndex":0},"citationItems":[{"id":5323,"uris":["http://zotero.org/groups/2470620/items/XS3HB42K"],"itemData":{"id":5323,"type":"article-journal","abstract":"Male Wistar rats were administered 258EsCls by intratracheal instillation and the biological effects were followed for the animals lifespan or 880 days. Three dose levels were employed; 47.2, 10.7 and 0.214 μCi/kg along with controls given pH 2 HC1 by instillation. The estimated radiation dose to lung was 9800, 1900 and 38 rads, respectively. The dose to bone was about £ the lung dose. The earliest biological effects were dose related, e.g. impaired weight gain and death due to radiation pneumonitis. The late effects included bone and/or lung tumors in all experimental groups. The tumor site and incidence are discussed and related to similar data for plutonium compounds. © 1975 Health Physics Society.","archive":"Scopus","container-title":"Health Physics","DOI":"10.1097/00004032-197508000-00004","issue":"2","page":"267-272","source":"Scopus","title":"The long-term effects of intratracheally instilled 253EsCl3 in rats","volume":"29","author":[{"family":"Ballou","given":"J.E."},{"family":"Dagle","given":"G.E."},{"family":"Morrow","given":"W.G."}],"issued":{"date-parts":[["1975"]]}}},{"id":5320,"uris":["http://zotero.org/groups/2470620/items/VCDTGY4L"],"itemData":{"id":5320,"type":"article-journal","abstract":"Einsteinium-253 nitrate was administered as an aerosol to male Wistar rats and the long-term biological effects were followed for the animals' life span. Lung was the major target organ for absorbed radiation dose and tumor induction, in agreement with results for other inhaled transuranic nitrates. The earlier finding of a high incidence of bone tumors following intratracheal instillation of253EsCl3was not confirmed in the present study with inhaled253Es(N03)3. The reason for the difference in bone tumor production is believed to be related to the different acute toxicities of intratracheally instilled and inhaled253Es. Intratracheally instilled253EsCl3was less acutely toxic (only a single lobe or one-half the lung was irradiated); thus, a larger more tumorigenic dose could be translocated to bone without shortening the life span to the extent that bone tumors could not be expressed. The radiation dose from inhaled253Es(N03)3was uniformly spread throughout both lungs and early death due to a generalized radiation pneumonitis precluded the development of long-term effects in bone. © 1979 Health Physics Society.","archive":"Scopus","container-title":"Health Physics","DOI":"10.1097/00004032-197909000-00004","issue":"3","page":"301-309","source":"Scopus","title":"Late effects of inhaled 253Es(NO3)3 in rats","volume":"37","author":[{"family":"Ballou","given":"J.E."},{"family":"Dagle","given":"G.E."},{"family":"Gies","given":"R.A."},{"family":"Smith","given":"L.G."}],"issued":{"date-parts":[["1979"]]}}}],"schema":"https://github.com/citation-style-language/schema/raw/master/csl-citation.json"} </w:instrText>
      </w:r>
      <w:r w:rsidR="00490741" w:rsidRPr="00972C81">
        <w:rPr>
          <w:noProof/>
          <w:snapToGrid w:val="0"/>
        </w:rPr>
        <w:fldChar w:fldCharType="separate"/>
      </w:r>
      <w:r w:rsidR="00FC21A7" w:rsidRPr="00972C81">
        <w:rPr>
          <w:noProof/>
          <w:szCs w:val="24"/>
        </w:rPr>
        <w:t>(Ballou et al., 1975, 1979)</w:t>
      </w:r>
      <w:r w:rsidR="00490741" w:rsidRPr="00972C81">
        <w:rPr>
          <w:noProof/>
          <w:snapToGrid w:val="0"/>
        </w:rPr>
        <w:fldChar w:fldCharType="end"/>
      </w:r>
      <w:r w:rsidRPr="00972C81">
        <w:rPr>
          <w:noProof/>
          <w:snapToGrid w:val="0"/>
        </w:rPr>
        <w:t xml:space="preserve"> seem reasonably consistent with the results obtained by Hungate et al. for </w:t>
      </w:r>
      <w:r w:rsidRPr="00972C81">
        <w:rPr>
          <w:noProof/>
          <w:snapToGrid w:val="0"/>
          <w:vertAlign w:val="superscript"/>
        </w:rPr>
        <w:t>253</w:t>
      </w:r>
      <w:r w:rsidRPr="00972C81">
        <w:rPr>
          <w:noProof/>
          <w:snapToGrid w:val="0"/>
        </w:rPr>
        <w:t>Es injected as the chloride.</w:t>
      </w:r>
    </w:p>
    <w:p w14:paraId="576E33CB" w14:textId="05CE39AE" w:rsidR="00594915" w:rsidRPr="00972C81" w:rsidRDefault="00594915" w:rsidP="001C4A92">
      <w:pPr>
        <w:pStyle w:val="Annalstext"/>
        <w:rPr>
          <w:noProof/>
          <w:snapToGrid w:val="0"/>
        </w:rPr>
      </w:pPr>
      <w:r w:rsidRPr="00972C81">
        <w:rPr>
          <w:noProof/>
          <w:snapToGrid w:val="0"/>
        </w:rPr>
        <w:t xml:space="preserve">Parker et al. </w:t>
      </w:r>
      <w:r w:rsidR="00490741" w:rsidRPr="00972C81">
        <w:rPr>
          <w:noProof/>
          <w:snapToGrid w:val="0"/>
        </w:rPr>
        <w:fldChar w:fldCharType="begin"/>
      </w:r>
      <w:r w:rsidR="00FC21A7" w:rsidRPr="00972C81">
        <w:rPr>
          <w:noProof/>
          <w:snapToGrid w:val="0"/>
        </w:rPr>
        <w:instrText xml:space="preserve"> ADDIN ZOTERO_ITEM CSL_CITATION {"citationID":"a1o46lpe3e3","properties":{"formattedCitation":"(1972)","plainCitation":"(1972)","noteIndex":0},"citationItems":[{"id":5317,"uris":["http://zotero.org/groups/2470620/items/355Q73I2"],"itemData":{"id":5317,"type":"article-journal","abstract":"253Es, a pure alpha emitter with a half-life of 20.5 days, is now available in microgram amounts. The potential for human exposure to it and the lack of published observations on its behavior in animals led us to study its whole-body retention, excretion and organ distribution in mice. Citrated253Es was injected intramuscularly; half the mice also received DTPA treatment beginning 2 hr after the injection. Daily whole-body counts were obtained by L X-ray counting, and the organ and tissue activities were measured by X-ray and alpha counting at 4 and 14 days. Comparison was made with our earlier Am and Cf study in mice. Einsteinium behaved according to predictions based on its place among the actinides. DTPA therapy was about as effective for Es as for the other actinides. The validity of the L X-ray method for whole-body, organ, tissue and excreta counts, using empirically determined correction factors, was established for the mouse. The method offers simplifications for future studies of this sort. © 1972 Health Physics Society.","archive":"Scopus","container-title":"Health Physics","DOI":"10.1097/00004032-197206000-00017","issue":"6","page":"647-651","source":"Scopus","title":"The metabolism of 253Es in mice","volume":"22","author":[{"family":"Parker","given":"H.G."},{"family":"Wright","given":"S.R."},{"family":"Low-Beer","given":"A.G."},{"family":"Yaeger","given":"D.J."}],"issued":{"date-parts":[["1972"]]}},"label":"page","suppress-author":true}],"schema":"https://github.com/citation-style-language/schema/raw/master/csl-citation.json"} </w:instrText>
      </w:r>
      <w:r w:rsidR="00490741" w:rsidRPr="00972C81">
        <w:rPr>
          <w:noProof/>
          <w:snapToGrid w:val="0"/>
        </w:rPr>
        <w:fldChar w:fldCharType="separate"/>
      </w:r>
      <w:r w:rsidR="00FC21A7" w:rsidRPr="00972C81">
        <w:rPr>
          <w:noProof/>
          <w:szCs w:val="24"/>
        </w:rPr>
        <w:t>(1972)</w:t>
      </w:r>
      <w:r w:rsidR="00490741" w:rsidRPr="00972C81">
        <w:rPr>
          <w:noProof/>
          <w:snapToGrid w:val="0"/>
        </w:rPr>
        <w:fldChar w:fldCharType="end"/>
      </w:r>
      <w:r w:rsidRPr="00972C81">
        <w:rPr>
          <w:noProof/>
          <w:snapToGrid w:val="0"/>
        </w:rPr>
        <w:t xml:space="preserve"> studied the distribution, retention, and excretion of </w:t>
      </w:r>
      <w:r w:rsidRPr="00972C81">
        <w:rPr>
          <w:noProof/>
          <w:snapToGrid w:val="0"/>
          <w:vertAlign w:val="superscript"/>
        </w:rPr>
        <w:t>253</w:t>
      </w:r>
      <w:r w:rsidRPr="00972C81">
        <w:rPr>
          <w:noProof/>
          <w:snapToGrid w:val="0"/>
        </w:rPr>
        <w:t xml:space="preserve">Es in mice following intramuscular injection and compared the results with previous findings by the same group for americium and californium in mice. Over the first 4 d approximately 30% and 1.4% </w:t>
      </w:r>
      <w:r w:rsidRPr="00972C81">
        <w:rPr>
          <w:noProof/>
          <w:snapToGrid w:val="0"/>
        </w:rPr>
        <w:lastRenderedPageBreak/>
        <w:t xml:space="preserve">of the administered </w:t>
      </w:r>
      <w:r w:rsidRPr="00972C81">
        <w:rPr>
          <w:noProof/>
          <w:snapToGrid w:val="0"/>
          <w:vertAlign w:val="superscript"/>
        </w:rPr>
        <w:t>253</w:t>
      </w:r>
      <w:r w:rsidRPr="00972C81">
        <w:rPr>
          <w:noProof/>
          <w:snapToGrid w:val="0"/>
        </w:rPr>
        <w:t xml:space="preserve">Es was excreted in urine and faeces, respectively. At 4 d, the liver contained about 7% of the administered </w:t>
      </w:r>
      <w:r w:rsidRPr="00972C81">
        <w:rPr>
          <w:noProof/>
          <w:snapToGrid w:val="0"/>
          <w:vertAlign w:val="superscript"/>
        </w:rPr>
        <w:t>253</w:t>
      </w:r>
      <w:r w:rsidRPr="00972C81">
        <w:rPr>
          <w:noProof/>
          <w:snapToGrid w:val="0"/>
        </w:rPr>
        <w:t>Es and the skeleton plus carcass contained about 45%. At that time the liver deposition of Es was about the same as the value determined earlier for Cf and about 30% of the value for Am; skeletal retention was somewhat greater for Es than for Cf or Am; urinary excretion of Es was about 5 times that of Cf or Am; and faecal excretion of Es was an order of magnitude lower than that of Cf or Am.</w:t>
      </w:r>
    </w:p>
    <w:p w14:paraId="77C45FF1" w14:textId="1AD30EDB" w:rsidR="00594915" w:rsidRPr="00972C81" w:rsidRDefault="00594915" w:rsidP="001C4A92">
      <w:pPr>
        <w:pStyle w:val="Annalstext"/>
        <w:rPr>
          <w:noProof/>
          <w:snapToGrid w:val="0"/>
        </w:rPr>
      </w:pPr>
      <w:r w:rsidRPr="00972C81">
        <w:rPr>
          <w:noProof/>
          <w:snapToGrid w:val="0"/>
        </w:rPr>
        <w:t xml:space="preserve">At 1 d after intravenous administration of </w:t>
      </w:r>
      <w:r w:rsidRPr="00972C81">
        <w:rPr>
          <w:noProof/>
          <w:snapToGrid w:val="0"/>
          <w:vertAlign w:val="superscript"/>
        </w:rPr>
        <w:t>253</w:t>
      </w:r>
      <w:r w:rsidRPr="00972C81">
        <w:rPr>
          <w:noProof/>
          <w:snapToGrid w:val="0"/>
        </w:rPr>
        <w:t>Es as the chloride to juvenile miniature swine, the skeleton and liver contained roughly 60</w:t>
      </w:r>
      <w:r w:rsidR="00834C3F" w:rsidRPr="00FE17F7">
        <w:t>–</w:t>
      </w:r>
      <w:r w:rsidRPr="00972C81">
        <w:rPr>
          <w:noProof/>
          <w:snapToGrid w:val="0"/>
        </w:rPr>
        <w:t xml:space="preserve">70% and 15%, respectively, of the injected amount </w:t>
      </w:r>
      <w:r w:rsidR="00490741" w:rsidRPr="00972C81">
        <w:rPr>
          <w:noProof/>
          <w:snapToGrid w:val="0"/>
        </w:rPr>
        <w:fldChar w:fldCharType="begin"/>
      </w:r>
      <w:r w:rsidR="00FC21A7" w:rsidRPr="00972C81">
        <w:rPr>
          <w:noProof/>
          <w:snapToGrid w:val="0"/>
        </w:rPr>
        <w:instrText xml:space="preserve"> ADDIN ZOTERO_ITEM CSL_CITATION {"citationID":"gMBvmBnw","properties":{"formattedCitation":"(McClanahan and Ragan, 1984)","plainCitation":"(McClanahan and Ragan, 1984)","noteIndex":0},"citationItems":[{"id":5326,"uris":["http://zotero.org/groups/2470620/items/8Z8E7NEF"],"itemData":{"id":5326,"type":"article-journal","archive":"Scopus","container-title":"Health Physics","issue":"3","page":"472-475","source":"Scopus","title":"Distribution of 253Es in juvenile miniature swine","volume":"47","author":[{"family":"McClanahan","given":"B.J."},{"family":"Ragan","given":"H.A."}],"issued":{"date-parts":[["1984"]]}}}],"schema":"https://github.com/citation-style-language/schema/raw/master/csl-citation.json"} </w:instrText>
      </w:r>
      <w:r w:rsidR="00490741" w:rsidRPr="00972C81">
        <w:rPr>
          <w:noProof/>
          <w:snapToGrid w:val="0"/>
        </w:rPr>
        <w:fldChar w:fldCharType="separate"/>
      </w:r>
      <w:r w:rsidR="00FC21A7" w:rsidRPr="00972C81">
        <w:rPr>
          <w:noProof/>
          <w:szCs w:val="24"/>
        </w:rPr>
        <w:t>(McClanahan and Ragan, 1984)</w:t>
      </w:r>
      <w:r w:rsidR="00490741" w:rsidRPr="00972C81">
        <w:rPr>
          <w:noProof/>
          <w:snapToGrid w:val="0"/>
        </w:rPr>
        <w:fldChar w:fldCharType="end"/>
      </w:r>
      <w:r w:rsidRPr="00972C81">
        <w:rPr>
          <w:noProof/>
          <w:snapToGrid w:val="0"/>
        </w:rPr>
        <w:t>. The skeletal content appeared to decrease little if any over the following 70 d, while the liver content decreased by roughly 50%. Over the first 7 d, about 2.4% of the administered amount was removed in urine and 3.3% was removed in faeces.</w:t>
      </w:r>
    </w:p>
    <w:p w14:paraId="5B4652EA" w14:textId="013E995D" w:rsidR="00594915" w:rsidRPr="00972C81" w:rsidRDefault="00594915" w:rsidP="006703A2">
      <w:pPr>
        <w:pStyle w:val="OIRTitre4"/>
      </w:pPr>
      <w:r w:rsidRPr="00972C81">
        <w:t>Systemic model</w:t>
      </w:r>
    </w:p>
    <w:p w14:paraId="5E8152EE" w14:textId="4D2DEDAB" w:rsidR="00594915" w:rsidRPr="00972C81" w:rsidRDefault="00594915" w:rsidP="001C4A92">
      <w:pPr>
        <w:pStyle w:val="Annalstext"/>
        <w:rPr>
          <w:noProof/>
        </w:rPr>
      </w:pPr>
      <w:r w:rsidRPr="00972C81">
        <w:rPr>
          <w:noProof/>
        </w:rPr>
        <w:t xml:space="preserve">The structure of the systemic model for einsteinium is shown in </w:t>
      </w:r>
      <w:r w:rsidR="00490741" w:rsidRPr="00972C81">
        <w:rPr>
          <w:noProof/>
        </w:rPr>
        <w:fldChar w:fldCharType="begin"/>
      </w:r>
      <w:r w:rsidR="00490741" w:rsidRPr="00972C81">
        <w:rPr>
          <w:noProof/>
        </w:rPr>
        <w:instrText xml:space="preserve"> REF _Ref147476209 \h </w:instrText>
      </w:r>
      <w:r w:rsidR="00490741" w:rsidRPr="00972C81">
        <w:rPr>
          <w:noProof/>
        </w:rPr>
      </w:r>
      <w:r w:rsidR="00490741" w:rsidRPr="00972C81">
        <w:rPr>
          <w:noProof/>
        </w:rPr>
        <w:fldChar w:fldCharType="separate"/>
      </w:r>
      <w:r w:rsidR="00A41AD1" w:rsidRPr="00972C81">
        <w:rPr>
          <w:noProof/>
        </w:rPr>
        <w:t xml:space="preserve">Fig </w:t>
      </w:r>
      <w:r w:rsidR="00A41AD1">
        <w:rPr>
          <w:noProof/>
        </w:rPr>
        <w:t>27</w:t>
      </w:r>
      <w:r w:rsidR="00A41AD1" w:rsidRPr="00972C81">
        <w:rPr>
          <w:noProof/>
        </w:rPr>
        <w:t>.</w:t>
      </w:r>
      <w:r w:rsidR="00A41AD1">
        <w:rPr>
          <w:noProof/>
        </w:rPr>
        <w:t>1</w:t>
      </w:r>
      <w:r w:rsidR="00490741" w:rsidRPr="00972C81">
        <w:rPr>
          <w:noProof/>
        </w:rPr>
        <w:fldChar w:fldCharType="end"/>
      </w:r>
      <w:r w:rsidRPr="00972C81">
        <w:rPr>
          <w:noProof/>
        </w:rPr>
        <w:t xml:space="preserve">. Parameter values are listed in </w:t>
      </w:r>
      <w:r w:rsidR="00490741" w:rsidRPr="00972C81">
        <w:rPr>
          <w:noProof/>
        </w:rPr>
        <w:fldChar w:fldCharType="begin"/>
      </w:r>
      <w:r w:rsidR="00490741" w:rsidRPr="00972C81">
        <w:rPr>
          <w:noProof/>
        </w:rPr>
        <w:instrText xml:space="preserve"> REF _Ref147476201 \h </w:instrText>
      </w:r>
      <w:r w:rsidR="00490741" w:rsidRPr="00972C81">
        <w:rPr>
          <w:noProof/>
        </w:rPr>
      </w:r>
      <w:r w:rsidR="00490741" w:rsidRPr="00972C81">
        <w:rPr>
          <w:noProof/>
        </w:rPr>
        <w:fldChar w:fldCharType="separate"/>
      </w:r>
      <w:r w:rsidR="00A41AD1" w:rsidRPr="00972C81">
        <w:rPr>
          <w:noProof/>
        </w:rPr>
        <w:t xml:space="preserve">Table </w:t>
      </w:r>
      <w:r w:rsidR="00A41AD1">
        <w:rPr>
          <w:noProof/>
        </w:rPr>
        <w:t>27</w:t>
      </w:r>
      <w:r w:rsidR="00A41AD1" w:rsidRPr="00972C81">
        <w:rPr>
          <w:noProof/>
        </w:rPr>
        <w:t>.</w:t>
      </w:r>
      <w:r w:rsidR="00A41AD1">
        <w:rPr>
          <w:noProof/>
        </w:rPr>
        <w:t>2</w:t>
      </w:r>
      <w:r w:rsidR="00490741" w:rsidRPr="00972C81">
        <w:rPr>
          <w:noProof/>
        </w:rPr>
        <w:fldChar w:fldCharType="end"/>
      </w:r>
      <w:r w:rsidRPr="00972C81">
        <w:rPr>
          <w:noProof/>
        </w:rPr>
        <w:t>.</w:t>
      </w:r>
    </w:p>
    <w:p w14:paraId="225752CC" w14:textId="77777777" w:rsidR="00594915" w:rsidRPr="00972C81" w:rsidRDefault="00594915" w:rsidP="00134489">
      <w:pPr>
        <w:rPr>
          <w:noProof/>
        </w:rPr>
      </w:pPr>
    </w:p>
    <w:p w14:paraId="04E6AD98" w14:textId="77777777" w:rsidR="006703A2" w:rsidRDefault="006703A2" w:rsidP="006243FB">
      <w:pPr>
        <w:jc w:val="center"/>
        <w:rPr>
          <w:noProof/>
        </w:rPr>
      </w:pPr>
      <w:bookmarkStart w:id="407" w:name="_Ref147476209"/>
      <w:r>
        <w:rPr>
          <w:noProof/>
        </w:rPr>
        <w:drawing>
          <wp:inline distT="0" distB="0" distL="0" distR="0" wp14:anchorId="577D2589" wp14:editId="224551D7">
            <wp:extent cx="3795622" cy="2922248"/>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9"/>
                    <a:stretch>
                      <a:fillRect/>
                    </a:stretch>
                  </pic:blipFill>
                  <pic:spPr>
                    <a:xfrm>
                      <a:off x="0" y="0"/>
                      <a:ext cx="3811669" cy="2934603"/>
                    </a:xfrm>
                    <a:prstGeom prst="rect">
                      <a:avLst/>
                    </a:prstGeom>
                  </pic:spPr>
                </pic:pic>
              </a:graphicData>
            </a:graphic>
          </wp:inline>
        </w:drawing>
      </w:r>
    </w:p>
    <w:p w14:paraId="0623B1C6" w14:textId="00ACEC02" w:rsidR="00594915" w:rsidRPr="00972C81" w:rsidRDefault="00490741" w:rsidP="00C47F2F">
      <w:pPr>
        <w:rPr>
          <w:noProof/>
        </w:rPr>
      </w:pPr>
      <w:r w:rsidRPr="00972C81">
        <w:rPr>
          <w:noProof/>
        </w:rPr>
        <w:t xml:space="preserve">Fig </w:t>
      </w:r>
      <w:r w:rsidR="00EA3750" w:rsidRPr="00972C81">
        <w:rPr>
          <w:noProof/>
        </w:rPr>
        <w:fldChar w:fldCharType="begin"/>
      </w:r>
      <w:r w:rsidR="00EA3750" w:rsidRPr="00972C81">
        <w:rPr>
          <w:noProof/>
        </w:rPr>
        <w:instrText xml:space="preserve"> STYLEREF 1 \s </w:instrText>
      </w:r>
      <w:r w:rsidR="00EA3750" w:rsidRPr="00972C81">
        <w:rPr>
          <w:noProof/>
        </w:rPr>
        <w:fldChar w:fldCharType="separate"/>
      </w:r>
      <w:r w:rsidR="00A41AD1">
        <w:rPr>
          <w:noProof/>
        </w:rPr>
        <w:t>27</w:t>
      </w:r>
      <w:r w:rsidR="00EA3750" w:rsidRPr="00972C81">
        <w:rPr>
          <w:noProof/>
        </w:rPr>
        <w:fldChar w:fldCharType="end"/>
      </w:r>
      <w:r w:rsidR="00EA3750" w:rsidRPr="00972C81">
        <w:rPr>
          <w:noProof/>
        </w:rPr>
        <w:t>.</w:t>
      </w:r>
      <w:r w:rsidR="00EA3750" w:rsidRPr="00972C81">
        <w:rPr>
          <w:noProof/>
        </w:rPr>
        <w:fldChar w:fldCharType="begin"/>
      </w:r>
      <w:r w:rsidR="00EA3750" w:rsidRPr="00972C81">
        <w:rPr>
          <w:noProof/>
        </w:rPr>
        <w:instrText xml:space="preserve"> SEQ Figure \* ARABIC \s 1 </w:instrText>
      </w:r>
      <w:r w:rsidR="00EA3750" w:rsidRPr="00972C81">
        <w:rPr>
          <w:noProof/>
        </w:rPr>
        <w:fldChar w:fldCharType="separate"/>
      </w:r>
      <w:r w:rsidR="00A41AD1">
        <w:rPr>
          <w:noProof/>
        </w:rPr>
        <w:t>1</w:t>
      </w:r>
      <w:r w:rsidR="00EA3750" w:rsidRPr="00972C81">
        <w:rPr>
          <w:noProof/>
        </w:rPr>
        <w:fldChar w:fldCharType="end"/>
      </w:r>
      <w:bookmarkEnd w:id="407"/>
      <w:r w:rsidRPr="00972C81">
        <w:rPr>
          <w:noProof/>
        </w:rPr>
        <w:t>.</w:t>
      </w:r>
      <w:r w:rsidR="00594915" w:rsidRPr="00972C81">
        <w:rPr>
          <w:noProof/>
        </w:rPr>
        <w:t xml:space="preserve"> Structure of the systemic model for einsteinium.</w:t>
      </w:r>
    </w:p>
    <w:p w14:paraId="6667EF2A" w14:textId="77777777" w:rsidR="00F414E6" w:rsidRPr="00972C81" w:rsidRDefault="00F414E6" w:rsidP="00134489">
      <w:pPr>
        <w:rPr>
          <w:noProof/>
        </w:rPr>
      </w:pPr>
    </w:p>
    <w:p w14:paraId="2267B746" w14:textId="2BA4A392" w:rsidR="00594915" w:rsidRPr="00C47F2F" w:rsidRDefault="00490741" w:rsidP="00E81109">
      <w:pPr>
        <w:pStyle w:val="ab"/>
        <w:rPr>
          <w:rFonts w:ascii="Times Roman" w:hAnsi="Times Roman"/>
          <w:noProof/>
          <w:sz w:val="24"/>
          <w:szCs w:val="24"/>
          <w:lang w:eastAsia="fr-FR"/>
        </w:rPr>
      </w:pPr>
      <w:bookmarkStart w:id="408" w:name="_Ref147476201"/>
      <w:r w:rsidRPr="00C47F2F">
        <w:rPr>
          <w:noProof/>
          <w:sz w:val="24"/>
          <w:szCs w:val="24"/>
        </w:rPr>
        <w:t xml:space="preserve">Table </w:t>
      </w:r>
      <w:r w:rsidR="00EA3750" w:rsidRPr="00C47F2F">
        <w:rPr>
          <w:noProof/>
          <w:sz w:val="24"/>
          <w:szCs w:val="24"/>
        </w:rPr>
        <w:fldChar w:fldCharType="begin"/>
      </w:r>
      <w:r w:rsidR="00EA3750" w:rsidRPr="00C47F2F">
        <w:rPr>
          <w:noProof/>
          <w:sz w:val="24"/>
          <w:szCs w:val="24"/>
        </w:rPr>
        <w:instrText xml:space="preserve"> STYLEREF 1 \s </w:instrText>
      </w:r>
      <w:r w:rsidR="00EA3750" w:rsidRPr="00C47F2F">
        <w:rPr>
          <w:noProof/>
          <w:sz w:val="24"/>
          <w:szCs w:val="24"/>
        </w:rPr>
        <w:fldChar w:fldCharType="separate"/>
      </w:r>
      <w:r w:rsidR="00A41AD1" w:rsidRPr="00C47F2F">
        <w:rPr>
          <w:noProof/>
          <w:sz w:val="24"/>
          <w:szCs w:val="24"/>
        </w:rPr>
        <w:t>27</w:t>
      </w:r>
      <w:r w:rsidR="00EA3750" w:rsidRPr="00C47F2F">
        <w:rPr>
          <w:noProof/>
          <w:sz w:val="24"/>
          <w:szCs w:val="24"/>
        </w:rPr>
        <w:fldChar w:fldCharType="end"/>
      </w:r>
      <w:r w:rsidR="00EA3750" w:rsidRPr="00C47F2F">
        <w:rPr>
          <w:noProof/>
          <w:sz w:val="24"/>
          <w:szCs w:val="24"/>
        </w:rPr>
        <w:t>.</w:t>
      </w:r>
      <w:r w:rsidR="00EA3750" w:rsidRPr="00C47F2F">
        <w:rPr>
          <w:noProof/>
          <w:sz w:val="24"/>
          <w:szCs w:val="24"/>
        </w:rPr>
        <w:fldChar w:fldCharType="begin"/>
      </w:r>
      <w:r w:rsidR="00EA3750" w:rsidRPr="00C47F2F">
        <w:rPr>
          <w:noProof/>
          <w:sz w:val="24"/>
          <w:szCs w:val="24"/>
        </w:rPr>
        <w:instrText xml:space="preserve"> SEQ Table \* ARABIC \s 1 </w:instrText>
      </w:r>
      <w:r w:rsidR="00EA3750" w:rsidRPr="00C47F2F">
        <w:rPr>
          <w:noProof/>
          <w:sz w:val="24"/>
          <w:szCs w:val="24"/>
        </w:rPr>
        <w:fldChar w:fldCharType="separate"/>
      </w:r>
      <w:r w:rsidR="00A41AD1" w:rsidRPr="00C47F2F">
        <w:rPr>
          <w:noProof/>
          <w:sz w:val="24"/>
          <w:szCs w:val="24"/>
        </w:rPr>
        <w:t>2</w:t>
      </w:r>
      <w:r w:rsidR="00EA3750" w:rsidRPr="00C47F2F">
        <w:rPr>
          <w:noProof/>
          <w:sz w:val="24"/>
          <w:szCs w:val="24"/>
        </w:rPr>
        <w:fldChar w:fldCharType="end"/>
      </w:r>
      <w:bookmarkEnd w:id="408"/>
      <w:r w:rsidRPr="00C47F2F">
        <w:rPr>
          <w:noProof/>
          <w:sz w:val="24"/>
          <w:szCs w:val="24"/>
        </w:rPr>
        <w:t>.</w:t>
      </w:r>
      <w:r w:rsidR="00F414E6" w:rsidRPr="00C47F2F">
        <w:rPr>
          <w:noProof/>
          <w:sz w:val="24"/>
          <w:szCs w:val="24"/>
        </w:rPr>
        <w:t xml:space="preserve"> Age-specific transfer coefficients for </w:t>
      </w:r>
      <w:r w:rsidR="00F414E6" w:rsidRPr="00C47F2F">
        <w:rPr>
          <w:rFonts w:ascii="Times Roman" w:hAnsi="Times Roman"/>
          <w:noProof/>
          <w:sz w:val="24"/>
          <w:szCs w:val="24"/>
        </w:rPr>
        <w:t>einsteinium</w:t>
      </w:r>
      <w:r w:rsidR="00F414E6" w:rsidRPr="00C47F2F">
        <w:rPr>
          <w:noProof/>
          <w:sz w:val="24"/>
          <w:szCs w:val="24"/>
        </w:rPr>
        <w:t>.</w:t>
      </w:r>
    </w:p>
    <w:tbl>
      <w:tblPr>
        <w:tblW w:w="5000" w:type="pct"/>
        <w:tblLayout w:type="fixed"/>
        <w:tblLook w:val="04A0" w:firstRow="1" w:lastRow="0" w:firstColumn="1" w:lastColumn="0" w:noHBand="0" w:noVBand="1"/>
      </w:tblPr>
      <w:tblGrid>
        <w:gridCol w:w="2994"/>
        <w:gridCol w:w="1005"/>
        <w:gridCol w:w="1006"/>
        <w:gridCol w:w="1006"/>
        <w:gridCol w:w="1006"/>
        <w:gridCol w:w="1006"/>
        <w:gridCol w:w="1004"/>
      </w:tblGrid>
      <w:tr w:rsidR="00490741" w:rsidRPr="00972C81" w14:paraId="39E8C997" w14:textId="77777777" w:rsidTr="006243FB">
        <w:trPr>
          <w:trHeight w:val="340"/>
        </w:trPr>
        <w:tc>
          <w:tcPr>
            <w:tcW w:w="2994" w:type="dxa"/>
            <w:vMerge w:val="restart"/>
            <w:tcBorders>
              <w:top w:val="single" w:sz="4" w:space="0" w:color="auto"/>
            </w:tcBorders>
            <w:shd w:val="clear" w:color="auto" w:fill="auto"/>
            <w:noWrap/>
            <w:vAlign w:val="center"/>
          </w:tcPr>
          <w:p w14:paraId="146591E8" w14:textId="4030639F" w:rsidR="00490741" w:rsidRPr="00C47F2F" w:rsidRDefault="00490741" w:rsidP="006243FB">
            <w:pPr>
              <w:pStyle w:val="Table"/>
              <w:rPr>
                <w:noProof/>
                <w:sz w:val="24"/>
              </w:rPr>
            </w:pPr>
            <w:r w:rsidRPr="00C47F2F">
              <w:rPr>
                <w:noProof/>
                <w:sz w:val="24"/>
              </w:rPr>
              <w:t>Pathway</w:t>
            </w:r>
            <w:r w:rsidR="006703A2" w:rsidRPr="006703A2">
              <w:rPr>
                <w:noProof/>
                <w:sz w:val="24"/>
                <w:vertAlign w:val="superscript"/>
              </w:rPr>
              <w:t>a</w:t>
            </w:r>
          </w:p>
        </w:tc>
        <w:tc>
          <w:tcPr>
            <w:tcW w:w="6033" w:type="dxa"/>
            <w:gridSpan w:val="6"/>
            <w:tcBorders>
              <w:top w:val="single" w:sz="4" w:space="0" w:color="auto"/>
              <w:bottom w:val="single" w:sz="4" w:space="0" w:color="auto"/>
            </w:tcBorders>
            <w:shd w:val="clear" w:color="auto" w:fill="auto"/>
            <w:noWrap/>
          </w:tcPr>
          <w:p w14:paraId="179B3FBC" w14:textId="62D7902A" w:rsidR="00490741" w:rsidRPr="00C47F2F" w:rsidRDefault="00490741" w:rsidP="00C47F2F">
            <w:pPr>
              <w:pStyle w:val="Table"/>
              <w:jc w:val="center"/>
              <w:rPr>
                <w:noProof/>
                <w:sz w:val="24"/>
              </w:rPr>
            </w:pPr>
            <w:r w:rsidRPr="00C47F2F">
              <w:rPr>
                <w:noProof/>
                <w:sz w:val="24"/>
              </w:rPr>
              <w:t>Transfer coefficient (d</w:t>
            </w:r>
            <w:r w:rsidRPr="00C47F2F">
              <w:rPr>
                <w:noProof/>
                <w:sz w:val="24"/>
                <w:vertAlign w:val="superscript"/>
              </w:rPr>
              <w:t>-1</w:t>
            </w:r>
            <w:r w:rsidRPr="00C47F2F">
              <w:rPr>
                <w:noProof/>
                <w:sz w:val="24"/>
              </w:rPr>
              <w:t>)</w:t>
            </w:r>
          </w:p>
        </w:tc>
      </w:tr>
      <w:tr w:rsidR="00100C52" w:rsidRPr="00972C81" w14:paraId="17A0028E" w14:textId="77777777" w:rsidTr="006243FB">
        <w:trPr>
          <w:trHeight w:val="340"/>
        </w:trPr>
        <w:tc>
          <w:tcPr>
            <w:tcW w:w="2994" w:type="dxa"/>
            <w:vMerge/>
            <w:tcBorders>
              <w:bottom w:val="single" w:sz="4" w:space="0" w:color="auto"/>
            </w:tcBorders>
            <w:shd w:val="clear" w:color="auto" w:fill="auto"/>
            <w:noWrap/>
          </w:tcPr>
          <w:p w14:paraId="328A8BD6" w14:textId="77777777" w:rsidR="00594915" w:rsidRPr="00C47F2F" w:rsidRDefault="00594915" w:rsidP="00E81109">
            <w:pPr>
              <w:pStyle w:val="Table"/>
              <w:rPr>
                <w:noProof/>
                <w:color w:val="000000"/>
                <w:sz w:val="24"/>
              </w:rPr>
            </w:pPr>
          </w:p>
        </w:tc>
        <w:tc>
          <w:tcPr>
            <w:tcW w:w="1005" w:type="dxa"/>
            <w:tcBorders>
              <w:top w:val="single" w:sz="4" w:space="0" w:color="auto"/>
              <w:bottom w:val="single" w:sz="4" w:space="0" w:color="auto"/>
            </w:tcBorders>
            <w:shd w:val="clear" w:color="auto" w:fill="auto"/>
            <w:noWrap/>
            <w:vAlign w:val="center"/>
          </w:tcPr>
          <w:p w14:paraId="08234C64" w14:textId="77777777" w:rsidR="00594915" w:rsidRPr="00C47F2F" w:rsidRDefault="00594915" w:rsidP="006243FB">
            <w:pPr>
              <w:pStyle w:val="Table"/>
              <w:rPr>
                <w:noProof/>
                <w:color w:val="000000"/>
                <w:sz w:val="24"/>
              </w:rPr>
            </w:pPr>
            <w:r w:rsidRPr="00C47F2F">
              <w:rPr>
                <w:noProof/>
                <w:sz w:val="24"/>
              </w:rPr>
              <w:t>100 d</w:t>
            </w:r>
          </w:p>
        </w:tc>
        <w:tc>
          <w:tcPr>
            <w:tcW w:w="1006" w:type="dxa"/>
            <w:tcBorders>
              <w:top w:val="single" w:sz="4" w:space="0" w:color="auto"/>
              <w:bottom w:val="single" w:sz="4" w:space="0" w:color="auto"/>
            </w:tcBorders>
            <w:shd w:val="clear" w:color="auto" w:fill="auto"/>
            <w:noWrap/>
            <w:vAlign w:val="center"/>
          </w:tcPr>
          <w:p w14:paraId="4D363BEB" w14:textId="77777777" w:rsidR="00594915" w:rsidRPr="00C47F2F" w:rsidRDefault="00594915" w:rsidP="006243FB">
            <w:pPr>
              <w:pStyle w:val="Table"/>
              <w:rPr>
                <w:noProof/>
                <w:color w:val="000000"/>
                <w:sz w:val="24"/>
              </w:rPr>
            </w:pPr>
            <w:r w:rsidRPr="00C47F2F">
              <w:rPr>
                <w:noProof/>
                <w:sz w:val="24"/>
              </w:rPr>
              <w:t>1 y</w:t>
            </w:r>
          </w:p>
        </w:tc>
        <w:tc>
          <w:tcPr>
            <w:tcW w:w="1006" w:type="dxa"/>
            <w:tcBorders>
              <w:top w:val="single" w:sz="4" w:space="0" w:color="auto"/>
              <w:bottom w:val="single" w:sz="4" w:space="0" w:color="auto"/>
            </w:tcBorders>
            <w:shd w:val="clear" w:color="auto" w:fill="auto"/>
            <w:noWrap/>
            <w:vAlign w:val="center"/>
          </w:tcPr>
          <w:p w14:paraId="34A58AED" w14:textId="77777777" w:rsidR="00594915" w:rsidRPr="00C47F2F" w:rsidRDefault="00594915" w:rsidP="006243FB">
            <w:pPr>
              <w:pStyle w:val="Table"/>
              <w:rPr>
                <w:noProof/>
                <w:color w:val="000000"/>
                <w:sz w:val="24"/>
              </w:rPr>
            </w:pPr>
            <w:r w:rsidRPr="00C47F2F">
              <w:rPr>
                <w:noProof/>
                <w:sz w:val="24"/>
              </w:rPr>
              <w:t>5 y</w:t>
            </w:r>
          </w:p>
        </w:tc>
        <w:tc>
          <w:tcPr>
            <w:tcW w:w="1006" w:type="dxa"/>
            <w:tcBorders>
              <w:top w:val="single" w:sz="4" w:space="0" w:color="auto"/>
              <w:bottom w:val="single" w:sz="4" w:space="0" w:color="auto"/>
            </w:tcBorders>
            <w:shd w:val="clear" w:color="auto" w:fill="auto"/>
            <w:noWrap/>
            <w:vAlign w:val="center"/>
          </w:tcPr>
          <w:p w14:paraId="4DCF76CB" w14:textId="77777777" w:rsidR="00594915" w:rsidRPr="00C47F2F" w:rsidRDefault="00594915" w:rsidP="006243FB">
            <w:pPr>
              <w:pStyle w:val="Table"/>
              <w:rPr>
                <w:noProof/>
                <w:color w:val="000000"/>
                <w:sz w:val="24"/>
              </w:rPr>
            </w:pPr>
            <w:r w:rsidRPr="00C47F2F">
              <w:rPr>
                <w:noProof/>
                <w:sz w:val="24"/>
              </w:rPr>
              <w:t>10 y</w:t>
            </w:r>
          </w:p>
        </w:tc>
        <w:tc>
          <w:tcPr>
            <w:tcW w:w="1006" w:type="dxa"/>
            <w:tcBorders>
              <w:top w:val="single" w:sz="4" w:space="0" w:color="auto"/>
              <w:bottom w:val="single" w:sz="4" w:space="0" w:color="auto"/>
            </w:tcBorders>
            <w:shd w:val="clear" w:color="auto" w:fill="auto"/>
            <w:noWrap/>
            <w:vAlign w:val="center"/>
          </w:tcPr>
          <w:p w14:paraId="2B0D3BA4" w14:textId="77777777" w:rsidR="00594915" w:rsidRPr="00C47F2F" w:rsidRDefault="00594915" w:rsidP="006243FB">
            <w:pPr>
              <w:pStyle w:val="Table"/>
              <w:rPr>
                <w:noProof/>
                <w:color w:val="000000"/>
                <w:sz w:val="24"/>
              </w:rPr>
            </w:pPr>
            <w:r w:rsidRPr="00C47F2F">
              <w:rPr>
                <w:noProof/>
                <w:sz w:val="24"/>
              </w:rPr>
              <w:t>15 y</w:t>
            </w:r>
          </w:p>
        </w:tc>
        <w:tc>
          <w:tcPr>
            <w:tcW w:w="1004" w:type="dxa"/>
            <w:tcBorders>
              <w:top w:val="single" w:sz="4" w:space="0" w:color="auto"/>
              <w:bottom w:val="single" w:sz="4" w:space="0" w:color="auto"/>
            </w:tcBorders>
            <w:shd w:val="clear" w:color="auto" w:fill="auto"/>
            <w:noWrap/>
            <w:vAlign w:val="center"/>
          </w:tcPr>
          <w:p w14:paraId="35B5B9A7" w14:textId="77777777" w:rsidR="00594915" w:rsidRPr="00C47F2F" w:rsidRDefault="00594915" w:rsidP="006243FB">
            <w:pPr>
              <w:pStyle w:val="Table"/>
              <w:rPr>
                <w:noProof/>
                <w:color w:val="000000"/>
                <w:sz w:val="24"/>
              </w:rPr>
            </w:pPr>
            <w:r w:rsidRPr="00C47F2F">
              <w:rPr>
                <w:noProof/>
                <w:sz w:val="24"/>
              </w:rPr>
              <w:t>Adult</w:t>
            </w:r>
          </w:p>
        </w:tc>
      </w:tr>
      <w:tr w:rsidR="006703A2" w:rsidRPr="00972C81" w14:paraId="0040E056" w14:textId="77777777" w:rsidTr="006243FB">
        <w:trPr>
          <w:trHeight w:val="340"/>
        </w:trPr>
        <w:tc>
          <w:tcPr>
            <w:tcW w:w="2994" w:type="dxa"/>
            <w:tcBorders>
              <w:top w:val="single" w:sz="4" w:space="0" w:color="auto"/>
            </w:tcBorders>
            <w:shd w:val="clear" w:color="auto" w:fill="auto"/>
            <w:noWrap/>
            <w:vAlign w:val="center"/>
          </w:tcPr>
          <w:p w14:paraId="708EAE9D" w14:textId="267DB50A" w:rsidR="006703A2" w:rsidRPr="006703A2" w:rsidRDefault="006703A2" w:rsidP="006243FB">
            <w:pPr>
              <w:pStyle w:val="Table"/>
              <w:rPr>
                <w:noProof/>
                <w:sz w:val="20"/>
                <w:szCs w:val="22"/>
              </w:rPr>
            </w:pPr>
            <w:r w:rsidRPr="006703A2">
              <w:rPr>
                <w:noProof/>
                <w:sz w:val="20"/>
                <w:szCs w:val="22"/>
              </w:rPr>
              <w:t>Blood to Liver 1</w:t>
            </w:r>
          </w:p>
        </w:tc>
        <w:tc>
          <w:tcPr>
            <w:tcW w:w="1005" w:type="dxa"/>
            <w:tcBorders>
              <w:top w:val="single" w:sz="4" w:space="0" w:color="auto"/>
            </w:tcBorders>
            <w:shd w:val="clear" w:color="auto" w:fill="auto"/>
            <w:noWrap/>
            <w:vAlign w:val="center"/>
          </w:tcPr>
          <w:p w14:paraId="2CCDC39C" w14:textId="77777777" w:rsidR="006703A2" w:rsidRPr="00C47F2F" w:rsidRDefault="006703A2" w:rsidP="006243FB">
            <w:pPr>
              <w:pStyle w:val="Table"/>
              <w:rPr>
                <w:noProof/>
                <w:sz w:val="20"/>
                <w:szCs w:val="20"/>
              </w:rPr>
            </w:pPr>
            <w:r w:rsidRPr="00C47F2F">
              <w:rPr>
                <w:noProof/>
                <w:sz w:val="20"/>
                <w:szCs w:val="20"/>
              </w:rPr>
              <w:t>5.82E-01</w:t>
            </w:r>
          </w:p>
        </w:tc>
        <w:tc>
          <w:tcPr>
            <w:tcW w:w="1006" w:type="dxa"/>
            <w:tcBorders>
              <w:top w:val="single" w:sz="4" w:space="0" w:color="auto"/>
            </w:tcBorders>
            <w:shd w:val="clear" w:color="auto" w:fill="auto"/>
            <w:noWrap/>
            <w:vAlign w:val="center"/>
          </w:tcPr>
          <w:p w14:paraId="6CD5F3D6" w14:textId="77777777" w:rsidR="006703A2" w:rsidRPr="00C47F2F" w:rsidRDefault="006703A2" w:rsidP="006243FB">
            <w:pPr>
              <w:pStyle w:val="Table"/>
              <w:rPr>
                <w:noProof/>
                <w:sz w:val="20"/>
                <w:szCs w:val="20"/>
              </w:rPr>
            </w:pPr>
            <w:r w:rsidRPr="00C47F2F">
              <w:rPr>
                <w:noProof/>
                <w:sz w:val="20"/>
                <w:szCs w:val="20"/>
              </w:rPr>
              <w:t>5.82E-01</w:t>
            </w:r>
          </w:p>
        </w:tc>
        <w:tc>
          <w:tcPr>
            <w:tcW w:w="1006" w:type="dxa"/>
            <w:tcBorders>
              <w:top w:val="single" w:sz="4" w:space="0" w:color="auto"/>
            </w:tcBorders>
            <w:shd w:val="clear" w:color="auto" w:fill="auto"/>
            <w:noWrap/>
            <w:vAlign w:val="center"/>
          </w:tcPr>
          <w:p w14:paraId="66F85379" w14:textId="77777777" w:rsidR="006703A2" w:rsidRPr="00C47F2F" w:rsidRDefault="006703A2" w:rsidP="006243FB">
            <w:pPr>
              <w:pStyle w:val="Table"/>
              <w:rPr>
                <w:noProof/>
                <w:sz w:val="20"/>
                <w:szCs w:val="20"/>
              </w:rPr>
            </w:pPr>
            <w:r w:rsidRPr="00C47F2F">
              <w:rPr>
                <w:noProof/>
                <w:sz w:val="20"/>
                <w:szCs w:val="20"/>
              </w:rPr>
              <w:t>1.16E+00</w:t>
            </w:r>
          </w:p>
        </w:tc>
        <w:tc>
          <w:tcPr>
            <w:tcW w:w="1006" w:type="dxa"/>
            <w:tcBorders>
              <w:top w:val="single" w:sz="4" w:space="0" w:color="auto"/>
            </w:tcBorders>
            <w:shd w:val="clear" w:color="auto" w:fill="auto"/>
            <w:noWrap/>
            <w:vAlign w:val="center"/>
          </w:tcPr>
          <w:p w14:paraId="5FA73706" w14:textId="77777777" w:rsidR="006703A2" w:rsidRPr="00C47F2F" w:rsidRDefault="006703A2" w:rsidP="006243FB">
            <w:pPr>
              <w:pStyle w:val="Table"/>
              <w:rPr>
                <w:noProof/>
                <w:sz w:val="20"/>
                <w:szCs w:val="20"/>
              </w:rPr>
            </w:pPr>
            <w:r w:rsidRPr="00C47F2F">
              <w:rPr>
                <w:noProof/>
                <w:sz w:val="20"/>
                <w:szCs w:val="20"/>
              </w:rPr>
              <w:t>1.16E+00</w:t>
            </w:r>
          </w:p>
        </w:tc>
        <w:tc>
          <w:tcPr>
            <w:tcW w:w="1006" w:type="dxa"/>
            <w:tcBorders>
              <w:top w:val="single" w:sz="4" w:space="0" w:color="auto"/>
            </w:tcBorders>
            <w:shd w:val="clear" w:color="auto" w:fill="auto"/>
            <w:noWrap/>
            <w:vAlign w:val="center"/>
          </w:tcPr>
          <w:p w14:paraId="2CF6DADD" w14:textId="77777777" w:rsidR="006703A2" w:rsidRPr="00C47F2F" w:rsidRDefault="006703A2" w:rsidP="006243FB">
            <w:pPr>
              <w:pStyle w:val="Table"/>
              <w:rPr>
                <w:noProof/>
                <w:sz w:val="20"/>
                <w:szCs w:val="20"/>
              </w:rPr>
            </w:pPr>
            <w:r w:rsidRPr="00C47F2F">
              <w:rPr>
                <w:noProof/>
                <w:sz w:val="20"/>
                <w:szCs w:val="20"/>
              </w:rPr>
              <w:t>1.16E+00</w:t>
            </w:r>
          </w:p>
        </w:tc>
        <w:tc>
          <w:tcPr>
            <w:tcW w:w="1004" w:type="dxa"/>
            <w:tcBorders>
              <w:top w:val="single" w:sz="4" w:space="0" w:color="auto"/>
            </w:tcBorders>
            <w:shd w:val="clear" w:color="auto" w:fill="auto"/>
            <w:noWrap/>
            <w:vAlign w:val="center"/>
          </w:tcPr>
          <w:p w14:paraId="15372987" w14:textId="77777777" w:rsidR="006703A2" w:rsidRPr="00C47F2F" w:rsidRDefault="006703A2" w:rsidP="006243FB">
            <w:pPr>
              <w:pStyle w:val="Table"/>
              <w:rPr>
                <w:noProof/>
                <w:sz w:val="20"/>
                <w:szCs w:val="20"/>
              </w:rPr>
            </w:pPr>
            <w:r w:rsidRPr="00C47F2F">
              <w:rPr>
                <w:noProof/>
                <w:sz w:val="20"/>
                <w:szCs w:val="20"/>
              </w:rPr>
              <w:t>1.75E+00</w:t>
            </w:r>
          </w:p>
        </w:tc>
      </w:tr>
      <w:tr w:rsidR="006703A2" w:rsidRPr="00972C81" w14:paraId="06E587E8" w14:textId="77777777" w:rsidTr="006243FB">
        <w:trPr>
          <w:trHeight w:val="340"/>
        </w:trPr>
        <w:tc>
          <w:tcPr>
            <w:tcW w:w="2994" w:type="dxa"/>
            <w:shd w:val="clear" w:color="auto" w:fill="auto"/>
            <w:noWrap/>
            <w:vAlign w:val="center"/>
          </w:tcPr>
          <w:p w14:paraId="53EAF0DF" w14:textId="1EC07518" w:rsidR="006703A2" w:rsidRPr="006703A2" w:rsidRDefault="006703A2" w:rsidP="006243FB">
            <w:pPr>
              <w:pStyle w:val="Table"/>
              <w:rPr>
                <w:noProof/>
                <w:sz w:val="20"/>
                <w:szCs w:val="22"/>
              </w:rPr>
            </w:pPr>
            <w:r w:rsidRPr="006703A2">
              <w:rPr>
                <w:noProof/>
                <w:sz w:val="20"/>
                <w:szCs w:val="22"/>
              </w:rPr>
              <w:t>Blood to  ST0</w:t>
            </w:r>
          </w:p>
        </w:tc>
        <w:tc>
          <w:tcPr>
            <w:tcW w:w="1005" w:type="dxa"/>
            <w:shd w:val="clear" w:color="auto" w:fill="auto"/>
            <w:noWrap/>
            <w:vAlign w:val="center"/>
          </w:tcPr>
          <w:p w14:paraId="77278C9A" w14:textId="77777777" w:rsidR="006703A2" w:rsidRPr="00C47F2F" w:rsidRDefault="006703A2" w:rsidP="006243FB">
            <w:pPr>
              <w:pStyle w:val="Table"/>
              <w:rPr>
                <w:noProof/>
                <w:sz w:val="20"/>
                <w:szCs w:val="20"/>
              </w:rPr>
            </w:pPr>
            <w:r w:rsidRPr="00C47F2F">
              <w:rPr>
                <w:noProof/>
                <w:sz w:val="20"/>
                <w:szCs w:val="20"/>
              </w:rPr>
              <w:t>4.99E+00</w:t>
            </w:r>
          </w:p>
        </w:tc>
        <w:tc>
          <w:tcPr>
            <w:tcW w:w="1006" w:type="dxa"/>
            <w:shd w:val="clear" w:color="auto" w:fill="auto"/>
            <w:noWrap/>
            <w:vAlign w:val="center"/>
          </w:tcPr>
          <w:p w14:paraId="4349E642" w14:textId="77777777" w:rsidR="006703A2" w:rsidRPr="00C47F2F" w:rsidRDefault="006703A2" w:rsidP="006243FB">
            <w:pPr>
              <w:pStyle w:val="Table"/>
              <w:rPr>
                <w:noProof/>
                <w:sz w:val="20"/>
                <w:szCs w:val="20"/>
              </w:rPr>
            </w:pPr>
            <w:r w:rsidRPr="00C47F2F">
              <w:rPr>
                <w:noProof/>
                <w:sz w:val="20"/>
                <w:szCs w:val="20"/>
              </w:rPr>
              <w:t>4.99E+00</w:t>
            </w:r>
          </w:p>
        </w:tc>
        <w:tc>
          <w:tcPr>
            <w:tcW w:w="1006" w:type="dxa"/>
            <w:shd w:val="clear" w:color="auto" w:fill="auto"/>
            <w:noWrap/>
            <w:vAlign w:val="center"/>
          </w:tcPr>
          <w:p w14:paraId="051344A0" w14:textId="77777777" w:rsidR="006703A2" w:rsidRPr="00C47F2F" w:rsidRDefault="006703A2" w:rsidP="006243FB">
            <w:pPr>
              <w:pStyle w:val="Table"/>
              <w:rPr>
                <w:noProof/>
                <w:sz w:val="20"/>
                <w:szCs w:val="20"/>
              </w:rPr>
            </w:pPr>
            <w:r w:rsidRPr="00C47F2F">
              <w:rPr>
                <w:noProof/>
                <w:sz w:val="20"/>
                <w:szCs w:val="20"/>
              </w:rPr>
              <w:t>4.99E+00</w:t>
            </w:r>
          </w:p>
        </w:tc>
        <w:tc>
          <w:tcPr>
            <w:tcW w:w="1006" w:type="dxa"/>
            <w:shd w:val="clear" w:color="auto" w:fill="auto"/>
            <w:noWrap/>
            <w:vAlign w:val="center"/>
          </w:tcPr>
          <w:p w14:paraId="4F3C6F03" w14:textId="77777777" w:rsidR="006703A2" w:rsidRPr="00C47F2F" w:rsidRDefault="006703A2" w:rsidP="006243FB">
            <w:pPr>
              <w:pStyle w:val="Table"/>
              <w:rPr>
                <w:noProof/>
                <w:sz w:val="20"/>
                <w:szCs w:val="20"/>
              </w:rPr>
            </w:pPr>
            <w:r w:rsidRPr="00C47F2F">
              <w:rPr>
                <w:noProof/>
                <w:sz w:val="20"/>
                <w:szCs w:val="20"/>
              </w:rPr>
              <w:t>4.99E+00</w:t>
            </w:r>
          </w:p>
        </w:tc>
        <w:tc>
          <w:tcPr>
            <w:tcW w:w="1006" w:type="dxa"/>
            <w:shd w:val="clear" w:color="auto" w:fill="auto"/>
            <w:noWrap/>
            <w:vAlign w:val="center"/>
          </w:tcPr>
          <w:p w14:paraId="5C7BAB77" w14:textId="77777777" w:rsidR="006703A2" w:rsidRPr="00C47F2F" w:rsidRDefault="006703A2" w:rsidP="006243FB">
            <w:pPr>
              <w:pStyle w:val="Table"/>
              <w:rPr>
                <w:noProof/>
                <w:sz w:val="20"/>
                <w:szCs w:val="20"/>
              </w:rPr>
            </w:pPr>
            <w:r w:rsidRPr="00C47F2F">
              <w:rPr>
                <w:noProof/>
                <w:sz w:val="20"/>
                <w:szCs w:val="20"/>
              </w:rPr>
              <w:t>4.99E+00</w:t>
            </w:r>
          </w:p>
        </w:tc>
        <w:tc>
          <w:tcPr>
            <w:tcW w:w="1004" w:type="dxa"/>
            <w:shd w:val="clear" w:color="auto" w:fill="auto"/>
            <w:noWrap/>
            <w:vAlign w:val="center"/>
          </w:tcPr>
          <w:p w14:paraId="0F6DEB38" w14:textId="77777777" w:rsidR="006703A2" w:rsidRPr="00C47F2F" w:rsidRDefault="006703A2" w:rsidP="006243FB">
            <w:pPr>
              <w:pStyle w:val="Table"/>
              <w:rPr>
                <w:noProof/>
                <w:sz w:val="20"/>
                <w:szCs w:val="20"/>
              </w:rPr>
            </w:pPr>
            <w:r w:rsidRPr="00C47F2F">
              <w:rPr>
                <w:noProof/>
                <w:sz w:val="20"/>
                <w:szCs w:val="20"/>
              </w:rPr>
              <w:t>4.99E+00</w:t>
            </w:r>
          </w:p>
        </w:tc>
      </w:tr>
      <w:tr w:rsidR="006703A2" w:rsidRPr="00972C81" w14:paraId="41ED127E" w14:textId="77777777" w:rsidTr="006243FB">
        <w:trPr>
          <w:trHeight w:val="340"/>
        </w:trPr>
        <w:tc>
          <w:tcPr>
            <w:tcW w:w="2994" w:type="dxa"/>
            <w:shd w:val="clear" w:color="auto" w:fill="auto"/>
            <w:noWrap/>
            <w:vAlign w:val="center"/>
          </w:tcPr>
          <w:p w14:paraId="2E9B8A7A" w14:textId="64234D8C" w:rsidR="006703A2" w:rsidRPr="006703A2" w:rsidRDefault="006703A2" w:rsidP="006243FB">
            <w:pPr>
              <w:pStyle w:val="Table"/>
              <w:rPr>
                <w:noProof/>
                <w:sz w:val="20"/>
                <w:szCs w:val="22"/>
              </w:rPr>
            </w:pPr>
            <w:r w:rsidRPr="006703A2">
              <w:rPr>
                <w:noProof/>
                <w:sz w:val="20"/>
                <w:szCs w:val="22"/>
              </w:rPr>
              <w:t>Blood to  ST1</w:t>
            </w:r>
          </w:p>
        </w:tc>
        <w:tc>
          <w:tcPr>
            <w:tcW w:w="1005" w:type="dxa"/>
            <w:shd w:val="clear" w:color="auto" w:fill="auto"/>
            <w:noWrap/>
            <w:vAlign w:val="center"/>
          </w:tcPr>
          <w:p w14:paraId="201C30D5" w14:textId="77777777" w:rsidR="006703A2" w:rsidRPr="00C47F2F" w:rsidRDefault="006703A2" w:rsidP="006243FB">
            <w:pPr>
              <w:pStyle w:val="Table"/>
              <w:rPr>
                <w:noProof/>
                <w:sz w:val="20"/>
                <w:szCs w:val="20"/>
              </w:rPr>
            </w:pPr>
            <w:r w:rsidRPr="00C47F2F">
              <w:rPr>
                <w:noProof/>
                <w:sz w:val="20"/>
                <w:szCs w:val="20"/>
              </w:rPr>
              <w:t>8.68E-01</w:t>
            </w:r>
          </w:p>
        </w:tc>
        <w:tc>
          <w:tcPr>
            <w:tcW w:w="1006" w:type="dxa"/>
            <w:shd w:val="clear" w:color="auto" w:fill="auto"/>
            <w:noWrap/>
            <w:vAlign w:val="center"/>
          </w:tcPr>
          <w:p w14:paraId="748A0BEE" w14:textId="77777777" w:rsidR="006703A2" w:rsidRPr="00C47F2F" w:rsidRDefault="006703A2" w:rsidP="006243FB">
            <w:pPr>
              <w:pStyle w:val="Table"/>
              <w:rPr>
                <w:noProof/>
                <w:sz w:val="20"/>
                <w:szCs w:val="20"/>
              </w:rPr>
            </w:pPr>
            <w:r w:rsidRPr="00C47F2F">
              <w:rPr>
                <w:noProof/>
                <w:sz w:val="20"/>
                <w:szCs w:val="20"/>
              </w:rPr>
              <w:t>8.68E-01</w:t>
            </w:r>
          </w:p>
        </w:tc>
        <w:tc>
          <w:tcPr>
            <w:tcW w:w="1006" w:type="dxa"/>
            <w:shd w:val="clear" w:color="auto" w:fill="auto"/>
            <w:noWrap/>
            <w:vAlign w:val="center"/>
          </w:tcPr>
          <w:p w14:paraId="6EF89E46" w14:textId="77777777" w:rsidR="006703A2" w:rsidRPr="00C47F2F" w:rsidRDefault="006703A2" w:rsidP="006243FB">
            <w:pPr>
              <w:pStyle w:val="Table"/>
              <w:rPr>
                <w:noProof/>
                <w:sz w:val="20"/>
                <w:szCs w:val="20"/>
              </w:rPr>
            </w:pPr>
            <w:r w:rsidRPr="00C47F2F">
              <w:rPr>
                <w:noProof/>
                <w:sz w:val="20"/>
                <w:szCs w:val="20"/>
              </w:rPr>
              <w:t>8.68E-01</w:t>
            </w:r>
          </w:p>
        </w:tc>
        <w:tc>
          <w:tcPr>
            <w:tcW w:w="1006" w:type="dxa"/>
            <w:shd w:val="clear" w:color="auto" w:fill="auto"/>
            <w:noWrap/>
            <w:vAlign w:val="center"/>
          </w:tcPr>
          <w:p w14:paraId="52DCC429" w14:textId="77777777" w:rsidR="006703A2" w:rsidRPr="00C47F2F" w:rsidRDefault="006703A2" w:rsidP="006243FB">
            <w:pPr>
              <w:pStyle w:val="Table"/>
              <w:rPr>
                <w:noProof/>
                <w:sz w:val="20"/>
                <w:szCs w:val="20"/>
              </w:rPr>
            </w:pPr>
            <w:r w:rsidRPr="00C47F2F">
              <w:rPr>
                <w:noProof/>
                <w:sz w:val="20"/>
                <w:szCs w:val="20"/>
              </w:rPr>
              <w:t>8.68E-01</w:t>
            </w:r>
          </w:p>
        </w:tc>
        <w:tc>
          <w:tcPr>
            <w:tcW w:w="1006" w:type="dxa"/>
            <w:shd w:val="clear" w:color="auto" w:fill="auto"/>
            <w:noWrap/>
            <w:vAlign w:val="center"/>
          </w:tcPr>
          <w:p w14:paraId="7A5E45E9" w14:textId="77777777" w:rsidR="006703A2" w:rsidRPr="00C47F2F" w:rsidRDefault="006703A2" w:rsidP="006243FB">
            <w:pPr>
              <w:pStyle w:val="Table"/>
              <w:rPr>
                <w:noProof/>
                <w:sz w:val="20"/>
                <w:szCs w:val="20"/>
              </w:rPr>
            </w:pPr>
            <w:r w:rsidRPr="00C47F2F">
              <w:rPr>
                <w:noProof/>
                <w:sz w:val="20"/>
                <w:szCs w:val="20"/>
              </w:rPr>
              <w:t>8.68E-01</w:t>
            </w:r>
          </w:p>
        </w:tc>
        <w:tc>
          <w:tcPr>
            <w:tcW w:w="1004" w:type="dxa"/>
            <w:shd w:val="clear" w:color="auto" w:fill="auto"/>
            <w:noWrap/>
            <w:vAlign w:val="center"/>
          </w:tcPr>
          <w:p w14:paraId="0DAD06DD" w14:textId="77777777" w:rsidR="006703A2" w:rsidRPr="00C47F2F" w:rsidRDefault="006703A2" w:rsidP="006243FB">
            <w:pPr>
              <w:pStyle w:val="Table"/>
              <w:rPr>
                <w:noProof/>
                <w:sz w:val="20"/>
                <w:szCs w:val="20"/>
              </w:rPr>
            </w:pPr>
            <w:r w:rsidRPr="00C47F2F">
              <w:rPr>
                <w:noProof/>
                <w:sz w:val="20"/>
                <w:szCs w:val="20"/>
              </w:rPr>
              <w:t>8.68E-01</w:t>
            </w:r>
          </w:p>
        </w:tc>
      </w:tr>
      <w:tr w:rsidR="006703A2" w:rsidRPr="00972C81" w14:paraId="31B3DFB9" w14:textId="77777777" w:rsidTr="006243FB">
        <w:trPr>
          <w:trHeight w:val="340"/>
        </w:trPr>
        <w:tc>
          <w:tcPr>
            <w:tcW w:w="2994" w:type="dxa"/>
            <w:shd w:val="clear" w:color="auto" w:fill="auto"/>
            <w:noWrap/>
            <w:vAlign w:val="center"/>
          </w:tcPr>
          <w:p w14:paraId="3EEB4D2E" w14:textId="2054685D" w:rsidR="006703A2" w:rsidRPr="006703A2" w:rsidRDefault="006703A2" w:rsidP="006243FB">
            <w:pPr>
              <w:pStyle w:val="Table"/>
              <w:rPr>
                <w:noProof/>
                <w:sz w:val="20"/>
                <w:szCs w:val="22"/>
              </w:rPr>
            </w:pPr>
            <w:r w:rsidRPr="006703A2">
              <w:rPr>
                <w:noProof/>
                <w:sz w:val="20"/>
                <w:szCs w:val="22"/>
              </w:rPr>
              <w:t>Blood to  ST2</w:t>
            </w:r>
          </w:p>
        </w:tc>
        <w:tc>
          <w:tcPr>
            <w:tcW w:w="1005" w:type="dxa"/>
            <w:shd w:val="clear" w:color="auto" w:fill="auto"/>
            <w:noWrap/>
            <w:vAlign w:val="center"/>
          </w:tcPr>
          <w:p w14:paraId="63FCBCA5" w14:textId="77777777" w:rsidR="006703A2" w:rsidRPr="00C47F2F" w:rsidRDefault="006703A2" w:rsidP="006243FB">
            <w:pPr>
              <w:pStyle w:val="Table"/>
              <w:rPr>
                <w:noProof/>
                <w:sz w:val="20"/>
                <w:szCs w:val="20"/>
              </w:rPr>
            </w:pPr>
            <w:r w:rsidRPr="00C47F2F">
              <w:rPr>
                <w:noProof/>
                <w:sz w:val="20"/>
                <w:szCs w:val="20"/>
              </w:rPr>
              <w:t>2.33E-01</w:t>
            </w:r>
          </w:p>
        </w:tc>
        <w:tc>
          <w:tcPr>
            <w:tcW w:w="1006" w:type="dxa"/>
            <w:shd w:val="clear" w:color="auto" w:fill="auto"/>
            <w:noWrap/>
            <w:vAlign w:val="center"/>
          </w:tcPr>
          <w:p w14:paraId="71DDE519" w14:textId="77777777" w:rsidR="006703A2" w:rsidRPr="00C47F2F" w:rsidRDefault="006703A2" w:rsidP="006243FB">
            <w:pPr>
              <w:pStyle w:val="Table"/>
              <w:rPr>
                <w:noProof/>
                <w:sz w:val="20"/>
                <w:szCs w:val="20"/>
              </w:rPr>
            </w:pPr>
            <w:r w:rsidRPr="00C47F2F">
              <w:rPr>
                <w:noProof/>
                <w:sz w:val="20"/>
                <w:szCs w:val="20"/>
              </w:rPr>
              <w:t>2.33E-01</w:t>
            </w:r>
          </w:p>
        </w:tc>
        <w:tc>
          <w:tcPr>
            <w:tcW w:w="1006" w:type="dxa"/>
            <w:shd w:val="clear" w:color="auto" w:fill="auto"/>
            <w:noWrap/>
            <w:vAlign w:val="center"/>
          </w:tcPr>
          <w:p w14:paraId="68AAE425" w14:textId="77777777" w:rsidR="006703A2" w:rsidRPr="00C47F2F" w:rsidRDefault="006703A2" w:rsidP="006243FB">
            <w:pPr>
              <w:pStyle w:val="Table"/>
              <w:rPr>
                <w:noProof/>
                <w:sz w:val="20"/>
                <w:szCs w:val="20"/>
              </w:rPr>
            </w:pPr>
            <w:r w:rsidRPr="00C47F2F">
              <w:rPr>
                <w:noProof/>
                <w:sz w:val="20"/>
                <w:szCs w:val="20"/>
              </w:rPr>
              <w:t>2.33E-01</w:t>
            </w:r>
          </w:p>
        </w:tc>
        <w:tc>
          <w:tcPr>
            <w:tcW w:w="1006" w:type="dxa"/>
            <w:shd w:val="clear" w:color="auto" w:fill="auto"/>
            <w:noWrap/>
            <w:vAlign w:val="center"/>
          </w:tcPr>
          <w:p w14:paraId="7EFF4737" w14:textId="77777777" w:rsidR="006703A2" w:rsidRPr="00C47F2F" w:rsidRDefault="006703A2" w:rsidP="006243FB">
            <w:pPr>
              <w:pStyle w:val="Table"/>
              <w:rPr>
                <w:noProof/>
                <w:sz w:val="20"/>
                <w:szCs w:val="20"/>
              </w:rPr>
            </w:pPr>
            <w:r w:rsidRPr="00C47F2F">
              <w:rPr>
                <w:noProof/>
                <w:sz w:val="20"/>
                <w:szCs w:val="20"/>
              </w:rPr>
              <w:t>2.33E-01</w:t>
            </w:r>
          </w:p>
        </w:tc>
        <w:tc>
          <w:tcPr>
            <w:tcW w:w="1006" w:type="dxa"/>
            <w:shd w:val="clear" w:color="auto" w:fill="auto"/>
            <w:noWrap/>
            <w:vAlign w:val="center"/>
          </w:tcPr>
          <w:p w14:paraId="225BF8C7" w14:textId="77777777" w:rsidR="006703A2" w:rsidRPr="00C47F2F" w:rsidRDefault="006703A2" w:rsidP="006243FB">
            <w:pPr>
              <w:pStyle w:val="Table"/>
              <w:rPr>
                <w:noProof/>
                <w:sz w:val="20"/>
                <w:szCs w:val="20"/>
              </w:rPr>
            </w:pPr>
            <w:r w:rsidRPr="00C47F2F">
              <w:rPr>
                <w:noProof/>
                <w:sz w:val="20"/>
                <w:szCs w:val="20"/>
              </w:rPr>
              <w:t>2.33E-01</w:t>
            </w:r>
          </w:p>
        </w:tc>
        <w:tc>
          <w:tcPr>
            <w:tcW w:w="1004" w:type="dxa"/>
            <w:shd w:val="clear" w:color="auto" w:fill="auto"/>
            <w:noWrap/>
            <w:vAlign w:val="center"/>
          </w:tcPr>
          <w:p w14:paraId="3D639E12" w14:textId="77777777" w:rsidR="006703A2" w:rsidRPr="00C47F2F" w:rsidRDefault="006703A2" w:rsidP="006243FB">
            <w:pPr>
              <w:pStyle w:val="Table"/>
              <w:rPr>
                <w:noProof/>
                <w:sz w:val="20"/>
                <w:szCs w:val="20"/>
              </w:rPr>
            </w:pPr>
            <w:r w:rsidRPr="00C47F2F">
              <w:rPr>
                <w:noProof/>
                <w:sz w:val="20"/>
                <w:szCs w:val="20"/>
              </w:rPr>
              <w:t>2.33E-01</w:t>
            </w:r>
          </w:p>
        </w:tc>
      </w:tr>
      <w:tr w:rsidR="006703A2" w:rsidRPr="00972C81" w14:paraId="3D2DB0E9" w14:textId="77777777" w:rsidTr="006243FB">
        <w:trPr>
          <w:trHeight w:val="340"/>
        </w:trPr>
        <w:tc>
          <w:tcPr>
            <w:tcW w:w="2994" w:type="dxa"/>
            <w:shd w:val="clear" w:color="auto" w:fill="auto"/>
            <w:noWrap/>
            <w:vAlign w:val="center"/>
          </w:tcPr>
          <w:p w14:paraId="5C9A851C" w14:textId="3487C98E" w:rsidR="006703A2" w:rsidRPr="006703A2" w:rsidRDefault="006703A2" w:rsidP="006243FB">
            <w:pPr>
              <w:pStyle w:val="Table"/>
              <w:rPr>
                <w:noProof/>
                <w:sz w:val="20"/>
                <w:szCs w:val="22"/>
              </w:rPr>
            </w:pPr>
            <w:r w:rsidRPr="006703A2">
              <w:rPr>
                <w:noProof/>
                <w:sz w:val="20"/>
                <w:szCs w:val="22"/>
              </w:rPr>
              <w:t>Blood to Cort bone surf</w:t>
            </w:r>
          </w:p>
        </w:tc>
        <w:tc>
          <w:tcPr>
            <w:tcW w:w="1005" w:type="dxa"/>
            <w:shd w:val="clear" w:color="auto" w:fill="auto"/>
            <w:noWrap/>
            <w:vAlign w:val="center"/>
          </w:tcPr>
          <w:p w14:paraId="2EF17943" w14:textId="77777777" w:rsidR="006703A2" w:rsidRPr="00C47F2F" w:rsidRDefault="006703A2" w:rsidP="006243FB">
            <w:pPr>
              <w:pStyle w:val="Table"/>
              <w:rPr>
                <w:noProof/>
                <w:sz w:val="20"/>
                <w:szCs w:val="20"/>
              </w:rPr>
            </w:pPr>
            <w:r w:rsidRPr="00C47F2F">
              <w:rPr>
                <w:noProof/>
                <w:sz w:val="20"/>
                <w:szCs w:val="20"/>
              </w:rPr>
              <w:t>3.78E+00</w:t>
            </w:r>
          </w:p>
        </w:tc>
        <w:tc>
          <w:tcPr>
            <w:tcW w:w="1006" w:type="dxa"/>
            <w:shd w:val="clear" w:color="auto" w:fill="auto"/>
            <w:noWrap/>
            <w:vAlign w:val="center"/>
          </w:tcPr>
          <w:p w14:paraId="00C5BD03" w14:textId="77777777" w:rsidR="006703A2" w:rsidRPr="00C47F2F" w:rsidRDefault="006703A2" w:rsidP="006243FB">
            <w:pPr>
              <w:pStyle w:val="Table"/>
              <w:rPr>
                <w:noProof/>
                <w:sz w:val="20"/>
                <w:szCs w:val="20"/>
              </w:rPr>
            </w:pPr>
            <w:r w:rsidRPr="00C47F2F">
              <w:rPr>
                <w:noProof/>
                <w:sz w:val="20"/>
                <w:szCs w:val="20"/>
              </w:rPr>
              <w:t>3.78E+00</w:t>
            </w:r>
          </w:p>
        </w:tc>
        <w:tc>
          <w:tcPr>
            <w:tcW w:w="1006" w:type="dxa"/>
            <w:shd w:val="clear" w:color="auto" w:fill="auto"/>
            <w:noWrap/>
            <w:vAlign w:val="center"/>
          </w:tcPr>
          <w:p w14:paraId="3CF0BC03" w14:textId="77777777" w:rsidR="006703A2" w:rsidRPr="00C47F2F" w:rsidRDefault="006703A2" w:rsidP="006243FB">
            <w:pPr>
              <w:pStyle w:val="Table"/>
              <w:rPr>
                <w:noProof/>
                <w:sz w:val="20"/>
                <w:szCs w:val="20"/>
              </w:rPr>
            </w:pPr>
            <w:r w:rsidRPr="00C47F2F">
              <w:rPr>
                <w:noProof/>
                <w:sz w:val="20"/>
                <w:szCs w:val="20"/>
              </w:rPr>
              <w:t>3.49E+00</w:t>
            </w:r>
          </w:p>
        </w:tc>
        <w:tc>
          <w:tcPr>
            <w:tcW w:w="1006" w:type="dxa"/>
            <w:shd w:val="clear" w:color="auto" w:fill="auto"/>
            <w:noWrap/>
            <w:vAlign w:val="center"/>
          </w:tcPr>
          <w:p w14:paraId="7A698119" w14:textId="77777777" w:rsidR="006703A2" w:rsidRPr="00C47F2F" w:rsidRDefault="006703A2" w:rsidP="006243FB">
            <w:pPr>
              <w:pStyle w:val="Table"/>
              <w:rPr>
                <w:noProof/>
                <w:sz w:val="20"/>
                <w:szCs w:val="20"/>
              </w:rPr>
            </w:pPr>
            <w:r w:rsidRPr="00C47F2F">
              <w:rPr>
                <w:noProof/>
                <w:sz w:val="20"/>
                <w:szCs w:val="20"/>
              </w:rPr>
              <w:t>3.49E+00</w:t>
            </w:r>
          </w:p>
        </w:tc>
        <w:tc>
          <w:tcPr>
            <w:tcW w:w="1006" w:type="dxa"/>
            <w:shd w:val="clear" w:color="auto" w:fill="auto"/>
            <w:noWrap/>
            <w:vAlign w:val="center"/>
          </w:tcPr>
          <w:p w14:paraId="3C8AA8B9" w14:textId="77777777" w:rsidR="006703A2" w:rsidRPr="00C47F2F" w:rsidRDefault="006703A2" w:rsidP="006243FB">
            <w:pPr>
              <w:pStyle w:val="Table"/>
              <w:rPr>
                <w:noProof/>
                <w:sz w:val="20"/>
                <w:szCs w:val="20"/>
              </w:rPr>
            </w:pPr>
            <w:r w:rsidRPr="00C47F2F">
              <w:rPr>
                <w:noProof/>
                <w:sz w:val="20"/>
                <w:szCs w:val="20"/>
              </w:rPr>
              <w:t>3.49E+00</w:t>
            </w:r>
          </w:p>
        </w:tc>
        <w:tc>
          <w:tcPr>
            <w:tcW w:w="1004" w:type="dxa"/>
            <w:shd w:val="clear" w:color="auto" w:fill="auto"/>
            <w:noWrap/>
            <w:vAlign w:val="center"/>
          </w:tcPr>
          <w:p w14:paraId="2E7798CD" w14:textId="77777777" w:rsidR="006703A2" w:rsidRPr="00C47F2F" w:rsidRDefault="006703A2" w:rsidP="006243FB">
            <w:pPr>
              <w:pStyle w:val="Table"/>
              <w:rPr>
                <w:noProof/>
                <w:sz w:val="20"/>
                <w:szCs w:val="20"/>
              </w:rPr>
            </w:pPr>
            <w:r w:rsidRPr="00C47F2F">
              <w:rPr>
                <w:noProof/>
                <w:sz w:val="20"/>
                <w:szCs w:val="20"/>
              </w:rPr>
              <w:t>3.20E+00</w:t>
            </w:r>
          </w:p>
        </w:tc>
      </w:tr>
      <w:tr w:rsidR="006703A2" w:rsidRPr="00972C81" w14:paraId="4D563346" w14:textId="77777777" w:rsidTr="006243FB">
        <w:trPr>
          <w:trHeight w:val="340"/>
        </w:trPr>
        <w:tc>
          <w:tcPr>
            <w:tcW w:w="2994" w:type="dxa"/>
            <w:shd w:val="clear" w:color="auto" w:fill="auto"/>
            <w:noWrap/>
            <w:vAlign w:val="center"/>
          </w:tcPr>
          <w:p w14:paraId="1CE8BC94" w14:textId="7976F747" w:rsidR="006703A2" w:rsidRPr="006703A2" w:rsidRDefault="006703A2" w:rsidP="006243FB">
            <w:pPr>
              <w:pStyle w:val="Table"/>
              <w:rPr>
                <w:noProof/>
                <w:sz w:val="20"/>
                <w:szCs w:val="22"/>
              </w:rPr>
            </w:pPr>
            <w:r w:rsidRPr="006703A2">
              <w:rPr>
                <w:noProof/>
                <w:sz w:val="20"/>
                <w:szCs w:val="22"/>
              </w:rPr>
              <w:t>Blood to Trab bone surf</w:t>
            </w:r>
          </w:p>
        </w:tc>
        <w:tc>
          <w:tcPr>
            <w:tcW w:w="1005" w:type="dxa"/>
            <w:shd w:val="clear" w:color="auto" w:fill="auto"/>
            <w:noWrap/>
            <w:vAlign w:val="center"/>
          </w:tcPr>
          <w:p w14:paraId="27973CC1" w14:textId="77777777" w:rsidR="006703A2" w:rsidRPr="00C47F2F" w:rsidRDefault="006703A2" w:rsidP="006243FB">
            <w:pPr>
              <w:pStyle w:val="Table"/>
              <w:rPr>
                <w:noProof/>
                <w:sz w:val="20"/>
                <w:szCs w:val="20"/>
              </w:rPr>
            </w:pPr>
            <w:r w:rsidRPr="00C47F2F">
              <w:rPr>
                <w:noProof/>
                <w:sz w:val="20"/>
                <w:szCs w:val="20"/>
              </w:rPr>
              <w:t>3.78E+00</w:t>
            </w:r>
          </w:p>
        </w:tc>
        <w:tc>
          <w:tcPr>
            <w:tcW w:w="1006" w:type="dxa"/>
            <w:shd w:val="clear" w:color="auto" w:fill="auto"/>
            <w:noWrap/>
            <w:vAlign w:val="center"/>
          </w:tcPr>
          <w:p w14:paraId="70027A6C" w14:textId="77777777" w:rsidR="006703A2" w:rsidRPr="00C47F2F" w:rsidRDefault="006703A2" w:rsidP="006243FB">
            <w:pPr>
              <w:pStyle w:val="Table"/>
              <w:rPr>
                <w:noProof/>
                <w:sz w:val="20"/>
                <w:szCs w:val="20"/>
              </w:rPr>
            </w:pPr>
            <w:r w:rsidRPr="00C47F2F">
              <w:rPr>
                <w:noProof/>
                <w:sz w:val="20"/>
                <w:szCs w:val="20"/>
              </w:rPr>
              <w:t>3.78E+00</w:t>
            </w:r>
          </w:p>
        </w:tc>
        <w:tc>
          <w:tcPr>
            <w:tcW w:w="1006" w:type="dxa"/>
            <w:shd w:val="clear" w:color="auto" w:fill="auto"/>
            <w:noWrap/>
            <w:vAlign w:val="center"/>
          </w:tcPr>
          <w:p w14:paraId="2A1F77EC" w14:textId="77777777" w:rsidR="006703A2" w:rsidRPr="00C47F2F" w:rsidRDefault="006703A2" w:rsidP="006243FB">
            <w:pPr>
              <w:pStyle w:val="Table"/>
              <w:rPr>
                <w:noProof/>
                <w:sz w:val="20"/>
                <w:szCs w:val="20"/>
              </w:rPr>
            </w:pPr>
            <w:r w:rsidRPr="00C47F2F">
              <w:rPr>
                <w:noProof/>
                <w:sz w:val="20"/>
                <w:szCs w:val="20"/>
              </w:rPr>
              <w:t>3.49E+00</w:t>
            </w:r>
          </w:p>
        </w:tc>
        <w:tc>
          <w:tcPr>
            <w:tcW w:w="1006" w:type="dxa"/>
            <w:shd w:val="clear" w:color="auto" w:fill="auto"/>
            <w:noWrap/>
            <w:vAlign w:val="center"/>
          </w:tcPr>
          <w:p w14:paraId="144867C9" w14:textId="77777777" w:rsidR="006703A2" w:rsidRPr="00C47F2F" w:rsidRDefault="006703A2" w:rsidP="006243FB">
            <w:pPr>
              <w:pStyle w:val="Table"/>
              <w:rPr>
                <w:noProof/>
                <w:sz w:val="20"/>
                <w:szCs w:val="20"/>
              </w:rPr>
            </w:pPr>
            <w:r w:rsidRPr="00C47F2F">
              <w:rPr>
                <w:noProof/>
                <w:sz w:val="20"/>
                <w:szCs w:val="20"/>
              </w:rPr>
              <w:t>3.49E+00</w:t>
            </w:r>
          </w:p>
        </w:tc>
        <w:tc>
          <w:tcPr>
            <w:tcW w:w="1006" w:type="dxa"/>
            <w:shd w:val="clear" w:color="auto" w:fill="auto"/>
            <w:noWrap/>
            <w:vAlign w:val="center"/>
          </w:tcPr>
          <w:p w14:paraId="38C255B3" w14:textId="77777777" w:rsidR="006703A2" w:rsidRPr="00C47F2F" w:rsidRDefault="006703A2" w:rsidP="006243FB">
            <w:pPr>
              <w:pStyle w:val="Table"/>
              <w:rPr>
                <w:noProof/>
                <w:sz w:val="20"/>
                <w:szCs w:val="20"/>
              </w:rPr>
            </w:pPr>
            <w:r w:rsidRPr="00C47F2F">
              <w:rPr>
                <w:noProof/>
                <w:sz w:val="20"/>
                <w:szCs w:val="20"/>
              </w:rPr>
              <w:t>3.49E+00</w:t>
            </w:r>
          </w:p>
        </w:tc>
        <w:tc>
          <w:tcPr>
            <w:tcW w:w="1004" w:type="dxa"/>
            <w:shd w:val="clear" w:color="auto" w:fill="auto"/>
            <w:noWrap/>
            <w:vAlign w:val="center"/>
          </w:tcPr>
          <w:p w14:paraId="125E790A" w14:textId="77777777" w:rsidR="006703A2" w:rsidRPr="00C47F2F" w:rsidRDefault="006703A2" w:rsidP="006243FB">
            <w:pPr>
              <w:pStyle w:val="Table"/>
              <w:rPr>
                <w:noProof/>
                <w:sz w:val="20"/>
                <w:szCs w:val="20"/>
              </w:rPr>
            </w:pPr>
            <w:r w:rsidRPr="00C47F2F">
              <w:rPr>
                <w:noProof/>
                <w:sz w:val="20"/>
                <w:szCs w:val="20"/>
              </w:rPr>
              <w:t>3.20E+00</w:t>
            </w:r>
          </w:p>
        </w:tc>
      </w:tr>
      <w:tr w:rsidR="006703A2" w:rsidRPr="00972C81" w14:paraId="3525C7CD" w14:textId="77777777" w:rsidTr="006243FB">
        <w:trPr>
          <w:trHeight w:val="340"/>
        </w:trPr>
        <w:tc>
          <w:tcPr>
            <w:tcW w:w="2994" w:type="dxa"/>
            <w:shd w:val="clear" w:color="auto" w:fill="auto"/>
            <w:noWrap/>
            <w:vAlign w:val="center"/>
          </w:tcPr>
          <w:p w14:paraId="7EF9D892" w14:textId="721FBE8C" w:rsidR="006703A2" w:rsidRPr="006703A2" w:rsidRDefault="006703A2" w:rsidP="006243FB">
            <w:pPr>
              <w:pStyle w:val="Table"/>
              <w:rPr>
                <w:noProof/>
                <w:sz w:val="20"/>
                <w:szCs w:val="22"/>
              </w:rPr>
            </w:pPr>
            <w:r w:rsidRPr="006703A2">
              <w:rPr>
                <w:noProof/>
                <w:sz w:val="20"/>
                <w:szCs w:val="22"/>
              </w:rPr>
              <w:t>Blood to Kidneys 1</w:t>
            </w:r>
          </w:p>
        </w:tc>
        <w:tc>
          <w:tcPr>
            <w:tcW w:w="1005" w:type="dxa"/>
            <w:shd w:val="clear" w:color="auto" w:fill="auto"/>
            <w:noWrap/>
            <w:vAlign w:val="center"/>
          </w:tcPr>
          <w:p w14:paraId="51F65891" w14:textId="77777777" w:rsidR="006703A2" w:rsidRPr="00C47F2F" w:rsidRDefault="006703A2" w:rsidP="006243FB">
            <w:pPr>
              <w:pStyle w:val="Table"/>
              <w:rPr>
                <w:noProof/>
                <w:sz w:val="20"/>
                <w:szCs w:val="20"/>
              </w:rPr>
            </w:pPr>
            <w:r w:rsidRPr="00C47F2F">
              <w:rPr>
                <w:noProof/>
                <w:sz w:val="20"/>
                <w:szCs w:val="20"/>
              </w:rPr>
              <w:t>1.16E-01</w:t>
            </w:r>
          </w:p>
        </w:tc>
        <w:tc>
          <w:tcPr>
            <w:tcW w:w="1006" w:type="dxa"/>
            <w:shd w:val="clear" w:color="auto" w:fill="auto"/>
            <w:noWrap/>
            <w:vAlign w:val="center"/>
          </w:tcPr>
          <w:p w14:paraId="72B0925B" w14:textId="77777777" w:rsidR="006703A2" w:rsidRPr="00C47F2F" w:rsidRDefault="006703A2" w:rsidP="006243FB">
            <w:pPr>
              <w:pStyle w:val="Table"/>
              <w:rPr>
                <w:noProof/>
                <w:sz w:val="20"/>
                <w:szCs w:val="20"/>
              </w:rPr>
            </w:pPr>
            <w:r w:rsidRPr="00C47F2F">
              <w:rPr>
                <w:noProof/>
                <w:sz w:val="20"/>
                <w:szCs w:val="20"/>
              </w:rPr>
              <w:t>1.16E-01</w:t>
            </w:r>
          </w:p>
        </w:tc>
        <w:tc>
          <w:tcPr>
            <w:tcW w:w="1006" w:type="dxa"/>
            <w:shd w:val="clear" w:color="auto" w:fill="auto"/>
            <w:noWrap/>
            <w:vAlign w:val="center"/>
          </w:tcPr>
          <w:p w14:paraId="7AEBAB89" w14:textId="77777777" w:rsidR="006703A2" w:rsidRPr="00C47F2F" w:rsidRDefault="006703A2" w:rsidP="006243FB">
            <w:pPr>
              <w:pStyle w:val="Table"/>
              <w:rPr>
                <w:noProof/>
                <w:sz w:val="20"/>
                <w:szCs w:val="20"/>
              </w:rPr>
            </w:pPr>
            <w:r w:rsidRPr="00C47F2F">
              <w:rPr>
                <w:noProof/>
                <w:sz w:val="20"/>
                <w:szCs w:val="20"/>
              </w:rPr>
              <w:t>1.16E-01</w:t>
            </w:r>
          </w:p>
        </w:tc>
        <w:tc>
          <w:tcPr>
            <w:tcW w:w="1006" w:type="dxa"/>
            <w:shd w:val="clear" w:color="auto" w:fill="auto"/>
            <w:noWrap/>
            <w:vAlign w:val="center"/>
          </w:tcPr>
          <w:p w14:paraId="3E2097FD" w14:textId="77777777" w:rsidR="006703A2" w:rsidRPr="00C47F2F" w:rsidRDefault="006703A2" w:rsidP="006243FB">
            <w:pPr>
              <w:pStyle w:val="Table"/>
              <w:rPr>
                <w:noProof/>
                <w:sz w:val="20"/>
                <w:szCs w:val="20"/>
              </w:rPr>
            </w:pPr>
            <w:r w:rsidRPr="00C47F2F">
              <w:rPr>
                <w:noProof/>
                <w:sz w:val="20"/>
                <w:szCs w:val="20"/>
              </w:rPr>
              <w:t>1.16E-01</w:t>
            </w:r>
          </w:p>
        </w:tc>
        <w:tc>
          <w:tcPr>
            <w:tcW w:w="1006" w:type="dxa"/>
            <w:shd w:val="clear" w:color="auto" w:fill="auto"/>
            <w:noWrap/>
            <w:vAlign w:val="center"/>
          </w:tcPr>
          <w:p w14:paraId="03738A13" w14:textId="77777777" w:rsidR="006703A2" w:rsidRPr="00C47F2F" w:rsidRDefault="006703A2" w:rsidP="006243FB">
            <w:pPr>
              <w:pStyle w:val="Table"/>
              <w:rPr>
                <w:noProof/>
                <w:sz w:val="20"/>
                <w:szCs w:val="20"/>
              </w:rPr>
            </w:pPr>
            <w:r w:rsidRPr="00C47F2F">
              <w:rPr>
                <w:noProof/>
                <w:sz w:val="20"/>
                <w:szCs w:val="20"/>
              </w:rPr>
              <w:t>1.16E-01</w:t>
            </w:r>
          </w:p>
        </w:tc>
        <w:tc>
          <w:tcPr>
            <w:tcW w:w="1004" w:type="dxa"/>
            <w:shd w:val="clear" w:color="auto" w:fill="auto"/>
            <w:noWrap/>
            <w:vAlign w:val="center"/>
          </w:tcPr>
          <w:p w14:paraId="0284A11F" w14:textId="77777777" w:rsidR="006703A2" w:rsidRPr="00C47F2F" w:rsidRDefault="006703A2" w:rsidP="006243FB">
            <w:pPr>
              <w:pStyle w:val="Table"/>
              <w:rPr>
                <w:noProof/>
                <w:sz w:val="20"/>
                <w:szCs w:val="20"/>
              </w:rPr>
            </w:pPr>
            <w:r w:rsidRPr="00C47F2F">
              <w:rPr>
                <w:noProof/>
                <w:sz w:val="20"/>
                <w:szCs w:val="20"/>
              </w:rPr>
              <w:t>1.16E-01</w:t>
            </w:r>
          </w:p>
        </w:tc>
      </w:tr>
      <w:tr w:rsidR="006703A2" w:rsidRPr="00972C81" w14:paraId="4D8F6B12" w14:textId="77777777" w:rsidTr="006243FB">
        <w:trPr>
          <w:trHeight w:val="340"/>
        </w:trPr>
        <w:tc>
          <w:tcPr>
            <w:tcW w:w="2994" w:type="dxa"/>
            <w:shd w:val="clear" w:color="auto" w:fill="auto"/>
            <w:noWrap/>
            <w:vAlign w:val="center"/>
          </w:tcPr>
          <w:p w14:paraId="056EDD65" w14:textId="4EA7AB74" w:rsidR="006703A2" w:rsidRPr="006703A2" w:rsidRDefault="006703A2" w:rsidP="006243FB">
            <w:pPr>
              <w:pStyle w:val="Table"/>
              <w:rPr>
                <w:noProof/>
                <w:sz w:val="20"/>
                <w:szCs w:val="22"/>
              </w:rPr>
            </w:pPr>
            <w:r w:rsidRPr="006703A2">
              <w:rPr>
                <w:noProof/>
                <w:sz w:val="20"/>
                <w:szCs w:val="22"/>
              </w:rPr>
              <w:t>Blood to Right colon cont</w:t>
            </w:r>
          </w:p>
        </w:tc>
        <w:tc>
          <w:tcPr>
            <w:tcW w:w="1005" w:type="dxa"/>
            <w:shd w:val="clear" w:color="auto" w:fill="auto"/>
            <w:noWrap/>
            <w:vAlign w:val="center"/>
          </w:tcPr>
          <w:p w14:paraId="09300E9D" w14:textId="77777777" w:rsidR="006703A2" w:rsidRPr="00C47F2F" w:rsidRDefault="006703A2" w:rsidP="006243FB">
            <w:pPr>
              <w:pStyle w:val="Table"/>
              <w:rPr>
                <w:noProof/>
                <w:sz w:val="20"/>
                <w:szCs w:val="20"/>
              </w:rPr>
            </w:pPr>
            <w:r w:rsidRPr="00C47F2F">
              <w:rPr>
                <w:noProof/>
                <w:sz w:val="20"/>
                <w:szCs w:val="20"/>
              </w:rPr>
              <w:t>6.99E-01</w:t>
            </w:r>
          </w:p>
        </w:tc>
        <w:tc>
          <w:tcPr>
            <w:tcW w:w="1006" w:type="dxa"/>
            <w:shd w:val="clear" w:color="auto" w:fill="auto"/>
            <w:noWrap/>
            <w:vAlign w:val="center"/>
          </w:tcPr>
          <w:p w14:paraId="13AD42E1" w14:textId="77777777" w:rsidR="006703A2" w:rsidRPr="00C47F2F" w:rsidRDefault="006703A2" w:rsidP="006243FB">
            <w:pPr>
              <w:pStyle w:val="Table"/>
              <w:rPr>
                <w:noProof/>
                <w:sz w:val="20"/>
                <w:szCs w:val="20"/>
              </w:rPr>
            </w:pPr>
            <w:r w:rsidRPr="00C47F2F">
              <w:rPr>
                <w:noProof/>
                <w:sz w:val="20"/>
                <w:szCs w:val="20"/>
              </w:rPr>
              <w:t>6.99E-01</w:t>
            </w:r>
          </w:p>
        </w:tc>
        <w:tc>
          <w:tcPr>
            <w:tcW w:w="1006" w:type="dxa"/>
            <w:shd w:val="clear" w:color="auto" w:fill="auto"/>
            <w:noWrap/>
            <w:vAlign w:val="center"/>
          </w:tcPr>
          <w:p w14:paraId="78EB5ACC" w14:textId="77777777" w:rsidR="006703A2" w:rsidRPr="00C47F2F" w:rsidRDefault="006703A2" w:rsidP="006243FB">
            <w:pPr>
              <w:pStyle w:val="Table"/>
              <w:rPr>
                <w:noProof/>
                <w:sz w:val="20"/>
                <w:szCs w:val="20"/>
              </w:rPr>
            </w:pPr>
            <w:r w:rsidRPr="00C47F2F">
              <w:rPr>
                <w:noProof/>
                <w:sz w:val="20"/>
                <w:szCs w:val="20"/>
              </w:rPr>
              <w:t>6.99E-01</w:t>
            </w:r>
          </w:p>
        </w:tc>
        <w:tc>
          <w:tcPr>
            <w:tcW w:w="1006" w:type="dxa"/>
            <w:shd w:val="clear" w:color="auto" w:fill="auto"/>
            <w:noWrap/>
            <w:vAlign w:val="center"/>
          </w:tcPr>
          <w:p w14:paraId="780732A0" w14:textId="77777777" w:rsidR="006703A2" w:rsidRPr="00C47F2F" w:rsidRDefault="006703A2" w:rsidP="006243FB">
            <w:pPr>
              <w:pStyle w:val="Table"/>
              <w:rPr>
                <w:noProof/>
                <w:sz w:val="20"/>
                <w:szCs w:val="20"/>
              </w:rPr>
            </w:pPr>
            <w:r w:rsidRPr="00C47F2F">
              <w:rPr>
                <w:noProof/>
                <w:sz w:val="20"/>
                <w:szCs w:val="20"/>
              </w:rPr>
              <w:t>6.99E-01</w:t>
            </w:r>
          </w:p>
        </w:tc>
        <w:tc>
          <w:tcPr>
            <w:tcW w:w="1006" w:type="dxa"/>
            <w:shd w:val="clear" w:color="auto" w:fill="auto"/>
            <w:noWrap/>
            <w:vAlign w:val="center"/>
          </w:tcPr>
          <w:p w14:paraId="472E2154" w14:textId="77777777" w:rsidR="006703A2" w:rsidRPr="00C47F2F" w:rsidRDefault="006703A2" w:rsidP="006243FB">
            <w:pPr>
              <w:pStyle w:val="Table"/>
              <w:rPr>
                <w:noProof/>
                <w:sz w:val="20"/>
                <w:szCs w:val="20"/>
              </w:rPr>
            </w:pPr>
            <w:r w:rsidRPr="00C47F2F">
              <w:rPr>
                <w:noProof/>
                <w:sz w:val="20"/>
                <w:szCs w:val="20"/>
              </w:rPr>
              <w:t>6.99E-01</w:t>
            </w:r>
          </w:p>
        </w:tc>
        <w:tc>
          <w:tcPr>
            <w:tcW w:w="1004" w:type="dxa"/>
            <w:shd w:val="clear" w:color="auto" w:fill="auto"/>
            <w:noWrap/>
            <w:vAlign w:val="center"/>
          </w:tcPr>
          <w:p w14:paraId="4FC1816F" w14:textId="77777777" w:rsidR="006703A2" w:rsidRPr="00C47F2F" w:rsidRDefault="006703A2" w:rsidP="006243FB">
            <w:pPr>
              <w:pStyle w:val="Table"/>
              <w:rPr>
                <w:noProof/>
                <w:sz w:val="20"/>
                <w:szCs w:val="20"/>
              </w:rPr>
            </w:pPr>
            <w:r w:rsidRPr="00C47F2F">
              <w:rPr>
                <w:noProof/>
                <w:sz w:val="20"/>
                <w:szCs w:val="20"/>
              </w:rPr>
              <w:t>6.99E-01</w:t>
            </w:r>
          </w:p>
        </w:tc>
      </w:tr>
      <w:tr w:rsidR="006703A2" w:rsidRPr="00972C81" w14:paraId="6B083B68" w14:textId="77777777" w:rsidTr="006243FB">
        <w:trPr>
          <w:trHeight w:val="340"/>
        </w:trPr>
        <w:tc>
          <w:tcPr>
            <w:tcW w:w="2994" w:type="dxa"/>
            <w:shd w:val="clear" w:color="auto" w:fill="auto"/>
            <w:noWrap/>
            <w:vAlign w:val="center"/>
          </w:tcPr>
          <w:p w14:paraId="120B7306" w14:textId="103ED318" w:rsidR="006703A2" w:rsidRPr="006703A2" w:rsidRDefault="006703A2" w:rsidP="006243FB">
            <w:pPr>
              <w:pStyle w:val="Table"/>
              <w:rPr>
                <w:noProof/>
                <w:sz w:val="20"/>
                <w:szCs w:val="22"/>
              </w:rPr>
            </w:pPr>
            <w:r w:rsidRPr="006703A2">
              <w:rPr>
                <w:noProof/>
                <w:sz w:val="20"/>
                <w:szCs w:val="22"/>
              </w:rPr>
              <w:t>Blood to Kidneys 2</w:t>
            </w:r>
          </w:p>
        </w:tc>
        <w:tc>
          <w:tcPr>
            <w:tcW w:w="1005" w:type="dxa"/>
            <w:shd w:val="clear" w:color="auto" w:fill="auto"/>
            <w:noWrap/>
            <w:vAlign w:val="center"/>
          </w:tcPr>
          <w:p w14:paraId="5C486CB8" w14:textId="77777777" w:rsidR="006703A2" w:rsidRPr="00C47F2F" w:rsidRDefault="006703A2" w:rsidP="006243FB">
            <w:pPr>
              <w:pStyle w:val="Table"/>
              <w:rPr>
                <w:noProof/>
                <w:sz w:val="20"/>
                <w:szCs w:val="20"/>
              </w:rPr>
            </w:pPr>
            <w:r w:rsidRPr="00C47F2F">
              <w:rPr>
                <w:noProof/>
                <w:sz w:val="20"/>
                <w:szCs w:val="20"/>
              </w:rPr>
              <w:t>5.82E-02</w:t>
            </w:r>
          </w:p>
        </w:tc>
        <w:tc>
          <w:tcPr>
            <w:tcW w:w="1006" w:type="dxa"/>
            <w:shd w:val="clear" w:color="auto" w:fill="auto"/>
            <w:noWrap/>
            <w:vAlign w:val="center"/>
          </w:tcPr>
          <w:p w14:paraId="617FA9E1" w14:textId="77777777" w:rsidR="006703A2" w:rsidRPr="00C47F2F" w:rsidRDefault="006703A2" w:rsidP="006243FB">
            <w:pPr>
              <w:pStyle w:val="Table"/>
              <w:rPr>
                <w:noProof/>
                <w:sz w:val="20"/>
                <w:szCs w:val="20"/>
              </w:rPr>
            </w:pPr>
            <w:r w:rsidRPr="00C47F2F">
              <w:rPr>
                <w:noProof/>
                <w:sz w:val="20"/>
                <w:szCs w:val="20"/>
              </w:rPr>
              <w:t>5.82E-02</w:t>
            </w:r>
          </w:p>
        </w:tc>
        <w:tc>
          <w:tcPr>
            <w:tcW w:w="1006" w:type="dxa"/>
            <w:shd w:val="clear" w:color="auto" w:fill="auto"/>
            <w:noWrap/>
            <w:vAlign w:val="center"/>
          </w:tcPr>
          <w:p w14:paraId="79A5112C" w14:textId="77777777" w:rsidR="006703A2" w:rsidRPr="00C47F2F" w:rsidRDefault="006703A2" w:rsidP="006243FB">
            <w:pPr>
              <w:pStyle w:val="Table"/>
              <w:rPr>
                <w:noProof/>
                <w:sz w:val="20"/>
                <w:szCs w:val="20"/>
              </w:rPr>
            </w:pPr>
            <w:r w:rsidRPr="00C47F2F">
              <w:rPr>
                <w:noProof/>
                <w:sz w:val="20"/>
                <w:szCs w:val="20"/>
              </w:rPr>
              <w:t>5.82E-02</w:t>
            </w:r>
          </w:p>
        </w:tc>
        <w:tc>
          <w:tcPr>
            <w:tcW w:w="1006" w:type="dxa"/>
            <w:shd w:val="clear" w:color="auto" w:fill="auto"/>
            <w:noWrap/>
            <w:vAlign w:val="center"/>
          </w:tcPr>
          <w:p w14:paraId="4C90CF87" w14:textId="77777777" w:rsidR="006703A2" w:rsidRPr="00C47F2F" w:rsidRDefault="006703A2" w:rsidP="006243FB">
            <w:pPr>
              <w:pStyle w:val="Table"/>
              <w:rPr>
                <w:noProof/>
                <w:sz w:val="20"/>
                <w:szCs w:val="20"/>
              </w:rPr>
            </w:pPr>
            <w:r w:rsidRPr="00C47F2F">
              <w:rPr>
                <w:noProof/>
                <w:sz w:val="20"/>
                <w:szCs w:val="20"/>
              </w:rPr>
              <w:t>5.82E-02</w:t>
            </w:r>
          </w:p>
        </w:tc>
        <w:tc>
          <w:tcPr>
            <w:tcW w:w="1006" w:type="dxa"/>
            <w:shd w:val="clear" w:color="auto" w:fill="auto"/>
            <w:noWrap/>
            <w:vAlign w:val="center"/>
          </w:tcPr>
          <w:p w14:paraId="6A764256" w14:textId="77777777" w:rsidR="006703A2" w:rsidRPr="00C47F2F" w:rsidRDefault="006703A2" w:rsidP="006243FB">
            <w:pPr>
              <w:pStyle w:val="Table"/>
              <w:rPr>
                <w:noProof/>
                <w:sz w:val="20"/>
                <w:szCs w:val="20"/>
              </w:rPr>
            </w:pPr>
            <w:r w:rsidRPr="00C47F2F">
              <w:rPr>
                <w:noProof/>
                <w:sz w:val="20"/>
                <w:szCs w:val="20"/>
              </w:rPr>
              <w:t>5.82E-02</w:t>
            </w:r>
          </w:p>
        </w:tc>
        <w:tc>
          <w:tcPr>
            <w:tcW w:w="1004" w:type="dxa"/>
            <w:shd w:val="clear" w:color="auto" w:fill="auto"/>
            <w:noWrap/>
            <w:vAlign w:val="center"/>
          </w:tcPr>
          <w:p w14:paraId="55DBC458" w14:textId="77777777" w:rsidR="006703A2" w:rsidRPr="00C47F2F" w:rsidRDefault="006703A2" w:rsidP="006243FB">
            <w:pPr>
              <w:pStyle w:val="Table"/>
              <w:rPr>
                <w:noProof/>
                <w:sz w:val="20"/>
                <w:szCs w:val="20"/>
              </w:rPr>
            </w:pPr>
            <w:r w:rsidRPr="00C47F2F">
              <w:rPr>
                <w:noProof/>
                <w:sz w:val="20"/>
                <w:szCs w:val="20"/>
              </w:rPr>
              <w:t>5.82E-02</w:t>
            </w:r>
          </w:p>
        </w:tc>
      </w:tr>
      <w:tr w:rsidR="006703A2" w:rsidRPr="00972C81" w14:paraId="34BA9214" w14:textId="77777777" w:rsidTr="006243FB">
        <w:trPr>
          <w:trHeight w:val="340"/>
        </w:trPr>
        <w:tc>
          <w:tcPr>
            <w:tcW w:w="2994" w:type="dxa"/>
            <w:shd w:val="clear" w:color="auto" w:fill="auto"/>
            <w:noWrap/>
            <w:vAlign w:val="center"/>
          </w:tcPr>
          <w:p w14:paraId="35DC0403" w14:textId="6C28EDE9" w:rsidR="006703A2" w:rsidRPr="006703A2" w:rsidRDefault="006703A2" w:rsidP="006243FB">
            <w:pPr>
              <w:pStyle w:val="Table"/>
              <w:rPr>
                <w:noProof/>
                <w:sz w:val="20"/>
                <w:szCs w:val="22"/>
              </w:rPr>
            </w:pPr>
            <w:r w:rsidRPr="006703A2">
              <w:rPr>
                <w:noProof/>
                <w:sz w:val="20"/>
                <w:szCs w:val="22"/>
              </w:rPr>
              <w:lastRenderedPageBreak/>
              <w:t>Blood to Testes</w:t>
            </w:r>
          </w:p>
        </w:tc>
        <w:tc>
          <w:tcPr>
            <w:tcW w:w="1005" w:type="dxa"/>
            <w:shd w:val="clear" w:color="auto" w:fill="auto"/>
            <w:noWrap/>
            <w:vAlign w:val="center"/>
          </w:tcPr>
          <w:p w14:paraId="5492AAE6" w14:textId="77777777" w:rsidR="006703A2" w:rsidRPr="00C47F2F" w:rsidRDefault="006703A2" w:rsidP="006243FB">
            <w:pPr>
              <w:pStyle w:val="Table"/>
              <w:rPr>
                <w:noProof/>
                <w:sz w:val="20"/>
                <w:szCs w:val="20"/>
              </w:rPr>
            </w:pPr>
            <w:r w:rsidRPr="00C47F2F">
              <w:rPr>
                <w:noProof/>
                <w:sz w:val="20"/>
                <w:szCs w:val="20"/>
              </w:rPr>
              <w:t>2.33E-04</w:t>
            </w:r>
          </w:p>
        </w:tc>
        <w:tc>
          <w:tcPr>
            <w:tcW w:w="1006" w:type="dxa"/>
            <w:shd w:val="clear" w:color="auto" w:fill="auto"/>
            <w:noWrap/>
            <w:vAlign w:val="center"/>
          </w:tcPr>
          <w:p w14:paraId="19B32228" w14:textId="77777777" w:rsidR="006703A2" w:rsidRPr="00C47F2F" w:rsidRDefault="006703A2" w:rsidP="006243FB">
            <w:pPr>
              <w:pStyle w:val="Table"/>
              <w:rPr>
                <w:noProof/>
                <w:sz w:val="20"/>
                <w:szCs w:val="20"/>
              </w:rPr>
            </w:pPr>
            <w:r w:rsidRPr="00C47F2F">
              <w:rPr>
                <w:noProof/>
                <w:sz w:val="20"/>
                <w:szCs w:val="20"/>
              </w:rPr>
              <w:t>3.49E-04</w:t>
            </w:r>
          </w:p>
        </w:tc>
        <w:tc>
          <w:tcPr>
            <w:tcW w:w="1006" w:type="dxa"/>
            <w:shd w:val="clear" w:color="auto" w:fill="auto"/>
            <w:noWrap/>
            <w:vAlign w:val="center"/>
          </w:tcPr>
          <w:p w14:paraId="083221E4" w14:textId="77777777" w:rsidR="006703A2" w:rsidRPr="00C47F2F" w:rsidRDefault="006703A2" w:rsidP="006243FB">
            <w:pPr>
              <w:pStyle w:val="Table"/>
              <w:rPr>
                <w:noProof/>
                <w:sz w:val="20"/>
                <w:szCs w:val="20"/>
              </w:rPr>
            </w:pPr>
            <w:r w:rsidRPr="00C47F2F">
              <w:rPr>
                <w:noProof/>
                <w:sz w:val="20"/>
                <w:szCs w:val="20"/>
              </w:rPr>
              <w:t>3.96E-04</w:t>
            </w:r>
          </w:p>
        </w:tc>
        <w:tc>
          <w:tcPr>
            <w:tcW w:w="1006" w:type="dxa"/>
            <w:shd w:val="clear" w:color="auto" w:fill="auto"/>
            <w:noWrap/>
            <w:vAlign w:val="center"/>
          </w:tcPr>
          <w:p w14:paraId="064AD4A4" w14:textId="77777777" w:rsidR="006703A2" w:rsidRPr="00C47F2F" w:rsidRDefault="006703A2" w:rsidP="006243FB">
            <w:pPr>
              <w:pStyle w:val="Table"/>
              <w:rPr>
                <w:noProof/>
                <w:sz w:val="20"/>
                <w:szCs w:val="20"/>
              </w:rPr>
            </w:pPr>
            <w:r w:rsidRPr="00C47F2F">
              <w:rPr>
                <w:noProof/>
                <w:sz w:val="20"/>
                <w:szCs w:val="20"/>
              </w:rPr>
              <w:t>4.66E-04</w:t>
            </w:r>
          </w:p>
        </w:tc>
        <w:tc>
          <w:tcPr>
            <w:tcW w:w="1006" w:type="dxa"/>
            <w:shd w:val="clear" w:color="auto" w:fill="auto"/>
            <w:noWrap/>
            <w:vAlign w:val="center"/>
          </w:tcPr>
          <w:p w14:paraId="7FCC3C84" w14:textId="77777777" w:rsidR="006703A2" w:rsidRPr="00C47F2F" w:rsidRDefault="006703A2" w:rsidP="006243FB">
            <w:pPr>
              <w:pStyle w:val="Table"/>
              <w:rPr>
                <w:noProof/>
                <w:sz w:val="20"/>
                <w:szCs w:val="20"/>
              </w:rPr>
            </w:pPr>
            <w:r w:rsidRPr="00C47F2F">
              <w:rPr>
                <w:noProof/>
                <w:sz w:val="20"/>
                <w:szCs w:val="20"/>
              </w:rPr>
              <w:t>3.73E-03</w:t>
            </w:r>
          </w:p>
        </w:tc>
        <w:tc>
          <w:tcPr>
            <w:tcW w:w="1004" w:type="dxa"/>
            <w:shd w:val="clear" w:color="auto" w:fill="auto"/>
            <w:noWrap/>
            <w:vAlign w:val="center"/>
          </w:tcPr>
          <w:p w14:paraId="593A82D9" w14:textId="77777777" w:rsidR="006703A2" w:rsidRPr="00C47F2F" w:rsidRDefault="006703A2" w:rsidP="006243FB">
            <w:pPr>
              <w:pStyle w:val="Table"/>
              <w:rPr>
                <w:noProof/>
                <w:sz w:val="20"/>
                <w:szCs w:val="20"/>
              </w:rPr>
            </w:pPr>
            <w:r w:rsidRPr="00C47F2F">
              <w:rPr>
                <w:noProof/>
                <w:sz w:val="20"/>
                <w:szCs w:val="20"/>
              </w:rPr>
              <w:t>4.08E-03</w:t>
            </w:r>
          </w:p>
        </w:tc>
      </w:tr>
      <w:tr w:rsidR="006703A2" w:rsidRPr="00972C81" w14:paraId="58792D4B" w14:textId="77777777" w:rsidTr="006243FB">
        <w:trPr>
          <w:trHeight w:val="340"/>
        </w:trPr>
        <w:tc>
          <w:tcPr>
            <w:tcW w:w="2994" w:type="dxa"/>
            <w:shd w:val="clear" w:color="auto" w:fill="auto"/>
            <w:noWrap/>
            <w:vAlign w:val="center"/>
          </w:tcPr>
          <w:p w14:paraId="7482DB89" w14:textId="0BFCA9B9" w:rsidR="006703A2" w:rsidRPr="006703A2" w:rsidRDefault="006703A2" w:rsidP="006243FB">
            <w:pPr>
              <w:pStyle w:val="Table"/>
              <w:rPr>
                <w:noProof/>
                <w:sz w:val="20"/>
                <w:szCs w:val="22"/>
              </w:rPr>
            </w:pPr>
            <w:r w:rsidRPr="006703A2">
              <w:rPr>
                <w:noProof/>
                <w:sz w:val="20"/>
                <w:szCs w:val="22"/>
              </w:rPr>
              <w:t>Blood to Ovaries</w:t>
            </w:r>
          </w:p>
        </w:tc>
        <w:tc>
          <w:tcPr>
            <w:tcW w:w="1005" w:type="dxa"/>
            <w:shd w:val="clear" w:color="auto" w:fill="auto"/>
            <w:noWrap/>
            <w:vAlign w:val="center"/>
          </w:tcPr>
          <w:p w14:paraId="5B2D018B" w14:textId="77777777" w:rsidR="006703A2" w:rsidRPr="00C47F2F" w:rsidRDefault="006703A2" w:rsidP="006243FB">
            <w:pPr>
              <w:pStyle w:val="Table"/>
              <w:rPr>
                <w:noProof/>
                <w:sz w:val="20"/>
                <w:szCs w:val="20"/>
              </w:rPr>
            </w:pPr>
            <w:r w:rsidRPr="00C47F2F">
              <w:rPr>
                <w:noProof/>
                <w:sz w:val="20"/>
                <w:szCs w:val="20"/>
              </w:rPr>
              <w:t>1.40E-04</w:t>
            </w:r>
          </w:p>
        </w:tc>
        <w:tc>
          <w:tcPr>
            <w:tcW w:w="1006" w:type="dxa"/>
            <w:shd w:val="clear" w:color="auto" w:fill="auto"/>
            <w:noWrap/>
            <w:vAlign w:val="center"/>
          </w:tcPr>
          <w:p w14:paraId="68A10530" w14:textId="77777777" w:rsidR="006703A2" w:rsidRPr="00C47F2F" w:rsidRDefault="006703A2" w:rsidP="006243FB">
            <w:pPr>
              <w:pStyle w:val="Table"/>
              <w:rPr>
                <w:noProof/>
                <w:sz w:val="20"/>
                <w:szCs w:val="20"/>
              </w:rPr>
            </w:pPr>
            <w:r w:rsidRPr="00C47F2F">
              <w:rPr>
                <w:noProof/>
                <w:sz w:val="20"/>
                <w:szCs w:val="20"/>
              </w:rPr>
              <w:t>1.86E-04</w:t>
            </w:r>
          </w:p>
        </w:tc>
        <w:tc>
          <w:tcPr>
            <w:tcW w:w="1006" w:type="dxa"/>
            <w:shd w:val="clear" w:color="auto" w:fill="auto"/>
            <w:noWrap/>
            <w:vAlign w:val="center"/>
          </w:tcPr>
          <w:p w14:paraId="0450FE86" w14:textId="77777777" w:rsidR="006703A2" w:rsidRPr="00C47F2F" w:rsidRDefault="006703A2" w:rsidP="006243FB">
            <w:pPr>
              <w:pStyle w:val="Table"/>
              <w:rPr>
                <w:noProof/>
                <w:sz w:val="20"/>
                <w:szCs w:val="20"/>
              </w:rPr>
            </w:pPr>
            <w:r w:rsidRPr="00C47F2F">
              <w:rPr>
                <w:noProof/>
                <w:sz w:val="20"/>
                <w:szCs w:val="20"/>
              </w:rPr>
              <w:t>4.66E-04</w:t>
            </w:r>
          </w:p>
        </w:tc>
        <w:tc>
          <w:tcPr>
            <w:tcW w:w="1006" w:type="dxa"/>
            <w:shd w:val="clear" w:color="auto" w:fill="auto"/>
            <w:noWrap/>
            <w:vAlign w:val="center"/>
          </w:tcPr>
          <w:p w14:paraId="3241065D" w14:textId="77777777" w:rsidR="006703A2" w:rsidRPr="00C47F2F" w:rsidRDefault="006703A2" w:rsidP="006243FB">
            <w:pPr>
              <w:pStyle w:val="Table"/>
              <w:rPr>
                <w:noProof/>
                <w:sz w:val="20"/>
                <w:szCs w:val="20"/>
              </w:rPr>
            </w:pPr>
            <w:r w:rsidRPr="00C47F2F">
              <w:rPr>
                <w:noProof/>
                <w:sz w:val="20"/>
                <w:szCs w:val="20"/>
              </w:rPr>
              <w:t>8.15E-04</w:t>
            </w:r>
          </w:p>
        </w:tc>
        <w:tc>
          <w:tcPr>
            <w:tcW w:w="1006" w:type="dxa"/>
            <w:shd w:val="clear" w:color="auto" w:fill="auto"/>
            <w:noWrap/>
            <w:vAlign w:val="center"/>
          </w:tcPr>
          <w:p w14:paraId="039DF3A8" w14:textId="77777777" w:rsidR="006703A2" w:rsidRPr="00C47F2F" w:rsidRDefault="006703A2" w:rsidP="006243FB">
            <w:pPr>
              <w:pStyle w:val="Table"/>
              <w:rPr>
                <w:noProof/>
                <w:sz w:val="20"/>
                <w:szCs w:val="20"/>
              </w:rPr>
            </w:pPr>
            <w:r w:rsidRPr="00C47F2F">
              <w:rPr>
                <w:noProof/>
                <w:sz w:val="20"/>
                <w:szCs w:val="20"/>
              </w:rPr>
              <w:t>1.40E-03</w:t>
            </w:r>
          </w:p>
        </w:tc>
        <w:tc>
          <w:tcPr>
            <w:tcW w:w="1004" w:type="dxa"/>
            <w:shd w:val="clear" w:color="auto" w:fill="auto"/>
            <w:noWrap/>
            <w:vAlign w:val="center"/>
          </w:tcPr>
          <w:p w14:paraId="5D992DA6" w14:textId="77777777" w:rsidR="006703A2" w:rsidRPr="00C47F2F" w:rsidRDefault="006703A2" w:rsidP="006243FB">
            <w:pPr>
              <w:pStyle w:val="Table"/>
              <w:rPr>
                <w:noProof/>
                <w:sz w:val="20"/>
                <w:szCs w:val="20"/>
              </w:rPr>
            </w:pPr>
            <w:r w:rsidRPr="00C47F2F">
              <w:rPr>
                <w:noProof/>
                <w:sz w:val="20"/>
                <w:szCs w:val="20"/>
              </w:rPr>
              <w:t>1.28E-03</w:t>
            </w:r>
          </w:p>
        </w:tc>
      </w:tr>
      <w:tr w:rsidR="006703A2" w:rsidRPr="00972C81" w14:paraId="13D94E24" w14:textId="77777777" w:rsidTr="006243FB">
        <w:trPr>
          <w:trHeight w:val="340"/>
        </w:trPr>
        <w:tc>
          <w:tcPr>
            <w:tcW w:w="2994" w:type="dxa"/>
            <w:shd w:val="clear" w:color="auto" w:fill="auto"/>
            <w:noWrap/>
            <w:vAlign w:val="center"/>
          </w:tcPr>
          <w:p w14:paraId="3BCB76FB" w14:textId="00158E7F" w:rsidR="006703A2" w:rsidRPr="006703A2" w:rsidRDefault="006703A2" w:rsidP="006243FB">
            <w:pPr>
              <w:pStyle w:val="Table"/>
              <w:rPr>
                <w:noProof/>
                <w:sz w:val="20"/>
                <w:szCs w:val="22"/>
              </w:rPr>
            </w:pPr>
            <w:r w:rsidRPr="006703A2">
              <w:rPr>
                <w:noProof/>
                <w:sz w:val="20"/>
                <w:szCs w:val="22"/>
              </w:rPr>
              <w:t>Blood to Urinary bladder cont</w:t>
            </w:r>
          </w:p>
        </w:tc>
        <w:tc>
          <w:tcPr>
            <w:tcW w:w="1005" w:type="dxa"/>
            <w:shd w:val="clear" w:color="auto" w:fill="auto"/>
            <w:noWrap/>
            <w:vAlign w:val="center"/>
          </w:tcPr>
          <w:p w14:paraId="07A041C5" w14:textId="77777777" w:rsidR="006703A2" w:rsidRPr="00C47F2F" w:rsidRDefault="006703A2" w:rsidP="006243FB">
            <w:pPr>
              <w:pStyle w:val="Table"/>
              <w:rPr>
                <w:noProof/>
                <w:sz w:val="20"/>
                <w:szCs w:val="20"/>
              </w:rPr>
            </w:pPr>
            <w:r w:rsidRPr="00C47F2F">
              <w:rPr>
                <w:noProof/>
                <w:sz w:val="20"/>
                <w:szCs w:val="20"/>
              </w:rPr>
              <w:t>1.51E+00</w:t>
            </w:r>
          </w:p>
        </w:tc>
        <w:tc>
          <w:tcPr>
            <w:tcW w:w="1006" w:type="dxa"/>
            <w:shd w:val="clear" w:color="auto" w:fill="auto"/>
            <w:noWrap/>
            <w:vAlign w:val="center"/>
          </w:tcPr>
          <w:p w14:paraId="2A07DA17" w14:textId="77777777" w:rsidR="006703A2" w:rsidRPr="00C47F2F" w:rsidRDefault="006703A2" w:rsidP="006243FB">
            <w:pPr>
              <w:pStyle w:val="Table"/>
              <w:rPr>
                <w:noProof/>
                <w:sz w:val="20"/>
                <w:szCs w:val="20"/>
              </w:rPr>
            </w:pPr>
            <w:r w:rsidRPr="00C47F2F">
              <w:rPr>
                <w:noProof/>
                <w:sz w:val="20"/>
                <w:szCs w:val="20"/>
              </w:rPr>
              <w:t>1.51E+00</w:t>
            </w:r>
          </w:p>
        </w:tc>
        <w:tc>
          <w:tcPr>
            <w:tcW w:w="1006" w:type="dxa"/>
            <w:shd w:val="clear" w:color="auto" w:fill="auto"/>
            <w:noWrap/>
            <w:vAlign w:val="center"/>
          </w:tcPr>
          <w:p w14:paraId="0A466EB0" w14:textId="77777777" w:rsidR="006703A2" w:rsidRPr="00C47F2F" w:rsidRDefault="006703A2" w:rsidP="006243FB">
            <w:pPr>
              <w:pStyle w:val="Table"/>
              <w:rPr>
                <w:noProof/>
                <w:sz w:val="20"/>
                <w:szCs w:val="20"/>
              </w:rPr>
            </w:pPr>
            <w:r w:rsidRPr="00C47F2F">
              <w:rPr>
                <w:noProof/>
                <w:sz w:val="20"/>
                <w:szCs w:val="20"/>
              </w:rPr>
              <w:t>1.51E+00</w:t>
            </w:r>
          </w:p>
        </w:tc>
        <w:tc>
          <w:tcPr>
            <w:tcW w:w="1006" w:type="dxa"/>
            <w:shd w:val="clear" w:color="auto" w:fill="auto"/>
            <w:noWrap/>
            <w:vAlign w:val="center"/>
          </w:tcPr>
          <w:p w14:paraId="4B11109B" w14:textId="77777777" w:rsidR="006703A2" w:rsidRPr="00C47F2F" w:rsidRDefault="006703A2" w:rsidP="006243FB">
            <w:pPr>
              <w:pStyle w:val="Table"/>
              <w:rPr>
                <w:noProof/>
                <w:sz w:val="20"/>
                <w:szCs w:val="20"/>
              </w:rPr>
            </w:pPr>
            <w:r w:rsidRPr="00C47F2F">
              <w:rPr>
                <w:noProof/>
                <w:sz w:val="20"/>
                <w:szCs w:val="20"/>
              </w:rPr>
              <w:t>1.51E+00</w:t>
            </w:r>
          </w:p>
        </w:tc>
        <w:tc>
          <w:tcPr>
            <w:tcW w:w="1006" w:type="dxa"/>
            <w:shd w:val="clear" w:color="auto" w:fill="auto"/>
            <w:noWrap/>
            <w:vAlign w:val="center"/>
          </w:tcPr>
          <w:p w14:paraId="68B6ECC3" w14:textId="77777777" w:rsidR="006703A2" w:rsidRPr="00C47F2F" w:rsidRDefault="006703A2" w:rsidP="006243FB">
            <w:pPr>
              <w:pStyle w:val="Table"/>
              <w:rPr>
                <w:noProof/>
                <w:sz w:val="20"/>
                <w:szCs w:val="20"/>
              </w:rPr>
            </w:pPr>
            <w:r w:rsidRPr="00C47F2F">
              <w:rPr>
                <w:noProof/>
                <w:sz w:val="20"/>
                <w:szCs w:val="20"/>
              </w:rPr>
              <w:t>1.51E+00</w:t>
            </w:r>
          </w:p>
        </w:tc>
        <w:tc>
          <w:tcPr>
            <w:tcW w:w="1004" w:type="dxa"/>
            <w:shd w:val="clear" w:color="auto" w:fill="auto"/>
            <w:noWrap/>
            <w:vAlign w:val="center"/>
          </w:tcPr>
          <w:p w14:paraId="4CA5E89B" w14:textId="77777777" w:rsidR="006703A2" w:rsidRPr="00C47F2F" w:rsidRDefault="006703A2" w:rsidP="006243FB">
            <w:pPr>
              <w:pStyle w:val="Table"/>
              <w:rPr>
                <w:noProof/>
                <w:sz w:val="20"/>
                <w:szCs w:val="20"/>
              </w:rPr>
            </w:pPr>
            <w:r w:rsidRPr="00C47F2F">
              <w:rPr>
                <w:noProof/>
                <w:sz w:val="20"/>
                <w:szCs w:val="20"/>
              </w:rPr>
              <w:t>1.51E+00</w:t>
            </w:r>
          </w:p>
        </w:tc>
      </w:tr>
      <w:tr w:rsidR="006703A2" w:rsidRPr="00972C81" w14:paraId="26D7EC35" w14:textId="77777777" w:rsidTr="006243FB">
        <w:trPr>
          <w:trHeight w:val="340"/>
        </w:trPr>
        <w:tc>
          <w:tcPr>
            <w:tcW w:w="2994" w:type="dxa"/>
            <w:shd w:val="clear" w:color="auto" w:fill="auto"/>
            <w:noWrap/>
            <w:vAlign w:val="center"/>
          </w:tcPr>
          <w:p w14:paraId="129767AA" w14:textId="1521E8E3" w:rsidR="006703A2" w:rsidRPr="006703A2" w:rsidRDefault="006703A2" w:rsidP="006243FB">
            <w:pPr>
              <w:pStyle w:val="Table"/>
              <w:rPr>
                <w:noProof/>
                <w:sz w:val="20"/>
                <w:szCs w:val="22"/>
              </w:rPr>
            </w:pPr>
            <w:r w:rsidRPr="006703A2">
              <w:rPr>
                <w:noProof/>
                <w:sz w:val="20"/>
                <w:szCs w:val="22"/>
              </w:rPr>
              <w:t>Liver 1 to SI-cont</w:t>
            </w:r>
          </w:p>
        </w:tc>
        <w:tc>
          <w:tcPr>
            <w:tcW w:w="1005" w:type="dxa"/>
            <w:shd w:val="clear" w:color="auto" w:fill="auto"/>
            <w:noWrap/>
            <w:vAlign w:val="center"/>
          </w:tcPr>
          <w:p w14:paraId="55709B28" w14:textId="77777777" w:rsidR="006703A2" w:rsidRPr="00C47F2F" w:rsidRDefault="006703A2" w:rsidP="006243FB">
            <w:pPr>
              <w:pStyle w:val="Table"/>
              <w:rPr>
                <w:noProof/>
                <w:sz w:val="20"/>
                <w:szCs w:val="20"/>
              </w:rPr>
            </w:pPr>
            <w:r w:rsidRPr="00C47F2F">
              <w:rPr>
                <w:noProof/>
                <w:sz w:val="20"/>
                <w:szCs w:val="20"/>
              </w:rPr>
              <w:t>6.00E-04</w:t>
            </w:r>
          </w:p>
        </w:tc>
        <w:tc>
          <w:tcPr>
            <w:tcW w:w="1006" w:type="dxa"/>
            <w:shd w:val="clear" w:color="auto" w:fill="auto"/>
            <w:noWrap/>
            <w:vAlign w:val="center"/>
          </w:tcPr>
          <w:p w14:paraId="5BFD226C" w14:textId="77777777" w:rsidR="006703A2" w:rsidRPr="00C47F2F" w:rsidRDefault="006703A2" w:rsidP="006243FB">
            <w:pPr>
              <w:pStyle w:val="Table"/>
              <w:rPr>
                <w:noProof/>
                <w:sz w:val="20"/>
                <w:szCs w:val="20"/>
              </w:rPr>
            </w:pPr>
            <w:r w:rsidRPr="00C47F2F">
              <w:rPr>
                <w:noProof/>
                <w:sz w:val="20"/>
                <w:szCs w:val="20"/>
              </w:rPr>
              <w:t>6.00E-04</w:t>
            </w:r>
          </w:p>
        </w:tc>
        <w:tc>
          <w:tcPr>
            <w:tcW w:w="1006" w:type="dxa"/>
            <w:shd w:val="clear" w:color="auto" w:fill="auto"/>
            <w:noWrap/>
            <w:vAlign w:val="center"/>
          </w:tcPr>
          <w:p w14:paraId="191E81B9" w14:textId="77777777" w:rsidR="006703A2" w:rsidRPr="00C47F2F" w:rsidRDefault="006703A2" w:rsidP="006243FB">
            <w:pPr>
              <w:pStyle w:val="Table"/>
              <w:rPr>
                <w:noProof/>
                <w:sz w:val="20"/>
                <w:szCs w:val="20"/>
              </w:rPr>
            </w:pPr>
            <w:r w:rsidRPr="00C47F2F">
              <w:rPr>
                <w:noProof/>
                <w:sz w:val="20"/>
                <w:szCs w:val="20"/>
              </w:rPr>
              <w:t>6.00E-04</w:t>
            </w:r>
          </w:p>
        </w:tc>
        <w:tc>
          <w:tcPr>
            <w:tcW w:w="1006" w:type="dxa"/>
            <w:shd w:val="clear" w:color="auto" w:fill="auto"/>
            <w:noWrap/>
            <w:vAlign w:val="center"/>
          </w:tcPr>
          <w:p w14:paraId="42634CAE" w14:textId="77777777" w:rsidR="006703A2" w:rsidRPr="00C47F2F" w:rsidRDefault="006703A2" w:rsidP="006243FB">
            <w:pPr>
              <w:pStyle w:val="Table"/>
              <w:rPr>
                <w:noProof/>
                <w:sz w:val="20"/>
                <w:szCs w:val="20"/>
              </w:rPr>
            </w:pPr>
            <w:r w:rsidRPr="00C47F2F">
              <w:rPr>
                <w:noProof/>
                <w:sz w:val="20"/>
                <w:szCs w:val="20"/>
              </w:rPr>
              <w:t>6.00E-04</w:t>
            </w:r>
          </w:p>
        </w:tc>
        <w:tc>
          <w:tcPr>
            <w:tcW w:w="1006" w:type="dxa"/>
            <w:shd w:val="clear" w:color="auto" w:fill="auto"/>
            <w:noWrap/>
            <w:vAlign w:val="center"/>
          </w:tcPr>
          <w:p w14:paraId="76818B12" w14:textId="77777777" w:rsidR="006703A2" w:rsidRPr="00C47F2F" w:rsidRDefault="006703A2" w:rsidP="006243FB">
            <w:pPr>
              <w:pStyle w:val="Table"/>
              <w:rPr>
                <w:noProof/>
                <w:sz w:val="20"/>
                <w:szCs w:val="20"/>
              </w:rPr>
            </w:pPr>
            <w:r w:rsidRPr="00C47F2F">
              <w:rPr>
                <w:noProof/>
                <w:sz w:val="20"/>
                <w:szCs w:val="20"/>
              </w:rPr>
              <w:t>6.00E-04</w:t>
            </w:r>
          </w:p>
        </w:tc>
        <w:tc>
          <w:tcPr>
            <w:tcW w:w="1004" w:type="dxa"/>
            <w:shd w:val="clear" w:color="auto" w:fill="auto"/>
            <w:noWrap/>
            <w:vAlign w:val="center"/>
          </w:tcPr>
          <w:p w14:paraId="62C125E7" w14:textId="77777777" w:rsidR="006703A2" w:rsidRPr="00C47F2F" w:rsidRDefault="006703A2" w:rsidP="006243FB">
            <w:pPr>
              <w:pStyle w:val="Table"/>
              <w:rPr>
                <w:noProof/>
                <w:sz w:val="20"/>
                <w:szCs w:val="20"/>
              </w:rPr>
            </w:pPr>
            <w:r w:rsidRPr="00C47F2F">
              <w:rPr>
                <w:noProof/>
                <w:sz w:val="20"/>
                <w:szCs w:val="20"/>
              </w:rPr>
              <w:t>6.00E-04</w:t>
            </w:r>
          </w:p>
        </w:tc>
      </w:tr>
      <w:tr w:rsidR="006703A2" w:rsidRPr="00972C81" w14:paraId="525B2122" w14:textId="77777777" w:rsidTr="006243FB">
        <w:trPr>
          <w:trHeight w:val="340"/>
        </w:trPr>
        <w:tc>
          <w:tcPr>
            <w:tcW w:w="2994" w:type="dxa"/>
            <w:shd w:val="clear" w:color="auto" w:fill="auto"/>
            <w:noWrap/>
            <w:vAlign w:val="center"/>
          </w:tcPr>
          <w:p w14:paraId="448D6633" w14:textId="25766CFB" w:rsidR="006703A2" w:rsidRPr="006703A2" w:rsidRDefault="006703A2" w:rsidP="006243FB">
            <w:pPr>
              <w:pStyle w:val="Table"/>
              <w:rPr>
                <w:noProof/>
                <w:sz w:val="20"/>
                <w:szCs w:val="22"/>
              </w:rPr>
            </w:pPr>
            <w:r w:rsidRPr="006703A2">
              <w:rPr>
                <w:noProof/>
                <w:sz w:val="20"/>
                <w:szCs w:val="22"/>
              </w:rPr>
              <w:t>Liver 1 to Liver 2</w:t>
            </w:r>
          </w:p>
        </w:tc>
        <w:tc>
          <w:tcPr>
            <w:tcW w:w="1005" w:type="dxa"/>
            <w:shd w:val="clear" w:color="auto" w:fill="auto"/>
            <w:noWrap/>
            <w:vAlign w:val="center"/>
          </w:tcPr>
          <w:p w14:paraId="7F968E29" w14:textId="77777777" w:rsidR="006703A2" w:rsidRPr="00C47F2F" w:rsidRDefault="006703A2" w:rsidP="006243FB">
            <w:pPr>
              <w:pStyle w:val="Table"/>
              <w:rPr>
                <w:noProof/>
                <w:sz w:val="20"/>
                <w:szCs w:val="20"/>
              </w:rPr>
            </w:pPr>
            <w:r w:rsidRPr="00C47F2F">
              <w:rPr>
                <w:noProof/>
                <w:sz w:val="20"/>
                <w:szCs w:val="20"/>
              </w:rPr>
              <w:t>2.25E-02</w:t>
            </w:r>
          </w:p>
        </w:tc>
        <w:tc>
          <w:tcPr>
            <w:tcW w:w="1006" w:type="dxa"/>
            <w:shd w:val="clear" w:color="auto" w:fill="auto"/>
            <w:noWrap/>
            <w:vAlign w:val="center"/>
          </w:tcPr>
          <w:p w14:paraId="4DD8C0B7" w14:textId="77777777" w:rsidR="006703A2" w:rsidRPr="00C47F2F" w:rsidRDefault="006703A2" w:rsidP="006243FB">
            <w:pPr>
              <w:pStyle w:val="Table"/>
              <w:rPr>
                <w:noProof/>
                <w:sz w:val="20"/>
                <w:szCs w:val="20"/>
              </w:rPr>
            </w:pPr>
            <w:r w:rsidRPr="00C47F2F">
              <w:rPr>
                <w:noProof/>
                <w:sz w:val="20"/>
                <w:szCs w:val="20"/>
              </w:rPr>
              <w:t>2.25E-02</w:t>
            </w:r>
          </w:p>
        </w:tc>
        <w:tc>
          <w:tcPr>
            <w:tcW w:w="1006" w:type="dxa"/>
            <w:shd w:val="clear" w:color="auto" w:fill="auto"/>
            <w:noWrap/>
            <w:vAlign w:val="center"/>
          </w:tcPr>
          <w:p w14:paraId="0F66160F" w14:textId="77777777" w:rsidR="006703A2" w:rsidRPr="00C47F2F" w:rsidRDefault="006703A2" w:rsidP="006243FB">
            <w:pPr>
              <w:pStyle w:val="Table"/>
              <w:rPr>
                <w:noProof/>
                <w:sz w:val="20"/>
                <w:szCs w:val="20"/>
              </w:rPr>
            </w:pPr>
            <w:r w:rsidRPr="00C47F2F">
              <w:rPr>
                <w:noProof/>
                <w:sz w:val="20"/>
                <w:szCs w:val="20"/>
              </w:rPr>
              <w:t>2.25E-02</w:t>
            </w:r>
          </w:p>
        </w:tc>
        <w:tc>
          <w:tcPr>
            <w:tcW w:w="1006" w:type="dxa"/>
            <w:shd w:val="clear" w:color="auto" w:fill="auto"/>
            <w:noWrap/>
            <w:vAlign w:val="center"/>
          </w:tcPr>
          <w:p w14:paraId="5A68EE4D" w14:textId="77777777" w:rsidR="006703A2" w:rsidRPr="00C47F2F" w:rsidRDefault="006703A2" w:rsidP="006243FB">
            <w:pPr>
              <w:pStyle w:val="Table"/>
              <w:rPr>
                <w:noProof/>
                <w:sz w:val="20"/>
                <w:szCs w:val="20"/>
              </w:rPr>
            </w:pPr>
            <w:r w:rsidRPr="00C47F2F">
              <w:rPr>
                <w:noProof/>
                <w:sz w:val="20"/>
                <w:szCs w:val="20"/>
              </w:rPr>
              <w:t>2.25E-02</w:t>
            </w:r>
          </w:p>
        </w:tc>
        <w:tc>
          <w:tcPr>
            <w:tcW w:w="1006" w:type="dxa"/>
            <w:shd w:val="clear" w:color="auto" w:fill="auto"/>
            <w:noWrap/>
            <w:vAlign w:val="center"/>
          </w:tcPr>
          <w:p w14:paraId="068AEA4D" w14:textId="77777777" w:rsidR="006703A2" w:rsidRPr="00C47F2F" w:rsidRDefault="006703A2" w:rsidP="006243FB">
            <w:pPr>
              <w:pStyle w:val="Table"/>
              <w:rPr>
                <w:noProof/>
                <w:sz w:val="20"/>
                <w:szCs w:val="20"/>
              </w:rPr>
            </w:pPr>
            <w:r w:rsidRPr="00C47F2F">
              <w:rPr>
                <w:noProof/>
                <w:sz w:val="20"/>
                <w:szCs w:val="20"/>
              </w:rPr>
              <w:t>2.25E-02</w:t>
            </w:r>
          </w:p>
        </w:tc>
        <w:tc>
          <w:tcPr>
            <w:tcW w:w="1004" w:type="dxa"/>
            <w:shd w:val="clear" w:color="auto" w:fill="auto"/>
            <w:noWrap/>
            <w:vAlign w:val="center"/>
          </w:tcPr>
          <w:p w14:paraId="1A4B35C9" w14:textId="77777777" w:rsidR="006703A2" w:rsidRPr="00C47F2F" w:rsidRDefault="006703A2" w:rsidP="006243FB">
            <w:pPr>
              <w:pStyle w:val="Table"/>
              <w:rPr>
                <w:noProof/>
                <w:sz w:val="20"/>
                <w:szCs w:val="20"/>
              </w:rPr>
            </w:pPr>
            <w:r w:rsidRPr="00C47F2F">
              <w:rPr>
                <w:noProof/>
                <w:sz w:val="20"/>
                <w:szCs w:val="20"/>
              </w:rPr>
              <w:t>2.25E-02</w:t>
            </w:r>
          </w:p>
        </w:tc>
      </w:tr>
      <w:tr w:rsidR="006703A2" w:rsidRPr="00972C81" w14:paraId="0F43DEB5" w14:textId="77777777" w:rsidTr="006243FB">
        <w:trPr>
          <w:trHeight w:val="340"/>
        </w:trPr>
        <w:tc>
          <w:tcPr>
            <w:tcW w:w="2994" w:type="dxa"/>
            <w:shd w:val="clear" w:color="auto" w:fill="auto"/>
            <w:noWrap/>
            <w:vAlign w:val="center"/>
          </w:tcPr>
          <w:p w14:paraId="0D12E946" w14:textId="604EBDB4" w:rsidR="006703A2" w:rsidRPr="006703A2" w:rsidRDefault="006703A2" w:rsidP="006243FB">
            <w:pPr>
              <w:pStyle w:val="Table"/>
              <w:rPr>
                <w:noProof/>
                <w:sz w:val="20"/>
                <w:szCs w:val="22"/>
              </w:rPr>
            </w:pPr>
            <w:r w:rsidRPr="006703A2">
              <w:rPr>
                <w:noProof/>
                <w:sz w:val="20"/>
                <w:szCs w:val="22"/>
              </w:rPr>
              <w:t>Liver 2 to Blood</w:t>
            </w:r>
          </w:p>
        </w:tc>
        <w:tc>
          <w:tcPr>
            <w:tcW w:w="1005" w:type="dxa"/>
            <w:shd w:val="clear" w:color="auto" w:fill="auto"/>
            <w:noWrap/>
            <w:vAlign w:val="center"/>
          </w:tcPr>
          <w:p w14:paraId="298BE6B1" w14:textId="77777777" w:rsidR="006703A2" w:rsidRPr="00C47F2F" w:rsidRDefault="006703A2" w:rsidP="006243FB">
            <w:pPr>
              <w:pStyle w:val="Table"/>
              <w:rPr>
                <w:noProof/>
                <w:sz w:val="20"/>
                <w:szCs w:val="20"/>
              </w:rPr>
            </w:pPr>
            <w:r w:rsidRPr="00C47F2F">
              <w:rPr>
                <w:noProof/>
                <w:sz w:val="20"/>
                <w:szCs w:val="20"/>
              </w:rPr>
              <w:t>1.90E-03</w:t>
            </w:r>
          </w:p>
        </w:tc>
        <w:tc>
          <w:tcPr>
            <w:tcW w:w="1006" w:type="dxa"/>
            <w:shd w:val="clear" w:color="auto" w:fill="auto"/>
            <w:noWrap/>
            <w:vAlign w:val="center"/>
          </w:tcPr>
          <w:p w14:paraId="771DD9FB" w14:textId="77777777" w:rsidR="006703A2" w:rsidRPr="00C47F2F" w:rsidRDefault="006703A2" w:rsidP="006243FB">
            <w:pPr>
              <w:pStyle w:val="Table"/>
              <w:rPr>
                <w:noProof/>
                <w:sz w:val="20"/>
                <w:szCs w:val="20"/>
              </w:rPr>
            </w:pPr>
            <w:r w:rsidRPr="00C47F2F">
              <w:rPr>
                <w:noProof/>
                <w:sz w:val="20"/>
                <w:szCs w:val="20"/>
              </w:rPr>
              <w:t>1.90E-03</w:t>
            </w:r>
          </w:p>
        </w:tc>
        <w:tc>
          <w:tcPr>
            <w:tcW w:w="1006" w:type="dxa"/>
            <w:shd w:val="clear" w:color="auto" w:fill="auto"/>
            <w:noWrap/>
            <w:vAlign w:val="center"/>
          </w:tcPr>
          <w:p w14:paraId="4F406F8A" w14:textId="77777777" w:rsidR="006703A2" w:rsidRPr="00C47F2F" w:rsidRDefault="006703A2" w:rsidP="006243FB">
            <w:pPr>
              <w:pStyle w:val="Table"/>
              <w:rPr>
                <w:noProof/>
                <w:sz w:val="20"/>
                <w:szCs w:val="20"/>
              </w:rPr>
            </w:pPr>
            <w:r w:rsidRPr="00C47F2F">
              <w:rPr>
                <w:noProof/>
                <w:sz w:val="20"/>
                <w:szCs w:val="20"/>
              </w:rPr>
              <w:t>1.90E-03</w:t>
            </w:r>
          </w:p>
        </w:tc>
        <w:tc>
          <w:tcPr>
            <w:tcW w:w="1006" w:type="dxa"/>
            <w:shd w:val="clear" w:color="auto" w:fill="auto"/>
            <w:noWrap/>
            <w:vAlign w:val="center"/>
          </w:tcPr>
          <w:p w14:paraId="7603D69F" w14:textId="77777777" w:rsidR="006703A2" w:rsidRPr="00C47F2F" w:rsidRDefault="006703A2" w:rsidP="006243FB">
            <w:pPr>
              <w:pStyle w:val="Table"/>
              <w:rPr>
                <w:noProof/>
                <w:sz w:val="20"/>
                <w:szCs w:val="20"/>
              </w:rPr>
            </w:pPr>
            <w:r w:rsidRPr="00C47F2F">
              <w:rPr>
                <w:noProof/>
                <w:sz w:val="20"/>
                <w:szCs w:val="20"/>
              </w:rPr>
              <w:t>1.90E-03</w:t>
            </w:r>
          </w:p>
        </w:tc>
        <w:tc>
          <w:tcPr>
            <w:tcW w:w="1006" w:type="dxa"/>
            <w:shd w:val="clear" w:color="auto" w:fill="auto"/>
            <w:noWrap/>
            <w:vAlign w:val="center"/>
          </w:tcPr>
          <w:p w14:paraId="0C4D9BA2" w14:textId="77777777" w:rsidR="006703A2" w:rsidRPr="00C47F2F" w:rsidRDefault="006703A2" w:rsidP="006243FB">
            <w:pPr>
              <w:pStyle w:val="Table"/>
              <w:rPr>
                <w:noProof/>
                <w:sz w:val="20"/>
                <w:szCs w:val="20"/>
              </w:rPr>
            </w:pPr>
            <w:r w:rsidRPr="00C47F2F">
              <w:rPr>
                <w:noProof/>
                <w:sz w:val="20"/>
                <w:szCs w:val="20"/>
              </w:rPr>
              <w:t>1.90E-03</w:t>
            </w:r>
          </w:p>
        </w:tc>
        <w:tc>
          <w:tcPr>
            <w:tcW w:w="1004" w:type="dxa"/>
            <w:shd w:val="clear" w:color="auto" w:fill="auto"/>
            <w:noWrap/>
            <w:vAlign w:val="center"/>
          </w:tcPr>
          <w:p w14:paraId="185851B9" w14:textId="77777777" w:rsidR="006703A2" w:rsidRPr="00C47F2F" w:rsidRDefault="006703A2" w:rsidP="006243FB">
            <w:pPr>
              <w:pStyle w:val="Table"/>
              <w:rPr>
                <w:noProof/>
                <w:sz w:val="20"/>
                <w:szCs w:val="20"/>
              </w:rPr>
            </w:pPr>
            <w:r w:rsidRPr="00C47F2F">
              <w:rPr>
                <w:noProof/>
                <w:sz w:val="20"/>
                <w:szCs w:val="20"/>
              </w:rPr>
              <w:t>1.90E-03</w:t>
            </w:r>
          </w:p>
        </w:tc>
      </w:tr>
      <w:tr w:rsidR="006703A2" w:rsidRPr="00972C81" w14:paraId="068977F1" w14:textId="77777777" w:rsidTr="006243FB">
        <w:trPr>
          <w:trHeight w:val="340"/>
        </w:trPr>
        <w:tc>
          <w:tcPr>
            <w:tcW w:w="2994" w:type="dxa"/>
            <w:shd w:val="clear" w:color="auto" w:fill="auto"/>
            <w:noWrap/>
            <w:vAlign w:val="center"/>
          </w:tcPr>
          <w:p w14:paraId="39C37795" w14:textId="62DCEBE6" w:rsidR="006703A2" w:rsidRPr="006703A2" w:rsidRDefault="006703A2" w:rsidP="006243FB">
            <w:pPr>
              <w:pStyle w:val="Table"/>
              <w:rPr>
                <w:noProof/>
                <w:sz w:val="20"/>
                <w:szCs w:val="22"/>
              </w:rPr>
            </w:pPr>
            <w:r w:rsidRPr="006703A2">
              <w:rPr>
                <w:noProof/>
                <w:sz w:val="20"/>
                <w:szCs w:val="22"/>
              </w:rPr>
              <w:t>ST0 to Blood</w:t>
            </w:r>
          </w:p>
        </w:tc>
        <w:tc>
          <w:tcPr>
            <w:tcW w:w="1005" w:type="dxa"/>
            <w:shd w:val="clear" w:color="auto" w:fill="auto"/>
            <w:noWrap/>
            <w:vAlign w:val="center"/>
          </w:tcPr>
          <w:p w14:paraId="1ACF60F4" w14:textId="77777777" w:rsidR="006703A2" w:rsidRPr="00C47F2F" w:rsidRDefault="006703A2" w:rsidP="006243FB">
            <w:pPr>
              <w:pStyle w:val="Table"/>
              <w:rPr>
                <w:noProof/>
                <w:sz w:val="20"/>
                <w:szCs w:val="20"/>
              </w:rPr>
            </w:pPr>
            <w:r w:rsidRPr="00C47F2F">
              <w:rPr>
                <w:noProof/>
                <w:sz w:val="20"/>
                <w:szCs w:val="20"/>
              </w:rPr>
              <w:t>1.39E+00</w:t>
            </w:r>
          </w:p>
        </w:tc>
        <w:tc>
          <w:tcPr>
            <w:tcW w:w="1006" w:type="dxa"/>
            <w:shd w:val="clear" w:color="auto" w:fill="auto"/>
            <w:noWrap/>
            <w:vAlign w:val="center"/>
          </w:tcPr>
          <w:p w14:paraId="20C7319B" w14:textId="77777777" w:rsidR="006703A2" w:rsidRPr="00C47F2F" w:rsidRDefault="006703A2" w:rsidP="006243FB">
            <w:pPr>
              <w:pStyle w:val="Table"/>
              <w:rPr>
                <w:noProof/>
                <w:sz w:val="20"/>
                <w:szCs w:val="20"/>
              </w:rPr>
            </w:pPr>
            <w:r w:rsidRPr="00C47F2F">
              <w:rPr>
                <w:noProof/>
                <w:sz w:val="20"/>
                <w:szCs w:val="20"/>
              </w:rPr>
              <w:t>1.39E+00</w:t>
            </w:r>
          </w:p>
        </w:tc>
        <w:tc>
          <w:tcPr>
            <w:tcW w:w="1006" w:type="dxa"/>
            <w:shd w:val="clear" w:color="auto" w:fill="auto"/>
            <w:noWrap/>
            <w:vAlign w:val="center"/>
          </w:tcPr>
          <w:p w14:paraId="14C6CD4B" w14:textId="77777777" w:rsidR="006703A2" w:rsidRPr="00C47F2F" w:rsidRDefault="006703A2" w:rsidP="006243FB">
            <w:pPr>
              <w:pStyle w:val="Table"/>
              <w:rPr>
                <w:noProof/>
                <w:sz w:val="20"/>
                <w:szCs w:val="20"/>
              </w:rPr>
            </w:pPr>
            <w:r w:rsidRPr="00C47F2F">
              <w:rPr>
                <w:noProof/>
                <w:sz w:val="20"/>
                <w:szCs w:val="20"/>
              </w:rPr>
              <w:t>1.39E+00</w:t>
            </w:r>
          </w:p>
        </w:tc>
        <w:tc>
          <w:tcPr>
            <w:tcW w:w="1006" w:type="dxa"/>
            <w:shd w:val="clear" w:color="auto" w:fill="auto"/>
            <w:noWrap/>
            <w:vAlign w:val="center"/>
          </w:tcPr>
          <w:p w14:paraId="29BE82C0" w14:textId="77777777" w:rsidR="006703A2" w:rsidRPr="00C47F2F" w:rsidRDefault="006703A2" w:rsidP="006243FB">
            <w:pPr>
              <w:pStyle w:val="Table"/>
              <w:rPr>
                <w:noProof/>
                <w:sz w:val="20"/>
                <w:szCs w:val="20"/>
              </w:rPr>
            </w:pPr>
            <w:r w:rsidRPr="00C47F2F">
              <w:rPr>
                <w:noProof/>
                <w:sz w:val="20"/>
                <w:szCs w:val="20"/>
              </w:rPr>
              <w:t>1.39E+00</w:t>
            </w:r>
          </w:p>
        </w:tc>
        <w:tc>
          <w:tcPr>
            <w:tcW w:w="1006" w:type="dxa"/>
            <w:shd w:val="clear" w:color="auto" w:fill="auto"/>
            <w:noWrap/>
            <w:vAlign w:val="center"/>
          </w:tcPr>
          <w:p w14:paraId="0CAAC4B0" w14:textId="77777777" w:rsidR="006703A2" w:rsidRPr="00C47F2F" w:rsidRDefault="006703A2" w:rsidP="006243FB">
            <w:pPr>
              <w:pStyle w:val="Table"/>
              <w:rPr>
                <w:noProof/>
                <w:sz w:val="20"/>
                <w:szCs w:val="20"/>
              </w:rPr>
            </w:pPr>
            <w:r w:rsidRPr="00C47F2F">
              <w:rPr>
                <w:noProof/>
                <w:sz w:val="20"/>
                <w:szCs w:val="20"/>
              </w:rPr>
              <w:t>1.39E+00</w:t>
            </w:r>
          </w:p>
        </w:tc>
        <w:tc>
          <w:tcPr>
            <w:tcW w:w="1004" w:type="dxa"/>
            <w:shd w:val="clear" w:color="auto" w:fill="auto"/>
            <w:noWrap/>
            <w:vAlign w:val="center"/>
          </w:tcPr>
          <w:p w14:paraId="0E484B9D" w14:textId="77777777" w:rsidR="006703A2" w:rsidRPr="00C47F2F" w:rsidRDefault="006703A2" w:rsidP="006243FB">
            <w:pPr>
              <w:pStyle w:val="Table"/>
              <w:rPr>
                <w:noProof/>
                <w:sz w:val="20"/>
                <w:szCs w:val="20"/>
              </w:rPr>
            </w:pPr>
            <w:r w:rsidRPr="00C47F2F">
              <w:rPr>
                <w:noProof/>
                <w:sz w:val="20"/>
                <w:szCs w:val="20"/>
              </w:rPr>
              <w:t>1.39E+00</w:t>
            </w:r>
          </w:p>
        </w:tc>
      </w:tr>
      <w:tr w:rsidR="006703A2" w:rsidRPr="00972C81" w14:paraId="133947F3" w14:textId="77777777" w:rsidTr="006243FB">
        <w:trPr>
          <w:trHeight w:val="340"/>
        </w:trPr>
        <w:tc>
          <w:tcPr>
            <w:tcW w:w="2994" w:type="dxa"/>
            <w:shd w:val="clear" w:color="auto" w:fill="auto"/>
            <w:noWrap/>
            <w:vAlign w:val="center"/>
          </w:tcPr>
          <w:p w14:paraId="62CB0AFA" w14:textId="5052CBD1" w:rsidR="006703A2" w:rsidRPr="006703A2" w:rsidRDefault="006703A2" w:rsidP="006243FB">
            <w:pPr>
              <w:pStyle w:val="Table"/>
              <w:rPr>
                <w:noProof/>
                <w:sz w:val="20"/>
                <w:szCs w:val="22"/>
              </w:rPr>
            </w:pPr>
            <w:r w:rsidRPr="006703A2">
              <w:rPr>
                <w:noProof/>
                <w:sz w:val="20"/>
                <w:szCs w:val="22"/>
              </w:rPr>
              <w:t>ST1 to Blood</w:t>
            </w:r>
          </w:p>
        </w:tc>
        <w:tc>
          <w:tcPr>
            <w:tcW w:w="1005" w:type="dxa"/>
            <w:shd w:val="clear" w:color="auto" w:fill="auto"/>
            <w:noWrap/>
            <w:vAlign w:val="center"/>
          </w:tcPr>
          <w:p w14:paraId="2270FC07" w14:textId="77777777" w:rsidR="006703A2" w:rsidRPr="00C47F2F" w:rsidRDefault="006703A2" w:rsidP="006243FB">
            <w:pPr>
              <w:pStyle w:val="Table"/>
              <w:rPr>
                <w:noProof/>
                <w:sz w:val="20"/>
                <w:szCs w:val="20"/>
              </w:rPr>
            </w:pPr>
            <w:r w:rsidRPr="00C47F2F">
              <w:rPr>
                <w:noProof/>
                <w:sz w:val="20"/>
                <w:szCs w:val="20"/>
              </w:rPr>
              <w:t>6.93E-03</w:t>
            </w:r>
          </w:p>
        </w:tc>
        <w:tc>
          <w:tcPr>
            <w:tcW w:w="1006" w:type="dxa"/>
            <w:shd w:val="clear" w:color="auto" w:fill="auto"/>
            <w:noWrap/>
            <w:vAlign w:val="center"/>
          </w:tcPr>
          <w:p w14:paraId="63815EE6" w14:textId="77777777" w:rsidR="006703A2" w:rsidRPr="00C47F2F" w:rsidRDefault="006703A2" w:rsidP="006243FB">
            <w:pPr>
              <w:pStyle w:val="Table"/>
              <w:rPr>
                <w:noProof/>
                <w:sz w:val="20"/>
                <w:szCs w:val="20"/>
              </w:rPr>
            </w:pPr>
            <w:r w:rsidRPr="00C47F2F">
              <w:rPr>
                <w:noProof/>
                <w:sz w:val="20"/>
                <w:szCs w:val="20"/>
              </w:rPr>
              <w:t>6.93E-03</w:t>
            </w:r>
          </w:p>
        </w:tc>
        <w:tc>
          <w:tcPr>
            <w:tcW w:w="1006" w:type="dxa"/>
            <w:shd w:val="clear" w:color="auto" w:fill="auto"/>
            <w:noWrap/>
            <w:vAlign w:val="center"/>
          </w:tcPr>
          <w:p w14:paraId="75228CE5" w14:textId="77777777" w:rsidR="006703A2" w:rsidRPr="00C47F2F" w:rsidRDefault="006703A2" w:rsidP="006243FB">
            <w:pPr>
              <w:pStyle w:val="Table"/>
              <w:rPr>
                <w:noProof/>
                <w:sz w:val="20"/>
                <w:szCs w:val="20"/>
              </w:rPr>
            </w:pPr>
            <w:r w:rsidRPr="00C47F2F">
              <w:rPr>
                <w:noProof/>
                <w:sz w:val="20"/>
                <w:szCs w:val="20"/>
              </w:rPr>
              <w:t>6.93E-03</w:t>
            </w:r>
          </w:p>
        </w:tc>
        <w:tc>
          <w:tcPr>
            <w:tcW w:w="1006" w:type="dxa"/>
            <w:shd w:val="clear" w:color="auto" w:fill="auto"/>
            <w:noWrap/>
            <w:vAlign w:val="center"/>
          </w:tcPr>
          <w:p w14:paraId="49842A3F" w14:textId="77777777" w:rsidR="006703A2" w:rsidRPr="00C47F2F" w:rsidRDefault="006703A2" w:rsidP="006243FB">
            <w:pPr>
              <w:pStyle w:val="Table"/>
              <w:rPr>
                <w:noProof/>
                <w:sz w:val="20"/>
                <w:szCs w:val="20"/>
              </w:rPr>
            </w:pPr>
            <w:r w:rsidRPr="00C47F2F">
              <w:rPr>
                <w:noProof/>
                <w:sz w:val="20"/>
                <w:szCs w:val="20"/>
              </w:rPr>
              <w:t>6.93E-03</w:t>
            </w:r>
          </w:p>
        </w:tc>
        <w:tc>
          <w:tcPr>
            <w:tcW w:w="1006" w:type="dxa"/>
            <w:shd w:val="clear" w:color="auto" w:fill="auto"/>
            <w:noWrap/>
            <w:vAlign w:val="center"/>
          </w:tcPr>
          <w:p w14:paraId="6E5592DE" w14:textId="77777777" w:rsidR="006703A2" w:rsidRPr="00C47F2F" w:rsidRDefault="006703A2" w:rsidP="006243FB">
            <w:pPr>
              <w:pStyle w:val="Table"/>
              <w:rPr>
                <w:noProof/>
                <w:sz w:val="20"/>
                <w:szCs w:val="20"/>
              </w:rPr>
            </w:pPr>
            <w:r w:rsidRPr="00C47F2F">
              <w:rPr>
                <w:noProof/>
                <w:sz w:val="20"/>
                <w:szCs w:val="20"/>
              </w:rPr>
              <w:t>6.93E-03</w:t>
            </w:r>
          </w:p>
        </w:tc>
        <w:tc>
          <w:tcPr>
            <w:tcW w:w="1004" w:type="dxa"/>
            <w:shd w:val="clear" w:color="auto" w:fill="auto"/>
            <w:noWrap/>
            <w:vAlign w:val="center"/>
          </w:tcPr>
          <w:p w14:paraId="63F042A3" w14:textId="77777777" w:rsidR="006703A2" w:rsidRPr="00C47F2F" w:rsidRDefault="006703A2" w:rsidP="006243FB">
            <w:pPr>
              <w:pStyle w:val="Table"/>
              <w:rPr>
                <w:noProof/>
                <w:sz w:val="20"/>
                <w:szCs w:val="20"/>
              </w:rPr>
            </w:pPr>
            <w:r w:rsidRPr="00C47F2F">
              <w:rPr>
                <w:noProof/>
                <w:sz w:val="20"/>
                <w:szCs w:val="20"/>
              </w:rPr>
              <w:t>6.93E-03</w:t>
            </w:r>
          </w:p>
        </w:tc>
      </w:tr>
      <w:tr w:rsidR="006703A2" w:rsidRPr="00972C81" w14:paraId="6533F37F" w14:textId="77777777" w:rsidTr="006243FB">
        <w:trPr>
          <w:trHeight w:val="340"/>
        </w:trPr>
        <w:tc>
          <w:tcPr>
            <w:tcW w:w="2994" w:type="dxa"/>
            <w:shd w:val="clear" w:color="auto" w:fill="auto"/>
            <w:noWrap/>
            <w:vAlign w:val="center"/>
          </w:tcPr>
          <w:p w14:paraId="1789FBDD" w14:textId="1361F508" w:rsidR="006703A2" w:rsidRPr="006703A2" w:rsidRDefault="006703A2" w:rsidP="006243FB">
            <w:pPr>
              <w:pStyle w:val="Table"/>
              <w:rPr>
                <w:noProof/>
                <w:sz w:val="20"/>
                <w:szCs w:val="22"/>
              </w:rPr>
            </w:pPr>
            <w:r w:rsidRPr="006703A2">
              <w:rPr>
                <w:noProof/>
                <w:sz w:val="20"/>
                <w:szCs w:val="22"/>
              </w:rPr>
              <w:t>ST2 to Blood</w:t>
            </w:r>
          </w:p>
        </w:tc>
        <w:tc>
          <w:tcPr>
            <w:tcW w:w="1005" w:type="dxa"/>
            <w:shd w:val="clear" w:color="auto" w:fill="auto"/>
            <w:noWrap/>
            <w:vAlign w:val="center"/>
          </w:tcPr>
          <w:p w14:paraId="239004CF" w14:textId="77777777" w:rsidR="006703A2" w:rsidRPr="00C47F2F" w:rsidRDefault="006703A2" w:rsidP="006243FB">
            <w:pPr>
              <w:pStyle w:val="Table"/>
              <w:rPr>
                <w:noProof/>
                <w:sz w:val="20"/>
                <w:szCs w:val="20"/>
              </w:rPr>
            </w:pPr>
            <w:r w:rsidRPr="00C47F2F">
              <w:rPr>
                <w:noProof/>
                <w:sz w:val="20"/>
                <w:szCs w:val="20"/>
              </w:rPr>
              <w:t>1.90E-05</w:t>
            </w:r>
          </w:p>
        </w:tc>
        <w:tc>
          <w:tcPr>
            <w:tcW w:w="1006" w:type="dxa"/>
            <w:shd w:val="clear" w:color="auto" w:fill="auto"/>
            <w:noWrap/>
            <w:vAlign w:val="center"/>
          </w:tcPr>
          <w:p w14:paraId="67154387" w14:textId="77777777" w:rsidR="006703A2" w:rsidRPr="00C47F2F" w:rsidRDefault="006703A2" w:rsidP="006243FB">
            <w:pPr>
              <w:pStyle w:val="Table"/>
              <w:rPr>
                <w:noProof/>
                <w:sz w:val="20"/>
                <w:szCs w:val="20"/>
              </w:rPr>
            </w:pPr>
            <w:r w:rsidRPr="00C47F2F">
              <w:rPr>
                <w:noProof/>
                <w:sz w:val="20"/>
                <w:szCs w:val="20"/>
              </w:rPr>
              <w:t>1.90E-05</w:t>
            </w:r>
          </w:p>
        </w:tc>
        <w:tc>
          <w:tcPr>
            <w:tcW w:w="1006" w:type="dxa"/>
            <w:shd w:val="clear" w:color="auto" w:fill="auto"/>
            <w:noWrap/>
            <w:vAlign w:val="center"/>
          </w:tcPr>
          <w:p w14:paraId="35CC7313" w14:textId="77777777" w:rsidR="006703A2" w:rsidRPr="00C47F2F" w:rsidRDefault="006703A2" w:rsidP="006243FB">
            <w:pPr>
              <w:pStyle w:val="Table"/>
              <w:rPr>
                <w:noProof/>
                <w:sz w:val="20"/>
                <w:szCs w:val="20"/>
              </w:rPr>
            </w:pPr>
            <w:r w:rsidRPr="00C47F2F">
              <w:rPr>
                <w:noProof/>
                <w:sz w:val="20"/>
                <w:szCs w:val="20"/>
              </w:rPr>
              <w:t>1.90E-05</w:t>
            </w:r>
          </w:p>
        </w:tc>
        <w:tc>
          <w:tcPr>
            <w:tcW w:w="1006" w:type="dxa"/>
            <w:shd w:val="clear" w:color="auto" w:fill="auto"/>
            <w:noWrap/>
            <w:vAlign w:val="center"/>
          </w:tcPr>
          <w:p w14:paraId="7F67825B" w14:textId="77777777" w:rsidR="006703A2" w:rsidRPr="00C47F2F" w:rsidRDefault="006703A2" w:rsidP="006243FB">
            <w:pPr>
              <w:pStyle w:val="Table"/>
              <w:rPr>
                <w:noProof/>
                <w:sz w:val="20"/>
                <w:szCs w:val="20"/>
              </w:rPr>
            </w:pPr>
            <w:r w:rsidRPr="00C47F2F">
              <w:rPr>
                <w:noProof/>
                <w:sz w:val="20"/>
                <w:szCs w:val="20"/>
              </w:rPr>
              <w:t>1.90E-05</w:t>
            </w:r>
          </w:p>
        </w:tc>
        <w:tc>
          <w:tcPr>
            <w:tcW w:w="1006" w:type="dxa"/>
            <w:shd w:val="clear" w:color="auto" w:fill="auto"/>
            <w:noWrap/>
            <w:vAlign w:val="center"/>
          </w:tcPr>
          <w:p w14:paraId="4100D0D3" w14:textId="77777777" w:rsidR="006703A2" w:rsidRPr="00C47F2F" w:rsidRDefault="006703A2" w:rsidP="006243FB">
            <w:pPr>
              <w:pStyle w:val="Table"/>
              <w:rPr>
                <w:noProof/>
                <w:sz w:val="20"/>
                <w:szCs w:val="20"/>
              </w:rPr>
            </w:pPr>
            <w:r w:rsidRPr="00C47F2F">
              <w:rPr>
                <w:noProof/>
                <w:sz w:val="20"/>
                <w:szCs w:val="20"/>
              </w:rPr>
              <w:t>1.90E-05</w:t>
            </w:r>
          </w:p>
        </w:tc>
        <w:tc>
          <w:tcPr>
            <w:tcW w:w="1004" w:type="dxa"/>
            <w:shd w:val="clear" w:color="auto" w:fill="auto"/>
            <w:noWrap/>
            <w:vAlign w:val="center"/>
          </w:tcPr>
          <w:p w14:paraId="5757FA8E" w14:textId="77777777" w:rsidR="006703A2" w:rsidRPr="00C47F2F" w:rsidRDefault="006703A2" w:rsidP="006243FB">
            <w:pPr>
              <w:pStyle w:val="Table"/>
              <w:rPr>
                <w:noProof/>
                <w:sz w:val="20"/>
                <w:szCs w:val="20"/>
              </w:rPr>
            </w:pPr>
            <w:r w:rsidRPr="00C47F2F">
              <w:rPr>
                <w:noProof/>
                <w:sz w:val="20"/>
                <w:szCs w:val="20"/>
              </w:rPr>
              <w:t>1.90E-05</w:t>
            </w:r>
          </w:p>
        </w:tc>
      </w:tr>
      <w:tr w:rsidR="006703A2" w:rsidRPr="00972C81" w14:paraId="555CB9C6" w14:textId="77777777" w:rsidTr="006243FB">
        <w:trPr>
          <w:trHeight w:val="340"/>
        </w:trPr>
        <w:tc>
          <w:tcPr>
            <w:tcW w:w="2994" w:type="dxa"/>
            <w:shd w:val="clear" w:color="auto" w:fill="auto"/>
            <w:noWrap/>
            <w:vAlign w:val="center"/>
          </w:tcPr>
          <w:p w14:paraId="15114E25" w14:textId="77001F8E" w:rsidR="006703A2" w:rsidRPr="006703A2" w:rsidRDefault="006703A2" w:rsidP="006243FB">
            <w:pPr>
              <w:pStyle w:val="Table"/>
              <w:rPr>
                <w:noProof/>
                <w:sz w:val="20"/>
                <w:szCs w:val="22"/>
              </w:rPr>
            </w:pPr>
            <w:r w:rsidRPr="006703A2">
              <w:rPr>
                <w:noProof/>
                <w:sz w:val="20"/>
                <w:szCs w:val="22"/>
              </w:rPr>
              <w:t>Cort marrow to Blood</w:t>
            </w:r>
          </w:p>
        </w:tc>
        <w:tc>
          <w:tcPr>
            <w:tcW w:w="1005" w:type="dxa"/>
            <w:shd w:val="clear" w:color="auto" w:fill="auto"/>
            <w:noWrap/>
            <w:vAlign w:val="center"/>
          </w:tcPr>
          <w:p w14:paraId="53EF9058" w14:textId="77777777" w:rsidR="006703A2" w:rsidRPr="00C47F2F" w:rsidRDefault="006703A2" w:rsidP="006243FB">
            <w:pPr>
              <w:pStyle w:val="Table"/>
              <w:rPr>
                <w:noProof/>
                <w:sz w:val="20"/>
                <w:szCs w:val="20"/>
              </w:rPr>
            </w:pPr>
            <w:r w:rsidRPr="00C47F2F">
              <w:rPr>
                <w:noProof/>
                <w:sz w:val="20"/>
                <w:szCs w:val="20"/>
              </w:rPr>
              <w:t>7.60E-03</w:t>
            </w:r>
          </w:p>
        </w:tc>
        <w:tc>
          <w:tcPr>
            <w:tcW w:w="1006" w:type="dxa"/>
            <w:shd w:val="clear" w:color="auto" w:fill="auto"/>
            <w:noWrap/>
            <w:vAlign w:val="center"/>
          </w:tcPr>
          <w:p w14:paraId="288174EF" w14:textId="77777777" w:rsidR="006703A2" w:rsidRPr="00C47F2F" w:rsidRDefault="006703A2" w:rsidP="006243FB">
            <w:pPr>
              <w:pStyle w:val="Table"/>
              <w:rPr>
                <w:noProof/>
                <w:sz w:val="20"/>
                <w:szCs w:val="20"/>
              </w:rPr>
            </w:pPr>
            <w:r w:rsidRPr="00C47F2F">
              <w:rPr>
                <w:noProof/>
                <w:sz w:val="20"/>
                <w:szCs w:val="20"/>
              </w:rPr>
              <w:t>7.60E-03</w:t>
            </w:r>
          </w:p>
        </w:tc>
        <w:tc>
          <w:tcPr>
            <w:tcW w:w="1006" w:type="dxa"/>
            <w:shd w:val="clear" w:color="auto" w:fill="auto"/>
            <w:noWrap/>
            <w:vAlign w:val="center"/>
          </w:tcPr>
          <w:p w14:paraId="096FBD0F" w14:textId="77777777" w:rsidR="006703A2" w:rsidRPr="00C47F2F" w:rsidRDefault="006703A2" w:rsidP="006243FB">
            <w:pPr>
              <w:pStyle w:val="Table"/>
              <w:rPr>
                <w:noProof/>
                <w:sz w:val="20"/>
                <w:szCs w:val="20"/>
              </w:rPr>
            </w:pPr>
            <w:r w:rsidRPr="00C47F2F">
              <w:rPr>
                <w:noProof/>
                <w:sz w:val="20"/>
                <w:szCs w:val="20"/>
              </w:rPr>
              <w:t>7.60E-03</w:t>
            </w:r>
          </w:p>
        </w:tc>
        <w:tc>
          <w:tcPr>
            <w:tcW w:w="1006" w:type="dxa"/>
            <w:shd w:val="clear" w:color="auto" w:fill="auto"/>
            <w:noWrap/>
            <w:vAlign w:val="center"/>
          </w:tcPr>
          <w:p w14:paraId="1EB49FD3" w14:textId="77777777" w:rsidR="006703A2" w:rsidRPr="00C47F2F" w:rsidRDefault="006703A2" w:rsidP="006243FB">
            <w:pPr>
              <w:pStyle w:val="Table"/>
              <w:rPr>
                <w:noProof/>
                <w:sz w:val="20"/>
                <w:szCs w:val="20"/>
              </w:rPr>
            </w:pPr>
            <w:r w:rsidRPr="00C47F2F">
              <w:rPr>
                <w:noProof/>
                <w:sz w:val="20"/>
                <w:szCs w:val="20"/>
              </w:rPr>
              <w:t>7.60E-03</w:t>
            </w:r>
          </w:p>
        </w:tc>
        <w:tc>
          <w:tcPr>
            <w:tcW w:w="1006" w:type="dxa"/>
            <w:shd w:val="clear" w:color="auto" w:fill="auto"/>
            <w:noWrap/>
            <w:vAlign w:val="center"/>
          </w:tcPr>
          <w:p w14:paraId="12641E0C" w14:textId="77777777" w:rsidR="006703A2" w:rsidRPr="00C47F2F" w:rsidRDefault="006703A2" w:rsidP="006243FB">
            <w:pPr>
              <w:pStyle w:val="Table"/>
              <w:rPr>
                <w:noProof/>
                <w:sz w:val="20"/>
                <w:szCs w:val="20"/>
              </w:rPr>
            </w:pPr>
            <w:r w:rsidRPr="00C47F2F">
              <w:rPr>
                <w:noProof/>
                <w:sz w:val="20"/>
                <w:szCs w:val="20"/>
              </w:rPr>
              <w:t>7.60E-03</w:t>
            </w:r>
          </w:p>
        </w:tc>
        <w:tc>
          <w:tcPr>
            <w:tcW w:w="1004" w:type="dxa"/>
            <w:shd w:val="clear" w:color="auto" w:fill="auto"/>
            <w:noWrap/>
            <w:vAlign w:val="center"/>
          </w:tcPr>
          <w:p w14:paraId="25E17546" w14:textId="77777777" w:rsidR="006703A2" w:rsidRPr="00C47F2F" w:rsidRDefault="006703A2" w:rsidP="006243FB">
            <w:pPr>
              <w:pStyle w:val="Table"/>
              <w:rPr>
                <w:noProof/>
                <w:sz w:val="20"/>
                <w:szCs w:val="20"/>
              </w:rPr>
            </w:pPr>
            <w:r w:rsidRPr="00C47F2F">
              <w:rPr>
                <w:noProof/>
                <w:sz w:val="20"/>
                <w:szCs w:val="20"/>
              </w:rPr>
              <w:t>7.60E-03</w:t>
            </w:r>
          </w:p>
        </w:tc>
      </w:tr>
      <w:tr w:rsidR="006703A2" w:rsidRPr="00972C81" w14:paraId="4334A81A" w14:textId="77777777" w:rsidTr="006243FB">
        <w:trPr>
          <w:trHeight w:val="340"/>
        </w:trPr>
        <w:tc>
          <w:tcPr>
            <w:tcW w:w="2994" w:type="dxa"/>
            <w:shd w:val="clear" w:color="auto" w:fill="auto"/>
            <w:noWrap/>
            <w:vAlign w:val="center"/>
          </w:tcPr>
          <w:p w14:paraId="614FB55F" w14:textId="3052E51A" w:rsidR="006703A2" w:rsidRPr="006703A2" w:rsidRDefault="006703A2" w:rsidP="006243FB">
            <w:pPr>
              <w:pStyle w:val="Table"/>
              <w:rPr>
                <w:noProof/>
                <w:sz w:val="20"/>
                <w:szCs w:val="22"/>
              </w:rPr>
            </w:pPr>
            <w:r w:rsidRPr="006703A2">
              <w:rPr>
                <w:noProof/>
                <w:sz w:val="20"/>
                <w:szCs w:val="22"/>
              </w:rPr>
              <w:t>Cort bone surf to Cort marrow</w:t>
            </w:r>
          </w:p>
        </w:tc>
        <w:tc>
          <w:tcPr>
            <w:tcW w:w="1005" w:type="dxa"/>
            <w:shd w:val="clear" w:color="auto" w:fill="auto"/>
            <w:noWrap/>
            <w:vAlign w:val="center"/>
          </w:tcPr>
          <w:p w14:paraId="49EDF28D" w14:textId="77777777" w:rsidR="006703A2" w:rsidRPr="00C47F2F" w:rsidRDefault="006703A2" w:rsidP="006243FB">
            <w:pPr>
              <w:pStyle w:val="Table"/>
              <w:rPr>
                <w:noProof/>
                <w:sz w:val="20"/>
                <w:szCs w:val="20"/>
              </w:rPr>
            </w:pPr>
            <w:r w:rsidRPr="00C47F2F">
              <w:rPr>
                <w:noProof/>
                <w:sz w:val="20"/>
                <w:szCs w:val="20"/>
              </w:rPr>
              <w:t>8.22E-03</w:t>
            </w:r>
          </w:p>
        </w:tc>
        <w:tc>
          <w:tcPr>
            <w:tcW w:w="1006" w:type="dxa"/>
            <w:shd w:val="clear" w:color="auto" w:fill="auto"/>
            <w:noWrap/>
            <w:vAlign w:val="center"/>
          </w:tcPr>
          <w:p w14:paraId="487EDA6C" w14:textId="77777777" w:rsidR="006703A2" w:rsidRPr="00C47F2F" w:rsidRDefault="006703A2" w:rsidP="006243FB">
            <w:pPr>
              <w:pStyle w:val="Table"/>
              <w:rPr>
                <w:noProof/>
                <w:sz w:val="20"/>
                <w:szCs w:val="20"/>
              </w:rPr>
            </w:pPr>
            <w:r w:rsidRPr="00C47F2F">
              <w:rPr>
                <w:noProof/>
                <w:sz w:val="20"/>
                <w:szCs w:val="20"/>
              </w:rPr>
              <w:t>2.88E-03</w:t>
            </w:r>
          </w:p>
        </w:tc>
        <w:tc>
          <w:tcPr>
            <w:tcW w:w="1006" w:type="dxa"/>
            <w:shd w:val="clear" w:color="auto" w:fill="auto"/>
            <w:noWrap/>
            <w:vAlign w:val="center"/>
          </w:tcPr>
          <w:p w14:paraId="458E3AD9" w14:textId="77777777" w:rsidR="006703A2" w:rsidRPr="00C47F2F" w:rsidRDefault="006703A2" w:rsidP="006243FB">
            <w:pPr>
              <w:pStyle w:val="Table"/>
              <w:rPr>
                <w:noProof/>
                <w:sz w:val="20"/>
                <w:szCs w:val="20"/>
              </w:rPr>
            </w:pPr>
            <w:r w:rsidRPr="00C47F2F">
              <w:rPr>
                <w:noProof/>
                <w:sz w:val="20"/>
                <w:szCs w:val="20"/>
              </w:rPr>
              <w:t>1.53E-03</w:t>
            </w:r>
          </w:p>
        </w:tc>
        <w:tc>
          <w:tcPr>
            <w:tcW w:w="1006" w:type="dxa"/>
            <w:shd w:val="clear" w:color="auto" w:fill="auto"/>
            <w:noWrap/>
            <w:vAlign w:val="center"/>
          </w:tcPr>
          <w:p w14:paraId="7C7479F5" w14:textId="77777777" w:rsidR="006703A2" w:rsidRPr="00C47F2F" w:rsidRDefault="006703A2" w:rsidP="006243FB">
            <w:pPr>
              <w:pStyle w:val="Table"/>
              <w:rPr>
                <w:noProof/>
                <w:sz w:val="20"/>
                <w:szCs w:val="20"/>
              </w:rPr>
            </w:pPr>
            <w:r w:rsidRPr="00C47F2F">
              <w:rPr>
                <w:noProof/>
                <w:sz w:val="20"/>
                <w:szCs w:val="20"/>
              </w:rPr>
              <w:t>9.04E-04</w:t>
            </w:r>
          </w:p>
        </w:tc>
        <w:tc>
          <w:tcPr>
            <w:tcW w:w="1006" w:type="dxa"/>
            <w:shd w:val="clear" w:color="auto" w:fill="auto"/>
            <w:noWrap/>
            <w:vAlign w:val="center"/>
          </w:tcPr>
          <w:p w14:paraId="1B77B81F" w14:textId="77777777" w:rsidR="006703A2" w:rsidRPr="00C47F2F" w:rsidRDefault="006703A2" w:rsidP="006243FB">
            <w:pPr>
              <w:pStyle w:val="Table"/>
              <w:rPr>
                <w:noProof/>
                <w:sz w:val="20"/>
                <w:szCs w:val="20"/>
              </w:rPr>
            </w:pPr>
            <w:r w:rsidRPr="00C47F2F">
              <w:rPr>
                <w:noProof/>
                <w:sz w:val="20"/>
                <w:szCs w:val="20"/>
              </w:rPr>
              <w:t>5.21E-04</w:t>
            </w:r>
          </w:p>
        </w:tc>
        <w:tc>
          <w:tcPr>
            <w:tcW w:w="1004" w:type="dxa"/>
            <w:shd w:val="clear" w:color="auto" w:fill="auto"/>
            <w:noWrap/>
            <w:vAlign w:val="center"/>
          </w:tcPr>
          <w:p w14:paraId="5ADF4A5D" w14:textId="77777777" w:rsidR="006703A2" w:rsidRPr="00C47F2F" w:rsidRDefault="006703A2" w:rsidP="006243FB">
            <w:pPr>
              <w:pStyle w:val="Table"/>
              <w:rPr>
                <w:noProof/>
                <w:sz w:val="20"/>
                <w:szCs w:val="20"/>
              </w:rPr>
            </w:pPr>
            <w:r w:rsidRPr="00C47F2F">
              <w:rPr>
                <w:noProof/>
                <w:sz w:val="20"/>
                <w:szCs w:val="20"/>
              </w:rPr>
              <w:t>8.21E-05</w:t>
            </w:r>
          </w:p>
        </w:tc>
      </w:tr>
      <w:tr w:rsidR="006703A2" w:rsidRPr="00972C81" w14:paraId="348B838D" w14:textId="77777777" w:rsidTr="006243FB">
        <w:trPr>
          <w:trHeight w:val="340"/>
        </w:trPr>
        <w:tc>
          <w:tcPr>
            <w:tcW w:w="2994" w:type="dxa"/>
            <w:shd w:val="clear" w:color="auto" w:fill="auto"/>
            <w:noWrap/>
            <w:vAlign w:val="center"/>
          </w:tcPr>
          <w:p w14:paraId="5621D0E0" w14:textId="69EAA67E" w:rsidR="006703A2" w:rsidRPr="006703A2" w:rsidRDefault="006703A2" w:rsidP="006243FB">
            <w:pPr>
              <w:pStyle w:val="Table"/>
              <w:rPr>
                <w:noProof/>
                <w:sz w:val="20"/>
                <w:szCs w:val="22"/>
              </w:rPr>
            </w:pPr>
            <w:r w:rsidRPr="006703A2">
              <w:rPr>
                <w:noProof/>
                <w:sz w:val="20"/>
                <w:szCs w:val="22"/>
              </w:rPr>
              <w:t>Cort bone surf to Cort bone vol</w:t>
            </w:r>
          </w:p>
        </w:tc>
        <w:tc>
          <w:tcPr>
            <w:tcW w:w="1005" w:type="dxa"/>
            <w:shd w:val="clear" w:color="auto" w:fill="auto"/>
            <w:noWrap/>
            <w:vAlign w:val="center"/>
          </w:tcPr>
          <w:p w14:paraId="6A56FCA3" w14:textId="77777777" w:rsidR="006703A2" w:rsidRPr="00C47F2F" w:rsidRDefault="006703A2" w:rsidP="006243FB">
            <w:pPr>
              <w:pStyle w:val="Table"/>
              <w:rPr>
                <w:noProof/>
                <w:sz w:val="20"/>
                <w:szCs w:val="20"/>
              </w:rPr>
            </w:pPr>
            <w:r w:rsidRPr="00C47F2F">
              <w:rPr>
                <w:noProof/>
                <w:sz w:val="20"/>
                <w:szCs w:val="20"/>
              </w:rPr>
              <w:t>8.22E-03</w:t>
            </w:r>
          </w:p>
        </w:tc>
        <w:tc>
          <w:tcPr>
            <w:tcW w:w="1006" w:type="dxa"/>
            <w:shd w:val="clear" w:color="auto" w:fill="auto"/>
            <w:noWrap/>
            <w:vAlign w:val="center"/>
          </w:tcPr>
          <w:p w14:paraId="2626DC32" w14:textId="77777777" w:rsidR="006703A2" w:rsidRPr="00C47F2F" w:rsidRDefault="006703A2" w:rsidP="006243FB">
            <w:pPr>
              <w:pStyle w:val="Table"/>
              <w:rPr>
                <w:noProof/>
                <w:sz w:val="20"/>
                <w:szCs w:val="20"/>
              </w:rPr>
            </w:pPr>
            <w:r w:rsidRPr="00C47F2F">
              <w:rPr>
                <w:noProof/>
                <w:sz w:val="20"/>
                <w:szCs w:val="20"/>
              </w:rPr>
              <w:t>2.88E-03</w:t>
            </w:r>
          </w:p>
        </w:tc>
        <w:tc>
          <w:tcPr>
            <w:tcW w:w="1006" w:type="dxa"/>
            <w:shd w:val="clear" w:color="auto" w:fill="auto"/>
            <w:noWrap/>
            <w:vAlign w:val="center"/>
          </w:tcPr>
          <w:p w14:paraId="3BDA41FB" w14:textId="77777777" w:rsidR="006703A2" w:rsidRPr="00C47F2F" w:rsidRDefault="006703A2" w:rsidP="006243FB">
            <w:pPr>
              <w:pStyle w:val="Table"/>
              <w:rPr>
                <w:noProof/>
                <w:sz w:val="20"/>
                <w:szCs w:val="20"/>
              </w:rPr>
            </w:pPr>
            <w:r w:rsidRPr="00C47F2F">
              <w:rPr>
                <w:noProof/>
                <w:sz w:val="20"/>
                <w:szCs w:val="20"/>
              </w:rPr>
              <w:t>1.53E-03</w:t>
            </w:r>
          </w:p>
        </w:tc>
        <w:tc>
          <w:tcPr>
            <w:tcW w:w="1006" w:type="dxa"/>
            <w:shd w:val="clear" w:color="auto" w:fill="auto"/>
            <w:noWrap/>
            <w:vAlign w:val="center"/>
          </w:tcPr>
          <w:p w14:paraId="3F220F87" w14:textId="77777777" w:rsidR="006703A2" w:rsidRPr="00C47F2F" w:rsidRDefault="006703A2" w:rsidP="006243FB">
            <w:pPr>
              <w:pStyle w:val="Table"/>
              <w:rPr>
                <w:noProof/>
                <w:sz w:val="20"/>
                <w:szCs w:val="20"/>
              </w:rPr>
            </w:pPr>
            <w:r w:rsidRPr="00C47F2F">
              <w:rPr>
                <w:noProof/>
                <w:sz w:val="20"/>
                <w:szCs w:val="20"/>
              </w:rPr>
              <w:t>9.04E-04</w:t>
            </w:r>
          </w:p>
        </w:tc>
        <w:tc>
          <w:tcPr>
            <w:tcW w:w="1006" w:type="dxa"/>
            <w:shd w:val="clear" w:color="auto" w:fill="auto"/>
            <w:noWrap/>
            <w:vAlign w:val="center"/>
          </w:tcPr>
          <w:p w14:paraId="18BA839D" w14:textId="77777777" w:rsidR="006703A2" w:rsidRPr="00C47F2F" w:rsidRDefault="006703A2" w:rsidP="006243FB">
            <w:pPr>
              <w:pStyle w:val="Table"/>
              <w:rPr>
                <w:noProof/>
                <w:sz w:val="20"/>
                <w:szCs w:val="20"/>
              </w:rPr>
            </w:pPr>
            <w:r w:rsidRPr="00C47F2F">
              <w:rPr>
                <w:noProof/>
                <w:sz w:val="20"/>
                <w:szCs w:val="20"/>
              </w:rPr>
              <w:t>5.21E-04</w:t>
            </w:r>
          </w:p>
        </w:tc>
        <w:tc>
          <w:tcPr>
            <w:tcW w:w="1004" w:type="dxa"/>
            <w:shd w:val="clear" w:color="auto" w:fill="auto"/>
            <w:noWrap/>
            <w:vAlign w:val="center"/>
          </w:tcPr>
          <w:p w14:paraId="4657E225" w14:textId="77777777" w:rsidR="006703A2" w:rsidRPr="00C47F2F" w:rsidRDefault="006703A2" w:rsidP="006243FB">
            <w:pPr>
              <w:pStyle w:val="Table"/>
              <w:rPr>
                <w:noProof/>
                <w:sz w:val="20"/>
                <w:szCs w:val="20"/>
              </w:rPr>
            </w:pPr>
            <w:r w:rsidRPr="00C47F2F">
              <w:rPr>
                <w:noProof/>
                <w:sz w:val="20"/>
                <w:szCs w:val="20"/>
              </w:rPr>
              <w:t>4.11E-05</w:t>
            </w:r>
          </w:p>
        </w:tc>
      </w:tr>
      <w:tr w:rsidR="006703A2" w:rsidRPr="00972C81" w14:paraId="0A7DAA35" w14:textId="77777777" w:rsidTr="006243FB">
        <w:trPr>
          <w:trHeight w:val="340"/>
        </w:trPr>
        <w:tc>
          <w:tcPr>
            <w:tcW w:w="2994" w:type="dxa"/>
            <w:shd w:val="clear" w:color="auto" w:fill="auto"/>
            <w:noWrap/>
            <w:vAlign w:val="center"/>
          </w:tcPr>
          <w:p w14:paraId="67429774" w14:textId="7022A50F" w:rsidR="006703A2" w:rsidRPr="006703A2" w:rsidRDefault="006703A2" w:rsidP="006243FB">
            <w:pPr>
              <w:pStyle w:val="Table"/>
              <w:rPr>
                <w:noProof/>
                <w:sz w:val="20"/>
                <w:szCs w:val="22"/>
              </w:rPr>
            </w:pPr>
            <w:r w:rsidRPr="006703A2">
              <w:rPr>
                <w:noProof/>
                <w:sz w:val="20"/>
                <w:szCs w:val="22"/>
              </w:rPr>
              <w:t>Cort bone vol to Cort marrow</w:t>
            </w:r>
          </w:p>
        </w:tc>
        <w:tc>
          <w:tcPr>
            <w:tcW w:w="1005" w:type="dxa"/>
            <w:shd w:val="clear" w:color="auto" w:fill="auto"/>
            <w:noWrap/>
            <w:vAlign w:val="center"/>
          </w:tcPr>
          <w:p w14:paraId="00B9382D" w14:textId="77777777" w:rsidR="006703A2" w:rsidRPr="00C47F2F" w:rsidRDefault="006703A2" w:rsidP="006243FB">
            <w:pPr>
              <w:pStyle w:val="Table"/>
              <w:rPr>
                <w:noProof/>
                <w:sz w:val="20"/>
                <w:szCs w:val="20"/>
              </w:rPr>
            </w:pPr>
            <w:r w:rsidRPr="00C47F2F">
              <w:rPr>
                <w:noProof/>
                <w:sz w:val="20"/>
                <w:szCs w:val="20"/>
              </w:rPr>
              <w:t>8.22E-03</w:t>
            </w:r>
          </w:p>
        </w:tc>
        <w:tc>
          <w:tcPr>
            <w:tcW w:w="1006" w:type="dxa"/>
            <w:shd w:val="clear" w:color="auto" w:fill="auto"/>
            <w:noWrap/>
            <w:vAlign w:val="center"/>
          </w:tcPr>
          <w:p w14:paraId="5CACD390" w14:textId="77777777" w:rsidR="006703A2" w:rsidRPr="00C47F2F" w:rsidRDefault="006703A2" w:rsidP="006243FB">
            <w:pPr>
              <w:pStyle w:val="Table"/>
              <w:rPr>
                <w:noProof/>
                <w:sz w:val="20"/>
                <w:szCs w:val="20"/>
              </w:rPr>
            </w:pPr>
            <w:r w:rsidRPr="00C47F2F">
              <w:rPr>
                <w:noProof/>
                <w:sz w:val="20"/>
                <w:szCs w:val="20"/>
              </w:rPr>
              <w:t>2.88E-03</w:t>
            </w:r>
          </w:p>
        </w:tc>
        <w:tc>
          <w:tcPr>
            <w:tcW w:w="1006" w:type="dxa"/>
            <w:shd w:val="clear" w:color="auto" w:fill="auto"/>
            <w:noWrap/>
            <w:vAlign w:val="center"/>
          </w:tcPr>
          <w:p w14:paraId="6D3D2483" w14:textId="77777777" w:rsidR="006703A2" w:rsidRPr="00C47F2F" w:rsidRDefault="006703A2" w:rsidP="006243FB">
            <w:pPr>
              <w:pStyle w:val="Table"/>
              <w:rPr>
                <w:noProof/>
                <w:sz w:val="20"/>
                <w:szCs w:val="20"/>
              </w:rPr>
            </w:pPr>
            <w:r w:rsidRPr="00C47F2F">
              <w:rPr>
                <w:noProof/>
                <w:sz w:val="20"/>
                <w:szCs w:val="20"/>
              </w:rPr>
              <w:t>1.53E-03</w:t>
            </w:r>
          </w:p>
        </w:tc>
        <w:tc>
          <w:tcPr>
            <w:tcW w:w="1006" w:type="dxa"/>
            <w:shd w:val="clear" w:color="auto" w:fill="auto"/>
            <w:noWrap/>
            <w:vAlign w:val="center"/>
          </w:tcPr>
          <w:p w14:paraId="5DAE9BCA" w14:textId="77777777" w:rsidR="006703A2" w:rsidRPr="00C47F2F" w:rsidRDefault="006703A2" w:rsidP="006243FB">
            <w:pPr>
              <w:pStyle w:val="Table"/>
              <w:rPr>
                <w:noProof/>
                <w:sz w:val="20"/>
                <w:szCs w:val="20"/>
              </w:rPr>
            </w:pPr>
            <w:r w:rsidRPr="00C47F2F">
              <w:rPr>
                <w:noProof/>
                <w:sz w:val="20"/>
                <w:szCs w:val="20"/>
              </w:rPr>
              <w:t>9.04E-04</w:t>
            </w:r>
          </w:p>
        </w:tc>
        <w:tc>
          <w:tcPr>
            <w:tcW w:w="1006" w:type="dxa"/>
            <w:shd w:val="clear" w:color="auto" w:fill="auto"/>
            <w:noWrap/>
            <w:vAlign w:val="center"/>
          </w:tcPr>
          <w:p w14:paraId="0E9B8B4C" w14:textId="77777777" w:rsidR="006703A2" w:rsidRPr="00C47F2F" w:rsidRDefault="006703A2" w:rsidP="006243FB">
            <w:pPr>
              <w:pStyle w:val="Table"/>
              <w:rPr>
                <w:noProof/>
                <w:sz w:val="20"/>
                <w:szCs w:val="20"/>
              </w:rPr>
            </w:pPr>
            <w:r w:rsidRPr="00C47F2F">
              <w:rPr>
                <w:noProof/>
                <w:sz w:val="20"/>
                <w:szCs w:val="20"/>
              </w:rPr>
              <w:t>5.21E-04</w:t>
            </w:r>
          </w:p>
        </w:tc>
        <w:tc>
          <w:tcPr>
            <w:tcW w:w="1004" w:type="dxa"/>
            <w:shd w:val="clear" w:color="auto" w:fill="auto"/>
            <w:noWrap/>
            <w:vAlign w:val="center"/>
          </w:tcPr>
          <w:p w14:paraId="003BA034" w14:textId="77777777" w:rsidR="006703A2" w:rsidRPr="00C47F2F" w:rsidRDefault="006703A2" w:rsidP="006243FB">
            <w:pPr>
              <w:pStyle w:val="Table"/>
              <w:rPr>
                <w:noProof/>
                <w:sz w:val="20"/>
                <w:szCs w:val="20"/>
              </w:rPr>
            </w:pPr>
            <w:r w:rsidRPr="00C47F2F">
              <w:rPr>
                <w:noProof/>
                <w:sz w:val="20"/>
                <w:szCs w:val="20"/>
              </w:rPr>
              <w:t>8.21E-05</w:t>
            </w:r>
          </w:p>
        </w:tc>
      </w:tr>
      <w:tr w:rsidR="006703A2" w:rsidRPr="00972C81" w14:paraId="2B393B49" w14:textId="77777777" w:rsidTr="006243FB">
        <w:trPr>
          <w:trHeight w:val="340"/>
        </w:trPr>
        <w:tc>
          <w:tcPr>
            <w:tcW w:w="2994" w:type="dxa"/>
            <w:shd w:val="clear" w:color="auto" w:fill="auto"/>
            <w:noWrap/>
            <w:vAlign w:val="center"/>
          </w:tcPr>
          <w:p w14:paraId="11F77964" w14:textId="6CB24C8D" w:rsidR="006703A2" w:rsidRPr="006703A2" w:rsidRDefault="006703A2" w:rsidP="006243FB">
            <w:pPr>
              <w:pStyle w:val="Table"/>
              <w:rPr>
                <w:noProof/>
                <w:sz w:val="20"/>
                <w:szCs w:val="22"/>
              </w:rPr>
            </w:pPr>
            <w:r w:rsidRPr="006703A2">
              <w:rPr>
                <w:noProof/>
                <w:sz w:val="20"/>
                <w:szCs w:val="22"/>
              </w:rPr>
              <w:t>Trab marrow to Blood</w:t>
            </w:r>
          </w:p>
        </w:tc>
        <w:tc>
          <w:tcPr>
            <w:tcW w:w="1005" w:type="dxa"/>
            <w:shd w:val="clear" w:color="auto" w:fill="auto"/>
            <w:noWrap/>
            <w:vAlign w:val="center"/>
          </w:tcPr>
          <w:p w14:paraId="5DF8B3C7" w14:textId="77777777" w:rsidR="006703A2" w:rsidRPr="00C47F2F" w:rsidRDefault="006703A2" w:rsidP="006243FB">
            <w:pPr>
              <w:pStyle w:val="Table"/>
              <w:rPr>
                <w:noProof/>
                <w:sz w:val="20"/>
                <w:szCs w:val="20"/>
              </w:rPr>
            </w:pPr>
            <w:r w:rsidRPr="00C47F2F">
              <w:rPr>
                <w:noProof/>
                <w:sz w:val="20"/>
                <w:szCs w:val="20"/>
              </w:rPr>
              <w:t>7.60E-03</w:t>
            </w:r>
          </w:p>
        </w:tc>
        <w:tc>
          <w:tcPr>
            <w:tcW w:w="1006" w:type="dxa"/>
            <w:shd w:val="clear" w:color="auto" w:fill="auto"/>
            <w:noWrap/>
            <w:vAlign w:val="center"/>
          </w:tcPr>
          <w:p w14:paraId="2915CEAB" w14:textId="77777777" w:rsidR="006703A2" w:rsidRPr="00C47F2F" w:rsidRDefault="006703A2" w:rsidP="006243FB">
            <w:pPr>
              <w:pStyle w:val="Table"/>
              <w:rPr>
                <w:noProof/>
                <w:sz w:val="20"/>
                <w:szCs w:val="20"/>
              </w:rPr>
            </w:pPr>
            <w:r w:rsidRPr="00C47F2F">
              <w:rPr>
                <w:noProof/>
                <w:sz w:val="20"/>
                <w:szCs w:val="20"/>
              </w:rPr>
              <w:t>7.60E-03</w:t>
            </w:r>
          </w:p>
        </w:tc>
        <w:tc>
          <w:tcPr>
            <w:tcW w:w="1006" w:type="dxa"/>
            <w:shd w:val="clear" w:color="auto" w:fill="auto"/>
            <w:noWrap/>
            <w:vAlign w:val="center"/>
          </w:tcPr>
          <w:p w14:paraId="44A65189" w14:textId="77777777" w:rsidR="006703A2" w:rsidRPr="00C47F2F" w:rsidRDefault="006703A2" w:rsidP="006243FB">
            <w:pPr>
              <w:pStyle w:val="Table"/>
              <w:rPr>
                <w:noProof/>
                <w:sz w:val="20"/>
                <w:szCs w:val="20"/>
              </w:rPr>
            </w:pPr>
            <w:r w:rsidRPr="00C47F2F">
              <w:rPr>
                <w:noProof/>
                <w:sz w:val="20"/>
                <w:szCs w:val="20"/>
              </w:rPr>
              <w:t>7.60E-03</w:t>
            </w:r>
          </w:p>
        </w:tc>
        <w:tc>
          <w:tcPr>
            <w:tcW w:w="1006" w:type="dxa"/>
            <w:shd w:val="clear" w:color="auto" w:fill="auto"/>
            <w:noWrap/>
            <w:vAlign w:val="center"/>
          </w:tcPr>
          <w:p w14:paraId="3B92BF53" w14:textId="77777777" w:rsidR="006703A2" w:rsidRPr="00C47F2F" w:rsidRDefault="006703A2" w:rsidP="006243FB">
            <w:pPr>
              <w:pStyle w:val="Table"/>
              <w:rPr>
                <w:noProof/>
                <w:sz w:val="20"/>
                <w:szCs w:val="20"/>
              </w:rPr>
            </w:pPr>
            <w:r w:rsidRPr="00C47F2F">
              <w:rPr>
                <w:noProof/>
                <w:sz w:val="20"/>
                <w:szCs w:val="20"/>
              </w:rPr>
              <w:t>7.60E-03</w:t>
            </w:r>
          </w:p>
        </w:tc>
        <w:tc>
          <w:tcPr>
            <w:tcW w:w="1006" w:type="dxa"/>
            <w:shd w:val="clear" w:color="auto" w:fill="auto"/>
            <w:noWrap/>
            <w:vAlign w:val="center"/>
          </w:tcPr>
          <w:p w14:paraId="07C2A2BB" w14:textId="77777777" w:rsidR="006703A2" w:rsidRPr="00C47F2F" w:rsidRDefault="006703A2" w:rsidP="006243FB">
            <w:pPr>
              <w:pStyle w:val="Table"/>
              <w:rPr>
                <w:noProof/>
                <w:sz w:val="20"/>
                <w:szCs w:val="20"/>
              </w:rPr>
            </w:pPr>
            <w:r w:rsidRPr="00C47F2F">
              <w:rPr>
                <w:noProof/>
                <w:sz w:val="20"/>
                <w:szCs w:val="20"/>
              </w:rPr>
              <w:t>7.60E-03</w:t>
            </w:r>
          </w:p>
        </w:tc>
        <w:tc>
          <w:tcPr>
            <w:tcW w:w="1004" w:type="dxa"/>
            <w:shd w:val="clear" w:color="auto" w:fill="auto"/>
            <w:noWrap/>
            <w:vAlign w:val="center"/>
          </w:tcPr>
          <w:p w14:paraId="50E98FAA" w14:textId="77777777" w:rsidR="006703A2" w:rsidRPr="00C47F2F" w:rsidRDefault="006703A2" w:rsidP="006243FB">
            <w:pPr>
              <w:pStyle w:val="Table"/>
              <w:rPr>
                <w:noProof/>
                <w:sz w:val="20"/>
                <w:szCs w:val="20"/>
              </w:rPr>
            </w:pPr>
            <w:r w:rsidRPr="00C47F2F">
              <w:rPr>
                <w:noProof/>
                <w:sz w:val="20"/>
                <w:szCs w:val="20"/>
              </w:rPr>
              <w:t>7.60E-03</w:t>
            </w:r>
          </w:p>
        </w:tc>
      </w:tr>
      <w:tr w:rsidR="006703A2" w:rsidRPr="00972C81" w14:paraId="2406B740" w14:textId="77777777" w:rsidTr="006243FB">
        <w:trPr>
          <w:trHeight w:val="340"/>
        </w:trPr>
        <w:tc>
          <w:tcPr>
            <w:tcW w:w="2994" w:type="dxa"/>
            <w:shd w:val="clear" w:color="auto" w:fill="auto"/>
            <w:noWrap/>
            <w:vAlign w:val="center"/>
          </w:tcPr>
          <w:p w14:paraId="4DA420C8" w14:textId="3343EA36" w:rsidR="006703A2" w:rsidRPr="006703A2" w:rsidRDefault="006703A2" w:rsidP="006243FB">
            <w:pPr>
              <w:pStyle w:val="Table"/>
              <w:rPr>
                <w:noProof/>
                <w:sz w:val="20"/>
                <w:szCs w:val="22"/>
              </w:rPr>
            </w:pPr>
            <w:r w:rsidRPr="006703A2">
              <w:rPr>
                <w:noProof/>
                <w:sz w:val="20"/>
                <w:szCs w:val="22"/>
              </w:rPr>
              <w:t>Trab bone surf to Trab marrow</w:t>
            </w:r>
          </w:p>
        </w:tc>
        <w:tc>
          <w:tcPr>
            <w:tcW w:w="1005" w:type="dxa"/>
            <w:shd w:val="clear" w:color="auto" w:fill="auto"/>
            <w:noWrap/>
            <w:vAlign w:val="center"/>
          </w:tcPr>
          <w:p w14:paraId="2C8A7A84" w14:textId="77777777" w:rsidR="006703A2" w:rsidRPr="00C47F2F" w:rsidRDefault="006703A2" w:rsidP="006243FB">
            <w:pPr>
              <w:pStyle w:val="Table"/>
              <w:rPr>
                <w:noProof/>
                <w:sz w:val="20"/>
                <w:szCs w:val="20"/>
              </w:rPr>
            </w:pPr>
            <w:r w:rsidRPr="00C47F2F">
              <w:rPr>
                <w:noProof/>
                <w:sz w:val="20"/>
                <w:szCs w:val="20"/>
              </w:rPr>
              <w:t>8.22E-03</w:t>
            </w:r>
          </w:p>
        </w:tc>
        <w:tc>
          <w:tcPr>
            <w:tcW w:w="1006" w:type="dxa"/>
            <w:shd w:val="clear" w:color="auto" w:fill="auto"/>
            <w:noWrap/>
            <w:vAlign w:val="center"/>
          </w:tcPr>
          <w:p w14:paraId="578AD5F8" w14:textId="77777777" w:rsidR="006703A2" w:rsidRPr="00C47F2F" w:rsidRDefault="006703A2" w:rsidP="006243FB">
            <w:pPr>
              <w:pStyle w:val="Table"/>
              <w:rPr>
                <w:noProof/>
                <w:sz w:val="20"/>
                <w:szCs w:val="20"/>
              </w:rPr>
            </w:pPr>
            <w:r w:rsidRPr="00C47F2F">
              <w:rPr>
                <w:noProof/>
                <w:sz w:val="20"/>
                <w:szCs w:val="20"/>
              </w:rPr>
              <w:t>2.88E-03</w:t>
            </w:r>
          </w:p>
        </w:tc>
        <w:tc>
          <w:tcPr>
            <w:tcW w:w="1006" w:type="dxa"/>
            <w:shd w:val="clear" w:color="auto" w:fill="auto"/>
            <w:noWrap/>
            <w:vAlign w:val="center"/>
          </w:tcPr>
          <w:p w14:paraId="043F77E5" w14:textId="77777777" w:rsidR="006703A2" w:rsidRPr="00C47F2F" w:rsidRDefault="006703A2" w:rsidP="006243FB">
            <w:pPr>
              <w:pStyle w:val="Table"/>
              <w:rPr>
                <w:noProof/>
                <w:sz w:val="20"/>
                <w:szCs w:val="20"/>
              </w:rPr>
            </w:pPr>
            <w:r w:rsidRPr="00C47F2F">
              <w:rPr>
                <w:noProof/>
                <w:sz w:val="20"/>
                <w:szCs w:val="20"/>
              </w:rPr>
              <w:t>1.81E-03</w:t>
            </w:r>
          </w:p>
        </w:tc>
        <w:tc>
          <w:tcPr>
            <w:tcW w:w="1006" w:type="dxa"/>
            <w:shd w:val="clear" w:color="auto" w:fill="auto"/>
            <w:noWrap/>
            <w:vAlign w:val="center"/>
          </w:tcPr>
          <w:p w14:paraId="11E735C8" w14:textId="77777777" w:rsidR="006703A2" w:rsidRPr="00C47F2F" w:rsidRDefault="006703A2" w:rsidP="006243FB">
            <w:pPr>
              <w:pStyle w:val="Table"/>
              <w:rPr>
                <w:noProof/>
                <w:sz w:val="20"/>
                <w:szCs w:val="20"/>
              </w:rPr>
            </w:pPr>
            <w:r w:rsidRPr="00C47F2F">
              <w:rPr>
                <w:noProof/>
                <w:sz w:val="20"/>
                <w:szCs w:val="20"/>
              </w:rPr>
              <w:t>1.32E-03</w:t>
            </w:r>
          </w:p>
        </w:tc>
        <w:tc>
          <w:tcPr>
            <w:tcW w:w="1006" w:type="dxa"/>
            <w:shd w:val="clear" w:color="auto" w:fill="auto"/>
            <w:noWrap/>
            <w:vAlign w:val="center"/>
          </w:tcPr>
          <w:p w14:paraId="6E06E5DD" w14:textId="77777777" w:rsidR="006703A2" w:rsidRPr="00C47F2F" w:rsidRDefault="006703A2" w:rsidP="006243FB">
            <w:pPr>
              <w:pStyle w:val="Table"/>
              <w:rPr>
                <w:noProof/>
                <w:sz w:val="20"/>
                <w:szCs w:val="20"/>
              </w:rPr>
            </w:pPr>
            <w:r w:rsidRPr="00C47F2F">
              <w:rPr>
                <w:noProof/>
                <w:sz w:val="20"/>
                <w:szCs w:val="20"/>
              </w:rPr>
              <w:t>9.59E-04</w:t>
            </w:r>
          </w:p>
        </w:tc>
        <w:tc>
          <w:tcPr>
            <w:tcW w:w="1004" w:type="dxa"/>
            <w:shd w:val="clear" w:color="auto" w:fill="auto"/>
            <w:noWrap/>
            <w:vAlign w:val="center"/>
          </w:tcPr>
          <w:p w14:paraId="19AD2F92" w14:textId="77777777" w:rsidR="006703A2" w:rsidRPr="00C47F2F" w:rsidRDefault="006703A2" w:rsidP="006243FB">
            <w:pPr>
              <w:pStyle w:val="Table"/>
              <w:rPr>
                <w:noProof/>
                <w:sz w:val="20"/>
                <w:szCs w:val="20"/>
              </w:rPr>
            </w:pPr>
            <w:r w:rsidRPr="00C47F2F">
              <w:rPr>
                <w:noProof/>
                <w:sz w:val="20"/>
                <w:szCs w:val="20"/>
              </w:rPr>
              <w:t>4.93E-04</w:t>
            </w:r>
          </w:p>
        </w:tc>
      </w:tr>
      <w:tr w:rsidR="006703A2" w:rsidRPr="00972C81" w14:paraId="68A9FFFB" w14:textId="77777777" w:rsidTr="006243FB">
        <w:trPr>
          <w:trHeight w:val="340"/>
        </w:trPr>
        <w:tc>
          <w:tcPr>
            <w:tcW w:w="2994" w:type="dxa"/>
            <w:shd w:val="clear" w:color="auto" w:fill="auto"/>
            <w:noWrap/>
            <w:vAlign w:val="center"/>
          </w:tcPr>
          <w:p w14:paraId="30B0E978" w14:textId="0597D812" w:rsidR="006703A2" w:rsidRPr="006703A2" w:rsidRDefault="006703A2" w:rsidP="006243FB">
            <w:pPr>
              <w:pStyle w:val="Table"/>
              <w:rPr>
                <w:noProof/>
                <w:sz w:val="20"/>
                <w:szCs w:val="22"/>
              </w:rPr>
            </w:pPr>
            <w:r w:rsidRPr="006703A2">
              <w:rPr>
                <w:noProof/>
                <w:sz w:val="20"/>
                <w:szCs w:val="22"/>
              </w:rPr>
              <w:t>Trab bone surf to Trab bone vol</w:t>
            </w:r>
          </w:p>
        </w:tc>
        <w:tc>
          <w:tcPr>
            <w:tcW w:w="1005" w:type="dxa"/>
            <w:shd w:val="clear" w:color="auto" w:fill="auto"/>
            <w:noWrap/>
            <w:vAlign w:val="center"/>
          </w:tcPr>
          <w:p w14:paraId="0DF9648F" w14:textId="77777777" w:rsidR="006703A2" w:rsidRPr="00C47F2F" w:rsidRDefault="006703A2" w:rsidP="006243FB">
            <w:pPr>
              <w:pStyle w:val="Table"/>
              <w:rPr>
                <w:noProof/>
                <w:sz w:val="20"/>
                <w:szCs w:val="20"/>
              </w:rPr>
            </w:pPr>
            <w:r w:rsidRPr="00C47F2F">
              <w:rPr>
                <w:noProof/>
                <w:sz w:val="20"/>
                <w:szCs w:val="20"/>
              </w:rPr>
              <w:t>8.22E-03</w:t>
            </w:r>
          </w:p>
        </w:tc>
        <w:tc>
          <w:tcPr>
            <w:tcW w:w="1006" w:type="dxa"/>
            <w:shd w:val="clear" w:color="auto" w:fill="auto"/>
            <w:noWrap/>
            <w:vAlign w:val="center"/>
          </w:tcPr>
          <w:p w14:paraId="33936BC3" w14:textId="77777777" w:rsidR="006703A2" w:rsidRPr="00C47F2F" w:rsidRDefault="006703A2" w:rsidP="006243FB">
            <w:pPr>
              <w:pStyle w:val="Table"/>
              <w:rPr>
                <w:noProof/>
                <w:sz w:val="20"/>
                <w:szCs w:val="20"/>
              </w:rPr>
            </w:pPr>
            <w:r w:rsidRPr="00C47F2F">
              <w:rPr>
                <w:noProof/>
                <w:sz w:val="20"/>
                <w:szCs w:val="20"/>
              </w:rPr>
              <w:t>2.88E-03</w:t>
            </w:r>
          </w:p>
        </w:tc>
        <w:tc>
          <w:tcPr>
            <w:tcW w:w="1006" w:type="dxa"/>
            <w:shd w:val="clear" w:color="auto" w:fill="auto"/>
            <w:noWrap/>
            <w:vAlign w:val="center"/>
          </w:tcPr>
          <w:p w14:paraId="3999D8F4" w14:textId="77777777" w:rsidR="006703A2" w:rsidRPr="00C47F2F" w:rsidRDefault="006703A2" w:rsidP="006243FB">
            <w:pPr>
              <w:pStyle w:val="Table"/>
              <w:rPr>
                <w:noProof/>
                <w:sz w:val="20"/>
                <w:szCs w:val="20"/>
              </w:rPr>
            </w:pPr>
            <w:r w:rsidRPr="00C47F2F">
              <w:rPr>
                <w:noProof/>
                <w:sz w:val="20"/>
                <w:szCs w:val="20"/>
              </w:rPr>
              <w:t>1.81E-03</w:t>
            </w:r>
          </w:p>
        </w:tc>
        <w:tc>
          <w:tcPr>
            <w:tcW w:w="1006" w:type="dxa"/>
            <w:shd w:val="clear" w:color="auto" w:fill="auto"/>
            <w:noWrap/>
            <w:vAlign w:val="center"/>
          </w:tcPr>
          <w:p w14:paraId="5E24DC8F" w14:textId="77777777" w:rsidR="006703A2" w:rsidRPr="00C47F2F" w:rsidRDefault="006703A2" w:rsidP="006243FB">
            <w:pPr>
              <w:pStyle w:val="Table"/>
              <w:rPr>
                <w:noProof/>
                <w:sz w:val="20"/>
                <w:szCs w:val="20"/>
              </w:rPr>
            </w:pPr>
            <w:r w:rsidRPr="00C47F2F">
              <w:rPr>
                <w:noProof/>
                <w:sz w:val="20"/>
                <w:szCs w:val="20"/>
              </w:rPr>
              <w:t>1.32E-03</w:t>
            </w:r>
          </w:p>
        </w:tc>
        <w:tc>
          <w:tcPr>
            <w:tcW w:w="1006" w:type="dxa"/>
            <w:shd w:val="clear" w:color="auto" w:fill="auto"/>
            <w:noWrap/>
            <w:vAlign w:val="center"/>
          </w:tcPr>
          <w:p w14:paraId="472E4492" w14:textId="77777777" w:rsidR="006703A2" w:rsidRPr="00C47F2F" w:rsidRDefault="006703A2" w:rsidP="006243FB">
            <w:pPr>
              <w:pStyle w:val="Table"/>
              <w:rPr>
                <w:noProof/>
                <w:sz w:val="20"/>
                <w:szCs w:val="20"/>
              </w:rPr>
            </w:pPr>
            <w:r w:rsidRPr="00C47F2F">
              <w:rPr>
                <w:noProof/>
                <w:sz w:val="20"/>
                <w:szCs w:val="20"/>
              </w:rPr>
              <w:t>9.59E-04</w:t>
            </w:r>
          </w:p>
        </w:tc>
        <w:tc>
          <w:tcPr>
            <w:tcW w:w="1004" w:type="dxa"/>
            <w:shd w:val="clear" w:color="auto" w:fill="auto"/>
            <w:noWrap/>
            <w:vAlign w:val="center"/>
          </w:tcPr>
          <w:p w14:paraId="55098116" w14:textId="77777777" w:rsidR="006703A2" w:rsidRPr="00C47F2F" w:rsidRDefault="006703A2" w:rsidP="006243FB">
            <w:pPr>
              <w:pStyle w:val="Table"/>
              <w:rPr>
                <w:noProof/>
                <w:sz w:val="20"/>
                <w:szCs w:val="20"/>
              </w:rPr>
            </w:pPr>
            <w:r w:rsidRPr="00C47F2F">
              <w:rPr>
                <w:noProof/>
                <w:sz w:val="20"/>
                <w:szCs w:val="20"/>
              </w:rPr>
              <w:t>2.47E-04</w:t>
            </w:r>
          </w:p>
        </w:tc>
      </w:tr>
      <w:tr w:rsidR="006703A2" w:rsidRPr="00972C81" w14:paraId="5C9D2810" w14:textId="77777777" w:rsidTr="006243FB">
        <w:trPr>
          <w:trHeight w:val="340"/>
        </w:trPr>
        <w:tc>
          <w:tcPr>
            <w:tcW w:w="2994" w:type="dxa"/>
            <w:shd w:val="clear" w:color="auto" w:fill="auto"/>
            <w:noWrap/>
            <w:vAlign w:val="center"/>
          </w:tcPr>
          <w:p w14:paraId="5CCE3BF7" w14:textId="5F7CF0FE" w:rsidR="006703A2" w:rsidRPr="006703A2" w:rsidRDefault="006703A2" w:rsidP="006243FB">
            <w:pPr>
              <w:pStyle w:val="Table"/>
              <w:rPr>
                <w:noProof/>
                <w:sz w:val="20"/>
                <w:szCs w:val="22"/>
              </w:rPr>
            </w:pPr>
            <w:r w:rsidRPr="006703A2">
              <w:rPr>
                <w:noProof/>
                <w:sz w:val="20"/>
                <w:szCs w:val="22"/>
              </w:rPr>
              <w:t>Trab bone vol to Trab marrow</w:t>
            </w:r>
          </w:p>
        </w:tc>
        <w:tc>
          <w:tcPr>
            <w:tcW w:w="1005" w:type="dxa"/>
            <w:shd w:val="clear" w:color="auto" w:fill="auto"/>
            <w:noWrap/>
            <w:vAlign w:val="center"/>
          </w:tcPr>
          <w:p w14:paraId="6EDF4F44" w14:textId="77777777" w:rsidR="006703A2" w:rsidRPr="00C47F2F" w:rsidRDefault="006703A2" w:rsidP="006243FB">
            <w:pPr>
              <w:pStyle w:val="Table"/>
              <w:rPr>
                <w:noProof/>
                <w:sz w:val="20"/>
                <w:szCs w:val="20"/>
              </w:rPr>
            </w:pPr>
            <w:r w:rsidRPr="00C47F2F">
              <w:rPr>
                <w:noProof/>
                <w:sz w:val="20"/>
                <w:szCs w:val="20"/>
              </w:rPr>
              <w:t>8.22E-03</w:t>
            </w:r>
          </w:p>
        </w:tc>
        <w:tc>
          <w:tcPr>
            <w:tcW w:w="1006" w:type="dxa"/>
            <w:shd w:val="clear" w:color="auto" w:fill="auto"/>
            <w:noWrap/>
            <w:vAlign w:val="center"/>
          </w:tcPr>
          <w:p w14:paraId="07F0CA0F" w14:textId="77777777" w:rsidR="006703A2" w:rsidRPr="00C47F2F" w:rsidRDefault="006703A2" w:rsidP="006243FB">
            <w:pPr>
              <w:pStyle w:val="Table"/>
              <w:rPr>
                <w:noProof/>
                <w:sz w:val="20"/>
                <w:szCs w:val="20"/>
              </w:rPr>
            </w:pPr>
            <w:r w:rsidRPr="00C47F2F">
              <w:rPr>
                <w:noProof/>
                <w:sz w:val="20"/>
                <w:szCs w:val="20"/>
              </w:rPr>
              <w:t>2.88E-03</w:t>
            </w:r>
          </w:p>
        </w:tc>
        <w:tc>
          <w:tcPr>
            <w:tcW w:w="1006" w:type="dxa"/>
            <w:shd w:val="clear" w:color="auto" w:fill="auto"/>
            <w:noWrap/>
            <w:vAlign w:val="center"/>
          </w:tcPr>
          <w:p w14:paraId="3B845992" w14:textId="77777777" w:rsidR="006703A2" w:rsidRPr="00C47F2F" w:rsidRDefault="006703A2" w:rsidP="006243FB">
            <w:pPr>
              <w:pStyle w:val="Table"/>
              <w:rPr>
                <w:noProof/>
                <w:sz w:val="20"/>
                <w:szCs w:val="20"/>
              </w:rPr>
            </w:pPr>
            <w:r w:rsidRPr="00C47F2F">
              <w:rPr>
                <w:noProof/>
                <w:sz w:val="20"/>
                <w:szCs w:val="20"/>
              </w:rPr>
              <w:t>1.81E-03</w:t>
            </w:r>
          </w:p>
        </w:tc>
        <w:tc>
          <w:tcPr>
            <w:tcW w:w="1006" w:type="dxa"/>
            <w:shd w:val="clear" w:color="auto" w:fill="auto"/>
            <w:noWrap/>
            <w:vAlign w:val="center"/>
          </w:tcPr>
          <w:p w14:paraId="5F6D11C0" w14:textId="77777777" w:rsidR="006703A2" w:rsidRPr="00C47F2F" w:rsidRDefault="006703A2" w:rsidP="006243FB">
            <w:pPr>
              <w:pStyle w:val="Table"/>
              <w:rPr>
                <w:noProof/>
                <w:sz w:val="20"/>
                <w:szCs w:val="20"/>
              </w:rPr>
            </w:pPr>
            <w:r w:rsidRPr="00C47F2F">
              <w:rPr>
                <w:noProof/>
                <w:sz w:val="20"/>
                <w:szCs w:val="20"/>
              </w:rPr>
              <w:t>1.32E-03</w:t>
            </w:r>
          </w:p>
        </w:tc>
        <w:tc>
          <w:tcPr>
            <w:tcW w:w="1006" w:type="dxa"/>
            <w:shd w:val="clear" w:color="auto" w:fill="auto"/>
            <w:noWrap/>
            <w:vAlign w:val="center"/>
          </w:tcPr>
          <w:p w14:paraId="764ED92D" w14:textId="77777777" w:rsidR="006703A2" w:rsidRPr="00C47F2F" w:rsidRDefault="006703A2" w:rsidP="006243FB">
            <w:pPr>
              <w:pStyle w:val="Table"/>
              <w:rPr>
                <w:noProof/>
                <w:sz w:val="20"/>
                <w:szCs w:val="20"/>
              </w:rPr>
            </w:pPr>
            <w:r w:rsidRPr="00C47F2F">
              <w:rPr>
                <w:noProof/>
                <w:sz w:val="20"/>
                <w:szCs w:val="20"/>
              </w:rPr>
              <w:t>9.59E-04</w:t>
            </w:r>
          </w:p>
        </w:tc>
        <w:tc>
          <w:tcPr>
            <w:tcW w:w="1004" w:type="dxa"/>
            <w:shd w:val="clear" w:color="auto" w:fill="auto"/>
            <w:noWrap/>
            <w:vAlign w:val="center"/>
          </w:tcPr>
          <w:p w14:paraId="49EE78CD" w14:textId="77777777" w:rsidR="006703A2" w:rsidRPr="00C47F2F" w:rsidRDefault="006703A2" w:rsidP="006243FB">
            <w:pPr>
              <w:pStyle w:val="Table"/>
              <w:rPr>
                <w:noProof/>
                <w:sz w:val="20"/>
                <w:szCs w:val="20"/>
              </w:rPr>
            </w:pPr>
            <w:r w:rsidRPr="00C47F2F">
              <w:rPr>
                <w:noProof/>
                <w:sz w:val="20"/>
                <w:szCs w:val="20"/>
              </w:rPr>
              <w:t>4.93E-04</w:t>
            </w:r>
          </w:p>
        </w:tc>
      </w:tr>
      <w:tr w:rsidR="006703A2" w:rsidRPr="00972C81" w14:paraId="5382F2CD" w14:textId="77777777" w:rsidTr="006243FB">
        <w:trPr>
          <w:trHeight w:val="340"/>
        </w:trPr>
        <w:tc>
          <w:tcPr>
            <w:tcW w:w="2994" w:type="dxa"/>
            <w:shd w:val="clear" w:color="auto" w:fill="auto"/>
            <w:noWrap/>
            <w:vAlign w:val="center"/>
          </w:tcPr>
          <w:p w14:paraId="1416D49E" w14:textId="56A501E1" w:rsidR="006703A2" w:rsidRPr="006703A2" w:rsidRDefault="006703A2" w:rsidP="006243FB">
            <w:pPr>
              <w:pStyle w:val="Table"/>
              <w:rPr>
                <w:noProof/>
                <w:sz w:val="20"/>
                <w:szCs w:val="22"/>
              </w:rPr>
            </w:pPr>
            <w:r w:rsidRPr="006703A2">
              <w:rPr>
                <w:noProof/>
                <w:sz w:val="20"/>
                <w:szCs w:val="22"/>
              </w:rPr>
              <w:t>Kidneys 1 to Urinary bladder cont</w:t>
            </w:r>
          </w:p>
        </w:tc>
        <w:tc>
          <w:tcPr>
            <w:tcW w:w="1005" w:type="dxa"/>
            <w:shd w:val="clear" w:color="auto" w:fill="auto"/>
            <w:noWrap/>
            <w:vAlign w:val="center"/>
          </w:tcPr>
          <w:p w14:paraId="4AE76CF7" w14:textId="77777777" w:rsidR="006703A2" w:rsidRPr="00C47F2F" w:rsidRDefault="006703A2" w:rsidP="006243FB">
            <w:pPr>
              <w:pStyle w:val="Table"/>
              <w:rPr>
                <w:noProof/>
                <w:sz w:val="20"/>
                <w:szCs w:val="20"/>
              </w:rPr>
            </w:pPr>
            <w:r w:rsidRPr="00C47F2F">
              <w:rPr>
                <w:noProof/>
                <w:sz w:val="20"/>
                <w:szCs w:val="20"/>
              </w:rPr>
              <w:t>9.90E-02</w:t>
            </w:r>
          </w:p>
        </w:tc>
        <w:tc>
          <w:tcPr>
            <w:tcW w:w="1006" w:type="dxa"/>
            <w:shd w:val="clear" w:color="auto" w:fill="auto"/>
            <w:noWrap/>
            <w:vAlign w:val="center"/>
          </w:tcPr>
          <w:p w14:paraId="2B4C2915" w14:textId="77777777" w:rsidR="006703A2" w:rsidRPr="00C47F2F" w:rsidRDefault="006703A2" w:rsidP="006243FB">
            <w:pPr>
              <w:pStyle w:val="Table"/>
              <w:rPr>
                <w:noProof/>
                <w:sz w:val="20"/>
                <w:szCs w:val="20"/>
              </w:rPr>
            </w:pPr>
            <w:r w:rsidRPr="00C47F2F">
              <w:rPr>
                <w:noProof/>
                <w:sz w:val="20"/>
                <w:szCs w:val="20"/>
              </w:rPr>
              <w:t>9.90E-02</w:t>
            </w:r>
          </w:p>
        </w:tc>
        <w:tc>
          <w:tcPr>
            <w:tcW w:w="1006" w:type="dxa"/>
            <w:shd w:val="clear" w:color="auto" w:fill="auto"/>
            <w:noWrap/>
            <w:vAlign w:val="center"/>
          </w:tcPr>
          <w:p w14:paraId="23D0CCF1" w14:textId="77777777" w:rsidR="006703A2" w:rsidRPr="00C47F2F" w:rsidRDefault="006703A2" w:rsidP="006243FB">
            <w:pPr>
              <w:pStyle w:val="Table"/>
              <w:rPr>
                <w:noProof/>
                <w:sz w:val="20"/>
                <w:szCs w:val="20"/>
              </w:rPr>
            </w:pPr>
            <w:r w:rsidRPr="00C47F2F">
              <w:rPr>
                <w:noProof/>
                <w:sz w:val="20"/>
                <w:szCs w:val="20"/>
              </w:rPr>
              <w:t>9.90E-02</w:t>
            </w:r>
          </w:p>
        </w:tc>
        <w:tc>
          <w:tcPr>
            <w:tcW w:w="1006" w:type="dxa"/>
            <w:shd w:val="clear" w:color="auto" w:fill="auto"/>
            <w:noWrap/>
            <w:vAlign w:val="center"/>
          </w:tcPr>
          <w:p w14:paraId="1C5309E0" w14:textId="77777777" w:rsidR="006703A2" w:rsidRPr="00C47F2F" w:rsidRDefault="006703A2" w:rsidP="006243FB">
            <w:pPr>
              <w:pStyle w:val="Table"/>
              <w:rPr>
                <w:noProof/>
                <w:sz w:val="20"/>
                <w:szCs w:val="20"/>
              </w:rPr>
            </w:pPr>
            <w:r w:rsidRPr="00C47F2F">
              <w:rPr>
                <w:noProof/>
                <w:sz w:val="20"/>
                <w:szCs w:val="20"/>
              </w:rPr>
              <w:t>9.90E-02</w:t>
            </w:r>
          </w:p>
        </w:tc>
        <w:tc>
          <w:tcPr>
            <w:tcW w:w="1006" w:type="dxa"/>
            <w:shd w:val="clear" w:color="auto" w:fill="auto"/>
            <w:noWrap/>
            <w:vAlign w:val="center"/>
          </w:tcPr>
          <w:p w14:paraId="38AEA56D" w14:textId="77777777" w:rsidR="006703A2" w:rsidRPr="00C47F2F" w:rsidRDefault="006703A2" w:rsidP="006243FB">
            <w:pPr>
              <w:pStyle w:val="Table"/>
              <w:rPr>
                <w:noProof/>
                <w:sz w:val="20"/>
                <w:szCs w:val="20"/>
              </w:rPr>
            </w:pPr>
            <w:r w:rsidRPr="00C47F2F">
              <w:rPr>
                <w:noProof/>
                <w:sz w:val="20"/>
                <w:szCs w:val="20"/>
              </w:rPr>
              <w:t>9.90E-02</w:t>
            </w:r>
          </w:p>
        </w:tc>
        <w:tc>
          <w:tcPr>
            <w:tcW w:w="1004" w:type="dxa"/>
            <w:shd w:val="clear" w:color="auto" w:fill="auto"/>
            <w:noWrap/>
            <w:vAlign w:val="center"/>
          </w:tcPr>
          <w:p w14:paraId="1F0D1247" w14:textId="77777777" w:rsidR="006703A2" w:rsidRPr="00C47F2F" w:rsidRDefault="006703A2" w:rsidP="006243FB">
            <w:pPr>
              <w:pStyle w:val="Table"/>
              <w:rPr>
                <w:noProof/>
                <w:sz w:val="20"/>
                <w:szCs w:val="20"/>
              </w:rPr>
            </w:pPr>
            <w:r w:rsidRPr="00C47F2F">
              <w:rPr>
                <w:noProof/>
                <w:sz w:val="20"/>
                <w:szCs w:val="20"/>
              </w:rPr>
              <w:t>9.90E-02</w:t>
            </w:r>
          </w:p>
        </w:tc>
      </w:tr>
      <w:tr w:rsidR="006703A2" w:rsidRPr="00972C81" w14:paraId="5253B583" w14:textId="77777777" w:rsidTr="006243FB">
        <w:trPr>
          <w:trHeight w:val="340"/>
        </w:trPr>
        <w:tc>
          <w:tcPr>
            <w:tcW w:w="2994" w:type="dxa"/>
            <w:shd w:val="clear" w:color="auto" w:fill="auto"/>
            <w:noWrap/>
            <w:vAlign w:val="center"/>
          </w:tcPr>
          <w:p w14:paraId="61A98779" w14:textId="7FFAB19C" w:rsidR="006703A2" w:rsidRPr="006703A2" w:rsidRDefault="006703A2" w:rsidP="006243FB">
            <w:pPr>
              <w:pStyle w:val="Table"/>
              <w:rPr>
                <w:noProof/>
                <w:sz w:val="20"/>
                <w:szCs w:val="22"/>
              </w:rPr>
            </w:pPr>
            <w:r w:rsidRPr="006703A2">
              <w:rPr>
                <w:noProof/>
                <w:sz w:val="20"/>
                <w:szCs w:val="22"/>
              </w:rPr>
              <w:t>Kidneys 2 to Blood</w:t>
            </w:r>
          </w:p>
        </w:tc>
        <w:tc>
          <w:tcPr>
            <w:tcW w:w="1005" w:type="dxa"/>
            <w:shd w:val="clear" w:color="auto" w:fill="auto"/>
            <w:noWrap/>
            <w:vAlign w:val="center"/>
          </w:tcPr>
          <w:p w14:paraId="3FBF2777" w14:textId="77777777" w:rsidR="006703A2" w:rsidRPr="00C47F2F" w:rsidRDefault="006703A2" w:rsidP="006243FB">
            <w:pPr>
              <w:pStyle w:val="Table"/>
              <w:rPr>
                <w:noProof/>
                <w:sz w:val="20"/>
                <w:szCs w:val="20"/>
              </w:rPr>
            </w:pPr>
            <w:r w:rsidRPr="00C47F2F">
              <w:rPr>
                <w:noProof/>
                <w:sz w:val="20"/>
                <w:szCs w:val="20"/>
              </w:rPr>
              <w:t>3.80E-04</w:t>
            </w:r>
          </w:p>
        </w:tc>
        <w:tc>
          <w:tcPr>
            <w:tcW w:w="1006" w:type="dxa"/>
            <w:shd w:val="clear" w:color="auto" w:fill="auto"/>
            <w:noWrap/>
            <w:vAlign w:val="center"/>
          </w:tcPr>
          <w:p w14:paraId="2359D966" w14:textId="77777777" w:rsidR="006703A2" w:rsidRPr="00C47F2F" w:rsidRDefault="006703A2" w:rsidP="006243FB">
            <w:pPr>
              <w:pStyle w:val="Table"/>
              <w:rPr>
                <w:noProof/>
                <w:sz w:val="20"/>
                <w:szCs w:val="20"/>
              </w:rPr>
            </w:pPr>
            <w:r w:rsidRPr="00C47F2F">
              <w:rPr>
                <w:noProof/>
                <w:sz w:val="20"/>
                <w:szCs w:val="20"/>
              </w:rPr>
              <w:t>3.80E-04</w:t>
            </w:r>
          </w:p>
        </w:tc>
        <w:tc>
          <w:tcPr>
            <w:tcW w:w="1006" w:type="dxa"/>
            <w:shd w:val="clear" w:color="auto" w:fill="auto"/>
            <w:noWrap/>
            <w:vAlign w:val="center"/>
          </w:tcPr>
          <w:p w14:paraId="48F5D760" w14:textId="77777777" w:rsidR="006703A2" w:rsidRPr="00C47F2F" w:rsidRDefault="006703A2" w:rsidP="006243FB">
            <w:pPr>
              <w:pStyle w:val="Table"/>
              <w:rPr>
                <w:noProof/>
                <w:sz w:val="20"/>
                <w:szCs w:val="20"/>
              </w:rPr>
            </w:pPr>
            <w:r w:rsidRPr="00C47F2F">
              <w:rPr>
                <w:noProof/>
                <w:sz w:val="20"/>
                <w:szCs w:val="20"/>
              </w:rPr>
              <w:t>3.80E-04</w:t>
            </w:r>
          </w:p>
        </w:tc>
        <w:tc>
          <w:tcPr>
            <w:tcW w:w="1006" w:type="dxa"/>
            <w:shd w:val="clear" w:color="auto" w:fill="auto"/>
            <w:noWrap/>
            <w:vAlign w:val="center"/>
          </w:tcPr>
          <w:p w14:paraId="1A5455FE" w14:textId="77777777" w:rsidR="006703A2" w:rsidRPr="00C47F2F" w:rsidRDefault="006703A2" w:rsidP="006243FB">
            <w:pPr>
              <w:pStyle w:val="Table"/>
              <w:rPr>
                <w:noProof/>
                <w:sz w:val="20"/>
                <w:szCs w:val="20"/>
              </w:rPr>
            </w:pPr>
            <w:r w:rsidRPr="00C47F2F">
              <w:rPr>
                <w:noProof/>
                <w:sz w:val="20"/>
                <w:szCs w:val="20"/>
              </w:rPr>
              <w:t>3.80E-04</w:t>
            </w:r>
          </w:p>
        </w:tc>
        <w:tc>
          <w:tcPr>
            <w:tcW w:w="1006" w:type="dxa"/>
            <w:shd w:val="clear" w:color="auto" w:fill="auto"/>
            <w:noWrap/>
            <w:vAlign w:val="center"/>
          </w:tcPr>
          <w:p w14:paraId="3073BC21" w14:textId="77777777" w:rsidR="006703A2" w:rsidRPr="00C47F2F" w:rsidRDefault="006703A2" w:rsidP="006243FB">
            <w:pPr>
              <w:pStyle w:val="Table"/>
              <w:rPr>
                <w:noProof/>
                <w:sz w:val="20"/>
                <w:szCs w:val="20"/>
              </w:rPr>
            </w:pPr>
            <w:r w:rsidRPr="00C47F2F">
              <w:rPr>
                <w:noProof/>
                <w:sz w:val="20"/>
                <w:szCs w:val="20"/>
              </w:rPr>
              <w:t>3.80E-04</w:t>
            </w:r>
          </w:p>
        </w:tc>
        <w:tc>
          <w:tcPr>
            <w:tcW w:w="1004" w:type="dxa"/>
            <w:shd w:val="clear" w:color="auto" w:fill="auto"/>
            <w:noWrap/>
            <w:vAlign w:val="center"/>
          </w:tcPr>
          <w:p w14:paraId="63050312" w14:textId="77777777" w:rsidR="006703A2" w:rsidRPr="00C47F2F" w:rsidRDefault="006703A2" w:rsidP="006243FB">
            <w:pPr>
              <w:pStyle w:val="Table"/>
              <w:rPr>
                <w:noProof/>
                <w:sz w:val="20"/>
                <w:szCs w:val="20"/>
              </w:rPr>
            </w:pPr>
            <w:r w:rsidRPr="00C47F2F">
              <w:rPr>
                <w:noProof/>
                <w:sz w:val="20"/>
                <w:szCs w:val="20"/>
              </w:rPr>
              <w:t>3.80E-04</w:t>
            </w:r>
          </w:p>
        </w:tc>
      </w:tr>
      <w:tr w:rsidR="006703A2" w:rsidRPr="00972C81" w14:paraId="10B5444E" w14:textId="77777777" w:rsidTr="006243FB">
        <w:trPr>
          <w:trHeight w:val="340"/>
        </w:trPr>
        <w:tc>
          <w:tcPr>
            <w:tcW w:w="2994" w:type="dxa"/>
            <w:shd w:val="clear" w:color="auto" w:fill="auto"/>
            <w:noWrap/>
            <w:vAlign w:val="center"/>
          </w:tcPr>
          <w:p w14:paraId="7067329C" w14:textId="7E7D4CCE" w:rsidR="006703A2" w:rsidRPr="006703A2" w:rsidRDefault="006703A2" w:rsidP="006243FB">
            <w:pPr>
              <w:pStyle w:val="Table"/>
              <w:rPr>
                <w:noProof/>
                <w:sz w:val="20"/>
                <w:szCs w:val="22"/>
              </w:rPr>
            </w:pPr>
            <w:r w:rsidRPr="006703A2">
              <w:rPr>
                <w:noProof/>
                <w:sz w:val="20"/>
                <w:szCs w:val="22"/>
              </w:rPr>
              <w:t>Testes to Blood</w:t>
            </w:r>
          </w:p>
        </w:tc>
        <w:tc>
          <w:tcPr>
            <w:tcW w:w="1005" w:type="dxa"/>
            <w:shd w:val="clear" w:color="auto" w:fill="auto"/>
            <w:noWrap/>
            <w:vAlign w:val="center"/>
          </w:tcPr>
          <w:p w14:paraId="420D8A93" w14:textId="77777777" w:rsidR="006703A2" w:rsidRPr="00C47F2F" w:rsidRDefault="006703A2" w:rsidP="006243FB">
            <w:pPr>
              <w:pStyle w:val="Table"/>
              <w:rPr>
                <w:noProof/>
                <w:sz w:val="20"/>
                <w:szCs w:val="20"/>
              </w:rPr>
            </w:pPr>
            <w:r w:rsidRPr="00C47F2F">
              <w:rPr>
                <w:noProof/>
                <w:sz w:val="20"/>
                <w:szCs w:val="20"/>
              </w:rPr>
              <w:t>3.80E-04</w:t>
            </w:r>
          </w:p>
        </w:tc>
        <w:tc>
          <w:tcPr>
            <w:tcW w:w="1006" w:type="dxa"/>
            <w:shd w:val="clear" w:color="auto" w:fill="auto"/>
            <w:noWrap/>
            <w:vAlign w:val="center"/>
          </w:tcPr>
          <w:p w14:paraId="1C8A05A4" w14:textId="77777777" w:rsidR="006703A2" w:rsidRPr="00C47F2F" w:rsidRDefault="006703A2" w:rsidP="006243FB">
            <w:pPr>
              <w:pStyle w:val="Table"/>
              <w:rPr>
                <w:noProof/>
                <w:sz w:val="20"/>
                <w:szCs w:val="20"/>
              </w:rPr>
            </w:pPr>
            <w:r w:rsidRPr="00C47F2F">
              <w:rPr>
                <w:noProof/>
                <w:sz w:val="20"/>
                <w:szCs w:val="20"/>
              </w:rPr>
              <w:t>3.80E-04</w:t>
            </w:r>
          </w:p>
        </w:tc>
        <w:tc>
          <w:tcPr>
            <w:tcW w:w="1006" w:type="dxa"/>
            <w:shd w:val="clear" w:color="auto" w:fill="auto"/>
            <w:noWrap/>
            <w:vAlign w:val="center"/>
          </w:tcPr>
          <w:p w14:paraId="76072F0E" w14:textId="77777777" w:rsidR="006703A2" w:rsidRPr="00C47F2F" w:rsidRDefault="006703A2" w:rsidP="006243FB">
            <w:pPr>
              <w:pStyle w:val="Table"/>
              <w:rPr>
                <w:noProof/>
                <w:sz w:val="20"/>
                <w:szCs w:val="20"/>
              </w:rPr>
            </w:pPr>
            <w:r w:rsidRPr="00C47F2F">
              <w:rPr>
                <w:noProof/>
                <w:sz w:val="20"/>
                <w:szCs w:val="20"/>
              </w:rPr>
              <w:t>3.80E-04</w:t>
            </w:r>
          </w:p>
        </w:tc>
        <w:tc>
          <w:tcPr>
            <w:tcW w:w="1006" w:type="dxa"/>
            <w:shd w:val="clear" w:color="auto" w:fill="auto"/>
            <w:noWrap/>
            <w:vAlign w:val="center"/>
          </w:tcPr>
          <w:p w14:paraId="0CA51B0F" w14:textId="77777777" w:rsidR="006703A2" w:rsidRPr="00C47F2F" w:rsidRDefault="006703A2" w:rsidP="006243FB">
            <w:pPr>
              <w:pStyle w:val="Table"/>
              <w:rPr>
                <w:noProof/>
                <w:sz w:val="20"/>
                <w:szCs w:val="20"/>
              </w:rPr>
            </w:pPr>
            <w:r w:rsidRPr="00C47F2F">
              <w:rPr>
                <w:noProof/>
                <w:sz w:val="20"/>
                <w:szCs w:val="20"/>
              </w:rPr>
              <w:t>3.80E-04</w:t>
            </w:r>
          </w:p>
        </w:tc>
        <w:tc>
          <w:tcPr>
            <w:tcW w:w="1006" w:type="dxa"/>
            <w:shd w:val="clear" w:color="auto" w:fill="auto"/>
            <w:noWrap/>
            <w:vAlign w:val="center"/>
          </w:tcPr>
          <w:p w14:paraId="350BC260" w14:textId="77777777" w:rsidR="006703A2" w:rsidRPr="00C47F2F" w:rsidRDefault="006703A2" w:rsidP="006243FB">
            <w:pPr>
              <w:pStyle w:val="Table"/>
              <w:rPr>
                <w:noProof/>
                <w:sz w:val="20"/>
                <w:szCs w:val="20"/>
              </w:rPr>
            </w:pPr>
            <w:r w:rsidRPr="00C47F2F">
              <w:rPr>
                <w:noProof/>
                <w:sz w:val="20"/>
                <w:szCs w:val="20"/>
              </w:rPr>
              <w:t>3.80E-04</w:t>
            </w:r>
          </w:p>
        </w:tc>
        <w:tc>
          <w:tcPr>
            <w:tcW w:w="1004" w:type="dxa"/>
            <w:shd w:val="clear" w:color="auto" w:fill="auto"/>
            <w:noWrap/>
            <w:vAlign w:val="center"/>
          </w:tcPr>
          <w:p w14:paraId="1F2CB1FF" w14:textId="77777777" w:rsidR="006703A2" w:rsidRPr="00C47F2F" w:rsidRDefault="006703A2" w:rsidP="006243FB">
            <w:pPr>
              <w:pStyle w:val="Table"/>
              <w:rPr>
                <w:noProof/>
                <w:sz w:val="20"/>
                <w:szCs w:val="20"/>
              </w:rPr>
            </w:pPr>
            <w:r w:rsidRPr="00C47F2F">
              <w:rPr>
                <w:noProof/>
                <w:sz w:val="20"/>
                <w:szCs w:val="20"/>
              </w:rPr>
              <w:t>3.80E-04</w:t>
            </w:r>
          </w:p>
        </w:tc>
      </w:tr>
      <w:tr w:rsidR="006703A2" w:rsidRPr="00972C81" w14:paraId="4275F915" w14:textId="77777777" w:rsidTr="006243FB">
        <w:trPr>
          <w:trHeight w:val="340"/>
        </w:trPr>
        <w:tc>
          <w:tcPr>
            <w:tcW w:w="2994" w:type="dxa"/>
            <w:tcBorders>
              <w:bottom w:val="single" w:sz="4" w:space="0" w:color="auto"/>
            </w:tcBorders>
            <w:shd w:val="clear" w:color="auto" w:fill="auto"/>
            <w:noWrap/>
            <w:vAlign w:val="center"/>
          </w:tcPr>
          <w:p w14:paraId="150A0E73" w14:textId="0019BD0A" w:rsidR="006703A2" w:rsidRPr="006703A2" w:rsidRDefault="006703A2" w:rsidP="006243FB">
            <w:pPr>
              <w:pStyle w:val="Table"/>
              <w:rPr>
                <w:noProof/>
                <w:sz w:val="20"/>
                <w:szCs w:val="22"/>
              </w:rPr>
            </w:pPr>
            <w:r w:rsidRPr="006703A2">
              <w:rPr>
                <w:noProof/>
                <w:sz w:val="20"/>
                <w:szCs w:val="22"/>
              </w:rPr>
              <w:t>Ovaries to Blood</w:t>
            </w:r>
          </w:p>
        </w:tc>
        <w:tc>
          <w:tcPr>
            <w:tcW w:w="1005" w:type="dxa"/>
            <w:tcBorders>
              <w:bottom w:val="single" w:sz="4" w:space="0" w:color="auto"/>
            </w:tcBorders>
            <w:shd w:val="clear" w:color="auto" w:fill="auto"/>
            <w:noWrap/>
            <w:vAlign w:val="center"/>
          </w:tcPr>
          <w:p w14:paraId="3DD90867" w14:textId="77777777" w:rsidR="006703A2" w:rsidRPr="00C47F2F" w:rsidRDefault="006703A2" w:rsidP="006243FB">
            <w:pPr>
              <w:pStyle w:val="Table"/>
              <w:rPr>
                <w:noProof/>
                <w:sz w:val="20"/>
                <w:szCs w:val="20"/>
              </w:rPr>
            </w:pPr>
            <w:r w:rsidRPr="00C47F2F">
              <w:rPr>
                <w:noProof/>
                <w:sz w:val="20"/>
                <w:szCs w:val="20"/>
              </w:rPr>
              <w:t>3.80E-04</w:t>
            </w:r>
          </w:p>
        </w:tc>
        <w:tc>
          <w:tcPr>
            <w:tcW w:w="1006" w:type="dxa"/>
            <w:tcBorders>
              <w:bottom w:val="single" w:sz="4" w:space="0" w:color="auto"/>
            </w:tcBorders>
            <w:shd w:val="clear" w:color="auto" w:fill="auto"/>
            <w:noWrap/>
            <w:vAlign w:val="center"/>
          </w:tcPr>
          <w:p w14:paraId="4A241ADA" w14:textId="77777777" w:rsidR="006703A2" w:rsidRPr="00C47F2F" w:rsidRDefault="006703A2" w:rsidP="006243FB">
            <w:pPr>
              <w:pStyle w:val="Table"/>
              <w:rPr>
                <w:noProof/>
                <w:sz w:val="20"/>
                <w:szCs w:val="20"/>
              </w:rPr>
            </w:pPr>
            <w:r w:rsidRPr="00C47F2F">
              <w:rPr>
                <w:noProof/>
                <w:sz w:val="20"/>
                <w:szCs w:val="20"/>
              </w:rPr>
              <w:t>3.80E-04</w:t>
            </w:r>
          </w:p>
        </w:tc>
        <w:tc>
          <w:tcPr>
            <w:tcW w:w="1006" w:type="dxa"/>
            <w:tcBorders>
              <w:bottom w:val="single" w:sz="4" w:space="0" w:color="auto"/>
            </w:tcBorders>
            <w:shd w:val="clear" w:color="auto" w:fill="auto"/>
            <w:noWrap/>
            <w:vAlign w:val="center"/>
          </w:tcPr>
          <w:p w14:paraId="66270951" w14:textId="77777777" w:rsidR="006703A2" w:rsidRPr="00C47F2F" w:rsidRDefault="006703A2" w:rsidP="006243FB">
            <w:pPr>
              <w:pStyle w:val="Table"/>
              <w:rPr>
                <w:noProof/>
                <w:sz w:val="20"/>
                <w:szCs w:val="20"/>
              </w:rPr>
            </w:pPr>
            <w:r w:rsidRPr="00C47F2F">
              <w:rPr>
                <w:noProof/>
                <w:sz w:val="20"/>
                <w:szCs w:val="20"/>
              </w:rPr>
              <w:t>3.80E-04</w:t>
            </w:r>
          </w:p>
        </w:tc>
        <w:tc>
          <w:tcPr>
            <w:tcW w:w="1006" w:type="dxa"/>
            <w:tcBorders>
              <w:bottom w:val="single" w:sz="4" w:space="0" w:color="auto"/>
            </w:tcBorders>
            <w:shd w:val="clear" w:color="auto" w:fill="auto"/>
            <w:noWrap/>
            <w:vAlign w:val="center"/>
          </w:tcPr>
          <w:p w14:paraId="029D4664" w14:textId="77777777" w:rsidR="006703A2" w:rsidRPr="00C47F2F" w:rsidRDefault="006703A2" w:rsidP="006243FB">
            <w:pPr>
              <w:pStyle w:val="Table"/>
              <w:rPr>
                <w:noProof/>
                <w:sz w:val="20"/>
                <w:szCs w:val="20"/>
              </w:rPr>
            </w:pPr>
            <w:r w:rsidRPr="00C47F2F">
              <w:rPr>
                <w:noProof/>
                <w:sz w:val="20"/>
                <w:szCs w:val="20"/>
              </w:rPr>
              <w:t>3.80E-04</w:t>
            </w:r>
          </w:p>
        </w:tc>
        <w:tc>
          <w:tcPr>
            <w:tcW w:w="1006" w:type="dxa"/>
            <w:tcBorders>
              <w:bottom w:val="single" w:sz="4" w:space="0" w:color="auto"/>
            </w:tcBorders>
            <w:shd w:val="clear" w:color="auto" w:fill="auto"/>
            <w:noWrap/>
            <w:vAlign w:val="center"/>
          </w:tcPr>
          <w:p w14:paraId="66A21543" w14:textId="77777777" w:rsidR="006703A2" w:rsidRPr="00C47F2F" w:rsidRDefault="006703A2" w:rsidP="006243FB">
            <w:pPr>
              <w:pStyle w:val="Table"/>
              <w:rPr>
                <w:noProof/>
                <w:sz w:val="20"/>
                <w:szCs w:val="20"/>
              </w:rPr>
            </w:pPr>
            <w:r w:rsidRPr="00C47F2F">
              <w:rPr>
                <w:noProof/>
                <w:sz w:val="20"/>
                <w:szCs w:val="20"/>
              </w:rPr>
              <w:t>3.80E-04</w:t>
            </w:r>
          </w:p>
        </w:tc>
        <w:tc>
          <w:tcPr>
            <w:tcW w:w="1004" w:type="dxa"/>
            <w:tcBorders>
              <w:bottom w:val="single" w:sz="4" w:space="0" w:color="auto"/>
            </w:tcBorders>
            <w:shd w:val="clear" w:color="auto" w:fill="auto"/>
            <w:noWrap/>
            <w:vAlign w:val="center"/>
          </w:tcPr>
          <w:p w14:paraId="73168840" w14:textId="77777777" w:rsidR="006703A2" w:rsidRPr="00C47F2F" w:rsidRDefault="006703A2" w:rsidP="006243FB">
            <w:pPr>
              <w:pStyle w:val="Table"/>
              <w:rPr>
                <w:noProof/>
                <w:sz w:val="20"/>
                <w:szCs w:val="20"/>
              </w:rPr>
            </w:pPr>
            <w:r w:rsidRPr="00C47F2F">
              <w:rPr>
                <w:noProof/>
                <w:sz w:val="20"/>
                <w:szCs w:val="20"/>
              </w:rPr>
              <w:t>3.80E-04</w:t>
            </w:r>
          </w:p>
        </w:tc>
      </w:tr>
    </w:tbl>
    <w:p w14:paraId="637A7011" w14:textId="77777777" w:rsidR="006703A2" w:rsidRPr="006243FB" w:rsidRDefault="006703A2" w:rsidP="006703A2">
      <w:pPr>
        <w:pStyle w:val="MainTextPreference"/>
        <w:rPr>
          <w:noProof/>
          <w:sz w:val="20"/>
          <w:lang w:val="fr-FR"/>
        </w:rPr>
      </w:pPr>
      <w:r w:rsidRPr="006243FB">
        <w:rPr>
          <w:noProof/>
          <w:sz w:val="20"/>
          <w:vertAlign w:val="superscript"/>
          <w:lang w:val="fr-FR"/>
        </w:rPr>
        <w:t>a</w:t>
      </w:r>
      <w:r w:rsidRPr="006243FB">
        <w:rPr>
          <w:noProof/>
          <w:sz w:val="20"/>
          <w:lang w:val="fr-FR"/>
        </w:rPr>
        <w:t>Cort = Cortical, Trab = Trabecular, SI = Small intestine, cont=content, surf=surface, vol = volume</w:t>
      </w:r>
    </w:p>
    <w:p w14:paraId="5AE67D88" w14:textId="00ECAFD4" w:rsidR="00594915" w:rsidRPr="00972C81" w:rsidRDefault="00594915" w:rsidP="006703A2">
      <w:pPr>
        <w:pStyle w:val="OIRTitre4"/>
      </w:pPr>
      <w:r w:rsidRPr="00972C81">
        <w:t>Treatment of radioactive progeny</w:t>
      </w:r>
    </w:p>
    <w:p w14:paraId="2B4623C5" w14:textId="22A22A20" w:rsidR="00594915" w:rsidRPr="00972C81" w:rsidRDefault="006044EE" w:rsidP="001C4A92">
      <w:pPr>
        <w:pStyle w:val="Annalstext"/>
        <w:rPr>
          <w:rFonts w:ascii="Times Roman" w:hAnsi="Times Roman"/>
          <w:noProof/>
          <w:color w:val="000000"/>
          <w:szCs w:val="24"/>
        </w:rPr>
      </w:pPr>
      <w:r w:rsidRPr="00972C81">
        <w:rPr>
          <w:rFonts w:eastAsia="Calibri"/>
          <w:noProof/>
        </w:rPr>
        <w:t>Th</w:t>
      </w:r>
      <w:r w:rsidRPr="00972C81">
        <w:rPr>
          <w:noProof/>
        </w:rPr>
        <w:t>e</w:t>
      </w:r>
      <w:r w:rsidRPr="00972C81">
        <w:rPr>
          <w:rFonts w:eastAsia="Calibri"/>
          <w:noProof/>
        </w:rPr>
        <w:t xml:space="preserve"> treatment of radioactive progeny produced in systemic compartments after intake of a radioisotope of </w:t>
      </w:r>
      <w:r w:rsidRPr="00972C81">
        <w:rPr>
          <w:noProof/>
        </w:rPr>
        <w:t>einsteinium</w:t>
      </w:r>
      <w:r w:rsidRPr="00972C81">
        <w:rPr>
          <w:rFonts w:eastAsia="Calibri"/>
          <w:noProof/>
        </w:rPr>
        <w:t xml:space="preserve"> is described in Section 18.2.4. of </w:t>
      </w:r>
      <w:r w:rsidR="00F414E6" w:rsidRPr="00972C81">
        <w:rPr>
          <w:i/>
          <w:noProof/>
        </w:rPr>
        <w:t>Publication 141</w:t>
      </w:r>
      <w:r w:rsidR="00F414E6" w:rsidRPr="00972C81">
        <w:rPr>
          <w:noProof/>
        </w:rPr>
        <w:t xml:space="preserve"> </w:t>
      </w:r>
      <w:r w:rsidR="00490741" w:rsidRPr="00972C81">
        <w:rPr>
          <w:noProof/>
        </w:rPr>
        <w:fldChar w:fldCharType="begin"/>
      </w:r>
      <w:r w:rsidR="00FC21A7" w:rsidRPr="00972C81">
        <w:rPr>
          <w:noProof/>
        </w:rPr>
        <w:instrText xml:space="preserve"> ADDIN ZOTERO_ITEM CSL_CITATION {"citationID":"a1clb5tesfi","properties":{"formattedCitation":"(ICRP,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490741" w:rsidRPr="00972C81">
        <w:rPr>
          <w:noProof/>
        </w:rPr>
        <w:fldChar w:fldCharType="separate"/>
      </w:r>
      <w:r w:rsidR="00FC21A7" w:rsidRPr="00972C81">
        <w:rPr>
          <w:noProof/>
          <w:szCs w:val="24"/>
        </w:rPr>
        <w:t>(ICRP, 2019)</w:t>
      </w:r>
      <w:r w:rsidR="00490741" w:rsidRPr="00972C81">
        <w:rPr>
          <w:noProof/>
        </w:rPr>
        <w:fldChar w:fldCharType="end"/>
      </w:r>
      <w:r w:rsidR="00F414E6" w:rsidRPr="00972C81">
        <w:rPr>
          <w:noProof/>
        </w:rPr>
        <w:t>.</w:t>
      </w:r>
    </w:p>
    <w:p w14:paraId="1A4CDB62" w14:textId="77777777" w:rsidR="004836EE" w:rsidRPr="00972C81" w:rsidRDefault="004836EE" w:rsidP="00E81109">
      <w:pPr>
        <w:pStyle w:val="2"/>
        <w:rPr>
          <w:noProof/>
          <w:lang w:val="en-GB"/>
        </w:rPr>
      </w:pPr>
      <w:bookmarkStart w:id="409" w:name="_Toc162630138"/>
      <w:r w:rsidRPr="00972C81">
        <w:rPr>
          <w:noProof/>
          <w:lang w:val="en-GB"/>
        </w:rPr>
        <w:t>Dosimetric data for einsteinium</w:t>
      </w:r>
      <w:bookmarkEnd w:id="409"/>
    </w:p>
    <w:p w14:paraId="2C99F802" w14:textId="1A557D19" w:rsidR="00901BDC" w:rsidRPr="00972C81" w:rsidRDefault="0028242E" w:rsidP="00C47F2F">
      <w:pPr>
        <w:widowControl/>
        <w:jc w:val="left"/>
        <w:rPr>
          <w:noProof/>
          <w:szCs w:val="24"/>
        </w:rPr>
      </w:pPr>
      <w:r w:rsidRPr="00972C81">
        <w:rPr>
          <w:noProof/>
          <w:szCs w:val="24"/>
        </w:rPr>
        <w:t>Table 27.3. Committed effective dose coefficients (Sv Bq</w:t>
      </w:r>
      <w:r w:rsidRPr="00972C81">
        <w:rPr>
          <w:noProof/>
          <w:szCs w:val="24"/>
          <w:vertAlign w:val="superscript"/>
        </w:rPr>
        <w:t>-1</w:t>
      </w:r>
      <w:r w:rsidRPr="00972C81">
        <w:rPr>
          <w:noProof/>
          <w:szCs w:val="24"/>
        </w:rPr>
        <w:t xml:space="preserve">) for the inhalation or ingestion of </w:t>
      </w:r>
      <w:r w:rsidRPr="00972C81">
        <w:rPr>
          <w:noProof/>
          <w:szCs w:val="24"/>
          <w:vertAlign w:val="superscript"/>
        </w:rPr>
        <w:t>254</w:t>
      </w:r>
      <w:r w:rsidRPr="00972C81">
        <w:rPr>
          <w:noProof/>
          <w:szCs w:val="24"/>
        </w:rPr>
        <w:t>Es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28242E" w:rsidRPr="00A3213E" w14:paraId="41AC1E68" w14:textId="77777777" w:rsidTr="00C47F2F">
        <w:trPr>
          <w:trHeight w:val="259"/>
        </w:trPr>
        <w:tc>
          <w:tcPr>
            <w:tcW w:w="2087" w:type="pct"/>
            <w:vMerge w:val="restart"/>
            <w:tcBorders>
              <w:top w:val="single" w:sz="4" w:space="0" w:color="auto"/>
              <w:left w:val="nil"/>
              <w:bottom w:val="single" w:sz="4" w:space="0" w:color="auto"/>
              <w:right w:val="nil"/>
            </w:tcBorders>
            <w:vAlign w:val="bottom"/>
            <w:hideMark/>
          </w:tcPr>
          <w:p w14:paraId="2CA61BF6" w14:textId="77777777" w:rsidR="00834C3F" w:rsidRDefault="0028242E">
            <w:pPr>
              <w:pStyle w:val="a5"/>
              <w:tabs>
                <w:tab w:val="clear" w:pos="4153"/>
                <w:tab w:val="clear" w:pos="8306"/>
              </w:tabs>
              <w:rPr>
                <w:noProof/>
                <w:sz w:val="22"/>
                <w:szCs w:val="22"/>
              </w:rPr>
            </w:pPr>
            <w:r w:rsidRPr="00C47F2F">
              <w:rPr>
                <w:noProof/>
                <w:sz w:val="22"/>
                <w:szCs w:val="22"/>
              </w:rPr>
              <w:t>Inhaled particulate materials</w:t>
            </w:r>
          </w:p>
          <w:p w14:paraId="5A317602" w14:textId="65501EFE" w:rsidR="0028242E" w:rsidRPr="00834C3F" w:rsidRDefault="0028242E" w:rsidP="00C47F2F">
            <w:pPr>
              <w:pStyle w:val="a5"/>
              <w:tabs>
                <w:tab w:val="clear" w:pos="4153"/>
                <w:tab w:val="clear" w:pos="8306"/>
              </w:tabs>
              <w:rPr>
                <w:noProof/>
                <w:sz w:val="22"/>
                <w:szCs w:val="22"/>
              </w:rPr>
            </w:pPr>
            <w:r w:rsidRPr="00C47F2F">
              <w:rPr>
                <w:noProof/>
                <w:sz w:val="22"/>
                <w:szCs w:val="22"/>
              </w:rPr>
              <w:t>(1 µm AMAD aerosols)</w:t>
            </w:r>
          </w:p>
        </w:tc>
        <w:tc>
          <w:tcPr>
            <w:tcW w:w="2913" w:type="pct"/>
            <w:gridSpan w:val="6"/>
            <w:tcBorders>
              <w:top w:val="single" w:sz="4" w:space="0" w:color="auto"/>
              <w:left w:val="nil"/>
              <w:bottom w:val="single" w:sz="4" w:space="0" w:color="auto"/>
              <w:right w:val="nil"/>
            </w:tcBorders>
            <w:hideMark/>
          </w:tcPr>
          <w:p w14:paraId="368905B1" w14:textId="77777777" w:rsidR="0028242E" w:rsidRPr="00C47F2F" w:rsidRDefault="0028242E">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28242E" w:rsidRPr="00972C81" w14:paraId="1E7FA8A2" w14:textId="77777777" w:rsidTr="006243FB">
        <w:trPr>
          <w:trHeight w:val="259"/>
        </w:trPr>
        <w:tc>
          <w:tcPr>
            <w:tcW w:w="2087" w:type="pct"/>
            <w:vMerge/>
            <w:tcBorders>
              <w:top w:val="single" w:sz="4" w:space="0" w:color="auto"/>
              <w:left w:val="nil"/>
              <w:bottom w:val="single" w:sz="4" w:space="0" w:color="auto"/>
              <w:right w:val="nil"/>
            </w:tcBorders>
            <w:vAlign w:val="center"/>
            <w:hideMark/>
          </w:tcPr>
          <w:p w14:paraId="03176416" w14:textId="77777777" w:rsidR="0028242E" w:rsidRPr="00834C3F" w:rsidRDefault="0028242E">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33674D7A" w14:textId="11FA37FE" w:rsidR="0028242E" w:rsidRPr="00C47F2F" w:rsidRDefault="0028242E" w:rsidP="006243FB">
            <w:pPr>
              <w:jc w:val="left"/>
              <w:rPr>
                <w:noProof/>
                <w:sz w:val="22"/>
                <w:szCs w:val="22"/>
                <w:lang w:eastAsia="ko-KR"/>
              </w:rPr>
            </w:pPr>
            <w:r w:rsidRPr="00C47F2F">
              <w:rPr>
                <w:noProof/>
                <w:sz w:val="22"/>
                <w:szCs w:val="22"/>
              </w:rPr>
              <w:t>3</w:t>
            </w:r>
            <w:r w:rsidR="00834C3F">
              <w:rPr>
                <w:rFonts w:hint="eastAsia"/>
                <w:noProof/>
                <w:sz w:val="22"/>
                <w:szCs w:val="22"/>
                <w:lang w:eastAsia="ko-KR"/>
              </w:rPr>
              <w:t xml:space="preserve"> </w:t>
            </w:r>
            <w:r w:rsidRPr="00C47F2F">
              <w:rPr>
                <w:noProof/>
                <w:sz w:val="22"/>
                <w:szCs w:val="22"/>
              </w:rPr>
              <w:t>m</w:t>
            </w:r>
            <w:r w:rsidR="006243FB">
              <w:rPr>
                <w:rFonts w:hint="eastAsia"/>
                <w:noProof/>
                <w:sz w:val="22"/>
                <w:szCs w:val="22"/>
                <w:lang w:eastAsia="ko-KR"/>
              </w:rPr>
              <w:t>o</w:t>
            </w:r>
          </w:p>
        </w:tc>
        <w:tc>
          <w:tcPr>
            <w:tcW w:w="485" w:type="pct"/>
            <w:tcBorders>
              <w:top w:val="single" w:sz="4" w:space="0" w:color="auto"/>
              <w:left w:val="nil"/>
              <w:bottom w:val="single" w:sz="4" w:space="0" w:color="auto"/>
              <w:right w:val="nil"/>
            </w:tcBorders>
            <w:vAlign w:val="center"/>
            <w:hideMark/>
          </w:tcPr>
          <w:p w14:paraId="1D13FE9E" w14:textId="611DD387" w:rsidR="0028242E" w:rsidRPr="00C47F2F" w:rsidRDefault="0028242E" w:rsidP="006243FB">
            <w:pPr>
              <w:jc w:val="left"/>
              <w:rPr>
                <w:noProof/>
                <w:sz w:val="22"/>
                <w:szCs w:val="22"/>
              </w:rPr>
            </w:pPr>
            <w:r w:rsidRPr="00C47F2F">
              <w:rPr>
                <w:noProof/>
                <w:sz w:val="22"/>
                <w:szCs w:val="22"/>
              </w:rPr>
              <w:t>1</w:t>
            </w:r>
            <w:r w:rsidR="00834C3F">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231BADD8" w14:textId="6F466CFD" w:rsidR="0028242E" w:rsidRPr="00C47F2F" w:rsidRDefault="0028242E" w:rsidP="006243FB">
            <w:pPr>
              <w:jc w:val="left"/>
              <w:rPr>
                <w:noProof/>
                <w:sz w:val="22"/>
                <w:szCs w:val="22"/>
              </w:rPr>
            </w:pPr>
            <w:r w:rsidRPr="00C47F2F">
              <w:rPr>
                <w:noProof/>
                <w:sz w:val="22"/>
                <w:szCs w:val="22"/>
              </w:rPr>
              <w:t>5</w:t>
            </w:r>
            <w:r w:rsidR="00834C3F">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77E90504" w14:textId="56DC9CC4" w:rsidR="0028242E" w:rsidRPr="00C47F2F" w:rsidRDefault="0028242E" w:rsidP="006243FB">
            <w:pPr>
              <w:jc w:val="left"/>
              <w:rPr>
                <w:noProof/>
                <w:sz w:val="22"/>
                <w:szCs w:val="22"/>
              </w:rPr>
            </w:pPr>
            <w:r w:rsidRPr="00C47F2F">
              <w:rPr>
                <w:noProof/>
                <w:sz w:val="22"/>
                <w:szCs w:val="22"/>
              </w:rPr>
              <w:t>10</w:t>
            </w:r>
            <w:r w:rsidR="00834C3F">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41726A95" w14:textId="5B08E2DF" w:rsidR="0028242E" w:rsidRPr="00C47F2F" w:rsidRDefault="0028242E" w:rsidP="006243FB">
            <w:pPr>
              <w:jc w:val="left"/>
              <w:rPr>
                <w:noProof/>
                <w:sz w:val="22"/>
                <w:szCs w:val="22"/>
              </w:rPr>
            </w:pPr>
            <w:r w:rsidRPr="00C47F2F">
              <w:rPr>
                <w:noProof/>
                <w:sz w:val="22"/>
                <w:szCs w:val="22"/>
              </w:rPr>
              <w:t>15</w:t>
            </w:r>
            <w:r w:rsidR="00834C3F">
              <w:rPr>
                <w:rFonts w:hint="eastAsia"/>
                <w:noProof/>
                <w:sz w:val="22"/>
                <w:szCs w:val="22"/>
                <w:lang w:eastAsia="ko-KR"/>
              </w:rPr>
              <w:t xml:space="preserve"> </w:t>
            </w:r>
            <w:r w:rsidRPr="00C47F2F">
              <w:rPr>
                <w:noProof/>
                <w:sz w:val="22"/>
                <w:szCs w:val="22"/>
              </w:rPr>
              <w:t>y</w:t>
            </w:r>
          </w:p>
        </w:tc>
        <w:tc>
          <w:tcPr>
            <w:tcW w:w="488" w:type="pct"/>
            <w:tcBorders>
              <w:top w:val="single" w:sz="4" w:space="0" w:color="auto"/>
              <w:left w:val="nil"/>
              <w:bottom w:val="single" w:sz="4" w:space="0" w:color="auto"/>
              <w:right w:val="nil"/>
            </w:tcBorders>
            <w:vAlign w:val="center"/>
            <w:hideMark/>
          </w:tcPr>
          <w:p w14:paraId="5D6FA0FB" w14:textId="77777777" w:rsidR="0028242E" w:rsidRPr="00C47F2F" w:rsidRDefault="0028242E" w:rsidP="006243FB">
            <w:pPr>
              <w:jc w:val="left"/>
              <w:rPr>
                <w:noProof/>
                <w:sz w:val="22"/>
                <w:szCs w:val="22"/>
              </w:rPr>
            </w:pPr>
            <w:r w:rsidRPr="00C47F2F">
              <w:rPr>
                <w:noProof/>
                <w:sz w:val="22"/>
                <w:szCs w:val="22"/>
              </w:rPr>
              <w:t>Adult</w:t>
            </w:r>
          </w:p>
        </w:tc>
      </w:tr>
      <w:tr w:rsidR="0028242E" w:rsidRPr="00972C81" w14:paraId="54B19095" w14:textId="77777777" w:rsidTr="006243FB">
        <w:trPr>
          <w:trHeight w:val="248"/>
        </w:trPr>
        <w:tc>
          <w:tcPr>
            <w:tcW w:w="2087" w:type="pct"/>
            <w:tcBorders>
              <w:top w:val="single" w:sz="4" w:space="0" w:color="auto"/>
              <w:left w:val="nil"/>
              <w:bottom w:val="nil"/>
              <w:right w:val="nil"/>
            </w:tcBorders>
            <w:vAlign w:val="center"/>
            <w:hideMark/>
          </w:tcPr>
          <w:p w14:paraId="22751476" w14:textId="77777777" w:rsidR="0028242E" w:rsidRPr="00C47F2F" w:rsidRDefault="0028242E" w:rsidP="006243FB">
            <w:pPr>
              <w:jc w:val="left"/>
              <w:rPr>
                <w:noProof/>
                <w:color w:val="000000"/>
                <w:sz w:val="22"/>
                <w:szCs w:val="22"/>
              </w:rPr>
            </w:pPr>
            <w:r w:rsidRPr="00C47F2F">
              <w:rPr>
                <w:noProof/>
                <w:color w:val="000000"/>
                <w:sz w:val="22"/>
                <w:szCs w:val="22"/>
              </w:rPr>
              <w:t>Type F</w:t>
            </w:r>
            <w:r w:rsidRPr="00C47F2F">
              <w:rPr>
                <w:noProof/>
                <w:sz w:val="22"/>
                <w:szCs w:val="22"/>
              </w:rPr>
              <w:t xml:space="preserve">, </w:t>
            </w:r>
            <w:r w:rsidRPr="00C47F2F">
              <w:rPr>
                <w:rFonts w:eastAsia="Times New Roman"/>
                <w:noProof/>
                <w:color w:val="000000"/>
                <w:sz w:val="22"/>
                <w:szCs w:val="22"/>
                <w:lang w:eastAsia="en-GB"/>
              </w:rPr>
              <w:t>einsteinium chloride</w:t>
            </w:r>
          </w:p>
        </w:tc>
        <w:tc>
          <w:tcPr>
            <w:tcW w:w="485" w:type="pct"/>
            <w:tcBorders>
              <w:top w:val="single" w:sz="4" w:space="0" w:color="auto"/>
              <w:left w:val="nil"/>
              <w:bottom w:val="nil"/>
              <w:right w:val="nil"/>
            </w:tcBorders>
            <w:vAlign w:val="center"/>
            <w:hideMark/>
          </w:tcPr>
          <w:p w14:paraId="009EC2E5"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1.6E-05</w:t>
            </w:r>
          </w:p>
        </w:tc>
        <w:tc>
          <w:tcPr>
            <w:tcW w:w="485" w:type="pct"/>
            <w:tcBorders>
              <w:top w:val="single" w:sz="4" w:space="0" w:color="auto"/>
              <w:left w:val="nil"/>
              <w:bottom w:val="nil"/>
              <w:right w:val="nil"/>
            </w:tcBorders>
            <w:vAlign w:val="center"/>
            <w:hideMark/>
          </w:tcPr>
          <w:p w14:paraId="65A77E5E"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1.2E-05</w:t>
            </w:r>
          </w:p>
        </w:tc>
        <w:tc>
          <w:tcPr>
            <w:tcW w:w="485" w:type="pct"/>
            <w:tcBorders>
              <w:top w:val="single" w:sz="4" w:space="0" w:color="auto"/>
              <w:left w:val="nil"/>
              <w:bottom w:val="nil"/>
              <w:right w:val="nil"/>
            </w:tcBorders>
            <w:vAlign w:val="center"/>
            <w:hideMark/>
          </w:tcPr>
          <w:p w14:paraId="65A7B84F"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5.5E-06</w:t>
            </w:r>
          </w:p>
        </w:tc>
        <w:tc>
          <w:tcPr>
            <w:tcW w:w="485" w:type="pct"/>
            <w:tcBorders>
              <w:top w:val="single" w:sz="4" w:space="0" w:color="auto"/>
              <w:left w:val="nil"/>
              <w:bottom w:val="nil"/>
              <w:right w:val="nil"/>
            </w:tcBorders>
            <w:vAlign w:val="center"/>
            <w:hideMark/>
          </w:tcPr>
          <w:p w14:paraId="6E56A409"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2.8E-06</w:t>
            </w:r>
          </w:p>
        </w:tc>
        <w:tc>
          <w:tcPr>
            <w:tcW w:w="485" w:type="pct"/>
            <w:tcBorders>
              <w:top w:val="single" w:sz="4" w:space="0" w:color="auto"/>
              <w:left w:val="nil"/>
              <w:bottom w:val="nil"/>
              <w:right w:val="nil"/>
            </w:tcBorders>
            <w:vAlign w:val="center"/>
            <w:hideMark/>
          </w:tcPr>
          <w:p w14:paraId="0CDFD858"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2.6E-06</w:t>
            </w:r>
          </w:p>
        </w:tc>
        <w:tc>
          <w:tcPr>
            <w:tcW w:w="488" w:type="pct"/>
            <w:tcBorders>
              <w:top w:val="single" w:sz="4" w:space="0" w:color="auto"/>
              <w:left w:val="nil"/>
              <w:bottom w:val="nil"/>
              <w:right w:val="nil"/>
            </w:tcBorders>
            <w:vAlign w:val="center"/>
            <w:hideMark/>
          </w:tcPr>
          <w:p w14:paraId="027B712E"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2.0E-06</w:t>
            </w:r>
          </w:p>
        </w:tc>
      </w:tr>
      <w:tr w:rsidR="0028242E" w:rsidRPr="00972C81" w14:paraId="40EBBCA1" w14:textId="77777777" w:rsidTr="006243FB">
        <w:trPr>
          <w:trHeight w:val="259"/>
        </w:trPr>
        <w:tc>
          <w:tcPr>
            <w:tcW w:w="2087" w:type="pct"/>
            <w:tcBorders>
              <w:top w:val="nil"/>
              <w:left w:val="nil"/>
              <w:bottom w:val="nil"/>
              <w:right w:val="nil"/>
            </w:tcBorders>
            <w:vAlign w:val="center"/>
            <w:hideMark/>
          </w:tcPr>
          <w:p w14:paraId="3B0477AD" w14:textId="77777777" w:rsidR="0028242E" w:rsidRPr="00C47F2F" w:rsidRDefault="0028242E" w:rsidP="006243FB">
            <w:pPr>
              <w:jc w:val="left"/>
              <w:rPr>
                <w:rFonts w:eastAsiaTheme="minorHAnsi"/>
                <w:noProof/>
                <w:sz w:val="22"/>
                <w:szCs w:val="22"/>
              </w:rPr>
            </w:pPr>
            <w:r w:rsidRPr="00C47F2F">
              <w:rPr>
                <w:noProof/>
                <w:sz w:val="22"/>
                <w:szCs w:val="22"/>
              </w:rPr>
              <w:t xml:space="preserve">Type M, </w:t>
            </w:r>
            <w:r w:rsidRPr="00C47F2F">
              <w:rPr>
                <w:rFonts w:eastAsia="Times New Roman"/>
                <w:noProof/>
                <w:color w:val="000000"/>
                <w:sz w:val="22"/>
                <w:szCs w:val="22"/>
                <w:lang w:eastAsia="en-GB"/>
              </w:rPr>
              <w:t>einsteinium nitrate</w:t>
            </w:r>
          </w:p>
        </w:tc>
        <w:tc>
          <w:tcPr>
            <w:tcW w:w="485" w:type="pct"/>
            <w:tcBorders>
              <w:top w:val="nil"/>
              <w:left w:val="nil"/>
              <w:bottom w:val="nil"/>
              <w:right w:val="nil"/>
            </w:tcBorders>
            <w:vAlign w:val="center"/>
            <w:hideMark/>
          </w:tcPr>
          <w:p w14:paraId="357006A2"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1.7E-05</w:t>
            </w:r>
          </w:p>
        </w:tc>
        <w:tc>
          <w:tcPr>
            <w:tcW w:w="485" w:type="pct"/>
            <w:tcBorders>
              <w:top w:val="nil"/>
              <w:left w:val="nil"/>
              <w:bottom w:val="nil"/>
              <w:right w:val="nil"/>
            </w:tcBorders>
            <w:vAlign w:val="center"/>
            <w:hideMark/>
          </w:tcPr>
          <w:p w14:paraId="25BB4613"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1.5E-05</w:t>
            </w:r>
          </w:p>
        </w:tc>
        <w:tc>
          <w:tcPr>
            <w:tcW w:w="485" w:type="pct"/>
            <w:tcBorders>
              <w:top w:val="nil"/>
              <w:left w:val="nil"/>
              <w:bottom w:val="nil"/>
              <w:right w:val="nil"/>
            </w:tcBorders>
            <w:vAlign w:val="center"/>
            <w:hideMark/>
          </w:tcPr>
          <w:p w14:paraId="1C7C1CD9"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7.7E-06</w:t>
            </w:r>
          </w:p>
        </w:tc>
        <w:tc>
          <w:tcPr>
            <w:tcW w:w="485" w:type="pct"/>
            <w:tcBorders>
              <w:top w:val="nil"/>
              <w:left w:val="nil"/>
              <w:bottom w:val="nil"/>
              <w:right w:val="nil"/>
            </w:tcBorders>
            <w:vAlign w:val="center"/>
            <w:hideMark/>
          </w:tcPr>
          <w:p w14:paraId="606B716B"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4.6E-06</w:t>
            </w:r>
          </w:p>
        </w:tc>
        <w:tc>
          <w:tcPr>
            <w:tcW w:w="485" w:type="pct"/>
            <w:tcBorders>
              <w:top w:val="nil"/>
              <w:left w:val="nil"/>
              <w:bottom w:val="nil"/>
              <w:right w:val="nil"/>
            </w:tcBorders>
            <w:vAlign w:val="center"/>
            <w:hideMark/>
          </w:tcPr>
          <w:p w14:paraId="14EB05BE"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3.8E-06</w:t>
            </w:r>
          </w:p>
        </w:tc>
        <w:tc>
          <w:tcPr>
            <w:tcW w:w="488" w:type="pct"/>
            <w:tcBorders>
              <w:top w:val="nil"/>
              <w:left w:val="nil"/>
              <w:bottom w:val="nil"/>
              <w:right w:val="nil"/>
            </w:tcBorders>
            <w:vAlign w:val="center"/>
            <w:hideMark/>
          </w:tcPr>
          <w:p w14:paraId="174804C5"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3.3E-06</w:t>
            </w:r>
          </w:p>
        </w:tc>
      </w:tr>
      <w:tr w:rsidR="0028242E" w:rsidRPr="00972C81" w14:paraId="6591964A" w14:textId="77777777" w:rsidTr="006243FB">
        <w:trPr>
          <w:trHeight w:val="259"/>
        </w:trPr>
        <w:tc>
          <w:tcPr>
            <w:tcW w:w="2087" w:type="pct"/>
            <w:tcBorders>
              <w:top w:val="nil"/>
              <w:left w:val="nil"/>
              <w:bottom w:val="single" w:sz="4" w:space="0" w:color="auto"/>
              <w:right w:val="nil"/>
            </w:tcBorders>
            <w:vAlign w:val="center"/>
            <w:hideMark/>
          </w:tcPr>
          <w:p w14:paraId="2EB035C5" w14:textId="77777777" w:rsidR="0028242E" w:rsidRPr="00C47F2F" w:rsidRDefault="0028242E" w:rsidP="006243FB">
            <w:pPr>
              <w:jc w:val="left"/>
              <w:rPr>
                <w:rFonts w:eastAsiaTheme="minorHAnsi"/>
                <w:noProof/>
                <w:sz w:val="22"/>
                <w:szCs w:val="22"/>
              </w:rPr>
            </w:pPr>
            <w:r w:rsidRPr="00C47F2F">
              <w:rPr>
                <w:noProof/>
                <w:sz w:val="22"/>
                <w:szCs w:val="22"/>
              </w:rPr>
              <w:t>Type S</w:t>
            </w:r>
          </w:p>
        </w:tc>
        <w:tc>
          <w:tcPr>
            <w:tcW w:w="485" w:type="pct"/>
            <w:tcBorders>
              <w:top w:val="nil"/>
              <w:left w:val="nil"/>
              <w:bottom w:val="single" w:sz="4" w:space="0" w:color="auto"/>
              <w:right w:val="nil"/>
            </w:tcBorders>
            <w:vAlign w:val="center"/>
            <w:hideMark/>
          </w:tcPr>
          <w:p w14:paraId="390B92C5"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2.3E-05</w:t>
            </w:r>
          </w:p>
        </w:tc>
        <w:tc>
          <w:tcPr>
            <w:tcW w:w="485" w:type="pct"/>
            <w:tcBorders>
              <w:top w:val="nil"/>
              <w:left w:val="nil"/>
              <w:bottom w:val="single" w:sz="4" w:space="0" w:color="auto"/>
              <w:right w:val="nil"/>
            </w:tcBorders>
            <w:vAlign w:val="center"/>
            <w:hideMark/>
          </w:tcPr>
          <w:p w14:paraId="0C0A5EFE"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2.0E-05</w:t>
            </w:r>
          </w:p>
        </w:tc>
        <w:tc>
          <w:tcPr>
            <w:tcW w:w="485" w:type="pct"/>
            <w:tcBorders>
              <w:top w:val="nil"/>
              <w:left w:val="nil"/>
              <w:bottom w:val="single" w:sz="4" w:space="0" w:color="auto"/>
              <w:right w:val="nil"/>
            </w:tcBorders>
            <w:vAlign w:val="center"/>
            <w:hideMark/>
          </w:tcPr>
          <w:p w14:paraId="04EAFE6F"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1.2E-05</w:t>
            </w:r>
          </w:p>
        </w:tc>
        <w:tc>
          <w:tcPr>
            <w:tcW w:w="485" w:type="pct"/>
            <w:tcBorders>
              <w:top w:val="nil"/>
              <w:left w:val="nil"/>
              <w:bottom w:val="single" w:sz="4" w:space="0" w:color="auto"/>
              <w:right w:val="nil"/>
            </w:tcBorders>
            <w:vAlign w:val="center"/>
            <w:hideMark/>
          </w:tcPr>
          <w:p w14:paraId="462F98BA"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7.9E-06</w:t>
            </w:r>
          </w:p>
        </w:tc>
        <w:tc>
          <w:tcPr>
            <w:tcW w:w="485" w:type="pct"/>
            <w:tcBorders>
              <w:top w:val="nil"/>
              <w:left w:val="nil"/>
              <w:bottom w:val="single" w:sz="4" w:space="0" w:color="auto"/>
              <w:right w:val="nil"/>
            </w:tcBorders>
            <w:vAlign w:val="center"/>
            <w:hideMark/>
          </w:tcPr>
          <w:p w14:paraId="2B02FE73"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6.3E-06</w:t>
            </w:r>
          </w:p>
        </w:tc>
        <w:tc>
          <w:tcPr>
            <w:tcW w:w="488" w:type="pct"/>
            <w:tcBorders>
              <w:top w:val="nil"/>
              <w:left w:val="nil"/>
              <w:bottom w:val="single" w:sz="4" w:space="0" w:color="auto"/>
              <w:right w:val="nil"/>
            </w:tcBorders>
            <w:vAlign w:val="center"/>
            <w:hideMark/>
          </w:tcPr>
          <w:p w14:paraId="2CE84451"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6.1E-06</w:t>
            </w:r>
          </w:p>
        </w:tc>
      </w:tr>
      <w:tr w:rsidR="0028242E" w:rsidRPr="00972C81" w14:paraId="4DC7B42A" w14:textId="77777777" w:rsidTr="006243FB">
        <w:trPr>
          <w:trHeight w:val="519"/>
        </w:trPr>
        <w:tc>
          <w:tcPr>
            <w:tcW w:w="2087" w:type="pct"/>
            <w:tcBorders>
              <w:top w:val="single" w:sz="4" w:space="0" w:color="auto"/>
              <w:left w:val="nil"/>
              <w:bottom w:val="single" w:sz="4" w:space="0" w:color="auto"/>
              <w:right w:val="nil"/>
            </w:tcBorders>
          </w:tcPr>
          <w:p w14:paraId="1D3F7DEF" w14:textId="77777777" w:rsidR="0028242E" w:rsidRPr="00C47F2F" w:rsidRDefault="0028242E" w:rsidP="00C47F2F">
            <w:pPr>
              <w:jc w:val="left"/>
              <w:rPr>
                <w:rFonts w:eastAsiaTheme="minorHAnsi"/>
                <w:noProof/>
                <w:sz w:val="22"/>
                <w:szCs w:val="22"/>
              </w:rPr>
            </w:pPr>
          </w:p>
          <w:p w14:paraId="27CF06A1" w14:textId="77777777" w:rsidR="0028242E" w:rsidRPr="00C47F2F" w:rsidRDefault="0028242E"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4C3E08EF" w14:textId="77777777" w:rsidR="0028242E" w:rsidRPr="00C47F2F" w:rsidRDefault="0028242E"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02E98661" w14:textId="77777777" w:rsidR="0028242E" w:rsidRPr="00C47F2F" w:rsidRDefault="0028242E"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53D4EAA3" w14:textId="77777777" w:rsidR="0028242E" w:rsidRPr="00C47F2F" w:rsidRDefault="0028242E"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2A3A6049" w14:textId="77777777" w:rsidR="0028242E" w:rsidRPr="00C47F2F" w:rsidRDefault="0028242E"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1C8C9EAC" w14:textId="77777777" w:rsidR="0028242E" w:rsidRPr="00C47F2F" w:rsidRDefault="0028242E" w:rsidP="00C47F2F">
            <w:pPr>
              <w:jc w:val="left"/>
              <w:rPr>
                <w:rFonts w:eastAsia="Times New Roman"/>
                <w:noProof/>
                <w:color w:val="000000"/>
                <w:sz w:val="22"/>
                <w:szCs w:val="22"/>
              </w:rPr>
            </w:pPr>
          </w:p>
        </w:tc>
        <w:tc>
          <w:tcPr>
            <w:tcW w:w="488" w:type="pct"/>
            <w:tcBorders>
              <w:top w:val="single" w:sz="4" w:space="0" w:color="auto"/>
              <w:left w:val="nil"/>
              <w:bottom w:val="single" w:sz="4" w:space="0" w:color="auto"/>
              <w:right w:val="nil"/>
            </w:tcBorders>
          </w:tcPr>
          <w:p w14:paraId="59AFF144" w14:textId="77777777" w:rsidR="0028242E" w:rsidRPr="00C47F2F" w:rsidRDefault="0028242E" w:rsidP="00C47F2F">
            <w:pPr>
              <w:jc w:val="left"/>
              <w:rPr>
                <w:rFonts w:eastAsia="Times New Roman"/>
                <w:noProof/>
                <w:color w:val="000000"/>
                <w:sz w:val="22"/>
                <w:szCs w:val="22"/>
              </w:rPr>
            </w:pPr>
          </w:p>
        </w:tc>
      </w:tr>
      <w:tr w:rsidR="0028242E" w:rsidRPr="00972C81" w14:paraId="18D2D4B1" w14:textId="77777777" w:rsidTr="006243FB">
        <w:trPr>
          <w:trHeight w:val="259"/>
        </w:trPr>
        <w:tc>
          <w:tcPr>
            <w:tcW w:w="2087" w:type="pct"/>
            <w:tcBorders>
              <w:top w:val="single" w:sz="4" w:space="0" w:color="auto"/>
              <w:left w:val="nil"/>
              <w:bottom w:val="single" w:sz="4" w:space="0" w:color="auto"/>
              <w:right w:val="nil"/>
            </w:tcBorders>
            <w:vAlign w:val="center"/>
            <w:hideMark/>
          </w:tcPr>
          <w:p w14:paraId="01578FC5" w14:textId="77777777" w:rsidR="0028242E" w:rsidRPr="00C47F2F" w:rsidRDefault="0028242E" w:rsidP="006243FB">
            <w:pPr>
              <w:jc w:val="left"/>
              <w:rPr>
                <w:rFonts w:eastAsiaTheme="minorHAnsi"/>
                <w:noProof/>
                <w:sz w:val="22"/>
                <w:szCs w:val="22"/>
              </w:rPr>
            </w:pPr>
            <w:r w:rsidRPr="00C47F2F">
              <w:rPr>
                <w:noProof/>
                <w:sz w:val="22"/>
                <w:szCs w:val="22"/>
              </w:rPr>
              <w:t>All compounds</w:t>
            </w:r>
          </w:p>
        </w:tc>
        <w:tc>
          <w:tcPr>
            <w:tcW w:w="485" w:type="pct"/>
            <w:tcBorders>
              <w:top w:val="single" w:sz="4" w:space="0" w:color="auto"/>
              <w:left w:val="nil"/>
              <w:bottom w:val="single" w:sz="4" w:space="0" w:color="auto"/>
              <w:right w:val="nil"/>
            </w:tcBorders>
            <w:vAlign w:val="center"/>
            <w:hideMark/>
          </w:tcPr>
          <w:p w14:paraId="17332A3F"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6.9E-07</w:t>
            </w:r>
          </w:p>
        </w:tc>
        <w:tc>
          <w:tcPr>
            <w:tcW w:w="485" w:type="pct"/>
            <w:tcBorders>
              <w:top w:val="single" w:sz="4" w:space="0" w:color="auto"/>
              <w:left w:val="nil"/>
              <w:bottom w:val="single" w:sz="4" w:space="0" w:color="auto"/>
              <w:right w:val="nil"/>
            </w:tcBorders>
            <w:vAlign w:val="center"/>
            <w:hideMark/>
          </w:tcPr>
          <w:p w14:paraId="20E876C6"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5.2E-08</w:t>
            </w:r>
          </w:p>
        </w:tc>
        <w:tc>
          <w:tcPr>
            <w:tcW w:w="485" w:type="pct"/>
            <w:tcBorders>
              <w:top w:val="single" w:sz="4" w:space="0" w:color="auto"/>
              <w:left w:val="nil"/>
              <w:bottom w:val="single" w:sz="4" w:space="0" w:color="auto"/>
              <w:right w:val="nil"/>
            </w:tcBorders>
            <w:vAlign w:val="center"/>
            <w:hideMark/>
          </w:tcPr>
          <w:p w14:paraId="11215EA4"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2.1E-08</w:t>
            </w:r>
          </w:p>
        </w:tc>
        <w:tc>
          <w:tcPr>
            <w:tcW w:w="485" w:type="pct"/>
            <w:tcBorders>
              <w:top w:val="single" w:sz="4" w:space="0" w:color="auto"/>
              <w:left w:val="nil"/>
              <w:bottom w:val="single" w:sz="4" w:space="0" w:color="auto"/>
              <w:right w:val="nil"/>
            </w:tcBorders>
            <w:vAlign w:val="center"/>
            <w:hideMark/>
          </w:tcPr>
          <w:p w14:paraId="48386719"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1.1E-08</w:t>
            </w:r>
          </w:p>
        </w:tc>
        <w:tc>
          <w:tcPr>
            <w:tcW w:w="485" w:type="pct"/>
            <w:tcBorders>
              <w:top w:val="single" w:sz="4" w:space="0" w:color="auto"/>
              <w:left w:val="nil"/>
              <w:bottom w:val="single" w:sz="4" w:space="0" w:color="auto"/>
              <w:right w:val="nil"/>
            </w:tcBorders>
            <w:vAlign w:val="center"/>
            <w:hideMark/>
          </w:tcPr>
          <w:p w14:paraId="36D7FE0A"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8.5E-09</w:t>
            </w:r>
          </w:p>
        </w:tc>
        <w:tc>
          <w:tcPr>
            <w:tcW w:w="488" w:type="pct"/>
            <w:tcBorders>
              <w:top w:val="single" w:sz="4" w:space="0" w:color="auto"/>
              <w:left w:val="nil"/>
              <w:bottom w:val="single" w:sz="4" w:space="0" w:color="auto"/>
              <w:right w:val="nil"/>
            </w:tcBorders>
            <w:vAlign w:val="center"/>
            <w:hideMark/>
          </w:tcPr>
          <w:p w14:paraId="1739A099"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5.9E-09</w:t>
            </w:r>
          </w:p>
        </w:tc>
      </w:tr>
    </w:tbl>
    <w:p w14:paraId="4AD87FA3" w14:textId="77777777" w:rsidR="00834C3F" w:rsidRDefault="00834C3F">
      <w:pPr>
        <w:widowControl/>
        <w:jc w:val="left"/>
        <w:rPr>
          <w:rFonts w:ascii="Times Roman" w:hAnsi="Times Roman"/>
          <w:b/>
          <w:caps/>
          <w:noProof/>
          <w:sz w:val="32"/>
          <w:lang w:eastAsia="en-GB"/>
        </w:rPr>
      </w:pPr>
      <w:r>
        <w:rPr>
          <w:noProof/>
        </w:rPr>
        <w:br w:type="page"/>
      </w:r>
    </w:p>
    <w:p w14:paraId="606C4E0C" w14:textId="77777777" w:rsidR="007D1F4D" w:rsidRPr="00972C81" w:rsidRDefault="00DC407D" w:rsidP="00E81109">
      <w:pPr>
        <w:pStyle w:val="1"/>
        <w:rPr>
          <w:noProof/>
        </w:rPr>
      </w:pPr>
      <w:bookmarkStart w:id="410" w:name="_Toc455492693"/>
      <w:bookmarkStart w:id="411" w:name="_Toc455493122"/>
      <w:bookmarkStart w:id="412" w:name="_Toc162630139"/>
      <w:r w:rsidRPr="00972C81">
        <w:rPr>
          <w:noProof/>
        </w:rPr>
        <w:lastRenderedPageBreak/>
        <w:t>Fermium (Z=100)</w:t>
      </w:r>
      <w:bookmarkEnd w:id="410"/>
      <w:bookmarkEnd w:id="411"/>
      <w:bookmarkEnd w:id="412"/>
    </w:p>
    <w:p w14:paraId="7CD47237" w14:textId="0670B3A0" w:rsidR="00096DF7" w:rsidRPr="00972C81" w:rsidRDefault="00096DF7" w:rsidP="00E81109">
      <w:pPr>
        <w:pStyle w:val="2"/>
        <w:rPr>
          <w:noProof/>
          <w:lang w:val="en-GB"/>
        </w:rPr>
      </w:pPr>
      <w:bookmarkStart w:id="413" w:name="_Toc17467993"/>
      <w:bookmarkStart w:id="414" w:name="_Toc455492695"/>
      <w:bookmarkStart w:id="415" w:name="_Toc455493124"/>
      <w:bookmarkStart w:id="416" w:name="_Toc162630140"/>
      <w:bookmarkEnd w:id="413"/>
      <w:r w:rsidRPr="00972C81">
        <w:rPr>
          <w:noProof/>
          <w:lang w:val="en-GB"/>
        </w:rPr>
        <w:t>Routes of Intake</w:t>
      </w:r>
      <w:bookmarkEnd w:id="414"/>
      <w:bookmarkEnd w:id="415"/>
      <w:bookmarkEnd w:id="416"/>
    </w:p>
    <w:p w14:paraId="02BD3BD4" w14:textId="77777777" w:rsidR="00096DF7" w:rsidRPr="00972C81" w:rsidRDefault="00096DF7" w:rsidP="006F56F9">
      <w:pPr>
        <w:pStyle w:val="3"/>
        <w:rPr>
          <w:noProof/>
        </w:rPr>
      </w:pPr>
      <w:bookmarkStart w:id="417" w:name="_Toc162630141"/>
      <w:r w:rsidRPr="00972C81">
        <w:rPr>
          <w:noProof/>
        </w:rPr>
        <w:t>Inhalation</w:t>
      </w:r>
      <w:bookmarkEnd w:id="417"/>
    </w:p>
    <w:p w14:paraId="71CCBA61" w14:textId="0D66C4F0" w:rsidR="00096DF7" w:rsidRPr="00972C81" w:rsidRDefault="00096DF7" w:rsidP="001C4A92">
      <w:pPr>
        <w:pStyle w:val="Annalstext"/>
        <w:rPr>
          <w:noProof/>
        </w:rPr>
      </w:pPr>
      <w:r w:rsidRPr="00972C81">
        <w:rPr>
          <w:noProof/>
        </w:rPr>
        <w:t>No reports were found of experimental studies on the behaviour of fermium (Fm) following deposition in the respiratory tract, nor of its retention in the lung following accidental intake.</w:t>
      </w:r>
      <w:r w:rsidR="006F3DE7" w:rsidRPr="00972C81">
        <w:rPr>
          <w:noProof/>
        </w:rPr>
        <w:t xml:space="preserve"> For details, see Section 2</w:t>
      </w:r>
      <w:r w:rsidR="00177865" w:rsidRPr="00972C81">
        <w:rPr>
          <w:noProof/>
        </w:rPr>
        <w:t>8</w:t>
      </w:r>
      <w:r w:rsidR="006F3DE7" w:rsidRPr="00972C81">
        <w:rPr>
          <w:noProof/>
        </w:rPr>
        <w:t xml:space="preserve"> of </w:t>
      </w:r>
      <w:r w:rsidR="00F414E6" w:rsidRPr="00972C81">
        <w:rPr>
          <w:i/>
          <w:noProof/>
        </w:rPr>
        <w:t>Publication 141</w:t>
      </w:r>
      <w:r w:rsidR="00F414E6" w:rsidRPr="00972C81">
        <w:rPr>
          <w:noProof/>
        </w:rPr>
        <w:t xml:space="preserve"> </w:t>
      </w:r>
      <w:r w:rsidR="00490741" w:rsidRPr="00972C81">
        <w:rPr>
          <w:noProof/>
        </w:rPr>
        <w:fldChar w:fldCharType="begin"/>
      </w:r>
      <w:r w:rsidR="00FC21A7" w:rsidRPr="00972C81">
        <w:rPr>
          <w:noProof/>
        </w:rPr>
        <w:instrText xml:space="preserve"> ADDIN ZOTERO_ITEM CSL_CITATION {"citationID":"zYr9uo83","properties":{"formattedCitation":"(ICRP,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490741" w:rsidRPr="00972C81">
        <w:rPr>
          <w:noProof/>
        </w:rPr>
        <w:fldChar w:fldCharType="separate"/>
      </w:r>
      <w:r w:rsidR="00FC21A7" w:rsidRPr="00972C81">
        <w:rPr>
          <w:noProof/>
          <w:szCs w:val="24"/>
        </w:rPr>
        <w:t>(ICRP, 2019)</w:t>
      </w:r>
      <w:r w:rsidR="00490741" w:rsidRPr="00972C81">
        <w:rPr>
          <w:noProof/>
        </w:rPr>
        <w:fldChar w:fldCharType="end"/>
      </w:r>
      <w:r w:rsidR="006F3DE7" w:rsidRPr="00972C81">
        <w:rPr>
          <w:noProof/>
        </w:rPr>
        <w:t xml:space="preserve">. As described in Section 18 of </w:t>
      </w:r>
      <w:r w:rsidR="00F414E6" w:rsidRPr="00972C81">
        <w:rPr>
          <w:i/>
          <w:noProof/>
        </w:rPr>
        <w:t>Publication 141</w:t>
      </w:r>
      <w:r w:rsidR="006F3DE7" w:rsidRPr="00972C81">
        <w:rPr>
          <w:noProof/>
        </w:rPr>
        <w:t>,</w:t>
      </w:r>
      <w:r w:rsidR="001D39EC" w:rsidRPr="00972C81">
        <w:rPr>
          <w:noProof/>
        </w:rPr>
        <w:t xml:space="preserve"> </w:t>
      </w:r>
      <w:r w:rsidRPr="00972C81">
        <w:rPr>
          <w:noProof/>
        </w:rPr>
        <w:t>the general actinide section, absorption parameter values based on plutonium (</w:t>
      </w:r>
      <w:r w:rsidRPr="00972C81">
        <w:rPr>
          <w:i/>
          <w:noProof/>
        </w:rPr>
        <w:t>s</w:t>
      </w:r>
      <w:r w:rsidRPr="00972C81">
        <w:rPr>
          <w:noProof/>
          <w:vertAlign w:val="subscript"/>
        </w:rPr>
        <w:t>r</w:t>
      </w:r>
      <w:r w:rsidRPr="00972C81">
        <w:rPr>
          <w:noProof/>
        </w:rPr>
        <w:t xml:space="preserve"> = 0.4 d</w:t>
      </w:r>
      <w:r w:rsidRPr="00972C81">
        <w:rPr>
          <w:noProof/>
          <w:vertAlign w:val="superscript"/>
        </w:rPr>
        <w:t>–1</w:t>
      </w:r>
      <w:r w:rsidRPr="00972C81">
        <w:rPr>
          <w:noProof/>
        </w:rPr>
        <w:t xml:space="preserve">, </w:t>
      </w:r>
      <w:r w:rsidRPr="00972C81">
        <w:rPr>
          <w:i/>
          <w:noProof/>
        </w:rPr>
        <w:t>f</w:t>
      </w:r>
      <w:r w:rsidRPr="00972C81">
        <w:rPr>
          <w:noProof/>
          <w:vertAlign w:val="subscript"/>
        </w:rPr>
        <w:t>b</w:t>
      </w:r>
      <w:r w:rsidRPr="00972C81">
        <w:rPr>
          <w:noProof/>
        </w:rPr>
        <w:t xml:space="preserve"> =</w:t>
      </w:r>
      <w:r w:rsidRPr="00972C81">
        <w:rPr>
          <w:noProof/>
          <w:vertAlign w:val="subscript"/>
        </w:rPr>
        <w:t xml:space="preserve"> </w:t>
      </w:r>
      <w:r w:rsidRPr="00972C81">
        <w:rPr>
          <w:noProof/>
        </w:rPr>
        <w:t xml:space="preserve">0.002; </w:t>
      </w:r>
      <w:r w:rsidRPr="00972C81">
        <w:rPr>
          <w:i/>
          <w:noProof/>
        </w:rPr>
        <w:t>s</w:t>
      </w:r>
      <w:r w:rsidRPr="00972C81">
        <w:rPr>
          <w:noProof/>
          <w:vertAlign w:val="subscript"/>
        </w:rPr>
        <w:t>b</w:t>
      </w:r>
      <w:r w:rsidRPr="00972C81">
        <w:rPr>
          <w:noProof/>
        </w:rPr>
        <w:t xml:space="preserve"> = 0 d</w:t>
      </w:r>
      <w:r w:rsidRPr="00972C81">
        <w:rPr>
          <w:noProof/>
          <w:vertAlign w:val="superscript"/>
        </w:rPr>
        <w:t>–1</w:t>
      </w:r>
      <w:r w:rsidRPr="00972C81">
        <w:rPr>
          <w:noProof/>
        </w:rPr>
        <w:t xml:space="preserve">) are applied in </w:t>
      </w:r>
      <w:r w:rsidR="001E3A9E" w:rsidRPr="00972C81">
        <w:rPr>
          <w:noProof/>
        </w:rPr>
        <w:t>that document (and hence also in this document)</w:t>
      </w:r>
      <w:r w:rsidRPr="00972C81">
        <w:rPr>
          <w:noProof/>
        </w:rPr>
        <w:t xml:space="preserve"> to the transplutonium elements. Absorption parameter values and Types, and associated </w:t>
      </w:r>
      <w:r w:rsidRPr="00972C81">
        <w:rPr>
          <w:i/>
          <w:noProof/>
        </w:rPr>
        <w:t>f</w:t>
      </w:r>
      <w:r w:rsidRPr="00972C81">
        <w:rPr>
          <w:noProof/>
          <w:vertAlign w:val="subscript"/>
        </w:rPr>
        <w:t>A</w:t>
      </w:r>
      <w:r w:rsidRPr="00972C81">
        <w:rPr>
          <w:noProof/>
        </w:rPr>
        <w:t xml:space="preserve"> values for particulate forms of fermium, are given in </w:t>
      </w:r>
      <w:r w:rsidR="00490741" w:rsidRPr="00972C81">
        <w:rPr>
          <w:noProof/>
        </w:rPr>
        <w:fldChar w:fldCharType="begin"/>
      </w:r>
      <w:r w:rsidR="00490741" w:rsidRPr="00972C81">
        <w:rPr>
          <w:noProof/>
        </w:rPr>
        <w:instrText xml:space="preserve"> REF _Ref147476495 \h </w:instrText>
      </w:r>
      <w:r w:rsidR="00490741" w:rsidRPr="00972C81">
        <w:rPr>
          <w:noProof/>
        </w:rPr>
      </w:r>
      <w:r w:rsidR="00490741" w:rsidRPr="00972C81">
        <w:rPr>
          <w:noProof/>
        </w:rPr>
        <w:fldChar w:fldCharType="separate"/>
      </w:r>
      <w:r w:rsidR="00A41AD1" w:rsidRPr="00972C81">
        <w:rPr>
          <w:noProof/>
        </w:rPr>
        <w:t xml:space="preserve">Table </w:t>
      </w:r>
      <w:r w:rsidR="00A41AD1">
        <w:rPr>
          <w:noProof/>
        </w:rPr>
        <w:t>28</w:t>
      </w:r>
      <w:r w:rsidR="00A41AD1" w:rsidRPr="00972C81">
        <w:rPr>
          <w:noProof/>
        </w:rPr>
        <w:t>.</w:t>
      </w:r>
      <w:r w:rsidR="00A41AD1">
        <w:rPr>
          <w:noProof/>
        </w:rPr>
        <w:t>1</w:t>
      </w:r>
      <w:r w:rsidR="00490741" w:rsidRPr="00972C81">
        <w:rPr>
          <w:noProof/>
        </w:rPr>
        <w:fldChar w:fldCharType="end"/>
      </w:r>
      <w:r w:rsidR="006C29E4" w:rsidRPr="00972C81">
        <w:rPr>
          <w:noProof/>
        </w:rPr>
        <w:t xml:space="preserve"> (taken from Section 28 of </w:t>
      </w:r>
      <w:r w:rsidR="00F414E6" w:rsidRPr="00972C81">
        <w:rPr>
          <w:i/>
          <w:noProof/>
        </w:rPr>
        <w:t>Publication 141</w:t>
      </w:r>
      <w:r w:rsidR="00F414E6" w:rsidRPr="00972C81">
        <w:rPr>
          <w:noProof/>
        </w:rPr>
        <w:t>)</w:t>
      </w:r>
      <w:r w:rsidRPr="00972C81">
        <w:rPr>
          <w:noProof/>
        </w:rPr>
        <w:t>.</w:t>
      </w:r>
    </w:p>
    <w:p w14:paraId="4E50FD8F" w14:textId="77777777" w:rsidR="00096DF7" w:rsidRPr="00972C81" w:rsidRDefault="00096DF7" w:rsidP="00096DF7">
      <w:pPr>
        <w:rPr>
          <w:rFonts w:ascii="Times Roman" w:hAnsi="Times Roman"/>
          <w:noProof/>
          <w:szCs w:val="24"/>
        </w:rPr>
      </w:pPr>
    </w:p>
    <w:p w14:paraId="141C434C" w14:textId="2E4DBE41" w:rsidR="00096DF7" w:rsidRPr="00C47F2F" w:rsidRDefault="00490741" w:rsidP="00E81109">
      <w:pPr>
        <w:pStyle w:val="Table"/>
        <w:rPr>
          <w:noProof/>
          <w:sz w:val="24"/>
        </w:rPr>
      </w:pPr>
      <w:bookmarkStart w:id="418" w:name="_Ref147476495"/>
      <w:r w:rsidRPr="00C47F2F">
        <w:rPr>
          <w:noProof/>
          <w:sz w:val="24"/>
        </w:rPr>
        <w:t xml:space="preserve">Table </w:t>
      </w:r>
      <w:r w:rsidR="00EA3750" w:rsidRPr="00C47F2F">
        <w:rPr>
          <w:noProof/>
          <w:sz w:val="24"/>
        </w:rPr>
        <w:fldChar w:fldCharType="begin"/>
      </w:r>
      <w:r w:rsidR="00EA3750" w:rsidRPr="00C47F2F">
        <w:rPr>
          <w:noProof/>
          <w:sz w:val="24"/>
        </w:rPr>
        <w:instrText xml:space="preserve"> STYLEREF 1 \s </w:instrText>
      </w:r>
      <w:r w:rsidR="00EA3750" w:rsidRPr="00C47F2F">
        <w:rPr>
          <w:noProof/>
          <w:sz w:val="24"/>
        </w:rPr>
        <w:fldChar w:fldCharType="separate"/>
      </w:r>
      <w:r w:rsidR="00A41AD1" w:rsidRPr="00C47F2F">
        <w:rPr>
          <w:noProof/>
          <w:sz w:val="24"/>
        </w:rPr>
        <w:t>28</w:t>
      </w:r>
      <w:r w:rsidR="00EA3750" w:rsidRPr="00C47F2F">
        <w:rPr>
          <w:noProof/>
          <w:sz w:val="24"/>
        </w:rPr>
        <w:fldChar w:fldCharType="end"/>
      </w:r>
      <w:r w:rsidR="00EA3750" w:rsidRPr="00C47F2F">
        <w:rPr>
          <w:noProof/>
          <w:sz w:val="24"/>
        </w:rPr>
        <w:t>.</w:t>
      </w:r>
      <w:r w:rsidR="00EA3750" w:rsidRPr="00C47F2F">
        <w:rPr>
          <w:noProof/>
          <w:sz w:val="24"/>
        </w:rPr>
        <w:fldChar w:fldCharType="begin"/>
      </w:r>
      <w:r w:rsidR="00EA3750" w:rsidRPr="00C47F2F">
        <w:rPr>
          <w:noProof/>
          <w:sz w:val="24"/>
        </w:rPr>
        <w:instrText xml:space="preserve"> SEQ Table \* ARABIC \s 1 </w:instrText>
      </w:r>
      <w:r w:rsidR="00EA3750" w:rsidRPr="00C47F2F">
        <w:rPr>
          <w:noProof/>
          <w:sz w:val="24"/>
        </w:rPr>
        <w:fldChar w:fldCharType="separate"/>
      </w:r>
      <w:r w:rsidR="00A41AD1" w:rsidRPr="00C47F2F">
        <w:rPr>
          <w:noProof/>
          <w:sz w:val="24"/>
        </w:rPr>
        <w:t>1</w:t>
      </w:r>
      <w:r w:rsidR="00EA3750" w:rsidRPr="00C47F2F">
        <w:rPr>
          <w:noProof/>
          <w:sz w:val="24"/>
        </w:rPr>
        <w:fldChar w:fldCharType="end"/>
      </w:r>
      <w:bookmarkEnd w:id="418"/>
      <w:r w:rsidRPr="00C47F2F">
        <w:rPr>
          <w:noProof/>
          <w:sz w:val="24"/>
        </w:rPr>
        <w:t>.</w:t>
      </w:r>
      <w:r w:rsidR="00096DF7" w:rsidRPr="00C47F2F">
        <w:rPr>
          <w:noProof/>
          <w:sz w:val="24"/>
        </w:rPr>
        <w:t xml:space="preserve"> Absorption parameter values for inhaled and ingested fermium.</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843"/>
        <w:gridCol w:w="139"/>
        <w:gridCol w:w="1174"/>
        <w:gridCol w:w="818"/>
        <w:gridCol w:w="356"/>
        <w:gridCol w:w="574"/>
        <w:gridCol w:w="61"/>
        <w:gridCol w:w="538"/>
        <w:gridCol w:w="453"/>
        <w:gridCol w:w="18"/>
        <w:gridCol w:w="702"/>
        <w:gridCol w:w="273"/>
        <w:gridCol w:w="901"/>
        <w:gridCol w:w="1177"/>
      </w:tblGrid>
      <w:tr w:rsidR="00490741" w:rsidRPr="00972C81" w14:paraId="68584E78" w14:textId="77777777" w:rsidTr="006243FB">
        <w:trPr>
          <w:cantSplit/>
          <w:trHeight w:val="340"/>
        </w:trPr>
        <w:tc>
          <w:tcPr>
            <w:tcW w:w="2201" w:type="pct"/>
            <w:gridSpan w:val="4"/>
            <w:vMerge w:val="restart"/>
            <w:tcBorders>
              <w:top w:val="single" w:sz="4" w:space="0" w:color="auto"/>
              <w:left w:val="nil"/>
              <w:bottom w:val="single" w:sz="4" w:space="0" w:color="auto"/>
              <w:right w:val="nil"/>
            </w:tcBorders>
            <w:vAlign w:val="bottom"/>
            <w:hideMark/>
          </w:tcPr>
          <w:p w14:paraId="1659C142" w14:textId="77777777" w:rsidR="00490741" w:rsidRPr="00834C3F" w:rsidRDefault="00490741" w:rsidP="00E81109">
            <w:pPr>
              <w:pStyle w:val="Table"/>
              <w:rPr>
                <w:noProof/>
                <w:szCs w:val="22"/>
              </w:rPr>
            </w:pPr>
            <w:r w:rsidRPr="00834C3F">
              <w:rPr>
                <w:noProof/>
                <w:szCs w:val="22"/>
              </w:rPr>
              <w:t>Inhaled particulate materials</w:t>
            </w:r>
          </w:p>
        </w:tc>
        <w:tc>
          <w:tcPr>
            <w:tcW w:w="1648" w:type="pct"/>
            <w:gridSpan w:val="8"/>
            <w:tcBorders>
              <w:top w:val="single" w:sz="4" w:space="0" w:color="auto"/>
              <w:left w:val="nil"/>
              <w:bottom w:val="single" w:sz="4" w:space="0" w:color="auto"/>
              <w:right w:val="nil"/>
            </w:tcBorders>
            <w:vAlign w:val="center"/>
            <w:hideMark/>
          </w:tcPr>
          <w:p w14:paraId="0C57BC53" w14:textId="64DF8990" w:rsidR="00490741" w:rsidRPr="00834C3F" w:rsidRDefault="00490741" w:rsidP="006243FB">
            <w:pPr>
              <w:pStyle w:val="Table"/>
              <w:jc w:val="center"/>
              <w:rPr>
                <w:noProof/>
                <w:szCs w:val="22"/>
                <w:vertAlign w:val="superscript"/>
              </w:rPr>
            </w:pPr>
            <w:r w:rsidRPr="00834C3F">
              <w:rPr>
                <w:noProof/>
                <w:szCs w:val="22"/>
              </w:rPr>
              <w:t>Absorption parameter values</w:t>
            </w:r>
            <w:r w:rsidRPr="00834C3F">
              <w:rPr>
                <w:noProof/>
                <w:szCs w:val="22"/>
                <w:vertAlign w:val="superscript"/>
              </w:rPr>
              <w:t>*</w:t>
            </w:r>
          </w:p>
        </w:tc>
        <w:tc>
          <w:tcPr>
            <w:tcW w:w="1151" w:type="pct"/>
            <w:gridSpan w:val="2"/>
            <w:vMerge w:val="restart"/>
            <w:tcBorders>
              <w:top w:val="single" w:sz="4" w:space="0" w:color="auto"/>
              <w:left w:val="nil"/>
              <w:bottom w:val="single" w:sz="4" w:space="0" w:color="auto"/>
              <w:right w:val="nil"/>
            </w:tcBorders>
            <w:vAlign w:val="center"/>
            <w:hideMark/>
          </w:tcPr>
          <w:p w14:paraId="1CE06A3C" w14:textId="267A19EA" w:rsidR="00490741" w:rsidRPr="00834C3F" w:rsidRDefault="00490741" w:rsidP="006243FB">
            <w:pPr>
              <w:pStyle w:val="Table"/>
              <w:rPr>
                <w:noProof/>
                <w:szCs w:val="22"/>
                <w:vertAlign w:val="superscript"/>
              </w:rPr>
            </w:pPr>
            <w:r w:rsidRPr="00834C3F">
              <w:rPr>
                <w:noProof/>
                <w:szCs w:val="22"/>
              </w:rPr>
              <w:t xml:space="preserve">Absorption from the alimentary tract, </w:t>
            </w:r>
            <w:r w:rsidRPr="00834C3F">
              <w:rPr>
                <w:i/>
                <w:noProof/>
                <w:szCs w:val="22"/>
              </w:rPr>
              <w:t>f</w:t>
            </w:r>
            <w:r w:rsidRPr="00834C3F">
              <w:rPr>
                <w:noProof/>
                <w:szCs w:val="22"/>
                <w:vertAlign w:val="subscript"/>
              </w:rPr>
              <w:t>A</w:t>
            </w:r>
            <w:r w:rsidRPr="00834C3F">
              <w:rPr>
                <w:noProof/>
                <w:szCs w:val="22"/>
                <w:vertAlign w:val="superscript"/>
              </w:rPr>
              <w:t>†</w:t>
            </w:r>
          </w:p>
        </w:tc>
      </w:tr>
      <w:tr w:rsidR="00490741" w:rsidRPr="00972C81" w14:paraId="77E921E3" w14:textId="77777777" w:rsidTr="006243FB">
        <w:trPr>
          <w:cantSplit/>
          <w:trHeight w:val="340"/>
        </w:trPr>
        <w:tc>
          <w:tcPr>
            <w:tcW w:w="2201" w:type="pct"/>
            <w:gridSpan w:val="4"/>
            <w:vMerge/>
            <w:tcBorders>
              <w:top w:val="single" w:sz="4" w:space="0" w:color="auto"/>
              <w:left w:val="nil"/>
              <w:bottom w:val="single" w:sz="4" w:space="0" w:color="auto"/>
              <w:right w:val="nil"/>
            </w:tcBorders>
            <w:vAlign w:val="center"/>
            <w:hideMark/>
          </w:tcPr>
          <w:p w14:paraId="1EC74729" w14:textId="77777777" w:rsidR="00490741" w:rsidRPr="00834C3F" w:rsidRDefault="00490741" w:rsidP="00E81109">
            <w:pPr>
              <w:pStyle w:val="Table"/>
              <w:rPr>
                <w:noProof/>
                <w:szCs w:val="22"/>
              </w:rPr>
            </w:pPr>
          </w:p>
        </w:tc>
        <w:tc>
          <w:tcPr>
            <w:tcW w:w="549" w:type="pct"/>
            <w:gridSpan w:val="3"/>
            <w:tcBorders>
              <w:top w:val="single" w:sz="4" w:space="0" w:color="auto"/>
              <w:left w:val="nil"/>
              <w:bottom w:val="single" w:sz="4" w:space="0" w:color="auto"/>
              <w:right w:val="nil"/>
            </w:tcBorders>
            <w:vAlign w:val="center"/>
            <w:hideMark/>
          </w:tcPr>
          <w:p w14:paraId="5E01A325" w14:textId="77777777" w:rsidR="00490741" w:rsidRPr="00834C3F" w:rsidRDefault="00490741" w:rsidP="006243FB">
            <w:pPr>
              <w:pStyle w:val="Table"/>
              <w:rPr>
                <w:noProof/>
                <w:szCs w:val="22"/>
              </w:rPr>
            </w:pPr>
            <w:r w:rsidRPr="00834C3F">
              <w:rPr>
                <w:i/>
                <w:noProof/>
                <w:szCs w:val="22"/>
              </w:rPr>
              <w:t>f</w:t>
            </w:r>
            <w:r w:rsidRPr="00834C3F">
              <w:rPr>
                <w:noProof/>
                <w:szCs w:val="22"/>
                <w:vertAlign w:val="subscript"/>
              </w:rPr>
              <w:t>r</w:t>
            </w:r>
          </w:p>
        </w:tc>
        <w:tc>
          <w:tcPr>
            <w:tcW w:w="549" w:type="pct"/>
            <w:gridSpan w:val="2"/>
            <w:tcBorders>
              <w:top w:val="single" w:sz="4" w:space="0" w:color="auto"/>
              <w:left w:val="nil"/>
              <w:bottom w:val="single" w:sz="4" w:space="0" w:color="auto"/>
              <w:right w:val="nil"/>
            </w:tcBorders>
            <w:vAlign w:val="center"/>
            <w:hideMark/>
          </w:tcPr>
          <w:p w14:paraId="7FDCA591" w14:textId="77777777" w:rsidR="00490741" w:rsidRPr="00834C3F" w:rsidRDefault="00490741" w:rsidP="006243FB">
            <w:pPr>
              <w:pStyle w:val="Table"/>
              <w:rPr>
                <w:noProof/>
                <w:szCs w:val="22"/>
              </w:rPr>
            </w:pPr>
            <w:r w:rsidRPr="00834C3F">
              <w:rPr>
                <w:i/>
                <w:noProof/>
                <w:szCs w:val="22"/>
              </w:rPr>
              <w:t>s</w:t>
            </w:r>
            <w:r w:rsidRPr="00834C3F">
              <w:rPr>
                <w:noProof/>
                <w:szCs w:val="22"/>
                <w:vertAlign w:val="subscript"/>
              </w:rPr>
              <w:t>r</w:t>
            </w:r>
            <w:r w:rsidRPr="00834C3F">
              <w:rPr>
                <w:noProof/>
                <w:szCs w:val="22"/>
              </w:rPr>
              <w:t xml:space="preserve"> (d</w:t>
            </w:r>
            <w:r w:rsidRPr="00834C3F">
              <w:rPr>
                <w:noProof/>
                <w:szCs w:val="22"/>
                <w:vertAlign w:val="superscript"/>
              </w:rPr>
              <w:t>–1</w:t>
            </w:r>
            <w:r w:rsidRPr="00834C3F">
              <w:rPr>
                <w:noProof/>
                <w:szCs w:val="22"/>
              </w:rPr>
              <w:t>)</w:t>
            </w:r>
          </w:p>
        </w:tc>
        <w:tc>
          <w:tcPr>
            <w:tcW w:w="550" w:type="pct"/>
            <w:gridSpan w:val="3"/>
            <w:tcBorders>
              <w:top w:val="single" w:sz="4" w:space="0" w:color="auto"/>
              <w:left w:val="nil"/>
              <w:bottom w:val="single" w:sz="4" w:space="0" w:color="auto"/>
              <w:right w:val="nil"/>
            </w:tcBorders>
            <w:vAlign w:val="center"/>
            <w:hideMark/>
          </w:tcPr>
          <w:p w14:paraId="4EC8B7CB" w14:textId="77777777" w:rsidR="00490741" w:rsidRPr="00834C3F" w:rsidRDefault="00490741" w:rsidP="006243FB">
            <w:pPr>
              <w:pStyle w:val="Table"/>
              <w:rPr>
                <w:noProof/>
                <w:szCs w:val="22"/>
              </w:rPr>
            </w:pPr>
            <w:r w:rsidRPr="00834C3F">
              <w:rPr>
                <w:i/>
                <w:noProof/>
                <w:szCs w:val="22"/>
              </w:rPr>
              <w:t>s</w:t>
            </w:r>
            <w:r w:rsidRPr="00834C3F">
              <w:rPr>
                <w:noProof/>
                <w:szCs w:val="22"/>
                <w:vertAlign w:val="subscript"/>
              </w:rPr>
              <w:t>s</w:t>
            </w:r>
            <w:r w:rsidRPr="00834C3F">
              <w:rPr>
                <w:noProof/>
                <w:szCs w:val="22"/>
              </w:rPr>
              <w:t xml:space="preserve"> (d</w:t>
            </w:r>
            <w:r w:rsidRPr="00834C3F">
              <w:rPr>
                <w:noProof/>
                <w:szCs w:val="22"/>
                <w:vertAlign w:val="superscript"/>
              </w:rPr>
              <w:t>–1</w:t>
            </w:r>
            <w:r w:rsidRPr="00834C3F">
              <w:rPr>
                <w:noProof/>
                <w:szCs w:val="22"/>
              </w:rPr>
              <w:t>)</w:t>
            </w:r>
          </w:p>
        </w:tc>
        <w:tc>
          <w:tcPr>
            <w:tcW w:w="1151" w:type="pct"/>
            <w:gridSpan w:val="2"/>
            <w:vMerge/>
            <w:tcBorders>
              <w:top w:val="single" w:sz="4" w:space="0" w:color="auto"/>
              <w:left w:val="nil"/>
              <w:bottom w:val="single" w:sz="4" w:space="0" w:color="auto"/>
              <w:right w:val="nil"/>
            </w:tcBorders>
            <w:vAlign w:val="center"/>
            <w:hideMark/>
          </w:tcPr>
          <w:p w14:paraId="053FB400" w14:textId="77777777" w:rsidR="00490741" w:rsidRPr="00834C3F" w:rsidRDefault="00490741" w:rsidP="00E81109">
            <w:pPr>
              <w:pStyle w:val="Table"/>
              <w:rPr>
                <w:noProof/>
                <w:szCs w:val="22"/>
                <w:vertAlign w:val="superscript"/>
              </w:rPr>
            </w:pPr>
          </w:p>
        </w:tc>
      </w:tr>
      <w:tr w:rsidR="00490741" w:rsidRPr="00972C81" w14:paraId="09F0A027" w14:textId="77777777" w:rsidTr="006243FB">
        <w:trPr>
          <w:trHeight w:val="340"/>
        </w:trPr>
        <w:tc>
          <w:tcPr>
            <w:tcW w:w="2201" w:type="pct"/>
            <w:gridSpan w:val="4"/>
            <w:tcBorders>
              <w:top w:val="single" w:sz="4" w:space="0" w:color="auto"/>
              <w:left w:val="nil"/>
              <w:bottom w:val="nil"/>
              <w:right w:val="nil"/>
            </w:tcBorders>
            <w:hideMark/>
          </w:tcPr>
          <w:p w14:paraId="45C60304" w14:textId="77777777" w:rsidR="00490741" w:rsidRPr="00834C3F" w:rsidRDefault="00490741" w:rsidP="006243FB">
            <w:pPr>
              <w:pStyle w:val="Table"/>
              <w:rPr>
                <w:noProof/>
                <w:szCs w:val="22"/>
              </w:rPr>
            </w:pPr>
            <w:r w:rsidRPr="00834C3F">
              <w:rPr>
                <w:noProof/>
                <w:szCs w:val="22"/>
              </w:rPr>
              <w:t>Default parameter values</w:t>
            </w:r>
          </w:p>
        </w:tc>
        <w:tc>
          <w:tcPr>
            <w:tcW w:w="549" w:type="pct"/>
            <w:gridSpan w:val="3"/>
            <w:tcBorders>
              <w:top w:val="dashed" w:sz="4" w:space="0" w:color="auto"/>
              <w:left w:val="nil"/>
              <w:bottom w:val="nil"/>
              <w:right w:val="nil"/>
            </w:tcBorders>
          </w:tcPr>
          <w:p w14:paraId="586E8C8A" w14:textId="77777777" w:rsidR="00490741" w:rsidRPr="00834C3F" w:rsidRDefault="00490741" w:rsidP="006243FB">
            <w:pPr>
              <w:pStyle w:val="Table"/>
              <w:rPr>
                <w:noProof/>
                <w:szCs w:val="22"/>
              </w:rPr>
            </w:pPr>
          </w:p>
        </w:tc>
        <w:tc>
          <w:tcPr>
            <w:tcW w:w="549" w:type="pct"/>
            <w:gridSpan w:val="2"/>
            <w:tcBorders>
              <w:top w:val="dashed" w:sz="4" w:space="0" w:color="auto"/>
              <w:left w:val="nil"/>
              <w:bottom w:val="nil"/>
              <w:right w:val="nil"/>
            </w:tcBorders>
          </w:tcPr>
          <w:p w14:paraId="24126D0A" w14:textId="77777777" w:rsidR="00490741" w:rsidRPr="00834C3F" w:rsidRDefault="00490741" w:rsidP="006243FB">
            <w:pPr>
              <w:pStyle w:val="Table"/>
              <w:rPr>
                <w:noProof/>
                <w:szCs w:val="22"/>
              </w:rPr>
            </w:pPr>
          </w:p>
        </w:tc>
        <w:tc>
          <w:tcPr>
            <w:tcW w:w="550" w:type="pct"/>
            <w:gridSpan w:val="3"/>
            <w:tcBorders>
              <w:top w:val="dashed" w:sz="4" w:space="0" w:color="auto"/>
              <w:left w:val="nil"/>
              <w:bottom w:val="nil"/>
              <w:right w:val="nil"/>
            </w:tcBorders>
          </w:tcPr>
          <w:p w14:paraId="71EDE97A" w14:textId="77777777" w:rsidR="00490741" w:rsidRPr="00834C3F" w:rsidRDefault="00490741" w:rsidP="006243FB">
            <w:pPr>
              <w:pStyle w:val="Table"/>
              <w:rPr>
                <w:noProof/>
                <w:szCs w:val="22"/>
              </w:rPr>
            </w:pPr>
          </w:p>
        </w:tc>
        <w:tc>
          <w:tcPr>
            <w:tcW w:w="1151" w:type="pct"/>
            <w:gridSpan w:val="2"/>
            <w:tcBorders>
              <w:top w:val="dashed" w:sz="4" w:space="0" w:color="auto"/>
              <w:left w:val="nil"/>
              <w:bottom w:val="nil"/>
              <w:right w:val="nil"/>
            </w:tcBorders>
          </w:tcPr>
          <w:p w14:paraId="4F22ED26" w14:textId="77777777" w:rsidR="00490741" w:rsidRPr="00834C3F" w:rsidRDefault="00490741" w:rsidP="006243FB">
            <w:pPr>
              <w:pStyle w:val="Table"/>
              <w:rPr>
                <w:i/>
                <w:noProof/>
                <w:szCs w:val="22"/>
              </w:rPr>
            </w:pPr>
          </w:p>
        </w:tc>
      </w:tr>
      <w:tr w:rsidR="00490741" w:rsidRPr="00972C81" w14:paraId="1BF0E9ED" w14:textId="77777777" w:rsidTr="006243FB">
        <w:trPr>
          <w:trHeight w:val="340"/>
        </w:trPr>
        <w:tc>
          <w:tcPr>
            <w:tcW w:w="1021" w:type="pct"/>
            <w:tcBorders>
              <w:top w:val="nil"/>
              <w:left w:val="nil"/>
              <w:bottom w:val="nil"/>
              <w:right w:val="nil"/>
            </w:tcBorders>
            <w:hideMark/>
          </w:tcPr>
          <w:p w14:paraId="6F3CA75F" w14:textId="77777777" w:rsidR="00490741" w:rsidRPr="00834C3F" w:rsidRDefault="00490741" w:rsidP="006243FB">
            <w:pPr>
              <w:pStyle w:val="Table"/>
              <w:rPr>
                <w:noProof/>
                <w:szCs w:val="22"/>
              </w:rPr>
            </w:pPr>
            <w:r w:rsidRPr="00834C3F">
              <w:rPr>
                <w:noProof/>
                <w:szCs w:val="22"/>
              </w:rPr>
              <w:t>Absorption Type</w:t>
            </w:r>
          </w:p>
        </w:tc>
        <w:tc>
          <w:tcPr>
            <w:tcW w:w="1180" w:type="pct"/>
            <w:gridSpan w:val="3"/>
            <w:tcBorders>
              <w:top w:val="nil"/>
              <w:left w:val="nil"/>
              <w:bottom w:val="nil"/>
              <w:right w:val="nil"/>
            </w:tcBorders>
            <w:hideMark/>
          </w:tcPr>
          <w:p w14:paraId="04EDD1FD" w14:textId="77777777" w:rsidR="00490741" w:rsidRPr="00834C3F" w:rsidRDefault="00490741" w:rsidP="006243FB">
            <w:pPr>
              <w:pStyle w:val="Table"/>
              <w:rPr>
                <w:noProof/>
                <w:szCs w:val="22"/>
              </w:rPr>
            </w:pPr>
            <w:r w:rsidRPr="00834C3F">
              <w:rPr>
                <w:noProof/>
                <w:szCs w:val="22"/>
              </w:rPr>
              <w:t>Assigned forms</w:t>
            </w:r>
          </w:p>
        </w:tc>
        <w:tc>
          <w:tcPr>
            <w:tcW w:w="549" w:type="pct"/>
            <w:gridSpan w:val="3"/>
            <w:tcBorders>
              <w:top w:val="nil"/>
              <w:left w:val="nil"/>
              <w:bottom w:val="nil"/>
              <w:right w:val="nil"/>
            </w:tcBorders>
          </w:tcPr>
          <w:p w14:paraId="329D8EBC" w14:textId="77777777" w:rsidR="00490741" w:rsidRPr="00834C3F" w:rsidRDefault="00490741" w:rsidP="006243FB">
            <w:pPr>
              <w:pStyle w:val="Table"/>
              <w:rPr>
                <w:noProof/>
                <w:szCs w:val="22"/>
              </w:rPr>
            </w:pPr>
          </w:p>
        </w:tc>
        <w:tc>
          <w:tcPr>
            <w:tcW w:w="549" w:type="pct"/>
            <w:gridSpan w:val="2"/>
            <w:tcBorders>
              <w:top w:val="nil"/>
              <w:left w:val="nil"/>
              <w:bottom w:val="nil"/>
              <w:right w:val="nil"/>
            </w:tcBorders>
          </w:tcPr>
          <w:p w14:paraId="61798222" w14:textId="77777777" w:rsidR="00490741" w:rsidRPr="00834C3F" w:rsidRDefault="00490741" w:rsidP="006243FB">
            <w:pPr>
              <w:pStyle w:val="Table"/>
              <w:rPr>
                <w:noProof/>
                <w:szCs w:val="22"/>
              </w:rPr>
            </w:pPr>
          </w:p>
        </w:tc>
        <w:tc>
          <w:tcPr>
            <w:tcW w:w="550" w:type="pct"/>
            <w:gridSpan w:val="3"/>
            <w:tcBorders>
              <w:top w:val="nil"/>
              <w:left w:val="nil"/>
              <w:bottom w:val="nil"/>
              <w:right w:val="nil"/>
            </w:tcBorders>
          </w:tcPr>
          <w:p w14:paraId="0D824944" w14:textId="77777777" w:rsidR="00490741" w:rsidRPr="00834C3F" w:rsidRDefault="00490741" w:rsidP="006243FB">
            <w:pPr>
              <w:pStyle w:val="Table"/>
              <w:rPr>
                <w:noProof/>
                <w:szCs w:val="22"/>
              </w:rPr>
            </w:pPr>
          </w:p>
        </w:tc>
        <w:tc>
          <w:tcPr>
            <w:tcW w:w="1151" w:type="pct"/>
            <w:gridSpan w:val="2"/>
            <w:tcBorders>
              <w:top w:val="nil"/>
              <w:left w:val="nil"/>
              <w:bottom w:val="nil"/>
              <w:right w:val="nil"/>
            </w:tcBorders>
          </w:tcPr>
          <w:p w14:paraId="5A41734B" w14:textId="77777777" w:rsidR="00490741" w:rsidRPr="00834C3F" w:rsidRDefault="00490741" w:rsidP="006243FB">
            <w:pPr>
              <w:pStyle w:val="Table"/>
              <w:rPr>
                <w:noProof/>
                <w:szCs w:val="22"/>
              </w:rPr>
            </w:pPr>
          </w:p>
        </w:tc>
      </w:tr>
      <w:tr w:rsidR="00490741" w:rsidRPr="00972C81" w14:paraId="5DE7E90F" w14:textId="77777777" w:rsidTr="006243FB">
        <w:trPr>
          <w:trHeight w:val="340"/>
        </w:trPr>
        <w:tc>
          <w:tcPr>
            <w:tcW w:w="1021" w:type="pct"/>
            <w:tcBorders>
              <w:top w:val="nil"/>
              <w:left w:val="nil"/>
              <w:bottom w:val="nil"/>
              <w:right w:val="nil"/>
            </w:tcBorders>
            <w:hideMark/>
          </w:tcPr>
          <w:p w14:paraId="044AEF3C" w14:textId="77777777" w:rsidR="00490741" w:rsidRPr="00834C3F" w:rsidRDefault="00490741" w:rsidP="006243FB">
            <w:pPr>
              <w:pStyle w:val="Table"/>
              <w:rPr>
                <w:noProof/>
                <w:szCs w:val="22"/>
              </w:rPr>
            </w:pPr>
            <w:r w:rsidRPr="00834C3F">
              <w:rPr>
                <w:noProof/>
                <w:szCs w:val="22"/>
              </w:rPr>
              <w:t>F</w:t>
            </w:r>
          </w:p>
        </w:tc>
        <w:tc>
          <w:tcPr>
            <w:tcW w:w="1180" w:type="pct"/>
            <w:gridSpan w:val="3"/>
            <w:tcBorders>
              <w:top w:val="nil"/>
              <w:left w:val="nil"/>
              <w:bottom w:val="nil"/>
              <w:right w:val="nil"/>
            </w:tcBorders>
            <w:hideMark/>
          </w:tcPr>
          <w:p w14:paraId="49C884DF" w14:textId="3540F07D" w:rsidR="00490741" w:rsidRPr="00834C3F" w:rsidRDefault="00490741" w:rsidP="006243FB">
            <w:pPr>
              <w:pStyle w:val="Table"/>
              <w:rPr>
                <w:noProof/>
                <w:szCs w:val="22"/>
              </w:rPr>
            </w:pPr>
            <w:r w:rsidRPr="00834C3F">
              <w:rPr>
                <w:noProof/>
                <w:szCs w:val="22"/>
              </w:rPr>
              <w:t>Einsteinium chloride</w:t>
            </w:r>
          </w:p>
        </w:tc>
        <w:tc>
          <w:tcPr>
            <w:tcW w:w="549" w:type="pct"/>
            <w:gridSpan w:val="3"/>
            <w:tcBorders>
              <w:top w:val="nil"/>
              <w:left w:val="nil"/>
              <w:bottom w:val="nil"/>
              <w:right w:val="nil"/>
            </w:tcBorders>
            <w:hideMark/>
          </w:tcPr>
          <w:p w14:paraId="2C9E4212" w14:textId="77777777" w:rsidR="00490741" w:rsidRPr="00834C3F" w:rsidRDefault="00490741" w:rsidP="006243FB">
            <w:pPr>
              <w:pStyle w:val="Table"/>
              <w:rPr>
                <w:noProof/>
                <w:szCs w:val="22"/>
              </w:rPr>
            </w:pPr>
            <w:r w:rsidRPr="00834C3F">
              <w:rPr>
                <w:noProof/>
                <w:szCs w:val="22"/>
              </w:rPr>
              <w:t>1</w:t>
            </w:r>
          </w:p>
        </w:tc>
        <w:tc>
          <w:tcPr>
            <w:tcW w:w="549" w:type="pct"/>
            <w:gridSpan w:val="2"/>
            <w:tcBorders>
              <w:top w:val="nil"/>
              <w:left w:val="nil"/>
              <w:bottom w:val="nil"/>
              <w:right w:val="nil"/>
            </w:tcBorders>
            <w:hideMark/>
          </w:tcPr>
          <w:p w14:paraId="4E5964F6" w14:textId="77777777" w:rsidR="00490741" w:rsidRPr="00834C3F" w:rsidRDefault="00490741" w:rsidP="006243FB">
            <w:pPr>
              <w:pStyle w:val="Table"/>
              <w:rPr>
                <w:noProof/>
                <w:szCs w:val="22"/>
              </w:rPr>
            </w:pPr>
            <w:r w:rsidRPr="00834C3F">
              <w:rPr>
                <w:noProof/>
                <w:szCs w:val="22"/>
              </w:rPr>
              <w:t>0.4</w:t>
            </w:r>
          </w:p>
        </w:tc>
        <w:tc>
          <w:tcPr>
            <w:tcW w:w="550" w:type="pct"/>
            <w:gridSpan w:val="3"/>
            <w:tcBorders>
              <w:top w:val="nil"/>
              <w:left w:val="nil"/>
              <w:bottom w:val="nil"/>
              <w:right w:val="nil"/>
            </w:tcBorders>
            <w:hideMark/>
          </w:tcPr>
          <w:p w14:paraId="56830297" w14:textId="77777777" w:rsidR="00490741" w:rsidRPr="00834C3F" w:rsidRDefault="00490741" w:rsidP="006243FB">
            <w:pPr>
              <w:pStyle w:val="Table"/>
              <w:rPr>
                <w:noProof/>
                <w:szCs w:val="22"/>
              </w:rPr>
            </w:pPr>
            <w:r w:rsidRPr="00834C3F">
              <w:rPr>
                <w:noProof/>
                <w:szCs w:val="22"/>
              </w:rPr>
              <w:t>–</w:t>
            </w:r>
          </w:p>
        </w:tc>
        <w:tc>
          <w:tcPr>
            <w:tcW w:w="1151" w:type="pct"/>
            <w:gridSpan w:val="2"/>
            <w:tcBorders>
              <w:top w:val="nil"/>
              <w:left w:val="nil"/>
              <w:bottom w:val="nil"/>
              <w:right w:val="nil"/>
            </w:tcBorders>
            <w:hideMark/>
          </w:tcPr>
          <w:p w14:paraId="7B0730CC" w14:textId="1756B405" w:rsidR="00490741" w:rsidRPr="00834C3F" w:rsidRDefault="00490741" w:rsidP="006243FB">
            <w:pPr>
              <w:pStyle w:val="Table"/>
              <w:rPr>
                <w:noProof/>
                <w:szCs w:val="22"/>
              </w:rPr>
            </w:pPr>
            <w:r w:rsidRPr="00834C3F">
              <w:rPr>
                <w:noProof/>
                <w:szCs w:val="22"/>
              </w:rPr>
              <w:t>5 × 10</w:t>
            </w:r>
            <w:r w:rsidRPr="00834C3F">
              <w:rPr>
                <w:noProof/>
                <w:szCs w:val="22"/>
                <w:vertAlign w:val="superscript"/>
              </w:rPr>
              <w:t>–4</w:t>
            </w:r>
          </w:p>
        </w:tc>
      </w:tr>
      <w:tr w:rsidR="00490741" w:rsidRPr="00972C81" w14:paraId="48823B65" w14:textId="77777777" w:rsidTr="006243FB">
        <w:trPr>
          <w:trHeight w:val="340"/>
        </w:trPr>
        <w:tc>
          <w:tcPr>
            <w:tcW w:w="1021" w:type="pct"/>
            <w:tcBorders>
              <w:top w:val="nil"/>
              <w:left w:val="nil"/>
              <w:bottom w:val="nil"/>
              <w:right w:val="nil"/>
            </w:tcBorders>
            <w:hideMark/>
          </w:tcPr>
          <w:p w14:paraId="24E4D478" w14:textId="10128946" w:rsidR="00490741" w:rsidRPr="00834C3F" w:rsidRDefault="00490741" w:rsidP="006243FB">
            <w:pPr>
              <w:pStyle w:val="Table"/>
              <w:rPr>
                <w:noProof/>
                <w:szCs w:val="22"/>
                <w:vertAlign w:val="superscript"/>
              </w:rPr>
            </w:pPr>
            <w:r w:rsidRPr="00834C3F">
              <w:rPr>
                <w:noProof/>
                <w:szCs w:val="22"/>
              </w:rPr>
              <w:t>M</w:t>
            </w:r>
            <w:r w:rsidRPr="00834C3F">
              <w:rPr>
                <w:noProof/>
                <w:szCs w:val="22"/>
                <w:vertAlign w:val="superscript"/>
              </w:rPr>
              <w:t>‡</w:t>
            </w:r>
          </w:p>
        </w:tc>
        <w:tc>
          <w:tcPr>
            <w:tcW w:w="1180" w:type="pct"/>
            <w:gridSpan w:val="3"/>
            <w:tcBorders>
              <w:top w:val="nil"/>
              <w:left w:val="nil"/>
              <w:bottom w:val="nil"/>
              <w:right w:val="nil"/>
            </w:tcBorders>
            <w:hideMark/>
          </w:tcPr>
          <w:p w14:paraId="79B7C845" w14:textId="3229074A" w:rsidR="00490741" w:rsidRPr="00834C3F" w:rsidRDefault="00490741" w:rsidP="006243FB">
            <w:pPr>
              <w:pStyle w:val="Table"/>
              <w:rPr>
                <w:noProof/>
                <w:szCs w:val="22"/>
                <w:vertAlign w:val="superscript"/>
              </w:rPr>
            </w:pPr>
            <w:r w:rsidRPr="00834C3F">
              <w:rPr>
                <w:noProof/>
                <w:szCs w:val="22"/>
              </w:rPr>
              <w:t>Einsteinium nitrate</w:t>
            </w:r>
          </w:p>
        </w:tc>
        <w:tc>
          <w:tcPr>
            <w:tcW w:w="549" w:type="pct"/>
            <w:gridSpan w:val="3"/>
            <w:tcBorders>
              <w:top w:val="nil"/>
              <w:left w:val="nil"/>
              <w:bottom w:val="nil"/>
              <w:right w:val="nil"/>
            </w:tcBorders>
            <w:hideMark/>
          </w:tcPr>
          <w:p w14:paraId="1A8B069D" w14:textId="77777777" w:rsidR="00490741" w:rsidRPr="00834C3F" w:rsidRDefault="00490741" w:rsidP="006243FB">
            <w:pPr>
              <w:pStyle w:val="Table"/>
              <w:rPr>
                <w:noProof/>
                <w:szCs w:val="22"/>
              </w:rPr>
            </w:pPr>
            <w:r w:rsidRPr="00834C3F">
              <w:rPr>
                <w:noProof/>
                <w:szCs w:val="22"/>
              </w:rPr>
              <w:t>0.2</w:t>
            </w:r>
          </w:p>
        </w:tc>
        <w:tc>
          <w:tcPr>
            <w:tcW w:w="549" w:type="pct"/>
            <w:gridSpan w:val="2"/>
            <w:tcBorders>
              <w:top w:val="nil"/>
              <w:left w:val="nil"/>
              <w:bottom w:val="nil"/>
              <w:right w:val="nil"/>
            </w:tcBorders>
            <w:hideMark/>
          </w:tcPr>
          <w:p w14:paraId="62897F23" w14:textId="77777777" w:rsidR="00490741" w:rsidRPr="00834C3F" w:rsidRDefault="00490741" w:rsidP="006243FB">
            <w:pPr>
              <w:pStyle w:val="Table"/>
              <w:rPr>
                <w:noProof/>
                <w:szCs w:val="22"/>
              </w:rPr>
            </w:pPr>
            <w:r w:rsidRPr="00834C3F">
              <w:rPr>
                <w:noProof/>
                <w:szCs w:val="22"/>
              </w:rPr>
              <w:t>0.4</w:t>
            </w:r>
          </w:p>
        </w:tc>
        <w:tc>
          <w:tcPr>
            <w:tcW w:w="550" w:type="pct"/>
            <w:gridSpan w:val="3"/>
            <w:tcBorders>
              <w:top w:val="nil"/>
              <w:left w:val="nil"/>
              <w:bottom w:val="nil"/>
              <w:right w:val="nil"/>
            </w:tcBorders>
            <w:hideMark/>
          </w:tcPr>
          <w:p w14:paraId="4FDF5434" w14:textId="77777777" w:rsidR="00490741" w:rsidRPr="00834C3F" w:rsidRDefault="00490741" w:rsidP="006243FB">
            <w:pPr>
              <w:pStyle w:val="Table"/>
              <w:rPr>
                <w:noProof/>
                <w:szCs w:val="22"/>
              </w:rPr>
            </w:pPr>
            <w:r w:rsidRPr="00834C3F">
              <w:rPr>
                <w:noProof/>
                <w:szCs w:val="22"/>
              </w:rPr>
              <w:t>0.005</w:t>
            </w:r>
          </w:p>
        </w:tc>
        <w:tc>
          <w:tcPr>
            <w:tcW w:w="1151" w:type="pct"/>
            <w:gridSpan w:val="2"/>
            <w:tcBorders>
              <w:top w:val="nil"/>
              <w:left w:val="nil"/>
              <w:bottom w:val="nil"/>
              <w:right w:val="nil"/>
            </w:tcBorders>
            <w:hideMark/>
          </w:tcPr>
          <w:p w14:paraId="45AE3DB6" w14:textId="6B0978F2" w:rsidR="00490741" w:rsidRPr="00834C3F" w:rsidRDefault="00490741" w:rsidP="006243FB">
            <w:pPr>
              <w:pStyle w:val="Table"/>
              <w:rPr>
                <w:noProof/>
                <w:szCs w:val="22"/>
              </w:rPr>
            </w:pPr>
            <w:r w:rsidRPr="00834C3F">
              <w:rPr>
                <w:noProof/>
                <w:szCs w:val="22"/>
              </w:rPr>
              <w:t>1 × 10</w:t>
            </w:r>
            <w:r w:rsidRPr="00834C3F">
              <w:rPr>
                <w:noProof/>
                <w:szCs w:val="22"/>
                <w:vertAlign w:val="superscript"/>
              </w:rPr>
              <w:t>–4</w:t>
            </w:r>
          </w:p>
        </w:tc>
      </w:tr>
      <w:tr w:rsidR="00490741" w:rsidRPr="00972C81" w14:paraId="268E816C" w14:textId="77777777" w:rsidTr="006243FB">
        <w:trPr>
          <w:trHeight w:val="340"/>
        </w:trPr>
        <w:tc>
          <w:tcPr>
            <w:tcW w:w="1021" w:type="pct"/>
            <w:tcBorders>
              <w:top w:val="nil"/>
              <w:left w:val="nil"/>
              <w:bottom w:val="single" w:sz="4" w:space="0" w:color="auto"/>
              <w:right w:val="nil"/>
            </w:tcBorders>
            <w:hideMark/>
          </w:tcPr>
          <w:p w14:paraId="472D6815" w14:textId="77777777" w:rsidR="00490741" w:rsidRPr="00834C3F" w:rsidRDefault="00490741" w:rsidP="006243FB">
            <w:pPr>
              <w:pStyle w:val="Table"/>
              <w:rPr>
                <w:noProof/>
                <w:szCs w:val="22"/>
              </w:rPr>
            </w:pPr>
            <w:r w:rsidRPr="00834C3F">
              <w:rPr>
                <w:noProof/>
                <w:szCs w:val="22"/>
              </w:rPr>
              <w:t>S</w:t>
            </w:r>
          </w:p>
        </w:tc>
        <w:tc>
          <w:tcPr>
            <w:tcW w:w="1180" w:type="pct"/>
            <w:gridSpan w:val="3"/>
            <w:tcBorders>
              <w:top w:val="nil"/>
              <w:left w:val="nil"/>
              <w:bottom w:val="single" w:sz="4" w:space="0" w:color="auto"/>
              <w:right w:val="nil"/>
            </w:tcBorders>
          </w:tcPr>
          <w:p w14:paraId="33FED807" w14:textId="77777777" w:rsidR="00490741" w:rsidRPr="00834C3F" w:rsidRDefault="00490741" w:rsidP="006243FB">
            <w:pPr>
              <w:pStyle w:val="Table"/>
              <w:rPr>
                <w:noProof/>
                <w:szCs w:val="22"/>
              </w:rPr>
            </w:pPr>
            <w:r w:rsidRPr="00834C3F">
              <w:rPr>
                <w:noProof/>
                <w:color w:val="000000" w:themeColor="text1"/>
                <w:szCs w:val="22"/>
              </w:rPr>
              <w:t>—</w:t>
            </w:r>
          </w:p>
        </w:tc>
        <w:tc>
          <w:tcPr>
            <w:tcW w:w="549" w:type="pct"/>
            <w:gridSpan w:val="3"/>
            <w:tcBorders>
              <w:top w:val="nil"/>
              <w:left w:val="nil"/>
              <w:bottom w:val="single" w:sz="4" w:space="0" w:color="auto"/>
              <w:right w:val="nil"/>
            </w:tcBorders>
            <w:hideMark/>
          </w:tcPr>
          <w:p w14:paraId="52B25BAF" w14:textId="77777777" w:rsidR="00490741" w:rsidRPr="00834C3F" w:rsidRDefault="00490741" w:rsidP="006243FB">
            <w:pPr>
              <w:pStyle w:val="Table"/>
              <w:rPr>
                <w:noProof/>
                <w:szCs w:val="22"/>
              </w:rPr>
            </w:pPr>
            <w:r w:rsidRPr="00834C3F">
              <w:rPr>
                <w:noProof/>
                <w:szCs w:val="22"/>
              </w:rPr>
              <w:t>0.01</w:t>
            </w:r>
          </w:p>
        </w:tc>
        <w:tc>
          <w:tcPr>
            <w:tcW w:w="549" w:type="pct"/>
            <w:gridSpan w:val="2"/>
            <w:tcBorders>
              <w:top w:val="nil"/>
              <w:left w:val="nil"/>
              <w:bottom w:val="single" w:sz="4" w:space="0" w:color="auto"/>
              <w:right w:val="nil"/>
            </w:tcBorders>
            <w:hideMark/>
          </w:tcPr>
          <w:p w14:paraId="1F742BEE" w14:textId="77777777" w:rsidR="00490741" w:rsidRPr="00834C3F" w:rsidRDefault="00490741" w:rsidP="006243FB">
            <w:pPr>
              <w:pStyle w:val="Table"/>
              <w:rPr>
                <w:noProof/>
                <w:szCs w:val="22"/>
              </w:rPr>
            </w:pPr>
            <w:r w:rsidRPr="00834C3F">
              <w:rPr>
                <w:noProof/>
                <w:szCs w:val="22"/>
              </w:rPr>
              <w:t>0.4</w:t>
            </w:r>
          </w:p>
        </w:tc>
        <w:tc>
          <w:tcPr>
            <w:tcW w:w="550" w:type="pct"/>
            <w:gridSpan w:val="3"/>
            <w:tcBorders>
              <w:top w:val="nil"/>
              <w:left w:val="nil"/>
              <w:bottom w:val="single" w:sz="4" w:space="0" w:color="auto"/>
              <w:right w:val="nil"/>
            </w:tcBorders>
            <w:hideMark/>
          </w:tcPr>
          <w:p w14:paraId="46C61DC1" w14:textId="6571DEA9" w:rsidR="00490741" w:rsidRPr="00834C3F" w:rsidRDefault="00490741" w:rsidP="006243FB">
            <w:pPr>
              <w:pStyle w:val="Table"/>
              <w:rPr>
                <w:noProof/>
                <w:szCs w:val="22"/>
              </w:rPr>
            </w:pPr>
            <w:r w:rsidRPr="00834C3F">
              <w:rPr>
                <w:noProof/>
                <w:szCs w:val="22"/>
              </w:rPr>
              <w:t>1 × 10</w:t>
            </w:r>
            <w:r w:rsidRPr="00834C3F">
              <w:rPr>
                <w:noProof/>
                <w:szCs w:val="22"/>
                <w:vertAlign w:val="superscript"/>
              </w:rPr>
              <w:t>–4</w:t>
            </w:r>
          </w:p>
        </w:tc>
        <w:tc>
          <w:tcPr>
            <w:tcW w:w="1151" w:type="pct"/>
            <w:gridSpan w:val="2"/>
            <w:tcBorders>
              <w:top w:val="nil"/>
              <w:left w:val="nil"/>
              <w:bottom w:val="single" w:sz="4" w:space="0" w:color="auto"/>
              <w:right w:val="nil"/>
            </w:tcBorders>
            <w:hideMark/>
          </w:tcPr>
          <w:p w14:paraId="39705C37" w14:textId="5C77F83F" w:rsidR="00490741" w:rsidRPr="00834C3F" w:rsidRDefault="00490741" w:rsidP="006243FB">
            <w:pPr>
              <w:pStyle w:val="Table"/>
              <w:rPr>
                <w:noProof/>
                <w:szCs w:val="22"/>
              </w:rPr>
            </w:pPr>
            <w:r w:rsidRPr="00834C3F">
              <w:rPr>
                <w:noProof/>
                <w:szCs w:val="22"/>
              </w:rPr>
              <w:t>5 × 10</w:t>
            </w:r>
            <w:r w:rsidRPr="00834C3F">
              <w:rPr>
                <w:noProof/>
                <w:szCs w:val="22"/>
                <w:vertAlign w:val="superscript"/>
              </w:rPr>
              <w:t>–6</w:t>
            </w:r>
          </w:p>
        </w:tc>
      </w:tr>
      <w:tr w:rsidR="00490741" w:rsidRPr="00972C81" w14:paraId="2C5A99D1" w14:textId="77777777" w:rsidTr="006243FB">
        <w:trPr>
          <w:trHeight w:val="340"/>
        </w:trPr>
        <w:tc>
          <w:tcPr>
            <w:tcW w:w="2201" w:type="pct"/>
            <w:gridSpan w:val="4"/>
            <w:tcBorders>
              <w:top w:val="single" w:sz="4" w:space="0" w:color="auto"/>
              <w:left w:val="nil"/>
              <w:bottom w:val="nil"/>
              <w:right w:val="nil"/>
            </w:tcBorders>
          </w:tcPr>
          <w:p w14:paraId="4407E519" w14:textId="77777777" w:rsidR="00490741" w:rsidRPr="00834C3F" w:rsidRDefault="00490741" w:rsidP="00E81109">
            <w:pPr>
              <w:pStyle w:val="Table"/>
              <w:rPr>
                <w:noProof/>
                <w:szCs w:val="22"/>
              </w:rPr>
            </w:pPr>
          </w:p>
        </w:tc>
        <w:tc>
          <w:tcPr>
            <w:tcW w:w="515" w:type="pct"/>
            <w:gridSpan w:val="2"/>
            <w:tcBorders>
              <w:top w:val="single" w:sz="4" w:space="0" w:color="auto"/>
              <w:left w:val="nil"/>
              <w:bottom w:val="nil"/>
              <w:right w:val="nil"/>
            </w:tcBorders>
          </w:tcPr>
          <w:p w14:paraId="7DECDA41" w14:textId="77777777" w:rsidR="00490741" w:rsidRPr="00834C3F" w:rsidRDefault="00490741" w:rsidP="00E81109">
            <w:pPr>
              <w:pStyle w:val="Table"/>
              <w:rPr>
                <w:noProof/>
                <w:szCs w:val="22"/>
              </w:rPr>
            </w:pPr>
          </w:p>
        </w:tc>
        <w:tc>
          <w:tcPr>
            <w:tcW w:w="593" w:type="pct"/>
            <w:gridSpan w:val="4"/>
            <w:tcBorders>
              <w:top w:val="single" w:sz="4" w:space="0" w:color="auto"/>
              <w:left w:val="nil"/>
              <w:bottom w:val="nil"/>
              <w:right w:val="nil"/>
            </w:tcBorders>
          </w:tcPr>
          <w:p w14:paraId="027DD838" w14:textId="77777777" w:rsidR="00490741" w:rsidRPr="00834C3F" w:rsidRDefault="00490741" w:rsidP="00E81109">
            <w:pPr>
              <w:pStyle w:val="Table"/>
              <w:rPr>
                <w:noProof/>
                <w:szCs w:val="22"/>
              </w:rPr>
            </w:pPr>
          </w:p>
        </w:tc>
        <w:tc>
          <w:tcPr>
            <w:tcW w:w="540" w:type="pct"/>
            <w:gridSpan w:val="2"/>
            <w:tcBorders>
              <w:top w:val="single" w:sz="4" w:space="0" w:color="auto"/>
              <w:left w:val="nil"/>
              <w:bottom w:val="nil"/>
              <w:right w:val="nil"/>
            </w:tcBorders>
          </w:tcPr>
          <w:p w14:paraId="30DC7F56" w14:textId="77777777" w:rsidR="00490741" w:rsidRPr="00834C3F" w:rsidRDefault="00490741" w:rsidP="00E81109">
            <w:pPr>
              <w:pStyle w:val="Table"/>
              <w:rPr>
                <w:noProof/>
                <w:szCs w:val="22"/>
              </w:rPr>
            </w:pPr>
          </w:p>
        </w:tc>
        <w:tc>
          <w:tcPr>
            <w:tcW w:w="1151" w:type="pct"/>
            <w:gridSpan w:val="2"/>
            <w:tcBorders>
              <w:top w:val="single" w:sz="4" w:space="0" w:color="auto"/>
              <w:left w:val="nil"/>
              <w:bottom w:val="nil"/>
              <w:right w:val="nil"/>
            </w:tcBorders>
          </w:tcPr>
          <w:p w14:paraId="160DD96B" w14:textId="77777777" w:rsidR="00490741" w:rsidRPr="00834C3F" w:rsidRDefault="00490741" w:rsidP="00E81109">
            <w:pPr>
              <w:pStyle w:val="Table"/>
              <w:rPr>
                <w:noProof/>
                <w:szCs w:val="22"/>
              </w:rPr>
            </w:pPr>
          </w:p>
        </w:tc>
      </w:tr>
      <w:tr w:rsidR="00490741" w:rsidRPr="00972C81" w14:paraId="5A295B64" w14:textId="77777777" w:rsidTr="006243FB">
        <w:trPr>
          <w:trHeight w:val="340"/>
        </w:trPr>
        <w:tc>
          <w:tcPr>
            <w:tcW w:w="2201" w:type="pct"/>
            <w:gridSpan w:val="4"/>
            <w:tcBorders>
              <w:top w:val="nil"/>
              <w:left w:val="nil"/>
              <w:bottom w:val="single" w:sz="4" w:space="0" w:color="auto"/>
              <w:right w:val="nil"/>
            </w:tcBorders>
            <w:hideMark/>
          </w:tcPr>
          <w:p w14:paraId="2ACBA664" w14:textId="788108F8" w:rsidR="00490741" w:rsidRPr="00834C3F" w:rsidRDefault="00490741" w:rsidP="00E81109">
            <w:pPr>
              <w:pStyle w:val="Table"/>
              <w:rPr>
                <w:noProof/>
                <w:szCs w:val="22"/>
              </w:rPr>
            </w:pPr>
            <w:r w:rsidRPr="00834C3F">
              <w:rPr>
                <w:noProof/>
                <w:szCs w:val="22"/>
              </w:rPr>
              <w:t>Ingested material</w:t>
            </w:r>
            <w:r w:rsidRPr="00834C3F">
              <w:rPr>
                <w:noProof/>
                <w:szCs w:val="22"/>
                <w:vertAlign w:val="superscript"/>
              </w:rPr>
              <w:t>§</w:t>
            </w:r>
          </w:p>
        </w:tc>
        <w:tc>
          <w:tcPr>
            <w:tcW w:w="515" w:type="pct"/>
            <w:gridSpan w:val="2"/>
            <w:tcBorders>
              <w:top w:val="nil"/>
              <w:left w:val="nil"/>
              <w:bottom w:val="single" w:sz="4" w:space="0" w:color="auto"/>
              <w:right w:val="nil"/>
            </w:tcBorders>
          </w:tcPr>
          <w:p w14:paraId="61BB1E65" w14:textId="77777777" w:rsidR="00490741" w:rsidRPr="00834C3F" w:rsidRDefault="00490741" w:rsidP="00E81109">
            <w:pPr>
              <w:pStyle w:val="Table"/>
              <w:rPr>
                <w:noProof/>
                <w:szCs w:val="22"/>
              </w:rPr>
            </w:pPr>
          </w:p>
        </w:tc>
        <w:tc>
          <w:tcPr>
            <w:tcW w:w="593" w:type="pct"/>
            <w:gridSpan w:val="4"/>
            <w:tcBorders>
              <w:top w:val="nil"/>
              <w:left w:val="nil"/>
              <w:bottom w:val="single" w:sz="4" w:space="0" w:color="auto"/>
              <w:right w:val="nil"/>
            </w:tcBorders>
          </w:tcPr>
          <w:p w14:paraId="628A0140" w14:textId="77777777" w:rsidR="00490741" w:rsidRPr="00834C3F" w:rsidRDefault="00490741" w:rsidP="00E81109">
            <w:pPr>
              <w:pStyle w:val="Table"/>
              <w:rPr>
                <w:noProof/>
                <w:szCs w:val="22"/>
              </w:rPr>
            </w:pPr>
          </w:p>
        </w:tc>
        <w:tc>
          <w:tcPr>
            <w:tcW w:w="540" w:type="pct"/>
            <w:gridSpan w:val="2"/>
            <w:tcBorders>
              <w:top w:val="nil"/>
              <w:left w:val="nil"/>
              <w:bottom w:val="single" w:sz="4" w:space="0" w:color="auto"/>
              <w:right w:val="nil"/>
            </w:tcBorders>
          </w:tcPr>
          <w:p w14:paraId="635ED80D" w14:textId="77777777" w:rsidR="00490741" w:rsidRPr="00834C3F" w:rsidRDefault="00490741" w:rsidP="00E81109">
            <w:pPr>
              <w:pStyle w:val="Table"/>
              <w:rPr>
                <w:noProof/>
                <w:szCs w:val="22"/>
              </w:rPr>
            </w:pPr>
          </w:p>
        </w:tc>
        <w:tc>
          <w:tcPr>
            <w:tcW w:w="1151" w:type="pct"/>
            <w:gridSpan w:val="2"/>
            <w:tcBorders>
              <w:top w:val="nil"/>
              <w:left w:val="nil"/>
              <w:bottom w:val="single" w:sz="4" w:space="0" w:color="auto"/>
              <w:right w:val="nil"/>
            </w:tcBorders>
          </w:tcPr>
          <w:p w14:paraId="489368D4" w14:textId="77777777" w:rsidR="00490741" w:rsidRPr="00834C3F" w:rsidRDefault="00490741" w:rsidP="00E81109">
            <w:pPr>
              <w:pStyle w:val="Table"/>
              <w:rPr>
                <w:noProof/>
                <w:szCs w:val="22"/>
              </w:rPr>
            </w:pPr>
          </w:p>
        </w:tc>
      </w:tr>
      <w:tr w:rsidR="006243FB" w:rsidRPr="00972C81" w14:paraId="033C66DC" w14:textId="77777777" w:rsidTr="006243FB">
        <w:trPr>
          <w:trHeight w:val="340"/>
        </w:trPr>
        <w:tc>
          <w:tcPr>
            <w:tcW w:w="1098" w:type="pct"/>
            <w:gridSpan w:val="2"/>
            <w:vMerge w:val="restart"/>
            <w:tcBorders>
              <w:top w:val="nil"/>
              <w:left w:val="nil"/>
              <w:right w:val="nil"/>
            </w:tcBorders>
            <w:vAlign w:val="center"/>
            <w:hideMark/>
          </w:tcPr>
          <w:p w14:paraId="7FA3E504" w14:textId="77777777" w:rsidR="006243FB" w:rsidRPr="00834C3F" w:rsidRDefault="006243FB" w:rsidP="006243FB">
            <w:pPr>
              <w:pStyle w:val="Table"/>
              <w:rPr>
                <w:noProof/>
                <w:szCs w:val="22"/>
              </w:rPr>
            </w:pPr>
            <w:r w:rsidRPr="00834C3F">
              <w:rPr>
                <w:noProof/>
                <w:szCs w:val="22"/>
              </w:rPr>
              <w:t>Assigned forms</w:t>
            </w:r>
          </w:p>
        </w:tc>
        <w:tc>
          <w:tcPr>
            <w:tcW w:w="3902" w:type="pct"/>
            <w:gridSpan w:val="12"/>
            <w:tcBorders>
              <w:top w:val="nil"/>
              <w:left w:val="nil"/>
              <w:bottom w:val="single" w:sz="4" w:space="0" w:color="auto"/>
              <w:right w:val="nil"/>
            </w:tcBorders>
            <w:vAlign w:val="center"/>
          </w:tcPr>
          <w:p w14:paraId="4D95B48D" w14:textId="165BCF32" w:rsidR="006243FB" w:rsidRPr="00834C3F" w:rsidRDefault="006243FB" w:rsidP="006243FB">
            <w:pPr>
              <w:pStyle w:val="Table"/>
              <w:jc w:val="center"/>
              <w:rPr>
                <w:noProof/>
                <w:szCs w:val="22"/>
              </w:rPr>
            </w:pPr>
            <w:r w:rsidRPr="00834C3F">
              <w:rPr>
                <w:noProof/>
                <w:szCs w:val="22"/>
              </w:rPr>
              <w:t xml:space="preserve">Age-dependent absorption from the alimentary tract, </w:t>
            </w:r>
            <w:r w:rsidRPr="00834C3F">
              <w:rPr>
                <w:i/>
                <w:noProof/>
                <w:szCs w:val="22"/>
              </w:rPr>
              <w:t>f</w:t>
            </w:r>
            <w:r w:rsidRPr="00834C3F">
              <w:rPr>
                <w:noProof/>
                <w:szCs w:val="22"/>
                <w:vertAlign w:val="subscript"/>
              </w:rPr>
              <w:t>A</w:t>
            </w:r>
          </w:p>
        </w:tc>
      </w:tr>
      <w:tr w:rsidR="006243FB" w:rsidRPr="00972C81" w14:paraId="6139788A" w14:textId="77777777" w:rsidTr="006243FB">
        <w:trPr>
          <w:trHeight w:val="340"/>
        </w:trPr>
        <w:tc>
          <w:tcPr>
            <w:tcW w:w="1098" w:type="pct"/>
            <w:gridSpan w:val="2"/>
            <w:vMerge/>
            <w:tcBorders>
              <w:left w:val="nil"/>
              <w:bottom w:val="single" w:sz="4" w:space="0" w:color="auto"/>
              <w:right w:val="nil"/>
            </w:tcBorders>
          </w:tcPr>
          <w:p w14:paraId="3F42AD09" w14:textId="77777777" w:rsidR="006243FB" w:rsidRPr="00834C3F" w:rsidRDefault="006243FB" w:rsidP="00E81109">
            <w:pPr>
              <w:pStyle w:val="Table"/>
              <w:rPr>
                <w:noProof/>
                <w:szCs w:val="22"/>
              </w:rPr>
            </w:pPr>
          </w:p>
        </w:tc>
        <w:tc>
          <w:tcPr>
            <w:tcW w:w="650" w:type="pct"/>
            <w:tcBorders>
              <w:top w:val="single" w:sz="4" w:space="0" w:color="auto"/>
              <w:left w:val="nil"/>
              <w:bottom w:val="single" w:sz="4" w:space="0" w:color="auto"/>
              <w:right w:val="nil"/>
            </w:tcBorders>
            <w:vAlign w:val="center"/>
          </w:tcPr>
          <w:p w14:paraId="7BF50510" w14:textId="682AFA98" w:rsidR="006243FB" w:rsidRPr="00834C3F" w:rsidRDefault="006243FB" w:rsidP="006243FB">
            <w:pPr>
              <w:pStyle w:val="Table"/>
              <w:rPr>
                <w:noProof/>
                <w:szCs w:val="22"/>
              </w:rPr>
            </w:pPr>
            <w:r w:rsidRPr="00834C3F">
              <w:rPr>
                <w:noProof/>
                <w:szCs w:val="22"/>
              </w:rPr>
              <w:t>3 mo</w:t>
            </w:r>
          </w:p>
        </w:tc>
        <w:tc>
          <w:tcPr>
            <w:tcW w:w="650" w:type="pct"/>
            <w:gridSpan w:val="2"/>
            <w:tcBorders>
              <w:top w:val="single" w:sz="4" w:space="0" w:color="auto"/>
              <w:left w:val="nil"/>
              <w:bottom w:val="single" w:sz="4" w:space="0" w:color="auto"/>
              <w:right w:val="nil"/>
            </w:tcBorders>
            <w:vAlign w:val="center"/>
          </w:tcPr>
          <w:p w14:paraId="01D04302" w14:textId="50FB6783" w:rsidR="006243FB" w:rsidRPr="00834C3F" w:rsidRDefault="006243FB" w:rsidP="006243FB">
            <w:pPr>
              <w:pStyle w:val="Table"/>
              <w:rPr>
                <w:noProof/>
                <w:szCs w:val="22"/>
              </w:rPr>
            </w:pPr>
            <w:r w:rsidRPr="00834C3F">
              <w:rPr>
                <w:noProof/>
                <w:szCs w:val="22"/>
              </w:rPr>
              <w:t>1 y</w:t>
            </w:r>
          </w:p>
        </w:tc>
        <w:tc>
          <w:tcPr>
            <w:tcW w:w="650" w:type="pct"/>
            <w:gridSpan w:val="3"/>
            <w:tcBorders>
              <w:top w:val="single" w:sz="4" w:space="0" w:color="auto"/>
              <w:left w:val="nil"/>
              <w:bottom w:val="single" w:sz="4" w:space="0" w:color="auto"/>
              <w:right w:val="nil"/>
            </w:tcBorders>
            <w:vAlign w:val="center"/>
          </w:tcPr>
          <w:p w14:paraId="2DA75182" w14:textId="4D70BBF8" w:rsidR="006243FB" w:rsidRPr="00834C3F" w:rsidRDefault="006243FB" w:rsidP="006243FB">
            <w:pPr>
              <w:pStyle w:val="Table"/>
              <w:rPr>
                <w:noProof/>
                <w:szCs w:val="22"/>
              </w:rPr>
            </w:pPr>
            <w:r w:rsidRPr="00834C3F">
              <w:rPr>
                <w:noProof/>
                <w:szCs w:val="22"/>
              </w:rPr>
              <w:t xml:space="preserve"> 5 y</w:t>
            </w:r>
          </w:p>
        </w:tc>
        <w:tc>
          <w:tcPr>
            <w:tcW w:w="650" w:type="pct"/>
            <w:gridSpan w:val="3"/>
            <w:tcBorders>
              <w:top w:val="single" w:sz="4" w:space="0" w:color="auto"/>
              <w:left w:val="nil"/>
              <w:bottom w:val="single" w:sz="4" w:space="0" w:color="auto"/>
              <w:right w:val="nil"/>
            </w:tcBorders>
            <w:vAlign w:val="center"/>
          </w:tcPr>
          <w:p w14:paraId="06EEC166" w14:textId="3FA0D018" w:rsidR="006243FB" w:rsidRPr="00834C3F" w:rsidRDefault="006243FB" w:rsidP="006243FB">
            <w:pPr>
              <w:pStyle w:val="Table"/>
              <w:rPr>
                <w:noProof/>
                <w:szCs w:val="22"/>
              </w:rPr>
            </w:pPr>
            <w:r w:rsidRPr="00834C3F">
              <w:rPr>
                <w:noProof/>
                <w:szCs w:val="22"/>
              </w:rPr>
              <w:t>10 y</w:t>
            </w:r>
          </w:p>
        </w:tc>
        <w:tc>
          <w:tcPr>
            <w:tcW w:w="650" w:type="pct"/>
            <w:gridSpan w:val="2"/>
            <w:tcBorders>
              <w:top w:val="single" w:sz="4" w:space="0" w:color="auto"/>
              <w:left w:val="nil"/>
              <w:bottom w:val="single" w:sz="4" w:space="0" w:color="auto"/>
              <w:right w:val="nil"/>
            </w:tcBorders>
            <w:vAlign w:val="center"/>
          </w:tcPr>
          <w:p w14:paraId="107E1005" w14:textId="13EC31D1" w:rsidR="006243FB" w:rsidRPr="00834C3F" w:rsidRDefault="006243FB" w:rsidP="006243FB">
            <w:pPr>
              <w:pStyle w:val="Table"/>
              <w:rPr>
                <w:noProof/>
                <w:szCs w:val="22"/>
              </w:rPr>
            </w:pPr>
            <w:r w:rsidRPr="00834C3F">
              <w:rPr>
                <w:noProof/>
                <w:szCs w:val="22"/>
              </w:rPr>
              <w:t>15 y</w:t>
            </w:r>
          </w:p>
        </w:tc>
        <w:tc>
          <w:tcPr>
            <w:tcW w:w="652" w:type="pct"/>
            <w:tcBorders>
              <w:top w:val="single" w:sz="4" w:space="0" w:color="auto"/>
              <w:left w:val="nil"/>
              <w:bottom w:val="single" w:sz="4" w:space="0" w:color="auto"/>
              <w:right w:val="nil"/>
            </w:tcBorders>
            <w:vAlign w:val="center"/>
          </w:tcPr>
          <w:p w14:paraId="4F393880" w14:textId="77777777" w:rsidR="006243FB" w:rsidRPr="00834C3F" w:rsidRDefault="006243FB" w:rsidP="006243FB">
            <w:pPr>
              <w:pStyle w:val="Table"/>
              <w:rPr>
                <w:noProof/>
                <w:szCs w:val="22"/>
              </w:rPr>
            </w:pPr>
            <w:r w:rsidRPr="00834C3F">
              <w:rPr>
                <w:noProof/>
                <w:szCs w:val="22"/>
              </w:rPr>
              <w:t>adult</w:t>
            </w:r>
          </w:p>
        </w:tc>
      </w:tr>
      <w:tr w:rsidR="00490741" w:rsidRPr="00972C81" w14:paraId="40DEB3EA" w14:textId="77777777" w:rsidTr="006243FB">
        <w:trPr>
          <w:trHeight w:val="340"/>
        </w:trPr>
        <w:tc>
          <w:tcPr>
            <w:tcW w:w="1098" w:type="pct"/>
            <w:gridSpan w:val="2"/>
            <w:tcBorders>
              <w:top w:val="single" w:sz="4" w:space="0" w:color="auto"/>
              <w:left w:val="nil"/>
              <w:bottom w:val="single" w:sz="4" w:space="0" w:color="auto"/>
              <w:right w:val="nil"/>
            </w:tcBorders>
            <w:vAlign w:val="center"/>
          </w:tcPr>
          <w:p w14:paraId="74D23181" w14:textId="77777777" w:rsidR="00490741" w:rsidRPr="00834C3F" w:rsidRDefault="00490741" w:rsidP="006243FB">
            <w:pPr>
              <w:pStyle w:val="Table"/>
              <w:rPr>
                <w:noProof/>
                <w:szCs w:val="22"/>
              </w:rPr>
            </w:pPr>
            <w:r w:rsidRPr="00834C3F">
              <w:rPr>
                <w:noProof/>
                <w:szCs w:val="22"/>
              </w:rPr>
              <w:t>all forms</w:t>
            </w:r>
          </w:p>
        </w:tc>
        <w:tc>
          <w:tcPr>
            <w:tcW w:w="650" w:type="pct"/>
            <w:tcBorders>
              <w:top w:val="single" w:sz="4" w:space="0" w:color="auto"/>
              <w:left w:val="nil"/>
              <w:bottom w:val="single" w:sz="4" w:space="0" w:color="auto"/>
              <w:right w:val="nil"/>
            </w:tcBorders>
            <w:vAlign w:val="center"/>
          </w:tcPr>
          <w:p w14:paraId="3EC206DE" w14:textId="44048A81" w:rsidR="00490741" w:rsidRPr="00834C3F" w:rsidRDefault="00490741" w:rsidP="006243FB">
            <w:pPr>
              <w:pStyle w:val="Table"/>
              <w:rPr>
                <w:noProof/>
                <w:szCs w:val="22"/>
              </w:rPr>
            </w:pPr>
            <w:r w:rsidRPr="00834C3F">
              <w:rPr>
                <w:noProof/>
                <w:color w:val="000000"/>
                <w:szCs w:val="22"/>
              </w:rPr>
              <w:t xml:space="preserve">5 </w:t>
            </w:r>
            <w:r w:rsidRPr="00834C3F">
              <w:rPr>
                <w:noProof/>
                <w:color w:val="000000"/>
                <w:szCs w:val="22"/>
                <w:lang w:eastAsia="fr-FR"/>
              </w:rPr>
              <w:t>×</w:t>
            </w:r>
            <w:r w:rsidRPr="00834C3F">
              <w:rPr>
                <w:noProof/>
                <w:color w:val="000000"/>
                <w:szCs w:val="22"/>
              </w:rPr>
              <w:t xml:space="preserve"> 10</w:t>
            </w:r>
            <w:r w:rsidRPr="00834C3F">
              <w:rPr>
                <w:noProof/>
                <w:color w:val="000000"/>
                <w:szCs w:val="22"/>
                <w:vertAlign w:val="superscript"/>
              </w:rPr>
              <w:t>-3</w:t>
            </w:r>
          </w:p>
        </w:tc>
        <w:tc>
          <w:tcPr>
            <w:tcW w:w="650" w:type="pct"/>
            <w:gridSpan w:val="2"/>
            <w:tcBorders>
              <w:top w:val="single" w:sz="4" w:space="0" w:color="auto"/>
              <w:left w:val="nil"/>
              <w:bottom w:val="single" w:sz="4" w:space="0" w:color="auto"/>
              <w:right w:val="nil"/>
            </w:tcBorders>
            <w:vAlign w:val="center"/>
          </w:tcPr>
          <w:p w14:paraId="348E46CB" w14:textId="7D425B6A" w:rsidR="00490741" w:rsidRPr="00834C3F" w:rsidRDefault="00490741" w:rsidP="006243FB">
            <w:pPr>
              <w:pStyle w:val="Table"/>
              <w:rPr>
                <w:noProof/>
                <w:szCs w:val="22"/>
              </w:rPr>
            </w:pPr>
            <w:r w:rsidRPr="00834C3F">
              <w:rPr>
                <w:noProof/>
                <w:color w:val="000000"/>
                <w:szCs w:val="22"/>
              </w:rPr>
              <w:t xml:space="preserve">5 </w:t>
            </w:r>
            <w:r w:rsidRPr="00834C3F">
              <w:rPr>
                <w:noProof/>
                <w:color w:val="000000"/>
                <w:szCs w:val="22"/>
                <w:lang w:eastAsia="fr-FR"/>
              </w:rPr>
              <w:t>×</w:t>
            </w:r>
            <w:r w:rsidRPr="00834C3F">
              <w:rPr>
                <w:noProof/>
                <w:color w:val="000000"/>
                <w:szCs w:val="22"/>
              </w:rPr>
              <w:t xml:space="preserve"> 10</w:t>
            </w:r>
            <w:r w:rsidRPr="00834C3F">
              <w:rPr>
                <w:noProof/>
                <w:color w:val="000000"/>
                <w:szCs w:val="22"/>
                <w:vertAlign w:val="superscript"/>
              </w:rPr>
              <w:t>-4</w:t>
            </w:r>
          </w:p>
        </w:tc>
        <w:tc>
          <w:tcPr>
            <w:tcW w:w="650" w:type="pct"/>
            <w:gridSpan w:val="3"/>
            <w:tcBorders>
              <w:top w:val="single" w:sz="4" w:space="0" w:color="auto"/>
              <w:left w:val="nil"/>
              <w:bottom w:val="single" w:sz="4" w:space="0" w:color="auto"/>
              <w:right w:val="nil"/>
            </w:tcBorders>
            <w:vAlign w:val="center"/>
          </w:tcPr>
          <w:p w14:paraId="513EB2E9" w14:textId="75B9E891" w:rsidR="00490741" w:rsidRPr="00834C3F" w:rsidRDefault="00490741" w:rsidP="006243FB">
            <w:pPr>
              <w:pStyle w:val="Table"/>
              <w:rPr>
                <w:noProof/>
                <w:szCs w:val="22"/>
              </w:rPr>
            </w:pPr>
            <w:r w:rsidRPr="00834C3F">
              <w:rPr>
                <w:noProof/>
                <w:color w:val="000000"/>
                <w:szCs w:val="22"/>
              </w:rPr>
              <w:t xml:space="preserve">5 </w:t>
            </w:r>
            <w:r w:rsidRPr="00834C3F">
              <w:rPr>
                <w:noProof/>
                <w:color w:val="000000"/>
                <w:szCs w:val="22"/>
                <w:lang w:eastAsia="fr-FR"/>
              </w:rPr>
              <w:t>×</w:t>
            </w:r>
            <w:r w:rsidRPr="00834C3F">
              <w:rPr>
                <w:noProof/>
                <w:color w:val="000000"/>
                <w:szCs w:val="22"/>
              </w:rPr>
              <w:t xml:space="preserve"> 10</w:t>
            </w:r>
            <w:r w:rsidRPr="00834C3F">
              <w:rPr>
                <w:noProof/>
                <w:color w:val="000000"/>
                <w:szCs w:val="22"/>
                <w:vertAlign w:val="superscript"/>
              </w:rPr>
              <w:t>-4</w:t>
            </w:r>
          </w:p>
        </w:tc>
        <w:tc>
          <w:tcPr>
            <w:tcW w:w="650" w:type="pct"/>
            <w:gridSpan w:val="3"/>
            <w:tcBorders>
              <w:top w:val="single" w:sz="4" w:space="0" w:color="auto"/>
              <w:left w:val="nil"/>
              <w:bottom w:val="single" w:sz="4" w:space="0" w:color="auto"/>
              <w:right w:val="nil"/>
            </w:tcBorders>
            <w:vAlign w:val="center"/>
          </w:tcPr>
          <w:p w14:paraId="6D627453" w14:textId="781BF4A3" w:rsidR="00490741" w:rsidRPr="00834C3F" w:rsidRDefault="00490741" w:rsidP="006243FB">
            <w:pPr>
              <w:pStyle w:val="Table"/>
              <w:rPr>
                <w:noProof/>
                <w:szCs w:val="22"/>
              </w:rPr>
            </w:pPr>
            <w:r w:rsidRPr="00834C3F">
              <w:rPr>
                <w:noProof/>
                <w:color w:val="000000"/>
                <w:szCs w:val="22"/>
              </w:rPr>
              <w:t xml:space="preserve">5 </w:t>
            </w:r>
            <w:r w:rsidRPr="00834C3F">
              <w:rPr>
                <w:noProof/>
                <w:color w:val="000000"/>
                <w:szCs w:val="22"/>
                <w:lang w:eastAsia="fr-FR"/>
              </w:rPr>
              <w:t>×</w:t>
            </w:r>
            <w:r w:rsidRPr="00834C3F">
              <w:rPr>
                <w:noProof/>
                <w:color w:val="000000"/>
                <w:szCs w:val="22"/>
              </w:rPr>
              <w:t xml:space="preserve"> 10</w:t>
            </w:r>
            <w:r w:rsidRPr="00834C3F">
              <w:rPr>
                <w:noProof/>
                <w:color w:val="000000"/>
                <w:szCs w:val="22"/>
                <w:vertAlign w:val="superscript"/>
              </w:rPr>
              <w:t>-4</w:t>
            </w:r>
          </w:p>
        </w:tc>
        <w:tc>
          <w:tcPr>
            <w:tcW w:w="650" w:type="pct"/>
            <w:gridSpan w:val="2"/>
            <w:tcBorders>
              <w:top w:val="single" w:sz="4" w:space="0" w:color="auto"/>
              <w:left w:val="nil"/>
              <w:bottom w:val="single" w:sz="4" w:space="0" w:color="auto"/>
              <w:right w:val="nil"/>
            </w:tcBorders>
            <w:vAlign w:val="center"/>
          </w:tcPr>
          <w:p w14:paraId="751592A1" w14:textId="63851C0E" w:rsidR="00490741" w:rsidRPr="00834C3F" w:rsidRDefault="00490741" w:rsidP="006243FB">
            <w:pPr>
              <w:pStyle w:val="Table"/>
              <w:rPr>
                <w:noProof/>
                <w:szCs w:val="22"/>
              </w:rPr>
            </w:pPr>
            <w:r w:rsidRPr="00834C3F">
              <w:rPr>
                <w:noProof/>
                <w:color w:val="000000"/>
                <w:szCs w:val="22"/>
              </w:rPr>
              <w:t xml:space="preserve">5 </w:t>
            </w:r>
            <w:r w:rsidRPr="00834C3F">
              <w:rPr>
                <w:noProof/>
                <w:color w:val="000000"/>
                <w:szCs w:val="22"/>
                <w:lang w:eastAsia="fr-FR"/>
              </w:rPr>
              <w:t>×</w:t>
            </w:r>
            <w:r w:rsidRPr="00834C3F">
              <w:rPr>
                <w:noProof/>
                <w:color w:val="000000"/>
                <w:szCs w:val="22"/>
              </w:rPr>
              <w:t xml:space="preserve"> 10</w:t>
            </w:r>
            <w:r w:rsidRPr="00834C3F">
              <w:rPr>
                <w:noProof/>
                <w:color w:val="000000"/>
                <w:szCs w:val="22"/>
                <w:vertAlign w:val="superscript"/>
              </w:rPr>
              <w:t>-4</w:t>
            </w:r>
          </w:p>
        </w:tc>
        <w:tc>
          <w:tcPr>
            <w:tcW w:w="652" w:type="pct"/>
            <w:tcBorders>
              <w:top w:val="single" w:sz="4" w:space="0" w:color="auto"/>
              <w:left w:val="nil"/>
              <w:bottom w:val="single" w:sz="4" w:space="0" w:color="auto"/>
              <w:right w:val="nil"/>
            </w:tcBorders>
            <w:vAlign w:val="center"/>
          </w:tcPr>
          <w:p w14:paraId="57A71BB4" w14:textId="04923542" w:rsidR="00490741" w:rsidRPr="00834C3F" w:rsidRDefault="00490741" w:rsidP="006243FB">
            <w:pPr>
              <w:pStyle w:val="Table"/>
              <w:rPr>
                <w:noProof/>
                <w:szCs w:val="22"/>
              </w:rPr>
            </w:pPr>
            <w:r w:rsidRPr="00834C3F">
              <w:rPr>
                <w:noProof/>
                <w:color w:val="000000"/>
                <w:szCs w:val="22"/>
              </w:rPr>
              <w:t xml:space="preserve">5 </w:t>
            </w:r>
            <w:r w:rsidRPr="00834C3F">
              <w:rPr>
                <w:noProof/>
                <w:color w:val="000000"/>
                <w:szCs w:val="22"/>
                <w:lang w:eastAsia="fr-FR"/>
              </w:rPr>
              <w:t>×</w:t>
            </w:r>
            <w:r w:rsidRPr="00834C3F">
              <w:rPr>
                <w:noProof/>
                <w:color w:val="000000"/>
                <w:szCs w:val="22"/>
              </w:rPr>
              <w:t xml:space="preserve"> 10</w:t>
            </w:r>
            <w:r w:rsidRPr="00834C3F">
              <w:rPr>
                <w:noProof/>
                <w:color w:val="000000"/>
                <w:szCs w:val="22"/>
                <w:vertAlign w:val="superscript"/>
              </w:rPr>
              <w:t>-4</w:t>
            </w:r>
          </w:p>
        </w:tc>
      </w:tr>
    </w:tbl>
    <w:p w14:paraId="4D064129" w14:textId="7811D53A" w:rsidR="00096DF7" w:rsidRPr="00C47F2F" w:rsidRDefault="00EA3750" w:rsidP="00E81109">
      <w:pPr>
        <w:pStyle w:val="Note"/>
        <w:rPr>
          <w:noProof/>
          <w:sz w:val="20"/>
          <w:szCs w:val="20"/>
        </w:rPr>
      </w:pPr>
      <w:r w:rsidRPr="00C47F2F">
        <w:rPr>
          <w:noProof/>
          <w:sz w:val="20"/>
          <w:szCs w:val="20"/>
          <w:vertAlign w:val="superscript"/>
        </w:rPr>
        <w:t>*</w:t>
      </w:r>
      <w:r w:rsidR="00096DF7" w:rsidRPr="00C47F2F">
        <w:rPr>
          <w:noProof/>
          <w:sz w:val="20"/>
          <w:szCs w:val="20"/>
        </w:rPr>
        <w:t xml:space="preserve">It is assumed that for fermium a bound fraction </w:t>
      </w:r>
      <w:r w:rsidR="00096DF7" w:rsidRPr="00C47F2F">
        <w:rPr>
          <w:i/>
          <w:noProof/>
          <w:sz w:val="20"/>
          <w:szCs w:val="20"/>
        </w:rPr>
        <w:t>f</w:t>
      </w:r>
      <w:r w:rsidR="00096DF7" w:rsidRPr="00C47F2F">
        <w:rPr>
          <w:noProof/>
          <w:sz w:val="20"/>
          <w:szCs w:val="20"/>
          <w:vertAlign w:val="subscript"/>
        </w:rPr>
        <w:t>b</w:t>
      </w:r>
      <w:r w:rsidR="00096DF7" w:rsidRPr="00C47F2F">
        <w:rPr>
          <w:noProof/>
          <w:sz w:val="20"/>
          <w:szCs w:val="20"/>
        </w:rPr>
        <w:t xml:space="preserve"> = 0.002 with </w:t>
      </w:r>
      <w:r w:rsidR="00096DF7" w:rsidRPr="00C47F2F">
        <w:rPr>
          <w:i/>
          <w:noProof/>
          <w:sz w:val="20"/>
          <w:szCs w:val="20"/>
        </w:rPr>
        <w:t>s</w:t>
      </w:r>
      <w:r w:rsidR="00096DF7" w:rsidRPr="00C47F2F">
        <w:rPr>
          <w:noProof/>
          <w:sz w:val="20"/>
          <w:szCs w:val="20"/>
          <w:vertAlign w:val="subscript"/>
        </w:rPr>
        <w:t>b</w:t>
      </w:r>
      <w:r w:rsidR="00096DF7" w:rsidRPr="00C47F2F">
        <w:rPr>
          <w:noProof/>
          <w:sz w:val="20"/>
          <w:szCs w:val="20"/>
        </w:rPr>
        <w:t xml:space="preserve"> = 0 d</w:t>
      </w:r>
      <w:r w:rsidR="00096DF7" w:rsidRPr="00C47F2F">
        <w:rPr>
          <w:noProof/>
          <w:sz w:val="20"/>
          <w:szCs w:val="20"/>
          <w:vertAlign w:val="superscript"/>
        </w:rPr>
        <w:t>–1</w:t>
      </w:r>
      <w:r w:rsidR="00096DF7" w:rsidRPr="00C47F2F">
        <w:rPr>
          <w:noProof/>
          <w:sz w:val="20"/>
          <w:szCs w:val="20"/>
        </w:rPr>
        <w:t xml:space="preserve"> is applied throughout the respiratory tract except in the ET</w:t>
      </w:r>
      <w:r w:rsidR="00096DF7" w:rsidRPr="00C47F2F">
        <w:rPr>
          <w:noProof/>
          <w:sz w:val="20"/>
          <w:szCs w:val="20"/>
          <w:vertAlign w:val="subscript"/>
        </w:rPr>
        <w:t>1</w:t>
      </w:r>
      <w:r w:rsidR="00096DF7" w:rsidRPr="00C47F2F">
        <w:rPr>
          <w:noProof/>
          <w:sz w:val="20"/>
          <w:szCs w:val="20"/>
        </w:rPr>
        <w:t xml:space="preserve"> region. The value of </w:t>
      </w:r>
      <w:r w:rsidR="00096DF7" w:rsidRPr="00C47F2F">
        <w:rPr>
          <w:i/>
          <w:noProof/>
          <w:sz w:val="20"/>
          <w:szCs w:val="20"/>
        </w:rPr>
        <w:t>s</w:t>
      </w:r>
      <w:r w:rsidR="00096DF7" w:rsidRPr="00C47F2F">
        <w:rPr>
          <w:noProof/>
          <w:sz w:val="20"/>
          <w:szCs w:val="20"/>
          <w:vertAlign w:val="subscript"/>
        </w:rPr>
        <w:t>r</w:t>
      </w:r>
      <w:r w:rsidR="00096DF7" w:rsidRPr="00C47F2F">
        <w:rPr>
          <w:noProof/>
          <w:sz w:val="20"/>
          <w:szCs w:val="20"/>
        </w:rPr>
        <w:t xml:space="preserve"> for Type F, M and S forms of fermium 0.4 d</w:t>
      </w:r>
      <w:r w:rsidR="00096DF7" w:rsidRPr="00C47F2F">
        <w:rPr>
          <w:noProof/>
          <w:sz w:val="20"/>
          <w:szCs w:val="20"/>
          <w:vertAlign w:val="superscript"/>
        </w:rPr>
        <w:t>–1</w:t>
      </w:r>
      <w:r w:rsidR="00096DF7" w:rsidRPr="00C47F2F">
        <w:rPr>
          <w:noProof/>
          <w:sz w:val="20"/>
          <w:szCs w:val="20"/>
        </w:rPr>
        <w:t>) is element-specific.</w:t>
      </w:r>
    </w:p>
    <w:p w14:paraId="03FE973E" w14:textId="696E7D04" w:rsidR="00096DF7" w:rsidRPr="00C47F2F" w:rsidRDefault="00EA3750" w:rsidP="00E81109">
      <w:pPr>
        <w:pStyle w:val="Note"/>
        <w:rPr>
          <w:noProof/>
          <w:sz w:val="20"/>
          <w:szCs w:val="20"/>
        </w:rPr>
      </w:pPr>
      <w:r w:rsidRPr="00C47F2F">
        <w:rPr>
          <w:noProof/>
          <w:sz w:val="20"/>
          <w:szCs w:val="20"/>
          <w:vertAlign w:val="superscript"/>
        </w:rPr>
        <w:t>†</w:t>
      </w:r>
      <w:r w:rsidR="00096DF7" w:rsidRPr="00C47F2F">
        <w:rPr>
          <w:noProof/>
          <w:sz w:val="20"/>
          <w:szCs w:val="20"/>
        </w:rPr>
        <w:t xml:space="preserve">For inhaled material deposited in the respiratory tract and subsequent cleared by particle transport to the alimentary tract, the default </w:t>
      </w:r>
      <w:r w:rsidR="00096DF7" w:rsidRPr="00C47F2F">
        <w:rPr>
          <w:i/>
          <w:noProof/>
          <w:sz w:val="20"/>
          <w:szCs w:val="20"/>
        </w:rPr>
        <w:t>f</w:t>
      </w:r>
      <w:r w:rsidR="00096DF7" w:rsidRPr="00C47F2F">
        <w:rPr>
          <w:noProof/>
          <w:sz w:val="20"/>
          <w:szCs w:val="20"/>
          <w:vertAlign w:val="subscript"/>
        </w:rPr>
        <w:t>A</w:t>
      </w:r>
      <w:r w:rsidR="00096DF7" w:rsidRPr="00C47F2F">
        <w:rPr>
          <w:noProof/>
          <w:sz w:val="20"/>
          <w:szCs w:val="20"/>
        </w:rPr>
        <w:t xml:space="preserve"> values for inhaled materials are applied: </w:t>
      </w:r>
      <w:r w:rsidR="00096DF7" w:rsidRPr="00C47F2F">
        <w:rPr>
          <w:i/>
          <w:noProof/>
          <w:sz w:val="20"/>
          <w:szCs w:val="20"/>
        </w:rPr>
        <w:t>i.e.</w:t>
      </w:r>
      <w:r w:rsidR="00096DF7" w:rsidRPr="00C47F2F">
        <w:rPr>
          <w:noProof/>
          <w:sz w:val="20"/>
          <w:szCs w:val="20"/>
        </w:rPr>
        <w:t xml:space="preserve">, the product of </w:t>
      </w:r>
      <w:r w:rsidR="00096DF7" w:rsidRPr="00C47F2F">
        <w:rPr>
          <w:i/>
          <w:noProof/>
          <w:sz w:val="20"/>
          <w:szCs w:val="20"/>
        </w:rPr>
        <w:t>f</w:t>
      </w:r>
      <w:r w:rsidR="00096DF7" w:rsidRPr="00C47F2F">
        <w:rPr>
          <w:noProof/>
          <w:sz w:val="20"/>
          <w:szCs w:val="20"/>
          <w:vertAlign w:val="subscript"/>
        </w:rPr>
        <w:t>r</w:t>
      </w:r>
      <w:r w:rsidR="00096DF7" w:rsidRPr="00C47F2F">
        <w:rPr>
          <w:noProof/>
          <w:sz w:val="20"/>
          <w:szCs w:val="20"/>
        </w:rPr>
        <w:t xml:space="preserve"> for the absorption Type (or specific value where given) and the </w:t>
      </w:r>
      <w:r w:rsidR="00096DF7" w:rsidRPr="00C47F2F">
        <w:rPr>
          <w:i/>
          <w:noProof/>
          <w:sz w:val="20"/>
          <w:szCs w:val="20"/>
        </w:rPr>
        <w:t>f</w:t>
      </w:r>
      <w:r w:rsidR="00096DF7" w:rsidRPr="00C47F2F">
        <w:rPr>
          <w:noProof/>
          <w:sz w:val="20"/>
          <w:szCs w:val="20"/>
          <w:vertAlign w:val="subscript"/>
        </w:rPr>
        <w:t>A</w:t>
      </w:r>
      <w:r w:rsidR="00096DF7" w:rsidRPr="00C47F2F">
        <w:rPr>
          <w:noProof/>
          <w:sz w:val="20"/>
          <w:szCs w:val="20"/>
        </w:rPr>
        <w:t xml:space="preserve"> value for ingested soluble forms of fermium</w:t>
      </w:r>
      <w:r w:rsidR="0024218A" w:rsidRPr="00C47F2F">
        <w:rPr>
          <w:noProof/>
          <w:sz w:val="20"/>
          <w:szCs w:val="20"/>
        </w:rPr>
        <w:t xml:space="preserve"> applicable to the age-group of interest (e.g </w:t>
      </w:r>
      <w:r w:rsidR="008831A6" w:rsidRPr="00C47F2F">
        <w:rPr>
          <w:noProof/>
          <w:sz w:val="20"/>
          <w:szCs w:val="20"/>
        </w:rPr>
        <w:t>5 × 10</w:t>
      </w:r>
      <w:r w:rsidR="008831A6" w:rsidRPr="00C47F2F">
        <w:rPr>
          <w:noProof/>
          <w:sz w:val="20"/>
          <w:szCs w:val="20"/>
          <w:vertAlign w:val="superscript"/>
        </w:rPr>
        <w:t>–4</w:t>
      </w:r>
      <w:r w:rsidR="008831A6" w:rsidRPr="00C47F2F">
        <w:rPr>
          <w:noProof/>
          <w:sz w:val="20"/>
          <w:szCs w:val="20"/>
        </w:rPr>
        <w:t xml:space="preserve"> </w:t>
      </w:r>
      <w:r w:rsidR="0024218A" w:rsidRPr="00C47F2F">
        <w:rPr>
          <w:noProof/>
          <w:sz w:val="20"/>
          <w:szCs w:val="20"/>
        </w:rPr>
        <w:t>for adults).</w:t>
      </w:r>
    </w:p>
    <w:p w14:paraId="58FCD4BA" w14:textId="4EBEEE6D" w:rsidR="00096DF7" w:rsidRPr="00C47F2F" w:rsidRDefault="00EA3750" w:rsidP="00E81109">
      <w:pPr>
        <w:pStyle w:val="Note"/>
        <w:rPr>
          <w:noProof/>
          <w:sz w:val="20"/>
          <w:szCs w:val="20"/>
        </w:rPr>
      </w:pPr>
      <w:r w:rsidRPr="00C47F2F">
        <w:rPr>
          <w:noProof/>
          <w:sz w:val="20"/>
          <w:szCs w:val="20"/>
          <w:vertAlign w:val="superscript"/>
        </w:rPr>
        <w:t>‡</w:t>
      </w:r>
      <w:r w:rsidR="00096DF7" w:rsidRPr="00C47F2F">
        <w:rPr>
          <w:noProof/>
          <w:sz w:val="20"/>
          <w:szCs w:val="20"/>
        </w:rPr>
        <w:t>Default Type M is recommended for use in the absence of specific information</w:t>
      </w:r>
      <w:r w:rsidR="00096DF7" w:rsidRPr="00C47F2F">
        <w:rPr>
          <w:noProof/>
          <w:color w:val="000000" w:themeColor="text1"/>
          <w:sz w:val="20"/>
          <w:szCs w:val="20"/>
        </w:rPr>
        <w:t xml:space="preserve"> on which the exposure material can be assigned to an Absorption Type, e.g.</w:t>
      </w:r>
      <w:r w:rsidR="00096DF7" w:rsidRPr="00C47F2F">
        <w:rPr>
          <w:noProof/>
          <w:sz w:val="20"/>
          <w:szCs w:val="20"/>
        </w:rPr>
        <w:t xml:space="preserve"> if the form is unknown, or if the form is known but there is no information available on the absorption of that form from the respiratory tract.</w:t>
      </w:r>
    </w:p>
    <w:p w14:paraId="7679CE0A" w14:textId="52E4DBF3" w:rsidR="00096DF7" w:rsidRPr="00C47F2F" w:rsidRDefault="00EA3750" w:rsidP="00E81109">
      <w:pPr>
        <w:pStyle w:val="Note"/>
        <w:rPr>
          <w:noProof/>
          <w:sz w:val="20"/>
          <w:szCs w:val="20"/>
        </w:rPr>
      </w:pPr>
      <w:r w:rsidRPr="00C47F2F">
        <w:rPr>
          <w:noProof/>
          <w:color w:val="000000" w:themeColor="text1"/>
          <w:sz w:val="20"/>
          <w:szCs w:val="20"/>
          <w:vertAlign w:val="superscript"/>
        </w:rPr>
        <w:t>§</w:t>
      </w:r>
      <w:r w:rsidR="00096DF7" w:rsidRPr="00C47F2F">
        <w:rPr>
          <w:noProof/>
          <w:color w:val="000000" w:themeColor="text1"/>
          <w:sz w:val="20"/>
          <w:szCs w:val="20"/>
        </w:rPr>
        <w:t xml:space="preserve">Activity transferred from systemic compartments into segments of the alimentary tract is assumed to be subject to reabsorption to blood. The default absorption fraction </w:t>
      </w:r>
      <w:r w:rsidR="00096DF7" w:rsidRPr="00C47F2F">
        <w:rPr>
          <w:i/>
          <w:noProof/>
          <w:color w:val="000000" w:themeColor="text1"/>
          <w:sz w:val="20"/>
          <w:szCs w:val="20"/>
        </w:rPr>
        <w:t>f</w:t>
      </w:r>
      <w:r w:rsidR="00096DF7" w:rsidRPr="00C47F2F">
        <w:rPr>
          <w:noProof/>
          <w:color w:val="000000" w:themeColor="text1"/>
          <w:sz w:val="20"/>
          <w:szCs w:val="20"/>
          <w:vertAlign w:val="subscript"/>
        </w:rPr>
        <w:t>A</w:t>
      </w:r>
      <w:r w:rsidR="00096DF7" w:rsidRPr="00C47F2F">
        <w:rPr>
          <w:noProof/>
          <w:color w:val="000000" w:themeColor="text1"/>
          <w:sz w:val="20"/>
          <w:szCs w:val="20"/>
        </w:rPr>
        <w:t xml:space="preserve"> for the secreted activity is the reference</w:t>
      </w:r>
      <w:r w:rsidR="0024218A" w:rsidRPr="00C47F2F">
        <w:rPr>
          <w:noProof/>
          <w:color w:val="000000" w:themeColor="text1"/>
          <w:sz w:val="20"/>
          <w:szCs w:val="20"/>
        </w:rPr>
        <w:t xml:space="preserve"> value</w:t>
      </w:r>
      <w:r w:rsidR="00096DF7" w:rsidRPr="00C47F2F">
        <w:rPr>
          <w:noProof/>
          <w:color w:val="000000" w:themeColor="text1"/>
          <w:sz w:val="20"/>
          <w:szCs w:val="20"/>
        </w:rPr>
        <w:t xml:space="preserve"> for ingestion of the radionuclide</w:t>
      </w:r>
      <w:r w:rsidR="0024218A" w:rsidRPr="00C47F2F">
        <w:rPr>
          <w:noProof/>
          <w:color w:val="000000" w:themeColor="text1"/>
          <w:sz w:val="20"/>
          <w:szCs w:val="20"/>
        </w:rPr>
        <w:t xml:space="preserve"> applicable to</w:t>
      </w:r>
      <w:r w:rsidR="008831A6" w:rsidRPr="00C47F2F">
        <w:rPr>
          <w:noProof/>
          <w:color w:val="000000" w:themeColor="text1"/>
          <w:sz w:val="20"/>
          <w:szCs w:val="20"/>
        </w:rPr>
        <w:t xml:space="preserve"> the age-group of interest (e.g</w:t>
      </w:r>
      <w:r w:rsidR="0024218A" w:rsidRPr="00C47F2F">
        <w:rPr>
          <w:noProof/>
          <w:color w:val="000000" w:themeColor="text1"/>
          <w:sz w:val="20"/>
          <w:szCs w:val="20"/>
        </w:rPr>
        <w:t xml:space="preserve"> </w:t>
      </w:r>
      <w:r w:rsidR="008831A6" w:rsidRPr="00C47F2F">
        <w:rPr>
          <w:noProof/>
          <w:sz w:val="20"/>
          <w:szCs w:val="20"/>
        </w:rPr>
        <w:t>5 × 10</w:t>
      </w:r>
      <w:r w:rsidR="008831A6" w:rsidRPr="00C47F2F">
        <w:rPr>
          <w:noProof/>
          <w:sz w:val="20"/>
          <w:szCs w:val="20"/>
          <w:vertAlign w:val="superscript"/>
        </w:rPr>
        <w:t>–4</w:t>
      </w:r>
      <w:r w:rsidR="008831A6" w:rsidRPr="00C47F2F">
        <w:rPr>
          <w:noProof/>
          <w:sz w:val="20"/>
          <w:szCs w:val="20"/>
        </w:rPr>
        <w:t xml:space="preserve"> </w:t>
      </w:r>
      <w:r w:rsidR="0024218A" w:rsidRPr="00C47F2F">
        <w:rPr>
          <w:noProof/>
          <w:color w:val="000000" w:themeColor="text1"/>
          <w:sz w:val="20"/>
          <w:szCs w:val="20"/>
        </w:rPr>
        <w:t>for adults)</w:t>
      </w:r>
      <w:r w:rsidR="00096DF7" w:rsidRPr="00C47F2F">
        <w:rPr>
          <w:noProof/>
          <w:color w:val="000000" w:themeColor="text1"/>
          <w:sz w:val="20"/>
          <w:szCs w:val="20"/>
        </w:rPr>
        <w:t>.</w:t>
      </w:r>
    </w:p>
    <w:p w14:paraId="284083AB" w14:textId="77777777" w:rsidR="00096DF7" w:rsidRPr="00972C81" w:rsidRDefault="00096DF7" w:rsidP="00E81109">
      <w:pPr>
        <w:pStyle w:val="3"/>
        <w:rPr>
          <w:noProof/>
        </w:rPr>
      </w:pPr>
      <w:bookmarkStart w:id="419" w:name="_Toc162630142"/>
      <w:r w:rsidRPr="00972C81">
        <w:rPr>
          <w:noProof/>
        </w:rPr>
        <w:t>Ingestion</w:t>
      </w:r>
      <w:bookmarkEnd w:id="419"/>
    </w:p>
    <w:p w14:paraId="4E07F456" w14:textId="1758C57D" w:rsidR="00115E29" w:rsidRPr="00972C81" w:rsidRDefault="00115E29" w:rsidP="001C4A92">
      <w:pPr>
        <w:pStyle w:val="Annalstext"/>
        <w:rPr>
          <w:noProof/>
        </w:rPr>
      </w:pPr>
      <w:r w:rsidRPr="00972C81">
        <w:rPr>
          <w:i/>
          <w:noProof/>
        </w:rPr>
        <w:t>Adults</w:t>
      </w:r>
      <w:r w:rsidRPr="00972C81">
        <w:rPr>
          <w:noProof/>
        </w:rPr>
        <w:t>. There are no data available on the uptake of fermium from the gastrointestinal tract. By analogy with americium, an absorption fraction of 1</w:t>
      </w:r>
      <w:r w:rsidR="00067025" w:rsidRPr="00972C81">
        <w:rPr>
          <w:noProof/>
        </w:rPr>
        <w:t xml:space="preserve"> × </w:t>
      </w:r>
      <w:r w:rsidRPr="00972C81">
        <w:rPr>
          <w:noProof/>
        </w:rPr>
        <w:t>10</w:t>
      </w:r>
      <w:r w:rsidRPr="00972C81">
        <w:rPr>
          <w:noProof/>
          <w:vertAlign w:val="superscript"/>
        </w:rPr>
        <w:t>-3</w:t>
      </w:r>
      <w:r w:rsidRPr="00972C81">
        <w:rPr>
          <w:noProof/>
        </w:rPr>
        <w:t xml:space="preserve"> for fermium was therefore recommended in </w:t>
      </w:r>
      <w:r w:rsidRPr="00972C81">
        <w:rPr>
          <w:i/>
          <w:noProof/>
        </w:rPr>
        <w:t>Publications 30</w:t>
      </w:r>
      <w:r w:rsidRPr="00972C81">
        <w:rPr>
          <w:noProof/>
        </w:rPr>
        <w:t xml:space="preserve"> </w:t>
      </w:r>
      <w:r w:rsidR="00EA3750" w:rsidRPr="00972C81">
        <w:rPr>
          <w:noProof/>
        </w:rPr>
        <w:fldChar w:fldCharType="begin"/>
      </w:r>
      <w:r w:rsidR="00FC21A7" w:rsidRPr="00972C81">
        <w:rPr>
          <w:noProof/>
        </w:rPr>
        <w:instrText xml:space="preserve"> ADDIN ZOTERO_ITEM CSL_CITATION {"citationID":"akqaq4cv2b","properties":{"formattedCitation":"(ICRP, 1988)","plainCitation":"(ICRP, 1988)","noteIndex":0},"citationItems":[{"id":3117,"uris":["http://zotero.org/groups/2470620/items/8NQ5CWC2"],"itemData":{"id":3117,"type":"article-journal","container-title":"Annals of the ICRP","issue":"4","journalAbbreviation":"Ann. ICRP","language":"et","title":"Limits for intakes of radionuclides by workers: an addendum. ICRP Publication 30, Part 4","volume":"19","author":[{"literal":"ICRP"}],"issued":{"date-parts":[["1988"]]}}}],"schema":"https://github.com/citation-style-language/schema/raw/master/csl-citation.json"} </w:instrText>
      </w:r>
      <w:r w:rsidR="00EA3750" w:rsidRPr="00972C81">
        <w:rPr>
          <w:noProof/>
        </w:rPr>
        <w:fldChar w:fldCharType="separate"/>
      </w:r>
      <w:r w:rsidR="00FC21A7" w:rsidRPr="00972C81">
        <w:rPr>
          <w:noProof/>
          <w:szCs w:val="24"/>
        </w:rPr>
        <w:t>(ICRP, 1988)</w:t>
      </w:r>
      <w:r w:rsidR="00EA3750" w:rsidRPr="00972C81">
        <w:rPr>
          <w:noProof/>
        </w:rPr>
        <w:fldChar w:fldCharType="end"/>
      </w:r>
      <w:r w:rsidRPr="00972C81">
        <w:rPr>
          <w:noProof/>
        </w:rPr>
        <w:t xml:space="preserve"> and </w:t>
      </w:r>
      <w:r w:rsidRPr="00972C81">
        <w:rPr>
          <w:i/>
          <w:noProof/>
        </w:rPr>
        <w:t>48</w:t>
      </w:r>
      <w:r w:rsidRPr="00972C81">
        <w:rPr>
          <w:noProof/>
        </w:rPr>
        <w:t xml:space="preserve"> </w:t>
      </w:r>
      <w:r w:rsidR="00EA3750" w:rsidRPr="00972C81">
        <w:rPr>
          <w:noProof/>
        </w:rPr>
        <w:fldChar w:fldCharType="begin"/>
      </w:r>
      <w:r w:rsidR="00FC21A7" w:rsidRPr="00972C81">
        <w:rPr>
          <w:noProof/>
        </w:rPr>
        <w:instrText xml:space="preserve"> ADDIN ZOTERO_ITEM CSL_CITATION {"citationID":"a24lgk8menf","properties":{"formattedCitation":"(ICRP, 1986)","plainCitation":"(ICRP, 1986)","noteIndex":0},"citationItems":[{"id":4867,"uris":["http://zotero.org/groups/2470620/items/JBT3RHCV"],"itemData":{"id":4867,"type":"article-journal","container-title":"Annals of the ICRP","issue":"2/3","journalAbbreviation":"Ann. ICRP","language":"et","title":"The Metabolism of Plutonium and Related Elements. ICRP Publication 48","volume":"16","author":[{"literal":"ICRP"}],"issued":{"date-parts":[["1986"]]}}}],"schema":"https://github.com/citation-style-language/schema/raw/master/csl-citation.json"} </w:instrText>
      </w:r>
      <w:r w:rsidR="00EA3750" w:rsidRPr="00972C81">
        <w:rPr>
          <w:noProof/>
        </w:rPr>
        <w:fldChar w:fldCharType="separate"/>
      </w:r>
      <w:r w:rsidR="00FC21A7" w:rsidRPr="00972C81">
        <w:rPr>
          <w:noProof/>
          <w:szCs w:val="24"/>
        </w:rPr>
        <w:t>(ICRP, 1986)</w:t>
      </w:r>
      <w:r w:rsidR="00EA3750" w:rsidRPr="00972C81">
        <w:rPr>
          <w:noProof/>
        </w:rPr>
        <w:fldChar w:fldCharType="end"/>
      </w:r>
      <w:r w:rsidRPr="00972C81">
        <w:rPr>
          <w:noProof/>
        </w:rPr>
        <w:t xml:space="preserve">. In </w:t>
      </w:r>
      <w:r w:rsidR="00F414E6" w:rsidRPr="00972C81">
        <w:rPr>
          <w:i/>
          <w:noProof/>
        </w:rPr>
        <w:t>Publication 141</w:t>
      </w:r>
      <w:r w:rsidR="00F414E6" w:rsidRPr="00972C81">
        <w:rPr>
          <w:noProof/>
        </w:rPr>
        <w:t xml:space="preserve"> </w:t>
      </w:r>
      <w:r w:rsidR="00EA3750" w:rsidRPr="00972C81">
        <w:rPr>
          <w:noProof/>
        </w:rPr>
        <w:fldChar w:fldCharType="begin"/>
      </w:r>
      <w:r w:rsidR="00FC21A7" w:rsidRPr="00972C81">
        <w:rPr>
          <w:noProof/>
        </w:rPr>
        <w:instrText xml:space="preserve"> ADDIN ZOTERO_ITEM CSL_CITATION {"citationID":"a50eh0f1rk","properties":{"formattedCitation":"(ICRP,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EA3750" w:rsidRPr="00972C81">
        <w:rPr>
          <w:noProof/>
        </w:rPr>
        <w:fldChar w:fldCharType="separate"/>
      </w:r>
      <w:r w:rsidR="00FC21A7" w:rsidRPr="00972C81">
        <w:rPr>
          <w:noProof/>
          <w:szCs w:val="24"/>
        </w:rPr>
        <w:t>(ICRP, 2019)</w:t>
      </w:r>
      <w:r w:rsidR="00EA3750" w:rsidRPr="00972C81">
        <w:rPr>
          <w:noProof/>
        </w:rPr>
        <w:fldChar w:fldCharType="end"/>
      </w:r>
      <w:r w:rsidRPr="00972C81">
        <w:rPr>
          <w:noProof/>
        </w:rPr>
        <w:t xml:space="preserve">, </w:t>
      </w:r>
      <w:r w:rsidRPr="00972C81">
        <w:rPr>
          <w:noProof/>
          <w:szCs w:val="24"/>
        </w:rPr>
        <w:t xml:space="preserve">on the basis of results showing similar low levels of absorption </w:t>
      </w:r>
      <w:r w:rsidR="00BB503E">
        <w:rPr>
          <w:noProof/>
          <w:szCs w:val="24"/>
        </w:rPr>
        <w:t>in humans</w:t>
      </w:r>
      <w:r w:rsidRPr="00972C81">
        <w:rPr>
          <w:noProof/>
          <w:szCs w:val="24"/>
        </w:rPr>
        <w:t xml:space="preserve"> for five actinide elements (thorium, neptunium, plutonium, americium and curium) and taking </w:t>
      </w:r>
      <w:r w:rsidRPr="00972C81">
        <w:rPr>
          <w:noProof/>
          <w:szCs w:val="24"/>
        </w:rPr>
        <w:lastRenderedPageBreak/>
        <w:t xml:space="preserve">account of animal data showing variations in </w:t>
      </w:r>
      <w:r w:rsidRPr="00972C81">
        <w:rPr>
          <w:i/>
          <w:noProof/>
          <w:szCs w:val="24"/>
        </w:rPr>
        <w:t>f</w:t>
      </w:r>
      <w:r w:rsidRPr="00972C81">
        <w:rPr>
          <w:noProof/>
          <w:szCs w:val="24"/>
          <w:vertAlign w:val="subscript"/>
        </w:rPr>
        <w:t>A</w:t>
      </w:r>
      <w:r w:rsidRPr="00972C81">
        <w:rPr>
          <w:noProof/>
          <w:szCs w:val="24"/>
        </w:rPr>
        <w:t xml:space="preserve"> values resulting from differences in chemical forms, it was considered that an appropriate general </w:t>
      </w:r>
      <w:r w:rsidRPr="00972C81">
        <w:rPr>
          <w:i/>
          <w:noProof/>
          <w:szCs w:val="24"/>
        </w:rPr>
        <w:t>f</w:t>
      </w:r>
      <w:r w:rsidRPr="00972C81">
        <w:rPr>
          <w:noProof/>
          <w:szCs w:val="24"/>
          <w:vertAlign w:val="subscript"/>
        </w:rPr>
        <w:t>A</w:t>
      </w:r>
      <w:r w:rsidRPr="00972C81">
        <w:rPr>
          <w:noProof/>
          <w:szCs w:val="24"/>
        </w:rPr>
        <w:t xml:space="preserve"> value for all chemical forms of actinides except uranium was 5</w:t>
      </w:r>
      <w:r w:rsidR="00067025" w:rsidRPr="00972C81">
        <w:rPr>
          <w:noProof/>
          <w:szCs w:val="24"/>
        </w:rPr>
        <w:t xml:space="preserve"> × </w:t>
      </w:r>
      <w:r w:rsidRPr="00972C81">
        <w:rPr>
          <w:noProof/>
          <w:szCs w:val="24"/>
        </w:rPr>
        <w:t>10</w:t>
      </w:r>
      <w:r w:rsidRPr="00972C81">
        <w:rPr>
          <w:noProof/>
          <w:szCs w:val="24"/>
          <w:vertAlign w:val="superscript"/>
        </w:rPr>
        <w:t>-4</w:t>
      </w:r>
      <w:r w:rsidRPr="00972C81">
        <w:rPr>
          <w:noProof/>
          <w:szCs w:val="24"/>
        </w:rPr>
        <w:t xml:space="preserve">. The same </w:t>
      </w:r>
      <w:r w:rsidRPr="00972C81">
        <w:rPr>
          <w:i/>
          <w:noProof/>
          <w:szCs w:val="24"/>
        </w:rPr>
        <w:t>f</w:t>
      </w:r>
      <w:r w:rsidRPr="00972C81">
        <w:rPr>
          <w:noProof/>
          <w:szCs w:val="24"/>
          <w:vertAlign w:val="subscript"/>
        </w:rPr>
        <w:t>A</w:t>
      </w:r>
      <w:r w:rsidRPr="00972C81">
        <w:rPr>
          <w:noProof/>
          <w:szCs w:val="24"/>
        </w:rPr>
        <w:t xml:space="preserve"> = 5</w:t>
      </w:r>
      <w:r w:rsidR="00067025" w:rsidRPr="00972C81">
        <w:rPr>
          <w:noProof/>
          <w:szCs w:val="24"/>
        </w:rPr>
        <w:t xml:space="preserve"> × </w:t>
      </w:r>
      <w:r w:rsidRPr="00972C81">
        <w:rPr>
          <w:noProof/>
          <w:szCs w:val="24"/>
        </w:rPr>
        <w:t>10</w:t>
      </w:r>
      <w:r w:rsidRPr="00972C81">
        <w:rPr>
          <w:noProof/>
          <w:szCs w:val="24"/>
          <w:vertAlign w:val="superscript"/>
        </w:rPr>
        <w:t>-4</w:t>
      </w:r>
      <w:r w:rsidRPr="00972C81">
        <w:rPr>
          <w:noProof/>
          <w:szCs w:val="24"/>
        </w:rPr>
        <w:t xml:space="preserve"> is recommended here for ingestion of fermium by adult members of the public.</w:t>
      </w:r>
    </w:p>
    <w:p w14:paraId="772779C9" w14:textId="146BC0B0" w:rsidR="00115E29" w:rsidRPr="00972C81" w:rsidRDefault="00115E29" w:rsidP="001C4A92">
      <w:pPr>
        <w:pStyle w:val="Annalstext"/>
        <w:rPr>
          <w:noProof/>
        </w:rPr>
      </w:pPr>
      <w:r w:rsidRPr="00972C81">
        <w:rPr>
          <w:i/>
          <w:noProof/>
        </w:rPr>
        <w:t>Children</w:t>
      </w:r>
      <w:r w:rsidRPr="00972C81">
        <w:rPr>
          <w:noProof/>
        </w:rPr>
        <w:t>. The age-dependency of fermium absorption was not observed. On the basis of the chemical analogy with the other actinides, t</w:t>
      </w:r>
      <w:r w:rsidRPr="00972C81">
        <w:rPr>
          <w:noProof/>
          <w:color w:val="000000"/>
          <w:szCs w:val="24"/>
          <w:lang w:eastAsia="fr-FR"/>
        </w:rPr>
        <w:t xml:space="preserve">he same values of </w:t>
      </w:r>
      <w:r w:rsidRPr="00972C81">
        <w:rPr>
          <w:i/>
          <w:noProof/>
          <w:color w:val="000000"/>
          <w:szCs w:val="24"/>
          <w:lang w:eastAsia="fr-FR"/>
        </w:rPr>
        <w:t>f</w:t>
      </w:r>
      <w:r w:rsidRPr="00972C81">
        <w:rPr>
          <w:noProof/>
          <w:color w:val="000000"/>
          <w:szCs w:val="24"/>
          <w:vertAlign w:val="subscript"/>
          <w:lang w:eastAsia="fr-FR"/>
        </w:rPr>
        <w:t>A</w:t>
      </w:r>
      <w:r w:rsidRPr="00972C81">
        <w:rPr>
          <w:noProof/>
          <w:color w:val="000000"/>
          <w:szCs w:val="24"/>
          <w:lang w:eastAsia="fr-FR"/>
        </w:rPr>
        <w:t xml:space="preserve"> = 5</w:t>
      </w:r>
      <w:r w:rsidR="00067025" w:rsidRPr="00972C81">
        <w:rPr>
          <w:noProof/>
          <w:color w:val="000000"/>
          <w:szCs w:val="24"/>
          <w:lang w:eastAsia="fr-FR"/>
        </w:rPr>
        <w:t xml:space="preserve"> × </w:t>
      </w:r>
      <w:r w:rsidRPr="00972C81">
        <w:rPr>
          <w:noProof/>
          <w:color w:val="000000"/>
          <w:szCs w:val="24"/>
          <w:lang w:eastAsia="fr-FR"/>
        </w:rPr>
        <w:t>10</w:t>
      </w:r>
      <w:r w:rsidRPr="00972C81">
        <w:rPr>
          <w:noProof/>
          <w:color w:val="000000"/>
          <w:szCs w:val="24"/>
          <w:vertAlign w:val="superscript"/>
          <w:lang w:eastAsia="fr-FR"/>
        </w:rPr>
        <w:t>-3</w:t>
      </w:r>
      <w:r w:rsidRPr="00972C81">
        <w:rPr>
          <w:noProof/>
          <w:color w:val="000000"/>
          <w:szCs w:val="24"/>
          <w:lang w:eastAsia="fr-FR"/>
        </w:rPr>
        <w:t xml:space="preserve"> for 3-month-old infants and 5</w:t>
      </w:r>
      <w:r w:rsidR="00067025" w:rsidRPr="00972C81">
        <w:rPr>
          <w:noProof/>
          <w:color w:val="000000"/>
          <w:szCs w:val="24"/>
          <w:lang w:eastAsia="fr-FR"/>
        </w:rPr>
        <w:t xml:space="preserve"> × </w:t>
      </w:r>
      <w:r w:rsidRPr="00972C81">
        <w:rPr>
          <w:noProof/>
          <w:color w:val="000000"/>
          <w:szCs w:val="24"/>
          <w:lang w:eastAsia="fr-FR"/>
        </w:rPr>
        <w:t>10</w:t>
      </w:r>
      <w:r w:rsidRPr="00972C81">
        <w:rPr>
          <w:noProof/>
          <w:color w:val="000000"/>
          <w:szCs w:val="24"/>
          <w:vertAlign w:val="superscript"/>
          <w:lang w:eastAsia="fr-FR"/>
        </w:rPr>
        <w:t>-4</w:t>
      </w:r>
      <w:r w:rsidRPr="00972C81">
        <w:rPr>
          <w:noProof/>
          <w:color w:val="000000"/>
          <w:szCs w:val="24"/>
          <w:lang w:eastAsia="fr-FR"/>
        </w:rPr>
        <w:t xml:space="preserve"> for children of 1 year and older are adopted here for fermium as for thorium, neptunium, plutonium, americium and curium.</w:t>
      </w:r>
    </w:p>
    <w:p w14:paraId="597BC2BA" w14:textId="77777777" w:rsidR="004836EE" w:rsidRPr="00972C81" w:rsidRDefault="004836EE" w:rsidP="00E81109">
      <w:pPr>
        <w:pStyle w:val="3"/>
        <w:rPr>
          <w:noProof/>
        </w:rPr>
      </w:pPr>
      <w:bookmarkStart w:id="420" w:name="_Toc162630143"/>
      <w:r w:rsidRPr="00972C81">
        <w:rPr>
          <w:noProof/>
        </w:rPr>
        <w:t>Systemic Distribution, Retention and Excretion</w:t>
      </w:r>
      <w:bookmarkEnd w:id="420"/>
    </w:p>
    <w:p w14:paraId="64B0CC55" w14:textId="77777777" w:rsidR="00366C33" w:rsidRPr="00972C81" w:rsidRDefault="00366C33" w:rsidP="006703A2">
      <w:pPr>
        <w:pStyle w:val="OIRTitre4"/>
      </w:pPr>
      <w:r w:rsidRPr="00972C81">
        <w:t>Summary of biokinetic data</w:t>
      </w:r>
    </w:p>
    <w:p w14:paraId="6D9BD63B" w14:textId="04CBE46D" w:rsidR="00366C33" w:rsidRPr="00972C81" w:rsidRDefault="00366C33" w:rsidP="001C4A92">
      <w:pPr>
        <w:pStyle w:val="Annalstext"/>
        <w:rPr>
          <w:noProof/>
        </w:rPr>
      </w:pPr>
      <w:r w:rsidRPr="00972C81">
        <w:rPr>
          <w:noProof/>
        </w:rPr>
        <w:t xml:space="preserve">No biokinetic data were found for </w:t>
      </w:r>
      <w:r w:rsidR="00EA3750" w:rsidRPr="00972C81">
        <w:rPr>
          <w:noProof/>
        </w:rPr>
        <w:t>fermium</w:t>
      </w:r>
      <w:r w:rsidRPr="00972C81">
        <w:rPr>
          <w:noProof/>
        </w:rPr>
        <w:t xml:space="preserve">. </w:t>
      </w:r>
    </w:p>
    <w:p w14:paraId="26CBF94F" w14:textId="4E06F420" w:rsidR="00366C33" w:rsidRPr="00972C81" w:rsidRDefault="00366C33" w:rsidP="006703A2">
      <w:pPr>
        <w:pStyle w:val="OIRTitre4"/>
      </w:pPr>
      <w:r w:rsidRPr="00972C81">
        <w:t>Systemic model</w:t>
      </w:r>
    </w:p>
    <w:p w14:paraId="6C276B00" w14:textId="6FCC6488" w:rsidR="00366C33" w:rsidRPr="00972C81" w:rsidRDefault="00366C33" w:rsidP="001C4A92">
      <w:pPr>
        <w:pStyle w:val="Annalstext"/>
        <w:rPr>
          <w:noProof/>
        </w:rPr>
      </w:pPr>
      <w:r w:rsidRPr="00972C81">
        <w:rPr>
          <w:noProof/>
        </w:rPr>
        <w:t xml:space="preserve">The biokinetic model for systemic einsteinium is applied in this report to fermium. The structure of the systemic model for fermium is shown in </w:t>
      </w:r>
      <w:r w:rsidR="00EA3750" w:rsidRPr="00972C81">
        <w:rPr>
          <w:noProof/>
        </w:rPr>
        <w:fldChar w:fldCharType="begin"/>
      </w:r>
      <w:r w:rsidR="00EA3750" w:rsidRPr="00972C81">
        <w:rPr>
          <w:noProof/>
        </w:rPr>
        <w:instrText xml:space="preserve"> REF _Ref147477347 \h </w:instrText>
      </w:r>
      <w:r w:rsidR="00EA3750" w:rsidRPr="00972C81">
        <w:rPr>
          <w:noProof/>
        </w:rPr>
      </w:r>
      <w:r w:rsidR="00EA3750" w:rsidRPr="00972C81">
        <w:rPr>
          <w:noProof/>
        </w:rPr>
        <w:fldChar w:fldCharType="separate"/>
      </w:r>
      <w:r w:rsidR="00A41AD1" w:rsidRPr="00972C81">
        <w:rPr>
          <w:noProof/>
        </w:rPr>
        <w:t xml:space="preserve">Fig </w:t>
      </w:r>
      <w:r w:rsidR="00A41AD1">
        <w:rPr>
          <w:noProof/>
        </w:rPr>
        <w:t>28</w:t>
      </w:r>
      <w:r w:rsidR="00A41AD1" w:rsidRPr="00972C81">
        <w:rPr>
          <w:noProof/>
        </w:rPr>
        <w:t>.</w:t>
      </w:r>
      <w:r w:rsidR="00A41AD1">
        <w:rPr>
          <w:noProof/>
        </w:rPr>
        <w:t>1</w:t>
      </w:r>
      <w:r w:rsidR="00EA3750" w:rsidRPr="00972C81">
        <w:rPr>
          <w:noProof/>
        </w:rPr>
        <w:fldChar w:fldCharType="end"/>
      </w:r>
      <w:r w:rsidRPr="00972C81">
        <w:rPr>
          <w:noProof/>
        </w:rPr>
        <w:t xml:space="preserve">. Parameter values are listed in </w:t>
      </w:r>
      <w:r w:rsidR="00EA3750" w:rsidRPr="00972C81">
        <w:rPr>
          <w:noProof/>
        </w:rPr>
        <w:fldChar w:fldCharType="begin"/>
      </w:r>
      <w:r w:rsidR="00EA3750" w:rsidRPr="00972C81">
        <w:rPr>
          <w:noProof/>
        </w:rPr>
        <w:instrText xml:space="preserve"> REF _Ref147477338 \h </w:instrText>
      </w:r>
      <w:r w:rsidR="00EA3750" w:rsidRPr="00972C81">
        <w:rPr>
          <w:noProof/>
        </w:rPr>
      </w:r>
      <w:r w:rsidR="00EA3750" w:rsidRPr="00972C81">
        <w:rPr>
          <w:noProof/>
        </w:rPr>
        <w:fldChar w:fldCharType="separate"/>
      </w:r>
      <w:r w:rsidR="00A41AD1" w:rsidRPr="00972C81">
        <w:rPr>
          <w:noProof/>
        </w:rPr>
        <w:t xml:space="preserve">Table </w:t>
      </w:r>
      <w:r w:rsidR="00A41AD1">
        <w:rPr>
          <w:noProof/>
        </w:rPr>
        <w:t>28</w:t>
      </w:r>
      <w:r w:rsidR="00A41AD1" w:rsidRPr="00972C81">
        <w:rPr>
          <w:noProof/>
        </w:rPr>
        <w:t>.</w:t>
      </w:r>
      <w:r w:rsidR="00A41AD1">
        <w:rPr>
          <w:noProof/>
        </w:rPr>
        <w:t>2</w:t>
      </w:r>
      <w:r w:rsidR="00EA3750" w:rsidRPr="00972C81">
        <w:rPr>
          <w:noProof/>
        </w:rPr>
        <w:fldChar w:fldCharType="end"/>
      </w:r>
      <w:r w:rsidRPr="00972C81">
        <w:rPr>
          <w:noProof/>
        </w:rPr>
        <w:t>.</w:t>
      </w:r>
    </w:p>
    <w:p w14:paraId="3F40C56D" w14:textId="77777777" w:rsidR="00366C33" w:rsidRPr="00972C81" w:rsidRDefault="00366C33" w:rsidP="00134489">
      <w:pPr>
        <w:rPr>
          <w:noProof/>
        </w:rPr>
      </w:pPr>
    </w:p>
    <w:p w14:paraId="1C470AA3" w14:textId="77777777" w:rsidR="00195D93" w:rsidRDefault="00195D93" w:rsidP="006243FB">
      <w:pPr>
        <w:jc w:val="center"/>
        <w:rPr>
          <w:noProof/>
        </w:rPr>
      </w:pPr>
      <w:bookmarkStart w:id="421" w:name="_Ref147477347"/>
      <w:r>
        <w:rPr>
          <w:noProof/>
        </w:rPr>
        <w:drawing>
          <wp:inline distT="0" distB="0" distL="0" distR="0" wp14:anchorId="6A713801" wp14:editId="147E5E93">
            <wp:extent cx="4045559" cy="3114675"/>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9"/>
                    <a:stretch>
                      <a:fillRect/>
                    </a:stretch>
                  </pic:blipFill>
                  <pic:spPr>
                    <a:xfrm>
                      <a:off x="0" y="0"/>
                      <a:ext cx="4058276" cy="3124466"/>
                    </a:xfrm>
                    <a:prstGeom prst="rect">
                      <a:avLst/>
                    </a:prstGeom>
                  </pic:spPr>
                </pic:pic>
              </a:graphicData>
            </a:graphic>
          </wp:inline>
        </w:drawing>
      </w:r>
    </w:p>
    <w:p w14:paraId="41BDC62F" w14:textId="2D0B0EE4" w:rsidR="00366C33" w:rsidRPr="00972C81" w:rsidRDefault="00EA3750" w:rsidP="00C47F2F">
      <w:pPr>
        <w:rPr>
          <w:noProof/>
        </w:rPr>
      </w:pPr>
      <w:r w:rsidRPr="00972C81">
        <w:rPr>
          <w:noProof/>
        </w:rPr>
        <w:t xml:space="preserve">Fig </w:t>
      </w:r>
      <w:r w:rsidRPr="00972C81">
        <w:rPr>
          <w:noProof/>
        </w:rPr>
        <w:fldChar w:fldCharType="begin"/>
      </w:r>
      <w:r w:rsidRPr="00972C81">
        <w:rPr>
          <w:noProof/>
        </w:rPr>
        <w:instrText xml:space="preserve"> STYLEREF 1 \s </w:instrText>
      </w:r>
      <w:r w:rsidRPr="00972C81">
        <w:rPr>
          <w:noProof/>
        </w:rPr>
        <w:fldChar w:fldCharType="separate"/>
      </w:r>
      <w:r w:rsidR="00A41AD1">
        <w:rPr>
          <w:noProof/>
        </w:rPr>
        <w:t>28</w:t>
      </w:r>
      <w:r w:rsidRPr="00972C81">
        <w:rPr>
          <w:noProof/>
        </w:rPr>
        <w:fldChar w:fldCharType="end"/>
      </w:r>
      <w:r w:rsidRPr="00972C81">
        <w:rPr>
          <w:noProof/>
        </w:rPr>
        <w:t>.</w:t>
      </w:r>
      <w:r w:rsidRPr="00972C81">
        <w:rPr>
          <w:noProof/>
        </w:rPr>
        <w:fldChar w:fldCharType="begin"/>
      </w:r>
      <w:r w:rsidRPr="00972C81">
        <w:rPr>
          <w:noProof/>
        </w:rPr>
        <w:instrText xml:space="preserve"> SEQ Figure \* ARABIC \s 1 </w:instrText>
      </w:r>
      <w:r w:rsidRPr="00972C81">
        <w:rPr>
          <w:noProof/>
        </w:rPr>
        <w:fldChar w:fldCharType="separate"/>
      </w:r>
      <w:r w:rsidR="00A41AD1">
        <w:rPr>
          <w:noProof/>
        </w:rPr>
        <w:t>1</w:t>
      </w:r>
      <w:r w:rsidRPr="00972C81">
        <w:rPr>
          <w:noProof/>
        </w:rPr>
        <w:fldChar w:fldCharType="end"/>
      </w:r>
      <w:bookmarkEnd w:id="421"/>
      <w:r w:rsidRPr="00972C81">
        <w:rPr>
          <w:noProof/>
        </w:rPr>
        <w:t xml:space="preserve">. </w:t>
      </w:r>
      <w:r w:rsidR="00366C33" w:rsidRPr="00972C81">
        <w:rPr>
          <w:noProof/>
        </w:rPr>
        <w:t>Structure of the systemic model for fermium.</w:t>
      </w:r>
    </w:p>
    <w:p w14:paraId="2868DBC2" w14:textId="5BE9FD67" w:rsidR="00366C33" w:rsidRPr="00972C81" w:rsidRDefault="00366C33" w:rsidP="00366C33">
      <w:pPr>
        <w:tabs>
          <w:tab w:val="left" w:pos="851"/>
        </w:tabs>
        <w:adjustRightInd w:val="0"/>
        <w:snapToGrid w:val="0"/>
        <w:spacing w:line="280" w:lineRule="atLeast"/>
        <w:rPr>
          <w:rFonts w:ascii="Times Roman" w:hAnsi="Times Roman"/>
          <w:noProof/>
          <w:lang w:eastAsia="fr-FR"/>
        </w:rPr>
      </w:pPr>
    </w:p>
    <w:p w14:paraId="3BD74603" w14:textId="77777777" w:rsidR="006243FB" w:rsidRDefault="006243FB">
      <w:pPr>
        <w:widowControl/>
        <w:jc w:val="left"/>
        <w:rPr>
          <w:noProof/>
          <w:szCs w:val="24"/>
        </w:rPr>
      </w:pPr>
      <w:bookmarkStart w:id="422" w:name="_Ref147477338"/>
      <w:r>
        <w:rPr>
          <w:noProof/>
          <w:szCs w:val="24"/>
        </w:rPr>
        <w:br w:type="page"/>
      </w:r>
    </w:p>
    <w:p w14:paraId="3AAB3DDF" w14:textId="46B228E2" w:rsidR="00EA3750" w:rsidRPr="00C47F2F" w:rsidRDefault="00EA3750" w:rsidP="00EA3750">
      <w:pPr>
        <w:pStyle w:val="ab"/>
        <w:rPr>
          <w:rFonts w:ascii="Times Roman" w:hAnsi="Times Roman"/>
          <w:noProof/>
          <w:sz w:val="24"/>
          <w:szCs w:val="24"/>
          <w:lang w:eastAsia="fr-FR"/>
        </w:rPr>
      </w:pPr>
      <w:r w:rsidRPr="00C47F2F">
        <w:rPr>
          <w:noProof/>
          <w:sz w:val="24"/>
          <w:szCs w:val="24"/>
        </w:rPr>
        <w:lastRenderedPageBreak/>
        <w:t xml:space="preserve">Table </w:t>
      </w:r>
      <w:r w:rsidRPr="00C47F2F">
        <w:rPr>
          <w:noProof/>
          <w:sz w:val="24"/>
          <w:szCs w:val="24"/>
        </w:rPr>
        <w:fldChar w:fldCharType="begin"/>
      </w:r>
      <w:r w:rsidRPr="00C47F2F">
        <w:rPr>
          <w:noProof/>
          <w:sz w:val="24"/>
          <w:szCs w:val="24"/>
        </w:rPr>
        <w:instrText xml:space="preserve"> STYLEREF 1 \s </w:instrText>
      </w:r>
      <w:r w:rsidRPr="00C47F2F">
        <w:rPr>
          <w:noProof/>
          <w:sz w:val="24"/>
          <w:szCs w:val="24"/>
        </w:rPr>
        <w:fldChar w:fldCharType="separate"/>
      </w:r>
      <w:r w:rsidR="00A41AD1" w:rsidRPr="00C47F2F">
        <w:rPr>
          <w:noProof/>
          <w:sz w:val="24"/>
          <w:szCs w:val="24"/>
        </w:rPr>
        <w:t>28</w:t>
      </w:r>
      <w:r w:rsidRPr="00C47F2F">
        <w:rPr>
          <w:noProof/>
          <w:sz w:val="24"/>
          <w:szCs w:val="24"/>
        </w:rPr>
        <w:fldChar w:fldCharType="end"/>
      </w:r>
      <w:r w:rsidRPr="00C47F2F">
        <w:rPr>
          <w:noProof/>
          <w:sz w:val="24"/>
          <w:szCs w:val="24"/>
        </w:rPr>
        <w:t>.</w:t>
      </w:r>
      <w:r w:rsidRPr="00C47F2F">
        <w:rPr>
          <w:noProof/>
          <w:sz w:val="24"/>
          <w:szCs w:val="24"/>
        </w:rPr>
        <w:fldChar w:fldCharType="begin"/>
      </w:r>
      <w:r w:rsidRPr="00C47F2F">
        <w:rPr>
          <w:noProof/>
          <w:sz w:val="24"/>
          <w:szCs w:val="24"/>
        </w:rPr>
        <w:instrText xml:space="preserve"> SEQ Table \* ARABIC \s 1 </w:instrText>
      </w:r>
      <w:r w:rsidRPr="00C47F2F">
        <w:rPr>
          <w:noProof/>
          <w:sz w:val="24"/>
          <w:szCs w:val="24"/>
        </w:rPr>
        <w:fldChar w:fldCharType="separate"/>
      </w:r>
      <w:r w:rsidR="00A41AD1" w:rsidRPr="00C47F2F">
        <w:rPr>
          <w:noProof/>
          <w:sz w:val="24"/>
          <w:szCs w:val="24"/>
        </w:rPr>
        <w:t>2</w:t>
      </w:r>
      <w:r w:rsidRPr="00C47F2F">
        <w:rPr>
          <w:noProof/>
          <w:sz w:val="24"/>
          <w:szCs w:val="24"/>
        </w:rPr>
        <w:fldChar w:fldCharType="end"/>
      </w:r>
      <w:bookmarkEnd w:id="422"/>
      <w:r w:rsidRPr="00C47F2F">
        <w:rPr>
          <w:noProof/>
          <w:sz w:val="24"/>
          <w:szCs w:val="24"/>
        </w:rPr>
        <w:t>. Age-specific transfer coefficients for fermium.</w:t>
      </w:r>
    </w:p>
    <w:tbl>
      <w:tblPr>
        <w:tblW w:w="5000" w:type="pct"/>
        <w:tblLayout w:type="fixed"/>
        <w:tblLook w:val="04A0" w:firstRow="1" w:lastRow="0" w:firstColumn="1" w:lastColumn="0" w:noHBand="0" w:noVBand="1"/>
      </w:tblPr>
      <w:tblGrid>
        <w:gridCol w:w="2992"/>
        <w:gridCol w:w="1010"/>
        <w:gridCol w:w="1006"/>
        <w:gridCol w:w="1006"/>
        <w:gridCol w:w="1006"/>
        <w:gridCol w:w="1006"/>
        <w:gridCol w:w="1001"/>
      </w:tblGrid>
      <w:tr w:rsidR="00EA3750" w:rsidRPr="00972C81" w14:paraId="5542A470" w14:textId="77777777" w:rsidTr="006243FB">
        <w:trPr>
          <w:trHeight w:val="300"/>
        </w:trPr>
        <w:tc>
          <w:tcPr>
            <w:tcW w:w="2992" w:type="dxa"/>
            <w:vMerge w:val="restart"/>
            <w:tcBorders>
              <w:top w:val="single" w:sz="4" w:space="0" w:color="auto"/>
            </w:tcBorders>
            <w:shd w:val="clear" w:color="auto" w:fill="auto"/>
            <w:noWrap/>
            <w:vAlign w:val="center"/>
          </w:tcPr>
          <w:p w14:paraId="6A36B1CF" w14:textId="1B5CC0D7" w:rsidR="00EA3750" w:rsidRPr="00972C81" w:rsidRDefault="00EA3750" w:rsidP="006243FB">
            <w:pPr>
              <w:pStyle w:val="Table"/>
              <w:rPr>
                <w:noProof/>
              </w:rPr>
            </w:pPr>
            <w:r w:rsidRPr="00972C81">
              <w:rPr>
                <w:noProof/>
              </w:rPr>
              <w:t>Pathway</w:t>
            </w:r>
            <w:r w:rsidR="00195D93" w:rsidRPr="00195D93">
              <w:rPr>
                <w:noProof/>
                <w:vertAlign w:val="superscript"/>
              </w:rPr>
              <w:t>a</w:t>
            </w:r>
          </w:p>
        </w:tc>
        <w:tc>
          <w:tcPr>
            <w:tcW w:w="6035" w:type="dxa"/>
            <w:gridSpan w:val="6"/>
            <w:tcBorders>
              <w:top w:val="single" w:sz="4" w:space="0" w:color="auto"/>
              <w:bottom w:val="single" w:sz="4" w:space="0" w:color="auto"/>
            </w:tcBorders>
            <w:shd w:val="clear" w:color="auto" w:fill="auto"/>
            <w:noWrap/>
          </w:tcPr>
          <w:p w14:paraId="4F5043B7" w14:textId="26B43A4C" w:rsidR="00EA3750" w:rsidRPr="00972C81" w:rsidRDefault="00EA3750" w:rsidP="00C47F2F">
            <w:pPr>
              <w:pStyle w:val="Table"/>
              <w:jc w:val="center"/>
              <w:rPr>
                <w:noProof/>
              </w:rPr>
            </w:pPr>
            <w:r w:rsidRPr="00972C81">
              <w:rPr>
                <w:noProof/>
              </w:rPr>
              <w:t>Transfer coefficient (d</w:t>
            </w:r>
            <w:r w:rsidRPr="00972C81">
              <w:rPr>
                <w:noProof/>
                <w:vertAlign w:val="superscript"/>
              </w:rPr>
              <w:t>-1</w:t>
            </w:r>
            <w:r w:rsidRPr="00972C81">
              <w:rPr>
                <w:noProof/>
              </w:rPr>
              <w:t>)</w:t>
            </w:r>
          </w:p>
        </w:tc>
      </w:tr>
      <w:tr w:rsidR="00100C52" w:rsidRPr="00972C81" w14:paraId="6F1AA415" w14:textId="77777777" w:rsidTr="006243FB">
        <w:trPr>
          <w:trHeight w:val="300"/>
        </w:trPr>
        <w:tc>
          <w:tcPr>
            <w:tcW w:w="2992" w:type="dxa"/>
            <w:vMerge/>
            <w:tcBorders>
              <w:bottom w:val="single" w:sz="4" w:space="0" w:color="auto"/>
            </w:tcBorders>
            <w:shd w:val="clear" w:color="auto" w:fill="auto"/>
            <w:noWrap/>
          </w:tcPr>
          <w:p w14:paraId="78AB382C" w14:textId="77777777" w:rsidR="00366C33" w:rsidRPr="00972C81" w:rsidRDefault="00366C33" w:rsidP="00E81109">
            <w:pPr>
              <w:pStyle w:val="Table"/>
              <w:rPr>
                <w:noProof/>
                <w:color w:val="000000"/>
              </w:rPr>
            </w:pPr>
          </w:p>
        </w:tc>
        <w:tc>
          <w:tcPr>
            <w:tcW w:w="1010" w:type="dxa"/>
            <w:tcBorders>
              <w:top w:val="single" w:sz="4" w:space="0" w:color="auto"/>
              <w:bottom w:val="single" w:sz="4" w:space="0" w:color="auto"/>
            </w:tcBorders>
            <w:shd w:val="clear" w:color="auto" w:fill="auto"/>
            <w:noWrap/>
          </w:tcPr>
          <w:p w14:paraId="5B96E7DE" w14:textId="77777777" w:rsidR="00366C33" w:rsidRPr="00972C81" w:rsidRDefault="00366C33" w:rsidP="00E81109">
            <w:pPr>
              <w:pStyle w:val="Table"/>
              <w:rPr>
                <w:noProof/>
                <w:color w:val="000000"/>
              </w:rPr>
            </w:pPr>
            <w:r w:rsidRPr="00972C81">
              <w:rPr>
                <w:noProof/>
              </w:rPr>
              <w:t>100 d</w:t>
            </w:r>
          </w:p>
        </w:tc>
        <w:tc>
          <w:tcPr>
            <w:tcW w:w="1006" w:type="dxa"/>
            <w:tcBorders>
              <w:top w:val="single" w:sz="4" w:space="0" w:color="auto"/>
              <w:bottom w:val="single" w:sz="4" w:space="0" w:color="auto"/>
            </w:tcBorders>
            <w:shd w:val="clear" w:color="auto" w:fill="auto"/>
            <w:noWrap/>
          </w:tcPr>
          <w:p w14:paraId="474A2177" w14:textId="77777777" w:rsidR="00366C33" w:rsidRPr="00972C81" w:rsidRDefault="00366C33" w:rsidP="00E81109">
            <w:pPr>
              <w:pStyle w:val="Table"/>
              <w:rPr>
                <w:noProof/>
                <w:color w:val="000000"/>
              </w:rPr>
            </w:pPr>
            <w:r w:rsidRPr="00972C81">
              <w:rPr>
                <w:noProof/>
              </w:rPr>
              <w:t>1 y</w:t>
            </w:r>
          </w:p>
        </w:tc>
        <w:tc>
          <w:tcPr>
            <w:tcW w:w="1006" w:type="dxa"/>
            <w:tcBorders>
              <w:top w:val="single" w:sz="4" w:space="0" w:color="auto"/>
              <w:bottom w:val="single" w:sz="4" w:space="0" w:color="auto"/>
            </w:tcBorders>
            <w:shd w:val="clear" w:color="auto" w:fill="auto"/>
            <w:noWrap/>
          </w:tcPr>
          <w:p w14:paraId="01F2A8B4" w14:textId="77777777" w:rsidR="00366C33" w:rsidRPr="00972C81" w:rsidRDefault="00366C33" w:rsidP="00E81109">
            <w:pPr>
              <w:pStyle w:val="Table"/>
              <w:rPr>
                <w:noProof/>
                <w:color w:val="000000"/>
              </w:rPr>
            </w:pPr>
            <w:r w:rsidRPr="00972C81">
              <w:rPr>
                <w:noProof/>
              </w:rPr>
              <w:t>5 y</w:t>
            </w:r>
          </w:p>
        </w:tc>
        <w:tc>
          <w:tcPr>
            <w:tcW w:w="1006" w:type="dxa"/>
            <w:tcBorders>
              <w:top w:val="single" w:sz="4" w:space="0" w:color="auto"/>
              <w:bottom w:val="single" w:sz="4" w:space="0" w:color="auto"/>
            </w:tcBorders>
            <w:shd w:val="clear" w:color="auto" w:fill="auto"/>
            <w:noWrap/>
          </w:tcPr>
          <w:p w14:paraId="553EA608" w14:textId="77777777" w:rsidR="00366C33" w:rsidRPr="00972C81" w:rsidRDefault="00366C33" w:rsidP="00E81109">
            <w:pPr>
              <w:pStyle w:val="Table"/>
              <w:rPr>
                <w:noProof/>
                <w:color w:val="000000"/>
              </w:rPr>
            </w:pPr>
            <w:r w:rsidRPr="00972C81">
              <w:rPr>
                <w:noProof/>
              </w:rPr>
              <w:t>10 y</w:t>
            </w:r>
          </w:p>
        </w:tc>
        <w:tc>
          <w:tcPr>
            <w:tcW w:w="1006" w:type="dxa"/>
            <w:tcBorders>
              <w:top w:val="single" w:sz="4" w:space="0" w:color="auto"/>
              <w:bottom w:val="single" w:sz="4" w:space="0" w:color="auto"/>
            </w:tcBorders>
            <w:shd w:val="clear" w:color="auto" w:fill="auto"/>
            <w:noWrap/>
          </w:tcPr>
          <w:p w14:paraId="5F7453ED" w14:textId="77777777" w:rsidR="00366C33" w:rsidRPr="00972C81" w:rsidRDefault="00366C33" w:rsidP="00E81109">
            <w:pPr>
              <w:pStyle w:val="Table"/>
              <w:rPr>
                <w:noProof/>
                <w:color w:val="000000"/>
              </w:rPr>
            </w:pPr>
            <w:r w:rsidRPr="00972C81">
              <w:rPr>
                <w:noProof/>
              </w:rPr>
              <w:t>15 y</w:t>
            </w:r>
          </w:p>
        </w:tc>
        <w:tc>
          <w:tcPr>
            <w:tcW w:w="1001" w:type="dxa"/>
            <w:tcBorders>
              <w:top w:val="single" w:sz="4" w:space="0" w:color="auto"/>
              <w:bottom w:val="single" w:sz="4" w:space="0" w:color="auto"/>
            </w:tcBorders>
            <w:shd w:val="clear" w:color="auto" w:fill="auto"/>
            <w:noWrap/>
          </w:tcPr>
          <w:p w14:paraId="0CC4A5D5" w14:textId="77777777" w:rsidR="00366C33" w:rsidRPr="00972C81" w:rsidRDefault="00366C33" w:rsidP="00E81109">
            <w:pPr>
              <w:pStyle w:val="Table"/>
              <w:rPr>
                <w:noProof/>
                <w:color w:val="000000"/>
              </w:rPr>
            </w:pPr>
            <w:r w:rsidRPr="00972C81">
              <w:rPr>
                <w:noProof/>
              </w:rPr>
              <w:t>Adult</w:t>
            </w:r>
          </w:p>
        </w:tc>
      </w:tr>
      <w:tr w:rsidR="00195D93" w:rsidRPr="00972C81" w14:paraId="27EA0F5E" w14:textId="77777777" w:rsidTr="006243FB">
        <w:trPr>
          <w:trHeight w:val="340"/>
        </w:trPr>
        <w:tc>
          <w:tcPr>
            <w:tcW w:w="2992" w:type="dxa"/>
            <w:tcBorders>
              <w:top w:val="single" w:sz="4" w:space="0" w:color="auto"/>
            </w:tcBorders>
            <w:shd w:val="clear" w:color="auto" w:fill="auto"/>
            <w:noWrap/>
            <w:vAlign w:val="center"/>
          </w:tcPr>
          <w:p w14:paraId="6C15B34F" w14:textId="5D7C0D20" w:rsidR="00195D93" w:rsidRPr="00195D93" w:rsidRDefault="00195D93" w:rsidP="006243FB">
            <w:pPr>
              <w:pStyle w:val="Table"/>
              <w:rPr>
                <w:noProof/>
                <w:sz w:val="20"/>
                <w:szCs w:val="22"/>
              </w:rPr>
            </w:pPr>
            <w:r w:rsidRPr="00195D93">
              <w:rPr>
                <w:noProof/>
                <w:sz w:val="20"/>
                <w:szCs w:val="22"/>
              </w:rPr>
              <w:t>Blood to Liver 1</w:t>
            </w:r>
          </w:p>
        </w:tc>
        <w:tc>
          <w:tcPr>
            <w:tcW w:w="1010" w:type="dxa"/>
            <w:tcBorders>
              <w:top w:val="single" w:sz="4" w:space="0" w:color="auto"/>
            </w:tcBorders>
            <w:shd w:val="clear" w:color="auto" w:fill="auto"/>
            <w:noWrap/>
            <w:vAlign w:val="center"/>
          </w:tcPr>
          <w:p w14:paraId="178CDD4E" w14:textId="77777777" w:rsidR="00195D93" w:rsidRPr="00C47F2F" w:rsidRDefault="00195D93" w:rsidP="006243FB">
            <w:pPr>
              <w:pStyle w:val="Table"/>
              <w:rPr>
                <w:noProof/>
                <w:sz w:val="20"/>
                <w:szCs w:val="20"/>
              </w:rPr>
            </w:pPr>
            <w:r w:rsidRPr="00C47F2F">
              <w:rPr>
                <w:noProof/>
                <w:sz w:val="20"/>
                <w:szCs w:val="20"/>
              </w:rPr>
              <w:t>5.82E-01</w:t>
            </w:r>
          </w:p>
        </w:tc>
        <w:tc>
          <w:tcPr>
            <w:tcW w:w="1006" w:type="dxa"/>
            <w:tcBorders>
              <w:top w:val="single" w:sz="4" w:space="0" w:color="auto"/>
            </w:tcBorders>
            <w:shd w:val="clear" w:color="auto" w:fill="auto"/>
            <w:noWrap/>
            <w:vAlign w:val="center"/>
          </w:tcPr>
          <w:p w14:paraId="1212B9B4" w14:textId="77777777" w:rsidR="00195D93" w:rsidRPr="00C47F2F" w:rsidRDefault="00195D93" w:rsidP="006243FB">
            <w:pPr>
              <w:pStyle w:val="Table"/>
              <w:rPr>
                <w:noProof/>
                <w:sz w:val="20"/>
                <w:szCs w:val="20"/>
              </w:rPr>
            </w:pPr>
            <w:r w:rsidRPr="00C47F2F">
              <w:rPr>
                <w:noProof/>
                <w:sz w:val="20"/>
                <w:szCs w:val="20"/>
              </w:rPr>
              <w:t>5.82E-01</w:t>
            </w:r>
          </w:p>
        </w:tc>
        <w:tc>
          <w:tcPr>
            <w:tcW w:w="1006" w:type="dxa"/>
            <w:tcBorders>
              <w:top w:val="single" w:sz="4" w:space="0" w:color="auto"/>
            </w:tcBorders>
            <w:shd w:val="clear" w:color="auto" w:fill="auto"/>
            <w:noWrap/>
            <w:vAlign w:val="center"/>
          </w:tcPr>
          <w:p w14:paraId="736AE2FD" w14:textId="77777777" w:rsidR="00195D93" w:rsidRPr="00C47F2F" w:rsidRDefault="00195D93" w:rsidP="006243FB">
            <w:pPr>
              <w:pStyle w:val="Table"/>
              <w:rPr>
                <w:noProof/>
                <w:sz w:val="20"/>
                <w:szCs w:val="20"/>
              </w:rPr>
            </w:pPr>
            <w:r w:rsidRPr="00C47F2F">
              <w:rPr>
                <w:noProof/>
                <w:sz w:val="20"/>
                <w:szCs w:val="20"/>
              </w:rPr>
              <w:t>1.16E+00</w:t>
            </w:r>
          </w:p>
        </w:tc>
        <w:tc>
          <w:tcPr>
            <w:tcW w:w="1006" w:type="dxa"/>
            <w:tcBorders>
              <w:top w:val="single" w:sz="4" w:space="0" w:color="auto"/>
            </w:tcBorders>
            <w:shd w:val="clear" w:color="auto" w:fill="auto"/>
            <w:noWrap/>
            <w:vAlign w:val="center"/>
          </w:tcPr>
          <w:p w14:paraId="6692F161" w14:textId="77777777" w:rsidR="00195D93" w:rsidRPr="00C47F2F" w:rsidRDefault="00195D93" w:rsidP="006243FB">
            <w:pPr>
              <w:pStyle w:val="Table"/>
              <w:rPr>
                <w:noProof/>
                <w:sz w:val="20"/>
                <w:szCs w:val="20"/>
              </w:rPr>
            </w:pPr>
            <w:r w:rsidRPr="00C47F2F">
              <w:rPr>
                <w:noProof/>
                <w:sz w:val="20"/>
                <w:szCs w:val="20"/>
              </w:rPr>
              <w:t>1.16E+00</w:t>
            </w:r>
          </w:p>
        </w:tc>
        <w:tc>
          <w:tcPr>
            <w:tcW w:w="1006" w:type="dxa"/>
            <w:tcBorders>
              <w:top w:val="single" w:sz="4" w:space="0" w:color="auto"/>
            </w:tcBorders>
            <w:shd w:val="clear" w:color="auto" w:fill="auto"/>
            <w:noWrap/>
            <w:vAlign w:val="center"/>
          </w:tcPr>
          <w:p w14:paraId="2E42FE9D" w14:textId="77777777" w:rsidR="00195D93" w:rsidRPr="00C47F2F" w:rsidRDefault="00195D93" w:rsidP="006243FB">
            <w:pPr>
              <w:pStyle w:val="Table"/>
              <w:rPr>
                <w:noProof/>
                <w:sz w:val="20"/>
                <w:szCs w:val="20"/>
              </w:rPr>
            </w:pPr>
            <w:r w:rsidRPr="00C47F2F">
              <w:rPr>
                <w:noProof/>
                <w:sz w:val="20"/>
                <w:szCs w:val="20"/>
              </w:rPr>
              <w:t>1.16E+00</w:t>
            </w:r>
          </w:p>
        </w:tc>
        <w:tc>
          <w:tcPr>
            <w:tcW w:w="1001" w:type="dxa"/>
            <w:tcBorders>
              <w:top w:val="single" w:sz="4" w:space="0" w:color="auto"/>
            </w:tcBorders>
            <w:shd w:val="clear" w:color="auto" w:fill="auto"/>
            <w:noWrap/>
            <w:vAlign w:val="center"/>
          </w:tcPr>
          <w:p w14:paraId="5B2EA7D9" w14:textId="77777777" w:rsidR="00195D93" w:rsidRPr="00C47F2F" w:rsidRDefault="00195D93" w:rsidP="006243FB">
            <w:pPr>
              <w:pStyle w:val="Table"/>
              <w:rPr>
                <w:noProof/>
                <w:sz w:val="20"/>
                <w:szCs w:val="20"/>
              </w:rPr>
            </w:pPr>
            <w:r w:rsidRPr="00C47F2F">
              <w:rPr>
                <w:noProof/>
                <w:sz w:val="20"/>
                <w:szCs w:val="20"/>
              </w:rPr>
              <w:t>1.75E+00</w:t>
            </w:r>
          </w:p>
        </w:tc>
      </w:tr>
      <w:tr w:rsidR="00195D93" w:rsidRPr="00972C81" w14:paraId="7010826E" w14:textId="77777777" w:rsidTr="006243FB">
        <w:trPr>
          <w:trHeight w:val="340"/>
        </w:trPr>
        <w:tc>
          <w:tcPr>
            <w:tcW w:w="2992" w:type="dxa"/>
            <w:shd w:val="clear" w:color="auto" w:fill="auto"/>
            <w:noWrap/>
            <w:vAlign w:val="center"/>
          </w:tcPr>
          <w:p w14:paraId="595C5354" w14:textId="3DF66D8D" w:rsidR="00195D93" w:rsidRPr="00195D93" w:rsidRDefault="00195D93" w:rsidP="006243FB">
            <w:pPr>
              <w:pStyle w:val="Table"/>
              <w:rPr>
                <w:noProof/>
                <w:sz w:val="20"/>
                <w:szCs w:val="22"/>
              </w:rPr>
            </w:pPr>
            <w:r w:rsidRPr="00195D93">
              <w:rPr>
                <w:noProof/>
                <w:sz w:val="20"/>
                <w:szCs w:val="22"/>
              </w:rPr>
              <w:t>Blood to  ST0</w:t>
            </w:r>
          </w:p>
        </w:tc>
        <w:tc>
          <w:tcPr>
            <w:tcW w:w="1010" w:type="dxa"/>
            <w:shd w:val="clear" w:color="auto" w:fill="auto"/>
            <w:noWrap/>
            <w:vAlign w:val="center"/>
          </w:tcPr>
          <w:p w14:paraId="45F5909C" w14:textId="77777777" w:rsidR="00195D93" w:rsidRPr="00C47F2F" w:rsidRDefault="00195D93" w:rsidP="006243FB">
            <w:pPr>
              <w:pStyle w:val="Table"/>
              <w:rPr>
                <w:noProof/>
                <w:sz w:val="20"/>
                <w:szCs w:val="20"/>
              </w:rPr>
            </w:pPr>
            <w:r w:rsidRPr="00C47F2F">
              <w:rPr>
                <w:noProof/>
                <w:sz w:val="20"/>
                <w:szCs w:val="20"/>
              </w:rPr>
              <w:t>4.99E+00</w:t>
            </w:r>
          </w:p>
        </w:tc>
        <w:tc>
          <w:tcPr>
            <w:tcW w:w="1006" w:type="dxa"/>
            <w:shd w:val="clear" w:color="auto" w:fill="auto"/>
            <w:noWrap/>
            <w:vAlign w:val="center"/>
          </w:tcPr>
          <w:p w14:paraId="78B99B5E" w14:textId="77777777" w:rsidR="00195D93" w:rsidRPr="00C47F2F" w:rsidRDefault="00195D93" w:rsidP="006243FB">
            <w:pPr>
              <w:pStyle w:val="Table"/>
              <w:rPr>
                <w:noProof/>
                <w:sz w:val="20"/>
                <w:szCs w:val="20"/>
              </w:rPr>
            </w:pPr>
            <w:r w:rsidRPr="00C47F2F">
              <w:rPr>
                <w:noProof/>
                <w:sz w:val="20"/>
                <w:szCs w:val="20"/>
              </w:rPr>
              <w:t>4.99E+00</w:t>
            </w:r>
          </w:p>
        </w:tc>
        <w:tc>
          <w:tcPr>
            <w:tcW w:w="1006" w:type="dxa"/>
            <w:shd w:val="clear" w:color="auto" w:fill="auto"/>
            <w:noWrap/>
            <w:vAlign w:val="center"/>
          </w:tcPr>
          <w:p w14:paraId="038A582B" w14:textId="77777777" w:rsidR="00195D93" w:rsidRPr="00C47F2F" w:rsidRDefault="00195D93" w:rsidP="006243FB">
            <w:pPr>
              <w:pStyle w:val="Table"/>
              <w:rPr>
                <w:noProof/>
                <w:sz w:val="20"/>
                <w:szCs w:val="20"/>
              </w:rPr>
            </w:pPr>
            <w:r w:rsidRPr="00C47F2F">
              <w:rPr>
                <w:noProof/>
                <w:sz w:val="20"/>
                <w:szCs w:val="20"/>
              </w:rPr>
              <w:t>4.99E+00</w:t>
            </w:r>
          </w:p>
        </w:tc>
        <w:tc>
          <w:tcPr>
            <w:tcW w:w="1006" w:type="dxa"/>
            <w:shd w:val="clear" w:color="auto" w:fill="auto"/>
            <w:noWrap/>
            <w:vAlign w:val="center"/>
          </w:tcPr>
          <w:p w14:paraId="6D651633" w14:textId="77777777" w:rsidR="00195D93" w:rsidRPr="00C47F2F" w:rsidRDefault="00195D93" w:rsidP="006243FB">
            <w:pPr>
              <w:pStyle w:val="Table"/>
              <w:rPr>
                <w:noProof/>
                <w:sz w:val="20"/>
                <w:szCs w:val="20"/>
              </w:rPr>
            </w:pPr>
            <w:r w:rsidRPr="00C47F2F">
              <w:rPr>
                <w:noProof/>
                <w:sz w:val="20"/>
                <w:szCs w:val="20"/>
              </w:rPr>
              <w:t>4.99E+00</w:t>
            </w:r>
          </w:p>
        </w:tc>
        <w:tc>
          <w:tcPr>
            <w:tcW w:w="1006" w:type="dxa"/>
            <w:shd w:val="clear" w:color="auto" w:fill="auto"/>
            <w:noWrap/>
            <w:vAlign w:val="center"/>
          </w:tcPr>
          <w:p w14:paraId="5A11A5A7" w14:textId="77777777" w:rsidR="00195D93" w:rsidRPr="00C47F2F" w:rsidRDefault="00195D93" w:rsidP="006243FB">
            <w:pPr>
              <w:pStyle w:val="Table"/>
              <w:rPr>
                <w:noProof/>
                <w:sz w:val="20"/>
                <w:szCs w:val="20"/>
              </w:rPr>
            </w:pPr>
            <w:r w:rsidRPr="00C47F2F">
              <w:rPr>
                <w:noProof/>
                <w:sz w:val="20"/>
                <w:szCs w:val="20"/>
              </w:rPr>
              <w:t>4.99E+00</w:t>
            </w:r>
          </w:p>
        </w:tc>
        <w:tc>
          <w:tcPr>
            <w:tcW w:w="1001" w:type="dxa"/>
            <w:shd w:val="clear" w:color="auto" w:fill="auto"/>
            <w:noWrap/>
            <w:vAlign w:val="center"/>
          </w:tcPr>
          <w:p w14:paraId="720CCC8F" w14:textId="77777777" w:rsidR="00195D93" w:rsidRPr="00C47F2F" w:rsidRDefault="00195D93" w:rsidP="006243FB">
            <w:pPr>
              <w:pStyle w:val="Table"/>
              <w:rPr>
                <w:noProof/>
                <w:sz w:val="20"/>
                <w:szCs w:val="20"/>
              </w:rPr>
            </w:pPr>
            <w:r w:rsidRPr="00C47F2F">
              <w:rPr>
                <w:noProof/>
                <w:sz w:val="20"/>
                <w:szCs w:val="20"/>
              </w:rPr>
              <w:t>4.99E+00</w:t>
            </w:r>
          </w:p>
        </w:tc>
      </w:tr>
      <w:tr w:rsidR="00195D93" w:rsidRPr="00972C81" w14:paraId="43E1C907" w14:textId="77777777" w:rsidTr="006243FB">
        <w:trPr>
          <w:trHeight w:val="340"/>
        </w:trPr>
        <w:tc>
          <w:tcPr>
            <w:tcW w:w="2992" w:type="dxa"/>
            <w:shd w:val="clear" w:color="auto" w:fill="auto"/>
            <w:noWrap/>
            <w:vAlign w:val="center"/>
          </w:tcPr>
          <w:p w14:paraId="4468B929" w14:textId="66E65AC7" w:rsidR="00195D93" w:rsidRPr="00195D93" w:rsidRDefault="00195D93" w:rsidP="006243FB">
            <w:pPr>
              <w:pStyle w:val="Table"/>
              <w:rPr>
                <w:noProof/>
                <w:sz w:val="20"/>
                <w:szCs w:val="22"/>
              </w:rPr>
            </w:pPr>
            <w:r w:rsidRPr="00195D93">
              <w:rPr>
                <w:noProof/>
                <w:sz w:val="20"/>
                <w:szCs w:val="22"/>
              </w:rPr>
              <w:t>Blood to  ST1</w:t>
            </w:r>
          </w:p>
        </w:tc>
        <w:tc>
          <w:tcPr>
            <w:tcW w:w="1010" w:type="dxa"/>
            <w:shd w:val="clear" w:color="auto" w:fill="auto"/>
            <w:noWrap/>
            <w:vAlign w:val="center"/>
          </w:tcPr>
          <w:p w14:paraId="009435D6" w14:textId="77777777" w:rsidR="00195D93" w:rsidRPr="00C47F2F" w:rsidRDefault="00195D93" w:rsidP="006243FB">
            <w:pPr>
              <w:pStyle w:val="Table"/>
              <w:rPr>
                <w:noProof/>
                <w:sz w:val="20"/>
                <w:szCs w:val="20"/>
              </w:rPr>
            </w:pPr>
            <w:r w:rsidRPr="00C47F2F">
              <w:rPr>
                <w:noProof/>
                <w:sz w:val="20"/>
                <w:szCs w:val="20"/>
              </w:rPr>
              <w:t>8.68E-01</w:t>
            </w:r>
          </w:p>
        </w:tc>
        <w:tc>
          <w:tcPr>
            <w:tcW w:w="1006" w:type="dxa"/>
            <w:shd w:val="clear" w:color="auto" w:fill="auto"/>
            <w:noWrap/>
            <w:vAlign w:val="center"/>
          </w:tcPr>
          <w:p w14:paraId="50E20159" w14:textId="77777777" w:rsidR="00195D93" w:rsidRPr="00C47F2F" w:rsidRDefault="00195D93" w:rsidP="006243FB">
            <w:pPr>
              <w:pStyle w:val="Table"/>
              <w:rPr>
                <w:noProof/>
                <w:sz w:val="20"/>
                <w:szCs w:val="20"/>
              </w:rPr>
            </w:pPr>
            <w:r w:rsidRPr="00C47F2F">
              <w:rPr>
                <w:noProof/>
                <w:sz w:val="20"/>
                <w:szCs w:val="20"/>
              </w:rPr>
              <w:t>8.68E-01</w:t>
            </w:r>
          </w:p>
        </w:tc>
        <w:tc>
          <w:tcPr>
            <w:tcW w:w="1006" w:type="dxa"/>
            <w:shd w:val="clear" w:color="auto" w:fill="auto"/>
            <w:noWrap/>
            <w:vAlign w:val="center"/>
          </w:tcPr>
          <w:p w14:paraId="095A8C6D" w14:textId="77777777" w:rsidR="00195D93" w:rsidRPr="00C47F2F" w:rsidRDefault="00195D93" w:rsidP="006243FB">
            <w:pPr>
              <w:pStyle w:val="Table"/>
              <w:rPr>
                <w:noProof/>
                <w:sz w:val="20"/>
                <w:szCs w:val="20"/>
              </w:rPr>
            </w:pPr>
            <w:r w:rsidRPr="00C47F2F">
              <w:rPr>
                <w:noProof/>
                <w:sz w:val="20"/>
                <w:szCs w:val="20"/>
              </w:rPr>
              <w:t>8.68E-01</w:t>
            </w:r>
          </w:p>
        </w:tc>
        <w:tc>
          <w:tcPr>
            <w:tcW w:w="1006" w:type="dxa"/>
            <w:shd w:val="clear" w:color="auto" w:fill="auto"/>
            <w:noWrap/>
            <w:vAlign w:val="center"/>
          </w:tcPr>
          <w:p w14:paraId="71C9EF69" w14:textId="77777777" w:rsidR="00195D93" w:rsidRPr="00C47F2F" w:rsidRDefault="00195D93" w:rsidP="006243FB">
            <w:pPr>
              <w:pStyle w:val="Table"/>
              <w:rPr>
                <w:noProof/>
                <w:sz w:val="20"/>
                <w:szCs w:val="20"/>
              </w:rPr>
            </w:pPr>
            <w:r w:rsidRPr="00C47F2F">
              <w:rPr>
                <w:noProof/>
                <w:sz w:val="20"/>
                <w:szCs w:val="20"/>
              </w:rPr>
              <w:t>8.68E-01</w:t>
            </w:r>
          </w:p>
        </w:tc>
        <w:tc>
          <w:tcPr>
            <w:tcW w:w="1006" w:type="dxa"/>
            <w:shd w:val="clear" w:color="auto" w:fill="auto"/>
            <w:noWrap/>
            <w:vAlign w:val="center"/>
          </w:tcPr>
          <w:p w14:paraId="6AF289BA" w14:textId="77777777" w:rsidR="00195D93" w:rsidRPr="00C47F2F" w:rsidRDefault="00195D93" w:rsidP="006243FB">
            <w:pPr>
              <w:pStyle w:val="Table"/>
              <w:rPr>
                <w:noProof/>
                <w:sz w:val="20"/>
                <w:szCs w:val="20"/>
              </w:rPr>
            </w:pPr>
            <w:r w:rsidRPr="00C47F2F">
              <w:rPr>
                <w:noProof/>
                <w:sz w:val="20"/>
                <w:szCs w:val="20"/>
              </w:rPr>
              <w:t>8.68E-01</w:t>
            </w:r>
          </w:p>
        </w:tc>
        <w:tc>
          <w:tcPr>
            <w:tcW w:w="1001" w:type="dxa"/>
            <w:shd w:val="clear" w:color="auto" w:fill="auto"/>
            <w:noWrap/>
            <w:vAlign w:val="center"/>
          </w:tcPr>
          <w:p w14:paraId="759A84B3" w14:textId="77777777" w:rsidR="00195D93" w:rsidRPr="00C47F2F" w:rsidRDefault="00195D93" w:rsidP="006243FB">
            <w:pPr>
              <w:pStyle w:val="Table"/>
              <w:rPr>
                <w:noProof/>
                <w:sz w:val="20"/>
                <w:szCs w:val="20"/>
              </w:rPr>
            </w:pPr>
            <w:r w:rsidRPr="00C47F2F">
              <w:rPr>
                <w:noProof/>
                <w:sz w:val="20"/>
                <w:szCs w:val="20"/>
              </w:rPr>
              <w:t>8.68E-01</w:t>
            </w:r>
          </w:p>
        </w:tc>
      </w:tr>
      <w:tr w:rsidR="00195D93" w:rsidRPr="00972C81" w14:paraId="220BE7F9" w14:textId="77777777" w:rsidTr="006243FB">
        <w:trPr>
          <w:trHeight w:val="340"/>
        </w:trPr>
        <w:tc>
          <w:tcPr>
            <w:tcW w:w="2992" w:type="dxa"/>
            <w:shd w:val="clear" w:color="auto" w:fill="auto"/>
            <w:noWrap/>
            <w:vAlign w:val="center"/>
          </w:tcPr>
          <w:p w14:paraId="47E9F114" w14:textId="5611CED8" w:rsidR="00195D93" w:rsidRPr="00195D93" w:rsidRDefault="00195D93" w:rsidP="006243FB">
            <w:pPr>
              <w:pStyle w:val="Table"/>
              <w:rPr>
                <w:noProof/>
                <w:sz w:val="20"/>
                <w:szCs w:val="22"/>
              </w:rPr>
            </w:pPr>
            <w:r w:rsidRPr="00195D93">
              <w:rPr>
                <w:noProof/>
                <w:sz w:val="20"/>
                <w:szCs w:val="22"/>
              </w:rPr>
              <w:t>Blood to  ST2</w:t>
            </w:r>
          </w:p>
        </w:tc>
        <w:tc>
          <w:tcPr>
            <w:tcW w:w="1010" w:type="dxa"/>
            <w:shd w:val="clear" w:color="auto" w:fill="auto"/>
            <w:noWrap/>
            <w:vAlign w:val="center"/>
          </w:tcPr>
          <w:p w14:paraId="74D25671" w14:textId="77777777" w:rsidR="00195D93" w:rsidRPr="00C47F2F" w:rsidRDefault="00195D93" w:rsidP="006243FB">
            <w:pPr>
              <w:pStyle w:val="Table"/>
              <w:rPr>
                <w:noProof/>
                <w:sz w:val="20"/>
                <w:szCs w:val="20"/>
              </w:rPr>
            </w:pPr>
            <w:r w:rsidRPr="00C47F2F">
              <w:rPr>
                <w:noProof/>
                <w:sz w:val="20"/>
                <w:szCs w:val="20"/>
              </w:rPr>
              <w:t>2.33E-01</w:t>
            </w:r>
          </w:p>
        </w:tc>
        <w:tc>
          <w:tcPr>
            <w:tcW w:w="1006" w:type="dxa"/>
            <w:shd w:val="clear" w:color="auto" w:fill="auto"/>
            <w:noWrap/>
            <w:vAlign w:val="center"/>
          </w:tcPr>
          <w:p w14:paraId="444B2682" w14:textId="77777777" w:rsidR="00195D93" w:rsidRPr="00C47F2F" w:rsidRDefault="00195D93" w:rsidP="006243FB">
            <w:pPr>
              <w:pStyle w:val="Table"/>
              <w:rPr>
                <w:noProof/>
                <w:sz w:val="20"/>
                <w:szCs w:val="20"/>
              </w:rPr>
            </w:pPr>
            <w:r w:rsidRPr="00C47F2F">
              <w:rPr>
                <w:noProof/>
                <w:sz w:val="20"/>
                <w:szCs w:val="20"/>
              </w:rPr>
              <w:t>2.33E-01</w:t>
            </w:r>
          </w:p>
        </w:tc>
        <w:tc>
          <w:tcPr>
            <w:tcW w:w="1006" w:type="dxa"/>
            <w:shd w:val="clear" w:color="auto" w:fill="auto"/>
            <w:noWrap/>
            <w:vAlign w:val="center"/>
          </w:tcPr>
          <w:p w14:paraId="12113401" w14:textId="77777777" w:rsidR="00195D93" w:rsidRPr="00C47F2F" w:rsidRDefault="00195D93" w:rsidP="006243FB">
            <w:pPr>
              <w:pStyle w:val="Table"/>
              <w:rPr>
                <w:noProof/>
                <w:sz w:val="20"/>
                <w:szCs w:val="20"/>
              </w:rPr>
            </w:pPr>
            <w:r w:rsidRPr="00C47F2F">
              <w:rPr>
                <w:noProof/>
                <w:sz w:val="20"/>
                <w:szCs w:val="20"/>
              </w:rPr>
              <w:t>2.33E-01</w:t>
            </w:r>
          </w:p>
        </w:tc>
        <w:tc>
          <w:tcPr>
            <w:tcW w:w="1006" w:type="dxa"/>
            <w:shd w:val="clear" w:color="auto" w:fill="auto"/>
            <w:noWrap/>
            <w:vAlign w:val="center"/>
          </w:tcPr>
          <w:p w14:paraId="3904B79F" w14:textId="77777777" w:rsidR="00195D93" w:rsidRPr="00C47F2F" w:rsidRDefault="00195D93" w:rsidP="006243FB">
            <w:pPr>
              <w:pStyle w:val="Table"/>
              <w:rPr>
                <w:noProof/>
                <w:sz w:val="20"/>
                <w:szCs w:val="20"/>
              </w:rPr>
            </w:pPr>
            <w:r w:rsidRPr="00C47F2F">
              <w:rPr>
                <w:noProof/>
                <w:sz w:val="20"/>
                <w:szCs w:val="20"/>
              </w:rPr>
              <w:t>2.33E-01</w:t>
            </w:r>
          </w:p>
        </w:tc>
        <w:tc>
          <w:tcPr>
            <w:tcW w:w="1006" w:type="dxa"/>
            <w:shd w:val="clear" w:color="auto" w:fill="auto"/>
            <w:noWrap/>
            <w:vAlign w:val="center"/>
          </w:tcPr>
          <w:p w14:paraId="05051D84" w14:textId="77777777" w:rsidR="00195D93" w:rsidRPr="00C47F2F" w:rsidRDefault="00195D93" w:rsidP="006243FB">
            <w:pPr>
              <w:pStyle w:val="Table"/>
              <w:rPr>
                <w:noProof/>
                <w:sz w:val="20"/>
                <w:szCs w:val="20"/>
              </w:rPr>
            </w:pPr>
            <w:r w:rsidRPr="00C47F2F">
              <w:rPr>
                <w:noProof/>
                <w:sz w:val="20"/>
                <w:szCs w:val="20"/>
              </w:rPr>
              <w:t>2.33E-01</w:t>
            </w:r>
          </w:p>
        </w:tc>
        <w:tc>
          <w:tcPr>
            <w:tcW w:w="1001" w:type="dxa"/>
            <w:shd w:val="clear" w:color="auto" w:fill="auto"/>
            <w:noWrap/>
            <w:vAlign w:val="center"/>
          </w:tcPr>
          <w:p w14:paraId="304A00C2" w14:textId="77777777" w:rsidR="00195D93" w:rsidRPr="00C47F2F" w:rsidRDefault="00195D93" w:rsidP="006243FB">
            <w:pPr>
              <w:pStyle w:val="Table"/>
              <w:rPr>
                <w:noProof/>
                <w:sz w:val="20"/>
                <w:szCs w:val="20"/>
              </w:rPr>
            </w:pPr>
            <w:r w:rsidRPr="00C47F2F">
              <w:rPr>
                <w:noProof/>
                <w:sz w:val="20"/>
                <w:szCs w:val="20"/>
              </w:rPr>
              <w:t>2.33E-01</w:t>
            </w:r>
          </w:p>
        </w:tc>
      </w:tr>
      <w:tr w:rsidR="00195D93" w:rsidRPr="00972C81" w14:paraId="5C7E2363" w14:textId="77777777" w:rsidTr="006243FB">
        <w:trPr>
          <w:trHeight w:val="340"/>
        </w:trPr>
        <w:tc>
          <w:tcPr>
            <w:tcW w:w="2992" w:type="dxa"/>
            <w:shd w:val="clear" w:color="auto" w:fill="auto"/>
            <w:noWrap/>
            <w:vAlign w:val="center"/>
          </w:tcPr>
          <w:p w14:paraId="3DCEF899" w14:textId="1B068876" w:rsidR="00195D93" w:rsidRPr="00195D93" w:rsidRDefault="00195D93" w:rsidP="006243FB">
            <w:pPr>
              <w:pStyle w:val="Table"/>
              <w:rPr>
                <w:noProof/>
                <w:sz w:val="20"/>
                <w:szCs w:val="22"/>
              </w:rPr>
            </w:pPr>
            <w:r w:rsidRPr="00195D93">
              <w:rPr>
                <w:noProof/>
                <w:sz w:val="20"/>
                <w:szCs w:val="22"/>
              </w:rPr>
              <w:t>Blood to Cort bone surf</w:t>
            </w:r>
          </w:p>
        </w:tc>
        <w:tc>
          <w:tcPr>
            <w:tcW w:w="1010" w:type="dxa"/>
            <w:shd w:val="clear" w:color="auto" w:fill="auto"/>
            <w:noWrap/>
            <w:vAlign w:val="center"/>
          </w:tcPr>
          <w:p w14:paraId="4823E7D0" w14:textId="77777777" w:rsidR="00195D93" w:rsidRPr="00C47F2F" w:rsidRDefault="00195D93" w:rsidP="006243FB">
            <w:pPr>
              <w:pStyle w:val="Table"/>
              <w:rPr>
                <w:noProof/>
                <w:sz w:val="20"/>
                <w:szCs w:val="20"/>
              </w:rPr>
            </w:pPr>
            <w:r w:rsidRPr="00C47F2F">
              <w:rPr>
                <w:noProof/>
                <w:sz w:val="20"/>
                <w:szCs w:val="20"/>
              </w:rPr>
              <w:t>3.78E+00</w:t>
            </w:r>
          </w:p>
        </w:tc>
        <w:tc>
          <w:tcPr>
            <w:tcW w:w="1006" w:type="dxa"/>
            <w:shd w:val="clear" w:color="auto" w:fill="auto"/>
            <w:noWrap/>
            <w:vAlign w:val="center"/>
          </w:tcPr>
          <w:p w14:paraId="2480F56C" w14:textId="77777777" w:rsidR="00195D93" w:rsidRPr="00C47F2F" w:rsidRDefault="00195D93" w:rsidP="006243FB">
            <w:pPr>
              <w:pStyle w:val="Table"/>
              <w:rPr>
                <w:noProof/>
                <w:sz w:val="20"/>
                <w:szCs w:val="20"/>
              </w:rPr>
            </w:pPr>
            <w:r w:rsidRPr="00C47F2F">
              <w:rPr>
                <w:noProof/>
                <w:sz w:val="20"/>
                <w:szCs w:val="20"/>
              </w:rPr>
              <w:t>3.78E+00</w:t>
            </w:r>
          </w:p>
        </w:tc>
        <w:tc>
          <w:tcPr>
            <w:tcW w:w="1006" w:type="dxa"/>
            <w:shd w:val="clear" w:color="auto" w:fill="auto"/>
            <w:noWrap/>
            <w:vAlign w:val="center"/>
          </w:tcPr>
          <w:p w14:paraId="0254086E" w14:textId="77777777" w:rsidR="00195D93" w:rsidRPr="00C47F2F" w:rsidRDefault="00195D93" w:rsidP="006243FB">
            <w:pPr>
              <w:pStyle w:val="Table"/>
              <w:rPr>
                <w:noProof/>
                <w:sz w:val="20"/>
                <w:szCs w:val="20"/>
              </w:rPr>
            </w:pPr>
            <w:r w:rsidRPr="00C47F2F">
              <w:rPr>
                <w:noProof/>
                <w:sz w:val="20"/>
                <w:szCs w:val="20"/>
              </w:rPr>
              <w:t>3.49E+00</w:t>
            </w:r>
          </w:p>
        </w:tc>
        <w:tc>
          <w:tcPr>
            <w:tcW w:w="1006" w:type="dxa"/>
            <w:shd w:val="clear" w:color="auto" w:fill="auto"/>
            <w:noWrap/>
            <w:vAlign w:val="center"/>
          </w:tcPr>
          <w:p w14:paraId="6CD40F6B" w14:textId="77777777" w:rsidR="00195D93" w:rsidRPr="00C47F2F" w:rsidRDefault="00195D93" w:rsidP="006243FB">
            <w:pPr>
              <w:pStyle w:val="Table"/>
              <w:rPr>
                <w:noProof/>
                <w:sz w:val="20"/>
                <w:szCs w:val="20"/>
              </w:rPr>
            </w:pPr>
            <w:r w:rsidRPr="00C47F2F">
              <w:rPr>
                <w:noProof/>
                <w:sz w:val="20"/>
                <w:szCs w:val="20"/>
              </w:rPr>
              <w:t>3.49E+00</w:t>
            </w:r>
          </w:p>
        </w:tc>
        <w:tc>
          <w:tcPr>
            <w:tcW w:w="1006" w:type="dxa"/>
            <w:shd w:val="clear" w:color="auto" w:fill="auto"/>
            <w:noWrap/>
            <w:vAlign w:val="center"/>
          </w:tcPr>
          <w:p w14:paraId="1E606334" w14:textId="77777777" w:rsidR="00195D93" w:rsidRPr="00C47F2F" w:rsidRDefault="00195D93" w:rsidP="006243FB">
            <w:pPr>
              <w:pStyle w:val="Table"/>
              <w:rPr>
                <w:noProof/>
                <w:sz w:val="20"/>
                <w:szCs w:val="20"/>
              </w:rPr>
            </w:pPr>
            <w:r w:rsidRPr="00C47F2F">
              <w:rPr>
                <w:noProof/>
                <w:sz w:val="20"/>
                <w:szCs w:val="20"/>
              </w:rPr>
              <w:t>3.49E+00</w:t>
            </w:r>
          </w:p>
        </w:tc>
        <w:tc>
          <w:tcPr>
            <w:tcW w:w="1001" w:type="dxa"/>
            <w:shd w:val="clear" w:color="auto" w:fill="auto"/>
            <w:noWrap/>
            <w:vAlign w:val="center"/>
          </w:tcPr>
          <w:p w14:paraId="72CA7883" w14:textId="77777777" w:rsidR="00195D93" w:rsidRPr="00C47F2F" w:rsidRDefault="00195D93" w:rsidP="006243FB">
            <w:pPr>
              <w:pStyle w:val="Table"/>
              <w:rPr>
                <w:noProof/>
                <w:sz w:val="20"/>
                <w:szCs w:val="20"/>
              </w:rPr>
            </w:pPr>
            <w:r w:rsidRPr="00C47F2F">
              <w:rPr>
                <w:noProof/>
                <w:sz w:val="20"/>
                <w:szCs w:val="20"/>
              </w:rPr>
              <w:t>3.20E+00</w:t>
            </w:r>
          </w:p>
        </w:tc>
      </w:tr>
      <w:tr w:rsidR="00195D93" w:rsidRPr="00972C81" w14:paraId="58E6B6C8" w14:textId="77777777" w:rsidTr="006243FB">
        <w:trPr>
          <w:trHeight w:val="340"/>
        </w:trPr>
        <w:tc>
          <w:tcPr>
            <w:tcW w:w="2992" w:type="dxa"/>
            <w:shd w:val="clear" w:color="auto" w:fill="auto"/>
            <w:noWrap/>
            <w:vAlign w:val="center"/>
          </w:tcPr>
          <w:p w14:paraId="6E207915" w14:textId="7C54CB53" w:rsidR="00195D93" w:rsidRPr="00195D93" w:rsidRDefault="00195D93" w:rsidP="006243FB">
            <w:pPr>
              <w:pStyle w:val="Table"/>
              <w:rPr>
                <w:noProof/>
                <w:sz w:val="20"/>
                <w:szCs w:val="22"/>
              </w:rPr>
            </w:pPr>
            <w:r w:rsidRPr="00195D93">
              <w:rPr>
                <w:noProof/>
                <w:sz w:val="20"/>
                <w:szCs w:val="22"/>
              </w:rPr>
              <w:t>Blood to Trab bone surf</w:t>
            </w:r>
          </w:p>
        </w:tc>
        <w:tc>
          <w:tcPr>
            <w:tcW w:w="1010" w:type="dxa"/>
            <w:shd w:val="clear" w:color="auto" w:fill="auto"/>
            <w:noWrap/>
            <w:vAlign w:val="center"/>
          </w:tcPr>
          <w:p w14:paraId="6ED21EF3" w14:textId="77777777" w:rsidR="00195D93" w:rsidRPr="00C47F2F" w:rsidRDefault="00195D93" w:rsidP="006243FB">
            <w:pPr>
              <w:pStyle w:val="Table"/>
              <w:rPr>
                <w:noProof/>
                <w:sz w:val="20"/>
                <w:szCs w:val="20"/>
              </w:rPr>
            </w:pPr>
            <w:r w:rsidRPr="00C47F2F">
              <w:rPr>
                <w:noProof/>
                <w:sz w:val="20"/>
                <w:szCs w:val="20"/>
              </w:rPr>
              <w:t>3.78E+00</w:t>
            </w:r>
          </w:p>
        </w:tc>
        <w:tc>
          <w:tcPr>
            <w:tcW w:w="1006" w:type="dxa"/>
            <w:shd w:val="clear" w:color="auto" w:fill="auto"/>
            <w:noWrap/>
            <w:vAlign w:val="center"/>
          </w:tcPr>
          <w:p w14:paraId="0DFA47F1" w14:textId="77777777" w:rsidR="00195D93" w:rsidRPr="00C47F2F" w:rsidRDefault="00195D93" w:rsidP="006243FB">
            <w:pPr>
              <w:pStyle w:val="Table"/>
              <w:rPr>
                <w:noProof/>
                <w:sz w:val="20"/>
                <w:szCs w:val="20"/>
              </w:rPr>
            </w:pPr>
            <w:r w:rsidRPr="00C47F2F">
              <w:rPr>
                <w:noProof/>
                <w:sz w:val="20"/>
                <w:szCs w:val="20"/>
              </w:rPr>
              <w:t>3.78E+00</w:t>
            </w:r>
          </w:p>
        </w:tc>
        <w:tc>
          <w:tcPr>
            <w:tcW w:w="1006" w:type="dxa"/>
            <w:shd w:val="clear" w:color="auto" w:fill="auto"/>
            <w:noWrap/>
            <w:vAlign w:val="center"/>
          </w:tcPr>
          <w:p w14:paraId="55A69F2C" w14:textId="77777777" w:rsidR="00195D93" w:rsidRPr="00C47F2F" w:rsidRDefault="00195D93" w:rsidP="006243FB">
            <w:pPr>
              <w:pStyle w:val="Table"/>
              <w:rPr>
                <w:noProof/>
                <w:sz w:val="20"/>
                <w:szCs w:val="20"/>
              </w:rPr>
            </w:pPr>
            <w:r w:rsidRPr="00C47F2F">
              <w:rPr>
                <w:noProof/>
                <w:sz w:val="20"/>
                <w:szCs w:val="20"/>
              </w:rPr>
              <w:t>3.49E+00</w:t>
            </w:r>
          </w:p>
        </w:tc>
        <w:tc>
          <w:tcPr>
            <w:tcW w:w="1006" w:type="dxa"/>
            <w:shd w:val="clear" w:color="auto" w:fill="auto"/>
            <w:noWrap/>
            <w:vAlign w:val="center"/>
          </w:tcPr>
          <w:p w14:paraId="743544C8" w14:textId="77777777" w:rsidR="00195D93" w:rsidRPr="00C47F2F" w:rsidRDefault="00195D93" w:rsidP="006243FB">
            <w:pPr>
              <w:pStyle w:val="Table"/>
              <w:rPr>
                <w:noProof/>
                <w:sz w:val="20"/>
                <w:szCs w:val="20"/>
              </w:rPr>
            </w:pPr>
            <w:r w:rsidRPr="00C47F2F">
              <w:rPr>
                <w:noProof/>
                <w:sz w:val="20"/>
                <w:szCs w:val="20"/>
              </w:rPr>
              <w:t>3.49E+00</w:t>
            </w:r>
          </w:p>
        </w:tc>
        <w:tc>
          <w:tcPr>
            <w:tcW w:w="1006" w:type="dxa"/>
            <w:shd w:val="clear" w:color="auto" w:fill="auto"/>
            <w:noWrap/>
            <w:vAlign w:val="center"/>
          </w:tcPr>
          <w:p w14:paraId="3A9C98C7" w14:textId="77777777" w:rsidR="00195D93" w:rsidRPr="00C47F2F" w:rsidRDefault="00195D93" w:rsidP="006243FB">
            <w:pPr>
              <w:pStyle w:val="Table"/>
              <w:rPr>
                <w:noProof/>
                <w:sz w:val="20"/>
                <w:szCs w:val="20"/>
              </w:rPr>
            </w:pPr>
            <w:r w:rsidRPr="00C47F2F">
              <w:rPr>
                <w:noProof/>
                <w:sz w:val="20"/>
                <w:szCs w:val="20"/>
              </w:rPr>
              <w:t>3.49E+00</w:t>
            </w:r>
          </w:p>
        </w:tc>
        <w:tc>
          <w:tcPr>
            <w:tcW w:w="1001" w:type="dxa"/>
            <w:shd w:val="clear" w:color="auto" w:fill="auto"/>
            <w:noWrap/>
            <w:vAlign w:val="center"/>
          </w:tcPr>
          <w:p w14:paraId="249DE854" w14:textId="77777777" w:rsidR="00195D93" w:rsidRPr="00C47F2F" w:rsidRDefault="00195D93" w:rsidP="006243FB">
            <w:pPr>
              <w:pStyle w:val="Table"/>
              <w:rPr>
                <w:noProof/>
                <w:sz w:val="20"/>
                <w:szCs w:val="20"/>
              </w:rPr>
            </w:pPr>
            <w:r w:rsidRPr="00C47F2F">
              <w:rPr>
                <w:noProof/>
                <w:sz w:val="20"/>
                <w:szCs w:val="20"/>
              </w:rPr>
              <w:t>3.20E+00</w:t>
            </w:r>
          </w:p>
        </w:tc>
      </w:tr>
      <w:tr w:rsidR="00195D93" w:rsidRPr="00972C81" w14:paraId="1FB5A3E8" w14:textId="77777777" w:rsidTr="006243FB">
        <w:trPr>
          <w:trHeight w:val="340"/>
        </w:trPr>
        <w:tc>
          <w:tcPr>
            <w:tcW w:w="2992" w:type="dxa"/>
            <w:shd w:val="clear" w:color="auto" w:fill="auto"/>
            <w:noWrap/>
            <w:vAlign w:val="center"/>
          </w:tcPr>
          <w:p w14:paraId="25FEEF73" w14:textId="6639D583" w:rsidR="00195D93" w:rsidRPr="00195D93" w:rsidRDefault="00195D93" w:rsidP="006243FB">
            <w:pPr>
              <w:pStyle w:val="Table"/>
              <w:rPr>
                <w:noProof/>
                <w:sz w:val="20"/>
                <w:szCs w:val="22"/>
              </w:rPr>
            </w:pPr>
            <w:r w:rsidRPr="00195D93">
              <w:rPr>
                <w:noProof/>
                <w:sz w:val="20"/>
                <w:szCs w:val="22"/>
              </w:rPr>
              <w:t>Blood to Kidneys 1</w:t>
            </w:r>
          </w:p>
        </w:tc>
        <w:tc>
          <w:tcPr>
            <w:tcW w:w="1010" w:type="dxa"/>
            <w:shd w:val="clear" w:color="auto" w:fill="auto"/>
            <w:noWrap/>
            <w:vAlign w:val="center"/>
          </w:tcPr>
          <w:p w14:paraId="4034CB9F" w14:textId="77777777" w:rsidR="00195D93" w:rsidRPr="00C47F2F" w:rsidRDefault="00195D93" w:rsidP="006243FB">
            <w:pPr>
              <w:pStyle w:val="Table"/>
              <w:rPr>
                <w:noProof/>
                <w:sz w:val="20"/>
                <w:szCs w:val="20"/>
              </w:rPr>
            </w:pPr>
            <w:r w:rsidRPr="00C47F2F">
              <w:rPr>
                <w:noProof/>
                <w:sz w:val="20"/>
                <w:szCs w:val="20"/>
              </w:rPr>
              <w:t>1.16E-01</w:t>
            </w:r>
          </w:p>
        </w:tc>
        <w:tc>
          <w:tcPr>
            <w:tcW w:w="1006" w:type="dxa"/>
            <w:shd w:val="clear" w:color="auto" w:fill="auto"/>
            <w:noWrap/>
            <w:vAlign w:val="center"/>
          </w:tcPr>
          <w:p w14:paraId="4474591F" w14:textId="77777777" w:rsidR="00195D93" w:rsidRPr="00C47F2F" w:rsidRDefault="00195D93" w:rsidP="006243FB">
            <w:pPr>
              <w:pStyle w:val="Table"/>
              <w:rPr>
                <w:noProof/>
                <w:sz w:val="20"/>
                <w:szCs w:val="20"/>
              </w:rPr>
            </w:pPr>
            <w:r w:rsidRPr="00C47F2F">
              <w:rPr>
                <w:noProof/>
                <w:sz w:val="20"/>
                <w:szCs w:val="20"/>
              </w:rPr>
              <w:t>1.16E-01</w:t>
            </w:r>
          </w:p>
        </w:tc>
        <w:tc>
          <w:tcPr>
            <w:tcW w:w="1006" w:type="dxa"/>
            <w:shd w:val="clear" w:color="auto" w:fill="auto"/>
            <w:noWrap/>
            <w:vAlign w:val="center"/>
          </w:tcPr>
          <w:p w14:paraId="3E8BC33E" w14:textId="77777777" w:rsidR="00195D93" w:rsidRPr="00C47F2F" w:rsidRDefault="00195D93" w:rsidP="006243FB">
            <w:pPr>
              <w:pStyle w:val="Table"/>
              <w:rPr>
                <w:noProof/>
                <w:sz w:val="20"/>
                <w:szCs w:val="20"/>
              </w:rPr>
            </w:pPr>
            <w:r w:rsidRPr="00C47F2F">
              <w:rPr>
                <w:noProof/>
                <w:sz w:val="20"/>
                <w:szCs w:val="20"/>
              </w:rPr>
              <w:t>1.16E-01</w:t>
            </w:r>
          </w:p>
        </w:tc>
        <w:tc>
          <w:tcPr>
            <w:tcW w:w="1006" w:type="dxa"/>
            <w:shd w:val="clear" w:color="auto" w:fill="auto"/>
            <w:noWrap/>
            <w:vAlign w:val="center"/>
          </w:tcPr>
          <w:p w14:paraId="12CDF838" w14:textId="77777777" w:rsidR="00195D93" w:rsidRPr="00C47F2F" w:rsidRDefault="00195D93" w:rsidP="006243FB">
            <w:pPr>
              <w:pStyle w:val="Table"/>
              <w:rPr>
                <w:noProof/>
                <w:sz w:val="20"/>
                <w:szCs w:val="20"/>
              </w:rPr>
            </w:pPr>
            <w:r w:rsidRPr="00C47F2F">
              <w:rPr>
                <w:noProof/>
                <w:sz w:val="20"/>
                <w:szCs w:val="20"/>
              </w:rPr>
              <w:t>1.16E-01</w:t>
            </w:r>
          </w:p>
        </w:tc>
        <w:tc>
          <w:tcPr>
            <w:tcW w:w="1006" w:type="dxa"/>
            <w:shd w:val="clear" w:color="auto" w:fill="auto"/>
            <w:noWrap/>
            <w:vAlign w:val="center"/>
          </w:tcPr>
          <w:p w14:paraId="02B835E5" w14:textId="77777777" w:rsidR="00195D93" w:rsidRPr="00C47F2F" w:rsidRDefault="00195D93" w:rsidP="006243FB">
            <w:pPr>
              <w:pStyle w:val="Table"/>
              <w:rPr>
                <w:noProof/>
                <w:sz w:val="20"/>
                <w:szCs w:val="20"/>
              </w:rPr>
            </w:pPr>
            <w:r w:rsidRPr="00C47F2F">
              <w:rPr>
                <w:noProof/>
                <w:sz w:val="20"/>
                <w:szCs w:val="20"/>
              </w:rPr>
              <w:t>1.16E-01</w:t>
            </w:r>
          </w:p>
        </w:tc>
        <w:tc>
          <w:tcPr>
            <w:tcW w:w="1001" w:type="dxa"/>
            <w:shd w:val="clear" w:color="auto" w:fill="auto"/>
            <w:noWrap/>
            <w:vAlign w:val="center"/>
          </w:tcPr>
          <w:p w14:paraId="6FF8327C" w14:textId="77777777" w:rsidR="00195D93" w:rsidRPr="00C47F2F" w:rsidRDefault="00195D93" w:rsidP="006243FB">
            <w:pPr>
              <w:pStyle w:val="Table"/>
              <w:rPr>
                <w:noProof/>
                <w:sz w:val="20"/>
                <w:szCs w:val="20"/>
              </w:rPr>
            </w:pPr>
            <w:r w:rsidRPr="00C47F2F">
              <w:rPr>
                <w:noProof/>
                <w:sz w:val="20"/>
                <w:szCs w:val="20"/>
              </w:rPr>
              <w:t>1.16E-01</w:t>
            </w:r>
          </w:p>
        </w:tc>
      </w:tr>
      <w:tr w:rsidR="00195D93" w:rsidRPr="00972C81" w14:paraId="723F19EF" w14:textId="77777777" w:rsidTr="006243FB">
        <w:trPr>
          <w:trHeight w:val="340"/>
        </w:trPr>
        <w:tc>
          <w:tcPr>
            <w:tcW w:w="2992" w:type="dxa"/>
            <w:shd w:val="clear" w:color="auto" w:fill="auto"/>
            <w:noWrap/>
            <w:vAlign w:val="center"/>
          </w:tcPr>
          <w:p w14:paraId="165DB20F" w14:textId="2C0874C7" w:rsidR="00195D93" w:rsidRPr="00195D93" w:rsidRDefault="00195D93" w:rsidP="006243FB">
            <w:pPr>
              <w:pStyle w:val="Table"/>
              <w:rPr>
                <w:noProof/>
                <w:sz w:val="20"/>
                <w:szCs w:val="22"/>
              </w:rPr>
            </w:pPr>
            <w:r w:rsidRPr="00195D93">
              <w:rPr>
                <w:noProof/>
                <w:sz w:val="20"/>
                <w:szCs w:val="22"/>
              </w:rPr>
              <w:t>Blood to Right colon cont</w:t>
            </w:r>
          </w:p>
        </w:tc>
        <w:tc>
          <w:tcPr>
            <w:tcW w:w="1010" w:type="dxa"/>
            <w:shd w:val="clear" w:color="auto" w:fill="auto"/>
            <w:noWrap/>
            <w:vAlign w:val="center"/>
          </w:tcPr>
          <w:p w14:paraId="23849476" w14:textId="77777777" w:rsidR="00195D93" w:rsidRPr="00C47F2F" w:rsidRDefault="00195D93" w:rsidP="006243FB">
            <w:pPr>
              <w:pStyle w:val="Table"/>
              <w:rPr>
                <w:noProof/>
                <w:sz w:val="20"/>
                <w:szCs w:val="20"/>
              </w:rPr>
            </w:pPr>
            <w:r w:rsidRPr="00C47F2F">
              <w:rPr>
                <w:noProof/>
                <w:sz w:val="20"/>
                <w:szCs w:val="20"/>
              </w:rPr>
              <w:t>6.99E-01</w:t>
            </w:r>
          </w:p>
        </w:tc>
        <w:tc>
          <w:tcPr>
            <w:tcW w:w="1006" w:type="dxa"/>
            <w:shd w:val="clear" w:color="auto" w:fill="auto"/>
            <w:noWrap/>
            <w:vAlign w:val="center"/>
          </w:tcPr>
          <w:p w14:paraId="30403062" w14:textId="77777777" w:rsidR="00195D93" w:rsidRPr="00C47F2F" w:rsidRDefault="00195D93" w:rsidP="006243FB">
            <w:pPr>
              <w:pStyle w:val="Table"/>
              <w:rPr>
                <w:noProof/>
                <w:sz w:val="20"/>
                <w:szCs w:val="20"/>
              </w:rPr>
            </w:pPr>
            <w:r w:rsidRPr="00C47F2F">
              <w:rPr>
                <w:noProof/>
                <w:sz w:val="20"/>
                <w:szCs w:val="20"/>
              </w:rPr>
              <w:t>6.99E-01</w:t>
            </w:r>
          </w:p>
        </w:tc>
        <w:tc>
          <w:tcPr>
            <w:tcW w:w="1006" w:type="dxa"/>
            <w:shd w:val="clear" w:color="auto" w:fill="auto"/>
            <w:noWrap/>
            <w:vAlign w:val="center"/>
          </w:tcPr>
          <w:p w14:paraId="298CFE50" w14:textId="77777777" w:rsidR="00195D93" w:rsidRPr="00C47F2F" w:rsidRDefault="00195D93" w:rsidP="006243FB">
            <w:pPr>
              <w:pStyle w:val="Table"/>
              <w:rPr>
                <w:noProof/>
                <w:sz w:val="20"/>
                <w:szCs w:val="20"/>
              </w:rPr>
            </w:pPr>
            <w:r w:rsidRPr="00C47F2F">
              <w:rPr>
                <w:noProof/>
                <w:sz w:val="20"/>
                <w:szCs w:val="20"/>
              </w:rPr>
              <w:t>6.99E-01</w:t>
            </w:r>
          </w:p>
        </w:tc>
        <w:tc>
          <w:tcPr>
            <w:tcW w:w="1006" w:type="dxa"/>
            <w:shd w:val="clear" w:color="auto" w:fill="auto"/>
            <w:noWrap/>
            <w:vAlign w:val="center"/>
          </w:tcPr>
          <w:p w14:paraId="21050D52" w14:textId="77777777" w:rsidR="00195D93" w:rsidRPr="00C47F2F" w:rsidRDefault="00195D93" w:rsidP="006243FB">
            <w:pPr>
              <w:pStyle w:val="Table"/>
              <w:rPr>
                <w:noProof/>
                <w:sz w:val="20"/>
                <w:szCs w:val="20"/>
              </w:rPr>
            </w:pPr>
            <w:r w:rsidRPr="00C47F2F">
              <w:rPr>
                <w:noProof/>
                <w:sz w:val="20"/>
                <w:szCs w:val="20"/>
              </w:rPr>
              <w:t>6.99E-01</w:t>
            </w:r>
          </w:p>
        </w:tc>
        <w:tc>
          <w:tcPr>
            <w:tcW w:w="1006" w:type="dxa"/>
            <w:shd w:val="clear" w:color="auto" w:fill="auto"/>
            <w:noWrap/>
            <w:vAlign w:val="center"/>
          </w:tcPr>
          <w:p w14:paraId="59DCB67D" w14:textId="77777777" w:rsidR="00195D93" w:rsidRPr="00C47F2F" w:rsidRDefault="00195D93" w:rsidP="006243FB">
            <w:pPr>
              <w:pStyle w:val="Table"/>
              <w:rPr>
                <w:noProof/>
                <w:sz w:val="20"/>
                <w:szCs w:val="20"/>
              </w:rPr>
            </w:pPr>
            <w:r w:rsidRPr="00C47F2F">
              <w:rPr>
                <w:noProof/>
                <w:sz w:val="20"/>
                <w:szCs w:val="20"/>
              </w:rPr>
              <w:t>6.99E-01</w:t>
            </w:r>
          </w:p>
        </w:tc>
        <w:tc>
          <w:tcPr>
            <w:tcW w:w="1001" w:type="dxa"/>
            <w:shd w:val="clear" w:color="auto" w:fill="auto"/>
            <w:noWrap/>
            <w:vAlign w:val="center"/>
          </w:tcPr>
          <w:p w14:paraId="0351BFFE" w14:textId="77777777" w:rsidR="00195D93" w:rsidRPr="00C47F2F" w:rsidRDefault="00195D93" w:rsidP="006243FB">
            <w:pPr>
              <w:pStyle w:val="Table"/>
              <w:rPr>
                <w:noProof/>
                <w:sz w:val="20"/>
                <w:szCs w:val="20"/>
              </w:rPr>
            </w:pPr>
            <w:r w:rsidRPr="00C47F2F">
              <w:rPr>
                <w:noProof/>
                <w:sz w:val="20"/>
                <w:szCs w:val="20"/>
              </w:rPr>
              <w:t>6.99E-01</w:t>
            </w:r>
          </w:p>
        </w:tc>
      </w:tr>
      <w:tr w:rsidR="00195D93" w:rsidRPr="00972C81" w14:paraId="656F5612" w14:textId="77777777" w:rsidTr="006243FB">
        <w:trPr>
          <w:trHeight w:val="340"/>
        </w:trPr>
        <w:tc>
          <w:tcPr>
            <w:tcW w:w="2992" w:type="dxa"/>
            <w:shd w:val="clear" w:color="auto" w:fill="auto"/>
            <w:noWrap/>
            <w:vAlign w:val="center"/>
          </w:tcPr>
          <w:p w14:paraId="79D2DB89" w14:textId="27C6C38A" w:rsidR="00195D93" w:rsidRPr="00195D93" w:rsidRDefault="00195D93" w:rsidP="006243FB">
            <w:pPr>
              <w:pStyle w:val="Table"/>
              <w:rPr>
                <w:noProof/>
                <w:sz w:val="20"/>
                <w:szCs w:val="22"/>
              </w:rPr>
            </w:pPr>
            <w:r w:rsidRPr="00195D93">
              <w:rPr>
                <w:noProof/>
                <w:sz w:val="20"/>
                <w:szCs w:val="22"/>
              </w:rPr>
              <w:t>Blood to Kidneys 2</w:t>
            </w:r>
          </w:p>
        </w:tc>
        <w:tc>
          <w:tcPr>
            <w:tcW w:w="1010" w:type="dxa"/>
            <w:shd w:val="clear" w:color="auto" w:fill="auto"/>
            <w:noWrap/>
            <w:vAlign w:val="center"/>
          </w:tcPr>
          <w:p w14:paraId="293D1553" w14:textId="77777777" w:rsidR="00195D93" w:rsidRPr="00C47F2F" w:rsidRDefault="00195D93" w:rsidP="006243FB">
            <w:pPr>
              <w:pStyle w:val="Table"/>
              <w:rPr>
                <w:noProof/>
                <w:sz w:val="20"/>
                <w:szCs w:val="20"/>
              </w:rPr>
            </w:pPr>
            <w:r w:rsidRPr="00C47F2F">
              <w:rPr>
                <w:noProof/>
                <w:sz w:val="20"/>
                <w:szCs w:val="20"/>
              </w:rPr>
              <w:t>5.82E-02</w:t>
            </w:r>
          </w:p>
        </w:tc>
        <w:tc>
          <w:tcPr>
            <w:tcW w:w="1006" w:type="dxa"/>
            <w:shd w:val="clear" w:color="auto" w:fill="auto"/>
            <w:noWrap/>
            <w:vAlign w:val="center"/>
          </w:tcPr>
          <w:p w14:paraId="2767E30D" w14:textId="77777777" w:rsidR="00195D93" w:rsidRPr="00C47F2F" w:rsidRDefault="00195D93" w:rsidP="006243FB">
            <w:pPr>
              <w:pStyle w:val="Table"/>
              <w:rPr>
                <w:noProof/>
                <w:sz w:val="20"/>
                <w:szCs w:val="20"/>
              </w:rPr>
            </w:pPr>
            <w:r w:rsidRPr="00C47F2F">
              <w:rPr>
                <w:noProof/>
                <w:sz w:val="20"/>
                <w:szCs w:val="20"/>
              </w:rPr>
              <w:t>5.82E-02</w:t>
            </w:r>
          </w:p>
        </w:tc>
        <w:tc>
          <w:tcPr>
            <w:tcW w:w="1006" w:type="dxa"/>
            <w:shd w:val="clear" w:color="auto" w:fill="auto"/>
            <w:noWrap/>
            <w:vAlign w:val="center"/>
          </w:tcPr>
          <w:p w14:paraId="577E31A7" w14:textId="77777777" w:rsidR="00195D93" w:rsidRPr="00C47F2F" w:rsidRDefault="00195D93" w:rsidP="006243FB">
            <w:pPr>
              <w:pStyle w:val="Table"/>
              <w:rPr>
                <w:noProof/>
                <w:sz w:val="20"/>
                <w:szCs w:val="20"/>
              </w:rPr>
            </w:pPr>
            <w:r w:rsidRPr="00C47F2F">
              <w:rPr>
                <w:noProof/>
                <w:sz w:val="20"/>
                <w:szCs w:val="20"/>
              </w:rPr>
              <w:t>5.82E-02</w:t>
            </w:r>
          </w:p>
        </w:tc>
        <w:tc>
          <w:tcPr>
            <w:tcW w:w="1006" w:type="dxa"/>
            <w:shd w:val="clear" w:color="auto" w:fill="auto"/>
            <w:noWrap/>
            <w:vAlign w:val="center"/>
          </w:tcPr>
          <w:p w14:paraId="1F43BBE5" w14:textId="77777777" w:rsidR="00195D93" w:rsidRPr="00C47F2F" w:rsidRDefault="00195D93" w:rsidP="006243FB">
            <w:pPr>
              <w:pStyle w:val="Table"/>
              <w:rPr>
                <w:noProof/>
                <w:sz w:val="20"/>
                <w:szCs w:val="20"/>
              </w:rPr>
            </w:pPr>
            <w:r w:rsidRPr="00C47F2F">
              <w:rPr>
                <w:noProof/>
                <w:sz w:val="20"/>
                <w:szCs w:val="20"/>
              </w:rPr>
              <w:t>5.82E-02</w:t>
            </w:r>
          </w:p>
        </w:tc>
        <w:tc>
          <w:tcPr>
            <w:tcW w:w="1006" w:type="dxa"/>
            <w:shd w:val="clear" w:color="auto" w:fill="auto"/>
            <w:noWrap/>
            <w:vAlign w:val="center"/>
          </w:tcPr>
          <w:p w14:paraId="048C0D12" w14:textId="77777777" w:rsidR="00195D93" w:rsidRPr="00C47F2F" w:rsidRDefault="00195D93" w:rsidP="006243FB">
            <w:pPr>
              <w:pStyle w:val="Table"/>
              <w:rPr>
                <w:noProof/>
                <w:sz w:val="20"/>
                <w:szCs w:val="20"/>
              </w:rPr>
            </w:pPr>
            <w:r w:rsidRPr="00C47F2F">
              <w:rPr>
                <w:noProof/>
                <w:sz w:val="20"/>
                <w:szCs w:val="20"/>
              </w:rPr>
              <w:t>5.82E-02</w:t>
            </w:r>
          </w:p>
        </w:tc>
        <w:tc>
          <w:tcPr>
            <w:tcW w:w="1001" w:type="dxa"/>
            <w:shd w:val="clear" w:color="auto" w:fill="auto"/>
            <w:noWrap/>
            <w:vAlign w:val="center"/>
          </w:tcPr>
          <w:p w14:paraId="0BDE2CF4" w14:textId="77777777" w:rsidR="00195D93" w:rsidRPr="00C47F2F" w:rsidRDefault="00195D93" w:rsidP="006243FB">
            <w:pPr>
              <w:pStyle w:val="Table"/>
              <w:rPr>
                <w:noProof/>
                <w:sz w:val="20"/>
                <w:szCs w:val="20"/>
              </w:rPr>
            </w:pPr>
            <w:r w:rsidRPr="00C47F2F">
              <w:rPr>
                <w:noProof/>
                <w:sz w:val="20"/>
                <w:szCs w:val="20"/>
              </w:rPr>
              <w:t>5.82E-02</w:t>
            </w:r>
          </w:p>
        </w:tc>
      </w:tr>
      <w:tr w:rsidR="00195D93" w:rsidRPr="00972C81" w14:paraId="65DC6A0E" w14:textId="77777777" w:rsidTr="006243FB">
        <w:trPr>
          <w:trHeight w:val="340"/>
        </w:trPr>
        <w:tc>
          <w:tcPr>
            <w:tcW w:w="2992" w:type="dxa"/>
            <w:shd w:val="clear" w:color="auto" w:fill="auto"/>
            <w:noWrap/>
            <w:vAlign w:val="center"/>
          </w:tcPr>
          <w:p w14:paraId="7B45CAAD" w14:textId="63654B2D" w:rsidR="00195D93" w:rsidRPr="00195D93" w:rsidRDefault="00195D93" w:rsidP="006243FB">
            <w:pPr>
              <w:pStyle w:val="Table"/>
              <w:rPr>
                <w:noProof/>
                <w:sz w:val="20"/>
                <w:szCs w:val="22"/>
              </w:rPr>
            </w:pPr>
            <w:r w:rsidRPr="00195D93">
              <w:rPr>
                <w:noProof/>
                <w:sz w:val="20"/>
                <w:szCs w:val="22"/>
              </w:rPr>
              <w:t>Blood to Testes</w:t>
            </w:r>
          </w:p>
        </w:tc>
        <w:tc>
          <w:tcPr>
            <w:tcW w:w="1010" w:type="dxa"/>
            <w:shd w:val="clear" w:color="auto" w:fill="auto"/>
            <w:noWrap/>
            <w:vAlign w:val="center"/>
          </w:tcPr>
          <w:p w14:paraId="3F7D3C65" w14:textId="77777777" w:rsidR="00195D93" w:rsidRPr="00C47F2F" w:rsidRDefault="00195D93" w:rsidP="006243FB">
            <w:pPr>
              <w:pStyle w:val="Table"/>
              <w:rPr>
                <w:noProof/>
                <w:sz w:val="20"/>
                <w:szCs w:val="20"/>
              </w:rPr>
            </w:pPr>
            <w:r w:rsidRPr="00C47F2F">
              <w:rPr>
                <w:noProof/>
                <w:sz w:val="20"/>
                <w:szCs w:val="20"/>
              </w:rPr>
              <w:t>2.33E-04</w:t>
            </w:r>
          </w:p>
        </w:tc>
        <w:tc>
          <w:tcPr>
            <w:tcW w:w="1006" w:type="dxa"/>
            <w:shd w:val="clear" w:color="auto" w:fill="auto"/>
            <w:noWrap/>
            <w:vAlign w:val="center"/>
          </w:tcPr>
          <w:p w14:paraId="4282B799" w14:textId="77777777" w:rsidR="00195D93" w:rsidRPr="00C47F2F" w:rsidRDefault="00195D93" w:rsidP="006243FB">
            <w:pPr>
              <w:pStyle w:val="Table"/>
              <w:rPr>
                <w:noProof/>
                <w:sz w:val="20"/>
                <w:szCs w:val="20"/>
              </w:rPr>
            </w:pPr>
            <w:r w:rsidRPr="00C47F2F">
              <w:rPr>
                <w:noProof/>
                <w:sz w:val="20"/>
                <w:szCs w:val="20"/>
              </w:rPr>
              <w:t>3.49E-04</w:t>
            </w:r>
          </w:p>
        </w:tc>
        <w:tc>
          <w:tcPr>
            <w:tcW w:w="1006" w:type="dxa"/>
            <w:shd w:val="clear" w:color="auto" w:fill="auto"/>
            <w:noWrap/>
            <w:vAlign w:val="center"/>
          </w:tcPr>
          <w:p w14:paraId="2BCA384F" w14:textId="77777777" w:rsidR="00195D93" w:rsidRPr="00C47F2F" w:rsidRDefault="00195D93" w:rsidP="006243FB">
            <w:pPr>
              <w:pStyle w:val="Table"/>
              <w:rPr>
                <w:noProof/>
                <w:sz w:val="20"/>
                <w:szCs w:val="20"/>
              </w:rPr>
            </w:pPr>
            <w:r w:rsidRPr="00C47F2F">
              <w:rPr>
                <w:noProof/>
                <w:sz w:val="20"/>
                <w:szCs w:val="20"/>
              </w:rPr>
              <w:t>3.96E-04</w:t>
            </w:r>
          </w:p>
        </w:tc>
        <w:tc>
          <w:tcPr>
            <w:tcW w:w="1006" w:type="dxa"/>
            <w:shd w:val="clear" w:color="auto" w:fill="auto"/>
            <w:noWrap/>
            <w:vAlign w:val="center"/>
          </w:tcPr>
          <w:p w14:paraId="07DEEC5E" w14:textId="77777777" w:rsidR="00195D93" w:rsidRPr="00C47F2F" w:rsidRDefault="00195D93" w:rsidP="006243FB">
            <w:pPr>
              <w:pStyle w:val="Table"/>
              <w:rPr>
                <w:noProof/>
                <w:sz w:val="20"/>
                <w:szCs w:val="20"/>
              </w:rPr>
            </w:pPr>
            <w:r w:rsidRPr="00C47F2F">
              <w:rPr>
                <w:noProof/>
                <w:sz w:val="20"/>
                <w:szCs w:val="20"/>
              </w:rPr>
              <w:t>4.66E-04</w:t>
            </w:r>
          </w:p>
        </w:tc>
        <w:tc>
          <w:tcPr>
            <w:tcW w:w="1006" w:type="dxa"/>
            <w:shd w:val="clear" w:color="auto" w:fill="auto"/>
            <w:noWrap/>
            <w:vAlign w:val="center"/>
          </w:tcPr>
          <w:p w14:paraId="0E1E986F" w14:textId="77777777" w:rsidR="00195D93" w:rsidRPr="00C47F2F" w:rsidRDefault="00195D93" w:rsidP="006243FB">
            <w:pPr>
              <w:pStyle w:val="Table"/>
              <w:rPr>
                <w:noProof/>
                <w:sz w:val="20"/>
                <w:szCs w:val="20"/>
              </w:rPr>
            </w:pPr>
            <w:r w:rsidRPr="00C47F2F">
              <w:rPr>
                <w:noProof/>
                <w:sz w:val="20"/>
                <w:szCs w:val="20"/>
              </w:rPr>
              <w:t>3.73E-03</w:t>
            </w:r>
          </w:p>
        </w:tc>
        <w:tc>
          <w:tcPr>
            <w:tcW w:w="1001" w:type="dxa"/>
            <w:shd w:val="clear" w:color="auto" w:fill="auto"/>
            <w:noWrap/>
            <w:vAlign w:val="center"/>
          </w:tcPr>
          <w:p w14:paraId="46CA9C56" w14:textId="77777777" w:rsidR="00195D93" w:rsidRPr="00C47F2F" w:rsidRDefault="00195D93" w:rsidP="006243FB">
            <w:pPr>
              <w:pStyle w:val="Table"/>
              <w:rPr>
                <w:noProof/>
                <w:sz w:val="20"/>
                <w:szCs w:val="20"/>
              </w:rPr>
            </w:pPr>
            <w:r w:rsidRPr="00C47F2F">
              <w:rPr>
                <w:noProof/>
                <w:sz w:val="20"/>
                <w:szCs w:val="20"/>
              </w:rPr>
              <w:t>4.08E-03</w:t>
            </w:r>
          </w:p>
        </w:tc>
      </w:tr>
      <w:tr w:rsidR="00195D93" w:rsidRPr="00972C81" w14:paraId="4CFAF53E" w14:textId="77777777" w:rsidTr="006243FB">
        <w:trPr>
          <w:trHeight w:val="340"/>
        </w:trPr>
        <w:tc>
          <w:tcPr>
            <w:tcW w:w="2992" w:type="dxa"/>
            <w:shd w:val="clear" w:color="auto" w:fill="auto"/>
            <w:noWrap/>
            <w:vAlign w:val="center"/>
          </w:tcPr>
          <w:p w14:paraId="53DD7A9E" w14:textId="223BB784" w:rsidR="00195D93" w:rsidRPr="00195D93" w:rsidRDefault="00195D93" w:rsidP="006243FB">
            <w:pPr>
              <w:pStyle w:val="Table"/>
              <w:rPr>
                <w:noProof/>
                <w:sz w:val="20"/>
                <w:szCs w:val="22"/>
              </w:rPr>
            </w:pPr>
            <w:r w:rsidRPr="00195D93">
              <w:rPr>
                <w:noProof/>
                <w:sz w:val="20"/>
                <w:szCs w:val="22"/>
              </w:rPr>
              <w:t>Blood to Ovaries</w:t>
            </w:r>
          </w:p>
        </w:tc>
        <w:tc>
          <w:tcPr>
            <w:tcW w:w="1010" w:type="dxa"/>
            <w:shd w:val="clear" w:color="auto" w:fill="auto"/>
            <w:noWrap/>
            <w:vAlign w:val="center"/>
          </w:tcPr>
          <w:p w14:paraId="72B5EFF0" w14:textId="77777777" w:rsidR="00195D93" w:rsidRPr="00C47F2F" w:rsidRDefault="00195D93" w:rsidP="006243FB">
            <w:pPr>
              <w:pStyle w:val="Table"/>
              <w:rPr>
                <w:noProof/>
                <w:sz w:val="20"/>
                <w:szCs w:val="20"/>
              </w:rPr>
            </w:pPr>
            <w:r w:rsidRPr="00C47F2F">
              <w:rPr>
                <w:noProof/>
                <w:sz w:val="20"/>
                <w:szCs w:val="20"/>
              </w:rPr>
              <w:t>1.40E-04</w:t>
            </w:r>
          </w:p>
        </w:tc>
        <w:tc>
          <w:tcPr>
            <w:tcW w:w="1006" w:type="dxa"/>
            <w:shd w:val="clear" w:color="auto" w:fill="auto"/>
            <w:noWrap/>
            <w:vAlign w:val="center"/>
          </w:tcPr>
          <w:p w14:paraId="48C2C3A5" w14:textId="77777777" w:rsidR="00195D93" w:rsidRPr="00C47F2F" w:rsidRDefault="00195D93" w:rsidP="006243FB">
            <w:pPr>
              <w:pStyle w:val="Table"/>
              <w:rPr>
                <w:noProof/>
                <w:sz w:val="20"/>
                <w:szCs w:val="20"/>
              </w:rPr>
            </w:pPr>
            <w:r w:rsidRPr="00C47F2F">
              <w:rPr>
                <w:noProof/>
                <w:sz w:val="20"/>
                <w:szCs w:val="20"/>
              </w:rPr>
              <w:t>1.86E-04</w:t>
            </w:r>
          </w:p>
        </w:tc>
        <w:tc>
          <w:tcPr>
            <w:tcW w:w="1006" w:type="dxa"/>
            <w:shd w:val="clear" w:color="auto" w:fill="auto"/>
            <w:noWrap/>
            <w:vAlign w:val="center"/>
          </w:tcPr>
          <w:p w14:paraId="72D87BB6" w14:textId="77777777" w:rsidR="00195D93" w:rsidRPr="00C47F2F" w:rsidRDefault="00195D93" w:rsidP="006243FB">
            <w:pPr>
              <w:pStyle w:val="Table"/>
              <w:rPr>
                <w:noProof/>
                <w:sz w:val="20"/>
                <w:szCs w:val="20"/>
              </w:rPr>
            </w:pPr>
            <w:r w:rsidRPr="00C47F2F">
              <w:rPr>
                <w:noProof/>
                <w:sz w:val="20"/>
                <w:szCs w:val="20"/>
              </w:rPr>
              <w:t>4.66E-04</w:t>
            </w:r>
          </w:p>
        </w:tc>
        <w:tc>
          <w:tcPr>
            <w:tcW w:w="1006" w:type="dxa"/>
            <w:shd w:val="clear" w:color="auto" w:fill="auto"/>
            <w:noWrap/>
            <w:vAlign w:val="center"/>
          </w:tcPr>
          <w:p w14:paraId="760EEF19" w14:textId="77777777" w:rsidR="00195D93" w:rsidRPr="00C47F2F" w:rsidRDefault="00195D93" w:rsidP="006243FB">
            <w:pPr>
              <w:pStyle w:val="Table"/>
              <w:rPr>
                <w:noProof/>
                <w:sz w:val="20"/>
                <w:szCs w:val="20"/>
              </w:rPr>
            </w:pPr>
            <w:r w:rsidRPr="00C47F2F">
              <w:rPr>
                <w:noProof/>
                <w:sz w:val="20"/>
                <w:szCs w:val="20"/>
              </w:rPr>
              <w:t>8.15E-04</w:t>
            </w:r>
          </w:p>
        </w:tc>
        <w:tc>
          <w:tcPr>
            <w:tcW w:w="1006" w:type="dxa"/>
            <w:shd w:val="clear" w:color="auto" w:fill="auto"/>
            <w:noWrap/>
            <w:vAlign w:val="center"/>
          </w:tcPr>
          <w:p w14:paraId="35F78732" w14:textId="77777777" w:rsidR="00195D93" w:rsidRPr="00C47F2F" w:rsidRDefault="00195D93" w:rsidP="006243FB">
            <w:pPr>
              <w:pStyle w:val="Table"/>
              <w:rPr>
                <w:noProof/>
                <w:sz w:val="20"/>
                <w:szCs w:val="20"/>
              </w:rPr>
            </w:pPr>
            <w:r w:rsidRPr="00C47F2F">
              <w:rPr>
                <w:noProof/>
                <w:sz w:val="20"/>
                <w:szCs w:val="20"/>
              </w:rPr>
              <w:t>1.40E-03</w:t>
            </w:r>
          </w:p>
        </w:tc>
        <w:tc>
          <w:tcPr>
            <w:tcW w:w="1001" w:type="dxa"/>
            <w:shd w:val="clear" w:color="auto" w:fill="auto"/>
            <w:noWrap/>
            <w:vAlign w:val="center"/>
          </w:tcPr>
          <w:p w14:paraId="740A5F67" w14:textId="77777777" w:rsidR="00195D93" w:rsidRPr="00C47F2F" w:rsidRDefault="00195D93" w:rsidP="006243FB">
            <w:pPr>
              <w:pStyle w:val="Table"/>
              <w:rPr>
                <w:noProof/>
                <w:sz w:val="20"/>
                <w:szCs w:val="20"/>
              </w:rPr>
            </w:pPr>
            <w:r w:rsidRPr="00C47F2F">
              <w:rPr>
                <w:noProof/>
                <w:sz w:val="20"/>
                <w:szCs w:val="20"/>
              </w:rPr>
              <w:t>1.28E-03</w:t>
            </w:r>
          </w:p>
        </w:tc>
      </w:tr>
      <w:tr w:rsidR="00195D93" w:rsidRPr="00972C81" w14:paraId="038DED59" w14:textId="77777777" w:rsidTr="006243FB">
        <w:trPr>
          <w:trHeight w:val="340"/>
        </w:trPr>
        <w:tc>
          <w:tcPr>
            <w:tcW w:w="2992" w:type="dxa"/>
            <w:shd w:val="clear" w:color="auto" w:fill="auto"/>
            <w:noWrap/>
            <w:vAlign w:val="center"/>
          </w:tcPr>
          <w:p w14:paraId="529F2AE8" w14:textId="4B17E9E1" w:rsidR="00195D93" w:rsidRPr="00195D93" w:rsidRDefault="00195D93" w:rsidP="006243FB">
            <w:pPr>
              <w:pStyle w:val="Table"/>
              <w:rPr>
                <w:noProof/>
                <w:sz w:val="20"/>
                <w:szCs w:val="22"/>
              </w:rPr>
            </w:pPr>
            <w:r w:rsidRPr="00195D93">
              <w:rPr>
                <w:noProof/>
                <w:sz w:val="20"/>
                <w:szCs w:val="22"/>
              </w:rPr>
              <w:t>Blood to Urinary bladder cont</w:t>
            </w:r>
          </w:p>
        </w:tc>
        <w:tc>
          <w:tcPr>
            <w:tcW w:w="1010" w:type="dxa"/>
            <w:shd w:val="clear" w:color="auto" w:fill="auto"/>
            <w:noWrap/>
            <w:vAlign w:val="center"/>
          </w:tcPr>
          <w:p w14:paraId="3F3DE8E3" w14:textId="77777777" w:rsidR="00195D93" w:rsidRPr="00C47F2F" w:rsidRDefault="00195D93" w:rsidP="006243FB">
            <w:pPr>
              <w:pStyle w:val="Table"/>
              <w:rPr>
                <w:noProof/>
                <w:sz w:val="20"/>
                <w:szCs w:val="20"/>
              </w:rPr>
            </w:pPr>
            <w:r w:rsidRPr="00C47F2F">
              <w:rPr>
                <w:noProof/>
                <w:sz w:val="20"/>
                <w:szCs w:val="20"/>
              </w:rPr>
              <w:t>1.51E+00</w:t>
            </w:r>
          </w:p>
        </w:tc>
        <w:tc>
          <w:tcPr>
            <w:tcW w:w="1006" w:type="dxa"/>
            <w:shd w:val="clear" w:color="auto" w:fill="auto"/>
            <w:noWrap/>
            <w:vAlign w:val="center"/>
          </w:tcPr>
          <w:p w14:paraId="451C27CD" w14:textId="77777777" w:rsidR="00195D93" w:rsidRPr="00C47F2F" w:rsidRDefault="00195D93" w:rsidP="006243FB">
            <w:pPr>
              <w:pStyle w:val="Table"/>
              <w:rPr>
                <w:noProof/>
                <w:sz w:val="20"/>
                <w:szCs w:val="20"/>
              </w:rPr>
            </w:pPr>
            <w:r w:rsidRPr="00C47F2F">
              <w:rPr>
                <w:noProof/>
                <w:sz w:val="20"/>
                <w:szCs w:val="20"/>
              </w:rPr>
              <w:t>1.51E+00</w:t>
            </w:r>
          </w:p>
        </w:tc>
        <w:tc>
          <w:tcPr>
            <w:tcW w:w="1006" w:type="dxa"/>
            <w:shd w:val="clear" w:color="auto" w:fill="auto"/>
            <w:noWrap/>
            <w:vAlign w:val="center"/>
          </w:tcPr>
          <w:p w14:paraId="642FCD6B" w14:textId="77777777" w:rsidR="00195D93" w:rsidRPr="00C47F2F" w:rsidRDefault="00195D93" w:rsidP="006243FB">
            <w:pPr>
              <w:pStyle w:val="Table"/>
              <w:rPr>
                <w:noProof/>
                <w:sz w:val="20"/>
                <w:szCs w:val="20"/>
              </w:rPr>
            </w:pPr>
            <w:r w:rsidRPr="00C47F2F">
              <w:rPr>
                <w:noProof/>
                <w:sz w:val="20"/>
                <w:szCs w:val="20"/>
              </w:rPr>
              <w:t>1.51E+00</w:t>
            </w:r>
          </w:p>
        </w:tc>
        <w:tc>
          <w:tcPr>
            <w:tcW w:w="1006" w:type="dxa"/>
            <w:shd w:val="clear" w:color="auto" w:fill="auto"/>
            <w:noWrap/>
            <w:vAlign w:val="center"/>
          </w:tcPr>
          <w:p w14:paraId="18E87BEF" w14:textId="77777777" w:rsidR="00195D93" w:rsidRPr="00C47F2F" w:rsidRDefault="00195D93" w:rsidP="006243FB">
            <w:pPr>
              <w:pStyle w:val="Table"/>
              <w:rPr>
                <w:noProof/>
                <w:sz w:val="20"/>
                <w:szCs w:val="20"/>
              </w:rPr>
            </w:pPr>
            <w:r w:rsidRPr="00C47F2F">
              <w:rPr>
                <w:noProof/>
                <w:sz w:val="20"/>
                <w:szCs w:val="20"/>
              </w:rPr>
              <w:t>1.51E+00</w:t>
            </w:r>
          </w:p>
        </w:tc>
        <w:tc>
          <w:tcPr>
            <w:tcW w:w="1006" w:type="dxa"/>
            <w:shd w:val="clear" w:color="auto" w:fill="auto"/>
            <w:noWrap/>
            <w:vAlign w:val="center"/>
          </w:tcPr>
          <w:p w14:paraId="29E72F2E" w14:textId="77777777" w:rsidR="00195D93" w:rsidRPr="00C47F2F" w:rsidRDefault="00195D93" w:rsidP="006243FB">
            <w:pPr>
              <w:pStyle w:val="Table"/>
              <w:rPr>
                <w:noProof/>
                <w:sz w:val="20"/>
                <w:szCs w:val="20"/>
              </w:rPr>
            </w:pPr>
            <w:r w:rsidRPr="00C47F2F">
              <w:rPr>
                <w:noProof/>
                <w:sz w:val="20"/>
                <w:szCs w:val="20"/>
              </w:rPr>
              <w:t>1.51E+00</w:t>
            </w:r>
          </w:p>
        </w:tc>
        <w:tc>
          <w:tcPr>
            <w:tcW w:w="1001" w:type="dxa"/>
            <w:shd w:val="clear" w:color="auto" w:fill="auto"/>
            <w:noWrap/>
            <w:vAlign w:val="center"/>
          </w:tcPr>
          <w:p w14:paraId="2509C9C2" w14:textId="77777777" w:rsidR="00195D93" w:rsidRPr="00C47F2F" w:rsidRDefault="00195D93" w:rsidP="006243FB">
            <w:pPr>
              <w:pStyle w:val="Table"/>
              <w:rPr>
                <w:noProof/>
                <w:sz w:val="20"/>
                <w:szCs w:val="20"/>
              </w:rPr>
            </w:pPr>
            <w:r w:rsidRPr="00C47F2F">
              <w:rPr>
                <w:noProof/>
                <w:sz w:val="20"/>
                <w:szCs w:val="20"/>
              </w:rPr>
              <w:t>1.51E+00</w:t>
            </w:r>
          </w:p>
        </w:tc>
      </w:tr>
      <w:tr w:rsidR="00195D93" w:rsidRPr="00972C81" w14:paraId="16D94D15" w14:textId="77777777" w:rsidTr="006243FB">
        <w:trPr>
          <w:trHeight w:val="340"/>
        </w:trPr>
        <w:tc>
          <w:tcPr>
            <w:tcW w:w="2992" w:type="dxa"/>
            <w:shd w:val="clear" w:color="auto" w:fill="auto"/>
            <w:noWrap/>
            <w:vAlign w:val="center"/>
          </w:tcPr>
          <w:p w14:paraId="76D728F3" w14:textId="5816C0AB" w:rsidR="00195D93" w:rsidRPr="00195D93" w:rsidRDefault="00195D93" w:rsidP="006243FB">
            <w:pPr>
              <w:pStyle w:val="Table"/>
              <w:rPr>
                <w:noProof/>
                <w:sz w:val="20"/>
                <w:szCs w:val="22"/>
              </w:rPr>
            </w:pPr>
            <w:r w:rsidRPr="00195D93">
              <w:rPr>
                <w:noProof/>
                <w:sz w:val="20"/>
                <w:szCs w:val="22"/>
              </w:rPr>
              <w:t>Liver 1 to SI cont</w:t>
            </w:r>
          </w:p>
        </w:tc>
        <w:tc>
          <w:tcPr>
            <w:tcW w:w="1010" w:type="dxa"/>
            <w:shd w:val="clear" w:color="auto" w:fill="auto"/>
            <w:noWrap/>
            <w:vAlign w:val="center"/>
          </w:tcPr>
          <w:p w14:paraId="374AE644" w14:textId="77777777" w:rsidR="00195D93" w:rsidRPr="00C47F2F" w:rsidRDefault="00195D93" w:rsidP="006243FB">
            <w:pPr>
              <w:pStyle w:val="Table"/>
              <w:rPr>
                <w:noProof/>
                <w:sz w:val="20"/>
                <w:szCs w:val="20"/>
              </w:rPr>
            </w:pPr>
            <w:r w:rsidRPr="00C47F2F">
              <w:rPr>
                <w:noProof/>
                <w:sz w:val="20"/>
                <w:szCs w:val="20"/>
              </w:rPr>
              <w:t>6.00E-04</w:t>
            </w:r>
          </w:p>
        </w:tc>
        <w:tc>
          <w:tcPr>
            <w:tcW w:w="1006" w:type="dxa"/>
            <w:shd w:val="clear" w:color="auto" w:fill="auto"/>
            <w:noWrap/>
            <w:vAlign w:val="center"/>
          </w:tcPr>
          <w:p w14:paraId="4F709F6F" w14:textId="77777777" w:rsidR="00195D93" w:rsidRPr="00C47F2F" w:rsidRDefault="00195D93" w:rsidP="006243FB">
            <w:pPr>
              <w:pStyle w:val="Table"/>
              <w:rPr>
                <w:noProof/>
                <w:sz w:val="20"/>
                <w:szCs w:val="20"/>
              </w:rPr>
            </w:pPr>
            <w:r w:rsidRPr="00C47F2F">
              <w:rPr>
                <w:noProof/>
                <w:sz w:val="20"/>
                <w:szCs w:val="20"/>
              </w:rPr>
              <w:t>6.00E-04</w:t>
            </w:r>
          </w:p>
        </w:tc>
        <w:tc>
          <w:tcPr>
            <w:tcW w:w="1006" w:type="dxa"/>
            <w:shd w:val="clear" w:color="auto" w:fill="auto"/>
            <w:noWrap/>
            <w:vAlign w:val="center"/>
          </w:tcPr>
          <w:p w14:paraId="2EA15245" w14:textId="77777777" w:rsidR="00195D93" w:rsidRPr="00C47F2F" w:rsidRDefault="00195D93" w:rsidP="006243FB">
            <w:pPr>
              <w:pStyle w:val="Table"/>
              <w:rPr>
                <w:noProof/>
                <w:sz w:val="20"/>
                <w:szCs w:val="20"/>
              </w:rPr>
            </w:pPr>
            <w:r w:rsidRPr="00C47F2F">
              <w:rPr>
                <w:noProof/>
                <w:sz w:val="20"/>
                <w:szCs w:val="20"/>
              </w:rPr>
              <w:t>6.00E-04</w:t>
            </w:r>
          </w:p>
        </w:tc>
        <w:tc>
          <w:tcPr>
            <w:tcW w:w="1006" w:type="dxa"/>
            <w:shd w:val="clear" w:color="auto" w:fill="auto"/>
            <w:noWrap/>
            <w:vAlign w:val="center"/>
          </w:tcPr>
          <w:p w14:paraId="7DDDFEF3" w14:textId="77777777" w:rsidR="00195D93" w:rsidRPr="00C47F2F" w:rsidRDefault="00195D93" w:rsidP="006243FB">
            <w:pPr>
              <w:pStyle w:val="Table"/>
              <w:rPr>
                <w:noProof/>
                <w:sz w:val="20"/>
                <w:szCs w:val="20"/>
              </w:rPr>
            </w:pPr>
            <w:r w:rsidRPr="00C47F2F">
              <w:rPr>
                <w:noProof/>
                <w:sz w:val="20"/>
                <w:szCs w:val="20"/>
              </w:rPr>
              <w:t>6.00E-04</w:t>
            </w:r>
          </w:p>
        </w:tc>
        <w:tc>
          <w:tcPr>
            <w:tcW w:w="1006" w:type="dxa"/>
            <w:shd w:val="clear" w:color="auto" w:fill="auto"/>
            <w:noWrap/>
            <w:vAlign w:val="center"/>
          </w:tcPr>
          <w:p w14:paraId="488AA0F8" w14:textId="77777777" w:rsidR="00195D93" w:rsidRPr="00C47F2F" w:rsidRDefault="00195D93" w:rsidP="006243FB">
            <w:pPr>
              <w:pStyle w:val="Table"/>
              <w:rPr>
                <w:noProof/>
                <w:sz w:val="20"/>
                <w:szCs w:val="20"/>
              </w:rPr>
            </w:pPr>
            <w:r w:rsidRPr="00C47F2F">
              <w:rPr>
                <w:noProof/>
                <w:sz w:val="20"/>
                <w:szCs w:val="20"/>
              </w:rPr>
              <w:t>6.00E-04</w:t>
            </w:r>
          </w:p>
        </w:tc>
        <w:tc>
          <w:tcPr>
            <w:tcW w:w="1001" w:type="dxa"/>
            <w:shd w:val="clear" w:color="auto" w:fill="auto"/>
            <w:noWrap/>
            <w:vAlign w:val="center"/>
          </w:tcPr>
          <w:p w14:paraId="094E2B21" w14:textId="77777777" w:rsidR="00195D93" w:rsidRPr="00C47F2F" w:rsidRDefault="00195D93" w:rsidP="006243FB">
            <w:pPr>
              <w:pStyle w:val="Table"/>
              <w:rPr>
                <w:noProof/>
                <w:sz w:val="20"/>
                <w:szCs w:val="20"/>
              </w:rPr>
            </w:pPr>
            <w:r w:rsidRPr="00C47F2F">
              <w:rPr>
                <w:noProof/>
                <w:sz w:val="20"/>
                <w:szCs w:val="20"/>
              </w:rPr>
              <w:t>6.00E-04</w:t>
            </w:r>
          </w:p>
        </w:tc>
      </w:tr>
      <w:tr w:rsidR="00195D93" w:rsidRPr="00972C81" w14:paraId="04FE7274" w14:textId="77777777" w:rsidTr="006243FB">
        <w:trPr>
          <w:trHeight w:val="340"/>
        </w:trPr>
        <w:tc>
          <w:tcPr>
            <w:tcW w:w="2992" w:type="dxa"/>
            <w:shd w:val="clear" w:color="auto" w:fill="auto"/>
            <w:noWrap/>
            <w:vAlign w:val="center"/>
          </w:tcPr>
          <w:p w14:paraId="296EEC08" w14:textId="67A0F74A" w:rsidR="00195D93" w:rsidRPr="00195D93" w:rsidRDefault="00195D93" w:rsidP="006243FB">
            <w:pPr>
              <w:pStyle w:val="Table"/>
              <w:rPr>
                <w:noProof/>
                <w:sz w:val="20"/>
                <w:szCs w:val="22"/>
              </w:rPr>
            </w:pPr>
            <w:r w:rsidRPr="00195D93">
              <w:rPr>
                <w:noProof/>
                <w:sz w:val="20"/>
                <w:szCs w:val="22"/>
              </w:rPr>
              <w:t>Liver 1 to Liver 2</w:t>
            </w:r>
          </w:p>
        </w:tc>
        <w:tc>
          <w:tcPr>
            <w:tcW w:w="1010" w:type="dxa"/>
            <w:shd w:val="clear" w:color="auto" w:fill="auto"/>
            <w:noWrap/>
            <w:vAlign w:val="center"/>
          </w:tcPr>
          <w:p w14:paraId="1F61BABC" w14:textId="77777777" w:rsidR="00195D93" w:rsidRPr="00C47F2F" w:rsidRDefault="00195D93" w:rsidP="006243FB">
            <w:pPr>
              <w:pStyle w:val="Table"/>
              <w:rPr>
                <w:noProof/>
                <w:sz w:val="20"/>
                <w:szCs w:val="20"/>
              </w:rPr>
            </w:pPr>
            <w:r w:rsidRPr="00C47F2F">
              <w:rPr>
                <w:noProof/>
                <w:sz w:val="20"/>
                <w:szCs w:val="20"/>
              </w:rPr>
              <w:t>2.25E-02</w:t>
            </w:r>
          </w:p>
        </w:tc>
        <w:tc>
          <w:tcPr>
            <w:tcW w:w="1006" w:type="dxa"/>
            <w:shd w:val="clear" w:color="auto" w:fill="auto"/>
            <w:noWrap/>
            <w:vAlign w:val="center"/>
          </w:tcPr>
          <w:p w14:paraId="0345913F" w14:textId="77777777" w:rsidR="00195D93" w:rsidRPr="00C47F2F" w:rsidRDefault="00195D93" w:rsidP="006243FB">
            <w:pPr>
              <w:pStyle w:val="Table"/>
              <w:rPr>
                <w:noProof/>
                <w:sz w:val="20"/>
                <w:szCs w:val="20"/>
              </w:rPr>
            </w:pPr>
            <w:r w:rsidRPr="00C47F2F">
              <w:rPr>
                <w:noProof/>
                <w:sz w:val="20"/>
                <w:szCs w:val="20"/>
              </w:rPr>
              <w:t>2.25E-02</w:t>
            </w:r>
          </w:p>
        </w:tc>
        <w:tc>
          <w:tcPr>
            <w:tcW w:w="1006" w:type="dxa"/>
            <w:shd w:val="clear" w:color="auto" w:fill="auto"/>
            <w:noWrap/>
            <w:vAlign w:val="center"/>
          </w:tcPr>
          <w:p w14:paraId="1EE1D449" w14:textId="77777777" w:rsidR="00195D93" w:rsidRPr="00C47F2F" w:rsidRDefault="00195D93" w:rsidP="006243FB">
            <w:pPr>
              <w:pStyle w:val="Table"/>
              <w:rPr>
                <w:noProof/>
                <w:sz w:val="20"/>
                <w:szCs w:val="20"/>
              </w:rPr>
            </w:pPr>
            <w:r w:rsidRPr="00C47F2F">
              <w:rPr>
                <w:noProof/>
                <w:sz w:val="20"/>
                <w:szCs w:val="20"/>
              </w:rPr>
              <w:t>2.25E-02</w:t>
            </w:r>
          </w:p>
        </w:tc>
        <w:tc>
          <w:tcPr>
            <w:tcW w:w="1006" w:type="dxa"/>
            <w:shd w:val="clear" w:color="auto" w:fill="auto"/>
            <w:noWrap/>
            <w:vAlign w:val="center"/>
          </w:tcPr>
          <w:p w14:paraId="5899C96A" w14:textId="77777777" w:rsidR="00195D93" w:rsidRPr="00C47F2F" w:rsidRDefault="00195D93" w:rsidP="006243FB">
            <w:pPr>
              <w:pStyle w:val="Table"/>
              <w:rPr>
                <w:noProof/>
                <w:sz w:val="20"/>
                <w:szCs w:val="20"/>
              </w:rPr>
            </w:pPr>
            <w:r w:rsidRPr="00C47F2F">
              <w:rPr>
                <w:noProof/>
                <w:sz w:val="20"/>
                <w:szCs w:val="20"/>
              </w:rPr>
              <w:t>2.25E-02</w:t>
            </w:r>
          </w:p>
        </w:tc>
        <w:tc>
          <w:tcPr>
            <w:tcW w:w="1006" w:type="dxa"/>
            <w:shd w:val="clear" w:color="auto" w:fill="auto"/>
            <w:noWrap/>
            <w:vAlign w:val="center"/>
          </w:tcPr>
          <w:p w14:paraId="1ED0D0A2" w14:textId="77777777" w:rsidR="00195D93" w:rsidRPr="00C47F2F" w:rsidRDefault="00195D93" w:rsidP="006243FB">
            <w:pPr>
              <w:pStyle w:val="Table"/>
              <w:rPr>
                <w:noProof/>
                <w:sz w:val="20"/>
                <w:szCs w:val="20"/>
              </w:rPr>
            </w:pPr>
            <w:r w:rsidRPr="00C47F2F">
              <w:rPr>
                <w:noProof/>
                <w:sz w:val="20"/>
                <w:szCs w:val="20"/>
              </w:rPr>
              <w:t>2.25E-02</w:t>
            </w:r>
          </w:p>
        </w:tc>
        <w:tc>
          <w:tcPr>
            <w:tcW w:w="1001" w:type="dxa"/>
            <w:shd w:val="clear" w:color="auto" w:fill="auto"/>
            <w:noWrap/>
            <w:vAlign w:val="center"/>
          </w:tcPr>
          <w:p w14:paraId="4BE0AA9F" w14:textId="77777777" w:rsidR="00195D93" w:rsidRPr="00C47F2F" w:rsidRDefault="00195D93" w:rsidP="006243FB">
            <w:pPr>
              <w:pStyle w:val="Table"/>
              <w:rPr>
                <w:noProof/>
                <w:sz w:val="20"/>
                <w:szCs w:val="20"/>
              </w:rPr>
            </w:pPr>
            <w:r w:rsidRPr="00C47F2F">
              <w:rPr>
                <w:noProof/>
                <w:sz w:val="20"/>
                <w:szCs w:val="20"/>
              </w:rPr>
              <w:t>2.25E-02</w:t>
            </w:r>
          </w:p>
        </w:tc>
      </w:tr>
      <w:tr w:rsidR="00195D93" w:rsidRPr="00972C81" w14:paraId="508D0098" w14:textId="77777777" w:rsidTr="006243FB">
        <w:trPr>
          <w:trHeight w:val="340"/>
        </w:trPr>
        <w:tc>
          <w:tcPr>
            <w:tcW w:w="2992" w:type="dxa"/>
            <w:shd w:val="clear" w:color="auto" w:fill="auto"/>
            <w:noWrap/>
            <w:vAlign w:val="center"/>
          </w:tcPr>
          <w:p w14:paraId="307973B4" w14:textId="01EEF391" w:rsidR="00195D93" w:rsidRPr="00195D93" w:rsidRDefault="00195D93" w:rsidP="006243FB">
            <w:pPr>
              <w:pStyle w:val="Table"/>
              <w:rPr>
                <w:noProof/>
                <w:sz w:val="20"/>
                <w:szCs w:val="22"/>
              </w:rPr>
            </w:pPr>
            <w:r w:rsidRPr="00195D93">
              <w:rPr>
                <w:noProof/>
                <w:sz w:val="20"/>
                <w:szCs w:val="22"/>
              </w:rPr>
              <w:t>Liver 2 to Blood</w:t>
            </w:r>
          </w:p>
        </w:tc>
        <w:tc>
          <w:tcPr>
            <w:tcW w:w="1010" w:type="dxa"/>
            <w:shd w:val="clear" w:color="auto" w:fill="auto"/>
            <w:noWrap/>
            <w:vAlign w:val="center"/>
          </w:tcPr>
          <w:p w14:paraId="3E5896A2" w14:textId="77777777" w:rsidR="00195D93" w:rsidRPr="00C47F2F" w:rsidRDefault="00195D93" w:rsidP="006243FB">
            <w:pPr>
              <w:pStyle w:val="Table"/>
              <w:rPr>
                <w:noProof/>
                <w:sz w:val="20"/>
                <w:szCs w:val="20"/>
              </w:rPr>
            </w:pPr>
            <w:r w:rsidRPr="00C47F2F">
              <w:rPr>
                <w:noProof/>
                <w:sz w:val="20"/>
                <w:szCs w:val="20"/>
              </w:rPr>
              <w:t>1.90E-03</w:t>
            </w:r>
          </w:p>
        </w:tc>
        <w:tc>
          <w:tcPr>
            <w:tcW w:w="1006" w:type="dxa"/>
            <w:shd w:val="clear" w:color="auto" w:fill="auto"/>
            <w:noWrap/>
            <w:vAlign w:val="center"/>
          </w:tcPr>
          <w:p w14:paraId="6797A150" w14:textId="77777777" w:rsidR="00195D93" w:rsidRPr="00C47F2F" w:rsidRDefault="00195D93" w:rsidP="006243FB">
            <w:pPr>
              <w:pStyle w:val="Table"/>
              <w:rPr>
                <w:noProof/>
                <w:sz w:val="20"/>
                <w:szCs w:val="20"/>
              </w:rPr>
            </w:pPr>
            <w:r w:rsidRPr="00C47F2F">
              <w:rPr>
                <w:noProof/>
                <w:sz w:val="20"/>
                <w:szCs w:val="20"/>
              </w:rPr>
              <w:t>1.90E-03</w:t>
            </w:r>
          </w:p>
        </w:tc>
        <w:tc>
          <w:tcPr>
            <w:tcW w:w="1006" w:type="dxa"/>
            <w:shd w:val="clear" w:color="auto" w:fill="auto"/>
            <w:noWrap/>
            <w:vAlign w:val="center"/>
          </w:tcPr>
          <w:p w14:paraId="3F145972" w14:textId="77777777" w:rsidR="00195D93" w:rsidRPr="00C47F2F" w:rsidRDefault="00195D93" w:rsidP="006243FB">
            <w:pPr>
              <w:pStyle w:val="Table"/>
              <w:rPr>
                <w:noProof/>
                <w:sz w:val="20"/>
                <w:szCs w:val="20"/>
              </w:rPr>
            </w:pPr>
            <w:r w:rsidRPr="00C47F2F">
              <w:rPr>
                <w:noProof/>
                <w:sz w:val="20"/>
                <w:szCs w:val="20"/>
              </w:rPr>
              <w:t>1.90E-03</w:t>
            </w:r>
          </w:p>
        </w:tc>
        <w:tc>
          <w:tcPr>
            <w:tcW w:w="1006" w:type="dxa"/>
            <w:shd w:val="clear" w:color="auto" w:fill="auto"/>
            <w:noWrap/>
            <w:vAlign w:val="center"/>
          </w:tcPr>
          <w:p w14:paraId="0AB84D06" w14:textId="77777777" w:rsidR="00195D93" w:rsidRPr="00C47F2F" w:rsidRDefault="00195D93" w:rsidP="006243FB">
            <w:pPr>
              <w:pStyle w:val="Table"/>
              <w:rPr>
                <w:noProof/>
                <w:sz w:val="20"/>
                <w:szCs w:val="20"/>
              </w:rPr>
            </w:pPr>
            <w:r w:rsidRPr="00C47F2F">
              <w:rPr>
                <w:noProof/>
                <w:sz w:val="20"/>
                <w:szCs w:val="20"/>
              </w:rPr>
              <w:t>1.90E-03</w:t>
            </w:r>
          </w:p>
        </w:tc>
        <w:tc>
          <w:tcPr>
            <w:tcW w:w="1006" w:type="dxa"/>
            <w:shd w:val="clear" w:color="auto" w:fill="auto"/>
            <w:noWrap/>
            <w:vAlign w:val="center"/>
          </w:tcPr>
          <w:p w14:paraId="5B6F9427" w14:textId="77777777" w:rsidR="00195D93" w:rsidRPr="00C47F2F" w:rsidRDefault="00195D93" w:rsidP="006243FB">
            <w:pPr>
              <w:pStyle w:val="Table"/>
              <w:rPr>
                <w:noProof/>
                <w:sz w:val="20"/>
                <w:szCs w:val="20"/>
              </w:rPr>
            </w:pPr>
            <w:r w:rsidRPr="00C47F2F">
              <w:rPr>
                <w:noProof/>
                <w:sz w:val="20"/>
                <w:szCs w:val="20"/>
              </w:rPr>
              <w:t>1.90E-03</w:t>
            </w:r>
          </w:p>
        </w:tc>
        <w:tc>
          <w:tcPr>
            <w:tcW w:w="1001" w:type="dxa"/>
            <w:shd w:val="clear" w:color="auto" w:fill="auto"/>
            <w:noWrap/>
            <w:vAlign w:val="center"/>
          </w:tcPr>
          <w:p w14:paraId="6293861D" w14:textId="77777777" w:rsidR="00195D93" w:rsidRPr="00C47F2F" w:rsidRDefault="00195D93" w:rsidP="006243FB">
            <w:pPr>
              <w:pStyle w:val="Table"/>
              <w:rPr>
                <w:noProof/>
                <w:sz w:val="20"/>
                <w:szCs w:val="20"/>
              </w:rPr>
            </w:pPr>
            <w:r w:rsidRPr="00C47F2F">
              <w:rPr>
                <w:noProof/>
                <w:sz w:val="20"/>
                <w:szCs w:val="20"/>
              </w:rPr>
              <w:t>1.90E-03</w:t>
            </w:r>
          </w:p>
        </w:tc>
      </w:tr>
      <w:tr w:rsidR="00195D93" w:rsidRPr="00972C81" w14:paraId="72F197F5" w14:textId="77777777" w:rsidTr="006243FB">
        <w:trPr>
          <w:trHeight w:val="340"/>
        </w:trPr>
        <w:tc>
          <w:tcPr>
            <w:tcW w:w="2992" w:type="dxa"/>
            <w:shd w:val="clear" w:color="auto" w:fill="auto"/>
            <w:noWrap/>
            <w:vAlign w:val="center"/>
          </w:tcPr>
          <w:p w14:paraId="4C5C9CF0" w14:textId="32F662FD" w:rsidR="00195D93" w:rsidRPr="00195D93" w:rsidRDefault="00195D93" w:rsidP="006243FB">
            <w:pPr>
              <w:pStyle w:val="Table"/>
              <w:rPr>
                <w:noProof/>
                <w:sz w:val="20"/>
                <w:szCs w:val="22"/>
              </w:rPr>
            </w:pPr>
            <w:r w:rsidRPr="00195D93">
              <w:rPr>
                <w:noProof/>
                <w:sz w:val="20"/>
                <w:szCs w:val="22"/>
              </w:rPr>
              <w:t>ST0 to Blood</w:t>
            </w:r>
          </w:p>
        </w:tc>
        <w:tc>
          <w:tcPr>
            <w:tcW w:w="1010" w:type="dxa"/>
            <w:shd w:val="clear" w:color="auto" w:fill="auto"/>
            <w:noWrap/>
            <w:vAlign w:val="center"/>
          </w:tcPr>
          <w:p w14:paraId="17FD753D" w14:textId="77777777" w:rsidR="00195D93" w:rsidRPr="00C47F2F" w:rsidRDefault="00195D93" w:rsidP="006243FB">
            <w:pPr>
              <w:pStyle w:val="Table"/>
              <w:rPr>
                <w:noProof/>
                <w:sz w:val="20"/>
                <w:szCs w:val="20"/>
              </w:rPr>
            </w:pPr>
            <w:r w:rsidRPr="00C47F2F">
              <w:rPr>
                <w:noProof/>
                <w:sz w:val="20"/>
                <w:szCs w:val="20"/>
              </w:rPr>
              <w:t>1.39E+00</w:t>
            </w:r>
          </w:p>
        </w:tc>
        <w:tc>
          <w:tcPr>
            <w:tcW w:w="1006" w:type="dxa"/>
            <w:shd w:val="clear" w:color="auto" w:fill="auto"/>
            <w:noWrap/>
            <w:vAlign w:val="center"/>
          </w:tcPr>
          <w:p w14:paraId="718754A9" w14:textId="77777777" w:rsidR="00195D93" w:rsidRPr="00C47F2F" w:rsidRDefault="00195D93" w:rsidP="006243FB">
            <w:pPr>
              <w:pStyle w:val="Table"/>
              <w:rPr>
                <w:noProof/>
                <w:sz w:val="20"/>
                <w:szCs w:val="20"/>
              </w:rPr>
            </w:pPr>
            <w:r w:rsidRPr="00C47F2F">
              <w:rPr>
                <w:noProof/>
                <w:sz w:val="20"/>
                <w:szCs w:val="20"/>
              </w:rPr>
              <w:t>1.39E+00</w:t>
            </w:r>
          </w:p>
        </w:tc>
        <w:tc>
          <w:tcPr>
            <w:tcW w:w="1006" w:type="dxa"/>
            <w:shd w:val="clear" w:color="auto" w:fill="auto"/>
            <w:noWrap/>
            <w:vAlign w:val="center"/>
          </w:tcPr>
          <w:p w14:paraId="6FC7DDBD" w14:textId="77777777" w:rsidR="00195D93" w:rsidRPr="00C47F2F" w:rsidRDefault="00195D93" w:rsidP="006243FB">
            <w:pPr>
              <w:pStyle w:val="Table"/>
              <w:rPr>
                <w:noProof/>
                <w:sz w:val="20"/>
                <w:szCs w:val="20"/>
              </w:rPr>
            </w:pPr>
            <w:r w:rsidRPr="00C47F2F">
              <w:rPr>
                <w:noProof/>
                <w:sz w:val="20"/>
                <w:szCs w:val="20"/>
              </w:rPr>
              <w:t>1.39E+00</w:t>
            </w:r>
          </w:p>
        </w:tc>
        <w:tc>
          <w:tcPr>
            <w:tcW w:w="1006" w:type="dxa"/>
            <w:shd w:val="clear" w:color="auto" w:fill="auto"/>
            <w:noWrap/>
            <w:vAlign w:val="center"/>
          </w:tcPr>
          <w:p w14:paraId="61928FB9" w14:textId="77777777" w:rsidR="00195D93" w:rsidRPr="00C47F2F" w:rsidRDefault="00195D93" w:rsidP="006243FB">
            <w:pPr>
              <w:pStyle w:val="Table"/>
              <w:rPr>
                <w:noProof/>
                <w:sz w:val="20"/>
                <w:szCs w:val="20"/>
              </w:rPr>
            </w:pPr>
            <w:r w:rsidRPr="00C47F2F">
              <w:rPr>
                <w:noProof/>
                <w:sz w:val="20"/>
                <w:szCs w:val="20"/>
              </w:rPr>
              <w:t>1.39E+00</w:t>
            </w:r>
          </w:p>
        </w:tc>
        <w:tc>
          <w:tcPr>
            <w:tcW w:w="1006" w:type="dxa"/>
            <w:shd w:val="clear" w:color="auto" w:fill="auto"/>
            <w:noWrap/>
            <w:vAlign w:val="center"/>
          </w:tcPr>
          <w:p w14:paraId="4EA093FB" w14:textId="77777777" w:rsidR="00195D93" w:rsidRPr="00C47F2F" w:rsidRDefault="00195D93" w:rsidP="006243FB">
            <w:pPr>
              <w:pStyle w:val="Table"/>
              <w:rPr>
                <w:noProof/>
                <w:sz w:val="20"/>
                <w:szCs w:val="20"/>
              </w:rPr>
            </w:pPr>
            <w:r w:rsidRPr="00C47F2F">
              <w:rPr>
                <w:noProof/>
                <w:sz w:val="20"/>
                <w:szCs w:val="20"/>
              </w:rPr>
              <w:t>1.39E+00</w:t>
            </w:r>
          </w:p>
        </w:tc>
        <w:tc>
          <w:tcPr>
            <w:tcW w:w="1001" w:type="dxa"/>
            <w:shd w:val="clear" w:color="auto" w:fill="auto"/>
            <w:noWrap/>
            <w:vAlign w:val="center"/>
          </w:tcPr>
          <w:p w14:paraId="0159F3FB" w14:textId="77777777" w:rsidR="00195D93" w:rsidRPr="00C47F2F" w:rsidRDefault="00195D93" w:rsidP="006243FB">
            <w:pPr>
              <w:pStyle w:val="Table"/>
              <w:rPr>
                <w:noProof/>
                <w:sz w:val="20"/>
                <w:szCs w:val="20"/>
              </w:rPr>
            </w:pPr>
            <w:r w:rsidRPr="00C47F2F">
              <w:rPr>
                <w:noProof/>
                <w:sz w:val="20"/>
                <w:szCs w:val="20"/>
              </w:rPr>
              <w:t>1.39E+00</w:t>
            </w:r>
          </w:p>
        </w:tc>
      </w:tr>
      <w:tr w:rsidR="00195D93" w:rsidRPr="00972C81" w14:paraId="2CA1ECB0" w14:textId="77777777" w:rsidTr="006243FB">
        <w:trPr>
          <w:trHeight w:val="340"/>
        </w:trPr>
        <w:tc>
          <w:tcPr>
            <w:tcW w:w="2992" w:type="dxa"/>
            <w:shd w:val="clear" w:color="auto" w:fill="auto"/>
            <w:noWrap/>
            <w:vAlign w:val="center"/>
          </w:tcPr>
          <w:p w14:paraId="395F7F8D" w14:textId="31404240" w:rsidR="00195D93" w:rsidRPr="00195D93" w:rsidRDefault="00195D93" w:rsidP="006243FB">
            <w:pPr>
              <w:pStyle w:val="Table"/>
              <w:rPr>
                <w:noProof/>
                <w:sz w:val="20"/>
                <w:szCs w:val="22"/>
              </w:rPr>
            </w:pPr>
            <w:r w:rsidRPr="00195D93">
              <w:rPr>
                <w:noProof/>
                <w:sz w:val="20"/>
                <w:szCs w:val="22"/>
              </w:rPr>
              <w:t>ST1 to Blood</w:t>
            </w:r>
          </w:p>
        </w:tc>
        <w:tc>
          <w:tcPr>
            <w:tcW w:w="1010" w:type="dxa"/>
            <w:shd w:val="clear" w:color="auto" w:fill="auto"/>
            <w:noWrap/>
            <w:vAlign w:val="center"/>
          </w:tcPr>
          <w:p w14:paraId="1FAD18AB" w14:textId="77777777" w:rsidR="00195D93" w:rsidRPr="00C47F2F" w:rsidRDefault="00195D93" w:rsidP="006243FB">
            <w:pPr>
              <w:pStyle w:val="Table"/>
              <w:rPr>
                <w:noProof/>
                <w:sz w:val="20"/>
                <w:szCs w:val="20"/>
              </w:rPr>
            </w:pPr>
            <w:r w:rsidRPr="00C47F2F">
              <w:rPr>
                <w:noProof/>
                <w:sz w:val="20"/>
                <w:szCs w:val="20"/>
              </w:rPr>
              <w:t>6.93E-03</w:t>
            </w:r>
          </w:p>
        </w:tc>
        <w:tc>
          <w:tcPr>
            <w:tcW w:w="1006" w:type="dxa"/>
            <w:shd w:val="clear" w:color="auto" w:fill="auto"/>
            <w:noWrap/>
            <w:vAlign w:val="center"/>
          </w:tcPr>
          <w:p w14:paraId="4E9826CC" w14:textId="77777777" w:rsidR="00195D93" w:rsidRPr="00C47F2F" w:rsidRDefault="00195D93" w:rsidP="006243FB">
            <w:pPr>
              <w:pStyle w:val="Table"/>
              <w:rPr>
                <w:noProof/>
                <w:sz w:val="20"/>
                <w:szCs w:val="20"/>
              </w:rPr>
            </w:pPr>
            <w:r w:rsidRPr="00C47F2F">
              <w:rPr>
                <w:noProof/>
                <w:sz w:val="20"/>
                <w:szCs w:val="20"/>
              </w:rPr>
              <w:t>6.93E-03</w:t>
            </w:r>
          </w:p>
        </w:tc>
        <w:tc>
          <w:tcPr>
            <w:tcW w:w="1006" w:type="dxa"/>
            <w:shd w:val="clear" w:color="auto" w:fill="auto"/>
            <w:noWrap/>
            <w:vAlign w:val="center"/>
          </w:tcPr>
          <w:p w14:paraId="3E152F4F" w14:textId="77777777" w:rsidR="00195D93" w:rsidRPr="00C47F2F" w:rsidRDefault="00195D93" w:rsidP="006243FB">
            <w:pPr>
              <w:pStyle w:val="Table"/>
              <w:rPr>
                <w:noProof/>
                <w:sz w:val="20"/>
                <w:szCs w:val="20"/>
              </w:rPr>
            </w:pPr>
            <w:r w:rsidRPr="00C47F2F">
              <w:rPr>
                <w:noProof/>
                <w:sz w:val="20"/>
                <w:szCs w:val="20"/>
              </w:rPr>
              <w:t>6.93E-03</w:t>
            </w:r>
          </w:p>
        </w:tc>
        <w:tc>
          <w:tcPr>
            <w:tcW w:w="1006" w:type="dxa"/>
            <w:shd w:val="clear" w:color="auto" w:fill="auto"/>
            <w:noWrap/>
            <w:vAlign w:val="center"/>
          </w:tcPr>
          <w:p w14:paraId="4DC4C350" w14:textId="77777777" w:rsidR="00195D93" w:rsidRPr="00C47F2F" w:rsidRDefault="00195D93" w:rsidP="006243FB">
            <w:pPr>
              <w:pStyle w:val="Table"/>
              <w:rPr>
                <w:noProof/>
                <w:sz w:val="20"/>
                <w:szCs w:val="20"/>
              </w:rPr>
            </w:pPr>
            <w:r w:rsidRPr="00C47F2F">
              <w:rPr>
                <w:noProof/>
                <w:sz w:val="20"/>
                <w:szCs w:val="20"/>
              </w:rPr>
              <w:t>6.93E-03</w:t>
            </w:r>
          </w:p>
        </w:tc>
        <w:tc>
          <w:tcPr>
            <w:tcW w:w="1006" w:type="dxa"/>
            <w:shd w:val="clear" w:color="auto" w:fill="auto"/>
            <w:noWrap/>
            <w:vAlign w:val="center"/>
          </w:tcPr>
          <w:p w14:paraId="1085B732" w14:textId="77777777" w:rsidR="00195D93" w:rsidRPr="00C47F2F" w:rsidRDefault="00195D93" w:rsidP="006243FB">
            <w:pPr>
              <w:pStyle w:val="Table"/>
              <w:rPr>
                <w:noProof/>
                <w:sz w:val="20"/>
                <w:szCs w:val="20"/>
              </w:rPr>
            </w:pPr>
            <w:r w:rsidRPr="00C47F2F">
              <w:rPr>
                <w:noProof/>
                <w:sz w:val="20"/>
                <w:szCs w:val="20"/>
              </w:rPr>
              <w:t>6.93E-03</w:t>
            </w:r>
          </w:p>
        </w:tc>
        <w:tc>
          <w:tcPr>
            <w:tcW w:w="1001" w:type="dxa"/>
            <w:shd w:val="clear" w:color="auto" w:fill="auto"/>
            <w:noWrap/>
            <w:vAlign w:val="center"/>
          </w:tcPr>
          <w:p w14:paraId="74D1B88D" w14:textId="77777777" w:rsidR="00195D93" w:rsidRPr="00C47F2F" w:rsidRDefault="00195D93" w:rsidP="006243FB">
            <w:pPr>
              <w:pStyle w:val="Table"/>
              <w:rPr>
                <w:noProof/>
                <w:sz w:val="20"/>
                <w:szCs w:val="20"/>
              </w:rPr>
            </w:pPr>
            <w:r w:rsidRPr="00C47F2F">
              <w:rPr>
                <w:noProof/>
                <w:sz w:val="20"/>
                <w:szCs w:val="20"/>
              </w:rPr>
              <w:t>6.93E-03</w:t>
            </w:r>
          </w:p>
        </w:tc>
      </w:tr>
      <w:tr w:rsidR="00195D93" w:rsidRPr="00972C81" w14:paraId="384184A3" w14:textId="77777777" w:rsidTr="006243FB">
        <w:trPr>
          <w:trHeight w:val="340"/>
        </w:trPr>
        <w:tc>
          <w:tcPr>
            <w:tcW w:w="2992" w:type="dxa"/>
            <w:shd w:val="clear" w:color="auto" w:fill="auto"/>
            <w:noWrap/>
            <w:vAlign w:val="center"/>
          </w:tcPr>
          <w:p w14:paraId="5B01F254" w14:textId="093A6FE3" w:rsidR="00195D93" w:rsidRPr="00195D93" w:rsidRDefault="00195D93" w:rsidP="006243FB">
            <w:pPr>
              <w:pStyle w:val="Table"/>
              <w:rPr>
                <w:noProof/>
                <w:sz w:val="20"/>
                <w:szCs w:val="22"/>
              </w:rPr>
            </w:pPr>
            <w:r w:rsidRPr="00195D93">
              <w:rPr>
                <w:noProof/>
                <w:sz w:val="20"/>
                <w:szCs w:val="22"/>
              </w:rPr>
              <w:t>ST2 to Blood</w:t>
            </w:r>
          </w:p>
        </w:tc>
        <w:tc>
          <w:tcPr>
            <w:tcW w:w="1010" w:type="dxa"/>
            <w:shd w:val="clear" w:color="auto" w:fill="auto"/>
            <w:noWrap/>
            <w:vAlign w:val="center"/>
          </w:tcPr>
          <w:p w14:paraId="74BA6AE9" w14:textId="77777777" w:rsidR="00195D93" w:rsidRPr="00C47F2F" w:rsidRDefault="00195D93" w:rsidP="006243FB">
            <w:pPr>
              <w:pStyle w:val="Table"/>
              <w:rPr>
                <w:noProof/>
                <w:sz w:val="20"/>
                <w:szCs w:val="20"/>
              </w:rPr>
            </w:pPr>
            <w:r w:rsidRPr="00C47F2F">
              <w:rPr>
                <w:noProof/>
                <w:sz w:val="20"/>
                <w:szCs w:val="20"/>
              </w:rPr>
              <w:t>1.90E-05</w:t>
            </w:r>
          </w:p>
        </w:tc>
        <w:tc>
          <w:tcPr>
            <w:tcW w:w="1006" w:type="dxa"/>
            <w:shd w:val="clear" w:color="auto" w:fill="auto"/>
            <w:noWrap/>
            <w:vAlign w:val="center"/>
          </w:tcPr>
          <w:p w14:paraId="2EA46A27" w14:textId="77777777" w:rsidR="00195D93" w:rsidRPr="00C47F2F" w:rsidRDefault="00195D93" w:rsidP="006243FB">
            <w:pPr>
              <w:pStyle w:val="Table"/>
              <w:rPr>
                <w:noProof/>
                <w:sz w:val="20"/>
                <w:szCs w:val="20"/>
              </w:rPr>
            </w:pPr>
            <w:r w:rsidRPr="00C47F2F">
              <w:rPr>
                <w:noProof/>
                <w:sz w:val="20"/>
                <w:szCs w:val="20"/>
              </w:rPr>
              <w:t>1.90E-05</w:t>
            </w:r>
          </w:p>
        </w:tc>
        <w:tc>
          <w:tcPr>
            <w:tcW w:w="1006" w:type="dxa"/>
            <w:shd w:val="clear" w:color="auto" w:fill="auto"/>
            <w:noWrap/>
            <w:vAlign w:val="center"/>
          </w:tcPr>
          <w:p w14:paraId="7489173B" w14:textId="77777777" w:rsidR="00195D93" w:rsidRPr="00C47F2F" w:rsidRDefault="00195D93" w:rsidP="006243FB">
            <w:pPr>
              <w:pStyle w:val="Table"/>
              <w:rPr>
                <w:noProof/>
                <w:sz w:val="20"/>
                <w:szCs w:val="20"/>
              </w:rPr>
            </w:pPr>
            <w:r w:rsidRPr="00C47F2F">
              <w:rPr>
                <w:noProof/>
                <w:sz w:val="20"/>
                <w:szCs w:val="20"/>
              </w:rPr>
              <w:t>1.90E-05</w:t>
            </w:r>
          </w:p>
        </w:tc>
        <w:tc>
          <w:tcPr>
            <w:tcW w:w="1006" w:type="dxa"/>
            <w:shd w:val="clear" w:color="auto" w:fill="auto"/>
            <w:noWrap/>
            <w:vAlign w:val="center"/>
          </w:tcPr>
          <w:p w14:paraId="4A4D340F" w14:textId="77777777" w:rsidR="00195D93" w:rsidRPr="00C47F2F" w:rsidRDefault="00195D93" w:rsidP="006243FB">
            <w:pPr>
              <w:pStyle w:val="Table"/>
              <w:rPr>
                <w:noProof/>
                <w:sz w:val="20"/>
                <w:szCs w:val="20"/>
              </w:rPr>
            </w:pPr>
            <w:r w:rsidRPr="00C47F2F">
              <w:rPr>
                <w:noProof/>
                <w:sz w:val="20"/>
                <w:szCs w:val="20"/>
              </w:rPr>
              <w:t>1.90E-05</w:t>
            </w:r>
          </w:p>
        </w:tc>
        <w:tc>
          <w:tcPr>
            <w:tcW w:w="1006" w:type="dxa"/>
            <w:shd w:val="clear" w:color="auto" w:fill="auto"/>
            <w:noWrap/>
            <w:vAlign w:val="center"/>
          </w:tcPr>
          <w:p w14:paraId="0ED3066F" w14:textId="77777777" w:rsidR="00195D93" w:rsidRPr="00C47F2F" w:rsidRDefault="00195D93" w:rsidP="006243FB">
            <w:pPr>
              <w:pStyle w:val="Table"/>
              <w:rPr>
                <w:noProof/>
                <w:sz w:val="20"/>
                <w:szCs w:val="20"/>
              </w:rPr>
            </w:pPr>
            <w:r w:rsidRPr="00C47F2F">
              <w:rPr>
                <w:noProof/>
                <w:sz w:val="20"/>
                <w:szCs w:val="20"/>
              </w:rPr>
              <w:t>1.90E-05</w:t>
            </w:r>
          </w:p>
        </w:tc>
        <w:tc>
          <w:tcPr>
            <w:tcW w:w="1001" w:type="dxa"/>
            <w:shd w:val="clear" w:color="auto" w:fill="auto"/>
            <w:noWrap/>
            <w:vAlign w:val="center"/>
          </w:tcPr>
          <w:p w14:paraId="50AA81C7" w14:textId="77777777" w:rsidR="00195D93" w:rsidRPr="00C47F2F" w:rsidRDefault="00195D93" w:rsidP="006243FB">
            <w:pPr>
              <w:pStyle w:val="Table"/>
              <w:rPr>
                <w:noProof/>
                <w:sz w:val="20"/>
                <w:szCs w:val="20"/>
              </w:rPr>
            </w:pPr>
            <w:r w:rsidRPr="00C47F2F">
              <w:rPr>
                <w:noProof/>
                <w:sz w:val="20"/>
                <w:szCs w:val="20"/>
              </w:rPr>
              <w:t>1.90E-05</w:t>
            </w:r>
          </w:p>
        </w:tc>
      </w:tr>
      <w:tr w:rsidR="00195D93" w:rsidRPr="00972C81" w14:paraId="334F2724" w14:textId="77777777" w:rsidTr="006243FB">
        <w:trPr>
          <w:trHeight w:val="340"/>
        </w:trPr>
        <w:tc>
          <w:tcPr>
            <w:tcW w:w="2992" w:type="dxa"/>
            <w:shd w:val="clear" w:color="auto" w:fill="auto"/>
            <w:noWrap/>
            <w:vAlign w:val="center"/>
          </w:tcPr>
          <w:p w14:paraId="448A36C8" w14:textId="4E27B9F5" w:rsidR="00195D93" w:rsidRPr="00195D93" w:rsidRDefault="00195D93" w:rsidP="006243FB">
            <w:pPr>
              <w:pStyle w:val="Table"/>
              <w:rPr>
                <w:noProof/>
                <w:sz w:val="20"/>
                <w:szCs w:val="22"/>
              </w:rPr>
            </w:pPr>
            <w:r w:rsidRPr="00195D93">
              <w:rPr>
                <w:noProof/>
                <w:sz w:val="20"/>
                <w:szCs w:val="22"/>
              </w:rPr>
              <w:t>Cort marrow to Blood</w:t>
            </w:r>
          </w:p>
        </w:tc>
        <w:tc>
          <w:tcPr>
            <w:tcW w:w="1010" w:type="dxa"/>
            <w:shd w:val="clear" w:color="auto" w:fill="auto"/>
            <w:noWrap/>
            <w:vAlign w:val="center"/>
          </w:tcPr>
          <w:p w14:paraId="05648122" w14:textId="77777777" w:rsidR="00195D93" w:rsidRPr="00C47F2F" w:rsidRDefault="00195D93" w:rsidP="006243FB">
            <w:pPr>
              <w:pStyle w:val="Table"/>
              <w:rPr>
                <w:noProof/>
                <w:sz w:val="20"/>
                <w:szCs w:val="20"/>
              </w:rPr>
            </w:pPr>
            <w:r w:rsidRPr="00C47F2F">
              <w:rPr>
                <w:noProof/>
                <w:sz w:val="20"/>
                <w:szCs w:val="20"/>
              </w:rPr>
              <w:t>7.60E-03</w:t>
            </w:r>
          </w:p>
        </w:tc>
        <w:tc>
          <w:tcPr>
            <w:tcW w:w="1006" w:type="dxa"/>
            <w:shd w:val="clear" w:color="auto" w:fill="auto"/>
            <w:noWrap/>
            <w:vAlign w:val="center"/>
          </w:tcPr>
          <w:p w14:paraId="7BBAAD18" w14:textId="77777777" w:rsidR="00195D93" w:rsidRPr="00C47F2F" w:rsidRDefault="00195D93" w:rsidP="006243FB">
            <w:pPr>
              <w:pStyle w:val="Table"/>
              <w:rPr>
                <w:noProof/>
                <w:sz w:val="20"/>
                <w:szCs w:val="20"/>
              </w:rPr>
            </w:pPr>
            <w:r w:rsidRPr="00C47F2F">
              <w:rPr>
                <w:noProof/>
                <w:sz w:val="20"/>
                <w:szCs w:val="20"/>
              </w:rPr>
              <w:t>7.60E-03</w:t>
            </w:r>
          </w:p>
        </w:tc>
        <w:tc>
          <w:tcPr>
            <w:tcW w:w="1006" w:type="dxa"/>
            <w:shd w:val="clear" w:color="auto" w:fill="auto"/>
            <w:noWrap/>
            <w:vAlign w:val="center"/>
          </w:tcPr>
          <w:p w14:paraId="438F7751" w14:textId="77777777" w:rsidR="00195D93" w:rsidRPr="00C47F2F" w:rsidRDefault="00195D93" w:rsidP="006243FB">
            <w:pPr>
              <w:pStyle w:val="Table"/>
              <w:rPr>
                <w:noProof/>
                <w:sz w:val="20"/>
                <w:szCs w:val="20"/>
              </w:rPr>
            </w:pPr>
            <w:r w:rsidRPr="00C47F2F">
              <w:rPr>
                <w:noProof/>
                <w:sz w:val="20"/>
                <w:szCs w:val="20"/>
              </w:rPr>
              <w:t>7.60E-03</w:t>
            </w:r>
          </w:p>
        </w:tc>
        <w:tc>
          <w:tcPr>
            <w:tcW w:w="1006" w:type="dxa"/>
            <w:shd w:val="clear" w:color="auto" w:fill="auto"/>
            <w:noWrap/>
            <w:vAlign w:val="center"/>
          </w:tcPr>
          <w:p w14:paraId="71E1332B" w14:textId="77777777" w:rsidR="00195D93" w:rsidRPr="00C47F2F" w:rsidRDefault="00195D93" w:rsidP="006243FB">
            <w:pPr>
              <w:pStyle w:val="Table"/>
              <w:rPr>
                <w:noProof/>
                <w:sz w:val="20"/>
                <w:szCs w:val="20"/>
              </w:rPr>
            </w:pPr>
            <w:r w:rsidRPr="00C47F2F">
              <w:rPr>
                <w:noProof/>
                <w:sz w:val="20"/>
                <w:szCs w:val="20"/>
              </w:rPr>
              <w:t>7.60E-03</w:t>
            </w:r>
          </w:p>
        </w:tc>
        <w:tc>
          <w:tcPr>
            <w:tcW w:w="1006" w:type="dxa"/>
            <w:shd w:val="clear" w:color="auto" w:fill="auto"/>
            <w:noWrap/>
            <w:vAlign w:val="center"/>
          </w:tcPr>
          <w:p w14:paraId="6774E32B" w14:textId="77777777" w:rsidR="00195D93" w:rsidRPr="00C47F2F" w:rsidRDefault="00195D93" w:rsidP="006243FB">
            <w:pPr>
              <w:pStyle w:val="Table"/>
              <w:rPr>
                <w:noProof/>
                <w:sz w:val="20"/>
                <w:szCs w:val="20"/>
              </w:rPr>
            </w:pPr>
            <w:r w:rsidRPr="00C47F2F">
              <w:rPr>
                <w:noProof/>
                <w:sz w:val="20"/>
                <w:szCs w:val="20"/>
              </w:rPr>
              <w:t>7.60E-03</w:t>
            </w:r>
          </w:p>
        </w:tc>
        <w:tc>
          <w:tcPr>
            <w:tcW w:w="1001" w:type="dxa"/>
            <w:shd w:val="clear" w:color="auto" w:fill="auto"/>
            <w:noWrap/>
            <w:vAlign w:val="center"/>
          </w:tcPr>
          <w:p w14:paraId="0A3BCDB4" w14:textId="77777777" w:rsidR="00195D93" w:rsidRPr="00C47F2F" w:rsidRDefault="00195D93" w:rsidP="006243FB">
            <w:pPr>
              <w:pStyle w:val="Table"/>
              <w:rPr>
                <w:noProof/>
                <w:sz w:val="20"/>
                <w:szCs w:val="20"/>
              </w:rPr>
            </w:pPr>
            <w:r w:rsidRPr="00C47F2F">
              <w:rPr>
                <w:noProof/>
                <w:sz w:val="20"/>
                <w:szCs w:val="20"/>
              </w:rPr>
              <w:t>7.60E-03</w:t>
            </w:r>
          </w:p>
        </w:tc>
      </w:tr>
      <w:tr w:rsidR="00195D93" w:rsidRPr="00972C81" w14:paraId="6A2FFB68" w14:textId="77777777" w:rsidTr="006243FB">
        <w:trPr>
          <w:trHeight w:val="340"/>
        </w:trPr>
        <w:tc>
          <w:tcPr>
            <w:tcW w:w="2992" w:type="dxa"/>
            <w:shd w:val="clear" w:color="auto" w:fill="auto"/>
            <w:noWrap/>
            <w:vAlign w:val="center"/>
          </w:tcPr>
          <w:p w14:paraId="7E9D651E" w14:textId="100E98BD" w:rsidR="00195D93" w:rsidRPr="00195D93" w:rsidRDefault="00195D93" w:rsidP="006243FB">
            <w:pPr>
              <w:pStyle w:val="Table"/>
              <w:rPr>
                <w:noProof/>
                <w:sz w:val="20"/>
                <w:szCs w:val="22"/>
              </w:rPr>
            </w:pPr>
            <w:r w:rsidRPr="00195D93">
              <w:rPr>
                <w:noProof/>
                <w:sz w:val="20"/>
                <w:szCs w:val="22"/>
              </w:rPr>
              <w:t>Cort bone surf to Cort marrow</w:t>
            </w:r>
          </w:p>
        </w:tc>
        <w:tc>
          <w:tcPr>
            <w:tcW w:w="1010" w:type="dxa"/>
            <w:shd w:val="clear" w:color="auto" w:fill="auto"/>
            <w:noWrap/>
            <w:vAlign w:val="center"/>
          </w:tcPr>
          <w:p w14:paraId="773D3651" w14:textId="77777777" w:rsidR="00195D93" w:rsidRPr="00C47F2F" w:rsidRDefault="00195D93" w:rsidP="006243FB">
            <w:pPr>
              <w:pStyle w:val="Table"/>
              <w:rPr>
                <w:noProof/>
                <w:sz w:val="20"/>
                <w:szCs w:val="20"/>
              </w:rPr>
            </w:pPr>
            <w:r w:rsidRPr="00C47F2F">
              <w:rPr>
                <w:noProof/>
                <w:sz w:val="20"/>
                <w:szCs w:val="20"/>
              </w:rPr>
              <w:t>8.22E-03</w:t>
            </w:r>
          </w:p>
        </w:tc>
        <w:tc>
          <w:tcPr>
            <w:tcW w:w="1006" w:type="dxa"/>
            <w:shd w:val="clear" w:color="auto" w:fill="auto"/>
            <w:noWrap/>
            <w:vAlign w:val="center"/>
          </w:tcPr>
          <w:p w14:paraId="0259BC63" w14:textId="77777777" w:rsidR="00195D93" w:rsidRPr="00C47F2F" w:rsidRDefault="00195D93" w:rsidP="006243FB">
            <w:pPr>
              <w:pStyle w:val="Table"/>
              <w:rPr>
                <w:noProof/>
                <w:sz w:val="20"/>
                <w:szCs w:val="20"/>
              </w:rPr>
            </w:pPr>
            <w:r w:rsidRPr="00C47F2F">
              <w:rPr>
                <w:noProof/>
                <w:sz w:val="20"/>
                <w:szCs w:val="20"/>
              </w:rPr>
              <w:t>2.88E-03</w:t>
            </w:r>
          </w:p>
        </w:tc>
        <w:tc>
          <w:tcPr>
            <w:tcW w:w="1006" w:type="dxa"/>
            <w:shd w:val="clear" w:color="auto" w:fill="auto"/>
            <w:noWrap/>
            <w:vAlign w:val="center"/>
          </w:tcPr>
          <w:p w14:paraId="479CD84A" w14:textId="77777777" w:rsidR="00195D93" w:rsidRPr="00C47F2F" w:rsidRDefault="00195D93" w:rsidP="006243FB">
            <w:pPr>
              <w:pStyle w:val="Table"/>
              <w:rPr>
                <w:noProof/>
                <w:sz w:val="20"/>
                <w:szCs w:val="20"/>
              </w:rPr>
            </w:pPr>
            <w:r w:rsidRPr="00C47F2F">
              <w:rPr>
                <w:noProof/>
                <w:sz w:val="20"/>
                <w:szCs w:val="20"/>
              </w:rPr>
              <w:t>1.53E-03</w:t>
            </w:r>
          </w:p>
        </w:tc>
        <w:tc>
          <w:tcPr>
            <w:tcW w:w="1006" w:type="dxa"/>
            <w:shd w:val="clear" w:color="auto" w:fill="auto"/>
            <w:noWrap/>
            <w:vAlign w:val="center"/>
          </w:tcPr>
          <w:p w14:paraId="67225CCF" w14:textId="77777777" w:rsidR="00195D93" w:rsidRPr="00C47F2F" w:rsidRDefault="00195D93" w:rsidP="006243FB">
            <w:pPr>
              <w:pStyle w:val="Table"/>
              <w:rPr>
                <w:noProof/>
                <w:sz w:val="20"/>
                <w:szCs w:val="20"/>
              </w:rPr>
            </w:pPr>
            <w:r w:rsidRPr="00C47F2F">
              <w:rPr>
                <w:noProof/>
                <w:sz w:val="20"/>
                <w:szCs w:val="20"/>
              </w:rPr>
              <w:t>9.04E-04</w:t>
            </w:r>
          </w:p>
        </w:tc>
        <w:tc>
          <w:tcPr>
            <w:tcW w:w="1006" w:type="dxa"/>
            <w:shd w:val="clear" w:color="auto" w:fill="auto"/>
            <w:noWrap/>
            <w:vAlign w:val="center"/>
          </w:tcPr>
          <w:p w14:paraId="2C4F5E72" w14:textId="77777777" w:rsidR="00195D93" w:rsidRPr="00C47F2F" w:rsidRDefault="00195D93" w:rsidP="006243FB">
            <w:pPr>
              <w:pStyle w:val="Table"/>
              <w:rPr>
                <w:noProof/>
                <w:sz w:val="20"/>
                <w:szCs w:val="20"/>
              </w:rPr>
            </w:pPr>
            <w:r w:rsidRPr="00C47F2F">
              <w:rPr>
                <w:noProof/>
                <w:sz w:val="20"/>
                <w:szCs w:val="20"/>
              </w:rPr>
              <w:t>5.21E-04</w:t>
            </w:r>
          </w:p>
        </w:tc>
        <w:tc>
          <w:tcPr>
            <w:tcW w:w="1001" w:type="dxa"/>
            <w:shd w:val="clear" w:color="auto" w:fill="auto"/>
            <w:noWrap/>
            <w:vAlign w:val="center"/>
          </w:tcPr>
          <w:p w14:paraId="7BE70ECE" w14:textId="77777777" w:rsidR="00195D93" w:rsidRPr="00C47F2F" w:rsidRDefault="00195D93" w:rsidP="006243FB">
            <w:pPr>
              <w:pStyle w:val="Table"/>
              <w:rPr>
                <w:noProof/>
                <w:sz w:val="20"/>
                <w:szCs w:val="20"/>
              </w:rPr>
            </w:pPr>
            <w:r w:rsidRPr="00C47F2F">
              <w:rPr>
                <w:noProof/>
                <w:sz w:val="20"/>
                <w:szCs w:val="20"/>
              </w:rPr>
              <w:t>8.21E-05</w:t>
            </w:r>
          </w:p>
        </w:tc>
      </w:tr>
      <w:tr w:rsidR="00195D93" w:rsidRPr="00972C81" w14:paraId="2A469C88" w14:textId="77777777" w:rsidTr="006243FB">
        <w:trPr>
          <w:trHeight w:val="340"/>
        </w:trPr>
        <w:tc>
          <w:tcPr>
            <w:tcW w:w="2992" w:type="dxa"/>
            <w:shd w:val="clear" w:color="auto" w:fill="auto"/>
            <w:noWrap/>
            <w:vAlign w:val="center"/>
          </w:tcPr>
          <w:p w14:paraId="4DCCA750" w14:textId="599335FF" w:rsidR="00195D93" w:rsidRPr="00195D93" w:rsidRDefault="00195D93" w:rsidP="006243FB">
            <w:pPr>
              <w:pStyle w:val="Table"/>
              <w:rPr>
                <w:noProof/>
                <w:sz w:val="20"/>
                <w:szCs w:val="22"/>
              </w:rPr>
            </w:pPr>
            <w:r w:rsidRPr="00195D93">
              <w:rPr>
                <w:noProof/>
                <w:sz w:val="20"/>
                <w:szCs w:val="22"/>
              </w:rPr>
              <w:t>Cort bone surf to Cort bone vol</w:t>
            </w:r>
          </w:p>
        </w:tc>
        <w:tc>
          <w:tcPr>
            <w:tcW w:w="1010" w:type="dxa"/>
            <w:shd w:val="clear" w:color="auto" w:fill="auto"/>
            <w:noWrap/>
            <w:vAlign w:val="center"/>
          </w:tcPr>
          <w:p w14:paraId="3F3B7C6F" w14:textId="77777777" w:rsidR="00195D93" w:rsidRPr="00C47F2F" w:rsidRDefault="00195D93" w:rsidP="006243FB">
            <w:pPr>
              <w:pStyle w:val="Table"/>
              <w:rPr>
                <w:noProof/>
                <w:sz w:val="20"/>
                <w:szCs w:val="20"/>
              </w:rPr>
            </w:pPr>
            <w:r w:rsidRPr="00C47F2F">
              <w:rPr>
                <w:noProof/>
                <w:sz w:val="20"/>
                <w:szCs w:val="20"/>
              </w:rPr>
              <w:t>8.22E-03</w:t>
            </w:r>
          </w:p>
        </w:tc>
        <w:tc>
          <w:tcPr>
            <w:tcW w:w="1006" w:type="dxa"/>
            <w:shd w:val="clear" w:color="auto" w:fill="auto"/>
            <w:noWrap/>
            <w:vAlign w:val="center"/>
          </w:tcPr>
          <w:p w14:paraId="68217607" w14:textId="77777777" w:rsidR="00195D93" w:rsidRPr="00C47F2F" w:rsidRDefault="00195D93" w:rsidP="006243FB">
            <w:pPr>
              <w:pStyle w:val="Table"/>
              <w:rPr>
                <w:noProof/>
                <w:sz w:val="20"/>
                <w:szCs w:val="20"/>
              </w:rPr>
            </w:pPr>
            <w:r w:rsidRPr="00C47F2F">
              <w:rPr>
                <w:noProof/>
                <w:sz w:val="20"/>
                <w:szCs w:val="20"/>
              </w:rPr>
              <w:t>2.88E-03</w:t>
            </w:r>
          </w:p>
        </w:tc>
        <w:tc>
          <w:tcPr>
            <w:tcW w:w="1006" w:type="dxa"/>
            <w:shd w:val="clear" w:color="auto" w:fill="auto"/>
            <w:noWrap/>
            <w:vAlign w:val="center"/>
          </w:tcPr>
          <w:p w14:paraId="66B9E439" w14:textId="77777777" w:rsidR="00195D93" w:rsidRPr="00C47F2F" w:rsidRDefault="00195D93" w:rsidP="006243FB">
            <w:pPr>
              <w:pStyle w:val="Table"/>
              <w:rPr>
                <w:noProof/>
                <w:sz w:val="20"/>
                <w:szCs w:val="20"/>
              </w:rPr>
            </w:pPr>
            <w:r w:rsidRPr="00C47F2F">
              <w:rPr>
                <w:noProof/>
                <w:sz w:val="20"/>
                <w:szCs w:val="20"/>
              </w:rPr>
              <w:t>1.53E-03</w:t>
            </w:r>
          </w:p>
        </w:tc>
        <w:tc>
          <w:tcPr>
            <w:tcW w:w="1006" w:type="dxa"/>
            <w:shd w:val="clear" w:color="auto" w:fill="auto"/>
            <w:noWrap/>
            <w:vAlign w:val="center"/>
          </w:tcPr>
          <w:p w14:paraId="04755E50" w14:textId="77777777" w:rsidR="00195D93" w:rsidRPr="00C47F2F" w:rsidRDefault="00195D93" w:rsidP="006243FB">
            <w:pPr>
              <w:pStyle w:val="Table"/>
              <w:rPr>
                <w:noProof/>
                <w:sz w:val="20"/>
                <w:szCs w:val="20"/>
              </w:rPr>
            </w:pPr>
            <w:r w:rsidRPr="00C47F2F">
              <w:rPr>
                <w:noProof/>
                <w:sz w:val="20"/>
                <w:szCs w:val="20"/>
              </w:rPr>
              <w:t>9.04E-04</w:t>
            </w:r>
          </w:p>
        </w:tc>
        <w:tc>
          <w:tcPr>
            <w:tcW w:w="1006" w:type="dxa"/>
            <w:shd w:val="clear" w:color="auto" w:fill="auto"/>
            <w:noWrap/>
            <w:vAlign w:val="center"/>
          </w:tcPr>
          <w:p w14:paraId="25AFE35A" w14:textId="77777777" w:rsidR="00195D93" w:rsidRPr="00C47F2F" w:rsidRDefault="00195D93" w:rsidP="006243FB">
            <w:pPr>
              <w:pStyle w:val="Table"/>
              <w:rPr>
                <w:noProof/>
                <w:sz w:val="20"/>
                <w:szCs w:val="20"/>
              </w:rPr>
            </w:pPr>
            <w:r w:rsidRPr="00C47F2F">
              <w:rPr>
                <w:noProof/>
                <w:sz w:val="20"/>
                <w:szCs w:val="20"/>
              </w:rPr>
              <w:t>5.21E-04</w:t>
            </w:r>
          </w:p>
        </w:tc>
        <w:tc>
          <w:tcPr>
            <w:tcW w:w="1001" w:type="dxa"/>
            <w:shd w:val="clear" w:color="auto" w:fill="auto"/>
            <w:noWrap/>
            <w:vAlign w:val="center"/>
          </w:tcPr>
          <w:p w14:paraId="67B1C7B0" w14:textId="77777777" w:rsidR="00195D93" w:rsidRPr="00C47F2F" w:rsidRDefault="00195D93" w:rsidP="006243FB">
            <w:pPr>
              <w:pStyle w:val="Table"/>
              <w:rPr>
                <w:noProof/>
                <w:sz w:val="20"/>
                <w:szCs w:val="20"/>
              </w:rPr>
            </w:pPr>
            <w:r w:rsidRPr="00C47F2F">
              <w:rPr>
                <w:noProof/>
                <w:sz w:val="20"/>
                <w:szCs w:val="20"/>
              </w:rPr>
              <w:t>4.11E-05</w:t>
            </w:r>
          </w:p>
        </w:tc>
      </w:tr>
      <w:tr w:rsidR="00195D93" w:rsidRPr="00972C81" w14:paraId="71A3BB7C" w14:textId="77777777" w:rsidTr="006243FB">
        <w:trPr>
          <w:trHeight w:val="340"/>
        </w:trPr>
        <w:tc>
          <w:tcPr>
            <w:tcW w:w="2992" w:type="dxa"/>
            <w:shd w:val="clear" w:color="auto" w:fill="auto"/>
            <w:noWrap/>
            <w:vAlign w:val="center"/>
          </w:tcPr>
          <w:p w14:paraId="71EFCEF7" w14:textId="2295BAE5" w:rsidR="00195D93" w:rsidRPr="00195D93" w:rsidRDefault="00195D93" w:rsidP="006243FB">
            <w:pPr>
              <w:pStyle w:val="Table"/>
              <w:rPr>
                <w:noProof/>
                <w:sz w:val="20"/>
                <w:szCs w:val="22"/>
              </w:rPr>
            </w:pPr>
            <w:r w:rsidRPr="00195D93">
              <w:rPr>
                <w:noProof/>
                <w:sz w:val="20"/>
                <w:szCs w:val="22"/>
              </w:rPr>
              <w:t>Cort bone vol to Cort marrow</w:t>
            </w:r>
          </w:p>
        </w:tc>
        <w:tc>
          <w:tcPr>
            <w:tcW w:w="1010" w:type="dxa"/>
            <w:shd w:val="clear" w:color="auto" w:fill="auto"/>
            <w:noWrap/>
            <w:vAlign w:val="center"/>
          </w:tcPr>
          <w:p w14:paraId="17E3D777" w14:textId="77777777" w:rsidR="00195D93" w:rsidRPr="00C47F2F" w:rsidRDefault="00195D93" w:rsidP="006243FB">
            <w:pPr>
              <w:pStyle w:val="Table"/>
              <w:rPr>
                <w:noProof/>
                <w:sz w:val="20"/>
                <w:szCs w:val="20"/>
              </w:rPr>
            </w:pPr>
            <w:r w:rsidRPr="00C47F2F">
              <w:rPr>
                <w:noProof/>
                <w:sz w:val="20"/>
                <w:szCs w:val="20"/>
              </w:rPr>
              <w:t>8.22E-03</w:t>
            </w:r>
          </w:p>
        </w:tc>
        <w:tc>
          <w:tcPr>
            <w:tcW w:w="1006" w:type="dxa"/>
            <w:shd w:val="clear" w:color="auto" w:fill="auto"/>
            <w:noWrap/>
            <w:vAlign w:val="center"/>
          </w:tcPr>
          <w:p w14:paraId="1ACD9BC4" w14:textId="77777777" w:rsidR="00195D93" w:rsidRPr="00C47F2F" w:rsidRDefault="00195D93" w:rsidP="006243FB">
            <w:pPr>
              <w:pStyle w:val="Table"/>
              <w:rPr>
                <w:noProof/>
                <w:sz w:val="20"/>
                <w:szCs w:val="20"/>
              </w:rPr>
            </w:pPr>
            <w:r w:rsidRPr="00C47F2F">
              <w:rPr>
                <w:noProof/>
                <w:sz w:val="20"/>
                <w:szCs w:val="20"/>
              </w:rPr>
              <w:t>2.88E-03</w:t>
            </w:r>
          </w:p>
        </w:tc>
        <w:tc>
          <w:tcPr>
            <w:tcW w:w="1006" w:type="dxa"/>
            <w:shd w:val="clear" w:color="auto" w:fill="auto"/>
            <w:noWrap/>
            <w:vAlign w:val="center"/>
          </w:tcPr>
          <w:p w14:paraId="5CDD7622" w14:textId="77777777" w:rsidR="00195D93" w:rsidRPr="00C47F2F" w:rsidRDefault="00195D93" w:rsidP="006243FB">
            <w:pPr>
              <w:pStyle w:val="Table"/>
              <w:rPr>
                <w:noProof/>
                <w:sz w:val="20"/>
                <w:szCs w:val="20"/>
              </w:rPr>
            </w:pPr>
            <w:r w:rsidRPr="00C47F2F">
              <w:rPr>
                <w:noProof/>
                <w:sz w:val="20"/>
                <w:szCs w:val="20"/>
              </w:rPr>
              <w:t>1.53E-03</w:t>
            </w:r>
          </w:p>
        </w:tc>
        <w:tc>
          <w:tcPr>
            <w:tcW w:w="1006" w:type="dxa"/>
            <w:shd w:val="clear" w:color="auto" w:fill="auto"/>
            <w:noWrap/>
            <w:vAlign w:val="center"/>
          </w:tcPr>
          <w:p w14:paraId="3709DE94" w14:textId="77777777" w:rsidR="00195D93" w:rsidRPr="00C47F2F" w:rsidRDefault="00195D93" w:rsidP="006243FB">
            <w:pPr>
              <w:pStyle w:val="Table"/>
              <w:rPr>
                <w:noProof/>
                <w:sz w:val="20"/>
                <w:szCs w:val="20"/>
              </w:rPr>
            </w:pPr>
            <w:r w:rsidRPr="00C47F2F">
              <w:rPr>
                <w:noProof/>
                <w:sz w:val="20"/>
                <w:szCs w:val="20"/>
              </w:rPr>
              <w:t>9.04E-04</w:t>
            </w:r>
          </w:p>
        </w:tc>
        <w:tc>
          <w:tcPr>
            <w:tcW w:w="1006" w:type="dxa"/>
            <w:shd w:val="clear" w:color="auto" w:fill="auto"/>
            <w:noWrap/>
            <w:vAlign w:val="center"/>
          </w:tcPr>
          <w:p w14:paraId="10ACA0A5" w14:textId="77777777" w:rsidR="00195D93" w:rsidRPr="00C47F2F" w:rsidRDefault="00195D93" w:rsidP="006243FB">
            <w:pPr>
              <w:pStyle w:val="Table"/>
              <w:rPr>
                <w:noProof/>
                <w:sz w:val="20"/>
                <w:szCs w:val="20"/>
              </w:rPr>
            </w:pPr>
            <w:r w:rsidRPr="00C47F2F">
              <w:rPr>
                <w:noProof/>
                <w:sz w:val="20"/>
                <w:szCs w:val="20"/>
              </w:rPr>
              <w:t>5.21E-04</w:t>
            </w:r>
          </w:p>
        </w:tc>
        <w:tc>
          <w:tcPr>
            <w:tcW w:w="1001" w:type="dxa"/>
            <w:shd w:val="clear" w:color="auto" w:fill="auto"/>
            <w:noWrap/>
            <w:vAlign w:val="center"/>
          </w:tcPr>
          <w:p w14:paraId="499B9B5B" w14:textId="77777777" w:rsidR="00195D93" w:rsidRPr="00C47F2F" w:rsidRDefault="00195D93" w:rsidP="006243FB">
            <w:pPr>
              <w:pStyle w:val="Table"/>
              <w:rPr>
                <w:noProof/>
                <w:sz w:val="20"/>
                <w:szCs w:val="20"/>
              </w:rPr>
            </w:pPr>
            <w:r w:rsidRPr="00C47F2F">
              <w:rPr>
                <w:noProof/>
                <w:sz w:val="20"/>
                <w:szCs w:val="20"/>
              </w:rPr>
              <w:t>8.21E-05</w:t>
            </w:r>
          </w:p>
        </w:tc>
      </w:tr>
      <w:tr w:rsidR="00195D93" w:rsidRPr="00972C81" w14:paraId="7AAD1A5F" w14:textId="77777777" w:rsidTr="006243FB">
        <w:trPr>
          <w:trHeight w:val="340"/>
        </w:trPr>
        <w:tc>
          <w:tcPr>
            <w:tcW w:w="2992" w:type="dxa"/>
            <w:shd w:val="clear" w:color="auto" w:fill="auto"/>
            <w:noWrap/>
            <w:vAlign w:val="center"/>
          </w:tcPr>
          <w:p w14:paraId="315C848D" w14:textId="6FC4D7FF" w:rsidR="00195D93" w:rsidRPr="00195D93" w:rsidRDefault="00195D93" w:rsidP="006243FB">
            <w:pPr>
              <w:pStyle w:val="Table"/>
              <w:rPr>
                <w:noProof/>
                <w:sz w:val="20"/>
                <w:szCs w:val="22"/>
              </w:rPr>
            </w:pPr>
            <w:r w:rsidRPr="00195D93">
              <w:rPr>
                <w:noProof/>
                <w:sz w:val="20"/>
                <w:szCs w:val="22"/>
              </w:rPr>
              <w:t>Trab marrow to Blood</w:t>
            </w:r>
          </w:p>
        </w:tc>
        <w:tc>
          <w:tcPr>
            <w:tcW w:w="1010" w:type="dxa"/>
            <w:shd w:val="clear" w:color="auto" w:fill="auto"/>
            <w:noWrap/>
            <w:vAlign w:val="center"/>
          </w:tcPr>
          <w:p w14:paraId="4555DC7B" w14:textId="77777777" w:rsidR="00195D93" w:rsidRPr="00C47F2F" w:rsidRDefault="00195D93" w:rsidP="006243FB">
            <w:pPr>
              <w:pStyle w:val="Table"/>
              <w:rPr>
                <w:noProof/>
                <w:sz w:val="20"/>
                <w:szCs w:val="20"/>
              </w:rPr>
            </w:pPr>
            <w:r w:rsidRPr="00C47F2F">
              <w:rPr>
                <w:noProof/>
                <w:sz w:val="20"/>
                <w:szCs w:val="20"/>
              </w:rPr>
              <w:t>7.60E-03</w:t>
            </w:r>
          </w:p>
        </w:tc>
        <w:tc>
          <w:tcPr>
            <w:tcW w:w="1006" w:type="dxa"/>
            <w:shd w:val="clear" w:color="auto" w:fill="auto"/>
            <w:noWrap/>
            <w:vAlign w:val="center"/>
          </w:tcPr>
          <w:p w14:paraId="09F82A90" w14:textId="77777777" w:rsidR="00195D93" w:rsidRPr="00C47F2F" w:rsidRDefault="00195D93" w:rsidP="006243FB">
            <w:pPr>
              <w:pStyle w:val="Table"/>
              <w:rPr>
                <w:noProof/>
                <w:sz w:val="20"/>
                <w:szCs w:val="20"/>
              </w:rPr>
            </w:pPr>
            <w:r w:rsidRPr="00C47F2F">
              <w:rPr>
                <w:noProof/>
                <w:sz w:val="20"/>
                <w:szCs w:val="20"/>
              </w:rPr>
              <w:t>7.60E-03</w:t>
            </w:r>
          </w:p>
        </w:tc>
        <w:tc>
          <w:tcPr>
            <w:tcW w:w="1006" w:type="dxa"/>
            <w:shd w:val="clear" w:color="auto" w:fill="auto"/>
            <w:noWrap/>
            <w:vAlign w:val="center"/>
          </w:tcPr>
          <w:p w14:paraId="10857B8E" w14:textId="77777777" w:rsidR="00195D93" w:rsidRPr="00C47F2F" w:rsidRDefault="00195D93" w:rsidP="006243FB">
            <w:pPr>
              <w:pStyle w:val="Table"/>
              <w:rPr>
                <w:noProof/>
                <w:sz w:val="20"/>
                <w:szCs w:val="20"/>
              </w:rPr>
            </w:pPr>
            <w:r w:rsidRPr="00C47F2F">
              <w:rPr>
                <w:noProof/>
                <w:sz w:val="20"/>
                <w:szCs w:val="20"/>
              </w:rPr>
              <w:t>7.60E-03</w:t>
            </w:r>
          </w:p>
        </w:tc>
        <w:tc>
          <w:tcPr>
            <w:tcW w:w="1006" w:type="dxa"/>
            <w:shd w:val="clear" w:color="auto" w:fill="auto"/>
            <w:noWrap/>
            <w:vAlign w:val="center"/>
          </w:tcPr>
          <w:p w14:paraId="6BE1B4A0" w14:textId="77777777" w:rsidR="00195D93" w:rsidRPr="00C47F2F" w:rsidRDefault="00195D93" w:rsidP="006243FB">
            <w:pPr>
              <w:pStyle w:val="Table"/>
              <w:rPr>
                <w:noProof/>
                <w:sz w:val="20"/>
                <w:szCs w:val="20"/>
              </w:rPr>
            </w:pPr>
            <w:r w:rsidRPr="00C47F2F">
              <w:rPr>
                <w:noProof/>
                <w:sz w:val="20"/>
                <w:szCs w:val="20"/>
              </w:rPr>
              <w:t>7.60E-03</w:t>
            </w:r>
          </w:p>
        </w:tc>
        <w:tc>
          <w:tcPr>
            <w:tcW w:w="1006" w:type="dxa"/>
            <w:shd w:val="clear" w:color="auto" w:fill="auto"/>
            <w:noWrap/>
            <w:vAlign w:val="center"/>
          </w:tcPr>
          <w:p w14:paraId="4CDB4740" w14:textId="77777777" w:rsidR="00195D93" w:rsidRPr="00C47F2F" w:rsidRDefault="00195D93" w:rsidP="006243FB">
            <w:pPr>
              <w:pStyle w:val="Table"/>
              <w:rPr>
                <w:noProof/>
                <w:sz w:val="20"/>
                <w:szCs w:val="20"/>
              </w:rPr>
            </w:pPr>
            <w:r w:rsidRPr="00C47F2F">
              <w:rPr>
                <w:noProof/>
                <w:sz w:val="20"/>
                <w:szCs w:val="20"/>
              </w:rPr>
              <w:t>7.60E-03</w:t>
            </w:r>
          </w:p>
        </w:tc>
        <w:tc>
          <w:tcPr>
            <w:tcW w:w="1001" w:type="dxa"/>
            <w:shd w:val="clear" w:color="auto" w:fill="auto"/>
            <w:noWrap/>
            <w:vAlign w:val="center"/>
          </w:tcPr>
          <w:p w14:paraId="13493619" w14:textId="77777777" w:rsidR="00195D93" w:rsidRPr="00C47F2F" w:rsidRDefault="00195D93" w:rsidP="006243FB">
            <w:pPr>
              <w:pStyle w:val="Table"/>
              <w:rPr>
                <w:noProof/>
                <w:sz w:val="20"/>
                <w:szCs w:val="20"/>
              </w:rPr>
            </w:pPr>
            <w:r w:rsidRPr="00C47F2F">
              <w:rPr>
                <w:noProof/>
                <w:sz w:val="20"/>
                <w:szCs w:val="20"/>
              </w:rPr>
              <w:t>7.60E-03</w:t>
            </w:r>
          </w:p>
        </w:tc>
      </w:tr>
      <w:tr w:rsidR="00195D93" w:rsidRPr="00972C81" w14:paraId="071286F2" w14:textId="77777777" w:rsidTr="006243FB">
        <w:trPr>
          <w:trHeight w:val="340"/>
        </w:trPr>
        <w:tc>
          <w:tcPr>
            <w:tcW w:w="2992" w:type="dxa"/>
            <w:shd w:val="clear" w:color="auto" w:fill="auto"/>
            <w:noWrap/>
            <w:vAlign w:val="center"/>
          </w:tcPr>
          <w:p w14:paraId="5DD99EAE" w14:textId="0F9B6A54" w:rsidR="00195D93" w:rsidRPr="00195D93" w:rsidRDefault="00195D93" w:rsidP="006243FB">
            <w:pPr>
              <w:pStyle w:val="Table"/>
              <w:rPr>
                <w:noProof/>
                <w:sz w:val="20"/>
                <w:szCs w:val="22"/>
              </w:rPr>
            </w:pPr>
            <w:r w:rsidRPr="00195D93">
              <w:rPr>
                <w:noProof/>
                <w:sz w:val="20"/>
                <w:szCs w:val="22"/>
              </w:rPr>
              <w:t>Trab bone surf to Trab marrow</w:t>
            </w:r>
          </w:p>
        </w:tc>
        <w:tc>
          <w:tcPr>
            <w:tcW w:w="1010" w:type="dxa"/>
            <w:shd w:val="clear" w:color="auto" w:fill="auto"/>
            <w:noWrap/>
            <w:vAlign w:val="center"/>
          </w:tcPr>
          <w:p w14:paraId="00A94FE8" w14:textId="77777777" w:rsidR="00195D93" w:rsidRPr="00C47F2F" w:rsidRDefault="00195D93" w:rsidP="006243FB">
            <w:pPr>
              <w:pStyle w:val="Table"/>
              <w:rPr>
                <w:noProof/>
                <w:sz w:val="20"/>
                <w:szCs w:val="20"/>
              </w:rPr>
            </w:pPr>
            <w:r w:rsidRPr="00C47F2F">
              <w:rPr>
                <w:noProof/>
                <w:sz w:val="20"/>
                <w:szCs w:val="20"/>
              </w:rPr>
              <w:t>8.22E-03</w:t>
            </w:r>
          </w:p>
        </w:tc>
        <w:tc>
          <w:tcPr>
            <w:tcW w:w="1006" w:type="dxa"/>
            <w:shd w:val="clear" w:color="auto" w:fill="auto"/>
            <w:noWrap/>
            <w:vAlign w:val="center"/>
          </w:tcPr>
          <w:p w14:paraId="7A6B30D3" w14:textId="77777777" w:rsidR="00195D93" w:rsidRPr="00C47F2F" w:rsidRDefault="00195D93" w:rsidP="006243FB">
            <w:pPr>
              <w:pStyle w:val="Table"/>
              <w:rPr>
                <w:noProof/>
                <w:sz w:val="20"/>
                <w:szCs w:val="20"/>
              </w:rPr>
            </w:pPr>
            <w:r w:rsidRPr="00C47F2F">
              <w:rPr>
                <w:noProof/>
                <w:sz w:val="20"/>
                <w:szCs w:val="20"/>
              </w:rPr>
              <w:t>2.88E-03</w:t>
            </w:r>
          </w:p>
        </w:tc>
        <w:tc>
          <w:tcPr>
            <w:tcW w:w="1006" w:type="dxa"/>
            <w:shd w:val="clear" w:color="auto" w:fill="auto"/>
            <w:noWrap/>
            <w:vAlign w:val="center"/>
          </w:tcPr>
          <w:p w14:paraId="7D3CFBAC" w14:textId="77777777" w:rsidR="00195D93" w:rsidRPr="00C47F2F" w:rsidRDefault="00195D93" w:rsidP="006243FB">
            <w:pPr>
              <w:pStyle w:val="Table"/>
              <w:rPr>
                <w:noProof/>
                <w:sz w:val="20"/>
                <w:szCs w:val="20"/>
              </w:rPr>
            </w:pPr>
            <w:r w:rsidRPr="00C47F2F">
              <w:rPr>
                <w:noProof/>
                <w:sz w:val="20"/>
                <w:szCs w:val="20"/>
              </w:rPr>
              <w:t>1.81E-03</w:t>
            </w:r>
          </w:p>
        </w:tc>
        <w:tc>
          <w:tcPr>
            <w:tcW w:w="1006" w:type="dxa"/>
            <w:shd w:val="clear" w:color="auto" w:fill="auto"/>
            <w:noWrap/>
            <w:vAlign w:val="center"/>
          </w:tcPr>
          <w:p w14:paraId="278FE5CE" w14:textId="77777777" w:rsidR="00195D93" w:rsidRPr="00C47F2F" w:rsidRDefault="00195D93" w:rsidP="006243FB">
            <w:pPr>
              <w:pStyle w:val="Table"/>
              <w:rPr>
                <w:noProof/>
                <w:sz w:val="20"/>
                <w:szCs w:val="20"/>
              </w:rPr>
            </w:pPr>
            <w:r w:rsidRPr="00C47F2F">
              <w:rPr>
                <w:noProof/>
                <w:sz w:val="20"/>
                <w:szCs w:val="20"/>
              </w:rPr>
              <w:t>1.32E-03</w:t>
            </w:r>
          </w:p>
        </w:tc>
        <w:tc>
          <w:tcPr>
            <w:tcW w:w="1006" w:type="dxa"/>
            <w:shd w:val="clear" w:color="auto" w:fill="auto"/>
            <w:noWrap/>
            <w:vAlign w:val="center"/>
          </w:tcPr>
          <w:p w14:paraId="566FCE1A" w14:textId="77777777" w:rsidR="00195D93" w:rsidRPr="00C47F2F" w:rsidRDefault="00195D93" w:rsidP="006243FB">
            <w:pPr>
              <w:pStyle w:val="Table"/>
              <w:rPr>
                <w:noProof/>
                <w:sz w:val="20"/>
                <w:szCs w:val="20"/>
              </w:rPr>
            </w:pPr>
            <w:r w:rsidRPr="00C47F2F">
              <w:rPr>
                <w:noProof/>
                <w:sz w:val="20"/>
                <w:szCs w:val="20"/>
              </w:rPr>
              <w:t>9.59E-04</w:t>
            </w:r>
          </w:p>
        </w:tc>
        <w:tc>
          <w:tcPr>
            <w:tcW w:w="1001" w:type="dxa"/>
            <w:shd w:val="clear" w:color="auto" w:fill="auto"/>
            <w:noWrap/>
            <w:vAlign w:val="center"/>
          </w:tcPr>
          <w:p w14:paraId="1A42931D" w14:textId="77777777" w:rsidR="00195D93" w:rsidRPr="00C47F2F" w:rsidRDefault="00195D93" w:rsidP="006243FB">
            <w:pPr>
              <w:pStyle w:val="Table"/>
              <w:rPr>
                <w:noProof/>
                <w:sz w:val="20"/>
                <w:szCs w:val="20"/>
              </w:rPr>
            </w:pPr>
            <w:r w:rsidRPr="00C47F2F">
              <w:rPr>
                <w:noProof/>
                <w:sz w:val="20"/>
                <w:szCs w:val="20"/>
              </w:rPr>
              <w:t>4.93E-04</w:t>
            </w:r>
          </w:p>
        </w:tc>
      </w:tr>
      <w:tr w:rsidR="00195D93" w:rsidRPr="00972C81" w14:paraId="6A4881CE" w14:textId="77777777" w:rsidTr="006243FB">
        <w:trPr>
          <w:trHeight w:val="340"/>
        </w:trPr>
        <w:tc>
          <w:tcPr>
            <w:tcW w:w="2992" w:type="dxa"/>
            <w:shd w:val="clear" w:color="auto" w:fill="auto"/>
            <w:noWrap/>
            <w:vAlign w:val="center"/>
          </w:tcPr>
          <w:p w14:paraId="6CCFA95C" w14:textId="481365DC" w:rsidR="00195D93" w:rsidRPr="00195D93" w:rsidRDefault="00195D93" w:rsidP="006243FB">
            <w:pPr>
              <w:pStyle w:val="Table"/>
              <w:rPr>
                <w:noProof/>
                <w:sz w:val="20"/>
                <w:szCs w:val="22"/>
              </w:rPr>
            </w:pPr>
            <w:r w:rsidRPr="00195D93">
              <w:rPr>
                <w:noProof/>
                <w:sz w:val="20"/>
                <w:szCs w:val="22"/>
              </w:rPr>
              <w:t>Trab bone surf to Trab bone vol</w:t>
            </w:r>
          </w:p>
        </w:tc>
        <w:tc>
          <w:tcPr>
            <w:tcW w:w="1010" w:type="dxa"/>
            <w:shd w:val="clear" w:color="auto" w:fill="auto"/>
            <w:noWrap/>
            <w:vAlign w:val="center"/>
          </w:tcPr>
          <w:p w14:paraId="75A11825" w14:textId="77777777" w:rsidR="00195D93" w:rsidRPr="00C47F2F" w:rsidRDefault="00195D93" w:rsidP="006243FB">
            <w:pPr>
              <w:pStyle w:val="Table"/>
              <w:rPr>
                <w:noProof/>
                <w:sz w:val="20"/>
                <w:szCs w:val="20"/>
              </w:rPr>
            </w:pPr>
            <w:r w:rsidRPr="00C47F2F">
              <w:rPr>
                <w:noProof/>
                <w:sz w:val="20"/>
                <w:szCs w:val="20"/>
              </w:rPr>
              <w:t>8.22E-03</w:t>
            </w:r>
          </w:p>
        </w:tc>
        <w:tc>
          <w:tcPr>
            <w:tcW w:w="1006" w:type="dxa"/>
            <w:shd w:val="clear" w:color="auto" w:fill="auto"/>
            <w:noWrap/>
            <w:vAlign w:val="center"/>
          </w:tcPr>
          <w:p w14:paraId="402828AB" w14:textId="77777777" w:rsidR="00195D93" w:rsidRPr="00C47F2F" w:rsidRDefault="00195D93" w:rsidP="006243FB">
            <w:pPr>
              <w:pStyle w:val="Table"/>
              <w:rPr>
                <w:noProof/>
                <w:sz w:val="20"/>
                <w:szCs w:val="20"/>
              </w:rPr>
            </w:pPr>
            <w:r w:rsidRPr="00C47F2F">
              <w:rPr>
                <w:noProof/>
                <w:sz w:val="20"/>
                <w:szCs w:val="20"/>
              </w:rPr>
              <w:t>2.88E-03</w:t>
            </w:r>
          </w:p>
        </w:tc>
        <w:tc>
          <w:tcPr>
            <w:tcW w:w="1006" w:type="dxa"/>
            <w:shd w:val="clear" w:color="auto" w:fill="auto"/>
            <w:noWrap/>
            <w:vAlign w:val="center"/>
          </w:tcPr>
          <w:p w14:paraId="5FAD113E" w14:textId="77777777" w:rsidR="00195D93" w:rsidRPr="00C47F2F" w:rsidRDefault="00195D93" w:rsidP="006243FB">
            <w:pPr>
              <w:pStyle w:val="Table"/>
              <w:rPr>
                <w:noProof/>
                <w:sz w:val="20"/>
                <w:szCs w:val="20"/>
              </w:rPr>
            </w:pPr>
            <w:r w:rsidRPr="00C47F2F">
              <w:rPr>
                <w:noProof/>
                <w:sz w:val="20"/>
                <w:szCs w:val="20"/>
              </w:rPr>
              <w:t>1.81E-03</w:t>
            </w:r>
          </w:p>
        </w:tc>
        <w:tc>
          <w:tcPr>
            <w:tcW w:w="1006" w:type="dxa"/>
            <w:shd w:val="clear" w:color="auto" w:fill="auto"/>
            <w:noWrap/>
            <w:vAlign w:val="center"/>
          </w:tcPr>
          <w:p w14:paraId="0D7B71A9" w14:textId="77777777" w:rsidR="00195D93" w:rsidRPr="00C47F2F" w:rsidRDefault="00195D93" w:rsidP="006243FB">
            <w:pPr>
              <w:pStyle w:val="Table"/>
              <w:rPr>
                <w:noProof/>
                <w:sz w:val="20"/>
                <w:szCs w:val="20"/>
              </w:rPr>
            </w:pPr>
            <w:r w:rsidRPr="00C47F2F">
              <w:rPr>
                <w:noProof/>
                <w:sz w:val="20"/>
                <w:szCs w:val="20"/>
              </w:rPr>
              <w:t>1.32E-03</w:t>
            </w:r>
          </w:p>
        </w:tc>
        <w:tc>
          <w:tcPr>
            <w:tcW w:w="1006" w:type="dxa"/>
            <w:shd w:val="clear" w:color="auto" w:fill="auto"/>
            <w:noWrap/>
            <w:vAlign w:val="center"/>
          </w:tcPr>
          <w:p w14:paraId="53C416B7" w14:textId="77777777" w:rsidR="00195D93" w:rsidRPr="00C47F2F" w:rsidRDefault="00195D93" w:rsidP="006243FB">
            <w:pPr>
              <w:pStyle w:val="Table"/>
              <w:rPr>
                <w:noProof/>
                <w:sz w:val="20"/>
                <w:szCs w:val="20"/>
              </w:rPr>
            </w:pPr>
            <w:r w:rsidRPr="00C47F2F">
              <w:rPr>
                <w:noProof/>
                <w:sz w:val="20"/>
                <w:szCs w:val="20"/>
              </w:rPr>
              <w:t>9.59E-04</w:t>
            </w:r>
          </w:p>
        </w:tc>
        <w:tc>
          <w:tcPr>
            <w:tcW w:w="1001" w:type="dxa"/>
            <w:shd w:val="clear" w:color="auto" w:fill="auto"/>
            <w:noWrap/>
            <w:vAlign w:val="center"/>
          </w:tcPr>
          <w:p w14:paraId="24A85EC5" w14:textId="77777777" w:rsidR="00195D93" w:rsidRPr="00C47F2F" w:rsidRDefault="00195D93" w:rsidP="006243FB">
            <w:pPr>
              <w:pStyle w:val="Table"/>
              <w:rPr>
                <w:noProof/>
                <w:sz w:val="20"/>
                <w:szCs w:val="20"/>
              </w:rPr>
            </w:pPr>
            <w:r w:rsidRPr="00C47F2F">
              <w:rPr>
                <w:noProof/>
                <w:sz w:val="20"/>
                <w:szCs w:val="20"/>
              </w:rPr>
              <w:t>2.47E-04</w:t>
            </w:r>
          </w:p>
        </w:tc>
      </w:tr>
      <w:tr w:rsidR="00195D93" w:rsidRPr="00972C81" w14:paraId="14A2E135" w14:textId="77777777" w:rsidTr="006243FB">
        <w:trPr>
          <w:trHeight w:val="340"/>
        </w:trPr>
        <w:tc>
          <w:tcPr>
            <w:tcW w:w="2992" w:type="dxa"/>
            <w:shd w:val="clear" w:color="auto" w:fill="auto"/>
            <w:noWrap/>
            <w:vAlign w:val="center"/>
          </w:tcPr>
          <w:p w14:paraId="7AA8BEA8" w14:textId="0C07BFDC" w:rsidR="00195D93" w:rsidRPr="00195D93" w:rsidRDefault="00195D93" w:rsidP="006243FB">
            <w:pPr>
              <w:pStyle w:val="Table"/>
              <w:rPr>
                <w:noProof/>
                <w:sz w:val="20"/>
                <w:szCs w:val="22"/>
              </w:rPr>
            </w:pPr>
            <w:r w:rsidRPr="00195D93">
              <w:rPr>
                <w:noProof/>
                <w:sz w:val="20"/>
                <w:szCs w:val="22"/>
              </w:rPr>
              <w:t>Trab bone vol to Trab marrow</w:t>
            </w:r>
          </w:p>
        </w:tc>
        <w:tc>
          <w:tcPr>
            <w:tcW w:w="1010" w:type="dxa"/>
            <w:shd w:val="clear" w:color="auto" w:fill="auto"/>
            <w:noWrap/>
            <w:vAlign w:val="center"/>
          </w:tcPr>
          <w:p w14:paraId="36A738C7" w14:textId="77777777" w:rsidR="00195D93" w:rsidRPr="00C47F2F" w:rsidRDefault="00195D93" w:rsidP="006243FB">
            <w:pPr>
              <w:pStyle w:val="Table"/>
              <w:rPr>
                <w:noProof/>
                <w:sz w:val="20"/>
                <w:szCs w:val="20"/>
              </w:rPr>
            </w:pPr>
            <w:r w:rsidRPr="00C47F2F">
              <w:rPr>
                <w:noProof/>
                <w:sz w:val="20"/>
                <w:szCs w:val="20"/>
              </w:rPr>
              <w:t>8.22E-03</w:t>
            </w:r>
          </w:p>
        </w:tc>
        <w:tc>
          <w:tcPr>
            <w:tcW w:w="1006" w:type="dxa"/>
            <w:shd w:val="clear" w:color="auto" w:fill="auto"/>
            <w:noWrap/>
            <w:vAlign w:val="center"/>
          </w:tcPr>
          <w:p w14:paraId="483A0CF9" w14:textId="77777777" w:rsidR="00195D93" w:rsidRPr="00C47F2F" w:rsidRDefault="00195D93" w:rsidP="006243FB">
            <w:pPr>
              <w:pStyle w:val="Table"/>
              <w:rPr>
                <w:noProof/>
                <w:sz w:val="20"/>
                <w:szCs w:val="20"/>
              </w:rPr>
            </w:pPr>
            <w:r w:rsidRPr="00C47F2F">
              <w:rPr>
                <w:noProof/>
                <w:sz w:val="20"/>
                <w:szCs w:val="20"/>
              </w:rPr>
              <w:t>2.88E-03</w:t>
            </w:r>
          </w:p>
        </w:tc>
        <w:tc>
          <w:tcPr>
            <w:tcW w:w="1006" w:type="dxa"/>
            <w:shd w:val="clear" w:color="auto" w:fill="auto"/>
            <w:noWrap/>
            <w:vAlign w:val="center"/>
          </w:tcPr>
          <w:p w14:paraId="76108EC3" w14:textId="77777777" w:rsidR="00195D93" w:rsidRPr="00C47F2F" w:rsidRDefault="00195D93" w:rsidP="006243FB">
            <w:pPr>
              <w:pStyle w:val="Table"/>
              <w:rPr>
                <w:noProof/>
                <w:sz w:val="20"/>
                <w:szCs w:val="20"/>
              </w:rPr>
            </w:pPr>
            <w:r w:rsidRPr="00C47F2F">
              <w:rPr>
                <w:noProof/>
                <w:sz w:val="20"/>
                <w:szCs w:val="20"/>
              </w:rPr>
              <w:t>1.81E-03</w:t>
            </w:r>
          </w:p>
        </w:tc>
        <w:tc>
          <w:tcPr>
            <w:tcW w:w="1006" w:type="dxa"/>
            <w:shd w:val="clear" w:color="auto" w:fill="auto"/>
            <w:noWrap/>
            <w:vAlign w:val="center"/>
          </w:tcPr>
          <w:p w14:paraId="7441B4AA" w14:textId="77777777" w:rsidR="00195D93" w:rsidRPr="00C47F2F" w:rsidRDefault="00195D93" w:rsidP="006243FB">
            <w:pPr>
              <w:pStyle w:val="Table"/>
              <w:rPr>
                <w:noProof/>
                <w:sz w:val="20"/>
                <w:szCs w:val="20"/>
              </w:rPr>
            </w:pPr>
            <w:r w:rsidRPr="00C47F2F">
              <w:rPr>
                <w:noProof/>
                <w:sz w:val="20"/>
                <w:szCs w:val="20"/>
              </w:rPr>
              <w:t>1.32E-03</w:t>
            </w:r>
          </w:p>
        </w:tc>
        <w:tc>
          <w:tcPr>
            <w:tcW w:w="1006" w:type="dxa"/>
            <w:shd w:val="clear" w:color="auto" w:fill="auto"/>
            <w:noWrap/>
            <w:vAlign w:val="center"/>
          </w:tcPr>
          <w:p w14:paraId="17BCD845" w14:textId="77777777" w:rsidR="00195D93" w:rsidRPr="00C47F2F" w:rsidRDefault="00195D93" w:rsidP="006243FB">
            <w:pPr>
              <w:pStyle w:val="Table"/>
              <w:rPr>
                <w:noProof/>
                <w:sz w:val="20"/>
                <w:szCs w:val="20"/>
              </w:rPr>
            </w:pPr>
            <w:r w:rsidRPr="00C47F2F">
              <w:rPr>
                <w:noProof/>
                <w:sz w:val="20"/>
                <w:szCs w:val="20"/>
              </w:rPr>
              <w:t>9.59E-04</w:t>
            </w:r>
          </w:p>
        </w:tc>
        <w:tc>
          <w:tcPr>
            <w:tcW w:w="1001" w:type="dxa"/>
            <w:shd w:val="clear" w:color="auto" w:fill="auto"/>
            <w:noWrap/>
            <w:vAlign w:val="center"/>
          </w:tcPr>
          <w:p w14:paraId="42C181F1" w14:textId="77777777" w:rsidR="00195D93" w:rsidRPr="00C47F2F" w:rsidRDefault="00195D93" w:rsidP="006243FB">
            <w:pPr>
              <w:pStyle w:val="Table"/>
              <w:rPr>
                <w:noProof/>
                <w:sz w:val="20"/>
                <w:szCs w:val="20"/>
              </w:rPr>
            </w:pPr>
            <w:r w:rsidRPr="00C47F2F">
              <w:rPr>
                <w:noProof/>
                <w:sz w:val="20"/>
                <w:szCs w:val="20"/>
              </w:rPr>
              <w:t>4.93E-04</w:t>
            </w:r>
          </w:p>
        </w:tc>
      </w:tr>
      <w:tr w:rsidR="00195D93" w:rsidRPr="00972C81" w14:paraId="047836BF" w14:textId="77777777" w:rsidTr="006243FB">
        <w:trPr>
          <w:trHeight w:val="340"/>
        </w:trPr>
        <w:tc>
          <w:tcPr>
            <w:tcW w:w="2992" w:type="dxa"/>
            <w:shd w:val="clear" w:color="auto" w:fill="auto"/>
            <w:noWrap/>
            <w:vAlign w:val="center"/>
          </w:tcPr>
          <w:p w14:paraId="47A65BE3" w14:textId="6DDF68B5" w:rsidR="00195D93" w:rsidRPr="00195D93" w:rsidRDefault="00195D93" w:rsidP="006243FB">
            <w:pPr>
              <w:pStyle w:val="Table"/>
              <w:rPr>
                <w:noProof/>
                <w:sz w:val="20"/>
                <w:szCs w:val="22"/>
              </w:rPr>
            </w:pPr>
            <w:r w:rsidRPr="00195D93">
              <w:rPr>
                <w:noProof/>
                <w:sz w:val="20"/>
                <w:szCs w:val="22"/>
              </w:rPr>
              <w:t>Kidneys 1 to Urinary bladder cont</w:t>
            </w:r>
          </w:p>
        </w:tc>
        <w:tc>
          <w:tcPr>
            <w:tcW w:w="1010" w:type="dxa"/>
            <w:shd w:val="clear" w:color="auto" w:fill="auto"/>
            <w:noWrap/>
            <w:vAlign w:val="center"/>
          </w:tcPr>
          <w:p w14:paraId="541FDEB1" w14:textId="77777777" w:rsidR="00195D93" w:rsidRPr="00C47F2F" w:rsidRDefault="00195D93" w:rsidP="006243FB">
            <w:pPr>
              <w:pStyle w:val="Table"/>
              <w:rPr>
                <w:noProof/>
                <w:sz w:val="20"/>
                <w:szCs w:val="20"/>
              </w:rPr>
            </w:pPr>
            <w:r w:rsidRPr="00C47F2F">
              <w:rPr>
                <w:noProof/>
                <w:sz w:val="20"/>
                <w:szCs w:val="20"/>
              </w:rPr>
              <w:t>9.90E-02</w:t>
            </w:r>
          </w:p>
        </w:tc>
        <w:tc>
          <w:tcPr>
            <w:tcW w:w="1006" w:type="dxa"/>
            <w:shd w:val="clear" w:color="auto" w:fill="auto"/>
            <w:noWrap/>
            <w:vAlign w:val="center"/>
          </w:tcPr>
          <w:p w14:paraId="65AF1439" w14:textId="77777777" w:rsidR="00195D93" w:rsidRPr="00C47F2F" w:rsidRDefault="00195D93" w:rsidP="006243FB">
            <w:pPr>
              <w:pStyle w:val="Table"/>
              <w:rPr>
                <w:noProof/>
                <w:sz w:val="20"/>
                <w:szCs w:val="20"/>
              </w:rPr>
            </w:pPr>
            <w:r w:rsidRPr="00C47F2F">
              <w:rPr>
                <w:noProof/>
                <w:sz w:val="20"/>
                <w:szCs w:val="20"/>
              </w:rPr>
              <w:t>9.90E-02</w:t>
            </w:r>
          </w:p>
        </w:tc>
        <w:tc>
          <w:tcPr>
            <w:tcW w:w="1006" w:type="dxa"/>
            <w:shd w:val="clear" w:color="auto" w:fill="auto"/>
            <w:noWrap/>
            <w:vAlign w:val="center"/>
          </w:tcPr>
          <w:p w14:paraId="08A7CC71" w14:textId="77777777" w:rsidR="00195D93" w:rsidRPr="00C47F2F" w:rsidRDefault="00195D93" w:rsidP="006243FB">
            <w:pPr>
              <w:pStyle w:val="Table"/>
              <w:rPr>
                <w:noProof/>
                <w:sz w:val="20"/>
                <w:szCs w:val="20"/>
              </w:rPr>
            </w:pPr>
            <w:r w:rsidRPr="00C47F2F">
              <w:rPr>
                <w:noProof/>
                <w:sz w:val="20"/>
                <w:szCs w:val="20"/>
              </w:rPr>
              <w:t>9.90E-02</w:t>
            </w:r>
          </w:p>
        </w:tc>
        <w:tc>
          <w:tcPr>
            <w:tcW w:w="1006" w:type="dxa"/>
            <w:shd w:val="clear" w:color="auto" w:fill="auto"/>
            <w:noWrap/>
            <w:vAlign w:val="center"/>
          </w:tcPr>
          <w:p w14:paraId="285AB696" w14:textId="77777777" w:rsidR="00195D93" w:rsidRPr="00C47F2F" w:rsidRDefault="00195D93" w:rsidP="006243FB">
            <w:pPr>
              <w:pStyle w:val="Table"/>
              <w:rPr>
                <w:noProof/>
                <w:sz w:val="20"/>
                <w:szCs w:val="20"/>
              </w:rPr>
            </w:pPr>
            <w:r w:rsidRPr="00C47F2F">
              <w:rPr>
                <w:noProof/>
                <w:sz w:val="20"/>
                <w:szCs w:val="20"/>
              </w:rPr>
              <w:t>9.90E-02</w:t>
            </w:r>
          </w:p>
        </w:tc>
        <w:tc>
          <w:tcPr>
            <w:tcW w:w="1006" w:type="dxa"/>
            <w:shd w:val="clear" w:color="auto" w:fill="auto"/>
            <w:noWrap/>
            <w:vAlign w:val="center"/>
          </w:tcPr>
          <w:p w14:paraId="3B1B606D" w14:textId="77777777" w:rsidR="00195D93" w:rsidRPr="00C47F2F" w:rsidRDefault="00195D93" w:rsidP="006243FB">
            <w:pPr>
              <w:pStyle w:val="Table"/>
              <w:rPr>
                <w:noProof/>
                <w:sz w:val="20"/>
                <w:szCs w:val="20"/>
              </w:rPr>
            </w:pPr>
            <w:r w:rsidRPr="00C47F2F">
              <w:rPr>
                <w:noProof/>
                <w:sz w:val="20"/>
                <w:szCs w:val="20"/>
              </w:rPr>
              <w:t>9.90E-02</w:t>
            </w:r>
          </w:p>
        </w:tc>
        <w:tc>
          <w:tcPr>
            <w:tcW w:w="1001" w:type="dxa"/>
            <w:shd w:val="clear" w:color="auto" w:fill="auto"/>
            <w:noWrap/>
            <w:vAlign w:val="center"/>
          </w:tcPr>
          <w:p w14:paraId="244EF776" w14:textId="77777777" w:rsidR="00195D93" w:rsidRPr="00C47F2F" w:rsidRDefault="00195D93" w:rsidP="006243FB">
            <w:pPr>
              <w:pStyle w:val="Table"/>
              <w:rPr>
                <w:noProof/>
                <w:sz w:val="20"/>
                <w:szCs w:val="20"/>
              </w:rPr>
            </w:pPr>
            <w:r w:rsidRPr="00C47F2F">
              <w:rPr>
                <w:noProof/>
                <w:sz w:val="20"/>
                <w:szCs w:val="20"/>
              </w:rPr>
              <w:t>9.90E-02</w:t>
            </w:r>
          </w:p>
        </w:tc>
      </w:tr>
      <w:tr w:rsidR="00195D93" w:rsidRPr="00972C81" w14:paraId="233A3020" w14:textId="77777777" w:rsidTr="006243FB">
        <w:trPr>
          <w:trHeight w:val="340"/>
        </w:trPr>
        <w:tc>
          <w:tcPr>
            <w:tcW w:w="2992" w:type="dxa"/>
            <w:shd w:val="clear" w:color="auto" w:fill="auto"/>
            <w:noWrap/>
            <w:vAlign w:val="center"/>
          </w:tcPr>
          <w:p w14:paraId="12D8FECD" w14:textId="35B2A03D" w:rsidR="00195D93" w:rsidRPr="00195D93" w:rsidRDefault="00195D93" w:rsidP="006243FB">
            <w:pPr>
              <w:pStyle w:val="Table"/>
              <w:rPr>
                <w:noProof/>
                <w:sz w:val="20"/>
                <w:szCs w:val="22"/>
              </w:rPr>
            </w:pPr>
            <w:r w:rsidRPr="00195D93">
              <w:rPr>
                <w:noProof/>
                <w:sz w:val="20"/>
                <w:szCs w:val="22"/>
              </w:rPr>
              <w:t>Kidneys 2 to Blood</w:t>
            </w:r>
          </w:p>
        </w:tc>
        <w:tc>
          <w:tcPr>
            <w:tcW w:w="1010" w:type="dxa"/>
            <w:shd w:val="clear" w:color="auto" w:fill="auto"/>
            <w:noWrap/>
            <w:vAlign w:val="center"/>
          </w:tcPr>
          <w:p w14:paraId="29B3C7E7" w14:textId="77777777" w:rsidR="00195D93" w:rsidRPr="00C47F2F" w:rsidRDefault="00195D93" w:rsidP="006243FB">
            <w:pPr>
              <w:pStyle w:val="Table"/>
              <w:rPr>
                <w:noProof/>
                <w:sz w:val="20"/>
                <w:szCs w:val="20"/>
              </w:rPr>
            </w:pPr>
            <w:r w:rsidRPr="00C47F2F">
              <w:rPr>
                <w:noProof/>
                <w:sz w:val="20"/>
                <w:szCs w:val="20"/>
              </w:rPr>
              <w:t>3.80E-04</w:t>
            </w:r>
          </w:p>
        </w:tc>
        <w:tc>
          <w:tcPr>
            <w:tcW w:w="1006" w:type="dxa"/>
            <w:shd w:val="clear" w:color="auto" w:fill="auto"/>
            <w:noWrap/>
            <w:vAlign w:val="center"/>
          </w:tcPr>
          <w:p w14:paraId="7108C30E" w14:textId="77777777" w:rsidR="00195D93" w:rsidRPr="00C47F2F" w:rsidRDefault="00195D93" w:rsidP="006243FB">
            <w:pPr>
              <w:pStyle w:val="Table"/>
              <w:rPr>
                <w:noProof/>
                <w:sz w:val="20"/>
                <w:szCs w:val="20"/>
              </w:rPr>
            </w:pPr>
            <w:r w:rsidRPr="00C47F2F">
              <w:rPr>
                <w:noProof/>
                <w:sz w:val="20"/>
                <w:szCs w:val="20"/>
              </w:rPr>
              <w:t>3.80E-04</w:t>
            </w:r>
          </w:p>
        </w:tc>
        <w:tc>
          <w:tcPr>
            <w:tcW w:w="1006" w:type="dxa"/>
            <w:shd w:val="clear" w:color="auto" w:fill="auto"/>
            <w:noWrap/>
            <w:vAlign w:val="center"/>
          </w:tcPr>
          <w:p w14:paraId="782FDDA1" w14:textId="77777777" w:rsidR="00195D93" w:rsidRPr="00C47F2F" w:rsidRDefault="00195D93" w:rsidP="006243FB">
            <w:pPr>
              <w:pStyle w:val="Table"/>
              <w:rPr>
                <w:noProof/>
                <w:sz w:val="20"/>
                <w:szCs w:val="20"/>
              </w:rPr>
            </w:pPr>
            <w:r w:rsidRPr="00C47F2F">
              <w:rPr>
                <w:noProof/>
                <w:sz w:val="20"/>
                <w:szCs w:val="20"/>
              </w:rPr>
              <w:t>3.80E-04</w:t>
            </w:r>
          </w:p>
        </w:tc>
        <w:tc>
          <w:tcPr>
            <w:tcW w:w="1006" w:type="dxa"/>
            <w:shd w:val="clear" w:color="auto" w:fill="auto"/>
            <w:noWrap/>
            <w:vAlign w:val="center"/>
          </w:tcPr>
          <w:p w14:paraId="5F5658C1" w14:textId="77777777" w:rsidR="00195D93" w:rsidRPr="00C47F2F" w:rsidRDefault="00195D93" w:rsidP="006243FB">
            <w:pPr>
              <w:pStyle w:val="Table"/>
              <w:rPr>
                <w:noProof/>
                <w:sz w:val="20"/>
                <w:szCs w:val="20"/>
              </w:rPr>
            </w:pPr>
            <w:r w:rsidRPr="00C47F2F">
              <w:rPr>
                <w:noProof/>
                <w:sz w:val="20"/>
                <w:szCs w:val="20"/>
              </w:rPr>
              <w:t>3.80E-04</w:t>
            </w:r>
          </w:p>
        </w:tc>
        <w:tc>
          <w:tcPr>
            <w:tcW w:w="1006" w:type="dxa"/>
            <w:shd w:val="clear" w:color="auto" w:fill="auto"/>
            <w:noWrap/>
            <w:vAlign w:val="center"/>
          </w:tcPr>
          <w:p w14:paraId="0E97DA47" w14:textId="77777777" w:rsidR="00195D93" w:rsidRPr="00C47F2F" w:rsidRDefault="00195D93" w:rsidP="006243FB">
            <w:pPr>
              <w:pStyle w:val="Table"/>
              <w:rPr>
                <w:noProof/>
                <w:sz w:val="20"/>
                <w:szCs w:val="20"/>
              </w:rPr>
            </w:pPr>
            <w:r w:rsidRPr="00C47F2F">
              <w:rPr>
                <w:noProof/>
                <w:sz w:val="20"/>
                <w:szCs w:val="20"/>
              </w:rPr>
              <w:t>3.80E-04</w:t>
            </w:r>
          </w:p>
        </w:tc>
        <w:tc>
          <w:tcPr>
            <w:tcW w:w="1001" w:type="dxa"/>
            <w:shd w:val="clear" w:color="auto" w:fill="auto"/>
            <w:noWrap/>
            <w:vAlign w:val="center"/>
          </w:tcPr>
          <w:p w14:paraId="729D9A6D" w14:textId="77777777" w:rsidR="00195D93" w:rsidRPr="00C47F2F" w:rsidRDefault="00195D93" w:rsidP="006243FB">
            <w:pPr>
              <w:pStyle w:val="Table"/>
              <w:rPr>
                <w:noProof/>
                <w:sz w:val="20"/>
                <w:szCs w:val="20"/>
              </w:rPr>
            </w:pPr>
            <w:r w:rsidRPr="00C47F2F">
              <w:rPr>
                <w:noProof/>
                <w:sz w:val="20"/>
                <w:szCs w:val="20"/>
              </w:rPr>
              <w:t>3.80E-04</w:t>
            </w:r>
          </w:p>
        </w:tc>
      </w:tr>
      <w:tr w:rsidR="00195D93" w:rsidRPr="00972C81" w14:paraId="4A90C087" w14:textId="77777777" w:rsidTr="006243FB">
        <w:trPr>
          <w:trHeight w:val="340"/>
        </w:trPr>
        <w:tc>
          <w:tcPr>
            <w:tcW w:w="2992" w:type="dxa"/>
            <w:shd w:val="clear" w:color="auto" w:fill="auto"/>
            <w:noWrap/>
            <w:vAlign w:val="center"/>
          </w:tcPr>
          <w:p w14:paraId="0A54FE17" w14:textId="1FD2CF87" w:rsidR="00195D93" w:rsidRPr="00195D93" w:rsidRDefault="00195D93" w:rsidP="006243FB">
            <w:pPr>
              <w:pStyle w:val="Table"/>
              <w:rPr>
                <w:noProof/>
                <w:sz w:val="20"/>
                <w:szCs w:val="22"/>
              </w:rPr>
            </w:pPr>
            <w:r w:rsidRPr="00195D93">
              <w:rPr>
                <w:noProof/>
                <w:sz w:val="20"/>
                <w:szCs w:val="22"/>
              </w:rPr>
              <w:t>Testes to Blood</w:t>
            </w:r>
          </w:p>
        </w:tc>
        <w:tc>
          <w:tcPr>
            <w:tcW w:w="1010" w:type="dxa"/>
            <w:shd w:val="clear" w:color="auto" w:fill="auto"/>
            <w:noWrap/>
            <w:vAlign w:val="center"/>
          </w:tcPr>
          <w:p w14:paraId="79A47040" w14:textId="77777777" w:rsidR="00195D93" w:rsidRPr="00C47F2F" w:rsidRDefault="00195D93" w:rsidP="006243FB">
            <w:pPr>
              <w:pStyle w:val="Table"/>
              <w:rPr>
                <w:noProof/>
                <w:sz w:val="20"/>
                <w:szCs w:val="20"/>
              </w:rPr>
            </w:pPr>
            <w:r w:rsidRPr="00C47F2F">
              <w:rPr>
                <w:noProof/>
                <w:sz w:val="20"/>
                <w:szCs w:val="20"/>
              </w:rPr>
              <w:t>3.80E-04</w:t>
            </w:r>
          </w:p>
        </w:tc>
        <w:tc>
          <w:tcPr>
            <w:tcW w:w="1006" w:type="dxa"/>
            <w:shd w:val="clear" w:color="auto" w:fill="auto"/>
            <w:noWrap/>
            <w:vAlign w:val="center"/>
          </w:tcPr>
          <w:p w14:paraId="3473346C" w14:textId="77777777" w:rsidR="00195D93" w:rsidRPr="00C47F2F" w:rsidRDefault="00195D93" w:rsidP="006243FB">
            <w:pPr>
              <w:pStyle w:val="Table"/>
              <w:rPr>
                <w:noProof/>
                <w:sz w:val="20"/>
                <w:szCs w:val="20"/>
              </w:rPr>
            </w:pPr>
            <w:r w:rsidRPr="00C47F2F">
              <w:rPr>
                <w:noProof/>
                <w:sz w:val="20"/>
                <w:szCs w:val="20"/>
              </w:rPr>
              <w:t>3.80E-04</w:t>
            </w:r>
          </w:p>
        </w:tc>
        <w:tc>
          <w:tcPr>
            <w:tcW w:w="1006" w:type="dxa"/>
            <w:shd w:val="clear" w:color="auto" w:fill="auto"/>
            <w:noWrap/>
            <w:vAlign w:val="center"/>
          </w:tcPr>
          <w:p w14:paraId="42AEDFBC" w14:textId="77777777" w:rsidR="00195D93" w:rsidRPr="00C47F2F" w:rsidRDefault="00195D93" w:rsidP="006243FB">
            <w:pPr>
              <w:pStyle w:val="Table"/>
              <w:rPr>
                <w:noProof/>
                <w:sz w:val="20"/>
                <w:szCs w:val="20"/>
              </w:rPr>
            </w:pPr>
            <w:r w:rsidRPr="00C47F2F">
              <w:rPr>
                <w:noProof/>
                <w:sz w:val="20"/>
                <w:szCs w:val="20"/>
              </w:rPr>
              <w:t>3.80E-04</w:t>
            </w:r>
          </w:p>
        </w:tc>
        <w:tc>
          <w:tcPr>
            <w:tcW w:w="1006" w:type="dxa"/>
            <w:shd w:val="clear" w:color="auto" w:fill="auto"/>
            <w:noWrap/>
            <w:vAlign w:val="center"/>
          </w:tcPr>
          <w:p w14:paraId="49CA1A98" w14:textId="77777777" w:rsidR="00195D93" w:rsidRPr="00C47F2F" w:rsidRDefault="00195D93" w:rsidP="006243FB">
            <w:pPr>
              <w:pStyle w:val="Table"/>
              <w:rPr>
                <w:noProof/>
                <w:sz w:val="20"/>
                <w:szCs w:val="20"/>
              </w:rPr>
            </w:pPr>
            <w:r w:rsidRPr="00C47F2F">
              <w:rPr>
                <w:noProof/>
                <w:sz w:val="20"/>
                <w:szCs w:val="20"/>
              </w:rPr>
              <w:t>3.80E-04</w:t>
            </w:r>
          </w:p>
        </w:tc>
        <w:tc>
          <w:tcPr>
            <w:tcW w:w="1006" w:type="dxa"/>
            <w:shd w:val="clear" w:color="auto" w:fill="auto"/>
            <w:noWrap/>
            <w:vAlign w:val="center"/>
          </w:tcPr>
          <w:p w14:paraId="696B1740" w14:textId="77777777" w:rsidR="00195D93" w:rsidRPr="00C47F2F" w:rsidRDefault="00195D93" w:rsidP="006243FB">
            <w:pPr>
              <w:pStyle w:val="Table"/>
              <w:rPr>
                <w:noProof/>
                <w:sz w:val="20"/>
                <w:szCs w:val="20"/>
              </w:rPr>
            </w:pPr>
            <w:r w:rsidRPr="00C47F2F">
              <w:rPr>
                <w:noProof/>
                <w:sz w:val="20"/>
                <w:szCs w:val="20"/>
              </w:rPr>
              <w:t>3.80E-04</w:t>
            </w:r>
          </w:p>
        </w:tc>
        <w:tc>
          <w:tcPr>
            <w:tcW w:w="1001" w:type="dxa"/>
            <w:shd w:val="clear" w:color="auto" w:fill="auto"/>
            <w:noWrap/>
            <w:vAlign w:val="center"/>
          </w:tcPr>
          <w:p w14:paraId="4C67F0E1" w14:textId="77777777" w:rsidR="00195D93" w:rsidRPr="00C47F2F" w:rsidRDefault="00195D93" w:rsidP="006243FB">
            <w:pPr>
              <w:pStyle w:val="Table"/>
              <w:rPr>
                <w:noProof/>
                <w:sz w:val="20"/>
                <w:szCs w:val="20"/>
              </w:rPr>
            </w:pPr>
            <w:r w:rsidRPr="00C47F2F">
              <w:rPr>
                <w:noProof/>
                <w:sz w:val="20"/>
                <w:szCs w:val="20"/>
              </w:rPr>
              <w:t>3.80E-04</w:t>
            </w:r>
          </w:p>
        </w:tc>
      </w:tr>
      <w:tr w:rsidR="00195D93" w:rsidRPr="00972C81" w14:paraId="59C8D155" w14:textId="77777777" w:rsidTr="006243FB">
        <w:trPr>
          <w:trHeight w:val="340"/>
        </w:trPr>
        <w:tc>
          <w:tcPr>
            <w:tcW w:w="2992" w:type="dxa"/>
            <w:tcBorders>
              <w:bottom w:val="single" w:sz="4" w:space="0" w:color="auto"/>
            </w:tcBorders>
            <w:shd w:val="clear" w:color="auto" w:fill="auto"/>
            <w:noWrap/>
            <w:vAlign w:val="center"/>
          </w:tcPr>
          <w:p w14:paraId="2E36DE40" w14:textId="6B078E5F" w:rsidR="00195D93" w:rsidRPr="00195D93" w:rsidRDefault="00195D93" w:rsidP="006243FB">
            <w:pPr>
              <w:pStyle w:val="Table"/>
              <w:rPr>
                <w:noProof/>
                <w:sz w:val="20"/>
                <w:szCs w:val="22"/>
              </w:rPr>
            </w:pPr>
            <w:r w:rsidRPr="00195D93">
              <w:rPr>
                <w:noProof/>
                <w:sz w:val="20"/>
                <w:szCs w:val="22"/>
              </w:rPr>
              <w:t>Ovaries to Blood</w:t>
            </w:r>
          </w:p>
        </w:tc>
        <w:tc>
          <w:tcPr>
            <w:tcW w:w="1010" w:type="dxa"/>
            <w:tcBorders>
              <w:bottom w:val="single" w:sz="4" w:space="0" w:color="auto"/>
            </w:tcBorders>
            <w:shd w:val="clear" w:color="auto" w:fill="auto"/>
            <w:noWrap/>
            <w:vAlign w:val="center"/>
          </w:tcPr>
          <w:p w14:paraId="09F9039C" w14:textId="77777777" w:rsidR="00195D93" w:rsidRPr="00C47F2F" w:rsidRDefault="00195D93" w:rsidP="006243FB">
            <w:pPr>
              <w:pStyle w:val="Table"/>
              <w:rPr>
                <w:noProof/>
                <w:sz w:val="20"/>
                <w:szCs w:val="20"/>
              </w:rPr>
            </w:pPr>
            <w:r w:rsidRPr="00C47F2F">
              <w:rPr>
                <w:noProof/>
                <w:sz w:val="20"/>
                <w:szCs w:val="20"/>
              </w:rPr>
              <w:t>3.80E-04</w:t>
            </w:r>
          </w:p>
        </w:tc>
        <w:tc>
          <w:tcPr>
            <w:tcW w:w="1006" w:type="dxa"/>
            <w:tcBorders>
              <w:bottom w:val="single" w:sz="4" w:space="0" w:color="auto"/>
            </w:tcBorders>
            <w:shd w:val="clear" w:color="auto" w:fill="auto"/>
            <w:noWrap/>
            <w:vAlign w:val="center"/>
          </w:tcPr>
          <w:p w14:paraId="310C40A7" w14:textId="77777777" w:rsidR="00195D93" w:rsidRPr="00C47F2F" w:rsidRDefault="00195D93" w:rsidP="006243FB">
            <w:pPr>
              <w:pStyle w:val="Table"/>
              <w:rPr>
                <w:noProof/>
                <w:sz w:val="20"/>
                <w:szCs w:val="20"/>
              </w:rPr>
            </w:pPr>
            <w:r w:rsidRPr="00C47F2F">
              <w:rPr>
                <w:noProof/>
                <w:sz w:val="20"/>
                <w:szCs w:val="20"/>
              </w:rPr>
              <w:t>3.80E-04</w:t>
            </w:r>
          </w:p>
        </w:tc>
        <w:tc>
          <w:tcPr>
            <w:tcW w:w="1006" w:type="dxa"/>
            <w:tcBorders>
              <w:bottom w:val="single" w:sz="4" w:space="0" w:color="auto"/>
            </w:tcBorders>
            <w:shd w:val="clear" w:color="auto" w:fill="auto"/>
            <w:noWrap/>
            <w:vAlign w:val="center"/>
          </w:tcPr>
          <w:p w14:paraId="3E191D5C" w14:textId="77777777" w:rsidR="00195D93" w:rsidRPr="00C47F2F" w:rsidRDefault="00195D93" w:rsidP="006243FB">
            <w:pPr>
              <w:pStyle w:val="Table"/>
              <w:rPr>
                <w:noProof/>
                <w:sz w:val="20"/>
                <w:szCs w:val="20"/>
              </w:rPr>
            </w:pPr>
            <w:r w:rsidRPr="00C47F2F">
              <w:rPr>
                <w:noProof/>
                <w:sz w:val="20"/>
                <w:szCs w:val="20"/>
              </w:rPr>
              <w:t>3.80E-04</w:t>
            </w:r>
          </w:p>
        </w:tc>
        <w:tc>
          <w:tcPr>
            <w:tcW w:w="1006" w:type="dxa"/>
            <w:tcBorders>
              <w:bottom w:val="single" w:sz="4" w:space="0" w:color="auto"/>
            </w:tcBorders>
            <w:shd w:val="clear" w:color="auto" w:fill="auto"/>
            <w:noWrap/>
            <w:vAlign w:val="center"/>
          </w:tcPr>
          <w:p w14:paraId="64883254" w14:textId="77777777" w:rsidR="00195D93" w:rsidRPr="00C47F2F" w:rsidRDefault="00195D93" w:rsidP="006243FB">
            <w:pPr>
              <w:pStyle w:val="Table"/>
              <w:rPr>
                <w:noProof/>
                <w:sz w:val="20"/>
                <w:szCs w:val="20"/>
              </w:rPr>
            </w:pPr>
            <w:r w:rsidRPr="00C47F2F">
              <w:rPr>
                <w:noProof/>
                <w:sz w:val="20"/>
                <w:szCs w:val="20"/>
              </w:rPr>
              <w:t>3.80E-04</w:t>
            </w:r>
          </w:p>
        </w:tc>
        <w:tc>
          <w:tcPr>
            <w:tcW w:w="1006" w:type="dxa"/>
            <w:tcBorders>
              <w:bottom w:val="single" w:sz="4" w:space="0" w:color="auto"/>
            </w:tcBorders>
            <w:shd w:val="clear" w:color="auto" w:fill="auto"/>
            <w:noWrap/>
            <w:vAlign w:val="center"/>
          </w:tcPr>
          <w:p w14:paraId="57FFAD89" w14:textId="77777777" w:rsidR="00195D93" w:rsidRPr="00C47F2F" w:rsidRDefault="00195D93" w:rsidP="006243FB">
            <w:pPr>
              <w:pStyle w:val="Table"/>
              <w:rPr>
                <w:noProof/>
                <w:sz w:val="20"/>
                <w:szCs w:val="20"/>
              </w:rPr>
            </w:pPr>
            <w:r w:rsidRPr="00C47F2F">
              <w:rPr>
                <w:noProof/>
                <w:sz w:val="20"/>
                <w:szCs w:val="20"/>
              </w:rPr>
              <w:t>3.80E-04</w:t>
            </w:r>
          </w:p>
        </w:tc>
        <w:tc>
          <w:tcPr>
            <w:tcW w:w="1001" w:type="dxa"/>
            <w:tcBorders>
              <w:bottom w:val="single" w:sz="4" w:space="0" w:color="auto"/>
            </w:tcBorders>
            <w:shd w:val="clear" w:color="auto" w:fill="auto"/>
            <w:noWrap/>
            <w:vAlign w:val="center"/>
          </w:tcPr>
          <w:p w14:paraId="06B145A0" w14:textId="77777777" w:rsidR="00195D93" w:rsidRPr="00C47F2F" w:rsidRDefault="00195D93" w:rsidP="006243FB">
            <w:pPr>
              <w:pStyle w:val="Table"/>
              <w:rPr>
                <w:noProof/>
                <w:sz w:val="20"/>
                <w:szCs w:val="20"/>
              </w:rPr>
            </w:pPr>
            <w:r w:rsidRPr="00C47F2F">
              <w:rPr>
                <w:noProof/>
                <w:sz w:val="20"/>
                <w:szCs w:val="20"/>
              </w:rPr>
              <w:t>3.80E-04</w:t>
            </w:r>
          </w:p>
        </w:tc>
      </w:tr>
    </w:tbl>
    <w:p w14:paraId="565B8DDB" w14:textId="77777777" w:rsidR="00195D93" w:rsidRPr="006243FB" w:rsidRDefault="00195D93" w:rsidP="00195D93">
      <w:pPr>
        <w:pStyle w:val="MainTextPreference"/>
        <w:rPr>
          <w:noProof/>
          <w:sz w:val="20"/>
          <w:lang w:val="fr-FR"/>
        </w:rPr>
      </w:pPr>
      <w:r w:rsidRPr="006243FB">
        <w:rPr>
          <w:noProof/>
          <w:sz w:val="20"/>
          <w:vertAlign w:val="superscript"/>
          <w:lang w:val="fr-FR"/>
        </w:rPr>
        <w:t>a</w:t>
      </w:r>
      <w:r w:rsidRPr="006243FB">
        <w:rPr>
          <w:noProof/>
          <w:sz w:val="20"/>
          <w:lang w:val="fr-FR"/>
        </w:rPr>
        <w:t>Cort = Cortical, Trab = Trabecular, SI = Small intestine, cont=content, surf=surface, vol = volume</w:t>
      </w:r>
    </w:p>
    <w:p w14:paraId="4CCCFB09" w14:textId="336129FE" w:rsidR="00366C33" w:rsidRPr="00972C81" w:rsidRDefault="00366C33" w:rsidP="006703A2">
      <w:pPr>
        <w:pStyle w:val="OIRTitre4"/>
      </w:pPr>
      <w:r w:rsidRPr="00972C81">
        <w:t>Treatment of radioactive progeny</w:t>
      </w:r>
    </w:p>
    <w:p w14:paraId="39F1FB4B" w14:textId="2B026D6D" w:rsidR="00366C33" w:rsidRPr="00972C81" w:rsidRDefault="006044EE" w:rsidP="001C4A92">
      <w:pPr>
        <w:pStyle w:val="Annalstext"/>
        <w:rPr>
          <w:noProof/>
        </w:rPr>
      </w:pPr>
      <w:r w:rsidRPr="00972C81">
        <w:rPr>
          <w:rFonts w:eastAsia="Calibri"/>
          <w:noProof/>
        </w:rPr>
        <w:t xml:space="preserve">The treatment of radioactive progeny produced in systemic compartments after intake of a radioisotope of fermium is described in Section 18.2.4. of </w:t>
      </w:r>
      <w:r w:rsidR="00F414E6" w:rsidRPr="00972C81">
        <w:rPr>
          <w:i/>
          <w:noProof/>
        </w:rPr>
        <w:t>Publication 141</w:t>
      </w:r>
      <w:r w:rsidR="00F414E6" w:rsidRPr="00972C81">
        <w:rPr>
          <w:noProof/>
        </w:rPr>
        <w:t xml:space="preserve"> </w:t>
      </w:r>
      <w:r w:rsidR="00EA3750" w:rsidRPr="00972C81">
        <w:rPr>
          <w:noProof/>
        </w:rPr>
        <w:fldChar w:fldCharType="begin"/>
      </w:r>
      <w:r w:rsidR="00FC21A7" w:rsidRPr="00972C81">
        <w:rPr>
          <w:noProof/>
        </w:rPr>
        <w:instrText xml:space="preserve"> ADDIN ZOTERO_ITEM CSL_CITATION {"citationID":"a2fgvgb02ai","properties":{"formattedCitation":"(ICRP, 2019)","plainCitation":"(ICRP, 2019)","noteIndex":0},"citationItems":[{"id":3121,"uris":["http://zotero.org/groups/2470620/items/TRF7HY8X"],"itemData":{"id":3121,"type":"article-journal","container-title":"Annals of the ICRP","issue":"2/3","title":"Occupational Intakes of Radionuclides: Part 4. ICRP Publication 141","volume":"48","author":[{"literal":"ICRP"}],"issued":{"date-parts":[["2019"]]}}}],"schema":"https://github.com/citation-style-language/schema/raw/master/csl-citation.json"} </w:instrText>
      </w:r>
      <w:r w:rsidR="00EA3750" w:rsidRPr="00972C81">
        <w:rPr>
          <w:noProof/>
        </w:rPr>
        <w:fldChar w:fldCharType="separate"/>
      </w:r>
      <w:r w:rsidR="00FC21A7" w:rsidRPr="00972C81">
        <w:rPr>
          <w:noProof/>
          <w:szCs w:val="24"/>
        </w:rPr>
        <w:t>(ICRP, 2019)</w:t>
      </w:r>
      <w:r w:rsidR="00EA3750" w:rsidRPr="00972C81">
        <w:rPr>
          <w:noProof/>
        </w:rPr>
        <w:fldChar w:fldCharType="end"/>
      </w:r>
      <w:r w:rsidR="00F414E6" w:rsidRPr="00972C81">
        <w:rPr>
          <w:noProof/>
        </w:rPr>
        <w:t>.</w:t>
      </w:r>
    </w:p>
    <w:p w14:paraId="63C8A90C" w14:textId="77777777" w:rsidR="004836EE" w:rsidRPr="00972C81" w:rsidRDefault="004836EE" w:rsidP="00E81109">
      <w:pPr>
        <w:pStyle w:val="2"/>
        <w:rPr>
          <w:noProof/>
          <w:lang w:val="en-GB"/>
        </w:rPr>
      </w:pPr>
      <w:bookmarkStart w:id="423" w:name="_Toc162630144"/>
      <w:r w:rsidRPr="00972C81">
        <w:rPr>
          <w:noProof/>
          <w:lang w:val="en-GB"/>
        </w:rPr>
        <w:lastRenderedPageBreak/>
        <w:t>Dosimetric data for fermium</w:t>
      </w:r>
      <w:bookmarkEnd w:id="423"/>
    </w:p>
    <w:p w14:paraId="134FF160" w14:textId="1EB1D478" w:rsidR="0028242E" w:rsidRPr="00972C81" w:rsidRDefault="0028242E" w:rsidP="0028242E">
      <w:pPr>
        <w:pStyle w:val="ab"/>
        <w:rPr>
          <w:noProof/>
          <w:sz w:val="24"/>
          <w:szCs w:val="24"/>
        </w:rPr>
      </w:pPr>
      <w:r w:rsidRPr="00972C81">
        <w:rPr>
          <w:noProof/>
          <w:sz w:val="24"/>
          <w:szCs w:val="24"/>
        </w:rPr>
        <w:t>Table 28.3. Committed effective dose coefficients (Sv Bq</w:t>
      </w:r>
      <w:r w:rsidRPr="00972C81">
        <w:rPr>
          <w:noProof/>
          <w:sz w:val="24"/>
          <w:szCs w:val="24"/>
          <w:vertAlign w:val="superscript"/>
        </w:rPr>
        <w:t>-1</w:t>
      </w:r>
      <w:r w:rsidRPr="00972C81">
        <w:rPr>
          <w:noProof/>
          <w:sz w:val="24"/>
          <w:szCs w:val="24"/>
        </w:rPr>
        <w:t xml:space="preserve">) for the inhalation or ingestion of </w:t>
      </w:r>
      <w:r w:rsidRPr="00972C81">
        <w:rPr>
          <w:noProof/>
          <w:sz w:val="24"/>
          <w:szCs w:val="24"/>
          <w:vertAlign w:val="superscript"/>
        </w:rPr>
        <w:t>257</w:t>
      </w:r>
      <w:r w:rsidRPr="00972C81">
        <w:rPr>
          <w:noProof/>
          <w:sz w:val="24"/>
          <w:szCs w:val="24"/>
        </w:rPr>
        <w:t>Fm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767"/>
        <w:gridCol w:w="875"/>
        <w:gridCol w:w="876"/>
        <w:gridCol w:w="876"/>
        <w:gridCol w:w="876"/>
        <w:gridCol w:w="876"/>
        <w:gridCol w:w="881"/>
      </w:tblGrid>
      <w:tr w:rsidR="0028242E" w:rsidRPr="00A3213E" w14:paraId="30200801" w14:textId="77777777" w:rsidTr="006243FB">
        <w:trPr>
          <w:trHeight w:val="340"/>
        </w:trPr>
        <w:tc>
          <w:tcPr>
            <w:tcW w:w="2087" w:type="pct"/>
            <w:vMerge w:val="restart"/>
            <w:tcBorders>
              <w:top w:val="single" w:sz="4" w:space="0" w:color="auto"/>
              <w:left w:val="nil"/>
              <w:bottom w:val="single" w:sz="4" w:space="0" w:color="auto"/>
              <w:right w:val="nil"/>
            </w:tcBorders>
            <w:vAlign w:val="bottom"/>
            <w:hideMark/>
          </w:tcPr>
          <w:p w14:paraId="5281062B" w14:textId="77777777" w:rsidR="00201785" w:rsidRPr="006243FB" w:rsidRDefault="0028242E" w:rsidP="006243FB">
            <w:pPr>
              <w:pStyle w:val="af1"/>
              <w:rPr>
                <w:rFonts w:ascii="Times New Roman" w:hAnsi="Times New Roman"/>
                <w:noProof/>
              </w:rPr>
            </w:pPr>
            <w:r w:rsidRPr="006243FB">
              <w:rPr>
                <w:rFonts w:ascii="Times New Roman" w:hAnsi="Times New Roman"/>
                <w:noProof/>
              </w:rPr>
              <w:t>Inhaled particulate materials</w:t>
            </w:r>
          </w:p>
          <w:p w14:paraId="0342C144" w14:textId="7F45E5D0" w:rsidR="0028242E" w:rsidRPr="00201785" w:rsidRDefault="0028242E" w:rsidP="00C47F2F">
            <w:pPr>
              <w:jc w:val="left"/>
              <w:rPr>
                <w:noProof/>
                <w:sz w:val="22"/>
                <w:szCs w:val="22"/>
              </w:rPr>
            </w:pPr>
            <w:r w:rsidRPr="006243FB">
              <w:rPr>
                <w:noProof/>
                <w:sz w:val="22"/>
                <w:szCs w:val="22"/>
              </w:rPr>
              <w:t>(1 µm AMAD aerosols)</w:t>
            </w:r>
          </w:p>
        </w:tc>
        <w:tc>
          <w:tcPr>
            <w:tcW w:w="2913" w:type="pct"/>
            <w:gridSpan w:val="6"/>
            <w:tcBorders>
              <w:top w:val="single" w:sz="4" w:space="0" w:color="auto"/>
              <w:left w:val="nil"/>
              <w:bottom w:val="single" w:sz="4" w:space="0" w:color="auto"/>
              <w:right w:val="nil"/>
            </w:tcBorders>
            <w:vAlign w:val="center"/>
            <w:hideMark/>
          </w:tcPr>
          <w:p w14:paraId="32FD07C6" w14:textId="77777777" w:rsidR="0028242E" w:rsidRPr="00C47F2F" w:rsidRDefault="0028242E" w:rsidP="006243FB">
            <w:pPr>
              <w:jc w:val="center"/>
              <w:rPr>
                <w:noProof/>
                <w:sz w:val="22"/>
                <w:szCs w:val="22"/>
                <w:lang w:val="fr-FR"/>
              </w:rPr>
            </w:pPr>
            <w:r w:rsidRPr="00C47F2F">
              <w:rPr>
                <w:noProof/>
                <w:sz w:val="22"/>
                <w:szCs w:val="22"/>
                <w:lang w:val="fr-FR"/>
              </w:rPr>
              <w:t>Effective dose coefficients (Sv Bq</w:t>
            </w:r>
            <w:r w:rsidRPr="00C47F2F">
              <w:rPr>
                <w:noProof/>
                <w:sz w:val="22"/>
                <w:szCs w:val="22"/>
                <w:vertAlign w:val="superscript"/>
                <w:lang w:val="fr-FR"/>
              </w:rPr>
              <w:t>-1</w:t>
            </w:r>
            <w:r w:rsidRPr="00C47F2F">
              <w:rPr>
                <w:noProof/>
                <w:sz w:val="22"/>
                <w:szCs w:val="22"/>
                <w:lang w:val="fr-FR"/>
              </w:rPr>
              <w:t>)</w:t>
            </w:r>
          </w:p>
        </w:tc>
      </w:tr>
      <w:tr w:rsidR="0028242E" w:rsidRPr="00972C81" w14:paraId="512FE15D" w14:textId="77777777" w:rsidTr="006243FB">
        <w:trPr>
          <w:trHeight w:val="340"/>
        </w:trPr>
        <w:tc>
          <w:tcPr>
            <w:tcW w:w="2087" w:type="pct"/>
            <w:vMerge/>
            <w:tcBorders>
              <w:top w:val="single" w:sz="4" w:space="0" w:color="auto"/>
              <w:left w:val="nil"/>
              <w:bottom w:val="single" w:sz="4" w:space="0" w:color="auto"/>
              <w:right w:val="nil"/>
            </w:tcBorders>
            <w:vAlign w:val="center"/>
            <w:hideMark/>
          </w:tcPr>
          <w:p w14:paraId="57DFED5F" w14:textId="77777777" w:rsidR="0028242E" w:rsidRPr="00201785" w:rsidRDefault="0028242E">
            <w:pPr>
              <w:rPr>
                <w:noProof/>
                <w:sz w:val="22"/>
                <w:szCs w:val="22"/>
                <w:lang w:val="fr-FR"/>
              </w:rPr>
            </w:pPr>
          </w:p>
        </w:tc>
        <w:tc>
          <w:tcPr>
            <w:tcW w:w="485" w:type="pct"/>
            <w:tcBorders>
              <w:top w:val="single" w:sz="4" w:space="0" w:color="auto"/>
              <w:left w:val="nil"/>
              <w:bottom w:val="single" w:sz="4" w:space="0" w:color="auto"/>
              <w:right w:val="nil"/>
            </w:tcBorders>
            <w:vAlign w:val="center"/>
            <w:hideMark/>
          </w:tcPr>
          <w:p w14:paraId="44A23BA4" w14:textId="0F3E5782" w:rsidR="0028242E" w:rsidRPr="00232741" w:rsidRDefault="0028242E" w:rsidP="006243FB">
            <w:pPr>
              <w:pStyle w:val="TabFiglegends"/>
              <w:widowControl w:val="0"/>
              <w:jc w:val="left"/>
              <w:rPr>
                <w:noProof/>
                <w:szCs w:val="22"/>
                <w:lang w:eastAsia="ko-KR"/>
              </w:rPr>
            </w:pPr>
            <w:r w:rsidRPr="00C47F2F">
              <w:rPr>
                <w:noProof/>
                <w:szCs w:val="22"/>
                <w:lang w:eastAsia="en-US"/>
              </w:rPr>
              <w:t>3</w:t>
            </w:r>
            <w:r w:rsidR="00201785">
              <w:rPr>
                <w:rFonts w:hint="eastAsia"/>
                <w:noProof/>
                <w:szCs w:val="22"/>
                <w:lang w:eastAsia="ko-KR"/>
              </w:rPr>
              <w:t xml:space="preserve"> </w:t>
            </w:r>
            <w:r w:rsidRPr="00C47F2F">
              <w:rPr>
                <w:noProof/>
                <w:szCs w:val="22"/>
                <w:lang w:eastAsia="en-US"/>
              </w:rPr>
              <w:t>m</w:t>
            </w:r>
            <w:r w:rsidR="006243FB">
              <w:rPr>
                <w:rFonts w:hint="eastAsia"/>
                <w:noProof/>
                <w:szCs w:val="22"/>
                <w:lang w:eastAsia="ko-KR"/>
              </w:rPr>
              <w:t>o</w:t>
            </w:r>
          </w:p>
        </w:tc>
        <w:tc>
          <w:tcPr>
            <w:tcW w:w="485" w:type="pct"/>
            <w:tcBorders>
              <w:top w:val="single" w:sz="4" w:space="0" w:color="auto"/>
              <w:left w:val="nil"/>
              <w:bottom w:val="single" w:sz="4" w:space="0" w:color="auto"/>
              <w:right w:val="nil"/>
            </w:tcBorders>
            <w:vAlign w:val="center"/>
            <w:hideMark/>
          </w:tcPr>
          <w:p w14:paraId="1ED6CC29" w14:textId="0633600A" w:rsidR="0028242E" w:rsidRPr="00C47F2F" w:rsidRDefault="0028242E" w:rsidP="006243FB">
            <w:pPr>
              <w:jc w:val="left"/>
              <w:rPr>
                <w:noProof/>
                <w:sz w:val="22"/>
                <w:szCs w:val="22"/>
              </w:rPr>
            </w:pPr>
            <w:r w:rsidRPr="00C47F2F">
              <w:rPr>
                <w:noProof/>
                <w:sz w:val="22"/>
                <w:szCs w:val="22"/>
              </w:rPr>
              <w:t>1</w:t>
            </w:r>
            <w:r w:rsidR="00201785">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163029C" w14:textId="56EA917A" w:rsidR="0028242E" w:rsidRPr="00C47F2F" w:rsidRDefault="0028242E" w:rsidP="006243FB">
            <w:pPr>
              <w:jc w:val="left"/>
              <w:rPr>
                <w:noProof/>
                <w:sz w:val="22"/>
                <w:szCs w:val="22"/>
              </w:rPr>
            </w:pPr>
            <w:r w:rsidRPr="00C47F2F">
              <w:rPr>
                <w:noProof/>
                <w:sz w:val="22"/>
                <w:szCs w:val="22"/>
              </w:rPr>
              <w:t>5</w:t>
            </w:r>
            <w:r w:rsidR="00201785">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E67D99D" w14:textId="7751B278" w:rsidR="0028242E" w:rsidRPr="00C47F2F" w:rsidRDefault="0028242E" w:rsidP="006243FB">
            <w:pPr>
              <w:jc w:val="left"/>
              <w:rPr>
                <w:noProof/>
                <w:sz w:val="22"/>
                <w:szCs w:val="22"/>
              </w:rPr>
            </w:pPr>
            <w:r w:rsidRPr="00C47F2F">
              <w:rPr>
                <w:noProof/>
                <w:sz w:val="22"/>
                <w:szCs w:val="22"/>
              </w:rPr>
              <w:t>10</w:t>
            </w:r>
            <w:r w:rsidR="00201785">
              <w:rPr>
                <w:rFonts w:hint="eastAsia"/>
                <w:noProof/>
                <w:sz w:val="22"/>
                <w:szCs w:val="22"/>
                <w:lang w:eastAsia="ko-KR"/>
              </w:rPr>
              <w:t xml:space="preserve"> </w:t>
            </w:r>
            <w:r w:rsidRPr="00C47F2F">
              <w:rPr>
                <w:noProof/>
                <w:sz w:val="22"/>
                <w:szCs w:val="22"/>
              </w:rPr>
              <w:t>y</w:t>
            </w:r>
          </w:p>
        </w:tc>
        <w:tc>
          <w:tcPr>
            <w:tcW w:w="485" w:type="pct"/>
            <w:tcBorders>
              <w:top w:val="single" w:sz="4" w:space="0" w:color="auto"/>
              <w:left w:val="nil"/>
              <w:bottom w:val="single" w:sz="4" w:space="0" w:color="auto"/>
              <w:right w:val="nil"/>
            </w:tcBorders>
            <w:vAlign w:val="center"/>
            <w:hideMark/>
          </w:tcPr>
          <w:p w14:paraId="311425B1" w14:textId="12182EAB" w:rsidR="0028242E" w:rsidRPr="00C47F2F" w:rsidRDefault="0028242E" w:rsidP="006243FB">
            <w:pPr>
              <w:jc w:val="left"/>
              <w:rPr>
                <w:noProof/>
                <w:sz w:val="22"/>
                <w:szCs w:val="22"/>
              </w:rPr>
            </w:pPr>
            <w:r w:rsidRPr="00C47F2F">
              <w:rPr>
                <w:noProof/>
                <w:sz w:val="22"/>
                <w:szCs w:val="22"/>
              </w:rPr>
              <w:t>15</w:t>
            </w:r>
            <w:r w:rsidR="00201785">
              <w:rPr>
                <w:rFonts w:hint="eastAsia"/>
                <w:noProof/>
                <w:sz w:val="22"/>
                <w:szCs w:val="22"/>
                <w:lang w:eastAsia="ko-KR"/>
              </w:rPr>
              <w:t xml:space="preserve"> </w:t>
            </w:r>
            <w:r w:rsidRPr="00C47F2F">
              <w:rPr>
                <w:noProof/>
                <w:sz w:val="22"/>
                <w:szCs w:val="22"/>
              </w:rPr>
              <w:t>y</w:t>
            </w:r>
          </w:p>
        </w:tc>
        <w:tc>
          <w:tcPr>
            <w:tcW w:w="487" w:type="pct"/>
            <w:tcBorders>
              <w:top w:val="single" w:sz="4" w:space="0" w:color="auto"/>
              <w:left w:val="nil"/>
              <w:bottom w:val="single" w:sz="4" w:space="0" w:color="auto"/>
              <w:right w:val="nil"/>
            </w:tcBorders>
            <w:vAlign w:val="center"/>
            <w:hideMark/>
          </w:tcPr>
          <w:p w14:paraId="6CF6BFFB" w14:textId="77777777" w:rsidR="0028242E" w:rsidRPr="00C47F2F" w:rsidRDefault="0028242E" w:rsidP="006243FB">
            <w:pPr>
              <w:jc w:val="left"/>
              <w:rPr>
                <w:noProof/>
                <w:sz w:val="22"/>
                <w:szCs w:val="22"/>
              </w:rPr>
            </w:pPr>
            <w:r w:rsidRPr="00C47F2F">
              <w:rPr>
                <w:noProof/>
                <w:sz w:val="22"/>
                <w:szCs w:val="22"/>
              </w:rPr>
              <w:t>Adult</w:t>
            </w:r>
          </w:p>
        </w:tc>
      </w:tr>
      <w:tr w:rsidR="0028242E" w:rsidRPr="00972C81" w14:paraId="086637CB" w14:textId="77777777" w:rsidTr="006243FB">
        <w:trPr>
          <w:trHeight w:val="340"/>
        </w:trPr>
        <w:tc>
          <w:tcPr>
            <w:tcW w:w="2087" w:type="pct"/>
            <w:tcBorders>
              <w:top w:val="single" w:sz="4" w:space="0" w:color="auto"/>
              <w:left w:val="nil"/>
              <w:bottom w:val="nil"/>
              <w:right w:val="nil"/>
            </w:tcBorders>
            <w:vAlign w:val="center"/>
            <w:hideMark/>
          </w:tcPr>
          <w:p w14:paraId="34E59D41" w14:textId="77777777" w:rsidR="0028242E" w:rsidRPr="00C47F2F" w:rsidRDefault="0028242E" w:rsidP="006243FB">
            <w:pPr>
              <w:jc w:val="left"/>
              <w:rPr>
                <w:noProof/>
                <w:color w:val="000000"/>
                <w:sz w:val="22"/>
                <w:szCs w:val="22"/>
              </w:rPr>
            </w:pPr>
            <w:r w:rsidRPr="00C47F2F">
              <w:rPr>
                <w:noProof/>
                <w:color w:val="000000"/>
                <w:sz w:val="22"/>
                <w:szCs w:val="22"/>
              </w:rPr>
              <w:t>Type F</w:t>
            </w:r>
          </w:p>
        </w:tc>
        <w:tc>
          <w:tcPr>
            <w:tcW w:w="485" w:type="pct"/>
            <w:tcBorders>
              <w:top w:val="single" w:sz="4" w:space="0" w:color="auto"/>
              <w:left w:val="nil"/>
              <w:bottom w:val="nil"/>
              <w:right w:val="nil"/>
            </w:tcBorders>
            <w:vAlign w:val="center"/>
            <w:hideMark/>
          </w:tcPr>
          <w:p w14:paraId="67CE92BD"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1.4E-05</w:t>
            </w:r>
          </w:p>
        </w:tc>
        <w:tc>
          <w:tcPr>
            <w:tcW w:w="485" w:type="pct"/>
            <w:tcBorders>
              <w:top w:val="single" w:sz="4" w:space="0" w:color="auto"/>
              <w:left w:val="nil"/>
              <w:bottom w:val="nil"/>
              <w:right w:val="nil"/>
            </w:tcBorders>
            <w:vAlign w:val="center"/>
            <w:hideMark/>
          </w:tcPr>
          <w:p w14:paraId="7AE04B7A"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1.0E-05</w:t>
            </w:r>
          </w:p>
        </w:tc>
        <w:tc>
          <w:tcPr>
            <w:tcW w:w="485" w:type="pct"/>
            <w:tcBorders>
              <w:top w:val="single" w:sz="4" w:space="0" w:color="auto"/>
              <w:left w:val="nil"/>
              <w:bottom w:val="nil"/>
              <w:right w:val="nil"/>
            </w:tcBorders>
            <w:vAlign w:val="center"/>
            <w:hideMark/>
          </w:tcPr>
          <w:p w14:paraId="09BC79F7"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4.3E-06</w:t>
            </w:r>
          </w:p>
        </w:tc>
        <w:tc>
          <w:tcPr>
            <w:tcW w:w="485" w:type="pct"/>
            <w:tcBorders>
              <w:top w:val="single" w:sz="4" w:space="0" w:color="auto"/>
              <w:left w:val="nil"/>
              <w:bottom w:val="nil"/>
              <w:right w:val="nil"/>
            </w:tcBorders>
            <w:vAlign w:val="center"/>
            <w:hideMark/>
          </w:tcPr>
          <w:p w14:paraId="1E9FA8E9"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2.1E-06</w:t>
            </w:r>
          </w:p>
        </w:tc>
        <w:tc>
          <w:tcPr>
            <w:tcW w:w="485" w:type="pct"/>
            <w:tcBorders>
              <w:top w:val="single" w:sz="4" w:space="0" w:color="auto"/>
              <w:left w:val="nil"/>
              <w:bottom w:val="nil"/>
              <w:right w:val="nil"/>
            </w:tcBorders>
            <w:vAlign w:val="center"/>
            <w:hideMark/>
          </w:tcPr>
          <w:p w14:paraId="6E1FC49D"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1.9E-06</w:t>
            </w:r>
          </w:p>
        </w:tc>
        <w:tc>
          <w:tcPr>
            <w:tcW w:w="487" w:type="pct"/>
            <w:tcBorders>
              <w:top w:val="single" w:sz="4" w:space="0" w:color="auto"/>
              <w:left w:val="nil"/>
              <w:bottom w:val="nil"/>
              <w:right w:val="nil"/>
            </w:tcBorders>
            <w:vAlign w:val="center"/>
            <w:hideMark/>
          </w:tcPr>
          <w:p w14:paraId="53C6B04C"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1.3E-06</w:t>
            </w:r>
          </w:p>
        </w:tc>
      </w:tr>
      <w:tr w:rsidR="0028242E" w:rsidRPr="00972C81" w14:paraId="594340DD" w14:textId="77777777" w:rsidTr="006243FB">
        <w:trPr>
          <w:trHeight w:val="340"/>
        </w:trPr>
        <w:tc>
          <w:tcPr>
            <w:tcW w:w="2087" w:type="pct"/>
            <w:tcBorders>
              <w:top w:val="nil"/>
              <w:left w:val="nil"/>
              <w:bottom w:val="nil"/>
              <w:right w:val="nil"/>
            </w:tcBorders>
            <w:vAlign w:val="center"/>
            <w:hideMark/>
          </w:tcPr>
          <w:p w14:paraId="5477149A" w14:textId="77777777" w:rsidR="0028242E" w:rsidRPr="00C47F2F" w:rsidRDefault="0028242E" w:rsidP="006243FB">
            <w:pPr>
              <w:jc w:val="left"/>
              <w:rPr>
                <w:rFonts w:eastAsiaTheme="minorHAnsi"/>
                <w:noProof/>
                <w:sz w:val="22"/>
                <w:szCs w:val="22"/>
              </w:rPr>
            </w:pPr>
            <w:r w:rsidRPr="00C47F2F">
              <w:rPr>
                <w:noProof/>
                <w:sz w:val="22"/>
                <w:szCs w:val="22"/>
              </w:rPr>
              <w:t>Type M</w:t>
            </w:r>
          </w:p>
        </w:tc>
        <w:tc>
          <w:tcPr>
            <w:tcW w:w="485" w:type="pct"/>
            <w:tcBorders>
              <w:top w:val="nil"/>
              <w:left w:val="nil"/>
              <w:bottom w:val="nil"/>
              <w:right w:val="nil"/>
            </w:tcBorders>
            <w:vAlign w:val="center"/>
            <w:hideMark/>
          </w:tcPr>
          <w:p w14:paraId="775E3813"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1.7E-05</w:t>
            </w:r>
          </w:p>
        </w:tc>
        <w:tc>
          <w:tcPr>
            <w:tcW w:w="485" w:type="pct"/>
            <w:tcBorders>
              <w:top w:val="nil"/>
              <w:left w:val="nil"/>
              <w:bottom w:val="nil"/>
              <w:right w:val="nil"/>
            </w:tcBorders>
            <w:vAlign w:val="center"/>
            <w:hideMark/>
          </w:tcPr>
          <w:p w14:paraId="749A32D3"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1.4E-05</w:t>
            </w:r>
          </w:p>
        </w:tc>
        <w:tc>
          <w:tcPr>
            <w:tcW w:w="485" w:type="pct"/>
            <w:tcBorders>
              <w:top w:val="nil"/>
              <w:left w:val="nil"/>
              <w:bottom w:val="nil"/>
              <w:right w:val="nil"/>
            </w:tcBorders>
            <w:vAlign w:val="center"/>
            <w:hideMark/>
          </w:tcPr>
          <w:p w14:paraId="5A9CC7A8"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7.4E-06</w:t>
            </w:r>
          </w:p>
        </w:tc>
        <w:tc>
          <w:tcPr>
            <w:tcW w:w="485" w:type="pct"/>
            <w:tcBorders>
              <w:top w:val="nil"/>
              <w:left w:val="nil"/>
              <w:bottom w:val="nil"/>
              <w:right w:val="nil"/>
            </w:tcBorders>
            <w:vAlign w:val="center"/>
            <w:hideMark/>
          </w:tcPr>
          <w:p w14:paraId="4BA44D60"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4.4E-06</w:t>
            </w:r>
          </w:p>
        </w:tc>
        <w:tc>
          <w:tcPr>
            <w:tcW w:w="485" w:type="pct"/>
            <w:tcBorders>
              <w:top w:val="nil"/>
              <w:left w:val="nil"/>
              <w:bottom w:val="nil"/>
              <w:right w:val="nil"/>
            </w:tcBorders>
            <w:vAlign w:val="center"/>
            <w:hideMark/>
          </w:tcPr>
          <w:p w14:paraId="79393171"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3.6E-06</w:t>
            </w:r>
          </w:p>
        </w:tc>
        <w:tc>
          <w:tcPr>
            <w:tcW w:w="487" w:type="pct"/>
            <w:tcBorders>
              <w:top w:val="nil"/>
              <w:left w:val="nil"/>
              <w:bottom w:val="nil"/>
              <w:right w:val="nil"/>
            </w:tcBorders>
            <w:vAlign w:val="center"/>
            <w:hideMark/>
          </w:tcPr>
          <w:p w14:paraId="222AA687"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3.1E-06</w:t>
            </w:r>
          </w:p>
        </w:tc>
      </w:tr>
      <w:tr w:rsidR="0028242E" w:rsidRPr="00972C81" w14:paraId="79F96C8B" w14:textId="77777777" w:rsidTr="006243FB">
        <w:trPr>
          <w:trHeight w:val="340"/>
        </w:trPr>
        <w:tc>
          <w:tcPr>
            <w:tcW w:w="2087" w:type="pct"/>
            <w:tcBorders>
              <w:top w:val="nil"/>
              <w:left w:val="nil"/>
              <w:bottom w:val="single" w:sz="4" w:space="0" w:color="auto"/>
              <w:right w:val="nil"/>
            </w:tcBorders>
            <w:vAlign w:val="center"/>
            <w:hideMark/>
          </w:tcPr>
          <w:p w14:paraId="041C447E" w14:textId="77777777" w:rsidR="0028242E" w:rsidRPr="00C47F2F" w:rsidRDefault="0028242E" w:rsidP="006243FB">
            <w:pPr>
              <w:jc w:val="left"/>
              <w:rPr>
                <w:rFonts w:eastAsiaTheme="minorHAnsi"/>
                <w:noProof/>
                <w:sz w:val="22"/>
                <w:szCs w:val="22"/>
              </w:rPr>
            </w:pPr>
            <w:r w:rsidRPr="00C47F2F">
              <w:rPr>
                <w:noProof/>
                <w:sz w:val="22"/>
                <w:szCs w:val="22"/>
              </w:rPr>
              <w:t>Type S</w:t>
            </w:r>
          </w:p>
        </w:tc>
        <w:tc>
          <w:tcPr>
            <w:tcW w:w="485" w:type="pct"/>
            <w:tcBorders>
              <w:top w:val="nil"/>
              <w:left w:val="nil"/>
              <w:bottom w:val="single" w:sz="4" w:space="0" w:color="auto"/>
              <w:right w:val="nil"/>
            </w:tcBorders>
            <w:vAlign w:val="center"/>
            <w:hideMark/>
          </w:tcPr>
          <w:p w14:paraId="4B7C3FF5"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2.1E-05</w:t>
            </w:r>
          </w:p>
        </w:tc>
        <w:tc>
          <w:tcPr>
            <w:tcW w:w="485" w:type="pct"/>
            <w:tcBorders>
              <w:top w:val="nil"/>
              <w:left w:val="nil"/>
              <w:bottom w:val="single" w:sz="4" w:space="0" w:color="auto"/>
              <w:right w:val="nil"/>
            </w:tcBorders>
            <w:vAlign w:val="center"/>
            <w:hideMark/>
          </w:tcPr>
          <w:p w14:paraId="78AE7DF5"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1.9E-05</w:t>
            </w:r>
          </w:p>
        </w:tc>
        <w:tc>
          <w:tcPr>
            <w:tcW w:w="485" w:type="pct"/>
            <w:tcBorders>
              <w:top w:val="nil"/>
              <w:left w:val="nil"/>
              <w:bottom w:val="single" w:sz="4" w:space="0" w:color="auto"/>
              <w:right w:val="nil"/>
            </w:tcBorders>
            <w:vAlign w:val="center"/>
            <w:hideMark/>
          </w:tcPr>
          <w:p w14:paraId="592305AE"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1.1E-05</w:t>
            </w:r>
          </w:p>
        </w:tc>
        <w:tc>
          <w:tcPr>
            <w:tcW w:w="485" w:type="pct"/>
            <w:tcBorders>
              <w:top w:val="nil"/>
              <w:left w:val="nil"/>
              <w:bottom w:val="single" w:sz="4" w:space="0" w:color="auto"/>
              <w:right w:val="nil"/>
            </w:tcBorders>
            <w:vAlign w:val="center"/>
            <w:hideMark/>
          </w:tcPr>
          <w:p w14:paraId="2F9DD0C9"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6.9E-06</w:t>
            </w:r>
          </w:p>
        </w:tc>
        <w:tc>
          <w:tcPr>
            <w:tcW w:w="485" w:type="pct"/>
            <w:tcBorders>
              <w:top w:val="nil"/>
              <w:left w:val="nil"/>
              <w:bottom w:val="single" w:sz="4" w:space="0" w:color="auto"/>
              <w:right w:val="nil"/>
            </w:tcBorders>
            <w:vAlign w:val="center"/>
            <w:hideMark/>
          </w:tcPr>
          <w:p w14:paraId="545F6A10"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5.4E-06</w:t>
            </w:r>
          </w:p>
        </w:tc>
        <w:tc>
          <w:tcPr>
            <w:tcW w:w="487" w:type="pct"/>
            <w:tcBorders>
              <w:top w:val="nil"/>
              <w:left w:val="nil"/>
              <w:bottom w:val="single" w:sz="4" w:space="0" w:color="auto"/>
              <w:right w:val="nil"/>
            </w:tcBorders>
            <w:vAlign w:val="center"/>
            <w:hideMark/>
          </w:tcPr>
          <w:p w14:paraId="6B74C6BF"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5.1E-06</w:t>
            </w:r>
          </w:p>
        </w:tc>
      </w:tr>
      <w:tr w:rsidR="0028242E" w:rsidRPr="00972C81" w14:paraId="48685D54" w14:textId="77777777" w:rsidTr="006243FB">
        <w:trPr>
          <w:trHeight w:val="340"/>
        </w:trPr>
        <w:tc>
          <w:tcPr>
            <w:tcW w:w="2087" w:type="pct"/>
            <w:tcBorders>
              <w:top w:val="single" w:sz="4" w:space="0" w:color="auto"/>
              <w:left w:val="nil"/>
              <w:bottom w:val="single" w:sz="4" w:space="0" w:color="auto"/>
              <w:right w:val="nil"/>
            </w:tcBorders>
          </w:tcPr>
          <w:p w14:paraId="70C604B5" w14:textId="77777777" w:rsidR="0028242E" w:rsidRPr="00C47F2F" w:rsidRDefault="0028242E" w:rsidP="00C47F2F">
            <w:pPr>
              <w:jc w:val="left"/>
              <w:rPr>
                <w:rFonts w:eastAsiaTheme="minorHAnsi"/>
                <w:noProof/>
                <w:sz w:val="22"/>
                <w:szCs w:val="22"/>
              </w:rPr>
            </w:pPr>
          </w:p>
          <w:p w14:paraId="77AF8977" w14:textId="77777777" w:rsidR="0028242E" w:rsidRPr="00C47F2F" w:rsidRDefault="0028242E" w:rsidP="00C47F2F">
            <w:pPr>
              <w:jc w:val="left"/>
              <w:rPr>
                <w:noProof/>
                <w:sz w:val="22"/>
                <w:szCs w:val="22"/>
              </w:rPr>
            </w:pPr>
            <w:r w:rsidRPr="00C47F2F">
              <w:rPr>
                <w:noProof/>
                <w:sz w:val="22"/>
                <w:szCs w:val="22"/>
              </w:rPr>
              <w:t>Ingested materials</w:t>
            </w:r>
          </w:p>
        </w:tc>
        <w:tc>
          <w:tcPr>
            <w:tcW w:w="485" w:type="pct"/>
            <w:tcBorders>
              <w:top w:val="single" w:sz="4" w:space="0" w:color="auto"/>
              <w:left w:val="nil"/>
              <w:bottom w:val="single" w:sz="4" w:space="0" w:color="auto"/>
              <w:right w:val="nil"/>
            </w:tcBorders>
          </w:tcPr>
          <w:p w14:paraId="243981DC" w14:textId="77777777" w:rsidR="0028242E" w:rsidRPr="00C47F2F" w:rsidRDefault="0028242E"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4D37907D" w14:textId="77777777" w:rsidR="0028242E" w:rsidRPr="00C47F2F" w:rsidRDefault="0028242E"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67AEF4C2" w14:textId="77777777" w:rsidR="0028242E" w:rsidRPr="00C47F2F" w:rsidRDefault="0028242E"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3DF09F27" w14:textId="77777777" w:rsidR="0028242E" w:rsidRPr="00C47F2F" w:rsidRDefault="0028242E" w:rsidP="00C47F2F">
            <w:pPr>
              <w:jc w:val="left"/>
              <w:rPr>
                <w:rFonts w:eastAsia="Times New Roman"/>
                <w:noProof/>
                <w:color w:val="000000"/>
                <w:sz w:val="22"/>
                <w:szCs w:val="22"/>
              </w:rPr>
            </w:pPr>
          </w:p>
        </w:tc>
        <w:tc>
          <w:tcPr>
            <w:tcW w:w="485" w:type="pct"/>
            <w:tcBorders>
              <w:top w:val="single" w:sz="4" w:space="0" w:color="auto"/>
              <w:left w:val="nil"/>
              <w:bottom w:val="single" w:sz="4" w:space="0" w:color="auto"/>
              <w:right w:val="nil"/>
            </w:tcBorders>
          </w:tcPr>
          <w:p w14:paraId="53166B7E" w14:textId="77777777" w:rsidR="0028242E" w:rsidRPr="00C47F2F" w:rsidRDefault="0028242E" w:rsidP="00C47F2F">
            <w:pPr>
              <w:jc w:val="left"/>
              <w:rPr>
                <w:rFonts w:eastAsia="Times New Roman"/>
                <w:noProof/>
                <w:color w:val="000000"/>
                <w:sz w:val="22"/>
                <w:szCs w:val="22"/>
              </w:rPr>
            </w:pPr>
          </w:p>
        </w:tc>
        <w:tc>
          <w:tcPr>
            <w:tcW w:w="487" w:type="pct"/>
            <w:tcBorders>
              <w:top w:val="single" w:sz="4" w:space="0" w:color="auto"/>
              <w:left w:val="nil"/>
              <w:bottom w:val="single" w:sz="4" w:space="0" w:color="auto"/>
              <w:right w:val="nil"/>
            </w:tcBorders>
          </w:tcPr>
          <w:p w14:paraId="1E268FD3" w14:textId="77777777" w:rsidR="0028242E" w:rsidRPr="00C47F2F" w:rsidRDefault="0028242E" w:rsidP="00C47F2F">
            <w:pPr>
              <w:jc w:val="left"/>
              <w:rPr>
                <w:rFonts w:eastAsia="Times New Roman"/>
                <w:noProof/>
                <w:color w:val="000000"/>
                <w:sz w:val="22"/>
                <w:szCs w:val="22"/>
              </w:rPr>
            </w:pPr>
          </w:p>
        </w:tc>
      </w:tr>
      <w:tr w:rsidR="0028242E" w:rsidRPr="00972C81" w14:paraId="36A106F4" w14:textId="77777777" w:rsidTr="006243FB">
        <w:trPr>
          <w:trHeight w:val="340"/>
        </w:trPr>
        <w:tc>
          <w:tcPr>
            <w:tcW w:w="2087" w:type="pct"/>
            <w:tcBorders>
              <w:top w:val="single" w:sz="4" w:space="0" w:color="auto"/>
              <w:left w:val="nil"/>
              <w:bottom w:val="single" w:sz="4" w:space="0" w:color="auto"/>
              <w:right w:val="nil"/>
            </w:tcBorders>
            <w:vAlign w:val="center"/>
            <w:hideMark/>
          </w:tcPr>
          <w:p w14:paraId="66D14AE3" w14:textId="77777777" w:rsidR="0028242E" w:rsidRPr="00C47F2F" w:rsidRDefault="0028242E" w:rsidP="006243FB">
            <w:pPr>
              <w:jc w:val="left"/>
              <w:rPr>
                <w:rFonts w:eastAsiaTheme="minorHAnsi"/>
                <w:noProof/>
                <w:sz w:val="22"/>
                <w:szCs w:val="22"/>
              </w:rPr>
            </w:pPr>
            <w:r w:rsidRPr="00C47F2F">
              <w:rPr>
                <w:noProof/>
                <w:sz w:val="22"/>
                <w:szCs w:val="22"/>
              </w:rPr>
              <w:t>All compounds</w:t>
            </w:r>
          </w:p>
        </w:tc>
        <w:tc>
          <w:tcPr>
            <w:tcW w:w="485" w:type="pct"/>
            <w:tcBorders>
              <w:top w:val="single" w:sz="4" w:space="0" w:color="auto"/>
              <w:left w:val="nil"/>
              <w:bottom w:val="single" w:sz="4" w:space="0" w:color="auto"/>
              <w:right w:val="nil"/>
            </w:tcBorders>
            <w:vAlign w:val="center"/>
            <w:hideMark/>
          </w:tcPr>
          <w:p w14:paraId="0632CB79"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6.2E-07</w:t>
            </w:r>
          </w:p>
        </w:tc>
        <w:tc>
          <w:tcPr>
            <w:tcW w:w="485" w:type="pct"/>
            <w:tcBorders>
              <w:top w:val="single" w:sz="4" w:space="0" w:color="auto"/>
              <w:left w:val="nil"/>
              <w:bottom w:val="single" w:sz="4" w:space="0" w:color="auto"/>
              <w:right w:val="nil"/>
            </w:tcBorders>
            <w:vAlign w:val="center"/>
            <w:hideMark/>
          </w:tcPr>
          <w:p w14:paraId="65B48EBC"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4.4E-08</w:t>
            </w:r>
          </w:p>
        </w:tc>
        <w:tc>
          <w:tcPr>
            <w:tcW w:w="485" w:type="pct"/>
            <w:tcBorders>
              <w:top w:val="single" w:sz="4" w:space="0" w:color="auto"/>
              <w:left w:val="nil"/>
              <w:bottom w:val="single" w:sz="4" w:space="0" w:color="auto"/>
              <w:right w:val="nil"/>
            </w:tcBorders>
            <w:vAlign w:val="center"/>
            <w:hideMark/>
          </w:tcPr>
          <w:p w14:paraId="5AD4C1D3"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1.6E-08</w:t>
            </w:r>
          </w:p>
        </w:tc>
        <w:tc>
          <w:tcPr>
            <w:tcW w:w="485" w:type="pct"/>
            <w:tcBorders>
              <w:top w:val="single" w:sz="4" w:space="0" w:color="auto"/>
              <w:left w:val="nil"/>
              <w:bottom w:val="single" w:sz="4" w:space="0" w:color="auto"/>
              <w:right w:val="nil"/>
            </w:tcBorders>
            <w:vAlign w:val="center"/>
            <w:hideMark/>
          </w:tcPr>
          <w:p w14:paraId="2F1C9B56"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7.6E-09</w:t>
            </w:r>
          </w:p>
        </w:tc>
        <w:tc>
          <w:tcPr>
            <w:tcW w:w="485" w:type="pct"/>
            <w:tcBorders>
              <w:top w:val="single" w:sz="4" w:space="0" w:color="auto"/>
              <w:left w:val="nil"/>
              <w:bottom w:val="single" w:sz="4" w:space="0" w:color="auto"/>
              <w:right w:val="nil"/>
            </w:tcBorders>
            <w:vAlign w:val="center"/>
            <w:hideMark/>
          </w:tcPr>
          <w:p w14:paraId="77800A5B"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6.2E-09</w:t>
            </w:r>
          </w:p>
        </w:tc>
        <w:tc>
          <w:tcPr>
            <w:tcW w:w="487" w:type="pct"/>
            <w:tcBorders>
              <w:top w:val="single" w:sz="4" w:space="0" w:color="auto"/>
              <w:left w:val="nil"/>
              <w:bottom w:val="single" w:sz="4" w:space="0" w:color="auto"/>
              <w:right w:val="nil"/>
            </w:tcBorders>
            <w:vAlign w:val="center"/>
            <w:hideMark/>
          </w:tcPr>
          <w:p w14:paraId="061A3647" w14:textId="77777777" w:rsidR="0028242E" w:rsidRPr="00C47F2F" w:rsidRDefault="0028242E" w:rsidP="006243FB">
            <w:pPr>
              <w:jc w:val="left"/>
              <w:rPr>
                <w:rFonts w:eastAsia="Times New Roman"/>
                <w:noProof/>
                <w:color w:val="000000"/>
                <w:sz w:val="22"/>
                <w:szCs w:val="22"/>
              </w:rPr>
            </w:pPr>
            <w:r w:rsidRPr="00C47F2F">
              <w:rPr>
                <w:rFonts w:eastAsia="Times New Roman"/>
                <w:noProof/>
                <w:color w:val="000000"/>
                <w:sz w:val="22"/>
                <w:szCs w:val="22"/>
              </w:rPr>
              <w:t>3.7E-09</w:t>
            </w:r>
          </w:p>
        </w:tc>
      </w:tr>
    </w:tbl>
    <w:p w14:paraId="5E5D2F5D" w14:textId="378E5A11" w:rsidR="005702C4" w:rsidRPr="00C47F2F" w:rsidRDefault="005702C4" w:rsidP="00C47F2F">
      <w:pPr>
        <w:pStyle w:val="GlossaryHeadChar"/>
        <w:overflowPunct/>
        <w:autoSpaceDE/>
        <w:autoSpaceDN/>
        <w:adjustRightInd/>
        <w:spacing w:before="0" w:after="0"/>
        <w:textAlignment w:val="auto"/>
        <w:rPr>
          <w:noProof/>
          <w:szCs w:val="24"/>
          <w:lang w:eastAsia="en-US"/>
        </w:rPr>
      </w:pPr>
    </w:p>
    <w:p w14:paraId="493E0951" w14:textId="77777777" w:rsidR="0089670E" w:rsidRDefault="0089670E">
      <w:pPr>
        <w:widowControl/>
        <w:jc w:val="left"/>
        <w:rPr>
          <w:noProof/>
        </w:rPr>
      </w:pPr>
      <w:r>
        <w:rPr>
          <w:noProof/>
        </w:rPr>
        <w:br w:type="page"/>
      </w:r>
    </w:p>
    <w:p w14:paraId="4E85E434" w14:textId="62924B91" w:rsidR="00C4546D" w:rsidRPr="00972C81" w:rsidRDefault="00DE005F" w:rsidP="00C47F2F">
      <w:pPr>
        <w:pStyle w:val="Heading1nonumbering"/>
      </w:pPr>
      <w:r w:rsidRPr="00972C81">
        <w:lastRenderedPageBreak/>
        <w:t>R</w:t>
      </w:r>
      <w:r w:rsidR="00C4546D" w:rsidRPr="00972C81">
        <w:t>eferences</w:t>
      </w:r>
    </w:p>
    <w:p w14:paraId="7A4913ED" w14:textId="77777777" w:rsidR="00232741" w:rsidRPr="0089670E" w:rsidRDefault="00232741" w:rsidP="00232741">
      <w:pPr>
        <w:pStyle w:val="aff1"/>
        <w:ind w:left="426" w:hanging="426"/>
        <w:rPr>
          <w:noProof/>
        </w:rPr>
      </w:pPr>
      <w:r w:rsidRPr="00ED6790">
        <w:rPr>
          <w:noProof/>
          <w:lang w:val="it-IT"/>
        </w:rPr>
        <w:t>Ando</w:t>
      </w:r>
      <w:r w:rsidRPr="0089670E">
        <w:rPr>
          <w:rFonts w:hint="eastAsia"/>
          <w:noProof/>
          <w:lang w:val="it-IT" w:eastAsia="ko-KR"/>
        </w:rPr>
        <w:t>,</w:t>
      </w:r>
      <w:r w:rsidRPr="00ED6790">
        <w:rPr>
          <w:noProof/>
          <w:lang w:val="it-IT"/>
        </w:rPr>
        <w:t xml:space="preserve"> A</w:t>
      </w:r>
      <w:r w:rsidRPr="0089670E">
        <w:rPr>
          <w:rFonts w:hint="eastAsia"/>
          <w:noProof/>
          <w:lang w:val="it-IT" w:eastAsia="ko-KR"/>
        </w:rPr>
        <w:t>.</w:t>
      </w:r>
      <w:r w:rsidRPr="00ED6790">
        <w:rPr>
          <w:noProof/>
          <w:lang w:val="it-IT"/>
        </w:rPr>
        <w:t>, Ando</w:t>
      </w:r>
      <w:r w:rsidRPr="0089670E">
        <w:rPr>
          <w:rFonts w:hint="eastAsia"/>
          <w:noProof/>
          <w:lang w:val="it-IT" w:eastAsia="ko-KR"/>
        </w:rPr>
        <w:t>,</w:t>
      </w:r>
      <w:r w:rsidRPr="00ED6790">
        <w:rPr>
          <w:noProof/>
          <w:lang w:val="it-IT"/>
        </w:rPr>
        <w:t xml:space="preserve"> I</w:t>
      </w:r>
      <w:r w:rsidRPr="0089670E">
        <w:rPr>
          <w:rFonts w:hint="eastAsia"/>
          <w:noProof/>
          <w:lang w:val="it-IT" w:eastAsia="ko-KR"/>
        </w:rPr>
        <w:t>.</w:t>
      </w:r>
      <w:r w:rsidRPr="00ED6790">
        <w:rPr>
          <w:noProof/>
          <w:lang w:val="it-IT"/>
        </w:rPr>
        <w:t>, Hiraki</w:t>
      </w:r>
      <w:r w:rsidRPr="0089670E">
        <w:rPr>
          <w:rFonts w:hint="eastAsia"/>
          <w:noProof/>
          <w:lang w:val="it-IT" w:eastAsia="ko-KR"/>
        </w:rPr>
        <w:t>,</w:t>
      </w:r>
      <w:r w:rsidRPr="00ED6790">
        <w:rPr>
          <w:noProof/>
          <w:lang w:val="it-IT"/>
        </w:rPr>
        <w:t xml:space="preserve"> T</w:t>
      </w:r>
      <w:r w:rsidRPr="0089670E">
        <w:rPr>
          <w:rFonts w:hint="eastAsia"/>
          <w:noProof/>
          <w:lang w:val="it-IT" w:eastAsia="ko-KR"/>
        </w:rPr>
        <w:t>.</w:t>
      </w:r>
      <w:r w:rsidRPr="00ED6790">
        <w:rPr>
          <w:noProof/>
          <w:lang w:val="it-IT"/>
        </w:rPr>
        <w:t>, et al.</w:t>
      </w:r>
      <w:r w:rsidRPr="0089670E">
        <w:rPr>
          <w:rFonts w:hint="eastAsia"/>
          <w:noProof/>
          <w:lang w:val="it-IT" w:eastAsia="ko-KR"/>
        </w:rPr>
        <w:t>,</w:t>
      </w:r>
      <w:r w:rsidRPr="00ED6790">
        <w:rPr>
          <w:noProof/>
          <w:lang w:val="it-IT"/>
        </w:rPr>
        <w:t xml:space="preserve"> 1989</w:t>
      </w:r>
      <w:r w:rsidRPr="00ED6790">
        <w:rPr>
          <w:rFonts w:hint="eastAsia"/>
          <w:noProof/>
          <w:lang w:val="it-IT" w:eastAsia="ko-KR"/>
        </w:rPr>
        <w:t>.</w:t>
      </w:r>
      <w:r w:rsidRPr="00ED6790">
        <w:rPr>
          <w:noProof/>
          <w:lang w:val="it-IT"/>
        </w:rPr>
        <w:t xml:space="preserve"> </w:t>
      </w:r>
      <w:r w:rsidRPr="0089670E">
        <w:rPr>
          <w:noProof/>
        </w:rPr>
        <w:t xml:space="preserve">Relation </w:t>
      </w:r>
      <w:r w:rsidRPr="00ED6790">
        <w:rPr>
          <w:noProof/>
          <w:sz w:val="22"/>
          <w:szCs w:val="22"/>
        </w:rPr>
        <w:t>between</w:t>
      </w:r>
      <w:r w:rsidRPr="0089670E">
        <w:rPr>
          <w:noProof/>
        </w:rPr>
        <w:t xml:space="preserve"> the location of elements in the periodic table and various organ-uptake rates. </w:t>
      </w:r>
      <w:r w:rsidRPr="0091391F">
        <w:rPr>
          <w:noProof/>
        </w:rPr>
        <w:t>Int</w:t>
      </w:r>
      <w:r>
        <w:rPr>
          <w:rFonts w:hint="eastAsia"/>
          <w:noProof/>
          <w:lang w:eastAsia="ko-KR"/>
        </w:rPr>
        <w:t>.</w:t>
      </w:r>
      <w:r w:rsidRPr="0091391F">
        <w:rPr>
          <w:noProof/>
        </w:rPr>
        <w:t xml:space="preserve"> J</w:t>
      </w:r>
      <w:r>
        <w:rPr>
          <w:rFonts w:hint="eastAsia"/>
          <w:noProof/>
          <w:lang w:eastAsia="ko-KR"/>
        </w:rPr>
        <w:t>.</w:t>
      </w:r>
      <w:r w:rsidRPr="0091391F">
        <w:rPr>
          <w:noProof/>
        </w:rPr>
        <w:t xml:space="preserve"> Rad</w:t>
      </w:r>
      <w:r>
        <w:rPr>
          <w:rFonts w:hint="eastAsia"/>
          <w:noProof/>
          <w:lang w:eastAsia="ko-KR"/>
        </w:rPr>
        <w:t>.</w:t>
      </w:r>
      <w:r w:rsidRPr="0091391F">
        <w:rPr>
          <w:noProof/>
        </w:rPr>
        <w:t xml:space="preserve"> Appl</w:t>
      </w:r>
      <w:r>
        <w:rPr>
          <w:rFonts w:hint="eastAsia"/>
          <w:noProof/>
          <w:lang w:eastAsia="ko-KR"/>
        </w:rPr>
        <w:t>.</w:t>
      </w:r>
      <w:r w:rsidRPr="0091391F">
        <w:rPr>
          <w:noProof/>
        </w:rPr>
        <w:t xml:space="preserve"> Instrum</w:t>
      </w:r>
      <w:r>
        <w:rPr>
          <w:rFonts w:hint="eastAsia"/>
          <w:noProof/>
          <w:lang w:eastAsia="ko-KR"/>
        </w:rPr>
        <w:t>.</w:t>
      </w:r>
      <w:r w:rsidRPr="0091391F">
        <w:rPr>
          <w:noProof/>
        </w:rPr>
        <w:t xml:space="preserve"> B</w:t>
      </w:r>
      <w:r w:rsidRPr="0089670E">
        <w:rPr>
          <w:noProof/>
        </w:rPr>
        <w:t xml:space="preserve"> 16(1)</w:t>
      </w:r>
      <w:r>
        <w:rPr>
          <w:rFonts w:hint="eastAsia"/>
          <w:noProof/>
          <w:lang w:eastAsia="ko-KR"/>
        </w:rPr>
        <w:t>,</w:t>
      </w:r>
      <w:r w:rsidRPr="0089670E">
        <w:rPr>
          <w:noProof/>
        </w:rPr>
        <w:t xml:space="preserve"> 57–80.</w:t>
      </w:r>
    </w:p>
    <w:p w14:paraId="608E5EC9" w14:textId="77777777" w:rsidR="00232741" w:rsidRPr="0089670E" w:rsidRDefault="00232741" w:rsidP="00232741">
      <w:pPr>
        <w:pStyle w:val="aff1"/>
        <w:ind w:left="426" w:hanging="426"/>
        <w:rPr>
          <w:noProof/>
        </w:rPr>
      </w:pPr>
      <w:r w:rsidRPr="0089670E">
        <w:rPr>
          <w:noProof/>
        </w:rPr>
        <w:t>Atherton</w:t>
      </w:r>
      <w:r>
        <w:rPr>
          <w:rFonts w:hint="eastAsia"/>
          <w:noProof/>
          <w:lang w:eastAsia="ko-KR"/>
        </w:rPr>
        <w:t>,</w:t>
      </w:r>
      <w:r w:rsidRPr="0089670E">
        <w:rPr>
          <w:noProof/>
        </w:rPr>
        <w:t xml:space="preserve"> D</w:t>
      </w:r>
      <w:r>
        <w:rPr>
          <w:rFonts w:hint="eastAsia"/>
          <w:noProof/>
          <w:lang w:eastAsia="ko-KR"/>
        </w:rPr>
        <w:t>.</w:t>
      </w:r>
      <w:r w:rsidRPr="0089670E">
        <w:rPr>
          <w:noProof/>
        </w:rPr>
        <w:t>R</w:t>
      </w:r>
      <w:r>
        <w:rPr>
          <w:rFonts w:hint="eastAsia"/>
          <w:noProof/>
          <w:lang w:eastAsia="ko-KR"/>
        </w:rPr>
        <w:t>.,</w:t>
      </w:r>
      <w:r w:rsidRPr="0089670E">
        <w:rPr>
          <w:noProof/>
        </w:rPr>
        <w:t xml:space="preserve"> Lloyd</w:t>
      </w:r>
      <w:r>
        <w:rPr>
          <w:rFonts w:hint="eastAsia"/>
          <w:noProof/>
          <w:lang w:eastAsia="ko-KR"/>
        </w:rPr>
        <w:t>,</w:t>
      </w:r>
      <w:r w:rsidRPr="0089670E">
        <w:rPr>
          <w:noProof/>
        </w:rPr>
        <w:t xml:space="preserve"> R</w:t>
      </w:r>
      <w:r>
        <w:rPr>
          <w:rFonts w:hint="eastAsia"/>
          <w:noProof/>
          <w:lang w:eastAsia="ko-KR"/>
        </w:rPr>
        <w:t>.</w:t>
      </w:r>
      <w:r w:rsidRPr="0089670E">
        <w:rPr>
          <w:noProof/>
        </w:rPr>
        <w:t>D</w:t>
      </w:r>
      <w:r>
        <w:rPr>
          <w:rFonts w:hint="eastAsia"/>
          <w:noProof/>
          <w:lang w:eastAsia="ko-KR"/>
        </w:rPr>
        <w:t>.,</w:t>
      </w:r>
      <w:r w:rsidRPr="0089670E">
        <w:rPr>
          <w:noProof/>
        </w:rPr>
        <w:t xml:space="preserve"> 1972</w:t>
      </w:r>
      <w:r>
        <w:rPr>
          <w:rFonts w:hint="eastAsia"/>
          <w:noProof/>
          <w:lang w:eastAsia="ko-KR"/>
        </w:rPr>
        <w:t>.</w:t>
      </w:r>
      <w:r w:rsidRPr="0089670E">
        <w:rPr>
          <w:noProof/>
        </w:rPr>
        <w:t xml:space="preserve"> The distribution and retention of </w:t>
      </w:r>
      <w:r w:rsidRPr="00ED6790">
        <w:rPr>
          <w:noProof/>
          <w:vertAlign w:val="superscript"/>
        </w:rPr>
        <w:t>249</w:t>
      </w:r>
      <w:r w:rsidRPr="0089670E">
        <w:rPr>
          <w:noProof/>
        </w:rPr>
        <w:t xml:space="preserve">Cf in beagle soft tissue. </w:t>
      </w:r>
      <w:r w:rsidRPr="00FB300D">
        <w:rPr>
          <w:noProof/>
        </w:rPr>
        <w:t>Health Phys</w:t>
      </w:r>
      <w:r>
        <w:rPr>
          <w:rFonts w:hint="eastAsia"/>
          <w:noProof/>
          <w:lang w:eastAsia="ko-KR"/>
        </w:rPr>
        <w:t>.</w:t>
      </w:r>
      <w:r w:rsidRPr="0089670E">
        <w:rPr>
          <w:noProof/>
        </w:rPr>
        <w:t xml:space="preserve"> 22(6)</w:t>
      </w:r>
      <w:r>
        <w:rPr>
          <w:rFonts w:hint="eastAsia"/>
          <w:noProof/>
          <w:lang w:eastAsia="ko-KR"/>
        </w:rPr>
        <w:t>,</w:t>
      </w:r>
      <w:r w:rsidRPr="0089670E">
        <w:rPr>
          <w:noProof/>
        </w:rPr>
        <w:t xml:space="preserve"> 675–677.</w:t>
      </w:r>
    </w:p>
    <w:p w14:paraId="50D7303E" w14:textId="77777777" w:rsidR="00232741" w:rsidRPr="0089670E" w:rsidRDefault="00232741" w:rsidP="00232741">
      <w:pPr>
        <w:pStyle w:val="aff1"/>
        <w:ind w:left="426" w:hanging="426"/>
        <w:rPr>
          <w:noProof/>
        </w:rPr>
      </w:pPr>
      <w:r w:rsidRPr="0089670E">
        <w:rPr>
          <w:noProof/>
        </w:rPr>
        <w:t>Atherton</w:t>
      </w:r>
      <w:r>
        <w:rPr>
          <w:rFonts w:hint="eastAsia"/>
          <w:noProof/>
          <w:lang w:eastAsia="ko-KR"/>
        </w:rPr>
        <w:t>,</w:t>
      </w:r>
      <w:r w:rsidRPr="0089670E">
        <w:rPr>
          <w:noProof/>
        </w:rPr>
        <w:t xml:space="preserve"> D</w:t>
      </w:r>
      <w:r>
        <w:rPr>
          <w:rFonts w:hint="eastAsia"/>
          <w:noProof/>
          <w:lang w:eastAsia="ko-KR"/>
        </w:rPr>
        <w:t>.</w:t>
      </w:r>
      <w:r w:rsidRPr="0089670E">
        <w:rPr>
          <w:noProof/>
        </w:rPr>
        <w:t>R</w:t>
      </w:r>
      <w:r>
        <w:rPr>
          <w:rFonts w:hint="eastAsia"/>
          <w:noProof/>
          <w:lang w:eastAsia="ko-KR"/>
        </w:rPr>
        <w:t>.</w:t>
      </w:r>
      <w:r w:rsidRPr="0089670E">
        <w:rPr>
          <w:noProof/>
        </w:rPr>
        <w:t>, Stevens</w:t>
      </w:r>
      <w:r>
        <w:rPr>
          <w:rFonts w:hint="eastAsia"/>
          <w:noProof/>
          <w:lang w:eastAsia="ko-KR"/>
        </w:rPr>
        <w:t>,</w:t>
      </w:r>
      <w:r w:rsidRPr="0089670E">
        <w:rPr>
          <w:noProof/>
        </w:rPr>
        <w:t xml:space="preserve"> W</w:t>
      </w:r>
      <w:r>
        <w:rPr>
          <w:rFonts w:hint="eastAsia"/>
          <w:noProof/>
          <w:lang w:eastAsia="ko-KR"/>
        </w:rPr>
        <w:t>.,</w:t>
      </w:r>
      <w:r w:rsidRPr="0089670E">
        <w:rPr>
          <w:noProof/>
        </w:rPr>
        <w:t xml:space="preserve"> Bruenger</w:t>
      </w:r>
      <w:r>
        <w:rPr>
          <w:rFonts w:hint="eastAsia"/>
          <w:noProof/>
          <w:lang w:eastAsia="ko-KR"/>
        </w:rPr>
        <w:t>,</w:t>
      </w:r>
      <w:r w:rsidRPr="0089670E">
        <w:rPr>
          <w:noProof/>
        </w:rPr>
        <w:t xml:space="preserve"> F</w:t>
      </w:r>
      <w:r>
        <w:rPr>
          <w:rFonts w:hint="eastAsia"/>
          <w:noProof/>
          <w:lang w:eastAsia="ko-KR"/>
        </w:rPr>
        <w:t>.</w:t>
      </w:r>
      <w:r w:rsidRPr="0089670E">
        <w:rPr>
          <w:noProof/>
        </w:rPr>
        <w:t>W</w:t>
      </w:r>
      <w:r>
        <w:rPr>
          <w:rFonts w:hint="eastAsia"/>
          <w:noProof/>
          <w:lang w:eastAsia="ko-KR"/>
        </w:rPr>
        <w:t>.,</w:t>
      </w:r>
      <w:r w:rsidRPr="0089670E">
        <w:rPr>
          <w:noProof/>
        </w:rPr>
        <w:t xml:space="preserve"> 1973</w:t>
      </w:r>
      <w:r>
        <w:rPr>
          <w:rFonts w:hint="eastAsia"/>
          <w:noProof/>
          <w:lang w:eastAsia="ko-KR"/>
        </w:rPr>
        <w:t>.</w:t>
      </w:r>
      <w:r w:rsidRPr="0089670E">
        <w:rPr>
          <w:noProof/>
        </w:rPr>
        <w:t xml:space="preserve"> </w:t>
      </w:r>
      <w:r w:rsidRPr="00ED6790">
        <w:rPr>
          <w:noProof/>
        </w:rPr>
        <w:t>Early retention and distribution of curium in soft tissues and blood of the beagle</w:t>
      </w:r>
      <w:r w:rsidRPr="0089670E">
        <w:rPr>
          <w:noProof/>
        </w:rPr>
        <w:t>. COO 119 248. University of Utah College of Medicine. Available at: https://inis.iaea.org/search/search.aspx?orig_q=RN:5109946 (accessed 2 October 2023).</w:t>
      </w:r>
    </w:p>
    <w:p w14:paraId="6A629196" w14:textId="77777777" w:rsidR="00232741" w:rsidRPr="0089670E" w:rsidRDefault="00232741" w:rsidP="00232741">
      <w:pPr>
        <w:pStyle w:val="aff1"/>
        <w:ind w:left="426" w:hanging="426"/>
        <w:rPr>
          <w:noProof/>
        </w:rPr>
      </w:pPr>
      <w:r w:rsidRPr="00BB7751">
        <w:rPr>
          <w:noProof/>
          <w:lang w:val="en-US"/>
        </w:rPr>
        <w:t>Ballou</w:t>
      </w:r>
      <w:r w:rsidRPr="00BB7751">
        <w:rPr>
          <w:rFonts w:hint="eastAsia"/>
          <w:noProof/>
          <w:lang w:val="en-US" w:eastAsia="ko-KR"/>
        </w:rPr>
        <w:t>,</w:t>
      </w:r>
      <w:r w:rsidRPr="00BB7751">
        <w:rPr>
          <w:noProof/>
          <w:lang w:val="en-US"/>
        </w:rPr>
        <w:t xml:space="preserve"> J</w:t>
      </w:r>
      <w:r w:rsidRPr="00BB7751">
        <w:rPr>
          <w:rFonts w:hint="eastAsia"/>
          <w:noProof/>
          <w:lang w:val="en-US" w:eastAsia="ko-KR"/>
        </w:rPr>
        <w:t>.</w:t>
      </w:r>
      <w:r w:rsidRPr="00BB7751">
        <w:rPr>
          <w:noProof/>
          <w:lang w:val="en-US"/>
        </w:rPr>
        <w:t>E</w:t>
      </w:r>
      <w:r w:rsidRPr="00BB7751">
        <w:rPr>
          <w:rFonts w:hint="eastAsia"/>
          <w:noProof/>
          <w:lang w:val="en-US" w:eastAsia="ko-KR"/>
        </w:rPr>
        <w:t>.</w:t>
      </w:r>
      <w:r w:rsidRPr="00BB7751">
        <w:rPr>
          <w:noProof/>
          <w:lang w:val="en-US"/>
        </w:rPr>
        <w:t>, Bair</w:t>
      </w:r>
      <w:r w:rsidRPr="00BB7751">
        <w:rPr>
          <w:rFonts w:hint="eastAsia"/>
          <w:noProof/>
          <w:lang w:val="en-US" w:eastAsia="ko-KR"/>
        </w:rPr>
        <w:t>,</w:t>
      </w:r>
      <w:r w:rsidRPr="00BB7751">
        <w:rPr>
          <w:noProof/>
          <w:lang w:val="en-US"/>
        </w:rPr>
        <w:t xml:space="preserve"> W</w:t>
      </w:r>
      <w:r w:rsidRPr="00BB7751">
        <w:rPr>
          <w:rFonts w:hint="eastAsia"/>
          <w:noProof/>
          <w:lang w:val="en-US" w:eastAsia="ko-KR"/>
        </w:rPr>
        <w:t>.</w:t>
      </w:r>
      <w:r w:rsidRPr="00BB7751">
        <w:rPr>
          <w:noProof/>
          <w:lang w:val="en-US"/>
        </w:rPr>
        <w:t>J</w:t>
      </w:r>
      <w:r w:rsidRPr="00BB7751">
        <w:rPr>
          <w:rFonts w:hint="eastAsia"/>
          <w:noProof/>
          <w:lang w:val="en-US" w:eastAsia="ko-KR"/>
        </w:rPr>
        <w:t>.</w:t>
      </w:r>
      <w:r w:rsidRPr="00BB7751">
        <w:rPr>
          <w:noProof/>
          <w:lang w:val="en-US"/>
        </w:rPr>
        <w:t>, Case</w:t>
      </w:r>
      <w:r w:rsidRPr="00BB7751">
        <w:rPr>
          <w:rFonts w:hint="eastAsia"/>
          <w:noProof/>
          <w:lang w:val="en-US" w:eastAsia="ko-KR"/>
        </w:rPr>
        <w:t>,</w:t>
      </w:r>
      <w:r w:rsidRPr="00BB7751">
        <w:rPr>
          <w:noProof/>
          <w:lang w:val="en-US"/>
        </w:rPr>
        <w:t xml:space="preserve"> A</w:t>
      </w:r>
      <w:r w:rsidRPr="00BB7751">
        <w:rPr>
          <w:rFonts w:hint="eastAsia"/>
          <w:noProof/>
          <w:lang w:val="en-US" w:eastAsia="ko-KR"/>
        </w:rPr>
        <w:t>.</w:t>
      </w:r>
      <w:r w:rsidRPr="00BB7751">
        <w:rPr>
          <w:noProof/>
          <w:lang w:val="en-US"/>
        </w:rPr>
        <w:t>C</w:t>
      </w:r>
      <w:r w:rsidRPr="00BB7751">
        <w:rPr>
          <w:rFonts w:hint="eastAsia"/>
          <w:noProof/>
          <w:lang w:val="en-US" w:eastAsia="ko-KR"/>
        </w:rPr>
        <w:t>.</w:t>
      </w:r>
      <w:r w:rsidRPr="00BB7751">
        <w:rPr>
          <w:noProof/>
          <w:lang w:val="en-US"/>
        </w:rPr>
        <w:t>, et al.</w:t>
      </w:r>
      <w:r w:rsidRPr="00BB7751">
        <w:rPr>
          <w:rFonts w:hint="eastAsia"/>
          <w:noProof/>
          <w:lang w:val="en-US" w:eastAsia="ko-KR"/>
        </w:rPr>
        <w:t>,</w:t>
      </w:r>
      <w:r w:rsidRPr="00BB7751">
        <w:rPr>
          <w:noProof/>
          <w:lang w:val="en-US"/>
        </w:rPr>
        <w:t xml:space="preserve"> </w:t>
      </w:r>
      <w:r w:rsidRPr="0089670E">
        <w:rPr>
          <w:noProof/>
        </w:rPr>
        <w:t>1962</w:t>
      </w:r>
      <w:r>
        <w:rPr>
          <w:rFonts w:hint="eastAsia"/>
          <w:noProof/>
          <w:lang w:eastAsia="ko-KR"/>
        </w:rPr>
        <w:t>.</w:t>
      </w:r>
      <w:r w:rsidRPr="0089670E">
        <w:rPr>
          <w:noProof/>
        </w:rPr>
        <w:t xml:space="preserve"> Studies with neptunium in the rat. </w:t>
      </w:r>
      <w:r w:rsidRPr="00ED6790">
        <w:rPr>
          <w:noProof/>
        </w:rPr>
        <w:t>Health Phys</w:t>
      </w:r>
      <w:r>
        <w:rPr>
          <w:rFonts w:hint="eastAsia"/>
          <w:noProof/>
          <w:lang w:eastAsia="ko-KR"/>
        </w:rPr>
        <w:t>.</w:t>
      </w:r>
      <w:r w:rsidRPr="0089670E">
        <w:rPr>
          <w:noProof/>
        </w:rPr>
        <w:t xml:space="preserve"> 8</w:t>
      </w:r>
      <w:r>
        <w:rPr>
          <w:rFonts w:hint="eastAsia"/>
          <w:noProof/>
          <w:lang w:eastAsia="ko-KR"/>
        </w:rPr>
        <w:t>,</w:t>
      </w:r>
      <w:r w:rsidRPr="0089670E">
        <w:rPr>
          <w:noProof/>
        </w:rPr>
        <w:t xml:space="preserve"> 685–688.</w:t>
      </w:r>
    </w:p>
    <w:p w14:paraId="62782A3E" w14:textId="77777777" w:rsidR="00232741" w:rsidRPr="00BB7751" w:rsidRDefault="00232741" w:rsidP="00232741">
      <w:pPr>
        <w:pStyle w:val="aff1"/>
        <w:ind w:left="426" w:hanging="426"/>
        <w:rPr>
          <w:noProof/>
          <w:lang w:val="en-US"/>
        </w:rPr>
      </w:pPr>
      <w:r w:rsidRPr="0089670E">
        <w:rPr>
          <w:noProof/>
        </w:rPr>
        <w:t>Ballou</w:t>
      </w:r>
      <w:r>
        <w:rPr>
          <w:rFonts w:hint="eastAsia"/>
          <w:noProof/>
          <w:lang w:eastAsia="ko-KR"/>
        </w:rPr>
        <w:t>,</w:t>
      </w:r>
      <w:r w:rsidRPr="0089670E">
        <w:rPr>
          <w:noProof/>
        </w:rPr>
        <w:t xml:space="preserve"> J</w:t>
      </w:r>
      <w:r>
        <w:rPr>
          <w:rFonts w:hint="eastAsia"/>
          <w:noProof/>
          <w:lang w:eastAsia="ko-KR"/>
        </w:rPr>
        <w:t>.</w:t>
      </w:r>
      <w:r w:rsidRPr="0089670E">
        <w:rPr>
          <w:noProof/>
        </w:rPr>
        <w:t>E</w:t>
      </w:r>
      <w:r>
        <w:rPr>
          <w:rFonts w:hint="eastAsia"/>
          <w:noProof/>
          <w:lang w:eastAsia="ko-KR"/>
        </w:rPr>
        <w:t>.</w:t>
      </w:r>
      <w:r w:rsidRPr="0089670E">
        <w:rPr>
          <w:noProof/>
        </w:rPr>
        <w:t>, Dagle</w:t>
      </w:r>
      <w:r>
        <w:rPr>
          <w:rFonts w:hint="eastAsia"/>
          <w:noProof/>
          <w:lang w:eastAsia="ko-KR"/>
        </w:rPr>
        <w:t>,</w:t>
      </w:r>
      <w:r w:rsidRPr="0089670E">
        <w:rPr>
          <w:noProof/>
        </w:rPr>
        <w:t xml:space="preserve"> G</w:t>
      </w:r>
      <w:r>
        <w:rPr>
          <w:rFonts w:hint="eastAsia"/>
          <w:noProof/>
          <w:lang w:eastAsia="ko-KR"/>
        </w:rPr>
        <w:t>.</w:t>
      </w:r>
      <w:r w:rsidRPr="0089670E">
        <w:rPr>
          <w:noProof/>
        </w:rPr>
        <w:t>E</w:t>
      </w:r>
      <w:r>
        <w:rPr>
          <w:rFonts w:hint="eastAsia"/>
          <w:noProof/>
          <w:lang w:eastAsia="ko-KR"/>
        </w:rPr>
        <w:t>.,</w:t>
      </w:r>
      <w:r w:rsidRPr="0089670E">
        <w:rPr>
          <w:noProof/>
        </w:rPr>
        <w:t xml:space="preserve"> Morrow</w:t>
      </w:r>
      <w:r>
        <w:rPr>
          <w:rFonts w:hint="eastAsia"/>
          <w:noProof/>
          <w:lang w:eastAsia="ko-KR"/>
        </w:rPr>
        <w:t>,</w:t>
      </w:r>
      <w:r w:rsidRPr="0089670E">
        <w:rPr>
          <w:noProof/>
        </w:rPr>
        <w:t xml:space="preserve"> W</w:t>
      </w:r>
      <w:r>
        <w:rPr>
          <w:rFonts w:hint="eastAsia"/>
          <w:noProof/>
          <w:lang w:eastAsia="ko-KR"/>
        </w:rPr>
        <w:t>.</w:t>
      </w:r>
      <w:r w:rsidRPr="0089670E">
        <w:rPr>
          <w:noProof/>
        </w:rPr>
        <w:t>G</w:t>
      </w:r>
      <w:r>
        <w:rPr>
          <w:rFonts w:hint="eastAsia"/>
          <w:noProof/>
          <w:lang w:eastAsia="ko-KR"/>
        </w:rPr>
        <w:t>.,</w:t>
      </w:r>
      <w:r w:rsidRPr="0089670E">
        <w:rPr>
          <w:noProof/>
        </w:rPr>
        <w:t xml:space="preserve"> 1975</w:t>
      </w:r>
      <w:r>
        <w:rPr>
          <w:rFonts w:hint="eastAsia"/>
          <w:noProof/>
          <w:lang w:eastAsia="ko-KR"/>
        </w:rPr>
        <w:t>.</w:t>
      </w:r>
      <w:r w:rsidRPr="0089670E">
        <w:rPr>
          <w:noProof/>
        </w:rPr>
        <w:t xml:space="preserve"> The long-term effects of intratracheally instilled </w:t>
      </w:r>
      <w:r w:rsidRPr="00ED6790">
        <w:rPr>
          <w:noProof/>
          <w:vertAlign w:val="superscript"/>
        </w:rPr>
        <w:t>253</w:t>
      </w:r>
      <w:r w:rsidRPr="0089670E">
        <w:rPr>
          <w:noProof/>
        </w:rPr>
        <w:t>EsC</w:t>
      </w:r>
      <w:r w:rsidRPr="00ED6790">
        <w:rPr>
          <w:noProof/>
          <w:vertAlign w:val="subscript"/>
        </w:rPr>
        <w:t>l3</w:t>
      </w:r>
      <w:r w:rsidRPr="0089670E">
        <w:rPr>
          <w:noProof/>
        </w:rPr>
        <w:t xml:space="preserve"> in rats. </w:t>
      </w:r>
      <w:r w:rsidRPr="00BB7751">
        <w:rPr>
          <w:noProof/>
          <w:lang w:val="en-US"/>
        </w:rPr>
        <w:t>Health Phys</w:t>
      </w:r>
      <w:r w:rsidRPr="00BB7751">
        <w:rPr>
          <w:rFonts w:hint="eastAsia"/>
          <w:noProof/>
          <w:lang w:val="en-US" w:eastAsia="ko-KR"/>
        </w:rPr>
        <w:t>.</w:t>
      </w:r>
      <w:r w:rsidRPr="00BB7751">
        <w:rPr>
          <w:noProof/>
          <w:lang w:val="en-US"/>
        </w:rPr>
        <w:t xml:space="preserve"> 29(2)</w:t>
      </w:r>
      <w:r w:rsidRPr="00BB7751">
        <w:rPr>
          <w:rFonts w:hint="eastAsia"/>
          <w:noProof/>
          <w:lang w:val="en-US" w:eastAsia="ko-KR"/>
        </w:rPr>
        <w:t>,</w:t>
      </w:r>
      <w:r w:rsidRPr="00BB7751">
        <w:rPr>
          <w:noProof/>
          <w:lang w:val="en-US"/>
        </w:rPr>
        <w:t xml:space="preserve"> 267–272.</w:t>
      </w:r>
    </w:p>
    <w:p w14:paraId="36F964F1" w14:textId="77777777" w:rsidR="00232741" w:rsidRPr="0089670E" w:rsidRDefault="00232741" w:rsidP="00232741">
      <w:pPr>
        <w:pStyle w:val="aff1"/>
        <w:ind w:left="426" w:hanging="426"/>
        <w:rPr>
          <w:noProof/>
        </w:rPr>
      </w:pPr>
      <w:r w:rsidRPr="00BB7751">
        <w:rPr>
          <w:noProof/>
          <w:lang w:val="en-US"/>
        </w:rPr>
        <w:t>Ballou</w:t>
      </w:r>
      <w:r w:rsidRPr="00BB7751">
        <w:rPr>
          <w:rFonts w:hint="eastAsia"/>
          <w:noProof/>
          <w:lang w:val="en-US" w:eastAsia="ko-KR"/>
        </w:rPr>
        <w:t>,</w:t>
      </w:r>
      <w:r w:rsidRPr="00BB7751">
        <w:rPr>
          <w:noProof/>
          <w:lang w:val="en-US"/>
        </w:rPr>
        <w:t xml:space="preserve"> J</w:t>
      </w:r>
      <w:r w:rsidRPr="00BB7751">
        <w:rPr>
          <w:rFonts w:hint="eastAsia"/>
          <w:noProof/>
          <w:lang w:val="en-US" w:eastAsia="ko-KR"/>
        </w:rPr>
        <w:t>.</w:t>
      </w:r>
      <w:r w:rsidRPr="00BB7751">
        <w:rPr>
          <w:noProof/>
          <w:lang w:val="en-US"/>
        </w:rPr>
        <w:t>E</w:t>
      </w:r>
      <w:r w:rsidRPr="00BB7751">
        <w:rPr>
          <w:rFonts w:hint="eastAsia"/>
          <w:noProof/>
          <w:lang w:val="en-US" w:eastAsia="ko-KR"/>
        </w:rPr>
        <w:t>.</w:t>
      </w:r>
      <w:r w:rsidRPr="00BB7751">
        <w:rPr>
          <w:noProof/>
          <w:lang w:val="en-US"/>
        </w:rPr>
        <w:t>, Dagle</w:t>
      </w:r>
      <w:r w:rsidRPr="00BB7751">
        <w:rPr>
          <w:rFonts w:hint="eastAsia"/>
          <w:noProof/>
          <w:lang w:val="en-US" w:eastAsia="ko-KR"/>
        </w:rPr>
        <w:t>,</w:t>
      </w:r>
      <w:r w:rsidRPr="00BB7751">
        <w:rPr>
          <w:noProof/>
          <w:lang w:val="en-US"/>
        </w:rPr>
        <w:t xml:space="preserve"> G</w:t>
      </w:r>
      <w:r w:rsidRPr="00BB7751">
        <w:rPr>
          <w:rFonts w:hint="eastAsia"/>
          <w:noProof/>
          <w:lang w:val="en-US" w:eastAsia="ko-KR"/>
        </w:rPr>
        <w:t>.</w:t>
      </w:r>
      <w:r w:rsidRPr="00BB7751">
        <w:rPr>
          <w:noProof/>
          <w:lang w:val="en-US"/>
        </w:rPr>
        <w:t>E</w:t>
      </w:r>
      <w:r w:rsidRPr="00BB7751">
        <w:rPr>
          <w:rFonts w:hint="eastAsia"/>
          <w:noProof/>
          <w:lang w:val="en-US" w:eastAsia="ko-KR"/>
        </w:rPr>
        <w:t>.</w:t>
      </w:r>
      <w:r w:rsidRPr="00BB7751">
        <w:rPr>
          <w:noProof/>
          <w:lang w:val="en-US"/>
        </w:rPr>
        <w:t>, Gies</w:t>
      </w:r>
      <w:r w:rsidRPr="00BB7751">
        <w:rPr>
          <w:rFonts w:hint="eastAsia"/>
          <w:noProof/>
          <w:lang w:val="en-US" w:eastAsia="ko-KR"/>
        </w:rPr>
        <w:t>,</w:t>
      </w:r>
      <w:r w:rsidRPr="00BB7751">
        <w:rPr>
          <w:noProof/>
          <w:lang w:val="en-US"/>
        </w:rPr>
        <w:t xml:space="preserve"> R</w:t>
      </w:r>
      <w:r w:rsidRPr="00BB7751">
        <w:rPr>
          <w:rFonts w:hint="eastAsia"/>
          <w:noProof/>
          <w:lang w:val="en-US" w:eastAsia="ko-KR"/>
        </w:rPr>
        <w:t>.</w:t>
      </w:r>
      <w:r w:rsidRPr="00BB7751">
        <w:rPr>
          <w:noProof/>
          <w:lang w:val="en-US"/>
        </w:rPr>
        <w:t>A</w:t>
      </w:r>
      <w:r w:rsidRPr="00BB7751">
        <w:rPr>
          <w:rFonts w:hint="eastAsia"/>
          <w:noProof/>
          <w:lang w:val="en-US" w:eastAsia="ko-KR"/>
        </w:rPr>
        <w:t>.</w:t>
      </w:r>
      <w:r w:rsidRPr="00BB7751">
        <w:rPr>
          <w:noProof/>
          <w:lang w:val="en-US"/>
        </w:rPr>
        <w:t>, et al.</w:t>
      </w:r>
      <w:r w:rsidRPr="00BB7751">
        <w:rPr>
          <w:rFonts w:hint="eastAsia"/>
          <w:noProof/>
          <w:lang w:val="en-US" w:eastAsia="ko-KR"/>
        </w:rPr>
        <w:t>,</w:t>
      </w:r>
      <w:r w:rsidRPr="00BB7751">
        <w:rPr>
          <w:noProof/>
          <w:lang w:val="en-US"/>
        </w:rPr>
        <w:t xml:space="preserve"> </w:t>
      </w:r>
      <w:r w:rsidRPr="0089670E">
        <w:rPr>
          <w:noProof/>
        </w:rPr>
        <w:t>1979</w:t>
      </w:r>
      <w:r>
        <w:rPr>
          <w:rFonts w:hint="eastAsia"/>
          <w:noProof/>
          <w:lang w:eastAsia="ko-KR"/>
        </w:rPr>
        <w:t>.</w:t>
      </w:r>
      <w:r w:rsidRPr="0089670E">
        <w:rPr>
          <w:noProof/>
        </w:rPr>
        <w:t xml:space="preserve"> Late effects of inhaled </w:t>
      </w:r>
      <w:r w:rsidRPr="00ED6790">
        <w:rPr>
          <w:noProof/>
          <w:vertAlign w:val="superscript"/>
        </w:rPr>
        <w:t>253</w:t>
      </w:r>
      <w:r w:rsidRPr="0089670E">
        <w:rPr>
          <w:noProof/>
        </w:rPr>
        <w:t>Es(NO</w:t>
      </w:r>
      <w:r w:rsidRPr="00ED6790">
        <w:rPr>
          <w:noProof/>
          <w:vertAlign w:val="subscript"/>
        </w:rPr>
        <w:t>3</w:t>
      </w:r>
      <w:r w:rsidRPr="0089670E">
        <w:rPr>
          <w:noProof/>
        </w:rPr>
        <w:t>)</w:t>
      </w:r>
      <w:r w:rsidRPr="00ED6790">
        <w:rPr>
          <w:noProof/>
          <w:vertAlign w:val="subscript"/>
        </w:rPr>
        <w:t>3</w:t>
      </w:r>
      <w:r w:rsidRPr="0089670E">
        <w:rPr>
          <w:noProof/>
        </w:rPr>
        <w:t xml:space="preserve"> in rats. </w:t>
      </w:r>
      <w:r w:rsidRPr="00ED6790">
        <w:rPr>
          <w:noProof/>
        </w:rPr>
        <w:t>Health Phys</w:t>
      </w:r>
      <w:r>
        <w:rPr>
          <w:rFonts w:hint="eastAsia"/>
          <w:noProof/>
          <w:lang w:eastAsia="ko-KR"/>
        </w:rPr>
        <w:t>.</w:t>
      </w:r>
      <w:r w:rsidRPr="0089670E">
        <w:rPr>
          <w:noProof/>
        </w:rPr>
        <w:t xml:space="preserve"> 37(3)</w:t>
      </w:r>
      <w:r>
        <w:rPr>
          <w:rFonts w:hint="eastAsia"/>
          <w:noProof/>
          <w:lang w:eastAsia="ko-KR"/>
        </w:rPr>
        <w:t>,</w:t>
      </w:r>
      <w:r w:rsidRPr="0089670E">
        <w:rPr>
          <w:noProof/>
        </w:rPr>
        <w:t xml:space="preserve"> 301–309.</w:t>
      </w:r>
    </w:p>
    <w:p w14:paraId="18A231EB" w14:textId="77777777" w:rsidR="00232741" w:rsidRPr="0089670E" w:rsidRDefault="00232741" w:rsidP="00232741">
      <w:pPr>
        <w:pStyle w:val="aff1"/>
        <w:ind w:left="426" w:hanging="426"/>
        <w:rPr>
          <w:noProof/>
        </w:rPr>
      </w:pPr>
      <w:r w:rsidRPr="0089670E">
        <w:rPr>
          <w:noProof/>
        </w:rPr>
        <w:t>Bassett</w:t>
      </w:r>
      <w:r>
        <w:rPr>
          <w:rFonts w:hint="eastAsia"/>
          <w:noProof/>
          <w:lang w:eastAsia="ko-KR"/>
        </w:rPr>
        <w:t>,</w:t>
      </w:r>
      <w:r w:rsidRPr="0089670E">
        <w:rPr>
          <w:noProof/>
        </w:rPr>
        <w:t xml:space="preserve"> S</w:t>
      </w:r>
      <w:r>
        <w:rPr>
          <w:rFonts w:hint="eastAsia"/>
          <w:noProof/>
          <w:lang w:eastAsia="ko-KR"/>
        </w:rPr>
        <w:t>.</w:t>
      </w:r>
      <w:r w:rsidRPr="0089670E">
        <w:rPr>
          <w:noProof/>
        </w:rPr>
        <w:t>H</w:t>
      </w:r>
      <w:r>
        <w:rPr>
          <w:rFonts w:hint="eastAsia"/>
          <w:noProof/>
          <w:lang w:eastAsia="ko-KR"/>
        </w:rPr>
        <w:t>.</w:t>
      </w:r>
      <w:r w:rsidRPr="0089670E">
        <w:rPr>
          <w:noProof/>
        </w:rPr>
        <w:t>, Frankel</w:t>
      </w:r>
      <w:r>
        <w:rPr>
          <w:rFonts w:hint="eastAsia"/>
          <w:noProof/>
          <w:lang w:eastAsia="ko-KR"/>
        </w:rPr>
        <w:t>,</w:t>
      </w:r>
      <w:r w:rsidRPr="0089670E">
        <w:rPr>
          <w:noProof/>
        </w:rPr>
        <w:t xml:space="preserve"> A</w:t>
      </w:r>
      <w:r>
        <w:rPr>
          <w:rFonts w:hint="eastAsia"/>
          <w:noProof/>
          <w:lang w:eastAsia="ko-KR"/>
        </w:rPr>
        <w:t>.</w:t>
      </w:r>
      <w:r w:rsidRPr="0089670E">
        <w:rPr>
          <w:noProof/>
        </w:rPr>
        <w:t>, Cedars</w:t>
      </w:r>
      <w:r>
        <w:rPr>
          <w:rFonts w:hint="eastAsia"/>
          <w:noProof/>
          <w:lang w:eastAsia="ko-KR"/>
        </w:rPr>
        <w:t>,</w:t>
      </w:r>
      <w:r w:rsidRPr="0089670E">
        <w:rPr>
          <w:noProof/>
        </w:rPr>
        <w:t xml:space="preserve"> N</w:t>
      </w:r>
      <w:r>
        <w:rPr>
          <w:rFonts w:hint="eastAsia"/>
          <w:noProof/>
          <w:lang w:eastAsia="ko-KR"/>
        </w:rPr>
        <w:t>.</w:t>
      </w:r>
      <w:r w:rsidRPr="0089670E">
        <w:rPr>
          <w:noProof/>
        </w:rPr>
        <w:t>, et al.</w:t>
      </w:r>
      <w:r>
        <w:rPr>
          <w:rFonts w:hint="eastAsia"/>
          <w:noProof/>
          <w:lang w:eastAsia="ko-KR"/>
        </w:rPr>
        <w:t>,</w:t>
      </w:r>
      <w:r w:rsidRPr="0089670E">
        <w:rPr>
          <w:noProof/>
        </w:rPr>
        <w:t xml:space="preserve"> 1948</w:t>
      </w:r>
      <w:r>
        <w:rPr>
          <w:rFonts w:hint="eastAsia"/>
          <w:noProof/>
          <w:lang w:eastAsia="ko-KR"/>
        </w:rPr>
        <w:t>.</w:t>
      </w:r>
      <w:r w:rsidRPr="0089670E">
        <w:rPr>
          <w:noProof/>
        </w:rPr>
        <w:t xml:space="preserve"> </w:t>
      </w:r>
      <w:r w:rsidRPr="00ED6790">
        <w:rPr>
          <w:noProof/>
        </w:rPr>
        <w:t>The Excretion of Hexavalent Uranium Following Intravenous Administration. II. Studies on Human Subjects</w:t>
      </w:r>
      <w:r w:rsidRPr="0089670E">
        <w:rPr>
          <w:noProof/>
        </w:rPr>
        <w:t>. UR-37. Rochester, New York.</w:t>
      </w:r>
    </w:p>
    <w:p w14:paraId="2161B8F9" w14:textId="77777777" w:rsidR="00232741" w:rsidRPr="0089670E" w:rsidRDefault="00232741" w:rsidP="00232741">
      <w:pPr>
        <w:pStyle w:val="aff1"/>
        <w:ind w:left="426" w:hanging="426"/>
        <w:rPr>
          <w:noProof/>
        </w:rPr>
      </w:pPr>
      <w:r w:rsidRPr="0089670E">
        <w:rPr>
          <w:noProof/>
        </w:rPr>
        <w:t>Belyayev</w:t>
      </w:r>
      <w:r>
        <w:rPr>
          <w:rFonts w:hint="eastAsia"/>
          <w:noProof/>
          <w:lang w:eastAsia="ko-KR"/>
        </w:rPr>
        <w:t>,</w:t>
      </w:r>
      <w:r w:rsidRPr="0089670E">
        <w:rPr>
          <w:noProof/>
        </w:rPr>
        <w:t xml:space="preserve"> Y</w:t>
      </w:r>
      <w:r>
        <w:rPr>
          <w:rFonts w:hint="eastAsia"/>
          <w:noProof/>
          <w:lang w:eastAsia="ko-KR"/>
        </w:rPr>
        <w:t>.</w:t>
      </w:r>
      <w:r w:rsidRPr="0089670E">
        <w:rPr>
          <w:noProof/>
        </w:rPr>
        <w:t>A</w:t>
      </w:r>
      <w:r>
        <w:rPr>
          <w:rFonts w:hint="eastAsia"/>
          <w:noProof/>
          <w:lang w:eastAsia="ko-KR"/>
        </w:rPr>
        <w:t>.,</w:t>
      </w:r>
      <w:r w:rsidRPr="0089670E">
        <w:rPr>
          <w:noProof/>
        </w:rPr>
        <w:t xml:space="preserve"> 1969</w:t>
      </w:r>
      <w:r>
        <w:rPr>
          <w:rFonts w:hint="eastAsia"/>
          <w:noProof/>
          <w:lang w:eastAsia="ko-KR"/>
        </w:rPr>
        <w:t>.</w:t>
      </w:r>
      <w:r w:rsidRPr="0089670E">
        <w:rPr>
          <w:noProof/>
        </w:rPr>
        <w:t xml:space="preserve"> Americium-241 distribution in rats and the effect of complexing substances on its elimination. In: Moskalev YI (ed.) </w:t>
      </w:r>
      <w:r w:rsidRPr="00ED6790">
        <w:rPr>
          <w:noProof/>
        </w:rPr>
        <w:t>Radioactive Isotopes and the Body. Translated in U.S. Atomic Energy Commission Document AEC-Tr-6944</w:t>
      </w:r>
      <w:r w:rsidRPr="0089670E">
        <w:rPr>
          <w:noProof/>
        </w:rPr>
        <w:t>. Moscow, Russia: Izdatel’stvo Meditsina, pp. 168–174.</w:t>
      </w:r>
    </w:p>
    <w:p w14:paraId="3D01EF91" w14:textId="77777777" w:rsidR="00232741" w:rsidRPr="0089670E" w:rsidRDefault="00232741" w:rsidP="00232741">
      <w:pPr>
        <w:pStyle w:val="aff1"/>
        <w:ind w:left="426" w:hanging="426"/>
        <w:rPr>
          <w:noProof/>
        </w:rPr>
      </w:pPr>
      <w:r w:rsidRPr="0089670E">
        <w:rPr>
          <w:noProof/>
        </w:rPr>
        <w:t>Berke</w:t>
      </w:r>
      <w:r>
        <w:rPr>
          <w:rFonts w:hint="eastAsia"/>
          <w:noProof/>
          <w:lang w:eastAsia="ko-KR"/>
        </w:rPr>
        <w:t>,</w:t>
      </w:r>
      <w:r w:rsidRPr="0089670E">
        <w:rPr>
          <w:noProof/>
        </w:rPr>
        <w:t xml:space="preserve"> H</w:t>
      </w:r>
      <w:r>
        <w:rPr>
          <w:rFonts w:hint="eastAsia"/>
          <w:noProof/>
          <w:lang w:eastAsia="ko-KR"/>
        </w:rPr>
        <w:t>.</w:t>
      </w:r>
      <w:r w:rsidRPr="0089670E">
        <w:rPr>
          <w:noProof/>
        </w:rPr>
        <w:t>L</w:t>
      </w:r>
      <w:r>
        <w:rPr>
          <w:rFonts w:hint="eastAsia"/>
          <w:noProof/>
          <w:lang w:eastAsia="ko-KR"/>
        </w:rPr>
        <w:t>.,</w:t>
      </w:r>
      <w:r w:rsidRPr="0089670E">
        <w:rPr>
          <w:noProof/>
        </w:rPr>
        <w:t xml:space="preserve"> 1968</w:t>
      </w:r>
      <w:r>
        <w:rPr>
          <w:rFonts w:hint="eastAsia"/>
          <w:noProof/>
          <w:lang w:eastAsia="ko-KR"/>
        </w:rPr>
        <w:t>.</w:t>
      </w:r>
      <w:r w:rsidRPr="0089670E">
        <w:rPr>
          <w:noProof/>
        </w:rPr>
        <w:t xml:space="preserve"> The metabolism of rare earths. I. The distribution and excretion of intravenous 152-154-europium in the rat. </w:t>
      </w:r>
      <w:r w:rsidRPr="00ED6790">
        <w:rPr>
          <w:noProof/>
        </w:rPr>
        <w:t>Health Phys</w:t>
      </w:r>
      <w:r>
        <w:rPr>
          <w:rFonts w:hint="eastAsia"/>
          <w:noProof/>
          <w:lang w:eastAsia="ko-KR"/>
        </w:rPr>
        <w:t>.</w:t>
      </w:r>
      <w:r w:rsidRPr="0089670E">
        <w:rPr>
          <w:noProof/>
        </w:rPr>
        <w:t xml:space="preserve"> 15(4)</w:t>
      </w:r>
      <w:r>
        <w:rPr>
          <w:rFonts w:hint="eastAsia"/>
          <w:noProof/>
          <w:lang w:eastAsia="ko-KR"/>
        </w:rPr>
        <w:t>,</w:t>
      </w:r>
      <w:r w:rsidRPr="0089670E">
        <w:rPr>
          <w:noProof/>
        </w:rPr>
        <w:t xml:space="preserve"> 301–312.</w:t>
      </w:r>
    </w:p>
    <w:p w14:paraId="0E504F9E" w14:textId="77777777" w:rsidR="00232741" w:rsidRPr="0089670E" w:rsidRDefault="00232741" w:rsidP="00232741">
      <w:pPr>
        <w:pStyle w:val="aff1"/>
        <w:ind w:left="426" w:hanging="426"/>
        <w:rPr>
          <w:noProof/>
        </w:rPr>
      </w:pPr>
      <w:r w:rsidRPr="0089670E">
        <w:rPr>
          <w:noProof/>
        </w:rPr>
        <w:t>Berke</w:t>
      </w:r>
      <w:r>
        <w:rPr>
          <w:rFonts w:hint="eastAsia"/>
          <w:noProof/>
          <w:lang w:eastAsia="ko-KR"/>
        </w:rPr>
        <w:t>,</w:t>
      </w:r>
      <w:r w:rsidRPr="0089670E">
        <w:rPr>
          <w:noProof/>
        </w:rPr>
        <w:t xml:space="preserve"> H</w:t>
      </w:r>
      <w:r>
        <w:rPr>
          <w:rFonts w:hint="eastAsia"/>
          <w:noProof/>
          <w:lang w:eastAsia="ko-KR"/>
        </w:rPr>
        <w:t>.</w:t>
      </w:r>
      <w:r w:rsidRPr="0089670E">
        <w:rPr>
          <w:noProof/>
        </w:rPr>
        <w:t>L</w:t>
      </w:r>
      <w:r>
        <w:rPr>
          <w:rFonts w:hint="eastAsia"/>
          <w:noProof/>
          <w:lang w:eastAsia="ko-KR"/>
        </w:rPr>
        <w:t>.,</w:t>
      </w:r>
      <w:r w:rsidRPr="0089670E">
        <w:rPr>
          <w:noProof/>
        </w:rPr>
        <w:t xml:space="preserve"> 1970</w:t>
      </w:r>
      <w:r>
        <w:rPr>
          <w:rFonts w:hint="eastAsia"/>
          <w:noProof/>
          <w:lang w:eastAsia="ko-KR"/>
        </w:rPr>
        <w:t>.</w:t>
      </w:r>
      <w:r w:rsidRPr="0089670E">
        <w:rPr>
          <w:noProof/>
        </w:rPr>
        <w:t xml:space="preserve"> </w:t>
      </w:r>
      <w:r w:rsidRPr="00196567">
        <w:rPr>
          <w:noProof/>
        </w:rPr>
        <w:t>The Metabolism of Rare Earths Following Inhalation: Pathologic and Biochemical Response in the Lung and Other Organs</w:t>
      </w:r>
      <w:r>
        <w:rPr>
          <w:rFonts w:hint="eastAsia"/>
          <w:noProof/>
          <w:lang w:eastAsia="ko-KR"/>
        </w:rPr>
        <w:t>.</w:t>
      </w:r>
      <w:r w:rsidRPr="0089670E">
        <w:rPr>
          <w:noProof/>
        </w:rPr>
        <w:t xml:space="preserve"> Technical Progress Report, June 15, 1969-June 15, 1970. Detroit, Michigan, USA: Wayne State Univ. Available at: https://www.osti.gov/biblio/4158549.</w:t>
      </w:r>
    </w:p>
    <w:p w14:paraId="3A0B0DE1" w14:textId="77777777" w:rsidR="00232741" w:rsidRPr="0089670E" w:rsidRDefault="00232741" w:rsidP="00232741">
      <w:pPr>
        <w:pStyle w:val="aff1"/>
        <w:ind w:left="426" w:hanging="426"/>
        <w:rPr>
          <w:noProof/>
        </w:rPr>
      </w:pPr>
      <w:r w:rsidRPr="0089670E">
        <w:rPr>
          <w:noProof/>
        </w:rPr>
        <w:t>Bernard</w:t>
      </w:r>
      <w:r>
        <w:rPr>
          <w:rFonts w:hint="eastAsia"/>
          <w:noProof/>
          <w:lang w:eastAsia="ko-KR"/>
        </w:rPr>
        <w:t>,</w:t>
      </w:r>
      <w:r w:rsidRPr="0089670E">
        <w:rPr>
          <w:noProof/>
        </w:rPr>
        <w:t xml:space="preserve"> S</w:t>
      </w:r>
      <w:r>
        <w:rPr>
          <w:rFonts w:hint="eastAsia"/>
          <w:noProof/>
          <w:lang w:eastAsia="ko-KR"/>
        </w:rPr>
        <w:t>.</w:t>
      </w:r>
      <w:r w:rsidRPr="0089670E">
        <w:rPr>
          <w:noProof/>
        </w:rPr>
        <w:t>R</w:t>
      </w:r>
      <w:r>
        <w:rPr>
          <w:rFonts w:hint="eastAsia"/>
          <w:noProof/>
          <w:lang w:eastAsia="ko-KR"/>
        </w:rPr>
        <w:t>.,</w:t>
      </w:r>
      <w:r w:rsidRPr="0089670E">
        <w:rPr>
          <w:noProof/>
        </w:rPr>
        <w:t xml:space="preserve"> Struxness</w:t>
      </w:r>
      <w:r>
        <w:rPr>
          <w:rFonts w:hint="eastAsia"/>
          <w:noProof/>
          <w:lang w:eastAsia="ko-KR"/>
        </w:rPr>
        <w:t>,</w:t>
      </w:r>
      <w:r w:rsidRPr="0089670E">
        <w:rPr>
          <w:noProof/>
        </w:rPr>
        <w:t xml:space="preserve"> E</w:t>
      </w:r>
      <w:r>
        <w:rPr>
          <w:rFonts w:hint="eastAsia"/>
          <w:noProof/>
          <w:lang w:eastAsia="ko-KR"/>
        </w:rPr>
        <w:t>.</w:t>
      </w:r>
      <w:r w:rsidRPr="0089670E">
        <w:rPr>
          <w:noProof/>
        </w:rPr>
        <w:t>G</w:t>
      </w:r>
      <w:r>
        <w:rPr>
          <w:rFonts w:hint="eastAsia"/>
          <w:noProof/>
          <w:lang w:eastAsia="ko-KR"/>
        </w:rPr>
        <w:t>.,</w:t>
      </w:r>
      <w:r w:rsidRPr="0089670E">
        <w:rPr>
          <w:noProof/>
        </w:rPr>
        <w:t xml:space="preserve"> 1957</w:t>
      </w:r>
      <w:r>
        <w:rPr>
          <w:rFonts w:hint="eastAsia"/>
          <w:noProof/>
          <w:lang w:eastAsia="ko-KR"/>
        </w:rPr>
        <w:t>.</w:t>
      </w:r>
      <w:r w:rsidRPr="0089670E">
        <w:rPr>
          <w:noProof/>
        </w:rPr>
        <w:t xml:space="preserve"> </w:t>
      </w:r>
      <w:r w:rsidRPr="00ED6790">
        <w:rPr>
          <w:noProof/>
        </w:rPr>
        <w:t>A study of the distribution and excretion of uranium in humans. An Interim Report.</w:t>
      </w:r>
      <w:r w:rsidRPr="0089670E">
        <w:rPr>
          <w:noProof/>
        </w:rPr>
        <w:t xml:space="preserve"> ORNL 2304. Tennessee: Oak Ridge National Laboratory.</w:t>
      </w:r>
    </w:p>
    <w:p w14:paraId="55205464" w14:textId="77777777" w:rsidR="00232741" w:rsidRPr="0089670E" w:rsidRDefault="00232741" w:rsidP="00232741">
      <w:pPr>
        <w:pStyle w:val="aff1"/>
        <w:ind w:left="426" w:hanging="426"/>
        <w:rPr>
          <w:noProof/>
        </w:rPr>
      </w:pPr>
      <w:r w:rsidRPr="0089670E">
        <w:rPr>
          <w:noProof/>
        </w:rPr>
        <w:t>Bhattacharyya</w:t>
      </w:r>
      <w:r>
        <w:rPr>
          <w:rFonts w:hint="eastAsia"/>
          <w:noProof/>
          <w:lang w:eastAsia="ko-KR"/>
        </w:rPr>
        <w:t>,</w:t>
      </w:r>
      <w:r w:rsidRPr="0089670E">
        <w:rPr>
          <w:noProof/>
        </w:rPr>
        <w:t xml:space="preserve"> M</w:t>
      </w:r>
      <w:r>
        <w:rPr>
          <w:rFonts w:hint="eastAsia"/>
          <w:noProof/>
          <w:lang w:eastAsia="ko-KR"/>
        </w:rPr>
        <w:t>.</w:t>
      </w:r>
      <w:r w:rsidRPr="0089670E">
        <w:rPr>
          <w:noProof/>
        </w:rPr>
        <w:t>H</w:t>
      </w:r>
      <w:r>
        <w:rPr>
          <w:rFonts w:hint="eastAsia"/>
          <w:noProof/>
          <w:lang w:eastAsia="ko-KR"/>
        </w:rPr>
        <w:t>.</w:t>
      </w:r>
      <w:r w:rsidRPr="0089670E">
        <w:rPr>
          <w:noProof/>
        </w:rPr>
        <w:t>, Larsen</w:t>
      </w:r>
      <w:r>
        <w:rPr>
          <w:rFonts w:hint="eastAsia"/>
          <w:noProof/>
          <w:lang w:eastAsia="ko-KR"/>
        </w:rPr>
        <w:t>,</w:t>
      </w:r>
      <w:r w:rsidRPr="0089670E">
        <w:rPr>
          <w:noProof/>
        </w:rPr>
        <w:t xml:space="preserve"> R</w:t>
      </w:r>
      <w:r>
        <w:rPr>
          <w:rFonts w:hint="eastAsia"/>
          <w:noProof/>
          <w:lang w:eastAsia="ko-KR"/>
        </w:rPr>
        <w:t>.</w:t>
      </w:r>
      <w:r w:rsidRPr="0089670E">
        <w:rPr>
          <w:noProof/>
        </w:rPr>
        <w:t>P</w:t>
      </w:r>
      <w:r>
        <w:rPr>
          <w:rFonts w:hint="eastAsia"/>
          <w:noProof/>
          <w:lang w:eastAsia="ko-KR"/>
        </w:rPr>
        <w:t>.</w:t>
      </w:r>
      <w:r w:rsidRPr="0089670E">
        <w:rPr>
          <w:noProof/>
        </w:rPr>
        <w:t>, Cohen</w:t>
      </w:r>
      <w:r>
        <w:rPr>
          <w:rFonts w:hint="eastAsia"/>
          <w:noProof/>
          <w:lang w:eastAsia="ko-KR"/>
        </w:rPr>
        <w:t>,</w:t>
      </w:r>
      <w:r w:rsidRPr="0089670E">
        <w:rPr>
          <w:noProof/>
        </w:rPr>
        <w:t xml:space="preserve"> N</w:t>
      </w:r>
      <w:r>
        <w:rPr>
          <w:rFonts w:hint="eastAsia"/>
          <w:noProof/>
          <w:lang w:eastAsia="ko-KR"/>
        </w:rPr>
        <w:t>.</w:t>
      </w:r>
      <w:r w:rsidRPr="0089670E">
        <w:rPr>
          <w:noProof/>
        </w:rPr>
        <w:t>, et al.</w:t>
      </w:r>
      <w:r>
        <w:rPr>
          <w:rFonts w:hint="eastAsia"/>
          <w:noProof/>
          <w:lang w:eastAsia="ko-KR"/>
        </w:rPr>
        <w:t>,</w:t>
      </w:r>
      <w:r w:rsidRPr="0089670E">
        <w:rPr>
          <w:noProof/>
        </w:rPr>
        <w:t xml:space="preserve"> 1989</w:t>
      </w:r>
      <w:r>
        <w:rPr>
          <w:rFonts w:hint="eastAsia"/>
          <w:noProof/>
          <w:lang w:eastAsia="ko-KR"/>
        </w:rPr>
        <w:t>.</w:t>
      </w:r>
      <w:r w:rsidRPr="0089670E">
        <w:rPr>
          <w:noProof/>
        </w:rPr>
        <w:t xml:space="preserve"> Gastrointestinal absorption of plutonium and uranium in fed and fasted adult baboons and mice: Application to humans. </w:t>
      </w:r>
      <w:r w:rsidRPr="00A45C77">
        <w:rPr>
          <w:noProof/>
        </w:rPr>
        <w:t>Radiat</w:t>
      </w:r>
      <w:r>
        <w:rPr>
          <w:rFonts w:hint="eastAsia"/>
          <w:noProof/>
          <w:lang w:eastAsia="ko-KR"/>
        </w:rPr>
        <w:t>.</w:t>
      </w:r>
      <w:r w:rsidRPr="00A45C77">
        <w:rPr>
          <w:noProof/>
        </w:rPr>
        <w:t xml:space="preserve"> Prot</w:t>
      </w:r>
      <w:r>
        <w:rPr>
          <w:rFonts w:hint="eastAsia"/>
          <w:noProof/>
          <w:lang w:eastAsia="ko-KR"/>
        </w:rPr>
        <w:t>.</w:t>
      </w:r>
      <w:r w:rsidRPr="00A45C77">
        <w:rPr>
          <w:noProof/>
        </w:rPr>
        <w:t xml:space="preserve"> Dosimetry</w:t>
      </w:r>
      <w:r w:rsidRPr="0089670E">
        <w:rPr>
          <w:noProof/>
        </w:rPr>
        <w:t xml:space="preserve"> 26(1–4)</w:t>
      </w:r>
      <w:r>
        <w:rPr>
          <w:rFonts w:hint="eastAsia"/>
          <w:noProof/>
          <w:lang w:eastAsia="ko-KR"/>
        </w:rPr>
        <w:t>,</w:t>
      </w:r>
      <w:r w:rsidRPr="0089670E">
        <w:rPr>
          <w:noProof/>
        </w:rPr>
        <w:t xml:space="preserve"> 159–165.</w:t>
      </w:r>
    </w:p>
    <w:p w14:paraId="5452707F" w14:textId="77777777" w:rsidR="00232741" w:rsidRPr="0089670E" w:rsidRDefault="00232741" w:rsidP="00232741">
      <w:pPr>
        <w:pStyle w:val="aff1"/>
        <w:ind w:left="426" w:hanging="426"/>
        <w:rPr>
          <w:noProof/>
        </w:rPr>
      </w:pPr>
      <w:r w:rsidRPr="0089670E">
        <w:rPr>
          <w:noProof/>
        </w:rPr>
        <w:t>Bingham</w:t>
      </w:r>
      <w:r>
        <w:rPr>
          <w:rFonts w:hint="eastAsia"/>
          <w:noProof/>
          <w:lang w:eastAsia="ko-KR"/>
        </w:rPr>
        <w:t>,</w:t>
      </w:r>
      <w:r w:rsidRPr="0089670E">
        <w:rPr>
          <w:noProof/>
        </w:rPr>
        <w:t xml:space="preserve"> D</w:t>
      </w:r>
      <w:r>
        <w:rPr>
          <w:rFonts w:hint="eastAsia"/>
          <w:noProof/>
          <w:lang w:eastAsia="ko-KR"/>
        </w:rPr>
        <w:t>.,</w:t>
      </w:r>
      <w:r w:rsidRPr="0089670E">
        <w:rPr>
          <w:noProof/>
        </w:rPr>
        <w:t xml:space="preserve"> Dobrota</w:t>
      </w:r>
      <w:r>
        <w:rPr>
          <w:rFonts w:hint="eastAsia"/>
          <w:noProof/>
          <w:lang w:eastAsia="ko-KR"/>
        </w:rPr>
        <w:t>,</w:t>
      </w:r>
      <w:r w:rsidRPr="0089670E">
        <w:rPr>
          <w:noProof/>
        </w:rPr>
        <w:t xml:space="preserve"> M</w:t>
      </w:r>
      <w:r>
        <w:rPr>
          <w:rFonts w:hint="eastAsia"/>
          <w:noProof/>
          <w:lang w:eastAsia="ko-KR"/>
        </w:rPr>
        <w:t>.,</w:t>
      </w:r>
      <w:r w:rsidRPr="0089670E">
        <w:rPr>
          <w:noProof/>
        </w:rPr>
        <w:t xml:space="preserve"> 1994</w:t>
      </w:r>
      <w:r>
        <w:rPr>
          <w:rFonts w:hint="eastAsia"/>
          <w:noProof/>
          <w:lang w:eastAsia="ko-KR"/>
        </w:rPr>
        <w:t>.</w:t>
      </w:r>
      <w:r w:rsidRPr="0089670E">
        <w:rPr>
          <w:noProof/>
        </w:rPr>
        <w:t xml:space="preserve"> Distribution and excretion of lanthanides: comparison between europium salts and complexes. </w:t>
      </w:r>
      <w:r w:rsidRPr="00F86BAD">
        <w:rPr>
          <w:noProof/>
        </w:rPr>
        <w:t>Biometals</w:t>
      </w:r>
      <w:r w:rsidRPr="0089670E">
        <w:rPr>
          <w:noProof/>
        </w:rPr>
        <w:t xml:space="preserve"> 7(2)</w:t>
      </w:r>
      <w:r>
        <w:rPr>
          <w:rFonts w:hint="eastAsia"/>
          <w:noProof/>
          <w:lang w:eastAsia="ko-KR"/>
        </w:rPr>
        <w:t>,</w:t>
      </w:r>
      <w:r w:rsidRPr="0089670E">
        <w:rPr>
          <w:noProof/>
        </w:rPr>
        <w:t xml:space="preserve"> 142–148.</w:t>
      </w:r>
    </w:p>
    <w:p w14:paraId="79B28EC0" w14:textId="77777777" w:rsidR="00232741" w:rsidRPr="0089670E" w:rsidRDefault="00232741" w:rsidP="00232741">
      <w:pPr>
        <w:pStyle w:val="aff1"/>
        <w:ind w:left="426" w:hanging="426"/>
        <w:rPr>
          <w:noProof/>
        </w:rPr>
      </w:pPr>
      <w:r w:rsidRPr="0089670E">
        <w:rPr>
          <w:noProof/>
        </w:rPr>
        <w:t>Boecker</w:t>
      </w:r>
      <w:r>
        <w:rPr>
          <w:rFonts w:hint="eastAsia"/>
          <w:noProof/>
          <w:lang w:eastAsia="ko-KR"/>
        </w:rPr>
        <w:t>,</w:t>
      </w:r>
      <w:r w:rsidRPr="0089670E">
        <w:rPr>
          <w:noProof/>
        </w:rPr>
        <w:t xml:space="preserve"> B</w:t>
      </w:r>
      <w:r>
        <w:rPr>
          <w:rFonts w:hint="eastAsia"/>
          <w:noProof/>
          <w:lang w:eastAsia="ko-KR"/>
        </w:rPr>
        <w:t>.</w:t>
      </w:r>
      <w:r w:rsidRPr="0089670E">
        <w:rPr>
          <w:noProof/>
        </w:rPr>
        <w:t>B</w:t>
      </w:r>
      <w:r>
        <w:rPr>
          <w:rFonts w:hint="eastAsia"/>
          <w:noProof/>
          <w:lang w:eastAsia="ko-KR"/>
        </w:rPr>
        <w:t>.</w:t>
      </w:r>
      <w:r w:rsidRPr="0089670E">
        <w:rPr>
          <w:noProof/>
        </w:rPr>
        <w:t>, Thomas</w:t>
      </w:r>
      <w:r>
        <w:rPr>
          <w:rFonts w:hint="eastAsia"/>
          <w:noProof/>
          <w:lang w:eastAsia="ko-KR"/>
        </w:rPr>
        <w:t>,</w:t>
      </w:r>
      <w:r w:rsidRPr="0089670E">
        <w:rPr>
          <w:noProof/>
        </w:rPr>
        <w:t xml:space="preserve"> R</w:t>
      </w:r>
      <w:r>
        <w:rPr>
          <w:rFonts w:hint="eastAsia"/>
          <w:noProof/>
          <w:lang w:eastAsia="ko-KR"/>
        </w:rPr>
        <w:t>.</w:t>
      </w:r>
      <w:r w:rsidRPr="0089670E">
        <w:rPr>
          <w:noProof/>
        </w:rPr>
        <w:t>G</w:t>
      </w:r>
      <w:r>
        <w:rPr>
          <w:rFonts w:hint="eastAsia"/>
          <w:noProof/>
          <w:lang w:eastAsia="ko-KR"/>
        </w:rPr>
        <w:t>.,</w:t>
      </w:r>
      <w:r w:rsidRPr="0089670E">
        <w:rPr>
          <w:noProof/>
        </w:rPr>
        <w:t xml:space="preserve"> Scott</w:t>
      </w:r>
      <w:r>
        <w:rPr>
          <w:rFonts w:hint="eastAsia"/>
          <w:noProof/>
          <w:lang w:eastAsia="ko-KR"/>
        </w:rPr>
        <w:t>,</w:t>
      </w:r>
      <w:r w:rsidRPr="0089670E">
        <w:rPr>
          <w:noProof/>
        </w:rPr>
        <w:t xml:space="preserve"> J</w:t>
      </w:r>
      <w:r>
        <w:rPr>
          <w:rFonts w:hint="eastAsia"/>
          <w:noProof/>
          <w:lang w:eastAsia="ko-KR"/>
        </w:rPr>
        <w:t>.</w:t>
      </w:r>
      <w:r w:rsidRPr="0089670E">
        <w:rPr>
          <w:noProof/>
        </w:rPr>
        <w:t>K</w:t>
      </w:r>
      <w:r>
        <w:rPr>
          <w:rFonts w:hint="eastAsia"/>
          <w:noProof/>
          <w:lang w:eastAsia="ko-KR"/>
        </w:rPr>
        <w:t>.,</w:t>
      </w:r>
      <w:r w:rsidRPr="0089670E">
        <w:rPr>
          <w:noProof/>
        </w:rPr>
        <w:t xml:space="preserve"> 1963</w:t>
      </w:r>
      <w:r>
        <w:rPr>
          <w:rFonts w:hint="eastAsia"/>
          <w:noProof/>
          <w:lang w:eastAsia="ko-KR"/>
        </w:rPr>
        <w:t>.</w:t>
      </w:r>
      <w:r w:rsidRPr="0089670E">
        <w:rPr>
          <w:noProof/>
        </w:rPr>
        <w:t xml:space="preserve"> Thorium distribution and excretion studies II. General patterns following inhalation and the effect of the size of the inhaled dose. </w:t>
      </w:r>
      <w:r w:rsidRPr="00ED6790">
        <w:rPr>
          <w:noProof/>
        </w:rPr>
        <w:t>Health Phys</w:t>
      </w:r>
      <w:r>
        <w:rPr>
          <w:rFonts w:hint="eastAsia"/>
          <w:noProof/>
          <w:lang w:eastAsia="ko-KR"/>
        </w:rPr>
        <w:t>.</w:t>
      </w:r>
      <w:r w:rsidRPr="0089670E">
        <w:rPr>
          <w:noProof/>
        </w:rPr>
        <w:t xml:space="preserve"> 9(2)</w:t>
      </w:r>
      <w:r>
        <w:rPr>
          <w:rFonts w:hint="eastAsia"/>
          <w:noProof/>
          <w:lang w:eastAsia="ko-KR"/>
        </w:rPr>
        <w:t>.</w:t>
      </w:r>
      <w:r w:rsidRPr="0089670E">
        <w:rPr>
          <w:noProof/>
        </w:rPr>
        <w:t xml:space="preserve"> 165–176.</w:t>
      </w:r>
    </w:p>
    <w:p w14:paraId="521B5B0D" w14:textId="77777777" w:rsidR="00232741" w:rsidRPr="0089670E" w:rsidRDefault="00232741" w:rsidP="00232741">
      <w:pPr>
        <w:pStyle w:val="aff1"/>
        <w:ind w:left="426" w:hanging="426"/>
        <w:rPr>
          <w:noProof/>
        </w:rPr>
      </w:pPr>
      <w:r w:rsidRPr="0089670E">
        <w:rPr>
          <w:noProof/>
        </w:rPr>
        <w:t>Brambell</w:t>
      </w:r>
      <w:r>
        <w:rPr>
          <w:rFonts w:hint="eastAsia"/>
          <w:noProof/>
          <w:lang w:eastAsia="ko-KR"/>
        </w:rPr>
        <w:t>,</w:t>
      </w:r>
      <w:r w:rsidRPr="0089670E">
        <w:rPr>
          <w:noProof/>
        </w:rPr>
        <w:t xml:space="preserve"> F</w:t>
      </w:r>
      <w:r>
        <w:rPr>
          <w:rFonts w:hint="eastAsia"/>
          <w:noProof/>
          <w:lang w:eastAsia="ko-KR"/>
        </w:rPr>
        <w:t>.</w:t>
      </w:r>
      <w:r w:rsidRPr="0089670E">
        <w:rPr>
          <w:noProof/>
        </w:rPr>
        <w:t>W</w:t>
      </w:r>
      <w:r>
        <w:rPr>
          <w:rFonts w:hint="eastAsia"/>
          <w:noProof/>
          <w:lang w:eastAsia="ko-KR"/>
        </w:rPr>
        <w:t>.</w:t>
      </w:r>
      <w:r w:rsidRPr="0089670E">
        <w:rPr>
          <w:noProof/>
        </w:rPr>
        <w:t>R</w:t>
      </w:r>
      <w:r>
        <w:rPr>
          <w:rFonts w:hint="eastAsia"/>
          <w:noProof/>
          <w:lang w:eastAsia="ko-KR"/>
        </w:rPr>
        <w:t>.,</w:t>
      </w:r>
      <w:r w:rsidRPr="0089670E">
        <w:rPr>
          <w:noProof/>
        </w:rPr>
        <w:t xml:space="preserve"> 1970</w:t>
      </w:r>
      <w:r>
        <w:rPr>
          <w:rFonts w:hint="eastAsia"/>
          <w:noProof/>
          <w:lang w:eastAsia="ko-KR"/>
        </w:rPr>
        <w:t>.</w:t>
      </w:r>
      <w:r w:rsidRPr="0089670E">
        <w:rPr>
          <w:noProof/>
        </w:rPr>
        <w:t xml:space="preserve"> The transmission of passive immunity from mother to young. </w:t>
      </w:r>
      <w:r w:rsidRPr="00F86BAD">
        <w:rPr>
          <w:noProof/>
        </w:rPr>
        <w:t>Front</w:t>
      </w:r>
      <w:r>
        <w:rPr>
          <w:rFonts w:hint="eastAsia"/>
          <w:noProof/>
          <w:lang w:eastAsia="ko-KR"/>
        </w:rPr>
        <w:t>.</w:t>
      </w:r>
      <w:r w:rsidRPr="00F86BAD">
        <w:rPr>
          <w:noProof/>
        </w:rPr>
        <w:t xml:space="preserve"> Biol</w:t>
      </w:r>
      <w:r>
        <w:rPr>
          <w:rFonts w:hint="eastAsia"/>
          <w:noProof/>
          <w:lang w:eastAsia="ko-KR"/>
        </w:rPr>
        <w:t>.</w:t>
      </w:r>
      <w:r w:rsidRPr="0089670E">
        <w:rPr>
          <w:noProof/>
        </w:rPr>
        <w:t xml:space="preserve"> 18</w:t>
      </w:r>
      <w:r>
        <w:rPr>
          <w:rFonts w:hint="eastAsia"/>
          <w:noProof/>
          <w:lang w:eastAsia="ko-KR"/>
        </w:rPr>
        <w:t>.</w:t>
      </w:r>
      <w:r w:rsidRPr="0089670E">
        <w:rPr>
          <w:noProof/>
        </w:rPr>
        <w:t xml:space="preserve"> 20–41.</w:t>
      </w:r>
    </w:p>
    <w:p w14:paraId="7E80F2F0" w14:textId="77777777" w:rsidR="00232741" w:rsidRPr="0089670E" w:rsidRDefault="00232741" w:rsidP="00232741">
      <w:pPr>
        <w:pStyle w:val="aff1"/>
        <w:ind w:left="426" w:hanging="426"/>
        <w:rPr>
          <w:noProof/>
        </w:rPr>
      </w:pPr>
      <w:r w:rsidRPr="0089670E">
        <w:rPr>
          <w:noProof/>
        </w:rPr>
        <w:t>Breitenstein</w:t>
      </w:r>
      <w:r>
        <w:rPr>
          <w:rFonts w:hint="eastAsia"/>
          <w:noProof/>
          <w:lang w:eastAsia="ko-KR"/>
        </w:rPr>
        <w:t>,</w:t>
      </w:r>
      <w:r w:rsidRPr="0089670E">
        <w:rPr>
          <w:noProof/>
        </w:rPr>
        <w:t xml:space="preserve"> B</w:t>
      </w:r>
      <w:r>
        <w:rPr>
          <w:rFonts w:hint="eastAsia"/>
          <w:noProof/>
          <w:lang w:eastAsia="ko-KR"/>
        </w:rPr>
        <w:t>.</w:t>
      </w:r>
      <w:r w:rsidRPr="0089670E">
        <w:rPr>
          <w:noProof/>
        </w:rPr>
        <w:t>D</w:t>
      </w:r>
      <w:r>
        <w:rPr>
          <w:rFonts w:hint="eastAsia"/>
          <w:noProof/>
          <w:lang w:eastAsia="ko-KR"/>
        </w:rPr>
        <w:t>.</w:t>
      </w:r>
      <w:r w:rsidRPr="0089670E">
        <w:rPr>
          <w:noProof/>
        </w:rPr>
        <w:t>, Newton</w:t>
      </w:r>
      <w:r>
        <w:rPr>
          <w:rFonts w:hint="eastAsia"/>
          <w:noProof/>
          <w:lang w:eastAsia="ko-KR"/>
        </w:rPr>
        <w:t>,</w:t>
      </w:r>
      <w:r w:rsidRPr="0089670E">
        <w:rPr>
          <w:noProof/>
        </w:rPr>
        <w:t xml:space="preserve"> C</w:t>
      </w:r>
      <w:r>
        <w:rPr>
          <w:rFonts w:hint="eastAsia"/>
          <w:noProof/>
          <w:lang w:eastAsia="ko-KR"/>
        </w:rPr>
        <w:t>.</w:t>
      </w:r>
      <w:r w:rsidRPr="0089670E">
        <w:rPr>
          <w:noProof/>
        </w:rPr>
        <w:t>E</w:t>
      </w:r>
      <w:r>
        <w:rPr>
          <w:rFonts w:hint="eastAsia"/>
          <w:noProof/>
          <w:lang w:eastAsia="ko-KR"/>
        </w:rPr>
        <w:t>.,</w:t>
      </w:r>
      <w:r w:rsidRPr="0089670E">
        <w:rPr>
          <w:noProof/>
        </w:rPr>
        <w:t xml:space="preserve"> Norris</w:t>
      </w:r>
      <w:r>
        <w:rPr>
          <w:rFonts w:hint="eastAsia"/>
          <w:noProof/>
          <w:lang w:eastAsia="ko-KR"/>
        </w:rPr>
        <w:t>,</w:t>
      </w:r>
      <w:r w:rsidRPr="0089670E">
        <w:rPr>
          <w:noProof/>
        </w:rPr>
        <w:t xml:space="preserve"> H</w:t>
      </w:r>
      <w:r>
        <w:rPr>
          <w:rFonts w:hint="eastAsia"/>
          <w:noProof/>
          <w:lang w:eastAsia="ko-KR"/>
        </w:rPr>
        <w:t>.</w:t>
      </w:r>
      <w:r w:rsidRPr="0089670E">
        <w:rPr>
          <w:noProof/>
        </w:rPr>
        <w:t>T</w:t>
      </w:r>
      <w:r>
        <w:rPr>
          <w:rFonts w:hint="eastAsia"/>
          <w:noProof/>
          <w:lang w:eastAsia="ko-KR"/>
        </w:rPr>
        <w:t>.,</w:t>
      </w:r>
      <w:r w:rsidRPr="0089670E">
        <w:rPr>
          <w:noProof/>
        </w:rPr>
        <w:t xml:space="preserve"> 1985</w:t>
      </w:r>
      <w:r>
        <w:rPr>
          <w:rFonts w:hint="eastAsia"/>
          <w:noProof/>
          <w:lang w:eastAsia="ko-KR"/>
        </w:rPr>
        <w:t>.</w:t>
      </w:r>
      <w:r w:rsidRPr="0089670E">
        <w:rPr>
          <w:noProof/>
        </w:rPr>
        <w:t xml:space="preserve"> The U.S. Transuranium Registry report on the </w:t>
      </w:r>
      <w:r w:rsidRPr="00ED6790">
        <w:rPr>
          <w:noProof/>
          <w:vertAlign w:val="superscript"/>
        </w:rPr>
        <w:t>241</w:t>
      </w:r>
      <w:r w:rsidRPr="0089670E">
        <w:rPr>
          <w:noProof/>
        </w:rPr>
        <w:t xml:space="preserve">Am content of a whole body. Part 1: Introduction and history of the case. </w:t>
      </w:r>
      <w:r w:rsidRPr="00ED6790">
        <w:rPr>
          <w:noProof/>
        </w:rPr>
        <w:t>Health Phys</w:t>
      </w:r>
      <w:r>
        <w:rPr>
          <w:rFonts w:hint="eastAsia"/>
          <w:noProof/>
          <w:lang w:eastAsia="ko-KR"/>
        </w:rPr>
        <w:t>.</w:t>
      </w:r>
      <w:r w:rsidRPr="0089670E">
        <w:rPr>
          <w:noProof/>
        </w:rPr>
        <w:t xml:space="preserve"> 49(4)</w:t>
      </w:r>
      <w:r>
        <w:rPr>
          <w:rFonts w:hint="eastAsia"/>
          <w:noProof/>
          <w:lang w:eastAsia="ko-KR"/>
        </w:rPr>
        <w:t>.</w:t>
      </w:r>
      <w:r w:rsidRPr="0089670E">
        <w:rPr>
          <w:noProof/>
        </w:rPr>
        <w:t xml:space="preserve"> 559–567.</w:t>
      </w:r>
    </w:p>
    <w:p w14:paraId="33F4CCA3" w14:textId="77777777" w:rsidR="00232741" w:rsidRPr="0089670E" w:rsidRDefault="00232741" w:rsidP="00232741">
      <w:pPr>
        <w:pStyle w:val="aff1"/>
        <w:ind w:left="426" w:hanging="426"/>
        <w:rPr>
          <w:noProof/>
        </w:rPr>
      </w:pPr>
      <w:r w:rsidRPr="0089670E">
        <w:rPr>
          <w:noProof/>
        </w:rPr>
        <w:t>Breitenstein</w:t>
      </w:r>
      <w:r>
        <w:rPr>
          <w:rFonts w:hint="eastAsia"/>
          <w:noProof/>
          <w:lang w:eastAsia="ko-KR"/>
        </w:rPr>
        <w:t>,</w:t>
      </w:r>
      <w:r w:rsidRPr="0089670E">
        <w:rPr>
          <w:noProof/>
        </w:rPr>
        <w:t xml:space="preserve"> Jr</w:t>
      </w:r>
      <w:r>
        <w:rPr>
          <w:rFonts w:hint="eastAsia"/>
          <w:noProof/>
          <w:lang w:eastAsia="ko-KR"/>
        </w:rPr>
        <w:t>.</w:t>
      </w:r>
      <w:r w:rsidRPr="0089670E">
        <w:rPr>
          <w:noProof/>
        </w:rPr>
        <w:t xml:space="preserve"> B</w:t>
      </w:r>
      <w:r>
        <w:rPr>
          <w:rFonts w:hint="eastAsia"/>
          <w:noProof/>
          <w:lang w:eastAsia="ko-KR"/>
        </w:rPr>
        <w:t>.</w:t>
      </w:r>
      <w:r w:rsidRPr="0089670E">
        <w:rPr>
          <w:noProof/>
        </w:rPr>
        <w:t>D</w:t>
      </w:r>
      <w:r>
        <w:rPr>
          <w:rFonts w:hint="eastAsia"/>
          <w:noProof/>
          <w:lang w:eastAsia="ko-KR"/>
        </w:rPr>
        <w:t>.,</w:t>
      </w:r>
      <w:r w:rsidRPr="0089670E">
        <w:rPr>
          <w:noProof/>
        </w:rPr>
        <w:t xml:space="preserve"> Palmer</w:t>
      </w:r>
      <w:r>
        <w:rPr>
          <w:rFonts w:hint="eastAsia"/>
          <w:noProof/>
          <w:lang w:eastAsia="ko-KR"/>
        </w:rPr>
        <w:t>,</w:t>
      </w:r>
      <w:r w:rsidRPr="0089670E">
        <w:rPr>
          <w:noProof/>
        </w:rPr>
        <w:t xml:space="preserve"> H</w:t>
      </w:r>
      <w:r>
        <w:rPr>
          <w:rFonts w:hint="eastAsia"/>
          <w:noProof/>
          <w:lang w:eastAsia="ko-KR"/>
        </w:rPr>
        <w:t>.</w:t>
      </w:r>
      <w:r w:rsidRPr="0089670E">
        <w:rPr>
          <w:noProof/>
        </w:rPr>
        <w:t>E</w:t>
      </w:r>
      <w:r>
        <w:rPr>
          <w:rFonts w:hint="eastAsia"/>
          <w:noProof/>
          <w:lang w:eastAsia="ko-KR"/>
        </w:rPr>
        <w:t>.,</w:t>
      </w:r>
      <w:r w:rsidRPr="0089670E">
        <w:rPr>
          <w:noProof/>
        </w:rPr>
        <w:t xml:space="preserve"> 1989</w:t>
      </w:r>
      <w:r>
        <w:rPr>
          <w:rFonts w:hint="eastAsia"/>
          <w:noProof/>
          <w:lang w:eastAsia="ko-KR"/>
        </w:rPr>
        <w:t>.</w:t>
      </w:r>
      <w:r w:rsidRPr="0089670E">
        <w:rPr>
          <w:noProof/>
        </w:rPr>
        <w:t xml:space="preserve"> Lifetime follow-up of the 1976 americium accident victim. </w:t>
      </w:r>
      <w:r w:rsidRPr="00F86BAD">
        <w:rPr>
          <w:noProof/>
        </w:rPr>
        <w:t>Radiat. Prot. Dosimetry</w:t>
      </w:r>
      <w:r w:rsidRPr="0089670E">
        <w:rPr>
          <w:noProof/>
        </w:rPr>
        <w:t xml:space="preserve"> 26(1–4). 317–322.</w:t>
      </w:r>
    </w:p>
    <w:p w14:paraId="515B4EF9" w14:textId="77777777" w:rsidR="00232741" w:rsidRPr="0089670E" w:rsidRDefault="00232741" w:rsidP="00232741">
      <w:pPr>
        <w:pStyle w:val="aff1"/>
        <w:ind w:left="426" w:hanging="426"/>
        <w:rPr>
          <w:noProof/>
        </w:rPr>
      </w:pPr>
      <w:r w:rsidRPr="0089670E">
        <w:rPr>
          <w:noProof/>
        </w:rPr>
        <w:t>Bruenger</w:t>
      </w:r>
      <w:r>
        <w:rPr>
          <w:rFonts w:hint="eastAsia"/>
          <w:noProof/>
          <w:lang w:eastAsia="ko-KR"/>
        </w:rPr>
        <w:t>,</w:t>
      </w:r>
      <w:r w:rsidRPr="0089670E">
        <w:rPr>
          <w:noProof/>
        </w:rPr>
        <w:t xml:space="preserve"> F</w:t>
      </w:r>
      <w:r>
        <w:rPr>
          <w:rFonts w:hint="eastAsia"/>
          <w:noProof/>
          <w:lang w:eastAsia="ko-KR"/>
        </w:rPr>
        <w:t>.</w:t>
      </w:r>
      <w:r w:rsidRPr="0089670E">
        <w:rPr>
          <w:noProof/>
        </w:rPr>
        <w:t>W</w:t>
      </w:r>
      <w:r>
        <w:rPr>
          <w:rFonts w:hint="eastAsia"/>
          <w:noProof/>
          <w:lang w:eastAsia="ko-KR"/>
        </w:rPr>
        <w:t>.</w:t>
      </w:r>
      <w:r w:rsidRPr="0089670E">
        <w:rPr>
          <w:noProof/>
        </w:rPr>
        <w:t>, Stevens</w:t>
      </w:r>
      <w:r>
        <w:rPr>
          <w:rFonts w:hint="eastAsia"/>
          <w:noProof/>
          <w:lang w:eastAsia="ko-KR"/>
        </w:rPr>
        <w:t>,</w:t>
      </w:r>
      <w:r w:rsidRPr="0089670E">
        <w:rPr>
          <w:noProof/>
        </w:rPr>
        <w:t xml:space="preserve"> W</w:t>
      </w:r>
      <w:r>
        <w:rPr>
          <w:rFonts w:hint="eastAsia"/>
          <w:noProof/>
          <w:lang w:eastAsia="ko-KR"/>
        </w:rPr>
        <w:t>.,</w:t>
      </w:r>
      <w:r w:rsidRPr="0089670E">
        <w:rPr>
          <w:noProof/>
        </w:rPr>
        <w:t xml:space="preserve"> Stover</w:t>
      </w:r>
      <w:r>
        <w:rPr>
          <w:rFonts w:hint="eastAsia"/>
          <w:noProof/>
          <w:lang w:eastAsia="ko-KR"/>
        </w:rPr>
        <w:t>,</w:t>
      </w:r>
      <w:r w:rsidRPr="0089670E">
        <w:rPr>
          <w:noProof/>
        </w:rPr>
        <w:t xml:space="preserve"> B</w:t>
      </w:r>
      <w:r>
        <w:rPr>
          <w:rFonts w:hint="eastAsia"/>
          <w:noProof/>
          <w:lang w:eastAsia="ko-KR"/>
        </w:rPr>
        <w:t>.</w:t>
      </w:r>
      <w:r w:rsidRPr="0089670E">
        <w:rPr>
          <w:noProof/>
        </w:rPr>
        <w:t>J</w:t>
      </w:r>
      <w:r>
        <w:rPr>
          <w:rFonts w:hint="eastAsia"/>
          <w:noProof/>
          <w:lang w:eastAsia="ko-KR"/>
        </w:rPr>
        <w:t>.,</w:t>
      </w:r>
      <w:r w:rsidRPr="0089670E">
        <w:rPr>
          <w:noProof/>
        </w:rPr>
        <w:t xml:space="preserve"> 1969</w:t>
      </w:r>
      <w:r>
        <w:rPr>
          <w:rFonts w:hint="eastAsia"/>
          <w:noProof/>
          <w:lang w:eastAsia="ko-KR"/>
        </w:rPr>
        <w:t>.</w:t>
      </w:r>
      <w:r w:rsidRPr="0089670E">
        <w:rPr>
          <w:noProof/>
        </w:rPr>
        <w:t xml:space="preserve"> Americium-241 in the blood: in vivo and in vitro observations. </w:t>
      </w:r>
      <w:r w:rsidRPr="00975AE8">
        <w:rPr>
          <w:noProof/>
        </w:rPr>
        <w:t>Radiat</w:t>
      </w:r>
      <w:r>
        <w:rPr>
          <w:rFonts w:hint="eastAsia"/>
          <w:noProof/>
          <w:lang w:eastAsia="ko-KR"/>
        </w:rPr>
        <w:t>.</w:t>
      </w:r>
      <w:r w:rsidRPr="00975AE8">
        <w:rPr>
          <w:noProof/>
        </w:rPr>
        <w:t xml:space="preserve"> Res</w:t>
      </w:r>
      <w:r>
        <w:rPr>
          <w:rFonts w:hint="eastAsia"/>
          <w:noProof/>
          <w:lang w:eastAsia="ko-KR"/>
        </w:rPr>
        <w:t>.</w:t>
      </w:r>
      <w:r w:rsidRPr="0089670E">
        <w:rPr>
          <w:noProof/>
        </w:rPr>
        <w:t xml:space="preserve"> 37(2)</w:t>
      </w:r>
      <w:r>
        <w:rPr>
          <w:rFonts w:hint="eastAsia"/>
          <w:noProof/>
          <w:lang w:eastAsia="ko-KR"/>
        </w:rPr>
        <w:t>.</w:t>
      </w:r>
      <w:r w:rsidRPr="0089670E">
        <w:rPr>
          <w:noProof/>
        </w:rPr>
        <w:t xml:space="preserve"> 349–360.</w:t>
      </w:r>
    </w:p>
    <w:p w14:paraId="36F1846B" w14:textId="77777777" w:rsidR="00232741" w:rsidRPr="0089670E" w:rsidRDefault="00232741" w:rsidP="00232741">
      <w:pPr>
        <w:pStyle w:val="aff1"/>
        <w:ind w:left="426" w:hanging="426"/>
        <w:rPr>
          <w:noProof/>
        </w:rPr>
      </w:pPr>
      <w:r w:rsidRPr="0089670E">
        <w:rPr>
          <w:noProof/>
        </w:rPr>
        <w:t>Bruenger</w:t>
      </w:r>
      <w:r>
        <w:rPr>
          <w:rFonts w:hint="eastAsia"/>
          <w:noProof/>
          <w:lang w:eastAsia="ko-KR"/>
        </w:rPr>
        <w:t>,</w:t>
      </w:r>
      <w:r w:rsidRPr="0089670E">
        <w:rPr>
          <w:noProof/>
        </w:rPr>
        <w:t xml:space="preserve"> F</w:t>
      </w:r>
      <w:r>
        <w:rPr>
          <w:rFonts w:hint="eastAsia"/>
          <w:noProof/>
          <w:lang w:eastAsia="ko-KR"/>
        </w:rPr>
        <w:t>.</w:t>
      </w:r>
      <w:r w:rsidRPr="0089670E">
        <w:rPr>
          <w:noProof/>
        </w:rPr>
        <w:t>W</w:t>
      </w:r>
      <w:r>
        <w:rPr>
          <w:rFonts w:hint="eastAsia"/>
          <w:noProof/>
          <w:lang w:eastAsia="ko-KR"/>
        </w:rPr>
        <w:t>.</w:t>
      </w:r>
      <w:r w:rsidRPr="0089670E">
        <w:rPr>
          <w:noProof/>
        </w:rPr>
        <w:t>, Atherton</w:t>
      </w:r>
      <w:r>
        <w:rPr>
          <w:rFonts w:hint="eastAsia"/>
          <w:noProof/>
          <w:lang w:eastAsia="ko-KR"/>
        </w:rPr>
        <w:t>,</w:t>
      </w:r>
      <w:r w:rsidRPr="0089670E">
        <w:rPr>
          <w:noProof/>
        </w:rPr>
        <w:t xml:space="preserve"> D</w:t>
      </w:r>
      <w:r>
        <w:rPr>
          <w:rFonts w:hint="eastAsia"/>
          <w:noProof/>
          <w:lang w:eastAsia="ko-KR"/>
        </w:rPr>
        <w:t>.</w:t>
      </w:r>
      <w:r w:rsidRPr="0089670E">
        <w:rPr>
          <w:noProof/>
        </w:rPr>
        <w:t>R</w:t>
      </w:r>
      <w:r>
        <w:rPr>
          <w:rFonts w:hint="eastAsia"/>
          <w:noProof/>
          <w:lang w:eastAsia="ko-KR"/>
        </w:rPr>
        <w:t>.,</w:t>
      </w:r>
      <w:r w:rsidRPr="0089670E">
        <w:rPr>
          <w:noProof/>
        </w:rPr>
        <w:t xml:space="preserve"> Stevens</w:t>
      </w:r>
      <w:r>
        <w:rPr>
          <w:rFonts w:hint="eastAsia"/>
          <w:noProof/>
          <w:lang w:eastAsia="ko-KR"/>
        </w:rPr>
        <w:t>,</w:t>
      </w:r>
      <w:r w:rsidRPr="0089670E">
        <w:rPr>
          <w:noProof/>
        </w:rPr>
        <w:t xml:space="preserve"> W</w:t>
      </w:r>
      <w:r>
        <w:rPr>
          <w:rFonts w:hint="eastAsia"/>
          <w:noProof/>
          <w:lang w:eastAsia="ko-KR"/>
        </w:rPr>
        <w:t>.,</w:t>
      </w:r>
      <w:r w:rsidRPr="0089670E">
        <w:rPr>
          <w:noProof/>
        </w:rPr>
        <w:t xml:space="preserve"> 1972</w:t>
      </w:r>
      <w:r>
        <w:rPr>
          <w:rFonts w:hint="eastAsia"/>
          <w:noProof/>
          <w:lang w:eastAsia="ko-KR"/>
        </w:rPr>
        <w:t>.</w:t>
      </w:r>
      <w:r w:rsidRPr="0089670E">
        <w:rPr>
          <w:noProof/>
        </w:rPr>
        <w:t xml:space="preserve"> Intracellular distribution of </w:t>
      </w:r>
      <w:r w:rsidRPr="00ED6790">
        <w:rPr>
          <w:noProof/>
          <w:vertAlign w:val="superscript"/>
        </w:rPr>
        <w:t>249</w:t>
      </w:r>
      <w:r w:rsidRPr="0089670E">
        <w:rPr>
          <w:noProof/>
        </w:rPr>
        <w:t xml:space="preserve">Cf in canine </w:t>
      </w:r>
      <w:r w:rsidRPr="0089670E">
        <w:rPr>
          <w:noProof/>
        </w:rPr>
        <w:lastRenderedPageBreak/>
        <w:t xml:space="preserve">liver. </w:t>
      </w:r>
      <w:r w:rsidRPr="00ED6790">
        <w:rPr>
          <w:noProof/>
        </w:rPr>
        <w:t>Health Phys</w:t>
      </w:r>
      <w:r>
        <w:rPr>
          <w:rFonts w:hint="eastAsia"/>
          <w:noProof/>
          <w:lang w:eastAsia="ko-KR"/>
        </w:rPr>
        <w:t>.</w:t>
      </w:r>
      <w:r w:rsidRPr="0089670E">
        <w:rPr>
          <w:noProof/>
        </w:rPr>
        <w:t xml:space="preserve"> 22(6)</w:t>
      </w:r>
      <w:r>
        <w:rPr>
          <w:rFonts w:hint="eastAsia"/>
          <w:noProof/>
          <w:lang w:eastAsia="ko-KR"/>
        </w:rPr>
        <w:t>.</w:t>
      </w:r>
      <w:r w:rsidRPr="0089670E">
        <w:rPr>
          <w:noProof/>
        </w:rPr>
        <w:t xml:space="preserve"> 685–689.</w:t>
      </w:r>
    </w:p>
    <w:p w14:paraId="6A71CE2B" w14:textId="77777777" w:rsidR="00232741" w:rsidRPr="0089670E" w:rsidRDefault="00232741" w:rsidP="00232741">
      <w:pPr>
        <w:pStyle w:val="aff1"/>
        <w:ind w:left="426" w:hanging="426"/>
        <w:rPr>
          <w:noProof/>
        </w:rPr>
      </w:pPr>
      <w:r w:rsidRPr="0089670E">
        <w:rPr>
          <w:noProof/>
        </w:rPr>
        <w:t>Bruenger</w:t>
      </w:r>
      <w:r>
        <w:rPr>
          <w:rFonts w:hint="eastAsia"/>
          <w:noProof/>
          <w:lang w:eastAsia="ko-KR"/>
        </w:rPr>
        <w:t>,</w:t>
      </w:r>
      <w:r w:rsidRPr="0089670E">
        <w:rPr>
          <w:noProof/>
        </w:rPr>
        <w:t xml:space="preserve"> F</w:t>
      </w:r>
      <w:r>
        <w:rPr>
          <w:rFonts w:hint="eastAsia"/>
          <w:noProof/>
          <w:lang w:eastAsia="ko-KR"/>
        </w:rPr>
        <w:t>.</w:t>
      </w:r>
      <w:r w:rsidRPr="0089670E">
        <w:rPr>
          <w:noProof/>
        </w:rPr>
        <w:t>W</w:t>
      </w:r>
      <w:r>
        <w:rPr>
          <w:rFonts w:hint="eastAsia"/>
          <w:noProof/>
          <w:lang w:eastAsia="ko-KR"/>
        </w:rPr>
        <w:t>.</w:t>
      </w:r>
      <w:r w:rsidRPr="0089670E">
        <w:rPr>
          <w:noProof/>
        </w:rPr>
        <w:t>, Stevens</w:t>
      </w:r>
      <w:r>
        <w:rPr>
          <w:rFonts w:hint="eastAsia"/>
          <w:noProof/>
          <w:lang w:eastAsia="ko-KR"/>
        </w:rPr>
        <w:t>,</w:t>
      </w:r>
      <w:r w:rsidRPr="0089670E">
        <w:rPr>
          <w:noProof/>
        </w:rPr>
        <w:t xml:space="preserve"> W</w:t>
      </w:r>
      <w:r>
        <w:rPr>
          <w:rFonts w:hint="eastAsia"/>
          <w:noProof/>
          <w:lang w:eastAsia="ko-KR"/>
        </w:rPr>
        <w:t>.</w:t>
      </w:r>
      <w:r w:rsidRPr="0089670E">
        <w:rPr>
          <w:noProof/>
        </w:rPr>
        <w:t>, Atherton</w:t>
      </w:r>
      <w:r>
        <w:rPr>
          <w:rFonts w:hint="eastAsia"/>
          <w:noProof/>
          <w:lang w:eastAsia="ko-KR"/>
        </w:rPr>
        <w:t>,</w:t>
      </w:r>
      <w:r w:rsidRPr="0089670E">
        <w:rPr>
          <w:noProof/>
        </w:rPr>
        <w:t xml:space="preserve"> D</w:t>
      </w:r>
      <w:r>
        <w:rPr>
          <w:rFonts w:hint="eastAsia"/>
          <w:noProof/>
          <w:lang w:eastAsia="ko-KR"/>
        </w:rPr>
        <w:t>.</w:t>
      </w:r>
      <w:r w:rsidRPr="0089670E">
        <w:rPr>
          <w:noProof/>
        </w:rPr>
        <w:t>R</w:t>
      </w:r>
      <w:r>
        <w:rPr>
          <w:rFonts w:hint="eastAsia"/>
          <w:noProof/>
          <w:lang w:eastAsia="ko-KR"/>
        </w:rPr>
        <w:t>.</w:t>
      </w:r>
      <w:r w:rsidRPr="0089670E">
        <w:rPr>
          <w:noProof/>
        </w:rPr>
        <w:t>, et al.</w:t>
      </w:r>
      <w:r>
        <w:rPr>
          <w:rFonts w:hint="eastAsia"/>
          <w:noProof/>
          <w:lang w:eastAsia="ko-KR"/>
        </w:rPr>
        <w:t>,</w:t>
      </w:r>
      <w:r w:rsidRPr="0089670E">
        <w:rPr>
          <w:noProof/>
        </w:rPr>
        <w:t xml:space="preserve"> 1976 Subcellular distribution of some actinide elements in the beagle liver. In: </w:t>
      </w:r>
      <w:r w:rsidRPr="00ED6790">
        <w:rPr>
          <w:noProof/>
        </w:rPr>
        <w:t>Health Effects of Plutonium and Radium</w:t>
      </w:r>
      <w:r w:rsidRPr="0089670E">
        <w:rPr>
          <w:noProof/>
        </w:rPr>
        <w:t>. The J. W. Press. Salt Lake City, pp. 211–221. Available at: https://inis.iaea.org/search/search.aspx?orig_q=RN:7268456 (accessed 2 October 2023).</w:t>
      </w:r>
    </w:p>
    <w:p w14:paraId="2AFF2489" w14:textId="77777777" w:rsidR="00232741" w:rsidRPr="0089670E" w:rsidRDefault="00232741" w:rsidP="00232741">
      <w:pPr>
        <w:pStyle w:val="aff1"/>
        <w:ind w:left="426" w:hanging="426"/>
        <w:rPr>
          <w:noProof/>
        </w:rPr>
      </w:pPr>
      <w:r w:rsidRPr="0089670E">
        <w:rPr>
          <w:noProof/>
        </w:rPr>
        <w:t>Bruenger</w:t>
      </w:r>
      <w:r>
        <w:rPr>
          <w:rFonts w:hint="eastAsia"/>
          <w:noProof/>
          <w:lang w:eastAsia="ko-KR"/>
        </w:rPr>
        <w:t>,</w:t>
      </w:r>
      <w:r w:rsidRPr="0089670E">
        <w:rPr>
          <w:noProof/>
        </w:rPr>
        <w:t xml:space="preserve"> F</w:t>
      </w:r>
      <w:r>
        <w:rPr>
          <w:rFonts w:hint="eastAsia"/>
          <w:noProof/>
          <w:lang w:eastAsia="ko-KR"/>
        </w:rPr>
        <w:t>.</w:t>
      </w:r>
      <w:r w:rsidRPr="0089670E">
        <w:rPr>
          <w:noProof/>
        </w:rPr>
        <w:t>W</w:t>
      </w:r>
      <w:r>
        <w:rPr>
          <w:rFonts w:hint="eastAsia"/>
          <w:noProof/>
          <w:lang w:eastAsia="ko-KR"/>
        </w:rPr>
        <w:t>.</w:t>
      </w:r>
      <w:r w:rsidRPr="0089670E">
        <w:rPr>
          <w:noProof/>
        </w:rPr>
        <w:t>, Smith</w:t>
      </w:r>
      <w:r>
        <w:rPr>
          <w:rFonts w:hint="eastAsia"/>
          <w:noProof/>
          <w:lang w:eastAsia="ko-KR"/>
        </w:rPr>
        <w:t>,</w:t>
      </w:r>
      <w:r w:rsidRPr="0089670E">
        <w:rPr>
          <w:noProof/>
        </w:rPr>
        <w:t xml:space="preserve"> J</w:t>
      </w:r>
      <w:r>
        <w:rPr>
          <w:rFonts w:hint="eastAsia"/>
          <w:noProof/>
          <w:lang w:eastAsia="ko-KR"/>
        </w:rPr>
        <w:t>.</w:t>
      </w:r>
      <w:r w:rsidRPr="0089670E">
        <w:rPr>
          <w:noProof/>
        </w:rPr>
        <w:t>M</w:t>
      </w:r>
      <w:r>
        <w:rPr>
          <w:rFonts w:hint="eastAsia"/>
          <w:noProof/>
          <w:lang w:eastAsia="ko-KR"/>
        </w:rPr>
        <w:t>.</w:t>
      </w:r>
      <w:r w:rsidRPr="0089670E">
        <w:rPr>
          <w:noProof/>
        </w:rPr>
        <w:t>, Atherton</w:t>
      </w:r>
      <w:r>
        <w:rPr>
          <w:rFonts w:hint="eastAsia"/>
          <w:noProof/>
          <w:lang w:eastAsia="ko-KR"/>
        </w:rPr>
        <w:t>,</w:t>
      </w:r>
      <w:r w:rsidRPr="0089670E">
        <w:rPr>
          <w:noProof/>
        </w:rPr>
        <w:t xml:space="preserve"> D</w:t>
      </w:r>
      <w:r>
        <w:rPr>
          <w:rFonts w:hint="eastAsia"/>
          <w:noProof/>
          <w:lang w:eastAsia="ko-KR"/>
        </w:rPr>
        <w:t>.</w:t>
      </w:r>
      <w:r w:rsidRPr="0089670E">
        <w:rPr>
          <w:noProof/>
        </w:rPr>
        <w:t>R</w:t>
      </w:r>
      <w:r>
        <w:rPr>
          <w:rFonts w:hint="eastAsia"/>
          <w:noProof/>
          <w:lang w:eastAsia="ko-KR"/>
        </w:rPr>
        <w:t>.</w:t>
      </w:r>
      <w:r w:rsidRPr="0089670E">
        <w:rPr>
          <w:noProof/>
        </w:rPr>
        <w:t>, et al.</w:t>
      </w:r>
      <w:r>
        <w:rPr>
          <w:rFonts w:hint="eastAsia"/>
          <w:noProof/>
          <w:lang w:eastAsia="ko-KR"/>
        </w:rPr>
        <w:t xml:space="preserve">, </w:t>
      </w:r>
      <w:r w:rsidRPr="0089670E">
        <w:rPr>
          <w:noProof/>
        </w:rPr>
        <w:t>1983</w:t>
      </w:r>
      <w:r>
        <w:rPr>
          <w:rFonts w:hint="eastAsia"/>
          <w:noProof/>
          <w:lang w:eastAsia="ko-KR"/>
        </w:rPr>
        <w:t>.</w:t>
      </w:r>
      <w:r w:rsidRPr="0089670E">
        <w:rPr>
          <w:noProof/>
        </w:rPr>
        <w:t xml:space="preserve"> Skeletal retention and distribution of </w:t>
      </w:r>
      <w:r w:rsidRPr="00ED6790">
        <w:rPr>
          <w:noProof/>
          <w:vertAlign w:val="superscript"/>
        </w:rPr>
        <w:t>226</w:t>
      </w:r>
      <w:r w:rsidRPr="0089670E">
        <w:rPr>
          <w:noProof/>
        </w:rPr>
        <w:t xml:space="preserve">Ra and </w:t>
      </w:r>
      <w:r w:rsidRPr="00ED6790">
        <w:rPr>
          <w:noProof/>
          <w:vertAlign w:val="superscript"/>
        </w:rPr>
        <w:t>239</w:t>
      </w:r>
      <w:r w:rsidRPr="0089670E">
        <w:rPr>
          <w:noProof/>
        </w:rPr>
        <w:t xml:space="preserve">Pu in beagles injected at ages ranging from 2 days to 5 years. </w:t>
      </w:r>
      <w:r w:rsidRPr="00ED6790">
        <w:rPr>
          <w:noProof/>
        </w:rPr>
        <w:t>Health Phys</w:t>
      </w:r>
      <w:r>
        <w:rPr>
          <w:rFonts w:hint="eastAsia"/>
          <w:noProof/>
          <w:lang w:eastAsia="ko-KR"/>
        </w:rPr>
        <w:t>.</w:t>
      </w:r>
      <w:r w:rsidRPr="0089670E">
        <w:rPr>
          <w:noProof/>
        </w:rPr>
        <w:t xml:space="preserve"> 44</w:t>
      </w:r>
      <w:r>
        <w:rPr>
          <w:rFonts w:hint="eastAsia"/>
          <w:noProof/>
          <w:lang w:eastAsia="ko-KR"/>
        </w:rPr>
        <w:t>.</w:t>
      </w:r>
      <w:r w:rsidRPr="0089670E">
        <w:rPr>
          <w:noProof/>
        </w:rPr>
        <w:t xml:space="preserve"> 513–527.</w:t>
      </w:r>
    </w:p>
    <w:p w14:paraId="1929583D" w14:textId="77777777" w:rsidR="00232741" w:rsidRPr="0089670E" w:rsidRDefault="00232741" w:rsidP="00232741">
      <w:pPr>
        <w:pStyle w:val="ICRPrefs"/>
        <w:rPr>
          <w:noProof/>
        </w:rPr>
      </w:pPr>
      <w:r w:rsidRPr="0089670E">
        <w:rPr>
          <w:noProof/>
        </w:rPr>
        <w:t>B</w:t>
      </w:r>
      <w:r w:rsidRPr="0089670E">
        <w:rPr>
          <w:noProof/>
          <w:sz w:val="24"/>
          <w:szCs w:val="24"/>
        </w:rPr>
        <w:t>ruenger, F.W., Lloyd, R.D., Miller, S.C., 1989. The influence of age at time of exposure on the distribution and retention of Ra-226 or Pu-239 in beagle dogs. Inhalation Toxicology Research Institute Annual Report 1988-1989, Inhalation Toxicology Research Institute, Albuquerque, New Mexico.</w:t>
      </w:r>
    </w:p>
    <w:p w14:paraId="622AE60A" w14:textId="77777777" w:rsidR="00232741" w:rsidRPr="0089670E" w:rsidRDefault="00232741" w:rsidP="00232741">
      <w:pPr>
        <w:pStyle w:val="aff1"/>
        <w:ind w:left="426" w:hanging="426"/>
        <w:rPr>
          <w:noProof/>
        </w:rPr>
      </w:pPr>
      <w:r w:rsidRPr="0089670E">
        <w:rPr>
          <w:noProof/>
        </w:rPr>
        <w:t>Buldakov</w:t>
      </w:r>
      <w:r>
        <w:rPr>
          <w:rFonts w:hint="eastAsia"/>
          <w:noProof/>
          <w:lang w:eastAsia="ko-KR"/>
        </w:rPr>
        <w:t>,</w:t>
      </w:r>
      <w:r w:rsidRPr="0089670E">
        <w:rPr>
          <w:noProof/>
        </w:rPr>
        <w:t xml:space="preserve"> L</w:t>
      </w:r>
      <w:r>
        <w:rPr>
          <w:rFonts w:hint="eastAsia"/>
          <w:noProof/>
          <w:lang w:eastAsia="ko-KR"/>
        </w:rPr>
        <w:t>.</w:t>
      </w:r>
      <w:r w:rsidRPr="0089670E">
        <w:rPr>
          <w:noProof/>
        </w:rPr>
        <w:t>A</w:t>
      </w:r>
      <w:r>
        <w:rPr>
          <w:rFonts w:hint="eastAsia"/>
          <w:noProof/>
          <w:lang w:eastAsia="ko-KR"/>
        </w:rPr>
        <w:t>.,</w:t>
      </w:r>
      <w:r w:rsidRPr="0089670E">
        <w:rPr>
          <w:noProof/>
        </w:rPr>
        <w:t xml:space="preserve"> Burov</w:t>
      </w:r>
      <w:r>
        <w:rPr>
          <w:rFonts w:hint="eastAsia"/>
          <w:noProof/>
          <w:lang w:eastAsia="ko-KR"/>
        </w:rPr>
        <w:t>,</w:t>
      </w:r>
      <w:r w:rsidRPr="0089670E">
        <w:rPr>
          <w:noProof/>
        </w:rPr>
        <w:t xml:space="preserve"> N</w:t>
      </w:r>
      <w:r>
        <w:rPr>
          <w:rFonts w:hint="eastAsia"/>
          <w:noProof/>
          <w:lang w:eastAsia="ko-KR"/>
        </w:rPr>
        <w:t>.</w:t>
      </w:r>
      <w:r w:rsidRPr="0089670E">
        <w:rPr>
          <w:noProof/>
        </w:rPr>
        <w:t>I</w:t>
      </w:r>
      <w:r>
        <w:rPr>
          <w:rFonts w:hint="eastAsia"/>
          <w:noProof/>
          <w:lang w:eastAsia="ko-KR"/>
        </w:rPr>
        <w:t>.,</w:t>
      </w:r>
      <w:r w:rsidRPr="0089670E">
        <w:rPr>
          <w:noProof/>
        </w:rPr>
        <w:t xml:space="preserve"> 1967</w:t>
      </w:r>
      <w:r>
        <w:rPr>
          <w:rFonts w:hint="eastAsia"/>
          <w:noProof/>
          <w:lang w:eastAsia="ko-KR"/>
        </w:rPr>
        <w:t>.</w:t>
      </w:r>
      <w:r w:rsidRPr="0089670E">
        <w:rPr>
          <w:noProof/>
        </w:rPr>
        <w:t xml:space="preserve"> Behaviour of </w:t>
      </w:r>
      <w:r w:rsidRPr="00ED6790">
        <w:rPr>
          <w:noProof/>
          <w:vertAlign w:val="superscript"/>
        </w:rPr>
        <w:t>144</w:t>
      </w:r>
      <w:r w:rsidRPr="0089670E">
        <w:rPr>
          <w:noProof/>
        </w:rPr>
        <w:t xml:space="preserve">Ce in sheep of different ages. </w:t>
      </w:r>
      <w:r w:rsidRPr="00ED6790">
        <w:rPr>
          <w:noProof/>
        </w:rPr>
        <w:t>UDC</w:t>
      </w:r>
      <w:r w:rsidRPr="0089670E">
        <w:rPr>
          <w:noProof/>
        </w:rPr>
        <w:t xml:space="preserve"> 578.088.91(577.391): 127–141.</w:t>
      </w:r>
    </w:p>
    <w:p w14:paraId="22C7EB38" w14:textId="77777777" w:rsidR="00232741" w:rsidRPr="0089670E" w:rsidRDefault="00232741" w:rsidP="00232741">
      <w:pPr>
        <w:pStyle w:val="aff1"/>
        <w:ind w:left="426" w:hanging="426"/>
        <w:rPr>
          <w:noProof/>
        </w:rPr>
      </w:pPr>
      <w:r w:rsidRPr="0089670E">
        <w:rPr>
          <w:noProof/>
        </w:rPr>
        <w:t>Buldakov</w:t>
      </w:r>
      <w:r>
        <w:rPr>
          <w:rFonts w:hint="eastAsia"/>
          <w:noProof/>
          <w:lang w:eastAsia="ko-KR"/>
        </w:rPr>
        <w:t>,</w:t>
      </w:r>
      <w:r w:rsidRPr="0089670E">
        <w:rPr>
          <w:noProof/>
        </w:rPr>
        <w:t xml:space="preserve"> L</w:t>
      </w:r>
      <w:r>
        <w:rPr>
          <w:rFonts w:hint="eastAsia"/>
          <w:noProof/>
          <w:lang w:eastAsia="ko-KR"/>
        </w:rPr>
        <w:t>.</w:t>
      </w:r>
      <w:r w:rsidRPr="0089670E">
        <w:rPr>
          <w:noProof/>
        </w:rPr>
        <w:t>A</w:t>
      </w:r>
      <w:r>
        <w:rPr>
          <w:rFonts w:hint="eastAsia"/>
          <w:noProof/>
          <w:lang w:eastAsia="ko-KR"/>
        </w:rPr>
        <w:t>.</w:t>
      </w:r>
      <w:r w:rsidRPr="0089670E">
        <w:rPr>
          <w:noProof/>
        </w:rPr>
        <w:t>, Nifatov</w:t>
      </w:r>
      <w:r>
        <w:rPr>
          <w:rFonts w:hint="eastAsia"/>
          <w:noProof/>
          <w:lang w:eastAsia="ko-KR"/>
        </w:rPr>
        <w:t>,</w:t>
      </w:r>
      <w:r w:rsidRPr="0089670E">
        <w:rPr>
          <w:noProof/>
        </w:rPr>
        <w:t xml:space="preserve"> A</w:t>
      </w:r>
      <w:r>
        <w:rPr>
          <w:rFonts w:hint="eastAsia"/>
          <w:noProof/>
          <w:lang w:eastAsia="ko-KR"/>
        </w:rPr>
        <w:t>.</w:t>
      </w:r>
      <w:r w:rsidRPr="0089670E">
        <w:rPr>
          <w:noProof/>
        </w:rPr>
        <w:t>P</w:t>
      </w:r>
      <w:r>
        <w:rPr>
          <w:rFonts w:hint="eastAsia"/>
          <w:noProof/>
          <w:lang w:eastAsia="ko-KR"/>
        </w:rPr>
        <w:t>.</w:t>
      </w:r>
      <w:r w:rsidRPr="0089670E">
        <w:rPr>
          <w:noProof/>
        </w:rPr>
        <w:t>, Filippova</w:t>
      </w:r>
      <w:r>
        <w:rPr>
          <w:rFonts w:hint="eastAsia"/>
          <w:noProof/>
          <w:lang w:eastAsia="ko-KR"/>
        </w:rPr>
        <w:t>,</w:t>
      </w:r>
      <w:r w:rsidRPr="0089670E">
        <w:rPr>
          <w:noProof/>
        </w:rPr>
        <w:t xml:space="preserve"> L</w:t>
      </w:r>
      <w:r>
        <w:rPr>
          <w:rFonts w:hint="eastAsia"/>
          <w:noProof/>
          <w:lang w:eastAsia="ko-KR"/>
        </w:rPr>
        <w:t>.</w:t>
      </w:r>
      <w:r w:rsidRPr="0089670E">
        <w:rPr>
          <w:noProof/>
        </w:rPr>
        <w:t>G</w:t>
      </w:r>
      <w:r>
        <w:rPr>
          <w:rFonts w:hint="eastAsia"/>
          <w:noProof/>
          <w:lang w:eastAsia="ko-KR"/>
        </w:rPr>
        <w:t>.</w:t>
      </w:r>
      <w:r w:rsidRPr="0089670E">
        <w:rPr>
          <w:noProof/>
        </w:rPr>
        <w:t>, et al.</w:t>
      </w:r>
      <w:r>
        <w:rPr>
          <w:rFonts w:hint="eastAsia"/>
          <w:noProof/>
          <w:lang w:eastAsia="ko-KR"/>
        </w:rPr>
        <w:t>,</w:t>
      </w:r>
      <w:r w:rsidRPr="0089670E">
        <w:rPr>
          <w:noProof/>
        </w:rPr>
        <w:t xml:space="preserve"> 1972</w:t>
      </w:r>
      <w:r>
        <w:rPr>
          <w:rFonts w:hint="eastAsia"/>
          <w:noProof/>
          <w:lang w:eastAsia="ko-KR"/>
        </w:rPr>
        <w:t>.</w:t>
      </w:r>
      <w:r w:rsidRPr="0089670E">
        <w:rPr>
          <w:noProof/>
        </w:rPr>
        <w:t xml:space="preserve"> Subcutaneous administration of transuranic elements (neptunium 237, plutonium 239, and americium 241). In: Moskalev YI and Kalistratova VS (eds) </w:t>
      </w:r>
      <w:r w:rsidRPr="00ED6790">
        <w:rPr>
          <w:noProof/>
        </w:rPr>
        <w:t>Biological Effects of Radiation from External and Internal Sources</w:t>
      </w:r>
      <w:r w:rsidRPr="0089670E">
        <w:rPr>
          <w:noProof/>
        </w:rPr>
        <w:t>. Moscow, Russia: Meditsina, pp. 359–367.</w:t>
      </w:r>
    </w:p>
    <w:p w14:paraId="6A979829" w14:textId="77777777" w:rsidR="00232741" w:rsidRPr="0089670E" w:rsidRDefault="00232741" w:rsidP="00232741">
      <w:pPr>
        <w:pStyle w:val="aff1"/>
        <w:ind w:left="426" w:hanging="426"/>
        <w:rPr>
          <w:noProof/>
        </w:rPr>
      </w:pPr>
      <w:r w:rsidRPr="0089670E">
        <w:rPr>
          <w:noProof/>
        </w:rPr>
        <w:t>Campbell</w:t>
      </w:r>
      <w:r>
        <w:rPr>
          <w:rFonts w:hint="eastAsia"/>
          <w:noProof/>
          <w:lang w:eastAsia="ko-KR"/>
        </w:rPr>
        <w:t>,</w:t>
      </w:r>
      <w:r w:rsidRPr="0089670E">
        <w:rPr>
          <w:noProof/>
        </w:rPr>
        <w:t xml:space="preserve"> E</w:t>
      </w:r>
      <w:r>
        <w:rPr>
          <w:rFonts w:hint="eastAsia"/>
          <w:noProof/>
          <w:lang w:eastAsia="ko-KR"/>
        </w:rPr>
        <w:t>.</w:t>
      </w:r>
      <w:r w:rsidRPr="0089670E">
        <w:rPr>
          <w:noProof/>
        </w:rPr>
        <w:t>E</w:t>
      </w:r>
      <w:r>
        <w:rPr>
          <w:rFonts w:hint="eastAsia"/>
          <w:noProof/>
          <w:lang w:eastAsia="ko-KR"/>
        </w:rPr>
        <w:t>.</w:t>
      </w:r>
      <w:r w:rsidRPr="0089670E">
        <w:rPr>
          <w:noProof/>
        </w:rPr>
        <w:t>, McInroy</w:t>
      </w:r>
      <w:r>
        <w:rPr>
          <w:rFonts w:hint="eastAsia"/>
          <w:noProof/>
          <w:lang w:eastAsia="ko-KR"/>
        </w:rPr>
        <w:t>,</w:t>
      </w:r>
      <w:r w:rsidRPr="0089670E">
        <w:rPr>
          <w:noProof/>
        </w:rPr>
        <w:t xml:space="preserve"> J</w:t>
      </w:r>
      <w:r>
        <w:rPr>
          <w:rFonts w:hint="eastAsia"/>
          <w:noProof/>
          <w:lang w:eastAsia="ko-KR"/>
        </w:rPr>
        <w:t>.</w:t>
      </w:r>
      <w:r w:rsidRPr="0089670E">
        <w:rPr>
          <w:noProof/>
        </w:rPr>
        <w:t>F</w:t>
      </w:r>
      <w:r>
        <w:rPr>
          <w:rFonts w:hint="eastAsia"/>
          <w:noProof/>
          <w:lang w:eastAsia="ko-KR"/>
        </w:rPr>
        <w:t>.,</w:t>
      </w:r>
      <w:r w:rsidRPr="0089670E">
        <w:rPr>
          <w:noProof/>
        </w:rPr>
        <w:t xml:space="preserve"> Schulte</w:t>
      </w:r>
      <w:r>
        <w:rPr>
          <w:rFonts w:hint="eastAsia"/>
          <w:noProof/>
          <w:lang w:eastAsia="ko-KR"/>
        </w:rPr>
        <w:t>,</w:t>
      </w:r>
      <w:r w:rsidRPr="0089670E">
        <w:rPr>
          <w:noProof/>
        </w:rPr>
        <w:t xml:space="preserve"> H</w:t>
      </w:r>
      <w:r>
        <w:rPr>
          <w:rFonts w:hint="eastAsia"/>
          <w:noProof/>
          <w:lang w:eastAsia="ko-KR"/>
        </w:rPr>
        <w:t>.</w:t>
      </w:r>
      <w:r w:rsidRPr="0089670E">
        <w:rPr>
          <w:noProof/>
        </w:rPr>
        <w:t>F</w:t>
      </w:r>
      <w:r>
        <w:rPr>
          <w:rFonts w:hint="eastAsia"/>
          <w:noProof/>
          <w:lang w:eastAsia="ko-KR"/>
        </w:rPr>
        <w:t>.,</w:t>
      </w:r>
      <w:r w:rsidRPr="0089670E">
        <w:rPr>
          <w:noProof/>
        </w:rPr>
        <w:t xml:space="preserve"> 1975</w:t>
      </w:r>
      <w:r>
        <w:rPr>
          <w:rFonts w:hint="eastAsia"/>
          <w:noProof/>
          <w:lang w:eastAsia="ko-KR"/>
        </w:rPr>
        <w:t>.</w:t>
      </w:r>
      <w:r w:rsidRPr="0089670E">
        <w:rPr>
          <w:noProof/>
        </w:rPr>
        <w:t xml:space="preserve"> Uranium in the tissue of occupationally exposed workers. In: </w:t>
      </w:r>
      <w:r w:rsidRPr="00ED6790">
        <w:rPr>
          <w:noProof/>
        </w:rPr>
        <w:t>Conference on Occupational Health Experience with Uranium</w:t>
      </w:r>
      <w:r w:rsidRPr="0089670E">
        <w:rPr>
          <w:noProof/>
        </w:rPr>
        <w:t>, Arlington VA, 1975, pp. 324–350. US ERDA.</w:t>
      </w:r>
    </w:p>
    <w:p w14:paraId="54B54E69" w14:textId="77777777" w:rsidR="00232741" w:rsidRPr="00BB7751" w:rsidRDefault="00232741" w:rsidP="00232741">
      <w:pPr>
        <w:pStyle w:val="aff1"/>
        <w:ind w:left="426" w:hanging="426"/>
        <w:rPr>
          <w:noProof/>
          <w:lang w:val="fr-FR"/>
        </w:rPr>
      </w:pPr>
      <w:bookmarkStart w:id="424" w:name="_Hlk160316854"/>
      <w:r w:rsidRPr="0089670E">
        <w:rPr>
          <w:noProof/>
        </w:rPr>
        <w:t>Campbell</w:t>
      </w:r>
      <w:r>
        <w:rPr>
          <w:rFonts w:hint="eastAsia"/>
          <w:noProof/>
          <w:lang w:eastAsia="ko-KR"/>
        </w:rPr>
        <w:t>,</w:t>
      </w:r>
      <w:r w:rsidRPr="0089670E">
        <w:rPr>
          <w:noProof/>
        </w:rPr>
        <w:t xml:space="preserve"> J</w:t>
      </w:r>
      <w:r>
        <w:rPr>
          <w:rFonts w:hint="eastAsia"/>
          <w:noProof/>
          <w:lang w:eastAsia="ko-KR"/>
        </w:rPr>
        <w:t>.</w:t>
      </w:r>
      <w:r w:rsidRPr="0089670E">
        <w:rPr>
          <w:noProof/>
        </w:rPr>
        <w:t>E</w:t>
      </w:r>
      <w:r>
        <w:rPr>
          <w:rFonts w:hint="eastAsia"/>
          <w:noProof/>
          <w:lang w:eastAsia="ko-KR"/>
        </w:rPr>
        <w:t>.</w:t>
      </w:r>
      <w:r w:rsidRPr="0089670E">
        <w:rPr>
          <w:noProof/>
        </w:rPr>
        <w:t>, Robajdek</w:t>
      </w:r>
      <w:r>
        <w:rPr>
          <w:rFonts w:hint="eastAsia"/>
          <w:noProof/>
          <w:lang w:eastAsia="ko-KR"/>
        </w:rPr>
        <w:t>,</w:t>
      </w:r>
      <w:r w:rsidRPr="0089670E">
        <w:rPr>
          <w:noProof/>
        </w:rPr>
        <w:t xml:space="preserve"> E</w:t>
      </w:r>
      <w:r>
        <w:rPr>
          <w:rFonts w:hint="eastAsia"/>
          <w:noProof/>
          <w:lang w:eastAsia="ko-KR"/>
        </w:rPr>
        <w:t>.</w:t>
      </w:r>
      <w:r w:rsidRPr="0089670E">
        <w:rPr>
          <w:noProof/>
        </w:rPr>
        <w:t>S</w:t>
      </w:r>
      <w:r>
        <w:rPr>
          <w:rFonts w:hint="eastAsia"/>
          <w:noProof/>
          <w:lang w:eastAsia="ko-KR"/>
        </w:rPr>
        <w:t>.,</w:t>
      </w:r>
      <w:r w:rsidRPr="0089670E">
        <w:rPr>
          <w:noProof/>
        </w:rPr>
        <w:t xml:space="preserve"> Anthony</w:t>
      </w:r>
      <w:r>
        <w:rPr>
          <w:rFonts w:hint="eastAsia"/>
          <w:noProof/>
          <w:lang w:eastAsia="ko-KR"/>
        </w:rPr>
        <w:t>,</w:t>
      </w:r>
      <w:r w:rsidRPr="0089670E">
        <w:rPr>
          <w:noProof/>
        </w:rPr>
        <w:t xml:space="preserve"> D</w:t>
      </w:r>
      <w:r>
        <w:rPr>
          <w:rFonts w:hint="eastAsia"/>
          <w:noProof/>
          <w:lang w:eastAsia="ko-KR"/>
        </w:rPr>
        <w:t>.</w:t>
      </w:r>
      <w:r w:rsidRPr="0089670E">
        <w:rPr>
          <w:noProof/>
        </w:rPr>
        <w:t>S</w:t>
      </w:r>
      <w:r>
        <w:rPr>
          <w:rFonts w:hint="eastAsia"/>
          <w:noProof/>
          <w:lang w:eastAsia="ko-KR"/>
        </w:rPr>
        <w:t>.,</w:t>
      </w:r>
      <w:r w:rsidRPr="0089670E">
        <w:rPr>
          <w:noProof/>
        </w:rPr>
        <w:t xml:space="preserve"> 1956</w:t>
      </w:r>
      <w:r>
        <w:rPr>
          <w:rFonts w:hint="eastAsia"/>
          <w:noProof/>
          <w:lang w:eastAsia="ko-KR"/>
        </w:rPr>
        <w:t>.</w:t>
      </w:r>
      <w:r w:rsidRPr="0089670E">
        <w:rPr>
          <w:noProof/>
        </w:rPr>
        <w:t xml:space="preserve"> The metabolism of </w:t>
      </w:r>
      <w:r w:rsidRPr="00D55371">
        <w:rPr>
          <w:noProof/>
          <w:vertAlign w:val="superscript"/>
        </w:rPr>
        <w:t>227</w:t>
      </w:r>
      <w:r w:rsidRPr="0089670E">
        <w:rPr>
          <w:noProof/>
        </w:rPr>
        <w:t xml:space="preserve">Ac and its daughters </w:t>
      </w:r>
      <w:r w:rsidRPr="00D55371">
        <w:rPr>
          <w:noProof/>
          <w:vertAlign w:val="superscript"/>
        </w:rPr>
        <w:t>227</w:t>
      </w:r>
      <w:r w:rsidRPr="0089670E">
        <w:rPr>
          <w:noProof/>
        </w:rPr>
        <w:t xml:space="preserve">Th and </w:t>
      </w:r>
      <w:r w:rsidRPr="00D55371">
        <w:rPr>
          <w:noProof/>
          <w:vertAlign w:val="superscript"/>
        </w:rPr>
        <w:t>223</w:t>
      </w:r>
      <w:r w:rsidRPr="0089670E">
        <w:rPr>
          <w:noProof/>
        </w:rPr>
        <w:t xml:space="preserve">Ra by rats. </w:t>
      </w:r>
      <w:r w:rsidRPr="00BB7751">
        <w:rPr>
          <w:noProof/>
          <w:lang w:val="fr-FR"/>
        </w:rPr>
        <w:t>Radiat. Res. 4(4). JSTOR: 294–302.</w:t>
      </w:r>
      <w:bookmarkEnd w:id="424"/>
    </w:p>
    <w:p w14:paraId="4A8DF31A" w14:textId="77777777" w:rsidR="00232741" w:rsidRPr="0089670E" w:rsidRDefault="00232741" w:rsidP="00232741">
      <w:pPr>
        <w:pStyle w:val="aff1"/>
        <w:ind w:left="426" w:hanging="426"/>
        <w:rPr>
          <w:noProof/>
        </w:rPr>
      </w:pPr>
      <w:r w:rsidRPr="00BB7751">
        <w:rPr>
          <w:noProof/>
          <w:lang w:val="fr-FR"/>
        </w:rPr>
        <w:t>Chen</w:t>
      </w:r>
      <w:r w:rsidRPr="00BB7751">
        <w:rPr>
          <w:rFonts w:hint="eastAsia"/>
          <w:noProof/>
          <w:lang w:val="fr-FR" w:eastAsia="ko-KR"/>
        </w:rPr>
        <w:t>,</w:t>
      </w:r>
      <w:r w:rsidRPr="00BB7751">
        <w:rPr>
          <w:noProof/>
          <w:lang w:val="fr-FR"/>
        </w:rPr>
        <w:t xml:space="preserve"> J</w:t>
      </w:r>
      <w:r w:rsidRPr="00BB7751">
        <w:rPr>
          <w:rFonts w:hint="eastAsia"/>
          <w:noProof/>
          <w:lang w:val="fr-FR" w:eastAsia="ko-KR"/>
        </w:rPr>
        <w:t>.</w:t>
      </w:r>
      <w:r w:rsidRPr="00BB7751">
        <w:rPr>
          <w:noProof/>
          <w:lang w:val="fr-FR"/>
        </w:rPr>
        <w:t>, Lariviere</w:t>
      </w:r>
      <w:r w:rsidRPr="00BB7751">
        <w:rPr>
          <w:rFonts w:hint="eastAsia"/>
          <w:noProof/>
          <w:lang w:val="fr-FR" w:eastAsia="ko-KR"/>
        </w:rPr>
        <w:t>,</w:t>
      </w:r>
      <w:r w:rsidRPr="00BB7751">
        <w:rPr>
          <w:noProof/>
          <w:lang w:val="fr-FR"/>
        </w:rPr>
        <w:t xml:space="preserve"> D</w:t>
      </w:r>
      <w:r w:rsidRPr="00BB7751">
        <w:rPr>
          <w:rFonts w:hint="eastAsia"/>
          <w:noProof/>
          <w:lang w:val="fr-FR" w:eastAsia="ko-KR"/>
        </w:rPr>
        <w:t>.</w:t>
      </w:r>
      <w:r w:rsidRPr="00BB7751">
        <w:rPr>
          <w:noProof/>
          <w:lang w:val="fr-FR"/>
        </w:rPr>
        <w:t>, Timmins</w:t>
      </w:r>
      <w:r w:rsidRPr="00BB7751">
        <w:rPr>
          <w:rFonts w:hint="eastAsia"/>
          <w:noProof/>
          <w:lang w:val="fr-FR" w:eastAsia="ko-KR"/>
        </w:rPr>
        <w:t>,</w:t>
      </w:r>
      <w:r w:rsidRPr="00BB7751">
        <w:rPr>
          <w:noProof/>
          <w:lang w:val="fr-FR"/>
        </w:rPr>
        <w:t xml:space="preserve"> R</w:t>
      </w:r>
      <w:r w:rsidRPr="00BB7751">
        <w:rPr>
          <w:rFonts w:hint="eastAsia"/>
          <w:noProof/>
          <w:lang w:val="fr-FR" w:eastAsia="ko-KR"/>
        </w:rPr>
        <w:t>.</w:t>
      </w:r>
      <w:r w:rsidRPr="00BB7751">
        <w:rPr>
          <w:noProof/>
          <w:lang w:val="fr-FR"/>
        </w:rPr>
        <w:t>, et al.</w:t>
      </w:r>
      <w:r w:rsidRPr="00BB7751">
        <w:rPr>
          <w:rFonts w:hint="eastAsia"/>
          <w:noProof/>
          <w:lang w:val="fr-FR" w:eastAsia="ko-KR"/>
        </w:rPr>
        <w:t>,</w:t>
      </w:r>
      <w:r w:rsidRPr="00BB7751">
        <w:rPr>
          <w:noProof/>
          <w:lang w:val="fr-FR"/>
        </w:rPr>
        <w:t xml:space="preserve"> 2011</w:t>
      </w:r>
      <w:r w:rsidRPr="00BB7751">
        <w:rPr>
          <w:rFonts w:hint="eastAsia"/>
          <w:noProof/>
          <w:lang w:val="fr-FR" w:eastAsia="ko-KR"/>
        </w:rPr>
        <w:t>.</w:t>
      </w:r>
      <w:r w:rsidRPr="00BB7751">
        <w:rPr>
          <w:noProof/>
          <w:lang w:val="fr-FR"/>
        </w:rPr>
        <w:t xml:space="preserve"> </w:t>
      </w:r>
      <w:r w:rsidRPr="0089670E">
        <w:rPr>
          <w:noProof/>
        </w:rPr>
        <w:t xml:space="preserve">Estimation of uranium GI absorption fractions for children and adults. </w:t>
      </w:r>
      <w:r w:rsidRPr="00D55371">
        <w:rPr>
          <w:noProof/>
        </w:rPr>
        <w:t>Radiat. Prot. Dosimetry</w:t>
      </w:r>
      <w:r w:rsidRPr="0089670E">
        <w:rPr>
          <w:noProof/>
        </w:rPr>
        <w:t xml:space="preserve"> 144(1–4)</w:t>
      </w:r>
      <w:r>
        <w:rPr>
          <w:rFonts w:hint="eastAsia"/>
          <w:noProof/>
          <w:lang w:eastAsia="ko-KR"/>
        </w:rPr>
        <w:t>.</w:t>
      </w:r>
      <w:r w:rsidRPr="0089670E">
        <w:rPr>
          <w:noProof/>
        </w:rPr>
        <w:t xml:space="preserve"> 379–383.</w:t>
      </w:r>
    </w:p>
    <w:p w14:paraId="42B407EF" w14:textId="77777777" w:rsidR="00232741" w:rsidRPr="0089670E" w:rsidRDefault="00232741" w:rsidP="00232741">
      <w:pPr>
        <w:pStyle w:val="aff1"/>
        <w:ind w:left="426" w:hanging="426"/>
        <w:rPr>
          <w:noProof/>
        </w:rPr>
      </w:pPr>
      <w:r w:rsidRPr="0089670E">
        <w:rPr>
          <w:noProof/>
        </w:rPr>
        <w:t>Cohen</w:t>
      </w:r>
      <w:r>
        <w:rPr>
          <w:rFonts w:hint="eastAsia"/>
          <w:noProof/>
          <w:lang w:eastAsia="ko-KR"/>
        </w:rPr>
        <w:t>,</w:t>
      </w:r>
      <w:r w:rsidRPr="0089670E">
        <w:rPr>
          <w:noProof/>
        </w:rPr>
        <w:t xml:space="preserve"> N</w:t>
      </w:r>
      <w:r>
        <w:rPr>
          <w:rFonts w:hint="eastAsia"/>
          <w:noProof/>
          <w:lang w:eastAsia="ko-KR"/>
        </w:rPr>
        <w:t>.,</w:t>
      </w:r>
      <w:r w:rsidRPr="0089670E">
        <w:rPr>
          <w:noProof/>
        </w:rPr>
        <w:t xml:space="preserve"> 1987</w:t>
      </w:r>
      <w:r>
        <w:rPr>
          <w:rFonts w:hint="eastAsia"/>
          <w:noProof/>
          <w:lang w:eastAsia="ko-KR"/>
        </w:rPr>
        <w:t>.</w:t>
      </w:r>
      <w:r w:rsidRPr="0089670E">
        <w:rPr>
          <w:noProof/>
        </w:rPr>
        <w:t xml:space="preserve"> </w:t>
      </w:r>
      <w:r w:rsidRPr="00ED6790">
        <w:rPr>
          <w:noProof/>
        </w:rPr>
        <w:t>Radioactivity Studies. Final Report</w:t>
      </w:r>
      <w:r w:rsidRPr="0089670E">
        <w:rPr>
          <w:noProof/>
        </w:rPr>
        <w:t>. COO-3382-23. DOE/EV/03382-T1. Washington, DC: US Department of Energy.</w:t>
      </w:r>
    </w:p>
    <w:p w14:paraId="0FA12D59" w14:textId="77777777" w:rsidR="00232741" w:rsidRPr="00BB7751" w:rsidRDefault="00232741" w:rsidP="00232741">
      <w:pPr>
        <w:pStyle w:val="aff1"/>
        <w:ind w:left="426" w:hanging="426"/>
        <w:rPr>
          <w:noProof/>
          <w:lang w:val="fr-FR"/>
        </w:rPr>
      </w:pPr>
      <w:r w:rsidRPr="0089670E">
        <w:rPr>
          <w:noProof/>
        </w:rPr>
        <w:t>Cohen</w:t>
      </w:r>
      <w:r>
        <w:rPr>
          <w:rFonts w:hint="eastAsia"/>
          <w:noProof/>
          <w:lang w:eastAsia="ko-KR"/>
        </w:rPr>
        <w:t>,</w:t>
      </w:r>
      <w:r w:rsidRPr="0089670E">
        <w:rPr>
          <w:noProof/>
        </w:rPr>
        <w:t xml:space="preserve"> N</w:t>
      </w:r>
      <w:r>
        <w:rPr>
          <w:rFonts w:hint="eastAsia"/>
          <w:noProof/>
          <w:lang w:eastAsia="ko-KR"/>
        </w:rPr>
        <w:t>.,</w:t>
      </w:r>
      <w:r w:rsidRPr="0089670E">
        <w:rPr>
          <w:noProof/>
        </w:rPr>
        <w:t xml:space="preserve"> Wrenn</w:t>
      </w:r>
      <w:r>
        <w:rPr>
          <w:rFonts w:hint="eastAsia"/>
          <w:noProof/>
          <w:lang w:eastAsia="ko-KR"/>
        </w:rPr>
        <w:t>,</w:t>
      </w:r>
      <w:r w:rsidRPr="0089670E">
        <w:rPr>
          <w:noProof/>
        </w:rPr>
        <w:t xml:space="preserve"> M</w:t>
      </w:r>
      <w:r>
        <w:rPr>
          <w:rFonts w:hint="eastAsia"/>
          <w:noProof/>
          <w:lang w:eastAsia="ko-KR"/>
        </w:rPr>
        <w:t>.</w:t>
      </w:r>
      <w:r w:rsidRPr="0089670E">
        <w:rPr>
          <w:noProof/>
        </w:rPr>
        <w:t>E</w:t>
      </w:r>
      <w:r>
        <w:rPr>
          <w:rFonts w:hint="eastAsia"/>
          <w:noProof/>
          <w:lang w:eastAsia="ko-KR"/>
        </w:rPr>
        <w:t>.,</w:t>
      </w:r>
      <w:r w:rsidRPr="0089670E">
        <w:rPr>
          <w:noProof/>
        </w:rPr>
        <w:t xml:space="preserve"> 1973</w:t>
      </w:r>
      <w:r>
        <w:rPr>
          <w:rFonts w:hint="eastAsia"/>
          <w:noProof/>
          <w:lang w:eastAsia="ko-KR"/>
        </w:rPr>
        <w:t>.</w:t>
      </w:r>
      <w:r w:rsidRPr="0089670E">
        <w:rPr>
          <w:noProof/>
        </w:rPr>
        <w:t xml:space="preserve"> Metabolic characteristics of 241 Am in the adult baboon. </w:t>
      </w:r>
      <w:r w:rsidRPr="00BB7751">
        <w:rPr>
          <w:noProof/>
          <w:lang w:val="fr-FR"/>
        </w:rPr>
        <w:t>Radiat. Res. 55(1)</w:t>
      </w:r>
      <w:r w:rsidRPr="00BB7751">
        <w:rPr>
          <w:rFonts w:hint="eastAsia"/>
          <w:noProof/>
          <w:lang w:val="fr-FR" w:eastAsia="ko-KR"/>
        </w:rPr>
        <w:t>.</w:t>
      </w:r>
      <w:r w:rsidRPr="00BB7751">
        <w:rPr>
          <w:noProof/>
          <w:lang w:val="fr-FR"/>
        </w:rPr>
        <w:t xml:space="preserve"> 129–143.</w:t>
      </w:r>
    </w:p>
    <w:p w14:paraId="35557AC9" w14:textId="77777777" w:rsidR="00232741" w:rsidRPr="0089670E" w:rsidRDefault="00232741" w:rsidP="00232741">
      <w:pPr>
        <w:pStyle w:val="aff1"/>
        <w:ind w:left="426" w:hanging="426"/>
        <w:rPr>
          <w:noProof/>
        </w:rPr>
      </w:pPr>
      <w:r w:rsidRPr="00BB7751">
        <w:rPr>
          <w:noProof/>
          <w:lang w:val="fr-FR"/>
        </w:rPr>
        <w:t>Craig</w:t>
      </w:r>
      <w:r w:rsidRPr="00BB7751">
        <w:rPr>
          <w:rFonts w:hint="eastAsia"/>
          <w:noProof/>
          <w:lang w:val="fr-FR" w:eastAsia="ko-KR"/>
        </w:rPr>
        <w:t>,</w:t>
      </w:r>
      <w:r w:rsidRPr="00BB7751">
        <w:rPr>
          <w:noProof/>
          <w:lang w:val="fr-FR"/>
        </w:rPr>
        <w:t xml:space="preserve"> D</w:t>
      </w:r>
      <w:r w:rsidRPr="00BB7751">
        <w:rPr>
          <w:rFonts w:hint="eastAsia"/>
          <w:noProof/>
          <w:lang w:val="fr-FR" w:eastAsia="ko-KR"/>
        </w:rPr>
        <w:t>.</w:t>
      </w:r>
      <w:r w:rsidRPr="00BB7751">
        <w:rPr>
          <w:noProof/>
          <w:lang w:val="fr-FR"/>
        </w:rPr>
        <w:t>K</w:t>
      </w:r>
      <w:r w:rsidRPr="00BB7751">
        <w:rPr>
          <w:rFonts w:hint="eastAsia"/>
          <w:noProof/>
          <w:lang w:val="fr-FR" w:eastAsia="ko-KR"/>
        </w:rPr>
        <w:t>.</w:t>
      </w:r>
      <w:r w:rsidRPr="00BB7751">
        <w:rPr>
          <w:noProof/>
          <w:lang w:val="fr-FR"/>
        </w:rPr>
        <w:t>, Cannon</w:t>
      </w:r>
      <w:r w:rsidRPr="00BB7751">
        <w:rPr>
          <w:rFonts w:hint="eastAsia"/>
          <w:noProof/>
          <w:lang w:val="fr-FR" w:eastAsia="ko-KR"/>
        </w:rPr>
        <w:t>,</w:t>
      </w:r>
      <w:r w:rsidRPr="00BB7751">
        <w:rPr>
          <w:noProof/>
          <w:lang w:val="fr-FR"/>
        </w:rPr>
        <w:t xml:space="preserve"> W</w:t>
      </w:r>
      <w:r w:rsidRPr="00BB7751">
        <w:rPr>
          <w:rFonts w:hint="eastAsia"/>
          <w:noProof/>
          <w:lang w:val="fr-FR" w:eastAsia="ko-KR"/>
        </w:rPr>
        <w:t>.</w:t>
      </w:r>
      <w:r w:rsidRPr="00BB7751">
        <w:rPr>
          <w:noProof/>
          <w:lang w:val="fr-FR"/>
        </w:rPr>
        <w:t>C</w:t>
      </w:r>
      <w:r w:rsidRPr="00BB7751">
        <w:rPr>
          <w:rFonts w:hint="eastAsia"/>
          <w:noProof/>
          <w:lang w:val="fr-FR" w:eastAsia="ko-KR"/>
        </w:rPr>
        <w:t>.</w:t>
      </w:r>
      <w:r w:rsidRPr="00BB7751">
        <w:rPr>
          <w:noProof/>
          <w:lang w:val="fr-FR"/>
        </w:rPr>
        <w:t>, Catt</w:t>
      </w:r>
      <w:r w:rsidRPr="00BB7751">
        <w:rPr>
          <w:rFonts w:hint="eastAsia"/>
          <w:noProof/>
          <w:lang w:val="fr-FR" w:eastAsia="ko-KR"/>
        </w:rPr>
        <w:t>,</w:t>
      </w:r>
      <w:r w:rsidRPr="00BB7751">
        <w:rPr>
          <w:noProof/>
          <w:lang w:val="fr-FR"/>
        </w:rPr>
        <w:t xml:space="preserve"> D</w:t>
      </w:r>
      <w:r w:rsidRPr="00BB7751">
        <w:rPr>
          <w:rFonts w:hint="eastAsia"/>
          <w:noProof/>
          <w:lang w:val="fr-FR" w:eastAsia="ko-KR"/>
        </w:rPr>
        <w:t>.</w:t>
      </w:r>
      <w:r w:rsidRPr="00BB7751">
        <w:rPr>
          <w:noProof/>
          <w:lang w:val="fr-FR"/>
        </w:rPr>
        <w:t>L</w:t>
      </w:r>
      <w:r w:rsidRPr="00BB7751">
        <w:rPr>
          <w:rFonts w:hint="eastAsia"/>
          <w:noProof/>
          <w:lang w:val="fr-FR" w:eastAsia="ko-KR"/>
        </w:rPr>
        <w:t>.</w:t>
      </w:r>
      <w:r w:rsidRPr="00BB7751">
        <w:rPr>
          <w:noProof/>
          <w:lang w:val="fr-FR"/>
        </w:rPr>
        <w:t>, et al.</w:t>
      </w:r>
      <w:r w:rsidRPr="00BB7751">
        <w:rPr>
          <w:rFonts w:hint="eastAsia"/>
          <w:noProof/>
          <w:lang w:val="fr-FR" w:eastAsia="ko-KR"/>
        </w:rPr>
        <w:t>,</w:t>
      </w:r>
      <w:r w:rsidRPr="00BB7751">
        <w:rPr>
          <w:noProof/>
          <w:lang w:val="fr-FR"/>
        </w:rPr>
        <w:t xml:space="preserve"> 1976</w:t>
      </w:r>
      <w:r w:rsidRPr="00BB7751">
        <w:rPr>
          <w:rFonts w:hint="eastAsia"/>
          <w:noProof/>
          <w:lang w:val="fr-FR" w:eastAsia="ko-KR"/>
        </w:rPr>
        <w:t>.</w:t>
      </w:r>
      <w:r w:rsidRPr="00BB7751">
        <w:rPr>
          <w:noProof/>
          <w:lang w:val="fr-FR"/>
        </w:rPr>
        <w:t xml:space="preserve"> </w:t>
      </w:r>
      <w:r w:rsidRPr="00ED6790">
        <w:rPr>
          <w:noProof/>
        </w:rPr>
        <w:t>Distribution of 241Am and 244Cm in dogs after inhalation of the oxides</w:t>
      </w:r>
      <w:r w:rsidRPr="0089670E">
        <w:rPr>
          <w:noProof/>
        </w:rPr>
        <w:t>. BNWL–2000 Part 1, Biomedical Sciences. Richland, Washington: Available from National Technical Information Service, Springfield, Virginia. Available at: https://inis.iaea.org/search/search.aspx?orig_q=RN:7268459 (accessed 2 October 2023).</w:t>
      </w:r>
    </w:p>
    <w:p w14:paraId="2B54477D" w14:textId="77777777" w:rsidR="00232741" w:rsidRPr="0089670E" w:rsidRDefault="00232741" w:rsidP="00232741">
      <w:pPr>
        <w:pStyle w:val="aff1"/>
        <w:ind w:left="426" w:hanging="426"/>
        <w:rPr>
          <w:noProof/>
        </w:rPr>
      </w:pPr>
      <w:r w:rsidRPr="0089670E">
        <w:rPr>
          <w:noProof/>
        </w:rPr>
        <w:t>Crawley</w:t>
      </w:r>
      <w:r>
        <w:rPr>
          <w:rFonts w:hint="eastAsia"/>
          <w:noProof/>
          <w:lang w:eastAsia="ko-KR"/>
        </w:rPr>
        <w:t>,</w:t>
      </w:r>
      <w:r w:rsidRPr="0089670E">
        <w:rPr>
          <w:noProof/>
        </w:rPr>
        <w:t xml:space="preserve"> F</w:t>
      </w:r>
      <w:r>
        <w:rPr>
          <w:rFonts w:hint="eastAsia"/>
          <w:noProof/>
          <w:lang w:eastAsia="ko-KR"/>
        </w:rPr>
        <w:t>.</w:t>
      </w:r>
      <w:r w:rsidRPr="0089670E">
        <w:rPr>
          <w:noProof/>
        </w:rPr>
        <w:t>E</w:t>
      </w:r>
      <w:r>
        <w:rPr>
          <w:rFonts w:hint="eastAsia"/>
          <w:noProof/>
          <w:lang w:eastAsia="ko-KR"/>
        </w:rPr>
        <w:t>.,</w:t>
      </w:r>
      <w:r w:rsidRPr="0089670E">
        <w:rPr>
          <w:noProof/>
        </w:rPr>
        <w:t xml:space="preserve"> Goddard</w:t>
      </w:r>
      <w:r>
        <w:rPr>
          <w:rFonts w:hint="eastAsia"/>
          <w:noProof/>
          <w:lang w:eastAsia="ko-KR"/>
        </w:rPr>
        <w:t>,</w:t>
      </w:r>
      <w:r w:rsidRPr="0089670E">
        <w:rPr>
          <w:noProof/>
        </w:rPr>
        <w:t xml:space="preserve"> E</w:t>
      </w:r>
      <w:r>
        <w:rPr>
          <w:rFonts w:hint="eastAsia"/>
          <w:noProof/>
          <w:lang w:eastAsia="ko-KR"/>
        </w:rPr>
        <w:t>.</w:t>
      </w:r>
      <w:r w:rsidRPr="0089670E">
        <w:rPr>
          <w:noProof/>
        </w:rPr>
        <w:t>A</w:t>
      </w:r>
      <w:r>
        <w:rPr>
          <w:rFonts w:hint="eastAsia"/>
          <w:noProof/>
          <w:lang w:eastAsia="ko-KR"/>
        </w:rPr>
        <w:t>.,</w:t>
      </w:r>
      <w:r w:rsidRPr="0089670E">
        <w:rPr>
          <w:noProof/>
        </w:rPr>
        <w:t xml:space="preserve"> 1976</w:t>
      </w:r>
      <w:r>
        <w:rPr>
          <w:rFonts w:hint="eastAsia"/>
          <w:noProof/>
          <w:lang w:eastAsia="ko-KR"/>
        </w:rPr>
        <w:t>.</w:t>
      </w:r>
      <w:r w:rsidRPr="0089670E">
        <w:rPr>
          <w:noProof/>
        </w:rPr>
        <w:t xml:space="preserve"> The translocation of 241-americium and 242-curium from the respiratory system of the rat. </w:t>
      </w:r>
      <w:r w:rsidRPr="00ED6790">
        <w:rPr>
          <w:noProof/>
        </w:rPr>
        <w:t>Health Phys</w:t>
      </w:r>
      <w:r>
        <w:rPr>
          <w:rFonts w:hint="eastAsia"/>
          <w:noProof/>
          <w:lang w:eastAsia="ko-KR"/>
        </w:rPr>
        <w:t>.</w:t>
      </w:r>
      <w:r w:rsidRPr="0089670E">
        <w:rPr>
          <w:noProof/>
        </w:rPr>
        <w:t xml:space="preserve"> 30(2)</w:t>
      </w:r>
      <w:r>
        <w:rPr>
          <w:rFonts w:hint="eastAsia"/>
          <w:noProof/>
          <w:lang w:eastAsia="ko-KR"/>
        </w:rPr>
        <w:t>.</w:t>
      </w:r>
      <w:r w:rsidRPr="0089670E">
        <w:rPr>
          <w:noProof/>
        </w:rPr>
        <w:t xml:space="preserve"> 191–197.</w:t>
      </w:r>
    </w:p>
    <w:p w14:paraId="5B475169" w14:textId="77777777" w:rsidR="00232741" w:rsidRPr="0089670E" w:rsidRDefault="00232741" w:rsidP="00232741">
      <w:pPr>
        <w:pStyle w:val="aff1"/>
        <w:ind w:left="426" w:hanging="426"/>
        <w:rPr>
          <w:noProof/>
        </w:rPr>
      </w:pPr>
      <w:r w:rsidRPr="0089670E">
        <w:rPr>
          <w:noProof/>
        </w:rPr>
        <w:t>Cuddihy</w:t>
      </w:r>
      <w:r>
        <w:rPr>
          <w:rFonts w:hint="eastAsia"/>
          <w:noProof/>
          <w:lang w:eastAsia="ko-KR"/>
        </w:rPr>
        <w:t>,</w:t>
      </w:r>
      <w:r w:rsidRPr="0089670E">
        <w:rPr>
          <w:noProof/>
        </w:rPr>
        <w:t xml:space="preserve"> R</w:t>
      </w:r>
      <w:r>
        <w:rPr>
          <w:rFonts w:hint="eastAsia"/>
          <w:noProof/>
          <w:lang w:eastAsia="ko-KR"/>
        </w:rPr>
        <w:t>.</w:t>
      </w:r>
      <w:r w:rsidRPr="0089670E">
        <w:rPr>
          <w:noProof/>
        </w:rPr>
        <w:t>G</w:t>
      </w:r>
      <w:r>
        <w:rPr>
          <w:rFonts w:hint="eastAsia"/>
          <w:noProof/>
          <w:lang w:eastAsia="ko-KR"/>
        </w:rPr>
        <w:t>.,</w:t>
      </w:r>
      <w:r w:rsidRPr="0089670E">
        <w:rPr>
          <w:noProof/>
        </w:rPr>
        <w:t xml:space="preserve"> Boecker</w:t>
      </w:r>
      <w:r>
        <w:rPr>
          <w:rFonts w:hint="eastAsia"/>
          <w:noProof/>
          <w:lang w:eastAsia="ko-KR"/>
        </w:rPr>
        <w:t>,</w:t>
      </w:r>
      <w:r w:rsidRPr="0089670E">
        <w:rPr>
          <w:noProof/>
        </w:rPr>
        <w:t xml:space="preserve"> B</w:t>
      </w:r>
      <w:r>
        <w:rPr>
          <w:rFonts w:hint="eastAsia"/>
          <w:noProof/>
          <w:lang w:eastAsia="ko-KR"/>
        </w:rPr>
        <w:t>.</w:t>
      </w:r>
      <w:r w:rsidRPr="0089670E">
        <w:rPr>
          <w:noProof/>
        </w:rPr>
        <w:t>B</w:t>
      </w:r>
      <w:r>
        <w:rPr>
          <w:rFonts w:hint="eastAsia"/>
          <w:noProof/>
          <w:lang w:eastAsia="ko-KR"/>
        </w:rPr>
        <w:t>.,</w:t>
      </w:r>
      <w:r w:rsidRPr="0089670E">
        <w:rPr>
          <w:noProof/>
        </w:rPr>
        <w:t xml:space="preserve"> 1970</w:t>
      </w:r>
      <w:r>
        <w:rPr>
          <w:rFonts w:hint="eastAsia"/>
          <w:noProof/>
          <w:lang w:eastAsia="ko-KR"/>
        </w:rPr>
        <w:t>.</w:t>
      </w:r>
      <w:r w:rsidRPr="0089670E">
        <w:rPr>
          <w:noProof/>
        </w:rPr>
        <w:t xml:space="preserve"> Kinetics of lanthanum retention and tissue distribution in the Beagle dog following administration of 140LaCl3 by inhalation, gavage and injection. </w:t>
      </w:r>
      <w:r w:rsidRPr="00ED6790">
        <w:rPr>
          <w:noProof/>
        </w:rPr>
        <w:t>Health Phys</w:t>
      </w:r>
      <w:r>
        <w:rPr>
          <w:rFonts w:hint="eastAsia"/>
          <w:noProof/>
          <w:lang w:eastAsia="ko-KR"/>
        </w:rPr>
        <w:t>.</w:t>
      </w:r>
      <w:r w:rsidRPr="0089670E">
        <w:rPr>
          <w:noProof/>
        </w:rPr>
        <w:t xml:space="preserve"> 19(3)</w:t>
      </w:r>
      <w:r>
        <w:rPr>
          <w:rFonts w:hint="eastAsia"/>
          <w:noProof/>
          <w:lang w:eastAsia="ko-KR"/>
        </w:rPr>
        <w:t>.</w:t>
      </w:r>
      <w:r w:rsidRPr="0089670E">
        <w:rPr>
          <w:noProof/>
        </w:rPr>
        <w:t xml:space="preserve"> 419–426.</w:t>
      </w:r>
    </w:p>
    <w:p w14:paraId="5A0B2287" w14:textId="77777777" w:rsidR="00232741" w:rsidRPr="0089670E" w:rsidRDefault="00232741" w:rsidP="00232741">
      <w:pPr>
        <w:pStyle w:val="aff1"/>
        <w:ind w:left="426" w:hanging="426"/>
        <w:rPr>
          <w:noProof/>
        </w:rPr>
      </w:pPr>
      <w:r w:rsidRPr="0089670E">
        <w:rPr>
          <w:noProof/>
        </w:rPr>
        <w:t>Cuddihy</w:t>
      </w:r>
      <w:r>
        <w:rPr>
          <w:rFonts w:hint="eastAsia"/>
          <w:noProof/>
          <w:lang w:eastAsia="ko-KR"/>
        </w:rPr>
        <w:t>,</w:t>
      </w:r>
      <w:r w:rsidRPr="0089670E">
        <w:rPr>
          <w:noProof/>
        </w:rPr>
        <w:t xml:space="preserve"> R</w:t>
      </w:r>
      <w:r>
        <w:rPr>
          <w:rFonts w:hint="eastAsia"/>
          <w:noProof/>
          <w:lang w:eastAsia="ko-KR"/>
        </w:rPr>
        <w:t>.</w:t>
      </w:r>
      <w:r w:rsidRPr="0089670E">
        <w:rPr>
          <w:noProof/>
        </w:rPr>
        <w:t>G</w:t>
      </w:r>
      <w:r>
        <w:rPr>
          <w:rFonts w:hint="eastAsia"/>
          <w:noProof/>
          <w:lang w:eastAsia="ko-KR"/>
        </w:rPr>
        <w:t>.,</w:t>
      </w:r>
      <w:r w:rsidRPr="0089670E">
        <w:rPr>
          <w:noProof/>
        </w:rPr>
        <w:t xml:space="preserve"> Boecker</w:t>
      </w:r>
      <w:r>
        <w:rPr>
          <w:rFonts w:hint="eastAsia"/>
          <w:noProof/>
          <w:lang w:eastAsia="ko-KR"/>
        </w:rPr>
        <w:t>,</w:t>
      </w:r>
      <w:r w:rsidRPr="0089670E">
        <w:rPr>
          <w:noProof/>
        </w:rPr>
        <w:t xml:space="preserve"> B</w:t>
      </w:r>
      <w:r>
        <w:rPr>
          <w:rFonts w:hint="eastAsia"/>
          <w:noProof/>
          <w:lang w:eastAsia="ko-KR"/>
        </w:rPr>
        <w:t>.</w:t>
      </w:r>
      <w:r w:rsidRPr="0089670E">
        <w:rPr>
          <w:noProof/>
        </w:rPr>
        <w:t>B</w:t>
      </w:r>
      <w:r>
        <w:rPr>
          <w:rFonts w:hint="eastAsia"/>
          <w:noProof/>
          <w:lang w:eastAsia="ko-KR"/>
        </w:rPr>
        <w:t>.,</w:t>
      </w:r>
      <w:r w:rsidRPr="0089670E">
        <w:rPr>
          <w:noProof/>
        </w:rPr>
        <w:t xml:space="preserve"> 1975</w:t>
      </w:r>
      <w:r>
        <w:rPr>
          <w:rFonts w:hint="eastAsia"/>
          <w:noProof/>
          <w:lang w:eastAsia="ko-KR"/>
        </w:rPr>
        <w:t>.</w:t>
      </w:r>
      <w:r w:rsidRPr="0089670E">
        <w:rPr>
          <w:noProof/>
        </w:rPr>
        <w:t xml:space="preserve"> Application of the GASP IV Simulation Language to Modeling of Biological Retention Patterns for Inhaled 144Ce. In: </w:t>
      </w:r>
      <w:r w:rsidRPr="00ED6790">
        <w:rPr>
          <w:noProof/>
        </w:rPr>
        <w:t>Inhalation Toxicology Research Institute Annual Report 1974-1975</w:t>
      </w:r>
      <w:r w:rsidRPr="0089670E">
        <w:rPr>
          <w:noProof/>
        </w:rPr>
        <w:t>. Lovelace Biomedical and Environmental Research Institute. Albuquerque, NM, pp. 96–100.</w:t>
      </w:r>
    </w:p>
    <w:p w14:paraId="783878C5" w14:textId="77777777" w:rsidR="00232741" w:rsidRPr="0089670E" w:rsidRDefault="00232741" w:rsidP="00232741">
      <w:pPr>
        <w:pStyle w:val="aff1"/>
        <w:ind w:left="426" w:hanging="426"/>
        <w:rPr>
          <w:noProof/>
        </w:rPr>
      </w:pPr>
      <w:r w:rsidRPr="0089670E">
        <w:rPr>
          <w:noProof/>
        </w:rPr>
        <w:t>Cuddihy</w:t>
      </w:r>
      <w:r>
        <w:rPr>
          <w:rFonts w:hint="eastAsia"/>
          <w:noProof/>
          <w:lang w:eastAsia="ko-KR"/>
        </w:rPr>
        <w:t>,</w:t>
      </w:r>
      <w:r w:rsidRPr="0089670E">
        <w:rPr>
          <w:noProof/>
        </w:rPr>
        <w:t xml:space="preserve"> R</w:t>
      </w:r>
      <w:r>
        <w:rPr>
          <w:rFonts w:hint="eastAsia"/>
          <w:noProof/>
          <w:lang w:eastAsia="ko-KR"/>
        </w:rPr>
        <w:t>.</w:t>
      </w:r>
      <w:r w:rsidRPr="0089670E">
        <w:rPr>
          <w:noProof/>
        </w:rPr>
        <w:t>G</w:t>
      </w:r>
      <w:r>
        <w:rPr>
          <w:rFonts w:hint="eastAsia"/>
          <w:noProof/>
          <w:lang w:eastAsia="ko-KR"/>
        </w:rPr>
        <w:t>.</w:t>
      </w:r>
      <w:r w:rsidRPr="0089670E">
        <w:rPr>
          <w:noProof/>
        </w:rPr>
        <w:t>, Gomex</w:t>
      </w:r>
      <w:r>
        <w:rPr>
          <w:rFonts w:hint="eastAsia"/>
          <w:noProof/>
          <w:lang w:eastAsia="ko-KR"/>
        </w:rPr>
        <w:t>,</w:t>
      </w:r>
      <w:r w:rsidRPr="0089670E">
        <w:rPr>
          <w:noProof/>
        </w:rPr>
        <w:t xml:space="preserve"> S</w:t>
      </w:r>
      <w:r>
        <w:rPr>
          <w:rFonts w:hint="eastAsia"/>
          <w:noProof/>
          <w:lang w:eastAsia="ko-KR"/>
        </w:rPr>
        <w:t>.</w:t>
      </w:r>
      <w:r w:rsidRPr="0089670E">
        <w:rPr>
          <w:noProof/>
        </w:rPr>
        <w:t>R</w:t>
      </w:r>
      <w:r>
        <w:rPr>
          <w:rFonts w:hint="eastAsia"/>
          <w:noProof/>
          <w:lang w:eastAsia="ko-KR"/>
        </w:rPr>
        <w:t>.,</w:t>
      </w:r>
      <w:r w:rsidRPr="0089670E">
        <w:rPr>
          <w:noProof/>
        </w:rPr>
        <w:t xml:space="preserve"> Pfleger</w:t>
      </w:r>
      <w:r>
        <w:rPr>
          <w:rFonts w:hint="eastAsia"/>
          <w:noProof/>
          <w:lang w:eastAsia="ko-KR"/>
        </w:rPr>
        <w:t>,</w:t>
      </w:r>
      <w:r w:rsidRPr="0089670E">
        <w:rPr>
          <w:noProof/>
        </w:rPr>
        <w:t xml:space="preserve"> R</w:t>
      </w:r>
      <w:r>
        <w:rPr>
          <w:rFonts w:hint="eastAsia"/>
          <w:noProof/>
          <w:lang w:eastAsia="ko-KR"/>
        </w:rPr>
        <w:t>.</w:t>
      </w:r>
      <w:r w:rsidRPr="0089670E">
        <w:rPr>
          <w:noProof/>
        </w:rPr>
        <w:t>C</w:t>
      </w:r>
      <w:r>
        <w:rPr>
          <w:rFonts w:hint="eastAsia"/>
          <w:noProof/>
          <w:lang w:eastAsia="ko-KR"/>
        </w:rPr>
        <w:t>.,</w:t>
      </w:r>
      <w:r w:rsidRPr="0089670E">
        <w:rPr>
          <w:noProof/>
        </w:rPr>
        <w:t xml:space="preserve"> 1975</w:t>
      </w:r>
      <w:r>
        <w:rPr>
          <w:rFonts w:hint="eastAsia"/>
          <w:noProof/>
          <w:lang w:eastAsia="ko-KR"/>
        </w:rPr>
        <w:t>.</w:t>
      </w:r>
      <w:r w:rsidRPr="0089670E">
        <w:rPr>
          <w:noProof/>
        </w:rPr>
        <w:t xml:space="preserve"> Inhalation exposures of beagle dogs to cerium aerosols: physical, chemical and mathematical analysis. </w:t>
      </w:r>
      <w:r w:rsidRPr="00ED6790">
        <w:rPr>
          <w:noProof/>
        </w:rPr>
        <w:t>Health Phys</w:t>
      </w:r>
      <w:r>
        <w:rPr>
          <w:rFonts w:hint="eastAsia"/>
          <w:noProof/>
          <w:lang w:eastAsia="ko-KR"/>
        </w:rPr>
        <w:t>.</w:t>
      </w:r>
      <w:r w:rsidRPr="0089670E">
        <w:rPr>
          <w:noProof/>
        </w:rPr>
        <w:t xml:space="preserve"> 29(2)</w:t>
      </w:r>
      <w:r>
        <w:rPr>
          <w:rFonts w:hint="eastAsia"/>
          <w:noProof/>
          <w:lang w:eastAsia="ko-KR"/>
        </w:rPr>
        <w:t>.</w:t>
      </w:r>
      <w:r w:rsidRPr="0089670E">
        <w:rPr>
          <w:noProof/>
        </w:rPr>
        <w:t xml:space="preserve"> 257–265.</w:t>
      </w:r>
    </w:p>
    <w:p w14:paraId="297E14B4" w14:textId="77777777" w:rsidR="00232741" w:rsidRPr="0089670E" w:rsidRDefault="00232741" w:rsidP="00232741">
      <w:pPr>
        <w:pStyle w:val="aff1"/>
        <w:ind w:left="426" w:hanging="426"/>
        <w:rPr>
          <w:noProof/>
        </w:rPr>
      </w:pPr>
      <w:r w:rsidRPr="0089670E">
        <w:rPr>
          <w:noProof/>
        </w:rPr>
        <w:t>Cuddihy</w:t>
      </w:r>
      <w:r>
        <w:rPr>
          <w:rFonts w:hint="eastAsia"/>
          <w:noProof/>
          <w:lang w:eastAsia="ko-KR"/>
        </w:rPr>
        <w:t>,</w:t>
      </w:r>
      <w:r w:rsidRPr="0089670E">
        <w:rPr>
          <w:noProof/>
        </w:rPr>
        <w:t xml:space="preserve"> R</w:t>
      </w:r>
      <w:r>
        <w:rPr>
          <w:rFonts w:hint="eastAsia"/>
          <w:noProof/>
          <w:lang w:eastAsia="ko-KR"/>
        </w:rPr>
        <w:t>.</w:t>
      </w:r>
      <w:r w:rsidRPr="0089670E">
        <w:rPr>
          <w:noProof/>
        </w:rPr>
        <w:t>G</w:t>
      </w:r>
      <w:r>
        <w:rPr>
          <w:rFonts w:hint="eastAsia"/>
          <w:noProof/>
          <w:lang w:eastAsia="ko-KR"/>
        </w:rPr>
        <w:t>.</w:t>
      </w:r>
      <w:r w:rsidRPr="0089670E">
        <w:rPr>
          <w:noProof/>
        </w:rPr>
        <w:t>, Boecker</w:t>
      </w:r>
      <w:r>
        <w:rPr>
          <w:rFonts w:hint="eastAsia"/>
          <w:noProof/>
          <w:lang w:eastAsia="ko-KR"/>
        </w:rPr>
        <w:t>,</w:t>
      </w:r>
      <w:r w:rsidRPr="0089670E">
        <w:rPr>
          <w:noProof/>
        </w:rPr>
        <w:t xml:space="preserve"> B</w:t>
      </w:r>
      <w:r>
        <w:rPr>
          <w:rFonts w:hint="eastAsia"/>
          <w:noProof/>
          <w:lang w:eastAsia="ko-KR"/>
        </w:rPr>
        <w:t>.</w:t>
      </w:r>
      <w:r w:rsidRPr="0089670E">
        <w:rPr>
          <w:noProof/>
        </w:rPr>
        <w:t>B</w:t>
      </w:r>
      <w:r>
        <w:rPr>
          <w:rFonts w:hint="eastAsia"/>
          <w:noProof/>
          <w:lang w:eastAsia="ko-KR"/>
        </w:rPr>
        <w:t>.</w:t>
      </w:r>
      <w:r w:rsidRPr="0089670E">
        <w:rPr>
          <w:noProof/>
        </w:rPr>
        <w:t>, McClellan</w:t>
      </w:r>
      <w:r>
        <w:rPr>
          <w:rFonts w:hint="eastAsia"/>
          <w:noProof/>
          <w:lang w:eastAsia="ko-KR"/>
        </w:rPr>
        <w:t>,</w:t>
      </w:r>
      <w:r w:rsidRPr="0089670E">
        <w:rPr>
          <w:noProof/>
        </w:rPr>
        <w:t xml:space="preserve"> R</w:t>
      </w:r>
      <w:r>
        <w:rPr>
          <w:rFonts w:hint="eastAsia"/>
          <w:noProof/>
          <w:lang w:eastAsia="ko-KR"/>
        </w:rPr>
        <w:t>.</w:t>
      </w:r>
      <w:r w:rsidRPr="0089670E">
        <w:rPr>
          <w:noProof/>
        </w:rPr>
        <w:t>O</w:t>
      </w:r>
      <w:r>
        <w:rPr>
          <w:rFonts w:hint="eastAsia"/>
          <w:noProof/>
          <w:lang w:eastAsia="ko-KR"/>
        </w:rPr>
        <w:t>.</w:t>
      </w:r>
      <w:r w:rsidRPr="0089670E">
        <w:rPr>
          <w:noProof/>
        </w:rPr>
        <w:t>, et al.</w:t>
      </w:r>
      <w:r>
        <w:rPr>
          <w:rFonts w:hint="eastAsia"/>
          <w:noProof/>
          <w:lang w:eastAsia="ko-KR"/>
        </w:rPr>
        <w:t>,</w:t>
      </w:r>
      <w:r w:rsidRPr="0089670E">
        <w:rPr>
          <w:noProof/>
        </w:rPr>
        <w:t xml:space="preserve"> 1976</w:t>
      </w:r>
      <w:r>
        <w:rPr>
          <w:rFonts w:hint="eastAsia"/>
          <w:noProof/>
          <w:lang w:eastAsia="ko-KR"/>
        </w:rPr>
        <w:t>.</w:t>
      </w:r>
      <w:r w:rsidRPr="0089670E">
        <w:rPr>
          <w:noProof/>
        </w:rPr>
        <w:t xml:space="preserve"> </w:t>
      </w:r>
      <w:r w:rsidRPr="00D55371">
        <w:rPr>
          <w:noProof/>
          <w:vertAlign w:val="superscript"/>
        </w:rPr>
        <w:t>144</w:t>
      </w:r>
      <w:r w:rsidRPr="0089670E">
        <w:rPr>
          <w:noProof/>
        </w:rPr>
        <w:t>Ce in tissues of beagle dogs after inhalation of CeCl</w:t>
      </w:r>
      <w:r w:rsidRPr="00D55371">
        <w:rPr>
          <w:noProof/>
          <w:vertAlign w:val="subscript"/>
        </w:rPr>
        <w:t>3</w:t>
      </w:r>
      <w:r w:rsidRPr="0089670E">
        <w:rPr>
          <w:noProof/>
        </w:rPr>
        <w:t xml:space="preserve"> with special emphasis on endocrine glands and reproductive organs. </w:t>
      </w:r>
      <w:r w:rsidRPr="00ED6790">
        <w:rPr>
          <w:noProof/>
        </w:rPr>
        <w:t>Health Phys</w:t>
      </w:r>
      <w:r>
        <w:rPr>
          <w:rFonts w:hint="eastAsia"/>
          <w:noProof/>
          <w:lang w:eastAsia="ko-KR"/>
        </w:rPr>
        <w:t>.</w:t>
      </w:r>
      <w:r w:rsidRPr="0089670E">
        <w:rPr>
          <w:noProof/>
        </w:rPr>
        <w:t xml:space="preserve"> 30(1)</w:t>
      </w:r>
      <w:r>
        <w:rPr>
          <w:rFonts w:hint="eastAsia"/>
          <w:noProof/>
          <w:lang w:eastAsia="ko-KR"/>
        </w:rPr>
        <w:t>.</w:t>
      </w:r>
      <w:r w:rsidRPr="0089670E">
        <w:rPr>
          <w:noProof/>
        </w:rPr>
        <w:t xml:space="preserve"> 53–59.</w:t>
      </w:r>
    </w:p>
    <w:p w14:paraId="64ED1009" w14:textId="77777777" w:rsidR="00232741" w:rsidRPr="0089670E" w:rsidRDefault="00232741" w:rsidP="00232741">
      <w:pPr>
        <w:pStyle w:val="aff1"/>
        <w:ind w:left="426" w:hanging="426"/>
        <w:rPr>
          <w:noProof/>
        </w:rPr>
      </w:pPr>
      <w:r w:rsidRPr="0089670E">
        <w:rPr>
          <w:noProof/>
        </w:rPr>
        <w:t>Dang</w:t>
      </w:r>
      <w:r>
        <w:rPr>
          <w:rFonts w:hint="eastAsia"/>
          <w:noProof/>
          <w:lang w:eastAsia="ko-KR"/>
        </w:rPr>
        <w:t>,</w:t>
      </w:r>
      <w:r w:rsidRPr="0089670E">
        <w:rPr>
          <w:noProof/>
        </w:rPr>
        <w:t xml:space="preserve"> H</w:t>
      </w:r>
      <w:r>
        <w:rPr>
          <w:rFonts w:hint="eastAsia"/>
          <w:noProof/>
          <w:lang w:eastAsia="ko-KR"/>
        </w:rPr>
        <w:t>.</w:t>
      </w:r>
      <w:r w:rsidRPr="0089670E">
        <w:rPr>
          <w:noProof/>
        </w:rPr>
        <w:t>S</w:t>
      </w:r>
      <w:r>
        <w:rPr>
          <w:rFonts w:hint="eastAsia"/>
          <w:noProof/>
          <w:lang w:eastAsia="ko-KR"/>
        </w:rPr>
        <w:t>.,</w:t>
      </w:r>
      <w:r w:rsidRPr="0089670E">
        <w:rPr>
          <w:noProof/>
        </w:rPr>
        <w:t xml:space="preserve"> Sunta</w:t>
      </w:r>
      <w:r>
        <w:rPr>
          <w:rFonts w:hint="eastAsia"/>
          <w:noProof/>
          <w:lang w:eastAsia="ko-KR"/>
        </w:rPr>
        <w:t>,</w:t>
      </w:r>
      <w:r w:rsidRPr="0089670E">
        <w:rPr>
          <w:noProof/>
        </w:rPr>
        <w:t xml:space="preserve"> C</w:t>
      </w:r>
      <w:r>
        <w:rPr>
          <w:rFonts w:hint="eastAsia"/>
          <w:noProof/>
          <w:lang w:eastAsia="ko-KR"/>
        </w:rPr>
        <w:t>.</w:t>
      </w:r>
      <w:r w:rsidRPr="0089670E">
        <w:rPr>
          <w:noProof/>
        </w:rPr>
        <w:t>M</w:t>
      </w:r>
      <w:r>
        <w:rPr>
          <w:rFonts w:hint="eastAsia"/>
          <w:noProof/>
          <w:lang w:eastAsia="ko-KR"/>
        </w:rPr>
        <w:t>.,</w:t>
      </w:r>
      <w:r w:rsidRPr="0089670E">
        <w:rPr>
          <w:noProof/>
        </w:rPr>
        <w:t xml:space="preserve"> 1990</w:t>
      </w:r>
      <w:r>
        <w:rPr>
          <w:rFonts w:hint="eastAsia"/>
          <w:noProof/>
          <w:lang w:eastAsia="ko-KR"/>
        </w:rPr>
        <w:t>.</w:t>
      </w:r>
      <w:r w:rsidRPr="0089670E">
        <w:rPr>
          <w:noProof/>
        </w:rPr>
        <w:t xml:space="preserve"> Gastrointestinal absorption factor (f1) for Th from diet. </w:t>
      </w:r>
      <w:r w:rsidRPr="00ED6790">
        <w:rPr>
          <w:noProof/>
        </w:rPr>
        <w:t xml:space="preserve">Health </w:t>
      </w:r>
      <w:r w:rsidRPr="00ED6790">
        <w:rPr>
          <w:noProof/>
        </w:rPr>
        <w:lastRenderedPageBreak/>
        <w:t>Phys</w:t>
      </w:r>
      <w:r>
        <w:rPr>
          <w:rFonts w:hint="eastAsia"/>
          <w:noProof/>
          <w:lang w:eastAsia="ko-KR"/>
        </w:rPr>
        <w:t xml:space="preserve">. </w:t>
      </w:r>
      <w:r w:rsidRPr="0089670E">
        <w:rPr>
          <w:noProof/>
        </w:rPr>
        <w:t>58(2)</w:t>
      </w:r>
      <w:r>
        <w:rPr>
          <w:rFonts w:hint="eastAsia"/>
          <w:noProof/>
          <w:lang w:eastAsia="ko-KR"/>
        </w:rPr>
        <w:t>.</w:t>
      </w:r>
      <w:r w:rsidRPr="0089670E">
        <w:rPr>
          <w:noProof/>
        </w:rPr>
        <w:t xml:space="preserve"> 220–222.</w:t>
      </w:r>
    </w:p>
    <w:p w14:paraId="758D1085" w14:textId="77777777" w:rsidR="00232741" w:rsidRPr="0089670E" w:rsidRDefault="00232741" w:rsidP="00232741">
      <w:pPr>
        <w:pStyle w:val="aff1"/>
        <w:ind w:left="426" w:hanging="426"/>
        <w:rPr>
          <w:noProof/>
        </w:rPr>
      </w:pPr>
      <w:r w:rsidRPr="0089670E">
        <w:rPr>
          <w:noProof/>
        </w:rPr>
        <w:t>Dang</w:t>
      </w:r>
      <w:r>
        <w:rPr>
          <w:rFonts w:hint="eastAsia"/>
          <w:noProof/>
          <w:lang w:eastAsia="ko-KR"/>
        </w:rPr>
        <w:t>,</w:t>
      </w:r>
      <w:r w:rsidRPr="0089670E">
        <w:rPr>
          <w:noProof/>
        </w:rPr>
        <w:t xml:space="preserve"> H</w:t>
      </w:r>
      <w:r>
        <w:rPr>
          <w:rFonts w:hint="eastAsia"/>
          <w:noProof/>
          <w:lang w:eastAsia="ko-KR"/>
        </w:rPr>
        <w:t>.</w:t>
      </w:r>
      <w:r w:rsidRPr="0089670E">
        <w:rPr>
          <w:noProof/>
        </w:rPr>
        <w:t>S</w:t>
      </w:r>
      <w:r>
        <w:rPr>
          <w:rFonts w:hint="eastAsia"/>
          <w:noProof/>
          <w:lang w:eastAsia="ko-KR"/>
        </w:rPr>
        <w:t>.</w:t>
      </w:r>
      <w:r w:rsidRPr="0089670E">
        <w:rPr>
          <w:noProof/>
        </w:rPr>
        <w:t>, Pullat</w:t>
      </w:r>
      <w:r>
        <w:rPr>
          <w:rFonts w:hint="eastAsia"/>
          <w:noProof/>
          <w:lang w:eastAsia="ko-KR"/>
        </w:rPr>
        <w:t>,</w:t>
      </w:r>
      <w:r w:rsidRPr="0089670E">
        <w:rPr>
          <w:noProof/>
        </w:rPr>
        <w:t xml:space="preserve"> V</w:t>
      </w:r>
      <w:r>
        <w:rPr>
          <w:rFonts w:hint="eastAsia"/>
          <w:noProof/>
          <w:lang w:eastAsia="ko-KR"/>
        </w:rPr>
        <w:t>.</w:t>
      </w:r>
      <w:r w:rsidRPr="0089670E">
        <w:rPr>
          <w:noProof/>
        </w:rPr>
        <w:t>R</w:t>
      </w:r>
      <w:r>
        <w:rPr>
          <w:rFonts w:hint="eastAsia"/>
          <w:noProof/>
          <w:lang w:eastAsia="ko-KR"/>
        </w:rPr>
        <w:t>.,</w:t>
      </w:r>
      <w:r w:rsidRPr="0089670E">
        <w:rPr>
          <w:noProof/>
        </w:rPr>
        <w:t xml:space="preserve"> Pillai</w:t>
      </w:r>
      <w:r>
        <w:rPr>
          <w:rFonts w:hint="eastAsia"/>
          <w:noProof/>
          <w:lang w:eastAsia="ko-KR"/>
        </w:rPr>
        <w:t>,</w:t>
      </w:r>
      <w:r w:rsidRPr="0089670E">
        <w:rPr>
          <w:noProof/>
        </w:rPr>
        <w:t xml:space="preserve"> K</w:t>
      </w:r>
      <w:r>
        <w:rPr>
          <w:rFonts w:hint="eastAsia"/>
          <w:noProof/>
          <w:lang w:eastAsia="ko-KR"/>
        </w:rPr>
        <w:t>.</w:t>
      </w:r>
      <w:r w:rsidRPr="0089670E">
        <w:rPr>
          <w:noProof/>
        </w:rPr>
        <w:t>C</w:t>
      </w:r>
      <w:r>
        <w:rPr>
          <w:rFonts w:hint="eastAsia"/>
          <w:noProof/>
          <w:lang w:eastAsia="ko-KR"/>
        </w:rPr>
        <w:t>.,</w:t>
      </w:r>
      <w:r w:rsidRPr="0089670E">
        <w:rPr>
          <w:noProof/>
        </w:rPr>
        <w:t xml:space="preserve"> 1992 Determining the normal concentration of uranium in urine and application of the data to its biokinetics. </w:t>
      </w:r>
      <w:r w:rsidRPr="00ED6790">
        <w:rPr>
          <w:noProof/>
        </w:rPr>
        <w:t>Health Phys</w:t>
      </w:r>
      <w:r>
        <w:rPr>
          <w:rFonts w:hint="eastAsia"/>
          <w:noProof/>
          <w:lang w:eastAsia="ko-KR"/>
        </w:rPr>
        <w:t>.</w:t>
      </w:r>
      <w:r w:rsidRPr="0089670E">
        <w:rPr>
          <w:noProof/>
        </w:rPr>
        <w:t xml:space="preserve"> 62(6)</w:t>
      </w:r>
      <w:r>
        <w:rPr>
          <w:rFonts w:hint="eastAsia"/>
          <w:noProof/>
          <w:lang w:eastAsia="ko-KR"/>
        </w:rPr>
        <w:t>.</w:t>
      </w:r>
      <w:r w:rsidRPr="0089670E">
        <w:rPr>
          <w:noProof/>
        </w:rPr>
        <w:t xml:space="preserve"> 562–566.</w:t>
      </w:r>
    </w:p>
    <w:p w14:paraId="3FBFA3B2" w14:textId="77777777" w:rsidR="00232741" w:rsidRPr="0089670E" w:rsidRDefault="00232741" w:rsidP="00232741">
      <w:pPr>
        <w:pStyle w:val="aff1"/>
        <w:ind w:left="426" w:hanging="426"/>
        <w:rPr>
          <w:noProof/>
        </w:rPr>
      </w:pPr>
      <w:r w:rsidRPr="0089670E">
        <w:rPr>
          <w:noProof/>
        </w:rPr>
        <w:t>Dang</w:t>
      </w:r>
      <w:r>
        <w:rPr>
          <w:rFonts w:hint="eastAsia"/>
          <w:noProof/>
          <w:lang w:eastAsia="ko-KR"/>
        </w:rPr>
        <w:t>,</w:t>
      </w:r>
      <w:r w:rsidRPr="0089670E">
        <w:rPr>
          <w:noProof/>
        </w:rPr>
        <w:t xml:space="preserve"> H</w:t>
      </w:r>
      <w:r>
        <w:rPr>
          <w:rFonts w:hint="eastAsia"/>
          <w:noProof/>
          <w:lang w:eastAsia="ko-KR"/>
        </w:rPr>
        <w:t>.</w:t>
      </w:r>
      <w:r w:rsidRPr="0089670E">
        <w:rPr>
          <w:noProof/>
        </w:rPr>
        <w:t>S</w:t>
      </w:r>
      <w:r>
        <w:rPr>
          <w:rFonts w:hint="eastAsia"/>
          <w:noProof/>
          <w:lang w:eastAsia="ko-KR"/>
        </w:rPr>
        <w:t>.</w:t>
      </w:r>
      <w:r w:rsidRPr="0089670E">
        <w:rPr>
          <w:noProof/>
        </w:rPr>
        <w:t>, Jaiswal</w:t>
      </w:r>
      <w:r>
        <w:rPr>
          <w:rFonts w:hint="eastAsia"/>
          <w:noProof/>
          <w:lang w:eastAsia="ko-KR"/>
        </w:rPr>
        <w:t>,</w:t>
      </w:r>
      <w:r w:rsidRPr="0089670E">
        <w:rPr>
          <w:noProof/>
        </w:rPr>
        <w:t xml:space="preserve"> D</w:t>
      </w:r>
      <w:r>
        <w:rPr>
          <w:rFonts w:hint="eastAsia"/>
          <w:noProof/>
          <w:lang w:eastAsia="ko-KR"/>
        </w:rPr>
        <w:t>.</w:t>
      </w:r>
      <w:r w:rsidRPr="0089670E">
        <w:rPr>
          <w:noProof/>
        </w:rPr>
        <w:t>D</w:t>
      </w:r>
      <w:r>
        <w:rPr>
          <w:rFonts w:hint="eastAsia"/>
          <w:noProof/>
          <w:lang w:eastAsia="ko-KR"/>
        </w:rPr>
        <w:t>.</w:t>
      </w:r>
      <w:r w:rsidRPr="0089670E">
        <w:rPr>
          <w:noProof/>
        </w:rPr>
        <w:t>, Murthy</w:t>
      </w:r>
      <w:r>
        <w:rPr>
          <w:rFonts w:hint="eastAsia"/>
          <w:noProof/>
          <w:lang w:eastAsia="ko-KR"/>
        </w:rPr>
        <w:t>,</w:t>
      </w:r>
      <w:r w:rsidRPr="0089670E">
        <w:rPr>
          <w:noProof/>
        </w:rPr>
        <w:t xml:space="preserve"> K</w:t>
      </w:r>
      <w:r>
        <w:rPr>
          <w:rFonts w:hint="eastAsia"/>
          <w:noProof/>
          <w:lang w:eastAsia="ko-KR"/>
        </w:rPr>
        <w:t>.</w:t>
      </w:r>
      <w:r w:rsidRPr="0089670E">
        <w:rPr>
          <w:noProof/>
        </w:rPr>
        <w:t>B</w:t>
      </w:r>
      <w:r>
        <w:rPr>
          <w:rFonts w:hint="eastAsia"/>
          <w:noProof/>
          <w:lang w:eastAsia="ko-KR"/>
        </w:rPr>
        <w:t>.</w:t>
      </w:r>
      <w:r w:rsidRPr="0089670E">
        <w:rPr>
          <w:noProof/>
        </w:rPr>
        <w:t>S</w:t>
      </w:r>
      <w:r>
        <w:rPr>
          <w:rFonts w:hint="eastAsia"/>
          <w:noProof/>
          <w:lang w:eastAsia="ko-KR"/>
        </w:rPr>
        <w:t>.</w:t>
      </w:r>
      <w:r w:rsidRPr="0089670E">
        <w:rPr>
          <w:noProof/>
        </w:rPr>
        <w:t>, et al.</w:t>
      </w:r>
      <w:r>
        <w:rPr>
          <w:rFonts w:hint="eastAsia"/>
          <w:noProof/>
          <w:lang w:eastAsia="ko-KR"/>
        </w:rPr>
        <w:t>,</w:t>
      </w:r>
      <w:r w:rsidRPr="0089670E">
        <w:rPr>
          <w:noProof/>
        </w:rPr>
        <w:t xml:space="preserve"> 1992</w:t>
      </w:r>
      <w:r>
        <w:rPr>
          <w:rFonts w:hint="eastAsia"/>
          <w:noProof/>
          <w:lang w:eastAsia="ko-KR"/>
        </w:rPr>
        <w:t>.</w:t>
      </w:r>
      <w:r w:rsidRPr="0089670E">
        <w:rPr>
          <w:noProof/>
        </w:rPr>
        <w:t xml:space="preserve"> Relevance of ICRP metabolic model of Th in bio-assay monitoring. </w:t>
      </w:r>
      <w:r w:rsidRPr="00D55371">
        <w:rPr>
          <w:noProof/>
        </w:rPr>
        <w:t>J. Radioanal. Nucl. Chem.</w:t>
      </w:r>
      <w:r w:rsidRPr="0089670E">
        <w:rPr>
          <w:noProof/>
        </w:rPr>
        <w:t xml:space="preserve"> 156(1)</w:t>
      </w:r>
      <w:r>
        <w:rPr>
          <w:rFonts w:hint="eastAsia"/>
          <w:noProof/>
          <w:lang w:eastAsia="ko-KR"/>
        </w:rPr>
        <w:t>.</w:t>
      </w:r>
      <w:r w:rsidRPr="0089670E">
        <w:rPr>
          <w:noProof/>
        </w:rPr>
        <w:t xml:space="preserve"> 55–64.</w:t>
      </w:r>
    </w:p>
    <w:p w14:paraId="35F7B45D" w14:textId="77777777" w:rsidR="00232741" w:rsidRPr="0089670E" w:rsidRDefault="00232741" w:rsidP="00232741">
      <w:pPr>
        <w:pStyle w:val="aff1"/>
        <w:ind w:left="426" w:hanging="426"/>
        <w:rPr>
          <w:noProof/>
        </w:rPr>
      </w:pPr>
      <w:r w:rsidRPr="0089670E">
        <w:rPr>
          <w:noProof/>
        </w:rPr>
        <w:t>Davesne</w:t>
      </w:r>
      <w:r>
        <w:rPr>
          <w:rFonts w:hint="eastAsia"/>
          <w:noProof/>
          <w:lang w:eastAsia="ko-KR"/>
        </w:rPr>
        <w:t>,</w:t>
      </w:r>
      <w:r w:rsidRPr="0089670E">
        <w:rPr>
          <w:noProof/>
        </w:rPr>
        <w:t xml:space="preserve"> E</w:t>
      </w:r>
      <w:r>
        <w:rPr>
          <w:rFonts w:hint="eastAsia"/>
          <w:noProof/>
          <w:lang w:eastAsia="ko-KR"/>
        </w:rPr>
        <w:t>.,</w:t>
      </w:r>
      <w:r w:rsidRPr="0089670E">
        <w:rPr>
          <w:noProof/>
        </w:rPr>
        <w:t xml:space="preserve"> Blanchardon</w:t>
      </w:r>
      <w:r>
        <w:rPr>
          <w:rFonts w:hint="eastAsia"/>
          <w:noProof/>
          <w:lang w:eastAsia="ko-KR"/>
        </w:rPr>
        <w:t>,</w:t>
      </w:r>
      <w:r w:rsidRPr="0089670E">
        <w:rPr>
          <w:noProof/>
        </w:rPr>
        <w:t xml:space="preserve"> E</w:t>
      </w:r>
      <w:r>
        <w:rPr>
          <w:rFonts w:hint="eastAsia"/>
          <w:noProof/>
          <w:lang w:eastAsia="ko-KR"/>
        </w:rPr>
        <w:t>.,</w:t>
      </w:r>
      <w:r w:rsidRPr="0089670E">
        <w:rPr>
          <w:noProof/>
        </w:rPr>
        <w:t xml:space="preserve"> 2014</w:t>
      </w:r>
      <w:r>
        <w:rPr>
          <w:rFonts w:hint="eastAsia"/>
          <w:noProof/>
          <w:lang w:eastAsia="ko-KR"/>
        </w:rPr>
        <w:t>.</w:t>
      </w:r>
      <w:r w:rsidRPr="0089670E">
        <w:rPr>
          <w:noProof/>
        </w:rPr>
        <w:t xml:space="preserve"> Physico-chemical characteristics of uranium compounds: A review. </w:t>
      </w:r>
      <w:r w:rsidRPr="00D55371">
        <w:rPr>
          <w:noProof/>
        </w:rPr>
        <w:t>Int. J. Radiat. Biol.</w:t>
      </w:r>
      <w:r w:rsidRPr="0089670E">
        <w:rPr>
          <w:noProof/>
        </w:rPr>
        <w:t xml:space="preserve"> 90(11)</w:t>
      </w:r>
      <w:r>
        <w:rPr>
          <w:rFonts w:hint="eastAsia"/>
          <w:noProof/>
          <w:lang w:eastAsia="ko-KR"/>
        </w:rPr>
        <w:t>.</w:t>
      </w:r>
      <w:r w:rsidRPr="0089670E">
        <w:rPr>
          <w:noProof/>
        </w:rPr>
        <w:t xml:space="preserve"> 975–988.</w:t>
      </w:r>
    </w:p>
    <w:p w14:paraId="7ACF1F4F" w14:textId="77777777" w:rsidR="00232741" w:rsidRPr="0089670E" w:rsidRDefault="00232741" w:rsidP="00232741">
      <w:pPr>
        <w:pStyle w:val="aff1"/>
        <w:ind w:left="426" w:hanging="426"/>
        <w:rPr>
          <w:noProof/>
        </w:rPr>
      </w:pPr>
      <w:r w:rsidRPr="0089670E">
        <w:rPr>
          <w:noProof/>
        </w:rPr>
        <w:t>David</w:t>
      </w:r>
      <w:r>
        <w:rPr>
          <w:rFonts w:hint="eastAsia"/>
          <w:noProof/>
          <w:lang w:eastAsia="ko-KR"/>
        </w:rPr>
        <w:t>,</w:t>
      </w:r>
      <w:r w:rsidRPr="0089670E">
        <w:rPr>
          <w:noProof/>
        </w:rPr>
        <w:t xml:space="preserve"> A</w:t>
      </w:r>
      <w:r>
        <w:rPr>
          <w:rFonts w:hint="eastAsia"/>
          <w:noProof/>
          <w:lang w:eastAsia="ko-KR"/>
        </w:rPr>
        <w:t>.</w:t>
      </w:r>
      <w:r w:rsidRPr="0089670E">
        <w:rPr>
          <w:noProof/>
        </w:rPr>
        <w:t>J</w:t>
      </w:r>
      <w:r>
        <w:rPr>
          <w:rFonts w:hint="eastAsia"/>
          <w:noProof/>
          <w:lang w:eastAsia="ko-KR"/>
        </w:rPr>
        <w:t>.,</w:t>
      </w:r>
      <w:r w:rsidRPr="0089670E">
        <w:rPr>
          <w:noProof/>
        </w:rPr>
        <w:t xml:space="preserve"> Harrison</w:t>
      </w:r>
      <w:r>
        <w:rPr>
          <w:rFonts w:hint="eastAsia"/>
          <w:noProof/>
          <w:lang w:eastAsia="ko-KR"/>
        </w:rPr>
        <w:t>,</w:t>
      </w:r>
      <w:r w:rsidRPr="0089670E">
        <w:rPr>
          <w:noProof/>
        </w:rPr>
        <w:t xml:space="preserve"> J</w:t>
      </w:r>
      <w:r>
        <w:rPr>
          <w:rFonts w:hint="eastAsia"/>
          <w:noProof/>
          <w:lang w:eastAsia="ko-KR"/>
        </w:rPr>
        <w:t>.</w:t>
      </w:r>
      <w:r w:rsidRPr="0089670E">
        <w:rPr>
          <w:noProof/>
        </w:rPr>
        <w:t>D</w:t>
      </w:r>
      <w:r>
        <w:rPr>
          <w:rFonts w:hint="eastAsia"/>
          <w:noProof/>
          <w:lang w:eastAsia="ko-KR"/>
        </w:rPr>
        <w:t>.,</w:t>
      </w:r>
      <w:r w:rsidRPr="0089670E">
        <w:rPr>
          <w:noProof/>
        </w:rPr>
        <w:t xml:space="preserve"> 1984</w:t>
      </w:r>
      <w:r>
        <w:rPr>
          <w:rFonts w:hint="eastAsia"/>
          <w:noProof/>
          <w:lang w:eastAsia="ko-KR"/>
        </w:rPr>
        <w:t>.</w:t>
      </w:r>
      <w:r w:rsidRPr="0089670E">
        <w:rPr>
          <w:noProof/>
        </w:rPr>
        <w:t xml:space="preserve"> The absorption of ingested neptunium, plutonium and americium in newborn hamsters. </w:t>
      </w:r>
      <w:r w:rsidRPr="00D55371">
        <w:rPr>
          <w:noProof/>
        </w:rPr>
        <w:t>Int. J. Radiat. Biol. Relat. Stud. Phys. Chem. Med.</w:t>
      </w:r>
      <w:r w:rsidRPr="0089670E">
        <w:rPr>
          <w:noProof/>
        </w:rPr>
        <w:t xml:space="preserve"> 46(3)</w:t>
      </w:r>
      <w:r>
        <w:rPr>
          <w:rFonts w:hint="eastAsia"/>
          <w:noProof/>
          <w:lang w:eastAsia="ko-KR"/>
        </w:rPr>
        <w:t>.</w:t>
      </w:r>
      <w:r w:rsidRPr="0089670E">
        <w:rPr>
          <w:noProof/>
        </w:rPr>
        <w:t xml:space="preserve"> 279–286.</w:t>
      </w:r>
    </w:p>
    <w:p w14:paraId="76F11D7F" w14:textId="77777777" w:rsidR="00232741" w:rsidRPr="00BB7751" w:rsidRDefault="00232741" w:rsidP="00232741">
      <w:pPr>
        <w:pStyle w:val="aff1"/>
        <w:ind w:left="426" w:hanging="426"/>
        <w:rPr>
          <w:noProof/>
          <w:lang w:val="fr-FR"/>
        </w:rPr>
      </w:pPr>
      <w:r w:rsidRPr="0061223E">
        <w:rPr>
          <w:noProof/>
          <w:lang w:val="en-US"/>
        </w:rPr>
        <w:t>Doerfel</w:t>
      </w:r>
      <w:r w:rsidRPr="0061223E">
        <w:rPr>
          <w:rFonts w:hint="eastAsia"/>
          <w:noProof/>
          <w:lang w:val="en-US" w:eastAsia="ko-KR"/>
        </w:rPr>
        <w:t>,</w:t>
      </w:r>
      <w:r w:rsidRPr="0061223E">
        <w:rPr>
          <w:noProof/>
          <w:lang w:val="en-US"/>
        </w:rPr>
        <w:t xml:space="preserve"> H</w:t>
      </w:r>
      <w:r w:rsidRPr="0061223E">
        <w:rPr>
          <w:rFonts w:hint="eastAsia"/>
          <w:noProof/>
          <w:lang w:val="en-US" w:eastAsia="ko-KR"/>
        </w:rPr>
        <w:t>.,</w:t>
      </w:r>
      <w:r w:rsidRPr="0061223E">
        <w:rPr>
          <w:noProof/>
          <w:lang w:val="en-US"/>
        </w:rPr>
        <w:t xml:space="preserve"> Oliveira</w:t>
      </w:r>
      <w:r w:rsidRPr="0061223E">
        <w:rPr>
          <w:rFonts w:hint="eastAsia"/>
          <w:noProof/>
          <w:lang w:val="en-US" w:eastAsia="ko-KR"/>
        </w:rPr>
        <w:t>,</w:t>
      </w:r>
      <w:r w:rsidRPr="0061223E">
        <w:rPr>
          <w:noProof/>
          <w:lang w:val="en-US"/>
        </w:rPr>
        <w:t xml:space="preserve"> C</w:t>
      </w:r>
      <w:r w:rsidRPr="0061223E">
        <w:rPr>
          <w:rFonts w:hint="eastAsia"/>
          <w:noProof/>
          <w:lang w:val="en-US" w:eastAsia="ko-KR"/>
        </w:rPr>
        <w:t>.</w:t>
      </w:r>
      <w:r w:rsidRPr="0061223E">
        <w:rPr>
          <w:noProof/>
          <w:lang w:val="en-US"/>
        </w:rPr>
        <w:t>A</w:t>
      </w:r>
      <w:r w:rsidRPr="0061223E">
        <w:rPr>
          <w:rFonts w:hint="eastAsia"/>
          <w:noProof/>
          <w:lang w:val="en-US" w:eastAsia="ko-KR"/>
        </w:rPr>
        <w:t>.</w:t>
      </w:r>
      <w:r w:rsidRPr="0061223E">
        <w:rPr>
          <w:noProof/>
          <w:lang w:val="en-US"/>
        </w:rPr>
        <w:t>N</w:t>
      </w:r>
      <w:r w:rsidRPr="0061223E">
        <w:rPr>
          <w:rFonts w:hint="eastAsia"/>
          <w:noProof/>
          <w:lang w:val="en-US" w:eastAsia="ko-KR"/>
        </w:rPr>
        <w:t>.,</w:t>
      </w:r>
      <w:r w:rsidRPr="0061223E">
        <w:rPr>
          <w:noProof/>
          <w:lang w:val="en-US"/>
        </w:rPr>
        <w:t xml:space="preserve"> 1989</w:t>
      </w:r>
      <w:r w:rsidRPr="0061223E">
        <w:rPr>
          <w:rFonts w:hint="eastAsia"/>
          <w:noProof/>
          <w:lang w:val="en-US" w:eastAsia="ko-KR"/>
        </w:rPr>
        <w:t>.</w:t>
      </w:r>
      <w:r w:rsidRPr="0061223E">
        <w:rPr>
          <w:noProof/>
          <w:lang w:val="en-US"/>
        </w:rPr>
        <w:t xml:space="preserve"> </w:t>
      </w:r>
      <w:r w:rsidRPr="0089670E">
        <w:rPr>
          <w:noProof/>
        </w:rPr>
        <w:t xml:space="preserve">In vivo measurement of 241Am organ burdens: techniques and results of measurements after an incident in an industrial research institute. </w:t>
      </w:r>
      <w:r w:rsidRPr="00A3213E">
        <w:rPr>
          <w:noProof/>
          <w:lang w:val="fr-FR"/>
        </w:rPr>
        <w:t xml:space="preserve">Radiat. Prot. Dosimetry 26(1–4). </w:t>
      </w:r>
      <w:r w:rsidRPr="00BB7751">
        <w:rPr>
          <w:noProof/>
          <w:lang w:val="fr-FR"/>
        </w:rPr>
        <w:t>189–193.</w:t>
      </w:r>
    </w:p>
    <w:p w14:paraId="1B057E76" w14:textId="77777777" w:rsidR="00232741" w:rsidRPr="0089670E" w:rsidRDefault="00232741" w:rsidP="00232741">
      <w:pPr>
        <w:pStyle w:val="aff1"/>
        <w:ind w:left="426" w:hanging="426"/>
        <w:rPr>
          <w:noProof/>
        </w:rPr>
      </w:pPr>
      <w:r w:rsidRPr="00BB7751">
        <w:rPr>
          <w:noProof/>
          <w:lang w:val="fr-FR"/>
        </w:rPr>
        <w:t>Donoghue</w:t>
      </w:r>
      <w:r w:rsidRPr="00BB7751">
        <w:rPr>
          <w:rFonts w:hint="eastAsia"/>
          <w:noProof/>
          <w:lang w:val="fr-FR" w:eastAsia="ko-KR"/>
        </w:rPr>
        <w:t>,</w:t>
      </w:r>
      <w:r w:rsidRPr="00BB7751">
        <w:rPr>
          <w:noProof/>
          <w:lang w:val="fr-FR"/>
        </w:rPr>
        <w:t xml:space="preserve"> J</w:t>
      </w:r>
      <w:r w:rsidRPr="00BB7751">
        <w:rPr>
          <w:rFonts w:hint="eastAsia"/>
          <w:noProof/>
          <w:lang w:val="fr-FR" w:eastAsia="ko-KR"/>
        </w:rPr>
        <w:t>.</w:t>
      </w:r>
      <w:r w:rsidRPr="00BB7751">
        <w:rPr>
          <w:noProof/>
          <w:lang w:val="fr-FR"/>
        </w:rPr>
        <w:t>K</w:t>
      </w:r>
      <w:r w:rsidRPr="00BB7751">
        <w:rPr>
          <w:rFonts w:hint="eastAsia"/>
          <w:noProof/>
          <w:lang w:val="fr-FR" w:eastAsia="ko-KR"/>
        </w:rPr>
        <w:t>.</w:t>
      </w:r>
      <w:r w:rsidRPr="00BB7751">
        <w:rPr>
          <w:noProof/>
          <w:lang w:val="fr-FR"/>
        </w:rPr>
        <w:t>, Dyson</w:t>
      </w:r>
      <w:r w:rsidRPr="00BB7751">
        <w:rPr>
          <w:rFonts w:hint="eastAsia"/>
          <w:noProof/>
          <w:lang w:val="fr-FR" w:eastAsia="ko-KR"/>
        </w:rPr>
        <w:t>,</w:t>
      </w:r>
      <w:r w:rsidRPr="00BB7751">
        <w:rPr>
          <w:noProof/>
          <w:lang w:val="fr-FR"/>
        </w:rPr>
        <w:t xml:space="preserve"> E</w:t>
      </w:r>
      <w:r w:rsidRPr="00BB7751">
        <w:rPr>
          <w:rFonts w:hint="eastAsia"/>
          <w:noProof/>
          <w:lang w:val="fr-FR" w:eastAsia="ko-KR"/>
        </w:rPr>
        <w:t>.</w:t>
      </w:r>
      <w:r w:rsidRPr="00BB7751">
        <w:rPr>
          <w:noProof/>
          <w:lang w:val="fr-FR"/>
        </w:rPr>
        <w:t>D</w:t>
      </w:r>
      <w:r w:rsidRPr="00BB7751">
        <w:rPr>
          <w:rFonts w:hint="eastAsia"/>
          <w:noProof/>
          <w:lang w:val="fr-FR" w:eastAsia="ko-KR"/>
        </w:rPr>
        <w:t>.</w:t>
      </w:r>
      <w:r w:rsidRPr="00BB7751">
        <w:rPr>
          <w:noProof/>
          <w:lang w:val="fr-FR"/>
        </w:rPr>
        <w:t>, Hislop</w:t>
      </w:r>
      <w:r w:rsidRPr="00BB7751">
        <w:rPr>
          <w:rFonts w:hint="eastAsia"/>
          <w:noProof/>
          <w:lang w:val="fr-FR" w:eastAsia="ko-KR"/>
        </w:rPr>
        <w:t>,</w:t>
      </w:r>
      <w:r w:rsidRPr="00BB7751">
        <w:rPr>
          <w:noProof/>
          <w:lang w:val="fr-FR"/>
        </w:rPr>
        <w:t xml:space="preserve"> J</w:t>
      </w:r>
      <w:r w:rsidRPr="00BB7751">
        <w:rPr>
          <w:rFonts w:hint="eastAsia"/>
          <w:noProof/>
          <w:lang w:val="fr-FR" w:eastAsia="ko-KR"/>
        </w:rPr>
        <w:t>.</w:t>
      </w:r>
      <w:r w:rsidRPr="00BB7751">
        <w:rPr>
          <w:noProof/>
          <w:lang w:val="fr-FR"/>
        </w:rPr>
        <w:t>S</w:t>
      </w:r>
      <w:r w:rsidRPr="00BB7751">
        <w:rPr>
          <w:rFonts w:hint="eastAsia"/>
          <w:noProof/>
          <w:lang w:val="fr-FR" w:eastAsia="ko-KR"/>
        </w:rPr>
        <w:t>.</w:t>
      </w:r>
      <w:r w:rsidRPr="00BB7751">
        <w:rPr>
          <w:noProof/>
          <w:lang w:val="fr-FR"/>
        </w:rPr>
        <w:t>, et al.</w:t>
      </w:r>
      <w:r w:rsidRPr="00BB7751">
        <w:rPr>
          <w:rFonts w:hint="eastAsia"/>
          <w:noProof/>
          <w:lang w:val="fr-FR" w:eastAsia="ko-KR"/>
        </w:rPr>
        <w:t>,</w:t>
      </w:r>
      <w:r w:rsidRPr="00BB7751">
        <w:rPr>
          <w:noProof/>
          <w:lang w:val="fr-FR"/>
        </w:rPr>
        <w:t xml:space="preserve"> 1972</w:t>
      </w:r>
      <w:r w:rsidRPr="00BB7751">
        <w:rPr>
          <w:rFonts w:hint="eastAsia"/>
          <w:noProof/>
          <w:lang w:val="fr-FR" w:eastAsia="ko-KR"/>
        </w:rPr>
        <w:t>.</w:t>
      </w:r>
      <w:r w:rsidRPr="00BB7751">
        <w:rPr>
          <w:noProof/>
          <w:lang w:val="fr-FR"/>
        </w:rPr>
        <w:t xml:space="preserve"> </w:t>
      </w:r>
      <w:r w:rsidRPr="0089670E">
        <w:rPr>
          <w:noProof/>
        </w:rPr>
        <w:t xml:space="preserve">Human exposure to natural uranium. A case history and analytical results from some postmortem tissues. </w:t>
      </w:r>
      <w:r w:rsidRPr="00D55371">
        <w:rPr>
          <w:noProof/>
        </w:rPr>
        <w:t>Br. J. Ind. Med.</w:t>
      </w:r>
      <w:r w:rsidRPr="0089670E">
        <w:rPr>
          <w:noProof/>
        </w:rPr>
        <w:t xml:space="preserve"> 29(1)</w:t>
      </w:r>
      <w:r>
        <w:rPr>
          <w:rFonts w:hint="eastAsia"/>
          <w:noProof/>
          <w:lang w:eastAsia="ko-KR"/>
        </w:rPr>
        <w:t>.</w:t>
      </w:r>
      <w:r w:rsidRPr="0089670E">
        <w:rPr>
          <w:noProof/>
        </w:rPr>
        <w:t xml:space="preserve"> 81–89.</w:t>
      </w:r>
    </w:p>
    <w:p w14:paraId="3CD128F1" w14:textId="77777777" w:rsidR="00232741" w:rsidRPr="0089670E" w:rsidRDefault="00232741" w:rsidP="00232741">
      <w:pPr>
        <w:pStyle w:val="aff1"/>
        <w:ind w:left="426" w:hanging="426"/>
        <w:rPr>
          <w:noProof/>
        </w:rPr>
      </w:pPr>
      <w:r w:rsidRPr="0089670E">
        <w:rPr>
          <w:noProof/>
        </w:rPr>
        <w:t>Durbin</w:t>
      </w:r>
      <w:r>
        <w:rPr>
          <w:rFonts w:hint="eastAsia"/>
          <w:noProof/>
          <w:lang w:eastAsia="ko-KR"/>
        </w:rPr>
        <w:t>,</w:t>
      </w:r>
      <w:r w:rsidRPr="0089670E">
        <w:rPr>
          <w:noProof/>
        </w:rPr>
        <w:t xml:space="preserve"> P</w:t>
      </w:r>
      <w:r>
        <w:rPr>
          <w:rFonts w:hint="eastAsia"/>
          <w:noProof/>
          <w:lang w:eastAsia="ko-KR"/>
        </w:rPr>
        <w:t>.</w:t>
      </w:r>
      <w:r w:rsidRPr="0089670E">
        <w:rPr>
          <w:noProof/>
        </w:rPr>
        <w:t>W</w:t>
      </w:r>
      <w:r>
        <w:rPr>
          <w:rFonts w:hint="eastAsia"/>
          <w:noProof/>
          <w:lang w:eastAsia="ko-KR"/>
        </w:rPr>
        <w:t>.,</w:t>
      </w:r>
      <w:r w:rsidRPr="0089670E">
        <w:rPr>
          <w:noProof/>
        </w:rPr>
        <w:t xml:space="preserve"> 1959</w:t>
      </w:r>
      <w:r>
        <w:rPr>
          <w:rFonts w:hint="eastAsia"/>
          <w:noProof/>
          <w:lang w:eastAsia="ko-KR"/>
        </w:rPr>
        <w:t>.</w:t>
      </w:r>
      <w:r w:rsidRPr="0089670E">
        <w:rPr>
          <w:noProof/>
        </w:rPr>
        <w:t xml:space="preserve"> Metabolic characteristics within a chemical family. </w:t>
      </w:r>
      <w:r w:rsidRPr="00ED6790">
        <w:rPr>
          <w:noProof/>
        </w:rPr>
        <w:t>Health Phys</w:t>
      </w:r>
      <w:r>
        <w:rPr>
          <w:rFonts w:hint="eastAsia"/>
          <w:noProof/>
          <w:lang w:eastAsia="ko-KR"/>
        </w:rPr>
        <w:t xml:space="preserve">. </w:t>
      </w:r>
      <w:r w:rsidRPr="0089670E">
        <w:rPr>
          <w:noProof/>
        </w:rPr>
        <w:t>2(3)</w:t>
      </w:r>
      <w:r>
        <w:rPr>
          <w:rFonts w:hint="eastAsia"/>
          <w:noProof/>
          <w:lang w:eastAsia="ko-KR"/>
        </w:rPr>
        <w:t>.</w:t>
      </w:r>
      <w:r w:rsidRPr="0089670E">
        <w:rPr>
          <w:noProof/>
        </w:rPr>
        <w:t xml:space="preserve"> 225–238.</w:t>
      </w:r>
    </w:p>
    <w:p w14:paraId="3F1C889B" w14:textId="77777777" w:rsidR="00232741" w:rsidRPr="0089670E" w:rsidRDefault="00232741" w:rsidP="00232741">
      <w:pPr>
        <w:pStyle w:val="aff1"/>
        <w:ind w:left="426" w:hanging="426"/>
        <w:rPr>
          <w:noProof/>
        </w:rPr>
      </w:pPr>
      <w:r w:rsidRPr="0089670E">
        <w:rPr>
          <w:noProof/>
        </w:rPr>
        <w:t>Durbin</w:t>
      </w:r>
      <w:r>
        <w:rPr>
          <w:rFonts w:hint="eastAsia"/>
          <w:noProof/>
          <w:lang w:eastAsia="ko-KR"/>
        </w:rPr>
        <w:t>,</w:t>
      </w:r>
      <w:r w:rsidRPr="0089670E">
        <w:rPr>
          <w:noProof/>
        </w:rPr>
        <w:t xml:space="preserve"> P</w:t>
      </w:r>
      <w:r>
        <w:rPr>
          <w:rFonts w:hint="eastAsia"/>
          <w:noProof/>
          <w:lang w:eastAsia="ko-KR"/>
        </w:rPr>
        <w:t>.</w:t>
      </w:r>
      <w:r w:rsidRPr="0089670E">
        <w:rPr>
          <w:noProof/>
        </w:rPr>
        <w:t>W</w:t>
      </w:r>
      <w:r>
        <w:rPr>
          <w:rFonts w:hint="eastAsia"/>
          <w:noProof/>
          <w:lang w:eastAsia="ko-KR"/>
        </w:rPr>
        <w:t>.,</w:t>
      </w:r>
      <w:r w:rsidRPr="0089670E">
        <w:rPr>
          <w:noProof/>
        </w:rPr>
        <w:t xml:space="preserve"> 1962</w:t>
      </w:r>
      <w:r>
        <w:rPr>
          <w:rFonts w:hint="eastAsia"/>
          <w:noProof/>
          <w:lang w:eastAsia="ko-KR"/>
        </w:rPr>
        <w:t>.</w:t>
      </w:r>
      <w:r w:rsidRPr="0089670E">
        <w:rPr>
          <w:noProof/>
        </w:rPr>
        <w:t xml:space="preserve"> Distribution of the transuranic elements in mammals. </w:t>
      </w:r>
      <w:r w:rsidRPr="00ED6790">
        <w:rPr>
          <w:noProof/>
        </w:rPr>
        <w:t>Health Phys</w:t>
      </w:r>
      <w:r>
        <w:rPr>
          <w:rFonts w:hint="eastAsia"/>
          <w:noProof/>
          <w:lang w:eastAsia="ko-KR"/>
        </w:rPr>
        <w:t>.</w:t>
      </w:r>
      <w:r w:rsidRPr="0089670E">
        <w:rPr>
          <w:noProof/>
        </w:rPr>
        <w:t xml:space="preserve"> 8(6)</w:t>
      </w:r>
      <w:r>
        <w:rPr>
          <w:rFonts w:hint="eastAsia"/>
          <w:noProof/>
          <w:lang w:eastAsia="ko-KR"/>
        </w:rPr>
        <w:t>.</w:t>
      </w:r>
      <w:r w:rsidRPr="0089670E">
        <w:rPr>
          <w:noProof/>
        </w:rPr>
        <w:t xml:space="preserve"> 665–671.</w:t>
      </w:r>
    </w:p>
    <w:p w14:paraId="44B18118" w14:textId="77777777" w:rsidR="00232741" w:rsidRPr="0089670E" w:rsidRDefault="00232741" w:rsidP="00232741">
      <w:pPr>
        <w:pStyle w:val="aff1"/>
        <w:ind w:left="426" w:hanging="426"/>
        <w:rPr>
          <w:noProof/>
        </w:rPr>
      </w:pPr>
      <w:r w:rsidRPr="0089670E">
        <w:rPr>
          <w:noProof/>
        </w:rPr>
        <w:t>Durbin</w:t>
      </w:r>
      <w:r>
        <w:rPr>
          <w:rFonts w:hint="eastAsia"/>
          <w:noProof/>
          <w:lang w:eastAsia="ko-KR"/>
        </w:rPr>
        <w:t>,</w:t>
      </w:r>
      <w:r w:rsidRPr="0089670E">
        <w:rPr>
          <w:noProof/>
        </w:rPr>
        <w:t xml:space="preserve"> P</w:t>
      </w:r>
      <w:r>
        <w:rPr>
          <w:rFonts w:hint="eastAsia"/>
          <w:noProof/>
          <w:lang w:eastAsia="ko-KR"/>
        </w:rPr>
        <w:t>.</w:t>
      </w:r>
      <w:r w:rsidRPr="0089670E">
        <w:rPr>
          <w:noProof/>
        </w:rPr>
        <w:t>W</w:t>
      </w:r>
      <w:r>
        <w:rPr>
          <w:rFonts w:hint="eastAsia"/>
          <w:noProof/>
          <w:lang w:eastAsia="ko-KR"/>
        </w:rPr>
        <w:t>.,</w:t>
      </w:r>
      <w:r w:rsidRPr="0089670E">
        <w:rPr>
          <w:noProof/>
        </w:rPr>
        <w:t xml:space="preserve"> 1972</w:t>
      </w:r>
      <w:r>
        <w:rPr>
          <w:rFonts w:hint="eastAsia"/>
          <w:noProof/>
          <w:lang w:eastAsia="ko-KR"/>
        </w:rPr>
        <w:t>.</w:t>
      </w:r>
      <w:r w:rsidRPr="0089670E">
        <w:rPr>
          <w:noProof/>
        </w:rPr>
        <w:t xml:space="preserve"> Plutonium in humans: A new look at the old data. In: Stover BJ and Jee WSS (eds) </w:t>
      </w:r>
      <w:r w:rsidRPr="00ED6790">
        <w:rPr>
          <w:noProof/>
        </w:rPr>
        <w:t>Radiobiology of Pu</w:t>
      </w:r>
      <w:r w:rsidRPr="0089670E">
        <w:rPr>
          <w:noProof/>
        </w:rPr>
        <w:t>. Salt Lake City, UT: J. W. Press, pp. 469–530.</w:t>
      </w:r>
    </w:p>
    <w:p w14:paraId="68B246F0" w14:textId="77777777" w:rsidR="00232741" w:rsidRPr="0089670E" w:rsidRDefault="00232741" w:rsidP="00232741">
      <w:pPr>
        <w:pStyle w:val="aff1"/>
        <w:ind w:left="426" w:hanging="426"/>
        <w:rPr>
          <w:noProof/>
        </w:rPr>
      </w:pPr>
      <w:r w:rsidRPr="0089670E">
        <w:rPr>
          <w:noProof/>
        </w:rPr>
        <w:t>Durbin</w:t>
      </w:r>
      <w:r>
        <w:rPr>
          <w:rFonts w:hint="eastAsia"/>
          <w:noProof/>
          <w:lang w:eastAsia="ko-KR"/>
        </w:rPr>
        <w:t>,</w:t>
      </w:r>
      <w:r w:rsidRPr="0089670E">
        <w:rPr>
          <w:noProof/>
        </w:rPr>
        <w:t xml:space="preserve"> P</w:t>
      </w:r>
      <w:r>
        <w:rPr>
          <w:rFonts w:hint="eastAsia"/>
          <w:noProof/>
          <w:lang w:eastAsia="ko-KR"/>
        </w:rPr>
        <w:t>.</w:t>
      </w:r>
      <w:r w:rsidRPr="0089670E">
        <w:rPr>
          <w:noProof/>
        </w:rPr>
        <w:t>W</w:t>
      </w:r>
      <w:r>
        <w:rPr>
          <w:rFonts w:hint="eastAsia"/>
          <w:noProof/>
          <w:lang w:eastAsia="ko-KR"/>
        </w:rPr>
        <w:t>.,</w:t>
      </w:r>
      <w:r w:rsidRPr="0089670E">
        <w:rPr>
          <w:noProof/>
        </w:rPr>
        <w:t xml:space="preserve"> 1973</w:t>
      </w:r>
      <w:r>
        <w:rPr>
          <w:rFonts w:hint="eastAsia"/>
          <w:noProof/>
          <w:lang w:eastAsia="ko-KR"/>
        </w:rPr>
        <w:t>.</w:t>
      </w:r>
      <w:r w:rsidRPr="0089670E">
        <w:rPr>
          <w:noProof/>
        </w:rPr>
        <w:t xml:space="preserve"> Metabolism and biological effects of the transplutonium elements. In: Hodge HC, Stannard JNJ, and Hursh JB (eds) </w:t>
      </w:r>
      <w:r w:rsidRPr="00ED6790">
        <w:rPr>
          <w:noProof/>
        </w:rPr>
        <w:t>Uranium· Plutonium Transplutonic Elements</w:t>
      </w:r>
      <w:r w:rsidRPr="0089670E">
        <w:rPr>
          <w:noProof/>
        </w:rPr>
        <w:t>. Berlin: Springer, pp. 739–896.</w:t>
      </w:r>
    </w:p>
    <w:p w14:paraId="1A58617F" w14:textId="77777777" w:rsidR="00232741" w:rsidRPr="0089670E" w:rsidRDefault="00232741" w:rsidP="00232741">
      <w:pPr>
        <w:pStyle w:val="aff1"/>
        <w:ind w:left="426" w:hanging="426"/>
        <w:rPr>
          <w:noProof/>
        </w:rPr>
      </w:pPr>
      <w:r w:rsidRPr="0089670E">
        <w:rPr>
          <w:noProof/>
        </w:rPr>
        <w:t>Durbin</w:t>
      </w:r>
      <w:r>
        <w:rPr>
          <w:rFonts w:hint="eastAsia"/>
          <w:noProof/>
          <w:lang w:eastAsia="ko-KR"/>
        </w:rPr>
        <w:t>,</w:t>
      </w:r>
      <w:r w:rsidRPr="0089670E">
        <w:rPr>
          <w:noProof/>
        </w:rPr>
        <w:t xml:space="preserve"> P</w:t>
      </w:r>
      <w:r>
        <w:rPr>
          <w:rFonts w:hint="eastAsia"/>
          <w:noProof/>
          <w:lang w:eastAsia="ko-KR"/>
        </w:rPr>
        <w:t>.</w:t>
      </w:r>
      <w:r w:rsidRPr="0089670E">
        <w:rPr>
          <w:noProof/>
        </w:rPr>
        <w:t>W</w:t>
      </w:r>
      <w:r>
        <w:rPr>
          <w:rFonts w:hint="eastAsia"/>
          <w:noProof/>
          <w:lang w:eastAsia="ko-KR"/>
        </w:rPr>
        <w:t>.,</w:t>
      </w:r>
      <w:r w:rsidRPr="0089670E">
        <w:rPr>
          <w:noProof/>
        </w:rPr>
        <w:t xml:space="preserve"> 1975</w:t>
      </w:r>
      <w:r>
        <w:rPr>
          <w:rFonts w:hint="eastAsia"/>
          <w:noProof/>
          <w:lang w:eastAsia="ko-KR"/>
        </w:rPr>
        <w:t>.</w:t>
      </w:r>
      <w:r w:rsidRPr="0089670E">
        <w:rPr>
          <w:noProof/>
        </w:rPr>
        <w:t xml:space="preserve"> Plutonium--health implications for man. Plutonium in mammals: influence of plutonium chemistry, route of administration, and physiological status of the animal on initial distribution and long-term metabolism. </w:t>
      </w:r>
      <w:r w:rsidRPr="00ED6790">
        <w:rPr>
          <w:noProof/>
        </w:rPr>
        <w:t>Health Phys</w:t>
      </w:r>
      <w:r>
        <w:rPr>
          <w:rFonts w:hint="eastAsia"/>
          <w:noProof/>
          <w:lang w:eastAsia="ko-KR"/>
        </w:rPr>
        <w:t>.</w:t>
      </w:r>
      <w:r w:rsidRPr="0089670E">
        <w:rPr>
          <w:noProof/>
        </w:rPr>
        <w:t xml:space="preserve"> 29(4)</w:t>
      </w:r>
      <w:r>
        <w:rPr>
          <w:rFonts w:hint="eastAsia"/>
          <w:noProof/>
          <w:lang w:eastAsia="ko-KR"/>
        </w:rPr>
        <w:t>.</w:t>
      </w:r>
      <w:r w:rsidRPr="0089670E">
        <w:rPr>
          <w:noProof/>
        </w:rPr>
        <w:t xml:space="preserve"> 495–510.</w:t>
      </w:r>
    </w:p>
    <w:p w14:paraId="4BA105B9" w14:textId="77777777" w:rsidR="00232741" w:rsidRPr="0089670E" w:rsidRDefault="00232741" w:rsidP="00232741">
      <w:pPr>
        <w:pStyle w:val="aff1"/>
        <w:ind w:left="426" w:hanging="426"/>
        <w:rPr>
          <w:noProof/>
        </w:rPr>
      </w:pPr>
      <w:r w:rsidRPr="0089670E">
        <w:rPr>
          <w:noProof/>
        </w:rPr>
        <w:t>Durbin</w:t>
      </w:r>
      <w:r>
        <w:rPr>
          <w:rFonts w:hint="eastAsia"/>
          <w:noProof/>
          <w:lang w:eastAsia="ko-KR"/>
        </w:rPr>
        <w:t>,</w:t>
      </w:r>
      <w:r w:rsidRPr="0089670E">
        <w:rPr>
          <w:noProof/>
        </w:rPr>
        <w:t xml:space="preserve"> P</w:t>
      </w:r>
      <w:r>
        <w:rPr>
          <w:rFonts w:hint="eastAsia"/>
          <w:noProof/>
          <w:lang w:eastAsia="ko-KR"/>
        </w:rPr>
        <w:t>.</w:t>
      </w:r>
      <w:r w:rsidRPr="0089670E">
        <w:rPr>
          <w:noProof/>
        </w:rPr>
        <w:t>W</w:t>
      </w:r>
      <w:r>
        <w:rPr>
          <w:rFonts w:hint="eastAsia"/>
          <w:noProof/>
          <w:lang w:eastAsia="ko-KR"/>
        </w:rPr>
        <w:t>.,</w:t>
      </w:r>
      <w:r w:rsidRPr="0089670E">
        <w:rPr>
          <w:noProof/>
        </w:rPr>
        <w:t xml:space="preserve"> 1984</w:t>
      </w:r>
      <w:r>
        <w:rPr>
          <w:rFonts w:hint="eastAsia"/>
          <w:noProof/>
          <w:lang w:eastAsia="ko-KR"/>
        </w:rPr>
        <w:t>.</w:t>
      </w:r>
      <w:r w:rsidRPr="0089670E">
        <w:rPr>
          <w:noProof/>
        </w:rPr>
        <w:t xml:space="preserve"> Metabolic models for uranium. In: </w:t>
      </w:r>
      <w:r w:rsidRPr="00ED6790">
        <w:rPr>
          <w:noProof/>
        </w:rPr>
        <w:t>Proceedings of a colloquium: Biokinetics and analysis of uranium in humans. 8-9 Aug. 1984</w:t>
      </w:r>
      <w:r w:rsidRPr="0089670E">
        <w:rPr>
          <w:noProof/>
        </w:rPr>
        <w:t>, Richland, USA, 1984, pp. F1–F65. United States Uranium Registry/Hanford Environmental Health Foundation.</w:t>
      </w:r>
    </w:p>
    <w:p w14:paraId="7B657A12" w14:textId="77777777" w:rsidR="00232741" w:rsidRPr="0089670E" w:rsidRDefault="00232741" w:rsidP="00232741">
      <w:pPr>
        <w:pStyle w:val="aff1"/>
        <w:ind w:left="426" w:hanging="426"/>
        <w:rPr>
          <w:noProof/>
        </w:rPr>
      </w:pPr>
      <w:r w:rsidRPr="0089670E">
        <w:rPr>
          <w:noProof/>
        </w:rPr>
        <w:t>Durbin</w:t>
      </w:r>
      <w:r>
        <w:rPr>
          <w:rFonts w:hint="eastAsia"/>
          <w:noProof/>
          <w:lang w:eastAsia="ko-KR"/>
        </w:rPr>
        <w:t>,</w:t>
      </w:r>
      <w:r w:rsidRPr="0089670E">
        <w:rPr>
          <w:noProof/>
        </w:rPr>
        <w:t xml:space="preserve"> P</w:t>
      </w:r>
      <w:r>
        <w:rPr>
          <w:rFonts w:hint="eastAsia"/>
          <w:noProof/>
          <w:lang w:eastAsia="ko-KR"/>
        </w:rPr>
        <w:t>.</w:t>
      </w:r>
      <w:r w:rsidRPr="0089670E">
        <w:rPr>
          <w:noProof/>
        </w:rPr>
        <w:t>W</w:t>
      </w:r>
      <w:r>
        <w:rPr>
          <w:rFonts w:hint="eastAsia"/>
          <w:noProof/>
          <w:lang w:eastAsia="ko-KR"/>
        </w:rPr>
        <w:t>.,</w:t>
      </w:r>
      <w:r w:rsidRPr="0089670E">
        <w:rPr>
          <w:noProof/>
        </w:rPr>
        <w:t xml:space="preserve"> 2011</w:t>
      </w:r>
      <w:r>
        <w:rPr>
          <w:rFonts w:hint="eastAsia"/>
          <w:noProof/>
          <w:lang w:eastAsia="ko-KR"/>
        </w:rPr>
        <w:t>.</w:t>
      </w:r>
      <w:r w:rsidRPr="0089670E">
        <w:rPr>
          <w:noProof/>
        </w:rPr>
        <w:t xml:space="preserve"> Actinides in animals and man. Chapter 31. In: Morss LR, Edelstein NM, Fuger J, et al. (eds) </w:t>
      </w:r>
      <w:r w:rsidRPr="00ED6790">
        <w:rPr>
          <w:noProof/>
        </w:rPr>
        <w:t>The Chemistry of the Actinide and Transactinide Elements, 4th Edition, Vol. 5</w:t>
      </w:r>
      <w:r w:rsidRPr="0089670E">
        <w:rPr>
          <w:noProof/>
        </w:rPr>
        <w:t>. Springer, pp. 3339–3474.</w:t>
      </w:r>
    </w:p>
    <w:p w14:paraId="7F090C02" w14:textId="77777777" w:rsidR="00232741" w:rsidRPr="0089670E" w:rsidRDefault="00232741" w:rsidP="00232741">
      <w:pPr>
        <w:pStyle w:val="aff1"/>
        <w:ind w:left="426" w:hanging="426"/>
        <w:rPr>
          <w:noProof/>
        </w:rPr>
      </w:pPr>
      <w:r w:rsidRPr="0089670E">
        <w:rPr>
          <w:noProof/>
        </w:rPr>
        <w:t>Durbin</w:t>
      </w:r>
      <w:r>
        <w:rPr>
          <w:rFonts w:hint="eastAsia"/>
          <w:noProof/>
          <w:lang w:eastAsia="ko-KR"/>
        </w:rPr>
        <w:t>,</w:t>
      </w:r>
      <w:r w:rsidRPr="0089670E">
        <w:rPr>
          <w:noProof/>
        </w:rPr>
        <w:t xml:space="preserve"> P</w:t>
      </w:r>
      <w:r>
        <w:rPr>
          <w:rFonts w:hint="eastAsia"/>
          <w:noProof/>
          <w:lang w:eastAsia="ko-KR"/>
        </w:rPr>
        <w:t>.</w:t>
      </w:r>
      <w:r w:rsidRPr="0089670E">
        <w:rPr>
          <w:noProof/>
        </w:rPr>
        <w:t>W</w:t>
      </w:r>
      <w:r>
        <w:rPr>
          <w:rFonts w:hint="eastAsia"/>
          <w:noProof/>
          <w:lang w:eastAsia="ko-KR"/>
        </w:rPr>
        <w:t>.,</w:t>
      </w:r>
      <w:r w:rsidRPr="0089670E">
        <w:rPr>
          <w:noProof/>
        </w:rPr>
        <w:t xml:space="preserve"> Schmidt</w:t>
      </w:r>
      <w:r>
        <w:rPr>
          <w:rFonts w:hint="eastAsia"/>
          <w:noProof/>
          <w:lang w:eastAsia="ko-KR"/>
        </w:rPr>
        <w:t>,</w:t>
      </w:r>
      <w:r w:rsidRPr="0089670E">
        <w:rPr>
          <w:noProof/>
        </w:rPr>
        <w:t xml:space="preserve"> C</w:t>
      </w:r>
      <w:r>
        <w:rPr>
          <w:rFonts w:hint="eastAsia"/>
          <w:noProof/>
          <w:lang w:eastAsia="ko-KR"/>
        </w:rPr>
        <w:t>.</w:t>
      </w:r>
      <w:r w:rsidRPr="0089670E">
        <w:rPr>
          <w:noProof/>
        </w:rPr>
        <w:t>T</w:t>
      </w:r>
      <w:r>
        <w:rPr>
          <w:rFonts w:hint="eastAsia"/>
          <w:noProof/>
          <w:lang w:eastAsia="ko-KR"/>
        </w:rPr>
        <w:t>.,</w:t>
      </w:r>
      <w:r w:rsidRPr="0089670E">
        <w:rPr>
          <w:noProof/>
        </w:rPr>
        <w:t xml:space="preserve"> 1985</w:t>
      </w:r>
      <w:r>
        <w:rPr>
          <w:rFonts w:hint="eastAsia"/>
          <w:noProof/>
          <w:lang w:eastAsia="ko-KR"/>
        </w:rPr>
        <w:t>.</w:t>
      </w:r>
      <w:r w:rsidRPr="0089670E">
        <w:rPr>
          <w:noProof/>
        </w:rPr>
        <w:t xml:space="preserve"> The U.S. Transuranium Registry report on the 241Am content of a whole body. Part V: Implications for metabolic modelling. </w:t>
      </w:r>
      <w:r w:rsidRPr="00ED6790">
        <w:rPr>
          <w:noProof/>
        </w:rPr>
        <w:t>Health Phys</w:t>
      </w:r>
      <w:r>
        <w:rPr>
          <w:rFonts w:hint="eastAsia"/>
          <w:noProof/>
          <w:lang w:eastAsia="ko-KR"/>
        </w:rPr>
        <w:t>.</w:t>
      </w:r>
      <w:r w:rsidRPr="0089670E">
        <w:rPr>
          <w:noProof/>
        </w:rPr>
        <w:t xml:space="preserve"> 49(4)</w:t>
      </w:r>
      <w:r>
        <w:rPr>
          <w:rFonts w:hint="eastAsia"/>
          <w:noProof/>
          <w:lang w:eastAsia="ko-KR"/>
        </w:rPr>
        <w:t>.</w:t>
      </w:r>
      <w:r w:rsidRPr="0089670E">
        <w:rPr>
          <w:noProof/>
        </w:rPr>
        <w:t xml:space="preserve"> 623–661.</w:t>
      </w:r>
    </w:p>
    <w:p w14:paraId="191E9227" w14:textId="77777777" w:rsidR="00232741" w:rsidRPr="0089670E" w:rsidRDefault="00232741" w:rsidP="00232741">
      <w:pPr>
        <w:pStyle w:val="aff1"/>
        <w:ind w:left="426" w:hanging="426"/>
        <w:rPr>
          <w:noProof/>
        </w:rPr>
      </w:pPr>
      <w:r w:rsidRPr="0089670E">
        <w:rPr>
          <w:noProof/>
        </w:rPr>
        <w:t>Durbin</w:t>
      </w:r>
      <w:r>
        <w:rPr>
          <w:rFonts w:hint="eastAsia"/>
          <w:noProof/>
          <w:lang w:eastAsia="ko-KR"/>
        </w:rPr>
        <w:t>,</w:t>
      </w:r>
      <w:r w:rsidRPr="0089670E">
        <w:rPr>
          <w:noProof/>
        </w:rPr>
        <w:t xml:space="preserve"> P</w:t>
      </w:r>
      <w:r>
        <w:rPr>
          <w:rFonts w:hint="eastAsia"/>
          <w:noProof/>
          <w:lang w:eastAsia="ko-KR"/>
        </w:rPr>
        <w:t>.</w:t>
      </w:r>
      <w:r w:rsidRPr="0089670E">
        <w:rPr>
          <w:noProof/>
        </w:rPr>
        <w:t>W</w:t>
      </w:r>
      <w:r>
        <w:rPr>
          <w:rFonts w:hint="eastAsia"/>
          <w:noProof/>
          <w:lang w:eastAsia="ko-KR"/>
        </w:rPr>
        <w:t>.</w:t>
      </w:r>
      <w:r w:rsidRPr="0089670E">
        <w:rPr>
          <w:noProof/>
        </w:rPr>
        <w:t>, Williams</w:t>
      </w:r>
      <w:r>
        <w:rPr>
          <w:rFonts w:hint="eastAsia"/>
          <w:noProof/>
          <w:lang w:eastAsia="ko-KR"/>
        </w:rPr>
        <w:t>,</w:t>
      </w:r>
      <w:r w:rsidRPr="0089670E">
        <w:rPr>
          <w:noProof/>
        </w:rPr>
        <w:t xml:space="preserve"> M</w:t>
      </w:r>
      <w:r>
        <w:rPr>
          <w:rFonts w:hint="eastAsia"/>
          <w:noProof/>
          <w:lang w:eastAsia="ko-KR"/>
        </w:rPr>
        <w:t>.</w:t>
      </w:r>
      <w:r w:rsidRPr="0089670E">
        <w:rPr>
          <w:noProof/>
        </w:rPr>
        <w:t>H</w:t>
      </w:r>
      <w:r>
        <w:rPr>
          <w:rFonts w:hint="eastAsia"/>
          <w:noProof/>
          <w:lang w:eastAsia="ko-KR"/>
        </w:rPr>
        <w:t>.</w:t>
      </w:r>
      <w:r w:rsidRPr="0089670E">
        <w:rPr>
          <w:noProof/>
        </w:rPr>
        <w:t>, Gee</w:t>
      </w:r>
      <w:r>
        <w:rPr>
          <w:rFonts w:hint="eastAsia"/>
          <w:noProof/>
          <w:lang w:eastAsia="ko-KR"/>
        </w:rPr>
        <w:t>,</w:t>
      </w:r>
      <w:r w:rsidRPr="0089670E">
        <w:rPr>
          <w:noProof/>
        </w:rPr>
        <w:t xml:space="preserve"> M</w:t>
      </w:r>
      <w:r>
        <w:rPr>
          <w:rFonts w:hint="eastAsia"/>
          <w:noProof/>
          <w:lang w:eastAsia="ko-KR"/>
        </w:rPr>
        <w:t>.</w:t>
      </w:r>
      <w:r w:rsidRPr="0089670E">
        <w:rPr>
          <w:noProof/>
        </w:rPr>
        <w:t>, et al.</w:t>
      </w:r>
      <w:r>
        <w:rPr>
          <w:rFonts w:hint="eastAsia"/>
          <w:noProof/>
          <w:lang w:eastAsia="ko-KR"/>
        </w:rPr>
        <w:t>,</w:t>
      </w:r>
      <w:r w:rsidRPr="0089670E">
        <w:rPr>
          <w:noProof/>
        </w:rPr>
        <w:t xml:space="preserve"> 1956</w:t>
      </w:r>
      <w:r>
        <w:rPr>
          <w:rFonts w:hint="eastAsia"/>
          <w:noProof/>
          <w:lang w:eastAsia="ko-KR"/>
        </w:rPr>
        <w:t xml:space="preserve">. </w:t>
      </w:r>
      <w:r w:rsidRPr="0089670E">
        <w:rPr>
          <w:noProof/>
        </w:rPr>
        <w:t xml:space="preserve">Metabolism of the lanthanons in the rat. </w:t>
      </w:r>
      <w:r w:rsidRPr="00FD25C6">
        <w:rPr>
          <w:noProof/>
        </w:rPr>
        <w:t>Proc</w:t>
      </w:r>
      <w:r>
        <w:rPr>
          <w:rFonts w:hint="eastAsia"/>
          <w:noProof/>
          <w:lang w:eastAsia="ko-KR"/>
        </w:rPr>
        <w:t>.</w:t>
      </w:r>
      <w:r w:rsidRPr="00FD25C6">
        <w:rPr>
          <w:noProof/>
        </w:rPr>
        <w:t xml:space="preserve"> Soc</w:t>
      </w:r>
      <w:r>
        <w:rPr>
          <w:rFonts w:hint="eastAsia"/>
          <w:noProof/>
          <w:lang w:eastAsia="ko-KR"/>
        </w:rPr>
        <w:t>.</w:t>
      </w:r>
      <w:r w:rsidRPr="00FD25C6">
        <w:rPr>
          <w:noProof/>
        </w:rPr>
        <w:t xml:space="preserve"> Exp</w:t>
      </w:r>
      <w:r>
        <w:rPr>
          <w:rFonts w:hint="eastAsia"/>
          <w:noProof/>
          <w:lang w:eastAsia="ko-KR"/>
        </w:rPr>
        <w:t>.</w:t>
      </w:r>
      <w:r w:rsidRPr="00FD25C6">
        <w:rPr>
          <w:noProof/>
        </w:rPr>
        <w:t xml:space="preserve"> Biol</w:t>
      </w:r>
      <w:r>
        <w:rPr>
          <w:rFonts w:hint="eastAsia"/>
          <w:noProof/>
          <w:lang w:eastAsia="ko-KR"/>
        </w:rPr>
        <w:t>.</w:t>
      </w:r>
      <w:r w:rsidRPr="00FD25C6">
        <w:rPr>
          <w:noProof/>
        </w:rPr>
        <w:t xml:space="preserve"> Med</w:t>
      </w:r>
      <w:r>
        <w:rPr>
          <w:rFonts w:hint="eastAsia"/>
          <w:noProof/>
          <w:lang w:eastAsia="ko-KR"/>
        </w:rPr>
        <w:t>.</w:t>
      </w:r>
      <w:r w:rsidRPr="0089670E">
        <w:rPr>
          <w:noProof/>
        </w:rPr>
        <w:t xml:space="preserve"> 91(1)</w:t>
      </w:r>
      <w:r>
        <w:rPr>
          <w:rFonts w:hint="eastAsia"/>
          <w:noProof/>
          <w:lang w:eastAsia="ko-KR"/>
        </w:rPr>
        <w:t>.</w:t>
      </w:r>
      <w:r w:rsidRPr="0089670E">
        <w:rPr>
          <w:noProof/>
        </w:rPr>
        <w:t xml:space="preserve"> 78–85.</w:t>
      </w:r>
    </w:p>
    <w:p w14:paraId="44D9AB86" w14:textId="77777777" w:rsidR="00232741" w:rsidRPr="0089670E" w:rsidRDefault="00232741" w:rsidP="00232741">
      <w:pPr>
        <w:pStyle w:val="aff1"/>
        <w:ind w:left="426" w:hanging="426"/>
        <w:rPr>
          <w:noProof/>
        </w:rPr>
      </w:pPr>
      <w:r w:rsidRPr="0089670E">
        <w:rPr>
          <w:noProof/>
        </w:rPr>
        <w:t>Durbin</w:t>
      </w:r>
      <w:r>
        <w:rPr>
          <w:rFonts w:hint="eastAsia"/>
          <w:noProof/>
          <w:lang w:eastAsia="ko-KR"/>
        </w:rPr>
        <w:t>,</w:t>
      </w:r>
      <w:r w:rsidRPr="0089670E">
        <w:rPr>
          <w:noProof/>
        </w:rPr>
        <w:t xml:space="preserve"> P</w:t>
      </w:r>
      <w:r>
        <w:rPr>
          <w:rFonts w:hint="eastAsia"/>
          <w:noProof/>
          <w:lang w:eastAsia="ko-KR"/>
        </w:rPr>
        <w:t>.</w:t>
      </w:r>
      <w:r w:rsidRPr="0089670E">
        <w:rPr>
          <w:noProof/>
        </w:rPr>
        <w:t>W</w:t>
      </w:r>
      <w:r>
        <w:rPr>
          <w:rFonts w:hint="eastAsia"/>
          <w:noProof/>
          <w:lang w:eastAsia="ko-KR"/>
        </w:rPr>
        <w:t>.</w:t>
      </w:r>
      <w:r w:rsidRPr="0089670E">
        <w:rPr>
          <w:noProof/>
        </w:rPr>
        <w:t>, Jeung</w:t>
      </w:r>
      <w:r>
        <w:rPr>
          <w:rFonts w:hint="eastAsia"/>
          <w:noProof/>
          <w:lang w:eastAsia="ko-KR"/>
        </w:rPr>
        <w:t>,</w:t>
      </w:r>
      <w:r w:rsidRPr="0089670E">
        <w:rPr>
          <w:noProof/>
        </w:rPr>
        <w:t xml:space="preserve"> N</w:t>
      </w:r>
      <w:r>
        <w:rPr>
          <w:rFonts w:hint="eastAsia"/>
          <w:noProof/>
          <w:lang w:eastAsia="ko-KR"/>
        </w:rPr>
        <w:t>.,</w:t>
      </w:r>
      <w:r w:rsidRPr="0089670E">
        <w:rPr>
          <w:noProof/>
        </w:rPr>
        <w:t xml:space="preserve"> Williams</w:t>
      </w:r>
      <w:r>
        <w:rPr>
          <w:rFonts w:hint="eastAsia"/>
          <w:noProof/>
          <w:lang w:eastAsia="ko-KR"/>
        </w:rPr>
        <w:t>,</w:t>
      </w:r>
      <w:r w:rsidRPr="0089670E">
        <w:rPr>
          <w:noProof/>
        </w:rPr>
        <w:t xml:space="preserve"> M</w:t>
      </w:r>
      <w:r>
        <w:rPr>
          <w:rFonts w:hint="eastAsia"/>
          <w:noProof/>
          <w:lang w:eastAsia="ko-KR"/>
        </w:rPr>
        <w:t>.</w:t>
      </w:r>
      <w:r w:rsidRPr="0089670E">
        <w:rPr>
          <w:noProof/>
        </w:rPr>
        <w:t>H</w:t>
      </w:r>
      <w:r>
        <w:rPr>
          <w:rFonts w:hint="eastAsia"/>
          <w:noProof/>
          <w:lang w:eastAsia="ko-KR"/>
        </w:rPr>
        <w:t>.,</w:t>
      </w:r>
      <w:r w:rsidRPr="0089670E">
        <w:rPr>
          <w:noProof/>
        </w:rPr>
        <w:t xml:space="preserve"> 1969</w:t>
      </w:r>
      <w:r>
        <w:rPr>
          <w:rFonts w:hint="eastAsia"/>
          <w:noProof/>
          <w:lang w:eastAsia="ko-KR"/>
        </w:rPr>
        <w:t>.</w:t>
      </w:r>
      <w:r w:rsidRPr="0089670E">
        <w:rPr>
          <w:noProof/>
        </w:rPr>
        <w:t xml:space="preserve"> Dynamics of Am-241 in the skeleton of the rat: A study of the relationship between behaviour of bone-seeking elements and bone-growth status. In: Mays CW, Jee WSS, Lloyd RD, et al. (eds) </w:t>
      </w:r>
      <w:r w:rsidRPr="00ED6790">
        <w:rPr>
          <w:noProof/>
        </w:rPr>
        <w:t>Delayed Effects of Bone-Seeking Radionuclides</w:t>
      </w:r>
      <w:r w:rsidRPr="0089670E">
        <w:rPr>
          <w:noProof/>
        </w:rPr>
        <w:t>. University of Utah Press. Salt Lake City: Univ. of California, Berkeley, pp. 137–156. Available at: https://www.osti.gov/biblio/4773747 (accessed 2 October 2023).</w:t>
      </w:r>
    </w:p>
    <w:p w14:paraId="6D9606D9" w14:textId="77777777" w:rsidR="00232741" w:rsidRPr="0089670E" w:rsidRDefault="00232741" w:rsidP="00232741">
      <w:pPr>
        <w:pStyle w:val="aff1"/>
        <w:ind w:left="426" w:hanging="426"/>
        <w:rPr>
          <w:noProof/>
        </w:rPr>
      </w:pPr>
      <w:r w:rsidRPr="0089670E">
        <w:rPr>
          <w:noProof/>
        </w:rPr>
        <w:t>Durbin</w:t>
      </w:r>
      <w:r>
        <w:rPr>
          <w:rFonts w:hint="eastAsia"/>
          <w:noProof/>
          <w:lang w:eastAsia="ko-KR"/>
        </w:rPr>
        <w:t>,</w:t>
      </w:r>
      <w:r w:rsidRPr="0089670E">
        <w:rPr>
          <w:noProof/>
        </w:rPr>
        <w:t xml:space="preserve"> P</w:t>
      </w:r>
      <w:r>
        <w:rPr>
          <w:rFonts w:hint="eastAsia"/>
          <w:noProof/>
          <w:lang w:eastAsia="ko-KR"/>
        </w:rPr>
        <w:t>.</w:t>
      </w:r>
      <w:r w:rsidRPr="0089670E">
        <w:rPr>
          <w:noProof/>
        </w:rPr>
        <w:t>W</w:t>
      </w:r>
      <w:r>
        <w:rPr>
          <w:rFonts w:hint="eastAsia"/>
          <w:noProof/>
          <w:lang w:eastAsia="ko-KR"/>
        </w:rPr>
        <w:t>.</w:t>
      </w:r>
      <w:r w:rsidRPr="0089670E">
        <w:rPr>
          <w:noProof/>
        </w:rPr>
        <w:t>, Jeung</w:t>
      </w:r>
      <w:r>
        <w:rPr>
          <w:rFonts w:hint="eastAsia"/>
          <w:noProof/>
          <w:lang w:eastAsia="ko-KR"/>
        </w:rPr>
        <w:t>,</w:t>
      </w:r>
      <w:r w:rsidRPr="0089670E">
        <w:rPr>
          <w:noProof/>
        </w:rPr>
        <w:t xml:space="preserve"> N</w:t>
      </w:r>
      <w:r>
        <w:rPr>
          <w:rFonts w:hint="eastAsia"/>
          <w:noProof/>
          <w:lang w:eastAsia="ko-KR"/>
        </w:rPr>
        <w:t xml:space="preserve">., </w:t>
      </w:r>
      <w:r w:rsidRPr="0089670E">
        <w:rPr>
          <w:noProof/>
        </w:rPr>
        <w:t>Bucher</w:t>
      </w:r>
      <w:r>
        <w:rPr>
          <w:rFonts w:hint="eastAsia"/>
          <w:noProof/>
          <w:lang w:eastAsia="ko-KR"/>
        </w:rPr>
        <w:t>,</w:t>
      </w:r>
      <w:r w:rsidRPr="0089670E">
        <w:rPr>
          <w:noProof/>
        </w:rPr>
        <w:t xml:space="preserve"> J</w:t>
      </w:r>
      <w:r>
        <w:rPr>
          <w:rFonts w:hint="eastAsia"/>
          <w:noProof/>
          <w:lang w:eastAsia="ko-KR"/>
        </w:rPr>
        <w:t>.</w:t>
      </w:r>
      <w:r w:rsidRPr="0089670E">
        <w:rPr>
          <w:noProof/>
        </w:rPr>
        <w:t>J</w:t>
      </w:r>
      <w:r>
        <w:rPr>
          <w:rFonts w:hint="eastAsia"/>
          <w:noProof/>
          <w:lang w:eastAsia="ko-KR"/>
        </w:rPr>
        <w:t>.,</w:t>
      </w:r>
      <w:r w:rsidRPr="0089670E">
        <w:rPr>
          <w:noProof/>
        </w:rPr>
        <w:t xml:space="preserve"> 1987</w:t>
      </w:r>
      <w:r>
        <w:rPr>
          <w:rFonts w:hint="eastAsia"/>
          <w:noProof/>
          <w:lang w:eastAsia="ko-KR"/>
        </w:rPr>
        <w:t>.</w:t>
      </w:r>
      <w:r w:rsidRPr="0089670E">
        <w:rPr>
          <w:noProof/>
        </w:rPr>
        <w:t xml:space="preserve"> </w:t>
      </w:r>
      <w:r w:rsidRPr="00ED6790">
        <w:rPr>
          <w:noProof/>
        </w:rPr>
        <w:t>Initial distribution of neptunium-237 in a monkey</w:t>
      </w:r>
      <w:r w:rsidRPr="0089670E">
        <w:rPr>
          <w:noProof/>
        </w:rPr>
        <w:t>. Biology and medicine division annual report 1986 LBL-22300. Berkeley, California: Lawrence Berkeley Laboratory, Univ. of California.</w:t>
      </w:r>
    </w:p>
    <w:p w14:paraId="2F91A480" w14:textId="77777777" w:rsidR="00232741" w:rsidRPr="0089670E" w:rsidRDefault="00232741" w:rsidP="00232741">
      <w:pPr>
        <w:pStyle w:val="aff1"/>
        <w:ind w:left="426" w:hanging="426"/>
        <w:rPr>
          <w:noProof/>
        </w:rPr>
      </w:pPr>
      <w:r w:rsidRPr="0089670E">
        <w:rPr>
          <w:noProof/>
        </w:rPr>
        <w:t>Durbin</w:t>
      </w:r>
      <w:r>
        <w:rPr>
          <w:rFonts w:hint="eastAsia"/>
          <w:noProof/>
          <w:lang w:eastAsia="ko-KR"/>
        </w:rPr>
        <w:t>,</w:t>
      </w:r>
      <w:r w:rsidRPr="0089670E">
        <w:rPr>
          <w:noProof/>
        </w:rPr>
        <w:t xml:space="preserve"> P</w:t>
      </w:r>
      <w:r>
        <w:rPr>
          <w:rFonts w:hint="eastAsia"/>
          <w:noProof/>
          <w:lang w:eastAsia="ko-KR"/>
        </w:rPr>
        <w:t>.</w:t>
      </w:r>
      <w:r w:rsidRPr="0089670E">
        <w:rPr>
          <w:noProof/>
        </w:rPr>
        <w:t>W</w:t>
      </w:r>
      <w:r>
        <w:rPr>
          <w:rFonts w:hint="eastAsia"/>
          <w:noProof/>
          <w:lang w:eastAsia="ko-KR"/>
        </w:rPr>
        <w:t>.</w:t>
      </w:r>
      <w:r w:rsidRPr="0089670E">
        <w:rPr>
          <w:noProof/>
        </w:rPr>
        <w:t>, Schmidt</w:t>
      </w:r>
      <w:r>
        <w:rPr>
          <w:rFonts w:hint="eastAsia"/>
          <w:noProof/>
          <w:lang w:eastAsia="ko-KR"/>
        </w:rPr>
        <w:t>,</w:t>
      </w:r>
      <w:r w:rsidRPr="0089670E">
        <w:rPr>
          <w:noProof/>
        </w:rPr>
        <w:t xml:space="preserve"> C</w:t>
      </w:r>
      <w:r>
        <w:rPr>
          <w:rFonts w:hint="eastAsia"/>
          <w:noProof/>
          <w:lang w:eastAsia="ko-KR"/>
        </w:rPr>
        <w:t>.</w:t>
      </w:r>
      <w:r w:rsidRPr="0089670E">
        <w:rPr>
          <w:noProof/>
        </w:rPr>
        <w:t>T</w:t>
      </w:r>
      <w:r>
        <w:rPr>
          <w:rFonts w:hint="eastAsia"/>
          <w:noProof/>
          <w:lang w:eastAsia="ko-KR"/>
        </w:rPr>
        <w:t>.,</w:t>
      </w:r>
      <w:r w:rsidRPr="0089670E">
        <w:rPr>
          <w:noProof/>
        </w:rPr>
        <w:t xml:space="preserve"> Jeung</w:t>
      </w:r>
      <w:r>
        <w:rPr>
          <w:rFonts w:hint="eastAsia"/>
          <w:noProof/>
          <w:lang w:eastAsia="ko-KR"/>
        </w:rPr>
        <w:t>,</w:t>
      </w:r>
      <w:r w:rsidRPr="0089670E">
        <w:rPr>
          <w:noProof/>
        </w:rPr>
        <w:t xml:space="preserve"> N</w:t>
      </w:r>
      <w:r>
        <w:rPr>
          <w:rFonts w:hint="eastAsia"/>
          <w:noProof/>
          <w:lang w:eastAsia="ko-KR"/>
        </w:rPr>
        <w:t>.,</w:t>
      </w:r>
      <w:r w:rsidRPr="0089670E">
        <w:rPr>
          <w:noProof/>
        </w:rPr>
        <w:t xml:space="preserve"> 1989</w:t>
      </w:r>
      <w:r>
        <w:rPr>
          <w:rFonts w:hint="eastAsia"/>
          <w:noProof/>
          <w:lang w:eastAsia="ko-KR"/>
        </w:rPr>
        <w:t>.</w:t>
      </w:r>
      <w:r w:rsidRPr="0089670E">
        <w:rPr>
          <w:noProof/>
        </w:rPr>
        <w:t xml:space="preserve"> Distribution and excretion of neptunium in an adult cynomolgus monkey two years after intramuscular injection of </w:t>
      </w:r>
      <w:r w:rsidRPr="00FD25C6">
        <w:rPr>
          <w:noProof/>
          <w:vertAlign w:val="superscript"/>
        </w:rPr>
        <w:t>237</w:t>
      </w:r>
      <w:r w:rsidRPr="0089670E">
        <w:rPr>
          <w:noProof/>
        </w:rPr>
        <w:t>NpO</w:t>
      </w:r>
      <w:r w:rsidRPr="00FD25C6">
        <w:rPr>
          <w:noProof/>
          <w:vertAlign w:val="subscript"/>
        </w:rPr>
        <w:t>2</w:t>
      </w:r>
      <w:r w:rsidRPr="0089670E">
        <w:rPr>
          <w:noProof/>
        </w:rPr>
        <w:t xml:space="preserve"> NO</w:t>
      </w:r>
      <w:r w:rsidRPr="00FD25C6">
        <w:rPr>
          <w:noProof/>
          <w:vertAlign w:val="subscript"/>
        </w:rPr>
        <w:t>3</w:t>
      </w:r>
      <w:r w:rsidRPr="0089670E">
        <w:rPr>
          <w:noProof/>
        </w:rPr>
        <w:t xml:space="preserve">. In: </w:t>
      </w:r>
      <w:r w:rsidRPr="00ED6790">
        <w:rPr>
          <w:noProof/>
        </w:rPr>
        <w:lastRenderedPageBreak/>
        <w:t>Thirty-fourth Annual Meeting of the Health Physics Society</w:t>
      </w:r>
      <w:r w:rsidRPr="0089670E">
        <w:rPr>
          <w:noProof/>
        </w:rPr>
        <w:t>, Albuquerque, New Mexico, 1989, pp. 25–29.</w:t>
      </w:r>
    </w:p>
    <w:p w14:paraId="01608B1C" w14:textId="77777777" w:rsidR="00232741" w:rsidRPr="0089670E" w:rsidRDefault="00232741" w:rsidP="00232741">
      <w:pPr>
        <w:pStyle w:val="aff1"/>
        <w:ind w:left="426" w:hanging="426"/>
        <w:rPr>
          <w:noProof/>
        </w:rPr>
      </w:pPr>
      <w:r w:rsidRPr="0089670E">
        <w:rPr>
          <w:noProof/>
          <w:lang w:val="fr-FR"/>
        </w:rPr>
        <w:t>Efurd</w:t>
      </w:r>
      <w:r>
        <w:rPr>
          <w:rFonts w:hint="eastAsia"/>
          <w:noProof/>
          <w:lang w:val="fr-FR" w:eastAsia="ko-KR"/>
        </w:rPr>
        <w:t>,</w:t>
      </w:r>
      <w:r w:rsidRPr="0089670E">
        <w:rPr>
          <w:noProof/>
          <w:lang w:val="fr-FR"/>
        </w:rPr>
        <w:t xml:space="preserve"> D</w:t>
      </w:r>
      <w:r>
        <w:rPr>
          <w:rFonts w:hint="eastAsia"/>
          <w:noProof/>
          <w:lang w:val="fr-FR" w:eastAsia="ko-KR"/>
        </w:rPr>
        <w:t>.</w:t>
      </w:r>
      <w:r w:rsidRPr="0089670E">
        <w:rPr>
          <w:noProof/>
          <w:lang w:val="fr-FR"/>
        </w:rPr>
        <w:t>W</w:t>
      </w:r>
      <w:r>
        <w:rPr>
          <w:rFonts w:hint="eastAsia"/>
          <w:noProof/>
          <w:lang w:val="fr-FR" w:eastAsia="ko-KR"/>
        </w:rPr>
        <w:t>.</w:t>
      </w:r>
      <w:r w:rsidRPr="0089670E">
        <w:rPr>
          <w:noProof/>
          <w:lang w:val="fr-FR"/>
        </w:rPr>
        <w:t>, Knobeloch</w:t>
      </w:r>
      <w:r>
        <w:rPr>
          <w:rFonts w:hint="eastAsia"/>
          <w:noProof/>
          <w:lang w:val="fr-FR" w:eastAsia="ko-KR"/>
        </w:rPr>
        <w:t>,</w:t>
      </w:r>
      <w:r w:rsidRPr="0089670E">
        <w:rPr>
          <w:noProof/>
          <w:lang w:val="fr-FR"/>
        </w:rPr>
        <w:t xml:space="preserve"> G</w:t>
      </w:r>
      <w:r>
        <w:rPr>
          <w:rFonts w:hint="eastAsia"/>
          <w:noProof/>
          <w:lang w:val="fr-FR" w:eastAsia="ko-KR"/>
        </w:rPr>
        <w:t>.</w:t>
      </w:r>
      <w:r w:rsidRPr="0089670E">
        <w:rPr>
          <w:noProof/>
          <w:lang w:val="fr-FR"/>
        </w:rPr>
        <w:t>W</w:t>
      </w:r>
      <w:r>
        <w:rPr>
          <w:rFonts w:hint="eastAsia"/>
          <w:noProof/>
          <w:lang w:val="fr-FR" w:eastAsia="ko-KR"/>
        </w:rPr>
        <w:t>.</w:t>
      </w:r>
      <w:r w:rsidRPr="0089670E">
        <w:rPr>
          <w:noProof/>
          <w:lang w:val="fr-FR"/>
        </w:rPr>
        <w:t>, Perrin</w:t>
      </w:r>
      <w:r>
        <w:rPr>
          <w:rFonts w:hint="eastAsia"/>
          <w:noProof/>
          <w:lang w:val="fr-FR" w:eastAsia="ko-KR"/>
        </w:rPr>
        <w:t>,</w:t>
      </w:r>
      <w:r w:rsidRPr="0089670E">
        <w:rPr>
          <w:noProof/>
          <w:lang w:val="fr-FR"/>
        </w:rPr>
        <w:t xml:space="preserve"> R</w:t>
      </w:r>
      <w:r>
        <w:rPr>
          <w:rFonts w:hint="eastAsia"/>
          <w:noProof/>
          <w:lang w:val="fr-FR" w:eastAsia="ko-KR"/>
        </w:rPr>
        <w:t>.</w:t>
      </w:r>
      <w:r w:rsidRPr="0089670E">
        <w:rPr>
          <w:noProof/>
          <w:lang w:val="fr-FR"/>
        </w:rPr>
        <w:t>E</w:t>
      </w:r>
      <w:r>
        <w:rPr>
          <w:rFonts w:hint="eastAsia"/>
          <w:noProof/>
          <w:lang w:val="fr-FR" w:eastAsia="ko-KR"/>
        </w:rPr>
        <w:t>.</w:t>
      </w:r>
      <w:r w:rsidRPr="0089670E">
        <w:rPr>
          <w:noProof/>
          <w:lang w:val="fr-FR"/>
        </w:rPr>
        <w:t>, et al.</w:t>
      </w:r>
      <w:r>
        <w:rPr>
          <w:rFonts w:hint="eastAsia"/>
          <w:noProof/>
          <w:lang w:val="fr-FR" w:eastAsia="ko-KR"/>
        </w:rPr>
        <w:t>,</w:t>
      </w:r>
      <w:r w:rsidRPr="0089670E">
        <w:rPr>
          <w:noProof/>
          <w:lang w:val="fr-FR"/>
        </w:rPr>
        <w:t xml:space="preserve"> </w:t>
      </w:r>
      <w:r w:rsidRPr="00BB7751">
        <w:rPr>
          <w:noProof/>
          <w:lang w:val="fr-FR"/>
        </w:rPr>
        <w:t>1984</w:t>
      </w:r>
      <w:r w:rsidRPr="00BB7751">
        <w:rPr>
          <w:rFonts w:hint="eastAsia"/>
          <w:noProof/>
          <w:lang w:val="fr-FR" w:eastAsia="ko-KR"/>
        </w:rPr>
        <w:t>.</w:t>
      </w:r>
      <w:r w:rsidRPr="00BB7751">
        <w:rPr>
          <w:noProof/>
          <w:lang w:val="fr-FR"/>
        </w:rPr>
        <w:t xml:space="preserve"> </w:t>
      </w:r>
      <w:r w:rsidRPr="0089670E">
        <w:rPr>
          <w:noProof/>
        </w:rPr>
        <w:t xml:space="preserve">An estimate of 237Np production during atmospheric testing. </w:t>
      </w:r>
      <w:r w:rsidRPr="00ED6790">
        <w:rPr>
          <w:noProof/>
        </w:rPr>
        <w:t>Health Phys</w:t>
      </w:r>
      <w:r>
        <w:rPr>
          <w:rFonts w:hint="eastAsia"/>
          <w:noProof/>
          <w:lang w:eastAsia="ko-KR"/>
        </w:rPr>
        <w:t>.</w:t>
      </w:r>
      <w:r w:rsidRPr="0089670E">
        <w:rPr>
          <w:noProof/>
        </w:rPr>
        <w:t xml:space="preserve"> 47(5)</w:t>
      </w:r>
      <w:r>
        <w:rPr>
          <w:rFonts w:hint="eastAsia"/>
          <w:noProof/>
          <w:lang w:eastAsia="ko-KR"/>
        </w:rPr>
        <w:t>.</w:t>
      </w:r>
      <w:r w:rsidRPr="0089670E">
        <w:rPr>
          <w:noProof/>
        </w:rPr>
        <w:t xml:space="preserve"> 786–787.</w:t>
      </w:r>
    </w:p>
    <w:p w14:paraId="6FC56505" w14:textId="77777777" w:rsidR="00232741" w:rsidRPr="0089670E" w:rsidRDefault="00232741" w:rsidP="00232741">
      <w:pPr>
        <w:pStyle w:val="aff1"/>
        <w:ind w:left="426" w:hanging="426"/>
        <w:rPr>
          <w:noProof/>
        </w:rPr>
      </w:pPr>
      <w:r w:rsidRPr="0089670E">
        <w:rPr>
          <w:noProof/>
        </w:rPr>
        <w:t>Efurd</w:t>
      </w:r>
      <w:r>
        <w:rPr>
          <w:rFonts w:hint="eastAsia"/>
          <w:noProof/>
          <w:lang w:eastAsia="ko-KR"/>
        </w:rPr>
        <w:t>,</w:t>
      </w:r>
      <w:r w:rsidRPr="0089670E">
        <w:rPr>
          <w:noProof/>
        </w:rPr>
        <w:t xml:space="preserve"> D</w:t>
      </w:r>
      <w:r>
        <w:rPr>
          <w:rFonts w:hint="eastAsia"/>
          <w:noProof/>
          <w:lang w:eastAsia="ko-KR"/>
        </w:rPr>
        <w:t>.</w:t>
      </w:r>
      <w:r w:rsidRPr="0089670E">
        <w:rPr>
          <w:noProof/>
        </w:rPr>
        <w:t>W</w:t>
      </w:r>
      <w:r>
        <w:rPr>
          <w:rFonts w:hint="eastAsia"/>
          <w:noProof/>
          <w:lang w:eastAsia="ko-KR"/>
        </w:rPr>
        <w:t>.</w:t>
      </w:r>
      <w:r w:rsidRPr="0089670E">
        <w:rPr>
          <w:noProof/>
        </w:rPr>
        <w:t>, Perrin</w:t>
      </w:r>
      <w:r>
        <w:rPr>
          <w:rFonts w:hint="eastAsia"/>
          <w:noProof/>
          <w:lang w:eastAsia="ko-KR"/>
        </w:rPr>
        <w:t>,</w:t>
      </w:r>
      <w:r w:rsidRPr="0089670E">
        <w:rPr>
          <w:noProof/>
        </w:rPr>
        <w:t xml:space="preserve"> R</w:t>
      </w:r>
      <w:r>
        <w:rPr>
          <w:rFonts w:hint="eastAsia"/>
          <w:noProof/>
          <w:lang w:eastAsia="ko-KR"/>
        </w:rPr>
        <w:t>.</w:t>
      </w:r>
      <w:r w:rsidRPr="0089670E">
        <w:rPr>
          <w:noProof/>
        </w:rPr>
        <w:t>E</w:t>
      </w:r>
      <w:r>
        <w:rPr>
          <w:rFonts w:hint="eastAsia"/>
          <w:noProof/>
          <w:lang w:eastAsia="ko-KR"/>
        </w:rPr>
        <w:t>.,</w:t>
      </w:r>
      <w:r w:rsidRPr="0089670E">
        <w:rPr>
          <w:noProof/>
        </w:rPr>
        <w:t xml:space="preserve"> McInroy</w:t>
      </w:r>
      <w:r>
        <w:rPr>
          <w:rFonts w:hint="eastAsia"/>
          <w:noProof/>
          <w:lang w:eastAsia="ko-KR"/>
        </w:rPr>
        <w:t>,</w:t>
      </w:r>
      <w:r w:rsidRPr="0089670E">
        <w:rPr>
          <w:noProof/>
        </w:rPr>
        <w:t xml:space="preserve"> J</w:t>
      </w:r>
      <w:r>
        <w:rPr>
          <w:rFonts w:hint="eastAsia"/>
          <w:noProof/>
          <w:lang w:eastAsia="ko-KR"/>
        </w:rPr>
        <w:t>.</w:t>
      </w:r>
      <w:r w:rsidRPr="0089670E">
        <w:rPr>
          <w:noProof/>
        </w:rPr>
        <w:t>F</w:t>
      </w:r>
      <w:r>
        <w:rPr>
          <w:rFonts w:hint="eastAsia"/>
          <w:noProof/>
          <w:lang w:eastAsia="ko-KR"/>
        </w:rPr>
        <w:t>.,</w:t>
      </w:r>
      <w:r w:rsidRPr="0089670E">
        <w:rPr>
          <w:noProof/>
        </w:rPr>
        <w:t xml:space="preserve"> 1986</w:t>
      </w:r>
      <w:r>
        <w:rPr>
          <w:rFonts w:hint="eastAsia"/>
          <w:noProof/>
          <w:lang w:eastAsia="ko-KR"/>
        </w:rPr>
        <w:t>.</w:t>
      </w:r>
      <w:r w:rsidRPr="0089670E">
        <w:rPr>
          <w:noProof/>
        </w:rPr>
        <w:t xml:space="preserve"> Neptunium-237 in human tissue samples. </w:t>
      </w:r>
      <w:r w:rsidRPr="00ED6790">
        <w:rPr>
          <w:noProof/>
        </w:rPr>
        <w:t>Health Phys</w:t>
      </w:r>
      <w:r>
        <w:rPr>
          <w:rFonts w:hint="eastAsia"/>
          <w:noProof/>
          <w:lang w:eastAsia="ko-KR"/>
        </w:rPr>
        <w:t>.</w:t>
      </w:r>
      <w:r w:rsidRPr="0089670E">
        <w:rPr>
          <w:noProof/>
        </w:rPr>
        <w:t xml:space="preserve"> 51(5)</w:t>
      </w:r>
      <w:r>
        <w:rPr>
          <w:rFonts w:hint="eastAsia"/>
          <w:noProof/>
          <w:lang w:eastAsia="ko-KR"/>
        </w:rPr>
        <w:t>.</w:t>
      </w:r>
      <w:r w:rsidRPr="0089670E">
        <w:rPr>
          <w:noProof/>
        </w:rPr>
        <w:t xml:space="preserve"> 665–666.</w:t>
      </w:r>
    </w:p>
    <w:p w14:paraId="02C16556" w14:textId="77777777" w:rsidR="00232741" w:rsidRPr="0089670E" w:rsidRDefault="00232741" w:rsidP="00232741">
      <w:pPr>
        <w:pStyle w:val="aff1"/>
        <w:ind w:left="426" w:hanging="426"/>
        <w:rPr>
          <w:noProof/>
        </w:rPr>
      </w:pPr>
      <w:r w:rsidRPr="0089670E">
        <w:rPr>
          <w:noProof/>
        </w:rPr>
        <w:t>Ehrhart</w:t>
      </w:r>
      <w:r>
        <w:rPr>
          <w:rFonts w:hint="eastAsia"/>
          <w:noProof/>
          <w:lang w:eastAsia="ko-KR"/>
        </w:rPr>
        <w:t>,</w:t>
      </w:r>
      <w:r w:rsidRPr="0089670E">
        <w:rPr>
          <w:noProof/>
        </w:rPr>
        <w:t xml:space="preserve"> S</w:t>
      </w:r>
      <w:r>
        <w:rPr>
          <w:rFonts w:hint="eastAsia"/>
          <w:noProof/>
          <w:lang w:eastAsia="ko-KR"/>
        </w:rPr>
        <w:t>.</w:t>
      </w:r>
      <w:r w:rsidRPr="0089670E">
        <w:rPr>
          <w:noProof/>
        </w:rPr>
        <w:t>M</w:t>
      </w:r>
      <w:r>
        <w:rPr>
          <w:rFonts w:hint="eastAsia"/>
          <w:noProof/>
          <w:lang w:eastAsia="ko-KR"/>
        </w:rPr>
        <w:t>.,</w:t>
      </w:r>
      <w:r w:rsidRPr="0089670E">
        <w:rPr>
          <w:noProof/>
        </w:rPr>
        <w:t xml:space="preserve"> Filipy</w:t>
      </w:r>
      <w:r>
        <w:rPr>
          <w:rFonts w:hint="eastAsia"/>
          <w:noProof/>
          <w:lang w:eastAsia="ko-KR"/>
        </w:rPr>
        <w:t>,</w:t>
      </w:r>
      <w:r w:rsidRPr="0089670E">
        <w:rPr>
          <w:noProof/>
        </w:rPr>
        <w:t xml:space="preserve"> R</w:t>
      </w:r>
      <w:r>
        <w:rPr>
          <w:rFonts w:hint="eastAsia"/>
          <w:noProof/>
          <w:lang w:eastAsia="ko-KR"/>
        </w:rPr>
        <w:t>.</w:t>
      </w:r>
      <w:r w:rsidRPr="0089670E">
        <w:rPr>
          <w:noProof/>
        </w:rPr>
        <w:t>E</w:t>
      </w:r>
      <w:r>
        <w:rPr>
          <w:rFonts w:hint="eastAsia"/>
          <w:noProof/>
          <w:lang w:eastAsia="ko-KR"/>
        </w:rPr>
        <w:t>.,</w:t>
      </w:r>
      <w:r w:rsidRPr="0089670E">
        <w:rPr>
          <w:noProof/>
        </w:rPr>
        <w:t xml:space="preserve"> 2001</w:t>
      </w:r>
      <w:r>
        <w:rPr>
          <w:rFonts w:hint="eastAsia"/>
          <w:noProof/>
          <w:lang w:eastAsia="ko-KR"/>
        </w:rPr>
        <w:t>.</w:t>
      </w:r>
      <w:r w:rsidRPr="0089670E">
        <w:rPr>
          <w:noProof/>
        </w:rPr>
        <w:t xml:space="preserve"> </w:t>
      </w:r>
      <w:r w:rsidRPr="00ED6790">
        <w:rPr>
          <w:noProof/>
        </w:rPr>
        <w:t>USTUR Annual Report for February 1, 2000 through January 31, 2001</w:t>
      </w:r>
      <w:r w:rsidRPr="0089670E">
        <w:rPr>
          <w:noProof/>
        </w:rPr>
        <w:t>. USTUR-0177-01. Pullman, WA: United States Tranuranium and Uranium Registries.</w:t>
      </w:r>
    </w:p>
    <w:p w14:paraId="50593E47" w14:textId="77777777" w:rsidR="00232741" w:rsidRPr="0089670E" w:rsidRDefault="00232741" w:rsidP="00232741">
      <w:pPr>
        <w:pStyle w:val="aff1"/>
        <w:ind w:left="426" w:hanging="426"/>
        <w:rPr>
          <w:noProof/>
        </w:rPr>
      </w:pPr>
      <w:r w:rsidRPr="0089670E">
        <w:rPr>
          <w:noProof/>
        </w:rPr>
        <w:t>Eisele</w:t>
      </w:r>
      <w:r>
        <w:rPr>
          <w:rFonts w:hint="eastAsia"/>
          <w:noProof/>
          <w:lang w:eastAsia="ko-KR"/>
        </w:rPr>
        <w:t>,</w:t>
      </w:r>
      <w:r w:rsidRPr="0089670E">
        <w:rPr>
          <w:noProof/>
        </w:rPr>
        <w:t xml:space="preserve"> G</w:t>
      </w:r>
      <w:r>
        <w:rPr>
          <w:rFonts w:hint="eastAsia"/>
          <w:noProof/>
          <w:lang w:eastAsia="ko-KR"/>
        </w:rPr>
        <w:t>.</w:t>
      </w:r>
      <w:r w:rsidRPr="0089670E">
        <w:rPr>
          <w:noProof/>
        </w:rPr>
        <w:t>R</w:t>
      </w:r>
      <w:r>
        <w:rPr>
          <w:rFonts w:hint="eastAsia"/>
          <w:noProof/>
          <w:lang w:eastAsia="ko-KR"/>
        </w:rPr>
        <w:t>.</w:t>
      </w:r>
      <w:r w:rsidRPr="0089670E">
        <w:rPr>
          <w:noProof/>
        </w:rPr>
        <w:t>, Mraz</w:t>
      </w:r>
      <w:r>
        <w:rPr>
          <w:rFonts w:hint="eastAsia"/>
          <w:noProof/>
          <w:lang w:eastAsia="ko-KR"/>
        </w:rPr>
        <w:t>,</w:t>
      </w:r>
      <w:r w:rsidRPr="0089670E">
        <w:rPr>
          <w:noProof/>
        </w:rPr>
        <w:t xml:space="preserve"> F</w:t>
      </w:r>
      <w:r>
        <w:rPr>
          <w:rFonts w:hint="eastAsia"/>
          <w:noProof/>
          <w:lang w:eastAsia="ko-KR"/>
        </w:rPr>
        <w:t>.</w:t>
      </w:r>
      <w:r w:rsidRPr="0089670E">
        <w:rPr>
          <w:noProof/>
        </w:rPr>
        <w:t>R</w:t>
      </w:r>
      <w:r>
        <w:rPr>
          <w:rFonts w:hint="eastAsia"/>
          <w:noProof/>
          <w:lang w:eastAsia="ko-KR"/>
        </w:rPr>
        <w:t>.,</w:t>
      </w:r>
      <w:r w:rsidRPr="0089670E">
        <w:rPr>
          <w:noProof/>
        </w:rPr>
        <w:t xml:space="preserve"> Woody</w:t>
      </w:r>
      <w:r>
        <w:rPr>
          <w:rFonts w:hint="eastAsia"/>
          <w:noProof/>
          <w:lang w:eastAsia="ko-KR"/>
        </w:rPr>
        <w:t>,</w:t>
      </w:r>
      <w:r w:rsidRPr="0089670E">
        <w:rPr>
          <w:noProof/>
        </w:rPr>
        <w:t xml:space="preserve"> M</w:t>
      </w:r>
      <w:r>
        <w:rPr>
          <w:rFonts w:hint="eastAsia"/>
          <w:noProof/>
          <w:lang w:eastAsia="ko-KR"/>
        </w:rPr>
        <w:t>.</w:t>
      </w:r>
      <w:r w:rsidRPr="0089670E">
        <w:rPr>
          <w:noProof/>
        </w:rPr>
        <w:t>C</w:t>
      </w:r>
      <w:r>
        <w:rPr>
          <w:rFonts w:hint="eastAsia"/>
          <w:noProof/>
          <w:lang w:eastAsia="ko-KR"/>
        </w:rPr>
        <w:t>.,</w:t>
      </w:r>
      <w:r w:rsidRPr="0089670E">
        <w:rPr>
          <w:noProof/>
        </w:rPr>
        <w:t xml:space="preserve"> 1980</w:t>
      </w:r>
      <w:r>
        <w:rPr>
          <w:rFonts w:hint="eastAsia"/>
          <w:noProof/>
          <w:lang w:eastAsia="ko-KR"/>
        </w:rPr>
        <w:t>.</w:t>
      </w:r>
      <w:r w:rsidRPr="0089670E">
        <w:rPr>
          <w:noProof/>
        </w:rPr>
        <w:t xml:space="preserve"> Gastrointestinal uptake of 144Ce in the neonatal mouse, rat and pig. </w:t>
      </w:r>
      <w:r w:rsidRPr="00ED6790">
        <w:rPr>
          <w:noProof/>
        </w:rPr>
        <w:t>Health Phys</w:t>
      </w:r>
      <w:r>
        <w:rPr>
          <w:rFonts w:hint="eastAsia"/>
          <w:noProof/>
          <w:lang w:eastAsia="ko-KR"/>
        </w:rPr>
        <w:t>.</w:t>
      </w:r>
      <w:r w:rsidRPr="0089670E">
        <w:rPr>
          <w:noProof/>
        </w:rPr>
        <w:t xml:space="preserve"> 39(2)</w:t>
      </w:r>
      <w:r>
        <w:rPr>
          <w:rFonts w:hint="eastAsia"/>
          <w:noProof/>
          <w:lang w:eastAsia="ko-KR"/>
        </w:rPr>
        <w:t>.</w:t>
      </w:r>
      <w:r w:rsidRPr="0089670E">
        <w:rPr>
          <w:noProof/>
        </w:rPr>
        <w:t xml:space="preserve"> 185–192.</w:t>
      </w:r>
    </w:p>
    <w:p w14:paraId="0AB6FFD1" w14:textId="77777777" w:rsidR="00232741" w:rsidRPr="0089670E" w:rsidRDefault="00232741" w:rsidP="00232741">
      <w:pPr>
        <w:pStyle w:val="aff1"/>
        <w:ind w:left="426" w:hanging="426"/>
        <w:rPr>
          <w:noProof/>
        </w:rPr>
      </w:pPr>
      <w:r w:rsidRPr="0089670E">
        <w:rPr>
          <w:noProof/>
        </w:rPr>
        <w:t>Etherington</w:t>
      </w:r>
      <w:r>
        <w:rPr>
          <w:rFonts w:hint="eastAsia"/>
          <w:noProof/>
          <w:lang w:eastAsia="ko-KR"/>
        </w:rPr>
        <w:t>,</w:t>
      </w:r>
      <w:r w:rsidRPr="0089670E">
        <w:rPr>
          <w:noProof/>
        </w:rPr>
        <w:t xml:space="preserve"> G</w:t>
      </w:r>
      <w:r>
        <w:rPr>
          <w:rFonts w:hint="eastAsia"/>
          <w:noProof/>
          <w:lang w:eastAsia="ko-KR"/>
        </w:rPr>
        <w:t>.</w:t>
      </w:r>
      <w:r w:rsidRPr="0089670E">
        <w:rPr>
          <w:noProof/>
        </w:rPr>
        <w:t>, Bailey</w:t>
      </w:r>
      <w:r>
        <w:rPr>
          <w:rFonts w:hint="eastAsia"/>
          <w:noProof/>
          <w:lang w:eastAsia="ko-KR"/>
        </w:rPr>
        <w:t>,</w:t>
      </w:r>
      <w:r w:rsidRPr="0089670E">
        <w:rPr>
          <w:noProof/>
        </w:rPr>
        <w:t xml:space="preserve"> M</w:t>
      </w:r>
      <w:r>
        <w:rPr>
          <w:rFonts w:hint="eastAsia"/>
          <w:noProof/>
          <w:lang w:eastAsia="ko-KR"/>
        </w:rPr>
        <w:t>.</w:t>
      </w:r>
      <w:r w:rsidRPr="0089670E">
        <w:rPr>
          <w:noProof/>
        </w:rPr>
        <w:t>R</w:t>
      </w:r>
      <w:r>
        <w:rPr>
          <w:rFonts w:hint="eastAsia"/>
          <w:noProof/>
          <w:lang w:eastAsia="ko-KR"/>
        </w:rPr>
        <w:t>.</w:t>
      </w:r>
      <w:r w:rsidRPr="0089670E">
        <w:rPr>
          <w:noProof/>
        </w:rPr>
        <w:t>, Dorrian</w:t>
      </w:r>
      <w:r>
        <w:rPr>
          <w:rFonts w:hint="eastAsia"/>
          <w:noProof/>
          <w:lang w:eastAsia="ko-KR"/>
        </w:rPr>
        <w:t>,</w:t>
      </w:r>
      <w:r w:rsidRPr="0089670E">
        <w:rPr>
          <w:noProof/>
        </w:rPr>
        <w:t xml:space="preserve"> M</w:t>
      </w:r>
      <w:r>
        <w:rPr>
          <w:rFonts w:hint="eastAsia"/>
          <w:noProof/>
          <w:lang w:eastAsia="ko-KR"/>
        </w:rPr>
        <w:t>.</w:t>
      </w:r>
      <w:r w:rsidRPr="0089670E">
        <w:rPr>
          <w:noProof/>
        </w:rPr>
        <w:t>D</w:t>
      </w:r>
      <w:r>
        <w:rPr>
          <w:rFonts w:hint="eastAsia"/>
          <w:noProof/>
          <w:lang w:eastAsia="ko-KR"/>
        </w:rPr>
        <w:t>.</w:t>
      </w:r>
      <w:r w:rsidRPr="0089670E">
        <w:rPr>
          <w:noProof/>
        </w:rPr>
        <w:t>, et al.</w:t>
      </w:r>
      <w:r>
        <w:rPr>
          <w:rFonts w:hint="eastAsia"/>
          <w:noProof/>
          <w:lang w:eastAsia="ko-KR"/>
        </w:rPr>
        <w:t xml:space="preserve">, </w:t>
      </w:r>
      <w:r w:rsidRPr="0089670E">
        <w:rPr>
          <w:noProof/>
        </w:rPr>
        <w:t>1989a</w:t>
      </w:r>
      <w:r>
        <w:rPr>
          <w:rFonts w:hint="eastAsia"/>
          <w:noProof/>
          <w:lang w:eastAsia="ko-KR"/>
        </w:rPr>
        <w:t>.</w:t>
      </w:r>
      <w:r w:rsidRPr="0089670E">
        <w:rPr>
          <w:noProof/>
        </w:rPr>
        <w:t xml:space="preserve"> A study of the biokinetics of intravenously administered yttrium-88 in humans. In: </w:t>
      </w:r>
      <w:r w:rsidRPr="00ED6790">
        <w:rPr>
          <w:noProof/>
        </w:rPr>
        <w:t>Radiation Protection – Theory and Practice</w:t>
      </w:r>
      <w:r w:rsidRPr="0089670E">
        <w:rPr>
          <w:noProof/>
        </w:rPr>
        <w:t>, Symp., Malvern, 1989, pp. 445–448.</w:t>
      </w:r>
    </w:p>
    <w:p w14:paraId="2980AD20" w14:textId="77777777" w:rsidR="00232741" w:rsidRPr="0089670E" w:rsidRDefault="00232741" w:rsidP="00232741">
      <w:pPr>
        <w:pStyle w:val="aff1"/>
        <w:ind w:left="426" w:hanging="426"/>
        <w:rPr>
          <w:noProof/>
        </w:rPr>
      </w:pPr>
      <w:r w:rsidRPr="0089670E">
        <w:rPr>
          <w:noProof/>
        </w:rPr>
        <w:t>Etherington</w:t>
      </w:r>
      <w:r>
        <w:rPr>
          <w:rFonts w:hint="eastAsia"/>
          <w:noProof/>
          <w:lang w:eastAsia="ko-KR"/>
        </w:rPr>
        <w:t>,</w:t>
      </w:r>
      <w:r w:rsidRPr="0089670E">
        <w:rPr>
          <w:noProof/>
        </w:rPr>
        <w:t xml:space="preserve"> G</w:t>
      </w:r>
      <w:r>
        <w:rPr>
          <w:rFonts w:hint="eastAsia"/>
          <w:noProof/>
          <w:lang w:eastAsia="ko-KR"/>
        </w:rPr>
        <w:t>.</w:t>
      </w:r>
      <w:r w:rsidRPr="0089670E">
        <w:rPr>
          <w:noProof/>
        </w:rPr>
        <w:t>, Bailey</w:t>
      </w:r>
      <w:r>
        <w:rPr>
          <w:rFonts w:hint="eastAsia"/>
          <w:noProof/>
          <w:lang w:eastAsia="ko-KR"/>
        </w:rPr>
        <w:t>,</w:t>
      </w:r>
      <w:r w:rsidRPr="0089670E">
        <w:rPr>
          <w:noProof/>
        </w:rPr>
        <w:t xml:space="preserve"> M</w:t>
      </w:r>
      <w:r>
        <w:rPr>
          <w:rFonts w:hint="eastAsia"/>
          <w:noProof/>
          <w:lang w:eastAsia="ko-KR"/>
        </w:rPr>
        <w:t>.</w:t>
      </w:r>
      <w:r w:rsidRPr="0089670E">
        <w:rPr>
          <w:noProof/>
        </w:rPr>
        <w:t>R</w:t>
      </w:r>
      <w:r>
        <w:rPr>
          <w:rFonts w:hint="eastAsia"/>
          <w:noProof/>
          <w:lang w:eastAsia="ko-KR"/>
        </w:rPr>
        <w:t>.</w:t>
      </w:r>
      <w:r w:rsidRPr="0089670E">
        <w:rPr>
          <w:noProof/>
        </w:rPr>
        <w:t>, Dorrian</w:t>
      </w:r>
      <w:r>
        <w:rPr>
          <w:rFonts w:hint="eastAsia"/>
          <w:noProof/>
          <w:lang w:eastAsia="ko-KR"/>
        </w:rPr>
        <w:t>,</w:t>
      </w:r>
      <w:r w:rsidRPr="0089670E">
        <w:rPr>
          <w:noProof/>
        </w:rPr>
        <w:t xml:space="preserve"> M</w:t>
      </w:r>
      <w:r>
        <w:rPr>
          <w:rFonts w:hint="eastAsia"/>
          <w:noProof/>
          <w:lang w:eastAsia="ko-KR"/>
        </w:rPr>
        <w:t>.</w:t>
      </w:r>
      <w:r w:rsidRPr="0089670E">
        <w:rPr>
          <w:noProof/>
        </w:rPr>
        <w:t>D</w:t>
      </w:r>
      <w:r>
        <w:rPr>
          <w:rFonts w:hint="eastAsia"/>
          <w:noProof/>
          <w:lang w:eastAsia="ko-KR"/>
        </w:rPr>
        <w:t>.</w:t>
      </w:r>
      <w:r w:rsidRPr="0089670E">
        <w:rPr>
          <w:noProof/>
        </w:rPr>
        <w:t>, et al.</w:t>
      </w:r>
      <w:r>
        <w:rPr>
          <w:rFonts w:hint="eastAsia"/>
          <w:noProof/>
          <w:lang w:eastAsia="ko-KR"/>
        </w:rPr>
        <w:t>,</w:t>
      </w:r>
      <w:r w:rsidRPr="0089670E">
        <w:rPr>
          <w:noProof/>
        </w:rPr>
        <w:t xml:space="preserve"> 1989b</w:t>
      </w:r>
      <w:r>
        <w:rPr>
          <w:rFonts w:hint="eastAsia"/>
          <w:noProof/>
          <w:lang w:eastAsia="ko-KR"/>
        </w:rPr>
        <w:t>.</w:t>
      </w:r>
      <w:r w:rsidRPr="0089670E">
        <w:rPr>
          <w:noProof/>
        </w:rPr>
        <w:t xml:space="preserve"> The biokinetics of intravenously administered yttrium-88 in humans. </w:t>
      </w:r>
      <w:r w:rsidRPr="00ED6790">
        <w:rPr>
          <w:noProof/>
        </w:rPr>
        <w:t>Radiation Protection Bulletin</w:t>
      </w:r>
      <w:r w:rsidRPr="0089670E">
        <w:rPr>
          <w:noProof/>
        </w:rPr>
        <w:t xml:space="preserve"> (105: September): 16–19.</w:t>
      </w:r>
    </w:p>
    <w:p w14:paraId="487E60F1" w14:textId="77777777" w:rsidR="00232741" w:rsidRPr="0089670E" w:rsidRDefault="00232741" w:rsidP="00232741">
      <w:pPr>
        <w:pStyle w:val="aff1"/>
        <w:ind w:left="426" w:hanging="426"/>
        <w:rPr>
          <w:noProof/>
        </w:rPr>
      </w:pPr>
      <w:r w:rsidRPr="0089670E">
        <w:rPr>
          <w:noProof/>
        </w:rPr>
        <w:t>Ewaldsson</w:t>
      </w:r>
      <w:r>
        <w:rPr>
          <w:rFonts w:hint="eastAsia"/>
          <w:noProof/>
          <w:lang w:eastAsia="ko-KR"/>
        </w:rPr>
        <w:t>,</w:t>
      </w:r>
      <w:r w:rsidRPr="0089670E">
        <w:rPr>
          <w:noProof/>
        </w:rPr>
        <w:t xml:space="preserve"> B</w:t>
      </w:r>
      <w:r>
        <w:rPr>
          <w:rFonts w:hint="eastAsia"/>
          <w:noProof/>
          <w:lang w:eastAsia="ko-KR"/>
        </w:rPr>
        <w:t>.,</w:t>
      </w:r>
      <w:r w:rsidRPr="0089670E">
        <w:rPr>
          <w:noProof/>
        </w:rPr>
        <w:t xml:space="preserve"> Magnusson</w:t>
      </w:r>
      <w:r>
        <w:rPr>
          <w:rFonts w:hint="eastAsia"/>
          <w:noProof/>
          <w:lang w:eastAsia="ko-KR"/>
        </w:rPr>
        <w:t>,</w:t>
      </w:r>
      <w:r w:rsidRPr="0089670E">
        <w:rPr>
          <w:noProof/>
        </w:rPr>
        <w:t xml:space="preserve"> G</w:t>
      </w:r>
      <w:r>
        <w:rPr>
          <w:rFonts w:hint="eastAsia"/>
          <w:noProof/>
          <w:lang w:eastAsia="ko-KR"/>
        </w:rPr>
        <w:t>.,</w:t>
      </w:r>
      <w:r w:rsidRPr="0089670E">
        <w:rPr>
          <w:noProof/>
        </w:rPr>
        <w:t xml:space="preserve"> 1964</w:t>
      </w:r>
      <w:r>
        <w:rPr>
          <w:rFonts w:hint="eastAsia"/>
          <w:noProof/>
          <w:lang w:eastAsia="ko-KR"/>
        </w:rPr>
        <w:t>.</w:t>
      </w:r>
      <w:r w:rsidRPr="0089670E">
        <w:rPr>
          <w:noProof/>
        </w:rPr>
        <w:t xml:space="preserve"> Distribution of radiocerium and radiopromethium in mice. An autoradiograhic study. </w:t>
      </w:r>
      <w:r w:rsidRPr="00EE4501">
        <w:rPr>
          <w:noProof/>
        </w:rPr>
        <w:t>Acta Radiol. Ther. Phys. Biol.</w:t>
      </w:r>
      <w:r w:rsidRPr="0089670E">
        <w:rPr>
          <w:noProof/>
        </w:rPr>
        <w:t xml:space="preserve"> 2</w:t>
      </w:r>
      <w:r>
        <w:rPr>
          <w:rFonts w:hint="eastAsia"/>
          <w:noProof/>
          <w:lang w:eastAsia="ko-KR"/>
        </w:rPr>
        <w:t>.</w:t>
      </w:r>
      <w:r w:rsidRPr="0089670E">
        <w:rPr>
          <w:noProof/>
        </w:rPr>
        <w:t xml:space="preserve"> 65–72.</w:t>
      </w:r>
    </w:p>
    <w:p w14:paraId="3359DFDC" w14:textId="77777777" w:rsidR="00232741" w:rsidRPr="0089670E" w:rsidRDefault="00232741" w:rsidP="00232741">
      <w:pPr>
        <w:pStyle w:val="aff1"/>
        <w:ind w:left="426" w:hanging="426"/>
        <w:rPr>
          <w:noProof/>
        </w:rPr>
      </w:pPr>
      <w:r w:rsidRPr="0089670E">
        <w:rPr>
          <w:noProof/>
        </w:rPr>
        <w:t>Filipy</w:t>
      </w:r>
      <w:r>
        <w:rPr>
          <w:rFonts w:hint="eastAsia"/>
          <w:noProof/>
          <w:lang w:eastAsia="ko-KR"/>
        </w:rPr>
        <w:t>,</w:t>
      </w:r>
      <w:r w:rsidRPr="0089670E">
        <w:rPr>
          <w:noProof/>
        </w:rPr>
        <w:t xml:space="preserve"> R</w:t>
      </w:r>
      <w:r>
        <w:rPr>
          <w:rFonts w:hint="eastAsia"/>
          <w:noProof/>
          <w:lang w:eastAsia="ko-KR"/>
        </w:rPr>
        <w:t>.</w:t>
      </w:r>
      <w:r w:rsidRPr="0089670E">
        <w:rPr>
          <w:noProof/>
        </w:rPr>
        <w:t>E</w:t>
      </w:r>
      <w:r>
        <w:rPr>
          <w:rFonts w:hint="eastAsia"/>
          <w:noProof/>
          <w:lang w:eastAsia="ko-KR"/>
        </w:rPr>
        <w:t>.,</w:t>
      </w:r>
      <w:r w:rsidRPr="0089670E">
        <w:rPr>
          <w:noProof/>
        </w:rPr>
        <w:t xml:space="preserve"> 2001</w:t>
      </w:r>
      <w:r>
        <w:rPr>
          <w:rFonts w:hint="eastAsia"/>
          <w:noProof/>
          <w:lang w:eastAsia="ko-KR"/>
        </w:rPr>
        <w:t>.</w:t>
      </w:r>
      <w:r w:rsidRPr="0089670E">
        <w:rPr>
          <w:noProof/>
        </w:rPr>
        <w:t xml:space="preserve"> Analyses of whole body donations. In: </w:t>
      </w:r>
      <w:r w:rsidRPr="00ED6790">
        <w:rPr>
          <w:noProof/>
        </w:rPr>
        <w:t>USTUR Annual Report for February 1, 2000 through January 31, 2001, USTUR-0177-01</w:t>
      </w:r>
      <w:r w:rsidRPr="0089670E">
        <w:rPr>
          <w:noProof/>
        </w:rPr>
        <w:t>. Pullman, WA: United States Tranuranium and Uranium Registries, pp. 12–17.</w:t>
      </w:r>
    </w:p>
    <w:p w14:paraId="19EDBA64" w14:textId="77777777" w:rsidR="00232741" w:rsidRPr="0089670E" w:rsidRDefault="00232741" w:rsidP="00232741">
      <w:pPr>
        <w:pStyle w:val="aff1"/>
        <w:ind w:left="426" w:hanging="426"/>
        <w:rPr>
          <w:noProof/>
        </w:rPr>
      </w:pPr>
      <w:r w:rsidRPr="0089670E">
        <w:rPr>
          <w:noProof/>
        </w:rPr>
        <w:t>Filipy</w:t>
      </w:r>
      <w:r>
        <w:rPr>
          <w:rFonts w:hint="eastAsia"/>
          <w:noProof/>
          <w:lang w:eastAsia="ko-KR"/>
        </w:rPr>
        <w:t>,</w:t>
      </w:r>
      <w:r w:rsidRPr="0089670E">
        <w:rPr>
          <w:noProof/>
        </w:rPr>
        <w:t xml:space="preserve"> R</w:t>
      </w:r>
      <w:r>
        <w:rPr>
          <w:rFonts w:hint="eastAsia"/>
          <w:noProof/>
          <w:lang w:eastAsia="ko-KR"/>
        </w:rPr>
        <w:t>.</w:t>
      </w:r>
      <w:r w:rsidRPr="0089670E">
        <w:rPr>
          <w:noProof/>
        </w:rPr>
        <w:t>E</w:t>
      </w:r>
      <w:r>
        <w:rPr>
          <w:rFonts w:hint="eastAsia"/>
          <w:noProof/>
          <w:lang w:eastAsia="ko-KR"/>
        </w:rPr>
        <w:t>.,</w:t>
      </w:r>
      <w:r w:rsidRPr="0089670E">
        <w:rPr>
          <w:noProof/>
        </w:rPr>
        <w:t xml:space="preserve"> 2003</w:t>
      </w:r>
      <w:r>
        <w:rPr>
          <w:rFonts w:hint="eastAsia"/>
          <w:noProof/>
          <w:lang w:eastAsia="ko-KR"/>
        </w:rPr>
        <w:t>.</w:t>
      </w:r>
      <w:r w:rsidRPr="0089670E">
        <w:rPr>
          <w:noProof/>
        </w:rPr>
        <w:t xml:space="preserve"> Estimation of actinide body burdens on the basis of tissue samples collected at autopsy. In: </w:t>
      </w:r>
      <w:r w:rsidRPr="00ED6790">
        <w:rPr>
          <w:noProof/>
        </w:rPr>
        <w:t>USTUR Annual Report for the Period February 1, 2002 – January 31, 2003</w:t>
      </w:r>
      <w:r w:rsidRPr="0089670E">
        <w:rPr>
          <w:noProof/>
        </w:rPr>
        <w:t>. Pullman, WA: United States Tranuranium and Uranium Registries, pp. 32–35.</w:t>
      </w:r>
    </w:p>
    <w:p w14:paraId="50143C09" w14:textId="77777777" w:rsidR="00232741" w:rsidRPr="0089670E" w:rsidRDefault="00232741" w:rsidP="00232741">
      <w:pPr>
        <w:pStyle w:val="aff1"/>
        <w:ind w:left="426" w:hanging="426"/>
        <w:rPr>
          <w:noProof/>
        </w:rPr>
      </w:pPr>
      <w:r w:rsidRPr="0089670E">
        <w:rPr>
          <w:noProof/>
        </w:rPr>
        <w:t>Fisenne</w:t>
      </w:r>
      <w:r>
        <w:rPr>
          <w:rFonts w:hint="eastAsia"/>
          <w:noProof/>
          <w:lang w:eastAsia="ko-KR"/>
        </w:rPr>
        <w:t>,</w:t>
      </w:r>
      <w:r w:rsidRPr="0089670E">
        <w:rPr>
          <w:noProof/>
        </w:rPr>
        <w:t xml:space="preserve"> I</w:t>
      </w:r>
      <w:r>
        <w:rPr>
          <w:rFonts w:hint="eastAsia"/>
          <w:noProof/>
          <w:lang w:eastAsia="ko-KR"/>
        </w:rPr>
        <w:t>.</w:t>
      </w:r>
      <w:r w:rsidRPr="0089670E">
        <w:rPr>
          <w:noProof/>
        </w:rPr>
        <w:t>M</w:t>
      </w:r>
      <w:r>
        <w:rPr>
          <w:rFonts w:hint="eastAsia"/>
          <w:noProof/>
          <w:lang w:eastAsia="ko-KR"/>
        </w:rPr>
        <w:t>.,</w:t>
      </w:r>
      <w:r w:rsidRPr="0089670E">
        <w:rPr>
          <w:noProof/>
        </w:rPr>
        <w:t xml:space="preserve"> Welford</w:t>
      </w:r>
      <w:r>
        <w:rPr>
          <w:rFonts w:hint="eastAsia"/>
          <w:noProof/>
          <w:lang w:eastAsia="ko-KR"/>
        </w:rPr>
        <w:t>,</w:t>
      </w:r>
      <w:r w:rsidRPr="0089670E">
        <w:rPr>
          <w:noProof/>
        </w:rPr>
        <w:t xml:space="preserve"> G</w:t>
      </w:r>
      <w:r>
        <w:rPr>
          <w:rFonts w:hint="eastAsia"/>
          <w:noProof/>
          <w:lang w:eastAsia="ko-KR"/>
        </w:rPr>
        <w:t>.</w:t>
      </w:r>
      <w:r w:rsidRPr="0089670E">
        <w:rPr>
          <w:noProof/>
        </w:rPr>
        <w:t>A</w:t>
      </w:r>
      <w:r>
        <w:rPr>
          <w:rFonts w:hint="eastAsia"/>
          <w:noProof/>
          <w:lang w:eastAsia="ko-KR"/>
        </w:rPr>
        <w:t xml:space="preserve">., </w:t>
      </w:r>
      <w:r w:rsidRPr="0089670E">
        <w:rPr>
          <w:noProof/>
        </w:rPr>
        <w:t>1986</w:t>
      </w:r>
      <w:r>
        <w:rPr>
          <w:rFonts w:hint="eastAsia"/>
          <w:noProof/>
          <w:lang w:eastAsia="ko-KR"/>
        </w:rPr>
        <w:t>.</w:t>
      </w:r>
      <w:r w:rsidRPr="0089670E">
        <w:rPr>
          <w:noProof/>
        </w:rPr>
        <w:t xml:space="preserve"> Natural U concentrations in soft tissues and bone of New York City residents. </w:t>
      </w:r>
      <w:r w:rsidRPr="00ED6790">
        <w:rPr>
          <w:noProof/>
        </w:rPr>
        <w:t>Health Phys</w:t>
      </w:r>
      <w:r>
        <w:rPr>
          <w:rFonts w:hint="eastAsia"/>
          <w:noProof/>
          <w:lang w:eastAsia="ko-KR"/>
        </w:rPr>
        <w:t>.</w:t>
      </w:r>
      <w:r w:rsidRPr="0089670E">
        <w:rPr>
          <w:noProof/>
        </w:rPr>
        <w:t xml:space="preserve"> 50(6)</w:t>
      </w:r>
      <w:r>
        <w:rPr>
          <w:rFonts w:hint="eastAsia"/>
          <w:noProof/>
          <w:lang w:eastAsia="ko-KR"/>
        </w:rPr>
        <w:t>.</w:t>
      </w:r>
      <w:r w:rsidRPr="0089670E">
        <w:rPr>
          <w:noProof/>
        </w:rPr>
        <w:t xml:space="preserve"> 739–746.</w:t>
      </w:r>
    </w:p>
    <w:p w14:paraId="334FF778" w14:textId="77777777" w:rsidR="00232741" w:rsidRPr="0089670E" w:rsidRDefault="00232741" w:rsidP="00232741">
      <w:pPr>
        <w:pStyle w:val="aff1"/>
        <w:ind w:left="426" w:hanging="426"/>
        <w:rPr>
          <w:noProof/>
        </w:rPr>
      </w:pPr>
      <w:r w:rsidRPr="0089670E">
        <w:rPr>
          <w:noProof/>
        </w:rPr>
        <w:t>Fry</w:t>
      </w:r>
      <w:r>
        <w:rPr>
          <w:rFonts w:hint="eastAsia"/>
          <w:noProof/>
          <w:lang w:eastAsia="ko-KR"/>
        </w:rPr>
        <w:t>,</w:t>
      </w:r>
      <w:r w:rsidRPr="0089670E">
        <w:rPr>
          <w:noProof/>
        </w:rPr>
        <w:t xml:space="preserve"> F</w:t>
      </w:r>
      <w:r>
        <w:rPr>
          <w:rFonts w:hint="eastAsia"/>
          <w:noProof/>
          <w:lang w:eastAsia="ko-KR"/>
        </w:rPr>
        <w:t>.</w:t>
      </w:r>
      <w:r w:rsidRPr="0089670E">
        <w:rPr>
          <w:noProof/>
        </w:rPr>
        <w:t>A</w:t>
      </w:r>
      <w:r>
        <w:rPr>
          <w:rFonts w:hint="eastAsia"/>
          <w:noProof/>
          <w:lang w:eastAsia="ko-KR"/>
        </w:rPr>
        <w:t>.,</w:t>
      </w:r>
      <w:r w:rsidRPr="0089670E">
        <w:rPr>
          <w:noProof/>
        </w:rPr>
        <w:t xml:space="preserve"> 1976</w:t>
      </w:r>
      <w:r>
        <w:rPr>
          <w:rFonts w:hint="eastAsia"/>
          <w:noProof/>
          <w:lang w:eastAsia="ko-KR"/>
        </w:rPr>
        <w:t>.</w:t>
      </w:r>
      <w:r w:rsidRPr="0089670E">
        <w:rPr>
          <w:noProof/>
        </w:rPr>
        <w:t xml:space="preserve"> Long-term retention of americium-241 following accidental inhalation. </w:t>
      </w:r>
      <w:r w:rsidRPr="00ED6790">
        <w:rPr>
          <w:noProof/>
        </w:rPr>
        <w:t>Health Phys</w:t>
      </w:r>
      <w:r>
        <w:rPr>
          <w:rFonts w:hint="eastAsia"/>
          <w:noProof/>
          <w:lang w:eastAsia="ko-KR"/>
        </w:rPr>
        <w:t>.</w:t>
      </w:r>
      <w:r w:rsidRPr="0089670E">
        <w:rPr>
          <w:noProof/>
        </w:rPr>
        <w:t xml:space="preserve"> 31(1)</w:t>
      </w:r>
      <w:r>
        <w:rPr>
          <w:rFonts w:hint="eastAsia"/>
          <w:noProof/>
          <w:lang w:eastAsia="ko-KR"/>
        </w:rPr>
        <w:t>.</w:t>
      </w:r>
      <w:r w:rsidRPr="0089670E">
        <w:rPr>
          <w:noProof/>
        </w:rPr>
        <w:t xml:space="preserve"> 13–20.</w:t>
      </w:r>
    </w:p>
    <w:p w14:paraId="1DD5740A" w14:textId="77777777" w:rsidR="00232741" w:rsidRPr="00BB7751" w:rsidRDefault="00232741" w:rsidP="00232741">
      <w:pPr>
        <w:pStyle w:val="aff1"/>
        <w:ind w:left="426" w:hanging="426"/>
        <w:rPr>
          <w:noProof/>
          <w:lang w:val="fr-FR"/>
        </w:rPr>
      </w:pPr>
      <w:r w:rsidRPr="0089670E">
        <w:rPr>
          <w:noProof/>
        </w:rPr>
        <w:t>Gensicke</w:t>
      </w:r>
      <w:r>
        <w:rPr>
          <w:rFonts w:hint="eastAsia"/>
          <w:noProof/>
          <w:lang w:eastAsia="ko-KR"/>
        </w:rPr>
        <w:t>,</w:t>
      </w:r>
      <w:r w:rsidRPr="0089670E">
        <w:rPr>
          <w:noProof/>
        </w:rPr>
        <w:t xml:space="preserve"> F</w:t>
      </w:r>
      <w:r>
        <w:rPr>
          <w:rFonts w:hint="eastAsia"/>
          <w:noProof/>
          <w:lang w:eastAsia="ko-KR"/>
        </w:rPr>
        <w:t>.,</w:t>
      </w:r>
      <w:r w:rsidRPr="0089670E">
        <w:rPr>
          <w:noProof/>
        </w:rPr>
        <w:t xml:space="preserve"> Nitschke</w:t>
      </w:r>
      <w:r>
        <w:rPr>
          <w:rFonts w:hint="eastAsia"/>
          <w:noProof/>
          <w:lang w:eastAsia="ko-KR"/>
        </w:rPr>
        <w:t>,</w:t>
      </w:r>
      <w:r w:rsidRPr="0089670E">
        <w:rPr>
          <w:noProof/>
        </w:rPr>
        <w:t xml:space="preserve"> H</w:t>
      </w:r>
      <w:r>
        <w:rPr>
          <w:rFonts w:hint="eastAsia"/>
          <w:noProof/>
          <w:lang w:eastAsia="ko-KR"/>
        </w:rPr>
        <w:t>.</w:t>
      </w:r>
      <w:r w:rsidRPr="0089670E">
        <w:rPr>
          <w:noProof/>
        </w:rPr>
        <w:t>W</w:t>
      </w:r>
      <w:r>
        <w:rPr>
          <w:rFonts w:hint="eastAsia"/>
          <w:noProof/>
          <w:lang w:eastAsia="ko-KR"/>
        </w:rPr>
        <w:t>.,</w:t>
      </w:r>
      <w:r w:rsidRPr="0089670E">
        <w:rPr>
          <w:noProof/>
        </w:rPr>
        <w:t xml:space="preserve"> 1964</w:t>
      </w:r>
      <w:r>
        <w:rPr>
          <w:rFonts w:hint="eastAsia"/>
          <w:noProof/>
          <w:lang w:eastAsia="ko-KR"/>
        </w:rPr>
        <w:t>.</w:t>
      </w:r>
      <w:r w:rsidRPr="0089670E">
        <w:rPr>
          <w:noProof/>
        </w:rPr>
        <w:t xml:space="preserve"> [ON THE PROBLEM OF RADIOPRASEODYMIUM METABOLISM (PR 143) AFTER INHALATION OF FLUID AEROSOLS IN WHITE MICE]. </w:t>
      </w:r>
      <w:r w:rsidRPr="00BB7751">
        <w:rPr>
          <w:noProof/>
          <w:lang w:val="fr-FR"/>
        </w:rPr>
        <w:t>Strahlentherapie 123</w:t>
      </w:r>
      <w:r w:rsidRPr="00BB7751">
        <w:rPr>
          <w:rFonts w:hint="eastAsia"/>
          <w:noProof/>
          <w:lang w:val="fr-FR" w:eastAsia="ko-KR"/>
        </w:rPr>
        <w:t>.</w:t>
      </w:r>
      <w:r w:rsidRPr="00BB7751">
        <w:rPr>
          <w:noProof/>
          <w:lang w:val="fr-FR"/>
        </w:rPr>
        <w:t xml:space="preserve"> 259–266.</w:t>
      </w:r>
    </w:p>
    <w:p w14:paraId="20D15503" w14:textId="77777777" w:rsidR="00232741" w:rsidRPr="0089670E" w:rsidRDefault="00232741" w:rsidP="00232741">
      <w:pPr>
        <w:pStyle w:val="aff1"/>
        <w:ind w:left="426" w:hanging="426"/>
        <w:rPr>
          <w:noProof/>
        </w:rPr>
      </w:pPr>
      <w:r w:rsidRPr="00BB7751">
        <w:rPr>
          <w:noProof/>
          <w:lang w:val="fr-FR"/>
        </w:rPr>
        <w:t>Graham</w:t>
      </w:r>
      <w:r w:rsidRPr="00BB7751">
        <w:rPr>
          <w:rFonts w:hint="eastAsia"/>
          <w:noProof/>
          <w:lang w:val="fr-FR" w:eastAsia="ko-KR"/>
        </w:rPr>
        <w:t>,</w:t>
      </w:r>
      <w:r w:rsidRPr="00BB7751">
        <w:rPr>
          <w:noProof/>
          <w:lang w:val="fr-FR"/>
        </w:rPr>
        <w:t xml:space="preserve"> B</w:t>
      </w:r>
      <w:r w:rsidRPr="00BB7751">
        <w:rPr>
          <w:rFonts w:hint="eastAsia"/>
          <w:noProof/>
          <w:lang w:val="fr-FR" w:eastAsia="ko-KR"/>
        </w:rPr>
        <w:t>.</w:t>
      </w:r>
      <w:r w:rsidRPr="00BB7751">
        <w:rPr>
          <w:noProof/>
          <w:lang w:val="fr-FR"/>
        </w:rPr>
        <w:t>W</w:t>
      </w:r>
      <w:r w:rsidRPr="00BB7751">
        <w:rPr>
          <w:rFonts w:hint="eastAsia"/>
          <w:noProof/>
          <w:lang w:val="fr-FR" w:eastAsia="ko-KR"/>
        </w:rPr>
        <w:t>.</w:t>
      </w:r>
      <w:r w:rsidRPr="00BB7751">
        <w:rPr>
          <w:noProof/>
          <w:lang w:val="fr-FR"/>
        </w:rPr>
        <w:t>, Ziemer</w:t>
      </w:r>
      <w:r w:rsidRPr="00BB7751">
        <w:rPr>
          <w:rFonts w:hint="eastAsia"/>
          <w:noProof/>
          <w:lang w:val="fr-FR" w:eastAsia="ko-KR"/>
        </w:rPr>
        <w:t>,</w:t>
      </w:r>
      <w:r w:rsidRPr="00BB7751">
        <w:rPr>
          <w:noProof/>
          <w:lang w:val="fr-FR"/>
        </w:rPr>
        <w:t xml:space="preserve"> P</w:t>
      </w:r>
      <w:r w:rsidRPr="00BB7751">
        <w:rPr>
          <w:rFonts w:hint="eastAsia"/>
          <w:noProof/>
          <w:lang w:val="fr-FR" w:eastAsia="ko-KR"/>
        </w:rPr>
        <w:t>.</w:t>
      </w:r>
      <w:r w:rsidRPr="00BB7751">
        <w:rPr>
          <w:noProof/>
          <w:lang w:val="fr-FR"/>
        </w:rPr>
        <w:t>L</w:t>
      </w:r>
      <w:r w:rsidRPr="00BB7751">
        <w:rPr>
          <w:rFonts w:hint="eastAsia"/>
          <w:noProof/>
          <w:lang w:val="fr-FR" w:eastAsia="ko-KR"/>
        </w:rPr>
        <w:t>.</w:t>
      </w:r>
      <w:r w:rsidRPr="00BB7751">
        <w:rPr>
          <w:noProof/>
          <w:lang w:val="fr-FR"/>
        </w:rPr>
        <w:t>, Landolt</w:t>
      </w:r>
      <w:r w:rsidRPr="00BB7751">
        <w:rPr>
          <w:rFonts w:hint="eastAsia"/>
          <w:noProof/>
          <w:lang w:val="fr-FR" w:eastAsia="ko-KR"/>
        </w:rPr>
        <w:t>,</w:t>
      </w:r>
      <w:r w:rsidRPr="00BB7751">
        <w:rPr>
          <w:noProof/>
          <w:lang w:val="fr-FR"/>
        </w:rPr>
        <w:t xml:space="preserve"> R</w:t>
      </w:r>
      <w:r w:rsidRPr="00BB7751">
        <w:rPr>
          <w:rFonts w:hint="eastAsia"/>
          <w:noProof/>
          <w:lang w:val="fr-FR" w:eastAsia="ko-KR"/>
        </w:rPr>
        <w:t>.</w:t>
      </w:r>
      <w:r w:rsidRPr="00BB7751">
        <w:rPr>
          <w:noProof/>
          <w:lang w:val="fr-FR"/>
        </w:rPr>
        <w:t>R</w:t>
      </w:r>
      <w:r w:rsidRPr="00BB7751">
        <w:rPr>
          <w:rFonts w:hint="eastAsia"/>
          <w:noProof/>
          <w:lang w:val="fr-FR" w:eastAsia="ko-KR"/>
        </w:rPr>
        <w:t>.</w:t>
      </w:r>
      <w:r w:rsidRPr="00BB7751">
        <w:rPr>
          <w:noProof/>
          <w:lang w:val="fr-FR"/>
        </w:rPr>
        <w:t>, et al.</w:t>
      </w:r>
      <w:r w:rsidRPr="00BB7751">
        <w:rPr>
          <w:rFonts w:hint="eastAsia"/>
          <w:noProof/>
          <w:lang w:val="fr-FR" w:eastAsia="ko-KR"/>
        </w:rPr>
        <w:t>,</w:t>
      </w:r>
      <w:r w:rsidRPr="00BB7751">
        <w:rPr>
          <w:noProof/>
          <w:lang w:val="fr-FR"/>
        </w:rPr>
        <w:t xml:space="preserve"> 1978</w:t>
      </w:r>
      <w:r w:rsidRPr="00BB7751">
        <w:rPr>
          <w:rFonts w:hint="eastAsia"/>
          <w:noProof/>
          <w:lang w:val="fr-FR" w:eastAsia="ko-KR"/>
        </w:rPr>
        <w:t>.</w:t>
      </w:r>
      <w:r w:rsidRPr="00BB7751">
        <w:rPr>
          <w:noProof/>
          <w:lang w:val="fr-FR"/>
        </w:rPr>
        <w:t xml:space="preserve"> </w:t>
      </w:r>
      <w:r w:rsidRPr="0089670E">
        <w:rPr>
          <w:noProof/>
        </w:rPr>
        <w:t xml:space="preserve">The metabolism of 252CfCl3 in the rat and the effect of in vivo dtp a chelation therapy. </w:t>
      </w:r>
      <w:r w:rsidRPr="00ED6790">
        <w:rPr>
          <w:noProof/>
        </w:rPr>
        <w:t>Health Phys</w:t>
      </w:r>
      <w:r>
        <w:rPr>
          <w:rFonts w:hint="eastAsia"/>
          <w:noProof/>
          <w:lang w:eastAsia="ko-KR"/>
        </w:rPr>
        <w:t>.</w:t>
      </w:r>
      <w:r w:rsidRPr="0089670E">
        <w:rPr>
          <w:noProof/>
        </w:rPr>
        <w:t xml:space="preserve"> 34(6)</w:t>
      </w:r>
      <w:r>
        <w:rPr>
          <w:rFonts w:hint="eastAsia"/>
          <w:noProof/>
          <w:lang w:eastAsia="ko-KR"/>
        </w:rPr>
        <w:t>.</w:t>
      </w:r>
      <w:r w:rsidRPr="0089670E">
        <w:rPr>
          <w:noProof/>
        </w:rPr>
        <w:t xml:space="preserve"> 635–641.</w:t>
      </w:r>
    </w:p>
    <w:p w14:paraId="19B72278" w14:textId="77777777" w:rsidR="00232741" w:rsidRPr="0089670E" w:rsidRDefault="00232741" w:rsidP="00232741">
      <w:pPr>
        <w:pStyle w:val="aff1"/>
        <w:ind w:left="426" w:hanging="426"/>
        <w:rPr>
          <w:noProof/>
        </w:rPr>
      </w:pPr>
      <w:r w:rsidRPr="0089670E">
        <w:rPr>
          <w:noProof/>
        </w:rPr>
        <w:t>Guilmette</w:t>
      </w:r>
      <w:r>
        <w:rPr>
          <w:rFonts w:hint="eastAsia"/>
          <w:noProof/>
          <w:lang w:eastAsia="ko-KR"/>
        </w:rPr>
        <w:t>,</w:t>
      </w:r>
      <w:r w:rsidRPr="0089670E">
        <w:rPr>
          <w:noProof/>
        </w:rPr>
        <w:t xml:space="preserve"> R</w:t>
      </w:r>
      <w:r>
        <w:rPr>
          <w:rFonts w:hint="eastAsia"/>
          <w:noProof/>
          <w:lang w:eastAsia="ko-KR"/>
        </w:rPr>
        <w:t>.</w:t>
      </w:r>
      <w:r w:rsidRPr="0089670E">
        <w:rPr>
          <w:noProof/>
        </w:rPr>
        <w:t>A</w:t>
      </w:r>
      <w:r>
        <w:rPr>
          <w:rFonts w:hint="eastAsia"/>
          <w:noProof/>
          <w:lang w:eastAsia="ko-KR"/>
        </w:rPr>
        <w:t>.,</w:t>
      </w:r>
      <w:r w:rsidRPr="0089670E">
        <w:rPr>
          <w:noProof/>
        </w:rPr>
        <w:t xml:space="preserve"> Mewhinney</w:t>
      </w:r>
      <w:r>
        <w:rPr>
          <w:rFonts w:hint="eastAsia"/>
          <w:noProof/>
          <w:lang w:eastAsia="ko-KR"/>
        </w:rPr>
        <w:t>,</w:t>
      </w:r>
      <w:r w:rsidRPr="0089670E">
        <w:rPr>
          <w:noProof/>
        </w:rPr>
        <w:t xml:space="preserve"> J</w:t>
      </w:r>
      <w:r>
        <w:rPr>
          <w:rFonts w:hint="eastAsia"/>
          <w:noProof/>
          <w:lang w:eastAsia="ko-KR"/>
        </w:rPr>
        <w:t>.</w:t>
      </w:r>
      <w:r w:rsidRPr="0089670E">
        <w:rPr>
          <w:noProof/>
        </w:rPr>
        <w:t>A</w:t>
      </w:r>
      <w:r>
        <w:rPr>
          <w:rFonts w:hint="eastAsia"/>
          <w:noProof/>
          <w:lang w:eastAsia="ko-KR"/>
        </w:rPr>
        <w:t>.,</w:t>
      </w:r>
      <w:r w:rsidRPr="0089670E">
        <w:rPr>
          <w:noProof/>
        </w:rPr>
        <w:t xml:space="preserve"> 1989</w:t>
      </w:r>
      <w:r>
        <w:rPr>
          <w:rFonts w:hint="eastAsia"/>
          <w:noProof/>
          <w:lang w:eastAsia="ko-KR"/>
        </w:rPr>
        <w:t>.</w:t>
      </w:r>
      <w:r w:rsidRPr="0089670E">
        <w:rPr>
          <w:noProof/>
        </w:rPr>
        <w:t xml:space="preserve"> A biokinetic model of inhaled cm compounds in dogs: Application to human exposure data. </w:t>
      </w:r>
      <w:r w:rsidRPr="00ED6790">
        <w:rPr>
          <w:noProof/>
        </w:rPr>
        <w:t>Health Phys</w:t>
      </w:r>
      <w:r>
        <w:rPr>
          <w:rFonts w:hint="eastAsia"/>
          <w:noProof/>
          <w:lang w:eastAsia="ko-KR"/>
        </w:rPr>
        <w:t>.</w:t>
      </w:r>
      <w:r w:rsidRPr="0089670E">
        <w:rPr>
          <w:noProof/>
        </w:rPr>
        <w:t xml:space="preserve"> 57</w:t>
      </w:r>
      <w:r>
        <w:rPr>
          <w:rFonts w:hint="eastAsia"/>
          <w:noProof/>
          <w:lang w:eastAsia="ko-KR"/>
        </w:rPr>
        <w:t>.</w:t>
      </w:r>
      <w:r w:rsidRPr="0089670E">
        <w:rPr>
          <w:noProof/>
        </w:rPr>
        <w:t xml:space="preserve"> 187–198.</w:t>
      </w:r>
    </w:p>
    <w:p w14:paraId="21B208EC" w14:textId="77777777" w:rsidR="00232741" w:rsidRPr="00BB7751" w:rsidRDefault="00232741" w:rsidP="00232741">
      <w:pPr>
        <w:pStyle w:val="aff1"/>
        <w:ind w:left="426" w:hanging="426"/>
        <w:rPr>
          <w:noProof/>
          <w:lang w:val="fr-FR"/>
        </w:rPr>
      </w:pPr>
      <w:r w:rsidRPr="0089670E">
        <w:rPr>
          <w:noProof/>
        </w:rPr>
        <w:t>Guilmette</w:t>
      </w:r>
      <w:r>
        <w:rPr>
          <w:rFonts w:hint="eastAsia"/>
          <w:noProof/>
          <w:lang w:eastAsia="ko-KR"/>
        </w:rPr>
        <w:t>,</w:t>
      </w:r>
      <w:r w:rsidRPr="0089670E">
        <w:rPr>
          <w:noProof/>
        </w:rPr>
        <w:t xml:space="preserve"> R</w:t>
      </w:r>
      <w:r>
        <w:rPr>
          <w:rFonts w:hint="eastAsia"/>
          <w:noProof/>
          <w:lang w:eastAsia="ko-KR"/>
        </w:rPr>
        <w:t>.</w:t>
      </w:r>
      <w:r w:rsidRPr="0089670E">
        <w:rPr>
          <w:noProof/>
        </w:rPr>
        <w:t>A</w:t>
      </w:r>
      <w:r>
        <w:rPr>
          <w:rFonts w:hint="eastAsia"/>
          <w:noProof/>
          <w:lang w:eastAsia="ko-KR"/>
        </w:rPr>
        <w:t>.</w:t>
      </w:r>
      <w:r w:rsidRPr="0089670E">
        <w:rPr>
          <w:noProof/>
        </w:rPr>
        <w:t>, Cohen</w:t>
      </w:r>
      <w:r>
        <w:rPr>
          <w:rFonts w:hint="eastAsia"/>
          <w:noProof/>
          <w:lang w:eastAsia="ko-KR"/>
        </w:rPr>
        <w:t>,</w:t>
      </w:r>
      <w:r w:rsidRPr="0089670E">
        <w:rPr>
          <w:noProof/>
        </w:rPr>
        <w:t xml:space="preserve"> N</w:t>
      </w:r>
      <w:r>
        <w:rPr>
          <w:rFonts w:hint="eastAsia"/>
          <w:noProof/>
          <w:lang w:eastAsia="ko-KR"/>
        </w:rPr>
        <w:t>.,</w:t>
      </w:r>
      <w:r w:rsidRPr="0089670E">
        <w:rPr>
          <w:noProof/>
        </w:rPr>
        <w:t xml:space="preserve"> Wrenn</w:t>
      </w:r>
      <w:r>
        <w:rPr>
          <w:rFonts w:hint="eastAsia"/>
          <w:noProof/>
          <w:lang w:eastAsia="ko-KR"/>
        </w:rPr>
        <w:t>,</w:t>
      </w:r>
      <w:r w:rsidRPr="0089670E">
        <w:rPr>
          <w:noProof/>
        </w:rPr>
        <w:t xml:space="preserve"> M</w:t>
      </w:r>
      <w:r>
        <w:rPr>
          <w:rFonts w:hint="eastAsia"/>
          <w:noProof/>
          <w:lang w:eastAsia="ko-KR"/>
        </w:rPr>
        <w:t>.</w:t>
      </w:r>
      <w:r w:rsidRPr="0089670E">
        <w:rPr>
          <w:noProof/>
        </w:rPr>
        <w:t>E</w:t>
      </w:r>
      <w:r>
        <w:rPr>
          <w:rFonts w:hint="eastAsia"/>
          <w:noProof/>
          <w:lang w:eastAsia="ko-KR"/>
        </w:rPr>
        <w:t>.,</w:t>
      </w:r>
      <w:r w:rsidRPr="0089670E">
        <w:rPr>
          <w:noProof/>
        </w:rPr>
        <w:t xml:space="preserve"> 1980</w:t>
      </w:r>
      <w:r>
        <w:rPr>
          <w:rFonts w:hint="eastAsia"/>
          <w:noProof/>
          <w:lang w:eastAsia="ko-KR"/>
        </w:rPr>
        <w:t>.</w:t>
      </w:r>
      <w:r w:rsidRPr="0089670E">
        <w:rPr>
          <w:noProof/>
        </w:rPr>
        <w:t xml:space="preserve"> Distribution and retention of 241Am in the baboon. </w:t>
      </w:r>
      <w:r w:rsidRPr="00BB7751">
        <w:rPr>
          <w:noProof/>
          <w:lang w:val="fr-FR"/>
        </w:rPr>
        <w:t>Radiat. Res. 81(1)</w:t>
      </w:r>
      <w:r w:rsidRPr="00BB7751">
        <w:rPr>
          <w:rFonts w:hint="eastAsia"/>
          <w:noProof/>
          <w:lang w:val="fr-FR" w:eastAsia="ko-KR"/>
        </w:rPr>
        <w:t>.</w:t>
      </w:r>
      <w:r w:rsidRPr="00BB7751">
        <w:rPr>
          <w:noProof/>
          <w:lang w:val="fr-FR"/>
        </w:rPr>
        <w:t xml:space="preserve"> 100–119.</w:t>
      </w:r>
    </w:p>
    <w:p w14:paraId="460D0978" w14:textId="77777777" w:rsidR="00232741" w:rsidRPr="0089670E" w:rsidRDefault="00232741" w:rsidP="00232741">
      <w:pPr>
        <w:pStyle w:val="aff1"/>
        <w:ind w:left="426" w:hanging="426"/>
        <w:rPr>
          <w:noProof/>
        </w:rPr>
      </w:pPr>
      <w:r w:rsidRPr="00BB7751">
        <w:rPr>
          <w:noProof/>
          <w:lang w:val="fr-FR"/>
        </w:rPr>
        <w:t>Guilmette</w:t>
      </w:r>
      <w:r w:rsidRPr="00BB7751">
        <w:rPr>
          <w:rFonts w:hint="eastAsia"/>
          <w:noProof/>
          <w:lang w:val="fr-FR" w:eastAsia="ko-KR"/>
        </w:rPr>
        <w:t>,</w:t>
      </w:r>
      <w:r w:rsidRPr="00BB7751">
        <w:rPr>
          <w:noProof/>
          <w:lang w:val="fr-FR"/>
        </w:rPr>
        <w:t xml:space="preserve"> R</w:t>
      </w:r>
      <w:r w:rsidRPr="00BB7751">
        <w:rPr>
          <w:rFonts w:hint="eastAsia"/>
          <w:noProof/>
          <w:lang w:val="fr-FR" w:eastAsia="ko-KR"/>
        </w:rPr>
        <w:t>.</w:t>
      </w:r>
      <w:r w:rsidRPr="00BB7751">
        <w:rPr>
          <w:noProof/>
          <w:lang w:val="fr-FR"/>
        </w:rPr>
        <w:t>A</w:t>
      </w:r>
      <w:r w:rsidRPr="00BB7751">
        <w:rPr>
          <w:rFonts w:hint="eastAsia"/>
          <w:noProof/>
          <w:lang w:val="fr-FR" w:eastAsia="ko-KR"/>
        </w:rPr>
        <w:t>.</w:t>
      </w:r>
      <w:r w:rsidRPr="00BB7751">
        <w:rPr>
          <w:noProof/>
          <w:lang w:val="fr-FR"/>
        </w:rPr>
        <w:t>, Boecker</w:t>
      </w:r>
      <w:r w:rsidRPr="00BB7751">
        <w:rPr>
          <w:rFonts w:hint="eastAsia"/>
          <w:noProof/>
          <w:lang w:val="fr-FR" w:eastAsia="ko-KR"/>
        </w:rPr>
        <w:t>,</w:t>
      </w:r>
      <w:r w:rsidRPr="00BB7751">
        <w:rPr>
          <w:noProof/>
          <w:lang w:val="fr-FR"/>
        </w:rPr>
        <w:t xml:space="preserve"> B</w:t>
      </w:r>
      <w:r w:rsidRPr="00BB7751">
        <w:rPr>
          <w:rFonts w:hint="eastAsia"/>
          <w:noProof/>
          <w:lang w:val="fr-FR" w:eastAsia="ko-KR"/>
        </w:rPr>
        <w:t>.</w:t>
      </w:r>
      <w:r w:rsidRPr="00BB7751">
        <w:rPr>
          <w:noProof/>
          <w:lang w:val="fr-FR"/>
        </w:rPr>
        <w:t>B</w:t>
      </w:r>
      <w:r w:rsidRPr="00BB7751">
        <w:rPr>
          <w:rFonts w:hint="eastAsia"/>
          <w:noProof/>
          <w:lang w:val="fr-FR" w:eastAsia="ko-KR"/>
        </w:rPr>
        <w:t>.</w:t>
      </w:r>
      <w:r w:rsidRPr="00BB7751">
        <w:rPr>
          <w:noProof/>
          <w:lang w:val="fr-FR"/>
        </w:rPr>
        <w:t>, Muggenburg</w:t>
      </w:r>
      <w:r w:rsidRPr="00BB7751">
        <w:rPr>
          <w:rFonts w:hint="eastAsia"/>
          <w:noProof/>
          <w:lang w:val="fr-FR" w:eastAsia="ko-KR"/>
        </w:rPr>
        <w:t>,</w:t>
      </w:r>
      <w:r w:rsidRPr="00BB7751">
        <w:rPr>
          <w:noProof/>
          <w:lang w:val="fr-FR"/>
        </w:rPr>
        <w:t xml:space="preserve"> B</w:t>
      </w:r>
      <w:r w:rsidRPr="00BB7751">
        <w:rPr>
          <w:rFonts w:hint="eastAsia"/>
          <w:noProof/>
          <w:lang w:val="fr-FR" w:eastAsia="ko-KR"/>
        </w:rPr>
        <w:t>.</w:t>
      </w:r>
      <w:r w:rsidRPr="00BB7751">
        <w:rPr>
          <w:noProof/>
          <w:lang w:val="fr-FR"/>
        </w:rPr>
        <w:t>A</w:t>
      </w:r>
      <w:r w:rsidRPr="00BB7751">
        <w:rPr>
          <w:rFonts w:hint="eastAsia"/>
          <w:noProof/>
          <w:lang w:val="fr-FR" w:eastAsia="ko-KR"/>
        </w:rPr>
        <w:t>.</w:t>
      </w:r>
      <w:r w:rsidRPr="00BB7751">
        <w:rPr>
          <w:noProof/>
          <w:lang w:val="fr-FR"/>
        </w:rPr>
        <w:t>, et al.</w:t>
      </w:r>
      <w:r w:rsidRPr="00BB7751">
        <w:rPr>
          <w:rFonts w:hint="eastAsia"/>
          <w:noProof/>
          <w:lang w:val="fr-FR" w:eastAsia="ko-KR"/>
        </w:rPr>
        <w:t>,</w:t>
      </w:r>
      <w:r w:rsidRPr="00BB7751">
        <w:rPr>
          <w:noProof/>
          <w:lang w:val="fr-FR"/>
        </w:rPr>
        <w:t xml:space="preserve"> 1987</w:t>
      </w:r>
      <w:r w:rsidRPr="00BB7751">
        <w:rPr>
          <w:rFonts w:hint="eastAsia"/>
          <w:noProof/>
          <w:lang w:val="fr-FR" w:eastAsia="ko-KR"/>
        </w:rPr>
        <w:t>.</w:t>
      </w:r>
      <w:r w:rsidRPr="00BB7751">
        <w:rPr>
          <w:noProof/>
          <w:lang w:val="fr-FR"/>
        </w:rPr>
        <w:t xml:space="preserve"> </w:t>
      </w:r>
      <w:r w:rsidRPr="0089670E">
        <w:rPr>
          <w:noProof/>
        </w:rPr>
        <w:t xml:space="preserve">Age-related effects on the disposition and dosimetry of inhaled 239 Pu or 144 Ce in immature or aged beagle dogs. In: Gerber GB, Métivier H, and Smith H (eds) </w:t>
      </w:r>
      <w:r w:rsidRPr="00ED6790">
        <w:rPr>
          <w:noProof/>
        </w:rPr>
        <w:t>Age-Related Factors in Radionuclide Metabolism and Dosimetry</w:t>
      </w:r>
      <w:r w:rsidRPr="0089670E">
        <w:rPr>
          <w:noProof/>
        </w:rPr>
        <w:t>. Martinus Nijhoff Publishers. Dordrecht, pp. 109–120.</w:t>
      </w:r>
    </w:p>
    <w:p w14:paraId="7D312239" w14:textId="77777777" w:rsidR="00232741" w:rsidRPr="0089670E" w:rsidRDefault="00232741" w:rsidP="00232741">
      <w:pPr>
        <w:pStyle w:val="aff1"/>
        <w:ind w:left="426" w:hanging="426"/>
        <w:rPr>
          <w:noProof/>
        </w:rPr>
      </w:pPr>
      <w:r w:rsidRPr="0089670E">
        <w:rPr>
          <w:noProof/>
        </w:rPr>
        <w:t>Hahn</w:t>
      </w:r>
      <w:r>
        <w:rPr>
          <w:rFonts w:hint="eastAsia"/>
          <w:noProof/>
          <w:lang w:eastAsia="ko-KR"/>
        </w:rPr>
        <w:t>,</w:t>
      </w:r>
      <w:r w:rsidRPr="0089670E">
        <w:rPr>
          <w:noProof/>
        </w:rPr>
        <w:t xml:space="preserve"> F</w:t>
      </w:r>
      <w:r>
        <w:rPr>
          <w:rFonts w:hint="eastAsia"/>
          <w:noProof/>
          <w:lang w:eastAsia="ko-KR"/>
        </w:rPr>
        <w:t>.</w:t>
      </w:r>
      <w:r w:rsidRPr="0089670E">
        <w:rPr>
          <w:noProof/>
        </w:rPr>
        <w:t>F</w:t>
      </w:r>
      <w:r>
        <w:rPr>
          <w:rFonts w:hint="eastAsia"/>
          <w:noProof/>
          <w:lang w:eastAsia="ko-KR"/>
        </w:rPr>
        <w:t>.</w:t>
      </w:r>
      <w:r w:rsidRPr="0089670E">
        <w:rPr>
          <w:noProof/>
        </w:rPr>
        <w:t>, Boecker</w:t>
      </w:r>
      <w:r>
        <w:rPr>
          <w:rFonts w:hint="eastAsia"/>
          <w:noProof/>
          <w:lang w:eastAsia="ko-KR"/>
        </w:rPr>
        <w:t>,</w:t>
      </w:r>
      <w:r w:rsidRPr="0089670E">
        <w:rPr>
          <w:noProof/>
        </w:rPr>
        <w:t xml:space="preserve"> B</w:t>
      </w:r>
      <w:r>
        <w:rPr>
          <w:rFonts w:hint="eastAsia"/>
          <w:noProof/>
          <w:lang w:eastAsia="ko-KR"/>
        </w:rPr>
        <w:t>.</w:t>
      </w:r>
      <w:r w:rsidRPr="0089670E">
        <w:rPr>
          <w:noProof/>
        </w:rPr>
        <w:t>B</w:t>
      </w:r>
      <w:r>
        <w:rPr>
          <w:rFonts w:hint="eastAsia"/>
          <w:noProof/>
          <w:lang w:eastAsia="ko-KR"/>
        </w:rPr>
        <w:t>.</w:t>
      </w:r>
      <w:r w:rsidRPr="0089670E">
        <w:rPr>
          <w:noProof/>
        </w:rPr>
        <w:t>, Griffith</w:t>
      </w:r>
      <w:r>
        <w:rPr>
          <w:rFonts w:hint="eastAsia"/>
          <w:noProof/>
          <w:lang w:eastAsia="ko-KR"/>
        </w:rPr>
        <w:t>,</w:t>
      </w:r>
      <w:r w:rsidRPr="0089670E">
        <w:rPr>
          <w:noProof/>
        </w:rPr>
        <w:t xml:space="preserve"> W</w:t>
      </w:r>
      <w:r>
        <w:rPr>
          <w:rFonts w:hint="eastAsia"/>
          <w:noProof/>
          <w:lang w:eastAsia="ko-KR"/>
        </w:rPr>
        <w:t>.</w:t>
      </w:r>
      <w:r w:rsidRPr="0089670E">
        <w:rPr>
          <w:noProof/>
        </w:rPr>
        <w:t>C</w:t>
      </w:r>
      <w:r>
        <w:rPr>
          <w:rFonts w:hint="eastAsia"/>
          <w:noProof/>
          <w:lang w:eastAsia="ko-KR"/>
        </w:rPr>
        <w:t>.</w:t>
      </w:r>
      <w:r w:rsidRPr="0089670E">
        <w:rPr>
          <w:noProof/>
        </w:rPr>
        <w:t>, et al.</w:t>
      </w:r>
      <w:r>
        <w:rPr>
          <w:rFonts w:hint="eastAsia"/>
          <w:noProof/>
          <w:lang w:eastAsia="ko-KR"/>
        </w:rPr>
        <w:t>,</w:t>
      </w:r>
      <w:r w:rsidRPr="0089670E">
        <w:rPr>
          <w:noProof/>
        </w:rPr>
        <w:t xml:space="preserve"> 1997</w:t>
      </w:r>
      <w:r>
        <w:rPr>
          <w:rFonts w:hint="eastAsia"/>
          <w:noProof/>
          <w:lang w:eastAsia="ko-KR"/>
        </w:rPr>
        <w:t>.</w:t>
      </w:r>
      <w:r w:rsidRPr="0089670E">
        <w:rPr>
          <w:noProof/>
        </w:rPr>
        <w:t xml:space="preserve"> Biological effects of inhaled 144CeCl3 in beagle dogs. </w:t>
      </w:r>
      <w:r w:rsidRPr="00EE4501">
        <w:rPr>
          <w:noProof/>
        </w:rPr>
        <w:t>Radiat. Res.</w:t>
      </w:r>
      <w:r w:rsidRPr="0089670E">
        <w:rPr>
          <w:noProof/>
        </w:rPr>
        <w:t xml:space="preserve"> 147(1)</w:t>
      </w:r>
      <w:r>
        <w:rPr>
          <w:rFonts w:hint="eastAsia"/>
          <w:noProof/>
          <w:lang w:eastAsia="ko-KR"/>
        </w:rPr>
        <w:t>.</w:t>
      </w:r>
      <w:r w:rsidRPr="0089670E">
        <w:rPr>
          <w:noProof/>
        </w:rPr>
        <w:t xml:space="preserve"> 92–108.</w:t>
      </w:r>
    </w:p>
    <w:p w14:paraId="60FAD88B" w14:textId="77777777" w:rsidR="00232741" w:rsidRPr="0089670E" w:rsidRDefault="00232741" w:rsidP="00232741">
      <w:pPr>
        <w:pStyle w:val="aff1"/>
        <w:ind w:left="426" w:hanging="426"/>
        <w:rPr>
          <w:noProof/>
        </w:rPr>
      </w:pPr>
      <w:r w:rsidRPr="0089670E">
        <w:rPr>
          <w:noProof/>
        </w:rPr>
        <w:t>Ham</w:t>
      </w:r>
      <w:r>
        <w:rPr>
          <w:rFonts w:hint="eastAsia"/>
          <w:noProof/>
          <w:lang w:eastAsia="ko-KR"/>
        </w:rPr>
        <w:t>,</w:t>
      </w:r>
      <w:r w:rsidRPr="0089670E">
        <w:rPr>
          <w:noProof/>
        </w:rPr>
        <w:t xml:space="preserve"> G</w:t>
      </w:r>
      <w:r>
        <w:rPr>
          <w:rFonts w:hint="eastAsia"/>
          <w:noProof/>
          <w:lang w:eastAsia="ko-KR"/>
        </w:rPr>
        <w:t>.</w:t>
      </w:r>
      <w:r w:rsidRPr="0089670E">
        <w:rPr>
          <w:noProof/>
        </w:rPr>
        <w:t>J</w:t>
      </w:r>
      <w:r>
        <w:rPr>
          <w:rFonts w:hint="eastAsia"/>
          <w:noProof/>
          <w:lang w:eastAsia="ko-KR"/>
        </w:rPr>
        <w:t xml:space="preserve">., </w:t>
      </w:r>
      <w:r w:rsidRPr="0089670E">
        <w:rPr>
          <w:noProof/>
        </w:rPr>
        <w:t>Harrison</w:t>
      </w:r>
      <w:r>
        <w:rPr>
          <w:rFonts w:hint="eastAsia"/>
          <w:noProof/>
          <w:lang w:eastAsia="ko-KR"/>
        </w:rPr>
        <w:t>,</w:t>
      </w:r>
      <w:r w:rsidRPr="0089670E">
        <w:rPr>
          <w:noProof/>
        </w:rPr>
        <w:t xml:space="preserve"> J</w:t>
      </w:r>
      <w:r>
        <w:rPr>
          <w:rFonts w:hint="eastAsia"/>
          <w:noProof/>
          <w:lang w:eastAsia="ko-KR"/>
        </w:rPr>
        <w:t>.</w:t>
      </w:r>
      <w:r w:rsidRPr="0089670E">
        <w:rPr>
          <w:noProof/>
        </w:rPr>
        <w:t>D</w:t>
      </w:r>
      <w:r>
        <w:rPr>
          <w:rFonts w:hint="eastAsia"/>
          <w:noProof/>
          <w:lang w:eastAsia="ko-KR"/>
        </w:rPr>
        <w:t>.,</w:t>
      </w:r>
      <w:r w:rsidRPr="0089670E">
        <w:rPr>
          <w:noProof/>
        </w:rPr>
        <w:t xml:space="preserve"> 2000</w:t>
      </w:r>
      <w:r>
        <w:rPr>
          <w:rFonts w:hint="eastAsia"/>
          <w:noProof/>
          <w:lang w:eastAsia="ko-KR"/>
        </w:rPr>
        <w:t>.</w:t>
      </w:r>
      <w:r w:rsidRPr="0089670E">
        <w:rPr>
          <w:noProof/>
        </w:rPr>
        <w:t xml:space="preserve"> The gastrointestinal absorption and urinary excretion of plutonium in male volunteers. </w:t>
      </w:r>
      <w:r w:rsidRPr="00EC0E94">
        <w:rPr>
          <w:noProof/>
        </w:rPr>
        <w:t>Radiat. Prot. Dosimetry</w:t>
      </w:r>
      <w:r w:rsidRPr="0089670E">
        <w:rPr>
          <w:noProof/>
        </w:rPr>
        <w:t xml:space="preserve"> 87(4). 267–272.</w:t>
      </w:r>
    </w:p>
    <w:p w14:paraId="125245CF" w14:textId="77777777" w:rsidR="00232741" w:rsidRPr="0089670E" w:rsidRDefault="00232741" w:rsidP="00232741">
      <w:pPr>
        <w:pStyle w:val="aff1"/>
        <w:ind w:left="426" w:hanging="426"/>
        <w:rPr>
          <w:noProof/>
        </w:rPr>
      </w:pPr>
      <w:r w:rsidRPr="0089670E">
        <w:rPr>
          <w:noProof/>
        </w:rPr>
        <w:t>Hamilton</w:t>
      </w:r>
      <w:r>
        <w:rPr>
          <w:rFonts w:hint="eastAsia"/>
          <w:noProof/>
          <w:lang w:eastAsia="ko-KR"/>
        </w:rPr>
        <w:t>,</w:t>
      </w:r>
      <w:r w:rsidRPr="0089670E">
        <w:rPr>
          <w:noProof/>
        </w:rPr>
        <w:t xml:space="preserve"> J</w:t>
      </w:r>
      <w:r>
        <w:rPr>
          <w:rFonts w:hint="eastAsia"/>
          <w:noProof/>
          <w:lang w:eastAsia="ko-KR"/>
        </w:rPr>
        <w:t>.</w:t>
      </w:r>
      <w:r w:rsidRPr="0089670E">
        <w:rPr>
          <w:noProof/>
        </w:rPr>
        <w:t>G</w:t>
      </w:r>
      <w:r>
        <w:rPr>
          <w:rFonts w:hint="eastAsia"/>
          <w:noProof/>
          <w:lang w:eastAsia="ko-KR"/>
        </w:rPr>
        <w:t>.,</w:t>
      </w:r>
      <w:r w:rsidRPr="0089670E">
        <w:rPr>
          <w:noProof/>
        </w:rPr>
        <w:t xml:space="preserve"> 1948</w:t>
      </w:r>
      <w:r>
        <w:rPr>
          <w:rFonts w:hint="eastAsia"/>
          <w:noProof/>
          <w:lang w:eastAsia="ko-KR"/>
        </w:rPr>
        <w:t>.</w:t>
      </w:r>
      <w:r w:rsidRPr="0089670E">
        <w:rPr>
          <w:noProof/>
        </w:rPr>
        <w:t xml:space="preserve"> The metabolic properties of the fission products and actinide elements. </w:t>
      </w:r>
      <w:r w:rsidRPr="00EC0E94">
        <w:rPr>
          <w:noProof/>
        </w:rPr>
        <w:t>Rev. Mod. Phys.</w:t>
      </w:r>
      <w:r w:rsidRPr="0089670E">
        <w:rPr>
          <w:noProof/>
        </w:rPr>
        <w:t xml:space="preserve"> 20(4). 718–728.</w:t>
      </w:r>
    </w:p>
    <w:p w14:paraId="794CCC98" w14:textId="77777777" w:rsidR="00232741" w:rsidRPr="0089670E" w:rsidRDefault="00232741" w:rsidP="00232741">
      <w:pPr>
        <w:pStyle w:val="aff1"/>
        <w:ind w:left="426" w:hanging="426"/>
        <w:rPr>
          <w:noProof/>
        </w:rPr>
      </w:pPr>
      <w:r w:rsidRPr="0089670E">
        <w:rPr>
          <w:noProof/>
        </w:rPr>
        <w:t>Harduin</w:t>
      </w:r>
      <w:r>
        <w:rPr>
          <w:rFonts w:hint="eastAsia"/>
          <w:noProof/>
          <w:lang w:eastAsia="ko-KR"/>
        </w:rPr>
        <w:t>,</w:t>
      </w:r>
      <w:r w:rsidRPr="0089670E">
        <w:rPr>
          <w:noProof/>
        </w:rPr>
        <w:t xml:space="preserve"> J</w:t>
      </w:r>
      <w:r>
        <w:rPr>
          <w:rFonts w:hint="eastAsia"/>
          <w:noProof/>
          <w:lang w:eastAsia="ko-KR"/>
        </w:rPr>
        <w:t>.</w:t>
      </w:r>
      <w:r w:rsidRPr="0089670E">
        <w:rPr>
          <w:noProof/>
        </w:rPr>
        <w:t>C</w:t>
      </w:r>
      <w:r>
        <w:rPr>
          <w:rFonts w:hint="eastAsia"/>
          <w:noProof/>
          <w:lang w:eastAsia="ko-KR"/>
        </w:rPr>
        <w:t>.</w:t>
      </w:r>
      <w:r w:rsidRPr="0089670E">
        <w:rPr>
          <w:noProof/>
        </w:rPr>
        <w:t>, Royer</w:t>
      </w:r>
      <w:r>
        <w:rPr>
          <w:rFonts w:hint="eastAsia"/>
          <w:noProof/>
          <w:lang w:eastAsia="ko-KR"/>
        </w:rPr>
        <w:t>,</w:t>
      </w:r>
      <w:r w:rsidRPr="0089670E">
        <w:rPr>
          <w:noProof/>
        </w:rPr>
        <w:t xml:space="preserve"> Ph</w:t>
      </w:r>
      <w:r>
        <w:rPr>
          <w:rFonts w:hint="eastAsia"/>
          <w:noProof/>
          <w:lang w:eastAsia="ko-KR"/>
        </w:rPr>
        <w:t>.,</w:t>
      </w:r>
      <w:r w:rsidRPr="0089670E">
        <w:rPr>
          <w:noProof/>
        </w:rPr>
        <w:t xml:space="preserve"> Piechowski</w:t>
      </w:r>
      <w:r>
        <w:rPr>
          <w:rFonts w:hint="eastAsia"/>
          <w:noProof/>
          <w:lang w:eastAsia="ko-KR"/>
        </w:rPr>
        <w:t>,</w:t>
      </w:r>
      <w:r w:rsidRPr="0089670E">
        <w:rPr>
          <w:noProof/>
        </w:rPr>
        <w:t xml:space="preserve"> J</w:t>
      </w:r>
      <w:r>
        <w:rPr>
          <w:rFonts w:hint="eastAsia"/>
          <w:noProof/>
          <w:lang w:eastAsia="ko-KR"/>
        </w:rPr>
        <w:t>.,</w:t>
      </w:r>
      <w:r w:rsidRPr="0089670E">
        <w:rPr>
          <w:noProof/>
        </w:rPr>
        <w:t xml:space="preserve"> 1994</w:t>
      </w:r>
      <w:r>
        <w:rPr>
          <w:rFonts w:hint="eastAsia"/>
          <w:noProof/>
          <w:lang w:eastAsia="ko-KR"/>
        </w:rPr>
        <w:t>.</w:t>
      </w:r>
      <w:r w:rsidRPr="0089670E">
        <w:rPr>
          <w:noProof/>
        </w:rPr>
        <w:t xml:space="preserve"> Uptake and urinary excretion of uranium after oral administration in humans. </w:t>
      </w:r>
      <w:r w:rsidRPr="00ED6790">
        <w:rPr>
          <w:noProof/>
        </w:rPr>
        <w:t>Radiat</w:t>
      </w:r>
      <w:r>
        <w:rPr>
          <w:rFonts w:hint="eastAsia"/>
          <w:noProof/>
          <w:lang w:eastAsia="ko-KR"/>
        </w:rPr>
        <w:t>.</w:t>
      </w:r>
      <w:r w:rsidRPr="00ED6790">
        <w:rPr>
          <w:noProof/>
        </w:rPr>
        <w:t xml:space="preserve"> Prot</w:t>
      </w:r>
      <w:r>
        <w:rPr>
          <w:rFonts w:hint="eastAsia"/>
          <w:noProof/>
          <w:lang w:eastAsia="ko-KR"/>
        </w:rPr>
        <w:t>.</w:t>
      </w:r>
      <w:r w:rsidRPr="00ED6790">
        <w:rPr>
          <w:noProof/>
        </w:rPr>
        <w:t xml:space="preserve"> Dosimetry</w:t>
      </w:r>
      <w:r w:rsidRPr="0089670E">
        <w:rPr>
          <w:noProof/>
        </w:rPr>
        <w:t xml:space="preserve"> 53(1–4)</w:t>
      </w:r>
      <w:r>
        <w:rPr>
          <w:rFonts w:hint="eastAsia"/>
          <w:noProof/>
          <w:lang w:eastAsia="ko-KR"/>
        </w:rPr>
        <w:t>.</w:t>
      </w:r>
      <w:r w:rsidRPr="0089670E">
        <w:rPr>
          <w:noProof/>
        </w:rPr>
        <w:t xml:space="preserve"> 245–248.</w:t>
      </w:r>
    </w:p>
    <w:p w14:paraId="1251DE7B" w14:textId="77777777" w:rsidR="00232741" w:rsidRPr="0089670E" w:rsidRDefault="00232741" w:rsidP="00232741">
      <w:pPr>
        <w:pStyle w:val="aff1"/>
        <w:ind w:left="426" w:hanging="426"/>
        <w:rPr>
          <w:noProof/>
        </w:rPr>
      </w:pPr>
      <w:r w:rsidRPr="0089670E">
        <w:rPr>
          <w:noProof/>
        </w:rPr>
        <w:lastRenderedPageBreak/>
        <w:t>Harrison</w:t>
      </w:r>
      <w:r>
        <w:rPr>
          <w:rFonts w:hint="eastAsia"/>
          <w:noProof/>
          <w:lang w:eastAsia="ko-KR"/>
        </w:rPr>
        <w:t>,</w:t>
      </w:r>
      <w:r w:rsidRPr="0089670E">
        <w:rPr>
          <w:noProof/>
        </w:rPr>
        <w:t xml:space="preserve"> J</w:t>
      </w:r>
      <w:r>
        <w:rPr>
          <w:rFonts w:hint="eastAsia"/>
          <w:noProof/>
          <w:lang w:eastAsia="ko-KR"/>
        </w:rPr>
        <w:t>.</w:t>
      </w:r>
      <w:r w:rsidRPr="0089670E">
        <w:rPr>
          <w:noProof/>
        </w:rPr>
        <w:t>D</w:t>
      </w:r>
      <w:r>
        <w:rPr>
          <w:rFonts w:hint="eastAsia"/>
          <w:noProof/>
          <w:lang w:eastAsia="ko-KR"/>
        </w:rPr>
        <w:t>.,</w:t>
      </w:r>
      <w:r w:rsidRPr="0089670E">
        <w:rPr>
          <w:noProof/>
        </w:rPr>
        <w:t xml:space="preserve"> 1983</w:t>
      </w:r>
      <w:r>
        <w:rPr>
          <w:rFonts w:hint="eastAsia"/>
          <w:noProof/>
          <w:lang w:eastAsia="ko-KR"/>
        </w:rPr>
        <w:t>.</w:t>
      </w:r>
      <w:r w:rsidRPr="0089670E">
        <w:rPr>
          <w:noProof/>
        </w:rPr>
        <w:t xml:space="preserve"> The gastrointestinal absorption of plutonium, americium and curium. </w:t>
      </w:r>
      <w:r w:rsidRPr="009F33ED">
        <w:rPr>
          <w:noProof/>
        </w:rPr>
        <w:t>Radiat. Prot. Dosimetry</w:t>
      </w:r>
      <w:r w:rsidRPr="0089670E">
        <w:rPr>
          <w:noProof/>
        </w:rPr>
        <w:t xml:space="preserve"> 5(1). 19–35.</w:t>
      </w:r>
    </w:p>
    <w:p w14:paraId="69D0C084" w14:textId="77777777" w:rsidR="00232741" w:rsidRPr="0089670E" w:rsidRDefault="00232741" w:rsidP="00232741">
      <w:pPr>
        <w:pStyle w:val="aff1"/>
        <w:ind w:left="426" w:hanging="426"/>
        <w:rPr>
          <w:noProof/>
        </w:rPr>
      </w:pPr>
      <w:r w:rsidRPr="0089670E">
        <w:rPr>
          <w:noProof/>
        </w:rPr>
        <w:t>Harrison</w:t>
      </w:r>
      <w:r>
        <w:rPr>
          <w:rFonts w:hint="eastAsia"/>
          <w:noProof/>
          <w:lang w:eastAsia="ko-KR"/>
        </w:rPr>
        <w:t>,</w:t>
      </w:r>
      <w:r w:rsidRPr="0089670E">
        <w:rPr>
          <w:noProof/>
        </w:rPr>
        <w:t xml:space="preserve"> J</w:t>
      </w:r>
      <w:r>
        <w:rPr>
          <w:rFonts w:hint="eastAsia"/>
          <w:noProof/>
          <w:lang w:eastAsia="ko-KR"/>
        </w:rPr>
        <w:t>.</w:t>
      </w:r>
      <w:r w:rsidRPr="0089670E">
        <w:rPr>
          <w:noProof/>
        </w:rPr>
        <w:t>D</w:t>
      </w:r>
      <w:r>
        <w:rPr>
          <w:rFonts w:hint="eastAsia"/>
          <w:noProof/>
          <w:lang w:eastAsia="ko-KR"/>
        </w:rPr>
        <w:t>.,</w:t>
      </w:r>
      <w:r w:rsidRPr="0089670E">
        <w:rPr>
          <w:noProof/>
        </w:rPr>
        <w:t xml:space="preserve"> 1991</w:t>
      </w:r>
      <w:r>
        <w:rPr>
          <w:rFonts w:hint="eastAsia"/>
          <w:noProof/>
          <w:lang w:eastAsia="ko-KR"/>
        </w:rPr>
        <w:t>.</w:t>
      </w:r>
      <w:r w:rsidRPr="0089670E">
        <w:rPr>
          <w:noProof/>
        </w:rPr>
        <w:t xml:space="preserve"> The gastrointestinal absorption of the actinide elements.</w:t>
      </w:r>
      <w:r w:rsidRPr="009F33ED">
        <w:t xml:space="preserve"> </w:t>
      </w:r>
      <w:r w:rsidRPr="009F33ED">
        <w:rPr>
          <w:noProof/>
        </w:rPr>
        <w:t>Sci. Total Environ.</w:t>
      </w:r>
      <w:r w:rsidRPr="0089670E">
        <w:rPr>
          <w:noProof/>
        </w:rPr>
        <w:t xml:space="preserve"> 100 Spec No: 43–60.</w:t>
      </w:r>
    </w:p>
    <w:p w14:paraId="08766BC3" w14:textId="77777777" w:rsidR="00232741" w:rsidRPr="0089670E" w:rsidRDefault="00232741" w:rsidP="00232741">
      <w:pPr>
        <w:pStyle w:val="aff1"/>
        <w:ind w:left="426" w:hanging="426"/>
        <w:rPr>
          <w:noProof/>
        </w:rPr>
      </w:pPr>
      <w:r w:rsidRPr="0089670E">
        <w:rPr>
          <w:noProof/>
        </w:rPr>
        <w:t>Harrison</w:t>
      </w:r>
      <w:r>
        <w:rPr>
          <w:rFonts w:hint="eastAsia"/>
          <w:noProof/>
          <w:lang w:eastAsia="ko-KR"/>
        </w:rPr>
        <w:t>,</w:t>
      </w:r>
      <w:r w:rsidRPr="0089670E">
        <w:rPr>
          <w:noProof/>
        </w:rPr>
        <w:t xml:space="preserve"> J</w:t>
      </w:r>
      <w:r>
        <w:rPr>
          <w:rFonts w:hint="eastAsia"/>
          <w:noProof/>
          <w:lang w:eastAsia="ko-KR"/>
        </w:rPr>
        <w:t>.</w:t>
      </w:r>
      <w:r w:rsidRPr="0089670E">
        <w:rPr>
          <w:noProof/>
        </w:rPr>
        <w:t>D</w:t>
      </w:r>
      <w:r>
        <w:rPr>
          <w:rFonts w:hint="eastAsia"/>
          <w:noProof/>
          <w:lang w:eastAsia="ko-KR"/>
        </w:rPr>
        <w:t>.,</w:t>
      </w:r>
      <w:r w:rsidRPr="0089670E">
        <w:rPr>
          <w:noProof/>
        </w:rPr>
        <w:t xml:space="preserve"> 1995</w:t>
      </w:r>
      <w:r>
        <w:rPr>
          <w:rFonts w:hint="eastAsia"/>
          <w:noProof/>
          <w:lang w:eastAsia="ko-KR"/>
        </w:rPr>
        <w:t>.</w:t>
      </w:r>
      <w:r w:rsidRPr="0089670E">
        <w:rPr>
          <w:noProof/>
        </w:rPr>
        <w:t xml:space="preserve"> Ingested radionuclides. In: Potten CS and Hendry JH (eds) </w:t>
      </w:r>
      <w:r w:rsidRPr="00ED6790">
        <w:rPr>
          <w:noProof/>
        </w:rPr>
        <w:t>Radiation and Gut</w:t>
      </w:r>
      <w:r w:rsidRPr="0089670E">
        <w:rPr>
          <w:noProof/>
        </w:rPr>
        <w:t>. Amsterdam: Elsevier, pp. 253–289.</w:t>
      </w:r>
    </w:p>
    <w:p w14:paraId="4210C938" w14:textId="77777777" w:rsidR="00232741" w:rsidRPr="0089670E" w:rsidRDefault="00232741" w:rsidP="00232741">
      <w:pPr>
        <w:pStyle w:val="aff1"/>
        <w:ind w:left="426" w:hanging="426"/>
        <w:rPr>
          <w:noProof/>
        </w:rPr>
      </w:pPr>
      <w:r w:rsidRPr="0089670E">
        <w:rPr>
          <w:noProof/>
        </w:rPr>
        <w:t>Harrison</w:t>
      </w:r>
      <w:r>
        <w:rPr>
          <w:rFonts w:hint="eastAsia"/>
          <w:noProof/>
          <w:lang w:eastAsia="ko-KR"/>
        </w:rPr>
        <w:t>,</w:t>
      </w:r>
      <w:r w:rsidRPr="0089670E">
        <w:rPr>
          <w:noProof/>
        </w:rPr>
        <w:t xml:space="preserve"> J</w:t>
      </w:r>
      <w:r>
        <w:rPr>
          <w:rFonts w:hint="eastAsia"/>
          <w:noProof/>
          <w:lang w:eastAsia="ko-KR"/>
        </w:rPr>
        <w:t>.</w:t>
      </w:r>
      <w:r w:rsidRPr="0089670E">
        <w:rPr>
          <w:noProof/>
        </w:rPr>
        <w:t>D</w:t>
      </w:r>
      <w:r>
        <w:rPr>
          <w:rFonts w:hint="eastAsia"/>
          <w:noProof/>
          <w:lang w:eastAsia="ko-KR"/>
        </w:rPr>
        <w:t>.</w:t>
      </w:r>
      <w:r w:rsidRPr="0089670E">
        <w:rPr>
          <w:noProof/>
        </w:rPr>
        <w:t>, Leggett</w:t>
      </w:r>
      <w:r>
        <w:rPr>
          <w:rFonts w:hint="eastAsia"/>
          <w:noProof/>
          <w:lang w:eastAsia="ko-KR"/>
        </w:rPr>
        <w:t>,</w:t>
      </w:r>
      <w:r w:rsidRPr="0089670E">
        <w:rPr>
          <w:noProof/>
        </w:rPr>
        <w:t xml:space="preserve"> R</w:t>
      </w:r>
      <w:r>
        <w:rPr>
          <w:rFonts w:hint="eastAsia"/>
          <w:noProof/>
          <w:lang w:eastAsia="ko-KR"/>
        </w:rPr>
        <w:t>.</w:t>
      </w:r>
      <w:r w:rsidRPr="0089670E">
        <w:rPr>
          <w:noProof/>
        </w:rPr>
        <w:t>W</w:t>
      </w:r>
      <w:r>
        <w:rPr>
          <w:rFonts w:hint="eastAsia"/>
          <w:noProof/>
          <w:lang w:eastAsia="ko-KR"/>
        </w:rPr>
        <w:t>.</w:t>
      </w:r>
      <w:r w:rsidRPr="0089670E">
        <w:rPr>
          <w:noProof/>
        </w:rPr>
        <w:t>, Nosske</w:t>
      </w:r>
      <w:r>
        <w:rPr>
          <w:rFonts w:hint="eastAsia"/>
          <w:noProof/>
          <w:lang w:eastAsia="ko-KR"/>
        </w:rPr>
        <w:t>,</w:t>
      </w:r>
      <w:r w:rsidRPr="0089670E">
        <w:rPr>
          <w:noProof/>
        </w:rPr>
        <w:t xml:space="preserve"> D</w:t>
      </w:r>
      <w:r>
        <w:rPr>
          <w:rFonts w:hint="eastAsia"/>
          <w:noProof/>
          <w:lang w:eastAsia="ko-KR"/>
        </w:rPr>
        <w:t>.</w:t>
      </w:r>
      <w:r w:rsidRPr="0089670E">
        <w:rPr>
          <w:noProof/>
        </w:rPr>
        <w:t>, et al.</w:t>
      </w:r>
      <w:r>
        <w:rPr>
          <w:rFonts w:hint="eastAsia"/>
          <w:noProof/>
          <w:lang w:eastAsia="ko-KR"/>
        </w:rPr>
        <w:t>,</w:t>
      </w:r>
      <w:r w:rsidRPr="0089670E">
        <w:rPr>
          <w:noProof/>
        </w:rPr>
        <w:t xml:space="preserve"> 2001</w:t>
      </w:r>
      <w:r>
        <w:rPr>
          <w:rFonts w:hint="eastAsia"/>
          <w:noProof/>
          <w:lang w:eastAsia="ko-KR"/>
        </w:rPr>
        <w:t>.</w:t>
      </w:r>
      <w:r w:rsidRPr="0089670E">
        <w:rPr>
          <w:noProof/>
        </w:rPr>
        <w:t xml:space="preserve"> Reliability of the ICRP’s dose coefficients for members of the public, II. Uncertainties in the absorption of ingested radionuclides and the effect on dose estimates. </w:t>
      </w:r>
      <w:r w:rsidRPr="00ED6790">
        <w:rPr>
          <w:noProof/>
        </w:rPr>
        <w:t>Radiat</w:t>
      </w:r>
      <w:r>
        <w:rPr>
          <w:rFonts w:hint="eastAsia"/>
          <w:noProof/>
          <w:lang w:eastAsia="ko-KR"/>
        </w:rPr>
        <w:t>.</w:t>
      </w:r>
      <w:r w:rsidRPr="00ED6790">
        <w:rPr>
          <w:noProof/>
        </w:rPr>
        <w:t xml:space="preserve"> Prot</w:t>
      </w:r>
      <w:r>
        <w:rPr>
          <w:rFonts w:hint="eastAsia"/>
          <w:noProof/>
          <w:lang w:eastAsia="ko-KR"/>
        </w:rPr>
        <w:t>.</w:t>
      </w:r>
      <w:r w:rsidRPr="00ED6790">
        <w:rPr>
          <w:noProof/>
        </w:rPr>
        <w:t xml:space="preserve"> Dosimetry</w:t>
      </w:r>
      <w:r w:rsidRPr="0089670E">
        <w:rPr>
          <w:noProof/>
        </w:rPr>
        <w:t xml:space="preserve"> 95(4)</w:t>
      </w:r>
      <w:r>
        <w:rPr>
          <w:rFonts w:hint="eastAsia"/>
          <w:noProof/>
          <w:lang w:eastAsia="ko-KR"/>
        </w:rPr>
        <w:t>.</w:t>
      </w:r>
      <w:r w:rsidRPr="0089670E">
        <w:rPr>
          <w:noProof/>
        </w:rPr>
        <w:t xml:space="preserve"> 295–308.</w:t>
      </w:r>
    </w:p>
    <w:p w14:paraId="190437B9" w14:textId="77777777" w:rsidR="00232741" w:rsidRPr="0089670E" w:rsidRDefault="00232741" w:rsidP="00232741">
      <w:pPr>
        <w:pStyle w:val="aff1"/>
        <w:ind w:left="426" w:hanging="426"/>
        <w:rPr>
          <w:noProof/>
        </w:rPr>
      </w:pPr>
      <w:r w:rsidRPr="0089670E">
        <w:rPr>
          <w:noProof/>
        </w:rPr>
        <w:t>Heid</w:t>
      </w:r>
      <w:r>
        <w:rPr>
          <w:rFonts w:hint="eastAsia"/>
          <w:noProof/>
          <w:lang w:eastAsia="ko-KR"/>
        </w:rPr>
        <w:t>,</w:t>
      </w:r>
      <w:r w:rsidRPr="0089670E">
        <w:rPr>
          <w:noProof/>
        </w:rPr>
        <w:t xml:space="preserve"> K</w:t>
      </w:r>
      <w:r>
        <w:rPr>
          <w:rFonts w:hint="eastAsia"/>
          <w:noProof/>
          <w:lang w:eastAsia="ko-KR"/>
        </w:rPr>
        <w:t>.</w:t>
      </w:r>
      <w:r w:rsidRPr="0089670E">
        <w:rPr>
          <w:noProof/>
        </w:rPr>
        <w:t>R</w:t>
      </w:r>
      <w:r>
        <w:rPr>
          <w:rFonts w:hint="eastAsia"/>
          <w:noProof/>
          <w:lang w:eastAsia="ko-KR"/>
        </w:rPr>
        <w:t>.,</w:t>
      </w:r>
      <w:r w:rsidRPr="0089670E">
        <w:rPr>
          <w:noProof/>
        </w:rPr>
        <w:t xml:space="preserve"> Robinson</w:t>
      </w:r>
      <w:r>
        <w:rPr>
          <w:rFonts w:hint="eastAsia"/>
          <w:noProof/>
          <w:lang w:eastAsia="ko-KR"/>
        </w:rPr>
        <w:t>,</w:t>
      </w:r>
      <w:r w:rsidRPr="0089670E">
        <w:rPr>
          <w:noProof/>
        </w:rPr>
        <w:t xml:space="preserve"> B</w:t>
      </w:r>
      <w:r>
        <w:rPr>
          <w:rFonts w:hint="eastAsia"/>
          <w:noProof/>
          <w:lang w:eastAsia="ko-KR"/>
        </w:rPr>
        <w:t>.,</w:t>
      </w:r>
      <w:r w:rsidRPr="0089670E">
        <w:rPr>
          <w:noProof/>
        </w:rPr>
        <w:t xml:space="preserve"> 1985</w:t>
      </w:r>
      <w:r>
        <w:rPr>
          <w:rFonts w:hint="eastAsia"/>
          <w:noProof/>
          <w:lang w:eastAsia="ko-KR"/>
        </w:rPr>
        <w:t>.</w:t>
      </w:r>
      <w:r w:rsidRPr="0089670E">
        <w:rPr>
          <w:noProof/>
        </w:rPr>
        <w:t xml:space="preserve"> The U.S. Transuranium Registry report on the 241Am content of a whole body. Part II: Estimate of the initial systematic burden. </w:t>
      </w:r>
      <w:r w:rsidRPr="00ED6790">
        <w:rPr>
          <w:noProof/>
        </w:rPr>
        <w:t>Health Phys</w:t>
      </w:r>
      <w:r>
        <w:rPr>
          <w:rFonts w:hint="eastAsia"/>
          <w:noProof/>
          <w:lang w:eastAsia="ko-KR"/>
        </w:rPr>
        <w:t>.</w:t>
      </w:r>
      <w:r w:rsidRPr="0089670E">
        <w:rPr>
          <w:noProof/>
        </w:rPr>
        <w:t xml:space="preserve"> 49(4)</w:t>
      </w:r>
      <w:r>
        <w:rPr>
          <w:rFonts w:hint="eastAsia"/>
          <w:noProof/>
          <w:lang w:eastAsia="ko-KR"/>
        </w:rPr>
        <w:t>.</w:t>
      </w:r>
      <w:r w:rsidRPr="0089670E">
        <w:rPr>
          <w:noProof/>
        </w:rPr>
        <w:t xml:space="preserve"> 569–575.</w:t>
      </w:r>
    </w:p>
    <w:p w14:paraId="51DA6788" w14:textId="77777777" w:rsidR="00232741" w:rsidRPr="0089670E" w:rsidRDefault="00232741" w:rsidP="00232741">
      <w:pPr>
        <w:pStyle w:val="aff1"/>
        <w:ind w:left="426" w:hanging="426"/>
        <w:rPr>
          <w:noProof/>
        </w:rPr>
      </w:pPr>
      <w:r w:rsidRPr="0089670E">
        <w:rPr>
          <w:noProof/>
        </w:rPr>
        <w:t>Herring</w:t>
      </w:r>
      <w:r>
        <w:rPr>
          <w:rFonts w:hint="eastAsia"/>
          <w:noProof/>
          <w:lang w:eastAsia="ko-KR"/>
        </w:rPr>
        <w:t>,</w:t>
      </w:r>
      <w:r w:rsidRPr="0089670E">
        <w:rPr>
          <w:noProof/>
        </w:rPr>
        <w:t xml:space="preserve"> G</w:t>
      </w:r>
      <w:r>
        <w:rPr>
          <w:rFonts w:hint="eastAsia"/>
          <w:noProof/>
          <w:lang w:eastAsia="ko-KR"/>
        </w:rPr>
        <w:t>.</w:t>
      </w:r>
      <w:r w:rsidRPr="0089670E">
        <w:rPr>
          <w:noProof/>
        </w:rPr>
        <w:t>M</w:t>
      </w:r>
      <w:r>
        <w:rPr>
          <w:rFonts w:hint="eastAsia"/>
          <w:noProof/>
          <w:lang w:eastAsia="ko-KR"/>
        </w:rPr>
        <w:t>.</w:t>
      </w:r>
      <w:r w:rsidRPr="0089670E">
        <w:rPr>
          <w:noProof/>
        </w:rPr>
        <w:t>, Vaughan</w:t>
      </w:r>
      <w:r>
        <w:rPr>
          <w:rFonts w:hint="eastAsia"/>
          <w:noProof/>
          <w:lang w:eastAsia="ko-KR"/>
        </w:rPr>
        <w:t>,</w:t>
      </w:r>
      <w:r w:rsidRPr="0089670E">
        <w:rPr>
          <w:noProof/>
        </w:rPr>
        <w:t xml:space="preserve"> J</w:t>
      </w:r>
      <w:r>
        <w:rPr>
          <w:rFonts w:hint="eastAsia"/>
          <w:noProof/>
          <w:lang w:eastAsia="ko-KR"/>
        </w:rPr>
        <w:t>.,</w:t>
      </w:r>
      <w:r w:rsidRPr="0089670E">
        <w:rPr>
          <w:noProof/>
        </w:rPr>
        <w:t xml:space="preserve"> Williamson</w:t>
      </w:r>
      <w:r>
        <w:rPr>
          <w:rFonts w:hint="eastAsia"/>
          <w:noProof/>
          <w:lang w:eastAsia="ko-KR"/>
        </w:rPr>
        <w:t>,</w:t>
      </w:r>
      <w:r w:rsidRPr="0089670E">
        <w:rPr>
          <w:noProof/>
        </w:rPr>
        <w:t xml:space="preserve"> M</w:t>
      </w:r>
      <w:r>
        <w:rPr>
          <w:rFonts w:hint="eastAsia"/>
          <w:noProof/>
          <w:lang w:eastAsia="ko-KR"/>
        </w:rPr>
        <w:t>.,</w:t>
      </w:r>
      <w:r w:rsidRPr="0089670E">
        <w:rPr>
          <w:noProof/>
        </w:rPr>
        <w:t xml:space="preserve"> 1962</w:t>
      </w:r>
      <w:r>
        <w:rPr>
          <w:rFonts w:hint="eastAsia"/>
          <w:noProof/>
          <w:lang w:eastAsia="ko-KR"/>
        </w:rPr>
        <w:t>.</w:t>
      </w:r>
      <w:r w:rsidRPr="0089670E">
        <w:rPr>
          <w:noProof/>
        </w:rPr>
        <w:t xml:space="preserve"> Preliminary report on the site of localization and possible binding agent for yttrium, americium and plutonium in cortical bone. </w:t>
      </w:r>
      <w:r w:rsidRPr="00ED6790">
        <w:rPr>
          <w:noProof/>
        </w:rPr>
        <w:t>Health Phys</w:t>
      </w:r>
      <w:r>
        <w:rPr>
          <w:rFonts w:hint="eastAsia"/>
          <w:noProof/>
          <w:lang w:eastAsia="ko-KR"/>
        </w:rPr>
        <w:t>.</w:t>
      </w:r>
      <w:r w:rsidRPr="0089670E">
        <w:rPr>
          <w:noProof/>
        </w:rPr>
        <w:t xml:space="preserve"> 8(6)</w:t>
      </w:r>
      <w:r>
        <w:rPr>
          <w:rFonts w:hint="eastAsia"/>
          <w:noProof/>
          <w:lang w:eastAsia="ko-KR"/>
        </w:rPr>
        <w:t>.</w:t>
      </w:r>
      <w:r w:rsidRPr="0089670E">
        <w:rPr>
          <w:noProof/>
        </w:rPr>
        <w:t xml:space="preserve"> 717–724.</w:t>
      </w:r>
    </w:p>
    <w:p w14:paraId="42C2B681" w14:textId="77777777" w:rsidR="00232741" w:rsidRPr="0089670E" w:rsidRDefault="00232741" w:rsidP="00232741">
      <w:pPr>
        <w:pStyle w:val="aff1"/>
        <w:ind w:left="426" w:hanging="426"/>
        <w:rPr>
          <w:noProof/>
        </w:rPr>
      </w:pPr>
      <w:r w:rsidRPr="0061223E">
        <w:rPr>
          <w:noProof/>
          <w:lang w:val="en-US"/>
        </w:rPr>
        <w:t>Höllriegl</w:t>
      </w:r>
      <w:r w:rsidRPr="0061223E">
        <w:rPr>
          <w:rFonts w:hint="eastAsia"/>
          <w:noProof/>
          <w:lang w:val="en-US" w:eastAsia="ko-KR"/>
        </w:rPr>
        <w:t>,</w:t>
      </w:r>
      <w:r w:rsidRPr="0061223E">
        <w:rPr>
          <w:noProof/>
          <w:lang w:val="en-US"/>
        </w:rPr>
        <w:t xml:space="preserve"> V</w:t>
      </w:r>
      <w:r w:rsidRPr="0061223E">
        <w:rPr>
          <w:rFonts w:hint="eastAsia"/>
          <w:noProof/>
          <w:lang w:val="en-US" w:eastAsia="ko-KR"/>
        </w:rPr>
        <w:t>.</w:t>
      </w:r>
      <w:r w:rsidRPr="0061223E">
        <w:rPr>
          <w:noProof/>
          <w:lang w:val="en-US"/>
        </w:rPr>
        <w:t>, Li</w:t>
      </w:r>
      <w:r w:rsidRPr="0061223E">
        <w:rPr>
          <w:rFonts w:hint="eastAsia"/>
          <w:noProof/>
          <w:lang w:val="en-US" w:eastAsia="ko-KR"/>
        </w:rPr>
        <w:t>,</w:t>
      </w:r>
      <w:r w:rsidRPr="0061223E">
        <w:rPr>
          <w:noProof/>
          <w:lang w:val="en-US"/>
        </w:rPr>
        <w:t xml:space="preserve"> W</w:t>
      </w:r>
      <w:r w:rsidRPr="0061223E">
        <w:rPr>
          <w:rFonts w:hint="eastAsia"/>
          <w:noProof/>
          <w:lang w:val="en-US" w:eastAsia="ko-KR"/>
        </w:rPr>
        <w:t>.</w:t>
      </w:r>
      <w:r w:rsidRPr="0061223E">
        <w:rPr>
          <w:noProof/>
          <w:lang w:val="en-US"/>
        </w:rPr>
        <w:t>B</w:t>
      </w:r>
      <w:r w:rsidRPr="0061223E">
        <w:rPr>
          <w:rFonts w:hint="eastAsia"/>
          <w:noProof/>
          <w:lang w:val="en-US" w:eastAsia="ko-KR"/>
        </w:rPr>
        <w:t>.,</w:t>
      </w:r>
      <w:r w:rsidRPr="0061223E">
        <w:rPr>
          <w:noProof/>
          <w:lang w:val="en-US"/>
        </w:rPr>
        <w:t xml:space="preserve"> Michalke</w:t>
      </w:r>
      <w:r w:rsidRPr="0061223E">
        <w:rPr>
          <w:rFonts w:hint="eastAsia"/>
          <w:noProof/>
          <w:lang w:val="en-US" w:eastAsia="ko-KR"/>
        </w:rPr>
        <w:t>,</w:t>
      </w:r>
      <w:r w:rsidRPr="0061223E">
        <w:rPr>
          <w:noProof/>
          <w:lang w:val="en-US"/>
        </w:rPr>
        <w:t xml:space="preserve"> B</w:t>
      </w:r>
      <w:r w:rsidRPr="0061223E">
        <w:rPr>
          <w:rFonts w:hint="eastAsia"/>
          <w:noProof/>
          <w:lang w:val="en-US" w:eastAsia="ko-KR"/>
        </w:rPr>
        <w:t>.,</w:t>
      </w:r>
      <w:r w:rsidRPr="0061223E">
        <w:rPr>
          <w:noProof/>
          <w:lang w:val="en-US"/>
        </w:rPr>
        <w:t xml:space="preserve"> 2017</w:t>
      </w:r>
      <w:r w:rsidRPr="0061223E">
        <w:rPr>
          <w:rFonts w:hint="eastAsia"/>
          <w:noProof/>
          <w:lang w:val="en-US" w:eastAsia="ko-KR"/>
        </w:rPr>
        <w:t>.</w:t>
      </w:r>
      <w:r w:rsidRPr="0061223E">
        <w:rPr>
          <w:noProof/>
          <w:lang w:val="en-US"/>
        </w:rPr>
        <w:t xml:space="preserve"> </w:t>
      </w:r>
      <w:r w:rsidRPr="0089670E">
        <w:rPr>
          <w:noProof/>
        </w:rPr>
        <w:t xml:space="preserve">Biokinetic measurements and modelling of urinary excretion of cerium citrate in humans. </w:t>
      </w:r>
      <w:r w:rsidRPr="009F33ED">
        <w:rPr>
          <w:noProof/>
        </w:rPr>
        <w:t>Radiat. Environ. Biophys.</w:t>
      </w:r>
      <w:r w:rsidRPr="0089670E">
        <w:rPr>
          <w:noProof/>
        </w:rPr>
        <w:t xml:space="preserve"> 56(1)</w:t>
      </w:r>
      <w:r>
        <w:rPr>
          <w:rFonts w:hint="eastAsia"/>
          <w:noProof/>
          <w:lang w:eastAsia="ko-KR"/>
        </w:rPr>
        <w:t>.</w:t>
      </w:r>
      <w:r w:rsidRPr="0089670E">
        <w:rPr>
          <w:noProof/>
        </w:rPr>
        <w:t xml:space="preserve"> 1–8.</w:t>
      </w:r>
    </w:p>
    <w:p w14:paraId="42E0547F" w14:textId="77777777" w:rsidR="00232741" w:rsidRPr="00BB7751" w:rsidRDefault="00232741" w:rsidP="00232741">
      <w:pPr>
        <w:pStyle w:val="aff1"/>
        <w:ind w:left="426" w:hanging="426"/>
        <w:rPr>
          <w:noProof/>
          <w:lang w:val="fr-FR"/>
        </w:rPr>
      </w:pPr>
      <w:r w:rsidRPr="0089670E">
        <w:rPr>
          <w:noProof/>
        </w:rPr>
        <w:t>Hölzer</w:t>
      </w:r>
      <w:r>
        <w:rPr>
          <w:rFonts w:hint="eastAsia"/>
          <w:noProof/>
          <w:lang w:eastAsia="ko-KR"/>
        </w:rPr>
        <w:t>,</w:t>
      </w:r>
      <w:r w:rsidRPr="0089670E">
        <w:rPr>
          <w:noProof/>
        </w:rPr>
        <w:t xml:space="preserve"> F</w:t>
      </w:r>
      <w:r>
        <w:rPr>
          <w:rFonts w:hint="eastAsia"/>
          <w:noProof/>
          <w:lang w:eastAsia="ko-KR"/>
        </w:rPr>
        <w:t>.,</w:t>
      </w:r>
      <w:r w:rsidRPr="0089670E">
        <w:rPr>
          <w:noProof/>
        </w:rPr>
        <w:t xml:space="preserve"> Gensicke</w:t>
      </w:r>
      <w:r>
        <w:rPr>
          <w:rFonts w:hint="eastAsia"/>
          <w:noProof/>
          <w:lang w:eastAsia="ko-KR"/>
        </w:rPr>
        <w:t>,</w:t>
      </w:r>
      <w:r w:rsidRPr="0089670E">
        <w:rPr>
          <w:noProof/>
        </w:rPr>
        <w:t xml:space="preserve"> F</w:t>
      </w:r>
      <w:r>
        <w:rPr>
          <w:rFonts w:hint="eastAsia"/>
          <w:noProof/>
          <w:lang w:eastAsia="ko-KR"/>
        </w:rPr>
        <w:t>.,</w:t>
      </w:r>
      <w:r w:rsidRPr="0089670E">
        <w:rPr>
          <w:noProof/>
        </w:rPr>
        <w:t xml:space="preserve"> 1965</w:t>
      </w:r>
      <w:r>
        <w:rPr>
          <w:rFonts w:hint="eastAsia"/>
          <w:noProof/>
          <w:lang w:eastAsia="ko-KR"/>
        </w:rPr>
        <w:t>.</w:t>
      </w:r>
      <w:r w:rsidRPr="0089670E">
        <w:rPr>
          <w:noProof/>
        </w:rPr>
        <w:t xml:space="preserve"> [Studies on the microdistribution of inhaled radiopromethium (147Pm)]. </w:t>
      </w:r>
      <w:r w:rsidRPr="00BB7751">
        <w:rPr>
          <w:noProof/>
          <w:lang w:val="fr-FR"/>
        </w:rPr>
        <w:t>Strahlentherapie 128(3)</w:t>
      </w:r>
      <w:r w:rsidRPr="00BB7751">
        <w:rPr>
          <w:rFonts w:hint="eastAsia"/>
          <w:noProof/>
          <w:lang w:val="fr-FR" w:eastAsia="ko-KR"/>
        </w:rPr>
        <w:t>.</w:t>
      </w:r>
      <w:r w:rsidRPr="00BB7751">
        <w:rPr>
          <w:noProof/>
          <w:lang w:val="fr-FR"/>
        </w:rPr>
        <w:t xml:space="preserve"> 396–405.</w:t>
      </w:r>
    </w:p>
    <w:p w14:paraId="3316599D" w14:textId="77777777" w:rsidR="00232741" w:rsidRPr="0089670E" w:rsidRDefault="00232741" w:rsidP="00232741">
      <w:pPr>
        <w:pStyle w:val="aff1"/>
        <w:ind w:left="426" w:hanging="426"/>
        <w:rPr>
          <w:noProof/>
        </w:rPr>
      </w:pPr>
      <w:r w:rsidRPr="00BB7751">
        <w:rPr>
          <w:noProof/>
          <w:lang w:val="fr-FR"/>
        </w:rPr>
        <w:t>Hungate</w:t>
      </w:r>
      <w:r w:rsidRPr="00BB7751">
        <w:rPr>
          <w:rFonts w:hint="eastAsia"/>
          <w:noProof/>
          <w:lang w:val="fr-FR" w:eastAsia="ko-KR"/>
        </w:rPr>
        <w:t>,</w:t>
      </w:r>
      <w:r w:rsidRPr="00BB7751">
        <w:rPr>
          <w:noProof/>
          <w:lang w:val="fr-FR"/>
        </w:rPr>
        <w:t xml:space="preserve"> F</w:t>
      </w:r>
      <w:r w:rsidRPr="00BB7751">
        <w:rPr>
          <w:rFonts w:hint="eastAsia"/>
          <w:noProof/>
          <w:lang w:val="fr-FR" w:eastAsia="ko-KR"/>
        </w:rPr>
        <w:t>.</w:t>
      </w:r>
      <w:r w:rsidRPr="00BB7751">
        <w:rPr>
          <w:noProof/>
          <w:lang w:val="fr-FR"/>
        </w:rPr>
        <w:t>P</w:t>
      </w:r>
      <w:r w:rsidRPr="00BB7751">
        <w:rPr>
          <w:rFonts w:hint="eastAsia"/>
          <w:noProof/>
          <w:lang w:val="fr-FR" w:eastAsia="ko-KR"/>
        </w:rPr>
        <w:t>.</w:t>
      </w:r>
      <w:r w:rsidRPr="00BB7751">
        <w:rPr>
          <w:noProof/>
          <w:lang w:val="fr-FR"/>
        </w:rPr>
        <w:t>, Ballou</w:t>
      </w:r>
      <w:r w:rsidRPr="00BB7751">
        <w:rPr>
          <w:rFonts w:hint="eastAsia"/>
          <w:noProof/>
          <w:lang w:val="fr-FR" w:eastAsia="ko-KR"/>
        </w:rPr>
        <w:t>,</w:t>
      </w:r>
      <w:r w:rsidRPr="00BB7751">
        <w:rPr>
          <w:noProof/>
          <w:lang w:val="fr-FR"/>
        </w:rPr>
        <w:t xml:space="preserve"> J</w:t>
      </w:r>
      <w:r w:rsidRPr="00BB7751">
        <w:rPr>
          <w:rFonts w:hint="eastAsia"/>
          <w:noProof/>
          <w:lang w:val="fr-FR" w:eastAsia="ko-KR"/>
        </w:rPr>
        <w:t>.</w:t>
      </w:r>
      <w:r w:rsidRPr="00BB7751">
        <w:rPr>
          <w:noProof/>
          <w:lang w:val="fr-FR"/>
        </w:rPr>
        <w:t>E</w:t>
      </w:r>
      <w:r w:rsidRPr="00BB7751">
        <w:rPr>
          <w:rFonts w:hint="eastAsia"/>
          <w:noProof/>
          <w:lang w:val="fr-FR" w:eastAsia="ko-KR"/>
        </w:rPr>
        <w:t>.</w:t>
      </w:r>
      <w:r w:rsidRPr="00BB7751">
        <w:rPr>
          <w:noProof/>
          <w:lang w:val="fr-FR"/>
        </w:rPr>
        <w:t>, Mahlum</w:t>
      </w:r>
      <w:r w:rsidRPr="00BB7751">
        <w:rPr>
          <w:rFonts w:hint="eastAsia"/>
          <w:noProof/>
          <w:lang w:val="fr-FR" w:eastAsia="ko-KR"/>
        </w:rPr>
        <w:t>,</w:t>
      </w:r>
      <w:r w:rsidRPr="00BB7751">
        <w:rPr>
          <w:noProof/>
          <w:lang w:val="fr-FR"/>
        </w:rPr>
        <w:t xml:space="preserve"> D</w:t>
      </w:r>
      <w:r w:rsidRPr="00BB7751">
        <w:rPr>
          <w:rFonts w:hint="eastAsia"/>
          <w:noProof/>
          <w:lang w:val="fr-FR" w:eastAsia="ko-KR"/>
        </w:rPr>
        <w:t>.</w:t>
      </w:r>
      <w:r w:rsidRPr="00BB7751">
        <w:rPr>
          <w:noProof/>
          <w:lang w:val="fr-FR"/>
        </w:rPr>
        <w:t>D</w:t>
      </w:r>
      <w:r w:rsidRPr="00BB7751">
        <w:rPr>
          <w:rFonts w:hint="eastAsia"/>
          <w:noProof/>
          <w:lang w:val="fr-FR" w:eastAsia="ko-KR"/>
        </w:rPr>
        <w:t>.</w:t>
      </w:r>
      <w:r w:rsidRPr="00BB7751">
        <w:rPr>
          <w:noProof/>
          <w:lang w:val="fr-FR"/>
        </w:rPr>
        <w:t>, et al.</w:t>
      </w:r>
      <w:r w:rsidRPr="00BB7751">
        <w:rPr>
          <w:rFonts w:hint="eastAsia"/>
          <w:noProof/>
          <w:lang w:val="fr-FR" w:eastAsia="ko-KR"/>
        </w:rPr>
        <w:t>,</w:t>
      </w:r>
      <w:r w:rsidRPr="00BB7751">
        <w:rPr>
          <w:noProof/>
          <w:lang w:val="fr-FR"/>
        </w:rPr>
        <w:t xml:space="preserve"> 1972</w:t>
      </w:r>
      <w:r w:rsidRPr="00BB7751">
        <w:rPr>
          <w:rFonts w:hint="eastAsia"/>
          <w:noProof/>
          <w:lang w:val="fr-FR" w:eastAsia="ko-KR"/>
        </w:rPr>
        <w:t>.</w:t>
      </w:r>
      <w:r w:rsidRPr="00BB7751">
        <w:rPr>
          <w:noProof/>
          <w:lang w:val="fr-FR"/>
        </w:rPr>
        <w:t xml:space="preserve"> </w:t>
      </w:r>
      <w:r w:rsidRPr="0089670E">
        <w:rPr>
          <w:noProof/>
        </w:rPr>
        <w:t xml:space="preserve">Preliminary data on 253Es and 249Bk metabolism in rats. </w:t>
      </w:r>
      <w:r w:rsidRPr="00ED6790">
        <w:rPr>
          <w:noProof/>
        </w:rPr>
        <w:t>Health Phys</w:t>
      </w:r>
      <w:r>
        <w:rPr>
          <w:rFonts w:hint="eastAsia"/>
          <w:noProof/>
          <w:lang w:eastAsia="ko-KR"/>
        </w:rPr>
        <w:t>.</w:t>
      </w:r>
      <w:r w:rsidRPr="0089670E">
        <w:rPr>
          <w:noProof/>
        </w:rPr>
        <w:t xml:space="preserve"> 22(6)</w:t>
      </w:r>
      <w:r>
        <w:rPr>
          <w:rFonts w:hint="eastAsia"/>
          <w:noProof/>
          <w:lang w:eastAsia="ko-KR"/>
        </w:rPr>
        <w:t>.</w:t>
      </w:r>
      <w:r w:rsidRPr="0089670E">
        <w:rPr>
          <w:noProof/>
        </w:rPr>
        <w:t xml:space="preserve"> 653–656.</w:t>
      </w:r>
    </w:p>
    <w:p w14:paraId="7B78AED4" w14:textId="77777777" w:rsidR="00232741" w:rsidRPr="0089670E" w:rsidRDefault="00232741" w:rsidP="00232741">
      <w:pPr>
        <w:pStyle w:val="aff1"/>
        <w:ind w:left="426" w:hanging="426"/>
        <w:rPr>
          <w:noProof/>
        </w:rPr>
      </w:pPr>
      <w:r w:rsidRPr="0089670E">
        <w:rPr>
          <w:noProof/>
        </w:rPr>
        <w:t>Hunt</w:t>
      </w:r>
      <w:r>
        <w:rPr>
          <w:rFonts w:hint="eastAsia"/>
          <w:noProof/>
          <w:lang w:eastAsia="ko-KR"/>
        </w:rPr>
        <w:t>,</w:t>
      </w:r>
      <w:r w:rsidRPr="0089670E">
        <w:rPr>
          <w:noProof/>
        </w:rPr>
        <w:t xml:space="preserve"> G</w:t>
      </w:r>
      <w:r>
        <w:rPr>
          <w:rFonts w:hint="eastAsia"/>
          <w:noProof/>
          <w:lang w:eastAsia="ko-KR"/>
        </w:rPr>
        <w:t>.</w:t>
      </w:r>
      <w:r w:rsidRPr="0089670E">
        <w:rPr>
          <w:noProof/>
        </w:rPr>
        <w:t>J</w:t>
      </w:r>
      <w:r>
        <w:rPr>
          <w:rFonts w:hint="eastAsia"/>
          <w:noProof/>
          <w:lang w:eastAsia="ko-KR"/>
        </w:rPr>
        <w:t>.,</w:t>
      </w:r>
      <w:r w:rsidRPr="0089670E">
        <w:rPr>
          <w:noProof/>
        </w:rPr>
        <w:t xml:space="preserve"> 1998</w:t>
      </w:r>
      <w:r>
        <w:rPr>
          <w:rFonts w:hint="eastAsia"/>
          <w:noProof/>
          <w:lang w:eastAsia="ko-KR"/>
        </w:rPr>
        <w:t>.</w:t>
      </w:r>
      <w:r w:rsidRPr="0089670E">
        <w:rPr>
          <w:noProof/>
        </w:rPr>
        <w:t xml:space="preserve"> Transfer across the human gut of environmental plutonium, americium, cobalt, caesium and technetium: Studies with cockles (Cerastoderma edule) from the Irish Sea. </w:t>
      </w:r>
      <w:r w:rsidRPr="009F33ED">
        <w:rPr>
          <w:noProof/>
        </w:rPr>
        <w:t>J. Radiol. Prot.</w:t>
      </w:r>
      <w:r w:rsidRPr="0089670E">
        <w:rPr>
          <w:noProof/>
        </w:rPr>
        <w:t xml:space="preserve"> 18(2)</w:t>
      </w:r>
      <w:r>
        <w:rPr>
          <w:rFonts w:hint="eastAsia"/>
          <w:noProof/>
          <w:lang w:eastAsia="ko-KR"/>
        </w:rPr>
        <w:t>.</w:t>
      </w:r>
      <w:r w:rsidRPr="0089670E">
        <w:rPr>
          <w:noProof/>
        </w:rPr>
        <w:t xml:space="preserve"> 101–109.</w:t>
      </w:r>
    </w:p>
    <w:p w14:paraId="5FD7F034" w14:textId="77777777" w:rsidR="00232741" w:rsidRPr="0089670E" w:rsidRDefault="00232741" w:rsidP="00232741">
      <w:pPr>
        <w:pStyle w:val="aff1"/>
        <w:ind w:left="426" w:hanging="426"/>
        <w:rPr>
          <w:noProof/>
        </w:rPr>
      </w:pPr>
      <w:r w:rsidRPr="0089670E">
        <w:rPr>
          <w:noProof/>
        </w:rPr>
        <w:t>Hunt</w:t>
      </w:r>
      <w:r>
        <w:rPr>
          <w:rFonts w:hint="eastAsia"/>
          <w:noProof/>
          <w:lang w:eastAsia="ko-KR"/>
        </w:rPr>
        <w:t>,</w:t>
      </w:r>
      <w:r w:rsidRPr="0089670E">
        <w:rPr>
          <w:noProof/>
        </w:rPr>
        <w:t xml:space="preserve"> G</w:t>
      </w:r>
      <w:r>
        <w:rPr>
          <w:rFonts w:hint="eastAsia"/>
          <w:noProof/>
          <w:lang w:eastAsia="ko-KR"/>
        </w:rPr>
        <w:t>.</w:t>
      </w:r>
      <w:r w:rsidRPr="0089670E">
        <w:rPr>
          <w:noProof/>
        </w:rPr>
        <w:t>J</w:t>
      </w:r>
      <w:r>
        <w:rPr>
          <w:rFonts w:hint="eastAsia"/>
          <w:noProof/>
          <w:lang w:eastAsia="ko-KR"/>
        </w:rPr>
        <w:t>.</w:t>
      </w:r>
      <w:r w:rsidRPr="0089670E">
        <w:rPr>
          <w:noProof/>
        </w:rPr>
        <w:t>, Leonard</w:t>
      </w:r>
      <w:r>
        <w:rPr>
          <w:rFonts w:hint="eastAsia"/>
          <w:noProof/>
          <w:lang w:eastAsia="ko-KR"/>
        </w:rPr>
        <w:t>,</w:t>
      </w:r>
      <w:r w:rsidRPr="0089670E">
        <w:rPr>
          <w:noProof/>
        </w:rPr>
        <w:t xml:space="preserve"> D</w:t>
      </w:r>
      <w:r>
        <w:rPr>
          <w:rFonts w:hint="eastAsia"/>
          <w:noProof/>
          <w:lang w:eastAsia="ko-KR"/>
        </w:rPr>
        <w:t>.</w:t>
      </w:r>
      <w:r w:rsidRPr="0089670E">
        <w:rPr>
          <w:noProof/>
        </w:rPr>
        <w:t>R</w:t>
      </w:r>
      <w:r>
        <w:rPr>
          <w:rFonts w:hint="eastAsia"/>
          <w:noProof/>
          <w:lang w:eastAsia="ko-KR"/>
        </w:rPr>
        <w:t>.,</w:t>
      </w:r>
      <w:r w:rsidRPr="0089670E">
        <w:rPr>
          <w:noProof/>
        </w:rPr>
        <w:t xml:space="preserve"> Lovett</w:t>
      </w:r>
      <w:r>
        <w:rPr>
          <w:rFonts w:hint="eastAsia"/>
          <w:noProof/>
          <w:lang w:eastAsia="ko-KR"/>
        </w:rPr>
        <w:t>,</w:t>
      </w:r>
      <w:r w:rsidRPr="0089670E">
        <w:rPr>
          <w:noProof/>
        </w:rPr>
        <w:t xml:space="preserve"> M</w:t>
      </w:r>
      <w:r>
        <w:rPr>
          <w:rFonts w:hint="eastAsia"/>
          <w:noProof/>
          <w:lang w:eastAsia="ko-KR"/>
        </w:rPr>
        <w:t>.</w:t>
      </w:r>
      <w:r w:rsidRPr="0089670E">
        <w:rPr>
          <w:noProof/>
        </w:rPr>
        <w:t>B</w:t>
      </w:r>
      <w:r>
        <w:rPr>
          <w:rFonts w:hint="eastAsia"/>
          <w:noProof/>
          <w:lang w:eastAsia="ko-KR"/>
        </w:rPr>
        <w:t>.,</w:t>
      </w:r>
      <w:r w:rsidRPr="0089670E">
        <w:rPr>
          <w:noProof/>
        </w:rPr>
        <w:t xml:space="preserve"> 1986</w:t>
      </w:r>
      <w:r>
        <w:rPr>
          <w:rFonts w:hint="eastAsia"/>
          <w:noProof/>
          <w:lang w:eastAsia="ko-KR"/>
        </w:rPr>
        <w:t>.</w:t>
      </w:r>
      <w:r w:rsidRPr="0089670E">
        <w:rPr>
          <w:noProof/>
        </w:rPr>
        <w:t xml:space="preserve"> Transfer of environmental plutonium and americium across the human gut. </w:t>
      </w:r>
      <w:r w:rsidRPr="009F33ED">
        <w:rPr>
          <w:noProof/>
        </w:rPr>
        <w:t>Sci. Total Environ.</w:t>
      </w:r>
      <w:r w:rsidRPr="0089670E">
        <w:rPr>
          <w:noProof/>
        </w:rPr>
        <w:t xml:space="preserve"> 53(1–2)</w:t>
      </w:r>
      <w:r>
        <w:rPr>
          <w:rFonts w:hint="eastAsia"/>
          <w:noProof/>
          <w:lang w:eastAsia="ko-KR"/>
        </w:rPr>
        <w:t>.</w:t>
      </w:r>
      <w:r w:rsidRPr="0089670E">
        <w:rPr>
          <w:noProof/>
        </w:rPr>
        <w:t xml:space="preserve"> 89–109.</w:t>
      </w:r>
    </w:p>
    <w:p w14:paraId="7A26D806" w14:textId="77777777" w:rsidR="00232741" w:rsidRPr="0089670E" w:rsidRDefault="00232741" w:rsidP="00232741">
      <w:pPr>
        <w:pStyle w:val="aff1"/>
        <w:ind w:left="426" w:hanging="426"/>
        <w:rPr>
          <w:noProof/>
        </w:rPr>
      </w:pPr>
      <w:r w:rsidRPr="0089670E">
        <w:rPr>
          <w:noProof/>
        </w:rPr>
        <w:t>Hunt</w:t>
      </w:r>
      <w:r>
        <w:rPr>
          <w:rFonts w:hint="eastAsia"/>
          <w:noProof/>
          <w:lang w:eastAsia="ko-KR"/>
        </w:rPr>
        <w:t>,</w:t>
      </w:r>
      <w:r w:rsidRPr="0089670E">
        <w:rPr>
          <w:noProof/>
        </w:rPr>
        <w:t xml:space="preserve"> G</w:t>
      </w:r>
      <w:r>
        <w:rPr>
          <w:rFonts w:hint="eastAsia"/>
          <w:noProof/>
          <w:lang w:eastAsia="ko-KR"/>
        </w:rPr>
        <w:t>.</w:t>
      </w:r>
      <w:r w:rsidRPr="0089670E">
        <w:rPr>
          <w:noProof/>
        </w:rPr>
        <w:t>J</w:t>
      </w:r>
      <w:r>
        <w:rPr>
          <w:rFonts w:hint="eastAsia"/>
          <w:noProof/>
          <w:lang w:eastAsia="ko-KR"/>
        </w:rPr>
        <w:t>.</w:t>
      </w:r>
      <w:r w:rsidRPr="0089670E">
        <w:rPr>
          <w:noProof/>
        </w:rPr>
        <w:t>, Leonard</w:t>
      </w:r>
      <w:r>
        <w:rPr>
          <w:rFonts w:hint="eastAsia"/>
          <w:noProof/>
          <w:lang w:eastAsia="ko-KR"/>
        </w:rPr>
        <w:t>,</w:t>
      </w:r>
      <w:r w:rsidRPr="0089670E">
        <w:rPr>
          <w:noProof/>
        </w:rPr>
        <w:t xml:space="preserve"> D</w:t>
      </w:r>
      <w:r>
        <w:rPr>
          <w:rFonts w:hint="eastAsia"/>
          <w:noProof/>
          <w:lang w:eastAsia="ko-KR"/>
        </w:rPr>
        <w:t>.</w:t>
      </w:r>
      <w:r w:rsidRPr="0089670E">
        <w:rPr>
          <w:noProof/>
        </w:rPr>
        <w:t>R</w:t>
      </w:r>
      <w:r>
        <w:rPr>
          <w:rFonts w:hint="eastAsia"/>
          <w:noProof/>
          <w:lang w:eastAsia="ko-KR"/>
        </w:rPr>
        <w:t>.,</w:t>
      </w:r>
      <w:r w:rsidRPr="0089670E">
        <w:rPr>
          <w:noProof/>
        </w:rPr>
        <w:t xml:space="preserve"> Lovett</w:t>
      </w:r>
      <w:r>
        <w:rPr>
          <w:rFonts w:hint="eastAsia"/>
          <w:noProof/>
          <w:lang w:eastAsia="ko-KR"/>
        </w:rPr>
        <w:t>,</w:t>
      </w:r>
      <w:r w:rsidRPr="0089670E">
        <w:rPr>
          <w:noProof/>
        </w:rPr>
        <w:t xml:space="preserve"> M</w:t>
      </w:r>
      <w:r>
        <w:rPr>
          <w:rFonts w:hint="eastAsia"/>
          <w:noProof/>
          <w:lang w:eastAsia="ko-KR"/>
        </w:rPr>
        <w:t>.</w:t>
      </w:r>
      <w:r w:rsidRPr="0089670E">
        <w:rPr>
          <w:noProof/>
        </w:rPr>
        <w:t>B</w:t>
      </w:r>
      <w:r>
        <w:rPr>
          <w:rFonts w:hint="eastAsia"/>
          <w:noProof/>
          <w:lang w:eastAsia="ko-KR"/>
        </w:rPr>
        <w:t>.,</w:t>
      </w:r>
      <w:r w:rsidRPr="0089670E">
        <w:rPr>
          <w:noProof/>
        </w:rPr>
        <w:t xml:space="preserve"> 1989</w:t>
      </w:r>
      <w:r>
        <w:rPr>
          <w:rFonts w:hint="eastAsia"/>
          <w:noProof/>
          <w:lang w:eastAsia="ko-KR"/>
        </w:rPr>
        <w:t>.</w:t>
      </w:r>
      <w:r w:rsidRPr="0089670E">
        <w:rPr>
          <w:noProof/>
        </w:rPr>
        <w:t xml:space="preserve"> Transfer of environmental plutonium and americium across the human gut. </w:t>
      </w:r>
      <w:r w:rsidRPr="00ED6790">
        <w:rPr>
          <w:noProof/>
        </w:rPr>
        <w:t>Radiol. Prot. Bull.</w:t>
      </w:r>
      <w:r w:rsidRPr="0089670E">
        <w:rPr>
          <w:noProof/>
        </w:rPr>
        <w:t xml:space="preserve"> 106: 7.</w:t>
      </w:r>
    </w:p>
    <w:p w14:paraId="3F3A55EA" w14:textId="77777777" w:rsidR="00232741" w:rsidRPr="0089670E" w:rsidRDefault="00232741" w:rsidP="00232741">
      <w:pPr>
        <w:pStyle w:val="aff1"/>
        <w:ind w:left="426" w:hanging="426"/>
        <w:rPr>
          <w:noProof/>
        </w:rPr>
      </w:pPr>
      <w:r w:rsidRPr="0089670E">
        <w:rPr>
          <w:noProof/>
        </w:rPr>
        <w:t>Hunt</w:t>
      </w:r>
      <w:r>
        <w:rPr>
          <w:rFonts w:hint="eastAsia"/>
          <w:noProof/>
          <w:lang w:eastAsia="ko-KR"/>
        </w:rPr>
        <w:t>,</w:t>
      </w:r>
      <w:r w:rsidRPr="0089670E">
        <w:rPr>
          <w:noProof/>
        </w:rPr>
        <w:t xml:space="preserve"> G</w:t>
      </w:r>
      <w:r>
        <w:rPr>
          <w:rFonts w:hint="eastAsia"/>
          <w:noProof/>
          <w:lang w:eastAsia="ko-KR"/>
        </w:rPr>
        <w:t>.</w:t>
      </w:r>
      <w:r w:rsidRPr="0089670E">
        <w:rPr>
          <w:noProof/>
        </w:rPr>
        <w:t>J</w:t>
      </w:r>
      <w:r>
        <w:rPr>
          <w:rFonts w:hint="eastAsia"/>
          <w:noProof/>
          <w:lang w:eastAsia="ko-KR"/>
        </w:rPr>
        <w:t>.</w:t>
      </w:r>
      <w:r w:rsidRPr="0089670E">
        <w:rPr>
          <w:noProof/>
        </w:rPr>
        <w:t>, Leonard</w:t>
      </w:r>
      <w:r>
        <w:rPr>
          <w:rFonts w:hint="eastAsia"/>
          <w:noProof/>
          <w:lang w:eastAsia="ko-KR"/>
        </w:rPr>
        <w:t>,</w:t>
      </w:r>
      <w:r w:rsidRPr="0089670E">
        <w:rPr>
          <w:noProof/>
        </w:rPr>
        <w:t xml:space="preserve"> D</w:t>
      </w:r>
      <w:r>
        <w:rPr>
          <w:rFonts w:hint="eastAsia"/>
          <w:noProof/>
          <w:lang w:eastAsia="ko-KR"/>
        </w:rPr>
        <w:t>.</w:t>
      </w:r>
      <w:r w:rsidRPr="0089670E">
        <w:rPr>
          <w:noProof/>
        </w:rPr>
        <w:t>R</w:t>
      </w:r>
      <w:r>
        <w:rPr>
          <w:rFonts w:hint="eastAsia"/>
          <w:noProof/>
          <w:lang w:eastAsia="ko-KR"/>
        </w:rPr>
        <w:t>.,</w:t>
      </w:r>
      <w:r w:rsidRPr="0089670E">
        <w:rPr>
          <w:noProof/>
        </w:rPr>
        <w:t xml:space="preserve"> Lovett</w:t>
      </w:r>
      <w:r>
        <w:rPr>
          <w:rFonts w:hint="eastAsia"/>
          <w:noProof/>
          <w:lang w:eastAsia="ko-KR"/>
        </w:rPr>
        <w:t>,</w:t>
      </w:r>
      <w:r w:rsidRPr="0089670E">
        <w:rPr>
          <w:noProof/>
        </w:rPr>
        <w:t xml:space="preserve"> M</w:t>
      </w:r>
      <w:r>
        <w:rPr>
          <w:rFonts w:hint="eastAsia"/>
          <w:noProof/>
          <w:lang w:eastAsia="ko-KR"/>
        </w:rPr>
        <w:t>.</w:t>
      </w:r>
      <w:r w:rsidRPr="0089670E">
        <w:rPr>
          <w:noProof/>
        </w:rPr>
        <w:t>B</w:t>
      </w:r>
      <w:r>
        <w:rPr>
          <w:rFonts w:hint="eastAsia"/>
          <w:noProof/>
          <w:lang w:eastAsia="ko-KR"/>
        </w:rPr>
        <w:t>.,</w:t>
      </w:r>
      <w:r w:rsidRPr="0089670E">
        <w:rPr>
          <w:noProof/>
        </w:rPr>
        <w:t xml:space="preserve"> </w:t>
      </w:r>
      <w:r>
        <w:rPr>
          <w:rFonts w:hint="eastAsia"/>
          <w:noProof/>
          <w:lang w:eastAsia="ko-KR"/>
        </w:rPr>
        <w:t>1</w:t>
      </w:r>
      <w:r w:rsidRPr="0089670E">
        <w:rPr>
          <w:noProof/>
        </w:rPr>
        <w:t>990</w:t>
      </w:r>
      <w:r>
        <w:rPr>
          <w:rFonts w:hint="eastAsia"/>
          <w:noProof/>
          <w:lang w:eastAsia="ko-KR"/>
        </w:rPr>
        <w:t>.</w:t>
      </w:r>
      <w:r w:rsidRPr="0089670E">
        <w:rPr>
          <w:noProof/>
        </w:rPr>
        <w:t xml:space="preserve"> Transfer of environmental plutonium and americium across the human gut: a second study. </w:t>
      </w:r>
      <w:r w:rsidRPr="009F33ED">
        <w:rPr>
          <w:noProof/>
        </w:rPr>
        <w:t>Sci. Total Environ.</w:t>
      </w:r>
      <w:r w:rsidRPr="0089670E">
        <w:rPr>
          <w:noProof/>
        </w:rPr>
        <w:t xml:space="preserve"> 90</w:t>
      </w:r>
      <w:r>
        <w:rPr>
          <w:rFonts w:hint="eastAsia"/>
          <w:noProof/>
          <w:lang w:eastAsia="ko-KR"/>
        </w:rPr>
        <w:t>.</w:t>
      </w:r>
      <w:r w:rsidRPr="0089670E">
        <w:rPr>
          <w:noProof/>
        </w:rPr>
        <w:t xml:space="preserve"> 273–282.</w:t>
      </w:r>
    </w:p>
    <w:p w14:paraId="3BFED60A" w14:textId="77777777" w:rsidR="00232741" w:rsidRPr="0089670E" w:rsidRDefault="00232741" w:rsidP="00232741">
      <w:pPr>
        <w:pStyle w:val="aff1"/>
        <w:ind w:left="426" w:hanging="426"/>
        <w:rPr>
          <w:noProof/>
        </w:rPr>
      </w:pPr>
      <w:r w:rsidRPr="0089670E">
        <w:rPr>
          <w:noProof/>
        </w:rPr>
        <w:t>Hursh</w:t>
      </w:r>
      <w:r>
        <w:rPr>
          <w:rFonts w:hint="eastAsia"/>
          <w:noProof/>
          <w:lang w:eastAsia="ko-KR"/>
        </w:rPr>
        <w:t>,</w:t>
      </w:r>
      <w:r w:rsidRPr="0089670E">
        <w:rPr>
          <w:noProof/>
        </w:rPr>
        <w:t xml:space="preserve"> J</w:t>
      </w:r>
      <w:r>
        <w:rPr>
          <w:rFonts w:hint="eastAsia"/>
          <w:noProof/>
          <w:lang w:eastAsia="ko-KR"/>
        </w:rPr>
        <w:t>.</w:t>
      </w:r>
      <w:r w:rsidRPr="0089670E">
        <w:rPr>
          <w:noProof/>
        </w:rPr>
        <w:t>B</w:t>
      </w:r>
      <w:r>
        <w:rPr>
          <w:rFonts w:hint="eastAsia"/>
          <w:noProof/>
          <w:lang w:eastAsia="ko-KR"/>
        </w:rPr>
        <w:t>.,</w:t>
      </w:r>
      <w:r w:rsidRPr="0089670E">
        <w:rPr>
          <w:noProof/>
        </w:rPr>
        <w:t xml:space="preserve"> Spoor</w:t>
      </w:r>
      <w:r>
        <w:rPr>
          <w:rFonts w:hint="eastAsia"/>
          <w:noProof/>
          <w:lang w:eastAsia="ko-KR"/>
        </w:rPr>
        <w:t>,</w:t>
      </w:r>
      <w:r w:rsidRPr="0089670E">
        <w:rPr>
          <w:noProof/>
        </w:rPr>
        <w:t xml:space="preserve"> N</w:t>
      </w:r>
      <w:r>
        <w:rPr>
          <w:rFonts w:hint="eastAsia"/>
          <w:noProof/>
          <w:lang w:eastAsia="ko-KR"/>
        </w:rPr>
        <w:t>.</w:t>
      </w:r>
      <w:r w:rsidRPr="0089670E">
        <w:rPr>
          <w:noProof/>
        </w:rPr>
        <w:t>L</w:t>
      </w:r>
      <w:r>
        <w:rPr>
          <w:rFonts w:hint="eastAsia"/>
          <w:noProof/>
          <w:lang w:eastAsia="ko-KR"/>
        </w:rPr>
        <w:t>.,</w:t>
      </w:r>
      <w:r w:rsidRPr="0089670E">
        <w:rPr>
          <w:noProof/>
        </w:rPr>
        <w:t xml:space="preserve"> 1973</w:t>
      </w:r>
      <w:r>
        <w:rPr>
          <w:rFonts w:hint="eastAsia"/>
          <w:noProof/>
          <w:lang w:eastAsia="ko-KR"/>
        </w:rPr>
        <w:t>.</w:t>
      </w:r>
      <w:r w:rsidRPr="0089670E">
        <w:rPr>
          <w:noProof/>
        </w:rPr>
        <w:t xml:space="preserve"> Data on man. </w:t>
      </w:r>
      <w:r w:rsidRPr="00ED6790">
        <w:rPr>
          <w:noProof/>
        </w:rPr>
        <w:t>Handbook of Experimental Pharmacology</w:t>
      </w:r>
      <w:r w:rsidRPr="0089670E">
        <w:rPr>
          <w:noProof/>
        </w:rPr>
        <w:t xml:space="preserve"> 36: 197–239.</w:t>
      </w:r>
    </w:p>
    <w:p w14:paraId="3A6603EB" w14:textId="77777777" w:rsidR="00232741" w:rsidRPr="0089670E" w:rsidRDefault="00232741" w:rsidP="00232741">
      <w:pPr>
        <w:pStyle w:val="aff1"/>
        <w:ind w:left="426" w:hanging="426"/>
        <w:rPr>
          <w:noProof/>
        </w:rPr>
      </w:pPr>
      <w:r w:rsidRPr="0061223E">
        <w:rPr>
          <w:noProof/>
          <w:lang w:val="en-US"/>
        </w:rPr>
        <w:t>Hursh</w:t>
      </w:r>
      <w:r w:rsidRPr="0061223E">
        <w:rPr>
          <w:rFonts w:hint="eastAsia"/>
          <w:noProof/>
          <w:lang w:val="en-US" w:eastAsia="ko-KR"/>
        </w:rPr>
        <w:t>,</w:t>
      </w:r>
      <w:r w:rsidRPr="0061223E">
        <w:rPr>
          <w:noProof/>
          <w:lang w:val="en-US"/>
        </w:rPr>
        <w:t xml:space="preserve"> J</w:t>
      </w:r>
      <w:r w:rsidRPr="0061223E">
        <w:rPr>
          <w:rFonts w:hint="eastAsia"/>
          <w:noProof/>
          <w:lang w:val="en-US" w:eastAsia="ko-KR"/>
        </w:rPr>
        <w:t>.</w:t>
      </w:r>
      <w:r w:rsidRPr="0061223E">
        <w:rPr>
          <w:noProof/>
          <w:lang w:val="en-US"/>
        </w:rPr>
        <w:t>B</w:t>
      </w:r>
      <w:r w:rsidRPr="0061223E">
        <w:rPr>
          <w:rFonts w:hint="eastAsia"/>
          <w:noProof/>
          <w:lang w:val="en-US" w:eastAsia="ko-KR"/>
        </w:rPr>
        <w:t>.</w:t>
      </w:r>
      <w:r w:rsidRPr="0061223E">
        <w:rPr>
          <w:noProof/>
          <w:lang w:val="en-US"/>
        </w:rPr>
        <w:t>, Neuman</w:t>
      </w:r>
      <w:r w:rsidRPr="0061223E">
        <w:rPr>
          <w:rFonts w:hint="eastAsia"/>
          <w:noProof/>
          <w:lang w:val="en-US" w:eastAsia="ko-KR"/>
        </w:rPr>
        <w:t>,</w:t>
      </w:r>
      <w:r w:rsidRPr="0061223E">
        <w:rPr>
          <w:noProof/>
          <w:lang w:val="en-US"/>
        </w:rPr>
        <w:t xml:space="preserve"> W</w:t>
      </w:r>
      <w:r w:rsidRPr="0061223E">
        <w:rPr>
          <w:rFonts w:hint="eastAsia"/>
          <w:noProof/>
          <w:lang w:val="en-US" w:eastAsia="ko-KR"/>
        </w:rPr>
        <w:t>.</w:t>
      </w:r>
      <w:r w:rsidRPr="0061223E">
        <w:rPr>
          <w:noProof/>
          <w:lang w:val="en-US"/>
        </w:rPr>
        <w:t>R</w:t>
      </w:r>
      <w:r w:rsidRPr="0061223E">
        <w:rPr>
          <w:rFonts w:hint="eastAsia"/>
          <w:noProof/>
          <w:lang w:val="en-US" w:eastAsia="ko-KR"/>
        </w:rPr>
        <w:t>.</w:t>
      </w:r>
      <w:r w:rsidRPr="0061223E">
        <w:rPr>
          <w:noProof/>
          <w:lang w:val="en-US"/>
        </w:rPr>
        <w:t>, Toribara</w:t>
      </w:r>
      <w:r w:rsidRPr="0061223E">
        <w:rPr>
          <w:rFonts w:hint="eastAsia"/>
          <w:noProof/>
          <w:lang w:val="en-US" w:eastAsia="ko-KR"/>
        </w:rPr>
        <w:t>,</w:t>
      </w:r>
      <w:r w:rsidRPr="0061223E">
        <w:rPr>
          <w:noProof/>
          <w:lang w:val="en-US"/>
        </w:rPr>
        <w:t xml:space="preserve"> T</w:t>
      </w:r>
      <w:r w:rsidRPr="0061223E">
        <w:rPr>
          <w:rFonts w:hint="eastAsia"/>
          <w:noProof/>
          <w:lang w:val="en-US" w:eastAsia="ko-KR"/>
        </w:rPr>
        <w:t>.</w:t>
      </w:r>
      <w:r w:rsidRPr="0061223E">
        <w:rPr>
          <w:noProof/>
          <w:lang w:val="en-US"/>
        </w:rPr>
        <w:t>, et al.</w:t>
      </w:r>
      <w:r w:rsidRPr="0061223E">
        <w:rPr>
          <w:rFonts w:hint="eastAsia"/>
          <w:noProof/>
          <w:lang w:val="en-US" w:eastAsia="ko-KR"/>
        </w:rPr>
        <w:t>,</w:t>
      </w:r>
      <w:r w:rsidRPr="0061223E">
        <w:rPr>
          <w:noProof/>
          <w:lang w:val="en-US"/>
        </w:rPr>
        <w:t xml:space="preserve"> 1969</w:t>
      </w:r>
      <w:r w:rsidRPr="0061223E">
        <w:rPr>
          <w:rFonts w:hint="eastAsia"/>
          <w:noProof/>
          <w:lang w:val="en-US" w:eastAsia="ko-KR"/>
        </w:rPr>
        <w:t>.</w:t>
      </w:r>
      <w:r w:rsidRPr="0061223E">
        <w:rPr>
          <w:noProof/>
          <w:lang w:val="en-US"/>
        </w:rPr>
        <w:t xml:space="preserve"> </w:t>
      </w:r>
      <w:r w:rsidRPr="0089670E">
        <w:rPr>
          <w:noProof/>
        </w:rPr>
        <w:t xml:space="preserve">Oral ingestion of uranium by man. </w:t>
      </w:r>
      <w:r w:rsidRPr="00ED6790">
        <w:rPr>
          <w:noProof/>
        </w:rPr>
        <w:t>Health Phys</w:t>
      </w:r>
      <w:r>
        <w:rPr>
          <w:rFonts w:hint="eastAsia"/>
          <w:noProof/>
          <w:lang w:eastAsia="ko-KR"/>
        </w:rPr>
        <w:t>.</w:t>
      </w:r>
      <w:r w:rsidRPr="0089670E">
        <w:rPr>
          <w:noProof/>
        </w:rPr>
        <w:t xml:space="preserve"> 17(4)</w:t>
      </w:r>
      <w:r>
        <w:rPr>
          <w:rFonts w:hint="eastAsia"/>
          <w:noProof/>
          <w:lang w:eastAsia="ko-KR"/>
        </w:rPr>
        <w:t>.</w:t>
      </w:r>
      <w:r w:rsidRPr="0089670E">
        <w:rPr>
          <w:noProof/>
        </w:rPr>
        <w:t xml:space="preserve"> 619–621.</w:t>
      </w:r>
    </w:p>
    <w:p w14:paraId="76B11061" w14:textId="77777777" w:rsidR="00232741" w:rsidRPr="0089670E" w:rsidRDefault="00232741" w:rsidP="00232741">
      <w:pPr>
        <w:pStyle w:val="aff1"/>
        <w:ind w:left="426" w:hanging="426"/>
        <w:rPr>
          <w:noProof/>
        </w:rPr>
      </w:pPr>
      <w:r w:rsidRPr="0089670E">
        <w:rPr>
          <w:noProof/>
        </w:rPr>
        <w:t>IAEA</w:t>
      </w:r>
      <w:r>
        <w:rPr>
          <w:rFonts w:hint="eastAsia"/>
          <w:noProof/>
          <w:lang w:eastAsia="ko-KR"/>
        </w:rPr>
        <w:t>,</w:t>
      </w:r>
      <w:r w:rsidRPr="0089670E">
        <w:rPr>
          <w:noProof/>
        </w:rPr>
        <w:t xml:space="preserve"> 1996</w:t>
      </w:r>
      <w:r>
        <w:rPr>
          <w:rFonts w:hint="eastAsia"/>
          <w:noProof/>
          <w:lang w:eastAsia="ko-KR"/>
        </w:rPr>
        <w:t>.</w:t>
      </w:r>
      <w:r w:rsidRPr="0089670E">
        <w:rPr>
          <w:noProof/>
        </w:rPr>
        <w:t xml:space="preserve"> </w:t>
      </w:r>
      <w:r w:rsidRPr="00ED6790">
        <w:rPr>
          <w:noProof/>
        </w:rPr>
        <w:t>Direct Methods for Measuring Radionuclides in the Human Body</w:t>
      </w:r>
      <w:r w:rsidRPr="0089670E">
        <w:rPr>
          <w:noProof/>
        </w:rPr>
        <w:t xml:space="preserve">. Safety Series 114. </w:t>
      </w:r>
      <w:r w:rsidRPr="00284B3D">
        <w:rPr>
          <w:noProof/>
        </w:rPr>
        <w:t>International Atomic Energy Agency, Vienna</w:t>
      </w:r>
      <w:r w:rsidRPr="0089670E">
        <w:rPr>
          <w:noProof/>
        </w:rPr>
        <w:t>. Available at: https://www.iaea.org/publications/5199/direct-methods-for-measuring-radionuclides-in-the-human-body.</w:t>
      </w:r>
    </w:p>
    <w:p w14:paraId="01CE5A6B" w14:textId="77777777" w:rsidR="00232741" w:rsidRPr="0089670E" w:rsidRDefault="00232741" w:rsidP="00232741">
      <w:pPr>
        <w:pStyle w:val="aff1"/>
        <w:ind w:left="426" w:hanging="426"/>
        <w:rPr>
          <w:noProof/>
        </w:rPr>
      </w:pPr>
      <w:r w:rsidRPr="0089670E">
        <w:rPr>
          <w:noProof/>
        </w:rPr>
        <w:t>Ibrahim</w:t>
      </w:r>
      <w:r>
        <w:rPr>
          <w:rFonts w:hint="eastAsia"/>
          <w:noProof/>
          <w:lang w:eastAsia="ko-KR"/>
        </w:rPr>
        <w:t>,</w:t>
      </w:r>
      <w:r w:rsidRPr="0089670E">
        <w:rPr>
          <w:noProof/>
        </w:rPr>
        <w:t xml:space="preserve"> S</w:t>
      </w:r>
      <w:r>
        <w:rPr>
          <w:rFonts w:hint="eastAsia"/>
          <w:noProof/>
          <w:lang w:eastAsia="ko-KR"/>
        </w:rPr>
        <w:t>.</w:t>
      </w:r>
      <w:r w:rsidRPr="0089670E">
        <w:rPr>
          <w:noProof/>
        </w:rPr>
        <w:t>A</w:t>
      </w:r>
      <w:r>
        <w:rPr>
          <w:rFonts w:hint="eastAsia"/>
          <w:noProof/>
          <w:lang w:eastAsia="ko-KR"/>
        </w:rPr>
        <w:t>.</w:t>
      </w:r>
      <w:r w:rsidRPr="0089670E">
        <w:rPr>
          <w:noProof/>
        </w:rPr>
        <w:t>, Wrenn</w:t>
      </w:r>
      <w:r>
        <w:rPr>
          <w:rFonts w:hint="eastAsia"/>
          <w:noProof/>
          <w:lang w:eastAsia="ko-KR"/>
        </w:rPr>
        <w:t>,</w:t>
      </w:r>
      <w:r w:rsidRPr="0089670E">
        <w:rPr>
          <w:noProof/>
        </w:rPr>
        <w:t xml:space="preserve"> M</w:t>
      </w:r>
      <w:r>
        <w:rPr>
          <w:rFonts w:hint="eastAsia"/>
          <w:noProof/>
          <w:lang w:eastAsia="ko-KR"/>
        </w:rPr>
        <w:t>.</w:t>
      </w:r>
      <w:r w:rsidRPr="0089670E">
        <w:rPr>
          <w:noProof/>
        </w:rPr>
        <w:t>E</w:t>
      </w:r>
      <w:r>
        <w:rPr>
          <w:rFonts w:hint="eastAsia"/>
          <w:noProof/>
          <w:lang w:eastAsia="ko-KR"/>
        </w:rPr>
        <w:t>.</w:t>
      </w:r>
      <w:r w:rsidRPr="0089670E">
        <w:rPr>
          <w:noProof/>
        </w:rPr>
        <w:t>, Singh</w:t>
      </w:r>
      <w:r>
        <w:rPr>
          <w:rFonts w:hint="eastAsia"/>
          <w:noProof/>
          <w:lang w:eastAsia="ko-KR"/>
        </w:rPr>
        <w:t>,</w:t>
      </w:r>
      <w:r w:rsidRPr="0089670E">
        <w:rPr>
          <w:noProof/>
        </w:rPr>
        <w:t xml:space="preserve"> N</w:t>
      </w:r>
      <w:r>
        <w:rPr>
          <w:rFonts w:hint="eastAsia"/>
          <w:noProof/>
          <w:lang w:eastAsia="ko-KR"/>
        </w:rPr>
        <w:t>.</w:t>
      </w:r>
      <w:r w:rsidRPr="0089670E">
        <w:rPr>
          <w:noProof/>
        </w:rPr>
        <w:t>P</w:t>
      </w:r>
      <w:r>
        <w:rPr>
          <w:rFonts w:hint="eastAsia"/>
          <w:noProof/>
          <w:lang w:eastAsia="ko-KR"/>
        </w:rPr>
        <w:t>.</w:t>
      </w:r>
      <w:r w:rsidRPr="0089670E">
        <w:rPr>
          <w:noProof/>
        </w:rPr>
        <w:t>, et al.</w:t>
      </w:r>
      <w:r>
        <w:rPr>
          <w:rFonts w:hint="eastAsia"/>
          <w:noProof/>
          <w:lang w:eastAsia="ko-KR"/>
        </w:rPr>
        <w:t>,</w:t>
      </w:r>
      <w:r w:rsidRPr="0089670E">
        <w:rPr>
          <w:noProof/>
        </w:rPr>
        <w:t xml:space="preserve"> 1983</w:t>
      </w:r>
      <w:r>
        <w:rPr>
          <w:rFonts w:hint="eastAsia"/>
          <w:noProof/>
          <w:lang w:eastAsia="ko-KR"/>
        </w:rPr>
        <w:t>.</w:t>
      </w:r>
      <w:r w:rsidRPr="0089670E">
        <w:rPr>
          <w:noProof/>
        </w:rPr>
        <w:t xml:space="preserve"> Thorium concentration in human tissues from two U.S. Populations. </w:t>
      </w:r>
      <w:r w:rsidRPr="00ED6790">
        <w:rPr>
          <w:noProof/>
        </w:rPr>
        <w:t>Health Phys</w:t>
      </w:r>
      <w:r>
        <w:rPr>
          <w:rFonts w:hint="eastAsia"/>
          <w:noProof/>
          <w:lang w:eastAsia="ko-KR"/>
        </w:rPr>
        <w:t>.</w:t>
      </w:r>
      <w:r w:rsidRPr="0089670E">
        <w:rPr>
          <w:noProof/>
        </w:rPr>
        <w:t xml:space="preserve"> 44</w:t>
      </w:r>
      <w:r>
        <w:rPr>
          <w:rFonts w:hint="eastAsia"/>
          <w:noProof/>
          <w:lang w:eastAsia="ko-KR"/>
        </w:rPr>
        <w:t xml:space="preserve">. </w:t>
      </w:r>
      <w:r w:rsidRPr="0089670E">
        <w:rPr>
          <w:noProof/>
        </w:rPr>
        <w:t>213–220.</w:t>
      </w:r>
    </w:p>
    <w:p w14:paraId="646F740A" w14:textId="77777777" w:rsidR="00232741" w:rsidRPr="00BB7751" w:rsidRDefault="00232741" w:rsidP="00232741">
      <w:pPr>
        <w:pStyle w:val="aff1"/>
        <w:ind w:left="426" w:hanging="426"/>
        <w:rPr>
          <w:noProof/>
          <w:lang w:val="fr-FR"/>
        </w:rPr>
      </w:pPr>
      <w:r w:rsidRPr="0089670E">
        <w:rPr>
          <w:noProof/>
        </w:rPr>
        <w:t>ICRP</w:t>
      </w:r>
      <w:r>
        <w:rPr>
          <w:rFonts w:hint="eastAsia"/>
          <w:noProof/>
          <w:lang w:eastAsia="ko-KR"/>
        </w:rPr>
        <w:t>,</w:t>
      </w:r>
      <w:r w:rsidRPr="0089670E">
        <w:rPr>
          <w:noProof/>
        </w:rPr>
        <w:t xml:space="preserve"> 1979</w:t>
      </w:r>
      <w:r>
        <w:rPr>
          <w:rFonts w:hint="eastAsia"/>
          <w:noProof/>
          <w:lang w:eastAsia="ko-KR"/>
        </w:rPr>
        <w:t>.</w:t>
      </w:r>
      <w:r w:rsidRPr="0089670E">
        <w:rPr>
          <w:noProof/>
        </w:rPr>
        <w:t xml:space="preserve"> Limits for intakes of radionuclides by workers</w:t>
      </w:r>
      <w:r>
        <w:rPr>
          <w:rFonts w:hint="eastAsia"/>
          <w:noProof/>
          <w:lang w:eastAsia="ko-KR"/>
        </w:rPr>
        <w:t>.</w:t>
      </w:r>
      <w:r w:rsidRPr="0089670E">
        <w:rPr>
          <w:noProof/>
        </w:rPr>
        <w:t xml:space="preserve"> </w:t>
      </w:r>
      <w:r w:rsidRPr="00BB7751">
        <w:rPr>
          <w:noProof/>
          <w:lang w:val="fr-FR"/>
        </w:rPr>
        <w:t>ICRP Publication 30 Part 1. Ann</w:t>
      </w:r>
      <w:r w:rsidRPr="00BB7751">
        <w:rPr>
          <w:rFonts w:hint="eastAsia"/>
          <w:noProof/>
          <w:lang w:val="fr-FR" w:eastAsia="ko-KR"/>
        </w:rPr>
        <w:t>.</w:t>
      </w:r>
      <w:r w:rsidRPr="00BB7751">
        <w:rPr>
          <w:noProof/>
          <w:lang w:val="fr-FR"/>
        </w:rPr>
        <w:t xml:space="preserve"> ICRP 2(3/4).</w:t>
      </w:r>
    </w:p>
    <w:p w14:paraId="22C3942E" w14:textId="77777777" w:rsidR="00232741" w:rsidRPr="00BB7751" w:rsidRDefault="00232741" w:rsidP="00232741">
      <w:pPr>
        <w:pStyle w:val="aff1"/>
        <w:ind w:left="426" w:hanging="426"/>
        <w:rPr>
          <w:noProof/>
          <w:lang w:val="fr-FR"/>
        </w:rPr>
      </w:pPr>
      <w:r w:rsidRPr="0089670E">
        <w:rPr>
          <w:noProof/>
        </w:rPr>
        <w:t>ICRP</w:t>
      </w:r>
      <w:r>
        <w:rPr>
          <w:rFonts w:hint="eastAsia"/>
          <w:noProof/>
          <w:lang w:eastAsia="ko-KR"/>
        </w:rPr>
        <w:t>,</w:t>
      </w:r>
      <w:r w:rsidRPr="0089670E">
        <w:rPr>
          <w:noProof/>
        </w:rPr>
        <w:t xml:space="preserve"> 1980</w:t>
      </w:r>
      <w:r>
        <w:rPr>
          <w:rFonts w:hint="eastAsia"/>
          <w:noProof/>
          <w:lang w:eastAsia="ko-KR"/>
        </w:rPr>
        <w:t>.</w:t>
      </w:r>
      <w:r w:rsidRPr="0089670E">
        <w:rPr>
          <w:noProof/>
        </w:rPr>
        <w:t xml:space="preserve"> Limits for intakes of radionuclides by workers. </w:t>
      </w:r>
      <w:r w:rsidRPr="00BB7751">
        <w:rPr>
          <w:noProof/>
          <w:lang w:val="fr-FR"/>
        </w:rPr>
        <w:t>ICRP Publication 30 Part 2. Ann</w:t>
      </w:r>
      <w:r w:rsidRPr="00BB7751">
        <w:rPr>
          <w:rFonts w:hint="eastAsia"/>
          <w:noProof/>
          <w:lang w:val="fr-FR" w:eastAsia="ko-KR"/>
        </w:rPr>
        <w:t>.</w:t>
      </w:r>
      <w:r w:rsidRPr="00BB7751">
        <w:rPr>
          <w:noProof/>
          <w:lang w:val="fr-FR"/>
        </w:rPr>
        <w:t xml:space="preserve"> ICRP 4(3/4).</w:t>
      </w:r>
    </w:p>
    <w:p w14:paraId="44186C72" w14:textId="77777777" w:rsidR="00232741" w:rsidRPr="00BB7751" w:rsidRDefault="00232741" w:rsidP="00232741">
      <w:pPr>
        <w:pStyle w:val="aff1"/>
        <w:ind w:left="426" w:hanging="426"/>
        <w:rPr>
          <w:noProof/>
          <w:lang w:val="fr-FR"/>
        </w:rPr>
      </w:pPr>
      <w:r w:rsidRPr="0089670E">
        <w:rPr>
          <w:noProof/>
        </w:rPr>
        <w:t>ICRP</w:t>
      </w:r>
      <w:r>
        <w:rPr>
          <w:rFonts w:hint="eastAsia"/>
          <w:noProof/>
          <w:lang w:eastAsia="ko-KR"/>
        </w:rPr>
        <w:t>,</w:t>
      </w:r>
      <w:r w:rsidRPr="0089670E">
        <w:rPr>
          <w:noProof/>
        </w:rPr>
        <w:t xml:space="preserve"> 1981</w:t>
      </w:r>
      <w:r>
        <w:rPr>
          <w:rFonts w:hint="eastAsia"/>
          <w:noProof/>
          <w:lang w:eastAsia="ko-KR"/>
        </w:rPr>
        <w:t>.</w:t>
      </w:r>
      <w:r w:rsidRPr="0089670E">
        <w:rPr>
          <w:noProof/>
        </w:rPr>
        <w:t xml:space="preserve"> Limits for intakes of radionuclides by workers. </w:t>
      </w:r>
      <w:r w:rsidRPr="00BB7751">
        <w:rPr>
          <w:noProof/>
          <w:lang w:val="fr-FR"/>
        </w:rPr>
        <w:t>ICRP Publication 30 Part 3. Ann</w:t>
      </w:r>
      <w:r w:rsidRPr="00BB7751">
        <w:rPr>
          <w:rFonts w:hint="eastAsia"/>
          <w:noProof/>
          <w:lang w:val="fr-FR" w:eastAsia="ko-KR"/>
        </w:rPr>
        <w:t>.</w:t>
      </w:r>
      <w:r w:rsidRPr="00BB7751">
        <w:rPr>
          <w:noProof/>
          <w:lang w:val="fr-FR"/>
        </w:rPr>
        <w:t xml:space="preserve"> ICRP 6(2/3).</w:t>
      </w:r>
    </w:p>
    <w:p w14:paraId="7805330B" w14:textId="77777777" w:rsidR="00232741" w:rsidRPr="00BB7751" w:rsidRDefault="00232741" w:rsidP="00232741">
      <w:pPr>
        <w:pStyle w:val="aff1"/>
        <w:ind w:left="426" w:hanging="426"/>
        <w:rPr>
          <w:noProof/>
          <w:lang w:val="fr-FR"/>
        </w:rPr>
      </w:pPr>
      <w:r w:rsidRPr="0089670E">
        <w:rPr>
          <w:noProof/>
        </w:rPr>
        <w:t>ICRP</w:t>
      </w:r>
      <w:r>
        <w:rPr>
          <w:rFonts w:hint="eastAsia"/>
          <w:noProof/>
          <w:lang w:eastAsia="ko-KR"/>
        </w:rPr>
        <w:t>,</w:t>
      </w:r>
      <w:r w:rsidRPr="0089670E">
        <w:rPr>
          <w:noProof/>
        </w:rPr>
        <w:t xml:space="preserve"> 1986</w:t>
      </w:r>
      <w:r>
        <w:rPr>
          <w:rFonts w:hint="eastAsia"/>
          <w:noProof/>
          <w:lang w:eastAsia="ko-KR"/>
        </w:rPr>
        <w:t>.</w:t>
      </w:r>
      <w:r w:rsidRPr="0089670E">
        <w:rPr>
          <w:noProof/>
        </w:rPr>
        <w:t xml:space="preserve"> The Metabolism of Plutonium and Related Elements. </w:t>
      </w:r>
      <w:r w:rsidRPr="00BB7751">
        <w:rPr>
          <w:noProof/>
          <w:lang w:val="fr-FR"/>
        </w:rPr>
        <w:t>ICRP Publication 48. Ann</w:t>
      </w:r>
      <w:r w:rsidRPr="00BB7751">
        <w:rPr>
          <w:rFonts w:hint="eastAsia"/>
          <w:noProof/>
          <w:lang w:val="fr-FR" w:eastAsia="ko-KR"/>
        </w:rPr>
        <w:t>.</w:t>
      </w:r>
      <w:r w:rsidRPr="00BB7751">
        <w:rPr>
          <w:noProof/>
          <w:lang w:val="fr-FR"/>
        </w:rPr>
        <w:t xml:space="preserve"> ICRP 16(2/3).</w:t>
      </w:r>
    </w:p>
    <w:p w14:paraId="7A8420D5" w14:textId="77777777" w:rsidR="00232741" w:rsidRPr="0089670E" w:rsidRDefault="00232741" w:rsidP="00232741">
      <w:pPr>
        <w:pStyle w:val="aff1"/>
        <w:ind w:left="426" w:hanging="426"/>
        <w:rPr>
          <w:noProof/>
        </w:rPr>
      </w:pPr>
      <w:r w:rsidRPr="00BB7751">
        <w:rPr>
          <w:noProof/>
          <w:lang w:val="fr-FR"/>
        </w:rPr>
        <w:t>ICRP</w:t>
      </w:r>
      <w:r w:rsidRPr="00BB7751">
        <w:rPr>
          <w:rFonts w:hint="eastAsia"/>
          <w:noProof/>
          <w:lang w:val="fr-FR" w:eastAsia="ko-KR"/>
        </w:rPr>
        <w:t>,</w:t>
      </w:r>
      <w:r w:rsidRPr="00BB7751">
        <w:rPr>
          <w:noProof/>
          <w:lang w:val="fr-FR"/>
        </w:rPr>
        <w:t xml:space="preserve"> 1988</w:t>
      </w:r>
      <w:r w:rsidRPr="00BB7751">
        <w:rPr>
          <w:rFonts w:hint="eastAsia"/>
          <w:noProof/>
          <w:lang w:val="fr-FR" w:eastAsia="ko-KR"/>
        </w:rPr>
        <w:t>.</w:t>
      </w:r>
      <w:r w:rsidRPr="00BB7751">
        <w:rPr>
          <w:noProof/>
          <w:lang w:val="fr-FR"/>
        </w:rPr>
        <w:t xml:space="preserve"> </w:t>
      </w:r>
      <w:r w:rsidRPr="0089670E">
        <w:rPr>
          <w:noProof/>
        </w:rPr>
        <w:t xml:space="preserve">Limits for intakes of radionuclides by workers: an addendum. ICRP Publication 30 Part 4. </w:t>
      </w:r>
      <w:r w:rsidRPr="00ED6790">
        <w:rPr>
          <w:noProof/>
        </w:rPr>
        <w:t>Ann</w:t>
      </w:r>
      <w:r>
        <w:rPr>
          <w:rFonts w:hint="eastAsia"/>
          <w:noProof/>
          <w:lang w:eastAsia="ko-KR"/>
        </w:rPr>
        <w:t xml:space="preserve">. </w:t>
      </w:r>
      <w:r w:rsidRPr="00ED6790">
        <w:rPr>
          <w:noProof/>
        </w:rPr>
        <w:t>ICRP</w:t>
      </w:r>
      <w:r w:rsidRPr="0089670E">
        <w:rPr>
          <w:noProof/>
        </w:rPr>
        <w:t xml:space="preserve"> 19(4).</w:t>
      </w:r>
    </w:p>
    <w:p w14:paraId="39EC84B0" w14:textId="77777777" w:rsidR="00232741" w:rsidRPr="0089670E" w:rsidRDefault="00232741" w:rsidP="00232741">
      <w:pPr>
        <w:pStyle w:val="aff1"/>
        <w:ind w:left="426" w:hanging="426"/>
        <w:rPr>
          <w:noProof/>
        </w:rPr>
      </w:pPr>
      <w:r w:rsidRPr="0089670E">
        <w:rPr>
          <w:noProof/>
        </w:rPr>
        <w:lastRenderedPageBreak/>
        <w:t>ICRP</w:t>
      </w:r>
      <w:r>
        <w:rPr>
          <w:rFonts w:hint="eastAsia"/>
          <w:noProof/>
          <w:lang w:eastAsia="ko-KR"/>
        </w:rPr>
        <w:t>,</w:t>
      </w:r>
      <w:r w:rsidRPr="0089670E">
        <w:rPr>
          <w:noProof/>
        </w:rPr>
        <w:t xml:space="preserve"> 1989</w:t>
      </w:r>
      <w:r>
        <w:rPr>
          <w:rFonts w:hint="eastAsia"/>
          <w:noProof/>
          <w:lang w:eastAsia="ko-KR"/>
        </w:rPr>
        <w:t>.</w:t>
      </w:r>
      <w:r w:rsidRPr="0089670E">
        <w:rPr>
          <w:noProof/>
        </w:rPr>
        <w:t xml:space="preserve"> Individual Monitoring for Intakes of Radionuclides by Workers. ICRP Publication 54. </w:t>
      </w:r>
      <w:r w:rsidRPr="00ED6790">
        <w:rPr>
          <w:noProof/>
        </w:rPr>
        <w:t>Ann</w:t>
      </w:r>
      <w:r>
        <w:rPr>
          <w:rFonts w:hint="eastAsia"/>
          <w:noProof/>
          <w:lang w:eastAsia="ko-KR"/>
        </w:rPr>
        <w:t xml:space="preserve">. </w:t>
      </w:r>
      <w:r w:rsidRPr="00ED6790">
        <w:rPr>
          <w:noProof/>
        </w:rPr>
        <w:t>ICRP</w:t>
      </w:r>
      <w:r w:rsidRPr="0089670E">
        <w:rPr>
          <w:noProof/>
        </w:rPr>
        <w:t xml:space="preserve"> 19(1–3).</w:t>
      </w:r>
    </w:p>
    <w:p w14:paraId="41AB30C6" w14:textId="77777777" w:rsidR="00232741" w:rsidRPr="0089670E" w:rsidRDefault="00232741" w:rsidP="00232741">
      <w:pPr>
        <w:pStyle w:val="aff1"/>
        <w:ind w:left="426" w:hanging="426"/>
        <w:rPr>
          <w:noProof/>
        </w:rPr>
      </w:pPr>
      <w:r w:rsidRPr="0089670E">
        <w:rPr>
          <w:noProof/>
        </w:rPr>
        <w:t>ICRP</w:t>
      </w:r>
      <w:r>
        <w:rPr>
          <w:rFonts w:hint="eastAsia"/>
          <w:noProof/>
          <w:lang w:eastAsia="ko-KR"/>
        </w:rPr>
        <w:t>,</w:t>
      </w:r>
      <w:r w:rsidRPr="0089670E">
        <w:rPr>
          <w:noProof/>
        </w:rPr>
        <w:t xml:space="preserve"> 1990</w:t>
      </w:r>
      <w:r>
        <w:rPr>
          <w:rFonts w:hint="eastAsia"/>
          <w:noProof/>
          <w:lang w:eastAsia="ko-KR"/>
        </w:rPr>
        <w:t>.</w:t>
      </w:r>
      <w:r w:rsidRPr="0089670E">
        <w:rPr>
          <w:noProof/>
        </w:rPr>
        <w:t xml:space="preserve"> Age-dependent Doses to Members of the Public from Intake of Radionuclides - Part 1. ICRP Publication 56. </w:t>
      </w:r>
      <w:r w:rsidRPr="00ED6790">
        <w:rPr>
          <w:noProof/>
        </w:rPr>
        <w:t>Ann</w:t>
      </w:r>
      <w:r>
        <w:rPr>
          <w:rFonts w:hint="eastAsia"/>
          <w:noProof/>
          <w:lang w:eastAsia="ko-KR"/>
        </w:rPr>
        <w:t xml:space="preserve">. </w:t>
      </w:r>
      <w:r w:rsidRPr="00ED6790">
        <w:rPr>
          <w:noProof/>
        </w:rPr>
        <w:t>ICRP</w:t>
      </w:r>
      <w:r w:rsidRPr="0089670E">
        <w:rPr>
          <w:noProof/>
        </w:rPr>
        <w:t xml:space="preserve"> 20(2).</w:t>
      </w:r>
    </w:p>
    <w:p w14:paraId="5F7AF7CA" w14:textId="77777777" w:rsidR="00232741" w:rsidRPr="0089670E" w:rsidRDefault="00232741" w:rsidP="00232741">
      <w:pPr>
        <w:pStyle w:val="aff1"/>
        <w:ind w:left="426" w:hanging="426"/>
        <w:rPr>
          <w:noProof/>
        </w:rPr>
      </w:pPr>
      <w:r w:rsidRPr="0089670E">
        <w:rPr>
          <w:noProof/>
        </w:rPr>
        <w:t>ICRP</w:t>
      </w:r>
      <w:r>
        <w:rPr>
          <w:rFonts w:hint="eastAsia"/>
          <w:noProof/>
          <w:lang w:eastAsia="ko-KR"/>
        </w:rPr>
        <w:t>,</w:t>
      </w:r>
      <w:r w:rsidRPr="0089670E">
        <w:rPr>
          <w:noProof/>
        </w:rPr>
        <w:t xml:space="preserve"> 1991</w:t>
      </w:r>
      <w:r>
        <w:rPr>
          <w:rFonts w:hint="eastAsia"/>
          <w:noProof/>
          <w:lang w:eastAsia="ko-KR"/>
        </w:rPr>
        <w:t>.</w:t>
      </w:r>
      <w:r w:rsidRPr="0089670E">
        <w:rPr>
          <w:noProof/>
        </w:rPr>
        <w:t xml:space="preserve"> 1990 Recommendations of the International Commission on Radiological Protection. ICRP Publication 60. </w:t>
      </w:r>
      <w:r w:rsidRPr="00ED6790">
        <w:rPr>
          <w:noProof/>
        </w:rPr>
        <w:t>Ann</w:t>
      </w:r>
      <w:r>
        <w:rPr>
          <w:rFonts w:hint="eastAsia"/>
          <w:noProof/>
          <w:lang w:eastAsia="ko-KR"/>
        </w:rPr>
        <w:t xml:space="preserve">. </w:t>
      </w:r>
      <w:r w:rsidRPr="00ED6790">
        <w:rPr>
          <w:noProof/>
        </w:rPr>
        <w:t>ICRP</w:t>
      </w:r>
      <w:r w:rsidRPr="0089670E">
        <w:rPr>
          <w:noProof/>
        </w:rPr>
        <w:t xml:space="preserve"> 21(1–3).</w:t>
      </w:r>
    </w:p>
    <w:p w14:paraId="0B80F4C0" w14:textId="77777777" w:rsidR="00232741" w:rsidRPr="0089670E" w:rsidRDefault="00232741" w:rsidP="00232741">
      <w:pPr>
        <w:pStyle w:val="aff1"/>
        <w:ind w:left="426" w:hanging="426"/>
        <w:rPr>
          <w:noProof/>
        </w:rPr>
      </w:pPr>
      <w:r w:rsidRPr="0089670E">
        <w:rPr>
          <w:noProof/>
        </w:rPr>
        <w:t>ICRP</w:t>
      </w:r>
      <w:r>
        <w:rPr>
          <w:rFonts w:hint="eastAsia"/>
          <w:noProof/>
          <w:lang w:eastAsia="ko-KR"/>
        </w:rPr>
        <w:t>,</w:t>
      </w:r>
      <w:r w:rsidRPr="0089670E">
        <w:rPr>
          <w:noProof/>
        </w:rPr>
        <w:t xml:space="preserve"> 1993</w:t>
      </w:r>
      <w:r>
        <w:rPr>
          <w:rFonts w:hint="eastAsia"/>
          <w:noProof/>
          <w:lang w:eastAsia="ko-KR"/>
        </w:rPr>
        <w:t>.</w:t>
      </w:r>
      <w:r w:rsidRPr="0089670E">
        <w:rPr>
          <w:noProof/>
        </w:rPr>
        <w:t xml:space="preserve"> Age dependent doses to members of the public from intake of radionuclides: Part 2, Ingestion dose coefficients. ICRP Publication 67. </w:t>
      </w:r>
      <w:r w:rsidRPr="00ED6790">
        <w:rPr>
          <w:noProof/>
        </w:rPr>
        <w:t>Ann</w:t>
      </w:r>
      <w:r>
        <w:rPr>
          <w:rFonts w:hint="eastAsia"/>
          <w:noProof/>
          <w:lang w:eastAsia="ko-KR"/>
        </w:rPr>
        <w:t xml:space="preserve">. </w:t>
      </w:r>
      <w:r w:rsidRPr="00ED6790">
        <w:rPr>
          <w:noProof/>
        </w:rPr>
        <w:t>ICRP</w:t>
      </w:r>
      <w:r w:rsidRPr="0089670E">
        <w:rPr>
          <w:noProof/>
        </w:rPr>
        <w:t xml:space="preserve"> 23(3/4).</w:t>
      </w:r>
    </w:p>
    <w:p w14:paraId="6D3A2098" w14:textId="77777777" w:rsidR="00232741" w:rsidRPr="0089670E" w:rsidRDefault="00232741" w:rsidP="00232741">
      <w:pPr>
        <w:pStyle w:val="aff1"/>
        <w:ind w:left="426" w:hanging="426"/>
        <w:rPr>
          <w:noProof/>
        </w:rPr>
      </w:pPr>
      <w:r w:rsidRPr="0089670E">
        <w:rPr>
          <w:noProof/>
        </w:rPr>
        <w:t>ICRP</w:t>
      </w:r>
      <w:r>
        <w:rPr>
          <w:rFonts w:hint="eastAsia"/>
          <w:noProof/>
          <w:lang w:eastAsia="ko-KR"/>
        </w:rPr>
        <w:t>,</w:t>
      </w:r>
      <w:r w:rsidRPr="0089670E">
        <w:rPr>
          <w:noProof/>
        </w:rPr>
        <w:t xml:space="preserve"> 1994a</w:t>
      </w:r>
      <w:r>
        <w:rPr>
          <w:rFonts w:hint="eastAsia"/>
          <w:noProof/>
          <w:lang w:eastAsia="ko-KR"/>
        </w:rPr>
        <w:t>.</w:t>
      </w:r>
      <w:r w:rsidRPr="0089670E">
        <w:rPr>
          <w:noProof/>
        </w:rPr>
        <w:t xml:space="preserve"> Dose coefficients for intake of radionuclides by workers. ICRP Publication 68. </w:t>
      </w:r>
      <w:r w:rsidRPr="00ED6790">
        <w:rPr>
          <w:noProof/>
        </w:rPr>
        <w:t>Ann</w:t>
      </w:r>
      <w:r>
        <w:rPr>
          <w:rFonts w:hint="eastAsia"/>
          <w:noProof/>
          <w:lang w:eastAsia="ko-KR"/>
        </w:rPr>
        <w:t xml:space="preserve">. </w:t>
      </w:r>
      <w:r w:rsidRPr="00ED6790">
        <w:rPr>
          <w:noProof/>
        </w:rPr>
        <w:t>ICRP</w:t>
      </w:r>
      <w:r w:rsidRPr="0089670E">
        <w:rPr>
          <w:noProof/>
        </w:rPr>
        <w:t xml:space="preserve"> 24(4).</w:t>
      </w:r>
    </w:p>
    <w:p w14:paraId="6A0165EC" w14:textId="77777777" w:rsidR="00232741" w:rsidRPr="0089670E" w:rsidRDefault="00232741" w:rsidP="00232741">
      <w:pPr>
        <w:pStyle w:val="aff1"/>
        <w:ind w:left="426" w:hanging="426"/>
        <w:rPr>
          <w:noProof/>
        </w:rPr>
      </w:pPr>
      <w:r w:rsidRPr="0089670E">
        <w:rPr>
          <w:noProof/>
        </w:rPr>
        <w:t>ICRP</w:t>
      </w:r>
      <w:r>
        <w:rPr>
          <w:rFonts w:hint="eastAsia"/>
          <w:noProof/>
          <w:lang w:eastAsia="ko-KR"/>
        </w:rPr>
        <w:t>,</w:t>
      </w:r>
      <w:r w:rsidRPr="0089670E">
        <w:rPr>
          <w:noProof/>
        </w:rPr>
        <w:t xml:space="preserve"> 1994b</w:t>
      </w:r>
      <w:r>
        <w:rPr>
          <w:rFonts w:hint="eastAsia"/>
          <w:noProof/>
          <w:lang w:eastAsia="ko-KR"/>
        </w:rPr>
        <w:t>.</w:t>
      </w:r>
      <w:r w:rsidRPr="0089670E">
        <w:rPr>
          <w:noProof/>
        </w:rPr>
        <w:t xml:space="preserve"> Human respiratory tract model for radiological protection. ICRP Publication 66. </w:t>
      </w:r>
      <w:r w:rsidRPr="00ED6790">
        <w:rPr>
          <w:noProof/>
        </w:rPr>
        <w:t>Ann</w:t>
      </w:r>
      <w:r>
        <w:rPr>
          <w:rFonts w:hint="eastAsia"/>
          <w:noProof/>
          <w:lang w:eastAsia="ko-KR"/>
        </w:rPr>
        <w:t xml:space="preserve">. </w:t>
      </w:r>
      <w:r w:rsidRPr="00ED6790">
        <w:rPr>
          <w:noProof/>
        </w:rPr>
        <w:t>ICRP</w:t>
      </w:r>
      <w:r w:rsidRPr="0089670E">
        <w:rPr>
          <w:noProof/>
        </w:rPr>
        <w:t xml:space="preserve"> 24(1–3).</w:t>
      </w:r>
    </w:p>
    <w:p w14:paraId="52AFEE91" w14:textId="77777777" w:rsidR="00232741" w:rsidRPr="0089670E" w:rsidRDefault="00232741" w:rsidP="00232741">
      <w:pPr>
        <w:pStyle w:val="aff1"/>
        <w:ind w:left="426" w:hanging="426"/>
        <w:rPr>
          <w:noProof/>
        </w:rPr>
      </w:pPr>
      <w:r w:rsidRPr="0089670E">
        <w:rPr>
          <w:noProof/>
        </w:rPr>
        <w:t>ICRP</w:t>
      </w:r>
      <w:r>
        <w:rPr>
          <w:rFonts w:hint="eastAsia"/>
          <w:noProof/>
          <w:lang w:eastAsia="ko-KR"/>
        </w:rPr>
        <w:t>,</w:t>
      </w:r>
      <w:r w:rsidRPr="0089670E">
        <w:rPr>
          <w:noProof/>
        </w:rPr>
        <w:t xml:space="preserve"> 1995a</w:t>
      </w:r>
      <w:r>
        <w:rPr>
          <w:rFonts w:hint="eastAsia"/>
          <w:noProof/>
          <w:lang w:eastAsia="ko-KR"/>
        </w:rPr>
        <w:t>.</w:t>
      </w:r>
      <w:r w:rsidRPr="0089670E">
        <w:rPr>
          <w:noProof/>
        </w:rPr>
        <w:t xml:space="preserve"> Age-dependent Doses to Members of the Public from Intake of Radionuclides: Part 3. Ingestion Dose Coefficients, ICRP Publication 69. </w:t>
      </w:r>
      <w:r w:rsidRPr="00ED6790">
        <w:rPr>
          <w:noProof/>
        </w:rPr>
        <w:t>Ann</w:t>
      </w:r>
      <w:r>
        <w:rPr>
          <w:rFonts w:hint="eastAsia"/>
          <w:noProof/>
          <w:lang w:eastAsia="ko-KR"/>
        </w:rPr>
        <w:t xml:space="preserve">. </w:t>
      </w:r>
      <w:r w:rsidRPr="00ED6790">
        <w:rPr>
          <w:noProof/>
        </w:rPr>
        <w:t>ICRP</w:t>
      </w:r>
      <w:r w:rsidRPr="0089670E">
        <w:rPr>
          <w:noProof/>
        </w:rPr>
        <w:t xml:space="preserve"> 25(1).</w:t>
      </w:r>
    </w:p>
    <w:p w14:paraId="426016BA" w14:textId="77777777" w:rsidR="00232741" w:rsidRPr="0089670E" w:rsidRDefault="00232741" w:rsidP="00232741">
      <w:pPr>
        <w:pStyle w:val="aff1"/>
        <w:ind w:left="426" w:hanging="426"/>
        <w:rPr>
          <w:noProof/>
        </w:rPr>
      </w:pPr>
      <w:r w:rsidRPr="0089670E">
        <w:rPr>
          <w:noProof/>
        </w:rPr>
        <w:t>ICRP</w:t>
      </w:r>
      <w:r>
        <w:rPr>
          <w:rFonts w:hint="eastAsia"/>
          <w:noProof/>
          <w:lang w:eastAsia="ko-KR"/>
        </w:rPr>
        <w:t>,</w:t>
      </w:r>
      <w:r w:rsidRPr="0089670E">
        <w:rPr>
          <w:noProof/>
        </w:rPr>
        <w:t xml:space="preserve"> 1995b</w:t>
      </w:r>
      <w:r>
        <w:rPr>
          <w:rFonts w:hint="eastAsia"/>
          <w:noProof/>
          <w:lang w:eastAsia="ko-KR"/>
        </w:rPr>
        <w:t>.</w:t>
      </w:r>
      <w:r w:rsidRPr="0089670E">
        <w:rPr>
          <w:noProof/>
        </w:rPr>
        <w:t xml:space="preserve"> Age-dependent Doses to Members of the Public from Intake of Radionuclides: Part 4. Inhalation Dose Coefficients, ICRP Publication 71. </w:t>
      </w:r>
      <w:r w:rsidRPr="00ED6790">
        <w:rPr>
          <w:noProof/>
        </w:rPr>
        <w:t>Ann</w:t>
      </w:r>
      <w:r>
        <w:rPr>
          <w:rFonts w:hint="eastAsia"/>
          <w:noProof/>
          <w:lang w:eastAsia="ko-KR"/>
        </w:rPr>
        <w:t xml:space="preserve">. </w:t>
      </w:r>
      <w:r w:rsidRPr="00ED6790">
        <w:rPr>
          <w:noProof/>
        </w:rPr>
        <w:t>ICRP</w:t>
      </w:r>
      <w:r w:rsidRPr="0089670E">
        <w:rPr>
          <w:noProof/>
        </w:rPr>
        <w:t xml:space="preserve"> 25(3/4).</w:t>
      </w:r>
    </w:p>
    <w:p w14:paraId="7B54C68B" w14:textId="77777777" w:rsidR="00232741" w:rsidRPr="0089670E" w:rsidRDefault="00232741" w:rsidP="00232741">
      <w:pPr>
        <w:pStyle w:val="aff1"/>
        <w:ind w:left="426" w:hanging="426"/>
        <w:rPr>
          <w:noProof/>
        </w:rPr>
      </w:pPr>
      <w:r w:rsidRPr="0089670E">
        <w:rPr>
          <w:noProof/>
        </w:rPr>
        <w:t>ICRP</w:t>
      </w:r>
      <w:r>
        <w:rPr>
          <w:rFonts w:hint="eastAsia"/>
          <w:noProof/>
          <w:lang w:eastAsia="ko-KR"/>
        </w:rPr>
        <w:t>,</w:t>
      </w:r>
      <w:r w:rsidRPr="0089670E">
        <w:rPr>
          <w:noProof/>
        </w:rPr>
        <w:t xml:space="preserve"> 1995c</w:t>
      </w:r>
      <w:r>
        <w:rPr>
          <w:rFonts w:hint="eastAsia"/>
          <w:noProof/>
          <w:lang w:eastAsia="ko-KR"/>
        </w:rPr>
        <w:t>.</w:t>
      </w:r>
      <w:r w:rsidRPr="0089670E">
        <w:rPr>
          <w:noProof/>
        </w:rPr>
        <w:t xml:space="preserve"> Age-dependent Doses to the Members of the Public from Intake of Radionuclides - Part 5 Compilation of Ingestion and Inhalation Coefficients. ICRP Publication 72. </w:t>
      </w:r>
      <w:r w:rsidRPr="00ED6790">
        <w:rPr>
          <w:noProof/>
        </w:rPr>
        <w:t>Ann</w:t>
      </w:r>
      <w:r>
        <w:rPr>
          <w:rFonts w:hint="eastAsia"/>
          <w:noProof/>
          <w:lang w:eastAsia="ko-KR"/>
        </w:rPr>
        <w:t xml:space="preserve">. </w:t>
      </w:r>
      <w:r w:rsidRPr="00ED6790">
        <w:rPr>
          <w:noProof/>
        </w:rPr>
        <w:t>ICRP</w:t>
      </w:r>
      <w:r w:rsidRPr="0089670E">
        <w:rPr>
          <w:noProof/>
        </w:rPr>
        <w:t xml:space="preserve"> 26(1).</w:t>
      </w:r>
    </w:p>
    <w:p w14:paraId="7E51AEB0" w14:textId="77777777" w:rsidR="00232741" w:rsidRPr="0089670E" w:rsidRDefault="00232741" w:rsidP="00232741">
      <w:pPr>
        <w:pStyle w:val="aff1"/>
        <w:ind w:left="426" w:hanging="426"/>
        <w:rPr>
          <w:noProof/>
        </w:rPr>
      </w:pPr>
      <w:r w:rsidRPr="0089670E">
        <w:rPr>
          <w:noProof/>
        </w:rPr>
        <w:t>ICRP</w:t>
      </w:r>
      <w:r>
        <w:rPr>
          <w:rFonts w:hint="eastAsia"/>
          <w:noProof/>
          <w:lang w:eastAsia="ko-KR"/>
        </w:rPr>
        <w:t>,</w:t>
      </w:r>
      <w:r w:rsidRPr="0089670E">
        <w:rPr>
          <w:noProof/>
        </w:rPr>
        <w:t xml:space="preserve"> 1997</w:t>
      </w:r>
      <w:r>
        <w:rPr>
          <w:rFonts w:hint="eastAsia"/>
          <w:noProof/>
          <w:lang w:eastAsia="ko-KR"/>
        </w:rPr>
        <w:t>.</w:t>
      </w:r>
      <w:r w:rsidRPr="0089670E">
        <w:rPr>
          <w:noProof/>
        </w:rPr>
        <w:t xml:space="preserve"> Individual monitoring for internal exposure of workers. ICRP Publication 78. </w:t>
      </w:r>
      <w:r w:rsidRPr="00ED6790">
        <w:rPr>
          <w:noProof/>
        </w:rPr>
        <w:t>Ann</w:t>
      </w:r>
      <w:r>
        <w:rPr>
          <w:rFonts w:hint="eastAsia"/>
          <w:noProof/>
          <w:lang w:eastAsia="ko-KR"/>
        </w:rPr>
        <w:t xml:space="preserve">. </w:t>
      </w:r>
      <w:r w:rsidRPr="00ED6790">
        <w:rPr>
          <w:noProof/>
        </w:rPr>
        <w:t>ICRP</w:t>
      </w:r>
      <w:r w:rsidRPr="0089670E">
        <w:rPr>
          <w:noProof/>
        </w:rPr>
        <w:t xml:space="preserve"> 27(3/4).</w:t>
      </w:r>
    </w:p>
    <w:p w14:paraId="1EA7A13B" w14:textId="77777777" w:rsidR="00232741" w:rsidRPr="0089670E" w:rsidRDefault="00232741" w:rsidP="00232741">
      <w:pPr>
        <w:pStyle w:val="aff1"/>
        <w:ind w:left="426" w:hanging="426"/>
        <w:rPr>
          <w:noProof/>
        </w:rPr>
      </w:pPr>
      <w:r w:rsidRPr="0089670E">
        <w:rPr>
          <w:noProof/>
        </w:rPr>
        <w:t>ICRP</w:t>
      </w:r>
      <w:r>
        <w:rPr>
          <w:rFonts w:hint="eastAsia"/>
          <w:noProof/>
          <w:lang w:eastAsia="ko-KR"/>
        </w:rPr>
        <w:t>,</w:t>
      </w:r>
      <w:r w:rsidRPr="0089670E">
        <w:rPr>
          <w:noProof/>
        </w:rPr>
        <w:t xml:space="preserve"> 2001</w:t>
      </w:r>
      <w:r>
        <w:rPr>
          <w:rFonts w:hint="eastAsia"/>
          <w:noProof/>
          <w:lang w:eastAsia="ko-KR"/>
        </w:rPr>
        <w:t>.</w:t>
      </w:r>
      <w:r w:rsidRPr="0089670E">
        <w:rPr>
          <w:noProof/>
        </w:rPr>
        <w:t xml:space="preserve"> Doses to the Embryo and Fetus from Intakes of Radionuclides by the Mother. ICRP Publication 88. </w:t>
      </w:r>
      <w:r w:rsidRPr="00ED6790">
        <w:rPr>
          <w:noProof/>
        </w:rPr>
        <w:t>Ann</w:t>
      </w:r>
      <w:r>
        <w:rPr>
          <w:rFonts w:hint="eastAsia"/>
          <w:noProof/>
          <w:lang w:eastAsia="ko-KR"/>
        </w:rPr>
        <w:t xml:space="preserve">. </w:t>
      </w:r>
      <w:r w:rsidRPr="00ED6790">
        <w:rPr>
          <w:noProof/>
        </w:rPr>
        <w:t>ICRP</w:t>
      </w:r>
      <w:r w:rsidRPr="0089670E">
        <w:rPr>
          <w:noProof/>
        </w:rPr>
        <w:t xml:space="preserve"> 31(1–3).</w:t>
      </w:r>
    </w:p>
    <w:p w14:paraId="1FE121B0" w14:textId="77777777" w:rsidR="00232741" w:rsidRPr="0089670E" w:rsidRDefault="00232741" w:rsidP="00232741">
      <w:pPr>
        <w:pStyle w:val="aff1"/>
        <w:ind w:left="426" w:hanging="426"/>
        <w:rPr>
          <w:noProof/>
        </w:rPr>
      </w:pPr>
      <w:r w:rsidRPr="0089670E">
        <w:rPr>
          <w:noProof/>
        </w:rPr>
        <w:t>ICRP</w:t>
      </w:r>
      <w:r>
        <w:rPr>
          <w:rFonts w:hint="eastAsia"/>
          <w:noProof/>
          <w:lang w:eastAsia="ko-KR"/>
        </w:rPr>
        <w:t>,</w:t>
      </w:r>
      <w:r w:rsidRPr="0089670E">
        <w:rPr>
          <w:noProof/>
        </w:rPr>
        <w:t xml:space="preserve"> 2002</w:t>
      </w:r>
      <w:r>
        <w:rPr>
          <w:rFonts w:hint="eastAsia"/>
          <w:noProof/>
          <w:lang w:eastAsia="ko-KR"/>
        </w:rPr>
        <w:t>.</w:t>
      </w:r>
      <w:r w:rsidRPr="0089670E">
        <w:rPr>
          <w:noProof/>
        </w:rPr>
        <w:t xml:space="preserve"> Basic anatomical and physiological data for use in radiological protection: reference values. ICRP Publication 89. </w:t>
      </w:r>
      <w:r w:rsidRPr="00ED6790">
        <w:rPr>
          <w:noProof/>
        </w:rPr>
        <w:t>Ann</w:t>
      </w:r>
      <w:r>
        <w:rPr>
          <w:rFonts w:hint="eastAsia"/>
          <w:noProof/>
          <w:lang w:eastAsia="ko-KR"/>
        </w:rPr>
        <w:t xml:space="preserve">. </w:t>
      </w:r>
      <w:r w:rsidRPr="00ED6790">
        <w:rPr>
          <w:noProof/>
        </w:rPr>
        <w:t>ICRP</w:t>
      </w:r>
      <w:r w:rsidRPr="0089670E">
        <w:rPr>
          <w:noProof/>
        </w:rPr>
        <w:t xml:space="preserve"> 32(3–4).</w:t>
      </w:r>
    </w:p>
    <w:p w14:paraId="1AD61AD5" w14:textId="77777777" w:rsidR="00232741" w:rsidRPr="0089670E" w:rsidRDefault="00232741" w:rsidP="00232741">
      <w:pPr>
        <w:pStyle w:val="aff1"/>
        <w:ind w:left="426" w:hanging="426"/>
        <w:rPr>
          <w:noProof/>
        </w:rPr>
      </w:pPr>
      <w:r w:rsidRPr="0089670E">
        <w:rPr>
          <w:noProof/>
        </w:rPr>
        <w:t>ICRP</w:t>
      </w:r>
      <w:r>
        <w:rPr>
          <w:rFonts w:hint="eastAsia"/>
          <w:noProof/>
          <w:lang w:eastAsia="ko-KR"/>
        </w:rPr>
        <w:t>,</w:t>
      </w:r>
      <w:r w:rsidRPr="0089670E">
        <w:rPr>
          <w:noProof/>
        </w:rPr>
        <w:t xml:space="preserve"> 2004</w:t>
      </w:r>
      <w:r>
        <w:rPr>
          <w:rFonts w:hint="eastAsia"/>
          <w:noProof/>
          <w:lang w:eastAsia="ko-KR"/>
        </w:rPr>
        <w:t>.</w:t>
      </w:r>
      <w:r w:rsidRPr="0089670E">
        <w:rPr>
          <w:noProof/>
        </w:rPr>
        <w:t xml:space="preserve"> Doses to Infants from Ingestion of Radionuclides in Mothers’ Milk. ICRP Publication 95. </w:t>
      </w:r>
      <w:r w:rsidRPr="00ED6790">
        <w:rPr>
          <w:noProof/>
        </w:rPr>
        <w:t>Ann</w:t>
      </w:r>
      <w:r>
        <w:rPr>
          <w:rFonts w:hint="eastAsia"/>
          <w:noProof/>
          <w:lang w:eastAsia="ko-KR"/>
        </w:rPr>
        <w:t xml:space="preserve">. </w:t>
      </w:r>
      <w:r w:rsidRPr="00ED6790">
        <w:rPr>
          <w:noProof/>
        </w:rPr>
        <w:t>ICRP</w:t>
      </w:r>
      <w:r w:rsidRPr="0089670E">
        <w:rPr>
          <w:noProof/>
        </w:rPr>
        <w:t xml:space="preserve"> 34(3–4).</w:t>
      </w:r>
    </w:p>
    <w:p w14:paraId="22D01235" w14:textId="77777777" w:rsidR="00232741" w:rsidRPr="0089670E" w:rsidRDefault="00232741" w:rsidP="00232741">
      <w:pPr>
        <w:pStyle w:val="aff1"/>
        <w:ind w:left="426" w:hanging="426"/>
        <w:rPr>
          <w:noProof/>
        </w:rPr>
      </w:pPr>
      <w:r w:rsidRPr="0089670E">
        <w:rPr>
          <w:noProof/>
        </w:rPr>
        <w:t>ICRP</w:t>
      </w:r>
      <w:r>
        <w:rPr>
          <w:rFonts w:hint="eastAsia"/>
          <w:noProof/>
          <w:lang w:eastAsia="ko-KR"/>
        </w:rPr>
        <w:t>,</w:t>
      </w:r>
      <w:r w:rsidRPr="0089670E">
        <w:rPr>
          <w:noProof/>
        </w:rPr>
        <w:t xml:space="preserve"> 2006</w:t>
      </w:r>
      <w:r>
        <w:rPr>
          <w:rFonts w:hint="eastAsia"/>
          <w:noProof/>
          <w:lang w:eastAsia="ko-KR"/>
        </w:rPr>
        <w:t>.</w:t>
      </w:r>
      <w:r w:rsidRPr="0089670E">
        <w:rPr>
          <w:noProof/>
        </w:rPr>
        <w:t xml:space="preserve"> Human alimentary tract model for radiological protection. ICRP Publication 100. </w:t>
      </w:r>
      <w:r w:rsidRPr="00ED6790">
        <w:rPr>
          <w:noProof/>
        </w:rPr>
        <w:t>Ann</w:t>
      </w:r>
      <w:r>
        <w:rPr>
          <w:rFonts w:hint="eastAsia"/>
          <w:noProof/>
          <w:lang w:eastAsia="ko-KR"/>
        </w:rPr>
        <w:t xml:space="preserve">. </w:t>
      </w:r>
      <w:r w:rsidRPr="00ED6790">
        <w:rPr>
          <w:noProof/>
        </w:rPr>
        <w:t>ICRP</w:t>
      </w:r>
      <w:r w:rsidRPr="0089670E">
        <w:rPr>
          <w:noProof/>
        </w:rPr>
        <w:t xml:space="preserve"> 36(1–2).</w:t>
      </w:r>
    </w:p>
    <w:p w14:paraId="235730E8" w14:textId="77777777" w:rsidR="00232741" w:rsidRPr="0089670E" w:rsidRDefault="00232741" w:rsidP="00232741">
      <w:pPr>
        <w:pStyle w:val="aff1"/>
        <w:ind w:left="426" w:hanging="426"/>
        <w:rPr>
          <w:noProof/>
        </w:rPr>
      </w:pPr>
      <w:r w:rsidRPr="0089670E">
        <w:rPr>
          <w:noProof/>
        </w:rPr>
        <w:t>ICRP</w:t>
      </w:r>
      <w:r>
        <w:rPr>
          <w:rFonts w:hint="eastAsia"/>
          <w:noProof/>
          <w:lang w:eastAsia="ko-KR"/>
        </w:rPr>
        <w:t>,</w:t>
      </w:r>
      <w:r w:rsidRPr="0089670E">
        <w:rPr>
          <w:noProof/>
        </w:rPr>
        <w:t xml:space="preserve"> 2007</w:t>
      </w:r>
      <w:r>
        <w:rPr>
          <w:rFonts w:hint="eastAsia"/>
          <w:noProof/>
          <w:lang w:eastAsia="ko-KR"/>
        </w:rPr>
        <w:t>.</w:t>
      </w:r>
      <w:r w:rsidRPr="0089670E">
        <w:rPr>
          <w:noProof/>
        </w:rPr>
        <w:t xml:space="preserve"> The 2007 Recommendations of the International Commission on Radiological Protection. ICRP Publication 103. </w:t>
      </w:r>
      <w:r w:rsidRPr="00ED6790">
        <w:rPr>
          <w:noProof/>
        </w:rPr>
        <w:t>Ann</w:t>
      </w:r>
      <w:r>
        <w:rPr>
          <w:rFonts w:hint="eastAsia"/>
          <w:noProof/>
          <w:lang w:eastAsia="ko-KR"/>
        </w:rPr>
        <w:t xml:space="preserve">. </w:t>
      </w:r>
      <w:r w:rsidRPr="00ED6790">
        <w:rPr>
          <w:noProof/>
        </w:rPr>
        <w:t>ICRP</w:t>
      </w:r>
      <w:r w:rsidRPr="0089670E">
        <w:rPr>
          <w:noProof/>
        </w:rPr>
        <w:t xml:space="preserve"> 37(2–4).</w:t>
      </w:r>
    </w:p>
    <w:p w14:paraId="62FBE9DA" w14:textId="77777777" w:rsidR="00232741" w:rsidRPr="00BB7751" w:rsidRDefault="00232741" w:rsidP="00232741">
      <w:pPr>
        <w:pStyle w:val="aff1"/>
        <w:ind w:left="426" w:hanging="426"/>
        <w:rPr>
          <w:noProof/>
          <w:lang w:val="fr-FR"/>
        </w:rPr>
      </w:pPr>
      <w:r w:rsidRPr="0089670E">
        <w:rPr>
          <w:noProof/>
        </w:rPr>
        <w:t>ICRP</w:t>
      </w:r>
      <w:r>
        <w:rPr>
          <w:rFonts w:hint="eastAsia"/>
          <w:noProof/>
          <w:lang w:eastAsia="ko-KR"/>
        </w:rPr>
        <w:t>,</w:t>
      </w:r>
      <w:r w:rsidRPr="0089670E">
        <w:rPr>
          <w:noProof/>
        </w:rPr>
        <w:t xml:space="preserve"> 2008</w:t>
      </w:r>
      <w:r>
        <w:rPr>
          <w:rFonts w:hint="eastAsia"/>
          <w:noProof/>
          <w:lang w:eastAsia="ko-KR"/>
        </w:rPr>
        <w:t>.</w:t>
      </w:r>
      <w:r w:rsidRPr="0089670E">
        <w:rPr>
          <w:noProof/>
        </w:rPr>
        <w:t xml:space="preserve"> Nuclear Decay Data for Dosimetric Calculations. </w:t>
      </w:r>
      <w:r w:rsidRPr="00BB7751">
        <w:rPr>
          <w:noProof/>
          <w:lang w:val="fr-FR"/>
        </w:rPr>
        <w:t>ICRP Publication 107. Ann</w:t>
      </w:r>
      <w:r w:rsidRPr="00BB7751">
        <w:rPr>
          <w:rFonts w:hint="eastAsia"/>
          <w:noProof/>
          <w:lang w:val="fr-FR" w:eastAsia="ko-KR"/>
        </w:rPr>
        <w:t xml:space="preserve">. </w:t>
      </w:r>
      <w:r w:rsidRPr="00BB7751">
        <w:rPr>
          <w:noProof/>
          <w:lang w:val="fr-FR"/>
        </w:rPr>
        <w:t>ICRP 38(3).</w:t>
      </w:r>
    </w:p>
    <w:p w14:paraId="75474B86" w14:textId="77777777" w:rsidR="00232741" w:rsidRPr="00BB7751" w:rsidRDefault="00232741" w:rsidP="00232741">
      <w:pPr>
        <w:pStyle w:val="aff1"/>
        <w:ind w:left="426" w:hanging="426"/>
        <w:rPr>
          <w:noProof/>
          <w:lang w:val="fr-FR"/>
        </w:rPr>
      </w:pPr>
      <w:r w:rsidRPr="00BB7751">
        <w:rPr>
          <w:noProof/>
          <w:lang w:val="fr-FR"/>
        </w:rPr>
        <w:t>ICRP</w:t>
      </w:r>
      <w:r w:rsidRPr="00BB7751">
        <w:rPr>
          <w:rFonts w:hint="eastAsia"/>
          <w:noProof/>
          <w:lang w:val="fr-FR" w:eastAsia="ko-KR"/>
        </w:rPr>
        <w:t>,</w:t>
      </w:r>
      <w:r w:rsidRPr="00BB7751">
        <w:rPr>
          <w:noProof/>
          <w:lang w:val="fr-FR"/>
        </w:rPr>
        <w:t xml:space="preserve"> 2009</w:t>
      </w:r>
      <w:r w:rsidRPr="00BB7751">
        <w:rPr>
          <w:rFonts w:hint="eastAsia"/>
          <w:noProof/>
          <w:lang w:val="fr-FR" w:eastAsia="ko-KR"/>
        </w:rPr>
        <w:t>.</w:t>
      </w:r>
      <w:r w:rsidRPr="00BB7751">
        <w:rPr>
          <w:noProof/>
          <w:lang w:val="fr-FR"/>
        </w:rPr>
        <w:t xml:space="preserve"> Adult reference computational phantoms. ICRP Publication 110. Ann</w:t>
      </w:r>
      <w:r w:rsidRPr="00BB7751">
        <w:rPr>
          <w:rFonts w:hint="eastAsia"/>
          <w:noProof/>
          <w:lang w:val="fr-FR" w:eastAsia="ko-KR"/>
        </w:rPr>
        <w:t xml:space="preserve">. </w:t>
      </w:r>
      <w:r w:rsidRPr="00BB7751">
        <w:rPr>
          <w:noProof/>
          <w:lang w:val="fr-FR"/>
        </w:rPr>
        <w:t>ICRP 39(2).</w:t>
      </w:r>
    </w:p>
    <w:p w14:paraId="4B295322" w14:textId="77777777" w:rsidR="00232741" w:rsidRPr="0089670E" w:rsidRDefault="00232741" w:rsidP="00232741">
      <w:pPr>
        <w:pStyle w:val="aff1"/>
        <w:ind w:left="426" w:hanging="426"/>
        <w:rPr>
          <w:noProof/>
        </w:rPr>
      </w:pPr>
      <w:r w:rsidRPr="00BB7751">
        <w:rPr>
          <w:noProof/>
          <w:lang w:val="fr-FR"/>
        </w:rPr>
        <w:t>ICRP</w:t>
      </w:r>
      <w:r w:rsidRPr="00BB7751">
        <w:rPr>
          <w:rFonts w:hint="eastAsia"/>
          <w:noProof/>
          <w:lang w:val="fr-FR" w:eastAsia="ko-KR"/>
        </w:rPr>
        <w:t>,</w:t>
      </w:r>
      <w:r w:rsidRPr="00BB7751">
        <w:rPr>
          <w:noProof/>
          <w:lang w:val="fr-FR"/>
        </w:rPr>
        <w:t xml:space="preserve"> 2010</w:t>
      </w:r>
      <w:r w:rsidRPr="00BB7751">
        <w:rPr>
          <w:rFonts w:hint="eastAsia"/>
          <w:noProof/>
          <w:lang w:val="fr-FR" w:eastAsia="ko-KR"/>
        </w:rPr>
        <w:t>.</w:t>
      </w:r>
      <w:r w:rsidRPr="00BB7751">
        <w:rPr>
          <w:noProof/>
          <w:lang w:val="fr-FR"/>
        </w:rPr>
        <w:t xml:space="preserve"> Conversion Coefficients for Radiological Protection Quantities for External Radiation Exposures. ICRP Publication 116. </w:t>
      </w:r>
      <w:r w:rsidRPr="00ED6790">
        <w:rPr>
          <w:noProof/>
        </w:rPr>
        <w:t>Ann</w:t>
      </w:r>
      <w:r>
        <w:rPr>
          <w:rFonts w:hint="eastAsia"/>
          <w:noProof/>
          <w:lang w:eastAsia="ko-KR"/>
        </w:rPr>
        <w:t xml:space="preserve">. </w:t>
      </w:r>
      <w:r w:rsidRPr="00ED6790">
        <w:rPr>
          <w:noProof/>
        </w:rPr>
        <w:t>ICRP</w:t>
      </w:r>
      <w:r w:rsidRPr="0089670E">
        <w:rPr>
          <w:noProof/>
        </w:rPr>
        <w:t xml:space="preserve"> 40(2–5).</w:t>
      </w:r>
    </w:p>
    <w:p w14:paraId="0B671825" w14:textId="77777777" w:rsidR="00232741" w:rsidRPr="0089670E" w:rsidRDefault="00232741" w:rsidP="00232741">
      <w:pPr>
        <w:pStyle w:val="aff1"/>
        <w:ind w:left="426" w:hanging="426"/>
        <w:rPr>
          <w:noProof/>
        </w:rPr>
      </w:pPr>
      <w:r w:rsidRPr="0089670E">
        <w:rPr>
          <w:noProof/>
        </w:rPr>
        <w:t>ICRP</w:t>
      </w:r>
      <w:r>
        <w:rPr>
          <w:rFonts w:hint="eastAsia"/>
          <w:noProof/>
          <w:lang w:eastAsia="ko-KR"/>
        </w:rPr>
        <w:t>,</w:t>
      </w:r>
      <w:r w:rsidRPr="0089670E">
        <w:rPr>
          <w:noProof/>
        </w:rPr>
        <w:t xml:space="preserve"> 2015</w:t>
      </w:r>
      <w:r>
        <w:rPr>
          <w:rFonts w:hint="eastAsia"/>
          <w:noProof/>
          <w:lang w:eastAsia="ko-KR"/>
        </w:rPr>
        <w:t>.</w:t>
      </w:r>
      <w:r w:rsidRPr="0089670E">
        <w:rPr>
          <w:noProof/>
        </w:rPr>
        <w:t xml:space="preserve"> Occupational Intakes of Radionuclides: Part 1. ICRP Publication 130. </w:t>
      </w:r>
      <w:r w:rsidRPr="00ED6790">
        <w:rPr>
          <w:noProof/>
        </w:rPr>
        <w:t>Ann</w:t>
      </w:r>
      <w:r>
        <w:rPr>
          <w:rFonts w:hint="eastAsia"/>
          <w:noProof/>
          <w:lang w:eastAsia="ko-KR"/>
        </w:rPr>
        <w:t xml:space="preserve">. </w:t>
      </w:r>
      <w:r w:rsidRPr="00ED6790">
        <w:rPr>
          <w:noProof/>
        </w:rPr>
        <w:t>ICRP</w:t>
      </w:r>
      <w:r w:rsidRPr="0089670E">
        <w:rPr>
          <w:noProof/>
        </w:rPr>
        <w:t xml:space="preserve"> 44(2).</w:t>
      </w:r>
    </w:p>
    <w:p w14:paraId="0D160049" w14:textId="77777777" w:rsidR="00232741" w:rsidRPr="00BB7751" w:rsidRDefault="00232741" w:rsidP="00232741">
      <w:pPr>
        <w:pStyle w:val="aff1"/>
        <w:ind w:left="426" w:hanging="426"/>
        <w:rPr>
          <w:noProof/>
          <w:lang w:val="fr-FR"/>
        </w:rPr>
      </w:pPr>
      <w:r w:rsidRPr="0089670E">
        <w:rPr>
          <w:noProof/>
        </w:rPr>
        <w:t>ICRP</w:t>
      </w:r>
      <w:r>
        <w:rPr>
          <w:rFonts w:hint="eastAsia"/>
          <w:noProof/>
          <w:lang w:eastAsia="ko-KR"/>
        </w:rPr>
        <w:t>,</w:t>
      </w:r>
      <w:r w:rsidRPr="0089670E">
        <w:rPr>
          <w:noProof/>
        </w:rPr>
        <w:t xml:space="preserve"> 2016</w:t>
      </w:r>
      <w:r>
        <w:rPr>
          <w:rFonts w:hint="eastAsia"/>
          <w:noProof/>
          <w:lang w:eastAsia="ko-KR"/>
        </w:rPr>
        <w:t>.</w:t>
      </w:r>
      <w:r w:rsidRPr="0089670E">
        <w:rPr>
          <w:noProof/>
        </w:rPr>
        <w:t xml:space="preserve"> Occupational intakes of radionuclides: Part 2. </w:t>
      </w:r>
      <w:r w:rsidRPr="00BB7751">
        <w:rPr>
          <w:noProof/>
          <w:lang w:val="fr-FR"/>
        </w:rPr>
        <w:t>ICRP Publication 134. Ann</w:t>
      </w:r>
      <w:r w:rsidRPr="00BB7751">
        <w:rPr>
          <w:rFonts w:hint="eastAsia"/>
          <w:noProof/>
          <w:lang w:val="fr-FR" w:eastAsia="ko-KR"/>
        </w:rPr>
        <w:t xml:space="preserve">. </w:t>
      </w:r>
      <w:r w:rsidRPr="00BB7751">
        <w:rPr>
          <w:noProof/>
          <w:lang w:val="fr-FR"/>
        </w:rPr>
        <w:t>ICRP 45(3/4).</w:t>
      </w:r>
    </w:p>
    <w:p w14:paraId="2015B6E1" w14:textId="77777777" w:rsidR="00232741" w:rsidRPr="00BB7751" w:rsidRDefault="00232741" w:rsidP="00232741">
      <w:pPr>
        <w:pStyle w:val="aff1"/>
        <w:ind w:left="426" w:hanging="426"/>
        <w:rPr>
          <w:noProof/>
          <w:lang w:val="fr-FR"/>
        </w:rPr>
      </w:pPr>
      <w:r w:rsidRPr="00BB7751">
        <w:rPr>
          <w:noProof/>
          <w:lang w:val="fr-FR"/>
        </w:rPr>
        <w:t>ICRP</w:t>
      </w:r>
      <w:r w:rsidRPr="00BB7751">
        <w:rPr>
          <w:rFonts w:hint="eastAsia"/>
          <w:noProof/>
          <w:lang w:val="fr-FR" w:eastAsia="ko-KR"/>
        </w:rPr>
        <w:t>,</w:t>
      </w:r>
      <w:r w:rsidRPr="00BB7751">
        <w:rPr>
          <w:noProof/>
          <w:lang w:val="fr-FR"/>
        </w:rPr>
        <w:t xml:space="preserve"> 2017</w:t>
      </w:r>
      <w:r w:rsidRPr="00BB7751">
        <w:rPr>
          <w:rFonts w:hint="eastAsia"/>
          <w:noProof/>
          <w:lang w:val="fr-FR" w:eastAsia="ko-KR"/>
        </w:rPr>
        <w:t>.</w:t>
      </w:r>
      <w:r w:rsidRPr="00BB7751">
        <w:rPr>
          <w:noProof/>
          <w:lang w:val="fr-FR"/>
        </w:rPr>
        <w:t xml:space="preserve"> </w:t>
      </w:r>
      <w:r w:rsidRPr="0089670E">
        <w:rPr>
          <w:noProof/>
        </w:rPr>
        <w:t xml:space="preserve">Occupational intakes of radionuclides: Part 3. </w:t>
      </w:r>
      <w:r w:rsidRPr="00BB7751">
        <w:rPr>
          <w:noProof/>
          <w:lang w:val="fr-FR"/>
        </w:rPr>
        <w:t>ICRP Publication 137. Ann</w:t>
      </w:r>
      <w:r w:rsidRPr="00BB7751">
        <w:rPr>
          <w:rFonts w:hint="eastAsia"/>
          <w:noProof/>
          <w:lang w:val="fr-FR" w:eastAsia="ko-KR"/>
        </w:rPr>
        <w:t xml:space="preserve">. </w:t>
      </w:r>
      <w:r w:rsidRPr="00BB7751">
        <w:rPr>
          <w:noProof/>
          <w:lang w:val="fr-FR"/>
        </w:rPr>
        <w:t>ICRP 46(3/4).</w:t>
      </w:r>
    </w:p>
    <w:p w14:paraId="7C159EB7" w14:textId="77777777" w:rsidR="00232741" w:rsidRPr="00BB7751" w:rsidRDefault="00232741" w:rsidP="00232741">
      <w:pPr>
        <w:pStyle w:val="aff1"/>
        <w:ind w:left="426" w:hanging="426"/>
        <w:rPr>
          <w:noProof/>
          <w:lang w:val="fr-FR"/>
        </w:rPr>
      </w:pPr>
      <w:r w:rsidRPr="00BB7751">
        <w:rPr>
          <w:noProof/>
          <w:lang w:val="fr-FR"/>
        </w:rPr>
        <w:t>ICRP</w:t>
      </w:r>
      <w:r w:rsidRPr="00BB7751">
        <w:rPr>
          <w:rFonts w:hint="eastAsia"/>
          <w:noProof/>
          <w:lang w:val="fr-FR" w:eastAsia="ko-KR"/>
        </w:rPr>
        <w:t>,</w:t>
      </w:r>
      <w:r w:rsidRPr="00BB7751">
        <w:rPr>
          <w:noProof/>
          <w:lang w:val="fr-FR"/>
        </w:rPr>
        <w:t xml:space="preserve"> 2019</w:t>
      </w:r>
      <w:r w:rsidRPr="00BB7751">
        <w:rPr>
          <w:rFonts w:hint="eastAsia"/>
          <w:noProof/>
          <w:lang w:val="fr-FR" w:eastAsia="ko-KR"/>
        </w:rPr>
        <w:t>.</w:t>
      </w:r>
      <w:r w:rsidRPr="00BB7751">
        <w:rPr>
          <w:noProof/>
          <w:lang w:val="fr-FR"/>
        </w:rPr>
        <w:t xml:space="preserve"> </w:t>
      </w:r>
      <w:r w:rsidRPr="0089670E">
        <w:rPr>
          <w:noProof/>
        </w:rPr>
        <w:t xml:space="preserve">Occupational Intakes of Radionuclides: Part 4. </w:t>
      </w:r>
      <w:r w:rsidRPr="00BB7751">
        <w:rPr>
          <w:noProof/>
          <w:lang w:val="fr-FR"/>
        </w:rPr>
        <w:t>ICRP Publication 141. Ann</w:t>
      </w:r>
      <w:r w:rsidRPr="00BB7751">
        <w:rPr>
          <w:rFonts w:hint="eastAsia"/>
          <w:noProof/>
          <w:lang w:val="fr-FR" w:eastAsia="ko-KR"/>
        </w:rPr>
        <w:t xml:space="preserve">. </w:t>
      </w:r>
      <w:r w:rsidRPr="00BB7751">
        <w:rPr>
          <w:noProof/>
          <w:lang w:val="fr-FR"/>
        </w:rPr>
        <w:t>ICRP 48(2/3).</w:t>
      </w:r>
    </w:p>
    <w:p w14:paraId="6476CF89" w14:textId="77777777" w:rsidR="00232741" w:rsidRPr="0089670E" w:rsidRDefault="00232741" w:rsidP="00232741">
      <w:pPr>
        <w:pStyle w:val="aff1"/>
        <w:ind w:left="426" w:hanging="426"/>
        <w:rPr>
          <w:noProof/>
        </w:rPr>
      </w:pPr>
      <w:r w:rsidRPr="00BB7751">
        <w:rPr>
          <w:noProof/>
          <w:lang w:val="fr-FR"/>
        </w:rPr>
        <w:t>ICRP</w:t>
      </w:r>
      <w:r w:rsidRPr="00BB7751">
        <w:rPr>
          <w:rFonts w:hint="eastAsia"/>
          <w:noProof/>
          <w:lang w:val="fr-FR" w:eastAsia="ko-KR"/>
        </w:rPr>
        <w:t>,</w:t>
      </w:r>
      <w:r w:rsidRPr="00BB7751">
        <w:rPr>
          <w:noProof/>
          <w:lang w:val="fr-FR"/>
        </w:rPr>
        <w:t xml:space="preserve"> 2020</w:t>
      </w:r>
      <w:r w:rsidRPr="00BB7751">
        <w:rPr>
          <w:rFonts w:hint="eastAsia"/>
          <w:noProof/>
          <w:lang w:val="fr-FR" w:eastAsia="ko-KR"/>
        </w:rPr>
        <w:t>.</w:t>
      </w:r>
      <w:r w:rsidRPr="00BB7751">
        <w:rPr>
          <w:noProof/>
          <w:lang w:val="fr-FR"/>
        </w:rPr>
        <w:t xml:space="preserve"> </w:t>
      </w:r>
      <w:r w:rsidRPr="0089670E">
        <w:rPr>
          <w:noProof/>
        </w:rPr>
        <w:t xml:space="preserve">Paediatric Computational Reference Phantoms. ICRP Publication 143. </w:t>
      </w:r>
      <w:r w:rsidRPr="00ED6790">
        <w:rPr>
          <w:noProof/>
        </w:rPr>
        <w:t>Ann</w:t>
      </w:r>
      <w:r>
        <w:rPr>
          <w:rFonts w:hint="eastAsia"/>
          <w:noProof/>
          <w:lang w:eastAsia="ko-KR"/>
        </w:rPr>
        <w:t xml:space="preserve">. </w:t>
      </w:r>
      <w:r w:rsidRPr="00ED6790">
        <w:rPr>
          <w:noProof/>
        </w:rPr>
        <w:t>ICRP</w:t>
      </w:r>
      <w:r w:rsidRPr="0089670E">
        <w:rPr>
          <w:noProof/>
        </w:rPr>
        <w:t xml:space="preserve"> 49(1).</w:t>
      </w:r>
    </w:p>
    <w:p w14:paraId="3D049AC1" w14:textId="77777777" w:rsidR="00232741" w:rsidRPr="00BB7751" w:rsidRDefault="00232741" w:rsidP="00232741">
      <w:pPr>
        <w:pStyle w:val="aff1"/>
        <w:ind w:left="426" w:hanging="426"/>
        <w:rPr>
          <w:noProof/>
          <w:lang w:val="fr-FR"/>
        </w:rPr>
      </w:pPr>
      <w:r w:rsidRPr="0089670E">
        <w:rPr>
          <w:noProof/>
        </w:rPr>
        <w:t>ICRP</w:t>
      </w:r>
      <w:r>
        <w:rPr>
          <w:rFonts w:hint="eastAsia"/>
          <w:noProof/>
          <w:lang w:eastAsia="ko-KR"/>
        </w:rPr>
        <w:t>,</w:t>
      </w:r>
      <w:r w:rsidRPr="0089670E">
        <w:rPr>
          <w:noProof/>
        </w:rPr>
        <w:t xml:space="preserve"> 2022</w:t>
      </w:r>
      <w:r>
        <w:rPr>
          <w:rFonts w:hint="eastAsia"/>
          <w:noProof/>
          <w:lang w:eastAsia="ko-KR"/>
        </w:rPr>
        <w:t>.</w:t>
      </w:r>
      <w:r w:rsidRPr="0089670E">
        <w:rPr>
          <w:noProof/>
        </w:rPr>
        <w:t xml:space="preserve"> Occupational Intakes of Radionuclides: Part 5. </w:t>
      </w:r>
      <w:r w:rsidRPr="00BB7751">
        <w:rPr>
          <w:noProof/>
          <w:lang w:val="fr-FR"/>
        </w:rPr>
        <w:t>ICRP Publication 151. Ann</w:t>
      </w:r>
      <w:r w:rsidRPr="00BB7751">
        <w:rPr>
          <w:rFonts w:hint="eastAsia"/>
          <w:noProof/>
          <w:lang w:val="fr-FR" w:eastAsia="ko-KR"/>
        </w:rPr>
        <w:t xml:space="preserve">. </w:t>
      </w:r>
      <w:r w:rsidRPr="00BB7751">
        <w:rPr>
          <w:noProof/>
          <w:lang w:val="fr-FR"/>
        </w:rPr>
        <w:t>ICRP 51(1–2).</w:t>
      </w:r>
    </w:p>
    <w:p w14:paraId="74B1ABBC" w14:textId="77777777" w:rsidR="00232741" w:rsidRPr="0089670E" w:rsidRDefault="00232741" w:rsidP="00232741">
      <w:pPr>
        <w:pStyle w:val="aff1"/>
        <w:ind w:left="426" w:hanging="426"/>
        <w:rPr>
          <w:noProof/>
        </w:rPr>
      </w:pPr>
      <w:r w:rsidRPr="0089670E">
        <w:rPr>
          <w:noProof/>
          <w:lang w:val="fr-FR"/>
        </w:rPr>
        <w:t>Igarashi</w:t>
      </w:r>
      <w:r>
        <w:rPr>
          <w:rFonts w:hint="eastAsia"/>
          <w:noProof/>
          <w:lang w:val="fr-FR" w:eastAsia="ko-KR"/>
        </w:rPr>
        <w:t>,</w:t>
      </w:r>
      <w:r w:rsidRPr="0089670E">
        <w:rPr>
          <w:noProof/>
          <w:lang w:val="fr-FR"/>
        </w:rPr>
        <w:t xml:space="preserve"> Y</w:t>
      </w:r>
      <w:r>
        <w:rPr>
          <w:rFonts w:hint="eastAsia"/>
          <w:noProof/>
          <w:lang w:val="fr-FR" w:eastAsia="ko-KR"/>
        </w:rPr>
        <w:t>.</w:t>
      </w:r>
      <w:r w:rsidRPr="0089670E">
        <w:rPr>
          <w:noProof/>
          <w:lang w:val="fr-FR"/>
        </w:rPr>
        <w:t>, Yamakawa</w:t>
      </w:r>
      <w:r>
        <w:rPr>
          <w:rFonts w:hint="eastAsia"/>
          <w:noProof/>
          <w:lang w:val="fr-FR" w:eastAsia="ko-KR"/>
        </w:rPr>
        <w:t>,</w:t>
      </w:r>
      <w:r w:rsidRPr="0089670E">
        <w:rPr>
          <w:noProof/>
          <w:lang w:val="fr-FR"/>
        </w:rPr>
        <w:t xml:space="preserve"> A</w:t>
      </w:r>
      <w:r>
        <w:rPr>
          <w:rFonts w:hint="eastAsia"/>
          <w:noProof/>
          <w:lang w:val="fr-FR" w:eastAsia="ko-KR"/>
        </w:rPr>
        <w:t>.</w:t>
      </w:r>
      <w:r w:rsidRPr="0089670E">
        <w:rPr>
          <w:noProof/>
          <w:lang w:val="fr-FR"/>
        </w:rPr>
        <w:t>, Seki</w:t>
      </w:r>
      <w:r>
        <w:rPr>
          <w:rFonts w:hint="eastAsia"/>
          <w:noProof/>
          <w:lang w:val="fr-FR" w:eastAsia="ko-KR"/>
        </w:rPr>
        <w:t>,</w:t>
      </w:r>
      <w:r w:rsidRPr="0089670E">
        <w:rPr>
          <w:noProof/>
          <w:lang w:val="fr-FR"/>
        </w:rPr>
        <w:t xml:space="preserve"> R</w:t>
      </w:r>
      <w:r>
        <w:rPr>
          <w:rFonts w:hint="eastAsia"/>
          <w:noProof/>
          <w:lang w:val="fr-FR" w:eastAsia="ko-KR"/>
        </w:rPr>
        <w:t>.</w:t>
      </w:r>
      <w:r w:rsidRPr="0089670E">
        <w:rPr>
          <w:noProof/>
          <w:lang w:val="fr-FR"/>
        </w:rPr>
        <w:t>, et al.</w:t>
      </w:r>
      <w:r>
        <w:rPr>
          <w:rFonts w:hint="eastAsia"/>
          <w:noProof/>
          <w:lang w:val="fr-FR" w:eastAsia="ko-KR"/>
        </w:rPr>
        <w:t>,</w:t>
      </w:r>
      <w:r w:rsidRPr="0089670E">
        <w:rPr>
          <w:noProof/>
          <w:lang w:val="fr-FR"/>
        </w:rPr>
        <w:t xml:space="preserve"> </w:t>
      </w:r>
      <w:r w:rsidRPr="00BB7751">
        <w:rPr>
          <w:noProof/>
          <w:lang w:val="fr-FR"/>
        </w:rPr>
        <w:t>1985</w:t>
      </w:r>
      <w:r w:rsidRPr="00BB7751">
        <w:rPr>
          <w:rFonts w:hint="eastAsia"/>
          <w:noProof/>
          <w:lang w:val="fr-FR" w:eastAsia="ko-KR"/>
        </w:rPr>
        <w:t>.</w:t>
      </w:r>
      <w:r w:rsidRPr="00BB7751">
        <w:rPr>
          <w:noProof/>
          <w:lang w:val="fr-FR"/>
        </w:rPr>
        <w:t xml:space="preserve"> </w:t>
      </w:r>
      <w:r w:rsidRPr="0089670E">
        <w:rPr>
          <w:noProof/>
        </w:rPr>
        <w:t xml:space="preserve">Determination of U in Japanese human </w:t>
      </w:r>
      <w:r w:rsidRPr="0089670E">
        <w:rPr>
          <w:noProof/>
        </w:rPr>
        <w:lastRenderedPageBreak/>
        <w:t xml:space="preserve">tissues by the fission track method. </w:t>
      </w:r>
      <w:r w:rsidRPr="00ED6790">
        <w:rPr>
          <w:noProof/>
        </w:rPr>
        <w:t>Health Phys</w:t>
      </w:r>
      <w:r>
        <w:rPr>
          <w:rFonts w:hint="eastAsia"/>
          <w:noProof/>
          <w:lang w:eastAsia="ko-KR"/>
        </w:rPr>
        <w:t>.</w:t>
      </w:r>
      <w:r w:rsidRPr="0089670E">
        <w:rPr>
          <w:noProof/>
        </w:rPr>
        <w:t xml:space="preserve"> 49(5)</w:t>
      </w:r>
      <w:r>
        <w:rPr>
          <w:rFonts w:hint="eastAsia"/>
          <w:noProof/>
          <w:lang w:eastAsia="ko-KR"/>
        </w:rPr>
        <w:t>.</w:t>
      </w:r>
      <w:r w:rsidRPr="0089670E">
        <w:rPr>
          <w:noProof/>
        </w:rPr>
        <w:t xml:space="preserve"> 707–712.</w:t>
      </w:r>
    </w:p>
    <w:p w14:paraId="5F165264" w14:textId="77777777" w:rsidR="00232741" w:rsidRPr="0089670E" w:rsidRDefault="00232741" w:rsidP="00232741">
      <w:pPr>
        <w:pStyle w:val="aff1"/>
        <w:ind w:left="426" w:hanging="426"/>
        <w:rPr>
          <w:noProof/>
        </w:rPr>
      </w:pPr>
      <w:r w:rsidRPr="0089670E">
        <w:rPr>
          <w:noProof/>
        </w:rPr>
        <w:t>Inaba</w:t>
      </w:r>
      <w:r>
        <w:rPr>
          <w:rFonts w:hint="eastAsia"/>
          <w:noProof/>
          <w:lang w:eastAsia="ko-KR"/>
        </w:rPr>
        <w:t>,</w:t>
      </w:r>
      <w:r w:rsidRPr="0089670E">
        <w:rPr>
          <w:noProof/>
        </w:rPr>
        <w:t xml:space="preserve"> J</w:t>
      </w:r>
      <w:r>
        <w:rPr>
          <w:rFonts w:hint="eastAsia"/>
          <w:noProof/>
          <w:lang w:eastAsia="ko-KR"/>
        </w:rPr>
        <w:t>.,</w:t>
      </w:r>
      <w:r w:rsidRPr="0089670E">
        <w:rPr>
          <w:noProof/>
        </w:rPr>
        <w:t xml:space="preserve"> Lengemann</w:t>
      </w:r>
      <w:r>
        <w:rPr>
          <w:rFonts w:hint="eastAsia"/>
          <w:noProof/>
          <w:lang w:eastAsia="ko-KR"/>
        </w:rPr>
        <w:t>,</w:t>
      </w:r>
      <w:r w:rsidRPr="0089670E">
        <w:rPr>
          <w:noProof/>
        </w:rPr>
        <w:t xml:space="preserve"> F</w:t>
      </w:r>
      <w:r>
        <w:rPr>
          <w:rFonts w:hint="eastAsia"/>
          <w:noProof/>
          <w:lang w:eastAsia="ko-KR"/>
        </w:rPr>
        <w:t>.</w:t>
      </w:r>
      <w:r w:rsidRPr="0089670E">
        <w:rPr>
          <w:noProof/>
        </w:rPr>
        <w:t>W</w:t>
      </w:r>
      <w:r>
        <w:rPr>
          <w:rFonts w:hint="eastAsia"/>
          <w:noProof/>
          <w:lang w:eastAsia="ko-KR"/>
        </w:rPr>
        <w:t>.,</w:t>
      </w:r>
      <w:r w:rsidRPr="0089670E">
        <w:rPr>
          <w:noProof/>
        </w:rPr>
        <w:t xml:space="preserve"> 1972</w:t>
      </w:r>
      <w:r>
        <w:rPr>
          <w:rFonts w:hint="eastAsia"/>
          <w:noProof/>
          <w:lang w:eastAsia="ko-KR"/>
        </w:rPr>
        <w:t>.</w:t>
      </w:r>
      <w:r w:rsidRPr="0089670E">
        <w:rPr>
          <w:noProof/>
        </w:rPr>
        <w:t xml:space="preserve"> Intestinal uptake and whole-body retention of</w:t>
      </w:r>
      <w:r>
        <w:rPr>
          <w:rFonts w:hint="eastAsia"/>
          <w:noProof/>
          <w:lang w:eastAsia="ko-KR"/>
        </w:rPr>
        <w:t xml:space="preserve"> </w:t>
      </w:r>
      <w:r w:rsidRPr="002F7639">
        <w:rPr>
          <w:noProof/>
          <w:vertAlign w:val="superscript"/>
        </w:rPr>
        <w:t>141</w:t>
      </w:r>
      <w:r w:rsidRPr="0089670E">
        <w:rPr>
          <w:noProof/>
        </w:rPr>
        <w:t xml:space="preserve">Ce by suckling rats. </w:t>
      </w:r>
      <w:r w:rsidRPr="00ED6790">
        <w:rPr>
          <w:noProof/>
        </w:rPr>
        <w:t>Health Phys</w:t>
      </w:r>
      <w:r>
        <w:rPr>
          <w:rFonts w:hint="eastAsia"/>
          <w:noProof/>
          <w:lang w:eastAsia="ko-KR"/>
        </w:rPr>
        <w:t>.</w:t>
      </w:r>
      <w:r w:rsidRPr="0089670E">
        <w:rPr>
          <w:noProof/>
        </w:rPr>
        <w:t xml:space="preserve"> 22(2)</w:t>
      </w:r>
      <w:r>
        <w:rPr>
          <w:rFonts w:hint="eastAsia"/>
          <w:noProof/>
          <w:lang w:eastAsia="ko-KR"/>
        </w:rPr>
        <w:t>.</w:t>
      </w:r>
      <w:r w:rsidRPr="0089670E">
        <w:rPr>
          <w:noProof/>
        </w:rPr>
        <w:t xml:space="preserve"> 169–175.</w:t>
      </w:r>
    </w:p>
    <w:p w14:paraId="7663B359" w14:textId="77777777" w:rsidR="00232741" w:rsidRPr="0089670E" w:rsidRDefault="00232741" w:rsidP="00232741">
      <w:pPr>
        <w:pStyle w:val="aff1"/>
        <w:ind w:left="426" w:hanging="426"/>
        <w:rPr>
          <w:noProof/>
        </w:rPr>
      </w:pPr>
      <w:r w:rsidRPr="0089670E">
        <w:rPr>
          <w:noProof/>
        </w:rPr>
        <w:t>IUPAC</w:t>
      </w:r>
      <w:r>
        <w:rPr>
          <w:rFonts w:hint="eastAsia"/>
          <w:noProof/>
          <w:lang w:eastAsia="ko-KR"/>
        </w:rPr>
        <w:t>,</w:t>
      </w:r>
      <w:r w:rsidRPr="0089670E">
        <w:rPr>
          <w:noProof/>
        </w:rPr>
        <w:t xml:space="preserve"> 2005</w:t>
      </w:r>
      <w:r>
        <w:rPr>
          <w:rFonts w:hint="eastAsia"/>
          <w:noProof/>
          <w:lang w:eastAsia="ko-KR"/>
        </w:rPr>
        <w:t>.</w:t>
      </w:r>
      <w:r w:rsidRPr="0089670E">
        <w:rPr>
          <w:noProof/>
        </w:rPr>
        <w:t xml:space="preserve"> </w:t>
      </w:r>
      <w:r w:rsidRPr="00ED6790">
        <w:rPr>
          <w:noProof/>
        </w:rPr>
        <w:t>IUPAC Recommendations 2005, IUPAC Red Book,</w:t>
      </w:r>
      <w:r w:rsidRPr="0089670E">
        <w:rPr>
          <w:noProof/>
        </w:rPr>
        <w:t xml:space="preserve"> (eds NG Connelly, T Damhus, RM Hartshorn, et al.). RSC Publishing.</w:t>
      </w:r>
    </w:p>
    <w:p w14:paraId="69E4422F" w14:textId="77777777" w:rsidR="00232741" w:rsidRPr="0089670E" w:rsidRDefault="00232741" w:rsidP="00232741">
      <w:pPr>
        <w:pStyle w:val="aff1"/>
        <w:ind w:left="426" w:hanging="426"/>
        <w:rPr>
          <w:noProof/>
        </w:rPr>
      </w:pPr>
      <w:r w:rsidRPr="0089670E">
        <w:rPr>
          <w:noProof/>
        </w:rPr>
        <w:t>James</w:t>
      </w:r>
      <w:r>
        <w:rPr>
          <w:rFonts w:hint="eastAsia"/>
          <w:noProof/>
          <w:lang w:eastAsia="ko-KR"/>
        </w:rPr>
        <w:t>,</w:t>
      </w:r>
      <w:r w:rsidRPr="0089670E">
        <w:rPr>
          <w:noProof/>
        </w:rPr>
        <w:t xml:space="preserve"> A</w:t>
      </w:r>
      <w:r>
        <w:rPr>
          <w:rFonts w:hint="eastAsia"/>
          <w:noProof/>
          <w:lang w:eastAsia="ko-KR"/>
        </w:rPr>
        <w:t>.</w:t>
      </w:r>
      <w:r w:rsidRPr="0089670E">
        <w:rPr>
          <w:noProof/>
        </w:rPr>
        <w:t>C</w:t>
      </w:r>
      <w:r>
        <w:rPr>
          <w:rFonts w:hint="eastAsia"/>
          <w:noProof/>
          <w:lang w:eastAsia="ko-KR"/>
        </w:rPr>
        <w:t>.,</w:t>
      </w:r>
      <w:r w:rsidRPr="0089670E">
        <w:rPr>
          <w:noProof/>
        </w:rPr>
        <w:t xml:space="preserve"> Brooks</w:t>
      </w:r>
      <w:r>
        <w:rPr>
          <w:rFonts w:hint="eastAsia"/>
          <w:noProof/>
          <w:lang w:eastAsia="ko-KR"/>
        </w:rPr>
        <w:t>,</w:t>
      </w:r>
      <w:r w:rsidRPr="0089670E">
        <w:rPr>
          <w:noProof/>
        </w:rPr>
        <w:t xml:space="preserve"> B</w:t>
      </w:r>
      <w:r>
        <w:rPr>
          <w:rFonts w:hint="eastAsia"/>
          <w:noProof/>
          <w:lang w:eastAsia="ko-KR"/>
        </w:rPr>
        <w:t>.</w:t>
      </w:r>
      <w:r w:rsidRPr="0089670E">
        <w:rPr>
          <w:noProof/>
        </w:rPr>
        <w:t>G</w:t>
      </w:r>
      <w:r>
        <w:rPr>
          <w:rFonts w:hint="eastAsia"/>
          <w:noProof/>
          <w:lang w:eastAsia="ko-KR"/>
        </w:rPr>
        <w:t>.,</w:t>
      </w:r>
      <w:r w:rsidRPr="0089670E">
        <w:rPr>
          <w:noProof/>
        </w:rPr>
        <w:t xml:space="preserve"> 2006</w:t>
      </w:r>
      <w:r>
        <w:rPr>
          <w:rFonts w:hint="eastAsia"/>
          <w:noProof/>
          <w:lang w:eastAsia="ko-KR"/>
        </w:rPr>
        <w:t>.</w:t>
      </w:r>
      <w:r w:rsidRPr="0089670E">
        <w:rPr>
          <w:noProof/>
        </w:rPr>
        <w:t xml:space="preserve"> The United States Transuranium and Uranium Registries (USTUR): learning from plutonium and uranium workers. In: </w:t>
      </w:r>
      <w:r w:rsidRPr="00ED6790">
        <w:rPr>
          <w:noProof/>
        </w:rPr>
        <w:t>Proceedings of the 4th JAEA/US EPA Workshop on Radiation Risk Assessment</w:t>
      </w:r>
      <w:r w:rsidRPr="0089670E">
        <w:rPr>
          <w:noProof/>
        </w:rPr>
        <w:t>, Tokai-mura, Japan, 2006, pp. 2007–002. Tokai Research and Development Center, JAEA.</w:t>
      </w:r>
    </w:p>
    <w:p w14:paraId="74CBF1CB" w14:textId="77777777" w:rsidR="00232741" w:rsidRPr="0089670E" w:rsidRDefault="00232741" w:rsidP="00232741">
      <w:pPr>
        <w:pStyle w:val="aff1"/>
        <w:ind w:left="426" w:hanging="426"/>
        <w:rPr>
          <w:noProof/>
        </w:rPr>
      </w:pPr>
      <w:r w:rsidRPr="0089670E">
        <w:rPr>
          <w:noProof/>
        </w:rPr>
        <w:t>Johnson</w:t>
      </w:r>
      <w:r>
        <w:rPr>
          <w:rFonts w:hint="eastAsia"/>
          <w:noProof/>
          <w:lang w:eastAsia="ko-KR"/>
        </w:rPr>
        <w:t>,</w:t>
      </w:r>
      <w:r w:rsidRPr="0089670E">
        <w:rPr>
          <w:noProof/>
        </w:rPr>
        <w:t xml:space="preserve"> J</w:t>
      </w:r>
      <w:r>
        <w:rPr>
          <w:rFonts w:hint="eastAsia"/>
          <w:noProof/>
          <w:lang w:eastAsia="ko-KR"/>
        </w:rPr>
        <w:t>.</w:t>
      </w:r>
      <w:r w:rsidRPr="0089670E">
        <w:rPr>
          <w:noProof/>
        </w:rPr>
        <w:t>R</w:t>
      </w:r>
      <w:r>
        <w:rPr>
          <w:rFonts w:hint="eastAsia"/>
          <w:noProof/>
          <w:lang w:eastAsia="ko-KR"/>
        </w:rPr>
        <w:t>.,</w:t>
      </w:r>
      <w:r w:rsidRPr="0089670E">
        <w:rPr>
          <w:noProof/>
        </w:rPr>
        <w:t xml:space="preserve"> Lamothe</w:t>
      </w:r>
      <w:r>
        <w:rPr>
          <w:rFonts w:hint="eastAsia"/>
          <w:noProof/>
          <w:lang w:eastAsia="ko-KR"/>
        </w:rPr>
        <w:t>,</w:t>
      </w:r>
      <w:r w:rsidRPr="0089670E">
        <w:rPr>
          <w:noProof/>
        </w:rPr>
        <w:t xml:space="preserve"> E</w:t>
      </w:r>
      <w:r>
        <w:rPr>
          <w:rFonts w:hint="eastAsia"/>
          <w:noProof/>
          <w:lang w:eastAsia="ko-KR"/>
        </w:rPr>
        <w:t>.</w:t>
      </w:r>
      <w:r w:rsidRPr="0089670E">
        <w:rPr>
          <w:noProof/>
        </w:rPr>
        <w:t>S</w:t>
      </w:r>
      <w:r>
        <w:rPr>
          <w:rFonts w:hint="eastAsia"/>
          <w:noProof/>
          <w:lang w:eastAsia="ko-KR"/>
        </w:rPr>
        <w:t>.,</w:t>
      </w:r>
      <w:r w:rsidRPr="0089670E">
        <w:rPr>
          <w:noProof/>
        </w:rPr>
        <w:t xml:space="preserve"> </w:t>
      </w:r>
      <w:r>
        <w:rPr>
          <w:rFonts w:hint="eastAsia"/>
          <w:noProof/>
          <w:lang w:eastAsia="ko-KR"/>
        </w:rPr>
        <w:t>1</w:t>
      </w:r>
      <w:r w:rsidRPr="0089670E">
        <w:rPr>
          <w:noProof/>
        </w:rPr>
        <w:t>989</w:t>
      </w:r>
      <w:r>
        <w:rPr>
          <w:rFonts w:hint="eastAsia"/>
          <w:noProof/>
          <w:lang w:eastAsia="ko-KR"/>
        </w:rPr>
        <w:t>.</w:t>
      </w:r>
      <w:r w:rsidRPr="0089670E">
        <w:rPr>
          <w:noProof/>
        </w:rPr>
        <w:t xml:space="preserve"> A review of the dietary uptake of Th. </w:t>
      </w:r>
      <w:r w:rsidRPr="00ED6790">
        <w:rPr>
          <w:noProof/>
        </w:rPr>
        <w:t>Health Phy</w:t>
      </w:r>
      <w:r>
        <w:rPr>
          <w:rFonts w:hint="eastAsia"/>
          <w:noProof/>
          <w:lang w:eastAsia="ko-KR"/>
        </w:rPr>
        <w:t>.</w:t>
      </w:r>
      <w:r w:rsidRPr="0089670E">
        <w:rPr>
          <w:noProof/>
        </w:rPr>
        <w:t xml:space="preserve"> 56(2): 165–168.</w:t>
      </w:r>
    </w:p>
    <w:p w14:paraId="4F07E817" w14:textId="77777777" w:rsidR="00232741" w:rsidRPr="0089670E" w:rsidRDefault="00232741" w:rsidP="00232741">
      <w:pPr>
        <w:pStyle w:val="aff1"/>
        <w:ind w:left="426" w:hanging="426"/>
        <w:rPr>
          <w:noProof/>
        </w:rPr>
      </w:pPr>
      <w:r w:rsidRPr="0089670E">
        <w:rPr>
          <w:noProof/>
        </w:rPr>
        <w:t>Johnson</w:t>
      </w:r>
      <w:r>
        <w:rPr>
          <w:rFonts w:hint="eastAsia"/>
          <w:noProof/>
          <w:lang w:eastAsia="ko-KR"/>
        </w:rPr>
        <w:t>,</w:t>
      </w:r>
      <w:r w:rsidRPr="0089670E">
        <w:rPr>
          <w:noProof/>
        </w:rPr>
        <w:t xml:space="preserve"> R</w:t>
      </w:r>
      <w:r>
        <w:rPr>
          <w:rFonts w:hint="eastAsia"/>
          <w:noProof/>
          <w:lang w:eastAsia="ko-KR"/>
        </w:rPr>
        <w:t>.</w:t>
      </w:r>
      <w:r w:rsidRPr="0089670E">
        <w:rPr>
          <w:noProof/>
        </w:rPr>
        <w:t>F</w:t>
      </w:r>
      <w:r>
        <w:rPr>
          <w:rFonts w:hint="eastAsia"/>
          <w:noProof/>
          <w:lang w:eastAsia="ko-KR"/>
        </w:rPr>
        <w:t>.,</w:t>
      </w:r>
      <w:r w:rsidRPr="0089670E">
        <w:rPr>
          <w:noProof/>
        </w:rPr>
        <w:t xml:space="preserve"> Ziemer</w:t>
      </w:r>
      <w:r>
        <w:rPr>
          <w:rFonts w:hint="eastAsia"/>
          <w:noProof/>
          <w:lang w:eastAsia="ko-KR"/>
        </w:rPr>
        <w:t>,</w:t>
      </w:r>
      <w:r w:rsidRPr="0089670E">
        <w:rPr>
          <w:noProof/>
        </w:rPr>
        <w:t xml:space="preserve"> P</w:t>
      </w:r>
      <w:r>
        <w:rPr>
          <w:rFonts w:hint="eastAsia"/>
          <w:noProof/>
          <w:lang w:eastAsia="ko-KR"/>
        </w:rPr>
        <w:t>.</w:t>
      </w:r>
      <w:r w:rsidRPr="0089670E">
        <w:rPr>
          <w:noProof/>
        </w:rPr>
        <w:t>L</w:t>
      </w:r>
      <w:r>
        <w:rPr>
          <w:rFonts w:hint="eastAsia"/>
          <w:noProof/>
          <w:lang w:eastAsia="ko-KR"/>
        </w:rPr>
        <w:t>.,</w:t>
      </w:r>
      <w:r w:rsidRPr="0089670E">
        <w:rPr>
          <w:noProof/>
        </w:rPr>
        <w:t xml:space="preserve"> 1971</w:t>
      </w:r>
      <w:r>
        <w:rPr>
          <w:rFonts w:hint="eastAsia"/>
          <w:noProof/>
          <w:lang w:eastAsia="ko-KR"/>
        </w:rPr>
        <w:t>.</w:t>
      </w:r>
      <w:r w:rsidRPr="0089670E">
        <w:rPr>
          <w:noProof/>
        </w:rPr>
        <w:t xml:space="preserve"> The deposition and retention of inhaled 152-154europium oxide in the rat. </w:t>
      </w:r>
      <w:r w:rsidRPr="00ED6790">
        <w:rPr>
          <w:noProof/>
        </w:rPr>
        <w:t>Health Phys</w:t>
      </w:r>
      <w:r>
        <w:rPr>
          <w:rFonts w:hint="eastAsia"/>
          <w:noProof/>
          <w:lang w:eastAsia="ko-KR"/>
        </w:rPr>
        <w:t>.</w:t>
      </w:r>
      <w:r w:rsidRPr="0089670E">
        <w:rPr>
          <w:noProof/>
        </w:rPr>
        <w:t xml:space="preserve"> 20(2)</w:t>
      </w:r>
      <w:r>
        <w:rPr>
          <w:rFonts w:hint="eastAsia"/>
          <w:noProof/>
          <w:lang w:eastAsia="ko-KR"/>
        </w:rPr>
        <w:t>.</w:t>
      </w:r>
      <w:r w:rsidRPr="0089670E">
        <w:rPr>
          <w:noProof/>
        </w:rPr>
        <w:t xml:space="preserve"> 187–193.</w:t>
      </w:r>
    </w:p>
    <w:p w14:paraId="7D5F9132" w14:textId="77777777" w:rsidR="00232741" w:rsidRPr="0089670E" w:rsidRDefault="00232741" w:rsidP="00232741">
      <w:pPr>
        <w:pStyle w:val="aff1"/>
        <w:ind w:left="426" w:hanging="426"/>
        <w:rPr>
          <w:noProof/>
        </w:rPr>
      </w:pPr>
      <w:r w:rsidRPr="0089670E">
        <w:rPr>
          <w:noProof/>
        </w:rPr>
        <w:t>Karpas</w:t>
      </w:r>
      <w:r>
        <w:rPr>
          <w:rFonts w:hint="eastAsia"/>
          <w:noProof/>
          <w:lang w:eastAsia="ko-KR"/>
        </w:rPr>
        <w:t>,</w:t>
      </w:r>
      <w:r w:rsidRPr="0089670E">
        <w:rPr>
          <w:noProof/>
        </w:rPr>
        <w:t xml:space="preserve"> Z</w:t>
      </w:r>
      <w:r>
        <w:rPr>
          <w:rFonts w:hint="eastAsia"/>
          <w:noProof/>
          <w:lang w:eastAsia="ko-KR"/>
        </w:rPr>
        <w:t>.</w:t>
      </w:r>
      <w:r w:rsidRPr="0089670E">
        <w:rPr>
          <w:noProof/>
        </w:rPr>
        <w:t>, Lorber</w:t>
      </w:r>
      <w:r>
        <w:rPr>
          <w:rFonts w:hint="eastAsia"/>
          <w:noProof/>
          <w:lang w:eastAsia="ko-KR"/>
        </w:rPr>
        <w:t>,</w:t>
      </w:r>
      <w:r w:rsidRPr="0089670E">
        <w:rPr>
          <w:noProof/>
        </w:rPr>
        <w:t xml:space="preserve"> A</w:t>
      </w:r>
      <w:r>
        <w:rPr>
          <w:rFonts w:hint="eastAsia"/>
          <w:noProof/>
          <w:lang w:eastAsia="ko-KR"/>
        </w:rPr>
        <w:t>.</w:t>
      </w:r>
      <w:r w:rsidRPr="0089670E">
        <w:rPr>
          <w:noProof/>
        </w:rPr>
        <w:t>, Elish</w:t>
      </w:r>
      <w:r>
        <w:rPr>
          <w:rFonts w:hint="eastAsia"/>
          <w:noProof/>
          <w:lang w:eastAsia="ko-KR"/>
        </w:rPr>
        <w:t xml:space="preserve">, </w:t>
      </w:r>
      <w:r w:rsidRPr="0089670E">
        <w:rPr>
          <w:noProof/>
        </w:rPr>
        <w:t>E</w:t>
      </w:r>
      <w:r>
        <w:rPr>
          <w:rFonts w:hint="eastAsia"/>
          <w:noProof/>
          <w:lang w:eastAsia="ko-KR"/>
        </w:rPr>
        <w:t>.</w:t>
      </w:r>
      <w:r w:rsidRPr="0089670E">
        <w:rPr>
          <w:noProof/>
        </w:rPr>
        <w:t>, et al.</w:t>
      </w:r>
      <w:r>
        <w:rPr>
          <w:rFonts w:hint="eastAsia"/>
          <w:noProof/>
          <w:lang w:eastAsia="ko-KR"/>
        </w:rPr>
        <w:t>,</w:t>
      </w:r>
      <w:r w:rsidRPr="0089670E">
        <w:rPr>
          <w:noProof/>
        </w:rPr>
        <w:t xml:space="preserve"> 1998</w:t>
      </w:r>
      <w:r>
        <w:rPr>
          <w:rFonts w:hint="eastAsia"/>
          <w:noProof/>
          <w:lang w:eastAsia="ko-KR"/>
        </w:rPr>
        <w:t>.</w:t>
      </w:r>
      <w:r w:rsidRPr="0089670E">
        <w:rPr>
          <w:noProof/>
        </w:rPr>
        <w:t xml:space="preserve"> Uptake of ingested uranium after low ‘acute intake’. </w:t>
      </w:r>
      <w:r w:rsidRPr="00ED6790">
        <w:rPr>
          <w:noProof/>
        </w:rPr>
        <w:t>Health Phys</w:t>
      </w:r>
      <w:r>
        <w:rPr>
          <w:rFonts w:hint="eastAsia"/>
          <w:noProof/>
          <w:lang w:eastAsia="ko-KR"/>
        </w:rPr>
        <w:t>.</w:t>
      </w:r>
      <w:r w:rsidRPr="0089670E">
        <w:rPr>
          <w:noProof/>
        </w:rPr>
        <w:t xml:space="preserve"> 74(3)</w:t>
      </w:r>
      <w:r>
        <w:rPr>
          <w:rFonts w:hint="eastAsia"/>
          <w:noProof/>
          <w:lang w:eastAsia="ko-KR"/>
        </w:rPr>
        <w:t>.</w:t>
      </w:r>
      <w:r w:rsidRPr="0089670E">
        <w:rPr>
          <w:noProof/>
        </w:rPr>
        <w:t xml:space="preserve"> 337–345.</w:t>
      </w:r>
    </w:p>
    <w:p w14:paraId="56521902" w14:textId="77777777" w:rsidR="00232741" w:rsidRPr="0089670E" w:rsidRDefault="00232741" w:rsidP="00232741">
      <w:pPr>
        <w:pStyle w:val="aff1"/>
        <w:ind w:left="426" w:hanging="426"/>
        <w:rPr>
          <w:noProof/>
        </w:rPr>
      </w:pPr>
      <w:r w:rsidRPr="0061223E">
        <w:rPr>
          <w:noProof/>
          <w:lang w:val="en-US"/>
        </w:rPr>
        <w:t>Karpas</w:t>
      </w:r>
      <w:r w:rsidRPr="0061223E">
        <w:rPr>
          <w:rFonts w:hint="eastAsia"/>
          <w:noProof/>
          <w:lang w:val="en-US" w:eastAsia="ko-KR"/>
        </w:rPr>
        <w:t>,</w:t>
      </w:r>
      <w:r w:rsidRPr="0061223E">
        <w:rPr>
          <w:noProof/>
          <w:lang w:val="en-US"/>
        </w:rPr>
        <w:t xml:space="preserve"> Z</w:t>
      </w:r>
      <w:r w:rsidRPr="0061223E">
        <w:rPr>
          <w:rFonts w:hint="eastAsia"/>
          <w:noProof/>
          <w:lang w:val="en-US" w:eastAsia="ko-KR"/>
        </w:rPr>
        <w:t>.</w:t>
      </w:r>
      <w:r w:rsidRPr="0061223E">
        <w:rPr>
          <w:noProof/>
          <w:lang w:val="en-US"/>
        </w:rPr>
        <w:t>, Paz-Tal</w:t>
      </w:r>
      <w:r w:rsidRPr="0061223E">
        <w:rPr>
          <w:rFonts w:hint="eastAsia"/>
          <w:noProof/>
          <w:lang w:val="en-US" w:eastAsia="ko-KR"/>
        </w:rPr>
        <w:t>,</w:t>
      </w:r>
      <w:r w:rsidRPr="0061223E">
        <w:rPr>
          <w:noProof/>
          <w:lang w:val="en-US"/>
        </w:rPr>
        <w:t xml:space="preserve"> O</w:t>
      </w:r>
      <w:r w:rsidRPr="0061223E">
        <w:rPr>
          <w:rFonts w:hint="eastAsia"/>
          <w:noProof/>
          <w:lang w:val="en-US" w:eastAsia="ko-KR"/>
        </w:rPr>
        <w:t>.</w:t>
      </w:r>
      <w:r w:rsidRPr="0061223E">
        <w:rPr>
          <w:noProof/>
          <w:lang w:val="en-US"/>
        </w:rPr>
        <w:t>, Lorber</w:t>
      </w:r>
      <w:r w:rsidRPr="0061223E">
        <w:rPr>
          <w:rFonts w:hint="eastAsia"/>
          <w:noProof/>
          <w:lang w:val="en-US" w:eastAsia="ko-KR"/>
        </w:rPr>
        <w:t>,</w:t>
      </w:r>
      <w:r w:rsidRPr="0061223E">
        <w:rPr>
          <w:noProof/>
          <w:lang w:val="en-US"/>
        </w:rPr>
        <w:t xml:space="preserve"> A</w:t>
      </w:r>
      <w:r w:rsidRPr="0061223E">
        <w:rPr>
          <w:rFonts w:hint="eastAsia"/>
          <w:noProof/>
          <w:lang w:val="en-US" w:eastAsia="ko-KR"/>
        </w:rPr>
        <w:t>.</w:t>
      </w:r>
      <w:r w:rsidRPr="0061223E">
        <w:rPr>
          <w:noProof/>
          <w:lang w:val="en-US"/>
        </w:rPr>
        <w:t>, et al.</w:t>
      </w:r>
      <w:r w:rsidRPr="0061223E">
        <w:rPr>
          <w:rFonts w:hint="eastAsia"/>
          <w:noProof/>
          <w:lang w:val="en-US" w:eastAsia="ko-KR"/>
        </w:rPr>
        <w:t>,</w:t>
      </w:r>
      <w:r w:rsidRPr="0061223E">
        <w:rPr>
          <w:noProof/>
          <w:lang w:val="en-US"/>
        </w:rPr>
        <w:t xml:space="preserve"> 2005</w:t>
      </w:r>
      <w:r w:rsidRPr="0061223E">
        <w:rPr>
          <w:rFonts w:hint="eastAsia"/>
          <w:noProof/>
          <w:lang w:val="en-US" w:eastAsia="ko-KR"/>
        </w:rPr>
        <w:t>.</w:t>
      </w:r>
      <w:r w:rsidRPr="0061223E">
        <w:rPr>
          <w:noProof/>
          <w:lang w:val="en-US"/>
        </w:rPr>
        <w:t xml:space="preserve"> </w:t>
      </w:r>
      <w:r w:rsidRPr="0089670E">
        <w:rPr>
          <w:noProof/>
        </w:rPr>
        <w:t xml:space="preserve">Urine, hair, and nails as indicators for ingestion of uranium in drinking water. </w:t>
      </w:r>
      <w:r w:rsidRPr="00ED6790">
        <w:rPr>
          <w:noProof/>
        </w:rPr>
        <w:t>Health Phys</w:t>
      </w:r>
      <w:r>
        <w:rPr>
          <w:rFonts w:hint="eastAsia"/>
          <w:noProof/>
          <w:lang w:eastAsia="ko-KR"/>
        </w:rPr>
        <w:t>.</w:t>
      </w:r>
      <w:r w:rsidRPr="0089670E">
        <w:rPr>
          <w:noProof/>
        </w:rPr>
        <w:t xml:space="preserve"> 88(3)</w:t>
      </w:r>
      <w:r>
        <w:rPr>
          <w:rFonts w:hint="eastAsia"/>
          <w:noProof/>
          <w:lang w:eastAsia="ko-KR"/>
        </w:rPr>
        <w:t>.</w:t>
      </w:r>
      <w:r w:rsidRPr="0089670E">
        <w:rPr>
          <w:noProof/>
        </w:rPr>
        <w:t xml:space="preserve"> 229–42.</w:t>
      </w:r>
    </w:p>
    <w:p w14:paraId="269646A8" w14:textId="77777777" w:rsidR="00232741" w:rsidRPr="0089670E" w:rsidRDefault="00232741" w:rsidP="00232741">
      <w:pPr>
        <w:pStyle w:val="aff1"/>
        <w:ind w:left="426" w:hanging="426"/>
        <w:rPr>
          <w:noProof/>
        </w:rPr>
      </w:pPr>
      <w:r w:rsidRPr="0089670E">
        <w:rPr>
          <w:noProof/>
        </w:rPr>
        <w:t>Kathren</w:t>
      </w:r>
      <w:r>
        <w:rPr>
          <w:rFonts w:hint="eastAsia"/>
          <w:noProof/>
          <w:lang w:eastAsia="ko-KR"/>
        </w:rPr>
        <w:t>,</w:t>
      </w:r>
      <w:r w:rsidRPr="0089670E">
        <w:rPr>
          <w:noProof/>
        </w:rPr>
        <w:t xml:space="preserve"> R</w:t>
      </w:r>
      <w:r>
        <w:rPr>
          <w:rFonts w:hint="eastAsia"/>
          <w:noProof/>
          <w:lang w:eastAsia="ko-KR"/>
        </w:rPr>
        <w:t>.,</w:t>
      </w:r>
      <w:r w:rsidRPr="0089670E">
        <w:rPr>
          <w:noProof/>
        </w:rPr>
        <w:t xml:space="preserve"> McInroy</w:t>
      </w:r>
      <w:r>
        <w:rPr>
          <w:rFonts w:hint="eastAsia"/>
          <w:noProof/>
          <w:lang w:eastAsia="ko-KR"/>
        </w:rPr>
        <w:t>,</w:t>
      </w:r>
      <w:r w:rsidRPr="0089670E">
        <w:rPr>
          <w:noProof/>
        </w:rPr>
        <w:t xml:space="preserve"> J</w:t>
      </w:r>
      <w:r>
        <w:rPr>
          <w:rFonts w:hint="eastAsia"/>
          <w:noProof/>
          <w:lang w:eastAsia="ko-KR"/>
        </w:rPr>
        <w:t>.,</w:t>
      </w:r>
      <w:r w:rsidRPr="0089670E">
        <w:rPr>
          <w:noProof/>
        </w:rPr>
        <w:t xml:space="preserve"> 1992</w:t>
      </w:r>
      <w:r>
        <w:rPr>
          <w:rFonts w:hint="eastAsia"/>
          <w:noProof/>
          <w:lang w:eastAsia="ko-KR"/>
        </w:rPr>
        <w:t>.</w:t>
      </w:r>
      <w:r w:rsidRPr="0089670E">
        <w:rPr>
          <w:noProof/>
        </w:rPr>
        <w:t xml:space="preserve"> Implications of postmortem human tissue analysis on biokinetic models for actinides.</w:t>
      </w:r>
      <w:r w:rsidRPr="002F7639">
        <w:t xml:space="preserve"> </w:t>
      </w:r>
      <w:r w:rsidRPr="002F7639">
        <w:rPr>
          <w:noProof/>
        </w:rPr>
        <w:t>J. Radioanal. Nucl. Chem.</w:t>
      </w:r>
      <w:r w:rsidRPr="0089670E">
        <w:rPr>
          <w:noProof/>
        </w:rPr>
        <w:t xml:space="preserve"> 156(2). 413–424.</w:t>
      </w:r>
    </w:p>
    <w:p w14:paraId="6E216834" w14:textId="77777777" w:rsidR="00232741" w:rsidRPr="0089670E" w:rsidRDefault="00232741" w:rsidP="00232741">
      <w:pPr>
        <w:pStyle w:val="aff1"/>
        <w:ind w:left="426" w:hanging="426"/>
        <w:rPr>
          <w:noProof/>
        </w:rPr>
      </w:pPr>
      <w:r w:rsidRPr="0089670E">
        <w:rPr>
          <w:noProof/>
        </w:rPr>
        <w:t>Kathren</w:t>
      </w:r>
      <w:r>
        <w:rPr>
          <w:rFonts w:hint="eastAsia"/>
          <w:noProof/>
          <w:lang w:eastAsia="ko-KR"/>
        </w:rPr>
        <w:t>,</w:t>
      </w:r>
      <w:r w:rsidRPr="0089670E">
        <w:rPr>
          <w:noProof/>
        </w:rPr>
        <w:t xml:space="preserve"> R</w:t>
      </w:r>
      <w:r>
        <w:rPr>
          <w:rFonts w:hint="eastAsia"/>
          <w:noProof/>
          <w:lang w:eastAsia="ko-KR"/>
        </w:rPr>
        <w:t>.</w:t>
      </w:r>
      <w:r w:rsidRPr="0089670E">
        <w:rPr>
          <w:noProof/>
        </w:rPr>
        <w:t>L</w:t>
      </w:r>
      <w:r>
        <w:rPr>
          <w:rFonts w:hint="eastAsia"/>
          <w:noProof/>
          <w:lang w:eastAsia="ko-KR"/>
        </w:rPr>
        <w:t>.,</w:t>
      </w:r>
      <w:r w:rsidRPr="0089670E">
        <w:rPr>
          <w:noProof/>
        </w:rPr>
        <w:t xml:space="preserve"> McInroy</w:t>
      </w:r>
      <w:r>
        <w:rPr>
          <w:rFonts w:hint="eastAsia"/>
          <w:noProof/>
          <w:lang w:eastAsia="ko-KR"/>
        </w:rPr>
        <w:t>,</w:t>
      </w:r>
      <w:r w:rsidRPr="0089670E">
        <w:rPr>
          <w:noProof/>
        </w:rPr>
        <w:t xml:space="preserve"> J</w:t>
      </w:r>
      <w:r>
        <w:rPr>
          <w:rFonts w:hint="eastAsia"/>
          <w:noProof/>
          <w:lang w:eastAsia="ko-KR"/>
        </w:rPr>
        <w:t>.</w:t>
      </w:r>
      <w:r w:rsidRPr="0089670E">
        <w:rPr>
          <w:noProof/>
        </w:rPr>
        <w:t>F</w:t>
      </w:r>
      <w:r>
        <w:rPr>
          <w:rFonts w:hint="eastAsia"/>
          <w:noProof/>
          <w:lang w:eastAsia="ko-KR"/>
        </w:rPr>
        <w:t>.,</w:t>
      </w:r>
      <w:r w:rsidRPr="0089670E">
        <w:rPr>
          <w:noProof/>
        </w:rPr>
        <w:t xml:space="preserve"> 1991</w:t>
      </w:r>
      <w:r>
        <w:rPr>
          <w:rFonts w:hint="eastAsia"/>
          <w:noProof/>
          <w:lang w:eastAsia="ko-KR"/>
        </w:rPr>
        <w:t>.</w:t>
      </w:r>
      <w:r w:rsidRPr="0089670E">
        <w:rPr>
          <w:noProof/>
        </w:rPr>
        <w:t xml:space="preserve"> Comparison of systemic plutonium deposition estimates from urinalysis and autopsy data in five whole-body donors. </w:t>
      </w:r>
      <w:r w:rsidRPr="00ED6790">
        <w:rPr>
          <w:noProof/>
        </w:rPr>
        <w:t>Health Phys</w:t>
      </w:r>
      <w:r>
        <w:rPr>
          <w:rFonts w:hint="eastAsia"/>
          <w:noProof/>
          <w:lang w:eastAsia="ko-KR"/>
        </w:rPr>
        <w:t>.</w:t>
      </w:r>
      <w:r w:rsidRPr="0089670E">
        <w:rPr>
          <w:noProof/>
        </w:rPr>
        <w:t xml:space="preserve"> 60(4)</w:t>
      </w:r>
      <w:r>
        <w:rPr>
          <w:rFonts w:hint="eastAsia"/>
          <w:noProof/>
          <w:lang w:eastAsia="ko-KR"/>
        </w:rPr>
        <w:t>.</w:t>
      </w:r>
      <w:r w:rsidRPr="0089670E">
        <w:rPr>
          <w:noProof/>
        </w:rPr>
        <w:t xml:space="preserve"> 481–488.</w:t>
      </w:r>
    </w:p>
    <w:p w14:paraId="12A7968B" w14:textId="77777777" w:rsidR="00232741" w:rsidRPr="0089670E" w:rsidRDefault="00232741" w:rsidP="00232741">
      <w:pPr>
        <w:pStyle w:val="aff1"/>
        <w:ind w:left="426" w:hanging="426"/>
        <w:rPr>
          <w:noProof/>
        </w:rPr>
      </w:pPr>
      <w:r w:rsidRPr="0089670E">
        <w:rPr>
          <w:noProof/>
        </w:rPr>
        <w:t>Kathren</w:t>
      </w:r>
      <w:r>
        <w:rPr>
          <w:rFonts w:hint="eastAsia"/>
          <w:noProof/>
          <w:lang w:eastAsia="ko-KR"/>
        </w:rPr>
        <w:t>,</w:t>
      </w:r>
      <w:r w:rsidRPr="0089670E">
        <w:rPr>
          <w:noProof/>
        </w:rPr>
        <w:t xml:space="preserve"> R</w:t>
      </w:r>
      <w:r>
        <w:rPr>
          <w:rFonts w:hint="eastAsia"/>
          <w:noProof/>
          <w:lang w:eastAsia="ko-KR"/>
        </w:rPr>
        <w:t>.</w:t>
      </w:r>
      <w:r w:rsidRPr="0089670E">
        <w:rPr>
          <w:noProof/>
        </w:rPr>
        <w:t>L</w:t>
      </w:r>
      <w:r>
        <w:rPr>
          <w:rFonts w:hint="eastAsia"/>
          <w:noProof/>
          <w:lang w:eastAsia="ko-KR"/>
        </w:rPr>
        <w:t>.</w:t>
      </w:r>
      <w:r w:rsidRPr="0089670E">
        <w:rPr>
          <w:noProof/>
        </w:rPr>
        <w:t>, McInroy</w:t>
      </w:r>
      <w:r>
        <w:rPr>
          <w:rFonts w:hint="eastAsia"/>
          <w:noProof/>
          <w:lang w:eastAsia="ko-KR"/>
        </w:rPr>
        <w:t>,</w:t>
      </w:r>
      <w:r w:rsidRPr="0089670E">
        <w:rPr>
          <w:noProof/>
        </w:rPr>
        <w:t xml:space="preserve"> J</w:t>
      </w:r>
      <w:r>
        <w:rPr>
          <w:rFonts w:hint="eastAsia"/>
          <w:noProof/>
          <w:lang w:eastAsia="ko-KR"/>
        </w:rPr>
        <w:t>.</w:t>
      </w:r>
      <w:r w:rsidRPr="0089670E">
        <w:rPr>
          <w:noProof/>
        </w:rPr>
        <w:t>F</w:t>
      </w:r>
      <w:r>
        <w:rPr>
          <w:rFonts w:hint="eastAsia"/>
          <w:noProof/>
          <w:lang w:eastAsia="ko-KR"/>
        </w:rPr>
        <w:t>.</w:t>
      </w:r>
      <w:r w:rsidRPr="0089670E">
        <w:rPr>
          <w:noProof/>
        </w:rPr>
        <w:t>, Reichert</w:t>
      </w:r>
      <w:r>
        <w:rPr>
          <w:rFonts w:hint="eastAsia"/>
          <w:noProof/>
          <w:lang w:eastAsia="ko-KR"/>
        </w:rPr>
        <w:t>,</w:t>
      </w:r>
      <w:r w:rsidRPr="0089670E">
        <w:rPr>
          <w:noProof/>
        </w:rPr>
        <w:t xml:space="preserve"> M</w:t>
      </w:r>
      <w:r>
        <w:rPr>
          <w:rFonts w:hint="eastAsia"/>
          <w:noProof/>
          <w:lang w:eastAsia="ko-KR"/>
        </w:rPr>
        <w:t>.</w:t>
      </w:r>
      <w:r w:rsidRPr="0089670E">
        <w:rPr>
          <w:noProof/>
        </w:rPr>
        <w:t>M</w:t>
      </w:r>
      <w:r>
        <w:rPr>
          <w:rFonts w:hint="eastAsia"/>
          <w:noProof/>
          <w:lang w:eastAsia="ko-KR"/>
        </w:rPr>
        <w:t>.</w:t>
      </w:r>
      <w:r w:rsidRPr="0089670E">
        <w:rPr>
          <w:noProof/>
        </w:rPr>
        <w:t>, et al.</w:t>
      </w:r>
      <w:r>
        <w:rPr>
          <w:rFonts w:hint="eastAsia"/>
          <w:noProof/>
          <w:lang w:eastAsia="ko-KR"/>
        </w:rPr>
        <w:t>,</w:t>
      </w:r>
      <w:r w:rsidRPr="0089670E">
        <w:rPr>
          <w:noProof/>
        </w:rPr>
        <w:t xml:space="preserve"> 1988</w:t>
      </w:r>
      <w:r>
        <w:rPr>
          <w:rFonts w:hint="eastAsia"/>
          <w:noProof/>
          <w:lang w:eastAsia="ko-KR"/>
        </w:rPr>
        <w:t>.</w:t>
      </w:r>
      <w:r w:rsidRPr="0089670E">
        <w:rPr>
          <w:noProof/>
        </w:rPr>
        <w:t xml:space="preserve"> Partitioning of </w:t>
      </w:r>
      <w:r w:rsidRPr="002F7639">
        <w:rPr>
          <w:noProof/>
          <w:vertAlign w:val="superscript"/>
        </w:rPr>
        <w:t>238</w:t>
      </w:r>
      <w:r w:rsidRPr="0089670E">
        <w:rPr>
          <w:noProof/>
        </w:rPr>
        <w:t xml:space="preserve">Pu, </w:t>
      </w:r>
      <w:r w:rsidRPr="002F7639">
        <w:rPr>
          <w:noProof/>
          <w:vertAlign w:val="superscript"/>
        </w:rPr>
        <w:t>239</w:t>
      </w:r>
      <w:r w:rsidRPr="0089670E">
        <w:rPr>
          <w:noProof/>
        </w:rPr>
        <w:t xml:space="preserve">Pu and </w:t>
      </w:r>
      <w:r w:rsidRPr="002F7639">
        <w:rPr>
          <w:noProof/>
          <w:vertAlign w:val="superscript"/>
        </w:rPr>
        <w:t>241</w:t>
      </w:r>
      <w:r w:rsidRPr="0089670E">
        <w:rPr>
          <w:noProof/>
        </w:rPr>
        <w:t xml:space="preserve">Am in skeleton and liver of U.S. Transuranium Registry autopsy cases. </w:t>
      </w:r>
      <w:r w:rsidRPr="00ED6790">
        <w:rPr>
          <w:noProof/>
        </w:rPr>
        <w:t>Health Phys</w:t>
      </w:r>
      <w:r>
        <w:rPr>
          <w:rFonts w:hint="eastAsia"/>
          <w:noProof/>
          <w:lang w:eastAsia="ko-KR"/>
        </w:rPr>
        <w:t>.</w:t>
      </w:r>
      <w:r w:rsidRPr="0089670E">
        <w:rPr>
          <w:noProof/>
        </w:rPr>
        <w:t xml:space="preserve"> 54(2)</w:t>
      </w:r>
      <w:r>
        <w:rPr>
          <w:rFonts w:hint="eastAsia"/>
          <w:noProof/>
          <w:lang w:eastAsia="ko-KR"/>
        </w:rPr>
        <w:t>.</w:t>
      </w:r>
      <w:r w:rsidRPr="0089670E">
        <w:rPr>
          <w:noProof/>
        </w:rPr>
        <w:t xml:space="preserve"> 181–188.</w:t>
      </w:r>
    </w:p>
    <w:p w14:paraId="42470B84" w14:textId="77777777" w:rsidR="00232741" w:rsidRPr="0089670E" w:rsidRDefault="00232741" w:rsidP="00232741">
      <w:pPr>
        <w:pStyle w:val="aff1"/>
        <w:ind w:left="426" w:hanging="426"/>
        <w:rPr>
          <w:noProof/>
        </w:rPr>
      </w:pPr>
      <w:r w:rsidRPr="0089670E">
        <w:rPr>
          <w:noProof/>
        </w:rPr>
        <w:t>Kathren</w:t>
      </w:r>
      <w:r>
        <w:rPr>
          <w:rFonts w:hint="eastAsia"/>
          <w:noProof/>
          <w:lang w:eastAsia="ko-KR"/>
        </w:rPr>
        <w:t>,</w:t>
      </w:r>
      <w:r w:rsidRPr="0089670E">
        <w:rPr>
          <w:noProof/>
        </w:rPr>
        <w:t xml:space="preserve"> R</w:t>
      </w:r>
      <w:r>
        <w:rPr>
          <w:rFonts w:hint="eastAsia"/>
          <w:noProof/>
          <w:lang w:eastAsia="ko-KR"/>
        </w:rPr>
        <w:t>.</w:t>
      </w:r>
      <w:r w:rsidRPr="0089670E">
        <w:rPr>
          <w:noProof/>
        </w:rPr>
        <w:t>L</w:t>
      </w:r>
      <w:r>
        <w:rPr>
          <w:rFonts w:hint="eastAsia"/>
          <w:noProof/>
          <w:lang w:eastAsia="ko-KR"/>
        </w:rPr>
        <w:t>.</w:t>
      </w:r>
      <w:r w:rsidRPr="0089670E">
        <w:rPr>
          <w:noProof/>
        </w:rPr>
        <w:t>, McLnroy</w:t>
      </w:r>
      <w:r>
        <w:rPr>
          <w:rFonts w:hint="eastAsia"/>
          <w:noProof/>
          <w:lang w:eastAsia="ko-KR"/>
        </w:rPr>
        <w:t>,</w:t>
      </w:r>
      <w:r w:rsidRPr="0089670E">
        <w:rPr>
          <w:noProof/>
        </w:rPr>
        <w:t xml:space="preserve"> J</w:t>
      </w:r>
      <w:r>
        <w:rPr>
          <w:rFonts w:hint="eastAsia"/>
          <w:noProof/>
          <w:lang w:eastAsia="ko-KR"/>
        </w:rPr>
        <w:t>.</w:t>
      </w:r>
      <w:r w:rsidRPr="0089670E">
        <w:rPr>
          <w:noProof/>
        </w:rPr>
        <w:t>F</w:t>
      </w:r>
      <w:r>
        <w:rPr>
          <w:rFonts w:hint="eastAsia"/>
          <w:noProof/>
          <w:lang w:eastAsia="ko-KR"/>
        </w:rPr>
        <w:t>.</w:t>
      </w:r>
      <w:r w:rsidRPr="0089670E">
        <w:rPr>
          <w:noProof/>
        </w:rPr>
        <w:t>, Moore</w:t>
      </w:r>
      <w:r>
        <w:rPr>
          <w:rFonts w:hint="eastAsia"/>
          <w:noProof/>
          <w:lang w:eastAsia="ko-KR"/>
        </w:rPr>
        <w:t xml:space="preserve">, </w:t>
      </w:r>
      <w:r w:rsidRPr="0089670E">
        <w:rPr>
          <w:noProof/>
        </w:rPr>
        <w:t>R</w:t>
      </w:r>
      <w:r>
        <w:rPr>
          <w:rFonts w:hint="eastAsia"/>
          <w:noProof/>
          <w:lang w:eastAsia="ko-KR"/>
        </w:rPr>
        <w:t>.</w:t>
      </w:r>
      <w:r w:rsidRPr="0089670E">
        <w:rPr>
          <w:noProof/>
        </w:rPr>
        <w:t>H</w:t>
      </w:r>
      <w:r>
        <w:rPr>
          <w:rFonts w:hint="eastAsia"/>
          <w:noProof/>
          <w:lang w:eastAsia="ko-KR"/>
        </w:rPr>
        <w:t>.</w:t>
      </w:r>
      <w:r w:rsidRPr="0089670E">
        <w:rPr>
          <w:noProof/>
        </w:rPr>
        <w:t>, et al.</w:t>
      </w:r>
      <w:r>
        <w:rPr>
          <w:rFonts w:hint="eastAsia"/>
          <w:noProof/>
          <w:lang w:eastAsia="ko-KR"/>
        </w:rPr>
        <w:t>,</w:t>
      </w:r>
      <w:r w:rsidRPr="0089670E">
        <w:rPr>
          <w:noProof/>
        </w:rPr>
        <w:t xml:space="preserve"> 1989</w:t>
      </w:r>
      <w:r>
        <w:rPr>
          <w:rFonts w:hint="eastAsia"/>
          <w:noProof/>
          <w:lang w:eastAsia="ko-KR"/>
        </w:rPr>
        <w:t>.</w:t>
      </w:r>
      <w:r w:rsidRPr="0089670E">
        <w:rPr>
          <w:noProof/>
        </w:rPr>
        <w:t xml:space="preserve"> Uranium in the tissues of an occupationally exposed individual. </w:t>
      </w:r>
      <w:r w:rsidRPr="00ED6790">
        <w:rPr>
          <w:noProof/>
        </w:rPr>
        <w:t>Health Phys</w:t>
      </w:r>
      <w:r>
        <w:rPr>
          <w:rFonts w:hint="eastAsia"/>
          <w:noProof/>
          <w:lang w:eastAsia="ko-KR"/>
        </w:rPr>
        <w:t>.</w:t>
      </w:r>
      <w:r w:rsidRPr="0089670E">
        <w:rPr>
          <w:noProof/>
        </w:rPr>
        <w:t xml:space="preserve"> 57(1)</w:t>
      </w:r>
      <w:r>
        <w:rPr>
          <w:rFonts w:hint="eastAsia"/>
          <w:noProof/>
          <w:lang w:eastAsia="ko-KR"/>
        </w:rPr>
        <w:t>.</w:t>
      </w:r>
      <w:r w:rsidRPr="0089670E">
        <w:rPr>
          <w:noProof/>
        </w:rPr>
        <w:t xml:space="preserve"> 17–21.</w:t>
      </w:r>
    </w:p>
    <w:p w14:paraId="3A91A98F" w14:textId="77777777" w:rsidR="00232741" w:rsidRPr="0089670E" w:rsidRDefault="00232741" w:rsidP="00232741">
      <w:pPr>
        <w:pStyle w:val="aff1"/>
        <w:ind w:left="426" w:hanging="426"/>
        <w:rPr>
          <w:noProof/>
        </w:rPr>
      </w:pPr>
      <w:r w:rsidRPr="0089670E">
        <w:rPr>
          <w:noProof/>
        </w:rPr>
        <w:t>Kathren</w:t>
      </w:r>
      <w:r>
        <w:rPr>
          <w:rFonts w:hint="eastAsia"/>
          <w:noProof/>
          <w:lang w:eastAsia="ko-KR"/>
        </w:rPr>
        <w:t>,</w:t>
      </w:r>
      <w:r w:rsidRPr="0089670E">
        <w:rPr>
          <w:noProof/>
        </w:rPr>
        <w:t xml:space="preserve"> R</w:t>
      </w:r>
      <w:r>
        <w:rPr>
          <w:rFonts w:hint="eastAsia"/>
          <w:noProof/>
          <w:lang w:eastAsia="ko-KR"/>
        </w:rPr>
        <w:t>.</w:t>
      </w:r>
      <w:r w:rsidRPr="0089670E">
        <w:rPr>
          <w:noProof/>
        </w:rPr>
        <w:t>L</w:t>
      </w:r>
      <w:r>
        <w:rPr>
          <w:rFonts w:hint="eastAsia"/>
          <w:noProof/>
          <w:lang w:eastAsia="ko-KR"/>
        </w:rPr>
        <w:t>.</w:t>
      </w:r>
      <w:r w:rsidRPr="0089670E">
        <w:rPr>
          <w:noProof/>
        </w:rPr>
        <w:t>, Pham</w:t>
      </w:r>
      <w:r>
        <w:rPr>
          <w:rFonts w:hint="eastAsia"/>
          <w:noProof/>
          <w:lang w:eastAsia="ko-KR"/>
        </w:rPr>
        <w:t>,</w:t>
      </w:r>
      <w:r w:rsidRPr="0089670E">
        <w:rPr>
          <w:noProof/>
        </w:rPr>
        <w:t xml:space="preserve"> M</w:t>
      </w:r>
      <w:r>
        <w:rPr>
          <w:rFonts w:hint="eastAsia"/>
          <w:noProof/>
          <w:lang w:eastAsia="ko-KR"/>
        </w:rPr>
        <w:t>.</w:t>
      </w:r>
      <w:r w:rsidRPr="0089670E">
        <w:rPr>
          <w:noProof/>
        </w:rPr>
        <w:t>V</w:t>
      </w:r>
      <w:r>
        <w:rPr>
          <w:rFonts w:hint="eastAsia"/>
          <w:noProof/>
          <w:lang w:eastAsia="ko-KR"/>
        </w:rPr>
        <w:t>.,</w:t>
      </w:r>
      <w:r w:rsidRPr="0089670E">
        <w:rPr>
          <w:noProof/>
        </w:rPr>
        <w:t xml:space="preserve"> Ronald</w:t>
      </w:r>
      <w:r>
        <w:rPr>
          <w:rFonts w:hint="eastAsia"/>
          <w:noProof/>
          <w:lang w:eastAsia="ko-KR"/>
        </w:rPr>
        <w:t>,</w:t>
      </w:r>
      <w:r w:rsidRPr="0089670E">
        <w:rPr>
          <w:noProof/>
        </w:rPr>
        <w:t xml:space="preserve"> E</w:t>
      </w:r>
      <w:r>
        <w:rPr>
          <w:rFonts w:hint="eastAsia"/>
          <w:noProof/>
          <w:lang w:eastAsia="ko-KR"/>
        </w:rPr>
        <w:t>.</w:t>
      </w:r>
      <w:r w:rsidRPr="0089670E">
        <w:rPr>
          <w:noProof/>
        </w:rPr>
        <w:t>P</w:t>
      </w:r>
      <w:r>
        <w:rPr>
          <w:rFonts w:hint="eastAsia"/>
          <w:noProof/>
          <w:lang w:eastAsia="ko-KR"/>
        </w:rPr>
        <w:t>.,</w:t>
      </w:r>
      <w:r w:rsidRPr="0089670E">
        <w:rPr>
          <w:noProof/>
        </w:rPr>
        <w:t xml:space="preserve"> 1997</w:t>
      </w:r>
      <w:r>
        <w:rPr>
          <w:rFonts w:hint="eastAsia"/>
          <w:noProof/>
          <w:lang w:eastAsia="ko-KR"/>
        </w:rPr>
        <w:t>.</w:t>
      </w:r>
      <w:r w:rsidRPr="0089670E">
        <w:rPr>
          <w:noProof/>
        </w:rPr>
        <w:t xml:space="preserve"> Actinide concentrations in tissue donations from routine autopsy donations to the USTUR. In: </w:t>
      </w:r>
      <w:r w:rsidRPr="00ED6790">
        <w:rPr>
          <w:noProof/>
        </w:rPr>
        <w:t>USTUR Annual Report for October 1, 1996 through September 30, 1997</w:t>
      </w:r>
      <w:r w:rsidRPr="0089670E">
        <w:rPr>
          <w:noProof/>
        </w:rPr>
        <w:t>. Pullman, WA: United States Tranuranium and Uranium Registries, pp. 99–249.</w:t>
      </w:r>
    </w:p>
    <w:p w14:paraId="0122AE4A" w14:textId="77777777" w:rsidR="00232741" w:rsidRPr="0089670E" w:rsidRDefault="00232741" w:rsidP="00232741">
      <w:pPr>
        <w:pStyle w:val="aff1"/>
        <w:ind w:left="426" w:hanging="426"/>
        <w:rPr>
          <w:noProof/>
        </w:rPr>
      </w:pPr>
      <w:r w:rsidRPr="0089670E">
        <w:rPr>
          <w:noProof/>
        </w:rPr>
        <w:t>Khokhryakov</w:t>
      </w:r>
      <w:r>
        <w:rPr>
          <w:rFonts w:hint="eastAsia"/>
          <w:noProof/>
          <w:lang w:eastAsia="ko-KR"/>
        </w:rPr>
        <w:t>,</w:t>
      </w:r>
      <w:r w:rsidRPr="0089670E">
        <w:rPr>
          <w:noProof/>
        </w:rPr>
        <w:t xml:space="preserve"> V</w:t>
      </w:r>
      <w:r>
        <w:rPr>
          <w:rFonts w:hint="eastAsia"/>
          <w:noProof/>
          <w:lang w:eastAsia="ko-KR"/>
        </w:rPr>
        <w:t>.</w:t>
      </w:r>
      <w:r w:rsidRPr="0089670E">
        <w:rPr>
          <w:noProof/>
        </w:rPr>
        <w:t>F</w:t>
      </w:r>
      <w:r>
        <w:rPr>
          <w:rFonts w:hint="eastAsia"/>
          <w:noProof/>
          <w:lang w:eastAsia="ko-KR"/>
        </w:rPr>
        <w:t>.</w:t>
      </w:r>
      <w:r w:rsidRPr="0089670E">
        <w:rPr>
          <w:noProof/>
        </w:rPr>
        <w:t>, Menshikh</w:t>
      </w:r>
      <w:r>
        <w:rPr>
          <w:rFonts w:hint="eastAsia"/>
          <w:noProof/>
          <w:lang w:eastAsia="ko-KR"/>
        </w:rPr>
        <w:t>,</w:t>
      </w:r>
      <w:r w:rsidRPr="0089670E">
        <w:rPr>
          <w:noProof/>
        </w:rPr>
        <w:t xml:space="preserve"> Z</w:t>
      </w:r>
      <w:r>
        <w:rPr>
          <w:rFonts w:hint="eastAsia"/>
          <w:noProof/>
          <w:lang w:eastAsia="ko-KR"/>
        </w:rPr>
        <w:t>.</w:t>
      </w:r>
      <w:r w:rsidRPr="0089670E">
        <w:rPr>
          <w:noProof/>
        </w:rPr>
        <w:t>S</w:t>
      </w:r>
      <w:r>
        <w:rPr>
          <w:rFonts w:hint="eastAsia"/>
          <w:noProof/>
          <w:lang w:eastAsia="ko-KR"/>
        </w:rPr>
        <w:t>.</w:t>
      </w:r>
      <w:r w:rsidRPr="0089670E">
        <w:rPr>
          <w:noProof/>
        </w:rPr>
        <w:t>, Suslova</w:t>
      </w:r>
      <w:r>
        <w:rPr>
          <w:rFonts w:hint="eastAsia"/>
          <w:noProof/>
          <w:lang w:eastAsia="ko-KR"/>
        </w:rPr>
        <w:t>,</w:t>
      </w:r>
      <w:r w:rsidRPr="0089670E">
        <w:rPr>
          <w:noProof/>
        </w:rPr>
        <w:t xml:space="preserve"> K</w:t>
      </w:r>
      <w:r>
        <w:rPr>
          <w:rFonts w:hint="eastAsia"/>
          <w:noProof/>
          <w:lang w:eastAsia="ko-KR"/>
        </w:rPr>
        <w:t>.</w:t>
      </w:r>
      <w:r w:rsidRPr="0089670E">
        <w:rPr>
          <w:noProof/>
        </w:rPr>
        <w:t>G</w:t>
      </w:r>
      <w:r>
        <w:rPr>
          <w:rFonts w:hint="eastAsia"/>
          <w:noProof/>
          <w:lang w:eastAsia="ko-KR"/>
        </w:rPr>
        <w:t>.</w:t>
      </w:r>
      <w:r w:rsidRPr="0089670E">
        <w:rPr>
          <w:noProof/>
        </w:rPr>
        <w:t>, et al.</w:t>
      </w:r>
      <w:r>
        <w:rPr>
          <w:rFonts w:hint="eastAsia"/>
          <w:noProof/>
          <w:lang w:eastAsia="ko-KR"/>
        </w:rPr>
        <w:t>,</w:t>
      </w:r>
      <w:r w:rsidRPr="0089670E">
        <w:rPr>
          <w:noProof/>
        </w:rPr>
        <w:t xml:space="preserve"> 1994</w:t>
      </w:r>
      <w:r>
        <w:rPr>
          <w:rFonts w:hint="eastAsia"/>
          <w:noProof/>
          <w:lang w:eastAsia="ko-KR"/>
        </w:rPr>
        <w:t>.</w:t>
      </w:r>
      <w:r w:rsidRPr="0089670E">
        <w:rPr>
          <w:noProof/>
        </w:rPr>
        <w:t xml:space="preserve"> Plutonium excretion model for the healthy man. </w:t>
      </w:r>
      <w:r w:rsidRPr="002F7639">
        <w:rPr>
          <w:noProof/>
        </w:rPr>
        <w:t>Radiat. Prot. Dosimetry</w:t>
      </w:r>
      <w:r w:rsidRPr="0089670E">
        <w:rPr>
          <w:noProof/>
        </w:rPr>
        <w:t xml:space="preserve"> 53(1–4). 235–239.</w:t>
      </w:r>
    </w:p>
    <w:p w14:paraId="2A851078" w14:textId="77777777" w:rsidR="00232741" w:rsidRPr="0089670E" w:rsidRDefault="00232741" w:rsidP="00232741">
      <w:pPr>
        <w:pStyle w:val="aff1"/>
        <w:ind w:left="426" w:hanging="426"/>
        <w:rPr>
          <w:noProof/>
        </w:rPr>
      </w:pPr>
      <w:r w:rsidRPr="0089670E">
        <w:rPr>
          <w:noProof/>
        </w:rPr>
        <w:t>Khokhryakov</w:t>
      </w:r>
      <w:r>
        <w:rPr>
          <w:rFonts w:hint="eastAsia"/>
          <w:noProof/>
          <w:lang w:eastAsia="ko-KR"/>
        </w:rPr>
        <w:t>,</w:t>
      </w:r>
      <w:r w:rsidRPr="0089670E">
        <w:rPr>
          <w:noProof/>
        </w:rPr>
        <w:t xml:space="preserve"> V</w:t>
      </w:r>
      <w:r>
        <w:rPr>
          <w:rFonts w:hint="eastAsia"/>
          <w:noProof/>
          <w:lang w:eastAsia="ko-KR"/>
        </w:rPr>
        <w:t>.</w:t>
      </w:r>
      <w:r w:rsidRPr="0089670E">
        <w:rPr>
          <w:noProof/>
        </w:rPr>
        <w:t>F</w:t>
      </w:r>
      <w:r>
        <w:rPr>
          <w:rFonts w:hint="eastAsia"/>
          <w:noProof/>
          <w:lang w:eastAsia="ko-KR"/>
        </w:rPr>
        <w:t>.</w:t>
      </w:r>
      <w:r w:rsidRPr="0089670E">
        <w:rPr>
          <w:noProof/>
        </w:rPr>
        <w:t>, Suslova</w:t>
      </w:r>
      <w:r>
        <w:rPr>
          <w:rFonts w:hint="eastAsia"/>
          <w:noProof/>
          <w:lang w:eastAsia="ko-KR"/>
        </w:rPr>
        <w:t>,</w:t>
      </w:r>
      <w:r w:rsidRPr="0089670E">
        <w:rPr>
          <w:noProof/>
        </w:rPr>
        <w:t xml:space="preserve"> K</w:t>
      </w:r>
      <w:r>
        <w:rPr>
          <w:rFonts w:hint="eastAsia"/>
          <w:noProof/>
          <w:lang w:eastAsia="ko-KR"/>
        </w:rPr>
        <w:t>.</w:t>
      </w:r>
      <w:r w:rsidRPr="0089670E">
        <w:rPr>
          <w:noProof/>
        </w:rPr>
        <w:t>G</w:t>
      </w:r>
      <w:r>
        <w:rPr>
          <w:rFonts w:hint="eastAsia"/>
          <w:noProof/>
          <w:lang w:eastAsia="ko-KR"/>
        </w:rPr>
        <w:t>.</w:t>
      </w:r>
      <w:r w:rsidRPr="0089670E">
        <w:rPr>
          <w:noProof/>
        </w:rPr>
        <w:t>, Filipy</w:t>
      </w:r>
      <w:r>
        <w:rPr>
          <w:rFonts w:hint="eastAsia"/>
          <w:noProof/>
          <w:lang w:eastAsia="ko-KR"/>
        </w:rPr>
        <w:t>,</w:t>
      </w:r>
      <w:r w:rsidRPr="0089670E">
        <w:rPr>
          <w:noProof/>
        </w:rPr>
        <w:t xml:space="preserve"> R</w:t>
      </w:r>
      <w:r>
        <w:rPr>
          <w:rFonts w:hint="eastAsia"/>
          <w:noProof/>
          <w:lang w:eastAsia="ko-KR"/>
        </w:rPr>
        <w:t>.</w:t>
      </w:r>
      <w:r w:rsidRPr="0089670E">
        <w:rPr>
          <w:noProof/>
        </w:rPr>
        <w:t>E</w:t>
      </w:r>
      <w:r>
        <w:rPr>
          <w:rFonts w:hint="eastAsia"/>
          <w:noProof/>
          <w:lang w:eastAsia="ko-KR"/>
        </w:rPr>
        <w:t>.</w:t>
      </w:r>
      <w:r w:rsidRPr="0089670E">
        <w:rPr>
          <w:noProof/>
        </w:rPr>
        <w:t>, et al.</w:t>
      </w:r>
      <w:r>
        <w:rPr>
          <w:rFonts w:hint="eastAsia"/>
          <w:noProof/>
          <w:lang w:eastAsia="ko-KR"/>
        </w:rPr>
        <w:t>,</w:t>
      </w:r>
      <w:r w:rsidRPr="0089670E">
        <w:rPr>
          <w:noProof/>
        </w:rPr>
        <w:t xml:space="preserve"> 2000</w:t>
      </w:r>
      <w:r>
        <w:rPr>
          <w:rFonts w:hint="eastAsia"/>
          <w:noProof/>
          <w:lang w:eastAsia="ko-KR"/>
        </w:rPr>
        <w:t>.</w:t>
      </w:r>
      <w:r w:rsidRPr="0089670E">
        <w:rPr>
          <w:noProof/>
        </w:rPr>
        <w:t xml:space="preserve"> Metabolism and dosimetry of actinide elements in occupationally-exposed personnel of Russia and the United States: a summary progress report. </w:t>
      </w:r>
      <w:r w:rsidRPr="00ED6790">
        <w:rPr>
          <w:noProof/>
        </w:rPr>
        <w:t>Health Phys</w:t>
      </w:r>
      <w:r>
        <w:rPr>
          <w:rFonts w:hint="eastAsia"/>
          <w:noProof/>
          <w:lang w:eastAsia="ko-KR"/>
        </w:rPr>
        <w:t>.</w:t>
      </w:r>
      <w:r w:rsidRPr="0089670E">
        <w:rPr>
          <w:noProof/>
        </w:rPr>
        <w:t xml:space="preserve"> 79(1)</w:t>
      </w:r>
      <w:r>
        <w:rPr>
          <w:rFonts w:hint="eastAsia"/>
          <w:noProof/>
          <w:lang w:eastAsia="ko-KR"/>
        </w:rPr>
        <w:t>.</w:t>
      </w:r>
      <w:r w:rsidRPr="0089670E">
        <w:rPr>
          <w:noProof/>
        </w:rPr>
        <w:t xml:space="preserve"> 63–71.</w:t>
      </w:r>
    </w:p>
    <w:p w14:paraId="4DD59F4A" w14:textId="77777777" w:rsidR="00232741" w:rsidRPr="0089670E" w:rsidRDefault="00232741" w:rsidP="00232741">
      <w:pPr>
        <w:pStyle w:val="aff1"/>
        <w:ind w:left="426" w:hanging="426"/>
        <w:rPr>
          <w:noProof/>
        </w:rPr>
      </w:pPr>
      <w:r w:rsidRPr="0089670E">
        <w:rPr>
          <w:noProof/>
        </w:rPr>
        <w:t>Kisieleski</w:t>
      </w:r>
      <w:r>
        <w:rPr>
          <w:rFonts w:hint="eastAsia"/>
          <w:noProof/>
          <w:lang w:eastAsia="ko-KR"/>
        </w:rPr>
        <w:t>,</w:t>
      </w:r>
      <w:r w:rsidRPr="0089670E">
        <w:rPr>
          <w:noProof/>
        </w:rPr>
        <w:t xml:space="preserve"> W</w:t>
      </w:r>
      <w:r>
        <w:rPr>
          <w:rFonts w:hint="eastAsia"/>
          <w:noProof/>
          <w:lang w:eastAsia="ko-KR"/>
        </w:rPr>
        <w:t>.</w:t>
      </w:r>
      <w:r w:rsidRPr="0089670E">
        <w:rPr>
          <w:noProof/>
        </w:rPr>
        <w:t>E</w:t>
      </w:r>
      <w:r>
        <w:rPr>
          <w:rFonts w:hint="eastAsia"/>
          <w:noProof/>
          <w:lang w:eastAsia="ko-KR"/>
        </w:rPr>
        <w:t>.</w:t>
      </w:r>
      <w:r w:rsidRPr="0089670E">
        <w:rPr>
          <w:noProof/>
        </w:rPr>
        <w:t>, Faraghan</w:t>
      </w:r>
      <w:r>
        <w:rPr>
          <w:rFonts w:hint="eastAsia"/>
          <w:noProof/>
          <w:lang w:eastAsia="ko-KR"/>
        </w:rPr>
        <w:t>,</w:t>
      </w:r>
      <w:r w:rsidRPr="0089670E">
        <w:rPr>
          <w:noProof/>
        </w:rPr>
        <w:t xml:space="preserve"> W</w:t>
      </w:r>
      <w:r>
        <w:rPr>
          <w:rFonts w:hint="eastAsia"/>
          <w:noProof/>
          <w:lang w:eastAsia="ko-KR"/>
        </w:rPr>
        <w:t>.</w:t>
      </w:r>
      <w:r w:rsidRPr="0089670E">
        <w:rPr>
          <w:noProof/>
        </w:rPr>
        <w:t>G</w:t>
      </w:r>
      <w:r>
        <w:rPr>
          <w:rFonts w:hint="eastAsia"/>
          <w:noProof/>
          <w:lang w:eastAsia="ko-KR"/>
        </w:rPr>
        <w:t>.</w:t>
      </w:r>
      <w:r w:rsidRPr="0089670E">
        <w:rPr>
          <w:noProof/>
        </w:rPr>
        <w:t>, Norris</w:t>
      </w:r>
      <w:r>
        <w:rPr>
          <w:rFonts w:hint="eastAsia"/>
          <w:noProof/>
          <w:lang w:eastAsia="ko-KR"/>
        </w:rPr>
        <w:t>,</w:t>
      </w:r>
      <w:r w:rsidRPr="0089670E">
        <w:rPr>
          <w:noProof/>
        </w:rPr>
        <w:t xml:space="preserve"> W</w:t>
      </w:r>
      <w:r>
        <w:rPr>
          <w:rFonts w:hint="eastAsia"/>
          <w:noProof/>
          <w:lang w:eastAsia="ko-KR"/>
        </w:rPr>
        <w:t>.</w:t>
      </w:r>
      <w:r w:rsidRPr="0089670E">
        <w:rPr>
          <w:noProof/>
        </w:rPr>
        <w:t>P</w:t>
      </w:r>
      <w:r>
        <w:rPr>
          <w:rFonts w:hint="eastAsia"/>
          <w:noProof/>
          <w:lang w:eastAsia="ko-KR"/>
        </w:rPr>
        <w:t>.</w:t>
      </w:r>
      <w:r w:rsidRPr="0089670E">
        <w:rPr>
          <w:noProof/>
        </w:rPr>
        <w:t>, et al.</w:t>
      </w:r>
      <w:r>
        <w:rPr>
          <w:rFonts w:hint="eastAsia"/>
          <w:noProof/>
          <w:lang w:eastAsia="ko-KR"/>
        </w:rPr>
        <w:t>,</w:t>
      </w:r>
      <w:r w:rsidRPr="0089670E">
        <w:rPr>
          <w:noProof/>
        </w:rPr>
        <w:t xml:space="preserve"> 1952</w:t>
      </w:r>
      <w:r>
        <w:rPr>
          <w:rFonts w:hint="eastAsia"/>
          <w:noProof/>
          <w:lang w:eastAsia="ko-KR"/>
        </w:rPr>
        <w:t>.</w:t>
      </w:r>
      <w:r w:rsidRPr="0089670E">
        <w:rPr>
          <w:noProof/>
        </w:rPr>
        <w:t xml:space="preserve"> The metabolism of uranium233 in mice. </w:t>
      </w:r>
      <w:r w:rsidRPr="002F7639">
        <w:rPr>
          <w:noProof/>
        </w:rPr>
        <w:t>J. Pharmacol. Exp. Ther.</w:t>
      </w:r>
      <w:r w:rsidRPr="0089670E">
        <w:rPr>
          <w:noProof/>
        </w:rPr>
        <w:t xml:space="preserve"> 104(4)</w:t>
      </w:r>
      <w:r>
        <w:rPr>
          <w:rFonts w:hint="eastAsia"/>
          <w:noProof/>
          <w:lang w:eastAsia="ko-KR"/>
        </w:rPr>
        <w:t>.</w:t>
      </w:r>
      <w:r w:rsidRPr="0089670E">
        <w:rPr>
          <w:noProof/>
        </w:rPr>
        <w:t xml:space="preserve"> 459–467.</w:t>
      </w:r>
    </w:p>
    <w:p w14:paraId="174CBB1B" w14:textId="77777777" w:rsidR="00232741" w:rsidRPr="0089670E" w:rsidRDefault="00232741" w:rsidP="00232741">
      <w:pPr>
        <w:pStyle w:val="aff1"/>
        <w:ind w:left="426" w:hanging="426"/>
        <w:rPr>
          <w:noProof/>
        </w:rPr>
      </w:pPr>
      <w:r w:rsidRPr="0089670E">
        <w:rPr>
          <w:noProof/>
        </w:rPr>
        <w:t>Kistner</w:t>
      </w:r>
      <w:r>
        <w:rPr>
          <w:rFonts w:hint="eastAsia"/>
          <w:noProof/>
          <w:lang w:eastAsia="ko-KR"/>
        </w:rPr>
        <w:t>,</w:t>
      </w:r>
      <w:r w:rsidRPr="0089670E">
        <w:rPr>
          <w:noProof/>
        </w:rPr>
        <w:t xml:space="preserve"> G</w:t>
      </w:r>
      <w:r>
        <w:rPr>
          <w:rFonts w:hint="eastAsia"/>
          <w:noProof/>
          <w:lang w:eastAsia="ko-KR"/>
        </w:rPr>
        <w:t>.</w:t>
      </w:r>
      <w:r w:rsidRPr="0089670E">
        <w:rPr>
          <w:noProof/>
        </w:rPr>
        <w:t>, Wiggenhauser</w:t>
      </w:r>
      <w:r>
        <w:rPr>
          <w:rFonts w:hint="eastAsia"/>
          <w:noProof/>
          <w:lang w:eastAsia="ko-KR"/>
        </w:rPr>
        <w:t>,</w:t>
      </w:r>
      <w:r w:rsidRPr="0089670E">
        <w:rPr>
          <w:noProof/>
        </w:rPr>
        <w:t xml:space="preserve"> A</w:t>
      </w:r>
      <w:r>
        <w:rPr>
          <w:rFonts w:hint="eastAsia"/>
          <w:noProof/>
          <w:lang w:eastAsia="ko-KR"/>
        </w:rPr>
        <w:t>.</w:t>
      </w:r>
      <w:r w:rsidRPr="0089670E">
        <w:rPr>
          <w:noProof/>
        </w:rPr>
        <w:t>, Krestel</w:t>
      </w:r>
      <w:r>
        <w:rPr>
          <w:rFonts w:hint="eastAsia"/>
          <w:noProof/>
          <w:lang w:eastAsia="ko-KR"/>
        </w:rPr>
        <w:t>,</w:t>
      </w:r>
      <w:r w:rsidRPr="0089670E">
        <w:rPr>
          <w:noProof/>
        </w:rPr>
        <w:t xml:space="preserve"> R</w:t>
      </w:r>
      <w:r>
        <w:rPr>
          <w:rFonts w:hint="eastAsia"/>
          <w:noProof/>
          <w:lang w:eastAsia="ko-KR"/>
        </w:rPr>
        <w:t>.</w:t>
      </w:r>
      <w:r w:rsidRPr="0089670E">
        <w:rPr>
          <w:noProof/>
        </w:rPr>
        <w:t>, et al.</w:t>
      </w:r>
      <w:r>
        <w:rPr>
          <w:rFonts w:hint="eastAsia"/>
          <w:noProof/>
          <w:lang w:eastAsia="ko-KR"/>
        </w:rPr>
        <w:t>,</w:t>
      </w:r>
      <w:r w:rsidRPr="0089670E">
        <w:rPr>
          <w:noProof/>
        </w:rPr>
        <w:t xml:space="preserve"> 1987</w:t>
      </w:r>
      <w:r>
        <w:rPr>
          <w:rFonts w:hint="eastAsia"/>
          <w:noProof/>
          <w:lang w:eastAsia="ko-KR"/>
        </w:rPr>
        <w:t>.</w:t>
      </w:r>
      <w:r w:rsidRPr="0089670E">
        <w:rPr>
          <w:noProof/>
        </w:rPr>
        <w:t xml:space="preserve"> Age-related biokinetics of cerium-141 chloride in rats. In: Gerber GB, Metivier H, and Smith H (eds) </w:t>
      </w:r>
      <w:r w:rsidRPr="00ED6790">
        <w:rPr>
          <w:noProof/>
        </w:rPr>
        <w:t>Age-Related Factors in Radionuclide Metabolism and Dosimetry</w:t>
      </w:r>
      <w:r w:rsidRPr="0089670E">
        <w:rPr>
          <w:noProof/>
        </w:rPr>
        <w:t>. Martinus Niihoff Publishers. Dordrecht: Martinus Nijhoff Publishers Dordrecht, pp. 221–228.</w:t>
      </w:r>
    </w:p>
    <w:p w14:paraId="75B2B51A" w14:textId="77777777" w:rsidR="00232741" w:rsidRPr="0089670E" w:rsidRDefault="00232741" w:rsidP="00232741">
      <w:pPr>
        <w:pStyle w:val="aff1"/>
        <w:ind w:left="426" w:hanging="426"/>
        <w:rPr>
          <w:noProof/>
        </w:rPr>
      </w:pPr>
      <w:r w:rsidRPr="0089670E">
        <w:rPr>
          <w:noProof/>
        </w:rPr>
        <w:t>Kostial</w:t>
      </w:r>
      <w:r>
        <w:rPr>
          <w:rFonts w:hint="eastAsia"/>
          <w:noProof/>
          <w:lang w:eastAsia="ko-KR"/>
        </w:rPr>
        <w:t>,</w:t>
      </w:r>
      <w:r w:rsidRPr="0089670E">
        <w:rPr>
          <w:noProof/>
        </w:rPr>
        <w:t xml:space="preserve"> K</w:t>
      </w:r>
      <w:r>
        <w:rPr>
          <w:rFonts w:hint="eastAsia"/>
          <w:noProof/>
          <w:lang w:eastAsia="ko-KR"/>
        </w:rPr>
        <w:t>.</w:t>
      </w:r>
      <w:r w:rsidRPr="0089670E">
        <w:rPr>
          <w:noProof/>
        </w:rPr>
        <w:t>, Kargacin</w:t>
      </w:r>
      <w:r>
        <w:rPr>
          <w:rFonts w:hint="eastAsia"/>
          <w:noProof/>
          <w:lang w:eastAsia="ko-KR"/>
        </w:rPr>
        <w:t>,</w:t>
      </w:r>
      <w:r w:rsidRPr="0089670E">
        <w:rPr>
          <w:noProof/>
        </w:rPr>
        <w:t xml:space="preserve"> B</w:t>
      </w:r>
      <w:r>
        <w:rPr>
          <w:rFonts w:hint="eastAsia"/>
          <w:noProof/>
          <w:lang w:eastAsia="ko-KR"/>
        </w:rPr>
        <w:t>.,</w:t>
      </w:r>
      <w:r w:rsidRPr="0089670E">
        <w:rPr>
          <w:noProof/>
        </w:rPr>
        <w:t xml:space="preserve"> Landeka</w:t>
      </w:r>
      <w:r>
        <w:rPr>
          <w:rFonts w:hint="eastAsia"/>
          <w:noProof/>
          <w:lang w:eastAsia="ko-KR"/>
        </w:rPr>
        <w:t>,</w:t>
      </w:r>
      <w:r w:rsidRPr="0089670E">
        <w:rPr>
          <w:noProof/>
        </w:rPr>
        <w:t xml:space="preserve"> M</w:t>
      </w:r>
      <w:r>
        <w:rPr>
          <w:rFonts w:hint="eastAsia"/>
          <w:noProof/>
          <w:lang w:eastAsia="ko-KR"/>
        </w:rPr>
        <w:t>.,</w:t>
      </w:r>
      <w:r w:rsidRPr="0089670E">
        <w:rPr>
          <w:noProof/>
        </w:rPr>
        <w:t xml:space="preserve"> 1987</w:t>
      </w:r>
      <w:r>
        <w:rPr>
          <w:rFonts w:hint="eastAsia"/>
          <w:noProof/>
          <w:lang w:eastAsia="ko-KR"/>
        </w:rPr>
        <w:t>.</w:t>
      </w:r>
      <w:r w:rsidRPr="0089670E">
        <w:rPr>
          <w:noProof/>
        </w:rPr>
        <w:t xml:space="preserve"> Reduction of </w:t>
      </w:r>
      <w:r w:rsidRPr="002F7639">
        <w:rPr>
          <w:noProof/>
          <w:vertAlign w:val="superscript"/>
        </w:rPr>
        <w:t>141</w:t>
      </w:r>
      <w:r w:rsidRPr="0089670E">
        <w:rPr>
          <w:noProof/>
        </w:rPr>
        <w:t xml:space="preserve">Ce absorption in suckling rats. </w:t>
      </w:r>
      <w:r w:rsidRPr="002F7639">
        <w:rPr>
          <w:noProof/>
        </w:rPr>
        <w:t>Int. J. Radiat. Biol. Relat. Stud. Phys. Chem. Med.</w:t>
      </w:r>
      <w:r w:rsidRPr="0089670E">
        <w:rPr>
          <w:noProof/>
        </w:rPr>
        <w:t xml:space="preserve"> 51(1)</w:t>
      </w:r>
      <w:r>
        <w:rPr>
          <w:rFonts w:hint="eastAsia"/>
          <w:noProof/>
          <w:lang w:eastAsia="ko-KR"/>
        </w:rPr>
        <w:t>.</w:t>
      </w:r>
      <w:r w:rsidRPr="0089670E">
        <w:rPr>
          <w:noProof/>
        </w:rPr>
        <w:t xml:space="preserve"> 139–145.</w:t>
      </w:r>
    </w:p>
    <w:p w14:paraId="63DA8C6C" w14:textId="77777777" w:rsidR="00232741" w:rsidRPr="0089670E" w:rsidRDefault="00232741" w:rsidP="00232741">
      <w:pPr>
        <w:pStyle w:val="aff1"/>
        <w:ind w:left="426" w:hanging="426"/>
        <w:rPr>
          <w:noProof/>
        </w:rPr>
      </w:pPr>
      <w:r w:rsidRPr="0089670E">
        <w:rPr>
          <w:noProof/>
        </w:rPr>
        <w:t>Kostial</w:t>
      </w:r>
      <w:r>
        <w:rPr>
          <w:rFonts w:hint="eastAsia"/>
          <w:noProof/>
          <w:lang w:eastAsia="ko-KR"/>
        </w:rPr>
        <w:t>,</w:t>
      </w:r>
      <w:r w:rsidRPr="0089670E">
        <w:rPr>
          <w:noProof/>
        </w:rPr>
        <w:t xml:space="preserve"> K</w:t>
      </w:r>
      <w:r>
        <w:rPr>
          <w:rFonts w:hint="eastAsia"/>
          <w:noProof/>
          <w:lang w:eastAsia="ko-KR"/>
        </w:rPr>
        <w:t>.</w:t>
      </w:r>
      <w:r w:rsidRPr="0089670E">
        <w:rPr>
          <w:noProof/>
        </w:rPr>
        <w:t>, Kargacin</w:t>
      </w:r>
      <w:r>
        <w:rPr>
          <w:rFonts w:hint="eastAsia"/>
          <w:noProof/>
          <w:lang w:eastAsia="ko-KR"/>
        </w:rPr>
        <w:t>,</w:t>
      </w:r>
      <w:r w:rsidRPr="0089670E">
        <w:rPr>
          <w:noProof/>
        </w:rPr>
        <w:t xml:space="preserve"> B</w:t>
      </w:r>
      <w:r>
        <w:rPr>
          <w:rFonts w:hint="eastAsia"/>
          <w:noProof/>
          <w:lang w:eastAsia="ko-KR"/>
        </w:rPr>
        <w:t>.,</w:t>
      </w:r>
      <w:r w:rsidRPr="0089670E">
        <w:rPr>
          <w:noProof/>
        </w:rPr>
        <w:t xml:space="preserve"> Landeka</w:t>
      </w:r>
      <w:r>
        <w:rPr>
          <w:rFonts w:hint="eastAsia"/>
          <w:noProof/>
          <w:lang w:eastAsia="ko-KR"/>
        </w:rPr>
        <w:t>,</w:t>
      </w:r>
      <w:r w:rsidRPr="0089670E">
        <w:rPr>
          <w:noProof/>
        </w:rPr>
        <w:t xml:space="preserve"> M</w:t>
      </w:r>
      <w:r>
        <w:rPr>
          <w:rFonts w:hint="eastAsia"/>
          <w:noProof/>
          <w:lang w:eastAsia="ko-KR"/>
        </w:rPr>
        <w:t>.,</w:t>
      </w:r>
      <w:r w:rsidRPr="0089670E">
        <w:rPr>
          <w:noProof/>
        </w:rPr>
        <w:t xml:space="preserve"> 1989</w:t>
      </w:r>
      <w:r>
        <w:rPr>
          <w:rFonts w:hint="eastAsia"/>
          <w:noProof/>
          <w:lang w:eastAsia="ko-KR"/>
        </w:rPr>
        <w:t>.</w:t>
      </w:r>
      <w:r w:rsidRPr="0089670E">
        <w:rPr>
          <w:noProof/>
        </w:rPr>
        <w:t xml:space="preserve"> Gut retention of metals in rats. </w:t>
      </w:r>
      <w:r w:rsidRPr="002F7639">
        <w:rPr>
          <w:noProof/>
        </w:rPr>
        <w:t>Biol. Trace Elem. Res.</w:t>
      </w:r>
      <w:r w:rsidRPr="0089670E">
        <w:rPr>
          <w:noProof/>
        </w:rPr>
        <w:t xml:space="preserve"> 21</w:t>
      </w:r>
      <w:r>
        <w:rPr>
          <w:rFonts w:hint="eastAsia"/>
          <w:noProof/>
          <w:lang w:eastAsia="ko-KR"/>
        </w:rPr>
        <w:t>.</w:t>
      </w:r>
      <w:r w:rsidRPr="0089670E">
        <w:rPr>
          <w:noProof/>
        </w:rPr>
        <w:t xml:space="preserve"> 213–218.</w:t>
      </w:r>
    </w:p>
    <w:p w14:paraId="5249ED51" w14:textId="77777777" w:rsidR="00232741" w:rsidRPr="0089670E" w:rsidRDefault="00232741" w:rsidP="00232741">
      <w:pPr>
        <w:pStyle w:val="aff1"/>
        <w:ind w:left="426" w:hanging="426"/>
        <w:rPr>
          <w:noProof/>
        </w:rPr>
      </w:pPr>
      <w:r w:rsidRPr="0061223E">
        <w:rPr>
          <w:noProof/>
          <w:lang w:val="en-US"/>
        </w:rPr>
        <w:t>Kostial</w:t>
      </w:r>
      <w:r w:rsidRPr="0061223E">
        <w:rPr>
          <w:rFonts w:hint="eastAsia"/>
          <w:noProof/>
          <w:lang w:val="en-US" w:eastAsia="ko-KR"/>
        </w:rPr>
        <w:t>,</w:t>
      </w:r>
      <w:r w:rsidRPr="0061223E">
        <w:rPr>
          <w:noProof/>
          <w:lang w:val="en-US"/>
        </w:rPr>
        <w:t xml:space="preserve"> K</w:t>
      </w:r>
      <w:r w:rsidRPr="0061223E">
        <w:rPr>
          <w:rFonts w:hint="eastAsia"/>
          <w:noProof/>
          <w:lang w:val="en-US" w:eastAsia="ko-KR"/>
        </w:rPr>
        <w:t>.</w:t>
      </w:r>
      <w:r w:rsidRPr="0061223E">
        <w:rPr>
          <w:noProof/>
          <w:lang w:val="en-US"/>
        </w:rPr>
        <w:t>, Kargacin</w:t>
      </w:r>
      <w:r w:rsidRPr="0061223E">
        <w:rPr>
          <w:rFonts w:hint="eastAsia"/>
          <w:noProof/>
          <w:lang w:val="en-US" w:eastAsia="ko-KR"/>
        </w:rPr>
        <w:t>,</w:t>
      </w:r>
      <w:r w:rsidRPr="0061223E">
        <w:rPr>
          <w:noProof/>
          <w:lang w:val="en-US"/>
        </w:rPr>
        <w:t xml:space="preserve"> B</w:t>
      </w:r>
      <w:r w:rsidRPr="0061223E">
        <w:rPr>
          <w:rFonts w:hint="eastAsia"/>
          <w:noProof/>
          <w:lang w:val="en-US" w:eastAsia="ko-KR"/>
        </w:rPr>
        <w:t>.</w:t>
      </w:r>
      <w:r w:rsidRPr="0061223E">
        <w:rPr>
          <w:noProof/>
          <w:lang w:val="en-US"/>
        </w:rPr>
        <w:t>, Blanusa</w:t>
      </w:r>
      <w:r w:rsidRPr="0061223E">
        <w:rPr>
          <w:rFonts w:hint="eastAsia"/>
          <w:noProof/>
          <w:lang w:val="en-US" w:eastAsia="ko-KR"/>
        </w:rPr>
        <w:t>,</w:t>
      </w:r>
      <w:r w:rsidRPr="0061223E">
        <w:rPr>
          <w:noProof/>
          <w:lang w:val="en-US"/>
        </w:rPr>
        <w:t xml:space="preserve"> M</w:t>
      </w:r>
      <w:r w:rsidRPr="0061223E">
        <w:rPr>
          <w:rFonts w:hint="eastAsia"/>
          <w:noProof/>
          <w:lang w:val="en-US" w:eastAsia="ko-KR"/>
        </w:rPr>
        <w:t>.</w:t>
      </w:r>
      <w:r w:rsidRPr="0061223E">
        <w:rPr>
          <w:noProof/>
          <w:lang w:val="en-US"/>
        </w:rPr>
        <w:t>, et al.</w:t>
      </w:r>
      <w:r w:rsidRPr="0061223E">
        <w:rPr>
          <w:rFonts w:hint="eastAsia"/>
          <w:noProof/>
          <w:lang w:val="en-US" w:eastAsia="ko-KR"/>
        </w:rPr>
        <w:t>,</w:t>
      </w:r>
      <w:r w:rsidRPr="0061223E">
        <w:rPr>
          <w:noProof/>
          <w:lang w:val="en-US"/>
        </w:rPr>
        <w:t xml:space="preserve"> 1989</w:t>
      </w:r>
      <w:r w:rsidRPr="0061223E">
        <w:rPr>
          <w:rFonts w:hint="eastAsia"/>
          <w:noProof/>
          <w:lang w:val="en-US" w:eastAsia="ko-KR"/>
        </w:rPr>
        <w:t>.</w:t>
      </w:r>
      <w:r w:rsidRPr="0061223E">
        <w:rPr>
          <w:noProof/>
          <w:lang w:val="en-US"/>
        </w:rPr>
        <w:t xml:space="preserve"> </w:t>
      </w:r>
      <w:r w:rsidRPr="0089670E">
        <w:rPr>
          <w:noProof/>
        </w:rPr>
        <w:t xml:space="preserve">Location of mercury, cerium and cadmium in the gut of suckling and werned rats. </w:t>
      </w:r>
      <w:r w:rsidRPr="00ED6790">
        <w:rPr>
          <w:noProof/>
        </w:rPr>
        <w:t>Period. Biol</w:t>
      </w:r>
      <w:r w:rsidRPr="0089670E">
        <w:rPr>
          <w:noProof/>
        </w:rPr>
        <w:t xml:space="preserve"> 91</w:t>
      </w:r>
      <w:r>
        <w:rPr>
          <w:rFonts w:hint="eastAsia"/>
          <w:noProof/>
          <w:lang w:eastAsia="ko-KR"/>
        </w:rPr>
        <w:t>.</w:t>
      </w:r>
      <w:r w:rsidRPr="0089670E">
        <w:rPr>
          <w:noProof/>
        </w:rPr>
        <w:t xml:space="preserve"> 321–326.</w:t>
      </w:r>
    </w:p>
    <w:p w14:paraId="79220D58" w14:textId="77777777" w:rsidR="00232741" w:rsidRPr="0089670E" w:rsidRDefault="00232741" w:rsidP="00232741">
      <w:pPr>
        <w:pStyle w:val="aff1"/>
        <w:ind w:left="426" w:hanging="426"/>
        <w:rPr>
          <w:noProof/>
        </w:rPr>
      </w:pPr>
      <w:r w:rsidRPr="0089670E">
        <w:rPr>
          <w:noProof/>
        </w:rPr>
        <w:t>Langham</w:t>
      </w:r>
      <w:r>
        <w:rPr>
          <w:rFonts w:hint="eastAsia"/>
          <w:noProof/>
          <w:lang w:eastAsia="ko-KR"/>
        </w:rPr>
        <w:t>,</w:t>
      </w:r>
      <w:r w:rsidRPr="0089670E">
        <w:rPr>
          <w:noProof/>
        </w:rPr>
        <w:t xml:space="preserve"> W</w:t>
      </w:r>
      <w:r>
        <w:rPr>
          <w:rFonts w:hint="eastAsia"/>
          <w:noProof/>
          <w:lang w:eastAsia="ko-KR"/>
        </w:rPr>
        <w:t>.</w:t>
      </w:r>
      <w:r w:rsidRPr="0089670E">
        <w:rPr>
          <w:noProof/>
        </w:rPr>
        <w:t>H</w:t>
      </w:r>
      <w:r>
        <w:rPr>
          <w:rFonts w:hint="eastAsia"/>
          <w:noProof/>
          <w:lang w:eastAsia="ko-KR"/>
        </w:rPr>
        <w:t>.,</w:t>
      </w:r>
      <w:r w:rsidRPr="0089670E">
        <w:rPr>
          <w:noProof/>
        </w:rPr>
        <w:t xml:space="preserve"> 1959</w:t>
      </w:r>
      <w:r>
        <w:rPr>
          <w:rFonts w:hint="eastAsia"/>
          <w:noProof/>
          <w:lang w:eastAsia="ko-KR"/>
        </w:rPr>
        <w:t>.</w:t>
      </w:r>
      <w:r w:rsidRPr="0089670E">
        <w:rPr>
          <w:noProof/>
        </w:rPr>
        <w:t xml:space="preserve"> Physiology and toxicology of plutonium-239 and its industrial medical control. </w:t>
      </w:r>
      <w:r w:rsidRPr="00ED6790">
        <w:rPr>
          <w:noProof/>
        </w:rPr>
        <w:t>Health Phys</w:t>
      </w:r>
      <w:r>
        <w:rPr>
          <w:rFonts w:hint="eastAsia"/>
          <w:noProof/>
          <w:lang w:eastAsia="ko-KR"/>
        </w:rPr>
        <w:t>.</w:t>
      </w:r>
      <w:r w:rsidRPr="0089670E">
        <w:rPr>
          <w:noProof/>
        </w:rPr>
        <w:t xml:space="preserve"> 2</w:t>
      </w:r>
      <w:r>
        <w:rPr>
          <w:rFonts w:hint="eastAsia"/>
          <w:noProof/>
          <w:lang w:eastAsia="ko-KR"/>
        </w:rPr>
        <w:t>.</w:t>
      </w:r>
      <w:r w:rsidRPr="0089670E">
        <w:rPr>
          <w:noProof/>
        </w:rPr>
        <w:t xml:space="preserve"> 172–185.</w:t>
      </w:r>
    </w:p>
    <w:p w14:paraId="2A66EFC4" w14:textId="77777777" w:rsidR="00232741" w:rsidRPr="0089670E" w:rsidRDefault="00232741" w:rsidP="00232741">
      <w:pPr>
        <w:pStyle w:val="aff1"/>
        <w:ind w:left="426" w:hanging="426"/>
        <w:rPr>
          <w:noProof/>
          <w:lang w:val="pt-PT"/>
        </w:rPr>
      </w:pPr>
      <w:r w:rsidRPr="0089670E">
        <w:rPr>
          <w:noProof/>
        </w:rPr>
        <w:t>Langham</w:t>
      </w:r>
      <w:r>
        <w:rPr>
          <w:rFonts w:hint="eastAsia"/>
          <w:noProof/>
          <w:lang w:eastAsia="ko-KR"/>
        </w:rPr>
        <w:t>,</w:t>
      </w:r>
      <w:r w:rsidRPr="0089670E">
        <w:rPr>
          <w:noProof/>
        </w:rPr>
        <w:t xml:space="preserve"> W</w:t>
      </w:r>
      <w:r>
        <w:rPr>
          <w:rFonts w:hint="eastAsia"/>
          <w:noProof/>
          <w:lang w:eastAsia="ko-KR"/>
        </w:rPr>
        <w:t>.</w:t>
      </w:r>
      <w:r w:rsidRPr="0089670E">
        <w:rPr>
          <w:noProof/>
        </w:rPr>
        <w:t>H</w:t>
      </w:r>
      <w:r>
        <w:rPr>
          <w:rFonts w:hint="eastAsia"/>
          <w:noProof/>
          <w:lang w:eastAsia="ko-KR"/>
        </w:rPr>
        <w:t>.</w:t>
      </w:r>
      <w:r w:rsidRPr="0089670E">
        <w:rPr>
          <w:noProof/>
        </w:rPr>
        <w:t>, Bassett</w:t>
      </w:r>
      <w:r>
        <w:rPr>
          <w:rFonts w:hint="eastAsia"/>
          <w:noProof/>
          <w:lang w:eastAsia="ko-KR"/>
        </w:rPr>
        <w:t>,</w:t>
      </w:r>
      <w:r w:rsidRPr="0089670E">
        <w:rPr>
          <w:noProof/>
        </w:rPr>
        <w:t xml:space="preserve"> S</w:t>
      </w:r>
      <w:r>
        <w:rPr>
          <w:rFonts w:hint="eastAsia"/>
          <w:noProof/>
          <w:lang w:eastAsia="ko-KR"/>
        </w:rPr>
        <w:t>.</w:t>
      </w:r>
      <w:r w:rsidRPr="0089670E">
        <w:rPr>
          <w:noProof/>
        </w:rPr>
        <w:t>H</w:t>
      </w:r>
      <w:r>
        <w:rPr>
          <w:rFonts w:hint="eastAsia"/>
          <w:noProof/>
          <w:lang w:eastAsia="ko-KR"/>
        </w:rPr>
        <w:t>.</w:t>
      </w:r>
      <w:r w:rsidRPr="0089670E">
        <w:rPr>
          <w:noProof/>
        </w:rPr>
        <w:t>, Harris</w:t>
      </w:r>
      <w:r>
        <w:rPr>
          <w:rFonts w:hint="eastAsia"/>
          <w:noProof/>
          <w:lang w:eastAsia="ko-KR"/>
        </w:rPr>
        <w:t>,</w:t>
      </w:r>
      <w:r w:rsidRPr="0089670E">
        <w:rPr>
          <w:noProof/>
        </w:rPr>
        <w:t xml:space="preserve"> P</w:t>
      </w:r>
      <w:r>
        <w:rPr>
          <w:rFonts w:hint="eastAsia"/>
          <w:noProof/>
          <w:lang w:eastAsia="ko-KR"/>
        </w:rPr>
        <w:t>.</w:t>
      </w:r>
      <w:r w:rsidRPr="0089670E">
        <w:rPr>
          <w:noProof/>
        </w:rPr>
        <w:t>S</w:t>
      </w:r>
      <w:r>
        <w:rPr>
          <w:rFonts w:hint="eastAsia"/>
          <w:noProof/>
          <w:lang w:eastAsia="ko-KR"/>
        </w:rPr>
        <w:t>.</w:t>
      </w:r>
      <w:r w:rsidRPr="0089670E">
        <w:rPr>
          <w:noProof/>
        </w:rPr>
        <w:t>, et al.</w:t>
      </w:r>
      <w:r>
        <w:rPr>
          <w:rFonts w:hint="eastAsia"/>
          <w:noProof/>
          <w:lang w:eastAsia="ko-KR"/>
        </w:rPr>
        <w:t>,</w:t>
      </w:r>
      <w:r w:rsidRPr="0089670E">
        <w:rPr>
          <w:noProof/>
        </w:rPr>
        <w:t xml:space="preserve"> 1950</w:t>
      </w:r>
      <w:r>
        <w:rPr>
          <w:rFonts w:hint="eastAsia"/>
          <w:noProof/>
          <w:lang w:eastAsia="ko-KR"/>
        </w:rPr>
        <w:t>.</w:t>
      </w:r>
      <w:r w:rsidRPr="0089670E">
        <w:rPr>
          <w:noProof/>
        </w:rPr>
        <w:t xml:space="preserve"> </w:t>
      </w:r>
      <w:r w:rsidRPr="00ED6790">
        <w:rPr>
          <w:noProof/>
        </w:rPr>
        <w:t xml:space="preserve">Distribution and excretion of Pu </w:t>
      </w:r>
      <w:r w:rsidRPr="00ED6790">
        <w:rPr>
          <w:noProof/>
        </w:rPr>
        <w:lastRenderedPageBreak/>
        <w:t>administered to man</w:t>
      </w:r>
      <w:r w:rsidRPr="0089670E">
        <w:rPr>
          <w:noProof/>
        </w:rPr>
        <w:t xml:space="preserve">. </w:t>
      </w:r>
      <w:r w:rsidRPr="0089670E">
        <w:rPr>
          <w:noProof/>
          <w:lang w:val="pt-PT"/>
        </w:rPr>
        <w:t>LA-1151. Los Alamos, New Mexico: Los Alamos Scientific Laboratory.</w:t>
      </w:r>
    </w:p>
    <w:p w14:paraId="4A09035A" w14:textId="77777777" w:rsidR="00232741" w:rsidRPr="0089670E" w:rsidRDefault="00232741" w:rsidP="00232741">
      <w:pPr>
        <w:pStyle w:val="aff1"/>
        <w:ind w:left="426" w:hanging="426"/>
        <w:rPr>
          <w:noProof/>
        </w:rPr>
      </w:pPr>
      <w:r w:rsidRPr="0061223E">
        <w:rPr>
          <w:noProof/>
          <w:lang w:val="pt-PT"/>
        </w:rPr>
        <w:t>Lanz</w:t>
      </w:r>
      <w:r w:rsidRPr="0061223E">
        <w:rPr>
          <w:rFonts w:hint="eastAsia"/>
          <w:noProof/>
          <w:lang w:val="pt-PT" w:eastAsia="ko-KR"/>
        </w:rPr>
        <w:t>,</w:t>
      </w:r>
      <w:r w:rsidRPr="0061223E">
        <w:rPr>
          <w:noProof/>
          <w:lang w:val="pt-PT"/>
        </w:rPr>
        <w:t xml:space="preserve"> H</w:t>
      </w:r>
      <w:r w:rsidRPr="0061223E">
        <w:rPr>
          <w:rFonts w:hint="eastAsia"/>
          <w:noProof/>
          <w:lang w:val="pt-PT" w:eastAsia="ko-KR"/>
        </w:rPr>
        <w:t>.</w:t>
      </w:r>
      <w:r w:rsidRPr="0061223E">
        <w:rPr>
          <w:noProof/>
          <w:lang w:val="pt-PT"/>
        </w:rPr>
        <w:t>, Crowley</w:t>
      </w:r>
      <w:r w:rsidRPr="0061223E">
        <w:rPr>
          <w:rFonts w:hint="eastAsia"/>
          <w:noProof/>
          <w:lang w:val="pt-PT" w:eastAsia="ko-KR"/>
        </w:rPr>
        <w:t>,</w:t>
      </w:r>
      <w:r w:rsidRPr="0061223E">
        <w:rPr>
          <w:noProof/>
          <w:lang w:val="pt-PT"/>
        </w:rPr>
        <w:t xml:space="preserve"> J</w:t>
      </w:r>
      <w:r w:rsidRPr="0061223E">
        <w:rPr>
          <w:rFonts w:hint="eastAsia"/>
          <w:noProof/>
          <w:lang w:val="pt-PT" w:eastAsia="ko-KR"/>
        </w:rPr>
        <w:t>.</w:t>
      </w:r>
      <w:r w:rsidRPr="0061223E">
        <w:rPr>
          <w:noProof/>
          <w:lang w:val="pt-PT"/>
        </w:rPr>
        <w:t>, Hamilton</w:t>
      </w:r>
      <w:r w:rsidRPr="0061223E">
        <w:rPr>
          <w:rFonts w:hint="eastAsia"/>
          <w:noProof/>
          <w:lang w:val="pt-PT" w:eastAsia="ko-KR"/>
        </w:rPr>
        <w:t>,</w:t>
      </w:r>
      <w:r w:rsidRPr="0061223E">
        <w:rPr>
          <w:noProof/>
          <w:lang w:val="pt-PT"/>
        </w:rPr>
        <w:t xml:space="preserve"> J</w:t>
      </w:r>
      <w:r w:rsidRPr="0061223E">
        <w:rPr>
          <w:rFonts w:hint="eastAsia"/>
          <w:noProof/>
          <w:lang w:val="pt-PT" w:eastAsia="ko-KR"/>
        </w:rPr>
        <w:t>.</w:t>
      </w:r>
      <w:r w:rsidRPr="0061223E">
        <w:rPr>
          <w:noProof/>
          <w:lang w:val="pt-PT"/>
        </w:rPr>
        <w:t>G</w:t>
      </w:r>
      <w:r w:rsidRPr="0061223E">
        <w:rPr>
          <w:rFonts w:hint="eastAsia"/>
          <w:noProof/>
          <w:lang w:val="pt-PT" w:eastAsia="ko-KR"/>
        </w:rPr>
        <w:t>.</w:t>
      </w:r>
      <w:r w:rsidRPr="0061223E">
        <w:rPr>
          <w:noProof/>
          <w:lang w:val="pt-PT"/>
        </w:rPr>
        <w:t>, et al.</w:t>
      </w:r>
      <w:r w:rsidRPr="0061223E">
        <w:rPr>
          <w:rFonts w:hint="eastAsia"/>
          <w:noProof/>
          <w:lang w:val="pt-PT" w:eastAsia="ko-KR"/>
        </w:rPr>
        <w:t>,</w:t>
      </w:r>
      <w:r w:rsidRPr="0061223E">
        <w:rPr>
          <w:noProof/>
          <w:lang w:val="pt-PT"/>
        </w:rPr>
        <w:t xml:space="preserve"> 1946</w:t>
      </w:r>
      <w:r w:rsidRPr="0061223E">
        <w:rPr>
          <w:rFonts w:hint="eastAsia"/>
          <w:noProof/>
          <w:lang w:val="pt-PT" w:eastAsia="ko-KR"/>
        </w:rPr>
        <w:t>.</w:t>
      </w:r>
      <w:r w:rsidRPr="0061223E">
        <w:rPr>
          <w:noProof/>
          <w:lang w:val="pt-PT"/>
        </w:rPr>
        <w:t xml:space="preserve"> </w:t>
      </w:r>
      <w:r w:rsidRPr="00ED6790">
        <w:rPr>
          <w:noProof/>
        </w:rPr>
        <w:t>The metabolism of thorium, protoactinium, and neptunium in the rat</w:t>
      </w:r>
      <w:r w:rsidRPr="0089670E">
        <w:rPr>
          <w:noProof/>
        </w:rPr>
        <w:t>. USAEC MDDC-648 (CH-3606). US Atomic Energy Commission. Division of Technical Information.</w:t>
      </w:r>
    </w:p>
    <w:p w14:paraId="56D262AB" w14:textId="77777777" w:rsidR="00232741" w:rsidRPr="0089670E" w:rsidRDefault="00232741" w:rsidP="00232741">
      <w:pPr>
        <w:pStyle w:val="aff1"/>
        <w:ind w:left="426" w:hanging="426"/>
        <w:rPr>
          <w:noProof/>
        </w:rPr>
      </w:pPr>
      <w:r w:rsidRPr="00075971">
        <w:rPr>
          <w:noProof/>
          <w:lang w:val="it-IT"/>
        </w:rPr>
        <w:t>Larsen</w:t>
      </w:r>
      <w:r w:rsidRPr="00075971">
        <w:rPr>
          <w:rFonts w:hint="eastAsia"/>
          <w:noProof/>
          <w:lang w:val="it-IT" w:eastAsia="ko-KR"/>
        </w:rPr>
        <w:t>,</w:t>
      </w:r>
      <w:r w:rsidRPr="00075971">
        <w:rPr>
          <w:noProof/>
          <w:lang w:val="it-IT"/>
        </w:rPr>
        <w:t xml:space="preserve"> R</w:t>
      </w:r>
      <w:r w:rsidRPr="00075971">
        <w:rPr>
          <w:rFonts w:hint="eastAsia"/>
          <w:noProof/>
          <w:lang w:val="it-IT" w:eastAsia="ko-KR"/>
        </w:rPr>
        <w:t>.</w:t>
      </w:r>
      <w:r w:rsidRPr="00075971">
        <w:rPr>
          <w:noProof/>
          <w:lang w:val="it-IT"/>
        </w:rPr>
        <w:t>P</w:t>
      </w:r>
      <w:r w:rsidRPr="00075971">
        <w:rPr>
          <w:rFonts w:hint="eastAsia"/>
          <w:noProof/>
          <w:lang w:val="it-IT" w:eastAsia="ko-KR"/>
        </w:rPr>
        <w:t>.,</w:t>
      </w:r>
      <w:r w:rsidRPr="00075971">
        <w:rPr>
          <w:noProof/>
          <w:lang w:val="it-IT"/>
        </w:rPr>
        <w:t xml:space="preserve"> Orlandini</w:t>
      </w:r>
      <w:r w:rsidRPr="00075971">
        <w:rPr>
          <w:rFonts w:hint="eastAsia"/>
          <w:noProof/>
          <w:lang w:val="it-IT" w:eastAsia="ko-KR"/>
        </w:rPr>
        <w:t>,</w:t>
      </w:r>
      <w:r w:rsidRPr="00075971">
        <w:rPr>
          <w:noProof/>
          <w:lang w:val="it-IT"/>
        </w:rPr>
        <w:t xml:space="preserve"> K</w:t>
      </w:r>
      <w:r w:rsidRPr="00075971">
        <w:rPr>
          <w:rFonts w:hint="eastAsia"/>
          <w:noProof/>
          <w:lang w:val="it-IT" w:eastAsia="ko-KR"/>
        </w:rPr>
        <w:t>.</w:t>
      </w:r>
      <w:r w:rsidRPr="00075971">
        <w:rPr>
          <w:noProof/>
          <w:lang w:val="it-IT"/>
        </w:rPr>
        <w:t>A</w:t>
      </w:r>
      <w:r w:rsidRPr="00075971">
        <w:rPr>
          <w:rFonts w:hint="eastAsia"/>
          <w:noProof/>
          <w:lang w:val="it-IT" w:eastAsia="ko-KR"/>
        </w:rPr>
        <w:t>.,</w:t>
      </w:r>
      <w:r w:rsidRPr="00075971">
        <w:rPr>
          <w:noProof/>
          <w:lang w:val="it-IT"/>
        </w:rPr>
        <w:t xml:space="preserve"> 1984</w:t>
      </w:r>
      <w:r w:rsidRPr="00075971">
        <w:rPr>
          <w:rFonts w:hint="eastAsia"/>
          <w:noProof/>
          <w:lang w:val="it-IT" w:eastAsia="ko-KR"/>
        </w:rPr>
        <w:t>.</w:t>
      </w:r>
      <w:r w:rsidRPr="00075971">
        <w:rPr>
          <w:noProof/>
          <w:lang w:val="it-IT"/>
        </w:rPr>
        <w:t xml:space="preserve"> </w:t>
      </w:r>
      <w:r w:rsidRPr="00ED6790">
        <w:rPr>
          <w:noProof/>
        </w:rPr>
        <w:t>Gastrointestinal absorption of uranium in humans</w:t>
      </w:r>
      <w:r w:rsidRPr="0089670E">
        <w:rPr>
          <w:noProof/>
        </w:rPr>
        <w:t>. Environmental Research Division Annual Report, July 1982 - June 1983 ANL-83-100-Pt.2. Argonne National Laboratory.</w:t>
      </w:r>
    </w:p>
    <w:p w14:paraId="60202531" w14:textId="77777777" w:rsidR="00232741" w:rsidRPr="0089670E" w:rsidRDefault="00232741" w:rsidP="00232741">
      <w:pPr>
        <w:pStyle w:val="aff1"/>
        <w:ind w:left="426" w:hanging="426"/>
        <w:rPr>
          <w:noProof/>
          <w:lang w:val="fr-FR"/>
        </w:rPr>
      </w:pPr>
      <w:r w:rsidRPr="0089670E">
        <w:rPr>
          <w:noProof/>
        </w:rPr>
        <w:t>Larsen</w:t>
      </w:r>
      <w:r>
        <w:rPr>
          <w:rFonts w:hint="eastAsia"/>
          <w:noProof/>
          <w:lang w:eastAsia="ko-KR"/>
        </w:rPr>
        <w:t>,</w:t>
      </w:r>
      <w:r w:rsidRPr="0089670E">
        <w:rPr>
          <w:noProof/>
        </w:rPr>
        <w:t xml:space="preserve"> R</w:t>
      </w:r>
      <w:r>
        <w:rPr>
          <w:rFonts w:hint="eastAsia"/>
          <w:noProof/>
          <w:lang w:eastAsia="ko-KR"/>
        </w:rPr>
        <w:t>.</w:t>
      </w:r>
      <w:r w:rsidRPr="0089670E">
        <w:rPr>
          <w:noProof/>
        </w:rPr>
        <w:t>P</w:t>
      </w:r>
      <w:r>
        <w:rPr>
          <w:rFonts w:hint="eastAsia"/>
          <w:noProof/>
          <w:lang w:eastAsia="ko-KR"/>
        </w:rPr>
        <w:t>.</w:t>
      </w:r>
      <w:r w:rsidRPr="0089670E">
        <w:rPr>
          <w:noProof/>
        </w:rPr>
        <w:t>, Oldham</w:t>
      </w:r>
      <w:r>
        <w:rPr>
          <w:rFonts w:hint="eastAsia"/>
          <w:noProof/>
          <w:lang w:eastAsia="ko-KR"/>
        </w:rPr>
        <w:t>,</w:t>
      </w:r>
      <w:r w:rsidRPr="0089670E">
        <w:rPr>
          <w:noProof/>
        </w:rPr>
        <w:t xml:space="preserve"> R</w:t>
      </w:r>
      <w:r>
        <w:rPr>
          <w:rFonts w:hint="eastAsia"/>
          <w:noProof/>
          <w:lang w:eastAsia="ko-KR"/>
        </w:rPr>
        <w:t>.</w:t>
      </w:r>
      <w:r w:rsidRPr="0089670E">
        <w:rPr>
          <w:noProof/>
        </w:rPr>
        <w:t>D</w:t>
      </w:r>
      <w:r>
        <w:rPr>
          <w:rFonts w:hint="eastAsia"/>
          <w:noProof/>
          <w:lang w:eastAsia="ko-KR"/>
        </w:rPr>
        <w:t>.</w:t>
      </w:r>
      <w:r w:rsidRPr="0089670E">
        <w:rPr>
          <w:noProof/>
        </w:rPr>
        <w:t>, Bhattacharyya</w:t>
      </w:r>
      <w:r>
        <w:rPr>
          <w:rFonts w:hint="eastAsia"/>
          <w:noProof/>
          <w:lang w:eastAsia="ko-KR"/>
        </w:rPr>
        <w:t>,</w:t>
      </w:r>
      <w:r w:rsidRPr="0089670E">
        <w:rPr>
          <w:noProof/>
        </w:rPr>
        <w:t xml:space="preserve"> M</w:t>
      </w:r>
      <w:r>
        <w:rPr>
          <w:rFonts w:hint="eastAsia"/>
          <w:noProof/>
          <w:lang w:eastAsia="ko-KR"/>
        </w:rPr>
        <w:t>.</w:t>
      </w:r>
      <w:r w:rsidRPr="0089670E">
        <w:rPr>
          <w:noProof/>
        </w:rPr>
        <w:t>H</w:t>
      </w:r>
      <w:r>
        <w:rPr>
          <w:rFonts w:hint="eastAsia"/>
          <w:noProof/>
          <w:lang w:eastAsia="ko-KR"/>
        </w:rPr>
        <w:t>.</w:t>
      </w:r>
      <w:r w:rsidRPr="0089670E">
        <w:rPr>
          <w:noProof/>
        </w:rPr>
        <w:t>, et al.</w:t>
      </w:r>
      <w:r>
        <w:rPr>
          <w:rFonts w:hint="eastAsia"/>
          <w:noProof/>
          <w:lang w:eastAsia="ko-KR"/>
        </w:rPr>
        <w:t>,</w:t>
      </w:r>
      <w:r w:rsidRPr="0089670E">
        <w:rPr>
          <w:noProof/>
        </w:rPr>
        <w:t xml:space="preserve"> 1984</w:t>
      </w:r>
      <w:r>
        <w:rPr>
          <w:rFonts w:hint="eastAsia"/>
          <w:noProof/>
          <w:lang w:eastAsia="ko-KR"/>
        </w:rPr>
        <w:t>.</w:t>
      </w:r>
      <w:r w:rsidRPr="0089670E">
        <w:rPr>
          <w:noProof/>
        </w:rPr>
        <w:t xml:space="preserve"> Gastrointestinal absorption and distribution of thorium in the mouse. In: </w:t>
      </w:r>
      <w:r w:rsidRPr="00ED6790">
        <w:rPr>
          <w:noProof/>
        </w:rPr>
        <w:t>Environmental Research Division Annual Report: July 1982-June 1983</w:t>
      </w:r>
      <w:r w:rsidRPr="0089670E">
        <w:rPr>
          <w:noProof/>
        </w:rPr>
        <w:t xml:space="preserve">. Argonne National Laboratory. </w:t>
      </w:r>
      <w:r w:rsidRPr="0089670E">
        <w:rPr>
          <w:noProof/>
          <w:lang w:val="fr-FR"/>
        </w:rPr>
        <w:t>ANL-83-100-Pt. 2. Chicago, pp. 65–68.</w:t>
      </w:r>
    </w:p>
    <w:p w14:paraId="4C3FB84B" w14:textId="77777777" w:rsidR="00232741" w:rsidRPr="0089670E" w:rsidRDefault="00232741" w:rsidP="00232741">
      <w:pPr>
        <w:pStyle w:val="aff1"/>
        <w:ind w:left="426" w:hanging="426"/>
        <w:rPr>
          <w:noProof/>
        </w:rPr>
      </w:pPr>
      <w:r w:rsidRPr="0089670E">
        <w:rPr>
          <w:noProof/>
          <w:lang w:val="fr-FR"/>
        </w:rPr>
        <w:t>Lataillade</w:t>
      </w:r>
      <w:r>
        <w:rPr>
          <w:rFonts w:hint="eastAsia"/>
          <w:noProof/>
          <w:lang w:val="fr-FR" w:eastAsia="ko-KR"/>
        </w:rPr>
        <w:t>,</w:t>
      </w:r>
      <w:r w:rsidRPr="0089670E">
        <w:rPr>
          <w:noProof/>
          <w:lang w:val="fr-FR"/>
        </w:rPr>
        <w:t xml:space="preserve"> G</w:t>
      </w:r>
      <w:r>
        <w:rPr>
          <w:rFonts w:hint="eastAsia"/>
          <w:noProof/>
          <w:lang w:val="fr-FR" w:eastAsia="ko-KR"/>
        </w:rPr>
        <w:t>.</w:t>
      </w:r>
      <w:r w:rsidRPr="0089670E">
        <w:rPr>
          <w:noProof/>
          <w:lang w:val="fr-FR"/>
        </w:rPr>
        <w:t>, Fritsch</w:t>
      </w:r>
      <w:r>
        <w:rPr>
          <w:rFonts w:hint="eastAsia"/>
          <w:noProof/>
          <w:lang w:val="fr-FR" w:eastAsia="ko-KR"/>
        </w:rPr>
        <w:t>,</w:t>
      </w:r>
      <w:r w:rsidRPr="0089670E">
        <w:rPr>
          <w:noProof/>
          <w:lang w:val="fr-FR"/>
        </w:rPr>
        <w:t xml:space="preserve"> P</w:t>
      </w:r>
      <w:r>
        <w:rPr>
          <w:rFonts w:hint="eastAsia"/>
          <w:noProof/>
          <w:lang w:val="fr-FR" w:eastAsia="ko-KR"/>
        </w:rPr>
        <w:t>.</w:t>
      </w:r>
      <w:r w:rsidRPr="0089670E">
        <w:rPr>
          <w:noProof/>
          <w:lang w:val="fr-FR"/>
        </w:rPr>
        <w:t>, Duserre</w:t>
      </w:r>
      <w:r>
        <w:rPr>
          <w:rFonts w:hint="eastAsia"/>
          <w:noProof/>
          <w:lang w:val="fr-FR" w:eastAsia="ko-KR"/>
        </w:rPr>
        <w:t>,</w:t>
      </w:r>
      <w:r w:rsidRPr="0089670E">
        <w:rPr>
          <w:noProof/>
          <w:lang w:val="fr-FR"/>
        </w:rPr>
        <w:t xml:space="preserve"> C</w:t>
      </w:r>
      <w:r>
        <w:rPr>
          <w:rFonts w:hint="eastAsia"/>
          <w:noProof/>
          <w:lang w:val="fr-FR" w:eastAsia="ko-KR"/>
        </w:rPr>
        <w:t>.</w:t>
      </w:r>
      <w:r w:rsidRPr="0089670E">
        <w:rPr>
          <w:noProof/>
          <w:lang w:val="fr-FR"/>
        </w:rPr>
        <w:t>, et al.</w:t>
      </w:r>
      <w:r>
        <w:rPr>
          <w:rFonts w:hint="eastAsia"/>
          <w:noProof/>
          <w:lang w:val="fr-FR" w:eastAsia="ko-KR"/>
        </w:rPr>
        <w:t>,</w:t>
      </w:r>
      <w:r w:rsidRPr="0089670E">
        <w:rPr>
          <w:noProof/>
          <w:lang w:val="fr-FR"/>
        </w:rPr>
        <w:t xml:space="preserve"> 1992</w:t>
      </w:r>
      <w:r>
        <w:rPr>
          <w:rFonts w:hint="eastAsia"/>
          <w:noProof/>
          <w:lang w:val="fr-FR" w:eastAsia="ko-KR"/>
        </w:rPr>
        <w:t>.</w:t>
      </w:r>
      <w:r w:rsidRPr="0089670E">
        <w:rPr>
          <w:noProof/>
          <w:lang w:val="fr-FR"/>
        </w:rPr>
        <w:t xml:space="preserve"> </w:t>
      </w:r>
      <w:r w:rsidRPr="00ED6790">
        <w:rPr>
          <w:noProof/>
          <w:lang w:val="fr-FR"/>
        </w:rPr>
        <w:t>Absorption gastrointestinale du plutonium et du neptunium chez le singe babouin nouveau-né</w:t>
      </w:r>
      <w:r w:rsidRPr="0089670E">
        <w:rPr>
          <w:noProof/>
          <w:lang w:val="fr-FR"/>
        </w:rPr>
        <w:t xml:space="preserve">. </w:t>
      </w:r>
      <w:r w:rsidRPr="0089670E">
        <w:rPr>
          <w:noProof/>
        </w:rPr>
        <w:t>CEA-R-5598. Gif-sur-Yvette, France: CEA.</w:t>
      </w:r>
    </w:p>
    <w:p w14:paraId="438DF9E0" w14:textId="77777777" w:rsidR="00232741" w:rsidRPr="0089670E" w:rsidRDefault="00232741" w:rsidP="00232741">
      <w:pPr>
        <w:pStyle w:val="aff1"/>
        <w:ind w:left="426" w:hanging="426"/>
        <w:rPr>
          <w:noProof/>
        </w:rPr>
      </w:pPr>
      <w:r w:rsidRPr="0089670E">
        <w:rPr>
          <w:noProof/>
        </w:rPr>
        <w:t>Leggett</w:t>
      </w:r>
      <w:r>
        <w:rPr>
          <w:rFonts w:hint="eastAsia"/>
          <w:noProof/>
          <w:lang w:eastAsia="ko-KR"/>
        </w:rPr>
        <w:t>,</w:t>
      </w:r>
      <w:r w:rsidRPr="0089670E">
        <w:rPr>
          <w:noProof/>
        </w:rPr>
        <w:t xml:space="preserve"> R</w:t>
      </w:r>
      <w:r>
        <w:rPr>
          <w:rFonts w:hint="eastAsia"/>
          <w:noProof/>
          <w:lang w:eastAsia="ko-KR"/>
        </w:rPr>
        <w:t xml:space="preserve">., </w:t>
      </w:r>
      <w:r w:rsidRPr="0089670E">
        <w:rPr>
          <w:noProof/>
        </w:rPr>
        <w:t>2017</w:t>
      </w:r>
      <w:r>
        <w:rPr>
          <w:rFonts w:hint="eastAsia"/>
          <w:noProof/>
          <w:lang w:eastAsia="ko-KR"/>
        </w:rPr>
        <w:t>.</w:t>
      </w:r>
      <w:r w:rsidRPr="0089670E">
        <w:rPr>
          <w:noProof/>
        </w:rPr>
        <w:t xml:space="preserve"> Biokinetics of yttrium and comparison with its geochemical twin holmium. </w:t>
      </w:r>
      <w:r w:rsidRPr="00075971">
        <w:rPr>
          <w:noProof/>
        </w:rPr>
        <w:t>J. Radiol. Prot.</w:t>
      </w:r>
      <w:r w:rsidRPr="0089670E">
        <w:rPr>
          <w:noProof/>
        </w:rPr>
        <w:t xml:space="preserve"> 37(2)</w:t>
      </w:r>
      <w:r>
        <w:rPr>
          <w:rFonts w:hint="eastAsia"/>
          <w:noProof/>
          <w:lang w:eastAsia="ko-KR"/>
        </w:rPr>
        <w:t>.</w:t>
      </w:r>
      <w:r w:rsidRPr="0089670E">
        <w:rPr>
          <w:noProof/>
        </w:rPr>
        <w:t xml:space="preserve"> 434–449.</w:t>
      </w:r>
    </w:p>
    <w:p w14:paraId="38B7DE0B" w14:textId="77777777" w:rsidR="00232741" w:rsidRPr="0089670E" w:rsidRDefault="00232741" w:rsidP="00232741">
      <w:pPr>
        <w:pStyle w:val="aff1"/>
        <w:ind w:left="426" w:hanging="426"/>
        <w:rPr>
          <w:noProof/>
        </w:rPr>
      </w:pPr>
      <w:r w:rsidRPr="0089670E">
        <w:rPr>
          <w:noProof/>
        </w:rPr>
        <w:t>Leggett</w:t>
      </w:r>
      <w:r>
        <w:rPr>
          <w:rFonts w:hint="eastAsia"/>
          <w:noProof/>
          <w:lang w:eastAsia="ko-KR"/>
        </w:rPr>
        <w:t>,</w:t>
      </w:r>
      <w:r w:rsidRPr="0089670E">
        <w:rPr>
          <w:noProof/>
        </w:rPr>
        <w:t xml:space="preserve"> R</w:t>
      </w:r>
      <w:r>
        <w:rPr>
          <w:rFonts w:hint="eastAsia"/>
          <w:noProof/>
          <w:lang w:eastAsia="ko-KR"/>
        </w:rPr>
        <w:t>.</w:t>
      </w:r>
      <w:r w:rsidRPr="0089670E">
        <w:rPr>
          <w:noProof/>
        </w:rPr>
        <w:t>W</w:t>
      </w:r>
      <w:r>
        <w:rPr>
          <w:rFonts w:hint="eastAsia"/>
          <w:noProof/>
          <w:lang w:eastAsia="ko-KR"/>
        </w:rPr>
        <w:t xml:space="preserve">., </w:t>
      </w:r>
      <w:r w:rsidRPr="0089670E">
        <w:rPr>
          <w:noProof/>
        </w:rPr>
        <w:t>1985</w:t>
      </w:r>
      <w:r>
        <w:rPr>
          <w:rFonts w:hint="eastAsia"/>
          <w:noProof/>
          <w:lang w:eastAsia="ko-KR"/>
        </w:rPr>
        <w:t>.</w:t>
      </w:r>
      <w:r w:rsidRPr="0089670E">
        <w:rPr>
          <w:noProof/>
        </w:rPr>
        <w:t xml:space="preserve"> A model of the retention, translocation and excretion of systemic Pu. </w:t>
      </w:r>
      <w:r w:rsidRPr="00ED6790">
        <w:rPr>
          <w:noProof/>
        </w:rPr>
        <w:t>Health Phys</w:t>
      </w:r>
      <w:r>
        <w:rPr>
          <w:rFonts w:hint="eastAsia"/>
          <w:noProof/>
          <w:lang w:eastAsia="ko-KR"/>
        </w:rPr>
        <w:t>.</w:t>
      </w:r>
      <w:r w:rsidRPr="0089670E">
        <w:rPr>
          <w:noProof/>
        </w:rPr>
        <w:t xml:space="preserve"> 49(6)</w:t>
      </w:r>
      <w:r>
        <w:rPr>
          <w:rFonts w:hint="eastAsia"/>
          <w:noProof/>
          <w:lang w:eastAsia="ko-KR"/>
        </w:rPr>
        <w:t>.</w:t>
      </w:r>
      <w:r w:rsidRPr="0089670E">
        <w:rPr>
          <w:noProof/>
        </w:rPr>
        <w:t xml:space="preserve"> 1115–1138.</w:t>
      </w:r>
    </w:p>
    <w:p w14:paraId="00CE1368" w14:textId="77777777" w:rsidR="00232741" w:rsidRPr="0089670E" w:rsidRDefault="00232741" w:rsidP="00232741">
      <w:pPr>
        <w:pStyle w:val="aff1"/>
        <w:ind w:left="426" w:hanging="426"/>
        <w:rPr>
          <w:noProof/>
        </w:rPr>
      </w:pPr>
      <w:r w:rsidRPr="0089670E">
        <w:rPr>
          <w:noProof/>
        </w:rPr>
        <w:t>Leggett</w:t>
      </w:r>
      <w:r>
        <w:rPr>
          <w:rFonts w:hint="eastAsia"/>
          <w:noProof/>
          <w:lang w:eastAsia="ko-KR"/>
        </w:rPr>
        <w:t>,</w:t>
      </w:r>
      <w:r w:rsidRPr="0089670E">
        <w:rPr>
          <w:noProof/>
        </w:rPr>
        <w:t xml:space="preserve"> R</w:t>
      </w:r>
      <w:r>
        <w:rPr>
          <w:rFonts w:hint="eastAsia"/>
          <w:noProof/>
          <w:lang w:eastAsia="ko-KR"/>
        </w:rPr>
        <w:t>.</w:t>
      </w:r>
      <w:r w:rsidRPr="0089670E">
        <w:rPr>
          <w:noProof/>
        </w:rPr>
        <w:t>W</w:t>
      </w:r>
      <w:r>
        <w:rPr>
          <w:rFonts w:hint="eastAsia"/>
          <w:noProof/>
          <w:lang w:eastAsia="ko-KR"/>
        </w:rPr>
        <w:t>.,</w:t>
      </w:r>
      <w:r w:rsidRPr="0089670E">
        <w:rPr>
          <w:noProof/>
        </w:rPr>
        <w:t xml:space="preserve"> 1994</w:t>
      </w:r>
      <w:r>
        <w:rPr>
          <w:rFonts w:hint="eastAsia"/>
          <w:noProof/>
          <w:lang w:eastAsia="ko-KR"/>
        </w:rPr>
        <w:t>.</w:t>
      </w:r>
      <w:r w:rsidRPr="0089670E">
        <w:rPr>
          <w:noProof/>
        </w:rPr>
        <w:t xml:space="preserve"> Basis for the ICRP’s age-specific biokinetic model for uranium. </w:t>
      </w:r>
      <w:r w:rsidRPr="00ED6790">
        <w:rPr>
          <w:noProof/>
        </w:rPr>
        <w:t>Health Phys</w:t>
      </w:r>
      <w:r>
        <w:rPr>
          <w:rFonts w:hint="eastAsia"/>
          <w:noProof/>
          <w:lang w:eastAsia="ko-KR"/>
        </w:rPr>
        <w:t>.</w:t>
      </w:r>
      <w:r w:rsidRPr="0089670E">
        <w:rPr>
          <w:noProof/>
        </w:rPr>
        <w:t xml:space="preserve"> 67(6)</w:t>
      </w:r>
      <w:r>
        <w:rPr>
          <w:rFonts w:hint="eastAsia"/>
          <w:noProof/>
          <w:lang w:eastAsia="ko-KR"/>
        </w:rPr>
        <w:t>.</w:t>
      </w:r>
      <w:r w:rsidRPr="0089670E">
        <w:rPr>
          <w:noProof/>
        </w:rPr>
        <w:t xml:space="preserve"> 589–610.</w:t>
      </w:r>
    </w:p>
    <w:p w14:paraId="7CCB343A" w14:textId="77777777" w:rsidR="00232741" w:rsidRPr="0089670E" w:rsidRDefault="00232741" w:rsidP="00232741">
      <w:pPr>
        <w:pStyle w:val="aff1"/>
        <w:ind w:left="426" w:hanging="426"/>
        <w:rPr>
          <w:noProof/>
        </w:rPr>
      </w:pPr>
      <w:r w:rsidRPr="0089670E">
        <w:rPr>
          <w:noProof/>
        </w:rPr>
        <w:t>Leggett</w:t>
      </w:r>
      <w:r>
        <w:rPr>
          <w:rFonts w:hint="eastAsia"/>
          <w:noProof/>
          <w:lang w:eastAsia="ko-KR"/>
        </w:rPr>
        <w:t>,</w:t>
      </w:r>
      <w:r w:rsidRPr="0089670E">
        <w:rPr>
          <w:noProof/>
        </w:rPr>
        <w:t xml:space="preserve"> R</w:t>
      </w:r>
      <w:r>
        <w:rPr>
          <w:rFonts w:hint="eastAsia"/>
          <w:noProof/>
          <w:lang w:eastAsia="ko-KR"/>
        </w:rPr>
        <w:t>.</w:t>
      </w:r>
      <w:r w:rsidRPr="0089670E">
        <w:rPr>
          <w:noProof/>
        </w:rPr>
        <w:t>W</w:t>
      </w:r>
      <w:r>
        <w:rPr>
          <w:rFonts w:hint="eastAsia"/>
          <w:noProof/>
          <w:lang w:eastAsia="ko-KR"/>
        </w:rPr>
        <w:t>.,</w:t>
      </w:r>
      <w:r w:rsidRPr="0089670E">
        <w:rPr>
          <w:noProof/>
        </w:rPr>
        <w:t xml:space="preserve"> Eckerman</w:t>
      </w:r>
      <w:r>
        <w:rPr>
          <w:rFonts w:hint="eastAsia"/>
          <w:noProof/>
          <w:lang w:eastAsia="ko-KR"/>
        </w:rPr>
        <w:t>,</w:t>
      </w:r>
      <w:r w:rsidRPr="0089670E">
        <w:rPr>
          <w:noProof/>
        </w:rPr>
        <w:t xml:space="preserve"> K</w:t>
      </w:r>
      <w:r>
        <w:rPr>
          <w:rFonts w:hint="eastAsia"/>
          <w:noProof/>
          <w:lang w:eastAsia="ko-KR"/>
        </w:rPr>
        <w:t>.</w:t>
      </w:r>
      <w:r w:rsidRPr="0089670E">
        <w:rPr>
          <w:noProof/>
        </w:rPr>
        <w:t>F</w:t>
      </w:r>
      <w:r>
        <w:rPr>
          <w:rFonts w:hint="eastAsia"/>
          <w:noProof/>
          <w:lang w:eastAsia="ko-KR"/>
        </w:rPr>
        <w:t>.,</w:t>
      </w:r>
      <w:r w:rsidRPr="0089670E">
        <w:rPr>
          <w:noProof/>
        </w:rPr>
        <w:t xml:space="preserve"> 1987</w:t>
      </w:r>
      <w:r>
        <w:rPr>
          <w:rFonts w:hint="eastAsia"/>
          <w:noProof/>
          <w:lang w:eastAsia="ko-KR"/>
        </w:rPr>
        <w:t>.</w:t>
      </w:r>
      <w:r w:rsidRPr="0089670E">
        <w:rPr>
          <w:noProof/>
        </w:rPr>
        <w:t xml:space="preserve"> A method for estimating the systemic burden of Pu from urinalyses. </w:t>
      </w:r>
      <w:r w:rsidRPr="00ED6790">
        <w:rPr>
          <w:noProof/>
        </w:rPr>
        <w:t>Health Phys</w:t>
      </w:r>
      <w:r>
        <w:rPr>
          <w:rFonts w:hint="eastAsia"/>
          <w:noProof/>
          <w:lang w:eastAsia="ko-KR"/>
        </w:rPr>
        <w:t>.</w:t>
      </w:r>
      <w:r w:rsidRPr="0089670E">
        <w:rPr>
          <w:noProof/>
        </w:rPr>
        <w:t xml:space="preserve"> 52(3)</w:t>
      </w:r>
      <w:r>
        <w:rPr>
          <w:rFonts w:hint="eastAsia"/>
          <w:noProof/>
          <w:lang w:eastAsia="ko-KR"/>
        </w:rPr>
        <w:t>.</w:t>
      </w:r>
      <w:r w:rsidRPr="0089670E">
        <w:rPr>
          <w:noProof/>
        </w:rPr>
        <w:t xml:space="preserve"> 337–346.</w:t>
      </w:r>
    </w:p>
    <w:p w14:paraId="1A9F7ECC" w14:textId="77777777" w:rsidR="00232741" w:rsidRPr="0089670E" w:rsidRDefault="00232741" w:rsidP="00232741">
      <w:pPr>
        <w:pStyle w:val="aff1"/>
        <w:ind w:left="426" w:hanging="426"/>
        <w:rPr>
          <w:noProof/>
        </w:rPr>
      </w:pPr>
      <w:r w:rsidRPr="0089670E">
        <w:rPr>
          <w:noProof/>
        </w:rPr>
        <w:t>Leggett</w:t>
      </w:r>
      <w:r>
        <w:rPr>
          <w:rFonts w:hint="eastAsia"/>
          <w:noProof/>
          <w:lang w:eastAsia="ko-KR"/>
        </w:rPr>
        <w:t>,</w:t>
      </w:r>
      <w:r w:rsidRPr="0089670E">
        <w:rPr>
          <w:noProof/>
        </w:rPr>
        <w:t xml:space="preserve"> R</w:t>
      </w:r>
      <w:r>
        <w:rPr>
          <w:rFonts w:hint="eastAsia"/>
          <w:noProof/>
          <w:lang w:eastAsia="ko-KR"/>
        </w:rPr>
        <w:t>.</w:t>
      </w:r>
      <w:r w:rsidRPr="0089670E">
        <w:rPr>
          <w:noProof/>
        </w:rPr>
        <w:t>W</w:t>
      </w:r>
      <w:r>
        <w:rPr>
          <w:rFonts w:hint="eastAsia"/>
          <w:noProof/>
          <w:lang w:eastAsia="ko-KR"/>
        </w:rPr>
        <w:t>.,</w:t>
      </w:r>
      <w:r w:rsidRPr="0089670E">
        <w:rPr>
          <w:noProof/>
        </w:rPr>
        <w:t xml:space="preserve"> Harrison</w:t>
      </w:r>
      <w:r>
        <w:rPr>
          <w:rFonts w:hint="eastAsia"/>
          <w:noProof/>
          <w:lang w:eastAsia="ko-KR"/>
        </w:rPr>
        <w:t>,</w:t>
      </w:r>
      <w:r w:rsidRPr="0089670E">
        <w:rPr>
          <w:noProof/>
        </w:rPr>
        <w:t xml:space="preserve"> J</w:t>
      </w:r>
      <w:r>
        <w:rPr>
          <w:rFonts w:hint="eastAsia"/>
          <w:noProof/>
          <w:lang w:eastAsia="ko-KR"/>
        </w:rPr>
        <w:t>.</w:t>
      </w:r>
      <w:r w:rsidRPr="0089670E">
        <w:rPr>
          <w:noProof/>
        </w:rPr>
        <w:t>D</w:t>
      </w:r>
      <w:r>
        <w:rPr>
          <w:rFonts w:hint="eastAsia"/>
          <w:noProof/>
          <w:lang w:eastAsia="ko-KR"/>
        </w:rPr>
        <w:t>.,</w:t>
      </w:r>
      <w:r w:rsidRPr="0089670E">
        <w:rPr>
          <w:noProof/>
        </w:rPr>
        <w:t xml:space="preserve"> 1995</w:t>
      </w:r>
      <w:r>
        <w:rPr>
          <w:rFonts w:hint="eastAsia"/>
          <w:noProof/>
          <w:lang w:eastAsia="ko-KR"/>
        </w:rPr>
        <w:t>.</w:t>
      </w:r>
      <w:r w:rsidRPr="0089670E">
        <w:rPr>
          <w:noProof/>
        </w:rPr>
        <w:t xml:space="preserve"> Fractional absorption of ingested uranium in humans. </w:t>
      </w:r>
      <w:r w:rsidRPr="00ED6790">
        <w:rPr>
          <w:noProof/>
        </w:rPr>
        <w:t>Health Phys</w:t>
      </w:r>
      <w:r>
        <w:rPr>
          <w:rFonts w:hint="eastAsia"/>
          <w:noProof/>
          <w:lang w:eastAsia="ko-KR"/>
        </w:rPr>
        <w:t>.</w:t>
      </w:r>
      <w:r w:rsidRPr="0089670E">
        <w:rPr>
          <w:noProof/>
        </w:rPr>
        <w:t xml:space="preserve"> 68(4)</w:t>
      </w:r>
      <w:r>
        <w:rPr>
          <w:rFonts w:hint="eastAsia"/>
          <w:noProof/>
          <w:lang w:eastAsia="ko-KR"/>
        </w:rPr>
        <w:t>.</w:t>
      </w:r>
      <w:r w:rsidRPr="0089670E">
        <w:rPr>
          <w:noProof/>
        </w:rPr>
        <w:t xml:space="preserve"> 484–498.</w:t>
      </w:r>
    </w:p>
    <w:p w14:paraId="73D02283" w14:textId="77777777" w:rsidR="00232741" w:rsidRPr="0089670E" w:rsidRDefault="00232741" w:rsidP="00232741">
      <w:pPr>
        <w:pStyle w:val="aff1"/>
        <w:ind w:left="426" w:hanging="426"/>
        <w:rPr>
          <w:noProof/>
        </w:rPr>
      </w:pPr>
      <w:r w:rsidRPr="0061223E">
        <w:rPr>
          <w:noProof/>
          <w:lang w:val="en-US"/>
        </w:rPr>
        <w:t>Limson</w:t>
      </w:r>
      <w:r w:rsidRPr="0061223E">
        <w:rPr>
          <w:rFonts w:hint="eastAsia"/>
          <w:noProof/>
          <w:lang w:val="en-US" w:eastAsia="ko-KR"/>
        </w:rPr>
        <w:t>,</w:t>
      </w:r>
      <w:r w:rsidRPr="0061223E">
        <w:rPr>
          <w:noProof/>
          <w:lang w:val="en-US"/>
        </w:rPr>
        <w:t xml:space="preserve"> Zamora M</w:t>
      </w:r>
      <w:r w:rsidRPr="0061223E">
        <w:rPr>
          <w:rFonts w:hint="eastAsia"/>
          <w:noProof/>
          <w:lang w:val="en-US" w:eastAsia="ko-KR"/>
        </w:rPr>
        <w:t>.</w:t>
      </w:r>
      <w:r w:rsidRPr="0061223E">
        <w:rPr>
          <w:noProof/>
          <w:lang w:val="en-US"/>
        </w:rPr>
        <w:t>L</w:t>
      </w:r>
      <w:r w:rsidRPr="0061223E">
        <w:rPr>
          <w:rFonts w:hint="eastAsia"/>
          <w:noProof/>
          <w:lang w:val="en-US" w:eastAsia="ko-KR"/>
        </w:rPr>
        <w:t>.</w:t>
      </w:r>
      <w:r w:rsidRPr="0061223E">
        <w:rPr>
          <w:noProof/>
          <w:lang w:val="en-US"/>
        </w:rPr>
        <w:t>, Zielinski</w:t>
      </w:r>
      <w:r w:rsidRPr="0061223E">
        <w:rPr>
          <w:rFonts w:hint="eastAsia"/>
          <w:noProof/>
          <w:lang w:val="en-US" w:eastAsia="ko-KR"/>
        </w:rPr>
        <w:t>,</w:t>
      </w:r>
      <w:r w:rsidRPr="0061223E">
        <w:rPr>
          <w:noProof/>
          <w:lang w:val="en-US"/>
        </w:rPr>
        <w:t xml:space="preserve"> J</w:t>
      </w:r>
      <w:r w:rsidRPr="0061223E">
        <w:rPr>
          <w:rFonts w:hint="eastAsia"/>
          <w:noProof/>
          <w:lang w:val="en-US" w:eastAsia="ko-KR"/>
        </w:rPr>
        <w:t>.,</w:t>
      </w:r>
      <w:r w:rsidRPr="0061223E">
        <w:rPr>
          <w:noProof/>
          <w:lang w:val="en-US"/>
        </w:rPr>
        <w:t xml:space="preserve"> Falcomer</w:t>
      </w:r>
      <w:r w:rsidRPr="0061223E">
        <w:rPr>
          <w:rFonts w:hint="eastAsia"/>
          <w:noProof/>
          <w:lang w:val="en-US" w:eastAsia="ko-KR"/>
        </w:rPr>
        <w:t>,</w:t>
      </w:r>
      <w:r w:rsidRPr="0061223E">
        <w:rPr>
          <w:noProof/>
          <w:lang w:val="en-US"/>
        </w:rPr>
        <w:t xml:space="preserve"> R</w:t>
      </w:r>
      <w:r w:rsidRPr="0061223E">
        <w:rPr>
          <w:rFonts w:hint="eastAsia"/>
          <w:noProof/>
          <w:lang w:val="en-US" w:eastAsia="ko-KR"/>
        </w:rPr>
        <w:t>.,</w:t>
      </w:r>
      <w:r w:rsidRPr="0061223E">
        <w:rPr>
          <w:noProof/>
          <w:lang w:val="en-US"/>
        </w:rPr>
        <w:t xml:space="preserve"> 1992</w:t>
      </w:r>
      <w:r w:rsidRPr="0061223E">
        <w:rPr>
          <w:rFonts w:hint="eastAsia"/>
          <w:noProof/>
          <w:lang w:val="en-US" w:eastAsia="ko-KR"/>
        </w:rPr>
        <w:t>.</w:t>
      </w:r>
      <w:r w:rsidRPr="0061223E">
        <w:rPr>
          <w:noProof/>
          <w:lang w:val="en-US"/>
        </w:rPr>
        <w:t xml:space="preserve"> </w:t>
      </w:r>
      <w:r w:rsidRPr="0089670E">
        <w:rPr>
          <w:noProof/>
        </w:rPr>
        <w:t xml:space="preserve">Study of the human urinary excretion of chronically ingested uranium insights on the gastrointestinal absorption factor. </w:t>
      </w:r>
      <w:r w:rsidRPr="00ED6790">
        <w:rPr>
          <w:noProof/>
        </w:rPr>
        <w:t>Proceedings of the 8</w:t>
      </w:r>
      <w:r>
        <w:rPr>
          <w:rFonts w:hint="eastAsia"/>
          <w:noProof/>
          <w:lang w:eastAsia="ko-KR"/>
        </w:rPr>
        <w:t>t</w:t>
      </w:r>
      <w:r w:rsidRPr="00ED6790">
        <w:rPr>
          <w:noProof/>
        </w:rPr>
        <w:t>h International Congress of the IRPA</w:t>
      </w:r>
      <w:r w:rsidRPr="0089670E">
        <w:rPr>
          <w:noProof/>
        </w:rPr>
        <w:t xml:space="preserve"> 2: 1085–1088.</w:t>
      </w:r>
    </w:p>
    <w:p w14:paraId="12C8E398" w14:textId="77777777" w:rsidR="00232741" w:rsidRPr="0089670E" w:rsidRDefault="00232741" w:rsidP="00232741">
      <w:pPr>
        <w:pStyle w:val="aff1"/>
        <w:ind w:left="426" w:hanging="426"/>
        <w:rPr>
          <w:noProof/>
        </w:rPr>
      </w:pPr>
      <w:r w:rsidRPr="0089670E">
        <w:rPr>
          <w:noProof/>
        </w:rPr>
        <w:t>Lloyd</w:t>
      </w:r>
      <w:r>
        <w:rPr>
          <w:rFonts w:hint="eastAsia"/>
          <w:noProof/>
          <w:lang w:eastAsia="ko-KR"/>
        </w:rPr>
        <w:t>,</w:t>
      </w:r>
      <w:r w:rsidRPr="0089670E">
        <w:rPr>
          <w:noProof/>
        </w:rPr>
        <w:t xml:space="preserve"> R</w:t>
      </w:r>
      <w:r>
        <w:rPr>
          <w:rFonts w:hint="eastAsia"/>
          <w:noProof/>
          <w:lang w:eastAsia="ko-KR"/>
        </w:rPr>
        <w:t>.</w:t>
      </w:r>
      <w:r w:rsidRPr="0089670E">
        <w:rPr>
          <w:noProof/>
        </w:rPr>
        <w:t>D</w:t>
      </w:r>
      <w:r>
        <w:rPr>
          <w:rFonts w:hint="eastAsia"/>
          <w:noProof/>
          <w:lang w:eastAsia="ko-KR"/>
        </w:rPr>
        <w:t>.</w:t>
      </w:r>
      <w:r w:rsidRPr="0089670E">
        <w:rPr>
          <w:noProof/>
        </w:rPr>
        <w:t>, Mays</w:t>
      </w:r>
      <w:r>
        <w:rPr>
          <w:rFonts w:hint="eastAsia"/>
          <w:noProof/>
          <w:lang w:eastAsia="ko-KR"/>
        </w:rPr>
        <w:t>,</w:t>
      </w:r>
      <w:r w:rsidRPr="0089670E">
        <w:rPr>
          <w:noProof/>
        </w:rPr>
        <w:t xml:space="preserve"> C</w:t>
      </w:r>
      <w:r>
        <w:rPr>
          <w:rFonts w:hint="eastAsia"/>
          <w:noProof/>
          <w:lang w:eastAsia="ko-KR"/>
        </w:rPr>
        <w:t>.</w:t>
      </w:r>
      <w:r w:rsidRPr="0089670E">
        <w:rPr>
          <w:noProof/>
        </w:rPr>
        <w:t>W</w:t>
      </w:r>
      <w:r>
        <w:rPr>
          <w:rFonts w:hint="eastAsia"/>
          <w:noProof/>
          <w:lang w:eastAsia="ko-KR"/>
        </w:rPr>
        <w:t>.</w:t>
      </w:r>
      <w:r w:rsidRPr="0089670E">
        <w:rPr>
          <w:noProof/>
        </w:rPr>
        <w:t>, Taylor</w:t>
      </w:r>
      <w:r>
        <w:rPr>
          <w:rFonts w:hint="eastAsia"/>
          <w:noProof/>
          <w:lang w:eastAsia="ko-KR"/>
        </w:rPr>
        <w:t>,</w:t>
      </w:r>
      <w:r w:rsidRPr="0089670E">
        <w:rPr>
          <w:noProof/>
        </w:rPr>
        <w:t xml:space="preserve"> G</w:t>
      </w:r>
      <w:r>
        <w:rPr>
          <w:rFonts w:hint="eastAsia"/>
          <w:noProof/>
          <w:lang w:eastAsia="ko-KR"/>
        </w:rPr>
        <w:t>.</w:t>
      </w:r>
      <w:r w:rsidRPr="0089670E">
        <w:rPr>
          <w:noProof/>
        </w:rPr>
        <w:t>N</w:t>
      </w:r>
      <w:r>
        <w:rPr>
          <w:rFonts w:hint="eastAsia"/>
          <w:noProof/>
          <w:lang w:eastAsia="ko-KR"/>
        </w:rPr>
        <w:t>.</w:t>
      </w:r>
      <w:r w:rsidRPr="0089670E">
        <w:rPr>
          <w:noProof/>
        </w:rPr>
        <w:t>, et al.</w:t>
      </w:r>
      <w:r>
        <w:rPr>
          <w:rFonts w:hint="eastAsia"/>
          <w:noProof/>
          <w:lang w:eastAsia="ko-KR"/>
        </w:rPr>
        <w:t>,</w:t>
      </w:r>
      <w:r w:rsidRPr="0089670E">
        <w:rPr>
          <w:noProof/>
        </w:rPr>
        <w:t xml:space="preserve"> 1970</w:t>
      </w:r>
      <w:r>
        <w:rPr>
          <w:rFonts w:hint="eastAsia"/>
          <w:noProof/>
          <w:lang w:eastAsia="ko-KR"/>
        </w:rPr>
        <w:t>.</w:t>
      </w:r>
      <w:r w:rsidRPr="0089670E">
        <w:rPr>
          <w:noProof/>
        </w:rPr>
        <w:t xml:space="preserve"> Americium-241 studies in beagles. </w:t>
      </w:r>
      <w:r w:rsidRPr="00ED6790">
        <w:rPr>
          <w:noProof/>
        </w:rPr>
        <w:t>Health Phys</w:t>
      </w:r>
      <w:r>
        <w:rPr>
          <w:rFonts w:hint="eastAsia"/>
          <w:noProof/>
          <w:lang w:eastAsia="ko-KR"/>
        </w:rPr>
        <w:t>.</w:t>
      </w:r>
      <w:r w:rsidRPr="0089670E">
        <w:rPr>
          <w:noProof/>
        </w:rPr>
        <w:t xml:space="preserve"> 18(2)</w:t>
      </w:r>
      <w:r>
        <w:rPr>
          <w:rFonts w:hint="eastAsia"/>
          <w:noProof/>
          <w:lang w:eastAsia="ko-KR"/>
        </w:rPr>
        <w:t>.</w:t>
      </w:r>
      <w:r w:rsidRPr="0089670E">
        <w:rPr>
          <w:noProof/>
        </w:rPr>
        <w:t xml:space="preserve"> 149–156.</w:t>
      </w:r>
    </w:p>
    <w:p w14:paraId="3FCFF631" w14:textId="77777777" w:rsidR="00232741" w:rsidRPr="0089670E" w:rsidRDefault="00232741" w:rsidP="00232741">
      <w:pPr>
        <w:pStyle w:val="aff1"/>
        <w:ind w:left="426" w:hanging="426"/>
        <w:rPr>
          <w:noProof/>
        </w:rPr>
      </w:pPr>
      <w:r w:rsidRPr="0089670E">
        <w:rPr>
          <w:noProof/>
        </w:rPr>
        <w:t>Lloyd</w:t>
      </w:r>
      <w:r>
        <w:rPr>
          <w:rFonts w:hint="eastAsia"/>
          <w:noProof/>
          <w:lang w:eastAsia="ko-KR"/>
        </w:rPr>
        <w:t>,</w:t>
      </w:r>
      <w:r w:rsidRPr="0089670E">
        <w:rPr>
          <w:noProof/>
        </w:rPr>
        <w:t xml:space="preserve"> R.D., Mays</w:t>
      </w:r>
      <w:r>
        <w:rPr>
          <w:rFonts w:hint="eastAsia"/>
          <w:noProof/>
          <w:lang w:eastAsia="ko-KR"/>
        </w:rPr>
        <w:t>,</w:t>
      </w:r>
      <w:r w:rsidRPr="0089670E">
        <w:rPr>
          <w:noProof/>
        </w:rPr>
        <w:t xml:space="preserve"> C</w:t>
      </w:r>
      <w:r>
        <w:rPr>
          <w:rFonts w:hint="eastAsia"/>
          <w:noProof/>
          <w:lang w:eastAsia="ko-KR"/>
        </w:rPr>
        <w:t>.</w:t>
      </w:r>
      <w:r w:rsidRPr="0089670E">
        <w:rPr>
          <w:noProof/>
        </w:rPr>
        <w:t>W</w:t>
      </w:r>
      <w:r>
        <w:rPr>
          <w:rFonts w:hint="eastAsia"/>
          <w:noProof/>
          <w:lang w:eastAsia="ko-KR"/>
        </w:rPr>
        <w:t>.</w:t>
      </w:r>
      <w:r w:rsidRPr="0089670E">
        <w:rPr>
          <w:noProof/>
        </w:rPr>
        <w:t>, Taylor</w:t>
      </w:r>
      <w:r>
        <w:rPr>
          <w:rFonts w:hint="eastAsia"/>
          <w:noProof/>
          <w:lang w:eastAsia="ko-KR"/>
        </w:rPr>
        <w:t>,</w:t>
      </w:r>
      <w:r w:rsidRPr="0089670E">
        <w:rPr>
          <w:noProof/>
        </w:rPr>
        <w:t xml:space="preserve"> G</w:t>
      </w:r>
      <w:r>
        <w:rPr>
          <w:rFonts w:hint="eastAsia"/>
          <w:noProof/>
          <w:lang w:eastAsia="ko-KR"/>
        </w:rPr>
        <w:t>.</w:t>
      </w:r>
      <w:r w:rsidRPr="0089670E">
        <w:rPr>
          <w:noProof/>
        </w:rPr>
        <w:t>N</w:t>
      </w:r>
      <w:r>
        <w:rPr>
          <w:rFonts w:hint="eastAsia"/>
          <w:noProof/>
          <w:lang w:eastAsia="ko-KR"/>
        </w:rPr>
        <w:t>.</w:t>
      </w:r>
      <w:r w:rsidRPr="0089670E">
        <w:rPr>
          <w:noProof/>
        </w:rPr>
        <w:t>, et al.</w:t>
      </w:r>
      <w:r>
        <w:rPr>
          <w:rFonts w:hint="eastAsia"/>
          <w:noProof/>
          <w:lang w:eastAsia="ko-KR"/>
        </w:rPr>
        <w:t>,</w:t>
      </w:r>
      <w:r w:rsidRPr="0089670E">
        <w:rPr>
          <w:noProof/>
        </w:rPr>
        <w:t xml:space="preserve"> 1972</w:t>
      </w:r>
      <w:r>
        <w:rPr>
          <w:rFonts w:hint="eastAsia"/>
          <w:noProof/>
          <w:lang w:eastAsia="ko-KR"/>
        </w:rPr>
        <w:t>.</w:t>
      </w:r>
      <w:r w:rsidRPr="0089670E">
        <w:rPr>
          <w:noProof/>
        </w:rPr>
        <w:t xml:space="preserve"> Californium excretion and retention by beagles injected with 249Cf or 252Cf. </w:t>
      </w:r>
      <w:r w:rsidRPr="00ED6790">
        <w:rPr>
          <w:noProof/>
        </w:rPr>
        <w:t>Health Phys</w:t>
      </w:r>
      <w:r>
        <w:rPr>
          <w:rFonts w:hint="eastAsia"/>
          <w:noProof/>
          <w:lang w:eastAsia="ko-KR"/>
        </w:rPr>
        <w:t xml:space="preserve">. </w:t>
      </w:r>
      <w:r w:rsidRPr="0089670E">
        <w:rPr>
          <w:noProof/>
        </w:rPr>
        <w:t>22(6)</w:t>
      </w:r>
      <w:r>
        <w:rPr>
          <w:rFonts w:hint="eastAsia"/>
          <w:noProof/>
          <w:lang w:eastAsia="ko-KR"/>
        </w:rPr>
        <w:t>.</w:t>
      </w:r>
      <w:r w:rsidRPr="0089670E">
        <w:rPr>
          <w:noProof/>
        </w:rPr>
        <w:t xml:space="preserve"> 667–673.</w:t>
      </w:r>
    </w:p>
    <w:p w14:paraId="28248394" w14:textId="77777777" w:rsidR="00232741" w:rsidRPr="0089670E" w:rsidRDefault="00232741" w:rsidP="00232741">
      <w:pPr>
        <w:pStyle w:val="aff1"/>
        <w:ind w:left="426" w:hanging="426"/>
        <w:rPr>
          <w:noProof/>
        </w:rPr>
      </w:pPr>
      <w:r w:rsidRPr="0089670E">
        <w:rPr>
          <w:noProof/>
        </w:rPr>
        <w:t>Lloyd</w:t>
      </w:r>
      <w:r>
        <w:rPr>
          <w:rFonts w:hint="eastAsia"/>
          <w:noProof/>
          <w:lang w:eastAsia="ko-KR"/>
        </w:rPr>
        <w:t>,</w:t>
      </w:r>
      <w:r w:rsidRPr="0089670E">
        <w:rPr>
          <w:noProof/>
        </w:rPr>
        <w:t xml:space="preserve"> Ray D., Mays</w:t>
      </w:r>
      <w:r>
        <w:rPr>
          <w:rFonts w:hint="eastAsia"/>
          <w:noProof/>
          <w:lang w:eastAsia="ko-KR"/>
        </w:rPr>
        <w:t>,</w:t>
      </w:r>
      <w:r w:rsidRPr="0089670E">
        <w:rPr>
          <w:noProof/>
        </w:rPr>
        <w:t xml:space="preserve"> C</w:t>
      </w:r>
      <w:r>
        <w:rPr>
          <w:rFonts w:hint="eastAsia"/>
          <w:noProof/>
          <w:lang w:eastAsia="ko-KR"/>
        </w:rPr>
        <w:t>.</w:t>
      </w:r>
      <w:r w:rsidRPr="0089670E">
        <w:rPr>
          <w:noProof/>
        </w:rPr>
        <w:t>W</w:t>
      </w:r>
      <w:r>
        <w:rPr>
          <w:rFonts w:hint="eastAsia"/>
          <w:noProof/>
          <w:lang w:eastAsia="ko-KR"/>
        </w:rPr>
        <w:t>.</w:t>
      </w:r>
      <w:r w:rsidRPr="0089670E">
        <w:rPr>
          <w:noProof/>
        </w:rPr>
        <w:t>, Jee</w:t>
      </w:r>
      <w:r>
        <w:rPr>
          <w:rFonts w:hint="eastAsia"/>
          <w:noProof/>
          <w:lang w:eastAsia="ko-KR"/>
        </w:rPr>
        <w:t>,</w:t>
      </w:r>
      <w:r w:rsidRPr="0089670E">
        <w:rPr>
          <w:noProof/>
        </w:rPr>
        <w:t xml:space="preserve"> W</w:t>
      </w:r>
      <w:r>
        <w:rPr>
          <w:rFonts w:hint="eastAsia"/>
          <w:noProof/>
          <w:lang w:eastAsia="ko-KR"/>
        </w:rPr>
        <w:t>.</w:t>
      </w:r>
      <w:r w:rsidRPr="0089670E">
        <w:rPr>
          <w:noProof/>
        </w:rPr>
        <w:t>S</w:t>
      </w:r>
      <w:r>
        <w:rPr>
          <w:rFonts w:hint="eastAsia"/>
          <w:noProof/>
          <w:lang w:eastAsia="ko-KR"/>
        </w:rPr>
        <w:t>.</w:t>
      </w:r>
      <w:r w:rsidRPr="0089670E">
        <w:rPr>
          <w:noProof/>
        </w:rPr>
        <w:t>, et al.</w:t>
      </w:r>
      <w:r>
        <w:rPr>
          <w:rFonts w:hint="eastAsia"/>
          <w:noProof/>
          <w:lang w:eastAsia="ko-KR"/>
        </w:rPr>
        <w:t>,</w:t>
      </w:r>
      <w:r w:rsidRPr="0089670E">
        <w:rPr>
          <w:noProof/>
        </w:rPr>
        <w:t xml:space="preserve"> 1972</w:t>
      </w:r>
      <w:r>
        <w:rPr>
          <w:rFonts w:hint="eastAsia"/>
          <w:noProof/>
          <w:lang w:eastAsia="ko-KR"/>
        </w:rPr>
        <w:t>.</w:t>
      </w:r>
      <w:r w:rsidRPr="0089670E">
        <w:rPr>
          <w:noProof/>
        </w:rPr>
        <w:t xml:space="preserve"> Skeletal distribution of 241Am and 239Pu in beagles: Can they be compared? In: </w:t>
      </w:r>
      <w:r w:rsidRPr="00ED6790">
        <w:rPr>
          <w:noProof/>
        </w:rPr>
        <w:t>Research in Radiebiology. COO-119-246</w:t>
      </w:r>
      <w:r w:rsidRPr="0089670E">
        <w:rPr>
          <w:noProof/>
        </w:rPr>
        <w:t>. University of Utah., pp. 249–255. Available at: https://www.osti.gov/servlets/purl/4603204#page=252 (accessed 2 October 2023).</w:t>
      </w:r>
    </w:p>
    <w:p w14:paraId="1BD88D13" w14:textId="77777777" w:rsidR="00232741" w:rsidRPr="0089670E" w:rsidRDefault="00232741" w:rsidP="00232741">
      <w:pPr>
        <w:pStyle w:val="aff1"/>
        <w:ind w:left="426" w:hanging="426"/>
        <w:rPr>
          <w:noProof/>
        </w:rPr>
      </w:pPr>
      <w:r w:rsidRPr="0089670E">
        <w:rPr>
          <w:noProof/>
        </w:rPr>
        <w:t>Lloyd</w:t>
      </w:r>
      <w:r>
        <w:rPr>
          <w:rFonts w:hint="eastAsia"/>
          <w:noProof/>
          <w:lang w:eastAsia="ko-KR"/>
        </w:rPr>
        <w:t>,</w:t>
      </w:r>
      <w:r w:rsidRPr="0089670E">
        <w:rPr>
          <w:noProof/>
        </w:rPr>
        <w:t xml:space="preserve"> R</w:t>
      </w:r>
      <w:r>
        <w:rPr>
          <w:rFonts w:hint="eastAsia"/>
          <w:noProof/>
          <w:lang w:eastAsia="ko-KR"/>
        </w:rPr>
        <w:t>.</w:t>
      </w:r>
      <w:r w:rsidRPr="0089670E">
        <w:rPr>
          <w:noProof/>
        </w:rPr>
        <w:t>D</w:t>
      </w:r>
      <w:r>
        <w:rPr>
          <w:rFonts w:hint="eastAsia"/>
          <w:noProof/>
          <w:lang w:eastAsia="ko-KR"/>
        </w:rPr>
        <w:t>.</w:t>
      </w:r>
      <w:r w:rsidRPr="0089670E">
        <w:rPr>
          <w:noProof/>
        </w:rPr>
        <w:t>, Atherton</w:t>
      </w:r>
      <w:r>
        <w:rPr>
          <w:rFonts w:hint="eastAsia"/>
          <w:noProof/>
          <w:lang w:eastAsia="ko-KR"/>
        </w:rPr>
        <w:t>,</w:t>
      </w:r>
      <w:r w:rsidRPr="0089670E">
        <w:rPr>
          <w:noProof/>
        </w:rPr>
        <w:t xml:space="preserve"> D</w:t>
      </w:r>
      <w:r>
        <w:rPr>
          <w:rFonts w:hint="eastAsia"/>
          <w:noProof/>
          <w:lang w:eastAsia="ko-KR"/>
        </w:rPr>
        <w:t>.</w:t>
      </w:r>
      <w:r w:rsidRPr="0089670E">
        <w:rPr>
          <w:noProof/>
        </w:rPr>
        <w:t>R</w:t>
      </w:r>
      <w:r>
        <w:rPr>
          <w:rFonts w:hint="eastAsia"/>
          <w:noProof/>
          <w:lang w:eastAsia="ko-KR"/>
        </w:rPr>
        <w:t>.</w:t>
      </w:r>
      <w:r w:rsidRPr="0089670E">
        <w:rPr>
          <w:noProof/>
        </w:rPr>
        <w:t>, Mays</w:t>
      </w:r>
      <w:r>
        <w:rPr>
          <w:rFonts w:hint="eastAsia"/>
          <w:noProof/>
          <w:lang w:eastAsia="ko-KR"/>
        </w:rPr>
        <w:t>,</w:t>
      </w:r>
      <w:r w:rsidRPr="0089670E">
        <w:rPr>
          <w:noProof/>
        </w:rPr>
        <w:t xml:space="preserve"> C</w:t>
      </w:r>
      <w:r>
        <w:rPr>
          <w:rFonts w:hint="eastAsia"/>
          <w:noProof/>
          <w:lang w:eastAsia="ko-KR"/>
        </w:rPr>
        <w:t>.</w:t>
      </w:r>
      <w:r w:rsidRPr="0089670E">
        <w:rPr>
          <w:noProof/>
        </w:rPr>
        <w:t>W</w:t>
      </w:r>
      <w:r>
        <w:rPr>
          <w:rFonts w:hint="eastAsia"/>
          <w:noProof/>
          <w:lang w:eastAsia="ko-KR"/>
        </w:rPr>
        <w:t>.</w:t>
      </w:r>
      <w:r w:rsidRPr="0089670E">
        <w:rPr>
          <w:noProof/>
        </w:rPr>
        <w:t>, et al.</w:t>
      </w:r>
      <w:r>
        <w:rPr>
          <w:rFonts w:hint="eastAsia"/>
          <w:noProof/>
          <w:lang w:eastAsia="ko-KR"/>
        </w:rPr>
        <w:t>,</w:t>
      </w:r>
      <w:r w:rsidRPr="0089670E">
        <w:rPr>
          <w:noProof/>
        </w:rPr>
        <w:t xml:space="preserve"> 1974</w:t>
      </w:r>
      <w:r>
        <w:rPr>
          <w:rFonts w:hint="eastAsia"/>
          <w:noProof/>
          <w:lang w:eastAsia="ko-KR"/>
        </w:rPr>
        <w:t>.</w:t>
      </w:r>
      <w:r w:rsidRPr="0089670E">
        <w:rPr>
          <w:noProof/>
        </w:rPr>
        <w:t xml:space="preserve"> The early excretion, retention and distribution of injected curium citrate in beagles. </w:t>
      </w:r>
      <w:r w:rsidRPr="00ED6790">
        <w:rPr>
          <w:noProof/>
        </w:rPr>
        <w:t>Health Phys</w:t>
      </w:r>
      <w:r>
        <w:rPr>
          <w:rFonts w:hint="eastAsia"/>
          <w:noProof/>
          <w:lang w:eastAsia="ko-KR"/>
        </w:rPr>
        <w:t>.</w:t>
      </w:r>
      <w:r w:rsidRPr="0089670E">
        <w:rPr>
          <w:noProof/>
        </w:rPr>
        <w:t xml:space="preserve"> 27(1)</w:t>
      </w:r>
      <w:r>
        <w:rPr>
          <w:rFonts w:hint="eastAsia"/>
          <w:noProof/>
          <w:lang w:eastAsia="ko-KR"/>
        </w:rPr>
        <w:t>.</w:t>
      </w:r>
      <w:r w:rsidRPr="0089670E">
        <w:rPr>
          <w:noProof/>
        </w:rPr>
        <w:t xml:space="preserve"> 61–67.</w:t>
      </w:r>
    </w:p>
    <w:p w14:paraId="5DA8D03E" w14:textId="77777777" w:rsidR="00232741" w:rsidRPr="0089670E" w:rsidRDefault="00232741" w:rsidP="00232741">
      <w:pPr>
        <w:pStyle w:val="aff1"/>
        <w:ind w:left="426" w:hanging="426"/>
        <w:rPr>
          <w:noProof/>
        </w:rPr>
      </w:pPr>
      <w:r w:rsidRPr="0089670E">
        <w:rPr>
          <w:noProof/>
        </w:rPr>
        <w:t>Lloyd</w:t>
      </w:r>
      <w:r>
        <w:rPr>
          <w:rFonts w:hint="eastAsia"/>
          <w:noProof/>
          <w:lang w:eastAsia="ko-KR"/>
        </w:rPr>
        <w:t>,</w:t>
      </w:r>
      <w:r w:rsidRPr="0089670E">
        <w:rPr>
          <w:noProof/>
        </w:rPr>
        <w:t xml:space="preserve"> R</w:t>
      </w:r>
      <w:r>
        <w:rPr>
          <w:rFonts w:hint="eastAsia"/>
          <w:noProof/>
          <w:lang w:eastAsia="ko-KR"/>
        </w:rPr>
        <w:t>.</w:t>
      </w:r>
      <w:r w:rsidRPr="0089670E">
        <w:rPr>
          <w:noProof/>
        </w:rPr>
        <w:t>D</w:t>
      </w:r>
      <w:r>
        <w:rPr>
          <w:rFonts w:hint="eastAsia"/>
          <w:noProof/>
          <w:lang w:eastAsia="ko-KR"/>
        </w:rPr>
        <w:t>.</w:t>
      </w:r>
      <w:r w:rsidRPr="0089670E">
        <w:rPr>
          <w:noProof/>
        </w:rPr>
        <w:t>, Dogkum</w:t>
      </w:r>
      <w:r>
        <w:rPr>
          <w:rFonts w:hint="eastAsia"/>
          <w:noProof/>
          <w:lang w:eastAsia="ko-KR"/>
        </w:rPr>
        <w:t>,</w:t>
      </w:r>
      <w:r w:rsidRPr="0089670E">
        <w:rPr>
          <w:noProof/>
        </w:rPr>
        <w:t xml:space="preserve"> J</w:t>
      </w:r>
      <w:r>
        <w:rPr>
          <w:rFonts w:hint="eastAsia"/>
          <w:noProof/>
          <w:lang w:eastAsia="ko-KR"/>
        </w:rPr>
        <w:t>.</w:t>
      </w:r>
      <w:r w:rsidRPr="0089670E">
        <w:rPr>
          <w:noProof/>
        </w:rPr>
        <w:t>G</w:t>
      </w:r>
      <w:r>
        <w:rPr>
          <w:rFonts w:hint="eastAsia"/>
          <w:noProof/>
          <w:lang w:eastAsia="ko-KR"/>
        </w:rPr>
        <w:t>.</w:t>
      </w:r>
      <w:r w:rsidRPr="0089670E">
        <w:rPr>
          <w:noProof/>
        </w:rPr>
        <w:t>, Atherton</w:t>
      </w:r>
      <w:r>
        <w:rPr>
          <w:rFonts w:hint="eastAsia"/>
          <w:noProof/>
          <w:lang w:eastAsia="ko-KR"/>
        </w:rPr>
        <w:t>,</w:t>
      </w:r>
      <w:r w:rsidRPr="0089670E">
        <w:rPr>
          <w:noProof/>
        </w:rPr>
        <w:t xml:space="preserve"> D</w:t>
      </w:r>
      <w:r>
        <w:rPr>
          <w:rFonts w:hint="eastAsia"/>
          <w:noProof/>
          <w:lang w:eastAsia="ko-KR"/>
        </w:rPr>
        <w:t>.</w:t>
      </w:r>
      <w:r w:rsidRPr="0089670E">
        <w:rPr>
          <w:noProof/>
        </w:rPr>
        <w:t>R</w:t>
      </w:r>
      <w:r>
        <w:rPr>
          <w:rFonts w:hint="eastAsia"/>
          <w:noProof/>
          <w:lang w:eastAsia="ko-KR"/>
        </w:rPr>
        <w:t>.</w:t>
      </w:r>
      <w:r w:rsidRPr="0089670E">
        <w:rPr>
          <w:noProof/>
        </w:rPr>
        <w:t>, et al.</w:t>
      </w:r>
      <w:r>
        <w:rPr>
          <w:rFonts w:hint="eastAsia"/>
          <w:noProof/>
          <w:lang w:eastAsia="ko-KR"/>
        </w:rPr>
        <w:t>,</w:t>
      </w:r>
      <w:r w:rsidRPr="0089670E">
        <w:rPr>
          <w:noProof/>
        </w:rPr>
        <w:t xml:space="preserve"> 1975</w:t>
      </w:r>
      <w:r>
        <w:rPr>
          <w:rFonts w:hint="eastAsia"/>
          <w:noProof/>
          <w:lang w:eastAsia="ko-KR"/>
        </w:rPr>
        <w:t>.</w:t>
      </w:r>
      <w:r w:rsidRPr="0089670E">
        <w:rPr>
          <w:noProof/>
        </w:rPr>
        <w:t xml:space="preserve"> The early retention, excretion and distribution of injected einsteinium citrate in beagles. </w:t>
      </w:r>
      <w:r w:rsidRPr="00ED6790">
        <w:rPr>
          <w:noProof/>
        </w:rPr>
        <w:t>Health Phys</w:t>
      </w:r>
      <w:r>
        <w:rPr>
          <w:rFonts w:hint="eastAsia"/>
          <w:noProof/>
          <w:lang w:eastAsia="ko-KR"/>
        </w:rPr>
        <w:t>.</w:t>
      </w:r>
      <w:r w:rsidRPr="0089670E">
        <w:rPr>
          <w:noProof/>
        </w:rPr>
        <w:t xml:space="preserve"> 28(5)</w:t>
      </w:r>
      <w:r>
        <w:rPr>
          <w:rFonts w:hint="eastAsia"/>
          <w:noProof/>
          <w:lang w:eastAsia="ko-KR"/>
        </w:rPr>
        <w:t>.</w:t>
      </w:r>
      <w:r w:rsidRPr="0089670E">
        <w:rPr>
          <w:noProof/>
        </w:rPr>
        <w:t xml:space="preserve"> 585–589.</w:t>
      </w:r>
    </w:p>
    <w:p w14:paraId="3049B929" w14:textId="77777777" w:rsidR="00232741" w:rsidRPr="00BB7751" w:rsidRDefault="00232741" w:rsidP="00232741">
      <w:pPr>
        <w:pStyle w:val="aff1"/>
        <w:ind w:left="426" w:hanging="426"/>
        <w:rPr>
          <w:noProof/>
          <w:lang w:val="fr-FR"/>
        </w:rPr>
      </w:pPr>
      <w:r w:rsidRPr="0089670E">
        <w:rPr>
          <w:noProof/>
        </w:rPr>
        <w:t>Lloyd</w:t>
      </w:r>
      <w:r>
        <w:rPr>
          <w:rFonts w:hint="eastAsia"/>
          <w:noProof/>
          <w:lang w:eastAsia="ko-KR"/>
        </w:rPr>
        <w:t>,</w:t>
      </w:r>
      <w:r w:rsidRPr="0089670E">
        <w:rPr>
          <w:noProof/>
        </w:rPr>
        <w:t xml:space="preserve"> R</w:t>
      </w:r>
      <w:r>
        <w:rPr>
          <w:rFonts w:hint="eastAsia"/>
          <w:noProof/>
          <w:lang w:eastAsia="ko-KR"/>
        </w:rPr>
        <w:t>.</w:t>
      </w:r>
      <w:r w:rsidRPr="0089670E">
        <w:rPr>
          <w:noProof/>
        </w:rPr>
        <w:t>D</w:t>
      </w:r>
      <w:r>
        <w:rPr>
          <w:rFonts w:hint="eastAsia"/>
          <w:noProof/>
          <w:lang w:eastAsia="ko-KR"/>
        </w:rPr>
        <w:t>.</w:t>
      </w:r>
      <w:r w:rsidRPr="0089670E">
        <w:rPr>
          <w:noProof/>
        </w:rPr>
        <w:t>, Mays</w:t>
      </w:r>
      <w:r>
        <w:rPr>
          <w:rFonts w:hint="eastAsia"/>
          <w:noProof/>
          <w:lang w:eastAsia="ko-KR"/>
        </w:rPr>
        <w:t>,</w:t>
      </w:r>
      <w:r w:rsidRPr="0089670E">
        <w:rPr>
          <w:noProof/>
        </w:rPr>
        <w:t xml:space="preserve"> C</w:t>
      </w:r>
      <w:r>
        <w:rPr>
          <w:rFonts w:hint="eastAsia"/>
          <w:noProof/>
          <w:lang w:eastAsia="ko-KR"/>
        </w:rPr>
        <w:t>.</w:t>
      </w:r>
      <w:r w:rsidRPr="0089670E">
        <w:rPr>
          <w:noProof/>
        </w:rPr>
        <w:t>W</w:t>
      </w:r>
      <w:r>
        <w:rPr>
          <w:rFonts w:hint="eastAsia"/>
          <w:noProof/>
          <w:lang w:eastAsia="ko-KR"/>
        </w:rPr>
        <w:t>.</w:t>
      </w:r>
      <w:r w:rsidRPr="0089670E">
        <w:rPr>
          <w:noProof/>
        </w:rPr>
        <w:t>, McFarland</w:t>
      </w:r>
      <w:r>
        <w:rPr>
          <w:rFonts w:hint="eastAsia"/>
          <w:noProof/>
          <w:lang w:eastAsia="ko-KR"/>
        </w:rPr>
        <w:t>,</w:t>
      </w:r>
      <w:r w:rsidRPr="0089670E">
        <w:rPr>
          <w:noProof/>
        </w:rPr>
        <w:t xml:space="preserve"> S</w:t>
      </w:r>
      <w:r>
        <w:rPr>
          <w:rFonts w:hint="eastAsia"/>
          <w:noProof/>
          <w:lang w:eastAsia="ko-KR"/>
        </w:rPr>
        <w:t>.</w:t>
      </w:r>
      <w:r w:rsidRPr="0089670E">
        <w:rPr>
          <w:noProof/>
        </w:rPr>
        <w:t>S</w:t>
      </w:r>
      <w:r>
        <w:rPr>
          <w:rFonts w:hint="eastAsia"/>
          <w:noProof/>
          <w:lang w:eastAsia="ko-KR"/>
        </w:rPr>
        <w:t>.</w:t>
      </w:r>
      <w:r w:rsidRPr="0089670E">
        <w:rPr>
          <w:noProof/>
        </w:rPr>
        <w:t>, et al.</w:t>
      </w:r>
      <w:r>
        <w:rPr>
          <w:rFonts w:hint="eastAsia"/>
          <w:noProof/>
          <w:lang w:eastAsia="ko-KR"/>
        </w:rPr>
        <w:t>,</w:t>
      </w:r>
      <w:r w:rsidRPr="0089670E">
        <w:rPr>
          <w:noProof/>
        </w:rPr>
        <w:t xml:space="preserve"> 1976</w:t>
      </w:r>
      <w:r>
        <w:rPr>
          <w:rFonts w:hint="eastAsia"/>
          <w:noProof/>
          <w:lang w:eastAsia="ko-KR"/>
        </w:rPr>
        <w:t>.</w:t>
      </w:r>
      <w:r w:rsidRPr="0089670E">
        <w:rPr>
          <w:noProof/>
        </w:rPr>
        <w:t xml:space="preserve"> Californium studies in beagles. </w:t>
      </w:r>
      <w:r w:rsidRPr="00075971">
        <w:rPr>
          <w:noProof/>
        </w:rPr>
        <w:t>Radiat. </w:t>
      </w:r>
      <w:r w:rsidRPr="00BB7751">
        <w:rPr>
          <w:noProof/>
          <w:lang w:val="fr-FR"/>
        </w:rPr>
        <w:t>Res. 65(3)</w:t>
      </w:r>
      <w:r w:rsidRPr="00BB7751">
        <w:rPr>
          <w:rFonts w:hint="eastAsia"/>
          <w:noProof/>
          <w:lang w:val="fr-FR" w:eastAsia="ko-KR"/>
        </w:rPr>
        <w:t>.</w:t>
      </w:r>
      <w:r w:rsidRPr="00BB7751">
        <w:rPr>
          <w:noProof/>
          <w:lang w:val="fr-FR"/>
        </w:rPr>
        <w:t xml:space="preserve"> 462–473.</w:t>
      </w:r>
    </w:p>
    <w:p w14:paraId="17511D2F" w14:textId="77777777" w:rsidR="00232741" w:rsidRPr="0089670E" w:rsidRDefault="00232741" w:rsidP="00232741">
      <w:pPr>
        <w:pStyle w:val="aff1"/>
        <w:ind w:left="426" w:hanging="426"/>
        <w:rPr>
          <w:noProof/>
        </w:rPr>
      </w:pPr>
      <w:r w:rsidRPr="00BB7751">
        <w:rPr>
          <w:noProof/>
          <w:lang w:val="fr-FR"/>
        </w:rPr>
        <w:t>Lloyd</w:t>
      </w:r>
      <w:r w:rsidRPr="00BB7751">
        <w:rPr>
          <w:rFonts w:hint="eastAsia"/>
          <w:noProof/>
          <w:lang w:val="fr-FR" w:eastAsia="ko-KR"/>
        </w:rPr>
        <w:t>,</w:t>
      </w:r>
      <w:r w:rsidRPr="00BB7751">
        <w:rPr>
          <w:noProof/>
          <w:lang w:val="fr-FR"/>
        </w:rPr>
        <w:t xml:space="preserve"> R</w:t>
      </w:r>
      <w:r w:rsidRPr="00BB7751">
        <w:rPr>
          <w:rFonts w:hint="eastAsia"/>
          <w:noProof/>
          <w:lang w:val="fr-FR" w:eastAsia="ko-KR"/>
        </w:rPr>
        <w:t>.</w:t>
      </w:r>
      <w:r w:rsidRPr="00BB7751">
        <w:rPr>
          <w:noProof/>
          <w:lang w:val="fr-FR"/>
        </w:rPr>
        <w:t>D</w:t>
      </w:r>
      <w:r w:rsidRPr="00BB7751">
        <w:rPr>
          <w:rFonts w:hint="eastAsia"/>
          <w:noProof/>
          <w:lang w:val="fr-FR" w:eastAsia="ko-KR"/>
        </w:rPr>
        <w:t>.</w:t>
      </w:r>
      <w:r w:rsidRPr="00BB7751">
        <w:rPr>
          <w:noProof/>
          <w:lang w:val="fr-FR"/>
        </w:rPr>
        <w:t>, Mays</w:t>
      </w:r>
      <w:r w:rsidRPr="00BB7751">
        <w:rPr>
          <w:rFonts w:hint="eastAsia"/>
          <w:noProof/>
          <w:lang w:val="fr-FR" w:eastAsia="ko-KR"/>
        </w:rPr>
        <w:t>,</w:t>
      </w:r>
      <w:r w:rsidRPr="00BB7751">
        <w:rPr>
          <w:noProof/>
          <w:lang w:val="fr-FR"/>
        </w:rPr>
        <w:t xml:space="preserve"> C</w:t>
      </w:r>
      <w:r w:rsidRPr="00BB7751">
        <w:rPr>
          <w:rFonts w:hint="eastAsia"/>
          <w:noProof/>
          <w:lang w:val="fr-FR" w:eastAsia="ko-KR"/>
        </w:rPr>
        <w:t>.</w:t>
      </w:r>
      <w:r w:rsidRPr="00BB7751">
        <w:rPr>
          <w:noProof/>
          <w:lang w:val="fr-FR"/>
        </w:rPr>
        <w:t>W</w:t>
      </w:r>
      <w:r w:rsidRPr="00BB7751">
        <w:rPr>
          <w:rFonts w:hint="eastAsia"/>
          <w:noProof/>
          <w:lang w:val="fr-FR" w:eastAsia="ko-KR"/>
        </w:rPr>
        <w:t>.</w:t>
      </w:r>
      <w:r w:rsidRPr="00BB7751">
        <w:rPr>
          <w:noProof/>
          <w:lang w:val="fr-FR"/>
        </w:rPr>
        <w:t>, Jones</w:t>
      </w:r>
      <w:r w:rsidRPr="00BB7751">
        <w:rPr>
          <w:rFonts w:hint="eastAsia"/>
          <w:noProof/>
          <w:lang w:val="fr-FR" w:eastAsia="ko-KR"/>
        </w:rPr>
        <w:t>,</w:t>
      </w:r>
      <w:r w:rsidRPr="00BB7751">
        <w:rPr>
          <w:noProof/>
          <w:lang w:val="fr-FR"/>
        </w:rPr>
        <w:t xml:space="preserve"> C</w:t>
      </w:r>
      <w:r w:rsidRPr="00BB7751">
        <w:rPr>
          <w:rFonts w:hint="eastAsia"/>
          <w:noProof/>
          <w:lang w:val="fr-FR" w:eastAsia="ko-KR"/>
        </w:rPr>
        <w:t>.</w:t>
      </w:r>
      <w:r w:rsidRPr="00BB7751">
        <w:rPr>
          <w:noProof/>
          <w:lang w:val="fr-FR"/>
        </w:rPr>
        <w:t>W</w:t>
      </w:r>
      <w:r w:rsidRPr="00BB7751">
        <w:rPr>
          <w:rFonts w:hint="eastAsia"/>
          <w:noProof/>
          <w:lang w:val="fr-FR" w:eastAsia="ko-KR"/>
        </w:rPr>
        <w:t>.</w:t>
      </w:r>
      <w:r w:rsidRPr="00BB7751">
        <w:rPr>
          <w:noProof/>
          <w:lang w:val="fr-FR"/>
        </w:rPr>
        <w:t>, et al.</w:t>
      </w:r>
      <w:r w:rsidRPr="00BB7751">
        <w:rPr>
          <w:rFonts w:hint="eastAsia"/>
          <w:noProof/>
          <w:lang w:val="fr-FR" w:eastAsia="ko-KR"/>
        </w:rPr>
        <w:t>,</w:t>
      </w:r>
      <w:r w:rsidRPr="00BB7751">
        <w:rPr>
          <w:noProof/>
          <w:lang w:val="fr-FR"/>
        </w:rPr>
        <w:t xml:space="preserve"> 1985</w:t>
      </w:r>
      <w:r w:rsidRPr="00BB7751">
        <w:rPr>
          <w:rFonts w:hint="eastAsia"/>
          <w:noProof/>
          <w:lang w:val="fr-FR" w:eastAsia="ko-KR"/>
        </w:rPr>
        <w:t>.</w:t>
      </w:r>
      <w:r w:rsidRPr="00BB7751">
        <w:rPr>
          <w:noProof/>
          <w:lang w:val="fr-FR"/>
        </w:rPr>
        <w:t xml:space="preserve"> </w:t>
      </w:r>
      <w:r w:rsidRPr="0089670E">
        <w:rPr>
          <w:noProof/>
        </w:rPr>
        <w:t xml:space="preserve">Effect of age on the efficacy of Zn-diethylenetriaminepentaacetic acid therapy for removal of Am and Pu from beagles. </w:t>
      </w:r>
      <w:r w:rsidRPr="00075971">
        <w:rPr>
          <w:noProof/>
        </w:rPr>
        <w:t>Radiat. Res.</w:t>
      </w:r>
      <w:r w:rsidRPr="0089670E">
        <w:rPr>
          <w:noProof/>
        </w:rPr>
        <w:t xml:space="preserve"> 101(3) 451–459.</w:t>
      </w:r>
    </w:p>
    <w:p w14:paraId="1DD94BE6" w14:textId="77777777" w:rsidR="00232741" w:rsidRPr="0089670E" w:rsidRDefault="00232741" w:rsidP="00232741">
      <w:pPr>
        <w:pStyle w:val="aff1"/>
        <w:ind w:left="426" w:hanging="426"/>
        <w:rPr>
          <w:noProof/>
        </w:rPr>
      </w:pPr>
      <w:r w:rsidRPr="0061223E">
        <w:rPr>
          <w:noProof/>
          <w:lang w:val="en-US"/>
        </w:rPr>
        <w:t>Lo Sasso</w:t>
      </w:r>
      <w:r w:rsidRPr="0061223E">
        <w:rPr>
          <w:rFonts w:hint="eastAsia"/>
          <w:noProof/>
          <w:lang w:val="en-US" w:eastAsia="ko-KR"/>
        </w:rPr>
        <w:t>,</w:t>
      </w:r>
      <w:r w:rsidRPr="0061223E">
        <w:rPr>
          <w:noProof/>
          <w:lang w:val="en-US"/>
        </w:rPr>
        <w:t xml:space="preserve"> T</w:t>
      </w:r>
      <w:r w:rsidRPr="0061223E">
        <w:rPr>
          <w:rFonts w:hint="eastAsia"/>
          <w:noProof/>
          <w:lang w:val="en-US" w:eastAsia="ko-KR"/>
        </w:rPr>
        <w:t>.</w:t>
      </w:r>
      <w:r w:rsidRPr="0061223E">
        <w:rPr>
          <w:noProof/>
          <w:lang w:val="en-US"/>
        </w:rPr>
        <w:t>, Cohen</w:t>
      </w:r>
      <w:r w:rsidRPr="0061223E">
        <w:rPr>
          <w:rFonts w:hint="eastAsia"/>
          <w:noProof/>
          <w:lang w:val="en-US" w:eastAsia="ko-KR"/>
        </w:rPr>
        <w:t>,</w:t>
      </w:r>
      <w:r w:rsidRPr="0061223E">
        <w:rPr>
          <w:noProof/>
          <w:lang w:val="en-US"/>
        </w:rPr>
        <w:t xml:space="preserve"> N</w:t>
      </w:r>
      <w:r w:rsidRPr="0061223E">
        <w:rPr>
          <w:rFonts w:hint="eastAsia"/>
          <w:noProof/>
          <w:lang w:val="en-US" w:eastAsia="ko-KR"/>
        </w:rPr>
        <w:t>.,</w:t>
      </w:r>
      <w:r w:rsidRPr="0061223E">
        <w:rPr>
          <w:noProof/>
          <w:lang w:val="en-US"/>
        </w:rPr>
        <w:t xml:space="preserve"> Wrenn</w:t>
      </w:r>
      <w:r w:rsidRPr="0061223E">
        <w:rPr>
          <w:rFonts w:hint="eastAsia"/>
          <w:noProof/>
          <w:lang w:val="en-US" w:eastAsia="ko-KR"/>
        </w:rPr>
        <w:t>,</w:t>
      </w:r>
      <w:r w:rsidRPr="0061223E">
        <w:rPr>
          <w:noProof/>
          <w:lang w:val="en-US"/>
        </w:rPr>
        <w:t xml:space="preserve"> M</w:t>
      </w:r>
      <w:r w:rsidRPr="0061223E">
        <w:rPr>
          <w:rFonts w:hint="eastAsia"/>
          <w:noProof/>
          <w:lang w:val="en-US" w:eastAsia="ko-KR"/>
        </w:rPr>
        <w:t>.</w:t>
      </w:r>
      <w:r w:rsidRPr="0061223E">
        <w:rPr>
          <w:noProof/>
          <w:lang w:val="en-US"/>
        </w:rPr>
        <w:t>E</w:t>
      </w:r>
      <w:r w:rsidRPr="0061223E">
        <w:rPr>
          <w:rFonts w:hint="eastAsia"/>
          <w:noProof/>
          <w:lang w:val="en-US" w:eastAsia="ko-KR"/>
        </w:rPr>
        <w:t>.,</w:t>
      </w:r>
      <w:r w:rsidRPr="0061223E">
        <w:rPr>
          <w:noProof/>
          <w:lang w:val="en-US"/>
        </w:rPr>
        <w:t xml:space="preserve"> 1981</w:t>
      </w:r>
      <w:r w:rsidRPr="0061223E">
        <w:rPr>
          <w:rFonts w:hint="eastAsia"/>
          <w:noProof/>
          <w:lang w:val="en-US" w:eastAsia="ko-KR"/>
        </w:rPr>
        <w:t>.</w:t>
      </w:r>
      <w:r w:rsidRPr="0061223E">
        <w:rPr>
          <w:noProof/>
          <w:lang w:val="en-US"/>
        </w:rPr>
        <w:t xml:space="preserve"> </w:t>
      </w:r>
      <w:r w:rsidRPr="0089670E">
        <w:rPr>
          <w:noProof/>
        </w:rPr>
        <w:t xml:space="preserve">Distribution and retention of 243,244Cm in the adult baboon. </w:t>
      </w:r>
      <w:r w:rsidRPr="00075971">
        <w:rPr>
          <w:noProof/>
        </w:rPr>
        <w:t>Radiat. Res.</w:t>
      </w:r>
      <w:r w:rsidRPr="0089670E">
        <w:rPr>
          <w:noProof/>
        </w:rPr>
        <w:t xml:space="preserve"> 85(1)</w:t>
      </w:r>
      <w:r>
        <w:rPr>
          <w:rFonts w:hint="eastAsia"/>
          <w:noProof/>
          <w:lang w:eastAsia="ko-KR"/>
        </w:rPr>
        <w:t>.</w:t>
      </w:r>
      <w:r w:rsidRPr="0089670E">
        <w:rPr>
          <w:noProof/>
        </w:rPr>
        <w:t xml:space="preserve"> 173–183.</w:t>
      </w:r>
    </w:p>
    <w:p w14:paraId="34417665" w14:textId="77777777" w:rsidR="00232741" w:rsidRPr="0089670E" w:rsidRDefault="00232741" w:rsidP="00232741">
      <w:pPr>
        <w:pStyle w:val="aff1"/>
        <w:ind w:left="426" w:hanging="426"/>
        <w:rPr>
          <w:noProof/>
        </w:rPr>
      </w:pPr>
      <w:r w:rsidRPr="0089670E">
        <w:rPr>
          <w:noProof/>
        </w:rPr>
        <w:t>Luessenhop</w:t>
      </w:r>
      <w:r>
        <w:rPr>
          <w:rFonts w:hint="eastAsia"/>
          <w:noProof/>
          <w:lang w:eastAsia="ko-KR"/>
        </w:rPr>
        <w:t>,</w:t>
      </w:r>
      <w:r w:rsidRPr="0089670E">
        <w:rPr>
          <w:noProof/>
        </w:rPr>
        <w:t xml:space="preserve"> A</w:t>
      </w:r>
      <w:r>
        <w:rPr>
          <w:rFonts w:hint="eastAsia"/>
          <w:noProof/>
          <w:lang w:eastAsia="ko-KR"/>
        </w:rPr>
        <w:t>.</w:t>
      </w:r>
      <w:r w:rsidRPr="0089670E">
        <w:rPr>
          <w:noProof/>
        </w:rPr>
        <w:t>J</w:t>
      </w:r>
      <w:r>
        <w:rPr>
          <w:rFonts w:hint="eastAsia"/>
          <w:noProof/>
          <w:lang w:eastAsia="ko-KR"/>
        </w:rPr>
        <w:t>.</w:t>
      </w:r>
      <w:r w:rsidRPr="0089670E">
        <w:rPr>
          <w:noProof/>
        </w:rPr>
        <w:t>, Gallimore</w:t>
      </w:r>
      <w:r>
        <w:rPr>
          <w:rFonts w:hint="eastAsia"/>
          <w:noProof/>
          <w:lang w:eastAsia="ko-KR"/>
        </w:rPr>
        <w:t>,</w:t>
      </w:r>
      <w:r w:rsidRPr="0089670E">
        <w:rPr>
          <w:noProof/>
        </w:rPr>
        <w:t xml:space="preserve"> J</w:t>
      </w:r>
      <w:r>
        <w:rPr>
          <w:rFonts w:hint="eastAsia"/>
          <w:noProof/>
          <w:lang w:eastAsia="ko-KR"/>
        </w:rPr>
        <w:t>.</w:t>
      </w:r>
      <w:r w:rsidRPr="0089670E">
        <w:rPr>
          <w:noProof/>
        </w:rPr>
        <w:t>C</w:t>
      </w:r>
      <w:r>
        <w:rPr>
          <w:rFonts w:hint="eastAsia"/>
          <w:noProof/>
          <w:lang w:eastAsia="ko-KR"/>
        </w:rPr>
        <w:t>.</w:t>
      </w:r>
      <w:r w:rsidRPr="0089670E">
        <w:rPr>
          <w:noProof/>
        </w:rPr>
        <w:t>, Sweet</w:t>
      </w:r>
      <w:r>
        <w:rPr>
          <w:rFonts w:hint="eastAsia"/>
          <w:noProof/>
          <w:lang w:eastAsia="ko-KR"/>
        </w:rPr>
        <w:t>,</w:t>
      </w:r>
      <w:r w:rsidRPr="0089670E">
        <w:rPr>
          <w:noProof/>
        </w:rPr>
        <w:t xml:space="preserve"> W</w:t>
      </w:r>
      <w:r>
        <w:rPr>
          <w:rFonts w:hint="eastAsia"/>
          <w:noProof/>
          <w:lang w:eastAsia="ko-KR"/>
        </w:rPr>
        <w:t>.</w:t>
      </w:r>
      <w:r w:rsidRPr="0089670E">
        <w:rPr>
          <w:noProof/>
        </w:rPr>
        <w:t>H</w:t>
      </w:r>
      <w:r>
        <w:rPr>
          <w:rFonts w:hint="eastAsia"/>
          <w:noProof/>
          <w:lang w:eastAsia="ko-KR"/>
        </w:rPr>
        <w:t>.</w:t>
      </w:r>
      <w:r w:rsidRPr="0089670E">
        <w:rPr>
          <w:noProof/>
        </w:rPr>
        <w:t>, et al.</w:t>
      </w:r>
      <w:r>
        <w:rPr>
          <w:rFonts w:hint="eastAsia"/>
          <w:noProof/>
          <w:lang w:eastAsia="ko-KR"/>
        </w:rPr>
        <w:t>,</w:t>
      </w:r>
      <w:r w:rsidRPr="0089670E">
        <w:rPr>
          <w:noProof/>
        </w:rPr>
        <w:t xml:space="preserve"> 1958</w:t>
      </w:r>
      <w:r>
        <w:rPr>
          <w:rFonts w:hint="eastAsia"/>
          <w:noProof/>
          <w:lang w:eastAsia="ko-KR"/>
        </w:rPr>
        <w:t>.</w:t>
      </w:r>
      <w:r w:rsidRPr="0089670E">
        <w:rPr>
          <w:noProof/>
        </w:rPr>
        <w:t xml:space="preserve"> The toxicity in humans of hexavalent uranium following intravenous administration. </w:t>
      </w:r>
      <w:r w:rsidRPr="00907CE1">
        <w:rPr>
          <w:noProof/>
        </w:rPr>
        <w:t>Am. J. Roentgenol. Radium Ther.</w:t>
      </w:r>
      <w:r w:rsidRPr="0089670E">
        <w:rPr>
          <w:noProof/>
        </w:rPr>
        <w:t xml:space="preserve"> 79(1)</w:t>
      </w:r>
      <w:r>
        <w:rPr>
          <w:rFonts w:hint="eastAsia"/>
          <w:noProof/>
          <w:lang w:eastAsia="ko-KR"/>
        </w:rPr>
        <w:t>.</w:t>
      </w:r>
      <w:r w:rsidRPr="0089670E">
        <w:rPr>
          <w:noProof/>
        </w:rPr>
        <w:t xml:space="preserve"> 83–100.</w:t>
      </w:r>
    </w:p>
    <w:p w14:paraId="4E67D13D" w14:textId="77777777" w:rsidR="00232741" w:rsidRPr="0089670E" w:rsidRDefault="00232741" w:rsidP="00232741">
      <w:pPr>
        <w:pStyle w:val="aff1"/>
        <w:ind w:left="426" w:hanging="426"/>
        <w:rPr>
          <w:noProof/>
        </w:rPr>
      </w:pPr>
      <w:r w:rsidRPr="0089670E">
        <w:rPr>
          <w:noProof/>
        </w:rPr>
        <w:lastRenderedPageBreak/>
        <w:t>Lynch</w:t>
      </w:r>
      <w:r>
        <w:rPr>
          <w:rFonts w:hint="eastAsia"/>
          <w:noProof/>
          <w:lang w:eastAsia="ko-KR"/>
        </w:rPr>
        <w:t>,</w:t>
      </w:r>
      <w:r w:rsidRPr="0089670E">
        <w:rPr>
          <w:noProof/>
        </w:rPr>
        <w:t xml:space="preserve"> T</w:t>
      </w:r>
      <w:r>
        <w:rPr>
          <w:rFonts w:hint="eastAsia"/>
          <w:noProof/>
          <w:lang w:eastAsia="ko-KR"/>
        </w:rPr>
        <w:t>.</w:t>
      </w:r>
      <w:r w:rsidRPr="0089670E">
        <w:rPr>
          <w:noProof/>
        </w:rPr>
        <w:t>P</w:t>
      </w:r>
      <w:r>
        <w:rPr>
          <w:rFonts w:hint="eastAsia"/>
          <w:noProof/>
          <w:lang w:eastAsia="ko-KR"/>
        </w:rPr>
        <w:t>.</w:t>
      </w:r>
      <w:r w:rsidRPr="0089670E">
        <w:rPr>
          <w:noProof/>
        </w:rPr>
        <w:t>, Kathren</w:t>
      </w:r>
      <w:r>
        <w:rPr>
          <w:rFonts w:hint="eastAsia"/>
          <w:noProof/>
          <w:lang w:eastAsia="ko-KR"/>
        </w:rPr>
        <w:t>,</w:t>
      </w:r>
      <w:r w:rsidRPr="0089670E">
        <w:rPr>
          <w:noProof/>
        </w:rPr>
        <w:t xml:space="preserve"> R</w:t>
      </w:r>
      <w:r>
        <w:rPr>
          <w:rFonts w:hint="eastAsia"/>
          <w:noProof/>
          <w:lang w:eastAsia="ko-KR"/>
        </w:rPr>
        <w:t>.</w:t>
      </w:r>
      <w:r w:rsidRPr="0089670E">
        <w:rPr>
          <w:noProof/>
        </w:rPr>
        <w:t>L</w:t>
      </w:r>
      <w:r>
        <w:rPr>
          <w:rFonts w:hint="eastAsia"/>
          <w:noProof/>
          <w:lang w:eastAsia="ko-KR"/>
        </w:rPr>
        <w:t>.</w:t>
      </w:r>
      <w:r w:rsidRPr="0089670E">
        <w:rPr>
          <w:noProof/>
        </w:rPr>
        <w:t>, Dagle</w:t>
      </w:r>
      <w:r>
        <w:rPr>
          <w:rFonts w:hint="eastAsia"/>
          <w:noProof/>
          <w:lang w:eastAsia="ko-KR"/>
        </w:rPr>
        <w:t>,</w:t>
      </w:r>
      <w:r w:rsidRPr="0089670E">
        <w:rPr>
          <w:noProof/>
        </w:rPr>
        <w:t xml:space="preserve"> G</w:t>
      </w:r>
      <w:r>
        <w:rPr>
          <w:rFonts w:hint="eastAsia"/>
          <w:noProof/>
          <w:lang w:eastAsia="ko-KR"/>
        </w:rPr>
        <w:t>.</w:t>
      </w:r>
      <w:r w:rsidRPr="0089670E">
        <w:rPr>
          <w:noProof/>
        </w:rPr>
        <w:t>E</w:t>
      </w:r>
      <w:r>
        <w:rPr>
          <w:rFonts w:hint="eastAsia"/>
          <w:noProof/>
          <w:lang w:eastAsia="ko-KR"/>
        </w:rPr>
        <w:t>.</w:t>
      </w:r>
      <w:r w:rsidRPr="0089670E">
        <w:rPr>
          <w:noProof/>
        </w:rPr>
        <w:t>, et al.</w:t>
      </w:r>
      <w:r>
        <w:rPr>
          <w:rFonts w:hint="eastAsia"/>
          <w:noProof/>
          <w:lang w:eastAsia="ko-KR"/>
        </w:rPr>
        <w:t>,</w:t>
      </w:r>
      <w:r w:rsidRPr="0089670E">
        <w:rPr>
          <w:noProof/>
        </w:rPr>
        <w:t xml:space="preserve"> 1989</w:t>
      </w:r>
      <w:r>
        <w:rPr>
          <w:rFonts w:hint="eastAsia"/>
          <w:noProof/>
          <w:lang w:eastAsia="ko-KR"/>
        </w:rPr>
        <w:t>.</w:t>
      </w:r>
      <w:r w:rsidRPr="0089670E">
        <w:rPr>
          <w:noProof/>
        </w:rPr>
        <w:t xml:space="preserve"> Comparative skeletal distribution of Am and Pu in humans, monkey, and baboon. </w:t>
      </w:r>
      <w:r w:rsidRPr="00ED6790">
        <w:rPr>
          <w:noProof/>
        </w:rPr>
        <w:t>Health Phys</w:t>
      </w:r>
      <w:r>
        <w:rPr>
          <w:rFonts w:hint="eastAsia"/>
          <w:noProof/>
          <w:lang w:eastAsia="ko-KR"/>
        </w:rPr>
        <w:t>.</w:t>
      </w:r>
      <w:r w:rsidRPr="0089670E">
        <w:rPr>
          <w:noProof/>
        </w:rPr>
        <w:t xml:space="preserve"> 57 Suppl 1</w:t>
      </w:r>
      <w:r>
        <w:rPr>
          <w:rFonts w:hint="eastAsia"/>
          <w:noProof/>
          <w:lang w:eastAsia="ko-KR"/>
        </w:rPr>
        <w:t>.</w:t>
      </w:r>
      <w:r w:rsidRPr="0089670E">
        <w:rPr>
          <w:noProof/>
        </w:rPr>
        <w:t xml:space="preserve"> 81–88.</w:t>
      </w:r>
    </w:p>
    <w:p w14:paraId="7FD2F51C" w14:textId="77777777" w:rsidR="00232741" w:rsidRPr="0089670E" w:rsidRDefault="00232741" w:rsidP="00232741">
      <w:pPr>
        <w:pStyle w:val="aff1"/>
        <w:ind w:left="426" w:hanging="426"/>
        <w:rPr>
          <w:noProof/>
        </w:rPr>
      </w:pPr>
      <w:r w:rsidRPr="0089670E">
        <w:rPr>
          <w:noProof/>
        </w:rPr>
        <w:t>Lyubchanskiy</w:t>
      </w:r>
      <w:r>
        <w:rPr>
          <w:rFonts w:hint="eastAsia"/>
          <w:noProof/>
          <w:lang w:eastAsia="ko-KR"/>
        </w:rPr>
        <w:t>,</w:t>
      </w:r>
      <w:r w:rsidRPr="0089670E">
        <w:rPr>
          <w:noProof/>
        </w:rPr>
        <w:t xml:space="preserve"> E</w:t>
      </w:r>
      <w:r>
        <w:rPr>
          <w:rFonts w:hint="eastAsia"/>
          <w:noProof/>
          <w:lang w:eastAsia="ko-KR"/>
        </w:rPr>
        <w:t>.</w:t>
      </w:r>
      <w:r w:rsidRPr="0089670E">
        <w:rPr>
          <w:noProof/>
        </w:rPr>
        <w:t>R</w:t>
      </w:r>
      <w:r>
        <w:rPr>
          <w:rFonts w:hint="eastAsia"/>
          <w:noProof/>
          <w:lang w:eastAsia="ko-KR"/>
        </w:rPr>
        <w:t>.,</w:t>
      </w:r>
      <w:r w:rsidRPr="0089670E">
        <w:rPr>
          <w:noProof/>
        </w:rPr>
        <w:t xml:space="preserve"> Levdik</w:t>
      </w:r>
      <w:r>
        <w:rPr>
          <w:rFonts w:hint="eastAsia"/>
          <w:noProof/>
          <w:lang w:eastAsia="ko-KR"/>
        </w:rPr>
        <w:t>,</w:t>
      </w:r>
      <w:r w:rsidRPr="0089670E">
        <w:rPr>
          <w:noProof/>
        </w:rPr>
        <w:t xml:space="preserve"> T</w:t>
      </w:r>
      <w:r>
        <w:rPr>
          <w:rFonts w:hint="eastAsia"/>
          <w:noProof/>
          <w:lang w:eastAsia="ko-KR"/>
        </w:rPr>
        <w:t>.</w:t>
      </w:r>
      <w:r w:rsidRPr="0089670E">
        <w:rPr>
          <w:noProof/>
        </w:rPr>
        <w:t>I</w:t>
      </w:r>
      <w:r>
        <w:rPr>
          <w:rFonts w:hint="eastAsia"/>
          <w:noProof/>
          <w:lang w:eastAsia="ko-KR"/>
        </w:rPr>
        <w:t>.,</w:t>
      </w:r>
      <w:r w:rsidRPr="0089670E">
        <w:rPr>
          <w:noProof/>
        </w:rPr>
        <w:t xml:space="preserve"> 1972</w:t>
      </w:r>
      <w:r>
        <w:rPr>
          <w:rFonts w:hint="eastAsia"/>
          <w:noProof/>
          <w:lang w:eastAsia="ko-KR"/>
        </w:rPr>
        <w:t>.</w:t>
      </w:r>
      <w:r w:rsidRPr="0089670E">
        <w:rPr>
          <w:noProof/>
        </w:rPr>
        <w:t xml:space="preserve"> Neptunium 237 Metabolism after inhalation thereof. In: Moskalev YI and Kalistratova VS (eds) </w:t>
      </w:r>
      <w:r w:rsidRPr="00ED6790">
        <w:rPr>
          <w:noProof/>
        </w:rPr>
        <w:t>Biological Effects of Radiation from External and Internal Sources. Translated in U.S. Atomic Energy Commission Document AEC-Tr-7457</w:t>
      </w:r>
      <w:r w:rsidRPr="0089670E">
        <w:rPr>
          <w:noProof/>
        </w:rPr>
        <w:t>. Moscow, Russia: Meditsina, pp. 204–214.</w:t>
      </w:r>
    </w:p>
    <w:p w14:paraId="5B123F36" w14:textId="77777777" w:rsidR="00232741" w:rsidRPr="0089670E" w:rsidRDefault="00232741" w:rsidP="00232741">
      <w:pPr>
        <w:pStyle w:val="aff1"/>
        <w:ind w:left="426" w:hanging="426"/>
        <w:rPr>
          <w:noProof/>
        </w:rPr>
      </w:pPr>
      <w:r w:rsidRPr="0089670E">
        <w:rPr>
          <w:noProof/>
        </w:rPr>
        <w:t>Mahlum</w:t>
      </w:r>
      <w:r>
        <w:rPr>
          <w:rFonts w:hint="eastAsia"/>
          <w:noProof/>
          <w:lang w:eastAsia="ko-KR"/>
        </w:rPr>
        <w:t>,</w:t>
      </w:r>
      <w:r w:rsidRPr="0089670E">
        <w:rPr>
          <w:noProof/>
        </w:rPr>
        <w:t xml:space="preserve"> D</w:t>
      </w:r>
      <w:r>
        <w:rPr>
          <w:rFonts w:hint="eastAsia"/>
          <w:noProof/>
          <w:lang w:eastAsia="ko-KR"/>
        </w:rPr>
        <w:t>.</w:t>
      </w:r>
      <w:r w:rsidRPr="0089670E">
        <w:rPr>
          <w:noProof/>
        </w:rPr>
        <w:t>D</w:t>
      </w:r>
      <w:r>
        <w:rPr>
          <w:rFonts w:hint="eastAsia"/>
          <w:noProof/>
          <w:lang w:eastAsia="ko-KR"/>
        </w:rPr>
        <w:t>.,</w:t>
      </w:r>
      <w:r w:rsidRPr="0089670E">
        <w:rPr>
          <w:noProof/>
        </w:rPr>
        <w:t xml:space="preserve"> Sikov</w:t>
      </w:r>
      <w:r>
        <w:rPr>
          <w:rFonts w:hint="eastAsia"/>
          <w:noProof/>
          <w:lang w:eastAsia="ko-KR"/>
        </w:rPr>
        <w:t>,</w:t>
      </w:r>
      <w:r w:rsidRPr="0089670E">
        <w:rPr>
          <w:noProof/>
        </w:rPr>
        <w:t xml:space="preserve"> M</w:t>
      </w:r>
      <w:r>
        <w:rPr>
          <w:rFonts w:hint="eastAsia"/>
          <w:noProof/>
          <w:lang w:eastAsia="ko-KR"/>
        </w:rPr>
        <w:t>.</w:t>
      </w:r>
      <w:r w:rsidRPr="0089670E">
        <w:rPr>
          <w:noProof/>
        </w:rPr>
        <w:t>R</w:t>
      </w:r>
      <w:r>
        <w:rPr>
          <w:rFonts w:hint="eastAsia"/>
          <w:noProof/>
          <w:lang w:eastAsia="ko-KR"/>
        </w:rPr>
        <w:t>.,</w:t>
      </w:r>
      <w:r w:rsidRPr="0089670E">
        <w:rPr>
          <w:noProof/>
        </w:rPr>
        <w:t xml:space="preserve"> 1968</w:t>
      </w:r>
      <w:r>
        <w:rPr>
          <w:rFonts w:hint="eastAsia"/>
          <w:noProof/>
          <w:lang w:eastAsia="ko-KR"/>
        </w:rPr>
        <w:t>.</w:t>
      </w:r>
      <w:r w:rsidRPr="0089670E">
        <w:rPr>
          <w:noProof/>
        </w:rPr>
        <w:t xml:space="preserve"> Distribution of cerium-144 in the fetal and newborn rat. </w:t>
      </w:r>
      <w:r w:rsidRPr="00ED6790">
        <w:rPr>
          <w:noProof/>
        </w:rPr>
        <w:t>Health Phys</w:t>
      </w:r>
      <w:r>
        <w:rPr>
          <w:rFonts w:hint="eastAsia"/>
          <w:noProof/>
          <w:lang w:eastAsia="ko-KR"/>
        </w:rPr>
        <w:t>.</w:t>
      </w:r>
      <w:r w:rsidRPr="0089670E">
        <w:rPr>
          <w:noProof/>
        </w:rPr>
        <w:t xml:space="preserve"> 14(2)</w:t>
      </w:r>
      <w:r>
        <w:rPr>
          <w:rFonts w:hint="eastAsia"/>
          <w:noProof/>
          <w:lang w:eastAsia="ko-KR"/>
        </w:rPr>
        <w:t>.</w:t>
      </w:r>
      <w:r w:rsidRPr="0089670E">
        <w:rPr>
          <w:noProof/>
        </w:rPr>
        <w:t xml:space="preserve"> 127–129.</w:t>
      </w:r>
    </w:p>
    <w:p w14:paraId="660FE730" w14:textId="77777777" w:rsidR="00232741" w:rsidRPr="0089670E" w:rsidRDefault="00232741" w:rsidP="00232741">
      <w:pPr>
        <w:pStyle w:val="aff1"/>
        <w:ind w:left="426" w:hanging="426"/>
        <w:rPr>
          <w:noProof/>
        </w:rPr>
      </w:pPr>
      <w:r w:rsidRPr="0089670E">
        <w:rPr>
          <w:noProof/>
        </w:rPr>
        <w:t>Malátová</w:t>
      </w:r>
      <w:r>
        <w:rPr>
          <w:rFonts w:hint="eastAsia"/>
          <w:noProof/>
          <w:lang w:eastAsia="ko-KR"/>
        </w:rPr>
        <w:t>,</w:t>
      </w:r>
      <w:r w:rsidRPr="0089670E">
        <w:rPr>
          <w:noProof/>
        </w:rPr>
        <w:t xml:space="preserve"> I</w:t>
      </w:r>
      <w:r>
        <w:rPr>
          <w:rFonts w:hint="eastAsia"/>
          <w:noProof/>
          <w:lang w:eastAsia="ko-KR"/>
        </w:rPr>
        <w:t>.</w:t>
      </w:r>
      <w:r w:rsidRPr="0089670E">
        <w:rPr>
          <w:noProof/>
        </w:rPr>
        <w:t>, Foltánová</w:t>
      </w:r>
      <w:r>
        <w:rPr>
          <w:rFonts w:hint="eastAsia"/>
          <w:noProof/>
          <w:lang w:eastAsia="ko-KR"/>
        </w:rPr>
        <w:t>,</w:t>
      </w:r>
      <w:r w:rsidRPr="0089670E">
        <w:rPr>
          <w:noProof/>
        </w:rPr>
        <w:t xml:space="preserve"> Ô</w:t>
      </w:r>
      <w:r>
        <w:rPr>
          <w:rFonts w:hint="eastAsia"/>
          <w:noProof/>
          <w:lang w:eastAsia="ko-KR"/>
        </w:rPr>
        <w:t>.</w:t>
      </w:r>
      <w:r w:rsidRPr="0089670E">
        <w:rPr>
          <w:noProof/>
        </w:rPr>
        <w:t>, Be_ková</w:t>
      </w:r>
      <w:r>
        <w:rPr>
          <w:rFonts w:hint="eastAsia"/>
          <w:noProof/>
          <w:lang w:eastAsia="ko-KR"/>
        </w:rPr>
        <w:t>,</w:t>
      </w:r>
      <w:r w:rsidRPr="0089670E">
        <w:rPr>
          <w:noProof/>
        </w:rPr>
        <w:t xml:space="preserve"> V</w:t>
      </w:r>
      <w:r>
        <w:rPr>
          <w:rFonts w:hint="eastAsia"/>
          <w:noProof/>
          <w:lang w:eastAsia="ko-KR"/>
        </w:rPr>
        <w:t>.</w:t>
      </w:r>
      <w:r w:rsidRPr="0089670E">
        <w:rPr>
          <w:noProof/>
        </w:rPr>
        <w:t>, et al.</w:t>
      </w:r>
      <w:r>
        <w:rPr>
          <w:rFonts w:hint="eastAsia"/>
          <w:noProof/>
          <w:lang w:eastAsia="ko-KR"/>
        </w:rPr>
        <w:t>,</w:t>
      </w:r>
      <w:r w:rsidRPr="0089670E">
        <w:rPr>
          <w:noProof/>
        </w:rPr>
        <w:t xml:space="preserve"> 2003</w:t>
      </w:r>
      <w:r>
        <w:rPr>
          <w:rFonts w:hint="eastAsia"/>
          <w:noProof/>
          <w:lang w:eastAsia="ko-KR"/>
        </w:rPr>
        <w:t>.</w:t>
      </w:r>
      <w:r w:rsidRPr="0089670E">
        <w:rPr>
          <w:noProof/>
        </w:rPr>
        <w:t xml:space="preserve"> Assessment of occupational doses from internal contamination with </w:t>
      </w:r>
      <w:r w:rsidRPr="007327C5">
        <w:rPr>
          <w:noProof/>
          <w:vertAlign w:val="superscript"/>
        </w:rPr>
        <w:t>241</w:t>
      </w:r>
      <w:r w:rsidRPr="0089670E">
        <w:rPr>
          <w:noProof/>
        </w:rPr>
        <w:t xml:space="preserve">Am. </w:t>
      </w:r>
      <w:r w:rsidRPr="007327C5">
        <w:rPr>
          <w:noProof/>
        </w:rPr>
        <w:t>Radiat. Prot. Dosimetry</w:t>
      </w:r>
      <w:r w:rsidRPr="0089670E">
        <w:rPr>
          <w:noProof/>
        </w:rPr>
        <w:t xml:space="preserve"> 105(1–4). 325–328.</w:t>
      </w:r>
    </w:p>
    <w:p w14:paraId="0B24FDD9" w14:textId="77777777" w:rsidR="00232741" w:rsidRPr="00BB7751" w:rsidRDefault="00232741" w:rsidP="00232741">
      <w:pPr>
        <w:pStyle w:val="aff1"/>
        <w:ind w:left="426" w:hanging="426"/>
        <w:rPr>
          <w:noProof/>
          <w:lang w:val="fr-FR"/>
        </w:rPr>
      </w:pPr>
      <w:r w:rsidRPr="0089670E">
        <w:rPr>
          <w:noProof/>
        </w:rPr>
        <w:t>Malátová</w:t>
      </w:r>
      <w:r>
        <w:rPr>
          <w:rFonts w:hint="eastAsia"/>
          <w:noProof/>
          <w:lang w:eastAsia="ko-KR"/>
        </w:rPr>
        <w:t>,</w:t>
      </w:r>
      <w:r w:rsidRPr="0089670E">
        <w:rPr>
          <w:noProof/>
        </w:rPr>
        <w:t xml:space="preserve"> I</w:t>
      </w:r>
      <w:r>
        <w:rPr>
          <w:rFonts w:hint="eastAsia"/>
          <w:noProof/>
          <w:lang w:eastAsia="ko-KR"/>
        </w:rPr>
        <w:t>.</w:t>
      </w:r>
      <w:r w:rsidRPr="0089670E">
        <w:rPr>
          <w:noProof/>
        </w:rPr>
        <w:t>, Vrba</w:t>
      </w:r>
      <w:r>
        <w:rPr>
          <w:rFonts w:hint="eastAsia"/>
          <w:noProof/>
          <w:lang w:eastAsia="ko-KR"/>
        </w:rPr>
        <w:t>,</w:t>
      </w:r>
      <w:r w:rsidRPr="0089670E">
        <w:rPr>
          <w:noProof/>
        </w:rPr>
        <w:t xml:space="preserve"> T</w:t>
      </w:r>
      <w:r>
        <w:rPr>
          <w:rFonts w:hint="eastAsia"/>
          <w:noProof/>
          <w:lang w:eastAsia="ko-KR"/>
        </w:rPr>
        <w:t>.</w:t>
      </w:r>
      <w:r w:rsidRPr="0089670E">
        <w:rPr>
          <w:noProof/>
        </w:rPr>
        <w:t>, Becková</w:t>
      </w:r>
      <w:r>
        <w:rPr>
          <w:rFonts w:hint="eastAsia"/>
          <w:noProof/>
          <w:lang w:eastAsia="ko-KR"/>
        </w:rPr>
        <w:t>,</w:t>
      </w:r>
      <w:r w:rsidRPr="0089670E">
        <w:rPr>
          <w:noProof/>
        </w:rPr>
        <w:t xml:space="preserve"> V</w:t>
      </w:r>
      <w:r>
        <w:rPr>
          <w:rFonts w:hint="eastAsia"/>
          <w:noProof/>
          <w:lang w:eastAsia="ko-KR"/>
        </w:rPr>
        <w:t>.</w:t>
      </w:r>
      <w:r w:rsidRPr="0089670E">
        <w:rPr>
          <w:noProof/>
        </w:rPr>
        <w:t>, et al.</w:t>
      </w:r>
      <w:r>
        <w:rPr>
          <w:rFonts w:hint="eastAsia"/>
          <w:noProof/>
          <w:lang w:eastAsia="ko-KR"/>
        </w:rPr>
        <w:t>,</w:t>
      </w:r>
      <w:r w:rsidRPr="0089670E">
        <w:rPr>
          <w:noProof/>
        </w:rPr>
        <w:t xml:space="preserve"> 2010</w:t>
      </w:r>
      <w:r>
        <w:rPr>
          <w:rFonts w:hint="eastAsia"/>
          <w:noProof/>
          <w:lang w:eastAsia="ko-KR"/>
        </w:rPr>
        <w:t>.</w:t>
      </w:r>
      <w:r w:rsidRPr="0089670E">
        <w:rPr>
          <w:noProof/>
        </w:rPr>
        <w:t xml:space="preserve"> Twelve years of follow up of cases with old 241Am internal contamination. </w:t>
      </w:r>
      <w:r w:rsidRPr="00ED6790">
        <w:rPr>
          <w:noProof/>
        </w:rPr>
        <w:t>Health phys</w:t>
      </w:r>
      <w:r>
        <w:rPr>
          <w:rFonts w:hint="eastAsia"/>
          <w:noProof/>
          <w:lang w:eastAsia="ko-KR"/>
        </w:rPr>
        <w:t>.</w:t>
      </w:r>
      <w:r w:rsidRPr="0089670E">
        <w:rPr>
          <w:noProof/>
        </w:rPr>
        <w:t xml:space="preserve"> 99(4). </w:t>
      </w:r>
      <w:r w:rsidRPr="00BB7751">
        <w:rPr>
          <w:noProof/>
          <w:lang w:val="fr-FR"/>
        </w:rPr>
        <w:t>495–502.</w:t>
      </w:r>
    </w:p>
    <w:p w14:paraId="252B2668" w14:textId="77777777" w:rsidR="00232741" w:rsidRPr="0089670E" w:rsidRDefault="00232741" w:rsidP="00232741">
      <w:pPr>
        <w:pStyle w:val="aff1"/>
        <w:ind w:left="426" w:hanging="426"/>
        <w:rPr>
          <w:noProof/>
        </w:rPr>
      </w:pPr>
      <w:r w:rsidRPr="00BB7751">
        <w:rPr>
          <w:noProof/>
          <w:lang w:val="fr-FR"/>
        </w:rPr>
        <w:t>Maletskos</w:t>
      </w:r>
      <w:r w:rsidRPr="00BB7751">
        <w:rPr>
          <w:rFonts w:hint="eastAsia"/>
          <w:noProof/>
          <w:lang w:val="fr-FR" w:eastAsia="ko-KR"/>
        </w:rPr>
        <w:t>,</w:t>
      </w:r>
      <w:r w:rsidRPr="00BB7751">
        <w:rPr>
          <w:noProof/>
          <w:lang w:val="fr-FR"/>
        </w:rPr>
        <w:t xml:space="preserve"> C</w:t>
      </w:r>
      <w:r w:rsidRPr="00BB7751">
        <w:rPr>
          <w:rFonts w:hint="eastAsia"/>
          <w:noProof/>
          <w:lang w:val="fr-FR" w:eastAsia="ko-KR"/>
        </w:rPr>
        <w:t>.</w:t>
      </w:r>
      <w:r w:rsidRPr="00BB7751">
        <w:rPr>
          <w:noProof/>
          <w:lang w:val="fr-FR"/>
        </w:rPr>
        <w:t>J</w:t>
      </w:r>
      <w:r w:rsidRPr="00BB7751">
        <w:rPr>
          <w:rFonts w:hint="eastAsia"/>
          <w:noProof/>
          <w:lang w:val="fr-FR" w:eastAsia="ko-KR"/>
        </w:rPr>
        <w:t>.</w:t>
      </w:r>
      <w:r w:rsidRPr="00BB7751">
        <w:rPr>
          <w:noProof/>
          <w:lang w:val="fr-FR"/>
        </w:rPr>
        <w:t>, Keane</w:t>
      </w:r>
      <w:r w:rsidRPr="00BB7751">
        <w:rPr>
          <w:rFonts w:hint="eastAsia"/>
          <w:noProof/>
          <w:lang w:val="fr-FR" w:eastAsia="ko-KR"/>
        </w:rPr>
        <w:t>,</w:t>
      </w:r>
      <w:r w:rsidRPr="00BB7751">
        <w:rPr>
          <w:noProof/>
          <w:lang w:val="fr-FR"/>
        </w:rPr>
        <w:t xml:space="preserve"> A</w:t>
      </w:r>
      <w:r w:rsidRPr="00BB7751">
        <w:rPr>
          <w:rFonts w:hint="eastAsia"/>
          <w:noProof/>
          <w:lang w:val="fr-FR" w:eastAsia="ko-KR"/>
        </w:rPr>
        <w:t>.</w:t>
      </w:r>
      <w:r w:rsidRPr="00BB7751">
        <w:rPr>
          <w:noProof/>
          <w:lang w:val="fr-FR"/>
        </w:rPr>
        <w:t>T</w:t>
      </w:r>
      <w:r w:rsidRPr="00BB7751">
        <w:rPr>
          <w:rFonts w:hint="eastAsia"/>
          <w:noProof/>
          <w:lang w:val="fr-FR" w:eastAsia="ko-KR"/>
        </w:rPr>
        <w:t>.</w:t>
      </w:r>
      <w:r w:rsidRPr="00BB7751">
        <w:rPr>
          <w:noProof/>
          <w:lang w:val="fr-FR"/>
        </w:rPr>
        <w:t>, Telles</w:t>
      </w:r>
      <w:r w:rsidRPr="00BB7751">
        <w:rPr>
          <w:rFonts w:hint="eastAsia"/>
          <w:noProof/>
          <w:lang w:val="fr-FR" w:eastAsia="ko-KR"/>
        </w:rPr>
        <w:t>,</w:t>
      </w:r>
      <w:r w:rsidRPr="00BB7751">
        <w:rPr>
          <w:noProof/>
          <w:lang w:val="fr-FR"/>
        </w:rPr>
        <w:t xml:space="preserve"> N</w:t>
      </w:r>
      <w:r w:rsidRPr="00BB7751">
        <w:rPr>
          <w:rFonts w:hint="eastAsia"/>
          <w:noProof/>
          <w:lang w:val="fr-FR" w:eastAsia="ko-KR"/>
        </w:rPr>
        <w:t>.</w:t>
      </w:r>
      <w:r w:rsidRPr="00BB7751">
        <w:rPr>
          <w:noProof/>
          <w:lang w:val="fr-FR"/>
        </w:rPr>
        <w:t>C</w:t>
      </w:r>
      <w:r w:rsidRPr="00BB7751">
        <w:rPr>
          <w:rFonts w:hint="eastAsia"/>
          <w:noProof/>
          <w:lang w:val="fr-FR" w:eastAsia="ko-KR"/>
        </w:rPr>
        <w:t>.</w:t>
      </w:r>
      <w:r w:rsidRPr="00BB7751">
        <w:rPr>
          <w:noProof/>
          <w:lang w:val="fr-FR"/>
        </w:rPr>
        <w:t>, et al.</w:t>
      </w:r>
      <w:r w:rsidRPr="00BB7751">
        <w:rPr>
          <w:rFonts w:hint="eastAsia"/>
          <w:noProof/>
          <w:lang w:val="fr-FR" w:eastAsia="ko-KR"/>
        </w:rPr>
        <w:t>,</w:t>
      </w:r>
      <w:r w:rsidRPr="00BB7751">
        <w:rPr>
          <w:noProof/>
          <w:lang w:val="fr-FR"/>
        </w:rPr>
        <w:t xml:space="preserve"> 1966</w:t>
      </w:r>
      <w:r w:rsidRPr="00BB7751">
        <w:rPr>
          <w:rFonts w:hint="eastAsia"/>
          <w:noProof/>
          <w:lang w:val="fr-FR" w:eastAsia="ko-KR"/>
        </w:rPr>
        <w:t>.</w:t>
      </w:r>
      <w:r w:rsidRPr="00BB7751">
        <w:rPr>
          <w:noProof/>
          <w:lang w:val="fr-FR"/>
        </w:rPr>
        <w:t xml:space="preserve"> </w:t>
      </w:r>
      <w:r w:rsidRPr="00ED6790">
        <w:rPr>
          <w:noProof/>
        </w:rPr>
        <w:t>The metabolism of intravenously administered radium and thorium in human beings and the relative absorption from the human gastrointestinal tract of radium and thorium in simulated radium dial paints</w:t>
      </w:r>
      <w:r w:rsidRPr="0089670E">
        <w:rPr>
          <w:noProof/>
        </w:rPr>
        <w:t>. Radium and Mesothorium Poisoning and Dosimetry and Instrumentation Techniques in Applied Radioactivity MIT-952-3. Cambridge, MA: Massachusetts Institute of Technology.</w:t>
      </w:r>
    </w:p>
    <w:p w14:paraId="036D1C95" w14:textId="77777777" w:rsidR="00232741" w:rsidRPr="0089670E" w:rsidRDefault="00232741" w:rsidP="00232741">
      <w:pPr>
        <w:pStyle w:val="aff1"/>
        <w:ind w:left="426" w:hanging="426"/>
        <w:rPr>
          <w:noProof/>
        </w:rPr>
      </w:pPr>
      <w:r w:rsidRPr="0089670E">
        <w:rPr>
          <w:noProof/>
        </w:rPr>
        <w:t>Maletskos</w:t>
      </w:r>
      <w:r>
        <w:rPr>
          <w:rFonts w:hint="eastAsia"/>
          <w:noProof/>
          <w:lang w:eastAsia="ko-KR"/>
        </w:rPr>
        <w:t>,</w:t>
      </w:r>
      <w:r w:rsidRPr="0089670E">
        <w:rPr>
          <w:noProof/>
        </w:rPr>
        <w:t xml:space="preserve"> C</w:t>
      </w:r>
      <w:r>
        <w:rPr>
          <w:rFonts w:hint="eastAsia"/>
          <w:noProof/>
          <w:lang w:eastAsia="ko-KR"/>
        </w:rPr>
        <w:t>.</w:t>
      </w:r>
      <w:r w:rsidRPr="0089670E">
        <w:rPr>
          <w:noProof/>
        </w:rPr>
        <w:t>J</w:t>
      </w:r>
      <w:r>
        <w:rPr>
          <w:rFonts w:hint="eastAsia"/>
          <w:noProof/>
          <w:lang w:eastAsia="ko-KR"/>
        </w:rPr>
        <w:t>.</w:t>
      </w:r>
      <w:r w:rsidRPr="0089670E">
        <w:rPr>
          <w:noProof/>
        </w:rPr>
        <w:t>, Keane</w:t>
      </w:r>
      <w:r>
        <w:rPr>
          <w:rFonts w:hint="eastAsia"/>
          <w:noProof/>
          <w:lang w:eastAsia="ko-KR"/>
        </w:rPr>
        <w:t>,</w:t>
      </w:r>
      <w:r w:rsidRPr="0089670E">
        <w:rPr>
          <w:noProof/>
        </w:rPr>
        <w:t xml:space="preserve"> A</w:t>
      </w:r>
      <w:r>
        <w:rPr>
          <w:rFonts w:hint="eastAsia"/>
          <w:noProof/>
          <w:lang w:eastAsia="ko-KR"/>
        </w:rPr>
        <w:t>.</w:t>
      </w:r>
      <w:r w:rsidRPr="0089670E">
        <w:rPr>
          <w:noProof/>
        </w:rPr>
        <w:t>T</w:t>
      </w:r>
      <w:r>
        <w:rPr>
          <w:rFonts w:hint="eastAsia"/>
          <w:noProof/>
          <w:lang w:eastAsia="ko-KR"/>
        </w:rPr>
        <w:t>.</w:t>
      </w:r>
      <w:r w:rsidRPr="0089670E">
        <w:rPr>
          <w:noProof/>
        </w:rPr>
        <w:t>, Telles</w:t>
      </w:r>
      <w:r>
        <w:rPr>
          <w:rFonts w:hint="eastAsia"/>
          <w:noProof/>
          <w:lang w:eastAsia="ko-KR"/>
        </w:rPr>
        <w:t>,</w:t>
      </w:r>
      <w:r w:rsidRPr="0089670E">
        <w:rPr>
          <w:noProof/>
        </w:rPr>
        <w:t xml:space="preserve"> N</w:t>
      </w:r>
      <w:r>
        <w:rPr>
          <w:rFonts w:hint="eastAsia"/>
          <w:noProof/>
          <w:lang w:eastAsia="ko-KR"/>
        </w:rPr>
        <w:t>.</w:t>
      </w:r>
      <w:r w:rsidRPr="0089670E">
        <w:rPr>
          <w:noProof/>
        </w:rPr>
        <w:t>C</w:t>
      </w:r>
      <w:r>
        <w:rPr>
          <w:rFonts w:hint="eastAsia"/>
          <w:noProof/>
          <w:lang w:eastAsia="ko-KR"/>
        </w:rPr>
        <w:t>.</w:t>
      </w:r>
      <w:r w:rsidRPr="0089670E">
        <w:rPr>
          <w:noProof/>
        </w:rPr>
        <w:t>, et al.</w:t>
      </w:r>
      <w:r>
        <w:rPr>
          <w:rFonts w:hint="eastAsia"/>
          <w:noProof/>
          <w:lang w:eastAsia="ko-KR"/>
        </w:rPr>
        <w:t>,</w:t>
      </w:r>
      <w:r w:rsidRPr="0089670E">
        <w:rPr>
          <w:noProof/>
        </w:rPr>
        <w:t xml:space="preserve"> 1969</w:t>
      </w:r>
      <w:r>
        <w:rPr>
          <w:rFonts w:hint="eastAsia"/>
          <w:noProof/>
          <w:lang w:eastAsia="ko-KR"/>
        </w:rPr>
        <w:t>.</w:t>
      </w:r>
      <w:r w:rsidRPr="0089670E">
        <w:rPr>
          <w:noProof/>
        </w:rPr>
        <w:t xml:space="preserve"> Retention and absorption of </w:t>
      </w:r>
      <w:r w:rsidRPr="007327C5">
        <w:rPr>
          <w:noProof/>
          <w:vertAlign w:val="superscript"/>
        </w:rPr>
        <w:t>224</w:t>
      </w:r>
      <w:r w:rsidRPr="0089670E">
        <w:rPr>
          <w:noProof/>
        </w:rPr>
        <w:t xml:space="preserve">Ra and </w:t>
      </w:r>
      <w:r w:rsidRPr="007327C5">
        <w:rPr>
          <w:noProof/>
          <w:vertAlign w:val="superscript"/>
        </w:rPr>
        <w:t>234</w:t>
      </w:r>
      <w:r w:rsidRPr="0089670E">
        <w:rPr>
          <w:noProof/>
        </w:rPr>
        <w:t xml:space="preserve">Th and some dosimetric considerations of </w:t>
      </w:r>
      <w:r w:rsidRPr="007327C5">
        <w:rPr>
          <w:noProof/>
          <w:vertAlign w:val="superscript"/>
        </w:rPr>
        <w:t>224</w:t>
      </w:r>
      <w:r w:rsidRPr="0089670E">
        <w:rPr>
          <w:noProof/>
        </w:rPr>
        <w:t xml:space="preserve">Ra in human beings. In: Mays CW, Jee WSS, Lloyd RD, et al. (eds) </w:t>
      </w:r>
      <w:r w:rsidRPr="00ED6790">
        <w:rPr>
          <w:noProof/>
        </w:rPr>
        <w:t>Delayed Effects of Bone-Seeking Radionuclides</w:t>
      </w:r>
      <w:r w:rsidRPr="0089670E">
        <w:rPr>
          <w:noProof/>
        </w:rPr>
        <w:t>. University of Utah Press. Salt Lake City, UT, pp. 29–49.</w:t>
      </w:r>
    </w:p>
    <w:p w14:paraId="0BEE2778" w14:textId="77777777" w:rsidR="00232741" w:rsidRPr="0089670E" w:rsidRDefault="00232741" w:rsidP="00232741">
      <w:pPr>
        <w:pStyle w:val="aff1"/>
        <w:ind w:left="426" w:hanging="426"/>
        <w:rPr>
          <w:noProof/>
        </w:rPr>
      </w:pPr>
      <w:r w:rsidRPr="0061223E">
        <w:rPr>
          <w:noProof/>
          <w:lang w:val="en-US"/>
        </w:rPr>
        <w:t>Matsusaka</w:t>
      </w:r>
      <w:r w:rsidRPr="0061223E">
        <w:rPr>
          <w:rFonts w:hint="eastAsia"/>
          <w:noProof/>
          <w:lang w:val="en-US" w:eastAsia="ko-KR"/>
        </w:rPr>
        <w:t>,</w:t>
      </w:r>
      <w:r w:rsidRPr="0061223E">
        <w:rPr>
          <w:noProof/>
          <w:lang w:val="en-US"/>
        </w:rPr>
        <w:t xml:space="preserve"> N</w:t>
      </w:r>
      <w:r w:rsidRPr="0061223E">
        <w:rPr>
          <w:rFonts w:hint="eastAsia"/>
          <w:noProof/>
          <w:lang w:val="en-US" w:eastAsia="ko-KR"/>
        </w:rPr>
        <w:t>.</w:t>
      </w:r>
      <w:r w:rsidRPr="0061223E">
        <w:rPr>
          <w:noProof/>
          <w:lang w:val="en-US"/>
        </w:rPr>
        <w:t>, Inaba</w:t>
      </w:r>
      <w:r w:rsidRPr="0061223E">
        <w:rPr>
          <w:rFonts w:hint="eastAsia"/>
          <w:noProof/>
          <w:lang w:val="en-US" w:eastAsia="ko-KR"/>
        </w:rPr>
        <w:t>,</w:t>
      </w:r>
      <w:r w:rsidRPr="0061223E">
        <w:rPr>
          <w:noProof/>
          <w:lang w:val="en-US"/>
        </w:rPr>
        <w:t xml:space="preserve"> J</w:t>
      </w:r>
      <w:r w:rsidRPr="0061223E">
        <w:rPr>
          <w:rFonts w:hint="eastAsia"/>
          <w:noProof/>
          <w:lang w:val="en-US" w:eastAsia="ko-KR"/>
        </w:rPr>
        <w:t>.</w:t>
      </w:r>
      <w:r w:rsidRPr="0061223E">
        <w:rPr>
          <w:noProof/>
          <w:lang w:val="en-US"/>
        </w:rPr>
        <w:t>, Ichikawa</w:t>
      </w:r>
      <w:r w:rsidRPr="0061223E">
        <w:rPr>
          <w:rFonts w:hint="eastAsia"/>
          <w:noProof/>
          <w:lang w:val="en-US" w:eastAsia="ko-KR"/>
        </w:rPr>
        <w:t>,</w:t>
      </w:r>
      <w:r w:rsidRPr="0061223E">
        <w:rPr>
          <w:noProof/>
          <w:lang w:val="en-US"/>
        </w:rPr>
        <w:t xml:space="preserve"> R</w:t>
      </w:r>
      <w:r w:rsidRPr="0061223E">
        <w:rPr>
          <w:rFonts w:hint="eastAsia"/>
          <w:noProof/>
          <w:lang w:val="en-US" w:eastAsia="ko-KR"/>
        </w:rPr>
        <w:t>.</w:t>
      </w:r>
      <w:r w:rsidRPr="0061223E">
        <w:rPr>
          <w:noProof/>
          <w:lang w:val="en-US"/>
        </w:rPr>
        <w:t>, et al.</w:t>
      </w:r>
      <w:r w:rsidRPr="0061223E">
        <w:rPr>
          <w:rFonts w:hint="eastAsia"/>
          <w:noProof/>
          <w:lang w:val="en-US" w:eastAsia="ko-KR"/>
        </w:rPr>
        <w:t>,</w:t>
      </w:r>
      <w:r w:rsidRPr="0061223E">
        <w:rPr>
          <w:noProof/>
          <w:lang w:val="en-US"/>
        </w:rPr>
        <w:t xml:space="preserve"> 1970</w:t>
      </w:r>
      <w:r w:rsidRPr="0061223E">
        <w:rPr>
          <w:rFonts w:hint="eastAsia"/>
          <w:noProof/>
          <w:lang w:val="en-US" w:eastAsia="ko-KR"/>
        </w:rPr>
        <w:t>.</w:t>
      </w:r>
      <w:r w:rsidRPr="0061223E">
        <w:rPr>
          <w:noProof/>
          <w:lang w:val="en-US"/>
        </w:rPr>
        <w:t xml:space="preserve"> </w:t>
      </w:r>
      <w:r w:rsidRPr="0089670E">
        <w:rPr>
          <w:noProof/>
        </w:rPr>
        <w:t xml:space="preserve">In: </w:t>
      </w:r>
      <w:r w:rsidRPr="00ED6790">
        <w:rPr>
          <w:noProof/>
        </w:rPr>
        <w:t>Ninth Annual Biology Symposium</w:t>
      </w:r>
      <w:r w:rsidRPr="0089670E">
        <w:rPr>
          <w:noProof/>
        </w:rPr>
        <w:t>, Richland, Wash, 1970.</w:t>
      </w:r>
    </w:p>
    <w:p w14:paraId="4A6CE7EE" w14:textId="77777777" w:rsidR="00232741" w:rsidRPr="0089670E" w:rsidRDefault="00232741" w:rsidP="00232741">
      <w:pPr>
        <w:pStyle w:val="aff1"/>
        <w:ind w:left="426" w:hanging="426"/>
        <w:rPr>
          <w:noProof/>
        </w:rPr>
      </w:pPr>
      <w:r w:rsidRPr="0089670E">
        <w:rPr>
          <w:noProof/>
        </w:rPr>
        <w:t>McAughey</w:t>
      </w:r>
      <w:r>
        <w:rPr>
          <w:rFonts w:hint="eastAsia"/>
          <w:noProof/>
          <w:lang w:eastAsia="ko-KR"/>
        </w:rPr>
        <w:t>,</w:t>
      </w:r>
      <w:r w:rsidRPr="0089670E">
        <w:rPr>
          <w:noProof/>
        </w:rPr>
        <w:t xml:space="preserve"> J</w:t>
      </w:r>
      <w:r>
        <w:rPr>
          <w:rFonts w:hint="eastAsia"/>
          <w:noProof/>
          <w:lang w:eastAsia="ko-KR"/>
        </w:rPr>
        <w:t>.</w:t>
      </w:r>
      <w:r w:rsidRPr="0089670E">
        <w:rPr>
          <w:noProof/>
        </w:rPr>
        <w:t>A</w:t>
      </w:r>
      <w:r>
        <w:rPr>
          <w:rFonts w:hint="eastAsia"/>
          <w:noProof/>
          <w:lang w:eastAsia="ko-KR"/>
        </w:rPr>
        <w:t>.,</w:t>
      </w:r>
      <w:r w:rsidRPr="0089670E">
        <w:rPr>
          <w:noProof/>
        </w:rPr>
        <w:t xml:space="preserve"> 1996</w:t>
      </w:r>
      <w:r>
        <w:rPr>
          <w:rFonts w:hint="eastAsia"/>
          <w:noProof/>
          <w:lang w:eastAsia="ko-KR"/>
        </w:rPr>
        <w:t>.</w:t>
      </w:r>
      <w:r w:rsidRPr="0089670E">
        <w:rPr>
          <w:noProof/>
        </w:rPr>
        <w:t xml:space="preserve"> </w:t>
      </w:r>
      <w:r w:rsidRPr="00ED6790">
        <w:rPr>
          <w:noProof/>
        </w:rPr>
        <w:t>Assessment of internal dose from plutonium and other radionuclides using stable isotope tracer techniques in humans</w:t>
      </w:r>
      <w:r w:rsidRPr="0089670E">
        <w:rPr>
          <w:noProof/>
        </w:rPr>
        <w:t>. Commission of the European Communities Radiation Protection Programme 1992-1994, Report on Contract No. BI3P-CT920048,. Luxembourg: European Union.</w:t>
      </w:r>
    </w:p>
    <w:p w14:paraId="4F0A7E49" w14:textId="77777777" w:rsidR="00232741" w:rsidRPr="0089670E" w:rsidRDefault="00232741" w:rsidP="00232741">
      <w:pPr>
        <w:pStyle w:val="aff1"/>
        <w:ind w:left="426" w:hanging="426"/>
        <w:rPr>
          <w:noProof/>
        </w:rPr>
      </w:pPr>
      <w:r w:rsidRPr="0089670E">
        <w:rPr>
          <w:noProof/>
        </w:rPr>
        <w:t>McClanahan</w:t>
      </w:r>
      <w:r>
        <w:rPr>
          <w:rFonts w:hint="eastAsia"/>
          <w:noProof/>
          <w:lang w:eastAsia="ko-KR"/>
        </w:rPr>
        <w:t>,</w:t>
      </w:r>
      <w:r w:rsidRPr="0089670E">
        <w:rPr>
          <w:noProof/>
        </w:rPr>
        <w:t xml:space="preserve"> B</w:t>
      </w:r>
      <w:r>
        <w:rPr>
          <w:rFonts w:hint="eastAsia"/>
          <w:noProof/>
          <w:lang w:eastAsia="ko-KR"/>
        </w:rPr>
        <w:t>.</w:t>
      </w:r>
      <w:r w:rsidRPr="0089670E">
        <w:rPr>
          <w:noProof/>
        </w:rPr>
        <w:t>J</w:t>
      </w:r>
      <w:r>
        <w:rPr>
          <w:rFonts w:hint="eastAsia"/>
          <w:noProof/>
          <w:lang w:eastAsia="ko-KR"/>
        </w:rPr>
        <w:t>.,</w:t>
      </w:r>
      <w:r w:rsidRPr="0089670E">
        <w:rPr>
          <w:noProof/>
        </w:rPr>
        <w:t xml:space="preserve"> Ragan</w:t>
      </w:r>
      <w:r>
        <w:rPr>
          <w:rFonts w:hint="eastAsia"/>
          <w:noProof/>
          <w:lang w:eastAsia="ko-KR"/>
        </w:rPr>
        <w:t>,</w:t>
      </w:r>
      <w:r w:rsidRPr="0089670E">
        <w:rPr>
          <w:noProof/>
        </w:rPr>
        <w:t xml:space="preserve"> H</w:t>
      </w:r>
      <w:r>
        <w:rPr>
          <w:rFonts w:hint="eastAsia"/>
          <w:noProof/>
          <w:lang w:eastAsia="ko-KR"/>
        </w:rPr>
        <w:t>.</w:t>
      </w:r>
      <w:r w:rsidRPr="0089670E">
        <w:rPr>
          <w:noProof/>
        </w:rPr>
        <w:t>A</w:t>
      </w:r>
      <w:r>
        <w:rPr>
          <w:rFonts w:hint="eastAsia"/>
          <w:noProof/>
          <w:lang w:eastAsia="ko-KR"/>
        </w:rPr>
        <w:t>.,</w:t>
      </w:r>
      <w:r w:rsidRPr="0089670E">
        <w:rPr>
          <w:noProof/>
        </w:rPr>
        <w:t xml:space="preserve"> 1984</w:t>
      </w:r>
      <w:r>
        <w:rPr>
          <w:rFonts w:hint="eastAsia"/>
          <w:noProof/>
          <w:lang w:eastAsia="ko-KR"/>
        </w:rPr>
        <w:t>.</w:t>
      </w:r>
      <w:r w:rsidRPr="0089670E">
        <w:rPr>
          <w:noProof/>
        </w:rPr>
        <w:t xml:space="preserve"> Distribution of 253Es in juvenile miniature swine. </w:t>
      </w:r>
      <w:r w:rsidRPr="00ED6790">
        <w:rPr>
          <w:noProof/>
        </w:rPr>
        <w:t>Health Phys</w:t>
      </w:r>
      <w:r>
        <w:rPr>
          <w:rFonts w:hint="eastAsia"/>
          <w:noProof/>
          <w:lang w:eastAsia="ko-KR"/>
        </w:rPr>
        <w:t>.</w:t>
      </w:r>
      <w:r w:rsidRPr="0089670E">
        <w:rPr>
          <w:noProof/>
        </w:rPr>
        <w:t xml:space="preserve"> 47(3)</w:t>
      </w:r>
      <w:r>
        <w:rPr>
          <w:rFonts w:hint="eastAsia"/>
          <w:noProof/>
          <w:lang w:eastAsia="ko-KR"/>
        </w:rPr>
        <w:t>.</w:t>
      </w:r>
      <w:r w:rsidRPr="0089670E">
        <w:rPr>
          <w:noProof/>
        </w:rPr>
        <w:t xml:space="preserve"> 472–475.</w:t>
      </w:r>
    </w:p>
    <w:p w14:paraId="609B94C7" w14:textId="77777777" w:rsidR="00232741" w:rsidRPr="0089670E" w:rsidRDefault="00232741" w:rsidP="00232741">
      <w:pPr>
        <w:pStyle w:val="aff1"/>
        <w:ind w:left="426" w:hanging="426"/>
        <w:rPr>
          <w:noProof/>
        </w:rPr>
      </w:pPr>
      <w:r w:rsidRPr="0089670E">
        <w:rPr>
          <w:noProof/>
        </w:rPr>
        <w:t>McClellan</w:t>
      </w:r>
      <w:r>
        <w:rPr>
          <w:rFonts w:hint="eastAsia"/>
          <w:noProof/>
          <w:lang w:eastAsia="ko-KR"/>
        </w:rPr>
        <w:t>,</w:t>
      </w:r>
      <w:r w:rsidRPr="0089670E">
        <w:rPr>
          <w:noProof/>
        </w:rPr>
        <w:t xml:space="preserve"> R</w:t>
      </w:r>
      <w:r>
        <w:rPr>
          <w:rFonts w:hint="eastAsia"/>
          <w:noProof/>
          <w:lang w:eastAsia="ko-KR"/>
        </w:rPr>
        <w:t>.</w:t>
      </w:r>
      <w:r w:rsidRPr="0089670E">
        <w:rPr>
          <w:noProof/>
        </w:rPr>
        <w:t>O</w:t>
      </w:r>
      <w:r>
        <w:rPr>
          <w:rFonts w:hint="eastAsia"/>
          <w:noProof/>
          <w:lang w:eastAsia="ko-KR"/>
        </w:rPr>
        <w:t>.</w:t>
      </w:r>
      <w:r w:rsidRPr="0089670E">
        <w:rPr>
          <w:noProof/>
        </w:rPr>
        <w:t>, Casey</w:t>
      </w:r>
      <w:r>
        <w:rPr>
          <w:rFonts w:hint="eastAsia"/>
          <w:noProof/>
          <w:lang w:eastAsia="ko-KR"/>
        </w:rPr>
        <w:t>,</w:t>
      </w:r>
      <w:r w:rsidRPr="0089670E">
        <w:rPr>
          <w:noProof/>
        </w:rPr>
        <w:t xml:space="preserve"> H</w:t>
      </w:r>
      <w:r>
        <w:rPr>
          <w:rFonts w:hint="eastAsia"/>
          <w:noProof/>
          <w:lang w:eastAsia="ko-KR"/>
        </w:rPr>
        <w:t>.</w:t>
      </w:r>
      <w:r w:rsidRPr="0089670E">
        <w:rPr>
          <w:noProof/>
        </w:rPr>
        <w:t>W</w:t>
      </w:r>
      <w:r>
        <w:rPr>
          <w:rFonts w:hint="eastAsia"/>
          <w:noProof/>
          <w:lang w:eastAsia="ko-KR"/>
        </w:rPr>
        <w:t>.,</w:t>
      </w:r>
      <w:r w:rsidRPr="0089670E">
        <w:rPr>
          <w:noProof/>
        </w:rPr>
        <w:t xml:space="preserve"> Bustad</w:t>
      </w:r>
      <w:r>
        <w:rPr>
          <w:rFonts w:hint="eastAsia"/>
          <w:noProof/>
          <w:lang w:eastAsia="ko-KR"/>
        </w:rPr>
        <w:t>,</w:t>
      </w:r>
      <w:r w:rsidRPr="0089670E">
        <w:rPr>
          <w:noProof/>
        </w:rPr>
        <w:t xml:space="preserve"> L</w:t>
      </w:r>
      <w:r>
        <w:rPr>
          <w:rFonts w:hint="eastAsia"/>
          <w:noProof/>
          <w:lang w:eastAsia="ko-KR"/>
        </w:rPr>
        <w:t>.</w:t>
      </w:r>
      <w:r w:rsidRPr="0089670E">
        <w:rPr>
          <w:noProof/>
        </w:rPr>
        <w:t>K</w:t>
      </w:r>
      <w:r>
        <w:rPr>
          <w:rFonts w:hint="eastAsia"/>
          <w:noProof/>
          <w:lang w:eastAsia="ko-KR"/>
        </w:rPr>
        <w:t>.,</w:t>
      </w:r>
      <w:r w:rsidRPr="0089670E">
        <w:rPr>
          <w:noProof/>
        </w:rPr>
        <w:t xml:space="preserve"> 1962</w:t>
      </w:r>
      <w:r>
        <w:rPr>
          <w:rFonts w:hint="eastAsia"/>
          <w:noProof/>
          <w:lang w:eastAsia="ko-KR"/>
        </w:rPr>
        <w:t>.</w:t>
      </w:r>
      <w:r w:rsidRPr="0089670E">
        <w:rPr>
          <w:noProof/>
        </w:rPr>
        <w:t xml:space="preserve"> Transfer of some transuranic elements to milk. </w:t>
      </w:r>
      <w:r w:rsidRPr="00ED6790">
        <w:rPr>
          <w:noProof/>
        </w:rPr>
        <w:t>Health Phys</w:t>
      </w:r>
      <w:r>
        <w:rPr>
          <w:rFonts w:hint="eastAsia"/>
          <w:noProof/>
          <w:lang w:eastAsia="ko-KR"/>
        </w:rPr>
        <w:t>.</w:t>
      </w:r>
      <w:r w:rsidRPr="0089670E">
        <w:rPr>
          <w:noProof/>
        </w:rPr>
        <w:t xml:space="preserve"> 8(6). 689–694.</w:t>
      </w:r>
    </w:p>
    <w:p w14:paraId="4BA78377" w14:textId="77777777" w:rsidR="00232741" w:rsidRPr="007327C5" w:rsidRDefault="00232741" w:rsidP="00232741">
      <w:pPr>
        <w:pStyle w:val="aff1"/>
        <w:ind w:left="426" w:hanging="426"/>
        <w:rPr>
          <w:noProof/>
          <w:lang w:val="en-US"/>
        </w:rPr>
      </w:pPr>
      <w:r w:rsidRPr="0089670E">
        <w:rPr>
          <w:noProof/>
        </w:rPr>
        <w:t>McClellan</w:t>
      </w:r>
      <w:r>
        <w:rPr>
          <w:rFonts w:hint="eastAsia"/>
          <w:noProof/>
          <w:lang w:eastAsia="ko-KR"/>
        </w:rPr>
        <w:t>,</w:t>
      </w:r>
      <w:r w:rsidRPr="0089670E">
        <w:rPr>
          <w:noProof/>
        </w:rPr>
        <w:t xml:space="preserve"> R</w:t>
      </w:r>
      <w:r>
        <w:rPr>
          <w:rFonts w:hint="eastAsia"/>
          <w:noProof/>
          <w:lang w:eastAsia="ko-KR"/>
        </w:rPr>
        <w:t>.</w:t>
      </w:r>
      <w:r w:rsidRPr="0089670E">
        <w:rPr>
          <w:noProof/>
        </w:rPr>
        <w:t>O</w:t>
      </w:r>
      <w:r>
        <w:rPr>
          <w:rFonts w:hint="eastAsia"/>
          <w:noProof/>
          <w:lang w:eastAsia="ko-KR"/>
        </w:rPr>
        <w:t>.</w:t>
      </w:r>
      <w:r w:rsidRPr="0089670E">
        <w:rPr>
          <w:noProof/>
        </w:rPr>
        <w:t>, Bustad</w:t>
      </w:r>
      <w:r>
        <w:rPr>
          <w:rFonts w:hint="eastAsia"/>
          <w:noProof/>
          <w:lang w:eastAsia="ko-KR"/>
        </w:rPr>
        <w:t>,</w:t>
      </w:r>
      <w:r w:rsidRPr="0089670E">
        <w:rPr>
          <w:noProof/>
        </w:rPr>
        <w:t xml:space="preserve"> L</w:t>
      </w:r>
      <w:r>
        <w:rPr>
          <w:rFonts w:hint="eastAsia"/>
          <w:noProof/>
          <w:lang w:eastAsia="ko-KR"/>
        </w:rPr>
        <w:t>.</w:t>
      </w:r>
      <w:r w:rsidRPr="0089670E">
        <w:rPr>
          <w:noProof/>
        </w:rPr>
        <w:t>K</w:t>
      </w:r>
      <w:r>
        <w:rPr>
          <w:rFonts w:hint="eastAsia"/>
          <w:noProof/>
          <w:lang w:eastAsia="ko-KR"/>
        </w:rPr>
        <w:t>.,</w:t>
      </w:r>
      <w:r w:rsidRPr="0089670E">
        <w:rPr>
          <w:noProof/>
        </w:rPr>
        <w:t xml:space="preserve"> Keough</w:t>
      </w:r>
      <w:r>
        <w:rPr>
          <w:rFonts w:hint="eastAsia"/>
          <w:noProof/>
          <w:lang w:eastAsia="ko-KR"/>
        </w:rPr>
        <w:t>,</w:t>
      </w:r>
      <w:r w:rsidRPr="0089670E">
        <w:rPr>
          <w:noProof/>
        </w:rPr>
        <w:t xml:space="preserve"> R</w:t>
      </w:r>
      <w:r>
        <w:rPr>
          <w:rFonts w:hint="eastAsia"/>
          <w:noProof/>
          <w:lang w:eastAsia="ko-KR"/>
        </w:rPr>
        <w:t>.</w:t>
      </w:r>
      <w:r w:rsidRPr="0089670E">
        <w:rPr>
          <w:noProof/>
        </w:rPr>
        <w:t>F</w:t>
      </w:r>
      <w:r>
        <w:rPr>
          <w:rFonts w:hint="eastAsia"/>
          <w:noProof/>
          <w:lang w:eastAsia="ko-KR"/>
        </w:rPr>
        <w:t>.,</w:t>
      </w:r>
      <w:r w:rsidRPr="0089670E">
        <w:rPr>
          <w:noProof/>
        </w:rPr>
        <w:t xml:space="preserve"> 1965</w:t>
      </w:r>
      <w:r>
        <w:rPr>
          <w:rFonts w:hint="eastAsia"/>
          <w:noProof/>
          <w:lang w:eastAsia="ko-KR"/>
        </w:rPr>
        <w:t>.</w:t>
      </w:r>
      <w:r w:rsidRPr="0089670E">
        <w:rPr>
          <w:noProof/>
        </w:rPr>
        <w:t xml:space="preserve"> Metabolism of some snap radionuclides in miniature swine. </w:t>
      </w:r>
      <w:r w:rsidRPr="007327C5">
        <w:rPr>
          <w:noProof/>
          <w:lang w:val="en-US"/>
        </w:rPr>
        <w:t>Aerosp</w:t>
      </w:r>
      <w:r w:rsidRPr="007327C5">
        <w:rPr>
          <w:rFonts w:hint="eastAsia"/>
          <w:noProof/>
          <w:lang w:val="en-US" w:eastAsia="ko-KR"/>
        </w:rPr>
        <w:t>.</w:t>
      </w:r>
      <w:r w:rsidRPr="007327C5">
        <w:rPr>
          <w:noProof/>
          <w:lang w:val="en-US"/>
        </w:rPr>
        <w:t xml:space="preserve"> Med</w:t>
      </w:r>
      <w:r w:rsidRPr="007327C5">
        <w:rPr>
          <w:rFonts w:hint="eastAsia"/>
          <w:noProof/>
          <w:lang w:val="en-US" w:eastAsia="ko-KR"/>
        </w:rPr>
        <w:t>.</w:t>
      </w:r>
      <w:r w:rsidRPr="007327C5">
        <w:rPr>
          <w:noProof/>
          <w:lang w:val="en-US"/>
        </w:rPr>
        <w:t xml:space="preserve"> 36</w:t>
      </w:r>
      <w:r w:rsidRPr="007327C5">
        <w:rPr>
          <w:rFonts w:hint="eastAsia"/>
          <w:noProof/>
          <w:lang w:val="en-US" w:eastAsia="ko-KR"/>
        </w:rPr>
        <w:t>.</w:t>
      </w:r>
      <w:r w:rsidRPr="007327C5">
        <w:rPr>
          <w:noProof/>
          <w:lang w:val="en-US"/>
        </w:rPr>
        <w:t xml:space="preserve"> 16–20.</w:t>
      </w:r>
    </w:p>
    <w:p w14:paraId="746B38A8" w14:textId="77777777" w:rsidR="00232741" w:rsidRPr="0089670E" w:rsidRDefault="00232741" w:rsidP="00232741">
      <w:pPr>
        <w:pStyle w:val="aff1"/>
        <w:ind w:left="426" w:hanging="426"/>
        <w:rPr>
          <w:noProof/>
        </w:rPr>
      </w:pPr>
      <w:r w:rsidRPr="007327C5">
        <w:rPr>
          <w:noProof/>
          <w:lang w:val="en-US"/>
        </w:rPr>
        <w:t>McClellan</w:t>
      </w:r>
      <w:r w:rsidRPr="007327C5">
        <w:rPr>
          <w:rFonts w:hint="eastAsia"/>
          <w:noProof/>
          <w:lang w:val="en-US" w:eastAsia="ko-KR"/>
        </w:rPr>
        <w:t>,</w:t>
      </w:r>
      <w:r w:rsidRPr="007327C5">
        <w:rPr>
          <w:noProof/>
          <w:lang w:val="en-US"/>
        </w:rPr>
        <w:t xml:space="preserve"> R</w:t>
      </w:r>
      <w:r w:rsidRPr="007327C5">
        <w:rPr>
          <w:rFonts w:hint="eastAsia"/>
          <w:noProof/>
          <w:lang w:val="en-US" w:eastAsia="ko-KR"/>
        </w:rPr>
        <w:t>.</w:t>
      </w:r>
      <w:r w:rsidRPr="007327C5">
        <w:rPr>
          <w:noProof/>
          <w:lang w:val="en-US"/>
        </w:rPr>
        <w:t>O</w:t>
      </w:r>
      <w:r w:rsidRPr="007327C5">
        <w:rPr>
          <w:rFonts w:hint="eastAsia"/>
          <w:noProof/>
          <w:lang w:val="en-US" w:eastAsia="ko-KR"/>
        </w:rPr>
        <w:t>.</w:t>
      </w:r>
      <w:r w:rsidRPr="007327C5">
        <w:rPr>
          <w:noProof/>
          <w:lang w:val="en-US"/>
        </w:rPr>
        <w:t>, Boyd</w:t>
      </w:r>
      <w:r w:rsidRPr="007327C5">
        <w:rPr>
          <w:rFonts w:hint="eastAsia"/>
          <w:noProof/>
          <w:lang w:val="en-US" w:eastAsia="ko-KR"/>
        </w:rPr>
        <w:t>,</w:t>
      </w:r>
      <w:r w:rsidRPr="007327C5">
        <w:rPr>
          <w:noProof/>
          <w:lang w:val="en-US"/>
        </w:rPr>
        <w:t xml:space="preserve"> H</w:t>
      </w:r>
      <w:r w:rsidRPr="007327C5">
        <w:rPr>
          <w:rFonts w:hint="eastAsia"/>
          <w:noProof/>
          <w:lang w:val="en-US" w:eastAsia="ko-KR"/>
        </w:rPr>
        <w:t>.</w:t>
      </w:r>
      <w:r w:rsidRPr="007327C5">
        <w:rPr>
          <w:noProof/>
          <w:lang w:val="en-US"/>
        </w:rPr>
        <w:t>A</w:t>
      </w:r>
      <w:r w:rsidRPr="007327C5">
        <w:rPr>
          <w:rFonts w:hint="eastAsia"/>
          <w:noProof/>
          <w:lang w:val="en-US" w:eastAsia="ko-KR"/>
        </w:rPr>
        <w:t>.</w:t>
      </w:r>
      <w:r w:rsidRPr="007327C5">
        <w:rPr>
          <w:noProof/>
          <w:lang w:val="en-US"/>
        </w:rPr>
        <w:t>, Gallegos</w:t>
      </w:r>
      <w:r w:rsidRPr="007327C5">
        <w:rPr>
          <w:rFonts w:hint="eastAsia"/>
          <w:noProof/>
          <w:lang w:val="en-US" w:eastAsia="ko-KR"/>
        </w:rPr>
        <w:t>,</w:t>
      </w:r>
      <w:r w:rsidRPr="007327C5">
        <w:rPr>
          <w:noProof/>
          <w:lang w:val="en-US"/>
        </w:rPr>
        <w:t xml:space="preserve"> A</w:t>
      </w:r>
      <w:r w:rsidRPr="007327C5">
        <w:rPr>
          <w:rFonts w:hint="eastAsia"/>
          <w:noProof/>
          <w:lang w:val="en-US" w:eastAsia="ko-KR"/>
        </w:rPr>
        <w:t>.</w:t>
      </w:r>
      <w:r w:rsidRPr="007327C5">
        <w:rPr>
          <w:noProof/>
          <w:lang w:val="en-US"/>
        </w:rPr>
        <w:t>F</w:t>
      </w:r>
      <w:r w:rsidRPr="007327C5">
        <w:rPr>
          <w:rFonts w:hint="eastAsia"/>
          <w:noProof/>
          <w:lang w:val="en-US" w:eastAsia="ko-KR"/>
        </w:rPr>
        <w:t>.</w:t>
      </w:r>
      <w:r w:rsidRPr="007327C5">
        <w:rPr>
          <w:noProof/>
          <w:lang w:val="en-US"/>
        </w:rPr>
        <w:t>, et al.</w:t>
      </w:r>
      <w:r w:rsidRPr="007327C5">
        <w:rPr>
          <w:rFonts w:hint="eastAsia"/>
          <w:noProof/>
          <w:lang w:val="en-US" w:eastAsia="ko-KR"/>
        </w:rPr>
        <w:t>,</w:t>
      </w:r>
      <w:r w:rsidRPr="007327C5">
        <w:rPr>
          <w:noProof/>
          <w:lang w:val="en-US"/>
        </w:rPr>
        <w:t xml:space="preserve"> </w:t>
      </w:r>
      <w:r w:rsidRPr="0089670E">
        <w:rPr>
          <w:noProof/>
        </w:rPr>
        <w:t>1972</w:t>
      </w:r>
      <w:r>
        <w:rPr>
          <w:rFonts w:hint="eastAsia"/>
          <w:noProof/>
          <w:lang w:eastAsia="ko-KR"/>
        </w:rPr>
        <w:t>.</w:t>
      </w:r>
      <w:r w:rsidRPr="0089670E">
        <w:rPr>
          <w:noProof/>
        </w:rPr>
        <w:t xml:space="preserve"> Retention and distribution of </w:t>
      </w:r>
      <w:r w:rsidRPr="007327C5">
        <w:rPr>
          <w:noProof/>
          <w:vertAlign w:val="superscript"/>
        </w:rPr>
        <w:t>244</w:t>
      </w:r>
      <w:r w:rsidRPr="0089670E">
        <w:rPr>
          <w:noProof/>
        </w:rPr>
        <w:t xml:space="preserve">Cm following inhalation of </w:t>
      </w:r>
      <w:r w:rsidRPr="007327C5">
        <w:rPr>
          <w:noProof/>
          <w:vertAlign w:val="superscript"/>
        </w:rPr>
        <w:t>244</w:t>
      </w:r>
      <w:r w:rsidRPr="0089670E">
        <w:rPr>
          <w:noProof/>
        </w:rPr>
        <w:t>CmCl</w:t>
      </w:r>
      <w:r w:rsidRPr="007327C5">
        <w:rPr>
          <w:noProof/>
          <w:vertAlign w:val="subscript"/>
        </w:rPr>
        <w:t>3</w:t>
      </w:r>
      <w:r w:rsidRPr="0089670E">
        <w:rPr>
          <w:noProof/>
        </w:rPr>
        <w:t xml:space="preserve"> and </w:t>
      </w:r>
      <w:r w:rsidRPr="007327C5">
        <w:rPr>
          <w:noProof/>
          <w:vertAlign w:val="superscript"/>
        </w:rPr>
        <w:t>244</w:t>
      </w:r>
      <w:r w:rsidRPr="0089670E">
        <w:rPr>
          <w:noProof/>
        </w:rPr>
        <w:t>CmO</w:t>
      </w:r>
      <w:r w:rsidRPr="007327C5">
        <w:rPr>
          <w:noProof/>
          <w:vertAlign w:val="subscript"/>
        </w:rPr>
        <w:t>1.73</w:t>
      </w:r>
      <w:r w:rsidRPr="0089670E">
        <w:rPr>
          <w:noProof/>
        </w:rPr>
        <w:t xml:space="preserve"> by beagle dogs. </w:t>
      </w:r>
      <w:r w:rsidRPr="00ED6790">
        <w:rPr>
          <w:noProof/>
        </w:rPr>
        <w:t>Health Phys</w:t>
      </w:r>
      <w:r>
        <w:rPr>
          <w:rFonts w:hint="eastAsia"/>
          <w:noProof/>
          <w:lang w:eastAsia="ko-KR"/>
        </w:rPr>
        <w:t>.</w:t>
      </w:r>
      <w:r w:rsidRPr="0089670E">
        <w:rPr>
          <w:noProof/>
        </w:rPr>
        <w:t xml:space="preserve"> 22(6)</w:t>
      </w:r>
      <w:r>
        <w:rPr>
          <w:rFonts w:hint="eastAsia"/>
          <w:noProof/>
          <w:lang w:eastAsia="ko-KR"/>
        </w:rPr>
        <w:t>.</w:t>
      </w:r>
      <w:r w:rsidRPr="0089670E">
        <w:rPr>
          <w:noProof/>
        </w:rPr>
        <w:t xml:space="preserve"> 877–885.</w:t>
      </w:r>
    </w:p>
    <w:p w14:paraId="5069695C" w14:textId="77777777" w:rsidR="00232741" w:rsidRPr="0089670E" w:rsidRDefault="00232741" w:rsidP="00232741">
      <w:pPr>
        <w:pStyle w:val="aff1"/>
        <w:ind w:left="426" w:hanging="426"/>
        <w:rPr>
          <w:noProof/>
        </w:rPr>
      </w:pPr>
      <w:r w:rsidRPr="0061223E">
        <w:rPr>
          <w:noProof/>
          <w:lang w:val="en-US"/>
        </w:rPr>
        <w:t>McConnon</w:t>
      </w:r>
      <w:r w:rsidRPr="0061223E">
        <w:rPr>
          <w:rFonts w:hint="eastAsia"/>
          <w:noProof/>
          <w:lang w:val="en-US" w:eastAsia="ko-KR"/>
        </w:rPr>
        <w:t>,</w:t>
      </w:r>
      <w:r w:rsidRPr="0061223E">
        <w:rPr>
          <w:noProof/>
          <w:lang w:val="en-US"/>
        </w:rPr>
        <w:t xml:space="preserve"> D</w:t>
      </w:r>
      <w:r w:rsidRPr="0061223E">
        <w:rPr>
          <w:rFonts w:hint="eastAsia"/>
          <w:noProof/>
          <w:lang w:val="en-US" w:eastAsia="ko-KR"/>
        </w:rPr>
        <w:t>.</w:t>
      </w:r>
      <w:r w:rsidRPr="0061223E">
        <w:rPr>
          <w:noProof/>
          <w:lang w:val="en-US"/>
        </w:rPr>
        <w:t>, Cole</w:t>
      </w:r>
      <w:r w:rsidRPr="0061223E">
        <w:rPr>
          <w:rFonts w:hint="eastAsia"/>
          <w:noProof/>
          <w:lang w:val="en-US" w:eastAsia="ko-KR"/>
        </w:rPr>
        <w:t>,</w:t>
      </w:r>
      <w:r w:rsidRPr="0061223E">
        <w:rPr>
          <w:noProof/>
          <w:lang w:val="en-US"/>
        </w:rPr>
        <w:t xml:space="preserve"> C</w:t>
      </w:r>
      <w:r w:rsidRPr="0061223E">
        <w:rPr>
          <w:rFonts w:hint="eastAsia"/>
          <w:noProof/>
          <w:lang w:val="en-US" w:eastAsia="ko-KR"/>
        </w:rPr>
        <w:t>.</w:t>
      </w:r>
      <w:r w:rsidRPr="0061223E">
        <w:rPr>
          <w:noProof/>
          <w:lang w:val="en-US"/>
        </w:rPr>
        <w:t>R</w:t>
      </w:r>
      <w:r w:rsidRPr="0061223E">
        <w:rPr>
          <w:rFonts w:hint="eastAsia"/>
          <w:noProof/>
          <w:lang w:val="en-US" w:eastAsia="ko-KR"/>
        </w:rPr>
        <w:t>.,</w:t>
      </w:r>
      <w:r w:rsidRPr="0061223E">
        <w:rPr>
          <w:noProof/>
          <w:lang w:val="en-US"/>
        </w:rPr>
        <w:t xml:space="preserve"> Smith</w:t>
      </w:r>
      <w:r w:rsidRPr="0061223E">
        <w:rPr>
          <w:rFonts w:hint="eastAsia"/>
          <w:noProof/>
          <w:lang w:val="en-US" w:eastAsia="ko-KR"/>
        </w:rPr>
        <w:t>,</w:t>
      </w:r>
      <w:r w:rsidRPr="0061223E">
        <w:rPr>
          <w:noProof/>
          <w:lang w:val="en-US"/>
        </w:rPr>
        <w:t xml:space="preserve"> V</w:t>
      </w:r>
      <w:r w:rsidRPr="0061223E">
        <w:rPr>
          <w:rFonts w:hint="eastAsia"/>
          <w:noProof/>
          <w:lang w:val="en-US" w:eastAsia="ko-KR"/>
        </w:rPr>
        <w:t>.</w:t>
      </w:r>
      <w:r w:rsidRPr="0061223E">
        <w:rPr>
          <w:noProof/>
          <w:lang w:val="en-US"/>
        </w:rPr>
        <w:t>H</w:t>
      </w:r>
      <w:r w:rsidRPr="0061223E">
        <w:rPr>
          <w:rFonts w:hint="eastAsia"/>
          <w:noProof/>
          <w:lang w:val="en-US" w:eastAsia="ko-KR"/>
        </w:rPr>
        <w:t>.,</w:t>
      </w:r>
      <w:r w:rsidRPr="0061223E">
        <w:rPr>
          <w:noProof/>
          <w:lang w:val="en-US"/>
        </w:rPr>
        <w:t xml:space="preserve"> 1971</w:t>
      </w:r>
      <w:r w:rsidRPr="0061223E">
        <w:rPr>
          <w:rFonts w:hint="eastAsia"/>
          <w:noProof/>
          <w:lang w:val="en-US" w:eastAsia="ko-KR"/>
        </w:rPr>
        <w:t>.</w:t>
      </w:r>
      <w:r w:rsidRPr="0061223E">
        <w:rPr>
          <w:noProof/>
          <w:lang w:val="en-US"/>
        </w:rPr>
        <w:t xml:space="preserve"> </w:t>
      </w:r>
      <w:r w:rsidRPr="00ED6790">
        <w:rPr>
          <w:noProof/>
        </w:rPr>
        <w:t>COMPARATIVE METABOLISM OF INTRAVENOUSLY INJECTED PROMETHIUM IN SWINE AND HUMANS.</w:t>
      </w:r>
      <w:r w:rsidRPr="0089670E">
        <w:rPr>
          <w:noProof/>
        </w:rPr>
        <w:t xml:space="preserve"> BNWL-SA-3747; CONF-710710-10, 31 October. Richland, WA (United States): Battelle Pacific Northwest Labs. Available at: https://www.osti.gov/biblio/4744825.</w:t>
      </w:r>
    </w:p>
    <w:p w14:paraId="76FBD0A6" w14:textId="77777777" w:rsidR="00232741" w:rsidRPr="0089670E" w:rsidRDefault="00232741" w:rsidP="00232741">
      <w:pPr>
        <w:pStyle w:val="aff1"/>
        <w:ind w:left="426" w:hanging="426"/>
        <w:rPr>
          <w:noProof/>
        </w:rPr>
      </w:pPr>
      <w:r w:rsidRPr="0089670E">
        <w:rPr>
          <w:noProof/>
        </w:rPr>
        <w:t>McInroy</w:t>
      </w:r>
      <w:r>
        <w:rPr>
          <w:rFonts w:hint="eastAsia"/>
          <w:noProof/>
          <w:lang w:eastAsia="ko-KR"/>
        </w:rPr>
        <w:t>,</w:t>
      </w:r>
      <w:r w:rsidRPr="0089670E">
        <w:rPr>
          <w:noProof/>
        </w:rPr>
        <w:t xml:space="preserve"> J</w:t>
      </w:r>
      <w:r>
        <w:rPr>
          <w:rFonts w:hint="eastAsia"/>
          <w:noProof/>
          <w:lang w:eastAsia="ko-KR"/>
        </w:rPr>
        <w:t>.</w:t>
      </w:r>
      <w:r w:rsidRPr="0089670E">
        <w:rPr>
          <w:noProof/>
        </w:rPr>
        <w:t>F</w:t>
      </w:r>
      <w:r>
        <w:rPr>
          <w:rFonts w:hint="eastAsia"/>
          <w:noProof/>
          <w:lang w:eastAsia="ko-KR"/>
        </w:rPr>
        <w:t>.,</w:t>
      </w:r>
      <w:r w:rsidRPr="0089670E">
        <w:rPr>
          <w:noProof/>
        </w:rPr>
        <w:t xml:space="preserve"> Kathren</w:t>
      </w:r>
      <w:r>
        <w:rPr>
          <w:rFonts w:hint="eastAsia"/>
          <w:noProof/>
          <w:lang w:eastAsia="ko-KR"/>
        </w:rPr>
        <w:t>,</w:t>
      </w:r>
      <w:r w:rsidRPr="0089670E">
        <w:rPr>
          <w:noProof/>
        </w:rPr>
        <w:t xml:space="preserve"> R</w:t>
      </w:r>
      <w:r>
        <w:rPr>
          <w:rFonts w:hint="eastAsia"/>
          <w:noProof/>
          <w:lang w:eastAsia="ko-KR"/>
        </w:rPr>
        <w:t>.</w:t>
      </w:r>
      <w:r w:rsidRPr="0089670E">
        <w:rPr>
          <w:noProof/>
        </w:rPr>
        <w:t>L</w:t>
      </w:r>
      <w:r>
        <w:rPr>
          <w:rFonts w:hint="eastAsia"/>
          <w:noProof/>
          <w:lang w:eastAsia="ko-KR"/>
        </w:rPr>
        <w:t>.,</w:t>
      </w:r>
      <w:r w:rsidRPr="0089670E">
        <w:rPr>
          <w:noProof/>
        </w:rPr>
        <w:t xml:space="preserve"> 1990</w:t>
      </w:r>
      <w:r>
        <w:rPr>
          <w:rFonts w:hint="eastAsia"/>
          <w:noProof/>
          <w:lang w:eastAsia="ko-KR"/>
        </w:rPr>
        <w:t>.</w:t>
      </w:r>
      <w:r w:rsidRPr="0089670E">
        <w:rPr>
          <w:noProof/>
        </w:rPr>
        <w:t xml:space="preserve"> Plutonium content in marrow and mineralised bone in an occupationally exposed person. </w:t>
      </w:r>
      <w:r w:rsidRPr="007327C5">
        <w:rPr>
          <w:noProof/>
        </w:rPr>
        <w:t>Radiat. Prot. Dosimetry</w:t>
      </w:r>
      <w:r w:rsidRPr="0089670E">
        <w:rPr>
          <w:noProof/>
        </w:rPr>
        <w:t xml:space="preserve"> 32(4). 245–252.</w:t>
      </w:r>
    </w:p>
    <w:p w14:paraId="35807587" w14:textId="77777777" w:rsidR="00232741" w:rsidRPr="0089670E" w:rsidRDefault="00232741" w:rsidP="00232741">
      <w:pPr>
        <w:pStyle w:val="aff1"/>
        <w:ind w:left="426" w:hanging="426"/>
        <w:rPr>
          <w:noProof/>
        </w:rPr>
      </w:pPr>
      <w:r w:rsidRPr="0089670E">
        <w:rPr>
          <w:noProof/>
        </w:rPr>
        <w:t>McInroy</w:t>
      </w:r>
      <w:r>
        <w:rPr>
          <w:rFonts w:hint="eastAsia"/>
          <w:noProof/>
          <w:lang w:eastAsia="ko-KR"/>
        </w:rPr>
        <w:t>,</w:t>
      </w:r>
      <w:r w:rsidRPr="0089670E">
        <w:rPr>
          <w:noProof/>
        </w:rPr>
        <w:t xml:space="preserve"> J</w:t>
      </w:r>
      <w:r>
        <w:rPr>
          <w:rFonts w:hint="eastAsia"/>
          <w:noProof/>
          <w:lang w:eastAsia="ko-KR"/>
        </w:rPr>
        <w:t>.</w:t>
      </w:r>
      <w:r w:rsidRPr="0089670E">
        <w:rPr>
          <w:noProof/>
        </w:rPr>
        <w:t>F</w:t>
      </w:r>
      <w:r>
        <w:rPr>
          <w:rFonts w:hint="eastAsia"/>
          <w:noProof/>
          <w:lang w:eastAsia="ko-KR"/>
        </w:rPr>
        <w:t>.</w:t>
      </w:r>
      <w:r w:rsidRPr="0089670E">
        <w:rPr>
          <w:noProof/>
        </w:rPr>
        <w:t>, Boyd</w:t>
      </w:r>
      <w:r>
        <w:rPr>
          <w:rFonts w:hint="eastAsia"/>
          <w:noProof/>
          <w:lang w:eastAsia="ko-KR"/>
        </w:rPr>
        <w:t>,</w:t>
      </w:r>
      <w:r w:rsidRPr="0089670E">
        <w:rPr>
          <w:noProof/>
        </w:rPr>
        <w:t xml:space="preserve"> H</w:t>
      </w:r>
      <w:r>
        <w:rPr>
          <w:rFonts w:hint="eastAsia"/>
          <w:noProof/>
          <w:lang w:eastAsia="ko-KR"/>
        </w:rPr>
        <w:t>.</w:t>
      </w:r>
      <w:r w:rsidRPr="0089670E">
        <w:rPr>
          <w:noProof/>
        </w:rPr>
        <w:t>A</w:t>
      </w:r>
      <w:r>
        <w:rPr>
          <w:rFonts w:hint="eastAsia"/>
          <w:noProof/>
          <w:lang w:eastAsia="ko-KR"/>
        </w:rPr>
        <w:t>.</w:t>
      </w:r>
      <w:r w:rsidRPr="0089670E">
        <w:rPr>
          <w:noProof/>
        </w:rPr>
        <w:t>, Eutsler</w:t>
      </w:r>
      <w:r>
        <w:rPr>
          <w:rFonts w:hint="eastAsia"/>
          <w:noProof/>
          <w:lang w:eastAsia="ko-KR"/>
        </w:rPr>
        <w:t>,</w:t>
      </w:r>
      <w:r w:rsidRPr="0089670E">
        <w:rPr>
          <w:noProof/>
        </w:rPr>
        <w:t xml:space="preserve"> B</w:t>
      </w:r>
      <w:r>
        <w:rPr>
          <w:rFonts w:hint="eastAsia"/>
          <w:noProof/>
          <w:lang w:eastAsia="ko-KR"/>
        </w:rPr>
        <w:t>.</w:t>
      </w:r>
      <w:r w:rsidRPr="0089670E">
        <w:rPr>
          <w:noProof/>
        </w:rPr>
        <w:t>C</w:t>
      </w:r>
      <w:r>
        <w:rPr>
          <w:rFonts w:hint="eastAsia"/>
          <w:noProof/>
          <w:lang w:eastAsia="ko-KR"/>
        </w:rPr>
        <w:t>.</w:t>
      </w:r>
      <w:r w:rsidRPr="0089670E">
        <w:rPr>
          <w:noProof/>
        </w:rPr>
        <w:t>, et al.</w:t>
      </w:r>
      <w:r>
        <w:rPr>
          <w:rFonts w:hint="eastAsia"/>
          <w:noProof/>
          <w:lang w:eastAsia="ko-KR"/>
        </w:rPr>
        <w:t>,</w:t>
      </w:r>
      <w:r w:rsidRPr="0089670E">
        <w:rPr>
          <w:noProof/>
        </w:rPr>
        <w:t xml:space="preserve"> 1985</w:t>
      </w:r>
      <w:r>
        <w:rPr>
          <w:rFonts w:hint="eastAsia"/>
          <w:noProof/>
          <w:lang w:eastAsia="ko-KR"/>
        </w:rPr>
        <w:t>.</w:t>
      </w:r>
      <w:r w:rsidRPr="0089670E">
        <w:rPr>
          <w:noProof/>
        </w:rPr>
        <w:t xml:space="preserve"> The U.S. Transuranium Registry report on the 241Am content of a whole body. Part IV: Preparation and analysis of the tissues and bones. </w:t>
      </w:r>
      <w:r w:rsidRPr="00ED6790">
        <w:rPr>
          <w:noProof/>
        </w:rPr>
        <w:t>Health Phys</w:t>
      </w:r>
      <w:r>
        <w:rPr>
          <w:rFonts w:hint="eastAsia"/>
          <w:noProof/>
          <w:lang w:eastAsia="ko-KR"/>
        </w:rPr>
        <w:t>.</w:t>
      </w:r>
      <w:r w:rsidRPr="0089670E">
        <w:rPr>
          <w:noProof/>
        </w:rPr>
        <w:t xml:space="preserve"> 49(4)</w:t>
      </w:r>
      <w:r>
        <w:rPr>
          <w:rFonts w:hint="eastAsia"/>
          <w:noProof/>
          <w:lang w:eastAsia="ko-KR"/>
        </w:rPr>
        <w:t>.</w:t>
      </w:r>
      <w:r w:rsidRPr="0089670E">
        <w:rPr>
          <w:noProof/>
        </w:rPr>
        <w:t xml:space="preserve"> 587–621.</w:t>
      </w:r>
    </w:p>
    <w:p w14:paraId="1C299463" w14:textId="77777777" w:rsidR="00232741" w:rsidRPr="00A3213E" w:rsidRDefault="00232741" w:rsidP="00232741">
      <w:pPr>
        <w:pStyle w:val="aff1"/>
        <w:ind w:left="426" w:hanging="426"/>
        <w:rPr>
          <w:noProof/>
          <w:lang w:val="fr-FR"/>
        </w:rPr>
      </w:pPr>
      <w:r w:rsidRPr="0089670E">
        <w:rPr>
          <w:noProof/>
        </w:rPr>
        <w:t>McInroy</w:t>
      </w:r>
      <w:r>
        <w:rPr>
          <w:rFonts w:hint="eastAsia"/>
          <w:noProof/>
          <w:lang w:eastAsia="ko-KR"/>
        </w:rPr>
        <w:t>,</w:t>
      </w:r>
      <w:r w:rsidRPr="0089670E">
        <w:rPr>
          <w:noProof/>
        </w:rPr>
        <w:t xml:space="preserve"> J</w:t>
      </w:r>
      <w:r>
        <w:rPr>
          <w:rFonts w:hint="eastAsia"/>
          <w:noProof/>
          <w:lang w:eastAsia="ko-KR"/>
        </w:rPr>
        <w:t>.</w:t>
      </w:r>
      <w:r w:rsidRPr="0089670E">
        <w:rPr>
          <w:noProof/>
        </w:rPr>
        <w:t>F</w:t>
      </w:r>
      <w:r>
        <w:rPr>
          <w:rFonts w:hint="eastAsia"/>
          <w:noProof/>
          <w:lang w:eastAsia="ko-KR"/>
        </w:rPr>
        <w:t>.</w:t>
      </w:r>
      <w:r w:rsidRPr="0089670E">
        <w:rPr>
          <w:noProof/>
        </w:rPr>
        <w:t>, Kathren</w:t>
      </w:r>
      <w:r>
        <w:rPr>
          <w:rFonts w:hint="eastAsia"/>
          <w:noProof/>
          <w:lang w:eastAsia="ko-KR"/>
        </w:rPr>
        <w:t>,</w:t>
      </w:r>
      <w:r w:rsidRPr="0089670E">
        <w:rPr>
          <w:noProof/>
        </w:rPr>
        <w:t xml:space="preserve"> R</w:t>
      </w:r>
      <w:r>
        <w:rPr>
          <w:rFonts w:hint="eastAsia"/>
          <w:noProof/>
          <w:lang w:eastAsia="ko-KR"/>
        </w:rPr>
        <w:t>.</w:t>
      </w:r>
      <w:r w:rsidRPr="0089670E">
        <w:rPr>
          <w:noProof/>
        </w:rPr>
        <w:t>L</w:t>
      </w:r>
      <w:r>
        <w:rPr>
          <w:rFonts w:hint="eastAsia"/>
          <w:noProof/>
          <w:lang w:eastAsia="ko-KR"/>
        </w:rPr>
        <w:t>.,</w:t>
      </w:r>
      <w:r w:rsidRPr="0089670E">
        <w:rPr>
          <w:noProof/>
        </w:rPr>
        <w:t xml:space="preserve"> Swint</w:t>
      </w:r>
      <w:r>
        <w:rPr>
          <w:rFonts w:hint="eastAsia"/>
          <w:noProof/>
          <w:lang w:eastAsia="ko-KR"/>
        </w:rPr>
        <w:t>,</w:t>
      </w:r>
      <w:r w:rsidRPr="0089670E">
        <w:rPr>
          <w:noProof/>
        </w:rPr>
        <w:t xml:space="preserve"> M</w:t>
      </w:r>
      <w:r>
        <w:rPr>
          <w:rFonts w:hint="eastAsia"/>
          <w:noProof/>
          <w:lang w:eastAsia="ko-KR"/>
        </w:rPr>
        <w:t>.</w:t>
      </w:r>
      <w:r w:rsidRPr="0089670E">
        <w:rPr>
          <w:noProof/>
        </w:rPr>
        <w:t>J</w:t>
      </w:r>
      <w:r>
        <w:rPr>
          <w:rFonts w:hint="eastAsia"/>
          <w:noProof/>
          <w:lang w:eastAsia="ko-KR"/>
        </w:rPr>
        <w:t>.,</w:t>
      </w:r>
      <w:r w:rsidRPr="0089670E">
        <w:rPr>
          <w:noProof/>
        </w:rPr>
        <w:t xml:space="preserve"> 1989</w:t>
      </w:r>
      <w:r>
        <w:rPr>
          <w:rFonts w:hint="eastAsia"/>
          <w:noProof/>
          <w:lang w:eastAsia="ko-KR"/>
        </w:rPr>
        <w:t>.</w:t>
      </w:r>
      <w:r w:rsidRPr="0089670E">
        <w:rPr>
          <w:noProof/>
        </w:rPr>
        <w:t xml:space="preserve"> Distribution of plutonium and americium in whole bodies donated to the United States Transuranium Registry. </w:t>
      </w:r>
      <w:r w:rsidRPr="00A3213E">
        <w:rPr>
          <w:noProof/>
          <w:lang w:val="fr-FR"/>
        </w:rPr>
        <w:t>Radiat. Prot. Dosimetry 26(1–4). 151–158.</w:t>
      </w:r>
    </w:p>
    <w:p w14:paraId="022E535D" w14:textId="77777777" w:rsidR="00232741" w:rsidRPr="0089670E" w:rsidRDefault="00232741" w:rsidP="00232741">
      <w:pPr>
        <w:pStyle w:val="aff1"/>
        <w:ind w:left="426" w:hanging="426"/>
        <w:rPr>
          <w:noProof/>
        </w:rPr>
      </w:pPr>
      <w:r w:rsidRPr="00A3213E">
        <w:rPr>
          <w:noProof/>
          <w:lang w:val="fr-FR"/>
        </w:rPr>
        <w:t>Métivier</w:t>
      </w:r>
      <w:r w:rsidRPr="00A3213E">
        <w:rPr>
          <w:rFonts w:hint="eastAsia"/>
          <w:noProof/>
          <w:lang w:val="fr-FR" w:eastAsia="ko-KR"/>
        </w:rPr>
        <w:t>,</w:t>
      </w:r>
      <w:r w:rsidRPr="00A3213E">
        <w:rPr>
          <w:noProof/>
          <w:lang w:val="fr-FR"/>
        </w:rPr>
        <w:t xml:space="preserve"> H</w:t>
      </w:r>
      <w:r w:rsidRPr="00A3213E">
        <w:rPr>
          <w:rFonts w:hint="eastAsia"/>
          <w:noProof/>
          <w:lang w:val="fr-FR" w:eastAsia="ko-KR"/>
        </w:rPr>
        <w:t>.</w:t>
      </w:r>
      <w:r w:rsidRPr="00A3213E">
        <w:rPr>
          <w:noProof/>
          <w:lang w:val="fr-FR"/>
        </w:rPr>
        <w:t>, Duserre</w:t>
      </w:r>
      <w:r w:rsidRPr="00A3213E">
        <w:rPr>
          <w:rFonts w:hint="eastAsia"/>
          <w:noProof/>
          <w:lang w:val="fr-FR" w:eastAsia="ko-KR"/>
        </w:rPr>
        <w:t>,</w:t>
      </w:r>
      <w:r w:rsidRPr="00A3213E">
        <w:rPr>
          <w:noProof/>
          <w:lang w:val="fr-FR"/>
        </w:rPr>
        <w:t xml:space="preserve"> C</w:t>
      </w:r>
      <w:r w:rsidRPr="00A3213E">
        <w:rPr>
          <w:rFonts w:hint="eastAsia"/>
          <w:noProof/>
          <w:lang w:val="fr-FR" w:eastAsia="ko-KR"/>
        </w:rPr>
        <w:t>.</w:t>
      </w:r>
      <w:r w:rsidRPr="00A3213E">
        <w:rPr>
          <w:noProof/>
          <w:lang w:val="fr-FR"/>
        </w:rPr>
        <w:t>, Jouniaux</w:t>
      </w:r>
      <w:r w:rsidRPr="00A3213E">
        <w:rPr>
          <w:rFonts w:hint="eastAsia"/>
          <w:noProof/>
          <w:lang w:val="fr-FR" w:eastAsia="ko-KR"/>
        </w:rPr>
        <w:t>,</w:t>
      </w:r>
      <w:r w:rsidRPr="00A3213E">
        <w:rPr>
          <w:noProof/>
          <w:lang w:val="fr-FR"/>
        </w:rPr>
        <w:t xml:space="preserve"> B</w:t>
      </w:r>
      <w:r w:rsidRPr="00A3213E">
        <w:rPr>
          <w:rFonts w:hint="eastAsia"/>
          <w:noProof/>
          <w:lang w:val="fr-FR" w:eastAsia="ko-KR"/>
        </w:rPr>
        <w:t>.</w:t>
      </w:r>
      <w:r w:rsidRPr="00A3213E">
        <w:rPr>
          <w:noProof/>
          <w:lang w:val="fr-FR"/>
        </w:rPr>
        <w:t>, et al.</w:t>
      </w:r>
      <w:r w:rsidRPr="00A3213E">
        <w:rPr>
          <w:rFonts w:hint="eastAsia"/>
          <w:noProof/>
          <w:lang w:val="fr-FR" w:eastAsia="ko-KR"/>
        </w:rPr>
        <w:t>,</w:t>
      </w:r>
      <w:r w:rsidRPr="00A3213E">
        <w:rPr>
          <w:noProof/>
          <w:lang w:val="fr-FR"/>
        </w:rPr>
        <w:t xml:space="preserve"> 1987</w:t>
      </w:r>
      <w:r w:rsidRPr="00A3213E">
        <w:rPr>
          <w:rFonts w:hint="eastAsia"/>
          <w:noProof/>
          <w:lang w:val="fr-FR" w:eastAsia="ko-KR"/>
        </w:rPr>
        <w:t>.</w:t>
      </w:r>
      <w:r w:rsidRPr="00A3213E">
        <w:rPr>
          <w:noProof/>
          <w:lang w:val="fr-FR"/>
        </w:rPr>
        <w:t xml:space="preserve"> </w:t>
      </w:r>
      <w:r w:rsidRPr="0089670E">
        <w:rPr>
          <w:noProof/>
        </w:rPr>
        <w:t xml:space="preserve">Gastrointestinal transfer of neptunium (V) </w:t>
      </w:r>
      <w:r w:rsidRPr="0089670E">
        <w:rPr>
          <w:noProof/>
        </w:rPr>
        <w:lastRenderedPageBreak/>
        <w:t xml:space="preserve">in newborn baboons: preliminary results. In: Gerber GB, Métivier H, and Smith H (eds) </w:t>
      </w:r>
      <w:r w:rsidRPr="00ED6790">
        <w:rPr>
          <w:noProof/>
        </w:rPr>
        <w:t>Age-Related Factors in Radionuclide Metabolism and Dosimetry</w:t>
      </w:r>
      <w:r w:rsidRPr="0089670E">
        <w:rPr>
          <w:noProof/>
        </w:rPr>
        <w:t>. Dordrecht: Martinus Nijhoff Publishers, pp. 21–26.</w:t>
      </w:r>
    </w:p>
    <w:p w14:paraId="4640CF81" w14:textId="77777777" w:rsidR="00232741" w:rsidRPr="0089670E" w:rsidRDefault="00232741" w:rsidP="00232741">
      <w:pPr>
        <w:pStyle w:val="aff1"/>
        <w:ind w:left="426" w:hanging="426"/>
        <w:rPr>
          <w:noProof/>
        </w:rPr>
      </w:pPr>
      <w:r w:rsidRPr="0089670E">
        <w:rPr>
          <w:noProof/>
        </w:rPr>
        <w:t>Mewhinney</w:t>
      </w:r>
      <w:r>
        <w:rPr>
          <w:rFonts w:hint="eastAsia"/>
          <w:noProof/>
          <w:lang w:eastAsia="ko-KR"/>
        </w:rPr>
        <w:t>,</w:t>
      </w:r>
      <w:r w:rsidRPr="0089670E">
        <w:rPr>
          <w:noProof/>
        </w:rPr>
        <w:t xml:space="preserve"> J</w:t>
      </w:r>
      <w:r>
        <w:rPr>
          <w:rFonts w:hint="eastAsia"/>
          <w:noProof/>
          <w:lang w:eastAsia="ko-KR"/>
        </w:rPr>
        <w:t>.</w:t>
      </w:r>
      <w:r w:rsidRPr="0089670E">
        <w:rPr>
          <w:noProof/>
        </w:rPr>
        <w:t>A</w:t>
      </w:r>
      <w:r>
        <w:rPr>
          <w:rFonts w:hint="eastAsia"/>
          <w:noProof/>
          <w:lang w:eastAsia="ko-KR"/>
        </w:rPr>
        <w:t>.,</w:t>
      </w:r>
      <w:r w:rsidRPr="0089670E">
        <w:rPr>
          <w:noProof/>
        </w:rPr>
        <w:t xml:space="preserve"> Griffith</w:t>
      </w:r>
      <w:r>
        <w:rPr>
          <w:rFonts w:hint="eastAsia"/>
          <w:noProof/>
          <w:lang w:eastAsia="ko-KR"/>
        </w:rPr>
        <w:t>,</w:t>
      </w:r>
      <w:r w:rsidRPr="0089670E">
        <w:rPr>
          <w:noProof/>
        </w:rPr>
        <w:t xml:space="preserve"> W</w:t>
      </w:r>
      <w:r>
        <w:rPr>
          <w:rFonts w:hint="eastAsia"/>
          <w:noProof/>
          <w:lang w:eastAsia="ko-KR"/>
        </w:rPr>
        <w:t>.</w:t>
      </w:r>
      <w:r w:rsidRPr="0089670E">
        <w:rPr>
          <w:noProof/>
        </w:rPr>
        <w:t>C</w:t>
      </w:r>
      <w:r>
        <w:rPr>
          <w:rFonts w:hint="eastAsia"/>
          <w:noProof/>
          <w:lang w:eastAsia="ko-KR"/>
        </w:rPr>
        <w:t>.,</w:t>
      </w:r>
      <w:r w:rsidRPr="0089670E">
        <w:rPr>
          <w:noProof/>
        </w:rPr>
        <w:t xml:space="preserve"> 1982</w:t>
      </w:r>
      <w:r>
        <w:rPr>
          <w:rFonts w:hint="eastAsia"/>
          <w:noProof/>
          <w:lang w:eastAsia="ko-KR"/>
        </w:rPr>
        <w:t>.</w:t>
      </w:r>
      <w:r w:rsidRPr="0089670E">
        <w:rPr>
          <w:noProof/>
        </w:rPr>
        <w:t xml:space="preserve"> Models of Am metabolism in beagles and humans. </w:t>
      </w:r>
      <w:r w:rsidRPr="00ED6790">
        <w:rPr>
          <w:noProof/>
        </w:rPr>
        <w:t>Health Phys</w:t>
      </w:r>
      <w:r>
        <w:rPr>
          <w:rFonts w:hint="eastAsia"/>
          <w:noProof/>
          <w:lang w:eastAsia="ko-KR"/>
        </w:rPr>
        <w:t>.</w:t>
      </w:r>
      <w:r w:rsidRPr="0089670E">
        <w:rPr>
          <w:noProof/>
        </w:rPr>
        <w:t xml:space="preserve"> 42(5)</w:t>
      </w:r>
      <w:r>
        <w:rPr>
          <w:rFonts w:hint="eastAsia"/>
          <w:noProof/>
          <w:lang w:eastAsia="ko-KR"/>
        </w:rPr>
        <w:t>.</w:t>
      </w:r>
      <w:r w:rsidRPr="0089670E">
        <w:rPr>
          <w:noProof/>
        </w:rPr>
        <w:t xml:space="preserve"> 629–644.</w:t>
      </w:r>
    </w:p>
    <w:p w14:paraId="3F6574F6" w14:textId="77777777" w:rsidR="00232741" w:rsidRPr="0089670E" w:rsidRDefault="00232741" w:rsidP="00232741">
      <w:pPr>
        <w:pStyle w:val="aff1"/>
        <w:ind w:left="426" w:hanging="426"/>
        <w:rPr>
          <w:noProof/>
        </w:rPr>
      </w:pPr>
      <w:r w:rsidRPr="0089670E">
        <w:rPr>
          <w:noProof/>
        </w:rPr>
        <w:t>Mewhinney</w:t>
      </w:r>
      <w:r>
        <w:rPr>
          <w:rFonts w:hint="eastAsia"/>
          <w:noProof/>
          <w:lang w:eastAsia="ko-KR"/>
        </w:rPr>
        <w:t>,</w:t>
      </w:r>
      <w:r w:rsidRPr="0089670E">
        <w:rPr>
          <w:noProof/>
        </w:rPr>
        <w:t xml:space="preserve"> J</w:t>
      </w:r>
      <w:r>
        <w:rPr>
          <w:rFonts w:hint="eastAsia"/>
          <w:noProof/>
          <w:lang w:eastAsia="ko-KR"/>
        </w:rPr>
        <w:t>.</w:t>
      </w:r>
      <w:r w:rsidRPr="0089670E">
        <w:rPr>
          <w:noProof/>
        </w:rPr>
        <w:t>A</w:t>
      </w:r>
      <w:r>
        <w:rPr>
          <w:rFonts w:hint="eastAsia"/>
          <w:noProof/>
          <w:lang w:eastAsia="ko-KR"/>
        </w:rPr>
        <w:t>.,</w:t>
      </w:r>
      <w:r w:rsidRPr="0089670E">
        <w:rPr>
          <w:noProof/>
        </w:rPr>
        <w:t xml:space="preserve"> Griffith</w:t>
      </w:r>
      <w:r>
        <w:rPr>
          <w:rFonts w:hint="eastAsia"/>
          <w:noProof/>
          <w:lang w:eastAsia="ko-KR"/>
        </w:rPr>
        <w:t>,</w:t>
      </w:r>
      <w:r w:rsidRPr="0089670E">
        <w:rPr>
          <w:noProof/>
        </w:rPr>
        <w:t xml:space="preserve"> W</w:t>
      </w:r>
      <w:r>
        <w:rPr>
          <w:rFonts w:hint="eastAsia"/>
          <w:noProof/>
          <w:lang w:eastAsia="ko-KR"/>
        </w:rPr>
        <w:t>.</w:t>
      </w:r>
      <w:r w:rsidRPr="0089670E">
        <w:rPr>
          <w:noProof/>
        </w:rPr>
        <w:t>C</w:t>
      </w:r>
      <w:r>
        <w:rPr>
          <w:rFonts w:hint="eastAsia"/>
          <w:noProof/>
          <w:lang w:eastAsia="ko-KR"/>
        </w:rPr>
        <w:t>.,</w:t>
      </w:r>
      <w:r w:rsidRPr="0089670E">
        <w:rPr>
          <w:noProof/>
        </w:rPr>
        <w:t xml:space="preserve"> 1983</w:t>
      </w:r>
      <w:r>
        <w:rPr>
          <w:rFonts w:hint="eastAsia"/>
          <w:noProof/>
          <w:lang w:eastAsia="ko-KR"/>
        </w:rPr>
        <w:t>.</w:t>
      </w:r>
      <w:r w:rsidRPr="0089670E">
        <w:rPr>
          <w:noProof/>
        </w:rPr>
        <w:t xml:space="preserve"> A tissue distribution model for assessment of human inhalation exposures to </w:t>
      </w:r>
      <w:r w:rsidRPr="007327C5">
        <w:rPr>
          <w:noProof/>
          <w:vertAlign w:val="superscript"/>
        </w:rPr>
        <w:t>241</w:t>
      </w:r>
      <w:r w:rsidRPr="0089670E">
        <w:rPr>
          <w:noProof/>
        </w:rPr>
        <w:t>AmO</w:t>
      </w:r>
      <w:r w:rsidRPr="007327C5">
        <w:rPr>
          <w:noProof/>
          <w:vertAlign w:val="subscript"/>
        </w:rPr>
        <w:t>2</w:t>
      </w:r>
      <w:r w:rsidRPr="0089670E">
        <w:rPr>
          <w:noProof/>
        </w:rPr>
        <w:t xml:space="preserve">. </w:t>
      </w:r>
      <w:r w:rsidRPr="00ED6790">
        <w:rPr>
          <w:noProof/>
        </w:rPr>
        <w:t>Health Phys</w:t>
      </w:r>
      <w:r>
        <w:rPr>
          <w:rFonts w:hint="eastAsia"/>
          <w:noProof/>
          <w:lang w:eastAsia="ko-KR"/>
        </w:rPr>
        <w:t>.</w:t>
      </w:r>
      <w:r w:rsidRPr="0089670E">
        <w:rPr>
          <w:noProof/>
        </w:rPr>
        <w:t xml:space="preserve"> 44</w:t>
      </w:r>
      <w:r>
        <w:rPr>
          <w:rFonts w:hint="eastAsia"/>
          <w:noProof/>
          <w:lang w:eastAsia="ko-KR"/>
        </w:rPr>
        <w:t>.</w:t>
      </w:r>
      <w:r w:rsidRPr="0089670E">
        <w:rPr>
          <w:noProof/>
        </w:rPr>
        <w:t xml:space="preserve"> 537–544.</w:t>
      </w:r>
    </w:p>
    <w:p w14:paraId="3244DDD4" w14:textId="77777777" w:rsidR="00232741" w:rsidRPr="0089670E" w:rsidRDefault="00232741" w:rsidP="00232741">
      <w:pPr>
        <w:pStyle w:val="aff1"/>
        <w:ind w:left="426" w:hanging="426"/>
        <w:rPr>
          <w:noProof/>
        </w:rPr>
      </w:pPr>
      <w:r w:rsidRPr="0089670E">
        <w:rPr>
          <w:noProof/>
        </w:rPr>
        <w:t>Mewhinney</w:t>
      </w:r>
      <w:r>
        <w:rPr>
          <w:rFonts w:hint="eastAsia"/>
          <w:noProof/>
          <w:lang w:eastAsia="ko-KR"/>
        </w:rPr>
        <w:t>,</w:t>
      </w:r>
      <w:r w:rsidRPr="0089670E">
        <w:rPr>
          <w:noProof/>
        </w:rPr>
        <w:t xml:space="preserve"> J</w:t>
      </w:r>
      <w:r>
        <w:rPr>
          <w:rFonts w:hint="eastAsia"/>
          <w:noProof/>
          <w:lang w:eastAsia="ko-KR"/>
        </w:rPr>
        <w:t>.</w:t>
      </w:r>
      <w:r w:rsidRPr="0089670E">
        <w:rPr>
          <w:noProof/>
        </w:rPr>
        <w:t>A</w:t>
      </w:r>
      <w:r>
        <w:rPr>
          <w:rFonts w:hint="eastAsia"/>
          <w:noProof/>
          <w:lang w:eastAsia="ko-KR"/>
        </w:rPr>
        <w:t>.</w:t>
      </w:r>
      <w:r w:rsidRPr="0089670E">
        <w:rPr>
          <w:noProof/>
        </w:rPr>
        <w:t>, Ziemer</w:t>
      </w:r>
      <w:r>
        <w:rPr>
          <w:rFonts w:hint="eastAsia"/>
          <w:noProof/>
          <w:lang w:eastAsia="ko-KR"/>
        </w:rPr>
        <w:t>,</w:t>
      </w:r>
      <w:r w:rsidRPr="0089670E">
        <w:rPr>
          <w:noProof/>
        </w:rPr>
        <w:t xml:space="preserve"> P</w:t>
      </w:r>
      <w:r>
        <w:rPr>
          <w:rFonts w:hint="eastAsia"/>
          <w:noProof/>
          <w:lang w:eastAsia="ko-KR"/>
        </w:rPr>
        <w:t>.</w:t>
      </w:r>
      <w:r w:rsidRPr="0089670E">
        <w:rPr>
          <w:noProof/>
        </w:rPr>
        <w:t>L</w:t>
      </w:r>
      <w:r>
        <w:rPr>
          <w:rFonts w:hint="eastAsia"/>
          <w:noProof/>
          <w:lang w:eastAsia="ko-KR"/>
        </w:rPr>
        <w:t>.,</w:t>
      </w:r>
      <w:r w:rsidRPr="0089670E">
        <w:rPr>
          <w:noProof/>
        </w:rPr>
        <w:t xml:space="preserve"> Landolt</w:t>
      </w:r>
      <w:r>
        <w:rPr>
          <w:rFonts w:hint="eastAsia"/>
          <w:noProof/>
          <w:lang w:eastAsia="ko-KR"/>
        </w:rPr>
        <w:t>,</w:t>
      </w:r>
      <w:r w:rsidRPr="0089670E">
        <w:rPr>
          <w:noProof/>
        </w:rPr>
        <w:t xml:space="preserve"> R</w:t>
      </w:r>
      <w:r>
        <w:rPr>
          <w:rFonts w:hint="eastAsia"/>
          <w:noProof/>
          <w:lang w:eastAsia="ko-KR"/>
        </w:rPr>
        <w:t>.</w:t>
      </w:r>
      <w:r w:rsidRPr="0089670E">
        <w:rPr>
          <w:noProof/>
        </w:rPr>
        <w:t>R</w:t>
      </w:r>
      <w:r>
        <w:rPr>
          <w:rFonts w:hint="eastAsia"/>
          <w:noProof/>
          <w:lang w:eastAsia="ko-KR"/>
        </w:rPr>
        <w:t>.,</w:t>
      </w:r>
      <w:r w:rsidRPr="0089670E">
        <w:rPr>
          <w:noProof/>
        </w:rPr>
        <w:t xml:space="preserve"> 1971</w:t>
      </w:r>
      <w:r>
        <w:rPr>
          <w:rFonts w:hint="eastAsia"/>
          <w:noProof/>
          <w:lang w:eastAsia="ko-KR"/>
        </w:rPr>
        <w:t>.</w:t>
      </w:r>
      <w:r w:rsidRPr="0089670E">
        <w:rPr>
          <w:noProof/>
        </w:rPr>
        <w:t xml:space="preserve"> Retention and distribution of injected Californium-252 in the rat. </w:t>
      </w:r>
      <w:r w:rsidRPr="00ED6790">
        <w:rPr>
          <w:noProof/>
        </w:rPr>
        <w:t>Health Phys</w:t>
      </w:r>
      <w:r>
        <w:rPr>
          <w:rFonts w:hint="eastAsia"/>
          <w:noProof/>
          <w:lang w:eastAsia="ko-KR"/>
        </w:rPr>
        <w:t>.</w:t>
      </w:r>
      <w:r w:rsidRPr="0089670E">
        <w:rPr>
          <w:noProof/>
        </w:rPr>
        <w:t xml:space="preserve"> 21(6)</w:t>
      </w:r>
      <w:r>
        <w:rPr>
          <w:rFonts w:hint="eastAsia"/>
          <w:noProof/>
          <w:lang w:eastAsia="ko-KR"/>
        </w:rPr>
        <w:t>.</w:t>
      </w:r>
      <w:r w:rsidRPr="0089670E">
        <w:rPr>
          <w:noProof/>
        </w:rPr>
        <w:t xml:space="preserve"> 857–860.</w:t>
      </w:r>
    </w:p>
    <w:p w14:paraId="16FEED67" w14:textId="77777777" w:rsidR="00232741" w:rsidRPr="0089670E" w:rsidRDefault="00232741" w:rsidP="00232741">
      <w:pPr>
        <w:pStyle w:val="aff1"/>
        <w:ind w:left="426" w:hanging="426"/>
        <w:rPr>
          <w:noProof/>
        </w:rPr>
      </w:pPr>
      <w:r w:rsidRPr="0089670E">
        <w:rPr>
          <w:noProof/>
        </w:rPr>
        <w:t>Mewhinney</w:t>
      </w:r>
      <w:r>
        <w:rPr>
          <w:rFonts w:hint="eastAsia"/>
          <w:noProof/>
          <w:lang w:eastAsia="ko-KR"/>
        </w:rPr>
        <w:t>,</w:t>
      </w:r>
      <w:r w:rsidRPr="0089670E">
        <w:rPr>
          <w:noProof/>
        </w:rPr>
        <w:t xml:space="preserve"> J</w:t>
      </w:r>
      <w:r>
        <w:rPr>
          <w:rFonts w:hint="eastAsia"/>
          <w:noProof/>
          <w:lang w:eastAsia="ko-KR"/>
        </w:rPr>
        <w:t>.</w:t>
      </w:r>
      <w:r w:rsidRPr="0089670E">
        <w:rPr>
          <w:noProof/>
        </w:rPr>
        <w:t>A</w:t>
      </w:r>
      <w:r>
        <w:rPr>
          <w:rFonts w:hint="eastAsia"/>
          <w:noProof/>
          <w:lang w:eastAsia="ko-KR"/>
        </w:rPr>
        <w:t>.,</w:t>
      </w:r>
      <w:r w:rsidRPr="0089670E">
        <w:rPr>
          <w:noProof/>
        </w:rPr>
        <w:t xml:space="preserve"> Brooks</w:t>
      </w:r>
      <w:r>
        <w:rPr>
          <w:rFonts w:hint="eastAsia"/>
          <w:noProof/>
          <w:lang w:eastAsia="ko-KR"/>
        </w:rPr>
        <w:t>,</w:t>
      </w:r>
      <w:r w:rsidRPr="0089670E">
        <w:rPr>
          <w:noProof/>
        </w:rPr>
        <w:t xml:space="preserve"> A</w:t>
      </w:r>
      <w:r>
        <w:rPr>
          <w:rFonts w:hint="eastAsia"/>
          <w:noProof/>
          <w:lang w:eastAsia="ko-KR"/>
        </w:rPr>
        <w:t>.</w:t>
      </w:r>
      <w:r w:rsidRPr="0089670E">
        <w:rPr>
          <w:noProof/>
        </w:rPr>
        <w:t>L</w:t>
      </w:r>
      <w:r>
        <w:rPr>
          <w:rFonts w:hint="eastAsia"/>
          <w:noProof/>
          <w:lang w:eastAsia="ko-KR"/>
        </w:rPr>
        <w:t>.,</w:t>
      </w:r>
      <w:r w:rsidRPr="0089670E">
        <w:rPr>
          <w:noProof/>
        </w:rPr>
        <w:t xml:space="preserve"> McClellan</w:t>
      </w:r>
      <w:r>
        <w:rPr>
          <w:rFonts w:hint="eastAsia"/>
          <w:noProof/>
          <w:lang w:eastAsia="ko-KR"/>
        </w:rPr>
        <w:t>,</w:t>
      </w:r>
      <w:r w:rsidRPr="0089670E">
        <w:rPr>
          <w:noProof/>
        </w:rPr>
        <w:t xml:space="preserve"> R</w:t>
      </w:r>
      <w:r>
        <w:rPr>
          <w:rFonts w:hint="eastAsia"/>
          <w:noProof/>
          <w:lang w:eastAsia="ko-KR"/>
        </w:rPr>
        <w:t>.</w:t>
      </w:r>
      <w:r w:rsidRPr="0089670E">
        <w:rPr>
          <w:noProof/>
        </w:rPr>
        <w:t>O</w:t>
      </w:r>
      <w:r>
        <w:rPr>
          <w:rFonts w:hint="eastAsia"/>
          <w:noProof/>
          <w:lang w:eastAsia="ko-KR"/>
        </w:rPr>
        <w:t>.,</w:t>
      </w:r>
      <w:r w:rsidRPr="0089670E">
        <w:rPr>
          <w:noProof/>
        </w:rPr>
        <w:t xml:space="preserve"> 1972</w:t>
      </w:r>
      <w:r>
        <w:rPr>
          <w:rFonts w:hint="eastAsia"/>
          <w:noProof/>
          <w:lang w:eastAsia="ko-KR"/>
        </w:rPr>
        <w:t>.</w:t>
      </w:r>
      <w:r w:rsidRPr="0089670E">
        <w:rPr>
          <w:noProof/>
        </w:rPr>
        <w:t xml:space="preserve"> Comparison of the retention and distribution of injected </w:t>
      </w:r>
      <w:r w:rsidRPr="007327C5">
        <w:rPr>
          <w:noProof/>
          <w:vertAlign w:val="superscript"/>
        </w:rPr>
        <w:t>252</w:t>
      </w:r>
      <w:r w:rsidRPr="0089670E">
        <w:rPr>
          <w:noProof/>
        </w:rPr>
        <w:t xml:space="preserve">Cf in rats and Chinese hamsters. </w:t>
      </w:r>
      <w:r w:rsidRPr="00ED6790">
        <w:rPr>
          <w:noProof/>
        </w:rPr>
        <w:t>Health Phys</w:t>
      </w:r>
      <w:r>
        <w:rPr>
          <w:rFonts w:hint="eastAsia"/>
          <w:noProof/>
          <w:lang w:eastAsia="ko-KR"/>
        </w:rPr>
        <w:t>.</w:t>
      </w:r>
      <w:r w:rsidRPr="0089670E">
        <w:rPr>
          <w:noProof/>
        </w:rPr>
        <w:t xml:space="preserve"> 22(6)</w:t>
      </w:r>
      <w:r>
        <w:rPr>
          <w:rFonts w:hint="eastAsia"/>
          <w:noProof/>
          <w:lang w:eastAsia="ko-KR"/>
        </w:rPr>
        <w:t>.</w:t>
      </w:r>
      <w:r w:rsidRPr="0089670E">
        <w:rPr>
          <w:noProof/>
        </w:rPr>
        <w:t xml:space="preserve"> 695–700.</w:t>
      </w:r>
    </w:p>
    <w:p w14:paraId="4CE644A9" w14:textId="77777777" w:rsidR="00232741" w:rsidRPr="0089670E" w:rsidRDefault="00232741" w:rsidP="00232741">
      <w:pPr>
        <w:pStyle w:val="aff1"/>
        <w:ind w:left="426" w:hanging="426"/>
        <w:rPr>
          <w:noProof/>
        </w:rPr>
      </w:pPr>
      <w:r w:rsidRPr="0089670E">
        <w:rPr>
          <w:noProof/>
        </w:rPr>
        <w:t>Morin</w:t>
      </w:r>
      <w:r>
        <w:rPr>
          <w:rFonts w:hint="eastAsia"/>
          <w:noProof/>
          <w:lang w:eastAsia="ko-KR"/>
        </w:rPr>
        <w:t>,</w:t>
      </w:r>
      <w:r w:rsidRPr="0089670E">
        <w:rPr>
          <w:noProof/>
        </w:rPr>
        <w:t xml:space="preserve"> M</w:t>
      </w:r>
      <w:r>
        <w:rPr>
          <w:rFonts w:hint="eastAsia"/>
          <w:noProof/>
          <w:lang w:eastAsia="ko-KR"/>
        </w:rPr>
        <w:t>.</w:t>
      </w:r>
      <w:r w:rsidRPr="0089670E">
        <w:rPr>
          <w:noProof/>
        </w:rPr>
        <w:t>, Nenot</w:t>
      </w:r>
      <w:r>
        <w:rPr>
          <w:rFonts w:hint="eastAsia"/>
          <w:noProof/>
          <w:lang w:eastAsia="ko-KR"/>
        </w:rPr>
        <w:t>,</w:t>
      </w:r>
      <w:r w:rsidRPr="0089670E">
        <w:rPr>
          <w:noProof/>
        </w:rPr>
        <w:t xml:space="preserve"> J</w:t>
      </w:r>
      <w:r>
        <w:rPr>
          <w:rFonts w:hint="eastAsia"/>
          <w:noProof/>
          <w:lang w:eastAsia="ko-KR"/>
        </w:rPr>
        <w:t>.</w:t>
      </w:r>
      <w:r w:rsidRPr="0089670E">
        <w:rPr>
          <w:noProof/>
        </w:rPr>
        <w:t>C</w:t>
      </w:r>
      <w:r>
        <w:rPr>
          <w:rFonts w:hint="eastAsia"/>
          <w:noProof/>
          <w:lang w:eastAsia="ko-KR"/>
        </w:rPr>
        <w:t>.,</w:t>
      </w:r>
      <w:r w:rsidRPr="0089670E">
        <w:rPr>
          <w:noProof/>
        </w:rPr>
        <w:t xml:space="preserve"> Lafuma</w:t>
      </w:r>
      <w:r>
        <w:rPr>
          <w:rFonts w:hint="eastAsia"/>
          <w:noProof/>
          <w:lang w:eastAsia="ko-KR"/>
        </w:rPr>
        <w:t>,</w:t>
      </w:r>
      <w:r w:rsidRPr="0089670E">
        <w:rPr>
          <w:noProof/>
        </w:rPr>
        <w:t xml:space="preserve"> J</w:t>
      </w:r>
      <w:r>
        <w:rPr>
          <w:rFonts w:hint="eastAsia"/>
          <w:noProof/>
          <w:lang w:eastAsia="ko-KR"/>
        </w:rPr>
        <w:t>.,</w:t>
      </w:r>
      <w:r w:rsidRPr="0089670E">
        <w:rPr>
          <w:noProof/>
        </w:rPr>
        <w:t xml:space="preserve"> 1973</w:t>
      </w:r>
      <w:r>
        <w:rPr>
          <w:rFonts w:hint="eastAsia"/>
          <w:noProof/>
          <w:lang w:eastAsia="ko-KR"/>
        </w:rPr>
        <w:t>.</w:t>
      </w:r>
      <w:r w:rsidRPr="0089670E">
        <w:rPr>
          <w:noProof/>
        </w:rPr>
        <w:t xml:space="preserve"> The behaviour of </w:t>
      </w:r>
      <w:r w:rsidRPr="007327C5">
        <w:rPr>
          <w:noProof/>
          <w:vertAlign w:val="superscript"/>
        </w:rPr>
        <w:t>237</w:t>
      </w:r>
      <w:r w:rsidRPr="0089670E">
        <w:rPr>
          <w:noProof/>
        </w:rPr>
        <w:t xml:space="preserve">Np in the rat. </w:t>
      </w:r>
      <w:r w:rsidRPr="00ED6790">
        <w:rPr>
          <w:noProof/>
        </w:rPr>
        <w:t>Health Phys</w:t>
      </w:r>
      <w:r>
        <w:rPr>
          <w:rFonts w:hint="eastAsia"/>
          <w:noProof/>
          <w:lang w:eastAsia="ko-KR"/>
        </w:rPr>
        <w:t>.</w:t>
      </w:r>
      <w:r w:rsidRPr="0089670E">
        <w:rPr>
          <w:noProof/>
        </w:rPr>
        <w:t xml:space="preserve"> 24(3)</w:t>
      </w:r>
      <w:r>
        <w:rPr>
          <w:rFonts w:hint="eastAsia"/>
          <w:noProof/>
          <w:lang w:eastAsia="ko-KR"/>
        </w:rPr>
        <w:t>.</w:t>
      </w:r>
      <w:r w:rsidRPr="0089670E">
        <w:rPr>
          <w:noProof/>
        </w:rPr>
        <w:t xml:space="preserve"> 311–315.</w:t>
      </w:r>
    </w:p>
    <w:p w14:paraId="38E4E2BC" w14:textId="77777777" w:rsidR="00232741" w:rsidRPr="0089670E" w:rsidRDefault="00232741" w:rsidP="00232741">
      <w:pPr>
        <w:pStyle w:val="aff1"/>
        <w:ind w:left="426" w:hanging="426"/>
        <w:rPr>
          <w:noProof/>
        </w:rPr>
      </w:pPr>
      <w:r w:rsidRPr="0089670E">
        <w:rPr>
          <w:noProof/>
        </w:rPr>
        <w:t>Moskalev</w:t>
      </w:r>
      <w:r>
        <w:rPr>
          <w:rFonts w:hint="eastAsia"/>
          <w:noProof/>
          <w:lang w:eastAsia="ko-KR"/>
        </w:rPr>
        <w:t>,</w:t>
      </w:r>
      <w:r w:rsidRPr="0089670E">
        <w:rPr>
          <w:noProof/>
        </w:rPr>
        <w:t xml:space="preserve"> Y</w:t>
      </w:r>
      <w:r>
        <w:rPr>
          <w:rFonts w:hint="eastAsia"/>
          <w:noProof/>
          <w:lang w:eastAsia="ko-KR"/>
        </w:rPr>
        <w:t>.</w:t>
      </w:r>
      <w:r w:rsidRPr="0089670E">
        <w:rPr>
          <w:noProof/>
        </w:rPr>
        <w:t>I</w:t>
      </w:r>
      <w:r>
        <w:rPr>
          <w:rFonts w:hint="eastAsia"/>
          <w:noProof/>
          <w:lang w:eastAsia="ko-KR"/>
        </w:rPr>
        <w:t>.</w:t>
      </w:r>
      <w:r w:rsidRPr="0089670E">
        <w:rPr>
          <w:noProof/>
        </w:rPr>
        <w:t>, Zalikin</w:t>
      </w:r>
      <w:r>
        <w:rPr>
          <w:rFonts w:hint="eastAsia"/>
          <w:noProof/>
          <w:lang w:eastAsia="ko-KR"/>
        </w:rPr>
        <w:t>,</w:t>
      </w:r>
      <w:r w:rsidRPr="0089670E">
        <w:rPr>
          <w:noProof/>
        </w:rPr>
        <w:t xml:space="preserve"> G</w:t>
      </w:r>
      <w:r>
        <w:rPr>
          <w:rFonts w:hint="eastAsia"/>
          <w:noProof/>
          <w:lang w:eastAsia="ko-KR"/>
        </w:rPr>
        <w:t>.</w:t>
      </w:r>
      <w:r w:rsidRPr="0089670E">
        <w:rPr>
          <w:noProof/>
        </w:rPr>
        <w:t>A</w:t>
      </w:r>
      <w:r>
        <w:rPr>
          <w:rFonts w:hint="eastAsia"/>
          <w:noProof/>
          <w:lang w:eastAsia="ko-KR"/>
        </w:rPr>
        <w:t>.,</w:t>
      </w:r>
      <w:r w:rsidRPr="0089670E">
        <w:rPr>
          <w:noProof/>
        </w:rPr>
        <w:t xml:space="preserve"> Stepanov</w:t>
      </w:r>
      <w:r>
        <w:rPr>
          <w:rFonts w:hint="eastAsia"/>
          <w:noProof/>
          <w:lang w:eastAsia="ko-KR"/>
        </w:rPr>
        <w:t>,</w:t>
      </w:r>
      <w:r w:rsidRPr="0089670E">
        <w:rPr>
          <w:noProof/>
        </w:rPr>
        <w:t xml:space="preserve"> V</w:t>
      </w:r>
      <w:r>
        <w:rPr>
          <w:rFonts w:hint="eastAsia"/>
          <w:noProof/>
          <w:lang w:eastAsia="ko-KR"/>
        </w:rPr>
        <w:t>.</w:t>
      </w:r>
      <w:r w:rsidRPr="0089670E">
        <w:rPr>
          <w:noProof/>
        </w:rPr>
        <w:t>S</w:t>
      </w:r>
      <w:r>
        <w:rPr>
          <w:rFonts w:hint="eastAsia"/>
          <w:noProof/>
          <w:lang w:eastAsia="ko-KR"/>
        </w:rPr>
        <w:t xml:space="preserve">., </w:t>
      </w:r>
      <w:r w:rsidRPr="0089670E">
        <w:rPr>
          <w:noProof/>
        </w:rPr>
        <w:t>1972</w:t>
      </w:r>
      <w:r>
        <w:rPr>
          <w:rFonts w:hint="eastAsia"/>
          <w:noProof/>
          <w:lang w:eastAsia="ko-KR"/>
        </w:rPr>
        <w:t>.</w:t>
      </w:r>
      <w:r w:rsidRPr="0089670E">
        <w:rPr>
          <w:noProof/>
        </w:rPr>
        <w:t xml:space="preserve"> Distribution and biological effects of neptunium-237. In: Moskalev Y.I. and Kalistratova VS (eds) </w:t>
      </w:r>
      <w:r w:rsidRPr="00ED6790">
        <w:rPr>
          <w:noProof/>
        </w:rPr>
        <w:t>Biological Effects of Radiation from External and Internal Sources. Translated in U.S. Atomic Energy Commission Document AEC-Tr-7457</w:t>
      </w:r>
      <w:r w:rsidRPr="0089670E">
        <w:rPr>
          <w:noProof/>
        </w:rPr>
        <w:t>. Moscow, Russia: Meditsina, pp. 330–341.</w:t>
      </w:r>
    </w:p>
    <w:p w14:paraId="3FDB09E2" w14:textId="77777777" w:rsidR="00232741" w:rsidRPr="0089670E" w:rsidRDefault="00232741" w:rsidP="00232741">
      <w:pPr>
        <w:pStyle w:val="aff1"/>
        <w:ind w:left="426" w:hanging="426"/>
        <w:rPr>
          <w:noProof/>
        </w:rPr>
      </w:pPr>
      <w:r w:rsidRPr="0089670E">
        <w:rPr>
          <w:noProof/>
        </w:rPr>
        <w:t>Moskalev</w:t>
      </w:r>
      <w:r>
        <w:rPr>
          <w:rFonts w:hint="eastAsia"/>
          <w:noProof/>
          <w:lang w:eastAsia="ko-KR"/>
        </w:rPr>
        <w:t>,</w:t>
      </w:r>
      <w:r w:rsidRPr="0089670E">
        <w:rPr>
          <w:noProof/>
        </w:rPr>
        <w:t xml:space="preserve"> Y</w:t>
      </w:r>
      <w:r>
        <w:rPr>
          <w:rFonts w:hint="eastAsia"/>
          <w:noProof/>
          <w:lang w:eastAsia="ko-KR"/>
        </w:rPr>
        <w:t>.</w:t>
      </w:r>
      <w:r w:rsidRPr="0089670E">
        <w:rPr>
          <w:noProof/>
        </w:rPr>
        <w:t>I</w:t>
      </w:r>
      <w:r>
        <w:rPr>
          <w:rFonts w:hint="eastAsia"/>
          <w:noProof/>
          <w:lang w:eastAsia="ko-KR"/>
        </w:rPr>
        <w:t>.</w:t>
      </w:r>
      <w:r w:rsidRPr="0089670E">
        <w:rPr>
          <w:noProof/>
        </w:rPr>
        <w:t>, Zalikin</w:t>
      </w:r>
      <w:r>
        <w:rPr>
          <w:rFonts w:hint="eastAsia"/>
          <w:noProof/>
          <w:lang w:eastAsia="ko-KR"/>
        </w:rPr>
        <w:t>,</w:t>
      </w:r>
      <w:r w:rsidRPr="0089670E">
        <w:rPr>
          <w:noProof/>
        </w:rPr>
        <w:t xml:space="preserve"> G</w:t>
      </w:r>
      <w:r>
        <w:rPr>
          <w:rFonts w:hint="eastAsia"/>
          <w:noProof/>
          <w:lang w:eastAsia="ko-KR"/>
        </w:rPr>
        <w:t>.</w:t>
      </w:r>
      <w:r w:rsidRPr="0089670E">
        <w:rPr>
          <w:noProof/>
        </w:rPr>
        <w:t>A</w:t>
      </w:r>
      <w:r>
        <w:rPr>
          <w:rFonts w:hint="eastAsia"/>
          <w:noProof/>
          <w:lang w:eastAsia="ko-KR"/>
        </w:rPr>
        <w:t>.,</w:t>
      </w:r>
      <w:r w:rsidRPr="0089670E">
        <w:rPr>
          <w:noProof/>
        </w:rPr>
        <w:t xml:space="preserve"> Stepanov</w:t>
      </w:r>
      <w:r>
        <w:rPr>
          <w:rFonts w:hint="eastAsia"/>
          <w:noProof/>
          <w:lang w:eastAsia="ko-KR"/>
        </w:rPr>
        <w:t>,</w:t>
      </w:r>
      <w:r w:rsidRPr="0089670E">
        <w:rPr>
          <w:noProof/>
        </w:rPr>
        <w:t xml:space="preserve"> V</w:t>
      </w:r>
      <w:r>
        <w:rPr>
          <w:rFonts w:hint="eastAsia"/>
          <w:noProof/>
          <w:lang w:eastAsia="ko-KR"/>
        </w:rPr>
        <w:t>.</w:t>
      </w:r>
      <w:r w:rsidRPr="0089670E">
        <w:rPr>
          <w:noProof/>
        </w:rPr>
        <w:t>S</w:t>
      </w:r>
      <w:r>
        <w:rPr>
          <w:rFonts w:hint="eastAsia"/>
          <w:noProof/>
          <w:lang w:eastAsia="ko-KR"/>
        </w:rPr>
        <w:t>.,</w:t>
      </w:r>
      <w:r w:rsidRPr="0089670E">
        <w:rPr>
          <w:noProof/>
        </w:rPr>
        <w:t xml:space="preserve"> 1974</w:t>
      </w:r>
      <w:r>
        <w:rPr>
          <w:rFonts w:hint="eastAsia"/>
          <w:noProof/>
          <w:lang w:eastAsia="ko-KR"/>
        </w:rPr>
        <w:t>.</w:t>
      </w:r>
      <w:r w:rsidRPr="0089670E">
        <w:rPr>
          <w:noProof/>
        </w:rPr>
        <w:t xml:space="preserve"> Distinctions of distribution in the organism of radioactive isotopes of lanthanide elements. In: </w:t>
      </w:r>
      <w:r w:rsidRPr="00ED6790">
        <w:rPr>
          <w:noProof/>
        </w:rPr>
        <w:t>Biological Effects of Radiation from External and Internal Sources. Translated in U.S. Atomic Energy Commission Document AEC-Tr-7457</w:t>
      </w:r>
      <w:r w:rsidRPr="0089670E">
        <w:rPr>
          <w:noProof/>
        </w:rPr>
        <w:t>. Moscow, Russia: Medistina.</w:t>
      </w:r>
    </w:p>
    <w:p w14:paraId="5116F6CC" w14:textId="77777777" w:rsidR="00232741" w:rsidRPr="0089670E" w:rsidRDefault="00232741" w:rsidP="00232741">
      <w:pPr>
        <w:pStyle w:val="aff1"/>
        <w:ind w:left="426" w:hanging="426"/>
        <w:rPr>
          <w:noProof/>
        </w:rPr>
      </w:pPr>
      <w:r w:rsidRPr="0061223E">
        <w:rPr>
          <w:noProof/>
          <w:lang w:val="en-US"/>
        </w:rPr>
        <w:t>Mraz</w:t>
      </w:r>
      <w:r w:rsidRPr="0061223E">
        <w:rPr>
          <w:rFonts w:hint="eastAsia"/>
          <w:noProof/>
          <w:lang w:val="en-US" w:eastAsia="ko-KR"/>
        </w:rPr>
        <w:t>,</w:t>
      </w:r>
      <w:r w:rsidRPr="0061223E">
        <w:rPr>
          <w:noProof/>
          <w:lang w:val="en-US"/>
        </w:rPr>
        <w:t xml:space="preserve"> F</w:t>
      </w:r>
      <w:r w:rsidRPr="0061223E">
        <w:rPr>
          <w:rFonts w:hint="eastAsia"/>
          <w:noProof/>
          <w:lang w:val="en-US" w:eastAsia="ko-KR"/>
        </w:rPr>
        <w:t>.</w:t>
      </w:r>
      <w:r w:rsidRPr="0061223E">
        <w:rPr>
          <w:noProof/>
          <w:lang w:val="en-US"/>
        </w:rPr>
        <w:t>R</w:t>
      </w:r>
      <w:r w:rsidRPr="0061223E">
        <w:rPr>
          <w:rFonts w:hint="eastAsia"/>
          <w:noProof/>
          <w:lang w:val="en-US" w:eastAsia="ko-KR"/>
        </w:rPr>
        <w:t>.,</w:t>
      </w:r>
      <w:r w:rsidRPr="0061223E">
        <w:rPr>
          <w:noProof/>
          <w:lang w:val="en-US"/>
        </w:rPr>
        <w:t xml:space="preserve"> Eisele</w:t>
      </w:r>
      <w:r w:rsidRPr="0061223E">
        <w:rPr>
          <w:rFonts w:hint="eastAsia"/>
          <w:noProof/>
          <w:lang w:val="en-US" w:eastAsia="ko-KR"/>
        </w:rPr>
        <w:t>,</w:t>
      </w:r>
      <w:r w:rsidRPr="0061223E">
        <w:rPr>
          <w:noProof/>
          <w:lang w:val="en-US"/>
        </w:rPr>
        <w:t xml:space="preserve"> G</w:t>
      </w:r>
      <w:r w:rsidRPr="0061223E">
        <w:rPr>
          <w:rFonts w:hint="eastAsia"/>
          <w:noProof/>
          <w:lang w:val="en-US" w:eastAsia="ko-KR"/>
        </w:rPr>
        <w:t>.</w:t>
      </w:r>
      <w:r w:rsidRPr="0061223E">
        <w:rPr>
          <w:noProof/>
          <w:lang w:val="en-US"/>
        </w:rPr>
        <w:t>R</w:t>
      </w:r>
      <w:r w:rsidRPr="0061223E">
        <w:rPr>
          <w:rFonts w:hint="eastAsia"/>
          <w:noProof/>
          <w:lang w:val="en-US" w:eastAsia="ko-KR"/>
        </w:rPr>
        <w:t>.,</w:t>
      </w:r>
      <w:r w:rsidRPr="0061223E">
        <w:rPr>
          <w:noProof/>
          <w:lang w:val="en-US"/>
        </w:rPr>
        <w:t xml:space="preserve"> 1977</w:t>
      </w:r>
      <w:r w:rsidRPr="0061223E">
        <w:rPr>
          <w:rFonts w:hint="eastAsia"/>
          <w:noProof/>
          <w:lang w:val="en-US" w:eastAsia="ko-KR"/>
        </w:rPr>
        <w:t>.</w:t>
      </w:r>
      <w:r w:rsidRPr="0061223E">
        <w:rPr>
          <w:noProof/>
          <w:lang w:val="en-US"/>
        </w:rPr>
        <w:t xml:space="preserve"> </w:t>
      </w:r>
      <w:r w:rsidRPr="0089670E">
        <w:rPr>
          <w:noProof/>
        </w:rPr>
        <w:t xml:space="preserve">Gastrointestinal absorption and distribution of </w:t>
      </w:r>
      <w:r w:rsidRPr="00297E90">
        <w:rPr>
          <w:noProof/>
          <w:vertAlign w:val="superscript"/>
        </w:rPr>
        <w:t>144</w:t>
      </w:r>
      <w:r w:rsidRPr="0089670E">
        <w:rPr>
          <w:noProof/>
        </w:rPr>
        <w:t xml:space="preserve">Ce in the suckling pig. </w:t>
      </w:r>
      <w:r w:rsidRPr="00ED6790">
        <w:rPr>
          <w:noProof/>
        </w:rPr>
        <w:t>Health Phys</w:t>
      </w:r>
      <w:r>
        <w:rPr>
          <w:rFonts w:hint="eastAsia"/>
          <w:noProof/>
          <w:lang w:eastAsia="ko-KR"/>
        </w:rPr>
        <w:t>.</w:t>
      </w:r>
      <w:r w:rsidRPr="0089670E">
        <w:rPr>
          <w:noProof/>
        </w:rPr>
        <w:t xml:space="preserve"> 33</w:t>
      </w:r>
      <w:r>
        <w:rPr>
          <w:rFonts w:hint="eastAsia"/>
          <w:noProof/>
          <w:lang w:eastAsia="ko-KR"/>
        </w:rPr>
        <w:t>.</w:t>
      </w:r>
      <w:r w:rsidRPr="0089670E">
        <w:rPr>
          <w:noProof/>
        </w:rPr>
        <w:t xml:space="preserve"> 494–495.</w:t>
      </w:r>
    </w:p>
    <w:p w14:paraId="7906C5D3" w14:textId="77777777" w:rsidR="00232741" w:rsidRPr="0089670E" w:rsidRDefault="00232741" w:rsidP="00232741">
      <w:pPr>
        <w:pStyle w:val="aff1"/>
        <w:ind w:left="426" w:hanging="426"/>
        <w:rPr>
          <w:noProof/>
        </w:rPr>
      </w:pPr>
      <w:r w:rsidRPr="0061223E">
        <w:rPr>
          <w:noProof/>
        </w:rPr>
        <w:t>Mussalo-Rauhamaa</w:t>
      </w:r>
      <w:r w:rsidRPr="0061223E">
        <w:rPr>
          <w:rFonts w:hint="eastAsia"/>
          <w:noProof/>
          <w:lang w:eastAsia="ko-KR"/>
        </w:rPr>
        <w:t>,</w:t>
      </w:r>
      <w:r w:rsidRPr="0061223E">
        <w:rPr>
          <w:noProof/>
        </w:rPr>
        <w:t xml:space="preserve"> H</w:t>
      </w:r>
      <w:r w:rsidRPr="0061223E">
        <w:rPr>
          <w:rFonts w:hint="eastAsia"/>
          <w:noProof/>
          <w:lang w:eastAsia="ko-KR"/>
        </w:rPr>
        <w:t>.</w:t>
      </w:r>
      <w:r w:rsidRPr="0061223E">
        <w:rPr>
          <w:noProof/>
        </w:rPr>
        <w:t>, Jaakkola</w:t>
      </w:r>
      <w:r w:rsidRPr="0061223E">
        <w:rPr>
          <w:rFonts w:hint="eastAsia"/>
          <w:noProof/>
          <w:lang w:eastAsia="ko-KR"/>
        </w:rPr>
        <w:t>,</w:t>
      </w:r>
      <w:r w:rsidRPr="0061223E">
        <w:rPr>
          <w:noProof/>
        </w:rPr>
        <w:t xml:space="preserve"> T</w:t>
      </w:r>
      <w:r w:rsidRPr="0061223E">
        <w:rPr>
          <w:rFonts w:hint="eastAsia"/>
          <w:noProof/>
          <w:lang w:eastAsia="ko-KR"/>
        </w:rPr>
        <w:t>.</w:t>
      </w:r>
      <w:r w:rsidRPr="0061223E">
        <w:rPr>
          <w:noProof/>
        </w:rPr>
        <w:t>, Miettinen</w:t>
      </w:r>
      <w:r w:rsidRPr="0061223E">
        <w:rPr>
          <w:rFonts w:hint="eastAsia"/>
          <w:noProof/>
          <w:lang w:eastAsia="ko-KR"/>
        </w:rPr>
        <w:t>,</w:t>
      </w:r>
      <w:r w:rsidRPr="0061223E">
        <w:rPr>
          <w:noProof/>
        </w:rPr>
        <w:t xml:space="preserve"> J</w:t>
      </w:r>
      <w:r w:rsidRPr="0061223E">
        <w:rPr>
          <w:rFonts w:hint="eastAsia"/>
          <w:noProof/>
          <w:lang w:eastAsia="ko-KR"/>
        </w:rPr>
        <w:t>.</w:t>
      </w:r>
      <w:r w:rsidRPr="0061223E">
        <w:rPr>
          <w:noProof/>
        </w:rPr>
        <w:t>K</w:t>
      </w:r>
      <w:r w:rsidRPr="0061223E">
        <w:rPr>
          <w:rFonts w:hint="eastAsia"/>
          <w:noProof/>
          <w:lang w:eastAsia="ko-KR"/>
        </w:rPr>
        <w:t>.</w:t>
      </w:r>
      <w:r w:rsidRPr="0061223E">
        <w:rPr>
          <w:noProof/>
        </w:rPr>
        <w:t>, et al.</w:t>
      </w:r>
      <w:r w:rsidRPr="0061223E">
        <w:rPr>
          <w:rFonts w:hint="eastAsia"/>
          <w:noProof/>
          <w:lang w:eastAsia="ko-KR"/>
        </w:rPr>
        <w:t>,</w:t>
      </w:r>
      <w:r w:rsidRPr="0061223E">
        <w:rPr>
          <w:noProof/>
        </w:rPr>
        <w:t xml:space="preserve"> 1984</w:t>
      </w:r>
      <w:r w:rsidRPr="0061223E">
        <w:rPr>
          <w:rFonts w:hint="eastAsia"/>
          <w:noProof/>
          <w:lang w:eastAsia="ko-KR"/>
        </w:rPr>
        <w:t>.</w:t>
      </w:r>
      <w:r w:rsidRPr="0061223E">
        <w:rPr>
          <w:noProof/>
        </w:rPr>
        <w:t xml:space="preserve"> </w:t>
      </w:r>
      <w:r w:rsidRPr="0089670E">
        <w:rPr>
          <w:noProof/>
        </w:rPr>
        <w:t xml:space="preserve">Plutonium in Finnish Lapps--an estimate of the gastrointestinal absorption of plutonium by man based on a comparison of the plutonium content of Lapps and southern Finns. </w:t>
      </w:r>
      <w:r w:rsidRPr="00ED6790">
        <w:rPr>
          <w:noProof/>
        </w:rPr>
        <w:t>Health Phys</w:t>
      </w:r>
      <w:r>
        <w:rPr>
          <w:rFonts w:hint="eastAsia"/>
          <w:noProof/>
          <w:lang w:eastAsia="ko-KR"/>
        </w:rPr>
        <w:t>.</w:t>
      </w:r>
      <w:r w:rsidRPr="0089670E">
        <w:rPr>
          <w:noProof/>
        </w:rPr>
        <w:t xml:space="preserve"> 46(3)</w:t>
      </w:r>
      <w:r>
        <w:rPr>
          <w:rFonts w:hint="eastAsia"/>
          <w:noProof/>
          <w:lang w:eastAsia="ko-KR"/>
        </w:rPr>
        <w:t>.</w:t>
      </w:r>
      <w:r w:rsidRPr="0089670E">
        <w:rPr>
          <w:noProof/>
        </w:rPr>
        <w:t xml:space="preserve"> 549–559.</w:t>
      </w:r>
    </w:p>
    <w:p w14:paraId="13E02811" w14:textId="77777777" w:rsidR="00232741" w:rsidRPr="0089670E" w:rsidRDefault="00232741" w:rsidP="00232741">
      <w:pPr>
        <w:pStyle w:val="aff1"/>
        <w:ind w:left="426" w:hanging="426"/>
        <w:rPr>
          <w:noProof/>
        </w:rPr>
      </w:pPr>
      <w:r w:rsidRPr="0061223E">
        <w:rPr>
          <w:noProof/>
          <w:lang w:val="en-US"/>
        </w:rPr>
        <w:t>Naharin</w:t>
      </w:r>
      <w:r w:rsidRPr="0061223E">
        <w:rPr>
          <w:rFonts w:hint="eastAsia"/>
          <w:noProof/>
          <w:lang w:val="en-US" w:eastAsia="ko-KR"/>
        </w:rPr>
        <w:t>,</w:t>
      </w:r>
      <w:r w:rsidRPr="0061223E">
        <w:rPr>
          <w:noProof/>
          <w:lang w:val="en-US"/>
        </w:rPr>
        <w:t xml:space="preserve"> A</w:t>
      </w:r>
      <w:r w:rsidRPr="0061223E">
        <w:rPr>
          <w:rFonts w:hint="eastAsia"/>
          <w:noProof/>
          <w:lang w:val="en-US" w:eastAsia="ko-KR"/>
        </w:rPr>
        <w:t>.</w:t>
      </w:r>
      <w:r w:rsidRPr="0061223E">
        <w:rPr>
          <w:noProof/>
          <w:lang w:val="en-US"/>
        </w:rPr>
        <w:t>, Feige</w:t>
      </w:r>
      <w:r w:rsidRPr="0061223E">
        <w:rPr>
          <w:rFonts w:hint="eastAsia"/>
          <w:noProof/>
          <w:lang w:val="en-US" w:eastAsia="ko-KR"/>
        </w:rPr>
        <w:t>,</w:t>
      </w:r>
      <w:r w:rsidRPr="0061223E">
        <w:rPr>
          <w:noProof/>
          <w:lang w:val="en-US"/>
        </w:rPr>
        <w:t xml:space="preserve"> Y</w:t>
      </w:r>
      <w:r w:rsidRPr="0061223E">
        <w:rPr>
          <w:rFonts w:hint="eastAsia"/>
          <w:noProof/>
          <w:lang w:val="en-US" w:eastAsia="ko-KR"/>
        </w:rPr>
        <w:t>.</w:t>
      </w:r>
      <w:r w:rsidRPr="0061223E">
        <w:rPr>
          <w:noProof/>
          <w:lang w:val="en-US"/>
        </w:rPr>
        <w:t>, Lubin</w:t>
      </w:r>
      <w:r w:rsidRPr="0061223E">
        <w:rPr>
          <w:rFonts w:hint="eastAsia"/>
          <w:noProof/>
          <w:lang w:val="en-US" w:eastAsia="ko-KR"/>
        </w:rPr>
        <w:t>,</w:t>
      </w:r>
      <w:r w:rsidRPr="0061223E">
        <w:rPr>
          <w:noProof/>
          <w:lang w:val="en-US"/>
        </w:rPr>
        <w:t xml:space="preserve"> E</w:t>
      </w:r>
      <w:r w:rsidRPr="0061223E">
        <w:rPr>
          <w:rFonts w:hint="eastAsia"/>
          <w:noProof/>
          <w:lang w:val="en-US" w:eastAsia="ko-KR"/>
        </w:rPr>
        <w:t>.</w:t>
      </w:r>
      <w:r w:rsidRPr="0061223E">
        <w:rPr>
          <w:noProof/>
          <w:lang w:val="en-US"/>
        </w:rPr>
        <w:t>, et al.</w:t>
      </w:r>
      <w:r w:rsidRPr="0061223E">
        <w:rPr>
          <w:rFonts w:hint="eastAsia"/>
          <w:noProof/>
          <w:lang w:val="en-US" w:eastAsia="ko-KR"/>
        </w:rPr>
        <w:t>,</w:t>
      </w:r>
      <w:r w:rsidRPr="0061223E">
        <w:rPr>
          <w:noProof/>
          <w:lang w:val="en-US"/>
        </w:rPr>
        <w:t xml:space="preserve"> 1974</w:t>
      </w:r>
      <w:r w:rsidRPr="0061223E">
        <w:rPr>
          <w:rFonts w:hint="eastAsia"/>
          <w:noProof/>
          <w:lang w:val="en-US" w:eastAsia="ko-KR"/>
        </w:rPr>
        <w:t>.</w:t>
      </w:r>
      <w:r w:rsidRPr="0061223E">
        <w:rPr>
          <w:noProof/>
          <w:lang w:val="en-US"/>
        </w:rPr>
        <w:t xml:space="preserve"> </w:t>
      </w:r>
      <w:r w:rsidRPr="0089670E">
        <w:rPr>
          <w:noProof/>
        </w:rPr>
        <w:t xml:space="preserve">Internal deposition of ingested cerium in suckling mice. </w:t>
      </w:r>
      <w:r w:rsidRPr="00ED6790">
        <w:rPr>
          <w:noProof/>
        </w:rPr>
        <w:t>Health Phys</w:t>
      </w:r>
      <w:r>
        <w:rPr>
          <w:rFonts w:hint="eastAsia"/>
          <w:noProof/>
          <w:lang w:eastAsia="ko-KR"/>
        </w:rPr>
        <w:t xml:space="preserve">. </w:t>
      </w:r>
      <w:r w:rsidRPr="0089670E">
        <w:rPr>
          <w:noProof/>
        </w:rPr>
        <w:t>27(2)</w:t>
      </w:r>
      <w:r>
        <w:rPr>
          <w:rFonts w:hint="eastAsia"/>
          <w:noProof/>
          <w:lang w:eastAsia="ko-KR"/>
        </w:rPr>
        <w:t>.</w:t>
      </w:r>
      <w:r w:rsidRPr="0089670E">
        <w:rPr>
          <w:noProof/>
        </w:rPr>
        <w:t xml:space="preserve"> 207–211.</w:t>
      </w:r>
    </w:p>
    <w:p w14:paraId="196DC3C2" w14:textId="77777777" w:rsidR="00232741" w:rsidRPr="0089670E" w:rsidRDefault="00232741" w:rsidP="00232741">
      <w:pPr>
        <w:pStyle w:val="aff1"/>
        <w:ind w:left="426" w:hanging="426"/>
        <w:rPr>
          <w:noProof/>
        </w:rPr>
      </w:pPr>
      <w:r w:rsidRPr="0089670E">
        <w:rPr>
          <w:noProof/>
        </w:rPr>
        <w:t>NCRP</w:t>
      </w:r>
      <w:r>
        <w:rPr>
          <w:rFonts w:hint="eastAsia"/>
          <w:noProof/>
          <w:lang w:eastAsia="ko-KR"/>
        </w:rPr>
        <w:t>,</w:t>
      </w:r>
      <w:r w:rsidRPr="0089670E">
        <w:rPr>
          <w:noProof/>
        </w:rPr>
        <w:t xml:space="preserve"> 1988</w:t>
      </w:r>
      <w:r>
        <w:rPr>
          <w:rFonts w:hint="eastAsia"/>
          <w:noProof/>
          <w:lang w:eastAsia="ko-KR"/>
        </w:rPr>
        <w:t>.</w:t>
      </w:r>
      <w:r w:rsidRPr="0089670E">
        <w:rPr>
          <w:noProof/>
        </w:rPr>
        <w:t xml:space="preserve"> </w:t>
      </w:r>
      <w:r w:rsidRPr="00ED6790">
        <w:rPr>
          <w:noProof/>
        </w:rPr>
        <w:t>Neptunium: Radiation protection considerations. NCRP Report No. 90</w:t>
      </w:r>
      <w:r w:rsidRPr="0089670E">
        <w:rPr>
          <w:noProof/>
        </w:rPr>
        <w:t>. Bethesda: National Council on Radiation Protection and Measurements.</w:t>
      </w:r>
    </w:p>
    <w:p w14:paraId="22FBAA11" w14:textId="77777777" w:rsidR="00232741" w:rsidRPr="0089670E" w:rsidRDefault="00232741" w:rsidP="00232741">
      <w:pPr>
        <w:pStyle w:val="aff1"/>
        <w:ind w:left="426" w:hanging="426"/>
        <w:rPr>
          <w:noProof/>
        </w:rPr>
      </w:pPr>
      <w:r w:rsidRPr="00BB7751">
        <w:rPr>
          <w:noProof/>
          <w:lang w:val="en-US"/>
        </w:rPr>
        <w:t>Nenot</w:t>
      </w:r>
      <w:r w:rsidRPr="00BB7751">
        <w:rPr>
          <w:rFonts w:hint="eastAsia"/>
          <w:noProof/>
          <w:lang w:val="en-US" w:eastAsia="ko-KR"/>
        </w:rPr>
        <w:t>,</w:t>
      </w:r>
      <w:r w:rsidRPr="00BB7751">
        <w:rPr>
          <w:noProof/>
          <w:lang w:val="en-US"/>
        </w:rPr>
        <w:t xml:space="preserve"> J</w:t>
      </w:r>
      <w:r w:rsidRPr="00BB7751">
        <w:rPr>
          <w:rFonts w:hint="eastAsia"/>
          <w:noProof/>
          <w:lang w:val="en-US" w:eastAsia="ko-KR"/>
        </w:rPr>
        <w:t>.</w:t>
      </w:r>
      <w:r w:rsidRPr="00BB7751">
        <w:rPr>
          <w:noProof/>
          <w:lang w:val="en-US"/>
        </w:rPr>
        <w:t>C</w:t>
      </w:r>
      <w:r w:rsidRPr="00BB7751">
        <w:rPr>
          <w:rFonts w:hint="eastAsia"/>
          <w:noProof/>
          <w:lang w:val="en-US" w:eastAsia="ko-KR"/>
        </w:rPr>
        <w:t>.</w:t>
      </w:r>
      <w:r w:rsidRPr="00BB7751">
        <w:rPr>
          <w:noProof/>
          <w:lang w:val="en-US"/>
        </w:rPr>
        <w:t>, Masse</w:t>
      </w:r>
      <w:r w:rsidRPr="00BB7751">
        <w:rPr>
          <w:rFonts w:hint="eastAsia"/>
          <w:noProof/>
          <w:lang w:val="en-US" w:eastAsia="ko-KR"/>
        </w:rPr>
        <w:t>,</w:t>
      </w:r>
      <w:r w:rsidRPr="00BB7751">
        <w:rPr>
          <w:noProof/>
          <w:lang w:val="en-US"/>
        </w:rPr>
        <w:t xml:space="preserve"> R</w:t>
      </w:r>
      <w:r w:rsidRPr="00BB7751">
        <w:rPr>
          <w:rFonts w:hint="eastAsia"/>
          <w:noProof/>
          <w:lang w:val="en-US" w:eastAsia="ko-KR"/>
        </w:rPr>
        <w:t>.</w:t>
      </w:r>
      <w:r w:rsidRPr="00BB7751">
        <w:rPr>
          <w:noProof/>
          <w:lang w:val="en-US"/>
        </w:rPr>
        <w:t>, Morin</w:t>
      </w:r>
      <w:r w:rsidRPr="00BB7751">
        <w:rPr>
          <w:rFonts w:hint="eastAsia"/>
          <w:noProof/>
          <w:lang w:val="en-US" w:eastAsia="ko-KR"/>
        </w:rPr>
        <w:t>,</w:t>
      </w:r>
      <w:r w:rsidRPr="00BB7751">
        <w:rPr>
          <w:noProof/>
          <w:lang w:val="en-US"/>
        </w:rPr>
        <w:t xml:space="preserve"> M</w:t>
      </w:r>
      <w:r w:rsidRPr="00BB7751">
        <w:rPr>
          <w:rFonts w:hint="eastAsia"/>
          <w:noProof/>
          <w:lang w:val="en-US" w:eastAsia="ko-KR"/>
        </w:rPr>
        <w:t>.</w:t>
      </w:r>
      <w:r w:rsidRPr="00BB7751">
        <w:rPr>
          <w:noProof/>
          <w:lang w:val="en-US"/>
        </w:rPr>
        <w:t>, et al.</w:t>
      </w:r>
      <w:r w:rsidRPr="00BB7751">
        <w:rPr>
          <w:rFonts w:hint="eastAsia"/>
          <w:noProof/>
          <w:lang w:val="en-US" w:eastAsia="ko-KR"/>
        </w:rPr>
        <w:t>,</w:t>
      </w:r>
      <w:r w:rsidRPr="00BB7751">
        <w:rPr>
          <w:noProof/>
          <w:lang w:val="en-US"/>
        </w:rPr>
        <w:t xml:space="preserve"> </w:t>
      </w:r>
      <w:r w:rsidRPr="0061223E">
        <w:rPr>
          <w:noProof/>
          <w:lang w:val="en-US"/>
        </w:rPr>
        <w:t>1972</w:t>
      </w:r>
      <w:r w:rsidRPr="0061223E">
        <w:rPr>
          <w:rFonts w:hint="eastAsia"/>
          <w:noProof/>
          <w:lang w:val="en-US" w:eastAsia="ko-KR"/>
        </w:rPr>
        <w:t>.</w:t>
      </w:r>
      <w:r w:rsidRPr="0061223E">
        <w:rPr>
          <w:noProof/>
          <w:lang w:val="en-US"/>
        </w:rPr>
        <w:t xml:space="preserve"> </w:t>
      </w:r>
      <w:r w:rsidRPr="0089670E">
        <w:rPr>
          <w:noProof/>
        </w:rPr>
        <w:t xml:space="preserve">An experimental comparative study of the behaviour of </w:t>
      </w:r>
      <w:r w:rsidRPr="001D350F">
        <w:rPr>
          <w:noProof/>
          <w:vertAlign w:val="superscript"/>
        </w:rPr>
        <w:t>237</w:t>
      </w:r>
      <w:r w:rsidRPr="0089670E">
        <w:rPr>
          <w:noProof/>
        </w:rPr>
        <w:t xml:space="preserve">Np, </w:t>
      </w:r>
      <w:r w:rsidRPr="001D350F">
        <w:rPr>
          <w:noProof/>
          <w:vertAlign w:val="superscript"/>
        </w:rPr>
        <w:t>238</w:t>
      </w:r>
      <w:r w:rsidRPr="0089670E">
        <w:rPr>
          <w:noProof/>
        </w:rPr>
        <w:t xml:space="preserve">Pu, </w:t>
      </w:r>
      <w:r w:rsidRPr="001D350F">
        <w:rPr>
          <w:noProof/>
          <w:vertAlign w:val="superscript"/>
        </w:rPr>
        <w:t>239</w:t>
      </w:r>
      <w:r w:rsidRPr="0089670E">
        <w:rPr>
          <w:noProof/>
        </w:rPr>
        <w:t xml:space="preserve">Pu, </w:t>
      </w:r>
      <w:r w:rsidRPr="001D350F">
        <w:rPr>
          <w:noProof/>
          <w:vertAlign w:val="superscript"/>
        </w:rPr>
        <w:t>241</w:t>
      </w:r>
      <w:r w:rsidRPr="0089670E">
        <w:rPr>
          <w:noProof/>
        </w:rPr>
        <w:t xml:space="preserve">Am and </w:t>
      </w:r>
      <w:r w:rsidRPr="001D350F">
        <w:rPr>
          <w:noProof/>
          <w:vertAlign w:val="superscript"/>
        </w:rPr>
        <w:t>242</w:t>
      </w:r>
      <w:r w:rsidRPr="0089670E">
        <w:rPr>
          <w:noProof/>
        </w:rPr>
        <w:t xml:space="preserve">Cm in bone. </w:t>
      </w:r>
      <w:r w:rsidRPr="00ED6790">
        <w:rPr>
          <w:noProof/>
        </w:rPr>
        <w:t>Health Phys</w:t>
      </w:r>
      <w:r>
        <w:rPr>
          <w:rFonts w:hint="eastAsia"/>
          <w:noProof/>
          <w:lang w:eastAsia="ko-KR"/>
        </w:rPr>
        <w:t>.</w:t>
      </w:r>
      <w:r w:rsidRPr="0089670E">
        <w:rPr>
          <w:noProof/>
        </w:rPr>
        <w:t xml:space="preserve"> 22(6)</w:t>
      </w:r>
      <w:r>
        <w:rPr>
          <w:rFonts w:hint="eastAsia"/>
          <w:noProof/>
          <w:lang w:eastAsia="ko-KR"/>
        </w:rPr>
        <w:t>.</w:t>
      </w:r>
      <w:r w:rsidRPr="0089670E">
        <w:rPr>
          <w:noProof/>
        </w:rPr>
        <w:t xml:space="preserve"> 657–665.</w:t>
      </w:r>
    </w:p>
    <w:p w14:paraId="2BB817AF" w14:textId="77777777" w:rsidR="00232741" w:rsidRPr="0089670E" w:rsidRDefault="00232741" w:rsidP="00232741">
      <w:pPr>
        <w:pStyle w:val="aff1"/>
        <w:ind w:left="426" w:hanging="426"/>
        <w:rPr>
          <w:noProof/>
        </w:rPr>
      </w:pPr>
      <w:r w:rsidRPr="0089670E">
        <w:rPr>
          <w:noProof/>
        </w:rPr>
        <w:t>Neuman</w:t>
      </w:r>
      <w:r>
        <w:rPr>
          <w:rFonts w:hint="eastAsia"/>
          <w:noProof/>
          <w:lang w:eastAsia="ko-KR"/>
        </w:rPr>
        <w:t>,</w:t>
      </w:r>
      <w:r w:rsidRPr="0089670E">
        <w:rPr>
          <w:noProof/>
        </w:rPr>
        <w:t xml:space="preserve"> W</w:t>
      </w:r>
      <w:r>
        <w:rPr>
          <w:rFonts w:hint="eastAsia"/>
          <w:noProof/>
          <w:lang w:eastAsia="ko-KR"/>
        </w:rPr>
        <w:t>.</w:t>
      </w:r>
      <w:r w:rsidRPr="0089670E">
        <w:rPr>
          <w:noProof/>
        </w:rPr>
        <w:t>F</w:t>
      </w:r>
      <w:r>
        <w:rPr>
          <w:rFonts w:hint="eastAsia"/>
          <w:noProof/>
          <w:lang w:eastAsia="ko-KR"/>
        </w:rPr>
        <w:t>.</w:t>
      </w:r>
      <w:r w:rsidRPr="0089670E">
        <w:rPr>
          <w:noProof/>
        </w:rPr>
        <w:t>, Fleming</w:t>
      </w:r>
      <w:r>
        <w:rPr>
          <w:rFonts w:hint="eastAsia"/>
          <w:noProof/>
          <w:lang w:eastAsia="ko-KR"/>
        </w:rPr>
        <w:t>,</w:t>
      </w:r>
      <w:r w:rsidRPr="0089670E">
        <w:rPr>
          <w:noProof/>
        </w:rPr>
        <w:t xml:space="preserve"> R</w:t>
      </w:r>
      <w:r>
        <w:rPr>
          <w:rFonts w:hint="eastAsia"/>
          <w:noProof/>
          <w:lang w:eastAsia="ko-KR"/>
        </w:rPr>
        <w:t>.</w:t>
      </w:r>
      <w:r w:rsidRPr="0089670E">
        <w:rPr>
          <w:noProof/>
        </w:rPr>
        <w:t>W</w:t>
      </w:r>
      <w:r>
        <w:rPr>
          <w:rFonts w:hint="eastAsia"/>
          <w:noProof/>
          <w:lang w:eastAsia="ko-KR"/>
        </w:rPr>
        <w:t>.</w:t>
      </w:r>
      <w:r w:rsidRPr="0089670E">
        <w:rPr>
          <w:noProof/>
        </w:rPr>
        <w:t>, Dounce</w:t>
      </w:r>
      <w:r>
        <w:rPr>
          <w:rFonts w:hint="eastAsia"/>
          <w:noProof/>
          <w:lang w:eastAsia="ko-KR"/>
        </w:rPr>
        <w:t>,</w:t>
      </w:r>
      <w:r w:rsidRPr="0089670E">
        <w:rPr>
          <w:noProof/>
        </w:rPr>
        <w:t xml:space="preserve"> A</w:t>
      </w:r>
      <w:r>
        <w:rPr>
          <w:rFonts w:hint="eastAsia"/>
          <w:noProof/>
          <w:lang w:eastAsia="ko-KR"/>
        </w:rPr>
        <w:t>.</w:t>
      </w:r>
      <w:r w:rsidRPr="0089670E">
        <w:rPr>
          <w:noProof/>
        </w:rPr>
        <w:t>L</w:t>
      </w:r>
      <w:r>
        <w:rPr>
          <w:rFonts w:hint="eastAsia"/>
          <w:noProof/>
          <w:lang w:eastAsia="ko-KR"/>
        </w:rPr>
        <w:t>.</w:t>
      </w:r>
      <w:r w:rsidRPr="0089670E">
        <w:rPr>
          <w:noProof/>
        </w:rPr>
        <w:t>, et al.</w:t>
      </w:r>
      <w:r>
        <w:rPr>
          <w:rFonts w:hint="eastAsia"/>
          <w:noProof/>
          <w:lang w:eastAsia="ko-KR"/>
        </w:rPr>
        <w:t>,</w:t>
      </w:r>
      <w:r w:rsidRPr="0089670E">
        <w:rPr>
          <w:noProof/>
        </w:rPr>
        <w:t xml:space="preserve"> 1948</w:t>
      </w:r>
      <w:r>
        <w:rPr>
          <w:rFonts w:hint="eastAsia"/>
          <w:noProof/>
          <w:lang w:eastAsia="ko-KR"/>
        </w:rPr>
        <w:t>.</w:t>
      </w:r>
      <w:r w:rsidRPr="0089670E">
        <w:rPr>
          <w:noProof/>
        </w:rPr>
        <w:t xml:space="preserve"> The distribution and excretion of injected uranium. </w:t>
      </w:r>
      <w:r w:rsidRPr="001D350F">
        <w:rPr>
          <w:noProof/>
        </w:rPr>
        <w:t xml:space="preserve">J. Biol. Chem. </w:t>
      </w:r>
      <w:r w:rsidRPr="0089670E">
        <w:rPr>
          <w:noProof/>
        </w:rPr>
        <w:t>173(2)</w:t>
      </w:r>
      <w:r>
        <w:rPr>
          <w:rFonts w:hint="eastAsia"/>
          <w:noProof/>
          <w:lang w:eastAsia="ko-KR"/>
        </w:rPr>
        <w:t>.</w:t>
      </w:r>
      <w:r w:rsidRPr="0089670E">
        <w:rPr>
          <w:noProof/>
        </w:rPr>
        <w:t xml:space="preserve"> 737–748.</w:t>
      </w:r>
    </w:p>
    <w:p w14:paraId="50714F51" w14:textId="77777777" w:rsidR="00232741" w:rsidRPr="0089670E" w:rsidRDefault="00232741" w:rsidP="00232741">
      <w:pPr>
        <w:pStyle w:val="aff1"/>
        <w:ind w:left="426" w:hanging="426"/>
        <w:rPr>
          <w:noProof/>
        </w:rPr>
      </w:pPr>
      <w:r w:rsidRPr="0089670E">
        <w:rPr>
          <w:noProof/>
        </w:rPr>
        <w:t>Newton</w:t>
      </w:r>
      <w:r>
        <w:rPr>
          <w:rFonts w:hint="eastAsia"/>
          <w:noProof/>
          <w:lang w:eastAsia="ko-KR"/>
        </w:rPr>
        <w:t>,</w:t>
      </w:r>
      <w:r w:rsidRPr="0089670E">
        <w:rPr>
          <w:noProof/>
        </w:rPr>
        <w:t xml:space="preserve"> D</w:t>
      </w:r>
      <w:r>
        <w:rPr>
          <w:rFonts w:hint="eastAsia"/>
          <w:noProof/>
          <w:lang w:eastAsia="ko-KR"/>
        </w:rPr>
        <w:t>.,</w:t>
      </w:r>
      <w:r w:rsidRPr="0089670E">
        <w:rPr>
          <w:noProof/>
        </w:rPr>
        <w:t xml:space="preserve"> 1968</w:t>
      </w:r>
      <w:r>
        <w:rPr>
          <w:rFonts w:hint="eastAsia"/>
          <w:noProof/>
          <w:lang w:eastAsia="ko-KR"/>
        </w:rPr>
        <w:t>.</w:t>
      </w:r>
      <w:r w:rsidRPr="0089670E">
        <w:rPr>
          <w:noProof/>
        </w:rPr>
        <w:t xml:space="preserve"> A case of accidental inhalation of protactinium-231 and actinium-227. </w:t>
      </w:r>
      <w:r w:rsidRPr="00ED6790">
        <w:rPr>
          <w:noProof/>
        </w:rPr>
        <w:t>Health Phys</w:t>
      </w:r>
      <w:r>
        <w:rPr>
          <w:rFonts w:hint="eastAsia"/>
          <w:noProof/>
          <w:lang w:eastAsia="ko-KR"/>
        </w:rPr>
        <w:t>.</w:t>
      </w:r>
      <w:r w:rsidRPr="0089670E">
        <w:rPr>
          <w:noProof/>
        </w:rPr>
        <w:t xml:space="preserve"> 15(1)</w:t>
      </w:r>
      <w:r>
        <w:rPr>
          <w:rFonts w:hint="eastAsia"/>
          <w:noProof/>
          <w:lang w:eastAsia="ko-KR"/>
        </w:rPr>
        <w:t>.</w:t>
      </w:r>
      <w:r w:rsidRPr="0089670E">
        <w:rPr>
          <w:noProof/>
        </w:rPr>
        <w:t xml:space="preserve"> 11–17.</w:t>
      </w:r>
    </w:p>
    <w:p w14:paraId="25FCBFDA" w14:textId="77777777" w:rsidR="00232741" w:rsidRPr="0089670E" w:rsidRDefault="00232741" w:rsidP="00232741">
      <w:pPr>
        <w:pStyle w:val="aff1"/>
        <w:ind w:left="426" w:hanging="426"/>
        <w:rPr>
          <w:noProof/>
        </w:rPr>
      </w:pPr>
      <w:r w:rsidRPr="0089670E">
        <w:rPr>
          <w:noProof/>
        </w:rPr>
        <w:t>Newton</w:t>
      </w:r>
      <w:r>
        <w:rPr>
          <w:rFonts w:hint="eastAsia"/>
          <w:noProof/>
          <w:lang w:eastAsia="ko-KR"/>
        </w:rPr>
        <w:t>,</w:t>
      </w:r>
      <w:r w:rsidRPr="0089670E">
        <w:rPr>
          <w:noProof/>
        </w:rPr>
        <w:t xml:space="preserve"> D</w:t>
      </w:r>
      <w:r>
        <w:rPr>
          <w:rFonts w:hint="eastAsia"/>
          <w:noProof/>
          <w:lang w:eastAsia="ko-KR"/>
        </w:rPr>
        <w:t>.,</w:t>
      </w:r>
      <w:r w:rsidRPr="0089670E">
        <w:rPr>
          <w:noProof/>
        </w:rPr>
        <w:t xml:space="preserve"> 2003</w:t>
      </w:r>
      <w:r>
        <w:rPr>
          <w:rFonts w:hint="eastAsia"/>
          <w:noProof/>
          <w:lang w:eastAsia="ko-KR"/>
        </w:rPr>
        <w:t>.</w:t>
      </w:r>
      <w:r w:rsidRPr="0089670E">
        <w:rPr>
          <w:noProof/>
        </w:rPr>
        <w:t xml:space="preserve"> Human biokinetics of inhaled terbium oxide. </w:t>
      </w:r>
      <w:r w:rsidRPr="001D350F">
        <w:rPr>
          <w:noProof/>
        </w:rPr>
        <w:t>Radiat. Prot. Dosimetry</w:t>
      </w:r>
      <w:r w:rsidRPr="0089670E">
        <w:rPr>
          <w:noProof/>
        </w:rPr>
        <w:t xml:space="preserve"> 106(1) 53–61.</w:t>
      </w:r>
    </w:p>
    <w:p w14:paraId="6C58D779" w14:textId="77777777" w:rsidR="00232741" w:rsidRPr="0089670E" w:rsidRDefault="00232741" w:rsidP="00232741">
      <w:pPr>
        <w:pStyle w:val="aff1"/>
        <w:ind w:left="426" w:hanging="426"/>
        <w:rPr>
          <w:noProof/>
        </w:rPr>
      </w:pPr>
      <w:r w:rsidRPr="0089670E">
        <w:rPr>
          <w:noProof/>
        </w:rPr>
        <w:t>Newton</w:t>
      </w:r>
      <w:r>
        <w:rPr>
          <w:rFonts w:hint="eastAsia"/>
          <w:noProof/>
          <w:lang w:eastAsia="ko-KR"/>
        </w:rPr>
        <w:t>,</w:t>
      </w:r>
      <w:r w:rsidRPr="0089670E">
        <w:rPr>
          <w:noProof/>
        </w:rPr>
        <w:t xml:space="preserve"> D</w:t>
      </w:r>
      <w:r>
        <w:rPr>
          <w:rFonts w:hint="eastAsia"/>
          <w:noProof/>
          <w:lang w:eastAsia="ko-KR"/>
        </w:rPr>
        <w:t>.,</w:t>
      </w:r>
      <w:r w:rsidRPr="0089670E">
        <w:rPr>
          <w:noProof/>
        </w:rPr>
        <w:t xml:space="preserve"> Brown</w:t>
      </w:r>
      <w:r>
        <w:rPr>
          <w:rFonts w:hint="eastAsia"/>
          <w:noProof/>
          <w:lang w:eastAsia="ko-KR"/>
        </w:rPr>
        <w:t>,</w:t>
      </w:r>
      <w:r w:rsidRPr="0089670E">
        <w:rPr>
          <w:noProof/>
        </w:rPr>
        <w:t xml:space="preserve"> D</w:t>
      </w:r>
      <w:r>
        <w:rPr>
          <w:rFonts w:hint="eastAsia"/>
          <w:noProof/>
          <w:lang w:eastAsia="ko-KR"/>
        </w:rPr>
        <w:t>.</w:t>
      </w:r>
      <w:r w:rsidRPr="0089670E">
        <w:rPr>
          <w:noProof/>
        </w:rPr>
        <w:t>A</w:t>
      </w:r>
      <w:r>
        <w:rPr>
          <w:rFonts w:hint="eastAsia"/>
          <w:noProof/>
          <w:lang w:eastAsia="ko-KR"/>
        </w:rPr>
        <w:t>.,</w:t>
      </w:r>
      <w:r w:rsidRPr="0089670E">
        <w:rPr>
          <w:noProof/>
        </w:rPr>
        <w:t xml:space="preserve"> 1974</w:t>
      </w:r>
      <w:r>
        <w:rPr>
          <w:rFonts w:hint="eastAsia"/>
          <w:noProof/>
          <w:lang w:eastAsia="ko-KR"/>
        </w:rPr>
        <w:t>.</w:t>
      </w:r>
      <w:r w:rsidRPr="0089670E">
        <w:rPr>
          <w:noProof/>
        </w:rPr>
        <w:t xml:space="preserve"> The long-term retention of systemic protactinium-231 and actinium-227. </w:t>
      </w:r>
      <w:r w:rsidRPr="00ED6790">
        <w:rPr>
          <w:noProof/>
        </w:rPr>
        <w:t>Health Phys</w:t>
      </w:r>
      <w:r>
        <w:rPr>
          <w:rFonts w:hint="eastAsia"/>
          <w:noProof/>
          <w:lang w:eastAsia="ko-KR"/>
        </w:rPr>
        <w:t>.</w:t>
      </w:r>
      <w:r w:rsidRPr="0089670E">
        <w:rPr>
          <w:noProof/>
        </w:rPr>
        <w:t xml:space="preserve"> 27(5). 459–467.</w:t>
      </w:r>
    </w:p>
    <w:p w14:paraId="274F2F86" w14:textId="77777777" w:rsidR="00232741" w:rsidRPr="0089670E" w:rsidRDefault="00232741" w:rsidP="00232741">
      <w:pPr>
        <w:pStyle w:val="aff1"/>
        <w:ind w:left="426" w:hanging="426"/>
        <w:rPr>
          <w:noProof/>
        </w:rPr>
      </w:pPr>
      <w:r w:rsidRPr="0089670E">
        <w:rPr>
          <w:noProof/>
        </w:rPr>
        <w:t>Newton</w:t>
      </w:r>
      <w:r>
        <w:rPr>
          <w:rFonts w:hint="eastAsia"/>
          <w:noProof/>
          <w:lang w:eastAsia="ko-KR"/>
        </w:rPr>
        <w:t>,</w:t>
      </w:r>
      <w:r w:rsidRPr="0089670E">
        <w:rPr>
          <w:noProof/>
        </w:rPr>
        <w:t xml:space="preserve"> D</w:t>
      </w:r>
      <w:r>
        <w:rPr>
          <w:rFonts w:hint="eastAsia"/>
          <w:noProof/>
          <w:lang w:eastAsia="ko-KR"/>
        </w:rPr>
        <w:t>.</w:t>
      </w:r>
      <w:r w:rsidRPr="0089670E">
        <w:rPr>
          <w:noProof/>
        </w:rPr>
        <w:t>, Rundo</w:t>
      </w:r>
      <w:r>
        <w:rPr>
          <w:rFonts w:hint="eastAsia"/>
          <w:noProof/>
          <w:lang w:eastAsia="ko-KR"/>
        </w:rPr>
        <w:t>,</w:t>
      </w:r>
      <w:r w:rsidRPr="0089670E">
        <w:rPr>
          <w:noProof/>
        </w:rPr>
        <w:t xml:space="preserve"> J</w:t>
      </w:r>
      <w:r>
        <w:rPr>
          <w:rFonts w:hint="eastAsia"/>
          <w:noProof/>
          <w:lang w:eastAsia="ko-KR"/>
        </w:rPr>
        <w:t>.,</w:t>
      </w:r>
      <w:r w:rsidRPr="0089670E">
        <w:rPr>
          <w:noProof/>
        </w:rPr>
        <w:t xml:space="preserve"> Eakins</w:t>
      </w:r>
      <w:r>
        <w:rPr>
          <w:rFonts w:hint="eastAsia"/>
          <w:noProof/>
          <w:lang w:eastAsia="ko-KR"/>
        </w:rPr>
        <w:t>,</w:t>
      </w:r>
      <w:r w:rsidRPr="0089670E">
        <w:rPr>
          <w:noProof/>
        </w:rPr>
        <w:t xml:space="preserve"> J</w:t>
      </w:r>
      <w:r>
        <w:rPr>
          <w:rFonts w:hint="eastAsia"/>
          <w:noProof/>
          <w:lang w:eastAsia="ko-KR"/>
        </w:rPr>
        <w:t>.</w:t>
      </w:r>
      <w:r w:rsidRPr="0089670E">
        <w:rPr>
          <w:noProof/>
        </w:rPr>
        <w:t>D</w:t>
      </w:r>
      <w:r>
        <w:rPr>
          <w:rFonts w:hint="eastAsia"/>
          <w:noProof/>
          <w:lang w:eastAsia="ko-KR"/>
        </w:rPr>
        <w:t>.,</w:t>
      </w:r>
      <w:r w:rsidRPr="0089670E">
        <w:rPr>
          <w:noProof/>
        </w:rPr>
        <w:t xml:space="preserve"> 1981</w:t>
      </w:r>
      <w:r>
        <w:rPr>
          <w:rFonts w:hint="eastAsia"/>
          <w:noProof/>
          <w:lang w:eastAsia="ko-KR"/>
        </w:rPr>
        <w:t>.</w:t>
      </w:r>
      <w:r w:rsidRPr="0089670E">
        <w:rPr>
          <w:noProof/>
        </w:rPr>
        <w:t xml:space="preserve"> Long-term retention of 228Th following accidental intake. </w:t>
      </w:r>
      <w:r w:rsidRPr="00ED6790">
        <w:rPr>
          <w:noProof/>
        </w:rPr>
        <w:t>Health Phys</w:t>
      </w:r>
      <w:r>
        <w:rPr>
          <w:rFonts w:hint="eastAsia"/>
          <w:noProof/>
          <w:lang w:eastAsia="ko-KR"/>
        </w:rPr>
        <w:t>.</w:t>
      </w:r>
      <w:r w:rsidRPr="0089670E">
        <w:rPr>
          <w:noProof/>
        </w:rPr>
        <w:t xml:space="preserve"> 40(3)</w:t>
      </w:r>
      <w:r>
        <w:rPr>
          <w:rFonts w:hint="eastAsia"/>
          <w:noProof/>
          <w:lang w:eastAsia="ko-KR"/>
        </w:rPr>
        <w:t>.</w:t>
      </w:r>
      <w:r w:rsidRPr="0089670E">
        <w:rPr>
          <w:noProof/>
        </w:rPr>
        <w:t xml:space="preserve"> 291–298.</w:t>
      </w:r>
    </w:p>
    <w:p w14:paraId="23DEF72E" w14:textId="77777777" w:rsidR="00232741" w:rsidRPr="00CD4B01" w:rsidRDefault="00232741" w:rsidP="00232741">
      <w:pPr>
        <w:pStyle w:val="aff1"/>
        <w:ind w:left="426" w:hanging="426"/>
        <w:rPr>
          <w:noProof/>
          <w:lang w:val="it-IT"/>
        </w:rPr>
      </w:pPr>
      <w:r w:rsidRPr="0089670E">
        <w:rPr>
          <w:noProof/>
        </w:rPr>
        <w:t>Newton</w:t>
      </w:r>
      <w:r>
        <w:rPr>
          <w:rFonts w:hint="eastAsia"/>
          <w:noProof/>
          <w:lang w:eastAsia="ko-KR"/>
        </w:rPr>
        <w:t>,</w:t>
      </w:r>
      <w:r w:rsidRPr="0089670E">
        <w:rPr>
          <w:noProof/>
        </w:rPr>
        <w:t xml:space="preserve"> D</w:t>
      </w:r>
      <w:r>
        <w:rPr>
          <w:rFonts w:hint="eastAsia"/>
          <w:noProof/>
          <w:lang w:eastAsia="ko-KR"/>
        </w:rPr>
        <w:t>.</w:t>
      </w:r>
      <w:r w:rsidRPr="0089670E">
        <w:rPr>
          <w:noProof/>
        </w:rPr>
        <w:t>, Talbot</w:t>
      </w:r>
      <w:r>
        <w:rPr>
          <w:rFonts w:hint="eastAsia"/>
          <w:noProof/>
          <w:lang w:eastAsia="ko-KR"/>
        </w:rPr>
        <w:t>,</w:t>
      </w:r>
      <w:r w:rsidRPr="0089670E">
        <w:rPr>
          <w:noProof/>
        </w:rPr>
        <w:t xml:space="preserve"> R</w:t>
      </w:r>
      <w:r>
        <w:rPr>
          <w:rFonts w:hint="eastAsia"/>
          <w:noProof/>
          <w:lang w:eastAsia="ko-KR"/>
        </w:rPr>
        <w:t>.</w:t>
      </w:r>
      <w:r w:rsidRPr="0089670E">
        <w:rPr>
          <w:noProof/>
        </w:rPr>
        <w:t>J</w:t>
      </w:r>
      <w:r>
        <w:rPr>
          <w:rFonts w:hint="eastAsia"/>
          <w:noProof/>
          <w:lang w:eastAsia="ko-KR"/>
        </w:rPr>
        <w:t>.</w:t>
      </w:r>
      <w:r w:rsidRPr="0089670E">
        <w:rPr>
          <w:noProof/>
        </w:rPr>
        <w:t>, Kang</w:t>
      </w:r>
      <w:r>
        <w:rPr>
          <w:rFonts w:hint="eastAsia"/>
          <w:noProof/>
          <w:lang w:eastAsia="ko-KR"/>
        </w:rPr>
        <w:t>,</w:t>
      </w:r>
      <w:r w:rsidRPr="0089670E">
        <w:rPr>
          <w:noProof/>
        </w:rPr>
        <w:t xml:space="preserve"> C</w:t>
      </w:r>
      <w:r>
        <w:rPr>
          <w:rFonts w:hint="eastAsia"/>
          <w:noProof/>
          <w:lang w:eastAsia="ko-KR"/>
        </w:rPr>
        <w:t>.</w:t>
      </w:r>
      <w:r w:rsidRPr="0089670E">
        <w:rPr>
          <w:noProof/>
        </w:rPr>
        <w:t>, et al.</w:t>
      </w:r>
      <w:r>
        <w:rPr>
          <w:rFonts w:hint="eastAsia"/>
          <w:noProof/>
          <w:lang w:eastAsia="ko-KR"/>
        </w:rPr>
        <w:t>,</w:t>
      </w:r>
      <w:r w:rsidRPr="0089670E">
        <w:rPr>
          <w:noProof/>
        </w:rPr>
        <w:t xml:space="preserve"> 1998</w:t>
      </w:r>
      <w:r>
        <w:rPr>
          <w:rFonts w:hint="eastAsia"/>
          <w:noProof/>
          <w:lang w:eastAsia="ko-KR"/>
        </w:rPr>
        <w:t>.</w:t>
      </w:r>
      <w:r w:rsidRPr="0089670E">
        <w:rPr>
          <w:noProof/>
        </w:rPr>
        <w:t xml:space="preserve"> Uptake of plutonium by the human liver. </w:t>
      </w:r>
      <w:r w:rsidRPr="00CD4B01">
        <w:rPr>
          <w:noProof/>
          <w:lang w:val="it-IT"/>
        </w:rPr>
        <w:t>Radiat. Prot. Dosimetry 80(4). 385–395.</w:t>
      </w:r>
    </w:p>
    <w:p w14:paraId="3BBD6ED6" w14:textId="77777777" w:rsidR="00232741" w:rsidRPr="0089670E" w:rsidRDefault="00232741" w:rsidP="00232741">
      <w:pPr>
        <w:pStyle w:val="aff1"/>
        <w:ind w:left="426" w:hanging="426"/>
        <w:rPr>
          <w:noProof/>
        </w:rPr>
      </w:pPr>
      <w:r w:rsidRPr="00CD4B01">
        <w:rPr>
          <w:noProof/>
          <w:lang w:val="it-IT"/>
        </w:rPr>
        <w:t>Ohnishi</w:t>
      </w:r>
      <w:r w:rsidRPr="00CD4B01">
        <w:rPr>
          <w:rFonts w:hint="eastAsia"/>
          <w:noProof/>
          <w:lang w:val="it-IT" w:eastAsia="ko-KR"/>
        </w:rPr>
        <w:t>,</w:t>
      </w:r>
      <w:r w:rsidRPr="00CD4B01">
        <w:rPr>
          <w:noProof/>
          <w:lang w:val="it-IT"/>
        </w:rPr>
        <w:t xml:space="preserve"> K</w:t>
      </w:r>
      <w:r w:rsidRPr="00CD4B01">
        <w:rPr>
          <w:rFonts w:hint="eastAsia"/>
          <w:noProof/>
          <w:lang w:val="it-IT" w:eastAsia="ko-KR"/>
        </w:rPr>
        <w:t>.</w:t>
      </w:r>
      <w:r w:rsidRPr="00CD4B01">
        <w:rPr>
          <w:noProof/>
          <w:lang w:val="it-IT"/>
        </w:rPr>
        <w:t>, Usuda</w:t>
      </w:r>
      <w:r w:rsidRPr="00CD4B01">
        <w:rPr>
          <w:rFonts w:hint="eastAsia"/>
          <w:noProof/>
          <w:lang w:val="it-IT" w:eastAsia="ko-KR"/>
        </w:rPr>
        <w:t>,</w:t>
      </w:r>
      <w:r w:rsidRPr="00CD4B01">
        <w:rPr>
          <w:noProof/>
          <w:lang w:val="it-IT"/>
        </w:rPr>
        <w:t xml:space="preserve"> K</w:t>
      </w:r>
      <w:r w:rsidRPr="00CD4B01">
        <w:rPr>
          <w:rFonts w:hint="eastAsia"/>
          <w:noProof/>
          <w:lang w:val="it-IT" w:eastAsia="ko-KR"/>
        </w:rPr>
        <w:t>.</w:t>
      </w:r>
      <w:r w:rsidRPr="00CD4B01">
        <w:rPr>
          <w:noProof/>
          <w:lang w:val="it-IT"/>
        </w:rPr>
        <w:t>, Nakayama</w:t>
      </w:r>
      <w:r w:rsidRPr="00CD4B01">
        <w:rPr>
          <w:rFonts w:hint="eastAsia"/>
          <w:noProof/>
          <w:lang w:val="it-IT" w:eastAsia="ko-KR"/>
        </w:rPr>
        <w:t>,</w:t>
      </w:r>
      <w:r w:rsidRPr="00CD4B01">
        <w:rPr>
          <w:noProof/>
          <w:lang w:val="it-IT"/>
        </w:rPr>
        <w:t xml:space="preserve"> S</w:t>
      </w:r>
      <w:r w:rsidRPr="00CD4B01">
        <w:rPr>
          <w:rFonts w:hint="eastAsia"/>
          <w:noProof/>
          <w:lang w:val="it-IT" w:eastAsia="ko-KR"/>
        </w:rPr>
        <w:t>.</w:t>
      </w:r>
      <w:r w:rsidRPr="00CD4B01">
        <w:rPr>
          <w:noProof/>
          <w:lang w:val="it-IT"/>
        </w:rPr>
        <w:t>, et al.</w:t>
      </w:r>
      <w:r w:rsidRPr="00CD4B01">
        <w:rPr>
          <w:rFonts w:hint="eastAsia"/>
          <w:noProof/>
          <w:lang w:val="it-IT" w:eastAsia="ko-KR"/>
        </w:rPr>
        <w:t>,</w:t>
      </w:r>
      <w:r w:rsidRPr="00CD4B01">
        <w:rPr>
          <w:noProof/>
          <w:lang w:val="it-IT"/>
        </w:rPr>
        <w:t xml:space="preserve"> 2011</w:t>
      </w:r>
      <w:r w:rsidRPr="00CD4B01">
        <w:rPr>
          <w:rFonts w:hint="eastAsia"/>
          <w:noProof/>
          <w:lang w:val="it-IT" w:eastAsia="ko-KR"/>
        </w:rPr>
        <w:t>.</w:t>
      </w:r>
      <w:r w:rsidRPr="00CD4B01">
        <w:rPr>
          <w:noProof/>
          <w:lang w:val="it-IT"/>
        </w:rPr>
        <w:t xml:space="preserve"> </w:t>
      </w:r>
      <w:r w:rsidRPr="0089670E">
        <w:rPr>
          <w:noProof/>
        </w:rPr>
        <w:t xml:space="preserve">Distribution, elimination, and renal effects of single oral doses of europium in rats. </w:t>
      </w:r>
      <w:r w:rsidRPr="005666C8">
        <w:rPr>
          <w:noProof/>
        </w:rPr>
        <w:t>Biol. Trace Elem. Res.</w:t>
      </w:r>
      <w:r w:rsidRPr="0089670E">
        <w:rPr>
          <w:noProof/>
        </w:rPr>
        <w:t xml:space="preserve"> 143(2)</w:t>
      </w:r>
      <w:r>
        <w:rPr>
          <w:rFonts w:hint="eastAsia"/>
          <w:noProof/>
          <w:lang w:eastAsia="ko-KR"/>
        </w:rPr>
        <w:t>.</w:t>
      </w:r>
      <w:r w:rsidRPr="0089670E">
        <w:rPr>
          <w:noProof/>
        </w:rPr>
        <w:t xml:space="preserve"> 1054–1063.</w:t>
      </w:r>
    </w:p>
    <w:p w14:paraId="6D51DA63" w14:textId="77777777" w:rsidR="00232741" w:rsidRPr="0089670E" w:rsidRDefault="00232741" w:rsidP="00232741">
      <w:pPr>
        <w:pStyle w:val="aff1"/>
        <w:ind w:left="426" w:hanging="426"/>
        <w:rPr>
          <w:noProof/>
        </w:rPr>
      </w:pPr>
      <w:r w:rsidRPr="0089670E">
        <w:rPr>
          <w:noProof/>
        </w:rPr>
        <w:t>Pack</w:t>
      </w:r>
      <w:r>
        <w:rPr>
          <w:rFonts w:hint="eastAsia"/>
          <w:noProof/>
          <w:lang w:eastAsia="ko-KR"/>
        </w:rPr>
        <w:t>,</w:t>
      </w:r>
      <w:r w:rsidRPr="0089670E">
        <w:rPr>
          <w:noProof/>
        </w:rPr>
        <w:t xml:space="preserve"> A</w:t>
      </w:r>
      <w:r>
        <w:rPr>
          <w:rFonts w:hint="eastAsia"/>
          <w:noProof/>
          <w:lang w:eastAsia="ko-KR"/>
        </w:rPr>
        <w:t>.</w:t>
      </w:r>
      <w:r w:rsidRPr="0089670E">
        <w:rPr>
          <w:noProof/>
        </w:rPr>
        <w:t>, Russell</w:t>
      </w:r>
      <w:r>
        <w:rPr>
          <w:rFonts w:hint="eastAsia"/>
          <w:noProof/>
          <w:lang w:eastAsia="ko-KR"/>
        </w:rPr>
        <w:t>,</w:t>
      </w:r>
      <w:r w:rsidRPr="0089670E">
        <w:rPr>
          <w:noProof/>
        </w:rPr>
        <w:t xml:space="preserve"> S</w:t>
      </w:r>
      <w:r>
        <w:rPr>
          <w:rFonts w:hint="eastAsia"/>
          <w:noProof/>
          <w:lang w:eastAsia="ko-KR"/>
        </w:rPr>
        <w:t>.</w:t>
      </w:r>
      <w:r w:rsidRPr="0089670E">
        <w:rPr>
          <w:noProof/>
        </w:rPr>
        <w:t>S</w:t>
      </w:r>
      <w:r>
        <w:rPr>
          <w:rFonts w:hint="eastAsia"/>
          <w:noProof/>
          <w:lang w:eastAsia="ko-KR"/>
        </w:rPr>
        <w:t>.</w:t>
      </w:r>
      <w:r w:rsidRPr="0089670E">
        <w:rPr>
          <w:noProof/>
        </w:rPr>
        <w:t>, Shelley</w:t>
      </w:r>
      <w:r>
        <w:rPr>
          <w:rFonts w:hint="eastAsia"/>
          <w:noProof/>
          <w:lang w:eastAsia="ko-KR"/>
        </w:rPr>
        <w:t>,</w:t>
      </w:r>
      <w:r w:rsidRPr="0089670E">
        <w:rPr>
          <w:noProof/>
        </w:rPr>
        <w:t xml:space="preserve"> J</w:t>
      </w:r>
      <w:r>
        <w:rPr>
          <w:rFonts w:hint="eastAsia"/>
          <w:noProof/>
          <w:lang w:eastAsia="ko-KR"/>
        </w:rPr>
        <w:t>.</w:t>
      </w:r>
      <w:r w:rsidRPr="0089670E">
        <w:rPr>
          <w:noProof/>
        </w:rPr>
        <w:t>M</w:t>
      </w:r>
      <w:r>
        <w:rPr>
          <w:rFonts w:hint="eastAsia"/>
          <w:noProof/>
          <w:lang w:eastAsia="ko-KR"/>
        </w:rPr>
        <w:t>.</w:t>
      </w:r>
      <w:r w:rsidRPr="0089670E">
        <w:rPr>
          <w:noProof/>
        </w:rPr>
        <w:t>G</w:t>
      </w:r>
      <w:r>
        <w:rPr>
          <w:rFonts w:hint="eastAsia"/>
          <w:noProof/>
          <w:lang w:eastAsia="ko-KR"/>
        </w:rPr>
        <w:t>.</w:t>
      </w:r>
      <w:r w:rsidRPr="0089670E">
        <w:rPr>
          <w:noProof/>
        </w:rPr>
        <w:t>, et al.</w:t>
      </w:r>
      <w:r>
        <w:rPr>
          <w:rFonts w:hint="eastAsia"/>
          <w:noProof/>
          <w:lang w:eastAsia="ko-KR"/>
        </w:rPr>
        <w:t>,</w:t>
      </w:r>
      <w:r w:rsidRPr="0089670E">
        <w:rPr>
          <w:noProof/>
        </w:rPr>
        <w:t xml:space="preserve"> 2007</w:t>
      </w:r>
      <w:r>
        <w:rPr>
          <w:rFonts w:hint="eastAsia"/>
          <w:noProof/>
          <w:lang w:eastAsia="ko-KR"/>
        </w:rPr>
        <w:t>.</w:t>
      </w:r>
      <w:r w:rsidRPr="0089670E">
        <w:rPr>
          <w:noProof/>
        </w:rPr>
        <w:t xml:space="preserve"> Geo- and cosmochemistry of the twin elements yttrium and holmium. </w:t>
      </w:r>
      <w:r w:rsidRPr="005666C8">
        <w:rPr>
          <w:noProof/>
        </w:rPr>
        <w:t>Geochim. Cosmochim. Acta</w:t>
      </w:r>
      <w:r w:rsidRPr="0089670E">
        <w:rPr>
          <w:noProof/>
        </w:rPr>
        <w:t xml:space="preserve"> 71(18)</w:t>
      </w:r>
      <w:r>
        <w:rPr>
          <w:rFonts w:hint="eastAsia"/>
          <w:noProof/>
          <w:lang w:eastAsia="ko-KR"/>
        </w:rPr>
        <w:t>.</w:t>
      </w:r>
      <w:r w:rsidRPr="0089670E">
        <w:rPr>
          <w:noProof/>
        </w:rPr>
        <w:t xml:space="preserve"> 4592–4608.</w:t>
      </w:r>
    </w:p>
    <w:p w14:paraId="7833EF37" w14:textId="77777777" w:rsidR="00232741" w:rsidRPr="0089670E" w:rsidRDefault="00232741" w:rsidP="00232741">
      <w:pPr>
        <w:pStyle w:val="aff1"/>
        <w:ind w:left="426" w:hanging="426"/>
        <w:rPr>
          <w:noProof/>
        </w:rPr>
      </w:pPr>
      <w:r w:rsidRPr="0089670E">
        <w:rPr>
          <w:noProof/>
        </w:rPr>
        <w:t>Palmer</w:t>
      </w:r>
      <w:r>
        <w:rPr>
          <w:rFonts w:hint="eastAsia"/>
          <w:noProof/>
          <w:lang w:eastAsia="ko-KR"/>
        </w:rPr>
        <w:t>,</w:t>
      </w:r>
      <w:r w:rsidRPr="0089670E">
        <w:rPr>
          <w:noProof/>
        </w:rPr>
        <w:t xml:space="preserve"> H</w:t>
      </w:r>
      <w:r>
        <w:rPr>
          <w:rFonts w:hint="eastAsia"/>
          <w:noProof/>
          <w:lang w:eastAsia="ko-KR"/>
        </w:rPr>
        <w:t>.</w:t>
      </w:r>
      <w:r w:rsidRPr="0089670E">
        <w:rPr>
          <w:noProof/>
        </w:rPr>
        <w:t>E</w:t>
      </w:r>
      <w:r>
        <w:rPr>
          <w:rFonts w:hint="eastAsia"/>
          <w:noProof/>
          <w:lang w:eastAsia="ko-KR"/>
        </w:rPr>
        <w:t>.</w:t>
      </w:r>
      <w:r w:rsidRPr="0089670E">
        <w:rPr>
          <w:noProof/>
        </w:rPr>
        <w:t>, Nelson</w:t>
      </w:r>
      <w:r>
        <w:rPr>
          <w:rFonts w:hint="eastAsia"/>
          <w:noProof/>
          <w:lang w:eastAsia="ko-KR"/>
        </w:rPr>
        <w:t>,</w:t>
      </w:r>
      <w:r w:rsidRPr="0089670E">
        <w:rPr>
          <w:noProof/>
        </w:rPr>
        <w:t xml:space="preserve"> I</w:t>
      </w:r>
      <w:r>
        <w:rPr>
          <w:rFonts w:hint="eastAsia"/>
          <w:noProof/>
          <w:lang w:eastAsia="ko-KR"/>
        </w:rPr>
        <w:t>.</w:t>
      </w:r>
      <w:r w:rsidRPr="0089670E">
        <w:rPr>
          <w:noProof/>
        </w:rPr>
        <w:t>C</w:t>
      </w:r>
      <w:r>
        <w:rPr>
          <w:rFonts w:hint="eastAsia"/>
          <w:noProof/>
          <w:lang w:eastAsia="ko-KR"/>
        </w:rPr>
        <w:t>.,</w:t>
      </w:r>
      <w:r w:rsidRPr="0089670E">
        <w:rPr>
          <w:noProof/>
        </w:rPr>
        <w:t xml:space="preserve"> Crook</w:t>
      </w:r>
      <w:r>
        <w:rPr>
          <w:rFonts w:hint="eastAsia"/>
          <w:noProof/>
          <w:lang w:eastAsia="ko-KR"/>
        </w:rPr>
        <w:t>,</w:t>
      </w:r>
      <w:r w:rsidRPr="0089670E">
        <w:rPr>
          <w:noProof/>
        </w:rPr>
        <w:t xml:space="preserve"> G</w:t>
      </w:r>
      <w:r>
        <w:rPr>
          <w:rFonts w:hint="eastAsia"/>
          <w:noProof/>
          <w:lang w:eastAsia="ko-KR"/>
        </w:rPr>
        <w:t>.</w:t>
      </w:r>
      <w:r w:rsidRPr="0089670E">
        <w:rPr>
          <w:noProof/>
        </w:rPr>
        <w:t>H</w:t>
      </w:r>
      <w:r>
        <w:rPr>
          <w:rFonts w:hint="eastAsia"/>
          <w:noProof/>
          <w:lang w:eastAsia="ko-KR"/>
        </w:rPr>
        <w:t>.,</w:t>
      </w:r>
      <w:r w:rsidRPr="0089670E">
        <w:rPr>
          <w:noProof/>
        </w:rPr>
        <w:t xml:space="preserve"> 1970</w:t>
      </w:r>
      <w:r>
        <w:rPr>
          <w:rFonts w:hint="eastAsia"/>
          <w:noProof/>
          <w:lang w:eastAsia="ko-KR"/>
        </w:rPr>
        <w:t>.</w:t>
      </w:r>
      <w:r w:rsidRPr="0089670E">
        <w:rPr>
          <w:noProof/>
        </w:rPr>
        <w:t xml:space="preserve"> The uptake, distribution and excretion of promethium in humans and the effect of DTPA on these parameters. </w:t>
      </w:r>
      <w:r w:rsidRPr="005666C8">
        <w:rPr>
          <w:noProof/>
        </w:rPr>
        <w:t>Health Phys.</w:t>
      </w:r>
      <w:r w:rsidRPr="0089670E">
        <w:rPr>
          <w:noProof/>
        </w:rPr>
        <w:t xml:space="preserve"> 18(1)</w:t>
      </w:r>
      <w:r>
        <w:rPr>
          <w:rFonts w:hint="eastAsia"/>
          <w:noProof/>
          <w:lang w:eastAsia="ko-KR"/>
        </w:rPr>
        <w:t>.</w:t>
      </w:r>
      <w:r w:rsidRPr="0089670E">
        <w:rPr>
          <w:noProof/>
        </w:rPr>
        <w:t xml:space="preserve"> </w:t>
      </w:r>
      <w:r w:rsidRPr="0089670E">
        <w:rPr>
          <w:noProof/>
        </w:rPr>
        <w:lastRenderedPageBreak/>
        <w:t>53–61.</w:t>
      </w:r>
    </w:p>
    <w:p w14:paraId="7B6CF681" w14:textId="77777777" w:rsidR="00232741" w:rsidRPr="0089670E" w:rsidRDefault="00232741" w:rsidP="00232741">
      <w:pPr>
        <w:pStyle w:val="aff1"/>
        <w:ind w:left="426" w:hanging="426"/>
        <w:rPr>
          <w:noProof/>
          <w:lang w:val="fr-FR"/>
        </w:rPr>
      </w:pPr>
      <w:r w:rsidRPr="0089670E">
        <w:rPr>
          <w:noProof/>
        </w:rPr>
        <w:t>Paquet</w:t>
      </w:r>
      <w:r>
        <w:rPr>
          <w:rFonts w:hint="eastAsia"/>
          <w:noProof/>
          <w:lang w:eastAsia="ko-KR"/>
        </w:rPr>
        <w:t>,</w:t>
      </w:r>
      <w:r w:rsidRPr="0089670E">
        <w:rPr>
          <w:noProof/>
        </w:rPr>
        <w:t xml:space="preserve"> F</w:t>
      </w:r>
      <w:r>
        <w:rPr>
          <w:rFonts w:hint="eastAsia"/>
          <w:noProof/>
          <w:lang w:eastAsia="ko-KR"/>
        </w:rPr>
        <w:t>.,</w:t>
      </w:r>
      <w:r w:rsidRPr="0089670E">
        <w:rPr>
          <w:noProof/>
        </w:rPr>
        <w:t xml:space="preserve"> Stather</w:t>
      </w:r>
      <w:r>
        <w:rPr>
          <w:rFonts w:hint="eastAsia"/>
          <w:noProof/>
          <w:lang w:eastAsia="ko-KR"/>
        </w:rPr>
        <w:t>,</w:t>
      </w:r>
      <w:r w:rsidRPr="0089670E">
        <w:rPr>
          <w:noProof/>
        </w:rPr>
        <w:t xml:space="preserve"> J</w:t>
      </w:r>
      <w:r>
        <w:rPr>
          <w:rFonts w:hint="eastAsia"/>
          <w:noProof/>
          <w:lang w:eastAsia="ko-KR"/>
        </w:rPr>
        <w:t>.</w:t>
      </w:r>
      <w:r w:rsidRPr="0089670E">
        <w:rPr>
          <w:noProof/>
        </w:rPr>
        <w:t>W</w:t>
      </w:r>
      <w:r>
        <w:rPr>
          <w:rFonts w:hint="eastAsia"/>
          <w:noProof/>
          <w:lang w:eastAsia="ko-KR"/>
        </w:rPr>
        <w:t>.,</w:t>
      </w:r>
      <w:r w:rsidRPr="0089670E">
        <w:rPr>
          <w:noProof/>
        </w:rPr>
        <w:t xml:space="preserve"> 1997</w:t>
      </w:r>
      <w:r>
        <w:rPr>
          <w:rFonts w:hint="eastAsia"/>
          <w:noProof/>
          <w:lang w:eastAsia="ko-KR"/>
        </w:rPr>
        <w:t>.</w:t>
      </w:r>
      <w:r w:rsidRPr="0089670E">
        <w:rPr>
          <w:noProof/>
        </w:rPr>
        <w:t xml:space="preserve"> Américium. In: </w:t>
      </w:r>
      <w:r w:rsidRPr="00ED6790">
        <w:rPr>
          <w:noProof/>
        </w:rPr>
        <w:t>Toxiques Nucléaires</w:t>
      </w:r>
      <w:r w:rsidRPr="0089670E">
        <w:rPr>
          <w:noProof/>
        </w:rPr>
        <w:t xml:space="preserve">. </w:t>
      </w:r>
      <w:r w:rsidRPr="0089670E">
        <w:rPr>
          <w:noProof/>
          <w:lang w:val="fr-FR"/>
        </w:rPr>
        <w:t>Paris, France: Masson et Cie éditeurs, pp. 247–279.</w:t>
      </w:r>
    </w:p>
    <w:p w14:paraId="1E39B7DD" w14:textId="77777777" w:rsidR="00232741" w:rsidRPr="00BB7751" w:rsidRDefault="00232741" w:rsidP="00232741">
      <w:pPr>
        <w:pStyle w:val="aff1"/>
        <w:ind w:left="426" w:hanging="426"/>
        <w:rPr>
          <w:noProof/>
          <w:lang w:val="fr-FR"/>
        </w:rPr>
      </w:pPr>
      <w:r w:rsidRPr="0089670E">
        <w:rPr>
          <w:noProof/>
          <w:lang w:val="fr-FR"/>
        </w:rPr>
        <w:t>Paquet</w:t>
      </w:r>
      <w:r>
        <w:rPr>
          <w:rFonts w:hint="eastAsia"/>
          <w:noProof/>
          <w:lang w:val="fr-FR" w:eastAsia="ko-KR"/>
        </w:rPr>
        <w:t>,</w:t>
      </w:r>
      <w:r w:rsidRPr="0089670E">
        <w:rPr>
          <w:noProof/>
          <w:lang w:val="fr-FR"/>
        </w:rPr>
        <w:t xml:space="preserve"> F</w:t>
      </w:r>
      <w:r>
        <w:rPr>
          <w:rFonts w:hint="eastAsia"/>
          <w:noProof/>
          <w:lang w:val="fr-FR" w:eastAsia="ko-KR"/>
        </w:rPr>
        <w:t>.</w:t>
      </w:r>
      <w:r w:rsidRPr="0089670E">
        <w:rPr>
          <w:noProof/>
          <w:lang w:val="fr-FR"/>
        </w:rPr>
        <w:t>, Ramounet</w:t>
      </w:r>
      <w:r>
        <w:rPr>
          <w:rFonts w:hint="eastAsia"/>
          <w:noProof/>
          <w:lang w:val="fr-FR" w:eastAsia="ko-KR"/>
        </w:rPr>
        <w:t>,</w:t>
      </w:r>
      <w:r w:rsidRPr="0089670E">
        <w:rPr>
          <w:noProof/>
          <w:lang w:val="fr-FR"/>
        </w:rPr>
        <w:t xml:space="preserve"> B</w:t>
      </w:r>
      <w:r>
        <w:rPr>
          <w:rFonts w:hint="eastAsia"/>
          <w:noProof/>
          <w:lang w:val="fr-FR" w:eastAsia="ko-KR"/>
        </w:rPr>
        <w:t>.</w:t>
      </w:r>
      <w:r w:rsidRPr="0089670E">
        <w:rPr>
          <w:noProof/>
          <w:lang w:val="fr-FR"/>
        </w:rPr>
        <w:t>, Métivier</w:t>
      </w:r>
      <w:r>
        <w:rPr>
          <w:rFonts w:hint="eastAsia"/>
          <w:noProof/>
          <w:lang w:val="fr-FR" w:eastAsia="ko-KR"/>
        </w:rPr>
        <w:t>,</w:t>
      </w:r>
      <w:r w:rsidRPr="0089670E">
        <w:rPr>
          <w:noProof/>
          <w:lang w:val="fr-FR"/>
        </w:rPr>
        <w:t xml:space="preserve"> H</w:t>
      </w:r>
      <w:r>
        <w:rPr>
          <w:rFonts w:hint="eastAsia"/>
          <w:noProof/>
          <w:lang w:val="fr-FR" w:eastAsia="ko-KR"/>
        </w:rPr>
        <w:t>.</w:t>
      </w:r>
      <w:r w:rsidRPr="0089670E">
        <w:rPr>
          <w:noProof/>
          <w:lang w:val="fr-FR"/>
        </w:rPr>
        <w:t>, et al.</w:t>
      </w:r>
      <w:r>
        <w:rPr>
          <w:rFonts w:hint="eastAsia"/>
          <w:noProof/>
          <w:lang w:val="fr-FR" w:eastAsia="ko-KR"/>
        </w:rPr>
        <w:t>,</w:t>
      </w:r>
      <w:r w:rsidRPr="0089670E">
        <w:rPr>
          <w:noProof/>
          <w:lang w:val="fr-FR"/>
        </w:rPr>
        <w:t xml:space="preserve"> </w:t>
      </w:r>
      <w:r w:rsidRPr="00BB7751">
        <w:rPr>
          <w:noProof/>
          <w:lang w:val="fr-FR"/>
        </w:rPr>
        <w:t>1996</w:t>
      </w:r>
      <w:r w:rsidRPr="00BB7751">
        <w:rPr>
          <w:rFonts w:hint="eastAsia"/>
          <w:noProof/>
          <w:lang w:val="fr-FR" w:eastAsia="ko-KR"/>
        </w:rPr>
        <w:t>.</w:t>
      </w:r>
      <w:r w:rsidRPr="00BB7751">
        <w:rPr>
          <w:noProof/>
          <w:lang w:val="fr-FR"/>
        </w:rPr>
        <w:t xml:space="preserve"> </w:t>
      </w:r>
      <w:r w:rsidRPr="0089670E">
        <w:rPr>
          <w:noProof/>
        </w:rPr>
        <w:t xml:space="preserve">The effect of the mass and initial chemical form of neptunium on its molecular associations in blood and liver. </w:t>
      </w:r>
      <w:r w:rsidRPr="00BB7751">
        <w:rPr>
          <w:noProof/>
          <w:lang w:val="fr-FR"/>
        </w:rPr>
        <w:t>Radiat. Res. 146(3)</w:t>
      </w:r>
      <w:r w:rsidRPr="00BB7751">
        <w:rPr>
          <w:rFonts w:hint="eastAsia"/>
          <w:noProof/>
          <w:lang w:val="fr-FR" w:eastAsia="ko-KR"/>
        </w:rPr>
        <w:t>.</w:t>
      </w:r>
      <w:r w:rsidRPr="00BB7751">
        <w:rPr>
          <w:noProof/>
          <w:lang w:val="fr-FR"/>
        </w:rPr>
        <w:t xml:space="preserve"> 306–312.</w:t>
      </w:r>
    </w:p>
    <w:p w14:paraId="274F5CA6" w14:textId="77777777" w:rsidR="00232741" w:rsidRPr="0089670E" w:rsidRDefault="00232741" w:rsidP="00232741">
      <w:pPr>
        <w:pStyle w:val="aff1"/>
        <w:ind w:left="426" w:hanging="426"/>
        <w:rPr>
          <w:noProof/>
        </w:rPr>
      </w:pPr>
      <w:r w:rsidRPr="00BB7751">
        <w:rPr>
          <w:noProof/>
          <w:lang w:val="fr-FR"/>
        </w:rPr>
        <w:t>Paquet</w:t>
      </w:r>
      <w:r w:rsidRPr="00BB7751">
        <w:rPr>
          <w:rFonts w:hint="eastAsia"/>
          <w:noProof/>
          <w:lang w:val="fr-FR" w:eastAsia="ko-KR"/>
        </w:rPr>
        <w:t>,</w:t>
      </w:r>
      <w:r w:rsidRPr="00BB7751">
        <w:rPr>
          <w:noProof/>
          <w:lang w:val="fr-FR"/>
        </w:rPr>
        <w:t xml:space="preserve"> F</w:t>
      </w:r>
      <w:r w:rsidRPr="00BB7751">
        <w:rPr>
          <w:rFonts w:hint="eastAsia"/>
          <w:noProof/>
          <w:lang w:val="fr-FR" w:eastAsia="ko-KR"/>
        </w:rPr>
        <w:t>.</w:t>
      </w:r>
      <w:r w:rsidRPr="00BB7751">
        <w:rPr>
          <w:noProof/>
          <w:lang w:val="fr-FR"/>
        </w:rPr>
        <w:t>, Montègue</w:t>
      </w:r>
      <w:r w:rsidRPr="00BB7751">
        <w:rPr>
          <w:rFonts w:hint="eastAsia"/>
          <w:noProof/>
          <w:lang w:val="fr-FR" w:eastAsia="ko-KR"/>
        </w:rPr>
        <w:t>,</w:t>
      </w:r>
      <w:r w:rsidRPr="00BB7751">
        <w:rPr>
          <w:noProof/>
          <w:lang w:val="fr-FR"/>
        </w:rPr>
        <w:t xml:space="preserve"> B</w:t>
      </w:r>
      <w:r w:rsidRPr="00BB7751">
        <w:rPr>
          <w:rFonts w:hint="eastAsia"/>
          <w:noProof/>
          <w:lang w:val="fr-FR" w:eastAsia="ko-KR"/>
        </w:rPr>
        <w:t>.</w:t>
      </w:r>
      <w:r w:rsidRPr="00BB7751">
        <w:rPr>
          <w:noProof/>
          <w:lang w:val="fr-FR"/>
        </w:rPr>
        <w:t>, Ansoborlo</w:t>
      </w:r>
      <w:r w:rsidRPr="00BB7751">
        <w:rPr>
          <w:rFonts w:hint="eastAsia"/>
          <w:noProof/>
          <w:lang w:val="fr-FR" w:eastAsia="ko-KR"/>
        </w:rPr>
        <w:t>,</w:t>
      </w:r>
      <w:r w:rsidRPr="00BB7751">
        <w:rPr>
          <w:noProof/>
          <w:lang w:val="fr-FR"/>
        </w:rPr>
        <w:t xml:space="preserve"> E</w:t>
      </w:r>
      <w:r w:rsidRPr="00BB7751">
        <w:rPr>
          <w:rFonts w:hint="eastAsia"/>
          <w:noProof/>
          <w:lang w:val="fr-FR" w:eastAsia="ko-KR"/>
        </w:rPr>
        <w:t>.</w:t>
      </w:r>
      <w:r w:rsidRPr="00BB7751">
        <w:rPr>
          <w:noProof/>
          <w:lang w:val="fr-FR"/>
        </w:rPr>
        <w:t>, et al.</w:t>
      </w:r>
      <w:r w:rsidRPr="00BB7751">
        <w:rPr>
          <w:rFonts w:hint="eastAsia"/>
          <w:noProof/>
          <w:lang w:val="fr-FR" w:eastAsia="ko-KR"/>
        </w:rPr>
        <w:t>,</w:t>
      </w:r>
      <w:r w:rsidRPr="00BB7751">
        <w:rPr>
          <w:noProof/>
          <w:lang w:val="fr-FR"/>
        </w:rPr>
        <w:t xml:space="preserve"> 2000</w:t>
      </w:r>
      <w:r w:rsidRPr="00BB7751">
        <w:rPr>
          <w:rFonts w:hint="eastAsia"/>
          <w:noProof/>
          <w:lang w:val="fr-FR" w:eastAsia="ko-KR"/>
        </w:rPr>
        <w:t>.</w:t>
      </w:r>
      <w:r w:rsidRPr="00BB7751">
        <w:rPr>
          <w:noProof/>
          <w:lang w:val="fr-FR"/>
        </w:rPr>
        <w:t xml:space="preserve"> </w:t>
      </w:r>
      <w:r w:rsidRPr="0089670E">
        <w:rPr>
          <w:noProof/>
        </w:rPr>
        <w:t xml:space="preserve">Efficacy of 3,4,3-LIHOPO for reducing neptunium retention in the rat after simulated wound contamination. </w:t>
      </w:r>
      <w:r w:rsidRPr="005666C8">
        <w:rPr>
          <w:noProof/>
        </w:rPr>
        <w:t>Int. J. Radiat. Biol.</w:t>
      </w:r>
      <w:r w:rsidRPr="0089670E">
        <w:rPr>
          <w:noProof/>
        </w:rPr>
        <w:t xml:space="preserve"> 76(1)</w:t>
      </w:r>
      <w:r>
        <w:rPr>
          <w:rFonts w:hint="eastAsia"/>
          <w:noProof/>
          <w:lang w:eastAsia="ko-KR"/>
        </w:rPr>
        <w:t>.</w:t>
      </w:r>
      <w:r w:rsidRPr="0089670E">
        <w:rPr>
          <w:noProof/>
        </w:rPr>
        <w:t xml:space="preserve"> 113–117.</w:t>
      </w:r>
    </w:p>
    <w:p w14:paraId="2AA20B19" w14:textId="77777777" w:rsidR="00232741" w:rsidRPr="0089670E" w:rsidRDefault="00232741" w:rsidP="00232741">
      <w:pPr>
        <w:pStyle w:val="aff1"/>
        <w:ind w:left="426" w:hanging="426"/>
        <w:rPr>
          <w:noProof/>
        </w:rPr>
      </w:pPr>
      <w:r w:rsidRPr="0089670E">
        <w:rPr>
          <w:noProof/>
        </w:rPr>
        <w:t>Parker</w:t>
      </w:r>
      <w:r>
        <w:rPr>
          <w:rFonts w:hint="eastAsia"/>
          <w:noProof/>
          <w:lang w:eastAsia="ko-KR"/>
        </w:rPr>
        <w:t>,</w:t>
      </w:r>
      <w:r w:rsidRPr="0089670E">
        <w:rPr>
          <w:noProof/>
        </w:rPr>
        <w:t xml:space="preserve"> H</w:t>
      </w:r>
      <w:r>
        <w:rPr>
          <w:rFonts w:hint="eastAsia"/>
          <w:noProof/>
          <w:lang w:eastAsia="ko-KR"/>
        </w:rPr>
        <w:t>.</w:t>
      </w:r>
      <w:r w:rsidRPr="0089670E">
        <w:rPr>
          <w:noProof/>
        </w:rPr>
        <w:t>G</w:t>
      </w:r>
      <w:r>
        <w:rPr>
          <w:rFonts w:hint="eastAsia"/>
          <w:noProof/>
          <w:lang w:eastAsia="ko-KR"/>
        </w:rPr>
        <w:t>.</w:t>
      </w:r>
      <w:r w:rsidRPr="0089670E">
        <w:rPr>
          <w:noProof/>
        </w:rPr>
        <w:t>, Low-Beer</w:t>
      </w:r>
      <w:r>
        <w:rPr>
          <w:rFonts w:hint="eastAsia"/>
          <w:noProof/>
          <w:lang w:eastAsia="ko-KR"/>
        </w:rPr>
        <w:t>,</w:t>
      </w:r>
      <w:r w:rsidRPr="0089670E">
        <w:rPr>
          <w:noProof/>
        </w:rPr>
        <w:t xml:space="preserve"> A</w:t>
      </w:r>
      <w:r>
        <w:rPr>
          <w:rFonts w:hint="eastAsia"/>
          <w:noProof/>
          <w:lang w:eastAsia="ko-KR"/>
        </w:rPr>
        <w:t>.</w:t>
      </w:r>
      <w:r w:rsidRPr="0089670E">
        <w:rPr>
          <w:noProof/>
        </w:rPr>
        <w:t>D</w:t>
      </w:r>
      <w:r>
        <w:rPr>
          <w:rFonts w:hint="eastAsia"/>
          <w:noProof/>
          <w:lang w:eastAsia="ko-KR"/>
        </w:rPr>
        <w:t>.</w:t>
      </w:r>
      <w:r w:rsidRPr="0089670E">
        <w:rPr>
          <w:noProof/>
        </w:rPr>
        <w:t>G</w:t>
      </w:r>
      <w:r>
        <w:rPr>
          <w:rFonts w:hint="eastAsia"/>
          <w:noProof/>
          <w:lang w:eastAsia="ko-KR"/>
        </w:rPr>
        <w:t>.,</w:t>
      </w:r>
      <w:r w:rsidRPr="0089670E">
        <w:rPr>
          <w:noProof/>
        </w:rPr>
        <w:t xml:space="preserve"> Isaac</w:t>
      </w:r>
      <w:r>
        <w:rPr>
          <w:rFonts w:hint="eastAsia"/>
          <w:noProof/>
          <w:lang w:eastAsia="ko-KR"/>
        </w:rPr>
        <w:t>,</w:t>
      </w:r>
      <w:r w:rsidRPr="0089670E">
        <w:rPr>
          <w:noProof/>
        </w:rPr>
        <w:t xml:space="preserve"> E</w:t>
      </w:r>
      <w:r>
        <w:rPr>
          <w:rFonts w:hint="eastAsia"/>
          <w:noProof/>
          <w:lang w:eastAsia="ko-KR"/>
        </w:rPr>
        <w:t>.</w:t>
      </w:r>
      <w:r w:rsidRPr="0089670E">
        <w:rPr>
          <w:noProof/>
        </w:rPr>
        <w:t>L</w:t>
      </w:r>
      <w:r>
        <w:rPr>
          <w:rFonts w:hint="eastAsia"/>
          <w:noProof/>
          <w:lang w:eastAsia="ko-KR"/>
        </w:rPr>
        <w:t>.,</w:t>
      </w:r>
      <w:r w:rsidRPr="0089670E">
        <w:rPr>
          <w:noProof/>
        </w:rPr>
        <w:t xml:space="preserve"> 1962</w:t>
      </w:r>
      <w:r>
        <w:rPr>
          <w:rFonts w:hint="eastAsia"/>
          <w:noProof/>
          <w:lang w:eastAsia="ko-KR"/>
        </w:rPr>
        <w:t>.</w:t>
      </w:r>
      <w:r w:rsidRPr="0089670E">
        <w:rPr>
          <w:noProof/>
        </w:rPr>
        <w:t xml:space="preserve"> Comparison of retention and organ distribution of AM241 and Cf-252 in mice: The effect of in vivo DTPA chelation. </w:t>
      </w:r>
      <w:r w:rsidRPr="005666C8">
        <w:rPr>
          <w:noProof/>
        </w:rPr>
        <w:t>Health Phys.</w:t>
      </w:r>
      <w:r w:rsidRPr="0089670E">
        <w:rPr>
          <w:noProof/>
        </w:rPr>
        <w:t xml:space="preserve"> 8(6)</w:t>
      </w:r>
      <w:r>
        <w:rPr>
          <w:rFonts w:hint="eastAsia"/>
          <w:noProof/>
          <w:lang w:eastAsia="ko-KR"/>
        </w:rPr>
        <w:t>.</w:t>
      </w:r>
      <w:r w:rsidRPr="0089670E">
        <w:rPr>
          <w:noProof/>
        </w:rPr>
        <w:t xml:space="preserve"> 679–684.</w:t>
      </w:r>
    </w:p>
    <w:p w14:paraId="259079CD" w14:textId="77777777" w:rsidR="00232741" w:rsidRPr="0089670E" w:rsidRDefault="00232741" w:rsidP="00232741">
      <w:pPr>
        <w:pStyle w:val="aff1"/>
        <w:ind w:left="426" w:hanging="426"/>
        <w:rPr>
          <w:noProof/>
        </w:rPr>
      </w:pPr>
      <w:r w:rsidRPr="0089670E">
        <w:rPr>
          <w:noProof/>
        </w:rPr>
        <w:t>Parker</w:t>
      </w:r>
      <w:r>
        <w:rPr>
          <w:rFonts w:hint="eastAsia"/>
          <w:noProof/>
          <w:lang w:eastAsia="ko-KR"/>
        </w:rPr>
        <w:t>,</w:t>
      </w:r>
      <w:r w:rsidRPr="0089670E">
        <w:rPr>
          <w:noProof/>
        </w:rPr>
        <w:t xml:space="preserve"> H</w:t>
      </w:r>
      <w:r>
        <w:rPr>
          <w:rFonts w:hint="eastAsia"/>
          <w:noProof/>
          <w:lang w:eastAsia="ko-KR"/>
        </w:rPr>
        <w:t>.</w:t>
      </w:r>
      <w:r w:rsidRPr="0089670E">
        <w:rPr>
          <w:noProof/>
        </w:rPr>
        <w:t>G</w:t>
      </w:r>
      <w:r>
        <w:rPr>
          <w:rFonts w:hint="eastAsia"/>
          <w:noProof/>
          <w:lang w:eastAsia="ko-KR"/>
        </w:rPr>
        <w:t>.</w:t>
      </w:r>
      <w:r w:rsidRPr="0089670E">
        <w:rPr>
          <w:noProof/>
        </w:rPr>
        <w:t>, Wright</w:t>
      </w:r>
      <w:r>
        <w:rPr>
          <w:rFonts w:hint="eastAsia"/>
          <w:noProof/>
          <w:lang w:eastAsia="ko-KR"/>
        </w:rPr>
        <w:t>,</w:t>
      </w:r>
      <w:r w:rsidRPr="0089670E">
        <w:rPr>
          <w:noProof/>
        </w:rPr>
        <w:t xml:space="preserve"> S</w:t>
      </w:r>
      <w:r>
        <w:rPr>
          <w:rFonts w:hint="eastAsia"/>
          <w:noProof/>
          <w:lang w:eastAsia="ko-KR"/>
        </w:rPr>
        <w:t>.</w:t>
      </w:r>
      <w:r w:rsidRPr="0089670E">
        <w:rPr>
          <w:noProof/>
        </w:rPr>
        <w:t>R</w:t>
      </w:r>
      <w:r>
        <w:rPr>
          <w:rFonts w:hint="eastAsia"/>
          <w:noProof/>
          <w:lang w:eastAsia="ko-KR"/>
        </w:rPr>
        <w:t>.</w:t>
      </w:r>
      <w:r w:rsidRPr="0089670E">
        <w:rPr>
          <w:noProof/>
        </w:rPr>
        <w:t>, Low-Beer</w:t>
      </w:r>
      <w:r>
        <w:rPr>
          <w:rFonts w:hint="eastAsia"/>
          <w:noProof/>
          <w:lang w:eastAsia="ko-KR"/>
        </w:rPr>
        <w:t>,</w:t>
      </w:r>
      <w:r w:rsidRPr="0089670E">
        <w:rPr>
          <w:noProof/>
        </w:rPr>
        <w:t xml:space="preserve"> A</w:t>
      </w:r>
      <w:r>
        <w:rPr>
          <w:rFonts w:hint="eastAsia"/>
          <w:noProof/>
          <w:lang w:eastAsia="ko-KR"/>
        </w:rPr>
        <w:t>.</w:t>
      </w:r>
      <w:r w:rsidRPr="0089670E">
        <w:rPr>
          <w:noProof/>
        </w:rPr>
        <w:t>G</w:t>
      </w:r>
      <w:r>
        <w:rPr>
          <w:rFonts w:hint="eastAsia"/>
          <w:noProof/>
          <w:lang w:eastAsia="ko-KR"/>
        </w:rPr>
        <w:t>.</w:t>
      </w:r>
      <w:r w:rsidRPr="0089670E">
        <w:rPr>
          <w:noProof/>
        </w:rPr>
        <w:t>, et al.</w:t>
      </w:r>
      <w:r>
        <w:rPr>
          <w:rFonts w:hint="eastAsia"/>
          <w:noProof/>
          <w:lang w:eastAsia="ko-KR"/>
        </w:rPr>
        <w:t>,</w:t>
      </w:r>
      <w:r w:rsidRPr="0089670E">
        <w:rPr>
          <w:noProof/>
        </w:rPr>
        <w:t xml:space="preserve"> 1972</w:t>
      </w:r>
      <w:r>
        <w:rPr>
          <w:rFonts w:hint="eastAsia"/>
          <w:noProof/>
          <w:lang w:eastAsia="ko-KR"/>
        </w:rPr>
        <w:t>.</w:t>
      </w:r>
      <w:r w:rsidRPr="0089670E">
        <w:rPr>
          <w:noProof/>
        </w:rPr>
        <w:t xml:space="preserve"> The metabolism of 253Es in mice. </w:t>
      </w:r>
      <w:r w:rsidRPr="005666C8">
        <w:rPr>
          <w:noProof/>
        </w:rPr>
        <w:t>Health Phys.</w:t>
      </w:r>
      <w:r w:rsidRPr="0089670E">
        <w:rPr>
          <w:noProof/>
        </w:rPr>
        <w:t xml:space="preserve"> 22(6)</w:t>
      </w:r>
      <w:r>
        <w:rPr>
          <w:rFonts w:hint="eastAsia"/>
          <w:noProof/>
          <w:lang w:eastAsia="ko-KR"/>
        </w:rPr>
        <w:t>.</w:t>
      </w:r>
      <w:r w:rsidRPr="0089670E">
        <w:rPr>
          <w:noProof/>
        </w:rPr>
        <w:t xml:space="preserve"> 647–651.</w:t>
      </w:r>
    </w:p>
    <w:p w14:paraId="329D7E65" w14:textId="77777777" w:rsidR="00232741" w:rsidRPr="0089670E" w:rsidRDefault="00232741" w:rsidP="00232741">
      <w:pPr>
        <w:pStyle w:val="aff1"/>
        <w:ind w:left="426" w:hanging="426"/>
        <w:rPr>
          <w:noProof/>
        </w:rPr>
      </w:pPr>
      <w:r w:rsidRPr="0089670E">
        <w:rPr>
          <w:noProof/>
        </w:rPr>
        <w:t>Parkinson</w:t>
      </w:r>
      <w:r>
        <w:rPr>
          <w:rFonts w:hint="eastAsia"/>
          <w:noProof/>
          <w:lang w:eastAsia="ko-KR"/>
        </w:rPr>
        <w:t>,</w:t>
      </w:r>
      <w:r w:rsidRPr="0089670E">
        <w:rPr>
          <w:noProof/>
        </w:rPr>
        <w:t xml:space="preserve"> W</w:t>
      </w:r>
      <w:r>
        <w:rPr>
          <w:rFonts w:hint="eastAsia"/>
          <w:noProof/>
          <w:lang w:eastAsia="ko-KR"/>
        </w:rPr>
        <w:t>.</w:t>
      </w:r>
      <w:r w:rsidRPr="0089670E">
        <w:rPr>
          <w:noProof/>
        </w:rPr>
        <w:t>W</w:t>
      </w:r>
      <w:r>
        <w:rPr>
          <w:rFonts w:hint="eastAsia"/>
          <w:noProof/>
          <w:lang w:eastAsia="ko-KR"/>
        </w:rPr>
        <w:t>.</w:t>
      </w:r>
      <w:r w:rsidRPr="0089670E">
        <w:rPr>
          <w:noProof/>
        </w:rPr>
        <w:t>, Henley</w:t>
      </w:r>
      <w:r>
        <w:rPr>
          <w:rFonts w:hint="eastAsia"/>
          <w:noProof/>
          <w:lang w:eastAsia="ko-KR"/>
        </w:rPr>
        <w:t>,</w:t>
      </w:r>
      <w:r w:rsidRPr="0089670E">
        <w:rPr>
          <w:noProof/>
        </w:rPr>
        <w:t xml:space="preserve"> L</w:t>
      </w:r>
      <w:r>
        <w:rPr>
          <w:rFonts w:hint="eastAsia"/>
          <w:noProof/>
          <w:lang w:eastAsia="ko-KR"/>
        </w:rPr>
        <w:t>.</w:t>
      </w:r>
      <w:r w:rsidRPr="0089670E">
        <w:rPr>
          <w:noProof/>
        </w:rPr>
        <w:t>C</w:t>
      </w:r>
      <w:r>
        <w:rPr>
          <w:rFonts w:hint="eastAsia"/>
          <w:noProof/>
          <w:lang w:eastAsia="ko-KR"/>
        </w:rPr>
        <w:t>.</w:t>
      </w:r>
      <w:r w:rsidRPr="0089670E">
        <w:rPr>
          <w:noProof/>
        </w:rPr>
        <w:t>, Goans</w:t>
      </w:r>
      <w:r>
        <w:rPr>
          <w:rFonts w:hint="eastAsia"/>
          <w:noProof/>
          <w:lang w:eastAsia="ko-KR"/>
        </w:rPr>
        <w:t>,</w:t>
      </w:r>
      <w:r w:rsidRPr="0089670E">
        <w:rPr>
          <w:noProof/>
        </w:rPr>
        <w:t xml:space="preserve"> R</w:t>
      </w:r>
      <w:r>
        <w:rPr>
          <w:rFonts w:hint="eastAsia"/>
          <w:noProof/>
          <w:lang w:eastAsia="ko-KR"/>
        </w:rPr>
        <w:t>.</w:t>
      </w:r>
      <w:r w:rsidRPr="0089670E">
        <w:rPr>
          <w:noProof/>
        </w:rPr>
        <w:t>E</w:t>
      </w:r>
      <w:r>
        <w:rPr>
          <w:rFonts w:hint="eastAsia"/>
          <w:noProof/>
          <w:lang w:eastAsia="ko-KR"/>
        </w:rPr>
        <w:t>.</w:t>
      </w:r>
      <w:r w:rsidRPr="0089670E">
        <w:rPr>
          <w:noProof/>
        </w:rPr>
        <w:t>, et al.</w:t>
      </w:r>
      <w:r>
        <w:rPr>
          <w:rFonts w:hint="eastAsia"/>
          <w:noProof/>
          <w:lang w:eastAsia="ko-KR"/>
        </w:rPr>
        <w:t>,</w:t>
      </w:r>
      <w:r w:rsidRPr="0089670E">
        <w:rPr>
          <w:noProof/>
        </w:rPr>
        <w:t xml:space="preserve"> 1976</w:t>
      </w:r>
      <w:r>
        <w:rPr>
          <w:rFonts w:hint="eastAsia"/>
          <w:noProof/>
          <w:lang w:eastAsia="ko-KR"/>
        </w:rPr>
        <w:t>.</w:t>
      </w:r>
      <w:r w:rsidRPr="0089670E">
        <w:rPr>
          <w:noProof/>
        </w:rPr>
        <w:t xml:space="preserve"> </w:t>
      </w:r>
      <w:r w:rsidRPr="00ED6790">
        <w:rPr>
          <w:noProof/>
        </w:rPr>
        <w:t xml:space="preserve">Evaluation of two cases of </w:t>
      </w:r>
      <w:r w:rsidRPr="005666C8">
        <w:rPr>
          <w:noProof/>
          <w:vertAlign w:val="superscript"/>
        </w:rPr>
        <w:t>244</w:t>
      </w:r>
      <w:r w:rsidRPr="00ED6790">
        <w:rPr>
          <w:noProof/>
        </w:rPr>
        <w:t>Cm inhalation</w:t>
      </w:r>
      <w:r w:rsidRPr="0089670E">
        <w:rPr>
          <w:noProof/>
        </w:rPr>
        <w:t>. Available at: https://inis.iaea.org/search/search.aspx?orig_q=RN:20011643 (accessed 2 October 2023).</w:t>
      </w:r>
    </w:p>
    <w:p w14:paraId="5F06C91F" w14:textId="77777777" w:rsidR="00232741" w:rsidRPr="0089670E" w:rsidRDefault="00232741" w:rsidP="00232741">
      <w:pPr>
        <w:pStyle w:val="aff1"/>
        <w:ind w:left="426" w:hanging="426"/>
        <w:rPr>
          <w:noProof/>
        </w:rPr>
      </w:pPr>
      <w:r w:rsidRPr="0089670E">
        <w:rPr>
          <w:noProof/>
        </w:rPr>
        <w:t>Pennick</w:t>
      </w:r>
      <w:r>
        <w:rPr>
          <w:rFonts w:hint="eastAsia"/>
          <w:noProof/>
          <w:lang w:eastAsia="ko-KR"/>
        </w:rPr>
        <w:t>,</w:t>
      </w:r>
      <w:r w:rsidRPr="0089670E">
        <w:rPr>
          <w:noProof/>
        </w:rPr>
        <w:t xml:space="preserve"> M</w:t>
      </w:r>
      <w:r>
        <w:rPr>
          <w:rFonts w:hint="eastAsia"/>
          <w:noProof/>
          <w:lang w:eastAsia="ko-KR"/>
        </w:rPr>
        <w:t>.</w:t>
      </w:r>
      <w:r w:rsidRPr="0089670E">
        <w:rPr>
          <w:noProof/>
        </w:rPr>
        <w:t>, Dennis</w:t>
      </w:r>
      <w:r>
        <w:rPr>
          <w:rFonts w:hint="eastAsia"/>
          <w:noProof/>
          <w:lang w:eastAsia="ko-KR"/>
        </w:rPr>
        <w:t>,</w:t>
      </w:r>
      <w:r w:rsidRPr="0089670E">
        <w:rPr>
          <w:noProof/>
        </w:rPr>
        <w:t xml:space="preserve"> K</w:t>
      </w:r>
      <w:r>
        <w:rPr>
          <w:rFonts w:hint="eastAsia"/>
          <w:noProof/>
          <w:lang w:eastAsia="ko-KR"/>
        </w:rPr>
        <w:t>.,</w:t>
      </w:r>
      <w:r w:rsidRPr="0089670E">
        <w:rPr>
          <w:noProof/>
        </w:rPr>
        <w:t xml:space="preserve"> Damment</w:t>
      </w:r>
      <w:r>
        <w:rPr>
          <w:rFonts w:hint="eastAsia"/>
          <w:noProof/>
          <w:lang w:eastAsia="ko-KR"/>
        </w:rPr>
        <w:t>,</w:t>
      </w:r>
      <w:r w:rsidRPr="0089670E">
        <w:rPr>
          <w:noProof/>
        </w:rPr>
        <w:t xml:space="preserve"> S</w:t>
      </w:r>
      <w:r>
        <w:rPr>
          <w:rFonts w:hint="eastAsia"/>
          <w:noProof/>
          <w:lang w:eastAsia="ko-KR"/>
        </w:rPr>
        <w:t>.</w:t>
      </w:r>
      <w:r w:rsidRPr="0089670E">
        <w:rPr>
          <w:noProof/>
        </w:rPr>
        <w:t>J</w:t>
      </w:r>
      <w:r>
        <w:rPr>
          <w:rFonts w:hint="eastAsia"/>
          <w:noProof/>
          <w:lang w:eastAsia="ko-KR"/>
        </w:rPr>
        <w:t>.</w:t>
      </w:r>
      <w:r w:rsidRPr="0089670E">
        <w:rPr>
          <w:noProof/>
        </w:rPr>
        <w:t>P</w:t>
      </w:r>
      <w:r>
        <w:rPr>
          <w:rFonts w:hint="eastAsia"/>
          <w:noProof/>
          <w:lang w:eastAsia="ko-KR"/>
        </w:rPr>
        <w:t>.,</w:t>
      </w:r>
      <w:r w:rsidRPr="0089670E">
        <w:rPr>
          <w:noProof/>
        </w:rPr>
        <w:t xml:space="preserve"> 2006</w:t>
      </w:r>
      <w:r>
        <w:rPr>
          <w:rFonts w:hint="eastAsia"/>
          <w:noProof/>
          <w:lang w:eastAsia="ko-KR"/>
        </w:rPr>
        <w:t>.</w:t>
      </w:r>
      <w:r w:rsidRPr="0089670E">
        <w:rPr>
          <w:noProof/>
        </w:rPr>
        <w:t xml:space="preserve"> Absolute bioavailability and disposition of lanthanum in healthy human subjects administered lanthanum carbonate. </w:t>
      </w:r>
      <w:r w:rsidRPr="005666C8">
        <w:rPr>
          <w:noProof/>
        </w:rPr>
        <w:t>J. Clin. Pharmacol.</w:t>
      </w:r>
      <w:r w:rsidRPr="0089670E">
        <w:rPr>
          <w:noProof/>
        </w:rPr>
        <w:t xml:space="preserve"> 46(7)</w:t>
      </w:r>
      <w:r>
        <w:rPr>
          <w:rFonts w:hint="eastAsia"/>
          <w:noProof/>
          <w:lang w:eastAsia="ko-KR"/>
        </w:rPr>
        <w:t>.</w:t>
      </w:r>
      <w:r w:rsidRPr="0089670E">
        <w:rPr>
          <w:noProof/>
        </w:rPr>
        <w:t xml:space="preserve"> 738–746.</w:t>
      </w:r>
    </w:p>
    <w:p w14:paraId="225EA1B3" w14:textId="77777777" w:rsidR="00232741" w:rsidRPr="0089670E" w:rsidRDefault="00232741" w:rsidP="00232741">
      <w:pPr>
        <w:pStyle w:val="aff1"/>
        <w:ind w:left="426" w:hanging="426"/>
        <w:rPr>
          <w:noProof/>
        </w:rPr>
      </w:pPr>
      <w:r w:rsidRPr="0089670E">
        <w:rPr>
          <w:noProof/>
        </w:rPr>
        <w:t>Poda</w:t>
      </w:r>
      <w:r>
        <w:rPr>
          <w:rFonts w:hint="eastAsia"/>
          <w:noProof/>
          <w:lang w:eastAsia="ko-KR"/>
        </w:rPr>
        <w:t>,</w:t>
      </w:r>
      <w:r w:rsidRPr="0089670E">
        <w:rPr>
          <w:noProof/>
        </w:rPr>
        <w:t xml:space="preserve"> G</w:t>
      </w:r>
      <w:r>
        <w:rPr>
          <w:rFonts w:hint="eastAsia"/>
          <w:noProof/>
          <w:lang w:eastAsia="ko-KR"/>
        </w:rPr>
        <w:t>.</w:t>
      </w:r>
      <w:r w:rsidRPr="0089670E">
        <w:rPr>
          <w:noProof/>
        </w:rPr>
        <w:t>A</w:t>
      </w:r>
      <w:r>
        <w:rPr>
          <w:rFonts w:hint="eastAsia"/>
          <w:noProof/>
          <w:lang w:eastAsia="ko-KR"/>
        </w:rPr>
        <w:t>.,</w:t>
      </w:r>
      <w:r w:rsidRPr="0089670E">
        <w:rPr>
          <w:noProof/>
        </w:rPr>
        <w:t xml:space="preserve"> Hall</w:t>
      </w:r>
      <w:r>
        <w:rPr>
          <w:rFonts w:hint="eastAsia"/>
          <w:noProof/>
          <w:lang w:eastAsia="ko-KR"/>
        </w:rPr>
        <w:t>,</w:t>
      </w:r>
      <w:r w:rsidRPr="0089670E">
        <w:rPr>
          <w:noProof/>
        </w:rPr>
        <w:t xml:space="preserve"> R</w:t>
      </w:r>
      <w:r>
        <w:rPr>
          <w:rFonts w:hint="eastAsia"/>
          <w:noProof/>
          <w:lang w:eastAsia="ko-KR"/>
        </w:rPr>
        <w:t>.</w:t>
      </w:r>
      <w:r w:rsidRPr="0089670E">
        <w:rPr>
          <w:noProof/>
        </w:rPr>
        <w:t>M</w:t>
      </w:r>
      <w:r>
        <w:rPr>
          <w:rFonts w:hint="eastAsia"/>
          <w:noProof/>
          <w:lang w:eastAsia="ko-KR"/>
        </w:rPr>
        <w:t>.,</w:t>
      </w:r>
      <w:r w:rsidRPr="0089670E">
        <w:rPr>
          <w:noProof/>
        </w:rPr>
        <w:t xml:space="preserve"> 1975</w:t>
      </w:r>
      <w:r>
        <w:rPr>
          <w:rFonts w:hint="eastAsia"/>
          <w:noProof/>
          <w:lang w:eastAsia="ko-KR"/>
        </w:rPr>
        <w:t>.</w:t>
      </w:r>
      <w:r w:rsidRPr="0089670E">
        <w:rPr>
          <w:noProof/>
        </w:rPr>
        <w:t xml:space="preserve"> Two californium-252 inhalation cases. </w:t>
      </w:r>
      <w:r w:rsidRPr="001D350F">
        <w:rPr>
          <w:noProof/>
        </w:rPr>
        <w:t>Health Phys.</w:t>
      </w:r>
      <w:r w:rsidRPr="0089670E">
        <w:rPr>
          <w:noProof/>
        </w:rPr>
        <w:t xml:space="preserve"> 29(3)</w:t>
      </w:r>
      <w:r>
        <w:rPr>
          <w:rFonts w:hint="eastAsia"/>
          <w:noProof/>
          <w:lang w:eastAsia="ko-KR"/>
        </w:rPr>
        <w:t xml:space="preserve">. </w:t>
      </w:r>
      <w:r w:rsidRPr="0089670E">
        <w:rPr>
          <w:noProof/>
        </w:rPr>
        <w:t>407–409.</w:t>
      </w:r>
    </w:p>
    <w:p w14:paraId="236E1809" w14:textId="77777777" w:rsidR="00232741" w:rsidRPr="0089670E" w:rsidRDefault="00232741" w:rsidP="00232741">
      <w:pPr>
        <w:pStyle w:val="aff1"/>
        <w:ind w:left="426" w:hanging="426"/>
        <w:rPr>
          <w:noProof/>
        </w:rPr>
      </w:pPr>
      <w:r w:rsidRPr="0089670E">
        <w:rPr>
          <w:noProof/>
        </w:rPr>
        <w:t>Popplewell</w:t>
      </w:r>
      <w:r>
        <w:rPr>
          <w:rFonts w:hint="eastAsia"/>
          <w:noProof/>
          <w:lang w:eastAsia="ko-KR"/>
        </w:rPr>
        <w:t>,</w:t>
      </w:r>
      <w:r w:rsidRPr="0089670E">
        <w:rPr>
          <w:noProof/>
        </w:rPr>
        <w:t xml:space="preserve"> D</w:t>
      </w:r>
      <w:r>
        <w:rPr>
          <w:rFonts w:hint="eastAsia"/>
          <w:noProof/>
          <w:lang w:eastAsia="ko-KR"/>
        </w:rPr>
        <w:t>.</w:t>
      </w:r>
      <w:r w:rsidRPr="0089670E">
        <w:rPr>
          <w:noProof/>
        </w:rPr>
        <w:t>S</w:t>
      </w:r>
      <w:r>
        <w:rPr>
          <w:rFonts w:hint="eastAsia"/>
          <w:noProof/>
          <w:lang w:eastAsia="ko-KR"/>
        </w:rPr>
        <w:t>.,</w:t>
      </w:r>
      <w:r w:rsidRPr="0089670E">
        <w:rPr>
          <w:noProof/>
        </w:rPr>
        <w:t xml:space="preserve"> Ham</w:t>
      </w:r>
      <w:r>
        <w:rPr>
          <w:rFonts w:hint="eastAsia"/>
          <w:noProof/>
          <w:lang w:eastAsia="ko-KR"/>
        </w:rPr>
        <w:t>,</w:t>
      </w:r>
      <w:r w:rsidRPr="0089670E">
        <w:rPr>
          <w:noProof/>
        </w:rPr>
        <w:t xml:space="preserve"> G</w:t>
      </w:r>
      <w:r>
        <w:rPr>
          <w:rFonts w:hint="eastAsia"/>
          <w:noProof/>
          <w:lang w:eastAsia="ko-KR"/>
        </w:rPr>
        <w:t>.</w:t>
      </w:r>
      <w:r w:rsidRPr="0089670E">
        <w:rPr>
          <w:noProof/>
        </w:rPr>
        <w:t>J</w:t>
      </w:r>
      <w:r>
        <w:rPr>
          <w:rFonts w:hint="eastAsia"/>
          <w:noProof/>
          <w:lang w:eastAsia="ko-KR"/>
        </w:rPr>
        <w:t>.,</w:t>
      </w:r>
      <w:r w:rsidRPr="0089670E">
        <w:rPr>
          <w:noProof/>
        </w:rPr>
        <w:t xml:space="preserve"> 1989</w:t>
      </w:r>
      <w:r>
        <w:rPr>
          <w:rFonts w:hint="eastAsia"/>
          <w:noProof/>
          <w:lang w:eastAsia="ko-KR"/>
        </w:rPr>
        <w:t>.</w:t>
      </w:r>
      <w:r w:rsidRPr="0089670E">
        <w:rPr>
          <w:noProof/>
        </w:rPr>
        <w:t xml:space="preserve"> Distribution of plutonium and americium in tissues from a human autopsy case. </w:t>
      </w:r>
      <w:r w:rsidRPr="001D350F">
        <w:rPr>
          <w:noProof/>
        </w:rPr>
        <w:t>J. Radiol. Prot.</w:t>
      </w:r>
      <w:r w:rsidRPr="0089670E">
        <w:rPr>
          <w:noProof/>
        </w:rPr>
        <w:t xml:space="preserve"> 9(3). 159–164.</w:t>
      </w:r>
    </w:p>
    <w:p w14:paraId="519CDA19" w14:textId="77777777" w:rsidR="00232741" w:rsidRPr="0089670E" w:rsidRDefault="00232741" w:rsidP="00232741">
      <w:pPr>
        <w:pStyle w:val="aff1"/>
        <w:ind w:left="426" w:hanging="426"/>
        <w:rPr>
          <w:noProof/>
        </w:rPr>
      </w:pPr>
      <w:r w:rsidRPr="0089670E">
        <w:rPr>
          <w:noProof/>
        </w:rPr>
        <w:t>Popplewell</w:t>
      </w:r>
      <w:r>
        <w:rPr>
          <w:rFonts w:hint="eastAsia"/>
          <w:noProof/>
          <w:lang w:eastAsia="ko-KR"/>
        </w:rPr>
        <w:t>,</w:t>
      </w:r>
      <w:r w:rsidRPr="0089670E">
        <w:rPr>
          <w:noProof/>
        </w:rPr>
        <w:t xml:space="preserve"> D</w:t>
      </w:r>
      <w:r>
        <w:rPr>
          <w:rFonts w:hint="eastAsia"/>
          <w:noProof/>
          <w:lang w:eastAsia="ko-KR"/>
        </w:rPr>
        <w:t>.</w:t>
      </w:r>
      <w:r w:rsidRPr="0089670E">
        <w:rPr>
          <w:noProof/>
        </w:rPr>
        <w:t>S</w:t>
      </w:r>
      <w:r>
        <w:rPr>
          <w:rFonts w:hint="eastAsia"/>
          <w:noProof/>
          <w:lang w:eastAsia="ko-KR"/>
        </w:rPr>
        <w:t>.</w:t>
      </w:r>
      <w:r w:rsidRPr="0089670E">
        <w:rPr>
          <w:noProof/>
        </w:rPr>
        <w:t>, Harrison</w:t>
      </w:r>
      <w:r>
        <w:rPr>
          <w:rFonts w:hint="eastAsia"/>
          <w:noProof/>
          <w:lang w:eastAsia="ko-KR"/>
        </w:rPr>
        <w:t>,</w:t>
      </w:r>
      <w:r w:rsidRPr="0089670E">
        <w:rPr>
          <w:noProof/>
        </w:rPr>
        <w:t xml:space="preserve"> J</w:t>
      </w:r>
      <w:r>
        <w:rPr>
          <w:rFonts w:hint="eastAsia"/>
          <w:noProof/>
          <w:lang w:eastAsia="ko-KR"/>
        </w:rPr>
        <w:t>.</w:t>
      </w:r>
      <w:r w:rsidRPr="0089670E">
        <w:rPr>
          <w:noProof/>
        </w:rPr>
        <w:t>D</w:t>
      </w:r>
      <w:r>
        <w:rPr>
          <w:rFonts w:hint="eastAsia"/>
          <w:noProof/>
          <w:lang w:eastAsia="ko-KR"/>
        </w:rPr>
        <w:t>.,</w:t>
      </w:r>
      <w:r w:rsidRPr="0089670E">
        <w:rPr>
          <w:noProof/>
        </w:rPr>
        <w:t xml:space="preserve"> Ham</w:t>
      </w:r>
      <w:r>
        <w:rPr>
          <w:rFonts w:hint="eastAsia"/>
          <w:noProof/>
          <w:lang w:eastAsia="ko-KR"/>
        </w:rPr>
        <w:t>,</w:t>
      </w:r>
      <w:r w:rsidRPr="0089670E">
        <w:rPr>
          <w:noProof/>
        </w:rPr>
        <w:t xml:space="preserve"> G</w:t>
      </w:r>
      <w:r>
        <w:rPr>
          <w:rFonts w:hint="eastAsia"/>
          <w:noProof/>
          <w:lang w:eastAsia="ko-KR"/>
        </w:rPr>
        <w:t>.</w:t>
      </w:r>
      <w:r w:rsidRPr="0089670E">
        <w:rPr>
          <w:noProof/>
        </w:rPr>
        <w:t>J</w:t>
      </w:r>
      <w:r>
        <w:rPr>
          <w:rFonts w:hint="eastAsia"/>
          <w:noProof/>
          <w:lang w:eastAsia="ko-KR"/>
        </w:rPr>
        <w:t>.,</w:t>
      </w:r>
      <w:r w:rsidRPr="0089670E">
        <w:rPr>
          <w:noProof/>
        </w:rPr>
        <w:t xml:space="preserve"> 1991</w:t>
      </w:r>
      <w:r>
        <w:rPr>
          <w:rFonts w:hint="eastAsia"/>
          <w:noProof/>
          <w:lang w:eastAsia="ko-KR"/>
        </w:rPr>
        <w:t>.</w:t>
      </w:r>
      <w:r w:rsidRPr="0089670E">
        <w:rPr>
          <w:noProof/>
        </w:rPr>
        <w:t xml:space="preserve"> Gastrointestinal absorption of neptunium and curium in humans. </w:t>
      </w:r>
      <w:r w:rsidRPr="001D350F">
        <w:rPr>
          <w:noProof/>
        </w:rPr>
        <w:t>Health Phys.</w:t>
      </w:r>
      <w:r w:rsidRPr="0089670E">
        <w:rPr>
          <w:noProof/>
        </w:rPr>
        <w:t xml:space="preserve"> 60(6)</w:t>
      </w:r>
      <w:r>
        <w:rPr>
          <w:rFonts w:hint="eastAsia"/>
          <w:noProof/>
          <w:lang w:eastAsia="ko-KR"/>
        </w:rPr>
        <w:t>.</w:t>
      </w:r>
      <w:r w:rsidRPr="0089670E">
        <w:rPr>
          <w:noProof/>
        </w:rPr>
        <w:t xml:space="preserve"> 797–805.</w:t>
      </w:r>
    </w:p>
    <w:p w14:paraId="0967E034" w14:textId="77777777" w:rsidR="00232741" w:rsidRPr="0089670E" w:rsidRDefault="00232741" w:rsidP="00232741">
      <w:pPr>
        <w:pStyle w:val="aff1"/>
        <w:ind w:left="426" w:hanging="426"/>
        <w:rPr>
          <w:noProof/>
        </w:rPr>
      </w:pPr>
      <w:r w:rsidRPr="0089670E">
        <w:rPr>
          <w:noProof/>
        </w:rPr>
        <w:t>Popplewell</w:t>
      </w:r>
      <w:r>
        <w:rPr>
          <w:rFonts w:hint="eastAsia"/>
          <w:noProof/>
          <w:lang w:eastAsia="ko-KR"/>
        </w:rPr>
        <w:t>,</w:t>
      </w:r>
      <w:r w:rsidRPr="0089670E">
        <w:rPr>
          <w:noProof/>
        </w:rPr>
        <w:t xml:space="preserve"> D</w:t>
      </w:r>
      <w:r>
        <w:rPr>
          <w:rFonts w:hint="eastAsia"/>
          <w:noProof/>
          <w:lang w:eastAsia="ko-KR"/>
        </w:rPr>
        <w:t>.</w:t>
      </w:r>
      <w:r w:rsidRPr="0089670E">
        <w:rPr>
          <w:noProof/>
        </w:rPr>
        <w:t>S</w:t>
      </w:r>
      <w:r>
        <w:rPr>
          <w:rFonts w:hint="eastAsia"/>
          <w:noProof/>
          <w:lang w:eastAsia="ko-KR"/>
        </w:rPr>
        <w:t>.</w:t>
      </w:r>
      <w:r w:rsidRPr="0089670E">
        <w:rPr>
          <w:noProof/>
        </w:rPr>
        <w:t>, Ham</w:t>
      </w:r>
      <w:r>
        <w:rPr>
          <w:rFonts w:hint="eastAsia"/>
          <w:noProof/>
          <w:lang w:eastAsia="ko-KR"/>
        </w:rPr>
        <w:t>,</w:t>
      </w:r>
      <w:r w:rsidRPr="0089670E">
        <w:rPr>
          <w:noProof/>
        </w:rPr>
        <w:t xml:space="preserve"> G</w:t>
      </w:r>
      <w:r>
        <w:rPr>
          <w:rFonts w:hint="eastAsia"/>
          <w:noProof/>
          <w:lang w:eastAsia="ko-KR"/>
        </w:rPr>
        <w:t>.</w:t>
      </w:r>
      <w:r w:rsidRPr="0089670E">
        <w:rPr>
          <w:noProof/>
        </w:rPr>
        <w:t>J</w:t>
      </w:r>
      <w:r>
        <w:rPr>
          <w:rFonts w:hint="eastAsia"/>
          <w:noProof/>
          <w:lang w:eastAsia="ko-KR"/>
        </w:rPr>
        <w:t>.</w:t>
      </w:r>
      <w:r w:rsidRPr="0089670E">
        <w:rPr>
          <w:noProof/>
        </w:rPr>
        <w:t>, McCarthy</w:t>
      </w:r>
      <w:r>
        <w:rPr>
          <w:rFonts w:hint="eastAsia"/>
          <w:noProof/>
          <w:lang w:eastAsia="ko-KR"/>
        </w:rPr>
        <w:t>,</w:t>
      </w:r>
      <w:r w:rsidRPr="0089670E">
        <w:rPr>
          <w:noProof/>
        </w:rPr>
        <w:t xml:space="preserve"> W</w:t>
      </w:r>
      <w:r>
        <w:rPr>
          <w:rFonts w:hint="eastAsia"/>
          <w:noProof/>
          <w:lang w:eastAsia="ko-KR"/>
        </w:rPr>
        <w:t>.</w:t>
      </w:r>
      <w:r w:rsidRPr="0089670E">
        <w:rPr>
          <w:noProof/>
        </w:rPr>
        <w:t>, et al.</w:t>
      </w:r>
      <w:r>
        <w:rPr>
          <w:rFonts w:hint="eastAsia"/>
          <w:noProof/>
          <w:lang w:eastAsia="ko-KR"/>
        </w:rPr>
        <w:t>,</w:t>
      </w:r>
      <w:r w:rsidRPr="0089670E">
        <w:rPr>
          <w:noProof/>
        </w:rPr>
        <w:t xml:space="preserve"> 1994</w:t>
      </w:r>
      <w:r>
        <w:rPr>
          <w:rFonts w:hint="eastAsia"/>
          <w:noProof/>
          <w:lang w:eastAsia="ko-KR"/>
        </w:rPr>
        <w:t>.</w:t>
      </w:r>
      <w:r w:rsidRPr="0089670E">
        <w:rPr>
          <w:noProof/>
        </w:rPr>
        <w:t xml:space="preserve"> Transfer of plutonium across the human gut and its urinary excretion. </w:t>
      </w:r>
      <w:r w:rsidRPr="001D350F">
        <w:rPr>
          <w:noProof/>
        </w:rPr>
        <w:t>Radiat. Prot. Dosimetry</w:t>
      </w:r>
      <w:r w:rsidRPr="0089670E">
        <w:rPr>
          <w:noProof/>
        </w:rPr>
        <w:t xml:space="preserve"> 53(1–4). 241–244.</w:t>
      </w:r>
    </w:p>
    <w:p w14:paraId="7110ECAD" w14:textId="77777777" w:rsidR="00232741" w:rsidRPr="0089670E" w:rsidRDefault="00232741" w:rsidP="00232741">
      <w:pPr>
        <w:pStyle w:val="aff1"/>
        <w:ind w:left="426" w:hanging="426"/>
        <w:rPr>
          <w:noProof/>
        </w:rPr>
      </w:pPr>
      <w:r w:rsidRPr="0089670E">
        <w:rPr>
          <w:noProof/>
        </w:rPr>
        <w:t>Priest</w:t>
      </w:r>
      <w:r>
        <w:rPr>
          <w:rFonts w:hint="eastAsia"/>
          <w:noProof/>
          <w:lang w:eastAsia="ko-KR"/>
        </w:rPr>
        <w:t>,</w:t>
      </w:r>
      <w:r w:rsidRPr="0089670E">
        <w:rPr>
          <w:noProof/>
        </w:rPr>
        <w:t xml:space="preserve"> N</w:t>
      </w:r>
      <w:r>
        <w:rPr>
          <w:rFonts w:hint="eastAsia"/>
          <w:noProof/>
          <w:lang w:eastAsia="ko-KR"/>
        </w:rPr>
        <w:t>.</w:t>
      </w:r>
      <w:r w:rsidRPr="0089670E">
        <w:rPr>
          <w:noProof/>
        </w:rPr>
        <w:t>D</w:t>
      </w:r>
      <w:r>
        <w:rPr>
          <w:rFonts w:hint="eastAsia"/>
          <w:noProof/>
          <w:lang w:eastAsia="ko-KR"/>
        </w:rPr>
        <w:t>.,</w:t>
      </w:r>
      <w:r w:rsidRPr="0089670E">
        <w:rPr>
          <w:noProof/>
        </w:rPr>
        <w:t xml:space="preserve"> 2007</w:t>
      </w:r>
      <w:r>
        <w:rPr>
          <w:rFonts w:hint="eastAsia"/>
          <w:noProof/>
          <w:lang w:eastAsia="ko-KR"/>
        </w:rPr>
        <w:t>.</w:t>
      </w:r>
      <w:r w:rsidRPr="0089670E">
        <w:rPr>
          <w:noProof/>
        </w:rPr>
        <w:t xml:space="preserve"> Comparative biokinetics of trivalent radionuclides with similar ionic dimensions: promethium-147, curium-242 and americium-241. </w:t>
      </w:r>
      <w:r w:rsidRPr="005666C8">
        <w:rPr>
          <w:noProof/>
        </w:rPr>
        <w:t>Radiat. Res.</w:t>
      </w:r>
      <w:r w:rsidRPr="0089670E">
        <w:rPr>
          <w:noProof/>
        </w:rPr>
        <w:t xml:space="preserve"> 168(3)</w:t>
      </w:r>
      <w:r>
        <w:rPr>
          <w:rFonts w:hint="eastAsia"/>
          <w:noProof/>
          <w:lang w:eastAsia="ko-KR"/>
        </w:rPr>
        <w:t>.</w:t>
      </w:r>
      <w:r w:rsidRPr="0089670E">
        <w:rPr>
          <w:noProof/>
        </w:rPr>
        <w:t xml:space="preserve"> 327–331.</w:t>
      </w:r>
    </w:p>
    <w:p w14:paraId="3154951F" w14:textId="77777777" w:rsidR="00232741" w:rsidRPr="0089670E" w:rsidRDefault="00232741" w:rsidP="00232741">
      <w:pPr>
        <w:pStyle w:val="aff1"/>
        <w:ind w:left="426" w:hanging="426"/>
        <w:rPr>
          <w:noProof/>
        </w:rPr>
      </w:pPr>
      <w:r w:rsidRPr="0089670E">
        <w:rPr>
          <w:noProof/>
        </w:rPr>
        <w:t>Priest</w:t>
      </w:r>
      <w:r>
        <w:rPr>
          <w:rFonts w:hint="eastAsia"/>
          <w:noProof/>
          <w:lang w:eastAsia="ko-KR"/>
        </w:rPr>
        <w:t>,</w:t>
      </w:r>
      <w:r w:rsidRPr="0089670E">
        <w:rPr>
          <w:noProof/>
        </w:rPr>
        <w:t xml:space="preserve"> N</w:t>
      </w:r>
      <w:r>
        <w:rPr>
          <w:rFonts w:hint="eastAsia"/>
          <w:noProof/>
          <w:lang w:eastAsia="ko-KR"/>
        </w:rPr>
        <w:t>.</w:t>
      </w:r>
      <w:r w:rsidRPr="0089670E">
        <w:rPr>
          <w:noProof/>
        </w:rPr>
        <w:t>D</w:t>
      </w:r>
      <w:r>
        <w:rPr>
          <w:rFonts w:hint="eastAsia"/>
          <w:noProof/>
          <w:lang w:eastAsia="ko-KR"/>
        </w:rPr>
        <w:t>.</w:t>
      </w:r>
      <w:r w:rsidRPr="0089670E">
        <w:rPr>
          <w:noProof/>
        </w:rPr>
        <w:t>, Howells</w:t>
      </w:r>
      <w:r>
        <w:rPr>
          <w:rFonts w:hint="eastAsia"/>
          <w:noProof/>
          <w:lang w:eastAsia="ko-KR"/>
        </w:rPr>
        <w:t>,</w:t>
      </w:r>
      <w:r w:rsidRPr="0089670E">
        <w:rPr>
          <w:noProof/>
        </w:rPr>
        <w:t xml:space="preserve"> G</w:t>
      </w:r>
      <w:r>
        <w:rPr>
          <w:rFonts w:hint="eastAsia"/>
          <w:noProof/>
          <w:lang w:eastAsia="ko-KR"/>
        </w:rPr>
        <w:t>.</w:t>
      </w:r>
      <w:r w:rsidRPr="0089670E">
        <w:rPr>
          <w:noProof/>
        </w:rPr>
        <w:t>R</w:t>
      </w:r>
      <w:r>
        <w:rPr>
          <w:rFonts w:hint="eastAsia"/>
          <w:noProof/>
          <w:lang w:eastAsia="ko-KR"/>
        </w:rPr>
        <w:t>.</w:t>
      </w:r>
      <w:r w:rsidRPr="0089670E">
        <w:rPr>
          <w:noProof/>
        </w:rPr>
        <w:t>, Green</w:t>
      </w:r>
      <w:r>
        <w:rPr>
          <w:rFonts w:hint="eastAsia"/>
          <w:noProof/>
          <w:lang w:eastAsia="ko-KR"/>
        </w:rPr>
        <w:t>,</w:t>
      </w:r>
      <w:r w:rsidRPr="0089670E">
        <w:rPr>
          <w:noProof/>
        </w:rPr>
        <w:t xml:space="preserve"> D</w:t>
      </w:r>
      <w:r>
        <w:rPr>
          <w:rFonts w:hint="eastAsia"/>
          <w:noProof/>
          <w:lang w:eastAsia="ko-KR"/>
        </w:rPr>
        <w:t>.</w:t>
      </w:r>
      <w:r w:rsidRPr="0089670E">
        <w:rPr>
          <w:noProof/>
        </w:rPr>
        <w:t>, et al.</w:t>
      </w:r>
      <w:r>
        <w:rPr>
          <w:rFonts w:hint="eastAsia"/>
          <w:noProof/>
          <w:lang w:eastAsia="ko-KR"/>
        </w:rPr>
        <w:t>,</w:t>
      </w:r>
      <w:r w:rsidRPr="0089670E">
        <w:rPr>
          <w:noProof/>
        </w:rPr>
        <w:t xml:space="preserve"> 1982</w:t>
      </w:r>
      <w:r>
        <w:rPr>
          <w:rFonts w:hint="eastAsia"/>
          <w:noProof/>
          <w:lang w:eastAsia="ko-KR"/>
        </w:rPr>
        <w:t>.</w:t>
      </w:r>
      <w:r w:rsidRPr="0089670E">
        <w:rPr>
          <w:noProof/>
        </w:rPr>
        <w:t xml:space="preserve"> Uranium in Bone: Metabolic and Autoradiographic Studies in the Rat. </w:t>
      </w:r>
      <w:r w:rsidRPr="005E0D97">
        <w:rPr>
          <w:noProof/>
        </w:rPr>
        <w:t>Hum. Exp. Toxicol.</w:t>
      </w:r>
      <w:r w:rsidRPr="0089670E">
        <w:rPr>
          <w:noProof/>
        </w:rPr>
        <w:t xml:space="preserve"> 1(2)</w:t>
      </w:r>
      <w:r>
        <w:rPr>
          <w:rFonts w:hint="eastAsia"/>
          <w:noProof/>
          <w:lang w:eastAsia="ko-KR"/>
        </w:rPr>
        <w:t>.</w:t>
      </w:r>
      <w:r w:rsidRPr="0089670E">
        <w:rPr>
          <w:noProof/>
        </w:rPr>
        <w:t xml:space="preserve"> 97–114.</w:t>
      </w:r>
    </w:p>
    <w:p w14:paraId="14E98BE0" w14:textId="77777777" w:rsidR="00232741" w:rsidRPr="0089670E" w:rsidRDefault="00232741" w:rsidP="00232741">
      <w:pPr>
        <w:pStyle w:val="aff1"/>
        <w:ind w:left="426" w:hanging="426"/>
        <w:rPr>
          <w:noProof/>
        </w:rPr>
      </w:pPr>
      <w:r w:rsidRPr="0089670E">
        <w:rPr>
          <w:noProof/>
        </w:rPr>
        <w:t>Priest</w:t>
      </w:r>
      <w:r>
        <w:rPr>
          <w:rFonts w:hint="eastAsia"/>
          <w:noProof/>
          <w:lang w:eastAsia="ko-KR"/>
        </w:rPr>
        <w:t>,</w:t>
      </w:r>
      <w:r w:rsidRPr="0089670E">
        <w:rPr>
          <w:noProof/>
        </w:rPr>
        <w:t xml:space="preserve"> N</w:t>
      </w:r>
      <w:r>
        <w:rPr>
          <w:rFonts w:hint="eastAsia"/>
          <w:noProof/>
          <w:lang w:eastAsia="ko-KR"/>
        </w:rPr>
        <w:t>.</w:t>
      </w:r>
      <w:r w:rsidRPr="0089670E">
        <w:rPr>
          <w:noProof/>
        </w:rPr>
        <w:t>D</w:t>
      </w:r>
      <w:r>
        <w:rPr>
          <w:rFonts w:hint="eastAsia"/>
          <w:noProof/>
          <w:lang w:eastAsia="ko-KR"/>
        </w:rPr>
        <w:t>.</w:t>
      </w:r>
      <w:r w:rsidRPr="0089670E">
        <w:rPr>
          <w:noProof/>
        </w:rPr>
        <w:t>, Howells</w:t>
      </w:r>
      <w:r>
        <w:rPr>
          <w:rFonts w:hint="eastAsia"/>
          <w:noProof/>
          <w:lang w:eastAsia="ko-KR"/>
        </w:rPr>
        <w:t>,</w:t>
      </w:r>
      <w:r w:rsidRPr="0089670E">
        <w:rPr>
          <w:noProof/>
        </w:rPr>
        <w:t xml:space="preserve"> G</w:t>
      </w:r>
      <w:r>
        <w:rPr>
          <w:rFonts w:hint="eastAsia"/>
          <w:noProof/>
          <w:lang w:eastAsia="ko-KR"/>
        </w:rPr>
        <w:t>.</w:t>
      </w:r>
      <w:r w:rsidRPr="0089670E">
        <w:rPr>
          <w:noProof/>
        </w:rPr>
        <w:t>, Green</w:t>
      </w:r>
      <w:r>
        <w:rPr>
          <w:rFonts w:hint="eastAsia"/>
          <w:noProof/>
          <w:lang w:eastAsia="ko-KR"/>
        </w:rPr>
        <w:t>,</w:t>
      </w:r>
      <w:r w:rsidRPr="0089670E">
        <w:rPr>
          <w:noProof/>
        </w:rPr>
        <w:t xml:space="preserve"> D</w:t>
      </w:r>
      <w:r>
        <w:rPr>
          <w:rFonts w:hint="eastAsia"/>
          <w:noProof/>
          <w:lang w:eastAsia="ko-KR"/>
        </w:rPr>
        <w:t>.</w:t>
      </w:r>
      <w:r w:rsidRPr="0089670E">
        <w:rPr>
          <w:noProof/>
        </w:rPr>
        <w:t>, et al.</w:t>
      </w:r>
      <w:r>
        <w:rPr>
          <w:rFonts w:hint="eastAsia"/>
          <w:noProof/>
          <w:lang w:eastAsia="ko-KR"/>
        </w:rPr>
        <w:t>,</w:t>
      </w:r>
      <w:r w:rsidRPr="0089670E">
        <w:rPr>
          <w:noProof/>
        </w:rPr>
        <w:t xml:space="preserve"> 1983</w:t>
      </w:r>
      <w:r>
        <w:rPr>
          <w:rFonts w:hint="eastAsia"/>
          <w:noProof/>
          <w:lang w:eastAsia="ko-KR"/>
        </w:rPr>
        <w:t>.</w:t>
      </w:r>
      <w:r w:rsidRPr="0089670E">
        <w:rPr>
          <w:noProof/>
        </w:rPr>
        <w:t xml:space="preserve"> Pattern of Uptake of Americium-241 by the Rat Skeleton and its Subsequent Redistribution and Retention: Implications for Human Dosimetry and Toxicology. </w:t>
      </w:r>
      <w:r w:rsidRPr="005E0D97">
        <w:rPr>
          <w:noProof/>
        </w:rPr>
        <w:t>Hum. Toxicol.</w:t>
      </w:r>
      <w:r w:rsidRPr="0089670E">
        <w:rPr>
          <w:noProof/>
        </w:rPr>
        <w:t xml:space="preserve"> 2(1)</w:t>
      </w:r>
      <w:r>
        <w:rPr>
          <w:rFonts w:hint="eastAsia"/>
          <w:noProof/>
          <w:lang w:eastAsia="ko-KR"/>
        </w:rPr>
        <w:t>.</w:t>
      </w:r>
      <w:r w:rsidRPr="0089670E">
        <w:rPr>
          <w:noProof/>
        </w:rPr>
        <w:t xml:space="preserve"> 101–120.</w:t>
      </w:r>
    </w:p>
    <w:p w14:paraId="5EA7BA09" w14:textId="77777777" w:rsidR="00232741" w:rsidRPr="0089670E" w:rsidRDefault="00232741" w:rsidP="00232741">
      <w:pPr>
        <w:pStyle w:val="aff1"/>
        <w:ind w:left="426" w:hanging="426"/>
        <w:rPr>
          <w:noProof/>
        </w:rPr>
      </w:pPr>
      <w:r w:rsidRPr="00C47F2F">
        <w:rPr>
          <w:noProof/>
          <w:lang w:val="en-US"/>
        </w:rPr>
        <w:t>Qu</w:t>
      </w:r>
      <w:r w:rsidRPr="00C47F2F">
        <w:rPr>
          <w:rFonts w:hint="eastAsia"/>
          <w:noProof/>
          <w:lang w:val="en-US" w:eastAsia="ko-KR"/>
        </w:rPr>
        <w:t>,</w:t>
      </w:r>
      <w:r w:rsidRPr="00C47F2F">
        <w:rPr>
          <w:noProof/>
          <w:lang w:val="en-US"/>
        </w:rPr>
        <w:t xml:space="preserve"> C</w:t>
      </w:r>
      <w:r w:rsidRPr="00C47F2F">
        <w:rPr>
          <w:rFonts w:hint="eastAsia"/>
          <w:noProof/>
          <w:lang w:val="en-US" w:eastAsia="ko-KR"/>
        </w:rPr>
        <w:t>.</w:t>
      </w:r>
      <w:r w:rsidRPr="00C47F2F">
        <w:rPr>
          <w:noProof/>
          <w:lang w:val="en-US"/>
        </w:rPr>
        <w:t>, Liu</w:t>
      </w:r>
      <w:r w:rsidRPr="00C47F2F">
        <w:rPr>
          <w:rFonts w:hint="eastAsia"/>
          <w:noProof/>
          <w:lang w:val="en-US" w:eastAsia="ko-KR"/>
        </w:rPr>
        <w:t>,</w:t>
      </w:r>
      <w:r w:rsidRPr="00C47F2F">
        <w:rPr>
          <w:noProof/>
          <w:lang w:val="en-US"/>
        </w:rPr>
        <w:t xml:space="preserve"> G</w:t>
      </w:r>
      <w:r w:rsidRPr="00C47F2F">
        <w:rPr>
          <w:rFonts w:hint="eastAsia"/>
          <w:noProof/>
          <w:lang w:val="en-US" w:eastAsia="ko-KR"/>
        </w:rPr>
        <w:t>.,</w:t>
      </w:r>
      <w:r w:rsidRPr="00C47F2F">
        <w:rPr>
          <w:noProof/>
          <w:lang w:val="en-US"/>
        </w:rPr>
        <w:t xml:space="preserve"> Zhao</w:t>
      </w:r>
      <w:r w:rsidRPr="00C47F2F">
        <w:rPr>
          <w:rFonts w:hint="eastAsia"/>
          <w:noProof/>
          <w:lang w:val="en-US" w:eastAsia="ko-KR"/>
        </w:rPr>
        <w:t>,</w:t>
      </w:r>
      <w:r w:rsidRPr="00C47F2F">
        <w:rPr>
          <w:noProof/>
          <w:lang w:val="en-US"/>
        </w:rPr>
        <w:t xml:space="preserve"> Y</w:t>
      </w:r>
      <w:r w:rsidRPr="00C47F2F">
        <w:rPr>
          <w:rFonts w:hint="eastAsia"/>
          <w:noProof/>
          <w:lang w:val="en-US" w:eastAsia="ko-KR"/>
        </w:rPr>
        <w:t>.,</w:t>
      </w:r>
      <w:r w:rsidRPr="00C47F2F">
        <w:rPr>
          <w:noProof/>
          <w:lang w:val="en-US"/>
        </w:rPr>
        <w:t xml:space="preserve"> 2009</w:t>
      </w:r>
      <w:r w:rsidRPr="00C47F2F">
        <w:rPr>
          <w:rFonts w:hint="eastAsia"/>
          <w:noProof/>
          <w:lang w:val="en-US" w:eastAsia="ko-KR"/>
        </w:rPr>
        <w:t>.</w:t>
      </w:r>
      <w:r w:rsidRPr="00C47F2F">
        <w:rPr>
          <w:noProof/>
          <w:lang w:val="en-US"/>
        </w:rPr>
        <w:t xml:space="preserve"> </w:t>
      </w:r>
      <w:r w:rsidRPr="0089670E">
        <w:rPr>
          <w:noProof/>
        </w:rPr>
        <w:t xml:space="preserve">Experimental study on the fractionation of yttrium from holmium during the coprecipitation with calcium carbonates in seawater solutions. </w:t>
      </w:r>
      <w:r w:rsidRPr="005E0D97">
        <w:rPr>
          <w:noProof/>
        </w:rPr>
        <w:t>Geochem. J.</w:t>
      </w:r>
      <w:r w:rsidRPr="0089670E">
        <w:rPr>
          <w:noProof/>
        </w:rPr>
        <w:t xml:space="preserve"> 43(6)</w:t>
      </w:r>
      <w:r>
        <w:rPr>
          <w:rFonts w:hint="eastAsia"/>
          <w:noProof/>
          <w:lang w:eastAsia="ko-KR"/>
        </w:rPr>
        <w:t>.</w:t>
      </w:r>
      <w:r w:rsidRPr="0089670E">
        <w:rPr>
          <w:noProof/>
        </w:rPr>
        <w:t xml:space="preserve"> 403–414.</w:t>
      </w:r>
    </w:p>
    <w:p w14:paraId="6398C4CF" w14:textId="77777777" w:rsidR="00232741" w:rsidRPr="0089670E" w:rsidRDefault="00232741" w:rsidP="00232741">
      <w:pPr>
        <w:pStyle w:val="aff1"/>
        <w:ind w:left="426" w:hanging="426"/>
        <w:rPr>
          <w:noProof/>
        </w:rPr>
      </w:pPr>
      <w:r w:rsidRPr="0089670E">
        <w:rPr>
          <w:noProof/>
        </w:rPr>
        <w:t>Ralston</w:t>
      </w:r>
      <w:r>
        <w:rPr>
          <w:rFonts w:hint="eastAsia"/>
          <w:noProof/>
          <w:lang w:eastAsia="ko-KR"/>
        </w:rPr>
        <w:t>,</w:t>
      </w:r>
      <w:r w:rsidRPr="0089670E">
        <w:rPr>
          <w:noProof/>
        </w:rPr>
        <w:t xml:space="preserve"> L</w:t>
      </w:r>
      <w:r>
        <w:rPr>
          <w:rFonts w:hint="eastAsia"/>
          <w:noProof/>
          <w:lang w:eastAsia="ko-KR"/>
        </w:rPr>
        <w:t>.</w:t>
      </w:r>
      <w:r w:rsidRPr="0089670E">
        <w:rPr>
          <w:noProof/>
        </w:rPr>
        <w:t>G</w:t>
      </w:r>
      <w:r>
        <w:rPr>
          <w:rFonts w:hint="eastAsia"/>
          <w:noProof/>
          <w:lang w:eastAsia="ko-KR"/>
        </w:rPr>
        <w:t>.</w:t>
      </w:r>
      <w:r w:rsidRPr="0089670E">
        <w:rPr>
          <w:noProof/>
        </w:rPr>
        <w:t>, Cohen</w:t>
      </w:r>
      <w:r>
        <w:rPr>
          <w:rFonts w:hint="eastAsia"/>
          <w:noProof/>
          <w:lang w:eastAsia="ko-KR"/>
        </w:rPr>
        <w:t>,</w:t>
      </w:r>
      <w:r w:rsidRPr="0089670E">
        <w:rPr>
          <w:noProof/>
        </w:rPr>
        <w:t xml:space="preserve"> N</w:t>
      </w:r>
      <w:r>
        <w:rPr>
          <w:rFonts w:hint="eastAsia"/>
          <w:noProof/>
          <w:lang w:eastAsia="ko-KR"/>
        </w:rPr>
        <w:t>.</w:t>
      </w:r>
      <w:r w:rsidRPr="0089670E">
        <w:rPr>
          <w:noProof/>
        </w:rPr>
        <w:t>, Bhattacharyya</w:t>
      </w:r>
      <w:r>
        <w:rPr>
          <w:rFonts w:hint="eastAsia"/>
          <w:noProof/>
          <w:lang w:eastAsia="ko-KR"/>
        </w:rPr>
        <w:t>,</w:t>
      </w:r>
      <w:r w:rsidRPr="0089670E">
        <w:rPr>
          <w:noProof/>
        </w:rPr>
        <w:t xml:space="preserve"> M</w:t>
      </w:r>
      <w:r>
        <w:rPr>
          <w:rFonts w:hint="eastAsia"/>
          <w:noProof/>
          <w:lang w:eastAsia="ko-KR"/>
        </w:rPr>
        <w:t>.</w:t>
      </w:r>
      <w:r w:rsidRPr="0089670E">
        <w:rPr>
          <w:noProof/>
        </w:rPr>
        <w:t>H</w:t>
      </w:r>
      <w:r>
        <w:rPr>
          <w:rFonts w:hint="eastAsia"/>
          <w:noProof/>
          <w:lang w:eastAsia="ko-KR"/>
        </w:rPr>
        <w:t>.</w:t>
      </w:r>
      <w:r w:rsidRPr="0089670E">
        <w:rPr>
          <w:noProof/>
        </w:rPr>
        <w:t>, et al.</w:t>
      </w:r>
      <w:r>
        <w:rPr>
          <w:rFonts w:hint="eastAsia"/>
          <w:noProof/>
          <w:lang w:eastAsia="ko-KR"/>
        </w:rPr>
        <w:t>,</w:t>
      </w:r>
      <w:r w:rsidRPr="0089670E">
        <w:rPr>
          <w:noProof/>
        </w:rPr>
        <w:t xml:space="preserve"> 1986</w:t>
      </w:r>
      <w:r>
        <w:rPr>
          <w:rFonts w:hint="eastAsia"/>
          <w:noProof/>
          <w:lang w:eastAsia="ko-KR"/>
        </w:rPr>
        <w:t>.</w:t>
      </w:r>
      <w:r w:rsidRPr="0089670E">
        <w:rPr>
          <w:noProof/>
        </w:rPr>
        <w:t xml:space="preserve"> Metabolism and gastrointestinal absorption of neptunium and protactinium in adult baboons. In: Bulman RA and Cooper JR (eds) </w:t>
      </w:r>
      <w:r w:rsidRPr="00ED6790">
        <w:rPr>
          <w:noProof/>
        </w:rPr>
        <w:t>Speciation of Fission and Activation Products in the Environment</w:t>
      </w:r>
      <w:r w:rsidRPr="0089670E">
        <w:rPr>
          <w:noProof/>
        </w:rPr>
        <w:t>. Elsevier Applied Science Publishers. London, UK.</w:t>
      </w:r>
    </w:p>
    <w:p w14:paraId="76C3155C" w14:textId="77777777" w:rsidR="00232741" w:rsidRPr="0089670E" w:rsidRDefault="00232741" w:rsidP="00232741">
      <w:pPr>
        <w:pStyle w:val="aff1"/>
        <w:ind w:left="426" w:hanging="426"/>
        <w:rPr>
          <w:noProof/>
        </w:rPr>
      </w:pPr>
      <w:r w:rsidRPr="0089670E">
        <w:rPr>
          <w:noProof/>
        </w:rPr>
        <w:t>Ramounet</w:t>
      </w:r>
      <w:r>
        <w:rPr>
          <w:rFonts w:hint="eastAsia"/>
          <w:noProof/>
          <w:lang w:eastAsia="ko-KR"/>
        </w:rPr>
        <w:t>,</w:t>
      </w:r>
      <w:r w:rsidRPr="0089670E">
        <w:rPr>
          <w:noProof/>
        </w:rPr>
        <w:t xml:space="preserve"> B</w:t>
      </w:r>
      <w:r>
        <w:rPr>
          <w:rFonts w:hint="eastAsia"/>
          <w:noProof/>
          <w:lang w:eastAsia="ko-KR"/>
        </w:rPr>
        <w:t>.</w:t>
      </w:r>
      <w:r w:rsidRPr="0089670E">
        <w:rPr>
          <w:noProof/>
        </w:rPr>
        <w:t>, Matton</w:t>
      </w:r>
      <w:r>
        <w:rPr>
          <w:rFonts w:hint="eastAsia"/>
          <w:noProof/>
          <w:lang w:eastAsia="ko-KR"/>
        </w:rPr>
        <w:t>,</w:t>
      </w:r>
      <w:r w:rsidRPr="0089670E">
        <w:rPr>
          <w:noProof/>
        </w:rPr>
        <w:t xml:space="preserve"> S</w:t>
      </w:r>
      <w:r>
        <w:rPr>
          <w:rFonts w:hint="eastAsia"/>
          <w:noProof/>
          <w:lang w:eastAsia="ko-KR"/>
        </w:rPr>
        <w:t>.</w:t>
      </w:r>
      <w:r w:rsidRPr="0089670E">
        <w:rPr>
          <w:noProof/>
        </w:rPr>
        <w:t>, Grillon</w:t>
      </w:r>
      <w:r>
        <w:rPr>
          <w:rFonts w:hint="eastAsia"/>
          <w:noProof/>
          <w:lang w:eastAsia="ko-KR"/>
        </w:rPr>
        <w:t>,</w:t>
      </w:r>
      <w:r w:rsidRPr="0089670E">
        <w:rPr>
          <w:noProof/>
        </w:rPr>
        <w:t xml:space="preserve"> G</w:t>
      </w:r>
      <w:r>
        <w:rPr>
          <w:rFonts w:hint="eastAsia"/>
          <w:noProof/>
          <w:lang w:eastAsia="ko-KR"/>
        </w:rPr>
        <w:t>.</w:t>
      </w:r>
      <w:r w:rsidRPr="0089670E">
        <w:rPr>
          <w:noProof/>
        </w:rPr>
        <w:t>, et al.</w:t>
      </w:r>
      <w:r>
        <w:rPr>
          <w:rFonts w:hint="eastAsia"/>
          <w:noProof/>
          <w:lang w:eastAsia="ko-KR"/>
        </w:rPr>
        <w:t>,</w:t>
      </w:r>
      <w:r w:rsidRPr="0089670E">
        <w:rPr>
          <w:noProof/>
        </w:rPr>
        <w:t xml:space="preserve"> </w:t>
      </w:r>
      <w:r>
        <w:rPr>
          <w:rFonts w:hint="eastAsia"/>
          <w:noProof/>
          <w:lang w:eastAsia="ko-KR"/>
        </w:rPr>
        <w:t>1</w:t>
      </w:r>
      <w:r w:rsidRPr="0089670E">
        <w:rPr>
          <w:noProof/>
        </w:rPr>
        <w:t>998</w:t>
      </w:r>
      <w:r>
        <w:rPr>
          <w:rFonts w:hint="eastAsia"/>
          <w:noProof/>
          <w:lang w:eastAsia="ko-KR"/>
        </w:rPr>
        <w:t>.</w:t>
      </w:r>
      <w:r w:rsidRPr="0089670E">
        <w:rPr>
          <w:noProof/>
        </w:rPr>
        <w:t xml:space="preserve"> Early biokinetics of actinides after intravenous administration of soluble forms of Pu (IV), Np (IV) and Np (V). </w:t>
      </w:r>
      <w:r w:rsidRPr="00ED6790">
        <w:rPr>
          <w:noProof/>
        </w:rPr>
        <w:t>Journal of alloys and compounds</w:t>
      </w:r>
      <w:r w:rsidRPr="0089670E">
        <w:rPr>
          <w:noProof/>
        </w:rPr>
        <w:t xml:space="preserve"> 271. Elsevier: 103–105.</w:t>
      </w:r>
    </w:p>
    <w:p w14:paraId="3517544C" w14:textId="77777777" w:rsidR="00232741" w:rsidRPr="0089670E" w:rsidRDefault="00232741" w:rsidP="00232741">
      <w:pPr>
        <w:pStyle w:val="aff1"/>
        <w:ind w:left="426" w:hanging="426"/>
        <w:rPr>
          <w:noProof/>
        </w:rPr>
      </w:pPr>
      <w:r w:rsidRPr="0089670E">
        <w:rPr>
          <w:noProof/>
        </w:rPr>
        <w:t>Richmond</w:t>
      </w:r>
      <w:r>
        <w:rPr>
          <w:rFonts w:hint="eastAsia"/>
          <w:noProof/>
          <w:lang w:eastAsia="ko-KR"/>
        </w:rPr>
        <w:t>,</w:t>
      </w:r>
      <w:r w:rsidRPr="0089670E">
        <w:rPr>
          <w:noProof/>
        </w:rPr>
        <w:t xml:space="preserve"> C</w:t>
      </w:r>
      <w:r>
        <w:rPr>
          <w:rFonts w:hint="eastAsia"/>
          <w:noProof/>
          <w:lang w:eastAsia="ko-KR"/>
        </w:rPr>
        <w:t>.</w:t>
      </w:r>
      <w:r w:rsidRPr="0089670E">
        <w:rPr>
          <w:noProof/>
        </w:rPr>
        <w:t>R</w:t>
      </w:r>
      <w:r>
        <w:rPr>
          <w:rFonts w:hint="eastAsia"/>
          <w:noProof/>
          <w:lang w:eastAsia="ko-KR"/>
        </w:rPr>
        <w:t>.,</w:t>
      </w:r>
      <w:r w:rsidRPr="0089670E">
        <w:rPr>
          <w:noProof/>
        </w:rPr>
        <w:t xml:space="preserve"> London</w:t>
      </w:r>
      <w:r>
        <w:rPr>
          <w:rFonts w:hint="eastAsia"/>
          <w:noProof/>
          <w:lang w:eastAsia="ko-KR"/>
        </w:rPr>
        <w:t>,</w:t>
      </w:r>
      <w:r w:rsidRPr="0089670E">
        <w:rPr>
          <w:noProof/>
        </w:rPr>
        <w:t xml:space="preserve"> J</w:t>
      </w:r>
      <w:r>
        <w:rPr>
          <w:rFonts w:hint="eastAsia"/>
          <w:noProof/>
          <w:lang w:eastAsia="ko-KR"/>
        </w:rPr>
        <w:t>.</w:t>
      </w:r>
      <w:r w:rsidRPr="0089670E">
        <w:rPr>
          <w:noProof/>
        </w:rPr>
        <w:t>E</w:t>
      </w:r>
      <w:r>
        <w:rPr>
          <w:rFonts w:hint="eastAsia"/>
          <w:noProof/>
          <w:lang w:eastAsia="ko-KR"/>
        </w:rPr>
        <w:t>.,</w:t>
      </w:r>
      <w:r w:rsidRPr="0089670E">
        <w:rPr>
          <w:noProof/>
        </w:rPr>
        <w:t xml:space="preserve"> 1966</w:t>
      </w:r>
      <w:r>
        <w:rPr>
          <w:rFonts w:hint="eastAsia"/>
          <w:noProof/>
          <w:lang w:eastAsia="ko-KR"/>
        </w:rPr>
        <w:t>.</w:t>
      </w:r>
      <w:r w:rsidRPr="0089670E">
        <w:rPr>
          <w:noProof/>
        </w:rPr>
        <w:t xml:space="preserve"> Long-term in vivo retention of cerium-144 by beagles. </w:t>
      </w:r>
      <w:r w:rsidRPr="00ED6790">
        <w:rPr>
          <w:noProof/>
        </w:rPr>
        <w:t>Nature</w:t>
      </w:r>
      <w:r w:rsidRPr="0089670E">
        <w:rPr>
          <w:noProof/>
        </w:rPr>
        <w:t xml:space="preserve"> 211(5054)</w:t>
      </w:r>
      <w:r>
        <w:rPr>
          <w:rFonts w:hint="eastAsia"/>
          <w:noProof/>
          <w:lang w:eastAsia="ko-KR"/>
        </w:rPr>
        <w:t>.</w:t>
      </w:r>
      <w:r w:rsidRPr="0089670E">
        <w:rPr>
          <w:noProof/>
        </w:rPr>
        <w:t xml:space="preserve"> 1179.</w:t>
      </w:r>
    </w:p>
    <w:p w14:paraId="5B09B469" w14:textId="77777777" w:rsidR="00232741" w:rsidRPr="0089670E" w:rsidRDefault="00232741" w:rsidP="00232741">
      <w:pPr>
        <w:pStyle w:val="aff1"/>
        <w:ind w:left="426" w:hanging="426"/>
        <w:rPr>
          <w:noProof/>
        </w:rPr>
      </w:pPr>
      <w:r w:rsidRPr="0089670E">
        <w:rPr>
          <w:noProof/>
        </w:rPr>
        <w:t>Roberts</w:t>
      </w:r>
      <w:r>
        <w:rPr>
          <w:rFonts w:hint="eastAsia"/>
          <w:noProof/>
          <w:lang w:eastAsia="ko-KR"/>
        </w:rPr>
        <w:t>,</w:t>
      </w:r>
      <w:r w:rsidRPr="0089670E">
        <w:rPr>
          <w:noProof/>
        </w:rPr>
        <w:t xml:space="preserve"> A</w:t>
      </w:r>
      <w:r>
        <w:rPr>
          <w:rFonts w:hint="eastAsia"/>
          <w:noProof/>
          <w:lang w:eastAsia="ko-KR"/>
        </w:rPr>
        <w:t>.</w:t>
      </w:r>
      <w:r w:rsidRPr="0089670E">
        <w:rPr>
          <w:noProof/>
        </w:rPr>
        <w:t>M</w:t>
      </w:r>
      <w:r>
        <w:rPr>
          <w:rFonts w:hint="eastAsia"/>
          <w:noProof/>
          <w:lang w:eastAsia="ko-KR"/>
        </w:rPr>
        <w:t>.</w:t>
      </w:r>
      <w:r w:rsidRPr="0089670E">
        <w:rPr>
          <w:noProof/>
        </w:rPr>
        <w:t>, Coulston</w:t>
      </w:r>
      <w:r>
        <w:rPr>
          <w:rFonts w:hint="eastAsia"/>
          <w:noProof/>
          <w:lang w:eastAsia="ko-KR"/>
        </w:rPr>
        <w:t>,</w:t>
      </w:r>
      <w:r w:rsidRPr="0089670E">
        <w:rPr>
          <w:noProof/>
        </w:rPr>
        <w:t xml:space="preserve"> D</w:t>
      </w:r>
      <w:r>
        <w:rPr>
          <w:rFonts w:hint="eastAsia"/>
          <w:noProof/>
          <w:lang w:eastAsia="ko-KR"/>
        </w:rPr>
        <w:t>.</w:t>
      </w:r>
      <w:r w:rsidRPr="0089670E">
        <w:rPr>
          <w:noProof/>
        </w:rPr>
        <w:t>J</w:t>
      </w:r>
      <w:r>
        <w:rPr>
          <w:rFonts w:hint="eastAsia"/>
          <w:noProof/>
          <w:lang w:eastAsia="ko-KR"/>
        </w:rPr>
        <w:t>.,</w:t>
      </w:r>
      <w:r w:rsidRPr="0089670E">
        <w:rPr>
          <w:noProof/>
        </w:rPr>
        <w:t xml:space="preserve"> Bates</w:t>
      </w:r>
      <w:r>
        <w:rPr>
          <w:rFonts w:hint="eastAsia"/>
          <w:noProof/>
          <w:lang w:eastAsia="ko-KR"/>
        </w:rPr>
        <w:t>,</w:t>
      </w:r>
      <w:r w:rsidRPr="0089670E">
        <w:rPr>
          <w:noProof/>
        </w:rPr>
        <w:t xml:space="preserve"> T</w:t>
      </w:r>
      <w:r>
        <w:rPr>
          <w:rFonts w:hint="eastAsia"/>
          <w:noProof/>
          <w:lang w:eastAsia="ko-KR"/>
        </w:rPr>
        <w:t>.</w:t>
      </w:r>
      <w:r w:rsidRPr="0089670E">
        <w:rPr>
          <w:noProof/>
        </w:rPr>
        <w:t>H</w:t>
      </w:r>
      <w:r>
        <w:rPr>
          <w:rFonts w:hint="eastAsia"/>
          <w:noProof/>
          <w:lang w:eastAsia="ko-KR"/>
        </w:rPr>
        <w:t xml:space="preserve">., </w:t>
      </w:r>
      <w:r w:rsidRPr="0089670E">
        <w:rPr>
          <w:noProof/>
        </w:rPr>
        <w:t>1977</w:t>
      </w:r>
      <w:r>
        <w:rPr>
          <w:rFonts w:hint="eastAsia"/>
          <w:noProof/>
          <w:lang w:eastAsia="ko-KR"/>
        </w:rPr>
        <w:t>.</w:t>
      </w:r>
      <w:r w:rsidRPr="0089670E">
        <w:rPr>
          <w:noProof/>
        </w:rPr>
        <w:t xml:space="preserve"> Confirmation of in vivo uranium in chest survey by analysis of autopsy specimens. </w:t>
      </w:r>
      <w:r w:rsidRPr="001D350F">
        <w:rPr>
          <w:noProof/>
        </w:rPr>
        <w:t>Health Phys.</w:t>
      </w:r>
      <w:r w:rsidRPr="0089670E">
        <w:rPr>
          <w:noProof/>
        </w:rPr>
        <w:t xml:space="preserve"> 32(5)</w:t>
      </w:r>
      <w:r>
        <w:rPr>
          <w:rFonts w:hint="eastAsia"/>
          <w:noProof/>
          <w:lang w:eastAsia="ko-KR"/>
        </w:rPr>
        <w:t>.</w:t>
      </w:r>
      <w:r w:rsidRPr="0089670E">
        <w:rPr>
          <w:noProof/>
        </w:rPr>
        <w:t xml:space="preserve"> 435–437.</w:t>
      </w:r>
    </w:p>
    <w:p w14:paraId="1E5B00F4" w14:textId="77777777" w:rsidR="00232741" w:rsidRPr="0089670E" w:rsidRDefault="00232741" w:rsidP="00232741">
      <w:pPr>
        <w:pStyle w:val="aff1"/>
        <w:ind w:left="426" w:hanging="426"/>
        <w:rPr>
          <w:noProof/>
        </w:rPr>
      </w:pPr>
      <w:r w:rsidRPr="0089670E">
        <w:rPr>
          <w:noProof/>
        </w:rPr>
        <w:lastRenderedPageBreak/>
        <w:t>Rosen</w:t>
      </w:r>
      <w:r>
        <w:rPr>
          <w:rFonts w:hint="eastAsia"/>
          <w:noProof/>
          <w:lang w:eastAsia="ko-KR"/>
        </w:rPr>
        <w:t>,</w:t>
      </w:r>
      <w:r w:rsidRPr="0089670E">
        <w:rPr>
          <w:noProof/>
        </w:rPr>
        <w:t xml:space="preserve"> J</w:t>
      </w:r>
      <w:r>
        <w:rPr>
          <w:rFonts w:hint="eastAsia"/>
          <w:noProof/>
          <w:lang w:eastAsia="ko-KR"/>
        </w:rPr>
        <w:t>.</w:t>
      </w:r>
      <w:r w:rsidRPr="0089670E">
        <w:rPr>
          <w:noProof/>
        </w:rPr>
        <w:t>C</w:t>
      </w:r>
      <w:r>
        <w:rPr>
          <w:rFonts w:hint="eastAsia"/>
          <w:noProof/>
          <w:lang w:eastAsia="ko-KR"/>
        </w:rPr>
        <w:t>.</w:t>
      </w:r>
      <w:r w:rsidRPr="0089670E">
        <w:rPr>
          <w:noProof/>
        </w:rPr>
        <w:t>, Cohen</w:t>
      </w:r>
      <w:r>
        <w:rPr>
          <w:rFonts w:hint="eastAsia"/>
          <w:noProof/>
          <w:lang w:eastAsia="ko-KR"/>
        </w:rPr>
        <w:t>,</w:t>
      </w:r>
      <w:r w:rsidRPr="0089670E">
        <w:rPr>
          <w:noProof/>
        </w:rPr>
        <w:t xml:space="preserve"> N</w:t>
      </w:r>
      <w:r>
        <w:rPr>
          <w:rFonts w:hint="eastAsia"/>
          <w:noProof/>
          <w:lang w:eastAsia="ko-KR"/>
        </w:rPr>
        <w:t>.,</w:t>
      </w:r>
      <w:r w:rsidRPr="0089670E">
        <w:rPr>
          <w:noProof/>
        </w:rPr>
        <w:t xml:space="preserve"> Wrenn</w:t>
      </w:r>
      <w:r>
        <w:rPr>
          <w:rFonts w:hint="eastAsia"/>
          <w:noProof/>
          <w:lang w:eastAsia="ko-KR"/>
        </w:rPr>
        <w:t>,</w:t>
      </w:r>
      <w:r w:rsidRPr="0089670E">
        <w:rPr>
          <w:noProof/>
        </w:rPr>
        <w:t xml:space="preserve"> M</w:t>
      </w:r>
      <w:r>
        <w:rPr>
          <w:rFonts w:hint="eastAsia"/>
          <w:noProof/>
          <w:lang w:eastAsia="ko-KR"/>
        </w:rPr>
        <w:t>.</w:t>
      </w:r>
      <w:r w:rsidRPr="0089670E">
        <w:rPr>
          <w:noProof/>
        </w:rPr>
        <w:t>E</w:t>
      </w:r>
      <w:r>
        <w:rPr>
          <w:rFonts w:hint="eastAsia"/>
          <w:noProof/>
          <w:lang w:eastAsia="ko-KR"/>
        </w:rPr>
        <w:t>.,</w:t>
      </w:r>
      <w:r w:rsidRPr="0089670E">
        <w:rPr>
          <w:noProof/>
        </w:rPr>
        <w:t xml:space="preserve"> 1972</w:t>
      </w:r>
      <w:r>
        <w:rPr>
          <w:rFonts w:hint="eastAsia"/>
          <w:noProof/>
          <w:lang w:eastAsia="ko-KR"/>
        </w:rPr>
        <w:t>.</w:t>
      </w:r>
      <w:r w:rsidRPr="0089670E">
        <w:rPr>
          <w:noProof/>
        </w:rPr>
        <w:t xml:space="preserve"> Short term metabolism of 241 Am in the adult baboon. </w:t>
      </w:r>
      <w:r w:rsidRPr="001D350F">
        <w:rPr>
          <w:noProof/>
        </w:rPr>
        <w:t>Health Phys.</w:t>
      </w:r>
      <w:r w:rsidRPr="0089670E">
        <w:rPr>
          <w:noProof/>
        </w:rPr>
        <w:t xml:space="preserve"> 22(6) 621–626.</w:t>
      </w:r>
    </w:p>
    <w:p w14:paraId="24405E32" w14:textId="77777777" w:rsidR="00232741" w:rsidRPr="0089670E" w:rsidRDefault="00232741" w:rsidP="00232741">
      <w:pPr>
        <w:pStyle w:val="aff1"/>
        <w:ind w:left="426" w:hanging="426"/>
        <w:rPr>
          <w:noProof/>
        </w:rPr>
      </w:pPr>
      <w:r w:rsidRPr="0089670E">
        <w:rPr>
          <w:noProof/>
        </w:rPr>
        <w:t>Rosen</w:t>
      </w:r>
      <w:r>
        <w:rPr>
          <w:rFonts w:hint="eastAsia"/>
          <w:noProof/>
          <w:lang w:eastAsia="ko-KR"/>
        </w:rPr>
        <w:t>,</w:t>
      </w:r>
      <w:r w:rsidRPr="0089670E">
        <w:rPr>
          <w:noProof/>
        </w:rPr>
        <w:t xml:space="preserve"> J</w:t>
      </w:r>
      <w:r>
        <w:rPr>
          <w:rFonts w:hint="eastAsia"/>
          <w:noProof/>
          <w:lang w:eastAsia="ko-KR"/>
        </w:rPr>
        <w:t>.</w:t>
      </w:r>
      <w:r w:rsidRPr="0089670E">
        <w:rPr>
          <w:noProof/>
        </w:rPr>
        <w:t>C</w:t>
      </w:r>
      <w:r>
        <w:rPr>
          <w:rFonts w:hint="eastAsia"/>
          <w:noProof/>
          <w:lang w:eastAsia="ko-KR"/>
        </w:rPr>
        <w:t>.</w:t>
      </w:r>
      <w:r w:rsidRPr="0089670E">
        <w:rPr>
          <w:noProof/>
        </w:rPr>
        <w:t>, Gur</w:t>
      </w:r>
      <w:r>
        <w:rPr>
          <w:rFonts w:hint="eastAsia"/>
          <w:noProof/>
          <w:lang w:eastAsia="ko-KR"/>
        </w:rPr>
        <w:t>,</w:t>
      </w:r>
      <w:r w:rsidRPr="0089670E">
        <w:rPr>
          <w:noProof/>
        </w:rPr>
        <w:t xml:space="preserve"> D</w:t>
      </w:r>
      <w:r>
        <w:rPr>
          <w:rFonts w:hint="eastAsia"/>
          <w:noProof/>
          <w:lang w:eastAsia="ko-KR"/>
        </w:rPr>
        <w:t>.</w:t>
      </w:r>
      <w:r w:rsidRPr="0089670E">
        <w:rPr>
          <w:noProof/>
        </w:rPr>
        <w:t>, Pan</w:t>
      </w:r>
      <w:r>
        <w:rPr>
          <w:rFonts w:hint="eastAsia"/>
          <w:noProof/>
          <w:lang w:eastAsia="ko-KR"/>
        </w:rPr>
        <w:t>,</w:t>
      </w:r>
      <w:r w:rsidRPr="0089670E">
        <w:rPr>
          <w:noProof/>
        </w:rPr>
        <w:t xml:space="preserve"> S</w:t>
      </w:r>
      <w:r>
        <w:rPr>
          <w:rFonts w:hint="eastAsia"/>
          <w:noProof/>
          <w:lang w:eastAsia="ko-KR"/>
        </w:rPr>
        <w:t>.</w:t>
      </w:r>
      <w:r w:rsidRPr="0089670E">
        <w:rPr>
          <w:noProof/>
        </w:rPr>
        <w:t>F</w:t>
      </w:r>
      <w:r>
        <w:rPr>
          <w:rFonts w:hint="eastAsia"/>
          <w:noProof/>
          <w:lang w:eastAsia="ko-KR"/>
        </w:rPr>
        <w:t>.</w:t>
      </w:r>
      <w:r w:rsidRPr="0089670E">
        <w:rPr>
          <w:noProof/>
        </w:rPr>
        <w:t>, et al.</w:t>
      </w:r>
      <w:r>
        <w:rPr>
          <w:rFonts w:hint="eastAsia"/>
          <w:noProof/>
          <w:lang w:eastAsia="ko-KR"/>
        </w:rPr>
        <w:t>,</w:t>
      </w:r>
      <w:r w:rsidRPr="0089670E">
        <w:rPr>
          <w:noProof/>
        </w:rPr>
        <w:t xml:space="preserve"> 1980</w:t>
      </w:r>
      <w:r>
        <w:rPr>
          <w:rFonts w:hint="eastAsia"/>
          <w:noProof/>
          <w:lang w:eastAsia="ko-KR"/>
        </w:rPr>
        <w:t>.</w:t>
      </w:r>
      <w:r w:rsidRPr="0089670E">
        <w:rPr>
          <w:noProof/>
        </w:rPr>
        <w:t xml:space="preserve"> Long-term removal of 241Am using Ca-DTPA. </w:t>
      </w:r>
      <w:r w:rsidRPr="005666C8">
        <w:rPr>
          <w:noProof/>
        </w:rPr>
        <w:t>Health Phys.</w:t>
      </w:r>
      <w:r w:rsidRPr="0089670E">
        <w:rPr>
          <w:noProof/>
        </w:rPr>
        <w:t xml:space="preserve"> 39(4)</w:t>
      </w:r>
      <w:r>
        <w:rPr>
          <w:rFonts w:hint="eastAsia"/>
          <w:noProof/>
          <w:lang w:eastAsia="ko-KR"/>
        </w:rPr>
        <w:t>.</w:t>
      </w:r>
      <w:r w:rsidRPr="0089670E">
        <w:rPr>
          <w:noProof/>
        </w:rPr>
        <w:t xml:space="preserve"> 601–609.</w:t>
      </w:r>
    </w:p>
    <w:p w14:paraId="546A5790" w14:textId="77777777" w:rsidR="00232741" w:rsidRPr="0089670E" w:rsidRDefault="00232741" w:rsidP="00232741">
      <w:pPr>
        <w:pStyle w:val="aff1"/>
        <w:ind w:left="426" w:hanging="426"/>
        <w:rPr>
          <w:noProof/>
        </w:rPr>
      </w:pPr>
      <w:r w:rsidRPr="00C9727B">
        <w:rPr>
          <w:noProof/>
          <w:lang w:val="en-US"/>
        </w:rPr>
        <w:t>Roth</w:t>
      </w:r>
      <w:r w:rsidRPr="00C9727B">
        <w:rPr>
          <w:rFonts w:hint="eastAsia"/>
          <w:noProof/>
          <w:lang w:val="en-US" w:eastAsia="ko-KR"/>
        </w:rPr>
        <w:t>,</w:t>
      </w:r>
      <w:r w:rsidRPr="00C9727B">
        <w:rPr>
          <w:noProof/>
          <w:lang w:val="en-US"/>
        </w:rPr>
        <w:t xml:space="preserve"> P</w:t>
      </w:r>
      <w:r w:rsidRPr="00C9727B">
        <w:rPr>
          <w:rFonts w:hint="eastAsia"/>
          <w:noProof/>
          <w:lang w:val="en-US" w:eastAsia="ko-KR"/>
        </w:rPr>
        <w:t>.</w:t>
      </w:r>
      <w:r w:rsidRPr="00C9727B">
        <w:rPr>
          <w:noProof/>
          <w:lang w:val="en-US"/>
        </w:rPr>
        <w:t>, Molho</w:t>
      </w:r>
      <w:r w:rsidRPr="00C9727B">
        <w:rPr>
          <w:rFonts w:hint="eastAsia"/>
          <w:noProof/>
          <w:lang w:val="en-US" w:eastAsia="ko-KR"/>
        </w:rPr>
        <w:t>,</w:t>
      </w:r>
      <w:r w:rsidRPr="00C9727B">
        <w:rPr>
          <w:noProof/>
          <w:lang w:val="en-US"/>
        </w:rPr>
        <w:t xml:space="preserve"> N</w:t>
      </w:r>
      <w:r w:rsidRPr="00C9727B">
        <w:rPr>
          <w:rFonts w:hint="eastAsia"/>
          <w:noProof/>
          <w:lang w:val="en-US" w:eastAsia="ko-KR"/>
        </w:rPr>
        <w:t>.</w:t>
      </w:r>
      <w:r w:rsidRPr="00C9727B">
        <w:rPr>
          <w:noProof/>
          <w:lang w:val="en-US"/>
        </w:rPr>
        <w:t>, Cantone</w:t>
      </w:r>
      <w:r w:rsidRPr="00C9727B">
        <w:rPr>
          <w:rFonts w:hint="eastAsia"/>
          <w:noProof/>
          <w:lang w:val="en-US" w:eastAsia="ko-KR"/>
        </w:rPr>
        <w:t>,</w:t>
      </w:r>
      <w:r w:rsidRPr="00C9727B">
        <w:rPr>
          <w:noProof/>
          <w:lang w:val="en-US"/>
        </w:rPr>
        <w:t xml:space="preserve"> M</w:t>
      </w:r>
      <w:r w:rsidRPr="00C9727B">
        <w:rPr>
          <w:rFonts w:hint="eastAsia"/>
          <w:noProof/>
          <w:lang w:val="en-US" w:eastAsia="ko-KR"/>
        </w:rPr>
        <w:t>.</w:t>
      </w:r>
      <w:r w:rsidRPr="00C9727B">
        <w:rPr>
          <w:noProof/>
          <w:lang w:val="en-US"/>
        </w:rPr>
        <w:t>C</w:t>
      </w:r>
      <w:r w:rsidRPr="00C9727B">
        <w:rPr>
          <w:rFonts w:hint="eastAsia"/>
          <w:noProof/>
          <w:lang w:val="en-US" w:eastAsia="ko-KR"/>
        </w:rPr>
        <w:t>.,</w:t>
      </w:r>
      <w:r w:rsidRPr="00C9727B">
        <w:rPr>
          <w:noProof/>
          <w:lang w:val="en-US"/>
        </w:rPr>
        <w:t xml:space="preserve"> et al.</w:t>
      </w:r>
      <w:r w:rsidRPr="00C9727B">
        <w:rPr>
          <w:rFonts w:hint="eastAsia"/>
          <w:noProof/>
          <w:lang w:val="en-US" w:eastAsia="ko-KR"/>
        </w:rPr>
        <w:t>,</w:t>
      </w:r>
      <w:r w:rsidRPr="00C9727B">
        <w:rPr>
          <w:noProof/>
          <w:lang w:val="en-US"/>
        </w:rPr>
        <w:t xml:space="preserve"> </w:t>
      </w:r>
      <w:r w:rsidRPr="0089670E">
        <w:rPr>
          <w:noProof/>
        </w:rPr>
        <w:t>1995</w:t>
      </w:r>
      <w:r>
        <w:rPr>
          <w:rFonts w:hint="eastAsia"/>
          <w:noProof/>
          <w:lang w:eastAsia="ko-KR"/>
        </w:rPr>
        <w:t>.</w:t>
      </w:r>
      <w:r w:rsidRPr="0089670E">
        <w:rPr>
          <w:noProof/>
        </w:rPr>
        <w:t xml:space="preserve"> </w:t>
      </w:r>
      <w:r w:rsidRPr="00ED6790">
        <w:rPr>
          <w:noProof/>
        </w:rPr>
        <w:t>Assessment of internal dose from plutonium and other radionuclides using stable isotope tracer techniques in humans</w:t>
      </w:r>
      <w:r w:rsidRPr="0089670E">
        <w:rPr>
          <w:noProof/>
        </w:rPr>
        <w:t>. Commission of the European Communities Radiation Protection Programme 1992-1994, Report on Contract No. BI3P-CT920048. Luxembourg: European Union.</w:t>
      </w:r>
    </w:p>
    <w:p w14:paraId="0EAE2062" w14:textId="77777777" w:rsidR="00232741" w:rsidRPr="0089670E" w:rsidRDefault="00232741" w:rsidP="00232741">
      <w:pPr>
        <w:pStyle w:val="aff1"/>
        <w:ind w:left="426" w:hanging="426"/>
        <w:rPr>
          <w:noProof/>
        </w:rPr>
      </w:pPr>
      <w:r w:rsidRPr="00C47F2F">
        <w:rPr>
          <w:noProof/>
        </w:rPr>
        <w:t>Roth</w:t>
      </w:r>
      <w:r w:rsidRPr="00C47F2F">
        <w:rPr>
          <w:rFonts w:hint="eastAsia"/>
          <w:noProof/>
          <w:lang w:eastAsia="ko-KR"/>
        </w:rPr>
        <w:t>,</w:t>
      </w:r>
      <w:r w:rsidRPr="00C47F2F">
        <w:rPr>
          <w:noProof/>
        </w:rPr>
        <w:t xml:space="preserve"> P</w:t>
      </w:r>
      <w:r w:rsidRPr="00C47F2F">
        <w:rPr>
          <w:rFonts w:hint="eastAsia"/>
          <w:noProof/>
          <w:lang w:eastAsia="ko-KR"/>
        </w:rPr>
        <w:t>.</w:t>
      </w:r>
      <w:r w:rsidRPr="00C47F2F">
        <w:rPr>
          <w:noProof/>
        </w:rPr>
        <w:t>, Höllriegl</w:t>
      </w:r>
      <w:r w:rsidRPr="00C47F2F">
        <w:rPr>
          <w:rFonts w:hint="eastAsia"/>
          <w:noProof/>
          <w:lang w:eastAsia="ko-KR"/>
        </w:rPr>
        <w:t>,</w:t>
      </w:r>
      <w:r w:rsidRPr="00C47F2F">
        <w:rPr>
          <w:noProof/>
        </w:rPr>
        <w:t xml:space="preserve"> V</w:t>
      </w:r>
      <w:r w:rsidRPr="00C47F2F">
        <w:rPr>
          <w:rFonts w:hint="eastAsia"/>
          <w:noProof/>
          <w:lang w:eastAsia="ko-KR"/>
        </w:rPr>
        <w:t>.</w:t>
      </w:r>
      <w:r w:rsidRPr="00C47F2F">
        <w:rPr>
          <w:noProof/>
        </w:rPr>
        <w:t>, Li</w:t>
      </w:r>
      <w:r w:rsidRPr="00C47F2F">
        <w:rPr>
          <w:rFonts w:hint="eastAsia"/>
          <w:noProof/>
          <w:lang w:eastAsia="ko-KR"/>
        </w:rPr>
        <w:t>,</w:t>
      </w:r>
      <w:r w:rsidRPr="00C47F2F">
        <w:rPr>
          <w:noProof/>
        </w:rPr>
        <w:t xml:space="preserve"> W</w:t>
      </w:r>
      <w:r w:rsidRPr="00C47F2F">
        <w:rPr>
          <w:rFonts w:hint="eastAsia"/>
          <w:noProof/>
          <w:lang w:eastAsia="ko-KR"/>
        </w:rPr>
        <w:t>.</w:t>
      </w:r>
      <w:r w:rsidRPr="00C47F2F">
        <w:rPr>
          <w:noProof/>
        </w:rPr>
        <w:t>B</w:t>
      </w:r>
      <w:r w:rsidRPr="00C47F2F">
        <w:rPr>
          <w:rFonts w:hint="eastAsia"/>
          <w:noProof/>
          <w:lang w:eastAsia="ko-KR"/>
        </w:rPr>
        <w:t>.</w:t>
      </w:r>
      <w:r w:rsidRPr="00C47F2F">
        <w:rPr>
          <w:noProof/>
        </w:rPr>
        <w:t>, et al.</w:t>
      </w:r>
      <w:r w:rsidRPr="00C47F2F">
        <w:rPr>
          <w:rFonts w:hint="eastAsia"/>
          <w:noProof/>
          <w:lang w:eastAsia="ko-KR"/>
        </w:rPr>
        <w:t>,</w:t>
      </w:r>
      <w:r w:rsidRPr="00C47F2F">
        <w:rPr>
          <w:noProof/>
        </w:rPr>
        <w:t xml:space="preserve"> 2005</w:t>
      </w:r>
      <w:r w:rsidRPr="00C47F2F">
        <w:rPr>
          <w:rFonts w:hint="eastAsia"/>
          <w:noProof/>
          <w:lang w:eastAsia="ko-KR"/>
        </w:rPr>
        <w:t>.</w:t>
      </w:r>
      <w:r w:rsidRPr="00C47F2F">
        <w:rPr>
          <w:noProof/>
        </w:rPr>
        <w:t xml:space="preserve"> </w:t>
      </w:r>
      <w:r w:rsidRPr="0089670E">
        <w:rPr>
          <w:noProof/>
        </w:rPr>
        <w:t xml:space="preserve">Validating an important aspect of the new ICRP biokinetic model of thorium. </w:t>
      </w:r>
      <w:r w:rsidRPr="001D350F">
        <w:rPr>
          <w:noProof/>
        </w:rPr>
        <w:t>Health Phys.</w:t>
      </w:r>
      <w:r w:rsidRPr="0089670E">
        <w:rPr>
          <w:noProof/>
        </w:rPr>
        <w:t xml:space="preserve"> 88(3)</w:t>
      </w:r>
      <w:r>
        <w:rPr>
          <w:rFonts w:hint="eastAsia"/>
          <w:noProof/>
          <w:lang w:eastAsia="ko-KR"/>
        </w:rPr>
        <w:t>.</w:t>
      </w:r>
      <w:r w:rsidRPr="0089670E">
        <w:rPr>
          <w:noProof/>
        </w:rPr>
        <w:t xml:space="preserve"> 223–228.</w:t>
      </w:r>
    </w:p>
    <w:p w14:paraId="491D06C0" w14:textId="77777777" w:rsidR="00232741" w:rsidRPr="0089670E" w:rsidRDefault="00232741" w:rsidP="00232741">
      <w:pPr>
        <w:pStyle w:val="aff1"/>
        <w:ind w:left="426" w:hanging="426"/>
        <w:rPr>
          <w:noProof/>
        </w:rPr>
      </w:pPr>
      <w:r w:rsidRPr="0089670E">
        <w:rPr>
          <w:noProof/>
        </w:rPr>
        <w:t>Rowland</w:t>
      </w:r>
      <w:r>
        <w:rPr>
          <w:rFonts w:hint="eastAsia"/>
          <w:noProof/>
          <w:lang w:eastAsia="ko-KR"/>
        </w:rPr>
        <w:t>,</w:t>
      </w:r>
      <w:r w:rsidRPr="0089670E">
        <w:rPr>
          <w:noProof/>
        </w:rPr>
        <w:t xml:space="preserve"> R</w:t>
      </w:r>
      <w:r>
        <w:rPr>
          <w:rFonts w:hint="eastAsia"/>
          <w:noProof/>
          <w:lang w:eastAsia="ko-KR"/>
        </w:rPr>
        <w:t>.</w:t>
      </w:r>
      <w:r w:rsidRPr="0089670E">
        <w:rPr>
          <w:noProof/>
        </w:rPr>
        <w:t>E</w:t>
      </w:r>
      <w:r>
        <w:rPr>
          <w:rFonts w:hint="eastAsia"/>
          <w:noProof/>
          <w:lang w:eastAsia="ko-KR"/>
        </w:rPr>
        <w:t>.,</w:t>
      </w:r>
      <w:r w:rsidRPr="0089670E">
        <w:rPr>
          <w:noProof/>
        </w:rPr>
        <w:t xml:space="preserve"> Durbin</w:t>
      </w:r>
      <w:r>
        <w:rPr>
          <w:rFonts w:hint="eastAsia"/>
          <w:noProof/>
          <w:lang w:eastAsia="ko-KR"/>
        </w:rPr>
        <w:t>,</w:t>
      </w:r>
      <w:r w:rsidRPr="0089670E">
        <w:rPr>
          <w:noProof/>
        </w:rPr>
        <w:t xml:space="preserve"> P</w:t>
      </w:r>
      <w:r>
        <w:rPr>
          <w:rFonts w:hint="eastAsia"/>
          <w:noProof/>
          <w:lang w:eastAsia="ko-KR"/>
        </w:rPr>
        <w:t>.</w:t>
      </w:r>
      <w:r w:rsidRPr="0089670E">
        <w:rPr>
          <w:noProof/>
        </w:rPr>
        <w:t>W</w:t>
      </w:r>
      <w:r>
        <w:rPr>
          <w:rFonts w:hint="eastAsia"/>
          <w:noProof/>
          <w:lang w:eastAsia="ko-KR"/>
        </w:rPr>
        <w:t>.,</w:t>
      </w:r>
      <w:r w:rsidRPr="0089670E">
        <w:rPr>
          <w:noProof/>
        </w:rPr>
        <w:t xml:space="preserve"> 1976</w:t>
      </w:r>
      <w:r>
        <w:rPr>
          <w:rFonts w:hint="eastAsia"/>
          <w:noProof/>
          <w:lang w:eastAsia="ko-KR"/>
        </w:rPr>
        <w:t>.</w:t>
      </w:r>
      <w:r w:rsidRPr="0089670E">
        <w:rPr>
          <w:noProof/>
        </w:rPr>
        <w:t xml:space="preserve"> Survival, causes of death, and estimated tissue doses in a group of human beings injected with plutonium. In: Jee WSS (ed.) </w:t>
      </w:r>
      <w:r w:rsidRPr="00ED6790">
        <w:rPr>
          <w:noProof/>
        </w:rPr>
        <w:t>The Health Effects of Plutonium and Radium</w:t>
      </w:r>
      <w:r w:rsidRPr="0089670E">
        <w:rPr>
          <w:noProof/>
        </w:rPr>
        <w:t>. Salt Lake City, UT: The J. W. Press, pp. 329–341.</w:t>
      </w:r>
    </w:p>
    <w:p w14:paraId="7998C199" w14:textId="77777777" w:rsidR="00232741" w:rsidRPr="0089670E" w:rsidRDefault="00232741" w:rsidP="00232741">
      <w:pPr>
        <w:pStyle w:val="aff1"/>
        <w:ind w:left="426" w:hanging="426"/>
        <w:rPr>
          <w:noProof/>
        </w:rPr>
      </w:pPr>
      <w:r w:rsidRPr="0089670E">
        <w:rPr>
          <w:noProof/>
        </w:rPr>
        <w:t>Rowland</w:t>
      </w:r>
      <w:r>
        <w:rPr>
          <w:rFonts w:hint="eastAsia"/>
          <w:noProof/>
          <w:lang w:eastAsia="ko-KR"/>
        </w:rPr>
        <w:t>,</w:t>
      </w:r>
      <w:r w:rsidRPr="0089670E">
        <w:rPr>
          <w:noProof/>
        </w:rPr>
        <w:t xml:space="preserve"> R</w:t>
      </w:r>
      <w:r>
        <w:rPr>
          <w:rFonts w:hint="eastAsia"/>
          <w:noProof/>
          <w:lang w:eastAsia="ko-KR"/>
        </w:rPr>
        <w:t>.</w:t>
      </w:r>
      <w:r w:rsidRPr="0089670E">
        <w:rPr>
          <w:noProof/>
        </w:rPr>
        <w:t>E</w:t>
      </w:r>
      <w:r>
        <w:rPr>
          <w:rFonts w:hint="eastAsia"/>
          <w:noProof/>
          <w:lang w:eastAsia="ko-KR"/>
        </w:rPr>
        <w:t>.,</w:t>
      </w:r>
      <w:r w:rsidRPr="0089670E">
        <w:rPr>
          <w:noProof/>
        </w:rPr>
        <w:t xml:space="preserve"> Farnham</w:t>
      </w:r>
      <w:r>
        <w:rPr>
          <w:rFonts w:hint="eastAsia"/>
          <w:noProof/>
          <w:lang w:eastAsia="ko-KR"/>
        </w:rPr>
        <w:t>,</w:t>
      </w:r>
      <w:r w:rsidRPr="0089670E">
        <w:rPr>
          <w:noProof/>
        </w:rPr>
        <w:t xml:space="preserve"> J</w:t>
      </w:r>
      <w:r>
        <w:rPr>
          <w:rFonts w:hint="eastAsia"/>
          <w:noProof/>
          <w:lang w:eastAsia="ko-KR"/>
        </w:rPr>
        <w:t>.</w:t>
      </w:r>
      <w:r w:rsidRPr="0089670E">
        <w:rPr>
          <w:noProof/>
        </w:rPr>
        <w:t>E</w:t>
      </w:r>
      <w:r>
        <w:rPr>
          <w:rFonts w:hint="eastAsia"/>
          <w:noProof/>
          <w:lang w:eastAsia="ko-KR"/>
        </w:rPr>
        <w:t>.,</w:t>
      </w:r>
      <w:r w:rsidRPr="0089670E">
        <w:rPr>
          <w:noProof/>
        </w:rPr>
        <w:t xml:space="preserve"> 1969</w:t>
      </w:r>
      <w:r>
        <w:rPr>
          <w:rFonts w:hint="eastAsia"/>
          <w:noProof/>
          <w:lang w:eastAsia="ko-KR"/>
        </w:rPr>
        <w:t>.</w:t>
      </w:r>
      <w:r w:rsidRPr="0089670E">
        <w:rPr>
          <w:noProof/>
        </w:rPr>
        <w:t xml:space="preserve"> The deposition of uranium in bone. </w:t>
      </w:r>
      <w:r w:rsidRPr="001D350F">
        <w:rPr>
          <w:noProof/>
        </w:rPr>
        <w:t>Health Phys.</w:t>
      </w:r>
      <w:r w:rsidRPr="0089670E">
        <w:rPr>
          <w:noProof/>
        </w:rPr>
        <w:t xml:space="preserve"> 17(1)</w:t>
      </w:r>
      <w:r>
        <w:rPr>
          <w:rFonts w:hint="eastAsia"/>
          <w:noProof/>
          <w:lang w:eastAsia="ko-KR"/>
        </w:rPr>
        <w:t>.</w:t>
      </w:r>
      <w:r w:rsidRPr="0089670E">
        <w:rPr>
          <w:noProof/>
        </w:rPr>
        <w:t xml:space="preserve"> 139–144.</w:t>
      </w:r>
    </w:p>
    <w:p w14:paraId="74480037" w14:textId="77777777" w:rsidR="00232741" w:rsidRPr="0089670E" w:rsidRDefault="00232741" w:rsidP="00232741">
      <w:pPr>
        <w:pStyle w:val="aff1"/>
        <w:ind w:left="426" w:hanging="426"/>
        <w:rPr>
          <w:noProof/>
        </w:rPr>
      </w:pPr>
      <w:r w:rsidRPr="0089670E">
        <w:rPr>
          <w:noProof/>
        </w:rPr>
        <w:t>Rundo</w:t>
      </w:r>
      <w:r>
        <w:rPr>
          <w:rFonts w:hint="eastAsia"/>
          <w:noProof/>
          <w:lang w:eastAsia="ko-KR"/>
        </w:rPr>
        <w:t>,</w:t>
      </w:r>
      <w:r w:rsidRPr="0089670E">
        <w:rPr>
          <w:noProof/>
        </w:rPr>
        <w:t xml:space="preserve"> J</w:t>
      </w:r>
      <w:r>
        <w:rPr>
          <w:rFonts w:hint="eastAsia"/>
          <w:noProof/>
          <w:lang w:eastAsia="ko-KR"/>
        </w:rPr>
        <w:t>.,</w:t>
      </w:r>
      <w:r w:rsidRPr="0089670E">
        <w:rPr>
          <w:noProof/>
        </w:rPr>
        <w:t xml:space="preserve"> 1964</w:t>
      </w:r>
      <w:r>
        <w:rPr>
          <w:rFonts w:hint="eastAsia"/>
          <w:noProof/>
          <w:lang w:eastAsia="ko-KR"/>
        </w:rPr>
        <w:t>.</w:t>
      </w:r>
      <w:r w:rsidRPr="0089670E">
        <w:rPr>
          <w:noProof/>
        </w:rPr>
        <w:t xml:space="preserve"> Two cases of chronic occupational exposure to radioactive materials. </w:t>
      </w:r>
      <w:r w:rsidRPr="00ED6790">
        <w:rPr>
          <w:noProof/>
        </w:rPr>
        <w:t>Assessment of Radioactivity in humans</w:t>
      </w:r>
      <w:r w:rsidRPr="0089670E">
        <w:rPr>
          <w:noProof/>
        </w:rPr>
        <w:t xml:space="preserve"> 2: 291–306.</w:t>
      </w:r>
    </w:p>
    <w:p w14:paraId="093D4514" w14:textId="77777777" w:rsidR="00232741" w:rsidRPr="0089670E" w:rsidRDefault="00232741" w:rsidP="00232741">
      <w:pPr>
        <w:pStyle w:val="aff1"/>
        <w:ind w:left="426" w:hanging="426"/>
        <w:rPr>
          <w:noProof/>
        </w:rPr>
      </w:pPr>
      <w:r w:rsidRPr="0089670E">
        <w:rPr>
          <w:noProof/>
        </w:rPr>
        <w:t>Rundo</w:t>
      </w:r>
      <w:r>
        <w:rPr>
          <w:rFonts w:hint="eastAsia"/>
          <w:noProof/>
          <w:lang w:eastAsia="ko-KR"/>
        </w:rPr>
        <w:t>,</w:t>
      </w:r>
      <w:r w:rsidRPr="0089670E">
        <w:rPr>
          <w:noProof/>
        </w:rPr>
        <w:t xml:space="preserve"> J</w:t>
      </w:r>
      <w:r>
        <w:rPr>
          <w:rFonts w:hint="eastAsia"/>
          <w:noProof/>
          <w:lang w:eastAsia="ko-KR"/>
        </w:rPr>
        <w:t>.,</w:t>
      </w:r>
      <w:r w:rsidRPr="0089670E">
        <w:rPr>
          <w:noProof/>
        </w:rPr>
        <w:t xml:space="preserve"> Sedlet</w:t>
      </w:r>
      <w:r>
        <w:rPr>
          <w:rFonts w:hint="eastAsia"/>
          <w:noProof/>
          <w:lang w:eastAsia="ko-KR"/>
        </w:rPr>
        <w:t>,</w:t>
      </w:r>
      <w:r w:rsidRPr="0089670E">
        <w:rPr>
          <w:noProof/>
        </w:rPr>
        <w:t xml:space="preserve"> J</w:t>
      </w:r>
      <w:r>
        <w:rPr>
          <w:rFonts w:hint="eastAsia"/>
          <w:noProof/>
          <w:lang w:eastAsia="ko-KR"/>
        </w:rPr>
        <w:t>.,</w:t>
      </w:r>
      <w:r w:rsidRPr="0089670E">
        <w:rPr>
          <w:noProof/>
        </w:rPr>
        <w:t xml:space="preserve"> 1973</w:t>
      </w:r>
      <w:r>
        <w:rPr>
          <w:rFonts w:hint="eastAsia"/>
          <w:noProof/>
          <w:lang w:eastAsia="ko-KR"/>
        </w:rPr>
        <w:t>.</w:t>
      </w:r>
      <w:r w:rsidRPr="0089670E">
        <w:rPr>
          <w:noProof/>
        </w:rPr>
        <w:t xml:space="preserve"> Retention and elimination of berkelium-249–californium-249 following acute accidental inhalation. In: </w:t>
      </w:r>
      <w:r w:rsidRPr="00ED6790">
        <w:rPr>
          <w:noProof/>
        </w:rPr>
        <w:t>Proceedings of the 3rd International Congress of the International Radiation Protection Association</w:t>
      </w:r>
      <w:r w:rsidRPr="0089670E">
        <w:rPr>
          <w:noProof/>
        </w:rPr>
        <w:t>, Washington, D.C., 1973. Argonne National Lab., Ill.(USA). Available at: https://www.osti.gov/biblio/4384632 (accessed 5 October 2023).</w:t>
      </w:r>
    </w:p>
    <w:p w14:paraId="0E8FD6ED" w14:textId="77777777" w:rsidR="00232741" w:rsidRPr="0089670E" w:rsidRDefault="00232741" w:rsidP="00232741">
      <w:pPr>
        <w:pStyle w:val="aff1"/>
        <w:ind w:left="426" w:hanging="426"/>
        <w:rPr>
          <w:noProof/>
        </w:rPr>
      </w:pPr>
      <w:r w:rsidRPr="0089670E">
        <w:rPr>
          <w:noProof/>
        </w:rPr>
        <w:t>Russell</w:t>
      </w:r>
      <w:r>
        <w:rPr>
          <w:rFonts w:hint="eastAsia"/>
          <w:noProof/>
          <w:lang w:eastAsia="ko-KR"/>
        </w:rPr>
        <w:t>,</w:t>
      </w:r>
      <w:r w:rsidRPr="0089670E">
        <w:rPr>
          <w:noProof/>
        </w:rPr>
        <w:t xml:space="preserve"> J</w:t>
      </w:r>
      <w:r>
        <w:rPr>
          <w:rFonts w:hint="eastAsia"/>
          <w:noProof/>
          <w:lang w:eastAsia="ko-KR"/>
        </w:rPr>
        <w:t>.</w:t>
      </w:r>
      <w:r w:rsidRPr="0089670E">
        <w:rPr>
          <w:noProof/>
        </w:rPr>
        <w:t>J</w:t>
      </w:r>
      <w:r>
        <w:rPr>
          <w:rFonts w:hint="eastAsia"/>
          <w:noProof/>
          <w:lang w:eastAsia="ko-KR"/>
        </w:rPr>
        <w:t>.,</w:t>
      </w:r>
      <w:r w:rsidRPr="0089670E">
        <w:rPr>
          <w:noProof/>
        </w:rPr>
        <w:t xml:space="preserve"> Kathren</w:t>
      </w:r>
      <w:r>
        <w:rPr>
          <w:rFonts w:hint="eastAsia"/>
          <w:noProof/>
          <w:lang w:eastAsia="ko-KR"/>
        </w:rPr>
        <w:t>,</w:t>
      </w:r>
      <w:r w:rsidRPr="0089670E">
        <w:rPr>
          <w:noProof/>
        </w:rPr>
        <w:t xml:space="preserve"> R</w:t>
      </w:r>
      <w:r>
        <w:rPr>
          <w:rFonts w:hint="eastAsia"/>
          <w:noProof/>
          <w:lang w:eastAsia="ko-KR"/>
        </w:rPr>
        <w:t>.</w:t>
      </w:r>
      <w:r w:rsidRPr="0089670E">
        <w:rPr>
          <w:noProof/>
        </w:rPr>
        <w:t>L</w:t>
      </w:r>
      <w:r>
        <w:rPr>
          <w:rFonts w:hint="eastAsia"/>
          <w:noProof/>
          <w:lang w:eastAsia="ko-KR"/>
        </w:rPr>
        <w:t>.,</w:t>
      </w:r>
      <w:r w:rsidRPr="0089670E">
        <w:rPr>
          <w:noProof/>
        </w:rPr>
        <w:t xml:space="preserve"> 2004</w:t>
      </w:r>
      <w:r>
        <w:rPr>
          <w:rFonts w:hint="eastAsia"/>
          <w:noProof/>
          <w:lang w:eastAsia="ko-KR"/>
        </w:rPr>
        <w:t>.</w:t>
      </w:r>
      <w:r w:rsidRPr="0089670E">
        <w:rPr>
          <w:noProof/>
        </w:rPr>
        <w:t xml:space="preserve"> Uranium deposition and retention in a USTUR whole body case. </w:t>
      </w:r>
      <w:r w:rsidRPr="001D350F">
        <w:rPr>
          <w:noProof/>
        </w:rPr>
        <w:t>Health Phys.</w:t>
      </w:r>
      <w:r w:rsidRPr="0089670E">
        <w:rPr>
          <w:noProof/>
        </w:rPr>
        <w:t xml:space="preserve"> 86(3)</w:t>
      </w:r>
      <w:r>
        <w:rPr>
          <w:rFonts w:hint="eastAsia"/>
          <w:noProof/>
          <w:lang w:eastAsia="ko-KR"/>
        </w:rPr>
        <w:t>.</w:t>
      </w:r>
      <w:r w:rsidRPr="0089670E">
        <w:rPr>
          <w:noProof/>
        </w:rPr>
        <w:t xml:space="preserve"> 273–284.</w:t>
      </w:r>
    </w:p>
    <w:p w14:paraId="3F350097" w14:textId="77777777" w:rsidR="00232741" w:rsidRPr="0089670E" w:rsidRDefault="00232741" w:rsidP="00232741">
      <w:pPr>
        <w:pStyle w:val="aff1"/>
        <w:ind w:left="426" w:hanging="426"/>
        <w:rPr>
          <w:noProof/>
        </w:rPr>
      </w:pPr>
      <w:r w:rsidRPr="0089670E">
        <w:rPr>
          <w:noProof/>
        </w:rPr>
        <w:t>Schofield</w:t>
      </w:r>
      <w:r>
        <w:rPr>
          <w:rFonts w:hint="eastAsia"/>
          <w:noProof/>
          <w:lang w:eastAsia="ko-KR"/>
        </w:rPr>
        <w:t>,</w:t>
      </w:r>
      <w:r w:rsidRPr="0089670E">
        <w:rPr>
          <w:noProof/>
        </w:rPr>
        <w:t xml:space="preserve"> G</w:t>
      </w:r>
      <w:r>
        <w:rPr>
          <w:rFonts w:hint="eastAsia"/>
          <w:noProof/>
          <w:lang w:eastAsia="ko-KR"/>
        </w:rPr>
        <w:t>.</w:t>
      </w:r>
      <w:r w:rsidRPr="0089670E">
        <w:rPr>
          <w:noProof/>
        </w:rPr>
        <w:t>B</w:t>
      </w:r>
      <w:r>
        <w:rPr>
          <w:rFonts w:hint="eastAsia"/>
          <w:noProof/>
          <w:lang w:eastAsia="ko-KR"/>
        </w:rPr>
        <w:t>.,</w:t>
      </w:r>
      <w:r w:rsidRPr="0089670E">
        <w:rPr>
          <w:noProof/>
        </w:rPr>
        <w:t xml:space="preserve"> Dolphin</w:t>
      </w:r>
      <w:r>
        <w:rPr>
          <w:rFonts w:hint="eastAsia"/>
          <w:noProof/>
          <w:lang w:eastAsia="ko-KR"/>
        </w:rPr>
        <w:t>,</w:t>
      </w:r>
      <w:r w:rsidRPr="0089670E">
        <w:rPr>
          <w:noProof/>
        </w:rPr>
        <w:t xml:space="preserve"> G</w:t>
      </w:r>
      <w:r>
        <w:rPr>
          <w:rFonts w:hint="eastAsia"/>
          <w:noProof/>
          <w:lang w:eastAsia="ko-KR"/>
        </w:rPr>
        <w:t>.</w:t>
      </w:r>
      <w:r w:rsidRPr="0089670E">
        <w:rPr>
          <w:noProof/>
        </w:rPr>
        <w:t>W</w:t>
      </w:r>
      <w:r>
        <w:rPr>
          <w:rFonts w:hint="eastAsia"/>
          <w:noProof/>
          <w:lang w:eastAsia="ko-KR"/>
        </w:rPr>
        <w:t xml:space="preserve">., </w:t>
      </w:r>
      <w:r w:rsidRPr="0089670E">
        <w:rPr>
          <w:noProof/>
        </w:rPr>
        <w:t>1974</w:t>
      </w:r>
      <w:r>
        <w:rPr>
          <w:rFonts w:hint="eastAsia"/>
          <w:noProof/>
          <w:lang w:eastAsia="ko-KR"/>
        </w:rPr>
        <w:t>.</w:t>
      </w:r>
      <w:r w:rsidRPr="0089670E">
        <w:rPr>
          <w:noProof/>
        </w:rPr>
        <w:t xml:space="preserve"> U.K. experience on the medical aspects of radiological protection of workers handling plutonium. </w:t>
      </w:r>
      <w:r w:rsidRPr="00B13998">
        <w:rPr>
          <w:noProof/>
        </w:rPr>
        <w:t>Ann. Occup. Hyg.</w:t>
      </w:r>
      <w:r w:rsidRPr="0089670E">
        <w:rPr>
          <w:noProof/>
        </w:rPr>
        <w:t xml:space="preserve"> 17(2)</w:t>
      </w:r>
      <w:r>
        <w:rPr>
          <w:rFonts w:hint="eastAsia"/>
          <w:noProof/>
          <w:lang w:eastAsia="ko-KR"/>
        </w:rPr>
        <w:t>.</w:t>
      </w:r>
      <w:r w:rsidRPr="0089670E">
        <w:rPr>
          <w:noProof/>
        </w:rPr>
        <w:t xml:space="preserve"> 73–83.</w:t>
      </w:r>
    </w:p>
    <w:p w14:paraId="6F646710" w14:textId="77777777" w:rsidR="00232741" w:rsidRPr="0089670E" w:rsidRDefault="00232741" w:rsidP="00232741">
      <w:pPr>
        <w:pStyle w:val="aff1"/>
        <w:ind w:left="426" w:hanging="426"/>
        <w:rPr>
          <w:noProof/>
        </w:rPr>
      </w:pPr>
      <w:r w:rsidRPr="0089670E">
        <w:rPr>
          <w:noProof/>
        </w:rPr>
        <w:t>Schuppler</w:t>
      </w:r>
      <w:r>
        <w:rPr>
          <w:rFonts w:hint="eastAsia"/>
          <w:noProof/>
          <w:lang w:eastAsia="ko-KR"/>
        </w:rPr>
        <w:t>,</w:t>
      </w:r>
      <w:r w:rsidRPr="0089670E">
        <w:rPr>
          <w:noProof/>
        </w:rPr>
        <w:t xml:space="preserve"> U</w:t>
      </w:r>
      <w:r>
        <w:rPr>
          <w:rFonts w:hint="eastAsia"/>
          <w:noProof/>
          <w:lang w:eastAsia="ko-KR"/>
        </w:rPr>
        <w:t>.</w:t>
      </w:r>
      <w:r w:rsidRPr="0089670E">
        <w:rPr>
          <w:noProof/>
        </w:rPr>
        <w:t>, Planas-Bohne</w:t>
      </w:r>
      <w:r>
        <w:rPr>
          <w:rFonts w:hint="eastAsia"/>
          <w:noProof/>
          <w:lang w:eastAsia="ko-KR"/>
        </w:rPr>
        <w:t>,</w:t>
      </w:r>
      <w:r w:rsidRPr="0089670E">
        <w:rPr>
          <w:noProof/>
        </w:rPr>
        <w:t xml:space="preserve"> F</w:t>
      </w:r>
      <w:r>
        <w:rPr>
          <w:rFonts w:hint="eastAsia"/>
          <w:noProof/>
          <w:lang w:eastAsia="ko-KR"/>
        </w:rPr>
        <w:t>.,</w:t>
      </w:r>
      <w:r w:rsidRPr="0089670E">
        <w:rPr>
          <w:noProof/>
        </w:rPr>
        <w:t xml:space="preserve"> Taylor</w:t>
      </w:r>
      <w:r>
        <w:rPr>
          <w:rFonts w:hint="eastAsia"/>
          <w:noProof/>
          <w:lang w:eastAsia="ko-KR"/>
        </w:rPr>
        <w:t>,</w:t>
      </w:r>
      <w:r w:rsidRPr="0089670E">
        <w:rPr>
          <w:noProof/>
        </w:rPr>
        <w:t xml:space="preserve"> D</w:t>
      </w:r>
      <w:r>
        <w:rPr>
          <w:rFonts w:hint="eastAsia"/>
          <w:noProof/>
          <w:lang w:eastAsia="ko-KR"/>
        </w:rPr>
        <w:t>.</w:t>
      </w:r>
      <w:r w:rsidRPr="0089670E">
        <w:rPr>
          <w:noProof/>
        </w:rPr>
        <w:t>M</w:t>
      </w:r>
      <w:r>
        <w:rPr>
          <w:rFonts w:hint="eastAsia"/>
          <w:noProof/>
          <w:lang w:eastAsia="ko-KR"/>
        </w:rPr>
        <w:t>.,</w:t>
      </w:r>
      <w:r w:rsidRPr="0089670E">
        <w:rPr>
          <w:noProof/>
        </w:rPr>
        <w:t xml:space="preserve"> 1988</w:t>
      </w:r>
      <w:r>
        <w:rPr>
          <w:rFonts w:hint="eastAsia"/>
          <w:noProof/>
          <w:lang w:eastAsia="ko-KR"/>
        </w:rPr>
        <w:t>.</w:t>
      </w:r>
      <w:r w:rsidRPr="0089670E">
        <w:rPr>
          <w:noProof/>
        </w:rPr>
        <w:t xml:space="preserve"> Biochemical binding and distribution of protactinium-233 in the rat. </w:t>
      </w:r>
      <w:r w:rsidRPr="005666C8">
        <w:rPr>
          <w:noProof/>
        </w:rPr>
        <w:t>Int. J. Radiat. Biol. Relat. Stud. Phys. Chem. Med.</w:t>
      </w:r>
      <w:r w:rsidRPr="0089670E">
        <w:rPr>
          <w:noProof/>
        </w:rPr>
        <w:t xml:space="preserve"> 53(3)</w:t>
      </w:r>
      <w:r>
        <w:rPr>
          <w:rFonts w:hint="eastAsia"/>
          <w:noProof/>
          <w:lang w:eastAsia="ko-KR"/>
        </w:rPr>
        <w:t>.</w:t>
      </w:r>
      <w:r w:rsidRPr="0089670E">
        <w:rPr>
          <w:noProof/>
        </w:rPr>
        <w:t xml:space="preserve"> 457–466.</w:t>
      </w:r>
    </w:p>
    <w:p w14:paraId="79D2B237" w14:textId="77777777" w:rsidR="00232741" w:rsidRPr="0089670E" w:rsidRDefault="00232741" w:rsidP="00232741">
      <w:pPr>
        <w:pStyle w:val="aff1"/>
        <w:ind w:left="426" w:hanging="426"/>
        <w:rPr>
          <w:noProof/>
        </w:rPr>
      </w:pPr>
      <w:r w:rsidRPr="0089670E">
        <w:rPr>
          <w:noProof/>
        </w:rPr>
        <w:t>Scott</w:t>
      </w:r>
      <w:r>
        <w:rPr>
          <w:rFonts w:hint="eastAsia"/>
          <w:noProof/>
          <w:lang w:eastAsia="ko-KR"/>
        </w:rPr>
        <w:t>,</w:t>
      </w:r>
      <w:r w:rsidRPr="0089670E">
        <w:rPr>
          <w:noProof/>
        </w:rPr>
        <w:t xml:space="preserve"> K</w:t>
      </w:r>
      <w:r>
        <w:rPr>
          <w:rFonts w:hint="eastAsia"/>
          <w:noProof/>
          <w:lang w:eastAsia="ko-KR"/>
        </w:rPr>
        <w:t>.</w:t>
      </w:r>
      <w:r w:rsidRPr="0089670E">
        <w:rPr>
          <w:noProof/>
        </w:rPr>
        <w:t>G</w:t>
      </w:r>
      <w:r>
        <w:rPr>
          <w:rFonts w:hint="eastAsia"/>
          <w:noProof/>
          <w:lang w:eastAsia="ko-KR"/>
        </w:rPr>
        <w:t>.</w:t>
      </w:r>
      <w:r w:rsidRPr="0089670E">
        <w:rPr>
          <w:noProof/>
        </w:rPr>
        <w:t>, Copp</w:t>
      </w:r>
      <w:r>
        <w:rPr>
          <w:rFonts w:hint="eastAsia"/>
          <w:noProof/>
          <w:lang w:eastAsia="ko-KR"/>
        </w:rPr>
        <w:t>,</w:t>
      </w:r>
      <w:r w:rsidRPr="0089670E">
        <w:rPr>
          <w:noProof/>
        </w:rPr>
        <w:t xml:space="preserve"> D</w:t>
      </w:r>
      <w:r>
        <w:rPr>
          <w:rFonts w:hint="eastAsia"/>
          <w:noProof/>
          <w:lang w:eastAsia="ko-KR"/>
        </w:rPr>
        <w:t>.</w:t>
      </w:r>
      <w:r w:rsidRPr="0089670E">
        <w:rPr>
          <w:noProof/>
        </w:rPr>
        <w:t>H</w:t>
      </w:r>
      <w:r>
        <w:rPr>
          <w:rFonts w:hint="eastAsia"/>
          <w:noProof/>
          <w:lang w:eastAsia="ko-KR"/>
        </w:rPr>
        <w:t>.</w:t>
      </w:r>
      <w:r w:rsidRPr="0089670E">
        <w:rPr>
          <w:noProof/>
        </w:rPr>
        <w:t>, Axelrod</w:t>
      </w:r>
      <w:r>
        <w:rPr>
          <w:rFonts w:hint="eastAsia"/>
          <w:noProof/>
          <w:lang w:eastAsia="ko-KR"/>
        </w:rPr>
        <w:t>,</w:t>
      </w:r>
      <w:r w:rsidRPr="0089670E">
        <w:rPr>
          <w:noProof/>
        </w:rPr>
        <w:t xml:space="preserve"> D</w:t>
      </w:r>
      <w:r>
        <w:rPr>
          <w:rFonts w:hint="eastAsia"/>
          <w:noProof/>
          <w:lang w:eastAsia="ko-KR"/>
        </w:rPr>
        <w:t>.</w:t>
      </w:r>
      <w:r w:rsidRPr="0089670E">
        <w:rPr>
          <w:noProof/>
        </w:rPr>
        <w:t>J</w:t>
      </w:r>
      <w:r>
        <w:rPr>
          <w:rFonts w:hint="eastAsia"/>
          <w:noProof/>
          <w:lang w:eastAsia="ko-KR"/>
        </w:rPr>
        <w:t>.</w:t>
      </w:r>
      <w:r w:rsidRPr="0089670E">
        <w:rPr>
          <w:noProof/>
        </w:rPr>
        <w:t>, et al.</w:t>
      </w:r>
      <w:r>
        <w:rPr>
          <w:rFonts w:hint="eastAsia"/>
          <w:noProof/>
          <w:lang w:eastAsia="ko-KR"/>
        </w:rPr>
        <w:t>,</w:t>
      </w:r>
      <w:r w:rsidRPr="0089670E">
        <w:rPr>
          <w:noProof/>
        </w:rPr>
        <w:t xml:space="preserve"> 1948</w:t>
      </w:r>
      <w:r>
        <w:rPr>
          <w:rFonts w:hint="eastAsia"/>
          <w:noProof/>
          <w:lang w:eastAsia="ko-KR"/>
        </w:rPr>
        <w:t>.</w:t>
      </w:r>
      <w:r w:rsidRPr="0089670E">
        <w:rPr>
          <w:noProof/>
        </w:rPr>
        <w:t xml:space="preserve"> The metabolism of americium in the rat. </w:t>
      </w:r>
      <w:r w:rsidRPr="00B13998">
        <w:rPr>
          <w:noProof/>
        </w:rPr>
        <w:t>J. Biol. Chem.</w:t>
      </w:r>
      <w:r w:rsidRPr="0089670E">
        <w:rPr>
          <w:noProof/>
        </w:rPr>
        <w:t xml:space="preserve"> 175(2)</w:t>
      </w:r>
      <w:r>
        <w:rPr>
          <w:rFonts w:hint="eastAsia"/>
          <w:noProof/>
          <w:lang w:eastAsia="ko-KR"/>
        </w:rPr>
        <w:t>.</w:t>
      </w:r>
      <w:r w:rsidRPr="0089670E">
        <w:rPr>
          <w:noProof/>
        </w:rPr>
        <w:t xml:space="preserve"> 691–703.</w:t>
      </w:r>
    </w:p>
    <w:p w14:paraId="230BED48" w14:textId="77777777" w:rsidR="00232741" w:rsidRPr="0089670E" w:rsidRDefault="00232741" w:rsidP="00232741">
      <w:pPr>
        <w:pStyle w:val="aff1"/>
        <w:ind w:left="426" w:hanging="426"/>
        <w:rPr>
          <w:noProof/>
        </w:rPr>
      </w:pPr>
      <w:r w:rsidRPr="0089670E">
        <w:rPr>
          <w:noProof/>
        </w:rPr>
        <w:t>Scott</w:t>
      </w:r>
      <w:r>
        <w:rPr>
          <w:rFonts w:hint="eastAsia"/>
          <w:noProof/>
          <w:lang w:eastAsia="ko-KR"/>
        </w:rPr>
        <w:t>,</w:t>
      </w:r>
      <w:r w:rsidRPr="0089670E">
        <w:rPr>
          <w:noProof/>
        </w:rPr>
        <w:t xml:space="preserve"> K</w:t>
      </w:r>
      <w:r>
        <w:rPr>
          <w:rFonts w:hint="eastAsia"/>
          <w:noProof/>
          <w:lang w:eastAsia="ko-KR"/>
        </w:rPr>
        <w:t>.</w:t>
      </w:r>
      <w:r w:rsidRPr="0089670E">
        <w:rPr>
          <w:noProof/>
        </w:rPr>
        <w:t>G</w:t>
      </w:r>
      <w:r>
        <w:rPr>
          <w:rFonts w:hint="eastAsia"/>
          <w:noProof/>
          <w:lang w:eastAsia="ko-KR"/>
        </w:rPr>
        <w:t>.</w:t>
      </w:r>
      <w:r w:rsidRPr="0089670E">
        <w:rPr>
          <w:noProof/>
        </w:rPr>
        <w:t>, Axelrod</w:t>
      </w:r>
      <w:r>
        <w:rPr>
          <w:rFonts w:hint="eastAsia"/>
          <w:noProof/>
          <w:lang w:eastAsia="ko-KR"/>
        </w:rPr>
        <w:t>,</w:t>
      </w:r>
      <w:r w:rsidRPr="0089670E">
        <w:rPr>
          <w:noProof/>
        </w:rPr>
        <w:t xml:space="preserve"> D</w:t>
      </w:r>
      <w:r>
        <w:rPr>
          <w:rFonts w:hint="eastAsia"/>
          <w:noProof/>
          <w:lang w:eastAsia="ko-KR"/>
        </w:rPr>
        <w:t>.</w:t>
      </w:r>
      <w:r w:rsidRPr="0089670E">
        <w:rPr>
          <w:noProof/>
        </w:rPr>
        <w:t>J</w:t>
      </w:r>
      <w:r>
        <w:rPr>
          <w:rFonts w:hint="eastAsia"/>
          <w:noProof/>
          <w:lang w:eastAsia="ko-KR"/>
        </w:rPr>
        <w:t>.,</w:t>
      </w:r>
      <w:r w:rsidRPr="0089670E">
        <w:rPr>
          <w:noProof/>
        </w:rPr>
        <w:t xml:space="preserve"> Hamilton</w:t>
      </w:r>
      <w:r>
        <w:rPr>
          <w:rFonts w:hint="eastAsia"/>
          <w:noProof/>
          <w:lang w:eastAsia="ko-KR"/>
        </w:rPr>
        <w:t>,</w:t>
      </w:r>
      <w:r w:rsidRPr="0089670E">
        <w:rPr>
          <w:noProof/>
        </w:rPr>
        <w:t xml:space="preserve"> J</w:t>
      </w:r>
      <w:r>
        <w:rPr>
          <w:rFonts w:hint="eastAsia"/>
          <w:noProof/>
          <w:lang w:eastAsia="ko-KR"/>
        </w:rPr>
        <w:t>.</w:t>
      </w:r>
      <w:r w:rsidRPr="0089670E">
        <w:rPr>
          <w:noProof/>
        </w:rPr>
        <w:t>G</w:t>
      </w:r>
      <w:r>
        <w:rPr>
          <w:rFonts w:hint="eastAsia"/>
          <w:noProof/>
          <w:lang w:eastAsia="ko-KR"/>
        </w:rPr>
        <w:t>.,</w:t>
      </w:r>
      <w:r w:rsidRPr="0089670E">
        <w:rPr>
          <w:noProof/>
        </w:rPr>
        <w:t xml:space="preserve"> 1949</w:t>
      </w:r>
      <w:r>
        <w:rPr>
          <w:rFonts w:hint="eastAsia"/>
          <w:noProof/>
          <w:lang w:eastAsia="ko-KR"/>
        </w:rPr>
        <w:t>.</w:t>
      </w:r>
      <w:r w:rsidRPr="0089670E">
        <w:rPr>
          <w:noProof/>
        </w:rPr>
        <w:t xml:space="preserve"> The metabolism of curium in the rat. </w:t>
      </w:r>
      <w:r w:rsidRPr="00ED6790">
        <w:rPr>
          <w:noProof/>
        </w:rPr>
        <w:t xml:space="preserve">The </w:t>
      </w:r>
      <w:r w:rsidRPr="00B13998">
        <w:rPr>
          <w:noProof/>
        </w:rPr>
        <w:t>J. Biol. Chem.</w:t>
      </w:r>
      <w:r w:rsidRPr="0089670E">
        <w:rPr>
          <w:noProof/>
        </w:rPr>
        <w:t xml:space="preserve"> 177(1)</w:t>
      </w:r>
      <w:r>
        <w:rPr>
          <w:rFonts w:hint="eastAsia"/>
          <w:noProof/>
          <w:lang w:eastAsia="ko-KR"/>
        </w:rPr>
        <w:t>.</w:t>
      </w:r>
      <w:r w:rsidRPr="0089670E">
        <w:rPr>
          <w:noProof/>
        </w:rPr>
        <w:t xml:space="preserve"> 325–335.</w:t>
      </w:r>
    </w:p>
    <w:p w14:paraId="1B9A9C08" w14:textId="77777777" w:rsidR="00232741" w:rsidRPr="0089670E" w:rsidRDefault="00232741" w:rsidP="00232741">
      <w:pPr>
        <w:pStyle w:val="aff1"/>
        <w:ind w:left="426" w:hanging="426"/>
        <w:rPr>
          <w:noProof/>
        </w:rPr>
      </w:pPr>
      <w:r w:rsidRPr="0089670E">
        <w:rPr>
          <w:noProof/>
        </w:rPr>
        <w:t>Seidel</w:t>
      </w:r>
      <w:r>
        <w:rPr>
          <w:rFonts w:hint="eastAsia"/>
          <w:noProof/>
          <w:lang w:eastAsia="ko-KR"/>
        </w:rPr>
        <w:t>,</w:t>
      </w:r>
      <w:r w:rsidRPr="0089670E">
        <w:rPr>
          <w:noProof/>
        </w:rPr>
        <w:t xml:space="preserve"> A</w:t>
      </w:r>
      <w:r>
        <w:rPr>
          <w:rFonts w:hint="eastAsia"/>
          <w:noProof/>
          <w:lang w:eastAsia="ko-KR"/>
        </w:rPr>
        <w:t>.,</w:t>
      </w:r>
      <w:r w:rsidRPr="0089670E">
        <w:rPr>
          <w:noProof/>
        </w:rPr>
        <w:t xml:space="preserve"> Volf</w:t>
      </w:r>
      <w:r>
        <w:rPr>
          <w:rFonts w:hint="eastAsia"/>
          <w:noProof/>
          <w:lang w:eastAsia="ko-KR"/>
        </w:rPr>
        <w:t>,</w:t>
      </w:r>
      <w:r w:rsidRPr="0089670E">
        <w:rPr>
          <w:noProof/>
        </w:rPr>
        <w:t xml:space="preserve"> V</w:t>
      </w:r>
      <w:r>
        <w:rPr>
          <w:rFonts w:hint="eastAsia"/>
          <w:noProof/>
          <w:lang w:eastAsia="ko-KR"/>
        </w:rPr>
        <w:t>.,</w:t>
      </w:r>
      <w:r w:rsidRPr="0089670E">
        <w:rPr>
          <w:noProof/>
        </w:rPr>
        <w:t xml:space="preserve"> 1972</w:t>
      </w:r>
      <w:r>
        <w:rPr>
          <w:rFonts w:hint="eastAsia"/>
          <w:noProof/>
          <w:lang w:eastAsia="ko-KR"/>
        </w:rPr>
        <w:t>.</w:t>
      </w:r>
      <w:r w:rsidRPr="0089670E">
        <w:rPr>
          <w:noProof/>
        </w:rPr>
        <w:t xml:space="preserve"> Removal of internally deposited transuranium elements by zn-dtpa. </w:t>
      </w:r>
      <w:r w:rsidRPr="001D350F">
        <w:rPr>
          <w:noProof/>
        </w:rPr>
        <w:t>Health Phys.</w:t>
      </w:r>
      <w:r w:rsidRPr="0089670E">
        <w:rPr>
          <w:noProof/>
        </w:rPr>
        <w:t xml:space="preserve"> 22(6)</w:t>
      </w:r>
      <w:r>
        <w:rPr>
          <w:rFonts w:hint="eastAsia"/>
          <w:noProof/>
          <w:lang w:eastAsia="ko-KR"/>
        </w:rPr>
        <w:t>.</w:t>
      </w:r>
      <w:r w:rsidRPr="0089670E">
        <w:rPr>
          <w:noProof/>
        </w:rPr>
        <w:t xml:space="preserve"> 779–783.</w:t>
      </w:r>
    </w:p>
    <w:p w14:paraId="15608D37" w14:textId="77777777" w:rsidR="00232741" w:rsidRPr="0089670E" w:rsidRDefault="00232741" w:rsidP="00232741">
      <w:pPr>
        <w:pStyle w:val="aff1"/>
        <w:ind w:left="426" w:hanging="426"/>
        <w:rPr>
          <w:noProof/>
          <w:lang w:eastAsia="ko-KR"/>
        </w:rPr>
      </w:pPr>
      <w:r w:rsidRPr="0089670E">
        <w:rPr>
          <w:noProof/>
        </w:rPr>
        <w:t>Shipler</w:t>
      </w:r>
      <w:r>
        <w:rPr>
          <w:rFonts w:hint="eastAsia"/>
          <w:noProof/>
          <w:lang w:eastAsia="ko-KR"/>
        </w:rPr>
        <w:t>,</w:t>
      </w:r>
      <w:r w:rsidRPr="0089670E">
        <w:rPr>
          <w:noProof/>
        </w:rPr>
        <w:t xml:space="preserve"> D</w:t>
      </w:r>
      <w:r>
        <w:rPr>
          <w:rFonts w:hint="eastAsia"/>
          <w:noProof/>
          <w:lang w:eastAsia="ko-KR"/>
        </w:rPr>
        <w:t>.</w:t>
      </w:r>
      <w:r w:rsidRPr="0089670E">
        <w:rPr>
          <w:noProof/>
        </w:rPr>
        <w:t>B</w:t>
      </w:r>
      <w:r>
        <w:rPr>
          <w:rFonts w:hint="eastAsia"/>
          <w:noProof/>
          <w:lang w:eastAsia="ko-KR"/>
        </w:rPr>
        <w:t>.</w:t>
      </w:r>
      <w:r w:rsidRPr="0089670E">
        <w:rPr>
          <w:noProof/>
        </w:rPr>
        <w:t>, Ballou</w:t>
      </w:r>
      <w:r>
        <w:rPr>
          <w:rFonts w:hint="eastAsia"/>
          <w:noProof/>
          <w:lang w:eastAsia="ko-KR"/>
        </w:rPr>
        <w:t>,</w:t>
      </w:r>
      <w:r w:rsidRPr="0089670E">
        <w:rPr>
          <w:noProof/>
        </w:rPr>
        <w:t xml:space="preserve"> J</w:t>
      </w:r>
      <w:r>
        <w:rPr>
          <w:rFonts w:hint="eastAsia"/>
          <w:noProof/>
          <w:lang w:eastAsia="ko-KR"/>
        </w:rPr>
        <w:t>.</w:t>
      </w:r>
      <w:r w:rsidRPr="0089670E">
        <w:rPr>
          <w:noProof/>
        </w:rPr>
        <w:t>E</w:t>
      </w:r>
      <w:r>
        <w:rPr>
          <w:rFonts w:hint="eastAsia"/>
          <w:noProof/>
          <w:lang w:eastAsia="ko-KR"/>
        </w:rPr>
        <w:t>.</w:t>
      </w:r>
      <w:r w:rsidRPr="0089670E">
        <w:rPr>
          <w:noProof/>
        </w:rPr>
        <w:t>, Griffin</w:t>
      </w:r>
      <w:r>
        <w:rPr>
          <w:rFonts w:hint="eastAsia"/>
          <w:noProof/>
          <w:lang w:eastAsia="ko-KR"/>
        </w:rPr>
        <w:t>,</w:t>
      </w:r>
      <w:r w:rsidRPr="0089670E">
        <w:rPr>
          <w:noProof/>
        </w:rPr>
        <w:t xml:space="preserve"> B</w:t>
      </w:r>
      <w:r>
        <w:rPr>
          <w:rFonts w:hint="eastAsia"/>
          <w:noProof/>
          <w:lang w:eastAsia="ko-KR"/>
        </w:rPr>
        <w:t>.</w:t>
      </w:r>
      <w:r w:rsidRPr="0089670E">
        <w:rPr>
          <w:noProof/>
        </w:rPr>
        <w:t>I</w:t>
      </w:r>
      <w:r>
        <w:rPr>
          <w:rFonts w:hint="eastAsia"/>
          <w:noProof/>
          <w:lang w:eastAsia="ko-KR"/>
        </w:rPr>
        <w:t>.</w:t>
      </w:r>
      <w:r w:rsidRPr="0089670E">
        <w:rPr>
          <w:noProof/>
        </w:rPr>
        <w:t>, et al.</w:t>
      </w:r>
      <w:r>
        <w:rPr>
          <w:rFonts w:hint="eastAsia"/>
          <w:noProof/>
          <w:lang w:eastAsia="ko-KR"/>
        </w:rPr>
        <w:t>,</w:t>
      </w:r>
      <w:r w:rsidRPr="0089670E">
        <w:rPr>
          <w:noProof/>
        </w:rPr>
        <w:t xml:space="preserve"> 1976</w:t>
      </w:r>
      <w:r>
        <w:rPr>
          <w:rFonts w:hint="eastAsia"/>
          <w:noProof/>
          <w:lang w:eastAsia="ko-KR"/>
        </w:rPr>
        <w:t>.</w:t>
      </w:r>
      <w:r w:rsidRPr="0089670E">
        <w:rPr>
          <w:noProof/>
        </w:rPr>
        <w:t xml:space="preserve"> </w:t>
      </w:r>
      <w:r w:rsidRPr="00ED6790">
        <w:rPr>
          <w:noProof/>
        </w:rPr>
        <w:t>Development of a Diagnostic Model for Inhaled Promethium-147 Oxide-Animal Studies.</w:t>
      </w:r>
      <w:r w:rsidRPr="0089670E">
        <w:rPr>
          <w:noProof/>
        </w:rPr>
        <w:t xml:space="preserve"> Diagnosis and treatment of incorporated radionuclides IAEA-SR-6/28.</w:t>
      </w:r>
      <w:r>
        <w:rPr>
          <w:rFonts w:hint="eastAsia"/>
          <w:noProof/>
          <w:lang w:eastAsia="ko-KR"/>
        </w:rPr>
        <w:t xml:space="preserve"> </w:t>
      </w:r>
      <w:r w:rsidRPr="0089670E">
        <w:rPr>
          <w:noProof/>
        </w:rPr>
        <w:t>IAEA.</w:t>
      </w:r>
      <w:r w:rsidRPr="00B13998">
        <w:rPr>
          <w:noProof/>
        </w:rPr>
        <w:t xml:space="preserve"> </w:t>
      </w:r>
      <w:r w:rsidRPr="0089670E">
        <w:rPr>
          <w:noProof/>
        </w:rPr>
        <w:t>Vienna</w:t>
      </w:r>
      <w:r>
        <w:rPr>
          <w:rFonts w:hint="eastAsia"/>
          <w:noProof/>
          <w:lang w:eastAsia="ko-KR"/>
        </w:rPr>
        <w:t>.</w:t>
      </w:r>
    </w:p>
    <w:p w14:paraId="34163433" w14:textId="77777777" w:rsidR="00232741" w:rsidRPr="0089670E" w:rsidRDefault="00232741" w:rsidP="00232741">
      <w:pPr>
        <w:pStyle w:val="aff1"/>
        <w:ind w:left="426" w:hanging="426"/>
        <w:rPr>
          <w:noProof/>
        </w:rPr>
      </w:pPr>
      <w:r w:rsidRPr="0089670E">
        <w:rPr>
          <w:noProof/>
        </w:rPr>
        <w:t>Shiraishi</w:t>
      </w:r>
      <w:r>
        <w:rPr>
          <w:rFonts w:hint="eastAsia"/>
          <w:noProof/>
          <w:lang w:eastAsia="ko-KR"/>
        </w:rPr>
        <w:t>,</w:t>
      </w:r>
      <w:r w:rsidRPr="0089670E">
        <w:rPr>
          <w:noProof/>
        </w:rPr>
        <w:t xml:space="preserve"> Y</w:t>
      </w:r>
      <w:r>
        <w:rPr>
          <w:rFonts w:hint="eastAsia"/>
          <w:noProof/>
          <w:lang w:eastAsia="ko-KR"/>
        </w:rPr>
        <w:t>.,</w:t>
      </w:r>
      <w:r w:rsidRPr="0089670E">
        <w:rPr>
          <w:noProof/>
        </w:rPr>
        <w:t xml:space="preserve"> Ichikawa</w:t>
      </w:r>
      <w:r>
        <w:rPr>
          <w:rFonts w:hint="eastAsia"/>
          <w:noProof/>
          <w:lang w:eastAsia="ko-KR"/>
        </w:rPr>
        <w:t>,</w:t>
      </w:r>
      <w:r w:rsidRPr="0089670E">
        <w:rPr>
          <w:noProof/>
        </w:rPr>
        <w:t xml:space="preserve"> R</w:t>
      </w:r>
      <w:r>
        <w:rPr>
          <w:rFonts w:hint="eastAsia"/>
          <w:noProof/>
          <w:lang w:eastAsia="ko-KR"/>
        </w:rPr>
        <w:t>.,</w:t>
      </w:r>
      <w:r w:rsidRPr="0089670E">
        <w:rPr>
          <w:noProof/>
        </w:rPr>
        <w:t xml:space="preserve"> 1972</w:t>
      </w:r>
      <w:r>
        <w:rPr>
          <w:rFonts w:hint="eastAsia"/>
          <w:noProof/>
          <w:lang w:eastAsia="ko-KR"/>
        </w:rPr>
        <w:t>.</w:t>
      </w:r>
      <w:r w:rsidRPr="0089670E">
        <w:rPr>
          <w:noProof/>
        </w:rPr>
        <w:t xml:space="preserve"> Absorption and retention of </w:t>
      </w:r>
      <w:r w:rsidRPr="00B13998">
        <w:rPr>
          <w:noProof/>
          <w:vertAlign w:val="superscript"/>
        </w:rPr>
        <w:t>144</w:t>
      </w:r>
      <w:r w:rsidRPr="0089670E">
        <w:rPr>
          <w:noProof/>
        </w:rPr>
        <w:t xml:space="preserve">Ce and </w:t>
      </w:r>
      <w:r w:rsidRPr="00B13998">
        <w:rPr>
          <w:noProof/>
          <w:vertAlign w:val="superscript"/>
        </w:rPr>
        <w:t>95</w:t>
      </w:r>
      <w:r w:rsidRPr="0089670E">
        <w:rPr>
          <w:noProof/>
        </w:rPr>
        <w:t>Zr-</w:t>
      </w:r>
      <w:r w:rsidRPr="00B13998">
        <w:rPr>
          <w:noProof/>
          <w:vertAlign w:val="superscript"/>
        </w:rPr>
        <w:t>95</w:t>
      </w:r>
      <w:r w:rsidRPr="0089670E">
        <w:rPr>
          <w:noProof/>
        </w:rPr>
        <w:t xml:space="preserve">Nb in newborn, juvenile and adult rats. </w:t>
      </w:r>
      <w:r w:rsidRPr="001D350F">
        <w:rPr>
          <w:noProof/>
        </w:rPr>
        <w:t>Health Phys.</w:t>
      </w:r>
      <w:r w:rsidRPr="0089670E">
        <w:rPr>
          <w:noProof/>
        </w:rPr>
        <w:t xml:space="preserve"> 22(4)</w:t>
      </w:r>
      <w:r>
        <w:rPr>
          <w:rFonts w:hint="eastAsia"/>
          <w:noProof/>
          <w:lang w:eastAsia="ko-KR"/>
        </w:rPr>
        <w:t>.</w:t>
      </w:r>
      <w:r w:rsidRPr="0089670E">
        <w:rPr>
          <w:noProof/>
        </w:rPr>
        <w:t xml:space="preserve"> 373–378.</w:t>
      </w:r>
    </w:p>
    <w:p w14:paraId="52DD4B5D" w14:textId="77777777" w:rsidR="00232741" w:rsidRPr="0089670E" w:rsidRDefault="00232741" w:rsidP="00232741">
      <w:pPr>
        <w:pStyle w:val="aff1"/>
        <w:ind w:left="426" w:hanging="426"/>
        <w:rPr>
          <w:noProof/>
        </w:rPr>
      </w:pPr>
      <w:r w:rsidRPr="0089670E">
        <w:rPr>
          <w:noProof/>
        </w:rPr>
        <w:t>Shutt</w:t>
      </w:r>
      <w:r>
        <w:rPr>
          <w:rFonts w:hint="eastAsia"/>
          <w:noProof/>
          <w:lang w:eastAsia="ko-KR"/>
        </w:rPr>
        <w:t>,</w:t>
      </w:r>
      <w:r w:rsidRPr="0089670E">
        <w:rPr>
          <w:noProof/>
        </w:rPr>
        <w:t xml:space="preserve"> A</w:t>
      </w:r>
      <w:r>
        <w:rPr>
          <w:rFonts w:hint="eastAsia"/>
          <w:noProof/>
          <w:lang w:eastAsia="ko-KR"/>
        </w:rPr>
        <w:t>.</w:t>
      </w:r>
      <w:r w:rsidRPr="0089670E">
        <w:rPr>
          <w:noProof/>
        </w:rPr>
        <w:t>L</w:t>
      </w:r>
      <w:r>
        <w:rPr>
          <w:rFonts w:hint="eastAsia"/>
          <w:noProof/>
          <w:lang w:eastAsia="ko-KR"/>
        </w:rPr>
        <w:t xml:space="preserve">., </w:t>
      </w:r>
      <w:r w:rsidRPr="0089670E">
        <w:rPr>
          <w:noProof/>
        </w:rPr>
        <w:t>Etherington</w:t>
      </w:r>
      <w:r>
        <w:rPr>
          <w:rFonts w:hint="eastAsia"/>
          <w:noProof/>
          <w:lang w:eastAsia="ko-KR"/>
        </w:rPr>
        <w:t>,</w:t>
      </w:r>
      <w:r w:rsidRPr="0089670E">
        <w:rPr>
          <w:noProof/>
        </w:rPr>
        <w:t xml:space="preserve"> G</w:t>
      </w:r>
      <w:r>
        <w:rPr>
          <w:rFonts w:hint="eastAsia"/>
          <w:noProof/>
          <w:lang w:eastAsia="ko-KR"/>
        </w:rPr>
        <w:t>.,</w:t>
      </w:r>
      <w:r w:rsidRPr="0089670E">
        <w:rPr>
          <w:noProof/>
        </w:rPr>
        <w:t xml:space="preserve"> 2003</w:t>
      </w:r>
      <w:r>
        <w:rPr>
          <w:rFonts w:hint="eastAsia"/>
          <w:noProof/>
          <w:lang w:eastAsia="ko-KR"/>
        </w:rPr>
        <w:t>.</w:t>
      </w:r>
      <w:r w:rsidRPr="0089670E">
        <w:rPr>
          <w:noProof/>
        </w:rPr>
        <w:t xml:space="preserve"> Private communication.</w:t>
      </w:r>
    </w:p>
    <w:p w14:paraId="0EA10987" w14:textId="77777777" w:rsidR="00232741" w:rsidRPr="0089670E" w:rsidRDefault="00232741" w:rsidP="00232741">
      <w:pPr>
        <w:pStyle w:val="aff1"/>
        <w:ind w:left="426" w:hanging="426"/>
        <w:rPr>
          <w:noProof/>
        </w:rPr>
      </w:pPr>
      <w:r w:rsidRPr="0089670E">
        <w:rPr>
          <w:noProof/>
        </w:rPr>
        <w:t>Shutt</w:t>
      </w:r>
      <w:r>
        <w:rPr>
          <w:rFonts w:hint="eastAsia"/>
          <w:noProof/>
          <w:lang w:eastAsia="ko-KR"/>
        </w:rPr>
        <w:t>,</w:t>
      </w:r>
      <w:r w:rsidRPr="0089670E">
        <w:rPr>
          <w:noProof/>
        </w:rPr>
        <w:t xml:space="preserve"> A</w:t>
      </w:r>
      <w:r>
        <w:rPr>
          <w:rFonts w:hint="eastAsia"/>
          <w:noProof/>
          <w:lang w:eastAsia="ko-KR"/>
        </w:rPr>
        <w:t>.</w:t>
      </w:r>
      <w:r w:rsidRPr="0089670E">
        <w:rPr>
          <w:noProof/>
        </w:rPr>
        <w:t>L</w:t>
      </w:r>
      <w:r>
        <w:rPr>
          <w:rFonts w:hint="eastAsia"/>
          <w:noProof/>
          <w:lang w:eastAsia="ko-KR"/>
        </w:rPr>
        <w:t>.</w:t>
      </w:r>
      <w:r w:rsidRPr="0089670E">
        <w:rPr>
          <w:noProof/>
        </w:rPr>
        <w:t>, Youngman</w:t>
      </w:r>
      <w:r>
        <w:rPr>
          <w:rFonts w:hint="eastAsia"/>
          <w:noProof/>
          <w:lang w:eastAsia="ko-KR"/>
        </w:rPr>
        <w:t>,</w:t>
      </w:r>
      <w:r w:rsidRPr="0089670E">
        <w:rPr>
          <w:noProof/>
        </w:rPr>
        <w:t xml:space="preserve"> M</w:t>
      </w:r>
      <w:r>
        <w:rPr>
          <w:rFonts w:hint="eastAsia"/>
          <w:noProof/>
          <w:lang w:eastAsia="ko-KR"/>
        </w:rPr>
        <w:t>.</w:t>
      </w:r>
      <w:r w:rsidRPr="0089670E">
        <w:rPr>
          <w:noProof/>
        </w:rPr>
        <w:t>J</w:t>
      </w:r>
      <w:r>
        <w:rPr>
          <w:rFonts w:hint="eastAsia"/>
          <w:noProof/>
          <w:lang w:eastAsia="ko-KR"/>
        </w:rPr>
        <w:t>.</w:t>
      </w:r>
      <w:r w:rsidRPr="0089670E">
        <w:rPr>
          <w:noProof/>
        </w:rPr>
        <w:t>, Raine</w:t>
      </w:r>
      <w:r>
        <w:rPr>
          <w:rFonts w:hint="eastAsia"/>
          <w:noProof/>
          <w:lang w:eastAsia="ko-KR"/>
        </w:rPr>
        <w:t>,</w:t>
      </w:r>
      <w:r w:rsidRPr="0089670E">
        <w:rPr>
          <w:noProof/>
        </w:rPr>
        <w:t xml:space="preserve"> C</w:t>
      </w:r>
      <w:r>
        <w:rPr>
          <w:rFonts w:hint="eastAsia"/>
          <w:noProof/>
          <w:lang w:eastAsia="ko-KR"/>
        </w:rPr>
        <w:t>.</w:t>
      </w:r>
      <w:r w:rsidRPr="0089670E">
        <w:rPr>
          <w:noProof/>
        </w:rPr>
        <w:t>, et al.</w:t>
      </w:r>
      <w:r>
        <w:rPr>
          <w:rFonts w:hint="eastAsia"/>
          <w:noProof/>
          <w:lang w:eastAsia="ko-KR"/>
        </w:rPr>
        <w:t>,</w:t>
      </w:r>
      <w:r w:rsidRPr="0089670E">
        <w:rPr>
          <w:noProof/>
        </w:rPr>
        <w:t xml:space="preserve"> 2002</w:t>
      </w:r>
      <w:r>
        <w:rPr>
          <w:rFonts w:hint="eastAsia"/>
          <w:noProof/>
          <w:lang w:eastAsia="ko-KR"/>
        </w:rPr>
        <w:t>.</w:t>
      </w:r>
      <w:r w:rsidRPr="0089670E">
        <w:rPr>
          <w:noProof/>
        </w:rPr>
        <w:t xml:space="preserve"> A study of the human biokinetics of inhaled gadolinium oxide. </w:t>
      </w:r>
      <w:r w:rsidRPr="00B13998">
        <w:rPr>
          <w:noProof/>
        </w:rPr>
        <w:t>Ann. Occup. Hyg.</w:t>
      </w:r>
      <w:r w:rsidRPr="0089670E">
        <w:rPr>
          <w:noProof/>
        </w:rPr>
        <w:t xml:space="preserve"> 2002</w:t>
      </w:r>
      <w:r>
        <w:rPr>
          <w:rFonts w:hint="eastAsia"/>
          <w:noProof/>
          <w:lang w:eastAsia="ko-KR"/>
        </w:rPr>
        <w:t>.</w:t>
      </w:r>
      <w:r w:rsidRPr="0089670E">
        <w:rPr>
          <w:noProof/>
        </w:rPr>
        <w:t xml:space="preserve"> 320–322.</w:t>
      </w:r>
      <w:r>
        <w:rPr>
          <w:rFonts w:hint="eastAsia"/>
          <w:noProof/>
          <w:lang w:eastAsia="ko-KR"/>
        </w:rPr>
        <w:t xml:space="preserve"> </w:t>
      </w:r>
      <w:r w:rsidRPr="0089670E">
        <w:rPr>
          <w:noProof/>
        </w:rPr>
        <w:t>Available at: https://www.scopus.com/inward/record.uri?eid=2-s2.0-79951818378&amp;doi=10.1093%2fannhyg%2f46.suppl-1.320&amp;partnerID=40&amp;md5=b92f587a6ba40415c16e4343786a597e.</w:t>
      </w:r>
    </w:p>
    <w:p w14:paraId="52F7323E" w14:textId="77777777" w:rsidR="00232741" w:rsidRPr="0089670E" w:rsidRDefault="00232741" w:rsidP="00232741">
      <w:pPr>
        <w:pStyle w:val="aff1"/>
        <w:ind w:left="426" w:hanging="426"/>
        <w:rPr>
          <w:noProof/>
        </w:rPr>
      </w:pPr>
      <w:r w:rsidRPr="0089670E">
        <w:rPr>
          <w:noProof/>
        </w:rPr>
        <w:t>Singh</w:t>
      </w:r>
      <w:r>
        <w:rPr>
          <w:rFonts w:hint="eastAsia"/>
          <w:noProof/>
          <w:lang w:eastAsia="ko-KR"/>
        </w:rPr>
        <w:t>,</w:t>
      </w:r>
      <w:r w:rsidRPr="0089670E">
        <w:rPr>
          <w:noProof/>
        </w:rPr>
        <w:t xml:space="preserve"> N</w:t>
      </w:r>
      <w:r>
        <w:rPr>
          <w:rFonts w:hint="eastAsia"/>
          <w:noProof/>
          <w:lang w:eastAsia="ko-KR"/>
        </w:rPr>
        <w:t>.</w:t>
      </w:r>
      <w:r w:rsidRPr="0089670E">
        <w:rPr>
          <w:noProof/>
        </w:rPr>
        <w:t>P</w:t>
      </w:r>
      <w:r>
        <w:rPr>
          <w:rFonts w:hint="eastAsia"/>
          <w:noProof/>
          <w:lang w:eastAsia="ko-KR"/>
        </w:rPr>
        <w:t>.</w:t>
      </w:r>
      <w:r w:rsidRPr="0089670E">
        <w:rPr>
          <w:noProof/>
        </w:rPr>
        <w:t>, Wrenn</w:t>
      </w:r>
      <w:r>
        <w:rPr>
          <w:rFonts w:hint="eastAsia"/>
          <w:noProof/>
          <w:lang w:eastAsia="ko-KR"/>
        </w:rPr>
        <w:t>,</w:t>
      </w:r>
      <w:r w:rsidRPr="0089670E">
        <w:rPr>
          <w:noProof/>
        </w:rPr>
        <w:t xml:space="preserve"> M</w:t>
      </w:r>
      <w:r>
        <w:rPr>
          <w:rFonts w:hint="eastAsia"/>
          <w:noProof/>
          <w:lang w:eastAsia="ko-KR"/>
        </w:rPr>
        <w:t>.</w:t>
      </w:r>
      <w:r w:rsidRPr="0089670E">
        <w:rPr>
          <w:noProof/>
        </w:rPr>
        <w:t>E</w:t>
      </w:r>
      <w:r>
        <w:rPr>
          <w:rFonts w:hint="eastAsia"/>
          <w:noProof/>
          <w:lang w:eastAsia="ko-KR"/>
        </w:rPr>
        <w:t>.,</w:t>
      </w:r>
      <w:r w:rsidRPr="0089670E">
        <w:rPr>
          <w:noProof/>
        </w:rPr>
        <w:t xml:space="preserve"> Ibrahim</w:t>
      </w:r>
      <w:r>
        <w:rPr>
          <w:rFonts w:hint="eastAsia"/>
          <w:noProof/>
          <w:lang w:eastAsia="ko-KR"/>
        </w:rPr>
        <w:t>,</w:t>
      </w:r>
      <w:r w:rsidRPr="0089670E">
        <w:rPr>
          <w:noProof/>
        </w:rPr>
        <w:t xml:space="preserve"> S</w:t>
      </w:r>
      <w:r>
        <w:rPr>
          <w:rFonts w:hint="eastAsia"/>
          <w:noProof/>
          <w:lang w:eastAsia="ko-KR"/>
        </w:rPr>
        <w:t>.</w:t>
      </w:r>
      <w:r w:rsidRPr="0089670E">
        <w:rPr>
          <w:noProof/>
        </w:rPr>
        <w:t>A</w:t>
      </w:r>
      <w:r>
        <w:rPr>
          <w:rFonts w:hint="eastAsia"/>
          <w:noProof/>
          <w:lang w:eastAsia="ko-KR"/>
        </w:rPr>
        <w:t>.,</w:t>
      </w:r>
      <w:r w:rsidRPr="0089670E">
        <w:rPr>
          <w:noProof/>
        </w:rPr>
        <w:t xml:space="preserve"> 1983</w:t>
      </w:r>
      <w:r>
        <w:rPr>
          <w:rFonts w:hint="eastAsia"/>
          <w:noProof/>
          <w:lang w:eastAsia="ko-KR"/>
        </w:rPr>
        <w:t>.</w:t>
      </w:r>
      <w:r w:rsidRPr="0089670E">
        <w:rPr>
          <w:noProof/>
        </w:rPr>
        <w:t xml:space="preserve"> Plutonium concentration in human tissues: Comparison to thorium. </w:t>
      </w:r>
      <w:r w:rsidRPr="001D350F">
        <w:rPr>
          <w:noProof/>
        </w:rPr>
        <w:t>Health Phys.</w:t>
      </w:r>
      <w:r w:rsidRPr="0089670E">
        <w:rPr>
          <w:noProof/>
        </w:rPr>
        <w:t xml:space="preserve"> 44</w:t>
      </w:r>
      <w:r>
        <w:rPr>
          <w:rFonts w:hint="eastAsia"/>
          <w:noProof/>
          <w:lang w:eastAsia="ko-KR"/>
        </w:rPr>
        <w:t>.</w:t>
      </w:r>
      <w:r w:rsidRPr="0089670E">
        <w:rPr>
          <w:noProof/>
        </w:rPr>
        <w:t xml:space="preserve"> 469–476.</w:t>
      </w:r>
    </w:p>
    <w:p w14:paraId="704F692F" w14:textId="77777777" w:rsidR="00232741" w:rsidRPr="0089670E" w:rsidRDefault="00232741" w:rsidP="00232741">
      <w:pPr>
        <w:pStyle w:val="aff1"/>
        <w:ind w:left="426" w:hanging="426"/>
        <w:rPr>
          <w:noProof/>
        </w:rPr>
      </w:pPr>
      <w:r w:rsidRPr="0089670E">
        <w:rPr>
          <w:noProof/>
        </w:rPr>
        <w:t>Singh</w:t>
      </w:r>
      <w:r>
        <w:rPr>
          <w:rFonts w:hint="eastAsia"/>
          <w:noProof/>
          <w:lang w:eastAsia="ko-KR"/>
        </w:rPr>
        <w:t>,</w:t>
      </w:r>
      <w:r w:rsidRPr="0089670E">
        <w:rPr>
          <w:noProof/>
        </w:rPr>
        <w:t xml:space="preserve"> N</w:t>
      </w:r>
      <w:r>
        <w:rPr>
          <w:rFonts w:hint="eastAsia"/>
          <w:noProof/>
          <w:lang w:eastAsia="ko-KR"/>
        </w:rPr>
        <w:t>.</w:t>
      </w:r>
      <w:r w:rsidRPr="0089670E">
        <w:rPr>
          <w:noProof/>
        </w:rPr>
        <w:t>P</w:t>
      </w:r>
      <w:r>
        <w:rPr>
          <w:rFonts w:hint="eastAsia"/>
          <w:noProof/>
          <w:lang w:eastAsia="ko-KR"/>
        </w:rPr>
        <w:t>.</w:t>
      </w:r>
      <w:r w:rsidRPr="0089670E">
        <w:rPr>
          <w:noProof/>
        </w:rPr>
        <w:t>, Wrenn</w:t>
      </w:r>
      <w:r>
        <w:rPr>
          <w:rFonts w:hint="eastAsia"/>
          <w:noProof/>
          <w:lang w:eastAsia="ko-KR"/>
        </w:rPr>
        <w:t>,</w:t>
      </w:r>
      <w:r w:rsidRPr="0089670E">
        <w:rPr>
          <w:noProof/>
        </w:rPr>
        <w:t xml:space="preserve"> M</w:t>
      </w:r>
      <w:r>
        <w:rPr>
          <w:rFonts w:hint="eastAsia"/>
          <w:noProof/>
          <w:lang w:eastAsia="ko-KR"/>
        </w:rPr>
        <w:t>.</w:t>
      </w:r>
      <w:r w:rsidRPr="0089670E">
        <w:rPr>
          <w:noProof/>
        </w:rPr>
        <w:t>E</w:t>
      </w:r>
      <w:r>
        <w:rPr>
          <w:rFonts w:hint="eastAsia"/>
          <w:noProof/>
          <w:lang w:eastAsia="ko-KR"/>
        </w:rPr>
        <w:t>.,</w:t>
      </w:r>
      <w:r w:rsidRPr="0089670E">
        <w:rPr>
          <w:noProof/>
        </w:rPr>
        <w:t xml:space="preserve"> McInroy</w:t>
      </w:r>
      <w:r>
        <w:rPr>
          <w:rFonts w:hint="eastAsia"/>
          <w:noProof/>
          <w:lang w:eastAsia="ko-KR"/>
        </w:rPr>
        <w:t>,</w:t>
      </w:r>
      <w:r w:rsidRPr="0089670E">
        <w:rPr>
          <w:noProof/>
        </w:rPr>
        <w:t xml:space="preserve"> J</w:t>
      </w:r>
      <w:r>
        <w:rPr>
          <w:rFonts w:hint="eastAsia"/>
          <w:noProof/>
          <w:lang w:eastAsia="ko-KR"/>
        </w:rPr>
        <w:t>.</w:t>
      </w:r>
      <w:r w:rsidRPr="0089670E">
        <w:rPr>
          <w:noProof/>
        </w:rPr>
        <w:t>F</w:t>
      </w:r>
      <w:r>
        <w:rPr>
          <w:rFonts w:hint="eastAsia"/>
          <w:noProof/>
          <w:lang w:eastAsia="ko-KR"/>
        </w:rPr>
        <w:t>.,</w:t>
      </w:r>
      <w:r w:rsidRPr="0089670E">
        <w:rPr>
          <w:noProof/>
        </w:rPr>
        <w:t xml:space="preserve"> 1986</w:t>
      </w:r>
      <w:r>
        <w:rPr>
          <w:rFonts w:hint="eastAsia"/>
          <w:noProof/>
          <w:lang w:eastAsia="ko-KR"/>
        </w:rPr>
        <w:t>.</w:t>
      </w:r>
      <w:r w:rsidRPr="0089670E">
        <w:rPr>
          <w:noProof/>
        </w:rPr>
        <w:t xml:space="preserve"> Ratios of </w:t>
      </w:r>
      <w:r w:rsidRPr="00B13998">
        <w:rPr>
          <w:noProof/>
          <w:vertAlign w:val="superscript"/>
        </w:rPr>
        <w:t>234</w:t>
      </w:r>
      <w:r w:rsidRPr="0089670E">
        <w:rPr>
          <w:noProof/>
        </w:rPr>
        <w:t xml:space="preserve">U, </w:t>
      </w:r>
      <w:r w:rsidRPr="00B13998">
        <w:rPr>
          <w:noProof/>
          <w:vertAlign w:val="superscript"/>
        </w:rPr>
        <w:t>238</w:t>
      </w:r>
      <w:r w:rsidRPr="0089670E">
        <w:rPr>
          <w:noProof/>
        </w:rPr>
        <w:t xml:space="preserve">U and </w:t>
      </w:r>
      <w:r w:rsidRPr="00B13998">
        <w:rPr>
          <w:noProof/>
          <w:vertAlign w:val="superscript"/>
        </w:rPr>
        <w:t>230</w:t>
      </w:r>
      <w:r w:rsidRPr="0089670E">
        <w:rPr>
          <w:noProof/>
        </w:rPr>
        <w:t xml:space="preserve">Th in dog lungs exposed to U ore dust: An interlaboratory comparison. </w:t>
      </w:r>
      <w:r w:rsidRPr="001D350F">
        <w:rPr>
          <w:noProof/>
        </w:rPr>
        <w:t>Health Phys.</w:t>
      </w:r>
      <w:r w:rsidRPr="0089670E">
        <w:rPr>
          <w:noProof/>
        </w:rPr>
        <w:t xml:space="preserve"> 50(2)</w:t>
      </w:r>
      <w:r>
        <w:rPr>
          <w:rFonts w:hint="eastAsia"/>
          <w:noProof/>
          <w:lang w:eastAsia="ko-KR"/>
        </w:rPr>
        <w:t>.</w:t>
      </w:r>
      <w:r w:rsidRPr="0089670E">
        <w:rPr>
          <w:noProof/>
        </w:rPr>
        <w:t xml:space="preserve"> 292–297.</w:t>
      </w:r>
    </w:p>
    <w:p w14:paraId="31832929" w14:textId="77777777" w:rsidR="00232741" w:rsidRPr="0089670E" w:rsidRDefault="00232741" w:rsidP="00232741">
      <w:pPr>
        <w:pStyle w:val="aff1"/>
        <w:ind w:left="426" w:hanging="426"/>
        <w:rPr>
          <w:noProof/>
        </w:rPr>
      </w:pPr>
      <w:r w:rsidRPr="0089670E">
        <w:rPr>
          <w:noProof/>
        </w:rPr>
        <w:lastRenderedPageBreak/>
        <w:t>Singh</w:t>
      </w:r>
      <w:r>
        <w:rPr>
          <w:rFonts w:hint="eastAsia"/>
          <w:noProof/>
          <w:lang w:eastAsia="ko-KR"/>
        </w:rPr>
        <w:t>,</w:t>
      </w:r>
      <w:r w:rsidRPr="0089670E">
        <w:rPr>
          <w:noProof/>
        </w:rPr>
        <w:t xml:space="preserve"> N</w:t>
      </w:r>
      <w:r>
        <w:rPr>
          <w:rFonts w:hint="eastAsia"/>
          <w:noProof/>
          <w:lang w:eastAsia="ko-KR"/>
        </w:rPr>
        <w:t>.</w:t>
      </w:r>
      <w:r w:rsidRPr="0089670E">
        <w:rPr>
          <w:noProof/>
        </w:rPr>
        <w:t>P</w:t>
      </w:r>
      <w:r>
        <w:rPr>
          <w:rFonts w:hint="eastAsia"/>
          <w:noProof/>
          <w:lang w:eastAsia="ko-KR"/>
        </w:rPr>
        <w:t>.</w:t>
      </w:r>
      <w:r w:rsidRPr="0089670E">
        <w:rPr>
          <w:noProof/>
        </w:rPr>
        <w:t>, Lewis</w:t>
      </w:r>
      <w:r>
        <w:rPr>
          <w:rFonts w:hint="eastAsia"/>
          <w:noProof/>
          <w:lang w:eastAsia="ko-KR"/>
        </w:rPr>
        <w:t>,</w:t>
      </w:r>
      <w:r w:rsidRPr="0089670E">
        <w:rPr>
          <w:noProof/>
        </w:rPr>
        <w:t xml:space="preserve"> L</w:t>
      </w:r>
      <w:r>
        <w:rPr>
          <w:rFonts w:hint="eastAsia"/>
          <w:noProof/>
          <w:lang w:eastAsia="ko-KR"/>
        </w:rPr>
        <w:t>.</w:t>
      </w:r>
      <w:r w:rsidRPr="0089670E">
        <w:rPr>
          <w:noProof/>
        </w:rPr>
        <w:t>L</w:t>
      </w:r>
      <w:r>
        <w:rPr>
          <w:rFonts w:hint="eastAsia"/>
          <w:noProof/>
          <w:lang w:eastAsia="ko-KR"/>
        </w:rPr>
        <w:t>.,</w:t>
      </w:r>
      <w:r w:rsidRPr="0089670E">
        <w:rPr>
          <w:noProof/>
        </w:rPr>
        <w:t xml:space="preserve"> Wrenn</w:t>
      </w:r>
      <w:r>
        <w:rPr>
          <w:rFonts w:hint="eastAsia"/>
          <w:noProof/>
          <w:lang w:eastAsia="ko-KR"/>
        </w:rPr>
        <w:t>,</w:t>
      </w:r>
      <w:r w:rsidRPr="0089670E">
        <w:rPr>
          <w:noProof/>
        </w:rPr>
        <w:t xml:space="preserve"> M</w:t>
      </w:r>
      <w:r>
        <w:rPr>
          <w:rFonts w:hint="eastAsia"/>
          <w:noProof/>
          <w:lang w:eastAsia="ko-KR"/>
        </w:rPr>
        <w:t>.</w:t>
      </w:r>
      <w:r w:rsidRPr="0089670E">
        <w:rPr>
          <w:noProof/>
        </w:rPr>
        <w:t>E</w:t>
      </w:r>
      <w:r>
        <w:rPr>
          <w:rFonts w:hint="eastAsia"/>
          <w:noProof/>
          <w:lang w:eastAsia="ko-KR"/>
        </w:rPr>
        <w:t>.,</w:t>
      </w:r>
      <w:r w:rsidRPr="0089670E">
        <w:rPr>
          <w:noProof/>
        </w:rPr>
        <w:t xml:space="preserve"> 1986</w:t>
      </w:r>
      <w:r>
        <w:rPr>
          <w:rFonts w:hint="eastAsia"/>
          <w:noProof/>
          <w:lang w:eastAsia="ko-KR"/>
        </w:rPr>
        <w:t>.</w:t>
      </w:r>
      <w:r w:rsidRPr="0089670E">
        <w:rPr>
          <w:noProof/>
        </w:rPr>
        <w:t xml:space="preserve"> Uranium in Human Tissues of Colorado, Pennsylvania and Utah Populations. </w:t>
      </w:r>
      <w:r w:rsidRPr="001D350F">
        <w:rPr>
          <w:noProof/>
        </w:rPr>
        <w:t>Health Phys.</w:t>
      </w:r>
      <w:r w:rsidRPr="0089670E">
        <w:rPr>
          <w:noProof/>
        </w:rPr>
        <w:t xml:space="preserve"> 50(S1)</w:t>
      </w:r>
      <w:r>
        <w:rPr>
          <w:rFonts w:hint="eastAsia"/>
          <w:noProof/>
          <w:lang w:eastAsia="ko-KR"/>
        </w:rPr>
        <w:t>.</w:t>
      </w:r>
      <w:r w:rsidRPr="0089670E">
        <w:rPr>
          <w:noProof/>
        </w:rPr>
        <w:t xml:space="preserve"> S83.</w:t>
      </w:r>
    </w:p>
    <w:p w14:paraId="0FCED1C1" w14:textId="77777777" w:rsidR="00232741" w:rsidRPr="0089670E" w:rsidRDefault="00232741" w:rsidP="00232741">
      <w:pPr>
        <w:pStyle w:val="aff1"/>
        <w:ind w:left="426" w:hanging="426"/>
        <w:rPr>
          <w:noProof/>
        </w:rPr>
      </w:pPr>
      <w:r w:rsidRPr="0089670E">
        <w:rPr>
          <w:noProof/>
        </w:rPr>
        <w:t>Singh</w:t>
      </w:r>
      <w:r>
        <w:rPr>
          <w:rFonts w:hint="eastAsia"/>
          <w:noProof/>
          <w:lang w:eastAsia="ko-KR"/>
        </w:rPr>
        <w:t>,</w:t>
      </w:r>
      <w:r w:rsidRPr="0089670E">
        <w:rPr>
          <w:noProof/>
        </w:rPr>
        <w:t xml:space="preserve"> N</w:t>
      </w:r>
      <w:r>
        <w:rPr>
          <w:rFonts w:hint="eastAsia"/>
          <w:noProof/>
          <w:lang w:eastAsia="ko-KR"/>
        </w:rPr>
        <w:t>.</w:t>
      </w:r>
      <w:r w:rsidRPr="0089670E">
        <w:rPr>
          <w:noProof/>
        </w:rPr>
        <w:t>P</w:t>
      </w:r>
      <w:r>
        <w:rPr>
          <w:rFonts w:hint="eastAsia"/>
          <w:noProof/>
          <w:lang w:eastAsia="ko-KR"/>
        </w:rPr>
        <w:t>.</w:t>
      </w:r>
      <w:r w:rsidRPr="0089670E">
        <w:rPr>
          <w:noProof/>
        </w:rPr>
        <w:t>, Bennett</w:t>
      </w:r>
      <w:r>
        <w:rPr>
          <w:rFonts w:hint="eastAsia"/>
          <w:noProof/>
          <w:lang w:eastAsia="ko-KR"/>
        </w:rPr>
        <w:t>,</w:t>
      </w:r>
      <w:r w:rsidRPr="0089670E">
        <w:rPr>
          <w:noProof/>
        </w:rPr>
        <w:t xml:space="preserve"> D</w:t>
      </w:r>
      <w:r>
        <w:rPr>
          <w:rFonts w:hint="eastAsia"/>
          <w:noProof/>
          <w:lang w:eastAsia="ko-KR"/>
        </w:rPr>
        <w:t>.</w:t>
      </w:r>
      <w:r w:rsidRPr="0089670E">
        <w:rPr>
          <w:noProof/>
        </w:rPr>
        <w:t>D</w:t>
      </w:r>
      <w:r>
        <w:rPr>
          <w:rFonts w:hint="eastAsia"/>
          <w:noProof/>
          <w:lang w:eastAsia="ko-KR"/>
        </w:rPr>
        <w:t>.</w:t>
      </w:r>
      <w:r w:rsidRPr="0089670E">
        <w:rPr>
          <w:noProof/>
        </w:rPr>
        <w:t>, Wrenn</w:t>
      </w:r>
      <w:r>
        <w:rPr>
          <w:rFonts w:hint="eastAsia"/>
          <w:noProof/>
          <w:lang w:eastAsia="ko-KR"/>
        </w:rPr>
        <w:t>,</w:t>
      </w:r>
      <w:r w:rsidRPr="0089670E">
        <w:rPr>
          <w:noProof/>
        </w:rPr>
        <w:t xml:space="preserve"> M</w:t>
      </w:r>
      <w:r>
        <w:rPr>
          <w:rFonts w:hint="eastAsia"/>
          <w:noProof/>
          <w:lang w:eastAsia="ko-KR"/>
        </w:rPr>
        <w:t>.</w:t>
      </w:r>
      <w:r w:rsidRPr="0089670E">
        <w:rPr>
          <w:noProof/>
        </w:rPr>
        <w:t>E</w:t>
      </w:r>
      <w:r>
        <w:rPr>
          <w:rFonts w:hint="eastAsia"/>
          <w:noProof/>
          <w:lang w:eastAsia="ko-KR"/>
        </w:rPr>
        <w:t>.</w:t>
      </w:r>
      <w:r w:rsidRPr="0089670E">
        <w:rPr>
          <w:noProof/>
        </w:rPr>
        <w:t>, et al.</w:t>
      </w:r>
      <w:r>
        <w:rPr>
          <w:rFonts w:hint="eastAsia"/>
          <w:noProof/>
          <w:lang w:eastAsia="ko-KR"/>
        </w:rPr>
        <w:t>,</w:t>
      </w:r>
      <w:r w:rsidRPr="0089670E">
        <w:rPr>
          <w:noProof/>
        </w:rPr>
        <w:t xml:space="preserve"> 1987</w:t>
      </w:r>
      <w:r>
        <w:rPr>
          <w:rFonts w:hint="eastAsia"/>
          <w:noProof/>
          <w:lang w:eastAsia="ko-KR"/>
        </w:rPr>
        <w:t>.</w:t>
      </w:r>
      <w:r w:rsidRPr="0089670E">
        <w:rPr>
          <w:noProof/>
        </w:rPr>
        <w:t xml:space="preserve"> Concentrations of alpha-emitting isotopes of U and Th in uranium miners’ and millers’ tissues. </w:t>
      </w:r>
      <w:r w:rsidRPr="001D350F">
        <w:rPr>
          <w:noProof/>
        </w:rPr>
        <w:t>Health Phys.</w:t>
      </w:r>
      <w:r w:rsidRPr="0089670E">
        <w:rPr>
          <w:noProof/>
        </w:rPr>
        <w:t xml:space="preserve"> 53(3)</w:t>
      </w:r>
      <w:r>
        <w:rPr>
          <w:rFonts w:hint="eastAsia"/>
          <w:noProof/>
          <w:lang w:eastAsia="ko-KR"/>
        </w:rPr>
        <w:t>.</w:t>
      </w:r>
      <w:r w:rsidRPr="0089670E">
        <w:rPr>
          <w:noProof/>
        </w:rPr>
        <w:t xml:space="preserve"> 261–265.</w:t>
      </w:r>
    </w:p>
    <w:p w14:paraId="0C519403" w14:textId="77777777" w:rsidR="00232741" w:rsidRPr="0089670E" w:rsidRDefault="00232741" w:rsidP="00232741">
      <w:pPr>
        <w:pStyle w:val="aff1"/>
        <w:ind w:left="426" w:hanging="426"/>
        <w:rPr>
          <w:noProof/>
        </w:rPr>
      </w:pPr>
      <w:r w:rsidRPr="0089670E">
        <w:rPr>
          <w:noProof/>
        </w:rPr>
        <w:t>Smith</w:t>
      </w:r>
      <w:r>
        <w:rPr>
          <w:rFonts w:hint="eastAsia"/>
          <w:noProof/>
          <w:lang w:eastAsia="ko-KR"/>
        </w:rPr>
        <w:t>,</w:t>
      </w:r>
      <w:r w:rsidRPr="0089670E">
        <w:rPr>
          <w:noProof/>
        </w:rPr>
        <w:t xml:space="preserve"> V</w:t>
      </w:r>
      <w:r>
        <w:rPr>
          <w:rFonts w:hint="eastAsia"/>
          <w:noProof/>
          <w:lang w:eastAsia="ko-KR"/>
        </w:rPr>
        <w:t>.</w:t>
      </w:r>
      <w:r w:rsidRPr="0089670E">
        <w:rPr>
          <w:noProof/>
        </w:rPr>
        <w:t>H</w:t>
      </w:r>
      <w:r>
        <w:rPr>
          <w:rFonts w:hint="eastAsia"/>
          <w:noProof/>
          <w:lang w:eastAsia="ko-KR"/>
        </w:rPr>
        <w:t>.,</w:t>
      </w:r>
      <w:r w:rsidRPr="0089670E">
        <w:rPr>
          <w:noProof/>
        </w:rPr>
        <w:t xml:space="preserve"> 1972</w:t>
      </w:r>
      <w:r>
        <w:rPr>
          <w:rFonts w:hint="eastAsia"/>
          <w:noProof/>
          <w:lang w:eastAsia="ko-KR"/>
        </w:rPr>
        <w:t>.</w:t>
      </w:r>
      <w:r w:rsidRPr="0089670E">
        <w:rPr>
          <w:noProof/>
        </w:rPr>
        <w:t xml:space="preserve"> Therapeutic removal of internally deposited transuranium elements. </w:t>
      </w:r>
      <w:r w:rsidRPr="001D350F">
        <w:rPr>
          <w:noProof/>
        </w:rPr>
        <w:t>Health Phys.</w:t>
      </w:r>
      <w:r w:rsidRPr="0089670E">
        <w:rPr>
          <w:noProof/>
        </w:rPr>
        <w:t xml:space="preserve"> 22(6)</w:t>
      </w:r>
      <w:r>
        <w:rPr>
          <w:rFonts w:hint="eastAsia"/>
          <w:noProof/>
          <w:lang w:eastAsia="ko-KR"/>
        </w:rPr>
        <w:t>.</w:t>
      </w:r>
      <w:r w:rsidRPr="0089670E">
        <w:rPr>
          <w:noProof/>
        </w:rPr>
        <w:t xml:space="preserve"> 765–778.</w:t>
      </w:r>
    </w:p>
    <w:p w14:paraId="30A7E1BA" w14:textId="77777777" w:rsidR="00232741" w:rsidRPr="0089670E" w:rsidRDefault="00232741" w:rsidP="00232741">
      <w:pPr>
        <w:pStyle w:val="aff1"/>
        <w:ind w:left="426" w:hanging="426"/>
        <w:rPr>
          <w:noProof/>
        </w:rPr>
      </w:pPr>
      <w:r w:rsidRPr="0089670E">
        <w:rPr>
          <w:noProof/>
        </w:rPr>
        <w:t>Sontag</w:t>
      </w:r>
      <w:r>
        <w:rPr>
          <w:rFonts w:hint="eastAsia"/>
          <w:noProof/>
          <w:lang w:eastAsia="ko-KR"/>
        </w:rPr>
        <w:t>,</w:t>
      </w:r>
      <w:r w:rsidRPr="0089670E">
        <w:rPr>
          <w:noProof/>
        </w:rPr>
        <w:t xml:space="preserve"> W</w:t>
      </w:r>
      <w:r>
        <w:rPr>
          <w:rFonts w:hint="eastAsia"/>
          <w:noProof/>
          <w:lang w:eastAsia="ko-KR"/>
        </w:rPr>
        <w:t>.</w:t>
      </w:r>
      <w:r w:rsidRPr="0089670E">
        <w:rPr>
          <w:noProof/>
        </w:rPr>
        <w:t>, Wirth</w:t>
      </w:r>
      <w:r>
        <w:rPr>
          <w:rFonts w:hint="eastAsia"/>
          <w:noProof/>
          <w:lang w:eastAsia="ko-KR"/>
        </w:rPr>
        <w:t>,</w:t>
      </w:r>
      <w:r w:rsidRPr="0089670E">
        <w:rPr>
          <w:noProof/>
        </w:rPr>
        <w:t xml:space="preserve"> R</w:t>
      </w:r>
      <w:r>
        <w:rPr>
          <w:rFonts w:hint="eastAsia"/>
          <w:noProof/>
          <w:lang w:eastAsia="ko-KR"/>
        </w:rPr>
        <w:t>.</w:t>
      </w:r>
      <w:r w:rsidRPr="0089670E">
        <w:rPr>
          <w:noProof/>
        </w:rPr>
        <w:t>, Luz</w:t>
      </w:r>
      <w:r>
        <w:rPr>
          <w:rFonts w:hint="eastAsia"/>
          <w:noProof/>
          <w:lang w:eastAsia="ko-KR"/>
        </w:rPr>
        <w:t>,</w:t>
      </w:r>
      <w:r w:rsidRPr="0089670E">
        <w:rPr>
          <w:noProof/>
        </w:rPr>
        <w:t xml:space="preserve"> A</w:t>
      </w:r>
      <w:r>
        <w:rPr>
          <w:rFonts w:hint="eastAsia"/>
          <w:noProof/>
          <w:lang w:eastAsia="ko-KR"/>
        </w:rPr>
        <w:t>.</w:t>
      </w:r>
      <w:r w:rsidRPr="0089670E">
        <w:rPr>
          <w:noProof/>
        </w:rPr>
        <w:t>, et al.</w:t>
      </w:r>
      <w:r>
        <w:rPr>
          <w:rFonts w:hint="eastAsia"/>
          <w:noProof/>
          <w:lang w:eastAsia="ko-KR"/>
        </w:rPr>
        <w:t>,</w:t>
      </w:r>
      <w:r w:rsidRPr="0089670E">
        <w:rPr>
          <w:noProof/>
        </w:rPr>
        <w:t xml:space="preserve"> 1997</w:t>
      </w:r>
      <w:r>
        <w:rPr>
          <w:rFonts w:hint="eastAsia"/>
          <w:noProof/>
          <w:lang w:eastAsia="ko-KR"/>
        </w:rPr>
        <w:t xml:space="preserve">. </w:t>
      </w:r>
      <w:r w:rsidRPr="0089670E">
        <w:rPr>
          <w:noProof/>
        </w:rPr>
        <w:t xml:space="preserve">Dosimetry and pathology of </w:t>
      </w:r>
      <w:r w:rsidRPr="00A60A65">
        <w:rPr>
          <w:noProof/>
          <w:vertAlign w:val="superscript"/>
        </w:rPr>
        <w:t>237</w:t>
      </w:r>
      <w:r w:rsidRPr="0089670E">
        <w:rPr>
          <w:noProof/>
        </w:rPr>
        <w:t xml:space="preserve">Np in female rats. </w:t>
      </w:r>
      <w:r w:rsidRPr="00B13998">
        <w:rPr>
          <w:noProof/>
        </w:rPr>
        <w:t>Hum. Exp. Toxicol.</w:t>
      </w:r>
      <w:r w:rsidRPr="0089670E">
        <w:rPr>
          <w:noProof/>
        </w:rPr>
        <w:t xml:space="preserve"> 16(2)</w:t>
      </w:r>
      <w:r>
        <w:rPr>
          <w:rFonts w:hint="eastAsia"/>
          <w:noProof/>
          <w:lang w:eastAsia="ko-KR"/>
        </w:rPr>
        <w:t>.</w:t>
      </w:r>
      <w:r w:rsidRPr="0089670E">
        <w:rPr>
          <w:noProof/>
        </w:rPr>
        <w:t xml:space="preserve"> 89–100.</w:t>
      </w:r>
    </w:p>
    <w:p w14:paraId="338B5D9C" w14:textId="77777777" w:rsidR="00232741" w:rsidRPr="0089670E" w:rsidRDefault="00232741" w:rsidP="00232741">
      <w:pPr>
        <w:pStyle w:val="aff1"/>
        <w:ind w:left="426" w:hanging="426"/>
        <w:rPr>
          <w:noProof/>
        </w:rPr>
      </w:pPr>
      <w:r w:rsidRPr="0089670E">
        <w:rPr>
          <w:noProof/>
        </w:rPr>
        <w:t>Spencer</w:t>
      </w:r>
      <w:r>
        <w:rPr>
          <w:rFonts w:hint="eastAsia"/>
          <w:noProof/>
          <w:lang w:eastAsia="ko-KR"/>
        </w:rPr>
        <w:t>,</w:t>
      </w:r>
      <w:r w:rsidRPr="0089670E">
        <w:rPr>
          <w:noProof/>
        </w:rPr>
        <w:t xml:space="preserve"> H</w:t>
      </w:r>
      <w:r>
        <w:rPr>
          <w:rFonts w:hint="eastAsia"/>
          <w:noProof/>
          <w:lang w:eastAsia="ko-KR"/>
        </w:rPr>
        <w:t>.,</w:t>
      </w:r>
      <w:r w:rsidRPr="0089670E">
        <w:rPr>
          <w:noProof/>
        </w:rPr>
        <w:t xml:space="preserve"> 1968</w:t>
      </w:r>
      <w:r>
        <w:rPr>
          <w:rFonts w:hint="eastAsia"/>
          <w:noProof/>
          <w:lang w:eastAsia="ko-KR"/>
        </w:rPr>
        <w:t>.</w:t>
      </w:r>
      <w:r w:rsidRPr="0089670E">
        <w:rPr>
          <w:noProof/>
        </w:rPr>
        <w:t xml:space="preserve"> Metabolism and removal of some radioisotopes in humans. In: </w:t>
      </w:r>
      <w:r w:rsidRPr="00ED6790">
        <w:rPr>
          <w:noProof/>
        </w:rPr>
        <w:t>Diagnosis and treatment of deposited radionuclides</w:t>
      </w:r>
      <w:r w:rsidRPr="0089670E">
        <w:rPr>
          <w:noProof/>
        </w:rPr>
        <w:t xml:space="preserve"> (eds HA Kornberg and WD Norwood), Richland, WA, USA, 1968, pp. 489–520. Excerpta Medica Foundation.</w:t>
      </w:r>
    </w:p>
    <w:p w14:paraId="0492F6A1" w14:textId="77777777" w:rsidR="00232741" w:rsidRPr="0089670E" w:rsidRDefault="00232741" w:rsidP="00232741">
      <w:pPr>
        <w:pStyle w:val="aff1"/>
        <w:ind w:left="426" w:hanging="426"/>
        <w:rPr>
          <w:noProof/>
        </w:rPr>
      </w:pPr>
      <w:r w:rsidRPr="0089670E">
        <w:rPr>
          <w:noProof/>
        </w:rPr>
        <w:t>Spencer</w:t>
      </w:r>
      <w:r>
        <w:rPr>
          <w:rFonts w:hint="eastAsia"/>
          <w:noProof/>
          <w:lang w:eastAsia="ko-KR"/>
        </w:rPr>
        <w:t>,</w:t>
      </w:r>
      <w:r w:rsidRPr="0089670E">
        <w:rPr>
          <w:noProof/>
        </w:rPr>
        <w:t xml:space="preserve"> H</w:t>
      </w:r>
      <w:r>
        <w:rPr>
          <w:rFonts w:hint="eastAsia"/>
          <w:noProof/>
          <w:lang w:eastAsia="ko-KR"/>
        </w:rPr>
        <w:t>.</w:t>
      </w:r>
      <w:r w:rsidRPr="0089670E">
        <w:rPr>
          <w:noProof/>
        </w:rPr>
        <w:t>, Osis</w:t>
      </w:r>
      <w:r>
        <w:rPr>
          <w:rFonts w:hint="eastAsia"/>
          <w:noProof/>
          <w:lang w:eastAsia="ko-KR"/>
        </w:rPr>
        <w:t>,</w:t>
      </w:r>
      <w:r w:rsidRPr="0089670E">
        <w:rPr>
          <w:noProof/>
        </w:rPr>
        <w:t xml:space="preserve"> D</w:t>
      </w:r>
      <w:r>
        <w:rPr>
          <w:rFonts w:hint="eastAsia"/>
          <w:noProof/>
          <w:lang w:eastAsia="ko-KR"/>
        </w:rPr>
        <w:t>.</w:t>
      </w:r>
      <w:r w:rsidRPr="0089670E">
        <w:rPr>
          <w:noProof/>
        </w:rPr>
        <w:t>, Fisenne</w:t>
      </w:r>
      <w:r>
        <w:rPr>
          <w:rFonts w:hint="eastAsia"/>
          <w:noProof/>
          <w:lang w:eastAsia="ko-KR"/>
        </w:rPr>
        <w:t>,</w:t>
      </w:r>
      <w:r w:rsidRPr="0089670E">
        <w:rPr>
          <w:noProof/>
        </w:rPr>
        <w:t xml:space="preserve"> I</w:t>
      </w:r>
      <w:r>
        <w:rPr>
          <w:rFonts w:hint="eastAsia"/>
          <w:noProof/>
          <w:lang w:eastAsia="ko-KR"/>
        </w:rPr>
        <w:t>.</w:t>
      </w:r>
      <w:r w:rsidRPr="0089670E">
        <w:rPr>
          <w:noProof/>
        </w:rPr>
        <w:t>M</w:t>
      </w:r>
      <w:r>
        <w:rPr>
          <w:rFonts w:hint="eastAsia"/>
          <w:noProof/>
          <w:lang w:eastAsia="ko-KR"/>
        </w:rPr>
        <w:t>.</w:t>
      </w:r>
      <w:r w:rsidRPr="0089670E">
        <w:rPr>
          <w:noProof/>
        </w:rPr>
        <w:t>, et al.</w:t>
      </w:r>
      <w:r>
        <w:rPr>
          <w:rFonts w:hint="eastAsia"/>
          <w:noProof/>
          <w:lang w:eastAsia="ko-KR"/>
        </w:rPr>
        <w:t>,</w:t>
      </w:r>
      <w:r w:rsidRPr="0089670E">
        <w:rPr>
          <w:noProof/>
        </w:rPr>
        <w:t xml:space="preserve"> 1990</w:t>
      </w:r>
      <w:r>
        <w:rPr>
          <w:rFonts w:hint="eastAsia"/>
          <w:noProof/>
          <w:lang w:eastAsia="ko-KR"/>
        </w:rPr>
        <w:t>.</w:t>
      </w:r>
      <w:r w:rsidRPr="0089670E">
        <w:rPr>
          <w:noProof/>
        </w:rPr>
        <w:t xml:space="preserve"> Measured intake and excretion patterns of naturally occurring </w:t>
      </w:r>
      <w:r w:rsidRPr="00A60A65">
        <w:rPr>
          <w:noProof/>
          <w:vertAlign w:val="superscript"/>
        </w:rPr>
        <w:t>234</w:t>
      </w:r>
      <w:r w:rsidRPr="0089670E">
        <w:rPr>
          <w:noProof/>
        </w:rPr>
        <w:t xml:space="preserve">U, </w:t>
      </w:r>
      <w:r w:rsidRPr="00A60A65">
        <w:rPr>
          <w:noProof/>
          <w:vertAlign w:val="superscript"/>
        </w:rPr>
        <w:t>238</w:t>
      </w:r>
      <w:r w:rsidRPr="0089670E">
        <w:rPr>
          <w:noProof/>
        </w:rPr>
        <w:t xml:space="preserve">U, and calcium in humans. </w:t>
      </w:r>
      <w:r w:rsidRPr="00ED6790">
        <w:rPr>
          <w:noProof/>
        </w:rPr>
        <w:t>Radiat</w:t>
      </w:r>
      <w:r>
        <w:rPr>
          <w:rFonts w:hint="eastAsia"/>
          <w:noProof/>
          <w:lang w:eastAsia="ko-KR"/>
        </w:rPr>
        <w:t>.</w:t>
      </w:r>
      <w:r w:rsidRPr="00ED6790">
        <w:rPr>
          <w:noProof/>
        </w:rPr>
        <w:t xml:space="preserve"> Res</w:t>
      </w:r>
      <w:r>
        <w:rPr>
          <w:rFonts w:hint="eastAsia"/>
          <w:noProof/>
          <w:lang w:eastAsia="ko-KR"/>
        </w:rPr>
        <w:t>.</w:t>
      </w:r>
      <w:r w:rsidRPr="0089670E">
        <w:rPr>
          <w:noProof/>
        </w:rPr>
        <w:t xml:space="preserve"> 124(1)</w:t>
      </w:r>
      <w:r>
        <w:rPr>
          <w:rFonts w:hint="eastAsia"/>
          <w:noProof/>
          <w:lang w:eastAsia="ko-KR"/>
        </w:rPr>
        <w:t>.</w:t>
      </w:r>
      <w:r w:rsidRPr="0089670E">
        <w:rPr>
          <w:noProof/>
        </w:rPr>
        <w:t xml:space="preserve"> 90–5.</w:t>
      </w:r>
    </w:p>
    <w:p w14:paraId="150C2082" w14:textId="77777777" w:rsidR="00232741" w:rsidRPr="0089670E" w:rsidRDefault="00232741" w:rsidP="00232741">
      <w:pPr>
        <w:pStyle w:val="aff1"/>
        <w:ind w:left="426" w:hanging="426"/>
        <w:rPr>
          <w:noProof/>
        </w:rPr>
      </w:pPr>
      <w:r w:rsidRPr="0089670E">
        <w:rPr>
          <w:noProof/>
        </w:rPr>
        <w:t>Stather</w:t>
      </w:r>
      <w:r>
        <w:rPr>
          <w:rFonts w:hint="eastAsia"/>
          <w:noProof/>
          <w:lang w:eastAsia="ko-KR"/>
        </w:rPr>
        <w:t>,</w:t>
      </w:r>
      <w:r w:rsidRPr="0089670E">
        <w:rPr>
          <w:noProof/>
        </w:rPr>
        <w:t xml:space="preserve"> J</w:t>
      </w:r>
      <w:r>
        <w:rPr>
          <w:rFonts w:hint="eastAsia"/>
          <w:noProof/>
          <w:lang w:eastAsia="ko-KR"/>
        </w:rPr>
        <w:t>.</w:t>
      </w:r>
      <w:r w:rsidRPr="0089670E">
        <w:rPr>
          <w:noProof/>
        </w:rPr>
        <w:t>W</w:t>
      </w:r>
      <w:r>
        <w:rPr>
          <w:rFonts w:hint="eastAsia"/>
          <w:noProof/>
          <w:lang w:eastAsia="ko-KR"/>
        </w:rPr>
        <w:t>.,</w:t>
      </w:r>
      <w:r w:rsidRPr="0089670E">
        <w:rPr>
          <w:noProof/>
        </w:rPr>
        <w:t xml:space="preserve"> Priest</w:t>
      </w:r>
      <w:r>
        <w:rPr>
          <w:rFonts w:hint="eastAsia"/>
          <w:noProof/>
          <w:lang w:eastAsia="ko-KR"/>
        </w:rPr>
        <w:t>,</w:t>
      </w:r>
      <w:r w:rsidRPr="0089670E">
        <w:rPr>
          <w:noProof/>
        </w:rPr>
        <w:t xml:space="preserve"> N</w:t>
      </w:r>
      <w:r>
        <w:rPr>
          <w:rFonts w:hint="eastAsia"/>
          <w:noProof/>
          <w:lang w:eastAsia="ko-KR"/>
        </w:rPr>
        <w:t>.</w:t>
      </w:r>
      <w:r w:rsidRPr="0089670E">
        <w:rPr>
          <w:noProof/>
        </w:rPr>
        <w:t>D</w:t>
      </w:r>
      <w:r>
        <w:rPr>
          <w:rFonts w:hint="eastAsia"/>
          <w:noProof/>
          <w:lang w:eastAsia="ko-KR"/>
        </w:rPr>
        <w:t>.,</w:t>
      </w:r>
      <w:r w:rsidRPr="0089670E">
        <w:rPr>
          <w:noProof/>
        </w:rPr>
        <w:t xml:space="preserve"> 1977</w:t>
      </w:r>
      <w:r>
        <w:rPr>
          <w:rFonts w:hint="eastAsia"/>
          <w:noProof/>
          <w:lang w:eastAsia="ko-KR"/>
        </w:rPr>
        <w:t>.</w:t>
      </w:r>
      <w:r w:rsidRPr="0089670E">
        <w:rPr>
          <w:noProof/>
        </w:rPr>
        <w:t xml:space="preserve"> </w:t>
      </w:r>
      <w:r w:rsidRPr="00ED6790">
        <w:rPr>
          <w:noProof/>
        </w:rPr>
        <w:t>The pulmonary clearance and the comparative metabolism of plutonium-238, plutonium-239, americium-241 and curium-242 in the rat</w:t>
      </w:r>
      <w:r w:rsidRPr="0089670E">
        <w:rPr>
          <w:noProof/>
        </w:rPr>
        <w:t>. NRPB-R&amp;D-1. Chilton, Didcot, England: National Radiological Protection Board. Available at: https://inis.iaea.org/search/search.aspx?orig_q=RN:8330432 (accessed 2 October 2023).</w:t>
      </w:r>
    </w:p>
    <w:p w14:paraId="0D47E08A" w14:textId="77777777" w:rsidR="00232741" w:rsidRPr="0089670E" w:rsidRDefault="00232741" w:rsidP="00232741">
      <w:pPr>
        <w:pStyle w:val="aff1"/>
        <w:ind w:left="426" w:hanging="426"/>
        <w:rPr>
          <w:noProof/>
        </w:rPr>
      </w:pPr>
      <w:r w:rsidRPr="0089670E">
        <w:rPr>
          <w:noProof/>
        </w:rPr>
        <w:t>Stehney</w:t>
      </w:r>
      <w:r>
        <w:rPr>
          <w:rFonts w:hint="eastAsia"/>
          <w:noProof/>
          <w:lang w:eastAsia="ko-KR"/>
        </w:rPr>
        <w:t>,</w:t>
      </w:r>
      <w:r w:rsidRPr="0089670E">
        <w:rPr>
          <w:noProof/>
        </w:rPr>
        <w:t xml:space="preserve"> A</w:t>
      </w:r>
      <w:r>
        <w:rPr>
          <w:rFonts w:hint="eastAsia"/>
          <w:noProof/>
          <w:lang w:eastAsia="ko-KR"/>
        </w:rPr>
        <w:t>.</w:t>
      </w:r>
      <w:r w:rsidRPr="0089670E">
        <w:rPr>
          <w:noProof/>
        </w:rPr>
        <w:t>F</w:t>
      </w:r>
      <w:r>
        <w:rPr>
          <w:rFonts w:hint="eastAsia"/>
          <w:noProof/>
          <w:lang w:eastAsia="ko-KR"/>
        </w:rPr>
        <w:t>.,</w:t>
      </w:r>
      <w:r w:rsidRPr="0089670E">
        <w:rPr>
          <w:noProof/>
        </w:rPr>
        <w:t xml:space="preserve"> Lucas</w:t>
      </w:r>
      <w:r>
        <w:rPr>
          <w:rFonts w:hint="eastAsia"/>
          <w:noProof/>
          <w:lang w:eastAsia="ko-KR"/>
        </w:rPr>
        <w:t>,</w:t>
      </w:r>
      <w:r w:rsidRPr="0089670E">
        <w:rPr>
          <w:noProof/>
        </w:rPr>
        <w:t xml:space="preserve"> H</w:t>
      </w:r>
      <w:r>
        <w:rPr>
          <w:rFonts w:hint="eastAsia"/>
          <w:noProof/>
          <w:lang w:eastAsia="ko-KR"/>
        </w:rPr>
        <w:t>.</w:t>
      </w:r>
      <w:r w:rsidRPr="0089670E">
        <w:rPr>
          <w:noProof/>
        </w:rPr>
        <w:t>F</w:t>
      </w:r>
      <w:r>
        <w:rPr>
          <w:rFonts w:hint="eastAsia"/>
          <w:noProof/>
          <w:lang w:eastAsia="ko-KR"/>
        </w:rPr>
        <w:t>.,</w:t>
      </w:r>
      <w:r w:rsidRPr="0089670E">
        <w:rPr>
          <w:noProof/>
        </w:rPr>
        <w:t xml:space="preserve"> 2000</w:t>
      </w:r>
      <w:r>
        <w:rPr>
          <w:rFonts w:hint="eastAsia"/>
          <w:noProof/>
          <w:lang w:eastAsia="ko-KR"/>
        </w:rPr>
        <w:t>.</w:t>
      </w:r>
      <w:r w:rsidRPr="0089670E">
        <w:rPr>
          <w:noProof/>
        </w:rPr>
        <w:t xml:space="preserve"> Thorium isotopes in autopsy samples from thorium workers. </w:t>
      </w:r>
      <w:r w:rsidRPr="001D350F">
        <w:rPr>
          <w:noProof/>
        </w:rPr>
        <w:t>Health Phys.</w:t>
      </w:r>
      <w:r w:rsidRPr="0089670E">
        <w:rPr>
          <w:noProof/>
        </w:rPr>
        <w:t xml:space="preserve"> 78(1)</w:t>
      </w:r>
      <w:r>
        <w:rPr>
          <w:rFonts w:hint="eastAsia"/>
          <w:noProof/>
          <w:lang w:eastAsia="ko-KR"/>
        </w:rPr>
        <w:t>.</w:t>
      </w:r>
      <w:r w:rsidRPr="0089670E">
        <w:rPr>
          <w:noProof/>
        </w:rPr>
        <w:t xml:space="preserve"> 8–14.</w:t>
      </w:r>
    </w:p>
    <w:p w14:paraId="197DC249" w14:textId="77777777" w:rsidR="00232741" w:rsidRPr="0089670E" w:rsidRDefault="00232741" w:rsidP="00232741">
      <w:pPr>
        <w:pStyle w:val="aff1"/>
        <w:ind w:left="426" w:hanging="426"/>
        <w:rPr>
          <w:noProof/>
        </w:rPr>
      </w:pPr>
      <w:r w:rsidRPr="0089670E">
        <w:rPr>
          <w:noProof/>
        </w:rPr>
        <w:t>Stevens</w:t>
      </w:r>
      <w:r>
        <w:rPr>
          <w:rFonts w:hint="eastAsia"/>
          <w:noProof/>
          <w:lang w:eastAsia="ko-KR"/>
        </w:rPr>
        <w:t>,</w:t>
      </w:r>
      <w:r w:rsidRPr="0089670E">
        <w:rPr>
          <w:noProof/>
        </w:rPr>
        <w:t xml:space="preserve"> W</w:t>
      </w:r>
      <w:r>
        <w:rPr>
          <w:rFonts w:hint="eastAsia"/>
          <w:noProof/>
          <w:lang w:eastAsia="ko-KR"/>
        </w:rPr>
        <w:t>.,</w:t>
      </w:r>
      <w:r w:rsidRPr="0089670E">
        <w:rPr>
          <w:noProof/>
        </w:rPr>
        <w:t xml:space="preserve"> Bruenger</w:t>
      </w:r>
      <w:r>
        <w:rPr>
          <w:rFonts w:hint="eastAsia"/>
          <w:noProof/>
          <w:lang w:eastAsia="ko-KR"/>
        </w:rPr>
        <w:t>,</w:t>
      </w:r>
      <w:r w:rsidRPr="0089670E">
        <w:rPr>
          <w:noProof/>
        </w:rPr>
        <w:t xml:space="preserve"> F</w:t>
      </w:r>
      <w:r>
        <w:rPr>
          <w:rFonts w:hint="eastAsia"/>
          <w:noProof/>
          <w:lang w:eastAsia="ko-KR"/>
        </w:rPr>
        <w:t>.</w:t>
      </w:r>
      <w:r w:rsidRPr="0089670E">
        <w:rPr>
          <w:noProof/>
        </w:rPr>
        <w:t>W</w:t>
      </w:r>
      <w:r>
        <w:rPr>
          <w:rFonts w:hint="eastAsia"/>
          <w:noProof/>
          <w:lang w:eastAsia="ko-KR"/>
        </w:rPr>
        <w:t>.,</w:t>
      </w:r>
      <w:r w:rsidRPr="0089670E">
        <w:rPr>
          <w:noProof/>
        </w:rPr>
        <w:t xml:space="preserve"> 1972</w:t>
      </w:r>
      <w:r>
        <w:rPr>
          <w:rFonts w:hint="eastAsia"/>
          <w:noProof/>
          <w:lang w:eastAsia="ko-KR"/>
        </w:rPr>
        <w:t>.</w:t>
      </w:r>
      <w:r w:rsidRPr="0089670E">
        <w:rPr>
          <w:noProof/>
        </w:rPr>
        <w:t xml:space="preserve"> Interaction of </w:t>
      </w:r>
      <w:r w:rsidRPr="00A60A65">
        <w:rPr>
          <w:noProof/>
          <w:vertAlign w:val="superscript"/>
        </w:rPr>
        <w:t>249</w:t>
      </w:r>
      <w:r w:rsidRPr="0089670E">
        <w:rPr>
          <w:noProof/>
        </w:rPr>
        <w:t xml:space="preserve">Cf and </w:t>
      </w:r>
      <w:r w:rsidRPr="00A60A65">
        <w:rPr>
          <w:noProof/>
          <w:vertAlign w:val="superscript"/>
        </w:rPr>
        <w:t>252</w:t>
      </w:r>
      <w:r w:rsidRPr="0089670E">
        <w:rPr>
          <w:noProof/>
        </w:rPr>
        <w:t xml:space="preserve">Cf with constituents of dog and human blood. </w:t>
      </w:r>
      <w:r w:rsidRPr="001D350F">
        <w:rPr>
          <w:noProof/>
        </w:rPr>
        <w:t>Health Phys.</w:t>
      </w:r>
      <w:r w:rsidRPr="0089670E">
        <w:rPr>
          <w:noProof/>
        </w:rPr>
        <w:t xml:space="preserve"> 22(6)</w:t>
      </w:r>
      <w:r>
        <w:rPr>
          <w:rFonts w:hint="eastAsia"/>
          <w:noProof/>
          <w:lang w:eastAsia="ko-KR"/>
        </w:rPr>
        <w:t>.</w:t>
      </w:r>
      <w:r w:rsidRPr="0089670E">
        <w:rPr>
          <w:noProof/>
        </w:rPr>
        <w:t xml:space="preserve"> 679–683.</w:t>
      </w:r>
    </w:p>
    <w:p w14:paraId="08932E2F" w14:textId="77777777" w:rsidR="00232741" w:rsidRPr="0089670E" w:rsidRDefault="00232741" w:rsidP="00232741">
      <w:pPr>
        <w:pStyle w:val="aff1"/>
        <w:ind w:left="426" w:hanging="426"/>
        <w:rPr>
          <w:noProof/>
        </w:rPr>
      </w:pPr>
      <w:r w:rsidRPr="0089670E">
        <w:rPr>
          <w:noProof/>
        </w:rPr>
        <w:t>Stevens</w:t>
      </w:r>
      <w:r>
        <w:rPr>
          <w:rFonts w:hint="eastAsia"/>
          <w:noProof/>
          <w:lang w:eastAsia="ko-KR"/>
        </w:rPr>
        <w:t>,</w:t>
      </w:r>
      <w:r w:rsidRPr="0089670E">
        <w:rPr>
          <w:noProof/>
        </w:rPr>
        <w:t xml:space="preserve"> W</w:t>
      </w:r>
      <w:r>
        <w:rPr>
          <w:rFonts w:hint="eastAsia"/>
          <w:noProof/>
          <w:lang w:eastAsia="ko-KR"/>
        </w:rPr>
        <w:t>.</w:t>
      </w:r>
      <w:r w:rsidRPr="0089670E">
        <w:rPr>
          <w:noProof/>
        </w:rPr>
        <w:t>, Atherton</w:t>
      </w:r>
      <w:r>
        <w:rPr>
          <w:rFonts w:hint="eastAsia"/>
          <w:noProof/>
          <w:lang w:eastAsia="ko-KR"/>
        </w:rPr>
        <w:t>,</w:t>
      </w:r>
      <w:r w:rsidRPr="0089670E">
        <w:rPr>
          <w:noProof/>
        </w:rPr>
        <w:t xml:space="preserve"> D</w:t>
      </w:r>
      <w:r>
        <w:rPr>
          <w:rFonts w:hint="eastAsia"/>
          <w:noProof/>
          <w:lang w:eastAsia="ko-KR"/>
        </w:rPr>
        <w:t>.</w:t>
      </w:r>
      <w:r w:rsidRPr="0089670E">
        <w:rPr>
          <w:noProof/>
        </w:rPr>
        <w:t>R</w:t>
      </w:r>
      <w:r>
        <w:rPr>
          <w:rFonts w:hint="eastAsia"/>
          <w:noProof/>
          <w:lang w:eastAsia="ko-KR"/>
        </w:rPr>
        <w:t>.</w:t>
      </w:r>
      <w:r w:rsidRPr="0089670E">
        <w:rPr>
          <w:noProof/>
        </w:rPr>
        <w:t>, Bates</w:t>
      </w:r>
      <w:r>
        <w:rPr>
          <w:rFonts w:hint="eastAsia"/>
          <w:noProof/>
          <w:lang w:eastAsia="ko-KR"/>
        </w:rPr>
        <w:t>,</w:t>
      </w:r>
      <w:r w:rsidRPr="0089670E">
        <w:rPr>
          <w:noProof/>
        </w:rPr>
        <w:t xml:space="preserve"> D</w:t>
      </w:r>
      <w:r>
        <w:rPr>
          <w:rFonts w:hint="eastAsia"/>
          <w:noProof/>
          <w:lang w:eastAsia="ko-KR"/>
        </w:rPr>
        <w:t>.</w:t>
      </w:r>
      <w:r w:rsidRPr="0089670E">
        <w:rPr>
          <w:noProof/>
        </w:rPr>
        <w:t>, et al.</w:t>
      </w:r>
      <w:r>
        <w:rPr>
          <w:rFonts w:hint="eastAsia"/>
          <w:noProof/>
          <w:lang w:eastAsia="ko-KR"/>
        </w:rPr>
        <w:t>,</w:t>
      </w:r>
      <w:r w:rsidRPr="0089670E">
        <w:rPr>
          <w:noProof/>
        </w:rPr>
        <w:t xml:space="preserve"> 1977</w:t>
      </w:r>
      <w:r>
        <w:rPr>
          <w:rFonts w:hint="eastAsia"/>
          <w:noProof/>
          <w:lang w:eastAsia="ko-KR"/>
        </w:rPr>
        <w:t>.</w:t>
      </w:r>
      <w:r w:rsidRPr="0089670E">
        <w:rPr>
          <w:noProof/>
        </w:rPr>
        <w:t xml:space="preserve"> Retention and distribution of </w:t>
      </w:r>
      <w:r w:rsidRPr="00A60A65">
        <w:rPr>
          <w:noProof/>
          <w:vertAlign w:val="superscript"/>
        </w:rPr>
        <w:t>241</w:t>
      </w:r>
      <w:r w:rsidRPr="0089670E">
        <w:rPr>
          <w:noProof/>
        </w:rPr>
        <w:t xml:space="preserve">Am(III) in neonatal beagles. </w:t>
      </w:r>
      <w:r w:rsidRPr="001D350F">
        <w:rPr>
          <w:noProof/>
        </w:rPr>
        <w:t>Health Phys.</w:t>
      </w:r>
      <w:r w:rsidRPr="0089670E">
        <w:rPr>
          <w:noProof/>
        </w:rPr>
        <w:t xml:space="preserve"> 33(6)</w:t>
      </w:r>
      <w:r>
        <w:rPr>
          <w:rFonts w:hint="eastAsia"/>
          <w:noProof/>
          <w:lang w:eastAsia="ko-KR"/>
        </w:rPr>
        <w:t>.</w:t>
      </w:r>
      <w:r w:rsidRPr="0089670E">
        <w:rPr>
          <w:noProof/>
        </w:rPr>
        <w:t xml:space="preserve"> 553–559.</w:t>
      </w:r>
    </w:p>
    <w:p w14:paraId="115F7561" w14:textId="77777777" w:rsidR="00232741" w:rsidRPr="0089670E" w:rsidRDefault="00232741" w:rsidP="00232741">
      <w:pPr>
        <w:pStyle w:val="aff1"/>
        <w:ind w:left="426" w:hanging="426"/>
        <w:rPr>
          <w:noProof/>
        </w:rPr>
      </w:pPr>
      <w:r w:rsidRPr="0089670E">
        <w:rPr>
          <w:noProof/>
        </w:rPr>
        <w:t>Stevens</w:t>
      </w:r>
      <w:r>
        <w:rPr>
          <w:rFonts w:hint="eastAsia"/>
          <w:noProof/>
          <w:lang w:eastAsia="ko-KR"/>
        </w:rPr>
        <w:t>,</w:t>
      </w:r>
      <w:r w:rsidRPr="0089670E">
        <w:rPr>
          <w:noProof/>
        </w:rPr>
        <w:t xml:space="preserve"> W</w:t>
      </w:r>
      <w:r>
        <w:rPr>
          <w:rFonts w:hint="eastAsia"/>
          <w:noProof/>
          <w:lang w:eastAsia="ko-KR"/>
        </w:rPr>
        <w:t>.</w:t>
      </w:r>
      <w:r w:rsidRPr="0089670E">
        <w:rPr>
          <w:noProof/>
        </w:rPr>
        <w:t>, Bruenger</w:t>
      </w:r>
      <w:r>
        <w:rPr>
          <w:rFonts w:hint="eastAsia"/>
          <w:noProof/>
          <w:lang w:eastAsia="ko-KR"/>
        </w:rPr>
        <w:t>,</w:t>
      </w:r>
      <w:r w:rsidRPr="0089670E">
        <w:rPr>
          <w:noProof/>
        </w:rPr>
        <w:t xml:space="preserve"> F</w:t>
      </w:r>
      <w:r>
        <w:rPr>
          <w:rFonts w:hint="eastAsia"/>
          <w:noProof/>
          <w:lang w:eastAsia="ko-KR"/>
        </w:rPr>
        <w:t>.</w:t>
      </w:r>
      <w:r w:rsidRPr="0089670E">
        <w:rPr>
          <w:noProof/>
        </w:rPr>
        <w:t>W</w:t>
      </w:r>
      <w:r>
        <w:rPr>
          <w:rFonts w:hint="eastAsia"/>
          <w:noProof/>
          <w:lang w:eastAsia="ko-KR"/>
        </w:rPr>
        <w:t>.</w:t>
      </w:r>
      <w:r w:rsidRPr="0089670E">
        <w:rPr>
          <w:noProof/>
        </w:rPr>
        <w:t>, Atherton</w:t>
      </w:r>
      <w:r>
        <w:rPr>
          <w:rFonts w:hint="eastAsia"/>
          <w:noProof/>
          <w:lang w:eastAsia="ko-KR"/>
        </w:rPr>
        <w:t>,</w:t>
      </w:r>
      <w:r w:rsidRPr="0089670E">
        <w:rPr>
          <w:noProof/>
        </w:rPr>
        <w:t xml:space="preserve"> D</w:t>
      </w:r>
      <w:r>
        <w:rPr>
          <w:rFonts w:hint="eastAsia"/>
          <w:noProof/>
          <w:lang w:eastAsia="ko-KR"/>
        </w:rPr>
        <w:t>.</w:t>
      </w:r>
      <w:r w:rsidRPr="0089670E">
        <w:rPr>
          <w:noProof/>
        </w:rPr>
        <w:t>R</w:t>
      </w:r>
      <w:r>
        <w:rPr>
          <w:rFonts w:hint="eastAsia"/>
          <w:noProof/>
          <w:lang w:eastAsia="ko-KR"/>
        </w:rPr>
        <w:t>.</w:t>
      </w:r>
      <w:r w:rsidRPr="0089670E">
        <w:rPr>
          <w:noProof/>
        </w:rPr>
        <w:t>, et al.</w:t>
      </w:r>
      <w:r>
        <w:rPr>
          <w:rFonts w:hint="eastAsia"/>
          <w:noProof/>
          <w:lang w:eastAsia="ko-KR"/>
        </w:rPr>
        <w:t>,</w:t>
      </w:r>
      <w:r w:rsidRPr="0089670E">
        <w:rPr>
          <w:noProof/>
        </w:rPr>
        <w:t xml:space="preserve"> 1980</w:t>
      </w:r>
      <w:r>
        <w:rPr>
          <w:rFonts w:hint="eastAsia"/>
          <w:noProof/>
          <w:lang w:eastAsia="ko-KR"/>
        </w:rPr>
        <w:t>.</w:t>
      </w:r>
      <w:r w:rsidRPr="0089670E">
        <w:rPr>
          <w:noProof/>
        </w:rPr>
        <w:t xml:space="preserve"> The distribution and retention of hexavalent </w:t>
      </w:r>
      <w:r w:rsidRPr="00A60A65">
        <w:rPr>
          <w:noProof/>
          <w:vertAlign w:val="superscript"/>
        </w:rPr>
        <w:t>233</w:t>
      </w:r>
      <w:r w:rsidRPr="0089670E">
        <w:rPr>
          <w:noProof/>
        </w:rPr>
        <w:t xml:space="preserve">U in the beagle. </w:t>
      </w:r>
      <w:r w:rsidRPr="005666C8">
        <w:rPr>
          <w:noProof/>
        </w:rPr>
        <w:t>Radiat. Res.</w:t>
      </w:r>
      <w:r w:rsidRPr="0089670E">
        <w:rPr>
          <w:noProof/>
        </w:rPr>
        <w:t xml:space="preserve"> 83(1)</w:t>
      </w:r>
      <w:r>
        <w:rPr>
          <w:rFonts w:hint="eastAsia"/>
          <w:noProof/>
          <w:lang w:eastAsia="ko-KR"/>
        </w:rPr>
        <w:t>.</w:t>
      </w:r>
      <w:r w:rsidRPr="0089670E">
        <w:rPr>
          <w:noProof/>
        </w:rPr>
        <w:t xml:space="preserve"> 109–126.</w:t>
      </w:r>
    </w:p>
    <w:p w14:paraId="1626B57A" w14:textId="77777777" w:rsidR="00232741" w:rsidRPr="0089670E" w:rsidRDefault="00232741" w:rsidP="00232741">
      <w:pPr>
        <w:pStyle w:val="aff1"/>
        <w:ind w:left="426" w:hanging="426"/>
        <w:rPr>
          <w:noProof/>
        </w:rPr>
      </w:pPr>
      <w:r w:rsidRPr="0089670E">
        <w:rPr>
          <w:noProof/>
        </w:rPr>
        <w:t>Stover</w:t>
      </w:r>
      <w:r>
        <w:rPr>
          <w:rFonts w:hint="eastAsia"/>
          <w:noProof/>
          <w:lang w:eastAsia="ko-KR"/>
        </w:rPr>
        <w:t>,</w:t>
      </w:r>
      <w:r w:rsidRPr="0089670E">
        <w:rPr>
          <w:noProof/>
        </w:rPr>
        <w:t xml:space="preserve"> B</w:t>
      </w:r>
      <w:r>
        <w:rPr>
          <w:rFonts w:hint="eastAsia"/>
          <w:noProof/>
          <w:lang w:eastAsia="ko-KR"/>
        </w:rPr>
        <w:t>.</w:t>
      </w:r>
      <w:r w:rsidRPr="0089670E">
        <w:rPr>
          <w:noProof/>
        </w:rPr>
        <w:t>J</w:t>
      </w:r>
      <w:r>
        <w:rPr>
          <w:rFonts w:hint="eastAsia"/>
          <w:noProof/>
          <w:lang w:eastAsia="ko-KR"/>
        </w:rPr>
        <w:t>.</w:t>
      </w:r>
      <w:r w:rsidRPr="0089670E">
        <w:rPr>
          <w:noProof/>
        </w:rPr>
        <w:t>, Atherton</w:t>
      </w:r>
      <w:r>
        <w:rPr>
          <w:rFonts w:hint="eastAsia"/>
          <w:noProof/>
          <w:lang w:eastAsia="ko-KR"/>
        </w:rPr>
        <w:t>,</w:t>
      </w:r>
      <w:r w:rsidRPr="0089670E">
        <w:rPr>
          <w:noProof/>
        </w:rPr>
        <w:t xml:space="preserve"> D</w:t>
      </w:r>
      <w:r>
        <w:rPr>
          <w:rFonts w:hint="eastAsia"/>
          <w:noProof/>
          <w:lang w:eastAsia="ko-KR"/>
        </w:rPr>
        <w:t>.</w:t>
      </w:r>
      <w:r w:rsidRPr="0089670E">
        <w:rPr>
          <w:noProof/>
        </w:rPr>
        <w:t>R</w:t>
      </w:r>
      <w:r>
        <w:rPr>
          <w:rFonts w:hint="eastAsia"/>
          <w:noProof/>
          <w:lang w:eastAsia="ko-KR"/>
        </w:rPr>
        <w:t>.</w:t>
      </w:r>
      <w:r w:rsidRPr="0089670E">
        <w:rPr>
          <w:noProof/>
        </w:rPr>
        <w:t>, Keller</w:t>
      </w:r>
      <w:r>
        <w:rPr>
          <w:rFonts w:hint="eastAsia"/>
          <w:noProof/>
          <w:lang w:eastAsia="ko-KR"/>
        </w:rPr>
        <w:t>,</w:t>
      </w:r>
      <w:r w:rsidRPr="0089670E">
        <w:rPr>
          <w:noProof/>
        </w:rPr>
        <w:t xml:space="preserve"> N</w:t>
      </w:r>
      <w:r>
        <w:rPr>
          <w:rFonts w:hint="eastAsia"/>
          <w:noProof/>
          <w:lang w:eastAsia="ko-KR"/>
        </w:rPr>
        <w:t>.</w:t>
      </w:r>
      <w:r w:rsidRPr="0089670E">
        <w:rPr>
          <w:noProof/>
        </w:rPr>
        <w:t>, et al.</w:t>
      </w:r>
      <w:r>
        <w:rPr>
          <w:rFonts w:hint="eastAsia"/>
          <w:noProof/>
          <w:lang w:eastAsia="ko-KR"/>
        </w:rPr>
        <w:t>,</w:t>
      </w:r>
      <w:r w:rsidRPr="0089670E">
        <w:rPr>
          <w:noProof/>
        </w:rPr>
        <w:t xml:space="preserve"> 1960</w:t>
      </w:r>
      <w:r>
        <w:rPr>
          <w:rFonts w:hint="eastAsia"/>
          <w:noProof/>
          <w:lang w:eastAsia="ko-KR"/>
        </w:rPr>
        <w:t>.</w:t>
      </w:r>
      <w:r w:rsidRPr="0089670E">
        <w:rPr>
          <w:noProof/>
        </w:rPr>
        <w:t xml:space="preserve"> Metabolism of the Th</w:t>
      </w:r>
      <w:r>
        <w:rPr>
          <w:rFonts w:hint="eastAsia"/>
          <w:noProof/>
          <w:lang w:eastAsia="ko-KR"/>
        </w:rPr>
        <w:t>-</w:t>
      </w:r>
      <w:r w:rsidRPr="0089670E">
        <w:rPr>
          <w:noProof/>
        </w:rPr>
        <w:t>228 decay series in adult beagle dogs. I. Th</w:t>
      </w:r>
      <w:r>
        <w:rPr>
          <w:rFonts w:hint="eastAsia"/>
          <w:noProof/>
          <w:lang w:eastAsia="ko-KR"/>
        </w:rPr>
        <w:t>-</w:t>
      </w:r>
      <w:r w:rsidRPr="0089670E">
        <w:rPr>
          <w:noProof/>
        </w:rPr>
        <w:t xml:space="preserve">228 (RdTh). </w:t>
      </w:r>
      <w:r w:rsidRPr="005666C8">
        <w:rPr>
          <w:noProof/>
        </w:rPr>
        <w:t>Radiat. Res.</w:t>
      </w:r>
      <w:r w:rsidRPr="0089670E">
        <w:rPr>
          <w:noProof/>
        </w:rPr>
        <w:t xml:space="preserve"> 12</w:t>
      </w:r>
      <w:r>
        <w:rPr>
          <w:rFonts w:hint="eastAsia"/>
          <w:noProof/>
          <w:lang w:eastAsia="ko-KR"/>
        </w:rPr>
        <w:t>.</w:t>
      </w:r>
      <w:r w:rsidRPr="0089670E">
        <w:rPr>
          <w:noProof/>
        </w:rPr>
        <w:t xml:space="preserve"> 657–671.</w:t>
      </w:r>
    </w:p>
    <w:p w14:paraId="660CB560" w14:textId="77777777" w:rsidR="00232741" w:rsidRPr="0089670E" w:rsidRDefault="00232741" w:rsidP="00232741">
      <w:pPr>
        <w:pStyle w:val="aff1"/>
        <w:ind w:left="426" w:hanging="426"/>
        <w:rPr>
          <w:noProof/>
        </w:rPr>
      </w:pPr>
      <w:r w:rsidRPr="0089670E">
        <w:rPr>
          <w:noProof/>
        </w:rPr>
        <w:t>Struxness</w:t>
      </w:r>
      <w:r>
        <w:rPr>
          <w:rFonts w:hint="eastAsia"/>
          <w:noProof/>
          <w:lang w:eastAsia="ko-KR"/>
        </w:rPr>
        <w:t>,</w:t>
      </w:r>
      <w:r w:rsidRPr="0089670E">
        <w:rPr>
          <w:noProof/>
        </w:rPr>
        <w:t xml:space="preserve"> E</w:t>
      </w:r>
      <w:r>
        <w:rPr>
          <w:rFonts w:hint="eastAsia"/>
          <w:noProof/>
          <w:lang w:eastAsia="ko-KR"/>
        </w:rPr>
        <w:t>.</w:t>
      </w:r>
      <w:r w:rsidRPr="0089670E">
        <w:rPr>
          <w:noProof/>
        </w:rPr>
        <w:t>G</w:t>
      </w:r>
      <w:r>
        <w:rPr>
          <w:rFonts w:hint="eastAsia"/>
          <w:noProof/>
          <w:lang w:eastAsia="ko-KR"/>
        </w:rPr>
        <w:t>.</w:t>
      </w:r>
      <w:r w:rsidRPr="0089670E">
        <w:rPr>
          <w:noProof/>
        </w:rPr>
        <w:t>, Luessenhop</w:t>
      </w:r>
      <w:r>
        <w:rPr>
          <w:rFonts w:hint="eastAsia"/>
          <w:noProof/>
          <w:lang w:eastAsia="ko-KR"/>
        </w:rPr>
        <w:t>,</w:t>
      </w:r>
      <w:r w:rsidRPr="0089670E">
        <w:rPr>
          <w:noProof/>
        </w:rPr>
        <w:t xml:space="preserve"> A</w:t>
      </w:r>
      <w:r>
        <w:rPr>
          <w:rFonts w:hint="eastAsia"/>
          <w:noProof/>
          <w:lang w:eastAsia="ko-KR"/>
        </w:rPr>
        <w:t>.</w:t>
      </w:r>
      <w:r w:rsidRPr="0089670E">
        <w:rPr>
          <w:noProof/>
        </w:rPr>
        <w:t>J</w:t>
      </w:r>
      <w:r>
        <w:rPr>
          <w:rFonts w:hint="eastAsia"/>
          <w:noProof/>
          <w:lang w:eastAsia="ko-KR"/>
        </w:rPr>
        <w:t>.</w:t>
      </w:r>
      <w:r w:rsidRPr="0089670E">
        <w:rPr>
          <w:noProof/>
        </w:rPr>
        <w:t>, Bernard</w:t>
      </w:r>
      <w:r>
        <w:rPr>
          <w:rFonts w:hint="eastAsia"/>
          <w:noProof/>
          <w:lang w:eastAsia="ko-KR"/>
        </w:rPr>
        <w:t xml:space="preserve">, </w:t>
      </w:r>
      <w:r w:rsidRPr="0089670E">
        <w:rPr>
          <w:noProof/>
        </w:rPr>
        <w:t>S</w:t>
      </w:r>
      <w:r>
        <w:rPr>
          <w:rFonts w:hint="eastAsia"/>
          <w:noProof/>
          <w:lang w:eastAsia="ko-KR"/>
        </w:rPr>
        <w:t>.</w:t>
      </w:r>
      <w:r w:rsidRPr="0089670E">
        <w:rPr>
          <w:noProof/>
        </w:rPr>
        <w:t>R</w:t>
      </w:r>
      <w:r>
        <w:rPr>
          <w:rFonts w:hint="eastAsia"/>
          <w:noProof/>
          <w:lang w:eastAsia="ko-KR"/>
        </w:rPr>
        <w:t>.</w:t>
      </w:r>
      <w:r w:rsidRPr="0089670E">
        <w:rPr>
          <w:noProof/>
        </w:rPr>
        <w:t>, et al.</w:t>
      </w:r>
      <w:r>
        <w:rPr>
          <w:rFonts w:hint="eastAsia"/>
          <w:noProof/>
          <w:lang w:eastAsia="ko-KR"/>
        </w:rPr>
        <w:t>,</w:t>
      </w:r>
      <w:r w:rsidRPr="0089670E">
        <w:rPr>
          <w:noProof/>
        </w:rPr>
        <w:t xml:space="preserve"> 1956</w:t>
      </w:r>
      <w:r>
        <w:rPr>
          <w:rFonts w:hint="eastAsia"/>
          <w:noProof/>
          <w:lang w:eastAsia="ko-KR"/>
        </w:rPr>
        <w:t>.</w:t>
      </w:r>
      <w:r w:rsidRPr="0089670E">
        <w:rPr>
          <w:noProof/>
        </w:rPr>
        <w:t xml:space="preserve"> The distribution and excretion of hexavalent uranium in humans. In: </w:t>
      </w:r>
      <w:r w:rsidRPr="00ED6790">
        <w:rPr>
          <w:noProof/>
        </w:rPr>
        <w:t>Proceedings of the International Conference on the Peaceful Uses of Atomic Energy 8 Aug. 1955-20 Aug. 1955</w:t>
      </w:r>
      <w:r w:rsidRPr="0089670E">
        <w:rPr>
          <w:noProof/>
        </w:rPr>
        <w:t>, New York, 1956, pp. 186–196. United Nations.</w:t>
      </w:r>
    </w:p>
    <w:p w14:paraId="10971C96" w14:textId="77777777" w:rsidR="00232741" w:rsidRPr="0089670E" w:rsidRDefault="00232741" w:rsidP="00232741">
      <w:pPr>
        <w:pStyle w:val="aff1"/>
        <w:ind w:left="426" w:hanging="426"/>
        <w:rPr>
          <w:noProof/>
        </w:rPr>
      </w:pPr>
      <w:r w:rsidRPr="0089670E">
        <w:rPr>
          <w:noProof/>
        </w:rPr>
        <w:t>Stuart</w:t>
      </w:r>
      <w:r>
        <w:rPr>
          <w:rFonts w:hint="eastAsia"/>
          <w:noProof/>
          <w:lang w:eastAsia="ko-KR"/>
        </w:rPr>
        <w:t>,</w:t>
      </w:r>
      <w:r w:rsidRPr="0089670E">
        <w:rPr>
          <w:noProof/>
        </w:rPr>
        <w:t xml:space="preserve"> B</w:t>
      </w:r>
      <w:r>
        <w:rPr>
          <w:rFonts w:hint="eastAsia"/>
          <w:noProof/>
          <w:lang w:eastAsia="ko-KR"/>
        </w:rPr>
        <w:t>.</w:t>
      </w:r>
      <w:r w:rsidRPr="0089670E">
        <w:rPr>
          <w:noProof/>
        </w:rPr>
        <w:t>O</w:t>
      </w:r>
      <w:r>
        <w:rPr>
          <w:rFonts w:hint="eastAsia"/>
          <w:noProof/>
          <w:lang w:eastAsia="ko-KR"/>
        </w:rPr>
        <w:t>.,</w:t>
      </w:r>
      <w:r w:rsidRPr="0089670E">
        <w:rPr>
          <w:noProof/>
        </w:rPr>
        <w:t xml:space="preserve"> 1967</w:t>
      </w:r>
      <w:r>
        <w:rPr>
          <w:rFonts w:hint="eastAsia"/>
          <w:noProof/>
          <w:lang w:eastAsia="ko-KR"/>
        </w:rPr>
        <w:t>.</w:t>
      </w:r>
      <w:r w:rsidRPr="0089670E">
        <w:rPr>
          <w:noProof/>
        </w:rPr>
        <w:t xml:space="preserve"> </w:t>
      </w:r>
      <w:r w:rsidRPr="00ED6790">
        <w:rPr>
          <w:noProof/>
        </w:rPr>
        <w:t>Inhalation studies with promethium oxide in beagle dogs</w:t>
      </w:r>
      <w:r w:rsidRPr="0089670E">
        <w:rPr>
          <w:noProof/>
        </w:rPr>
        <w:t>. BNWL-714. Pacific Northwest Annual Report for 1967.</w:t>
      </w:r>
    </w:p>
    <w:p w14:paraId="103071E0" w14:textId="77777777" w:rsidR="00232741" w:rsidRPr="0089670E" w:rsidRDefault="00232741" w:rsidP="00232741">
      <w:pPr>
        <w:pStyle w:val="aff1"/>
        <w:ind w:left="426" w:hanging="426"/>
        <w:rPr>
          <w:noProof/>
        </w:rPr>
      </w:pPr>
      <w:r w:rsidRPr="0089670E">
        <w:rPr>
          <w:noProof/>
        </w:rPr>
        <w:t>Stuart</w:t>
      </w:r>
      <w:r>
        <w:rPr>
          <w:rFonts w:hint="eastAsia"/>
          <w:noProof/>
          <w:lang w:eastAsia="ko-KR"/>
        </w:rPr>
        <w:t>,</w:t>
      </w:r>
      <w:r w:rsidRPr="0089670E">
        <w:rPr>
          <w:noProof/>
        </w:rPr>
        <w:t xml:space="preserve"> B</w:t>
      </w:r>
      <w:r>
        <w:rPr>
          <w:rFonts w:hint="eastAsia"/>
          <w:noProof/>
          <w:lang w:eastAsia="ko-KR"/>
        </w:rPr>
        <w:t>.</w:t>
      </w:r>
      <w:r w:rsidRPr="0089670E">
        <w:rPr>
          <w:noProof/>
        </w:rPr>
        <w:t>O</w:t>
      </w:r>
      <w:r>
        <w:rPr>
          <w:rFonts w:hint="eastAsia"/>
          <w:noProof/>
          <w:lang w:eastAsia="ko-KR"/>
        </w:rPr>
        <w:t>.</w:t>
      </w:r>
      <w:r w:rsidRPr="0089670E">
        <w:rPr>
          <w:noProof/>
        </w:rPr>
        <w:t>, Casey</w:t>
      </w:r>
      <w:r>
        <w:rPr>
          <w:rFonts w:hint="eastAsia"/>
          <w:noProof/>
          <w:lang w:eastAsia="ko-KR"/>
        </w:rPr>
        <w:t>,</w:t>
      </w:r>
      <w:r w:rsidRPr="0089670E">
        <w:rPr>
          <w:noProof/>
        </w:rPr>
        <w:t xml:space="preserve"> H</w:t>
      </w:r>
      <w:r>
        <w:rPr>
          <w:rFonts w:hint="eastAsia"/>
          <w:noProof/>
          <w:lang w:eastAsia="ko-KR"/>
        </w:rPr>
        <w:t>.</w:t>
      </w:r>
      <w:r w:rsidRPr="0089670E">
        <w:rPr>
          <w:noProof/>
        </w:rPr>
        <w:t>W</w:t>
      </w:r>
      <w:r>
        <w:rPr>
          <w:rFonts w:hint="eastAsia"/>
          <w:noProof/>
          <w:lang w:eastAsia="ko-KR"/>
        </w:rPr>
        <w:t xml:space="preserve">., </w:t>
      </w:r>
      <w:r w:rsidRPr="0089670E">
        <w:rPr>
          <w:noProof/>
        </w:rPr>
        <w:t>Bair</w:t>
      </w:r>
      <w:r>
        <w:rPr>
          <w:rFonts w:hint="eastAsia"/>
          <w:noProof/>
          <w:lang w:eastAsia="ko-KR"/>
        </w:rPr>
        <w:t>,</w:t>
      </w:r>
      <w:r w:rsidRPr="0089670E">
        <w:rPr>
          <w:noProof/>
        </w:rPr>
        <w:t xml:space="preserve"> W</w:t>
      </w:r>
      <w:r>
        <w:rPr>
          <w:rFonts w:hint="eastAsia"/>
          <w:noProof/>
          <w:lang w:eastAsia="ko-KR"/>
        </w:rPr>
        <w:t>.</w:t>
      </w:r>
      <w:r w:rsidRPr="0089670E">
        <w:rPr>
          <w:noProof/>
        </w:rPr>
        <w:t>J</w:t>
      </w:r>
      <w:r>
        <w:rPr>
          <w:rFonts w:hint="eastAsia"/>
          <w:noProof/>
          <w:lang w:eastAsia="ko-KR"/>
        </w:rPr>
        <w:t>.,</w:t>
      </w:r>
      <w:r w:rsidRPr="0089670E">
        <w:rPr>
          <w:noProof/>
        </w:rPr>
        <w:t xml:space="preserve"> 1964</w:t>
      </w:r>
      <w:r>
        <w:rPr>
          <w:rFonts w:hint="eastAsia"/>
          <w:noProof/>
          <w:lang w:eastAsia="ko-KR"/>
        </w:rPr>
        <w:t>.</w:t>
      </w:r>
      <w:r w:rsidRPr="0089670E">
        <w:rPr>
          <w:noProof/>
        </w:rPr>
        <w:t xml:space="preserve"> ACUTE AND CHRONIC EFFECTS OF INHALED </w:t>
      </w:r>
      <w:r w:rsidRPr="00A60A65">
        <w:rPr>
          <w:noProof/>
          <w:vertAlign w:val="superscript"/>
        </w:rPr>
        <w:t>144</w:t>
      </w:r>
      <w:r w:rsidRPr="0089670E">
        <w:rPr>
          <w:noProof/>
        </w:rPr>
        <w:t>C</w:t>
      </w:r>
      <w:r>
        <w:rPr>
          <w:rFonts w:hint="eastAsia"/>
          <w:noProof/>
          <w:lang w:eastAsia="ko-KR"/>
        </w:rPr>
        <w:t>e</w:t>
      </w:r>
      <w:r w:rsidRPr="0089670E">
        <w:rPr>
          <w:noProof/>
        </w:rPr>
        <w:t>O</w:t>
      </w:r>
      <w:r w:rsidRPr="00A60A65">
        <w:rPr>
          <w:noProof/>
          <w:vertAlign w:val="subscript"/>
        </w:rPr>
        <w:t>2</w:t>
      </w:r>
      <w:r w:rsidRPr="0089670E">
        <w:rPr>
          <w:noProof/>
        </w:rPr>
        <w:t xml:space="preserve"> IN DOGS. </w:t>
      </w:r>
      <w:r w:rsidRPr="001D350F">
        <w:rPr>
          <w:noProof/>
        </w:rPr>
        <w:t>Health Phys.</w:t>
      </w:r>
      <w:r w:rsidRPr="0089670E">
        <w:rPr>
          <w:noProof/>
        </w:rPr>
        <w:t xml:space="preserve"> 10</w:t>
      </w:r>
      <w:r>
        <w:rPr>
          <w:rFonts w:hint="eastAsia"/>
          <w:noProof/>
          <w:lang w:eastAsia="ko-KR"/>
        </w:rPr>
        <w:t>.</w:t>
      </w:r>
      <w:r w:rsidRPr="0089670E">
        <w:rPr>
          <w:noProof/>
        </w:rPr>
        <w:t xml:space="preserve"> 1203–1209.</w:t>
      </w:r>
    </w:p>
    <w:p w14:paraId="2D8D4783" w14:textId="77777777" w:rsidR="00232741" w:rsidRPr="0089670E" w:rsidRDefault="00232741" w:rsidP="00232741">
      <w:pPr>
        <w:pStyle w:val="aff1"/>
        <w:ind w:left="426" w:hanging="426"/>
        <w:rPr>
          <w:noProof/>
        </w:rPr>
      </w:pPr>
      <w:r w:rsidRPr="0089670E">
        <w:rPr>
          <w:noProof/>
        </w:rPr>
        <w:t>Sullivan</w:t>
      </w:r>
      <w:r>
        <w:rPr>
          <w:rFonts w:hint="eastAsia"/>
          <w:noProof/>
          <w:lang w:eastAsia="ko-KR"/>
        </w:rPr>
        <w:t>,</w:t>
      </w:r>
      <w:r w:rsidRPr="0089670E">
        <w:rPr>
          <w:noProof/>
        </w:rPr>
        <w:t xml:space="preserve"> M</w:t>
      </w:r>
      <w:r>
        <w:rPr>
          <w:rFonts w:hint="eastAsia"/>
          <w:noProof/>
          <w:lang w:eastAsia="ko-KR"/>
        </w:rPr>
        <w:t>.</w:t>
      </w:r>
      <w:r w:rsidRPr="0089670E">
        <w:rPr>
          <w:noProof/>
        </w:rPr>
        <w:t>F</w:t>
      </w:r>
      <w:r>
        <w:rPr>
          <w:rFonts w:hint="eastAsia"/>
          <w:noProof/>
          <w:lang w:eastAsia="ko-KR"/>
        </w:rPr>
        <w:t>.,</w:t>
      </w:r>
      <w:r w:rsidRPr="0089670E">
        <w:rPr>
          <w:noProof/>
        </w:rPr>
        <w:t xml:space="preserve"> 1974</w:t>
      </w:r>
      <w:r>
        <w:rPr>
          <w:rFonts w:hint="eastAsia"/>
          <w:noProof/>
          <w:lang w:eastAsia="ko-KR"/>
        </w:rPr>
        <w:t>.</w:t>
      </w:r>
      <w:r w:rsidRPr="0089670E">
        <w:rPr>
          <w:noProof/>
        </w:rPr>
        <w:t xml:space="preserve"> </w:t>
      </w:r>
      <w:r w:rsidRPr="00ED6790">
        <w:rPr>
          <w:noProof/>
        </w:rPr>
        <w:t>Absorption of curium-244 and californium-252 from the gastrointestinal tract of newborn and adult rats</w:t>
      </w:r>
      <w:r w:rsidRPr="0089670E">
        <w:rPr>
          <w:noProof/>
        </w:rPr>
        <w:t>. Pacific Norfhwest Laboratory Annual Report for 1973 to the USAEC Division of Biomedical and Environmental Research. Port I Biological Sciences BNWL-I850 Pt. l. Richland, Washington: Battelle Pacific Northwest Labs.,. Available at: https://www.osti.gov/biblio/4277243 (accessed 5 October 2023).</w:t>
      </w:r>
    </w:p>
    <w:p w14:paraId="1FFD3BB7" w14:textId="77777777" w:rsidR="00232741" w:rsidRPr="0089670E" w:rsidRDefault="00232741" w:rsidP="00232741">
      <w:pPr>
        <w:pStyle w:val="aff1"/>
        <w:ind w:left="426" w:hanging="426"/>
        <w:rPr>
          <w:noProof/>
        </w:rPr>
      </w:pPr>
      <w:r w:rsidRPr="0089670E">
        <w:rPr>
          <w:noProof/>
        </w:rPr>
        <w:t>Sullivan</w:t>
      </w:r>
      <w:r>
        <w:rPr>
          <w:rFonts w:hint="eastAsia"/>
          <w:noProof/>
          <w:lang w:eastAsia="ko-KR"/>
        </w:rPr>
        <w:t>,</w:t>
      </w:r>
      <w:r w:rsidRPr="0089670E">
        <w:rPr>
          <w:noProof/>
        </w:rPr>
        <w:t xml:space="preserve"> M</w:t>
      </w:r>
      <w:r>
        <w:rPr>
          <w:rFonts w:hint="eastAsia"/>
          <w:noProof/>
          <w:lang w:eastAsia="ko-KR"/>
        </w:rPr>
        <w:t>.</w:t>
      </w:r>
      <w:r w:rsidRPr="0089670E">
        <w:rPr>
          <w:noProof/>
        </w:rPr>
        <w:t>F</w:t>
      </w:r>
      <w:r>
        <w:rPr>
          <w:rFonts w:hint="eastAsia"/>
          <w:noProof/>
          <w:lang w:eastAsia="ko-KR"/>
        </w:rPr>
        <w:t>.,</w:t>
      </w:r>
      <w:r w:rsidRPr="0089670E">
        <w:rPr>
          <w:noProof/>
        </w:rPr>
        <w:t xml:space="preserve"> 1980a</w:t>
      </w:r>
      <w:r>
        <w:rPr>
          <w:rFonts w:hint="eastAsia"/>
          <w:noProof/>
          <w:lang w:eastAsia="ko-KR"/>
        </w:rPr>
        <w:t>.</w:t>
      </w:r>
      <w:r w:rsidRPr="0089670E">
        <w:rPr>
          <w:noProof/>
        </w:rPr>
        <w:t xml:space="preserve"> Absorption of actinide elements from the gastrointestinal tract of neonatal animals. </w:t>
      </w:r>
      <w:r w:rsidRPr="001D350F">
        <w:rPr>
          <w:noProof/>
        </w:rPr>
        <w:t>Health Phys.</w:t>
      </w:r>
      <w:r w:rsidRPr="0089670E">
        <w:rPr>
          <w:noProof/>
        </w:rPr>
        <w:t xml:space="preserve"> 38(2)</w:t>
      </w:r>
      <w:r>
        <w:rPr>
          <w:rFonts w:hint="eastAsia"/>
          <w:noProof/>
          <w:lang w:eastAsia="ko-KR"/>
        </w:rPr>
        <w:t>.</w:t>
      </w:r>
      <w:r w:rsidRPr="0089670E">
        <w:rPr>
          <w:noProof/>
        </w:rPr>
        <w:t xml:space="preserve"> 173–185.</w:t>
      </w:r>
    </w:p>
    <w:p w14:paraId="50E8AE20" w14:textId="77777777" w:rsidR="00232741" w:rsidRPr="0089670E" w:rsidRDefault="00232741" w:rsidP="00232741">
      <w:pPr>
        <w:pStyle w:val="aff1"/>
        <w:ind w:left="426" w:hanging="426"/>
        <w:rPr>
          <w:noProof/>
        </w:rPr>
      </w:pPr>
      <w:r w:rsidRPr="0089670E">
        <w:rPr>
          <w:noProof/>
        </w:rPr>
        <w:t>Sullivan</w:t>
      </w:r>
      <w:r>
        <w:rPr>
          <w:rFonts w:hint="eastAsia"/>
          <w:noProof/>
          <w:lang w:eastAsia="ko-KR"/>
        </w:rPr>
        <w:t>,</w:t>
      </w:r>
      <w:r w:rsidRPr="0089670E">
        <w:rPr>
          <w:noProof/>
        </w:rPr>
        <w:t xml:space="preserve"> M</w:t>
      </w:r>
      <w:r>
        <w:rPr>
          <w:rFonts w:hint="eastAsia"/>
          <w:noProof/>
          <w:lang w:eastAsia="ko-KR"/>
        </w:rPr>
        <w:t>.</w:t>
      </w:r>
      <w:r w:rsidRPr="0089670E">
        <w:rPr>
          <w:noProof/>
        </w:rPr>
        <w:t>F</w:t>
      </w:r>
      <w:r>
        <w:rPr>
          <w:rFonts w:hint="eastAsia"/>
          <w:noProof/>
          <w:lang w:eastAsia="ko-KR"/>
        </w:rPr>
        <w:t>.,</w:t>
      </w:r>
      <w:r w:rsidRPr="0089670E">
        <w:rPr>
          <w:noProof/>
        </w:rPr>
        <w:t xml:space="preserve"> 1980b</w:t>
      </w:r>
      <w:r>
        <w:rPr>
          <w:rFonts w:hint="eastAsia"/>
          <w:noProof/>
          <w:lang w:eastAsia="ko-KR"/>
        </w:rPr>
        <w:t>.</w:t>
      </w:r>
      <w:r w:rsidRPr="0089670E">
        <w:rPr>
          <w:noProof/>
        </w:rPr>
        <w:t xml:space="preserve"> Absorption of actinide elements from the gastrointestinal tract of rats, guinea pigs and dogs. </w:t>
      </w:r>
      <w:r w:rsidRPr="001D350F">
        <w:rPr>
          <w:noProof/>
        </w:rPr>
        <w:t>Health Phys.</w:t>
      </w:r>
      <w:r w:rsidRPr="0089670E">
        <w:rPr>
          <w:noProof/>
        </w:rPr>
        <w:t xml:space="preserve"> 38(2)</w:t>
      </w:r>
      <w:r>
        <w:rPr>
          <w:rFonts w:hint="eastAsia"/>
          <w:noProof/>
          <w:lang w:eastAsia="ko-KR"/>
        </w:rPr>
        <w:t>.</w:t>
      </w:r>
      <w:r w:rsidRPr="0089670E">
        <w:rPr>
          <w:noProof/>
        </w:rPr>
        <w:t xml:space="preserve"> 159–171.</w:t>
      </w:r>
    </w:p>
    <w:p w14:paraId="096CE8E1" w14:textId="77777777" w:rsidR="00232741" w:rsidRPr="0089670E" w:rsidRDefault="00232741" w:rsidP="00232741">
      <w:pPr>
        <w:pStyle w:val="aff1"/>
        <w:ind w:left="426" w:hanging="426"/>
        <w:rPr>
          <w:noProof/>
        </w:rPr>
      </w:pPr>
      <w:r w:rsidRPr="0089670E">
        <w:rPr>
          <w:noProof/>
        </w:rPr>
        <w:t>Sullivan</w:t>
      </w:r>
      <w:r>
        <w:rPr>
          <w:rFonts w:hint="eastAsia"/>
          <w:noProof/>
          <w:lang w:eastAsia="ko-KR"/>
        </w:rPr>
        <w:t>,</w:t>
      </w:r>
      <w:r w:rsidRPr="0089670E">
        <w:rPr>
          <w:noProof/>
        </w:rPr>
        <w:t xml:space="preserve"> M</w:t>
      </w:r>
      <w:r>
        <w:rPr>
          <w:rFonts w:hint="eastAsia"/>
          <w:noProof/>
          <w:lang w:eastAsia="ko-KR"/>
        </w:rPr>
        <w:t>.</w:t>
      </w:r>
      <w:r w:rsidRPr="0089670E">
        <w:rPr>
          <w:noProof/>
        </w:rPr>
        <w:t>F</w:t>
      </w:r>
      <w:r>
        <w:rPr>
          <w:rFonts w:hint="eastAsia"/>
          <w:noProof/>
          <w:lang w:eastAsia="ko-KR"/>
        </w:rPr>
        <w:t>.,</w:t>
      </w:r>
      <w:r w:rsidRPr="0089670E">
        <w:rPr>
          <w:noProof/>
        </w:rPr>
        <w:t xml:space="preserve"> Crosby</w:t>
      </w:r>
      <w:r>
        <w:rPr>
          <w:rFonts w:hint="eastAsia"/>
          <w:noProof/>
          <w:lang w:eastAsia="ko-KR"/>
        </w:rPr>
        <w:t>,</w:t>
      </w:r>
      <w:r w:rsidRPr="0089670E">
        <w:rPr>
          <w:noProof/>
        </w:rPr>
        <w:t xml:space="preserve"> A</w:t>
      </w:r>
      <w:r>
        <w:rPr>
          <w:rFonts w:hint="eastAsia"/>
          <w:noProof/>
          <w:lang w:eastAsia="ko-KR"/>
        </w:rPr>
        <w:t>.</w:t>
      </w:r>
      <w:r w:rsidRPr="0089670E">
        <w:rPr>
          <w:noProof/>
        </w:rPr>
        <w:t>L</w:t>
      </w:r>
      <w:r>
        <w:rPr>
          <w:rFonts w:hint="eastAsia"/>
          <w:noProof/>
          <w:lang w:eastAsia="ko-KR"/>
        </w:rPr>
        <w:t>.,</w:t>
      </w:r>
      <w:r w:rsidRPr="0089670E">
        <w:rPr>
          <w:noProof/>
        </w:rPr>
        <w:t xml:space="preserve"> 1975</w:t>
      </w:r>
      <w:r>
        <w:rPr>
          <w:rFonts w:hint="eastAsia"/>
          <w:noProof/>
          <w:lang w:eastAsia="ko-KR"/>
        </w:rPr>
        <w:t>.</w:t>
      </w:r>
      <w:r w:rsidRPr="0089670E">
        <w:rPr>
          <w:noProof/>
        </w:rPr>
        <w:t xml:space="preserve"> </w:t>
      </w:r>
      <w:r w:rsidRPr="00ED6790">
        <w:rPr>
          <w:noProof/>
        </w:rPr>
        <w:t>Absorption of uranium-233, neptunium-237, plutonium-238, americium-241, curium-244, and einsteinium-253 from the gastrointestinal tract of newborn and adult rats</w:t>
      </w:r>
      <w:r w:rsidRPr="0089670E">
        <w:rPr>
          <w:noProof/>
        </w:rPr>
        <w:t>. Pacific Northwest Laboratory Annual Report for 1974 BNWL-1950 Pt 1,. Richland, Wash.(USA): Battelle Pacific Northwest Labs. Available at: https://www.osti.gov/servlets/purl/4197788 (accessed 6 October 2023).</w:t>
      </w:r>
    </w:p>
    <w:p w14:paraId="322EBEC1" w14:textId="77777777" w:rsidR="00232741" w:rsidRPr="0089670E" w:rsidRDefault="00232741" w:rsidP="00232741">
      <w:pPr>
        <w:pStyle w:val="aff1"/>
        <w:ind w:left="426" w:hanging="426"/>
        <w:rPr>
          <w:noProof/>
        </w:rPr>
      </w:pPr>
      <w:r w:rsidRPr="0089670E">
        <w:rPr>
          <w:noProof/>
        </w:rPr>
        <w:lastRenderedPageBreak/>
        <w:t>Sullivan</w:t>
      </w:r>
      <w:r>
        <w:rPr>
          <w:rFonts w:hint="eastAsia"/>
          <w:noProof/>
          <w:lang w:eastAsia="ko-KR"/>
        </w:rPr>
        <w:t>,</w:t>
      </w:r>
      <w:r w:rsidRPr="0089670E">
        <w:rPr>
          <w:noProof/>
        </w:rPr>
        <w:t xml:space="preserve"> M</w:t>
      </w:r>
      <w:r>
        <w:rPr>
          <w:rFonts w:hint="eastAsia"/>
          <w:noProof/>
          <w:lang w:eastAsia="ko-KR"/>
        </w:rPr>
        <w:t>.</w:t>
      </w:r>
      <w:r w:rsidRPr="0089670E">
        <w:rPr>
          <w:noProof/>
        </w:rPr>
        <w:t>F</w:t>
      </w:r>
      <w:r>
        <w:rPr>
          <w:rFonts w:hint="eastAsia"/>
          <w:noProof/>
          <w:lang w:eastAsia="ko-KR"/>
        </w:rPr>
        <w:t>.,</w:t>
      </w:r>
      <w:r w:rsidRPr="0089670E">
        <w:rPr>
          <w:noProof/>
        </w:rPr>
        <w:t xml:space="preserve"> Gorham</w:t>
      </w:r>
      <w:r>
        <w:rPr>
          <w:rFonts w:hint="eastAsia"/>
          <w:noProof/>
          <w:lang w:eastAsia="ko-KR"/>
        </w:rPr>
        <w:t>,</w:t>
      </w:r>
      <w:r w:rsidRPr="0089670E">
        <w:rPr>
          <w:noProof/>
        </w:rPr>
        <w:t xml:space="preserve"> L</w:t>
      </w:r>
      <w:r>
        <w:rPr>
          <w:rFonts w:hint="eastAsia"/>
          <w:noProof/>
          <w:lang w:eastAsia="ko-KR"/>
        </w:rPr>
        <w:t>.</w:t>
      </w:r>
      <w:r w:rsidRPr="0089670E">
        <w:rPr>
          <w:noProof/>
        </w:rPr>
        <w:t>S</w:t>
      </w:r>
      <w:r>
        <w:rPr>
          <w:rFonts w:hint="eastAsia"/>
          <w:noProof/>
          <w:lang w:eastAsia="ko-KR"/>
        </w:rPr>
        <w:t>.,</w:t>
      </w:r>
      <w:r w:rsidRPr="0089670E">
        <w:rPr>
          <w:noProof/>
        </w:rPr>
        <w:t xml:space="preserve"> 1982</w:t>
      </w:r>
      <w:r>
        <w:rPr>
          <w:rFonts w:hint="eastAsia"/>
          <w:noProof/>
          <w:lang w:eastAsia="ko-KR"/>
        </w:rPr>
        <w:t>.</w:t>
      </w:r>
      <w:r w:rsidRPr="0089670E">
        <w:rPr>
          <w:noProof/>
        </w:rPr>
        <w:t xml:space="preserve"> Further studies on the absorption of actinide elements from the gastrointestinal tract of neonatal animals. </w:t>
      </w:r>
      <w:r w:rsidRPr="001D350F">
        <w:rPr>
          <w:noProof/>
        </w:rPr>
        <w:t>Health Phys.</w:t>
      </w:r>
      <w:r w:rsidRPr="0089670E">
        <w:rPr>
          <w:noProof/>
        </w:rPr>
        <w:t xml:space="preserve"> 43(4)</w:t>
      </w:r>
      <w:r>
        <w:rPr>
          <w:rFonts w:hint="eastAsia"/>
          <w:noProof/>
          <w:lang w:eastAsia="ko-KR"/>
        </w:rPr>
        <w:t>.</w:t>
      </w:r>
      <w:r w:rsidRPr="0089670E">
        <w:rPr>
          <w:noProof/>
        </w:rPr>
        <w:t xml:space="preserve"> 509–519.</w:t>
      </w:r>
    </w:p>
    <w:p w14:paraId="4658C2BC" w14:textId="77777777" w:rsidR="00232741" w:rsidRPr="0089670E" w:rsidRDefault="00232741" w:rsidP="00232741">
      <w:pPr>
        <w:pStyle w:val="aff1"/>
        <w:ind w:left="426" w:hanging="426"/>
        <w:rPr>
          <w:noProof/>
        </w:rPr>
      </w:pPr>
      <w:r w:rsidRPr="0089670E">
        <w:rPr>
          <w:noProof/>
        </w:rPr>
        <w:t>Sullivan</w:t>
      </w:r>
      <w:r>
        <w:rPr>
          <w:rFonts w:hint="eastAsia"/>
          <w:noProof/>
          <w:lang w:eastAsia="ko-KR"/>
        </w:rPr>
        <w:t>,</w:t>
      </w:r>
      <w:r w:rsidRPr="0089670E">
        <w:rPr>
          <w:noProof/>
        </w:rPr>
        <w:t xml:space="preserve"> M</w:t>
      </w:r>
      <w:r>
        <w:rPr>
          <w:rFonts w:hint="eastAsia"/>
          <w:noProof/>
          <w:lang w:eastAsia="ko-KR"/>
        </w:rPr>
        <w:t>.</w:t>
      </w:r>
      <w:r w:rsidRPr="0089670E">
        <w:rPr>
          <w:noProof/>
        </w:rPr>
        <w:t>F</w:t>
      </w:r>
      <w:r>
        <w:rPr>
          <w:rFonts w:hint="eastAsia"/>
          <w:noProof/>
          <w:lang w:eastAsia="ko-KR"/>
        </w:rPr>
        <w:t>.</w:t>
      </w:r>
      <w:r w:rsidRPr="0089670E">
        <w:rPr>
          <w:noProof/>
        </w:rPr>
        <w:t>, Miller</w:t>
      </w:r>
      <w:r>
        <w:rPr>
          <w:rFonts w:hint="eastAsia"/>
          <w:noProof/>
          <w:lang w:eastAsia="ko-KR"/>
        </w:rPr>
        <w:t>,</w:t>
      </w:r>
      <w:r w:rsidRPr="0089670E">
        <w:rPr>
          <w:noProof/>
        </w:rPr>
        <w:t xml:space="preserve"> B</w:t>
      </w:r>
      <w:r>
        <w:rPr>
          <w:rFonts w:hint="eastAsia"/>
          <w:noProof/>
          <w:lang w:eastAsia="ko-KR"/>
        </w:rPr>
        <w:t>.</w:t>
      </w:r>
      <w:r w:rsidRPr="0089670E">
        <w:rPr>
          <w:noProof/>
        </w:rPr>
        <w:t>M</w:t>
      </w:r>
      <w:r>
        <w:rPr>
          <w:rFonts w:hint="eastAsia"/>
          <w:noProof/>
          <w:lang w:eastAsia="ko-KR"/>
        </w:rPr>
        <w:t>.,</w:t>
      </w:r>
      <w:r w:rsidRPr="0089670E">
        <w:rPr>
          <w:noProof/>
        </w:rPr>
        <w:t xml:space="preserve"> Ryan</w:t>
      </w:r>
      <w:r>
        <w:rPr>
          <w:rFonts w:hint="eastAsia"/>
          <w:noProof/>
          <w:lang w:eastAsia="ko-KR"/>
        </w:rPr>
        <w:t>,</w:t>
      </w:r>
      <w:r w:rsidRPr="0089670E">
        <w:rPr>
          <w:noProof/>
        </w:rPr>
        <w:t xml:space="preserve"> J</w:t>
      </w:r>
      <w:r>
        <w:rPr>
          <w:rFonts w:hint="eastAsia"/>
          <w:noProof/>
          <w:lang w:eastAsia="ko-KR"/>
        </w:rPr>
        <w:t>.</w:t>
      </w:r>
      <w:r w:rsidRPr="0089670E">
        <w:rPr>
          <w:noProof/>
        </w:rPr>
        <w:t>L</w:t>
      </w:r>
      <w:r>
        <w:rPr>
          <w:rFonts w:hint="eastAsia"/>
          <w:noProof/>
          <w:lang w:eastAsia="ko-KR"/>
        </w:rPr>
        <w:t>.,</w:t>
      </w:r>
      <w:r w:rsidRPr="0089670E">
        <w:rPr>
          <w:noProof/>
        </w:rPr>
        <w:t xml:space="preserve"> 1983</w:t>
      </w:r>
      <w:r>
        <w:rPr>
          <w:rFonts w:hint="eastAsia"/>
          <w:noProof/>
          <w:lang w:eastAsia="ko-KR"/>
        </w:rPr>
        <w:t>.</w:t>
      </w:r>
      <w:r w:rsidRPr="0089670E">
        <w:rPr>
          <w:noProof/>
        </w:rPr>
        <w:t xml:space="preserve"> Absorption of thorium and protactinium from the gastrointestinal tract in adult mice and rats and neonatal rats. </w:t>
      </w:r>
      <w:r w:rsidRPr="001D350F">
        <w:rPr>
          <w:noProof/>
        </w:rPr>
        <w:t>Health Phys.</w:t>
      </w:r>
      <w:r w:rsidRPr="0089670E">
        <w:rPr>
          <w:noProof/>
        </w:rPr>
        <w:t xml:space="preserve"> 44(4)</w:t>
      </w:r>
      <w:r>
        <w:rPr>
          <w:rFonts w:hint="eastAsia"/>
          <w:noProof/>
          <w:lang w:eastAsia="ko-KR"/>
        </w:rPr>
        <w:t>.</w:t>
      </w:r>
      <w:r w:rsidRPr="0089670E">
        <w:rPr>
          <w:noProof/>
        </w:rPr>
        <w:t xml:space="preserve"> 425–428.</w:t>
      </w:r>
    </w:p>
    <w:p w14:paraId="56339138" w14:textId="77777777" w:rsidR="00232741" w:rsidRPr="0089670E" w:rsidRDefault="00232741" w:rsidP="00232741">
      <w:pPr>
        <w:pStyle w:val="aff1"/>
        <w:ind w:left="426" w:hanging="426"/>
        <w:rPr>
          <w:noProof/>
        </w:rPr>
      </w:pPr>
      <w:r w:rsidRPr="0089670E">
        <w:rPr>
          <w:noProof/>
        </w:rPr>
        <w:t>Sullivan</w:t>
      </w:r>
      <w:r>
        <w:rPr>
          <w:rFonts w:hint="eastAsia"/>
          <w:noProof/>
          <w:lang w:eastAsia="ko-KR"/>
        </w:rPr>
        <w:t>,</w:t>
      </w:r>
      <w:r w:rsidRPr="0089670E">
        <w:rPr>
          <w:noProof/>
        </w:rPr>
        <w:t xml:space="preserve"> M</w:t>
      </w:r>
      <w:r>
        <w:rPr>
          <w:rFonts w:hint="eastAsia"/>
          <w:noProof/>
          <w:lang w:eastAsia="ko-KR"/>
        </w:rPr>
        <w:t>.</w:t>
      </w:r>
      <w:r w:rsidRPr="0089670E">
        <w:rPr>
          <w:noProof/>
        </w:rPr>
        <w:t>F</w:t>
      </w:r>
      <w:r>
        <w:rPr>
          <w:rFonts w:hint="eastAsia"/>
          <w:noProof/>
          <w:lang w:eastAsia="ko-KR"/>
        </w:rPr>
        <w:t>.</w:t>
      </w:r>
      <w:r w:rsidRPr="0089670E">
        <w:rPr>
          <w:noProof/>
        </w:rPr>
        <w:t>, Ruemmler</w:t>
      </w:r>
      <w:r>
        <w:rPr>
          <w:rFonts w:hint="eastAsia"/>
          <w:noProof/>
          <w:lang w:eastAsia="ko-KR"/>
        </w:rPr>
        <w:t>,</w:t>
      </w:r>
      <w:r w:rsidRPr="0089670E">
        <w:rPr>
          <w:noProof/>
        </w:rPr>
        <w:t xml:space="preserve"> P</w:t>
      </w:r>
      <w:r>
        <w:rPr>
          <w:rFonts w:hint="eastAsia"/>
          <w:noProof/>
          <w:lang w:eastAsia="ko-KR"/>
        </w:rPr>
        <w:t>.</w:t>
      </w:r>
      <w:r w:rsidRPr="0089670E">
        <w:rPr>
          <w:noProof/>
        </w:rPr>
        <w:t>S</w:t>
      </w:r>
      <w:r>
        <w:rPr>
          <w:rFonts w:hint="eastAsia"/>
          <w:noProof/>
          <w:lang w:eastAsia="ko-KR"/>
        </w:rPr>
        <w:t>.,</w:t>
      </w:r>
      <w:r w:rsidRPr="0089670E">
        <w:rPr>
          <w:noProof/>
        </w:rPr>
        <w:t xml:space="preserve"> Ryan</w:t>
      </w:r>
      <w:r>
        <w:rPr>
          <w:rFonts w:hint="eastAsia"/>
          <w:noProof/>
          <w:lang w:eastAsia="ko-KR"/>
        </w:rPr>
        <w:t>,</w:t>
      </w:r>
      <w:r w:rsidRPr="0089670E">
        <w:rPr>
          <w:noProof/>
        </w:rPr>
        <w:t xml:space="preserve"> J</w:t>
      </w:r>
      <w:r>
        <w:rPr>
          <w:rFonts w:hint="eastAsia"/>
          <w:noProof/>
          <w:lang w:eastAsia="ko-KR"/>
        </w:rPr>
        <w:t>.</w:t>
      </w:r>
      <w:r w:rsidRPr="0089670E">
        <w:rPr>
          <w:noProof/>
        </w:rPr>
        <w:t>L</w:t>
      </w:r>
      <w:r>
        <w:rPr>
          <w:rFonts w:hint="eastAsia"/>
          <w:noProof/>
          <w:lang w:eastAsia="ko-KR"/>
        </w:rPr>
        <w:t>.,</w:t>
      </w:r>
      <w:r w:rsidRPr="0089670E">
        <w:rPr>
          <w:noProof/>
        </w:rPr>
        <w:t xml:space="preserve"> 1984</w:t>
      </w:r>
      <w:r>
        <w:rPr>
          <w:rFonts w:hint="eastAsia"/>
          <w:noProof/>
          <w:lang w:eastAsia="ko-KR"/>
        </w:rPr>
        <w:t>.</w:t>
      </w:r>
      <w:r w:rsidRPr="0089670E">
        <w:rPr>
          <w:noProof/>
        </w:rPr>
        <w:t xml:space="preserve"> Effects of fasting and/or oxidizing and reducing agents on absorption of neptunium from the gastrointestinal tract of mice and adult or neonatal rats. </w:t>
      </w:r>
      <w:r w:rsidRPr="005666C8">
        <w:rPr>
          <w:noProof/>
        </w:rPr>
        <w:t>Radiat. Res.</w:t>
      </w:r>
      <w:r w:rsidRPr="0089670E">
        <w:rPr>
          <w:noProof/>
        </w:rPr>
        <w:t xml:space="preserve"> 100(3)</w:t>
      </w:r>
      <w:r>
        <w:rPr>
          <w:rFonts w:hint="eastAsia"/>
          <w:noProof/>
          <w:lang w:eastAsia="ko-KR"/>
        </w:rPr>
        <w:t>.</w:t>
      </w:r>
      <w:r w:rsidRPr="0089670E">
        <w:rPr>
          <w:noProof/>
        </w:rPr>
        <w:t xml:space="preserve"> 519–526.</w:t>
      </w:r>
    </w:p>
    <w:p w14:paraId="1356F2E7" w14:textId="77777777" w:rsidR="00232741" w:rsidRPr="0089670E" w:rsidRDefault="00232741" w:rsidP="00232741">
      <w:pPr>
        <w:pStyle w:val="aff1"/>
        <w:ind w:left="426" w:hanging="426"/>
        <w:rPr>
          <w:noProof/>
        </w:rPr>
      </w:pPr>
      <w:r w:rsidRPr="0089670E">
        <w:rPr>
          <w:noProof/>
        </w:rPr>
        <w:t>Suslova</w:t>
      </w:r>
      <w:r>
        <w:rPr>
          <w:rFonts w:hint="eastAsia"/>
          <w:noProof/>
          <w:lang w:eastAsia="ko-KR"/>
        </w:rPr>
        <w:t>,</w:t>
      </w:r>
      <w:r w:rsidRPr="0089670E">
        <w:rPr>
          <w:noProof/>
        </w:rPr>
        <w:t xml:space="preserve"> K</w:t>
      </w:r>
      <w:r>
        <w:rPr>
          <w:rFonts w:hint="eastAsia"/>
          <w:noProof/>
          <w:lang w:eastAsia="ko-KR"/>
        </w:rPr>
        <w:t>.</w:t>
      </w:r>
      <w:r w:rsidRPr="0089670E">
        <w:rPr>
          <w:noProof/>
        </w:rPr>
        <w:t>G</w:t>
      </w:r>
      <w:r>
        <w:rPr>
          <w:rFonts w:hint="eastAsia"/>
          <w:noProof/>
          <w:lang w:eastAsia="ko-KR"/>
        </w:rPr>
        <w:t>.</w:t>
      </w:r>
      <w:r w:rsidRPr="0089670E">
        <w:rPr>
          <w:noProof/>
        </w:rPr>
        <w:t>, Filipy</w:t>
      </w:r>
      <w:r>
        <w:rPr>
          <w:rFonts w:hint="eastAsia"/>
          <w:noProof/>
          <w:lang w:eastAsia="ko-KR"/>
        </w:rPr>
        <w:t>,</w:t>
      </w:r>
      <w:r w:rsidRPr="0089670E">
        <w:rPr>
          <w:noProof/>
        </w:rPr>
        <w:t xml:space="preserve"> R</w:t>
      </w:r>
      <w:r>
        <w:rPr>
          <w:rFonts w:hint="eastAsia"/>
          <w:noProof/>
          <w:lang w:eastAsia="ko-KR"/>
        </w:rPr>
        <w:t>.</w:t>
      </w:r>
      <w:r w:rsidRPr="0089670E">
        <w:rPr>
          <w:noProof/>
        </w:rPr>
        <w:t>E</w:t>
      </w:r>
      <w:r>
        <w:rPr>
          <w:rFonts w:hint="eastAsia"/>
          <w:noProof/>
          <w:lang w:eastAsia="ko-KR"/>
        </w:rPr>
        <w:t>.</w:t>
      </w:r>
      <w:r w:rsidRPr="0089670E">
        <w:rPr>
          <w:noProof/>
        </w:rPr>
        <w:t>, Khokhryakov</w:t>
      </w:r>
      <w:r>
        <w:rPr>
          <w:rFonts w:hint="eastAsia"/>
          <w:noProof/>
          <w:lang w:eastAsia="ko-KR"/>
        </w:rPr>
        <w:t>,</w:t>
      </w:r>
      <w:r w:rsidRPr="0089670E">
        <w:rPr>
          <w:noProof/>
        </w:rPr>
        <w:t xml:space="preserve"> V</w:t>
      </w:r>
      <w:r>
        <w:rPr>
          <w:rFonts w:hint="eastAsia"/>
          <w:noProof/>
          <w:lang w:eastAsia="ko-KR"/>
        </w:rPr>
        <w:t>.</w:t>
      </w:r>
      <w:r w:rsidRPr="0089670E">
        <w:rPr>
          <w:noProof/>
        </w:rPr>
        <w:t>F</w:t>
      </w:r>
      <w:r>
        <w:rPr>
          <w:rFonts w:hint="eastAsia"/>
          <w:noProof/>
          <w:lang w:eastAsia="ko-KR"/>
        </w:rPr>
        <w:t>.</w:t>
      </w:r>
      <w:r w:rsidRPr="0089670E">
        <w:rPr>
          <w:noProof/>
        </w:rPr>
        <w:t>, et al.</w:t>
      </w:r>
      <w:r>
        <w:rPr>
          <w:rFonts w:hint="eastAsia"/>
          <w:noProof/>
          <w:lang w:eastAsia="ko-KR"/>
        </w:rPr>
        <w:t>,</w:t>
      </w:r>
      <w:r w:rsidRPr="0089670E">
        <w:rPr>
          <w:noProof/>
        </w:rPr>
        <w:t xml:space="preserve"> 1996</w:t>
      </w:r>
      <w:r>
        <w:rPr>
          <w:rFonts w:hint="eastAsia"/>
          <w:noProof/>
          <w:lang w:eastAsia="ko-KR"/>
        </w:rPr>
        <w:t>.</w:t>
      </w:r>
      <w:r w:rsidRPr="0089670E">
        <w:rPr>
          <w:noProof/>
        </w:rPr>
        <w:t xml:space="preserve"> Comparison of the dosimetry registry of the Mayak Industrial Association and the United States Transuranium and Uranium Registries: a preliminary report. </w:t>
      </w:r>
      <w:r w:rsidRPr="001D350F">
        <w:rPr>
          <w:noProof/>
        </w:rPr>
        <w:t>Radiat. Prot. Dosimetry</w:t>
      </w:r>
      <w:r w:rsidRPr="0089670E">
        <w:rPr>
          <w:noProof/>
        </w:rPr>
        <w:t xml:space="preserve"> 67(1). 13–22.</w:t>
      </w:r>
    </w:p>
    <w:p w14:paraId="09B14E6E" w14:textId="77777777" w:rsidR="00232741" w:rsidRPr="0089670E" w:rsidRDefault="00232741" w:rsidP="00232741">
      <w:pPr>
        <w:pStyle w:val="aff1"/>
        <w:ind w:left="426" w:hanging="426"/>
        <w:rPr>
          <w:noProof/>
        </w:rPr>
      </w:pPr>
      <w:r w:rsidRPr="0089670E">
        <w:rPr>
          <w:noProof/>
        </w:rPr>
        <w:t>Suslova</w:t>
      </w:r>
      <w:r>
        <w:rPr>
          <w:rFonts w:hint="eastAsia"/>
          <w:noProof/>
          <w:lang w:eastAsia="ko-KR"/>
        </w:rPr>
        <w:t>,</w:t>
      </w:r>
      <w:r w:rsidRPr="0089670E">
        <w:rPr>
          <w:noProof/>
        </w:rPr>
        <w:t xml:space="preserve"> K</w:t>
      </w:r>
      <w:r>
        <w:rPr>
          <w:rFonts w:hint="eastAsia"/>
          <w:noProof/>
          <w:lang w:eastAsia="ko-KR"/>
        </w:rPr>
        <w:t>.</w:t>
      </w:r>
      <w:r w:rsidRPr="0089670E">
        <w:rPr>
          <w:noProof/>
        </w:rPr>
        <w:t>G</w:t>
      </w:r>
      <w:r>
        <w:rPr>
          <w:rFonts w:hint="eastAsia"/>
          <w:noProof/>
          <w:lang w:eastAsia="ko-KR"/>
        </w:rPr>
        <w:t>.</w:t>
      </w:r>
      <w:r w:rsidRPr="0089670E">
        <w:rPr>
          <w:noProof/>
        </w:rPr>
        <w:t>, Khokhryakov</w:t>
      </w:r>
      <w:r>
        <w:rPr>
          <w:rFonts w:hint="eastAsia"/>
          <w:noProof/>
          <w:lang w:eastAsia="ko-KR"/>
        </w:rPr>
        <w:t>,</w:t>
      </w:r>
      <w:r w:rsidRPr="0089670E">
        <w:rPr>
          <w:noProof/>
        </w:rPr>
        <w:t xml:space="preserve"> V</w:t>
      </w:r>
      <w:r>
        <w:rPr>
          <w:rFonts w:hint="eastAsia"/>
          <w:noProof/>
          <w:lang w:eastAsia="ko-KR"/>
        </w:rPr>
        <w:t>.</w:t>
      </w:r>
      <w:r w:rsidRPr="0089670E">
        <w:rPr>
          <w:noProof/>
        </w:rPr>
        <w:t>F</w:t>
      </w:r>
      <w:r>
        <w:rPr>
          <w:rFonts w:hint="eastAsia"/>
          <w:noProof/>
          <w:lang w:eastAsia="ko-KR"/>
        </w:rPr>
        <w:t>.</w:t>
      </w:r>
      <w:r w:rsidRPr="0089670E">
        <w:rPr>
          <w:noProof/>
        </w:rPr>
        <w:t>, Tokarskaya</w:t>
      </w:r>
      <w:r>
        <w:rPr>
          <w:rFonts w:hint="eastAsia"/>
          <w:noProof/>
          <w:lang w:eastAsia="ko-KR"/>
        </w:rPr>
        <w:t>,</w:t>
      </w:r>
      <w:r w:rsidRPr="0089670E">
        <w:rPr>
          <w:noProof/>
        </w:rPr>
        <w:t xml:space="preserve"> Z</w:t>
      </w:r>
      <w:r>
        <w:rPr>
          <w:rFonts w:hint="eastAsia"/>
          <w:noProof/>
          <w:lang w:eastAsia="ko-KR"/>
        </w:rPr>
        <w:t>.</w:t>
      </w:r>
      <w:r w:rsidRPr="0089670E">
        <w:rPr>
          <w:noProof/>
        </w:rPr>
        <w:t>B</w:t>
      </w:r>
      <w:r>
        <w:rPr>
          <w:rFonts w:hint="eastAsia"/>
          <w:noProof/>
          <w:lang w:eastAsia="ko-KR"/>
        </w:rPr>
        <w:t>.</w:t>
      </w:r>
      <w:r w:rsidRPr="0089670E">
        <w:rPr>
          <w:noProof/>
        </w:rPr>
        <w:t>, et al.</w:t>
      </w:r>
      <w:r>
        <w:rPr>
          <w:rFonts w:hint="eastAsia"/>
          <w:noProof/>
          <w:lang w:eastAsia="ko-KR"/>
        </w:rPr>
        <w:t>,</w:t>
      </w:r>
      <w:r w:rsidRPr="0089670E">
        <w:rPr>
          <w:noProof/>
        </w:rPr>
        <w:t xml:space="preserve"> 2002</w:t>
      </w:r>
      <w:r>
        <w:rPr>
          <w:rFonts w:hint="eastAsia"/>
          <w:noProof/>
          <w:lang w:eastAsia="ko-KR"/>
        </w:rPr>
        <w:t>.</w:t>
      </w:r>
      <w:r w:rsidRPr="0089670E">
        <w:rPr>
          <w:noProof/>
        </w:rPr>
        <w:t xml:space="preserve"> Extrapulmonary organ distribution of plutonium in healthy workers exposed by chronic inhalation at the Mayak production association. </w:t>
      </w:r>
      <w:r w:rsidRPr="001D350F">
        <w:rPr>
          <w:noProof/>
        </w:rPr>
        <w:t>Health Phys.</w:t>
      </w:r>
      <w:r w:rsidRPr="0089670E">
        <w:rPr>
          <w:noProof/>
        </w:rPr>
        <w:t xml:space="preserve"> 82(4)</w:t>
      </w:r>
      <w:r>
        <w:rPr>
          <w:rFonts w:hint="eastAsia"/>
          <w:noProof/>
          <w:lang w:eastAsia="ko-KR"/>
        </w:rPr>
        <w:t>.</w:t>
      </w:r>
      <w:r w:rsidRPr="0089670E">
        <w:rPr>
          <w:noProof/>
        </w:rPr>
        <w:t xml:space="preserve"> 432–444.</w:t>
      </w:r>
    </w:p>
    <w:p w14:paraId="721A8283" w14:textId="77777777" w:rsidR="00232741" w:rsidRPr="0089670E" w:rsidRDefault="00232741" w:rsidP="00232741">
      <w:pPr>
        <w:pStyle w:val="aff1"/>
        <w:ind w:left="426" w:hanging="426"/>
        <w:rPr>
          <w:noProof/>
        </w:rPr>
      </w:pPr>
      <w:r w:rsidRPr="0089670E">
        <w:rPr>
          <w:noProof/>
        </w:rPr>
        <w:t>Suslova</w:t>
      </w:r>
      <w:r>
        <w:rPr>
          <w:rFonts w:hint="eastAsia"/>
          <w:noProof/>
          <w:lang w:eastAsia="ko-KR"/>
        </w:rPr>
        <w:t>,</w:t>
      </w:r>
      <w:r w:rsidRPr="0089670E">
        <w:rPr>
          <w:noProof/>
        </w:rPr>
        <w:t xml:space="preserve"> K</w:t>
      </w:r>
      <w:r>
        <w:rPr>
          <w:rFonts w:hint="eastAsia"/>
          <w:noProof/>
          <w:lang w:eastAsia="ko-KR"/>
        </w:rPr>
        <w:t>.</w:t>
      </w:r>
      <w:r w:rsidRPr="0089670E">
        <w:rPr>
          <w:noProof/>
        </w:rPr>
        <w:t>G</w:t>
      </w:r>
      <w:r>
        <w:rPr>
          <w:rFonts w:hint="eastAsia"/>
          <w:noProof/>
          <w:lang w:eastAsia="ko-KR"/>
        </w:rPr>
        <w:t>.</w:t>
      </w:r>
      <w:r w:rsidRPr="0089670E">
        <w:rPr>
          <w:noProof/>
        </w:rPr>
        <w:t>, Sokolova</w:t>
      </w:r>
      <w:r>
        <w:rPr>
          <w:rFonts w:hint="eastAsia"/>
          <w:noProof/>
          <w:lang w:eastAsia="ko-KR"/>
        </w:rPr>
        <w:t>,</w:t>
      </w:r>
      <w:r w:rsidRPr="0089670E">
        <w:rPr>
          <w:noProof/>
        </w:rPr>
        <w:t xml:space="preserve"> A</w:t>
      </w:r>
      <w:r>
        <w:rPr>
          <w:rFonts w:hint="eastAsia"/>
          <w:noProof/>
          <w:lang w:eastAsia="ko-KR"/>
        </w:rPr>
        <w:t>.</w:t>
      </w:r>
      <w:r w:rsidRPr="0089670E">
        <w:rPr>
          <w:noProof/>
        </w:rPr>
        <w:t>B</w:t>
      </w:r>
      <w:r>
        <w:rPr>
          <w:rFonts w:hint="eastAsia"/>
          <w:noProof/>
          <w:lang w:eastAsia="ko-KR"/>
        </w:rPr>
        <w:t>.</w:t>
      </w:r>
      <w:r w:rsidRPr="0089670E">
        <w:rPr>
          <w:noProof/>
        </w:rPr>
        <w:t>, Krahenbuhl</w:t>
      </w:r>
      <w:r>
        <w:rPr>
          <w:rFonts w:hint="eastAsia"/>
          <w:noProof/>
          <w:lang w:eastAsia="ko-KR"/>
        </w:rPr>
        <w:t>,</w:t>
      </w:r>
      <w:r w:rsidRPr="0089670E">
        <w:rPr>
          <w:noProof/>
        </w:rPr>
        <w:t xml:space="preserve"> M</w:t>
      </w:r>
      <w:r>
        <w:rPr>
          <w:rFonts w:hint="eastAsia"/>
          <w:noProof/>
          <w:lang w:eastAsia="ko-KR"/>
        </w:rPr>
        <w:t>.</w:t>
      </w:r>
      <w:r w:rsidRPr="0089670E">
        <w:rPr>
          <w:noProof/>
        </w:rPr>
        <w:t>P</w:t>
      </w:r>
      <w:r>
        <w:rPr>
          <w:rFonts w:hint="eastAsia"/>
          <w:noProof/>
          <w:lang w:eastAsia="ko-KR"/>
        </w:rPr>
        <w:t>.</w:t>
      </w:r>
      <w:r w:rsidRPr="0089670E">
        <w:rPr>
          <w:noProof/>
        </w:rPr>
        <w:t>, et al.</w:t>
      </w:r>
      <w:r>
        <w:rPr>
          <w:rFonts w:hint="eastAsia"/>
          <w:noProof/>
          <w:lang w:eastAsia="ko-KR"/>
        </w:rPr>
        <w:t>,</w:t>
      </w:r>
      <w:r w:rsidRPr="0089670E">
        <w:rPr>
          <w:noProof/>
        </w:rPr>
        <w:t xml:space="preserve"> 2009</w:t>
      </w:r>
      <w:r>
        <w:rPr>
          <w:rFonts w:hint="eastAsia"/>
          <w:noProof/>
          <w:lang w:eastAsia="ko-KR"/>
        </w:rPr>
        <w:t>.</w:t>
      </w:r>
      <w:r w:rsidRPr="0089670E">
        <w:rPr>
          <w:noProof/>
        </w:rPr>
        <w:t xml:space="preserve"> The effects of smoking and lung health on the organ retention of different plutonium compounds in the Mayak PA workers. </w:t>
      </w:r>
      <w:r w:rsidRPr="005666C8">
        <w:rPr>
          <w:noProof/>
        </w:rPr>
        <w:t>Radiat. Res.</w:t>
      </w:r>
      <w:r w:rsidRPr="0089670E">
        <w:rPr>
          <w:noProof/>
        </w:rPr>
        <w:t xml:space="preserve"> 171(3)</w:t>
      </w:r>
      <w:r>
        <w:rPr>
          <w:rFonts w:hint="eastAsia"/>
          <w:noProof/>
          <w:lang w:eastAsia="ko-KR"/>
        </w:rPr>
        <w:t>.</w:t>
      </w:r>
      <w:r w:rsidRPr="0089670E">
        <w:rPr>
          <w:noProof/>
        </w:rPr>
        <w:t xml:space="preserve"> 302–309.</w:t>
      </w:r>
    </w:p>
    <w:p w14:paraId="7E0DD066" w14:textId="77777777" w:rsidR="00232741" w:rsidRPr="0089670E" w:rsidRDefault="00232741" w:rsidP="00232741">
      <w:pPr>
        <w:pStyle w:val="aff1"/>
        <w:ind w:left="426" w:hanging="426"/>
        <w:rPr>
          <w:noProof/>
        </w:rPr>
      </w:pPr>
      <w:r w:rsidRPr="0089670E">
        <w:rPr>
          <w:noProof/>
        </w:rPr>
        <w:t>Suslova</w:t>
      </w:r>
      <w:r>
        <w:rPr>
          <w:rFonts w:hint="eastAsia"/>
          <w:noProof/>
          <w:lang w:eastAsia="ko-KR"/>
        </w:rPr>
        <w:t>,</w:t>
      </w:r>
      <w:r w:rsidRPr="0089670E">
        <w:rPr>
          <w:noProof/>
        </w:rPr>
        <w:t xml:space="preserve"> K</w:t>
      </w:r>
      <w:r>
        <w:rPr>
          <w:rFonts w:hint="eastAsia"/>
          <w:noProof/>
          <w:lang w:eastAsia="ko-KR"/>
        </w:rPr>
        <w:t>.</w:t>
      </w:r>
      <w:r w:rsidRPr="0089670E">
        <w:rPr>
          <w:noProof/>
        </w:rPr>
        <w:t>G</w:t>
      </w:r>
      <w:r>
        <w:rPr>
          <w:rFonts w:hint="eastAsia"/>
          <w:noProof/>
          <w:lang w:eastAsia="ko-KR"/>
        </w:rPr>
        <w:t>.</w:t>
      </w:r>
      <w:r w:rsidRPr="0089670E">
        <w:rPr>
          <w:noProof/>
        </w:rPr>
        <w:t>, Sokolova</w:t>
      </w:r>
      <w:r>
        <w:rPr>
          <w:rFonts w:hint="eastAsia"/>
          <w:noProof/>
          <w:lang w:eastAsia="ko-KR"/>
        </w:rPr>
        <w:t>,</w:t>
      </w:r>
      <w:r w:rsidRPr="0089670E">
        <w:rPr>
          <w:noProof/>
        </w:rPr>
        <w:t xml:space="preserve"> A</w:t>
      </w:r>
      <w:r>
        <w:rPr>
          <w:rFonts w:hint="eastAsia"/>
          <w:noProof/>
          <w:lang w:eastAsia="ko-KR"/>
        </w:rPr>
        <w:t>.</w:t>
      </w:r>
      <w:r w:rsidRPr="0089670E">
        <w:rPr>
          <w:noProof/>
        </w:rPr>
        <w:t>B</w:t>
      </w:r>
      <w:r>
        <w:rPr>
          <w:rFonts w:hint="eastAsia"/>
          <w:noProof/>
          <w:lang w:eastAsia="ko-KR"/>
        </w:rPr>
        <w:t>.</w:t>
      </w:r>
      <w:r w:rsidRPr="0089670E">
        <w:rPr>
          <w:noProof/>
        </w:rPr>
        <w:t>, Khokhryakov</w:t>
      </w:r>
      <w:r>
        <w:rPr>
          <w:rFonts w:hint="eastAsia"/>
          <w:noProof/>
          <w:lang w:eastAsia="ko-KR"/>
        </w:rPr>
        <w:t>,</w:t>
      </w:r>
      <w:r w:rsidRPr="0089670E">
        <w:rPr>
          <w:noProof/>
        </w:rPr>
        <w:t xml:space="preserve"> V</w:t>
      </w:r>
      <w:r>
        <w:rPr>
          <w:rFonts w:hint="eastAsia"/>
          <w:noProof/>
          <w:lang w:eastAsia="ko-KR"/>
        </w:rPr>
        <w:t>.</w:t>
      </w:r>
      <w:r w:rsidRPr="0089670E">
        <w:rPr>
          <w:noProof/>
        </w:rPr>
        <w:t>V</w:t>
      </w:r>
      <w:r>
        <w:rPr>
          <w:rFonts w:hint="eastAsia"/>
          <w:noProof/>
          <w:lang w:eastAsia="ko-KR"/>
        </w:rPr>
        <w:t>.</w:t>
      </w:r>
      <w:r w:rsidRPr="0089670E">
        <w:rPr>
          <w:noProof/>
        </w:rPr>
        <w:t>, et al.</w:t>
      </w:r>
      <w:r>
        <w:rPr>
          <w:rFonts w:hint="eastAsia"/>
          <w:noProof/>
          <w:lang w:eastAsia="ko-KR"/>
        </w:rPr>
        <w:t>,</w:t>
      </w:r>
      <w:r w:rsidRPr="0089670E">
        <w:rPr>
          <w:noProof/>
        </w:rPr>
        <w:t xml:space="preserve"> 2012</w:t>
      </w:r>
      <w:r>
        <w:rPr>
          <w:rFonts w:hint="eastAsia"/>
          <w:noProof/>
          <w:lang w:eastAsia="ko-KR"/>
        </w:rPr>
        <w:t>.</w:t>
      </w:r>
      <w:r w:rsidRPr="0089670E">
        <w:rPr>
          <w:noProof/>
        </w:rPr>
        <w:t xml:space="preserve"> </w:t>
      </w:r>
      <w:r w:rsidRPr="00A60A65">
        <w:rPr>
          <w:noProof/>
          <w:vertAlign w:val="superscript"/>
        </w:rPr>
        <w:t>238</w:t>
      </w:r>
      <w:r w:rsidRPr="0089670E">
        <w:rPr>
          <w:noProof/>
        </w:rPr>
        <w:t xml:space="preserve">Pu: accumulation, tissue distribution, and excretion in Mayak workers after exposure to plutonium aerosols. </w:t>
      </w:r>
      <w:r w:rsidRPr="001D350F">
        <w:rPr>
          <w:noProof/>
        </w:rPr>
        <w:t>Health Phys.</w:t>
      </w:r>
      <w:r w:rsidRPr="0089670E">
        <w:rPr>
          <w:noProof/>
        </w:rPr>
        <w:t xml:space="preserve"> 102(3)</w:t>
      </w:r>
      <w:r>
        <w:rPr>
          <w:rFonts w:hint="eastAsia"/>
          <w:noProof/>
          <w:lang w:eastAsia="ko-KR"/>
        </w:rPr>
        <w:t>.</w:t>
      </w:r>
      <w:r w:rsidRPr="0089670E">
        <w:rPr>
          <w:noProof/>
        </w:rPr>
        <w:t xml:space="preserve"> 243–250.</w:t>
      </w:r>
    </w:p>
    <w:p w14:paraId="7300E026" w14:textId="77777777" w:rsidR="00232741" w:rsidRPr="0089670E" w:rsidRDefault="00232741" w:rsidP="00232741">
      <w:pPr>
        <w:pStyle w:val="aff1"/>
        <w:ind w:left="426" w:hanging="426"/>
        <w:rPr>
          <w:noProof/>
        </w:rPr>
      </w:pPr>
      <w:r w:rsidRPr="0089670E">
        <w:rPr>
          <w:noProof/>
        </w:rPr>
        <w:t>Suslova</w:t>
      </w:r>
      <w:r>
        <w:rPr>
          <w:rFonts w:hint="eastAsia"/>
          <w:noProof/>
          <w:lang w:eastAsia="ko-KR"/>
        </w:rPr>
        <w:t>,</w:t>
      </w:r>
      <w:r w:rsidRPr="0089670E">
        <w:rPr>
          <w:noProof/>
        </w:rPr>
        <w:t xml:space="preserve"> K</w:t>
      </w:r>
      <w:r>
        <w:rPr>
          <w:rFonts w:hint="eastAsia"/>
          <w:noProof/>
          <w:lang w:eastAsia="ko-KR"/>
        </w:rPr>
        <w:t>.</w:t>
      </w:r>
      <w:r w:rsidRPr="0089670E">
        <w:rPr>
          <w:noProof/>
        </w:rPr>
        <w:t>G</w:t>
      </w:r>
      <w:r>
        <w:rPr>
          <w:rFonts w:hint="eastAsia"/>
          <w:noProof/>
          <w:lang w:eastAsia="ko-KR"/>
        </w:rPr>
        <w:t>.</w:t>
      </w:r>
      <w:r w:rsidRPr="0089670E">
        <w:rPr>
          <w:noProof/>
        </w:rPr>
        <w:t>, Sokolova</w:t>
      </w:r>
      <w:r>
        <w:rPr>
          <w:rFonts w:hint="eastAsia"/>
          <w:noProof/>
          <w:lang w:eastAsia="ko-KR"/>
        </w:rPr>
        <w:t>,</w:t>
      </w:r>
      <w:r w:rsidRPr="0089670E">
        <w:rPr>
          <w:noProof/>
        </w:rPr>
        <w:t xml:space="preserve"> A</w:t>
      </w:r>
      <w:r>
        <w:rPr>
          <w:rFonts w:hint="eastAsia"/>
          <w:noProof/>
          <w:lang w:eastAsia="ko-KR"/>
        </w:rPr>
        <w:t>.</w:t>
      </w:r>
      <w:r w:rsidRPr="0089670E">
        <w:rPr>
          <w:noProof/>
        </w:rPr>
        <w:t>B</w:t>
      </w:r>
      <w:r>
        <w:rPr>
          <w:rFonts w:hint="eastAsia"/>
          <w:noProof/>
          <w:lang w:eastAsia="ko-KR"/>
        </w:rPr>
        <w:t>.</w:t>
      </w:r>
      <w:r w:rsidRPr="0089670E">
        <w:rPr>
          <w:noProof/>
        </w:rPr>
        <w:t>, Efimov</w:t>
      </w:r>
      <w:r>
        <w:rPr>
          <w:rFonts w:hint="eastAsia"/>
          <w:noProof/>
          <w:lang w:eastAsia="ko-KR"/>
        </w:rPr>
        <w:t>,</w:t>
      </w:r>
      <w:r w:rsidRPr="0089670E">
        <w:rPr>
          <w:noProof/>
        </w:rPr>
        <w:t xml:space="preserve"> A</w:t>
      </w:r>
      <w:r>
        <w:rPr>
          <w:rFonts w:hint="eastAsia"/>
          <w:noProof/>
          <w:lang w:eastAsia="ko-KR"/>
        </w:rPr>
        <w:t>.</w:t>
      </w:r>
      <w:r w:rsidRPr="0089670E">
        <w:rPr>
          <w:noProof/>
        </w:rPr>
        <w:t>V</w:t>
      </w:r>
      <w:r>
        <w:rPr>
          <w:rFonts w:hint="eastAsia"/>
          <w:noProof/>
          <w:lang w:eastAsia="ko-KR"/>
        </w:rPr>
        <w:t>.</w:t>
      </w:r>
      <w:r w:rsidRPr="0089670E">
        <w:rPr>
          <w:noProof/>
        </w:rPr>
        <w:t>, et al.</w:t>
      </w:r>
      <w:r>
        <w:rPr>
          <w:rFonts w:hint="eastAsia"/>
          <w:noProof/>
          <w:lang w:eastAsia="ko-KR"/>
        </w:rPr>
        <w:t>,</w:t>
      </w:r>
      <w:r w:rsidRPr="0089670E">
        <w:rPr>
          <w:noProof/>
        </w:rPr>
        <w:t xml:space="preserve"> 2013</w:t>
      </w:r>
      <w:r>
        <w:rPr>
          <w:rFonts w:hint="eastAsia"/>
          <w:noProof/>
          <w:lang w:eastAsia="ko-KR"/>
        </w:rPr>
        <w:t>.</w:t>
      </w:r>
      <w:r w:rsidRPr="0089670E">
        <w:rPr>
          <w:noProof/>
        </w:rPr>
        <w:t xml:space="preserve"> Accumulation, organ distribution, and excretion kinetics of </w:t>
      </w:r>
      <w:r w:rsidRPr="0089670E">
        <w:rPr>
          <w:noProof/>
          <w:vertAlign w:val="superscript"/>
        </w:rPr>
        <w:t>241</w:t>
      </w:r>
      <w:r w:rsidRPr="0089670E">
        <w:rPr>
          <w:noProof/>
        </w:rPr>
        <w:t xml:space="preserve">Am in Mayak Production Association workers. </w:t>
      </w:r>
      <w:r w:rsidRPr="001D350F">
        <w:rPr>
          <w:noProof/>
        </w:rPr>
        <w:t>Health Phys.</w:t>
      </w:r>
      <w:r w:rsidRPr="0089670E">
        <w:rPr>
          <w:noProof/>
        </w:rPr>
        <w:t xml:space="preserve"> 104(3)</w:t>
      </w:r>
      <w:r>
        <w:rPr>
          <w:rFonts w:hint="eastAsia"/>
          <w:noProof/>
          <w:lang w:eastAsia="ko-KR"/>
        </w:rPr>
        <w:t>.</w:t>
      </w:r>
      <w:r w:rsidRPr="0089670E">
        <w:rPr>
          <w:noProof/>
        </w:rPr>
        <w:t xml:space="preserve"> 313–324.</w:t>
      </w:r>
    </w:p>
    <w:p w14:paraId="03A3FED4" w14:textId="77777777" w:rsidR="00232741" w:rsidRPr="0089670E" w:rsidRDefault="00232741" w:rsidP="00232741">
      <w:pPr>
        <w:pStyle w:val="aff1"/>
        <w:ind w:left="426" w:hanging="426"/>
        <w:rPr>
          <w:noProof/>
        </w:rPr>
      </w:pPr>
      <w:r w:rsidRPr="0089670E">
        <w:rPr>
          <w:noProof/>
        </w:rPr>
        <w:t>Sutton</w:t>
      </w:r>
      <w:r>
        <w:rPr>
          <w:rFonts w:hint="eastAsia"/>
          <w:noProof/>
          <w:lang w:eastAsia="ko-KR"/>
        </w:rPr>
        <w:t>,</w:t>
      </w:r>
      <w:r w:rsidRPr="0089670E">
        <w:rPr>
          <w:noProof/>
        </w:rPr>
        <w:t xml:space="preserve"> W</w:t>
      </w:r>
      <w:r>
        <w:rPr>
          <w:rFonts w:hint="eastAsia"/>
          <w:noProof/>
          <w:lang w:eastAsia="ko-KR"/>
        </w:rPr>
        <w:t>.</w:t>
      </w:r>
      <w:r w:rsidRPr="0089670E">
        <w:rPr>
          <w:noProof/>
        </w:rPr>
        <w:t>W</w:t>
      </w:r>
      <w:r>
        <w:rPr>
          <w:rFonts w:hint="eastAsia"/>
          <w:noProof/>
          <w:lang w:eastAsia="ko-KR"/>
        </w:rPr>
        <w:t>.</w:t>
      </w:r>
      <w:r w:rsidRPr="0089670E">
        <w:rPr>
          <w:noProof/>
        </w:rPr>
        <w:t>, Patzer</w:t>
      </w:r>
      <w:r>
        <w:rPr>
          <w:rFonts w:hint="eastAsia"/>
          <w:noProof/>
          <w:lang w:eastAsia="ko-KR"/>
        </w:rPr>
        <w:t>,</w:t>
      </w:r>
      <w:r w:rsidRPr="0089670E">
        <w:rPr>
          <w:noProof/>
        </w:rPr>
        <w:t xml:space="preserve"> R</w:t>
      </w:r>
      <w:r>
        <w:rPr>
          <w:rFonts w:hint="eastAsia"/>
          <w:noProof/>
          <w:lang w:eastAsia="ko-KR"/>
        </w:rPr>
        <w:t>.</w:t>
      </w:r>
      <w:r w:rsidRPr="0089670E">
        <w:rPr>
          <w:noProof/>
        </w:rPr>
        <w:t>G</w:t>
      </w:r>
      <w:r>
        <w:rPr>
          <w:rFonts w:hint="eastAsia"/>
          <w:noProof/>
          <w:lang w:eastAsia="ko-KR"/>
        </w:rPr>
        <w:t>.</w:t>
      </w:r>
      <w:r w:rsidRPr="0089670E">
        <w:rPr>
          <w:noProof/>
        </w:rPr>
        <w:t>, Mullen</w:t>
      </w:r>
      <w:r>
        <w:rPr>
          <w:rFonts w:hint="eastAsia"/>
          <w:noProof/>
          <w:lang w:eastAsia="ko-KR"/>
        </w:rPr>
        <w:t>,</w:t>
      </w:r>
      <w:r w:rsidRPr="0089670E">
        <w:rPr>
          <w:noProof/>
        </w:rPr>
        <w:t xml:space="preserve"> A</w:t>
      </w:r>
      <w:r>
        <w:rPr>
          <w:rFonts w:hint="eastAsia"/>
          <w:noProof/>
          <w:lang w:eastAsia="ko-KR"/>
        </w:rPr>
        <w:t>.</w:t>
      </w:r>
      <w:r w:rsidRPr="0089670E">
        <w:rPr>
          <w:noProof/>
        </w:rPr>
        <w:t>A</w:t>
      </w:r>
      <w:r>
        <w:rPr>
          <w:rFonts w:hint="eastAsia"/>
          <w:noProof/>
          <w:lang w:eastAsia="ko-KR"/>
        </w:rPr>
        <w:t>.</w:t>
      </w:r>
      <w:r w:rsidRPr="0089670E">
        <w:rPr>
          <w:noProof/>
        </w:rPr>
        <w:t>, et al.</w:t>
      </w:r>
      <w:r>
        <w:rPr>
          <w:rFonts w:hint="eastAsia"/>
          <w:noProof/>
          <w:lang w:eastAsia="ko-KR"/>
        </w:rPr>
        <w:t>,</w:t>
      </w:r>
      <w:r w:rsidRPr="0089670E">
        <w:rPr>
          <w:noProof/>
        </w:rPr>
        <w:t xml:space="preserve"> 1978</w:t>
      </w:r>
      <w:r>
        <w:rPr>
          <w:rFonts w:hint="eastAsia"/>
          <w:noProof/>
          <w:lang w:eastAsia="ko-KR"/>
        </w:rPr>
        <w:t>.</w:t>
      </w:r>
      <w:r w:rsidRPr="0089670E">
        <w:rPr>
          <w:noProof/>
        </w:rPr>
        <w:t xml:space="preserve"> Metabolism of americium-241 in dairy animals. In: White MG and Dunaway PB (eds) </w:t>
      </w:r>
      <w:r w:rsidRPr="00ED6790">
        <w:rPr>
          <w:noProof/>
        </w:rPr>
        <w:t>Selected Environmental Plutonium Research Reports of the Nevada Applied Ecology Group, Report NVO 192</w:t>
      </w:r>
      <w:r w:rsidRPr="0089670E">
        <w:rPr>
          <w:noProof/>
        </w:rPr>
        <w:t>, pp. 19–43.</w:t>
      </w:r>
    </w:p>
    <w:p w14:paraId="4573C995" w14:textId="77777777" w:rsidR="00232741" w:rsidRPr="0089670E" w:rsidRDefault="00232741" w:rsidP="00232741">
      <w:pPr>
        <w:pStyle w:val="aff1"/>
        <w:ind w:left="426" w:hanging="426"/>
        <w:rPr>
          <w:noProof/>
        </w:rPr>
      </w:pPr>
      <w:r w:rsidRPr="00BB7751">
        <w:rPr>
          <w:noProof/>
          <w:lang w:val="fr-FR"/>
        </w:rPr>
        <w:t>Suzuki</w:t>
      </w:r>
      <w:r w:rsidRPr="00BB7751">
        <w:rPr>
          <w:rFonts w:hint="eastAsia"/>
          <w:noProof/>
          <w:lang w:val="fr-FR" w:eastAsia="ko-KR"/>
        </w:rPr>
        <w:t>,</w:t>
      </w:r>
      <w:r w:rsidRPr="00BB7751">
        <w:rPr>
          <w:noProof/>
          <w:lang w:val="fr-FR"/>
        </w:rPr>
        <w:t xml:space="preserve"> M</w:t>
      </w:r>
      <w:r w:rsidRPr="00BB7751">
        <w:rPr>
          <w:rFonts w:hint="eastAsia"/>
          <w:noProof/>
          <w:lang w:val="fr-FR" w:eastAsia="ko-KR"/>
        </w:rPr>
        <w:t>.</w:t>
      </w:r>
      <w:r w:rsidRPr="00BB7751">
        <w:rPr>
          <w:noProof/>
          <w:lang w:val="fr-FR"/>
        </w:rPr>
        <w:t>, Ohno</w:t>
      </w:r>
      <w:r w:rsidRPr="00BB7751">
        <w:rPr>
          <w:rFonts w:hint="eastAsia"/>
          <w:noProof/>
          <w:lang w:val="fr-FR" w:eastAsia="ko-KR"/>
        </w:rPr>
        <w:t>,</w:t>
      </w:r>
      <w:r w:rsidRPr="00BB7751">
        <w:rPr>
          <w:noProof/>
          <w:lang w:val="fr-FR"/>
        </w:rPr>
        <w:t xml:space="preserve"> S</w:t>
      </w:r>
      <w:r w:rsidRPr="00BB7751">
        <w:rPr>
          <w:rFonts w:hint="eastAsia"/>
          <w:noProof/>
          <w:lang w:val="fr-FR" w:eastAsia="ko-KR"/>
        </w:rPr>
        <w:t>.</w:t>
      </w:r>
      <w:r w:rsidRPr="00BB7751">
        <w:rPr>
          <w:noProof/>
          <w:lang w:val="fr-FR"/>
        </w:rPr>
        <w:t>, Okabayashi</w:t>
      </w:r>
      <w:r w:rsidRPr="00BB7751">
        <w:rPr>
          <w:rFonts w:hint="eastAsia"/>
          <w:noProof/>
          <w:lang w:val="fr-FR" w:eastAsia="ko-KR"/>
        </w:rPr>
        <w:t>,</w:t>
      </w:r>
      <w:r w:rsidRPr="00BB7751">
        <w:rPr>
          <w:noProof/>
          <w:lang w:val="fr-FR"/>
        </w:rPr>
        <w:t xml:space="preserve"> H</w:t>
      </w:r>
      <w:r w:rsidRPr="00BB7751">
        <w:rPr>
          <w:rFonts w:hint="eastAsia"/>
          <w:noProof/>
          <w:lang w:val="fr-FR" w:eastAsia="ko-KR"/>
        </w:rPr>
        <w:t>.</w:t>
      </w:r>
      <w:r w:rsidRPr="00BB7751">
        <w:rPr>
          <w:noProof/>
          <w:lang w:val="fr-FR"/>
        </w:rPr>
        <w:t>, et al.</w:t>
      </w:r>
      <w:r w:rsidRPr="00BB7751">
        <w:rPr>
          <w:rFonts w:hint="eastAsia"/>
          <w:noProof/>
          <w:lang w:val="fr-FR" w:eastAsia="ko-KR"/>
        </w:rPr>
        <w:t>,</w:t>
      </w:r>
      <w:r w:rsidRPr="00BB7751">
        <w:rPr>
          <w:noProof/>
          <w:lang w:val="fr-FR"/>
        </w:rPr>
        <w:t xml:space="preserve"> 1969</w:t>
      </w:r>
      <w:r w:rsidRPr="00BB7751">
        <w:rPr>
          <w:rFonts w:hint="eastAsia"/>
          <w:noProof/>
          <w:lang w:val="fr-FR" w:eastAsia="ko-KR"/>
        </w:rPr>
        <w:t>.</w:t>
      </w:r>
      <w:r w:rsidRPr="00BB7751">
        <w:rPr>
          <w:noProof/>
          <w:lang w:val="fr-FR"/>
        </w:rPr>
        <w:t xml:space="preserve"> </w:t>
      </w:r>
      <w:r w:rsidRPr="0089670E">
        <w:rPr>
          <w:noProof/>
        </w:rPr>
        <w:t xml:space="preserve">DISTRIBUTION AND EXCRETION OF INHALED Eu BY RATS AS APPLIED FOR AND ACTIVABLE TRACER. In: </w:t>
      </w:r>
      <w:r w:rsidRPr="00ED6790">
        <w:rPr>
          <w:noProof/>
        </w:rPr>
        <w:t>Proc. Jap. Conf. Radioisotop. 9th</w:t>
      </w:r>
      <w:r w:rsidRPr="0089670E">
        <w:rPr>
          <w:noProof/>
        </w:rPr>
        <w:t>, Tokyo, 1969, pp. 442–444. National Inst. of Radiological Sciences, Chiba, Japan.</w:t>
      </w:r>
    </w:p>
    <w:p w14:paraId="0609264F" w14:textId="77777777" w:rsidR="00232741" w:rsidRPr="0089670E" w:rsidRDefault="00232741" w:rsidP="00232741">
      <w:pPr>
        <w:pStyle w:val="aff1"/>
        <w:ind w:left="426" w:hanging="426"/>
        <w:rPr>
          <w:noProof/>
        </w:rPr>
      </w:pPr>
      <w:r w:rsidRPr="0089670E">
        <w:rPr>
          <w:noProof/>
        </w:rPr>
        <w:t>Sviatkina</w:t>
      </w:r>
      <w:r>
        <w:rPr>
          <w:rFonts w:hint="eastAsia"/>
          <w:noProof/>
          <w:lang w:eastAsia="ko-KR"/>
        </w:rPr>
        <w:t>,</w:t>
      </w:r>
      <w:r w:rsidRPr="0089670E">
        <w:rPr>
          <w:noProof/>
        </w:rPr>
        <w:t xml:space="preserve"> N</w:t>
      </w:r>
      <w:r>
        <w:rPr>
          <w:rFonts w:hint="eastAsia"/>
          <w:noProof/>
          <w:lang w:eastAsia="ko-KR"/>
        </w:rPr>
        <w:t>.</w:t>
      </w:r>
      <w:r w:rsidRPr="0089670E">
        <w:rPr>
          <w:noProof/>
        </w:rPr>
        <w:t>S</w:t>
      </w:r>
      <w:r>
        <w:rPr>
          <w:rFonts w:hint="eastAsia"/>
          <w:noProof/>
          <w:lang w:eastAsia="ko-KR"/>
        </w:rPr>
        <w:t>.,</w:t>
      </w:r>
      <w:r w:rsidRPr="0089670E">
        <w:rPr>
          <w:noProof/>
        </w:rPr>
        <w:t xml:space="preserve"> Novikov</w:t>
      </w:r>
      <w:r>
        <w:rPr>
          <w:rFonts w:hint="eastAsia"/>
          <w:noProof/>
          <w:lang w:eastAsia="ko-KR"/>
        </w:rPr>
        <w:t>,</w:t>
      </w:r>
      <w:r w:rsidRPr="0089670E">
        <w:rPr>
          <w:noProof/>
        </w:rPr>
        <w:t xml:space="preserve"> I</w:t>
      </w:r>
      <w:r>
        <w:rPr>
          <w:rFonts w:hint="eastAsia"/>
          <w:noProof/>
          <w:lang w:eastAsia="ko-KR"/>
        </w:rPr>
        <w:t>.</w:t>
      </w:r>
      <w:r w:rsidRPr="0089670E">
        <w:rPr>
          <w:noProof/>
        </w:rPr>
        <w:t>V</w:t>
      </w:r>
      <w:r>
        <w:rPr>
          <w:rFonts w:hint="eastAsia"/>
          <w:noProof/>
          <w:lang w:eastAsia="ko-KR"/>
        </w:rPr>
        <w:t>.,</w:t>
      </w:r>
      <w:r w:rsidRPr="0089670E">
        <w:rPr>
          <w:noProof/>
        </w:rPr>
        <w:t xml:space="preserve"> 1975</w:t>
      </w:r>
      <w:r>
        <w:rPr>
          <w:rFonts w:hint="eastAsia"/>
          <w:noProof/>
          <w:lang w:eastAsia="ko-KR"/>
        </w:rPr>
        <w:t>.</w:t>
      </w:r>
      <w:r w:rsidRPr="0089670E">
        <w:rPr>
          <w:noProof/>
        </w:rPr>
        <w:t xml:space="preserve"> The problem of absorption of natural uranium in the human gastrointestinal tract. </w:t>
      </w:r>
      <w:r w:rsidRPr="00ED6790">
        <w:rPr>
          <w:noProof/>
        </w:rPr>
        <w:t>Gigiena i sanitariia</w:t>
      </w:r>
      <w:r w:rsidRPr="0089670E">
        <w:rPr>
          <w:noProof/>
        </w:rPr>
        <w:t xml:space="preserve"> (1): 43–45.</w:t>
      </w:r>
    </w:p>
    <w:p w14:paraId="280F5BA0" w14:textId="77777777" w:rsidR="00232741" w:rsidRPr="0089670E" w:rsidRDefault="00232741" w:rsidP="00232741">
      <w:pPr>
        <w:pStyle w:val="aff1"/>
        <w:ind w:left="426" w:hanging="426"/>
        <w:rPr>
          <w:noProof/>
        </w:rPr>
      </w:pPr>
      <w:r w:rsidRPr="0089670E">
        <w:rPr>
          <w:noProof/>
        </w:rPr>
        <w:t>Talbot</w:t>
      </w:r>
      <w:r>
        <w:rPr>
          <w:rFonts w:hint="eastAsia"/>
          <w:noProof/>
          <w:lang w:eastAsia="ko-KR"/>
        </w:rPr>
        <w:t>,</w:t>
      </w:r>
      <w:r w:rsidRPr="0089670E">
        <w:rPr>
          <w:noProof/>
        </w:rPr>
        <w:t xml:space="preserve"> R</w:t>
      </w:r>
      <w:r>
        <w:rPr>
          <w:rFonts w:hint="eastAsia"/>
          <w:noProof/>
          <w:lang w:eastAsia="ko-KR"/>
        </w:rPr>
        <w:t>.</w:t>
      </w:r>
      <w:r w:rsidRPr="0089670E">
        <w:rPr>
          <w:noProof/>
        </w:rPr>
        <w:t>J</w:t>
      </w:r>
      <w:r>
        <w:rPr>
          <w:rFonts w:hint="eastAsia"/>
          <w:noProof/>
          <w:lang w:eastAsia="ko-KR"/>
        </w:rPr>
        <w:t>.</w:t>
      </w:r>
      <w:r w:rsidRPr="0089670E">
        <w:rPr>
          <w:noProof/>
        </w:rPr>
        <w:t>, Newton</w:t>
      </w:r>
      <w:r>
        <w:rPr>
          <w:rFonts w:hint="eastAsia"/>
          <w:noProof/>
          <w:lang w:eastAsia="ko-KR"/>
        </w:rPr>
        <w:t>,</w:t>
      </w:r>
      <w:r w:rsidRPr="0089670E">
        <w:rPr>
          <w:noProof/>
        </w:rPr>
        <w:t xml:space="preserve"> D</w:t>
      </w:r>
      <w:r>
        <w:rPr>
          <w:rFonts w:hint="eastAsia"/>
          <w:noProof/>
          <w:lang w:eastAsia="ko-KR"/>
        </w:rPr>
        <w:t>.,</w:t>
      </w:r>
      <w:r w:rsidRPr="0089670E">
        <w:rPr>
          <w:noProof/>
        </w:rPr>
        <w:t xml:space="preserve"> Warner</w:t>
      </w:r>
      <w:r>
        <w:rPr>
          <w:rFonts w:hint="eastAsia"/>
          <w:noProof/>
          <w:lang w:eastAsia="ko-KR"/>
        </w:rPr>
        <w:t>,</w:t>
      </w:r>
      <w:r w:rsidRPr="0089670E">
        <w:rPr>
          <w:noProof/>
        </w:rPr>
        <w:t xml:space="preserve"> A</w:t>
      </w:r>
      <w:r>
        <w:rPr>
          <w:rFonts w:hint="eastAsia"/>
          <w:noProof/>
          <w:lang w:eastAsia="ko-KR"/>
        </w:rPr>
        <w:t>.</w:t>
      </w:r>
      <w:r w:rsidRPr="0089670E">
        <w:rPr>
          <w:noProof/>
        </w:rPr>
        <w:t>J</w:t>
      </w:r>
      <w:r>
        <w:rPr>
          <w:rFonts w:hint="eastAsia"/>
          <w:noProof/>
          <w:lang w:eastAsia="ko-KR"/>
        </w:rPr>
        <w:t>.,</w:t>
      </w:r>
      <w:r w:rsidRPr="0089670E">
        <w:rPr>
          <w:noProof/>
        </w:rPr>
        <w:t xml:space="preserve"> 1993</w:t>
      </w:r>
      <w:r>
        <w:rPr>
          <w:rFonts w:hint="eastAsia"/>
          <w:noProof/>
          <w:lang w:eastAsia="ko-KR"/>
        </w:rPr>
        <w:t>.</w:t>
      </w:r>
      <w:r w:rsidRPr="0089670E">
        <w:rPr>
          <w:noProof/>
        </w:rPr>
        <w:t xml:space="preserve"> Metabolism of injected plutonium in two healthy men. </w:t>
      </w:r>
      <w:r w:rsidRPr="001D350F">
        <w:rPr>
          <w:noProof/>
        </w:rPr>
        <w:t>Health Phys.</w:t>
      </w:r>
      <w:r w:rsidRPr="0089670E">
        <w:rPr>
          <w:noProof/>
        </w:rPr>
        <w:t xml:space="preserve"> 65(1)</w:t>
      </w:r>
      <w:r>
        <w:rPr>
          <w:rFonts w:hint="eastAsia"/>
          <w:noProof/>
          <w:lang w:eastAsia="ko-KR"/>
        </w:rPr>
        <w:t>.</w:t>
      </w:r>
      <w:r w:rsidRPr="0089670E">
        <w:rPr>
          <w:noProof/>
        </w:rPr>
        <w:t xml:space="preserve"> 41–46.</w:t>
      </w:r>
    </w:p>
    <w:p w14:paraId="703AC211" w14:textId="77777777" w:rsidR="00232741" w:rsidRPr="00C47F2F" w:rsidRDefault="00232741" w:rsidP="00232741">
      <w:pPr>
        <w:pStyle w:val="aff1"/>
        <w:ind w:left="426" w:hanging="426"/>
        <w:rPr>
          <w:noProof/>
          <w:lang w:val="it-IT"/>
        </w:rPr>
      </w:pPr>
      <w:r w:rsidRPr="0089670E">
        <w:rPr>
          <w:noProof/>
        </w:rPr>
        <w:t>Talbot</w:t>
      </w:r>
      <w:r>
        <w:rPr>
          <w:rFonts w:hint="eastAsia"/>
          <w:noProof/>
          <w:lang w:eastAsia="ko-KR"/>
        </w:rPr>
        <w:t>,</w:t>
      </w:r>
      <w:r w:rsidRPr="0089670E">
        <w:rPr>
          <w:noProof/>
        </w:rPr>
        <w:t xml:space="preserve"> R</w:t>
      </w:r>
      <w:r>
        <w:rPr>
          <w:rFonts w:hint="eastAsia"/>
          <w:noProof/>
          <w:lang w:eastAsia="ko-KR"/>
        </w:rPr>
        <w:t>.</w:t>
      </w:r>
      <w:r w:rsidRPr="0089670E">
        <w:rPr>
          <w:noProof/>
        </w:rPr>
        <w:t>J</w:t>
      </w:r>
      <w:r>
        <w:rPr>
          <w:rFonts w:hint="eastAsia"/>
          <w:noProof/>
          <w:lang w:eastAsia="ko-KR"/>
        </w:rPr>
        <w:t>.</w:t>
      </w:r>
      <w:r w:rsidRPr="0089670E">
        <w:rPr>
          <w:noProof/>
        </w:rPr>
        <w:t>, Newton</w:t>
      </w:r>
      <w:r>
        <w:rPr>
          <w:rFonts w:hint="eastAsia"/>
          <w:noProof/>
          <w:lang w:eastAsia="ko-KR"/>
        </w:rPr>
        <w:t>,</w:t>
      </w:r>
      <w:r w:rsidRPr="0089670E">
        <w:rPr>
          <w:noProof/>
        </w:rPr>
        <w:t xml:space="preserve"> D</w:t>
      </w:r>
      <w:r>
        <w:rPr>
          <w:rFonts w:hint="eastAsia"/>
          <w:noProof/>
          <w:lang w:eastAsia="ko-KR"/>
        </w:rPr>
        <w:t>.,</w:t>
      </w:r>
      <w:r w:rsidRPr="0089670E">
        <w:rPr>
          <w:noProof/>
        </w:rPr>
        <w:t xml:space="preserve"> Dmitriev</w:t>
      </w:r>
      <w:r>
        <w:rPr>
          <w:rFonts w:hint="eastAsia"/>
          <w:noProof/>
          <w:lang w:eastAsia="ko-KR"/>
        </w:rPr>
        <w:t>,</w:t>
      </w:r>
      <w:r w:rsidRPr="0089670E">
        <w:rPr>
          <w:noProof/>
        </w:rPr>
        <w:t xml:space="preserve"> S</w:t>
      </w:r>
      <w:r>
        <w:rPr>
          <w:rFonts w:hint="eastAsia"/>
          <w:noProof/>
          <w:lang w:eastAsia="ko-KR"/>
        </w:rPr>
        <w:t>.</w:t>
      </w:r>
      <w:r w:rsidRPr="0089670E">
        <w:rPr>
          <w:noProof/>
        </w:rPr>
        <w:t>N</w:t>
      </w:r>
      <w:r>
        <w:rPr>
          <w:rFonts w:hint="eastAsia"/>
          <w:noProof/>
          <w:lang w:eastAsia="ko-KR"/>
        </w:rPr>
        <w:t>.,</w:t>
      </w:r>
      <w:r w:rsidRPr="0089670E">
        <w:rPr>
          <w:noProof/>
        </w:rPr>
        <w:t xml:space="preserve"> 1997</w:t>
      </w:r>
      <w:r>
        <w:rPr>
          <w:rFonts w:hint="eastAsia"/>
          <w:noProof/>
          <w:lang w:eastAsia="ko-KR"/>
        </w:rPr>
        <w:t>.</w:t>
      </w:r>
      <w:r w:rsidRPr="0089670E">
        <w:rPr>
          <w:noProof/>
        </w:rPr>
        <w:t xml:space="preserve"> Sex-related differences in the human metabolism of plutonium. </w:t>
      </w:r>
      <w:r w:rsidRPr="00C47F2F">
        <w:rPr>
          <w:noProof/>
          <w:lang w:val="it-IT"/>
        </w:rPr>
        <w:t>Radiat. Prot. Dosimetry 71(2). 107–121.</w:t>
      </w:r>
    </w:p>
    <w:p w14:paraId="1934082E" w14:textId="77777777" w:rsidR="00232741" w:rsidRPr="0089670E" w:rsidRDefault="00232741" w:rsidP="00232741">
      <w:pPr>
        <w:pStyle w:val="aff1"/>
        <w:ind w:left="426" w:hanging="426"/>
        <w:rPr>
          <w:noProof/>
        </w:rPr>
      </w:pPr>
      <w:r w:rsidRPr="00A60A65">
        <w:rPr>
          <w:noProof/>
          <w:lang w:val="it-IT"/>
        </w:rPr>
        <w:t>Tannenbaum</w:t>
      </w:r>
      <w:r w:rsidRPr="00A60A65">
        <w:rPr>
          <w:rFonts w:hint="eastAsia"/>
          <w:noProof/>
          <w:lang w:val="it-IT" w:eastAsia="ko-KR"/>
        </w:rPr>
        <w:t>,</w:t>
      </w:r>
      <w:r w:rsidRPr="00A60A65">
        <w:rPr>
          <w:noProof/>
          <w:lang w:val="it-IT"/>
        </w:rPr>
        <w:t xml:space="preserve"> A</w:t>
      </w:r>
      <w:r w:rsidRPr="00A60A65">
        <w:rPr>
          <w:rFonts w:hint="eastAsia"/>
          <w:noProof/>
          <w:lang w:val="it-IT" w:eastAsia="ko-KR"/>
        </w:rPr>
        <w:t>.</w:t>
      </w:r>
      <w:r w:rsidRPr="00A60A65">
        <w:rPr>
          <w:noProof/>
          <w:lang w:val="it-IT"/>
        </w:rPr>
        <w:t>, Terepka</w:t>
      </w:r>
      <w:r w:rsidRPr="00A60A65">
        <w:rPr>
          <w:rFonts w:hint="eastAsia"/>
          <w:noProof/>
          <w:lang w:val="it-IT" w:eastAsia="ko-KR"/>
        </w:rPr>
        <w:t>,</w:t>
      </w:r>
      <w:r w:rsidRPr="00A60A65">
        <w:rPr>
          <w:noProof/>
          <w:lang w:val="it-IT"/>
        </w:rPr>
        <w:t xml:space="preserve"> A</w:t>
      </w:r>
      <w:r w:rsidRPr="00A60A65">
        <w:rPr>
          <w:rFonts w:hint="eastAsia"/>
          <w:noProof/>
          <w:lang w:val="it-IT" w:eastAsia="ko-KR"/>
        </w:rPr>
        <w:t>.</w:t>
      </w:r>
      <w:r w:rsidRPr="00A60A65">
        <w:rPr>
          <w:noProof/>
          <w:lang w:val="it-IT"/>
        </w:rPr>
        <w:t>R</w:t>
      </w:r>
      <w:r w:rsidRPr="00A60A65">
        <w:rPr>
          <w:rFonts w:hint="eastAsia"/>
          <w:noProof/>
          <w:lang w:val="it-IT" w:eastAsia="ko-KR"/>
        </w:rPr>
        <w:t>.</w:t>
      </w:r>
      <w:r w:rsidRPr="00A60A65">
        <w:rPr>
          <w:noProof/>
          <w:lang w:val="it-IT"/>
        </w:rPr>
        <w:t>, Toribara</w:t>
      </w:r>
      <w:r w:rsidRPr="00A60A65">
        <w:rPr>
          <w:rFonts w:hint="eastAsia"/>
          <w:noProof/>
          <w:lang w:val="it-IT" w:eastAsia="ko-KR"/>
        </w:rPr>
        <w:t>,</w:t>
      </w:r>
      <w:r w:rsidRPr="00A60A65">
        <w:rPr>
          <w:noProof/>
          <w:lang w:val="it-IT"/>
        </w:rPr>
        <w:t xml:space="preserve"> T</w:t>
      </w:r>
      <w:r w:rsidRPr="00A60A65">
        <w:rPr>
          <w:rFonts w:hint="eastAsia"/>
          <w:noProof/>
          <w:lang w:val="it-IT" w:eastAsia="ko-KR"/>
        </w:rPr>
        <w:t>.</w:t>
      </w:r>
      <w:r w:rsidRPr="00A60A65">
        <w:rPr>
          <w:noProof/>
          <w:lang w:val="it-IT"/>
        </w:rPr>
        <w:t>Y</w:t>
      </w:r>
      <w:r w:rsidRPr="00A60A65">
        <w:rPr>
          <w:rFonts w:hint="eastAsia"/>
          <w:noProof/>
          <w:lang w:val="it-IT" w:eastAsia="ko-KR"/>
        </w:rPr>
        <w:t>.</w:t>
      </w:r>
      <w:r w:rsidRPr="00A60A65">
        <w:rPr>
          <w:noProof/>
          <w:lang w:val="it-IT"/>
        </w:rPr>
        <w:t>, et al.</w:t>
      </w:r>
      <w:r w:rsidRPr="00A60A65">
        <w:rPr>
          <w:rFonts w:hint="eastAsia"/>
          <w:noProof/>
          <w:lang w:val="it-IT" w:eastAsia="ko-KR"/>
        </w:rPr>
        <w:t>,</w:t>
      </w:r>
      <w:r w:rsidRPr="00A60A65">
        <w:rPr>
          <w:noProof/>
          <w:lang w:val="it-IT"/>
        </w:rPr>
        <w:t xml:space="preserve"> 1964</w:t>
      </w:r>
      <w:r w:rsidRPr="00A60A65">
        <w:rPr>
          <w:rFonts w:hint="eastAsia"/>
          <w:noProof/>
          <w:lang w:val="it-IT" w:eastAsia="ko-KR"/>
        </w:rPr>
        <w:t>.</w:t>
      </w:r>
      <w:r w:rsidRPr="00A60A65">
        <w:rPr>
          <w:noProof/>
          <w:lang w:val="it-IT"/>
        </w:rPr>
        <w:t xml:space="preserve"> </w:t>
      </w:r>
      <w:r w:rsidRPr="0089670E">
        <w:rPr>
          <w:noProof/>
        </w:rPr>
        <w:t xml:space="preserve">Abstract 22: Skeletal retention of uranium in humans. In: </w:t>
      </w:r>
      <w:r w:rsidRPr="00ED6790">
        <w:rPr>
          <w:noProof/>
        </w:rPr>
        <w:t>Nucl. Sci. Abstr.</w:t>
      </w:r>
      <w:r w:rsidRPr="0089670E">
        <w:rPr>
          <w:noProof/>
        </w:rPr>
        <w:t>, San Francisco, CA, 1964, p. 439.</w:t>
      </w:r>
    </w:p>
    <w:p w14:paraId="7C2A85E1" w14:textId="77777777" w:rsidR="00232741" w:rsidRPr="0089670E" w:rsidRDefault="00232741" w:rsidP="00232741">
      <w:pPr>
        <w:pStyle w:val="aff1"/>
        <w:ind w:left="426" w:hanging="426"/>
        <w:rPr>
          <w:noProof/>
        </w:rPr>
      </w:pPr>
      <w:r w:rsidRPr="0089670E">
        <w:rPr>
          <w:noProof/>
        </w:rPr>
        <w:t>Taylor</w:t>
      </w:r>
      <w:r>
        <w:rPr>
          <w:rFonts w:hint="eastAsia"/>
          <w:noProof/>
          <w:lang w:eastAsia="ko-KR"/>
        </w:rPr>
        <w:t>,</w:t>
      </w:r>
      <w:r w:rsidRPr="0089670E">
        <w:rPr>
          <w:noProof/>
        </w:rPr>
        <w:t xml:space="preserve"> D</w:t>
      </w:r>
      <w:r>
        <w:rPr>
          <w:rFonts w:hint="eastAsia"/>
          <w:noProof/>
          <w:lang w:eastAsia="ko-KR"/>
        </w:rPr>
        <w:t>.</w:t>
      </w:r>
      <w:r w:rsidRPr="0089670E">
        <w:rPr>
          <w:noProof/>
        </w:rPr>
        <w:t>M</w:t>
      </w:r>
      <w:r>
        <w:rPr>
          <w:rFonts w:hint="eastAsia"/>
          <w:noProof/>
          <w:lang w:eastAsia="ko-KR"/>
        </w:rPr>
        <w:t xml:space="preserve">., </w:t>
      </w:r>
      <w:r w:rsidRPr="0089670E">
        <w:rPr>
          <w:noProof/>
        </w:rPr>
        <w:t>1970</w:t>
      </w:r>
      <w:r>
        <w:rPr>
          <w:rFonts w:hint="eastAsia"/>
          <w:noProof/>
          <w:lang w:eastAsia="ko-KR"/>
        </w:rPr>
        <w:t>.</w:t>
      </w:r>
      <w:r w:rsidRPr="0089670E">
        <w:rPr>
          <w:noProof/>
        </w:rPr>
        <w:t xml:space="preserve"> The metabolism of actinium in the rat. </w:t>
      </w:r>
      <w:r w:rsidRPr="001D350F">
        <w:rPr>
          <w:noProof/>
        </w:rPr>
        <w:t>Health Phys.</w:t>
      </w:r>
      <w:r w:rsidRPr="0089670E">
        <w:rPr>
          <w:noProof/>
        </w:rPr>
        <w:t xml:space="preserve"> 19(3)</w:t>
      </w:r>
      <w:r>
        <w:rPr>
          <w:rFonts w:hint="eastAsia"/>
          <w:noProof/>
          <w:lang w:eastAsia="ko-KR"/>
        </w:rPr>
        <w:t>.</w:t>
      </w:r>
      <w:r w:rsidRPr="0089670E">
        <w:rPr>
          <w:noProof/>
        </w:rPr>
        <w:t xml:space="preserve"> 411–418.</w:t>
      </w:r>
    </w:p>
    <w:p w14:paraId="065EF949" w14:textId="77777777" w:rsidR="00232741" w:rsidRPr="0089670E" w:rsidRDefault="00232741" w:rsidP="00232741">
      <w:pPr>
        <w:pStyle w:val="aff1"/>
        <w:ind w:left="426" w:hanging="426"/>
        <w:rPr>
          <w:noProof/>
        </w:rPr>
      </w:pPr>
      <w:r w:rsidRPr="0089670E">
        <w:rPr>
          <w:noProof/>
        </w:rPr>
        <w:t>Taylor</w:t>
      </w:r>
      <w:r>
        <w:rPr>
          <w:rFonts w:hint="eastAsia"/>
          <w:noProof/>
          <w:lang w:eastAsia="ko-KR"/>
        </w:rPr>
        <w:t>,</w:t>
      </w:r>
      <w:r w:rsidRPr="0089670E">
        <w:rPr>
          <w:noProof/>
        </w:rPr>
        <w:t xml:space="preserve"> D</w:t>
      </w:r>
      <w:r>
        <w:rPr>
          <w:rFonts w:hint="eastAsia"/>
          <w:noProof/>
          <w:lang w:eastAsia="ko-KR"/>
        </w:rPr>
        <w:t>.</w:t>
      </w:r>
      <w:r w:rsidRPr="0089670E">
        <w:rPr>
          <w:noProof/>
        </w:rPr>
        <w:t>M</w:t>
      </w:r>
      <w:r>
        <w:rPr>
          <w:rFonts w:hint="eastAsia"/>
          <w:noProof/>
          <w:lang w:eastAsia="ko-KR"/>
        </w:rPr>
        <w:t>.,</w:t>
      </w:r>
      <w:r w:rsidRPr="0089670E">
        <w:rPr>
          <w:noProof/>
        </w:rPr>
        <w:t xml:space="preserve"> 1983</w:t>
      </w:r>
      <w:r>
        <w:rPr>
          <w:rFonts w:hint="eastAsia"/>
          <w:noProof/>
          <w:lang w:eastAsia="ko-KR"/>
        </w:rPr>
        <w:t>.</w:t>
      </w:r>
      <w:r w:rsidRPr="0089670E">
        <w:rPr>
          <w:noProof/>
        </w:rPr>
        <w:t xml:space="preserve"> The comparative retention of bone-seeking radionuclides in the skeletons of rats. </w:t>
      </w:r>
      <w:r w:rsidRPr="001D350F">
        <w:rPr>
          <w:noProof/>
        </w:rPr>
        <w:t>Health Phys.</w:t>
      </w:r>
      <w:r w:rsidRPr="0089670E">
        <w:rPr>
          <w:noProof/>
        </w:rPr>
        <w:t xml:space="preserve"> 45(3)</w:t>
      </w:r>
      <w:r>
        <w:rPr>
          <w:rFonts w:hint="eastAsia"/>
          <w:noProof/>
          <w:lang w:eastAsia="ko-KR"/>
        </w:rPr>
        <w:t>.</w:t>
      </w:r>
      <w:r w:rsidRPr="0089670E">
        <w:rPr>
          <w:noProof/>
        </w:rPr>
        <w:t xml:space="preserve"> 768–772.</w:t>
      </w:r>
    </w:p>
    <w:p w14:paraId="048E1268" w14:textId="77777777" w:rsidR="00232741" w:rsidRPr="0089670E" w:rsidRDefault="00232741" w:rsidP="00232741">
      <w:pPr>
        <w:pStyle w:val="aff1"/>
        <w:ind w:left="426" w:hanging="426"/>
        <w:rPr>
          <w:noProof/>
        </w:rPr>
      </w:pPr>
      <w:r w:rsidRPr="0089670E">
        <w:rPr>
          <w:noProof/>
        </w:rPr>
        <w:t>Taylor</w:t>
      </w:r>
      <w:r>
        <w:rPr>
          <w:rFonts w:hint="eastAsia"/>
          <w:noProof/>
          <w:lang w:eastAsia="ko-KR"/>
        </w:rPr>
        <w:t>,</w:t>
      </w:r>
      <w:r w:rsidRPr="0089670E">
        <w:rPr>
          <w:noProof/>
        </w:rPr>
        <w:t xml:space="preserve"> D</w:t>
      </w:r>
      <w:r>
        <w:rPr>
          <w:rFonts w:hint="eastAsia"/>
          <w:noProof/>
          <w:lang w:eastAsia="ko-KR"/>
        </w:rPr>
        <w:t>.</w:t>
      </w:r>
      <w:r w:rsidRPr="0089670E">
        <w:rPr>
          <w:noProof/>
        </w:rPr>
        <w:t>M</w:t>
      </w:r>
      <w:r>
        <w:rPr>
          <w:rFonts w:hint="eastAsia"/>
          <w:noProof/>
          <w:lang w:eastAsia="ko-KR"/>
        </w:rPr>
        <w:t>.,</w:t>
      </w:r>
      <w:r w:rsidRPr="0089670E">
        <w:rPr>
          <w:noProof/>
        </w:rPr>
        <w:t xml:space="preserve"> 1984</w:t>
      </w:r>
      <w:r>
        <w:rPr>
          <w:rFonts w:hint="eastAsia"/>
          <w:noProof/>
          <w:lang w:eastAsia="ko-KR"/>
        </w:rPr>
        <w:t>.</w:t>
      </w:r>
      <w:r w:rsidRPr="0089670E">
        <w:rPr>
          <w:noProof/>
        </w:rPr>
        <w:t xml:space="preserve"> The retention of plutonium and americium in liver: An interspecies comparison. In: </w:t>
      </w:r>
      <w:r w:rsidRPr="00ED6790">
        <w:rPr>
          <w:noProof/>
        </w:rPr>
        <w:t>Radiation-risk-protection. Vol. 1</w:t>
      </w:r>
      <w:r w:rsidRPr="0089670E">
        <w:rPr>
          <w:noProof/>
        </w:rPr>
        <w:t>, Berlin, 1984, pp. 431–434. 6th International Radiation Protection Association Congress.</w:t>
      </w:r>
    </w:p>
    <w:p w14:paraId="5964CBB0" w14:textId="77777777" w:rsidR="00232741" w:rsidRPr="0089670E" w:rsidRDefault="00232741" w:rsidP="00232741">
      <w:pPr>
        <w:pStyle w:val="aff1"/>
        <w:ind w:left="426" w:hanging="426"/>
        <w:rPr>
          <w:noProof/>
        </w:rPr>
      </w:pPr>
      <w:r w:rsidRPr="0089670E">
        <w:rPr>
          <w:noProof/>
        </w:rPr>
        <w:t>Taylor</w:t>
      </w:r>
      <w:r>
        <w:rPr>
          <w:rFonts w:hint="eastAsia"/>
          <w:noProof/>
          <w:lang w:eastAsia="ko-KR"/>
        </w:rPr>
        <w:t>,</w:t>
      </w:r>
      <w:r w:rsidRPr="0089670E">
        <w:rPr>
          <w:noProof/>
        </w:rPr>
        <w:t xml:space="preserve"> D</w:t>
      </w:r>
      <w:r>
        <w:rPr>
          <w:rFonts w:hint="eastAsia"/>
          <w:noProof/>
          <w:lang w:eastAsia="ko-KR"/>
        </w:rPr>
        <w:t>.</w:t>
      </w:r>
      <w:r w:rsidRPr="0089670E">
        <w:rPr>
          <w:noProof/>
        </w:rPr>
        <w:t>M</w:t>
      </w:r>
      <w:r>
        <w:rPr>
          <w:rFonts w:hint="eastAsia"/>
          <w:noProof/>
          <w:lang w:eastAsia="ko-KR"/>
        </w:rPr>
        <w:t>.,</w:t>
      </w:r>
      <w:r w:rsidRPr="0089670E">
        <w:rPr>
          <w:noProof/>
        </w:rPr>
        <w:t xml:space="preserve"> Leggett</w:t>
      </w:r>
      <w:r>
        <w:rPr>
          <w:rFonts w:hint="eastAsia"/>
          <w:noProof/>
          <w:lang w:eastAsia="ko-KR"/>
        </w:rPr>
        <w:t>,</w:t>
      </w:r>
      <w:r w:rsidRPr="0089670E">
        <w:rPr>
          <w:noProof/>
        </w:rPr>
        <w:t xml:space="preserve"> R</w:t>
      </w:r>
      <w:r>
        <w:rPr>
          <w:rFonts w:hint="eastAsia"/>
          <w:noProof/>
          <w:lang w:eastAsia="ko-KR"/>
        </w:rPr>
        <w:t>.</w:t>
      </w:r>
      <w:r w:rsidRPr="0089670E">
        <w:rPr>
          <w:noProof/>
        </w:rPr>
        <w:t>W</w:t>
      </w:r>
      <w:r>
        <w:rPr>
          <w:rFonts w:hint="eastAsia"/>
          <w:noProof/>
          <w:lang w:eastAsia="ko-KR"/>
        </w:rPr>
        <w:t>.,</w:t>
      </w:r>
      <w:r w:rsidRPr="0089670E">
        <w:rPr>
          <w:noProof/>
        </w:rPr>
        <w:t xml:space="preserve"> 2003</w:t>
      </w:r>
      <w:r>
        <w:rPr>
          <w:rFonts w:hint="eastAsia"/>
          <w:noProof/>
          <w:lang w:eastAsia="ko-KR"/>
        </w:rPr>
        <w:t>.</w:t>
      </w:r>
      <w:r w:rsidRPr="0089670E">
        <w:rPr>
          <w:noProof/>
        </w:rPr>
        <w:t xml:space="preserve"> A generic biokinetic model for predicting the behaviour of the lanthanide elements in the human body. </w:t>
      </w:r>
      <w:r w:rsidRPr="001D350F">
        <w:rPr>
          <w:noProof/>
        </w:rPr>
        <w:t>Radiat. Prot. Dosimetry</w:t>
      </w:r>
      <w:r w:rsidRPr="0089670E">
        <w:rPr>
          <w:noProof/>
        </w:rPr>
        <w:t xml:space="preserve"> 105(1–4)</w:t>
      </w:r>
      <w:r>
        <w:rPr>
          <w:rFonts w:hint="eastAsia"/>
          <w:noProof/>
          <w:lang w:eastAsia="ko-KR"/>
        </w:rPr>
        <w:t>.</w:t>
      </w:r>
      <w:r w:rsidRPr="0089670E">
        <w:rPr>
          <w:noProof/>
        </w:rPr>
        <w:t xml:space="preserve"> 193–198.</w:t>
      </w:r>
    </w:p>
    <w:p w14:paraId="0AE709B7" w14:textId="77777777" w:rsidR="00232741" w:rsidRPr="0089670E" w:rsidRDefault="00232741" w:rsidP="00232741">
      <w:pPr>
        <w:pStyle w:val="aff1"/>
        <w:ind w:left="426" w:hanging="426"/>
        <w:rPr>
          <w:noProof/>
        </w:rPr>
      </w:pPr>
      <w:r w:rsidRPr="0089670E">
        <w:rPr>
          <w:noProof/>
        </w:rPr>
        <w:t>Taylor</w:t>
      </w:r>
      <w:r>
        <w:rPr>
          <w:rFonts w:hint="eastAsia"/>
          <w:noProof/>
          <w:lang w:eastAsia="ko-KR"/>
        </w:rPr>
        <w:t>,</w:t>
      </w:r>
      <w:r w:rsidRPr="0089670E">
        <w:rPr>
          <w:noProof/>
        </w:rPr>
        <w:t xml:space="preserve"> G</w:t>
      </w:r>
      <w:r>
        <w:rPr>
          <w:rFonts w:hint="eastAsia"/>
          <w:noProof/>
          <w:lang w:eastAsia="ko-KR"/>
        </w:rPr>
        <w:t>.</w:t>
      </w:r>
      <w:r w:rsidRPr="0089670E">
        <w:rPr>
          <w:noProof/>
        </w:rPr>
        <w:t>N</w:t>
      </w:r>
      <w:r>
        <w:rPr>
          <w:rFonts w:hint="eastAsia"/>
          <w:noProof/>
          <w:lang w:eastAsia="ko-KR"/>
        </w:rPr>
        <w:t>.</w:t>
      </w:r>
      <w:r w:rsidRPr="0089670E">
        <w:rPr>
          <w:noProof/>
        </w:rPr>
        <w:t>, Jee</w:t>
      </w:r>
      <w:r>
        <w:rPr>
          <w:rFonts w:hint="eastAsia"/>
          <w:noProof/>
          <w:lang w:eastAsia="ko-KR"/>
        </w:rPr>
        <w:t>,</w:t>
      </w:r>
      <w:r w:rsidRPr="0089670E">
        <w:rPr>
          <w:noProof/>
        </w:rPr>
        <w:t xml:space="preserve"> W</w:t>
      </w:r>
      <w:r>
        <w:rPr>
          <w:rFonts w:hint="eastAsia"/>
          <w:noProof/>
          <w:lang w:eastAsia="ko-KR"/>
        </w:rPr>
        <w:t>.</w:t>
      </w:r>
      <w:r w:rsidRPr="0089670E">
        <w:rPr>
          <w:noProof/>
        </w:rPr>
        <w:t>S</w:t>
      </w:r>
      <w:r>
        <w:rPr>
          <w:rFonts w:hint="eastAsia"/>
          <w:noProof/>
          <w:lang w:eastAsia="ko-KR"/>
        </w:rPr>
        <w:t>.</w:t>
      </w:r>
      <w:r w:rsidRPr="0089670E">
        <w:rPr>
          <w:noProof/>
        </w:rPr>
        <w:t>, Mays</w:t>
      </w:r>
      <w:r>
        <w:rPr>
          <w:rFonts w:hint="eastAsia"/>
          <w:noProof/>
          <w:lang w:eastAsia="ko-KR"/>
        </w:rPr>
        <w:t>,</w:t>
      </w:r>
      <w:r w:rsidRPr="0089670E">
        <w:rPr>
          <w:noProof/>
        </w:rPr>
        <w:t xml:space="preserve"> C</w:t>
      </w:r>
      <w:r>
        <w:rPr>
          <w:rFonts w:hint="eastAsia"/>
          <w:noProof/>
          <w:lang w:eastAsia="ko-KR"/>
        </w:rPr>
        <w:t>.</w:t>
      </w:r>
      <w:r w:rsidRPr="0089670E">
        <w:rPr>
          <w:noProof/>
        </w:rPr>
        <w:t>W</w:t>
      </w:r>
      <w:r>
        <w:rPr>
          <w:rFonts w:hint="eastAsia"/>
          <w:noProof/>
          <w:lang w:eastAsia="ko-KR"/>
        </w:rPr>
        <w:t>.</w:t>
      </w:r>
      <w:r w:rsidRPr="0089670E">
        <w:rPr>
          <w:noProof/>
        </w:rPr>
        <w:t>, et al.</w:t>
      </w:r>
      <w:r>
        <w:rPr>
          <w:rFonts w:hint="eastAsia"/>
          <w:noProof/>
          <w:lang w:eastAsia="ko-KR"/>
        </w:rPr>
        <w:t>,</w:t>
      </w:r>
      <w:r w:rsidRPr="0089670E">
        <w:rPr>
          <w:noProof/>
        </w:rPr>
        <w:t xml:space="preserve"> 1972</w:t>
      </w:r>
      <w:r>
        <w:rPr>
          <w:rFonts w:hint="eastAsia"/>
          <w:noProof/>
          <w:lang w:eastAsia="ko-KR"/>
        </w:rPr>
        <w:t>.</w:t>
      </w:r>
      <w:r w:rsidRPr="0089670E">
        <w:rPr>
          <w:noProof/>
        </w:rPr>
        <w:t xml:space="preserve"> Microscopic distribution of californium-249 and berkelium-249 in the soft tissues of beagles. </w:t>
      </w:r>
      <w:r w:rsidRPr="001D350F">
        <w:rPr>
          <w:noProof/>
        </w:rPr>
        <w:t>Health Phys.</w:t>
      </w:r>
      <w:r w:rsidRPr="0089670E">
        <w:rPr>
          <w:noProof/>
        </w:rPr>
        <w:t xml:space="preserve"> 22(6)</w:t>
      </w:r>
      <w:r>
        <w:rPr>
          <w:rFonts w:hint="eastAsia"/>
          <w:noProof/>
          <w:lang w:eastAsia="ko-KR"/>
        </w:rPr>
        <w:t>.</w:t>
      </w:r>
      <w:r w:rsidRPr="0089670E">
        <w:rPr>
          <w:noProof/>
        </w:rPr>
        <w:t xml:space="preserve"> 691–693.</w:t>
      </w:r>
    </w:p>
    <w:p w14:paraId="5C6C5EBC" w14:textId="77777777" w:rsidR="00232741" w:rsidRPr="0089670E" w:rsidRDefault="00232741" w:rsidP="00232741">
      <w:pPr>
        <w:pStyle w:val="aff1"/>
        <w:ind w:left="426" w:hanging="426"/>
        <w:rPr>
          <w:noProof/>
        </w:rPr>
      </w:pPr>
      <w:r w:rsidRPr="0089670E">
        <w:rPr>
          <w:noProof/>
        </w:rPr>
        <w:t>Thomas</w:t>
      </w:r>
      <w:r>
        <w:rPr>
          <w:rFonts w:hint="eastAsia"/>
          <w:noProof/>
          <w:lang w:eastAsia="ko-KR"/>
        </w:rPr>
        <w:t>,</w:t>
      </w:r>
      <w:r w:rsidRPr="0089670E">
        <w:rPr>
          <w:noProof/>
        </w:rPr>
        <w:t xml:space="preserve"> R</w:t>
      </w:r>
      <w:r>
        <w:rPr>
          <w:rFonts w:hint="eastAsia"/>
          <w:noProof/>
          <w:lang w:eastAsia="ko-KR"/>
        </w:rPr>
        <w:t>.</w:t>
      </w:r>
      <w:r w:rsidRPr="0089670E">
        <w:rPr>
          <w:noProof/>
        </w:rPr>
        <w:t>G</w:t>
      </w:r>
      <w:r>
        <w:rPr>
          <w:rFonts w:hint="eastAsia"/>
          <w:noProof/>
          <w:lang w:eastAsia="ko-KR"/>
        </w:rPr>
        <w:t>.</w:t>
      </w:r>
      <w:r w:rsidRPr="0089670E">
        <w:rPr>
          <w:noProof/>
        </w:rPr>
        <w:t>, Lie</w:t>
      </w:r>
      <w:r>
        <w:rPr>
          <w:rFonts w:hint="eastAsia"/>
          <w:noProof/>
          <w:lang w:eastAsia="ko-KR"/>
        </w:rPr>
        <w:t>,</w:t>
      </w:r>
      <w:r w:rsidRPr="0089670E">
        <w:rPr>
          <w:noProof/>
        </w:rPr>
        <w:t xml:space="preserve"> R</w:t>
      </w:r>
      <w:r>
        <w:rPr>
          <w:rFonts w:hint="eastAsia"/>
          <w:noProof/>
          <w:lang w:eastAsia="ko-KR"/>
        </w:rPr>
        <w:t>.,</w:t>
      </w:r>
      <w:r w:rsidRPr="0089670E">
        <w:rPr>
          <w:noProof/>
        </w:rPr>
        <w:t xml:space="preserve"> Scott</w:t>
      </w:r>
      <w:r>
        <w:rPr>
          <w:rFonts w:hint="eastAsia"/>
          <w:noProof/>
          <w:lang w:eastAsia="ko-KR"/>
        </w:rPr>
        <w:t>,</w:t>
      </w:r>
      <w:r w:rsidRPr="0089670E">
        <w:rPr>
          <w:noProof/>
        </w:rPr>
        <w:t xml:space="preserve"> J</w:t>
      </w:r>
      <w:r>
        <w:rPr>
          <w:rFonts w:hint="eastAsia"/>
          <w:noProof/>
          <w:lang w:eastAsia="ko-KR"/>
        </w:rPr>
        <w:t>.</w:t>
      </w:r>
      <w:r w:rsidRPr="0089670E">
        <w:rPr>
          <w:noProof/>
        </w:rPr>
        <w:t>K</w:t>
      </w:r>
      <w:r>
        <w:rPr>
          <w:rFonts w:hint="eastAsia"/>
          <w:noProof/>
          <w:lang w:eastAsia="ko-KR"/>
        </w:rPr>
        <w:t>.,</w:t>
      </w:r>
      <w:r w:rsidRPr="0089670E">
        <w:rPr>
          <w:noProof/>
        </w:rPr>
        <w:t xml:space="preserve"> 1963</w:t>
      </w:r>
      <w:r>
        <w:rPr>
          <w:rFonts w:hint="eastAsia"/>
          <w:noProof/>
          <w:lang w:eastAsia="ko-KR"/>
        </w:rPr>
        <w:t>.</w:t>
      </w:r>
      <w:r w:rsidRPr="0089670E">
        <w:rPr>
          <w:noProof/>
        </w:rPr>
        <w:t xml:space="preserve"> Thorium distribution and excretion studies I. Patterns following parenteral administration. </w:t>
      </w:r>
      <w:r w:rsidRPr="001D350F">
        <w:rPr>
          <w:noProof/>
        </w:rPr>
        <w:t>Health Phys.</w:t>
      </w:r>
      <w:r w:rsidRPr="0089670E">
        <w:rPr>
          <w:noProof/>
        </w:rPr>
        <w:t xml:space="preserve"> 9(2)</w:t>
      </w:r>
      <w:r>
        <w:rPr>
          <w:rFonts w:hint="eastAsia"/>
          <w:noProof/>
          <w:lang w:eastAsia="ko-KR"/>
        </w:rPr>
        <w:t>.</w:t>
      </w:r>
      <w:r w:rsidRPr="0089670E">
        <w:rPr>
          <w:noProof/>
        </w:rPr>
        <w:t xml:space="preserve"> 153–163.</w:t>
      </w:r>
    </w:p>
    <w:p w14:paraId="447B4769" w14:textId="77777777" w:rsidR="00232741" w:rsidRPr="0089670E" w:rsidRDefault="00232741" w:rsidP="00232741">
      <w:pPr>
        <w:pStyle w:val="aff1"/>
        <w:ind w:left="426" w:hanging="426"/>
        <w:rPr>
          <w:noProof/>
        </w:rPr>
      </w:pPr>
      <w:r w:rsidRPr="0089670E">
        <w:rPr>
          <w:noProof/>
        </w:rPr>
        <w:lastRenderedPageBreak/>
        <w:t>Tolmachev</w:t>
      </w:r>
      <w:r>
        <w:rPr>
          <w:rFonts w:hint="eastAsia"/>
          <w:noProof/>
          <w:lang w:eastAsia="ko-KR"/>
        </w:rPr>
        <w:t>,</w:t>
      </w:r>
      <w:r w:rsidRPr="0089670E">
        <w:rPr>
          <w:noProof/>
        </w:rPr>
        <w:t xml:space="preserve"> S</w:t>
      </w:r>
      <w:r>
        <w:rPr>
          <w:rFonts w:hint="eastAsia"/>
          <w:noProof/>
          <w:lang w:eastAsia="ko-KR"/>
        </w:rPr>
        <w:t>.</w:t>
      </w:r>
      <w:r w:rsidRPr="0089670E">
        <w:rPr>
          <w:noProof/>
        </w:rPr>
        <w:t>, Kuwabara</w:t>
      </w:r>
      <w:r>
        <w:rPr>
          <w:rFonts w:hint="eastAsia"/>
          <w:noProof/>
          <w:lang w:eastAsia="ko-KR"/>
        </w:rPr>
        <w:t>,</w:t>
      </w:r>
      <w:r w:rsidRPr="0089670E">
        <w:rPr>
          <w:noProof/>
        </w:rPr>
        <w:t xml:space="preserve"> J</w:t>
      </w:r>
      <w:r>
        <w:rPr>
          <w:rFonts w:hint="eastAsia"/>
          <w:noProof/>
          <w:lang w:eastAsia="ko-KR"/>
        </w:rPr>
        <w:t>.,</w:t>
      </w:r>
      <w:r w:rsidRPr="0089670E">
        <w:rPr>
          <w:noProof/>
        </w:rPr>
        <w:t xml:space="preserve"> Noguchi</w:t>
      </w:r>
      <w:r>
        <w:rPr>
          <w:rFonts w:hint="eastAsia"/>
          <w:noProof/>
          <w:lang w:eastAsia="ko-KR"/>
        </w:rPr>
        <w:t>,</w:t>
      </w:r>
      <w:r w:rsidRPr="0089670E">
        <w:rPr>
          <w:noProof/>
        </w:rPr>
        <w:t xml:space="preserve"> H</w:t>
      </w:r>
      <w:r>
        <w:rPr>
          <w:rFonts w:hint="eastAsia"/>
          <w:noProof/>
          <w:lang w:eastAsia="ko-KR"/>
        </w:rPr>
        <w:t>.,</w:t>
      </w:r>
      <w:r w:rsidRPr="0089670E">
        <w:rPr>
          <w:noProof/>
        </w:rPr>
        <w:t xml:space="preserve"> 2006</w:t>
      </w:r>
      <w:r>
        <w:rPr>
          <w:rFonts w:hint="eastAsia"/>
          <w:noProof/>
          <w:lang w:eastAsia="ko-KR"/>
        </w:rPr>
        <w:t>.</w:t>
      </w:r>
      <w:r w:rsidRPr="0089670E">
        <w:rPr>
          <w:noProof/>
        </w:rPr>
        <w:t xml:space="preserve"> Concentration and daily excretion of uranium in urine of Japanese. </w:t>
      </w:r>
      <w:r w:rsidRPr="001D350F">
        <w:rPr>
          <w:noProof/>
        </w:rPr>
        <w:t>Health Phys.</w:t>
      </w:r>
      <w:r w:rsidRPr="0089670E">
        <w:rPr>
          <w:noProof/>
        </w:rPr>
        <w:t xml:space="preserve"> 91(2)</w:t>
      </w:r>
      <w:r>
        <w:rPr>
          <w:rFonts w:hint="eastAsia"/>
          <w:noProof/>
          <w:lang w:eastAsia="ko-KR"/>
        </w:rPr>
        <w:t>.</w:t>
      </w:r>
      <w:r w:rsidRPr="0089670E">
        <w:rPr>
          <w:noProof/>
        </w:rPr>
        <w:t xml:space="preserve"> 144–153.</w:t>
      </w:r>
    </w:p>
    <w:p w14:paraId="486F5D50" w14:textId="77777777" w:rsidR="00232741" w:rsidRPr="0089670E" w:rsidRDefault="00232741" w:rsidP="00232741">
      <w:pPr>
        <w:pStyle w:val="aff1"/>
        <w:ind w:left="426" w:hanging="426"/>
        <w:rPr>
          <w:noProof/>
        </w:rPr>
      </w:pPr>
      <w:r w:rsidRPr="0089670E">
        <w:rPr>
          <w:noProof/>
        </w:rPr>
        <w:t>Traikovich</w:t>
      </w:r>
      <w:r>
        <w:rPr>
          <w:rFonts w:hint="eastAsia"/>
          <w:noProof/>
          <w:lang w:eastAsia="ko-KR"/>
        </w:rPr>
        <w:t>,</w:t>
      </w:r>
      <w:r w:rsidRPr="0089670E">
        <w:rPr>
          <w:noProof/>
        </w:rPr>
        <w:t xml:space="preserve"> M</w:t>
      </w:r>
      <w:r>
        <w:rPr>
          <w:rFonts w:hint="eastAsia"/>
          <w:noProof/>
          <w:lang w:eastAsia="ko-KR"/>
        </w:rPr>
        <w:t>.,</w:t>
      </w:r>
      <w:r w:rsidRPr="0089670E">
        <w:rPr>
          <w:noProof/>
        </w:rPr>
        <w:t xml:space="preserve"> 1970</w:t>
      </w:r>
      <w:r>
        <w:rPr>
          <w:rFonts w:hint="eastAsia"/>
          <w:noProof/>
          <w:lang w:eastAsia="ko-KR"/>
        </w:rPr>
        <w:t>.</w:t>
      </w:r>
      <w:r w:rsidRPr="0089670E">
        <w:rPr>
          <w:noProof/>
        </w:rPr>
        <w:t xml:space="preserve"> Absorption, distribution and excretion of certain soluble compounds of natural thorium. In: Letavet AA and Kurlyandskaya EB (eds) </w:t>
      </w:r>
      <w:r w:rsidRPr="00ED6790">
        <w:rPr>
          <w:noProof/>
        </w:rPr>
        <w:t>Toxicology of Radioactive Substances, Vol. 4: Thorium-232 and Uranium-238</w:t>
      </w:r>
      <w:r w:rsidRPr="0089670E">
        <w:rPr>
          <w:noProof/>
        </w:rPr>
        <w:t>. Pergamon Press. Oxford.</w:t>
      </w:r>
    </w:p>
    <w:p w14:paraId="735B9B8E" w14:textId="77777777" w:rsidR="00232741" w:rsidRPr="0089670E" w:rsidRDefault="00232741" w:rsidP="00232741">
      <w:pPr>
        <w:pStyle w:val="aff1"/>
        <w:ind w:left="426" w:hanging="426"/>
        <w:rPr>
          <w:noProof/>
        </w:rPr>
      </w:pPr>
      <w:r w:rsidRPr="0089670E">
        <w:rPr>
          <w:noProof/>
        </w:rPr>
        <w:t>Turner</w:t>
      </w:r>
      <w:r>
        <w:rPr>
          <w:rFonts w:hint="eastAsia"/>
          <w:noProof/>
          <w:lang w:eastAsia="ko-KR"/>
        </w:rPr>
        <w:t>,</w:t>
      </w:r>
      <w:r w:rsidRPr="0089670E">
        <w:rPr>
          <w:noProof/>
        </w:rPr>
        <w:t xml:space="preserve"> G</w:t>
      </w:r>
      <w:r>
        <w:rPr>
          <w:rFonts w:hint="eastAsia"/>
          <w:noProof/>
          <w:lang w:eastAsia="ko-KR"/>
        </w:rPr>
        <w:t>.</w:t>
      </w:r>
      <w:r w:rsidRPr="0089670E">
        <w:rPr>
          <w:noProof/>
        </w:rPr>
        <w:t>A</w:t>
      </w:r>
      <w:r>
        <w:rPr>
          <w:rFonts w:hint="eastAsia"/>
          <w:noProof/>
          <w:lang w:eastAsia="ko-KR"/>
        </w:rPr>
        <w:t>.,</w:t>
      </w:r>
      <w:r w:rsidRPr="0089670E">
        <w:rPr>
          <w:noProof/>
        </w:rPr>
        <w:t xml:space="preserve"> Taylor</w:t>
      </w:r>
      <w:r>
        <w:rPr>
          <w:rFonts w:hint="eastAsia"/>
          <w:noProof/>
          <w:lang w:eastAsia="ko-KR"/>
        </w:rPr>
        <w:t>,</w:t>
      </w:r>
      <w:r w:rsidRPr="0089670E">
        <w:rPr>
          <w:noProof/>
        </w:rPr>
        <w:t xml:space="preserve"> D</w:t>
      </w:r>
      <w:r>
        <w:rPr>
          <w:rFonts w:hint="eastAsia"/>
          <w:noProof/>
          <w:lang w:eastAsia="ko-KR"/>
        </w:rPr>
        <w:t>.</w:t>
      </w:r>
      <w:r w:rsidRPr="0089670E">
        <w:rPr>
          <w:noProof/>
        </w:rPr>
        <w:t>M</w:t>
      </w:r>
      <w:r>
        <w:rPr>
          <w:rFonts w:hint="eastAsia"/>
          <w:noProof/>
          <w:lang w:eastAsia="ko-KR"/>
        </w:rPr>
        <w:t>.,</w:t>
      </w:r>
      <w:r w:rsidRPr="0089670E">
        <w:rPr>
          <w:noProof/>
        </w:rPr>
        <w:t xml:space="preserve"> 1968</w:t>
      </w:r>
      <w:r>
        <w:rPr>
          <w:rFonts w:hint="eastAsia"/>
          <w:noProof/>
          <w:lang w:eastAsia="ko-KR"/>
        </w:rPr>
        <w:t>.</w:t>
      </w:r>
      <w:r w:rsidRPr="0089670E">
        <w:rPr>
          <w:noProof/>
        </w:rPr>
        <w:t xml:space="preserve"> The transport of plutonium, americium and curium in the blood of rats. </w:t>
      </w:r>
      <w:r w:rsidRPr="00A60A65">
        <w:rPr>
          <w:noProof/>
        </w:rPr>
        <w:t>Phys. Med. Biol.</w:t>
      </w:r>
      <w:r w:rsidRPr="0089670E">
        <w:rPr>
          <w:noProof/>
        </w:rPr>
        <w:t xml:space="preserve"> 13(4)</w:t>
      </w:r>
      <w:r>
        <w:rPr>
          <w:rFonts w:hint="eastAsia"/>
          <w:noProof/>
          <w:lang w:eastAsia="ko-KR"/>
        </w:rPr>
        <w:t>.</w:t>
      </w:r>
      <w:r w:rsidRPr="0089670E">
        <w:rPr>
          <w:noProof/>
        </w:rPr>
        <w:t xml:space="preserve"> 535–546.</w:t>
      </w:r>
    </w:p>
    <w:p w14:paraId="1C6B7A18" w14:textId="77777777" w:rsidR="00232741" w:rsidRPr="0089670E" w:rsidRDefault="00232741" w:rsidP="00232741">
      <w:pPr>
        <w:pStyle w:val="aff1"/>
        <w:ind w:left="426" w:hanging="426"/>
        <w:rPr>
          <w:noProof/>
        </w:rPr>
      </w:pPr>
      <w:r w:rsidRPr="0089670E">
        <w:rPr>
          <w:noProof/>
        </w:rPr>
        <w:t>Volf</w:t>
      </w:r>
      <w:r>
        <w:rPr>
          <w:rFonts w:hint="eastAsia"/>
          <w:noProof/>
          <w:lang w:eastAsia="ko-KR"/>
        </w:rPr>
        <w:t>,</w:t>
      </w:r>
      <w:r w:rsidRPr="0089670E">
        <w:rPr>
          <w:noProof/>
        </w:rPr>
        <w:t xml:space="preserve"> V</w:t>
      </w:r>
      <w:r>
        <w:rPr>
          <w:rFonts w:hint="eastAsia"/>
          <w:noProof/>
          <w:lang w:eastAsia="ko-KR"/>
        </w:rPr>
        <w:t>.,</w:t>
      </w:r>
      <w:r w:rsidRPr="0089670E">
        <w:rPr>
          <w:noProof/>
        </w:rPr>
        <w:t xml:space="preserve"> Wirth</w:t>
      </w:r>
      <w:r>
        <w:rPr>
          <w:rFonts w:hint="eastAsia"/>
          <w:noProof/>
          <w:lang w:eastAsia="ko-KR"/>
        </w:rPr>
        <w:t>,</w:t>
      </w:r>
      <w:r w:rsidRPr="0089670E">
        <w:rPr>
          <w:noProof/>
        </w:rPr>
        <w:t xml:space="preserve"> R</w:t>
      </w:r>
      <w:r>
        <w:rPr>
          <w:rFonts w:hint="eastAsia"/>
          <w:noProof/>
          <w:lang w:eastAsia="ko-KR"/>
        </w:rPr>
        <w:t>.,</w:t>
      </w:r>
      <w:r w:rsidRPr="0089670E">
        <w:rPr>
          <w:noProof/>
        </w:rPr>
        <w:t xml:space="preserve"> 1986</w:t>
      </w:r>
      <w:r>
        <w:rPr>
          <w:rFonts w:hint="eastAsia"/>
          <w:noProof/>
          <w:lang w:eastAsia="ko-KR"/>
        </w:rPr>
        <w:t>.</w:t>
      </w:r>
      <w:r w:rsidRPr="0089670E">
        <w:rPr>
          <w:noProof/>
        </w:rPr>
        <w:t xml:space="preserve"> Effective chelation therapy after incorporation of neptunium-239 in rats. </w:t>
      </w:r>
      <w:r w:rsidRPr="005666C8">
        <w:rPr>
          <w:noProof/>
        </w:rPr>
        <w:t>Int. J. Radiat. Biol. Relat. Stud. Phys. Chem. Med.</w:t>
      </w:r>
      <w:r w:rsidRPr="0089670E">
        <w:rPr>
          <w:noProof/>
        </w:rPr>
        <w:t xml:space="preserve"> 50(6)</w:t>
      </w:r>
      <w:r>
        <w:rPr>
          <w:rFonts w:hint="eastAsia"/>
          <w:noProof/>
          <w:lang w:eastAsia="ko-KR"/>
        </w:rPr>
        <w:t>.</w:t>
      </w:r>
      <w:r w:rsidRPr="0089670E">
        <w:rPr>
          <w:noProof/>
        </w:rPr>
        <w:t xml:space="preserve"> 955–959.</w:t>
      </w:r>
    </w:p>
    <w:p w14:paraId="6237A696" w14:textId="77777777" w:rsidR="00232741" w:rsidRPr="0089670E" w:rsidRDefault="00232741" w:rsidP="00232741">
      <w:pPr>
        <w:pStyle w:val="aff1"/>
        <w:ind w:left="426" w:hanging="426"/>
        <w:rPr>
          <w:noProof/>
        </w:rPr>
      </w:pPr>
      <w:r w:rsidRPr="0089670E">
        <w:rPr>
          <w:noProof/>
        </w:rPr>
        <w:t>Warner</w:t>
      </w:r>
      <w:r>
        <w:rPr>
          <w:rFonts w:hint="eastAsia"/>
          <w:noProof/>
          <w:lang w:eastAsia="ko-KR"/>
        </w:rPr>
        <w:t>,</w:t>
      </w:r>
      <w:r w:rsidRPr="0089670E">
        <w:rPr>
          <w:noProof/>
        </w:rPr>
        <w:t xml:space="preserve"> A</w:t>
      </w:r>
      <w:r>
        <w:rPr>
          <w:rFonts w:hint="eastAsia"/>
          <w:noProof/>
          <w:lang w:eastAsia="ko-KR"/>
        </w:rPr>
        <w:t>.</w:t>
      </w:r>
      <w:r w:rsidRPr="0089670E">
        <w:rPr>
          <w:noProof/>
        </w:rPr>
        <w:t>J</w:t>
      </w:r>
      <w:r>
        <w:rPr>
          <w:rFonts w:hint="eastAsia"/>
          <w:noProof/>
          <w:lang w:eastAsia="ko-KR"/>
        </w:rPr>
        <w:t>.</w:t>
      </w:r>
      <w:r w:rsidRPr="0089670E">
        <w:rPr>
          <w:noProof/>
        </w:rPr>
        <w:t>, Talbot</w:t>
      </w:r>
      <w:r>
        <w:rPr>
          <w:rFonts w:hint="eastAsia"/>
          <w:noProof/>
          <w:lang w:eastAsia="ko-KR"/>
        </w:rPr>
        <w:t>,</w:t>
      </w:r>
      <w:r w:rsidRPr="0089670E">
        <w:rPr>
          <w:noProof/>
        </w:rPr>
        <w:t xml:space="preserve"> R</w:t>
      </w:r>
      <w:r>
        <w:rPr>
          <w:rFonts w:hint="eastAsia"/>
          <w:noProof/>
          <w:lang w:eastAsia="ko-KR"/>
        </w:rPr>
        <w:t>.</w:t>
      </w:r>
      <w:r w:rsidRPr="0089670E">
        <w:rPr>
          <w:noProof/>
        </w:rPr>
        <w:t>J</w:t>
      </w:r>
      <w:r>
        <w:rPr>
          <w:rFonts w:hint="eastAsia"/>
          <w:noProof/>
          <w:lang w:eastAsia="ko-KR"/>
        </w:rPr>
        <w:t>.,</w:t>
      </w:r>
      <w:r w:rsidRPr="0089670E">
        <w:rPr>
          <w:noProof/>
        </w:rPr>
        <w:t xml:space="preserve"> Newton</w:t>
      </w:r>
      <w:r>
        <w:rPr>
          <w:rFonts w:hint="eastAsia"/>
          <w:noProof/>
          <w:lang w:eastAsia="ko-KR"/>
        </w:rPr>
        <w:t>,</w:t>
      </w:r>
      <w:r w:rsidRPr="0089670E">
        <w:rPr>
          <w:noProof/>
        </w:rPr>
        <w:t xml:space="preserve"> D</w:t>
      </w:r>
      <w:r>
        <w:rPr>
          <w:rFonts w:hint="eastAsia"/>
          <w:noProof/>
          <w:lang w:eastAsia="ko-KR"/>
        </w:rPr>
        <w:t>.,</w:t>
      </w:r>
      <w:r w:rsidRPr="0089670E">
        <w:rPr>
          <w:noProof/>
        </w:rPr>
        <w:t xml:space="preserve"> 1994</w:t>
      </w:r>
      <w:r>
        <w:rPr>
          <w:rFonts w:hint="eastAsia"/>
          <w:noProof/>
          <w:lang w:eastAsia="ko-KR"/>
        </w:rPr>
        <w:t>.</w:t>
      </w:r>
      <w:r w:rsidRPr="0089670E">
        <w:rPr>
          <w:noProof/>
        </w:rPr>
        <w:t xml:space="preserve"> Deposition of plutonium in human testes. </w:t>
      </w:r>
      <w:r w:rsidRPr="001D350F">
        <w:rPr>
          <w:noProof/>
        </w:rPr>
        <w:t>Radiat. Prot. Dosimetry</w:t>
      </w:r>
      <w:r w:rsidRPr="0089670E">
        <w:rPr>
          <w:noProof/>
        </w:rPr>
        <w:t xml:space="preserve"> 55(1). 61–63.</w:t>
      </w:r>
    </w:p>
    <w:p w14:paraId="0BFEA75B" w14:textId="77777777" w:rsidR="00232741" w:rsidRPr="0089670E" w:rsidRDefault="00232741" w:rsidP="00232741">
      <w:pPr>
        <w:pStyle w:val="aff1"/>
        <w:ind w:left="426" w:hanging="426"/>
        <w:rPr>
          <w:noProof/>
        </w:rPr>
      </w:pPr>
      <w:r w:rsidRPr="0089670E">
        <w:rPr>
          <w:noProof/>
        </w:rPr>
        <w:t>Whalen</w:t>
      </w:r>
      <w:r>
        <w:rPr>
          <w:rFonts w:hint="eastAsia"/>
          <w:noProof/>
          <w:lang w:eastAsia="ko-KR"/>
        </w:rPr>
        <w:t>,</w:t>
      </w:r>
      <w:r w:rsidRPr="0089670E">
        <w:rPr>
          <w:noProof/>
        </w:rPr>
        <w:t xml:space="preserve"> R</w:t>
      </w:r>
      <w:r>
        <w:rPr>
          <w:rFonts w:hint="eastAsia"/>
          <w:noProof/>
          <w:lang w:eastAsia="ko-KR"/>
        </w:rPr>
        <w:t>.</w:t>
      </w:r>
      <w:r w:rsidRPr="0089670E">
        <w:rPr>
          <w:noProof/>
        </w:rPr>
        <w:t>P</w:t>
      </w:r>
      <w:r>
        <w:rPr>
          <w:rFonts w:hint="eastAsia"/>
          <w:noProof/>
          <w:lang w:eastAsia="ko-KR"/>
        </w:rPr>
        <w:t>.,</w:t>
      </w:r>
      <w:r w:rsidRPr="0089670E">
        <w:rPr>
          <w:noProof/>
        </w:rPr>
        <w:t xml:space="preserve"> Davies</w:t>
      </w:r>
      <w:r>
        <w:rPr>
          <w:rFonts w:hint="eastAsia"/>
          <w:noProof/>
          <w:lang w:eastAsia="ko-KR"/>
        </w:rPr>
        <w:t>,</w:t>
      </w:r>
      <w:r w:rsidRPr="0089670E">
        <w:rPr>
          <w:noProof/>
        </w:rPr>
        <w:t xml:space="preserve"> S</w:t>
      </w:r>
      <w:r>
        <w:rPr>
          <w:rFonts w:hint="eastAsia"/>
          <w:noProof/>
          <w:lang w:eastAsia="ko-KR"/>
        </w:rPr>
        <w:t>.,</w:t>
      </w:r>
      <w:r w:rsidRPr="0089670E">
        <w:rPr>
          <w:noProof/>
        </w:rPr>
        <w:t xml:space="preserve"> 1972</w:t>
      </w:r>
      <w:r>
        <w:rPr>
          <w:rFonts w:hint="eastAsia"/>
          <w:noProof/>
          <w:lang w:eastAsia="ko-KR"/>
        </w:rPr>
        <w:t>.</w:t>
      </w:r>
      <w:r w:rsidRPr="0089670E">
        <w:rPr>
          <w:noProof/>
        </w:rPr>
        <w:t xml:space="preserve"> </w:t>
      </w:r>
      <w:r w:rsidRPr="00ED6790">
        <w:rPr>
          <w:noProof/>
        </w:rPr>
        <w:t>Americium contamination incident in a New York State Health Department laboratory</w:t>
      </w:r>
      <w:r w:rsidRPr="0089670E">
        <w:rPr>
          <w:noProof/>
        </w:rPr>
        <w:t>. Radiation and Data Reports. New York State Dept. of Health, Albany.</w:t>
      </w:r>
    </w:p>
    <w:p w14:paraId="4366FFE3" w14:textId="77777777" w:rsidR="00232741" w:rsidRPr="0089670E" w:rsidRDefault="00232741" w:rsidP="00232741">
      <w:pPr>
        <w:pStyle w:val="aff1"/>
        <w:ind w:left="426" w:hanging="426"/>
        <w:rPr>
          <w:noProof/>
        </w:rPr>
      </w:pPr>
      <w:r w:rsidRPr="0089670E">
        <w:rPr>
          <w:noProof/>
        </w:rPr>
        <w:t>Wirth</w:t>
      </w:r>
      <w:r>
        <w:rPr>
          <w:rFonts w:hint="eastAsia"/>
          <w:noProof/>
          <w:lang w:eastAsia="ko-KR"/>
        </w:rPr>
        <w:t>,</w:t>
      </w:r>
      <w:r w:rsidRPr="0089670E">
        <w:rPr>
          <w:noProof/>
        </w:rPr>
        <w:t xml:space="preserve"> R</w:t>
      </w:r>
      <w:r>
        <w:rPr>
          <w:rFonts w:hint="eastAsia"/>
          <w:noProof/>
          <w:lang w:eastAsia="ko-KR"/>
        </w:rPr>
        <w:t>.,</w:t>
      </w:r>
      <w:r w:rsidRPr="0089670E">
        <w:rPr>
          <w:noProof/>
        </w:rPr>
        <w:t xml:space="preserve"> Volf</w:t>
      </w:r>
      <w:r>
        <w:rPr>
          <w:rFonts w:hint="eastAsia"/>
          <w:noProof/>
          <w:lang w:eastAsia="ko-KR"/>
        </w:rPr>
        <w:t>,</w:t>
      </w:r>
      <w:r w:rsidRPr="0089670E">
        <w:rPr>
          <w:noProof/>
        </w:rPr>
        <w:t xml:space="preserve"> V</w:t>
      </w:r>
      <w:r>
        <w:rPr>
          <w:rFonts w:hint="eastAsia"/>
          <w:noProof/>
          <w:lang w:eastAsia="ko-KR"/>
        </w:rPr>
        <w:t>.,</w:t>
      </w:r>
      <w:r w:rsidRPr="0089670E">
        <w:rPr>
          <w:noProof/>
        </w:rPr>
        <w:t xml:space="preserve"> 1984</w:t>
      </w:r>
      <w:r>
        <w:rPr>
          <w:rFonts w:hint="eastAsia"/>
          <w:noProof/>
          <w:lang w:eastAsia="ko-KR"/>
        </w:rPr>
        <w:t>.</w:t>
      </w:r>
      <w:r w:rsidRPr="0089670E">
        <w:rPr>
          <w:noProof/>
        </w:rPr>
        <w:t xml:space="preserve"> Long term retention of </w:t>
      </w:r>
      <w:r w:rsidRPr="00E633BB">
        <w:rPr>
          <w:noProof/>
          <w:vertAlign w:val="superscript"/>
        </w:rPr>
        <w:t>237</w:t>
      </w:r>
      <w:r w:rsidRPr="0089670E">
        <w:rPr>
          <w:noProof/>
        </w:rPr>
        <w:t xml:space="preserve">Np in rats. </w:t>
      </w:r>
      <w:r w:rsidRPr="005666C8">
        <w:rPr>
          <w:noProof/>
        </w:rPr>
        <w:t>Int. J. Radiat. Biol. Relat. Stud. Phys. Chem. Med.</w:t>
      </w:r>
      <w:r w:rsidRPr="0089670E">
        <w:rPr>
          <w:noProof/>
        </w:rPr>
        <w:t xml:space="preserve"> 46(6)</w:t>
      </w:r>
      <w:r>
        <w:rPr>
          <w:rFonts w:hint="eastAsia"/>
          <w:noProof/>
          <w:lang w:eastAsia="ko-KR"/>
        </w:rPr>
        <w:t>.</w:t>
      </w:r>
      <w:r w:rsidRPr="0089670E">
        <w:rPr>
          <w:noProof/>
        </w:rPr>
        <w:t xml:space="preserve"> 787–792.</w:t>
      </w:r>
    </w:p>
    <w:p w14:paraId="61737949" w14:textId="77777777" w:rsidR="00232741" w:rsidRPr="0089670E" w:rsidRDefault="00232741" w:rsidP="00232741">
      <w:pPr>
        <w:pStyle w:val="aff1"/>
        <w:ind w:left="426" w:hanging="426"/>
        <w:rPr>
          <w:noProof/>
          <w:lang w:eastAsia="ko-KR"/>
        </w:rPr>
      </w:pPr>
      <w:r w:rsidRPr="0089670E">
        <w:rPr>
          <w:noProof/>
        </w:rPr>
        <w:t>Wrenn</w:t>
      </w:r>
      <w:r>
        <w:rPr>
          <w:rFonts w:hint="eastAsia"/>
          <w:noProof/>
          <w:lang w:eastAsia="ko-KR"/>
        </w:rPr>
        <w:t>,</w:t>
      </w:r>
      <w:r w:rsidRPr="0089670E">
        <w:rPr>
          <w:noProof/>
        </w:rPr>
        <w:t xml:space="preserve"> M</w:t>
      </w:r>
      <w:r>
        <w:rPr>
          <w:rFonts w:hint="eastAsia"/>
          <w:noProof/>
          <w:lang w:eastAsia="ko-KR"/>
        </w:rPr>
        <w:t>.</w:t>
      </w:r>
      <w:r w:rsidRPr="0089670E">
        <w:rPr>
          <w:noProof/>
        </w:rPr>
        <w:t>, Rosen</w:t>
      </w:r>
      <w:r>
        <w:rPr>
          <w:rFonts w:hint="eastAsia"/>
          <w:noProof/>
          <w:lang w:eastAsia="ko-KR"/>
        </w:rPr>
        <w:t>,</w:t>
      </w:r>
      <w:r w:rsidRPr="0089670E">
        <w:rPr>
          <w:noProof/>
        </w:rPr>
        <w:t xml:space="preserve"> J</w:t>
      </w:r>
      <w:r>
        <w:rPr>
          <w:rFonts w:hint="eastAsia"/>
          <w:noProof/>
          <w:lang w:eastAsia="ko-KR"/>
        </w:rPr>
        <w:t>.</w:t>
      </w:r>
      <w:r w:rsidRPr="0089670E">
        <w:rPr>
          <w:noProof/>
        </w:rPr>
        <w:t>C</w:t>
      </w:r>
      <w:r>
        <w:rPr>
          <w:rFonts w:hint="eastAsia"/>
          <w:noProof/>
          <w:lang w:eastAsia="ko-KR"/>
        </w:rPr>
        <w:t>.,</w:t>
      </w:r>
      <w:r w:rsidRPr="0089670E">
        <w:rPr>
          <w:noProof/>
        </w:rPr>
        <w:t xml:space="preserve"> Cohen</w:t>
      </w:r>
      <w:r>
        <w:rPr>
          <w:rFonts w:hint="eastAsia"/>
          <w:noProof/>
          <w:lang w:eastAsia="ko-KR"/>
        </w:rPr>
        <w:t>,</w:t>
      </w:r>
      <w:r w:rsidRPr="0089670E">
        <w:rPr>
          <w:noProof/>
        </w:rPr>
        <w:t xml:space="preserve"> N</w:t>
      </w:r>
      <w:r>
        <w:rPr>
          <w:rFonts w:hint="eastAsia"/>
          <w:noProof/>
          <w:lang w:eastAsia="ko-KR"/>
        </w:rPr>
        <w:t>.,</w:t>
      </w:r>
      <w:r w:rsidRPr="0089670E">
        <w:rPr>
          <w:noProof/>
        </w:rPr>
        <w:t xml:space="preserve"> 1972</w:t>
      </w:r>
      <w:r>
        <w:rPr>
          <w:rFonts w:hint="eastAsia"/>
          <w:noProof/>
          <w:lang w:eastAsia="ko-KR"/>
        </w:rPr>
        <w:t xml:space="preserve">. </w:t>
      </w:r>
      <w:r w:rsidRPr="0089670E">
        <w:rPr>
          <w:noProof/>
        </w:rPr>
        <w:t xml:space="preserve">In-vivo measurement of americium-241 in humans. In: </w:t>
      </w:r>
      <w:r w:rsidRPr="00ED6790">
        <w:rPr>
          <w:noProof/>
        </w:rPr>
        <w:t>Assessment of radioactive contamination in humans, Proceedings of a symposium organized by IAEA and WHO, Stockholm, 22-26 November 1971; IAEA SM 150/38</w:t>
      </w:r>
      <w:r w:rsidRPr="0089670E">
        <w:rPr>
          <w:noProof/>
        </w:rPr>
        <w:t>, 1972, pp. 595–621. I</w:t>
      </w:r>
      <w:r>
        <w:rPr>
          <w:rFonts w:hint="eastAsia"/>
          <w:noProof/>
          <w:lang w:eastAsia="ko-KR"/>
        </w:rPr>
        <w:t xml:space="preserve">AEA, </w:t>
      </w:r>
      <w:r w:rsidRPr="0089670E">
        <w:rPr>
          <w:noProof/>
        </w:rPr>
        <w:t>Vienna</w:t>
      </w:r>
      <w:r>
        <w:rPr>
          <w:rFonts w:hint="eastAsia"/>
          <w:noProof/>
          <w:lang w:eastAsia="ko-KR"/>
        </w:rPr>
        <w:t>.</w:t>
      </w:r>
    </w:p>
    <w:p w14:paraId="2600CCD9" w14:textId="77777777" w:rsidR="00232741" w:rsidRPr="0089670E" w:rsidRDefault="00232741" w:rsidP="00232741">
      <w:pPr>
        <w:pStyle w:val="aff1"/>
        <w:ind w:left="426" w:hanging="426"/>
        <w:rPr>
          <w:noProof/>
        </w:rPr>
      </w:pPr>
      <w:r w:rsidRPr="0089670E">
        <w:rPr>
          <w:noProof/>
        </w:rPr>
        <w:t>Wrenn</w:t>
      </w:r>
      <w:r>
        <w:rPr>
          <w:rFonts w:hint="eastAsia"/>
          <w:noProof/>
          <w:lang w:eastAsia="ko-KR"/>
        </w:rPr>
        <w:t>,</w:t>
      </w:r>
      <w:r w:rsidRPr="0089670E">
        <w:rPr>
          <w:noProof/>
        </w:rPr>
        <w:t xml:space="preserve"> M</w:t>
      </w:r>
      <w:r>
        <w:rPr>
          <w:rFonts w:hint="eastAsia"/>
          <w:noProof/>
          <w:lang w:eastAsia="ko-KR"/>
        </w:rPr>
        <w:t>.</w:t>
      </w:r>
      <w:r w:rsidRPr="0089670E">
        <w:rPr>
          <w:noProof/>
        </w:rPr>
        <w:t>E</w:t>
      </w:r>
      <w:r>
        <w:rPr>
          <w:rFonts w:hint="eastAsia"/>
          <w:noProof/>
          <w:lang w:eastAsia="ko-KR"/>
        </w:rPr>
        <w:t>.</w:t>
      </w:r>
      <w:r w:rsidRPr="0089670E">
        <w:rPr>
          <w:noProof/>
        </w:rPr>
        <w:t>, Singh</w:t>
      </w:r>
      <w:r>
        <w:rPr>
          <w:rFonts w:hint="eastAsia"/>
          <w:noProof/>
          <w:lang w:eastAsia="ko-KR"/>
        </w:rPr>
        <w:t>,</w:t>
      </w:r>
      <w:r w:rsidRPr="0089670E">
        <w:rPr>
          <w:noProof/>
        </w:rPr>
        <w:t xml:space="preserve"> N</w:t>
      </w:r>
      <w:r>
        <w:rPr>
          <w:rFonts w:hint="eastAsia"/>
          <w:noProof/>
          <w:lang w:eastAsia="ko-KR"/>
        </w:rPr>
        <w:t>.</w:t>
      </w:r>
      <w:r w:rsidRPr="0089670E">
        <w:rPr>
          <w:noProof/>
        </w:rPr>
        <w:t>P</w:t>
      </w:r>
      <w:r>
        <w:rPr>
          <w:rFonts w:hint="eastAsia"/>
          <w:noProof/>
          <w:lang w:eastAsia="ko-KR"/>
        </w:rPr>
        <w:t>.</w:t>
      </w:r>
      <w:r w:rsidRPr="0089670E">
        <w:rPr>
          <w:noProof/>
        </w:rPr>
        <w:t>, Cohen</w:t>
      </w:r>
      <w:r>
        <w:rPr>
          <w:rFonts w:hint="eastAsia"/>
          <w:noProof/>
          <w:lang w:eastAsia="ko-KR"/>
        </w:rPr>
        <w:t>,</w:t>
      </w:r>
      <w:r w:rsidRPr="0089670E">
        <w:rPr>
          <w:noProof/>
        </w:rPr>
        <w:t xml:space="preserve"> N</w:t>
      </w:r>
      <w:r>
        <w:rPr>
          <w:rFonts w:hint="eastAsia"/>
          <w:noProof/>
          <w:lang w:eastAsia="ko-KR"/>
        </w:rPr>
        <w:t>.</w:t>
      </w:r>
      <w:r w:rsidRPr="0089670E">
        <w:rPr>
          <w:noProof/>
        </w:rPr>
        <w:t>, et al.</w:t>
      </w:r>
      <w:r>
        <w:rPr>
          <w:rFonts w:hint="eastAsia"/>
          <w:noProof/>
          <w:lang w:eastAsia="ko-KR"/>
        </w:rPr>
        <w:t>,</w:t>
      </w:r>
      <w:r w:rsidRPr="0089670E">
        <w:rPr>
          <w:noProof/>
        </w:rPr>
        <w:t xml:space="preserve"> 1981</w:t>
      </w:r>
      <w:r>
        <w:rPr>
          <w:rFonts w:hint="eastAsia"/>
          <w:noProof/>
          <w:lang w:eastAsia="ko-KR"/>
        </w:rPr>
        <w:t>.</w:t>
      </w:r>
      <w:r w:rsidRPr="0089670E">
        <w:rPr>
          <w:noProof/>
        </w:rPr>
        <w:t xml:space="preserve"> </w:t>
      </w:r>
      <w:r w:rsidRPr="00ED6790">
        <w:rPr>
          <w:noProof/>
        </w:rPr>
        <w:t>Thorium in Human Tissues</w:t>
      </w:r>
      <w:r w:rsidRPr="0089670E">
        <w:rPr>
          <w:noProof/>
        </w:rPr>
        <w:t>. NUREG/CR-1227. New York, USA: New York University Medical Center.</w:t>
      </w:r>
    </w:p>
    <w:p w14:paraId="07BF66D2" w14:textId="77777777" w:rsidR="00232741" w:rsidRPr="0089670E" w:rsidRDefault="00232741" w:rsidP="00232741">
      <w:pPr>
        <w:pStyle w:val="aff1"/>
        <w:ind w:left="426" w:hanging="426"/>
        <w:rPr>
          <w:noProof/>
        </w:rPr>
      </w:pPr>
      <w:r w:rsidRPr="0089670E">
        <w:rPr>
          <w:noProof/>
        </w:rPr>
        <w:t>Wrenn</w:t>
      </w:r>
      <w:r>
        <w:rPr>
          <w:rFonts w:hint="eastAsia"/>
          <w:noProof/>
          <w:lang w:eastAsia="ko-KR"/>
        </w:rPr>
        <w:t>,</w:t>
      </w:r>
      <w:r w:rsidRPr="0089670E">
        <w:rPr>
          <w:noProof/>
        </w:rPr>
        <w:t xml:space="preserve"> M</w:t>
      </w:r>
      <w:r>
        <w:rPr>
          <w:rFonts w:hint="eastAsia"/>
          <w:noProof/>
          <w:lang w:eastAsia="ko-KR"/>
        </w:rPr>
        <w:t>.</w:t>
      </w:r>
      <w:r w:rsidRPr="0089670E">
        <w:rPr>
          <w:noProof/>
        </w:rPr>
        <w:t>E</w:t>
      </w:r>
      <w:r>
        <w:rPr>
          <w:rFonts w:hint="eastAsia"/>
          <w:noProof/>
          <w:lang w:eastAsia="ko-KR"/>
        </w:rPr>
        <w:t>.</w:t>
      </w:r>
      <w:r w:rsidRPr="0089670E">
        <w:rPr>
          <w:noProof/>
        </w:rPr>
        <w:t>, Durbin</w:t>
      </w:r>
      <w:r>
        <w:rPr>
          <w:rFonts w:hint="eastAsia"/>
          <w:noProof/>
          <w:lang w:eastAsia="ko-KR"/>
        </w:rPr>
        <w:t>,</w:t>
      </w:r>
      <w:r w:rsidRPr="0089670E">
        <w:rPr>
          <w:noProof/>
        </w:rPr>
        <w:t xml:space="preserve"> P</w:t>
      </w:r>
      <w:r>
        <w:rPr>
          <w:rFonts w:hint="eastAsia"/>
          <w:noProof/>
          <w:lang w:eastAsia="ko-KR"/>
        </w:rPr>
        <w:t>.</w:t>
      </w:r>
      <w:r w:rsidRPr="0089670E">
        <w:rPr>
          <w:noProof/>
        </w:rPr>
        <w:t>W</w:t>
      </w:r>
      <w:r>
        <w:rPr>
          <w:rFonts w:hint="eastAsia"/>
          <w:noProof/>
          <w:lang w:eastAsia="ko-KR"/>
        </w:rPr>
        <w:t>.</w:t>
      </w:r>
      <w:r w:rsidRPr="0089670E">
        <w:rPr>
          <w:noProof/>
        </w:rPr>
        <w:t>, Howard</w:t>
      </w:r>
      <w:r>
        <w:rPr>
          <w:rFonts w:hint="eastAsia"/>
          <w:noProof/>
          <w:lang w:eastAsia="ko-KR"/>
        </w:rPr>
        <w:t>,</w:t>
      </w:r>
      <w:r w:rsidRPr="0089670E">
        <w:rPr>
          <w:noProof/>
        </w:rPr>
        <w:t xml:space="preserve"> B</w:t>
      </w:r>
      <w:r>
        <w:rPr>
          <w:rFonts w:hint="eastAsia"/>
          <w:noProof/>
          <w:lang w:eastAsia="ko-KR"/>
        </w:rPr>
        <w:t>.</w:t>
      </w:r>
      <w:r w:rsidRPr="0089670E">
        <w:rPr>
          <w:noProof/>
        </w:rPr>
        <w:t>, et al.</w:t>
      </w:r>
      <w:r>
        <w:rPr>
          <w:rFonts w:hint="eastAsia"/>
          <w:noProof/>
          <w:lang w:eastAsia="ko-KR"/>
        </w:rPr>
        <w:t>,</w:t>
      </w:r>
      <w:r w:rsidRPr="0089670E">
        <w:rPr>
          <w:noProof/>
        </w:rPr>
        <w:t xml:space="preserve"> 1985</w:t>
      </w:r>
      <w:r>
        <w:rPr>
          <w:rFonts w:hint="eastAsia"/>
          <w:noProof/>
          <w:lang w:eastAsia="ko-KR"/>
        </w:rPr>
        <w:t>.</w:t>
      </w:r>
      <w:r w:rsidRPr="0089670E">
        <w:rPr>
          <w:noProof/>
        </w:rPr>
        <w:t xml:space="preserve"> Metabolism of ingested U and Ra. </w:t>
      </w:r>
      <w:r w:rsidRPr="001D350F">
        <w:rPr>
          <w:noProof/>
        </w:rPr>
        <w:t>Health Phys.</w:t>
      </w:r>
      <w:r w:rsidRPr="0089670E">
        <w:rPr>
          <w:noProof/>
        </w:rPr>
        <w:t xml:space="preserve"> 48(5)</w:t>
      </w:r>
      <w:r>
        <w:rPr>
          <w:rFonts w:hint="eastAsia"/>
          <w:noProof/>
          <w:lang w:eastAsia="ko-KR"/>
        </w:rPr>
        <w:t>.</w:t>
      </w:r>
      <w:r w:rsidRPr="0089670E">
        <w:rPr>
          <w:noProof/>
        </w:rPr>
        <w:t xml:space="preserve"> 601–633.</w:t>
      </w:r>
    </w:p>
    <w:p w14:paraId="54D82C6D" w14:textId="77777777" w:rsidR="00232741" w:rsidRPr="00BB7751" w:rsidRDefault="00232741" w:rsidP="00232741">
      <w:pPr>
        <w:pStyle w:val="aff1"/>
        <w:ind w:left="426" w:hanging="426"/>
        <w:rPr>
          <w:noProof/>
          <w:lang w:val="en-US"/>
        </w:rPr>
      </w:pPr>
      <w:r w:rsidRPr="0089670E">
        <w:rPr>
          <w:noProof/>
        </w:rPr>
        <w:t>Wrenn</w:t>
      </w:r>
      <w:r>
        <w:rPr>
          <w:rFonts w:hint="eastAsia"/>
          <w:noProof/>
          <w:lang w:eastAsia="ko-KR"/>
        </w:rPr>
        <w:t>,</w:t>
      </w:r>
      <w:r w:rsidRPr="0089670E">
        <w:rPr>
          <w:noProof/>
        </w:rPr>
        <w:t xml:space="preserve"> M</w:t>
      </w:r>
      <w:r>
        <w:rPr>
          <w:rFonts w:hint="eastAsia"/>
          <w:noProof/>
          <w:lang w:eastAsia="ko-KR"/>
        </w:rPr>
        <w:t>.</w:t>
      </w:r>
      <w:r w:rsidRPr="0089670E">
        <w:rPr>
          <w:noProof/>
        </w:rPr>
        <w:t>E</w:t>
      </w:r>
      <w:r>
        <w:rPr>
          <w:rFonts w:hint="eastAsia"/>
          <w:noProof/>
          <w:lang w:eastAsia="ko-KR"/>
        </w:rPr>
        <w:t>.</w:t>
      </w:r>
      <w:r w:rsidRPr="0089670E">
        <w:rPr>
          <w:noProof/>
        </w:rPr>
        <w:t>, Singh</w:t>
      </w:r>
      <w:r>
        <w:rPr>
          <w:rFonts w:hint="eastAsia"/>
          <w:noProof/>
          <w:lang w:eastAsia="ko-KR"/>
        </w:rPr>
        <w:t>,</w:t>
      </w:r>
      <w:r w:rsidRPr="0089670E">
        <w:rPr>
          <w:noProof/>
        </w:rPr>
        <w:t xml:space="preserve"> N</w:t>
      </w:r>
      <w:r>
        <w:rPr>
          <w:rFonts w:hint="eastAsia"/>
          <w:noProof/>
          <w:lang w:eastAsia="ko-KR"/>
        </w:rPr>
        <w:t>.</w:t>
      </w:r>
      <w:r w:rsidRPr="0089670E">
        <w:rPr>
          <w:noProof/>
        </w:rPr>
        <w:t>P</w:t>
      </w:r>
      <w:r>
        <w:rPr>
          <w:rFonts w:hint="eastAsia"/>
          <w:noProof/>
          <w:lang w:eastAsia="ko-KR"/>
        </w:rPr>
        <w:t>.</w:t>
      </w:r>
      <w:r w:rsidRPr="0089670E">
        <w:rPr>
          <w:noProof/>
        </w:rPr>
        <w:t>, Ruth</w:t>
      </w:r>
      <w:r>
        <w:rPr>
          <w:rFonts w:hint="eastAsia"/>
          <w:noProof/>
          <w:lang w:eastAsia="ko-KR"/>
        </w:rPr>
        <w:t>,</w:t>
      </w:r>
      <w:r w:rsidRPr="0089670E">
        <w:rPr>
          <w:noProof/>
        </w:rPr>
        <w:t xml:space="preserve"> H</w:t>
      </w:r>
      <w:r>
        <w:rPr>
          <w:rFonts w:hint="eastAsia"/>
          <w:noProof/>
          <w:lang w:eastAsia="ko-KR"/>
        </w:rPr>
        <w:t>.</w:t>
      </w:r>
      <w:r w:rsidRPr="0089670E">
        <w:rPr>
          <w:noProof/>
        </w:rPr>
        <w:t>, et al.</w:t>
      </w:r>
      <w:r>
        <w:rPr>
          <w:rFonts w:hint="eastAsia"/>
          <w:noProof/>
          <w:lang w:eastAsia="ko-KR"/>
        </w:rPr>
        <w:t>,</w:t>
      </w:r>
      <w:r w:rsidRPr="0089670E">
        <w:rPr>
          <w:noProof/>
        </w:rPr>
        <w:t xml:space="preserve"> 1989</w:t>
      </w:r>
      <w:r>
        <w:rPr>
          <w:rFonts w:hint="eastAsia"/>
          <w:noProof/>
          <w:lang w:eastAsia="ko-KR"/>
        </w:rPr>
        <w:t>.</w:t>
      </w:r>
      <w:r w:rsidRPr="0089670E">
        <w:rPr>
          <w:noProof/>
        </w:rPr>
        <w:t xml:space="preserve"> Gastrointestinal absorption of soluble uranium from drinking water by man. </w:t>
      </w:r>
      <w:r w:rsidRPr="00BB7751">
        <w:rPr>
          <w:noProof/>
          <w:lang w:val="en-US"/>
        </w:rPr>
        <w:t>Radiat Prot Dosimetry 26(1/4)</w:t>
      </w:r>
      <w:r w:rsidRPr="00BB7751">
        <w:rPr>
          <w:rFonts w:hint="eastAsia"/>
          <w:noProof/>
          <w:lang w:val="en-US" w:eastAsia="ko-KR"/>
        </w:rPr>
        <w:t>.</w:t>
      </w:r>
      <w:r w:rsidRPr="00BB7751">
        <w:rPr>
          <w:noProof/>
          <w:lang w:val="en-US"/>
        </w:rPr>
        <w:t xml:space="preserve"> 119–122.</w:t>
      </w:r>
    </w:p>
    <w:p w14:paraId="042D3CE6" w14:textId="77777777" w:rsidR="00232741" w:rsidRPr="0089670E" w:rsidRDefault="00232741" w:rsidP="00232741">
      <w:pPr>
        <w:pStyle w:val="aff1"/>
        <w:ind w:left="426" w:hanging="426"/>
        <w:rPr>
          <w:noProof/>
        </w:rPr>
      </w:pPr>
      <w:r w:rsidRPr="00BB7751">
        <w:rPr>
          <w:noProof/>
          <w:lang w:val="en-US"/>
        </w:rPr>
        <w:t>Yamamoto</w:t>
      </w:r>
      <w:r w:rsidRPr="00BB7751">
        <w:rPr>
          <w:rFonts w:hint="eastAsia"/>
          <w:noProof/>
          <w:lang w:val="en-US" w:eastAsia="ko-KR"/>
        </w:rPr>
        <w:t>,</w:t>
      </w:r>
      <w:r w:rsidRPr="00BB7751">
        <w:rPr>
          <w:noProof/>
          <w:lang w:val="en-US"/>
        </w:rPr>
        <w:t xml:space="preserve"> T</w:t>
      </w:r>
      <w:r w:rsidRPr="00BB7751">
        <w:rPr>
          <w:rFonts w:hint="eastAsia"/>
          <w:noProof/>
          <w:lang w:val="en-US" w:eastAsia="ko-KR"/>
        </w:rPr>
        <w:t>.</w:t>
      </w:r>
      <w:r w:rsidRPr="00BB7751">
        <w:rPr>
          <w:noProof/>
          <w:lang w:val="en-US"/>
        </w:rPr>
        <w:t>, Yunoki</w:t>
      </w:r>
      <w:r w:rsidRPr="00BB7751">
        <w:rPr>
          <w:rFonts w:hint="eastAsia"/>
          <w:noProof/>
          <w:lang w:val="en-US" w:eastAsia="ko-KR"/>
        </w:rPr>
        <w:t>,</w:t>
      </w:r>
      <w:r w:rsidRPr="00BB7751">
        <w:rPr>
          <w:noProof/>
          <w:lang w:val="en-US"/>
        </w:rPr>
        <w:t xml:space="preserve"> E</w:t>
      </w:r>
      <w:r w:rsidRPr="00BB7751">
        <w:rPr>
          <w:rFonts w:hint="eastAsia"/>
          <w:noProof/>
          <w:lang w:val="en-US" w:eastAsia="ko-KR"/>
        </w:rPr>
        <w:t>.</w:t>
      </w:r>
      <w:r w:rsidRPr="00BB7751">
        <w:rPr>
          <w:noProof/>
          <w:lang w:val="en-US"/>
        </w:rPr>
        <w:t>, Yamakawa</w:t>
      </w:r>
      <w:r w:rsidRPr="00BB7751">
        <w:rPr>
          <w:rFonts w:hint="eastAsia"/>
          <w:noProof/>
          <w:lang w:val="en-US" w:eastAsia="ko-KR"/>
        </w:rPr>
        <w:t>,</w:t>
      </w:r>
      <w:r w:rsidRPr="00BB7751">
        <w:rPr>
          <w:noProof/>
          <w:lang w:val="en-US"/>
        </w:rPr>
        <w:t xml:space="preserve"> M</w:t>
      </w:r>
      <w:r w:rsidRPr="00BB7751">
        <w:rPr>
          <w:rFonts w:hint="eastAsia"/>
          <w:noProof/>
          <w:lang w:val="en-US" w:eastAsia="ko-KR"/>
        </w:rPr>
        <w:t>.</w:t>
      </w:r>
      <w:r w:rsidRPr="00BB7751">
        <w:rPr>
          <w:noProof/>
          <w:lang w:val="en-US"/>
        </w:rPr>
        <w:t>, et al.</w:t>
      </w:r>
      <w:r w:rsidRPr="00BB7751">
        <w:rPr>
          <w:rFonts w:hint="eastAsia"/>
          <w:noProof/>
          <w:lang w:val="en-US" w:eastAsia="ko-KR"/>
        </w:rPr>
        <w:t>,</w:t>
      </w:r>
      <w:r w:rsidRPr="00BB7751">
        <w:rPr>
          <w:noProof/>
          <w:lang w:val="en-US"/>
        </w:rPr>
        <w:t xml:space="preserve"> </w:t>
      </w:r>
      <w:r w:rsidRPr="0089670E">
        <w:rPr>
          <w:noProof/>
        </w:rPr>
        <w:t>1974</w:t>
      </w:r>
      <w:r>
        <w:rPr>
          <w:rFonts w:hint="eastAsia"/>
          <w:noProof/>
          <w:lang w:eastAsia="ko-KR"/>
        </w:rPr>
        <w:t>.</w:t>
      </w:r>
      <w:r w:rsidRPr="0089670E">
        <w:rPr>
          <w:noProof/>
        </w:rPr>
        <w:t xml:space="preserve"> Studies on Environmental Contamination by Uranium: 5. Uranium Contents in Daily Diet and in Human Urine from Several Populations around a Uranium Mine in Okayama Prefecture. </w:t>
      </w:r>
      <w:r w:rsidRPr="005666C8">
        <w:rPr>
          <w:noProof/>
        </w:rPr>
        <w:t>J. Radiat. Res.</w:t>
      </w:r>
      <w:r w:rsidRPr="0089670E">
        <w:rPr>
          <w:noProof/>
        </w:rPr>
        <w:t xml:space="preserve"> 15(3)</w:t>
      </w:r>
      <w:r>
        <w:rPr>
          <w:rFonts w:hint="eastAsia"/>
          <w:noProof/>
          <w:lang w:eastAsia="ko-KR"/>
        </w:rPr>
        <w:t>.</w:t>
      </w:r>
      <w:r w:rsidRPr="0089670E">
        <w:rPr>
          <w:noProof/>
        </w:rPr>
        <w:t xml:space="preserve"> 156–162.</w:t>
      </w:r>
    </w:p>
    <w:p w14:paraId="5685FB3A" w14:textId="77777777" w:rsidR="00232741" w:rsidRPr="0089670E" w:rsidRDefault="00232741" w:rsidP="00232741">
      <w:pPr>
        <w:pStyle w:val="aff1"/>
        <w:ind w:left="426" w:hanging="426"/>
        <w:rPr>
          <w:noProof/>
        </w:rPr>
      </w:pPr>
      <w:r w:rsidRPr="0089670E">
        <w:rPr>
          <w:noProof/>
        </w:rPr>
        <w:t>Zalikin</w:t>
      </w:r>
      <w:r>
        <w:rPr>
          <w:rFonts w:hint="eastAsia"/>
          <w:noProof/>
          <w:lang w:eastAsia="ko-KR"/>
        </w:rPr>
        <w:t>,</w:t>
      </w:r>
      <w:r w:rsidRPr="0089670E">
        <w:rPr>
          <w:noProof/>
        </w:rPr>
        <w:t xml:space="preserve"> G</w:t>
      </w:r>
      <w:r>
        <w:rPr>
          <w:rFonts w:hint="eastAsia"/>
          <w:noProof/>
          <w:lang w:eastAsia="ko-KR"/>
        </w:rPr>
        <w:t>.</w:t>
      </w:r>
      <w:r w:rsidRPr="0089670E">
        <w:rPr>
          <w:noProof/>
        </w:rPr>
        <w:t>A</w:t>
      </w:r>
      <w:r>
        <w:rPr>
          <w:rFonts w:hint="eastAsia"/>
          <w:noProof/>
          <w:lang w:eastAsia="ko-KR"/>
        </w:rPr>
        <w:t>.,</w:t>
      </w:r>
      <w:r w:rsidRPr="0089670E">
        <w:rPr>
          <w:noProof/>
        </w:rPr>
        <w:t xml:space="preserve"> 1969</w:t>
      </w:r>
      <w:r>
        <w:rPr>
          <w:rFonts w:hint="eastAsia"/>
          <w:noProof/>
          <w:lang w:eastAsia="ko-KR"/>
        </w:rPr>
        <w:t>.</w:t>
      </w:r>
      <w:r w:rsidRPr="0089670E">
        <w:rPr>
          <w:noProof/>
        </w:rPr>
        <w:t xml:space="preserve"> On the distribution of protactinium-233 in the body of rats. In: Moskalev YI (ed.) </w:t>
      </w:r>
      <w:r w:rsidRPr="00ED6790">
        <w:rPr>
          <w:noProof/>
        </w:rPr>
        <w:t>Radioaktivnye Izotopy I Organizm. Translated in Radioactive Isotopes and the Body. AEC-Tr-7195</w:t>
      </w:r>
      <w:r w:rsidRPr="0089670E">
        <w:rPr>
          <w:noProof/>
        </w:rPr>
        <w:t>, pp. 136–146.</w:t>
      </w:r>
    </w:p>
    <w:p w14:paraId="6D03B855" w14:textId="77777777" w:rsidR="00232741" w:rsidRPr="0089670E" w:rsidRDefault="00232741" w:rsidP="00232741">
      <w:pPr>
        <w:pStyle w:val="aff1"/>
        <w:ind w:left="426" w:hanging="426"/>
        <w:rPr>
          <w:noProof/>
        </w:rPr>
      </w:pPr>
      <w:r w:rsidRPr="0089670E">
        <w:rPr>
          <w:noProof/>
        </w:rPr>
        <w:t>Zalikin</w:t>
      </w:r>
      <w:r>
        <w:rPr>
          <w:rFonts w:hint="eastAsia"/>
          <w:noProof/>
          <w:lang w:eastAsia="ko-KR"/>
        </w:rPr>
        <w:t>,</w:t>
      </w:r>
      <w:r w:rsidRPr="0089670E">
        <w:rPr>
          <w:noProof/>
        </w:rPr>
        <w:t xml:space="preserve"> G</w:t>
      </w:r>
      <w:r>
        <w:rPr>
          <w:rFonts w:hint="eastAsia"/>
          <w:noProof/>
          <w:lang w:eastAsia="ko-KR"/>
        </w:rPr>
        <w:t>.</w:t>
      </w:r>
      <w:r w:rsidRPr="0089670E">
        <w:rPr>
          <w:noProof/>
        </w:rPr>
        <w:t>A</w:t>
      </w:r>
      <w:r>
        <w:rPr>
          <w:rFonts w:hint="eastAsia"/>
          <w:noProof/>
          <w:lang w:eastAsia="ko-KR"/>
        </w:rPr>
        <w:t>.,</w:t>
      </w:r>
      <w:r w:rsidRPr="0089670E">
        <w:rPr>
          <w:noProof/>
        </w:rPr>
        <w:t xml:space="preserve"> 1974</w:t>
      </w:r>
      <w:r>
        <w:rPr>
          <w:rFonts w:hint="eastAsia"/>
          <w:noProof/>
          <w:lang w:eastAsia="ko-KR"/>
        </w:rPr>
        <w:t>.</w:t>
      </w:r>
      <w:r w:rsidRPr="0089670E">
        <w:rPr>
          <w:noProof/>
        </w:rPr>
        <w:t xml:space="preserve"> Distribution of gadolinium 153 in the rat organism. </w:t>
      </w:r>
      <w:r w:rsidRPr="00ED6790">
        <w:rPr>
          <w:noProof/>
        </w:rPr>
        <w:t>Biological Effects of Radiation from External and Internal Sources. Tranlated in U.S. Atomic Energy Commission Document AEC-tr-7457</w:t>
      </w:r>
      <w:r w:rsidRPr="0089670E">
        <w:rPr>
          <w:noProof/>
        </w:rPr>
        <w:t>: 288–296.</w:t>
      </w:r>
    </w:p>
    <w:p w14:paraId="42C39408" w14:textId="77777777" w:rsidR="00232741" w:rsidRPr="0089670E" w:rsidRDefault="00232741" w:rsidP="00232741">
      <w:pPr>
        <w:pStyle w:val="aff1"/>
        <w:ind w:left="426" w:hanging="426"/>
        <w:rPr>
          <w:noProof/>
        </w:rPr>
      </w:pPr>
      <w:r w:rsidRPr="0089670E">
        <w:rPr>
          <w:noProof/>
        </w:rPr>
        <w:t>Zalikin</w:t>
      </w:r>
      <w:r>
        <w:rPr>
          <w:rFonts w:hint="eastAsia"/>
          <w:noProof/>
          <w:lang w:eastAsia="ko-KR"/>
        </w:rPr>
        <w:t>,</w:t>
      </w:r>
      <w:r w:rsidRPr="0089670E">
        <w:rPr>
          <w:noProof/>
        </w:rPr>
        <w:t xml:space="preserve"> G</w:t>
      </w:r>
      <w:r>
        <w:rPr>
          <w:rFonts w:hint="eastAsia"/>
          <w:noProof/>
          <w:lang w:eastAsia="ko-KR"/>
        </w:rPr>
        <w:t>.</w:t>
      </w:r>
      <w:r w:rsidRPr="0089670E">
        <w:rPr>
          <w:noProof/>
        </w:rPr>
        <w:t>A</w:t>
      </w:r>
      <w:r>
        <w:rPr>
          <w:rFonts w:hint="eastAsia"/>
          <w:noProof/>
          <w:lang w:eastAsia="ko-KR"/>
        </w:rPr>
        <w:t>.,</w:t>
      </w:r>
      <w:r w:rsidRPr="0089670E">
        <w:rPr>
          <w:noProof/>
        </w:rPr>
        <w:t xml:space="preserve"> Nisimov</w:t>
      </w:r>
      <w:r>
        <w:rPr>
          <w:rFonts w:hint="eastAsia"/>
          <w:noProof/>
          <w:lang w:eastAsia="ko-KR"/>
        </w:rPr>
        <w:t>,</w:t>
      </w:r>
      <w:r w:rsidRPr="0089670E">
        <w:rPr>
          <w:noProof/>
        </w:rPr>
        <w:t xml:space="preserve"> P</w:t>
      </w:r>
      <w:r>
        <w:rPr>
          <w:rFonts w:hint="eastAsia"/>
          <w:noProof/>
          <w:lang w:eastAsia="ko-KR"/>
        </w:rPr>
        <w:t>.</w:t>
      </w:r>
      <w:r w:rsidRPr="0089670E">
        <w:rPr>
          <w:noProof/>
        </w:rPr>
        <w:t>G</w:t>
      </w:r>
      <w:r>
        <w:rPr>
          <w:rFonts w:hint="eastAsia"/>
          <w:noProof/>
          <w:lang w:eastAsia="ko-KR"/>
        </w:rPr>
        <w:t>.,</w:t>
      </w:r>
      <w:r w:rsidRPr="0089670E">
        <w:rPr>
          <w:noProof/>
        </w:rPr>
        <w:t xml:space="preserve"> 1988</w:t>
      </w:r>
      <w:r>
        <w:rPr>
          <w:rFonts w:hint="eastAsia"/>
          <w:noProof/>
          <w:lang w:eastAsia="ko-KR"/>
        </w:rPr>
        <w:t>.</w:t>
      </w:r>
      <w:r w:rsidRPr="0089670E">
        <w:rPr>
          <w:noProof/>
        </w:rPr>
        <w:t xml:space="preserve"> Absorption of 249Bk from the gastrointestinal tract of rats. </w:t>
      </w:r>
      <w:r w:rsidRPr="00ED6790">
        <w:rPr>
          <w:noProof/>
        </w:rPr>
        <w:t>Radiobiologiia</w:t>
      </w:r>
      <w:r w:rsidRPr="0089670E">
        <w:rPr>
          <w:noProof/>
        </w:rPr>
        <w:t xml:space="preserve"> 28(6)</w:t>
      </w:r>
      <w:r>
        <w:rPr>
          <w:rFonts w:hint="eastAsia"/>
          <w:noProof/>
          <w:lang w:eastAsia="ko-KR"/>
        </w:rPr>
        <w:t>.</w:t>
      </w:r>
      <w:r w:rsidRPr="0089670E">
        <w:rPr>
          <w:noProof/>
        </w:rPr>
        <w:t xml:space="preserve"> 845–847.</w:t>
      </w:r>
    </w:p>
    <w:p w14:paraId="6412DA2F" w14:textId="77777777" w:rsidR="00232741" w:rsidRPr="0089670E" w:rsidRDefault="00232741" w:rsidP="00232741">
      <w:pPr>
        <w:pStyle w:val="aff1"/>
        <w:ind w:left="426" w:hanging="426"/>
        <w:rPr>
          <w:noProof/>
        </w:rPr>
      </w:pPr>
      <w:r w:rsidRPr="00C47F2F">
        <w:rPr>
          <w:noProof/>
          <w:lang w:val="en-US"/>
        </w:rPr>
        <w:t>Zalikin</w:t>
      </w:r>
      <w:r w:rsidRPr="00C47F2F">
        <w:rPr>
          <w:rFonts w:hint="eastAsia"/>
          <w:noProof/>
          <w:lang w:val="en-US" w:eastAsia="ko-KR"/>
        </w:rPr>
        <w:t>,</w:t>
      </w:r>
      <w:r w:rsidRPr="00C47F2F">
        <w:rPr>
          <w:noProof/>
          <w:lang w:val="en-US"/>
        </w:rPr>
        <w:t xml:space="preserve"> G</w:t>
      </w:r>
      <w:r w:rsidRPr="00C47F2F">
        <w:rPr>
          <w:rFonts w:hint="eastAsia"/>
          <w:noProof/>
          <w:lang w:val="en-US" w:eastAsia="ko-KR"/>
        </w:rPr>
        <w:t>.</w:t>
      </w:r>
      <w:r w:rsidRPr="00C47F2F">
        <w:rPr>
          <w:noProof/>
          <w:lang w:val="en-US"/>
        </w:rPr>
        <w:t>A</w:t>
      </w:r>
      <w:r w:rsidRPr="00C47F2F">
        <w:rPr>
          <w:rFonts w:hint="eastAsia"/>
          <w:noProof/>
          <w:lang w:val="en-US" w:eastAsia="ko-KR"/>
        </w:rPr>
        <w:t xml:space="preserve">., </w:t>
      </w:r>
      <w:r w:rsidRPr="00C47F2F">
        <w:rPr>
          <w:noProof/>
          <w:lang w:val="en-US"/>
        </w:rPr>
        <w:t>Tronova</w:t>
      </w:r>
      <w:r w:rsidRPr="00C47F2F">
        <w:rPr>
          <w:rFonts w:hint="eastAsia"/>
          <w:noProof/>
          <w:lang w:val="en-US" w:eastAsia="ko-KR"/>
        </w:rPr>
        <w:t>,</w:t>
      </w:r>
      <w:r w:rsidRPr="00C47F2F">
        <w:rPr>
          <w:noProof/>
          <w:lang w:val="en-US"/>
        </w:rPr>
        <w:t xml:space="preserve"> I</w:t>
      </w:r>
      <w:r w:rsidRPr="00C47F2F">
        <w:rPr>
          <w:rFonts w:hint="eastAsia"/>
          <w:noProof/>
          <w:lang w:val="en-US" w:eastAsia="ko-KR"/>
        </w:rPr>
        <w:t>.</w:t>
      </w:r>
      <w:r w:rsidRPr="00C47F2F">
        <w:rPr>
          <w:noProof/>
          <w:lang w:val="en-US"/>
        </w:rPr>
        <w:t>N</w:t>
      </w:r>
      <w:r w:rsidRPr="00C47F2F">
        <w:rPr>
          <w:rFonts w:hint="eastAsia"/>
          <w:noProof/>
          <w:lang w:val="en-US" w:eastAsia="ko-KR"/>
        </w:rPr>
        <w:t>.,</w:t>
      </w:r>
      <w:r w:rsidRPr="00C47F2F">
        <w:rPr>
          <w:noProof/>
          <w:lang w:val="en-US"/>
        </w:rPr>
        <w:t xml:space="preserve"> </w:t>
      </w:r>
      <w:r w:rsidRPr="00C47F2F">
        <w:rPr>
          <w:rFonts w:hint="eastAsia"/>
          <w:noProof/>
          <w:lang w:val="en-US" w:eastAsia="ko-KR"/>
        </w:rPr>
        <w:t>1</w:t>
      </w:r>
      <w:r w:rsidRPr="00C47F2F">
        <w:rPr>
          <w:noProof/>
          <w:lang w:val="en-US"/>
        </w:rPr>
        <w:t>971</w:t>
      </w:r>
      <w:r w:rsidRPr="00C47F2F">
        <w:rPr>
          <w:rFonts w:hint="eastAsia"/>
          <w:noProof/>
          <w:lang w:val="en-US" w:eastAsia="ko-KR"/>
        </w:rPr>
        <w:t>.</w:t>
      </w:r>
      <w:r w:rsidRPr="00C47F2F">
        <w:rPr>
          <w:noProof/>
          <w:lang w:val="en-US"/>
        </w:rPr>
        <w:t xml:space="preserve"> </w:t>
      </w:r>
      <w:r w:rsidRPr="0089670E">
        <w:rPr>
          <w:noProof/>
        </w:rPr>
        <w:t xml:space="preserve">Distribution of terbium-160,161 in the body of rats. </w:t>
      </w:r>
      <w:r w:rsidRPr="00ED6790">
        <w:rPr>
          <w:noProof/>
        </w:rPr>
        <w:t>Radioactive Isotopes and the Body. Translated in AEC-tr-7195</w:t>
      </w:r>
      <w:r w:rsidRPr="0089670E">
        <w:rPr>
          <w:noProof/>
        </w:rPr>
        <w:t>. Epub ahead of print 1971.</w:t>
      </w:r>
    </w:p>
    <w:p w14:paraId="424930C4" w14:textId="77777777" w:rsidR="00232741" w:rsidRPr="0089670E" w:rsidRDefault="00232741" w:rsidP="00232741">
      <w:pPr>
        <w:pStyle w:val="aff1"/>
        <w:ind w:left="426" w:hanging="426"/>
        <w:rPr>
          <w:noProof/>
        </w:rPr>
      </w:pPr>
      <w:r w:rsidRPr="0089670E">
        <w:rPr>
          <w:noProof/>
        </w:rPr>
        <w:t>Zalikin</w:t>
      </w:r>
      <w:r>
        <w:rPr>
          <w:rFonts w:hint="eastAsia"/>
          <w:noProof/>
          <w:lang w:eastAsia="ko-KR"/>
        </w:rPr>
        <w:t>,</w:t>
      </w:r>
      <w:r w:rsidRPr="0089670E">
        <w:rPr>
          <w:noProof/>
        </w:rPr>
        <w:t xml:space="preserve"> G</w:t>
      </w:r>
      <w:r>
        <w:rPr>
          <w:rFonts w:hint="eastAsia"/>
          <w:noProof/>
          <w:lang w:eastAsia="ko-KR"/>
        </w:rPr>
        <w:t>.</w:t>
      </w:r>
      <w:r w:rsidRPr="0089670E">
        <w:rPr>
          <w:noProof/>
        </w:rPr>
        <w:t>A</w:t>
      </w:r>
      <w:r>
        <w:rPr>
          <w:rFonts w:hint="eastAsia"/>
          <w:noProof/>
          <w:lang w:eastAsia="ko-KR"/>
        </w:rPr>
        <w:t>.</w:t>
      </w:r>
      <w:r w:rsidRPr="0089670E">
        <w:rPr>
          <w:noProof/>
        </w:rPr>
        <w:t>, Moskalev</w:t>
      </w:r>
      <w:r>
        <w:rPr>
          <w:rFonts w:hint="eastAsia"/>
          <w:noProof/>
          <w:lang w:eastAsia="ko-KR"/>
        </w:rPr>
        <w:t>,</w:t>
      </w:r>
      <w:r w:rsidRPr="0089670E">
        <w:rPr>
          <w:noProof/>
        </w:rPr>
        <w:t xml:space="preserve"> Y</w:t>
      </w:r>
      <w:r>
        <w:rPr>
          <w:rFonts w:hint="eastAsia"/>
          <w:noProof/>
          <w:lang w:eastAsia="ko-KR"/>
        </w:rPr>
        <w:t>.</w:t>
      </w:r>
      <w:r w:rsidRPr="0089670E">
        <w:rPr>
          <w:noProof/>
        </w:rPr>
        <w:t>I</w:t>
      </w:r>
      <w:r>
        <w:rPr>
          <w:rFonts w:hint="eastAsia"/>
          <w:noProof/>
          <w:lang w:eastAsia="ko-KR"/>
        </w:rPr>
        <w:t>.,</w:t>
      </w:r>
      <w:r w:rsidRPr="0089670E">
        <w:rPr>
          <w:noProof/>
        </w:rPr>
        <w:t xml:space="preserve"> Nisimov</w:t>
      </w:r>
      <w:r>
        <w:rPr>
          <w:rFonts w:hint="eastAsia"/>
          <w:noProof/>
          <w:lang w:eastAsia="ko-KR"/>
        </w:rPr>
        <w:t>,</w:t>
      </w:r>
      <w:r w:rsidRPr="0089670E">
        <w:rPr>
          <w:noProof/>
        </w:rPr>
        <w:t xml:space="preserve"> V</w:t>
      </w:r>
      <w:r>
        <w:rPr>
          <w:rFonts w:hint="eastAsia"/>
          <w:noProof/>
          <w:lang w:eastAsia="ko-KR"/>
        </w:rPr>
        <w:t>.</w:t>
      </w:r>
      <w:r w:rsidRPr="0089670E">
        <w:rPr>
          <w:noProof/>
        </w:rPr>
        <w:t>G</w:t>
      </w:r>
      <w:r>
        <w:rPr>
          <w:rFonts w:hint="eastAsia"/>
          <w:noProof/>
          <w:lang w:eastAsia="ko-KR"/>
        </w:rPr>
        <w:t>.,</w:t>
      </w:r>
      <w:r w:rsidRPr="0089670E">
        <w:rPr>
          <w:noProof/>
        </w:rPr>
        <w:t xml:space="preserve"> 1984</w:t>
      </w:r>
      <w:r>
        <w:rPr>
          <w:rFonts w:hint="eastAsia"/>
          <w:noProof/>
          <w:lang w:eastAsia="ko-KR"/>
        </w:rPr>
        <w:t>.</w:t>
      </w:r>
      <w:r w:rsidRPr="0089670E">
        <w:rPr>
          <w:noProof/>
        </w:rPr>
        <w:t xml:space="preserve"> Berkelium-249 metabolism in the body of animals. </w:t>
      </w:r>
      <w:r w:rsidRPr="00ED6790">
        <w:rPr>
          <w:noProof/>
        </w:rPr>
        <w:t>Radiobiologiia</w:t>
      </w:r>
      <w:r w:rsidRPr="0089670E">
        <w:rPr>
          <w:noProof/>
        </w:rPr>
        <w:t xml:space="preserve"> 24(1)</w:t>
      </w:r>
      <w:r>
        <w:rPr>
          <w:rFonts w:hint="eastAsia"/>
          <w:noProof/>
          <w:lang w:eastAsia="ko-KR"/>
        </w:rPr>
        <w:t>.</w:t>
      </w:r>
      <w:r w:rsidRPr="0089670E">
        <w:rPr>
          <w:noProof/>
        </w:rPr>
        <w:t xml:space="preserve"> 122–125.</w:t>
      </w:r>
    </w:p>
    <w:p w14:paraId="0CE09411" w14:textId="77777777" w:rsidR="00232741" w:rsidRPr="0089670E" w:rsidRDefault="00232741" w:rsidP="00232741">
      <w:pPr>
        <w:pStyle w:val="aff1"/>
        <w:ind w:left="426" w:hanging="426"/>
        <w:rPr>
          <w:noProof/>
        </w:rPr>
      </w:pPr>
      <w:r w:rsidRPr="0089670E">
        <w:rPr>
          <w:noProof/>
        </w:rPr>
        <w:t>Zamora</w:t>
      </w:r>
      <w:r>
        <w:rPr>
          <w:rFonts w:hint="eastAsia"/>
          <w:noProof/>
          <w:lang w:eastAsia="ko-KR"/>
        </w:rPr>
        <w:t>,</w:t>
      </w:r>
      <w:r w:rsidRPr="0089670E">
        <w:rPr>
          <w:noProof/>
        </w:rPr>
        <w:t xml:space="preserve"> M</w:t>
      </w:r>
      <w:r>
        <w:rPr>
          <w:rFonts w:hint="eastAsia"/>
          <w:noProof/>
          <w:lang w:eastAsia="ko-KR"/>
        </w:rPr>
        <w:t>.</w:t>
      </w:r>
      <w:r w:rsidRPr="0089670E">
        <w:rPr>
          <w:noProof/>
        </w:rPr>
        <w:t>L</w:t>
      </w:r>
      <w:r>
        <w:rPr>
          <w:rFonts w:hint="eastAsia"/>
          <w:noProof/>
          <w:lang w:eastAsia="ko-KR"/>
        </w:rPr>
        <w:t>.</w:t>
      </w:r>
      <w:r w:rsidRPr="0089670E">
        <w:rPr>
          <w:noProof/>
        </w:rPr>
        <w:t>, Zielinski</w:t>
      </w:r>
      <w:r>
        <w:rPr>
          <w:rFonts w:hint="eastAsia"/>
          <w:noProof/>
          <w:lang w:eastAsia="ko-KR"/>
        </w:rPr>
        <w:t>,</w:t>
      </w:r>
      <w:r w:rsidRPr="0089670E">
        <w:rPr>
          <w:noProof/>
        </w:rPr>
        <w:t xml:space="preserve"> J</w:t>
      </w:r>
      <w:r>
        <w:rPr>
          <w:rFonts w:hint="eastAsia"/>
          <w:noProof/>
          <w:lang w:eastAsia="ko-KR"/>
        </w:rPr>
        <w:t>.</w:t>
      </w:r>
      <w:r w:rsidRPr="0089670E">
        <w:rPr>
          <w:noProof/>
        </w:rPr>
        <w:t>M</w:t>
      </w:r>
      <w:r>
        <w:rPr>
          <w:rFonts w:hint="eastAsia"/>
          <w:noProof/>
          <w:lang w:eastAsia="ko-KR"/>
        </w:rPr>
        <w:t>.</w:t>
      </w:r>
      <w:r w:rsidRPr="0089670E">
        <w:rPr>
          <w:noProof/>
        </w:rPr>
        <w:t>, Meyerhof</w:t>
      </w:r>
      <w:r>
        <w:rPr>
          <w:rFonts w:hint="eastAsia"/>
          <w:noProof/>
          <w:lang w:eastAsia="ko-KR"/>
        </w:rPr>
        <w:t>,</w:t>
      </w:r>
      <w:r w:rsidRPr="0089670E">
        <w:rPr>
          <w:noProof/>
        </w:rPr>
        <w:t xml:space="preserve"> D</w:t>
      </w:r>
      <w:r>
        <w:rPr>
          <w:rFonts w:hint="eastAsia"/>
          <w:noProof/>
          <w:lang w:eastAsia="ko-KR"/>
        </w:rPr>
        <w:t>.</w:t>
      </w:r>
      <w:r w:rsidRPr="0089670E">
        <w:rPr>
          <w:noProof/>
        </w:rPr>
        <w:t>P</w:t>
      </w:r>
      <w:r>
        <w:rPr>
          <w:rFonts w:hint="eastAsia"/>
          <w:noProof/>
          <w:lang w:eastAsia="ko-KR"/>
        </w:rPr>
        <w:t>.</w:t>
      </w:r>
      <w:r w:rsidRPr="0089670E">
        <w:rPr>
          <w:noProof/>
        </w:rPr>
        <w:t>, et al.</w:t>
      </w:r>
      <w:r>
        <w:rPr>
          <w:rFonts w:hint="eastAsia"/>
          <w:noProof/>
          <w:lang w:eastAsia="ko-KR"/>
        </w:rPr>
        <w:t>,</w:t>
      </w:r>
      <w:r w:rsidRPr="0089670E">
        <w:rPr>
          <w:noProof/>
        </w:rPr>
        <w:t xml:space="preserve"> 2002</w:t>
      </w:r>
      <w:r>
        <w:rPr>
          <w:rFonts w:hint="eastAsia"/>
          <w:noProof/>
          <w:lang w:eastAsia="ko-KR"/>
        </w:rPr>
        <w:t>.</w:t>
      </w:r>
      <w:r w:rsidRPr="0089670E">
        <w:rPr>
          <w:noProof/>
        </w:rPr>
        <w:t xml:space="preserve"> Gastrointestinal absorption of uranium in humans. </w:t>
      </w:r>
      <w:r w:rsidRPr="00ED6790">
        <w:rPr>
          <w:noProof/>
        </w:rPr>
        <w:t>Health Phys</w:t>
      </w:r>
      <w:r w:rsidRPr="0089670E">
        <w:rPr>
          <w:noProof/>
        </w:rPr>
        <w:t xml:space="preserve"> 83(1)</w:t>
      </w:r>
      <w:r>
        <w:rPr>
          <w:rFonts w:hint="eastAsia"/>
          <w:noProof/>
          <w:lang w:eastAsia="ko-KR"/>
        </w:rPr>
        <w:t>.</w:t>
      </w:r>
      <w:r w:rsidRPr="0089670E">
        <w:rPr>
          <w:noProof/>
        </w:rPr>
        <w:t xml:space="preserve"> 35–45.</w:t>
      </w:r>
    </w:p>
    <w:p w14:paraId="1E9D00E2" w14:textId="77777777" w:rsidR="00232741" w:rsidRPr="0089670E" w:rsidRDefault="00232741" w:rsidP="00232741">
      <w:pPr>
        <w:pStyle w:val="aff1"/>
        <w:ind w:left="426" w:hanging="426"/>
        <w:rPr>
          <w:noProof/>
        </w:rPr>
      </w:pPr>
      <w:r w:rsidRPr="0089670E">
        <w:rPr>
          <w:noProof/>
        </w:rPr>
        <w:t>Ziemer</w:t>
      </w:r>
      <w:r>
        <w:rPr>
          <w:rFonts w:hint="eastAsia"/>
          <w:noProof/>
          <w:lang w:eastAsia="ko-KR"/>
        </w:rPr>
        <w:t>,</w:t>
      </w:r>
      <w:r w:rsidRPr="0089670E">
        <w:rPr>
          <w:noProof/>
        </w:rPr>
        <w:t xml:space="preserve"> P</w:t>
      </w:r>
      <w:r>
        <w:rPr>
          <w:rFonts w:hint="eastAsia"/>
          <w:noProof/>
          <w:lang w:eastAsia="ko-KR"/>
        </w:rPr>
        <w:t>.</w:t>
      </w:r>
      <w:r w:rsidRPr="0089670E">
        <w:rPr>
          <w:noProof/>
        </w:rPr>
        <w:t>L</w:t>
      </w:r>
      <w:r>
        <w:rPr>
          <w:rFonts w:hint="eastAsia"/>
          <w:noProof/>
          <w:lang w:eastAsia="ko-KR"/>
        </w:rPr>
        <w:t>.</w:t>
      </w:r>
      <w:r w:rsidRPr="0089670E">
        <w:rPr>
          <w:noProof/>
        </w:rPr>
        <w:t>, George</w:t>
      </w:r>
      <w:r>
        <w:rPr>
          <w:rFonts w:hint="eastAsia"/>
          <w:noProof/>
          <w:lang w:eastAsia="ko-KR"/>
        </w:rPr>
        <w:t>,</w:t>
      </w:r>
      <w:r w:rsidRPr="0089670E">
        <w:rPr>
          <w:noProof/>
        </w:rPr>
        <w:t xml:space="preserve"> R</w:t>
      </w:r>
      <w:r>
        <w:rPr>
          <w:rFonts w:hint="eastAsia"/>
          <w:noProof/>
          <w:lang w:eastAsia="ko-KR"/>
        </w:rPr>
        <w:t>.</w:t>
      </w:r>
      <w:r w:rsidRPr="0089670E">
        <w:rPr>
          <w:noProof/>
        </w:rPr>
        <w:t>E</w:t>
      </w:r>
      <w:r>
        <w:rPr>
          <w:rFonts w:hint="eastAsia"/>
          <w:noProof/>
          <w:lang w:eastAsia="ko-KR"/>
        </w:rPr>
        <w:t>.,</w:t>
      </w:r>
      <w:r w:rsidRPr="0089670E">
        <w:rPr>
          <w:noProof/>
        </w:rPr>
        <w:t xml:space="preserve"> Kessler</w:t>
      </w:r>
      <w:r>
        <w:rPr>
          <w:rFonts w:hint="eastAsia"/>
          <w:noProof/>
          <w:lang w:eastAsia="ko-KR"/>
        </w:rPr>
        <w:t>,</w:t>
      </w:r>
      <w:r w:rsidRPr="0089670E">
        <w:rPr>
          <w:noProof/>
        </w:rPr>
        <w:t xml:space="preserve"> W</w:t>
      </w:r>
      <w:r>
        <w:rPr>
          <w:rFonts w:hint="eastAsia"/>
          <w:noProof/>
          <w:lang w:eastAsia="ko-KR"/>
        </w:rPr>
        <w:t>.</w:t>
      </w:r>
      <w:r w:rsidRPr="0089670E">
        <w:rPr>
          <w:noProof/>
        </w:rPr>
        <w:t>V</w:t>
      </w:r>
      <w:r>
        <w:rPr>
          <w:rFonts w:hint="eastAsia"/>
          <w:noProof/>
          <w:lang w:eastAsia="ko-KR"/>
        </w:rPr>
        <w:t>.,</w:t>
      </w:r>
      <w:r w:rsidRPr="0089670E">
        <w:rPr>
          <w:noProof/>
        </w:rPr>
        <w:t xml:space="preserve"> 1968</w:t>
      </w:r>
      <w:r>
        <w:rPr>
          <w:rFonts w:hint="eastAsia"/>
          <w:noProof/>
          <w:lang w:eastAsia="ko-KR"/>
        </w:rPr>
        <w:t>.</w:t>
      </w:r>
      <w:r w:rsidRPr="0089670E">
        <w:rPr>
          <w:noProof/>
        </w:rPr>
        <w:t xml:space="preserve"> The uptake, retention, and excretion of inhaled europium oxide in two healthy adult males. In: </w:t>
      </w:r>
      <w:r w:rsidRPr="00ED6790">
        <w:rPr>
          <w:noProof/>
        </w:rPr>
        <w:t>Proceedings of the First International Congress of Radiation Protection</w:t>
      </w:r>
      <w:r w:rsidRPr="0089670E">
        <w:rPr>
          <w:noProof/>
        </w:rPr>
        <w:t xml:space="preserve"> (eds WS Snyder, HH Abee, LK Burton, et al.), Rome, Italy, 1968, pp. 1199–1203. Pergamon Press Inc.</w:t>
      </w:r>
    </w:p>
    <w:p w14:paraId="00BE962D" w14:textId="0CBFA560" w:rsidR="00855E1A" w:rsidRPr="00972C81" w:rsidRDefault="00855E1A" w:rsidP="00FC21A7">
      <w:pPr>
        <w:pStyle w:val="Reference"/>
        <w:ind w:left="426" w:hanging="426"/>
        <w:rPr>
          <w:noProof/>
        </w:rPr>
      </w:pPr>
    </w:p>
    <w:p w14:paraId="11D25B4A" w14:textId="558F5EF0" w:rsidR="00EB314A" w:rsidRPr="00972C81" w:rsidRDefault="00EB314A">
      <w:pPr>
        <w:widowControl/>
        <w:jc w:val="left"/>
        <w:rPr>
          <w:noProof/>
          <w:szCs w:val="24"/>
          <w:lang w:eastAsia="fr-FR"/>
        </w:rPr>
      </w:pPr>
      <w:r w:rsidRPr="00972C81">
        <w:rPr>
          <w:noProof/>
        </w:rPr>
        <w:br w:type="page"/>
      </w:r>
    </w:p>
    <w:p w14:paraId="1FB8FF8C" w14:textId="77777777" w:rsidR="00EB314A" w:rsidRPr="00972C81" w:rsidRDefault="00EB314A" w:rsidP="00C47F2F">
      <w:pPr>
        <w:pStyle w:val="1"/>
        <w:numPr>
          <w:ilvl w:val="0"/>
          <w:numId w:val="0"/>
        </w:numPr>
        <w:rPr>
          <w:noProof/>
          <w:snapToGrid w:val="0"/>
        </w:rPr>
      </w:pPr>
      <w:bookmarkStart w:id="425" w:name="_Toc45203733"/>
      <w:bookmarkStart w:id="426" w:name="_Toc126922979"/>
      <w:bookmarkStart w:id="427" w:name="_Toc162630145"/>
      <w:r w:rsidRPr="00972C81">
        <w:rPr>
          <w:noProof/>
          <w:snapToGrid w:val="0"/>
        </w:rPr>
        <w:lastRenderedPageBreak/>
        <w:t>ACKNOWLEDGEMENT</w:t>
      </w:r>
      <w:bookmarkEnd w:id="425"/>
      <w:r w:rsidRPr="00972C81">
        <w:rPr>
          <w:noProof/>
          <w:snapToGrid w:val="0"/>
        </w:rPr>
        <w:t>S</w:t>
      </w:r>
      <w:bookmarkEnd w:id="426"/>
      <w:bookmarkEnd w:id="427"/>
    </w:p>
    <w:p w14:paraId="17304ECA" w14:textId="454DB2E0" w:rsidR="00EB314A" w:rsidRPr="00972C81" w:rsidRDefault="00EB314A" w:rsidP="00EB314A">
      <w:pPr>
        <w:rPr>
          <w:noProof/>
        </w:rPr>
      </w:pPr>
      <w:r w:rsidRPr="00972C81">
        <w:rPr>
          <w:noProof/>
        </w:rPr>
        <w:t xml:space="preserve">This report is the </w:t>
      </w:r>
      <w:r w:rsidR="00D33EEE" w:rsidRPr="00972C81">
        <w:rPr>
          <w:noProof/>
        </w:rPr>
        <w:t>second</w:t>
      </w:r>
      <w:r w:rsidRPr="00972C81">
        <w:rPr>
          <w:noProof/>
        </w:rPr>
        <w:t xml:space="preserve"> in a series of documents replacing the </w:t>
      </w:r>
      <w:r w:rsidRPr="00972C81">
        <w:rPr>
          <w:i/>
          <w:noProof/>
        </w:rPr>
        <w:t>Publication 56</w:t>
      </w:r>
      <w:r w:rsidRPr="00972C81">
        <w:rPr>
          <w:noProof/>
        </w:rPr>
        <w:t xml:space="preserve"> series (ICRP, 1989, 1993, 1995b,c, 1996a, 2001, 2004) to provide revised age-dependent dose coefficients for members of the public for environmental intakes of radionuclides by inhalation and ingestion. The revised dose coefficients have been calculated using the </w:t>
      </w:r>
      <w:r w:rsidR="004838BB" w:rsidRPr="00972C81">
        <w:rPr>
          <w:noProof/>
        </w:rPr>
        <w:t xml:space="preserve">Human Alimentary Tract Model (HATM) described in </w:t>
      </w:r>
      <w:r w:rsidRPr="00972C81">
        <w:rPr>
          <w:i/>
          <w:noProof/>
        </w:rPr>
        <w:t>Publication 100</w:t>
      </w:r>
      <w:r w:rsidRPr="00972C81">
        <w:rPr>
          <w:noProof/>
        </w:rPr>
        <w:t xml:space="preserve"> (ICRP, 2006) and the </w:t>
      </w:r>
      <w:r w:rsidR="004838BB" w:rsidRPr="00972C81">
        <w:rPr>
          <w:noProof/>
        </w:rPr>
        <w:t>revised</w:t>
      </w:r>
      <w:r w:rsidRPr="00972C81">
        <w:rPr>
          <w:noProof/>
        </w:rPr>
        <w:t xml:space="preserve"> Human Respiratory Tract Model (HRTM) described in </w:t>
      </w:r>
      <w:r w:rsidRPr="00972C81">
        <w:rPr>
          <w:i/>
          <w:noProof/>
        </w:rPr>
        <w:t>Publication 130</w:t>
      </w:r>
      <w:r w:rsidRPr="00972C81">
        <w:rPr>
          <w:noProof/>
        </w:rPr>
        <w:t xml:space="preserve"> (ICRP, 2015). Revisions have </w:t>
      </w:r>
      <w:r w:rsidR="004838BB" w:rsidRPr="00972C81">
        <w:rPr>
          <w:noProof/>
        </w:rPr>
        <w:t xml:space="preserve">also </w:t>
      </w:r>
      <w:r w:rsidRPr="00972C81">
        <w:rPr>
          <w:noProof/>
        </w:rPr>
        <w:t>been made to many of the models that describe the systemic biokinetics of radionuclides absorbed to blood, making them more physiologically realistic representations of uptake and retention in organs and tissues and of excretion.</w:t>
      </w:r>
    </w:p>
    <w:p w14:paraId="6EA0D71D" w14:textId="48ED66B5" w:rsidR="00EB314A" w:rsidRPr="00972C81" w:rsidRDefault="00EB314A" w:rsidP="00EB314A">
      <w:pPr>
        <w:rPr>
          <w:noProof/>
        </w:rPr>
      </w:pPr>
      <w:r w:rsidRPr="00972C81">
        <w:rPr>
          <w:noProof/>
        </w:rPr>
        <w:t xml:space="preserve">This </w:t>
      </w:r>
      <w:r w:rsidR="00D33EEE" w:rsidRPr="00972C81">
        <w:rPr>
          <w:noProof/>
        </w:rPr>
        <w:t>second</w:t>
      </w:r>
      <w:r w:rsidRPr="00972C81">
        <w:rPr>
          <w:noProof/>
        </w:rPr>
        <w:t xml:space="preserve"> report in the series includes</w:t>
      </w:r>
      <w:r w:rsidR="004838BB" w:rsidRPr="00972C81">
        <w:rPr>
          <w:noProof/>
        </w:rPr>
        <w:t xml:space="preserve"> </w:t>
      </w:r>
      <w:r w:rsidRPr="00972C81">
        <w:rPr>
          <w:noProof/>
        </w:rPr>
        <w:t xml:space="preserve">biokinetic and dosimetric models </w:t>
      </w:r>
      <w:r w:rsidR="005512EF" w:rsidRPr="00972C81">
        <w:rPr>
          <w:noProof/>
        </w:rPr>
        <w:t>for</w:t>
      </w:r>
      <w:r w:rsidRPr="00972C81">
        <w:rPr>
          <w:noProof/>
        </w:rPr>
        <w:t xml:space="preserve"> individual elements and their radioisotopes</w:t>
      </w:r>
      <w:r w:rsidR="005512EF" w:rsidRPr="00972C81">
        <w:rPr>
          <w:noProof/>
        </w:rPr>
        <w:t xml:space="preserve"> plus</w:t>
      </w:r>
      <w:r w:rsidRPr="00972C81">
        <w:rPr>
          <w:noProof/>
        </w:rPr>
        <w:t xml:space="preserve"> dose coefficients. Additional data accompanying this series are available on the ICRP website and give extensive additional information.</w:t>
      </w:r>
      <w:r w:rsidRPr="00972C81">
        <w:rPr>
          <w:noProof/>
          <w:color w:val="000000" w:themeColor="text1"/>
        </w:rPr>
        <w:t xml:space="preserve"> This current report provides the above data for the elements already described in OIR Parts </w:t>
      </w:r>
      <w:r w:rsidR="00424053" w:rsidRPr="00972C81">
        <w:rPr>
          <w:noProof/>
          <w:color w:val="000000" w:themeColor="text1"/>
        </w:rPr>
        <w:t xml:space="preserve">3 and </w:t>
      </w:r>
      <w:r w:rsidR="004838BB" w:rsidRPr="00972C81">
        <w:rPr>
          <w:noProof/>
          <w:color w:val="000000" w:themeColor="text1"/>
        </w:rPr>
        <w:t xml:space="preserve">4 </w:t>
      </w:r>
      <w:r w:rsidRPr="00972C81">
        <w:rPr>
          <w:noProof/>
          <w:color w:val="000000" w:themeColor="text1"/>
        </w:rPr>
        <w:t xml:space="preserve"> (</w:t>
      </w:r>
      <w:r w:rsidRPr="00972C81">
        <w:rPr>
          <w:i/>
          <w:noProof/>
          <w:color w:val="000000" w:themeColor="text1"/>
        </w:rPr>
        <w:t>Publications 137, 141)</w:t>
      </w:r>
      <w:r w:rsidRPr="00972C81">
        <w:rPr>
          <w:noProof/>
          <w:color w:val="000000" w:themeColor="text1"/>
        </w:rPr>
        <w:t xml:space="preserve"> i.e.: </w:t>
      </w:r>
      <w:r w:rsidR="004838BB" w:rsidRPr="00972C81">
        <w:rPr>
          <w:noProof/>
        </w:rPr>
        <w:t xml:space="preserve">Lanthanum (La), Cerium (Ce), Praseodymium (Pr), Neodymium (Nd), Promethium (Pm), Samarium (Sm), Europium (Eu), Gadolinium (Gd), Terbium (Tb), Dysprosium (Dy), Holmium (Ho), Erbium (Er), Thulium (Tm), Ytterbium (Yb), Lutetium (Lu), Actinium (Ac), Thorium (Th), Protactinium (Pa), Uranium (U), Neptunium (Np), Plutonium (Pu), Americium (Am), Curium (Cm), Berkelium (Bk), Californium (Cf), Einsteinium (Es) and Fermium (Fm). </w:t>
      </w:r>
      <w:r w:rsidRPr="00972C81">
        <w:rPr>
          <w:noProof/>
        </w:rPr>
        <w:t xml:space="preserve">Subsequent reports will provide data for most of the remaining elements. </w:t>
      </w:r>
    </w:p>
    <w:p w14:paraId="51B7468B" w14:textId="7003CCD9" w:rsidR="00EB314A" w:rsidRPr="00972C81" w:rsidRDefault="00EB314A" w:rsidP="00C47F2F">
      <w:pPr>
        <w:pStyle w:val="a5"/>
        <w:tabs>
          <w:tab w:val="clear" w:pos="4153"/>
          <w:tab w:val="clear" w:pos="8306"/>
        </w:tabs>
        <w:rPr>
          <w:noProof/>
        </w:rPr>
      </w:pPr>
      <w:r w:rsidRPr="00972C81">
        <w:rPr>
          <w:noProof/>
        </w:rPr>
        <w:tab/>
      </w:r>
    </w:p>
    <w:p w14:paraId="7F1A282C" w14:textId="77777777" w:rsidR="00EB314A" w:rsidRPr="00972C81" w:rsidRDefault="00EB314A" w:rsidP="00EB314A">
      <w:pPr>
        <w:pStyle w:val="ICRPbasic"/>
        <w:rPr>
          <w:noProof/>
        </w:rPr>
      </w:pPr>
      <w:bookmarkStart w:id="428" w:name="_Toc45890443"/>
      <w:bookmarkStart w:id="429" w:name="_Toc45890704"/>
      <w:bookmarkStart w:id="430" w:name="_Toc45890947"/>
      <w:bookmarkStart w:id="431" w:name="_Toc45891196"/>
      <w:bookmarkStart w:id="432" w:name="_Toc45891445"/>
      <w:bookmarkStart w:id="433" w:name="_Toc45891688"/>
      <w:bookmarkStart w:id="434" w:name="_Toc74151112"/>
      <w:bookmarkStart w:id="435" w:name="_Toc45890444"/>
      <w:bookmarkStart w:id="436" w:name="_Toc45890705"/>
      <w:bookmarkStart w:id="437" w:name="_Toc45890948"/>
      <w:bookmarkStart w:id="438" w:name="_Toc45891197"/>
      <w:bookmarkStart w:id="439" w:name="_Toc45891446"/>
      <w:bookmarkStart w:id="440" w:name="_Toc45891689"/>
      <w:bookmarkStart w:id="441" w:name="_Toc74151113"/>
      <w:bookmarkStart w:id="442" w:name="_Toc45890445"/>
      <w:bookmarkStart w:id="443" w:name="_Toc45890706"/>
      <w:bookmarkStart w:id="444" w:name="_Toc45890949"/>
      <w:bookmarkStart w:id="445" w:name="_Toc45891198"/>
      <w:bookmarkStart w:id="446" w:name="_Toc45891447"/>
      <w:bookmarkStart w:id="447" w:name="_Toc45891690"/>
      <w:bookmarkStart w:id="448" w:name="_Toc74151114"/>
      <w:bookmarkStart w:id="449" w:name="_Toc45890446"/>
      <w:bookmarkStart w:id="450" w:name="_Toc45890707"/>
      <w:bookmarkStart w:id="451" w:name="_Toc45890950"/>
      <w:bookmarkStart w:id="452" w:name="_Toc45891199"/>
      <w:bookmarkStart w:id="453" w:name="_Toc45891448"/>
      <w:bookmarkStart w:id="454" w:name="_Toc45891691"/>
      <w:bookmarkStart w:id="455" w:name="_Toc74151115"/>
      <w:bookmarkStart w:id="456" w:name="_Toc45890447"/>
      <w:bookmarkStart w:id="457" w:name="_Toc45890708"/>
      <w:bookmarkStart w:id="458" w:name="_Toc45890951"/>
      <w:bookmarkStart w:id="459" w:name="_Toc45891200"/>
      <w:bookmarkStart w:id="460" w:name="_Toc45891449"/>
      <w:bookmarkStart w:id="461" w:name="_Toc45891692"/>
      <w:bookmarkStart w:id="462" w:name="_Toc74151116"/>
      <w:bookmarkStart w:id="463" w:name="_Toc45890448"/>
      <w:bookmarkStart w:id="464" w:name="_Toc45890709"/>
      <w:bookmarkStart w:id="465" w:name="_Toc45890952"/>
      <w:bookmarkStart w:id="466" w:name="_Toc45891201"/>
      <w:bookmarkStart w:id="467" w:name="_Toc45891450"/>
      <w:bookmarkStart w:id="468" w:name="_Toc45891693"/>
      <w:bookmarkStart w:id="469" w:name="_Toc74151117"/>
      <w:bookmarkStart w:id="470" w:name="_Toc45890449"/>
      <w:bookmarkStart w:id="471" w:name="_Toc45890710"/>
      <w:bookmarkStart w:id="472" w:name="_Toc45890953"/>
      <w:bookmarkStart w:id="473" w:name="_Toc45891202"/>
      <w:bookmarkStart w:id="474" w:name="_Toc45891451"/>
      <w:bookmarkStart w:id="475" w:name="_Toc45891694"/>
      <w:bookmarkStart w:id="476" w:name="_Toc74151118"/>
      <w:bookmarkStart w:id="477" w:name="_Toc45890450"/>
      <w:bookmarkStart w:id="478" w:name="_Toc45890711"/>
      <w:bookmarkStart w:id="479" w:name="_Toc45890954"/>
      <w:bookmarkStart w:id="480" w:name="_Toc45891203"/>
      <w:bookmarkStart w:id="481" w:name="_Toc45891452"/>
      <w:bookmarkStart w:id="482" w:name="_Toc45891695"/>
      <w:bookmarkStart w:id="483" w:name="_Toc74151119"/>
      <w:bookmarkStart w:id="484" w:name="_Toc45890451"/>
      <w:bookmarkStart w:id="485" w:name="_Toc45890712"/>
      <w:bookmarkStart w:id="486" w:name="_Toc45890955"/>
      <w:bookmarkStart w:id="487" w:name="_Toc45891204"/>
      <w:bookmarkStart w:id="488" w:name="_Toc45891453"/>
      <w:bookmarkStart w:id="489" w:name="_Toc45891696"/>
      <w:bookmarkStart w:id="490" w:name="_Toc74151120"/>
      <w:bookmarkStart w:id="491" w:name="_Toc45890452"/>
      <w:bookmarkStart w:id="492" w:name="_Toc45890713"/>
      <w:bookmarkStart w:id="493" w:name="_Toc45890956"/>
      <w:bookmarkStart w:id="494" w:name="_Toc45891205"/>
      <w:bookmarkStart w:id="495" w:name="_Toc45891454"/>
      <w:bookmarkStart w:id="496" w:name="_Toc45891697"/>
      <w:bookmarkStart w:id="497" w:name="_Toc74151121"/>
      <w:bookmarkStart w:id="498" w:name="_Toc45890453"/>
      <w:bookmarkStart w:id="499" w:name="_Toc45890714"/>
      <w:bookmarkStart w:id="500" w:name="_Toc45890957"/>
      <w:bookmarkStart w:id="501" w:name="_Toc45891206"/>
      <w:bookmarkStart w:id="502" w:name="_Toc45891455"/>
      <w:bookmarkStart w:id="503" w:name="_Toc45891698"/>
      <w:bookmarkStart w:id="504" w:name="_Toc74151122"/>
      <w:bookmarkStart w:id="505" w:name="_Toc45890454"/>
      <w:bookmarkStart w:id="506" w:name="_Toc45890715"/>
      <w:bookmarkStart w:id="507" w:name="_Toc45890958"/>
      <w:bookmarkStart w:id="508" w:name="_Toc45891207"/>
      <w:bookmarkStart w:id="509" w:name="_Toc45891456"/>
      <w:bookmarkStart w:id="510" w:name="_Toc45891699"/>
      <w:bookmarkStart w:id="511" w:name="_Toc74151123"/>
      <w:bookmarkStart w:id="512" w:name="_Toc45890455"/>
      <w:bookmarkStart w:id="513" w:name="_Toc45890716"/>
      <w:bookmarkStart w:id="514" w:name="_Toc45890959"/>
      <w:bookmarkStart w:id="515" w:name="_Toc45891208"/>
      <w:bookmarkStart w:id="516" w:name="_Toc45891457"/>
      <w:bookmarkStart w:id="517" w:name="_Toc45891700"/>
      <w:bookmarkStart w:id="518" w:name="_Toc74151124"/>
      <w:bookmarkStart w:id="519" w:name="_Toc45890456"/>
      <w:bookmarkStart w:id="520" w:name="_Toc45890717"/>
      <w:bookmarkStart w:id="521" w:name="_Toc45890960"/>
      <w:bookmarkStart w:id="522" w:name="_Toc45891209"/>
      <w:bookmarkStart w:id="523" w:name="_Toc45891458"/>
      <w:bookmarkStart w:id="524" w:name="_Toc45891701"/>
      <w:bookmarkStart w:id="525" w:name="_Toc74151125"/>
      <w:bookmarkStart w:id="526" w:name="_Toc45890457"/>
      <w:bookmarkStart w:id="527" w:name="_Toc45890718"/>
      <w:bookmarkStart w:id="528" w:name="_Toc45890961"/>
      <w:bookmarkStart w:id="529" w:name="_Toc45891210"/>
      <w:bookmarkStart w:id="530" w:name="_Toc45891459"/>
      <w:bookmarkStart w:id="531" w:name="_Toc45891702"/>
      <w:bookmarkStart w:id="532" w:name="_Toc74151126"/>
      <w:bookmarkStart w:id="533" w:name="_Toc45890458"/>
      <w:bookmarkStart w:id="534" w:name="_Toc45890719"/>
      <w:bookmarkStart w:id="535" w:name="_Toc45890962"/>
      <w:bookmarkStart w:id="536" w:name="_Toc45891211"/>
      <w:bookmarkStart w:id="537" w:name="_Toc45891460"/>
      <w:bookmarkStart w:id="538" w:name="_Toc45891703"/>
      <w:bookmarkStart w:id="539" w:name="_Toc74151127"/>
      <w:bookmarkStart w:id="540" w:name="_Toc45890459"/>
      <w:bookmarkStart w:id="541" w:name="_Toc45890720"/>
      <w:bookmarkStart w:id="542" w:name="_Toc45890963"/>
      <w:bookmarkStart w:id="543" w:name="_Toc45891212"/>
      <w:bookmarkStart w:id="544" w:name="_Toc45891461"/>
      <w:bookmarkStart w:id="545" w:name="_Toc45891704"/>
      <w:bookmarkStart w:id="546" w:name="_Toc74151128"/>
      <w:bookmarkStart w:id="547" w:name="_Toc45890460"/>
      <w:bookmarkStart w:id="548" w:name="_Toc45890721"/>
      <w:bookmarkStart w:id="549" w:name="_Toc45890964"/>
      <w:bookmarkStart w:id="550" w:name="_Toc45891213"/>
      <w:bookmarkStart w:id="551" w:name="_Toc45891462"/>
      <w:bookmarkStart w:id="552" w:name="_Toc45891705"/>
      <w:bookmarkStart w:id="553" w:name="_Toc74151129"/>
      <w:bookmarkStart w:id="554" w:name="_Toc45890461"/>
      <w:bookmarkStart w:id="555" w:name="_Toc45890722"/>
      <w:bookmarkStart w:id="556" w:name="_Toc45890965"/>
      <w:bookmarkStart w:id="557" w:name="_Toc45891214"/>
      <w:bookmarkStart w:id="558" w:name="_Toc45891463"/>
      <w:bookmarkStart w:id="559" w:name="_Toc45891706"/>
      <w:bookmarkStart w:id="560" w:name="_Toc74151130"/>
      <w:bookmarkStart w:id="561" w:name="_Toc45890462"/>
      <w:bookmarkStart w:id="562" w:name="_Toc45890723"/>
      <w:bookmarkStart w:id="563" w:name="_Toc45890966"/>
      <w:bookmarkStart w:id="564" w:name="_Toc45891215"/>
      <w:bookmarkStart w:id="565" w:name="_Toc45891464"/>
      <w:bookmarkStart w:id="566" w:name="_Toc45891707"/>
      <w:bookmarkStart w:id="567" w:name="_Toc74151131"/>
      <w:bookmarkStart w:id="568" w:name="_Toc45890463"/>
      <w:bookmarkStart w:id="569" w:name="_Toc45890724"/>
      <w:bookmarkStart w:id="570" w:name="_Toc45890967"/>
      <w:bookmarkStart w:id="571" w:name="_Toc45891216"/>
      <w:bookmarkStart w:id="572" w:name="_Toc45891465"/>
      <w:bookmarkStart w:id="573" w:name="_Toc45891708"/>
      <w:bookmarkStart w:id="574" w:name="_Toc74151132"/>
      <w:bookmarkStart w:id="575" w:name="_Toc45890464"/>
      <w:bookmarkStart w:id="576" w:name="_Toc45890725"/>
      <w:bookmarkStart w:id="577" w:name="_Toc45890968"/>
      <w:bookmarkStart w:id="578" w:name="_Toc45891217"/>
      <w:bookmarkStart w:id="579" w:name="_Toc45891466"/>
      <w:bookmarkStart w:id="580" w:name="_Toc45891709"/>
      <w:bookmarkStart w:id="581" w:name="_Toc74151133"/>
      <w:bookmarkStart w:id="582" w:name="_Toc45890465"/>
      <w:bookmarkStart w:id="583" w:name="_Toc45890726"/>
      <w:bookmarkStart w:id="584" w:name="_Toc45890969"/>
      <w:bookmarkStart w:id="585" w:name="_Toc45891218"/>
      <w:bookmarkStart w:id="586" w:name="_Toc45891467"/>
      <w:bookmarkStart w:id="587" w:name="_Toc45891710"/>
      <w:bookmarkStart w:id="588" w:name="_Toc74151134"/>
      <w:bookmarkStart w:id="589" w:name="_Toc45890466"/>
      <w:bookmarkStart w:id="590" w:name="_Toc45890727"/>
      <w:bookmarkStart w:id="591" w:name="_Toc45890970"/>
      <w:bookmarkStart w:id="592" w:name="_Toc45891219"/>
      <w:bookmarkStart w:id="593" w:name="_Toc45891468"/>
      <w:bookmarkStart w:id="594" w:name="_Toc45891711"/>
      <w:bookmarkStart w:id="595" w:name="_Toc74151135"/>
      <w:bookmarkStart w:id="596" w:name="_Toc45890467"/>
      <w:bookmarkStart w:id="597" w:name="_Toc45890728"/>
      <w:bookmarkStart w:id="598" w:name="_Toc45890971"/>
      <w:bookmarkStart w:id="599" w:name="_Toc45891220"/>
      <w:bookmarkStart w:id="600" w:name="_Toc45891469"/>
      <w:bookmarkStart w:id="601" w:name="_Toc45891712"/>
      <w:bookmarkStart w:id="602" w:name="_Toc74151136"/>
      <w:bookmarkStart w:id="603" w:name="_Toc45890468"/>
      <w:bookmarkStart w:id="604" w:name="_Toc45890729"/>
      <w:bookmarkStart w:id="605" w:name="_Toc45890972"/>
      <w:bookmarkStart w:id="606" w:name="_Toc45891221"/>
      <w:bookmarkStart w:id="607" w:name="_Toc45891470"/>
      <w:bookmarkStart w:id="608" w:name="_Toc45891713"/>
      <w:bookmarkStart w:id="609" w:name="_Toc74151137"/>
      <w:bookmarkStart w:id="610" w:name="_Toc45890469"/>
      <w:bookmarkStart w:id="611" w:name="_Toc45890730"/>
      <w:bookmarkStart w:id="612" w:name="_Toc45890973"/>
      <w:bookmarkStart w:id="613" w:name="_Toc45891222"/>
      <w:bookmarkStart w:id="614" w:name="_Toc45891471"/>
      <w:bookmarkStart w:id="615" w:name="_Toc45891714"/>
      <w:bookmarkStart w:id="616" w:name="_Toc74151138"/>
      <w:bookmarkStart w:id="617" w:name="_Toc45890470"/>
      <w:bookmarkStart w:id="618" w:name="_Toc45890731"/>
      <w:bookmarkStart w:id="619" w:name="_Toc45890974"/>
      <w:bookmarkStart w:id="620" w:name="_Toc45891223"/>
      <w:bookmarkStart w:id="621" w:name="_Toc45891472"/>
      <w:bookmarkStart w:id="622" w:name="_Toc45891715"/>
      <w:bookmarkStart w:id="623" w:name="_Toc74151139"/>
      <w:bookmarkStart w:id="624" w:name="_Toc45890471"/>
      <w:bookmarkStart w:id="625" w:name="_Toc45890732"/>
      <w:bookmarkStart w:id="626" w:name="_Toc45890975"/>
      <w:bookmarkStart w:id="627" w:name="_Toc45891224"/>
      <w:bookmarkStart w:id="628" w:name="_Toc45891473"/>
      <w:bookmarkStart w:id="629" w:name="_Toc45891716"/>
      <w:bookmarkStart w:id="630" w:name="_Toc74151140"/>
      <w:bookmarkStart w:id="631" w:name="_Toc45890472"/>
      <w:bookmarkStart w:id="632" w:name="_Toc45890733"/>
      <w:bookmarkStart w:id="633" w:name="_Toc45890976"/>
      <w:bookmarkStart w:id="634" w:name="_Toc45891225"/>
      <w:bookmarkStart w:id="635" w:name="_Toc45891474"/>
      <w:bookmarkStart w:id="636" w:name="_Toc45891717"/>
      <w:bookmarkStart w:id="637" w:name="_Toc74151141"/>
      <w:bookmarkStart w:id="638" w:name="_Toc45890473"/>
      <w:bookmarkStart w:id="639" w:name="_Toc45890734"/>
      <w:bookmarkStart w:id="640" w:name="_Toc45890977"/>
      <w:bookmarkStart w:id="641" w:name="_Toc45891226"/>
      <w:bookmarkStart w:id="642" w:name="_Toc45891475"/>
      <w:bookmarkStart w:id="643" w:name="_Toc45891718"/>
      <w:bookmarkStart w:id="644" w:name="_Toc74151142"/>
      <w:bookmarkStart w:id="645" w:name="_Toc45890474"/>
      <w:bookmarkStart w:id="646" w:name="_Toc45890735"/>
      <w:bookmarkStart w:id="647" w:name="_Toc45890978"/>
      <w:bookmarkStart w:id="648" w:name="_Toc45891227"/>
      <w:bookmarkStart w:id="649" w:name="_Toc45891476"/>
      <w:bookmarkStart w:id="650" w:name="_Toc45891719"/>
      <w:bookmarkStart w:id="651" w:name="_Toc74151143"/>
      <w:bookmarkStart w:id="652" w:name="_Toc45890475"/>
      <w:bookmarkStart w:id="653" w:name="_Toc45890736"/>
      <w:bookmarkStart w:id="654" w:name="_Toc45890979"/>
      <w:bookmarkStart w:id="655" w:name="_Toc45891228"/>
      <w:bookmarkStart w:id="656" w:name="_Toc45891477"/>
      <w:bookmarkStart w:id="657" w:name="_Toc45891720"/>
      <w:bookmarkStart w:id="658" w:name="_Toc74151144"/>
      <w:bookmarkStart w:id="659" w:name="_Toc45890476"/>
      <w:bookmarkStart w:id="660" w:name="_Toc45890737"/>
      <w:bookmarkStart w:id="661" w:name="_Toc45890980"/>
      <w:bookmarkStart w:id="662" w:name="_Toc45891229"/>
      <w:bookmarkStart w:id="663" w:name="_Toc45891478"/>
      <w:bookmarkStart w:id="664" w:name="_Toc45891721"/>
      <w:bookmarkStart w:id="665" w:name="_Toc74151145"/>
      <w:bookmarkStart w:id="666" w:name="_Toc45890477"/>
      <w:bookmarkStart w:id="667" w:name="_Toc45890738"/>
      <w:bookmarkStart w:id="668" w:name="_Toc45890981"/>
      <w:bookmarkStart w:id="669" w:name="_Toc45891230"/>
      <w:bookmarkStart w:id="670" w:name="_Toc45891479"/>
      <w:bookmarkStart w:id="671" w:name="_Toc45891722"/>
      <w:bookmarkStart w:id="672" w:name="_Toc74151146"/>
      <w:bookmarkStart w:id="673" w:name="_Toc45890478"/>
      <w:bookmarkStart w:id="674" w:name="_Toc45890739"/>
      <w:bookmarkStart w:id="675" w:name="_Toc45890982"/>
      <w:bookmarkStart w:id="676" w:name="_Toc45891231"/>
      <w:bookmarkStart w:id="677" w:name="_Toc45891480"/>
      <w:bookmarkStart w:id="678" w:name="_Toc45891723"/>
      <w:bookmarkStart w:id="679" w:name="_Toc74151147"/>
      <w:bookmarkStart w:id="680" w:name="_Toc45890479"/>
      <w:bookmarkStart w:id="681" w:name="_Toc45890740"/>
      <w:bookmarkStart w:id="682" w:name="_Toc45890983"/>
      <w:bookmarkStart w:id="683" w:name="_Toc45891232"/>
      <w:bookmarkStart w:id="684" w:name="_Toc45891481"/>
      <w:bookmarkStart w:id="685" w:name="_Toc45891724"/>
      <w:bookmarkStart w:id="686" w:name="_Toc74151148"/>
      <w:bookmarkStart w:id="687" w:name="_Toc45890480"/>
      <w:bookmarkStart w:id="688" w:name="_Toc45890741"/>
      <w:bookmarkStart w:id="689" w:name="_Toc45890984"/>
      <w:bookmarkStart w:id="690" w:name="_Toc45891233"/>
      <w:bookmarkStart w:id="691" w:name="_Toc45891482"/>
      <w:bookmarkStart w:id="692" w:name="_Toc45891725"/>
      <w:bookmarkStart w:id="693" w:name="_Toc74151149"/>
      <w:bookmarkStart w:id="694" w:name="_Toc45890481"/>
      <w:bookmarkStart w:id="695" w:name="_Toc45890742"/>
      <w:bookmarkStart w:id="696" w:name="_Toc45890985"/>
      <w:bookmarkStart w:id="697" w:name="_Toc45891234"/>
      <w:bookmarkStart w:id="698" w:name="_Toc45891483"/>
      <w:bookmarkStart w:id="699" w:name="_Toc45891726"/>
      <w:bookmarkStart w:id="700" w:name="_Toc74151150"/>
      <w:bookmarkStart w:id="701" w:name="_Toc45890482"/>
      <w:bookmarkStart w:id="702" w:name="_Toc45890743"/>
      <w:bookmarkStart w:id="703" w:name="_Toc45890986"/>
      <w:bookmarkStart w:id="704" w:name="_Toc45891235"/>
      <w:bookmarkStart w:id="705" w:name="_Toc45891484"/>
      <w:bookmarkStart w:id="706" w:name="_Toc45891727"/>
      <w:bookmarkStart w:id="707" w:name="_Toc74151151"/>
      <w:bookmarkStart w:id="708" w:name="_Toc45890483"/>
      <w:bookmarkStart w:id="709" w:name="_Toc45890744"/>
      <w:bookmarkStart w:id="710" w:name="_Toc45890987"/>
      <w:bookmarkStart w:id="711" w:name="_Toc45891236"/>
      <w:bookmarkStart w:id="712" w:name="_Toc45891485"/>
      <w:bookmarkStart w:id="713" w:name="_Toc45891728"/>
      <w:bookmarkStart w:id="714" w:name="_Toc74151152"/>
      <w:bookmarkStart w:id="715" w:name="_Toc45890484"/>
      <w:bookmarkStart w:id="716" w:name="_Toc45890745"/>
      <w:bookmarkStart w:id="717" w:name="_Toc45890988"/>
      <w:bookmarkStart w:id="718" w:name="_Toc45891237"/>
      <w:bookmarkStart w:id="719" w:name="_Toc45891486"/>
      <w:bookmarkStart w:id="720" w:name="_Toc45891729"/>
      <w:bookmarkStart w:id="721" w:name="_Toc74151153"/>
      <w:bookmarkStart w:id="722" w:name="_Toc45890485"/>
      <w:bookmarkStart w:id="723" w:name="_Toc45890746"/>
      <w:bookmarkStart w:id="724" w:name="_Toc45890989"/>
      <w:bookmarkStart w:id="725" w:name="_Toc45891238"/>
      <w:bookmarkStart w:id="726" w:name="_Toc45891487"/>
      <w:bookmarkStart w:id="727" w:name="_Toc45891730"/>
      <w:bookmarkStart w:id="728" w:name="_Toc74151154"/>
      <w:bookmarkStart w:id="729" w:name="_Toc45890486"/>
      <w:bookmarkStart w:id="730" w:name="_Toc45890747"/>
      <w:bookmarkStart w:id="731" w:name="_Toc45890990"/>
      <w:bookmarkStart w:id="732" w:name="_Toc45891239"/>
      <w:bookmarkStart w:id="733" w:name="_Toc45891488"/>
      <w:bookmarkStart w:id="734" w:name="_Toc45891731"/>
      <w:bookmarkStart w:id="735" w:name="_Toc74151155"/>
      <w:bookmarkStart w:id="736" w:name="_Toc45890487"/>
      <w:bookmarkStart w:id="737" w:name="_Toc45890748"/>
      <w:bookmarkStart w:id="738" w:name="_Toc45890991"/>
      <w:bookmarkStart w:id="739" w:name="_Toc45891240"/>
      <w:bookmarkStart w:id="740" w:name="_Toc45891489"/>
      <w:bookmarkStart w:id="741" w:name="_Toc45891732"/>
      <w:bookmarkStart w:id="742" w:name="_Toc74151156"/>
      <w:bookmarkStart w:id="743" w:name="_Toc45890488"/>
      <w:bookmarkStart w:id="744" w:name="_Toc45890749"/>
      <w:bookmarkStart w:id="745" w:name="_Toc45890992"/>
      <w:bookmarkStart w:id="746" w:name="_Toc45891241"/>
      <w:bookmarkStart w:id="747" w:name="_Toc45891490"/>
      <w:bookmarkStart w:id="748" w:name="_Toc45891733"/>
      <w:bookmarkStart w:id="749" w:name="_Toc74151157"/>
      <w:bookmarkStart w:id="750" w:name="_Toc45890489"/>
      <w:bookmarkStart w:id="751" w:name="_Toc45890750"/>
      <w:bookmarkStart w:id="752" w:name="_Toc45890993"/>
      <w:bookmarkStart w:id="753" w:name="_Toc45891242"/>
      <w:bookmarkStart w:id="754" w:name="_Toc45891491"/>
      <w:bookmarkStart w:id="755" w:name="_Toc45891734"/>
      <w:bookmarkStart w:id="756" w:name="_Toc74151158"/>
      <w:bookmarkStart w:id="757" w:name="_Toc45890490"/>
      <w:bookmarkStart w:id="758" w:name="_Toc45890751"/>
      <w:bookmarkStart w:id="759" w:name="_Toc45890994"/>
      <w:bookmarkStart w:id="760" w:name="_Toc45891243"/>
      <w:bookmarkStart w:id="761" w:name="_Toc45891492"/>
      <w:bookmarkStart w:id="762" w:name="_Toc45891735"/>
      <w:bookmarkStart w:id="763" w:name="_Toc74151159"/>
      <w:bookmarkStart w:id="764" w:name="_Toc45890491"/>
      <w:bookmarkStart w:id="765" w:name="_Toc45890752"/>
      <w:bookmarkStart w:id="766" w:name="_Toc45890995"/>
      <w:bookmarkStart w:id="767" w:name="_Toc45891244"/>
      <w:bookmarkStart w:id="768" w:name="_Toc45891493"/>
      <w:bookmarkStart w:id="769" w:name="_Toc45891736"/>
      <w:bookmarkStart w:id="770" w:name="_Toc74151160"/>
      <w:bookmarkStart w:id="771" w:name="_Toc45890492"/>
      <w:bookmarkStart w:id="772" w:name="_Toc45890753"/>
      <w:bookmarkStart w:id="773" w:name="_Toc45890996"/>
      <w:bookmarkStart w:id="774" w:name="_Toc45891245"/>
      <w:bookmarkStart w:id="775" w:name="_Toc45891494"/>
      <w:bookmarkStart w:id="776" w:name="_Toc45891737"/>
      <w:bookmarkStart w:id="777" w:name="_Toc74151161"/>
      <w:bookmarkStart w:id="778" w:name="_Toc45890493"/>
      <w:bookmarkStart w:id="779" w:name="_Toc45890754"/>
      <w:bookmarkStart w:id="780" w:name="_Toc45890997"/>
      <w:bookmarkStart w:id="781" w:name="_Toc45891246"/>
      <w:bookmarkStart w:id="782" w:name="_Toc45891495"/>
      <w:bookmarkStart w:id="783" w:name="_Toc45891738"/>
      <w:bookmarkStart w:id="784" w:name="_Toc74151162"/>
      <w:bookmarkStart w:id="785" w:name="_Toc45890494"/>
      <w:bookmarkStart w:id="786" w:name="_Toc45890755"/>
      <w:bookmarkStart w:id="787" w:name="_Toc45890998"/>
      <w:bookmarkStart w:id="788" w:name="_Toc45891247"/>
      <w:bookmarkStart w:id="789" w:name="_Toc45891496"/>
      <w:bookmarkStart w:id="790" w:name="_Toc45891739"/>
      <w:bookmarkStart w:id="791" w:name="_Toc74151163"/>
      <w:bookmarkStart w:id="792" w:name="_Toc45890495"/>
      <w:bookmarkStart w:id="793" w:name="_Toc45890756"/>
      <w:bookmarkStart w:id="794" w:name="_Toc45890999"/>
      <w:bookmarkStart w:id="795" w:name="_Toc45891248"/>
      <w:bookmarkStart w:id="796" w:name="_Toc45891497"/>
      <w:bookmarkStart w:id="797" w:name="_Toc45891740"/>
      <w:bookmarkStart w:id="798" w:name="_Toc74151164"/>
      <w:bookmarkStart w:id="799" w:name="_Toc45890496"/>
      <w:bookmarkStart w:id="800" w:name="_Toc45890757"/>
      <w:bookmarkStart w:id="801" w:name="_Toc45891000"/>
      <w:bookmarkStart w:id="802" w:name="_Toc45891249"/>
      <w:bookmarkStart w:id="803" w:name="_Toc45891498"/>
      <w:bookmarkStart w:id="804" w:name="_Toc45891741"/>
      <w:bookmarkStart w:id="805" w:name="_Toc74151165"/>
      <w:bookmarkStart w:id="806" w:name="_Toc45890497"/>
      <w:bookmarkStart w:id="807" w:name="_Toc45890758"/>
      <w:bookmarkStart w:id="808" w:name="_Toc45891001"/>
      <w:bookmarkStart w:id="809" w:name="_Toc45891250"/>
      <w:bookmarkStart w:id="810" w:name="_Toc45891499"/>
      <w:bookmarkStart w:id="811" w:name="_Toc45891742"/>
      <w:bookmarkStart w:id="812" w:name="_Toc74151166"/>
      <w:bookmarkStart w:id="813" w:name="_Toc45890498"/>
      <w:bookmarkStart w:id="814" w:name="_Toc45890759"/>
      <w:bookmarkStart w:id="815" w:name="_Toc45891002"/>
      <w:bookmarkStart w:id="816" w:name="_Toc45891251"/>
      <w:bookmarkStart w:id="817" w:name="_Toc45891500"/>
      <w:bookmarkStart w:id="818" w:name="_Toc45891743"/>
      <w:bookmarkStart w:id="819" w:name="_Toc74151167"/>
      <w:bookmarkStart w:id="820" w:name="_Toc45890499"/>
      <w:bookmarkStart w:id="821" w:name="_Toc45890760"/>
      <w:bookmarkStart w:id="822" w:name="_Toc45891003"/>
      <w:bookmarkStart w:id="823" w:name="_Toc45891252"/>
      <w:bookmarkStart w:id="824" w:name="_Toc45891501"/>
      <w:bookmarkStart w:id="825" w:name="_Toc45891744"/>
      <w:bookmarkStart w:id="826" w:name="_Toc74151168"/>
      <w:bookmarkStart w:id="827" w:name="_Toc45890500"/>
      <w:bookmarkStart w:id="828" w:name="_Toc45890761"/>
      <w:bookmarkStart w:id="829" w:name="_Toc45891004"/>
      <w:bookmarkStart w:id="830" w:name="_Toc45891253"/>
      <w:bookmarkStart w:id="831" w:name="_Toc45891502"/>
      <w:bookmarkStart w:id="832" w:name="_Toc45891745"/>
      <w:bookmarkStart w:id="833" w:name="_Toc74151169"/>
      <w:bookmarkStart w:id="834" w:name="_Toc45890501"/>
      <w:bookmarkStart w:id="835" w:name="_Toc45890762"/>
      <w:bookmarkStart w:id="836" w:name="_Toc45891005"/>
      <w:bookmarkStart w:id="837" w:name="_Toc45891254"/>
      <w:bookmarkStart w:id="838" w:name="_Toc45891503"/>
      <w:bookmarkStart w:id="839" w:name="_Toc45891746"/>
      <w:bookmarkStart w:id="840" w:name="_Toc74151170"/>
      <w:bookmarkStart w:id="841" w:name="_Toc45890502"/>
      <w:bookmarkStart w:id="842" w:name="_Toc45890763"/>
      <w:bookmarkStart w:id="843" w:name="_Toc45891006"/>
      <w:bookmarkStart w:id="844" w:name="_Toc45891255"/>
      <w:bookmarkStart w:id="845" w:name="_Toc45891504"/>
      <w:bookmarkStart w:id="846" w:name="_Toc45891747"/>
      <w:bookmarkStart w:id="847" w:name="_Toc74151171"/>
      <w:bookmarkStart w:id="848" w:name="_Toc45890503"/>
      <w:bookmarkStart w:id="849" w:name="_Toc45890764"/>
      <w:bookmarkStart w:id="850" w:name="_Toc45891007"/>
      <w:bookmarkStart w:id="851" w:name="_Toc45891256"/>
      <w:bookmarkStart w:id="852" w:name="_Toc45891505"/>
      <w:bookmarkStart w:id="853" w:name="_Toc45891748"/>
      <w:bookmarkStart w:id="854" w:name="_Toc74151172"/>
      <w:bookmarkStart w:id="855" w:name="_Toc45890504"/>
      <w:bookmarkStart w:id="856" w:name="_Toc45890765"/>
      <w:bookmarkStart w:id="857" w:name="_Toc45891008"/>
      <w:bookmarkStart w:id="858" w:name="_Toc45891257"/>
      <w:bookmarkStart w:id="859" w:name="_Toc45891506"/>
      <w:bookmarkStart w:id="860" w:name="_Toc45891749"/>
      <w:bookmarkStart w:id="861" w:name="_Toc74151173"/>
      <w:bookmarkStart w:id="862" w:name="_Toc45890505"/>
      <w:bookmarkStart w:id="863" w:name="_Toc45890766"/>
      <w:bookmarkStart w:id="864" w:name="_Toc45891009"/>
      <w:bookmarkStart w:id="865" w:name="_Toc45891258"/>
      <w:bookmarkStart w:id="866" w:name="_Toc45891507"/>
      <w:bookmarkStart w:id="867" w:name="_Toc45891750"/>
      <w:bookmarkStart w:id="868" w:name="_Toc74151174"/>
      <w:bookmarkStart w:id="869" w:name="_Toc45890506"/>
      <w:bookmarkStart w:id="870" w:name="_Toc45890767"/>
      <w:bookmarkStart w:id="871" w:name="_Toc45891010"/>
      <w:bookmarkStart w:id="872" w:name="_Toc45891259"/>
      <w:bookmarkStart w:id="873" w:name="_Toc45891508"/>
      <w:bookmarkStart w:id="874" w:name="_Toc45891751"/>
      <w:bookmarkStart w:id="875" w:name="_Toc74151175"/>
      <w:bookmarkStart w:id="876" w:name="_Toc45890507"/>
      <w:bookmarkStart w:id="877" w:name="_Toc45890768"/>
      <w:bookmarkStart w:id="878" w:name="_Toc45891011"/>
      <w:bookmarkStart w:id="879" w:name="_Toc45891260"/>
      <w:bookmarkStart w:id="880" w:name="_Toc45891509"/>
      <w:bookmarkStart w:id="881" w:name="_Toc45891752"/>
      <w:bookmarkStart w:id="882" w:name="_Toc74151176"/>
      <w:bookmarkStart w:id="883" w:name="_Toc45890508"/>
      <w:bookmarkStart w:id="884" w:name="_Toc45890769"/>
      <w:bookmarkStart w:id="885" w:name="_Toc45891012"/>
      <w:bookmarkStart w:id="886" w:name="_Toc45891261"/>
      <w:bookmarkStart w:id="887" w:name="_Toc45891510"/>
      <w:bookmarkStart w:id="888" w:name="_Toc45891753"/>
      <w:bookmarkStart w:id="889" w:name="_Toc74151177"/>
      <w:bookmarkStart w:id="890" w:name="_Toc45890509"/>
      <w:bookmarkStart w:id="891" w:name="_Toc45890770"/>
      <w:bookmarkStart w:id="892" w:name="_Toc45891013"/>
      <w:bookmarkStart w:id="893" w:name="_Toc45891262"/>
      <w:bookmarkStart w:id="894" w:name="_Toc45891511"/>
      <w:bookmarkStart w:id="895" w:name="_Toc45891754"/>
      <w:bookmarkStart w:id="896" w:name="_Toc74151178"/>
      <w:bookmarkStart w:id="897" w:name="_Toc45890510"/>
      <w:bookmarkStart w:id="898" w:name="_Toc45890771"/>
      <w:bookmarkStart w:id="899" w:name="_Toc45891014"/>
      <w:bookmarkStart w:id="900" w:name="_Toc45891263"/>
      <w:bookmarkStart w:id="901" w:name="_Toc45891512"/>
      <w:bookmarkStart w:id="902" w:name="_Toc45891755"/>
      <w:bookmarkStart w:id="903" w:name="_Toc74151179"/>
      <w:bookmarkStart w:id="904" w:name="_Toc45890511"/>
      <w:bookmarkStart w:id="905" w:name="_Toc45890772"/>
      <w:bookmarkStart w:id="906" w:name="_Toc45891015"/>
      <w:bookmarkStart w:id="907" w:name="_Toc45891264"/>
      <w:bookmarkStart w:id="908" w:name="_Toc45891513"/>
      <w:bookmarkStart w:id="909" w:name="_Toc45891756"/>
      <w:bookmarkStart w:id="910" w:name="_Toc74151180"/>
      <w:bookmarkStart w:id="911" w:name="_Toc45890512"/>
      <w:bookmarkStart w:id="912" w:name="_Toc45890773"/>
      <w:bookmarkStart w:id="913" w:name="_Toc45891016"/>
      <w:bookmarkStart w:id="914" w:name="_Toc45891265"/>
      <w:bookmarkStart w:id="915" w:name="_Toc45891514"/>
      <w:bookmarkStart w:id="916" w:name="_Toc45891757"/>
      <w:bookmarkStart w:id="917" w:name="_Toc74151181"/>
      <w:bookmarkStart w:id="918" w:name="_Toc45890513"/>
      <w:bookmarkStart w:id="919" w:name="_Toc45890774"/>
      <w:bookmarkStart w:id="920" w:name="_Toc45891017"/>
      <w:bookmarkStart w:id="921" w:name="_Toc45891266"/>
      <w:bookmarkStart w:id="922" w:name="_Toc45891515"/>
      <w:bookmarkStart w:id="923" w:name="_Toc45891758"/>
      <w:bookmarkStart w:id="924" w:name="_Toc74151182"/>
      <w:bookmarkStart w:id="925" w:name="_Toc45890514"/>
      <w:bookmarkStart w:id="926" w:name="_Toc45890775"/>
      <w:bookmarkStart w:id="927" w:name="_Toc45891018"/>
      <w:bookmarkStart w:id="928" w:name="_Toc45891267"/>
      <w:bookmarkStart w:id="929" w:name="_Toc45891516"/>
      <w:bookmarkStart w:id="930" w:name="_Toc45891759"/>
      <w:bookmarkStart w:id="931" w:name="_Toc74151183"/>
      <w:bookmarkStart w:id="932" w:name="_Toc45890515"/>
      <w:bookmarkStart w:id="933" w:name="_Toc45890776"/>
      <w:bookmarkStart w:id="934" w:name="_Toc45891019"/>
      <w:bookmarkStart w:id="935" w:name="_Toc45891268"/>
      <w:bookmarkStart w:id="936" w:name="_Toc45891517"/>
      <w:bookmarkStart w:id="937" w:name="_Toc45891760"/>
      <w:bookmarkStart w:id="938" w:name="_Toc74151184"/>
      <w:bookmarkStart w:id="939" w:name="_Toc45890516"/>
      <w:bookmarkStart w:id="940" w:name="_Toc45890777"/>
      <w:bookmarkStart w:id="941" w:name="_Toc45891020"/>
      <w:bookmarkStart w:id="942" w:name="_Toc45891269"/>
      <w:bookmarkStart w:id="943" w:name="_Toc45891518"/>
      <w:bookmarkStart w:id="944" w:name="_Toc45891761"/>
      <w:bookmarkStart w:id="945" w:name="_Toc74151185"/>
      <w:bookmarkStart w:id="946" w:name="_Toc45890517"/>
      <w:bookmarkStart w:id="947" w:name="_Toc45890778"/>
      <w:bookmarkStart w:id="948" w:name="_Toc45891021"/>
      <w:bookmarkStart w:id="949" w:name="_Toc45891270"/>
      <w:bookmarkStart w:id="950" w:name="_Toc45891519"/>
      <w:bookmarkStart w:id="951" w:name="_Toc45891762"/>
      <w:bookmarkStart w:id="952" w:name="_Toc74151186"/>
      <w:bookmarkStart w:id="953" w:name="_Toc45890518"/>
      <w:bookmarkStart w:id="954" w:name="_Toc45890779"/>
      <w:bookmarkStart w:id="955" w:name="_Toc45891022"/>
      <w:bookmarkStart w:id="956" w:name="_Toc45891271"/>
      <w:bookmarkStart w:id="957" w:name="_Toc45891520"/>
      <w:bookmarkStart w:id="958" w:name="_Toc45891763"/>
      <w:bookmarkStart w:id="959" w:name="_Toc74151187"/>
      <w:bookmarkStart w:id="960" w:name="_Toc45890519"/>
      <w:bookmarkStart w:id="961" w:name="_Toc45890780"/>
      <w:bookmarkStart w:id="962" w:name="_Toc45891023"/>
      <w:bookmarkStart w:id="963" w:name="_Toc45891272"/>
      <w:bookmarkStart w:id="964" w:name="_Toc45891521"/>
      <w:bookmarkStart w:id="965" w:name="_Toc45891764"/>
      <w:bookmarkStart w:id="966" w:name="_Toc74151188"/>
      <w:bookmarkStart w:id="967" w:name="_Toc45890520"/>
      <w:bookmarkStart w:id="968" w:name="_Toc45890781"/>
      <w:bookmarkStart w:id="969" w:name="_Toc45891024"/>
      <w:bookmarkStart w:id="970" w:name="_Toc45891273"/>
      <w:bookmarkStart w:id="971" w:name="_Toc45891522"/>
      <w:bookmarkStart w:id="972" w:name="_Toc45891765"/>
      <w:bookmarkStart w:id="973" w:name="_Toc74151189"/>
      <w:bookmarkStart w:id="974" w:name="_Toc45890521"/>
      <w:bookmarkStart w:id="975" w:name="_Toc45890782"/>
      <w:bookmarkStart w:id="976" w:name="_Toc45891025"/>
      <w:bookmarkStart w:id="977" w:name="_Toc45891274"/>
      <w:bookmarkStart w:id="978" w:name="_Toc45891523"/>
      <w:bookmarkStart w:id="979" w:name="_Toc45891766"/>
      <w:bookmarkStart w:id="980" w:name="_Toc74151190"/>
      <w:bookmarkStart w:id="981" w:name="_Toc45890522"/>
      <w:bookmarkStart w:id="982" w:name="_Toc45890783"/>
      <w:bookmarkStart w:id="983" w:name="_Toc45891026"/>
      <w:bookmarkStart w:id="984" w:name="_Toc45891275"/>
      <w:bookmarkStart w:id="985" w:name="_Toc45891524"/>
      <w:bookmarkStart w:id="986" w:name="_Toc45891767"/>
      <w:bookmarkStart w:id="987" w:name="_Toc74151191"/>
      <w:bookmarkStart w:id="988" w:name="_Toc45890523"/>
      <w:bookmarkStart w:id="989" w:name="_Toc45890784"/>
      <w:bookmarkStart w:id="990" w:name="_Toc45891027"/>
      <w:bookmarkStart w:id="991" w:name="_Toc45891276"/>
      <w:bookmarkStart w:id="992" w:name="_Toc45891525"/>
      <w:bookmarkStart w:id="993" w:name="_Toc45891768"/>
      <w:bookmarkStart w:id="994" w:name="_Toc74151192"/>
      <w:bookmarkStart w:id="995" w:name="_Toc45890524"/>
      <w:bookmarkStart w:id="996" w:name="_Toc45890785"/>
      <w:bookmarkStart w:id="997" w:name="_Toc45891028"/>
      <w:bookmarkStart w:id="998" w:name="_Toc45891277"/>
      <w:bookmarkStart w:id="999" w:name="_Toc45891526"/>
      <w:bookmarkStart w:id="1000" w:name="_Toc45891769"/>
      <w:bookmarkStart w:id="1001" w:name="_Toc74151193"/>
      <w:bookmarkStart w:id="1002" w:name="_Toc45890525"/>
      <w:bookmarkStart w:id="1003" w:name="_Toc45890786"/>
      <w:bookmarkStart w:id="1004" w:name="_Toc45891029"/>
      <w:bookmarkStart w:id="1005" w:name="_Toc45891278"/>
      <w:bookmarkStart w:id="1006" w:name="_Toc45891527"/>
      <w:bookmarkStart w:id="1007" w:name="_Toc45891770"/>
      <w:bookmarkStart w:id="1008" w:name="_Toc74151194"/>
      <w:bookmarkStart w:id="1009" w:name="_Toc45890526"/>
      <w:bookmarkStart w:id="1010" w:name="_Toc45890787"/>
      <w:bookmarkStart w:id="1011" w:name="_Toc45891030"/>
      <w:bookmarkStart w:id="1012" w:name="_Toc45891279"/>
      <w:bookmarkStart w:id="1013" w:name="_Toc45891528"/>
      <w:bookmarkStart w:id="1014" w:name="_Toc45891771"/>
      <w:bookmarkStart w:id="1015" w:name="_Toc74151195"/>
      <w:bookmarkStart w:id="1016" w:name="_Toc45890527"/>
      <w:bookmarkStart w:id="1017" w:name="_Toc45890788"/>
      <w:bookmarkStart w:id="1018" w:name="_Toc45891031"/>
      <w:bookmarkStart w:id="1019" w:name="_Toc45891280"/>
      <w:bookmarkStart w:id="1020" w:name="_Toc45891529"/>
      <w:bookmarkStart w:id="1021" w:name="_Toc45891772"/>
      <w:bookmarkStart w:id="1022" w:name="_Toc74151196"/>
      <w:bookmarkStart w:id="1023" w:name="_Toc45890528"/>
      <w:bookmarkStart w:id="1024" w:name="_Toc45890789"/>
      <w:bookmarkStart w:id="1025" w:name="_Toc45891032"/>
      <w:bookmarkStart w:id="1026" w:name="_Toc45891281"/>
      <w:bookmarkStart w:id="1027" w:name="_Toc45891530"/>
      <w:bookmarkStart w:id="1028" w:name="_Toc45891773"/>
      <w:bookmarkStart w:id="1029" w:name="_Toc74151197"/>
      <w:bookmarkStart w:id="1030" w:name="_Toc45890529"/>
      <w:bookmarkStart w:id="1031" w:name="_Toc45890790"/>
      <w:bookmarkStart w:id="1032" w:name="_Toc45891033"/>
      <w:bookmarkStart w:id="1033" w:name="_Toc45891282"/>
      <w:bookmarkStart w:id="1034" w:name="_Toc45891531"/>
      <w:bookmarkStart w:id="1035" w:name="_Toc45891774"/>
      <w:bookmarkStart w:id="1036" w:name="_Toc74151198"/>
      <w:bookmarkStart w:id="1037" w:name="_Toc45890530"/>
      <w:bookmarkStart w:id="1038" w:name="_Toc45890791"/>
      <w:bookmarkStart w:id="1039" w:name="_Toc45891034"/>
      <w:bookmarkStart w:id="1040" w:name="_Toc45891283"/>
      <w:bookmarkStart w:id="1041" w:name="_Toc45891532"/>
      <w:bookmarkStart w:id="1042" w:name="_Toc45891775"/>
      <w:bookmarkStart w:id="1043" w:name="_Toc74151199"/>
      <w:bookmarkStart w:id="1044" w:name="_Toc45890531"/>
      <w:bookmarkStart w:id="1045" w:name="_Toc45890792"/>
      <w:bookmarkStart w:id="1046" w:name="_Toc45891035"/>
      <w:bookmarkStart w:id="1047" w:name="_Toc45891284"/>
      <w:bookmarkStart w:id="1048" w:name="_Toc45891533"/>
      <w:bookmarkStart w:id="1049" w:name="_Toc45891776"/>
      <w:bookmarkStart w:id="1050" w:name="_Toc74151200"/>
      <w:bookmarkStart w:id="1051" w:name="_Toc45890532"/>
      <w:bookmarkStart w:id="1052" w:name="_Toc45890793"/>
      <w:bookmarkStart w:id="1053" w:name="_Toc45891036"/>
      <w:bookmarkStart w:id="1054" w:name="_Toc45891285"/>
      <w:bookmarkStart w:id="1055" w:name="_Toc45891534"/>
      <w:bookmarkStart w:id="1056" w:name="_Toc45891777"/>
      <w:bookmarkStart w:id="1057" w:name="_Toc74151201"/>
      <w:bookmarkStart w:id="1058" w:name="_Toc45890533"/>
      <w:bookmarkStart w:id="1059" w:name="_Toc45890794"/>
      <w:bookmarkStart w:id="1060" w:name="_Toc45891037"/>
      <w:bookmarkStart w:id="1061" w:name="_Toc45891286"/>
      <w:bookmarkStart w:id="1062" w:name="_Toc45891535"/>
      <w:bookmarkStart w:id="1063" w:name="_Toc45891778"/>
      <w:bookmarkStart w:id="1064" w:name="_Toc74151202"/>
      <w:bookmarkStart w:id="1065" w:name="_Toc45890534"/>
      <w:bookmarkStart w:id="1066" w:name="_Toc45890795"/>
      <w:bookmarkStart w:id="1067" w:name="_Toc45891038"/>
      <w:bookmarkStart w:id="1068" w:name="_Toc45891287"/>
      <w:bookmarkStart w:id="1069" w:name="_Toc45891536"/>
      <w:bookmarkStart w:id="1070" w:name="_Toc45891779"/>
      <w:bookmarkStart w:id="1071" w:name="_Toc74151203"/>
      <w:bookmarkStart w:id="1072" w:name="_Toc45890535"/>
      <w:bookmarkStart w:id="1073" w:name="_Toc45890796"/>
      <w:bookmarkStart w:id="1074" w:name="_Toc45891039"/>
      <w:bookmarkStart w:id="1075" w:name="_Toc45891288"/>
      <w:bookmarkStart w:id="1076" w:name="_Toc45891537"/>
      <w:bookmarkStart w:id="1077" w:name="_Toc45891780"/>
      <w:bookmarkStart w:id="1078" w:name="_Toc74151204"/>
      <w:bookmarkStart w:id="1079" w:name="_Toc45890536"/>
      <w:bookmarkStart w:id="1080" w:name="_Toc45890797"/>
      <w:bookmarkStart w:id="1081" w:name="_Toc45891040"/>
      <w:bookmarkStart w:id="1082" w:name="_Toc45891289"/>
      <w:bookmarkStart w:id="1083" w:name="_Toc45891538"/>
      <w:bookmarkStart w:id="1084" w:name="_Toc45891781"/>
      <w:bookmarkStart w:id="1085" w:name="_Toc74151205"/>
      <w:bookmarkStart w:id="1086" w:name="_Toc45890537"/>
      <w:bookmarkStart w:id="1087" w:name="_Toc45890798"/>
      <w:bookmarkStart w:id="1088" w:name="_Toc45891041"/>
      <w:bookmarkStart w:id="1089" w:name="_Toc45891290"/>
      <w:bookmarkStart w:id="1090" w:name="_Toc45891539"/>
      <w:bookmarkStart w:id="1091" w:name="_Toc45891782"/>
      <w:bookmarkStart w:id="1092" w:name="_Toc74151206"/>
      <w:bookmarkStart w:id="1093" w:name="_Toc45890538"/>
      <w:bookmarkStart w:id="1094" w:name="_Toc45890799"/>
      <w:bookmarkStart w:id="1095" w:name="_Toc45891042"/>
      <w:bookmarkStart w:id="1096" w:name="_Toc45891291"/>
      <w:bookmarkStart w:id="1097" w:name="_Toc45891540"/>
      <w:bookmarkStart w:id="1098" w:name="_Toc45891783"/>
      <w:bookmarkStart w:id="1099" w:name="_Toc74151207"/>
      <w:bookmarkStart w:id="1100" w:name="_Toc45890539"/>
      <w:bookmarkStart w:id="1101" w:name="_Toc45890800"/>
      <w:bookmarkStart w:id="1102" w:name="_Toc45891043"/>
      <w:bookmarkStart w:id="1103" w:name="_Toc45891292"/>
      <w:bookmarkStart w:id="1104" w:name="_Toc45891541"/>
      <w:bookmarkStart w:id="1105" w:name="_Toc45891784"/>
      <w:bookmarkStart w:id="1106" w:name="_Toc74151208"/>
      <w:bookmarkStart w:id="1107" w:name="_Toc45890540"/>
      <w:bookmarkStart w:id="1108" w:name="_Toc45890801"/>
      <w:bookmarkStart w:id="1109" w:name="_Toc45891044"/>
      <w:bookmarkStart w:id="1110" w:name="_Toc45891293"/>
      <w:bookmarkStart w:id="1111" w:name="_Toc45891542"/>
      <w:bookmarkStart w:id="1112" w:name="_Toc45891785"/>
      <w:bookmarkStart w:id="1113" w:name="_Toc74151209"/>
      <w:bookmarkStart w:id="1114" w:name="_Toc45890541"/>
      <w:bookmarkStart w:id="1115" w:name="_Toc45890802"/>
      <w:bookmarkStart w:id="1116" w:name="_Toc45891045"/>
      <w:bookmarkStart w:id="1117" w:name="_Toc45891294"/>
      <w:bookmarkStart w:id="1118" w:name="_Toc45891543"/>
      <w:bookmarkStart w:id="1119" w:name="_Toc45891786"/>
      <w:bookmarkStart w:id="1120" w:name="_Toc74151210"/>
      <w:bookmarkStart w:id="1121" w:name="_Toc45890542"/>
      <w:bookmarkStart w:id="1122" w:name="_Toc45890803"/>
      <w:bookmarkStart w:id="1123" w:name="_Toc45891046"/>
      <w:bookmarkStart w:id="1124" w:name="_Toc45891295"/>
      <w:bookmarkStart w:id="1125" w:name="_Toc45891544"/>
      <w:bookmarkStart w:id="1126" w:name="_Toc45891787"/>
      <w:bookmarkStart w:id="1127" w:name="_Toc74151211"/>
      <w:bookmarkStart w:id="1128" w:name="_Toc45890543"/>
      <w:bookmarkStart w:id="1129" w:name="_Toc45890804"/>
      <w:bookmarkStart w:id="1130" w:name="_Toc45891047"/>
      <w:bookmarkStart w:id="1131" w:name="_Toc45891296"/>
      <w:bookmarkStart w:id="1132" w:name="_Toc45891545"/>
      <w:bookmarkStart w:id="1133" w:name="_Toc45891788"/>
      <w:bookmarkStart w:id="1134" w:name="_Toc74151212"/>
      <w:bookmarkStart w:id="1135" w:name="_Toc45890544"/>
      <w:bookmarkStart w:id="1136" w:name="_Toc45890805"/>
      <w:bookmarkStart w:id="1137" w:name="_Toc45891048"/>
      <w:bookmarkStart w:id="1138" w:name="_Toc45891297"/>
      <w:bookmarkStart w:id="1139" w:name="_Toc45891546"/>
      <w:bookmarkStart w:id="1140" w:name="_Toc45891789"/>
      <w:bookmarkStart w:id="1141" w:name="_Toc74151213"/>
      <w:bookmarkStart w:id="1142" w:name="_Toc45890545"/>
      <w:bookmarkStart w:id="1143" w:name="_Toc45890806"/>
      <w:bookmarkStart w:id="1144" w:name="_Toc45891049"/>
      <w:bookmarkStart w:id="1145" w:name="_Toc45891298"/>
      <w:bookmarkStart w:id="1146" w:name="_Toc45891547"/>
      <w:bookmarkStart w:id="1147" w:name="_Toc45891790"/>
      <w:bookmarkStart w:id="1148" w:name="_Toc74151214"/>
      <w:bookmarkStart w:id="1149" w:name="_Toc45890546"/>
      <w:bookmarkStart w:id="1150" w:name="_Toc45890807"/>
      <w:bookmarkStart w:id="1151" w:name="_Toc45891050"/>
      <w:bookmarkStart w:id="1152" w:name="_Toc45891299"/>
      <w:bookmarkStart w:id="1153" w:name="_Toc45891548"/>
      <w:bookmarkStart w:id="1154" w:name="_Toc45891791"/>
      <w:bookmarkStart w:id="1155" w:name="_Toc74151215"/>
      <w:bookmarkStart w:id="1156" w:name="_Toc45890547"/>
      <w:bookmarkStart w:id="1157" w:name="_Toc45890808"/>
      <w:bookmarkStart w:id="1158" w:name="_Toc45891051"/>
      <w:bookmarkStart w:id="1159" w:name="_Toc45891300"/>
      <w:bookmarkStart w:id="1160" w:name="_Toc45891549"/>
      <w:bookmarkStart w:id="1161" w:name="_Toc45891792"/>
      <w:bookmarkStart w:id="1162" w:name="_Toc74151216"/>
      <w:bookmarkStart w:id="1163" w:name="_Toc45890548"/>
      <w:bookmarkStart w:id="1164" w:name="_Toc45890809"/>
      <w:bookmarkStart w:id="1165" w:name="_Toc45891052"/>
      <w:bookmarkStart w:id="1166" w:name="_Toc45891301"/>
      <w:bookmarkStart w:id="1167" w:name="_Toc45891550"/>
      <w:bookmarkStart w:id="1168" w:name="_Toc45891793"/>
      <w:bookmarkStart w:id="1169" w:name="_Toc74151217"/>
      <w:bookmarkStart w:id="1170" w:name="_Toc45890549"/>
      <w:bookmarkStart w:id="1171" w:name="_Toc45890810"/>
      <w:bookmarkStart w:id="1172" w:name="_Toc45891053"/>
      <w:bookmarkStart w:id="1173" w:name="_Toc45891302"/>
      <w:bookmarkStart w:id="1174" w:name="_Toc45891551"/>
      <w:bookmarkStart w:id="1175" w:name="_Toc45891794"/>
      <w:bookmarkStart w:id="1176" w:name="_Toc74151218"/>
      <w:bookmarkStart w:id="1177" w:name="_Toc45890550"/>
      <w:bookmarkStart w:id="1178" w:name="_Toc45890811"/>
      <w:bookmarkStart w:id="1179" w:name="_Toc45891054"/>
      <w:bookmarkStart w:id="1180" w:name="_Toc45891303"/>
      <w:bookmarkStart w:id="1181" w:name="_Toc45891552"/>
      <w:bookmarkStart w:id="1182" w:name="_Toc45891795"/>
      <w:bookmarkStart w:id="1183" w:name="_Toc74151219"/>
      <w:bookmarkStart w:id="1184" w:name="_Toc45890551"/>
      <w:bookmarkStart w:id="1185" w:name="_Toc45890812"/>
      <w:bookmarkStart w:id="1186" w:name="_Toc45891055"/>
      <w:bookmarkStart w:id="1187" w:name="_Toc45891304"/>
      <w:bookmarkStart w:id="1188" w:name="_Toc45891553"/>
      <w:bookmarkStart w:id="1189" w:name="_Toc45891796"/>
      <w:bookmarkStart w:id="1190" w:name="_Toc74151220"/>
      <w:bookmarkStart w:id="1191" w:name="_Toc45890552"/>
      <w:bookmarkStart w:id="1192" w:name="_Toc45890813"/>
      <w:bookmarkStart w:id="1193" w:name="_Toc45891056"/>
      <w:bookmarkStart w:id="1194" w:name="_Toc45891305"/>
      <w:bookmarkStart w:id="1195" w:name="_Toc45891554"/>
      <w:bookmarkStart w:id="1196" w:name="_Toc45891797"/>
      <w:bookmarkStart w:id="1197" w:name="_Toc74151221"/>
      <w:bookmarkStart w:id="1198" w:name="_Toc45890553"/>
      <w:bookmarkStart w:id="1199" w:name="_Toc45890814"/>
      <w:bookmarkStart w:id="1200" w:name="_Toc45891057"/>
      <w:bookmarkStart w:id="1201" w:name="_Toc45891306"/>
      <w:bookmarkStart w:id="1202" w:name="_Toc45891555"/>
      <w:bookmarkStart w:id="1203" w:name="_Toc45891798"/>
      <w:bookmarkStart w:id="1204" w:name="_Toc74151222"/>
      <w:bookmarkStart w:id="1205" w:name="_Toc45890554"/>
      <w:bookmarkStart w:id="1206" w:name="_Toc45890815"/>
      <w:bookmarkStart w:id="1207" w:name="_Toc45891058"/>
      <w:bookmarkStart w:id="1208" w:name="_Toc45891307"/>
      <w:bookmarkStart w:id="1209" w:name="_Toc45891556"/>
      <w:bookmarkStart w:id="1210" w:name="_Toc45891799"/>
      <w:bookmarkStart w:id="1211" w:name="_Toc74151223"/>
      <w:bookmarkStart w:id="1212" w:name="_Toc45890555"/>
      <w:bookmarkStart w:id="1213" w:name="_Toc45890816"/>
      <w:bookmarkStart w:id="1214" w:name="_Toc45891059"/>
      <w:bookmarkStart w:id="1215" w:name="_Toc45891308"/>
      <w:bookmarkStart w:id="1216" w:name="_Toc45891557"/>
      <w:bookmarkStart w:id="1217" w:name="_Toc45891800"/>
      <w:bookmarkStart w:id="1218" w:name="_Toc74151224"/>
      <w:bookmarkStart w:id="1219" w:name="_Toc45890556"/>
      <w:bookmarkStart w:id="1220" w:name="_Toc45890817"/>
      <w:bookmarkStart w:id="1221" w:name="_Toc45891060"/>
      <w:bookmarkStart w:id="1222" w:name="_Toc45891309"/>
      <w:bookmarkStart w:id="1223" w:name="_Toc45891558"/>
      <w:bookmarkStart w:id="1224" w:name="_Toc45891801"/>
      <w:bookmarkStart w:id="1225" w:name="_Toc74151225"/>
      <w:bookmarkStart w:id="1226" w:name="_Toc45890557"/>
      <w:bookmarkStart w:id="1227" w:name="_Toc45890818"/>
      <w:bookmarkStart w:id="1228" w:name="_Toc45891061"/>
      <w:bookmarkStart w:id="1229" w:name="_Toc45891310"/>
      <w:bookmarkStart w:id="1230" w:name="_Toc45891559"/>
      <w:bookmarkStart w:id="1231" w:name="_Toc45891802"/>
      <w:bookmarkStart w:id="1232" w:name="_Toc74151226"/>
      <w:bookmarkStart w:id="1233" w:name="_Toc45890558"/>
      <w:bookmarkStart w:id="1234" w:name="_Toc45890819"/>
      <w:bookmarkStart w:id="1235" w:name="_Toc45891062"/>
      <w:bookmarkStart w:id="1236" w:name="_Toc45891311"/>
      <w:bookmarkStart w:id="1237" w:name="_Toc45891560"/>
      <w:bookmarkStart w:id="1238" w:name="_Toc45891803"/>
      <w:bookmarkStart w:id="1239" w:name="_Toc74151227"/>
      <w:bookmarkStart w:id="1240" w:name="_Toc45890559"/>
      <w:bookmarkStart w:id="1241" w:name="_Toc45890820"/>
      <w:bookmarkStart w:id="1242" w:name="_Toc45891063"/>
      <w:bookmarkStart w:id="1243" w:name="_Toc45891312"/>
      <w:bookmarkStart w:id="1244" w:name="_Toc45891561"/>
      <w:bookmarkStart w:id="1245" w:name="_Toc45891804"/>
      <w:bookmarkStart w:id="1246" w:name="_Toc74151228"/>
      <w:bookmarkStart w:id="1247" w:name="_Toc45890560"/>
      <w:bookmarkStart w:id="1248" w:name="_Toc45890821"/>
      <w:bookmarkStart w:id="1249" w:name="_Toc45891064"/>
      <w:bookmarkStart w:id="1250" w:name="_Toc45891313"/>
      <w:bookmarkStart w:id="1251" w:name="_Toc45891562"/>
      <w:bookmarkStart w:id="1252" w:name="_Toc45891805"/>
      <w:bookmarkStart w:id="1253" w:name="_Toc74151229"/>
      <w:bookmarkStart w:id="1254" w:name="_Toc45890561"/>
      <w:bookmarkStart w:id="1255" w:name="_Toc45890822"/>
      <w:bookmarkStart w:id="1256" w:name="_Toc45891065"/>
      <w:bookmarkStart w:id="1257" w:name="_Toc45891314"/>
      <w:bookmarkStart w:id="1258" w:name="_Toc45891563"/>
      <w:bookmarkStart w:id="1259" w:name="_Toc45891806"/>
      <w:bookmarkStart w:id="1260" w:name="_Toc74151230"/>
      <w:bookmarkStart w:id="1261" w:name="_Toc45890562"/>
      <w:bookmarkStart w:id="1262" w:name="_Toc45890823"/>
      <w:bookmarkStart w:id="1263" w:name="_Toc45891066"/>
      <w:bookmarkStart w:id="1264" w:name="_Toc45891315"/>
      <w:bookmarkStart w:id="1265" w:name="_Toc45891564"/>
      <w:bookmarkStart w:id="1266" w:name="_Toc45891807"/>
      <w:bookmarkStart w:id="1267" w:name="_Toc74151231"/>
      <w:bookmarkStart w:id="1268" w:name="_Toc45890563"/>
      <w:bookmarkStart w:id="1269" w:name="_Toc45890824"/>
      <w:bookmarkStart w:id="1270" w:name="_Toc45891067"/>
      <w:bookmarkStart w:id="1271" w:name="_Toc45891316"/>
      <w:bookmarkStart w:id="1272" w:name="_Toc45891565"/>
      <w:bookmarkStart w:id="1273" w:name="_Toc45891808"/>
      <w:bookmarkStart w:id="1274" w:name="_Toc74151232"/>
      <w:bookmarkStart w:id="1275" w:name="_Toc45890564"/>
      <w:bookmarkStart w:id="1276" w:name="_Toc45890825"/>
      <w:bookmarkStart w:id="1277" w:name="_Toc45891068"/>
      <w:bookmarkStart w:id="1278" w:name="_Toc45891317"/>
      <w:bookmarkStart w:id="1279" w:name="_Toc45891566"/>
      <w:bookmarkStart w:id="1280" w:name="_Toc45891809"/>
      <w:bookmarkStart w:id="1281" w:name="_Toc74151233"/>
      <w:bookmarkStart w:id="1282" w:name="_Toc45890565"/>
      <w:bookmarkStart w:id="1283" w:name="_Toc45890826"/>
      <w:bookmarkStart w:id="1284" w:name="_Toc45891069"/>
      <w:bookmarkStart w:id="1285" w:name="_Toc45891318"/>
      <w:bookmarkStart w:id="1286" w:name="_Toc45891567"/>
      <w:bookmarkStart w:id="1287" w:name="_Toc45891810"/>
      <w:bookmarkStart w:id="1288" w:name="_Toc74151234"/>
      <w:bookmarkStart w:id="1289" w:name="_Toc333229676"/>
      <w:bookmarkStart w:id="1290" w:name="_Toc351050233"/>
      <w:bookmarkStart w:id="1291" w:name="_Toc355272424"/>
      <w:bookmarkStart w:id="1292" w:name="_Toc355272520"/>
      <w:bookmarkStart w:id="1293" w:name="_Toc355273765"/>
      <w:bookmarkStart w:id="1294" w:name="_Toc39337335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r w:rsidRPr="00972C81">
        <w:rPr>
          <w:noProof/>
        </w:rPr>
        <w:t>ICRP thanks all those involved in the development of this publication for their hard work and dedication over many years.</w:t>
      </w:r>
    </w:p>
    <w:p w14:paraId="29840C7B" w14:textId="52A9BEDB" w:rsidR="00EB314A" w:rsidRPr="00972C81" w:rsidRDefault="00EB314A" w:rsidP="00EB314A">
      <w:pPr>
        <w:rPr>
          <w:b/>
          <w:bCs/>
          <w:noProof/>
        </w:rPr>
      </w:pPr>
      <w:r w:rsidRPr="00972C81">
        <w:rPr>
          <w:b/>
          <w:bCs/>
          <w:noProof/>
        </w:rPr>
        <w:t xml:space="preserve">Task Group 95 members </w:t>
      </w:r>
    </w:p>
    <w:p w14:paraId="49DFA51F" w14:textId="77777777" w:rsidR="00EB314A" w:rsidRPr="00972C81" w:rsidRDefault="00EB314A" w:rsidP="00EB314A">
      <w:pPr>
        <w:rPr>
          <w:noProof/>
        </w:rPr>
      </w:pPr>
    </w:p>
    <w:p w14:paraId="23CE7952" w14:textId="01FFE722" w:rsidR="00EB314A" w:rsidRPr="00972C81" w:rsidRDefault="00EB314A" w:rsidP="00EB314A">
      <w:pPr>
        <w:rPr>
          <w:noProof/>
        </w:rPr>
      </w:pPr>
      <w:r w:rsidRPr="00972C81">
        <w:rPr>
          <w:noProof/>
        </w:rPr>
        <w:t>F. Paquet (Chair)</w:t>
      </w:r>
      <w:r w:rsidRPr="00972C81">
        <w:rPr>
          <w:noProof/>
        </w:rPr>
        <w:tab/>
      </w:r>
      <w:r w:rsidRPr="00972C81">
        <w:rPr>
          <w:noProof/>
        </w:rPr>
        <w:tab/>
      </w:r>
      <w:r w:rsidR="00526520" w:rsidRPr="00972C81">
        <w:rPr>
          <w:rFonts w:ascii="Times Roman" w:hAnsi="Times Roman"/>
          <w:noProof/>
        </w:rPr>
        <w:t xml:space="preserve">A. </w:t>
      </w:r>
      <w:r w:rsidR="00526520" w:rsidRPr="00972C81">
        <w:rPr>
          <w:noProof/>
        </w:rPr>
        <w:t>Giussani</w:t>
      </w:r>
      <w:r w:rsidRPr="00972C81">
        <w:rPr>
          <w:noProof/>
        </w:rPr>
        <w:tab/>
      </w:r>
      <w:r w:rsidR="00526520" w:rsidRPr="00972C81">
        <w:rPr>
          <w:noProof/>
        </w:rPr>
        <w:tab/>
        <w:t>D. Noβke</w:t>
      </w:r>
      <w:r w:rsidRPr="00972C81">
        <w:rPr>
          <w:noProof/>
        </w:rPr>
        <w:tab/>
      </w:r>
      <w:r w:rsidRPr="00972C81">
        <w:rPr>
          <w:noProof/>
        </w:rPr>
        <w:tab/>
      </w:r>
    </w:p>
    <w:p w14:paraId="7C28C639" w14:textId="66BF5332" w:rsidR="00526520" w:rsidRPr="00972C81" w:rsidRDefault="00EB314A" w:rsidP="00EB314A">
      <w:pPr>
        <w:rPr>
          <w:noProof/>
        </w:rPr>
      </w:pPr>
      <w:r w:rsidRPr="00972C81">
        <w:rPr>
          <w:noProof/>
        </w:rPr>
        <w:t>M. R. Bailey</w:t>
      </w:r>
      <w:r w:rsidRPr="00972C81" w:rsidDel="00191D7B">
        <w:rPr>
          <w:noProof/>
        </w:rPr>
        <w:t xml:space="preserve"> </w:t>
      </w:r>
      <w:r w:rsidRPr="00972C81">
        <w:rPr>
          <w:noProof/>
        </w:rPr>
        <w:tab/>
      </w:r>
      <w:r w:rsidRPr="00972C81">
        <w:rPr>
          <w:noProof/>
        </w:rPr>
        <w:tab/>
      </w:r>
      <w:r w:rsidRPr="00972C81">
        <w:rPr>
          <w:noProof/>
        </w:rPr>
        <w:tab/>
      </w:r>
      <w:r w:rsidR="00526520" w:rsidRPr="00972C81">
        <w:rPr>
          <w:noProof/>
        </w:rPr>
        <w:t xml:space="preserve">D. Gregoratto </w:t>
      </w:r>
      <w:r w:rsidR="00526520" w:rsidRPr="00972C81">
        <w:rPr>
          <w:noProof/>
        </w:rPr>
        <w:tab/>
      </w:r>
      <w:r w:rsidR="00526520" w:rsidRPr="00972C81">
        <w:rPr>
          <w:noProof/>
        </w:rPr>
        <w:tab/>
        <w:t>G. Ratia</w:t>
      </w:r>
      <w:r w:rsidR="00526520" w:rsidRPr="00972C81">
        <w:rPr>
          <w:noProof/>
        </w:rPr>
        <w:tab/>
      </w:r>
      <w:r w:rsidRPr="00972C81">
        <w:rPr>
          <w:noProof/>
        </w:rPr>
        <w:tab/>
      </w:r>
      <w:r w:rsidRPr="00972C81">
        <w:rPr>
          <w:noProof/>
        </w:rPr>
        <w:tab/>
      </w:r>
    </w:p>
    <w:p w14:paraId="4310F736" w14:textId="7C3DE788" w:rsidR="00EB314A" w:rsidRPr="00972C81" w:rsidRDefault="00526520" w:rsidP="00EB314A">
      <w:pPr>
        <w:rPr>
          <w:noProof/>
        </w:rPr>
      </w:pPr>
      <w:r w:rsidRPr="00972C81">
        <w:rPr>
          <w:noProof/>
        </w:rPr>
        <w:t>V. Berkovski</w:t>
      </w:r>
      <w:r w:rsidR="00EB314A" w:rsidRPr="00972C81">
        <w:rPr>
          <w:noProof/>
        </w:rPr>
        <w:tab/>
      </w:r>
      <w:r w:rsidR="00EB314A" w:rsidRPr="00972C81">
        <w:rPr>
          <w:noProof/>
        </w:rPr>
        <w:tab/>
      </w:r>
      <w:r w:rsidRPr="00972C81">
        <w:rPr>
          <w:noProof/>
        </w:rPr>
        <w:tab/>
        <w:t>D. Jokisch</w:t>
      </w:r>
      <w:r w:rsidRPr="00972C81">
        <w:rPr>
          <w:noProof/>
        </w:rPr>
        <w:tab/>
      </w:r>
      <w:r w:rsidRPr="00972C81">
        <w:rPr>
          <w:noProof/>
        </w:rPr>
        <w:tab/>
        <w:t>C. Samuels</w:t>
      </w:r>
      <w:r w:rsidRPr="00972C81">
        <w:rPr>
          <w:noProof/>
        </w:rPr>
        <w:tab/>
      </w:r>
      <w:r w:rsidRPr="00972C81">
        <w:rPr>
          <w:noProof/>
        </w:rPr>
        <w:tab/>
      </w:r>
      <w:r w:rsidRPr="00972C81">
        <w:rPr>
          <w:noProof/>
        </w:rPr>
        <w:tab/>
      </w:r>
    </w:p>
    <w:p w14:paraId="7CE8A3D6" w14:textId="3B2DD87C" w:rsidR="00EB314A" w:rsidRPr="00C47F2F" w:rsidRDefault="00526520" w:rsidP="00EB314A">
      <w:pPr>
        <w:rPr>
          <w:noProof/>
          <w:lang w:val="it-IT"/>
        </w:rPr>
      </w:pPr>
      <w:r w:rsidRPr="00C47F2F">
        <w:rPr>
          <w:noProof/>
          <w:lang w:val="it-IT"/>
        </w:rPr>
        <w:t>L. Bertelli</w:t>
      </w:r>
      <w:r w:rsidR="00EB314A" w:rsidRPr="00C47F2F">
        <w:rPr>
          <w:noProof/>
          <w:lang w:val="it-IT"/>
        </w:rPr>
        <w:tab/>
      </w:r>
      <w:r w:rsidR="00EB314A" w:rsidRPr="00C47F2F">
        <w:rPr>
          <w:noProof/>
          <w:lang w:val="it-IT"/>
        </w:rPr>
        <w:tab/>
      </w:r>
      <w:r w:rsidR="00EB314A" w:rsidRPr="00C47F2F">
        <w:rPr>
          <w:noProof/>
          <w:lang w:val="it-IT"/>
        </w:rPr>
        <w:tab/>
      </w:r>
      <w:r w:rsidRPr="00C47F2F">
        <w:rPr>
          <w:noProof/>
          <w:lang w:val="it-IT"/>
        </w:rPr>
        <w:t>S. Lamart</w:t>
      </w:r>
      <w:r w:rsidR="00EB314A" w:rsidRPr="00C47F2F">
        <w:rPr>
          <w:noProof/>
          <w:lang w:val="it-IT"/>
        </w:rPr>
        <w:tab/>
      </w:r>
      <w:r w:rsidR="00EB314A" w:rsidRPr="00C47F2F">
        <w:rPr>
          <w:noProof/>
          <w:lang w:val="it-IT"/>
        </w:rPr>
        <w:tab/>
      </w:r>
      <w:r w:rsidRPr="00C47F2F">
        <w:rPr>
          <w:noProof/>
          <w:lang w:val="it-IT"/>
        </w:rPr>
        <w:t>T. Smith</w:t>
      </w:r>
      <w:r w:rsidR="00EB314A" w:rsidRPr="00C47F2F">
        <w:rPr>
          <w:noProof/>
          <w:lang w:val="it-IT"/>
        </w:rPr>
        <w:tab/>
      </w:r>
    </w:p>
    <w:p w14:paraId="03E2450D" w14:textId="26EE6C37" w:rsidR="00EB314A" w:rsidRPr="00972C81" w:rsidRDefault="00526520" w:rsidP="00EB314A">
      <w:pPr>
        <w:rPr>
          <w:noProof/>
        </w:rPr>
      </w:pPr>
      <w:r w:rsidRPr="00972C81">
        <w:rPr>
          <w:noProof/>
        </w:rPr>
        <w:t>E. Blanchardon</w:t>
      </w:r>
      <w:r w:rsidR="00EB314A" w:rsidRPr="00972C81">
        <w:rPr>
          <w:noProof/>
        </w:rPr>
        <w:tab/>
      </w:r>
      <w:r w:rsidR="00EB314A" w:rsidRPr="00972C81">
        <w:rPr>
          <w:noProof/>
        </w:rPr>
        <w:tab/>
      </w:r>
      <w:r w:rsidRPr="00972C81">
        <w:rPr>
          <w:noProof/>
        </w:rPr>
        <w:t>R. W. Leggett</w:t>
      </w:r>
      <w:r w:rsidR="00EB314A" w:rsidRPr="00972C81">
        <w:rPr>
          <w:noProof/>
        </w:rPr>
        <w:tab/>
      </w:r>
      <w:r w:rsidR="00EB314A" w:rsidRPr="00972C81">
        <w:rPr>
          <w:noProof/>
        </w:rPr>
        <w:tab/>
      </w:r>
      <w:r w:rsidRPr="00972C81">
        <w:rPr>
          <w:noProof/>
        </w:rPr>
        <w:t>C. Pacher</w:t>
      </w:r>
      <w:r w:rsidR="00EB314A" w:rsidRPr="00972C81">
        <w:rPr>
          <w:noProof/>
        </w:rPr>
        <w:tab/>
      </w:r>
      <w:r w:rsidR="00EB314A" w:rsidRPr="00972C81">
        <w:rPr>
          <w:noProof/>
        </w:rPr>
        <w:tab/>
      </w:r>
    </w:p>
    <w:p w14:paraId="1A7FC463" w14:textId="1A7AF783" w:rsidR="00EB314A" w:rsidRPr="00972C81" w:rsidRDefault="00526520" w:rsidP="00EB314A">
      <w:pPr>
        <w:rPr>
          <w:noProof/>
        </w:rPr>
      </w:pPr>
      <w:r w:rsidRPr="00972C81">
        <w:rPr>
          <w:noProof/>
        </w:rPr>
        <w:t>E. Davesne</w:t>
      </w:r>
      <w:r w:rsidR="00EB314A" w:rsidRPr="00972C81">
        <w:rPr>
          <w:noProof/>
        </w:rPr>
        <w:tab/>
      </w:r>
      <w:r w:rsidR="00EB314A" w:rsidRPr="00972C81">
        <w:rPr>
          <w:noProof/>
        </w:rPr>
        <w:tab/>
      </w:r>
      <w:r w:rsidRPr="00972C81">
        <w:rPr>
          <w:noProof/>
        </w:rPr>
        <w:tab/>
        <w:t>M.A. Lopez</w:t>
      </w:r>
      <w:r w:rsidRPr="00972C81">
        <w:rPr>
          <w:noProof/>
        </w:rPr>
        <w:tab/>
      </w:r>
      <w:r w:rsidRPr="00972C81">
        <w:rPr>
          <w:noProof/>
        </w:rPr>
        <w:tab/>
      </w:r>
      <w:r w:rsidRPr="00972C81">
        <w:rPr>
          <w:noProof/>
        </w:rPr>
        <w:tab/>
      </w:r>
      <w:r w:rsidRPr="00972C81">
        <w:rPr>
          <w:noProof/>
        </w:rPr>
        <w:tab/>
      </w:r>
    </w:p>
    <w:p w14:paraId="329DDA70" w14:textId="286EBBF8" w:rsidR="00EB314A" w:rsidRPr="00972C81" w:rsidRDefault="00EB314A" w:rsidP="00EB314A">
      <w:pPr>
        <w:rPr>
          <w:noProof/>
        </w:rPr>
      </w:pPr>
      <w:r w:rsidRPr="00972C81">
        <w:rPr>
          <w:noProof/>
        </w:rPr>
        <w:tab/>
      </w:r>
      <w:r w:rsidRPr="00972C81">
        <w:rPr>
          <w:noProof/>
        </w:rPr>
        <w:tab/>
      </w:r>
      <w:r w:rsidRPr="00972C81">
        <w:rPr>
          <w:noProof/>
        </w:rPr>
        <w:tab/>
      </w:r>
    </w:p>
    <w:p w14:paraId="1F1DA6DE" w14:textId="3CB00989" w:rsidR="00526520" w:rsidRPr="00005A23" w:rsidRDefault="00526520" w:rsidP="00C47F2F">
      <w:pPr>
        <w:pStyle w:val="Annex2ndlevelheader"/>
        <w:widowControl w:val="0"/>
        <w:spacing w:after="0" w:afterAutospacing="0"/>
        <w:rPr>
          <w:bCs/>
          <w:noProof/>
        </w:rPr>
      </w:pPr>
      <w:r w:rsidRPr="00005A23">
        <w:rPr>
          <w:bCs/>
          <w:noProof/>
        </w:rPr>
        <w:t>Committee 2 critical reviewers</w:t>
      </w:r>
    </w:p>
    <w:p w14:paraId="4FDC85FB" w14:textId="6A4E1DC1" w:rsidR="00526520" w:rsidRPr="00972C81" w:rsidRDefault="00E25429" w:rsidP="00EB314A">
      <w:pPr>
        <w:pStyle w:val="ICRPbasic"/>
        <w:rPr>
          <w:b/>
          <w:bCs/>
          <w:noProof/>
        </w:rPr>
      </w:pPr>
      <w:r w:rsidRPr="00972C81">
        <w:rPr>
          <w:noProof/>
        </w:rPr>
        <w:t>M. Anders</w:t>
      </w:r>
      <w:r w:rsidR="007E6BB1">
        <w:rPr>
          <w:noProof/>
        </w:rPr>
        <w:t>s</w:t>
      </w:r>
      <w:r w:rsidRPr="00972C81">
        <w:rPr>
          <w:noProof/>
        </w:rPr>
        <w:t xml:space="preserve">on </w:t>
      </w:r>
      <w:r w:rsidRPr="00972C81">
        <w:rPr>
          <w:noProof/>
        </w:rPr>
        <w:tab/>
      </w:r>
      <w:r w:rsidRPr="00972C81">
        <w:rPr>
          <w:noProof/>
        </w:rPr>
        <w:tab/>
      </w:r>
      <w:r w:rsidRPr="00972C81">
        <w:rPr>
          <w:noProof/>
        </w:rPr>
        <w:tab/>
        <w:t>F. Bochud</w:t>
      </w:r>
    </w:p>
    <w:p w14:paraId="7BC27546" w14:textId="172C71FD" w:rsidR="00EB314A" w:rsidRDefault="00EB314A" w:rsidP="00EB314A">
      <w:pPr>
        <w:pStyle w:val="ICRPbasic"/>
        <w:rPr>
          <w:rFonts w:eastAsiaTheme="minorEastAsia"/>
          <w:b/>
          <w:bCs/>
          <w:noProof/>
          <w:lang w:eastAsia="ko-KR"/>
        </w:rPr>
      </w:pPr>
      <w:r w:rsidRPr="00972C81">
        <w:rPr>
          <w:b/>
          <w:bCs/>
          <w:noProof/>
        </w:rPr>
        <w:t>Main Commission critical reviewers</w:t>
      </w:r>
    </w:p>
    <w:p w14:paraId="5735E441" w14:textId="705304F8" w:rsidR="0061223E" w:rsidRPr="0061223E" w:rsidRDefault="0061223E" w:rsidP="00EB314A">
      <w:pPr>
        <w:pStyle w:val="ICRPbasic"/>
        <w:rPr>
          <w:rFonts w:eastAsiaTheme="minorEastAsia"/>
          <w:b/>
          <w:bCs/>
          <w:noProof/>
          <w:lang w:val="it-IT" w:eastAsia="ko-KR"/>
        </w:rPr>
      </w:pPr>
      <w:r w:rsidRPr="0061223E">
        <w:rPr>
          <w:noProof/>
          <w:lang w:val="it-IT"/>
        </w:rPr>
        <w:t>M. Kai</w:t>
      </w:r>
      <w:r w:rsidRPr="0061223E">
        <w:rPr>
          <w:rFonts w:eastAsiaTheme="minorEastAsia"/>
          <w:noProof/>
          <w:lang w:val="it-IT" w:eastAsia="ko-KR"/>
        </w:rPr>
        <w:tab/>
      </w:r>
      <w:r w:rsidRPr="0061223E">
        <w:rPr>
          <w:rFonts w:eastAsiaTheme="minorEastAsia"/>
          <w:noProof/>
          <w:lang w:val="it-IT" w:eastAsia="ko-KR"/>
        </w:rPr>
        <w:tab/>
      </w:r>
      <w:r w:rsidRPr="0061223E">
        <w:rPr>
          <w:rFonts w:eastAsiaTheme="minorEastAsia"/>
          <w:noProof/>
          <w:lang w:val="it-IT" w:eastAsia="ko-KR"/>
        </w:rPr>
        <w:tab/>
      </w:r>
      <w:r w:rsidRPr="0061223E">
        <w:rPr>
          <w:rFonts w:eastAsiaTheme="minorEastAsia"/>
          <w:noProof/>
          <w:lang w:val="it-IT" w:eastAsia="ko-KR"/>
        </w:rPr>
        <w:tab/>
      </w:r>
      <w:r w:rsidRPr="0061223E">
        <w:rPr>
          <w:noProof/>
          <w:lang w:val="it-IT"/>
        </w:rPr>
        <w:t>S. Romanov</w:t>
      </w:r>
    </w:p>
    <w:p w14:paraId="2FB08E6B" w14:textId="77777777" w:rsidR="00EB314A" w:rsidRPr="0061223E" w:rsidRDefault="00EB314A" w:rsidP="00EB314A">
      <w:pPr>
        <w:pStyle w:val="ICRPbasic"/>
        <w:rPr>
          <w:b/>
          <w:bCs/>
          <w:noProof/>
          <w:lang w:val="it-IT"/>
        </w:rPr>
      </w:pPr>
      <w:r w:rsidRPr="0061223E">
        <w:rPr>
          <w:b/>
          <w:bCs/>
          <w:noProof/>
          <w:lang w:val="it-IT"/>
        </w:rPr>
        <w:t>Editorial members</w:t>
      </w:r>
    </w:p>
    <w:p w14:paraId="235471AB" w14:textId="77777777" w:rsidR="00EB314A" w:rsidRPr="00972C81" w:rsidRDefault="00EB314A" w:rsidP="00EB314A">
      <w:pPr>
        <w:pStyle w:val="ICRPbasicnospace"/>
        <w:rPr>
          <w:noProof/>
        </w:rPr>
      </w:pPr>
      <w:r w:rsidRPr="00972C81">
        <w:rPr>
          <w:noProof/>
        </w:rPr>
        <w:t xml:space="preserve">C.H. Clement (Scientific Secretary and </w:t>
      </w:r>
      <w:r w:rsidRPr="00972C81">
        <w:rPr>
          <w:i/>
          <w:iCs/>
          <w:noProof/>
        </w:rPr>
        <w:t>Annals of the ICRP</w:t>
      </w:r>
      <w:r w:rsidRPr="00972C81">
        <w:rPr>
          <w:noProof/>
        </w:rPr>
        <w:t xml:space="preserve"> Editor-in-Chief)</w:t>
      </w:r>
    </w:p>
    <w:p w14:paraId="79997BF1" w14:textId="77777777" w:rsidR="00EB314A" w:rsidRPr="00972C81" w:rsidRDefault="00EB314A" w:rsidP="00EB314A">
      <w:pPr>
        <w:pStyle w:val="ICRPbasicnospace"/>
        <w:rPr>
          <w:noProof/>
        </w:rPr>
      </w:pPr>
      <w:r w:rsidRPr="00972C81">
        <w:rPr>
          <w:noProof/>
        </w:rPr>
        <w:t xml:space="preserve">H. Yu (Assistant Scientific Secretary and </w:t>
      </w:r>
      <w:r w:rsidRPr="00972C81">
        <w:rPr>
          <w:i/>
          <w:iCs/>
          <w:noProof/>
        </w:rPr>
        <w:t>Annals of the ICRP</w:t>
      </w:r>
      <w:r w:rsidRPr="00972C81">
        <w:rPr>
          <w:noProof/>
        </w:rPr>
        <w:t xml:space="preserve"> Associate Editor)</w:t>
      </w:r>
    </w:p>
    <w:p w14:paraId="551E542B" w14:textId="77777777" w:rsidR="00EB314A" w:rsidRPr="00972C81" w:rsidRDefault="00EB314A" w:rsidP="00EB314A">
      <w:pPr>
        <w:pStyle w:val="ICRPbasic"/>
        <w:rPr>
          <w:b/>
          <w:bCs/>
          <w:noProof/>
        </w:rPr>
      </w:pPr>
      <w:r w:rsidRPr="00972C81">
        <w:rPr>
          <w:b/>
          <w:bCs/>
          <w:noProof/>
        </w:rPr>
        <w:t>Committee 2 members during preparation of this publication</w:t>
      </w:r>
    </w:p>
    <w:p w14:paraId="09A7F1A2" w14:textId="77777777" w:rsidR="00EB314A" w:rsidRPr="00E2619D" w:rsidRDefault="00EB314A" w:rsidP="00EB314A">
      <w:pPr>
        <w:pStyle w:val="ICRPbasic"/>
        <w:rPr>
          <w:b/>
          <w:bCs/>
          <w:noProof/>
          <w:lang w:val="fr-FR"/>
        </w:rPr>
      </w:pPr>
      <w:r w:rsidRPr="00E2619D">
        <w:rPr>
          <w:b/>
          <w:bCs/>
          <w:noProof/>
          <w:lang w:val="fr-FR"/>
        </w:rPr>
        <w:t>(2021-2025)</w:t>
      </w:r>
    </w:p>
    <w:p w14:paraId="0AED91BF" w14:textId="77777777" w:rsidR="00EB314A" w:rsidRPr="00E2619D" w:rsidRDefault="00EB314A" w:rsidP="00EB314A">
      <w:pPr>
        <w:rPr>
          <w:noProof/>
          <w:lang w:val="fr-FR"/>
        </w:rPr>
      </w:pPr>
      <w:r w:rsidRPr="00E2619D">
        <w:rPr>
          <w:noProof/>
          <w:lang w:val="fr-FR"/>
        </w:rPr>
        <w:lastRenderedPageBreak/>
        <w:t>F. Bochud (Chair)</w:t>
      </w:r>
      <w:r w:rsidRPr="00E2619D">
        <w:rPr>
          <w:noProof/>
          <w:lang w:val="fr-FR"/>
        </w:rPr>
        <w:tab/>
      </w:r>
      <w:r w:rsidRPr="00E2619D">
        <w:rPr>
          <w:noProof/>
          <w:lang w:val="fr-FR"/>
        </w:rPr>
        <w:tab/>
        <w:t>A. Giussani</w:t>
      </w:r>
      <w:r w:rsidRPr="00E2619D">
        <w:rPr>
          <w:noProof/>
          <w:lang w:val="fr-FR"/>
        </w:rPr>
        <w:tab/>
      </w:r>
      <w:r w:rsidRPr="00E2619D">
        <w:rPr>
          <w:noProof/>
          <w:lang w:val="fr-FR"/>
        </w:rPr>
        <w:tab/>
      </w:r>
      <w:r w:rsidRPr="00E2619D">
        <w:rPr>
          <w:noProof/>
          <w:lang w:val="fr-FR"/>
        </w:rPr>
        <w:tab/>
        <w:t>J. Li</w:t>
      </w:r>
    </w:p>
    <w:p w14:paraId="56FD0136" w14:textId="72CAEEA7" w:rsidR="00EB314A" w:rsidRPr="00E2619D" w:rsidRDefault="00EB314A" w:rsidP="00EB314A">
      <w:pPr>
        <w:rPr>
          <w:noProof/>
          <w:lang w:val="fr-FR"/>
        </w:rPr>
      </w:pPr>
      <w:r w:rsidRPr="00E2619D">
        <w:rPr>
          <w:noProof/>
          <w:lang w:val="fr-FR"/>
        </w:rPr>
        <w:t>F. Paquet (Vice-chair)</w:t>
      </w:r>
      <w:r w:rsidRPr="00E2619D">
        <w:rPr>
          <w:noProof/>
          <w:lang w:val="fr-FR"/>
        </w:rPr>
        <w:tab/>
      </w:r>
      <w:r w:rsidRPr="00E2619D">
        <w:rPr>
          <w:noProof/>
          <w:lang w:val="fr-FR"/>
        </w:rPr>
        <w:tab/>
        <w:t>D. Jokisch</w:t>
      </w:r>
      <w:r w:rsidRPr="00E2619D">
        <w:rPr>
          <w:noProof/>
          <w:lang w:val="fr-FR"/>
        </w:rPr>
        <w:tab/>
      </w:r>
      <w:r w:rsidRPr="00E2619D">
        <w:rPr>
          <w:noProof/>
          <w:lang w:val="fr-FR"/>
        </w:rPr>
        <w:tab/>
      </w:r>
      <w:r w:rsidRPr="00E2619D">
        <w:rPr>
          <w:noProof/>
          <w:lang w:val="fr-FR"/>
        </w:rPr>
        <w:tab/>
      </w:r>
      <w:r w:rsidR="00E25429" w:rsidRPr="00E2619D">
        <w:rPr>
          <w:noProof/>
          <w:lang w:val="fr-FR"/>
        </w:rPr>
        <w:t>N. Petoussi-Henss</w:t>
      </w:r>
    </w:p>
    <w:p w14:paraId="432450A1" w14:textId="54FB97AA" w:rsidR="00EB314A" w:rsidRPr="00972C81" w:rsidRDefault="00EB314A" w:rsidP="00EB314A">
      <w:pPr>
        <w:rPr>
          <w:noProof/>
        </w:rPr>
      </w:pPr>
      <w:r w:rsidRPr="00972C81">
        <w:rPr>
          <w:noProof/>
        </w:rPr>
        <w:t>M.A. Lopez (Secretary)</w:t>
      </w:r>
      <w:r w:rsidRPr="00972C81">
        <w:rPr>
          <w:noProof/>
        </w:rPr>
        <w:tab/>
        <w:t>C.H. Kim</w:t>
      </w:r>
      <w:r w:rsidRPr="00972C81">
        <w:rPr>
          <w:noProof/>
        </w:rPr>
        <w:tab/>
      </w:r>
      <w:r w:rsidRPr="00972C81">
        <w:rPr>
          <w:noProof/>
        </w:rPr>
        <w:tab/>
      </w:r>
      <w:r w:rsidRPr="00972C81">
        <w:rPr>
          <w:noProof/>
        </w:rPr>
        <w:tab/>
      </w:r>
      <w:r w:rsidR="00E25429" w:rsidRPr="00972C81">
        <w:rPr>
          <w:noProof/>
        </w:rPr>
        <w:t>T. Sato</w:t>
      </w:r>
    </w:p>
    <w:p w14:paraId="63360C6C" w14:textId="154C9653" w:rsidR="00EB314A" w:rsidRPr="00972C81" w:rsidRDefault="00EB314A" w:rsidP="00EB314A">
      <w:pPr>
        <w:rPr>
          <w:noProof/>
        </w:rPr>
      </w:pPr>
      <w:r w:rsidRPr="00972C81">
        <w:rPr>
          <w:noProof/>
        </w:rPr>
        <w:t>M. Andersson</w:t>
      </w:r>
      <w:r w:rsidRPr="00972C81">
        <w:rPr>
          <w:noProof/>
        </w:rPr>
        <w:tab/>
      </w:r>
      <w:r w:rsidRPr="00972C81">
        <w:rPr>
          <w:noProof/>
        </w:rPr>
        <w:tab/>
      </w:r>
      <w:r w:rsidRPr="00972C81">
        <w:rPr>
          <w:noProof/>
        </w:rPr>
        <w:tab/>
        <w:t>M.S. Kulkarni</w:t>
      </w:r>
      <w:r w:rsidRPr="00972C81">
        <w:rPr>
          <w:noProof/>
        </w:rPr>
        <w:tab/>
      </w:r>
      <w:r w:rsidRPr="00972C81">
        <w:rPr>
          <w:noProof/>
        </w:rPr>
        <w:tab/>
      </w:r>
      <w:r w:rsidRPr="00972C81">
        <w:rPr>
          <w:noProof/>
        </w:rPr>
        <w:tab/>
      </w:r>
      <w:r w:rsidR="00E25429" w:rsidRPr="00972C81">
        <w:rPr>
          <w:noProof/>
        </w:rPr>
        <w:t>T. Smith</w:t>
      </w:r>
    </w:p>
    <w:p w14:paraId="2B878691" w14:textId="44D502F7" w:rsidR="00EB314A" w:rsidRPr="00972C81" w:rsidRDefault="00EB314A" w:rsidP="00EB314A">
      <w:pPr>
        <w:rPr>
          <w:noProof/>
        </w:rPr>
      </w:pPr>
      <w:r w:rsidRPr="00972C81">
        <w:rPr>
          <w:noProof/>
        </w:rPr>
        <w:t>V. Berkovskyy</w:t>
      </w:r>
      <w:r w:rsidRPr="00972C81">
        <w:rPr>
          <w:noProof/>
        </w:rPr>
        <w:tab/>
      </w:r>
      <w:r w:rsidRPr="00972C81">
        <w:rPr>
          <w:noProof/>
        </w:rPr>
        <w:tab/>
        <w:t>S. Lamart</w:t>
      </w:r>
      <w:r w:rsidRPr="00972C81">
        <w:rPr>
          <w:noProof/>
        </w:rPr>
        <w:tab/>
      </w:r>
      <w:r w:rsidRPr="00972C81">
        <w:rPr>
          <w:noProof/>
        </w:rPr>
        <w:tab/>
      </w:r>
      <w:r w:rsidRPr="00972C81">
        <w:rPr>
          <w:noProof/>
        </w:rPr>
        <w:tab/>
      </w:r>
      <w:r w:rsidR="00E25429" w:rsidRPr="00972C81">
        <w:rPr>
          <w:noProof/>
        </w:rPr>
        <w:t>A. Ulanowski</w:t>
      </w:r>
    </w:p>
    <w:p w14:paraId="094241C5" w14:textId="315AA11D" w:rsidR="00EB314A" w:rsidRPr="00E2619D" w:rsidRDefault="00EB314A" w:rsidP="00EB314A">
      <w:pPr>
        <w:rPr>
          <w:noProof/>
          <w:lang w:val="fr-FR"/>
        </w:rPr>
      </w:pPr>
      <w:r w:rsidRPr="00E2619D">
        <w:rPr>
          <w:noProof/>
          <w:lang w:val="fr-FR"/>
        </w:rPr>
        <w:t>D. de Souza Santos</w:t>
      </w:r>
      <w:r w:rsidRPr="00E2619D">
        <w:rPr>
          <w:noProof/>
          <w:lang w:val="fr-FR"/>
        </w:rPr>
        <w:tab/>
      </w:r>
      <w:r w:rsidRPr="00E2619D">
        <w:rPr>
          <w:noProof/>
          <w:lang w:val="fr-FR"/>
        </w:rPr>
        <w:tab/>
        <w:t>C. Lee</w:t>
      </w:r>
      <w:r w:rsidRPr="00E2619D">
        <w:rPr>
          <w:noProof/>
          <w:lang w:val="fr-FR"/>
        </w:rPr>
        <w:tab/>
      </w:r>
      <w:r w:rsidRPr="00E2619D">
        <w:rPr>
          <w:noProof/>
          <w:lang w:val="fr-FR"/>
        </w:rPr>
        <w:tab/>
      </w:r>
      <w:r w:rsidRPr="00E2619D">
        <w:rPr>
          <w:noProof/>
          <w:lang w:val="fr-FR"/>
        </w:rPr>
        <w:tab/>
      </w:r>
      <w:r w:rsidRPr="00E2619D">
        <w:rPr>
          <w:noProof/>
          <w:lang w:val="fr-FR"/>
        </w:rPr>
        <w:tab/>
      </w:r>
      <w:r w:rsidR="00E25429" w:rsidRPr="00CD4B01">
        <w:rPr>
          <w:noProof/>
          <w:lang w:val="pt-PT"/>
        </w:rPr>
        <w:t>Y.S. Yeom</w:t>
      </w:r>
    </w:p>
    <w:p w14:paraId="4DE1D4EB" w14:textId="77777777" w:rsidR="00EB314A" w:rsidRPr="00972C81" w:rsidRDefault="00EB314A" w:rsidP="00EB314A">
      <w:pPr>
        <w:pStyle w:val="ICRPbasic"/>
        <w:rPr>
          <w:b/>
          <w:bCs/>
          <w:noProof/>
        </w:rPr>
      </w:pPr>
      <w:r w:rsidRPr="00972C81">
        <w:rPr>
          <w:b/>
          <w:bCs/>
          <w:noProof/>
        </w:rPr>
        <w:t>Committee 2 emeritus members</w:t>
      </w:r>
    </w:p>
    <w:p w14:paraId="6BB2179B" w14:textId="77777777" w:rsidR="00EB314A" w:rsidRPr="00972C81" w:rsidRDefault="00EB314A" w:rsidP="00EB314A">
      <w:pPr>
        <w:pStyle w:val="ICRPbasic"/>
        <w:spacing w:before="0" w:after="0"/>
        <w:rPr>
          <w:noProof/>
        </w:rPr>
      </w:pPr>
      <w:r w:rsidRPr="00972C81">
        <w:rPr>
          <w:noProof/>
        </w:rPr>
        <w:t>K. Eckerman</w:t>
      </w:r>
      <w:r w:rsidRPr="00972C81">
        <w:rPr>
          <w:noProof/>
        </w:rPr>
        <w:tab/>
      </w:r>
      <w:r w:rsidRPr="00972C81">
        <w:rPr>
          <w:noProof/>
        </w:rPr>
        <w:tab/>
      </w:r>
      <w:r w:rsidRPr="00972C81">
        <w:rPr>
          <w:noProof/>
        </w:rPr>
        <w:tab/>
      </w:r>
    </w:p>
    <w:p w14:paraId="2A408627" w14:textId="77777777" w:rsidR="00EB314A" w:rsidRPr="00972C81" w:rsidRDefault="00EB314A" w:rsidP="00EB314A">
      <w:pPr>
        <w:pStyle w:val="ICRPbasic"/>
        <w:rPr>
          <w:b/>
          <w:bCs/>
          <w:noProof/>
        </w:rPr>
      </w:pPr>
      <w:r w:rsidRPr="00972C81">
        <w:rPr>
          <w:b/>
          <w:bCs/>
          <w:noProof/>
        </w:rPr>
        <w:t>Main Commission members at the time of approval of this publication</w:t>
      </w:r>
    </w:p>
    <w:p w14:paraId="08674EED" w14:textId="77777777" w:rsidR="00EB314A" w:rsidRPr="00972C81" w:rsidRDefault="00EB314A" w:rsidP="00EB314A">
      <w:pPr>
        <w:pStyle w:val="ICRPbasicnospace"/>
        <w:rPr>
          <w:noProof/>
        </w:rPr>
      </w:pPr>
      <w:r w:rsidRPr="00972C81">
        <w:rPr>
          <w:noProof/>
        </w:rPr>
        <w:t xml:space="preserve">Chair: W. Rühm, </w:t>
      </w:r>
      <w:r w:rsidRPr="00972C81">
        <w:rPr>
          <w:i/>
          <w:noProof/>
        </w:rPr>
        <w:t>Germany</w:t>
      </w:r>
    </w:p>
    <w:p w14:paraId="7E4B9BE2" w14:textId="71064B9D" w:rsidR="00EB314A" w:rsidRPr="0061223E" w:rsidRDefault="00EB314A" w:rsidP="00EB314A">
      <w:pPr>
        <w:pStyle w:val="ICRPbasicnospace"/>
        <w:rPr>
          <w:rFonts w:eastAsiaTheme="minorEastAsia"/>
          <w:noProof/>
          <w:lang w:eastAsia="ko-KR"/>
        </w:rPr>
      </w:pPr>
      <w:r w:rsidRPr="00972C81">
        <w:rPr>
          <w:noProof/>
        </w:rPr>
        <w:t xml:space="preserve">Vice-Chair: </w:t>
      </w:r>
      <w:r w:rsidR="0061223E">
        <w:rPr>
          <w:rFonts w:eastAsiaTheme="minorEastAsia" w:hint="eastAsia"/>
          <w:noProof/>
          <w:lang w:eastAsia="ko-KR"/>
        </w:rPr>
        <w:t>S. Bouffler</w:t>
      </w:r>
      <w:r w:rsidRPr="00972C81">
        <w:rPr>
          <w:noProof/>
        </w:rPr>
        <w:t xml:space="preserve">, </w:t>
      </w:r>
      <w:r w:rsidR="0061223E">
        <w:rPr>
          <w:rFonts w:eastAsiaTheme="minorEastAsia" w:hint="eastAsia"/>
          <w:i/>
          <w:noProof/>
          <w:lang w:eastAsia="ko-KR"/>
        </w:rPr>
        <w:t>UK</w:t>
      </w:r>
    </w:p>
    <w:p w14:paraId="35A81960" w14:textId="77777777" w:rsidR="00EB314A" w:rsidRPr="00972C81" w:rsidRDefault="00EB314A" w:rsidP="00EB314A">
      <w:pPr>
        <w:pStyle w:val="ICRPbasicnospace"/>
        <w:rPr>
          <w:noProof/>
        </w:rPr>
      </w:pPr>
      <w:r w:rsidRPr="00972C81">
        <w:rPr>
          <w:noProof/>
        </w:rPr>
        <w:t xml:space="preserve">Scientific Secretary: C.H. Clement, </w:t>
      </w:r>
      <w:r w:rsidRPr="00972C81">
        <w:rPr>
          <w:i/>
          <w:noProof/>
        </w:rPr>
        <w:t>Canada</w:t>
      </w:r>
      <w:r w:rsidRPr="00972C81">
        <w:rPr>
          <w:noProof/>
        </w:rPr>
        <w:t xml:space="preserve">; </w:t>
      </w:r>
      <w:r w:rsidRPr="00972C81">
        <w:rPr>
          <w:i/>
          <w:noProof/>
        </w:rPr>
        <w:t>sci.sec@icrp.org</w:t>
      </w:r>
      <w:r w:rsidRPr="00972C81">
        <w:rPr>
          <w:i/>
          <w:noProof/>
          <w:vertAlign w:val="superscript"/>
        </w:rPr>
        <w:t>*</w:t>
      </w:r>
    </w:p>
    <w:p w14:paraId="0CE23D7D" w14:textId="77777777" w:rsidR="00EB314A" w:rsidRPr="00972C81" w:rsidRDefault="00EB314A" w:rsidP="00EB314A">
      <w:pPr>
        <w:pStyle w:val="ICRPbasicnospace"/>
        <w:rPr>
          <w:noProof/>
        </w:rPr>
      </w:pPr>
    </w:p>
    <w:p w14:paraId="5E5D8E12" w14:textId="15E486B4" w:rsidR="00EB314A" w:rsidRPr="00CD4B01" w:rsidRDefault="00EB314A" w:rsidP="00EB314A">
      <w:pPr>
        <w:pStyle w:val="ICRPbasicnospace"/>
        <w:rPr>
          <w:noProof/>
        </w:rPr>
      </w:pPr>
      <w:r w:rsidRPr="00CD4B01">
        <w:rPr>
          <w:noProof/>
        </w:rPr>
        <w:t xml:space="preserve">K.E. Applegate, </w:t>
      </w:r>
      <w:r w:rsidRPr="00CD4B01">
        <w:rPr>
          <w:i/>
          <w:noProof/>
        </w:rPr>
        <w:t>USA</w:t>
      </w:r>
      <w:r w:rsidRPr="00CD4B01">
        <w:rPr>
          <w:noProof/>
        </w:rPr>
        <w:tab/>
      </w:r>
      <w:r w:rsidRPr="00CD4B01">
        <w:rPr>
          <w:noProof/>
        </w:rPr>
        <w:tab/>
      </w:r>
      <w:r w:rsidR="0061223E" w:rsidRPr="00CD4B01">
        <w:rPr>
          <w:noProof/>
        </w:rPr>
        <w:t xml:space="preserve">D. Laurier, </w:t>
      </w:r>
      <w:r w:rsidR="0061223E" w:rsidRPr="00CD4B01">
        <w:rPr>
          <w:i/>
          <w:noProof/>
        </w:rPr>
        <w:t>France</w:t>
      </w:r>
      <w:r w:rsidRPr="00CD4B01">
        <w:rPr>
          <w:noProof/>
        </w:rPr>
        <w:tab/>
      </w:r>
      <w:r w:rsidRPr="00CD4B01">
        <w:rPr>
          <w:noProof/>
        </w:rPr>
        <w:tab/>
      </w:r>
      <w:r w:rsidRPr="00CD4B01">
        <w:rPr>
          <w:noProof/>
        </w:rPr>
        <w:tab/>
      </w:r>
      <w:r w:rsidRPr="00CD4B01">
        <w:rPr>
          <w:b/>
          <w:bCs/>
          <w:noProof/>
        </w:rPr>
        <w:t>Emeritus members</w:t>
      </w:r>
    </w:p>
    <w:p w14:paraId="46202214" w14:textId="3F4C735F" w:rsidR="00EB314A" w:rsidRPr="0061223E" w:rsidRDefault="00EB314A" w:rsidP="00EB314A">
      <w:pPr>
        <w:pStyle w:val="ICRPbasicnospace"/>
        <w:rPr>
          <w:noProof/>
          <w:lang w:val="en-US"/>
        </w:rPr>
      </w:pPr>
      <w:r w:rsidRPr="00CD4B01">
        <w:rPr>
          <w:iCs/>
          <w:noProof/>
        </w:rPr>
        <w:t xml:space="preserve">F. Bochud, </w:t>
      </w:r>
      <w:r w:rsidRPr="00CD4B01">
        <w:rPr>
          <w:i/>
          <w:noProof/>
        </w:rPr>
        <w:t>Switzerland</w:t>
      </w:r>
      <w:r w:rsidRPr="00CD4B01">
        <w:rPr>
          <w:noProof/>
        </w:rPr>
        <w:tab/>
      </w:r>
      <w:r w:rsidR="0061223E" w:rsidRPr="00CD4B01">
        <w:rPr>
          <w:noProof/>
        </w:rPr>
        <w:t xml:space="preserve">S. Liu, </w:t>
      </w:r>
      <w:r w:rsidR="0061223E" w:rsidRPr="00CD4B01">
        <w:rPr>
          <w:i/>
          <w:noProof/>
        </w:rPr>
        <w:t>China</w:t>
      </w:r>
      <w:r w:rsidRPr="00CD4B01">
        <w:rPr>
          <w:noProof/>
        </w:rPr>
        <w:tab/>
      </w:r>
      <w:r w:rsidRPr="00CD4B01">
        <w:rPr>
          <w:noProof/>
        </w:rPr>
        <w:tab/>
      </w:r>
      <w:r w:rsidR="0061223E" w:rsidRPr="00CD4B01">
        <w:rPr>
          <w:rFonts w:eastAsiaTheme="minorEastAsia"/>
          <w:noProof/>
          <w:lang w:eastAsia="ko-KR"/>
        </w:rPr>
        <w:tab/>
      </w:r>
      <w:r w:rsidR="0061223E" w:rsidRPr="00CD4B01">
        <w:rPr>
          <w:rFonts w:eastAsiaTheme="minorEastAsia"/>
          <w:noProof/>
          <w:lang w:eastAsia="ko-KR"/>
        </w:rPr>
        <w:tab/>
      </w:r>
      <w:r w:rsidRPr="0061223E">
        <w:rPr>
          <w:noProof/>
          <w:lang w:val="en-US"/>
        </w:rPr>
        <w:t xml:space="preserve">R.H. Clarke, </w:t>
      </w:r>
      <w:r w:rsidRPr="0061223E">
        <w:rPr>
          <w:i/>
          <w:noProof/>
          <w:lang w:val="en-US"/>
        </w:rPr>
        <w:t>UK</w:t>
      </w:r>
    </w:p>
    <w:p w14:paraId="59C8356D" w14:textId="6DC527CE" w:rsidR="00EB314A" w:rsidRPr="0061223E" w:rsidRDefault="0061223E" w:rsidP="00EB314A">
      <w:pPr>
        <w:pStyle w:val="ICRPbasicnospace"/>
        <w:rPr>
          <w:noProof/>
          <w:lang w:val="en-US"/>
        </w:rPr>
      </w:pPr>
      <w:r w:rsidRPr="00972C81">
        <w:rPr>
          <w:noProof/>
        </w:rPr>
        <w:t xml:space="preserve">K.W. Cho, </w:t>
      </w:r>
      <w:r w:rsidRPr="00972C81">
        <w:rPr>
          <w:i/>
          <w:noProof/>
        </w:rPr>
        <w:t>Korea</w:t>
      </w:r>
      <w:r w:rsidRPr="0061223E" w:rsidDel="0061223E">
        <w:rPr>
          <w:noProof/>
          <w:lang w:val="en-US"/>
        </w:rPr>
        <w:t xml:space="preserve"> </w:t>
      </w:r>
      <w:r w:rsidRPr="0061223E">
        <w:rPr>
          <w:rFonts w:eastAsiaTheme="minorEastAsia"/>
          <w:noProof/>
          <w:lang w:val="en-US" w:eastAsia="ko-KR"/>
        </w:rPr>
        <w:tab/>
      </w:r>
      <w:r w:rsidR="00EB314A" w:rsidRPr="0061223E">
        <w:rPr>
          <w:noProof/>
          <w:lang w:val="en-US"/>
        </w:rPr>
        <w:tab/>
      </w:r>
      <w:r w:rsidRPr="0061223E">
        <w:rPr>
          <w:noProof/>
          <w:lang w:val="en-US"/>
        </w:rPr>
        <w:t xml:space="preserve">S. Romanov, </w:t>
      </w:r>
      <w:r w:rsidRPr="0061223E">
        <w:rPr>
          <w:i/>
          <w:noProof/>
          <w:lang w:val="en-US"/>
        </w:rPr>
        <w:t>Russia</w:t>
      </w:r>
      <w:r w:rsidR="00EB314A" w:rsidRPr="0061223E">
        <w:rPr>
          <w:i/>
          <w:noProof/>
          <w:lang w:val="en-US"/>
        </w:rPr>
        <w:tab/>
      </w:r>
      <w:r w:rsidR="00EB314A" w:rsidRPr="0061223E">
        <w:rPr>
          <w:noProof/>
          <w:lang w:val="en-US"/>
        </w:rPr>
        <w:tab/>
      </w:r>
      <w:r>
        <w:rPr>
          <w:rFonts w:eastAsiaTheme="minorEastAsia"/>
          <w:noProof/>
          <w:lang w:val="en-US" w:eastAsia="ko-KR"/>
        </w:rPr>
        <w:tab/>
      </w:r>
      <w:r>
        <w:rPr>
          <w:rFonts w:eastAsiaTheme="minorEastAsia" w:hint="eastAsia"/>
          <w:noProof/>
          <w:lang w:val="en-US" w:eastAsia="ko-KR"/>
        </w:rPr>
        <w:t xml:space="preserve">C. Cousins, </w:t>
      </w:r>
      <w:r w:rsidRPr="0061223E">
        <w:rPr>
          <w:rFonts w:eastAsiaTheme="minorEastAsia" w:hint="eastAsia"/>
          <w:i/>
          <w:iCs/>
          <w:noProof/>
          <w:lang w:val="en-US" w:eastAsia="ko-KR"/>
        </w:rPr>
        <w:t>UK</w:t>
      </w:r>
    </w:p>
    <w:p w14:paraId="6AC5965F" w14:textId="27EBF959" w:rsidR="0061223E" w:rsidRDefault="0061223E" w:rsidP="0061223E">
      <w:pPr>
        <w:pStyle w:val="ICRPbasicnospace"/>
        <w:rPr>
          <w:rFonts w:eastAsiaTheme="minorEastAsia"/>
          <w:noProof/>
          <w:lang w:eastAsia="ko-KR"/>
        </w:rPr>
      </w:pPr>
      <w:r w:rsidRPr="0061223E">
        <w:rPr>
          <w:iCs/>
          <w:noProof/>
          <w:lang w:val="en-US"/>
        </w:rPr>
        <w:t xml:space="preserve">G. Hirth, </w:t>
      </w:r>
      <w:r w:rsidRPr="0061223E">
        <w:rPr>
          <w:i/>
          <w:noProof/>
          <w:lang w:val="en-US"/>
        </w:rPr>
        <w:t>Australia</w:t>
      </w:r>
      <w:r w:rsidRPr="00972C81" w:rsidDel="0061223E">
        <w:rPr>
          <w:noProof/>
        </w:rPr>
        <w:t xml:space="preserve"> </w:t>
      </w:r>
      <w:r w:rsidR="00EB314A" w:rsidRPr="00972C81">
        <w:rPr>
          <w:noProof/>
        </w:rPr>
        <w:tab/>
      </w:r>
      <w:r w:rsidR="00EB314A" w:rsidRPr="00972C81">
        <w:rPr>
          <w:noProof/>
        </w:rPr>
        <w:tab/>
      </w:r>
      <w:r w:rsidRPr="000D68F1">
        <w:rPr>
          <w:iCs/>
          <w:noProof/>
          <w:lang w:val="en-US"/>
        </w:rPr>
        <w:t xml:space="preserve">T. Schneider, </w:t>
      </w:r>
      <w:r w:rsidRPr="000D68F1">
        <w:rPr>
          <w:i/>
          <w:noProof/>
          <w:lang w:val="en-US"/>
        </w:rPr>
        <w:t>France</w:t>
      </w:r>
      <w:r w:rsidR="00EB314A" w:rsidRPr="00972C81">
        <w:rPr>
          <w:noProof/>
        </w:rPr>
        <w:tab/>
      </w:r>
      <w:r w:rsidR="00EB314A" w:rsidRPr="00972C81">
        <w:rPr>
          <w:noProof/>
        </w:rPr>
        <w:tab/>
      </w:r>
      <w:r>
        <w:rPr>
          <w:rFonts w:eastAsiaTheme="minorEastAsia"/>
          <w:noProof/>
          <w:lang w:eastAsia="ko-KR"/>
        </w:rPr>
        <w:tab/>
      </w:r>
      <w:r>
        <w:rPr>
          <w:rFonts w:eastAsiaTheme="minorEastAsia" w:hint="eastAsia"/>
          <w:noProof/>
          <w:lang w:eastAsia="ko-KR"/>
        </w:rPr>
        <w:t xml:space="preserve">J. Lochard, </w:t>
      </w:r>
      <w:r w:rsidRPr="0061223E">
        <w:rPr>
          <w:rFonts w:eastAsiaTheme="minorEastAsia" w:hint="eastAsia"/>
          <w:i/>
          <w:iCs/>
          <w:noProof/>
          <w:lang w:eastAsia="ko-KR"/>
        </w:rPr>
        <w:t>France</w:t>
      </w:r>
    </w:p>
    <w:p w14:paraId="687F0E67" w14:textId="7D67ED91" w:rsidR="0061223E" w:rsidRPr="0061223E" w:rsidRDefault="0061223E" w:rsidP="0061223E">
      <w:pPr>
        <w:pStyle w:val="ICRPbasicnospace"/>
        <w:rPr>
          <w:rFonts w:eastAsiaTheme="minorEastAsia"/>
          <w:noProof/>
          <w:lang w:eastAsia="ko-KR"/>
        </w:rPr>
      </w:pPr>
      <w:r w:rsidRPr="000D68F1">
        <w:rPr>
          <w:noProof/>
          <w:lang w:val="en-US"/>
        </w:rPr>
        <w:t xml:space="preserve">M. Kai, </w:t>
      </w:r>
      <w:r w:rsidRPr="000D68F1">
        <w:rPr>
          <w:i/>
          <w:noProof/>
          <w:lang w:val="en-US"/>
        </w:rPr>
        <w:t>Japan</w:t>
      </w:r>
      <w:r w:rsidRPr="0061223E" w:rsidDel="0061223E">
        <w:rPr>
          <w:iCs/>
          <w:noProof/>
          <w:lang w:val="en-US"/>
        </w:rPr>
        <w:t xml:space="preserve"> </w:t>
      </w:r>
      <w:r w:rsidRPr="000D68F1">
        <w:rPr>
          <w:noProof/>
          <w:lang w:val="en-US"/>
        </w:rPr>
        <w:tab/>
      </w:r>
      <w:r w:rsidRPr="000D68F1">
        <w:rPr>
          <w:noProof/>
          <w:lang w:val="en-US"/>
        </w:rPr>
        <w:tab/>
      </w:r>
      <w:r w:rsidRPr="00972C81">
        <w:rPr>
          <w:noProof/>
        </w:rPr>
        <w:t xml:space="preserve">A. Wojcik, </w:t>
      </w:r>
      <w:r w:rsidRPr="00972C81">
        <w:rPr>
          <w:i/>
          <w:iCs/>
          <w:noProof/>
        </w:rPr>
        <w:t>Sweden</w:t>
      </w:r>
      <w:r w:rsidRPr="000D68F1">
        <w:rPr>
          <w:noProof/>
          <w:lang w:val="en-US"/>
        </w:rPr>
        <w:t xml:space="preserve"> </w:t>
      </w:r>
      <w:r>
        <w:rPr>
          <w:rFonts w:eastAsiaTheme="minorEastAsia"/>
          <w:noProof/>
          <w:lang w:val="en-US" w:eastAsia="ko-KR"/>
        </w:rPr>
        <w:tab/>
      </w:r>
      <w:r>
        <w:rPr>
          <w:rFonts w:eastAsiaTheme="minorEastAsia"/>
          <w:noProof/>
          <w:lang w:val="en-US" w:eastAsia="ko-KR"/>
        </w:rPr>
        <w:tab/>
      </w:r>
      <w:r>
        <w:rPr>
          <w:rFonts w:eastAsiaTheme="minorEastAsia"/>
          <w:noProof/>
          <w:lang w:val="en-US" w:eastAsia="ko-KR"/>
        </w:rPr>
        <w:tab/>
      </w:r>
      <w:r w:rsidRPr="000D68F1">
        <w:rPr>
          <w:noProof/>
          <w:lang w:val="en-US"/>
        </w:rPr>
        <w:t xml:space="preserve">F.A. Mettler Jr, </w:t>
      </w:r>
      <w:r w:rsidRPr="000D68F1">
        <w:rPr>
          <w:i/>
          <w:noProof/>
          <w:lang w:val="en-US"/>
        </w:rPr>
        <w:t>USA</w:t>
      </w:r>
    </w:p>
    <w:p w14:paraId="70B68078" w14:textId="30026F92" w:rsidR="00EB314A" w:rsidRPr="00972C81" w:rsidRDefault="00EB314A" w:rsidP="0061223E">
      <w:pPr>
        <w:pStyle w:val="ICRPbasicnospace"/>
        <w:ind w:left="5760" w:firstLine="720"/>
        <w:rPr>
          <w:noProof/>
        </w:rPr>
      </w:pPr>
      <w:r w:rsidRPr="00972C81">
        <w:rPr>
          <w:noProof/>
        </w:rPr>
        <w:t xml:space="preserve">R.J. Pentreath, </w:t>
      </w:r>
      <w:r w:rsidRPr="00972C81">
        <w:rPr>
          <w:i/>
          <w:noProof/>
        </w:rPr>
        <w:t>UK</w:t>
      </w:r>
    </w:p>
    <w:p w14:paraId="246B6EB0" w14:textId="337D2C64" w:rsidR="00EB314A" w:rsidRPr="0061223E" w:rsidRDefault="00EB314A" w:rsidP="0061223E">
      <w:pPr>
        <w:pStyle w:val="ICRPbasicnospace"/>
        <w:ind w:left="3600" w:firstLine="720"/>
        <w:rPr>
          <w:noProof/>
          <w:lang w:val="en-US"/>
        </w:rPr>
      </w:pPr>
      <w:r w:rsidRPr="0061223E">
        <w:rPr>
          <w:noProof/>
          <w:lang w:val="en-US"/>
        </w:rPr>
        <w:tab/>
      </w:r>
      <w:r w:rsidRPr="0061223E">
        <w:rPr>
          <w:noProof/>
          <w:lang w:val="en-US"/>
        </w:rPr>
        <w:tab/>
      </w:r>
      <w:r w:rsidRPr="0061223E">
        <w:rPr>
          <w:noProof/>
          <w:lang w:val="en-US"/>
        </w:rPr>
        <w:tab/>
        <w:t xml:space="preserve">R.J. Preston, </w:t>
      </w:r>
      <w:r w:rsidRPr="0061223E">
        <w:rPr>
          <w:i/>
          <w:noProof/>
          <w:lang w:val="en-US"/>
        </w:rPr>
        <w:t>USA</w:t>
      </w:r>
    </w:p>
    <w:p w14:paraId="4882096A" w14:textId="22C99B95" w:rsidR="00EB314A" w:rsidRPr="00972C81" w:rsidRDefault="00EB314A" w:rsidP="00EB314A">
      <w:pPr>
        <w:pStyle w:val="ICRPbasicnospace"/>
        <w:rPr>
          <w:noProof/>
        </w:rPr>
      </w:pPr>
      <w:r w:rsidRPr="0061223E">
        <w:rPr>
          <w:noProof/>
          <w:lang w:val="en-US"/>
        </w:rPr>
        <w:tab/>
      </w:r>
      <w:r w:rsidRPr="0061223E">
        <w:rPr>
          <w:noProof/>
          <w:lang w:val="en-US"/>
        </w:rPr>
        <w:tab/>
      </w:r>
      <w:r w:rsidRPr="0061223E">
        <w:rPr>
          <w:noProof/>
          <w:lang w:val="en-US"/>
        </w:rPr>
        <w:tab/>
      </w:r>
      <w:r w:rsidRPr="0061223E">
        <w:rPr>
          <w:noProof/>
          <w:lang w:val="en-US"/>
        </w:rPr>
        <w:tab/>
      </w:r>
      <w:r w:rsidRPr="0061223E">
        <w:rPr>
          <w:noProof/>
          <w:lang w:val="en-US"/>
        </w:rPr>
        <w:tab/>
      </w:r>
      <w:r w:rsidRPr="0061223E">
        <w:rPr>
          <w:noProof/>
          <w:lang w:val="en-US"/>
        </w:rPr>
        <w:tab/>
      </w:r>
      <w:r w:rsidRPr="0061223E">
        <w:rPr>
          <w:noProof/>
          <w:lang w:val="en-US"/>
        </w:rPr>
        <w:tab/>
      </w:r>
      <w:r w:rsidR="0061223E">
        <w:rPr>
          <w:rFonts w:eastAsiaTheme="minorEastAsia"/>
          <w:noProof/>
          <w:lang w:val="en-US" w:eastAsia="ko-KR"/>
        </w:rPr>
        <w:tab/>
      </w:r>
      <w:r w:rsidR="0061223E">
        <w:rPr>
          <w:rFonts w:eastAsiaTheme="minorEastAsia"/>
          <w:noProof/>
          <w:lang w:val="en-US" w:eastAsia="ko-KR"/>
        </w:rPr>
        <w:tab/>
      </w:r>
      <w:r w:rsidRPr="00972C81">
        <w:rPr>
          <w:noProof/>
        </w:rPr>
        <w:t xml:space="preserve">C. Streffer, </w:t>
      </w:r>
      <w:r w:rsidRPr="00972C81">
        <w:rPr>
          <w:i/>
          <w:noProof/>
        </w:rPr>
        <w:t>Germany</w:t>
      </w:r>
    </w:p>
    <w:p w14:paraId="3FAFF92E" w14:textId="198FC424" w:rsidR="00EB314A" w:rsidRPr="00CD4B01" w:rsidRDefault="00EB314A" w:rsidP="0061223E">
      <w:pPr>
        <w:pStyle w:val="ICRPbasicnospace"/>
        <w:ind w:left="1440" w:firstLine="720"/>
        <w:rPr>
          <w:noProof/>
          <w:lang w:val="en-US"/>
        </w:rPr>
      </w:pPr>
      <w:r w:rsidRPr="0061223E">
        <w:rPr>
          <w:noProof/>
          <w:lang w:val="en-US"/>
        </w:rPr>
        <w:tab/>
      </w:r>
      <w:r w:rsidRPr="0061223E">
        <w:rPr>
          <w:noProof/>
          <w:lang w:val="en-US"/>
        </w:rPr>
        <w:tab/>
      </w:r>
      <w:r w:rsidRPr="0061223E">
        <w:rPr>
          <w:noProof/>
          <w:lang w:val="en-US"/>
        </w:rPr>
        <w:tab/>
      </w:r>
      <w:r w:rsidRPr="0061223E">
        <w:rPr>
          <w:noProof/>
          <w:lang w:val="en-US"/>
        </w:rPr>
        <w:tab/>
      </w:r>
      <w:r w:rsidRPr="0061223E">
        <w:rPr>
          <w:noProof/>
          <w:lang w:val="en-US"/>
        </w:rPr>
        <w:tab/>
      </w:r>
      <w:r w:rsidRPr="0061223E">
        <w:rPr>
          <w:noProof/>
          <w:lang w:val="en-US"/>
        </w:rPr>
        <w:tab/>
      </w:r>
      <w:r w:rsidRPr="00CD4B01">
        <w:rPr>
          <w:noProof/>
          <w:lang w:val="en-US"/>
        </w:rPr>
        <w:t xml:space="preserve">E. Vañó, </w:t>
      </w:r>
      <w:r w:rsidRPr="00CD4B01">
        <w:rPr>
          <w:i/>
          <w:noProof/>
          <w:lang w:val="en-US"/>
        </w:rPr>
        <w:t>Spain</w:t>
      </w:r>
    </w:p>
    <w:p w14:paraId="17D84934" w14:textId="02D54912" w:rsidR="00EB314A" w:rsidRPr="00972C81" w:rsidRDefault="00EB314A" w:rsidP="00C47F2F">
      <w:pPr>
        <w:pStyle w:val="ICRPbasic"/>
        <w:rPr>
          <w:noProof/>
          <w:lang w:eastAsia="en-GB"/>
        </w:rPr>
      </w:pPr>
      <w:r w:rsidRPr="00972C81">
        <w:rPr>
          <w:noProof/>
          <w:vertAlign w:val="superscript"/>
        </w:rPr>
        <w:t>*</w:t>
      </w:r>
      <w:r w:rsidRPr="00972C81">
        <w:rPr>
          <w:noProof/>
        </w:rPr>
        <w:t>Although formally not a Main Commission member since 1988, the Scientific Secretary is an integral part of the Main Commission.</w:t>
      </w:r>
    </w:p>
    <w:sectPr w:rsidR="00EB314A" w:rsidRPr="00972C81" w:rsidSect="00ED3DED">
      <w:headerReference w:type="even" r:id="rId25"/>
      <w:headerReference w:type="default" r:id="rId26"/>
      <w:footerReference w:type="default" r:id="rId27"/>
      <w:headerReference w:type="first" r:id="rId28"/>
      <w:type w:val="oddPage"/>
      <w:pgSz w:w="11907" w:h="16839" w:code="9"/>
      <w:pgMar w:top="1440" w:right="1440" w:bottom="1440" w:left="1440" w:header="720" w:footer="720" w:gutter="0"/>
      <w:lnNumType w:countBy="1" w:restart="continuous"/>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2B023" w14:textId="77777777" w:rsidR="00ED3DED" w:rsidRDefault="00ED3DED">
      <w:r>
        <w:separator/>
      </w:r>
    </w:p>
  </w:endnote>
  <w:endnote w:type="continuationSeparator" w:id="0">
    <w:p w14:paraId="28A6E66F" w14:textId="77777777" w:rsidR="00ED3DED" w:rsidRDefault="00ED3DED">
      <w:r>
        <w:continuationSeparator/>
      </w:r>
    </w:p>
  </w:endnote>
  <w:endnote w:type="continuationNotice" w:id="1">
    <w:p w14:paraId="1109EA71" w14:textId="77777777" w:rsidR="00ED3DED" w:rsidRDefault="00ED3D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NDKD O+ Adv EPSTIM">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7E442" w14:textId="0304D373" w:rsidR="00E34499" w:rsidRPr="00377997" w:rsidRDefault="00E34499">
    <w:pPr>
      <w:pStyle w:val="a6"/>
      <w:jc w:val="center"/>
    </w:pPr>
    <w:r w:rsidRPr="00377997">
      <w:rPr>
        <w:rStyle w:val="a7"/>
      </w:rPr>
      <w:fldChar w:fldCharType="begin"/>
    </w:r>
    <w:r w:rsidRPr="00377997">
      <w:rPr>
        <w:rStyle w:val="a7"/>
      </w:rPr>
      <w:instrText xml:space="preserve"> PAGE </w:instrText>
    </w:r>
    <w:r w:rsidRPr="00377997">
      <w:rPr>
        <w:rStyle w:val="a7"/>
      </w:rPr>
      <w:fldChar w:fldCharType="separate"/>
    </w:r>
    <w:r>
      <w:rPr>
        <w:rStyle w:val="a7"/>
        <w:noProof/>
      </w:rPr>
      <w:t>6</w:t>
    </w:r>
    <w:r w:rsidRPr="00377997">
      <w:rPr>
        <w:rStyle w:val="a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3364D" w14:textId="3C908784" w:rsidR="00E34499" w:rsidRPr="006E17C1" w:rsidRDefault="00E34499">
    <w:pPr>
      <w:pStyle w:val="a6"/>
      <w:jc w:val="center"/>
    </w:pPr>
    <w:r w:rsidRPr="006E17C1">
      <w:rPr>
        <w:rStyle w:val="a7"/>
      </w:rPr>
      <w:fldChar w:fldCharType="begin"/>
    </w:r>
    <w:r w:rsidRPr="006E17C1">
      <w:rPr>
        <w:rStyle w:val="a7"/>
      </w:rPr>
      <w:instrText xml:space="preserve">PAGE  </w:instrText>
    </w:r>
    <w:r w:rsidRPr="006E17C1">
      <w:rPr>
        <w:rStyle w:val="a7"/>
      </w:rPr>
      <w:fldChar w:fldCharType="separate"/>
    </w:r>
    <w:r>
      <w:rPr>
        <w:rStyle w:val="a7"/>
        <w:noProof/>
      </w:rPr>
      <w:t>143</w:t>
    </w:r>
    <w:r w:rsidRPr="006E17C1">
      <w:rPr>
        <w:rStyle w:val="a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DE7958" w14:textId="77777777" w:rsidR="00ED3DED" w:rsidRDefault="00ED3DED">
      <w:r>
        <w:separator/>
      </w:r>
    </w:p>
  </w:footnote>
  <w:footnote w:type="continuationSeparator" w:id="0">
    <w:p w14:paraId="41CB1EF1" w14:textId="77777777" w:rsidR="00ED3DED" w:rsidRDefault="00ED3DED">
      <w:r>
        <w:continuationSeparator/>
      </w:r>
    </w:p>
  </w:footnote>
  <w:footnote w:type="continuationNotice" w:id="1">
    <w:p w14:paraId="3E80EA66" w14:textId="77777777" w:rsidR="00ED3DED" w:rsidRDefault="00ED3D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96F41" w14:textId="51B9736F" w:rsidR="00E34499" w:rsidRPr="00FE40AB" w:rsidRDefault="00E34499" w:rsidP="00FE40AB">
    <w:pPr>
      <w:pStyle w:val="a5"/>
      <w:rPr>
        <w:rFonts w:ascii="Arial" w:hAnsi="Arial" w:cs="Arial"/>
        <w:b/>
        <w:color w:val="005DAA"/>
      </w:rPr>
    </w:pPr>
    <w:r>
      <w:rPr>
        <w:rFonts w:ascii="Arial" w:hAnsi="Arial" w:cs="Arial"/>
        <w:b/>
        <w:noProof/>
        <w:color w:val="005DAA"/>
        <w:lang w:val="fr-FR" w:eastAsia="fr-FR"/>
      </w:rPr>
      <w:drawing>
        <wp:inline distT="0" distB="0" distL="0" distR="0" wp14:anchorId="3B79A312" wp14:editId="4471AD6D">
          <wp:extent cx="1371600" cy="470535"/>
          <wp:effectExtent l="0" t="0" r="0" b="5715"/>
          <wp:docPr id="1446131852" name="Image 2" descr="ICRP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RP logo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70535"/>
                  </a:xfrm>
                  <a:prstGeom prst="rect">
                    <a:avLst/>
                  </a:prstGeom>
                  <a:noFill/>
                  <a:ln>
                    <a:noFill/>
                  </a:ln>
                </pic:spPr>
              </pic:pic>
            </a:graphicData>
          </a:graphic>
        </wp:inline>
      </w:drawing>
    </w:r>
    <w:r w:rsidRPr="005F396E">
      <w:rPr>
        <w:rFonts w:ascii="Arial" w:hAnsi="Arial" w:cs="Arial"/>
        <w:b/>
        <w:noProof/>
        <w:color w:val="005DAA"/>
        <w:sz w:val="22"/>
        <w:szCs w:val="22"/>
        <w:lang w:val="en-CA" w:eastAsia="zh-TW"/>
      </w:rPr>
      <w:t xml:space="preserve"> </w:t>
    </w:r>
    <w:bookmarkStart w:id="0" w:name="_Hlk121956121"/>
    <w:r>
      <w:rPr>
        <w:rFonts w:asciiTheme="minorEastAsia" w:hAnsiTheme="minorEastAsia" w:cs="Arial" w:hint="eastAsia"/>
        <w:b/>
        <w:noProof/>
        <w:color w:val="005DAA"/>
        <w:sz w:val="22"/>
        <w:szCs w:val="22"/>
        <w:lang w:val="en-CA" w:eastAsia="ko-KR"/>
      </w:rPr>
      <w:t>DRAFT</w:t>
    </w:r>
    <w:r>
      <w:rPr>
        <w:rFonts w:asciiTheme="minorEastAsia" w:hAnsiTheme="minorEastAsia" w:cs="Arial"/>
        <w:b/>
        <w:noProof/>
        <w:color w:val="005DAA"/>
        <w:sz w:val="22"/>
        <w:szCs w:val="22"/>
        <w:lang w:val="en-CA" w:eastAsia="ko-KR"/>
      </w:rPr>
      <w:t xml:space="preserve"> </w:t>
    </w:r>
    <w:r>
      <w:rPr>
        <w:rFonts w:asciiTheme="minorEastAsia" w:hAnsiTheme="minorEastAsia" w:cs="Arial" w:hint="eastAsia"/>
        <w:b/>
        <w:noProof/>
        <w:color w:val="005DAA"/>
        <w:sz w:val="22"/>
        <w:szCs w:val="22"/>
        <w:lang w:val="en-CA" w:eastAsia="ko-KR"/>
      </w:rPr>
      <w:t>REPORT</w:t>
    </w:r>
    <w:r>
      <w:rPr>
        <w:rFonts w:asciiTheme="minorEastAsia" w:hAnsiTheme="minorEastAsia" w:cs="Arial"/>
        <w:b/>
        <w:noProof/>
        <w:color w:val="005DAA"/>
        <w:sz w:val="22"/>
        <w:szCs w:val="22"/>
        <w:lang w:val="en-CA" w:eastAsia="ko-KR"/>
      </w:rPr>
      <w:t xml:space="preserve"> </w:t>
    </w:r>
    <w:r>
      <w:rPr>
        <w:rFonts w:asciiTheme="minorEastAsia" w:hAnsiTheme="minorEastAsia" w:cs="Arial" w:hint="eastAsia"/>
        <w:b/>
        <w:noProof/>
        <w:color w:val="005DAA"/>
        <w:sz w:val="22"/>
        <w:szCs w:val="22"/>
        <w:lang w:val="en-CA" w:eastAsia="ko-KR"/>
      </w:rPr>
      <w:t>FOR</w:t>
    </w:r>
    <w:r>
      <w:rPr>
        <w:rFonts w:asciiTheme="minorEastAsia" w:hAnsiTheme="minorEastAsia" w:cs="Arial"/>
        <w:b/>
        <w:noProof/>
        <w:color w:val="005DAA"/>
        <w:sz w:val="22"/>
        <w:szCs w:val="22"/>
        <w:lang w:val="en-CA" w:eastAsia="ko-KR"/>
      </w:rPr>
      <w:t xml:space="preserve"> </w:t>
    </w:r>
    <w:r>
      <w:rPr>
        <w:rFonts w:asciiTheme="minorEastAsia" w:hAnsiTheme="minorEastAsia" w:cs="Arial" w:hint="eastAsia"/>
        <w:b/>
        <w:noProof/>
        <w:color w:val="005DAA"/>
        <w:sz w:val="22"/>
        <w:szCs w:val="22"/>
        <w:lang w:val="en-CA" w:eastAsia="ko-KR"/>
      </w:rPr>
      <w:t>CONSULTATION</w:t>
    </w:r>
    <w:bookmarkEnd w:id="0"/>
    <w:r>
      <w:rPr>
        <w:rFonts w:asciiTheme="minorEastAsia" w:hAnsiTheme="minorEastAsia" w:cs="Arial"/>
        <w:b/>
        <w:noProof/>
        <w:color w:val="005DAA"/>
        <w:sz w:val="22"/>
        <w:szCs w:val="22"/>
        <w:lang w:val="en-CA" w:eastAsia="ko-KR"/>
      </w:rPr>
      <w:t>: DO NOT REFERENCE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3CD0D" w14:textId="299486FD" w:rsidR="00E34499" w:rsidRDefault="00E34499">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1D639" w14:textId="35057409" w:rsidR="00E34499" w:rsidRDefault="00E34499">
    <w:pPr>
      <w:pStyle w:val="a5"/>
    </w:pPr>
    <w:r>
      <w:rPr>
        <w:rFonts w:ascii="Arial" w:hAnsi="Arial" w:cs="Arial"/>
        <w:b/>
        <w:noProof/>
        <w:color w:val="005DAA"/>
        <w:lang w:val="fr-FR" w:eastAsia="fr-FR"/>
      </w:rPr>
      <w:drawing>
        <wp:inline distT="0" distB="0" distL="0" distR="0" wp14:anchorId="42805792" wp14:editId="50AC4B63">
          <wp:extent cx="1371600" cy="470535"/>
          <wp:effectExtent l="0" t="0" r="0" b="5715"/>
          <wp:docPr id="167088586" name="Image 2" descr="ICRP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RP logo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70535"/>
                  </a:xfrm>
                  <a:prstGeom prst="rect">
                    <a:avLst/>
                  </a:prstGeom>
                  <a:noFill/>
                  <a:ln>
                    <a:noFill/>
                  </a:ln>
                </pic:spPr>
              </pic:pic>
            </a:graphicData>
          </a:graphic>
        </wp:inline>
      </w:drawing>
    </w:r>
    <w:r w:rsidRPr="005F396E">
      <w:rPr>
        <w:rFonts w:ascii="Arial" w:hAnsi="Arial" w:cs="Arial"/>
        <w:b/>
        <w:noProof/>
        <w:color w:val="005DAA"/>
        <w:sz w:val="22"/>
        <w:szCs w:val="22"/>
        <w:lang w:val="en-CA" w:eastAsia="zh-TW"/>
      </w:rPr>
      <w:t xml:space="preserve"> </w:t>
    </w:r>
    <w:r>
      <w:rPr>
        <w:rFonts w:asciiTheme="minorEastAsia" w:hAnsiTheme="minorEastAsia" w:cs="Arial" w:hint="eastAsia"/>
        <w:b/>
        <w:noProof/>
        <w:color w:val="005DAA"/>
        <w:sz w:val="22"/>
        <w:szCs w:val="22"/>
        <w:lang w:val="en-CA" w:eastAsia="ko-KR"/>
      </w:rPr>
      <w:t>DRAFT</w:t>
    </w:r>
    <w:r>
      <w:rPr>
        <w:rFonts w:asciiTheme="minorEastAsia" w:hAnsiTheme="minorEastAsia" w:cs="Arial"/>
        <w:b/>
        <w:noProof/>
        <w:color w:val="005DAA"/>
        <w:sz w:val="22"/>
        <w:szCs w:val="22"/>
        <w:lang w:val="en-CA" w:eastAsia="ko-KR"/>
      </w:rPr>
      <w:t xml:space="preserve"> </w:t>
    </w:r>
    <w:r>
      <w:rPr>
        <w:rFonts w:asciiTheme="minorEastAsia" w:hAnsiTheme="minorEastAsia" w:cs="Arial" w:hint="eastAsia"/>
        <w:b/>
        <w:noProof/>
        <w:color w:val="005DAA"/>
        <w:sz w:val="22"/>
        <w:szCs w:val="22"/>
        <w:lang w:val="en-CA" w:eastAsia="ko-KR"/>
      </w:rPr>
      <w:t>REPORT</w:t>
    </w:r>
    <w:r>
      <w:rPr>
        <w:rFonts w:asciiTheme="minorEastAsia" w:hAnsiTheme="minorEastAsia" w:cs="Arial"/>
        <w:b/>
        <w:noProof/>
        <w:color w:val="005DAA"/>
        <w:sz w:val="22"/>
        <w:szCs w:val="22"/>
        <w:lang w:val="en-CA" w:eastAsia="ko-KR"/>
      </w:rPr>
      <w:t xml:space="preserve"> </w:t>
    </w:r>
    <w:r>
      <w:rPr>
        <w:rFonts w:asciiTheme="minorEastAsia" w:hAnsiTheme="minorEastAsia" w:cs="Arial" w:hint="eastAsia"/>
        <w:b/>
        <w:noProof/>
        <w:color w:val="005DAA"/>
        <w:sz w:val="22"/>
        <w:szCs w:val="22"/>
        <w:lang w:val="en-CA" w:eastAsia="ko-KR"/>
      </w:rPr>
      <w:t>FOR</w:t>
    </w:r>
    <w:r>
      <w:rPr>
        <w:rFonts w:asciiTheme="minorEastAsia" w:hAnsiTheme="minorEastAsia" w:cs="Arial"/>
        <w:b/>
        <w:noProof/>
        <w:color w:val="005DAA"/>
        <w:sz w:val="22"/>
        <w:szCs w:val="22"/>
        <w:lang w:val="en-CA" w:eastAsia="ko-KR"/>
      </w:rPr>
      <w:t xml:space="preserve"> </w:t>
    </w:r>
    <w:r>
      <w:rPr>
        <w:rFonts w:asciiTheme="minorEastAsia" w:hAnsiTheme="minorEastAsia" w:cs="Arial" w:hint="eastAsia"/>
        <w:b/>
        <w:noProof/>
        <w:color w:val="005DAA"/>
        <w:sz w:val="22"/>
        <w:szCs w:val="22"/>
        <w:lang w:val="en-CA" w:eastAsia="ko-KR"/>
      </w:rPr>
      <w:t>CONSULTATION</w:t>
    </w:r>
    <w:r>
      <w:rPr>
        <w:rFonts w:asciiTheme="minorEastAsia" w:hAnsiTheme="minorEastAsia" w:cs="Arial"/>
        <w:b/>
        <w:noProof/>
        <w:color w:val="005DAA"/>
        <w:sz w:val="22"/>
        <w:szCs w:val="22"/>
        <w:lang w:val="en-CA" w:eastAsia="ko-KR"/>
      </w:rPr>
      <w:t>: DO NOT REFERENCE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24E12" w14:textId="54D5CFDF" w:rsidR="00E34499" w:rsidRDefault="00E34499">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3F833" w14:textId="69E10B64" w:rsidR="00E34499" w:rsidRDefault="00E34499">
    <w:pPr>
      <w:pStyle w:val="a5"/>
    </w:pPr>
    <w:r>
      <w:rPr>
        <w:noProof/>
        <w:lang w:val="fr-FR" w:eastAsia="fr-FR"/>
      </w:rPr>
      <mc:AlternateContent>
        <mc:Choice Requires="wps">
          <w:drawing>
            <wp:anchor distT="0" distB="0" distL="114300" distR="114300" simplePos="0" relativeHeight="251662336" behindDoc="1" locked="0" layoutInCell="0" allowOverlap="1" wp14:anchorId="4AE0A953" wp14:editId="502DDF35">
              <wp:simplePos x="0" y="0"/>
              <wp:positionH relativeFrom="margin">
                <wp:align>center</wp:align>
              </wp:positionH>
              <wp:positionV relativeFrom="margin">
                <wp:align>center</wp:align>
              </wp:positionV>
              <wp:extent cx="5507355" cy="2202815"/>
              <wp:effectExtent l="0" t="1400175" r="0" b="1273810"/>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07355" cy="2202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940C11" w14:textId="77777777" w:rsidR="00E34499" w:rsidRDefault="00E34499" w:rsidP="00E24AF0">
                          <w:pPr>
                            <w:pStyle w:val="af5"/>
                            <w:spacing w:before="0" w:after="0"/>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E0A953" id="_x0000_t202" coordsize="21600,21600" o:spt="202" path="m,l,21600r21600,l21600,xe">
              <v:stroke joinstyle="miter"/>
              <v:path gradientshapeok="t" o:connecttype="rect"/>
            </v:shapetype>
            <v:shape id="Zone de texte 69" o:spid="_x0000_s1026" type="#_x0000_t202" style="position:absolute;left:0;text-align:left;margin-left:0;margin-top:0;width:433.65pt;height:173.4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" o:allowincell="f" filled="f" stroked="f">
              <v:stroke joinstyle="round"/>
              <o:lock v:ext="edit" shapetype="t"/>
              <v:textbox style="mso-fit-shape-to-text:t">
                <w:txbxContent>
                  <w:p w14:paraId="31940C11" w14:textId="77777777" w:rsidR="00E34499" w:rsidRDefault="00E34499" w:rsidP="00E24AF0">
                    <w:pPr>
                      <w:pStyle w:val="af5"/>
                      <w:spacing w:before="0" w:after="0"/>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4322A" w14:textId="797EEC8B" w:rsidR="00E34499" w:rsidRDefault="00E34499">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EE440" w14:textId="37C05DF3" w:rsidR="00E34499" w:rsidRDefault="00E34499">
    <w:pPr>
      <w:pStyle w:val="a5"/>
    </w:pPr>
    <w:r>
      <w:rPr>
        <w:noProof/>
        <w:lang w:val="fr-FR" w:eastAsia="fr-FR"/>
      </w:rPr>
      <mc:AlternateContent>
        <mc:Choice Requires="wps">
          <w:drawing>
            <wp:anchor distT="0" distB="0" distL="114300" distR="114300" simplePos="0" relativeHeight="251661312" behindDoc="1" locked="0" layoutInCell="0" allowOverlap="1" wp14:anchorId="3B2FEDA9" wp14:editId="3D1ED3BB">
              <wp:simplePos x="0" y="0"/>
              <wp:positionH relativeFrom="margin">
                <wp:align>center</wp:align>
              </wp:positionH>
              <wp:positionV relativeFrom="margin">
                <wp:align>center</wp:align>
              </wp:positionV>
              <wp:extent cx="5507355" cy="2202815"/>
              <wp:effectExtent l="0" t="1400175" r="0" b="1273810"/>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07355" cy="2202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93EA57" w14:textId="77777777" w:rsidR="00E34499" w:rsidRDefault="00E34499" w:rsidP="00E24AF0">
                          <w:pPr>
                            <w:pStyle w:val="af5"/>
                            <w:spacing w:before="0" w:after="0"/>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2FEDA9" id="_x0000_t202" coordsize="21600,21600" o:spt="202" path="m,l,21600r21600,l21600,xe">
              <v:stroke joinstyle="miter"/>
              <v:path gradientshapeok="t" o:connecttype="rect"/>
            </v:shapetype>
            <v:shape id="Zone de texte 68" o:spid="_x0000_s1027" type="#_x0000_t202" style="position:absolute;left:0;text-align:left;margin-left:0;margin-top:0;width:433.65pt;height:173.4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" o:allowincell="f" filled="f" stroked="f">
              <v:stroke joinstyle="round"/>
              <o:lock v:ext="edit" shapetype="t"/>
              <v:textbox style="mso-fit-shape-to-text:t">
                <w:txbxContent>
                  <w:p w14:paraId="3A93EA57" w14:textId="77777777" w:rsidR="00E34499" w:rsidRDefault="00E34499" w:rsidP="00E24AF0">
                    <w:pPr>
                      <w:pStyle w:val="af5"/>
                      <w:spacing w:before="0" w:after="0"/>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A603A"/>
    <w:multiLevelType w:val="multilevel"/>
    <w:tmpl w:val="5BF67AA8"/>
    <w:styleLink w:val="Style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2076F93"/>
    <w:multiLevelType w:val="hybridMultilevel"/>
    <w:tmpl w:val="5D4C9896"/>
    <w:lvl w:ilvl="0" w:tplc="3C6A0C02">
      <w:start w:val="1"/>
      <w:numFmt w:val="bullet"/>
      <w:lvlText w:val=""/>
      <w:lvlJc w:val="left"/>
      <w:pPr>
        <w:ind w:left="720" w:hanging="360"/>
      </w:pPr>
      <w:rPr>
        <w:rFonts w:ascii="Symbol" w:hAnsi="Symbol"/>
      </w:rPr>
    </w:lvl>
    <w:lvl w:ilvl="1" w:tplc="FD568738">
      <w:start w:val="1"/>
      <w:numFmt w:val="bullet"/>
      <w:lvlText w:val=""/>
      <w:lvlJc w:val="left"/>
      <w:pPr>
        <w:ind w:left="720" w:hanging="360"/>
      </w:pPr>
      <w:rPr>
        <w:rFonts w:ascii="Symbol" w:hAnsi="Symbol"/>
      </w:rPr>
    </w:lvl>
    <w:lvl w:ilvl="2" w:tplc="0458006E">
      <w:start w:val="1"/>
      <w:numFmt w:val="bullet"/>
      <w:lvlText w:val=""/>
      <w:lvlJc w:val="left"/>
      <w:pPr>
        <w:ind w:left="720" w:hanging="360"/>
      </w:pPr>
      <w:rPr>
        <w:rFonts w:ascii="Symbol" w:hAnsi="Symbol"/>
      </w:rPr>
    </w:lvl>
    <w:lvl w:ilvl="3" w:tplc="CBBECFCA">
      <w:start w:val="1"/>
      <w:numFmt w:val="bullet"/>
      <w:lvlText w:val=""/>
      <w:lvlJc w:val="left"/>
      <w:pPr>
        <w:ind w:left="720" w:hanging="360"/>
      </w:pPr>
      <w:rPr>
        <w:rFonts w:ascii="Symbol" w:hAnsi="Symbol"/>
      </w:rPr>
    </w:lvl>
    <w:lvl w:ilvl="4" w:tplc="0766557A">
      <w:start w:val="1"/>
      <w:numFmt w:val="bullet"/>
      <w:lvlText w:val=""/>
      <w:lvlJc w:val="left"/>
      <w:pPr>
        <w:ind w:left="720" w:hanging="360"/>
      </w:pPr>
      <w:rPr>
        <w:rFonts w:ascii="Symbol" w:hAnsi="Symbol"/>
      </w:rPr>
    </w:lvl>
    <w:lvl w:ilvl="5" w:tplc="7B7A9010">
      <w:start w:val="1"/>
      <w:numFmt w:val="bullet"/>
      <w:lvlText w:val=""/>
      <w:lvlJc w:val="left"/>
      <w:pPr>
        <w:ind w:left="720" w:hanging="360"/>
      </w:pPr>
      <w:rPr>
        <w:rFonts w:ascii="Symbol" w:hAnsi="Symbol"/>
      </w:rPr>
    </w:lvl>
    <w:lvl w:ilvl="6" w:tplc="3FE4783C">
      <w:start w:val="1"/>
      <w:numFmt w:val="bullet"/>
      <w:lvlText w:val=""/>
      <w:lvlJc w:val="left"/>
      <w:pPr>
        <w:ind w:left="720" w:hanging="360"/>
      </w:pPr>
      <w:rPr>
        <w:rFonts w:ascii="Symbol" w:hAnsi="Symbol"/>
      </w:rPr>
    </w:lvl>
    <w:lvl w:ilvl="7" w:tplc="28EA2404">
      <w:start w:val="1"/>
      <w:numFmt w:val="bullet"/>
      <w:lvlText w:val=""/>
      <w:lvlJc w:val="left"/>
      <w:pPr>
        <w:ind w:left="720" w:hanging="360"/>
      </w:pPr>
      <w:rPr>
        <w:rFonts w:ascii="Symbol" w:hAnsi="Symbol"/>
      </w:rPr>
    </w:lvl>
    <w:lvl w:ilvl="8" w:tplc="F6EC8648">
      <w:start w:val="1"/>
      <w:numFmt w:val="bullet"/>
      <w:lvlText w:val=""/>
      <w:lvlJc w:val="left"/>
      <w:pPr>
        <w:ind w:left="720" w:hanging="360"/>
      </w:pPr>
      <w:rPr>
        <w:rFonts w:ascii="Symbol" w:hAnsi="Symbol"/>
      </w:rPr>
    </w:lvl>
  </w:abstractNum>
  <w:abstractNum w:abstractNumId="2" w15:restartNumberingAfterBreak="0">
    <w:nsid w:val="026166D7"/>
    <w:multiLevelType w:val="hybridMultilevel"/>
    <w:tmpl w:val="44502082"/>
    <w:lvl w:ilvl="0" w:tplc="9D00A70A">
      <w:start w:val="1"/>
      <w:numFmt w:val="lowerLetter"/>
      <w:pStyle w:val="5"/>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5EA1709"/>
    <w:multiLevelType w:val="multilevel"/>
    <w:tmpl w:val="FB98BE08"/>
    <w:lvl w:ilvl="0">
      <w:start w:val="1"/>
      <w:numFmt w:val="decimal"/>
      <w:lvlText w:val="%1."/>
      <w:lvlJc w:val="left"/>
      <w:pPr>
        <w:tabs>
          <w:tab w:val="num" w:pos="851"/>
        </w:tabs>
        <w:ind w:left="851" w:hanging="851"/>
      </w:pPr>
      <w:rPr>
        <w:rFonts w:ascii="Times New Roman" w:eastAsiaTheme="minorEastAsia" w:hAnsi="Times New Roman" w:cs="Times New Roman"/>
        <w:b/>
        <w:i w:val="0"/>
        <w:sz w:val="24"/>
        <w:szCs w:val="24"/>
        <w:u w:val="none"/>
      </w:rPr>
    </w:lvl>
    <w:lvl w:ilvl="1">
      <w:start w:val="1"/>
      <w:numFmt w:val="decimal"/>
      <w:lvlText w:val="%1.%2"/>
      <w:lvlJc w:val="left"/>
      <w:pPr>
        <w:tabs>
          <w:tab w:val="num" w:pos="4112"/>
        </w:tabs>
        <w:ind w:left="4112" w:hanging="1134"/>
      </w:pPr>
      <w:rPr>
        <w:rFonts w:hint="default"/>
        <w:b/>
        <w:color w:val="auto"/>
      </w:rPr>
    </w:lvl>
    <w:lvl w:ilvl="2">
      <w:start w:val="1"/>
      <w:numFmt w:val="decimal"/>
      <w:lvlText w:val="%1.%2.%3"/>
      <w:lvlJc w:val="left"/>
      <w:pPr>
        <w:tabs>
          <w:tab w:val="num" w:pos="1134"/>
        </w:tabs>
        <w:ind w:left="1134" w:hanging="1134"/>
      </w:pPr>
      <w:rPr>
        <w:rFonts w:ascii="Times New Roman" w:hAnsi="Times New Roman" w:cs="Times New Roman" w:hint="default"/>
      </w:rPr>
    </w:lvl>
    <w:lvl w:ilvl="3">
      <w:start w:val="1"/>
      <w:numFmt w:val="decimal"/>
      <w:lvlText w:val="%1.%2.%3.%4"/>
      <w:lvlJc w:val="left"/>
      <w:pPr>
        <w:tabs>
          <w:tab w:val="num" w:pos="1985"/>
        </w:tabs>
        <w:ind w:left="1985" w:hanging="1134"/>
      </w:pPr>
      <w:rPr>
        <w:rFonts w:ascii="Arial" w:hAnsi="Arial" w:hint="default"/>
      </w:rPr>
    </w:lvl>
    <w:lvl w:ilvl="4">
      <w:start w:val="1"/>
      <w:numFmt w:val="decimal"/>
      <w:lvlText w:val="%1.%2.%3.%4.%5."/>
      <w:lvlJc w:val="left"/>
      <w:pPr>
        <w:tabs>
          <w:tab w:val="num" w:pos="2291"/>
        </w:tabs>
        <w:ind w:left="1985" w:hanging="1134"/>
      </w:pPr>
      <w:rPr>
        <w:rFonts w:hint="default"/>
      </w:rPr>
    </w:lvl>
    <w:lvl w:ilvl="5">
      <w:start w:val="1"/>
      <w:numFmt w:val="decimal"/>
      <w:lvlText w:val="%1.%2.%3.%4.%5.%6."/>
      <w:lvlJc w:val="left"/>
      <w:pPr>
        <w:tabs>
          <w:tab w:val="num" w:pos="3587"/>
        </w:tabs>
        <w:ind w:left="3587" w:hanging="936"/>
      </w:pPr>
      <w:rPr>
        <w:rFonts w:hint="default"/>
      </w:rPr>
    </w:lvl>
    <w:lvl w:ilvl="6">
      <w:start w:val="1"/>
      <w:numFmt w:val="decimal"/>
      <w:lvlText w:val="%1.%2.%3.%4.%5.%6.%7."/>
      <w:lvlJc w:val="left"/>
      <w:pPr>
        <w:tabs>
          <w:tab w:val="num" w:pos="4091"/>
        </w:tabs>
        <w:ind w:left="4091" w:hanging="1080"/>
      </w:pPr>
      <w:rPr>
        <w:rFonts w:hint="default"/>
      </w:rPr>
    </w:lvl>
    <w:lvl w:ilvl="7">
      <w:start w:val="1"/>
      <w:numFmt w:val="decimal"/>
      <w:lvlText w:val="%1.%2.%3.%4.%5.%6.%7.%8."/>
      <w:lvlJc w:val="left"/>
      <w:pPr>
        <w:tabs>
          <w:tab w:val="num" w:pos="4811"/>
        </w:tabs>
        <w:ind w:left="4595" w:hanging="1224"/>
      </w:pPr>
      <w:rPr>
        <w:rFonts w:hint="default"/>
      </w:rPr>
    </w:lvl>
    <w:lvl w:ilvl="8">
      <w:start w:val="1"/>
      <w:numFmt w:val="decimal"/>
      <w:lvlText w:val="%1.%2.%3.%4.%5.%6.%7.%8.%9."/>
      <w:lvlJc w:val="left"/>
      <w:pPr>
        <w:tabs>
          <w:tab w:val="num" w:pos="5171"/>
        </w:tabs>
        <w:ind w:left="5171" w:hanging="1440"/>
      </w:pPr>
      <w:rPr>
        <w:rFonts w:hint="default"/>
      </w:rPr>
    </w:lvl>
  </w:abstractNum>
  <w:abstractNum w:abstractNumId="4" w15:restartNumberingAfterBreak="0">
    <w:nsid w:val="0C6F3219"/>
    <w:multiLevelType w:val="hybridMultilevel"/>
    <w:tmpl w:val="1C74EBF0"/>
    <w:lvl w:ilvl="0" w:tplc="D784838E">
      <w:start w:val="1"/>
      <w:numFmt w:val="decimal"/>
      <w:pStyle w:val="Annalstext"/>
      <w:lvlText w:val="(%1)"/>
      <w:lvlJc w:val="left"/>
      <w:pPr>
        <w:ind w:left="4897" w:hanging="360"/>
      </w:pPr>
    </w:lvl>
    <w:lvl w:ilvl="1" w:tplc="69684546">
      <w:start w:val="1"/>
      <w:numFmt w:val="lowerLetter"/>
      <w:lvlText w:val="%2."/>
      <w:lvlJc w:val="left"/>
      <w:pPr>
        <w:ind w:left="1667" w:hanging="360"/>
      </w:pPr>
    </w:lvl>
    <w:lvl w:ilvl="2" w:tplc="E638B0E2">
      <w:start w:val="1"/>
      <w:numFmt w:val="lowerRoman"/>
      <w:lvlText w:val="%3."/>
      <w:lvlJc w:val="right"/>
      <w:pPr>
        <w:ind w:left="2387" w:hanging="180"/>
      </w:pPr>
    </w:lvl>
    <w:lvl w:ilvl="3" w:tplc="6812D3DA" w:tentative="1">
      <w:start w:val="1"/>
      <w:numFmt w:val="decimal"/>
      <w:lvlText w:val="%4."/>
      <w:lvlJc w:val="left"/>
      <w:pPr>
        <w:ind w:left="3107" w:hanging="360"/>
      </w:pPr>
    </w:lvl>
    <w:lvl w:ilvl="4" w:tplc="F56CEA70" w:tentative="1">
      <w:start w:val="1"/>
      <w:numFmt w:val="lowerLetter"/>
      <w:lvlText w:val="%5."/>
      <w:lvlJc w:val="left"/>
      <w:pPr>
        <w:ind w:left="3827" w:hanging="360"/>
      </w:pPr>
    </w:lvl>
    <w:lvl w:ilvl="5" w:tplc="8252176A" w:tentative="1">
      <w:start w:val="1"/>
      <w:numFmt w:val="lowerRoman"/>
      <w:lvlText w:val="%6."/>
      <w:lvlJc w:val="right"/>
      <w:pPr>
        <w:ind w:left="4547" w:hanging="180"/>
      </w:pPr>
    </w:lvl>
    <w:lvl w:ilvl="6" w:tplc="C0DAECE0" w:tentative="1">
      <w:start w:val="1"/>
      <w:numFmt w:val="decimal"/>
      <w:lvlText w:val="%7."/>
      <w:lvlJc w:val="left"/>
      <w:pPr>
        <w:ind w:left="5267" w:hanging="360"/>
      </w:pPr>
    </w:lvl>
    <w:lvl w:ilvl="7" w:tplc="FFE6B33E" w:tentative="1">
      <w:start w:val="1"/>
      <w:numFmt w:val="lowerLetter"/>
      <w:lvlText w:val="%8."/>
      <w:lvlJc w:val="left"/>
      <w:pPr>
        <w:ind w:left="5987" w:hanging="360"/>
      </w:pPr>
    </w:lvl>
    <w:lvl w:ilvl="8" w:tplc="FFF608A6" w:tentative="1">
      <w:start w:val="1"/>
      <w:numFmt w:val="lowerRoman"/>
      <w:lvlText w:val="%9."/>
      <w:lvlJc w:val="right"/>
      <w:pPr>
        <w:ind w:left="6707" w:hanging="180"/>
      </w:pPr>
    </w:lvl>
  </w:abstractNum>
  <w:abstractNum w:abstractNumId="5" w15:restartNumberingAfterBreak="0">
    <w:nsid w:val="0D2C07DA"/>
    <w:multiLevelType w:val="multilevel"/>
    <w:tmpl w:val="427E4856"/>
    <w:lvl w:ilvl="0">
      <w:start w:val="1"/>
      <w:numFmt w:val="decimal"/>
      <w:lvlText w:val="%1."/>
      <w:lvlJc w:val="left"/>
      <w:pPr>
        <w:tabs>
          <w:tab w:val="num" w:pos="851"/>
        </w:tabs>
        <w:ind w:left="851" w:hanging="851"/>
      </w:pPr>
      <w:rPr>
        <w:rFonts w:ascii="Times New Roman" w:eastAsiaTheme="minorEastAsia" w:hAnsi="Times New Roman" w:cs="Times New Roman" w:hint="default"/>
        <w:b/>
        <w:i w:val="0"/>
        <w:sz w:val="24"/>
        <w:szCs w:val="24"/>
        <w:u w:val="none"/>
      </w:rPr>
    </w:lvl>
    <w:lvl w:ilvl="1">
      <w:start w:val="1"/>
      <w:numFmt w:val="decimal"/>
      <w:lvlText w:val="%1.%2."/>
      <w:lvlJc w:val="left"/>
      <w:pPr>
        <w:tabs>
          <w:tab w:val="num" w:pos="4253"/>
        </w:tabs>
        <w:ind w:left="4253" w:hanging="1134"/>
      </w:pPr>
      <w:rPr>
        <w:rFonts w:hint="default"/>
        <w:b/>
        <w:color w:val="auto"/>
        <w:lang w:val="en-GB"/>
      </w:rPr>
    </w:lvl>
    <w:lvl w:ilvl="2">
      <w:start w:val="1"/>
      <w:numFmt w:val="decimal"/>
      <w:lvlText w:val="%1.%2.%3."/>
      <w:lvlJc w:val="left"/>
      <w:pPr>
        <w:tabs>
          <w:tab w:val="num" w:pos="1134"/>
        </w:tabs>
        <w:ind w:left="1134" w:hanging="1134"/>
      </w:pPr>
      <w:rPr>
        <w:rFonts w:ascii="Times New Roman" w:hAnsi="Times New Roman" w:cs="Times New Roman" w:hint="default"/>
      </w:rPr>
    </w:lvl>
    <w:lvl w:ilvl="3">
      <w:start w:val="1"/>
      <w:numFmt w:val="decimal"/>
      <w:lvlText w:val="%1.%2.%3.%4"/>
      <w:lvlJc w:val="left"/>
      <w:pPr>
        <w:tabs>
          <w:tab w:val="num" w:pos="1560"/>
        </w:tabs>
        <w:ind w:left="1560" w:hanging="1134"/>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tabs>
          <w:tab w:val="num" w:pos="2291"/>
        </w:tabs>
        <w:ind w:left="1985" w:hanging="1134"/>
      </w:pPr>
      <w:rPr>
        <w:rFonts w:hint="default"/>
      </w:rPr>
    </w:lvl>
    <w:lvl w:ilvl="5">
      <w:start w:val="1"/>
      <w:numFmt w:val="decimal"/>
      <w:lvlText w:val="%1.%2.%3.%4.%5.%6."/>
      <w:lvlJc w:val="left"/>
      <w:pPr>
        <w:tabs>
          <w:tab w:val="num" w:pos="3587"/>
        </w:tabs>
        <w:ind w:left="3587" w:hanging="936"/>
      </w:pPr>
      <w:rPr>
        <w:rFonts w:hint="default"/>
      </w:rPr>
    </w:lvl>
    <w:lvl w:ilvl="6">
      <w:start w:val="1"/>
      <w:numFmt w:val="decimal"/>
      <w:lvlText w:val="%1.%2.%3.%4.%5.%6.%7."/>
      <w:lvlJc w:val="left"/>
      <w:pPr>
        <w:tabs>
          <w:tab w:val="num" w:pos="4091"/>
        </w:tabs>
        <w:ind w:left="4091" w:hanging="1080"/>
      </w:pPr>
      <w:rPr>
        <w:rFonts w:hint="default"/>
      </w:rPr>
    </w:lvl>
    <w:lvl w:ilvl="7">
      <w:start w:val="1"/>
      <w:numFmt w:val="decimal"/>
      <w:lvlText w:val="%1.%2.%3.%4.%5.%6.%7.%8."/>
      <w:lvlJc w:val="left"/>
      <w:pPr>
        <w:tabs>
          <w:tab w:val="num" w:pos="4811"/>
        </w:tabs>
        <w:ind w:left="4595" w:hanging="1224"/>
      </w:pPr>
      <w:rPr>
        <w:rFonts w:hint="default"/>
      </w:rPr>
    </w:lvl>
    <w:lvl w:ilvl="8">
      <w:start w:val="1"/>
      <w:numFmt w:val="decimal"/>
      <w:lvlText w:val="%1.%2.%3.%4.%5.%6.%7.%8.%9."/>
      <w:lvlJc w:val="left"/>
      <w:pPr>
        <w:tabs>
          <w:tab w:val="num" w:pos="5171"/>
        </w:tabs>
        <w:ind w:left="5171" w:hanging="1440"/>
      </w:pPr>
      <w:rPr>
        <w:rFonts w:hint="default"/>
      </w:rPr>
    </w:lvl>
  </w:abstractNum>
  <w:abstractNum w:abstractNumId="6" w15:restartNumberingAfterBreak="0">
    <w:nsid w:val="129626FD"/>
    <w:multiLevelType w:val="multilevel"/>
    <w:tmpl w:val="1FD0E770"/>
    <w:numStyleLink w:val="malisteOIR"/>
  </w:abstractNum>
  <w:abstractNum w:abstractNumId="7" w15:restartNumberingAfterBreak="0">
    <w:nsid w:val="14496B58"/>
    <w:multiLevelType w:val="hybridMultilevel"/>
    <w:tmpl w:val="D77AE2A2"/>
    <w:lvl w:ilvl="0" w:tplc="4D483D7E">
      <w:start w:val="1"/>
      <w:numFmt w:val="bullet"/>
      <w:lvlText w:val=""/>
      <w:lvlJc w:val="left"/>
      <w:pPr>
        <w:tabs>
          <w:tab w:val="num" w:pos="644"/>
        </w:tabs>
        <w:ind w:left="644" w:hanging="360"/>
      </w:pPr>
      <w:rPr>
        <w:rFonts w:ascii="Symbol" w:hAnsi="Symbol" w:hint="default"/>
      </w:rPr>
    </w:lvl>
    <w:lvl w:ilvl="1" w:tplc="55DEBF48" w:tentative="1">
      <w:start w:val="1"/>
      <w:numFmt w:val="bullet"/>
      <w:lvlText w:val="o"/>
      <w:lvlJc w:val="left"/>
      <w:pPr>
        <w:tabs>
          <w:tab w:val="num" w:pos="1364"/>
        </w:tabs>
        <w:ind w:left="1364" w:hanging="360"/>
      </w:pPr>
      <w:rPr>
        <w:rFonts w:ascii="Courier New" w:hAnsi="Courier New" w:hint="default"/>
      </w:rPr>
    </w:lvl>
    <w:lvl w:ilvl="2" w:tplc="C31A414A" w:tentative="1">
      <w:start w:val="1"/>
      <w:numFmt w:val="bullet"/>
      <w:lvlText w:val=""/>
      <w:lvlJc w:val="left"/>
      <w:pPr>
        <w:tabs>
          <w:tab w:val="num" w:pos="2084"/>
        </w:tabs>
        <w:ind w:left="2084" w:hanging="360"/>
      </w:pPr>
      <w:rPr>
        <w:rFonts w:ascii="Wingdings" w:hAnsi="Wingdings" w:hint="default"/>
      </w:rPr>
    </w:lvl>
    <w:lvl w:ilvl="3" w:tplc="20246844" w:tentative="1">
      <w:start w:val="1"/>
      <w:numFmt w:val="bullet"/>
      <w:lvlText w:val=""/>
      <w:lvlJc w:val="left"/>
      <w:pPr>
        <w:tabs>
          <w:tab w:val="num" w:pos="2804"/>
        </w:tabs>
        <w:ind w:left="2804" w:hanging="360"/>
      </w:pPr>
      <w:rPr>
        <w:rFonts w:ascii="Symbol" w:hAnsi="Symbol" w:hint="default"/>
      </w:rPr>
    </w:lvl>
    <w:lvl w:ilvl="4" w:tplc="85081662" w:tentative="1">
      <w:start w:val="1"/>
      <w:numFmt w:val="bullet"/>
      <w:lvlText w:val="o"/>
      <w:lvlJc w:val="left"/>
      <w:pPr>
        <w:tabs>
          <w:tab w:val="num" w:pos="3524"/>
        </w:tabs>
        <w:ind w:left="3524" w:hanging="360"/>
      </w:pPr>
      <w:rPr>
        <w:rFonts w:ascii="Courier New" w:hAnsi="Courier New" w:hint="default"/>
      </w:rPr>
    </w:lvl>
    <w:lvl w:ilvl="5" w:tplc="11B22F30" w:tentative="1">
      <w:start w:val="1"/>
      <w:numFmt w:val="bullet"/>
      <w:lvlText w:val=""/>
      <w:lvlJc w:val="left"/>
      <w:pPr>
        <w:tabs>
          <w:tab w:val="num" w:pos="4244"/>
        </w:tabs>
        <w:ind w:left="4244" w:hanging="360"/>
      </w:pPr>
      <w:rPr>
        <w:rFonts w:ascii="Wingdings" w:hAnsi="Wingdings" w:hint="default"/>
      </w:rPr>
    </w:lvl>
    <w:lvl w:ilvl="6" w:tplc="A84C0B9A" w:tentative="1">
      <w:start w:val="1"/>
      <w:numFmt w:val="bullet"/>
      <w:lvlText w:val=""/>
      <w:lvlJc w:val="left"/>
      <w:pPr>
        <w:tabs>
          <w:tab w:val="num" w:pos="4964"/>
        </w:tabs>
        <w:ind w:left="4964" w:hanging="360"/>
      </w:pPr>
      <w:rPr>
        <w:rFonts w:ascii="Symbol" w:hAnsi="Symbol" w:hint="default"/>
      </w:rPr>
    </w:lvl>
    <w:lvl w:ilvl="7" w:tplc="6BA89DB4" w:tentative="1">
      <w:start w:val="1"/>
      <w:numFmt w:val="bullet"/>
      <w:lvlText w:val="o"/>
      <w:lvlJc w:val="left"/>
      <w:pPr>
        <w:tabs>
          <w:tab w:val="num" w:pos="5684"/>
        </w:tabs>
        <w:ind w:left="5684" w:hanging="360"/>
      </w:pPr>
      <w:rPr>
        <w:rFonts w:ascii="Courier New" w:hAnsi="Courier New" w:hint="default"/>
      </w:rPr>
    </w:lvl>
    <w:lvl w:ilvl="8" w:tplc="ACFE03A8"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8CB4A13"/>
    <w:multiLevelType w:val="hybridMultilevel"/>
    <w:tmpl w:val="1012E1C4"/>
    <w:lvl w:ilvl="0" w:tplc="04090001">
      <w:start w:val="1"/>
      <w:numFmt w:val="bullet"/>
      <w:pStyle w:val="TOCHeadi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7247B6"/>
    <w:multiLevelType w:val="hybridMultilevel"/>
    <w:tmpl w:val="8F32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2742C"/>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0940DBE"/>
    <w:multiLevelType w:val="multilevel"/>
    <w:tmpl w:val="59604826"/>
    <w:lvl w:ilvl="0">
      <w:start w:val="1"/>
      <w:numFmt w:val="decimal"/>
      <w:pStyle w:val="OIRTitre1"/>
      <w:lvlText w:val="%1."/>
      <w:lvlJc w:val="left"/>
      <w:pPr>
        <w:ind w:left="360" w:hanging="360"/>
      </w:pPr>
      <w:rPr>
        <w:rFonts w:hint="default"/>
      </w:rPr>
    </w:lvl>
    <w:lvl w:ilvl="1">
      <w:start w:val="1"/>
      <w:numFmt w:val="decimal"/>
      <w:pStyle w:val="2"/>
      <w:isLgl/>
      <w:lvlText w:val="%1.%2."/>
      <w:lvlJc w:val="left"/>
      <w:pPr>
        <w:ind w:left="360" w:hanging="360"/>
      </w:pPr>
      <w:rPr>
        <w:rFonts w:hint="default"/>
      </w:rPr>
    </w:lvl>
    <w:lvl w:ilvl="2">
      <w:start w:val="1"/>
      <w:numFmt w:val="decimal"/>
      <w:pStyle w:val="3"/>
      <w:isLgl/>
      <w:lvlText w:val="%1.%2.%3."/>
      <w:lvlJc w:val="left"/>
      <w:pPr>
        <w:ind w:left="720" w:hanging="720"/>
      </w:pPr>
      <w:rPr>
        <w:rFonts w:hint="default"/>
      </w:rPr>
    </w:lvl>
    <w:lvl w:ilvl="3">
      <w:start w:val="1"/>
      <w:numFmt w:val="decimal"/>
      <w:pStyle w:val="OIRTitre4"/>
      <w:isLgl/>
      <w:lvlText w:val="%1.%2.%3.%4."/>
      <w:lvlJc w:val="left"/>
      <w:pPr>
        <w:ind w:left="3839" w:hanging="720"/>
      </w:pPr>
      <w:rPr>
        <w:rFonts w:hint="default"/>
        <w:i w:val="0"/>
        <w:iCs/>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5CF2098"/>
    <w:multiLevelType w:val="singleLevel"/>
    <w:tmpl w:val="7D0E110A"/>
    <w:lvl w:ilvl="0">
      <w:start w:val="1"/>
      <w:numFmt w:val="bullet"/>
      <w:pStyle w:val="Bullets"/>
      <w:lvlText w:val=""/>
      <w:lvlJc w:val="left"/>
      <w:pPr>
        <w:tabs>
          <w:tab w:val="num" w:pos="680"/>
        </w:tabs>
        <w:ind w:left="680" w:hanging="680"/>
      </w:pPr>
      <w:rPr>
        <w:rFonts w:ascii="Symbol" w:hAnsi="Symbol" w:hint="default"/>
      </w:rPr>
    </w:lvl>
  </w:abstractNum>
  <w:abstractNum w:abstractNumId="13" w15:restartNumberingAfterBreak="0">
    <w:nsid w:val="29001860"/>
    <w:multiLevelType w:val="hybridMultilevel"/>
    <w:tmpl w:val="E05A5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D6457"/>
    <w:multiLevelType w:val="hybridMultilevel"/>
    <w:tmpl w:val="FCACEA66"/>
    <w:lvl w:ilvl="0" w:tplc="96688EF0">
      <w:start w:val="1"/>
      <w:numFmt w:val="decimal"/>
      <w:lvlText w:val="(%1) "/>
      <w:lvlJc w:val="left"/>
      <w:pPr>
        <w:ind w:left="-28" w:firstLine="170"/>
      </w:pPr>
      <w:rPr>
        <w:rFonts w:hint="default"/>
        <w:b w:val="0"/>
        <w:i w:val="0"/>
        <w:vertAlign w:val="baseline"/>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321F07B4"/>
    <w:multiLevelType w:val="hybridMultilevel"/>
    <w:tmpl w:val="68BA2CE6"/>
    <w:lvl w:ilvl="0" w:tplc="E514D62E">
      <w:start w:val="1"/>
      <w:numFmt w:val="bullet"/>
      <w:lvlText w:val=""/>
      <w:lvlJc w:val="left"/>
      <w:pPr>
        <w:ind w:left="720" w:hanging="360"/>
      </w:pPr>
      <w:rPr>
        <w:rFonts w:ascii="Symbol" w:hAnsi="Symbol"/>
      </w:rPr>
    </w:lvl>
    <w:lvl w:ilvl="1" w:tplc="3CB45554">
      <w:start w:val="1"/>
      <w:numFmt w:val="bullet"/>
      <w:lvlText w:val=""/>
      <w:lvlJc w:val="left"/>
      <w:pPr>
        <w:ind w:left="720" w:hanging="360"/>
      </w:pPr>
      <w:rPr>
        <w:rFonts w:ascii="Symbol" w:hAnsi="Symbol"/>
      </w:rPr>
    </w:lvl>
    <w:lvl w:ilvl="2" w:tplc="E8629304">
      <w:start w:val="1"/>
      <w:numFmt w:val="bullet"/>
      <w:lvlText w:val=""/>
      <w:lvlJc w:val="left"/>
      <w:pPr>
        <w:ind w:left="720" w:hanging="360"/>
      </w:pPr>
      <w:rPr>
        <w:rFonts w:ascii="Symbol" w:hAnsi="Symbol"/>
      </w:rPr>
    </w:lvl>
    <w:lvl w:ilvl="3" w:tplc="9822BCFA">
      <w:start w:val="1"/>
      <w:numFmt w:val="bullet"/>
      <w:lvlText w:val=""/>
      <w:lvlJc w:val="left"/>
      <w:pPr>
        <w:ind w:left="720" w:hanging="360"/>
      </w:pPr>
      <w:rPr>
        <w:rFonts w:ascii="Symbol" w:hAnsi="Symbol"/>
      </w:rPr>
    </w:lvl>
    <w:lvl w:ilvl="4" w:tplc="55588EFC">
      <w:start w:val="1"/>
      <w:numFmt w:val="bullet"/>
      <w:lvlText w:val=""/>
      <w:lvlJc w:val="left"/>
      <w:pPr>
        <w:ind w:left="720" w:hanging="360"/>
      </w:pPr>
      <w:rPr>
        <w:rFonts w:ascii="Symbol" w:hAnsi="Symbol"/>
      </w:rPr>
    </w:lvl>
    <w:lvl w:ilvl="5" w:tplc="C6EAA4EE">
      <w:start w:val="1"/>
      <w:numFmt w:val="bullet"/>
      <w:lvlText w:val=""/>
      <w:lvlJc w:val="left"/>
      <w:pPr>
        <w:ind w:left="720" w:hanging="360"/>
      </w:pPr>
      <w:rPr>
        <w:rFonts w:ascii="Symbol" w:hAnsi="Symbol"/>
      </w:rPr>
    </w:lvl>
    <w:lvl w:ilvl="6" w:tplc="E074760A">
      <w:start w:val="1"/>
      <w:numFmt w:val="bullet"/>
      <w:lvlText w:val=""/>
      <w:lvlJc w:val="left"/>
      <w:pPr>
        <w:ind w:left="720" w:hanging="360"/>
      </w:pPr>
      <w:rPr>
        <w:rFonts w:ascii="Symbol" w:hAnsi="Symbol"/>
      </w:rPr>
    </w:lvl>
    <w:lvl w:ilvl="7" w:tplc="BCFA4C0A">
      <w:start w:val="1"/>
      <w:numFmt w:val="bullet"/>
      <w:lvlText w:val=""/>
      <w:lvlJc w:val="left"/>
      <w:pPr>
        <w:ind w:left="720" w:hanging="360"/>
      </w:pPr>
      <w:rPr>
        <w:rFonts w:ascii="Symbol" w:hAnsi="Symbol"/>
      </w:rPr>
    </w:lvl>
    <w:lvl w:ilvl="8" w:tplc="887EB11C">
      <w:start w:val="1"/>
      <w:numFmt w:val="bullet"/>
      <w:lvlText w:val=""/>
      <w:lvlJc w:val="left"/>
      <w:pPr>
        <w:ind w:left="720" w:hanging="360"/>
      </w:pPr>
      <w:rPr>
        <w:rFonts w:ascii="Symbol" w:hAnsi="Symbol"/>
      </w:rPr>
    </w:lvl>
  </w:abstractNum>
  <w:abstractNum w:abstractNumId="16" w15:restartNumberingAfterBreak="0">
    <w:nsid w:val="340842B2"/>
    <w:multiLevelType w:val="multilevel"/>
    <w:tmpl w:val="67A0CA6C"/>
    <w:styleLink w:val="Style6"/>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7" w15:restartNumberingAfterBreak="0">
    <w:nsid w:val="3984412D"/>
    <w:multiLevelType w:val="singleLevel"/>
    <w:tmpl w:val="68C842C8"/>
    <w:lvl w:ilvl="0">
      <w:start w:val="1"/>
      <w:numFmt w:val="lowerLetter"/>
      <w:pStyle w:val="Annexsumtxt"/>
      <w:lvlText w:val="(%1)"/>
      <w:lvlJc w:val="left"/>
      <w:pPr>
        <w:tabs>
          <w:tab w:val="num" w:pos="644"/>
        </w:tabs>
        <w:ind w:left="0" w:firstLine="284"/>
      </w:pPr>
      <w:rPr>
        <w:rFonts w:ascii="Times New Roman" w:hAnsi="Times New Roman" w:hint="default"/>
        <w:b w:val="0"/>
        <w:i w:val="0"/>
        <w:caps w:val="0"/>
        <w:strike w:val="0"/>
        <w:dstrike w:val="0"/>
        <w:vanish w:val="0"/>
        <w:color w:val="auto"/>
        <w:sz w:val="24"/>
        <w:vertAlign w:val="baseline"/>
      </w:rPr>
    </w:lvl>
  </w:abstractNum>
  <w:abstractNum w:abstractNumId="18" w15:restartNumberingAfterBreak="0">
    <w:nsid w:val="41662C05"/>
    <w:multiLevelType w:val="hybridMultilevel"/>
    <w:tmpl w:val="08B679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E5F5200"/>
    <w:multiLevelType w:val="multilevel"/>
    <w:tmpl w:val="4162E0CA"/>
    <w:styleLink w:val="Style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F5074CE"/>
    <w:multiLevelType w:val="hybridMultilevel"/>
    <w:tmpl w:val="B76AFFA6"/>
    <w:lvl w:ilvl="0" w:tplc="B4AE1A3E">
      <w:start w:val="1"/>
      <w:numFmt w:val="lowerLetter"/>
      <w:lvlText w:val="%1 "/>
      <w:lvlJc w:val="left"/>
      <w:pPr>
        <w:ind w:left="720" w:hanging="360"/>
      </w:pPr>
      <w:rPr>
        <w:rFonts w:hint="default"/>
        <w:vertAlign w:val="superscript"/>
      </w:rPr>
    </w:lvl>
    <w:lvl w:ilvl="1" w:tplc="3E360280" w:tentative="1">
      <w:start w:val="1"/>
      <w:numFmt w:val="lowerLetter"/>
      <w:lvlText w:val="%2."/>
      <w:lvlJc w:val="left"/>
      <w:pPr>
        <w:ind w:left="1440" w:hanging="360"/>
      </w:pPr>
    </w:lvl>
    <w:lvl w:ilvl="2" w:tplc="3FA6282A" w:tentative="1">
      <w:start w:val="1"/>
      <w:numFmt w:val="lowerRoman"/>
      <w:lvlText w:val="%3."/>
      <w:lvlJc w:val="right"/>
      <w:pPr>
        <w:ind w:left="2160" w:hanging="180"/>
      </w:pPr>
    </w:lvl>
    <w:lvl w:ilvl="3" w:tplc="1AAE0322" w:tentative="1">
      <w:start w:val="1"/>
      <w:numFmt w:val="decimal"/>
      <w:lvlText w:val="%4."/>
      <w:lvlJc w:val="left"/>
      <w:pPr>
        <w:ind w:left="2880" w:hanging="360"/>
      </w:pPr>
    </w:lvl>
    <w:lvl w:ilvl="4" w:tplc="7132016A" w:tentative="1">
      <w:start w:val="1"/>
      <w:numFmt w:val="lowerLetter"/>
      <w:lvlText w:val="%5."/>
      <w:lvlJc w:val="left"/>
      <w:pPr>
        <w:ind w:left="3600" w:hanging="360"/>
      </w:pPr>
    </w:lvl>
    <w:lvl w:ilvl="5" w:tplc="BD6EDE04" w:tentative="1">
      <w:start w:val="1"/>
      <w:numFmt w:val="lowerRoman"/>
      <w:lvlText w:val="%6."/>
      <w:lvlJc w:val="right"/>
      <w:pPr>
        <w:ind w:left="4320" w:hanging="180"/>
      </w:pPr>
    </w:lvl>
    <w:lvl w:ilvl="6" w:tplc="C9520C46" w:tentative="1">
      <w:start w:val="1"/>
      <w:numFmt w:val="decimal"/>
      <w:lvlText w:val="%7."/>
      <w:lvlJc w:val="left"/>
      <w:pPr>
        <w:ind w:left="5040" w:hanging="360"/>
      </w:pPr>
    </w:lvl>
    <w:lvl w:ilvl="7" w:tplc="3B58169E" w:tentative="1">
      <w:start w:val="1"/>
      <w:numFmt w:val="lowerLetter"/>
      <w:lvlText w:val="%8."/>
      <w:lvlJc w:val="left"/>
      <w:pPr>
        <w:ind w:left="5760" w:hanging="360"/>
      </w:pPr>
    </w:lvl>
    <w:lvl w:ilvl="8" w:tplc="FEC45656" w:tentative="1">
      <w:start w:val="1"/>
      <w:numFmt w:val="lowerRoman"/>
      <w:lvlText w:val="%9."/>
      <w:lvlJc w:val="right"/>
      <w:pPr>
        <w:ind w:left="6480" w:hanging="180"/>
      </w:pPr>
    </w:lvl>
  </w:abstractNum>
  <w:abstractNum w:abstractNumId="21" w15:restartNumberingAfterBreak="0">
    <w:nsid w:val="548243E4"/>
    <w:multiLevelType w:val="hybridMultilevel"/>
    <w:tmpl w:val="6B7A8AC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122D31"/>
    <w:multiLevelType w:val="hybridMultilevel"/>
    <w:tmpl w:val="D3608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887E2F"/>
    <w:multiLevelType w:val="multilevel"/>
    <w:tmpl w:val="584E133A"/>
    <w:lvl w:ilvl="0">
      <w:start w:val="1"/>
      <w:numFmt w:val="upperLetter"/>
      <w:pStyle w:val="AnnAnxhdA"/>
      <w:lvlText w:val="APPENDIX %1."/>
      <w:lvlJc w:val="left"/>
      <w:pPr>
        <w:tabs>
          <w:tab w:val="num" w:pos="1800"/>
        </w:tabs>
        <w:ind w:left="0" w:firstLine="0"/>
      </w:pPr>
      <w:rPr>
        <w:rFonts w:ascii="Times New Roman" w:hAnsi="Times New Roman" w:hint="default"/>
        <w:b/>
        <w:i w:val="0"/>
        <w:caps w:val="0"/>
        <w:strike w:val="0"/>
        <w:dstrike w:val="0"/>
        <w:vanish w:val="0"/>
        <w:color w:val="000000"/>
        <w:sz w:val="24"/>
        <w:vertAlign w:val="baseline"/>
      </w:rPr>
    </w:lvl>
    <w:lvl w:ilvl="1">
      <w:start w:val="1"/>
      <w:numFmt w:val="decimal"/>
      <w:pStyle w:val="AnnalsAnxhdB"/>
      <w:lvlText w:val="%1.%2."/>
      <w:lvlJc w:val="left"/>
      <w:pPr>
        <w:tabs>
          <w:tab w:val="num" w:pos="576"/>
        </w:tabs>
        <w:ind w:left="576" w:hanging="576"/>
      </w:pPr>
      <w:rPr>
        <w:rFonts w:ascii="Times New Roman" w:hAnsi="Times New Roman" w:hint="default"/>
        <w:b/>
        <w:i w:val="0"/>
        <w:caps w:val="0"/>
        <w:strike w:val="0"/>
        <w:dstrike w:val="0"/>
        <w:vanish w:val="0"/>
        <w:color w:val="auto"/>
        <w:sz w:val="24"/>
        <w:vertAlign w:val="baseline"/>
      </w:rPr>
    </w:lvl>
    <w:lvl w:ilvl="2">
      <w:start w:val="1"/>
      <w:numFmt w:val="decimal"/>
      <w:pStyle w:val="AnnalsAnxhdC"/>
      <w:lvlText w:val="%1.%2.%3."/>
      <w:lvlJc w:val="left"/>
      <w:pPr>
        <w:tabs>
          <w:tab w:val="num" w:pos="720"/>
        </w:tabs>
        <w:ind w:left="720" w:hanging="720"/>
      </w:pPr>
      <w:rPr>
        <w:rFonts w:ascii="Times New Roman" w:hAnsi="Times New Roman" w:hint="default"/>
        <w:b/>
        <w:i w:val="0"/>
        <w:caps w:val="0"/>
        <w:strike w:val="0"/>
        <w:dstrike w:val="0"/>
        <w:vanish w:val="0"/>
        <w:color w:val="auto"/>
        <w:sz w:val="24"/>
        <w:vertAlign w:val="baseline"/>
      </w:rPr>
    </w:lvl>
    <w:lvl w:ilvl="3">
      <w:start w:val="1"/>
      <w:numFmt w:val="decimal"/>
      <w:lvlRestart w:val="1"/>
      <w:pStyle w:val="Annaddtxt"/>
      <w:lvlText w:val="(%1 %4)"/>
      <w:lvlJc w:val="left"/>
      <w:pPr>
        <w:tabs>
          <w:tab w:val="num" w:pos="1004"/>
        </w:tabs>
        <w:ind w:left="0" w:firstLine="284"/>
      </w:pPr>
      <w:rPr>
        <w:rFonts w:ascii="Times New Roman" w:hAnsi="Times New Roman" w:hint="default"/>
        <w:b w:val="0"/>
        <w:i w:val="0"/>
        <w:caps w:val="0"/>
        <w:strike w:val="0"/>
        <w:dstrike w:val="0"/>
        <w:vanish w:val="0"/>
        <w:color w:val="auto"/>
        <w:sz w:val="24"/>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5733469"/>
    <w:multiLevelType w:val="hybridMultilevel"/>
    <w:tmpl w:val="D33C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BA283D"/>
    <w:multiLevelType w:val="hybridMultilevel"/>
    <w:tmpl w:val="46BCE70A"/>
    <w:lvl w:ilvl="0" w:tplc="05168690">
      <w:start w:val="1"/>
      <w:numFmt w:val="bullet"/>
      <w:pStyle w:val="a"/>
      <w:lvlText w:val=""/>
      <w:lvlJc w:val="left"/>
      <w:pPr>
        <w:tabs>
          <w:tab w:val="num" w:pos="720"/>
        </w:tabs>
        <w:ind w:left="720" w:hanging="360"/>
      </w:pPr>
      <w:rPr>
        <w:rFonts w:ascii="Symbol" w:hAnsi="Symbol" w:hint="default"/>
      </w:rPr>
    </w:lvl>
    <w:lvl w:ilvl="1" w:tplc="5682364A">
      <w:start w:val="1"/>
      <w:numFmt w:val="lowerLetter"/>
      <w:lvlText w:val="%2."/>
      <w:lvlJc w:val="left"/>
      <w:pPr>
        <w:tabs>
          <w:tab w:val="num" w:pos="1170"/>
        </w:tabs>
        <w:ind w:left="1170" w:hanging="360"/>
      </w:pPr>
      <w:rPr>
        <w:rFonts w:ascii="Times Roman" w:eastAsia="Times New Roman" w:hAnsi="Times Roman" w:cs="Times New Roman"/>
      </w:rPr>
    </w:lvl>
    <w:lvl w:ilvl="2" w:tplc="350EC5FA">
      <w:start w:val="1"/>
      <w:numFmt w:val="lowerLetter"/>
      <w:lvlText w:val="(%3)"/>
      <w:lvlJc w:val="left"/>
      <w:pPr>
        <w:ind w:left="2340" w:hanging="360"/>
      </w:pPr>
      <w:rPr>
        <w:rFonts w:hint="default"/>
      </w:rPr>
    </w:lvl>
    <w:lvl w:ilvl="3" w:tplc="8DA2E9D2">
      <w:start w:val="9"/>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83F0F3A"/>
    <w:multiLevelType w:val="multilevel"/>
    <w:tmpl w:val="1FD0E770"/>
    <w:styleLink w:val="malisteOIR"/>
    <w:lvl w:ilvl="0">
      <w:start w:val="1"/>
      <w:numFmt w:val="decimal"/>
      <w:lvlText w:val="%1."/>
      <w:lvlJc w:val="left"/>
      <w:pPr>
        <w:ind w:left="6600" w:hanging="363"/>
      </w:pPr>
      <w:rPr>
        <w:rFonts w:ascii="Times New Roman" w:hAnsi="Times New Roman" w:hint="default"/>
        <w:b w:val="0"/>
        <w:i w:val="0"/>
        <w:strike w:val="0"/>
        <w:sz w:val="24"/>
      </w:rPr>
    </w:lvl>
    <w:lvl w:ilvl="1">
      <w:start w:val="1"/>
      <w:numFmt w:val="decimal"/>
      <w:lvlText w:val="%1.%2."/>
      <w:lvlJc w:val="left"/>
      <w:pPr>
        <w:ind w:left="1667" w:hanging="363"/>
      </w:pPr>
      <w:rPr>
        <w:rFonts w:hint="default"/>
      </w:rPr>
    </w:lvl>
    <w:lvl w:ilvl="2">
      <w:start w:val="1"/>
      <w:numFmt w:val="decimal"/>
      <w:lvlText w:val="%1.%2..%3."/>
      <w:lvlJc w:val="right"/>
      <w:pPr>
        <w:ind w:left="-3266" w:hanging="363"/>
      </w:pPr>
      <w:rPr>
        <w:rFonts w:hint="default"/>
      </w:rPr>
    </w:lvl>
    <w:lvl w:ilvl="3">
      <w:start w:val="1"/>
      <w:numFmt w:val="decimal"/>
      <w:lvlText w:val="%3.%1.%2.%4."/>
      <w:lvlJc w:val="left"/>
      <w:pPr>
        <w:ind w:left="-8199" w:hanging="363"/>
      </w:pPr>
      <w:rPr>
        <w:rFonts w:hint="default"/>
      </w:rPr>
    </w:lvl>
    <w:lvl w:ilvl="4">
      <w:start w:val="1"/>
      <w:numFmt w:val="lowerLetter"/>
      <w:pStyle w:val="6"/>
      <w:lvlText w:val="(%5)"/>
      <w:lvlJc w:val="left"/>
      <w:pPr>
        <w:ind w:left="-13132" w:hanging="363"/>
      </w:pPr>
      <w:rPr>
        <w:rFonts w:hint="default"/>
      </w:rPr>
    </w:lvl>
    <w:lvl w:ilvl="5">
      <w:start w:val="1"/>
      <w:numFmt w:val="lowerRoman"/>
      <w:lvlText w:val="%6."/>
      <w:lvlJc w:val="right"/>
      <w:pPr>
        <w:ind w:left="-18065" w:hanging="363"/>
      </w:pPr>
      <w:rPr>
        <w:rFonts w:hint="default"/>
      </w:rPr>
    </w:lvl>
    <w:lvl w:ilvl="6">
      <w:start w:val="1"/>
      <w:numFmt w:val="decimal"/>
      <w:lvlText w:val="%7."/>
      <w:lvlJc w:val="left"/>
      <w:pPr>
        <w:ind w:left="-22998" w:hanging="363"/>
      </w:pPr>
      <w:rPr>
        <w:rFonts w:hint="default"/>
      </w:rPr>
    </w:lvl>
    <w:lvl w:ilvl="7">
      <w:start w:val="1"/>
      <w:numFmt w:val="lowerLetter"/>
      <w:lvlText w:val="%8."/>
      <w:lvlJc w:val="left"/>
      <w:pPr>
        <w:ind w:left="-27931" w:hanging="363"/>
      </w:pPr>
      <w:rPr>
        <w:rFonts w:hint="default"/>
      </w:rPr>
    </w:lvl>
    <w:lvl w:ilvl="8">
      <w:start w:val="1"/>
      <w:numFmt w:val="lowerRoman"/>
      <w:lvlText w:val="%9."/>
      <w:lvlJc w:val="right"/>
      <w:pPr>
        <w:ind w:left="-31680" w:firstLine="0"/>
      </w:pPr>
      <w:rPr>
        <w:rFonts w:hint="default"/>
      </w:rPr>
    </w:lvl>
  </w:abstractNum>
  <w:abstractNum w:abstractNumId="27" w15:restartNumberingAfterBreak="0">
    <w:nsid w:val="6AC603E4"/>
    <w:multiLevelType w:val="hybridMultilevel"/>
    <w:tmpl w:val="D18C8E9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C1603D"/>
    <w:multiLevelType w:val="hybridMultilevel"/>
    <w:tmpl w:val="78EED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C77FAF"/>
    <w:multiLevelType w:val="hybridMultilevel"/>
    <w:tmpl w:val="82C68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573F6B"/>
    <w:multiLevelType w:val="hybridMultilevel"/>
    <w:tmpl w:val="8D60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9014233">
    <w:abstractNumId w:val="12"/>
  </w:num>
  <w:num w:numId="2" w16cid:durableId="577180425">
    <w:abstractNumId w:val="4"/>
  </w:num>
  <w:num w:numId="3" w16cid:durableId="954021035">
    <w:abstractNumId w:val="3"/>
  </w:num>
  <w:num w:numId="4" w16cid:durableId="602883107">
    <w:abstractNumId w:val="11"/>
  </w:num>
  <w:num w:numId="5" w16cid:durableId="848447909">
    <w:abstractNumId w:val="16"/>
  </w:num>
  <w:num w:numId="6" w16cid:durableId="1348872747">
    <w:abstractNumId w:val="20"/>
  </w:num>
  <w:num w:numId="7" w16cid:durableId="1804496573">
    <w:abstractNumId w:val="23"/>
  </w:num>
  <w:num w:numId="8" w16cid:durableId="3181225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09888489">
    <w:abstractNumId w:val="0"/>
  </w:num>
  <w:num w:numId="10" w16cid:durableId="1802264926">
    <w:abstractNumId w:val="14"/>
  </w:num>
  <w:num w:numId="11" w16cid:durableId="904336340">
    <w:abstractNumId w:val="19"/>
  </w:num>
  <w:num w:numId="12" w16cid:durableId="1935360838">
    <w:abstractNumId w:val="26"/>
  </w:num>
  <w:num w:numId="13" w16cid:durableId="335546107">
    <w:abstractNumId w:val="6"/>
  </w:num>
  <w:num w:numId="14" w16cid:durableId="1946039130">
    <w:abstractNumId w:val="6"/>
    <w:lvlOverride w:ilvl="0">
      <w:lvl w:ilvl="0">
        <w:start w:val="1"/>
        <w:numFmt w:val="decimal"/>
        <w:lvlText w:val="%1."/>
        <w:lvlJc w:val="left"/>
        <w:pPr>
          <w:ind w:left="6600" w:hanging="363"/>
        </w:pPr>
        <w:rPr>
          <w:rFonts w:ascii="Times New Roman" w:hAnsi="Times New Roman" w:hint="default"/>
          <w:b w:val="0"/>
          <w:i w:val="0"/>
          <w:strike w:val="0"/>
          <w:sz w:val="24"/>
        </w:rPr>
      </w:lvl>
    </w:lvlOverride>
    <w:lvlOverride w:ilvl="1">
      <w:lvl w:ilvl="1">
        <w:start w:val="1"/>
        <w:numFmt w:val="decimal"/>
        <w:lvlText w:val="A.%1.%2."/>
        <w:lvlJc w:val="left"/>
        <w:pPr>
          <w:ind w:left="1667" w:hanging="363"/>
        </w:pPr>
        <w:rPr>
          <w:rFonts w:hint="default"/>
        </w:rPr>
      </w:lvl>
    </w:lvlOverride>
    <w:lvlOverride w:ilvl="2">
      <w:lvl w:ilvl="2">
        <w:start w:val="1"/>
        <w:numFmt w:val="decimal"/>
        <w:lvlText w:val="A.%1.%2..%3."/>
        <w:lvlJc w:val="right"/>
        <w:pPr>
          <w:ind w:left="-3266" w:hanging="363"/>
        </w:pPr>
        <w:rPr>
          <w:rFonts w:hint="default"/>
        </w:rPr>
      </w:lvl>
    </w:lvlOverride>
    <w:lvlOverride w:ilvl="3">
      <w:lvl w:ilvl="3">
        <w:start w:val="1"/>
        <w:numFmt w:val="decimal"/>
        <w:lvlText w:val="A.%3.%1.%2.%4."/>
        <w:lvlJc w:val="left"/>
        <w:pPr>
          <w:ind w:left="-8199" w:hanging="363"/>
        </w:pPr>
        <w:rPr>
          <w:rFonts w:hint="default"/>
        </w:rPr>
      </w:lvl>
    </w:lvlOverride>
    <w:lvlOverride w:ilvl="4">
      <w:lvl w:ilvl="4">
        <w:start w:val="1"/>
        <w:numFmt w:val="lowerLetter"/>
        <w:pStyle w:val="6"/>
        <w:lvlText w:val="(%5)"/>
        <w:lvlJc w:val="left"/>
        <w:pPr>
          <w:ind w:left="-13132" w:hanging="363"/>
        </w:pPr>
        <w:rPr>
          <w:rFonts w:hint="default"/>
        </w:rPr>
      </w:lvl>
    </w:lvlOverride>
    <w:lvlOverride w:ilvl="5">
      <w:lvl w:ilvl="5">
        <w:start w:val="1"/>
        <w:numFmt w:val="lowerRoman"/>
        <w:lvlText w:val="%6."/>
        <w:lvlJc w:val="right"/>
        <w:pPr>
          <w:ind w:left="-18065" w:hanging="363"/>
        </w:pPr>
        <w:rPr>
          <w:rFonts w:hint="default"/>
        </w:rPr>
      </w:lvl>
    </w:lvlOverride>
    <w:lvlOverride w:ilvl="6">
      <w:lvl w:ilvl="6">
        <w:start w:val="1"/>
        <w:numFmt w:val="decimal"/>
        <w:lvlText w:val="%7."/>
        <w:lvlJc w:val="left"/>
        <w:pPr>
          <w:ind w:left="-22998" w:hanging="363"/>
        </w:pPr>
        <w:rPr>
          <w:rFonts w:hint="default"/>
        </w:rPr>
      </w:lvl>
    </w:lvlOverride>
    <w:lvlOverride w:ilvl="7">
      <w:lvl w:ilvl="7">
        <w:start w:val="1"/>
        <w:numFmt w:val="lowerLetter"/>
        <w:lvlText w:val="%8."/>
        <w:lvlJc w:val="left"/>
        <w:pPr>
          <w:ind w:left="-27931" w:hanging="363"/>
        </w:pPr>
        <w:rPr>
          <w:rFonts w:hint="default"/>
        </w:rPr>
      </w:lvl>
    </w:lvlOverride>
    <w:lvlOverride w:ilvl="8">
      <w:lvl w:ilvl="8">
        <w:start w:val="1"/>
        <w:numFmt w:val="lowerRoman"/>
        <w:lvlText w:val="%9."/>
        <w:lvlJc w:val="right"/>
        <w:pPr>
          <w:ind w:left="-31680" w:firstLine="0"/>
        </w:pPr>
        <w:rPr>
          <w:rFonts w:hint="default"/>
        </w:rPr>
      </w:lvl>
    </w:lvlOverride>
  </w:num>
  <w:num w:numId="15" w16cid:durableId="1860005177">
    <w:abstractNumId w:val="5"/>
  </w:num>
  <w:num w:numId="16" w16cid:durableId="3231249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49447158">
    <w:abstractNumId w:val="9"/>
  </w:num>
  <w:num w:numId="18" w16cid:durableId="620067780">
    <w:abstractNumId w:val="21"/>
  </w:num>
  <w:num w:numId="19" w16cid:durableId="1296716180">
    <w:abstractNumId w:val="27"/>
  </w:num>
  <w:num w:numId="20" w16cid:durableId="1626695446">
    <w:abstractNumId w:val="13"/>
  </w:num>
  <w:num w:numId="21" w16cid:durableId="1663582981">
    <w:abstractNumId w:val="22"/>
  </w:num>
  <w:num w:numId="22" w16cid:durableId="2037533776">
    <w:abstractNumId w:val="8"/>
  </w:num>
  <w:num w:numId="23" w16cid:durableId="414670950">
    <w:abstractNumId w:val="30"/>
  </w:num>
  <w:num w:numId="24" w16cid:durableId="225919730">
    <w:abstractNumId w:val="25"/>
  </w:num>
  <w:num w:numId="25" w16cid:durableId="414478651">
    <w:abstractNumId w:val="24"/>
  </w:num>
  <w:num w:numId="26" w16cid:durableId="1516848856">
    <w:abstractNumId w:val="28"/>
  </w:num>
  <w:num w:numId="27" w16cid:durableId="1602181466">
    <w:abstractNumId w:val="29"/>
  </w:num>
  <w:num w:numId="28" w16cid:durableId="4305128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82344894">
    <w:abstractNumId w:val="7"/>
  </w:num>
  <w:num w:numId="30" w16cid:durableId="2016373438">
    <w:abstractNumId w:val="17"/>
  </w:num>
  <w:num w:numId="31" w16cid:durableId="1308248061">
    <w:abstractNumId w:val="10"/>
  </w:num>
  <w:num w:numId="32" w16cid:durableId="834102971">
    <w:abstractNumId w:val="18"/>
  </w:num>
  <w:num w:numId="33" w16cid:durableId="1255896913">
    <w:abstractNumId w:val="2"/>
  </w:num>
  <w:num w:numId="34" w16cid:durableId="702287346">
    <w:abstractNumId w:val="11"/>
  </w:num>
  <w:num w:numId="35" w16cid:durableId="1418944512">
    <w:abstractNumId w:val="11"/>
  </w:num>
  <w:num w:numId="36" w16cid:durableId="1586767421">
    <w:abstractNumId w:val="11"/>
  </w:num>
  <w:num w:numId="37" w16cid:durableId="1454908135">
    <w:abstractNumId w:val="1"/>
  </w:num>
  <w:num w:numId="38" w16cid:durableId="823661382">
    <w:abstractNumId w:val="15"/>
  </w:num>
  <w:num w:numId="39" w16cid:durableId="1577666885">
    <w:abstractNumId w:val="2"/>
  </w:num>
  <w:num w:numId="40" w16cid:durableId="2057848569">
    <w:abstractNumId w:val="2"/>
  </w:num>
  <w:num w:numId="41" w16cid:durableId="1775201250">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AT"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AT" w:vendorID="64" w:dllVersion="0" w:nlCheck="1" w:checkStyle="0"/>
  <w:activeWritingStyle w:appName="MSWord" w:lang="en-GB" w:vendorID="64" w:dllVersion="4096" w:nlCheck="1" w:checkStyle="0"/>
  <w:activeWritingStyle w:appName="MSWord" w:lang="en-CA" w:vendorID="64" w:dllVersion="4096" w:nlCheck="1" w:checkStyle="0"/>
  <w:activeWritingStyle w:appName="MSWord" w:lang="pt-PT"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CA"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s>
  <w:rsids>
    <w:rsidRoot w:val="000512C5"/>
    <w:rsid w:val="000005A8"/>
    <w:rsid w:val="000005C0"/>
    <w:rsid w:val="000005FD"/>
    <w:rsid w:val="00001100"/>
    <w:rsid w:val="0000111F"/>
    <w:rsid w:val="0000154E"/>
    <w:rsid w:val="00002290"/>
    <w:rsid w:val="00003047"/>
    <w:rsid w:val="00003811"/>
    <w:rsid w:val="000038B2"/>
    <w:rsid w:val="000038CA"/>
    <w:rsid w:val="0000554C"/>
    <w:rsid w:val="00005A23"/>
    <w:rsid w:val="00005CEC"/>
    <w:rsid w:val="00006549"/>
    <w:rsid w:val="00006B07"/>
    <w:rsid w:val="00010242"/>
    <w:rsid w:val="000103B0"/>
    <w:rsid w:val="000113A3"/>
    <w:rsid w:val="00011969"/>
    <w:rsid w:val="00011BE4"/>
    <w:rsid w:val="000124C5"/>
    <w:rsid w:val="000124D8"/>
    <w:rsid w:val="0001285D"/>
    <w:rsid w:val="000129DB"/>
    <w:rsid w:val="00012E0A"/>
    <w:rsid w:val="00013F1B"/>
    <w:rsid w:val="00014D1F"/>
    <w:rsid w:val="0001519A"/>
    <w:rsid w:val="0001524C"/>
    <w:rsid w:val="00015487"/>
    <w:rsid w:val="000156B8"/>
    <w:rsid w:val="000159C4"/>
    <w:rsid w:val="00015EA7"/>
    <w:rsid w:val="000160D7"/>
    <w:rsid w:val="0001686D"/>
    <w:rsid w:val="00016E17"/>
    <w:rsid w:val="000170E2"/>
    <w:rsid w:val="0001729D"/>
    <w:rsid w:val="000174BB"/>
    <w:rsid w:val="00017677"/>
    <w:rsid w:val="0001774F"/>
    <w:rsid w:val="00017BCD"/>
    <w:rsid w:val="0002050E"/>
    <w:rsid w:val="00020676"/>
    <w:rsid w:val="00021BB4"/>
    <w:rsid w:val="00021E19"/>
    <w:rsid w:val="00022BCC"/>
    <w:rsid w:val="00022D1D"/>
    <w:rsid w:val="00023696"/>
    <w:rsid w:val="00024947"/>
    <w:rsid w:val="000249DF"/>
    <w:rsid w:val="00024DF8"/>
    <w:rsid w:val="00025B10"/>
    <w:rsid w:val="0002650F"/>
    <w:rsid w:val="00026AFC"/>
    <w:rsid w:val="00027955"/>
    <w:rsid w:val="00027A60"/>
    <w:rsid w:val="00027B6A"/>
    <w:rsid w:val="00030519"/>
    <w:rsid w:val="00030A19"/>
    <w:rsid w:val="00030B0B"/>
    <w:rsid w:val="0003134F"/>
    <w:rsid w:val="00031978"/>
    <w:rsid w:val="00031C76"/>
    <w:rsid w:val="00031DF9"/>
    <w:rsid w:val="000321F1"/>
    <w:rsid w:val="0003253C"/>
    <w:rsid w:val="00032ADE"/>
    <w:rsid w:val="00032C2A"/>
    <w:rsid w:val="00032D0C"/>
    <w:rsid w:val="00033056"/>
    <w:rsid w:val="00033109"/>
    <w:rsid w:val="0003320D"/>
    <w:rsid w:val="000336F7"/>
    <w:rsid w:val="00033BE2"/>
    <w:rsid w:val="00034414"/>
    <w:rsid w:val="00035FF4"/>
    <w:rsid w:val="00036276"/>
    <w:rsid w:val="0003699A"/>
    <w:rsid w:val="000375A0"/>
    <w:rsid w:val="00037682"/>
    <w:rsid w:val="0003791F"/>
    <w:rsid w:val="00037BB0"/>
    <w:rsid w:val="00040A42"/>
    <w:rsid w:val="00040BAB"/>
    <w:rsid w:val="0004158B"/>
    <w:rsid w:val="0004186A"/>
    <w:rsid w:val="00041E37"/>
    <w:rsid w:val="0004210F"/>
    <w:rsid w:val="00042421"/>
    <w:rsid w:val="000425CD"/>
    <w:rsid w:val="00042615"/>
    <w:rsid w:val="00042C05"/>
    <w:rsid w:val="0004350A"/>
    <w:rsid w:val="00043B1A"/>
    <w:rsid w:val="00043E3A"/>
    <w:rsid w:val="000447C9"/>
    <w:rsid w:val="00044AEC"/>
    <w:rsid w:val="00044C9E"/>
    <w:rsid w:val="00044E37"/>
    <w:rsid w:val="00045AF7"/>
    <w:rsid w:val="0004607C"/>
    <w:rsid w:val="0004652A"/>
    <w:rsid w:val="00046EB2"/>
    <w:rsid w:val="00046F03"/>
    <w:rsid w:val="00047123"/>
    <w:rsid w:val="000471A4"/>
    <w:rsid w:val="00047ABA"/>
    <w:rsid w:val="00050004"/>
    <w:rsid w:val="0005058C"/>
    <w:rsid w:val="00050686"/>
    <w:rsid w:val="000508C2"/>
    <w:rsid w:val="00051176"/>
    <w:rsid w:val="000512C5"/>
    <w:rsid w:val="00051DA8"/>
    <w:rsid w:val="00052187"/>
    <w:rsid w:val="0005283F"/>
    <w:rsid w:val="000528B9"/>
    <w:rsid w:val="00052C7B"/>
    <w:rsid w:val="0005393A"/>
    <w:rsid w:val="0005396C"/>
    <w:rsid w:val="00054489"/>
    <w:rsid w:val="00054A72"/>
    <w:rsid w:val="000553B2"/>
    <w:rsid w:val="00055FC2"/>
    <w:rsid w:val="00055FF1"/>
    <w:rsid w:val="0005710C"/>
    <w:rsid w:val="000571E4"/>
    <w:rsid w:val="000579A0"/>
    <w:rsid w:val="00057C05"/>
    <w:rsid w:val="00057C3F"/>
    <w:rsid w:val="00060755"/>
    <w:rsid w:val="0006090A"/>
    <w:rsid w:val="00061B99"/>
    <w:rsid w:val="0006225C"/>
    <w:rsid w:val="00062C75"/>
    <w:rsid w:val="0006322E"/>
    <w:rsid w:val="000641D6"/>
    <w:rsid w:val="00064432"/>
    <w:rsid w:val="0006482B"/>
    <w:rsid w:val="00064FD9"/>
    <w:rsid w:val="0006509A"/>
    <w:rsid w:val="000653CD"/>
    <w:rsid w:val="000656E8"/>
    <w:rsid w:val="00065989"/>
    <w:rsid w:val="000659CD"/>
    <w:rsid w:val="0006607F"/>
    <w:rsid w:val="00067025"/>
    <w:rsid w:val="00067064"/>
    <w:rsid w:val="0006728B"/>
    <w:rsid w:val="00067894"/>
    <w:rsid w:val="00067E2E"/>
    <w:rsid w:val="000707AA"/>
    <w:rsid w:val="00070C41"/>
    <w:rsid w:val="0007125B"/>
    <w:rsid w:val="000713D1"/>
    <w:rsid w:val="00071716"/>
    <w:rsid w:val="00071B9F"/>
    <w:rsid w:val="000747B6"/>
    <w:rsid w:val="00074A1B"/>
    <w:rsid w:val="00074DE9"/>
    <w:rsid w:val="0007631F"/>
    <w:rsid w:val="00076545"/>
    <w:rsid w:val="00077417"/>
    <w:rsid w:val="0007741D"/>
    <w:rsid w:val="00077732"/>
    <w:rsid w:val="00077B2A"/>
    <w:rsid w:val="00077D82"/>
    <w:rsid w:val="00080352"/>
    <w:rsid w:val="000812B0"/>
    <w:rsid w:val="00081B46"/>
    <w:rsid w:val="00081B59"/>
    <w:rsid w:val="000821E9"/>
    <w:rsid w:val="00082525"/>
    <w:rsid w:val="00082E22"/>
    <w:rsid w:val="00083437"/>
    <w:rsid w:val="00083A18"/>
    <w:rsid w:val="00084687"/>
    <w:rsid w:val="00084C42"/>
    <w:rsid w:val="00084FF8"/>
    <w:rsid w:val="0008597C"/>
    <w:rsid w:val="00085D88"/>
    <w:rsid w:val="00086530"/>
    <w:rsid w:val="000867E7"/>
    <w:rsid w:val="000871DB"/>
    <w:rsid w:val="00087203"/>
    <w:rsid w:val="00087D81"/>
    <w:rsid w:val="00090176"/>
    <w:rsid w:val="0009018E"/>
    <w:rsid w:val="0009029B"/>
    <w:rsid w:val="00090330"/>
    <w:rsid w:val="000910E7"/>
    <w:rsid w:val="000918BA"/>
    <w:rsid w:val="00092B39"/>
    <w:rsid w:val="00092BEB"/>
    <w:rsid w:val="00092DA9"/>
    <w:rsid w:val="00092E63"/>
    <w:rsid w:val="00093286"/>
    <w:rsid w:val="00093A52"/>
    <w:rsid w:val="00093FCA"/>
    <w:rsid w:val="00094759"/>
    <w:rsid w:val="00095A46"/>
    <w:rsid w:val="00095ACB"/>
    <w:rsid w:val="00095C58"/>
    <w:rsid w:val="0009661D"/>
    <w:rsid w:val="00096C6D"/>
    <w:rsid w:val="00096DF7"/>
    <w:rsid w:val="0009702A"/>
    <w:rsid w:val="00097B72"/>
    <w:rsid w:val="00097D23"/>
    <w:rsid w:val="000A0004"/>
    <w:rsid w:val="000A0984"/>
    <w:rsid w:val="000A0E1D"/>
    <w:rsid w:val="000A14A1"/>
    <w:rsid w:val="000A1A38"/>
    <w:rsid w:val="000A2389"/>
    <w:rsid w:val="000A328E"/>
    <w:rsid w:val="000A3996"/>
    <w:rsid w:val="000A3E07"/>
    <w:rsid w:val="000A43ED"/>
    <w:rsid w:val="000A4A8A"/>
    <w:rsid w:val="000A4D80"/>
    <w:rsid w:val="000A52AC"/>
    <w:rsid w:val="000A548A"/>
    <w:rsid w:val="000A5AF0"/>
    <w:rsid w:val="000A67F5"/>
    <w:rsid w:val="000A73C1"/>
    <w:rsid w:val="000B081C"/>
    <w:rsid w:val="000B1A18"/>
    <w:rsid w:val="000B1E16"/>
    <w:rsid w:val="000B1E29"/>
    <w:rsid w:val="000B26DB"/>
    <w:rsid w:val="000B281B"/>
    <w:rsid w:val="000B2BFF"/>
    <w:rsid w:val="000B33B9"/>
    <w:rsid w:val="000B3413"/>
    <w:rsid w:val="000B36D1"/>
    <w:rsid w:val="000B3F66"/>
    <w:rsid w:val="000B44F7"/>
    <w:rsid w:val="000B4B23"/>
    <w:rsid w:val="000B5063"/>
    <w:rsid w:val="000B5250"/>
    <w:rsid w:val="000B546B"/>
    <w:rsid w:val="000B5E14"/>
    <w:rsid w:val="000B5EAA"/>
    <w:rsid w:val="000B624B"/>
    <w:rsid w:val="000B7A8C"/>
    <w:rsid w:val="000B7DCE"/>
    <w:rsid w:val="000C0257"/>
    <w:rsid w:val="000C077F"/>
    <w:rsid w:val="000C0828"/>
    <w:rsid w:val="000C0C30"/>
    <w:rsid w:val="000C0EA1"/>
    <w:rsid w:val="000C1C57"/>
    <w:rsid w:val="000C2842"/>
    <w:rsid w:val="000C322A"/>
    <w:rsid w:val="000C328F"/>
    <w:rsid w:val="000C39FB"/>
    <w:rsid w:val="000C3EE6"/>
    <w:rsid w:val="000C4093"/>
    <w:rsid w:val="000C45D6"/>
    <w:rsid w:val="000C730F"/>
    <w:rsid w:val="000C7E5A"/>
    <w:rsid w:val="000D00CC"/>
    <w:rsid w:val="000D0EB4"/>
    <w:rsid w:val="000D0F59"/>
    <w:rsid w:val="000D141C"/>
    <w:rsid w:val="000D2372"/>
    <w:rsid w:val="000D28B5"/>
    <w:rsid w:val="000D3A9B"/>
    <w:rsid w:val="000D3B9B"/>
    <w:rsid w:val="000D5867"/>
    <w:rsid w:val="000D5F00"/>
    <w:rsid w:val="000D64F5"/>
    <w:rsid w:val="000D6670"/>
    <w:rsid w:val="000D67D6"/>
    <w:rsid w:val="000D6A5F"/>
    <w:rsid w:val="000D6AF5"/>
    <w:rsid w:val="000D6E27"/>
    <w:rsid w:val="000D6F67"/>
    <w:rsid w:val="000D7E50"/>
    <w:rsid w:val="000D7FC5"/>
    <w:rsid w:val="000E00A3"/>
    <w:rsid w:val="000E06B2"/>
    <w:rsid w:val="000E0A6C"/>
    <w:rsid w:val="000E12DD"/>
    <w:rsid w:val="000E14A4"/>
    <w:rsid w:val="000E14B7"/>
    <w:rsid w:val="000E1939"/>
    <w:rsid w:val="000E1AC0"/>
    <w:rsid w:val="000E1B4C"/>
    <w:rsid w:val="000E1D14"/>
    <w:rsid w:val="000E2045"/>
    <w:rsid w:val="000E21E7"/>
    <w:rsid w:val="000E2268"/>
    <w:rsid w:val="000E22A9"/>
    <w:rsid w:val="000E2378"/>
    <w:rsid w:val="000E23C4"/>
    <w:rsid w:val="000E24D2"/>
    <w:rsid w:val="000E266E"/>
    <w:rsid w:val="000E2863"/>
    <w:rsid w:val="000E2E38"/>
    <w:rsid w:val="000E3160"/>
    <w:rsid w:val="000E319A"/>
    <w:rsid w:val="000E45B9"/>
    <w:rsid w:val="000E4A21"/>
    <w:rsid w:val="000E4A34"/>
    <w:rsid w:val="000E4A5E"/>
    <w:rsid w:val="000E5572"/>
    <w:rsid w:val="000E578D"/>
    <w:rsid w:val="000E5EC9"/>
    <w:rsid w:val="000E60BE"/>
    <w:rsid w:val="000E637C"/>
    <w:rsid w:val="000E6AD8"/>
    <w:rsid w:val="000E6B30"/>
    <w:rsid w:val="000E7201"/>
    <w:rsid w:val="000E7717"/>
    <w:rsid w:val="000F0976"/>
    <w:rsid w:val="000F1004"/>
    <w:rsid w:val="000F18CC"/>
    <w:rsid w:val="000F1BF2"/>
    <w:rsid w:val="000F2DFE"/>
    <w:rsid w:val="000F2E1E"/>
    <w:rsid w:val="000F3688"/>
    <w:rsid w:val="000F3F06"/>
    <w:rsid w:val="000F3F85"/>
    <w:rsid w:val="000F45C7"/>
    <w:rsid w:val="000F4602"/>
    <w:rsid w:val="000F4A65"/>
    <w:rsid w:val="000F5088"/>
    <w:rsid w:val="000F540D"/>
    <w:rsid w:val="000F56B4"/>
    <w:rsid w:val="000F5837"/>
    <w:rsid w:val="000F593F"/>
    <w:rsid w:val="000F5D57"/>
    <w:rsid w:val="000F5FC5"/>
    <w:rsid w:val="000F63E8"/>
    <w:rsid w:val="000F6433"/>
    <w:rsid w:val="000F6603"/>
    <w:rsid w:val="000F66E1"/>
    <w:rsid w:val="000F71C8"/>
    <w:rsid w:val="000F72CC"/>
    <w:rsid w:val="000F7536"/>
    <w:rsid w:val="000F7551"/>
    <w:rsid w:val="0010005F"/>
    <w:rsid w:val="001003CE"/>
    <w:rsid w:val="00100C52"/>
    <w:rsid w:val="00100D4E"/>
    <w:rsid w:val="00100F1F"/>
    <w:rsid w:val="00101795"/>
    <w:rsid w:val="00101836"/>
    <w:rsid w:val="001018D1"/>
    <w:rsid w:val="00101A9B"/>
    <w:rsid w:val="001021CA"/>
    <w:rsid w:val="00102324"/>
    <w:rsid w:val="00102671"/>
    <w:rsid w:val="001036B3"/>
    <w:rsid w:val="00104322"/>
    <w:rsid w:val="00104542"/>
    <w:rsid w:val="00105014"/>
    <w:rsid w:val="00105247"/>
    <w:rsid w:val="0010533A"/>
    <w:rsid w:val="001057EA"/>
    <w:rsid w:val="00105DBD"/>
    <w:rsid w:val="0010631F"/>
    <w:rsid w:val="00106AD8"/>
    <w:rsid w:val="001076EE"/>
    <w:rsid w:val="0010785A"/>
    <w:rsid w:val="00107B43"/>
    <w:rsid w:val="001100A3"/>
    <w:rsid w:val="00110373"/>
    <w:rsid w:val="00110544"/>
    <w:rsid w:val="00110B49"/>
    <w:rsid w:val="00110BC5"/>
    <w:rsid w:val="00111301"/>
    <w:rsid w:val="001121CB"/>
    <w:rsid w:val="00112AD0"/>
    <w:rsid w:val="00113103"/>
    <w:rsid w:val="00113586"/>
    <w:rsid w:val="00113A20"/>
    <w:rsid w:val="00113C92"/>
    <w:rsid w:val="0011465C"/>
    <w:rsid w:val="001147AE"/>
    <w:rsid w:val="00114B84"/>
    <w:rsid w:val="00115E29"/>
    <w:rsid w:val="001161AC"/>
    <w:rsid w:val="001163B0"/>
    <w:rsid w:val="00116852"/>
    <w:rsid w:val="001175E9"/>
    <w:rsid w:val="00117719"/>
    <w:rsid w:val="001179E8"/>
    <w:rsid w:val="00117BD4"/>
    <w:rsid w:val="00120098"/>
    <w:rsid w:val="001200FD"/>
    <w:rsid w:val="00120322"/>
    <w:rsid w:val="001203CF"/>
    <w:rsid w:val="0012048B"/>
    <w:rsid w:val="00120F78"/>
    <w:rsid w:val="00121597"/>
    <w:rsid w:val="001218ED"/>
    <w:rsid w:val="00121ADA"/>
    <w:rsid w:val="00122078"/>
    <w:rsid w:val="00122BED"/>
    <w:rsid w:val="00123162"/>
    <w:rsid w:val="00124887"/>
    <w:rsid w:val="00124CFD"/>
    <w:rsid w:val="00125237"/>
    <w:rsid w:val="001252E9"/>
    <w:rsid w:val="00125789"/>
    <w:rsid w:val="00125CDF"/>
    <w:rsid w:val="00125D01"/>
    <w:rsid w:val="00125EB3"/>
    <w:rsid w:val="0012657E"/>
    <w:rsid w:val="00127200"/>
    <w:rsid w:val="00127393"/>
    <w:rsid w:val="00127631"/>
    <w:rsid w:val="00127B1A"/>
    <w:rsid w:val="00130286"/>
    <w:rsid w:val="00130788"/>
    <w:rsid w:val="00130DCB"/>
    <w:rsid w:val="0013165A"/>
    <w:rsid w:val="001322BF"/>
    <w:rsid w:val="001323D0"/>
    <w:rsid w:val="0013248F"/>
    <w:rsid w:val="0013305B"/>
    <w:rsid w:val="00133275"/>
    <w:rsid w:val="00133D5B"/>
    <w:rsid w:val="00134489"/>
    <w:rsid w:val="001344A0"/>
    <w:rsid w:val="0013548A"/>
    <w:rsid w:val="00135679"/>
    <w:rsid w:val="00135684"/>
    <w:rsid w:val="0013668C"/>
    <w:rsid w:val="00136840"/>
    <w:rsid w:val="00136EF9"/>
    <w:rsid w:val="00136F65"/>
    <w:rsid w:val="00137686"/>
    <w:rsid w:val="00137ACE"/>
    <w:rsid w:val="001405C3"/>
    <w:rsid w:val="0014169F"/>
    <w:rsid w:val="001416C3"/>
    <w:rsid w:val="00141BB9"/>
    <w:rsid w:val="0014268A"/>
    <w:rsid w:val="001428FA"/>
    <w:rsid w:val="00142B32"/>
    <w:rsid w:val="00142E6B"/>
    <w:rsid w:val="00142F64"/>
    <w:rsid w:val="00143406"/>
    <w:rsid w:val="00143A79"/>
    <w:rsid w:val="0014411B"/>
    <w:rsid w:val="00144205"/>
    <w:rsid w:val="00144DA6"/>
    <w:rsid w:val="001457D5"/>
    <w:rsid w:val="00145A3C"/>
    <w:rsid w:val="0014641A"/>
    <w:rsid w:val="001468B9"/>
    <w:rsid w:val="001479D2"/>
    <w:rsid w:val="00147F1A"/>
    <w:rsid w:val="0015033B"/>
    <w:rsid w:val="0015088D"/>
    <w:rsid w:val="00150AA1"/>
    <w:rsid w:val="00150B79"/>
    <w:rsid w:val="00151369"/>
    <w:rsid w:val="001514FC"/>
    <w:rsid w:val="00151B4A"/>
    <w:rsid w:val="00151D19"/>
    <w:rsid w:val="00151E60"/>
    <w:rsid w:val="001522EE"/>
    <w:rsid w:val="0015316B"/>
    <w:rsid w:val="001535A1"/>
    <w:rsid w:val="00153C92"/>
    <w:rsid w:val="00154184"/>
    <w:rsid w:val="001551DF"/>
    <w:rsid w:val="0015539E"/>
    <w:rsid w:val="0015766A"/>
    <w:rsid w:val="00157D02"/>
    <w:rsid w:val="00157D5B"/>
    <w:rsid w:val="001601A7"/>
    <w:rsid w:val="001605CE"/>
    <w:rsid w:val="00161473"/>
    <w:rsid w:val="00161989"/>
    <w:rsid w:val="00161C0D"/>
    <w:rsid w:val="001624EF"/>
    <w:rsid w:val="0016285E"/>
    <w:rsid w:val="0016319D"/>
    <w:rsid w:val="001632C2"/>
    <w:rsid w:val="001644AA"/>
    <w:rsid w:val="00164D45"/>
    <w:rsid w:val="00165005"/>
    <w:rsid w:val="00165CFD"/>
    <w:rsid w:val="00165FEB"/>
    <w:rsid w:val="00167333"/>
    <w:rsid w:val="0016738B"/>
    <w:rsid w:val="0016761B"/>
    <w:rsid w:val="001677D4"/>
    <w:rsid w:val="00167F35"/>
    <w:rsid w:val="00170097"/>
    <w:rsid w:val="00170EA3"/>
    <w:rsid w:val="0017108B"/>
    <w:rsid w:val="0017124E"/>
    <w:rsid w:val="00171ADB"/>
    <w:rsid w:val="0017298E"/>
    <w:rsid w:val="001733E7"/>
    <w:rsid w:val="00173589"/>
    <w:rsid w:val="0017583B"/>
    <w:rsid w:val="00175ACB"/>
    <w:rsid w:val="00175C78"/>
    <w:rsid w:val="00175EBD"/>
    <w:rsid w:val="001765F8"/>
    <w:rsid w:val="00177865"/>
    <w:rsid w:val="001806E5"/>
    <w:rsid w:val="00180C4E"/>
    <w:rsid w:val="001816C6"/>
    <w:rsid w:val="00181E42"/>
    <w:rsid w:val="0018219E"/>
    <w:rsid w:val="001823F1"/>
    <w:rsid w:val="001839D4"/>
    <w:rsid w:val="00183A9D"/>
    <w:rsid w:val="00184369"/>
    <w:rsid w:val="00184489"/>
    <w:rsid w:val="001844DE"/>
    <w:rsid w:val="00184ECD"/>
    <w:rsid w:val="00185650"/>
    <w:rsid w:val="00185994"/>
    <w:rsid w:val="00185E29"/>
    <w:rsid w:val="00185EA8"/>
    <w:rsid w:val="0018632C"/>
    <w:rsid w:val="0018687C"/>
    <w:rsid w:val="00186B2E"/>
    <w:rsid w:val="00186C6B"/>
    <w:rsid w:val="0018754B"/>
    <w:rsid w:val="00187593"/>
    <w:rsid w:val="00187747"/>
    <w:rsid w:val="00187815"/>
    <w:rsid w:val="0019117C"/>
    <w:rsid w:val="001911DD"/>
    <w:rsid w:val="00191D7B"/>
    <w:rsid w:val="00191FB3"/>
    <w:rsid w:val="001924B0"/>
    <w:rsid w:val="001926AF"/>
    <w:rsid w:val="001929C6"/>
    <w:rsid w:val="00192BFD"/>
    <w:rsid w:val="00193949"/>
    <w:rsid w:val="00193BA7"/>
    <w:rsid w:val="00193E9D"/>
    <w:rsid w:val="001940A3"/>
    <w:rsid w:val="00194566"/>
    <w:rsid w:val="001945D7"/>
    <w:rsid w:val="0019583E"/>
    <w:rsid w:val="001958DF"/>
    <w:rsid w:val="00195D93"/>
    <w:rsid w:val="00196567"/>
    <w:rsid w:val="0019692C"/>
    <w:rsid w:val="00196C19"/>
    <w:rsid w:val="00197344"/>
    <w:rsid w:val="00197414"/>
    <w:rsid w:val="001A0388"/>
    <w:rsid w:val="001A041D"/>
    <w:rsid w:val="001A0490"/>
    <w:rsid w:val="001A0635"/>
    <w:rsid w:val="001A0F7C"/>
    <w:rsid w:val="001A1266"/>
    <w:rsid w:val="001A161B"/>
    <w:rsid w:val="001A16D0"/>
    <w:rsid w:val="001A1DD4"/>
    <w:rsid w:val="001A273E"/>
    <w:rsid w:val="001A293E"/>
    <w:rsid w:val="001A2C9C"/>
    <w:rsid w:val="001A3201"/>
    <w:rsid w:val="001A3516"/>
    <w:rsid w:val="001A3EB0"/>
    <w:rsid w:val="001A4333"/>
    <w:rsid w:val="001A483B"/>
    <w:rsid w:val="001A5953"/>
    <w:rsid w:val="001A5B88"/>
    <w:rsid w:val="001A5D29"/>
    <w:rsid w:val="001A630C"/>
    <w:rsid w:val="001A6BC5"/>
    <w:rsid w:val="001A7C70"/>
    <w:rsid w:val="001A7D55"/>
    <w:rsid w:val="001B09AF"/>
    <w:rsid w:val="001B17C0"/>
    <w:rsid w:val="001B1AB9"/>
    <w:rsid w:val="001B2AEE"/>
    <w:rsid w:val="001B2BBB"/>
    <w:rsid w:val="001B2C4A"/>
    <w:rsid w:val="001B30A6"/>
    <w:rsid w:val="001B32B5"/>
    <w:rsid w:val="001B33C3"/>
    <w:rsid w:val="001B3B82"/>
    <w:rsid w:val="001B45A9"/>
    <w:rsid w:val="001B4EE2"/>
    <w:rsid w:val="001B4F3E"/>
    <w:rsid w:val="001B5338"/>
    <w:rsid w:val="001B578F"/>
    <w:rsid w:val="001B64B9"/>
    <w:rsid w:val="001B6B01"/>
    <w:rsid w:val="001B6D44"/>
    <w:rsid w:val="001B6D67"/>
    <w:rsid w:val="001B6DDA"/>
    <w:rsid w:val="001B745B"/>
    <w:rsid w:val="001B7FED"/>
    <w:rsid w:val="001C0066"/>
    <w:rsid w:val="001C040A"/>
    <w:rsid w:val="001C0592"/>
    <w:rsid w:val="001C07AE"/>
    <w:rsid w:val="001C0F83"/>
    <w:rsid w:val="001C1AEE"/>
    <w:rsid w:val="001C22C2"/>
    <w:rsid w:val="001C2811"/>
    <w:rsid w:val="001C3BC9"/>
    <w:rsid w:val="001C3D00"/>
    <w:rsid w:val="001C3F71"/>
    <w:rsid w:val="001C4A92"/>
    <w:rsid w:val="001C4B86"/>
    <w:rsid w:val="001C5183"/>
    <w:rsid w:val="001C5332"/>
    <w:rsid w:val="001C58CC"/>
    <w:rsid w:val="001C5BD4"/>
    <w:rsid w:val="001C5F18"/>
    <w:rsid w:val="001C6F67"/>
    <w:rsid w:val="001C742E"/>
    <w:rsid w:val="001C774D"/>
    <w:rsid w:val="001C7BCB"/>
    <w:rsid w:val="001C7F30"/>
    <w:rsid w:val="001D00AC"/>
    <w:rsid w:val="001D0C45"/>
    <w:rsid w:val="001D100E"/>
    <w:rsid w:val="001D14CE"/>
    <w:rsid w:val="001D301E"/>
    <w:rsid w:val="001D31F2"/>
    <w:rsid w:val="001D3857"/>
    <w:rsid w:val="001D38FA"/>
    <w:rsid w:val="001D39EC"/>
    <w:rsid w:val="001D3F12"/>
    <w:rsid w:val="001D429E"/>
    <w:rsid w:val="001D478C"/>
    <w:rsid w:val="001D4B07"/>
    <w:rsid w:val="001D4BEC"/>
    <w:rsid w:val="001D4CEB"/>
    <w:rsid w:val="001D50C2"/>
    <w:rsid w:val="001D5140"/>
    <w:rsid w:val="001D5D26"/>
    <w:rsid w:val="001D62D4"/>
    <w:rsid w:val="001D64FD"/>
    <w:rsid w:val="001D6584"/>
    <w:rsid w:val="001D6DFE"/>
    <w:rsid w:val="001D737A"/>
    <w:rsid w:val="001D7473"/>
    <w:rsid w:val="001D785D"/>
    <w:rsid w:val="001D7B4D"/>
    <w:rsid w:val="001D7C5D"/>
    <w:rsid w:val="001E052B"/>
    <w:rsid w:val="001E0758"/>
    <w:rsid w:val="001E0B17"/>
    <w:rsid w:val="001E188C"/>
    <w:rsid w:val="001E1994"/>
    <w:rsid w:val="001E1A51"/>
    <w:rsid w:val="001E1D33"/>
    <w:rsid w:val="001E1FC6"/>
    <w:rsid w:val="001E21E6"/>
    <w:rsid w:val="001E23AC"/>
    <w:rsid w:val="001E2801"/>
    <w:rsid w:val="001E2EB6"/>
    <w:rsid w:val="001E326B"/>
    <w:rsid w:val="001E34C6"/>
    <w:rsid w:val="001E376E"/>
    <w:rsid w:val="001E3A9E"/>
    <w:rsid w:val="001E45E0"/>
    <w:rsid w:val="001E4993"/>
    <w:rsid w:val="001E4CD3"/>
    <w:rsid w:val="001E4F6F"/>
    <w:rsid w:val="001E520B"/>
    <w:rsid w:val="001E56F9"/>
    <w:rsid w:val="001E5762"/>
    <w:rsid w:val="001E5E9A"/>
    <w:rsid w:val="001E6443"/>
    <w:rsid w:val="001E6598"/>
    <w:rsid w:val="001E77B2"/>
    <w:rsid w:val="001E7A7A"/>
    <w:rsid w:val="001E7E38"/>
    <w:rsid w:val="001E7FEC"/>
    <w:rsid w:val="001F0157"/>
    <w:rsid w:val="001F0970"/>
    <w:rsid w:val="001F0BF3"/>
    <w:rsid w:val="001F0C05"/>
    <w:rsid w:val="001F0FC6"/>
    <w:rsid w:val="001F1005"/>
    <w:rsid w:val="001F153D"/>
    <w:rsid w:val="001F2554"/>
    <w:rsid w:val="001F31FE"/>
    <w:rsid w:val="001F34D4"/>
    <w:rsid w:val="001F399C"/>
    <w:rsid w:val="001F3B7E"/>
    <w:rsid w:val="001F3CB5"/>
    <w:rsid w:val="001F456B"/>
    <w:rsid w:val="001F47AF"/>
    <w:rsid w:val="001F4FA3"/>
    <w:rsid w:val="001F5B77"/>
    <w:rsid w:val="001F5E1F"/>
    <w:rsid w:val="001F5F25"/>
    <w:rsid w:val="001F6165"/>
    <w:rsid w:val="001F68B9"/>
    <w:rsid w:val="002009B9"/>
    <w:rsid w:val="00200C95"/>
    <w:rsid w:val="00201665"/>
    <w:rsid w:val="00201785"/>
    <w:rsid w:val="00201799"/>
    <w:rsid w:val="002017D3"/>
    <w:rsid w:val="00201ECC"/>
    <w:rsid w:val="00202AE2"/>
    <w:rsid w:val="00202C4B"/>
    <w:rsid w:val="00203356"/>
    <w:rsid w:val="00203816"/>
    <w:rsid w:val="002038DB"/>
    <w:rsid w:val="00203AF6"/>
    <w:rsid w:val="00203F24"/>
    <w:rsid w:val="0020497A"/>
    <w:rsid w:val="0020522A"/>
    <w:rsid w:val="0020540A"/>
    <w:rsid w:val="002054EF"/>
    <w:rsid w:val="00205848"/>
    <w:rsid w:val="00205A52"/>
    <w:rsid w:val="00205FB9"/>
    <w:rsid w:val="002065FC"/>
    <w:rsid w:val="002067BD"/>
    <w:rsid w:val="00207824"/>
    <w:rsid w:val="00207EB2"/>
    <w:rsid w:val="00207F22"/>
    <w:rsid w:val="002104B1"/>
    <w:rsid w:val="00210569"/>
    <w:rsid w:val="002106DB"/>
    <w:rsid w:val="00210894"/>
    <w:rsid w:val="00211B01"/>
    <w:rsid w:val="00211EFC"/>
    <w:rsid w:val="00211F5D"/>
    <w:rsid w:val="002124C9"/>
    <w:rsid w:val="0021254F"/>
    <w:rsid w:val="00212653"/>
    <w:rsid w:val="002126B7"/>
    <w:rsid w:val="002128D1"/>
    <w:rsid w:val="00212A7E"/>
    <w:rsid w:val="002132A3"/>
    <w:rsid w:val="0021336A"/>
    <w:rsid w:val="00213E69"/>
    <w:rsid w:val="0021426C"/>
    <w:rsid w:val="00215947"/>
    <w:rsid w:val="002161DF"/>
    <w:rsid w:val="00216491"/>
    <w:rsid w:val="0021684D"/>
    <w:rsid w:val="00216DD2"/>
    <w:rsid w:val="0021721A"/>
    <w:rsid w:val="00217B07"/>
    <w:rsid w:val="00217E30"/>
    <w:rsid w:val="002202A8"/>
    <w:rsid w:val="0022049A"/>
    <w:rsid w:val="00220788"/>
    <w:rsid w:val="00221D8E"/>
    <w:rsid w:val="002225A9"/>
    <w:rsid w:val="00222930"/>
    <w:rsid w:val="002239F5"/>
    <w:rsid w:val="00223C9E"/>
    <w:rsid w:val="0022504A"/>
    <w:rsid w:val="00226063"/>
    <w:rsid w:val="002266D6"/>
    <w:rsid w:val="002267B3"/>
    <w:rsid w:val="002268D8"/>
    <w:rsid w:val="0022698C"/>
    <w:rsid w:val="00226B4C"/>
    <w:rsid w:val="00226B57"/>
    <w:rsid w:val="00226C60"/>
    <w:rsid w:val="00226DBA"/>
    <w:rsid w:val="00227365"/>
    <w:rsid w:val="00227BFA"/>
    <w:rsid w:val="0023017C"/>
    <w:rsid w:val="002306B2"/>
    <w:rsid w:val="0023078E"/>
    <w:rsid w:val="00230AAB"/>
    <w:rsid w:val="00230DDD"/>
    <w:rsid w:val="002310E0"/>
    <w:rsid w:val="00231D1A"/>
    <w:rsid w:val="002325A0"/>
    <w:rsid w:val="00232741"/>
    <w:rsid w:val="002329BA"/>
    <w:rsid w:val="002335B6"/>
    <w:rsid w:val="00233966"/>
    <w:rsid w:val="00233F5D"/>
    <w:rsid w:val="00234559"/>
    <w:rsid w:val="00234A30"/>
    <w:rsid w:val="00234EAA"/>
    <w:rsid w:val="00235167"/>
    <w:rsid w:val="00235485"/>
    <w:rsid w:val="002359C8"/>
    <w:rsid w:val="00235F06"/>
    <w:rsid w:val="00236894"/>
    <w:rsid w:val="002378F3"/>
    <w:rsid w:val="0024019A"/>
    <w:rsid w:val="0024050D"/>
    <w:rsid w:val="002405A4"/>
    <w:rsid w:val="002405A9"/>
    <w:rsid w:val="002409D6"/>
    <w:rsid w:val="00240DD3"/>
    <w:rsid w:val="0024199C"/>
    <w:rsid w:val="00241E6F"/>
    <w:rsid w:val="0024218A"/>
    <w:rsid w:val="00242FC6"/>
    <w:rsid w:val="00243D3C"/>
    <w:rsid w:val="002448F6"/>
    <w:rsid w:val="00244C4C"/>
    <w:rsid w:val="00244C71"/>
    <w:rsid w:val="00244E5D"/>
    <w:rsid w:val="002453F5"/>
    <w:rsid w:val="002460E3"/>
    <w:rsid w:val="00246267"/>
    <w:rsid w:val="002468B3"/>
    <w:rsid w:val="00246C1A"/>
    <w:rsid w:val="00250965"/>
    <w:rsid w:val="00251548"/>
    <w:rsid w:val="0025160D"/>
    <w:rsid w:val="00251936"/>
    <w:rsid w:val="00251EF2"/>
    <w:rsid w:val="00251F1C"/>
    <w:rsid w:val="00252E68"/>
    <w:rsid w:val="00253108"/>
    <w:rsid w:val="0025325C"/>
    <w:rsid w:val="00253425"/>
    <w:rsid w:val="00253749"/>
    <w:rsid w:val="00253C22"/>
    <w:rsid w:val="00253F66"/>
    <w:rsid w:val="00254287"/>
    <w:rsid w:val="00254315"/>
    <w:rsid w:val="00254645"/>
    <w:rsid w:val="00254870"/>
    <w:rsid w:val="00254D36"/>
    <w:rsid w:val="0025566A"/>
    <w:rsid w:val="002559F4"/>
    <w:rsid w:val="00255A6C"/>
    <w:rsid w:val="00255E18"/>
    <w:rsid w:val="002564E3"/>
    <w:rsid w:val="00256617"/>
    <w:rsid w:val="002569C7"/>
    <w:rsid w:val="0025739E"/>
    <w:rsid w:val="00257B54"/>
    <w:rsid w:val="00257D22"/>
    <w:rsid w:val="0026021E"/>
    <w:rsid w:val="00260B08"/>
    <w:rsid w:val="002611A5"/>
    <w:rsid w:val="002611D3"/>
    <w:rsid w:val="00261319"/>
    <w:rsid w:val="00261C47"/>
    <w:rsid w:val="00261E2D"/>
    <w:rsid w:val="002624BB"/>
    <w:rsid w:val="00262831"/>
    <w:rsid w:val="00262DBD"/>
    <w:rsid w:val="002632CC"/>
    <w:rsid w:val="00263601"/>
    <w:rsid w:val="00263603"/>
    <w:rsid w:val="00263EAD"/>
    <w:rsid w:val="0026495A"/>
    <w:rsid w:val="002653AE"/>
    <w:rsid w:val="00265490"/>
    <w:rsid w:val="00265516"/>
    <w:rsid w:val="00265F6E"/>
    <w:rsid w:val="00266E53"/>
    <w:rsid w:val="00266F15"/>
    <w:rsid w:val="00266FF8"/>
    <w:rsid w:val="00267B13"/>
    <w:rsid w:val="002704C0"/>
    <w:rsid w:val="002706A4"/>
    <w:rsid w:val="002709BD"/>
    <w:rsid w:val="00270A2F"/>
    <w:rsid w:val="00270EE0"/>
    <w:rsid w:val="00271BC0"/>
    <w:rsid w:val="00271CEB"/>
    <w:rsid w:val="00272000"/>
    <w:rsid w:val="00272585"/>
    <w:rsid w:val="00272CA4"/>
    <w:rsid w:val="00273297"/>
    <w:rsid w:val="0027389E"/>
    <w:rsid w:val="00274010"/>
    <w:rsid w:val="00274921"/>
    <w:rsid w:val="00274D65"/>
    <w:rsid w:val="002756A8"/>
    <w:rsid w:val="00275E2E"/>
    <w:rsid w:val="00276196"/>
    <w:rsid w:val="002764D4"/>
    <w:rsid w:val="00276BF1"/>
    <w:rsid w:val="00276D0C"/>
    <w:rsid w:val="00276D2F"/>
    <w:rsid w:val="0027745C"/>
    <w:rsid w:val="0027755E"/>
    <w:rsid w:val="00277D94"/>
    <w:rsid w:val="002802EA"/>
    <w:rsid w:val="002808E1"/>
    <w:rsid w:val="00281750"/>
    <w:rsid w:val="002818D8"/>
    <w:rsid w:val="00281DCA"/>
    <w:rsid w:val="0028242E"/>
    <w:rsid w:val="0028265C"/>
    <w:rsid w:val="00283672"/>
    <w:rsid w:val="0028390F"/>
    <w:rsid w:val="002849AD"/>
    <w:rsid w:val="00285592"/>
    <w:rsid w:val="002857DD"/>
    <w:rsid w:val="002864C2"/>
    <w:rsid w:val="00286D0C"/>
    <w:rsid w:val="002872B8"/>
    <w:rsid w:val="00290A6B"/>
    <w:rsid w:val="00291E6D"/>
    <w:rsid w:val="00292287"/>
    <w:rsid w:val="00292691"/>
    <w:rsid w:val="002927F9"/>
    <w:rsid w:val="0029282E"/>
    <w:rsid w:val="002928C8"/>
    <w:rsid w:val="00292905"/>
    <w:rsid w:val="002929B0"/>
    <w:rsid w:val="00293A7D"/>
    <w:rsid w:val="00293B9C"/>
    <w:rsid w:val="002948CF"/>
    <w:rsid w:val="00294C97"/>
    <w:rsid w:val="00294C9C"/>
    <w:rsid w:val="00294F1E"/>
    <w:rsid w:val="002951BA"/>
    <w:rsid w:val="002954D7"/>
    <w:rsid w:val="00295BE7"/>
    <w:rsid w:val="00296014"/>
    <w:rsid w:val="002962DE"/>
    <w:rsid w:val="00296D59"/>
    <w:rsid w:val="00297E38"/>
    <w:rsid w:val="00297F59"/>
    <w:rsid w:val="002A0367"/>
    <w:rsid w:val="002A037C"/>
    <w:rsid w:val="002A0476"/>
    <w:rsid w:val="002A05AC"/>
    <w:rsid w:val="002A0B00"/>
    <w:rsid w:val="002A14D7"/>
    <w:rsid w:val="002A1DC7"/>
    <w:rsid w:val="002A1E55"/>
    <w:rsid w:val="002A244F"/>
    <w:rsid w:val="002A302F"/>
    <w:rsid w:val="002A30FD"/>
    <w:rsid w:val="002A40D3"/>
    <w:rsid w:val="002A4DA4"/>
    <w:rsid w:val="002A4F3D"/>
    <w:rsid w:val="002A644C"/>
    <w:rsid w:val="002A6BB5"/>
    <w:rsid w:val="002A716A"/>
    <w:rsid w:val="002A7362"/>
    <w:rsid w:val="002A79CC"/>
    <w:rsid w:val="002A7E54"/>
    <w:rsid w:val="002A7F3A"/>
    <w:rsid w:val="002B0452"/>
    <w:rsid w:val="002B0D0B"/>
    <w:rsid w:val="002B0FA2"/>
    <w:rsid w:val="002B1290"/>
    <w:rsid w:val="002B1B6E"/>
    <w:rsid w:val="002B247B"/>
    <w:rsid w:val="002B31D8"/>
    <w:rsid w:val="002B325C"/>
    <w:rsid w:val="002B3DF4"/>
    <w:rsid w:val="002B44DB"/>
    <w:rsid w:val="002B4971"/>
    <w:rsid w:val="002B4F65"/>
    <w:rsid w:val="002B5751"/>
    <w:rsid w:val="002B581D"/>
    <w:rsid w:val="002B6369"/>
    <w:rsid w:val="002B6690"/>
    <w:rsid w:val="002B6720"/>
    <w:rsid w:val="002B6DAB"/>
    <w:rsid w:val="002B7099"/>
    <w:rsid w:val="002B72E9"/>
    <w:rsid w:val="002B733B"/>
    <w:rsid w:val="002C01CC"/>
    <w:rsid w:val="002C02AD"/>
    <w:rsid w:val="002C08BA"/>
    <w:rsid w:val="002C0E93"/>
    <w:rsid w:val="002C0F7C"/>
    <w:rsid w:val="002C101D"/>
    <w:rsid w:val="002C1318"/>
    <w:rsid w:val="002C1F4F"/>
    <w:rsid w:val="002C2195"/>
    <w:rsid w:val="002C28BC"/>
    <w:rsid w:val="002C2A7D"/>
    <w:rsid w:val="002C2E2F"/>
    <w:rsid w:val="002C3064"/>
    <w:rsid w:val="002C3203"/>
    <w:rsid w:val="002C3884"/>
    <w:rsid w:val="002C5CFD"/>
    <w:rsid w:val="002C6630"/>
    <w:rsid w:val="002C7136"/>
    <w:rsid w:val="002C745B"/>
    <w:rsid w:val="002C7792"/>
    <w:rsid w:val="002C7C9A"/>
    <w:rsid w:val="002C7DCF"/>
    <w:rsid w:val="002D0C65"/>
    <w:rsid w:val="002D114E"/>
    <w:rsid w:val="002D135A"/>
    <w:rsid w:val="002D15F6"/>
    <w:rsid w:val="002D19CC"/>
    <w:rsid w:val="002D1A09"/>
    <w:rsid w:val="002D1A55"/>
    <w:rsid w:val="002D277F"/>
    <w:rsid w:val="002D2935"/>
    <w:rsid w:val="002D2BEB"/>
    <w:rsid w:val="002D36D1"/>
    <w:rsid w:val="002D39A1"/>
    <w:rsid w:val="002D3FA7"/>
    <w:rsid w:val="002D3FF2"/>
    <w:rsid w:val="002D40FE"/>
    <w:rsid w:val="002D4286"/>
    <w:rsid w:val="002D44A2"/>
    <w:rsid w:val="002D44E1"/>
    <w:rsid w:val="002D4571"/>
    <w:rsid w:val="002D4ED7"/>
    <w:rsid w:val="002D500E"/>
    <w:rsid w:val="002D51DE"/>
    <w:rsid w:val="002D5BFC"/>
    <w:rsid w:val="002D6265"/>
    <w:rsid w:val="002D63D9"/>
    <w:rsid w:val="002D6E1C"/>
    <w:rsid w:val="002D7456"/>
    <w:rsid w:val="002D7672"/>
    <w:rsid w:val="002D77B9"/>
    <w:rsid w:val="002D7B17"/>
    <w:rsid w:val="002E0769"/>
    <w:rsid w:val="002E078E"/>
    <w:rsid w:val="002E07AC"/>
    <w:rsid w:val="002E0CE6"/>
    <w:rsid w:val="002E0F83"/>
    <w:rsid w:val="002E189E"/>
    <w:rsid w:val="002E2206"/>
    <w:rsid w:val="002E22A9"/>
    <w:rsid w:val="002E293B"/>
    <w:rsid w:val="002E29AB"/>
    <w:rsid w:val="002E2C82"/>
    <w:rsid w:val="002E2D87"/>
    <w:rsid w:val="002E33DE"/>
    <w:rsid w:val="002E3974"/>
    <w:rsid w:val="002E4050"/>
    <w:rsid w:val="002E45A8"/>
    <w:rsid w:val="002E4864"/>
    <w:rsid w:val="002E4ACD"/>
    <w:rsid w:val="002E564B"/>
    <w:rsid w:val="002E5ECF"/>
    <w:rsid w:val="002E6450"/>
    <w:rsid w:val="002E679C"/>
    <w:rsid w:val="002E685D"/>
    <w:rsid w:val="002E7113"/>
    <w:rsid w:val="002E7263"/>
    <w:rsid w:val="002F0F45"/>
    <w:rsid w:val="002F11C1"/>
    <w:rsid w:val="002F17D3"/>
    <w:rsid w:val="002F1E6D"/>
    <w:rsid w:val="002F26A3"/>
    <w:rsid w:val="002F32A1"/>
    <w:rsid w:val="002F3CE5"/>
    <w:rsid w:val="002F45FC"/>
    <w:rsid w:val="002F4692"/>
    <w:rsid w:val="002F52A0"/>
    <w:rsid w:val="002F53B6"/>
    <w:rsid w:val="002F5587"/>
    <w:rsid w:val="002F55B2"/>
    <w:rsid w:val="002F5628"/>
    <w:rsid w:val="002F5778"/>
    <w:rsid w:val="002F616E"/>
    <w:rsid w:val="002F6389"/>
    <w:rsid w:val="002F75FE"/>
    <w:rsid w:val="002F7829"/>
    <w:rsid w:val="002F7B60"/>
    <w:rsid w:val="002F7BF6"/>
    <w:rsid w:val="002F7CCD"/>
    <w:rsid w:val="00300462"/>
    <w:rsid w:val="00300644"/>
    <w:rsid w:val="003007A2"/>
    <w:rsid w:val="00300993"/>
    <w:rsid w:val="0030184E"/>
    <w:rsid w:val="00301A50"/>
    <w:rsid w:val="00301B47"/>
    <w:rsid w:val="00301D51"/>
    <w:rsid w:val="0030207F"/>
    <w:rsid w:val="0030281F"/>
    <w:rsid w:val="00303530"/>
    <w:rsid w:val="003035F7"/>
    <w:rsid w:val="00303D90"/>
    <w:rsid w:val="00304236"/>
    <w:rsid w:val="0030439E"/>
    <w:rsid w:val="00304440"/>
    <w:rsid w:val="00304C26"/>
    <w:rsid w:val="00304DF9"/>
    <w:rsid w:val="00305002"/>
    <w:rsid w:val="00305C37"/>
    <w:rsid w:val="00305E31"/>
    <w:rsid w:val="00306646"/>
    <w:rsid w:val="00306F68"/>
    <w:rsid w:val="003077F9"/>
    <w:rsid w:val="00307E3B"/>
    <w:rsid w:val="00307E46"/>
    <w:rsid w:val="00310143"/>
    <w:rsid w:val="00310609"/>
    <w:rsid w:val="00310681"/>
    <w:rsid w:val="00310EA5"/>
    <w:rsid w:val="0031122C"/>
    <w:rsid w:val="0031125B"/>
    <w:rsid w:val="00311EBF"/>
    <w:rsid w:val="00312258"/>
    <w:rsid w:val="003122AC"/>
    <w:rsid w:val="00312BEC"/>
    <w:rsid w:val="00312C76"/>
    <w:rsid w:val="0031327E"/>
    <w:rsid w:val="00313D0F"/>
    <w:rsid w:val="00313EC2"/>
    <w:rsid w:val="003144A2"/>
    <w:rsid w:val="003144A6"/>
    <w:rsid w:val="003148D0"/>
    <w:rsid w:val="00314C63"/>
    <w:rsid w:val="00314ED3"/>
    <w:rsid w:val="00314EDF"/>
    <w:rsid w:val="00315319"/>
    <w:rsid w:val="00315841"/>
    <w:rsid w:val="00315A93"/>
    <w:rsid w:val="00315B0C"/>
    <w:rsid w:val="003163D0"/>
    <w:rsid w:val="003163FB"/>
    <w:rsid w:val="00317169"/>
    <w:rsid w:val="00317DFB"/>
    <w:rsid w:val="00320DA0"/>
    <w:rsid w:val="00321268"/>
    <w:rsid w:val="00321759"/>
    <w:rsid w:val="00321814"/>
    <w:rsid w:val="00321935"/>
    <w:rsid w:val="0032226D"/>
    <w:rsid w:val="003229FD"/>
    <w:rsid w:val="00322EC7"/>
    <w:rsid w:val="00323520"/>
    <w:rsid w:val="00323A37"/>
    <w:rsid w:val="00323D11"/>
    <w:rsid w:val="00323E13"/>
    <w:rsid w:val="0032423F"/>
    <w:rsid w:val="0032487D"/>
    <w:rsid w:val="00324B23"/>
    <w:rsid w:val="00324B64"/>
    <w:rsid w:val="00325108"/>
    <w:rsid w:val="003257A7"/>
    <w:rsid w:val="00325C8E"/>
    <w:rsid w:val="00326253"/>
    <w:rsid w:val="003264CC"/>
    <w:rsid w:val="00326CC5"/>
    <w:rsid w:val="003272E0"/>
    <w:rsid w:val="003274A9"/>
    <w:rsid w:val="003275AC"/>
    <w:rsid w:val="00327A54"/>
    <w:rsid w:val="0033006B"/>
    <w:rsid w:val="0033026E"/>
    <w:rsid w:val="003303E2"/>
    <w:rsid w:val="00330714"/>
    <w:rsid w:val="003312D1"/>
    <w:rsid w:val="00331887"/>
    <w:rsid w:val="00331C3E"/>
    <w:rsid w:val="00332215"/>
    <w:rsid w:val="00332613"/>
    <w:rsid w:val="0033284B"/>
    <w:rsid w:val="00333904"/>
    <w:rsid w:val="003345DB"/>
    <w:rsid w:val="003348DC"/>
    <w:rsid w:val="00334955"/>
    <w:rsid w:val="0033510E"/>
    <w:rsid w:val="00335814"/>
    <w:rsid w:val="00336207"/>
    <w:rsid w:val="00336317"/>
    <w:rsid w:val="00336F03"/>
    <w:rsid w:val="003376BD"/>
    <w:rsid w:val="00337C61"/>
    <w:rsid w:val="003402E5"/>
    <w:rsid w:val="00340866"/>
    <w:rsid w:val="00340D61"/>
    <w:rsid w:val="00340F2E"/>
    <w:rsid w:val="00340F74"/>
    <w:rsid w:val="0034172A"/>
    <w:rsid w:val="00341B09"/>
    <w:rsid w:val="00341FDD"/>
    <w:rsid w:val="003429FD"/>
    <w:rsid w:val="00342E37"/>
    <w:rsid w:val="00343030"/>
    <w:rsid w:val="003437DA"/>
    <w:rsid w:val="0034425D"/>
    <w:rsid w:val="00344351"/>
    <w:rsid w:val="003446E5"/>
    <w:rsid w:val="00344C4A"/>
    <w:rsid w:val="003450D3"/>
    <w:rsid w:val="0034536E"/>
    <w:rsid w:val="0034590A"/>
    <w:rsid w:val="00345946"/>
    <w:rsid w:val="00345AF0"/>
    <w:rsid w:val="00345C8B"/>
    <w:rsid w:val="00346D3F"/>
    <w:rsid w:val="00346F2B"/>
    <w:rsid w:val="00347074"/>
    <w:rsid w:val="00347A24"/>
    <w:rsid w:val="0035015C"/>
    <w:rsid w:val="003501B8"/>
    <w:rsid w:val="0035080F"/>
    <w:rsid w:val="003508FD"/>
    <w:rsid w:val="003511D8"/>
    <w:rsid w:val="00351356"/>
    <w:rsid w:val="003515E3"/>
    <w:rsid w:val="0035160B"/>
    <w:rsid w:val="00351C23"/>
    <w:rsid w:val="00352617"/>
    <w:rsid w:val="00352AED"/>
    <w:rsid w:val="00352DF1"/>
    <w:rsid w:val="00353028"/>
    <w:rsid w:val="003535A1"/>
    <w:rsid w:val="00353887"/>
    <w:rsid w:val="00354E73"/>
    <w:rsid w:val="00354F42"/>
    <w:rsid w:val="003565A8"/>
    <w:rsid w:val="003565C0"/>
    <w:rsid w:val="00356882"/>
    <w:rsid w:val="00356DAA"/>
    <w:rsid w:val="00357149"/>
    <w:rsid w:val="00360674"/>
    <w:rsid w:val="00360747"/>
    <w:rsid w:val="003608E2"/>
    <w:rsid w:val="003609F6"/>
    <w:rsid w:val="003616D5"/>
    <w:rsid w:val="00361EA8"/>
    <w:rsid w:val="00362F63"/>
    <w:rsid w:val="0036334E"/>
    <w:rsid w:val="00363C87"/>
    <w:rsid w:val="00363CAA"/>
    <w:rsid w:val="0036414D"/>
    <w:rsid w:val="003651CD"/>
    <w:rsid w:val="00365412"/>
    <w:rsid w:val="00365AF8"/>
    <w:rsid w:val="00365B5B"/>
    <w:rsid w:val="00365D31"/>
    <w:rsid w:val="00366C33"/>
    <w:rsid w:val="00366CE6"/>
    <w:rsid w:val="00366FAE"/>
    <w:rsid w:val="00367198"/>
    <w:rsid w:val="003679B0"/>
    <w:rsid w:val="0037128E"/>
    <w:rsid w:val="0037145D"/>
    <w:rsid w:val="00371979"/>
    <w:rsid w:val="00371B33"/>
    <w:rsid w:val="00372738"/>
    <w:rsid w:val="00372807"/>
    <w:rsid w:val="00372ACB"/>
    <w:rsid w:val="00373D8A"/>
    <w:rsid w:val="003742FA"/>
    <w:rsid w:val="0037471C"/>
    <w:rsid w:val="00374FD1"/>
    <w:rsid w:val="00375677"/>
    <w:rsid w:val="00375731"/>
    <w:rsid w:val="003757EE"/>
    <w:rsid w:val="00375B10"/>
    <w:rsid w:val="00375D70"/>
    <w:rsid w:val="00375FA4"/>
    <w:rsid w:val="003763AA"/>
    <w:rsid w:val="00376682"/>
    <w:rsid w:val="003776A4"/>
    <w:rsid w:val="00377997"/>
    <w:rsid w:val="003779C6"/>
    <w:rsid w:val="00377A6B"/>
    <w:rsid w:val="00377F85"/>
    <w:rsid w:val="00380067"/>
    <w:rsid w:val="0038061F"/>
    <w:rsid w:val="003809EB"/>
    <w:rsid w:val="003829CE"/>
    <w:rsid w:val="00382A4B"/>
    <w:rsid w:val="00382F55"/>
    <w:rsid w:val="00383267"/>
    <w:rsid w:val="00384694"/>
    <w:rsid w:val="0038471A"/>
    <w:rsid w:val="003858DD"/>
    <w:rsid w:val="00385A46"/>
    <w:rsid w:val="00385B31"/>
    <w:rsid w:val="00386F20"/>
    <w:rsid w:val="00387A8B"/>
    <w:rsid w:val="00387B43"/>
    <w:rsid w:val="0039013A"/>
    <w:rsid w:val="00390921"/>
    <w:rsid w:val="00390BE6"/>
    <w:rsid w:val="003913BE"/>
    <w:rsid w:val="00391CB7"/>
    <w:rsid w:val="0039270F"/>
    <w:rsid w:val="00393A48"/>
    <w:rsid w:val="00394AAE"/>
    <w:rsid w:val="00395536"/>
    <w:rsid w:val="00395CB9"/>
    <w:rsid w:val="0039640B"/>
    <w:rsid w:val="0039696E"/>
    <w:rsid w:val="00397C09"/>
    <w:rsid w:val="00397DB1"/>
    <w:rsid w:val="003A001A"/>
    <w:rsid w:val="003A0891"/>
    <w:rsid w:val="003A0F0E"/>
    <w:rsid w:val="003A0FA7"/>
    <w:rsid w:val="003A1091"/>
    <w:rsid w:val="003A2485"/>
    <w:rsid w:val="003A2908"/>
    <w:rsid w:val="003A3127"/>
    <w:rsid w:val="003A3131"/>
    <w:rsid w:val="003A385F"/>
    <w:rsid w:val="003A4059"/>
    <w:rsid w:val="003A4775"/>
    <w:rsid w:val="003A4843"/>
    <w:rsid w:val="003A53B6"/>
    <w:rsid w:val="003A56AC"/>
    <w:rsid w:val="003A587D"/>
    <w:rsid w:val="003A625A"/>
    <w:rsid w:val="003A6331"/>
    <w:rsid w:val="003A63D1"/>
    <w:rsid w:val="003A653B"/>
    <w:rsid w:val="003A706F"/>
    <w:rsid w:val="003A7D02"/>
    <w:rsid w:val="003B0E40"/>
    <w:rsid w:val="003B10E7"/>
    <w:rsid w:val="003B1796"/>
    <w:rsid w:val="003B2067"/>
    <w:rsid w:val="003B212F"/>
    <w:rsid w:val="003B304A"/>
    <w:rsid w:val="003B33A0"/>
    <w:rsid w:val="003B35BB"/>
    <w:rsid w:val="003B36C7"/>
    <w:rsid w:val="003B3712"/>
    <w:rsid w:val="003B3B14"/>
    <w:rsid w:val="003B432F"/>
    <w:rsid w:val="003B49F9"/>
    <w:rsid w:val="003B4CCC"/>
    <w:rsid w:val="003B5082"/>
    <w:rsid w:val="003B54BA"/>
    <w:rsid w:val="003B5512"/>
    <w:rsid w:val="003B56DF"/>
    <w:rsid w:val="003B5D23"/>
    <w:rsid w:val="003B5F81"/>
    <w:rsid w:val="003B638E"/>
    <w:rsid w:val="003B6DB8"/>
    <w:rsid w:val="003C06B7"/>
    <w:rsid w:val="003C0EAA"/>
    <w:rsid w:val="003C1E32"/>
    <w:rsid w:val="003C20A9"/>
    <w:rsid w:val="003C22C1"/>
    <w:rsid w:val="003C34D9"/>
    <w:rsid w:val="003C3E13"/>
    <w:rsid w:val="003C4591"/>
    <w:rsid w:val="003C4B5D"/>
    <w:rsid w:val="003C4C07"/>
    <w:rsid w:val="003C5103"/>
    <w:rsid w:val="003C5F69"/>
    <w:rsid w:val="003C6018"/>
    <w:rsid w:val="003C67E0"/>
    <w:rsid w:val="003C7159"/>
    <w:rsid w:val="003C73C3"/>
    <w:rsid w:val="003C7F06"/>
    <w:rsid w:val="003D030F"/>
    <w:rsid w:val="003D0498"/>
    <w:rsid w:val="003D0D7E"/>
    <w:rsid w:val="003D0E4F"/>
    <w:rsid w:val="003D14FC"/>
    <w:rsid w:val="003D197D"/>
    <w:rsid w:val="003D2D6F"/>
    <w:rsid w:val="003D2DB1"/>
    <w:rsid w:val="003D30D9"/>
    <w:rsid w:val="003D32A1"/>
    <w:rsid w:val="003D350F"/>
    <w:rsid w:val="003D3621"/>
    <w:rsid w:val="003D36CA"/>
    <w:rsid w:val="003D407F"/>
    <w:rsid w:val="003D4A65"/>
    <w:rsid w:val="003D52BC"/>
    <w:rsid w:val="003D55B2"/>
    <w:rsid w:val="003D56D4"/>
    <w:rsid w:val="003D5E9F"/>
    <w:rsid w:val="003D5F12"/>
    <w:rsid w:val="003D657A"/>
    <w:rsid w:val="003D70F0"/>
    <w:rsid w:val="003D784D"/>
    <w:rsid w:val="003E0196"/>
    <w:rsid w:val="003E0B04"/>
    <w:rsid w:val="003E13CA"/>
    <w:rsid w:val="003E170E"/>
    <w:rsid w:val="003E2049"/>
    <w:rsid w:val="003E21AE"/>
    <w:rsid w:val="003E23AF"/>
    <w:rsid w:val="003E2D38"/>
    <w:rsid w:val="003E335D"/>
    <w:rsid w:val="003E3DBE"/>
    <w:rsid w:val="003E3EDC"/>
    <w:rsid w:val="003E3EEF"/>
    <w:rsid w:val="003E41A9"/>
    <w:rsid w:val="003E4659"/>
    <w:rsid w:val="003E59F1"/>
    <w:rsid w:val="003E6826"/>
    <w:rsid w:val="003F0657"/>
    <w:rsid w:val="003F081C"/>
    <w:rsid w:val="003F09E3"/>
    <w:rsid w:val="003F0FE3"/>
    <w:rsid w:val="003F10AA"/>
    <w:rsid w:val="003F13AD"/>
    <w:rsid w:val="003F2634"/>
    <w:rsid w:val="003F2BFC"/>
    <w:rsid w:val="003F2FF0"/>
    <w:rsid w:val="003F3799"/>
    <w:rsid w:val="003F37CC"/>
    <w:rsid w:val="003F3952"/>
    <w:rsid w:val="003F3CFA"/>
    <w:rsid w:val="003F3D85"/>
    <w:rsid w:val="003F41AB"/>
    <w:rsid w:val="003F42A8"/>
    <w:rsid w:val="003F44B5"/>
    <w:rsid w:val="003F4A75"/>
    <w:rsid w:val="003F4D2A"/>
    <w:rsid w:val="003F59C7"/>
    <w:rsid w:val="003F64C2"/>
    <w:rsid w:val="003F6CB3"/>
    <w:rsid w:val="003F6D29"/>
    <w:rsid w:val="003F7645"/>
    <w:rsid w:val="003F7E6A"/>
    <w:rsid w:val="0040006A"/>
    <w:rsid w:val="0040042D"/>
    <w:rsid w:val="004004E1"/>
    <w:rsid w:val="00403045"/>
    <w:rsid w:val="0040402E"/>
    <w:rsid w:val="0040454C"/>
    <w:rsid w:val="00404A8D"/>
    <w:rsid w:val="00405B0C"/>
    <w:rsid w:val="00405CC7"/>
    <w:rsid w:val="00405ED7"/>
    <w:rsid w:val="00406203"/>
    <w:rsid w:val="00406416"/>
    <w:rsid w:val="00407360"/>
    <w:rsid w:val="00410541"/>
    <w:rsid w:val="00410F43"/>
    <w:rsid w:val="00411187"/>
    <w:rsid w:val="00411220"/>
    <w:rsid w:val="0041143A"/>
    <w:rsid w:val="00412E47"/>
    <w:rsid w:val="0041326B"/>
    <w:rsid w:val="00413509"/>
    <w:rsid w:val="00413740"/>
    <w:rsid w:val="00413742"/>
    <w:rsid w:val="00414B5D"/>
    <w:rsid w:val="004152DE"/>
    <w:rsid w:val="0041591E"/>
    <w:rsid w:val="00415DE6"/>
    <w:rsid w:val="004164B0"/>
    <w:rsid w:val="00416929"/>
    <w:rsid w:val="00416C35"/>
    <w:rsid w:val="00417435"/>
    <w:rsid w:val="0041780C"/>
    <w:rsid w:val="00417DF5"/>
    <w:rsid w:val="00420D66"/>
    <w:rsid w:val="00421410"/>
    <w:rsid w:val="00421844"/>
    <w:rsid w:val="00421999"/>
    <w:rsid w:val="00422B73"/>
    <w:rsid w:val="00423939"/>
    <w:rsid w:val="004239B7"/>
    <w:rsid w:val="00423AA8"/>
    <w:rsid w:val="00423E58"/>
    <w:rsid w:val="00424053"/>
    <w:rsid w:val="004241AA"/>
    <w:rsid w:val="00424741"/>
    <w:rsid w:val="00424B41"/>
    <w:rsid w:val="00424F75"/>
    <w:rsid w:val="00425898"/>
    <w:rsid w:val="00426035"/>
    <w:rsid w:val="00426507"/>
    <w:rsid w:val="00426681"/>
    <w:rsid w:val="00426DF5"/>
    <w:rsid w:val="0042743E"/>
    <w:rsid w:val="00427BF2"/>
    <w:rsid w:val="004301CF"/>
    <w:rsid w:val="0043031B"/>
    <w:rsid w:val="0043069E"/>
    <w:rsid w:val="004309E1"/>
    <w:rsid w:val="00431175"/>
    <w:rsid w:val="0043161C"/>
    <w:rsid w:val="00431BFD"/>
    <w:rsid w:val="00432B21"/>
    <w:rsid w:val="00432BDC"/>
    <w:rsid w:val="004335F4"/>
    <w:rsid w:val="0043379A"/>
    <w:rsid w:val="00434992"/>
    <w:rsid w:val="00434B35"/>
    <w:rsid w:val="00434D82"/>
    <w:rsid w:val="0043525F"/>
    <w:rsid w:val="00435876"/>
    <w:rsid w:val="00435942"/>
    <w:rsid w:val="00436201"/>
    <w:rsid w:val="00436746"/>
    <w:rsid w:val="00436CC4"/>
    <w:rsid w:val="00436FA4"/>
    <w:rsid w:val="0043776F"/>
    <w:rsid w:val="00437AB4"/>
    <w:rsid w:val="00440146"/>
    <w:rsid w:val="00440573"/>
    <w:rsid w:val="00440908"/>
    <w:rsid w:val="004409F7"/>
    <w:rsid w:val="00441906"/>
    <w:rsid w:val="00441EE2"/>
    <w:rsid w:val="0044223B"/>
    <w:rsid w:val="00443400"/>
    <w:rsid w:val="004434D2"/>
    <w:rsid w:val="0044376D"/>
    <w:rsid w:val="004439D3"/>
    <w:rsid w:val="00444290"/>
    <w:rsid w:val="00444555"/>
    <w:rsid w:val="00444C84"/>
    <w:rsid w:val="00445267"/>
    <w:rsid w:val="00445612"/>
    <w:rsid w:val="00446330"/>
    <w:rsid w:val="004464BE"/>
    <w:rsid w:val="00446BB6"/>
    <w:rsid w:val="00446BB9"/>
    <w:rsid w:val="004470A8"/>
    <w:rsid w:val="0044746E"/>
    <w:rsid w:val="0044783C"/>
    <w:rsid w:val="00447ECA"/>
    <w:rsid w:val="00450E42"/>
    <w:rsid w:val="00451768"/>
    <w:rsid w:val="004519CD"/>
    <w:rsid w:val="004529F2"/>
    <w:rsid w:val="00452D67"/>
    <w:rsid w:val="00452E22"/>
    <w:rsid w:val="00452F61"/>
    <w:rsid w:val="00453256"/>
    <w:rsid w:val="004535F4"/>
    <w:rsid w:val="00453670"/>
    <w:rsid w:val="004538C0"/>
    <w:rsid w:val="00453B33"/>
    <w:rsid w:val="00453DC5"/>
    <w:rsid w:val="00455500"/>
    <w:rsid w:val="004558E8"/>
    <w:rsid w:val="00456243"/>
    <w:rsid w:val="004563AD"/>
    <w:rsid w:val="004564BC"/>
    <w:rsid w:val="0045660D"/>
    <w:rsid w:val="00456947"/>
    <w:rsid w:val="00456C5A"/>
    <w:rsid w:val="004570FC"/>
    <w:rsid w:val="00460131"/>
    <w:rsid w:val="0046031A"/>
    <w:rsid w:val="00460355"/>
    <w:rsid w:val="00461500"/>
    <w:rsid w:val="00461531"/>
    <w:rsid w:val="00461B74"/>
    <w:rsid w:val="00462F24"/>
    <w:rsid w:val="00463610"/>
    <w:rsid w:val="0046386E"/>
    <w:rsid w:val="0046392C"/>
    <w:rsid w:val="00463ABC"/>
    <w:rsid w:val="00463C85"/>
    <w:rsid w:val="00463D0C"/>
    <w:rsid w:val="004642C0"/>
    <w:rsid w:val="00465296"/>
    <w:rsid w:val="004661FD"/>
    <w:rsid w:val="00466376"/>
    <w:rsid w:val="004663FE"/>
    <w:rsid w:val="00466627"/>
    <w:rsid w:val="0046716B"/>
    <w:rsid w:val="00467E6C"/>
    <w:rsid w:val="0047079A"/>
    <w:rsid w:val="004717F6"/>
    <w:rsid w:val="004725ED"/>
    <w:rsid w:val="004728F8"/>
    <w:rsid w:val="004738EF"/>
    <w:rsid w:val="00473B8B"/>
    <w:rsid w:val="00473E5F"/>
    <w:rsid w:val="00474488"/>
    <w:rsid w:val="004747D0"/>
    <w:rsid w:val="0047494D"/>
    <w:rsid w:val="00474F38"/>
    <w:rsid w:val="004751AD"/>
    <w:rsid w:val="0047535C"/>
    <w:rsid w:val="00475698"/>
    <w:rsid w:val="00475858"/>
    <w:rsid w:val="00475884"/>
    <w:rsid w:val="00475C92"/>
    <w:rsid w:val="0047635A"/>
    <w:rsid w:val="00476832"/>
    <w:rsid w:val="00476996"/>
    <w:rsid w:val="00476D14"/>
    <w:rsid w:val="00476EEE"/>
    <w:rsid w:val="00477563"/>
    <w:rsid w:val="00477B54"/>
    <w:rsid w:val="00477D4E"/>
    <w:rsid w:val="00480215"/>
    <w:rsid w:val="004805A2"/>
    <w:rsid w:val="004809BB"/>
    <w:rsid w:val="00480B19"/>
    <w:rsid w:val="00480E33"/>
    <w:rsid w:val="004814F7"/>
    <w:rsid w:val="004815CB"/>
    <w:rsid w:val="00481947"/>
    <w:rsid w:val="00482267"/>
    <w:rsid w:val="0048265E"/>
    <w:rsid w:val="004829E7"/>
    <w:rsid w:val="00482C73"/>
    <w:rsid w:val="00482E56"/>
    <w:rsid w:val="00482E8C"/>
    <w:rsid w:val="0048333F"/>
    <w:rsid w:val="004836EE"/>
    <w:rsid w:val="004838BB"/>
    <w:rsid w:val="004839A1"/>
    <w:rsid w:val="00483DC1"/>
    <w:rsid w:val="004841AA"/>
    <w:rsid w:val="004846F4"/>
    <w:rsid w:val="004847EB"/>
    <w:rsid w:val="0048493A"/>
    <w:rsid w:val="004849C7"/>
    <w:rsid w:val="00484EA3"/>
    <w:rsid w:val="00485154"/>
    <w:rsid w:val="00485A1C"/>
    <w:rsid w:val="00486285"/>
    <w:rsid w:val="0048630B"/>
    <w:rsid w:val="00486CF2"/>
    <w:rsid w:val="00486FAF"/>
    <w:rsid w:val="0048715F"/>
    <w:rsid w:val="00487550"/>
    <w:rsid w:val="00487972"/>
    <w:rsid w:val="004902B1"/>
    <w:rsid w:val="00490405"/>
    <w:rsid w:val="00490741"/>
    <w:rsid w:val="00490747"/>
    <w:rsid w:val="004907E3"/>
    <w:rsid w:val="004909E5"/>
    <w:rsid w:val="00490C3F"/>
    <w:rsid w:val="00490C7B"/>
    <w:rsid w:val="00490C95"/>
    <w:rsid w:val="00490D25"/>
    <w:rsid w:val="00491076"/>
    <w:rsid w:val="004913C9"/>
    <w:rsid w:val="004929DB"/>
    <w:rsid w:val="00493047"/>
    <w:rsid w:val="00493CAE"/>
    <w:rsid w:val="00494A60"/>
    <w:rsid w:val="00494CFD"/>
    <w:rsid w:val="004958BB"/>
    <w:rsid w:val="00497094"/>
    <w:rsid w:val="00497A4A"/>
    <w:rsid w:val="00497AFB"/>
    <w:rsid w:val="00497E89"/>
    <w:rsid w:val="004A01ED"/>
    <w:rsid w:val="004A035E"/>
    <w:rsid w:val="004A068B"/>
    <w:rsid w:val="004A0808"/>
    <w:rsid w:val="004A0978"/>
    <w:rsid w:val="004A0B10"/>
    <w:rsid w:val="004A0D60"/>
    <w:rsid w:val="004A0E20"/>
    <w:rsid w:val="004A0ED7"/>
    <w:rsid w:val="004A117A"/>
    <w:rsid w:val="004A1411"/>
    <w:rsid w:val="004A17EB"/>
    <w:rsid w:val="004A2000"/>
    <w:rsid w:val="004A21A9"/>
    <w:rsid w:val="004A49AC"/>
    <w:rsid w:val="004A4DA9"/>
    <w:rsid w:val="004A4F70"/>
    <w:rsid w:val="004A51D3"/>
    <w:rsid w:val="004A5F9B"/>
    <w:rsid w:val="004A6C4E"/>
    <w:rsid w:val="004A6F2E"/>
    <w:rsid w:val="004A7649"/>
    <w:rsid w:val="004A7CDE"/>
    <w:rsid w:val="004B0017"/>
    <w:rsid w:val="004B15EC"/>
    <w:rsid w:val="004B19B0"/>
    <w:rsid w:val="004B1D45"/>
    <w:rsid w:val="004B2014"/>
    <w:rsid w:val="004B23EB"/>
    <w:rsid w:val="004B2BFA"/>
    <w:rsid w:val="004B3428"/>
    <w:rsid w:val="004B342A"/>
    <w:rsid w:val="004B34D4"/>
    <w:rsid w:val="004B4161"/>
    <w:rsid w:val="004B4546"/>
    <w:rsid w:val="004B4D81"/>
    <w:rsid w:val="004B4D87"/>
    <w:rsid w:val="004B4DB8"/>
    <w:rsid w:val="004B4F9C"/>
    <w:rsid w:val="004B53D6"/>
    <w:rsid w:val="004B5CDE"/>
    <w:rsid w:val="004B6268"/>
    <w:rsid w:val="004B65DC"/>
    <w:rsid w:val="004B700D"/>
    <w:rsid w:val="004C0F17"/>
    <w:rsid w:val="004C1170"/>
    <w:rsid w:val="004C2898"/>
    <w:rsid w:val="004C3801"/>
    <w:rsid w:val="004C3966"/>
    <w:rsid w:val="004C3E30"/>
    <w:rsid w:val="004C3F91"/>
    <w:rsid w:val="004C4E54"/>
    <w:rsid w:val="004C5CA1"/>
    <w:rsid w:val="004C5D1E"/>
    <w:rsid w:val="004C624E"/>
    <w:rsid w:val="004C677E"/>
    <w:rsid w:val="004C7049"/>
    <w:rsid w:val="004C7699"/>
    <w:rsid w:val="004C76C8"/>
    <w:rsid w:val="004C790F"/>
    <w:rsid w:val="004C7CC8"/>
    <w:rsid w:val="004D0E31"/>
    <w:rsid w:val="004D104C"/>
    <w:rsid w:val="004D1706"/>
    <w:rsid w:val="004D1D29"/>
    <w:rsid w:val="004D1EBD"/>
    <w:rsid w:val="004D1F89"/>
    <w:rsid w:val="004D248B"/>
    <w:rsid w:val="004D2623"/>
    <w:rsid w:val="004D31A3"/>
    <w:rsid w:val="004D37EC"/>
    <w:rsid w:val="004D3A6E"/>
    <w:rsid w:val="004D4112"/>
    <w:rsid w:val="004D47B1"/>
    <w:rsid w:val="004D4A53"/>
    <w:rsid w:val="004D4B81"/>
    <w:rsid w:val="004D4C54"/>
    <w:rsid w:val="004D533F"/>
    <w:rsid w:val="004D5799"/>
    <w:rsid w:val="004D5E7F"/>
    <w:rsid w:val="004D626D"/>
    <w:rsid w:val="004D66C9"/>
    <w:rsid w:val="004D66DC"/>
    <w:rsid w:val="004D67CD"/>
    <w:rsid w:val="004D6D3B"/>
    <w:rsid w:val="004D7490"/>
    <w:rsid w:val="004E060E"/>
    <w:rsid w:val="004E09E4"/>
    <w:rsid w:val="004E0A43"/>
    <w:rsid w:val="004E0D38"/>
    <w:rsid w:val="004E1297"/>
    <w:rsid w:val="004E12F4"/>
    <w:rsid w:val="004E27B9"/>
    <w:rsid w:val="004E29CE"/>
    <w:rsid w:val="004E2FC0"/>
    <w:rsid w:val="004E3B09"/>
    <w:rsid w:val="004E3C56"/>
    <w:rsid w:val="004E438A"/>
    <w:rsid w:val="004E4FFC"/>
    <w:rsid w:val="004E51D4"/>
    <w:rsid w:val="004E5FD5"/>
    <w:rsid w:val="004E60F1"/>
    <w:rsid w:val="004E6F3E"/>
    <w:rsid w:val="004E74BC"/>
    <w:rsid w:val="004E7BBE"/>
    <w:rsid w:val="004F087B"/>
    <w:rsid w:val="004F0D21"/>
    <w:rsid w:val="004F16A2"/>
    <w:rsid w:val="004F1B80"/>
    <w:rsid w:val="004F1DC9"/>
    <w:rsid w:val="004F1E16"/>
    <w:rsid w:val="004F2151"/>
    <w:rsid w:val="004F2222"/>
    <w:rsid w:val="004F2A24"/>
    <w:rsid w:val="004F2E84"/>
    <w:rsid w:val="004F37A8"/>
    <w:rsid w:val="004F4497"/>
    <w:rsid w:val="004F45E0"/>
    <w:rsid w:val="004F49B9"/>
    <w:rsid w:val="004F586C"/>
    <w:rsid w:val="004F606A"/>
    <w:rsid w:val="004F6245"/>
    <w:rsid w:val="004F65B5"/>
    <w:rsid w:val="004F68B7"/>
    <w:rsid w:val="004F690A"/>
    <w:rsid w:val="004F6C7B"/>
    <w:rsid w:val="004F75E1"/>
    <w:rsid w:val="004F7849"/>
    <w:rsid w:val="004F7B3B"/>
    <w:rsid w:val="00500797"/>
    <w:rsid w:val="00500C04"/>
    <w:rsid w:val="00500CA4"/>
    <w:rsid w:val="00500F19"/>
    <w:rsid w:val="0050117C"/>
    <w:rsid w:val="005013E7"/>
    <w:rsid w:val="0050228F"/>
    <w:rsid w:val="00502E11"/>
    <w:rsid w:val="00502E61"/>
    <w:rsid w:val="0050300F"/>
    <w:rsid w:val="005034C7"/>
    <w:rsid w:val="00503E28"/>
    <w:rsid w:val="00503F26"/>
    <w:rsid w:val="0050476D"/>
    <w:rsid w:val="00504AB7"/>
    <w:rsid w:val="00505B57"/>
    <w:rsid w:val="00505B9E"/>
    <w:rsid w:val="00505BAF"/>
    <w:rsid w:val="00505E01"/>
    <w:rsid w:val="0050648E"/>
    <w:rsid w:val="005067E2"/>
    <w:rsid w:val="00507390"/>
    <w:rsid w:val="0050795F"/>
    <w:rsid w:val="005110E7"/>
    <w:rsid w:val="00511B6D"/>
    <w:rsid w:val="00511FF8"/>
    <w:rsid w:val="00512317"/>
    <w:rsid w:val="00512902"/>
    <w:rsid w:val="0051294A"/>
    <w:rsid w:val="0051390C"/>
    <w:rsid w:val="005143BE"/>
    <w:rsid w:val="00514499"/>
    <w:rsid w:val="00514771"/>
    <w:rsid w:val="00514B5C"/>
    <w:rsid w:val="00514E06"/>
    <w:rsid w:val="00514FAE"/>
    <w:rsid w:val="00514FD9"/>
    <w:rsid w:val="0051591F"/>
    <w:rsid w:val="00516600"/>
    <w:rsid w:val="005168E3"/>
    <w:rsid w:val="00516C24"/>
    <w:rsid w:val="00516D2B"/>
    <w:rsid w:val="00517004"/>
    <w:rsid w:val="005178E8"/>
    <w:rsid w:val="00517F8E"/>
    <w:rsid w:val="00520365"/>
    <w:rsid w:val="005208AE"/>
    <w:rsid w:val="0052120A"/>
    <w:rsid w:val="005220C3"/>
    <w:rsid w:val="0052213F"/>
    <w:rsid w:val="0052279E"/>
    <w:rsid w:val="005227E8"/>
    <w:rsid w:val="00522A20"/>
    <w:rsid w:val="00522A8C"/>
    <w:rsid w:val="00522B91"/>
    <w:rsid w:val="00523248"/>
    <w:rsid w:val="005233C8"/>
    <w:rsid w:val="00523400"/>
    <w:rsid w:val="00524519"/>
    <w:rsid w:val="0052508B"/>
    <w:rsid w:val="0052566A"/>
    <w:rsid w:val="00525DCB"/>
    <w:rsid w:val="00526520"/>
    <w:rsid w:val="005277E2"/>
    <w:rsid w:val="005279C5"/>
    <w:rsid w:val="00527BFB"/>
    <w:rsid w:val="00527C56"/>
    <w:rsid w:val="00527D00"/>
    <w:rsid w:val="00531234"/>
    <w:rsid w:val="0053140A"/>
    <w:rsid w:val="00531BA5"/>
    <w:rsid w:val="00531F10"/>
    <w:rsid w:val="00532175"/>
    <w:rsid w:val="0053227A"/>
    <w:rsid w:val="005324D0"/>
    <w:rsid w:val="0053273F"/>
    <w:rsid w:val="00532F75"/>
    <w:rsid w:val="00532F88"/>
    <w:rsid w:val="00533172"/>
    <w:rsid w:val="00533290"/>
    <w:rsid w:val="00533869"/>
    <w:rsid w:val="005339B3"/>
    <w:rsid w:val="00533DFD"/>
    <w:rsid w:val="005342BE"/>
    <w:rsid w:val="005344D8"/>
    <w:rsid w:val="00534752"/>
    <w:rsid w:val="00534A43"/>
    <w:rsid w:val="00534B15"/>
    <w:rsid w:val="00534C19"/>
    <w:rsid w:val="00534E3A"/>
    <w:rsid w:val="00534EEF"/>
    <w:rsid w:val="00535016"/>
    <w:rsid w:val="005357B2"/>
    <w:rsid w:val="00535D55"/>
    <w:rsid w:val="00535FCD"/>
    <w:rsid w:val="00537226"/>
    <w:rsid w:val="0053739A"/>
    <w:rsid w:val="00537BC2"/>
    <w:rsid w:val="00537DC5"/>
    <w:rsid w:val="00537E2B"/>
    <w:rsid w:val="005400ED"/>
    <w:rsid w:val="00540135"/>
    <w:rsid w:val="0054089F"/>
    <w:rsid w:val="00541080"/>
    <w:rsid w:val="0054157D"/>
    <w:rsid w:val="00541938"/>
    <w:rsid w:val="00542845"/>
    <w:rsid w:val="0054327E"/>
    <w:rsid w:val="00543B35"/>
    <w:rsid w:val="00543FE8"/>
    <w:rsid w:val="0054485A"/>
    <w:rsid w:val="00544991"/>
    <w:rsid w:val="00544CBE"/>
    <w:rsid w:val="005455BD"/>
    <w:rsid w:val="00545B32"/>
    <w:rsid w:val="00545EB7"/>
    <w:rsid w:val="00545F27"/>
    <w:rsid w:val="00546333"/>
    <w:rsid w:val="00546793"/>
    <w:rsid w:val="00546A7F"/>
    <w:rsid w:val="00546B23"/>
    <w:rsid w:val="00547036"/>
    <w:rsid w:val="00547200"/>
    <w:rsid w:val="00550038"/>
    <w:rsid w:val="005509DB"/>
    <w:rsid w:val="00550DAD"/>
    <w:rsid w:val="005512EF"/>
    <w:rsid w:val="00551356"/>
    <w:rsid w:val="00551744"/>
    <w:rsid w:val="0055188B"/>
    <w:rsid w:val="00551B82"/>
    <w:rsid w:val="00551BDB"/>
    <w:rsid w:val="00551EEC"/>
    <w:rsid w:val="005534DA"/>
    <w:rsid w:val="00553556"/>
    <w:rsid w:val="00553A28"/>
    <w:rsid w:val="00553CB2"/>
    <w:rsid w:val="00553FF2"/>
    <w:rsid w:val="005546FF"/>
    <w:rsid w:val="00555153"/>
    <w:rsid w:val="00555217"/>
    <w:rsid w:val="00555979"/>
    <w:rsid w:val="00555A12"/>
    <w:rsid w:val="00556067"/>
    <w:rsid w:val="00556258"/>
    <w:rsid w:val="00556263"/>
    <w:rsid w:val="005572F4"/>
    <w:rsid w:val="0055783E"/>
    <w:rsid w:val="00557D38"/>
    <w:rsid w:val="00560331"/>
    <w:rsid w:val="00560A99"/>
    <w:rsid w:val="00561B4A"/>
    <w:rsid w:val="00561ED5"/>
    <w:rsid w:val="00561EDE"/>
    <w:rsid w:val="00561F9C"/>
    <w:rsid w:val="005626E5"/>
    <w:rsid w:val="00562807"/>
    <w:rsid w:val="00562B36"/>
    <w:rsid w:val="00562DA1"/>
    <w:rsid w:val="005634B9"/>
    <w:rsid w:val="005646F8"/>
    <w:rsid w:val="00564C35"/>
    <w:rsid w:val="00564F1A"/>
    <w:rsid w:val="00564FB7"/>
    <w:rsid w:val="00565428"/>
    <w:rsid w:val="00565503"/>
    <w:rsid w:val="005657A1"/>
    <w:rsid w:val="005659D8"/>
    <w:rsid w:val="00566060"/>
    <w:rsid w:val="005663F0"/>
    <w:rsid w:val="005668FF"/>
    <w:rsid w:val="00566BB4"/>
    <w:rsid w:val="00566D83"/>
    <w:rsid w:val="00566F39"/>
    <w:rsid w:val="005677EF"/>
    <w:rsid w:val="00567841"/>
    <w:rsid w:val="005678EB"/>
    <w:rsid w:val="00567F60"/>
    <w:rsid w:val="005702C4"/>
    <w:rsid w:val="0057081D"/>
    <w:rsid w:val="00570DF1"/>
    <w:rsid w:val="00570FCD"/>
    <w:rsid w:val="0057134B"/>
    <w:rsid w:val="00571A1A"/>
    <w:rsid w:val="00572B5F"/>
    <w:rsid w:val="00572FD8"/>
    <w:rsid w:val="005735E7"/>
    <w:rsid w:val="00573AC1"/>
    <w:rsid w:val="00573DEB"/>
    <w:rsid w:val="005740EB"/>
    <w:rsid w:val="005741E9"/>
    <w:rsid w:val="005742A4"/>
    <w:rsid w:val="0057514E"/>
    <w:rsid w:val="00575ACA"/>
    <w:rsid w:val="00575C43"/>
    <w:rsid w:val="0057605A"/>
    <w:rsid w:val="00576A29"/>
    <w:rsid w:val="00576E94"/>
    <w:rsid w:val="005803DB"/>
    <w:rsid w:val="00580A51"/>
    <w:rsid w:val="00580D68"/>
    <w:rsid w:val="00581DD6"/>
    <w:rsid w:val="00581EFD"/>
    <w:rsid w:val="00582BAF"/>
    <w:rsid w:val="00582CA0"/>
    <w:rsid w:val="0058321B"/>
    <w:rsid w:val="005832DE"/>
    <w:rsid w:val="00583383"/>
    <w:rsid w:val="005835BE"/>
    <w:rsid w:val="0058387E"/>
    <w:rsid w:val="005843B5"/>
    <w:rsid w:val="005844D4"/>
    <w:rsid w:val="00585CD4"/>
    <w:rsid w:val="005864E1"/>
    <w:rsid w:val="005865FF"/>
    <w:rsid w:val="0058677A"/>
    <w:rsid w:val="0058680C"/>
    <w:rsid w:val="00587D38"/>
    <w:rsid w:val="0059062B"/>
    <w:rsid w:val="005908D5"/>
    <w:rsid w:val="00590C16"/>
    <w:rsid w:val="00591F70"/>
    <w:rsid w:val="005923EB"/>
    <w:rsid w:val="00592A35"/>
    <w:rsid w:val="00592EAD"/>
    <w:rsid w:val="00592FBB"/>
    <w:rsid w:val="00593D1F"/>
    <w:rsid w:val="00594179"/>
    <w:rsid w:val="00594915"/>
    <w:rsid w:val="0059495F"/>
    <w:rsid w:val="005952BD"/>
    <w:rsid w:val="0059533F"/>
    <w:rsid w:val="005958C9"/>
    <w:rsid w:val="00595C11"/>
    <w:rsid w:val="0059617E"/>
    <w:rsid w:val="005961E1"/>
    <w:rsid w:val="00596DC8"/>
    <w:rsid w:val="005970CD"/>
    <w:rsid w:val="0059759A"/>
    <w:rsid w:val="0059789F"/>
    <w:rsid w:val="005A184D"/>
    <w:rsid w:val="005A18BC"/>
    <w:rsid w:val="005A1C0F"/>
    <w:rsid w:val="005A1C1E"/>
    <w:rsid w:val="005A1C7B"/>
    <w:rsid w:val="005A2219"/>
    <w:rsid w:val="005A225A"/>
    <w:rsid w:val="005A28CA"/>
    <w:rsid w:val="005A2E21"/>
    <w:rsid w:val="005A326B"/>
    <w:rsid w:val="005A33F7"/>
    <w:rsid w:val="005A4D34"/>
    <w:rsid w:val="005A5453"/>
    <w:rsid w:val="005A56F6"/>
    <w:rsid w:val="005A67A9"/>
    <w:rsid w:val="005A67F5"/>
    <w:rsid w:val="005A6AE9"/>
    <w:rsid w:val="005A6E2B"/>
    <w:rsid w:val="005A710B"/>
    <w:rsid w:val="005A7B39"/>
    <w:rsid w:val="005A7C7A"/>
    <w:rsid w:val="005B0309"/>
    <w:rsid w:val="005B1687"/>
    <w:rsid w:val="005B296E"/>
    <w:rsid w:val="005B2A32"/>
    <w:rsid w:val="005B2C5B"/>
    <w:rsid w:val="005B3C58"/>
    <w:rsid w:val="005B43D8"/>
    <w:rsid w:val="005B5071"/>
    <w:rsid w:val="005B5BA0"/>
    <w:rsid w:val="005B5F4B"/>
    <w:rsid w:val="005B6441"/>
    <w:rsid w:val="005B64E6"/>
    <w:rsid w:val="005B7578"/>
    <w:rsid w:val="005C0232"/>
    <w:rsid w:val="005C080E"/>
    <w:rsid w:val="005C0BFB"/>
    <w:rsid w:val="005C0D72"/>
    <w:rsid w:val="005C1A1C"/>
    <w:rsid w:val="005C1D70"/>
    <w:rsid w:val="005C2848"/>
    <w:rsid w:val="005C295A"/>
    <w:rsid w:val="005C2A29"/>
    <w:rsid w:val="005C2E30"/>
    <w:rsid w:val="005C3115"/>
    <w:rsid w:val="005C3A12"/>
    <w:rsid w:val="005C3F2D"/>
    <w:rsid w:val="005C4A7A"/>
    <w:rsid w:val="005C4E1B"/>
    <w:rsid w:val="005C5276"/>
    <w:rsid w:val="005C543C"/>
    <w:rsid w:val="005C5BF1"/>
    <w:rsid w:val="005C6008"/>
    <w:rsid w:val="005C64A4"/>
    <w:rsid w:val="005C6AAB"/>
    <w:rsid w:val="005C7325"/>
    <w:rsid w:val="005C7584"/>
    <w:rsid w:val="005C7BC6"/>
    <w:rsid w:val="005D11FF"/>
    <w:rsid w:val="005D2147"/>
    <w:rsid w:val="005D268B"/>
    <w:rsid w:val="005D2CD8"/>
    <w:rsid w:val="005D2D88"/>
    <w:rsid w:val="005D405D"/>
    <w:rsid w:val="005D4471"/>
    <w:rsid w:val="005D4E22"/>
    <w:rsid w:val="005D5890"/>
    <w:rsid w:val="005D58E2"/>
    <w:rsid w:val="005D5F9C"/>
    <w:rsid w:val="005D6B78"/>
    <w:rsid w:val="005D7086"/>
    <w:rsid w:val="005D7475"/>
    <w:rsid w:val="005E0170"/>
    <w:rsid w:val="005E03E0"/>
    <w:rsid w:val="005E044F"/>
    <w:rsid w:val="005E0AD7"/>
    <w:rsid w:val="005E0BBA"/>
    <w:rsid w:val="005E116D"/>
    <w:rsid w:val="005E147C"/>
    <w:rsid w:val="005E1A71"/>
    <w:rsid w:val="005E1EAE"/>
    <w:rsid w:val="005E20D8"/>
    <w:rsid w:val="005E2421"/>
    <w:rsid w:val="005E2675"/>
    <w:rsid w:val="005E272A"/>
    <w:rsid w:val="005E2E53"/>
    <w:rsid w:val="005E3A23"/>
    <w:rsid w:val="005E441E"/>
    <w:rsid w:val="005E4450"/>
    <w:rsid w:val="005E4811"/>
    <w:rsid w:val="005E4E5F"/>
    <w:rsid w:val="005E5351"/>
    <w:rsid w:val="005E62F3"/>
    <w:rsid w:val="005E63B6"/>
    <w:rsid w:val="005E6E02"/>
    <w:rsid w:val="005E72EF"/>
    <w:rsid w:val="005E7313"/>
    <w:rsid w:val="005F00A7"/>
    <w:rsid w:val="005F09E4"/>
    <w:rsid w:val="005F1095"/>
    <w:rsid w:val="005F1AED"/>
    <w:rsid w:val="005F1B46"/>
    <w:rsid w:val="005F1CFF"/>
    <w:rsid w:val="005F1FCA"/>
    <w:rsid w:val="005F2806"/>
    <w:rsid w:val="005F2BC4"/>
    <w:rsid w:val="005F3642"/>
    <w:rsid w:val="005F3648"/>
    <w:rsid w:val="005F3674"/>
    <w:rsid w:val="005F396E"/>
    <w:rsid w:val="005F3FF2"/>
    <w:rsid w:val="005F466C"/>
    <w:rsid w:val="005F4FA4"/>
    <w:rsid w:val="005F5F92"/>
    <w:rsid w:val="005F76CF"/>
    <w:rsid w:val="005F78EA"/>
    <w:rsid w:val="00600560"/>
    <w:rsid w:val="00600CA0"/>
    <w:rsid w:val="00601357"/>
    <w:rsid w:val="006013EF"/>
    <w:rsid w:val="0060188C"/>
    <w:rsid w:val="00601AA7"/>
    <w:rsid w:val="00601C5A"/>
    <w:rsid w:val="0060241E"/>
    <w:rsid w:val="0060282F"/>
    <w:rsid w:val="006028CC"/>
    <w:rsid w:val="00602C5E"/>
    <w:rsid w:val="00603465"/>
    <w:rsid w:val="00603CF1"/>
    <w:rsid w:val="006044EE"/>
    <w:rsid w:val="00604565"/>
    <w:rsid w:val="00604D60"/>
    <w:rsid w:val="0060579D"/>
    <w:rsid w:val="0060585D"/>
    <w:rsid w:val="00605984"/>
    <w:rsid w:val="00605CBC"/>
    <w:rsid w:val="00605D6F"/>
    <w:rsid w:val="00606257"/>
    <w:rsid w:val="00606798"/>
    <w:rsid w:val="00606DF8"/>
    <w:rsid w:val="00607037"/>
    <w:rsid w:val="00607BE6"/>
    <w:rsid w:val="0061034F"/>
    <w:rsid w:val="00610A88"/>
    <w:rsid w:val="00610F85"/>
    <w:rsid w:val="006121A2"/>
    <w:rsid w:val="0061223E"/>
    <w:rsid w:val="006123E4"/>
    <w:rsid w:val="00612860"/>
    <w:rsid w:val="00612A18"/>
    <w:rsid w:val="00612E32"/>
    <w:rsid w:val="00613395"/>
    <w:rsid w:val="00613E76"/>
    <w:rsid w:val="00615159"/>
    <w:rsid w:val="00615B89"/>
    <w:rsid w:val="00616679"/>
    <w:rsid w:val="006172F7"/>
    <w:rsid w:val="00617427"/>
    <w:rsid w:val="00617434"/>
    <w:rsid w:val="006201D6"/>
    <w:rsid w:val="00620221"/>
    <w:rsid w:val="00620641"/>
    <w:rsid w:val="00620963"/>
    <w:rsid w:val="00621A10"/>
    <w:rsid w:val="00621A2D"/>
    <w:rsid w:val="00621A63"/>
    <w:rsid w:val="006220FE"/>
    <w:rsid w:val="00623200"/>
    <w:rsid w:val="00623618"/>
    <w:rsid w:val="0062361B"/>
    <w:rsid w:val="006243FB"/>
    <w:rsid w:val="006245BB"/>
    <w:rsid w:val="006250D0"/>
    <w:rsid w:val="00625168"/>
    <w:rsid w:val="00625E47"/>
    <w:rsid w:val="00626565"/>
    <w:rsid w:val="0062681A"/>
    <w:rsid w:val="00626D34"/>
    <w:rsid w:val="0062704B"/>
    <w:rsid w:val="0062733C"/>
    <w:rsid w:val="0062756E"/>
    <w:rsid w:val="00627754"/>
    <w:rsid w:val="00630456"/>
    <w:rsid w:val="00630572"/>
    <w:rsid w:val="00630B96"/>
    <w:rsid w:val="0063105D"/>
    <w:rsid w:val="0063129E"/>
    <w:rsid w:val="0063149E"/>
    <w:rsid w:val="0063191D"/>
    <w:rsid w:val="00631B3F"/>
    <w:rsid w:val="006321EB"/>
    <w:rsid w:val="00632B32"/>
    <w:rsid w:val="00632B4B"/>
    <w:rsid w:val="00633511"/>
    <w:rsid w:val="00633769"/>
    <w:rsid w:val="0063378E"/>
    <w:rsid w:val="0063480B"/>
    <w:rsid w:val="00634D68"/>
    <w:rsid w:val="00634EED"/>
    <w:rsid w:val="00634F36"/>
    <w:rsid w:val="0063565A"/>
    <w:rsid w:val="0063623F"/>
    <w:rsid w:val="006363DF"/>
    <w:rsid w:val="00636D3D"/>
    <w:rsid w:val="0063731B"/>
    <w:rsid w:val="0063782B"/>
    <w:rsid w:val="00637868"/>
    <w:rsid w:val="00637B3B"/>
    <w:rsid w:val="00640737"/>
    <w:rsid w:val="006417F4"/>
    <w:rsid w:val="00642155"/>
    <w:rsid w:val="0064216F"/>
    <w:rsid w:val="006423BE"/>
    <w:rsid w:val="00642501"/>
    <w:rsid w:val="00642A97"/>
    <w:rsid w:val="00642B24"/>
    <w:rsid w:val="006434D2"/>
    <w:rsid w:val="00643F0F"/>
    <w:rsid w:val="00643FA8"/>
    <w:rsid w:val="00644FBF"/>
    <w:rsid w:val="00645095"/>
    <w:rsid w:val="006452CC"/>
    <w:rsid w:val="00645BF0"/>
    <w:rsid w:val="00646202"/>
    <w:rsid w:val="00646288"/>
    <w:rsid w:val="006463B4"/>
    <w:rsid w:val="0064738F"/>
    <w:rsid w:val="00650136"/>
    <w:rsid w:val="00650617"/>
    <w:rsid w:val="006506C5"/>
    <w:rsid w:val="00650781"/>
    <w:rsid w:val="00650B42"/>
    <w:rsid w:val="00650B43"/>
    <w:rsid w:val="00650D4A"/>
    <w:rsid w:val="0065167A"/>
    <w:rsid w:val="0065202B"/>
    <w:rsid w:val="006522AB"/>
    <w:rsid w:val="00652C4B"/>
    <w:rsid w:val="00652D93"/>
    <w:rsid w:val="006533DB"/>
    <w:rsid w:val="00653816"/>
    <w:rsid w:val="00653D0A"/>
    <w:rsid w:val="0065444E"/>
    <w:rsid w:val="0065448E"/>
    <w:rsid w:val="0065463F"/>
    <w:rsid w:val="00654846"/>
    <w:rsid w:val="00654EE0"/>
    <w:rsid w:val="00655020"/>
    <w:rsid w:val="00656046"/>
    <w:rsid w:val="006562C2"/>
    <w:rsid w:val="006567DE"/>
    <w:rsid w:val="0065691D"/>
    <w:rsid w:val="00657289"/>
    <w:rsid w:val="00657F95"/>
    <w:rsid w:val="00660211"/>
    <w:rsid w:val="006602BB"/>
    <w:rsid w:val="0066084C"/>
    <w:rsid w:val="006610BF"/>
    <w:rsid w:val="00662560"/>
    <w:rsid w:val="00662A48"/>
    <w:rsid w:val="006633FC"/>
    <w:rsid w:val="006634D2"/>
    <w:rsid w:val="00663AC5"/>
    <w:rsid w:val="00663B69"/>
    <w:rsid w:val="006642BF"/>
    <w:rsid w:val="006647A2"/>
    <w:rsid w:val="00665436"/>
    <w:rsid w:val="00665486"/>
    <w:rsid w:val="006659CA"/>
    <w:rsid w:val="006661FD"/>
    <w:rsid w:val="00666C25"/>
    <w:rsid w:val="006670D3"/>
    <w:rsid w:val="00667216"/>
    <w:rsid w:val="0066789F"/>
    <w:rsid w:val="00667B52"/>
    <w:rsid w:val="006700B3"/>
    <w:rsid w:val="006703A2"/>
    <w:rsid w:val="006709A1"/>
    <w:rsid w:val="00670A43"/>
    <w:rsid w:val="00671411"/>
    <w:rsid w:val="00671CFC"/>
    <w:rsid w:val="006720D2"/>
    <w:rsid w:val="00672298"/>
    <w:rsid w:val="0067343D"/>
    <w:rsid w:val="006735F4"/>
    <w:rsid w:val="0067376D"/>
    <w:rsid w:val="0067429D"/>
    <w:rsid w:val="006755B5"/>
    <w:rsid w:val="006758B1"/>
    <w:rsid w:val="0067742B"/>
    <w:rsid w:val="00677F9C"/>
    <w:rsid w:val="006802C2"/>
    <w:rsid w:val="00680A4A"/>
    <w:rsid w:val="006810BB"/>
    <w:rsid w:val="00681239"/>
    <w:rsid w:val="00681272"/>
    <w:rsid w:val="00681C78"/>
    <w:rsid w:val="00682343"/>
    <w:rsid w:val="00683046"/>
    <w:rsid w:val="006833AF"/>
    <w:rsid w:val="006836A1"/>
    <w:rsid w:val="006838F4"/>
    <w:rsid w:val="00684017"/>
    <w:rsid w:val="00684B79"/>
    <w:rsid w:val="00684C55"/>
    <w:rsid w:val="006856E8"/>
    <w:rsid w:val="00685A37"/>
    <w:rsid w:val="00686151"/>
    <w:rsid w:val="00686BA2"/>
    <w:rsid w:val="0068740D"/>
    <w:rsid w:val="00687443"/>
    <w:rsid w:val="006876B6"/>
    <w:rsid w:val="00687921"/>
    <w:rsid w:val="006879DC"/>
    <w:rsid w:val="00687BCE"/>
    <w:rsid w:val="00687DC4"/>
    <w:rsid w:val="006908F4"/>
    <w:rsid w:val="00690AD3"/>
    <w:rsid w:val="00690D2C"/>
    <w:rsid w:val="00690D77"/>
    <w:rsid w:val="006917C8"/>
    <w:rsid w:val="00691FE3"/>
    <w:rsid w:val="00692040"/>
    <w:rsid w:val="0069375C"/>
    <w:rsid w:val="006937D3"/>
    <w:rsid w:val="006937EC"/>
    <w:rsid w:val="00693F80"/>
    <w:rsid w:val="00694176"/>
    <w:rsid w:val="006944DD"/>
    <w:rsid w:val="006947E2"/>
    <w:rsid w:val="00695777"/>
    <w:rsid w:val="00695D87"/>
    <w:rsid w:val="00696609"/>
    <w:rsid w:val="00696BED"/>
    <w:rsid w:val="00696CAA"/>
    <w:rsid w:val="0069705C"/>
    <w:rsid w:val="00697B9F"/>
    <w:rsid w:val="006A0519"/>
    <w:rsid w:val="006A0AFB"/>
    <w:rsid w:val="006A0B0D"/>
    <w:rsid w:val="006A1C00"/>
    <w:rsid w:val="006A1EF1"/>
    <w:rsid w:val="006A26F8"/>
    <w:rsid w:val="006A329C"/>
    <w:rsid w:val="006A33C8"/>
    <w:rsid w:val="006A371C"/>
    <w:rsid w:val="006A3F49"/>
    <w:rsid w:val="006A409D"/>
    <w:rsid w:val="006A4714"/>
    <w:rsid w:val="006A4B24"/>
    <w:rsid w:val="006A5233"/>
    <w:rsid w:val="006A56A7"/>
    <w:rsid w:val="006A5873"/>
    <w:rsid w:val="006A58E5"/>
    <w:rsid w:val="006A6C92"/>
    <w:rsid w:val="006A7138"/>
    <w:rsid w:val="006A73E0"/>
    <w:rsid w:val="006A7B3B"/>
    <w:rsid w:val="006A7CF4"/>
    <w:rsid w:val="006B0B9C"/>
    <w:rsid w:val="006B0CA6"/>
    <w:rsid w:val="006B0E18"/>
    <w:rsid w:val="006B178F"/>
    <w:rsid w:val="006B220E"/>
    <w:rsid w:val="006B25A6"/>
    <w:rsid w:val="006B2B72"/>
    <w:rsid w:val="006B2CD2"/>
    <w:rsid w:val="006B30C8"/>
    <w:rsid w:val="006B35D4"/>
    <w:rsid w:val="006B3C04"/>
    <w:rsid w:val="006B4DE4"/>
    <w:rsid w:val="006B5581"/>
    <w:rsid w:val="006B60FA"/>
    <w:rsid w:val="006B65F1"/>
    <w:rsid w:val="006B66A6"/>
    <w:rsid w:val="006B6898"/>
    <w:rsid w:val="006B6967"/>
    <w:rsid w:val="006B7374"/>
    <w:rsid w:val="006B7AF6"/>
    <w:rsid w:val="006B7C42"/>
    <w:rsid w:val="006B7DDF"/>
    <w:rsid w:val="006C0B96"/>
    <w:rsid w:val="006C0CFA"/>
    <w:rsid w:val="006C173A"/>
    <w:rsid w:val="006C1FDD"/>
    <w:rsid w:val="006C238D"/>
    <w:rsid w:val="006C2896"/>
    <w:rsid w:val="006C28AA"/>
    <w:rsid w:val="006C294E"/>
    <w:rsid w:val="006C29E4"/>
    <w:rsid w:val="006C31A5"/>
    <w:rsid w:val="006C3417"/>
    <w:rsid w:val="006C34EF"/>
    <w:rsid w:val="006C3906"/>
    <w:rsid w:val="006C451F"/>
    <w:rsid w:val="006C531F"/>
    <w:rsid w:val="006C571C"/>
    <w:rsid w:val="006C57F8"/>
    <w:rsid w:val="006C5CAE"/>
    <w:rsid w:val="006C64FD"/>
    <w:rsid w:val="006C658B"/>
    <w:rsid w:val="006C682E"/>
    <w:rsid w:val="006C6BBF"/>
    <w:rsid w:val="006C75FC"/>
    <w:rsid w:val="006C7A9F"/>
    <w:rsid w:val="006C7DD6"/>
    <w:rsid w:val="006D0503"/>
    <w:rsid w:val="006D0FDA"/>
    <w:rsid w:val="006D12ED"/>
    <w:rsid w:val="006D1391"/>
    <w:rsid w:val="006D3489"/>
    <w:rsid w:val="006D3EF4"/>
    <w:rsid w:val="006D41DE"/>
    <w:rsid w:val="006D47E2"/>
    <w:rsid w:val="006D4CC6"/>
    <w:rsid w:val="006D5CB7"/>
    <w:rsid w:val="006D632C"/>
    <w:rsid w:val="006D634E"/>
    <w:rsid w:val="006D6AB0"/>
    <w:rsid w:val="006D6C44"/>
    <w:rsid w:val="006D71C5"/>
    <w:rsid w:val="006D73CF"/>
    <w:rsid w:val="006D7A22"/>
    <w:rsid w:val="006D7D03"/>
    <w:rsid w:val="006D7D56"/>
    <w:rsid w:val="006D7E30"/>
    <w:rsid w:val="006E012B"/>
    <w:rsid w:val="006E0142"/>
    <w:rsid w:val="006E061E"/>
    <w:rsid w:val="006E0DF0"/>
    <w:rsid w:val="006E17C1"/>
    <w:rsid w:val="006E1FE6"/>
    <w:rsid w:val="006E31BB"/>
    <w:rsid w:val="006E348D"/>
    <w:rsid w:val="006E351E"/>
    <w:rsid w:val="006E511A"/>
    <w:rsid w:val="006E52F7"/>
    <w:rsid w:val="006E5A72"/>
    <w:rsid w:val="006E5B52"/>
    <w:rsid w:val="006E5ED5"/>
    <w:rsid w:val="006E627C"/>
    <w:rsid w:val="006E642B"/>
    <w:rsid w:val="006E687C"/>
    <w:rsid w:val="006E6BB3"/>
    <w:rsid w:val="006E745C"/>
    <w:rsid w:val="006E7537"/>
    <w:rsid w:val="006E7E58"/>
    <w:rsid w:val="006F105B"/>
    <w:rsid w:val="006F1598"/>
    <w:rsid w:val="006F1BF7"/>
    <w:rsid w:val="006F1E0B"/>
    <w:rsid w:val="006F2F66"/>
    <w:rsid w:val="006F3011"/>
    <w:rsid w:val="006F3345"/>
    <w:rsid w:val="006F380E"/>
    <w:rsid w:val="006F3DE7"/>
    <w:rsid w:val="006F3F9D"/>
    <w:rsid w:val="006F4554"/>
    <w:rsid w:val="006F46DE"/>
    <w:rsid w:val="006F4BB9"/>
    <w:rsid w:val="006F5260"/>
    <w:rsid w:val="006F56F4"/>
    <w:rsid w:val="006F56F9"/>
    <w:rsid w:val="006F5EB2"/>
    <w:rsid w:val="006F608E"/>
    <w:rsid w:val="006F655C"/>
    <w:rsid w:val="006F6696"/>
    <w:rsid w:val="006F77F3"/>
    <w:rsid w:val="006F79C9"/>
    <w:rsid w:val="006F7D63"/>
    <w:rsid w:val="006F7FB7"/>
    <w:rsid w:val="00700001"/>
    <w:rsid w:val="0070082B"/>
    <w:rsid w:val="00700A2E"/>
    <w:rsid w:val="0070180A"/>
    <w:rsid w:val="007020EC"/>
    <w:rsid w:val="007029F5"/>
    <w:rsid w:val="00702BFB"/>
    <w:rsid w:val="00702CBB"/>
    <w:rsid w:val="0070304F"/>
    <w:rsid w:val="00703210"/>
    <w:rsid w:val="007034B5"/>
    <w:rsid w:val="007034E2"/>
    <w:rsid w:val="00703857"/>
    <w:rsid w:val="00703CC7"/>
    <w:rsid w:val="00704659"/>
    <w:rsid w:val="00704EF7"/>
    <w:rsid w:val="00705D74"/>
    <w:rsid w:val="00706093"/>
    <w:rsid w:val="00706487"/>
    <w:rsid w:val="007065F9"/>
    <w:rsid w:val="00706945"/>
    <w:rsid w:val="00706E1B"/>
    <w:rsid w:val="00706F39"/>
    <w:rsid w:val="0070724F"/>
    <w:rsid w:val="00707725"/>
    <w:rsid w:val="007078D4"/>
    <w:rsid w:val="00707945"/>
    <w:rsid w:val="00707A6C"/>
    <w:rsid w:val="00707F9E"/>
    <w:rsid w:val="007102C6"/>
    <w:rsid w:val="007107F9"/>
    <w:rsid w:val="00710868"/>
    <w:rsid w:val="00710B3D"/>
    <w:rsid w:val="00711DAA"/>
    <w:rsid w:val="00711DD3"/>
    <w:rsid w:val="00711E75"/>
    <w:rsid w:val="007121B5"/>
    <w:rsid w:val="007122E4"/>
    <w:rsid w:val="007123B5"/>
    <w:rsid w:val="00712714"/>
    <w:rsid w:val="00712B7C"/>
    <w:rsid w:val="00712BE4"/>
    <w:rsid w:val="007132E4"/>
    <w:rsid w:val="0071425C"/>
    <w:rsid w:val="007147F9"/>
    <w:rsid w:val="00714A56"/>
    <w:rsid w:val="00715855"/>
    <w:rsid w:val="007160DA"/>
    <w:rsid w:val="00716B01"/>
    <w:rsid w:val="007170E1"/>
    <w:rsid w:val="007219C6"/>
    <w:rsid w:val="007219D7"/>
    <w:rsid w:val="00721AF5"/>
    <w:rsid w:val="00721B63"/>
    <w:rsid w:val="00722C14"/>
    <w:rsid w:val="00723461"/>
    <w:rsid w:val="007234C3"/>
    <w:rsid w:val="00723727"/>
    <w:rsid w:val="00723E52"/>
    <w:rsid w:val="00724413"/>
    <w:rsid w:val="0072499A"/>
    <w:rsid w:val="00724B75"/>
    <w:rsid w:val="00725819"/>
    <w:rsid w:val="00725887"/>
    <w:rsid w:val="0072591F"/>
    <w:rsid w:val="00725CF4"/>
    <w:rsid w:val="00725FAA"/>
    <w:rsid w:val="007260A5"/>
    <w:rsid w:val="007269F3"/>
    <w:rsid w:val="00726A8D"/>
    <w:rsid w:val="00727736"/>
    <w:rsid w:val="00727FFB"/>
    <w:rsid w:val="00730B94"/>
    <w:rsid w:val="00730DA7"/>
    <w:rsid w:val="0073160A"/>
    <w:rsid w:val="007321F2"/>
    <w:rsid w:val="007325BA"/>
    <w:rsid w:val="00733C9A"/>
    <w:rsid w:val="007347EB"/>
    <w:rsid w:val="007349B9"/>
    <w:rsid w:val="00734E1A"/>
    <w:rsid w:val="0073572D"/>
    <w:rsid w:val="00735ABF"/>
    <w:rsid w:val="00735F93"/>
    <w:rsid w:val="00736874"/>
    <w:rsid w:val="00736AC6"/>
    <w:rsid w:val="00736EFB"/>
    <w:rsid w:val="00737A36"/>
    <w:rsid w:val="00737B5D"/>
    <w:rsid w:val="00740739"/>
    <w:rsid w:val="00740BBF"/>
    <w:rsid w:val="0074114D"/>
    <w:rsid w:val="007415A3"/>
    <w:rsid w:val="00741BF5"/>
    <w:rsid w:val="00741E9F"/>
    <w:rsid w:val="00742E2E"/>
    <w:rsid w:val="007432C1"/>
    <w:rsid w:val="0074351D"/>
    <w:rsid w:val="00743810"/>
    <w:rsid w:val="00743D02"/>
    <w:rsid w:val="00743D89"/>
    <w:rsid w:val="00744E99"/>
    <w:rsid w:val="0074509F"/>
    <w:rsid w:val="00746F58"/>
    <w:rsid w:val="00746F60"/>
    <w:rsid w:val="00747340"/>
    <w:rsid w:val="00747A48"/>
    <w:rsid w:val="00747EFB"/>
    <w:rsid w:val="007500EC"/>
    <w:rsid w:val="0075019E"/>
    <w:rsid w:val="0075193E"/>
    <w:rsid w:val="007535AE"/>
    <w:rsid w:val="00754061"/>
    <w:rsid w:val="00754369"/>
    <w:rsid w:val="00755FA6"/>
    <w:rsid w:val="00756102"/>
    <w:rsid w:val="007562C7"/>
    <w:rsid w:val="007571D1"/>
    <w:rsid w:val="00757509"/>
    <w:rsid w:val="00757762"/>
    <w:rsid w:val="00757AA6"/>
    <w:rsid w:val="0076069C"/>
    <w:rsid w:val="00761995"/>
    <w:rsid w:val="00762510"/>
    <w:rsid w:val="00762779"/>
    <w:rsid w:val="0076319E"/>
    <w:rsid w:val="007632F2"/>
    <w:rsid w:val="007641D6"/>
    <w:rsid w:val="007649A9"/>
    <w:rsid w:val="00764D99"/>
    <w:rsid w:val="0076699F"/>
    <w:rsid w:val="0076712E"/>
    <w:rsid w:val="00770319"/>
    <w:rsid w:val="00770353"/>
    <w:rsid w:val="007703D6"/>
    <w:rsid w:val="00770405"/>
    <w:rsid w:val="007707F7"/>
    <w:rsid w:val="00770A68"/>
    <w:rsid w:val="00771E69"/>
    <w:rsid w:val="00771E8A"/>
    <w:rsid w:val="00771FCF"/>
    <w:rsid w:val="007724C3"/>
    <w:rsid w:val="007729FA"/>
    <w:rsid w:val="00773146"/>
    <w:rsid w:val="00773311"/>
    <w:rsid w:val="00774697"/>
    <w:rsid w:val="00774A2D"/>
    <w:rsid w:val="00774DCA"/>
    <w:rsid w:val="007764DB"/>
    <w:rsid w:val="00776893"/>
    <w:rsid w:val="00777344"/>
    <w:rsid w:val="00780F59"/>
    <w:rsid w:val="00781785"/>
    <w:rsid w:val="007818A6"/>
    <w:rsid w:val="00781AEA"/>
    <w:rsid w:val="00781D21"/>
    <w:rsid w:val="00782A0C"/>
    <w:rsid w:val="00782C8B"/>
    <w:rsid w:val="00783400"/>
    <w:rsid w:val="0078386F"/>
    <w:rsid w:val="00783A26"/>
    <w:rsid w:val="00783B98"/>
    <w:rsid w:val="0078415A"/>
    <w:rsid w:val="0078502D"/>
    <w:rsid w:val="007850B2"/>
    <w:rsid w:val="007854EF"/>
    <w:rsid w:val="007858FA"/>
    <w:rsid w:val="007861ED"/>
    <w:rsid w:val="0078626B"/>
    <w:rsid w:val="0078660D"/>
    <w:rsid w:val="00786836"/>
    <w:rsid w:val="00786B12"/>
    <w:rsid w:val="00786FED"/>
    <w:rsid w:val="007870B2"/>
    <w:rsid w:val="007870EC"/>
    <w:rsid w:val="007901E6"/>
    <w:rsid w:val="007902BA"/>
    <w:rsid w:val="0079052E"/>
    <w:rsid w:val="0079059E"/>
    <w:rsid w:val="00790822"/>
    <w:rsid w:val="00791765"/>
    <w:rsid w:val="007917BC"/>
    <w:rsid w:val="00792183"/>
    <w:rsid w:val="007921AA"/>
    <w:rsid w:val="00793D78"/>
    <w:rsid w:val="0079419C"/>
    <w:rsid w:val="007941B4"/>
    <w:rsid w:val="00794ABC"/>
    <w:rsid w:val="00794AFC"/>
    <w:rsid w:val="00795486"/>
    <w:rsid w:val="00796BD4"/>
    <w:rsid w:val="00797BDA"/>
    <w:rsid w:val="00797E99"/>
    <w:rsid w:val="00797F38"/>
    <w:rsid w:val="007A0067"/>
    <w:rsid w:val="007A033C"/>
    <w:rsid w:val="007A040B"/>
    <w:rsid w:val="007A04A9"/>
    <w:rsid w:val="007A0546"/>
    <w:rsid w:val="007A05B8"/>
    <w:rsid w:val="007A0A2C"/>
    <w:rsid w:val="007A0DCF"/>
    <w:rsid w:val="007A11FB"/>
    <w:rsid w:val="007A1279"/>
    <w:rsid w:val="007A1551"/>
    <w:rsid w:val="007A26B1"/>
    <w:rsid w:val="007A2DB6"/>
    <w:rsid w:val="007A2EDA"/>
    <w:rsid w:val="007A2EE2"/>
    <w:rsid w:val="007A3053"/>
    <w:rsid w:val="007A31AD"/>
    <w:rsid w:val="007A34D9"/>
    <w:rsid w:val="007A358A"/>
    <w:rsid w:val="007A3E64"/>
    <w:rsid w:val="007A43C1"/>
    <w:rsid w:val="007A56B7"/>
    <w:rsid w:val="007A588D"/>
    <w:rsid w:val="007A5978"/>
    <w:rsid w:val="007A62BE"/>
    <w:rsid w:val="007A7C51"/>
    <w:rsid w:val="007B05DD"/>
    <w:rsid w:val="007B107B"/>
    <w:rsid w:val="007B11FE"/>
    <w:rsid w:val="007B1C19"/>
    <w:rsid w:val="007B1C68"/>
    <w:rsid w:val="007B1D98"/>
    <w:rsid w:val="007B1EF7"/>
    <w:rsid w:val="007B2787"/>
    <w:rsid w:val="007B2E55"/>
    <w:rsid w:val="007B37D7"/>
    <w:rsid w:val="007B406C"/>
    <w:rsid w:val="007B43B1"/>
    <w:rsid w:val="007B4E24"/>
    <w:rsid w:val="007B50BD"/>
    <w:rsid w:val="007B567C"/>
    <w:rsid w:val="007B5AE3"/>
    <w:rsid w:val="007B5C94"/>
    <w:rsid w:val="007B623C"/>
    <w:rsid w:val="007B65FD"/>
    <w:rsid w:val="007B6813"/>
    <w:rsid w:val="007B6F27"/>
    <w:rsid w:val="007B7380"/>
    <w:rsid w:val="007B7F75"/>
    <w:rsid w:val="007C1C97"/>
    <w:rsid w:val="007C1CF5"/>
    <w:rsid w:val="007C1D5D"/>
    <w:rsid w:val="007C2C35"/>
    <w:rsid w:val="007C30B0"/>
    <w:rsid w:val="007C4016"/>
    <w:rsid w:val="007C4FD4"/>
    <w:rsid w:val="007C6286"/>
    <w:rsid w:val="007C69D2"/>
    <w:rsid w:val="007C6A73"/>
    <w:rsid w:val="007C6B26"/>
    <w:rsid w:val="007C6BEF"/>
    <w:rsid w:val="007C7C2B"/>
    <w:rsid w:val="007C7D81"/>
    <w:rsid w:val="007D01BF"/>
    <w:rsid w:val="007D067C"/>
    <w:rsid w:val="007D0FB0"/>
    <w:rsid w:val="007D1F4D"/>
    <w:rsid w:val="007D3586"/>
    <w:rsid w:val="007D3707"/>
    <w:rsid w:val="007D4075"/>
    <w:rsid w:val="007D457C"/>
    <w:rsid w:val="007D458D"/>
    <w:rsid w:val="007D47F1"/>
    <w:rsid w:val="007D48E4"/>
    <w:rsid w:val="007D4F95"/>
    <w:rsid w:val="007D4FC8"/>
    <w:rsid w:val="007D583E"/>
    <w:rsid w:val="007D600E"/>
    <w:rsid w:val="007D6489"/>
    <w:rsid w:val="007D6545"/>
    <w:rsid w:val="007D6555"/>
    <w:rsid w:val="007D6AD4"/>
    <w:rsid w:val="007D6F4C"/>
    <w:rsid w:val="007D716D"/>
    <w:rsid w:val="007D760F"/>
    <w:rsid w:val="007D7BA2"/>
    <w:rsid w:val="007E0052"/>
    <w:rsid w:val="007E0ABF"/>
    <w:rsid w:val="007E0B98"/>
    <w:rsid w:val="007E0EBA"/>
    <w:rsid w:val="007E0FD7"/>
    <w:rsid w:val="007E10BD"/>
    <w:rsid w:val="007E1157"/>
    <w:rsid w:val="007E12FA"/>
    <w:rsid w:val="007E18AB"/>
    <w:rsid w:val="007E1C3C"/>
    <w:rsid w:val="007E2327"/>
    <w:rsid w:val="007E2AA4"/>
    <w:rsid w:val="007E3245"/>
    <w:rsid w:val="007E3470"/>
    <w:rsid w:val="007E3BF4"/>
    <w:rsid w:val="007E4841"/>
    <w:rsid w:val="007E4A24"/>
    <w:rsid w:val="007E4C3D"/>
    <w:rsid w:val="007E4E1E"/>
    <w:rsid w:val="007E636F"/>
    <w:rsid w:val="007E6BB1"/>
    <w:rsid w:val="007E6CB8"/>
    <w:rsid w:val="007E7666"/>
    <w:rsid w:val="007F0206"/>
    <w:rsid w:val="007F0C65"/>
    <w:rsid w:val="007F0D4F"/>
    <w:rsid w:val="007F1537"/>
    <w:rsid w:val="007F179D"/>
    <w:rsid w:val="007F1F14"/>
    <w:rsid w:val="007F295E"/>
    <w:rsid w:val="007F318A"/>
    <w:rsid w:val="007F3276"/>
    <w:rsid w:val="007F32E9"/>
    <w:rsid w:val="007F33A3"/>
    <w:rsid w:val="007F45B7"/>
    <w:rsid w:val="007F4665"/>
    <w:rsid w:val="007F469C"/>
    <w:rsid w:val="007F498E"/>
    <w:rsid w:val="007F4EDE"/>
    <w:rsid w:val="007F559F"/>
    <w:rsid w:val="007F55CA"/>
    <w:rsid w:val="007F5A0D"/>
    <w:rsid w:val="007F5EC1"/>
    <w:rsid w:val="007F5FF4"/>
    <w:rsid w:val="007F6968"/>
    <w:rsid w:val="0080022F"/>
    <w:rsid w:val="00800347"/>
    <w:rsid w:val="00800AB3"/>
    <w:rsid w:val="008012D2"/>
    <w:rsid w:val="008013E0"/>
    <w:rsid w:val="008018D1"/>
    <w:rsid w:val="00801E75"/>
    <w:rsid w:val="00802085"/>
    <w:rsid w:val="00803327"/>
    <w:rsid w:val="008034D8"/>
    <w:rsid w:val="00803EF0"/>
    <w:rsid w:val="008042FD"/>
    <w:rsid w:val="00804512"/>
    <w:rsid w:val="00804B67"/>
    <w:rsid w:val="00804E3E"/>
    <w:rsid w:val="00804FDF"/>
    <w:rsid w:val="0080604B"/>
    <w:rsid w:val="0080604F"/>
    <w:rsid w:val="008060F8"/>
    <w:rsid w:val="0080670D"/>
    <w:rsid w:val="00806EFC"/>
    <w:rsid w:val="00806FC6"/>
    <w:rsid w:val="008079FC"/>
    <w:rsid w:val="00807CF1"/>
    <w:rsid w:val="008104E8"/>
    <w:rsid w:val="00810C76"/>
    <w:rsid w:val="00810FDB"/>
    <w:rsid w:val="00811756"/>
    <w:rsid w:val="00811BF9"/>
    <w:rsid w:val="008128F2"/>
    <w:rsid w:val="008129B7"/>
    <w:rsid w:val="0081382A"/>
    <w:rsid w:val="008140F0"/>
    <w:rsid w:val="008144AD"/>
    <w:rsid w:val="00814B57"/>
    <w:rsid w:val="00814C6D"/>
    <w:rsid w:val="0081513B"/>
    <w:rsid w:val="00815834"/>
    <w:rsid w:val="00815C0F"/>
    <w:rsid w:val="00816216"/>
    <w:rsid w:val="008162AB"/>
    <w:rsid w:val="00816EDA"/>
    <w:rsid w:val="00816F81"/>
    <w:rsid w:val="00817D64"/>
    <w:rsid w:val="00817F38"/>
    <w:rsid w:val="008205C5"/>
    <w:rsid w:val="00820B73"/>
    <w:rsid w:val="00820C83"/>
    <w:rsid w:val="00820EF9"/>
    <w:rsid w:val="00821317"/>
    <w:rsid w:val="00821524"/>
    <w:rsid w:val="008224C4"/>
    <w:rsid w:val="008225D3"/>
    <w:rsid w:val="00822826"/>
    <w:rsid w:val="00822A0C"/>
    <w:rsid w:val="00822B80"/>
    <w:rsid w:val="00822F4B"/>
    <w:rsid w:val="0082321B"/>
    <w:rsid w:val="008233DF"/>
    <w:rsid w:val="0082370B"/>
    <w:rsid w:val="0082392C"/>
    <w:rsid w:val="00823AA4"/>
    <w:rsid w:val="00823CC9"/>
    <w:rsid w:val="008240ED"/>
    <w:rsid w:val="00824417"/>
    <w:rsid w:val="0082446E"/>
    <w:rsid w:val="008244B0"/>
    <w:rsid w:val="00824D0E"/>
    <w:rsid w:val="00825803"/>
    <w:rsid w:val="00825A25"/>
    <w:rsid w:val="00827615"/>
    <w:rsid w:val="0082764F"/>
    <w:rsid w:val="008278DA"/>
    <w:rsid w:val="00827A79"/>
    <w:rsid w:val="00827F5E"/>
    <w:rsid w:val="00830441"/>
    <w:rsid w:val="00830607"/>
    <w:rsid w:val="00832624"/>
    <w:rsid w:val="00832EAE"/>
    <w:rsid w:val="008336F6"/>
    <w:rsid w:val="00833939"/>
    <w:rsid w:val="00833ADC"/>
    <w:rsid w:val="00833D77"/>
    <w:rsid w:val="00833E4E"/>
    <w:rsid w:val="008341C7"/>
    <w:rsid w:val="00834240"/>
    <w:rsid w:val="00834736"/>
    <w:rsid w:val="00834C3F"/>
    <w:rsid w:val="00834E8A"/>
    <w:rsid w:val="008350BE"/>
    <w:rsid w:val="008353B3"/>
    <w:rsid w:val="0083540D"/>
    <w:rsid w:val="0083558E"/>
    <w:rsid w:val="0083582B"/>
    <w:rsid w:val="0083590F"/>
    <w:rsid w:val="008359F1"/>
    <w:rsid w:val="00835EFD"/>
    <w:rsid w:val="00836370"/>
    <w:rsid w:val="00836959"/>
    <w:rsid w:val="00837D40"/>
    <w:rsid w:val="008406DD"/>
    <w:rsid w:val="00840F50"/>
    <w:rsid w:val="0084168E"/>
    <w:rsid w:val="00842292"/>
    <w:rsid w:val="008422C0"/>
    <w:rsid w:val="008422F8"/>
    <w:rsid w:val="00842480"/>
    <w:rsid w:val="00842CB6"/>
    <w:rsid w:val="00842D7F"/>
    <w:rsid w:val="00843239"/>
    <w:rsid w:val="00843738"/>
    <w:rsid w:val="008437DD"/>
    <w:rsid w:val="00843C0A"/>
    <w:rsid w:val="00844EE9"/>
    <w:rsid w:val="00844F46"/>
    <w:rsid w:val="00845416"/>
    <w:rsid w:val="00845499"/>
    <w:rsid w:val="0084584F"/>
    <w:rsid w:val="00845AD0"/>
    <w:rsid w:val="00845D73"/>
    <w:rsid w:val="00846062"/>
    <w:rsid w:val="00846CE5"/>
    <w:rsid w:val="008474C8"/>
    <w:rsid w:val="00847827"/>
    <w:rsid w:val="00851175"/>
    <w:rsid w:val="00851288"/>
    <w:rsid w:val="0085156C"/>
    <w:rsid w:val="00851626"/>
    <w:rsid w:val="008517CE"/>
    <w:rsid w:val="00851856"/>
    <w:rsid w:val="00851937"/>
    <w:rsid w:val="00851DE2"/>
    <w:rsid w:val="00852C55"/>
    <w:rsid w:val="0085367E"/>
    <w:rsid w:val="00854371"/>
    <w:rsid w:val="008549B6"/>
    <w:rsid w:val="00854A4C"/>
    <w:rsid w:val="00854B78"/>
    <w:rsid w:val="00854C4D"/>
    <w:rsid w:val="0085540E"/>
    <w:rsid w:val="008559F7"/>
    <w:rsid w:val="00855A23"/>
    <w:rsid w:val="00855C6F"/>
    <w:rsid w:val="00855E1A"/>
    <w:rsid w:val="00855FF2"/>
    <w:rsid w:val="0085680E"/>
    <w:rsid w:val="00856EBB"/>
    <w:rsid w:val="00857662"/>
    <w:rsid w:val="00857742"/>
    <w:rsid w:val="00857802"/>
    <w:rsid w:val="008578E8"/>
    <w:rsid w:val="00860091"/>
    <w:rsid w:val="0086145E"/>
    <w:rsid w:val="00861573"/>
    <w:rsid w:val="0086189D"/>
    <w:rsid w:val="00861E19"/>
    <w:rsid w:val="00862377"/>
    <w:rsid w:val="00862420"/>
    <w:rsid w:val="00862E15"/>
    <w:rsid w:val="0086321B"/>
    <w:rsid w:val="008633B4"/>
    <w:rsid w:val="00864115"/>
    <w:rsid w:val="0086513A"/>
    <w:rsid w:val="00865443"/>
    <w:rsid w:val="00865957"/>
    <w:rsid w:val="00865D08"/>
    <w:rsid w:val="00866045"/>
    <w:rsid w:val="00866553"/>
    <w:rsid w:val="00866B94"/>
    <w:rsid w:val="00866E74"/>
    <w:rsid w:val="00867018"/>
    <w:rsid w:val="00867031"/>
    <w:rsid w:val="008673F0"/>
    <w:rsid w:val="008677B6"/>
    <w:rsid w:val="008706C2"/>
    <w:rsid w:val="008717A6"/>
    <w:rsid w:val="00871819"/>
    <w:rsid w:val="0087196F"/>
    <w:rsid w:val="00871FD8"/>
    <w:rsid w:val="0087255C"/>
    <w:rsid w:val="00872B37"/>
    <w:rsid w:val="00872FD5"/>
    <w:rsid w:val="008741F1"/>
    <w:rsid w:val="0087444A"/>
    <w:rsid w:val="008744AD"/>
    <w:rsid w:val="00874A62"/>
    <w:rsid w:val="00874BB8"/>
    <w:rsid w:val="00874C18"/>
    <w:rsid w:val="00875AAB"/>
    <w:rsid w:val="008762E0"/>
    <w:rsid w:val="0088012F"/>
    <w:rsid w:val="0088038D"/>
    <w:rsid w:val="00880C65"/>
    <w:rsid w:val="00880E47"/>
    <w:rsid w:val="00881432"/>
    <w:rsid w:val="008819BF"/>
    <w:rsid w:val="00882194"/>
    <w:rsid w:val="008822FE"/>
    <w:rsid w:val="0088263B"/>
    <w:rsid w:val="00882E7F"/>
    <w:rsid w:val="00882EC3"/>
    <w:rsid w:val="008831A6"/>
    <w:rsid w:val="00883312"/>
    <w:rsid w:val="00884909"/>
    <w:rsid w:val="00884E33"/>
    <w:rsid w:val="0088619B"/>
    <w:rsid w:val="008863B8"/>
    <w:rsid w:val="0088648E"/>
    <w:rsid w:val="00886514"/>
    <w:rsid w:val="00886631"/>
    <w:rsid w:val="00886BB7"/>
    <w:rsid w:val="008905F5"/>
    <w:rsid w:val="00890646"/>
    <w:rsid w:val="00890AC1"/>
    <w:rsid w:val="00891296"/>
    <w:rsid w:val="008912D5"/>
    <w:rsid w:val="00891C2F"/>
    <w:rsid w:val="00891FF9"/>
    <w:rsid w:val="00892F4E"/>
    <w:rsid w:val="00893C7A"/>
    <w:rsid w:val="00893CA8"/>
    <w:rsid w:val="00893EBD"/>
    <w:rsid w:val="00893F05"/>
    <w:rsid w:val="00893FBB"/>
    <w:rsid w:val="00894636"/>
    <w:rsid w:val="0089583A"/>
    <w:rsid w:val="0089589B"/>
    <w:rsid w:val="00896558"/>
    <w:rsid w:val="0089670E"/>
    <w:rsid w:val="008969F5"/>
    <w:rsid w:val="00896AE1"/>
    <w:rsid w:val="00897B91"/>
    <w:rsid w:val="008A0296"/>
    <w:rsid w:val="008A03BA"/>
    <w:rsid w:val="008A0CCE"/>
    <w:rsid w:val="008A16F0"/>
    <w:rsid w:val="008A2122"/>
    <w:rsid w:val="008A3581"/>
    <w:rsid w:val="008A4789"/>
    <w:rsid w:val="008A4CA2"/>
    <w:rsid w:val="008A5794"/>
    <w:rsid w:val="008A67AB"/>
    <w:rsid w:val="008A6E25"/>
    <w:rsid w:val="008A7225"/>
    <w:rsid w:val="008A7448"/>
    <w:rsid w:val="008A7CC3"/>
    <w:rsid w:val="008B00F2"/>
    <w:rsid w:val="008B036A"/>
    <w:rsid w:val="008B1EE7"/>
    <w:rsid w:val="008B2A26"/>
    <w:rsid w:val="008B3727"/>
    <w:rsid w:val="008B4309"/>
    <w:rsid w:val="008B55EE"/>
    <w:rsid w:val="008B6AFE"/>
    <w:rsid w:val="008B6BD1"/>
    <w:rsid w:val="008B7C63"/>
    <w:rsid w:val="008C0008"/>
    <w:rsid w:val="008C04F7"/>
    <w:rsid w:val="008C0B8D"/>
    <w:rsid w:val="008C136D"/>
    <w:rsid w:val="008C13F3"/>
    <w:rsid w:val="008C1690"/>
    <w:rsid w:val="008C1FB8"/>
    <w:rsid w:val="008C211C"/>
    <w:rsid w:val="008C2A0E"/>
    <w:rsid w:val="008C2E27"/>
    <w:rsid w:val="008C2E3B"/>
    <w:rsid w:val="008C32B4"/>
    <w:rsid w:val="008C3ABD"/>
    <w:rsid w:val="008C4933"/>
    <w:rsid w:val="008C521E"/>
    <w:rsid w:val="008C5A92"/>
    <w:rsid w:val="008C5B6B"/>
    <w:rsid w:val="008C5C48"/>
    <w:rsid w:val="008C5CE9"/>
    <w:rsid w:val="008C5EDC"/>
    <w:rsid w:val="008C65C8"/>
    <w:rsid w:val="008C6715"/>
    <w:rsid w:val="008C6DE4"/>
    <w:rsid w:val="008C747E"/>
    <w:rsid w:val="008C764A"/>
    <w:rsid w:val="008C7F19"/>
    <w:rsid w:val="008C7FC1"/>
    <w:rsid w:val="008D02AD"/>
    <w:rsid w:val="008D04F1"/>
    <w:rsid w:val="008D05DE"/>
    <w:rsid w:val="008D0A53"/>
    <w:rsid w:val="008D0DDD"/>
    <w:rsid w:val="008D13DA"/>
    <w:rsid w:val="008D163F"/>
    <w:rsid w:val="008D2109"/>
    <w:rsid w:val="008D25A7"/>
    <w:rsid w:val="008D28FA"/>
    <w:rsid w:val="008D2A43"/>
    <w:rsid w:val="008D2D0E"/>
    <w:rsid w:val="008D38F1"/>
    <w:rsid w:val="008D3A53"/>
    <w:rsid w:val="008D3B0C"/>
    <w:rsid w:val="008D4185"/>
    <w:rsid w:val="008D442C"/>
    <w:rsid w:val="008D5150"/>
    <w:rsid w:val="008D5A4D"/>
    <w:rsid w:val="008D5B91"/>
    <w:rsid w:val="008D5EFC"/>
    <w:rsid w:val="008D5FE4"/>
    <w:rsid w:val="008D60F4"/>
    <w:rsid w:val="008D67C2"/>
    <w:rsid w:val="008D6CB6"/>
    <w:rsid w:val="008D6DAF"/>
    <w:rsid w:val="008D6EE7"/>
    <w:rsid w:val="008E0587"/>
    <w:rsid w:val="008E0C74"/>
    <w:rsid w:val="008E0F0A"/>
    <w:rsid w:val="008E15C7"/>
    <w:rsid w:val="008E1653"/>
    <w:rsid w:val="008E1A55"/>
    <w:rsid w:val="008E2AD1"/>
    <w:rsid w:val="008E2BF4"/>
    <w:rsid w:val="008E2DDC"/>
    <w:rsid w:val="008E2EAF"/>
    <w:rsid w:val="008E38AD"/>
    <w:rsid w:val="008E3BBF"/>
    <w:rsid w:val="008E3E12"/>
    <w:rsid w:val="008E4171"/>
    <w:rsid w:val="008E43BD"/>
    <w:rsid w:val="008E456E"/>
    <w:rsid w:val="008E6022"/>
    <w:rsid w:val="008E6460"/>
    <w:rsid w:val="008E68E3"/>
    <w:rsid w:val="008E6B53"/>
    <w:rsid w:val="008E6E35"/>
    <w:rsid w:val="008E6E6B"/>
    <w:rsid w:val="008E7A4C"/>
    <w:rsid w:val="008E7BCA"/>
    <w:rsid w:val="008E7EFA"/>
    <w:rsid w:val="008F08CD"/>
    <w:rsid w:val="008F0D37"/>
    <w:rsid w:val="008F13F5"/>
    <w:rsid w:val="008F17C4"/>
    <w:rsid w:val="008F22A8"/>
    <w:rsid w:val="008F2475"/>
    <w:rsid w:val="008F24B1"/>
    <w:rsid w:val="008F31E9"/>
    <w:rsid w:val="008F3304"/>
    <w:rsid w:val="008F400A"/>
    <w:rsid w:val="008F5B57"/>
    <w:rsid w:val="008F6A75"/>
    <w:rsid w:val="008F725D"/>
    <w:rsid w:val="009005A9"/>
    <w:rsid w:val="00901BDC"/>
    <w:rsid w:val="00902A40"/>
    <w:rsid w:val="00902ACF"/>
    <w:rsid w:val="00902DFC"/>
    <w:rsid w:val="00902F78"/>
    <w:rsid w:val="00904189"/>
    <w:rsid w:val="0090441D"/>
    <w:rsid w:val="00904A51"/>
    <w:rsid w:val="00904BD2"/>
    <w:rsid w:val="00904E4B"/>
    <w:rsid w:val="009053BA"/>
    <w:rsid w:val="009059FC"/>
    <w:rsid w:val="00905D83"/>
    <w:rsid w:val="00906546"/>
    <w:rsid w:val="00906749"/>
    <w:rsid w:val="009067BC"/>
    <w:rsid w:val="00906B92"/>
    <w:rsid w:val="00906D8E"/>
    <w:rsid w:val="00907074"/>
    <w:rsid w:val="00910A9D"/>
    <w:rsid w:val="00911505"/>
    <w:rsid w:val="00911E99"/>
    <w:rsid w:val="0091238A"/>
    <w:rsid w:val="0091292A"/>
    <w:rsid w:val="00912CCA"/>
    <w:rsid w:val="0091307B"/>
    <w:rsid w:val="00913492"/>
    <w:rsid w:val="0091391F"/>
    <w:rsid w:val="00914682"/>
    <w:rsid w:val="009152B4"/>
    <w:rsid w:val="0091552E"/>
    <w:rsid w:val="00915D71"/>
    <w:rsid w:val="00915F41"/>
    <w:rsid w:val="00916174"/>
    <w:rsid w:val="0091689A"/>
    <w:rsid w:val="00916906"/>
    <w:rsid w:val="00916E99"/>
    <w:rsid w:val="009174A9"/>
    <w:rsid w:val="009207E6"/>
    <w:rsid w:val="009207EA"/>
    <w:rsid w:val="00920F2D"/>
    <w:rsid w:val="00921308"/>
    <w:rsid w:val="009215E6"/>
    <w:rsid w:val="00922205"/>
    <w:rsid w:val="00922B46"/>
    <w:rsid w:val="00923472"/>
    <w:rsid w:val="00923C21"/>
    <w:rsid w:val="0092501D"/>
    <w:rsid w:val="0092555B"/>
    <w:rsid w:val="00925915"/>
    <w:rsid w:val="00926167"/>
    <w:rsid w:val="00927BCA"/>
    <w:rsid w:val="0093002B"/>
    <w:rsid w:val="009301AB"/>
    <w:rsid w:val="00930CFC"/>
    <w:rsid w:val="0093124B"/>
    <w:rsid w:val="00932F86"/>
    <w:rsid w:val="00933038"/>
    <w:rsid w:val="009333E8"/>
    <w:rsid w:val="00933644"/>
    <w:rsid w:val="009337F7"/>
    <w:rsid w:val="00933DA2"/>
    <w:rsid w:val="00933E85"/>
    <w:rsid w:val="00934A8C"/>
    <w:rsid w:val="00934F08"/>
    <w:rsid w:val="0093505C"/>
    <w:rsid w:val="00935161"/>
    <w:rsid w:val="0093549D"/>
    <w:rsid w:val="00936287"/>
    <w:rsid w:val="009364D8"/>
    <w:rsid w:val="00937AC5"/>
    <w:rsid w:val="00937E2F"/>
    <w:rsid w:val="009409FE"/>
    <w:rsid w:val="00940EBA"/>
    <w:rsid w:val="0094213B"/>
    <w:rsid w:val="00942FA5"/>
    <w:rsid w:val="00943B37"/>
    <w:rsid w:val="00943E0B"/>
    <w:rsid w:val="00944A73"/>
    <w:rsid w:val="00944ED5"/>
    <w:rsid w:val="009457BA"/>
    <w:rsid w:val="0094595E"/>
    <w:rsid w:val="00945CA0"/>
    <w:rsid w:val="0094640D"/>
    <w:rsid w:val="009465A3"/>
    <w:rsid w:val="00947102"/>
    <w:rsid w:val="00947166"/>
    <w:rsid w:val="00947C53"/>
    <w:rsid w:val="00947D94"/>
    <w:rsid w:val="00947EB9"/>
    <w:rsid w:val="00951048"/>
    <w:rsid w:val="009516A4"/>
    <w:rsid w:val="009518A7"/>
    <w:rsid w:val="00951AA3"/>
    <w:rsid w:val="0095289C"/>
    <w:rsid w:val="00952B25"/>
    <w:rsid w:val="00952B38"/>
    <w:rsid w:val="00952BB0"/>
    <w:rsid w:val="00952CBD"/>
    <w:rsid w:val="00952D8D"/>
    <w:rsid w:val="009538B7"/>
    <w:rsid w:val="00953C39"/>
    <w:rsid w:val="00953C75"/>
    <w:rsid w:val="0095445C"/>
    <w:rsid w:val="00954870"/>
    <w:rsid w:val="00954B19"/>
    <w:rsid w:val="00955B58"/>
    <w:rsid w:val="00955FB3"/>
    <w:rsid w:val="00956512"/>
    <w:rsid w:val="0095674C"/>
    <w:rsid w:val="00956A51"/>
    <w:rsid w:val="00956C7A"/>
    <w:rsid w:val="009577CB"/>
    <w:rsid w:val="009577E4"/>
    <w:rsid w:val="00957B15"/>
    <w:rsid w:val="009608A9"/>
    <w:rsid w:val="00960991"/>
    <w:rsid w:val="009609E4"/>
    <w:rsid w:val="00960C10"/>
    <w:rsid w:val="00960D24"/>
    <w:rsid w:val="00961494"/>
    <w:rsid w:val="00961637"/>
    <w:rsid w:val="00961B4A"/>
    <w:rsid w:val="0096207F"/>
    <w:rsid w:val="00962090"/>
    <w:rsid w:val="00962569"/>
    <w:rsid w:val="00962DAA"/>
    <w:rsid w:val="00963021"/>
    <w:rsid w:val="009634AA"/>
    <w:rsid w:val="009636FE"/>
    <w:rsid w:val="009637E6"/>
    <w:rsid w:val="0096390F"/>
    <w:rsid w:val="00963DA8"/>
    <w:rsid w:val="009649CD"/>
    <w:rsid w:val="009651AA"/>
    <w:rsid w:val="00965488"/>
    <w:rsid w:val="009657DE"/>
    <w:rsid w:val="0096626A"/>
    <w:rsid w:val="00966329"/>
    <w:rsid w:val="00966CE1"/>
    <w:rsid w:val="00966E36"/>
    <w:rsid w:val="00967900"/>
    <w:rsid w:val="00967C79"/>
    <w:rsid w:val="00971377"/>
    <w:rsid w:val="00971456"/>
    <w:rsid w:val="00971842"/>
    <w:rsid w:val="00972402"/>
    <w:rsid w:val="00972B7B"/>
    <w:rsid w:val="00972C7B"/>
    <w:rsid w:val="00972C81"/>
    <w:rsid w:val="00972D5F"/>
    <w:rsid w:val="0097392E"/>
    <w:rsid w:val="00973EF9"/>
    <w:rsid w:val="009742F4"/>
    <w:rsid w:val="00974F51"/>
    <w:rsid w:val="00975AE8"/>
    <w:rsid w:val="00975F81"/>
    <w:rsid w:val="009760E8"/>
    <w:rsid w:val="00976353"/>
    <w:rsid w:val="00976680"/>
    <w:rsid w:val="00976CD0"/>
    <w:rsid w:val="00976D64"/>
    <w:rsid w:val="0097720B"/>
    <w:rsid w:val="00977B92"/>
    <w:rsid w:val="00977BED"/>
    <w:rsid w:val="00977C55"/>
    <w:rsid w:val="0098008C"/>
    <w:rsid w:val="00980B38"/>
    <w:rsid w:val="00980F04"/>
    <w:rsid w:val="00981267"/>
    <w:rsid w:val="009812A1"/>
    <w:rsid w:val="00981B85"/>
    <w:rsid w:val="00981DA1"/>
    <w:rsid w:val="00981FFA"/>
    <w:rsid w:val="00982018"/>
    <w:rsid w:val="009821A6"/>
    <w:rsid w:val="00983726"/>
    <w:rsid w:val="009837C7"/>
    <w:rsid w:val="00983D28"/>
    <w:rsid w:val="0098433C"/>
    <w:rsid w:val="00984910"/>
    <w:rsid w:val="00984F90"/>
    <w:rsid w:val="009854AB"/>
    <w:rsid w:val="00985513"/>
    <w:rsid w:val="0098601F"/>
    <w:rsid w:val="0098610A"/>
    <w:rsid w:val="0098664B"/>
    <w:rsid w:val="00986BEF"/>
    <w:rsid w:val="00986E84"/>
    <w:rsid w:val="00986FD2"/>
    <w:rsid w:val="00987095"/>
    <w:rsid w:val="00987BED"/>
    <w:rsid w:val="00991248"/>
    <w:rsid w:val="00991A7F"/>
    <w:rsid w:val="00992735"/>
    <w:rsid w:val="009939EE"/>
    <w:rsid w:val="00995799"/>
    <w:rsid w:val="00995BE7"/>
    <w:rsid w:val="00995C18"/>
    <w:rsid w:val="009975C1"/>
    <w:rsid w:val="009A026C"/>
    <w:rsid w:val="009A0554"/>
    <w:rsid w:val="009A0D6D"/>
    <w:rsid w:val="009A15D5"/>
    <w:rsid w:val="009A15DC"/>
    <w:rsid w:val="009A1871"/>
    <w:rsid w:val="009A26B7"/>
    <w:rsid w:val="009A2DB9"/>
    <w:rsid w:val="009A31BA"/>
    <w:rsid w:val="009A3258"/>
    <w:rsid w:val="009A327B"/>
    <w:rsid w:val="009A34D7"/>
    <w:rsid w:val="009A3613"/>
    <w:rsid w:val="009A41E0"/>
    <w:rsid w:val="009A4DCC"/>
    <w:rsid w:val="009A52F1"/>
    <w:rsid w:val="009A535C"/>
    <w:rsid w:val="009A68E9"/>
    <w:rsid w:val="009A69B6"/>
    <w:rsid w:val="009A7326"/>
    <w:rsid w:val="009A7B75"/>
    <w:rsid w:val="009A7E43"/>
    <w:rsid w:val="009A7FC6"/>
    <w:rsid w:val="009A7FF9"/>
    <w:rsid w:val="009B017B"/>
    <w:rsid w:val="009B018E"/>
    <w:rsid w:val="009B0295"/>
    <w:rsid w:val="009B073C"/>
    <w:rsid w:val="009B07DD"/>
    <w:rsid w:val="009B0EC9"/>
    <w:rsid w:val="009B12F2"/>
    <w:rsid w:val="009B1682"/>
    <w:rsid w:val="009B2038"/>
    <w:rsid w:val="009B2129"/>
    <w:rsid w:val="009B28DE"/>
    <w:rsid w:val="009B3877"/>
    <w:rsid w:val="009B47CE"/>
    <w:rsid w:val="009B4E76"/>
    <w:rsid w:val="009B5391"/>
    <w:rsid w:val="009B577A"/>
    <w:rsid w:val="009B5B0D"/>
    <w:rsid w:val="009B62F2"/>
    <w:rsid w:val="009B671B"/>
    <w:rsid w:val="009B699D"/>
    <w:rsid w:val="009B6CE4"/>
    <w:rsid w:val="009B76D9"/>
    <w:rsid w:val="009B7FD5"/>
    <w:rsid w:val="009C099B"/>
    <w:rsid w:val="009C0C3A"/>
    <w:rsid w:val="009C1403"/>
    <w:rsid w:val="009C163C"/>
    <w:rsid w:val="009C34E0"/>
    <w:rsid w:val="009C375F"/>
    <w:rsid w:val="009C3EED"/>
    <w:rsid w:val="009C3F2F"/>
    <w:rsid w:val="009C3F62"/>
    <w:rsid w:val="009C40E6"/>
    <w:rsid w:val="009C448C"/>
    <w:rsid w:val="009C45E5"/>
    <w:rsid w:val="009C5000"/>
    <w:rsid w:val="009C56A0"/>
    <w:rsid w:val="009C57A9"/>
    <w:rsid w:val="009C5B12"/>
    <w:rsid w:val="009C6967"/>
    <w:rsid w:val="009C6F28"/>
    <w:rsid w:val="009C7F8C"/>
    <w:rsid w:val="009D1085"/>
    <w:rsid w:val="009D2580"/>
    <w:rsid w:val="009D3E01"/>
    <w:rsid w:val="009D440A"/>
    <w:rsid w:val="009D495D"/>
    <w:rsid w:val="009D4BBE"/>
    <w:rsid w:val="009D4BED"/>
    <w:rsid w:val="009D4F71"/>
    <w:rsid w:val="009D55A5"/>
    <w:rsid w:val="009D5EC3"/>
    <w:rsid w:val="009D5EED"/>
    <w:rsid w:val="009D671B"/>
    <w:rsid w:val="009D7048"/>
    <w:rsid w:val="009D708C"/>
    <w:rsid w:val="009D740B"/>
    <w:rsid w:val="009D74CE"/>
    <w:rsid w:val="009D781E"/>
    <w:rsid w:val="009D78C5"/>
    <w:rsid w:val="009D7E13"/>
    <w:rsid w:val="009D7E19"/>
    <w:rsid w:val="009E0053"/>
    <w:rsid w:val="009E04E4"/>
    <w:rsid w:val="009E1A98"/>
    <w:rsid w:val="009E2382"/>
    <w:rsid w:val="009E2E70"/>
    <w:rsid w:val="009E2F55"/>
    <w:rsid w:val="009E31A5"/>
    <w:rsid w:val="009E3528"/>
    <w:rsid w:val="009E37B0"/>
    <w:rsid w:val="009E45D7"/>
    <w:rsid w:val="009E50E8"/>
    <w:rsid w:val="009E5B00"/>
    <w:rsid w:val="009E5B80"/>
    <w:rsid w:val="009E5E74"/>
    <w:rsid w:val="009E5F4E"/>
    <w:rsid w:val="009E6454"/>
    <w:rsid w:val="009E677E"/>
    <w:rsid w:val="009E7448"/>
    <w:rsid w:val="009E78B7"/>
    <w:rsid w:val="009E78D9"/>
    <w:rsid w:val="009E7A8D"/>
    <w:rsid w:val="009E7EE5"/>
    <w:rsid w:val="009F0084"/>
    <w:rsid w:val="009F028D"/>
    <w:rsid w:val="009F03BD"/>
    <w:rsid w:val="009F0BE4"/>
    <w:rsid w:val="009F142F"/>
    <w:rsid w:val="009F14C1"/>
    <w:rsid w:val="009F18E3"/>
    <w:rsid w:val="009F1C19"/>
    <w:rsid w:val="009F1C41"/>
    <w:rsid w:val="009F23B9"/>
    <w:rsid w:val="009F27B8"/>
    <w:rsid w:val="009F2D50"/>
    <w:rsid w:val="009F3A50"/>
    <w:rsid w:val="009F3EDC"/>
    <w:rsid w:val="009F43F5"/>
    <w:rsid w:val="009F440B"/>
    <w:rsid w:val="009F46B0"/>
    <w:rsid w:val="009F4C90"/>
    <w:rsid w:val="009F4CAB"/>
    <w:rsid w:val="009F533B"/>
    <w:rsid w:val="009F5715"/>
    <w:rsid w:val="009F5723"/>
    <w:rsid w:val="009F5AB7"/>
    <w:rsid w:val="009F7206"/>
    <w:rsid w:val="009F7448"/>
    <w:rsid w:val="009F77AD"/>
    <w:rsid w:val="009F7EE8"/>
    <w:rsid w:val="00A00075"/>
    <w:rsid w:val="00A00331"/>
    <w:rsid w:val="00A004A7"/>
    <w:rsid w:val="00A0065B"/>
    <w:rsid w:val="00A01FD8"/>
    <w:rsid w:val="00A020B1"/>
    <w:rsid w:val="00A02AA7"/>
    <w:rsid w:val="00A02CCA"/>
    <w:rsid w:val="00A02FB9"/>
    <w:rsid w:val="00A03095"/>
    <w:rsid w:val="00A03325"/>
    <w:rsid w:val="00A03F67"/>
    <w:rsid w:val="00A041E1"/>
    <w:rsid w:val="00A0443A"/>
    <w:rsid w:val="00A044C6"/>
    <w:rsid w:val="00A04EFE"/>
    <w:rsid w:val="00A05403"/>
    <w:rsid w:val="00A06A0C"/>
    <w:rsid w:val="00A0717C"/>
    <w:rsid w:val="00A0736D"/>
    <w:rsid w:val="00A077F1"/>
    <w:rsid w:val="00A07D50"/>
    <w:rsid w:val="00A10095"/>
    <w:rsid w:val="00A10811"/>
    <w:rsid w:val="00A1088F"/>
    <w:rsid w:val="00A10DBF"/>
    <w:rsid w:val="00A11ABD"/>
    <w:rsid w:val="00A11EF0"/>
    <w:rsid w:val="00A121A0"/>
    <w:rsid w:val="00A128BE"/>
    <w:rsid w:val="00A12BC5"/>
    <w:rsid w:val="00A133C0"/>
    <w:rsid w:val="00A13474"/>
    <w:rsid w:val="00A13855"/>
    <w:rsid w:val="00A13BC2"/>
    <w:rsid w:val="00A13C4D"/>
    <w:rsid w:val="00A13E74"/>
    <w:rsid w:val="00A147F4"/>
    <w:rsid w:val="00A149BB"/>
    <w:rsid w:val="00A15EF0"/>
    <w:rsid w:val="00A16E72"/>
    <w:rsid w:val="00A17609"/>
    <w:rsid w:val="00A204E7"/>
    <w:rsid w:val="00A20C03"/>
    <w:rsid w:val="00A20E2B"/>
    <w:rsid w:val="00A2122E"/>
    <w:rsid w:val="00A21673"/>
    <w:rsid w:val="00A21B08"/>
    <w:rsid w:val="00A22C87"/>
    <w:rsid w:val="00A23366"/>
    <w:rsid w:val="00A23B50"/>
    <w:rsid w:val="00A23D71"/>
    <w:rsid w:val="00A24148"/>
    <w:rsid w:val="00A24629"/>
    <w:rsid w:val="00A259CF"/>
    <w:rsid w:val="00A25AD9"/>
    <w:rsid w:val="00A25D8E"/>
    <w:rsid w:val="00A268B9"/>
    <w:rsid w:val="00A269F5"/>
    <w:rsid w:val="00A26F76"/>
    <w:rsid w:val="00A30044"/>
    <w:rsid w:val="00A3072E"/>
    <w:rsid w:val="00A30B25"/>
    <w:rsid w:val="00A315E6"/>
    <w:rsid w:val="00A31600"/>
    <w:rsid w:val="00A3213E"/>
    <w:rsid w:val="00A3258B"/>
    <w:rsid w:val="00A32E81"/>
    <w:rsid w:val="00A32EA8"/>
    <w:rsid w:val="00A33079"/>
    <w:rsid w:val="00A346B6"/>
    <w:rsid w:val="00A347D6"/>
    <w:rsid w:val="00A34888"/>
    <w:rsid w:val="00A34E13"/>
    <w:rsid w:val="00A353C4"/>
    <w:rsid w:val="00A35DFF"/>
    <w:rsid w:val="00A36350"/>
    <w:rsid w:val="00A36A5B"/>
    <w:rsid w:val="00A370D9"/>
    <w:rsid w:val="00A37A40"/>
    <w:rsid w:val="00A40E51"/>
    <w:rsid w:val="00A40F16"/>
    <w:rsid w:val="00A4104F"/>
    <w:rsid w:val="00A410D6"/>
    <w:rsid w:val="00A4146E"/>
    <w:rsid w:val="00A416F1"/>
    <w:rsid w:val="00A417CF"/>
    <w:rsid w:val="00A41AD1"/>
    <w:rsid w:val="00A42144"/>
    <w:rsid w:val="00A421C8"/>
    <w:rsid w:val="00A42394"/>
    <w:rsid w:val="00A431F8"/>
    <w:rsid w:val="00A43CE8"/>
    <w:rsid w:val="00A443ED"/>
    <w:rsid w:val="00A44A82"/>
    <w:rsid w:val="00A44C10"/>
    <w:rsid w:val="00A455AE"/>
    <w:rsid w:val="00A45C77"/>
    <w:rsid w:val="00A45C81"/>
    <w:rsid w:val="00A45DF0"/>
    <w:rsid w:val="00A45EAB"/>
    <w:rsid w:val="00A46293"/>
    <w:rsid w:val="00A46316"/>
    <w:rsid w:val="00A46465"/>
    <w:rsid w:val="00A46973"/>
    <w:rsid w:val="00A46BAA"/>
    <w:rsid w:val="00A46BF3"/>
    <w:rsid w:val="00A470AE"/>
    <w:rsid w:val="00A47643"/>
    <w:rsid w:val="00A47760"/>
    <w:rsid w:val="00A477A2"/>
    <w:rsid w:val="00A47995"/>
    <w:rsid w:val="00A50466"/>
    <w:rsid w:val="00A50E28"/>
    <w:rsid w:val="00A5179B"/>
    <w:rsid w:val="00A517EB"/>
    <w:rsid w:val="00A5262E"/>
    <w:rsid w:val="00A53368"/>
    <w:rsid w:val="00A53A10"/>
    <w:rsid w:val="00A53DEB"/>
    <w:rsid w:val="00A54186"/>
    <w:rsid w:val="00A56B76"/>
    <w:rsid w:val="00A572E9"/>
    <w:rsid w:val="00A578C0"/>
    <w:rsid w:val="00A602C4"/>
    <w:rsid w:val="00A6064B"/>
    <w:rsid w:val="00A6091F"/>
    <w:rsid w:val="00A61A1A"/>
    <w:rsid w:val="00A61B3D"/>
    <w:rsid w:val="00A61EC3"/>
    <w:rsid w:val="00A62024"/>
    <w:rsid w:val="00A621B1"/>
    <w:rsid w:val="00A62708"/>
    <w:rsid w:val="00A62B82"/>
    <w:rsid w:val="00A62CA3"/>
    <w:rsid w:val="00A62F1C"/>
    <w:rsid w:val="00A635B4"/>
    <w:rsid w:val="00A63B3A"/>
    <w:rsid w:val="00A63D5A"/>
    <w:rsid w:val="00A647D2"/>
    <w:rsid w:val="00A64C2A"/>
    <w:rsid w:val="00A6529C"/>
    <w:rsid w:val="00A6534F"/>
    <w:rsid w:val="00A656A5"/>
    <w:rsid w:val="00A6580A"/>
    <w:rsid w:val="00A6591E"/>
    <w:rsid w:val="00A65A7C"/>
    <w:rsid w:val="00A65EDA"/>
    <w:rsid w:val="00A6647A"/>
    <w:rsid w:val="00A6674E"/>
    <w:rsid w:val="00A67404"/>
    <w:rsid w:val="00A67A70"/>
    <w:rsid w:val="00A67EC4"/>
    <w:rsid w:val="00A67F37"/>
    <w:rsid w:val="00A70305"/>
    <w:rsid w:val="00A70327"/>
    <w:rsid w:val="00A70337"/>
    <w:rsid w:val="00A705AD"/>
    <w:rsid w:val="00A707BB"/>
    <w:rsid w:val="00A70B1E"/>
    <w:rsid w:val="00A713CE"/>
    <w:rsid w:val="00A7149D"/>
    <w:rsid w:val="00A715E2"/>
    <w:rsid w:val="00A7193F"/>
    <w:rsid w:val="00A72B09"/>
    <w:rsid w:val="00A72F99"/>
    <w:rsid w:val="00A73A20"/>
    <w:rsid w:val="00A73C12"/>
    <w:rsid w:val="00A745DD"/>
    <w:rsid w:val="00A74C65"/>
    <w:rsid w:val="00A750CC"/>
    <w:rsid w:val="00A758BD"/>
    <w:rsid w:val="00A758F1"/>
    <w:rsid w:val="00A75AC0"/>
    <w:rsid w:val="00A76E1B"/>
    <w:rsid w:val="00A77432"/>
    <w:rsid w:val="00A77563"/>
    <w:rsid w:val="00A77912"/>
    <w:rsid w:val="00A8055E"/>
    <w:rsid w:val="00A810A6"/>
    <w:rsid w:val="00A81949"/>
    <w:rsid w:val="00A82070"/>
    <w:rsid w:val="00A82516"/>
    <w:rsid w:val="00A8278B"/>
    <w:rsid w:val="00A8380A"/>
    <w:rsid w:val="00A8399D"/>
    <w:rsid w:val="00A839DD"/>
    <w:rsid w:val="00A83AD6"/>
    <w:rsid w:val="00A84056"/>
    <w:rsid w:val="00A842C0"/>
    <w:rsid w:val="00A84F74"/>
    <w:rsid w:val="00A850A9"/>
    <w:rsid w:val="00A85558"/>
    <w:rsid w:val="00A85CB5"/>
    <w:rsid w:val="00A8775F"/>
    <w:rsid w:val="00A902F7"/>
    <w:rsid w:val="00A9047A"/>
    <w:rsid w:val="00A90F38"/>
    <w:rsid w:val="00A912A1"/>
    <w:rsid w:val="00A91795"/>
    <w:rsid w:val="00A920FE"/>
    <w:rsid w:val="00A92B44"/>
    <w:rsid w:val="00A937CE"/>
    <w:rsid w:val="00A93E13"/>
    <w:rsid w:val="00A93FAD"/>
    <w:rsid w:val="00A94541"/>
    <w:rsid w:val="00A94CA8"/>
    <w:rsid w:val="00A95214"/>
    <w:rsid w:val="00A9561B"/>
    <w:rsid w:val="00A95906"/>
    <w:rsid w:val="00A95AAF"/>
    <w:rsid w:val="00A96AF4"/>
    <w:rsid w:val="00A96C31"/>
    <w:rsid w:val="00A96EB6"/>
    <w:rsid w:val="00AA00D5"/>
    <w:rsid w:val="00AA04D1"/>
    <w:rsid w:val="00AA0F0E"/>
    <w:rsid w:val="00AA1F71"/>
    <w:rsid w:val="00AA21B8"/>
    <w:rsid w:val="00AA22D7"/>
    <w:rsid w:val="00AA2402"/>
    <w:rsid w:val="00AA2594"/>
    <w:rsid w:val="00AA2A8D"/>
    <w:rsid w:val="00AA2D89"/>
    <w:rsid w:val="00AA3066"/>
    <w:rsid w:val="00AA4427"/>
    <w:rsid w:val="00AA4526"/>
    <w:rsid w:val="00AA4F34"/>
    <w:rsid w:val="00AA6600"/>
    <w:rsid w:val="00AA670B"/>
    <w:rsid w:val="00AA6E06"/>
    <w:rsid w:val="00AA7377"/>
    <w:rsid w:val="00AA7958"/>
    <w:rsid w:val="00AB07A9"/>
    <w:rsid w:val="00AB0B18"/>
    <w:rsid w:val="00AB113C"/>
    <w:rsid w:val="00AB134B"/>
    <w:rsid w:val="00AB2767"/>
    <w:rsid w:val="00AB30DF"/>
    <w:rsid w:val="00AB3387"/>
    <w:rsid w:val="00AB38A6"/>
    <w:rsid w:val="00AB3ACB"/>
    <w:rsid w:val="00AB4CAE"/>
    <w:rsid w:val="00AB4DF5"/>
    <w:rsid w:val="00AB53AB"/>
    <w:rsid w:val="00AB5CE5"/>
    <w:rsid w:val="00AB6500"/>
    <w:rsid w:val="00AB6616"/>
    <w:rsid w:val="00AB6C75"/>
    <w:rsid w:val="00AB7069"/>
    <w:rsid w:val="00AB7591"/>
    <w:rsid w:val="00AB75E6"/>
    <w:rsid w:val="00AB78A1"/>
    <w:rsid w:val="00AC0041"/>
    <w:rsid w:val="00AC0179"/>
    <w:rsid w:val="00AC06BB"/>
    <w:rsid w:val="00AC12A1"/>
    <w:rsid w:val="00AC3199"/>
    <w:rsid w:val="00AC32DE"/>
    <w:rsid w:val="00AC36F3"/>
    <w:rsid w:val="00AC3977"/>
    <w:rsid w:val="00AC4130"/>
    <w:rsid w:val="00AC4908"/>
    <w:rsid w:val="00AC4DF5"/>
    <w:rsid w:val="00AC4F35"/>
    <w:rsid w:val="00AC50E4"/>
    <w:rsid w:val="00AC5179"/>
    <w:rsid w:val="00AC585E"/>
    <w:rsid w:val="00AC5CD3"/>
    <w:rsid w:val="00AC60B9"/>
    <w:rsid w:val="00AC6347"/>
    <w:rsid w:val="00AC6856"/>
    <w:rsid w:val="00AC6B8D"/>
    <w:rsid w:val="00AC6EA3"/>
    <w:rsid w:val="00AC7EE4"/>
    <w:rsid w:val="00AC7F3C"/>
    <w:rsid w:val="00AD0200"/>
    <w:rsid w:val="00AD1E72"/>
    <w:rsid w:val="00AD2C63"/>
    <w:rsid w:val="00AD376E"/>
    <w:rsid w:val="00AD3BB3"/>
    <w:rsid w:val="00AD4100"/>
    <w:rsid w:val="00AD4759"/>
    <w:rsid w:val="00AD50C2"/>
    <w:rsid w:val="00AD573C"/>
    <w:rsid w:val="00AD60F5"/>
    <w:rsid w:val="00AD618F"/>
    <w:rsid w:val="00AD62E9"/>
    <w:rsid w:val="00AD6D89"/>
    <w:rsid w:val="00AD7384"/>
    <w:rsid w:val="00AD7672"/>
    <w:rsid w:val="00AD77E4"/>
    <w:rsid w:val="00AE03A2"/>
    <w:rsid w:val="00AE0AFD"/>
    <w:rsid w:val="00AE10A9"/>
    <w:rsid w:val="00AE13B8"/>
    <w:rsid w:val="00AE1407"/>
    <w:rsid w:val="00AE14B1"/>
    <w:rsid w:val="00AE15AE"/>
    <w:rsid w:val="00AE19EB"/>
    <w:rsid w:val="00AE259B"/>
    <w:rsid w:val="00AE281E"/>
    <w:rsid w:val="00AE3E77"/>
    <w:rsid w:val="00AE40FB"/>
    <w:rsid w:val="00AE464F"/>
    <w:rsid w:val="00AE4A45"/>
    <w:rsid w:val="00AE4D5F"/>
    <w:rsid w:val="00AE5158"/>
    <w:rsid w:val="00AE5410"/>
    <w:rsid w:val="00AE574A"/>
    <w:rsid w:val="00AE59B3"/>
    <w:rsid w:val="00AE5B71"/>
    <w:rsid w:val="00AE5CF3"/>
    <w:rsid w:val="00AE6242"/>
    <w:rsid w:val="00AE63FA"/>
    <w:rsid w:val="00AE66BF"/>
    <w:rsid w:val="00AE6700"/>
    <w:rsid w:val="00AE6A46"/>
    <w:rsid w:val="00AE7A83"/>
    <w:rsid w:val="00AE7C9E"/>
    <w:rsid w:val="00AE7F39"/>
    <w:rsid w:val="00AF0DFC"/>
    <w:rsid w:val="00AF0E9C"/>
    <w:rsid w:val="00AF10EA"/>
    <w:rsid w:val="00AF113A"/>
    <w:rsid w:val="00AF131B"/>
    <w:rsid w:val="00AF1B74"/>
    <w:rsid w:val="00AF1EF0"/>
    <w:rsid w:val="00AF229F"/>
    <w:rsid w:val="00AF2C44"/>
    <w:rsid w:val="00AF2CED"/>
    <w:rsid w:val="00AF3127"/>
    <w:rsid w:val="00AF3145"/>
    <w:rsid w:val="00AF3B85"/>
    <w:rsid w:val="00AF40EB"/>
    <w:rsid w:val="00AF4A23"/>
    <w:rsid w:val="00AF4DF4"/>
    <w:rsid w:val="00AF4E3C"/>
    <w:rsid w:val="00AF4E6C"/>
    <w:rsid w:val="00AF516B"/>
    <w:rsid w:val="00AF574A"/>
    <w:rsid w:val="00AF5CE4"/>
    <w:rsid w:val="00AF5E90"/>
    <w:rsid w:val="00AF60B2"/>
    <w:rsid w:val="00AF6498"/>
    <w:rsid w:val="00AF64B7"/>
    <w:rsid w:val="00AF6677"/>
    <w:rsid w:val="00AF6717"/>
    <w:rsid w:val="00AF6989"/>
    <w:rsid w:val="00AF69E0"/>
    <w:rsid w:val="00AF6CCF"/>
    <w:rsid w:val="00AF6D00"/>
    <w:rsid w:val="00AF6F46"/>
    <w:rsid w:val="00AF769C"/>
    <w:rsid w:val="00B00E3E"/>
    <w:rsid w:val="00B016FD"/>
    <w:rsid w:val="00B018D8"/>
    <w:rsid w:val="00B01B41"/>
    <w:rsid w:val="00B01EC0"/>
    <w:rsid w:val="00B02A04"/>
    <w:rsid w:val="00B02BD7"/>
    <w:rsid w:val="00B02F6B"/>
    <w:rsid w:val="00B031E4"/>
    <w:rsid w:val="00B03AF0"/>
    <w:rsid w:val="00B03D19"/>
    <w:rsid w:val="00B03E79"/>
    <w:rsid w:val="00B04F62"/>
    <w:rsid w:val="00B05275"/>
    <w:rsid w:val="00B0539B"/>
    <w:rsid w:val="00B05526"/>
    <w:rsid w:val="00B05F22"/>
    <w:rsid w:val="00B05FBE"/>
    <w:rsid w:val="00B0647A"/>
    <w:rsid w:val="00B0652A"/>
    <w:rsid w:val="00B069A1"/>
    <w:rsid w:val="00B072FE"/>
    <w:rsid w:val="00B07C6D"/>
    <w:rsid w:val="00B07CAB"/>
    <w:rsid w:val="00B07CBC"/>
    <w:rsid w:val="00B102AB"/>
    <w:rsid w:val="00B103C6"/>
    <w:rsid w:val="00B10694"/>
    <w:rsid w:val="00B1092E"/>
    <w:rsid w:val="00B11124"/>
    <w:rsid w:val="00B113F0"/>
    <w:rsid w:val="00B11838"/>
    <w:rsid w:val="00B11B57"/>
    <w:rsid w:val="00B11B5D"/>
    <w:rsid w:val="00B121C6"/>
    <w:rsid w:val="00B127BD"/>
    <w:rsid w:val="00B12A9D"/>
    <w:rsid w:val="00B13BB4"/>
    <w:rsid w:val="00B1460C"/>
    <w:rsid w:val="00B146EA"/>
    <w:rsid w:val="00B14D65"/>
    <w:rsid w:val="00B15075"/>
    <w:rsid w:val="00B1566C"/>
    <w:rsid w:val="00B156F9"/>
    <w:rsid w:val="00B16039"/>
    <w:rsid w:val="00B1688A"/>
    <w:rsid w:val="00B16EA0"/>
    <w:rsid w:val="00B16FC5"/>
    <w:rsid w:val="00B17266"/>
    <w:rsid w:val="00B175A0"/>
    <w:rsid w:val="00B20163"/>
    <w:rsid w:val="00B2047C"/>
    <w:rsid w:val="00B204A9"/>
    <w:rsid w:val="00B206D0"/>
    <w:rsid w:val="00B20B36"/>
    <w:rsid w:val="00B210AE"/>
    <w:rsid w:val="00B21547"/>
    <w:rsid w:val="00B215D2"/>
    <w:rsid w:val="00B21861"/>
    <w:rsid w:val="00B21A25"/>
    <w:rsid w:val="00B224A5"/>
    <w:rsid w:val="00B228E1"/>
    <w:rsid w:val="00B22C6F"/>
    <w:rsid w:val="00B230AA"/>
    <w:rsid w:val="00B230B5"/>
    <w:rsid w:val="00B23A22"/>
    <w:rsid w:val="00B23F5E"/>
    <w:rsid w:val="00B24622"/>
    <w:rsid w:val="00B24C58"/>
    <w:rsid w:val="00B250A3"/>
    <w:rsid w:val="00B25849"/>
    <w:rsid w:val="00B25FDC"/>
    <w:rsid w:val="00B264E6"/>
    <w:rsid w:val="00B26BEC"/>
    <w:rsid w:val="00B2704C"/>
    <w:rsid w:val="00B279CF"/>
    <w:rsid w:val="00B30283"/>
    <w:rsid w:val="00B305F0"/>
    <w:rsid w:val="00B3061C"/>
    <w:rsid w:val="00B306A1"/>
    <w:rsid w:val="00B30BC3"/>
    <w:rsid w:val="00B30CCE"/>
    <w:rsid w:val="00B310BC"/>
    <w:rsid w:val="00B32065"/>
    <w:rsid w:val="00B32143"/>
    <w:rsid w:val="00B32328"/>
    <w:rsid w:val="00B326B1"/>
    <w:rsid w:val="00B32705"/>
    <w:rsid w:val="00B33510"/>
    <w:rsid w:val="00B34CA8"/>
    <w:rsid w:val="00B34E33"/>
    <w:rsid w:val="00B34EF7"/>
    <w:rsid w:val="00B3555F"/>
    <w:rsid w:val="00B36355"/>
    <w:rsid w:val="00B368C9"/>
    <w:rsid w:val="00B36990"/>
    <w:rsid w:val="00B37344"/>
    <w:rsid w:val="00B37662"/>
    <w:rsid w:val="00B37E4A"/>
    <w:rsid w:val="00B407C3"/>
    <w:rsid w:val="00B40A10"/>
    <w:rsid w:val="00B40BAB"/>
    <w:rsid w:val="00B40D9B"/>
    <w:rsid w:val="00B4194B"/>
    <w:rsid w:val="00B43847"/>
    <w:rsid w:val="00B43C7B"/>
    <w:rsid w:val="00B43CFC"/>
    <w:rsid w:val="00B44754"/>
    <w:rsid w:val="00B4481C"/>
    <w:rsid w:val="00B44CFC"/>
    <w:rsid w:val="00B44F3F"/>
    <w:rsid w:val="00B44F69"/>
    <w:rsid w:val="00B451C0"/>
    <w:rsid w:val="00B456C1"/>
    <w:rsid w:val="00B45C13"/>
    <w:rsid w:val="00B46905"/>
    <w:rsid w:val="00B46AE8"/>
    <w:rsid w:val="00B471C2"/>
    <w:rsid w:val="00B47267"/>
    <w:rsid w:val="00B474B7"/>
    <w:rsid w:val="00B479A2"/>
    <w:rsid w:val="00B47B98"/>
    <w:rsid w:val="00B503DD"/>
    <w:rsid w:val="00B51BA9"/>
    <w:rsid w:val="00B51EC4"/>
    <w:rsid w:val="00B529F6"/>
    <w:rsid w:val="00B52BA4"/>
    <w:rsid w:val="00B52D62"/>
    <w:rsid w:val="00B5309C"/>
    <w:rsid w:val="00B530AA"/>
    <w:rsid w:val="00B530D8"/>
    <w:rsid w:val="00B53292"/>
    <w:rsid w:val="00B53464"/>
    <w:rsid w:val="00B53485"/>
    <w:rsid w:val="00B534C5"/>
    <w:rsid w:val="00B536D6"/>
    <w:rsid w:val="00B537B3"/>
    <w:rsid w:val="00B542A0"/>
    <w:rsid w:val="00B54C8D"/>
    <w:rsid w:val="00B54E42"/>
    <w:rsid w:val="00B5567E"/>
    <w:rsid w:val="00B55E37"/>
    <w:rsid w:val="00B560A5"/>
    <w:rsid w:val="00B567F0"/>
    <w:rsid w:val="00B56D24"/>
    <w:rsid w:val="00B56DDC"/>
    <w:rsid w:val="00B56E5A"/>
    <w:rsid w:val="00B57392"/>
    <w:rsid w:val="00B57A3C"/>
    <w:rsid w:val="00B61383"/>
    <w:rsid w:val="00B62374"/>
    <w:rsid w:val="00B626C2"/>
    <w:rsid w:val="00B62903"/>
    <w:rsid w:val="00B63077"/>
    <w:rsid w:val="00B64A35"/>
    <w:rsid w:val="00B64CD2"/>
    <w:rsid w:val="00B659AE"/>
    <w:rsid w:val="00B65BAF"/>
    <w:rsid w:val="00B65D40"/>
    <w:rsid w:val="00B65D9F"/>
    <w:rsid w:val="00B66951"/>
    <w:rsid w:val="00B6775D"/>
    <w:rsid w:val="00B677ED"/>
    <w:rsid w:val="00B67EDC"/>
    <w:rsid w:val="00B70A01"/>
    <w:rsid w:val="00B70CA9"/>
    <w:rsid w:val="00B70E03"/>
    <w:rsid w:val="00B7115C"/>
    <w:rsid w:val="00B71296"/>
    <w:rsid w:val="00B712FB"/>
    <w:rsid w:val="00B72489"/>
    <w:rsid w:val="00B72B18"/>
    <w:rsid w:val="00B72DC4"/>
    <w:rsid w:val="00B734B3"/>
    <w:rsid w:val="00B73654"/>
    <w:rsid w:val="00B75A97"/>
    <w:rsid w:val="00B75BF8"/>
    <w:rsid w:val="00B75FF4"/>
    <w:rsid w:val="00B76859"/>
    <w:rsid w:val="00B76B25"/>
    <w:rsid w:val="00B77227"/>
    <w:rsid w:val="00B7727D"/>
    <w:rsid w:val="00B77358"/>
    <w:rsid w:val="00B77700"/>
    <w:rsid w:val="00B80068"/>
    <w:rsid w:val="00B80573"/>
    <w:rsid w:val="00B807B7"/>
    <w:rsid w:val="00B80864"/>
    <w:rsid w:val="00B8086A"/>
    <w:rsid w:val="00B8099E"/>
    <w:rsid w:val="00B80A7C"/>
    <w:rsid w:val="00B81390"/>
    <w:rsid w:val="00B81555"/>
    <w:rsid w:val="00B81728"/>
    <w:rsid w:val="00B82AD6"/>
    <w:rsid w:val="00B82EF5"/>
    <w:rsid w:val="00B836D4"/>
    <w:rsid w:val="00B8384C"/>
    <w:rsid w:val="00B838FE"/>
    <w:rsid w:val="00B84B2F"/>
    <w:rsid w:val="00B84E12"/>
    <w:rsid w:val="00B867F3"/>
    <w:rsid w:val="00B87234"/>
    <w:rsid w:val="00B87331"/>
    <w:rsid w:val="00B87494"/>
    <w:rsid w:val="00B90242"/>
    <w:rsid w:val="00B90298"/>
    <w:rsid w:val="00B90591"/>
    <w:rsid w:val="00B915F4"/>
    <w:rsid w:val="00B91D92"/>
    <w:rsid w:val="00B91F07"/>
    <w:rsid w:val="00B92469"/>
    <w:rsid w:val="00B92544"/>
    <w:rsid w:val="00B9265E"/>
    <w:rsid w:val="00B92BA3"/>
    <w:rsid w:val="00B943DB"/>
    <w:rsid w:val="00B94A00"/>
    <w:rsid w:val="00B94D04"/>
    <w:rsid w:val="00B94D6D"/>
    <w:rsid w:val="00B94D92"/>
    <w:rsid w:val="00B950BB"/>
    <w:rsid w:val="00B957AF"/>
    <w:rsid w:val="00B957B3"/>
    <w:rsid w:val="00B95843"/>
    <w:rsid w:val="00B95F70"/>
    <w:rsid w:val="00B9620F"/>
    <w:rsid w:val="00B96EBE"/>
    <w:rsid w:val="00BA0179"/>
    <w:rsid w:val="00BA019C"/>
    <w:rsid w:val="00BA08EF"/>
    <w:rsid w:val="00BA0BF1"/>
    <w:rsid w:val="00BA0CD3"/>
    <w:rsid w:val="00BA0E7F"/>
    <w:rsid w:val="00BA0FD0"/>
    <w:rsid w:val="00BA1957"/>
    <w:rsid w:val="00BA1A9A"/>
    <w:rsid w:val="00BA2361"/>
    <w:rsid w:val="00BA2E0B"/>
    <w:rsid w:val="00BA2F14"/>
    <w:rsid w:val="00BA4223"/>
    <w:rsid w:val="00BA44D0"/>
    <w:rsid w:val="00BA4A8C"/>
    <w:rsid w:val="00BA4E0B"/>
    <w:rsid w:val="00BA5155"/>
    <w:rsid w:val="00BA5210"/>
    <w:rsid w:val="00BA5E5C"/>
    <w:rsid w:val="00BA5ED2"/>
    <w:rsid w:val="00BA5FE1"/>
    <w:rsid w:val="00BA62A7"/>
    <w:rsid w:val="00BA6A00"/>
    <w:rsid w:val="00BA701A"/>
    <w:rsid w:val="00BA779B"/>
    <w:rsid w:val="00BA79CC"/>
    <w:rsid w:val="00BA7F82"/>
    <w:rsid w:val="00BB0867"/>
    <w:rsid w:val="00BB1139"/>
    <w:rsid w:val="00BB11F2"/>
    <w:rsid w:val="00BB228C"/>
    <w:rsid w:val="00BB2441"/>
    <w:rsid w:val="00BB2745"/>
    <w:rsid w:val="00BB276D"/>
    <w:rsid w:val="00BB38D0"/>
    <w:rsid w:val="00BB3905"/>
    <w:rsid w:val="00BB392D"/>
    <w:rsid w:val="00BB4150"/>
    <w:rsid w:val="00BB43FB"/>
    <w:rsid w:val="00BB46E8"/>
    <w:rsid w:val="00BB503E"/>
    <w:rsid w:val="00BB5D5B"/>
    <w:rsid w:val="00BB5ED0"/>
    <w:rsid w:val="00BB5F6F"/>
    <w:rsid w:val="00BB6324"/>
    <w:rsid w:val="00BB6B33"/>
    <w:rsid w:val="00BB74D6"/>
    <w:rsid w:val="00BB76E9"/>
    <w:rsid w:val="00BB7751"/>
    <w:rsid w:val="00BB7DF3"/>
    <w:rsid w:val="00BC0ECB"/>
    <w:rsid w:val="00BC1508"/>
    <w:rsid w:val="00BC1E15"/>
    <w:rsid w:val="00BC1F3C"/>
    <w:rsid w:val="00BC1FFC"/>
    <w:rsid w:val="00BC2548"/>
    <w:rsid w:val="00BC2BEF"/>
    <w:rsid w:val="00BC2E2C"/>
    <w:rsid w:val="00BC301A"/>
    <w:rsid w:val="00BC463F"/>
    <w:rsid w:val="00BC47AC"/>
    <w:rsid w:val="00BC5032"/>
    <w:rsid w:val="00BC5125"/>
    <w:rsid w:val="00BC59C6"/>
    <w:rsid w:val="00BC60EF"/>
    <w:rsid w:val="00BC6366"/>
    <w:rsid w:val="00BC63C5"/>
    <w:rsid w:val="00BC71D7"/>
    <w:rsid w:val="00BC7628"/>
    <w:rsid w:val="00BD0646"/>
    <w:rsid w:val="00BD0A1F"/>
    <w:rsid w:val="00BD0DDE"/>
    <w:rsid w:val="00BD0FF4"/>
    <w:rsid w:val="00BD149D"/>
    <w:rsid w:val="00BD1BF1"/>
    <w:rsid w:val="00BD1E66"/>
    <w:rsid w:val="00BD201D"/>
    <w:rsid w:val="00BD20CF"/>
    <w:rsid w:val="00BD24CC"/>
    <w:rsid w:val="00BD2CE0"/>
    <w:rsid w:val="00BD2CE4"/>
    <w:rsid w:val="00BD3897"/>
    <w:rsid w:val="00BD3DDA"/>
    <w:rsid w:val="00BD3EE5"/>
    <w:rsid w:val="00BD4708"/>
    <w:rsid w:val="00BD4DD9"/>
    <w:rsid w:val="00BD5A0C"/>
    <w:rsid w:val="00BD6092"/>
    <w:rsid w:val="00BD665F"/>
    <w:rsid w:val="00BD7975"/>
    <w:rsid w:val="00BD7B66"/>
    <w:rsid w:val="00BE05E0"/>
    <w:rsid w:val="00BE0F3B"/>
    <w:rsid w:val="00BE1073"/>
    <w:rsid w:val="00BE12FA"/>
    <w:rsid w:val="00BE1939"/>
    <w:rsid w:val="00BE1A2B"/>
    <w:rsid w:val="00BE1FDD"/>
    <w:rsid w:val="00BE24D4"/>
    <w:rsid w:val="00BE341C"/>
    <w:rsid w:val="00BE353C"/>
    <w:rsid w:val="00BE370D"/>
    <w:rsid w:val="00BE50CD"/>
    <w:rsid w:val="00BE5526"/>
    <w:rsid w:val="00BE5A6D"/>
    <w:rsid w:val="00BE6604"/>
    <w:rsid w:val="00BE6D20"/>
    <w:rsid w:val="00BE6D4C"/>
    <w:rsid w:val="00BE70ED"/>
    <w:rsid w:val="00BE718E"/>
    <w:rsid w:val="00BE754E"/>
    <w:rsid w:val="00BE779A"/>
    <w:rsid w:val="00BF0048"/>
    <w:rsid w:val="00BF00A3"/>
    <w:rsid w:val="00BF0808"/>
    <w:rsid w:val="00BF0A49"/>
    <w:rsid w:val="00BF102D"/>
    <w:rsid w:val="00BF15CE"/>
    <w:rsid w:val="00BF1750"/>
    <w:rsid w:val="00BF1B68"/>
    <w:rsid w:val="00BF1DFC"/>
    <w:rsid w:val="00BF2B13"/>
    <w:rsid w:val="00BF2D77"/>
    <w:rsid w:val="00BF2ECC"/>
    <w:rsid w:val="00BF38AB"/>
    <w:rsid w:val="00BF3D2E"/>
    <w:rsid w:val="00BF46B7"/>
    <w:rsid w:val="00BF4ADB"/>
    <w:rsid w:val="00BF4F54"/>
    <w:rsid w:val="00BF53B4"/>
    <w:rsid w:val="00BF53FF"/>
    <w:rsid w:val="00BF56DD"/>
    <w:rsid w:val="00BF65FD"/>
    <w:rsid w:val="00BF6DA7"/>
    <w:rsid w:val="00BF6DD5"/>
    <w:rsid w:val="00BF6EA7"/>
    <w:rsid w:val="00BF71BF"/>
    <w:rsid w:val="00BF76E2"/>
    <w:rsid w:val="00BF7B31"/>
    <w:rsid w:val="00C008EC"/>
    <w:rsid w:val="00C018C9"/>
    <w:rsid w:val="00C01FBA"/>
    <w:rsid w:val="00C02260"/>
    <w:rsid w:val="00C029AA"/>
    <w:rsid w:val="00C02BA0"/>
    <w:rsid w:val="00C02E4B"/>
    <w:rsid w:val="00C02F08"/>
    <w:rsid w:val="00C03F3D"/>
    <w:rsid w:val="00C04362"/>
    <w:rsid w:val="00C04CD5"/>
    <w:rsid w:val="00C05602"/>
    <w:rsid w:val="00C05A69"/>
    <w:rsid w:val="00C05CD7"/>
    <w:rsid w:val="00C05F9F"/>
    <w:rsid w:val="00C063DC"/>
    <w:rsid w:val="00C068B6"/>
    <w:rsid w:val="00C070D4"/>
    <w:rsid w:val="00C07320"/>
    <w:rsid w:val="00C07888"/>
    <w:rsid w:val="00C07B45"/>
    <w:rsid w:val="00C07E4F"/>
    <w:rsid w:val="00C07F19"/>
    <w:rsid w:val="00C104B6"/>
    <w:rsid w:val="00C10792"/>
    <w:rsid w:val="00C10794"/>
    <w:rsid w:val="00C10C11"/>
    <w:rsid w:val="00C11806"/>
    <w:rsid w:val="00C12530"/>
    <w:rsid w:val="00C1292E"/>
    <w:rsid w:val="00C12FFE"/>
    <w:rsid w:val="00C131F7"/>
    <w:rsid w:val="00C13469"/>
    <w:rsid w:val="00C13BA5"/>
    <w:rsid w:val="00C13C9E"/>
    <w:rsid w:val="00C13E32"/>
    <w:rsid w:val="00C1416F"/>
    <w:rsid w:val="00C145E7"/>
    <w:rsid w:val="00C146E1"/>
    <w:rsid w:val="00C14C48"/>
    <w:rsid w:val="00C14F5F"/>
    <w:rsid w:val="00C15323"/>
    <w:rsid w:val="00C15B5D"/>
    <w:rsid w:val="00C1605C"/>
    <w:rsid w:val="00C16305"/>
    <w:rsid w:val="00C168E1"/>
    <w:rsid w:val="00C16CBF"/>
    <w:rsid w:val="00C17861"/>
    <w:rsid w:val="00C17A35"/>
    <w:rsid w:val="00C17C5C"/>
    <w:rsid w:val="00C17D6F"/>
    <w:rsid w:val="00C17FBF"/>
    <w:rsid w:val="00C201CA"/>
    <w:rsid w:val="00C202BB"/>
    <w:rsid w:val="00C2040B"/>
    <w:rsid w:val="00C2059A"/>
    <w:rsid w:val="00C21125"/>
    <w:rsid w:val="00C22D06"/>
    <w:rsid w:val="00C22D9B"/>
    <w:rsid w:val="00C23664"/>
    <w:rsid w:val="00C240AA"/>
    <w:rsid w:val="00C2436A"/>
    <w:rsid w:val="00C24A6C"/>
    <w:rsid w:val="00C25008"/>
    <w:rsid w:val="00C25144"/>
    <w:rsid w:val="00C2528F"/>
    <w:rsid w:val="00C253D9"/>
    <w:rsid w:val="00C25CEE"/>
    <w:rsid w:val="00C26032"/>
    <w:rsid w:val="00C26605"/>
    <w:rsid w:val="00C2717B"/>
    <w:rsid w:val="00C27288"/>
    <w:rsid w:val="00C27752"/>
    <w:rsid w:val="00C27A3C"/>
    <w:rsid w:val="00C27BC6"/>
    <w:rsid w:val="00C30A48"/>
    <w:rsid w:val="00C311F6"/>
    <w:rsid w:val="00C3139D"/>
    <w:rsid w:val="00C313ED"/>
    <w:rsid w:val="00C31824"/>
    <w:rsid w:val="00C31D91"/>
    <w:rsid w:val="00C3237A"/>
    <w:rsid w:val="00C327E0"/>
    <w:rsid w:val="00C32AE4"/>
    <w:rsid w:val="00C3358D"/>
    <w:rsid w:val="00C3390A"/>
    <w:rsid w:val="00C339C5"/>
    <w:rsid w:val="00C33A79"/>
    <w:rsid w:val="00C34493"/>
    <w:rsid w:val="00C349A3"/>
    <w:rsid w:val="00C34ACB"/>
    <w:rsid w:val="00C35093"/>
    <w:rsid w:val="00C35D22"/>
    <w:rsid w:val="00C373CA"/>
    <w:rsid w:val="00C375BD"/>
    <w:rsid w:val="00C37AC0"/>
    <w:rsid w:val="00C405BE"/>
    <w:rsid w:val="00C40727"/>
    <w:rsid w:val="00C40795"/>
    <w:rsid w:val="00C409CA"/>
    <w:rsid w:val="00C40DA2"/>
    <w:rsid w:val="00C4112C"/>
    <w:rsid w:val="00C41442"/>
    <w:rsid w:val="00C41C37"/>
    <w:rsid w:val="00C42A69"/>
    <w:rsid w:val="00C43ABE"/>
    <w:rsid w:val="00C43DE6"/>
    <w:rsid w:val="00C4458A"/>
    <w:rsid w:val="00C446E7"/>
    <w:rsid w:val="00C44FB1"/>
    <w:rsid w:val="00C4546D"/>
    <w:rsid w:val="00C45590"/>
    <w:rsid w:val="00C46259"/>
    <w:rsid w:val="00C46530"/>
    <w:rsid w:val="00C4653A"/>
    <w:rsid w:val="00C46875"/>
    <w:rsid w:val="00C47062"/>
    <w:rsid w:val="00C47ADB"/>
    <w:rsid w:val="00C47F2F"/>
    <w:rsid w:val="00C50246"/>
    <w:rsid w:val="00C50944"/>
    <w:rsid w:val="00C50AC5"/>
    <w:rsid w:val="00C50BBB"/>
    <w:rsid w:val="00C50D93"/>
    <w:rsid w:val="00C512A5"/>
    <w:rsid w:val="00C5140B"/>
    <w:rsid w:val="00C51CC3"/>
    <w:rsid w:val="00C51EA1"/>
    <w:rsid w:val="00C52AAB"/>
    <w:rsid w:val="00C52C09"/>
    <w:rsid w:val="00C52F53"/>
    <w:rsid w:val="00C530FB"/>
    <w:rsid w:val="00C5363F"/>
    <w:rsid w:val="00C53992"/>
    <w:rsid w:val="00C53B01"/>
    <w:rsid w:val="00C53B06"/>
    <w:rsid w:val="00C53C51"/>
    <w:rsid w:val="00C5452D"/>
    <w:rsid w:val="00C54760"/>
    <w:rsid w:val="00C54E28"/>
    <w:rsid w:val="00C54F17"/>
    <w:rsid w:val="00C55B0C"/>
    <w:rsid w:val="00C56171"/>
    <w:rsid w:val="00C561A3"/>
    <w:rsid w:val="00C56BB1"/>
    <w:rsid w:val="00C56C7D"/>
    <w:rsid w:val="00C56D79"/>
    <w:rsid w:val="00C57173"/>
    <w:rsid w:val="00C57198"/>
    <w:rsid w:val="00C57B01"/>
    <w:rsid w:val="00C57DF4"/>
    <w:rsid w:val="00C603C5"/>
    <w:rsid w:val="00C60853"/>
    <w:rsid w:val="00C609A2"/>
    <w:rsid w:val="00C622C4"/>
    <w:rsid w:val="00C624AD"/>
    <w:rsid w:val="00C629A4"/>
    <w:rsid w:val="00C62BB3"/>
    <w:rsid w:val="00C6395C"/>
    <w:rsid w:val="00C643F0"/>
    <w:rsid w:val="00C65728"/>
    <w:rsid w:val="00C65A5D"/>
    <w:rsid w:val="00C65B5A"/>
    <w:rsid w:val="00C65EB7"/>
    <w:rsid w:val="00C65F47"/>
    <w:rsid w:val="00C66371"/>
    <w:rsid w:val="00C6652C"/>
    <w:rsid w:val="00C66DF6"/>
    <w:rsid w:val="00C66E18"/>
    <w:rsid w:val="00C66E3B"/>
    <w:rsid w:val="00C677FC"/>
    <w:rsid w:val="00C67AC8"/>
    <w:rsid w:val="00C67EE3"/>
    <w:rsid w:val="00C70B87"/>
    <w:rsid w:val="00C7166F"/>
    <w:rsid w:val="00C71DF4"/>
    <w:rsid w:val="00C72910"/>
    <w:rsid w:val="00C73241"/>
    <w:rsid w:val="00C73401"/>
    <w:rsid w:val="00C73744"/>
    <w:rsid w:val="00C73987"/>
    <w:rsid w:val="00C73AAD"/>
    <w:rsid w:val="00C73BE7"/>
    <w:rsid w:val="00C74032"/>
    <w:rsid w:val="00C749F4"/>
    <w:rsid w:val="00C74CD9"/>
    <w:rsid w:val="00C74F8A"/>
    <w:rsid w:val="00C750DA"/>
    <w:rsid w:val="00C75B30"/>
    <w:rsid w:val="00C7608D"/>
    <w:rsid w:val="00C760B3"/>
    <w:rsid w:val="00C767BB"/>
    <w:rsid w:val="00C76CEB"/>
    <w:rsid w:val="00C771B2"/>
    <w:rsid w:val="00C772C1"/>
    <w:rsid w:val="00C77764"/>
    <w:rsid w:val="00C77EB3"/>
    <w:rsid w:val="00C77F4A"/>
    <w:rsid w:val="00C8019B"/>
    <w:rsid w:val="00C8173C"/>
    <w:rsid w:val="00C81753"/>
    <w:rsid w:val="00C822C6"/>
    <w:rsid w:val="00C828F8"/>
    <w:rsid w:val="00C82CFB"/>
    <w:rsid w:val="00C82E27"/>
    <w:rsid w:val="00C83B77"/>
    <w:rsid w:val="00C83F64"/>
    <w:rsid w:val="00C848EE"/>
    <w:rsid w:val="00C849F8"/>
    <w:rsid w:val="00C84A6A"/>
    <w:rsid w:val="00C84CCC"/>
    <w:rsid w:val="00C85473"/>
    <w:rsid w:val="00C85825"/>
    <w:rsid w:val="00C85FCB"/>
    <w:rsid w:val="00C86207"/>
    <w:rsid w:val="00C86410"/>
    <w:rsid w:val="00C86519"/>
    <w:rsid w:val="00C8672B"/>
    <w:rsid w:val="00C86C8A"/>
    <w:rsid w:val="00C86D2B"/>
    <w:rsid w:val="00C86F49"/>
    <w:rsid w:val="00C87826"/>
    <w:rsid w:val="00C87907"/>
    <w:rsid w:val="00C87D73"/>
    <w:rsid w:val="00C90249"/>
    <w:rsid w:val="00C90656"/>
    <w:rsid w:val="00C9096C"/>
    <w:rsid w:val="00C90CF5"/>
    <w:rsid w:val="00C91B28"/>
    <w:rsid w:val="00C91B65"/>
    <w:rsid w:val="00C92546"/>
    <w:rsid w:val="00C928A7"/>
    <w:rsid w:val="00C9346F"/>
    <w:rsid w:val="00C949D1"/>
    <w:rsid w:val="00C94C56"/>
    <w:rsid w:val="00C9564B"/>
    <w:rsid w:val="00C9565C"/>
    <w:rsid w:val="00C95BD3"/>
    <w:rsid w:val="00CA113F"/>
    <w:rsid w:val="00CA2622"/>
    <w:rsid w:val="00CA3372"/>
    <w:rsid w:val="00CA3679"/>
    <w:rsid w:val="00CA5433"/>
    <w:rsid w:val="00CA585B"/>
    <w:rsid w:val="00CA61E0"/>
    <w:rsid w:val="00CA624B"/>
    <w:rsid w:val="00CA6289"/>
    <w:rsid w:val="00CA6B48"/>
    <w:rsid w:val="00CA71AC"/>
    <w:rsid w:val="00CB0672"/>
    <w:rsid w:val="00CB0906"/>
    <w:rsid w:val="00CB0D6E"/>
    <w:rsid w:val="00CB0F8B"/>
    <w:rsid w:val="00CB1880"/>
    <w:rsid w:val="00CB19BB"/>
    <w:rsid w:val="00CB1A1B"/>
    <w:rsid w:val="00CB1ABE"/>
    <w:rsid w:val="00CB1DAC"/>
    <w:rsid w:val="00CB20AC"/>
    <w:rsid w:val="00CB28E7"/>
    <w:rsid w:val="00CB292E"/>
    <w:rsid w:val="00CB2B6A"/>
    <w:rsid w:val="00CB2DE4"/>
    <w:rsid w:val="00CB31C9"/>
    <w:rsid w:val="00CB33BF"/>
    <w:rsid w:val="00CB351C"/>
    <w:rsid w:val="00CB3E51"/>
    <w:rsid w:val="00CB4F5E"/>
    <w:rsid w:val="00CB54EC"/>
    <w:rsid w:val="00CB61B8"/>
    <w:rsid w:val="00CB70B5"/>
    <w:rsid w:val="00CB7168"/>
    <w:rsid w:val="00CB756D"/>
    <w:rsid w:val="00CB7A0D"/>
    <w:rsid w:val="00CC083B"/>
    <w:rsid w:val="00CC0A97"/>
    <w:rsid w:val="00CC0E9A"/>
    <w:rsid w:val="00CC118C"/>
    <w:rsid w:val="00CC11EF"/>
    <w:rsid w:val="00CC1B36"/>
    <w:rsid w:val="00CC1FB8"/>
    <w:rsid w:val="00CC25DD"/>
    <w:rsid w:val="00CC2ACC"/>
    <w:rsid w:val="00CC3106"/>
    <w:rsid w:val="00CC310C"/>
    <w:rsid w:val="00CC47F3"/>
    <w:rsid w:val="00CC4CA0"/>
    <w:rsid w:val="00CC508E"/>
    <w:rsid w:val="00CC52AB"/>
    <w:rsid w:val="00CC5396"/>
    <w:rsid w:val="00CC6809"/>
    <w:rsid w:val="00CC7147"/>
    <w:rsid w:val="00CC761C"/>
    <w:rsid w:val="00CC7625"/>
    <w:rsid w:val="00CC7FA3"/>
    <w:rsid w:val="00CD0526"/>
    <w:rsid w:val="00CD0B1A"/>
    <w:rsid w:val="00CD0B90"/>
    <w:rsid w:val="00CD0BC9"/>
    <w:rsid w:val="00CD0D36"/>
    <w:rsid w:val="00CD0F36"/>
    <w:rsid w:val="00CD1A99"/>
    <w:rsid w:val="00CD23A8"/>
    <w:rsid w:val="00CD2A97"/>
    <w:rsid w:val="00CD3082"/>
    <w:rsid w:val="00CD4389"/>
    <w:rsid w:val="00CD4664"/>
    <w:rsid w:val="00CD46A7"/>
    <w:rsid w:val="00CD4B01"/>
    <w:rsid w:val="00CD4B6C"/>
    <w:rsid w:val="00CD4D30"/>
    <w:rsid w:val="00CD4E42"/>
    <w:rsid w:val="00CD52B7"/>
    <w:rsid w:val="00CD62CA"/>
    <w:rsid w:val="00CD7622"/>
    <w:rsid w:val="00CD7C78"/>
    <w:rsid w:val="00CE030D"/>
    <w:rsid w:val="00CE0483"/>
    <w:rsid w:val="00CE08FA"/>
    <w:rsid w:val="00CE0A03"/>
    <w:rsid w:val="00CE0FFE"/>
    <w:rsid w:val="00CE1F0A"/>
    <w:rsid w:val="00CE2AD3"/>
    <w:rsid w:val="00CE396A"/>
    <w:rsid w:val="00CE3A59"/>
    <w:rsid w:val="00CE3D2C"/>
    <w:rsid w:val="00CE3E94"/>
    <w:rsid w:val="00CE3EBC"/>
    <w:rsid w:val="00CE3F84"/>
    <w:rsid w:val="00CE3FE0"/>
    <w:rsid w:val="00CE4CAF"/>
    <w:rsid w:val="00CE5C1F"/>
    <w:rsid w:val="00CE5D4D"/>
    <w:rsid w:val="00CE7008"/>
    <w:rsid w:val="00CE71AE"/>
    <w:rsid w:val="00CE752B"/>
    <w:rsid w:val="00CE779C"/>
    <w:rsid w:val="00CE7893"/>
    <w:rsid w:val="00CE7E22"/>
    <w:rsid w:val="00CF07BD"/>
    <w:rsid w:val="00CF0927"/>
    <w:rsid w:val="00CF0A91"/>
    <w:rsid w:val="00CF0D2D"/>
    <w:rsid w:val="00CF1676"/>
    <w:rsid w:val="00CF1760"/>
    <w:rsid w:val="00CF187B"/>
    <w:rsid w:val="00CF1A44"/>
    <w:rsid w:val="00CF1F4C"/>
    <w:rsid w:val="00CF20C6"/>
    <w:rsid w:val="00CF2673"/>
    <w:rsid w:val="00CF2DB9"/>
    <w:rsid w:val="00CF2F34"/>
    <w:rsid w:val="00CF3387"/>
    <w:rsid w:val="00CF39A6"/>
    <w:rsid w:val="00CF47CE"/>
    <w:rsid w:val="00CF4BCB"/>
    <w:rsid w:val="00CF50C3"/>
    <w:rsid w:val="00CF5828"/>
    <w:rsid w:val="00CF5D66"/>
    <w:rsid w:val="00CF5FAD"/>
    <w:rsid w:val="00CF61B8"/>
    <w:rsid w:val="00CF640C"/>
    <w:rsid w:val="00CF6C2F"/>
    <w:rsid w:val="00CF6CA2"/>
    <w:rsid w:val="00CF6E30"/>
    <w:rsid w:val="00CF73C5"/>
    <w:rsid w:val="00CF77F2"/>
    <w:rsid w:val="00CF7FA9"/>
    <w:rsid w:val="00D00B00"/>
    <w:rsid w:val="00D021A2"/>
    <w:rsid w:val="00D022C7"/>
    <w:rsid w:val="00D02C58"/>
    <w:rsid w:val="00D02DE2"/>
    <w:rsid w:val="00D0426E"/>
    <w:rsid w:val="00D04E7C"/>
    <w:rsid w:val="00D051F9"/>
    <w:rsid w:val="00D0532A"/>
    <w:rsid w:val="00D05669"/>
    <w:rsid w:val="00D05C90"/>
    <w:rsid w:val="00D05EC0"/>
    <w:rsid w:val="00D06F81"/>
    <w:rsid w:val="00D07033"/>
    <w:rsid w:val="00D0713C"/>
    <w:rsid w:val="00D07919"/>
    <w:rsid w:val="00D07AAC"/>
    <w:rsid w:val="00D104E0"/>
    <w:rsid w:val="00D10B61"/>
    <w:rsid w:val="00D115E2"/>
    <w:rsid w:val="00D115EC"/>
    <w:rsid w:val="00D11B29"/>
    <w:rsid w:val="00D11CAC"/>
    <w:rsid w:val="00D120B5"/>
    <w:rsid w:val="00D1271D"/>
    <w:rsid w:val="00D13F12"/>
    <w:rsid w:val="00D14708"/>
    <w:rsid w:val="00D14D02"/>
    <w:rsid w:val="00D14EB9"/>
    <w:rsid w:val="00D14EDD"/>
    <w:rsid w:val="00D15584"/>
    <w:rsid w:val="00D160FA"/>
    <w:rsid w:val="00D16284"/>
    <w:rsid w:val="00D1702E"/>
    <w:rsid w:val="00D173DF"/>
    <w:rsid w:val="00D17677"/>
    <w:rsid w:val="00D17BF4"/>
    <w:rsid w:val="00D203AC"/>
    <w:rsid w:val="00D208C5"/>
    <w:rsid w:val="00D20BCD"/>
    <w:rsid w:val="00D20D8A"/>
    <w:rsid w:val="00D216CC"/>
    <w:rsid w:val="00D218EE"/>
    <w:rsid w:val="00D21E9D"/>
    <w:rsid w:val="00D22169"/>
    <w:rsid w:val="00D221B1"/>
    <w:rsid w:val="00D22829"/>
    <w:rsid w:val="00D23AF8"/>
    <w:rsid w:val="00D23D63"/>
    <w:rsid w:val="00D247B4"/>
    <w:rsid w:val="00D247E2"/>
    <w:rsid w:val="00D24F4F"/>
    <w:rsid w:val="00D250F0"/>
    <w:rsid w:val="00D25BAD"/>
    <w:rsid w:val="00D25C13"/>
    <w:rsid w:val="00D25E8A"/>
    <w:rsid w:val="00D25F51"/>
    <w:rsid w:val="00D26315"/>
    <w:rsid w:val="00D26A97"/>
    <w:rsid w:val="00D272B3"/>
    <w:rsid w:val="00D27418"/>
    <w:rsid w:val="00D27620"/>
    <w:rsid w:val="00D276AE"/>
    <w:rsid w:val="00D27972"/>
    <w:rsid w:val="00D30BFC"/>
    <w:rsid w:val="00D31184"/>
    <w:rsid w:val="00D317E5"/>
    <w:rsid w:val="00D31856"/>
    <w:rsid w:val="00D31A69"/>
    <w:rsid w:val="00D31B2D"/>
    <w:rsid w:val="00D322F7"/>
    <w:rsid w:val="00D324A8"/>
    <w:rsid w:val="00D32F1D"/>
    <w:rsid w:val="00D331C0"/>
    <w:rsid w:val="00D33471"/>
    <w:rsid w:val="00D334D2"/>
    <w:rsid w:val="00D33EEE"/>
    <w:rsid w:val="00D347C7"/>
    <w:rsid w:val="00D35033"/>
    <w:rsid w:val="00D35AE5"/>
    <w:rsid w:val="00D35BA9"/>
    <w:rsid w:val="00D35C54"/>
    <w:rsid w:val="00D35D83"/>
    <w:rsid w:val="00D35E24"/>
    <w:rsid w:val="00D36248"/>
    <w:rsid w:val="00D36854"/>
    <w:rsid w:val="00D36917"/>
    <w:rsid w:val="00D37430"/>
    <w:rsid w:val="00D37C70"/>
    <w:rsid w:val="00D37CB5"/>
    <w:rsid w:val="00D400E0"/>
    <w:rsid w:val="00D40520"/>
    <w:rsid w:val="00D41A54"/>
    <w:rsid w:val="00D41F20"/>
    <w:rsid w:val="00D4229F"/>
    <w:rsid w:val="00D42646"/>
    <w:rsid w:val="00D42F59"/>
    <w:rsid w:val="00D44195"/>
    <w:rsid w:val="00D442C8"/>
    <w:rsid w:val="00D4443E"/>
    <w:rsid w:val="00D45009"/>
    <w:rsid w:val="00D45502"/>
    <w:rsid w:val="00D45549"/>
    <w:rsid w:val="00D457A4"/>
    <w:rsid w:val="00D45A5A"/>
    <w:rsid w:val="00D45A71"/>
    <w:rsid w:val="00D45BBC"/>
    <w:rsid w:val="00D45DB0"/>
    <w:rsid w:val="00D460E9"/>
    <w:rsid w:val="00D46873"/>
    <w:rsid w:val="00D46A11"/>
    <w:rsid w:val="00D46C50"/>
    <w:rsid w:val="00D474AD"/>
    <w:rsid w:val="00D47DA7"/>
    <w:rsid w:val="00D50826"/>
    <w:rsid w:val="00D514FD"/>
    <w:rsid w:val="00D51899"/>
    <w:rsid w:val="00D518F0"/>
    <w:rsid w:val="00D5195A"/>
    <w:rsid w:val="00D520D1"/>
    <w:rsid w:val="00D52151"/>
    <w:rsid w:val="00D527B4"/>
    <w:rsid w:val="00D52854"/>
    <w:rsid w:val="00D52CF4"/>
    <w:rsid w:val="00D52CFB"/>
    <w:rsid w:val="00D52E66"/>
    <w:rsid w:val="00D53AB9"/>
    <w:rsid w:val="00D53C2A"/>
    <w:rsid w:val="00D53D9E"/>
    <w:rsid w:val="00D543EF"/>
    <w:rsid w:val="00D5440E"/>
    <w:rsid w:val="00D54590"/>
    <w:rsid w:val="00D5468E"/>
    <w:rsid w:val="00D5564C"/>
    <w:rsid w:val="00D5602A"/>
    <w:rsid w:val="00D576FD"/>
    <w:rsid w:val="00D5794E"/>
    <w:rsid w:val="00D608FF"/>
    <w:rsid w:val="00D60953"/>
    <w:rsid w:val="00D60A65"/>
    <w:rsid w:val="00D6111D"/>
    <w:rsid w:val="00D6171A"/>
    <w:rsid w:val="00D61844"/>
    <w:rsid w:val="00D61DCA"/>
    <w:rsid w:val="00D62E76"/>
    <w:rsid w:val="00D62EF6"/>
    <w:rsid w:val="00D62F61"/>
    <w:rsid w:val="00D62FA0"/>
    <w:rsid w:val="00D63998"/>
    <w:rsid w:val="00D63DBB"/>
    <w:rsid w:val="00D64778"/>
    <w:rsid w:val="00D6480B"/>
    <w:rsid w:val="00D657AA"/>
    <w:rsid w:val="00D660FA"/>
    <w:rsid w:val="00D6697B"/>
    <w:rsid w:val="00D669A9"/>
    <w:rsid w:val="00D66D48"/>
    <w:rsid w:val="00D6701F"/>
    <w:rsid w:val="00D70BE4"/>
    <w:rsid w:val="00D70F9F"/>
    <w:rsid w:val="00D717B1"/>
    <w:rsid w:val="00D71E88"/>
    <w:rsid w:val="00D72257"/>
    <w:rsid w:val="00D72289"/>
    <w:rsid w:val="00D72E5D"/>
    <w:rsid w:val="00D74275"/>
    <w:rsid w:val="00D748C5"/>
    <w:rsid w:val="00D75774"/>
    <w:rsid w:val="00D75896"/>
    <w:rsid w:val="00D760AC"/>
    <w:rsid w:val="00D7629A"/>
    <w:rsid w:val="00D76F2F"/>
    <w:rsid w:val="00D776FB"/>
    <w:rsid w:val="00D779F6"/>
    <w:rsid w:val="00D80033"/>
    <w:rsid w:val="00D80688"/>
    <w:rsid w:val="00D8080B"/>
    <w:rsid w:val="00D80C60"/>
    <w:rsid w:val="00D81DF8"/>
    <w:rsid w:val="00D81E7A"/>
    <w:rsid w:val="00D82E42"/>
    <w:rsid w:val="00D83864"/>
    <w:rsid w:val="00D839C1"/>
    <w:rsid w:val="00D83DFE"/>
    <w:rsid w:val="00D83E5C"/>
    <w:rsid w:val="00D843A5"/>
    <w:rsid w:val="00D84747"/>
    <w:rsid w:val="00D848A5"/>
    <w:rsid w:val="00D84D6B"/>
    <w:rsid w:val="00D8547B"/>
    <w:rsid w:val="00D85BF1"/>
    <w:rsid w:val="00D86273"/>
    <w:rsid w:val="00D86674"/>
    <w:rsid w:val="00D86D1F"/>
    <w:rsid w:val="00D86E5E"/>
    <w:rsid w:val="00D86FA9"/>
    <w:rsid w:val="00D87A0C"/>
    <w:rsid w:val="00D91DD2"/>
    <w:rsid w:val="00D91EF3"/>
    <w:rsid w:val="00D92167"/>
    <w:rsid w:val="00D92A7F"/>
    <w:rsid w:val="00D92C48"/>
    <w:rsid w:val="00D93490"/>
    <w:rsid w:val="00D937E0"/>
    <w:rsid w:val="00D946A9"/>
    <w:rsid w:val="00D9476F"/>
    <w:rsid w:val="00D948E2"/>
    <w:rsid w:val="00D94E87"/>
    <w:rsid w:val="00D95ABE"/>
    <w:rsid w:val="00D967C3"/>
    <w:rsid w:val="00D970DB"/>
    <w:rsid w:val="00D975E4"/>
    <w:rsid w:val="00DA00F9"/>
    <w:rsid w:val="00DA0EEC"/>
    <w:rsid w:val="00DA1CFE"/>
    <w:rsid w:val="00DA2014"/>
    <w:rsid w:val="00DA20E0"/>
    <w:rsid w:val="00DA21F2"/>
    <w:rsid w:val="00DA2548"/>
    <w:rsid w:val="00DA2C87"/>
    <w:rsid w:val="00DA2E2B"/>
    <w:rsid w:val="00DA2F70"/>
    <w:rsid w:val="00DA4385"/>
    <w:rsid w:val="00DA4B78"/>
    <w:rsid w:val="00DA5B6E"/>
    <w:rsid w:val="00DA5FCA"/>
    <w:rsid w:val="00DB021D"/>
    <w:rsid w:val="00DB07D2"/>
    <w:rsid w:val="00DB10B6"/>
    <w:rsid w:val="00DB10E8"/>
    <w:rsid w:val="00DB11B7"/>
    <w:rsid w:val="00DB166B"/>
    <w:rsid w:val="00DB17B1"/>
    <w:rsid w:val="00DB1B88"/>
    <w:rsid w:val="00DB2832"/>
    <w:rsid w:val="00DB2BA8"/>
    <w:rsid w:val="00DB2DCB"/>
    <w:rsid w:val="00DB2EAA"/>
    <w:rsid w:val="00DB3234"/>
    <w:rsid w:val="00DB3AC7"/>
    <w:rsid w:val="00DB3E3B"/>
    <w:rsid w:val="00DB43B5"/>
    <w:rsid w:val="00DB4551"/>
    <w:rsid w:val="00DB4F09"/>
    <w:rsid w:val="00DB5AA3"/>
    <w:rsid w:val="00DB5F52"/>
    <w:rsid w:val="00DB6095"/>
    <w:rsid w:val="00DB63BF"/>
    <w:rsid w:val="00DB7345"/>
    <w:rsid w:val="00DB7E99"/>
    <w:rsid w:val="00DC1020"/>
    <w:rsid w:val="00DC17F5"/>
    <w:rsid w:val="00DC1928"/>
    <w:rsid w:val="00DC1A4C"/>
    <w:rsid w:val="00DC1C0C"/>
    <w:rsid w:val="00DC1F5C"/>
    <w:rsid w:val="00DC1FE7"/>
    <w:rsid w:val="00DC208D"/>
    <w:rsid w:val="00DC21A2"/>
    <w:rsid w:val="00DC248A"/>
    <w:rsid w:val="00DC2777"/>
    <w:rsid w:val="00DC2D13"/>
    <w:rsid w:val="00DC2EC2"/>
    <w:rsid w:val="00DC305D"/>
    <w:rsid w:val="00DC3400"/>
    <w:rsid w:val="00DC364C"/>
    <w:rsid w:val="00DC39B9"/>
    <w:rsid w:val="00DC3EB7"/>
    <w:rsid w:val="00DC3EFD"/>
    <w:rsid w:val="00DC407D"/>
    <w:rsid w:val="00DC4B42"/>
    <w:rsid w:val="00DC4DF8"/>
    <w:rsid w:val="00DC587E"/>
    <w:rsid w:val="00DC7735"/>
    <w:rsid w:val="00DC7D5F"/>
    <w:rsid w:val="00DC7ECB"/>
    <w:rsid w:val="00DC7FE4"/>
    <w:rsid w:val="00DD0395"/>
    <w:rsid w:val="00DD080E"/>
    <w:rsid w:val="00DD0973"/>
    <w:rsid w:val="00DD0BC5"/>
    <w:rsid w:val="00DD0BF6"/>
    <w:rsid w:val="00DD0C20"/>
    <w:rsid w:val="00DD0D57"/>
    <w:rsid w:val="00DD0E5F"/>
    <w:rsid w:val="00DD15A7"/>
    <w:rsid w:val="00DD1F7B"/>
    <w:rsid w:val="00DD2056"/>
    <w:rsid w:val="00DD23F1"/>
    <w:rsid w:val="00DD38BF"/>
    <w:rsid w:val="00DD40D0"/>
    <w:rsid w:val="00DD42B4"/>
    <w:rsid w:val="00DD432E"/>
    <w:rsid w:val="00DD43C8"/>
    <w:rsid w:val="00DD4A07"/>
    <w:rsid w:val="00DD4B67"/>
    <w:rsid w:val="00DD4C92"/>
    <w:rsid w:val="00DD5303"/>
    <w:rsid w:val="00DD62A9"/>
    <w:rsid w:val="00DD648D"/>
    <w:rsid w:val="00DD64EB"/>
    <w:rsid w:val="00DD66FE"/>
    <w:rsid w:val="00DD7BEB"/>
    <w:rsid w:val="00DE005F"/>
    <w:rsid w:val="00DE0173"/>
    <w:rsid w:val="00DE08EF"/>
    <w:rsid w:val="00DE10AA"/>
    <w:rsid w:val="00DE136A"/>
    <w:rsid w:val="00DE1849"/>
    <w:rsid w:val="00DE22E5"/>
    <w:rsid w:val="00DE2A2B"/>
    <w:rsid w:val="00DE2B64"/>
    <w:rsid w:val="00DE36E9"/>
    <w:rsid w:val="00DE3A9D"/>
    <w:rsid w:val="00DE473C"/>
    <w:rsid w:val="00DE4A14"/>
    <w:rsid w:val="00DE4C6C"/>
    <w:rsid w:val="00DE4C91"/>
    <w:rsid w:val="00DE5DAC"/>
    <w:rsid w:val="00DE7449"/>
    <w:rsid w:val="00DF0296"/>
    <w:rsid w:val="00DF03B9"/>
    <w:rsid w:val="00DF04C7"/>
    <w:rsid w:val="00DF0676"/>
    <w:rsid w:val="00DF0F5B"/>
    <w:rsid w:val="00DF0F8D"/>
    <w:rsid w:val="00DF1621"/>
    <w:rsid w:val="00DF1AEE"/>
    <w:rsid w:val="00DF1D1C"/>
    <w:rsid w:val="00DF1EDB"/>
    <w:rsid w:val="00DF21CE"/>
    <w:rsid w:val="00DF240D"/>
    <w:rsid w:val="00DF24E8"/>
    <w:rsid w:val="00DF2826"/>
    <w:rsid w:val="00DF311C"/>
    <w:rsid w:val="00DF3BD3"/>
    <w:rsid w:val="00DF4671"/>
    <w:rsid w:val="00DF4B11"/>
    <w:rsid w:val="00DF5264"/>
    <w:rsid w:val="00DF541B"/>
    <w:rsid w:val="00DF5713"/>
    <w:rsid w:val="00DF57BF"/>
    <w:rsid w:val="00DF5955"/>
    <w:rsid w:val="00DF7123"/>
    <w:rsid w:val="00DF7539"/>
    <w:rsid w:val="00DF767D"/>
    <w:rsid w:val="00E001F5"/>
    <w:rsid w:val="00E00320"/>
    <w:rsid w:val="00E0067D"/>
    <w:rsid w:val="00E00DD8"/>
    <w:rsid w:val="00E00E90"/>
    <w:rsid w:val="00E01257"/>
    <w:rsid w:val="00E012A2"/>
    <w:rsid w:val="00E01A48"/>
    <w:rsid w:val="00E01E63"/>
    <w:rsid w:val="00E02179"/>
    <w:rsid w:val="00E021AC"/>
    <w:rsid w:val="00E0289A"/>
    <w:rsid w:val="00E02F2A"/>
    <w:rsid w:val="00E03104"/>
    <w:rsid w:val="00E039F4"/>
    <w:rsid w:val="00E041D0"/>
    <w:rsid w:val="00E043B7"/>
    <w:rsid w:val="00E047A1"/>
    <w:rsid w:val="00E04D11"/>
    <w:rsid w:val="00E0502F"/>
    <w:rsid w:val="00E0579A"/>
    <w:rsid w:val="00E0584F"/>
    <w:rsid w:val="00E05D43"/>
    <w:rsid w:val="00E06169"/>
    <w:rsid w:val="00E06710"/>
    <w:rsid w:val="00E0681D"/>
    <w:rsid w:val="00E06AA8"/>
    <w:rsid w:val="00E06DA9"/>
    <w:rsid w:val="00E07227"/>
    <w:rsid w:val="00E07A0C"/>
    <w:rsid w:val="00E07F06"/>
    <w:rsid w:val="00E07F82"/>
    <w:rsid w:val="00E11528"/>
    <w:rsid w:val="00E116CA"/>
    <w:rsid w:val="00E11AD8"/>
    <w:rsid w:val="00E11E79"/>
    <w:rsid w:val="00E125AF"/>
    <w:rsid w:val="00E1270A"/>
    <w:rsid w:val="00E13450"/>
    <w:rsid w:val="00E1379E"/>
    <w:rsid w:val="00E13D05"/>
    <w:rsid w:val="00E1439B"/>
    <w:rsid w:val="00E144DD"/>
    <w:rsid w:val="00E146F0"/>
    <w:rsid w:val="00E14D9E"/>
    <w:rsid w:val="00E1538C"/>
    <w:rsid w:val="00E15FF7"/>
    <w:rsid w:val="00E1607E"/>
    <w:rsid w:val="00E16CB7"/>
    <w:rsid w:val="00E16FB5"/>
    <w:rsid w:val="00E17523"/>
    <w:rsid w:val="00E17B60"/>
    <w:rsid w:val="00E17C6F"/>
    <w:rsid w:val="00E17F28"/>
    <w:rsid w:val="00E20055"/>
    <w:rsid w:val="00E204B7"/>
    <w:rsid w:val="00E20A90"/>
    <w:rsid w:val="00E20BEB"/>
    <w:rsid w:val="00E218ED"/>
    <w:rsid w:val="00E21B77"/>
    <w:rsid w:val="00E21B98"/>
    <w:rsid w:val="00E21D64"/>
    <w:rsid w:val="00E22882"/>
    <w:rsid w:val="00E229E4"/>
    <w:rsid w:val="00E23385"/>
    <w:rsid w:val="00E238A0"/>
    <w:rsid w:val="00E2452B"/>
    <w:rsid w:val="00E24AF0"/>
    <w:rsid w:val="00E24F91"/>
    <w:rsid w:val="00E25429"/>
    <w:rsid w:val="00E25FF2"/>
    <w:rsid w:val="00E2619D"/>
    <w:rsid w:val="00E262EA"/>
    <w:rsid w:val="00E2649B"/>
    <w:rsid w:val="00E26765"/>
    <w:rsid w:val="00E2753C"/>
    <w:rsid w:val="00E27CAF"/>
    <w:rsid w:val="00E27CBE"/>
    <w:rsid w:val="00E27CED"/>
    <w:rsid w:val="00E3039F"/>
    <w:rsid w:val="00E30894"/>
    <w:rsid w:val="00E30B9F"/>
    <w:rsid w:val="00E31258"/>
    <w:rsid w:val="00E3147A"/>
    <w:rsid w:val="00E3151F"/>
    <w:rsid w:val="00E31A20"/>
    <w:rsid w:val="00E31B7D"/>
    <w:rsid w:val="00E31D2D"/>
    <w:rsid w:val="00E32836"/>
    <w:rsid w:val="00E329DC"/>
    <w:rsid w:val="00E32B01"/>
    <w:rsid w:val="00E3391E"/>
    <w:rsid w:val="00E33E58"/>
    <w:rsid w:val="00E341C2"/>
    <w:rsid w:val="00E34352"/>
    <w:rsid w:val="00E34499"/>
    <w:rsid w:val="00E353F9"/>
    <w:rsid w:val="00E354C1"/>
    <w:rsid w:val="00E35955"/>
    <w:rsid w:val="00E35C68"/>
    <w:rsid w:val="00E36206"/>
    <w:rsid w:val="00E362AF"/>
    <w:rsid w:val="00E367DD"/>
    <w:rsid w:val="00E375E4"/>
    <w:rsid w:val="00E37F0F"/>
    <w:rsid w:val="00E400FD"/>
    <w:rsid w:val="00E4013F"/>
    <w:rsid w:val="00E40343"/>
    <w:rsid w:val="00E404FE"/>
    <w:rsid w:val="00E40ECA"/>
    <w:rsid w:val="00E40FE9"/>
    <w:rsid w:val="00E41097"/>
    <w:rsid w:val="00E4115C"/>
    <w:rsid w:val="00E41C1F"/>
    <w:rsid w:val="00E41E2A"/>
    <w:rsid w:val="00E424DA"/>
    <w:rsid w:val="00E431B2"/>
    <w:rsid w:val="00E431F8"/>
    <w:rsid w:val="00E4328C"/>
    <w:rsid w:val="00E43378"/>
    <w:rsid w:val="00E444AF"/>
    <w:rsid w:val="00E45155"/>
    <w:rsid w:val="00E45827"/>
    <w:rsid w:val="00E45995"/>
    <w:rsid w:val="00E45FF8"/>
    <w:rsid w:val="00E46091"/>
    <w:rsid w:val="00E473C4"/>
    <w:rsid w:val="00E47A12"/>
    <w:rsid w:val="00E511BB"/>
    <w:rsid w:val="00E5253E"/>
    <w:rsid w:val="00E52659"/>
    <w:rsid w:val="00E52829"/>
    <w:rsid w:val="00E52D9B"/>
    <w:rsid w:val="00E52FC3"/>
    <w:rsid w:val="00E532AC"/>
    <w:rsid w:val="00E53458"/>
    <w:rsid w:val="00E535C6"/>
    <w:rsid w:val="00E53D4A"/>
    <w:rsid w:val="00E543A6"/>
    <w:rsid w:val="00E54974"/>
    <w:rsid w:val="00E54C16"/>
    <w:rsid w:val="00E54D7D"/>
    <w:rsid w:val="00E579A0"/>
    <w:rsid w:val="00E57BCA"/>
    <w:rsid w:val="00E57CD1"/>
    <w:rsid w:val="00E60004"/>
    <w:rsid w:val="00E60A23"/>
    <w:rsid w:val="00E60AD4"/>
    <w:rsid w:val="00E6133E"/>
    <w:rsid w:val="00E61569"/>
    <w:rsid w:val="00E61AF1"/>
    <w:rsid w:val="00E61BD8"/>
    <w:rsid w:val="00E61EAC"/>
    <w:rsid w:val="00E62423"/>
    <w:rsid w:val="00E629C9"/>
    <w:rsid w:val="00E62EB5"/>
    <w:rsid w:val="00E637EA"/>
    <w:rsid w:val="00E63942"/>
    <w:rsid w:val="00E639BE"/>
    <w:rsid w:val="00E63D21"/>
    <w:rsid w:val="00E65649"/>
    <w:rsid w:val="00E65699"/>
    <w:rsid w:val="00E65CF2"/>
    <w:rsid w:val="00E661B6"/>
    <w:rsid w:val="00E66DED"/>
    <w:rsid w:val="00E67463"/>
    <w:rsid w:val="00E67618"/>
    <w:rsid w:val="00E7091D"/>
    <w:rsid w:val="00E70A34"/>
    <w:rsid w:val="00E70A6B"/>
    <w:rsid w:val="00E71DD1"/>
    <w:rsid w:val="00E71E74"/>
    <w:rsid w:val="00E72054"/>
    <w:rsid w:val="00E72DFB"/>
    <w:rsid w:val="00E7337F"/>
    <w:rsid w:val="00E735FA"/>
    <w:rsid w:val="00E73609"/>
    <w:rsid w:val="00E73621"/>
    <w:rsid w:val="00E736AD"/>
    <w:rsid w:val="00E74380"/>
    <w:rsid w:val="00E74928"/>
    <w:rsid w:val="00E74F34"/>
    <w:rsid w:val="00E74FB0"/>
    <w:rsid w:val="00E75823"/>
    <w:rsid w:val="00E766C6"/>
    <w:rsid w:val="00E76B11"/>
    <w:rsid w:val="00E77081"/>
    <w:rsid w:val="00E80505"/>
    <w:rsid w:val="00E81109"/>
    <w:rsid w:val="00E8212A"/>
    <w:rsid w:val="00E8297B"/>
    <w:rsid w:val="00E83438"/>
    <w:rsid w:val="00E83565"/>
    <w:rsid w:val="00E838BC"/>
    <w:rsid w:val="00E84369"/>
    <w:rsid w:val="00E848BD"/>
    <w:rsid w:val="00E84C33"/>
    <w:rsid w:val="00E84EAE"/>
    <w:rsid w:val="00E85012"/>
    <w:rsid w:val="00E85430"/>
    <w:rsid w:val="00E85C2F"/>
    <w:rsid w:val="00E8601B"/>
    <w:rsid w:val="00E861F8"/>
    <w:rsid w:val="00E86AF8"/>
    <w:rsid w:val="00E86CC2"/>
    <w:rsid w:val="00E87F38"/>
    <w:rsid w:val="00E87F3F"/>
    <w:rsid w:val="00E9089D"/>
    <w:rsid w:val="00E90C06"/>
    <w:rsid w:val="00E90D82"/>
    <w:rsid w:val="00E91BD5"/>
    <w:rsid w:val="00E91E10"/>
    <w:rsid w:val="00E91EAB"/>
    <w:rsid w:val="00E920D7"/>
    <w:rsid w:val="00E9218E"/>
    <w:rsid w:val="00E92647"/>
    <w:rsid w:val="00E92987"/>
    <w:rsid w:val="00E933AE"/>
    <w:rsid w:val="00E934A1"/>
    <w:rsid w:val="00E93E29"/>
    <w:rsid w:val="00E94489"/>
    <w:rsid w:val="00E94CA8"/>
    <w:rsid w:val="00E95461"/>
    <w:rsid w:val="00E957E5"/>
    <w:rsid w:val="00E95EDA"/>
    <w:rsid w:val="00E96352"/>
    <w:rsid w:val="00E9650C"/>
    <w:rsid w:val="00E9652D"/>
    <w:rsid w:val="00E97C1D"/>
    <w:rsid w:val="00EA038C"/>
    <w:rsid w:val="00EA03DB"/>
    <w:rsid w:val="00EA042F"/>
    <w:rsid w:val="00EA0C5B"/>
    <w:rsid w:val="00EA158F"/>
    <w:rsid w:val="00EA1939"/>
    <w:rsid w:val="00EA24D7"/>
    <w:rsid w:val="00EA26F3"/>
    <w:rsid w:val="00EA28AA"/>
    <w:rsid w:val="00EA2903"/>
    <w:rsid w:val="00EA2D40"/>
    <w:rsid w:val="00EA3750"/>
    <w:rsid w:val="00EA4399"/>
    <w:rsid w:val="00EA45B5"/>
    <w:rsid w:val="00EA4BD1"/>
    <w:rsid w:val="00EA5BC8"/>
    <w:rsid w:val="00EA6234"/>
    <w:rsid w:val="00EA66A7"/>
    <w:rsid w:val="00EA678F"/>
    <w:rsid w:val="00EA727B"/>
    <w:rsid w:val="00EA7345"/>
    <w:rsid w:val="00EA73FD"/>
    <w:rsid w:val="00EA77C5"/>
    <w:rsid w:val="00EA7E30"/>
    <w:rsid w:val="00EB00E3"/>
    <w:rsid w:val="00EB0ABF"/>
    <w:rsid w:val="00EB0F13"/>
    <w:rsid w:val="00EB1C43"/>
    <w:rsid w:val="00EB314A"/>
    <w:rsid w:val="00EB3162"/>
    <w:rsid w:val="00EB317F"/>
    <w:rsid w:val="00EB348A"/>
    <w:rsid w:val="00EB35FC"/>
    <w:rsid w:val="00EB37F1"/>
    <w:rsid w:val="00EB3B30"/>
    <w:rsid w:val="00EB3FEC"/>
    <w:rsid w:val="00EB3FFE"/>
    <w:rsid w:val="00EB411D"/>
    <w:rsid w:val="00EB49D5"/>
    <w:rsid w:val="00EB4AA0"/>
    <w:rsid w:val="00EB4E5C"/>
    <w:rsid w:val="00EB554D"/>
    <w:rsid w:val="00EB5704"/>
    <w:rsid w:val="00EB5CEF"/>
    <w:rsid w:val="00EB61F7"/>
    <w:rsid w:val="00EB64C5"/>
    <w:rsid w:val="00EB6591"/>
    <w:rsid w:val="00EB7253"/>
    <w:rsid w:val="00EB7771"/>
    <w:rsid w:val="00EB7947"/>
    <w:rsid w:val="00EB7D14"/>
    <w:rsid w:val="00EB7EAA"/>
    <w:rsid w:val="00EC0140"/>
    <w:rsid w:val="00EC02A9"/>
    <w:rsid w:val="00EC0F91"/>
    <w:rsid w:val="00EC10DD"/>
    <w:rsid w:val="00EC1378"/>
    <w:rsid w:val="00EC2134"/>
    <w:rsid w:val="00EC2DD4"/>
    <w:rsid w:val="00EC30D2"/>
    <w:rsid w:val="00EC3DE4"/>
    <w:rsid w:val="00EC3FDF"/>
    <w:rsid w:val="00EC491D"/>
    <w:rsid w:val="00EC4981"/>
    <w:rsid w:val="00EC51BC"/>
    <w:rsid w:val="00EC55E7"/>
    <w:rsid w:val="00EC5648"/>
    <w:rsid w:val="00EC5D03"/>
    <w:rsid w:val="00EC6247"/>
    <w:rsid w:val="00EC6332"/>
    <w:rsid w:val="00EC6718"/>
    <w:rsid w:val="00EC6A1A"/>
    <w:rsid w:val="00EC6D6C"/>
    <w:rsid w:val="00EC6D84"/>
    <w:rsid w:val="00EC7701"/>
    <w:rsid w:val="00ED0A72"/>
    <w:rsid w:val="00ED0B78"/>
    <w:rsid w:val="00ED0FE9"/>
    <w:rsid w:val="00ED1AEB"/>
    <w:rsid w:val="00ED1FEB"/>
    <w:rsid w:val="00ED20DE"/>
    <w:rsid w:val="00ED213D"/>
    <w:rsid w:val="00ED2248"/>
    <w:rsid w:val="00ED26B2"/>
    <w:rsid w:val="00ED3C70"/>
    <w:rsid w:val="00ED3D0A"/>
    <w:rsid w:val="00ED3DED"/>
    <w:rsid w:val="00ED41E3"/>
    <w:rsid w:val="00ED4BEB"/>
    <w:rsid w:val="00ED555A"/>
    <w:rsid w:val="00ED5F8F"/>
    <w:rsid w:val="00ED6351"/>
    <w:rsid w:val="00ED641A"/>
    <w:rsid w:val="00ED6D36"/>
    <w:rsid w:val="00ED7053"/>
    <w:rsid w:val="00ED7BE4"/>
    <w:rsid w:val="00EE027D"/>
    <w:rsid w:val="00EE051F"/>
    <w:rsid w:val="00EE14F0"/>
    <w:rsid w:val="00EE2146"/>
    <w:rsid w:val="00EE25C0"/>
    <w:rsid w:val="00EE25F8"/>
    <w:rsid w:val="00EE27D4"/>
    <w:rsid w:val="00EE2820"/>
    <w:rsid w:val="00EE285F"/>
    <w:rsid w:val="00EE314D"/>
    <w:rsid w:val="00EE324C"/>
    <w:rsid w:val="00EE3295"/>
    <w:rsid w:val="00EE36CE"/>
    <w:rsid w:val="00EE379C"/>
    <w:rsid w:val="00EE37EB"/>
    <w:rsid w:val="00EE3BEB"/>
    <w:rsid w:val="00EE3E78"/>
    <w:rsid w:val="00EE3F0D"/>
    <w:rsid w:val="00EE44E4"/>
    <w:rsid w:val="00EE4633"/>
    <w:rsid w:val="00EE4E91"/>
    <w:rsid w:val="00EE785C"/>
    <w:rsid w:val="00EE7C83"/>
    <w:rsid w:val="00EF04B0"/>
    <w:rsid w:val="00EF0824"/>
    <w:rsid w:val="00EF0E35"/>
    <w:rsid w:val="00EF1127"/>
    <w:rsid w:val="00EF1431"/>
    <w:rsid w:val="00EF175F"/>
    <w:rsid w:val="00EF196E"/>
    <w:rsid w:val="00EF1DD8"/>
    <w:rsid w:val="00EF2B36"/>
    <w:rsid w:val="00EF3141"/>
    <w:rsid w:val="00EF38F4"/>
    <w:rsid w:val="00EF3CB9"/>
    <w:rsid w:val="00EF3E67"/>
    <w:rsid w:val="00EF3EBA"/>
    <w:rsid w:val="00EF462C"/>
    <w:rsid w:val="00EF4633"/>
    <w:rsid w:val="00EF4862"/>
    <w:rsid w:val="00EF4B0F"/>
    <w:rsid w:val="00EF5940"/>
    <w:rsid w:val="00EF5948"/>
    <w:rsid w:val="00EF59E7"/>
    <w:rsid w:val="00EF5A69"/>
    <w:rsid w:val="00EF5C26"/>
    <w:rsid w:val="00EF6A2D"/>
    <w:rsid w:val="00EF7292"/>
    <w:rsid w:val="00EF74D7"/>
    <w:rsid w:val="00EF7A71"/>
    <w:rsid w:val="00EF7AC8"/>
    <w:rsid w:val="00EF7E1C"/>
    <w:rsid w:val="00F000FA"/>
    <w:rsid w:val="00F003BC"/>
    <w:rsid w:val="00F006A5"/>
    <w:rsid w:val="00F00774"/>
    <w:rsid w:val="00F01F1B"/>
    <w:rsid w:val="00F026FA"/>
    <w:rsid w:val="00F029E9"/>
    <w:rsid w:val="00F0306A"/>
    <w:rsid w:val="00F0311D"/>
    <w:rsid w:val="00F0356C"/>
    <w:rsid w:val="00F03A3F"/>
    <w:rsid w:val="00F03C8F"/>
    <w:rsid w:val="00F03E30"/>
    <w:rsid w:val="00F04208"/>
    <w:rsid w:val="00F049C8"/>
    <w:rsid w:val="00F04BA9"/>
    <w:rsid w:val="00F05179"/>
    <w:rsid w:val="00F05989"/>
    <w:rsid w:val="00F06673"/>
    <w:rsid w:val="00F101CF"/>
    <w:rsid w:val="00F10330"/>
    <w:rsid w:val="00F103A8"/>
    <w:rsid w:val="00F10487"/>
    <w:rsid w:val="00F10AFD"/>
    <w:rsid w:val="00F111F6"/>
    <w:rsid w:val="00F1208D"/>
    <w:rsid w:val="00F128A7"/>
    <w:rsid w:val="00F1299A"/>
    <w:rsid w:val="00F12DD0"/>
    <w:rsid w:val="00F12E75"/>
    <w:rsid w:val="00F13A9D"/>
    <w:rsid w:val="00F14215"/>
    <w:rsid w:val="00F14D35"/>
    <w:rsid w:val="00F150B0"/>
    <w:rsid w:val="00F15124"/>
    <w:rsid w:val="00F15883"/>
    <w:rsid w:val="00F158B9"/>
    <w:rsid w:val="00F15CE0"/>
    <w:rsid w:val="00F15F6A"/>
    <w:rsid w:val="00F15FA4"/>
    <w:rsid w:val="00F2012C"/>
    <w:rsid w:val="00F213EE"/>
    <w:rsid w:val="00F2157F"/>
    <w:rsid w:val="00F21F66"/>
    <w:rsid w:val="00F22111"/>
    <w:rsid w:val="00F221B3"/>
    <w:rsid w:val="00F221EA"/>
    <w:rsid w:val="00F223F5"/>
    <w:rsid w:val="00F22481"/>
    <w:rsid w:val="00F22639"/>
    <w:rsid w:val="00F22A2F"/>
    <w:rsid w:val="00F230E5"/>
    <w:rsid w:val="00F23226"/>
    <w:rsid w:val="00F23870"/>
    <w:rsid w:val="00F249F6"/>
    <w:rsid w:val="00F25530"/>
    <w:rsid w:val="00F25851"/>
    <w:rsid w:val="00F25C5D"/>
    <w:rsid w:val="00F26507"/>
    <w:rsid w:val="00F2656C"/>
    <w:rsid w:val="00F26A3C"/>
    <w:rsid w:val="00F276EB"/>
    <w:rsid w:val="00F27E4A"/>
    <w:rsid w:val="00F3056B"/>
    <w:rsid w:val="00F30DBD"/>
    <w:rsid w:val="00F316C8"/>
    <w:rsid w:val="00F31701"/>
    <w:rsid w:val="00F31974"/>
    <w:rsid w:val="00F319CF"/>
    <w:rsid w:val="00F3225F"/>
    <w:rsid w:val="00F322AB"/>
    <w:rsid w:val="00F32CBF"/>
    <w:rsid w:val="00F32D83"/>
    <w:rsid w:val="00F33C87"/>
    <w:rsid w:val="00F34158"/>
    <w:rsid w:val="00F349B7"/>
    <w:rsid w:val="00F34EF1"/>
    <w:rsid w:val="00F35769"/>
    <w:rsid w:val="00F35F5E"/>
    <w:rsid w:val="00F360A7"/>
    <w:rsid w:val="00F360CC"/>
    <w:rsid w:val="00F36CA7"/>
    <w:rsid w:val="00F36F92"/>
    <w:rsid w:val="00F373F0"/>
    <w:rsid w:val="00F37416"/>
    <w:rsid w:val="00F37E3E"/>
    <w:rsid w:val="00F4049C"/>
    <w:rsid w:val="00F40898"/>
    <w:rsid w:val="00F414E6"/>
    <w:rsid w:val="00F41E5E"/>
    <w:rsid w:val="00F425C0"/>
    <w:rsid w:val="00F42951"/>
    <w:rsid w:val="00F42A09"/>
    <w:rsid w:val="00F42BB1"/>
    <w:rsid w:val="00F4369C"/>
    <w:rsid w:val="00F43A9F"/>
    <w:rsid w:val="00F43C4D"/>
    <w:rsid w:val="00F43D48"/>
    <w:rsid w:val="00F43EF9"/>
    <w:rsid w:val="00F441BD"/>
    <w:rsid w:val="00F44528"/>
    <w:rsid w:val="00F44671"/>
    <w:rsid w:val="00F449B3"/>
    <w:rsid w:val="00F4508E"/>
    <w:rsid w:val="00F4541A"/>
    <w:rsid w:val="00F4548B"/>
    <w:rsid w:val="00F4584C"/>
    <w:rsid w:val="00F45962"/>
    <w:rsid w:val="00F45CEE"/>
    <w:rsid w:val="00F4631B"/>
    <w:rsid w:val="00F469E3"/>
    <w:rsid w:val="00F46D3D"/>
    <w:rsid w:val="00F4702E"/>
    <w:rsid w:val="00F470C5"/>
    <w:rsid w:val="00F47559"/>
    <w:rsid w:val="00F5052D"/>
    <w:rsid w:val="00F518D0"/>
    <w:rsid w:val="00F52342"/>
    <w:rsid w:val="00F523FD"/>
    <w:rsid w:val="00F52555"/>
    <w:rsid w:val="00F54C6E"/>
    <w:rsid w:val="00F5523D"/>
    <w:rsid w:val="00F55858"/>
    <w:rsid w:val="00F564D8"/>
    <w:rsid w:val="00F56AFC"/>
    <w:rsid w:val="00F56B9F"/>
    <w:rsid w:val="00F572EE"/>
    <w:rsid w:val="00F60549"/>
    <w:rsid w:val="00F60DB5"/>
    <w:rsid w:val="00F60DF1"/>
    <w:rsid w:val="00F616AF"/>
    <w:rsid w:val="00F628CF"/>
    <w:rsid w:val="00F62A0B"/>
    <w:rsid w:val="00F63054"/>
    <w:rsid w:val="00F637A5"/>
    <w:rsid w:val="00F63925"/>
    <w:rsid w:val="00F64132"/>
    <w:rsid w:val="00F66B7E"/>
    <w:rsid w:val="00F66EB3"/>
    <w:rsid w:val="00F66F1F"/>
    <w:rsid w:val="00F67F09"/>
    <w:rsid w:val="00F70BDF"/>
    <w:rsid w:val="00F728D0"/>
    <w:rsid w:val="00F72B87"/>
    <w:rsid w:val="00F730DC"/>
    <w:rsid w:val="00F73182"/>
    <w:rsid w:val="00F73A50"/>
    <w:rsid w:val="00F73A78"/>
    <w:rsid w:val="00F73B1E"/>
    <w:rsid w:val="00F73E2C"/>
    <w:rsid w:val="00F73F93"/>
    <w:rsid w:val="00F7459C"/>
    <w:rsid w:val="00F74B35"/>
    <w:rsid w:val="00F74E36"/>
    <w:rsid w:val="00F769F4"/>
    <w:rsid w:val="00F76A65"/>
    <w:rsid w:val="00F76C84"/>
    <w:rsid w:val="00F76EA6"/>
    <w:rsid w:val="00F76F9C"/>
    <w:rsid w:val="00F772F4"/>
    <w:rsid w:val="00F77351"/>
    <w:rsid w:val="00F8051D"/>
    <w:rsid w:val="00F806A2"/>
    <w:rsid w:val="00F8098E"/>
    <w:rsid w:val="00F80A78"/>
    <w:rsid w:val="00F813C9"/>
    <w:rsid w:val="00F81B1D"/>
    <w:rsid w:val="00F81F98"/>
    <w:rsid w:val="00F8285C"/>
    <w:rsid w:val="00F8289E"/>
    <w:rsid w:val="00F82A15"/>
    <w:rsid w:val="00F82E61"/>
    <w:rsid w:val="00F83733"/>
    <w:rsid w:val="00F8418F"/>
    <w:rsid w:val="00F84453"/>
    <w:rsid w:val="00F8473E"/>
    <w:rsid w:val="00F868A5"/>
    <w:rsid w:val="00F86BAD"/>
    <w:rsid w:val="00F8739B"/>
    <w:rsid w:val="00F874F8"/>
    <w:rsid w:val="00F87A2F"/>
    <w:rsid w:val="00F87B2B"/>
    <w:rsid w:val="00F87DD4"/>
    <w:rsid w:val="00F87EE0"/>
    <w:rsid w:val="00F90C01"/>
    <w:rsid w:val="00F912C2"/>
    <w:rsid w:val="00F9134C"/>
    <w:rsid w:val="00F9159F"/>
    <w:rsid w:val="00F91CE9"/>
    <w:rsid w:val="00F91EB7"/>
    <w:rsid w:val="00F92E8B"/>
    <w:rsid w:val="00F94A5F"/>
    <w:rsid w:val="00F953CA"/>
    <w:rsid w:val="00F959F5"/>
    <w:rsid w:val="00F95A57"/>
    <w:rsid w:val="00F95A58"/>
    <w:rsid w:val="00F95C2D"/>
    <w:rsid w:val="00F95C56"/>
    <w:rsid w:val="00F95C99"/>
    <w:rsid w:val="00F966C6"/>
    <w:rsid w:val="00F96A2B"/>
    <w:rsid w:val="00F96B84"/>
    <w:rsid w:val="00F976AD"/>
    <w:rsid w:val="00F977E3"/>
    <w:rsid w:val="00F979FD"/>
    <w:rsid w:val="00F97D83"/>
    <w:rsid w:val="00FA13C3"/>
    <w:rsid w:val="00FA1EC8"/>
    <w:rsid w:val="00FA22C2"/>
    <w:rsid w:val="00FA23EB"/>
    <w:rsid w:val="00FA2980"/>
    <w:rsid w:val="00FA2D35"/>
    <w:rsid w:val="00FA4041"/>
    <w:rsid w:val="00FA42FA"/>
    <w:rsid w:val="00FA4647"/>
    <w:rsid w:val="00FA4659"/>
    <w:rsid w:val="00FA48BA"/>
    <w:rsid w:val="00FA4A8B"/>
    <w:rsid w:val="00FA4F5E"/>
    <w:rsid w:val="00FA50BE"/>
    <w:rsid w:val="00FA6285"/>
    <w:rsid w:val="00FA68D8"/>
    <w:rsid w:val="00FA6A8F"/>
    <w:rsid w:val="00FA7157"/>
    <w:rsid w:val="00FA75FD"/>
    <w:rsid w:val="00FA7C14"/>
    <w:rsid w:val="00FB109E"/>
    <w:rsid w:val="00FB11B4"/>
    <w:rsid w:val="00FB1853"/>
    <w:rsid w:val="00FB25C4"/>
    <w:rsid w:val="00FB2E73"/>
    <w:rsid w:val="00FB300D"/>
    <w:rsid w:val="00FB3227"/>
    <w:rsid w:val="00FB38D9"/>
    <w:rsid w:val="00FB3F13"/>
    <w:rsid w:val="00FB443A"/>
    <w:rsid w:val="00FB490F"/>
    <w:rsid w:val="00FB51E0"/>
    <w:rsid w:val="00FB5B33"/>
    <w:rsid w:val="00FB5FDA"/>
    <w:rsid w:val="00FB6A15"/>
    <w:rsid w:val="00FB72E5"/>
    <w:rsid w:val="00FB775C"/>
    <w:rsid w:val="00FB7B0A"/>
    <w:rsid w:val="00FB7FB2"/>
    <w:rsid w:val="00FC02E3"/>
    <w:rsid w:val="00FC0430"/>
    <w:rsid w:val="00FC078A"/>
    <w:rsid w:val="00FC08C4"/>
    <w:rsid w:val="00FC09B3"/>
    <w:rsid w:val="00FC0DBC"/>
    <w:rsid w:val="00FC21A7"/>
    <w:rsid w:val="00FC237C"/>
    <w:rsid w:val="00FC3F2B"/>
    <w:rsid w:val="00FC4E0B"/>
    <w:rsid w:val="00FC4EFC"/>
    <w:rsid w:val="00FC50E7"/>
    <w:rsid w:val="00FC51ED"/>
    <w:rsid w:val="00FC5670"/>
    <w:rsid w:val="00FC5900"/>
    <w:rsid w:val="00FC63BB"/>
    <w:rsid w:val="00FC68DE"/>
    <w:rsid w:val="00FC7DF5"/>
    <w:rsid w:val="00FD02E5"/>
    <w:rsid w:val="00FD0719"/>
    <w:rsid w:val="00FD1C7E"/>
    <w:rsid w:val="00FD1D18"/>
    <w:rsid w:val="00FD20EF"/>
    <w:rsid w:val="00FD27F3"/>
    <w:rsid w:val="00FD33A9"/>
    <w:rsid w:val="00FD3487"/>
    <w:rsid w:val="00FD3B74"/>
    <w:rsid w:val="00FD3F0B"/>
    <w:rsid w:val="00FD4086"/>
    <w:rsid w:val="00FD516C"/>
    <w:rsid w:val="00FD51E3"/>
    <w:rsid w:val="00FD5239"/>
    <w:rsid w:val="00FD52D1"/>
    <w:rsid w:val="00FD5715"/>
    <w:rsid w:val="00FD5A73"/>
    <w:rsid w:val="00FD5BDB"/>
    <w:rsid w:val="00FD6115"/>
    <w:rsid w:val="00FD63E2"/>
    <w:rsid w:val="00FD697B"/>
    <w:rsid w:val="00FD6FBD"/>
    <w:rsid w:val="00FD7372"/>
    <w:rsid w:val="00FD75F7"/>
    <w:rsid w:val="00FD7DAA"/>
    <w:rsid w:val="00FE02BE"/>
    <w:rsid w:val="00FE04CE"/>
    <w:rsid w:val="00FE068E"/>
    <w:rsid w:val="00FE0D8D"/>
    <w:rsid w:val="00FE0F9D"/>
    <w:rsid w:val="00FE14E8"/>
    <w:rsid w:val="00FE16F3"/>
    <w:rsid w:val="00FE25FE"/>
    <w:rsid w:val="00FE2A91"/>
    <w:rsid w:val="00FE3212"/>
    <w:rsid w:val="00FE3C4F"/>
    <w:rsid w:val="00FE4085"/>
    <w:rsid w:val="00FE40AB"/>
    <w:rsid w:val="00FE420B"/>
    <w:rsid w:val="00FE4394"/>
    <w:rsid w:val="00FE4493"/>
    <w:rsid w:val="00FE4AB7"/>
    <w:rsid w:val="00FE4AE8"/>
    <w:rsid w:val="00FE56CD"/>
    <w:rsid w:val="00FE78E5"/>
    <w:rsid w:val="00FE7D21"/>
    <w:rsid w:val="00FF09E6"/>
    <w:rsid w:val="00FF0FAD"/>
    <w:rsid w:val="00FF1C3C"/>
    <w:rsid w:val="00FF1F11"/>
    <w:rsid w:val="00FF20FB"/>
    <w:rsid w:val="00FF2393"/>
    <w:rsid w:val="00FF30C7"/>
    <w:rsid w:val="00FF345C"/>
    <w:rsid w:val="00FF389E"/>
    <w:rsid w:val="00FF4956"/>
    <w:rsid w:val="00FF4A7C"/>
    <w:rsid w:val="00FF4C6D"/>
    <w:rsid w:val="00FF4E02"/>
    <w:rsid w:val="00FF52AA"/>
    <w:rsid w:val="00FF569F"/>
    <w:rsid w:val="00FF5DB1"/>
    <w:rsid w:val="00FF6754"/>
    <w:rsid w:val="00FF6EDD"/>
    <w:rsid w:val="00FF7372"/>
    <w:rsid w:val="00FF7471"/>
    <w:rsid w:val="00FF7B1D"/>
    <w:rsid w:val="00FF7D1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6E80805"/>
  <w15:docId w15:val="{61E3DCDE-7B4A-4DF1-A041-6E790EB37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00462"/>
    <w:pPr>
      <w:widowControl w:val="0"/>
      <w:jc w:val="both"/>
    </w:pPr>
    <w:rPr>
      <w:sz w:val="24"/>
      <w:lang w:val="en-GB" w:eastAsia="en-US"/>
    </w:rPr>
  </w:style>
  <w:style w:type="paragraph" w:styleId="1">
    <w:name w:val="heading 1"/>
    <w:basedOn w:val="OIRTitre1"/>
    <w:next w:val="a0"/>
    <w:link w:val="1Char"/>
    <w:qFormat/>
    <w:rsid w:val="00100C52"/>
    <w:pPr>
      <w:ind w:left="360" w:hanging="360"/>
    </w:pPr>
  </w:style>
  <w:style w:type="paragraph" w:styleId="2">
    <w:name w:val="heading 2"/>
    <w:basedOn w:val="a0"/>
    <w:next w:val="a0"/>
    <w:link w:val="2Char"/>
    <w:qFormat/>
    <w:rsid w:val="00100C52"/>
    <w:pPr>
      <w:keepNext/>
      <w:widowControl/>
      <w:numPr>
        <w:ilvl w:val="1"/>
        <w:numId w:val="4"/>
      </w:numPr>
      <w:spacing w:before="480" w:after="240"/>
      <w:ind w:left="357" w:hanging="357"/>
      <w:jc w:val="left"/>
      <w:outlineLvl w:val="1"/>
    </w:pPr>
    <w:rPr>
      <w:b/>
      <w:sz w:val="28"/>
      <w:szCs w:val="24"/>
      <w:lang w:val="en-US" w:eastAsia="en-GB"/>
    </w:rPr>
  </w:style>
  <w:style w:type="paragraph" w:styleId="3">
    <w:name w:val="heading 3"/>
    <w:basedOn w:val="a0"/>
    <w:next w:val="a0"/>
    <w:link w:val="3Char"/>
    <w:qFormat/>
    <w:rsid w:val="00100C52"/>
    <w:pPr>
      <w:keepNext/>
      <w:widowControl/>
      <w:numPr>
        <w:ilvl w:val="2"/>
        <w:numId w:val="4"/>
      </w:numPr>
      <w:spacing w:before="240" w:after="240"/>
      <w:jc w:val="left"/>
      <w:outlineLvl w:val="2"/>
    </w:pPr>
    <w:rPr>
      <w:rFonts w:ascii="Times Roman" w:hAnsi="Times Roman"/>
      <w:b/>
      <w:snapToGrid w:val="0"/>
    </w:rPr>
  </w:style>
  <w:style w:type="paragraph" w:styleId="4">
    <w:name w:val="heading 4"/>
    <w:basedOn w:val="OIRTitre4"/>
    <w:next w:val="a0"/>
    <w:link w:val="4Char"/>
    <w:qFormat/>
    <w:rsid w:val="00100C52"/>
  </w:style>
  <w:style w:type="paragraph" w:styleId="5">
    <w:name w:val="heading 5"/>
    <w:aliases w:val="OIR Titre 5"/>
    <w:basedOn w:val="a0"/>
    <w:next w:val="a0"/>
    <w:link w:val="5Char"/>
    <w:qFormat/>
    <w:rsid w:val="00100C52"/>
    <w:pPr>
      <w:keepNext/>
      <w:numPr>
        <w:numId w:val="33"/>
      </w:numPr>
      <w:outlineLvl w:val="4"/>
    </w:pPr>
    <w:rPr>
      <w:rFonts w:eastAsia="Times New Roman"/>
      <w:i/>
      <w:szCs w:val="24"/>
    </w:rPr>
  </w:style>
  <w:style w:type="paragraph" w:styleId="6">
    <w:name w:val="heading 6"/>
    <w:basedOn w:val="a0"/>
    <w:next w:val="a0"/>
    <w:link w:val="6Char"/>
    <w:qFormat/>
    <w:rsid w:val="00F32D83"/>
    <w:pPr>
      <w:keepNext/>
      <w:widowControl/>
      <w:numPr>
        <w:ilvl w:val="4"/>
        <w:numId w:val="13"/>
      </w:numPr>
      <w:tabs>
        <w:tab w:val="left" w:pos="-1008"/>
        <w:tab w:val="left" w:pos="-720"/>
        <w:tab w:val="left" w:pos="0"/>
        <w:tab w:val="left" w:pos="720"/>
        <w:tab w:val="left" w:pos="1440"/>
        <w:tab w:val="left" w:pos="2160"/>
        <w:tab w:val="left" w:pos="2880"/>
        <w:tab w:val="left" w:pos="3600"/>
        <w:tab w:val="left" w:pos="5760"/>
        <w:tab w:val="left" w:pos="6480"/>
        <w:tab w:val="left" w:pos="7200"/>
        <w:tab w:val="left" w:pos="7920"/>
        <w:tab w:val="left" w:pos="8640"/>
      </w:tabs>
      <w:outlineLvl w:val="5"/>
    </w:pPr>
    <w:rPr>
      <w:rFonts w:ascii="Verdana" w:hAnsi="Verdana"/>
      <w:b/>
      <w:sz w:val="20"/>
    </w:rPr>
  </w:style>
  <w:style w:type="paragraph" w:styleId="7">
    <w:name w:val="heading 7"/>
    <w:basedOn w:val="a0"/>
    <w:next w:val="a0"/>
    <w:link w:val="7Char"/>
    <w:uiPriority w:val="99"/>
    <w:qFormat/>
    <w:rsid w:val="00E354C1"/>
    <w:pPr>
      <w:keepNext/>
      <w:widowControl/>
      <w:outlineLvl w:val="6"/>
    </w:pPr>
    <w:rPr>
      <w:rFonts w:ascii="Verdana" w:hAnsi="Verdana"/>
      <w:b/>
      <w:i/>
      <w:sz w:val="20"/>
    </w:rPr>
  </w:style>
  <w:style w:type="paragraph" w:styleId="8">
    <w:name w:val="heading 8"/>
    <w:basedOn w:val="a0"/>
    <w:next w:val="a0"/>
    <w:link w:val="8Char"/>
    <w:qFormat/>
    <w:rsid w:val="00E354C1"/>
    <w:pPr>
      <w:keepNext/>
      <w:widowControl/>
      <w:jc w:val="center"/>
      <w:outlineLvl w:val="7"/>
    </w:pPr>
    <w:rPr>
      <w:rFonts w:ascii="Verdana" w:hAnsi="Verdana"/>
      <w:b/>
      <w:sz w:val="20"/>
    </w:rPr>
  </w:style>
  <w:style w:type="paragraph" w:styleId="9">
    <w:name w:val="heading 9"/>
    <w:basedOn w:val="a0"/>
    <w:next w:val="a0"/>
    <w:link w:val="9Char"/>
    <w:qFormat/>
    <w:rsid w:val="00E354C1"/>
    <w:pPr>
      <w:keepNext/>
      <w:ind w:firstLine="720"/>
      <w:outlineLvl w:val="8"/>
    </w:pPr>
    <w:rPr>
      <w:rFonts w:ascii="Verdana" w:hAnsi="Verdana"/>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nnalstext">
    <w:name w:val="Annals text"/>
    <w:basedOn w:val="a0"/>
    <w:link w:val="AnnalstextChar"/>
    <w:qFormat/>
    <w:rsid w:val="00444C84"/>
    <w:pPr>
      <w:widowControl/>
      <w:numPr>
        <w:numId w:val="2"/>
      </w:numPr>
      <w:tabs>
        <w:tab w:val="left" w:pos="624"/>
        <w:tab w:val="left" w:pos="851"/>
      </w:tabs>
      <w:ind w:left="0" w:firstLine="284"/>
    </w:pPr>
  </w:style>
  <w:style w:type="character" w:customStyle="1" w:styleId="AnnalstextChar">
    <w:name w:val="Annals text Char"/>
    <w:link w:val="Annalstext"/>
    <w:rsid w:val="00444C84"/>
    <w:rPr>
      <w:sz w:val="24"/>
      <w:lang w:val="en-GB" w:eastAsia="en-US"/>
    </w:rPr>
  </w:style>
  <w:style w:type="character" w:customStyle="1" w:styleId="1Char">
    <w:name w:val="제목 1 Char"/>
    <w:link w:val="1"/>
    <w:rsid w:val="00BE6D4C"/>
    <w:rPr>
      <w:rFonts w:ascii="Times Roman" w:hAnsi="Times Roman"/>
      <w:b/>
      <w:caps/>
      <w:sz w:val="32"/>
      <w:lang w:val="en-GB" w:eastAsia="en-GB"/>
    </w:rPr>
  </w:style>
  <w:style w:type="character" w:customStyle="1" w:styleId="2Char">
    <w:name w:val="제목 2 Char"/>
    <w:link w:val="2"/>
    <w:rsid w:val="006F56F9"/>
    <w:rPr>
      <w:b/>
      <w:sz w:val="28"/>
      <w:szCs w:val="24"/>
      <w:lang w:val="en-US" w:eastAsia="en-GB"/>
    </w:rPr>
  </w:style>
  <w:style w:type="character" w:customStyle="1" w:styleId="3Char">
    <w:name w:val="제목 3 Char"/>
    <w:link w:val="3"/>
    <w:rsid w:val="006F56F9"/>
    <w:rPr>
      <w:rFonts w:ascii="Times Roman" w:hAnsi="Times Roman"/>
      <w:b/>
      <w:snapToGrid w:val="0"/>
      <w:sz w:val="24"/>
      <w:lang w:val="en-GB" w:eastAsia="en-US"/>
    </w:rPr>
  </w:style>
  <w:style w:type="character" w:customStyle="1" w:styleId="4Char">
    <w:name w:val="제목 4 Char"/>
    <w:link w:val="4"/>
    <w:rsid w:val="006F56F9"/>
    <w:rPr>
      <w:rFonts w:eastAsia="Calibri"/>
      <w:i/>
      <w:sz w:val="24"/>
      <w:lang w:val="en-GB" w:eastAsia="en-US"/>
    </w:rPr>
  </w:style>
  <w:style w:type="character" w:customStyle="1" w:styleId="5Char">
    <w:name w:val="제목 5 Char"/>
    <w:aliases w:val="OIR Titre 5 Char"/>
    <w:link w:val="5"/>
    <w:rsid w:val="007D7BA2"/>
    <w:rPr>
      <w:rFonts w:eastAsia="Times New Roman"/>
      <w:i/>
      <w:sz w:val="24"/>
      <w:szCs w:val="24"/>
      <w:lang w:val="en-GB" w:eastAsia="en-US"/>
    </w:rPr>
  </w:style>
  <w:style w:type="character" w:customStyle="1" w:styleId="6Char">
    <w:name w:val="제목 6 Char"/>
    <w:link w:val="6"/>
    <w:rsid w:val="00F32D83"/>
    <w:rPr>
      <w:rFonts w:ascii="Verdana" w:hAnsi="Verdana"/>
      <w:b/>
      <w:lang w:val="en-GB" w:eastAsia="en-US"/>
    </w:rPr>
  </w:style>
  <w:style w:type="character" w:customStyle="1" w:styleId="7Char">
    <w:name w:val="제목 7 Char"/>
    <w:link w:val="7"/>
    <w:uiPriority w:val="99"/>
    <w:rsid w:val="00DF0296"/>
    <w:rPr>
      <w:rFonts w:ascii="Verdana" w:hAnsi="Verdana"/>
      <w:b/>
      <w:i/>
      <w:lang w:eastAsia="en-US"/>
    </w:rPr>
  </w:style>
  <w:style w:type="character" w:customStyle="1" w:styleId="8Char">
    <w:name w:val="제목 8 Char"/>
    <w:link w:val="8"/>
    <w:rsid w:val="00DF0296"/>
    <w:rPr>
      <w:rFonts w:ascii="Verdana" w:hAnsi="Verdana"/>
      <w:b/>
      <w:lang w:eastAsia="en-US"/>
    </w:rPr>
  </w:style>
  <w:style w:type="character" w:customStyle="1" w:styleId="9Char">
    <w:name w:val="제목 9 Char"/>
    <w:link w:val="9"/>
    <w:rsid w:val="00DF0296"/>
    <w:rPr>
      <w:rFonts w:ascii="Verdana" w:hAnsi="Verdana"/>
      <w:lang w:val="en-US" w:eastAsia="en-US"/>
    </w:rPr>
  </w:style>
  <w:style w:type="paragraph" w:customStyle="1" w:styleId="1stLevelHeaderSection">
    <w:name w:val="1st Level Header (Section)"/>
    <w:basedOn w:val="a0"/>
    <w:next w:val="Annalstext"/>
    <w:link w:val="1stLevelHeaderSectionCar"/>
    <w:rsid w:val="0090441D"/>
    <w:pPr>
      <w:keepNext/>
      <w:widowControl/>
      <w:spacing w:after="240" w:line="280" w:lineRule="atLeast"/>
      <w:jc w:val="center"/>
      <w:outlineLvl w:val="0"/>
    </w:pPr>
    <w:rPr>
      <w:b/>
      <w:caps/>
      <w:lang w:eastAsia="en-GB"/>
    </w:rPr>
  </w:style>
  <w:style w:type="character" w:customStyle="1" w:styleId="1stLevelHeaderSectionCar">
    <w:name w:val="1st Level Header (Section) Car"/>
    <w:link w:val="1stLevelHeaderSection"/>
    <w:rsid w:val="00AD0200"/>
    <w:rPr>
      <w:b/>
      <w:caps/>
      <w:sz w:val="24"/>
      <w:lang w:val="en-GB" w:eastAsia="en-GB"/>
    </w:rPr>
  </w:style>
  <w:style w:type="paragraph" w:customStyle="1" w:styleId="2ndLevelHeader">
    <w:name w:val="2nd Level Header"/>
    <w:basedOn w:val="2"/>
    <w:next w:val="Annalstext"/>
    <w:link w:val="2ndLevelHeaderCar"/>
    <w:rsid w:val="006F1598"/>
    <w:pPr>
      <w:spacing w:after="280" w:line="280" w:lineRule="atLeast"/>
      <w:jc w:val="center"/>
    </w:pPr>
  </w:style>
  <w:style w:type="character" w:customStyle="1" w:styleId="2ndLevelHeaderCar">
    <w:name w:val="2nd Level Header Car"/>
    <w:link w:val="2ndLevelHeader"/>
    <w:rsid w:val="00AD0200"/>
    <w:rPr>
      <w:b/>
      <w:sz w:val="24"/>
      <w:szCs w:val="24"/>
      <w:lang w:val="en-GB" w:eastAsia="en-GB"/>
    </w:rPr>
  </w:style>
  <w:style w:type="paragraph" w:customStyle="1" w:styleId="3rdLevelHeader">
    <w:name w:val="3rd Level Header"/>
    <w:basedOn w:val="3"/>
    <w:next w:val="Annalstext"/>
    <w:link w:val="3rdLevelHeaderChar"/>
    <w:rsid w:val="00100C52"/>
    <w:pPr>
      <w:numPr>
        <w:numId w:val="0"/>
      </w:numPr>
      <w:tabs>
        <w:tab w:val="num" w:pos="1134"/>
      </w:tabs>
      <w:spacing w:after="120" w:line="280" w:lineRule="atLeast"/>
      <w:ind w:left="1134" w:hanging="1134"/>
    </w:pPr>
    <w:rPr>
      <w:rFonts w:ascii="Times New Roman" w:hAnsi="Times New Roman"/>
      <w:snapToGrid/>
    </w:rPr>
  </w:style>
  <w:style w:type="character" w:customStyle="1" w:styleId="3rdLevelHeaderChar">
    <w:name w:val="3rd Level Header Char"/>
    <w:link w:val="3rdLevelHeader"/>
    <w:rsid w:val="00596DC8"/>
    <w:rPr>
      <w:b/>
      <w:sz w:val="24"/>
      <w:lang w:val="en-GB" w:eastAsia="en-US"/>
    </w:rPr>
  </w:style>
  <w:style w:type="paragraph" w:styleId="a4">
    <w:name w:val="Body Text"/>
    <w:basedOn w:val="a0"/>
    <w:link w:val="Char"/>
    <w:uiPriority w:val="99"/>
    <w:rsid w:val="00E354C1"/>
    <w:pPr>
      <w:spacing w:line="238" w:lineRule="exact"/>
    </w:pPr>
    <w:rPr>
      <w:rFonts w:ascii="Verdana" w:hAnsi="Verdana"/>
      <w:sz w:val="20"/>
    </w:rPr>
  </w:style>
  <w:style w:type="character" w:customStyle="1" w:styleId="Char">
    <w:name w:val="본문 Char"/>
    <w:link w:val="a4"/>
    <w:uiPriority w:val="99"/>
    <w:rsid w:val="00DF0296"/>
    <w:rPr>
      <w:rFonts w:ascii="Verdana" w:hAnsi="Verdana"/>
      <w:lang w:val="en-US" w:eastAsia="en-US"/>
    </w:rPr>
  </w:style>
  <w:style w:type="paragraph" w:styleId="20">
    <w:name w:val="Body Text 2"/>
    <w:basedOn w:val="a0"/>
    <w:link w:val="2Char0"/>
    <w:uiPriority w:val="99"/>
    <w:rsid w:val="00E354C1"/>
    <w:pPr>
      <w:spacing w:line="238" w:lineRule="exact"/>
      <w:ind w:firstLine="720"/>
    </w:pPr>
    <w:rPr>
      <w:rFonts w:ascii="Verdana" w:hAnsi="Verdana"/>
      <w:sz w:val="20"/>
    </w:rPr>
  </w:style>
  <w:style w:type="character" w:customStyle="1" w:styleId="2Char0">
    <w:name w:val="본문 2 Char"/>
    <w:link w:val="20"/>
    <w:uiPriority w:val="99"/>
    <w:rsid w:val="003B54BA"/>
    <w:rPr>
      <w:rFonts w:ascii="Verdana" w:hAnsi="Verdana"/>
      <w:lang w:val="en-US" w:eastAsia="en-US"/>
    </w:rPr>
  </w:style>
  <w:style w:type="paragraph" w:styleId="a5">
    <w:name w:val="header"/>
    <w:basedOn w:val="a0"/>
    <w:link w:val="Char0"/>
    <w:rsid w:val="00E354C1"/>
    <w:pPr>
      <w:tabs>
        <w:tab w:val="center" w:pos="4153"/>
        <w:tab w:val="right" w:pos="8306"/>
      </w:tabs>
    </w:pPr>
  </w:style>
  <w:style w:type="character" w:customStyle="1" w:styleId="Char0">
    <w:name w:val="머리글 Char"/>
    <w:link w:val="a5"/>
    <w:rsid w:val="00DF0296"/>
    <w:rPr>
      <w:sz w:val="24"/>
      <w:lang w:val="en-US" w:eastAsia="en-US"/>
    </w:rPr>
  </w:style>
  <w:style w:type="paragraph" w:styleId="a6">
    <w:name w:val="footer"/>
    <w:basedOn w:val="a0"/>
    <w:link w:val="Char1"/>
    <w:rsid w:val="00E354C1"/>
    <w:pPr>
      <w:tabs>
        <w:tab w:val="center" w:pos="4153"/>
        <w:tab w:val="right" w:pos="8306"/>
      </w:tabs>
    </w:pPr>
  </w:style>
  <w:style w:type="character" w:customStyle="1" w:styleId="Char1">
    <w:name w:val="바닥글 Char"/>
    <w:link w:val="a6"/>
    <w:rsid w:val="00DF0296"/>
    <w:rPr>
      <w:sz w:val="24"/>
      <w:lang w:val="en-US" w:eastAsia="en-US"/>
    </w:rPr>
  </w:style>
  <w:style w:type="character" w:styleId="a7">
    <w:name w:val="page number"/>
    <w:uiPriority w:val="99"/>
    <w:rsid w:val="008D5FE4"/>
    <w:rPr>
      <w:rFonts w:ascii="Times New Roman" w:hAnsi="Times New Roman"/>
      <w:sz w:val="20"/>
    </w:rPr>
  </w:style>
  <w:style w:type="paragraph" w:styleId="a8">
    <w:name w:val="footnote text"/>
    <w:basedOn w:val="a0"/>
    <w:link w:val="Char2"/>
    <w:semiHidden/>
    <w:rsid w:val="00E354C1"/>
    <w:pPr>
      <w:widowControl/>
    </w:pPr>
    <w:rPr>
      <w:rFonts w:ascii="Verdana" w:hAnsi="Verdana"/>
      <w:sz w:val="20"/>
    </w:rPr>
  </w:style>
  <w:style w:type="character" w:customStyle="1" w:styleId="Char2">
    <w:name w:val="각주 텍스트 Char"/>
    <w:link w:val="a8"/>
    <w:semiHidden/>
    <w:rsid w:val="00DF0296"/>
    <w:rPr>
      <w:rFonts w:ascii="Verdana" w:hAnsi="Verdana"/>
      <w:lang w:eastAsia="en-US"/>
    </w:rPr>
  </w:style>
  <w:style w:type="paragraph" w:styleId="a9">
    <w:name w:val="Body Text Indent"/>
    <w:basedOn w:val="a0"/>
    <w:link w:val="Char3"/>
    <w:uiPriority w:val="99"/>
    <w:rsid w:val="00E354C1"/>
    <w:pPr>
      <w:widowControl/>
      <w:ind w:left="2160"/>
    </w:pPr>
    <w:rPr>
      <w:rFonts w:ascii="Verdana" w:hAnsi="Verdana"/>
      <w:sz w:val="20"/>
    </w:rPr>
  </w:style>
  <w:style w:type="character" w:customStyle="1" w:styleId="Char3">
    <w:name w:val="본문 들여쓰기 Char"/>
    <w:link w:val="a9"/>
    <w:uiPriority w:val="99"/>
    <w:rsid w:val="00DF0296"/>
    <w:rPr>
      <w:rFonts w:ascii="Verdana" w:hAnsi="Verdana"/>
      <w:lang w:eastAsia="en-US"/>
    </w:rPr>
  </w:style>
  <w:style w:type="paragraph" w:styleId="21">
    <w:name w:val="Body Text Indent 2"/>
    <w:basedOn w:val="a0"/>
    <w:link w:val="2Char1"/>
    <w:uiPriority w:val="99"/>
    <w:rsid w:val="00E354C1"/>
    <w:pPr>
      <w:widowControl/>
      <w:ind w:left="2160" w:hanging="1380"/>
    </w:pPr>
    <w:rPr>
      <w:rFonts w:ascii="Verdana" w:hAnsi="Verdana"/>
      <w:sz w:val="20"/>
    </w:rPr>
  </w:style>
  <w:style w:type="character" w:customStyle="1" w:styleId="2Char1">
    <w:name w:val="본문 들여쓰기 2 Char"/>
    <w:link w:val="21"/>
    <w:uiPriority w:val="99"/>
    <w:rsid w:val="00DF0296"/>
    <w:rPr>
      <w:rFonts w:ascii="Verdana" w:hAnsi="Verdana"/>
      <w:lang w:eastAsia="en-US"/>
    </w:rPr>
  </w:style>
  <w:style w:type="paragraph" w:styleId="30">
    <w:name w:val="Body Text Indent 3"/>
    <w:basedOn w:val="a0"/>
    <w:link w:val="3Char0"/>
    <w:uiPriority w:val="99"/>
    <w:rsid w:val="00E354C1"/>
    <w:pPr>
      <w:widowControl/>
      <w:ind w:left="2160" w:hanging="1380"/>
    </w:pPr>
    <w:rPr>
      <w:rFonts w:ascii="Verdana" w:hAnsi="Verdana"/>
      <w:sz w:val="20"/>
    </w:rPr>
  </w:style>
  <w:style w:type="character" w:customStyle="1" w:styleId="3Char0">
    <w:name w:val="본문 들여쓰기 3 Char"/>
    <w:link w:val="30"/>
    <w:uiPriority w:val="99"/>
    <w:rsid w:val="00DF0296"/>
    <w:rPr>
      <w:rFonts w:ascii="Verdana" w:hAnsi="Verdana"/>
      <w:lang w:eastAsia="en-US"/>
    </w:rPr>
  </w:style>
  <w:style w:type="paragraph" w:customStyle="1" w:styleId="glossarytextheading">
    <w:name w:val="glossary text heading"/>
    <w:basedOn w:val="a0"/>
    <w:rsid w:val="00E1270A"/>
    <w:pPr>
      <w:keepNext/>
      <w:keepLines/>
      <w:widowControl/>
      <w:spacing w:before="120" w:line="280" w:lineRule="atLeast"/>
    </w:pPr>
    <w:rPr>
      <w:snapToGrid w:val="0"/>
    </w:rPr>
  </w:style>
  <w:style w:type="paragraph" w:styleId="aa">
    <w:name w:val="Block Text"/>
    <w:basedOn w:val="a0"/>
    <w:uiPriority w:val="99"/>
    <w:rsid w:val="00E354C1"/>
    <w:pPr>
      <w:spacing w:after="120"/>
      <w:ind w:left="2410" w:right="2415"/>
    </w:pPr>
    <w:rPr>
      <w:rFonts w:ascii="Verdana" w:hAnsi="Verdana"/>
      <w:b/>
      <w:sz w:val="20"/>
    </w:rPr>
  </w:style>
  <w:style w:type="paragraph" w:styleId="ab">
    <w:name w:val="caption"/>
    <w:basedOn w:val="a0"/>
    <w:next w:val="a0"/>
    <w:qFormat/>
    <w:rsid w:val="00100C52"/>
    <w:pPr>
      <w:keepNext/>
      <w:keepLines/>
      <w:widowControl/>
      <w:tabs>
        <w:tab w:val="left" w:pos="737"/>
      </w:tabs>
    </w:pPr>
    <w:rPr>
      <w:sz w:val="22"/>
      <w:szCs w:val="22"/>
    </w:rPr>
  </w:style>
  <w:style w:type="paragraph" w:customStyle="1" w:styleId="Tables">
    <w:name w:val="Tables"/>
    <w:basedOn w:val="a0"/>
    <w:rsid w:val="00E354C1"/>
    <w:pPr>
      <w:keepNext/>
      <w:keepLines/>
      <w:tabs>
        <w:tab w:val="decimal" w:pos="203"/>
      </w:tabs>
      <w:spacing w:before="120" w:after="120"/>
    </w:pPr>
    <w:rPr>
      <w:rFonts w:ascii="Arial" w:hAnsi="Arial"/>
      <w:snapToGrid w:val="0"/>
      <w:sz w:val="16"/>
    </w:rPr>
  </w:style>
  <w:style w:type="character" w:styleId="ac">
    <w:name w:val="Emphasis"/>
    <w:qFormat/>
    <w:rsid w:val="00E354C1"/>
    <w:rPr>
      <w:i/>
    </w:rPr>
  </w:style>
  <w:style w:type="character" w:styleId="ad">
    <w:name w:val="Strong"/>
    <w:uiPriority w:val="99"/>
    <w:qFormat/>
    <w:rsid w:val="00E354C1"/>
    <w:rPr>
      <w:b/>
    </w:rPr>
  </w:style>
  <w:style w:type="paragraph" w:customStyle="1" w:styleId="Refs">
    <w:name w:val="Refs"/>
    <w:basedOn w:val="a0"/>
    <w:link w:val="RefsChar"/>
    <w:rsid w:val="00545F27"/>
    <w:pPr>
      <w:widowControl/>
      <w:ind w:left="720" w:hanging="720"/>
    </w:pPr>
  </w:style>
  <w:style w:type="paragraph" w:customStyle="1" w:styleId="10">
    <w:name w:val="1"/>
    <w:aliases w:val="2,3"/>
    <w:basedOn w:val="a0"/>
    <w:uiPriority w:val="99"/>
    <w:rsid w:val="00E354C1"/>
    <w:pPr>
      <w:tabs>
        <w:tab w:val="left" w:pos="-1440"/>
        <w:tab w:val="num" w:pos="360"/>
      </w:tabs>
      <w:ind w:left="360" w:firstLine="720"/>
    </w:pPr>
    <w:rPr>
      <w:rFonts w:ascii="Times" w:hAnsi="Times"/>
      <w:snapToGrid w:val="0"/>
    </w:rPr>
  </w:style>
  <w:style w:type="paragraph" w:customStyle="1" w:styleId="ae">
    <w:name w:val="a"/>
    <w:aliases w:val="b,c"/>
    <w:basedOn w:val="a0"/>
    <w:rsid w:val="00E354C1"/>
    <w:pPr>
      <w:tabs>
        <w:tab w:val="num" w:pos="570"/>
      </w:tabs>
      <w:ind w:left="720" w:hanging="720"/>
    </w:pPr>
    <w:rPr>
      <w:rFonts w:ascii="Verdana" w:hAnsi="Verdana"/>
      <w:snapToGrid w:val="0"/>
    </w:rPr>
  </w:style>
  <w:style w:type="paragraph" w:customStyle="1" w:styleId="StandardWeb1">
    <w:name w:val="Standard (Web)1"/>
    <w:basedOn w:val="a0"/>
    <w:rsid w:val="00E354C1"/>
    <w:pPr>
      <w:widowControl/>
      <w:spacing w:before="100" w:after="100"/>
    </w:pPr>
    <w:rPr>
      <w:rFonts w:ascii="Arial Unicode MS" w:eastAsia="Arial Unicode MS" w:hAnsi="Arial Unicode MS"/>
      <w:sz w:val="20"/>
      <w:lang w:val="de-DE"/>
    </w:rPr>
  </w:style>
  <w:style w:type="paragraph" w:styleId="af">
    <w:name w:val="Plain Text"/>
    <w:basedOn w:val="a0"/>
    <w:link w:val="Char4"/>
    <w:rsid w:val="00E354C1"/>
    <w:pPr>
      <w:widowControl/>
      <w:spacing w:before="100" w:after="100"/>
    </w:pPr>
    <w:rPr>
      <w:rFonts w:ascii="Arial Unicode MS" w:eastAsia="Arial Unicode MS" w:hAnsi="Arial Unicode MS"/>
      <w:lang w:val="de-DE"/>
    </w:rPr>
  </w:style>
  <w:style w:type="character" w:customStyle="1" w:styleId="Char4">
    <w:name w:val="글자만 Char"/>
    <w:link w:val="af"/>
    <w:rsid w:val="00DF0296"/>
    <w:rPr>
      <w:rFonts w:ascii="Arial Unicode MS" w:eastAsia="Arial Unicode MS" w:hAnsi="Arial Unicode MS"/>
      <w:sz w:val="24"/>
      <w:lang w:val="de-DE" w:eastAsia="en-US"/>
    </w:rPr>
  </w:style>
  <w:style w:type="paragraph" w:styleId="31">
    <w:name w:val="Body Text 3"/>
    <w:basedOn w:val="a0"/>
    <w:link w:val="3Char1"/>
    <w:rsid w:val="00E354C1"/>
    <w:pPr>
      <w:widowControl/>
    </w:pPr>
    <w:rPr>
      <w:rFonts w:ascii="Verdana" w:hAnsi="Verdana"/>
      <w:sz w:val="16"/>
    </w:rPr>
  </w:style>
  <w:style w:type="character" w:customStyle="1" w:styleId="3Char1">
    <w:name w:val="본문 3 Char"/>
    <w:link w:val="31"/>
    <w:rsid w:val="00DF0296"/>
    <w:rPr>
      <w:rFonts w:ascii="Verdana" w:hAnsi="Verdana"/>
      <w:sz w:val="16"/>
      <w:lang w:eastAsia="en-US"/>
    </w:rPr>
  </w:style>
  <w:style w:type="paragraph" w:customStyle="1" w:styleId="glossarytext">
    <w:name w:val="glossary text"/>
    <w:basedOn w:val="a0"/>
    <w:rsid w:val="005C5276"/>
    <w:pPr>
      <w:widowControl/>
      <w:spacing w:after="100" w:afterAutospacing="1" w:line="280" w:lineRule="atLeast"/>
      <w:ind w:left="720"/>
    </w:pPr>
    <w:rPr>
      <w:snapToGrid w:val="0"/>
    </w:rPr>
  </w:style>
  <w:style w:type="character" w:styleId="af0">
    <w:name w:val="Hyperlink"/>
    <w:uiPriority w:val="99"/>
    <w:rsid w:val="00E354C1"/>
    <w:rPr>
      <w:color w:val="0000FF"/>
      <w:u w:val="single"/>
    </w:rPr>
  </w:style>
  <w:style w:type="paragraph" w:styleId="af1">
    <w:name w:val="Balloon Text"/>
    <w:basedOn w:val="a0"/>
    <w:link w:val="Char5"/>
    <w:autoRedefine/>
    <w:uiPriority w:val="99"/>
    <w:semiHidden/>
    <w:rsid w:val="006243FB"/>
    <w:pPr>
      <w:jc w:val="left"/>
    </w:pPr>
    <w:rPr>
      <w:rFonts w:ascii="Tahoma" w:hAnsi="Tahoma"/>
      <w:sz w:val="22"/>
      <w:szCs w:val="16"/>
    </w:rPr>
  </w:style>
  <w:style w:type="character" w:customStyle="1" w:styleId="Char5">
    <w:name w:val="풍선 도움말 텍스트 Char"/>
    <w:link w:val="af1"/>
    <w:uiPriority w:val="99"/>
    <w:semiHidden/>
    <w:rsid w:val="006243FB"/>
    <w:rPr>
      <w:rFonts w:ascii="Tahoma" w:hAnsi="Tahoma"/>
      <w:sz w:val="22"/>
      <w:szCs w:val="16"/>
      <w:lang w:val="en-GB" w:eastAsia="en-US"/>
    </w:rPr>
  </w:style>
  <w:style w:type="paragraph" w:customStyle="1" w:styleId="Bullets">
    <w:name w:val="Bullets"/>
    <w:basedOn w:val="a0"/>
    <w:rsid w:val="00B51BA9"/>
    <w:pPr>
      <w:numPr>
        <w:numId w:val="1"/>
      </w:numPr>
      <w:spacing w:line="280" w:lineRule="atLeast"/>
    </w:pPr>
    <w:rPr>
      <w:snapToGrid w:val="0"/>
    </w:rPr>
  </w:style>
  <w:style w:type="paragraph" w:customStyle="1" w:styleId="Bullets-">
    <w:name w:val="Bullets -"/>
    <w:basedOn w:val="Bullets"/>
    <w:rsid w:val="00B57392"/>
    <w:pPr>
      <w:numPr>
        <w:numId w:val="0"/>
      </w:numPr>
      <w:tabs>
        <w:tab w:val="left" w:pos="567"/>
      </w:tabs>
      <w:spacing w:line="300" w:lineRule="exact"/>
      <w:ind w:left="454" w:hanging="454"/>
    </w:pPr>
  </w:style>
  <w:style w:type="paragraph" w:customStyle="1" w:styleId="WW-Textkrper-Einzug2">
    <w:name w:val="WW-Textkörper-Einzug 2"/>
    <w:basedOn w:val="a0"/>
    <w:rsid w:val="00E354C1"/>
    <w:pPr>
      <w:widowControl/>
      <w:suppressAutoHyphens/>
      <w:ind w:left="720" w:hanging="720"/>
    </w:pPr>
  </w:style>
  <w:style w:type="paragraph" w:customStyle="1" w:styleId="RefText">
    <w:name w:val="Ref Text"/>
    <w:basedOn w:val="a0"/>
    <w:rsid w:val="00657F95"/>
    <w:pPr>
      <w:widowControl/>
      <w:spacing w:after="60" w:line="240" w:lineRule="exact"/>
      <w:ind w:left="1276" w:hanging="425"/>
    </w:pPr>
    <w:rPr>
      <w:rFonts w:ascii="Arial" w:hAnsi="Arial"/>
      <w:sz w:val="18"/>
      <w:lang w:eastAsia="en-GB"/>
    </w:rPr>
  </w:style>
  <w:style w:type="paragraph" w:customStyle="1" w:styleId="Default">
    <w:name w:val="Default"/>
    <w:rsid w:val="00E354C1"/>
    <w:rPr>
      <w:snapToGrid w:val="0"/>
      <w:color w:val="000000"/>
      <w:sz w:val="24"/>
      <w:lang w:val="en-GB" w:eastAsia="en-US"/>
    </w:rPr>
  </w:style>
  <w:style w:type="character" w:styleId="af2">
    <w:name w:val="annotation reference"/>
    <w:uiPriority w:val="99"/>
    <w:rsid w:val="00E354C1"/>
    <w:rPr>
      <w:sz w:val="16"/>
      <w:szCs w:val="16"/>
    </w:rPr>
  </w:style>
  <w:style w:type="paragraph" w:styleId="af3">
    <w:name w:val="annotation text"/>
    <w:basedOn w:val="a0"/>
    <w:link w:val="Char6"/>
    <w:uiPriority w:val="99"/>
    <w:rsid w:val="00E354C1"/>
    <w:rPr>
      <w:sz w:val="20"/>
    </w:rPr>
  </w:style>
  <w:style w:type="character" w:customStyle="1" w:styleId="CommentTextChar">
    <w:name w:val="Comment Text Char"/>
    <w:semiHidden/>
    <w:rsid w:val="00E354C1"/>
    <w:rPr>
      <w:noProof w:val="0"/>
      <w:lang w:val="en-US" w:eastAsia="en-US"/>
    </w:rPr>
  </w:style>
  <w:style w:type="paragraph" w:styleId="af4">
    <w:name w:val="annotation subject"/>
    <w:basedOn w:val="af3"/>
    <w:next w:val="af3"/>
    <w:link w:val="Char7"/>
    <w:uiPriority w:val="99"/>
    <w:semiHidden/>
    <w:rsid w:val="00E354C1"/>
    <w:rPr>
      <w:b/>
      <w:bCs/>
    </w:rPr>
  </w:style>
  <w:style w:type="character" w:customStyle="1" w:styleId="Char7">
    <w:name w:val="메모 주제 Char"/>
    <w:link w:val="af4"/>
    <w:uiPriority w:val="99"/>
    <w:semiHidden/>
    <w:rsid w:val="00DF0296"/>
    <w:rPr>
      <w:b/>
      <w:bCs/>
      <w:noProof w:val="0"/>
      <w:lang w:val="en-US" w:eastAsia="en-US"/>
    </w:rPr>
  </w:style>
  <w:style w:type="paragraph" w:customStyle="1" w:styleId="TableHeader">
    <w:name w:val="Table Header"/>
    <w:basedOn w:val="a0"/>
    <w:rsid w:val="00E354C1"/>
    <w:pPr>
      <w:keepNext/>
      <w:widowControl/>
      <w:tabs>
        <w:tab w:val="left" w:pos="851"/>
      </w:tabs>
      <w:spacing w:before="60" w:after="20" w:line="200" w:lineRule="atLeast"/>
      <w:ind w:right="113"/>
    </w:pPr>
    <w:rPr>
      <w:rFonts w:ascii="Arial" w:hAnsi="Arial"/>
      <w:b/>
      <w:color w:val="000080"/>
      <w:sz w:val="18"/>
      <w:lang w:eastAsia="en-GB"/>
    </w:rPr>
  </w:style>
  <w:style w:type="paragraph" w:customStyle="1" w:styleId="TableRow">
    <w:name w:val="Table Row"/>
    <w:basedOn w:val="a0"/>
    <w:rsid w:val="00E354C1"/>
    <w:pPr>
      <w:keepNext/>
      <w:widowControl/>
      <w:tabs>
        <w:tab w:val="left" w:pos="851"/>
      </w:tabs>
      <w:spacing w:before="60" w:after="20" w:line="200" w:lineRule="atLeast"/>
      <w:ind w:right="113"/>
    </w:pPr>
    <w:rPr>
      <w:rFonts w:ascii="Arial" w:hAnsi="Arial"/>
      <w:sz w:val="16"/>
      <w:lang w:eastAsia="en-GB"/>
    </w:rPr>
  </w:style>
  <w:style w:type="paragraph" w:customStyle="1" w:styleId="TableColumnHeader">
    <w:name w:val="Table Column Header"/>
    <w:basedOn w:val="a0"/>
    <w:rsid w:val="00E354C1"/>
    <w:pPr>
      <w:widowControl/>
      <w:spacing w:before="60" w:after="20" w:line="200" w:lineRule="atLeast"/>
    </w:pPr>
    <w:rPr>
      <w:rFonts w:ascii="Arial" w:hAnsi="Arial"/>
      <w:color w:val="000080"/>
      <w:sz w:val="18"/>
      <w:lang w:eastAsia="en-GB"/>
    </w:rPr>
  </w:style>
  <w:style w:type="paragraph" w:customStyle="1" w:styleId="Tables2">
    <w:name w:val="Tables 2"/>
    <w:basedOn w:val="a0"/>
    <w:rsid w:val="00E354C1"/>
    <w:pPr>
      <w:keepNext/>
      <w:keepLines/>
      <w:tabs>
        <w:tab w:val="decimal" w:pos="203"/>
      </w:tabs>
      <w:spacing w:before="40" w:after="40"/>
    </w:pPr>
    <w:rPr>
      <w:rFonts w:ascii="Arial" w:hAnsi="Arial"/>
      <w:snapToGrid w:val="0"/>
      <w:sz w:val="16"/>
    </w:rPr>
  </w:style>
  <w:style w:type="paragraph" w:styleId="af5">
    <w:name w:val="Normal (Web)"/>
    <w:basedOn w:val="a0"/>
    <w:uiPriority w:val="99"/>
    <w:rsid w:val="00E354C1"/>
    <w:pPr>
      <w:widowControl/>
      <w:spacing w:before="100" w:after="100"/>
    </w:pPr>
    <w:rPr>
      <w:rFonts w:ascii="Arial Unicode MS" w:eastAsia="Arial Unicode MS" w:hAnsi="Arial Unicode MS"/>
      <w:sz w:val="20"/>
      <w:lang w:val="de-DE"/>
    </w:rPr>
  </w:style>
  <w:style w:type="paragraph" w:styleId="11">
    <w:name w:val="toc 1"/>
    <w:aliases w:val="TOC 1 (don't use)"/>
    <w:basedOn w:val="a0"/>
    <w:next w:val="a0"/>
    <w:autoRedefine/>
    <w:uiPriority w:val="39"/>
    <w:unhideWhenUsed/>
    <w:qFormat/>
    <w:rsid w:val="00E91EAB"/>
    <w:pPr>
      <w:widowControl/>
      <w:tabs>
        <w:tab w:val="left" w:pos="426"/>
        <w:tab w:val="right" w:leader="dot" w:pos="9239"/>
      </w:tabs>
      <w:spacing w:before="8" w:line="360" w:lineRule="auto"/>
      <w:jc w:val="left"/>
    </w:pPr>
    <w:rPr>
      <w:rFonts w:ascii="Times New Roman Bold" w:eastAsia="MS Mincho" w:hAnsi="Times New Roman Bold"/>
      <w:b/>
      <w:bCs/>
      <w:caps/>
      <w:sz w:val="22"/>
      <w:szCs w:val="22"/>
      <w:lang w:eastAsia="ja-JP"/>
    </w:rPr>
  </w:style>
  <w:style w:type="paragraph" w:styleId="22">
    <w:name w:val="toc 2"/>
    <w:aliases w:val="TOC 2 (don't use)"/>
    <w:basedOn w:val="a0"/>
    <w:next w:val="a0"/>
    <w:autoRedefine/>
    <w:uiPriority w:val="39"/>
    <w:unhideWhenUsed/>
    <w:qFormat/>
    <w:rsid w:val="00CD7C78"/>
    <w:pPr>
      <w:widowControl/>
      <w:tabs>
        <w:tab w:val="left" w:pos="742"/>
        <w:tab w:val="right" w:pos="959"/>
        <w:tab w:val="right" w:leader="dot" w:pos="9225"/>
      </w:tabs>
      <w:spacing w:before="8" w:line="360" w:lineRule="auto"/>
      <w:ind w:left="238"/>
      <w:jc w:val="left"/>
    </w:pPr>
    <w:rPr>
      <w:rFonts w:asciiTheme="minorHAnsi" w:hAnsiTheme="minorHAnsi"/>
      <w:smallCaps/>
      <w:sz w:val="22"/>
      <w:szCs w:val="22"/>
    </w:rPr>
  </w:style>
  <w:style w:type="paragraph" w:customStyle="1" w:styleId="TOCHeading1">
    <w:name w:val="TOC Heading1"/>
    <w:basedOn w:val="1"/>
    <w:next w:val="a0"/>
    <w:uiPriority w:val="39"/>
    <w:qFormat/>
    <w:rsid w:val="00100C52"/>
    <w:pPr>
      <w:keepLines/>
      <w:spacing w:before="480" w:after="0" w:line="276" w:lineRule="auto"/>
      <w:outlineLvl w:val="9"/>
    </w:pPr>
    <w:rPr>
      <w:rFonts w:ascii="Cambria" w:hAnsi="Cambria"/>
      <w:bCs/>
      <w:color w:val="365F91"/>
      <w:sz w:val="28"/>
      <w:szCs w:val="28"/>
    </w:rPr>
  </w:style>
  <w:style w:type="paragraph" w:styleId="32">
    <w:name w:val="toc 3"/>
    <w:basedOn w:val="a0"/>
    <w:next w:val="a0"/>
    <w:autoRedefine/>
    <w:uiPriority w:val="39"/>
    <w:unhideWhenUsed/>
    <w:qFormat/>
    <w:rsid w:val="00444C84"/>
    <w:pPr>
      <w:tabs>
        <w:tab w:val="left" w:pos="482"/>
        <w:tab w:val="left" w:pos="1204"/>
        <w:tab w:val="right" w:leader="dot" w:pos="9225"/>
      </w:tabs>
      <w:spacing w:before="8" w:line="360" w:lineRule="auto"/>
      <w:ind w:left="482"/>
      <w:jc w:val="left"/>
    </w:pPr>
    <w:rPr>
      <w:rFonts w:asciiTheme="minorHAnsi" w:hAnsiTheme="minorHAnsi"/>
      <w:i/>
      <w:sz w:val="22"/>
      <w:szCs w:val="22"/>
    </w:rPr>
  </w:style>
  <w:style w:type="paragraph" w:customStyle="1" w:styleId="TabFiglegends">
    <w:name w:val="Tab &amp; Fig legends"/>
    <w:basedOn w:val="a0"/>
    <w:rsid w:val="00F05989"/>
    <w:pPr>
      <w:widowControl/>
      <w:jc w:val="center"/>
    </w:pPr>
    <w:rPr>
      <w:sz w:val="22"/>
      <w:lang w:eastAsia="en-GB"/>
    </w:rPr>
  </w:style>
  <w:style w:type="table" w:styleId="af6">
    <w:name w:val="Table Grid"/>
    <w:basedOn w:val="a2"/>
    <w:uiPriority w:val="59"/>
    <w:rsid w:val="006520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e">
    <w:name w:val="name"/>
    <w:basedOn w:val="a1"/>
    <w:rsid w:val="00DF0296"/>
  </w:style>
  <w:style w:type="paragraph" w:customStyle="1" w:styleId="Tableheadings">
    <w:name w:val="Table headings"/>
    <w:basedOn w:val="a0"/>
    <w:rsid w:val="008E4171"/>
    <w:pPr>
      <w:keepNext/>
      <w:keepLines/>
      <w:widowControl/>
      <w:tabs>
        <w:tab w:val="center" w:pos="4512"/>
      </w:tabs>
      <w:jc w:val="center"/>
      <w:outlineLvl w:val="0"/>
    </w:pPr>
    <w:rPr>
      <w:sz w:val="22"/>
      <w:lang w:eastAsia="sv-SE"/>
    </w:rPr>
  </w:style>
  <w:style w:type="paragraph" w:customStyle="1" w:styleId="4thLevelHeader">
    <w:name w:val="4th Level Header"/>
    <w:basedOn w:val="30"/>
    <w:next w:val="Annalstext"/>
    <w:rsid w:val="004A49AC"/>
    <w:pPr>
      <w:keepNext/>
      <w:spacing w:after="100" w:afterAutospacing="1" w:line="280" w:lineRule="atLeast"/>
      <w:ind w:left="0" w:firstLine="0"/>
      <w:jc w:val="left"/>
      <w:outlineLvl w:val="3"/>
    </w:pPr>
    <w:rPr>
      <w:rFonts w:ascii="Times New Roman" w:hAnsi="Times New Roman"/>
      <w:b/>
      <w:i/>
      <w:sz w:val="24"/>
      <w:lang w:eastAsia="en-GB"/>
    </w:rPr>
  </w:style>
  <w:style w:type="paragraph" w:customStyle="1" w:styleId="5thLevelHeader">
    <w:name w:val="5th Level Header"/>
    <w:basedOn w:val="30"/>
    <w:next w:val="Annalstext"/>
    <w:rsid w:val="002704C0"/>
    <w:pPr>
      <w:keepNext/>
      <w:spacing w:line="280" w:lineRule="atLeast"/>
      <w:ind w:left="0" w:firstLine="0"/>
      <w:jc w:val="left"/>
      <w:outlineLvl w:val="4"/>
    </w:pPr>
    <w:rPr>
      <w:rFonts w:ascii="Times New Roman" w:hAnsi="Times New Roman"/>
      <w:i/>
      <w:sz w:val="24"/>
      <w:lang w:eastAsia="en-GB"/>
    </w:rPr>
  </w:style>
  <w:style w:type="paragraph" w:customStyle="1" w:styleId="Annalstextend">
    <w:name w:val="Annals text end"/>
    <w:basedOn w:val="Annalstext"/>
    <w:link w:val="AnnalstextendChar"/>
    <w:rsid w:val="00050004"/>
    <w:pPr>
      <w:spacing w:after="280"/>
    </w:pPr>
  </w:style>
  <w:style w:type="character" w:customStyle="1" w:styleId="AnnalstextendChar">
    <w:name w:val="Annals text end Char"/>
    <w:link w:val="Annalstextend"/>
    <w:rsid w:val="007F0D4F"/>
    <w:rPr>
      <w:sz w:val="24"/>
      <w:lang w:val="en-GB" w:eastAsia="en-US"/>
    </w:rPr>
  </w:style>
  <w:style w:type="paragraph" w:customStyle="1" w:styleId="MainTextPreference">
    <w:name w:val="Main Text Preference"/>
    <w:basedOn w:val="Annalstext"/>
    <w:link w:val="MainTextPreferenceCar"/>
    <w:qFormat/>
    <w:rsid w:val="00AB7591"/>
    <w:pPr>
      <w:numPr>
        <w:numId w:val="0"/>
      </w:numPr>
    </w:pPr>
  </w:style>
  <w:style w:type="paragraph" w:customStyle="1" w:styleId="Table">
    <w:name w:val="Table"/>
    <w:basedOn w:val="a0"/>
    <w:qFormat/>
    <w:rsid w:val="00100C52"/>
    <w:pPr>
      <w:jc w:val="left"/>
    </w:pPr>
    <w:rPr>
      <w:snapToGrid w:val="0"/>
      <w:sz w:val="22"/>
      <w:szCs w:val="24"/>
    </w:rPr>
  </w:style>
  <w:style w:type="paragraph" w:customStyle="1" w:styleId="Annalstextbluebold">
    <w:name w:val="Annals text blue bold"/>
    <w:basedOn w:val="Annalstext"/>
    <w:link w:val="AnnalstextblueboldChar"/>
    <w:qFormat/>
    <w:rsid w:val="00050004"/>
    <w:rPr>
      <w:b/>
      <w:snapToGrid w:val="0"/>
      <w:color w:val="0000FF"/>
      <w:lang w:eastAsia="en-GB"/>
    </w:rPr>
  </w:style>
  <w:style w:type="character" w:customStyle="1" w:styleId="AnnalstextblueboldChar">
    <w:name w:val="Annals text blue bold Char"/>
    <w:link w:val="Annalstextbluebold"/>
    <w:rsid w:val="008C65C8"/>
    <w:rPr>
      <w:b/>
      <w:snapToGrid w:val="0"/>
      <w:color w:val="0000FF"/>
      <w:sz w:val="24"/>
      <w:lang w:val="en-GB" w:eastAsia="en-GB"/>
    </w:rPr>
  </w:style>
  <w:style w:type="paragraph" w:customStyle="1" w:styleId="Bulletsboldblue">
    <w:name w:val="Bullets bold blue"/>
    <w:basedOn w:val="Bullets"/>
    <w:rsid w:val="002756A8"/>
    <w:rPr>
      <w:b/>
      <w:color w:val="0000FF"/>
    </w:rPr>
  </w:style>
  <w:style w:type="paragraph" w:customStyle="1" w:styleId="BodyText1">
    <w:name w:val="Body Text1"/>
    <w:basedOn w:val="a0"/>
    <w:rsid w:val="00545F27"/>
    <w:pPr>
      <w:spacing w:before="120" w:line="300" w:lineRule="auto"/>
      <w:jc w:val="left"/>
    </w:pPr>
    <w:rPr>
      <w:rFonts w:ascii="Verdana" w:hAnsi="Verdana"/>
      <w:sz w:val="20"/>
    </w:rPr>
  </w:style>
  <w:style w:type="paragraph" w:customStyle="1" w:styleId="link">
    <w:name w:val="link"/>
    <w:basedOn w:val="BodyText1"/>
    <w:rsid w:val="00545F27"/>
    <w:pPr>
      <w:tabs>
        <w:tab w:val="num" w:pos="720"/>
      </w:tabs>
      <w:ind w:left="720" w:hanging="360"/>
    </w:pPr>
    <w:rPr>
      <w:color w:val="993366"/>
      <w:u w:val="single"/>
    </w:rPr>
  </w:style>
  <w:style w:type="paragraph" w:customStyle="1" w:styleId="NormalItalic">
    <w:name w:val="Normal + Italic"/>
    <w:aliases w:val="Blue"/>
    <w:basedOn w:val="a0"/>
    <w:rsid w:val="009C3EED"/>
    <w:rPr>
      <w:i/>
      <w:color w:val="0000FF"/>
    </w:rPr>
  </w:style>
  <w:style w:type="character" w:styleId="af7">
    <w:name w:val="line number"/>
    <w:uiPriority w:val="99"/>
    <w:semiHidden/>
    <w:unhideWhenUsed/>
    <w:rsid w:val="00687921"/>
  </w:style>
  <w:style w:type="paragraph" w:customStyle="1" w:styleId="GlossaryBodyChar">
    <w:name w:val="Glossary Body Char"/>
    <w:basedOn w:val="a0"/>
    <w:rsid w:val="0063565A"/>
    <w:pPr>
      <w:widowControl/>
      <w:overflowPunct w:val="0"/>
      <w:autoSpaceDE w:val="0"/>
      <w:autoSpaceDN w:val="0"/>
      <w:adjustRightInd w:val="0"/>
      <w:spacing w:after="120"/>
      <w:ind w:left="737"/>
      <w:textAlignment w:val="baseline"/>
    </w:pPr>
    <w:rPr>
      <w:rFonts w:eastAsia="MS Mincho"/>
      <w:lang w:eastAsia="de-DE"/>
    </w:rPr>
  </w:style>
  <w:style w:type="paragraph" w:customStyle="1" w:styleId="GlossaryHeadChar">
    <w:name w:val="Glossary Head Char"/>
    <w:basedOn w:val="a0"/>
    <w:rsid w:val="0063565A"/>
    <w:pPr>
      <w:widowControl/>
      <w:overflowPunct w:val="0"/>
      <w:autoSpaceDE w:val="0"/>
      <w:autoSpaceDN w:val="0"/>
      <w:adjustRightInd w:val="0"/>
      <w:spacing w:before="240" w:after="60"/>
      <w:jc w:val="left"/>
      <w:textAlignment w:val="baseline"/>
    </w:pPr>
    <w:rPr>
      <w:rFonts w:eastAsia="MS Mincho"/>
      <w:lang w:eastAsia="de-DE"/>
    </w:rPr>
  </w:style>
  <w:style w:type="paragraph" w:customStyle="1" w:styleId="CM99">
    <w:name w:val="CM99"/>
    <w:basedOn w:val="a0"/>
    <w:next w:val="a0"/>
    <w:rsid w:val="00A34888"/>
    <w:pPr>
      <w:autoSpaceDE w:val="0"/>
      <w:autoSpaceDN w:val="0"/>
      <w:adjustRightInd w:val="0"/>
      <w:jc w:val="left"/>
    </w:pPr>
    <w:rPr>
      <w:rFonts w:ascii="CNDKD O+ Adv EPSTIM" w:eastAsia="MS Mincho" w:hAnsi="CNDKD O+ Adv EPSTIM"/>
      <w:lang w:val="de-DE" w:eastAsia="de-DE"/>
    </w:rPr>
  </w:style>
  <w:style w:type="paragraph" w:customStyle="1" w:styleId="Annalsrefs">
    <w:name w:val="Annals refs"/>
    <w:basedOn w:val="a0"/>
    <w:rsid w:val="000C0828"/>
    <w:pPr>
      <w:widowControl/>
      <w:ind w:left="284" w:hanging="284"/>
      <w:jc w:val="left"/>
    </w:pPr>
    <w:rPr>
      <w:rFonts w:eastAsia="MS Mincho"/>
      <w:snapToGrid w:val="0"/>
      <w:sz w:val="22"/>
      <w:lang w:eastAsia="sv-SE"/>
    </w:rPr>
  </w:style>
  <w:style w:type="character" w:customStyle="1" w:styleId="AnnAnxhdAChar">
    <w:name w:val="Ann Anx hd A Char"/>
    <w:rsid w:val="000C0828"/>
    <w:rPr>
      <w:b/>
      <w:caps/>
      <w:noProof w:val="0"/>
      <w:snapToGrid w:val="0"/>
      <w:kern w:val="28"/>
      <w:sz w:val="24"/>
      <w:lang w:val="en-GB" w:eastAsia="sv-SE"/>
    </w:rPr>
  </w:style>
  <w:style w:type="paragraph" w:customStyle="1" w:styleId="AnnalshdgB">
    <w:name w:val="Annals hdg B"/>
    <w:basedOn w:val="2"/>
    <w:rsid w:val="00100C52"/>
    <w:pPr>
      <w:jc w:val="center"/>
    </w:pPr>
    <w:rPr>
      <w:snapToGrid w:val="0"/>
      <w:lang w:eastAsia="sv-SE"/>
    </w:rPr>
  </w:style>
  <w:style w:type="paragraph" w:customStyle="1" w:styleId="Style1">
    <w:name w:val="Style1"/>
    <w:basedOn w:val="Annalstext"/>
    <w:link w:val="Style1Car"/>
    <w:qFormat/>
    <w:rsid w:val="005C1A1C"/>
    <w:pPr>
      <w:tabs>
        <w:tab w:val="left" w:pos="142"/>
      </w:tabs>
      <w:ind w:left="6598"/>
    </w:pPr>
    <w:rPr>
      <w:rFonts w:eastAsia="Calibri"/>
      <w:lang w:val="en-US"/>
    </w:rPr>
  </w:style>
  <w:style w:type="character" w:customStyle="1" w:styleId="Style1Car">
    <w:name w:val="Style1 Car"/>
    <w:link w:val="Style1"/>
    <w:rsid w:val="005C1A1C"/>
    <w:rPr>
      <w:rFonts w:eastAsia="Calibri"/>
      <w:sz w:val="24"/>
      <w:lang w:val="en-US" w:eastAsia="en-US"/>
    </w:rPr>
  </w:style>
  <w:style w:type="character" w:customStyle="1" w:styleId="CharChar20">
    <w:name w:val="Char Char20"/>
    <w:rsid w:val="00B81390"/>
    <w:rPr>
      <w:b/>
      <w:sz w:val="24"/>
      <w:lang w:val="en-US" w:eastAsia="en-US"/>
    </w:rPr>
  </w:style>
  <w:style w:type="paragraph" w:styleId="40">
    <w:name w:val="toc 4"/>
    <w:basedOn w:val="a0"/>
    <w:next w:val="a0"/>
    <w:autoRedefine/>
    <w:uiPriority w:val="39"/>
    <w:unhideWhenUsed/>
    <w:rsid w:val="00B81390"/>
    <w:pPr>
      <w:ind w:left="720"/>
      <w:jc w:val="left"/>
    </w:pPr>
    <w:rPr>
      <w:rFonts w:asciiTheme="minorHAnsi" w:hAnsiTheme="minorHAnsi"/>
      <w:sz w:val="18"/>
      <w:szCs w:val="18"/>
    </w:rPr>
  </w:style>
  <w:style w:type="paragraph" w:customStyle="1" w:styleId="TOCHeading11">
    <w:name w:val="TOC Heading11"/>
    <w:basedOn w:val="1"/>
    <w:next w:val="a0"/>
    <w:uiPriority w:val="39"/>
    <w:qFormat/>
    <w:rsid w:val="00100C52"/>
    <w:pPr>
      <w:keepLines/>
      <w:spacing w:before="480" w:after="0" w:line="276" w:lineRule="auto"/>
      <w:outlineLvl w:val="9"/>
    </w:pPr>
    <w:rPr>
      <w:rFonts w:ascii="Cambria" w:hAnsi="Cambria"/>
      <w:bCs/>
      <w:caps w:val="0"/>
      <w:color w:val="365F91"/>
      <w:sz w:val="28"/>
      <w:szCs w:val="28"/>
    </w:rPr>
  </w:style>
  <w:style w:type="paragraph" w:customStyle="1" w:styleId="References">
    <w:name w:val="References"/>
    <w:rsid w:val="00B81390"/>
    <w:pPr>
      <w:spacing w:after="120"/>
    </w:pPr>
    <w:rPr>
      <w:noProof/>
      <w:sz w:val="22"/>
      <w:lang w:val="en-GB" w:eastAsia="en-GB"/>
    </w:rPr>
  </w:style>
  <w:style w:type="paragraph" w:customStyle="1" w:styleId="Revision1">
    <w:name w:val="Revision1"/>
    <w:hidden/>
    <w:uiPriority w:val="99"/>
    <w:semiHidden/>
    <w:rsid w:val="00B81390"/>
    <w:rPr>
      <w:sz w:val="24"/>
      <w:lang w:val="en-US" w:eastAsia="en-US"/>
    </w:rPr>
  </w:style>
  <w:style w:type="paragraph" w:customStyle="1" w:styleId="AnnexAnnalstext">
    <w:name w:val="Annex Annals text"/>
    <w:basedOn w:val="a0"/>
    <w:link w:val="AnnexAnnalstextChar"/>
    <w:rsid w:val="003B54BA"/>
    <w:pPr>
      <w:widowControl/>
      <w:tabs>
        <w:tab w:val="left" w:pos="1077"/>
      </w:tabs>
      <w:spacing w:line="280" w:lineRule="atLeast"/>
      <w:ind w:firstLine="397"/>
    </w:pPr>
  </w:style>
  <w:style w:type="character" w:customStyle="1" w:styleId="AnnexAnnalstextChar">
    <w:name w:val="Annex Annals text Char"/>
    <w:link w:val="AnnexAnnalstext"/>
    <w:rsid w:val="003B54BA"/>
    <w:rPr>
      <w:sz w:val="24"/>
    </w:rPr>
  </w:style>
  <w:style w:type="paragraph" w:customStyle="1" w:styleId="Annex1stLevelHeaderSection">
    <w:name w:val="Annex 1st Level Header (Section)"/>
    <w:basedOn w:val="a0"/>
    <w:next w:val="AnnexAnnalstext"/>
    <w:rsid w:val="003B54BA"/>
    <w:pPr>
      <w:keepNext/>
      <w:widowControl/>
      <w:spacing w:after="240"/>
      <w:ind w:left="357" w:hanging="357"/>
      <w:jc w:val="center"/>
    </w:pPr>
    <w:rPr>
      <w:b/>
    </w:rPr>
  </w:style>
  <w:style w:type="paragraph" w:customStyle="1" w:styleId="Annex3rdLevelHeader">
    <w:name w:val="Annex 3rd Level Header"/>
    <w:basedOn w:val="5thLevelHeader"/>
    <w:next w:val="AnnexAnnalstext"/>
    <w:link w:val="Annex3rdLevelHeaderChar"/>
    <w:rsid w:val="003B54BA"/>
    <w:rPr>
      <w:b/>
    </w:rPr>
  </w:style>
  <w:style w:type="character" w:customStyle="1" w:styleId="Annex3rdLevelHeaderChar">
    <w:name w:val="Annex 3rd Level Header Char"/>
    <w:link w:val="Annex3rdLevelHeader"/>
    <w:rsid w:val="003B54BA"/>
    <w:rPr>
      <w:b/>
      <w:i/>
      <w:sz w:val="24"/>
    </w:rPr>
  </w:style>
  <w:style w:type="paragraph" w:customStyle="1" w:styleId="Annex4thLevelHeader">
    <w:name w:val="Annex 4th Level Header"/>
    <w:basedOn w:val="30"/>
    <w:next w:val="AnnexAnnalstext"/>
    <w:rsid w:val="003B54BA"/>
    <w:pPr>
      <w:keepNext/>
      <w:spacing w:line="280" w:lineRule="atLeast"/>
      <w:ind w:left="0" w:firstLine="0"/>
      <w:jc w:val="left"/>
      <w:outlineLvl w:val="3"/>
    </w:pPr>
    <w:rPr>
      <w:rFonts w:ascii="Times New Roman" w:hAnsi="Times New Roman"/>
      <w:i/>
      <w:sz w:val="24"/>
      <w:lang w:eastAsia="en-GB"/>
    </w:rPr>
  </w:style>
  <w:style w:type="paragraph" w:customStyle="1" w:styleId="AnnexAnnalstextend">
    <w:name w:val="Annex Annals text end"/>
    <w:basedOn w:val="AnnexAnnalstext"/>
    <w:link w:val="AnnexAnnalstextendChar"/>
    <w:rsid w:val="003B54BA"/>
    <w:pPr>
      <w:spacing w:after="280"/>
    </w:pPr>
  </w:style>
  <w:style w:type="character" w:customStyle="1" w:styleId="AnnexAnnalstextendChar">
    <w:name w:val="Annex Annals text end Char"/>
    <w:link w:val="AnnexAnnalstextend"/>
    <w:rsid w:val="003B54BA"/>
    <w:rPr>
      <w:sz w:val="24"/>
    </w:rPr>
  </w:style>
  <w:style w:type="paragraph" w:customStyle="1" w:styleId="Annex2ndlevelheader">
    <w:name w:val="Annex 2nd level header"/>
    <w:basedOn w:val="a0"/>
    <w:next w:val="AnnexAnnalstext"/>
    <w:qFormat/>
    <w:rsid w:val="003B54BA"/>
    <w:pPr>
      <w:keepNext/>
      <w:widowControl/>
      <w:spacing w:after="100" w:afterAutospacing="1"/>
    </w:pPr>
    <w:rPr>
      <w:b/>
    </w:rPr>
  </w:style>
  <w:style w:type="paragraph" w:styleId="af8">
    <w:name w:val="Revision"/>
    <w:hidden/>
    <w:uiPriority w:val="99"/>
    <w:semiHidden/>
    <w:rsid w:val="005F5F92"/>
    <w:rPr>
      <w:sz w:val="24"/>
      <w:lang w:val="en-GB" w:eastAsia="en-US"/>
    </w:rPr>
  </w:style>
  <w:style w:type="paragraph" w:styleId="af9">
    <w:name w:val="List Paragraph"/>
    <w:basedOn w:val="Style1"/>
    <w:uiPriority w:val="34"/>
    <w:qFormat/>
    <w:rsid w:val="00865D08"/>
    <w:pPr>
      <w:adjustRightInd w:val="0"/>
      <w:snapToGrid w:val="0"/>
    </w:pPr>
  </w:style>
  <w:style w:type="paragraph" w:styleId="TOC">
    <w:name w:val="TOC Heading"/>
    <w:basedOn w:val="1"/>
    <w:next w:val="a0"/>
    <w:uiPriority w:val="39"/>
    <w:unhideWhenUsed/>
    <w:qFormat/>
    <w:rsid w:val="00100C52"/>
    <w:pPr>
      <w:keepLines/>
      <w:spacing w:before="480" w:after="0" w:line="276" w:lineRule="auto"/>
      <w:jc w:val="left"/>
      <w:outlineLvl w:val="9"/>
    </w:pPr>
    <w:rPr>
      <w:rFonts w:ascii="Cambria" w:hAnsi="Cambria"/>
      <w:bCs/>
      <w:caps w:val="0"/>
      <w:color w:val="365F91"/>
      <w:sz w:val="28"/>
      <w:szCs w:val="28"/>
      <w:lang w:val="fr-FR" w:eastAsia="fr-FR"/>
    </w:rPr>
  </w:style>
  <w:style w:type="paragraph" w:styleId="50">
    <w:name w:val="toc 5"/>
    <w:basedOn w:val="a0"/>
    <w:next w:val="a0"/>
    <w:autoRedefine/>
    <w:uiPriority w:val="39"/>
    <w:unhideWhenUsed/>
    <w:rsid w:val="004A7649"/>
    <w:pPr>
      <w:ind w:left="960"/>
      <w:jc w:val="left"/>
    </w:pPr>
    <w:rPr>
      <w:rFonts w:asciiTheme="minorHAnsi" w:hAnsiTheme="minorHAnsi"/>
      <w:sz w:val="18"/>
      <w:szCs w:val="18"/>
    </w:rPr>
  </w:style>
  <w:style w:type="paragraph" w:styleId="60">
    <w:name w:val="toc 6"/>
    <w:basedOn w:val="a0"/>
    <w:next w:val="a0"/>
    <w:autoRedefine/>
    <w:uiPriority w:val="39"/>
    <w:unhideWhenUsed/>
    <w:rsid w:val="004A7649"/>
    <w:pPr>
      <w:ind w:left="1200"/>
      <w:jc w:val="left"/>
    </w:pPr>
    <w:rPr>
      <w:rFonts w:asciiTheme="minorHAnsi" w:hAnsiTheme="minorHAnsi"/>
      <w:sz w:val="18"/>
      <w:szCs w:val="18"/>
    </w:rPr>
  </w:style>
  <w:style w:type="paragraph" w:styleId="70">
    <w:name w:val="toc 7"/>
    <w:basedOn w:val="a0"/>
    <w:next w:val="a0"/>
    <w:autoRedefine/>
    <w:uiPriority w:val="39"/>
    <w:unhideWhenUsed/>
    <w:rsid w:val="004A7649"/>
    <w:pPr>
      <w:ind w:left="1440"/>
      <w:jc w:val="left"/>
    </w:pPr>
    <w:rPr>
      <w:rFonts w:asciiTheme="minorHAnsi" w:hAnsiTheme="minorHAnsi"/>
      <w:sz w:val="18"/>
      <w:szCs w:val="18"/>
    </w:rPr>
  </w:style>
  <w:style w:type="paragraph" w:styleId="80">
    <w:name w:val="toc 8"/>
    <w:basedOn w:val="a0"/>
    <w:next w:val="a0"/>
    <w:autoRedefine/>
    <w:uiPriority w:val="39"/>
    <w:unhideWhenUsed/>
    <w:rsid w:val="004A7649"/>
    <w:pPr>
      <w:ind w:left="1680"/>
      <w:jc w:val="left"/>
    </w:pPr>
    <w:rPr>
      <w:rFonts w:asciiTheme="minorHAnsi" w:hAnsiTheme="minorHAnsi"/>
      <w:sz w:val="18"/>
      <w:szCs w:val="18"/>
    </w:rPr>
  </w:style>
  <w:style w:type="paragraph" w:styleId="90">
    <w:name w:val="toc 9"/>
    <w:basedOn w:val="a0"/>
    <w:next w:val="a0"/>
    <w:autoRedefine/>
    <w:uiPriority w:val="39"/>
    <w:unhideWhenUsed/>
    <w:rsid w:val="004A7649"/>
    <w:pPr>
      <w:ind w:left="1920"/>
      <w:jc w:val="left"/>
    </w:pPr>
    <w:rPr>
      <w:rFonts w:asciiTheme="minorHAnsi" w:hAnsiTheme="minorHAnsi"/>
      <w:sz w:val="18"/>
      <w:szCs w:val="18"/>
    </w:rPr>
  </w:style>
  <w:style w:type="character" w:styleId="afa">
    <w:name w:val="FollowedHyperlink"/>
    <w:uiPriority w:val="99"/>
    <w:semiHidden/>
    <w:unhideWhenUsed/>
    <w:rsid w:val="002929B0"/>
    <w:rPr>
      <w:color w:val="800080"/>
      <w:u w:val="single"/>
    </w:rPr>
  </w:style>
  <w:style w:type="paragraph" w:customStyle="1" w:styleId="Style2">
    <w:name w:val="Style2"/>
    <w:basedOn w:val="2ndLevelHeader"/>
    <w:link w:val="Style2Car"/>
    <w:qFormat/>
    <w:rsid w:val="00AD0200"/>
  </w:style>
  <w:style w:type="character" w:customStyle="1" w:styleId="Style2Car">
    <w:name w:val="Style2 Car"/>
    <w:link w:val="Style2"/>
    <w:rsid w:val="00AD0200"/>
    <w:rPr>
      <w:b/>
      <w:sz w:val="24"/>
      <w:szCs w:val="24"/>
      <w:lang w:val="en-US" w:eastAsia="en-GB"/>
    </w:rPr>
  </w:style>
  <w:style w:type="paragraph" w:customStyle="1" w:styleId="Style3">
    <w:name w:val="Style3"/>
    <w:basedOn w:val="3rdLevelHeader"/>
    <w:link w:val="Style3Car"/>
    <w:qFormat/>
    <w:rsid w:val="00AD0200"/>
    <w:rPr>
      <w:snapToGrid w:val="0"/>
    </w:rPr>
  </w:style>
  <w:style w:type="character" w:customStyle="1" w:styleId="Style3Car">
    <w:name w:val="Style3 Car"/>
    <w:link w:val="Style3"/>
    <w:rsid w:val="00AD0200"/>
    <w:rPr>
      <w:b/>
      <w:snapToGrid w:val="0"/>
      <w:sz w:val="24"/>
    </w:rPr>
  </w:style>
  <w:style w:type="paragraph" w:customStyle="1" w:styleId="Style1bis">
    <w:name w:val="Style1 bis"/>
    <w:basedOn w:val="1stLevelHeaderSection"/>
    <w:link w:val="Style1bisCar"/>
    <w:qFormat/>
    <w:rsid w:val="00AD0200"/>
  </w:style>
  <w:style w:type="character" w:customStyle="1" w:styleId="Style1bisCar">
    <w:name w:val="Style1 bis Car"/>
    <w:link w:val="Style1bis"/>
    <w:rsid w:val="00AD0200"/>
    <w:rPr>
      <w:b/>
      <w:caps/>
      <w:sz w:val="24"/>
      <w:lang w:val="en-GB" w:eastAsia="en-GB"/>
    </w:rPr>
  </w:style>
  <w:style w:type="character" w:styleId="afb">
    <w:name w:val="footnote reference"/>
    <w:uiPriority w:val="99"/>
    <w:semiHidden/>
    <w:unhideWhenUsed/>
    <w:rsid w:val="004747D0"/>
    <w:rPr>
      <w:vertAlign w:val="superscript"/>
    </w:rPr>
  </w:style>
  <w:style w:type="paragraph" w:customStyle="1" w:styleId="OIRTitre3">
    <w:name w:val="OIR Titre 3"/>
    <w:basedOn w:val="3rdLevelHeader"/>
    <w:link w:val="OIRTitre3Car"/>
    <w:qFormat/>
    <w:rsid w:val="00100C52"/>
    <w:pPr>
      <w:numPr>
        <w:numId w:val="4"/>
      </w:numPr>
      <w:spacing w:after="240" w:line="240" w:lineRule="auto"/>
    </w:pPr>
    <w:rPr>
      <w:rFonts w:ascii="Times Roman" w:hAnsi="Times Roman"/>
      <w:snapToGrid w:val="0"/>
    </w:rPr>
  </w:style>
  <w:style w:type="paragraph" w:customStyle="1" w:styleId="OIRTitre2">
    <w:name w:val="OIR Titre 2"/>
    <w:basedOn w:val="2ndLevelHeader"/>
    <w:link w:val="OIRTitre2Car"/>
    <w:qFormat/>
    <w:rsid w:val="00100C52"/>
    <w:pPr>
      <w:spacing w:after="240" w:line="240" w:lineRule="auto"/>
      <w:jc w:val="left"/>
    </w:pPr>
  </w:style>
  <w:style w:type="character" w:customStyle="1" w:styleId="OIRTitre3Car">
    <w:name w:val="OIR Titre 3 Car"/>
    <w:link w:val="OIRTitre3"/>
    <w:rsid w:val="00BE6D4C"/>
    <w:rPr>
      <w:rFonts w:ascii="Times Roman" w:hAnsi="Times Roman"/>
      <w:b/>
      <w:snapToGrid w:val="0"/>
      <w:sz w:val="24"/>
      <w:lang w:val="en-GB" w:eastAsia="en-US"/>
    </w:rPr>
  </w:style>
  <w:style w:type="paragraph" w:customStyle="1" w:styleId="OIRTitre1">
    <w:name w:val="OIR Titre 1"/>
    <w:basedOn w:val="1stLevelHeaderSection"/>
    <w:link w:val="OIRTitre1Car"/>
    <w:qFormat/>
    <w:rsid w:val="00100C52"/>
    <w:pPr>
      <w:numPr>
        <w:numId w:val="4"/>
      </w:numPr>
      <w:spacing w:before="240" w:line="240" w:lineRule="auto"/>
      <w:ind w:left="357" w:hanging="357"/>
    </w:pPr>
    <w:rPr>
      <w:rFonts w:ascii="Times Roman" w:hAnsi="Times Roman"/>
      <w:sz w:val="32"/>
    </w:rPr>
  </w:style>
  <w:style w:type="character" w:customStyle="1" w:styleId="OIRTitre2Car">
    <w:name w:val="OIR Titre 2 Car"/>
    <w:link w:val="OIRTitre2"/>
    <w:rsid w:val="00BE6D4C"/>
    <w:rPr>
      <w:b/>
      <w:sz w:val="28"/>
      <w:szCs w:val="24"/>
      <w:lang w:val="en-US" w:eastAsia="en-GB"/>
    </w:rPr>
  </w:style>
  <w:style w:type="character" w:customStyle="1" w:styleId="OIRTitre1Car">
    <w:name w:val="OIR Titre 1 Car"/>
    <w:link w:val="OIRTitre1"/>
    <w:rsid w:val="00BE6D4C"/>
    <w:rPr>
      <w:rFonts w:ascii="Times Roman" w:hAnsi="Times Roman"/>
      <w:b/>
      <w:caps/>
      <w:sz w:val="32"/>
      <w:lang w:val="en-GB" w:eastAsia="en-GB"/>
    </w:rPr>
  </w:style>
  <w:style w:type="paragraph" w:customStyle="1" w:styleId="TxBrp38">
    <w:name w:val="TxBr_p38"/>
    <w:basedOn w:val="a0"/>
    <w:uiPriority w:val="99"/>
    <w:rsid w:val="00E45995"/>
    <w:pPr>
      <w:tabs>
        <w:tab w:val="left" w:pos="1088"/>
        <w:tab w:val="left" w:pos="1564"/>
      </w:tabs>
      <w:spacing w:line="240" w:lineRule="atLeast"/>
      <w:ind w:left="1564" w:hanging="476"/>
    </w:pPr>
    <w:rPr>
      <w:rFonts w:ascii="Verdana" w:hAnsi="Verdana"/>
      <w:sz w:val="20"/>
      <w:lang w:val="en-US"/>
    </w:rPr>
  </w:style>
  <w:style w:type="paragraph" w:customStyle="1" w:styleId="Niveauducommentaire2">
    <w:name w:val="Niveau du commentaire : 2"/>
    <w:qFormat/>
    <w:rsid w:val="005F396E"/>
    <w:rPr>
      <w:rFonts w:ascii="Calibri" w:eastAsia="맑은 고딕" w:hAnsi="Calibri"/>
      <w:sz w:val="22"/>
      <w:szCs w:val="22"/>
      <w:lang w:val="en-US" w:eastAsia="en-US"/>
    </w:rPr>
  </w:style>
  <w:style w:type="character" w:customStyle="1" w:styleId="Char6">
    <w:name w:val="메모 텍스트 Char"/>
    <w:link w:val="af3"/>
    <w:uiPriority w:val="99"/>
    <w:rsid w:val="005E6E02"/>
    <w:rPr>
      <w:lang w:val="en-GB" w:eastAsia="en-US"/>
    </w:rPr>
  </w:style>
  <w:style w:type="character" w:styleId="afc">
    <w:name w:val="Placeholder Text"/>
    <w:basedOn w:val="a1"/>
    <w:uiPriority w:val="99"/>
    <w:semiHidden/>
    <w:rsid w:val="00B016FD"/>
    <w:rPr>
      <w:color w:val="808080"/>
    </w:rPr>
  </w:style>
  <w:style w:type="character" w:customStyle="1" w:styleId="Style1Char">
    <w:name w:val="Style1 Char"/>
    <w:uiPriority w:val="99"/>
    <w:rsid w:val="00804FDF"/>
    <w:rPr>
      <w:sz w:val="22"/>
      <w:szCs w:val="22"/>
      <w:lang w:val="en-GB" w:eastAsia="en-GB"/>
    </w:rPr>
  </w:style>
  <w:style w:type="numbering" w:customStyle="1" w:styleId="Style6">
    <w:name w:val="Style6"/>
    <w:rsid w:val="00F959F5"/>
    <w:pPr>
      <w:numPr>
        <w:numId w:val="5"/>
      </w:numPr>
    </w:pPr>
  </w:style>
  <w:style w:type="paragraph" w:customStyle="1" w:styleId="StyleLeft0cmHanging127cm">
    <w:name w:val="Style Left:  0 cm Hanging:  1.27 cm"/>
    <w:basedOn w:val="a0"/>
    <w:uiPriority w:val="99"/>
    <w:rsid w:val="00EC51BC"/>
    <w:pPr>
      <w:widowControl/>
    </w:pPr>
    <w:rPr>
      <w:rFonts w:ascii="Verdana" w:eastAsia="Times New Roman" w:hAnsi="Verdana"/>
      <w:sz w:val="20"/>
      <w:lang w:val="fr-FR" w:eastAsia="fr-FR"/>
    </w:rPr>
  </w:style>
  <w:style w:type="character" w:customStyle="1" w:styleId="BodyText2Char1">
    <w:name w:val="Body Text 2 Char1"/>
    <w:rsid w:val="00690AD3"/>
    <w:rPr>
      <w:rFonts w:ascii="Verdana" w:hAnsi="Verdana"/>
      <w:lang w:val="en-US" w:eastAsia="en-US"/>
    </w:rPr>
  </w:style>
  <w:style w:type="paragraph" w:customStyle="1" w:styleId="Textedebulles1">
    <w:name w:val="Texte de bulles1"/>
    <w:basedOn w:val="a0"/>
    <w:semiHidden/>
    <w:rsid w:val="00797E99"/>
    <w:pPr>
      <w:widowControl/>
    </w:pPr>
    <w:rPr>
      <w:rFonts w:ascii="Tahoma" w:hAnsi="Tahoma" w:cs="Tahoma"/>
      <w:sz w:val="16"/>
      <w:szCs w:val="16"/>
      <w:lang w:eastAsia="fr-FR"/>
    </w:rPr>
  </w:style>
  <w:style w:type="paragraph" w:customStyle="1" w:styleId="Annaddtxt">
    <w:name w:val="Ann add txt"/>
    <w:basedOn w:val="a0"/>
    <w:rsid w:val="00797E99"/>
    <w:pPr>
      <w:widowControl/>
      <w:numPr>
        <w:ilvl w:val="3"/>
        <w:numId w:val="7"/>
      </w:numPr>
      <w:tabs>
        <w:tab w:val="left" w:pos="646"/>
      </w:tabs>
    </w:pPr>
    <w:rPr>
      <w:rFonts w:eastAsia="Times New Roman"/>
      <w:snapToGrid w:val="0"/>
      <w:lang w:eastAsia="sv-SE"/>
    </w:rPr>
  </w:style>
  <w:style w:type="paragraph" w:customStyle="1" w:styleId="AnnAnxhdA">
    <w:name w:val="Ann Anx hd A"/>
    <w:basedOn w:val="a0"/>
    <w:rsid w:val="00797E99"/>
    <w:pPr>
      <w:keepNext/>
      <w:widowControl/>
      <w:numPr>
        <w:numId w:val="7"/>
      </w:numPr>
      <w:spacing w:before="240" w:after="240"/>
      <w:jc w:val="center"/>
      <w:outlineLvl w:val="0"/>
    </w:pPr>
    <w:rPr>
      <w:rFonts w:eastAsia="Times New Roman"/>
      <w:b/>
      <w:caps/>
      <w:snapToGrid w:val="0"/>
      <w:kern w:val="28"/>
      <w:lang w:eastAsia="sv-SE"/>
    </w:rPr>
  </w:style>
  <w:style w:type="paragraph" w:customStyle="1" w:styleId="AnnalsAnxhdB">
    <w:name w:val="Annals Anx hd B"/>
    <w:basedOn w:val="a0"/>
    <w:rsid w:val="00797E99"/>
    <w:pPr>
      <w:keepNext/>
      <w:widowControl/>
      <w:numPr>
        <w:ilvl w:val="1"/>
        <w:numId w:val="7"/>
      </w:numPr>
      <w:spacing w:before="480" w:after="240"/>
      <w:jc w:val="center"/>
      <w:outlineLvl w:val="1"/>
    </w:pPr>
    <w:rPr>
      <w:rFonts w:eastAsia="Times New Roman"/>
      <w:b/>
      <w:snapToGrid w:val="0"/>
      <w:lang w:eastAsia="sv-SE"/>
    </w:rPr>
  </w:style>
  <w:style w:type="paragraph" w:customStyle="1" w:styleId="AnnalsAnxhdC">
    <w:name w:val="Annals Anx hd C"/>
    <w:basedOn w:val="a0"/>
    <w:rsid w:val="00797E99"/>
    <w:pPr>
      <w:widowControl/>
      <w:numPr>
        <w:ilvl w:val="2"/>
        <w:numId w:val="7"/>
      </w:numPr>
      <w:spacing w:before="240" w:after="240"/>
      <w:jc w:val="left"/>
    </w:pPr>
    <w:rPr>
      <w:rFonts w:eastAsia="Times New Roman"/>
      <w:b/>
      <w:snapToGrid w:val="0"/>
      <w:lang w:eastAsia="sv-SE"/>
    </w:rPr>
  </w:style>
  <w:style w:type="character" w:customStyle="1" w:styleId="RefsChar">
    <w:name w:val="Refs Char"/>
    <w:link w:val="Refs"/>
    <w:rsid w:val="00AA0F0E"/>
    <w:rPr>
      <w:sz w:val="24"/>
      <w:lang w:val="en-GB" w:eastAsia="en-US"/>
    </w:rPr>
  </w:style>
  <w:style w:type="numbering" w:customStyle="1" w:styleId="Style4">
    <w:name w:val="Style4"/>
    <w:rsid w:val="004558E8"/>
    <w:pPr>
      <w:numPr>
        <w:numId w:val="9"/>
      </w:numPr>
    </w:pPr>
  </w:style>
  <w:style w:type="paragraph" w:styleId="afd">
    <w:name w:val="Title"/>
    <w:basedOn w:val="a0"/>
    <w:link w:val="Char8"/>
    <w:uiPriority w:val="99"/>
    <w:qFormat/>
    <w:rsid w:val="00201ECC"/>
    <w:pPr>
      <w:widowControl/>
      <w:jc w:val="center"/>
    </w:pPr>
    <w:rPr>
      <w:rFonts w:ascii="Verdana" w:eastAsia="Times New Roman" w:hAnsi="Verdana"/>
      <w:b/>
      <w:bCs/>
      <w:sz w:val="20"/>
      <w:szCs w:val="24"/>
      <w:lang w:val="fr-FR" w:eastAsia="fr-FR"/>
    </w:rPr>
  </w:style>
  <w:style w:type="character" w:customStyle="1" w:styleId="Char8">
    <w:name w:val="제목 Char"/>
    <w:basedOn w:val="a1"/>
    <w:link w:val="afd"/>
    <w:uiPriority w:val="99"/>
    <w:rsid w:val="00201ECC"/>
    <w:rPr>
      <w:rFonts w:ascii="Verdana" w:eastAsia="Times New Roman" w:hAnsi="Verdana"/>
      <w:b/>
      <w:bCs/>
      <w:szCs w:val="24"/>
    </w:rPr>
  </w:style>
  <w:style w:type="character" w:customStyle="1" w:styleId="goohl1">
    <w:name w:val="goohl1"/>
    <w:basedOn w:val="a1"/>
    <w:uiPriority w:val="99"/>
    <w:rsid w:val="00201ECC"/>
    <w:rPr>
      <w:rFonts w:cs="Times New Roman"/>
    </w:rPr>
  </w:style>
  <w:style w:type="paragraph" w:customStyle="1" w:styleId="HTMLPreformatted1">
    <w:name w:val="HTML Preformatted1"/>
    <w:basedOn w:val="a0"/>
    <w:uiPriority w:val="99"/>
    <w:rsid w:val="00201E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sz w:val="20"/>
      <w:szCs w:val="24"/>
      <w:lang w:val="fr-FR" w:eastAsia="fr-FR"/>
    </w:rPr>
  </w:style>
  <w:style w:type="paragraph" w:styleId="HTML">
    <w:name w:val="HTML Preformatted"/>
    <w:basedOn w:val="a0"/>
    <w:link w:val="HTMLChar"/>
    <w:uiPriority w:val="99"/>
    <w:rsid w:val="00201E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cs="Courier New"/>
      <w:sz w:val="20"/>
      <w:lang w:val="fr-FR" w:eastAsia="fr-FR"/>
    </w:rPr>
  </w:style>
  <w:style w:type="character" w:customStyle="1" w:styleId="HTMLChar">
    <w:name w:val="미리 서식이 지정된 HTML Char"/>
    <w:basedOn w:val="a1"/>
    <w:link w:val="HTML"/>
    <w:uiPriority w:val="99"/>
    <w:rsid w:val="00201ECC"/>
    <w:rPr>
      <w:rFonts w:ascii="Arial Unicode MS" w:eastAsia="Arial Unicode MS" w:cs="Courier New"/>
    </w:rPr>
  </w:style>
  <w:style w:type="character" w:customStyle="1" w:styleId="A80">
    <w:name w:val="A8"/>
    <w:uiPriority w:val="99"/>
    <w:rsid w:val="00201ECC"/>
    <w:rPr>
      <w:color w:val="000000"/>
      <w:sz w:val="14"/>
    </w:rPr>
  </w:style>
  <w:style w:type="paragraph" w:customStyle="1" w:styleId="Estilo1">
    <w:name w:val="Estilo1"/>
    <w:basedOn w:val="a0"/>
    <w:link w:val="Estilo1Char"/>
    <w:uiPriority w:val="99"/>
    <w:rsid w:val="00201ECC"/>
    <w:pPr>
      <w:widowControl/>
      <w:spacing w:line="180" w:lineRule="exact"/>
      <w:ind w:left="720" w:hanging="720"/>
    </w:pPr>
    <w:rPr>
      <w:rFonts w:ascii="Verdana" w:eastAsia="Times New Roman" w:hAnsi="Verdana"/>
      <w:sz w:val="16"/>
      <w:szCs w:val="16"/>
      <w:lang w:eastAsia="fr-FR"/>
    </w:rPr>
  </w:style>
  <w:style w:type="character" w:customStyle="1" w:styleId="Estilo1Char">
    <w:name w:val="Estilo1 Char"/>
    <w:basedOn w:val="a1"/>
    <w:link w:val="Estilo1"/>
    <w:uiPriority w:val="99"/>
    <w:locked/>
    <w:rsid w:val="00201ECC"/>
    <w:rPr>
      <w:rFonts w:ascii="Verdana" w:eastAsia="Times New Roman" w:hAnsi="Verdana"/>
      <w:sz w:val="16"/>
      <w:szCs w:val="16"/>
      <w:lang w:val="en-GB"/>
    </w:rPr>
  </w:style>
  <w:style w:type="character" w:styleId="HTML0">
    <w:name w:val="HTML Cite"/>
    <w:basedOn w:val="a1"/>
    <w:uiPriority w:val="99"/>
    <w:semiHidden/>
    <w:unhideWhenUsed/>
    <w:rsid w:val="00201ECC"/>
    <w:rPr>
      <w:i/>
      <w:iCs/>
    </w:rPr>
  </w:style>
  <w:style w:type="character" w:customStyle="1" w:styleId="std">
    <w:name w:val="std"/>
    <w:basedOn w:val="a1"/>
    <w:rsid w:val="00201ECC"/>
  </w:style>
  <w:style w:type="character" w:customStyle="1" w:styleId="gl">
    <w:name w:val="gl"/>
    <w:basedOn w:val="a1"/>
    <w:rsid w:val="00201ECC"/>
  </w:style>
  <w:style w:type="character" w:customStyle="1" w:styleId="f">
    <w:name w:val="f"/>
    <w:basedOn w:val="a1"/>
    <w:rsid w:val="00201ECC"/>
  </w:style>
  <w:style w:type="character" w:customStyle="1" w:styleId="st">
    <w:name w:val="st"/>
    <w:basedOn w:val="a1"/>
    <w:rsid w:val="00201ECC"/>
  </w:style>
  <w:style w:type="character" w:customStyle="1" w:styleId="bc">
    <w:name w:val="bc"/>
    <w:basedOn w:val="a1"/>
    <w:rsid w:val="00201ECC"/>
  </w:style>
  <w:style w:type="paragraph" w:customStyle="1" w:styleId="StyleRefsItalic">
    <w:name w:val="Style Refs + Italic"/>
    <w:basedOn w:val="Refs"/>
    <w:link w:val="StyleRefsItalicChar"/>
    <w:rsid w:val="00650B43"/>
    <w:pPr>
      <w:keepLines/>
    </w:pPr>
    <w:rPr>
      <w:rFonts w:ascii="Verdana" w:eastAsia="Times New Roman" w:hAnsi="Verdana"/>
      <w:iCs/>
      <w:sz w:val="16"/>
      <w:szCs w:val="24"/>
    </w:rPr>
  </w:style>
  <w:style w:type="character" w:customStyle="1" w:styleId="StyleRefsItalicChar">
    <w:name w:val="Style Refs + Italic Char"/>
    <w:link w:val="StyleRefsItalic"/>
    <w:rsid w:val="00650B43"/>
    <w:rPr>
      <w:rFonts w:ascii="Verdana" w:eastAsia="Times New Roman" w:hAnsi="Verdana"/>
      <w:iCs/>
      <w:sz w:val="16"/>
      <w:szCs w:val="24"/>
      <w:lang w:val="en-GB" w:eastAsia="en-US"/>
    </w:rPr>
  </w:style>
  <w:style w:type="paragraph" w:styleId="afe">
    <w:name w:val="Document Map"/>
    <w:basedOn w:val="a0"/>
    <w:link w:val="Char9"/>
    <w:uiPriority w:val="99"/>
    <w:semiHidden/>
    <w:unhideWhenUsed/>
    <w:rsid w:val="001E5762"/>
    <w:rPr>
      <w:rFonts w:ascii="Tahoma" w:hAnsi="Tahoma" w:cs="Tahoma"/>
      <w:sz w:val="16"/>
      <w:szCs w:val="16"/>
    </w:rPr>
  </w:style>
  <w:style w:type="character" w:customStyle="1" w:styleId="Char9">
    <w:name w:val="문서 구조 Char"/>
    <w:basedOn w:val="a1"/>
    <w:link w:val="afe"/>
    <w:uiPriority w:val="99"/>
    <w:semiHidden/>
    <w:rsid w:val="001E5762"/>
    <w:rPr>
      <w:rFonts w:ascii="Tahoma" w:hAnsi="Tahoma" w:cs="Tahoma"/>
      <w:sz w:val="16"/>
      <w:szCs w:val="16"/>
      <w:lang w:val="en-GB" w:eastAsia="en-US"/>
    </w:rPr>
  </w:style>
  <w:style w:type="paragraph" w:customStyle="1" w:styleId="OIRTitre4">
    <w:name w:val="OIR Titre 4"/>
    <w:basedOn w:val="MainTextPreference"/>
    <w:link w:val="OIRTitre4Car"/>
    <w:autoRedefine/>
    <w:qFormat/>
    <w:rsid w:val="006703A2"/>
    <w:pPr>
      <w:numPr>
        <w:ilvl w:val="3"/>
        <w:numId w:val="4"/>
      </w:numPr>
      <w:tabs>
        <w:tab w:val="clear" w:pos="624"/>
      </w:tabs>
      <w:spacing w:before="240" w:after="240"/>
      <w:ind w:left="0" w:firstLine="0"/>
      <w:outlineLvl w:val="3"/>
    </w:pPr>
    <w:rPr>
      <w:rFonts w:eastAsia="Calibri"/>
      <w:noProof/>
    </w:rPr>
  </w:style>
  <w:style w:type="character" w:customStyle="1" w:styleId="MainTextPreferenceCar">
    <w:name w:val="Main Text Preference Car"/>
    <w:basedOn w:val="AnnalstextChar"/>
    <w:link w:val="MainTextPreference"/>
    <w:rsid w:val="00A62024"/>
    <w:rPr>
      <w:sz w:val="24"/>
      <w:lang w:val="en-GB" w:eastAsia="en-US"/>
    </w:rPr>
  </w:style>
  <w:style w:type="character" w:customStyle="1" w:styleId="OIRTitre4Car">
    <w:name w:val="OIR Titre 4 Car"/>
    <w:basedOn w:val="MainTextPreferenceCar"/>
    <w:link w:val="OIRTitre4"/>
    <w:rsid w:val="006703A2"/>
    <w:rPr>
      <w:rFonts w:eastAsia="Calibri"/>
      <w:noProof/>
      <w:sz w:val="24"/>
      <w:lang w:val="en-GB" w:eastAsia="en-US"/>
    </w:rPr>
  </w:style>
  <w:style w:type="numbering" w:customStyle="1" w:styleId="Style5">
    <w:name w:val="Style5"/>
    <w:uiPriority w:val="99"/>
    <w:rsid w:val="002448F6"/>
    <w:pPr>
      <w:numPr>
        <w:numId w:val="11"/>
      </w:numPr>
    </w:pPr>
  </w:style>
  <w:style w:type="numbering" w:customStyle="1" w:styleId="malisteOIR">
    <w:name w:val="ma liste OIR"/>
    <w:uiPriority w:val="99"/>
    <w:rsid w:val="00F32D83"/>
    <w:pPr>
      <w:numPr>
        <w:numId w:val="12"/>
      </w:numPr>
    </w:pPr>
  </w:style>
  <w:style w:type="character" w:styleId="aff">
    <w:name w:val="Subtle Reference"/>
    <w:uiPriority w:val="31"/>
    <w:qFormat/>
    <w:rsid w:val="007E636F"/>
  </w:style>
  <w:style w:type="character" w:customStyle="1" w:styleId="ReferenceCar">
    <w:name w:val="Reference Car"/>
    <w:basedOn w:val="a1"/>
    <w:link w:val="Reference"/>
    <w:locked/>
    <w:rsid w:val="009C5000"/>
    <w:rPr>
      <w:sz w:val="24"/>
      <w:szCs w:val="24"/>
      <w:lang w:val="en-GB"/>
    </w:rPr>
  </w:style>
  <w:style w:type="paragraph" w:customStyle="1" w:styleId="Reference">
    <w:name w:val="Reference"/>
    <w:basedOn w:val="a0"/>
    <w:link w:val="ReferenceCar"/>
    <w:qFormat/>
    <w:rsid w:val="009C5000"/>
    <w:pPr>
      <w:widowControl/>
      <w:ind w:left="720" w:hanging="720"/>
    </w:pPr>
    <w:rPr>
      <w:szCs w:val="24"/>
      <w:lang w:eastAsia="fr-FR"/>
    </w:rPr>
  </w:style>
  <w:style w:type="character" w:customStyle="1" w:styleId="nbapihighlightmonbapihighlight">
    <w:name w:val="nbapihighlightmo nbapihighlight"/>
    <w:uiPriority w:val="99"/>
    <w:rsid w:val="001C0066"/>
    <w:rPr>
      <w:rFonts w:cs="Times New Roman"/>
    </w:rPr>
  </w:style>
  <w:style w:type="paragraph" w:customStyle="1" w:styleId="TOCHeading2">
    <w:name w:val="TOC Heading2"/>
    <w:basedOn w:val="1"/>
    <w:next w:val="a0"/>
    <w:qFormat/>
    <w:rsid w:val="00100C52"/>
    <w:pPr>
      <w:keepLines/>
      <w:numPr>
        <w:numId w:val="22"/>
      </w:numPr>
      <w:spacing w:before="480" w:after="0" w:line="276" w:lineRule="auto"/>
      <w:outlineLvl w:val="9"/>
    </w:pPr>
    <w:rPr>
      <w:rFonts w:ascii="Cambria" w:eastAsia="Times New Roman" w:hAnsi="Cambria"/>
      <w:bCs/>
      <w:color w:val="365F91"/>
      <w:sz w:val="28"/>
      <w:szCs w:val="28"/>
      <w:lang w:val="en-US"/>
    </w:rPr>
  </w:style>
  <w:style w:type="paragraph" w:customStyle="1" w:styleId="AnnalshdgA">
    <w:name w:val="Annals hdg A"/>
    <w:basedOn w:val="1"/>
    <w:rsid w:val="00100C52"/>
    <w:rPr>
      <w:snapToGrid w:val="0"/>
      <w:kern w:val="28"/>
      <w:sz w:val="28"/>
      <w:szCs w:val="24"/>
      <w:lang w:eastAsia="sv-SE"/>
    </w:rPr>
  </w:style>
  <w:style w:type="paragraph" w:customStyle="1" w:styleId="AnnalshdgC">
    <w:name w:val="Annals hdg C"/>
    <w:basedOn w:val="a0"/>
    <w:rsid w:val="00591F70"/>
    <w:pPr>
      <w:widowControl/>
      <w:tabs>
        <w:tab w:val="num" w:pos="720"/>
      </w:tabs>
      <w:spacing w:before="240" w:after="240"/>
      <w:jc w:val="left"/>
    </w:pPr>
    <w:rPr>
      <w:b/>
      <w:snapToGrid w:val="0"/>
      <w:szCs w:val="24"/>
      <w:lang w:eastAsia="sv-SE"/>
    </w:rPr>
  </w:style>
  <w:style w:type="paragraph" w:customStyle="1" w:styleId="Annexsumtxt">
    <w:name w:val="Ann exsum txt"/>
    <w:basedOn w:val="Annalstext"/>
    <w:rsid w:val="00100C52"/>
    <w:pPr>
      <w:numPr>
        <w:numId w:val="30"/>
      </w:numPr>
    </w:pPr>
    <w:rPr>
      <w:rFonts w:eastAsia="MS Mincho"/>
      <w:snapToGrid w:val="0"/>
      <w:lang w:eastAsia="sv-SE"/>
    </w:rPr>
  </w:style>
  <w:style w:type="paragraph" w:styleId="aff0">
    <w:name w:val="List Bullet"/>
    <w:basedOn w:val="a0"/>
    <w:uiPriority w:val="99"/>
    <w:unhideWhenUsed/>
    <w:rsid w:val="007415A3"/>
    <w:pPr>
      <w:widowControl/>
      <w:contextualSpacing/>
      <w:jc w:val="left"/>
    </w:pPr>
    <w:rPr>
      <w:snapToGrid w:val="0"/>
      <w:szCs w:val="24"/>
      <w:lang w:eastAsia="sv-SE"/>
    </w:rPr>
  </w:style>
  <w:style w:type="paragraph" w:styleId="aff1">
    <w:name w:val="Bibliography"/>
    <w:basedOn w:val="a0"/>
    <w:next w:val="a0"/>
    <w:uiPriority w:val="37"/>
    <w:unhideWhenUsed/>
    <w:rsid w:val="00855E1A"/>
  </w:style>
  <w:style w:type="paragraph" w:customStyle="1" w:styleId="Note">
    <w:name w:val="Note"/>
    <w:basedOn w:val="a8"/>
    <w:link w:val="NoteCar"/>
    <w:qFormat/>
    <w:rsid w:val="006F56F9"/>
    <w:rPr>
      <w:rFonts w:ascii="Times New Roman" w:hAnsi="Times New Roman"/>
      <w:sz w:val="21"/>
      <w:szCs w:val="21"/>
    </w:rPr>
  </w:style>
  <w:style w:type="character" w:customStyle="1" w:styleId="NoteCar">
    <w:name w:val="Note Car"/>
    <w:basedOn w:val="Char2"/>
    <w:link w:val="Note"/>
    <w:rsid w:val="006F56F9"/>
    <w:rPr>
      <w:rFonts w:ascii="Verdana" w:hAnsi="Verdana"/>
      <w:sz w:val="21"/>
      <w:szCs w:val="21"/>
      <w:lang w:val="en-GB" w:eastAsia="en-US"/>
    </w:rPr>
  </w:style>
  <w:style w:type="paragraph" w:styleId="a">
    <w:name w:val="List"/>
    <w:basedOn w:val="a0"/>
    <w:uiPriority w:val="99"/>
    <w:unhideWhenUsed/>
    <w:qFormat/>
    <w:rsid w:val="00497AFB"/>
    <w:pPr>
      <w:widowControl/>
      <w:numPr>
        <w:numId w:val="24"/>
      </w:numPr>
      <w:tabs>
        <w:tab w:val="clear" w:pos="720"/>
      </w:tabs>
      <w:autoSpaceDE w:val="0"/>
      <w:autoSpaceDN w:val="0"/>
      <w:adjustRightInd w:val="0"/>
      <w:spacing w:before="60" w:after="60"/>
      <w:ind w:left="624" w:hanging="340"/>
    </w:pPr>
    <w:rPr>
      <w:rFonts w:ascii="Times Roman" w:hAnsi="Times Roman"/>
      <w:color w:val="000000" w:themeColor="text1"/>
      <w:szCs w:val="24"/>
    </w:rPr>
  </w:style>
  <w:style w:type="paragraph" w:styleId="23">
    <w:name w:val="List 2"/>
    <w:basedOn w:val="a"/>
    <w:uiPriority w:val="99"/>
    <w:unhideWhenUsed/>
    <w:qFormat/>
    <w:rsid w:val="00E424DA"/>
    <w:pPr>
      <w:ind w:left="907"/>
    </w:pPr>
  </w:style>
  <w:style w:type="paragraph" w:customStyle="1" w:styleId="ICRPbasic">
    <w:name w:val="ICRP basic"/>
    <w:link w:val="ICRPbasicChar"/>
    <w:qFormat/>
    <w:rsid w:val="00EB314A"/>
    <w:pPr>
      <w:spacing w:before="240" w:after="240"/>
      <w:jc w:val="both"/>
    </w:pPr>
    <w:rPr>
      <w:rFonts w:eastAsia="Times New Roman"/>
      <w:sz w:val="24"/>
      <w:szCs w:val="24"/>
      <w:lang w:val="en-GB" w:eastAsia="en-US"/>
    </w:rPr>
  </w:style>
  <w:style w:type="character" w:customStyle="1" w:styleId="ICRPbasicChar">
    <w:name w:val="ICRP basic Char"/>
    <w:link w:val="ICRPbasic"/>
    <w:rsid w:val="00EB314A"/>
    <w:rPr>
      <w:rFonts w:eastAsia="Times New Roman"/>
      <w:sz w:val="24"/>
      <w:szCs w:val="24"/>
      <w:lang w:val="en-GB" w:eastAsia="en-US"/>
    </w:rPr>
  </w:style>
  <w:style w:type="paragraph" w:customStyle="1" w:styleId="ICRPbasicnospace">
    <w:name w:val="ICRP basic no space"/>
    <w:basedOn w:val="ICRPbasic"/>
    <w:link w:val="ICRPbasicnospaceChar"/>
    <w:qFormat/>
    <w:rsid w:val="00EB314A"/>
    <w:pPr>
      <w:spacing w:before="0" w:after="0"/>
    </w:pPr>
  </w:style>
  <w:style w:type="character" w:customStyle="1" w:styleId="ICRPbasicnospaceChar">
    <w:name w:val="ICRP basic no space Char"/>
    <w:link w:val="ICRPbasicnospace"/>
    <w:rsid w:val="00EB314A"/>
    <w:rPr>
      <w:rFonts w:eastAsia="Times New Roman"/>
      <w:sz w:val="24"/>
      <w:szCs w:val="24"/>
      <w:lang w:val="en-GB" w:eastAsia="en-US"/>
    </w:rPr>
  </w:style>
  <w:style w:type="character" w:styleId="aff2">
    <w:name w:val="Unresolved Mention"/>
    <w:basedOn w:val="a1"/>
    <w:uiPriority w:val="99"/>
    <w:semiHidden/>
    <w:unhideWhenUsed/>
    <w:rsid w:val="00203AF6"/>
    <w:rPr>
      <w:color w:val="605E5C"/>
      <w:shd w:val="clear" w:color="auto" w:fill="E1DFDD"/>
    </w:rPr>
  </w:style>
  <w:style w:type="paragraph" w:customStyle="1" w:styleId="ICRPtitlepage">
    <w:name w:val="ICRP title page"/>
    <w:basedOn w:val="ICRPbasicnospace"/>
    <w:link w:val="ICRPtitlepageChar"/>
    <w:rsid w:val="00CB1ABE"/>
    <w:pPr>
      <w:jc w:val="center"/>
    </w:pPr>
    <w:rPr>
      <w:sz w:val="28"/>
      <w:szCs w:val="28"/>
    </w:rPr>
  </w:style>
  <w:style w:type="character" w:customStyle="1" w:styleId="ICRPtitlepageChar">
    <w:name w:val="ICRP title page Char"/>
    <w:link w:val="ICRPtitlepage"/>
    <w:rsid w:val="00CB1ABE"/>
    <w:rPr>
      <w:rFonts w:eastAsia="Times New Roman"/>
      <w:sz w:val="28"/>
      <w:szCs w:val="28"/>
      <w:lang w:val="en-GB" w:eastAsia="en-US"/>
    </w:rPr>
  </w:style>
  <w:style w:type="paragraph" w:customStyle="1" w:styleId="ICRPrefs">
    <w:name w:val="ICRP refs"/>
    <w:basedOn w:val="a0"/>
    <w:qFormat/>
    <w:rsid w:val="00CC0E9A"/>
    <w:pPr>
      <w:widowControl/>
      <w:ind w:left="284" w:hanging="284"/>
    </w:pPr>
    <w:rPr>
      <w:rFonts w:eastAsia="Times New Roman"/>
      <w:sz w:val="22"/>
      <w:lang w:eastAsia="ja-JP"/>
    </w:rPr>
  </w:style>
  <w:style w:type="paragraph" w:customStyle="1" w:styleId="ICRPmainpoints">
    <w:name w:val="ICRP main points"/>
    <w:basedOn w:val="a0"/>
    <w:link w:val="ICRPmainpointsChar"/>
    <w:qFormat/>
    <w:rsid w:val="00F37E3E"/>
    <w:pPr>
      <w:widowControl/>
      <w:spacing w:before="360" w:after="360"/>
      <w:ind w:left="624" w:hanging="340"/>
    </w:pPr>
    <w:rPr>
      <w:rFonts w:eastAsia="Times New Roman"/>
      <w:b/>
      <w:bCs/>
      <w:szCs w:val="24"/>
    </w:rPr>
  </w:style>
  <w:style w:type="character" w:customStyle="1" w:styleId="ICRPmainpointsChar">
    <w:name w:val="ICRP main points Char"/>
    <w:link w:val="ICRPmainpoints"/>
    <w:rsid w:val="00F37E3E"/>
    <w:rPr>
      <w:rFonts w:eastAsia="Times New Roman"/>
      <w:b/>
      <w:bCs/>
      <w:sz w:val="24"/>
      <w:szCs w:val="24"/>
      <w:lang w:val="en-GB" w:eastAsia="en-US"/>
    </w:rPr>
  </w:style>
  <w:style w:type="paragraph" w:customStyle="1" w:styleId="Heading1nonumbering">
    <w:name w:val="Heading 1 no numbering"/>
    <w:basedOn w:val="ICRPbasic"/>
    <w:link w:val="Heading1nonumberingChar"/>
    <w:qFormat/>
    <w:rsid w:val="0089670E"/>
    <w:pPr>
      <w:spacing w:before="480" w:after="480"/>
      <w:jc w:val="center"/>
    </w:pPr>
    <w:rPr>
      <w:b/>
      <w:bCs/>
      <w:caps/>
      <w:sz w:val="32"/>
      <w:szCs w:val="32"/>
    </w:rPr>
  </w:style>
  <w:style w:type="character" w:customStyle="1" w:styleId="Heading1nonumberingChar">
    <w:name w:val="Heading 1 no numbering Char"/>
    <w:link w:val="Heading1nonumbering"/>
    <w:rsid w:val="0089670E"/>
    <w:rPr>
      <w:rFonts w:eastAsia="Times New Roman"/>
      <w:b/>
      <w:bCs/>
      <w:caps/>
      <w:sz w:val="32"/>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4276">
      <w:bodyDiv w:val="1"/>
      <w:marLeft w:val="0"/>
      <w:marRight w:val="0"/>
      <w:marTop w:val="0"/>
      <w:marBottom w:val="0"/>
      <w:divBdr>
        <w:top w:val="none" w:sz="0" w:space="0" w:color="auto"/>
        <w:left w:val="none" w:sz="0" w:space="0" w:color="auto"/>
        <w:bottom w:val="none" w:sz="0" w:space="0" w:color="auto"/>
        <w:right w:val="none" w:sz="0" w:space="0" w:color="auto"/>
      </w:divBdr>
    </w:div>
    <w:div w:id="6107002">
      <w:bodyDiv w:val="1"/>
      <w:marLeft w:val="0"/>
      <w:marRight w:val="0"/>
      <w:marTop w:val="0"/>
      <w:marBottom w:val="0"/>
      <w:divBdr>
        <w:top w:val="none" w:sz="0" w:space="0" w:color="auto"/>
        <w:left w:val="none" w:sz="0" w:space="0" w:color="auto"/>
        <w:bottom w:val="none" w:sz="0" w:space="0" w:color="auto"/>
        <w:right w:val="none" w:sz="0" w:space="0" w:color="auto"/>
      </w:divBdr>
    </w:div>
    <w:div w:id="7368420">
      <w:bodyDiv w:val="1"/>
      <w:marLeft w:val="0"/>
      <w:marRight w:val="0"/>
      <w:marTop w:val="0"/>
      <w:marBottom w:val="0"/>
      <w:divBdr>
        <w:top w:val="none" w:sz="0" w:space="0" w:color="auto"/>
        <w:left w:val="none" w:sz="0" w:space="0" w:color="auto"/>
        <w:bottom w:val="none" w:sz="0" w:space="0" w:color="auto"/>
        <w:right w:val="none" w:sz="0" w:space="0" w:color="auto"/>
      </w:divBdr>
    </w:div>
    <w:div w:id="25064787">
      <w:bodyDiv w:val="1"/>
      <w:marLeft w:val="0"/>
      <w:marRight w:val="0"/>
      <w:marTop w:val="0"/>
      <w:marBottom w:val="0"/>
      <w:divBdr>
        <w:top w:val="none" w:sz="0" w:space="0" w:color="auto"/>
        <w:left w:val="none" w:sz="0" w:space="0" w:color="auto"/>
        <w:bottom w:val="none" w:sz="0" w:space="0" w:color="auto"/>
        <w:right w:val="none" w:sz="0" w:space="0" w:color="auto"/>
      </w:divBdr>
    </w:div>
    <w:div w:id="27293330">
      <w:bodyDiv w:val="1"/>
      <w:marLeft w:val="0"/>
      <w:marRight w:val="0"/>
      <w:marTop w:val="0"/>
      <w:marBottom w:val="0"/>
      <w:divBdr>
        <w:top w:val="none" w:sz="0" w:space="0" w:color="auto"/>
        <w:left w:val="none" w:sz="0" w:space="0" w:color="auto"/>
        <w:bottom w:val="none" w:sz="0" w:space="0" w:color="auto"/>
        <w:right w:val="none" w:sz="0" w:space="0" w:color="auto"/>
      </w:divBdr>
    </w:div>
    <w:div w:id="27340315">
      <w:bodyDiv w:val="1"/>
      <w:marLeft w:val="0"/>
      <w:marRight w:val="0"/>
      <w:marTop w:val="0"/>
      <w:marBottom w:val="0"/>
      <w:divBdr>
        <w:top w:val="none" w:sz="0" w:space="0" w:color="auto"/>
        <w:left w:val="none" w:sz="0" w:space="0" w:color="auto"/>
        <w:bottom w:val="none" w:sz="0" w:space="0" w:color="auto"/>
        <w:right w:val="none" w:sz="0" w:space="0" w:color="auto"/>
      </w:divBdr>
    </w:div>
    <w:div w:id="30350139">
      <w:bodyDiv w:val="1"/>
      <w:marLeft w:val="0"/>
      <w:marRight w:val="0"/>
      <w:marTop w:val="0"/>
      <w:marBottom w:val="0"/>
      <w:divBdr>
        <w:top w:val="none" w:sz="0" w:space="0" w:color="auto"/>
        <w:left w:val="none" w:sz="0" w:space="0" w:color="auto"/>
        <w:bottom w:val="none" w:sz="0" w:space="0" w:color="auto"/>
        <w:right w:val="none" w:sz="0" w:space="0" w:color="auto"/>
      </w:divBdr>
    </w:div>
    <w:div w:id="35467191">
      <w:bodyDiv w:val="1"/>
      <w:marLeft w:val="0"/>
      <w:marRight w:val="0"/>
      <w:marTop w:val="0"/>
      <w:marBottom w:val="0"/>
      <w:divBdr>
        <w:top w:val="none" w:sz="0" w:space="0" w:color="auto"/>
        <w:left w:val="none" w:sz="0" w:space="0" w:color="auto"/>
        <w:bottom w:val="none" w:sz="0" w:space="0" w:color="auto"/>
        <w:right w:val="none" w:sz="0" w:space="0" w:color="auto"/>
      </w:divBdr>
    </w:div>
    <w:div w:id="52049061">
      <w:bodyDiv w:val="1"/>
      <w:marLeft w:val="0"/>
      <w:marRight w:val="0"/>
      <w:marTop w:val="0"/>
      <w:marBottom w:val="0"/>
      <w:divBdr>
        <w:top w:val="none" w:sz="0" w:space="0" w:color="auto"/>
        <w:left w:val="none" w:sz="0" w:space="0" w:color="auto"/>
        <w:bottom w:val="none" w:sz="0" w:space="0" w:color="auto"/>
        <w:right w:val="none" w:sz="0" w:space="0" w:color="auto"/>
      </w:divBdr>
    </w:div>
    <w:div w:id="54007987">
      <w:bodyDiv w:val="1"/>
      <w:marLeft w:val="0"/>
      <w:marRight w:val="0"/>
      <w:marTop w:val="0"/>
      <w:marBottom w:val="0"/>
      <w:divBdr>
        <w:top w:val="none" w:sz="0" w:space="0" w:color="auto"/>
        <w:left w:val="none" w:sz="0" w:space="0" w:color="auto"/>
        <w:bottom w:val="none" w:sz="0" w:space="0" w:color="auto"/>
        <w:right w:val="none" w:sz="0" w:space="0" w:color="auto"/>
      </w:divBdr>
    </w:div>
    <w:div w:id="71007149">
      <w:bodyDiv w:val="1"/>
      <w:marLeft w:val="0"/>
      <w:marRight w:val="0"/>
      <w:marTop w:val="0"/>
      <w:marBottom w:val="0"/>
      <w:divBdr>
        <w:top w:val="none" w:sz="0" w:space="0" w:color="auto"/>
        <w:left w:val="none" w:sz="0" w:space="0" w:color="auto"/>
        <w:bottom w:val="none" w:sz="0" w:space="0" w:color="auto"/>
        <w:right w:val="none" w:sz="0" w:space="0" w:color="auto"/>
      </w:divBdr>
    </w:div>
    <w:div w:id="73093433">
      <w:bodyDiv w:val="1"/>
      <w:marLeft w:val="0"/>
      <w:marRight w:val="0"/>
      <w:marTop w:val="0"/>
      <w:marBottom w:val="0"/>
      <w:divBdr>
        <w:top w:val="none" w:sz="0" w:space="0" w:color="auto"/>
        <w:left w:val="none" w:sz="0" w:space="0" w:color="auto"/>
        <w:bottom w:val="none" w:sz="0" w:space="0" w:color="auto"/>
        <w:right w:val="none" w:sz="0" w:space="0" w:color="auto"/>
      </w:divBdr>
    </w:div>
    <w:div w:id="101190807">
      <w:bodyDiv w:val="1"/>
      <w:marLeft w:val="0"/>
      <w:marRight w:val="0"/>
      <w:marTop w:val="0"/>
      <w:marBottom w:val="0"/>
      <w:divBdr>
        <w:top w:val="none" w:sz="0" w:space="0" w:color="auto"/>
        <w:left w:val="none" w:sz="0" w:space="0" w:color="auto"/>
        <w:bottom w:val="none" w:sz="0" w:space="0" w:color="auto"/>
        <w:right w:val="none" w:sz="0" w:space="0" w:color="auto"/>
      </w:divBdr>
    </w:div>
    <w:div w:id="101262392">
      <w:bodyDiv w:val="1"/>
      <w:marLeft w:val="0"/>
      <w:marRight w:val="0"/>
      <w:marTop w:val="0"/>
      <w:marBottom w:val="0"/>
      <w:divBdr>
        <w:top w:val="none" w:sz="0" w:space="0" w:color="auto"/>
        <w:left w:val="none" w:sz="0" w:space="0" w:color="auto"/>
        <w:bottom w:val="none" w:sz="0" w:space="0" w:color="auto"/>
        <w:right w:val="none" w:sz="0" w:space="0" w:color="auto"/>
      </w:divBdr>
    </w:div>
    <w:div w:id="105321499">
      <w:bodyDiv w:val="1"/>
      <w:marLeft w:val="0"/>
      <w:marRight w:val="0"/>
      <w:marTop w:val="0"/>
      <w:marBottom w:val="0"/>
      <w:divBdr>
        <w:top w:val="none" w:sz="0" w:space="0" w:color="auto"/>
        <w:left w:val="none" w:sz="0" w:space="0" w:color="auto"/>
        <w:bottom w:val="none" w:sz="0" w:space="0" w:color="auto"/>
        <w:right w:val="none" w:sz="0" w:space="0" w:color="auto"/>
      </w:divBdr>
    </w:div>
    <w:div w:id="107048887">
      <w:bodyDiv w:val="1"/>
      <w:marLeft w:val="0"/>
      <w:marRight w:val="0"/>
      <w:marTop w:val="0"/>
      <w:marBottom w:val="0"/>
      <w:divBdr>
        <w:top w:val="none" w:sz="0" w:space="0" w:color="auto"/>
        <w:left w:val="none" w:sz="0" w:space="0" w:color="auto"/>
        <w:bottom w:val="none" w:sz="0" w:space="0" w:color="auto"/>
        <w:right w:val="none" w:sz="0" w:space="0" w:color="auto"/>
      </w:divBdr>
    </w:div>
    <w:div w:id="119763766">
      <w:bodyDiv w:val="1"/>
      <w:marLeft w:val="0"/>
      <w:marRight w:val="0"/>
      <w:marTop w:val="0"/>
      <w:marBottom w:val="0"/>
      <w:divBdr>
        <w:top w:val="none" w:sz="0" w:space="0" w:color="auto"/>
        <w:left w:val="none" w:sz="0" w:space="0" w:color="auto"/>
        <w:bottom w:val="none" w:sz="0" w:space="0" w:color="auto"/>
        <w:right w:val="none" w:sz="0" w:space="0" w:color="auto"/>
      </w:divBdr>
    </w:div>
    <w:div w:id="119766281">
      <w:bodyDiv w:val="1"/>
      <w:marLeft w:val="0"/>
      <w:marRight w:val="0"/>
      <w:marTop w:val="0"/>
      <w:marBottom w:val="0"/>
      <w:divBdr>
        <w:top w:val="none" w:sz="0" w:space="0" w:color="auto"/>
        <w:left w:val="none" w:sz="0" w:space="0" w:color="auto"/>
        <w:bottom w:val="none" w:sz="0" w:space="0" w:color="auto"/>
        <w:right w:val="none" w:sz="0" w:space="0" w:color="auto"/>
      </w:divBdr>
    </w:div>
    <w:div w:id="157619496">
      <w:bodyDiv w:val="1"/>
      <w:marLeft w:val="0"/>
      <w:marRight w:val="0"/>
      <w:marTop w:val="0"/>
      <w:marBottom w:val="0"/>
      <w:divBdr>
        <w:top w:val="none" w:sz="0" w:space="0" w:color="auto"/>
        <w:left w:val="none" w:sz="0" w:space="0" w:color="auto"/>
        <w:bottom w:val="none" w:sz="0" w:space="0" w:color="auto"/>
        <w:right w:val="none" w:sz="0" w:space="0" w:color="auto"/>
      </w:divBdr>
    </w:div>
    <w:div w:id="160781782">
      <w:bodyDiv w:val="1"/>
      <w:marLeft w:val="0"/>
      <w:marRight w:val="0"/>
      <w:marTop w:val="0"/>
      <w:marBottom w:val="0"/>
      <w:divBdr>
        <w:top w:val="none" w:sz="0" w:space="0" w:color="auto"/>
        <w:left w:val="none" w:sz="0" w:space="0" w:color="auto"/>
        <w:bottom w:val="none" w:sz="0" w:space="0" w:color="auto"/>
        <w:right w:val="none" w:sz="0" w:space="0" w:color="auto"/>
      </w:divBdr>
    </w:div>
    <w:div w:id="165023614">
      <w:bodyDiv w:val="1"/>
      <w:marLeft w:val="0"/>
      <w:marRight w:val="0"/>
      <w:marTop w:val="0"/>
      <w:marBottom w:val="0"/>
      <w:divBdr>
        <w:top w:val="none" w:sz="0" w:space="0" w:color="auto"/>
        <w:left w:val="none" w:sz="0" w:space="0" w:color="auto"/>
        <w:bottom w:val="none" w:sz="0" w:space="0" w:color="auto"/>
        <w:right w:val="none" w:sz="0" w:space="0" w:color="auto"/>
      </w:divBdr>
    </w:div>
    <w:div w:id="203373661">
      <w:bodyDiv w:val="1"/>
      <w:marLeft w:val="0"/>
      <w:marRight w:val="0"/>
      <w:marTop w:val="0"/>
      <w:marBottom w:val="0"/>
      <w:divBdr>
        <w:top w:val="none" w:sz="0" w:space="0" w:color="auto"/>
        <w:left w:val="none" w:sz="0" w:space="0" w:color="auto"/>
        <w:bottom w:val="none" w:sz="0" w:space="0" w:color="auto"/>
        <w:right w:val="none" w:sz="0" w:space="0" w:color="auto"/>
      </w:divBdr>
    </w:div>
    <w:div w:id="205069505">
      <w:bodyDiv w:val="1"/>
      <w:marLeft w:val="0"/>
      <w:marRight w:val="0"/>
      <w:marTop w:val="0"/>
      <w:marBottom w:val="0"/>
      <w:divBdr>
        <w:top w:val="none" w:sz="0" w:space="0" w:color="auto"/>
        <w:left w:val="none" w:sz="0" w:space="0" w:color="auto"/>
        <w:bottom w:val="none" w:sz="0" w:space="0" w:color="auto"/>
        <w:right w:val="none" w:sz="0" w:space="0" w:color="auto"/>
      </w:divBdr>
    </w:div>
    <w:div w:id="213590898">
      <w:bodyDiv w:val="1"/>
      <w:marLeft w:val="0"/>
      <w:marRight w:val="0"/>
      <w:marTop w:val="0"/>
      <w:marBottom w:val="0"/>
      <w:divBdr>
        <w:top w:val="none" w:sz="0" w:space="0" w:color="auto"/>
        <w:left w:val="none" w:sz="0" w:space="0" w:color="auto"/>
        <w:bottom w:val="none" w:sz="0" w:space="0" w:color="auto"/>
        <w:right w:val="none" w:sz="0" w:space="0" w:color="auto"/>
      </w:divBdr>
    </w:div>
    <w:div w:id="214511490">
      <w:bodyDiv w:val="1"/>
      <w:marLeft w:val="0"/>
      <w:marRight w:val="0"/>
      <w:marTop w:val="0"/>
      <w:marBottom w:val="0"/>
      <w:divBdr>
        <w:top w:val="none" w:sz="0" w:space="0" w:color="auto"/>
        <w:left w:val="none" w:sz="0" w:space="0" w:color="auto"/>
        <w:bottom w:val="none" w:sz="0" w:space="0" w:color="auto"/>
        <w:right w:val="none" w:sz="0" w:space="0" w:color="auto"/>
      </w:divBdr>
    </w:div>
    <w:div w:id="220016886">
      <w:bodyDiv w:val="1"/>
      <w:marLeft w:val="0"/>
      <w:marRight w:val="0"/>
      <w:marTop w:val="0"/>
      <w:marBottom w:val="0"/>
      <w:divBdr>
        <w:top w:val="none" w:sz="0" w:space="0" w:color="auto"/>
        <w:left w:val="none" w:sz="0" w:space="0" w:color="auto"/>
        <w:bottom w:val="none" w:sz="0" w:space="0" w:color="auto"/>
        <w:right w:val="none" w:sz="0" w:space="0" w:color="auto"/>
      </w:divBdr>
    </w:div>
    <w:div w:id="221720447">
      <w:bodyDiv w:val="1"/>
      <w:marLeft w:val="0"/>
      <w:marRight w:val="0"/>
      <w:marTop w:val="0"/>
      <w:marBottom w:val="0"/>
      <w:divBdr>
        <w:top w:val="none" w:sz="0" w:space="0" w:color="auto"/>
        <w:left w:val="none" w:sz="0" w:space="0" w:color="auto"/>
        <w:bottom w:val="none" w:sz="0" w:space="0" w:color="auto"/>
        <w:right w:val="none" w:sz="0" w:space="0" w:color="auto"/>
      </w:divBdr>
    </w:div>
    <w:div w:id="222643004">
      <w:bodyDiv w:val="1"/>
      <w:marLeft w:val="0"/>
      <w:marRight w:val="0"/>
      <w:marTop w:val="0"/>
      <w:marBottom w:val="0"/>
      <w:divBdr>
        <w:top w:val="none" w:sz="0" w:space="0" w:color="auto"/>
        <w:left w:val="none" w:sz="0" w:space="0" w:color="auto"/>
        <w:bottom w:val="none" w:sz="0" w:space="0" w:color="auto"/>
        <w:right w:val="none" w:sz="0" w:space="0" w:color="auto"/>
      </w:divBdr>
    </w:div>
    <w:div w:id="228925361">
      <w:bodyDiv w:val="1"/>
      <w:marLeft w:val="0"/>
      <w:marRight w:val="0"/>
      <w:marTop w:val="0"/>
      <w:marBottom w:val="0"/>
      <w:divBdr>
        <w:top w:val="none" w:sz="0" w:space="0" w:color="auto"/>
        <w:left w:val="none" w:sz="0" w:space="0" w:color="auto"/>
        <w:bottom w:val="none" w:sz="0" w:space="0" w:color="auto"/>
        <w:right w:val="none" w:sz="0" w:space="0" w:color="auto"/>
      </w:divBdr>
    </w:div>
    <w:div w:id="236979999">
      <w:bodyDiv w:val="1"/>
      <w:marLeft w:val="0"/>
      <w:marRight w:val="0"/>
      <w:marTop w:val="0"/>
      <w:marBottom w:val="0"/>
      <w:divBdr>
        <w:top w:val="none" w:sz="0" w:space="0" w:color="auto"/>
        <w:left w:val="none" w:sz="0" w:space="0" w:color="auto"/>
        <w:bottom w:val="none" w:sz="0" w:space="0" w:color="auto"/>
        <w:right w:val="none" w:sz="0" w:space="0" w:color="auto"/>
      </w:divBdr>
    </w:div>
    <w:div w:id="251400532">
      <w:bodyDiv w:val="1"/>
      <w:marLeft w:val="0"/>
      <w:marRight w:val="0"/>
      <w:marTop w:val="0"/>
      <w:marBottom w:val="0"/>
      <w:divBdr>
        <w:top w:val="none" w:sz="0" w:space="0" w:color="auto"/>
        <w:left w:val="none" w:sz="0" w:space="0" w:color="auto"/>
        <w:bottom w:val="none" w:sz="0" w:space="0" w:color="auto"/>
        <w:right w:val="none" w:sz="0" w:space="0" w:color="auto"/>
      </w:divBdr>
    </w:div>
    <w:div w:id="258801692">
      <w:bodyDiv w:val="1"/>
      <w:marLeft w:val="0"/>
      <w:marRight w:val="0"/>
      <w:marTop w:val="0"/>
      <w:marBottom w:val="0"/>
      <w:divBdr>
        <w:top w:val="none" w:sz="0" w:space="0" w:color="auto"/>
        <w:left w:val="none" w:sz="0" w:space="0" w:color="auto"/>
        <w:bottom w:val="none" w:sz="0" w:space="0" w:color="auto"/>
        <w:right w:val="none" w:sz="0" w:space="0" w:color="auto"/>
      </w:divBdr>
    </w:div>
    <w:div w:id="279069879">
      <w:bodyDiv w:val="1"/>
      <w:marLeft w:val="0"/>
      <w:marRight w:val="0"/>
      <w:marTop w:val="0"/>
      <w:marBottom w:val="0"/>
      <w:divBdr>
        <w:top w:val="none" w:sz="0" w:space="0" w:color="auto"/>
        <w:left w:val="none" w:sz="0" w:space="0" w:color="auto"/>
        <w:bottom w:val="none" w:sz="0" w:space="0" w:color="auto"/>
        <w:right w:val="none" w:sz="0" w:space="0" w:color="auto"/>
      </w:divBdr>
    </w:div>
    <w:div w:id="297951804">
      <w:bodyDiv w:val="1"/>
      <w:marLeft w:val="0"/>
      <w:marRight w:val="0"/>
      <w:marTop w:val="0"/>
      <w:marBottom w:val="0"/>
      <w:divBdr>
        <w:top w:val="none" w:sz="0" w:space="0" w:color="auto"/>
        <w:left w:val="none" w:sz="0" w:space="0" w:color="auto"/>
        <w:bottom w:val="none" w:sz="0" w:space="0" w:color="auto"/>
        <w:right w:val="none" w:sz="0" w:space="0" w:color="auto"/>
      </w:divBdr>
    </w:div>
    <w:div w:id="302808835">
      <w:bodyDiv w:val="1"/>
      <w:marLeft w:val="0"/>
      <w:marRight w:val="0"/>
      <w:marTop w:val="0"/>
      <w:marBottom w:val="0"/>
      <w:divBdr>
        <w:top w:val="none" w:sz="0" w:space="0" w:color="auto"/>
        <w:left w:val="none" w:sz="0" w:space="0" w:color="auto"/>
        <w:bottom w:val="none" w:sz="0" w:space="0" w:color="auto"/>
        <w:right w:val="none" w:sz="0" w:space="0" w:color="auto"/>
      </w:divBdr>
    </w:div>
    <w:div w:id="318769846">
      <w:bodyDiv w:val="1"/>
      <w:marLeft w:val="0"/>
      <w:marRight w:val="0"/>
      <w:marTop w:val="0"/>
      <w:marBottom w:val="0"/>
      <w:divBdr>
        <w:top w:val="none" w:sz="0" w:space="0" w:color="auto"/>
        <w:left w:val="none" w:sz="0" w:space="0" w:color="auto"/>
        <w:bottom w:val="none" w:sz="0" w:space="0" w:color="auto"/>
        <w:right w:val="none" w:sz="0" w:space="0" w:color="auto"/>
      </w:divBdr>
    </w:div>
    <w:div w:id="321783820">
      <w:bodyDiv w:val="1"/>
      <w:marLeft w:val="0"/>
      <w:marRight w:val="0"/>
      <w:marTop w:val="0"/>
      <w:marBottom w:val="0"/>
      <w:divBdr>
        <w:top w:val="none" w:sz="0" w:space="0" w:color="auto"/>
        <w:left w:val="none" w:sz="0" w:space="0" w:color="auto"/>
        <w:bottom w:val="none" w:sz="0" w:space="0" w:color="auto"/>
        <w:right w:val="none" w:sz="0" w:space="0" w:color="auto"/>
      </w:divBdr>
    </w:div>
    <w:div w:id="332337083">
      <w:bodyDiv w:val="1"/>
      <w:marLeft w:val="0"/>
      <w:marRight w:val="0"/>
      <w:marTop w:val="0"/>
      <w:marBottom w:val="0"/>
      <w:divBdr>
        <w:top w:val="none" w:sz="0" w:space="0" w:color="auto"/>
        <w:left w:val="none" w:sz="0" w:space="0" w:color="auto"/>
        <w:bottom w:val="none" w:sz="0" w:space="0" w:color="auto"/>
        <w:right w:val="none" w:sz="0" w:space="0" w:color="auto"/>
      </w:divBdr>
    </w:div>
    <w:div w:id="349993346">
      <w:bodyDiv w:val="1"/>
      <w:marLeft w:val="0"/>
      <w:marRight w:val="0"/>
      <w:marTop w:val="0"/>
      <w:marBottom w:val="0"/>
      <w:divBdr>
        <w:top w:val="none" w:sz="0" w:space="0" w:color="auto"/>
        <w:left w:val="none" w:sz="0" w:space="0" w:color="auto"/>
        <w:bottom w:val="none" w:sz="0" w:space="0" w:color="auto"/>
        <w:right w:val="none" w:sz="0" w:space="0" w:color="auto"/>
      </w:divBdr>
    </w:div>
    <w:div w:id="355891545">
      <w:bodyDiv w:val="1"/>
      <w:marLeft w:val="0"/>
      <w:marRight w:val="0"/>
      <w:marTop w:val="0"/>
      <w:marBottom w:val="0"/>
      <w:divBdr>
        <w:top w:val="none" w:sz="0" w:space="0" w:color="auto"/>
        <w:left w:val="none" w:sz="0" w:space="0" w:color="auto"/>
        <w:bottom w:val="none" w:sz="0" w:space="0" w:color="auto"/>
        <w:right w:val="none" w:sz="0" w:space="0" w:color="auto"/>
      </w:divBdr>
    </w:div>
    <w:div w:id="360742653">
      <w:bodyDiv w:val="1"/>
      <w:marLeft w:val="0"/>
      <w:marRight w:val="0"/>
      <w:marTop w:val="0"/>
      <w:marBottom w:val="0"/>
      <w:divBdr>
        <w:top w:val="none" w:sz="0" w:space="0" w:color="auto"/>
        <w:left w:val="none" w:sz="0" w:space="0" w:color="auto"/>
        <w:bottom w:val="none" w:sz="0" w:space="0" w:color="auto"/>
        <w:right w:val="none" w:sz="0" w:space="0" w:color="auto"/>
      </w:divBdr>
    </w:div>
    <w:div w:id="383066950">
      <w:bodyDiv w:val="1"/>
      <w:marLeft w:val="0"/>
      <w:marRight w:val="0"/>
      <w:marTop w:val="0"/>
      <w:marBottom w:val="0"/>
      <w:divBdr>
        <w:top w:val="none" w:sz="0" w:space="0" w:color="auto"/>
        <w:left w:val="none" w:sz="0" w:space="0" w:color="auto"/>
        <w:bottom w:val="none" w:sz="0" w:space="0" w:color="auto"/>
        <w:right w:val="none" w:sz="0" w:space="0" w:color="auto"/>
      </w:divBdr>
    </w:div>
    <w:div w:id="384526981">
      <w:bodyDiv w:val="1"/>
      <w:marLeft w:val="0"/>
      <w:marRight w:val="0"/>
      <w:marTop w:val="0"/>
      <w:marBottom w:val="0"/>
      <w:divBdr>
        <w:top w:val="none" w:sz="0" w:space="0" w:color="auto"/>
        <w:left w:val="none" w:sz="0" w:space="0" w:color="auto"/>
        <w:bottom w:val="none" w:sz="0" w:space="0" w:color="auto"/>
        <w:right w:val="none" w:sz="0" w:space="0" w:color="auto"/>
      </w:divBdr>
    </w:div>
    <w:div w:id="385758702">
      <w:bodyDiv w:val="1"/>
      <w:marLeft w:val="0"/>
      <w:marRight w:val="0"/>
      <w:marTop w:val="0"/>
      <w:marBottom w:val="0"/>
      <w:divBdr>
        <w:top w:val="none" w:sz="0" w:space="0" w:color="auto"/>
        <w:left w:val="none" w:sz="0" w:space="0" w:color="auto"/>
        <w:bottom w:val="none" w:sz="0" w:space="0" w:color="auto"/>
        <w:right w:val="none" w:sz="0" w:space="0" w:color="auto"/>
      </w:divBdr>
    </w:div>
    <w:div w:id="389153376">
      <w:bodyDiv w:val="1"/>
      <w:marLeft w:val="0"/>
      <w:marRight w:val="0"/>
      <w:marTop w:val="0"/>
      <w:marBottom w:val="0"/>
      <w:divBdr>
        <w:top w:val="none" w:sz="0" w:space="0" w:color="auto"/>
        <w:left w:val="none" w:sz="0" w:space="0" w:color="auto"/>
        <w:bottom w:val="none" w:sz="0" w:space="0" w:color="auto"/>
        <w:right w:val="none" w:sz="0" w:space="0" w:color="auto"/>
      </w:divBdr>
    </w:div>
    <w:div w:id="400250325">
      <w:bodyDiv w:val="1"/>
      <w:marLeft w:val="0"/>
      <w:marRight w:val="0"/>
      <w:marTop w:val="0"/>
      <w:marBottom w:val="0"/>
      <w:divBdr>
        <w:top w:val="none" w:sz="0" w:space="0" w:color="auto"/>
        <w:left w:val="none" w:sz="0" w:space="0" w:color="auto"/>
        <w:bottom w:val="none" w:sz="0" w:space="0" w:color="auto"/>
        <w:right w:val="none" w:sz="0" w:space="0" w:color="auto"/>
      </w:divBdr>
    </w:div>
    <w:div w:id="405491438">
      <w:bodyDiv w:val="1"/>
      <w:marLeft w:val="0"/>
      <w:marRight w:val="0"/>
      <w:marTop w:val="0"/>
      <w:marBottom w:val="0"/>
      <w:divBdr>
        <w:top w:val="none" w:sz="0" w:space="0" w:color="auto"/>
        <w:left w:val="none" w:sz="0" w:space="0" w:color="auto"/>
        <w:bottom w:val="none" w:sz="0" w:space="0" w:color="auto"/>
        <w:right w:val="none" w:sz="0" w:space="0" w:color="auto"/>
      </w:divBdr>
    </w:div>
    <w:div w:id="418021338">
      <w:bodyDiv w:val="1"/>
      <w:marLeft w:val="0"/>
      <w:marRight w:val="0"/>
      <w:marTop w:val="0"/>
      <w:marBottom w:val="0"/>
      <w:divBdr>
        <w:top w:val="none" w:sz="0" w:space="0" w:color="auto"/>
        <w:left w:val="none" w:sz="0" w:space="0" w:color="auto"/>
        <w:bottom w:val="none" w:sz="0" w:space="0" w:color="auto"/>
        <w:right w:val="none" w:sz="0" w:space="0" w:color="auto"/>
      </w:divBdr>
    </w:div>
    <w:div w:id="423460544">
      <w:bodyDiv w:val="1"/>
      <w:marLeft w:val="0"/>
      <w:marRight w:val="0"/>
      <w:marTop w:val="0"/>
      <w:marBottom w:val="0"/>
      <w:divBdr>
        <w:top w:val="none" w:sz="0" w:space="0" w:color="auto"/>
        <w:left w:val="none" w:sz="0" w:space="0" w:color="auto"/>
        <w:bottom w:val="none" w:sz="0" w:space="0" w:color="auto"/>
        <w:right w:val="none" w:sz="0" w:space="0" w:color="auto"/>
      </w:divBdr>
    </w:div>
    <w:div w:id="442070082">
      <w:bodyDiv w:val="1"/>
      <w:marLeft w:val="0"/>
      <w:marRight w:val="0"/>
      <w:marTop w:val="0"/>
      <w:marBottom w:val="0"/>
      <w:divBdr>
        <w:top w:val="none" w:sz="0" w:space="0" w:color="auto"/>
        <w:left w:val="none" w:sz="0" w:space="0" w:color="auto"/>
        <w:bottom w:val="none" w:sz="0" w:space="0" w:color="auto"/>
        <w:right w:val="none" w:sz="0" w:space="0" w:color="auto"/>
      </w:divBdr>
    </w:div>
    <w:div w:id="457645510">
      <w:bodyDiv w:val="1"/>
      <w:marLeft w:val="0"/>
      <w:marRight w:val="0"/>
      <w:marTop w:val="0"/>
      <w:marBottom w:val="0"/>
      <w:divBdr>
        <w:top w:val="none" w:sz="0" w:space="0" w:color="auto"/>
        <w:left w:val="none" w:sz="0" w:space="0" w:color="auto"/>
        <w:bottom w:val="none" w:sz="0" w:space="0" w:color="auto"/>
        <w:right w:val="none" w:sz="0" w:space="0" w:color="auto"/>
      </w:divBdr>
    </w:div>
    <w:div w:id="463743459">
      <w:bodyDiv w:val="1"/>
      <w:marLeft w:val="0"/>
      <w:marRight w:val="0"/>
      <w:marTop w:val="0"/>
      <w:marBottom w:val="0"/>
      <w:divBdr>
        <w:top w:val="none" w:sz="0" w:space="0" w:color="auto"/>
        <w:left w:val="none" w:sz="0" w:space="0" w:color="auto"/>
        <w:bottom w:val="none" w:sz="0" w:space="0" w:color="auto"/>
        <w:right w:val="none" w:sz="0" w:space="0" w:color="auto"/>
      </w:divBdr>
    </w:div>
    <w:div w:id="465005271">
      <w:bodyDiv w:val="1"/>
      <w:marLeft w:val="0"/>
      <w:marRight w:val="0"/>
      <w:marTop w:val="0"/>
      <w:marBottom w:val="0"/>
      <w:divBdr>
        <w:top w:val="none" w:sz="0" w:space="0" w:color="auto"/>
        <w:left w:val="none" w:sz="0" w:space="0" w:color="auto"/>
        <w:bottom w:val="none" w:sz="0" w:space="0" w:color="auto"/>
        <w:right w:val="none" w:sz="0" w:space="0" w:color="auto"/>
      </w:divBdr>
    </w:div>
    <w:div w:id="470876264">
      <w:bodyDiv w:val="1"/>
      <w:marLeft w:val="0"/>
      <w:marRight w:val="0"/>
      <w:marTop w:val="0"/>
      <w:marBottom w:val="0"/>
      <w:divBdr>
        <w:top w:val="none" w:sz="0" w:space="0" w:color="auto"/>
        <w:left w:val="none" w:sz="0" w:space="0" w:color="auto"/>
        <w:bottom w:val="none" w:sz="0" w:space="0" w:color="auto"/>
        <w:right w:val="none" w:sz="0" w:space="0" w:color="auto"/>
      </w:divBdr>
    </w:div>
    <w:div w:id="485585416">
      <w:bodyDiv w:val="1"/>
      <w:marLeft w:val="0"/>
      <w:marRight w:val="0"/>
      <w:marTop w:val="0"/>
      <w:marBottom w:val="0"/>
      <w:divBdr>
        <w:top w:val="none" w:sz="0" w:space="0" w:color="auto"/>
        <w:left w:val="none" w:sz="0" w:space="0" w:color="auto"/>
        <w:bottom w:val="none" w:sz="0" w:space="0" w:color="auto"/>
        <w:right w:val="none" w:sz="0" w:space="0" w:color="auto"/>
      </w:divBdr>
    </w:div>
    <w:div w:id="487333604">
      <w:bodyDiv w:val="1"/>
      <w:marLeft w:val="0"/>
      <w:marRight w:val="0"/>
      <w:marTop w:val="0"/>
      <w:marBottom w:val="0"/>
      <w:divBdr>
        <w:top w:val="none" w:sz="0" w:space="0" w:color="auto"/>
        <w:left w:val="none" w:sz="0" w:space="0" w:color="auto"/>
        <w:bottom w:val="none" w:sz="0" w:space="0" w:color="auto"/>
        <w:right w:val="none" w:sz="0" w:space="0" w:color="auto"/>
      </w:divBdr>
    </w:div>
    <w:div w:id="491526819">
      <w:bodyDiv w:val="1"/>
      <w:marLeft w:val="0"/>
      <w:marRight w:val="0"/>
      <w:marTop w:val="0"/>
      <w:marBottom w:val="0"/>
      <w:divBdr>
        <w:top w:val="none" w:sz="0" w:space="0" w:color="auto"/>
        <w:left w:val="none" w:sz="0" w:space="0" w:color="auto"/>
        <w:bottom w:val="none" w:sz="0" w:space="0" w:color="auto"/>
        <w:right w:val="none" w:sz="0" w:space="0" w:color="auto"/>
      </w:divBdr>
    </w:div>
    <w:div w:id="498159549">
      <w:bodyDiv w:val="1"/>
      <w:marLeft w:val="0"/>
      <w:marRight w:val="0"/>
      <w:marTop w:val="0"/>
      <w:marBottom w:val="0"/>
      <w:divBdr>
        <w:top w:val="none" w:sz="0" w:space="0" w:color="auto"/>
        <w:left w:val="none" w:sz="0" w:space="0" w:color="auto"/>
        <w:bottom w:val="none" w:sz="0" w:space="0" w:color="auto"/>
        <w:right w:val="none" w:sz="0" w:space="0" w:color="auto"/>
      </w:divBdr>
    </w:div>
    <w:div w:id="503397208">
      <w:bodyDiv w:val="1"/>
      <w:marLeft w:val="0"/>
      <w:marRight w:val="0"/>
      <w:marTop w:val="0"/>
      <w:marBottom w:val="0"/>
      <w:divBdr>
        <w:top w:val="none" w:sz="0" w:space="0" w:color="auto"/>
        <w:left w:val="none" w:sz="0" w:space="0" w:color="auto"/>
        <w:bottom w:val="none" w:sz="0" w:space="0" w:color="auto"/>
        <w:right w:val="none" w:sz="0" w:space="0" w:color="auto"/>
      </w:divBdr>
    </w:div>
    <w:div w:id="506483531">
      <w:bodyDiv w:val="1"/>
      <w:marLeft w:val="0"/>
      <w:marRight w:val="0"/>
      <w:marTop w:val="0"/>
      <w:marBottom w:val="0"/>
      <w:divBdr>
        <w:top w:val="none" w:sz="0" w:space="0" w:color="auto"/>
        <w:left w:val="none" w:sz="0" w:space="0" w:color="auto"/>
        <w:bottom w:val="none" w:sz="0" w:space="0" w:color="auto"/>
        <w:right w:val="none" w:sz="0" w:space="0" w:color="auto"/>
      </w:divBdr>
    </w:div>
    <w:div w:id="507065376">
      <w:bodyDiv w:val="1"/>
      <w:marLeft w:val="0"/>
      <w:marRight w:val="0"/>
      <w:marTop w:val="0"/>
      <w:marBottom w:val="0"/>
      <w:divBdr>
        <w:top w:val="none" w:sz="0" w:space="0" w:color="auto"/>
        <w:left w:val="none" w:sz="0" w:space="0" w:color="auto"/>
        <w:bottom w:val="none" w:sz="0" w:space="0" w:color="auto"/>
        <w:right w:val="none" w:sz="0" w:space="0" w:color="auto"/>
      </w:divBdr>
    </w:div>
    <w:div w:id="518734793">
      <w:bodyDiv w:val="1"/>
      <w:marLeft w:val="0"/>
      <w:marRight w:val="0"/>
      <w:marTop w:val="0"/>
      <w:marBottom w:val="0"/>
      <w:divBdr>
        <w:top w:val="none" w:sz="0" w:space="0" w:color="auto"/>
        <w:left w:val="none" w:sz="0" w:space="0" w:color="auto"/>
        <w:bottom w:val="none" w:sz="0" w:space="0" w:color="auto"/>
        <w:right w:val="none" w:sz="0" w:space="0" w:color="auto"/>
      </w:divBdr>
    </w:div>
    <w:div w:id="522018823">
      <w:bodyDiv w:val="1"/>
      <w:marLeft w:val="0"/>
      <w:marRight w:val="0"/>
      <w:marTop w:val="0"/>
      <w:marBottom w:val="0"/>
      <w:divBdr>
        <w:top w:val="none" w:sz="0" w:space="0" w:color="auto"/>
        <w:left w:val="none" w:sz="0" w:space="0" w:color="auto"/>
        <w:bottom w:val="none" w:sz="0" w:space="0" w:color="auto"/>
        <w:right w:val="none" w:sz="0" w:space="0" w:color="auto"/>
      </w:divBdr>
    </w:div>
    <w:div w:id="522981895">
      <w:bodyDiv w:val="1"/>
      <w:marLeft w:val="0"/>
      <w:marRight w:val="0"/>
      <w:marTop w:val="0"/>
      <w:marBottom w:val="0"/>
      <w:divBdr>
        <w:top w:val="none" w:sz="0" w:space="0" w:color="auto"/>
        <w:left w:val="none" w:sz="0" w:space="0" w:color="auto"/>
        <w:bottom w:val="none" w:sz="0" w:space="0" w:color="auto"/>
        <w:right w:val="none" w:sz="0" w:space="0" w:color="auto"/>
      </w:divBdr>
    </w:div>
    <w:div w:id="527984171">
      <w:bodyDiv w:val="1"/>
      <w:marLeft w:val="0"/>
      <w:marRight w:val="0"/>
      <w:marTop w:val="0"/>
      <w:marBottom w:val="0"/>
      <w:divBdr>
        <w:top w:val="none" w:sz="0" w:space="0" w:color="auto"/>
        <w:left w:val="none" w:sz="0" w:space="0" w:color="auto"/>
        <w:bottom w:val="none" w:sz="0" w:space="0" w:color="auto"/>
        <w:right w:val="none" w:sz="0" w:space="0" w:color="auto"/>
      </w:divBdr>
    </w:div>
    <w:div w:id="553396543">
      <w:bodyDiv w:val="1"/>
      <w:marLeft w:val="0"/>
      <w:marRight w:val="0"/>
      <w:marTop w:val="0"/>
      <w:marBottom w:val="0"/>
      <w:divBdr>
        <w:top w:val="none" w:sz="0" w:space="0" w:color="auto"/>
        <w:left w:val="none" w:sz="0" w:space="0" w:color="auto"/>
        <w:bottom w:val="none" w:sz="0" w:space="0" w:color="auto"/>
        <w:right w:val="none" w:sz="0" w:space="0" w:color="auto"/>
      </w:divBdr>
    </w:div>
    <w:div w:id="556669570">
      <w:bodyDiv w:val="1"/>
      <w:marLeft w:val="0"/>
      <w:marRight w:val="0"/>
      <w:marTop w:val="0"/>
      <w:marBottom w:val="0"/>
      <w:divBdr>
        <w:top w:val="none" w:sz="0" w:space="0" w:color="auto"/>
        <w:left w:val="none" w:sz="0" w:space="0" w:color="auto"/>
        <w:bottom w:val="none" w:sz="0" w:space="0" w:color="auto"/>
        <w:right w:val="none" w:sz="0" w:space="0" w:color="auto"/>
      </w:divBdr>
    </w:div>
    <w:div w:id="561451402">
      <w:bodyDiv w:val="1"/>
      <w:marLeft w:val="0"/>
      <w:marRight w:val="0"/>
      <w:marTop w:val="0"/>
      <w:marBottom w:val="0"/>
      <w:divBdr>
        <w:top w:val="none" w:sz="0" w:space="0" w:color="auto"/>
        <w:left w:val="none" w:sz="0" w:space="0" w:color="auto"/>
        <w:bottom w:val="none" w:sz="0" w:space="0" w:color="auto"/>
        <w:right w:val="none" w:sz="0" w:space="0" w:color="auto"/>
      </w:divBdr>
    </w:div>
    <w:div w:id="569270754">
      <w:bodyDiv w:val="1"/>
      <w:marLeft w:val="0"/>
      <w:marRight w:val="0"/>
      <w:marTop w:val="0"/>
      <w:marBottom w:val="0"/>
      <w:divBdr>
        <w:top w:val="none" w:sz="0" w:space="0" w:color="auto"/>
        <w:left w:val="none" w:sz="0" w:space="0" w:color="auto"/>
        <w:bottom w:val="none" w:sz="0" w:space="0" w:color="auto"/>
        <w:right w:val="none" w:sz="0" w:space="0" w:color="auto"/>
      </w:divBdr>
    </w:div>
    <w:div w:id="576016957">
      <w:bodyDiv w:val="1"/>
      <w:marLeft w:val="0"/>
      <w:marRight w:val="0"/>
      <w:marTop w:val="0"/>
      <w:marBottom w:val="0"/>
      <w:divBdr>
        <w:top w:val="none" w:sz="0" w:space="0" w:color="auto"/>
        <w:left w:val="none" w:sz="0" w:space="0" w:color="auto"/>
        <w:bottom w:val="none" w:sz="0" w:space="0" w:color="auto"/>
        <w:right w:val="none" w:sz="0" w:space="0" w:color="auto"/>
      </w:divBdr>
    </w:div>
    <w:div w:id="576673873">
      <w:bodyDiv w:val="1"/>
      <w:marLeft w:val="0"/>
      <w:marRight w:val="0"/>
      <w:marTop w:val="0"/>
      <w:marBottom w:val="0"/>
      <w:divBdr>
        <w:top w:val="none" w:sz="0" w:space="0" w:color="auto"/>
        <w:left w:val="none" w:sz="0" w:space="0" w:color="auto"/>
        <w:bottom w:val="none" w:sz="0" w:space="0" w:color="auto"/>
        <w:right w:val="none" w:sz="0" w:space="0" w:color="auto"/>
      </w:divBdr>
    </w:div>
    <w:div w:id="588737156">
      <w:bodyDiv w:val="1"/>
      <w:marLeft w:val="0"/>
      <w:marRight w:val="0"/>
      <w:marTop w:val="0"/>
      <w:marBottom w:val="0"/>
      <w:divBdr>
        <w:top w:val="none" w:sz="0" w:space="0" w:color="auto"/>
        <w:left w:val="none" w:sz="0" w:space="0" w:color="auto"/>
        <w:bottom w:val="none" w:sz="0" w:space="0" w:color="auto"/>
        <w:right w:val="none" w:sz="0" w:space="0" w:color="auto"/>
      </w:divBdr>
    </w:div>
    <w:div w:id="592863840">
      <w:bodyDiv w:val="1"/>
      <w:marLeft w:val="0"/>
      <w:marRight w:val="0"/>
      <w:marTop w:val="0"/>
      <w:marBottom w:val="0"/>
      <w:divBdr>
        <w:top w:val="none" w:sz="0" w:space="0" w:color="auto"/>
        <w:left w:val="none" w:sz="0" w:space="0" w:color="auto"/>
        <w:bottom w:val="none" w:sz="0" w:space="0" w:color="auto"/>
        <w:right w:val="none" w:sz="0" w:space="0" w:color="auto"/>
      </w:divBdr>
    </w:div>
    <w:div w:id="596868941">
      <w:bodyDiv w:val="1"/>
      <w:marLeft w:val="0"/>
      <w:marRight w:val="0"/>
      <w:marTop w:val="0"/>
      <w:marBottom w:val="0"/>
      <w:divBdr>
        <w:top w:val="none" w:sz="0" w:space="0" w:color="auto"/>
        <w:left w:val="none" w:sz="0" w:space="0" w:color="auto"/>
        <w:bottom w:val="none" w:sz="0" w:space="0" w:color="auto"/>
        <w:right w:val="none" w:sz="0" w:space="0" w:color="auto"/>
      </w:divBdr>
    </w:div>
    <w:div w:id="612171842">
      <w:bodyDiv w:val="1"/>
      <w:marLeft w:val="0"/>
      <w:marRight w:val="0"/>
      <w:marTop w:val="0"/>
      <w:marBottom w:val="0"/>
      <w:divBdr>
        <w:top w:val="none" w:sz="0" w:space="0" w:color="auto"/>
        <w:left w:val="none" w:sz="0" w:space="0" w:color="auto"/>
        <w:bottom w:val="none" w:sz="0" w:space="0" w:color="auto"/>
        <w:right w:val="none" w:sz="0" w:space="0" w:color="auto"/>
      </w:divBdr>
    </w:div>
    <w:div w:id="628705144">
      <w:bodyDiv w:val="1"/>
      <w:marLeft w:val="0"/>
      <w:marRight w:val="0"/>
      <w:marTop w:val="0"/>
      <w:marBottom w:val="0"/>
      <w:divBdr>
        <w:top w:val="none" w:sz="0" w:space="0" w:color="auto"/>
        <w:left w:val="none" w:sz="0" w:space="0" w:color="auto"/>
        <w:bottom w:val="none" w:sz="0" w:space="0" w:color="auto"/>
        <w:right w:val="none" w:sz="0" w:space="0" w:color="auto"/>
      </w:divBdr>
    </w:div>
    <w:div w:id="630401827">
      <w:bodyDiv w:val="1"/>
      <w:marLeft w:val="0"/>
      <w:marRight w:val="0"/>
      <w:marTop w:val="0"/>
      <w:marBottom w:val="0"/>
      <w:divBdr>
        <w:top w:val="none" w:sz="0" w:space="0" w:color="auto"/>
        <w:left w:val="none" w:sz="0" w:space="0" w:color="auto"/>
        <w:bottom w:val="none" w:sz="0" w:space="0" w:color="auto"/>
        <w:right w:val="none" w:sz="0" w:space="0" w:color="auto"/>
      </w:divBdr>
    </w:div>
    <w:div w:id="638807481">
      <w:bodyDiv w:val="1"/>
      <w:marLeft w:val="0"/>
      <w:marRight w:val="0"/>
      <w:marTop w:val="0"/>
      <w:marBottom w:val="0"/>
      <w:divBdr>
        <w:top w:val="none" w:sz="0" w:space="0" w:color="auto"/>
        <w:left w:val="none" w:sz="0" w:space="0" w:color="auto"/>
        <w:bottom w:val="none" w:sz="0" w:space="0" w:color="auto"/>
        <w:right w:val="none" w:sz="0" w:space="0" w:color="auto"/>
      </w:divBdr>
    </w:div>
    <w:div w:id="647788516">
      <w:bodyDiv w:val="1"/>
      <w:marLeft w:val="0"/>
      <w:marRight w:val="0"/>
      <w:marTop w:val="0"/>
      <w:marBottom w:val="0"/>
      <w:divBdr>
        <w:top w:val="none" w:sz="0" w:space="0" w:color="auto"/>
        <w:left w:val="none" w:sz="0" w:space="0" w:color="auto"/>
        <w:bottom w:val="none" w:sz="0" w:space="0" w:color="auto"/>
        <w:right w:val="none" w:sz="0" w:space="0" w:color="auto"/>
      </w:divBdr>
    </w:div>
    <w:div w:id="653143305">
      <w:bodyDiv w:val="1"/>
      <w:marLeft w:val="0"/>
      <w:marRight w:val="0"/>
      <w:marTop w:val="0"/>
      <w:marBottom w:val="0"/>
      <w:divBdr>
        <w:top w:val="none" w:sz="0" w:space="0" w:color="auto"/>
        <w:left w:val="none" w:sz="0" w:space="0" w:color="auto"/>
        <w:bottom w:val="none" w:sz="0" w:space="0" w:color="auto"/>
        <w:right w:val="none" w:sz="0" w:space="0" w:color="auto"/>
      </w:divBdr>
    </w:div>
    <w:div w:id="658194160">
      <w:bodyDiv w:val="1"/>
      <w:marLeft w:val="0"/>
      <w:marRight w:val="0"/>
      <w:marTop w:val="0"/>
      <w:marBottom w:val="0"/>
      <w:divBdr>
        <w:top w:val="none" w:sz="0" w:space="0" w:color="auto"/>
        <w:left w:val="none" w:sz="0" w:space="0" w:color="auto"/>
        <w:bottom w:val="none" w:sz="0" w:space="0" w:color="auto"/>
        <w:right w:val="none" w:sz="0" w:space="0" w:color="auto"/>
      </w:divBdr>
    </w:div>
    <w:div w:id="658850153">
      <w:bodyDiv w:val="1"/>
      <w:marLeft w:val="0"/>
      <w:marRight w:val="0"/>
      <w:marTop w:val="0"/>
      <w:marBottom w:val="0"/>
      <w:divBdr>
        <w:top w:val="none" w:sz="0" w:space="0" w:color="auto"/>
        <w:left w:val="none" w:sz="0" w:space="0" w:color="auto"/>
        <w:bottom w:val="none" w:sz="0" w:space="0" w:color="auto"/>
        <w:right w:val="none" w:sz="0" w:space="0" w:color="auto"/>
      </w:divBdr>
    </w:div>
    <w:div w:id="660275511">
      <w:bodyDiv w:val="1"/>
      <w:marLeft w:val="0"/>
      <w:marRight w:val="0"/>
      <w:marTop w:val="0"/>
      <w:marBottom w:val="0"/>
      <w:divBdr>
        <w:top w:val="none" w:sz="0" w:space="0" w:color="auto"/>
        <w:left w:val="none" w:sz="0" w:space="0" w:color="auto"/>
        <w:bottom w:val="none" w:sz="0" w:space="0" w:color="auto"/>
        <w:right w:val="none" w:sz="0" w:space="0" w:color="auto"/>
      </w:divBdr>
    </w:div>
    <w:div w:id="741637959">
      <w:bodyDiv w:val="1"/>
      <w:marLeft w:val="0"/>
      <w:marRight w:val="0"/>
      <w:marTop w:val="0"/>
      <w:marBottom w:val="0"/>
      <w:divBdr>
        <w:top w:val="none" w:sz="0" w:space="0" w:color="auto"/>
        <w:left w:val="none" w:sz="0" w:space="0" w:color="auto"/>
        <w:bottom w:val="none" w:sz="0" w:space="0" w:color="auto"/>
        <w:right w:val="none" w:sz="0" w:space="0" w:color="auto"/>
      </w:divBdr>
    </w:div>
    <w:div w:id="750853722">
      <w:bodyDiv w:val="1"/>
      <w:marLeft w:val="0"/>
      <w:marRight w:val="0"/>
      <w:marTop w:val="0"/>
      <w:marBottom w:val="0"/>
      <w:divBdr>
        <w:top w:val="none" w:sz="0" w:space="0" w:color="auto"/>
        <w:left w:val="none" w:sz="0" w:space="0" w:color="auto"/>
        <w:bottom w:val="none" w:sz="0" w:space="0" w:color="auto"/>
        <w:right w:val="none" w:sz="0" w:space="0" w:color="auto"/>
      </w:divBdr>
    </w:div>
    <w:div w:id="765543902">
      <w:bodyDiv w:val="1"/>
      <w:marLeft w:val="0"/>
      <w:marRight w:val="0"/>
      <w:marTop w:val="0"/>
      <w:marBottom w:val="0"/>
      <w:divBdr>
        <w:top w:val="none" w:sz="0" w:space="0" w:color="auto"/>
        <w:left w:val="none" w:sz="0" w:space="0" w:color="auto"/>
        <w:bottom w:val="none" w:sz="0" w:space="0" w:color="auto"/>
        <w:right w:val="none" w:sz="0" w:space="0" w:color="auto"/>
      </w:divBdr>
    </w:div>
    <w:div w:id="774715204">
      <w:bodyDiv w:val="1"/>
      <w:marLeft w:val="0"/>
      <w:marRight w:val="0"/>
      <w:marTop w:val="0"/>
      <w:marBottom w:val="0"/>
      <w:divBdr>
        <w:top w:val="none" w:sz="0" w:space="0" w:color="auto"/>
        <w:left w:val="none" w:sz="0" w:space="0" w:color="auto"/>
        <w:bottom w:val="none" w:sz="0" w:space="0" w:color="auto"/>
        <w:right w:val="none" w:sz="0" w:space="0" w:color="auto"/>
      </w:divBdr>
    </w:div>
    <w:div w:id="812983368">
      <w:bodyDiv w:val="1"/>
      <w:marLeft w:val="0"/>
      <w:marRight w:val="0"/>
      <w:marTop w:val="0"/>
      <w:marBottom w:val="0"/>
      <w:divBdr>
        <w:top w:val="none" w:sz="0" w:space="0" w:color="auto"/>
        <w:left w:val="none" w:sz="0" w:space="0" w:color="auto"/>
        <w:bottom w:val="none" w:sz="0" w:space="0" w:color="auto"/>
        <w:right w:val="none" w:sz="0" w:space="0" w:color="auto"/>
      </w:divBdr>
    </w:div>
    <w:div w:id="822353244">
      <w:bodyDiv w:val="1"/>
      <w:marLeft w:val="0"/>
      <w:marRight w:val="0"/>
      <w:marTop w:val="0"/>
      <w:marBottom w:val="0"/>
      <w:divBdr>
        <w:top w:val="none" w:sz="0" w:space="0" w:color="auto"/>
        <w:left w:val="none" w:sz="0" w:space="0" w:color="auto"/>
        <w:bottom w:val="none" w:sz="0" w:space="0" w:color="auto"/>
        <w:right w:val="none" w:sz="0" w:space="0" w:color="auto"/>
      </w:divBdr>
    </w:div>
    <w:div w:id="828250168">
      <w:bodyDiv w:val="1"/>
      <w:marLeft w:val="0"/>
      <w:marRight w:val="0"/>
      <w:marTop w:val="0"/>
      <w:marBottom w:val="0"/>
      <w:divBdr>
        <w:top w:val="none" w:sz="0" w:space="0" w:color="auto"/>
        <w:left w:val="none" w:sz="0" w:space="0" w:color="auto"/>
        <w:bottom w:val="none" w:sz="0" w:space="0" w:color="auto"/>
        <w:right w:val="none" w:sz="0" w:space="0" w:color="auto"/>
      </w:divBdr>
    </w:div>
    <w:div w:id="829254741">
      <w:bodyDiv w:val="1"/>
      <w:marLeft w:val="0"/>
      <w:marRight w:val="0"/>
      <w:marTop w:val="0"/>
      <w:marBottom w:val="0"/>
      <w:divBdr>
        <w:top w:val="none" w:sz="0" w:space="0" w:color="auto"/>
        <w:left w:val="none" w:sz="0" w:space="0" w:color="auto"/>
        <w:bottom w:val="none" w:sz="0" w:space="0" w:color="auto"/>
        <w:right w:val="none" w:sz="0" w:space="0" w:color="auto"/>
      </w:divBdr>
    </w:div>
    <w:div w:id="829949301">
      <w:bodyDiv w:val="1"/>
      <w:marLeft w:val="0"/>
      <w:marRight w:val="0"/>
      <w:marTop w:val="0"/>
      <w:marBottom w:val="0"/>
      <w:divBdr>
        <w:top w:val="none" w:sz="0" w:space="0" w:color="auto"/>
        <w:left w:val="none" w:sz="0" w:space="0" w:color="auto"/>
        <w:bottom w:val="none" w:sz="0" w:space="0" w:color="auto"/>
        <w:right w:val="none" w:sz="0" w:space="0" w:color="auto"/>
      </w:divBdr>
    </w:div>
    <w:div w:id="857277897">
      <w:bodyDiv w:val="1"/>
      <w:marLeft w:val="0"/>
      <w:marRight w:val="0"/>
      <w:marTop w:val="0"/>
      <w:marBottom w:val="0"/>
      <w:divBdr>
        <w:top w:val="none" w:sz="0" w:space="0" w:color="auto"/>
        <w:left w:val="none" w:sz="0" w:space="0" w:color="auto"/>
        <w:bottom w:val="none" w:sz="0" w:space="0" w:color="auto"/>
        <w:right w:val="none" w:sz="0" w:space="0" w:color="auto"/>
      </w:divBdr>
    </w:div>
    <w:div w:id="870342393">
      <w:bodyDiv w:val="1"/>
      <w:marLeft w:val="0"/>
      <w:marRight w:val="0"/>
      <w:marTop w:val="0"/>
      <w:marBottom w:val="0"/>
      <w:divBdr>
        <w:top w:val="none" w:sz="0" w:space="0" w:color="auto"/>
        <w:left w:val="none" w:sz="0" w:space="0" w:color="auto"/>
        <w:bottom w:val="none" w:sz="0" w:space="0" w:color="auto"/>
        <w:right w:val="none" w:sz="0" w:space="0" w:color="auto"/>
      </w:divBdr>
    </w:div>
    <w:div w:id="874775910">
      <w:bodyDiv w:val="1"/>
      <w:marLeft w:val="0"/>
      <w:marRight w:val="0"/>
      <w:marTop w:val="0"/>
      <w:marBottom w:val="0"/>
      <w:divBdr>
        <w:top w:val="none" w:sz="0" w:space="0" w:color="auto"/>
        <w:left w:val="none" w:sz="0" w:space="0" w:color="auto"/>
        <w:bottom w:val="none" w:sz="0" w:space="0" w:color="auto"/>
        <w:right w:val="none" w:sz="0" w:space="0" w:color="auto"/>
      </w:divBdr>
    </w:div>
    <w:div w:id="887498066">
      <w:bodyDiv w:val="1"/>
      <w:marLeft w:val="0"/>
      <w:marRight w:val="0"/>
      <w:marTop w:val="0"/>
      <w:marBottom w:val="0"/>
      <w:divBdr>
        <w:top w:val="none" w:sz="0" w:space="0" w:color="auto"/>
        <w:left w:val="none" w:sz="0" w:space="0" w:color="auto"/>
        <w:bottom w:val="none" w:sz="0" w:space="0" w:color="auto"/>
        <w:right w:val="none" w:sz="0" w:space="0" w:color="auto"/>
      </w:divBdr>
    </w:div>
    <w:div w:id="901602800">
      <w:bodyDiv w:val="1"/>
      <w:marLeft w:val="0"/>
      <w:marRight w:val="0"/>
      <w:marTop w:val="0"/>
      <w:marBottom w:val="0"/>
      <w:divBdr>
        <w:top w:val="none" w:sz="0" w:space="0" w:color="auto"/>
        <w:left w:val="none" w:sz="0" w:space="0" w:color="auto"/>
        <w:bottom w:val="none" w:sz="0" w:space="0" w:color="auto"/>
        <w:right w:val="none" w:sz="0" w:space="0" w:color="auto"/>
      </w:divBdr>
    </w:div>
    <w:div w:id="903639888">
      <w:bodyDiv w:val="1"/>
      <w:marLeft w:val="0"/>
      <w:marRight w:val="0"/>
      <w:marTop w:val="0"/>
      <w:marBottom w:val="0"/>
      <w:divBdr>
        <w:top w:val="none" w:sz="0" w:space="0" w:color="auto"/>
        <w:left w:val="none" w:sz="0" w:space="0" w:color="auto"/>
        <w:bottom w:val="none" w:sz="0" w:space="0" w:color="auto"/>
        <w:right w:val="none" w:sz="0" w:space="0" w:color="auto"/>
      </w:divBdr>
    </w:div>
    <w:div w:id="904683288">
      <w:bodyDiv w:val="1"/>
      <w:marLeft w:val="0"/>
      <w:marRight w:val="0"/>
      <w:marTop w:val="0"/>
      <w:marBottom w:val="0"/>
      <w:divBdr>
        <w:top w:val="none" w:sz="0" w:space="0" w:color="auto"/>
        <w:left w:val="none" w:sz="0" w:space="0" w:color="auto"/>
        <w:bottom w:val="none" w:sz="0" w:space="0" w:color="auto"/>
        <w:right w:val="none" w:sz="0" w:space="0" w:color="auto"/>
      </w:divBdr>
    </w:div>
    <w:div w:id="908155535">
      <w:bodyDiv w:val="1"/>
      <w:marLeft w:val="0"/>
      <w:marRight w:val="0"/>
      <w:marTop w:val="0"/>
      <w:marBottom w:val="0"/>
      <w:divBdr>
        <w:top w:val="none" w:sz="0" w:space="0" w:color="auto"/>
        <w:left w:val="none" w:sz="0" w:space="0" w:color="auto"/>
        <w:bottom w:val="none" w:sz="0" w:space="0" w:color="auto"/>
        <w:right w:val="none" w:sz="0" w:space="0" w:color="auto"/>
      </w:divBdr>
    </w:div>
    <w:div w:id="929702035">
      <w:bodyDiv w:val="1"/>
      <w:marLeft w:val="0"/>
      <w:marRight w:val="0"/>
      <w:marTop w:val="0"/>
      <w:marBottom w:val="0"/>
      <w:divBdr>
        <w:top w:val="none" w:sz="0" w:space="0" w:color="auto"/>
        <w:left w:val="none" w:sz="0" w:space="0" w:color="auto"/>
        <w:bottom w:val="none" w:sz="0" w:space="0" w:color="auto"/>
        <w:right w:val="none" w:sz="0" w:space="0" w:color="auto"/>
      </w:divBdr>
    </w:div>
    <w:div w:id="936182514">
      <w:bodyDiv w:val="1"/>
      <w:marLeft w:val="0"/>
      <w:marRight w:val="0"/>
      <w:marTop w:val="0"/>
      <w:marBottom w:val="0"/>
      <w:divBdr>
        <w:top w:val="none" w:sz="0" w:space="0" w:color="auto"/>
        <w:left w:val="none" w:sz="0" w:space="0" w:color="auto"/>
        <w:bottom w:val="none" w:sz="0" w:space="0" w:color="auto"/>
        <w:right w:val="none" w:sz="0" w:space="0" w:color="auto"/>
      </w:divBdr>
    </w:div>
    <w:div w:id="949121127">
      <w:bodyDiv w:val="1"/>
      <w:marLeft w:val="0"/>
      <w:marRight w:val="0"/>
      <w:marTop w:val="0"/>
      <w:marBottom w:val="0"/>
      <w:divBdr>
        <w:top w:val="none" w:sz="0" w:space="0" w:color="auto"/>
        <w:left w:val="none" w:sz="0" w:space="0" w:color="auto"/>
        <w:bottom w:val="none" w:sz="0" w:space="0" w:color="auto"/>
        <w:right w:val="none" w:sz="0" w:space="0" w:color="auto"/>
      </w:divBdr>
    </w:div>
    <w:div w:id="950167160">
      <w:bodyDiv w:val="1"/>
      <w:marLeft w:val="0"/>
      <w:marRight w:val="0"/>
      <w:marTop w:val="0"/>
      <w:marBottom w:val="0"/>
      <w:divBdr>
        <w:top w:val="none" w:sz="0" w:space="0" w:color="auto"/>
        <w:left w:val="none" w:sz="0" w:space="0" w:color="auto"/>
        <w:bottom w:val="none" w:sz="0" w:space="0" w:color="auto"/>
        <w:right w:val="none" w:sz="0" w:space="0" w:color="auto"/>
      </w:divBdr>
    </w:div>
    <w:div w:id="954219377">
      <w:bodyDiv w:val="1"/>
      <w:marLeft w:val="0"/>
      <w:marRight w:val="0"/>
      <w:marTop w:val="0"/>
      <w:marBottom w:val="0"/>
      <w:divBdr>
        <w:top w:val="none" w:sz="0" w:space="0" w:color="auto"/>
        <w:left w:val="none" w:sz="0" w:space="0" w:color="auto"/>
        <w:bottom w:val="none" w:sz="0" w:space="0" w:color="auto"/>
        <w:right w:val="none" w:sz="0" w:space="0" w:color="auto"/>
      </w:divBdr>
    </w:div>
    <w:div w:id="990600390">
      <w:bodyDiv w:val="1"/>
      <w:marLeft w:val="0"/>
      <w:marRight w:val="0"/>
      <w:marTop w:val="0"/>
      <w:marBottom w:val="0"/>
      <w:divBdr>
        <w:top w:val="none" w:sz="0" w:space="0" w:color="auto"/>
        <w:left w:val="none" w:sz="0" w:space="0" w:color="auto"/>
        <w:bottom w:val="none" w:sz="0" w:space="0" w:color="auto"/>
        <w:right w:val="none" w:sz="0" w:space="0" w:color="auto"/>
      </w:divBdr>
    </w:div>
    <w:div w:id="1019047788">
      <w:bodyDiv w:val="1"/>
      <w:marLeft w:val="0"/>
      <w:marRight w:val="0"/>
      <w:marTop w:val="0"/>
      <w:marBottom w:val="0"/>
      <w:divBdr>
        <w:top w:val="none" w:sz="0" w:space="0" w:color="auto"/>
        <w:left w:val="none" w:sz="0" w:space="0" w:color="auto"/>
        <w:bottom w:val="none" w:sz="0" w:space="0" w:color="auto"/>
        <w:right w:val="none" w:sz="0" w:space="0" w:color="auto"/>
      </w:divBdr>
    </w:div>
    <w:div w:id="1024555346">
      <w:bodyDiv w:val="1"/>
      <w:marLeft w:val="0"/>
      <w:marRight w:val="0"/>
      <w:marTop w:val="0"/>
      <w:marBottom w:val="0"/>
      <w:divBdr>
        <w:top w:val="none" w:sz="0" w:space="0" w:color="auto"/>
        <w:left w:val="none" w:sz="0" w:space="0" w:color="auto"/>
        <w:bottom w:val="none" w:sz="0" w:space="0" w:color="auto"/>
        <w:right w:val="none" w:sz="0" w:space="0" w:color="auto"/>
      </w:divBdr>
    </w:div>
    <w:div w:id="1029454498">
      <w:bodyDiv w:val="1"/>
      <w:marLeft w:val="0"/>
      <w:marRight w:val="0"/>
      <w:marTop w:val="0"/>
      <w:marBottom w:val="0"/>
      <w:divBdr>
        <w:top w:val="none" w:sz="0" w:space="0" w:color="auto"/>
        <w:left w:val="none" w:sz="0" w:space="0" w:color="auto"/>
        <w:bottom w:val="none" w:sz="0" w:space="0" w:color="auto"/>
        <w:right w:val="none" w:sz="0" w:space="0" w:color="auto"/>
      </w:divBdr>
    </w:div>
    <w:div w:id="1037436028">
      <w:bodyDiv w:val="1"/>
      <w:marLeft w:val="0"/>
      <w:marRight w:val="0"/>
      <w:marTop w:val="0"/>
      <w:marBottom w:val="0"/>
      <w:divBdr>
        <w:top w:val="none" w:sz="0" w:space="0" w:color="auto"/>
        <w:left w:val="none" w:sz="0" w:space="0" w:color="auto"/>
        <w:bottom w:val="none" w:sz="0" w:space="0" w:color="auto"/>
        <w:right w:val="none" w:sz="0" w:space="0" w:color="auto"/>
      </w:divBdr>
    </w:div>
    <w:div w:id="1039473731">
      <w:bodyDiv w:val="1"/>
      <w:marLeft w:val="0"/>
      <w:marRight w:val="0"/>
      <w:marTop w:val="0"/>
      <w:marBottom w:val="0"/>
      <w:divBdr>
        <w:top w:val="none" w:sz="0" w:space="0" w:color="auto"/>
        <w:left w:val="none" w:sz="0" w:space="0" w:color="auto"/>
        <w:bottom w:val="none" w:sz="0" w:space="0" w:color="auto"/>
        <w:right w:val="none" w:sz="0" w:space="0" w:color="auto"/>
      </w:divBdr>
    </w:div>
    <w:div w:id="1040130778">
      <w:bodyDiv w:val="1"/>
      <w:marLeft w:val="0"/>
      <w:marRight w:val="0"/>
      <w:marTop w:val="0"/>
      <w:marBottom w:val="0"/>
      <w:divBdr>
        <w:top w:val="none" w:sz="0" w:space="0" w:color="auto"/>
        <w:left w:val="none" w:sz="0" w:space="0" w:color="auto"/>
        <w:bottom w:val="none" w:sz="0" w:space="0" w:color="auto"/>
        <w:right w:val="none" w:sz="0" w:space="0" w:color="auto"/>
      </w:divBdr>
    </w:div>
    <w:div w:id="1042823534">
      <w:bodyDiv w:val="1"/>
      <w:marLeft w:val="0"/>
      <w:marRight w:val="0"/>
      <w:marTop w:val="0"/>
      <w:marBottom w:val="0"/>
      <w:divBdr>
        <w:top w:val="none" w:sz="0" w:space="0" w:color="auto"/>
        <w:left w:val="none" w:sz="0" w:space="0" w:color="auto"/>
        <w:bottom w:val="none" w:sz="0" w:space="0" w:color="auto"/>
        <w:right w:val="none" w:sz="0" w:space="0" w:color="auto"/>
      </w:divBdr>
    </w:div>
    <w:div w:id="1055202090">
      <w:bodyDiv w:val="1"/>
      <w:marLeft w:val="0"/>
      <w:marRight w:val="0"/>
      <w:marTop w:val="0"/>
      <w:marBottom w:val="0"/>
      <w:divBdr>
        <w:top w:val="none" w:sz="0" w:space="0" w:color="auto"/>
        <w:left w:val="none" w:sz="0" w:space="0" w:color="auto"/>
        <w:bottom w:val="none" w:sz="0" w:space="0" w:color="auto"/>
        <w:right w:val="none" w:sz="0" w:space="0" w:color="auto"/>
      </w:divBdr>
    </w:div>
    <w:div w:id="1063528758">
      <w:bodyDiv w:val="1"/>
      <w:marLeft w:val="0"/>
      <w:marRight w:val="0"/>
      <w:marTop w:val="0"/>
      <w:marBottom w:val="0"/>
      <w:divBdr>
        <w:top w:val="none" w:sz="0" w:space="0" w:color="auto"/>
        <w:left w:val="none" w:sz="0" w:space="0" w:color="auto"/>
        <w:bottom w:val="none" w:sz="0" w:space="0" w:color="auto"/>
        <w:right w:val="none" w:sz="0" w:space="0" w:color="auto"/>
      </w:divBdr>
    </w:div>
    <w:div w:id="1067997277">
      <w:bodyDiv w:val="1"/>
      <w:marLeft w:val="0"/>
      <w:marRight w:val="0"/>
      <w:marTop w:val="0"/>
      <w:marBottom w:val="0"/>
      <w:divBdr>
        <w:top w:val="none" w:sz="0" w:space="0" w:color="auto"/>
        <w:left w:val="none" w:sz="0" w:space="0" w:color="auto"/>
        <w:bottom w:val="none" w:sz="0" w:space="0" w:color="auto"/>
        <w:right w:val="none" w:sz="0" w:space="0" w:color="auto"/>
      </w:divBdr>
    </w:div>
    <w:div w:id="1079446311">
      <w:bodyDiv w:val="1"/>
      <w:marLeft w:val="0"/>
      <w:marRight w:val="0"/>
      <w:marTop w:val="0"/>
      <w:marBottom w:val="0"/>
      <w:divBdr>
        <w:top w:val="none" w:sz="0" w:space="0" w:color="auto"/>
        <w:left w:val="none" w:sz="0" w:space="0" w:color="auto"/>
        <w:bottom w:val="none" w:sz="0" w:space="0" w:color="auto"/>
        <w:right w:val="none" w:sz="0" w:space="0" w:color="auto"/>
      </w:divBdr>
    </w:div>
    <w:div w:id="1087459526">
      <w:bodyDiv w:val="1"/>
      <w:marLeft w:val="0"/>
      <w:marRight w:val="0"/>
      <w:marTop w:val="0"/>
      <w:marBottom w:val="0"/>
      <w:divBdr>
        <w:top w:val="none" w:sz="0" w:space="0" w:color="auto"/>
        <w:left w:val="none" w:sz="0" w:space="0" w:color="auto"/>
        <w:bottom w:val="none" w:sz="0" w:space="0" w:color="auto"/>
        <w:right w:val="none" w:sz="0" w:space="0" w:color="auto"/>
      </w:divBdr>
    </w:div>
    <w:div w:id="1100106907">
      <w:bodyDiv w:val="1"/>
      <w:marLeft w:val="0"/>
      <w:marRight w:val="0"/>
      <w:marTop w:val="0"/>
      <w:marBottom w:val="0"/>
      <w:divBdr>
        <w:top w:val="none" w:sz="0" w:space="0" w:color="auto"/>
        <w:left w:val="none" w:sz="0" w:space="0" w:color="auto"/>
        <w:bottom w:val="none" w:sz="0" w:space="0" w:color="auto"/>
        <w:right w:val="none" w:sz="0" w:space="0" w:color="auto"/>
      </w:divBdr>
    </w:div>
    <w:div w:id="1110471219">
      <w:bodyDiv w:val="1"/>
      <w:marLeft w:val="0"/>
      <w:marRight w:val="0"/>
      <w:marTop w:val="0"/>
      <w:marBottom w:val="0"/>
      <w:divBdr>
        <w:top w:val="none" w:sz="0" w:space="0" w:color="auto"/>
        <w:left w:val="none" w:sz="0" w:space="0" w:color="auto"/>
        <w:bottom w:val="none" w:sz="0" w:space="0" w:color="auto"/>
        <w:right w:val="none" w:sz="0" w:space="0" w:color="auto"/>
      </w:divBdr>
    </w:div>
    <w:div w:id="1122923543">
      <w:bodyDiv w:val="1"/>
      <w:marLeft w:val="0"/>
      <w:marRight w:val="0"/>
      <w:marTop w:val="0"/>
      <w:marBottom w:val="0"/>
      <w:divBdr>
        <w:top w:val="none" w:sz="0" w:space="0" w:color="auto"/>
        <w:left w:val="none" w:sz="0" w:space="0" w:color="auto"/>
        <w:bottom w:val="none" w:sz="0" w:space="0" w:color="auto"/>
        <w:right w:val="none" w:sz="0" w:space="0" w:color="auto"/>
      </w:divBdr>
    </w:div>
    <w:div w:id="1125470320">
      <w:bodyDiv w:val="1"/>
      <w:marLeft w:val="0"/>
      <w:marRight w:val="0"/>
      <w:marTop w:val="0"/>
      <w:marBottom w:val="0"/>
      <w:divBdr>
        <w:top w:val="none" w:sz="0" w:space="0" w:color="auto"/>
        <w:left w:val="none" w:sz="0" w:space="0" w:color="auto"/>
        <w:bottom w:val="none" w:sz="0" w:space="0" w:color="auto"/>
        <w:right w:val="none" w:sz="0" w:space="0" w:color="auto"/>
      </w:divBdr>
    </w:div>
    <w:div w:id="1129054328">
      <w:bodyDiv w:val="1"/>
      <w:marLeft w:val="0"/>
      <w:marRight w:val="0"/>
      <w:marTop w:val="0"/>
      <w:marBottom w:val="0"/>
      <w:divBdr>
        <w:top w:val="none" w:sz="0" w:space="0" w:color="auto"/>
        <w:left w:val="none" w:sz="0" w:space="0" w:color="auto"/>
        <w:bottom w:val="none" w:sz="0" w:space="0" w:color="auto"/>
        <w:right w:val="none" w:sz="0" w:space="0" w:color="auto"/>
      </w:divBdr>
    </w:div>
    <w:div w:id="1129515754">
      <w:bodyDiv w:val="1"/>
      <w:marLeft w:val="0"/>
      <w:marRight w:val="0"/>
      <w:marTop w:val="0"/>
      <w:marBottom w:val="0"/>
      <w:divBdr>
        <w:top w:val="none" w:sz="0" w:space="0" w:color="auto"/>
        <w:left w:val="none" w:sz="0" w:space="0" w:color="auto"/>
        <w:bottom w:val="none" w:sz="0" w:space="0" w:color="auto"/>
        <w:right w:val="none" w:sz="0" w:space="0" w:color="auto"/>
      </w:divBdr>
    </w:div>
    <w:div w:id="1130248083">
      <w:bodyDiv w:val="1"/>
      <w:marLeft w:val="0"/>
      <w:marRight w:val="0"/>
      <w:marTop w:val="0"/>
      <w:marBottom w:val="0"/>
      <w:divBdr>
        <w:top w:val="none" w:sz="0" w:space="0" w:color="auto"/>
        <w:left w:val="none" w:sz="0" w:space="0" w:color="auto"/>
        <w:bottom w:val="none" w:sz="0" w:space="0" w:color="auto"/>
        <w:right w:val="none" w:sz="0" w:space="0" w:color="auto"/>
      </w:divBdr>
    </w:div>
    <w:div w:id="1130320156">
      <w:bodyDiv w:val="1"/>
      <w:marLeft w:val="0"/>
      <w:marRight w:val="0"/>
      <w:marTop w:val="0"/>
      <w:marBottom w:val="0"/>
      <w:divBdr>
        <w:top w:val="none" w:sz="0" w:space="0" w:color="auto"/>
        <w:left w:val="none" w:sz="0" w:space="0" w:color="auto"/>
        <w:bottom w:val="none" w:sz="0" w:space="0" w:color="auto"/>
        <w:right w:val="none" w:sz="0" w:space="0" w:color="auto"/>
      </w:divBdr>
    </w:div>
    <w:div w:id="1132166984">
      <w:bodyDiv w:val="1"/>
      <w:marLeft w:val="0"/>
      <w:marRight w:val="0"/>
      <w:marTop w:val="0"/>
      <w:marBottom w:val="0"/>
      <w:divBdr>
        <w:top w:val="none" w:sz="0" w:space="0" w:color="auto"/>
        <w:left w:val="none" w:sz="0" w:space="0" w:color="auto"/>
        <w:bottom w:val="none" w:sz="0" w:space="0" w:color="auto"/>
        <w:right w:val="none" w:sz="0" w:space="0" w:color="auto"/>
      </w:divBdr>
    </w:div>
    <w:div w:id="1132404738">
      <w:bodyDiv w:val="1"/>
      <w:marLeft w:val="0"/>
      <w:marRight w:val="0"/>
      <w:marTop w:val="0"/>
      <w:marBottom w:val="0"/>
      <w:divBdr>
        <w:top w:val="none" w:sz="0" w:space="0" w:color="auto"/>
        <w:left w:val="none" w:sz="0" w:space="0" w:color="auto"/>
        <w:bottom w:val="none" w:sz="0" w:space="0" w:color="auto"/>
        <w:right w:val="none" w:sz="0" w:space="0" w:color="auto"/>
      </w:divBdr>
    </w:div>
    <w:div w:id="1138689317">
      <w:bodyDiv w:val="1"/>
      <w:marLeft w:val="0"/>
      <w:marRight w:val="0"/>
      <w:marTop w:val="0"/>
      <w:marBottom w:val="0"/>
      <w:divBdr>
        <w:top w:val="none" w:sz="0" w:space="0" w:color="auto"/>
        <w:left w:val="none" w:sz="0" w:space="0" w:color="auto"/>
        <w:bottom w:val="none" w:sz="0" w:space="0" w:color="auto"/>
        <w:right w:val="none" w:sz="0" w:space="0" w:color="auto"/>
      </w:divBdr>
    </w:div>
    <w:div w:id="1148059685">
      <w:bodyDiv w:val="1"/>
      <w:marLeft w:val="0"/>
      <w:marRight w:val="0"/>
      <w:marTop w:val="0"/>
      <w:marBottom w:val="0"/>
      <w:divBdr>
        <w:top w:val="none" w:sz="0" w:space="0" w:color="auto"/>
        <w:left w:val="none" w:sz="0" w:space="0" w:color="auto"/>
        <w:bottom w:val="none" w:sz="0" w:space="0" w:color="auto"/>
        <w:right w:val="none" w:sz="0" w:space="0" w:color="auto"/>
      </w:divBdr>
    </w:div>
    <w:div w:id="1149399389">
      <w:bodyDiv w:val="1"/>
      <w:marLeft w:val="0"/>
      <w:marRight w:val="0"/>
      <w:marTop w:val="0"/>
      <w:marBottom w:val="0"/>
      <w:divBdr>
        <w:top w:val="none" w:sz="0" w:space="0" w:color="auto"/>
        <w:left w:val="none" w:sz="0" w:space="0" w:color="auto"/>
        <w:bottom w:val="none" w:sz="0" w:space="0" w:color="auto"/>
        <w:right w:val="none" w:sz="0" w:space="0" w:color="auto"/>
      </w:divBdr>
    </w:div>
    <w:div w:id="1150631327">
      <w:bodyDiv w:val="1"/>
      <w:marLeft w:val="0"/>
      <w:marRight w:val="0"/>
      <w:marTop w:val="0"/>
      <w:marBottom w:val="0"/>
      <w:divBdr>
        <w:top w:val="none" w:sz="0" w:space="0" w:color="auto"/>
        <w:left w:val="none" w:sz="0" w:space="0" w:color="auto"/>
        <w:bottom w:val="none" w:sz="0" w:space="0" w:color="auto"/>
        <w:right w:val="none" w:sz="0" w:space="0" w:color="auto"/>
      </w:divBdr>
    </w:div>
    <w:div w:id="1162504562">
      <w:bodyDiv w:val="1"/>
      <w:marLeft w:val="0"/>
      <w:marRight w:val="0"/>
      <w:marTop w:val="0"/>
      <w:marBottom w:val="0"/>
      <w:divBdr>
        <w:top w:val="none" w:sz="0" w:space="0" w:color="auto"/>
        <w:left w:val="none" w:sz="0" w:space="0" w:color="auto"/>
        <w:bottom w:val="none" w:sz="0" w:space="0" w:color="auto"/>
        <w:right w:val="none" w:sz="0" w:space="0" w:color="auto"/>
      </w:divBdr>
    </w:div>
    <w:div w:id="1175266099">
      <w:bodyDiv w:val="1"/>
      <w:marLeft w:val="0"/>
      <w:marRight w:val="0"/>
      <w:marTop w:val="0"/>
      <w:marBottom w:val="0"/>
      <w:divBdr>
        <w:top w:val="none" w:sz="0" w:space="0" w:color="auto"/>
        <w:left w:val="none" w:sz="0" w:space="0" w:color="auto"/>
        <w:bottom w:val="none" w:sz="0" w:space="0" w:color="auto"/>
        <w:right w:val="none" w:sz="0" w:space="0" w:color="auto"/>
      </w:divBdr>
    </w:div>
    <w:div w:id="1179350850">
      <w:bodyDiv w:val="1"/>
      <w:marLeft w:val="0"/>
      <w:marRight w:val="0"/>
      <w:marTop w:val="0"/>
      <w:marBottom w:val="0"/>
      <w:divBdr>
        <w:top w:val="none" w:sz="0" w:space="0" w:color="auto"/>
        <w:left w:val="none" w:sz="0" w:space="0" w:color="auto"/>
        <w:bottom w:val="none" w:sz="0" w:space="0" w:color="auto"/>
        <w:right w:val="none" w:sz="0" w:space="0" w:color="auto"/>
      </w:divBdr>
    </w:div>
    <w:div w:id="1185900854">
      <w:bodyDiv w:val="1"/>
      <w:marLeft w:val="0"/>
      <w:marRight w:val="0"/>
      <w:marTop w:val="0"/>
      <w:marBottom w:val="0"/>
      <w:divBdr>
        <w:top w:val="none" w:sz="0" w:space="0" w:color="auto"/>
        <w:left w:val="none" w:sz="0" w:space="0" w:color="auto"/>
        <w:bottom w:val="none" w:sz="0" w:space="0" w:color="auto"/>
        <w:right w:val="none" w:sz="0" w:space="0" w:color="auto"/>
      </w:divBdr>
    </w:div>
    <w:div w:id="1198927032">
      <w:bodyDiv w:val="1"/>
      <w:marLeft w:val="0"/>
      <w:marRight w:val="0"/>
      <w:marTop w:val="0"/>
      <w:marBottom w:val="0"/>
      <w:divBdr>
        <w:top w:val="none" w:sz="0" w:space="0" w:color="auto"/>
        <w:left w:val="none" w:sz="0" w:space="0" w:color="auto"/>
        <w:bottom w:val="none" w:sz="0" w:space="0" w:color="auto"/>
        <w:right w:val="none" w:sz="0" w:space="0" w:color="auto"/>
      </w:divBdr>
    </w:div>
    <w:div w:id="1199855696">
      <w:bodyDiv w:val="1"/>
      <w:marLeft w:val="0"/>
      <w:marRight w:val="0"/>
      <w:marTop w:val="0"/>
      <w:marBottom w:val="0"/>
      <w:divBdr>
        <w:top w:val="none" w:sz="0" w:space="0" w:color="auto"/>
        <w:left w:val="none" w:sz="0" w:space="0" w:color="auto"/>
        <w:bottom w:val="none" w:sz="0" w:space="0" w:color="auto"/>
        <w:right w:val="none" w:sz="0" w:space="0" w:color="auto"/>
      </w:divBdr>
    </w:div>
    <w:div w:id="1206715746">
      <w:bodyDiv w:val="1"/>
      <w:marLeft w:val="0"/>
      <w:marRight w:val="0"/>
      <w:marTop w:val="0"/>
      <w:marBottom w:val="0"/>
      <w:divBdr>
        <w:top w:val="none" w:sz="0" w:space="0" w:color="auto"/>
        <w:left w:val="none" w:sz="0" w:space="0" w:color="auto"/>
        <w:bottom w:val="none" w:sz="0" w:space="0" w:color="auto"/>
        <w:right w:val="none" w:sz="0" w:space="0" w:color="auto"/>
      </w:divBdr>
    </w:div>
    <w:div w:id="1210653635">
      <w:bodyDiv w:val="1"/>
      <w:marLeft w:val="0"/>
      <w:marRight w:val="0"/>
      <w:marTop w:val="0"/>
      <w:marBottom w:val="0"/>
      <w:divBdr>
        <w:top w:val="none" w:sz="0" w:space="0" w:color="auto"/>
        <w:left w:val="none" w:sz="0" w:space="0" w:color="auto"/>
        <w:bottom w:val="none" w:sz="0" w:space="0" w:color="auto"/>
        <w:right w:val="none" w:sz="0" w:space="0" w:color="auto"/>
      </w:divBdr>
    </w:div>
    <w:div w:id="1215779558">
      <w:bodyDiv w:val="1"/>
      <w:marLeft w:val="0"/>
      <w:marRight w:val="0"/>
      <w:marTop w:val="0"/>
      <w:marBottom w:val="0"/>
      <w:divBdr>
        <w:top w:val="none" w:sz="0" w:space="0" w:color="auto"/>
        <w:left w:val="none" w:sz="0" w:space="0" w:color="auto"/>
        <w:bottom w:val="none" w:sz="0" w:space="0" w:color="auto"/>
        <w:right w:val="none" w:sz="0" w:space="0" w:color="auto"/>
      </w:divBdr>
    </w:div>
    <w:div w:id="1218123884">
      <w:bodyDiv w:val="1"/>
      <w:marLeft w:val="0"/>
      <w:marRight w:val="0"/>
      <w:marTop w:val="0"/>
      <w:marBottom w:val="0"/>
      <w:divBdr>
        <w:top w:val="none" w:sz="0" w:space="0" w:color="auto"/>
        <w:left w:val="none" w:sz="0" w:space="0" w:color="auto"/>
        <w:bottom w:val="none" w:sz="0" w:space="0" w:color="auto"/>
        <w:right w:val="none" w:sz="0" w:space="0" w:color="auto"/>
      </w:divBdr>
    </w:div>
    <w:div w:id="1219128033">
      <w:bodyDiv w:val="1"/>
      <w:marLeft w:val="0"/>
      <w:marRight w:val="0"/>
      <w:marTop w:val="0"/>
      <w:marBottom w:val="0"/>
      <w:divBdr>
        <w:top w:val="none" w:sz="0" w:space="0" w:color="auto"/>
        <w:left w:val="none" w:sz="0" w:space="0" w:color="auto"/>
        <w:bottom w:val="none" w:sz="0" w:space="0" w:color="auto"/>
        <w:right w:val="none" w:sz="0" w:space="0" w:color="auto"/>
      </w:divBdr>
    </w:div>
    <w:div w:id="1241477766">
      <w:bodyDiv w:val="1"/>
      <w:marLeft w:val="0"/>
      <w:marRight w:val="0"/>
      <w:marTop w:val="0"/>
      <w:marBottom w:val="0"/>
      <w:divBdr>
        <w:top w:val="none" w:sz="0" w:space="0" w:color="auto"/>
        <w:left w:val="none" w:sz="0" w:space="0" w:color="auto"/>
        <w:bottom w:val="none" w:sz="0" w:space="0" w:color="auto"/>
        <w:right w:val="none" w:sz="0" w:space="0" w:color="auto"/>
      </w:divBdr>
    </w:div>
    <w:div w:id="1248342315">
      <w:bodyDiv w:val="1"/>
      <w:marLeft w:val="0"/>
      <w:marRight w:val="0"/>
      <w:marTop w:val="0"/>
      <w:marBottom w:val="0"/>
      <w:divBdr>
        <w:top w:val="none" w:sz="0" w:space="0" w:color="auto"/>
        <w:left w:val="none" w:sz="0" w:space="0" w:color="auto"/>
        <w:bottom w:val="none" w:sz="0" w:space="0" w:color="auto"/>
        <w:right w:val="none" w:sz="0" w:space="0" w:color="auto"/>
      </w:divBdr>
    </w:div>
    <w:div w:id="1255628824">
      <w:bodyDiv w:val="1"/>
      <w:marLeft w:val="0"/>
      <w:marRight w:val="0"/>
      <w:marTop w:val="0"/>
      <w:marBottom w:val="0"/>
      <w:divBdr>
        <w:top w:val="none" w:sz="0" w:space="0" w:color="auto"/>
        <w:left w:val="none" w:sz="0" w:space="0" w:color="auto"/>
        <w:bottom w:val="none" w:sz="0" w:space="0" w:color="auto"/>
        <w:right w:val="none" w:sz="0" w:space="0" w:color="auto"/>
      </w:divBdr>
    </w:div>
    <w:div w:id="1258250727">
      <w:bodyDiv w:val="1"/>
      <w:marLeft w:val="0"/>
      <w:marRight w:val="0"/>
      <w:marTop w:val="0"/>
      <w:marBottom w:val="0"/>
      <w:divBdr>
        <w:top w:val="none" w:sz="0" w:space="0" w:color="auto"/>
        <w:left w:val="none" w:sz="0" w:space="0" w:color="auto"/>
        <w:bottom w:val="none" w:sz="0" w:space="0" w:color="auto"/>
        <w:right w:val="none" w:sz="0" w:space="0" w:color="auto"/>
      </w:divBdr>
    </w:div>
    <w:div w:id="1258758266">
      <w:bodyDiv w:val="1"/>
      <w:marLeft w:val="0"/>
      <w:marRight w:val="0"/>
      <w:marTop w:val="0"/>
      <w:marBottom w:val="0"/>
      <w:divBdr>
        <w:top w:val="none" w:sz="0" w:space="0" w:color="auto"/>
        <w:left w:val="none" w:sz="0" w:space="0" w:color="auto"/>
        <w:bottom w:val="none" w:sz="0" w:space="0" w:color="auto"/>
        <w:right w:val="none" w:sz="0" w:space="0" w:color="auto"/>
      </w:divBdr>
    </w:div>
    <w:div w:id="1264992862">
      <w:bodyDiv w:val="1"/>
      <w:marLeft w:val="0"/>
      <w:marRight w:val="0"/>
      <w:marTop w:val="0"/>
      <w:marBottom w:val="0"/>
      <w:divBdr>
        <w:top w:val="none" w:sz="0" w:space="0" w:color="auto"/>
        <w:left w:val="none" w:sz="0" w:space="0" w:color="auto"/>
        <w:bottom w:val="none" w:sz="0" w:space="0" w:color="auto"/>
        <w:right w:val="none" w:sz="0" w:space="0" w:color="auto"/>
      </w:divBdr>
    </w:div>
    <w:div w:id="1275820558">
      <w:bodyDiv w:val="1"/>
      <w:marLeft w:val="0"/>
      <w:marRight w:val="0"/>
      <w:marTop w:val="0"/>
      <w:marBottom w:val="0"/>
      <w:divBdr>
        <w:top w:val="none" w:sz="0" w:space="0" w:color="auto"/>
        <w:left w:val="none" w:sz="0" w:space="0" w:color="auto"/>
        <w:bottom w:val="none" w:sz="0" w:space="0" w:color="auto"/>
        <w:right w:val="none" w:sz="0" w:space="0" w:color="auto"/>
      </w:divBdr>
    </w:div>
    <w:div w:id="1275945782">
      <w:bodyDiv w:val="1"/>
      <w:marLeft w:val="0"/>
      <w:marRight w:val="0"/>
      <w:marTop w:val="0"/>
      <w:marBottom w:val="0"/>
      <w:divBdr>
        <w:top w:val="none" w:sz="0" w:space="0" w:color="auto"/>
        <w:left w:val="none" w:sz="0" w:space="0" w:color="auto"/>
        <w:bottom w:val="none" w:sz="0" w:space="0" w:color="auto"/>
        <w:right w:val="none" w:sz="0" w:space="0" w:color="auto"/>
      </w:divBdr>
    </w:div>
    <w:div w:id="1279291969">
      <w:bodyDiv w:val="1"/>
      <w:marLeft w:val="0"/>
      <w:marRight w:val="0"/>
      <w:marTop w:val="0"/>
      <w:marBottom w:val="0"/>
      <w:divBdr>
        <w:top w:val="none" w:sz="0" w:space="0" w:color="auto"/>
        <w:left w:val="none" w:sz="0" w:space="0" w:color="auto"/>
        <w:bottom w:val="none" w:sz="0" w:space="0" w:color="auto"/>
        <w:right w:val="none" w:sz="0" w:space="0" w:color="auto"/>
      </w:divBdr>
    </w:div>
    <w:div w:id="1279918737">
      <w:bodyDiv w:val="1"/>
      <w:marLeft w:val="0"/>
      <w:marRight w:val="0"/>
      <w:marTop w:val="0"/>
      <w:marBottom w:val="0"/>
      <w:divBdr>
        <w:top w:val="none" w:sz="0" w:space="0" w:color="auto"/>
        <w:left w:val="none" w:sz="0" w:space="0" w:color="auto"/>
        <w:bottom w:val="none" w:sz="0" w:space="0" w:color="auto"/>
        <w:right w:val="none" w:sz="0" w:space="0" w:color="auto"/>
      </w:divBdr>
    </w:div>
    <w:div w:id="1303920508">
      <w:bodyDiv w:val="1"/>
      <w:marLeft w:val="0"/>
      <w:marRight w:val="0"/>
      <w:marTop w:val="0"/>
      <w:marBottom w:val="0"/>
      <w:divBdr>
        <w:top w:val="none" w:sz="0" w:space="0" w:color="auto"/>
        <w:left w:val="none" w:sz="0" w:space="0" w:color="auto"/>
        <w:bottom w:val="none" w:sz="0" w:space="0" w:color="auto"/>
        <w:right w:val="none" w:sz="0" w:space="0" w:color="auto"/>
      </w:divBdr>
    </w:div>
    <w:div w:id="1325161731">
      <w:bodyDiv w:val="1"/>
      <w:marLeft w:val="0"/>
      <w:marRight w:val="0"/>
      <w:marTop w:val="0"/>
      <w:marBottom w:val="0"/>
      <w:divBdr>
        <w:top w:val="none" w:sz="0" w:space="0" w:color="auto"/>
        <w:left w:val="none" w:sz="0" w:space="0" w:color="auto"/>
        <w:bottom w:val="none" w:sz="0" w:space="0" w:color="auto"/>
        <w:right w:val="none" w:sz="0" w:space="0" w:color="auto"/>
      </w:divBdr>
    </w:div>
    <w:div w:id="1346133280">
      <w:bodyDiv w:val="1"/>
      <w:marLeft w:val="0"/>
      <w:marRight w:val="0"/>
      <w:marTop w:val="0"/>
      <w:marBottom w:val="0"/>
      <w:divBdr>
        <w:top w:val="none" w:sz="0" w:space="0" w:color="auto"/>
        <w:left w:val="none" w:sz="0" w:space="0" w:color="auto"/>
        <w:bottom w:val="none" w:sz="0" w:space="0" w:color="auto"/>
        <w:right w:val="none" w:sz="0" w:space="0" w:color="auto"/>
      </w:divBdr>
    </w:div>
    <w:div w:id="1360660229">
      <w:bodyDiv w:val="1"/>
      <w:marLeft w:val="0"/>
      <w:marRight w:val="0"/>
      <w:marTop w:val="0"/>
      <w:marBottom w:val="0"/>
      <w:divBdr>
        <w:top w:val="none" w:sz="0" w:space="0" w:color="auto"/>
        <w:left w:val="none" w:sz="0" w:space="0" w:color="auto"/>
        <w:bottom w:val="none" w:sz="0" w:space="0" w:color="auto"/>
        <w:right w:val="none" w:sz="0" w:space="0" w:color="auto"/>
      </w:divBdr>
    </w:div>
    <w:div w:id="1365324527">
      <w:bodyDiv w:val="1"/>
      <w:marLeft w:val="0"/>
      <w:marRight w:val="0"/>
      <w:marTop w:val="0"/>
      <w:marBottom w:val="0"/>
      <w:divBdr>
        <w:top w:val="none" w:sz="0" w:space="0" w:color="auto"/>
        <w:left w:val="none" w:sz="0" w:space="0" w:color="auto"/>
        <w:bottom w:val="none" w:sz="0" w:space="0" w:color="auto"/>
        <w:right w:val="none" w:sz="0" w:space="0" w:color="auto"/>
      </w:divBdr>
    </w:div>
    <w:div w:id="1365473701">
      <w:bodyDiv w:val="1"/>
      <w:marLeft w:val="0"/>
      <w:marRight w:val="0"/>
      <w:marTop w:val="0"/>
      <w:marBottom w:val="0"/>
      <w:divBdr>
        <w:top w:val="none" w:sz="0" w:space="0" w:color="auto"/>
        <w:left w:val="none" w:sz="0" w:space="0" w:color="auto"/>
        <w:bottom w:val="none" w:sz="0" w:space="0" w:color="auto"/>
        <w:right w:val="none" w:sz="0" w:space="0" w:color="auto"/>
      </w:divBdr>
    </w:div>
    <w:div w:id="1391609059">
      <w:bodyDiv w:val="1"/>
      <w:marLeft w:val="0"/>
      <w:marRight w:val="0"/>
      <w:marTop w:val="0"/>
      <w:marBottom w:val="0"/>
      <w:divBdr>
        <w:top w:val="none" w:sz="0" w:space="0" w:color="auto"/>
        <w:left w:val="none" w:sz="0" w:space="0" w:color="auto"/>
        <w:bottom w:val="none" w:sz="0" w:space="0" w:color="auto"/>
        <w:right w:val="none" w:sz="0" w:space="0" w:color="auto"/>
      </w:divBdr>
    </w:div>
    <w:div w:id="1399551130">
      <w:bodyDiv w:val="1"/>
      <w:marLeft w:val="0"/>
      <w:marRight w:val="0"/>
      <w:marTop w:val="0"/>
      <w:marBottom w:val="0"/>
      <w:divBdr>
        <w:top w:val="none" w:sz="0" w:space="0" w:color="auto"/>
        <w:left w:val="none" w:sz="0" w:space="0" w:color="auto"/>
        <w:bottom w:val="none" w:sz="0" w:space="0" w:color="auto"/>
        <w:right w:val="none" w:sz="0" w:space="0" w:color="auto"/>
      </w:divBdr>
    </w:div>
    <w:div w:id="1401905631">
      <w:bodyDiv w:val="1"/>
      <w:marLeft w:val="0"/>
      <w:marRight w:val="0"/>
      <w:marTop w:val="0"/>
      <w:marBottom w:val="0"/>
      <w:divBdr>
        <w:top w:val="none" w:sz="0" w:space="0" w:color="auto"/>
        <w:left w:val="none" w:sz="0" w:space="0" w:color="auto"/>
        <w:bottom w:val="none" w:sz="0" w:space="0" w:color="auto"/>
        <w:right w:val="none" w:sz="0" w:space="0" w:color="auto"/>
      </w:divBdr>
    </w:div>
    <w:div w:id="1423064586">
      <w:bodyDiv w:val="1"/>
      <w:marLeft w:val="0"/>
      <w:marRight w:val="0"/>
      <w:marTop w:val="0"/>
      <w:marBottom w:val="0"/>
      <w:divBdr>
        <w:top w:val="none" w:sz="0" w:space="0" w:color="auto"/>
        <w:left w:val="none" w:sz="0" w:space="0" w:color="auto"/>
        <w:bottom w:val="none" w:sz="0" w:space="0" w:color="auto"/>
        <w:right w:val="none" w:sz="0" w:space="0" w:color="auto"/>
      </w:divBdr>
    </w:div>
    <w:div w:id="1426728045">
      <w:bodyDiv w:val="1"/>
      <w:marLeft w:val="0"/>
      <w:marRight w:val="0"/>
      <w:marTop w:val="0"/>
      <w:marBottom w:val="0"/>
      <w:divBdr>
        <w:top w:val="none" w:sz="0" w:space="0" w:color="auto"/>
        <w:left w:val="none" w:sz="0" w:space="0" w:color="auto"/>
        <w:bottom w:val="none" w:sz="0" w:space="0" w:color="auto"/>
        <w:right w:val="none" w:sz="0" w:space="0" w:color="auto"/>
      </w:divBdr>
    </w:div>
    <w:div w:id="1431852702">
      <w:bodyDiv w:val="1"/>
      <w:marLeft w:val="0"/>
      <w:marRight w:val="0"/>
      <w:marTop w:val="0"/>
      <w:marBottom w:val="0"/>
      <w:divBdr>
        <w:top w:val="none" w:sz="0" w:space="0" w:color="auto"/>
        <w:left w:val="none" w:sz="0" w:space="0" w:color="auto"/>
        <w:bottom w:val="none" w:sz="0" w:space="0" w:color="auto"/>
        <w:right w:val="none" w:sz="0" w:space="0" w:color="auto"/>
      </w:divBdr>
    </w:div>
    <w:div w:id="1434203777">
      <w:bodyDiv w:val="1"/>
      <w:marLeft w:val="0"/>
      <w:marRight w:val="0"/>
      <w:marTop w:val="0"/>
      <w:marBottom w:val="0"/>
      <w:divBdr>
        <w:top w:val="none" w:sz="0" w:space="0" w:color="auto"/>
        <w:left w:val="none" w:sz="0" w:space="0" w:color="auto"/>
        <w:bottom w:val="none" w:sz="0" w:space="0" w:color="auto"/>
        <w:right w:val="none" w:sz="0" w:space="0" w:color="auto"/>
      </w:divBdr>
    </w:div>
    <w:div w:id="1435898708">
      <w:bodyDiv w:val="1"/>
      <w:marLeft w:val="0"/>
      <w:marRight w:val="0"/>
      <w:marTop w:val="0"/>
      <w:marBottom w:val="0"/>
      <w:divBdr>
        <w:top w:val="none" w:sz="0" w:space="0" w:color="auto"/>
        <w:left w:val="none" w:sz="0" w:space="0" w:color="auto"/>
        <w:bottom w:val="none" w:sz="0" w:space="0" w:color="auto"/>
        <w:right w:val="none" w:sz="0" w:space="0" w:color="auto"/>
      </w:divBdr>
    </w:div>
    <w:div w:id="1436949425">
      <w:bodyDiv w:val="1"/>
      <w:marLeft w:val="0"/>
      <w:marRight w:val="0"/>
      <w:marTop w:val="0"/>
      <w:marBottom w:val="0"/>
      <w:divBdr>
        <w:top w:val="none" w:sz="0" w:space="0" w:color="auto"/>
        <w:left w:val="none" w:sz="0" w:space="0" w:color="auto"/>
        <w:bottom w:val="none" w:sz="0" w:space="0" w:color="auto"/>
        <w:right w:val="none" w:sz="0" w:space="0" w:color="auto"/>
      </w:divBdr>
    </w:div>
    <w:div w:id="1447042510">
      <w:bodyDiv w:val="1"/>
      <w:marLeft w:val="0"/>
      <w:marRight w:val="0"/>
      <w:marTop w:val="0"/>
      <w:marBottom w:val="0"/>
      <w:divBdr>
        <w:top w:val="none" w:sz="0" w:space="0" w:color="auto"/>
        <w:left w:val="none" w:sz="0" w:space="0" w:color="auto"/>
        <w:bottom w:val="none" w:sz="0" w:space="0" w:color="auto"/>
        <w:right w:val="none" w:sz="0" w:space="0" w:color="auto"/>
      </w:divBdr>
    </w:div>
    <w:div w:id="1447579508">
      <w:bodyDiv w:val="1"/>
      <w:marLeft w:val="0"/>
      <w:marRight w:val="0"/>
      <w:marTop w:val="0"/>
      <w:marBottom w:val="0"/>
      <w:divBdr>
        <w:top w:val="none" w:sz="0" w:space="0" w:color="auto"/>
        <w:left w:val="none" w:sz="0" w:space="0" w:color="auto"/>
        <w:bottom w:val="none" w:sz="0" w:space="0" w:color="auto"/>
        <w:right w:val="none" w:sz="0" w:space="0" w:color="auto"/>
      </w:divBdr>
    </w:div>
    <w:div w:id="1463770503">
      <w:bodyDiv w:val="1"/>
      <w:marLeft w:val="0"/>
      <w:marRight w:val="0"/>
      <w:marTop w:val="0"/>
      <w:marBottom w:val="0"/>
      <w:divBdr>
        <w:top w:val="none" w:sz="0" w:space="0" w:color="auto"/>
        <w:left w:val="none" w:sz="0" w:space="0" w:color="auto"/>
        <w:bottom w:val="none" w:sz="0" w:space="0" w:color="auto"/>
        <w:right w:val="none" w:sz="0" w:space="0" w:color="auto"/>
      </w:divBdr>
    </w:div>
    <w:div w:id="1468357187">
      <w:bodyDiv w:val="1"/>
      <w:marLeft w:val="0"/>
      <w:marRight w:val="0"/>
      <w:marTop w:val="0"/>
      <w:marBottom w:val="0"/>
      <w:divBdr>
        <w:top w:val="none" w:sz="0" w:space="0" w:color="auto"/>
        <w:left w:val="none" w:sz="0" w:space="0" w:color="auto"/>
        <w:bottom w:val="none" w:sz="0" w:space="0" w:color="auto"/>
        <w:right w:val="none" w:sz="0" w:space="0" w:color="auto"/>
      </w:divBdr>
    </w:div>
    <w:div w:id="1477256322">
      <w:bodyDiv w:val="1"/>
      <w:marLeft w:val="0"/>
      <w:marRight w:val="0"/>
      <w:marTop w:val="0"/>
      <w:marBottom w:val="0"/>
      <w:divBdr>
        <w:top w:val="none" w:sz="0" w:space="0" w:color="auto"/>
        <w:left w:val="none" w:sz="0" w:space="0" w:color="auto"/>
        <w:bottom w:val="none" w:sz="0" w:space="0" w:color="auto"/>
        <w:right w:val="none" w:sz="0" w:space="0" w:color="auto"/>
      </w:divBdr>
    </w:div>
    <w:div w:id="1482305722">
      <w:bodyDiv w:val="1"/>
      <w:marLeft w:val="0"/>
      <w:marRight w:val="0"/>
      <w:marTop w:val="0"/>
      <w:marBottom w:val="0"/>
      <w:divBdr>
        <w:top w:val="none" w:sz="0" w:space="0" w:color="auto"/>
        <w:left w:val="none" w:sz="0" w:space="0" w:color="auto"/>
        <w:bottom w:val="none" w:sz="0" w:space="0" w:color="auto"/>
        <w:right w:val="none" w:sz="0" w:space="0" w:color="auto"/>
      </w:divBdr>
    </w:div>
    <w:div w:id="1487359951">
      <w:bodyDiv w:val="1"/>
      <w:marLeft w:val="0"/>
      <w:marRight w:val="0"/>
      <w:marTop w:val="0"/>
      <w:marBottom w:val="0"/>
      <w:divBdr>
        <w:top w:val="none" w:sz="0" w:space="0" w:color="auto"/>
        <w:left w:val="none" w:sz="0" w:space="0" w:color="auto"/>
        <w:bottom w:val="none" w:sz="0" w:space="0" w:color="auto"/>
        <w:right w:val="none" w:sz="0" w:space="0" w:color="auto"/>
      </w:divBdr>
    </w:div>
    <w:div w:id="1507668063">
      <w:bodyDiv w:val="1"/>
      <w:marLeft w:val="0"/>
      <w:marRight w:val="0"/>
      <w:marTop w:val="0"/>
      <w:marBottom w:val="0"/>
      <w:divBdr>
        <w:top w:val="none" w:sz="0" w:space="0" w:color="auto"/>
        <w:left w:val="none" w:sz="0" w:space="0" w:color="auto"/>
        <w:bottom w:val="none" w:sz="0" w:space="0" w:color="auto"/>
        <w:right w:val="none" w:sz="0" w:space="0" w:color="auto"/>
      </w:divBdr>
    </w:div>
    <w:div w:id="1542160083">
      <w:bodyDiv w:val="1"/>
      <w:marLeft w:val="0"/>
      <w:marRight w:val="0"/>
      <w:marTop w:val="0"/>
      <w:marBottom w:val="0"/>
      <w:divBdr>
        <w:top w:val="none" w:sz="0" w:space="0" w:color="auto"/>
        <w:left w:val="none" w:sz="0" w:space="0" w:color="auto"/>
        <w:bottom w:val="none" w:sz="0" w:space="0" w:color="auto"/>
        <w:right w:val="none" w:sz="0" w:space="0" w:color="auto"/>
      </w:divBdr>
    </w:div>
    <w:div w:id="1551453612">
      <w:bodyDiv w:val="1"/>
      <w:marLeft w:val="0"/>
      <w:marRight w:val="0"/>
      <w:marTop w:val="0"/>
      <w:marBottom w:val="0"/>
      <w:divBdr>
        <w:top w:val="none" w:sz="0" w:space="0" w:color="auto"/>
        <w:left w:val="none" w:sz="0" w:space="0" w:color="auto"/>
        <w:bottom w:val="none" w:sz="0" w:space="0" w:color="auto"/>
        <w:right w:val="none" w:sz="0" w:space="0" w:color="auto"/>
      </w:divBdr>
    </w:div>
    <w:div w:id="1551574925">
      <w:bodyDiv w:val="1"/>
      <w:marLeft w:val="0"/>
      <w:marRight w:val="0"/>
      <w:marTop w:val="0"/>
      <w:marBottom w:val="0"/>
      <w:divBdr>
        <w:top w:val="none" w:sz="0" w:space="0" w:color="auto"/>
        <w:left w:val="none" w:sz="0" w:space="0" w:color="auto"/>
        <w:bottom w:val="none" w:sz="0" w:space="0" w:color="auto"/>
        <w:right w:val="none" w:sz="0" w:space="0" w:color="auto"/>
      </w:divBdr>
    </w:div>
    <w:div w:id="1555121350">
      <w:bodyDiv w:val="1"/>
      <w:marLeft w:val="0"/>
      <w:marRight w:val="0"/>
      <w:marTop w:val="0"/>
      <w:marBottom w:val="0"/>
      <w:divBdr>
        <w:top w:val="none" w:sz="0" w:space="0" w:color="auto"/>
        <w:left w:val="none" w:sz="0" w:space="0" w:color="auto"/>
        <w:bottom w:val="none" w:sz="0" w:space="0" w:color="auto"/>
        <w:right w:val="none" w:sz="0" w:space="0" w:color="auto"/>
      </w:divBdr>
    </w:div>
    <w:div w:id="1557618576">
      <w:bodyDiv w:val="1"/>
      <w:marLeft w:val="0"/>
      <w:marRight w:val="0"/>
      <w:marTop w:val="0"/>
      <w:marBottom w:val="0"/>
      <w:divBdr>
        <w:top w:val="none" w:sz="0" w:space="0" w:color="auto"/>
        <w:left w:val="none" w:sz="0" w:space="0" w:color="auto"/>
        <w:bottom w:val="none" w:sz="0" w:space="0" w:color="auto"/>
        <w:right w:val="none" w:sz="0" w:space="0" w:color="auto"/>
      </w:divBdr>
    </w:div>
    <w:div w:id="1559130213">
      <w:bodyDiv w:val="1"/>
      <w:marLeft w:val="0"/>
      <w:marRight w:val="0"/>
      <w:marTop w:val="0"/>
      <w:marBottom w:val="0"/>
      <w:divBdr>
        <w:top w:val="none" w:sz="0" w:space="0" w:color="auto"/>
        <w:left w:val="none" w:sz="0" w:space="0" w:color="auto"/>
        <w:bottom w:val="none" w:sz="0" w:space="0" w:color="auto"/>
        <w:right w:val="none" w:sz="0" w:space="0" w:color="auto"/>
      </w:divBdr>
    </w:div>
    <w:div w:id="1568764761">
      <w:bodyDiv w:val="1"/>
      <w:marLeft w:val="0"/>
      <w:marRight w:val="0"/>
      <w:marTop w:val="0"/>
      <w:marBottom w:val="0"/>
      <w:divBdr>
        <w:top w:val="none" w:sz="0" w:space="0" w:color="auto"/>
        <w:left w:val="none" w:sz="0" w:space="0" w:color="auto"/>
        <w:bottom w:val="none" w:sz="0" w:space="0" w:color="auto"/>
        <w:right w:val="none" w:sz="0" w:space="0" w:color="auto"/>
      </w:divBdr>
    </w:div>
    <w:div w:id="1569488265">
      <w:bodyDiv w:val="1"/>
      <w:marLeft w:val="0"/>
      <w:marRight w:val="0"/>
      <w:marTop w:val="0"/>
      <w:marBottom w:val="0"/>
      <w:divBdr>
        <w:top w:val="none" w:sz="0" w:space="0" w:color="auto"/>
        <w:left w:val="none" w:sz="0" w:space="0" w:color="auto"/>
        <w:bottom w:val="none" w:sz="0" w:space="0" w:color="auto"/>
        <w:right w:val="none" w:sz="0" w:space="0" w:color="auto"/>
      </w:divBdr>
    </w:div>
    <w:div w:id="1577978660">
      <w:bodyDiv w:val="1"/>
      <w:marLeft w:val="0"/>
      <w:marRight w:val="0"/>
      <w:marTop w:val="0"/>
      <w:marBottom w:val="0"/>
      <w:divBdr>
        <w:top w:val="none" w:sz="0" w:space="0" w:color="auto"/>
        <w:left w:val="none" w:sz="0" w:space="0" w:color="auto"/>
        <w:bottom w:val="none" w:sz="0" w:space="0" w:color="auto"/>
        <w:right w:val="none" w:sz="0" w:space="0" w:color="auto"/>
      </w:divBdr>
    </w:div>
    <w:div w:id="1578828062">
      <w:bodyDiv w:val="1"/>
      <w:marLeft w:val="0"/>
      <w:marRight w:val="0"/>
      <w:marTop w:val="0"/>
      <w:marBottom w:val="0"/>
      <w:divBdr>
        <w:top w:val="none" w:sz="0" w:space="0" w:color="auto"/>
        <w:left w:val="none" w:sz="0" w:space="0" w:color="auto"/>
        <w:bottom w:val="none" w:sz="0" w:space="0" w:color="auto"/>
        <w:right w:val="none" w:sz="0" w:space="0" w:color="auto"/>
      </w:divBdr>
    </w:div>
    <w:div w:id="1580410500">
      <w:bodyDiv w:val="1"/>
      <w:marLeft w:val="0"/>
      <w:marRight w:val="0"/>
      <w:marTop w:val="0"/>
      <w:marBottom w:val="0"/>
      <w:divBdr>
        <w:top w:val="none" w:sz="0" w:space="0" w:color="auto"/>
        <w:left w:val="none" w:sz="0" w:space="0" w:color="auto"/>
        <w:bottom w:val="none" w:sz="0" w:space="0" w:color="auto"/>
        <w:right w:val="none" w:sz="0" w:space="0" w:color="auto"/>
      </w:divBdr>
    </w:div>
    <w:div w:id="1592006906">
      <w:bodyDiv w:val="1"/>
      <w:marLeft w:val="0"/>
      <w:marRight w:val="0"/>
      <w:marTop w:val="0"/>
      <w:marBottom w:val="0"/>
      <w:divBdr>
        <w:top w:val="none" w:sz="0" w:space="0" w:color="auto"/>
        <w:left w:val="none" w:sz="0" w:space="0" w:color="auto"/>
        <w:bottom w:val="none" w:sz="0" w:space="0" w:color="auto"/>
        <w:right w:val="none" w:sz="0" w:space="0" w:color="auto"/>
      </w:divBdr>
    </w:div>
    <w:div w:id="1598514544">
      <w:bodyDiv w:val="1"/>
      <w:marLeft w:val="0"/>
      <w:marRight w:val="0"/>
      <w:marTop w:val="0"/>
      <w:marBottom w:val="0"/>
      <w:divBdr>
        <w:top w:val="none" w:sz="0" w:space="0" w:color="auto"/>
        <w:left w:val="none" w:sz="0" w:space="0" w:color="auto"/>
        <w:bottom w:val="none" w:sz="0" w:space="0" w:color="auto"/>
        <w:right w:val="none" w:sz="0" w:space="0" w:color="auto"/>
      </w:divBdr>
    </w:div>
    <w:div w:id="1606115599">
      <w:bodyDiv w:val="1"/>
      <w:marLeft w:val="0"/>
      <w:marRight w:val="0"/>
      <w:marTop w:val="0"/>
      <w:marBottom w:val="0"/>
      <w:divBdr>
        <w:top w:val="none" w:sz="0" w:space="0" w:color="auto"/>
        <w:left w:val="none" w:sz="0" w:space="0" w:color="auto"/>
        <w:bottom w:val="none" w:sz="0" w:space="0" w:color="auto"/>
        <w:right w:val="none" w:sz="0" w:space="0" w:color="auto"/>
      </w:divBdr>
    </w:div>
    <w:div w:id="1607730353">
      <w:bodyDiv w:val="1"/>
      <w:marLeft w:val="0"/>
      <w:marRight w:val="0"/>
      <w:marTop w:val="0"/>
      <w:marBottom w:val="0"/>
      <w:divBdr>
        <w:top w:val="none" w:sz="0" w:space="0" w:color="auto"/>
        <w:left w:val="none" w:sz="0" w:space="0" w:color="auto"/>
        <w:bottom w:val="none" w:sz="0" w:space="0" w:color="auto"/>
        <w:right w:val="none" w:sz="0" w:space="0" w:color="auto"/>
      </w:divBdr>
    </w:div>
    <w:div w:id="1612199624">
      <w:bodyDiv w:val="1"/>
      <w:marLeft w:val="0"/>
      <w:marRight w:val="0"/>
      <w:marTop w:val="0"/>
      <w:marBottom w:val="0"/>
      <w:divBdr>
        <w:top w:val="none" w:sz="0" w:space="0" w:color="auto"/>
        <w:left w:val="none" w:sz="0" w:space="0" w:color="auto"/>
        <w:bottom w:val="none" w:sz="0" w:space="0" w:color="auto"/>
        <w:right w:val="none" w:sz="0" w:space="0" w:color="auto"/>
      </w:divBdr>
    </w:div>
    <w:div w:id="1613171204">
      <w:bodyDiv w:val="1"/>
      <w:marLeft w:val="0"/>
      <w:marRight w:val="0"/>
      <w:marTop w:val="0"/>
      <w:marBottom w:val="0"/>
      <w:divBdr>
        <w:top w:val="none" w:sz="0" w:space="0" w:color="auto"/>
        <w:left w:val="none" w:sz="0" w:space="0" w:color="auto"/>
        <w:bottom w:val="none" w:sz="0" w:space="0" w:color="auto"/>
        <w:right w:val="none" w:sz="0" w:space="0" w:color="auto"/>
      </w:divBdr>
    </w:div>
    <w:div w:id="1614247283">
      <w:bodyDiv w:val="1"/>
      <w:marLeft w:val="0"/>
      <w:marRight w:val="0"/>
      <w:marTop w:val="0"/>
      <w:marBottom w:val="0"/>
      <w:divBdr>
        <w:top w:val="none" w:sz="0" w:space="0" w:color="auto"/>
        <w:left w:val="none" w:sz="0" w:space="0" w:color="auto"/>
        <w:bottom w:val="none" w:sz="0" w:space="0" w:color="auto"/>
        <w:right w:val="none" w:sz="0" w:space="0" w:color="auto"/>
      </w:divBdr>
    </w:div>
    <w:div w:id="1615669510">
      <w:bodyDiv w:val="1"/>
      <w:marLeft w:val="0"/>
      <w:marRight w:val="0"/>
      <w:marTop w:val="0"/>
      <w:marBottom w:val="0"/>
      <w:divBdr>
        <w:top w:val="none" w:sz="0" w:space="0" w:color="auto"/>
        <w:left w:val="none" w:sz="0" w:space="0" w:color="auto"/>
        <w:bottom w:val="none" w:sz="0" w:space="0" w:color="auto"/>
        <w:right w:val="none" w:sz="0" w:space="0" w:color="auto"/>
      </w:divBdr>
    </w:div>
    <w:div w:id="1627353160">
      <w:bodyDiv w:val="1"/>
      <w:marLeft w:val="0"/>
      <w:marRight w:val="0"/>
      <w:marTop w:val="0"/>
      <w:marBottom w:val="0"/>
      <w:divBdr>
        <w:top w:val="none" w:sz="0" w:space="0" w:color="auto"/>
        <w:left w:val="none" w:sz="0" w:space="0" w:color="auto"/>
        <w:bottom w:val="none" w:sz="0" w:space="0" w:color="auto"/>
        <w:right w:val="none" w:sz="0" w:space="0" w:color="auto"/>
      </w:divBdr>
    </w:div>
    <w:div w:id="1627811158">
      <w:bodyDiv w:val="1"/>
      <w:marLeft w:val="0"/>
      <w:marRight w:val="0"/>
      <w:marTop w:val="0"/>
      <w:marBottom w:val="0"/>
      <w:divBdr>
        <w:top w:val="none" w:sz="0" w:space="0" w:color="auto"/>
        <w:left w:val="none" w:sz="0" w:space="0" w:color="auto"/>
        <w:bottom w:val="none" w:sz="0" w:space="0" w:color="auto"/>
        <w:right w:val="none" w:sz="0" w:space="0" w:color="auto"/>
      </w:divBdr>
    </w:div>
    <w:div w:id="1629162241">
      <w:bodyDiv w:val="1"/>
      <w:marLeft w:val="0"/>
      <w:marRight w:val="0"/>
      <w:marTop w:val="0"/>
      <w:marBottom w:val="0"/>
      <w:divBdr>
        <w:top w:val="none" w:sz="0" w:space="0" w:color="auto"/>
        <w:left w:val="none" w:sz="0" w:space="0" w:color="auto"/>
        <w:bottom w:val="none" w:sz="0" w:space="0" w:color="auto"/>
        <w:right w:val="none" w:sz="0" w:space="0" w:color="auto"/>
      </w:divBdr>
    </w:div>
    <w:div w:id="1630863606">
      <w:bodyDiv w:val="1"/>
      <w:marLeft w:val="0"/>
      <w:marRight w:val="0"/>
      <w:marTop w:val="0"/>
      <w:marBottom w:val="0"/>
      <w:divBdr>
        <w:top w:val="none" w:sz="0" w:space="0" w:color="auto"/>
        <w:left w:val="none" w:sz="0" w:space="0" w:color="auto"/>
        <w:bottom w:val="none" w:sz="0" w:space="0" w:color="auto"/>
        <w:right w:val="none" w:sz="0" w:space="0" w:color="auto"/>
      </w:divBdr>
    </w:div>
    <w:div w:id="1634675817">
      <w:bodyDiv w:val="1"/>
      <w:marLeft w:val="0"/>
      <w:marRight w:val="0"/>
      <w:marTop w:val="0"/>
      <w:marBottom w:val="0"/>
      <w:divBdr>
        <w:top w:val="none" w:sz="0" w:space="0" w:color="auto"/>
        <w:left w:val="none" w:sz="0" w:space="0" w:color="auto"/>
        <w:bottom w:val="none" w:sz="0" w:space="0" w:color="auto"/>
        <w:right w:val="none" w:sz="0" w:space="0" w:color="auto"/>
      </w:divBdr>
    </w:div>
    <w:div w:id="1636445308">
      <w:bodyDiv w:val="1"/>
      <w:marLeft w:val="0"/>
      <w:marRight w:val="0"/>
      <w:marTop w:val="0"/>
      <w:marBottom w:val="0"/>
      <w:divBdr>
        <w:top w:val="none" w:sz="0" w:space="0" w:color="auto"/>
        <w:left w:val="none" w:sz="0" w:space="0" w:color="auto"/>
        <w:bottom w:val="none" w:sz="0" w:space="0" w:color="auto"/>
        <w:right w:val="none" w:sz="0" w:space="0" w:color="auto"/>
      </w:divBdr>
    </w:div>
    <w:div w:id="1662931664">
      <w:bodyDiv w:val="1"/>
      <w:marLeft w:val="0"/>
      <w:marRight w:val="0"/>
      <w:marTop w:val="0"/>
      <w:marBottom w:val="0"/>
      <w:divBdr>
        <w:top w:val="none" w:sz="0" w:space="0" w:color="auto"/>
        <w:left w:val="none" w:sz="0" w:space="0" w:color="auto"/>
        <w:bottom w:val="none" w:sz="0" w:space="0" w:color="auto"/>
        <w:right w:val="none" w:sz="0" w:space="0" w:color="auto"/>
      </w:divBdr>
    </w:div>
    <w:div w:id="1666276179">
      <w:bodyDiv w:val="1"/>
      <w:marLeft w:val="0"/>
      <w:marRight w:val="0"/>
      <w:marTop w:val="0"/>
      <w:marBottom w:val="0"/>
      <w:divBdr>
        <w:top w:val="none" w:sz="0" w:space="0" w:color="auto"/>
        <w:left w:val="none" w:sz="0" w:space="0" w:color="auto"/>
        <w:bottom w:val="none" w:sz="0" w:space="0" w:color="auto"/>
        <w:right w:val="none" w:sz="0" w:space="0" w:color="auto"/>
      </w:divBdr>
    </w:div>
    <w:div w:id="1683968973">
      <w:bodyDiv w:val="1"/>
      <w:marLeft w:val="0"/>
      <w:marRight w:val="0"/>
      <w:marTop w:val="0"/>
      <w:marBottom w:val="0"/>
      <w:divBdr>
        <w:top w:val="none" w:sz="0" w:space="0" w:color="auto"/>
        <w:left w:val="none" w:sz="0" w:space="0" w:color="auto"/>
        <w:bottom w:val="none" w:sz="0" w:space="0" w:color="auto"/>
        <w:right w:val="none" w:sz="0" w:space="0" w:color="auto"/>
      </w:divBdr>
    </w:div>
    <w:div w:id="1687749050">
      <w:bodyDiv w:val="1"/>
      <w:marLeft w:val="0"/>
      <w:marRight w:val="0"/>
      <w:marTop w:val="0"/>
      <w:marBottom w:val="0"/>
      <w:divBdr>
        <w:top w:val="none" w:sz="0" w:space="0" w:color="auto"/>
        <w:left w:val="none" w:sz="0" w:space="0" w:color="auto"/>
        <w:bottom w:val="none" w:sz="0" w:space="0" w:color="auto"/>
        <w:right w:val="none" w:sz="0" w:space="0" w:color="auto"/>
      </w:divBdr>
    </w:div>
    <w:div w:id="1688748070">
      <w:bodyDiv w:val="1"/>
      <w:marLeft w:val="0"/>
      <w:marRight w:val="0"/>
      <w:marTop w:val="0"/>
      <w:marBottom w:val="0"/>
      <w:divBdr>
        <w:top w:val="none" w:sz="0" w:space="0" w:color="auto"/>
        <w:left w:val="none" w:sz="0" w:space="0" w:color="auto"/>
        <w:bottom w:val="none" w:sz="0" w:space="0" w:color="auto"/>
        <w:right w:val="none" w:sz="0" w:space="0" w:color="auto"/>
      </w:divBdr>
    </w:div>
    <w:div w:id="1702314098">
      <w:bodyDiv w:val="1"/>
      <w:marLeft w:val="0"/>
      <w:marRight w:val="0"/>
      <w:marTop w:val="0"/>
      <w:marBottom w:val="0"/>
      <w:divBdr>
        <w:top w:val="none" w:sz="0" w:space="0" w:color="auto"/>
        <w:left w:val="none" w:sz="0" w:space="0" w:color="auto"/>
        <w:bottom w:val="none" w:sz="0" w:space="0" w:color="auto"/>
        <w:right w:val="none" w:sz="0" w:space="0" w:color="auto"/>
      </w:divBdr>
    </w:div>
    <w:div w:id="1716079037">
      <w:bodyDiv w:val="1"/>
      <w:marLeft w:val="0"/>
      <w:marRight w:val="0"/>
      <w:marTop w:val="0"/>
      <w:marBottom w:val="0"/>
      <w:divBdr>
        <w:top w:val="none" w:sz="0" w:space="0" w:color="auto"/>
        <w:left w:val="none" w:sz="0" w:space="0" w:color="auto"/>
        <w:bottom w:val="none" w:sz="0" w:space="0" w:color="auto"/>
        <w:right w:val="none" w:sz="0" w:space="0" w:color="auto"/>
      </w:divBdr>
    </w:div>
    <w:div w:id="1719012969">
      <w:bodyDiv w:val="1"/>
      <w:marLeft w:val="0"/>
      <w:marRight w:val="0"/>
      <w:marTop w:val="0"/>
      <w:marBottom w:val="0"/>
      <w:divBdr>
        <w:top w:val="none" w:sz="0" w:space="0" w:color="auto"/>
        <w:left w:val="none" w:sz="0" w:space="0" w:color="auto"/>
        <w:bottom w:val="none" w:sz="0" w:space="0" w:color="auto"/>
        <w:right w:val="none" w:sz="0" w:space="0" w:color="auto"/>
      </w:divBdr>
    </w:div>
    <w:div w:id="1720129641">
      <w:bodyDiv w:val="1"/>
      <w:marLeft w:val="0"/>
      <w:marRight w:val="0"/>
      <w:marTop w:val="0"/>
      <w:marBottom w:val="0"/>
      <w:divBdr>
        <w:top w:val="none" w:sz="0" w:space="0" w:color="auto"/>
        <w:left w:val="none" w:sz="0" w:space="0" w:color="auto"/>
        <w:bottom w:val="none" w:sz="0" w:space="0" w:color="auto"/>
        <w:right w:val="none" w:sz="0" w:space="0" w:color="auto"/>
      </w:divBdr>
    </w:div>
    <w:div w:id="1749571253">
      <w:bodyDiv w:val="1"/>
      <w:marLeft w:val="0"/>
      <w:marRight w:val="0"/>
      <w:marTop w:val="0"/>
      <w:marBottom w:val="0"/>
      <w:divBdr>
        <w:top w:val="none" w:sz="0" w:space="0" w:color="auto"/>
        <w:left w:val="none" w:sz="0" w:space="0" w:color="auto"/>
        <w:bottom w:val="none" w:sz="0" w:space="0" w:color="auto"/>
        <w:right w:val="none" w:sz="0" w:space="0" w:color="auto"/>
      </w:divBdr>
    </w:div>
    <w:div w:id="1763792875">
      <w:bodyDiv w:val="1"/>
      <w:marLeft w:val="0"/>
      <w:marRight w:val="0"/>
      <w:marTop w:val="0"/>
      <w:marBottom w:val="0"/>
      <w:divBdr>
        <w:top w:val="none" w:sz="0" w:space="0" w:color="auto"/>
        <w:left w:val="none" w:sz="0" w:space="0" w:color="auto"/>
        <w:bottom w:val="none" w:sz="0" w:space="0" w:color="auto"/>
        <w:right w:val="none" w:sz="0" w:space="0" w:color="auto"/>
      </w:divBdr>
    </w:div>
    <w:div w:id="1774591353">
      <w:bodyDiv w:val="1"/>
      <w:marLeft w:val="0"/>
      <w:marRight w:val="0"/>
      <w:marTop w:val="0"/>
      <w:marBottom w:val="0"/>
      <w:divBdr>
        <w:top w:val="none" w:sz="0" w:space="0" w:color="auto"/>
        <w:left w:val="none" w:sz="0" w:space="0" w:color="auto"/>
        <w:bottom w:val="none" w:sz="0" w:space="0" w:color="auto"/>
        <w:right w:val="none" w:sz="0" w:space="0" w:color="auto"/>
      </w:divBdr>
    </w:div>
    <w:div w:id="1788742396">
      <w:bodyDiv w:val="1"/>
      <w:marLeft w:val="0"/>
      <w:marRight w:val="0"/>
      <w:marTop w:val="0"/>
      <w:marBottom w:val="0"/>
      <w:divBdr>
        <w:top w:val="none" w:sz="0" w:space="0" w:color="auto"/>
        <w:left w:val="none" w:sz="0" w:space="0" w:color="auto"/>
        <w:bottom w:val="none" w:sz="0" w:space="0" w:color="auto"/>
        <w:right w:val="none" w:sz="0" w:space="0" w:color="auto"/>
      </w:divBdr>
    </w:div>
    <w:div w:id="1797288494">
      <w:bodyDiv w:val="1"/>
      <w:marLeft w:val="0"/>
      <w:marRight w:val="0"/>
      <w:marTop w:val="0"/>
      <w:marBottom w:val="0"/>
      <w:divBdr>
        <w:top w:val="none" w:sz="0" w:space="0" w:color="auto"/>
        <w:left w:val="none" w:sz="0" w:space="0" w:color="auto"/>
        <w:bottom w:val="none" w:sz="0" w:space="0" w:color="auto"/>
        <w:right w:val="none" w:sz="0" w:space="0" w:color="auto"/>
      </w:divBdr>
    </w:div>
    <w:div w:id="1803961894">
      <w:bodyDiv w:val="1"/>
      <w:marLeft w:val="0"/>
      <w:marRight w:val="0"/>
      <w:marTop w:val="0"/>
      <w:marBottom w:val="0"/>
      <w:divBdr>
        <w:top w:val="none" w:sz="0" w:space="0" w:color="auto"/>
        <w:left w:val="none" w:sz="0" w:space="0" w:color="auto"/>
        <w:bottom w:val="none" w:sz="0" w:space="0" w:color="auto"/>
        <w:right w:val="none" w:sz="0" w:space="0" w:color="auto"/>
      </w:divBdr>
    </w:div>
    <w:div w:id="1813013835">
      <w:bodyDiv w:val="1"/>
      <w:marLeft w:val="0"/>
      <w:marRight w:val="0"/>
      <w:marTop w:val="0"/>
      <w:marBottom w:val="0"/>
      <w:divBdr>
        <w:top w:val="none" w:sz="0" w:space="0" w:color="auto"/>
        <w:left w:val="none" w:sz="0" w:space="0" w:color="auto"/>
        <w:bottom w:val="none" w:sz="0" w:space="0" w:color="auto"/>
        <w:right w:val="none" w:sz="0" w:space="0" w:color="auto"/>
      </w:divBdr>
    </w:div>
    <w:div w:id="1816022558">
      <w:bodyDiv w:val="1"/>
      <w:marLeft w:val="0"/>
      <w:marRight w:val="0"/>
      <w:marTop w:val="0"/>
      <w:marBottom w:val="0"/>
      <w:divBdr>
        <w:top w:val="none" w:sz="0" w:space="0" w:color="auto"/>
        <w:left w:val="none" w:sz="0" w:space="0" w:color="auto"/>
        <w:bottom w:val="none" w:sz="0" w:space="0" w:color="auto"/>
        <w:right w:val="none" w:sz="0" w:space="0" w:color="auto"/>
      </w:divBdr>
    </w:div>
    <w:div w:id="1823308867">
      <w:bodyDiv w:val="1"/>
      <w:marLeft w:val="0"/>
      <w:marRight w:val="0"/>
      <w:marTop w:val="0"/>
      <w:marBottom w:val="0"/>
      <w:divBdr>
        <w:top w:val="none" w:sz="0" w:space="0" w:color="auto"/>
        <w:left w:val="none" w:sz="0" w:space="0" w:color="auto"/>
        <w:bottom w:val="none" w:sz="0" w:space="0" w:color="auto"/>
        <w:right w:val="none" w:sz="0" w:space="0" w:color="auto"/>
      </w:divBdr>
    </w:div>
    <w:div w:id="1824934380">
      <w:bodyDiv w:val="1"/>
      <w:marLeft w:val="0"/>
      <w:marRight w:val="0"/>
      <w:marTop w:val="0"/>
      <w:marBottom w:val="0"/>
      <w:divBdr>
        <w:top w:val="none" w:sz="0" w:space="0" w:color="auto"/>
        <w:left w:val="none" w:sz="0" w:space="0" w:color="auto"/>
        <w:bottom w:val="none" w:sz="0" w:space="0" w:color="auto"/>
        <w:right w:val="none" w:sz="0" w:space="0" w:color="auto"/>
      </w:divBdr>
    </w:div>
    <w:div w:id="1830830810">
      <w:bodyDiv w:val="1"/>
      <w:marLeft w:val="0"/>
      <w:marRight w:val="0"/>
      <w:marTop w:val="0"/>
      <w:marBottom w:val="0"/>
      <w:divBdr>
        <w:top w:val="none" w:sz="0" w:space="0" w:color="auto"/>
        <w:left w:val="none" w:sz="0" w:space="0" w:color="auto"/>
        <w:bottom w:val="none" w:sz="0" w:space="0" w:color="auto"/>
        <w:right w:val="none" w:sz="0" w:space="0" w:color="auto"/>
      </w:divBdr>
    </w:div>
    <w:div w:id="1845322241">
      <w:bodyDiv w:val="1"/>
      <w:marLeft w:val="0"/>
      <w:marRight w:val="0"/>
      <w:marTop w:val="0"/>
      <w:marBottom w:val="0"/>
      <w:divBdr>
        <w:top w:val="none" w:sz="0" w:space="0" w:color="auto"/>
        <w:left w:val="none" w:sz="0" w:space="0" w:color="auto"/>
        <w:bottom w:val="none" w:sz="0" w:space="0" w:color="auto"/>
        <w:right w:val="none" w:sz="0" w:space="0" w:color="auto"/>
      </w:divBdr>
    </w:div>
    <w:div w:id="1861966172">
      <w:bodyDiv w:val="1"/>
      <w:marLeft w:val="0"/>
      <w:marRight w:val="0"/>
      <w:marTop w:val="0"/>
      <w:marBottom w:val="0"/>
      <w:divBdr>
        <w:top w:val="none" w:sz="0" w:space="0" w:color="auto"/>
        <w:left w:val="none" w:sz="0" w:space="0" w:color="auto"/>
        <w:bottom w:val="none" w:sz="0" w:space="0" w:color="auto"/>
        <w:right w:val="none" w:sz="0" w:space="0" w:color="auto"/>
      </w:divBdr>
    </w:div>
    <w:div w:id="1869828679">
      <w:bodyDiv w:val="1"/>
      <w:marLeft w:val="0"/>
      <w:marRight w:val="0"/>
      <w:marTop w:val="0"/>
      <w:marBottom w:val="0"/>
      <w:divBdr>
        <w:top w:val="none" w:sz="0" w:space="0" w:color="auto"/>
        <w:left w:val="none" w:sz="0" w:space="0" w:color="auto"/>
        <w:bottom w:val="none" w:sz="0" w:space="0" w:color="auto"/>
        <w:right w:val="none" w:sz="0" w:space="0" w:color="auto"/>
      </w:divBdr>
    </w:div>
    <w:div w:id="1887792178">
      <w:bodyDiv w:val="1"/>
      <w:marLeft w:val="0"/>
      <w:marRight w:val="0"/>
      <w:marTop w:val="0"/>
      <w:marBottom w:val="0"/>
      <w:divBdr>
        <w:top w:val="none" w:sz="0" w:space="0" w:color="auto"/>
        <w:left w:val="none" w:sz="0" w:space="0" w:color="auto"/>
        <w:bottom w:val="none" w:sz="0" w:space="0" w:color="auto"/>
        <w:right w:val="none" w:sz="0" w:space="0" w:color="auto"/>
      </w:divBdr>
    </w:div>
    <w:div w:id="1892884016">
      <w:bodyDiv w:val="1"/>
      <w:marLeft w:val="0"/>
      <w:marRight w:val="0"/>
      <w:marTop w:val="0"/>
      <w:marBottom w:val="0"/>
      <w:divBdr>
        <w:top w:val="none" w:sz="0" w:space="0" w:color="auto"/>
        <w:left w:val="none" w:sz="0" w:space="0" w:color="auto"/>
        <w:bottom w:val="none" w:sz="0" w:space="0" w:color="auto"/>
        <w:right w:val="none" w:sz="0" w:space="0" w:color="auto"/>
      </w:divBdr>
    </w:div>
    <w:div w:id="1905603975">
      <w:bodyDiv w:val="1"/>
      <w:marLeft w:val="0"/>
      <w:marRight w:val="0"/>
      <w:marTop w:val="0"/>
      <w:marBottom w:val="0"/>
      <w:divBdr>
        <w:top w:val="none" w:sz="0" w:space="0" w:color="auto"/>
        <w:left w:val="none" w:sz="0" w:space="0" w:color="auto"/>
        <w:bottom w:val="none" w:sz="0" w:space="0" w:color="auto"/>
        <w:right w:val="none" w:sz="0" w:space="0" w:color="auto"/>
      </w:divBdr>
    </w:div>
    <w:div w:id="1910771862">
      <w:bodyDiv w:val="1"/>
      <w:marLeft w:val="0"/>
      <w:marRight w:val="0"/>
      <w:marTop w:val="0"/>
      <w:marBottom w:val="0"/>
      <w:divBdr>
        <w:top w:val="none" w:sz="0" w:space="0" w:color="auto"/>
        <w:left w:val="none" w:sz="0" w:space="0" w:color="auto"/>
        <w:bottom w:val="none" w:sz="0" w:space="0" w:color="auto"/>
        <w:right w:val="none" w:sz="0" w:space="0" w:color="auto"/>
      </w:divBdr>
    </w:div>
    <w:div w:id="1911500887">
      <w:bodyDiv w:val="1"/>
      <w:marLeft w:val="0"/>
      <w:marRight w:val="0"/>
      <w:marTop w:val="0"/>
      <w:marBottom w:val="0"/>
      <w:divBdr>
        <w:top w:val="none" w:sz="0" w:space="0" w:color="auto"/>
        <w:left w:val="none" w:sz="0" w:space="0" w:color="auto"/>
        <w:bottom w:val="none" w:sz="0" w:space="0" w:color="auto"/>
        <w:right w:val="none" w:sz="0" w:space="0" w:color="auto"/>
      </w:divBdr>
    </w:div>
    <w:div w:id="1913275610">
      <w:bodyDiv w:val="1"/>
      <w:marLeft w:val="0"/>
      <w:marRight w:val="0"/>
      <w:marTop w:val="0"/>
      <w:marBottom w:val="0"/>
      <w:divBdr>
        <w:top w:val="none" w:sz="0" w:space="0" w:color="auto"/>
        <w:left w:val="none" w:sz="0" w:space="0" w:color="auto"/>
        <w:bottom w:val="none" w:sz="0" w:space="0" w:color="auto"/>
        <w:right w:val="none" w:sz="0" w:space="0" w:color="auto"/>
      </w:divBdr>
    </w:div>
    <w:div w:id="1920630226">
      <w:bodyDiv w:val="1"/>
      <w:marLeft w:val="0"/>
      <w:marRight w:val="0"/>
      <w:marTop w:val="0"/>
      <w:marBottom w:val="0"/>
      <w:divBdr>
        <w:top w:val="none" w:sz="0" w:space="0" w:color="auto"/>
        <w:left w:val="none" w:sz="0" w:space="0" w:color="auto"/>
        <w:bottom w:val="none" w:sz="0" w:space="0" w:color="auto"/>
        <w:right w:val="none" w:sz="0" w:space="0" w:color="auto"/>
      </w:divBdr>
    </w:div>
    <w:div w:id="1924100591">
      <w:bodyDiv w:val="1"/>
      <w:marLeft w:val="0"/>
      <w:marRight w:val="0"/>
      <w:marTop w:val="0"/>
      <w:marBottom w:val="0"/>
      <w:divBdr>
        <w:top w:val="none" w:sz="0" w:space="0" w:color="auto"/>
        <w:left w:val="none" w:sz="0" w:space="0" w:color="auto"/>
        <w:bottom w:val="none" w:sz="0" w:space="0" w:color="auto"/>
        <w:right w:val="none" w:sz="0" w:space="0" w:color="auto"/>
      </w:divBdr>
    </w:div>
    <w:div w:id="1927571385">
      <w:bodyDiv w:val="1"/>
      <w:marLeft w:val="0"/>
      <w:marRight w:val="0"/>
      <w:marTop w:val="0"/>
      <w:marBottom w:val="0"/>
      <w:divBdr>
        <w:top w:val="none" w:sz="0" w:space="0" w:color="auto"/>
        <w:left w:val="none" w:sz="0" w:space="0" w:color="auto"/>
        <w:bottom w:val="none" w:sz="0" w:space="0" w:color="auto"/>
        <w:right w:val="none" w:sz="0" w:space="0" w:color="auto"/>
      </w:divBdr>
    </w:div>
    <w:div w:id="1943683182">
      <w:bodyDiv w:val="1"/>
      <w:marLeft w:val="0"/>
      <w:marRight w:val="0"/>
      <w:marTop w:val="0"/>
      <w:marBottom w:val="0"/>
      <w:divBdr>
        <w:top w:val="none" w:sz="0" w:space="0" w:color="auto"/>
        <w:left w:val="none" w:sz="0" w:space="0" w:color="auto"/>
        <w:bottom w:val="none" w:sz="0" w:space="0" w:color="auto"/>
        <w:right w:val="none" w:sz="0" w:space="0" w:color="auto"/>
      </w:divBdr>
    </w:div>
    <w:div w:id="1947542077">
      <w:bodyDiv w:val="1"/>
      <w:marLeft w:val="0"/>
      <w:marRight w:val="0"/>
      <w:marTop w:val="0"/>
      <w:marBottom w:val="0"/>
      <w:divBdr>
        <w:top w:val="none" w:sz="0" w:space="0" w:color="auto"/>
        <w:left w:val="none" w:sz="0" w:space="0" w:color="auto"/>
        <w:bottom w:val="none" w:sz="0" w:space="0" w:color="auto"/>
        <w:right w:val="none" w:sz="0" w:space="0" w:color="auto"/>
      </w:divBdr>
    </w:div>
    <w:div w:id="1950895474">
      <w:bodyDiv w:val="1"/>
      <w:marLeft w:val="0"/>
      <w:marRight w:val="0"/>
      <w:marTop w:val="0"/>
      <w:marBottom w:val="0"/>
      <w:divBdr>
        <w:top w:val="none" w:sz="0" w:space="0" w:color="auto"/>
        <w:left w:val="none" w:sz="0" w:space="0" w:color="auto"/>
        <w:bottom w:val="none" w:sz="0" w:space="0" w:color="auto"/>
        <w:right w:val="none" w:sz="0" w:space="0" w:color="auto"/>
      </w:divBdr>
    </w:div>
    <w:div w:id="1970624950">
      <w:bodyDiv w:val="1"/>
      <w:marLeft w:val="0"/>
      <w:marRight w:val="0"/>
      <w:marTop w:val="0"/>
      <w:marBottom w:val="0"/>
      <w:divBdr>
        <w:top w:val="none" w:sz="0" w:space="0" w:color="auto"/>
        <w:left w:val="none" w:sz="0" w:space="0" w:color="auto"/>
        <w:bottom w:val="none" w:sz="0" w:space="0" w:color="auto"/>
        <w:right w:val="none" w:sz="0" w:space="0" w:color="auto"/>
      </w:divBdr>
    </w:div>
    <w:div w:id="1982149702">
      <w:bodyDiv w:val="1"/>
      <w:marLeft w:val="0"/>
      <w:marRight w:val="0"/>
      <w:marTop w:val="0"/>
      <w:marBottom w:val="0"/>
      <w:divBdr>
        <w:top w:val="none" w:sz="0" w:space="0" w:color="auto"/>
        <w:left w:val="none" w:sz="0" w:space="0" w:color="auto"/>
        <w:bottom w:val="none" w:sz="0" w:space="0" w:color="auto"/>
        <w:right w:val="none" w:sz="0" w:space="0" w:color="auto"/>
      </w:divBdr>
    </w:div>
    <w:div w:id="1982996497">
      <w:bodyDiv w:val="1"/>
      <w:marLeft w:val="0"/>
      <w:marRight w:val="0"/>
      <w:marTop w:val="0"/>
      <w:marBottom w:val="0"/>
      <w:divBdr>
        <w:top w:val="none" w:sz="0" w:space="0" w:color="auto"/>
        <w:left w:val="none" w:sz="0" w:space="0" w:color="auto"/>
        <w:bottom w:val="none" w:sz="0" w:space="0" w:color="auto"/>
        <w:right w:val="none" w:sz="0" w:space="0" w:color="auto"/>
      </w:divBdr>
    </w:div>
    <w:div w:id="2009361427">
      <w:bodyDiv w:val="1"/>
      <w:marLeft w:val="0"/>
      <w:marRight w:val="0"/>
      <w:marTop w:val="0"/>
      <w:marBottom w:val="0"/>
      <w:divBdr>
        <w:top w:val="none" w:sz="0" w:space="0" w:color="auto"/>
        <w:left w:val="none" w:sz="0" w:space="0" w:color="auto"/>
        <w:bottom w:val="none" w:sz="0" w:space="0" w:color="auto"/>
        <w:right w:val="none" w:sz="0" w:space="0" w:color="auto"/>
      </w:divBdr>
    </w:div>
    <w:div w:id="2011056999">
      <w:bodyDiv w:val="1"/>
      <w:marLeft w:val="0"/>
      <w:marRight w:val="0"/>
      <w:marTop w:val="0"/>
      <w:marBottom w:val="0"/>
      <w:divBdr>
        <w:top w:val="none" w:sz="0" w:space="0" w:color="auto"/>
        <w:left w:val="none" w:sz="0" w:space="0" w:color="auto"/>
        <w:bottom w:val="none" w:sz="0" w:space="0" w:color="auto"/>
        <w:right w:val="none" w:sz="0" w:space="0" w:color="auto"/>
      </w:divBdr>
    </w:div>
    <w:div w:id="2014842565">
      <w:bodyDiv w:val="1"/>
      <w:marLeft w:val="0"/>
      <w:marRight w:val="0"/>
      <w:marTop w:val="0"/>
      <w:marBottom w:val="0"/>
      <w:divBdr>
        <w:top w:val="none" w:sz="0" w:space="0" w:color="auto"/>
        <w:left w:val="none" w:sz="0" w:space="0" w:color="auto"/>
        <w:bottom w:val="none" w:sz="0" w:space="0" w:color="auto"/>
        <w:right w:val="none" w:sz="0" w:space="0" w:color="auto"/>
      </w:divBdr>
    </w:div>
    <w:div w:id="2017536197">
      <w:bodyDiv w:val="1"/>
      <w:marLeft w:val="0"/>
      <w:marRight w:val="0"/>
      <w:marTop w:val="0"/>
      <w:marBottom w:val="0"/>
      <w:divBdr>
        <w:top w:val="none" w:sz="0" w:space="0" w:color="auto"/>
        <w:left w:val="none" w:sz="0" w:space="0" w:color="auto"/>
        <w:bottom w:val="none" w:sz="0" w:space="0" w:color="auto"/>
        <w:right w:val="none" w:sz="0" w:space="0" w:color="auto"/>
      </w:divBdr>
    </w:div>
    <w:div w:id="2019844446">
      <w:bodyDiv w:val="1"/>
      <w:marLeft w:val="0"/>
      <w:marRight w:val="0"/>
      <w:marTop w:val="0"/>
      <w:marBottom w:val="0"/>
      <w:divBdr>
        <w:top w:val="none" w:sz="0" w:space="0" w:color="auto"/>
        <w:left w:val="none" w:sz="0" w:space="0" w:color="auto"/>
        <w:bottom w:val="none" w:sz="0" w:space="0" w:color="auto"/>
        <w:right w:val="none" w:sz="0" w:space="0" w:color="auto"/>
      </w:divBdr>
    </w:div>
    <w:div w:id="2022051511">
      <w:bodyDiv w:val="1"/>
      <w:marLeft w:val="0"/>
      <w:marRight w:val="0"/>
      <w:marTop w:val="0"/>
      <w:marBottom w:val="0"/>
      <w:divBdr>
        <w:top w:val="none" w:sz="0" w:space="0" w:color="auto"/>
        <w:left w:val="none" w:sz="0" w:space="0" w:color="auto"/>
        <w:bottom w:val="none" w:sz="0" w:space="0" w:color="auto"/>
        <w:right w:val="none" w:sz="0" w:space="0" w:color="auto"/>
      </w:divBdr>
    </w:div>
    <w:div w:id="2023823580">
      <w:bodyDiv w:val="1"/>
      <w:marLeft w:val="0"/>
      <w:marRight w:val="0"/>
      <w:marTop w:val="0"/>
      <w:marBottom w:val="0"/>
      <w:divBdr>
        <w:top w:val="none" w:sz="0" w:space="0" w:color="auto"/>
        <w:left w:val="none" w:sz="0" w:space="0" w:color="auto"/>
        <w:bottom w:val="none" w:sz="0" w:space="0" w:color="auto"/>
        <w:right w:val="none" w:sz="0" w:space="0" w:color="auto"/>
      </w:divBdr>
    </w:div>
    <w:div w:id="2028864583">
      <w:bodyDiv w:val="1"/>
      <w:marLeft w:val="0"/>
      <w:marRight w:val="0"/>
      <w:marTop w:val="0"/>
      <w:marBottom w:val="0"/>
      <w:divBdr>
        <w:top w:val="none" w:sz="0" w:space="0" w:color="auto"/>
        <w:left w:val="none" w:sz="0" w:space="0" w:color="auto"/>
        <w:bottom w:val="none" w:sz="0" w:space="0" w:color="auto"/>
        <w:right w:val="none" w:sz="0" w:space="0" w:color="auto"/>
      </w:divBdr>
    </w:div>
    <w:div w:id="2029602431">
      <w:bodyDiv w:val="1"/>
      <w:marLeft w:val="0"/>
      <w:marRight w:val="0"/>
      <w:marTop w:val="0"/>
      <w:marBottom w:val="0"/>
      <w:divBdr>
        <w:top w:val="none" w:sz="0" w:space="0" w:color="auto"/>
        <w:left w:val="none" w:sz="0" w:space="0" w:color="auto"/>
        <w:bottom w:val="none" w:sz="0" w:space="0" w:color="auto"/>
        <w:right w:val="none" w:sz="0" w:space="0" w:color="auto"/>
      </w:divBdr>
    </w:div>
    <w:div w:id="2036147379">
      <w:bodyDiv w:val="1"/>
      <w:marLeft w:val="0"/>
      <w:marRight w:val="0"/>
      <w:marTop w:val="0"/>
      <w:marBottom w:val="0"/>
      <w:divBdr>
        <w:top w:val="none" w:sz="0" w:space="0" w:color="auto"/>
        <w:left w:val="none" w:sz="0" w:space="0" w:color="auto"/>
        <w:bottom w:val="none" w:sz="0" w:space="0" w:color="auto"/>
        <w:right w:val="none" w:sz="0" w:space="0" w:color="auto"/>
      </w:divBdr>
    </w:div>
    <w:div w:id="2043549637">
      <w:bodyDiv w:val="1"/>
      <w:marLeft w:val="0"/>
      <w:marRight w:val="0"/>
      <w:marTop w:val="0"/>
      <w:marBottom w:val="0"/>
      <w:divBdr>
        <w:top w:val="none" w:sz="0" w:space="0" w:color="auto"/>
        <w:left w:val="none" w:sz="0" w:space="0" w:color="auto"/>
        <w:bottom w:val="none" w:sz="0" w:space="0" w:color="auto"/>
        <w:right w:val="none" w:sz="0" w:space="0" w:color="auto"/>
      </w:divBdr>
    </w:div>
    <w:div w:id="2046171953">
      <w:bodyDiv w:val="1"/>
      <w:marLeft w:val="0"/>
      <w:marRight w:val="0"/>
      <w:marTop w:val="0"/>
      <w:marBottom w:val="0"/>
      <w:divBdr>
        <w:top w:val="none" w:sz="0" w:space="0" w:color="auto"/>
        <w:left w:val="none" w:sz="0" w:space="0" w:color="auto"/>
        <w:bottom w:val="none" w:sz="0" w:space="0" w:color="auto"/>
        <w:right w:val="none" w:sz="0" w:space="0" w:color="auto"/>
      </w:divBdr>
    </w:div>
    <w:div w:id="2060781597">
      <w:bodyDiv w:val="1"/>
      <w:marLeft w:val="0"/>
      <w:marRight w:val="0"/>
      <w:marTop w:val="0"/>
      <w:marBottom w:val="0"/>
      <w:divBdr>
        <w:top w:val="none" w:sz="0" w:space="0" w:color="auto"/>
        <w:left w:val="none" w:sz="0" w:space="0" w:color="auto"/>
        <w:bottom w:val="none" w:sz="0" w:space="0" w:color="auto"/>
        <w:right w:val="none" w:sz="0" w:space="0" w:color="auto"/>
      </w:divBdr>
    </w:div>
    <w:div w:id="2071147111">
      <w:bodyDiv w:val="1"/>
      <w:marLeft w:val="0"/>
      <w:marRight w:val="0"/>
      <w:marTop w:val="0"/>
      <w:marBottom w:val="0"/>
      <w:divBdr>
        <w:top w:val="none" w:sz="0" w:space="0" w:color="auto"/>
        <w:left w:val="none" w:sz="0" w:space="0" w:color="auto"/>
        <w:bottom w:val="none" w:sz="0" w:space="0" w:color="auto"/>
        <w:right w:val="none" w:sz="0" w:space="0" w:color="auto"/>
      </w:divBdr>
    </w:div>
    <w:div w:id="2073968448">
      <w:bodyDiv w:val="1"/>
      <w:marLeft w:val="0"/>
      <w:marRight w:val="0"/>
      <w:marTop w:val="0"/>
      <w:marBottom w:val="0"/>
      <w:divBdr>
        <w:top w:val="none" w:sz="0" w:space="0" w:color="auto"/>
        <w:left w:val="none" w:sz="0" w:space="0" w:color="auto"/>
        <w:bottom w:val="none" w:sz="0" w:space="0" w:color="auto"/>
        <w:right w:val="none" w:sz="0" w:space="0" w:color="auto"/>
      </w:divBdr>
    </w:div>
    <w:div w:id="2074086705">
      <w:bodyDiv w:val="1"/>
      <w:marLeft w:val="0"/>
      <w:marRight w:val="0"/>
      <w:marTop w:val="0"/>
      <w:marBottom w:val="0"/>
      <w:divBdr>
        <w:top w:val="none" w:sz="0" w:space="0" w:color="auto"/>
        <w:left w:val="none" w:sz="0" w:space="0" w:color="auto"/>
        <w:bottom w:val="none" w:sz="0" w:space="0" w:color="auto"/>
        <w:right w:val="none" w:sz="0" w:space="0" w:color="auto"/>
      </w:divBdr>
    </w:div>
    <w:div w:id="2076005751">
      <w:bodyDiv w:val="1"/>
      <w:marLeft w:val="0"/>
      <w:marRight w:val="0"/>
      <w:marTop w:val="0"/>
      <w:marBottom w:val="0"/>
      <w:divBdr>
        <w:top w:val="none" w:sz="0" w:space="0" w:color="auto"/>
        <w:left w:val="none" w:sz="0" w:space="0" w:color="auto"/>
        <w:bottom w:val="none" w:sz="0" w:space="0" w:color="auto"/>
        <w:right w:val="none" w:sz="0" w:space="0" w:color="auto"/>
      </w:divBdr>
    </w:div>
    <w:div w:id="2099599595">
      <w:bodyDiv w:val="1"/>
      <w:marLeft w:val="0"/>
      <w:marRight w:val="0"/>
      <w:marTop w:val="0"/>
      <w:marBottom w:val="0"/>
      <w:divBdr>
        <w:top w:val="none" w:sz="0" w:space="0" w:color="auto"/>
        <w:left w:val="none" w:sz="0" w:space="0" w:color="auto"/>
        <w:bottom w:val="none" w:sz="0" w:space="0" w:color="auto"/>
        <w:right w:val="none" w:sz="0" w:space="0" w:color="auto"/>
      </w:divBdr>
    </w:div>
    <w:div w:id="2101025889">
      <w:bodyDiv w:val="1"/>
      <w:marLeft w:val="0"/>
      <w:marRight w:val="0"/>
      <w:marTop w:val="0"/>
      <w:marBottom w:val="0"/>
      <w:divBdr>
        <w:top w:val="none" w:sz="0" w:space="0" w:color="auto"/>
        <w:left w:val="none" w:sz="0" w:space="0" w:color="auto"/>
        <w:bottom w:val="none" w:sz="0" w:space="0" w:color="auto"/>
        <w:right w:val="none" w:sz="0" w:space="0" w:color="auto"/>
      </w:divBdr>
    </w:div>
    <w:div w:id="2106026228">
      <w:bodyDiv w:val="1"/>
      <w:marLeft w:val="0"/>
      <w:marRight w:val="0"/>
      <w:marTop w:val="0"/>
      <w:marBottom w:val="0"/>
      <w:divBdr>
        <w:top w:val="none" w:sz="0" w:space="0" w:color="auto"/>
        <w:left w:val="none" w:sz="0" w:space="0" w:color="auto"/>
        <w:bottom w:val="none" w:sz="0" w:space="0" w:color="auto"/>
        <w:right w:val="none" w:sz="0" w:space="0" w:color="auto"/>
      </w:divBdr>
    </w:div>
    <w:div w:id="2110658817">
      <w:bodyDiv w:val="1"/>
      <w:marLeft w:val="0"/>
      <w:marRight w:val="0"/>
      <w:marTop w:val="0"/>
      <w:marBottom w:val="0"/>
      <w:divBdr>
        <w:top w:val="none" w:sz="0" w:space="0" w:color="auto"/>
        <w:left w:val="none" w:sz="0" w:space="0" w:color="auto"/>
        <w:bottom w:val="none" w:sz="0" w:space="0" w:color="auto"/>
        <w:right w:val="none" w:sz="0" w:space="0" w:color="auto"/>
      </w:divBdr>
    </w:div>
    <w:div w:id="2110735229">
      <w:bodyDiv w:val="1"/>
      <w:marLeft w:val="0"/>
      <w:marRight w:val="0"/>
      <w:marTop w:val="0"/>
      <w:marBottom w:val="0"/>
      <w:divBdr>
        <w:top w:val="none" w:sz="0" w:space="0" w:color="auto"/>
        <w:left w:val="none" w:sz="0" w:space="0" w:color="auto"/>
        <w:bottom w:val="none" w:sz="0" w:space="0" w:color="auto"/>
        <w:right w:val="none" w:sz="0" w:space="0" w:color="auto"/>
      </w:divBdr>
    </w:div>
    <w:div w:id="2114082769">
      <w:bodyDiv w:val="1"/>
      <w:marLeft w:val="0"/>
      <w:marRight w:val="0"/>
      <w:marTop w:val="0"/>
      <w:marBottom w:val="0"/>
      <w:divBdr>
        <w:top w:val="none" w:sz="0" w:space="0" w:color="auto"/>
        <w:left w:val="none" w:sz="0" w:space="0" w:color="auto"/>
        <w:bottom w:val="none" w:sz="0" w:space="0" w:color="auto"/>
        <w:right w:val="none" w:sz="0" w:space="0" w:color="auto"/>
      </w:divBdr>
    </w:div>
    <w:div w:id="2114474101">
      <w:bodyDiv w:val="1"/>
      <w:marLeft w:val="0"/>
      <w:marRight w:val="0"/>
      <w:marTop w:val="0"/>
      <w:marBottom w:val="0"/>
      <w:divBdr>
        <w:top w:val="none" w:sz="0" w:space="0" w:color="auto"/>
        <w:left w:val="none" w:sz="0" w:space="0" w:color="auto"/>
        <w:bottom w:val="none" w:sz="0" w:space="0" w:color="auto"/>
        <w:right w:val="none" w:sz="0" w:space="0" w:color="auto"/>
      </w:divBdr>
    </w:div>
    <w:div w:id="2116555862">
      <w:bodyDiv w:val="1"/>
      <w:marLeft w:val="0"/>
      <w:marRight w:val="0"/>
      <w:marTop w:val="0"/>
      <w:marBottom w:val="0"/>
      <w:divBdr>
        <w:top w:val="none" w:sz="0" w:space="0" w:color="auto"/>
        <w:left w:val="none" w:sz="0" w:space="0" w:color="auto"/>
        <w:bottom w:val="none" w:sz="0" w:space="0" w:color="auto"/>
        <w:right w:val="none" w:sz="0" w:space="0" w:color="auto"/>
      </w:divBdr>
    </w:div>
    <w:div w:id="2122218191">
      <w:bodyDiv w:val="1"/>
      <w:marLeft w:val="0"/>
      <w:marRight w:val="0"/>
      <w:marTop w:val="0"/>
      <w:marBottom w:val="0"/>
      <w:divBdr>
        <w:top w:val="none" w:sz="0" w:space="0" w:color="auto"/>
        <w:left w:val="none" w:sz="0" w:space="0" w:color="auto"/>
        <w:bottom w:val="none" w:sz="0" w:space="0" w:color="auto"/>
        <w:right w:val="none" w:sz="0" w:space="0" w:color="auto"/>
      </w:divBdr>
    </w:div>
    <w:div w:id="2123650950">
      <w:bodyDiv w:val="1"/>
      <w:marLeft w:val="0"/>
      <w:marRight w:val="0"/>
      <w:marTop w:val="0"/>
      <w:marBottom w:val="0"/>
      <w:divBdr>
        <w:top w:val="none" w:sz="0" w:space="0" w:color="auto"/>
        <w:left w:val="none" w:sz="0" w:space="0" w:color="auto"/>
        <w:bottom w:val="none" w:sz="0" w:space="0" w:color="auto"/>
        <w:right w:val="none" w:sz="0" w:space="0" w:color="auto"/>
      </w:divBdr>
    </w:div>
    <w:div w:id="2128156072">
      <w:bodyDiv w:val="1"/>
      <w:marLeft w:val="0"/>
      <w:marRight w:val="0"/>
      <w:marTop w:val="0"/>
      <w:marBottom w:val="0"/>
      <w:divBdr>
        <w:top w:val="none" w:sz="0" w:space="0" w:color="auto"/>
        <w:left w:val="none" w:sz="0" w:space="0" w:color="auto"/>
        <w:bottom w:val="none" w:sz="0" w:space="0" w:color="auto"/>
        <w:right w:val="none" w:sz="0" w:space="0" w:color="auto"/>
      </w:divBdr>
    </w:div>
    <w:div w:id="2136362035">
      <w:bodyDiv w:val="1"/>
      <w:marLeft w:val="0"/>
      <w:marRight w:val="0"/>
      <w:marTop w:val="0"/>
      <w:marBottom w:val="0"/>
      <w:divBdr>
        <w:top w:val="none" w:sz="0" w:space="0" w:color="auto"/>
        <w:left w:val="none" w:sz="0" w:space="0" w:color="auto"/>
        <w:bottom w:val="none" w:sz="0" w:space="0" w:color="auto"/>
        <w:right w:val="none" w:sz="0" w:space="0" w:color="auto"/>
      </w:divBdr>
    </w:div>
    <w:div w:id="2137064822">
      <w:bodyDiv w:val="1"/>
      <w:marLeft w:val="0"/>
      <w:marRight w:val="0"/>
      <w:marTop w:val="0"/>
      <w:marBottom w:val="0"/>
      <w:divBdr>
        <w:top w:val="none" w:sz="0" w:space="0" w:color="auto"/>
        <w:left w:val="none" w:sz="0" w:space="0" w:color="auto"/>
        <w:bottom w:val="none" w:sz="0" w:space="0" w:color="auto"/>
        <w:right w:val="none" w:sz="0" w:space="0" w:color="auto"/>
      </w:divBdr>
    </w:div>
    <w:div w:id="2146461326">
      <w:bodyDiv w:val="1"/>
      <w:marLeft w:val="0"/>
      <w:marRight w:val="0"/>
      <w:marTop w:val="0"/>
      <w:marBottom w:val="0"/>
      <w:divBdr>
        <w:top w:val="none" w:sz="0" w:space="0" w:color="auto"/>
        <w:left w:val="none" w:sz="0" w:space="0" w:color="auto"/>
        <w:bottom w:val="none" w:sz="0" w:space="0" w:color="auto"/>
        <w:right w:val="none" w:sz="0" w:space="0" w:color="auto"/>
      </w:divBdr>
    </w:div>
    <w:div w:id="2146852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5.ti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ti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https://home.heinonline.org/wp-content/uploads/2020/09/SAGE_Logo.png" TargetMode="External"/><Relationship Id="rId20" Type="http://schemas.openxmlformats.org/officeDocument/2006/relationships/image" Target="media/image7.t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ti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tif"/><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6.ti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4.xml"/><Relationship Id="rId22" Type="http://schemas.openxmlformats.org/officeDocument/2006/relationships/image" Target="media/image9.tif"/><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10A30-66DC-425F-8FD9-1C4EFB18D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158</Pages>
  <Words>171745</Words>
  <Characters>978948</Characters>
  <Application>Microsoft Office Word</Application>
  <DocSecurity>0</DocSecurity>
  <Lines>8157</Lines>
  <Paragraphs>2296</Paragraphs>
  <ScaleCrop>false</ScaleCrop>
  <HeadingPairs>
    <vt:vector size="8" baseType="variant">
      <vt:variant>
        <vt:lpstr>제목</vt:lpstr>
      </vt:variant>
      <vt:variant>
        <vt:i4>1</vt:i4>
      </vt:variant>
      <vt:variant>
        <vt:lpstr>Title</vt:lpstr>
      </vt:variant>
      <vt:variant>
        <vt:i4>1</vt:i4>
      </vt:variant>
      <vt:variant>
        <vt:lpstr>Titre</vt:lpstr>
      </vt:variant>
      <vt:variant>
        <vt:i4>1</vt:i4>
      </vt:variant>
      <vt:variant>
        <vt:lpstr>Titel</vt:lpstr>
      </vt:variant>
      <vt:variant>
        <vt:i4>1</vt:i4>
      </vt:variant>
    </vt:vector>
  </HeadingPairs>
  <TitlesOfParts>
    <vt:vector size="4" baseType="lpstr">
      <vt:lpstr>Occupational_Intakes_of_Radionuclides_Part_1</vt:lpstr>
      <vt:lpstr>Occupational_Intakes_of_Radionuclides_Part_1</vt:lpstr>
      <vt:lpstr>Occupational_Intakes_of_Radionuclides_Part_1</vt:lpstr>
      <vt:lpstr>Occupational_Intakes_of_Radionuclides_Part_1</vt:lpstr>
    </vt:vector>
  </TitlesOfParts>
  <Company>ORNL</Company>
  <LinksUpToDate>false</LinksUpToDate>
  <CharactersWithSpaces>1148397</CharactersWithSpaces>
  <SharedDoc>false</SharedDoc>
  <HLinks>
    <vt:vector size="360" baseType="variant">
      <vt:variant>
        <vt:i4>4849683</vt:i4>
      </vt:variant>
      <vt:variant>
        <vt:i4>678</vt:i4>
      </vt:variant>
      <vt:variant>
        <vt:i4>0</vt:i4>
      </vt:variant>
      <vt:variant>
        <vt:i4>5</vt:i4>
      </vt:variant>
      <vt:variant>
        <vt:lpwstr>http://hps.org/meetings/midyear/abstract508.html</vt:lpwstr>
      </vt:variant>
      <vt:variant>
        <vt:lpwstr/>
      </vt:variant>
      <vt:variant>
        <vt:i4>4390987</vt:i4>
      </vt:variant>
      <vt:variant>
        <vt:i4>675</vt:i4>
      </vt:variant>
      <vt:variant>
        <vt:i4>0</vt:i4>
      </vt:variant>
      <vt:variant>
        <vt:i4>5</vt:i4>
      </vt:variant>
      <vt:variant>
        <vt:lpwstr>http://www.icrp.org/</vt:lpwstr>
      </vt:variant>
      <vt:variant>
        <vt:lpwstr/>
      </vt:variant>
      <vt:variant>
        <vt:i4>1703981</vt:i4>
      </vt:variant>
      <vt:variant>
        <vt:i4>672</vt:i4>
      </vt:variant>
      <vt:variant>
        <vt:i4>0</vt:i4>
      </vt:variant>
      <vt:variant>
        <vt:i4>5</vt:i4>
      </vt:variant>
      <vt:variant>
        <vt:lpwstr>http://www.osti.gov/energycitations/product.biblio.jsp?osti_id=10123790</vt:lpwstr>
      </vt:variant>
      <vt:variant>
        <vt:lpwstr/>
      </vt:variant>
      <vt:variant>
        <vt:i4>3473468</vt:i4>
      </vt:variant>
      <vt:variant>
        <vt:i4>669</vt:i4>
      </vt:variant>
      <vt:variant>
        <vt:i4>0</vt:i4>
      </vt:variant>
      <vt:variant>
        <vt:i4>5</vt:i4>
      </vt:variant>
      <vt:variant>
        <vt:lpwstr>http://www.jbjs.org/data/Journals/JBJS/460/1211.pdf</vt:lpwstr>
      </vt:variant>
      <vt:variant>
        <vt:lpwstr/>
      </vt:variant>
      <vt:variant>
        <vt:i4>4718623</vt:i4>
      </vt:variant>
      <vt:variant>
        <vt:i4>666</vt:i4>
      </vt:variant>
      <vt:variant>
        <vt:i4>0</vt:i4>
      </vt:variant>
      <vt:variant>
        <vt:i4>5</vt:i4>
      </vt:variant>
      <vt:variant>
        <vt:lpwstr>http://www.eurachem.org/guides/pdf/QUAM2000-1.pdf</vt:lpwstr>
      </vt:variant>
      <vt:variant>
        <vt:lpwstr/>
      </vt:variant>
      <vt:variant>
        <vt:i4>5767230</vt:i4>
      </vt:variant>
      <vt:variant>
        <vt:i4>663</vt:i4>
      </vt:variant>
      <vt:variant>
        <vt:i4>0</vt:i4>
      </vt:variant>
      <vt:variant>
        <vt:i4>5</vt:i4>
      </vt:variant>
      <vt:variant>
        <vt:lpwstr>http://www.irpa.net/irpa8/cdrom/VOL.1/M1_221A.PDF</vt:lpwstr>
      </vt:variant>
      <vt:variant>
        <vt:lpwstr/>
      </vt:variant>
      <vt:variant>
        <vt:i4>7798832</vt:i4>
      </vt:variant>
      <vt:variant>
        <vt:i4>660</vt:i4>
      </vt:variant>
      <vt:variant>
        <vt:i4>0</vt:i4>
      </vt:variant>
      <vt:variant>
        <vt:i4>5</vt:i4>
      </vt:variant>
      <vt:variant>
        <vt:lpwstr>http://www.osti.gov/bridge/servlets/purl/5796207-idwX6y/5796207.pdf</vt:lpwstr>
      </vt:variant>
      <vt:variant>
        <vt:lpwstr/>
      </vt:variant>
      <vt:variant>
        <vt:i4>983060</vt:i4>
      </vt:variant>
      <vt:variant>
        <vt:i4>657</vt:i4>
      </vt:variant>
      <vt:variant>
        <vt:i4>0</vt:i4>
      </vt:variant>
      <vt:variant>
        <vt:i4>5</vt:i4>
      </vt:variant>
      <vt:variant>
        <vt:lpwstr>http://www.npl.co.uk/</vt:lpwstr>
      </vt:variant>
      <vt:variant>
        <vt:lpwstr/>
      </vt:variant>
      <vt:variant>
        <vt:i4>1245236</vt:i4>
      </vt:variant>
      <vt:variant>
        <vt:i4>308</vt:i4>
      </vt:variant>
      <vt:variant>
        <vt:i4>0</vt:i4>
      </vt:variant>
      <vt:variant>
        <vt:i4>5</vt:i4>
      </vt:variant>
      <vt:variant>
        <vt:lpwstr/>
      </vt:variant>
      <vt:variant>
        <vt:lpwstr>_Toc363316576</vt:lpwstr>
      </vt:variant>
      <vt:variant>
        <vt:i4>1245236</vt:i4>
      </vt:variant>
      <vt:variant>
        <vt:i4>302</vt:i4>
      </vt:variant>
      <vt:variant>
        <vt:i4>0</vt:i4>
      </vt:variant>
      <vt:variant>
        <vt:i4>5</vt:i4>
      </vt:variant>
      <vt:variant>
        <vt:lpwstr/>
      </vt:variant>
      <vt:variant>
        <vt:lpwstr>_Toc363316575</vt:lpwstr>
      </vt:variant>
      <vt:variant>
        <vt:i4>1245236</vt:i4>
      </vt:variant>
      <vt:variant>
        <vt:i4>296</vt:i4>
      </vt:variant>
      <vt:variant>
        <vt:i4>0</vt:i4>
      </vt:variant>
      <vt:variant>
        <vt:i4>5</vt:i4>
      </vt:variant>
      <vt:variant>
        <vt:lpwstr/>
      </vt:variant>
      <vt:variant>
        <vt:lpwstr>_Toc363316574</vt:lpwstr>
      </vt:variant>
      <vt:variant>
        <vt:i4>1245236</vt:i4>
      </vt:variant>
      <vt:variant>
        <vt:i4>290</vt:i4>
      </vt:variant>
      <vt:variant>
        <vt:i4>0</vt:i4>
      </vt:variant>
      <vt:variant>
        <vt:i4>5</vt:i4>
      </vt:variant>
      <vt:variant>
        <vt:lpwstr/>
      </vt:variant>
      <vt:variant>
        <vt:lpwstr>_Toc363316573</vt:lpwstr>
      </vt:variant>
      <vt:variant>
        <vt:i4>1245236</vt:i4>
      </vt:variant>
      <vt:variant>
        <vt:i4>284</vt:i4>
      </vt:variant>
      <vt:variant>
        <vt:i4>0</vt:i4>
      </vt:variant>
      <vt:variant>
        <vt:i4>5</vt:i4>
      </vt:variant>
      <vt:variant>
        <vt:lpwstr/>
      </vt:variant>
      <vt:variant>
        <vt:lpwstr>_Toc363316572</vt:lpwstr>
      </vt:variant>
      <vt:variant>
        <vt:i4>1245236</vt:i4>
      </vt:variant>
      <vt:variant>
        <vt:i4>278</vt:i4>
      </vt:variant>
      <vt:variant>
        <vt:i4>0</vt:i4>
      </vt:variant>
      <vt:variant>
        <vt:i4>5</vt:i4>
      </vt:variant>
      <vt:variant>
        <vt:lpwstr/>
      </vt:variant>
      <vt:variant>
        <vt:lpwstr>_Toc363316571</vt:lpwstr>
      </vt:variant>
      <vt:variant>
        <vt:i4>1245236</vt:i4>
      </vt:variant>
      <vt:variant>
        <vt:i4>272</vt:i4>
      </vt:variant>
      <vt:variant>
        <vt:i4>0</vt:i4>
      </vt:variant>
      <vt:variant>
        <vt:i4>5</vt:i4>
      </vt:variant>
      <vt:variant>
        <vt:lpwstr/>
      </vt:variant>
      <vt:variant>
        <vt:lpwstr>_Toc363316570</vt:lpwstr>
      </vt:variant>
      <vt:variant>
        <vt:i4>1179700</vt:i4>
      </vt:variant>
      <vt:variant>
        <vt:i4>266</vt:i4>
      </vt:variant>
      <vt:variant>
        <vt:i4>0</vt:i4>
      </vt:variant>
      <vt:variant>
        <vt:i4>5</vt:i4>
      </vt:variant>
      <vt:variant>
        <vt:lpwstr/>
      </vt:variant>
      <vt:variant>
        <vt:lpwstr>_Toc363316569</vt:lpwstr>
      </vt:variant>
      <vt:variant>
        <vt:i4>1179700</vt:i4>
      </vt:variant>
      <vt:variant>
        <vt:i4>260</vt:i4>
      </vt:variant>
      <vt:variant>
        <vt:i4>0</vt:i4>
      </vt:variant>
      <vt:variant>
        <vt:i4>5</vt:i4>
      </vt:variant>
      <vt:variant>
        <vt:lpwstr/>
      </vt:variant>
      <vt:variant>
        <vt:lpwstr>_Toc363316568</vt:lpwstr>
      </vt:variant>
      <vt:variant>
        <vt:i4>1179700</vt:i4>
      </vt:variant>
      <vt:variant>
        <vt:i4>254</vt:i4>
      </vt:variant>
      <vt:variant>
        <vt:i4>0</vt:i4>
      </vt:variant>
      <vt:variant>
        <vt:i4>5</vt:i4>
      </vt:variant>
      <vt:variant>
        <vt:lpwstr/>
      </vt:variant>
      <vt:variant>
        <vt:lpwstr>_Toc363316567</vt:lpwstr>
      </vt:variant>
      <vt:variant>
        <vt:i4>1179700</vt:i4>
      </vt:variant>
      <vt:variant>
        <vt:i4>248</vt:i4>
      </vt:variant>
      <vt:variant>
        <vt:i4>0</vt:i4>
      </vt:variant>
      <vt:variant>
        <vt:i4>5</vt:i4>
      </vt:variant>
      <vt:variant>
        <vt:lpwstr/>
      </vt:variant>
      <vt:variant>
        <vt:lpwstr>_Toc363316566</vt:lpwstr>
      </vt:variant>
      <vt:variant>
        <vt:i4>1179700</vt:i4>
      </vt:variant>
      <vt:variant>
        <vt:i4>242</vt:i4>
      </vt:variant>
      <vt:variant>
        <vt:i4>0</vt:i4>
      </vt:variant>
      <vt:variant>
        <vt:i4>5</vt:i4>
      </vt:variant>
      <vt:variant>
        <vt:lpwstr/>
      </vt:variant>
      <vt:variant>
        <vt:lpwstr>_Toc363316565</vt:lpwstr>
      </vt:variant>
      <vt:variant>
        <vt:i4>1179700</vt:i4>
      </vt:variant>
      <vt:variant>
        <vt:i4>236</vt:i4>
      </vt:variant>
      <vt:variant>
        <vt:i4>0</vt:i4>
      </vt:variant>
      <vt:variant>
        <vt:i4>5</vt:i4>
      </vt:variant>
      <vt:variant>
        <vt:lpwstr/>
      </vt:variant>
      <vt:variant>
        <vt:lpwstr>_Toc363316564</vt:lpwstr>
      </vt:variant>
      <vt:variant>
        <vt:i4>1179700</vt:i4>
      </vt:variant>
      <vt:variant>
        <vt:i4>230</vt:i4>
      </vt:variant>
      <vt:variant>
        <vt:i4>0</vt:i4>
      </vt:variant>
      <vt:variant>
        <vt:i4>5</vt:i4>
      </vt:variant>
      <vt:variant>
        <vt:lpwstr/>
      </vt:variant>
      <vt:variant>
        <vt:lpwstr>_Toc363316563</vt:lpwstr>
      </vt:variant>
      <vt:variant>
        <vt:i4>1179700</vt:i4>
      </vt:variant>
      <vt:variant>
        <vt:i4>224</vt:i4>
      </vt:variant>
      <vt:variant>
        <vt:i4>0</vt:i4>
      </vt:variant>
      <vt:variant>
        <vt:i4>5</vt:i4>
      </vt:variant>
      <vt:variant>
        <vt:lpwstr/>
      </vt:variant>
      <vt:variant>
        <vt:lpwstr>_Toc363316562</vt:lpwstr>
      </vt:variant>
      <vt:variant>
        <vt:i4>1179700</vt:i4>
      </vt:variant>
      <vt:variant>
        <vt:i4>218</vt:i4>
      </vt:variant>
      <vt:variant>
        <vt:i4>0</vt:i4>
      </vt:variant>
      <vt:variant>
        <vt:i4>5</vt:i4>
      </vt:variant>
      <vt:variant>
        <vt:lpwstr/>
      </vt:variant>
      <vt:variant>
        <vt:lpwstr>_Toc363316561</vt:lpwstr>
      </vt:variant>
      <vt:variant>
        <vt:i4>1179700</vt:i4>
      </vt:variant>
      <vt:variant>
        <vt:i4>212</vt:i4>
      </vt:variant>
      <vt:variant>
        <vt:i4>0</vt:i4>
      </vt:variant>
      <vt:variant>
        <vt:i4>5</vt:i4>
      </vt:variant>
      <vt:variant>
        <vt:lpwstr/>
      </vt:variant>
      <vt:variant>
        <vt:lpwstr>_Toc363316560</vt:lpwstr>
      </vt:variant>
      <vt:variant>
        <vt:i4>1114164</vt:i4>
      </vt:variant>
      <vt:variant>
        <vt:i4>206</vt:i4>
      </vt:variant>
      <vt:variant>
        <vt:i4>0</vt:i4>
      </vt:variant>
      <vt:variant>
        <vt:i4>5</vt:i4>
      </vt:variant>
      <vt:variant>
        <vt:lpwstr/>
      </vt:variant>
      <vt:variant>
        <vt:lpwstr>_Toc363316559</vt:lpwstr>
      </vt:variant>
      <vt:variant>
        <vt:i4>1114164</vt:i4>
      </vt:variant>
      <vt:variant>
        <vt:i4>200</vt:i4>
      </vt:variant>
      <vt:variant>
        <vt:i4>0</vt:i4>
      </vt:variant>
      <vt:variant>
        <vt:i4>5</vt:i4>
      </vt:variant>
      <vt:variant>
        <vt:lpwstr/>
      </vt:variant>
      <vt:variant>
        <vt:lpwstr>_Toc363316558</vt:lpwstr>
      </vt:variant>
      <vt:variant>
        <vt:i4>1114164</vt:i4>
      </vt:variant>
      <vt:variant>
        <vt:i4>194</vt:i4>
      </vt:variant>
      <vt:variant>
        <vt:i4>0</vt:i4>
      </vt:variant>
      <vt:variant>
        <vt:i4>5</vt:i4>
      </vt:variant>
      <vt:variant>
        <vt:lpwstr/>
      </vt:variant>
      <vt:variant>
        <vt:lpwstr>_Toc363316557</vt:lpwstr>
      </vt:variant>
      <vt:variant>
        <vt:i4>1114164</vt:i4>
      </vt:variant>
      <vt:variant>
        <vt:i4>188</vt:i4>
      </vt:variant>
      <vt:variant>
        <vt:i4>0</vt:i4>
      </vt:variant>
      <vt:variant>
        <vt:i4>5</vt:i4>
      </vt:variant>
      <vt:variant>
        <vt:lpwstr/>
      </vt:variant>
      <vt:variant>
        <vt:lpwstr>_Toc363316556</vt:lpwstr>
      </vt:variant>
      <vt:variant>
        <vt:i4>1114164</vt:i4>
      </vt:variant>
      <vt:variant>
        <vt:i4>182</vt:i4>
      </vt:variant>
      <vt:variant>
        <vt:i4>0</vt:i4>
      </vt:variant>
      <vt:variant>
        <vt:i4>5</vt:i4>
      </vt:variant>
      <vt:variant>
        <vt:lpwstr/>
      </vt:variant>
      <vt:variant>
        <vt:lpwstr>_Toc363316555</vt:lpwstr>
      </vt:variant>
      <vt:variant>
        <vt:i4>1114164</vt:i4>
      </vt:variant>
      <vt:variant>
        <vt:i4>176</vt:i4>
      </vt:variant>
      <vt:variant>
        <vt:i4>0</vt:i4>
      </vt:variant>
      <vt:variant>
        <vt:i4>5</vt:i4>
      </vt:variant>
      <vt:variant>
        <vt:lpwstr/>
      </vt:variant>
      <vt:variant>
        <vt:lpwstr>_Toc363316554</vt:lpwstr>
      </vt:variant>
      <vt:variant>
        <vt:i4>1114164</vt:i4>
      </vt:variant>
      <vt:variant>
        <vt:i4>170</vt:i4>
      </vt:variant>
      <vt:variant>
        <vt:i4>0</vt:i4>
      </vt:variant>
      <vt:variant>
        <vt:i4>5</vt:i4>
      </vt:variant>
      <vt:variant>
        <vt:lpwstr/>
      </vt:variant>
      <vt:variant>
        <vt:lpwstr>_Toc363316553</vt:lpwstr>
      </vt:variant>
      <vt:variant>
        <vt:i4>1114164</vt:i4>
      </vt:variant>
      <vt:variant>
        <vt:i4>164</vt:i4>
      </vt:variant>
      <vt:variant>
        <vt:i4>0</vt:i4>
      </vt:variant>
      <vt:variant>
        <vt:i4>5</vt:i4>
      </vt:variant>
      <vt:variant>
        <vt:lpwstr/>
      </vt:variant>
      <vt:variant>
        <vt:lpwstr>_Toc363316552</vt:lpwstr>
      </vt:variant>
      <vt:variant>
        <vt:i4>1114164</vt:i4>
      </vt:variant>
      <vt:variant>
        <vt:i4>158</vt:i4>
      </vt:variant>
      <vt:variant>
        <vt:i4>0</vt:i4>
      </vt:variant>
      <vt:variant>
        <vt:i4>5</vt:i4>
      </vt:variant>
      <vt:variant>
        <vt:lpwstr/>
      </vt:variant>
      <vt:variant>
        <vt:lpwstr>_Toc363316551</vt:lpwstr>
      </vt:variant>
      <vt:variant>
        <vt:i4>1114164</vt:i4>
      </vt:variant>
      <vt:variant>
        <vt:i4>152</vt:i4>
      </vt:variant>
      <vt:variant>
        <vt:i4>0</vt:i4>
      </vt:variant>
      <vt:variant>
        <vt:i4>5</vt:i4>
      </vt:variant>
      <vt:variant>
        <vt:lpwstr/>
      </vt:variant>
      <vt:variant>
        <vt:lpwstr>_Toc363316550</vt:lpwstr>
      </vt:variant>
      <vt:variant>
        <vt:i4>1048628</vt:i4>
      </vt:variant>
      <vt:variant>
        <vt:i4>146</vt:i4>
      </vt:variant>
      <vt:variant>
        <vt:i4>0</vt:i4>
      </vt:variant>
      <vt:variant>
        <vt:i4>5</vt:i4>
      </vt:variant>
      <vt:variant>
        <vt:lpwstr/>
      </vt:variant>
      <vt:variant>
        <vt:lpwstr>_Toc363316549</vt:lpwstr>
      </vt:variant>
      <vt:variant>
        <vt:i4>1048628</vt:i4>
      </vt:variant>
      <vt:variant>
        <vt:i4>140</vt:i4>
      </vt:variant>
      <vt:variant>
        <vt:i4>0</vt:i4>
      </vt:variant>
      <vt:variant>
        <vt:i4>5</vt:i4>
      </vt:variant>
      <vt:variant>
        <vt:lpwstr/>
      </vt:variant>
      <vt:variant>
        <vt:lpwstr>_Toc363316548</vt:lpwstr>
      </vt:variant>
      <vt:variant>
        <vt:i4>1048628</vt:i4>
      </vt:variant>
      <vt:variant>
        <vt:i4>134</vt:i4>
      </vt:variant>
      <vt:variant>
        <vt:i4>0</vt:i4>
      </vt:variant>
      <vt:variant>
        <vt:i4>5</vt:i4>
      </vt:variant>
      <vt:variant>
        <vt:lpwstr/>
      </vt:variant>
      <vt:variant>
        <vt:lpwstr>_Toc363316547</vt:lpwstr>
      </vt:variant>
      <vt:variant>
        <vt:i4>1048628</vt:i4>
      </vt:variant>
      <vt:variant>
        <vt:i4>128</vt:i4>
      </vt:variant>
      <vt:variant>
        <vt:i4>0</vt:i4>
      </vt:variant>
      <vt:variant>
        <vt:i4>5</vt:i4>
      </vt:variant>
      <vt:variant>
        <vt:lpwstr/>
      </vt:variant>
      <vt:variant>
        <vt:lpwstr>_Toc363316546</vt:lpwstr>
      </vt:variant>
      <vt:variant>
        <vt:i4>1048628</vt:i4>
      </vt:variant>
      <vt:variant>
        <vt:i4>122</vt:i4>
      </vt:variant>
      <vt:variant>
        <vt:i4>0</vt:i4>
      </vt:variant>
      <vt:variant>
        <vt:i4>5</vt:i4>
      </vt:variant>
      <vt:variant>
        <vt:lpwstr/>
      </vt:variant>
      <vt:variant>
        <vt:lpwstr>_Toc363316545</vt:lpwstr>
      </vt:variant>
      <vt:variant>
        <vt:i4>1048628</vt:i4>
      </vt:variant>
      <vt:variant>
        <vt:i4>116</vt:i4>
      </vt:variant>
      <vt:variant>
        <vt:i4>0</vt:i4>
      </vt:variant>
      <vt:variant>
        <vt:i4>5</vt:i4>
      </vt:variant>
      <vt:variant>
        <vt:lpwstr/>
      </vt:variant>
      <vt:variant>
        <vt:lpwstr>_Toc363316544</vt:lpwstr>
      </vt:variant>
      <vt:variant>
        <vt:i4>1048628</vt:i4>
      </vt:variant>
      <vt:variant>
        <vt:i4>110</vt:i4>
      </vt:variant>
      <vt:variant>
        <vt:i4>0</vt:i4>
      </vt:variant>
      <vt:variant>
        <vt:i4>5</vt:i4>
      </vt:variant>
      <vt:variant>
        <vt:lpwstr/>
      </vt:variant>
      <vt:variant>
        <vt:lpwstr>_Toc363316543</vt:lpwstr>
      </vt:variant>
      <vt:variant>
        <vt:i4>1048628</vt:i4>
      </vt:variant>
      <vt:variant>
        <vt:i4>104</vt:i4>
      </vt:variant>
      <vt:variant>
        <vt:i4>0</vt:i4>
      </vt:variant>
      <vt:variant>
        <vt:i4>5</vt:i4>
      </vt:variant>
      <vt:variant>
        <vt:lpwstr/>
      </vt:variant>
      <vt:variant>
        <vt:lpwstr>_Toc363316542</vt:lpwstr>
      </vt:variant>
      <vt:variant>
        <vt:i4>1048628</vt:i4>
      </vt:variant>
      <vt:variant>
        <vt:i4>98</vt:i4>
      </vt:variant>
      <vt:variant>
        <vt:i4>0</vt:i4>
      </vt:variant>
      <vt:variant>
        <vt:i4>5</vt:i4>
      </vt:variant>
      <vt:variant>
        <vt:lpwstr/>
      </vt:variant>
      <vt:variant>
        <vt:lpwstr>_Toc363316541</vt:lpwstr>
      </vt:variant>
      <vt:variant>
        <vt:i4>1048628</vt:i4>
      </vt:variant>
      <vt:variant>
        <vt:i4>92</vt:i4>
      </vt:variant>
      <vt:variant>
        <vt:i4>0</vt:i4>
      </vt:variant>
      <vt:variant>
        <vt:i4>5</vt:i4>
      </vt:variant>
      <vt:variant>
        <vt:lpwstr/>
      </vt:variant>
      <vt:variant>
        <vt:lpwstr>_Toc363316540</vt:lpwstr>
      </vt:variant>
      <vt:variant>
        <vt:i4>1507380</vt:i4>
      </vt:variant>
      <vt:variant>
        <vt:i4>86</vt:i4>
      </vt:variant>
      <vt:variant>
        <vt:i4>0</vt:i4>
      </vt:variant>
      <vt:variant>
        <vt:i4>5</vt:i4>
      </vt:variant>
      <vt:variant>
        <vt:lpwstr/>
      </vt:variant>
      <vt:variant>
        <vt:lpwstr>_Toc363316539</vt:lpwstr>
      </vt:variant>
      <vt:variant>
        <vt:i4>1507380</vt:i4>
      </vt:variant>
      <vt:variant>
        <vt:i4>80</vt:i4>
      </vt:variant>
      <vt:variant>
        <vt:i4>0</vt:i4>
      </vt:variant>
      <vt:variant>
        <vt:i4>5</vt:i4>
      </vt:variant>
      <vt:variant>
        <vt:lpwstr/>
      </vt:variant>
      <vt:variant>
        <vt:lpwstr>_Toc363316538</vt:lpwstr>
      </vt:variant>
      <vt:variant>
        <vt:i4>1507380</vt:i4>
      </vt:variant>
      <vt:variant>
        <vt:i4>74</vt:i4>
      </vt:variant>
      <vt:variant>
        <vt:i4>0</vt:i4>
      </vt:variant>
      <vt:variant>
        <vt:i4>5</vt:i4>
      </vt:variant>
      <vt:variant>
        <vt:lpwstr/>
      </vt:variant>
      <vt:variant>
        <vt:lpwstr>_Toc363316537</vt:lpwstr>
      </vt:variant>
      <vt:variant>
        <vt:i4>1507380</vt:i4>
      </vt:variant>
      <vt:variant>
        <vt:i4>68</vt:i4>
      </vt:variant>
      <vt:variant>
        <vt:i4>0</vt:i4>
      </vt:variant>
      <vt:variant>
        <vt:i4>5</vt:i4>
      </vt:variant>
      <vt:variant>
        <vt:lpwstr/>
      </vt:variant>
      <vt:variant>
        <vt:lpwstr>_Toc363316536</vt:lpwstr>
      </vt:variant>
      <vt:variant>
        <vt:i4>1507380</vt:i4>
      </vt:variant>
      <vt:variant>
        <vt:i4>62</vt:i4>
      </vt:variant>
      <vt:variant>
        <vt:i4>0</vt:i4>
      </vt:variant>
      <vt:variant>
        <vt:i4>5</vt:i4>
      </vt:variant>
      <vt:variant>
        <vt:lpwstr/>
      </vt:variant>
      <vt:variant>
        <vt:lpwstr>_Toc363316535</vt:lpwstr>
      </vt:variant>
      <vt:variant>
        <vt:i4>1507380</vt:i4>
      </vt:variant>
      <vt:variant>
        <vt:i4>56</vt:i4>
      </vt:variant>
      <vt:variant>
        <vt:i4>0</vt:i4>
      </vt:variant>
      <vt:variant>
        <vt:i4>5</vt:i4>
      </vt:variant>
      <vt:variant>
        <vt:lpwstr/>
      </vt:variant>
      <vt:variant>
        <vt:lpwstr>_Toc363316534</vt:lpwstr>
      </vt:variant>
      <vt:variant>
        <vt:i4>1507380</vt:i4>
      </vt:variant>
      <vt:variant>
        <vt:i4>50</vt:i4>
      </vt:variant>
      <vt:variant>
        <vt:i4>0</vt:i4>
      </vt:variant>
      <vt:variant>
        <vt:i4>5</vt:i4>
      </vt:variant>
      <vt:variant>
        <vt:lpwstr/>
      </vt:variant>
      <vt:variant>
        <vt:lpwstr>_Toc363316533</vt:lpwstr>
      </vt:variant>
      <vt:variant>
        <vt:i4>1507380</vt:i4>
      </vt:variant>
      <vt:variant>
        <vt:i4>44</vt:i4>
      </vt:variant>
      <vt:variant>
        <vt:i4>0</vt:i4>
      </vt:variant>
      <vt:variant>
        <vt:i4>5</vt:i4>
      </vt:variant>
      <vt:variant>
        <vt:lpwstr/>
      </vt:variant>
      <vt:variant>
        <vt:lpwstr>_Toc363316532</vt:lpwstr>
      </vt:variant>
      <vt:variant>
        <vt:i4>1507380</vt:i4>
      </vt:variant>
      <vt:variant>
        <vt:i4>38</vt:i4>
      </vt:variant>
      <vt:variant>
        <vt:i4>0</vt:i4>
      </vt:variant>
      <vt:variant>
        <vt:i4>5</vt:i4>
      </vt:variant>
      <vt:variant>
        <vt:lpwstr/>
      </vt:variant>
      <vt:variant>
        <vt:lpwstr>_Toc363316531</vt:lpwstr>
      </vt:variant>
      <vt:variant>
        <vt:i4>1507380</vt:i4>
      </vt:variant>
      <vt:variant>
        <vt:i4>32</vt:i4>
      </vt:variant>
      <vt:variant>
        <vt:i4>0</vt:i4>
      </vt:variant>
      <vt:variant>
        <vt:i4>5</vt:i4>
      </vt:variant>
      <vt:variant>
        <vt:lpwstr/>
      </vt:variant>
      <vt:variant>
        <vt:lpwstr>_Toc363316530</vt:lpwstr>
      </vt:variant>
      <vt:variant>
        <vt:i4>1441844</vt:i4>
      </vt:variant>
      <vt:variant>
        <vt:i4>26</vt:i4>
      </vt:variant>
      <vt:variant>
        <vt:i4>0</vt:i4>
      </vt:variant>
      <vt:variant>
        <vt:i4>5</vt:i4>
      </vt:variant>
      <vt:variant>
        <vt:lpwstr/>
      </vt:variant>
      <vt:variant>
        <vt:lpwstr>_Toc363316529</vt:lpwstr>
      </vt:variant>
      <vt:variant>
        <vt:i4>1441844</vt:i4>
      </vt:variant>
      <vt:variant>
        <vt:i4>20</vt:i4>
      </vt:variant>
      <vt:variant>
        <vt:i4>0</vt:i4>
      </vt:variant>
      <vt:variant>
        <vt:i4>5</vt:i4>
      </vt:variant>
      <vt:variant>
        <vt:lpwstr/>
      </vt:variant>
      <vt:variant>
        <vt:lpwstr>_Toc363316528</vt:lpwstr>
      </vt:variant>
      <vt:variant>
        <vt:i4>1441844</vt:i4>
      </vt:variant>
      <vt:variant>
        <vt:i4>14</vt:i4>
      </vt:variant>
      <vt:variant>
        <vt:i4>0</vt:i4>
      </vt:variant>
      <vt:variant>
        <vt:i4>5</vt:i4>
      </vt:variant>
      <vt:variant>
        <vt:lpwstr/>
      </vt:variant>
      <vt:variant>
        <vt:lpwstr>_Toc363316527</vt:lpwstr>
      </vt:variant>
      <vt:variant>
        <vt:i4>1441844</vt:i4>
      </vt:variant>
      <vt:variant>
        <vt:i4>8</vt:i4>
      </vt:variant>
      <vt:variant>
        <vt:i4>0</vt:i4>
      </vt:variant>
      <vt:variant>
        <vt:i4>5</vt:i4>
      </vt:variant>
      <vt:variant>
        <vt:lpwstr/>
      </vt:variant>
      <vt:variant>
        <vt:lpwstr>_Toc363316526</vt:lpwstr>
      </vt:variant>
      <vt:variant>
        <vt:i4>1441844</vt:i4>
      </vt:variant>
      <vt:variant>
        <vt:i4>2</vt:i4>
      </vt:variant>
      <vt:variant>
        <vt:i4>0</vt:i4>
      </vt:variant>
      <vt:variant>
        <vt:i4>5</vt:i4>
      </vt:variant>
      <vt:variant>
        <vt:lpwstr/>
      </vt:variant>
      <vt:variant>
        <vt:lpwstr>_Toc363316525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Occupational_Intakes_of_Radionuclides_Part_1</dc:title>
  <dc:subject/>
  <dc:creator>DAVESNE Estelle</dc:creator>
  <cp:keywords/>
  <dc:description/>
  <cp:lastModifiedBy>Hyungjoon Yu</cp:lastModifiedBy>
  <cp:revision>2</cp:revision>
  <cp:lastPrinted>2014-10-27T10:49:00Z</cp:lastPrinted>
  <dcterms:created xsi:type="dcterms:W3CDTF">2024-05-01T18:52:00Z</dcterms:created>
  <dcterms:modified xsi:type="dcterms:W3CDTF">2024-05-01T18:52:00Z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id="IPTQjQab"/&gt;&lt;style id="http://www.zotero.org/styles/sage-harvard" hasBibliography="1" bibliographyStyleHasBeenSet="1"/&gt;&lt;prefs&gt;&lt;pref name="fieldType" value="Field"/&gt;&lt;pref name="delayCitationUpdates</vt:lpwstr>
  </property>
  <property fmtid="{D5CDD505-2E9C-101B-9397-08002B2CF9AE}" pid="3" name="ZOTERO_PREF_2">
    <vt:lpwstr>" value="true"/&gt;&lt;pref name="dontAskDelayCitationUpdates" value="true"/&gt;&lt;/prefs&gt;&lt;/data&gt;</vt:lpwstr>
  </property>
  <property fmtid="{D5CDD505-2E9C-101B-9397-08002B2CF9AE}" pid="4" name="GrammarlyDocumentId">
    <vt:lpwstr>7766cb81e7cb6694671b9efc58a72d72e9cc8de26b0ff6640e9ae7cba7f6af65</vt:lpwstr>
  </property>
</Properties>
</file>